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0939" w14:textId="77777777" w:rsidR="005B6AE8" w:rsidRPr="00ED6A68" w:rsidRDefault="005B6AE8" w:rsidP="004E7CCE">
      <w:pPr>
        <w:pStyle w:val="Default"/>
        <w:spacing w:line="360" w:lineRule="auto"/>
        <w:jc w:val="center"/>
        <w:rPr>
          <w:b/>
          <w:bCs/>
          <w:color w:val="auto"/>
        </w:rPr>
      </w:pPr>
      <w:r w:rsidRPr="00ED6A68">
        <w:rPr>
          <w:b/>
          <w:bCs/>
          <w:color w:val="auto"/>
        </w:rPr>
        <w:t>UZASADNIENIE</w:t>
      </w:r>
    </w:p>
    <w:p w14:paraId="6A2E90BE" w14:textId="6E4EAC8C" w:rsidR="00805CCC" w:rsidRPr="00ED6A68" w:rsidRDefault="00805CCC" w:rsidP="004E7CCE">
      <w:pPr>
        <w:pStyle w:val="Default"/>
        <w:spacing w:line="360" w:lineRule="auto"/>
        <w:jc w:val="center"/>
        <w:rPr>
          <w:b/>
          <w:bCs/>
          <w:color w:val="auto"/>
        </w:rPr>
      </w:pPr>
    </w:p>
    <w:p w14:paraId="5B3E7A6F" w14:textId="77777777" w:rsidR="00F75942" w:rsidRPr="00ED6A68" w:rsidRDefault="00F75942" w:rsidP="004E7CCE">
      <w:pPr>
        <w:pStyle w:val="Default"/>
        <w:spacing w:line="360" w:lineRule="auto"/>
        <w:jc w:val="center"/>
        <w:rPr>
          <w:b/>
          <w:bCs/>
          <w:color w:val="auto"/>
        </w:rPr>
      </w:pPr>
    </w:p>
    <w:p w14:paraId="1773BC57" w14:textId="27E6558C" w:rsidR="00805CCC" w:rsidRPr="00ED6A68" w:rsidRDefault="00805CCC" w:rsidP="00F75942">
      <w:pPr>
        <w:pStyle w:val="Default"/>
        <w:rPr>
          <w:b/>
          <w:bCs/>
          <w:color w:val="auto"/>
        </w:rPr>
      </w:pPr>
      <w:r w:rsidRPr="00ED6A68">
        <w:rPr>
          <w:b/>
          <w:bCs/>
          <w:color w:val="auto"/>
        </w:rPr>
        <w:t xml:space="preserve">I. Wyjaśnienie potrzeby i celu wydania ustawy </w:t>
      </w:r>
    </w:p>
    <w:p w14:paraId="52162FE8" w14:textId="77777777" w:rsidR="00F75942" w:rsidRPr="00ED6A68" w:rsidRDefault="00F75942" w:rsidP="004E7CCE">
      <w:pPr>
        <w:pStyle w:val="Default"/>
        <w:spacing w:line="360" w:lineRule="auto"/>
        <w:rPr>
          <w:b/>
          <w:bCs/>
          <w:color w:val="auto"/>
        </w:rPr>
      </w:pPr>
    </w:p>
    <w:p w14:paraId="4E0D1DFC" w14:textId="68E37C24" w:rsidR="004470A6" w:rsidRPr="00ED6A68" w:rsidRDefault="000B526A" w:rsidP="004E7CCE">
      <w:pPr>
        <w:spacing w:after="0" w:line="360" w:lineRule="auto"/>
        <w:jc w:val="both"/>
        <w:rPr>
          <w:rFonts w:ascii="Times New Roman" w:hAnsi="Times New Roman" w:cs="Times New Roman"/>
          <w:sz w:val="24"/>
          <w:szCs w:val="24"/>
        </w:rPr>
      </w:pPr>
      <w:r w:rsidRPr="00ED6A68">
        <w:rPr>
          <w:rFonts w:ascii="Times New Roman" w:hAnsi="Times New Roman" w:cs="Times New Roman"/>
          <w:sz w:val="24"/>
          <w:szCs w:val="24"/>
        </w:rPr>
        <w:tab/>
      </w:r>
      <w:r w:rsidR="000E1847" w:rsidRPr="00ED6A68">
        <w:rPr>
          <w:rFonts w:ascii="Times New Roman" w:hAnsi="Times New Roman" w:cs="Times New Roman"/>
          <w:sz w:val="24"/>
          <w:szCs w:val="24"/>
        </w:rPr>
        <w:t>Przedłożony</w:t>
      </w:r>
      <w:r w:rsidRPr="00ED6A68">
        <w:rPr>
          <w:rFonts w:ascii="Times New Roman" w:hAnsi="Times New Roman" w:cs="Times New Roman"/>
          <w:sz w:val="24"/>
          <w:szCs w:val="24"/>
        </w:rPr>
        <w:t xml:space="preserve"> projekt ustawy jest realizacją wyrażonego przez Prezyde</w:t>
      </w:r>
      <w:r w:rsidR="000E1847" w:rsidRPr="00ED6A68">
        <w:rPr>
          <w:rFonts w:ascii="Times New Roman" w:hAnsi="Times New Roman" w:cs="Times New Roman"/>
          <w:sz w:val="24"/>
          <w:szCs w:val="24"/>
        </w:rPr>
        <w:t>nta R</w:t>
      </w:r>
      <w:r w:rsidR="00EE14AB">
        <w:rPr>
          <w:rFonts w:ascii="Times New Roman" w:hAnsi="Times New Roman" w:cs="Times New Roman"/>
          <w:sz w:val="24"/>
          <w:szCs w:val="24"/>
        </w:rPr>
        <w:t xml:space="preserve">zeczypospolitej </w:t>
      </w:r>
      <w:r w:rsidR="000E1847" w:rsidRPr="00ED6A68">
        <w:rPr>
          <w:rFonts w:ascii="Times New Roman" w:hAnsi="Times New Roman" w:cs="Times New Roman"/>
          <w:sz w:val="24"/>
          <w:szCs w:val="24"/>
        </w:rPr>
        <w:t>P</w:t>
      </w:r>
      <w:r w:rsidR="00EE14AB">
        <w:rPr>
          <w:rFonts w:ascii="Times New Roman" w:hAnsi="Times New Roman" w:cs="Times New Roman"/>
          <w:sz w:val="24"/>
          <w:szCs w:val="24"/>
        </w:rPr>
        <w:t>olskiej</w:t>
      </w:r>
      <w:r w:rsidR="000E1847" w:rsidRPr="00ED6A68">
        <w:rPr>
          <w:rFonts w:ascii="Times New Roman" w:hAnsi="Times New Roman" w:cs="Times New Roman"/>
          <w:sz w:val="24"/>
          <w:szCs w:val="24"/>
        </w:rPr>
        <w:t>, jeszcze jako kandydata na najwyższy urząd w Państwie w trakcie kampanii prezydenckiej, poparcia i pełnej aprobaty dla społecznych</w:t>
      </w:r>
      <w:r w:rsidR="00AE77CD" w:rsidRPr="00ED6A68">
        <w:rPr>
          <w:rFonts w:ascii="Times New Roman" w:hAnsi="Times New Roman" w:cs="Times New Roman"/>
          <w:sz w:val="24"/>
          <w:szCs w:val="24"/>
        </w:rPr>
        <w:t xml:space="preserve"> aspiracji i dążeń </w:t>
      </w:r>
      <w:r w:rsidR="000E1847" w:rsidRPr="00ED6A68">
        <w:rPr>
          <w:rFonts w:ascii="Times New Roman" w:hAnsi="Times New Roman" w:cs="Times New Roman"/>
          <w:sz w:val="24"/>
          <w:szCs w:val="24"/>
        </w:rPr>
        <w:t xml:space="preserve">związanych z nadaniem nowych impulsów do rozwoju gospodarczego naszego kraju. Za taki bowiem impuls należy uznać, mającą szerokie poparcie społeczne, budowę </w:t>
      </w:r>
      <w:r w:rsidR="005108C1" w:rsidRPr="00ED6A68">
        <w:rPr>
          <w:rFonts w:ascii="Times New Roman" w:eastAsia="Times New Roman" w:hAnsi="Times New Roman" w:cs="Times New Roman"/>
          <w:sz w:val="24"/>
          <w:szCs w:val="24"/>
        </w:rPr>
        <w:t>Centralnego Portu Komunikacyjnego.</w:t>
      </w:r>
      <w:r w:rsidR="00C92E35" w:rsidRPr="00ED6A68">
        <w:rPr>
          <w:rFonts w:ascii="Times New Roman" w:eastAsia="Times New Roman" w:hAnsi="Times New Roman" w:cs="Times New Roman"/>
          <w:sz w:val="24"/>
          <w:szCs w:val="24"/>
        </w:rPr>
        <w:t xml:space="preserve"> Urzeczywistnieniem tego poparcia było złożenie do Sejmu Rzeczypospolitej Polskiej </w:t>
      </w:r>
      <w:r w:rsidR="00C92E35" w:rsidRPr="00ED6A68">
        <w:rPr>
          <w:rFonts w:ascii="Times New Roman" w:hAnsi="Times New Roman" w:cs="Times New Roman"/>
          <w:sz w:val="24"/>
          <w:szCs w:val="24"/>
        </w:rPr>
        <w:t>na podstawie art. 118 ust. 2 Konstytucji</w:t>
      </w:r>
      <w:r w:rsidR="0097205E" w:rsidRPr="00ED6A68">
        <w:rPr>
          <w:rFonts w:ascii="Times New Roman" w:eastAsia="Times New Roman" w:hAnsi="Times New Roman" w:cs="Times New Roman"/>
          <w:sz w:val="24"/>
          <w:szCs w:val="24"/>
        </w:rPr>
        <w:t xml:space="preserve"> </w:t>
      </w:r>
      <w:r w:rsidR="00C92E35" w:rsidRPr="00ED6A68">
        <w:rPr>
          <w:rFonts w:ascii="Times New Roman" w:hAnsi="Times New Roman" w:cs="Times New Roman"/>
          <w:sz w:val="24"/>
          <w:szCs w:val="24"/>
        </w:rPr>
        <w:t>Rzeczypospolitej Polskiej oraz art. 2 i art. 10 ust. 1 ustawy z dnia 24 czerwca 1999 r.</w:t>
      </w:r>
      <w:r w:rsidR="0097205E" w:rsidRPr="00ED6A68">
        <w:rPr>
          <w:rFonts w:ascii="Times New Roman" w:eastAsia="Times New Roman" w:hAnsi="Times New Roman" w:cs="Times New Roman"/>
          <w:sz w:val="24"/>
          <w:szCs w:val="24"/>
        </w:rPr>
        <w:t xml:space="preserve"> </w:t>
      </w:r>
      <w:r w:rsidR="00C92E35" w:rsidRPr="00ED6A68">
        <w:rPr>
          <w:rFonts w:ascii="Times New Roman" w:hAnsi="Times New Roman" w:cs="Times New Roman"/>
          <w:sz w:val="24"/>
          <w:szCs w:val="24"/>
        </w:rPr>
        <w:t>o wykonywaniu inicjatyw</w:t>
      </w:r>
      <w:r w:rsidR="004470A6" w:rsidRPr="00ED6A68">
        <w:rPr>
          <w:rFonts w:ascii="Times New Roman" w:hAnsi="Times New Roman" w:cs="Times New Roman"/>
          <w:sz w:val="24"/>
          <w:szCs w:val="24"/>
        </w:rPr>
        <w:t>y ustawodawczej przez obywateli (Dz. U. z 2018 r. poz. 2120) – obywatelskiego projektu ustawy. W swoich założeniach powołany projekt obywatelski dążył do potwierdzenia ciążącego na instytucjach publicznych obowiązku realizacji Inwestycji C</w:t>
      </w:r>
      <w:r w:rsidR="00CD7487" w:rsidRPr="00ED6A68">
        <w:rPr>
          <w:rFonts w:ascii="Times New Roman" w:hAnsi="Times New Roman" w:cs="Times New Roman"/>
          <w:sz w:val="24"/>
          <w:szCs w:val="24"/>
        </w:rPr>
        <w:t xml:space="preserve">entralnego </w:t>
      </w:r>
      <w:r w:rsidR="004470A6" w:rsidRPr="00ED6A68">
        <w:rPr>
          <w:rFonts w:ascii="Times New Roman" w:hAnsi="Times New Roman" w:cs="Times New Roman"/>
          <w:sz w:val="24"/>
          <w:szCs w:val="24"/>
        </w:rPr>
        <w:t>P</w:t>
      </w:r>
      <w:r w:rsidR="00CD7487" w:rsidRPr="00ED6A68">
        <w:rPr>
          <w:rFonts w:ascii="Times New Roman" w:hAnsi="Times New Roman" w:cs="Times New Roman"/>
          <w:sz w:val="24"/>
          <w:szCs w:val="24"/>
        </w:rPr>
        <w:t xml:space="preserve">ortu </w:t>
      </w:r>
      <w:r w:rsidR="004470A6" w:rsidRPr="00ED6A68">
        <w:rPr>
          <w:rFonts w:ascii="Times New Roman" w:hAnsi="Times New Roman" w:cs="Times New Roman"/>
          <w:sz w:val="24"/>
          <w:szCs w:val="24"/>
        </w:rPr>
        <w:t>K</w:t>
      </w:r>
      <w:r w:rsidR="00CD7487" w:rsidRPr="00ED6A68">
        <w:rPr>
          <w:rFonts w:ascii="Times New Roman" w:hAnsi="Times New Roman" w:cs="Times New Roman"/>
          <w:sz w:val="24"/>
          <w:szCs w:val="24"/>
        </w:rPr>
        <w:t>omunikacyjnego</w:t>
      </w:r>
      <w:r w:rsidR="004470A6" w:rsidRPr="00ED6A68">
        <w:rPr>
          <w:rFonts w:ascii="Times New Roman" w:hAnsi="Times New Roman" w:cs="Times New Roman"/>
          <w:sz w:val="24"/>
          <w:szCs w:val="24"/>
        </w:rPr>
        <w:t>, zapewnienia należytego merytorycznego poziomu osób odpowie</w:t>
      </w:r>
      <w:r w:rsidR="00D00808" w:rsidRPr="00ED6A68">
        <w:rPr>
          <w:rFonts w:ascii="Times New Roman" w:hAnsi="Times New Roman" w:cs="Times New Roman"/>
          <w:sz w:val="24"/>
          <w:szCs w:val="24"/>
        </w:rPr>
        <w:t>dzialnych za realizację tej inwestycji oraz</w:t>
      </w:r>
      <w:r w:rsidR="004470A6" w:rsidRPr="00ED6A68">
        <w:rPr>
          <w:rFonts w:ascii="Times New Roman" w:hAnsi="Times New Roman" w:cs="Times New Roman"/>
          <w:sz w:val="24"/>
          <w:szCs w:val="24"/>
        </w:rPr>
        <w:t xml:space="preserve"> usunięcia systemowej dysfunkcji polskiego rynku lotniczego</w:t>
      </w:r>
      <w:r w:rsidR="00D00808" w:rsidRPr="00ED6A68">
        <w:rPr>
          <w:rFonts w:ascii="Times New Roman" w:hAnsi="Times New Roman" w:cs="Times New Roman"/>
          <w:sz w:val="24"/>
          <w:szCs w:val="24"/>
        </w:rPr>
        <w:t>.</w:t>
      </w:r>
      <w:r w:rsidR="007E33BB" w:rsidRPr="00ED6A68">
        <w:rPr>
          <w:rFonts w:ascii="Times New Roman" w:hAnsi="Times New Roman" w:cs="Times New Roman"/>
          <w:sz w:val="24"/>
          <w:szCs w:val="24"/>
        </w:rPr>
        <w:t xml:space="preserve"> Niestety obywatelski projekt ustawy nie spotkał się z aprobatą koalicji dysponującej obecnie większością głosów w Sejmie.</w:t>
      </w:r>
      <w:r w:rsidR="008040BC" w:rsidRPr="00ED6A68">
        <w:rPr>
          <w:rFonts w:ascii="Times New Roman" w:hAnsi="Times New Roman" w:cs="Times New Roman"/>
          <w:sz w:val="24"/>
          <w:szCs w:val="24"/>
        </w:rPr>
        <w:t xml:space="preserve"> Prace nad powołanym projektem </w:t>
      </w:r>
      <w:r w:rsidR="00415A77" w:rsidRPr="00ED6A68">
        <w:rPr>
          <w:rFonts w:ascii="Times New Roman" w:hAnsi="Times New Roman" w:cs="Times New Roman"/>
          <w:sz w:val="24"/>
          <w:szCs w:val="24"/>
        </w:rPr>
        <w:t xml:space="preserve">obywatelskim </w:t>
      </w:r>
      <w:r w:rsidR="008040BC" w:rsidRPr="00ED6A68">
        <w:rPr>
          <w:rFonts w:ascii="Times New Roman" w:hAnsi="Times New Roman" w:cs="Times New Roman"/>
          <w:sz w:val="24"/>
          <w:szCs w:val="24"/>
        </w:rPr>
        <w:t xml:space="preserve">w Sejmie zostały wstrzymane na etapie sprawozdania </w:t>
      </w:r>
      <w:r w:rsidR="006671DF" w:rsidRPr="00ED6A68">
        <w:rPr>
          <w:rFonts w:ascii="Times New Roman" w:hAnsi="Times New Roman" w:cs="Times New Roman"/>
          <w:sz w:val="24"/>
          <w:szCs w:val="24"/>
        </w:rPr>
        <w:t>właściwej komisji sejmowej po I czytaniu</w:t>
      </w:r>
      <w:r w:rsidR="00E85FD3" w:rsidRPr="00ED6A68">
        <w:rPr>
          <w:rFonts w:ascii="Times New Roman" w:hAnsi="Times New Roman" w:cs="Times New Roman"/>
          <w:sz w:val="24"/>
          <w:szCs w:val="24"/>
        </w:rPr>
        <w:t>,</w:t>
      </w:r>
      <w:r w:rsidR="00CD7487" w:rsidRPr="00ED6A68">
        <w:rPr>
          <w:rFonts w:ascii="Times New Roman" w:hAnsi="Times New Roman" w:cs="Times New Roman"/>
          <w:sz w:val="24"/>
          <w:szCs w:val="24"/>
        </w:rPr>
        <w:t xml:space="preserve"> </w:t>
      </w:r>
      <w:r w:rsidR="00415A77" w:rsidRPr="00ED6A68">
        <w:rPr>
          <w:rFonts w:ascii="Times New Roman" w:hAnsi="Times New Roman" w:cs="Times New Roman"/>
          <w:sz w:val="24"/>
          <w:szCs w:val="24"/>
        </w:rPr>
        <w:t>z </w:t>
      </w:r>
      <w:r w:rsidR="006671DF" w:rsidRPr="00ED6A68">
        <w:rPr>
          <w:rFonts w:ascii="Times New Roman" w:hAnsi="Times New Roman" w:cs="Times New Roman"/>
          <w:sz w:val="24"/>
          <w:szCs w:val="24"/>
        </w:rPr>
        <w:t xml:space="preserve">rekomendacją tejże, żeby obywatelski projekt ustawy w całości odrzucić, bez jego merytorycznego rozpatrzenia. </w:t>
      </w:r>
    </w:p>
    <w:p w14:paraId="68443837" w14:textId="692E1594" w:rsidR="00E85FD3" w:rsidRPr="00ED6A68" w:rsidRDefault="00E85FD3"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Kontynuując wolę obywateli </w:t>
      </w:r>
      <w:r w:rsidR="00415A77" w:rsidRPr="00ED6A68">
        <w:rPr>
          <w:rFonts w:ascii="Times New Roman" w:hAnsi="Times New Roman" w:cs="Times New Roman"/>
          <w:sz w:val="24"/>
          <w:szCs w:val="24"/>
        </w:rPr>
        <w:t>Prez</w:t>
      </w:r>
      <w:r w:rsidR="003B63F0" w:rsidRPr="00ED6A68">
        <w:rPr>
          <w:rFonts w:ascii="Times New Roman" w:hAnsi="Times New Roman" w:cs="Times New Roman"/>
          <w:sz w:val="24"/>
          <w:szCs w:val="24"/>
        </w:rPr>
        <w:t>ydent Rzeczypospolitej Polskiej – pełniąc funkcję swoistego arbitra politycznego – skorzystał z przysługującej mu inicjatywy legislacyjnej</w:t>
      </w:r>
      <w:r w:rsidR="003664B5" w:rsidRPr="00ED6A68">
        <w:rPr>
          <w:rFonts w:ascii="Times New Roman" w:hAnsi="Times New Roman" w:cs="Times New Roman"/>
          <w:sz w:val="24"/>
          <w:szCs w:val="24"/>
        </w:rPr>
        <w:t xml:space="preserve"> </w:t>
      </w:r>
      <w:r w:rsidR="003B63F0" w:rsidRPr="00ED6A68">
        <w:rPr>
          <w:rFonts w:ascii="Times New Roman" w:hAnsi="Times New Roman" w:cs="Times New Roman"/>
          <w:sz w:val="24"/>
          <w:szCs w:val="24"/>
        </w:rPr>
        <w:t>kieruj</w:t>
      </w:r>
      <w:r w:rsidR="003664B5" w:rsidRPr="00ED6A68">
        <w:rPr>
          <w:rFonts w:ascii="Times New Roman" w:hAnsi="Times New Roman" w:cs="Times New Roman"/>
          <w:sz w:val="24"/>
          <w:szCs w:val="24"/>
        </w:rPr>
        <w:t>ąc</w:t>
      </w:r>
      <w:r w:rsidR="003B63F0" w:rsidRPr="00ED6A68">
        <w:rPr>
          <w:rFonts w:ascii="Times New Roman" w:hAnsi="Times New Roman" w:cs="Times New Roman"/>
          <w:sz w:val="24"/>
          <w:szCs w:val="24"/>
        </w:rPr>
        <w:t xml:space="preserve"> do Sejmu RP przedmiotowy projekt ustawy.</w:t>
      </w:r>
    </w:p>
    <w:p w14:paraId="1C2D96DC" w14:textId="5A9B4042" w:rsidR="00670492" w:rsidRPr="00ED6A68" w:rsidRDefault="005B6AE8" w:rsidP="004E7CCE">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 xml:space="preserve">Celem </w:t>
      </w:r>
      <w:r w:rsidR="00D57B56" w:rsidRPr="00ED6A68">
        <w:rPr>
          <w:rFonts w:ascii="Times New Roman" w:hAnsi="Times New Roman" w:cs="Times New Roman"/>
          <w:sz w:val="24"/>
          <w:szCs w:val="24"/>
        </w:rPr>
        <w:t xml:space="preserve">przedłożonego </w:t>
      </w:r>
      <w:r w:rsidRPr="00ED6A68">
        <w:rPr>
          <w:rFonts w:ascii="Times New Roman" w:hAnsi="Times New Roman" w:cs="Times New Roman"/>
          <w:sz w:val="24"/>
          <w:szCs w:val="24"/>
        </w:rPr>
        <w:t xml:space="preserve">projektu ustawy jest </w:t>
      </w:r>
      <w:r w:rsidRPr="00ED6A68">
        <w:rPr>
          <w:rFonts w:ascii="Times New Roman" w:eastAsia="Times New Roman" w:hAnsi="Times New Roman" w:cs="Times New Roman"/>
          <w:sz w:val="24"/>
          <w:szCs w:val="24"/>
        </w:rPr>
        <w:t xml:space="preserve">zapewnienie realizacji inwestycji </w:t>
      </w:r>
      <w:r w:rsidR="004F3E79" w:rsidRPr="00ED6A68">
        <w:rPr>
          <w:rFonts w:ascii="Times New Roman" w:eastAsia="Times New Roman" w:hAnsi="Times New Roman" w:cs="Times New Roman"/>
          <w:sz w:val="24"/>
          <w:szCs w:val="24"/>
        </w:rPr>
        <w:t>niezbędnych do powstania Centralnego</w:t>
      </w:r>
      <w:r w:rsidRPr="00ED6A68">
        <w:rPr>
          <w:rFonts w:ascii="Times New Roman" w:eastAsia="Times New Roman" w:hAnsi="Times New Roman" w:cs="Times New Roman"/>
          <w:sz w:val="24"/>
          <w:szCs w:val="24"/>
        </w:rPr>
        <w:t xml:space="preserve"> Por</w:t>
      </w:r>
      <w:r w:rsidR="00F75942" w:rsidRPr="00ED6A68">
        <w:rPr>
          <w:rFonts w:ascii="Times New Roman" w:eastAsia="Times New Roman" w:hAnsi="Times New Roman" w:cs="Times New Roman"/>
          <w:sz w:val="24"/>
          <w:szCs w:val="24"/>
        </w:rPr>
        <w:t>tu Komunikacyjnego (dalej także</w:t>
      </w:r>
      <w:r w:rsidRPr="00ED6A68">
        <w:rPr>
          <w:rFonts w:ascii="Times New Roman" w:eastAsia="Times New Roman" w:hAnsi="Times New Roman" w:cs="Times New Roman"/>
          <w:sz w:val="24"/>
          <w:szCs w:val="24"/>
        </w:rPr>
        <w:t xml:space="preserve"> jako CPK), których zakres został zdefiniowany i określony w ustawie z</w:t>
      </w:r>
      <w:r w:rsidRPr="00ED6A68">
        <w:rPr>
          <w:rFonts w:ascii="Times New Roman" w:hAnsi="Times New Roman" w:cs="Times New Roman"/>
          <w:sz w:val="24"/>
          <w:szCs w:val="24"/>
        </w:rPr>
        <w:t xml:space="preserve"> dnia 10 maja 2018 r. o Centralnym Porcie Komunikacyjnym (Dz. U. z 2024 r. poz. </w:t>
      </w:r>
      <w:r w:rsidR="00F75942" w:rsidRPr="00ED6A68">
        <w:rPr>
          <w:rFonts w:ascii="Times New Roman" w:hAnsi="Times New Roman" w:cs="Times New Roman"/>
          <w:sz w:val="24"/>
          <w:szCs w:val="24"/>
        </w:rPr>
        <w:t>1747</w:t>
      </w:r>
      <w:r w:rsidRPr="00ED6A68">
        <w:rPr>
          <w:rFonts w:ascii="Times New Roman" w:hAnsi="Times New Roman" w:cs="Times New Roman"/>
          <w:sz w:val="24"/>
          <w:szCs w:val="24"/>
        </w:rPr>
        <w:t xml:space="preserve">). </w:t>
      </w:r>
      <w:r w:rsidR="004F3E79" w:rsidRPr="00ED6A68">
        <w:rPr>
          <w:rFonts w:ascii="Times New Roman" w:hAnsi="Times New Roman" w:cs="Times New Roman"/>
          <w:sz w:val="24"/>
          <w:szCs w:val="24"/>
        </w:rPr>
        <w:t>Realizacja tego przedsięwzięcia</w:t>
      </w:r>
      <w:r w:rsidR="00042ED3" w:rsidRPr="00ED6A68">
        <w:rPr>
          <w:rFonts w:ascii="Times New Roman" w:hAnsi="Times New Roman" w:cs="Times New Roman"/>
          <w:sz w:val="24"/>
          <w:szCs w:val="24"/>
        </w:rPr>
        <w:t xml:space="preserve"> odbywa się w </w:t>
      </w:r>
      <w:r w:rsidR="004F3E79" w:rsidRPr="00ED6A68">
        <w:rPr>
          <w:rFonts w:ascii="Times New Roman" w:hAnsi="Times New Roman" w:cs="Times New Roman"/>
          <w:sz w:val="24"/>
          <w:szCs w:val="24"/>
        </w:rPr>
        <w:t>oparciu o Program</w:t>
      </w:r>
      <w:r w:rsidR="004F3E79" w:rsidRPr="00ED6A68">
        <w:rPr>
          <w:rFonts w:ascii="Times New Roman" w:eastAsia="Times New Roman" w:hAnsi="Times New Roman" w:cs="Times New Roman"/>
          <w:sz w:val="24"/>
          <w:szCs w:val="24"/>
        </w:rPr>
        <w:t>, o którym</w:t>
      </w:r>
      <w:r w:rsidR="004F3E79" w:rsidRPr="00ED6A68">
        <w:rPr>
          <w:rFonts w:ascii="Times New Roman" w:hAnsi="Times New Roman" w:cs="Times New Roman"/>
          <w:sz w:val="24"/>
          <w:szCs w:val="24"/>
        </w:rPr>
        <w:t xml:space="preserve"> mowa w art. 2 pkt 7 </w:t>
      </w:r>
      <w:r w:rsidR="005846E7" w:rsidRPr="00ED6A68">
        <w:rPr>
          <w:rFonts w:ascii="Times New Roman" w:hAnsi="Times New Roman" w:cs="Times New Roman"/>
          <w:sz w:val="24"/>
          <w:szCs w:val="24"/>
        </w:rPr>
        <w:t>powołanej ustawy</w:t>
      </w:r>
      <w:r w:rsidR="00B77F88" w:rsidRPr="00ED6A68">
        <w:rPr>
          <w:rFonts w:ascii="Times New Roman" w:hAnsi="Times New Roman" w:cs="Times New Roman"/>
          <w:sz w:val="24"/>
          <w:szCs w:val="24"/>
        </w:rPr>
        <w:t>, zwanym dalej „Programem”</w:t>
      </w:r>
      <w:r w:rsidR="005846E7" w:rsidRPr="00ED6A68">
        <w:rPr>
          <w:rFonts w:ascii="Times New Roman" w:hAnsi="Times New Roman" w:cs="Times New Roman"/>
          <w:sz w:val="24"/>
          <w:szCs w:val="24"/>
        </w:rPr>
        <w:t xml:space="preserve">. </w:t>
      </w:r>
      <w:r w:rsidR="00AF2FBD" w:rsidRPr="00ED6A68">
        <w:rPr>
          <w:rFonts w:ascii="Times New Roman" w:hAnsi="Times New Roman" w:cs="Times New Roman"/>
          <w:sz w:val="24"/>
          <w:szCs w:val="24"/>
        </w:rPr>
        <w:t xml:space="preserve">Program w powołanym przepisie został </w:t>
      </w:r>
      <w:r w:rsidR="00042ED3" w:rsidRPr="00ED6A68">
        <w:rPr>
          <w:rFonts w:ascii="Times New Roman" w:hAnsi="Times New Roman" w:cs="Times New Roman"/>
          <w:sz w:val="24"/>
          <w:szCs w:val="24"/>
        </w:rPr>
        <w:t xml:space="preserve">zdefiniowany </w:t>
      </w:r>
      <w:r w:rsidR="00AF2FBD" w:rsidRPr="00ED6A68">
        <w:rPr>
          <w:rFonts w:ascii="Times New Roman" w:hAnsi="Times New Roman" w:cs="Times New Roman"/>
          <w:sz w:val="24"/>
          <w:szCs w:val="24"/>
        </w:rPr>
        <w:t>jako program wieloletni w rozumieniu ustawy z dnia 27 sierpnia 2009 r. o finansach publicznych (Dz. U. z 2024 r. poz. 1530 i 1572</w:t>
      </w:r>
      <w:r w:rsidR="00F75942" w:rsidRPr="00ED6A68">
        <w:rPr>
          <w:rFonts w:ascii="Times New Roman" w:hAnsi="Times New Roman" w:cs="Times New Roman"/>
          <w:sz w:val="24"/>
          <w:szCs w:val="24"/>
        </w:rPr>
        <w:t xml:space="preserve"> z póź. zm.</w:t>
      </w:r>
      <w:r w:rsidR="00AF2FBD" w:rsidRPr="00ED6A68">
        <w:rPr>
          <w:rFonts w:ascii="Times New Roman" w:hAnsi="Times New Roman" w:cs="Times New Roman"/>
          <w:sz w:val="24"/>
          <w:szCs w:val="24"/>
        </w:rPr>
        <w:t xml:space="preserve">), niestanowiący programu rozwoju w rozumieniu przepisów o zasadach </w:t>
      </w:r>
      <w:r w:rsidR="00AF2FBD" w:rsidRPr="00ED6A68">
        <w:rPr>
          <w:rFonts w:ascii="Times New Roman" w:hAnsi="Times New Roman" w:cs="Times New Roman"/>
          <w:sz w:val="24"/>
          <w:szCs w:val="24"/>
        </w:rPr>
        <w:lastRenderedPageBreak/>
        <w:t>prowadzenia polityki rozwoju, obejmujący Inwestycję, Inwestycje Towarzyszące oraz inne zadania, w tym finansowane z budżetu państwa, określający terminy ich r</w:t>
      </w:r>
      <w:r w:rsidR="00042ED3" w:rsidRPr="00ED6A68">
        <w:rPr>
          <w:rFonts w:ascii="Times New Roman" w:hAnsi="Times New Roman" w:cs="Times New Roman"/>
          <w:sz w:val="24"/>
          <w:szCs w:val="24"/>
        </w:rPr>
        <w:t>ealizacji oraz łączne nakłady z </w:t>
      </w:r>
      <w:r w:rsidR="00AF2FBD" w:rsidRPr="00ED6A68">
        <w:rPr>
          <w:rFonts w:ascii="Times New Roman" w:hAnsi="Times New Roman" w:cs="Times New Roman"/>
          <w:sz w:val="24"/>
          <w:szCs w:val="24"/>
        </w:rPr>
        <w:t xml:space="preserve">budżetu państwa na ich realizację. </w:t>
      </w:r>
    </w:p>
    <w:p w14:paraId="1C013996" w14:textId="23713B3F" w:rsidR="00AF2FBD" w:rsidRPr="00ED6A68" w:rsidRDefault="00AF2FBD"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Przedmiotowy projekt ustawy określa natomiast w art. 2 cel główny Programu, którym jest</w:t>
      </w:r>
      <w:r w:rsidR="005846E7" w:rsidRPr="00ED6A68">
        <w:rPr>
          <w:rFonts w:ascii="Times New Roman" w:eastAsia="Times New Roman" w:hAnsi="Times New Roman" w:cs="Times New Roman"/>
          <w:sz w:val="24"/>
          <w:szCs w:val="24"/>
        </w:rPr>
        <w:t xml:space="preserve"> stworzenie uniwersalnego systemu transportu pasa</w:t>
      </w:r>
      <w:r w:rsidR="00B37162" w:rsidRPr="00ED6A68">
        <w:rPr>
          <w:rFonts w:ascii="Times New Roman" w:eastAsia="Times New Roman" w:hAnsi="Times New Roman" w:cs="Times New Roman"/>
          <w:sz w:val="24"/>
          <w:szCs w:val="24"/>
        </w:rPr>
        <w:t>żerskiego poprzez wybudowanie i </w:t>
      </w:r>
      <w:r w:rsidR="005846E7" w:rsidRPr="00ED6A68">
        <w:rPr>
          <w:rFonts w:ascii="Times New Roman" w:eastAsia="Times New Roman" w:hAnsi="Times New Roman" w:cs="Times New Roman"/>
          <w:sz w:val="24"/>
          <w:szCs w:val="24"/>
        </w:rPr>
        <w:t xml:space="preserve">eksploatację rentownego innowacyjnego węzła transportowego, który </w:t>
      </w:r>
      <w:r w:rsidR="00B37162" w:rsidRPr="00ED6A68">
        <w:rPr>
          <w:rFonts w:ascii="Times New Roman" w:eastAsia="Times New Roman" w:hAnsi="Times New Roman" w:cs="Times New Roman"/>
          <w:sz w:val="24"/>
          <w:szCs w:val="24"/>
        </w:rPr>
        <w:t>uzyska miejsce w </w:t>
      </w:r>
      <w:r w:rsidR="005846E7" w:rsidRPr="00ED6A68">
        <w:rPr>
          <w:rFonts w:ascii="Times New Roman" w:eastAsia="Times New Roman" w:hAnsi="Times New Roman" w:cs="Times New Roman"/>
          <w:sz w:val="24"/>
          <w:szCs w:val="24"/>
        </w:rPr>
        <w:t>pierwszej dziesiątce najlepszych portów lotniczych na świecie, a ponadto doprowadzi do przebudowy</w:t>
      </w:r>
      <w:r w:rsidR="005846E7" w:rsidRPr="00ED6A68" w:rsidDel="002F7706">
        <w:rPr>
          <w:rFonts w:ascii="Times New Roman" w:eastAsia="Times New Roman" w:hAnsi="Times New Roman" w:cs="Times New Roman"/>
          <w:sz w:val="24"/>
          <w:szCs w:val="24"/>
        </w:rPr>
        <w:t xml:space="preserve"> </w:t>
      </w:r>
      <w:r w:rsidR="005846E7" w:rsidRPr="00ED6A68">
        <w:rPr>
          <w:rFonts w:ascii="Times New Roman" w:eastAsia="Times New Roman" w:hAnsi="Times New Roman" w:cs="Times New Roman"/>
          <w:sz w:val="24"/>
          <w:szCs w:val="24"/>
        </w:rPr>
        <w:t>krajowego systemu transportu kolejowego jako atrakcyjnej alternatywy dla transportu drogowego</w:t>
      </w:r>
      <w:r w:rsidR="00550EB2" w:rsidRPr="00ED6A68">
        <w:rPr>
          <w:rFonts w:ascii="Times New Roman" w:eastAsia="Times New Roman" w:hAnsi="Times New Roman" w:cs="Times New Roman"/>
          <w:sz w:val="24"/>
          <w:szCs w:val="24"/>
        </w:rPr>
        <w:t>, który obejmie</w:t>
      </w:r>
      <w:r w:rsidR="005846E7" w:rsidRPr="00ED6A68">
        <w:rPr>
          <w:rFonts w:ascii="Times New Roman" w:eastAsia="Times New Roman" w:hAnsi="Times New Roman" w:cs="Times New Roman"/>
          <w:sz w:val="24"/>
          <w:szCs w:val="24"/>
        </w:rPr>
        <w:t xml:space="preserve"> cały obszar Polski, za</w:t>
      </w:r>
      <w:r w:rsidR="00B37162" w:rsidRPr="00ED6A68">
        <w:rPr>
          <w:rFonts w:ascii="Times New Roman" w:eastAsia="Times New Roman" w:hAnsi="Times New Roman" w:cs="Times New Roman"/>
          <w:sz w:val="24"/>
          <w:szCs w:val="24"/>
        </w:rPr>
        <w:t>pewniając jednocześnie rozwój i </w:t>
      </w:r>
      <w:r w:rsidR="005846E7" w:rsidRPr="00ED6A68">
        <w:rPr>
          <w:rFonts w:ascii="Times New Roman" w:eastAsia="Times New Roman" w:hAnsi="Times New Roman" w:cs="Times New Roman"/>
          <w:sz w:val="24"/>
          <w:szCs w:val="24"/>
        </w:rPr>
        <w:t>trwałą integrację</w:t>
      </w:r>
      <w:r w:rsidR="00550EB2" w:rsidRPr="00ED6A68">
        <w:rPr>
          <w:rFonts w:ascii="Times New Roman" w:eastAsia="Times New Roman" w:hAnsi="Times New Roman" w:cs="Times New Roman"/>
          <w:sz w:val="24"/>
          <w:szCs w:val="24"/>
        </w:rPr>
        <w:t>.</w:t>
      </w:r>
    </w:p>
    <w:p w14:paraId="760AE3CA" w14:textId="77777777" w:rsidR="00A14961" w:rsidRPr="00ED6A68" w:rsidRDefault="00F91EE3"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Centralny Port Komunikacyjny, to strategiczna inwestycja, która nie tylko podniesie komfort podróżowania, ale stanie się kluczowym impulsem do rozwoju gospodarczego Polski. Budowa Centralnego Portu Komunikacyjnego to kluczowy krok ku przyszłości polskiej infrastruktury. Inwestycja ta nie tylko zwiększy krajowe możliwości handlowe i logistyczne, ale również przyciągnie nowe inwestycje, stanowiąc istotny impuls dla rozwoju gospodarczego. CPK stanie się ważnym węzłem komunikacyjnym, umożliwiającym Polsce pozycjonowanie się jako centralny punkt transportu w Euro</w:t>
      </w:r>
      <w:r w:rsidR="00042ED3" w:rsidRPr="00ED6A68">
        <w:rPr>
          <w:rFonts w:ascii="Times New Roman" w:hAnsi="Times New Roman" w:cs="Times New Roman"/>
          <w:sz w:val="24"/>
          <w:szCs w:val="24"/>
        </w:rPr>
        <w:t>pie co jest niezwykle istotne w </w:t>
      </w:r>
      <w:r w:rsidRPr="00ED6A68">
        <w:rPr>
          <w:rFonts w:ascii="Times New Roman" w:hAnsi="Times New Roman" w:cs="Times New Roman"/>
          <w:sz w:val="24"/>
          <w:szCs w:val="24"/>
        </w:rPr>
        <w:t xml:space="preserve">kontekście rosnących potrzeb logistycznych regionu. </w:t>
      </w:r>
    </w:p>
    <w:p w14:paraId="1AD1B458" w14:textId="062FAAAF" w:rsidR="00B77F88" w:rsidRPr="00ED6A68" w:rsidRDefault="00F91EE3"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W ramach Programu Kolejowego CPK powstanie ok. 2000 km nowych linii kolejowych, w tym Kolei Dużych Prędkości (KDP). Stanowi on pierwszą od lat w Europie inwestycję lotniskową typu </w:t>
      </w:r>
      <w:r w:rsidRPr="00ED6A68">
        <w:rPr>
          <w:rFonts w:ascii="Times New Roman" w:hAnsi="Times New Roman" w:cs="Times New Roman"/>
          <w:i/>
          <w:iCs/>
          <w:sz w:val="24"/>
          <w:szCs w:val="24"/>
        </w:rPr>
        <w:t>greenfield</w:t>
      </w:r>
      <w:r w:rsidRPr="00ED6A68">
        <w:rPr>
          <w:rFonts w:ascii="Times New Roman" w:hAnsi="Times New Roman" w:cs="Times New Roman"/>
          <w:sz w:val="24"/>
          <w:szCs w:val="24"/>
        </w:rPr>
        <w:t xml:space="preserve"> oraz największy projekt przebudowy polskiej kolei.</w:t>
      </w:r>
      <w:r w:rsidRPr="00ED6A68">
        <w:rPr>
          <w:rFonts w:ascii="Times New Roman" w:hAnsi="Times New Roman" w:cs="Times New Roman"/>
          <w:b/>
          <w:bCs/>
          <w:sz w:val="24"/>
          <w:szCs w:val="24"/>
        </w:rPr>
        <w:t xml:space="preserve"> </w:t>
      </w:r>
      <w:r w:rsidRPr="00ED6A68">
        <w:rPr>
          <w:rFonts w:ascii="Times New Roman" w:hAnsi="Times New Roman" w:cs="Times New Roman"/>
          <w:sz w:val="24"/>
          <w:szCs w:val="24"/>
        </w:rPr>
        <w:t xml:space="preserve">Program Centralnego Portu </w:t>
      </w:r>
      <w:r w:rsidR="00A14961" w:rsidRPr="00ED6A68">
        <w:rPr>
          <w:rFonts w:ascii="Times New Roman" w:hAnsi="Times New Roman" w:cs="Times New Roman"/>
          <w:sz w:val="24"/>
          <w:szCs w:val="24"/>
        </w:rPr>
        <w:t>Komunikacyjnego</w:t>
      </w:r>
      <w:r w:rsidRPr="00ED6A68">
        <w:rPr>
          <w:rFonts w:ascii="Times New Roman" w:hAnsi="Times New Roman" w:cs="Times New Roman"/>
          <w:sz w:val="24"/>
          <w:szCs w:val="24"/>
        </w:rPr>
        <w:t xml:space="preserve"> został przyjęty przez Radę Ministrów kolejno </w:t>
      </w:r>
      <w:r w:rsidR="00B37162" w:rsidRPr="00ED6A68">
        <w:rPr>
          <w:rFonts w:ascii="Times New Roman" w:hAnsi="Times New Roman" w:cs="Times New Roman"/>
          <w:sz w:val="24"/>
          <w:szCs w:val="24"/>
        </w:rPr>
        <w:t>w </w:t>
      </w:r>
      <w:r w:rsidRPr="00ED6A68">
        <w:rPr>
          <w:rFonts w:ascii="Times New Roman" w:hAnsi="Times New Roman" w:cs="Times New Roman"/>
          <w:sz w:val="24"/>
          <w:szCs w:val="24"/>
        </w:rPr>
        <w:t xml:space="preserve">uchwałach z dnia 28 października 2020 r. (M.P. poz. 1050) </w:t>
      </w:r>
      <w:r w:rsidR="00542D7F" w:rsidRPr="00ED6A68">
        <w:rPr>
          <w:rFonts w:ascii="Times New Roman" w:hAnsi="Times New Roman" w:cs="Times New Roman"/>
          <w:sz w:val="24"/>
          <w:szCs w:val="24"/>
        </w:rPr>
        <w:t xml:space="preserve">oraz </w:t>
      </w:r>
      <w:r w:rsidRPr="00ED6A68">
        <w:rPr>
          <w:rFonts w:ascii="Times New Roman" w:hAnsi="Times New Roman" w:cs="Times New Roman"/>
          <w:sz w:val="24"/>
          <w:szCs w:val="24"/>
        </w:rPr>
        <w:t>z dnia 24 października 2023 r. (M.P. poz. 1258). Ostatnia z wymienionych uchwał została zmi</w:t>
      </w:r>
      <w:r w:rsidR="00042ED3" w:rsidRPr="00ED6A68">
        <w:rPr>
          <w:rFonts w:ascii="Times New Roman" w:hAnsi="Times New Roman" w:cs="Times New Roman"/>
          <w:sz w:val="24"/>
          <w:szCs w:val="24"/>
        </w:rPr>
        <w:t>eniona uchwałą Rady Ministrów z </w:t>
      </w:r>
      <w:r w:rsidR="00ED6A68" w:rsidRPr="00ED6A68">
        <w:rPr>
          <w:rFonts w:ascii="Times New Roman" w:hAnsi="Times New Roman" w:cs="Times New Roman"/>
          <w:sz w:val="24"/>
          <w:szCs w:val="24"/>
        </w:rPr>
        <w:t>dnia 31 grudnia 2024 r. (M.P. z</w:t>
      </w:r>
      <w:r w:rsidRPr="00ED6A68">
        <w:rPr>
          <w:rFonts w:ascii="Times New Roman" w:hAnsi="Times New Roman" w:cs="Times New Roman"/>
          <w:sz w:val="24"/>
          <w:szCs w:val="24"/>
        </w:rPr>
        <w:t xml:space="preserve"> 2025</w:t>
      </w:r>
      <w:r w:rsidR="001D6BCB">
        <w:rPr>
          <w:rFonts w:ascii="Times New Roman" w:hAnsi="Times New Roman" w:cs="Times New Roman"/>
          <w:sz w:val="24"/>
          <w:szCs w:val="24"/>
        </w:rPr>
        <w:t xml:space="preserve"> r.</w:t>
      </w:r>
      <w:r w:rsidRPr="00ED6A68">
        <w:rPr>
          <w:rFonts w:ascii="Times New Roman" w:hAnsi="Times New Roman" w:cs="Times New Roman"/>
          <w:sz w:val="24"/>
          <w:szCs w:val="24"/>
        </w:rPr>
        <w:t xml:space="preserve"> poz. 29). Inwestycja ta to zatem nie tylko port lotniczy, ale także rozbudowana sieć połączeń, która wpłynie na poprawę efektywności transportu zarówno w kraju, jak i na arenie międzynarodowej.</w:t>
      </w:r>
      <w:r w:rsidR="004827D2" w:rsidRPr="00ED6A68">
        <w:rPr>
          <w:rFonts w:ascii="Times New Roman" w:hAnsi="Times New Roman" w:cs="Times New Roman"/>
          <w:sz w:val="24"/>
          <w:szCs w:val="24"/>
        </w:rPr>
        <w:t xml:space="preserve"> </w:t>
      </w:r>
      <w:r w:rsidRPr="00ED6A68">
        <w:rPr>
          <w:rFonts w:ascii="Times New Roman" w:hAnsi="Times New Roman" w:cs="Times New Roman"/>
          <w:sz w:val="24"/>
          <w:szCs w:val="24"/>
        </w:rPr>
        <w:t>Dodatkowo, integracja z systemem kolejowym, w tym Kolejami Dużych Prędkości, otworzy zupełnie nowe możliwości transferowe i logistyczne, umożliwiając Polsce silniejsze włączenie się w europejską i globalną sieć transportową.</w:t>
      </w:r>
    </w:p>
    <w:p w14:paraId="7A006676" w14:textId="37557BEA" w:rsidR="00B77F88" w:rsidRPr="00ED6A68" w:rsidRDefault="004F3E79"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Prace studialne nad inwestycjami opisanymi w Programie trwały od wielu lat, a ich wynikiem były m.in. Raport Międzyresortowego, Interdyscyplinarnego Zespołu ds. Wyboru Lokalizacji Lotniska Centralnego dla Polski (2003 r.), </w:t>
      </w:r>
      <w:r w:rsidRPr="00ED6A68">
        <w:rPr>
          <w:rFonts w:ascii="Times New Roman" w:hAnsi="Times New Roman" w:cs="Times New Roman"/>
          <w:i/>
          <w:iCs/>
          <w:sz w:val="24"/>
          <w:szCs w:val="24"/>
        </w:rPr>
        <w:t>Wstępne studium wykonalności budowy</w:t>
      </w:r>
      <w:r w:rsidR="00ED6A68" w:rsidRPr="00ED6A68">
        <w:rPr>
          <w:rFonts w:ascii="Times New Roman" w:hAnsi="Times New Roman" w:cs="Times New Roman"/>
          <w:i/>
          <w:iCs/>
          <w:sz w:val="24"/>
          <w:szCs w:val="24"/>
        </w:rPr>
        <w:t xml:space="preserve"> linii dużych prędkości Wrocław/</w:t>
      </w:r>
      <w:r w:rsidRPr="00ED6A68">
        <w:rPr>
          <w:rFonts w:ascii="Times New Roman" w:hAnsi="Times New Roman" w:cs="Times New Roman"/>
          <w:i/>
          <w:iCs/>
          <w:sz w:val="24"/>
          <w:szCs w:val="24"/>
        </w:rPr>
        <w:t>Poznań - Łódź - Warszawa</w:t>
      </w:r>
      <w:r w:rsidR="00ED6A68" w:rsidRPr="00ED6A68">
        <w:rPr>
          <w:rFonts w:ascii="Times New Roman" w:hAnsi="Times New Roman" w:cs="Times New Roman"/>
          <w:sz w:val="24"/>
          <w:szCs w:val="24"/>
        </w:rPr>
        <w:t xml:space="preserve"> (2005 r.),</w:t>
      </w:r>
      <w:r w:rsidRPr="00ED6A68">
        <w:rPr>
          <w:rFonts w:ascii="Times New Roman" w:hAnsi="Times New Roman" w:cs="Times New Roman"/>
          <w:sz w:val="24"/>
          <w:szCs w:val="24"/>
        </w:rPr>
        <w:t xml:space="preserve"> </w:t>
      </w:r>
      <w:r w:rsidRPr="00ED6A68">
        <w:rPr>
          <w:rFonts w:ascii="Times New Roman" w:hAnsi="Times New Roman" w:cs="Times New Roman"/>
          <w:i/>
          <w:iCs/>
          <w:sz w:val="24"/>
          <w:szCs w:val="24"/>
        </w:rPr>
        <w:t xml:space="preserve">Studium Wykonalności </w:t>
      </w:r>
      <w:r w:rsidRPr="00ED6A68">
        <w:rPr>
          <w:rFonts w:ascii="Times New Roman" w:hAnsi="Times New Roman" w:cs="Times New Roman"/>
          <w:i/>
          <w:iCs/>
          <w:sz w:val="24"/>
          <w:szCs w:val="24"/>
        </w:rPr>
        <w:lastRenderedPageBreak/>
        <w:t>Projektu „Centralny Port Lotniczy w Polsce</w:t>
      </w:r>
      <w:r w:rsidRPr="00ED6A68">
        <w:rPr>
          <w:rFonts w:ascii="Times New Roman" w:hAnsi="Times New Roman" w:cs="Times New Roman"/>
          <w:sz w:val="24"/>
          <w:szCs w:val="24"/>
        </w:rPr>
        <w:t xml:space="preserve"> (2006 r.), </w:t>
      </w:r>
      <w:r w:rsidRPr="00ED6A68">
        <w:rPr>
          <w:rFonts w:ascii="Times New Roman" w:hAnsi="Times New Roman" w:cs="Times New Roman"/>
          <w:i/>
          <w:iCs/>
          <w:sz w:val="24"/>
          <w:szCs w:val="24"/>
        </w:rPr>
        <w:t>Koncepcja Lotniska Centralnego dla Polski – Prace Analityczne</w:t>
      </w:r>
      <w:r w:rsidR="00ED6A68" w:rsidRPr="00ED6A68">
        <w:rPr>
          <w:rFonts w:ascii="Times New Roman" w:hAnsi="Times New Roman" w:cs="Times New Roman"/>
          <w:sz w:val="24"/>
          <w:szCs w:val="24"/>
        </w:rPr>
        <w:t xml:space="preserve"> (2010 r.),</w:t>
      </w:r>
      <w:r w:rsidRPr="00ED6A68">
        <w:rPr>
          <w:rFonts w:ascii="Times New Roman" w:hAnsi="Times New Roman" w:cs="Times New Roman"/>
          <w:sz w:val="24"/>
          <w:szCs w:val="24"/>
        </w:rPr>
        <w:t xml:space="preserve"> </w:t>
      </w:r>
      <w:r w:rsidRPr="00ED6A68">
        <w:rPr>
          <w:rFonts w:ascii="Times New Roman" w:hAnsi="Times New Roman" w:cs="Times New Roman"/>
          <w:i/>
          <w:iCs/>
          <w:sz w:val="24"/>
          <w:szCs w:val="24"/>
        </w:rPr>
        <w:t xml:space="preserve">Studium Wykonalności dla KDP </w:t>
      </w:r>
      <w:r w:rsidR="00ED6A68" w:rsidRPr="00ED6A68">
        <w:rPr>
          <w:rFonts w:ascii="Times New Roman" w:hAnsi="Times New Roman" w:cs="Times New Roman"/>
          <w:i/>
          <w:iCs/>
          <w:sz w:val="24"/>
          <w:szCs w:val="24"/>
        </w:rPr>
        <w:t xml:space="preserve">Warszawa - Łódź </w:t>
      </w:r>
      <w:r w:rsidRPr="00ED6A68">
        <w:rPr>
          <w:rFonts w:ascii="Times New Roman" w:hAnsi="Times New Roman" w:cs="Times New Roman"/>
          <w:i/>
          <w:iCs/>
          <w:sz w:val="24"/>
          <w:szCs w:val="24"/>
        </w:rPr>
        <w:t>- Poznań/Wrocław</w:t>
      </w:r>
      <w:r w:rsidR="00ED6A68">
        <w:rPr>
          <w:rFonts w:ascii="Times New Roman" w:hAnsi="Times New Roman" w:cs="Times New Roman"/>
          <w:sz w:val="24"/>
          <w:szCs w:val="24"/>
        </w:rPr>
        <w:t xml:space="preserve"> (2011 r.).</w:t>
      </w:r>
    </w:p>
    <w:p w14:paraId="7C67BC8B" w14:textId="448F2CDB" w:rsidR="00B77F88" w:rsidRPr="00ED6A68" w:rsidRDefault="00B77F88"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Założenia P</w:t>
      </w:r>
      <w:r w:rsidR="004F3E79" w:rsidRPr="00ED6A68">
        <w:rPr>
          <w:rFonts w:ascii="Times New Roman" w:hAnsi="Times New Roman" w:cs="Times New Roman"/>
          <w:sz w:val="24"/>
          <w:szCs w:val="24"/>
        </w:rPr>
        <w:t>rogramu stanowiły wykonanie rządowych dokumentów strategicznych dotyczących transportu oraz rozwoju gospodarczego podejmowanych w l</w:t>
      </w:r>
      <w:r w:rsidR="00ED6A68">
        <w:rPr>
          <w:rFonts w:ascii="Times New Roman" w:hAnsi="Times New Roman" w:cs="Times New Roman"/>
          <w:sz w:val="24"/>
          <w:szCs w:val="24"/>
        </w:rPr>
        <w:t>atach 2015-2024, takich jak:</w:t>
      </w:r>
      <w:r w:rsidR="004F3E79" w:rsidRPr="00ED6A68">
        <w:rPr>
          <w:rFonts w:ascii="Times New Roman" w:hAnsi="Times New Roman" w:cs="Times New Roman"/>
          <w:sz w:val="24"/>
          <w:szCs w:val="24"/>
        </w:rPr>
        <w:t xml:space="preserve"> </w:t>
      </w:r>
      <w:r w:rsidR="004F3E79" w:rsidRPr="00ED6A68">
        <w:rPr>
          <w:rFonts w:ascii="Times New Roman" w:hAnsi="Times New Roman" w:cs="Times New Roman"/>
          <w:i/>
          <w:iCs/>
          <w:sz w:val="24"/>
          <w:szCs w:val="24"/>
        </w:rPr>
        <w:t>Strategia Rozwoju Polski Centralnej do roku 2020 z perspektywą 2030</w:t>
      </w:r>
      <w:r w:rsidR="004F3E79" w:rsidRPr="00ED6A68">
        <w:rPr>
          <w:rFonts w:ascii="Times New Roman" w:hAnsi="Times New Roman" w:cs="Times New Roman"/>
          <w:sz w:val="24"/>
          <w:szCs w:val="24"/>
        </w:rPr>
        <w:t xml:space="preserve"> – uchwała Rady Ministrów z dnia 14 lipca 2015 r. (M.P. poz. 736), </w:t>
      </w:r>
      <w:r w:rsidR="004F3E79" w:rsidRPr="00ED6A68">
        <w:rPr>
          <w:rFonts w:ascii="Times New Roman" w:hAnsi="Times New Roman" w:cs="Times New Roman"/>
          <w:i/>
          <w:iCs/>
          <w:sz w:val="24"/>
          <w:szCs w:val="24"/>
        </w:rPr>
        <w:t>Strategia na rzecz Odpowiedzialnego Rozwoju do roku 2020 (z perspektywą do 2030 r.)</w:t>
      </w:r>
      <w:r w:rsidR="004F3E79" w:rsidRPr="00ED6A68">
        <w:rPr>
          <w:rFonts w:ascii="Times New Roman" w:hAnsi="Times New Roman" w:cs="Times New Roman"/>
          <w:sz w:val="24"/>
          <w:szCs w:val="24"/>
        </w:rPr>
        <w:t xml:space="preserve"> – uchwała RM z dnia 14 lutego 2017 r. (M.P. poz. 260), </w:t>
      </w:r>
      <w:r w:rsidR="004F3E79" w:rsidRPr="00ED6A68">
        <w:rPr>
          <w:rFonts w:ascii="Times New Roman" w:hAnsi="Times New Roman" w:cs="Times New Roman"/>
          <w:i/>
          <w:sz w:val="24"/>
          <w:szCs w:val="24"/>
        </w:rPr>
        <w:t>Strategia Zrównoważonego Rozwoju Transportu do 2030 roku</w:t>
      </w:r>
      <w:r w:rsidR="004F3E79" w:rsidRPr="00ED6A68">
        <w:rPr>
          <w:rFonts w:ascii="Times New Roman" w:hAnsi="Times New Roman" w:cs="Times New Roman"/>
          <w:sz w:val="24"/>
          <w:szCs w:val="24"/>
        </w:rPr>
        <w:t xml:space="preserve"> – uchwała Rady Ministrów z dnia 24 września 2019 r. (M.P. poz. 1054), </w:t>
      </w:r>
      <w:r w:rsidR="004F3E79" w:rsidRPr="00ED6A68">
        <w:rPr>
          <w:rFonts w:ascii="Times New Roman" w:hAnsi="Times New Roman" w:cs="Times New Roman"/>
          <w:i/>
          <w:iCs/>
          <w:sz w:val="24"/>
          <w:szCs w:val="24"/>
        </w:rPr>
        <w:t>Plan zamierzeń państwa oraz priorytetów inwestycyjnych związanych z budową Centralnego Portu Komunikacyjnego –</w:t>
      </w:r>
      <w:r w:rsidR="00B37162" w:rsidRPr="00ED6A68">
        <w:rPr>
          <w:rFonts w:ascii="Times New Roman" w:hAnsi="Times New Roman" w:cs="Times New Roman"/>
          <w:i/>
          <w:iCs/>
          <w:sz w:val="24"/>
          <w:szCs w:val="24"/>
        </w:rPr>
        <w:t>w </w:t>
      </w:r>
      <w:r w:rsidR="004F3E79" w:rsidRPr="00ED6A68">
        <w:rPr>
          <w:rFonts w:ascii="Times New Roman" w:hAnsi="Times New Roman" w:cs="Times New Roman"/>
          <w:i/>
          <w:iCs/>
          <w:sz w:val="24"/>
          <w:szCs w:val="24"/>
        </w:rPr>
        <w:t>perspektywie obejmującej Strategię Zrównoważonego Rozwoju Transportu do 2030 roku</w:t>
      </w:r>
      <w:r w:rsidR="004F3E79" w:rsidRPr="00ED6A68">
        <w:rPr>
          <w:rFonts w:ascii="Times New Roman" w:hAnsi="Times New Roman" w:cs="Times New Roman"/>
          <w:sz w:val="24"/>
          <w:szCs w:val="24"/>
        </w:rPr>
        <w:t xml:space="preserve"> </w:t>
      </w:r>
      <w:r w:rsidR="00B37162" w:rsidRPr="00ED6A68">
        <w:rPr>
          <w:rFonts w:ascii="Times New Roman" w:hAnsi="Times New Roman" w:cs="Times New Roman"/>
          <w:sz w:val="24"/>
          <w:szCs w:val="24"/>
        </w:rPr>
        <w:t>– </w:t>
      </w:r>
      <w:r w:rsidR="004F3E79" w:rsidRPr="00ED6A68">
        <w:rPr>
          <w:rFonts w:ascii="Times New Roman" w:hAnsi="Times New Roman" w:cs="Times New Roman"/>
          <w:sz w:val="24"/>
          <w:szCs w:val="24"/>
        </w:rPr>
        <w:t xml:space="preserve">uchwała Rady Ministrów z dnia </w:t>
      </w:r>
      <w:r w:rsidR="00ED6A68">
        <w:rPr>
          <w:rFonts w:ascii="Times New Roman" w:hAnsi="Times New Roman" w:cs="Times New Roman"/>
          <w:sz w:val="24"/>
          <w:szCs w:val="24"/>
        </w:rPr>
        <w:t>4 maja 2022 r. (niepubl.) oraz</w:t>
      </w:r>
      <w:r w:rsidR="004F3E79" w:rsidRPr="00ED6A68">
        <w:rPr>
          <w:rFonts w:ascii="Times New Roman" w:hAnsi="Times New Roman" w:cs="Times New Roman"/>
          <w:sz w:val="24"/>
          <w:szCs w:val="24"/>
        </w:rPr>
        <w:t xml:space="preserve"> </w:t>
      </w:r>
      <w:r w:rsidR="00ED6A68">
        <w:rPr>
          <w:rFonts w:ascii="Times New Roman" w:hAnsi="Times New Roman" w:cs="Times New Roman"/>
          <w:i/>
          <w:iCs/>
          <w:sz w:val="24"/>
          <w:szCs w:val="24"/>
        </w:rPr>
        <w:t>Polityka</w:t>
      </w:r>
      <w:r w:rsidR="004F3E79" w:rsidRPr="00ED6A68">
        <w:rPr>
          <w:rFonts w:ascii="Times New Roman" w:hAnsi="Times New Roman" w:cs="Times New Roman"/>
          <w:i/>
          <w:iCs/>
          <w:sz w:val="24"/>
          <w:szCs w:val="24"/>
        </w:rPr>
        <w:t xml:space="preserve"> rozwoju lotnictwa cywilnego w Polsce do 2030 r. (z perspektywą do 2040 r.)</w:t>
      </w:r>
      <w:r w:rsidR="004F3E79" w:rsidRPr="00ED6A68">
        <w:rPr>
          <w:rFonts w:ascii="Times New Roman" w:hAnsi="Times New Roman" w:cs="Times New Roman"/>
          <w:sz w:val="24"/>
          <w:szCs w:val="24"/>
        </w:rPr>
        <w:t xml:space="preserve"> – uchwała </w:t>
      </w:r>
      <w:r w:rsidR="00ED6A68">
        <w:rPr>
          <w:rFonts w:ascii="Times New Roman" w:hAnsi="Times New Roman" w:cs="Times New Roman"/>
          <w:sz w:val="24"/>
          <w:szCs w:val="24"/>
        </w:rPr>
        <w:t xml:space="preserve">Rady Ministrów </w:t>
      </w:r>
      <w:r w:rsidR="004F3E79" w:rsidRPr="00ED6A68">
        <w:rPr>
          <w:rFonts w:ascii="Times New Roman" w:hAnsi="Times New Roman" w:cs="Times New Roman"/>
          <w:sz w:val="24"/>
          <w:szCs w:val="24"/>
        </w:rPr>
        <w:t>z dnia 21 listopada 2023 r.</w:t>
      </w:r>
    </w:p>
    <w:p w14:paraId="32B90E1E" w14:textId="32D08611" w:rsidR="004F3E79" w:rsidRPr="00ED6A68" w:rsidRDefault="004F3E79"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Program, przynajmniej w wersji obowiązującej do dnia 31 grudnia 2024 r., zmierzał również do realizacji zobowiązań Rzeczypospolitej </w:t>
      </w:r>
      <w:r w:rsidR="001D6BCB">
        <w:rPr>
          <w:rFonts w:ascii="Times New Roman" w:hAnsi="Times New Roman" w:cs="Times New Roman"/>
          <w:sz w:val="24"/>
          <w:szCs w:val="24"/>
        </w:rPr>
        <w:t xml:space="preserve">Polskiej </w:t>
      </w:r>
      <w:r w:rsidRPr="00ED6A68">
        <w:rPr>
          <w:rFonts w:ascii="Times New Roman" w:hAnsi="Times New Roman" w:cs="Times New Roman"/>
          <w:sz w:val="24"/>
          <w:szCs w:val="24"/>
        </w:rPr>
        <w:t xml:space="preserve">wynikających z członkostwa w Unii Europejskiej, w tym rozporządzenia Parlamentu Europejskiego i Rady (UE) 2024/1679 z dnia 13 czerwca 2024 r. w sprawie unijnych wytycznych dotyczących rozwoju Transeuropejskiej Sieci Transportowej (Rozporządzenia TEN-T). </w:t>
      </w:r>
    </w:p>
    <w:p w14:paraId="005F64DA" w14:textId="0B85DC56" w:rsidR="00860970" w:rsidRPr="00ED6A68" w:rsidRDefault="00F92D77"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Z przytoczonej powyżej krótkiej charakterystyki czym jest Centralny Port Komunikacyjny oraz </w:t>
      </w:r>
      <w:r w:rsidR="00042ED3" w:rsidRPr="00ED6A68">
        <w:rPr>
          <w:rFonts w:ascii="Times New Roman" w:hAnsi="Times New Roman" w:cs="Times New Roman"/>
          <w:sz w:val="24"/>
          <w:szCs w:val="24"/>
        </w:rPr>
        <w:t xml:space="preserve">zarysowanej </w:t>
      </w:r>
      <w:r w:rsidRPr="00ED6A68">
        <w:rPr>
          <w:rFonts w:ascii="Times New Roman" w:hAnsi="Times New Roman" w:cs="Times New Roman"/>
          <w:sz w:val="24"/>
          <w:szCs w:val="24"/>
        </w:rPr>
        <w:t>skali tego przedsięwzięcia jasno wynika, że jest to obecnie kluczowa inwestycja realizowana w naszym kraju</w:t>
      </w:r>
      <w:r w:rsidR="00042ED3" w:rsidRPr="00ED6A68">
        <w:rPr>
          <w:rFonts w:ascii="Times New Roman" w:hAnsi="Times New Roman" w:cs="Times New Roman"/>
          <w:sz w:val="24"/>
          <w:szCs w:val="24"/>
        </w:rPr>
        <w:t xml:space="preserve"> o wręcz strategicznym znaczenia dla rozw</w:t>
      </w:r>
      <w:r w:rsidR="00565752" w:rsidRPr="00ED6A68">
        <w:rPr>
          <w:rFonts w:ascii="Times New Roman" w:hAnsi="Times New Roman" w:cs="Times New Roman"/>
          <w:sz w:val="24"/>
          <w:szCs w:val="24"/>
        </w:rPr>
        <w:t xml:space="preserve">oju </w:t>
      </w:r>
      <w:r w:rsidR="00D57B56" w:rsidRPr="00ED6A68">
        <w:rPr>
          <w:rFonts w:ascii="Times New Roman" w:hAnsi="Times New Roman" w:cs="Times New Roman"/>
          <w:sz w:val="24"/>
          <w:szCs w:val="24"/>
        </w:rPr>
        <w:t>p</w:t>
      </w:r>
      <w:r w:rsidR="00042ED3" w:rsidRPr="00ED6A68">
        <w:rPr>
          <w:rFonts w:ascii="Times New Roman" w:hAnsi="Times New Roman" w:cs="Times New Roman"/>
          <w:sz w:val="24"/>
          <w:szCs w:val="24"/>
        </w:rPr>
        <w:t xml:space="preserve">aństwa. </w:t>
      </w:r>
      <w:r w:rsidR="00D57B56" w:rsidRPr="00ED6A68">
        <w:rPr>
          <w:rFonts w:ascii="Times New Roman" w:hAnsi="Times New Roman" w:cs="Times New Roman"/>
          <w:sz w:val="24"/>
          <w:szCs w:val="24"/>
        </w:rPr>
        <w:t>Projekt CPK to jedna z największych i najważniejszych inicjatyw w historii</w:t>
      </w:r>
      <w:r w:rsidR="00C32BDF" w:rsidRPr="00ED6A68">
        <w:rPr>
          <w:rFonts w:ascii="Times New Roman" w:hAnsi="Times New Roman" w:cs="Times New Roman"/>
          <w:sz w:val="24"/>
          <w:szCs w:val="24"/>
        </w:rPr>
        <w:t xml:space="preserve"> III RP i </w:t>
      </w:r>
      <w:r w:rsidR="00D57B56" w:rsidRPr="00ED6A68">
        <w:rPr>
          <w:rFonts w:ascii="Times New Roman" w:hAnsi="Times New Roman" w:cs="Times New Roman"/>
          <w:sz w:val="24"/>
          <w:szCs w:val="24"/>
        </w:rPr>
        <w:t>dlatego inwestycja ta powinna być realizowana absolutnie poza podziałami politycznymi. Znaczenie Centralnego Portu Komunikacyjnego jest ogromne, w wielu wymiarach. Poprzez CPK podnosimy przede wszystkim poziom bezpieczeństwa państwa polskiego.</w:t>
      </w:r>
      <w:r w:rsidR="00106B62" w:rsidRPr="00ED6A68">
        <w:rPr>
          <w:rFonts w:ascii="Times New Roman" w:hAnsi="Times New Roman" w:cs="Times New Roman"/>
          <w:sz w:val="24"/>
          <w:szCs w:val="24"/>
        </w:rPr>
        <w:t xml:space="preserve"> Dlatego CPK nie może i nigdy nie powinien stać się zakładnikiem bieżącego sporu partyjnego, ani narzędziem do zbijania politycznego kapitału.</w:t>
      </w:r>
    </w:p>
    <w:p w14:paraId="66ACAB67" w14:textId="77777777" w:rsidR="00670492" w:rsidRPr="00ED6A68" w:rsidRDefault="005C292E"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Wszelkie prace związane z powstaniem CPK począwszy od prac projektowych poprzez wskazanie szczegółowych elementów i etapów składających się na określone przedsięwzięcia służące jego budowie określone są w Programie.</w:t>
      </w:r>
      <w:r w:rsidR="00042ED3" w:rsidRPr="00ED6A68">
        <w:rPr>
          <w:rFonts w:ascii="Times New Roman" w:hAnsi="Times New Roman" w:cs="Times New Roman"/>
          <w:sz w:val="24"/>
          <w:szCs w:val="24"/>
        </w:rPr>
        <w:t xml:space="preserve"> To Program konkretyzuje </w:t>
      </w:r>
      <w:r w:rsidR="00DE1D16" w:rsidRPr="00ED6A68">
        <w:rPr>
          <w:rFonts w:ascii="Times New Roman" w:hAnsi="Times New Roman" w:cs="Times New Roman"/>
          <w:sz w:val="24"/>
          <w:szCs w:val="24"/>
        </w:rPr>
        <w:t>rodzaje i</w:t>
      </w:r>
      <w:r w:rsidR="00042ED3" w:rsidRPr="00ED6A68">
        <w:rPr>
          <w:rFonts w:ascii="Times New Roman" w:hAnsi="Times New Roman" w:cs="Times New Roman"/>
          <w:sz w:val="24"/>
          <w:szCs w:val="24"/>
        </w:rPr>
        <w:t xml:space="preserve"> zakres inwestycji, inwestycji towarzyszących, budowę określonych linii kolejowych</w:t>
      </w:r>
      <w:r w:rsidR="00DE1D16" w:rsidRPr="00ED6A68">
        <w:rPr>
          <w:rFonts w:ascii="Times New Roman" w:hAnsi="Times New Roman" w:cs="Times New Roman"/>
          <w:sz w:val="24"/>
          <w:szCs w:val="24"/>
        </w:rPr>
        <w:t xml:space="preserve">, wskazuje </w:t>
      </w:r>
      <w:r w:rsidR="00DE1D16" w:rsidRPr="00ED6A68">
        <w:rPr>
          <w:rFonts w:ascii="Times New Roman" w:hAnsi="Times New Roman" w:cs="Times New Roman"/>
          <w:sz w:val="24"/>
          <w:szCs w:val="24"/>
        </w:rPr>
        <w:lastRenderedPageBreak/>
        <w:t xml:space="preserve">budowę niezbędnych urządzeń i obiektów do obsługi ruchu lotniczego oraz budowę lub rozbudowę </w:t>
      </w:r>
      <w:r w:rsidR="00565752" w:rsidRPr="00ED6A68">
        <w:rPr>
          <w:rFonts w:ascii="Times New Roman" w:hAnsi="Times New Roman" w:cs="Times New Roman"/>
          <w:sz w:val="24"/>
          <w:szCs w:val="24"/>
        </w:rPr>
        <w:t xml:space="preserve">koniecznych do prawidłowego funkcjonowania CPK </w:t>
      </w:r>
      <w:r w:rsidR="00DE1D16" w:rsidRPr="00ED6A68">
        <w:rPr>
          <w:rFonts w:ascii="Times New Roman" w:hAnsi="Times New Roman" w:cs="Times New Roman"/>
          <w:sz w:val="24"/>
          <w:szCs w:val="24"/>
        </w:rPr>
        <w:t xml:space="preserve">dróg publicznych. </w:t>
      </w:r>
    </w:p>
    <w:p w14:paraId="09386EB5" w14:textId="71F52C5F" w:rsidR="00C32BDF" w:rsidRPr="00ED6A68" w:rsidRDefault="00670492"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Aby osiągnięcie wskazanego wyżej celu głównego Programu było możliwe w dającym się określić realnym horyzoncie czasowym i z zachowaniem założonej jego skali, niezbędnym jest wskazanie podstawowych </w:t>
      </w:r>
      <w:r w:rsidR="00565752" w:rsidRPr="00ED6A68">
        <w:rPr>
          <w:rFonts w:ascii="Times New Roman" w:hAnsi="Times New Roman" w:cs="Times New Roman"/>
          <w:sz w:val="24"/>
          <w:szCs w:val="24"/>
        </w:rPr>
        <w:t xml:space="preserve">jego </w:t>
      </w:r>
      <w:r w:rsidRPr="00ED6A68">
        <w:rPr>
          <w:rFonts w:ascii="Times New Roman" w:hAnsi="Times New Roman" w:cs="Times New Roman"/>
          <w:sz w:val="24"/>
          <w:szCs w:val="24"/>
        </w:rPr>
        <w:t xml:space="preserve">elementów </w:t>
      </w:r>
      <w:r w:rsidR="00565752" w:rsidRPr="00ED6A68">
        <w:rPr>
          <w:rFonts w:ascii="Times New Roman" w:hAnsi="Times New Roman" w:cs="Times New Roman"/>
          <w:sz w:val="24"/>
          <w:szCs w:val="24"/>
        </w:rPr>
        <w:t xml:space="preserve">w akcie prawnym rangi ustawy. </w:t>
      </w:r>
      <w:r w:rsidR="00863DDD" w:rsidRPr="00ED6A68">
        <w:rPr>
          <w:rFonts w:ascii="Times New Roman" w:hAnsi="Times New Roman" w:cs="Times New Roman"/>
          <w:sz w:val="24"/>
          <w:szCs w:val="24"/>
        </w:rPr>
        <w:t xml:space="preserve">Konsekwencją tego zabiegu legislacyjnego, będzie konieczność zmiany ustawy, w przypadku odstąpienia od wskazanych podstawowych elementów Programu, ewentualnie po ich zrealizowaniu wskazanie nowych. </w:t>
      </w:r>
      <w:r w:rsidR="00EB724D" w:rsidRPr="00ED6A68">
        <w:rPr>
          <w:rFonts w:ascii="Times New Roman" w:hAnsi="Times New Roman" w:cs="Times New Roman"/>
          <w:sz w:val="24"/>
          <w:szCs w:val="24"/>
        </w:rPr>
        <w:t>Ponadto t</w:t>
      </w:r>
      <w:r w:rsidR="00565752" w:rsidRPr="00ED6A68">
        <w:rPr>
          <w:rFonts w:ascii="Times New Roman" w:hAnsi="Times New Roman" w:cs="Times New Roman"/>
          <w:sz w:val="24"/>
          <w:szCs w:val="24"/>
        </w:rPr>
        <w:t>ylko ustawa, jako akt powszechni</w:t>
      </w:r>
      <w:r w:rsidR="00ED6A68">
        <w:rPr>
          <w:rFonts w:ascii="Times New Roman" w:hAnsi="Times New Roman" w:cs="Times New Roman"/>
          <w:sz w:val="24"/>
          <w:szCs w:val="24"/>
        </w:rPr>
        <w:t>e obowiązujący uchwalany przez P</w:t>
      </w:r>
      <w:r w:rsidR="00565752" w:rsidRPr="00ED6A68">
        <w:rPr>
          <w:rFonts w:ascii="Times New Roman" w:hAnsi="Times New Roman" w:cs="Times New Roman"/>
          <w:sz w:val="24"/>
          <w:szCs w:val="24"/>
        </w:rPr>
        <w:t>arlament</w:t>
      </w:r>
      <w:r w:rsidR="00EB724D" w:rsidRPr="00ED6A68">
        <w:rPr>
          <w:rFonts w:ascii="Times New Roman" w:hAnsi="Times New Roman" w:cs="Times New Roman"/>
          <w:sz w:val="24"/>
          <w:szCs w:val="24"/>
        </w:rPr>
        <w:t>, jako najwyższy organ przedstawicielski</w:t>
      </w:r>
      <w:r w:rsidR="00761927" w:rsidRPr="00ED6A68">
        <w:rPr>
          <w:rFonts w:ascii="Times New Roman" w:hAnsi="Times New Roman" w:cs="Times New Roman"/>
          <w:sz w:val="24"/>
          <w:szCs w:val="24"/>
        </w:rPr>
        <w:t xml:space="preserve"> </w:t>
      </w:r>
      <w:r w:rsidR="00ED6A68">
        <w:rPr>
          <w:rFonts w:ascii="Times New Roman" w:hAnsi="Times New Roman" w:cs="Times New Roman"/>
          <w:sz w:val="24"/>
          <w:szCs w:val="24"/>
        </w:rPr>
        <w:t>N</w:t>
      </w:r>
      <w:r w:rsidR="00EB724D" w:rsidRPr="00ED6A68">
        <w:rPr>
          <w:rFonts w:ascii="Times New Roman" w:hAnsi="Times New Roman" w:cs="Times New Roman"/>
          <w:sz w:val="24"/>
          <w:szCs w:val="24"/>
        </w:rPr>
        <w:t>arodu, pozwoli na zachowanie kontroli społecznej nad realizacj</w:t>
      </w:r>
      <w:r w:rsidR="00D57B56" w:rsidRPr="00ED6A68">
        <w:rPr>
          <w:rFonts w:ascii="Times New Roman" w:hAnsi="Times New Roman" w:cs="Times New Roman"/>
          <w:sz w:val="24"/>
          <w:szCs w:val="24"/>
        </w:rPr>
        <w:t>ą strategicznego dla naszego p</w:t>
      </w:r>
      <w:r w:rsidR="00EB724D" w:rsidRPr="00ED6A68">
        <w:rPr>
          <w:rFonts w:ascii="Times New Roman" w:hAnsi="Times New Roman" w:cs="Times New Roman"/>
          <w:sz w:val="24"/>
          <w:szCs w:val="24"/>
        </w:rPr>
        <w:t xml:space="preserve">aństwa przedsięwzięcia, jakim jest budowa Centralnego Portu Komunikacyjnego. </w:t>
      </w:r>
      <w:r w:rsidR="000243C2" w:rsidRPr="00ED6A68">
        <w:rPr>
          <w:rFonts w:ascii="Times New Roman" w:hAnsi="Times New Roman" w:cs="Times New Roman"/>
          <w:sz w:val="24"/>
          <w:szCs w:val="24"/>
        </w:rPr>
        <w:t xml:space="preserve">Wprowadzenie tego typu kontroli podyktowane jest zdiagnozowaniem </w:t>
      </w:r>
      <w:r w:rsidR="00863DDD" w:rsidRPr="00ED6A68">
        <w:rPr>
          <w:rFonts w:ascii="Times New Roman" w:hAnsi="Times New Roman" w:cs="Times New Roman"/>
          <w:sz w:val="24"/>
          <w:szCs w:val="24"/>
        </w:rPr>
        <w:t xml:space="preserve">istotnych zagrożeń </w:t>
      </w:r>
      <w:r w:rsidR="00D37693" w:rsidRPr="00ED6A68">
        <w:rPr>
          <w:rFonts w:ascii="Times New Roman" w:hAnsi="Times New Roman" w:cs="Times New Roman"/>
          <w:sz w:val="24"/>
          <w:szCs w:val="24"/>
        </w:rPr>
        <w:t>w realizacji pierwotnych zał</w:t>
      </w:r>
      <w:r w:rsidR="001D6BCB">
        <w:rPr>
          <w:rFonts w:ascii="Times New Roman" w:hAnsi="Times New Roman" w:cs="Times New Roman"/>
          <w:sz w:val="24"/>
          <w:szCs w:val="24"/>
        </w:rPr>
        <w:t>ożeń Programu określonych między innymi</w:t>
      </w:r>
      <w:r w:rsidR="00D37693" w:rsidRPr="00ED6A68">
        <w:rPr>
          <w:rFonts w:ascii="Times New Roman" w:hAnsi="Times New Roman" w:cs="Times New Roman"/>
          <w:sz w:val="24"/>
          <w:szCs w:val="24"/>
        </w:rPr>
        <w:t xml:space="preserve"> w wyżej wskazanych aktach. </w:t>
      </w:r>
    </w:p>
    <w:p w14:paraId="54FBC0E9" w14:textId="04C441FF" w:rsidR="00D37693" w:rsidRPr="00ED6A68" w:rsidRDefault="00D37693"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Zmianie uległy bowiem istotne elementy Programu, a część z wprowadzonych zmian stanowi nie tylko wypaczenie jego pierwotnego sensu oraz jest niezgodna z obowiązującymi rządowymi dokumentami strategicznymi, ale ponadto narusza unijne zobowiązania Rzeczypospolitej </w:t>
      </w:r>
      <w:r w:rsidR="001D6BCB">
        <w:rPr>
          <w:rFonts w:ascii="Times New Roman" w:hAnsi="Times New Roman" w:cs="Times New Roman"/>
          <w:sz w:val="24"/>
          <w:szCs w:val="24"/>
        </w:rPr>
        <w:t xml:space="preserve">Polskiej </w:t>
      </w:r>
      <w:r w:rsidRPr="00ED6A68">
        <w:rPr>
          <w:rFonts w:ascii="Times New Roman" w:hAnsi="Times New Roman" w:cs="Times New Roman"/>
          <w:sz w:val="24"/>
          <w:szCs w:val="24"/>
        </w:rPr>
        <w:t xml:space="preserve">określone w Rozporządzeniu TEN-T opisanym powyżej. </w:t>
      </w:r>
      <w:r w:rsidR="001D6BCB">
        <w:rPr>
          <w:rFonts w:ascii="Times New Roman" w:hAnsi="Times New Roman" w:cs="Times New Roman"/>
          <w:sz w:val="24"/>
          <w:szCs w:val="24"/>
        </w:rPr>
        <w:br/>
      </w:r>
      <w:r w:rsidRPr="00ED6A68">
        <w:rPr>
          <w:rFonts w:ascii="Times New Roman" w:hAnsi="Times New Roman" w:cs="Times New Roman"/>
          <w:sz w:val="24"/>
          <w:szCs w:val="24"/>
        </w:rPr>
        <w:t>W szczególności</w:t>
      </w:r>
      <w:r w:rsidR="000319E3" w:rsidRPr="00ED6A68">
        <w:rPr>
          <w:rFonts w:ascii="Times New Roman" w:hAnsi="Times New Roman" w:cs="Times New Roman"/>
          <w:sz w:val="24"/>
          <w:szCs w:val="24"/>
        </w:rPr>
        <w:t xml:space="preserve"> w obowiązującym programie, określonym jako </w:t>
      </w:r>
      <w:r w:rsidR="000319E3" w:rsidRPr="00ED6A68">
        <w:rPr>
          <w:rFonts w:ascii="Times New Roman" w:eastAsia="TimesNewRoman" w:hAnsi="Times New Roman" w:cs="Times New Roman"/>
          <w:sz w:val="24"/>
          <w:szCs w:val="24"/>
        </w:rPr>
        <w:t>„Program inwestycyjny Centralny Port Komunikacyjny. Etap II. 2024–2032”:</w:t>
      </w:r>
    </w:p>
    <w:p w14:paraId="59249C76" w14:textId="77777777" w:rsidR="00D37693" w:rsidRPr="00ED6A68" w:rsidRDefault="00D37693" w:rsidP="00625073">
      <w:pPr>
        <w:pStyle w:val="Akapitzlist"/>
        <w:numPr>
          <w:ilvl w:val="0"/>
          <w:numId w:val="5"/>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ograniczono przeszło dwukrotnie liczbę km tras kolejowych, dla których mają zostać przeprowadzone postępowania środowiskowo (spadek o 778 km) oraz zadekretowano brak kontynuacji prac projektowych dla większości linii, pomimo tego, że 77% linii kolejowych ujętych w programie CPK było objętych siecią TEN-T (90% nowo planowanych linii, które zostały dodane do sieci TEN-T stanowią linie należące do Programu CPK</w:t>
      </w:r>
      <w:r w:rsidR="000319E3" w:rsidRPr="00ED6A68">
        <w:rPr>
          <w:rFonts w:ascii="Times New Roman" w:hAnsi="Times New Roman" w:cs="Times New Roman"/>
          <w:color w:val="auto"/>
          <w:sz w:val="24"/>
          <w:szCs w:val="24"/>
        </w:rPr>
        <w:t>)</w:t>
      </w:r>
      <w:r w:rsidRPr="00ED6A68">
        <w:rPr>
          <w:rFonts w:ascii="Times New Roman" w:hAnsi="Times New Roman" w:cs="Times New Roman"/>
          <w:color w:val="auto"/>
          <w:sz w:val="24"/>
          <w:szCs w:val="24"/>
        </w:rPr>
        <w:t xml:space="preserve">; </w:t>
      </w:r>
    </w:p>
    <w:p w14:paraId="6C933155" w14:textId="5F150A40" w:rsidR="00D37693" w:rsidRPr="00ED6A68" w:rsidRDefault="00D37693" w:rsidP="00625073">
      <w:pPr>
        <w:pStyle w:val="Akapitzlist"/>
        <w:numPr>
          <w:ilvl w:val="0"/>
          <w:numId w:val="5"/>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usunięto założenie 250 km/h prędkości eksploatacyjnej na nowo budowanych liniach kolejowych oraz podjęto rozstrzygnięcia zmierzające do podniesienia prędkości eksploatacyjnej na nowych liniach kolejowych do 300+ km/h,</w:t>
      </w:r>
      <w:r w:rsidR="00B37162" w:rsidRPr="00ED6A68">
        <w:rPr>
          <w:rFonts w:ascii="Times New Roman" w:hAnsi="Times New Roman" w:cs="Times New Roman"/>
          <w:color w:val="auto"/>
          <w:sz w:val="24"/>
          <w:szCs w:val="24"/>
        </w:rPr>
        <w:t xml:space="preserve"> co jest równoważne z </w:t>
      </w:r>
      <w:r w:rsidRPr="00ED6A68">
        <w:rPr>
          <w:rFonts w:ascii="Times New Roman" w:hAnsi="Times New Roman" w:cs="Times New Roman"/>
          <w:color w:val="auto"/>
          <w:sz w:val="24"/>
          <w:szCs w:val="24"/>
        </w:rPr>
        <w:t>wykluczeniem polskich producentów taboru z udziału w przetargach na zakup pociągów KDP do obsługi CPK oraz czyni koniecznym ograniczanie obsługi średnich miast w ramach systemu KDP</w:t>
      </w:r>
      <w:r w:rsidR="00F2438B" w:rsidRPr="00ED6A68">
        <w:rPr>
          <w:rFonts w:ascii="Times New Roman" w:eastAsiaTheme="minorHAnsi" w:hAnsi="Times New Roman" w:cs="Times New Roman"/>
          <w:color w:val="auto"/>
          <w:sz w:val="24"/>
          <w:szCs w:val="24"/>
          <w:lang w:val="pl-PL" w:eastAsia="en-US"/>
        </w:rPr>
        <w:t xml:space="preserve"> </w:t>
      </w:r>
      <w:r w:rsidR="00F2438B" w:rsidRPr="00ED6A68">
        <w:rPr>
          <w:rFonts w:ascii="Times New Roman" w:hAnsi="Times New Roman" w:cs="Times New Roman"/>
          <w:color w:val="auto"/>
          <w:sz w:val="24"/>
          <w:szCs w:val="24"/>
          <w:lang w:val="pl-PL"/>
        </w:rPr>
        <w:t xml:space="preserve">(prowadzenie wariantów linii kolejowych z pominięciem stacji kolejowej zlokalizowanej w tych miejscowościach), czego przykładem są warianty rekomendowane do obsługi </w:t>
      </w:r>
      <w:r w:rsidR="00625073">
        <w:rPr>
          <w:rFonts w:ascii="Times New Roman" w:hAnsi="Times New Roman" w:cs="Times New Roman"/>
          <w:color w:val="auto"/>
          <w:sz w:val="24"/>
          <w:szCs w:val="24"/>
          <w:lang w:val="pl-PL"/>
        </w:rPr>
        <w:t>Kalisza, Płocka oraz Grudziądza</w:t>
      </w:r>
      <w:r w:rsidRPr="00ED6A68">
        <w:rPr>
          <w:rFonts w:ascii="Times New Roman" w:hAnsi="Times New Roman" w:cs="Times New Roman"/>
          <w:color w:val="auto"/>
          <w:sz w:val="24"/>
          <w:szCs w:val="24"/>
        </w:rPr>
        <w:t xml:space="preserve">; </w:t>
      </w:r>
    </w:p>
    <w:p w14:paraId="65D87B3E" w14:textId="77777777" w:rsidR="00D37693" w:rsidRPr="00ED6A68" w:rsidRDefault="00D37693" w:rsidP="00625073">
      <w:pPr>
        <w:pStyle w:val="Akapitzlist"/>
        <w:numPr>
          <w:ilvl w:val="0"/>
          <w:numId w:val="5"/>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usunięto inwestycje publiczne w zakresie rozbudowy sieci terminali intermodalnych oraz znacznie (o 88%)</w:t>
      </w:r>
      <w:r w:rsidRPr="00ED6A68">
        <w:rPr>
          <w:rFonts w:ascii="Times New Roman" w:hAnsi="Times New Roman" w:cs="Times New Roman"/>
          <w:b/>
          <w:bCs/>
          <w:color w:val="auto"/>
          <w:sz w:val="24"/>
          <w:szCs w:val="24"/>
        </w:rPr>
        <w:t xml:space="preserve"> </w:t>
      </w:r>
      <w:r w:rsidRPr="00ED6A68">
        <w:rPr>
          <w:rFonts w:ascii="Times New Roman" w:hAnsi="Times New Roman" w:cs="Times New Roman"/>
          <w:color w:val="auto"/>
          <w:sz w:val="24"/>
          <w:szCs w:val="24"/>
        </w:rPr>
        <w:t xml:space="preserve">ograniczono finansowanie inwestycji rozwojowych lotniska (Airport </w:t>
      </w:r>
      <w:r w:rsidRPr="00ED6A68">
        <w:rPr>
          <w:rFonts w:ascii="Times New Roman" w:hAnsi="Times New Roman" w:cs="Times New Roman"/>
          <w:color w:val="auto"/>
          <w:sz w:val="24"/>
          <w:szCs w:val="24"/>
        </w:rPr>
        <w:lastRenderedPageBreak/>
        <w:t>City, Cargo City), co zagraża nieodwracalną utratą szans rozwojowych oraz kontroli nad ważnymi ogniwami łańcucha wartości w biznesie transportowym;</w:t>
      </w:r>
    </w:p>
    <w:p w14:paraId="4F0271E2" w14:textId="0E3CE023" w:rsidR="000B526A" w:rsidRPr="00ED6A68" w:rsidRDefault="000B526A" w:rsidP="004E7CCE">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 xml:space="preserve">Powyższą negatywną ocenę zmian wprowadzonych do Programu potwierdzają opinie niezależnych organizacji zajmujących się monitoringiem Programu, w szczególności Stowarzyszenia „Tak dla CPK”, z którego inicjatywy powstał obywatelski projektu ustawy </w:t>
      </w:r>
      <w:r w:rsidR="00D57B56" w:rsidRPr="00ED6A68">
        <w:rPr>
          <w:rFonts w:ascii="Times New Roman" w:hAnsi="Times New Roman" w:cs="Times New Roman"/>
          <w:sz w:val="24"/>
          <w:szCs w:val="24"/>
        </w:rPr>
        <w:t>o </w:t>
      </w:r>
      <w:r w:rsidRPr="00ED6A68">
        <w:rPr>
          <w:rFonts w:ascii="Times New Roman" w:hAnsi="Times New Roman" w:cs="Times New Roman"/>
          <w:sz w:val="24"/>
          <w:szCs w:val="24"/>
        </w:rPr>
        <w:t>zobowiązaniu władz publicznych do realizacji inwestycji Centralnego Portu Komunikacyjnego. Zgodnie z Raportem z realizacji Programu CPK przygotowanym przez wymienione stowarzyszenie w okresie od stycznia 2024 do czerwca 2025 r.</w:t>
      </w:r>
      <w:r w:rsidR="00C32BDF" w:rsidRPr="00ED6A68">
        <w:rPr>
          <w:rFonts w:ascii="Times New Roman" w:hAnsi="Times New Roman" w:cs="Times New Roman"/>
          <w:sz w:val="24"/>
          <w:szCs w:val="24"/>
        </w:rPr>
        <w:t>:</w:t>
      </w:r>
    </w:p>
    <w:p w14:paraId="2BD7B7C1" w14:textId="77777777" w:rsidR="000B526A" w:rsidRPr="00ED6A68" w:rsidRDefault="000B526A" w:rsidP="00625073">
      <w:pPr>
        <w:pStyle w:val="Akapitzlist"/>
        <w:numPr>
          <w:ilvl w:val="0"/>
          <w:numId w:val="9"/>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Pełnomocnik Rządu ds. CPK oraz Spółka CPK nie realizowali swoich zobowiązań wynikających z ustawy o CPK oraz wydawanych na jej podstawie dokumentów rządowych (Program Wielol</w:t>
      </w:r>
      <w:r w:rsidR="00C32BDF" w:rsidRPr="00ED6A68">
        <w:rPr>
          <w:rFonts w:ascii="Times New Roman" w:hAnsi="Times New Roman" w:cs="Times New Roman"/>
          <w:color w:val="auto"/>
          <w:sz w:val="24"/>
          <w:szCs w:val="24"/>
        </w:rPr>
        <w:t>etni CPK, Dokument Wdrażający);</w:t>
      </w:r>
    </w:p>
    <w:p w14:paraId="0DB139FD" w14:textId="77777777" w:rsidR="000B526A" w:rsidRPr="00ED6A68" w:rsidRDefault="000B526A" w:rsidP="00625073">
      <w:pPr>
        <w:pStyle w:val="Akapitzlist"/>
        <w:numPr>
          <w:ilvl w:val="0"/>
          <w:numId w:val="9"/>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Minister Infrastruktury, Pełnomocnik Rządu ds. CPK oraz Spółka CPK podejmowali decyzje niezgodne z rozstrzygnięciami zawartymi w oficjalnych dokumentach rządowych obowiązujących w d</w:t>
      </w:r>
      <w:r w:rsidR="00C32BDF" w:rsidRPr="00ED6A68">
        <w:rPr>
          <w:rFonts w:ascii="Times New Roman" w:hAnsi="Times New Roman" w:cs="Times New Roman"/>
          <w:color w:val="auto"/>
          <w:sz w:val="24"/>
          <w:szCs w:val="24"/>
        </w:rPr>
        <w:t>acie podejmowania tych decyzji;</w:t>
      </w:r>
    </w:p>
    <w:p w14:paraId="630A4E57" w14:textId="77777777" w:rsidR="000B526A" w:rsidRPr="00ED6A68" w:rsidRDefault="00C32BDF" w:rsidP="00625073">
      <w:pPr>
        <w:pStyle w:val="Akapitzlist"/>
        <w:numPr>
          <w:ilvl w:val="0"/>
          <w:numId w:val="9"/>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p</w:t>
      </w:r>
      <w:r w:rsidR="000B526A" w:rsidRPr="00ED6A68">
        <w:rPr>
          <w:rFonts w:ascii="Times New Roman" w:hAnsi="Times New Roman" w:cs="Times New Roman"/>
          <w:color w:val="auto"/>
          <w:sz w:val="24"/>
          <w:szCs w:val="24"/>
        </w:rPr>
        <w:t>rzeprowadzone w nowym Programie ograniczenie projektów kolejowych, dla których mają zostać wszczęte postępowania środowiskowe, jak również zapowiedź ponownej oceny przydatności poszczególnych linii (w tym linii wpisanych na listę europejskich korytarzy transportowych) naruszają zobowiązania RP wynikające z prawa europejskiego, prowadzą do ograniczenia obsługi średnich miast oraz upośl</w:t>
      </w:r>
      <w:r w:rsidRPr="00ED6A68">
        <w:rPr>
          <w:rFonts w:ascii="Times New Roman" w:hAnsi="Times New Roman" w:cs="Times New Roman"/>
          <w:color w:val="auto"/>
          <w:sz w:val="24"/>
          <w:szCs w:val="24"/>
        </w:rPr>
        <w:t>edzają zdolności obronne Polski;</w:t>
      </w:r>
    </w:p>
    <w:p w14:paraId="1D6C389F" w14:textId="77777777" w:rsidR="000B526A" w:rsidRPr="00ED6A68" w:rsidRDefault="00C32BDF" w:rsidP="00625073">
      <w:pPr>
        <w:pStyle w:val="Akapitzlist"/>
        <w:numPr>
          <w:ilvl w:val="0"/>
          <w:numId w:val="9"/>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n</w:t>
      </w:r>
      <w:r w:rsidR="000B526A" w:rsidRPr="00ED6A68">
        <w:rPr>
          <w:rFonts w:ascii="Times New Roman" w:hAnsi="Times New Roman" w:cs="Times New Roman"/>
          <w:color w:val="auto"/>
          <w:sz w:val="24"/>
          <w:szCs w:val="24"/>
        </w:rPr>
        <w:t>iektóre decyzje o daleko idących skutkach gospodarczych zawarte w nowym Programie zostały podjęte bez jakiegokolwiek uzasadnienia, czego przykładem jest wykreślenie projektu zmierzającego do budowy sieci public</w:t>
      </w:r>
      <w:r w:rsidRPr="00ED6A68">
        <w:rPr>
          <w:rFonts w:ascii="Times New Roman" w:hAnsi="Times New Roman" w:cs="Times New Roman"/>
          <w:color w:val="auto"/>
          <w:sz w:val="24"/>
          <w:szCs w:val="24"/>
        </w:rPr>
        <w:t>znych terminali intermodalnych;</w:t>
      </w:r>
    </w:p>
    <w:p w14:paraId="5BC4FD82" w14:textId="77777777" w:rsidR="00C32BDF" w:rsidRPr="00ED6A68" w:rsidRDefault="00C32BDF" w:rsidP="00625073">
      <w:pPr>
        <w:pStyle w:val="Akapitzlist"/>
        <w:numPr>
          <w:ilvl w:val="0"/>
          <w:numId w:val="9"/>
        </w:numPr>
        <w:spacing w:line="360" w:lineRule="auto"/>
        <w:ind w:left="357" w:hanging="357"/>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p</w:t>
      </w:r>
      <w:r w:rsidR="000B526A" w:rsidRPr="00ED6A68">
        <w:rPr>
          <w:rFonts w:ascii="Times New Roman" w:hAnsi="Times New Roman" w:cs="Times New Roman"/>
          <w:color w:val="auto"/>
          <w:sz w:val="24"/>
          <w:szCs w:val="24"/>
        </w:rPr>
        <w:t xml:space="preserve">odniesienie założonej prędkości eksploatacyjnej powoduje skrajnie negatywne skutki społeczne oraz gospodarcze, w szczególności ze względu na podwyższenie kosztów funkcjonowania systemu, wykluczenie lub ograniczenie obsługi średnich miast, wzrost negatywnych skutków środowiskowych (zużycie energii, oddziaływanie akustyczne). Powoduje to również ograniczenie możliwości skorzystania z nowej infrastruktury przez pociągi międzyregionalne, obniżenie przepustowości sieci, utratę możliwości wykorzystania linii KDP dla transportu intermodalnego oraz wykluczenie polskich producentów taboru z udziału w szansie rozwojowej, jaką jest wprowadzenie do Polski systemu Kolei Dużych Prędkości. Niewielkie korzyści czasowe uzyskiwane przez wybrane składy kolejowe nie uzasadniają – w ocenie Stowarzyszenia – wprowadzanych negatywnych zmian (nie popartych zresztą żadnymi dodatkowymi analizami). </w:t>
      </w:r>
    </w:p>
    <w:p w14:paraId="2F3E4496" w14:textId="77777777" w:rsidR="00A5432F" w:rsidRPr="00ED6A68" w:rsidRDefault="000B526A"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lastRenderedPageBreak/>
        <w:t xml:space="preserve">Stowarzyszenie wskazało również, że program CPK jest opóźniony, opóźnienie w jego realizacji narasta z każdym dniem, zaś informacje o skali narastającego opóźnienia są ukrywane przed opinią publiczną. </w:t>
      </w:r>
    </w:p>
    <w:p w14:paraId="02D9F89A" w14:textId="795707A8" w:rsidR="00A5432F" w:rsidRPr="00ED6A68" w:rsidRDefault="00A5432F"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Zauważyć należy, że Konstytucja wymaga od Rady Ministrów aktywnego podejścia do wszystkich istotnych zjawisk i problemów państwowych oraz społecznych, wypracowania koncepcji ich rozwiązań (także na płaszczyźnie normatywnej) i podejmowania adekwatnych</w:t>
      </w:r>
      <w:r w:rsidR="00542D7F" w:rsidRPr="00ED6A68">
        <w:rPr>
          <w:rFonts w:ascii="Times New Roman" w:hAnsi="Times New Roman" w:cs="Times New Roman"/>
          <w:sz w:val="24"/>
          <w:szCs w:val="24"/>
        </w:rPr>
        <w:t>,</w:t>
      </w:r>
      <w:r w:rsidRPr="00ED6A68">
        <w:rPr>
          <w:rFonts w:ascii="Times New Roman" w:hAnsi="Times New Roman" w:cs="Times New Roman"/>
          <w:sz w:val="24"/>
          <w:szCs w:val="24"/>
        </w:rPr>
        <w:t xml:space="preserve"> konkretnych rozstrzygnięć oraz stałego zaangażowania w ich urzeczywistnianie za pomocą prowadzonej polityki i przy użyciu wszelkich dostępnych instrumentów, w ramach przyznanych kompetencji prawnych oraz form i środków ich realizacji.</w:t>
      </w:r>
    </w:p>
    <w:p w14:paraId="7F22D1B5" w14:textId="1F720D59" w:rsidR="00EA7943" w:rsidRPr="00ED6A68" w:rsidRDefault="00A5432F"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Konstytucja określa mianem „polityki” tylko niektóre obszary, szczególnie doniosłe zarówno dla funkcjonowania państwa, jak i dla życia społecznego, co nie oznacza, by w innych sferach nie była realizowana polityka państwa</w:t>
      </w:r>
      <w:r w:rsidR="00EA7943" w:rsidRPr="00ED6A68">
        <w:rPr>
          <w:rFonts w:ascii="Times New Roman" w:hAnsi="Times New Roman" w:cs="Times New Roman"/>
          <w:sz w:val="24"/>
          <w:szCs w:val="24"/>
        </w:rPr>
        <w:t>, np. w dziedzinie obronności i bezpieczeństwa państwa, w dziedzinie gospodarczej, finansowej czy integracji europejskiej. Wszystkie one mieszczą się w pojemnym określeniu zadań, a zarazem obszaru właściwości kompetencyjnej Rady Ministrów, obejmującego prowadzenie polityki wewnętrznej i zagranicznej RP. Nieuprawnione byłoby jednak wnioskowanie, iż w sferze polityki państwa rząd posiada wręcz monopol kompetencyjny. Konstytucja nie zawiera takiego zastrzeżenia za pomocą kwantyfikatora wskazującego na wyłączność rządu czy powierzenie mu całości materii polityki państwa. Byłoby to działaniem nieracjonalnym i sprzecznym z kanonami ustrojowymi państwa demokratycznego, podziału władz oraz z ugruntowaną praktyką instytucjonalną</w:t>
      </w:r>
      <w:r w:rsidR="00E80470" w:rsidRPr="00ED6A68">
        <w:rPr>
          <w:rFonts w:ascii="Times New Roman" w:hAnsi="Times New Roman" w:cs="Times New Roman"/>
          <w:sz w:val="24"/>
          <w:szCs w:val="24"/>
        </w:rPr>
        <w:t xml:space="preserve"> </w:t>
      </w:r>
      <w:r w:rsidR="00E80470" w:rsidRPr="00ED6A68">
        <w:rPr>
          <w:rFonts w:ascii="Times New Roman" w:eastAsia="Times New Roman" w:hAnsi="Times New Roman" w:cs="Times New Roman"/>
          <w:sz w:val="24"/>
          <w:szCs w:val="24"/>
        </w:rPr>
        <w:t xml:space="preserve">(por. D. Dudek </w:t>
      </w:r>
      <w:r w:rsidR="00E80470" w:rsidRPr="00ED6A68">
        <w:rPr>
          <w:rFonts w:ascii="Times New Roman" w:eastAsia="Times New Roman" w:hAnsi="Times New Roman" w:cs="Times New Roman"/>
          <w:i/>
          <w:sz w:val="24"/>
          <w:szCs w:val="24"/>
        </w:rPr>
        <w:t xml:space="preserve">Art. 146 </w:t>
      </w:r>
      <w:r w:rsidR="00E80470" w:rsidRPr="00ED6A68">
        <w:rPr>
          <w:rFonts w:ascii="Times New Roman" w:eastAsia="Times New Roman" w:hAnsi="Times New Roman" w:cs="Times New Roman"/>
          <w:sz w:val="24"/>
          <w:szCs w:val="24"/>
        </w:rPr>
        <w:t xml:space="preserve">[w:] </w:t>
      </w:r>
      <w:r w:rsidR="00E80470" w:rsidRPr="00ED6A68">
        <w:rPr>
          <w:rFonts w:ascii="Times New Roman" w:eastAsia="Times New Roman" w:hAnsi="Times New Roman" w:cs="Times New Roman"/>
          <w:i/>
          <w:sz w:val="24"/>
          <w:szCs w:val="24"/>
        </w:rPr>
        <w:t>Konstytucja RP. Komentarz</w:t>
      </w:r>
      <w:r w:rsidR="00E80470" w:rsidRPr="00ED6A68">
        <w:rPr>
          <w:rFonts w:ascii="Times New Roman" w:eastAsia="Times New Roman" w:hAnsi="Times New Roman" w:cs="Times New Roman"/>
          <w:sz w:val="24"/>
          <w:szCs w:val="24"/>
        </w:rPr>
        <w:t>, red. M. Safjan, L. Bosek, t. II, Warszawa 2016, s. 740-741).</w:t>
      </w:r>
    </w:p>
    <w:p w14:paraId="734295B8" w14:textId="4044DD40" w:rsidR="00663B39" w:rsidRPr="00ED6A68" w:rsidRDefault="00AE77CD" w:rsidP="00663B39">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Sejmowi zastrzeżono</w:t>
      </w:r>
      <w:r w:rsidR="00DF4C1B" w:rsidRPr="00ED6A68">
        <w:rPr>
          <w:rFonts w:ascii="Times New Roman" w:hAnsi="Times New Roman" w:cs="Times New Roman"/>
          <w:sz w:val="24"/>
          <w:szCs w:val="24"/>
        </w:rPr>
        <w:t xml:space="preserve"> – </w:t>
      </w:r>
      <w:r w:rsidRPr="00ED6A68">
        <w:rPr>
          <w:rFonts w:ascii="Times New Roman" w:hAnsi="Times New Roman" w:cs="Times New Roman"/>
          <w:sz w:val="24"/>
          <w:szCs w:val="24"/>
        </w:rPr>
        <w:t>typową dla modelu (systemu) rządów parlamen</w:t>
      </w:r>
      <w:r w:rsidR="00021AE9" w:rsidRPr="00ED6A68">
        <w:rPr>
          <w:rFonts w:ascii="Times New Roman" w:hAnsi="Times New Roman" w:cs="Times New Roman"/>
          <w:sz w:val="24"/>
          <w:szCs w:val="24"/>
        </w:rPr>
        <w:t xml:space="preserve">tarno-gabinetowych </w:t>
      </w:r>
      <w:r w:rsidRPr="00ED6A68">
        <w:rPr>
          <w:rFonts w:ascii="Times New Roman" w:hAnsi="Times New Roman" w:cs="Times New Roman"/>
          <w:sz w:val="24"/>
          <w:szCs w:val="24"/>
        </w:rPr>
        <w:t>funkcję sprawowania kontroli nad działalnością Rady Ministrów w zakresie ustalonym przez Konstytucję i ustawy (</w:t>
      </w:r>
      <w:hyperlink r:id="rId8" w:history="1">
        <w:r w:rsidRPr="00ED6A68">
          <w:rPr>
            <w:rStyle w:val="Hipercze"/>
            <w:rFonts w:ascii="Times New Roman" w:hAnsi="Times New Roman" w:cs="Times New Roman"/>
            <w:color w:val="auto"/>
            <w:sz w:val="24"/>
            <w:szCs w:val="24"/>
            <w:u w:val="none"/>
          </w:rPr>
          <w:t>art. 95 ust. 2</w:t>
        </w:r>
      </w:hyperlink>
      <w:r w:rsidRPr="00ED6A68">
        <w:rPr>
          <w:rFonts w:ascii="Times New Roman" w:hAnsi="Times New Roman" w:cs="Times New Roman"/>
          <w:sz w:val="24"/>
          <w:szCs w:val="24"/>
        </w:rPr>
        <w:t xml:space="preserve"> Konstytucji). Funkcja ta nie miałaby racji bytu w sytuacji, gdyby Rada Ministrów posiadała rzeczywistą wyłączność nie tylko w zakresie prowadzenia, lecz także ustalania polityki państwa we wszystkich wymiarach i obszarach. Jest inaczej, o czym świadczą konstytucyjne preferencj</w:t>
      </w:r>
      <w:r w:rsidR="00021AE9" w:rsidRPr="00ED6A68">
        <w:rPr>
          <w:rFonts w:ascii="Times New Roman" w:hAnsi="Times New Roman" w:cs="Times New Roman"/>
          <w:sz w:val="24"/>
          <w:szCs w:val="24"/>
        </w:rPr>
        <w:t>e dla decyzji parlamentarnych o </w:t>
      </w:r>
      <w:r w:rsidRPr="00ED6A68">
        <w:rPr>
          <w:rFonts w:ascii="Times New Roman" w:hAnsi="Times New Roman" w:cs="Times New Roman"/>
          <w:sz w:val="24"/>
          <w:szCs w:val="24"/>
        </w:rPr>
        <w:t xml:space="preserve">strategicznym znaczeniu dla państwa </w:t>
      </w:r>
      <w:r w:rsidR="00663B39" w:rsidRPr="00ED6A68">
        <w:rPr>
          <w:rFonts w:ascii="Times New Roman" w:eastAsia="Times New Roman" w:hAnsi="Times New Roman" w:cs="Times New Roman"/>
          <w:sz w:val="24"/>
          <w:szCs w:val="24"/>
        </w:rPr>
        <w:t>(</w:t>
      </w:r>
      <w:r w:rsidR="00E80470" w:rsidRPr="00ED6A68">
        <w:rPr>
          <w:rFonts w:ascii="Times New Roman" w:eastAsia="Times New Roman" w:hAnsi="Times New Roman" w:cs="Times New Roman"/>
          <w:i/>
          <w:sz w:val="24"/>
          <w:szCs w:val="24"/>
        </w:rPr>
        <w:t>ibidem</w:t>
      </w:r>
      <w:r w:rsidR="00663B39" w:rsidRPr="00ED6A68">
        <w:rPr>
          <w:rFonts w:ascii="Times New Roman" w:eastAsia="Times New Roman" w:hAnsi="Times New Roman" w:cs="Times New Roman"/>
          <w:sz w:val="24"/>
          <w:szCs w:val="24"/>
        </w:rPr>
        <w:t>).</w:t>
      </w:r>
    </w:p>
    <w:p w14:paraId="606719AE" w14:textId="7237944B" w:rsidR="000B526A" w:rsidRDefault="009F172E"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Rada Ministrów nie jest zatem ani jedynym kreatorem polityki państwa, ani tylko jej wykonawcą, jest natomiast jej współtwórcą i głównym, a nawet najważniejszym podmiotem jej realizacji. Oczywiście nie można uznać, że rząd posiada konstytucyjnie przyznaną wyłączność w określaniu pryncypiów, strategii i konkretnych posunię</w:t>
      </w:r>
      <w:r w:rsidR="008119CB">
        <w:rPr>
          <w:rFonts w:ascii="Times New Roman" w:hAnsi="Times New Roman" w:cs="Times New Roman"/>
          <w:sz w:val="24"/>
          <w:szCs w:val="24"/>
        </w:rPr>
        <w:t xml:space="preserve">ć politycznych, zawarte bowiem w </w:t>
      </w:r>
      <w:r w:rsidRPr="00ED6A68">
        <w:rPr>
          <w:rFonts w:ascii="Times New Roman" w:hAnsi="Times New Roman" w:cs="Times New Roman"/>
          <w:sz w:val="24"/>
          <w:szCs w:val="24"/>
        </w:rPr>
        <w:t xml:space="preserve">art. 146 </w:t>
      </w:r>
      <w:r w:rsidR="008119CB">
        <w:rPr>
          <w:rFonts w:ascii="Times New Roman" w:hAnsi="Times New Roman" w:cs="Times New Roman"/>
          <w:sz w:val="24"/>
          <w:szCs w:val="24"/>
        </w:rPr>
        <w:t>ust. 4 Konstytucji</w:t>
      </w:r>
      <w:r w:rsidRPr="00ED6A68">
        <w:rPr>
          <w:rFonts w:ascii="Times New Roman" w:hAnsi="Times New Roman" w:cs="Times New Roman"/>
          <w:sz w:val="24"/>
          <w:szCs w:val="24"/>
        </w:rPr>
        <w:t xml:space="preserve"> przykładowe wyliczenie najważniejszych zadań </w:t>
      </w:r>
      <w:r w:rsidRPr="00ED6A68">
        <w:rPr>
          <w:rFonts w:ascii="Times New Roman" w:hAnsi="Times New Roman" w:cs="Times New Roman"/>
          <w:sz w:val="24"/>
          <w:szCs w:val="24"/>
        </w:rPr>
        <w:lastRenderedPageBreak/>
        <w:t>i kompetencji Rady Ministrów opatrzone jest zastrzeżeniem, iż są one realizowane w zakresie i na zasadach określonych w Konstytucji i ustawach. Istotne przesłanki konkretnej polityki państwa realizowanej przez rząd determinują zatem normy prawne, w tym Konstytucja i ustawy</w:t>
      </w:r>
      <w:r w:rsidR="00E80470" w:rsidRPr="00ED6A68">
        <w:rPr>
          <w:rFonts w:ascii="Times New Roman" w:hAnsi="Times New Roman" w:cs="Times New Roman"/>
          <w:sz w:val="24"/>
          <w:szCs w:val="24"/>
        </w:rPr>
        <w:t xml:space="preserve"> (</w:t>
      </w:r>
      <w:r w:rsidR="00E80470" w:rsidRPr="00ED6A68">
        <w:rPr>
          <w:rFonts w:ascii="Times New Roman" w:hAnsi="Times New Roman" w:cs="Times New Roman"/>
          <w:i/>
          <w:sz w:val="24"/>
          <w:szCs w:val="24"/>
        </w:rPr>
        <w:t>ibidem</w:t>
      </w:r>
      <w:r w:rsidR="00E80470" w:rsidRPr="00ED6A68">
        <w:rPr>
          <w:rFonts w:ascii="Times New Roman" w:hAnsi="Times New Roman" w:cs="Times New Roman"/>
          <w:sz w:val="24"/>
          <w:szCs w:val="24"/>
        </w:rPr>
        <w:t xml:space="preserve">). </w:t>
      </w:r>
      <w:r w:rsidR="004C5839" w:rsidRPr="00ED6A68">
        <w:rPr>
          <w:rFonts w:ascii="Times New Roman" w:hAnsi="Times New Roman" w:cs="Times New Roman"/>
          <w:sz w:val="24"/>
          <w:szCs w:val="24"/>
        </w:rPr>
        <w:t>Powyższe mieści się w rozumieniu pojęcia „polityki”</w:t>
      </w:r>
      <w:r w:rsidR="00457279" w:rsidRPr="00ED6A68">
        <w:rPr>
          <w:rFonts w:ascii="Times New Roman" w:hAnsi="Times New Roman" w:cs="Times New Roman"/>
          <w:sz w:val="24"/>
          <w:szCs w:val="24"/>
        </w:rPr>
        <w:t xml:space="preserve">, </w:t>
      </w:r>
      <w:r w:rsidR="004C5839" w:rsidRPr="00ED6A68">
        <w:rPr>
          <w:rFonts w:ascii="Times New Roman" w:hAnsi="Times New Roman" w:cs="Times New Roman"/>
          <w:sz w:val="24"/>
          <w:szCs w:val="24"/>
        </w:rPr>
        <w:t>jako racjonalnego działania dla osiągnięcia założonych celów dalekosiężnych (strategic</w:t>
      </w:r>
      <w:r w:rsidR="00457279" w:rsidRPr="00ED6A68">
        <w:rPr>
          <w:rFonts w:ascii="Times New Roman" w:hAnsi="Times New Roman" w:cs="Times New Roman"/>
          <w:sz w:val="24"/>
          <w:szCs w:val="24"/>
        </w:rPr>
        <w:t xml:space="preserve">znych) oraz </w:t>
      </w:r>
      <w:r w:rsidR="004C5839" w:rsidRPr="00ED6A68">
        <w:rPr>
          <w:rFonts w:ascii="Times New Roman" w:hAnsi="Times New Roman" w:cs="Times New Roman"/>
          <w:sz w:val="24"/>
          <w:szCs w:val="24"/>
        </w:rPr>
        <w:t>w ujęciu aksjologicznym - jako rozumna troska o dobro wspólne. To ostatnie ujęci</w:t>
      </w:r>
      <w:r w:rsidR="00457279" w:rsidRPr="00ED6A68">
        <w:rPr>
          <w:rFonts w:ascii="Times New Roman" w:hAnsi="Times New Roman" w:cs="Times New Roman"/>
          <w:sz w:val="24"/>
          <w:szCs w:val="24"/>
        </w:rPr>
        <w:t>e w pełni koresponduje z postrzeganiem</w:t>
      </w:r>
      <w:r w:rsidR="004C5839" w:rsidRPr="00ED6A68">
        <w:rPr>
          <w:rFonts w:ascii="Times New Roman" w:hAnsi="Times New Roman" w:cs="Times New Roman"/>
          <w:sz w:val="24"/>
          <w:szCs w:val="24"/>
        </w:rPr>
        <w:t xml:space="preserve"> istoty naszej państwowości jako dobra wspólnego wszystkich obywateli RP (</w:t>
      </w:r>
      <w:hyperlink r:id="rId9" w:history="1">
        <w:r w:rsidR="004C5839" w:rsidRPr="00ED6A68">
          <w:rPr>
            <w:rStyle w:val="Hipercze"/>
            <w:rFonts w:ascii="Times New Roman" w:hAnsi="Times New Roman" w:cs="Times New Roman"/>
            <w:color w:val="auto"/>
            <w:sz w:val="24"/>
            <w:szCs w:val="24"/>
            <w:u w:val="none"/>
          </w:rPr>
          <w:t>art. 1</w:t>
        </w:r>
      </w:hyperlink>
      <w:r w:rsidR="008119CB">
        <w:rPr>
          <w:rFonts w:ascii="Times New Roman" w:hAnsi="Times New Roman" w:cs="Times New Roman"/>
          <w:sz w:val="24"/>
          <w:szCs w:val="24"/>
        </w:rPr>
        <w:t xml:space="preserve"> Konstytucji</w:t>
      </w:r>
      <w:r w:rsidR="004C5839" w:rsidRPr="00ED6A68">
        <w:rPr>
          <w:rFonts w:ascii="Times New Roman" w:hAnsi="Times New Roman" w:cs="Times New Roman"/>
          <w:sz w:val="24"/>
          <w:szCs w:val="24"/>
        </w:rPr>
        <w:t>).</w:t>
      </w:r>
    </w:p>
    <w:p w14:paraId="5940FF46" w14:textId="77777777" w:rsidR="008119CB" w:rsidRPr="00ED6A68" w:rsidRDefault="008119CB" w:rsidP="008119CB">
      <w:pPr>
        <w:spacing w:after="0" w:line="240" w:lineRule="auto"/>
        <w:ind w:firstLine="709"/>
        <w:jc w:val="both"/>
        <w:rPr>
          <w:rFonts w:ascii="Times New Roman" w:hAnsi="Times New Roman" w:cs="Times New Roman"/>
          <w:sz w:val="24"/>
          <w:szCs w:val="24"/>
        </w:rPr>
      </w:pPr>
    </w:p>
    <w:p w14:paraId="6E511BF9" w14:textId="6C5F4BFD" w:rsidR="00805CCC" w:rsidRDefault="004E7CCE" w:rsidP="008119CB">
      <w:pPr>
        <w:spacing w:after="0" w:line="240" w:lineRule="auto"/>
        <w:jc w:val="both"/>
        <w:rPr>
          <w:rFonts w:ascii="Times New Roman" w:hAnsi="Times New Roman" w:cs="Times New Roman"/>
          <w:b/>
          <w:bCs/>
          <w:sz w:val="24"/>
          <w:szCs w:val="24"/>
        </w:rPr>
      </w:pPr>
      <w:r w:rsidRPr="00ED6A68">
        <w:rPr>
          <w:rFonts w:ascii="Times New Roman" w:hAnsi="Times New Roman" w:cs="Times New Roman"/>
          <w:b/>
          <w:bCs/>
          <w:sz w:val="24"/>
          <w:szCs w:val="24"/>
        </w:rPr>
        <w:t xml:space="preserve">II. </w:t>
      </w:r>
      <w:r w:rsidR="00805CCC" w:rsidRPr="00ED6A68">
        <w:rPr>
          <w:rFonts w:ascii="Times New Roman" w:hAnsi="Times New Roman" w:cs="Times New Roman"/>
          <w:b/>
          <w:bCs/>
          <w:sz w:val="24"/>
          <w:szCs w:val="24"/>
        </w:rPr>
        <w:t xml:space="preserve">Opis proponowanych zmian </w:t>
      </w:r>
    </w:p>
    <w:p w14:paraId="1EF31F73" w14:textId="77777777" w:rsidR="008119CB" w:rsidRPr="00ED6A68" w:rsidRDefault="008119CB" w:rsidP="008119CB">
      <w:pPr>
        <w:spacing w:after="0" w:line="240" w:lineRule="auto"/>
        <w:jc w:val="both"/>
        <w:rPr>
          <w:rFonts w:ascii="Times New Roman" w:hAnsi="Times New Roman" w:cs="Times New Roman"/>
          <w:b/>
          <w:bCs/>
          <w:sz w:val="24"/>
          <w:szCs w:val="24"/>
        </w:rPr>
      </w:pPr>
    </w:p>
    <w:p w14:paraId="38AB11A6" w14:textId="3A21B69E" w:rsidR="00805CCC" w:rsidRPr="00ED6A68" w:rsidRDefault="00805CCC"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Podstawowym założeniem projektowanych zmian jest wskazanie podstawowych elementów Programu w akcie prawnym rangi ustawy. Konsekwencją tego zabiegu legislacyjnego, będzie konieczność zmiany ustawy, w przypadku odstąpienia od wskazanych podstawowych elementów Programu, ewentualnie po ich zrealizowaniu wskazanie nowych. Ponadto tylko ustawa, jako akt powszechni</w:t>
      </w:r>
      <w:r w:rsidR="00C760CB">
        <w:rPr>
          <w:rFonts w:ascii="Times New Roman" w:hAnsi="Times New Roman" w:cs="Times New Roman"/>
          <w:sz w:val="24"/>
          <w:szCs w:val="24"/>
        </w:rPr>
        <w:t>e obowiązujący uchwalany przez P</w:t>
      </w:r>
      <w:r w:rsidRPr="00ED6A68">
        <w:rPr>
          <w:rFonts w:ascii="Times New Roman" w:hAnsi="Times New Roman" w:cs="Times New Roman"/>
          <w:sz w:val="24"/>
          <w:szCs w:val="24"/>
        </w:rPr>
        <w:t>arlament, jako naj</w:t>
      </w:r>
      <w:r w:rsidR="00C760CB">
        <w:rPr>
          <w:rFonts w:ascii="Times New Roman" w:hAnsi="Times New Roman" w:cs="Times New Roman"/>
          <w:sz w:val="24"/>
          <w:szCs w:val="24"/>
        </w:rPr>
        <w:t>wyższy organ przedstawicielski N</w:t>
      </w:r>
      <w:r w:rsidRPr="00ED6A68">
        <w:rPr>
          <w:rFonts w:ascii="Times New Roman" w:hAnsi="Times New Roman" w:cs="Times New Roman"/>
          <w:sz w:val="24"/>
          <w:szCs w:val="24"/>
        </w:rPr>
        <w:t>arodu, pozwoli na zachowanie kontroli społecznej nad realizacją strategicznego dla naszego państwa przedsięwzięcia, jakim jest budowa Centralnego Portu Komunikacyjnego.</w:t>
      </w:r>
    </w:p>
    <w:p w14:paraId="15D0E041" w14:textId="403A72C2" w:rsidR="00805CCC" w:rsidRPr="00ED6A68" w:rsidRDefault="00805CCC"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W </w:t>
      </w:r>
      <w:r w:rsidR="00CB310C" w:rsidRPr="00ED6A68">
        <w:rPr>
          <w:rFonts w:ascii="Times New Roman" w:hAnsi="Times New Roman" w:cs="Times New Roman"/>
          <w:sz w:val="24"/>
          <w:szCs w:val="24"/>
        </w:rPr>
        <w:t xml:space="preserve">dobro wspólne, o którym mowa w art. 1 </w:t>
      </w:r>
      <w:r w:rsidR="00021AE9" w:rsidRPr="00ED6A68">
        <w:rPr>
          <w:rFonts w:ascii="Times New Roman" w:hAnsi="Times New Roman" w:cs="Times New Roman"/>
          <w:sz w:val="24"/>
          <w:szCs w:val="24"/>
        </w:rPr>
        <w:t>Konstytucji</w:t>
      </w:r>
      <w:r w:rsidR="00EC6CFC">
        <w:rPr>
          <w:rFonts w:ascii="Times New Roman" w:hAnsi="Times New Roman" w:cs="Times New Roman"/>
          <w:sz w:val="24"/>
          <w:szCs w:val="24"/>
        </w:rPr>
        <w:t>,</w:t>
      </w:r>
      <w:r w:rsidR="00CB310C" w:rsidRPr="00ED6A68">
        <w:rPr>
          <w:rFonts w:ascii="Times New Roman" w:hAnsi="Times New Roman" w:cs="Times New Roman"/>
          <w:sz w:val="24"/>
          <w:szCs w:val="24"/>
        </w:rPr>
        <w:t xml:space="preserve"> wpisuje się realizacja celu głównego określonego w art. 2 projektu ustawy</w:t>
      </w:r>
      <w:r w:rsidR="00021AE9" w:rsidRPr="00ED6A68">
        <w:rPr>
          <w:rFonts w:ascii="Times New Roman" w:hAnsi="Times New Roman" w:cs="Times New Roman"/>
          <w:sz w:val="24"/>
          <w:szCs w:val="24"/>
        </w:rPr>
        <w:t xml:space="preserve">, jako inwestycji o strategicznym znaczeniu </w:t>
      </w:r>
      <w:r w:rsidRPr="00ED6A68">
        <w:rPr>
          <w:rFonts w:ascii="Times New Roman" w:hAnsi="Times New Roman" w:cs="Times New Roman"/>
          <w:sz w:val="24"/>
          <w:szCs w:val="24"/>
        </w:rPr>
        <w:t xml:space="preserve">dla naszego kraju, którym jest </w:t>
      </w:r>
      <w:r w:rsidRPr="00ED6A68">
        <w:rPr>
          <w:rFonts w:ascii="Times New Roman" w:eastAsia="Times New Roman" w:hAnsi="Times New Roman" w:cs="Times New Roman"/>
          <w:sz w:val="24"/>
          <w:szCs w:val="24"/>
        </w:rPr>
        <w:t>stworzenie uniwersalnego systemu transportu pasażerskiego poprzez wybudowanie i eksploatację rentownego innowacyjnego węzła transportowego, który uzyska miejsce w pierwszej dziesiątce najlepszych portów lotniczych na świecie, a ponadto doprowadzi do przebudowy</w:t>
      </w:r>
      <w:r w:rsidRPr="00ED6A68" w:rsidDel="002F7706">
        <w:rPr>
          <w:rFonts w:ascii="Times New Roman" w:eastAsia="Times New Roman" w:hAnsi="Times New Roman" w:cs="Times New Roman"/>
          <w:sz w:val="24"/>
          <w:szCs w:val="24"/>
        </w:rPr>
        <w:t xml:space="preserve"> </w:t>
      </w:r>
      <w:r w:rsidRPr="00ED6A68">
        <w:rPr>
          <w:rFonts w:ascii="Times New Roman" w:eastAsia="Times New Roman" w:hAnsi="Times New Roman" w:cs="Times New Roman"/>
          <w:sz w:val="24"/>
          <w:szCs w:val="24"/>
        </w:rPr>
        <w:t>krajowego systemu transportu kolejowego jako atrakcyjnej alternatywy dla transportu drogowego, który obejmie cały obszar Polski, zapewniając jednocześnie rozwój i trwałą integrację aglomeracji warszawskiej i łódzkiej.</w:t>
      </w:r>
    </w:p>
    <w:p w14:paraId="0937D404" w14:textId="163D27EB" w:rsidR="00B77F88" w:rsidRPr="00ED6A68" w:rsidRDefault="00021AE9" w:rsidP="004E7CCE">
      <w:pPr>
        <w:spacing w:after="0" w:line="360" w:lineRule="auto"/>
        <w:ind w:firstLine="709"/>
        <w:jc w:val="both"/>
        <w:rPr>
          <w:rFonts w:ascii="Times New Roman" w:hAnsi="Times New Roman" w:cs="Times New Roman"/>
          <w:sz w:val="24"/>
          <w:szCs w:val="24"/>
        </w:rPr>
      </w:pPr>
      <w:r w:rsidRPr="00ED6A68">
        <w:rPr>
          <w:rFonts w:ascii="Times New Roman" w:hAnsi="Times New Roman" w:cs="Times New Roman"/>
          <w:sz w:val="24"/>
          <w:szCs w:val="24"/>
        </w:rPr>
        <w:t xml:space="preserve">Urzeczywistnieniu realizacji </w:t>
      </w:r>
      <w:r w:rsidR="0002425A" w:rsidRPr="00ED6A68">
        <w:rPr>
          <w:rFonts w:ascii="Times New Roman" w:hAnsi="Times New Roman" w:cs="Times New Roman"/>
          <w:sz w:val="24"/>
          <w:szCs w:val="24"/>
        </w:rPr>
        <w:t>tak określonego celu głównego Programu</w:t>
      </w:r>
      <w:r w:rsidRPr="00ED6A68">
        <w:rPr>
          <w:rFonts w:ascii="Times New Roman" w:hAnsi="Times New Roman" w:cs="Times New Roman"/>
          <w:sz w:val="24"/>
          <w:szCs w:val="24"/>
        </w:rPr>
        <w:t xml:space="preserve"> służyć mają wskazane w art. </w:t>
      </w:r>
      <w:r w:rsidR="00EC6CFC">
        <w:rPr>
          <w:rFonts w:ascii="Times New Roman" w:hAnsi="Times New Roman" w:cs="Times New Roman"/>
          <w:sz w:val="24"/>
          <w:szCs w:val="24"/>
        </w:rPr>
        <w:t>2 ust 2</w:t>
      </w:r>
      <w:r w:rsidRPr="00ED6A68">
        <w:rPr>
          <w:rFonts w:ascii="Times New Roman" w:hAnsi="Times New Roman" w:cs="Times New Roman"/>
          <w:sz w:val="24"/>
          <w:szCs w:val="24"/>
        </w:rPr>
        <w:t xml:space="preserve"> projektu ustawy podstawowe elementy </w:t>
      </w:r>
      <w:r w:rsidR="00F871A5" w:rsidRPr="00ED6A68">
        <w:rPr>
          <w:rFonts w:ascii="Times New Roman" w:hAnsi="Times New Roman" w:cs="Times New Roman"/>
          <w:sz w:val="24"/>
          <w:szCs w:val="24"/>
        </w:rPr>
        <w:t xml:space="preserve">Programu </w:t>
      </w:r>
      <w:r w:rsidR="00EC6CFC">
        <w:rPr>
          <w:rFonts w:ascii="Times New Roman" w:hAnsi="Times New Roman" w:cs="Times New Roman"/>
          <w:sz w:val="24"/>
          <w:szCs w:val="24"/>
        </w:rPr>
        <w:t>w postaci między innymi:</w:t>
      </w:r>
    </w:p>
    <w:p w14:paraId="3DCD4BFC" w14:textId="77777777" w:rsidR="00F871A5" w:rsidRPr="00ED6A68" w:rsidRDefault="00F871A5"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terminów zakończenia prac budowlanych oraz uzyskania certyfikacji i zgód na uruchomienie operacji lotniczych na Lotnisku Centralnego Portu Komunikacyjnego, które nie mogą być późniejsze niż do dnia 31 grudnia 2031 r.;</w:t>
      </w:r>
    </w:p>
    <w:p w14:paraId="07E8D4AC" w14:textId="233266C4" w:rsidR="00F871A5" w:rsidRPr="00ED6A68" w:rsidRDefault="00F871A5"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terminów zakończenia prac budowlanych dla linii kolejowych - Tunel w Łodzi, Węzeł Centralnego Portu Komunikacyjnego, Warszawa-Łódź, który nie może być późniejszy  niż do dnia 31 grudnia 2030 r.;</w:t>
      </w:r>
    </w:p>
    <w:p w14:paraId="0A3380F6" w14:textId="77777777" w:rsidR="00F871A5" w:rsidRPr="00ED6A68" w:rsidRDefault="009057C2"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lastRenderedPageBreak/>
        <w:t>limit</w:t>
      </w:r>
      <w:r w:rsidR="00697D3D" w:rsidRPr="00ED6A68">
        <w:rPr>
          <w:rFonts w:ascii="Times New Roman" w:eastAsia="Times New Roman" w:hAnsi="Times New Roman" w:cs="Times New Roman"/>
          <w:color w:val="auto"/>
          <w:sz w:val="24"/>
          <w:szCs w:val="24"/>
        </w:rPr>
        <w:t>u</w:t>
      </w:r>
      <w:r w:rsidRPr="00ED6A68">
        <w:rPr>
          <w:rFonts w:ascii="Times New Roman" w:eastAsia="Times New Roman" w:hAnsi="Times New Roman" w:cs="Times New Roman"/>
          <w:color w:val="auto"/>
          <w:sz w:val="24"/>
          <w:szCs w:val="24"/>
        </w:rPr>
        <w:t xml:space="preserve"> zaangażowania środków Skarbu Państwa na realizację finansowana Programu</w:t>
      </w:r>
      <w:r w:rsidR="00F871A5" w:rsidRPr="00ED6A68">
        <w:rPr>
          <w:rFonts w:ascii="Times New Roman" w:eastAsia="Times New Roman" w:hAnsi="Times New Roman" w:cs="Times New Roman"/>
          <w:color w:val="auto"/>
          <w:sz w:val="24"/>
          <w:szCs w:val="24"/>
        </w:rPr>
        <w:t xml:space="preserve"> za pomocą skarbowych papierów wartościowych</w:t>
      </w:r>
      <w:r w:rsidRPr="00ED6A68">
        <w:rPr>
          <w:rFonts w:ascii="Times New Roman" w:eastAsia="Times New Roman" w:hAnsi="Times New Roman" w:cs="Times New Roman"/>
          <w:color w:val="auto"/>
          <w:sz w:val="24"/>
          <w:szCs w:val="24"/>
        </w:rPr>
        <w:t>;</w:t>
      </w:r>
    </w:p>
    <w:p w14:paraId="74E712DD" w14:textId="77777777" w:rsidR="00F871A5" w:rsidRPr="00ED6A68" w:rsidRDefault="00565752"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wartość miernika „Długość linii kolejowych, dla których złożono wnioski o wydanie decyzji o środowiskowych uwarunkowaniach – nie niższą niż 1338 km;</w:t>
      </w:r>
    </w:p>
    <w:p w14:paraId="5FCB9CA6" w14:textId="5666EA7B" w:rsidR="00565752" w:rsidRPr="00ED6A68" w:rsidRDefault="00EC6CFC"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obowiązku</w:t>
      </w:r>
      <w:r w:rsidR="00F2438B" w:rsidRPr="00ED6A68">
        <w:rPr>
          <w:rFonts w:ascii="Times New Roman" w:hAnsi="Times New Roman" w:cs="Times New Roman"/>
          <w:color w:val="auto"/>
          <w:sz w:val="24"/>
          <w:szCs w:val="24"/>
        </w:rPr>
        <w:t xml:space="preserve"> </w:t>
      </w:r>
      <w:r w:rsidR="00565752" w:rsidRPr="00ED6A68">
        <w:rPr>
          <w:rFonts w:ascii="Times New Roman" w:eastAsia="Times New Roman" w:hAnsi="Times New Roman" w:cs="Times New Roman"/>
          <w:color w:val="auto"/>
          <w:sz w:val="24"/>
          <w:szCs w:val="24"/>
        </w:rPr>
        <w:t>r</w:t>
      </w:r>
      <w:r w:rsidR="00697D3D" w:rsidRPr="00ED6A68">
        <w:rPr>
          <w:rFonts w:ascii="Times New Roman" w:eastAsia="Times New Roman" w:hAnsi="Times New Roman" w:cs="Times New Roman"/>
          <w:color w:val="auto"/>
          <w:sz w:val="24"/>
          <w:szCs w:val="24"/>
        </w:rPr>
        <w:t>ealizacji</w:t>
      </w:r>
      <w:r w:rsidR="00565752" w:rsidRPr="00ED6A68">
        <w:rPr>
          <w:rFonts w:ascii="Times New Roman" w:eastAsia="Times New Roman" w:hAnsi="Times New Roman" w:cs="Times New Roman"/>
          <w:color w:val="auto"/>
          <w:sz w:val="24"/>
          <w:szCs w:val="24"/>
        </w:rPr>
        <w:t xml:space="preserve"> inwestycji rozwojowych oraz ich harmonogram, które stanowią:</w:t>
      </w:r>
    </w:p>
    <w:p w14:paraId="21456998" w14:textId="77777777" w:rsidR="00565752" w:rsidRPr="00ED6A68" w:rsidRDefault="00565752" w:rsidP="00625073">
      <w:pPr>
        <w:pStyle w:val="Akapitzlist"/>
        <w:numPr>
          <w:ilvl w:val="0"/>
          <w:numId w:val="2"/>
        </w:numPr>
        <w:spacing w:line="360" w:lineRule="auto"/>
        <w:ind w:left="714"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projekt Aiport City (</w:t>
      </w:r>
      <w:r w:rsidRPr="00ED6A68">
        <w:rPr>
          <w:rFonts w:ascii="Times New Roman" w:hAnsi="Times New Roman" w:cs="Times New Roman"/>
          <w:color w:val="auto"/>
          <w:sz w:val="24"/>
          <w:szCs w:val="24"/>
          <w:shd w:val="clear" w:color="auto" w:fill="FFFFFF"/>
        </w:rPr>
        <w:t>stworzenie na obszarze sąsiadującym z terminalem pasażerskim wysokiej jakości wielofunkcyjnej przestrzeni miejskiej będącej jednocześnie zaawansowanym technologicznie centrum biznesowym i ośrodkiem innowacji o globalnym zasięgu, uzupełnionym o funkcję kulturalną i rekreacyjno-rozrywkową</w:t>
      </w:r>
      <w:r w:rsidRPr="00ED6A68">
        <w:rPr>
          <w:rFonts w:ascii="Times New Roman" w:eastAsia="Times New Roman" w:hAnsi="Times New Roman" w:cs="Times New Roman"/>
          <w:color w:val="auto"/>
          <w:sz w:val="24"/>
          <w:szCs w:val="24"/>
        </w:rPr>
        <w:t>),</w:t>
      </w:r>
    </w:p>
    <w:p w14:paraId="7EF0A529" w14:textId="77777777" w:rsidR="00565752" w:rsidRPr="00ED6A68" w:rsidRDefault="00565752" w:rsidP="00625073">
      <w:pPr>
        <w:pStyle w:val="Akapitzlist"/>
        <w:numPr>
          <w:ilvl w:val="0"/>
          <w:numId w:val="2"/>
        </w:numPr>
        <w:spacing w:line="360" w:lineRule="auto"/>
        <w:ind w:left="714"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projekt Cargo City (</w:t>
      </w:r>
      <w:r w:rsidRPr="00ED6A68">
        <w:rPr>
          <w:rFonts w:ascii="Times New Roman" w:hAnsi="Times New Roman" w:cs="Times New Roman"/>
          <w:color w:val="auto"/>
          <w:sz w:val="24"/>
          <w:szCs w:val="24"/>
          <w:shd w:val="clear" w:color="auto" w:fill="FFFFFF"/>
        </w:rPr>
        <w:t>realizacja w sąsiedztwie Centralnego Portu Komunikacyjnego jednej lub wielu wysokiej jakości przestrzeni rozwoju funkcji przemysłowych i usługowych),</w:t>
      </w:r>
    </w:p>
    <w:p w14:paraId="70FD17E4" w14:textId="77777777" w:rsidR="00565752" w:rsidRPr="00ED6A68" w:rsidRDefault="00565752" w:rsidP="00625073">
      <w:pPr>
        <w:pStyle w:val="Akapitzlist"/>
        <w:numPr>
          <w:ilvl w:val="0"/>
          <w:numId w:val="2"/>
        </w:numPr>
        <w:spacing w:line="360" w:lineRule="auto"/>
        <w:ind w:left="714" w:hanging="357"/>
        <w:jc w:val="both"/>
        <w:rPr>
          <w:rFonts w:ascii="Times New Roman" w:eastAsia="Times New Roman" w:hAnsi="Times New Roman" w:cs="Times New Roman"/>
          <w:color w:val="auto"/>
          <w:sz w:val="24"/>
          <w:szCs w:val="24"/>
        </w:rPr>
      </w:pPr>
      <w:r w:rsidRPr="00ED6A68">
        <w:rPr>
          <w:rFonts w:ascii="Times New Roman" w:hAnsi="Times New Roman" w:cs="Times New Roman"/>
          <w:color w:val="auto"/>
          <w:sz w:val="24"/>
          <w:szCs w:val="24"/>
          <w:shd w:val="clear" w:color="auto" w:fill="FFFFFF"/>
        </w:rPr>
        <w:t xml:space="preserve"> projekt </w:t>
      </w:r>
      <w:r w:rsidRPr="00ED6A68">
        <w:rPr>
          <w:rFonts w:ascii="Times New Roman" w:eastAsia="Times New Roman" w:hAnsi="Times New Roman" w:cs="Times New Roman"/>
          <w:color w:val="auto"/>
          <w:sz w:val="24"/>
          <w:szCs w:val="24"/>
        </w:rPr>
        <w:t>rozbudowy sieci terminali intermodalnych</w:t>
      </w:r>
    </w:p>
    <w:p w14:paraId="388A8BBA" w14:textId="77777777" w:rsidR="00565752" w:rsidRPr="00ED6A68" w:rsidRDefault="00565752" w:rsidP="004E7CCE">
      <w:pPr>
        <w:pStyle w:val="Akapitzlist"/>
        <w:numPr>
          <w:ilvl w:val="0"/>
          <w:numId w:val="3"/>
        </w:numPr>
        <w:spacing w:line="360" w:lineRule="auto"/>
        <w:ind w:left="709"/>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 xml:space="preserve"> zakładając wartość ich finansowania za pomocą skarbowych papierów wartościowych w wysokości nie niższej niż 3 138 mln zł do 2032 r.;</w:t>
      </w:r>
    </w:p>
    <w:p w14:paraId="361F28D3" w14:textId="1953D8C2" w:rsidR="007168A4" w:rsidRPr="00ED6A68" w:rsidRDefault="00697D3D"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obowiązku realizacji prac studialnych lub projektowych dla poszczególnych odcinków linii kolejowych objętych Programem, tak aby w miejscowościach powyżej 50 tyś. mieszkańców znajdujących się na planowanym przebiegu danej linii kolejowej</w:t>
      </w:r>
      <w:r w:rsidR="00EC6CFC">
        <w:rPr>
          <w:rFonts w:ascii="Times New Roman" w:eastAsia="Times New Roman" w:hAnsi="Times New Roman" w:cs="Times New Roman"/>
          <w:color w:val="auto"/>
          <w:sz w:val="24"/>
          <w:szCs w:val="24"/>
        </w:rPr>
        <w:t>, w szczególności w Kaliszu, Płocku i Grudziądzu, zapewniono przebieg linii przez stację kolejową zapewniającą obsługę kolejową takiej miejscowości</w:t>
      </w:r>
      <w:r w:rsidRPr="00ED6A68">
        <w:rPr>
          <w:rFonts w:ascii="Times New Roman" w:eastAsia="Times New Roman" w:hAnsi="Times New Roman" w:cs="Times New Roman"/>
          <w:color w:val="auto"/>
          <w:sz w:val="24"/>
          <w:szCs w:val="24"/>
        </w:rPr>
        <w:t>;</w:t>
      </w:r>
    </w:p>
    <w:p w14:paraId="646E00B7" w14:textId="038A8DFF" w:rsidR="006820DB" w:rsidRPr="00ED6A68" w:rsidRDefault="00697D3D" w:rsidP="00625073">
      <w:pPr>
        <w:pStyle w:val="Akapitzlist"/>
        <w:numPr>
          <w:ilvl w:val="0"/>
          <w:numId w:val="1"/>
        </w:numPr>
        <w:spacing w:line="360" w:lineRule="auto"/>
        <w:ind w:left="357" w:hanging="357"/>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lang w:val="pl-PL"/>
        </w:rPr>
        <w:t xml:space="preserve">obowiązku realizacji prac projektowych i środowiskowych w odniesieniu do wszystkich </w:t>
      </w:r>
      <w:r w:rsidRPr="00ED6A68">
        <w:rPr>
          <w:rFonts w:ascii="Times New Roman" w:eastAsia="Times New Roman" w:hAnsi="Times New Roman" w:cs="Times New Roman"/>
          <w:color w:val="auto"/>
          <w:sz w:val="24"/>
          <w:szCs w:val="24"/>
        </w:rPr>
        <w:t>odcinków linii kolejowych określonych w załączniku do niniejszego projektu ustawy oraz ich harmonogram.</w:t>
      </w:r>
    </w:p>
    <w:p w14:paraId="6B1E530E" w14:textId="583F9628" w:rsidR="00A964B3" w:rsidRPr="00ED6A68" w:rsidRDefault="006820DB" w:rsidP="004E7CCE">
      <w:pPr>
        <w:spacing w:after="0" w:line="360" w:lineRule="auto"/>
        <w:ind w:left="-76" w:firstLine="784"/>
        <w:jc w:val="both"/>
        <w:rPr>
          <w:rFonts w:ascii="Times New Roman" w:hAnsi="Times New Roman" w:cs="Times New Roman"/>
          <w:sz w:val="24"/>
          <w:szCs w:val="24"/>
        </w:rPr>
      </w:pPr>
      <w:r w:rsidRPr="00ED6A68">
        <w:rPr>
          <w:rFonts w:ascii="Times New Roman" w:eastAsia="Times New Roman" w:hAnsi="Times New Roman" w:cs="Times New Roman"/>
          <w:sz w:val="24"/>
          <w:szCs w:val="24"/>
        </w:rPr>
        <w:t xml:space="preserve">Wśród wskazanych przykładowo podstawowych elementów Programu podstawowe znaczenie ma realizacja wszystkich wskazanych odcinków linii kolejowych. </w:t>
      </w:r>
      <w:r w:rsidRPr="00ED6A68">
        <w:rPr>
          <w:rFonts w:ascii="Times New Roman" w:hAnsi="Times New Roman" w:cs="Times New Roman"/>
          <w:sz w:val="24"/>
          <w:szCs w:val="24"/>
        </w:rPr>
        <w:t>Centralny Port Komunikacyjny został zaplanowany bowiem jako serce i zwornik nowoczesnego systemu komunikacyjnego, obejmującego wszystkie rodzaje środków transportu lądowego. Zakłada wygodne i wydajne połączenia z krajową sieć autostrad i dróg ekspresowych, ale jego głównymi arteriami mają być właśnie połączenia kolejowe.</w:t>
      </w:r>
      <w:r w:rsidR="00A964B3" w:rsidRPr="00ED6A68">
        <w:rPr>
          <w:rFonts w:ascii="Times New Roman" w:hAnsi="Times New Roman" w:cs="Times New Roman"/>
          <w:sz w:val="24"/>
          <w:szCs w:val="24"/>
        </w:rPr>
        <w:t xml:space="preserve"> Brak dostępu do sieci kolejowej jest jednym z głównych powodów wykluczenia komunik</w:t>
      </w:r>
      <w:r w:rsidR="004A2C2E">
        <w:rPr>
          <w:rFonts w:ascii="Times New Roman" w:hAnsi="Times New Roman" w:cs="Times New Roman"/>
          <w:sz w:val="24"/>
          <w:szCs w:val="24"/>
        </w:rPr>
        <w:t>acyjnego, szczególnie w Polsce w</w:t>
      </w:r>
      <w:r w:rsidR="00A964B3" w:rsidRPr="00ED6A68">
        <w:rPr>
          <w:rFonts w:ascii="Times New Roman" w:hAnsi="Times New Roman" w:cs="Times New Roman"/>
          <w:sz w:val="24"/>
          <w:szCs w:val="24"/>
        </w:rPr>
        <w:t>schodniej. Aktualna mapa polskiej sieci kolejowej wyraźnie pokazuje dysproporcje w gęstości połączeń między wschodnią i zachodnią częścią kraju. Budowa nowych połączeń kolejowych pomiędz</w:t>
      </w:r>
      <w:r w:rsidR="00EC6CFC">
        <w:rPr>
          <w:rFonts w:ascii="Times New Roman" w:hAnsi="Times New Roman" w:cs="Times New Roman"/>
          <w:sz w:val="24"/>
          <w:szCs w:val="24"/>
        </w:rPr>
        <w:t>y CPK/</w:t>
      </w:r>
      <w:r w:rsidR="00A964B3" w:rsidRPr="00ED6A68">
        <w:rPr>
          <w:rFonts w:ascii="Times New Roman" w:hAnsi="Times New Roman" w:cs="Times New Roman"/>
          <w:sz w:val="24"/>
          <w:szCs w:val="24"/>
        </w:rPr>
        <w:t>CMK tworzyłaby szkielet i stanowiłaby impuls do rozbudowy regionalnej siatki połączeń.</w:t>
      </w:r>
    </w:p>
    <w:p w14:paraId="0565337B" w14:textId="3A3E1E56" w:rsidR="003B5084" w:rsidRPr="00ED6A68" w:rsidRDefault="00F458B4" w:rsidP="004E7CCE">
      <w:pPr>
        <w:spacing w:after="0" w:line="360" w:lineRule="auto"/>
        <w:ind w:left="-74" w:firstLine="782"/>
        <w:jc w:val="both"/>
        <w:rPr>
          <w:rFonts w:ascii="Times New Roman" w:hAnsi="Times New Roman" w:cs="Times New Roman"/>
          <w:sz w:val="24"/>
          <w:szCs w:val="24"/>
        </w:rPr>
      </w:pPr>
      <w:r w:rsidRPr="00ED6A68">
        <w:rPr>
          <w:rFonts w:ascii="Times New Roman" w:hAnsi="Times New Roman" w:cs="Times New Roman"/>
          <w:sz w:val="24"/>
          <w:szCs w:val="24"/>
        </w:rPr>
        <w:lastRenderedPageBreak/>
        <w:t>Ponadto realizacja CPK od początku zakładała budowę komponentu wojskowego. Konkretne rozmowy z armią w tym przedmiocie rozpoczęły się jeszcze w 2019 r. doprowadzając w sierpniu 2023 r. do uwzględnienia infrastruktury wojskowej lotniska w Planie Generalnym CPK. Wybuch wojny za naszą wschodnią granicą jedynie podkreślił konieczność realizacji portu o charakterystyce dual-use. Infrastruktura tego rodzaju poza wykorzystaniem jej w celach cywilnych umożliwia również korzystanie z portu przez wojska NATO.</w:t>
      </w:r>
      <w:r w:rsidR="00697637" w:rsidRPr="00ED6A68">
        <w:rPr>
          <w:rFonts w:ascii="Times New Roman" w:hAnsi="Times New Roman" w:cs="Times New Roman"/>
          <w:sz w:val="24"/>
          <w:szCs w:val="24"/>
        </w:rPr>
        <w:t xml:space="preserve"> W praktyce oznacza to umożliwienie i zwiększenie zdolności do szybkiego przerzutu wojsk oraz niezbędnego sprzętu w sytuacji eskalacji</w:t>
      </w:r>
      <w:r w:rsidR="001D6BCB">
        <w:rPr>
          <w:rFonts w:ascii="Times New Roman" w:hAnsi="Times New Roman" w:cs="Times New Roman"/>
          <w:sz w:val="24"/>
          <w:szCs w:val="24"/>
        </w:rPr>
        <w:t xml:space="preserve"> konfliktu</w:t>
      </w:r>
      <w:r w:rsidR="00697637" w:rsidRPr="00ED6A68">
        <w:rPr>
          <w:rFonts w:ascii="Times New Roman" w:hAnsi="Times New Roman" w:cs="Times New Roman"/>
          <w:sz w:val="24"/>
          <w:szCs w:val="24"/>
        </w:rPr>
        <w:t xml:space="preserve"> lub wybuchu wojny.</w:t>
      </w:r>
    </w:p>
    <w:p w14:paraId="16749EAC" w14:textId="487C5730" w:rsidR="003B5084" w:rsidRPr="00ED6A68" w:rsidRDefault="003B5084" w:rsidP="004E7CCE">
      <w:pPr>
        <w:spacing w:after="0" w:line="360" w:lineRule="auto"/>
        <w:ind w:left="-74" w:firstLine="782"/>
        <w:jc w:val="both"/>
        <w:rPr>
          <w:rFonts w:ascii="Times New Roman" w:hAnsi="Times New Roman" w:cs="Times New Roman"/>
          <w:sz w:val="24"/>
          <w:szCs w:val="24"/>
        </w:rPr>
      </w:pPr>
      <w:r w:rsidRPr="00ED6A68">
        <w:rPr>
          <w:rFonts w:ascii="Times New Roman" w:hAnsi="Times New Roman" w:cs="Times New Roman"/>
          <w:sz w:val="24"/>
          <w:szCs w:val="24"/>
        </w:rPr>
        <w:t xml:space="preserve">W kontekście powyższego najbardziej istotnym elementem o znaczeniu strategicznym jest komponent kolejowy umożliwiający połączenie praktycznie wszystkich regionów zgrupowań wojsk w obrębie kraju obejmujących również bazy sojusznicze. Umożliwienie przerzucenia wojsk, a następnie ich szybkie rozmieszczenie w każdym rejonie Polski w zależności od potrzeb militarnych jest jednym z kluczowych elementów architektury obronnej naszego kraju. Dlatego tak ważne jest, aby linie kolejowe jak najlepiej łączyły zachód Polski ze wschodem </w:t>
      </w:r>
      <w:r w:rsidR="00203E33">
        <w:rPr>
          <w:rFonts w:ascii="Times New Roman" w:hAnsi="Times New Roman" w:cs="Times New Roman"/>
          <w:sz w:val="24"/>
          <w:szCs w:val="24"/>
        </w:rPr>
        <w:t xml:space="preserve">Polski, </w:t>
      </w:r>
      <w:r w:rsidRPr="00ED6A68">
        <w:rPr>
          <w:rFonts w:ascii="Times New Roman" w:hAnsi="Times New Roman" w:cs="Times New Roman"/>
          <w:sz w:val="24"/>
          <w:szCs w:val="24"/>
        </w:rPr>
        <w:t>zapewniając strategiczną możliwość szybkiego i punktowego zwiększenia zdolności operacyjnych.</w:t>
      </w:r>
    </w:p>
    <w:p w14:paraId="12F7EDAD" w14:textId="6D12CA5B" w:rsidR="004E7CCE" w:rsidRPr="00ED6A68" w:rsidRDefault="00112B8C" w:rsidP="004E7CCE">
      <w:pPr>
        <w:spacing w:after="0" w:line="360" w:lineRule="auto"/>
        <w:ind w:left="-74" w:firstLine="782"/>
        <w:jc w:val="both"/>
        <w:rPr>
          <w:rFonts w:ascii="Times New Roman" w:eastAsia="Times New Roman" w:hAnsi="Times New Roman" w:cs="Times New Roman"/>
          <w:sz w:val="24"/>
          <w:szCs w:val="24"/>
        </w:rPr>
      </w:pPr>
      <w:r w:rsidRPr="00ED6A68">
        <w:rPr>
          <w:rFonts w:ascii="Times New Roman" w:hAnsi="Times New Roman" w:cs="Times New Roman"/>
          <w:sz w:val="24"/>
          <w:szCs w:val="24"/>
        </w:rPr>
        <w:t>Ruch pasażerski jaki ma być obsługiwany przez Centralny Port Komunikacyjny jest ważnym, ale tylko jednym z aspektów koncepcji CPK. Równie ważnym, a ze względów gospodarczo-rozwojowych nawet ważniejszy, jest aspekt transportu towarów (ruchu cargo). CPK ma potencjał, aby nie tylko przejąć większą część ruchu cargo, który w tej chwili trafia do i z Polski przez lotniska takie jak te w Lipsku czy Frankfurcie, ale także stać się atrakcyjnym hubem przeładunkowym dla naszych sąsiadów z południa i wschodu. Największe pols</w:t>
      </w:r>
      <w:r w:rsidR="001D6BCB">
        <w:rPr>
          <w:rFonts w:ascii="Times New Roman" w:hAnsi="Times New Roman" w:cs="Times New Roman"/>
          <w:sz w:val="24"/>
          <w:szCs w:val="24"/>
        </w:rPr>
        <w:t>kie lotnisko - warszawski Port L</w:t>
      </w:r>
      <w:r w:rsidRPr="00ED6A68">
        <w:rPr>
          <w:rFonts w:ascii="Times New Roman" w:hAnsi="Times New Roman" w:cs="Times New Roman"/>
          <w:sz w:val="24"/>
          <w:szCs w:val="24"/>
        </w:rPr>
        <w:t xml:space="preserve">otniczy im. </w:t>
      </w:r>
      <w:r w:rsidR="00D62048">
        <w:rPr>
          <w:rFonts w:ascii="Times New Roman" w:hAnsi="Times New Roman" w:cs="Times New Roman"/>
          <w:sz w:val="24"/>
          <w:szCs w:val="24"/>
        </w:rPr>
        <w:t xml:space="preserve">Fryderyka </w:t>
      </w:r>
      <w:r w:rsidRPr="00ED6A68">
        <w:rPr>
          <w:rFonts w:ascii="Times New Roman" w:hAnsi="Times New Roman" w:cs="Times New Roman"/>
          <w:sz w:val="24"/>
          <w:szCs w:val="24"/>
        </w:rPr>
        <w:t>Chopina obsł</w:t>
      </w:r>
      <w:r w:rsidR="00D62048">
        <w:rPr>
          <w:rFonts w:ascii="Times New Roman" w:hAnsi="Times New Roman" w:cs="Times New Roman"/>
          <w:sz w:val="24"/>
          <w:szCs w:val="24"/>
        </w:rPr>
        <w:t>uguje aktualnie mniej niż 1%</w:t>
      </w:r>
      <w:r w:rsidRPr="00ED6A68">
        <w:rPr>
          <w:rFonts w:ascii="Times New Roman" w:hAnsi="Times New Roman" w:cs="Times New Roman"/>
          <w:sz w:val="24"/>
          <w:szCs w:val="24"/>
        </w:rPr>
        <w:t>. europejskiego cargo lotn</w:t>
      </w:r>
      <w:r w:rsidR="00D62048">
        <w:rPr>
          <w:rFonts w:ascii="Times New Roman" w:hAnsi="Times New Roman" w:cs="Times New Roman"/>
          <w:sz w:val="24"/>
          <w:szCs w:val="24"/>
        </w:rPr>
        <w:t>iczego. Jednocześnie aż 62%</w:t>
      </w:r>
      <w:r w:rsidRPr="00ED6A68">
        <w:rPr>
          <w:rFonts w:ascii="Times New Roman" w:hAnsi="Times New Roman" w:cs="Times New Roman"/>
          <w:sz w:val="24"/>
          <w:szCs w:val="24"/>
        </w:rPr>
        <w:t xml:space="preserve"> eksportu lotniczego z Europy Środkowo-Wschodniej odbywa się z lotnisk w Europie Zachodniej. Duża część tych transportów mogłaby być wysyłana w świat z CPK.</w:t>
      </w:r>
      <w:r w:rsidR="00BC63FC" w:rsidRPr="00ED6A68">
        <w:rPr>
          <w:rFonts w:ascii="Times New Roman" w:hAnsi="Times New Roman" w:cs="Times New Roman"/>
          <w:sz w:val="24"/>
          <w:szCs w:val="24"/>
        </w:rPr>
        <w:t xml:space="preserve"> Stąd też wśród podstawowych elementów Programu </w:t>
      </w:r>
      <w:r w:rsidR="00873720" w:rsidRPr="00ED6A68">
        <w:rPr>
          <w:rFonts w:ascii="Times New Roman" w:hAnsi="Times New Roman" w:cs="Times New Roman"/>
          <w:sz w:val="24"/>
          <w:szCs w:val="24"/>
        </w:rPr>
        <w:t xml:space="preserve">znalazł się </w:t>
      </w:r>
      <w:r w:rsidR="00873720" w:rsidRPr="00ED6A68">
        <w:rPr>
          <w:rFonts w:ascii="Times New Roman" w:eastAsia="Times New Roman" w:hAnsi="Times New Roman" w:cs="Times New Roman"/>
          <w:sz w:val="24"/>
          <w:szCs w:val="24"/>
        </w:rPr>
        <w:t>obowiązek realizacji inwestycji rozwojowych w postaci projektu Cargo City.</w:t>
      </w:r>
    </w:p>
    <w:p w14:paraId="75ABB503" w14:textId="3CA22B90" w:rsidR="004E7CCE" w:rsidRPr="00ED6A68" w:rsidRDefault="004E7CCE" w:rsidP="00542D7F">
      <w:pPr>
        <w:spacing w:after="0" w:line="360" w:lineRule="auto"/>
        <w:ind w:left="-74" w:firstLine="782"/>
        <w:jc w:val="both"/>
        <w:rPr>
          <w:rFonts w:ascii="Times New Roman" w:hAnsi="Times New Roman" w:cs="Times New Roman"/>
          <w:sz w:val="24"/>
          <w:szCs w:val="24"/>
        </w:rPr>
      </w:pPr>
      <w:r w:rsidRPr="00ED6A68">
        <w:rPr>
          <w:rFonts w:ascii="Times New Roman" w:eastAsia="Times New Roman" w:hAnsi="Times New Roman" w:cs="Times New Roman"/>
          <w:bCs/>
          <w:sz w:val="24"/>
          <w:szCs w:val="24"/>
        </w:rPr>
        <w:t>W art. 3</w:t>
      </w:r>
      <w:r w:rsidRPr="00ED6A68">
        <w:rPr>
          <w:rFonts w:ascii="Times New Roman" w:eastAsia="Times New Roman" w:hAnsi="Times New Roman" w:cs="Times New Roman"/>
          <w:b/>
          <w:bCs/>
          <w:sz w:val="24"/>
          <w:szCs w:val="24"/>
        </w:rPr>
        <w:t xml:space="preserve"> </w:t>
      </w:r>
      <w:r w:rsidRPr="00ED6A68">
        <w:rPr>
          <w:rFonts w:ascii="Times New Roman" w:eastAsia="Times New Roman" w:hAnsi="Times New Roman" w:cs="Times New Roman"/>
          <w:bCs/>
          <w:sz w:val="24"/>
          <w:szCs w:val="24"/>
        </w:rPr>
        <w:t>projektu przewiduje się</w:t>
      </w:r>
      <w:r w:rsidR="00D62048">
        <w:rPr>
          <w:rFonts w:ascii="Times New Roman" w:eastAsia="Times New Roman" w:hAnsi="Times New Roman" w:cs="Times New Roman"/>
          <w:bCs/>
          <w:sz w:val="24"/>
          <w:szCs w:val="24"/>
        </w:rPr>
        <w:t>,</w:t>
      </w:r>
      <w:r w:rsidRPr="00ED6A68">
        <w:rPr>
          <w:rFonts w:ascii="Times New Roman" w:eastAsia="Times New Roman" w:hAnsi="Times New Roman" w:cs="Times New Roman"/>
          <w:bCs/>
          <w:sz w:val="24"/>
          <w:szCs w:val="24"/>
        </w:rPr>
        <w:t xml:space="preserve"> że cywilny ruch lotniczy</w:t>
      </w:r>
      <w:r w:rsidRPr="00ED6A68">
        <w:rPr>
          <w:rFonts w:ascii="Times New Roman" w:eastAsia="Times New Roman" w:hAnsi="Times New Roman" w:cs="Times New Roman"/>
          <w:b/>
          <w:bCs/>
          <w:sz w:val="24"/>
          <w:szCs w:val="24"/>
        </w:rPr>
        <w:t xml:space="preserve"> </w:t>
      </w:r>
      <w:r w:rsidR="00D62048">
        <w:rPr>
          <w:rFonts w:ascii="Times New Roman" w:eastAsia="Times New Roman" w:hAnsi="Times New Roman" w:cs="Times New Roman"/>
          <w:bCs/>
          <w:sz w:val="24"/>
          <w:szCs w:val="24"/>
        </w:rPr>
        <w:t>z</w:t>
      </w:r>
      <w:r w:rsidRPr="00ED6A68">
        <w:rPr>
          <w:rFonts w:ascii="Times New Roman" w:eastAsia="Times New Roman" w:hAnsi="Times New Roman" w:cs="Times New Roman"/>
          <w:b/>
          <w:bCs/>
          <w:sz w:val="24"/>
          <w:szCs w:val="24"/>
        </w:rPr>
        <w:t xml:space="preserve"> </w:t>
      </w:r>
      <w:r w:rsidRPr="00ED6A68">
        <w:rPr>
          <w:rFonts w:ascii="Times New Roman" w:eastAsia="Times New Roman" w:hAnsi="Times New Roman" w:cs="Times New Roman"/>
          <w:bCs/>
          <w:sz w:val="24"/>
          <w:szCs w:val="24"/>
        </w:rPr>
        <w:t>Lotniska im. Fryderyka Chopina w Warszawie będzie odbywał się nie dłużej niż do dnia 31 grudnia 2032 r. Po tym dniu</w:t>
      </w:r>
      <w:r w:rsidR="004A2C2E">
        <w:rPr>
          <w:rFonts w:ascii="Times New Roman" w:eastAsia="Times New Roman" w:hAnsi="Times New Roman" w:cs="Times New Roman"/>
          <w:bCs/>
          <w:sz w:val="24"/>
          <w:szCs w:val="24"/>
        </w:rPr>
        <w:t xml:space="preserve"> ruch ten będzie odbywał się z L</w:t>
      </w:r>
      <w:r w:rsidRPr="00ED6A68">
        <w:rPr>
          <w:rFonts w:ascii="Times New Roman" w:eastAsia="Times New Roman" w:hAnsi="Times New Roman" w:cs="Times New Roman"/>
          <w:bCs/>
          <w:sz w:val="24"/>
          <w:szCs w:val="24"/>
        </w:rPr>
        <w:t xml:space="preserve">otniska Centralnego Portu Komunikacyjnego. </w:t>
      </w:r>
      <w:r w:rsidRPr="00ED6A68">
        <w:rPr>
          <w:rFonts w:ascii="Times New Roman" w:hAnsi="Times New Roman" w:cs="Times New Roman"/>
          <w:sz w:val="24"/>
          <w:szCs w:val="24"/>
        </w:rPr>
        <w:t>Brak przeniesienia całości ruchu lotniczego z Lotniska im. Fryderyka Chopina w Warszawie do</w:t>
      </w:r>
      <w:r w:rsidR="00D62048">
        <w:rPr>
          <w:rFonts w:ascii="Times New Roman" w:hAnsi="Times New Roman" w:cs="Times New Roman"/>
          <w:sz w:val="24"/>
          <w:szCs w:val="24"/>
        </w:rPr>
        <w:t xml:space="preserve"> Portu Lotniczego ,,Solidarność”</w:t>
      </w:r>
      <w:r w:rsidRPr="00ED6A68">
        <w:rPr>
          <w:rFonts w:ascii="Times New Roman" w:hAnsi="Times New Roman" w:cs="Times New Roman"/>
          <w:sz w:val="24"/>
          <w:szCs w:val="24"/>
        </w:rPr>
        <w:t xml:space="preserve"> stanowi krytyczne ryzyko dla Programu. Uruchomienie Lotniska Centralnego Portu Komunikacyjnego wiąże się z koniecznością przeniesienia całego cywilnego ruchu z Lotniska im. Fr</w:t>
      </w:r>
      <w:r w:rsidR="004A2C2E">
        <w:rPr>
          <w:rFonts w:ascii="Times New Roman" w:hAnsi="Times New Roman" w:cs="Times New Roman"/>
          <w:sz w:val="24"/>
          <w:szCs w:val="24"/>
        </w:rPr>
        <w:t>yderyka Chopina w Warszawie do L</w:t>
      </w:r>
      <w:r w:rsidRPr="00ED6A68">
        <w:rPr>
          <w:rFonts w:ascii="Times New Roman" w:hAnsi="Times New Roman" w:cs="Times New Roman"/>
          <w:sz w:val="24"/>
          <w:szCs w:val="24"/>
        </w:rPr>
        <w:t xml:space="preserve">otniska Centralnego Portu </w:t>
      </w:r>
      <w:r w:rsidRPr="00ED6A68">
        <w:rPr>
          <w:rFonts w:ascii="Times New Roman" w:hAnsi="Times New Roman" w:cs="Times New Roman"/>
          <w:sz w:val="24"/>
          <w:szCs w:val="24"/>
        </w:rPr>
        <w:lastRenderedPageBreak/>
        <w:t xml:space="preserve">Komunikacyjnego. Celem tej operacji jest zapewnienie rentowności projektu oraz możliwości pozyskania komercyjnego finansowania dłużnego. Jest to jedno z podstawowych założeń stojących u podstaw zapewnienia </w:t>
      </w:r>
      <w:r w:rsidR="004A2C2E">
        <w:rPr>
          <w:rFonts w:ascii="Times New Roman" w:hAnsi="Times New Roman" w:cs="Times New Roman"/>
          <w:sz w:val="24"/>
          <w:szCs w:val="24"/>
        </w:rPr>
        <w:t>realizacji projektu jakim jest L</w:t>
      </w:r>
      <w:r w:rsidRPr="00ED6A68">
        <w:rPr>
          <w:rFonts w:ascii="Times New Roman" w:hAnsi="Times New Roman" w:cs="Times New Roman"/>
          <w:sz w:val="24"/>
          <w:szCs w:val="24"/>
        </w:rPr>
        <w:t>otnisko Centralnego Portu Komunikacyjnego. Skutkiem przyjętego założenia dotyczącego przeniesienia całości ruchu komercyjnego z Lotniska im. Fryderyk</w:t>
      </w:r>
      <w:r w:rsidR="004A2C2E">
        <w:rPr>
          <w:rFonts w:ascii="Times New Roman" w:hAnsi="Times New Roman" w:cs="Times New Roman"/>
          <w:sz w:val="24"/>
          <w:szCs w:val="24"/>
        </w:rPr>
        <w:t>a Chopina w Warszawie do L</w:t>
      </w:r>
      <w:r w:rsidRPr="00ED6A68">
        <w:rPr>
          <w:rFonts w:ascii="Times New Roman" w:hAnsi="Times New Roman" w:cs="Times New Roman"/>
          <w:sz w:val="24"/>
          <w:szCs w:val="24"/>
        </w:rPr>
        <w:t>otniska Centralnego Portu Komunikacyjnego jest projektowany przepis art. 4, który stanowi, że na Lotnisku im. Fryderyka Chopina w Warszawie mogą być prowadzone wyłącznie inwestycje, co do których, biorąc pod uwagę ich wykorzystanie do dnia 31 grudnia 2032 r., ekonomiczna bieżąca wartość netto inwestycji, rozumiana jako różnica ogółu zdyskontowanych korzyści i kosztów związanych z</w:t>
      </w:r>
      <w:r w:rsidR="00542D7F" w:rsidRPr="00ED6A68">
        <w:rPr>
          <w:rFonts w:ascii="Times New Roman" w:hAnsi="Times New Roman" w:cs="Times New Roman"/>
          <w:sz w:val="24"/>
          <w:szCs w:val="24"/>
        </w:rPr>
        <w:t> </w:t>
      </w:r>
      <w:r w:rsidRPr="00ED6A68">
        <w:rPr>
          <w:rFonts w:ascii="Times New Roman" w:hAnsi="Times New Roman" w:cs="Times New Roman"/>
          <w:sz w:val="24"/>
          <w:szCs w:val="24"/>
        </w:rPr>
        <w:t>inwestycją, jest dodatnia, a finansowanie tych inwestycji nie narusza planu finansowego zawartego w Programie.</w:t>
      </w:r>
    </w:p>
    <w:p w14:paraId="574C2083" w14:textId="7FE3FB70" w:rsidR="004E7CCE" w:rsidRPr="00ED6A68" w:rsidRDefault="004E7CCE" w:rsidP="004E7CCE">
      <w:pPr>
        <w:pStyle w:val="Akapitzlist"/>
        <w:spacing w:line="360" w:lineRule="auto"/>
        <w:ind w:left="0" w:firstLine="708"/>
        <w:jc w:val="both"/>
        <w:rPr>
          <w:rFonts w:ascii="Times New Roman" w:eastAsia="Times New Roman" w:hAnsi="Times New Roman" w:cs="Times New Roman"/>
          <w:bCs/>
          <w:color w:val="auto"/>
          <w:sz w:val="24"/>
          <w:szCs w:val="24"/>
        </w:rPr>
      </w:pPr>
      <w:r w:rsidRPr="00ED6A68">
        <w:rPr>
          <w:rFonts w:ascii="Times New Roman" w:hAnsi="Times New Roman" w:cs="Times New Roman"/>
          <w:color w:val="auto"/>
          <w:sz w:val="24"/>
          <w:szCs w:val="24"/>
        </w:rPr>
        <w:t xml:space="preserve">Jak trafnie zwróciło uwagę Stowarzyszenie „Tak dla CPK” w swoim projekcie ustawy o zobowiązaniu władz publicznych do realizacji inwestycji Centralnego Portu Komunikacyjnego (druk sejmowy nr 699), ryzykiem systemowym dla osiągnięcia celów Programu jest utrzymywanie się systemu dofinansowania połączeń lotniczych przez instytucje publiczne, w szczególności w drodze umów marketingowych. Tego rodzaju działania naruszają zasady wolnej konkurencji poprzez dotowanie przewoźników lotniczych w sposób budzący wątpliwości z punktu widzenia niedozwolonej pomocy publicznej oraz zakłócają wolną konkurencję sektora lotniczego, na której opiera się koncepcja realizacji </w:t>
      </w:r>
      <w:r w:rsidRPr="00ED6A68">
        <w:rPr>
          <w:rFonts w:ascii="Times New Roman" w:eastAsia="Times New Roman" w:hAnsi="Times New Roman" w:cs="Times New Roman"/>
          <w:bCs/>
          <w:color w:val="auto"/>
          <w:sz w:val="24"/>
          <w:szCs w:val="24"/>
        </w:rPr>
        <w:t>Lotniska Centralnego Portu Komunikacyjnego</w:t>
      </w:r>
      <w:r w:rsidRPr="00ED6A68">
        <w:rPr>
          <w:rFonts w:ascii="Times New Roman" w:hAnsi="Times New Roman" w:cs="Times New Roman"/>
          <w:bCs/>
          <w:color w:val="auto"/>
          <w:sz w:val="24"/>
          <w:szCs w:val="24"/>
        </w:rPr>
        <w:t xml:space="preserve">. Dlatego też, uznając powyższe ryzyka za istotne, w art. 5 projektu przewiduje się zakaz </w:t>
      </w:r>
      <w:r w:rsidRPr="00ED6A68">
        <w:rPr>
          <w:rFonts w:ascii="Times New Roman" w:eastAsia="Times New Roman" w:hAnsi="Times New Roman" w:cs="Times New Roman"/>
          <w:bCs/>
          <w:color w:val="auto"/>
          <w:sz w:val="24"/>
          <w:szCs w:val="24"/>
        </w:rPr>
        <w:t xml:space="preserve">dofinansowania połączeń lotniczych przez Skarb Państwa, jednostki samorządu terytorialnego lub ich związki, państwowe osoby prawne oraz komunalne osoby prawne. </w:t>
      </w:r>
      <w:r w:rsidRPr="00ED6A68">
        <w:rPr>
          <w:rFonts w:ascii="Times New Roman" w:hAnsi="Times New Roman" w:cs="Times New Roman"/>
          <w:bCs/>
          <w:color w:val="auto"/>
          <w:sz w:val="24"/>
          <w:szCs w:val="24"/>
        </w:rPr>
        <w:t>Wskazane wyżej podmioty</w:t>
      </w:r>
      <w:r w:rsidRPr="00ED6A68">
        <w:rPr>
          <w:rFonts w:ascii="Times New Roman" w:eastAsia="Times New Roman" w:hAnsi="Times New Roman" w:cs="Times New Roman"/>
          <w:bCs/>
          <w:color w:val="auto"/>
          <w:sz w:val="24"/>
          <w:szCs w:val="24"/>
        </w:rPr>
        <w:t xml:space="preserve"> nie będą mogły </w:t>
      </w:r>
      <w:r w:rsidR="00E32EDD" w:rsidRPr="00ED6A68">
        <w:rPr>
          <w:rFonts w:ascii="Times New Roman" w:eastAsia="Times New Roman" w:hAnsi="Times New Roman" w:cs="Times New Roman"/>
          <w:bCs/>
          <w:color w:val="auto"/>
          <w:sz w:val="24"/>
          <w:szCs w:val="24"/>
        </w:rPr>
        <w:t>w szczególności zawierać umów o </w:t>
      </w:r>
      <w:r w:rsidRPr="00ED6A68">
        <w:rPr>
          <w:rFonts w:ascii="Times New Roman" w:eastAsia="Times New Roman" w:hAnsi="Times New Roman" w:cs="Times New Roman"/>
          <w:bCs/>
          <w:color w:val="auto"/>
          <w:sz w:val="24"/>
          <w:szCs w:val="24"/>
        </w:rPr>
        <w:t xml:space="preserve">charakterze marketingowym, promocyjnym lub innych umów podobnego rodzaju z przewoźnikami lotniczymi lub jednostkami powiązanymi w rozumieniu art. 3 ust. 1 pkt 43 ustawy z dnia 29 września 1994 r. o rachunkowości </w:t>
      </w:r>
      <w:r w:rsidRPr="00ED6A68">
        <w:rPr>
          <w:rFonts w:ascii="Times New Roman" w:hAnsi="Times New Roman" w:cs="Times New Roman"/>
          <w:color w:val="auto"/>
          <w:sz w:val="24"/>
          <w:szCs w:val="24"/>
        </w:rPr>
        <w:t>(Dz. U. z 2023 r. poz. 120 z późn. zm.).</w:t>
      </w:r>
      <w:r w:rsidRPr="00ED6A68">
        <w:rPr>
          <w:rFonts w:ascii="Times New Roman" w:eastAsia="Times New Roman" w:hAnsi="Times New Roman" w:cs="Times New Roman"/>
          <w:bCs/>
          <w:color w:val="auto"/>
          <w:sz w:val="24"/>
          <w:szCs w:val="24"/>
        </w:rPr>
        <w:t xml:space="preserve"> Czynności prawne dokonane z naruszeniem wyżej wskazanego zakazu będą nieważne z mocy prawa. Jednocześnie w projekcie ustawy zawarto stosowny przepis przejściowy, który stanowi, że </w:t>
      </w:r>
      <w:r w:rsidRPr="00ED6A68">
        <w:rPr>
          <w:rFonts w:ascii="Times New Roman" w:eastAsia="Times New Roman" w:hAnsi="Times New Roman" w:cs="Times New Roman"/>
          <w:color w:val="auto"/>
          <w:sz w:val="24"/>
          <w:szCs w:val="24"/>
        </w:rPr>
        <w:t>umowy, o których mowa w art. 5 ust. 1 projektowanej ustawy, trwające przed dnie</w:t>
      </w:r>
      <w:r w:rsidR="00D62048">
        <w:rPr>
          <w:rFonts w:ascii="Times New Roman" w:eastAsia="Times New Roman" w:hAnsi="Times New Roman" w:cs="Times New Roman"/>
          <w:color w:val="auto"/>
          <w:sz w:val="24"/>
          <w:szCs w:val="24"/>
        </w:rPr>
        <w:t>m</w:t>
      </w:r>
      <w:r w:rsidRPr="00ED6A68">
        <w:rPr>
          <w:rFonts w:ascii="Times New Roman" w:eastAsia="Times New Roman" w:hAnsi="Times New Roman" w:cs="Times New Roman"/>
          <w:color w:val="auto"/>
          <w:sz w:val="24"/>
          <w:szCs w:val="24"/>
        </w:rPr>
        <w:t xml:space="preserve"> jej wejścia w życie obowiązują do czasu upływu terminu, na który zostały zawarte albo do czasu wykonania wynikających z nich zobowiązań. Czas obowiązywania umów nie może być przedłużany.</w:t>
      </w:r>
    </w:p>
    <w:p w14:paraId="1E881523" w14:textId="2F063553" w:rsidR="004E7CCE" w:rsidRPr="00ED6A68" w:rsidRDefault="004E7CCE" w:rsidP="004E7CCE">
      <w:pPr>
        <w:pStyle w:val="Akapitzlist"/>
        <w:spacing w:line="360" w:lineRule="auto"/>
        <w:ind w:left="0" w:firstLine="708"/>
        <w:jc w:val="both"/>
        <w:rPr>
          <w:rFonts w:ascii="Times New Roman" w:hAnsi="Times New Roman" w:cs="Times New Roman"/>
          <w:color w:val="auto"/>
          <w:sz w:val="24"/>
          <w:szCs w:val="24"/>
        </w:rPr>
      </w:pPr>
      <w:r w:rsidRPr="00ED6A68">
        <w:rPr>
          <w:rFonts w:ascii="Times New Roman" w:hAnsi="Times New Roman" w:cs="Times New Roman"/>
          <w:color w:val="auto"/>
          <w:sz w:val="24"/>
          <w:szCs w:val="24"/>
        </w:rPr>
        <w:t>W projekcie ustawy, w art. 6, zawarto przepis, który nakłada na Radę Mi</w:t>
      </w:r>
      <w:r w:rsidR="00D62048">
        <w:rPr>
          <w:rFonts w:ascii="Times New Roman" w:hAnsi="Times New Roman" w:cs="Times New Roman"/>
          <w:color w:val="auto"/>
          <w:sz w:val="24"/>
          <w:szCs w:val="24"/>
        </w:rPr>
        <w:t>nistrów obowiązek przedkładania</w:t>
      </w:r>
      <w:r w:rsidRPr="00ED6A68">
        <w:rPr>
          <w:rFonts w:ascii="Times New Roman" w:hAnsi="Times New Roman" w:cs="Times New Roman"/>
          <w:color w:val="auto"/>
          <w:sz w:val="24"/>
          <w:szCs w:val="24"/>
        </w:rPr>
        <w:t xml:space="preserve"> Sejmowi sprawozdania z realiza</w:t>
      </w:r>
      <w:r w:rsidR="00E32EDD" w:rsidRPr="00ED6A68">
        <w:rPr>
          <w:rFonts w:ascii="Times New Roman" w:hAnsi="Times New Roman" w:cs="Times New Roman"/>
          <w:color w:val="auto"/>
          <w:sz w:val="24"/>
          <w:szCs w:val="24"/>
        </w:rPr>
        <w:t xml:space="preserve">cji Programu za rok poprzedni </w:t>
      </w:r>
      <w:r w:rsidR="00E32EDD" w:rsidRPr="00ED6A68">
        <w:rPr>
          <w:rFonts w:ascii="Times New Roman" w:hAnsi="Times New Roman" w:cs="Times New Roman"/>
          <w:color w:val="auto"/>
          <w:sz w:val="24"/>
          <w:szCs w:val="24"/>
        </w:rPr>
        <w:lastRenderedPageBreak/>
        <w:t>w </w:t>
      </w:r>
      <w:r w:rsidRPr="00ED6A68">
        <w:rPr>
          <w:rFonts w:ascii="Times New Roman" w:hAnsi="Times New Roman" w:cs="Times New Roman"/>
          <w:color w:val="auto"/>
          <w:sz w:val="24"/>
          <w:szCs w:val="24"/>
        </w:rPr>
        <w:t>terminie do dnia 30 czerwca każdego roku. Wynika to z faktu, że inwestycje Centra</w:t>
      </w:r>
      <w:r w:rsidR="00D62048">
        <w:rPr>
          <w:rFonts w:ascii="Times New Roman" w:hAnsi="Times New Roman" w:cs="Times New Roman"/>
          <w:color w:val="auto"/>
          <w:sz w:val="24"/>
          <w:szCs w:val="24"/>
        </w:rPr>
        <w:t>lnego Portu Komunikacyjnego mają</w:t>
      </w:r>
      <w:r w:rsidRPr="00ED6A68">
        <w:rPr>
          <w:rFonts w:ascii="Times New Roman" w:hAnsi="Times New Roman" w:cs="Times New Roman"/>
          <w:color w:val="auto"/>
          <w:sz w:val="24"/>
          <w:szCs w:val="24"/>
        </w:rPr>
        <w:t xml:space="preserve"> charakter strategiczny, o doniosłym znaczeniu gospodarczym, społecznym oraz mającym wpływ na bezpieczeństwo państwa w wymiarze zewnętrznym i wewnętrznym. Dlatego tak istotnym jest</w:t>
      </w:r>
      <w:r w:rsidR="00D62048">
        <w:rPr>
          <w:rFonts w:ascii="Times New Roman" w:hAnsi="Times New Roman" w:cs="Times New Roman"/>
          <w:color w:val="auto"/>
          <w:sz w:val="24"/>
          <w:szCs w:val="24"/>
        </w:rPr>
        <w:t>,</w:t>
      </w:r>
      <w:r w:rsidRPr="00ED6A68">
        <w:rPr>
          <w:rFonts w:ascii="Times New Roman" w:hAnsi="Times New Roman" w:cs="Times New Roman"/>
          <w:color w:val="auto"/>
          <w:sz w:val="24"/>
          <w:szCs w:val="24"/>
        </w:rPr>
        <w:t xml:space="preserve"> aby Parlament mógł w zakresie realizacji inwestycji Centralnego Portu Komunikacyjnego otrzymywać aktualne, wyczerpujące informacje na temat Programu jego harmonogramu i wykonania w poszczególnych latach budowy Centralnego Portu Komuni</w:t>
      </w:r>
      <w:r w:rsidR="00D62048">
        <w:rPr>
          <w:rFonts w:ascii="Times New Roman" w:hAnsi="Times New Roman" w:cs="Times New Roman"/>
          <w:color w:val="auto"/>
          <w:sz w:val="24"/>
          <w:szCs w:val="24"/>
        </w:rPr>
        <w:t>kacyjnego. Jednocześnie projekt</w:t>
      </w:r>
      <w:r w:rsidRPr="00ED6A68">
        <w:rPr>
          <w:rFonts w:ascii="Times New Roman" w:hAnsi="Times New Roman" w:cs="Times New Roman"/>
          <w:color w:val="auto"/>
          <w:sz w:val="24"/>
          <w:szCs w:val="24"/>
        </w:rPr>
        <w:t xml:space="preserve"> </w:t>
      </w:r>
      <w:r w:rsidR="00D62048">
        <w:rPr>
          <w:rFonts w:ascii="Times New Roman" w:hAnsi="Times New Roman" w:cs="Times New Roman"/>
          <w:color w:val="auto"/>
          <w:sz w:val="24"/>
          <w:szCs w:val="24"/>
        </w:rPr>
        <w:t>ustawy w przepisie przejściowym (art. 11)</w:t>
      </w:r>
      <w:r w:rsidRPr="00ED6A68">
        <w:rPr>
          <w:rFonts w:ascii="Times New Roman" w:hAnsi="Times New Roman" w:cs="Times New Roman"/>
          <w:color w:val="auto"/>
          <w:sz w:val="24"/>
          <w:szCs w:val="24"/>
        </w:rPr>
        <w:t xml:space="preserve"> określa, że pierwsze sprawozdanie w tym zakresie Rada Ministrów przedkłada Sejmowi za rok 2025.</w:t>
      </w:r>
    </w:p>
    <w:p w14:paraId="659FA77F" w14:textId="3F4154E1" w:rsidR="004E7CCE" w:rsidRPr="00ED6A68" w:rsidRDefault="004E7CCE" w:rsidP="004E7CCE">
      <w:pPr>
        <w:pStyle w:val="Akapitzlist"/>
        <w:spacing w:line="360" w:lineRule="auto"/>
        <w:ind w:left="0" w:firstLine="708"/>
        <w:jc w:val="both"/>
        <w:rPr>
          <w:rFonts w:ascii="Times New Roman" w:eastAsia="Times New Roman" w:hAnsi="Times New Roman" w:cs="Times New Roman"/>
          <w:bCs/>
          <w:color w:val="auto"/>
          <w:sz w:val="24"/>
          <w:szCs w:val="24"/>
        </w:rPr>
      </w:pPr>
      <w:r w:rsidRPr="00ED6A68">
        <w:rPr>
          <w:rFonts w:ascii="Times New Roman" w:hAnsi="Times New Roman" w:cs="Times New Roman"/>
          <w:color w:val="auto"/>
          <w:sz w:val="24"/>
          <w:szCs w:val="24"/>
        </w:rPr>
        <w:t>W art. 7 projektu wprowadza się zmiany w ustawie z dnia 10 maja 2018 r. o Centralnym Porcie Komunikacy</w:t>
      </w:r>
      <w:r w:rsidR="00D62048">
        <w:rPr>
          <w:rFonts w:ascii="Times New Roman" w:hAnsi="Times New Roman" w:cs="Times New Roman"/>
          <w:color w:val="auto"/>
          <w:sz w:val="24"/>
          <w:szCs w:val="24"/>
        </w:rPr>
        <w:t>jnym (Dz. U. z 2024 r. poz. 1747</w:t>
      </w:r>
      <w:r w:rsidRPr="00ED6A68">
        <w:rPr>
          <w:rFonts w:ascii="Times New Roman" w:hAnsi="Times New Roman" w:cs="Times New Roman"/>
          <w:color w:val="auto"/>
          <w:sz w:val="24"/>
          <w:szCs w:val="24"/>
        </w:rPr>
        <w:t xml:space="preserve">). Celem tych zmian jest przede wszystkim zapewnienie starannego doboru kadry zarządzającej Programem. Projektowana ustawa wprowadza dodatkowe warunki podmiotowe odnoszące się do członków zarządu Spółki Celowej oraz Rady Nadzorczej tej spółki, </w:t>
      </w:r>
      <w:r w:rsidR="00E32EDD" w:rsidRPr="00ED6A68">
        <w:rPr>
          <w:rFonts w:ascii="Times New Roman" w:hAnsi="Times New Roman" w:cs="Times New Roman"/>
          <w:color w:val="auto"/>
          <w:sz w:val="24"/>
          <w:szCs w:val="24"/>
        </w:rPr>
        <w:t>w szczególności związane z </w:t>
      </w:r>
      <w:r w:rsidRPr="00ED6A68">
        <w:rPr>
          <w:rFonts w:ascii="Times New Roman" w:hAnsi="Times New Roman" w:cs="Times New Roman"/>
          <w:color w:val="auto"/>
          <w:sz w:val="24"/>
          <w:szCs w:val="24"/>
        </w:rPr>
        <w:t xml:space="preserve">wymogiem posiadania należytego doświadczenia kierowniczego w zakresie prowadzenia inwestycji lotniskowych, kolejowych lub przy finansowaniu inwestycji infrastrukturalnych. Przewiduje się, że większość członków zarządu Spółki Celowej </w:t>
      </w:r>
      <w:r w:rsidR="004A2C2E">
        <w:rPr>
          <w:rFonts w:ascii="Times New Roman" w:hAnsi="Times New Roman" w:cs="Times New Roman"/>
          <w:color w:val="auto"/>
          <w:sz w:val="24"/>
          <w:szCs w:val="24"/>
        </w:rPr>
        <w:t>będą stanowić</w:t>
      </w:r>
      <w:r w:rsidRPr="00ED6A68">
        <w:rPr>
          <w:rFonts w:ascii="Times New Roman" w:hAnsi="Times New Roman" w:cs="Times New Roman"/>
          <w:color w:val="auto"/>
          <w:sz w:val="24"/>
          <w:szCs w:val="24"/>
        </w:rPr>
        <w:t xml:space="preserve"> osoby, które posiadają wiedzę i co najmniej trzyletnie doświadczenie kierownicze w zakresie prowadzenia lub finansowania inwestycji infrastrukturalnych o budżecie w wysokości co najmniej 500.000.000 zł każda. W przypadku członka rady Nadzorczej Spółki Celowej przewiduje się, że musi on spełniać łącznie następujące warunki:</w:t>
      </w:r>
    </w:p>
    <w:p w14:paraId="38E98D6D" w14:textId="77777777" w:rsidR="004E7CCE" w:rsidRPr="00ED6A68" w:rsidRDefault="004E7CCE" w:rsidP="004E7CCE">
      <w:pPr>
        <w:spacing w:after="0" w:line="360" w:lineRule="auto"/>
        <w:jc w:val="both"/>
        <w:rPr>
          <w:rFonts w:ascii="Times New Roman" w:eastAsia="Times New Roman" w:hAnsi="Times New Roman" w:cs="Times New Roman"/>
          <w:sz w:val="24"/>
          <w:szCs w:val="24"/>
        </w:rPr>
      </w:pPr>
      <w:r w:rsidRPr="00ED6A68">
        <w:rPr>
          <w:rFonts w:ascii="Times New Roman" w:eastAsia="Times New Roman" w:hAnsi="Times New Roman" w:cs="Times New Roman"/>
          <w:sz w:val="24"/>
          <w:szCs w:val="24"/>
        </w:rPr>
        <w:t>1) posiada pełną zdolność do czynności prawnych;</w:t>
      </w:r>
    </w:p>
    <w:p w14:paraId="72E363B7" w14:textId="77777777" w:rsidR="004E7CCE" w:rsidRPr="00ED6A68" w:rsidRDefault="004E7CCE" w:rsidP="004E7CCE">
      <w:pPr>
        <w:spacing w:after="0" w:line="360" w:lineRule="auto"/>
        <w:jc w:val="both"/>
        <w:rPr>
          <w:rFonts w:ascii="Times New Roman" w:eastAsia="Times New Roman" w:hAnsi="Times New Roman" w:cs="Times New Roman"/>
          <w:sz w:val="24"/>
          <w:szCs w:val="24"/>
        </w:rPr>
      </w:pPr>
      <w:bookmarkStart w:id="0" w:name="mip72526917"/>
      <w:bookmarkEnd w:id="0"/>
      <w:r w:rsidRPr="00ED6A68">
        <w:rPr>
          <w:rFonts w:ascii="Times New Roman" w:eastAsia="Times New Roman" w:hAnsi="Times New Roman" w:cs="Times New Roman"/>
          <w:sz w:val="24"/>
          <w:szCs w:val="24"/>
        </w:rPr>
        <w:t>2) posiada wyższe wykształcenie lub wykształcenie wyżs</w:t>
      </w:r>
      <w:r w:rsidR="00E32EDD" w:rsidRPr="00ED6A68">
        <w:rPr>
          <w:rFonts w:ascii="Times New Roman" w:eastAsia="Times New Roman" w:hAnsi="Times New Roman" w:cs="Times New Roman"/>
          <w:sz w:val="24"/>
          <w:szCs w:val="24"/>
        </w:rPr>
        <w:t>ze uzyskane za granicą uznane w </w:t>
      </w:r>
      <w:r w:rsidRPr="00ED6A68">
        <w:rPr>
          <w:rFonts w:ascii="Times New Roman" w:eastAsia="Times New Roman" w:hAnsi="Times New Roman" w:cs="Times New Roman"/>
          <w:sz w:val="24"/>
          <w:szCs w:val="24"/>
        </w:rPr>
        <w:t>Rzeczypospolitej Polskiej, na podstawie przepisów odrębnych;</w:t>
      </w:r>
    </w:p>
    <w:p w14:paraId="18754A82" w14:textId="77777777" w:rsidR="004E7CCE" w:rsidRPr="00ED6A68" w:rsidRDefault="004E7CCE" w:rsidP="004E7CCE">
      <w:pPr>
        <w:spacing w:after="0" w:line="360" w:lineRule="auto"/>
        <w:jc w:val="both"/>
        <w:rPr>
          <w:rFonts w:ascii="Times New Roman" w:eastAsia="Times New Roman" w:hAnsi="Times New Roman" w:cs="Times New Roman"/>
          <w:sz w:val="24"/>
          <w:szCs w:val="24"/>
        </w:rPr>
      </w:pPr>
      <w:bookmarkStart w:id="1" w:name="mip72526918"/>
      <w:bookmarkEnd w:id="1"/>
      <w:r w:rsidRPr="00ED6A68">
        <w:rPr>
          <w:rFonts w:ascii="Times New Roman" w:eastAsia="Times New Roman" w:hAnsi="Times New Roman" w:cs="Times New Roman"/>
          <w:sz w:val="24"/>
          <w:szCs w:val="24"/>
        </w:rPr>
        <w:t>3) nie jest prawomocnie skazana za umyślne przestępstwo lub umyślne przestępstwo skarbowe;</w:t>
      </w:r>
    </w:p>
    <w:p w14:paraId="66B82DC6" w14:textId="77777777" w:rsidR="004E7CCE" w:rsidRPr="00ED6A68" w:rsidRDefault="004E7CCE" w:rsidP="004E7CCE">
      <w:pPr>
        <w:spacing w:after="0" w:line="360" w:lineRule="auto"/>
        <w:jc w:val="both"/>
        <w:rPr>
          <w:rFonts w:ascii="Times New Roman" w:eastAsia="Times New Roman" w:hAnsi="Times New Roman" w:cs="Times New Roman"/>
          <w:sz w:val="24"/>
          <w:szCs w:val="24"/>
        </w:rPr>
      </w:pPr>
      <w:bookmarkStart w:id="2" w:name="mip72526919"/>
      <w:bookmarkEnd w:id="2"/>
      <w:r w:rsidRPr="00ED6A68">
        <w:rPr>
          <w:rFonts w:ascii="Times New Roman" w:eastAsia="Times New Roman" w:hAnsi="Times New Roman" w:cs="Times New Roman"/>
          <w:sz w:val="24"/>
          <w:szCs w:val="24"/>
        </w:rPr>
        <w:t>4) posiada wiedzę i co najmniej trzyletnie doświadczenie kierownicze lub nadzorcze w zakresie prowadzenia lub finansowania inwestycji infrastrukturalnych o budżecie w wysokości co najmniej 500.000.000 zł każda;</w:t>
      </w:r>
    </w:p>
    <w:p w14:paraId="42C0E8E2" w14:textId="77777777" w:rsidR="004E7CCE" w:rsidRPr="00ED6A68" w:rsidRDefault="004E7CCE" w:rsidP="004E7CCE">
      <w:pPr>
        <w:spacing w:after="0" w:line="360" w:lineRule="auto"/>
        <w:jc w:val="both"/>
        <w:rPr>
          <w:rFonts w:ascii="Times New Roman" w:eastAsia="Times New Roman" w:hAnsi="Times New Roman" w:cs="Times New Roman"/>
          <w:sz w:val="24"/>
          <w:szCs w:val="24"/>
        </w:rPr>
      </w:pPr>
      <w:r w:rsidRPr="00ED6A68">
        <w:rPr>
          <w:rFonts w:ascii="Times New Roman" w:eastAsia="Times New Roman" w:hAnsi="Times New Roman" w:cs="Times New Roman"/>
          <w:sz w:val="24"/>
          <w:szCs w:val="24"/>
        </w:rPr>
        <w:t>5) spełnia kryteria niezależności członka rady nadzorczej określone przez Komisję Europejską w załączniku II do Zalecenia Komisji z dnia 15 lutego 2005 r. dotyczącego roli dyrektorów niewykonawczych lub będących członkami rady nadzorczej spółek giełdowych i komisji rady (nadzorczej) (Dz. Urz. UE L 52/51 z 25.02.2005 r.);</w:t>
      </w:r>
    </w:p>
    <w:p w14:paraId="7DB30BC7" w14:textId="77777777" w:rsidR="004E7CCE" w:rsidRPr="00ED6A68" w:rsidRDefault="004E7CCE" w:rsidP="004E7CCE">
      <w:pPr>
        <w:spacing w:after="0" w:line="360" w:lineRule="auto"/>
        <w:jc w:val="both"/>
        <w:rPr>
          <w:rFonts w:ascii="Times New Roman" w:hAnsi="Times New Roman" w:cs="Times New Roman"/>
          <w:sz w:val="24"/>
          <w:szCs w:val="24"/>
        </w:rPr>
      </w:pPr>
      <w:r w:rsidRPr="00ED6A68">
        <w:rPr>
          <w:rFonts w:ascii="Times New Roman" w:eastAsia="Times New Roman" w:hAnsi="Times New Roman" w:cs="Times New Roman"/>
          <w:sz w:val="24"/>
          <w:szCs w:val="24"/>
        </w:rPr>
        <w:t xml:space="preserve">6) spełnia </w:t>
      </w:r>
      <w:bookmarkStart w:id="3" w:name="mip72526926"/>
      <w:bookmarkEnd w:id="3"/>
      <w:r w:rsidRPr="00ED6A68">
        <w:rPr>
          <w:rFonts w:ascii="Times New Roman" w:eastAsia="Times New Roman" w:hAnsi="Times New Roman" w:cs="Times New Roman"/>
          <w:sz w:val="24"/>
          <w:szCs w:val="24"/>
        </w:rPr>
        <w:t xml:space="preserve">wymogi określone w art. 19 ust. 5 ustawy z dnia 16 grudnia 2016 r. o zasadach zarządzania mieniem państwowym (Dz. U. z </w:t>
      </w:r>
      <w:r w:rsidRPr="00ED6A68">
        <w:rPr>
          <w:rFonts w:ascii="Times New Roman" w:hAnsi="Times New Roman" w:cs="Times New Roman"/>
          <w:sz w:val="24"/>
          <w:szCs w:val="24"/>
        </w:rPr>
        <w:t>2024 r. poz. 125, 834, 1823, 1897, 1940).</w:t>
      </w:r>
    </w:p>
    <w:p w14:paraId="58D7BDCA" w14:textId="320B6C02" w:rsidR="004E7CCE" w:rsidRPr="00ED6A68" w:rsidRDefault="004E7CCE" w:rsidP="00321F47">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lastRenderedPageBreak/>
        <w:t xml:space="preserve">Przewidziano także, </w:t>
      </w:r>
      <w:r w:rsidR="004A2C2E">
        <w:rPr>
          <w:rFonts w:ascii="Times New Roman" w:hAnsi="Times New Roman" w:cs="Times New Roman"/>
          <w:sz w:val="24"/>
          <w:szCs w:val="24"/>
        </w:rPr>
        <w:t xml:space="preserve">że </w:t>
      </w:r>
      <w:r w:rsidRPr="00ED6A68">
        <w:rPr>
          <w:rFonts w:ascii="Times New Roman" w:hAnsi="Times New Roman" w:cs="Times New Roman"/>
          <w:sz w:val="24"/>
          <w:szCs w:val="24"/>
        </w:rPr>
        <w:t>w celu zapewnienia wszechstronnego nadzoru nad realizacją Programu</w:t>
      </w:r>
      <w:r w:rsidR="004A2C2E">
        <w:rPr>
          <w:rFonts w:ascii="Times New Roman" w:hAnsi="Times New Roman" w:cs="Times New Roman"/>
          <w:sz w:val="24"/>
          <w:szCs w:val="24"/>
        </w:rPr>
        <w:t>,</w:t>
      </w:r>
      <w:r w:rsidRPr="00ED6A68">
        <w:rPr>
          <w:rFonts w:ascii="Times New Roman" w:hAnsi="Times New Roman" w:cs="Times New Roman"/>
          <w:sz w:val="24"/>
          <w:szCs w:val="24"/>
        </w:rPr>
        <w:t xml:space="preserve"> w skład Rady Nadzorczej Spółki Celowej wejdzie po jednym przedstawicielu Prezydenta Rzeczypospolitej Polskiej, ministra właściwego do spraw instytucji finansowych, Ministra Obrony Narodowej, ministra właściwego do spraw transportu oraz Pełnomocnika Rządu do spraw Centralnego Portu Komunikacyjnego. </w:t>
      </w:r>
    </w:p>
    <w:p w14:paraId="6798C8D2" w14:textId="77777777" w:rsidR="004E7CCE" w:rsidRPr="00ED6A68" w:rsidRDefault="004E7CCE" w:rsidP="00321F47">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Dodatkowo projekt ustawy przewiduje, że Rada Nadzorcza Spółki Celowej opracowuje i </w:t>
      </w:r>
      <w:r w:rsidRPr="00ED6A68">
        <w:rPr>
          <w:rFonts w:ascii="Times New Roman" w:eastAsia="Times New Roman" w:hAnsi="Times New Roman" w:cs="Times New Roman"/>
          <w:sz w:val="24"/>
          <w:szCs w:val="24"/>
        </w:rPr>
        <w:t>udziela zarządowi Spółki Celowej wytycznych dotyczącyc</w:t>
      </w:r>
      <w:r w:rsidRPr="00ED6A68">
        <w:rPr>
          <w:rFonts w:ascii="Times New Roman" w:hAnsi="Times New Roman" w:cs="Times New Roman"/>
          <w:sz w:val="24"/>
          <w:szCs w:val="24"/>
        </w:rPr>
        <w:t>h działalności Spółki Celowej w </w:t>
      </w:r>
      <w:r w:rsidRPr="00ED6A68">
        <w:rPr>
          <w:rFonts w:ascii="Times New Roman" w:eastAsia="Times New Roman" w:hAnsi="Times New Roman" w:cs="Times New Roman"/>
          <w:sz w:val="24"/>
          <w:szCs w:val="24"/>
        </w:rPr>
        <w:t>zakresie realizacji celów określonych w ustawie l</w:t>
      </w:r>
      <w:r w:rsidRPr="00ED6A68">
        <w:rPr>
          <w:rFonts w:ascii="Times New Roman" w:hAnsi="Times New Roman" w:cs="Times New Roman"/>
          <w:sz w:val="24"/>
          <w:szCs w:val="24"/>
        </w:rPr>
        <w:t xml:space="preserve">ub akcie założycielskim oraz </w:t>
      </w:r>
      <w:r w:rsidRPr="00ED6A68">
        <w:rPr>
          <w:rFonts w:ascii="Times New Roman" w:eastAsia="Times New Roman" w:hAnsi="Times New Roman" w:cs="Times New Roman"/>
          <w:sz w:val="24"/>
          <w:szCs w:val="24"/>
        </w:rPr>
        <w:t>uchyla uchwały zarządu Spółki Celowej niezgodne z przepisami prawa, postanowieniami aktu założycielskiego, Programem lub Dokumentem Wdrażającym.</w:t>
      </w:r>
      <w:r w:rsidRPr="00ED6A68">
        <w:rPr>
          <w:rFonts w:ascii="Times New Roman" w:hAnsi="Times New Roman" w:cs="Times New Roman"/>
          <w:sz w:val="24"/>
          <w:szCs w:val="24"/>
        </w:rPr>
        <w:t xml:space="preserve"> </w:t>
      </w:r>
    </w:p>
    <w:p w14:paraId="6B5D0358" w14:textId="77777777" w:rsidR="00E32EDD" w:rsidRPr="00ED6A68" w:rsidRDefault="004E7CCE" w:rsidP="00321F47">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Projekt ustawy określa ponadto, że cz</w:t>
      </w:r>
      <w:r w:rsidRPr="00ED6A68">
        <w:rPr>
          <w:rFonts w:ascii="Times New Roman" w:eastAsia="Times New Roman" w:hAnsi="Times New Roman" w:cs="Times New Roman"/>
          <w:sz w:val="24"/>
          <w:szCs w:val="24"/>
        </w:rPr>
        <w:t>łonkowie Rady Nadzorczej Spółki Celowej są powoływani na wspólną, trzyletnią kadencję. Mandat członka Rady Nadzorczej Spółki Celowej wygasa z upływem kadencji Rady Nadzorczej, wskutek śmierci, złożenia rezygnacji albo odwołania z Rady Nadzorczej.</w:t>
      </w:r>
      <w:r w:rsidRPr="00ED6A68">
        <w:rPr>
          <w:rFonts w:ascii="Times New Roman" w:hAnsi="Times New Roman" w:cs="Times New Roman"/>
          <w:sz w:val="24"/>
          <w:szCs w:val="24"/>
        </w:rPr>
        <w:t xml:space="preserve"> </w:t>
      </w:r>
      <w:r w:rsidRPr="00ED6A68">
        <w:rPr>
          <w:rFonts w:ascii="Times New Roman" w:eastAsia="Times New Roman" w:hAnsi="Times New Roman" w:cs="Times New Roman"/>
          <w:sz w:val="24"/>
          <w:szCs w:val="24"/>
        </w:rPr>
        <w:t>W przypadku wygaśnięcia mandatu członka Rady Nadzorczej Spółki Celowej w trakcie trwania kadencji Rady Nadzorczej powołanie nowego członka następuje na okres do końca kadenc</w:t>
      </w:r>
      <w:r w:rsidRPr="00ED6A68">
        <w:rPr>
          <w:rFonts w:ascii="Times New Roman" w:hAnsi="Times New Roman" w:cs="Times New Roman"/>
          <w:sz w:val="24"/>
          <w:szCs w:val="24"/>
        </w:rPr>
        <w:t>ji Rady Nadzorczej.</w:t>
      </w:r>
      <w:r w:rsidRPr="00ED6A68">
        <w:rPr>
          <w:rFonts w:ascii="Times New Roman" w:eastAsia="Times New Roman" w:hAnsi="Times New Roman" w:cs="Times New Roman"/>
          <w:sz w:val="24"/>
          <w:szCs w:val="24"/>
        </w:rPr>
        <w:t xml:space="preserve"> Po upływie kadencji Rady Nadzorczej Spółki Celowej członkowie Rady Nadzorczej pełnią obowiązki do dnia powołania nowej Rady Nadzorczej.</w:t>
      </w:r>
      <w:r w:rsidRPr="00ED6A68">
        <w:rPr>
          <w:rFonts w:ascii="Times New Roman" w:hAnsi="Times New Roman" w:cs="Times New Roman"/>
          <w:sz w:val="24"/>
          <w:szCs w:val="24"/>
        </w:rPr>
        <w:t xml:space="preserve"> </w:t>
      </w:r>
    </w:p>
    <w:p w14:paraId="6A5625C0" w14:textId="0B5488DC" w:rsidR="00E32EDD" w:rsidRPr="004A2C2E" w:rsidRDefault="004E7CCE" w:rsidP="004A2C2E">
      <w:pPr>
        <w:spacing w:after="0" w:line="360" w:lineRule="auto"/>
        <w:ind w:firstLine="708"/>
        <w:jc w:val="both"/>
        <w:rPr>
          <w:rFonts w:ascii="Times New Roman" w:eastAsia="Times New Roman" w:hAnsi="Times New Roman" w:cs="Times New Roman"/>
          <w:sz w:val="24"/>
          <w:szCs w:val="24"/>
        </w:rPr>
      </w:pPr>
      <w:r w:rsidRPr="00ED6A68">
        <w:rPr>
          <w:rFonts w:ascii="Times New Roman" w:hAnsi="Times New Roman" w:cs="Times New Roman"/>
          <w:sz w:val="24"/>
          <w:szCs w:val="24"/>
        </w:rPr>
        <w:t>W projektowanej zmianie do ustawy z dnia 10 maja 2018 r. o Centralnym Porcie Komunikacyjnym nadano nowe brzmienie art. 24, którego celem jest doprecyzowanie obowiązków sprawozdawczych ciążący</w:t>
      </w:r>
      <w:r w:rsidR="00C94B4A">
        <w:rPr>
          <w:rFonts w:ascii="Times New Roman" w:hAnsi="Times New Roman" w:cs="Times New Roman"/>
          <w:sz w:val="24"/>
          <w:szCs w:val="24"/>
        </w:rPr>
        <w:t>ch</w:t>
      </w:r>
      <w:r w:rsidRPr="00ED6A68">
        <w:rPr>
          <w:rFonts w:ascii="Times New Roman" w:hAnsi="Times New Roman" w:cs="Times New Roman"/>
          <w:sz w:val="24"/>
          <w:szCs w:val="24"/>
        </w:rPr>
        <w:t xml:space="preserve"> na Spółce Celowej oraz wprowadzono obowiązek publikacji wymienionych sprawozdań na stronie internetowej Spółki Celowej. </w:t>
      </w:r>
      <w:r w:rsidRPr="00ED6A68">
        <w:rPr>
          <w:rFonts w:ascii="Times New Roman" w:eastAsia="Times New Roman" w:hAnsi="Times New Roman" w:cs="Times New Roman"/>
          <w:sz w:val="24"/>
          <w:szCs w:val="24"/>
        </w:rPr>
        <w:t>Spółka Celowa przedkłada Pełnomocnikowi, kwartalnie, w terminie do 15 dnia miesiąca następującego po zakończeniu kwartału kalendarzowego, i każdorazowo na jego żądanie we wskazanym terminie, sprawozdanie o postępie realizacji Programu i ryzykach związanych z wdrażaniem Programu. Sprawozdanie obejmuje w szczególności wskazanie działań, które powinny zostać podjęte w minionym okresie sprawozdawczym, oraz</w:t>
      </w:r>
      <w:r w:rsidR="00E32EDD" w:rsidRPr="00ED6A68">
        <w:rPr>
          <w:rFonts w:ascii="Times New Roman" w:eastAsia="Times New Roman" w:hAnsi="Times New Roman" w:cs="Times New Roman"/>
          <w:sz w:val="24"/>
          <w:szCs w:val="24"/>
        </w:rPr>
        <w:t xml:space="preserve"> które powinny zostać podjęte w </w:t>
      </w:r>
      <w:r w:rsidRPr="00ED6A68">
        <w:rPr>
          <w:rFonts w:ascii="Times New Roman" w:eastAsia="Times New Roman" w:hAnsi="Times New Roman" w:cs="Times New Roman"/>
          <w:sz w:val="24"/>
          <w:szCs w:val="24"/>
        </w:rPr>
        <w:t xml:space="preserve">najbliższym okresie sprawozdawczym, w celu zapewnienia </w:t>
      </w:r>
      <w:r w:rsidR="00E32EDD" w:rsidRPr="00ED6A68">
        <w:rPr>
          <w:rFonts w:ascii="Times New Roman" w:eastAsia="Times New Roman" w:hAnsi="Times New Roman" w:cs="Times New Roman"/>
          <w:sz w:val="24"/>
          <w:szCs w:val="24"/>
        </w:rPr>
        <w:t>realizacji Inwestycji zgodnie z </w:t>
      </w:r>
      <w:r w:rsidRPr="00ED6A68">
        <w:rPr>
          <w:rFonts w:ascii="Times New Roman" w:eastAsia="Times New Roman" w:hAnsi="Times New Roman" w:cs="Times New Roman"/>
          <w:sz w:val="24"/>
          <w:szCs w:val="24"/>
        </w:rPr>
        <w:t>Programem, daty wszczęcia i terminy wynikające z ustaw dla wszelkich postępowań administracyjnych prowadzonych przez Spółkę Celową oraz pr</w:t>
      </w:r>
      <w:r w:rsidR="004A2C2E">
        <w:rPr>
          <w:rFonts w:ascii="Times New Roman" w:eastAsia="Times New Roman" w:hAnsi="Times New Roman" w:cs="Times New Roman"/>
          <w:sz w:val="24"/>
          <w:szCs w:val="24"/>
        </w:rPr>
        <w:t>zewidywany harmonogram Programu</w:t>
      </w:r>
      <w:r w:rsidRPr="00ED6A68">
        <w:rPr>
          <w:rFonts w:ascii="Times New Roman" w:eastAsia="Times New Roman" w:hAnsi="Times New Roman" w:cs="Times New Roman"/>
          <w:sz w:val="24"/>
          <w:szCs w:val="24"/>
        </w:rPr>
        <w:t xml:space="preserve"> wraz z informacją o stopniu jego realizacji przedstawioną zgodnie z metodyką wartości wypracowanej, pozwalającą na kontrolę postępu</w:t>
      </w:r>
      <w:r w:rsidR="004A2C2E">
        <w:rPr>
          <w:rFonts w:ascii="Times New Roman" w:eastAsia="Times New Roman" w:hAnsi="Times New Roman" w:cs="Times New Roman"/>
          <w:sz w:val="24"/>
          <w:szCs w:val="24"/>
        </w:rPr>
        <w:t xml:space="preserve"> realizacji projektów w wymiarze zakresu, kosztu i czasu</w:t>
      </w:r>
      <w:r w:rsidRPr="00ED6A68">
        <w:rPr>
          <w:rFonts w:ascii="Times New Roman" w:eastAsia="Times New Roman" w:hAnsi="Times New Roman" w:cs="Times New Roman"/>
          <w:sz w:val="24"/>
          <w:szCs w:val="24"/>
        </w:rPr>
        <w:t xml:space="preserve"> (Earned Value Management).</w:t>
      </w:r>
    </w:p>
    <w:p w14:paraId="05F32E6A" w14:textId="0B984BDE" w:rsidR="00E32EDD" w:rsidRPr="00ED6A68" w:rsidRDefault="004E7CCE" w:rsidP="00E32EDD">
      <w:pPr>
        <w:spacing w:after="0" w:line="360" w:lineRule="auto"/>
        <w:ind w:firstLine="708"/>
        <w:jc w:val="both"/>
        <w:rPr>
          <w:rFonts w:ascii="Times New Roman" w:eastAsia="Times New Roman" w:hAnsi="Times New Roman" w:cs="Times New Roman"/>
          <w:sz w:val="24"/>
          <w:szCs w:val="24"/>
        </w:rPr>
      </w:pPr>
      <w:r w:rsidRPr="00ED6A68">
        <w:rPr>
          <w:rFonts w:ascii="Times New Roman" w:hAnsi="Times New Roman" w:cs="Times New Roman"/>
          <w:sz w:val="24"/>
          <w:szCs w:val="24"/>
        </w:rPr>
        <w:lastRenderedPageBreak/>
        <w:t>Jednocześnie p</w:t>
      </w:r>
      <w:r w:rsidR="001D6BCB">
        <w:rPr>
          <w:rFonts w:ascii="Times New Roman" w:hAnsi="Times New Roman" w:cs="Times New Roman"/>
          <w:sz w:val="24"/>
          <w:szCs w:val="24"/>
        </w:rPr>
        <w:t>rojekt ustawy przewiduje stosow</w:t>
      </w:r>
      <w:r w:rsidRPr="00ED6A68">
        <w:rPr>
          <w:rFonts w:ascii="Times New Roman" w:hAnsi="Times New Roman" w:cs="Times New Roman"/>
          <w:sz w:val="24"/>
          <w:szCs w:val="24"/>
        </w:rPr>
        <w:t xml:space="preserve">ne przepisy dostosowujące w związku z proponowanymi zmianami w przepisach dotyczących organów Spółki Celowej, o której mowa w ustawie z dnia </w:t>
      </w:r>
      <w:r w:rsidRPr="00ED6A68">
        <w:rPr>
          <w:rFonts w:ascii="Times New Roman" w:eastAsia="Times New Roman" w:hAnsi="Times New Roman" w:cs="Times New Roman"/>
          <w:sz w:val="24"/>
          <w:szCs w:val="24"/>
        </w:rPr>
        <w:t>10 maja 2018 r. o Centralnym Porcie Komunikacyjnym. Projekt zakłada, że w terminie 60 dni od dnia</w:t>
      </w:r>
      <w:r w:rsidR="004A2C2E">
        <w:rPr>
          <w:rFonts w:ascii="Times New Roman" w:eastAsia="Times New Roman" w:hAnsi="Times New Roman" w:cs="Times New Roman"/>
          <w:sz w:val="24"/>
          <w:szCs w:val="24"/>
        </w:rPr>
        <w:t xml:space="preserve"> wejścia w życie projektowanej </w:t>
      </w:r>
      <w:r w:rsidRPr="00ED6A68">
        <w:rPr>
          <w:rFonts w:ascii="Times New Roman" w:eastAsia="Times New Roman" w:hAnsi="Times New Roman" w:cs="Times New Roman"/>
          <w:sz w:val="24"/>
          <w:szCs w:val="24"/>
        </w:rPr>
        <w:t>ustawy Pełnomocnik Rządu do spraw Centralnego Portu Komunikacyjnego dostosuje a</w:t>
      </w:r>
      <w:r w:rsidR="004A2C2E">
        <w:rPr>
          <w:rFonts w:ascii="Times New Roman" w:eastAsia="Times New Roman" w:hAnsi="Times New Roman" w:cs="Times New Roman"/>
          <w:sz w:val="24"/>
          <w:szCs w:val="24"/>
        </w:rPr>
        <w:t>kt założycielski Spółki Celowej</w:t>
      </w:r>
      <w:r w:rsidRPr="00ED6A68">
        <w:rPr>
          <w:rFonts w:ascii="Times New Roman" w:eastAsia="Times New Roman" w:hAnsi="Times New Roman" w:cs="Times New Roman"/>
          <w:sz w:val="24"/>
          <w:szCs w:val="24"/>
        </w:rPr>
        <w:t xml:space="preserve"> </w:t>
      </w:r>
      <w:r w:rsidRPr="00ED6A68">
        <w:rPr>
          <w:rFonts w:ascii="Times New Roman" w:hAnsi="Times New Roman" w:cs="Times New Roman"/>
          <w:sz w:val="24"/>
          <w:szCs w:val="24"/>
        </w:rPr>
        <w:t>do</w:t>
      </w:r>
      <w:r w:rsidR="004A2C2E">
        <w:rPr>
          <w:rFonts w:ascii="Times New Roman" w:hAnsi="Times New Roman" w:cs="Times New Roman"/>
          <w:sz w:val="24"/>
          <w:szCs w:val="24"/>
        </w:rPr>
        <w:t xml:space="preserve"> jej wymogów określonych w</w:t>
      </w:r>
      <w:r w:rsidRPr="00ED6A68">
        <w:rPr>
          <w:rFonts w:ascii="Times New Roman" w:hAnsi="Times New Roman" w:cs="Times New Roman"/>
          <w:sz w:val="24"/>
          <w:szCs w:val="24"/>
        </w:rPr>
        <w:t xml:space="preserve"> przepisach zmienianej ustawy z dnia </w:t>
      </w:r>
      <w:r w:rsidRPr="00ED6A68">
        <w:rPr>
          <w:rFonts w:ascii="Times New Roman" w:eastAsia="Times New Roman" w:hAnsi="Times New Roman" w:cs="Times New Roman"/>
          <w:sz w:val="24"/>
          <w:szCs w:val="24"/>
        </w:rPr>
        <w:t>10 maja 2018 r. o Centralnym Porcie Komunikacyjnym</w:t>
      </w:r>
      <w:r w:rsidRPr="00ED6A68">
        <w:rPr>
          <w:rFonts w:ascii="Times New Roman" w:hAnsi="Times New Roman" w:cs="Times New Roman"/>
          <w:sz w:val="24"/>
          <w:szCs w:val="24"/>
        </w:rPr>
        <w:t xml:space="preserve"> </w:t>
      </w:r>
      <w:r w:rsidR="004A2C2E">
        <w:rPr>
          <w:rFonts w:ascii="Times New Roman" w:hAnsi="Times New Roman" w:cs="Times New Roman"/>
          <w:sz w:val="24"/>
          <w:szCs w:val="24"/>
        </w:rPr>
        <w:t>w</w:t>
      </w:r>
      <w:r w:rsidRPr="00ED6A68">
        <w:rPr>
          <w:rFonts w:ascii="Times New Roman" w:eastAsia="Times New Roman" w:hAnsi="Times New Roman" w:cs="Times New Roman"/>
          <w:sz w:val="24"/>
          <w:szCs w:val="24"/>
        </w:rPr>
        <w:t xml:space="preserve"> brzmieniu nadanym projektową ustawą. Przyjęto, że </w:t>
      </w:r>
      <w:r w:rsidRPr="00ED6A68">
        <w:rPr>
          <w:rFonts w:ascii="Times New Roman" w:hAnsi="Times New Roman" w:cs="Times New Roman"/>
          <w:sz w:val="24"/>
          <w:szCs w:val="24"/>
        </w:rPr>
        <w:t>zarząd i Rada Nadzorcza Spółki Celowej będzie działać w dotychczasowym składzie do czasu powołania zarządu oraz Rady Nadzorczej tej Spółki Celowej na podstawie przepisów ustawy zmienianej w art. 7 projektu w nowym brzmieniu. Maksymalny okres w jakim zarząd i Rada Nadzorcza Spółki Celowej będzie działać w dotychczasowym składzie to 60 dni od dnia wejścia w życie projektowanej ustawy. W tym dniu, zgodnie z projektowanymi p</w:t>
      </w:r>
      <w:r w:rsidR="004A2C2E">
        <w:rPr>
          <w:rFonts w:ascii="Times New Roman" w:hAnsi="Times New Roman" w:cs="Times New Roman"/>
          <w:sz w:val="24"/>
          <w:szCs w:val="24"/>
        </w:rPr>
        <w:t>rzepisami ustawy wygasną bowiem</w:t>
      </w:r>
      <w:r w:rsidRPr="00ED6A68">
        <w:rPr>
          <w:rFonts w:ascii="Times New Roman" w:hAnsi="Times New Roman" w:cs="Times New Roman"/>
          <w:sz w:val="24"/>
          <w:szCs w:val="24"/>
        </w:rPr>
        <w:t> mandaty dotychczasowych członków zarządu i</w:t>
      </w:r>
      <w:r w:rsidR="004A2C2E">
        <w:rPr>
          <w:rFonts w:ascii="Times New Roman" w:hAnsi="Times New Roman" w:cs="Times New Roman"/>
          <w:sz w:val="24"/>
          <w:szCs w:val="24"/>
        </w:rPr>
        <w:t> Rady Nadzorczej Spółki Celowej</w:t>
      </w:r>
      <w:r w:rsidRPr="00ED6A68">
        <w:rPr>
          <w:rFonts w:ascii="Times New Roman" w:eastAsia="Times New Roman" w:hAnsi="Times New Roman" w:cs="Times New Roman"/>
          <w:sz w:val="24"/>
          <w:szCs w:val="24"/>
        </w:rPr>
        <w:t>.</w:t>
      </w:r>
    </w:p>
    <w:p w14:paraId="5D484F0E" w14:textId="257BFEB5" w:rsidR="004E7CCE" w:rsidRPr="00ED6A68" w:rsidRDefault="004E7CCE"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 xml:space="preserve">Projekt ustawy w przepisie dostosowującym (art. 8) nakłada na Radę Ministrów obowiązek  polegający na tym, że </w:t>
      </w:r>
      <w:r w:rsidRPr="00ED6A68">
        <w:rPr>
          <w:rFonts w:ascii="Times New Roman" w:eastAsia="Times New Roman" w:hAnsi="Times New Roman" w:cs="Times New Roman"/>
          <w:sz w:val="24"/>
          <w:szCs w:val="24"/>
        </w:rPr>
        <w:t>obowiązujący w dniu wejścia w życie projektowanej ustawy Program, o którym mowa w</w:t>
      </w:r>
      <w:r w:rsidRPr="00ED6A68">
        <w:rPr>
          <w:rFonts w:ascii="Times New Roman" w:hAnsi="Times New Roman" w:cs="Times New Roman"/>
          <w:sz w:val="24"/>
          <w:szCs w:val="24"/>
        </w:rPr>
        <w:t> art. 2 pkt 7 ustawy z dnia 10 maja 2018 r. o Centralnym Porcie Komunikacy</w:t>
      </w:r>
      <w:r w:rsidR="004A2C2E">
        <w:rPr>
          <w:rFonts w:ascii="Times New Roman" w:hAnsi="Times New Roman" w:cs="Times New Roman"/>
          <w:sz w:val="24"/>
          <w:szCs w:val="24"/>
        </w:rPr>
        <w:t>jnym (Dz. U. z 2024 r. poz. 1747</w:t>
      </w:r>
      <w:r w:rsidRPr="00ED6A68">
        <w:rPr>
          <w:rFonts w:ascii="Times New Roman" w:hAnsi="Times New Roman" w:cs="Times New Roman"/>
          <w:sz w:val="24"/>
          <w:szCs w:val="24"/>
        </w:rPr>
        <w:t>),</w:t>
      </w:r>
      <w:r w:rsidRPr="00ED6A68">
        <w:rPr>
          <w:rFonts w:ascii="Times New Roman" w:eastAsia="Times New Roman" w:hAnsi="Times New Roman" w:cs="Times New Roman"/>
          <w:sz w:val="24"/>
          <w:szCs w:val="24"/>
        </w:rPr>
        <w:t xml:space="preserve"> Rada Ministrów dostosuje do wymogów określonych w projektowanej ustawie, w terminie 60 dni od dnia jej wejścia w życie.</w:t>
      </w:r>
    </w:p>
    <w:p w14:paraId="3A0DAEEB" w14:textId="3C365BB5" w:rsidR="00F54F11" w:rsidRDefault="004E7CCE" w:rsidP="004A2C2E">
      <w:pPr>
        <w:pStyle w:val="Akapitzlist"/>
        <w:spacing w:line="360" w:lineRule="auto"/>
        <w:ind w:left="0" w:firstLine="709"/>
        <w:jc w:val="both"/>
        <w:rPr>
          <w:rFonts w:ascii="Times New Roman" w:eastAsia="Times New Roman" w:hAnsi="Times New Roman" w:cs="Times New Roman"/>
          <w:color w:val="auto"/>
          <w:sz w:val="24"/>
          <w:szCs w:val="24"/>
        </w:rPr>
      </w:pPr>
      <w:r w:rsidRPr="00ED6A68">
        <w:rPr>
          <w:rFonts w:ascii="Times New Roman" w:eastAsia="Times New Roman" w:hAnsi="Times New Roman" w:cs="Times New Roman"/>
          <w:color w:val="auto"/>
          <w:sz w:val="24"/>
          <w:szCs w:val="24"/>
        </w:rPr>
        <w:t>Przewiduje się, że ustawa wejdzie w życie po upływie 14 dni od dnia ogłoszenia.</w:t>
      </w:r>
    </w:p>
    <w:p w14:paraId="0C68FD5B" w14:textId="77777777" w:rsidR="004A2C2E" w:rsidRPr="00ED6A68" w:rsidRDefault="004A2C2E" w:rsidP="004A2C2E">
      <w:pPr>
        <w:pStyle w:val="Akapitzlist"/>
        <w:spacing w:line="240" w:lineRule="auto"/>
        <w:ind w:left="0" w:firstLine="709"/>
        <w:jc w:val="both"/>
        <w:rPr>
          <w:rFonts w:ascii="Times New Roman" w:eastAsia="Times New Roman" w:hAnsi="Times New Roman" w:cs="Times New Roman"/>
          <w:color w:val="auto"/>
          <w:sz w:val="24"/>
          <w:szCs w:val="24"/>
        </w:rPr>
      </w:pPr>
    </w:p>
    <w:p w14:paraId="39FC3740" w14:textId="62C6D770" w:rsidR="00987E19" w:rsidRDefault="00987E19" w:rsidP="004E7CCE">
      <w:pPr>
        <w:spacing w:after="0" w:line="360" w:lineRule="auto"/>
        <w:jc w:val="both"/>
        <w:rPr>
          <w:rFonts w:ascii="Times New Roman" w:hAnsi="Times New Roman" w:cs="Times New Roman"/>
          <w:b/>
          <w:bCs/>
          <w:sz w:val="24"/>
          <w:szCs w:val="24"/>
        </w:rPr>
      </w:pPr>
      <w:r w:rsidRPr="00ED6A68">
        <w:rPr>
          <w:rFonts w:ascii="Times New Roman" w:hAnsi="Times New Roman" w:cs="Times New Roman"/>
          <w:b/>
          <w:bCs/>
          <w:sz w:val="24"/>
          <w:szCs w:val="24"/>
        </w:rPr>
        <w:t xml:space="preserve">III. </w:t>
      </w:r>
      <w:r w:rsidR="00F54F11" w:rsidRPr="00ED6A68">
        <w:rPr>
          <w:rFonts w:ascii="Times New Roman" w:hAnsi="Times New Roman" w:cs="Times New Roman"/>
          <w:b/>
          <w:bCs/>
          <w:sz w:val="24"/>
          <w:szCs w:val="24"/>
        </w:rPr>
        <w:t xml:space="preserve">Skutki społeczne finansowe i </w:t>
      </w:r>
      <w:r w:rsidRPr="00ED6A68">
        <w:rPr>
          <w:rFonts w:ascii="Times New Roman" w:hAnsi="Times New Roman" w:cs="Times New Roman"/>
          <w:b/>
          <w:bCs/>
          <w:sz w:val="24"/>
          <w:szCs w:val="24"/>
        </w:rPr>
        <w:t>gospodarcze wprowadzenia ustawy</w:t>
      </w:r>
      <w:r w:rsidR="005F3E2E" w:rsidRPr="00ED6A68">
        <w:rPr>
          <w:rFonts w:ascii="Times New Roman" w:hAnsi="Times New Roman" w:cs="Times New Roman"/>
          <w:b/>
          <w:bCs/>
          <w:sz w:val="24"/>
          <w:szCs w:val="24"/>
        </w:rPr>
        <w:t xml:space="preserve"> </w:t>
      </w:r>
    </w:p>
    <w:p w14:paraId="6E0D8103" w14:textId="77777777" w:rsidR="004A2C2E" w:rsidRPr="00ED6A68" w:rsidRDefault="004A2C2E" w:rsidP="004A2C2E">
      <w:pPr>
        <w:spacing w:after="0" w:line="240" w:lineRule="auto"/>
        <w:jc w:val="both"/>
        <w:rPr>
          <w:rFonts w:ascii="Times New Roman" w:hAnsi="Times New Roman" w:cs="Times New Roman"/>
          <w:b/>
          <w:bCs/>
          <w:sz w:val="24"/>
          <w:szCs w:val="24"/>
        </w:rPr>
      </w:pPr>
    </w:p>
    <w:p w14:paraId="1BE06FD7" w14:textId="7A7BEE99" w:rsidR="005F3E2E" w:rsidRPr="00ED6A68" w:rsidRDefault="00987E19" w:rsidP="004E7CCE">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Wejście w życie projektowanych rozwiązań skutkujących ustawowym obowiązkiem realizacji Programu przyniesie liczne pozytywne skutki społeczne, gospodarcze i finansowe. Już w fazie budowy</w:t>
      </w:r>
      <w:r w:rsidR="004A2C2E">
        <w:rPr>
          <w:rFonts w:ascii="Times New Roman" w:hAnsi="Times New Roman" w:cs="Times New Roman"/>
          <w:sz w:val="24"/>
          <w:szCs w:val="24"/>
        </w:rPr>
        <w:t>, to jest</w:t>
      </w:r>
      <w:r w:rsidRPr="00ED6A68">
        <w:rPr>
          <w:rFonts w:ascii="Times New Roman" w:hAnsi="Times New Roman" w:cs="Times New Roman"/>
          <w:sz w:val="24"/>
          <w:szCs w:val="24"/>
        </w:rPr>
        <w:t xml:space="preserve"> w latach 2020-2034, inwestycje związane z realizacją CPK mogą stanowić istotny impuls rozwojowy dla polskiej gospodarki. Zgodnie z wyliczeniami przygotowanymi dla spółki CPK inwestycje mogą przynieść wzrost produkcji globalnej kra</w:t>
      </w:r>
      <w:r w:rsidR="004A2C2E">
        <w:rPr>
          <w:rFonts w:ascii="Times New Roman" w:hAnsi="Times New Roman" w:cs="Times New Roman"/>
          <w:sz w:val="24"/>
          <w:szCs w:val="24"/>
        </w:rPr>
        <w:t>ju na poziomie około 500 mld zł</w:t>
      </w:r>
      <w:r w:rsidRPr="00ED6A68">
        <w:rPr>
          <w:rFonts w:ascii="Times New Roman" w:hAnsi="Times New Roman" w:cs="Times New Roman"/>
          <w:sz w:val="24"/>
          <w:szCs w:val="24"/>
        </w:rPr>
        <w:t>, z czego w latach 2025-2028 wzrost produkcji globalnej moż</w:t>
      </w:r>
      <w:r w:rsidR="004A2C2E">
        <w:rPr>
          <w:rFonts w:ascii="Times New Roman" w:hAnsi="Times New Roman" w:cs="Times New Roman"/>
          <w:sz w:val="24"/>
          <w:szCs w:val="24"/>
        </w:rPr>
        <w:t>e wynieść łącznie ok 245 mld zł</w:t>
      </w:r>
      <w:r w:rsidRPr="00ED6A68">
        <w:rPr>
          <w:rFonts w:ascii="Times New Roman" w:hAnsi="Times New Roman" w:cs="Times New Roman"/>
          <w:sz w:val="24"/>
          <w:szCs w:val="24"/>
        </w:rPr>
        <w:t>. W szczytowym momencie realizacji Program CPK wygeneruje 95 tys. dodatkowych miejsc pracy. W perspektywie lat 2028-2040 funkcjonowanie lotniska oraz nowej sieci kolejowej CPK (a także jej rozbudowa do docelowego poziomu) mogą przynieść polskiej gospoda</w:t>
      </w:r>
      <w:r w:rsidR="004A2C2E">
        <w:rPr>
          <w:rFonts w:ascii="Times New Roman" w:hAnsi="Times New Roman" w:cs="Times New Roman"/>
          <w:sz w:val="24"/>
          <w:szCs w:val="24"/>
        </w:rPr>
        <w:t>rce według szacunków 986 mld zł</w:t>
      </w:r>
      <w:r w:rsidRPr="00ED6A68">
        <w:rPr>
          <w:rFonts w:ascii="Times New Roman" w:hAnsi="Times New Roman" w:cs="Times New Roman"/>
          <w:sz w:val="24"/>
          <w:szCs w:val="24"/>
        </w:rPr>
        <w:t xml:space="preserve"> wzrostu produkcji globalnej oraz wygenerować 290 tyś. nowych miejsc pracy. W wyniku realizacji CPK przewiduje się także </w:t>
      </w:r>
      <w:r w:rsidRPr="00ED6A68">
        <w:rPr>
          <w:rFonts w:ascii="Times New Roman" w:hAnsi="Times New Roman" w:cs="Times New Roman"/>
          <w:sz w:val="24"/>
          <w:szCs w:val="24"/>
        </w:rPr>
        <w:lastRenderedPageBreak/>
        <w:t>skokowy wzrost ilości obsługiwanego w Polsce cargo, znaczące dodatkowe wpływy do budżetu oraz nowe możliwości rozwoju dla polskich przedsiębiorców. Realizacja Programu CPK przełoży się na skokowy wzrost wolumenu handlu, w tym w szczególności nadwyżkowy wolumeny importu oraz e</w:t>
      </w:r>
      <w:r w:rsidR="001D6BCB">
        <w:rPr>
          <w:rFonts w:ascii="Times New Roman" w:hAnsi="Times New Roman" w:cs="Times New Roman"/>
          <w:sz w:val="24"/>
          <w:szCs w:val="24"/>
        </w:rPr>
        <w:t>ksportu</w:t>
      </w:r>
      <w:r w:rsidRPr="00ED6A68">
        <w:rPr>
          <w:rFonts w:ascii="Times New Roman" w:hAnsi="Times New Roman" w:cs="Times New Roman"/>
          <w:sz w:val="24"/>
          <w:szCs w:val="24"/>
        </w:rPr>
        <w:t xml:space="preserve"> sięgające odpowiednio w roku 2060 r. 84% oraz 71%. W</w:t>
      </w:r>
      <w:r w:rsidR="00E32EDD" w:rsidRPr="00ED6A68">
        <w:rPr>
          <w:rFonts w:ascii="Times New Roman" w:hAnsi="Times New Roman" w:cs="Times New Roman"/>
          <w:sz w:val="24"/>
          <w:szCs w:val="24"/>
        </w:rPr>
        <w:t> </w:t>
      </w:r>
      <w:r w:rsidRPr="00ED6A68">
        <w:rPr>
          <w:rFonts w:ascii="Times New Roman" w:hAnsi="Times New Roman" w:cs="Times New Roman"/>
          <w:sz w:val="24"/>
          <w:szCs w:val="24"/>
        </w:rPr>
        <w:t>zakresie realizacji komponentu kolejowego, raport międzynarodowej firmy konsultingowej Steer ustalił łączną wartość korzyści z sieci KDP dla krajów Trójm</w:t>
      </w:r>
      <w:r w:rsidR="00203E33">
        <w:rPr>
          <w:rFonts w:ascii="Times New Roman" w:hAnsi="Times New Roman" w:cs="Times New Roman"/>
          <w:sz w:val="24"/>
          <w:szCs w:val="24"/>
        </w:rPr>
        <w:t>orza na poziomie ok. 120 mld euro</w:t>
      </w:r>
      <w:r w:rsidRPr="00ED6A68">
        <w:rPr>
          <w:rFonts w:ascii="Times New Roman" w:hAnsi="Times New Roman" w:cs="Times New Roman"/>
          <w:sz w:val="24"/>
          <w:szCs w:val="24"/>
        </w:rPr>
        <w:t>, tj. dwukrotnie większej korzyści netto w porównaniu do nakładów inwestycyjnych poniesionych na ich budowę.</w:t>
      </w:r>
    </w:p>
    <w:p w14:paraId="0C2F3991" w14:textId="4EC3B96F" w:rsidR="005F3E2E" w:rsidRPr="00ED6A68" w:rsidRDefault="005F3E2E" w:rsidP="004E7CCE">
      <w:pPr>
        <w:spacing w:after="0" w:line="360" w:lineRule="auto"/>
        <w:ind w:firstLine="708"/>
        <w:jc w:val="both"/>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Powszechnie przyjmuje się, że duże porty lotnicze stanowią impuls dla rozwoju gospodarczego, oddziałując bezpośrednio i pośrednio na rynek regionalny i krajowy, a ponadto oddziałując pozytywnie na zatrudnienie oraz wpływy budżetowe. Powiązanie rozwoju rynku lotniczego ze wzrostem gospodarczym jest jednym z podstawowych założeń „Europejskiej strategii w dziedzinie lotnictwa”, w której wskazuje się, że lotnictwo jest motorem wzrostu gospodarczego, zatrudnienia, handlu i mobilności w Unii Europejskiej</w:t>
      </w:r>
      <w:r w:rsidR="00BF29F7" w:rsidRPr="00ED6A68">
        <w:rPr>
          <w:rStyle w:val="Odwoanieprzypisudolnego"/>
          <w:rFonts w:ascii="Times New Roman" w:hAnsi="Times New Roman" w:cs="Times New Roman"/>
          <w:sz w:val="24"/>
          <w:szCs w:val="24"/>
        </w:rPr>
        <w:footnoteReference w:id="1"/>
      </w:r>
      <w:r w:rsidRPr="00ED6A68">
        <w:rPr>
          <w:rStyle w:val="FontStyle32"/>
          <w:rFonts w:ascii="Times New Roman" w:hAnsi="Times New Roman" w:cs="Times New Roman"/>
          <w:sz w:val="24"/>
          <w:szCs w:val="24"/>
        </w:rPr>
        <w:t>.</w:t>
      </w:r>
    </w:p>
    <w:p w14:paraId="0AC01478" w14:textId="21AD8CB2" w:rsidR="005F3E2E" w:rsidRPr="00ED6A68" w:rsidRDefault="005F3E2E" w:rsidP="004E7CCE">
      <w:pPr>
        <w:pStyle w:val="Style10"/>
        <w:widowControl/>
        <w:spacing w:line="360" w:lineRule="auto"/>
        <w:ind w:left="19" w:right="24" w:firstLine="643"/>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 xml:space="preserve">Autorzy raportu firmy konsultingowej Ernst &amp; Young wskazują trzy istotne czynniki wynikające z realizacji inwestycji. Realizacja inwestycji CPK skutkować będzie przejściem przez Polskę wywozu części towarów, które w chwili obecnej odprawiane są na innych dużych lotniskach w UE, np. we Frankfurcie lub Amsterdamie. </w:t>
      </w:r>
      <w:r w:rsidR="00E32EDD" w:rsidRPr="00ED6A68">
        <w:rPr>
          <w:rStyle w:val="FontStyle32"/>
          <w:rFonts w:ascii="Times New Roman" w:hAnsi="Times New Roman" w:cs="Times New Roman"/>
          <w:sz w:val="24"/>
          <w:szCs w:val="24"/>
        </w:rPr>
        <w:t>CPK odegrać może istotną rolę w </w:t>
      </w:r>
      <w:r w:rsidRPr="00ED6A68">
        <w:rPr>
          <w:rStyle w:val="FontStyle32"/>
          <w:rFonts w:ascii="Times New Roman" w:hAnsi="Times New Roman" w:cs="Times New Roman"/>
          <w:sz w:val="24"/>
          <w:szCs w:val="24"/>
        </w:rPr>
        <w:t>działalności międzynarodowych przedsiębiorstw logistycznych pełniąc rolę miejsca dokonywania odpraw celnych i podatkowych towarów transportowanych do krajów UE. Ponadto, CPK przyczyni się do rozwoju przedsiębiorstw w sektorze logistyki i cargo. Według prognozy IATA, CPK mogłoby osiągnąć około 20% udziału w rynku cargo Europy Środkowo-Wschodniej, co według przewozów z 2019 r. przedkładałoby się na ok. 590 tys. ton cargo lotniczego rocznie</w:t>
      </w:r>
      <w:r w:rsidR="00EF7AB5" w:rsidRPr="00ED6A68">
        <w:rPr>
          <w:rStyle w:val="Odwoanieprzypisudolnego"/>
        </w:rPr>
        <w:footnoteReference w:id="2"/>
      </w:r>
      <w:r w:rsidRPr="00ED6A68">
        <w:rPr>
          <w:rStyle w:val="FontStyle32"/>
          <w:rFonts w:ascii="Times New Roman" w:hAnsi="Times New Roman" w:cs="Times New Roman"/>
          <w:sz w:val="24"/>
          <w:szCs w:val="24"/>
        </w:rPr>
        <w:t>.</w:t>
      </w:r>
    </w:p>
    <w:p w14:paraId="2B5A706C" w14:textId="344DE435" w:rsidR="000A0B19" w:rsidRPr="00ED6A68" w:rsidRDefault="005F3E2E" w:rsidP="00CC55C3">
      <w:pPr>
        <w:pStyle w:val="Style10"/>
        <w:widowControl/>
        <w:spacing w:line="360" w:lineRule="auto"/>
        <w:ind w:left="5" w:right="48" w:firstLine="643"/>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 xml:space="preserve">W świetle raportu firmy konsultingowej Kearney, który opracowano na zlecenie Spółki Celowej, całkowity wzrost produkcji globalnej w całym okresie planowanego wydatkowania nakładów inwestycyjnych w projekcie CPK (2020-2034) w polskiej gospodarce ma wynieść 450,2 mld zł. W szczytowym roku budowy (2026 r.) wartość dodatkowej produkcji wynikającej z realizacji projektu CPK szacowana jest na 73,6 mld zł. Ponadto, prognozuje się, </w:t>
      </w:r>
      <w:r w:rsidRPr="00ED6A68">
        <w:rPr>
          <w:rStyle w:val="FontStyle32"/>
          <w:rFonts w:ascii="Times New Roman" w:hAnsi="Times New Roman" w:cs="Times New Roman"/>
          <w:sz w:val="24"/>
          <w:szCs w:val="24"/>
        </w:rPr>
        <w:lastRenderedPageBreak/>
        <w:t>że 60% całości osiąganego wpływu przypaść ma na cztery lata realizacji etapu inwestycyjnego CPK (według pierwotnych szacunków 2024-2027)</w:t>
      </w:r>
      <w:r w:rsidR="00CC55C3" w:rsidRPr="00ED6A68">
        <w:rPr>
          <w:rStyle w:val="Odwoanieprzypisudolnego"/>
        </w:rPr>
        <w:footnoteReference w:id="3"/>
      </w:r>
      <w:r w:rsidRPr="00ED6A68">
        <w:rPr>
          <w:rStyle w:val="FontStyle32"/>
          <w:rFonts w:ascii="Times New Roman" w:hAnsi="Times New Roman" w:cs="Times New Roman"/>
          <w:sz w:val="24"/>
          <w:szCs w:val="24"/>
        </w:rPr>
        <w:t>.</w:t>
      </w:r>
    </w:p>
    <w:p w14:paraId="2FD3DEED" w14:textId="02295D8E" w:rsidR="000743FF" w:rsidRPr="00ED6A68" w:rsidRDefault="005F3E2E" w:rsidP="004E7CCE">
      <w:pPr>
        <w:pStyle w:val="Style10"/>
        <w:widowControl/>
        <w:spacing w:line="360" w:lineRule="auto"/>
        <w:ind w:left="53" w:right="14" w:firstLine="701"/>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Odrębną kategorią wpływu gospodarczego projektu CPK na polską gospodarkę jest wzrost wartości dodanej brutto: wzrost ten jest sumą dodatkowych zysków przedsiębiorstw, wynagrodzeń pracowników oraz amortyzacji środków trwałych. Stanowi on główną kontrybucję do wzrostu PKB Polski. Zgodnie z szacunkiem firmy konsultingowej Kearney w</w:t>
      </w:r>
      <w:r w:rsidR="00C24825" w:rsidRPr="00ED6A68">
        <w:rPr>
          <w:rStyle w:val="FontStyle32"/>
          <w:rFonts w:ascii="Times New Roman" w:hAnsi="Times New Roman" w:cs="Times New Roman"/>
          <w:sz w:val="24"/>
          <w:szCs w:val="24"/>
        </w:rPr>
        <w:t> </w:t>
      </w:r>
      <w:r w:rsidRPr="00ED6A68">
        <w:rPr>
          <w:rStyle w:val="FontStyle32"/>
          <w:rFonts w:ascii="Times New Roman" w:hAnsi="Times New Roman" w:cs="Times New Roman"/>
          <w:sz w:val="24"/>
          <w:szCs w:val="24"/>
        </w:rPr>
        <w:t>okresie planowania wydatkowania nakładów inwestycyjnych (2020-2034) całkowity wzrost wartości dodanej brutto w polskiej gospodarce ma wynieść 126,6 mld zł. W szczytowym okresie realizacji projektu CPK (2026 r.) wartość dodana brutto szacowana jest na 20,8 mld zł. Przy założeniu średniorocznego wzrostu realnego PKB o 3,0% rocznie oraz rocznego wskaźnika wzrostu cen zgodnego z założeniami modelu finansowego CPK, oznacza to, że dodatkowa wartość dodana brutto wygenerowana przez proj</w:t>
      </w:r>
      <w:r w:rsidR="00203E33">
        <w:rPr>
          <w:rStyle w:val="FontStyle32"/>
          <w:rFonts w:ascii="Times New Roman" w:hAnsi="Times New Roman" w:cs="Times New Roman"/>
          <w:sz w:val="24"/>
          <w:szCs w:val="24"/>
        </w:rPr>
        <w:t>ekt CPK będzie stanowić ok. 0,7</w:t>
      </w:r>
      <w:r w:rsidRPr="00ED6A68">
        <w:rPr>
          <w:rStyle w:val="FontStyle32"/>
          <w:rFonts w:ascii="Times New Roman" w:hAnsi="Times New Roman" w:cs="Times New Roman"/>
          <w:sz w:val="24"/>
          <w:szCs w:val="24"/>
        </w:rPr>
        <w:t>% wartości PKB w roku 2026. Należy to uznać za wartość znaczącą.</w:t>
      </w:r>
    </w:p>
    <w:p w14:paraId="6E1BFB9E" w14:textId="3FF39D1D" w:rsidR="000743FF" w:rsidRPr="00ED6A68" w:rsidRDefault="000743FF" w:rsidP="004E7CCE">
      <w:pPr>
        <w:pStyle w:val="Style10"/>
        <w:widowControl/>
        <w:spacing w:line="360" w:lineRule="auto"/>
        <w:ind w:left="53" w:right="14" w:firstLine="701"/>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Realizacja inwestycji CPK prowadzić może do skokowego wzrostu wolumenu handlu. W świetle raportu firmy konsultingowej Steer, wartość korzyści z sieci KDP dla krajów Trójmorza (w tym Polski) wyniesie 110 mld euro, z czego 56 mld euro wynika z oszczędności czasu podróżowania, 16 mld euro przypada na oszczędności związane z klimatem, 25 mld euro odpowiada zaś oszczędnościom wydatków pasażerów. Ponadto, należy podkreślić dalsze możliwe korzyści ekonomiczne wynikające z efektu synergii projektu CPK z projektami infrastrukturalnymi Via Carpatia i Via Baltica, które służą zmodernizowaniu i rozbudowie transportu drogowego w Polsce i</w:t>
      </w:r>
      <w:r w:rsidR="00636918">
        <w:rPr>
          <w:rStyle w:val="FontStyle32"/>
          <w:rFonts w:ascii="Times New Roman" w:hAnsi="Times New Roman" w:cs="Times New Roman"/>
          <w:sz w:val="24"/>
          <w:szCs w:val="24"/>
        </w:rPr>
        <w:t xml:space="preserve"> w Europie Środkowo-Wschodniej oraz</w:t>
      </w:r>
      <w:r w:rsidRPr="00ED6A68">
        <w:rPr>
          <w:rStyle w:val="FontStyle32"/>
          <w:rFonts w:ascii="Times New Roman" w:hAnsi="Times New Roman" w:cs="Times New Roman"/>
          <w:sz w:val="24"/>
          <w:szCs w:val="24"/>
        </w:rPr>
        <w:t xml:space="preserve"> Połudn</w:t>
      </w:r>
      <w:r w:rsidR="00636918">
        <w:rPr>
          <w:rStyle w:val="FontStyle32"/>
          <w:rFonts w:ascii="Times New Roman" w:hAnsi="Times New Roman" w:cs="Times New Roman"/>
          <w:sz w:val="24"/>
          <w:szCs w:val="24"/>
        </w:rPr>
        <w:t>iowej. Umiejętna koordynacja wyżej wskazanych</w:t>
      </w:r>
      <w:r w:rsidRPr="00ED6A68">
        <w:rPr>
          <w:rStyle w:val="FontStyle32"/>
          <w:rFonts w:ascii="Times New Roman" w:hAnsi="Times New Roman" w:cs="Times New Roman"/>
          <w:sz w:val="24"/>
          <w:szCs w:val="24"/>
        </w:rPr>
        <w:t xml:space="preserve"> projektów infrastrukturalnych ułatwiłaby realizację wizji CPK jako wiodącego hubu komunikacyjnego w Europie Środkowo-Wschodniej.</w:t>
      </w:r>
    </w:p>
    <w:p w14:paraId="4843EA86" w14:textId="463E6C55" w:rsidR="000743FF" w:rsidRPr="00ED6A68" w:rsidRDefault="000743FF" w:rsidP="00636918">
      <w:pPr>
        <w:pStyle w:val="Style7"/>
        <w:widowControl/>
        <w:spacing w:line="360" w:lineRule="auto"/>
        <w:ind w:left="29" w:right="24" w:firstLine="634"/>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Według Krajowej Strategii Rozwoju Regionalnego 2030 inwestycja CPK powinna umożliwić stworzenie ponad 150 tys. nowych miejsc pracy.</w:t>
      </w:r>
      <w:r w:rsidR="005A551A" w:rsidRPr="00ED6A68">
        <w:rPr>
          <w:rStyle w:val="FontStyle32"/>
          <w:rFonts w:ascii="Times New Roman" w:hAnsi="Times New Roman" w:cs="Times New Roman"/>
          <w:sz w:val="24"/>
          <w:szCs w:val="24"/>
        </w:rPr>
        <w:t xml:space="preserve"> </w:t>
      </w:r>
      <w:r w:rsidRPr="00ED6A68">
        <w:rPr>
          <w:rStyle w:val="FontStyle32"/>
          <w:rFonts w:ascii="Times New Roman" w:hAnsi="Times New Roman" w:cs="Times New Roman"/>
          <w:sz w:val="24"/>
          <w:szCs w:val="24"/>
        </w:rPr>
        <w:t xml:space="preserve">Bardziej szczegółowe prognozy przedstawiono w raporcie firmy doradczej Kearney. Największy wpływ inwestycji CPK na wzrost zatrudnienia wystąpić ma w szczytowym okresie realizacji inwestycji - w 2026 r. wzrost zatrudnienia ma wynieść 95,2 tys. dodatkowych miejsc pracy. W ramach tej </w:t>
      </w:r>
      <w:r w:rsidR="00B74A72" w:rsidRPr="00ED6A68">
        <w:rPr>
          <w:rStyle w:val="FontStyle32"/>
          <w:rFonts w:ascii="Times New Roman" w:hAnsi="Times New Roman" w:cs="Times New Roman"/>
          <w:sz w:val="24"/>
          <w:szCs w:val="24"/>
        </w:rPr>
        <w:t>l</w:t>
      </w:r>
      <w:r w:rsidRPr="00ED6A68">
        <w:rPr>
          <w:rStyle w:val="FontStyle32"/>
          <w:rFonts w:ascii="Times New Roman" w:hAnsi="Times New Roman" w:cs="Times New Roman"/>
          <w:sz w:val="24"/>
          <w:szCs w:val="24"/>
        </w:rPr>
        <w:t xml:space="preserve">iczby, na inwestycje kolejowe przypadnie </w:t>
      </w:r>
      <w:r w:rsidR="00203E33">
        <w:rPr>
          <w:rStyle w:val="FontStyle32"/>
          <w:rFonts w:ascii="Times New Roman" w:hAnsi="Times New Roman" w:cs="Times New Roman"/>
          <w:sz w:val="24"/>
          <w:szCs w:val="24"/>
        </w:rPr>
        <w:t>57 tys. nowych miejsc pracy (60</w:t>
      </w:r>
      <w:r w:rsidRPr="00ED6A68">
        <w:rPr>
          <w:rStyle w:val="FontStyle32"/>
          <w:rFonts w:ascii="Times New Roman" w:hAnsi="Times New Roman" w:cs="Times New Roman"/>
          <w:sz w:val="24"/>
          <w:szCs w:val="24"/>
        </w:rPr>
        <w:t>%), inwestycje lotnicze prowadzić mają do utworzenia 28,4 tys. nowych m</w:t>
      </w:r>
      <w:r w:rsidR="00636918">
        <w:rPr>
          <w:rStyle w:val="FontStyle32"/>
          <w:rFonts w:ascii="Times New Roman" w:hAnsi="Times New Roman" w:cs="Times New Roman"/>
          <w:sz w:val="24"/>
          <w:szCs w:val="24"/>
        </w:rPr>
        <w:t>iejsc pracy (30</w:t>
      </w:r>
      <w:r w:rsidRPr="00ED6A68">
        <w:rPr>
          <w:rStyle w:val="FontStyle32"/>
          <w:rFonts w:ascii="Times New Roman" w:hAnsi="Times New Roman" w:cs="Times New Roman"/>
          <w:sz w:val="24"/>
          <w:szCs w:val="24"/>
        </w:rPr>
        <w:t>%), zaś inwestycje drogowe odpowiadać będą za 9</w:t>
      </w:r>
      <w:r w:rsidR="00636918">
        <w:rPr>
          <w:rStyle w:val="FontStyle32"/>
          <w:rFonts w:ascii="Times New Roman" w:hAnsi="Times New Roman" w:cs="Times New Roman"/>
          <w:sz w:val="24"/>
          <w:szCs w:val="24"/>
        </w:rPr>
        <w:t>,8 tys. nowych miejsc pracy (10</w:t>
      </w:r>
      <w:r w:rsidRPr="00ED6A68">
        <w:rPr>
          <w:rStyle w:val="FontStyle32"/>
          <w:rFonts w:ascii="Times New Roman" w:hAnsi="Times New Roman" w:cs="Times New Roman"/>
          <w:sz w:val="24"/>
          <w:szCs w:val="24"/>
        </w:rPr>
        <w:t>%). Wskazuje się, że w szczytowej fazie realizacji inwestycji projekt budowy CPK wygeneruje ok.</w:t>
      </w:r>
      <w:r w:rsidR="00636918">
        <w:rPr>
          <w:rStyle w:val="FontStyle32"/>
          <w:rFonts w:ascii="Times New Roman" w:hAnsi="Times New Roman" w:cs="Times New Roman"/>
          <w:sz w:val="24"/>
          <w:szCs w:val="24"/>
        </w:rPr>
        <w:t xml:space="preserve"> 20</w:t>
      </w:r>
      <w:r w:rsidR="008E5F66" w:rsidRPr="00ED6A68">
        <w:rPr>
          <w:rStyle w:val="FontStyle32"/>
          <w:rFonts w:ascii="Times New Roman" w:hAnsi="Times New Roman" w:cs="Times New Roman"/>
          <w:sz w:val="24"/>
          <w:szCs w:val="24"/>
        </w:rPr>
        <w:t>% więcej miejsc pracy niż w </w:t>
      </w:r>
      <w:r w:rsidRPr="00ED6A68">
        <w:rPr>
          <w:rStyle w:val="FontStyle32"/>
          <w:rFonts w:ascii="Times New Roman" w:hAnsi="Times New Roman" w:cs="Times New Roman"/>
          <w:sz w:val="24"/>
          <w:szCs w:val="24"/>
        </w:rPr>
        <w:t xml:space="preserve">2019 </w:t>
      </w:r>
      <w:r w:rsidRPr="00ED6A68">
        <w:rPr>
          <w:rStyle w:val="FontStyle32"/>
          <w:rFonts w:ascii="Times New Roman" w:hAnsi="Times New Roman" w:cs="Times New Roman"/>
          <w:sz w:val="24"/>
          <w:szCs w:val="24"/>
        </w:rPr>
        <w:lastRenderedPageBreak/>
        <w:t>r. posiadał największy polskim pracodawca (Poczta Polska zatrudniająca 81 tys. osób).</w:t>
      </w:r>
      <w:r w:rsidR="00636918">
        <w:rPr>
          <w:rStyle w:val="FontStyle32"/>
          <w:rFonts w:ascii="Times New Roman" w:hAnsi="Times New Roman" w:cs="Times New Roman"/>
          <w:sz w:val="24"/>
          <w:szCs w:val="24"/>
        </w:rPr>
        <w:t xml:space="preserve"> </w:t>
      </w:r>
      <w:r w:rsidRPr="00ED6A68">
        <w:rPr>
          <w:rStyle w:val="FontStyle32"/>
          <w:rFonts w:ascii="Times New Roman" w:hAnsi="Times New Roman" w:cs="Times New Roman"/>
          <w:sz w:val="24"/>
          <w:szCs w:val="24"/>
        </w:rPr>
        <w:t>Dokonując podziału wzrostu zatrudnienia na rodzaje wpływu gospodarczego, bezpośredni wpływ inwestycji CPK pozwolić ma na otwarcie 58,3 tys. miejsc pracy. Wpływ pośredni prowadzić będzie do wzrostu o 24,5 tys. miejsc pracy, zaś wpływ indukowany wygeneruje 12,4 tys. nowych pracowników.</w:t>
      </w:r>
    </w:p>
    <w:p w14:paraId="7088E8A6" w14:textId="77777777" w:rsidR="005A551A" w:rsidRPr="00ED6A68" w:rsidRDefault="000743FF" w:rsidP="004E7CCE">
      <w:pPr>
        <w:pStyle w:val="Style7"/>
        <w:widowControl/>
        <w:spacing w:line="360" w:lineRule="auto"/>
        <w:ind w:right="34" w:firstLine="708"/>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Branżą, w której wzrost zatrudnienia będzie największy, jest sektor budownictwa. Uwzględniając inwestycje kolejowe, lotniskowe i drogowe, wzrost wynieść może blisko 72 tyś. dodatkowych miejsc pracy. Wywoła to konieczność przygotowania się branży budowlanej do obsługi tak znaczącej inwestycji.</w:t>
      </w:r>
      <w:r w:rsidR="005A551A" w:rsidRPr="00ED6A68">
        <w:rPr>
          <w:rStyle w:val="FontStyle32"/>
          <w:rFonts w:ascii="Times New Roman" w:hAnsi="Times New Roman" w:cs="Times New Roman"/>
          <w:sz w:val="24"/>
          <w:szCs w:val="24"/>
        </w:rPr>
        <w:t xml:space="preserve"> </w:t>
      </w:r>
    </w:p>
    <w:p w14:paraId="4F521D91" w14:textId="0A6E5E16" w:rsidR="005A551A" w:rsidRPr="00ED6A68" w:rsidRDefault="005A551A" w:rsidP="004E7CCE">
      <w:pPr>
        <w:pStyle w:val="Style7"/>
        <w:widowControl/>
        <w:spacing w:line="360" w:lineRule="auto"/>
        <w:ind w:right="34" w:firstLine="708"/>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Tak potężna inwestycja infrastrukturalna wiązać się będzie z zaangażowaniem szeregu firm w postaci głównych wykonawców, jak i licznej rzeszy firm podwykonawczych. Niewątpliwym jest, że wpłynie to pozytywnie na sektor</w:t>
      </w:r>
      <w:r w:rsidR="008E5F66" w:rsidRPr="00ED6A68">
        <w:t xml:space="preserve"> mikroprzedsiębiorców, małych i </w:t>
      </w:r>
      <w:r w:rsidR="00203E33">
        <w:t>średnich przedsiębiorców</w:t>
      </w:r>
      <w:r w:rsidRPr="00ED6A68">
        <w:t xml:space="preserve"> działających zarówno na terenie gmin, gdzie bezpośredni</w:t>
      </w:r>
      <w:r w:rsidR="00203E33">
        <w:t>o</w:t>
      </w:r>
      <w:r w:rsidRPr="00ED6A68">
        <w:t xml:space="preserve"> będzie realizowana inwestycja, jak i z </w:t>
      </w:r>
      <w:r w:rsidR="00203E33">
        <w:t>uwagi na skalę</w:t>
      </w:r>
      <w:r w:rsidR="008B2AE9" w:rsidRPr="00ED6A68">
        <w:t xml:space="preserve"> przedsięwzięcia z </w:t>
      </w:r>
      <w:r w:rsidRPr="00ED6A68">
        <w:t xml:space="preserve">obszaru całej Polski. </w:t>
      </w:r>
    </w:p>
    <w:p w14:paraId="1C4527DB" w14:textId="4B81CFF2" w:rsidR="00987E19" w:rsidRDefault="000743FF" w:rsidP="004E7CCE">
      <w:pPr>
        <w:pStyle w:val="Style7"/>
        <w:widowControl/>
        <w:spacing w:line="360" w:lineRule="auto"/>
        <w:ind w:right="34" w:firstLine="708"/>
        <w:rPr>
          <w:rStyle w:val="FontStyle32"/>
          <w:rFonts w:ascii="Times New Roman" w:hAnsi="Times New Roman" w:cs="Times New Roman"/>
          <w:sz w:val="24"/>
          <w:szCs w:val="24"/>
        </w:rPr>
      </w:pPr>
      <w:r w:rsidRPr="00ED6A68">
        <w:rPr>
          <w:rStyle w:val="FontStyle32"/>
          <w:rFonts w:ascii="Times New Roman" w:hAnsi="Times New Roman" w:cs="Times New Roman"/>
          <w:sz w:val="24"/>
          <w:szCs w:val="24"/>
        </w:rPr>
        <w:t xml:space="preserve">W drugim etapie projektu, obejmującym funkcjonujący port lotniczy, wpływ na rynek pracy wynikający z operacjonalizacji portu lotniczego będzie stopniowo wzrastał. Uwzględniając realny plan powstania wokół CPK nowego ośrodka miejskiego „Airport City Centrum i Airport City” oraz powiązany projekt powstania „Cargo City”, łączącego aglomeracje warszawską i łódzką, uzasadniona jest prognoza powstania dalszych dziesiątek tysięcy miejsc pracy w sektorach typowych dla dużych ośrodków miejskich. Dla porównania warto wskazać przykłady inwestycji o podobnej skali: lotnisko Madryt-Barajas zapewnia 300 tys. miejsc pracy, zaś lotnisko Charles de Gaulle pod Paryżem 195 tys. miejsc pracy. W tym kontekście należy wskazać, </w:t>
      </w:r>
      <w:r w:rsidRPr="00ED6A68">
        <w:rPr>
          <w:rStyle w:val="FontStyle32"/>
          <w:rFonts w:ascii="Times New Roman" w:hAnsi="Times New Roman" w:cs="Times New Roman"/>
          <w:spacing w:val="-20"/>
          <w:sz w:val="24"/>
          <w:szCs w:val="24"/>
        </w:rPr>
        <w:t xml:space="preserve">że </w:t>
      </w:r>
      <w:r w:rsidRPr="00ED6A68">
        <w:rPr>
          <w:rStyle w:val="FontStyle32"/>
          <w:rFonts w:ascii="Times New Roman" w:hAnsi="Times New Roman" w:cs="Times New Roman"/>
          <w:sz w:val="24"/>
          <w:szCs w:val="24"/>
        </w:rPr>
        <w:t>w świetle bieżących informacji o postępie prac nad CPK, budowa projektowanej trasy kolei dużych prędkości między Warszawą, CPK, Łodzią, Wrocławiem i Poznaniem, stanowi najbardziej zaawansowany element całej inwestycji.</w:t>
      </w:r>
    </w:p>
    <w:p w14:paraId="4E135CAB" w14:textId="77777777" w:rsidR="00636918" w:rsidRPr="00ED6A68" w:rsidRDefault="00636918" w:rsidP="00636918">
      <w:pPr>
        <w:pStyle w:val="Style7"/>
        <w:widowControl/>
        <w:spacing w:line="240" w:lineRule="auto"/>
        <w:ind w:right="34" w:firstLine="709"/>
        <w:rPr>
          <w:rStyle w:val="FontStyle32"/>
          <w:rFonts w:ascii="Times New Roman" w:hAnsi="Times New Roman" w:cs="Times New Roman"/>
          <w:sz w:val="24"/>
          <w:szCs w:val="24"/>
        </w:rPr>
      </w:pPr>
    </w:p>
    <w:p w14:paraId="2416D0C8" w14:textId="4DB8F093" w:rsidR="00E32EDD" w:rsidRDefault="00E32EDD" w:rsidP="00636918">
      <w:pPr>
        <w:pStyle w:val="Style7"/>
        <w:widowControl/>
        <w:spacing w:line="240" w:lineRule="auto"/>
        <w:ind w:right="34"/>
        <w:rPr>
          <w:rStyle w:val="FontStyle32"/>
          <w:rFonts w:ascii="Times New Roman" w:hAnsi="Times New Roman" w:cs="Times New Roman"/>
          <w:b/>
          <w:sz w:val="24"/>
          <w:szCs w:val="24"/>
        </w:rPr>
      </w:pPr>
      <w:r w:rsidRPr="00ED6A68">
        <w:rPr>
          <w:rStyle w:val="FontStyle32"/>
          <w:rFonts w:ascii="Times New Roman" w:hAnsi="Times New Roman" w:cs="Times New Roman"/>
          <w:b/>
          <w:sz w:val="24"/>
          <w:szCs w:val="24"/>
        </w:rPr>
        <w:t>IV. Źródła finansowania</w:t>
      </w:r>
    </w:p>
    <w:p w14:paraId="4AF21F1A" w14:textId="77777777" w:rsidR="00636918" w:rsidRPr="00ED6A68" w:rsidRDefault="00636918" w:rsidP="00636918">
      <w:pPr>
        <w:pStyle w:val="Style7"/>
        <w:widowControl/>
        <w:spacing w:line="240" w:lineRule="auto"/>
        <w:ind w:right="34"/>
        <w:rPr>
          <w:rStyle w:val="FontStyle32"/>
          <w:rFonts w:ascii="Times New Roman" w:hAnsi="Times New Roman" w:cs="Times New Roman"/>
          <w:b/>
          <w:sz w:val="24"/>
          <w:szCs w:val="24"/>
        </w:rPr>
      </w:pPr>
    </w:p>
    <w:p w14:paraId="225FEFE8" w14:textId="64230A6E" w:rsidR="008278E3" w:rsidRPr="00ED6A68" w:rsidRDefault="008278E3" w:rsidP="004C71DE">
      <w:pPr>
        <w:pStyle w:val="Style7"/>
        <w:widowControl/>
        <w:spacing w:line="360" w:lineRule="auto"/>
        <w:ind w:right="34" w:firstLine="708"/>
        <w:rPr>
          <w:rFonts w:eastAsia="Times New Roman"/>
        </w:rPr>
      </w:pPr>
      <w:r w:rsidRPr="00ED6A68">
        <w:t xml:space="preserve">Projekt ustawy nie pociąga za sobą dodatkowego obciążenia budżetu państwa względem obciążeń przyjętych już na podstawie wiążących ustaw i uchwał Rady Ministrów. Zakłada on natomiast zwiększenie wartości finansowania </w:t>
      </w:r>
      <w:r w:rsidR="00203E33" w:rsidRPr="00ED6A68">
        <w:t>Programu</w:t>
      </w:r>
      <w:r w:rsidRPr="00ED6A68">
        <w:t xml:space="preserve"> </w:t>
      </w:r>
      <w:r w:rsidRPr="00ED6A68">
        <w:rPr>
          <w:rFonts w:eastAsia="Times New Roman"/>
        </w:rPr>
        <w:t>za pomocą skarbowych papierów wartościowych w wysokości do kwoty nie niższej niż 66 180  mln zł do 2032 r. Kwota ta odpowiada wartości finansowania za pomocą skarbowych papierów wartościowych przewidzian</w:t>
      </w:r>
      <w:r w:rsidR="00321F47" w:rsidRPr="00ED6A68">
        <w:rPr>
          <w:rFonts w:eastAsia="Times New Roman"/>
        </w:rPr>
        <w:t>ej</w:t>
      </w:r>
      <w:r w:rsidRPr="00ED6A68">
        <w:rPr>
          <w:rFonts w:eastAsia="Times New Roman"/>
        </w:rPr>
        <w:t xml:space="preserve"> do 2030 r. w pierwotnej wersji uchwały w sprawie ustanowienia programu wieloletniego – „Program inwestycyjny Centralny Port Komunikacyjny. Etap II. 2024–2030” </w:t>
      </w:r>
      <w:r w:rsidRPr="00ED6A68">
        <w:rPr>
          <w:rFonts w:eastAsia="Times New Roman"/>
        </w:rPr>
        <w:lastRenderedPageBreak/>
        <w:t xml:space="preserve">przyjętej przez Radę Ministrów w dniu 24 października 2023 r. </w:t>
      </w:r>
      <w:r w:rsidR="001A645C" w:rsidRPr="00ED6A68">
        <w:rPr>
          <w:rFonts w:eastAsia="Times New Roman"/>
        </w:rPr>
        <w:t>i oznacza zwiększenie takiego finansowania o kwotę co najmniej 3</w:t>
      </w:r>
      <w:r w:rsidR="00203E33">
        <w:rPr>
          <w:rFonts w:eastAsia="Times New Roman"/>
        </w:rPr>
        <w:t>,279 mld</w:t>
      </w:r>
      <w:r w:rsidR="001A645C" w:rsidRPr="00ED6A68">
        <w:rPr>
          <w:rFonts w:eastAsia="Times New Roman"/>
        </w:rPr>
        <w:t xml:space="preserve"> zł w stosunku do obecnie obowiązującego Programu.</w:t>
      </w:r>
    </w:p>
    <w:p w14:paraId="193C0DE2" w14:textId="06AB36F0" w:rsidR="001A645C" w:rsidRPr="00ED6A68" w:rsidRDefault="001A645C" w:rsidP="004C71DE">
      <w:pPr>
        <w:pStyle w:val="Style7"/>
        <w:widowControl/>
        <w:spacing w:line="360" w:lineRule="auto"/>
        <w:ind w:right="34" w:firstLine="708"/>
      </w:pPr>
      <w:r w:rsidRPr="00ED6A68">
        <w:t>Zakładane zmiany</w:t>
      </w:r>
      <w:r w:rsidR="008278E3" w:rsidRPr="00ED6A68">
        <w:t xml:space="preserve"> Programu wiążąc</w:t>
      </w:r>
      <w:r w:rsidRPr="00ED6A68">
        <w:t>e</w:t>
      </w:r>
      <w:r w:rsidR="008278E3" w:rsidRPr="00ED6A68">
        <w:t xml:space="preserve"> się ze zwiększeniem finansowania dla niektórych przedsięwzięć (przywrócenie projektu sieci terminali intermodalnych, Airport City, Cargo City, zabezpieczenie środków na działania badawczo rozwojowe)</w:t>
      </w:r>
      <w:r w:rsidRPr="00ED6A68">
        <w:t xml:space="preserve"> znajdą pokrycie w ogólnej kwocie zwiększenia wartości Programu. </w:t>
      </w:r>
    </w:p>
    <w:p w14:paraId="304BC2F4" w14:textId="17B79211" w:rsidR="001A645C" w:rsidRPr="00ED6A68" w:rsidRDefault="001A645C" w:rsidP="004C71DE">
      <w:pPr>
        <w:pStyle w:val="Style7"/>
        <w:widowControl/>
        <w:spacing w:line="360" w:lineRule="auto"/>
        <w:ind w:right="34" w:firstLine="708"/>
      </w:pPr>
      <w:r w:rsidRPr="00ED6A68">
        <w:t>Należy wskazać</w:t>
      </w:r>
      <w:r w:rsidR="00636918">
        <w:t>, że w</w:t>
      </w:r>
      <w:r w:rsidRPr="00ED6A68">
        <w:t xml:space="preserve"> skutek niektórych proponowanych rozwiązań mogą wystąpić znaczące oszczędności w Programie</w:t>
      </w:r>
      <w:r w:rsidR="008278E3" w:rsidRPr="00ED6A68">
        <w:t xml:space="preserve">, w szczególności w ramach środków przeznaczonych na realizację Podprogramu Kolejowego, które miały być przeznaczone na inwestycje związane z podniesieniem prędkości eksploatacyjnej na nowych liniach oraz zakup taboru o specyfikacji zakładającej prędkość 300+km/h. </w:t>
      </w:r>
    </w:p>
    <w:p w14:paraId="636F24A1" w14:textId="26DB92CB" w:rsidR="008278E3" w:rsidRDefault="008278E3" w:rsidP="004C71DE">
      <w:pPr>
        <w:pStyle w:val="Style7"/>
        <w:widowControl/>
        <w:spacing w:line="360" w:lineRule="auto"/>
        <w:ind w:right="34" w:firstLine="708"/>
      </w:pPr>
      <w:r w:rsidRPr="00ED6A68">
        <w:t>W zakresie budżetów jedn</w:t>
      </w:r>
      <w:r w:rsidR="00636918">
        <w:t>ostek samorządu terytorialnego P</w:t>
      </w:r>
      <w:r w:rsidRPr="00ED6A68">
        <w:t>rogram wiąże się z</w:t>
      </w:r>
      <w:r w:rsidR="0040458A" w:rsidRPr="00ED6A68">
        <w:t> </w:t>
      </w:r>
      <w:r w:rsidRPr="00ED6A68">
        <w:t>ograniczeniem wydatków na dotowanie połączeń lotniczych.</w:t>
      </w:r>
    </w:p>
    <w:p w14:paraId="6A3C191F" w14:textId="77777777" w:rsidR="00636918" w:rsidRPr="00ED6A68" w:rsidRDefault="00636918" w:rsidP="00636918">
      <w:pPr>
        <w:pStyle w:val="Style7"/>
        <w:widowControl/>
        <w:spacing w:line="240" w:lineRule="auto"/>
        <w:ind w:right="34" w:firstLine="709"/>
        <w:rPr>
          <w:b/>
        </w:rPr>
      </w:pPr>
    </w:p>
    <w:p w14:paraId="1A54426E" w14:textId="44FB4546" w:rsidR="005F3E2E" w:rsidRDefault="00D67C11" w:rsidP="00636918">
      <w:pPr>
        <w:spacing w:after="0" w:line="240" w:lineRule="auto"/>
        <w:jc w:val="both"/>
        <w:rPr>
          <w:rFonts w:ascii="Times New Roman" w:hAnsi="Times New Roman" w:cs="Times New Roman"/>
          <w:b/>
          <w:sz w:val="24"/>
          <w:szCs w:val="24"/>
        </w:rPr>
      </w:pPr>
      <w:r w:rsidRPr="00ED6A68">
        <w:rPr>
          <w:rFonts w:ascii="Times New Roman" w:hAnsi="Times New Roman" w:cs="Times New Roman"/>
          <w:b/>
          <w:sz w:val="24"/>
          <w:szCs w:val="24"/>
        </w:rPr>
        <w:t xml:space="preserve">V. </w:t>
      </w:r>
      <w:r w:rsidR="00CF7D69" w:rsidRPr="00ED6A68">
        <w:rPr>
          <w:rFonts w:ascii="Times New Roman" w:hAnsi="Times New Roman" w:cs="Times New Roman"/>
          <w:b/>
          <w:sz w:val="24"/>
          <w:szCs w:val="24"/>
        </w:rPr>
        <w:t>Konsultacje społeczne</w:t>
      </w:r>
    </w:p>
    <w:p w14:paraId="769D6006" w14:textId="77777777" w:rsidR="00636918" w:rsidRPr="00ED6A68" w:rsidRDefault="00636918" w:rsidP="00636918">
      <w:pPr>
        <w:spacing w:after="0" w:line="240" w:lineRule="auto"/>
        <w:jc w:val="both"/>
        <w:rPr>
          <w:rFonts w:ascii="Times New Roman" w:hAnsi="Times New Roman" w:cs="Times New Roman"/>
          <w:b/>
          <w:sz w:val="24"/>
          <w:szCs w:val="24"/>
        </w:rPr>
      </w:pPr>
    </w:p>
    <w:p w14:paraId="2D852B29" w14:textId="61CF3FDA" w:rsidR="00E32EDD" w:rsidRPr="00ED6A68" w:rsidRDefault="00B530FA" w:rsidP="00E32EDD">
      <w:pPr>
        <w:spacing w:after="0" w:line="360" w:lineRule="auto"/>
        <w:jc w:val="both"/>
        <w:rPr>
          <w:rFonts w:ascii="Times New Roman" w:hAnsi="Times New Roman" w:cs="Times New Roman"/>
          <w:sz w:val="24"/>
          <w:szCs w:val="24"/>
        </w:rPr>
      </w:pPr>
      <w:r w:rsidRPr="00ED6A68">
        <w:rPr>
          <w:rFonts w:ascii="Times New Roman" w:hAnsi="Times New Roman" w:cs="Times New Roman"/>
          <w:sz w:val="24"/>
          <w:szCs w:val="24"/>
        </w:rPr>
        <w:tab/>
        <w:t xml:space="preserve">Przedkładany projekt ustawy nie był poddany bezpośrednim konsultacjom społecznym, biorąc jednak pod uwagę, że stanowi on kontynuację wszystkich najważniejszych założeń projektu obywatelskiego zawartego w druku sejmowym nr 699, uznać należy, iż skonsultowany został z co najmniej </w:t>
      </w:r>
      <w:r w:rsidR="005510E2" w:rsidRPr="00ED6A68">
        <w:rPr>
          <w:rFonts w:ascii="Times New Roman" w:hAnsi="Times New Roman" w:cs="Times New Roman"/>
          <w:sz w:val="24"/>
          <w:szCs w:val="24"/>
        </w:rPr>
        <w:t xml:space="preserve">100 tysiącami obywateli, którzy wyrazili dla niego poparcie. Ponadto </w:t>
      </w:r>
      <w:r w:rsidR="0067351A" w:rsidRPr="00ED6A68">
        <w:rPr>
          <w:rFonts w:ascii="Times New Roman" w:hAnsi="Times New Roman" w:cs="Times New Roman"/>
          <w:sz w:val="24"/>
          <w:szCs w:val="24"/>
        </w:rPr>
        <w:t xml:space="preserve">obywatelski </w:t>
      </w:r>
      <w:r w:rsidR="005510E2" w:rsidRPr="00ED6A68">
        <w:rPr>
          <w:rFonts w:ascii="Times New Roman" w:hAnsi="Times New Roman" w:cs="Times New Roman"/>
          <w:sz w:val="24"/>
          <w:szCs w:val="24"/>
        </w:rPr>
        <w:t>projekt był ju</w:t>
      </w:r>
      <w:r w:rsidR="0067351A" w:rsidRPr="00ED6A68">
        <w:rPr>
          <w:rFonts w:ascii="Times New Roman" w:hAnsi="Times New Roman" w:cs="Times New Roman"/>
          <w:sz w:val="24"/>
          <w:szCs w:val="24"/>
        </w:rPr>
        <w:t xml:space="preserve">ż zaprezentowany szerszej społeczności odbyło się bowiem jego I czytanie w Sejmie. </w:t>
      </w:r>
    </w:p>
    <w:p w14:paraId="3CF44DF0" w14:textId="77777777" w:rsidR="005F2423" w:rsidRPr="00ED6A68" w:rsidRDefault="005F2423" w:rsidP="00E32EDD">
      <w:pPr>
        <w:spacing w:after="0" w:line="360" w:lineRule="auto"/>
        <w:jc w:val="both"/>
        <w:rPr>
          <w:rFonts w:ascii="Times New Roman" w:hAnsi="Times New Roman" w:cs="Times New Roman"/>
          <w:sz w:val="24"/>
          <w:szCs w:val="24"/>
        </w:rPr>
      </w:pPr>
    </w:p>
    <w:p w14:paraId="68D59C62" w14:textId="77777777" w:rsidR="00E32EDD" w:rsidRPr="00ED6A68" w:rsidRDefault="005510E2"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Projekt nie jest sprzeczny z prawem</w:t>
      </w:r>
      <w:r w:rsidR="00E63D7C" w:rsidRPr="00ED6A68">
        <w:rPr>
          <w:rFonts w:ascii="Times New Roman" w:hAnsi="Times New Roman" w:cs="Times New Roman"/>
          <w:sz w:val="24"/>
          <w:szCs w:val="24"/>
        </w:rPr>
        <w:t xml:space="preserve"> Unii Europejskiej.</w:t>
      </w:r>
    </w:p>
    <w:p w14:paraId="65DD494B" w14:textId="77777777" w:rsidR="00E63D7C" w:rsidRPr="00ED6A68" w:rsidRDefault="00E63D7C"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Projekt ustawy nie wymaga przedstawienia właściwym organom i instytucjom Unii</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Europejskiej, w tym Europejskiemu Bankowi Centralnemu, w celu uzyskania opinii, dokonania</w:t>
      </w:r>
    </w:p>
    <w:p w14:paraId="7551BF73" w14:textId="77777777" w:rsidR="00E32EDD" w:rsidRPr="00ED6A68" w:rsidRDefault="00E63D7C" w:rsidP="00E32EDD">
      <w:pPr>
        <w:spacing w:after="0" w:line="360" w:lineRule="auto"/>
        <w:jc w:val="both"/>
        <w:rPr>
          <w:rFonts w:ascii="Times New Roman" w:hAnsi="Times New Roman" w:cs="Times New Roman"/>
          <w:sz w:val="24"/>
          <w:szCs w:val="24"/>
        </w:rPr>
      </w:pPr>
      <w:r w:rsidRPr="00ED6A68">
        <w:rPr>
          <w:rFonts w:ascii="Times New Roman" w:hAnsi="Times New Roman" w:cs="Times New Roman"/>
          <w:sz w:val="24"/>
          <w:szCs w:val="24"/>
        </w:rPr>
        <w:t>powiadomienia, konsultacji lub uzgodnienia.</w:t>
      </w:r>
      <w:r w:rsidR="00E32EDD" w:rsidRPr="00ED6A68">
        <w:rPr>
          <w:rFonts w:ascii="Times New Roman" w:hAnsi="Times New Roman" w:cs="Times New Roman"/>
          <w:sz w:val="24"/>
          <w:szCs w:val="24"/>
        </w:rPr>
        <w:t xml:space="preserve"> </w:t>
      </w:r>
    </w:p>
    <w:p w14:paraId="5C2A8C9F" w14:textId="77777777" w:rsidR="00E32EDD" w:rsidRPr="00ED6A68" w:rsidRDefault="00CF7D69"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Nie ma możliwości podjęcia alternatywnych w stosunku do projektowanej ustawy</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 xml:space="preserve">środków umożliwiających osiągnięcie </w:t>
      </w:r>
      <w:r w:rsidR="00E32EDD" w:rsidRPr="00ED6A68">
        <w:rPr>
          <w:rFonts w:ascii="Times New Roman" w:hAnsi="Times New Roman" w:cs="Times New Roman"/>
          <w:sz w:val="24"/>
          <w:szCs w:val="24"/>
        </w:rPr>
        <w:t>zamierzonego celu.</w:t>
      </w:r>
    </w:p>
    <w:p w14:paraId="676194B0" w14:textId="77777777" w:rsidR="00E32EDD" w:rsidRPr="00ED6A68" w:rsidRDefault="00CF7D69"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Projektowane przepisy są zgodne z zasadami proporcjonalności, uzasadnionego</w:t>
      </w:r>
      <w:r w:rsidR="00E32EDD" w:rsidRPr="00ED6A68">
        <w:rPr>
          <w:rFonts w:ascii="Times New Roman" w:hAnsi="Times New Roman" w:cs="Times New Roman"/>
          <w:sz w:val="24"/>
          <w:szCs w:val="24"/>
        </w:rPr>
        <w:t xml:space="preserve"> i </w:t>
      </w:r>
      <w:r w:rsidRPr="00ED6A68">
        <w:rPr>
          <w:rFonts w:ascii="Times New Roman" w:hAnsi="Times New Roman" w:cs="Times New Roman"/>
          <w:sz w:val="24"/>
          <w:szCs w:val="24"/>
        </w:rPr>
        <w:t>niedyskryminującego charakteru. Przepisy projektu ustawy są uzasadnione nadrzędnymi</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względami interesu ogólnego i tym samym nie wykraczają poza to, co niezbędne.</w:t>
      </w:r>
    </w:p>
    <w:p w14:paraId="2592177B" w14:textId="77777777" w:rsidR="00CF7D69" w:rsidRPr="00ED6A68" w:rsidRDefault="00CF7D69" w:rsidP="00E32EDD">
      <w:pPr>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lastRenderedPageBreak/>
        <w:t>Projekt ustawy nie zawiera przepisów technicznych w rozumieniu rozporządzenia Rady</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Ministrów z dnia 23 grudnia 2002 r. w sprawie funkcjonowania krajowego systemu notyfikacji</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 xml:space="preserve">norm i aktów prawnych (Dz. U. poz. 2039 oraz z 2004 r. poz. 597), w związku z </w:t>
      </w:r>
      <w:r w:rsidR="00E32EDD" w:rsidRPr="00ED6A68">
        <w:rPr>
          <w:rFonts w:ascii="Times New Roman" w:hAnsi="Times New Roman" w:cs="Times New Roman"/>
          <w:sz w:val="24"/>
          <w:szCs w:val="24"/>
        </w:rPr>
        <w:t xml:space="preserve">tym nie </w:t>
      </w:r>
      <w:r w:rsidRPr="00ED6A68">
        <w:rPr>
          <w:rFonts w:ascii="Times New Roman" w:hAnsi="Times New Roman" w:cs="Times New Roman"/>
          <w:sz w:val="24"/>
          <w:szCs w:val="24"/>
        </w:rPr>
        <w:t>podlega</w:t>
      </w:r>
    </w:p>
    <w:p w14:paraId="709B809A" w14:textId="77777777" w:rsidR="00E32EDD" w:rsidRPr="00ED6A68" w:rsidRDefault="00CF7D69" w:rsidP="00E32EDD">
      <w:pPr>
        <w:autoSpaceDE w:val="0"/>
        <w:autoSpaceDN w:val="0"/>
        <w:adjustRightInd w:val="0"/>
        <w:spacing w:after="0" w:line="360" w:lineRule="auto"/>
        <w:rPr>
          <w:rFonts w:ascii="Times New Roman" w:hAnsi="Times New Roman" w:cs="Times New Roman"/>
          <w:sz w:val="24"/>
          <w:szCs w:val="24"/>
        </w:rPr>
      </w:pPr>
      <w:r w:rsidRPr="00ED6A68">
        <w:rPr>
          <w:rFonts w:ascii="Times New Roman" w:hAnsi="Times New Roman" w:cs="Times New Roman"/>
          <w:sz w:val="24"/>
          <w:szCs w:val="24"/>
        </w:rPr>
        <w:t>notyfikacji.</w:t>
      </w:r>
    </w:p>
    <w:p w14:paraId="18A1999F" w14:textId="4AEDEEC2" w:rsidR="00AD34F9" w:rsidRPr="00ED6A68" w:rsidRDefault="00CF7D69" w:rsidP="00E32EDD">
      <w:pPr>
        <w:autoSpaceDE w:val="0"/>
        <w:autoSpaceDN w:val="0"/>
        <w:adjustRightInd w:val="0"/>
        <w:spacing w:after="0" w:line="360" w:lineRule="auto"/>
        <w:ind w:firstLine="708"/>
        <w:jc w:val="both"/>
        <w:rPr>
          <w:rFonts w:ascii="Times New Roman" w:hAnsi="Times New Roman" w:cs="Times New Roman"/>
          <w:sz w:val="24"/>
          <w:szCs w:val="24"/>
        </w:rPr>
      </w:pPr>
      <w:r w:rsidRPr="00ED6A68">
        <w:rPr>
          <w:rFonts w:ascii="Times New Roman" w:hAnsi="Times New Roman" w:cs="Times New Roman"/>
          <w:sz w:val="24"/>
          <w:szCs w:val="24"/>
        </w:rPr>
        <w:t>Projekt nie zawiera przepisów regulacyjnych lub przepisów określających wymogi</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dotyczące świadczenia usług transgranicznych w rozumieniu ustawy z dnia 22 grudnia 2015 r.</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o zasadach uznawania kwalifikacji zawodowych nabytych w państwach członkowskich Unii</w:t>
      </w:r>
      <w:r w:rsidR="00E32EDD" w:rsidRPr="00ED6A68">
        <w:rPr>
          <w:rFonts w:ascii="Times New Roman" w:hAnsi="Times New Roman" w:cs="Times New Roman"/>
          <w:sz w:val="24"/>
          <w:szCs w:val="24"/>
        </w:rPr>
        <w:t xml:space="preserve"> </w:t>
      </w:r>
      <w:r w:rsidRPr="00ED6A68">
        <w:rPr>
          <w:rFonts w:ascii="Times New Roman" w:hAnsi="Times New Roman" w:cs="Times New Roman"/>
          <w:sz w:val="24"/>
          <w:szCs w:val="24"/>
        </w:rPr>
        <w:t>Europejskiej (Dz. U. z 2023 r. poz. 334).</w:t>
      </w:r>
    </w:p>
    <w:p w14:paraId="24ED6CF5" w14:textId="502FF6C9" w:rsidR="000A0B19" w:rsidRPr="00ED6A68" w:rsidRDefault="000A0B19" w:rsidP="00E32EDD">
      <w:pPr>
        <w:autoSpaceDE w:val="0"/>
        <w:autoSpaceDN w:val="0"/>
        <w:adjustRightInd w:val="0"/>
        <w:spacing w:after="0" w:line="360" w:lineRule="auto"/>
        <w:ind w:firstLine="708"/>
        <w:jc w:val="both"/>
        <w:rPr>
          <w:rFonts w:ascii="Times New Roman" w:hAnsi="Times New Roman" w:cs="Times New Roman"/>
          <w:sz w:val="24"/>
          <w:szCs w:val="24"/>
        </w:rPr>
      </w:pPr>
    </w:p>
    <w:p w14:paraId="5B1B6F6F" w14:textId="2D228B89" w:rsidR="000A0B19" w:rsidRPr="00ED6A68" w:rsidRDefault="000A0B19" w:rsidP="00E32EDD">
      <w:pPr>
        <w:autoSpaceDE w:val="0"/>
        <w:autoSpaceDN w:val="0"/>
        <w:adjustRightInd w:val="0"/>
        <w:spacing w:after="0" w:line="360" w:lineRule="auto"/>
        <w:ind w:firstLine="708"/>
        <w:jc w:val="both"/>
        <w:rPr>
          <w:rFonts w:ascii="Times New Roman" w:hAnsi="Times New Roman" w:cs="Times New Roman"/>
          <w:sz w:val="24"/>
          <w:szCs w:val="24"/>
        </w:rPr>
      </w:pPr>
    </w:p>
    <w:sectPr w:rsidR="000A0B19" w:rsidRPr="00ED6A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942A" w14:textId="77777777" w:rsidR="00B94E34" w:rsidRDefault="00B94E34" w:rsidP="00E32EDD">
      <w:pPr>
        <w:spacing w:after="0" w:line="240" w:lineRule="auto"/>
      </w:pPr>
      <w:r>
        <w:separator/>
      </w:r>
    </w:p>
  </w:endnote>
  <w:endnote w:type="continuationSeparator" w:id="0">
    <w:p w14:paraId="0DBD0505" w14:textId="77777777" w:rsidR="00B94E34" w:rsidRDefault="00B94E34" w:rsidP="00E3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368730"/>
      <w:docPartObj>
        <w:docPartGallery w:val="Page Numbers (Bottom of Page)"/>
        <w:docPartUnique/>
      </w:docPartObj>
    </w:sdtPr>
    <w:sdtContent>
      <w:p w14:paraId="24BD81DF" w14:textId="4F3A3940" w:rsidR="00E32EDD" w:rsidRDefault="00E32EDD">
        <w:pPr>
          <w:pStyle w:val="Stopka"/>
          <w:jc w:val="right"/>
        </w:pPr>
        <w:r>
          <w:fldChar w:fldCharType="begin"/>
        </w:r>
        <w:r>
          <w:instrText>PAGE   \* MERGEFORMAT</w:instrText>
        </w:r>
        <w:r>
          <w:fldChar w:fldCharType="separate"/>
        </w:r>
        <w:r w:rsidR="001231F5">
          <w:rPr>
            <w:noProof/>
          </w:rPr>
          <w:t>2</w:t>
        </w:r>
        <w:r>
          <w:fldChar w:fldCharType="end"/>
        </w:r>
      </w:p>
    </w:sdtContent>
  </w:sdt>
  <w:p w14:paraId="152C1F02" w14:textId="77777777" w:rsidR="00E32EDD" w:rsidRDefault="00E32E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E1E6" w14:textId="77777777" w:rsidR="00B94E34" w:rsidRDefault="00B94E34" w:rsidP="00E32EDD">
      <w:pPr>
        <w:spacing w:after="0" w:line="240" w:lineRule="auto"/>
      </w:pPr>
      <w:r>
        <w:separator/>
      </w:r>
    </w:p>
  </w:footnote>
  <w:footnote w:type="continuationSeparator" w:id="0">
    <w:p w14:paraId="09341C11" w14:textId="77777777" w:rsidR="00B94E34" w:rsidRDefault="00B94E34" w:rsidP="00E32EDD">
      <w:pPr>
        <w:spacing w:after="0" w:line="240" w:lineRule="auto"/>
      </w:pPr>
      <w:r>
        <w:continuationSeparator/>
      </w:r>
    </w:p>
  </w:footnote>
  <w:footnote w:id="1">
    <w:p w14:paraId="45ADA9AC" w14:textId="201CAE12" w:rsidR="00BF29F7" w:rsidRPr="00BF29F7" w:rsidRDefault="00BF29F7" w:rsidP="00203E33">
      <w:pPr>
        <w:pStyle w:val="Tekstprzypisudolnego"/>
        <w:jc w:val="both"/>
        <w:rPr>
          <w:rFonts w:ascii="Times New Roman" w:hAnsi="Times New Roman" w:cs="Times New Roman"/>
        </w:rPr>
      </w:pPr>
      <w:r w:rsidRPr="00BF29F7">
        <w:rPr>
          <w:rStyle w:val="Odwoanieprzypisudolnego"/>
          <w:rFonts w:ascii="Times New Roman" w:hAnsi="Times New Roman" w:cs="Times New Roman"/>
        </w:rPr>
        <w:footnoteRef/>
      </w:r>
      <w:r w:rsidRPr="00BF29F7">
        <w:rPr>
          <w:rFonts w:ascii="Times New Roman" w:hAnsi="Times New Roman" w:cs="Times New Roman"/>
        </w:rPr>
        <w:t xml:space="preserve"> „Europejska strategia w dziedzinie lotnictwa”, komunikat Komisji Europejskiej do Parlamentu Europejskiego, Rady, Europejskiego Komitetu Ekonomiczno-Społecznego i Komitetu Regionów, COM(2015) 598 final.</w:t>
      </w:r>
    </w:p>
  </w:footnote>
  <w:footnote w:id="2">
    <w:p w14:paraId="2801E02D" w14:textId="195F24DD" w:rsidR="0018181F" w:rsidRPr="00584797" w:rsidRDefault="00EF7AB5" w:rsidP="00203E33">
      <w:pPr>
        <w:pStyle w:val="Tekstprzypisudolnego"/>
        <w:jc w:val="both"/>
        <w:rPr>
          <w:rFonts w:ascii="Times New Roman" w:hAnsi="Times New Roman" w:cs="Times New Roman"/>
        </w:rPr>
      </w:pPr>
      <w:r>
        <w:rPr>
          <w:rStyle w:val="Odwoanieprzypisudolnego"/>
        </w:rPr>
        <w:footnoteRef/>
      </w:r>
      <w:r>
        <w:t xml:space="preserve"> </w:t>
      </w:r>
      <w:r w:rsidRPr="00584797">
        <w:rPr>
          <w:rFonts w:ascii="Times New Roman" w:hAnsi="Times New Roman" w:cs="Times New Roman"/>
        </w:rPr>
        <w:t xml:space="preserve">Ernst&amp;Young, Raport: Prognoza w zakresie wpływu Programu CPK na ruch cargo na poziomie działów </w:t>
      </w:r>
      <w:r w:rsidR="0018181F" w:rsidRPr="00584797">
        <w:rPr>
          <w:rFonts w:ascii="Times New Roman" w:hAnsi="Times New Roman" w:cs="Times New Roman"/>
        </w:rPr>
        <w:t>ISZTAR4</w:t>
      </w:r>
      <w:r w:rsidR="00CD6E8C" w:rsidRPr="00584797">
        <w:rPr>
          <w:rFonts w:ascii="Times New Roman" w:hAnsi="Times New Roman" w:cs="Times New Roman"/>
        </w:rPr>
        <w:t xml:space="preserve"> w Polsce o</w:t>
      </w:r>
      <w:r w:rsidR="0018181F" w:rsidRPr="00584797">
        <w:rPr>
          <w:rFonts w:ascii="Times New Roman" w:hAnsi="Times New Roman" w:cs="Times New Roman"/>
        </w:rPr>
        <w:t>raz analiza prawna zmian w zakresi</w:t>
      </w:r>
      <w:r w:rsidR="00CD6E8C" w:rsidRPr="00584797">
        <w:rPr>
          <w:rFonts w:ascii="Times New Roman" w:hAnsi="Times New Roman" w:cs="Times New Roman"/>
        </w:rPr>
        <w:t>e przepisów celno-podatkowych, wrzesień</w:t>
      </w:r>
      <w:r w:rsidR="0018181F" w:rsidRPr="00584797">
        <w:rPr>
          <w:rFonts w:ascii="Times New Roman" w:hAnsi="Times New Roman" w:cs="Times New Roman"/>
        </w:rPr>
        <w:t xml:space="preserve"> 2023 r.</w:t>
      </w:r>
    </w:p>
  </w:footnote>
  <w:footnote w:id="3">
    <w:p w14:paraId="0885049D" w14:textId="2E71FBC2" w:rsidR="00CC55C3" w:rsidRPr="00636918" w:rsidRDefault="00CC55C3" w:rsidP="00CC55C3">
      <w:pPr>
        <w:pStyle w:val="Tekstprzypisudolnego"/>
        <w:jc w:val="both"/>
        <w:rPr>
          <w:rFonts w:ascii="Times New Roman" w:hAnsi="Times New Roman" w:cs="Times New Roman"/>
        </w:rPr>
      </w:pPr>
      <w:r w:rsidRPr="00636918">
        <w:rPr>
          <w:rStyle w:val="Odwoanieprzypisudolnego"/>
          <w:rFonts w:ascii="Times New Roman" w:hAnsi="Times New Roman" w:cs="Times New Roman"/>
        </w:rPr>
        <w:footnoteRef/>
      </w:r>
      <w:r w:rsidRPr="00636918">
        <w:rPr>
          <w:rFonts w:ascii="Times New Roman" w:hAnsi="Times New Roman" w:cs="Times New Roman"/>
        </w:rPr>
        <w:t xml:space="preserve"> </w:t>
      </w:r>
      <w:r w:rsidRPr="00636918">
        <w:rPr>
          <w:rStyle w:val="FontStyle33"/>
          <w:rFonts w:ascii="Times New Roman" w:hAnsi="Times New Roman" w:cs="Times New Roman"/>
          <w:b w:val="0"/>
          <w:sz w:val="20"/>
          <w:szCs w:val="20"/>
          <w:lang w:val="en-US"/>
        </w:rPr>
        <w:t xml:space="preserve">Kearney, </w:t>
      </w:r>
      <w:r w:rsidRPr="00636918">
        <w:rPr>
          <w:rStyle w:val="FontStyle33"/>
          <w:rFonts w:ascii="Times New Roman" w:hAnsi="Times New Roman" w:cs="Times New Roman"/>
          <w:b w:val="0"/>
          <w:sz w:val="20"/>
          <w:szCs w:val="20"/>
        </w:rPr>
        <w:t>Raport: Centralny Port Komunikacyjny. Analiza wpływu przygotowania i realizacji inwestycji na gospodarkę w Polsce, Warszawa 2020, raporty</w:t>
      </w:r>
      <w:r w:rsidR="00636918">
        <w:rPr>
          <w:rStyle w:val="FontStyle33"/>
          <w:rFonts w:ascii="Times New Roman" w:hAnsi="Times New Roman" w:cs="Times New Roman"/>
          <w:b w:val="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5E53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A3EDF"/>
    <w:multiLevelType w:val="hybridMultilevel"/>
    <w:tmpl w:val="689EE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57E6F"/>
    <w:multiLevelType w:val="hybridMultilevel"/>
    <w:tmpl w:val="866A1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AA244B"/>
    <w:multiLevelType w:val="hybridMultilevel"/>
    <w:tmpl w:val="F74CB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A730AA"/>
    <w:multiLevelType w:val="hybridMultilevel"/>
    <w:tmpl w:val="8C58AA9A"/>
    <w:lvl w:ilvl="0" w:tplc="5414F58C">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3CF65CDB"/>
    <w:multiLevelType w:val="hybridMultilevel"/>
    <w:tmpl w:val="FDDA2EF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40082BB2"/>
    <w:multiLevelType w:val="hybridMultilevel"/>
    <w:tmpl w:val="838C293C"/>
    <w:lvl w:ilvl="0" w:tplc="B34CF3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60804E5D"/>
    <w:multiLevelType w:val="hybridMultilevel"/>
    <w:tmpl w:val="099E68E6"/>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8" w15:restartNumberingAfterBreak="0">
    <w:nsid w:val="613F7A4B"/>
    <w:multiLevelType w:val="hybridMultilevel"/>
    <w:tmpl w:val="2578CD8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489443470">
    <w:abstractNumId w:val="7"/>
  </w:num>
  <w:num w:numId="2" w16cid:durableId="2131166037">
    <w:abstractNumId w:val="6"/>
  </w:num>
  <w:num w:numId="3" w16cid:durableId="1711684613">
    <w:abstractNumId w:val="4"/>
  </w:num>
  <w:num w:numId="4" w16cid:durableId="1227257191">
    <w:abstractNumId w:val="8"/>
  </w:num>
  <w:num w:numId="5" w16cid:durableId="662663820">
    <w:abstractNumId w:val="3"/>
  </w:num>
  <w:num w:numId="6" w16cid:durableId="1734037474">
    <w:abstractNumId w:val="0"/>
  </w:num>
  <w:num w:numId="7" w16cid:durableId="1813330861">
    <w:abstractNumId w:val="2"/>
  </w:num>
  <w:num w:numId="8" w16cid:durableId="721297036">
    <w:abstractNumId w:val="5"/>
  </w:num>
  <w:num w:numId="9" w16cid:durableId="122599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E8"/>
    <w:rsid w:val="00001A7D"/>
    <w:rsid w:val="00020463"/>
    <w:rsid w:val="00021AE9"/>
    <w:rsid w:val="0002425A"/>
    <w:rsid w:val="000243C2"/>
    <w:rsid w:val="000319E3"/>
    <w:rsid w:val="00034963"/>
    <w:rsid w:val="00042ED3"/>
    <w:rsid w:val="000743FF"/>
    <w:rsid w:val="000A0B19"/>
    <w:rsid w:val="000B526A"/>
    <w:rsid w:val="000C54B2"/>
    <w:rsid w:val="000E1847"/>
    <w:rsid w:val="00104FD4"/>
    <w:rsid w:val="00106B62"/>
    <w:rsid w:val="00112B8C"/>
    <w:rsid w:val="001231F5"/>
    <w:rsid w:val="001753D8"/>
    <w:rsid w:val="0018181F"/>
    <w:rsid w:val="001A1AF9"/>
    <w:rsid w:val="001A645C"/>
    <w:rsid w:val="001D6BCB"/>
    <w:rsid w:val="00202F43"/>
    <w:rsid w:val="00203E33"/>
    <w:rsid w:val="00321F47"/>
    <w:rsid w:val="003664B5"/>
    <w:rsid w:val="003B5084"/>
    <w:rsid w:val="003B63F0"/>
    <w:rsid w:val="0040458A"/>
    <w:rsid w:val="00415A77"/>
    <w:rsid w:val="004470A6"/>
    <w:rsid w:val="00457279"/>
    <w:rsid w:val="004827D2"/>
    <w:rsid w:val="004A2C2E"/>
    <w:rsid w:val="004C5839"/>
    <w:rsid w:val="004C71DE"/>
    <w:rsid w:val="004E7CCE"/>
    <w:rsid w:val="004F3E79"/>
    <w:rsid w:val="00506BBF"/>
    <w:rsid w:val="005108C1"/>
    <w:rsid w:val="005262F1"/>
    <w:rsid w:val="00542D7F"/>
    <w:rsid w:val="00550EB2"/>
    <w:rsid w:val="005510E2"/>
    <w:rsid w:val="00565752"/>
    <w:rsid w:val="005846E7"/>
    <w:rsid w:val="00584797"/>
    <w:rsid w:val="005A2773"/>
    <w:rsid w:val="005A551A"/>
    <w:rsid w:val="005B6AE8"/>
    <w:rsid w:val="005C292E"/>
    <w:rsid w:val="005F2423"/>
    <w:rsid w:val="005F3E2E"/>
    <w:rsid w:val="00625073"/>
    <w:rsid w:val="00636918"/>
    <w:rsid w:val="00663B39"/>
    <w:rsid w:val="006671DF"/>
    <w:rsid w:val="00670492"/>
    <w:rsid w:val="0067351A"/>
    <w:rsid w:val="006820DB"/>
    <w:rsid w:val="00697637"/>
    <w:rsid w:val="00697D3D"/>
    <w:rsid w:val="007168A4"/>
    <w:rsid w:val="00761927"/>
    <w:rsid w:val="00766E98"/>
    <w:rsid w:val="00780C4D"/>
    <w:rsid w:val="0078720C"/>
    <w:rsid w:val="007E33BB"/>
    <w:rsid w:val="008040BC"/>
    <w:rsid w:val="00805CCC"/>
    <w:rsid w:val="008119CB"/>
    <w:rsid w:val="008278E3"/>
    <w:rsid w:val="00860970"/>
    <w:rsid w:val="00863DDD"/>
    <w:rsid w:val="00873720"/>
    <w:rsid w:val="008B2AE9"/>
    <w:rsid w:val="008E5F66"/>
    <w:rsid w:val="009057C2"/>
    <w:rsid w:val="0097205E"/>
    <w:rsid w:val="00987E19"/>
    <w:rsid w:val="009F172E"/>
    <w:rsid w:val="00A14961"/>
    <w:rsid w:val="00A20796"/>
    <w:rsid w:val="00A51C51"/>
    <w:rsid w:val="00A5432F"/>
    <w:rsid w:val="00A964B3"/>
    <w:rsid w:val="00AD34F9"/>
    <w:rsid w:val="00AE77CD"/>
    <w:rsid w:val="00AF2FBD"/>
    <w:rsid w:val="00B05FFD"/>
    <w:rsid w:val="00B37162"/>
    <w:rsid w:val="00B530FA"/>
    <w:rsid w:val="00B63A2D"/>
    <w:rsid w:val="00B74A72"/>
    <w:rsid w:val="00B77F88"/>
    <w:rsid w:val="00B90646"/>
    <w:rsid w:val="00B94E34"/>
    <w:rsid w:val="00BC63FC"/>
    <w:rsid w:val="00BF29F7"/>
    <w:rsid w:val="00C24825"/>
    <w:rsid w:val="00C32BDF"/>
    <w:rsid w:val="00C760CB"/>
    <w:rsid w:val="00C9287B"/>
    <w:rsid w:val="00C92E35"/>
    <w:rsid w:val="00C94B4A"/>
    <w:rsid w:val="00CA29C7"/>
    <w:rsid w:val="00CA5B9A"/>
    <w:rsid w:val="00CB310C"/>
    <w:rsid w:val="00CC55C3"/>
    <w:rsid w:val="00CD6E8C"/>
    <w:rsid w:val="00CD7487"/>
    <w:rsid w:val="00CF7D69"/>
    <w:rsid w:val="00D00808"/>
    <w:rsid w:val="00D37693"/>
    <w:rsid w:val="00D50D42"/>
    <w:rsid w:val="00D57B56"/>
    <w:rsid w:val="00D62048"/>
    <w:rsid w:val="00D67C11"/>
    <w:rsid w:val="00DA3BAC"/>
    <w:rsid w:val="00DE1D16"/>
    <w:rsid w:val="00DF4C1B"/>
    <w:rsid w:val="00E27EBC"/>
    <w:rsid w:val="00E32EDD"/>
    <w:rsid w:val="00E63D7C"/>
    <w:rsid w:val="00E80470"/>
    <w:rsid w:val="00E85FD3"/>
    <w:rsid w:val="00EA7943"/>
    <w:rsid w:val="00EB724D"/>
    <w:rsid w:val="00EC6CFC"/>
    <w:rsid w:val="00ED6A68"/>
    <w:rsid w:val="00EE14AB"/>
    <w:rsid w:val="00EF7AB5"/>
    <w:rsid w:val="00F2438B"/>
    <w:rsid w:val="00F24CD3"/>
    <w:rsid w:val="00F458B4"/>
    <w:rsid w:val="00F54F11"/>
    <w:rsid w:val="00F65FA4"/>
    <w:rsid w:val="00F75942"/>
    <w:rsid w:val="00F871A5"/>
    <w:rsid w:val="00F91EE3"/>
    <w:rsid w:val="00F92D77"/>
    <w:rsid w:val="00F947E9"/>
    <w:rsid w:val="00FB35AE"/>
    <w:rsid w:val="00FB7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AF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6AE8"/>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F91E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rsid w:val="005846E7"/>
    <w:pPr>
      <w:pBdr>
        <w:top w:val="nil"/>
        <w:left w:val="nil"/>
        <w:bottom w:val="nil"/>
        <w:right w:val="nil"/>
        <w:between w:val="nil"/>
      </w:pBdr>
      <w:spacing w:after="0" w:line="240" w:lineRule="auto"/>
    </w:pPr>
    <w:rPr>
      <w:rFonts w:ascii="Arial" w:eastAsia="Arial" w:hAnsi="Arial" w:cs="Arial"/>
      <w:color w:val="000000"/>
      <w:sz w:val="20"/>
      <w:szCs w:val="20"/>
      <w:lang w:val="pl" w:eastAsia="pl-PL"/>
    </w:rPr>
  </w:style>
  <w:style w:type="character" w:customStyle="1" w:styleId="TekstkomentarzaZnak">
    <w:name w:val="Tekst komentarza Znak"/>
    <w:basedOn w:val="Domylnaczcionkaakapitu"/>
    <w:link w:val="Tekstkomentarza"/>
    <w:uiPriority w:val="99"/>
    <w:rsid w:val="005846E7"/>
    <w:rPr>
      <w:rFonts w:ascii="Arial" w:eastAsia="Arial" w:hAnsi="Arial" w:cs="Arial"/>
      <w:color w:val="000000"/>
      <w:sz w:val="20"/>
      <w:szCs w:val="20"/>
      <w:lang w:val="pl" w:eastAsia="pl-PL"/>
    </w:rPr>
  </w:style>
  <w:style w:type="character" w:styleId="Odwoaniedokomentarza">
    <w:name w:val="annotation reference"/>
    <w:basedOn w:val="Domylnaczcionkaakapitu"/>
    <w:uiPriority w:val="99"/>
    <w:semiHidden/>
    <w:unhideWhenUsed/>
    <w:rsid w:val="005846E7"/>
    <w:rPr>
      <w:sz w:val="16"/>
      <w:szCs w:val="16"/>
    </w:rPr>
  </w:style>
  <w:style w:type="paragraph" w:styleId="Tekstdymka">
    <w:name w:val="Balloon Text"/>
    <w:basedOn w:val="Normalny"/>
    <w:link w:val="TekstdymkaZnak"/>
    <w:uiPriority w:val="99"/>
    <w:semiHidden/>
    <w:unhideWhenUsed/>
    <w:rsid w:val="005846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6E7"/>
    <w:rPr>
      <w:rFonts w:ascii="Segoe UI" w:hAnsi="Segoe UI" w:cs="Segoe UI"/>
      <w:sz w:val="18"/>
      <w:szCs w:val="18"/>
    </w:rPr>
  </w:style>
  <w:style w:type="paragraph" w:styleId="Akapitzlist">
    <w:name w:val="List Paragraph"/>
    <w:basedOn w:val="Normalny"/>
    <w:uiPriority w:val="34"/>
    <w:qFormat/>
    <w:rsid w:val="00F871A5"/>
    <w:pPr>
      <w:pBdr>
        <w:top w:val="nil"/>
        <w:left w:val="nil"/>
        <w:bottom w:val="nil"/>
        <w:right w:val="nil"/>
        <w:between w:val="nil"/>
      </w:pBdr>
      <w:spacing w:after="0" w:line="276" w:lineRule="auto"/>
      <w:ind w:left="720"/>
      <w:contextualSpacing/>
    </w:pPr>
    <w:rPr>
      <w:rFonts w:ascii="Arial" w:eastAsia="Arial" w:hAnsi="Arial" w:cs="Arial"/>
      <w:color w:val="000000"/>
      <w:lang w:val="pl" w:eastAsia="pl-PL"/>
    </w:rPr>
  </w:style>
  <w:style w:type="character" w:styleId="Hipercze">
    <w:name w:val="Hyperlink"/>
    <w:basedOn w:val="Domylnaczcionkaakapitu"/>
    <w:uiPriority w:val="99"/>
    <w:semiHidden/>
    <w:unhideWhenUsed/>
    <w:rsid w:val="00AE77CD"/>
    <w:rPr>
      <w:color w:val="0000FF"/>
      <w:u w:val="single"/>
    </w:rPr>
  </w:style>
  <w:style w:type="paragraph" w:customStyle="1" w:styleId="Style10">
    <w:name w:val="Style10"/>
    <w:basedOn w:val="Normalny"/>
    <w:uiPriority w:val="99"/>
    <w:rsid w:val="005F3E2E"/>
    <w:pPr>
      <w:widowControl w:val="0"/>
      <w:autoSpaceDE w:val="0"/>
      <w:autoSpaceDN w:val="0"/>
      <w:adjustRightInd w:val="0"/>
      <w:spacing w:after="0" w:line="394" w:lineRule="exact"/>
      <w:ind w:firstLine="672"/>
      <w:jc w:val="both"/>
    </w:pPr>
    <w:rPr>
      <w:rFonts w:ascii="Times New Roman" w:eastAsiaTheme="minorEastAsia" w:hAnsi="Times New Roman" w:cs="Times New Roman"/>
      <w:sz w:val="24"/>
      <w:szCs w:val="24"/>
      <w:lang w:eastAsia="pl-PL"/>
    </w:rPr>
  </w:style>
  <w:style w:type="character" w:customStyle="1" w:styleId="FontStyle32">
    <w:name w:val="Font Style32"/>
    <w:basedOn w:val="Domylnaczcionkaakapitu"/>
    <w:uiPriority w:val="99"/>
    <w:rsid w:val="005F3E2E"/>
    <w:rPr>
      <w:rFonts w:ascii="Arial" w:hAnsi="Arial" w:cs="Arial"/>
      <w:sz w:val="20"/>
      <w:szCs w:val="20"/>
    </w:rPr>
  </w:style>
  <w:style w:type="paragraph" w:customStyle="1" w:styleId="Style7">
    <w:name w:val="Style7"/>
    <w:basedOn w:val="Normalny"/>
    <w:uiPriority w:val="99"/>
    <w:rsid w:val="000743FF"/>
    <w:pPr>
      <w:widowControl w:val="0"/>
      <w:autoSpaceDE w:val="0"/>
      <w:autoSpaceDN w:val="0"/>
      <w:adjustRightInd w:val="0"/>
      <w:spacing w:after="0" w:line="398" w:lineRule="exact"/>
      <w:jc w:val="both"/>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E32E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2EDD"/>
  </w:style>
  <w:style w:type="paragraph" w:styleId="Stopka">
    <w:name w:val="footer"/>
    <w:basedOn w:val="Normalny"/>
    <w:link w:val="StopkaZnak"/>
    <w:uiPriority w:val="99"/>
    <w:unhideWhenUsed/>
    <w:rsid w:val="00E32E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2EDD"/>
  </w:style>
  <w:style w:type="paragraph" w:styleId="Poprawka">
    <w:name w:val="Revision"/>
    <w:hidden/>
    <w:uiPriority w:val="99"/>
    <w:semiHidden/>
    <w:rsid w:val="00F2438B"/>
    <w:pPr>
      <w:spacing w:after="0" w:line="240" w:lineRule="auto"/>
    </w:pPr>
  </w:style>
  <w:style w:type="paragraph" w:styleId="Tematkomentarza">
    <w:name w:val="annotation subject"/>
    <w:basedOn w:val="Tekstkomentarza"/>
    <w:next w:val="Tekstkomentarza"/>
    <w:link w:val="TematkomentarzaZnak"/>
    <w:uiPriority w:val="99"/>
    <w:semiHidden/>
    <w:unhideWhenUsed/>
    <w:rsid w:val="00F2438B"/>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val="pl-PL" w:eastAsia="en-US"/>
    </w:rPr>
  </w:style>
  <w:style w:type="character" w:customStyle="1" w:styleId="TematkomentarzaZnak">
    <w:name w:val="Temat komentarza Znak"/>
    <w:basedOn w:val="TekstkomentarzaZnak"/>
    <w:link w:val="Tematkomentarza"/>
    <w:uiPriority w:val="99"/>
    <w:semiHidden/>
    <w:rsid w:val="00F2438B"/>
    <w:rPr>
      <w:rFonts w:ascii="Arial" w:eastAsia="Arial" w:hAnsi="Arial" w:cs="Arial"/>
      <w:b/>
      <w:bCs/>
      <w:color w:val="000000"/>
      <w:sz w:val="20"/>
      <w:szCs w:val="20"/>
      <w:lang w:val="pl" w:eastAsia="pl-PL"/>
    </w:rPr>
  </w:style>
  <w:style w:type="paragraph" w:styleId="Tekstprzypisudolnego">
    <w:name w:val="footnote text"/>
    <w:basedOn w:val="Normalny"/>
    <w:link w:val="TekstprzypisudolnegoZnak"/>
    <w:uiPriority w:val="99"/>
    <w:semiHidden/>
    <w:unhideWhenUsed/>
    <w:rsid w:val="00BF29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29F7"/>
    <w:rPr>
      <w:sz w:val="20"/>
      <w:szCs w:val="20"/>
    </w:rPr>
  </w:style>
  <w:style w:type="character" w:styleId="Odwoanieprzypisudolnego">
    <w:name w:val="footnote reference"/>
    <w:basedOn w:val="Domylnaczcionkaakapitu"/>
    <w:uiPriority w:val="99"/>
    <w:semiHidden/>
    <w:unhideWhenUsed/>
    <w:rsid w:val="00BF29F7"/>
    <w:rPr>
      <w:vertAlign w:val="superscript"/>
    </w:rPr>
  </w:style>
  <w:style w:type="character" w:customStyle="1" w:styleId="FontStyle33">
    <w:name w:val="Font Style33"/>
    <w:basedOn w:val="Domylnaczcionkaakapitu"/>
    <w:uiPriority w:val="99"/>
    <w:rsid w:val="000A0B19"/>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4tgmjoobqxalrygizdona&amp;refSource=hy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sgq4tgmjoobqxalrsgu4dkoi&amp;refSource=hy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60E6-70E0-4612-96D4-CC4420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6444</Words>
  <Characters>38668</Characters>
  <Application>Microsoft Office Word</Application>
  <DocSecurity>0</DocSecurity>
  <Lines>322</Lines>
  <Paragraphs>90</Paragraphs>
  <ScaleCrop>false</ScaleCrop>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2025-09-05T11:42:00Z</dcterms:created>
  <dcterms:modified xsi:type="dcterms:W3CDTF">2025-09-05T11:42:00Z</dcterms:modified>
</cp:coreProperties>
</file>