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FF3BC" w14:textId="77777777" w:rsidR="008B4FD4" w:rsidRDefault="008B4FD4" w:rsidP="008B4FD4">
      <w:pPr>
        <w:pStyle w:val="TYTDZOZNoznaczenietytuulubdziau"/>
        <w:rPr>
          <w:rStyle w:val="Ppogrubienie"/>
        </w:rPr>
      </w:pPr>
      <w:r w:rsidRPr="00253675">
        <w:rPr>
          <w:rStyle w:val="Ppogrubienie"/>
        </w:rPr>
        <w:t>UZASADNIENIE</w:t>
      </w:r>
    </w:p>
    <w:p w14:paraId="51F633BC" w14:textId="77777777" w:rsidR="008B4FD4" w:rsidRPr="00FA2C56" w:rsidRDefault="008B4FD4" w:rsidP="008B4FD4"/>
    <w:p w14:paraId="6D2B953A" w14:textId="77777777" w:rsidR="008B4FD4" w:rsidRPr="00E41021" w:rsidRDefault="00A45DB3" w:rsidP="008B4FD4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I</w:t>
      </w:r>
      <w:r w:rsidR="008B4FD4" w:rsidRPr="00E41021">
        <w:rPr>
          <w:rFonts w:cs="Times New Roman"/>
          <w:b/>
          <w:szCs w:val="24"/>
        </w:rPr>
        <w:t xml:space="preserve">. Potrzeba i cel ustawy </w:t>
      </w:r>
    </w:p>
    <w:p w14:paraId="3C08BB6C" w14:textId="77777777" w:rsidR="00267A38" w:rsidRDefault="00267A38" w:rsidP="00267A38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E41021">
        <w:rPr>
          <w:rFonts w:ascii="Times New Roman" w:hAnsi="Times New Roman" w:cs="Times New Roman"/>
          <w:szCs w:val="24"/>
        </w:rPr>
        <w:t xml:space="preserve">Nowelizacja ustawy z dnia 27 października 2022 r. o środkach nadzwyczajnych mających na celu ograniczenie wysokości cen energii elektrycznej oraz wsparciu niektórych odbiorców w latach 2023-2025 (Dz. U. z 2024 r. poz. 1622 i 1831 oraz z 2025 r. poz. 290) ma na </w:t>
      </w:r>
      <w:r w:rsidR="00416B49" w:rsidRPr="00E41021">
        <w:rPr>
          <w:rFonts w:ascii="Times New Roman" w:hAnsi="Times New Roman" w:cs="Times New Roman"/>
          <w:szCs w:val="24"/>
        </w:rPr>
        <w:t>celu wzmocnien</w:t>
      </w:r>
      <w:r w:rsidR="00416B49">
        <w:rPr>
          <w:rFonts w:ascii="Times New Roman" w:hAnsi="Times New Roman" w:cs="Times New Roman"/>
          <w:szCs w:val="24"/>
        </w:rPr>
        <w:t>ie</w:t>
      </w:r>
      <w:r w:rsidRPr="00E41021">
        <w:rPr>
          <w:rFonts w:ascii="Times New Roman" w:hAnsi="Times New Roman" w:cs="Times New Roman"/>
          <w:szCs w:val="24"/>
        </w:rPr>
        <w:t xml:space="preserve"> bezpieczeństwa energetycznego obywateli przez zapewnienie przystępnej cenowo energii elektrycznej </w:t>
      </w:r>
      <w:r w:rsidR="00B21DE6">
        <w:rPr>
          <w:rFonts w:ascii="Times New Roman" w:hAnsi="Times New Roman" w:cs="Times New Roman"/>
          <w:szCs w:val="24"/>
        </w:rPr>
        <w:t>dla gospodarstw domowych.</w:t>
      </w:r>
      <w:r w:rsidRPr="00E41021">
        <w:rPr>
          <w:rFonts w:ascii="Times New Roman" w:hAnsi="Times New Roman" w:cs="Times New Roman"/>
          <w:szCs w:val="24"/>
        </w:rPr>
        <w:t xml:space="preserve"> Projektowane zmiany</w:t>
      </w:r>
      <w:r w:rsidR="00B21DE6">
        <w:rPr>
          <w:rFonts w:ascii="Times New Roman" w:hAnsi="Times New Roman" w:cs="Times New Roman"/>
          <w:szCs w:val="24"/>
        </w:rPr>
        <w:t xml:space="preserve"> w ustawie z</w:t>
      </w:r>
      <w:r w:rsidR="00416B49">
        <w:rPr>
          <w:rFonts w:ascii="Times New Roman" w:hAnsi="Times New Roman" w:cs="Times New Roman"/>
          <w:szCs w:val="24"/>
        </w:rPr>
        <w:t> </w:t>
      </w:r>
      <w:r w:rsidR="00B21DE6">
        <w:rPr>
          <w:rFonts w:ascii="Times New Roman" w:hAnsi="Times New Roman" w:cs="Times New Roman"/>
          <w:szCs w:val="24"/>
        </w:rPr>
        <w:t>dnia 27 października 2022 r o </w:t>
      </w:r>
      <w:r w:rsidR="00B21DE6" w:rsidRPr="00E41021">
        <w:rPr>
          <w:rFonts w:ascii="Times New Roman" w:hAnsi="Times New Roman" w:cs="Times New Roman"/>
          <w:szCs w:val="24"/>
        </w:rPr>
        <w:t>środkach nadzwyczajnych mających na celu ograniczenie wysokości cen energii elektrycznej oraz wsparciu niektórych odbiorców w latach 2023-2025</w:t>
      </w:r>
      <w:r w:rsidRPr="00E41021">
        <w:rPr>
          <w:rFonts w:ascii="Times New Roman" w:hAnsi="Times New Roman" w:cs="Times New Roman"/>
          <w:szCs w:val="24"/>
        </w:rPr>
        <w:t xml:space="preserve"> zapewnią wsparcie </w:t>
      </w:r>
      <w:r w:rsidR="00B21DE6" w:rsidRPr="00E41021">
        <w:rPr>
          <w:rFonts w:ascii="Times New Roman" w:hAnsi="Times New Roman" w:cs="Times New Roman"/>
          <w:szCs w:val="24"/>
        </w:rPr>
        <w:t>gospodarstwom domowym</w:t>
      </w:r>
      <w:r w:rsidR="006E24C8">
        <w:rPr>
          <w:rFonts w:ascii="Times New Roman" w:hAnsi="Times New Roman" w:cs="Times New Roman"/>
          <w:szCs w:val="24"/>
        </w:rPr>
        <w:t xml:space="preserve"> w</w:t>
      </w:r>
      <w:r w:rsidR="00B21DE6" w:rsidRPr="00E41021">
        <w:rPr>
          <w:rFonts w:ascii="Times New Roman" w:hAnsi="Times New Roman" w:cs="Times New Roman"/>
          <w:szCs w:val="24"/>
        </w:rPr>
        <w:t xml:space="preserve"> </w:t>
      </w:r>
      <w:r w:rsidRPr="00E41021">
        <w:rPr>
          <w:rFonts w:ascii="Times New Roman" w:hAnsi="Times New Roman" w:cs="Times New Roman"/>
          <w:szCs w:val="24"/>
        </w:rPr>
        <w:t>okresie</w:t>
      </w:r>
      <w:r w:rsidR="00B21DE6">
        <w:rPr>
          <w:rFonts w:ascii="Times New Roman" w:hAnsi="Times New Roman" w:cs="Times New Roman"/>
          <w:szCs w:val="24"/>
        </w:rPr>
        <w:t xml:space="preserve"> od dnia 1 października 2025 r. </w:t>
      </w:r>
      <w:r w:rsidRPr="00E41021">
        <w:rPr>
          <w:rFonts w:ascii="Times New Roman" w:hAnsi="Times New Roman" w:cs="Times New Roman"/>
          <w:szCs w:val="24"/>
        </w:rPr>
        <w:t>do dnia 31 grudnia 2025 r.</w:t>
      </w:r>
    </w:p>
    <w:p w14:paraId="360AE0B2" w14:textId="77777777" w:rsidR="00A21CDA" w:rsidRDefault="008B4FD4" w:rsidP="00267A38">
      <w:pPr>
        <w:ind w:firstLine="510"/>
        <w:jc w:val="both"/>
        <w:rPr>
          <w:rFonts w:eastAsia="Calibri" w:cs="Times New Roman"/>
          <w:szCs w:val="24"/>
          <w:lang w:eastAsia="en-US"/>
        </w:rPr>
      </w:pPr>
      <w:r w:rsidRPr="00E41021">
        <w:rPr>
          <w:rFonts w:cs="Times New Roman"/>
          <w:szCs w:val="24"/>
        </w:rPr>
        <w:t xml:space="preserve">Mimo pewnej stabilizacji na europejskim i światowym rynku energii skutki kryzysu energetycznego nadal są odczuwalne przez społeczeństwo. Wzrost cen energii elektrycznej oraz jej nośników wywołany pandemią COVID-19 </w:t>
      </w:r>
      <w:r w:rsidR="00416B49">
        <w:rPr>
          <w:rFonts w:cs="Times New Roman"/>
          <w:szCs w:val="24"/>
        </w:rPr>
        <w:t xml:space="preserve">oraz </w:t>
      </w:r>
      <w:r w:rsidRPr="00E41021">
        <w:rPr>
          <w:rFonts w:cs="Times New Roman"/>
          <w:szCs w:val="24"/>
        </w:rPr>
        <w:t xml:space="preserve">wciąż trwającą wojną </w:t>
      </w:r>
      <w:r w:rsidR="00416B49">
        <w:rPr>
          <w:rFonts w:cs="Times New Roman"/>
          <w:szCs w:val="24"/>
        </w:rPr>
        <w:t>na Ukrainie</w:t>
      </w:r>
      <w:r w:rsidRPr="00E41021">
        <w:rPr>
          <w:rFonts w:cs="Times New Roman"/>
          <w:szCs w:val="24"/>
        </w:rPr>
        <w:t xml:space="preserve"> w</w:t>
      </w:r>
      <w:r w:rsidR="00416B49">
        <w:rPr>
          <w:rFonts w:cs="Times New Roman"/>
          <w:szCs w:val="24"/>
        </w:rPr>
        <w:t> </w:t>
      </w:r>
      <w:r w:rsidRPr="00E41021">
        <w:rPr>
          <w:rFonts w:cs="Times New Roman"/>
          <w:szCs w:val="24"/>
        </w:rPr>
        <w:t xml:space="preserve">dalszym ciągu stanowią o sytuacji gospodarczej naszego kraju. </w:t>
      </w:r>
      <w:r w:rsidRPr="00E41021">
        <w:rPr>
          <w:rFonts w:eastAsia="Calibri" w:cs="Times New Roman"/>
          <w:szCs w:val="24"/>
          <w:lang w:eastAsia="en-US"/>
        </w:rPr>
        <w:t xml:space="preserve">Aktualnie sytuacja na rynku energii wprawdzie uległa poprawie i względnej stabilizacji, niemniej skutki negatywnych wydarzeń z ostatnich </w:t>
      </w:r>
      <w:r w:rsidR="009B45BB">
        <w:rPr>
          <w:rFonts w:eastAsia="Calibri" w:cs="Times New Roman"/>
          <w:szCs w:val="24"/>
          <w:lang w:eastAsia="en-US"/>
        </w:rPr>
        <w:t>trzech</w:t>
      </w:r>
      <w:r w:rsidRPr="00E41021">
        <w:rPr>
          <w:rFonts w:eastAsia="Calibri" w:cs="Times New Roman"/>
          <w:szCs w:val="24"/>
          <w:lang w:eastAsia="en-US"/>
        </w:rPr>
        <w:t xml:space="preserve"> lat, do których zaliczyć należy utrzymujące się podwyższone ceny nośników energii, dalej są odczuwane przez społeczeństwo, w szczególności przez gospodarstwa domowe.</w:t>
      </w:r>
    </w:p>
    <w:p w14:paraId="5A5AEAEC" w14:textId="77777777" w:rsidR="008B4FD4" w:rsidRDefault="00A21CDA" w:rsidP="00267A38">
      <w:pPr>
        <w:ind w:firstLine="510"/>
        <w:jc w:val="both"/>
        <w:rPr>
          <w:rFonts w:eastAsia="Calibri" w:cs="Times New Roman"/>
          <w:szCs w:val="24"/>
          <w:lang w:eastAsia="en-US"/>
        </w:rPr>
      </w:pPr>
      <w:r w:rsidRPr="00A21CDA">
        <w:rPr>
          <w:rFonts w:eastAsia="Calibri" w:cs="Times New Roman"/>
          <w:szCs w:val="24"/>
          <w:lang w:eastAsia="en-US"/>
        </w:rPr>
        <w:t xml:space="preserve"> Od </w:t>
      </w:r>
      <w:r>
        <w:rPr>
          <w:rFonts w:eastAsia="Calibri" w:cs="Times New Roman"/>
          <w:szCs w:val="24"/>
          <w:lang w:eastAsia="en-US"/>
        </w:rPr>
        <w:t xml:space="preserve">czasu wystąpienia wspomnianego kryzysu </w:t>
      </w:r>
      <w:r w:rsidRPr="00A21CDA">
        <w:rPr>
          <w:rFonts w:eastAsia="Calibri" w:cs="Times New Roman"/>
          <w:szCs w:val="24"/>
          <w:lang w:eastAsia="en-US"/>
        </w:rPr>
        <w:t xml:space="preserve">Polska podejmuje liczne działania mające na celu wzmocnienie bezpieczeństwa energetycznego państwa oraz ochronę odbiorców – zarówno gospodarstw domowych, jak i podmiotów gospodarczych – przed nadmiernym wzrostem kosztów energii. </w:t>
      </w:r>
      <w:r>
        <w:rPr>
          <w:rFonts w:eastAsia="Calibri" w:cs="Times New Roman"/>
          <w:szCs w:val="24"/>
          <w:lang w:eastAsia="en-US"/>
        </w:rPr>
        <w:t xml:space="preserve">W </w:t>
      </w:r>
      <w:r w:rsidR="00700C98">
        <w:rPr>
          <w:rFonts w:eastAsia="Calibri" w:cs="Times New Roman"/>
          <w:szCs w:val="24"/>
          <w:lang w:eastAsia="en-US"/>
        </w:rPr>
        <w:t>2022 r. w</w:t>
      </w:r>
      <w:r w:rsidRPr="00A21CDA">
        <w:rPr>
          <w:rFonts w:eastAsia="Calibri" w:cs="Times New Roman"/>
          <w:szCs w:val="24"/>
          <w:lang w:eastAsia="en-US"/>
        </w:rPr>
        <w:t>prowadzono m.in. mechanizmy maksymalnych cen energii elektrycznej dla odbiorców wrażliwych i sektora MŚP, a także zamrożenie taryf dla gospodarstw domowych do określonych limitów zu</w:t>
      </w:r>
      <w:r w:rsidR="00700C98">
        <w:rPr>
          <w:rFonts w:eastAsia="Calibri" w:cs="Times New Roman"/>
          <w:szCs w:val="24"/>
          <w:lang w:eastAsia="en-US"/>
        </w:rPr>
        <w:t>życia. Równolegle realizowane były</w:t>
      </w:r>
      <w:r w:rsidRPr="00A21CDA">
        <w:rPr>
          <w:rFonts w:eastAsia="Calibri" w:cs="Times New Roman"/>
          <w:szCs w:val="24"/>
          <w:lang w:eastAsia="en-US"/>
        </w:rPr>
        <w:t xml:space="preserve"> inwestycje w rozbudowę infrastruktury sieciowej oraz projekty dywersyfikacji dostaw surowców, w tym poprzez terminale LNG i połączenia t</w:t>
      </w:r>
      <w:r w:rsidR="00700C98">
        <w:rPr>
          <w:rFonts w:eastAsia="Calibri" w:cs="Times New Roman"/>
          <w:szCs w:val="24"/>
          <w:lang w:eastAsia="en-US"/>
        </w:rPr>
        <w:t>ransgraniczne. Działania te miały</w:t>
      </w:r>
      <w:r w:rsidRPr="00A21CDA">
        <w:rPr>
          <w:rFonts w:eastAsia="Calibri" w:cs="Times New Roman"/>
          <w:szCs w:val="24"/>
          <w:lang w:eastAsia="en-US"/>
        </w:rPr>
        <w:t xml:space="preserve"> na celu zapewnienie stabilności rynku, złagodzenie skutków kryzysu dla obywateli oraz stworzenie podstaw trwałego bezpieczeństwa energetycznego w przyszłości.</w:t>
      </w:r>
    </w:p>
    <w:p w14:paraId="6CF34CE7" w14:textId="77777777" w:rsidR="00700C98" w:rsidRPr="00E41021" w:rsidRDefault="00700C98" w:rsidP="00267A38">
      <w:pPr>
        <w:ind w:firstLine="510"/>
        <w:jc w:val="both"/>
        <w:rPr>
          <w:rFonts w:eastAsia="Calibri" w:cs="Times New Roman"/>
          <w:szCs w:val="24"/>
          <w:lang w:eastAsia="en-US"/>
        </w:rPr>
      </w:pPr>
      <w:r w:rsidRPr="00700C98">
        <w:rPr>
          <w:rFonts w:eastAsia="Calibri" w:cs="Times New Roman"/>
          <w:szCs w:val="24"/>
          <w:lang w:eastAsia="en-US"/>
        </w:rPr>
        <w:t xml:space="preserve">Pomimo podejmowanych działań stabilizacyjnych i obserwowanego spadku presji cenowej na rynkach energii w porównaniu z rokiem 2022, sytuacja odbiorców końcowych w Polsce nadal wymaga ochrony przed nadmiernymi kosztami energii elektrycznej. Rynek energii </w:t>
      </w:r>
      <w:r w:rsidRPr="00700C98">
        <w:rPr>
          <w:rFonts w:eastAsia="Calibri" w:cs="Times New Roman"/>
          <w:szCs w:val="24"/>
          <w:lang w:eastAsia="en-US"/>
        </w:rPr>
        <w:lastRenderedPageBreak/>
        <w:t>pozostaje bowiem podatny na czynniki zewnętrzne – takie jak niepewność geopolityczna, wahania cen surowców na rynkach światowych czy rosnące koszty uprawnień do emisji CO₂ – które mogą w każdej chwili spowodować ponowny wzrost cen. Dodatkowo, dla wielu gospodarstw domowych nawet umiarkowany wzrost cen energii oznacza istotne obciążenie finansowe. Z tego względu utrzymanie mechanizmów ochronnych pozostaje konieczne zarówno dla zapewnienia stabilności społecznej i gospodarczej, jak i dla bezpieczeństwa energetycznego państwa.</w:t>
      </w:r>
    </w:p>
    <w:p w14:paraId="4CDA2CB5" w14:textId="77777777" w:rsidR="008B4FD4" w:rsidRPr="00E41021" w:rsidRDefault="00700C98" w:rsidP="008B4FD4">
      <w:pPr>
        <w:ind w:firstLine="708"/>
        <w:jc w:val="both"/>
        <w:rPr>
          <w:rFonts w:eastAsia="Calibri" w:cs="Times New Roman"/>
          <w:szCs w:val="24"/>
          <w:lang w:eastAsia="en-US"/>
        </w:rPr>
      </w:pPr>
      <w:r>
        <w:rPr>
          <w:rFonts w:eastAsia="Calibri" w:cs="Times New Roman"/>
          <w:szCs w:val="24"/>
          <w:lang w:eastAsia="en-US"/>
        </w:rPr>
        <w:t xml:space="preserve">Z uwagi na powyższe oraz w celu </w:t>
      </w:r>
      <w:r w:rsidR="008B4FD4" w:rsidRPr="00E41021">
        <w:rPr>
          <w:rFonts w:eastAsia="Calibri" w:cs="Times New Roman"/>
          <w:szCs w:val="24"/>
          <w:lang w:eastAsia="en-US"/>
        </w:rPr>
        <w:t xml:space="preserve">przeciwdziałania ubóstwu energetycznemu obywateli, których budżety są obciążone w dużym stopniu kosztami nośników energii, oraz </w:t>
      </w:r>
      <w:r>
        <w:rPr>
          <w:rFonts w:eastAsia="Calibri" w:cs="Times New Roman"/>
          <w:szCs w:val="24"/>
          <w:lang w:eastAsia="en-US"/>
        </w:rPr>
        <w:t xml:space="preserve">w celu ich ochrony </w:t>
      </w:r>
      <w:r w:rsidR="008B4FD4" w:rsidRPr="00E41021">
        <w:rPr>
          <w:rFonts w:eastAsia="Calibri" w:cs="Times New Roman"/>
          <w:szCs w:val="24"/>
          <w:lang w:eastAsia="en-US"/>
        </w:rPr>
        <w:t>przed kolejnymi potencjalnymi zawirowaniami na rynkach energii</w:t>
      </w:r>
      <w:r>
        <w:rPr>
          <w:rFonts w:eastAsia="Calibri" w:cs="Times New Roman"/>
          <w:szCs w:val="24"/>
          <w:lang w:eastAsia="en-US"/>
        </w:rPr>
        <w:t xml:space="preserve"> oraz </w:t>
      </w:r>
      <w:r w:rsidR="008B4FD4" w:rsidRPr="00E41021">
        <w:rPr>
          <w:rFonts w:eastAsia="Calibri" w:cs="Times New Roman"/>
          <w:szCs w:val="24"/>
          <w:lang w:eastAsia="en-US"/>
        </w:rPr>
        <w:t>skutk</w:t>
      </w:r>
      <w:r>
        <w:rPr>
          <w:rFonts w:eastAsia="Calibri" w:cs="Times New Roman"/>
          <w:szCs w:val="24"/>
          <w:lang w:eastAsia="en-US"/>
        </w:rPr>
        <w:t xml:space="preserve">ami </w:t>
      </w:r>
      <w:r w:rsidR="008B4FD4" w:rsidRPr="00E41021">
        <w:rPr>
          <w:rFonts w:eastAsia="Calibri" w:cs="Times New Roman"/>
          <w:szCs w:val="24"/>
          <w:lang w:eastAsia="en-US"/>
        </w:rPr>
        <w:t xml:space="preserve">kryzysu energetycznego konieczne jest wprowadzenie adekwatnych do obecnej sytuacji </w:t>
      </w:r>
      <w:r>
        <w:rPr>
          <w:rFonts w:eastAsia="Calibri" w:cs="Times New Roman"/>
          <w:szCs w:val="24"/>
          <w:lang w:eastAsia="en-US"/>
        </w:rPr>
        <w:t xml:space="preserve">gospodarczej </w:t>
      </w:r>
      <w:r w:rsidR="008B4FD4" w:rsidRPr="00E41021">
        <w:rPr>
          <w:rFonts w:eastAsia="Calibri" w:cs="Times New Roman"/>
          <w:szCs w:val="24"/>
          <w:lang w:eastAsia="en-US"/>
        </w:rPr>
        <w:t xml:space="preserve">działań osłonowych obejmujących cały 2025 r. </w:t>
      </w:r>
    </w:p>
    <w:p w14:paraId="68F20015" w14:textId="77777777" w:rsidR="00416B49" w:rsidRDefault="008B4FD4" w:rsidP="00085C78">
      <w:pPr>
        <w:ind w:firstLine="708"/>
        <w:jc w:val="both"/>
        <w:rPr>
          <w:rFonts w:cs="Times New Roman"/>
          <w:szCs w:val="24"/>
        </w:rPr>
      </w:pPr>
      <w:r w:rsidRPr="00E41021">
        <w:rPr>
          <w:rFonts w:cs="Times New Roman"/>
          <w:szCs w:val="24"/>
        </w:rPr>
        <w:t xml:space="preserve">Istotnym jest, że działania podjęte w drugiej połowie 2024 r. na podstawie ustawy z dnia 27 listopada 2024 r. o </w:t>
      </w:r>
      <w:r w:rsidRPr="00E41021">
        <w:rPr>
          <w:rFonts w:cs="Times New Roman"/>
          <w:bCs/>
          <w:szCs w:val="24"/>
        </w:rPr>
        <w:t>zmianie ustawy o środkach nadzwyczajnych mających na celu ograniczenie wysokości cen energii elektrycznej oraz wsparciu niektórych odbiorców w 2023 roku oraz w 2024 roku oraz niektórych innych ustaw</w:t>
      </w:r>
      <w:r w:rsidR="00937AA9" w:rsidRPr="00E41021">
        <w:rPr>
          <w:rFonts w:cs="Times New Roman"/>
          <w:bCs/>
          <w:szCs w:val="24"/>
        </w:rPr>
        <w:t xml:space="preserve"> (Dz. U. z 2024 r. poz. 1831)</w:t>
      </w:r>
      <w:r w:rsidR="00937AA9" w:rsidRPr="00E41021">
        <w:rPr>
          <w:rFonts w:cs="Times New Roman"/>
          <w:szCs w:val="24"/>
        </w:rPr>
        <w:t xml:space="preserve"> </w:t>
      </w:r>
      <w:r w:rsidRPr="00E41021">
        <w:rPr>
          <w:rFonts w:cs="Times New Roman"/>
          <w:szCs w:val="24"/>
        </w:rPr>
        <w:t>skutecznie wsparły odbiorców energii elektrycznej</w:t>
      </w:r>
      <w:r w:rsidR="00402EC4" w:rsidRPr="00E41021">
        <w:rPr>
          <w:rFonts w:cs="Times New Roman"/>
          <w:szCs w:val="24"/>
        </w:rPr>
        <w:t xml:space="preserve"> w 2025 r.</w:t>
      </w:r>
      <w:r w:rsidR="00B21DE6">
        <w:rPr>
          <w:rFonts w:cs="Times New Roman"/>
          <w:szCs w:val="24"/>
        </w:rPr>
        <w:t xml:space="preserve"> jakimi są gospodarstwa domowe</w:t>
      </w:r>
      <w:r w:rsidR="00416B49">
        <w:rPr>
          <w:rFonts w:cs="Times New Roman"/>
          <w:szCs w:val="24"/>
        </w:rPr>
        <w:t>.</w:t>
      </w:r>
      <w:r w:rsidRPr="00E41021">
        <w:rPr>
          <w:rFonts w:cs="Times New Roman"/>
          <w:szCs w:val="24"/>
        </w:rPr>
        <w:t xml:space="preserve"> </w:t>
      </w:r>
    </w:p>
    <w:p w14:paraId="26FA07C9" w14:textId="77777777" w:rsidR="00085C78" w:rsidRDefault="00937AA9" w:rsidP="00085C78">
      <w:pPr>
        <w:ind w:firstLine="708"/>
        <w:jc w:val="both"/>
        <w:rPr>
          <w:rFonts w:cs="Times New Roman"/>
          <w:szCs w:val="24"/>
        </w:rPr>
      </w:pPr>
      <w:r w:rsidRPr="00E41021">
        <w:rPr>
          <w:rFonts w:cs="Times New Roman"/>
          <w:szCs w:val="24"/>
        </w:rPr>
        <w:t>Z uwagi</w:t>
      </w:r>
      <w:r w:rsidR="009B45BB">
        <w:rPr>
          <w:rFonts w:cs="Times New Roman"/>
          <w:szCs w:val="24"/>
        </w:rPr>
        <w:t xml:space="preserve"> na to że</w:t>
      </w:r>
      <w:r w:rsidRPr="00E41021">
        <w:rPr>
          <w:rFonts w:cs="Times New Roman"/>
          <w:szCs w:val="24"/>
        </w:rPr>
        <w:t xml:space="preserve">, ochrona przed podwyżkami cen energii elektrycznej będzie obowiązywać już tylko do </w:t>
      </w:r>
      <w:r w:rsidR="00416B49">
        <w:rPr>
          <w:rFonts w:cs="Times New Roman"/>
          <w:szCs w:val="24"/>
        </w:rPr>
        <w:t xml:space="preserve">dnia </w:t>
      </w:r>
      <w:r w:rsidRPr="00E41021">
        <w:rPr>
          <w:rFonts w:cs="Times New Roman"/>
          <w:szCs w:val="24"/>
        </w:rPr>
        <w:t xml:space="preserve">30 września 2025 r. </w:t>
      </w:r>
      <w:r w:rsidR="00B348D8">
        <w:rPr>
          <w:rFonts w:cs="Times New Roman"/>
          <w:szCs w:val="24"/>
        </w:rPr>
        <w:t xml:space="preserve">uzasadnione jest dalsze </w:t>
      </w:r>
      <w:r w:rsidR="008B4FD4" w:rsidRPr="00E41021">
        <w:rPr>
          <w:rFonts w:cs="Times New Roman"/>
          <w:szCs w:val="24"/>
        </w:rPr>
        <w:t>kontynuowanie działań osłonowych dla gospodarstw dom</w:t>
      </w:r>
      <w:r w:rsidR="00402EC4" w:rsidRPr="00E41021">
        <w:rPr>
          <w:rFonts w:cs="Times New Roman"/>
          <w:szCs w:val="24"/>
        </w:rPr>
        <w:t>owych przez przedłużenie</w:t>
      </w:r>
      <w:r w:rsidR="008B4FD4" w:rsidRPr="00E41021">
        <w:rPr>
          <w:rFonts w:cs="Times New Roman"/>
          <w:szCs w:val="24"/>
        </w:rPr>
        <w:t xml:space="preserve"> mechanizmu ceny maksyma</w:t>
      </w:r>
      <w:r w:rsidRPr="00E41021">
        <w:rPr>
          <w:rFonts w:cs="Times New Roman"/>
          <w:szCs w:val="24"/>
        </w:rPr>
        <w:t>lnej energii elektrycznej do końca roku</w:t>
      </w:r>
      <w:r w:rsidR="008B4FD4" w:rsidRPr="00E41021">
        <w:rPr>
          <w:rFonts w:cs="Times New Roman"/>
          <w:szCs w:val="24"/>
        </w:rPr>
        <w:t xml:space="preserve"> 2025.</w:t>
      </w:r>
    </w:p>
    <w:p w14:paraId="610981E9" w14:textId="77777777" w:rsidR="00416B49" w:rsidRDefault="00416B49" w:rsidP="00085C78">
      <w:pPr>
        <w:ind w:firstLine="708"/>
        <w:jc w:val="both"/>
        <w:rPr>
          <w:rFonts w:cs="Times New Roman"/>
          <w:szCs w:val="24"/>
        </w:rPr>
      </w:pPr>
    </w:p>
    <w:p w14:paraId="44C9A3F5" w14:textId="77777777" w:rsidR="00B21DE6" w:rsidRPr="007D680F" w:rsidRDefault="00A45DB3" w:rsidP="007D680F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II</w:t>
      </w:r>
      <w:r w:rsidR="00B21DE6" w:rsidRPr="007D680F">
        <w:rPr>
          <w:rFonts w:cs="Times New Roman"/>
          <w:b/>
          <w:szCs w:val="24"/>
        </w:rPr>
        <w:t>. Proponowane zmiany w przepisach ustawy z dnia 27 października 2022 r o środkach nadzwyczajnych mających na celu ograniczenie wysokości cen energii elektrycznej oraz wsparciu niektórych odbiorców w latach 2023-2025</w:t>
      </w:r>
    </w:p>
    <w:p w14:paraId="06A3BF74" w14:textId="77777777" w:rsidR="007D680F" w:rsidRPr="00E41021" w:rsidRDefault="00085C78" w:rsidP="007D680F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E41021">
        <w:rPr>
          <w:rFonts w:cs="Times New Roman"/>
          <w:szCs w:val="24"/>
        </w:rPr>
        <w:t xml:space="preserve">W </w:t>
      </w:r>
      <w:r w:rsidR="00B21DE6">
        <w:rPr>
          <w:rFonts w:cs="Times New Roman"/>
          <w:szCs w:val="24"/>
        </w:rPr>
        <w:t xml:space="preserve">nowelizowanej ustawie </w:t>
      </w:r>
      <w:r w:rsidRPr="00E41021">
        <w:rPr>
          <w:rFonts w:cs="Times New Roman"/>
          <w:szCs w:val="24"/>
        </w:rPr>
        <w:t>zakłada się przedłużenie obowiązywania mechanizmu ceny maksymalnej za energię elektryczną</w:t>
      </w:r>
      <w:r w:rsidR="007D680F">
        <w:rPr>
          <w:rFonts w:cs="Times New Roman"/>
          <w:szCs w:val="24"/>
        </w:rPr>
        <w:t xml:space="preserve"> na kolejny okres tj. od dnia</w:t>
      </w:r>
      <w:r w:rsidR="006E24C8">
        <w:rPr>
          <w:rFonts w:cs="Times New Roman"/>
          <w:szCs w:val="24"/>
        </w:rPr>
        <w:t xml:space="preserve"> </w:t>
      </w:r>
      <w:r w:rsidR="007D680F">
        <w:rPr>
          <w:rFonts w:ascii="Times New Roman" w:hAnsi="Times New Roman" w:cs="Times New Roman"/>
          <w:szCs w:val="24"/>
        </w:rPr>
        <w:t xml:space="preserve">1 października 2025 r. </w:t>
      </w:r>
      <w:r w:rsidR="007D680F" w:rsidRPr="00E41021">
        <w:rPr>
          <w:rFonts w:ascii="Times New Roman" w:hAnsi="Times New Roman" w:cs="Times New Roman"/>
          <w:szCs w:val="24"/>
        </w:rPr>
        <w:t>do dnia 31 grudnia 2025 r.</w:t>
      </w:r>
    </w:p>
    <w:p w14:paraId="52F489A0" w14:textId="77777777" w:rsidR="00A15680" w:rsidRPr="00E41021" w:rsidRDefault="00085C78" w:rsidP="00581D2D">
      <w:pPr>
        <w:ind w:firstLine="510"/>
        <w:jc w:val="both"/>
        <w:rPr>
          <w:rFonts w:cs="Times New Roman"/>
          <w:szCs w:val="24"/>
        </w:rPr>
      </w:pPr>
      <w:r w:rsidRPr="00E41021">
        <w:rPr>
          <w:rFonts w:cs="Times New Roman"/>
          <w:szCs w:val="24"/>
        </w:rPr>
        <w:t xml:space="preserve">Z uwagi na względną stabilizację na polskich i światowych rynkach energii elektrycznej podmioty z sektora JST, użyteczności </w:t>
      </w:r>
      <w:r w:rsidR="00E41021" w:rsidRPr="00E41021">
        <w:rPr>
          <w:rFonts w:cs="Times New Roman"/>
          <w:szCs w:val="24"/>
        </w:rPr>
        <w:t>publicznej i MŚP znajdują się w </w:t>
      </w:r>
      <w:r w:rsidRPr="00E41021">
        <w:rPr>
          <w:rFonts w:cs="Times New Roman"/>
          <w:szCs w:val="24"/>
        </w:rPr>
        <w:t xml:space="preserve">bezpieczniejszej sytuacji w porównaniu z odbiorcami w gospodarstwach domowych, dlatego też proponowane wsparcie skierowane zostało wyłącznie w kierunku odbiorców gospodarstwach domowych. Cena maksymalna dla gospodarstw domowych obowiązywać będzie do końca 2025 r. i ma być </w:t>
      </w:r>
      <w:r w:rsidRPr="00E41021">
        <w:rPr>
          <w:rFonts w:cs="Times New Roman"/>
          <w:szCs w:val="24"/>
        </w:rPr>
        <w:lastRenderedPageBreak/>
        <w:t>utrzymana na dotychczasowym poziomie 500 zł/MWh.</w:t>
      </w:r>
    </w:p>
    <w:p w14:paraId="0A5099B8" w14:textId="77777777" w:rsidR="00A15680" w:rsidRPr="00E41021" w:rsidRDefault="00A15680" w:rsidP="00A15680">
      <w:pPr>
        <w:ind w:firstLine="708"/>
        <w:jc w:val="both"/>
        <w:rPr>
          <w:rFonts w:cs="Times New Roman"/>
          <w:szCs w:val="24"/>
        </w:rPr>
      </w:pPr>
      <w:r w:rsidRPr="00E41021">
        <w:rPr>
          <w:rFonts w:cs="Times New Roman"/>
          <w:szCs w:val="24"/>
        </w:rPr>
        <w:t>Cena ta będzie odczuwalnym wsparciem w zakresie radzenia sobie przez gospodarstwa domowe z rachunkami za energię, gdyż bez interwencji ustawowej odbiorcy płaciliby ok. 623 zł/MWh – tyle bowiem wynosi średnia cena energii elektrycznej w grupie taryfowej G</w:t>
      </w:r>
      <w:r w:rsidR="00581D2D">
        <w:rPr>
          <w:rFonts w:cs="Times New Roman"/>
          <w:szCs w:val="24"/>
        </w:rPr>
        <w:t> </w:t>
      </w:r>
      <w:r w:rsidRPr="00E41021">
        <w:rPr>
          <w:rFonts w:cs="Times New Roman"/>
          <w:szCs w:val="24"/>
        </w:rPr>
        <w:t>wynikająca ze zmiany taryf sprzedawców z urzędu, zatwierdzona na okres od 1 lipca 2024 r. do 31 grudnia 2025 r. (informacja Prezesa Urzędu Regulacji Energetyki nr 39/2024).</w:t>
      </w:r>
    </w:p>
    <w:p w14:paraId="5125CC1C" w14:textId="77777777" w:rsidR="00E41021" w:rsidRPr="00E41021" w:rsidRDefault="00267A38" w:rsidP="00E41021">
      <w:pPr>
        <w:ind w:firstLine="708"/>
        <w:jc w:val="both"/>
        <w:rPr>
          <w:rFonts w:cs="Times New Roman"/>
          <w:szCs w:val="24"/>
        </w:rPr>
      </w:pPr>
      <w:r w:rsidRPr="00E41021">
        <w:rPr>
          <w:rFonts w:cs="Times New Roman"/>
          <w:szCs w:val="24"/>
        </w:rPr>
        <w:t>Dodatkowo określono limit wydatków z Funduszu Przeciwdziałania COVID-19 z tytułu rekompensaty w 2025 r.</w:t>
      </w:r>
      <w:r w:rsidR="007D680F">
        <w:rPr>
          <w:rFonts w:cs="Times New Roman"/>
          <w:szCs w:val="24"/>
        </w:rPr>
        <w:t xml:space="preserve"> dla przedsiębiorstw energetycznych.</w:t>
      </w:r>
      <w:r w:rsidRPr="00E41021">
        <w:rPr>
          <w:rFonts w:cs="Times New Roman"/>
          <w:szCs w:val="24"/>
        </w:rPr>
        <w:t xml:space="preserve"> P</w:t>
      </w:r>
      <w:r w:rsidR="009B45BB">
        <w:rPr>
          <w:rFonts w:cs="Times New Roman"/>
          <w:szCs w:val="24"/>
        </w:rPr>
        <w:t xml:space="preserve">rzewidziana została </w:t>
      </w:r>
      <w:r w:rsidRPr="00E41021">
        <w:rPr>
          <w:rFonts w:cs="Times New Roman"/>
          <w:szCs w:val="24"/>
        </w:rPr>
        <w:t>konieczność zmiany planu finansowego Funduszu Przeciwdziałania COVID-19.</w:t>
      </w:r>
      <w:r w:rsidR="00E41021" w:rsidRPr="00E41021">
        <w:rPr>
          <w:rFonts w:cs="Times New Roman"/>
          <w:szCs w:val="24"/>
        </w:rPr>
        <w:t xml:space="preserve"> Maksymalny limit wydatków z Funduszu Przeciwdziałania COVID-19 na wypłatę rekompensat za okres od dnia 1 stycznia 2025 r. do dnia 31 grudnia 2025 r. będzie wynosił: </w:t>
      </w:r>
    </w:p>
    <w:p w14:paraId="321424B7" w14:textId="77777777" w:rsidR="00E41021" w:rsidRPr="00E41021" w:rsidRDefault="00E41021" w:rsidP="00E41021">
      <w:pPr>
        <w:pStyle w:val="ZPKTzmpktartykuempunktem"/>
        <w:ind w:left="0" w:firstLine="0"/>
        <w:rPr>
          <w:rFonts w:ascii="Times New Roman" w:hAnsi="Times New Roman" w:cs="Times New Roman"/>
          <w:szCs w:val="24"/>
        </w:rPr>
      </w:pPr>
      <w:r w:rsidRPr="00E41021">
        <w:rPr>
          <w:rFonts w:ascii="Times New Roman" w:hAnsi="Times New Roman" w:cs="Times New Roman"/>
          <w:szCs w:val="24"/>
        </w:rPr>
        <w:t xml:space="preserve">1) w 2025 r. – 4 028 008 606 zł; </w:t>
      </w:r>
    </w:p>
    <w:p w14:paraId="49D15274" w14:textId="77777777" w:rsidR="00E41021" w:rsidRPr="00E41021" w:rsidRDefault="00E41021" w:rsidP="00E41021">
      <w:pPr>
        <w:pStyle w:val="ZPKTzmpktartykuempunktem"/>
        <w:ind w:left="0" w:firstLine="0"/>
        <w:rPr>
          <w:rFonts w:ascii="Times New Roman" w:hAnsi="Times New Roman" w:cs="Times New Roman"/>
          <w:szCs w:val="24"/>
        </w:rPr>
      </w:pPr>
      <w:r w:rsidRPr="00E41021">
        <w:rPr>
          <w:rFonts w:ascii="Times New Roman" w:hAnsi="Times New Roman" w:cs="Times New Roman"/>
          <w:szCs w:val="24"/>
        </w:rPr>
        <w:t>2) w 2026 r. – 989 217 212 zł.”,</w:t>
      </w:r>
    </w:p>
    <w:p w14:paraId="7E54FB09" w14:textId="77777777" w:rsidR="00E41021" w:rsidRPr="00E41021" w:rsidRDefault="00E41021" w:rsidP="00E41021">
      <w:pPr>
        <w:ind w:firstLine="708"/>
        <w:jc w:val="both"/>
        <w:rPr>
          <w:rFonts w:cs="Times New Roman"/>
          <w:szCs w:val="24"/>
        </w:rPr>
      </w:pPr>
      <w:r w:rsidRPr="00E41021">
        <w:rPr>
          <w:rFonts w:cs="Times New Roman"/>
          <w:szCs w:val="24"/>
        </w:rPr>
        <w:t>Środki na rekompensaty dla przedsiębiorstw energetycznych za stosowanie ceny maksymalnej energii elektrycznej dla odbiorców w gospodarstwach domowych w 2025 r. zgodnie z podstawowymi założeniami działającego mechanizmu pochodzić będą z Funduszu Przeciwdziałania COVID-19.</w:t>
      </w:r>
    </w:p>
    <w:p w14:paraId="1D2F92BD" w14:textId="77777777" w:rsidR="008B4FD4" w:rsidRPr="00E41021" w:rsidRDefault="008B4FD4" w:rsidP="008B4FD4">
      <w:pPr>
        <w:pStyle w:val="ARTartustawynprozporzdzenia"/>
        <w:rPr>
          <w:rFonts w:ascii="Times New Roman" w:hAnsi="Times New Roman" w:cs="Times New Roman"/>
          <w:szCs w:val="24"/>
        </w:rPr>
      </w:pPr>
      <w:r w:rsidRPr="00E41021">
        <w:rPr>
          <w:rFonts w:ascii="Times New Roman" w:hAnsi="Times New Roman" w:cs="Times New Roman"/>
          <w:szCs w:val="24"/>
        </w:rPr>
        <w:t xml:space="preserve">W art. 2 projektu zawarto przepis przejściowy, który dotyczy wniosków o wypłatę rekompensat z tytułu stosowania ceny maksymalnej, która będą składane do dnia wejścia w życie projektowanej ustawy </w:t>
      </w:r>
      <w:r w:rsidR="008C1902">
        <w:rPr>
          <w:rFonts w:ascii="Times New Roman" w:hAnsi="Times New Roman" w:cs="Times New Roman"/>
          <w:szCs w:val="24"/>
        </w:rPr>
        <w:t>za</w:t>
      </w:r>
      <w:r w:rsidRPr="00E41021">
        <w:rPr>
          <w:rFonts w:ascii="Times New Roman" w:hAnsi="Times New Roman" w:cs="Times New Roman"/>
          <w:szCs w:val="24"/>
        </w:rPr>
        <w:t xml:space="preserve"> okres od dnia 1 lipca 2025 r. do dnia 30 września 2025 r.</w:t>
      </w:r>
    </w:p>
    <w:p w14:paraId="451D29E9" w14:textId="77777777" w:rsidR="008B4FD4" w:rsidRDefault="008B4FD4" w:rsidP="00E41021">
      <w:pPr>
        <w:ind w:firstLine="510"/>
        <w:rPr>
          <w:rFonts w:cs="Times New Roman"/>
          <w:szCs w:val="24"/>
        </w:rPr>
      </w:pPr>
      <w:r w:rsidRPr="00E41021">
        <w:rPr>
          <w:rFonts w:cs="Times New Roman"/>
          <w:szCs w:val="24"/>
        </w:rPr>
        <w:t xml:space="preserve">Ustawa wejdzie w życie z dniem 30 września 2025 r. </w:t>
      </w:r>
    </w:p>
    <w:p w14:paraId="0ADDB3E7" w14:textId="77777777" w:rsidR="00A45DB3" w:rsidRPr="00E41021" w:rsidRDefault="00A45DB3" w:rsidP="00E41021">
      <w:pPr>
        <w:ind w:firstLine="510"/>
        <w:rPr>
          <w:rFonts w:cs="Times New Roman"/>
          <w:szCs w:val="24"/>
        </w:rPr>
      </w:pPr>
    </w:p>
    <w:p w14:paraId="764B59BD" w14:textId="77777777" w:rsidR="00B21DE6" w:rsidRPr="00E41021" w:rsidRDefault="00A45DB3" w:rsidP="00B21DE6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III</w:t>
      </w:r>
      <w:r w:rsidR="00B21DE6">
        <w:rPr>
          <w:rFonts w:cs="Times New Roman"/>
          <w:b/>
          <w:szCs w:val="24"/>
        </w:rPr>
        <w:t xml:space="preserve">. Skutki </w:t>
      </w:r>
      <w:r w:rsidR="00581D2D">
        <w:rPr>
          <w:rFonts w:cs="Times New Roman"/>
          <w:b/>
          <w:szCs w:val="24"/>
        </w:rPr>
        <w:t>finansowe</w:t>
      </w:r>
      <w:r w:rsidR="00B21DE6">
        <w:rPr>
          <w:rFonts w:cs="Times New Roman"/>
          <w:b/>
          <w:szCs w:val="24"/>
        </w:rPr>
        <w:t xml:space="preserve"> oraz społeczno – gospodarcze wprowadzenia ustawy</w:t>
      </w:r>
    </w:p>
    <w:p w14:paraId="43BEAA09" w14:textId="77777777" w:rsidR="003D5E88" w:rsidRDefault="003D5E88" w:rsidP="00B21DE6">
      <w:pPr>
        <w:ind w:firstLine="708"/>
        <w:jc w:val="both"/>
        <w:rPr>
          <w:rFonts w:cs="Times New Roman"/>
          <w:szCs w:val="24"/>
        </w:rPr>
      </w:pPr>
    </w:p>
    <w:p w14:paraId="048DF736" w14:textId="77777777" w:rsidR="0054215C" w:rsidRDefault="00B21DE6" w:rsidP="00DC4E66">
      <w:pPr>
        <w:ind w:firstLine="708"/>
        <w:jc w:val="both"/>
        <w:rPr>
          <w:rFonts w:cs="Times New Roman"/>
          <w:szCs w:val="24"/>
        </w:rPr>
      </w:pPr>
      <w:r w:rsidRPr="00E41021">
        <w:rPr>
          <w:rFonts w:cs="Times New Roman"/>
          <w:szCs w:val="24"/>
        </w:rPr>
        <w:t>Przewiduje się, że skutki finansowe projektowanej nowelizacji wyniosą ok. 890 mln zł, z czego 300 mln zł będzie wydatkowane w 2025 r., a 590 mln zł w 2026 r. Z dostępnych informacji o</w:t>
      </w:r>
      <w:r w:rsidR="00A72CD5">
        <w:rPr>
          <w:rFonts w:cs="Times New Roman"/>
          <w:szCs w:val="24"/>
        </w:rPr>
        <w:t> </w:t>
      </w:r>
      <w:r w:rsidRPr="00E41021">
        <w:rPr>
          <w:rFonts w:cs="Times New Roman"/>
          <w:szCs w:val="24"/>
        </w:rPr>
        <w:t xml:space="preserve">dotychczasowym poziomie wydatkowania środków dostępnych na wypłaty rekompensat za stosowanie ceny maksymalnej energii elektrycznej wynika, że to wydatkowanie nie zbliży się do górnego limitu przewidzianego w ustawie dotyczącej ceny maksymalnej. Oszczędności te powinny wystarczyć na </w:t>
      </w:r>
      <w:r>
        <w:rPr>
          <w:rFonts w:cs="Times New Roman"/>
          <w:szCs w:val="24"/>
        </w:rPr>
        <w:t>pokrycie kosztów wynikających z </w:t>
      </w:r>
      <w:r w:rsidRPr="00E41021">
        <w:rPr>
          <w:rFonts w:cs="Times New Roman"/>
          <w:szCs w:val="24"/>
        </w:rPr>
        <w:t>przedłużenia stosowania ceny maksymalnej na okres IV kw</w:t>
      </w:r>
      <w:r w:rsidR="007D680F">
        <w:rPr>
          <w:rFonts w:cs="Times New Roman"/>
          <w:szCs w:val="24"/>
        </w:rPr>
        <w:t>artału</w:t>
      </w:r>
      <w:r w:rsidRPr="00E41021">
        <w:rPr>
          <w:rFonts w:cs="Times New Roman"/>
          <w:szCs w:val="24"/>
        </w:rPr>
        <w:t xml:space="preserve"> 2025 r., w związku z tym nie zaistnieje z tego tytułu potrzeba zwiększenia wydatków budżetu państwa.</w:t>
      </w:r>
    </w:p>
    <w:p w14:paraId="55518139" w14:textId="77777777" w:rsidR="007D680F" w:rsidRPr="00E41021" w:rsidRDefault="007D680F" w:rsidP="00BA28DC">
      <w:pPr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Projekt ustawy wywołuje pozytywne skutki społeczne i gospodarcze, bowiem </w:t>
      </w:r>
      <w:r>
        <w:rPr>
          <w:rFonts w:cs="Times New Roman"/>
          <w:szCs w:val="24"/>
        </w:rPr>
        <w:lastRenderedPageBreak/>
        <w:t>wprowadza mechanizm ochronny</w:t>
      </w:r>
      <w:r w:rsidR="00581D2D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na kolejny okres tj. </w:t>
      </w:r>
      <w:r w:rsidR="0054215C">
        <w:rPr>
          <w:rFonts w:cs="Times New Roman"/>
          <w:szCs w:val="24"/>
        </w:rPr>
        <w:t xml:space="preserve">od dni 1 października 2025 r. </w:t>
      </w:r>
      <w:r>
        <w:rPr>
          <w:rFonts w:cs="Times New Roman"/>
          <w:szCs w:val="24"/>
        </w:rPr>
        <w:t>do 31</w:t>
      </w:r>
      <w:r w:rsidR="00581D2D">
        <w:rPr>
          <w:rFonts w:cs="Times New Roman"/>
          <w:szCs w:val="24"/>
        </w:rPr>
        <w:t> </w:t>
      </w:r>
      <w:r>
        <w:rPr>
          <w:rFonts w:cs="Times New Roman"/>
          <w:szCs w:val="24"/>
        </w:rPr>
        <w:t>grudnia 2025 r.</w:t>
      </w:r>
      <w:r w:rsidR="0054215C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</w:t>
      </w:r>
      <w:r w:rsidR="009B45BB">
        <w:rPr>
          <w:rFonts w:cs="Times New Roman"/>
          <w:szCs w:val="24"/>
        </w:rPr>
        <w:t>w którym obowiązywać będzie c</w:t>
      </w:r>
      <w:r w:rsidRPr="00E41021">
        <w:rPr>
          <w:rFonts w:cs="Times New Roman"/>
          <w:szCs w:val="24"/>
        </w:rPr>
        <w:t>en</w:t>
      </w:r>
      <w:r w:rsidR="009B45BB">
        <w:rPr>
          <w:rFonts w:cs="Times New Roman"/>
          <w:szCs w:val="24"/>
        </w:rPr>
        <w:t>a</w:t>
      </w:r>
      <w:r w:rsidRPr="00E41021">
        <w:rPr>
          <w:rFonts w:cs="Times New Roman"/>
          <w:szCs w:val="24"/>
        </w:rPr>
        <w:t xml:space="preserve"> maksymaln</w:t>
      </w:r>
      <w:r w:rsidR="009B45BB">
        <w:rPr>
          <w:rFonts w:cs="Times New Roman"/>
          <w:szCs w:val="24"/>
        </w:rPr>
        <w:t>a</w:t>
      </w:r>
      <w:r w:rsidRPr="00E41021">
        <w:rPr>
          <w:rFonts w:cs="Times New Roman"/>
          <w:szCs w:val="24"/>
        </w:rPr>
        <w:t xml:space="preserve"> za energię elektryczną</w:t>
      </w:r>
      <w:r>
        <w:rPr>
          <w:rFonts w:cs="Times New Roman"/>
          <w:szCs w:val="24"/>
        </w:rPr>
        <w:t>. Tym</w:t>
      </w:r>
      <w:r w:rsidR="00BA28D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samym projektowane rozwiązanie</w:t>
      </w:r>
      <w:r w:rsidR="0054215C">
        <w:rPr>
          <w:rFonts w:cs="Times New Roman"/>
          <w:szCs w:val="24"/>
        </w:rPr>
        <w:t xml:space="preserve"> zapewni</w:t>
      </w:r>
      <w:r>
        <w:rPr>
          <w:rFonts w:cs="Times New Roman"/>
          <w:szCs w:val="24"/>
        </w:rPr>
        <w:t xml:space="preserve"> </w:t>
      </w:r>
      <w:r w:rsidR="0054215C">
        <w:rPr>
          <w:rFonts w:cs="Times New Roman"/>
          <w:szCs w:val="24"/>
        </w:rPr>
        <w:t>przystępną cenowo energię</w:t>
      </w:r>
      <w:r>
        <w:rPr>
          <w:rFonts w:cs="Times New Roman"/>
          <w:szCs w:val="24"/>
        </w:rPr>
        <w:t xml:space="preserve"> elektryczną </w:t>
      </w:r>
      <w:r w:rsidR="0054215C">
        <w:rPr>
          <w:rFonts w:cs="Times New Roman"/>
          <w:szCs w:val="24"/>
        </w:rPr>
        <w:t>dla</w:t>
      </w:r>
      <w:r>
        <w:rPr>
          <w:rFonts w:cs="Times New Roman"/>
          <w:szCs w:val="24"/>
        </w:rPr>
        <w:t xml:space="preserve"> na</w:t>
      </w:r>
      <w:r w:rsidR="006D17E9">
        <w:rPr>
          <w:rFonts w:cs="Times New Roman"/>
          <w:szCs w:val="24"/>
        </w:rPr>
        <w:t>jsłabszych odbiorców</w:t>
      </w:r>
      <w:r>
        <w:rPr>
          <w:rFonts w:cs="Times New Roman"/>
          <w:szCs w:val="24"/>
        </w:rPr>
        <w:t xml:space="preserve"> na rynku, którymi są gospodarstwa domowe.</w:t>
      </w:r>
      <w:r w:rsidR="0054215C">
        <w:rPr>
          <w:rFonts w:cs="Times New Roman"/>
          <w:szCs w:val="24"/>
        </w:rPr>
        <w:t xml:space="preserve"> Ponadto projektowane rozwiązani</w:t>
      </w:r>
      <w:r w:rsidR="00581D2D">
        <w:rPr>
          <w:rFonts w:cs="Times New Roman"/>
          <w:szCs w:val="24"/>
        </w:rPr>
        <w:t>e</w:t>
      </w:r>
      <w:r w:rsidR="0054215C">
        <w:rPr>
          <w:rFonts w:cs="Times New Roman"/>
          <w:szCs w:val="24"/>
        </w:rPr>
        <w:t xml:space="preserve"> ogranicza negatywne zjawisko jakim jest ubóstwo energetyczne, gdzie gospodarstwa domowe maj</w:t>
      </w:r>
      <w:r w:rsidR="00581D2D">
        <w:rPr>
          <w:rFonts w:cs="Times New Roman"/>
          <w:szCs w:val="24"/>
        </w:rPr>
        <w:t>ą</w:t>
      </w:r>
      <w:r w:rsidR="0054215C">
        <w:rPr>
          <w:rFonts w:cs="Times New Roman"/>
          <w:szCs w:val="24"/>
        </w:rPr>
        <w:t xml:space="preserve"> trudności z zapewnieniem odpowiedniej ilości energii elektrycznej </w:t>
      </w:r>
      <w:r w:rsidR="00BA28DC">
        <w:rPr>
          <w:rFonts w:cs="Times New Roman"/>
          <w:szCs w:val="24"/>
        </w:rPr>
        <w:t>dla realizacji</w:t>
      </w:r>
      <w:r w:rsidR="0054215C">
        <w:rPr>
          <w:rFonts w:cs="Times New Roman"/>
          <w:szCs w:val="24"/>
        </w:rPr>
        <w:t xml:space="preserve"> podstawowych potrzeb bytowych</w:t>
      </w:r>
      <w:r w:rsidR="003D5E88">
        <w:rPr>
          <w:rFonts w:cs="Times New Roman"/>
          <w:szCs w:val="24"/>
        </w:rPr>
        <w:t>.</w:t>
      </w:r>
    </w:p>
    <w:p w14:paraId="32D740CC" w14:textId="77777777" w:rsidR="00B21DE6" w:rsidRDefault="00B21DE6" w:rsidP="00B21DE6">
      <w:pPr>
        <w:ind w:firstLine="510"/>
        <w:jc w:val="both"/>
      </w:pPr>
      <w:r>
        <w:t xml:space="preserve">Projekt ustawy nie dotyczy: </w:t>
      </w:r>
    </w:p>
    <w:p w14:paraId="06DDAAD4" w14:textId="77777777" w:rsidR="00B21DE6" w:rsidRPr="009A0B6A" w:rsidRDefault="00B21DE6" w:rsidP="00B21DE6">
      <w:pPr>
        <w:pStyle w:val="NIEARTTEKSTtekstnieartykuowanynppodstprawnarozplubpreambua"/>
        <w:spacing w:before="0"/>
        <w:rPr>
          <w:rStyle w:val="Kkursywa"/>
          <w:rFonts w:ascii="Times New Roman" w:hAnsi="Times New Roman" w:cs="Times New Roman"/>
          <w:i w:val="0"/>
        </w:rPr>
      </w:pPr>
      <w:r w:rsidRPr="009A0B6A">
        <w:rPr>
          <w:rStyle w:val="Kkursywa"/>
          <w:rFonts w:ascii="Times New Roman" w:hAnsi="Times New Roman" w:cs="Times New Roman"/>
          <w:i w:val="0"/>
        </w:rPr>
        <w:t>1) majątkowych praw i obowiązków przedsiębiorców (projekt ustawy nie będzie miała wpływu na sytuację mikroprzedsiębiorców, małych i średnich przedsiębiorców);</w:t>
      </w:r>
    </w:p>
    <w:p w14:paraId="00EF3CE5" w14:textId="77777777" w:rsidR="00B21DE6" w:rsidRPr="009A0B6A" w:rsidRDefault="00B21DE6" w:rsidP="00B21DE6">
      <w:pPr>
        <w:pStyle w:val="NIEARTTEKSTtekstnieartykuowanynppodstprawnarozplubpreambua"/>
        <w:spacing w:before="0"/>
        <w:rPr>
          <w:rStyle w:val="Kkursywa"/>
          <w:rFonts w:ascii="Times New Roman" w:hAnsi="Times New Roman" w:cs="Times New Roman"/>
          <w:i w:val="0"/>
        </w:rPr>
      </w:pPr>
      <w:r w:rsidRPr="009A0B6A">
        <w:rPr>
          <w:rStyle w:val="Kkursywa"/>
          <w:rFonts w:ascii="Times New Roman" w:hAnsi="Times New Roman" w:cs="Times New Roman"/>
          <w:i w:val="0"/>
        </w:rPr>
        <w:t>2) zasad podejmowania, wykonywania lub zakończenia działalności gospodarczej;</w:t>
      </w:r>
    </w:p>
    <w:p w14:paraId="74FFC14E" w14:textId="77777777" w:rsidR="00B21DE6" w:rsidRPr="009A0B6A" w:rsidRDefault="00B21DE6" w:rsidP="00B21DE6">
      <w:pPr>
        <w:pStyle w:val="NIEARTTEKSTtekstnieartykuowanynppodstprawnarozplubpreambua"/>
        <w:spacing w:before="0"/>
        <w:rPr>
          <w:rStyle w:val="Kkursywa"/>
          <w:rFonts w:ascii="Times New Roman" w:hAnsi="Times New Roman" w:cs="Times New Roman"/>
          <w:i w:val="0"/>
        </w:rPr>
      </w:pPr>
      <w:r w:rsidRPr="009A0B6A">
        <w:rPr>
          <w:rStyle w:val="Kkursywa"/>
          <w:rFonts w:ascii="Times New Roman" w:hAnsi="Times New Roman" w:cs="Times New Roman"/>
          <w:i w:val="0"/>
        </w:rPr>
        <w:t xml:space="preserve">3) przepisów regulacyjnych lub przepisów określających wymogi dotyczące świadczenia usług transgranicznych w rozumieniu </w:t>
      </w:r>
      <w:hyperlink r:id="rId6" w:anchor="/document/18268594?cm=DOCUMENT" w:history="1">
        <w:r w:rsidRPr="009A0B6A">
          <w:rPr>
            <w:rStyle w:val="Kkursywa"/>
            <w:rFonts w:ascii="Times New Roman" w:hAnsi="Times New Roman" w:cs="Times New Roman"/>
            <w:i w:val="0"/>
          </w:rPr>
          <w:t>ustawy</w:t>
        </w:r>
      </w:hyperlink>
      <w:r w:rsidRPr="009A0B6A">
        <w:rPr>
          <w:rStyle w:val="Kkursywa"/>
          <w:rFonts w:ascii="Times New Roman" w:hAnsi="Times New Roman" w:cs="Times New Roman"/>
          <w:i w:val="0"/>
        </w:rPr>
        <w:t xml:space="preserve"> z dnia 22 grudnia 2015 r. o zasadach uznawania kwalifikacji zawodowych nabytych w państwach członkowskich Unii Europejskiej (Dz. U.</w:t>
      </w:r>
      <w:r w:rsidR="00BA28DC">
        <w:rPr>
          <w:rStyle w:val="Kkursywa"/>
          <w:rFonts w:ascii="Times New Roman" w:hAnsi="Times New Roman" w:cs="Times New Roman"/>
          <w:i w:val="0"/>
        </w:rPr>
        <w:t> </w:t>
      </w:r>
      <w:r w:rsidRPr="009A0B6A">
        <w:rPr>
          <w:rStyle w:val="Kkursywa"/>
          <w:rFonts w:ascii="Times New Roman" w:hAnsi="Times New Roman" w:cs="Times New Roman"/>
          <w:i w:val="0"/>
        </w:rPr>
        <w:t>z 2023 r. poz. 334).</w:t>
      </w:r>
    </w:p>
    <w:p w14:paraId="12A7BC4F" w14:textId="77777777" w:rsidR="00B21DE6" w:rsidRDefault="0054215C" w:rsidP="00581D2D">
      <w:pPr>
        <w:ind w:firstLine="51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Z uwagi na oczywiste pozytywne skutki projektowanej</w:t>
      </w:r>
      <w:r w:rsidR="006D17E9">
        <w:rPr>
          <w:rFonts w:cs="Times New Roman"/>
          <w:szCs w:val="24"/>
        </w:rPr>
        <w:t xml:space="preserve"> ustawy</w:t>
      </w:r>
      <w:r>
        <w:rPr>
          <w:rFonts w:cs="Times New Roman"/>
          <w:szCs w:val="24"/>
        </w:rPr>
        <w:t xml:space="preserve">, która </w:t>
      </w:r>
      <w:r w:rsidR="006D17E9">
        <w:rPr>
          <w:rFonts w:cs="Times New Roman"/>
          <w:szCs w:val="24"/>
        </w:rPr>
        <w:t>wzmacnia</w:t>
      </w:r>
      <w:r>
        <w:rPr>
          <w:rFonts w:cs="Times New Roman"/>
          <w:szCs w:val="24"/>
        </w:rPr>
        <w:t xml:space="preserve"> bezpieczeństwo energetyczne obywateli oraz ogranicza negatywne zjawisko ubóstwa energetycznego</w:t>
      </w:r>
      <w:r w:rsidR="00581D2D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projekt ustawy nie podlegał opiniowaniu.</w:t>
      </w:r>
    </w:p>
    <w:p w14:paraId="47EFE22A" w14:textId="77777777" w:rsidR="00E41021" w:rsidRPr="00E41021" w:rsidRDefault="00E41021" w:rsidP="00E41021">
      <w:pPr>
        <w:ind w:firstLine="510"/>
        <w:rPr>
          <w:rFonts w:cs="Times New Roman"/>
          <w:szCs w:val="24"/>
        </w:rPr>
      </w:pPr>
      <w:r w:rsidRPr="00E41021">
        <w:rPr>
          <w:rFonts w:cs="Times New Roman"/>
          <w:szCs w:val="24"/>
        </w:rPr>
        <w:t>Projekt ustawy jest zgodny z prawem Unii Europejskiej.</w:t>
      </w:r>
    </w:p>
    <w:p w14:paraId="58C43953" w14:textId="77777777" w:rsidR="00E41021" w:rsidRPr="00E41021" w:rsidRDefault="00E41021" w:rsidP="00E41021">
      <w:pPr>
        <w:ind w:firstLine="510"/>
        <w:jc w:val="both"/>
        <w:rPr>
          <w:rFonts w:cs="Times New Roman"/>
          <w:szCs w:val="24"/>
        </w:rPr>
      </w:pPr>
      <w:r w:rsidRPr="00E41021">
        <w:rPr>
          <w:rFonts w:cs="Times New Roman"/>
          <w:szCs w:val="24"/>
        </w:rPr>
        <w:t>Projekt ustawy nie podlega procedurze notyfikacji aktów prawnych, określonej w przepisach rozporządzenia Rady Ministrów z dnia 23 grudnia 2002 r. w sprawie sposobu funkcjonowania krajowego systemu notyfikacji norm i aktów prawnych (Dz. U. poz. 2039</w:t>
      </w:r>
      <w:r w:rsidR="007F6C7C">
        <w:rPr>
          <w:rFonts w:cs="Times New Roman"/>
          <w:szCs w:val="24"/>
        </w:rPr>
        <w:t xml:space="preserve"> oraz z 2004 r. poz. 597</w:t>
      </w:r>
      <w:r w:rsidRPr="00E41021">
        <w:rPr>
          <w:rFonts w:cs="Times New Roman"/>
          <w:szCs w:val="24"/>
        </w:rPr>
        <w:t xml:space="preserve">). </w:t>
      </w:r>
    </w:p>
    <w:p w14:paraId="7AD81DB5" w14:textId="77777777" w:rsidR="00E41021" w:rsidRPr="00E41021" w:rsidRDefault="00E41021" w:rsidP="00E41021">
      <w:pPr>
        <w:ind w:firstLine="510"/>
        <w:jc w:val="both"/>
        <w:rPr>
          <w:rFonts w:cs="Times New Roman"/>
          <w:szCs w:val="24"/>
        </w:rPr>
      </w:pPr>
      <w:r w:rsidRPr="00E41021">
        <w:rPr>
          <w:rFonts w:cs="Times New Roman"/>
          <w:szCs w:val="24"/>
        </w:rPr>
        <w:t>Projekt ustawy nie zawiera wymogów nakładanych na usługodawców podlegających notyfikacji, o której mowa w art. 15 ust. 7 lub art. 39 ust. 5 dyrektywy 2006/123/WE Parlamentu Europejskiego i Rady z dnia 12 grudnia 2006 r. dotyczącej usług na rynku wewnętrznych (Dz.</w:t>
      </w:r>
      <w:r w:rsidR="007F6C7C">
        <w:rPr>
          <w:rFonts w:cs="Times New Roman"/>
          <w:szCs w:val="24"/>
        </w:rPr>
        <w:t> </w:t>
      </w:r>
      <w:r w:rsidRPr="00E41021">
        <w:rPr>
          <w:rFonts w:cs="Times New Roman"/>
          <w:szCs w:val="24"/>
        </w:rPr>
        <w:t xml:space="preserve">Urz. UE L 376 z 27.12.2006, str. 36). </w:t>
      </w:r>
    </w:p>
    <w:p w14:paraId="4FF8B2EC" w14:textId="77777777" w:rsidR="00E41021" w:rsidRPr="00E41021" w:rsidRDefault="00E41021" w:rsidP="00E41021">
      <w:pPr>
        <w:ind w:firstLine="510"/>
        <w:jc w:val="both"/>
        <w:rPr>
          <w:rFonts w:cs="Times New Roman"/>
          <w:szCs w:val="24"/>
        </w:rPr>
      </w:pPr>
      <w:r w:rsidRPr="00E41021">
        <w:rPr>
          <w:rFonts w:cs="Times New Roman"/>
          <w:szCs w:val="24"/>
        </w:rPr>
        <w:t>Projekt ustawy nie wymaga przedstawienia właściwym instytucjom i organom Unii Europejskiej, w tym Europejskiemu Bankowi Centralnemu, celem uzyskania opinii, dokonania powiadomienia, konsultacji albo uzgodnienia projektu.</w:t>
      </w:r>
    </w:p>
    <w:p w14:paraId="12F4DF7A" w14:textId="77777777" w:rsidR="00F947E9" w:rsidRPr="009A0B6A" w:rsidRDefault="00F947E9" w:rsidP="009A0B6A">
      <w:pPr>
        <w:rPr>
          <w:rFonts w:cs="Times New Roman"/>
        </w:rPr>
      </w:pPr>
    </w:p>
    <w:sectPr w:rsidR="00F947E9" w:rsidRPr="009A0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47B44" w14:textId="77777777" w:rsidR="004E49CC" w:rsidRDefault="004E49CC" w:rsidP="008E71BE">
      <w:pPr>
        <w:spacing w:line="240" w:lineRule="auto"/>
      </w:pPr>
      <w:r>
        <w:separator/>
      </w:r>
    </w:p>
  </w:endnote>
  <w:endnote w:type="continuationSeparator" w:id="0">
    <w:p w14:paraId="0FB7A322" w14:textId="77777777" w:rsidR="004E49CC" w:rsidRDefault="004E49CC" w:rsidP="008E71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69B17" w14:textId="77777777" w:rsidR="004E49CC" w:rsidRDefault="004E49CC" w:rsidP="008E71BE">
      <w:pPr>
        <w:spacing w:line="240" w:lineRule="auto"/>
      </w:pPr>
      <w:r>
        <w:separator/>
      </w:r>
    </w:p>
  </w:footnote>
  <w:footnote w:type="continuationSeparator" w:id="0">
    <w:p w14:paraId="7E90C423" w14:textId="77777777" w:rsidR="004E49CC" w:rsidRDefault="004E49CC" w:rsidP="008E71B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FD4"/>
    <w:rsid w:val="00001A7D"/>
    <w:rsid w:val="00085C78"/>
    <w:rsid w:val="00267A38"/>
    <w:rsid w:val="003D5E88"/>
    <w:rsid w:val="00402EC4"/>
    <w:rsid w:val="00416B49"/>
    <w:rsid w:val="00437968"/>
    <w:rsid w:val="00460050"/>
    <w:rsid w:val="004E49CC"/>
    <w:rsid w:val="0054215C"/>
    <w:rsid w:val="00581D2D"/>
    <w:rsid w:val="005C2B0C"/>
    <w:rsid w:val="006359A7"/>
    <w:rsid w:val="006D17E9"/>
    <w:rsid w:val="006E24C8"/>
    <w:rsid w:val="00700C98"/>
    <w:rsid w:val="007D680F"/>
    <w:rsid w:val="007F6C7C"/>
    <w:rsid w:val="008B4FD4"/>
    <w:rsid w:val="008C1902"/>
    <w:rsid w:val="008E71BE"/>
    <w:rsid w:val="00920292"/>
    <w:rsid w:val="00937AA9"/>
    <w:rsid w:val="009A0B6A"/>
    <w:rsid w:val="009B45BB"/>
    <w:rsid w:val="00A15680"/>
    <w:rsid w:val="00A21CDA"/>
    <w:rsid w:val="00A45DB3"/>
    <w:rsid w:val="00A72CD5"/>
    <w:rsid w:val="00B21DE6"/>
    <w:rsid w:val="00B348D8"/>
    <w:rsid w:val="00BA28DC"/>
    <w:rsid w:val="00DC4E66"/>
    <w:rsid w:val="00E41021"/>
    <w:rsid w:val="00F947E9"/>
    <w:rsid w:val="00FE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B0E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4FD4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8B4FD4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B4FD4"/>
    <w:rPr>
      <w:bCs/>
    </w:rPr>
  </w:style>
  <w:style w:type="paragraph" w:customStyle="1" w:styleId="TYTDZOZNoznaczenietytuulubdziau">
    <w:name w:val="TYT(DZ)_OZN – oznaczenie tytułu lub działu"/>
    <w:next w:val="Normalny"/>
    <w:uiPriority w:val="9"/>
    <w:qFormat/>
    <w:rsid w:val="008B4FD4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8B4FD4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B4FD4"/>
    <w:rPr>
      <w:i/>
    </w:rPr>
  </w:style>
  <w:style w:type="paragraph" w:customStyle="1" w:styleId="Default">
    <w:name w:val="Default"/>
    <w:rsid w:val="008B4F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41021"/>
    <w:pPr>
      <w:widowControl/>
      <w:autoSpaceDE/>
      <w:autoSpaceDN/>
      <w:adjustRightInd/>
      <w:ind w:left="1020" w:hanging="510"/>
      <w:jc w:val="both"/>
    </w:pPr>
    <w:rPr>
      <w:rFonts w:ascii="Times" w:hAnsi="Times"/>
      <w:bCs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E41021"/>
    <w:pPr>
      <w:widowControl/>
      <w:suppressAutoHyphens/>
      <w:ind w:left="510" w:firstLine="510"/>
      <w:jc w:val="both"/>
    </w:pPr>
    <w:rPr>
      <w:rFonts w:ascii="Times" w:hAnsi="Time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1DE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DE6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E71B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71BE"/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E71B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71BE"/>
    <w:rPr>
      <w:rFonts w:ascii="Times New Roman" w:eastAsiaTheme="minorEastAsia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1362</Words>
  <Characters>8173</Characters>
  <Application>Microsoft Office Word</Application>
  <DocSecurity>0</DocSecurity>
  <Lines>68</Lines>
  <Paragraphs>19</Paragraphs>
  <ScaleCrop>false</ScaleCrop>
  <Company/>
  <LinksUpToDate>false</LinksUpToDate>
  <CharactersWithSpaces>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2025-09-05T11:57:00Z</dcterms:created>
  <dcterms:modified xsi:type="dcterms:W3CDTF">2025-09-05T11:57:00Z</dcterms:modified>
</cp:coreProperties>
</file>