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ED15" w14:textId="77777777" w:rsidR="00A12675" w:rsidRDefault="00A12675" w:rsidP="00A12675">
      <w:pPr>
        <w:pStyle w:val="OZNRODZAKTUtznustawalubrozporzdzenieiorganwydajcy"/>
      </w:pPr>
    </w:p>
    <w:p w14:paraId="5CF9D603" w14:textId="77777777" w:rsidR="00551118" w:rsidRDefault="00551118" w:rsidP="00D42A0D">
      <w:pPr>
        <w:pStyle w:val="OZNPROJEKTUwskazaniedatylubwersjiprojektu"/>
      </w:pPr>
      <w:r>
        <w:t>projekt</w:t>
      </w:r>
    </w:p>
    <w:p w14:paraId="779425AD" w14:textId="77777777" w:rsidR="00551118" w:rsidRPr="00E000DC" w:rsidRDefault="00551118" w:rsidP="004810D7">
      <w:pPr>
        <w:pStyle w:val="OZNRODZAKTUtznustawalubrozporzdzenieiorganwydajcy"/>
      </w:pPr>
      <w:r w:rsidRPr="004810D7">
        <w:t>ustawa</w:t>
      </w:r>
    </w:p>
    <w:p w14:paraId="09764FF8" w14:textId="77777777" w:rsidR="00551118" w:rsidRDefault="00551118" w:rsidP="00912118">
      <w:pPr>
        <w:pStyle w:val="DATAAKTUdatauchwalenialubwydaniaaktu"/>
      </w:pPr>
      <w:r w:rsidRPr="00E000DC">
        <w:t>z dnia</w:t>
      </w:r>
      <w:r>
        <w:t xml:space="preserve"> </w:t>
      </w:r>
    </w:p>
    <w:p w14:paraId="1AE682C9" w14:textId="77777777" w:rsidR="00551118" w:rsidRPr="00D335BC" w:rsidRDefault="00551118" w:rsidP="00D335BC">
      <w:pPr>
        <w:pStyle w:val="TYTUAKTUprzedmiotregulacjiustawylubrozporzdzenia"/>
      </w:pPr>
      <w:r>
        <w:t>o zmianie ustawy o rzecznikach patentowych</w:t>
      </w:r>
    </w:p>
    <w:p w14:paraId="18341A82" w14:textId="77777777" w:rsidR="00551118" w:rsidRDefault="00551118" w:rsidP="004810D7">
      <w:pPr>
        <w:pStyle w:val="ARTartustawynprozporzdzenia"/>
      </w:pPr>
      <w:r w:rsidRPr="006443F8">
        <w:rPr>
          <w:rStyle w:val="Ppogrubienie"/>
        </w:rPr>
        <w:t>Art. 1.</w:t>
      </w:r>
      <w:r>
        <w:rPr>
          <w:rStyle w:val="Ppogrubienie"/>
        </w:rPr>
        <w:t xml:space="preserve"> </w:t>
      </w:r>
      <w:r w:rsidRPr="00B740DA">
        <w:t>W ustawie z dnia 11 kwietnia 2001 r. o rzecznikach patentowych (Dz. U. z 2024 r. poz. 749)</w:t>
      </w:r>
      <w:r>
        <w:t xml:space="preserve"> wprowadza się następujące zmiany:</w:t>
      </w:r>
    </w:p>
    <w:p w14:paraId="21E9BDA0" w14:textId="77777777" w:rsidR="00551118" w:rsidRDefault="00551118" w:rsidP="000A35F9">
      <w:pPr>
        <w:pStyle w:val="PKTpunkt"/>
      </w:pPr>
      <w:r>
        <w:t>1)</w:t>
      </w:r>
      <w:r>
        <w:tab/>
        <w:t>w art. 18 w ust. 2 po pkt 2 dodaje się pkt 2a w brzmieniu:</w:t>
      </w:r>
    </w:p>
    <w:p w14:paraId="1F1C7925" w14:textId="77777777" w:rsidR="00551118" w:rsidRPr="005F7EDE" w:rsidRDefault="00551118" w:rsidP="000A35F9">
      <w:pPr>
        <w:pStyle w:val="ZPKTzmpktartykuempunktem"/>
      </w:pPr>
      <w:r w:rsidRPr="005F7EDE">
        <w:t>„2a)</w:t>
      </w:r>
      <w:r>
        <w:tab/>
      </w:r>
      <w:r w:rsidRPr="005F7EDE">
        <w:t>numer PESEL;”;</w:t>
      </w:r>
    </w:p>
    <w:p w14:paraId="22604800" w14:textId="77777777" w:rsidR="00551118" w:rsidRPr="00A359F5" w:rsidRDefault="00551118" w:rsidP="00A359F5">
      <w:pPr>
        <w:pStyle w:val="PKTpunkt"/>
      </w:pPr>
      <w:r w:rsidRPr="00A359F5">
        <w:t>2)</w:t>
      </w:r>
      <w:r w:rsidRPr="00A359F5">
        <w:tab/>
        <w:t>w art</w:t>
      </w:r>
      <w:r>
        <w:t>. 25a ust. 1 otrzymuje brzmienie:</w:t>
      </w:r>
    </w:p>
    <w:p w14:paraId="62B6ED62" w14:textId="77777777" w:rsidR="00551118" w:rsidRDefault="00551118" w:rsidP="00BF2360">
      <w:pPr>
        <w:pStyle w:val="ZUSTzmustartykuempunktem"/>
        <w:rPr>
          <w:rStyle w:val="Ppogrubienie"/>
        </w:rPr>
      </w:pPr>
      <w:r>
        <w:t xml:space="preserve">„1. </w:t>
      </w:r>
      <w:r w:rsidRPr="000A35F9">
        <w:t xml:space="preserve">Na podstawie aktualnych informacji przekazywanych przez Krajową Radę Rzeczników Patentowych Urząd Patentowy prowadzi w systemie teleinformatycznym listę rzeczników patentowych oraz aplikantów, która zawiera imię i nazwisko rzecznika patentowego lub aplikanta, </w:t>
      </w:r>
      <w:r>
        <w:t xml:space="preserve">numer PESEL, </w:t>
      </w:r>
      <w:r w:rsidRPr="000A35F9">
        <w:t xml:space="preserve">datę uchwały o wpisie na listę i numer wpisu na listę oraz datę skreślenia z listy, informację o zawieszeniu prawa wykonywania zawodu rzecznika patentowego, a w przypadku aplikantów </w:t>
      </w:r>
      <w:r>
        <w:t>–</w:t>
      </w:r>
      <w:r w:rsidRPr="000A35F9">
        <w:t xml:space="preserve"> także rok aplikacji rzecznikowskiej.</w:t>
      </w:r>
      <w:r>
        <w:t>”.</w:t>
      </w:r>
    </w:p>
    <w:p w14:paraId="1EBDAA16" w14:textId="77777777" w:rsidR="00551118" w:rsidRDefault="00551118" w:rsidP="004810D7">
      <w:pPr>
        <w:pStyle w:val="ARTartustawynprozporzdzenia"/>
      </w:pPr>
      <w:r w:rsidRPr="006443F8">
        <w:rPr>
          <w:rStyle w:val="Ppogrubienie"/>
        </w:rPr>
        <w:t>Art. 2</w:t>
      </w:r>
      <w:r w:rsidRPr="00674214">
        <w:rPr>
          <w:rStyle w:val="Ppogrubienie"/>
        </w:rPr>
        <w:t>.</w:t>
      </w:r>
      <w:r w:rsidRPr="00676243">
        <w:t xml:space="preserve"> 1.</w:t>
      </w:r>
      <w:r w:rsidRPr="00674214">
        <w:t xml:space="preserve"> </w:t>
      </w:r>
      <w:r w:rsidRPr="00676243">
        <w:t>Rzecznik patentowy wpisany na listę</w:t>
      </w:r>
      <w:r w:rsidRPr="00674214">
        <w:t xml:space="preserve"> </w:t>
      </w:r>
      <w:r w:rsidRPr="00676243">
        <w:t>rzeczników patentowych, o której mowa w art. 18 ust. 1 ustawy zmienianej w art. 1,</w:t>
      </w:r>
      <w:r>
        <w:t xml:space="preserve"> </w:t>
      </w:r>
      <w:r w:rsidRPr="005F7EDE">
        <w:t xml:space="preserve">informuje pisemnie Prezesa </w:t>
      </w:r>
      <w:r>
        <w:t xml:space="preserve">Urzędu Patentowego Rzeczypospolitej Polskiej o posiadanym numerze PESEL w terminie 30 dni </w:t>
      </w:r>
      <w:r w:rsidRPr="00676243">
        <w:t>od dnia wejścia w</w:t>
      </w:r>
      <w:r>
        <w:t> </w:t>
      </w:r>
      <w:r w:rsidRPr="00676243">
        <w:t>życie niniejszej ustawy</w:t>
      </w:r>
      <w:r>
        <w:t>.</w:t>
      </w:r>
    </w:p>
    <w:p w14:paraId="6D32CD87" w14:textId="77777777" w:rsidR="00551118" w:rsidRDefault="00551118" w:rsidP="00AE7062">
      <w:pPr>
        <w:pStyle w:val="USTustnpkodeksu"/>
        <w:rPr>
          <w:rStyle w:val="Ppogrubienie"/>
        </w:rPr>
      </w:pPr>
      <w:r>
        <w:t xml:space="preserve">2. Aplikant wpisany na listę rzeczników patentowych oraz aplikantów, o której mowa w art. 25a ust. 1 ustawy zmienianej w art. 1, </w:t>
      </w:r>
      <w:r w:rsidRPr="005F7EDE">
        <w:t xml:space="preserve">informuje pisemnie Prezesa </w:t>
      </w:r>
      <w:r>
        <w:t>Urzędu Patentowego</w:t>
      </w:r>
      <w:r w:rsidRPr="00A01CC2">
        <w:t xml:space="preserve"> </w:t>
      </w:r>
      <w:r>
        <w:t xml:space="preserve">Rzeczypospolitej Polskiej o posiadanym numerze PESEL w terminie 30 dni </w:t>
      </w:r>
      <w:r w:rsidRPr="00676243">
        <w:t>od dnia wejścia w</w:t>
      </w:r>
      <w:r>
        <w:t> </w:t>
      </w:r>
      <w:r w:rsidRPr="00676243">
        <w:t>życie niniejszej ustawy</w:t>
      </w:r>
      <w:r>
        <w:t>.</w:t>
      </w:r>
    </w:p>
    <w:p w14:paraId="5103B572" w14:textId="77777777" w:rsidR="00551118" w:rsidRDefault="00551118" w:rsidP="00674214">
      <w:pPr>
        <w:pStyle w:val="USTustnpkodeksu"/>
      </w:pPr>
      <w:r>
        <w:t xml:space="preserve">3. Prezes Urzędu Patentowego </w:t>
      </w:r>
      <w:bookmarkStart w:id="0" w:name="_Hlk204779047"/>
      <w:r>
        <w:t xml:space="preserve">Rzeczypospolitej Polskiej </w:t>
      </w:r>
      <w:bookmarkEnd w:id="0"/>
      <w:r>
        <w:t xml:space="preserve">uzupełnia dane w systemach teleinformatycznych, w których prowadzone są listy, o których mowa w ust. 1 i 2, o numer PESEL niezwłocznie po uzyskaniu informacji, o której mowa w ust. 1 albo 2. </w:t>
      </w:r>
    </w:p>
    <w:p w14:paraId="1654A491" w14:textId="77777777" w:rsidR="00551118" w:rsidRPr="00AE7062" w:rsidRDefault="00551118" w:rsidP="00AE7062">
      <w:pPr>
        <w:pStyle w:val="ARTartustawynprozporzdzenia"/>
        <w:rPr>
          <w:b/>
        </w:rPr>
      </w:pPr>
      <w:r w:rsidRPr="006443F8">
        <w:rPr>
          <w:rStyle w:val="Ppogrubienie"/>
        </w:rPr>
        <w:t xml:space="preserve">Art. </w:t>
      </w:r>
      <w:r>
        <w:rPr>
          <w:rStyle w:val="Ppogrubienie"/>
        </w:rPr>
        <w:t>3</w:t>
      </w:r>
      <w:r w:rsidRPr="006443F8">
        <w:rPr>
          <w:rStyle w:val="Ppogrubienie"/>
        </w:rPr>
        <w:t>.</w:t>
      </w:r>
      <w:r>
        <w:rPr>
          <w:rStyle w:val="Ppogrubienie"/>
        </w:rPr>
        <w:t xml:space="preserve"> </w:t>
      </w:r>
      <w:r w:rsidRPr="00AA3DB0">
        <w:t>Ustawa wchodzi w życie po upływie 14 dni od dnia ogłoszenia.</w:t>
      </w:r>
    </w:p>
    <w:p w14:paraId="165052F8" w14:textId="77777777" w:rsidR="00551118" w:rsidRDefault="00551118">
      <w:pPr>
        <w:sectPr w:rsidR="00551118" w:rsidSect="00551118">
          <w:headerReference w:type="default" r:id="rId7"/>
          <w:pgSz w:w="11906" w:h="16838"/>
          <w:pgMar w:top="1418" w:right="1418" w:bottom="1418" w:left="1418" w:header="708" w:footer="708" w:gutter="0"/>
          <w:pgNumType w:start="1"/>
          <w:cols w:space="708"/>
          <w:docGrid w:linePitch="360"/>
        </w:sectPr>
      </w:pPr>
    </w:p>
    <w:p w14:paraId="4292E70D" w14:textId="77777777" w:rsidR="00551118" w:rsidRDefault="00551118" w:rsidP="00EF7D26">
      <w:pPr>
        <w:jc w:val="center"/>
        <w:rPr>
          <w:rStyle w:val="Ppogrubienie"/>
          <w:spacing w:val="40"/>
        </w:rPr>
      </w:pPr>
      <w:r>
        <w:rPr>
          <w:rStyle w:val="Ppogrubienie"/>
          <w:spacing w:val="40"/>
        </w:rPr>
        <w:lastRenderedPageBreak/>
        <w:t>UZASADNIENIE</w:t>
      </w:r>
    </w:p>
    <w:p w14:paraId="18B6BEE8" w14:textId="77777777" w:rsidR="00551118" w:rsidRDefault="00551118" w:rsidP="00E95985">
      <w:pPr>
        <w:rPr>
          <w:rStyle w:val="Ppogrubienie"/>
          <w:spacing w:val="40"/>
        </w:rPr>
      </w:pPr>
    </w:p>
    <w:p w14:paraId="35C69450" w14:textId="77777777" w:rsidR="00551118" w:rsidRPr="00743702" w:rsidRDefault="00551118" w:rsidP="00743702">
      <w:pPr>
        <w:widowControl/>
        <w:autoSpaceDE/>
        <w:autoSpaceDN/>
        <w:adjustRightInd/>
        <w:ind w:left="510" w:hanging="510"/>
        <w:rPr>
          <w:rFonts w:ascii="Times" w:hAnsi="Times"/>
          <w:b/>
          <w:bCs/>
          <w:lang w:eastAsia="en-US"/>
        </w:rPr>
      </w:pPr>
      <w:r w:rsidRPr="00743702">
        <w:rPr>
          <w:rFonts w:ascii="Times" w:hAnsi="Times"/>
          <w:b/>
          <w:bCs/>
          <w:lang w:eastAsia="en-US"/>
        </w:rPr>
        <w:t>1.</w:t>
      </w:r>
      <w:r w:rsidRPr="00743702">
        <w:rPr>
          <w:rFonts w:ascii="Times" w:hAnsi="Times"/>
          <w:b/>
          <w:bCs/>
          <w:lang w:eastAsia="en-US"/>
        </w:rPr>
        <w:tab/>
        <w:t>Cel projektowanej ustawy</w:t>
      </w:r>
      <w:r>
        <w:rPr>
          <w:rFonts w:ascii="Times" w:hAnsi="Times"/>
          <w:b/>
          <w:bCs/>
          <w:lang w:eastAsia="en-US"/>
        </w:rPr>
        <w:t xml:space="preserve"> oraz różnice pomiędzy dotychczasowym i projektowanym stanem prawnym</w:t>
      </w:r>
    </w:p>
    <w:p w14:paraId="1E348639" w14:textId="77777777" w:rsidR="00551118" w:rsidRDefault="00551118" w:rsidP="00601BA9">
      <w:pPr>
        <w:pStyle w:val="NIEARTTEKSTtekstnieartykuowanynppodstprawnarozplubpreambua"/>
      </w:pPr>
      <w:r>
        <w:t xml:space="preserve">Celem projektu ustawy o zmianie ustawy o rzecznikach patentowych jest dokonanie zmian, które umożliwią rzecznikom patentowym pełne korzystanie z </w:t>
      </w:r>
      <w:r w:rsidRPr="0042444B">
        <w:t xml:space="preserve">portalu informacyjnego, będącego systemem teleinformatycznym, o którym mowa w </w:t>
      </w:r>
      <w:hyperlink r:id="rId8" w:anchor="/document/16909701?unitId=art(53(e))par(1)" w:history="1">
        <w:r w:rsidRPr="0042444B">
          <w:t>art. 53e § 1</w:t>
        </w:r>
      </w:hyperlink>
      <w:r w:rsidRPr="0042444B">
        <w:t xml:space="preserve"> ustawy z dnia 27</w:t>
      </w:r>
      <w:r>
        <w:t> </w:t>
      </w:r>
      <w:r w:rsidRPr="0042444B">
        <w:t xml:space="preserve">lipca 2001 r. </w:t>
      </w:r>
      <w:r>
        <w:t>–</w:t>
      </w:r>
      <w:r w:rsidRPr="0042444B">
        <w:t xml:space="preserve"> Prawo o ustroju sądów powszechnych</w:t>
      </w:r>
      <w:r>
        <w:t xml:space="preserve"> </w:t>
      </w:r>
      <w:r w:rsidRPr="0042444B">
        <w:t xml:space="preserve">(Dz. U. z 2024 r. poz. 334, z późn. zm.), dalej jako: </w:t>
      </w:r>
      <w:r>
        <w:t>„</w:t>
      </w:r>
      <w:r w:rsidRPr="0042444B">
        <w:t>portal informacyjny</w:t>
      </w:r>
      <w:r>
        <w:t xml:space="preserve">”. Konieczność podjęcia prac legislacyjnych w tym zakresie była postulowana przez Polską Izbę Rzeczników Patentowych, która wykazywała, że portal informacyjny nie jest przygotowany w sposób umożliwiający rzecznikom patentowym założenie konta w portalu oraz dokonywanie odbioru pism w sprawach, w których występują oni jako pełnomocnicy procesowi przed sądami. </w:t>
      </w:r>
    </w:p>
    <w:p w14:paraId="600E0548" w14:textId="77777777" w:rsidR="00551118" w:rsidRDefault="00551118" w:rsidP="001B1FA4">
      <w:pPr>
        <w:pStyle w:val="ARTartustawynprozporzdzenia"/>
      </w:pPr>
      <w:r>
        <w:t xml:space="preserve">Dokonując próby rejestracji w portalu informacyjnym, przy wprowadzeniu numeru PESEL i numeru wpisu na listę rzeczników patentowych pojawia się komunikat o nieodnalezieniu danych pełnomocnika o podanym numerze PESEL. Przyczyną takiego stanu rzeczy jest fakt, że dane rzeczników patentowych pobierane przez portal informacyjny pochodzą z listy rzeczników patentowych prowadzonej przez Urząd Patentowy Rzeczypospolitej Polskiej na podstawie art. 18 ust. 1 i 2 ustawy </w:t>
      </w:r>
      <w:bookmarkStart w:id="1" w:name="_Hlk204706483"/>
      <w:r w:rsidRPr="00B740DA">
        <w:t xml:space="preserve">ustawie z dnia 11 kwietnia 2001 r. o rzecznikach patentowych </w:t>
      </w:r>
      <w:bookmarkEnd w:id="1"/>
      <w:r w:rsidRPr="00B740DA">
        <w:t>(Dz. U. z 2024 r. poz. 749)</w:t>
      </w:r>
      <w:r>
        <w:t>. Na liście tej</w:t>
      </w:r>
      <w:r w:rsidRPr="004A02E9">
        <w:rPr>
          <w:rStyle w:val="Ppogrubienie"/>
        </w:rPr>
        <w:t xml:space="preserve"> nie zamieszcza się numerów PESEL rzeczników patentowych</w:t>
      </w:r>
      <w:r>
        <w:t xml:space="preserve">. </w:t>
      </w:r>
    </w:p>
    <w:p w14:paraId="14ED8D6D" w14:textId="77777777" w:rsidR="00551118" w:rsidRPr="001B1FA4" w:rsidRDefault="00551118" w:rsidP="001B1FA4">
      <w:pPr>
        <w:pStyle w:val="ARTartustawynprozporzdzenia"/>
      </w:pPr>
      <w:r>
        <w:t xml:space="preserve">Niespójność regulacji, tj. art. 18 ust. 2 ustawy </w:t>
      </w:r>
      <w:r w:rsidRPr="00B740DA">
        <w:t>z dnia 11 kwietnia 2001</w:t>
      </w:r>
      <w:r>
        <w:t> </w:t>
      </w:r>
      <w:r w:rsidRPr="00B740DA">
        <w:t>r. o</w:t>
      </w:r>
      <w:r>
        <w:t> </w:t>
      </w:r>
      <w:r w:rsidRPr="00B740DA">
        <w:t>rzecznikach patentowych</w:t>
      </w:r>
      <w:r>
        <w:t xml:space="preserve"> określającego zakres danych zamieszczanych w systemie teleinformatycznym prowadzącym listę rzeczników patentowych z przepisami rozporządzenia wydanego na podstawie art. 53e ust. 2 ustawy </w:t>
      </w:r>
      <w:r w:rsidRPr="0042444B">
        <w:t>z dnia 27</w:t>
      </w:r>
      <w:r>
        <w:t> </w:t>
      </w:r>
      <w:r w:rsidRPr="0042444B">
        <w:t xml:space="preserve">lipca 2001 r. </w:t>
      </w:r>
      <w:r>
        <w:t>–</w:t>
      </w:r>
      <w:r w:rsidRPr="0042444B">
        <w:t xml:space="preserve"> Prawo o ustroju sądów powszechnych</w:t>
      </w:r>
      <w:r>
        <w:t xml:space="preserve">, tj. § 4 ust. 1 rozporządzenia Ministra Sprawiedliwości z dnia 12 marca 2024 r. w sprawie portalu informacyjnego (Dz. U. poz. 366) wskazującego, że </w:t>
      </w:r>
      <w:r w:rsidRPr="00EF1EAC">
        <w:rPr>
          <w:rStyle w:val="Ppogrubienie"/>
        </w:rPr>
        <w:t>podstawą do założenia konta w portalu informacyjnym dla osoby fizycznej jest zamieszczenie we wniosku o utworzenie takiego konta numeru PESEL,</w:t>
      </w:r>
      <w:r>
        <w:t xml:space="preserve"> skutkuje brakiem możliwości korzystania z portalu informacyjnego przez rzeczników patentowych, tym samym prawidłowego wykonywania obowiązków jako pełnomocnika procesowego.</w:t>
      </w:r>
    </w:p>
    <w:p w14:paraId="78574225" w14:textId="77777777" w:rsidR="00551118" w:rsidRDefault="00551118" w:rsidP="00A03E61">
      <w:pPr>
        <w:spacing w:before="120"/>
        <w:ind w:firstLine="510"/>
      </w:pPr>
      <w:r>
        <w:t xml:space="preserve">W celu usunięcia istniejącej niespójności w regulacjach prawnych projektowana ustawa </w:t>
      </w:r>
      <w:r>
        <w:lastRenderedPageBreak/>
        <w:t xml:space="preserve">dokonuje nowelizacji </w:t>
      </w:r>
      <w:bookmarkStart w:id="2" w:name="_Hlk204706638"/>
      <w:r w:rsidRPr="00B740DA">
        <w:t>ustaw</w:t>
      </w:r>
      <w:r>
        <w:t>y</w:t>
      </w:r>
      <w:r w:rsidRPr="00B740DA">
        <w:t xml:space="preserve"> z dnia 11 kwietnia 2001 r. o rzecznikach patentowych</w:t>
      </w:r>
      <w:bookmarkEnd w:id="2"/>
      <w:r>
        <w:t xml:space="preserve"> polegającej na poszerzeniu zakresu danych podlegających wpisowi na listę rzeczników patentowych, o której mowa w art. 18 ust. 1, o numer PESEL (art. 1 pkt 1).</w:t>
      </w:r>
    </w:p>
    <w:p w14:paraId="46918472" w14:textId="77777777" w:rsidR="00551118" w:rsidRDefault="00551118" w:rsidP="00DC5452">
      <w:pPr>
        <w:spacing w:before="120"/>
        <w:ind w:firstLine="510"/>
      </w:pPr>
      <w:r>
        <w:t>Ponadto projekt zmienia art. 25a ust. 1 ustawy, uzupełniając</w:t>
      </w:r>
      <w:r w:rsidRPr="00DC5452">
        <w:t xml:space="preserve"> </w:t>
      </w:r>
      <w:r>
        <w:t>o numery PESEL zakres danych gromadzonych w systemie teleinformatycznym utworzonym na podstawie tego przepisu, obejmującym rzeczników patentowych oraz aplikantów rzecznikowskich (art. 1 pkt 2). W ocenie projektodawcy, zakres danych służących identyfikacji osób wykonujących zawód rzecznika patentowego powinien być identyczny w obu systemach teleinformatycznych.</w:t>
      </w:r>
    </w:p>
    <w:p w14:paraId="5792DEC2" w14:textId="77777777" w:rsidR="00551118" w:rsidRDefault="00551118" w:rsidP="006560B1">
      <w:pPr>
        <w:pStyle w:val="ARTartustawynprozporzdzenia"/>
      </w:pPr>
      <w:r>
        <w:t xml:space="preserve">Ponadto przepis dostosowujący nakłada na rzeczników patentowych oraz aplikantów rzecznikowskich obowiązek pisemnego poinformowania Prezesa Urzędu Patentowego RP o posiadanym numerze PESEL w terminie 30 dni </w:t>
      </w:r>
      <w:r w:rsidRPr="00676243">
        <w:t>od dnia wejścia w życie niniejszej ustawy</w:t>
      </w:r>
      <w:r>
        <w:t xml:space="preserve"> (art. 2 ust. 1 i 2). Prezes Urzędu Patentowego RP został zobowiązany do niezwłocznego uzupełnienia danych zamieszczanych na listach prowadzonych na podstawie art. 18 ust. 1 oraz art. 25a ust. 1 nowelizowanej ustawy, o numer PESEL po uzyskaniu tej informacji (art. 2 ust. 3). </w:t>
      </w:r>
    </w:p>
    <w:p w14:paraId="38788E0C" w14:textId="77777777" w:rsidR="00551118" w:rsidRDefault="00551118" w:rsidP="00330052">
      <w:pPr>
        <w:pStyle w:val="ARTartustawynprozporzdzenia"/>
      </w:pPr>
      <w:r>
        <w:t xml:space="preserve">Konsekwencją zmiany zakresu danych zamieszczanych w systemie teleinformatycznym, o którym mowa w art. 25a będzie konieczność pilnej zmiany rozporządzenia wydanego na podstawie art. 26 ustawy z dnia </w:t>
      </w:r>
      <w:r w:rsidRPr="00B740DA">
        <w:t>11 kwietnia 2001 r. o rzecznikach patentowych</w:t>
      </w:r>
      <w:r>
        <w:t xml:space="preserve">. Rozporządzenie Prezesa Rady Ministrów z dnia 11 października 2016 r. w sprawie wzoru i sposobu prowadzenia listy rzeczników patentowych, wzoru legitymacji rzecznika patentowego oraz wysokości opłat od wniosku o wpis lub zmianę wpisu na liście rzeczników patentowych (Dz. U. poz. 1738) określa bowiem </w:t>
      </w:r>
      <w:r>
        <w:softHyphen/>
        <w:t xml:space="preserve"> w załączniku nr 1 – wzór listy rzeczników patentowych wskazując niezbędne dane identyfikujące rzecznika patentowego. Wśród tych danych konieczne będzie umieszczenie numeru PESEL. </w:t>
      </w:r>
    </w:p>
    <w:p w14:paraId="03EE2679" w14:textId="77777777" w:rsidR="00551118" w:rsidRDefault="00551118" w:rsidP="00330052">
      <w:pPr>
        <w:pStyle w:val="ARTartustawynprozporzdzenia"/>
      </w:pPr>
      <w:r>
        <w:t xml:space="preserve">Proponuje się aby ustawa weszła w życie </w:t>
      </w:r>
      <w:r w:rsidRPr="005A26ED">
        <w:t xml:space="preserve">z zachowaniem standardowej 14 </w:t>
      </w:r>
      <w:r>
        <w:t>–</w:t>
      </w:r>
      <w:r w:rsidRPr="005A26ED">
        <w:t xml:space="preserve"> dniowej vacatio legis</w:t>
      </w:r>
      <w:r>
        <w:t xml:space="preserve"> (art. 3).</w:t>
      </w:r>
    </w:p>
    <w:p w14:paraId="6246A7B4" w14:textId="77777777" w:rsidR="00551118" w:rsidRPr="00330052" w:rsidRDefault="00551118" w:rsidP="00877D7E"/>
    <w:p w14:paraId="4B9C83A0" w14:textId="77777777" w:rsidR="00551118" w:rsidRPr="00743702" w:rsidRDefault="00551118" w:rsidP="00743702">
      <w:pPr>
        <w:widowControl/>
        <w:autoSpaceDE/>
        <w:autoSpaceDN/>
        <w:adjustRightInd/>
        <w:ind w:left="510" w:hanging="510"/>
        <w:rPr>
          <w:rFonts w:ascii="Times" w:hAnsi="Times"/>
          <w:b/>
          <w:bCs/>
          <w:lang w:eastAsia="en-US"/>
        </w:rPr>
      </w:pPr>
      <w:r>
        <w:rPr>
          <w:rFonts w:ascii="Times" w:hAnsi="Times"/>
          <w:b/>
          <w:bCs/>
          <w:lang w:eastAsia="en-US"/>
        </w:rPr>
        <w:t>2</w:t>
      </w:r>
      <w:r w:rsidRPr="00743702">
        <w:rPr>
          <w:rFonts w:ascii="Times" w:hAnsi="Times"/>
          <w:b/>
          <w:bCs/>
          <w:lang w:eastAsia="en-US"/>
        </w:rPr>
        <w:t>.</w:t>
      </w:r>
      <w:r w:rsidRPr="00743702">
        <w:rPr>
          <w:rFonts w:ascii="Times" w:hAnsi="Times"/>
          <w:b/>
          <w:bCs/>
          <w:lang w:eastAsia="en-US"/>
        </w:rPr>
        <w:tab/>
        <w:t>Skutki społeczne, gospodarcze i finansowe</w:t>
      </w:r>
    </w:p>
    <w:p w14:paraId="4E7265CB" w14:textId="77777777" w:rsidR="00551118" w:rsidRDefault="00551118" w:rsidP="00743702">
      <w:pPr>
        <w:spacing w:before="120"/>
        <w:ind w:firstLine="510"/>
      </w:pPr>
      <w:r w:rsidRPr="00743702">
        <w:t>Oczekiwane skutki społeczne, gospodarcze i finansowe zosta</w:t>
      </w:r>
      <w:r>
        <w:t>ły</w:t>
      </w:r>
      <w:r w:rsidRPr="00743702">
        <w:t xml:space="preserve"> przedstawione w Ocenie Skutków Regulacji.</w:t>
      </w:r>
    </w:p>
    <w:p w14:paraId="15B80054" w14:textId="77777777" w:rsidR="00551118" w:rsidRDefault="00551118" w:rsidP="00743702">
      <w:pPr>
        <w:spacing w:before="120"/>
        <w:ind w:firstLine="510"/>
      </w:pPr>
    </w:p>
    <w:p w14:paraId="4EF1595A" w14:textId="77777777" w:rsidR="00551118" w:rsidRPr="00743702" w:rsidRDefault="00551118" w:rsidP="00743702">
      <w:pPr>
        <w:widowControl/>
        <w:autoSpaceDE/>
        <w:autoSpaceDN/>
        <w:adjustRightInd/>
        <w:ind w:left="510" w:hanging="510"/>
        <w:rPr>
          <w:rFonts w:ascii="Times" w:hAnsi="Times"/>
          <w:b/>
          <w:bCs/>
          <w:lang w:eastAsia="en-US"/>
        </w:rPr>
      </w:pPr>
      <w:r>
        <w:rPr>
          <w:rFonts w:ascii="Times" w:hAnsi="Times"/>
          <w:b/>
          <w:bCs/>
          <w:lang w:eastAsia="en-US"/>
        </w:rPr>
        <w:t>3</w:t>
      </w:r>
      <w:r w:rsidRPr="00743702">
        <w:rPr>
          <w:rFonts w:ascii="Times" w:hAnsi="Times"/>
          <w:b/>
          <w:bCs/>
          <w:lang w:eastAsia="en-US"/>
        </w:rPr>
        <w:t>.</w:t>
      </w:r>
      <w:r w:rsidRPr="00743702">
        <w:rPr>
          <w:rFonts w:ascii="Times" w:hAnsi="Times"/>
          <w:b/>
          <w:bCs/>
          <w:lang w:eastAsia="en-US"/>
        </w:rPr>
        <w:tab/>
        <w:t>Oświadczenie o zgodności z prawem Unii Europejskiej</w:t>
      </w:r>
    </w:p>
    <w:p w14:paraId="02EDDED9" w14:textId="05A35FCA" w:rsidR="00735880" w:rsidRDefault="00551118" w:rsidP="00551118">
      <w:pPr>
        <w:spacing w:before="120"/>
        <w:ind w:firstLine="510"/>
      </w:pPr>
      <w:r>
        <w:t>Przedmiot projektowanej ustawy nie</w:t>
      </w:r>
      <w:r w:rsidRPr="00743702">
        <w:t xml:space="preserve"> jest </w:t>
      </w:r>
      <w:r>
        <w:t>objęty</w:t>
      </w:r>
      <w:r w:rsidRPr="00743702">
        <w:t xml:space="preserve"> prawem Unii Europejskiej.</w:t>
      </w:r>
    </w:p>
    <w:sectPr w:rsidR="00735880" w:rsidSect="00551118">
      <w:headerReference w:type="default" r:id="rId9"/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3A9D6" w14:textId="77777777" w:rsidR="00551118" w:rsidRDefault="00551118" w:rsidP="00551118">
      <w:pPr>
        <w:spacing w:line="240" w:lineRule="auto"/>
      </w:pPr>
      <w:r>
        <w:separator/>
      </w:r>
    </w:p>
  </w:endnote>
  <w:endnote w:type="continuationSeparator" w:id="0">
    <w:p w14:paraId="7448F181" w14:textId="77777777" w:rsidR="00551118" w:rsidRDefault="00551118" w:rsidP="005511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CF680" w14:textId="77777777" w:rsidR="00551118" w:rsidRDefault="00551118" w:rsidP="00551118">
      <w:pPr>
        <w:spacing w:line="240" w:lineRule="auto"/>
      </w:pPr>
      <w:r>
        <w:separator/>
      </w:r>
    </w:p>
  </w:footnote>
  <w:footnote w:type="continuationSeparator" w:id="0">
    <w:p w14:paraId="22FB0B8A" w14:textId="77777777" w:rsidR="00551118" w:rsidRDefault="00551118" w:rsidP="005511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1376" w14:textId="77A90FE8" w:rsidR="001D2DDD" w:rsidRPr="00B371CC" w:rsidRDefault="001D2DDD" w:rsidP="00B371C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F6E3" w14:textId="77777777" w:rsidR="001D2DDD" w:rsidRPr="00B371CC" w:rsidRDefault="00551118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26915935">
    <w:abstractNumId w:val="2"/>
  </w:num>
  <w:num w:numId="2" w16cid:durableId="1558589597">
    <w:abstractNumId w:val="2"/>
  </w:num>
  <w:num w:numId="3" w16cid:durableId="88284205">
    <w:abstractNumId w:val="1"/>
  </w:num>
  <w:num w:numId="4" w16cid:durableId="898632389">
    <w:abstractNumId w:val="1"/>
  </w:num>
  <w:num w:numId="5" w16cid:durableId="1794322830">
    <w:abstractNumId w:val="4"/>
  </w:num>
  <w:num w:numId="6" w16cid:durableId="1894387765">
    <w:abstractNumId w:val="3"/>
  </w:num>
  <w:num w:numId="7" w16cid:durableId="178082897">
    <w:abstractNumId w:val="4"/>
  </w:num>
  <w:num w:numId="8" w16cid:durableId="1379354253">
    <w:abstractNumId w:val="3"/>
  </w:num>
  <w:num w:numId="9" w16cid:durableId="1830948382">
    <w:abstractNumId w:val="4"/>
  </w:num>
  <w:num w:numId="10" w16cid:durableId="2016763181">
    <w:abstractNumId w:val="3"/>
  </w:num>
  <w:num w:numId="11" w16cid:durableId="142522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A5CE8"/>
    <w:rsid w:val="001A4397"/>
    <w:rsid w:val="001D2DDD"/>
    <w:rsid w:val="00257430"/>
    <w:rsid w:val="002B0A43"/>
    <w:rsid w:val="003224B7"/>
    <w:rsid w:val="00382AAC"/>
    <w:rsid w:val="004F1121"/>
    <w:rsid w:val="00527E52"/>
    <w:rsid w:val="00551118"/>
    <w:rsid w:val="0056045F"/>
    <w:rsid w:val="00574F8B"/>
    <w:rsid w:val="006F026C"/>
    <w:rsid w:val="00717EA3"/>
    <w:rsid w:val="00735880"/>
    <w:rsid w:val="00777F90"/>
    <w:rsid w:val="00874611"/>
    <w:rsid w:val="008758BB"/>
    <w:rsid w:val="008C7EE7"/>
    <w:rsid w:val="0090470C"/>
    <w:rsid w:val="009D2757"/>
    <w:rsid w:val="00A06AF3"/>
    <w:rsid w:val="00A12675"/>
    <w:rsid w:val="00A527FA"/>
    <w:rsid w:val="00A64FF7"/>
    <w:rsid w:val="00AF364E"/>
    <w:rsid w:val="00B5303C"/>
    <w:rsid w:val="00BA09E1"/>
    <w:rsid w:val="00BC1C17"/>
    <w:rsid w:val="00D829F5"/>
    <w:rsid w:val="00E15D93"/>
    <w:rsid w:val="00EF49E9"/>
    <w:rsid w:val="00F261CA"/>
    <w:rsid w:val="00FA79A6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68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6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5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paragraph" w:styleId="Nagwek">
    <w:name w:val="header"/>
    <w:basedOn w:val="Normalny"/>
    <w:link w:val="NagwekZnak"/>
    <w:uiPriority w:val="99"/>
    <w:semiHidden/>
    <w:rsid w:val="00551118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51118"/>
    <w:rPr>
      <w:rFonts w:ascii="Times" w:hAnsi="Times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51118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51118"/>
    <w:pPr>
      <w:ind w:left="1020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551118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51118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551118"/>
    <w:pPr>
      <w:widowControl/>
      <w:suppressAutoHyphens/>
      <w:ind w:left="510" w:firstLine="510"/>
    </w:pPr>
    <w:rPr>
      <w:rFonts w:ascii="Times" w:hAnsi="Times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551118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511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118"/>
    <w:rPr>
      <w:rFonts w:eastAsiaTheme="minorEastAsia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51118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5562</Characters>
  <Application>Microsoft Office Word</Application>
  <DocSecurity>0</DocSecurity>
  <Lines>46</Lines>
  <Paragraphs>12</Paragraphs>
  <ScaleCrop>false</ScaleCrop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2025-09-08T06:40:00Z</dcterms:created>
  <dcterms:modified xsi:type="dcterms:W3CDTF">2025-09-08T06:46:00Z</dcterms:modified>
</cp:coreProperties>
</file>