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ED15" w14:textId="77777777" w:rsidR="00A12675" w:rsidRDefault="00A12675" w:rsidP="00A12675">
      <w:pPr>
        <w:pStyle w:val="OZNRODZAKTUtznustawalubrozporzdzenieiorganwydajcy"/>
      </w:pPr>
    </w:p>
    <w:p w14:paraId="6F018176" w14:textId="77777777" w:rsidR="002634D0" w:rsidRDefault="002634D0" w:rsidP="00D42A0D">
      <w:pPr>
        <w:pStyle w:val="OZNPROJEKTUwskazaniedatylubwersjiprojektu"/>
      </w:pPr>
      <w:r>
        <w:t>projekt</w:t>
      </w:r>
    </w:p>
    <w:p w14:paraId="27D07CC9" w14:textId="77777777" w:rsidR="002634D0" w:rsidRPr="00E000DC" w:rsidRDefault="002634D0" w:rsidP="004810D7">
      <w:pPr>
        <w:pStyle w:val="OZNRODZAKTUtznustawalubrozporzdzenieiorganwydajcy"/>
      </w:pPr>
      <w:r w:rsidRPr="004810D7">
        <w:t>ustawa</w:t>
      </w:r>
    </w:p>
    <w:p w14:paraId="044FFAAC" w14:textId="77777777" w:rsidR="002634D0" w:rsidRDefault="002634D0" w:rsidP="00912118">
      <w:pPr>
        <w:pStyle w:val="DATAAKTUdatauchwalenialubwydaniaaktu"/>
      </w:pPr>
      <w:r w:rsidRPr="00E000DC">
        <w:t>z dnia</w:t>
      </w:r>
      <w:r>
        <w:t xml:space="preserve"> </w:t>
      </w:r>
    </w:p>
    <w:p w14:paraId="0B504F30" w14:textId="77777777" w:rsidR="002634D0" w:rsidRDefault="002634D0" w:rsidP="004810D7">
      <w:pPr>
        <w:pStyle w:val="TYTUAKTUprzedmiotregulacjiustawylubrozporzdzenia"/>
      </w:pPr>
      <w:r>
        <w:t xml:space="preserve">o zmianie ustawy o </w:t>
      </w:r>
      <w:r w:rsidRPr="00F20AC0">
        <w:t>działaczach opozycji antykomunistycznej oraz osobach represjonowanych z powodów politycznych</w:t>
      </w:r>
    </w:p>
    <w:p w14:paraId="22FA887B" w14:textId="77777777" w:rsidR="002634D0" w:rsidRDefault="002634D0" w:rsidP="00F20AC0">
      <w:pPr>
        <w:pStyle w:val="ARTartustawynprozporzdzenia"/>
      </w:pPr>
      <w:r w:rsidRPr="006443F8">
        <w:rPr>
          <w:rStyle w:val="Ppogrubienie"/>
        </w:rPr>
        <w:t>Art. 1.</w:t>
      </w:r>
      <w:r w:rsidRPr="00F20AC0">
        <w:t xml:space="preserve"> W ustawie z dnia 20 marca 2015 r. o działaczach opozycji antykomunistycznej oraz osobach represjonowanych z powodów politycznych (Dz. U. z 202</w:t>
      </w:r>
      <w:r>
        <w:t>4</w:t>
      </w:r>
      <w:r w:rsidRPr="00F20AC0">
        <w:t xml:space="preserve"> r. poz. </w:t>
      </w:r>
      <w:r>
        <w:t>906</w:t>
      </w:r>
      <w:r w:rsidRPr="00F20AC0">
        <w:t xml:space="preserve">) w art. 3 </w:t>
      </w:r>
      <w:r>
        <w:t>pkt</w:t>
      </w:r>
      <w:r w:rsidRPr="00F20AC0">
        <w:t xml:space="preserve"> 4 </w:t>
      </w:r>
      <w:r>
        <w:t>otrzymuje brzmienie:</w:t>
      </w:r>
    </w:p>
    <w:p w14:paraId="00529853" w14:textId="77777777" w:rsidR="002634D0" w:rsidRPr="00F20AC0" w:rsidRDefault="002634D0" w:rsidP="00B93C2A">
      <w:pPr>
        <w:pStyle w:val="ZPKTzmpktartykuempunktem"/>
        <w:rPr>
          <w:rStyle w:val="Ppogrubienie"/>
          <w:b w:val="0"/>
        </w:rPr>
      </w:pPr>
      <w:r>
        <w:t>„4)</w:t>
      </w:r>
      <w:r>
        <w:tab/>
      </w:r>
      <w:r w:rsidRPr="00B93C2A">
        <w:t>była poszukiwana listem gończym, oskarżona lub skazana za popełnienie przestępstwa lub wielokrotnie skazywana za popełnienie wykroczenia, lub wobec której orzeczono postanowieniem sądu dla nieletnich</w:t>
      </w:r>
      <w:r>
        <w:t xml:space="preserve"> </w:t>
      </w:r>
      <w:r w:rsidRPr="00D86B81">
        <w:t>albo postanowieniem sądu rodzinnego</w:t>
      </w:r>
      <w:r w:rsidRPr="00B93C2A">
        <w:t xml:space="preserve"> zastosowanie środk</w:t>
      </w:r>
      <w:r>
        <w:t>a</w:t>
      </w:r>
      <w:r w:rsidRPr="00B93C2A">
        <w:t xml:space="preserve"> poprawcz</w:t>
      </w:r>
      <w:r>
        <w:t>ego</w:t>
      </w:r>
      <w:r w:rsidRPr="00B93C2A">
        <w:t xml:space="preserve"> lub </w:t>
      </w:r>
      <w:r>
        <w:t xml:space="preserve">środka </w:t>
      </w:r>
      <w:r w:rsidRPr="00B93C2A">
        <w:t>wychowawcz</w:t>
      </w:r>
      <w:r>
        <w:t>ego</w:t>
      </w:r>
      <w:r w:rsidRPr="00B93C2A">
        <w:t>,</w:t>
      </w:r>
      <w:r>
        <w:t xml:space="preserve"> </w:t>
      </w:r>
      <w:r w:rsidRPr="00B93C2A">
        <w:t>za</w:t>
      </w:r>
      <w:r>
        <w:t> </w:t>
      </w:r>
      <w:r w:rsidRPr="00B93C2A">
        <w:t>działalność na rzecz odzyskania przez Polskę niepodległości i suwerenności lub respektowania politycznych praw człowieka w</w:t>
      </w:r>
      <w:r>
        <w:t> </w:t>
      </w:r>
      <w:r w:rsidRPr="00B93C2A">
        <w:t>Polsce.</w:t>
      </w:r>
      <w:r>
        <w:t>”.</w:t>
      </w:r>
    </w:p>
    <w:p w14:paraId="6E24808C" w14:textId="77777777" w:rsidR="002634D0" w:rsidRDefault="002634D0" w:rsidP="004810D7">
      <w:pPr>
        <w:pStyle w:val="ARTartustawynprozporzdzenia"/>
        <w:sectPr w:rsidR="002634D0" w:rsidSect="002634D0">
          <w:headerReference w:type="default" r:id="rId7"/>
          <w:pgSz w:w="11906" w:h="16838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  <w:r w:rsidRPr="006443F8">
        <w:rPr>
          <w:rStyle w:val="Ppogrubienie"/>
        </w:rPr>
        <w:t>Art. 2.</w:t>
      </w:r>
      <w:r>
        <w:rPr>
          <w:rStyle w:val="Ppogrubienie"/>
        </w:rPr>
        <w:t xml:space="preserve"> </w:t>
      </w:r>
      <w:r w:rsidRPr="00F20AC0">
        <w:t>Ustawa wchodzi w życie po upływie 14 dni od dnia ogłoszenia.</w:t>
      </w:r>
    </w:p>
    <w:p w14:paraId="04FF168C" w14:textId="77777777" w:rsidR="002634D0" w:rsidRDefault="002634D0" w:rsidP="008C261A">
      <w:pPr>
        <w:pStyle w:val="OZNRODZAKTUtznustawalubrozporzdzenieiorganwydajcy"/>
      </w:pPr>
      <w:r>
        <w:lastRenderedPageBreak/>
        <w:t>UZASADNIENIE</w:t>
      </w:r>
    </w:p>
    <w:p w14:paraId="4910A525" w14:textId="77777777" w:rsidR="002634D0" w:rsidRDefault="002634D0" w:rsidP="008C261A"/>
    <w:p w14:paraId="1E9C5453" w14:textId="77777777" w:rsidR="002634D0" w:rsidRDefault="002634D0" w:rsidP="008C261A">
      <w:pPr>
        <w:pStyle w:val="PKTpunkt"/>
        <w:rPr>
          <w:rStyle w:val="Ppogrubienie"/>
        </w:rPr>
      </w:pPr>
      <w:r w:rsidRPr="008C261A">
        <w:rPr>
          <w:rStyle w:val="Ppogrubienie"/>
        </w:rPr>
        <w:t>1.</w:t>
      </w:r>
      <w:r w:rsidRPr="008C261A">
        <w:rPr>
          <w:rStyle w:val="Ppogrubienie"/>
        </w:rPr>
        <w:tab/>
        <w:t>Cel projektowanej ustawy</w:t>
      </w:r>
    </w:p>
    <w:p w14:paraId="6E5BC12D" w14:textId="77777777" w:rsidR="002634D0" w:rsidRDefault="002634D0" w:rsidP="00543D10">
      <w:pPr>
        <w:pStyle w:val="NIEARTTEKSTtekstnieartykuowanynppodstprawnarozplubpreambua"/>
      </w:pPr>
      <w:r>
        <w:t xml:space="preserve">Projekt ustawy został zainspirowany stanowiskiem Rzecznika Praw Obywatelskich, który w piśmie z dnia 10 października 2024 r. skierowanym do Przewodniczącej senackiej Komisji Rodziny, Polityki Senioralnej i Społecznej, zwrócił się z prośbą o rozważenie podjęcia inicjatywy ustawodawczej zmierzającej do tego, aby status osoby represjonowanej z powodów politycznych mogły uzyskać osoby, które wprawdzie – ze względu na młody wiek – nie zostały skazane wyrokiem sądu za działalność na rzecz odzyskania przez Polskę niepodległości i suwerenności lub respektowania politycznych praw człowieka w Polsce, jednak zastosowano wobec nich z powodu takiej działalności środki poprawcze lub wychowawcze. Osoby takie nie spełniają przesłanek wynikających z </w:t>
      </w:r>
      <w:bookmarkStart w:id="0" w:name="_Hlk192755920"/>
      <w:r>
        <w:t xml:space="preserve">ustawy z dnia </w:t>
      </w:r>
      <w:r w:rsidRPr="00664AAC">
        <w:t>20 marca 2015</w:t>
      </w:r>
      <w:r>
        <w:t> </w:t>
      </w:r>
      <w:r w:rsidRPr="00664AAC">
        <w:t>r. o działaczach opozycji antykomunistycznej oraz osobach represjonowanych z</w:t>
      </w:r>
      <w:r>
        <w:t xml:space="preserve"> </w:t>
      </w:r>
      <w:r w:rsidRPr="00664AAC">
        <w:t>powodów politycznych</w:t>
      </w:r>
      <w:bookmarkEnd w:id="0"/>
      <w:r>
        <w:t>, umożliwiających uzyskanie statusu osoby represjonowanej z powodów politycznych.</w:t>
      </w:r>
    </w:p>
    <w:p w14:paraId="510ED10F" w14:textId="77777777" w:rsidR="002634D0" w:rsidRDefault="002634D0" w:rsidP="00543D10">
      <w:pPr>
        <w:pStyle w:val="NIEARTTEKSTtekstnieartykuowanynppodstprawnarozplubpreambua"/>
      </w:pPr>
      <w:r>
        <w:t xml:space="preserve">Rzecznik Praw Obywatelskich stoi na stanowisku, że należy </w:t>
      </w:r>
      <w:r w:rsidRPr="00543D10">
        <w:t>docenić wyjątkową postawę, jaką była</w:t>
      </w:r>
      <w:r>
        <w:t xml:space="preserve"> </w:t>
      </w:r>
      <w:r w:rsidRPr="00543D10">
        <w:t>działalność opozycyjna dzieci i młodzieży. Nie ulega wątpliwości, że środki</w:t>
      </w:r>
      <w:r>
        <w:t xml:space="preserve"> poprawcze i </w:t>
      </w:r>
      <w:r w:rsidRPr="00543D10">
        <w:t xml:space="preserve">wychowawcze </w:t>
      </w:r>
      <w:r>
        <w:t xml:space="preserve">stosowane wobec </w:t>
      </w:r>
      <w:r w:rsidRPr="00543D10">
        <w:t>os</w:t>
      </w:r>
      <w:r>
        <w:t>ób</w:t>
      </w:r>
      <w:r w:rsidRPr="00543D10">
        <w:t xml:space="preserve"> nieletni</w:t>
      </w:r>
      <w:r>
        <w:t>ch</w:t>
      </w:r>
      <w:r w:rsidRPr="00543D10">
        <w:t xml:space="preserve"> stanowiły dolegliwość</w:t>
      </w:r>
      <w:r>
        <w:t xml:space="preserve"> analogiczną do </w:t>
      </w:r>
      <w:r w:rsidRPr="00543D10">
        <w:t>sankcj</w:t>
      </w:r>
      <w:r>
        <w:t>i</w:t>
      </w:r>
      <w:r w:rsidRPr="00543D10">
        <w:t xml:space="preserve"> karn</w:t>
      </w:r>
      <w:r>
        <w:t>ych</w:t>
      </w:r>
      <w:r w:rsidRPr="00543D10">
        <w:t xml:space="preserve"> nakładan</w:t>
      </w:r>
      <w:r>
        <w:t>ych</w:t>
      </w:r>
      <w:r w:rsidRPr="00543D10">
        <w:t xml:space="preserve"> na osoby pełnoletnie. Nie</w:t>
      </w:r>
      <w:r>
        <w:t>jednokrotnie</w:t>
      </w:r>
      <w:r w:rsidRPr="00543D10">
        <w:t xml:space="preserve"> prowadziły one do</w:t>
      </w:r>
      <w:r>
        <w:t xml:space="preserve"> </w:t>
      </w:r>
      <w:r w:rsidRPr="00543D10">
        <w:t>pogorszenia się sytuacji życiowej całej rodziny oraz ograniczenia możliwości nauki</w:t>
      </w:r>
      <w:r>
        <w:t xml:space="preserve"> </w:t>
      </w:r>
      <w:r w:rsidRPr="00543D10">
        <w:t>i</w:t>
      </w:r>
      <w:r>
        <w:t> </w:t>
      </w:r>
      <w:r w:rsidRPr="00543D10">
        <w:t>rozwoju</w:t>
      </w:r>
      <w:r>
        <w:t xml:space="preserve"> młodych ofiar represji</w:t>
      </w:r>
      <w:r w:rsidRPr="00543D10">
        <w:t xml:space="preserve">. </w:t>
      </w:r>
      <w:r>
        <w:t>W ocenie Rzecznika Praw Obywatelskich z</w:t>
      </w:r>
      <w:r w:rsidRPr="00543D10">
        <w:t xml:space="preserve">asadne </w:t>
      </w:r>
      <w:r>
        <w:t xml:space="preserve">jest </w:t>
      </w:r>
      <w:r w:rsidRPr="00543D10">
        <w:t>zatem rozszerzenie ustawowych przesłanek</w:t>
      </w:r>
      <w:r>
        <w:t xml:space="preserve"> </w:t>
      </w:r>
      <w:r w:rsidRPr="00543D10">
        <w:t>nadawania statusu osoby represjonowanej</w:t>
      </w:r>
      <w:r>
        <w:t xml:space="preserve"> w taki sposób,</w:t>
      </w:r>
      <w:r w:rsidRPr="00543D10">
        <w:t xml:space="preserve"> aby</w:t>
      </w:r>
      <w:r>
        <w:t xml:space="preserve"> wśród beneficjentów ustawy z dnia </w:t>
      </w:r>
      <w:r w:rsidRPr="00664AAC">
        <w:t>20 marca 2015</w:t>
      </w:r>
      <w:r>
        <w:t> </w:t>
      </w:r>
      <w:r w:rsidRPr="00664AAC">
        <w:t>r. o działaczach opozycji antykomunistycznej oraz osobach represjonowanych z</w:t>
      </w:r>
      <w:r>
        <w:t xml:space="preserve"> </w:t>
      </w:r>
      <w:r w:rsidRPr="00664AAC">
        <w:t>powodów politycznych</w:t>
      </w:r>
      <w:r>
        <w:t>,</w:t>
      </w:r>
      <w:r w:rsidRPr="00543D10">
        <w:t xml:space="preserve"> </w:t>
      </w:r>
      <w:r>
        <w:t xml:space="preserve">znalazły się również te osoby, </w:t>
      </w:r>
      <w:r w:rsidRPr="00543D10">
        <w:t xml:space="preserve">które </w:t>
      </w:r>
      <w:r>
        <w:t>padły ofiarą</w:t>
      </w:r>
      <w:r w:rsidRPr="00543D10">
        <w:t xml:space="preserve"> represj</w:t>
      </w:r>
      <w:r>
        <w:t>i</w:t>
      </w:r>
      <w:r w:rsidRPr="00543D10">
        <w:t xml:space="preserve"> ze strony państwa komunistycznego</w:t>
      </w:r>
      <w:r>
        <w:t xml:space="preserve"> w okresie ich niepełnoletności</w:t>
      </w:r>
      <w:r w:rsidRPr="00543D10">
        <w:t>.</w:t>
      </w:r>
      <w:r>
        <w:t xml:space="preserve"> Rzecznik Praw Obywatelskich</w:t>
      </w:r>
      <w:r w:rsidRPr="00543D10">
        <w:t xml:space="preserve"> </w:t>
      </w:r>
      <w:r>
        <w:t xml:space="preserve">podkreślił przy tym, że z </w:t>
      </w:r>
      <w:r w:rsidRPr="00543D10">
        <w:t>punktu widzenia zasady równości, wyrażonej w art. 32 ust. 1 Konstytucji, osoby te</w:t>
      </w:r>
      <w:r>
        <w:t xml:space="preserve"> </w:t>
      </w:r>
      <w:r w:rsidRPr="00543D10">
        <w:t>charakteryzują się t</w:t>
      </w:r>
      <w:r>
        <w:t>aką</w:t>
      </w:r>
      <w:r w:rsidRPr="00543D10">
        <w:t xml:space="preserve"> samą cechą relewantną co osoby, na które nałożono sankcje</w:t>
      </w:r>
      <w:r>
        <w:t xml:space="preserve"> </w:t>
      </w:r>
      <w:r w:rsidRPr="00543D10">
        <w:t>karne za działalność na rzecz odzyskania przez Polskę niepodległości i suwerenności</w:t>
      </w:r>
      <w:r>
        <w:t xml:space="preserve"> </w:t>
      </w:r>
      <w:r w:rsidRPr="00543D10">
        <w:t>lub respektowania politycznych praw człowieka w</w:t>
      </w:r>
      <w:r>
        <w:t> </w:t>
      </w:r>
      <w:r w:rsidRPr="00543D10">
        <w:t>Polsce.</w:t>
      </w:r>
      <w:r>
        <w:t xml:space="preserve"> Wszystkie wspomniane grupy osób zostały pociągnięte do odpowiedzialności o charakterze represyjnym za czyn zabroniony pod groźbą kary. Nie ma przy tym znaczenia czy formą pociągnięcia do odpowiedzialności było postępowanie karne, wykroczeniowe, czy postępowanie w sprawach nieletnich. </w:t>
      </w:r>
    </w:p>
    <w:p w14:paraId="40771413" w14:textId="77777777" w:rsidR="002634D0" w:rsidRPr="00664AAC" w:rsidRDefault="002634D0" w:rsidP="00664AAC">
      <w:pPr>
        <w:pStyle w:val="ARTartustawynprozporzdzenia"/>
      </w:pPr>
      <w:r>
        <w:lastRenderedPageBreak/>
        <w:t xml:space="preserve">Podzielając powyższą argumentację, uwzględniając jednocześnie fakt, że wprowadzenie postulowanej zmiany przyczyni się do wzmocnienia standardów ochrony praw człowieka i budowania poczucia sprawiedliwości społecznej, podjęto decyzję o przygotowaniu projektu ustawy. </w:t>
      </w:r>
    </w:p>
    <w:p w14:paraId="3349FEC3" w14:textId="77777777" w:rsidR="002634D0" w:rsidRPr="00543D10" w:rsidRDefault="002634D0" w:rsidP="00543D10">
      <w:pPr>
        <w:pStyle w:val="ARTartustawynprozporzdzenia"/>
      </w:pPr>
    </w:p>
    <w:p w14:paraId="38BF3ADC" w14:textId="77777777" w:rsidR="002634D0" w:rsidRDefault="002634D0" w:rsidP="00664AAC">
      <w:pPr>
        <w:pStyle w:val="PKTpunkt"/>
        <w:rPr>
          <w:rStyle w:val="Ppogrubienie"/>
        </w:rPr>
      </w:pPr>
      <w:r w:rsidRPr="008C261A">
        <w:rPr>
          <w:rStyle w:val="Ppogrubienie"/>
        </w:rPr>
        <w:t>2.</w:t>
      </w:r>
      <w:r w:rsidRPr="008C261A">
        <w:rPr>
          <w:rStyle w:val="Ppogrubienie"/>
        </w:rPr>
        <w:tab/>
        <w:t>Różnice między obowiązującym a</w:t>
      </w:r>
      <w:r>
        <w:rPr>
          <w:rStyle w:val="Ppogrubienie"/>
        </w:rPr>
        <w:t xml:space="preserve"> </w:t>
      </w:r>
      <w:r w:rsidRPr="008C261A">
        <w:rPr>
          <w:rStyle w:val="Ppogrubienie"/>
        </w:rPr>
        <w:t>projektowanym stanem prawnym</w:t>
      </w:r>
    </w:p>
    <w:p w14:paraId="1B41D05B" w14:textId="77777777" w:rsidR="002634D0" w:rsidRDefault="002634D0" w:rsidP="00D34042">
      <w:pPr>
        <w:pStyle w:val="ARTartustawynprozporzdzenia"/>
      </w:pPr>
      <w:r>
        <w:t xml:space="preserve">Zgodnie z aktualnie obowiązującym przepisem art. 3 pkt 4 </w:t>
      </w:r>
      <w:bookmarkStart w:id="1" w:name="_Hlk192755686"/>
      <w:r>
        <w:t xml:space="preserve">ustawy z dnia </w:t>
      </w:r>
      <w:r w:rsidRPr="00664AAC">
        <w:t>20 marca 2015</w:t>
      </w:r>
      <w:r>
        <w:t> </w:t>
      </w:r>
      <w:r w:rsidRPr="00664AAC">
        <w:t>r. o działaczach opozycji antykomunistycznej oraz osobach represjonowanych z powodów politycznych</w:t>
      </w:r>
      <w:bookmarkEnd w:id="1"/>
      <w:r>
        <w:t>, o</w:t>
      </w:r>
      <w:r w:rsidRPr="00664AAC">
        <w:t>sobą represjonowaną z powodów politycznych jest</w:t>
      </w:r>
      <w:r>
        <w:t xml:space="preserve"> w szczególności </w:t>
      </w:r>
      <w:r w:rsidRPr="00664AAC">
        <w:t xml:space="preserve">osoba, która </w:t>
      </w:r>
      <w:bookmarkStart w:id="2" w:name="_Hlk192755600"/>
      <w:bookmarkStart w:id="3" w:name="_Hlk192683002"/>
      <w:r w:rsidRPr="00664AAC">
        <w:t>w okresie od dnia 1 stycznia 1956 r. do dnia 31 lipca 1990 r.</w:t>
      </w:r>
      <w:r>
        <w:t xml:space="preserve"> </w:t>
      </w:r>
      <w:bookmarkEnd w:id="2"/>
      <w:r w:rsidRPr="00664AAC">
        <w:t xml:space="preserve">była </w:t>
      </w:r>
      <w:bookmarkEnd w:id="3"/>
      <w:r w:rsidRPr="00664AAC">
        <w:t>poszukiwana listem gończym, oskarżona lub skazana za popełnienie przestępstwa lub wielokrotnie skazywana za</w:t>
      </w:r>
      <w:r>
        <w:t> </w:t>
      </w:r>
      <w:r w:rsidRPr="00664AAC">
        <w:t xml:space="preserve">popełnienie wykroczenia, </w:t>
      </w:r>
      <w:bookmarkStart w:id="4" w:name="_Hlk192683515"/>
      <w:r w:rsidRPr="00664AAC">
        <w:t>za działalność na rzecz odzyskania przez Polskę niepodległości i</w:t>
      </w:r>
      <w:r>
        <w:t> </w:t>
      </w:r>
      <w:r w:rsidRPr="00664AAC">
        <w:t>suwerenności lub respektowania politycznych praw człowieka w Polsce.</w:t>
      </w:r>
      <w:r>
        <w:t xml:space="preserve"> </w:t>
      </w:r>
      <w:bookmarkEnd w:id="4"/>
    </w:p>
    <w:p w14:paraId="46E30302" w14:textId="77777777" w:rsidR="002634D0" w:rsidRDefault="002634D0" w:rsidP="00D34042">
      <w:pPr>
        <w:pStyle w:val="ARTartustawynprozporzdzenia"/>
      </w:pPr>
      <w:r>
        <w:t xml:space="preserve">Projekt ustawy przewiduje modyfikację przepisu art. 3 pkt 4 poprzez wskazanie, że status osoby represjonowanej będzie mogła uzyskać również osoba, </w:t>
      </w:r>
      <w:r w:rsidRPr="000F1C92">
        <w:t>wobec której orzeczono postanowieniem sądu dla nieletnich</w:t>
      </w:r>
      <w:r w:rsidRPr="00147B23">
        <w:t xml:space="preserve"> albo postanowieniem sądu rodzinnego</w:t>
      </w:r>
      <w:r w:rsidRPr="00281CF6">
        <w:t xml:space="preserve"> </w:t>
      </w:r>
      <w:r w:rsidRPr="000F1C92">
        <w:t>zastosowanie środków poprawczych lub wychowawczych</w:t>
      </w:r>
      <w:r>
        <w:t xml:space="preserve">, za </w:t>
      </w:r>
      <w:r w:rsidRPr="000F1C92">
        <w:t>działalność na rzecz odzyskania przez Polskę niepodległości i suwerenności lub</w:t>
      </w:r>
      <w:r>
        <w:t xml:space="preserve"> </w:t>
      </w:r>
      <w:r w:rsidRPr="000F1C92">
        <w:t>respektowania politycznych praw człowieka w Polsce</w:t>
      </w:r>
      <w:r w:rsidRPr="00B56581">
        <w:t xml:space="preserve"> w</w:t>
      </w:r>
      <w:r>
        <w:t> </w:t>
      </w:r>
      <w:r w:rsidRPr="00B56581">
        <w:t>okresie od dnia 1 stycznia 1956 r. do dnia 31 lipca 1990 r.</w:t>
      </w:r>
    </w:p>
    <w:p w14:paraId="0DF7364D" w14:textId="77777777" w:rsidR="002634D0" w:rsidRDefault="002634D0" w:rsidP="00D34042">
      <w:pPr>
        <w:pStyle w:val="ARTartustawynprozporzdzenia"/>
      </w:pPr>
      <w:r>
        <w:t xml:space="preserve">W projekcie proponuje się standardowy 14-dniowy okres </w:t>
      </w:r>
      <w:r w:rsidRPr="00D34042">
        <w:rPr>
          <w:rStyle w:val="Kkursywa"/>
        </w:rPr>
        <w:t>vacatio legis</w:t>
      </w:r>
      <w:r>
        <w:t xml:space="preserve">. </w:t>
      </w:r>
    </w:p>
    <w:p w14:paraId="5FEAE1E4" w14:textId="77777777" w:rsidR="002634D0" w:rsidRPr="00BE59FC" w:rsidRDefault="002634D0" w:rsidP="00D34042">
      <w:pPr>
        <w:pStyle w:val="ARTartustawynprozporzdzenia"/>
      </w:pPr>
    </w:p>
    <w:p w14:paraId="50E8D154" w14:textId="77777777" w:rsidR="002634D0" w:rsidRDefault="002634D0" w:rsidP="008C261A">
      <w:pPr>
        <w:pStyle w:val="PKTpunkt"/>
        <w:rPr>
          <w:rStyle w:val="Ppogrubienie"/>
        </w:rPr>
      </w:pPr>
      <w:r>
        <w:rPr>
          <w:rStyle w:val="Ppogrubienie"/>
        </w:rPr>
        <w:t>3.</w:t>
      </w:r>
      <w:r>
        <w:rPr>
          <w:rStyle w:val="Ppogrubienie"/>
        </w:rPr>
        <w:tab/>
        <w:t>Skutki i wyniki konsultacji</w:t>
      </w:r>
    </w:p>
    <w:p w14:paraId="0EB353C4" w14:textId="77777777" w:rsidR="002634D0" w:rsidRDefault="002634D0" w:rsidP="008C261A">
      <w:pPr>
        <w:pStyle w:val="NIEARTTEKSTtekstnieartykuowanynppodstprawnarozplubpreambua"/>
      </w:pPr>
      <w:r>
        <w:t>Oczekiwane skutki społeczne, gospodarcze i finansowe oraz wyniki konsultacji są przedstawione w ocenie skutków regulacji. Nadesłane w ramach konsultacji opinie i uwagi są zamieszczone na senackiej stronie internetowej.</w:t>
      </w:r>
    </w:p>
    <w:p w14:paraId="10A14E4A" w14:textId="77777777" w:rsidR="002634D0" w:rsidRDefault="002634D0" w:rsidP="008C261A">
      <w:pPr>
        <w:pStyle w:val="ARTartustawynprozporzdzenia"/>
      </w:pPr>
    </w:p>
    <w:p w14:paraId="17451652" w14:textId="77777777" w:rsidR="002634D0" w:rsidRPr="008C261A" w:rsidRDefault="002634D0" w:rsidP="008C261A">
      <w:pPr>
        <w:pStyle w:val="PKTpunkt"/>
        <w:rPr>
          <w:rStyle w:val="Ppogrubienie"/>
        </w:rPr>
      </w:pPr>
      <w:r w:rsidRPr="008C261A">
        <w:rPr>
          <w:rStyle w:val="Ppogrubienie"/>
        </w:rPr>
        <w:t>4.</w:t>
      </w:r>
      <w:r w:rsidRPr="008C261A">
        <w:rPr>
          <w:rStyle w:val="Ppogrubienie"/>
        </w:rPr>
        <w:tab/>
        <w:t>Oświadczenie o zgodności z prawem Unii Europejskiej</w:t>
      </w:r>
    </w:p>
    <w:p w14:paraId="50760C6C" w14:textId="77777777" w:rsidR="002634D0" w:rsidRDefault="002634D0" w:rsidP="008C261A">
      <w:pPr>
        <w:pStyle w:val="NIEARTTEKSTtekstnieartykuowanynppodstprawnarozplubpreambua"/>
      </w:pPr>
      <w:r>
        <w:t xml:space="preserve">Przedmiot projektowanej ustawy nie jest objęty prawem Unii Europejskiej. </w:t>
      </w:r>
    </w:p>
    <w:p w14:paraId="5BC773C2" w14:textId="77777777" w:rsidR="002634D0" w:rsidRPr="004810D7" w:rsidRDefault="002634D0" w:rsidP="00652BE5">
      <w:pPr>
        <w:pStyle w:val="ARTartustawynprozporzdzenia"/>
        <w:ind w:firstLine="0"/>
      </w:pPr>
    </w:p>
    <w:p w14:paraId="02EDDED9" w14:textId="1DD0E312" w:rsidR="00735880" w:rsidRDefault="00735880"/>
    <w:sectPr w:rsidR="00735880" w:rsidSect="002634D0"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9ED8" w14:textId="77777777" w:rsidR="002634D0" w:rsidRDefault="002634D0" w:rsidP="002634D0">
      <w:pPr>
        <w:spacing w:line="240" w:lineRule="auto"/>
      </w:pPr>
      <w:r>
        <w:separator/>
      </w:r>
    </w:p>
  </w:endnote>
  <w:endnote w:type="continuationSeparator" w:id="0">
    <w:p w14:paraId="19E9EE06" w14:textId="77777777" w:rsidR="002634D0" w:rsidRDefault="002634D0" w:rsidP="00263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160A" w14:textId="77777777" w:rsidR="002634D0" w:rsidRDefault="002634D0" w:rsidP="002634D0">
      <w:pPr>
        <w:spacing w:line="240" w:lineRule="auto"/>
      </w:pPr>
      <w:r>
        <w:separator/>
      </w:r>
    </w:p>
  </w:footnote>
  <w:footnote w:type="continuationSeparator" w:id="0">
    <w:p w14:paraId="62E65F02" w14:textId="77777777" w:rsidR="002634D0" w:rsidRDefault="002634D0" w:rsidP="002634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3B1D" w14:textId="77777777" w:rsidR="00972A52" w:rsidRPr="00B371CC" w:rsidRDefault="002634D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635237">
    <w:abstractNumId w:val="2"/>
  </w:num>
  <w:num w:numId="2" w16cid:durableId="1319071175">
    <w:abstractNumId w:val="2"/>
  </w:num>
  <w:num w:numId="3" w16cid:durableId="154228674">
    <w:abstractNumId w:val="1"/>
  </w:num>
  <w:num w:numId="4" w16cid:durableId="1526603276">
    <w:abstractNumId w:val="1"/>
  </w:num>
  <w:num w:numId="5" w16cid:durableId="1354769077">
    <w:abstractNumId w:val="4"/>
  </w:num>
  <w:num w:numId="6" w16cid:durableId="770202574">
    <w:abstractNumId w:val="3"/>
  </w:num>
  <w:num w:numId="7" w16cid:durableId="1091658375">
    <w:abstractNumId w:val="4"/>
  </w:num>
  <w:num w:numId="8" w16cid:durableId="705761903">
    <w:abstractNumId w:val="3"/>
  </w:num>
  <w:num w:numId="9" w16cid:durableId="1699313200">
    <w:abstractNumId w:val="4"/>
  </w:num>
  <w:num w:numId="10" w16cid:durableId="1318801324">
    <w:abstractNumId w:val="3"/>
  </w:num>
  <w:num w:numId="11" w16cid:durableId="98555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1A4397"/>
    <w:rsid w:val="002634D0"/>
    <w:rsid w:val="002B0A43"/>
    <w:rsid w:val="003224B7"/>
    <w:rsid w:val="00382AAC"/>
    <w:rsid w:val="00435719"/>
    <w:rsid w:val="00460A14"/>
    <w:rsid w:val="004F1121"/>
    <w:rsid w:val="00527E52"/>
    <w:rsid w:val="0056045F"/>
    <w:rsid w:val="006F026C"/>
    <w:rsid w:val="00717EA3"/>
    <w:rsid w:val="00735880"/>
    <w:rsid w:val="00777F90"/>
    <w:rsid w:val="00874611"/>
    <w:rsid w:val="008758BB"/>
    <w:rsid w:val="008C7EE7"/>
    <w:rsid w:val="00972A52"/>
    <w:rsid w:val="009D2757"/>
    <w:rsid w:val="00A06AF3"/>
    <w:rsid w:val="00A12675"/>
    <w:rsid w:val="00A64FF7"/>
    <w:rsid w:val="00AF364E"/>
    <w:rsid w:val="00B5303C"/>
    <w:rsid w:val="00D829F5"/>
    <w:rsid w:val="00DB410B"/>
    <w:rsid w:val="00E15D93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styleId="Nagwek">
    <w:name w:val="header"/>
    <w:basedOn w:val="Normalny"/>
    <w:link w:val="NagwekZnak"/>
    <w:uiPriority w:val="99"/>
    <w:semiHidden/>
    <w:rsid w:val="002634D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634D0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2634D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2634D0"/>
    <w:pPr>
      <w:widowControl/>
      <w:autoSpaceDE/>
      <w:autoSpaceDN/>
      <w:adjustRightInd/>
      <w:ind w:left="1020" w:hanging="510"/>
    </w:pPr>
    <w:rPr>
      <w:rFonts w:ascii="Times" w:hAnsi="Times"/>
      <w:bCs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2634D0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634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4D0"/>
    <w:rPr>
      <w:rFonts w:eastAsiaTheme="minorEastAsia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634D0"/>
    <w:rPr>
      <w:bCs/>
    </w:rPr>
  </w:style>
  <w:style w:type="paragraph" w:customStyle="1" w:styleId="PKTpunkt">
    <w:name w:val="PKT – punkt"/>
    <w:uiPriority w:val="13"/>
    <w:qFormat/>
    <w:rsid w:val="002634D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Kkursywa">
    <w:name w:val="_K_ – kursywa"/>
    <w:basedOn w:val="Domylnaczcionkaakapitu"/>
    <w:uiPriority w:val="1"/>
    <w:qFormat/>
    <w:rsid w:val="002634D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2025-09-08T07:11:00Z</dcterms:created>
  <dcterms:modified xsi:type="dcterms:W3CDTF">2025-09-08T07:11:00Z</dcterms:modified>
</cp:coreProperties>
</file>