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786D9" w14:textId="7004344D" w:rsidR="007F442F" w:rsidRPr="009525E2" w:rsidRDefault="00541DCB" w:rsidP="009525E2">
      <w:pPr>
        <w:spacing w:line="360" w:lineRule="auto"/>
        <w:jc w:val="center"/>
        <w:rPr>
          <w:rFonts w:ascii="Times New Roman" w:hAnsi="Times New Roman" w:cs="Times New Roman"/>
          <w:b/>
          <w:bCs/>
        </w:rPr>
      </w:pPr>
      <w:bookmarkStart w:id="0" w:name="_GoBack"/>
      <w:bookmarkEnd w:id="0"/>
      <w:r w:rsidRPr="00AF0582">
        <w:rPr>
          <w:rFonts w:ascii="Times New Roman" w:hAnsi="Times New Roman" w:cs="Times New Roman"/>
          <w:b/>
          <w:bCs/>
        </w:rPr>
        <w:t>UZASADNIENIE</w:t>
      </w:r>
    </w:p>
    <w:p w14:paraId="6C154C35" w14:textId="77777777" w:rsidR="007F442F" w:rsidRPr="00AF0582" w:rsidRDefault="007F442F" w:rsidP="00AF0582">
      <w:pPr>
        <w:spacing w:line="360" w:lineRule="auto"/>
        <w:jc w:val="both"/>
        <w:rPr>
          <w:rFonts w:ascii="Times New Roman" w:hAnsi="Times New Roman" w:cs="Times New Roman"/>
        </w:rPr>
      </w:pPr>
    </w:p>
    <w:p w14:paraId="3DCF80D9" w14:textId="48087444" w:rsidR="00D22413" w:rsidRPr="00AF0582" w:rsidRDefault="00F942F5" w:rsidP="00AF0582">
      <w:pPr>
        <w:spacing w:line="360" w:lineRule="auto"/>
        <w:ind w:firstLine="708"/>
        <w:jc w:val="both"/>
        <w:rPr>
          <w:rFonts w:ascii="Times New Roman" w:hAnsi="Times New Roman" w:cs="Times New Roman"/>
        </w:rPr>
      </w:pPr>
      <w:r>
        <w:rPr>
          <w:rFonts w:ascii="Times New Roman" w:hAnsi="Times New Roman" w:cs="Times New Roman"/>
        </w:rPr>
        <w:t>Projektowana ustawa ma na ce</w:t>
      </w:r>
      <w:r w:rsidR="005D1E7A">
        <w:rPr>
          <w:rFonts w:ascii="Times New Roman" w:hAnsi="Times New Roman" w:cs="Times New Roman"/>
        </w:rPr>
        <w:t>lu zwiększenie bezpieczeństwa Rzeczypospolitej Polskiej w strategicznym wymiarze technologii przełomowych,</w:t>
      </w:r>
      <w:r>
        <w:rPr>
          <w:rFonts w:ascii="Times New Roman" w:hAnsi="Times New Roman" w:cs="Times New Roman"/>
        </w:rPr>
        <w:t xml:space="preserve"> zapewniając </w:t>
      </w:r>
      <w:r w:rsidR="005527AB">
        <w:rPr>
          <w:rFonts w:ascii="Times New Roman" w:hAnsi="Times New Roman" w:cs="Times New Roman"/>
        </w:rPr>
        <w:t xml:space="preserve">tym samym </w:t>
      </w:r>
      <w:r w:rsidR="007F442F" w:rsidRPr="00AF0582">
        <w:rPr>
          <w:rFonts w:ascii="Times New Roman" w:hAnsi="Times New Roman" w:cs="Times New Roman"/>
        </w:rPr>
        <w:t xml:space="preserve">wsparcie </w:t>
      </w:r>
      <w:r>
        <w:rPr>
          <w:rFonts w:ascii="Times New Roman" w:hAnsi="Times New Roman" w:cs="Times New Roman"/>
        </w:rPr>
        <w:t xml:space="preserve">dla </w:t>
      </w:r>
      <w:r w:rsidR="007F442F" w:rsidRPr="00AF0582">
        <w:rPr>
          <w:rFonts w:ascii="Times New Roman" w:hAnsi="Times New Roman" w:cs="Times New Roman"/>
        </w:rPr>
        <w:t>polskiej go</w:t>
      </w:r>
      <w:r w:rsidR="005D1E7A">
        <w:rPr>
          <w:rFonts w:ascii="Times New Roman" w:hAnsi="Times New Roman" w:cs="Times New Roman"/>
        </w:rPr>
        <w:t>spodarki, nauki, administracji oraz</w:t>
      </w:r>
      <w:r w:rsidR="007F442F" w:rsidRPr="00AF0582">
        <w:rPr>
          <w:rFonts w:ascii="Times New Roman" w:hAnsi="Times New Roman" w:cs="Times New Roman"/>
        </w:rPr>
        <w:t xml:space="preserve"> społeczeństwa</w:t>
      </w:r>
      <w:r w:rsidR="005527AB">
        <w:rPr>
          <w:rFonts w:ascii="Times New Roman" w:hAnsi="Times New Roman" w:cs="Times New Roman"/>
        </w:rPr>
        <w:t>,</w:t>
      </w:r>
      <w:r w:rsidR="007F442F" w:rsidRPr="00AF0582">
        <w:rPr>
          <w:rFonts w:ascii="Times New Roman" w:hAnsi="Times New Roman" w:cs="Times New Roman"/>
        </w:rPr>
        <w:t xml:space="preserve"> </w:t>
      </w:r>
      <w:r>
        <w:rPr>
          <w:rFonts w:ascii="Times New Roman" w:hAnsi="Times New Roman" w:cs="Times New Roman"/>
        </w:rPr>
        <w:t xml:space="preserve">przez </w:t>
      </w:r>
      <w:r w:rsidR="007F442F" w:rsidRPr="00AF0582">
        <w:rPr>
          <w:rFonts w:ascii="Times New Roman" w:hAnsi="Times New Roman" w:cs="Times New Roman"/>
        </w:rPr>
        <w:t>stworzenie Funduszu Rozwoju Technologii Przełomowych, zwanego dalej „Funduszem”. Fundusz stanowi odpowiedź na podnoszone wielokrotnie przez przedstawicieli środowiska naukowego, przedsiębiorców oraz przedstawicieli władzy pub</w:t>
      </w:r>
      <w:r w:rsidR="005D1E7A">
        <w:rPr>
          <w:rFonts w:ascii="Times New Roman" w:hAnsi="Times New Roman" w:cs="Times New Roman"/>
        </w:rPr>
        <w:t>licznej postulaty zwiększenia i </w:t>
      </w:r>
      <w:r w:rsidR="007F442F" w:rsidRPr="00AF0582">
        <w:rPr>
          <w:rFonts w:ascii="Times New Roman" w:hAnsi="Times New Roman" w:cs="Times New Roman"/>
        </w:rPr>
        <w:t xml:space="preserve">usystematyzowania nakładów na badania i rozwój, w szczególności w </w:t>
      </w:r>
      <w:r w:rsidR="005D1E7A">
        <w:rPr>
          <w:rFonts w:ascii="Times New Roman" w:hAnsi="Times New Roman" w:cs="Times New Roman"/>
        </w:rPr>
        <w:t>obszarach technologii przeło</w:t>
      </w:r>
      <w:r w:rsidR="00520265">
        <w:rPr>
          <w:rFonts w:ascii="Times New Roman" w:hAnsi="Times New Roman" w:cs="Times New Roman"/>
        </w:rPr>
        <w:t xml:space="preserve">mowych </w:t>
      </w:r>
      <w:r w:rsidR="007F442F" w:rsidRPr="00AF0582">
        <w:rPr>
          <w:rFonts w:ascii="Times New Roman" w:hAnsi="Times New Roman" w:cs="Times New Roman"/>
        </w:rPr>
        <w:t xml:space="preserve"> dla gospodarki</w:t>
      </w:r>
      <w:r w:rsidR="00520265">
        <w:rPr>
          <w:rFonts w:ascii="Times New Roman" w:hAnsi="Times New Roman" w:cs="Times New Roman"/>
        </w:rPr>
        <w:t xml:space="preserve"> i społeczeństwa.</w:t>
      </w:r>
      <w:r w:rsidR="007F442F" w:rsidRPr="00AF0582">
        <w:rPr>
          <w:rFonts w:ascii="Times New Roman" w:hAnsi="Times New Roman" w:cs="Times New Roman"/>
        </w:rPr>
        <w:t xml:space="preserve"> To technologie, na których opierać się będzie gospodarka przyszłości, a co za tym idzie ekonomiczna</w:t>
      </w:r>
      <w:r w:rsidR="009525E2">
        <w:rPr>
          <w:rFonts w:ascii="Times New Roman" w:hAnsi="Times New Roman" w:cs="Times New Roman"/>
        </w:rPr>
        <w:t xml:space="preserve"> i strategiczna</w:t>
      </w:r>
      <w:r w:rsidR="007F442F" w:rsidRPr="00AF0582">
        <w:rPr>
          <w:rFonts w:ascii="Times New Roman" w:hAnsi="Times New Roman" w:cs="Times New Roman"/>
        </w:rPr>
        <w:t xml:space="preserve"> pozycja </w:t>
      </w:r>
      <w:r w:rsidR="00520265">
        <w:rPr>
          <w:rFonts w:ascii="Times New Roman" w:hAnsi="Times New Roman" w:cs="Times New Roman"/>
        </w:rPr>
        <w:t>Rzeczypospolitej Polskiej</w:t>
      </w:r>
      <w:r w:rsidR="009525E2">
        <w:rPr>
          <w:rFonts w:ascii="Times New Roman" w:hAnsi="Times New Roman" w:cs="Times New Roman"/>
        </w:rPr>
        <w:t xml:space="preserve"> </w:t>
      </w:r>
      <w:r w:rsidR="007F442F" w:rsidRPr="00AF0582">
        <w:rPr>
          <w:rFonts w:ascii="Times New Roman" w:hAnsi="Times New Roman" w:cs="Times New Roman"/>
        </w:rPr>
        <w:t xml:space="preserve">będzie zależeć od tego w którym miejscu globalnych łańcuchów wartości znajdzie </w:t>
      </w:r>
      <w:r w:rsidR="009525E2">
        <w:rPr>
          <w:rFonts w:ascii="Times New Roman" w:hAnsi="Times New Roman" w:cs="Times New Roman"/>
        </w:rPr>
        <w:t>się nasz kraj</w:t>
      </w:r>
      <w:r w:rsidR="007F442F" w:rsidRPr="00AF0582">
        <w:rPr>
          <w:rFonts w:ascii="Times New Roman" w:hAnsi="Times New Roman" w:cs="Times New Roman"/>
        </w:rPr>
        <w:t>.</w:t>
      </w:r>
    </w:p>
    <w:p w14:paraId="3057591E" w14:textId="44DD475D" w:rsidR="00D22413" w:rsidRPr="00AF0582" w:rsidRDefault="007F442F"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Z tej perspektywy kluczowe staje się zapewnienie adekwatnych nakładów na </w:t>
      </w:r>
      <w:r w:rsidR="00D22413" w:rsidRPr="00AF0582">
        <w:rPr>
          <w:rFonts w:ascii="Times New Roman" w:hAnsi="Times New Roman" w:cs="Times New Roman"/>
        </w:rPr>
        <w:t>wsparcie finansowe</w:t>
      </w:r>
      <w:r w:rsidRPr="00AF0582">
        <w:rPr>
          <w:rFonts w:ascii="Times New Roman" w:hAnsi="Times New Roman" w:cs="Times New Roman"/>
        </w:rPr>
        <w:t xml:space="preserve"> przedsięwzięć o kluczowym znaczeniu dla </w:t>
      </w:r>
      <w:r w:rsidR="00D22413" w:rsidRPr="00AF0582">
        <w:rPr>
          <w:rFonts w:ascii="Times New Roman" w:hAnsi="Times New Roman" w:cs="Times New Roman"/>
        </w:rPr>
        <w:t>roz</w:t>
      </w:r>
      <w:r w:rsidR="00520265">
        <w:rPr>
          <w:rFonts w:ascii="Times New Roman" w:hAnsi="Times New Roman" w:cs="Times New Roman"/>
        </w:rPr>
        <w:t>woju technologii przełomowych w </w:t>
      </w:r>
      <w:r w:rsidR="00D22413" w:rsidRPr="00AF0582">
        <w:rPr>
          <w:rFonts w:ascii="Times New Roman" w:hAnsi="Times New Roman" w:cs="Times New Roman"/>
        </w:rPr>
        <w:t>Polsce, w tym finansowanie lub dofinansowanie:</w:t>
      </w:r>
    </w:p>
    <w:p w14:paraId="1C0A37F0" w14:textId="1F88BE77" w:rsidR="00D22413" w:rsidRPr="00AF0582" w:rsidRDefault="00D22413" w:rsidP="00AF0582">
      <w:pPr>
        <w:spacing w:line="360" w:lineRule="auto"/>
        <w:ind w:firstLine="708"/>
        <w:jc w:val="both"/>
        <w:rPr>
          <w:rFonts w:ascii="Times New Roman" w:hAnsi="Times New Roman" w:cs="Times New Roman"/>
        </w:rPr>
      </w:pPr>
      <w:r w:rsidRPr="00AF0582">
        <w:rPr>
          <w:rFonts w:ascii="Times New Roman" w:hAnsi="Times New Roman" w:cs="Times New Roman"/>
        </w:rPr>
        <w:t>1) prac badawczych i wdrożeniowych z obszaru technologii przełomowych oraz wdrażaniu, w tym poprzez komercjalizację</w:t>
      </w:r>
      <w:r w:rsidR="004366D5" w:rsidRPr="00AF0582">
        <w:rPr>
          <w:rFonts w:ascii="Times New Roman" w:hAnsi="Times New Roman" w:cs="Times New Roman"/>
        </w:rPr>
        <w:t>, oraz</w:t>
      </w:r>
      <w:r w:rsidRPr="00AF0582">
        <w:rPr>
          <w:rFonts w:ascii="Times New Roman" w:hAnsi="Times New Roman" w:cs="Times New Roman"/>
        </w:rPr>
        <w:t xml:space="preserve"> popularyzacji ich wyników;</w:t>
      </w:r>
    </w:p>
    <w:p w14:paraId="4F10A836" w14:textId="77777777" w:rsidR="00D22413" w:rsidRPr="00AF0582" w:rsidRDefault="00D22413" w:rsidP="00AF0582">
      <w:pPr>
        <w:spacing w:line="360" w:lineRule="auto"/>
        <w:ind w:firstLine="708"/>
        <w:jc w:val="both"/>
        <w:rPr>
          <w:rFonts w:ascii="Times New Roman" w:hAnsi="Times New Roman" w:cs="Times New Roman"/>
        </w:rPr>
      </w:pPr>
      <w:r w:rsidRPr="00AF0582">
        <w:rPr>
          <w:rFonts w:ascii="Times New Roman" w:hAnsi="Times New Roman" w:cs="Times New Roman"/>
        </w:rPr>
        <w:t>2) transformacji cyfrowej podmiotów wykonujących zadania publiczne i wdrażania nowych rozwiązań technicznych służących zwiększeniu efektywności realizacji tych zadań;</w:t>
      </w:r>
    </w:p>
    <w:p w14:paraId="4D11F808" w14:textId="0A4CD486" w:rsidR="00D22413" w:rsidRPr="00AF0582" w:rsidRDefault="00D22413"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3) ekspansji zagranicznej </w:t>
      </w:r>
      <w:r w:rsidR="00520265">
        <w:rPr>
          <w:rFonts w:ascii="Times New Roman" w:hAnsi="Times New Roman" w:cs="Times New Roman"/>
        </w:rPr>
        <w:t xml:space="preserve">polskich </w:t>
      </w:r>
      <w:r w:rsidRPr="00AF0582">
        <w:rPr>
          <w:rFonts w:ascii="Times New Roman" w:hAnsi="Times New Roman" w:cs="Times New Roman"/>
        </w:rPr>
        <w:t xml:space="preserve">przedsiębiorców oraz umiędzynarodowienia prowadzenia badań naukowych; </w:t>
      </w:r>
    </w:p>
    <w:p w14:paraId="456531A2" w14:textId="7CE41674" w:rsidR="00D22413" w:rsidRPr="00AF0582" w:rsidRDefault="00D22413" w:rsidP="00AF0582">
      <w:pPr>
        <w:spacing w:line="360" w:lineRule="auto"/>
        <w:ind w:firstLine="708"/>
        <w:jc w:val="both"/>
        <w:rPr>
          <w:rFonts w:ascii="Times New Roman" w:hAnsi="Times New Roman" w:cs="Times New Roman"/>
        </w:rPr>
      </w:pPr>
      <w:r w:rsidRPr="00AF0582">
        <w:rPr>
          <w:rFonts w:ascii="Times New Roman" w:hAnsi="Times New Roman" w:cs="Times New Roman"/>
        </w:rPr>
        <w:t>4) działań mających na celu poprawę bezpieczeństwa cyberprzestrzeni Rzeczypospolitej Polskiej;</w:t>
      </w:r>
    </w:p>
    <w:p w14:paraId="562DEED0" w14:textId="77777777" w:rsidR="00D22413" w:rsidRPr="00AF0582" w:rsidRDefault="00D22413" w:rsidP="00AF0582">
      <w:pPr>
        <w:spacing w:line="360" w:lineRule="auto"/>
        <w:ind w:firstLine="708"/>
        <w:jc w:val="both"/>
        <w:rPr>
          <w:rFonts w:ascii="Times New Roman" w:hAnsi="Times New Roman" w:cs="Times New Roman"/>
        </w:rPr>
      </w:pPr>
      <w:r w:rsidRPr="00AF0582">
        <w:rPr>
          <w:rFonts w:ascii="Times New Roman" w:hAnsi="Times New Roman" w:cs="Times New Roman"/>
        </w:rPr>
        <w:t>5) działań na rzecz rozwoju społeczeństwa informacyjnego, zwiększania poziomu dostępności cyfrowej oraz przeciwdziałania wykluczeniu cyfrowemu;</w:t>
      </w:r>
    </w:p>
    <w:p w14:paraId="3B2F8F09" w14:textId="10EDABF3" w:rsidR="00D22413" w:rsidRPr="00AF0582" w:rsidRDefault="00D22413"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6)  rzetelnej i profesjonalnej edukacji z zakresu nowych </w:t>
      </w:r>
      <w:r w:rsidR="00520265">
        <w:rPr>
          <w:rFonts w:ascii="Times New Roman" w:hAnsi="Times New Roman" w:cs="Times New Roman"/>
        </w:rPr>
        <w:t>technologii, higieny cyfrowej i </w:t>
      </w:r>
      <w:r w:rsidRPr="00AF0582">
        <w:rPr>
          <w:rFonts w:ascii="Times New Roman" w:hAnsi="Times New Roman" w:cs="Times New Roman"/>
        </w:rPr>
        <w:t xml:space="preserve">medialnej, </w:t>
      </w:r>
      <w:proofErr w:type="spellStart"/>
      <w:r w:rsidRPr="00AF0582">
        <w:rPr>
          <w:rFonts w:ascii="Times New Roman" w:hAnsi="Times New Roman" w:cs="Times New Roman"/>
        </w:rPr>
        <w:t>cyberbezpieczeństwa</w:t>
      </w:r>
      <w:proofErr w:type="spellEnd"/>
      <w:r w:rsidRPr="00AF0582">
        <w:rPr>
          <w:rFonts w:ascii="Times New Roman" w:hAnsi="Times New Roman" w:cs="Times New Roman"/>
        </w:rPr>
        <w:t>, innowacji, etyki nowych technologii oraz przedsiębiorczości na wszystkich etapach kształcenia;</w:t>
      </w:r>
    </w:p>
    <w:p w14:paraId="2A8F0E35" w14:textId="77777777" w:rsidR="00D22413" w:rsidRPr="00AF0582" w:rsidRDefault="00D22413" w:rsidP="00AF0582">
      <w:pPr>
        <w:spacing w:line="360" w:lineRule="auto"/>
        <w:ind w:firstLine="708"/>
        <w:jc w:val="both"/>
        <w:rPr>
          <w:rFonts w:ascii="Times New Roman" w:hAnsi="Times New Roman" w:cs="Times New Roman"/>
        </w:rPr>
      </w:pPr>
      <w:r w:rsidRPr="00AF0582">
        <w:rPr>
          <w:rFonts w:ascii="Times New Roman" w:hAnsi="Times New Roman" w:cs="Times New Roman"/>
        </w:rPr>
        <w:t>7) rozwoju zaplecza infrastrukturalnego jednostek systemu oświaty, podmiotów systemu szkolnictwa wyższego i nauki, podmiotów wykonujących zadania publiczne oraz przedsiębiorców działających w sektorze technologii przełomowych;</w:t>
      </w:r>
    </w:p>
    <w:p w14:paraId="4466F786" w14:textId="4412433F" w:rsidR="007F442F" w:rsidRPr="00AF0582" w:rsidRDefault="00D22413" w:rsidP="00567900">
      <w:pPr>
        <w:spacing w:line="360" w:lineRule="auto"/>
        <w:ind w:firstLine="708"/>
        <w:jc w:val="both"/>
        <w:rPr>
          <w:rFonts w:ascii="Times New Roman" w:hAnsi="Times New Roman" w:cs="Times New Roman"/>
        </w:rPr>
      </w:pPr>
      <w:r w:rsidRPr="00AF0582">
        <w:rPr>
          <w:rFonts w:ascii="Times New Roman" w:hAnsi="Times New Roman" w:cs="Times New Roman"/>
        </w:rPr>
        <w:t>8) działalności edukacyjnej i popularyzatorskiej z zakresu technologii przełomowych oraz innych nowych technologii, innowacyjności, nauki i transformacji cyfrowej.</w:t>
      </w:r>
    </w:p>
    <w:p w14:paraId="58B8865A" w14:textId="6A5326B6" w:rsidR="007F442F" w:rsidRDefault="00D22413" w:rsidP="00AF0582">
      <w:pPr>
        <w:spacing w:line="360" w:lineRule="auto"/>
        <w:ind w:firstLine="708"/>
        <w:jc w:val="both"/>
        <w:rPr>
          <w:rFonts w:ascii="Times New Roman" w:hAnsi="Times New Roman" w:cs="Times New Roman"/>
        </w:rPr>
      </w:pPr>
      <w:r w:rsidRPr="00AF0582">
        <w:rPr>
          <w:rFonts w:ascii="Times New Roman" w:hAnsi="Times New Roman" w:cs="Times New Roman"/>
        </w:rPr>
        <w:lastRenderedPageBreak/>
        <w:t>Na te zadania, w myśl projektowanej ustawy</w:t>
      </w:r>
      <w:r w:rsidR="009525E2">
        <w:rPr>
          <w:rFonts w:ascii="Times New Roman" w:hAnsi="Times New Roman" w:cs="Times New Roman"/>
        </w:rPr>
        <w:t>,</w:t>
      </w:r>
      <w:r w:rsidRPr="00AF0582">
        <w:rPr>
          <w:rFonts w:ascii="Times New Roman" w:hAnsi="Times New Roman" w:cs="Times New Roman"/>
        </w:rPr>
        <w:t xml:space="preserve"> Fundusz przeznaczać będzie </w:t>
      </w:r>
      <w:r w:rsidR="009525E2">
        <w:rPr>
          <w:rFonts w:ascii="Times New Roman" w:hAnsi="Times New Roman" w:cs="Times New Roman"/>
        </w:rPr>
        <w:t xml:space="preserve">co najmniej </w:t>
      </w:r>
      <w:r w:rsidRPr="00AF0582">
        <w:rPr>
          <w:rFonts w:ascii="Times New Roman" w:hAnsi="Times New Roman" w:cs="Times New Roman"/>
        </w:rPr>
        <w:t>5 miliardów złotych rocznie</w:t>
      </w:r>
      <w:r w:rsidR="00630A05" w:rsidRPr="00AF0582">
        <w:rPr>
          <w:rFonts w:ascii="Times New Roman" w:hAnsi="Times New Roman" w:cs="Times New Roman"/>
        </w:rPr>
        <w:t xml:space="preserve"> (z wyjątkiem roku 2026 kiedy będzie to 2,5 miliarda złotych rocznie)</w:t>
      </w:r>
      <w:r w:rsidRPr="00AF0582">
        <w:rPr>
          <w:rFonts w:ascii="Times New Roman" w:hAnsi="Times New Roman" w:cs="Times New Roman"/>
        </w:rPr>
        <w:t>, z uwzględnioną coroczną waloryzacją o wskaźnik wzrostu cen i usług konsumpcyjnych ogółem, co zapewni zachowanie siły nabywczej środków w dyspozycji Funduszu.</w:t>
      </w:r>
    </w:p>
    <w:p w14:paraId="55B4C44F" w14:textId="0258BE5A" w:rsidR="009525E2" w:rsidRPr="00AF0582" w:rsidRDefault="009525E2" w:rsidP="009525E2">
      <w:pPr>
        <w:spacing w:line="360" w:lineRule="auto"/>
        <w:ind w:firstLine="708"/>
        <w:jc w:val="both"/>
        <w:rPr>
          <w:rFonts w:ascii="Times New Roman" w:hAnsi="Times New Roman" w:cs="Times New Roman"/>
        </w:rPr>
      </w:pPr>
      <w:r w:rsidRPr="00AF0582">
        <w:rPr>
          <w:rFonts w:ascii="Times New Roman" w:hAnsi="Times New Roman" w:cs="Times New Roman"/>
        </w:rPr>
        <w:t>Fundusz będzie miał charakter ogólnopaństwowy dzięki wprowadzeniu rozwiązań zapewniających ścisłą współpracę i partycypację w zarządzaniu Funduszem: Prezydentowi R</w:t>
      </w:r>
      <w:r w:rsidR="00567900">
        <w:rPr>
          <w:rFonts w:ascii="Times New Roman" w:hAnsi="Times New Roman" w:cs="Times New Roman"/>
        </w:rPr>
        <w:t xml:space="preserve">zeczypospolitej </w:t>
      </w:r>
      <w:r w:rsidRPr="00AF0582">
        <w:rPr>
          <w:rFonts w:ascii="Times New Roman" w:hAnsi="Times New Roman" w:cs="Times New Roman"/>
        </w:rPr>
        <w:t>P</w:t>
      </w:r>
      <w:r w:rsidR="00567900">
        <w:rPr>
          <w:rFonts w:ascii="Times New Roman" w:hAnsi="Times New Roman" w:cs="Times New Roman"/>
        </w:rPr>
        <w:t>olskiej</w:t>
      </w:r>
      <w:r w:rsidRPr="00AF0582">
        <w:rPr>
          <w:rFonts w:ascii="Times New Roman" w:hAnsi="Times New Roman" w:cs="Times New Roman"/>
        </w:rPr>
        <w:t>, Rządowi, środowisku naukowemu i przedsiębiorcom. Podmioty te, skupione w Radzie Funduszu</w:t>
      </w:r>
      <w:r w:rsidR="00357616">
        <w:rPr>
          <w:rFonts w:ascii="Times New Roman" w:hAnsi="Times New Roman" w:cs="Times New Roman"/>
        </w:rPr>
        <w:t>,</w:t>
      </w:r>
      <w:r w:rsidRPr="00AF0582">
        <w:rPr>
          <w:rFonts w:ascii="Times New Roman" w:hAnsi="Times New Roman" w:cs="Times New Roman"/>
        </w:rPr>
        <w:t xml:space="preserve"> gdzie żadna ze stron nie będzie dysponować samodzielną większością głosów, będą wspólnie zarządzać środkami przeznaczonymi na realizację celów Funduszu, co odzwierciedla założenie, że w działania tak fundamentalne dla przyszłości kraju muszą być włączane wszystkie środowiska.</w:t>
      </w:r>
    </w:p>
    <w:p w14:paraId="6A27F2CB" w14:textId="2A316B2D" w:rsidR="004366D5" w:rsidRDefault="00D22413" w:rsidP="00357616">
      <w:pPr>
        <w:spacing w:line="360" w:lineRule="auto"/>
        <w:ind w:firstLine="708"/>
        <w:jc w:val="both"/>
        <w:rPr>
          <w:rFonts w:ascii="Times New Roman" w:hAnsi="Times New Roman" w:cs="Times New Roman"/>
        </w:rPr>
      </w:pPr>
      <w:r w:rsidRPr="00AF0582">
        <w:rPr>
          <w:rFonts w:ascii="Times New Roman" w:hAnsi="Times New Roman" w:cs="Times New Roman"/>
        </w:rPr>
        <w:t xml:space="preserve">Przedstawienie inicjatywy ustawodawczej Sejmowi wpisuje się w </w:t>
      </w:r>
      <w:r w:rsidR="001214C7" w:rsidRPr="00AF0582">
        <w:rPr>
          <w:rFonts w:ascii="Times New Roman" w:hAnsi="Times New Roman" w:cs="Times New Roman"/>
        </w:rPr>
        <w:t xml:space="preserve">realizację konstytucyjnej powinności państwa zawartej w art. 73 Konstytucji Rzeczypospolitej Polskiej, który stanowi, że </w:t>
      </w:r>
      <w:r w:rsidR="00357616" w:rsidRPr="00357616">
        <w:rPr>
          <w:rFonts w:ascii="Times New Roman" w:hAnsi="Times New Roman" w:cs="Times New Roman"/>
          <w:i/>
        </w:rPr>
        <w:t>,,</w:t>
      </w:r>
      <w:r w:rsidR="001214C7" w:rsidRPr="00AF0582">
        <w:rPr>
          <w:rFonts w:ascii="Times New Roman" w:hAnsi="Times New Roman" w:cs="Times New Roman"/>
          <w:i/>
          <w:iCs/>
        </w:rPr>
        <w:t>Każdemu zapewnia się wolność twórczości artystycznej, badań naukowych oraz ogłaszania ich wyników, wolność nauczania, a także wolność korzystania z dóbr kultury</w:t>
      </w:r>
      <w:r w:rsidR="00357616">
        <w:rPr>
          <w:rFonts w:ascii="Times New Roman" w:hAnsi="Times New Roman" w:cs="Times New Roman"/>
          <w:i/>
          <w:iCs/>
        </w:rPr>
        <w:t>.”.</w:t>
      </w:r>
      <w:r w:rsidR="001214C7" w:rsidRPr="00AF0582">
        <w:rPr>
          <w:rFonts w:ascii="Times New Roman" w:hAnsi="Times New Roman" w:cs="Times New Roman"/>
        </w:rPr>
        <w:t xml:space="preserve"> Niewątpliwie zapewnienie wystarczających nakładów na rozwój technologii przełomowych sprzyjać będzie realizacji tego uprawnienia</w:t>
      </w:r>
      <w:r w:rsidR="004366D5" w:rsidRPr="00AF0582">
        <w:rPr>
          <w:rFonts w:ascii="Times New Roman" w:hAnsi="Times New Roman" w:cs="Times New Roman"/>
        </w:rPr>
        <w:t>, przy jednoc</w:t>
      </w:r>
      <w:r w:rsidR="00357616">
        <w:rPr>
          <w:rFonts w:ascii="Times New Roman" w:hAnsi="Times New Roman" w:cs="Times New Roman"/>
        </w:rPr>
        <w:t>zesnym poszanowaniu wyrażonej w </w:t>
      </w:r>
      <w:r w:rsidR="004366D5" w:rsidRPr="00AF0582">
        <w:rPr>
          <w:rFonts w:ascii="Times New Roman" w:hAnsi="Times New Roman" w:cs="Times New Roman"/>
        </w:rPr>
        <w:t>art. 70 ust. 5 Konstytucji</w:t>
      </w:r>
      <w:r w:rsidR="00357616" w:rsidRPr="00357616">
        <w:rPr>
          <w:rFonts w:ascii="Times New Roman" w:hAnsi="Times New Roman" w:cs="Times New Roman"/>
        </w:rPr>
        <w:t xml:space="preserve"> </w:t>
      </w:r>
      <w:r w:rsidR="00357616" w:rsidRPr="00AF0582">
        <w:rPr>
          <w:rFonts w:ascii="Times New Roman" w:hAnsi="Times New Roman" w:cs="Times New Roman"/>
        </w:rPr>
        <w:t>Rzeczypospolitej Polskiej</w:t>
      </w:r>
      <w:r w:rsidR="004366D5" w:rsidRPr="00AF0582">
        <w:rPr>
          <w:rFonts w:ascii="Times New Roman" w:hAnsi="Times New Roman" w:cs="Times New Roman"/>
        </w:rPr>
        <w:t xml:space="preserve"> autonomii szkół wyższych.</w:t>
      </w:r>
    </w:p>
    <w:p w14:paraId="79DB91F2" w14:textId="3A4297F8" w:rsidR="001970E7" w:rsidRPr="0027321B" w:rsidRDefault="001970E7" w:rsidP="001970E7">
      <w:pPr>
        <w:spacing w:line="360" w:lineRule="auto"/>
        <w:ind w:firstLine="708"/>
        <w:jc w:val="both"/>
        <w:rPr>
          <w:rFonts w:ascii="Times New Roman" w:hAnsi="Times New Roman" w:cs="Times New Roman"/>
        </w:rPr>
      </w:pPr>
      <w:r w:rsidRPr="0027321B">
        <w:rPr>
          <w:rFonts w:ascii="Times New Roman" w:hAnsi="Times New Roman" w:cs="Times New Roman"/>
        </w:rPr>
        <w:t>Bezpieczeństwo państwa w warunkach współcz</w:t>
      </w:r>
      <w:r>
        <w:rPr>
          <w:rFonts w:ascii="Times New Roman" w:hAnsi="Times New Roman" w:cs="Times New Roman"/>
        </w:rPr>
        <w:t>esnych nie może być pojmowane w </w:t>
      </w:r>
      <w:r w:rsidRPr="0027321B">
        <w:rPr>
          <w:rFonts w:ascii="Times New Roman" w:hAnsi="Times New Roman" w:cs="Times New Roman"/>
        </w:rPr>
        <w:t>kategoriach tradycyjnych, ograniczających się jedynie do aspektu militarnego czy dyplomatycznego. Nowoczesne ujęcie tego pojęcia obejmuje również czynniki gospodarcze, technologiczne i społeczne, które decydują o odporności państwa na zagrożenia i o jego zdolności do skutecznego funkcjonowania w warunkach globalnej rywalizacji. Rozwój nowoczesnych technologii – w tym w szczególności technologii przełomowych i podwójnego zastosowania, takich jak sztuczna inteligencja, technologie kwantowe, biotechnologie czy technologie kosmiczne – staje się elementem niezbędnym dla realizacji celów bezpieczeństwa narodowego.</w:t>
      </w:r>
    </w:p>
    <w:p w14:paraId="777AD8D6" w14:textId="77777777" w:rsidR="001970E7" w:rsidRPr="0027321B" w:rsidRDefault="001970E7" w:rsidP="001970E7">
      <w:pPr>
        <w:spacing w:line="360" w:lineRule="auto"/>
        <w:ind w:firstLine="708"/>
        <w:jc w:val="both"/>
        <w:rPr>
          <w:rFonts w:ascii="Times New Roman" w:hAnsi="Times New Roman" w:cs="Times New Roman"/>
        </w:rPr>
      </w:pPr>
      <w:r w:rsidRPr="0027321B">
        <w:rPr>
          <w:rFonts w:ascii="Times New Roman" w:hAnsi="Times New Roman" w:cs="Times New Roman"/>
        </w:rPr>
        <w:t>W tym kontekście Prezydent Rzeczypospolitej Polskiej, jako najwyższy przedstawiciel państwa i gwarant ciągłości władzy, pełni szczególną rolę w kształtowaniu i nadzorze nad strategicznymi kierunkami polityki bezpieczeństwa. Wynika to zarówno z postanowień Konstytucji, które nakładają na Prezydenta obowiązek czuwania nad przestrzeganiem Konstytucji i stania na straży suwerenności oraz bezpieczeństwa państwa, jak i z jego pozycji w systemie organów państwowych, w szczególności w obszarze bezpieczeństwa i obronności.</w:t>
      </w:r>
    </w:p>
    <w:p w14:paraId="3EDD878C" w14:textId="77777777" w:rsidR="001970E7" w:rsidRPr="0027321B" w:rsidRDefault="001970E7" w:rsidP="001970E7">
      <w:pPr>
        <w:spacing w:line="360" w:lineRule="auto"/>
        <w:ind w:firstLine="708"/>
        <w:jc w:val="both"/>
        <w:rPr>
          <w:rFonts w:ascii="Times New Roman" w:hAnsi="Times New Roman" w:cs="Times New Roman"/>
        </w:rPr>
      </w:pPr>
      <w:r w:rsidRPr="0027321B">
        <w:rPr>
          <w:rFonts w:ascii="Times New Roman" w:hAnsi="Times New Roman" w:cs="Times New Roman"/>
        </w:rPr>
        <w:lastRenderedPageBreak/>
        <w:t>Skoro zatem bezpieczeństwo narodowe w nowoczesnym rozumieniu wymaga konsekwentnego rozwijania potencjału naukowego i technologicznego, oczywistym jest, że to właśnie Prezydent – ze względu na swoje kompetencje ustrojowe – powinien posiadać szczególne instrumenty prawne pozwalające inicjować rozwiązania służące tym celom. Stąd zasadna jest jego rola przewidziana w ustawie, polegająca wspieraniu działań mających na celu rozwój nowoczesnych technologii w ścisłym związku z bezpieczeństwem państwa.</w:t>
      </w:r>
    </w:p>
    <w:p w14:paraId="53A5DECC" w14:textId="77777777" w:rsidR="001970E7" w:rsidRPr="0027321B" w:rsidRDefault="001970E7" w:rsidP="001970E7">
      <w:pPr>
        <w:spacing w:line="360" w:lineRule="auto"/>
        <w:ind w:firstLine="708"/>
        <w:jc w:val="both"/>
        <w:rPr>
          <w:rFonts w:ascii="Times New Roman" w:hAnsi="Times New Roman" w:cs="Times New Roman"/>
        </w:rPr>
      </w:pPr>
      <w:r w:rsidRPr="0027321B">
        <w:rPr>
          <w:rFonts w:ascii="Times New Roman" w:hAnsi="Times New Roman" w:cs="Times New Roman"/>
        </w:rPr>
        <w:t>Wydatki na badania i rozwój nie mogą być traktowane wyłącznie jako element polityki gospodarczej czy innowacyjnej. Stanowią one jednocześnie narzędzie realizacji nadrzędnego obowiązku państwa, jakim jest zapewnienie bezpieczeństwa narodowego. Inwestycje w technologie przełomowe zwiększają odporność państwa na kryzysy, redukują zależność od zewnętrznych dostawców i podmiotów trzecich, a także wzmacniają zdolności obronne i gospodarcze.</w:t>
      </w:r>
    </w:p>
    <w:p w14:paraId="721AE14E" w14:textId="76204C40" w:rsidR="004366D5" w:rsidRPr="00AF0582" w:rsidRDefault="004366D5" w:rsidP="00AF0582">
      <w:pPr>
        <w:spacing w:line="360" w:lineRule="auto"/>
        <w:rPr>
          <w:rFonts w:ascii="Times New Roman" w:hAnsi="Times New Roman" w:cs="Times New Roman"/>
        </w:rPr>
      </w:pPr>
    </w:p>
    <w:p w14:paraId="3E509EE2" w14:textId="6AD15299" w:rsidR="007F442F" w:rsidRPr="00AF0582" w:rsidRDefault="007F442F" w:rsidP="00AF0582">
      <w:pPr>
        <w:spacing w:line="360" w:lineRule="auto"/>
        <w:jc w:val="both"/>
        <w:rPr>
          <w:rFonts w:ascii="Times New Roman" w:hAnsi="Times New Roman" w:cs="Times New Roman"/>
          <w:b/>
          <w:bCs/>
        </w:rPr>
      </w:pPr>
      <w:r w:rsidRPr="00AF0582">
        <w:rPr>
          <w:rFonts w:ascii="Times New Roman" w:hAnsi="Times New Roman" w:cs="Times New Roman"/>
          <w:b/>
          <w:bCs/>
        </w:rPr>
        <w:t>Potrzeba wprowadzenia regulacji</w:t>
      </w:r>
      <w:r w:rsidR="004366D5" w:rsidRPr="00AF0582">
        <w:rPr>
          <w:rFonts w:ascii="Times New Roman" w:hAnsi="Times New Roman" w:cs="Times New Roman"/>
          <w:b/>
          <w:bCs/>
        </w:rPr>
        <w:t>:</w:t>
      </w:r>
    </w:p>
    <w:p w14:paraId="2ED4D161" w14:textId="77777777" w:rsidR="004366D5" w:rsidRPr="00AF0582" w:rsidRDefault="004366D5" w:rsidP="00AF0582">
      <w:pPr>
        <w:spacing w:line="360" w:lineRule="auto"/>
        <w:jc w:val="both"/>
        <w:rPr>
          <w:rFonts w:ascii="Times New Roman" w:hAnsi="Times New Roman" w:cs="Times New Roman"/>
        </w:rPr>
      </w:pPr>
    </w:p>
    <w:p w14:paraId="60A86CCF" w14:textId="789B26FC" w:rsidR="004366D5" w:rsidRPr="00AF0582" w:rsidRDefault="004366D5" w:rsidP="00AF0582">
      <w:pPr>
        <w:spacing w:line="360" w:lineRule="auto"/>
        <w:jc w:val="both"/>
        <w:rPr>
          <w:rFonts w:ascii="Times New Roman" w:hAnsi="Times New Roman" w:cs="Times New Roman"/>
        </w:rPr>
      </w:pPr>
      <w:r w:rsidRPr="00AF0582">
        <w:rPr>
          <w:rFonts w:ascii="Times New Roman" w:hAnsi="Times New Roman" w:cs="Times New Roman"/>
        </w:rPr>
        <w:t xml:space="preserve">Doświadczenia historyczne dowodzą, że kolejne rewolucje technologiczne w decydujący sposób wpływały na pozycję gospodarczą i cywilizacyjną narodów. Kraje, które w XIX wieku zainwestowały w kolej i przemysł maszynowy, a w XX wieku w </w:t>
      </w:r>
      <w:r w:rsidR="009525E2">
        <w:rPr>
          <w:rFonts w:ascii="Times New Roman" w:hAnsi="Times New Roman" w:cs="Times New Roman"/>
        </w:rPr>
        <w:t>technologie komunikacyjne</w:t>
      </w:r>
      <w:r w:rsidRPr="00AF0582">
        <w:rPr>
          <w:rFonts w:ascii="Times New Roman" w:hAnsi="Times New Roman" w:cs="Times New Roman"/>
        </w:rPr>
        <w:t xml:space="preserve">, elektronikę i komputery </w:t>
      </w:r>
      <w:r w:rsidR="00DA4FA2" w:rsidRPr="00AF0582">
        <w:rPr>
          <w:rFonts w:ascii="Times New Roman" w:hAnsi="Times New Roman" w:cs="Times New Roman"/>
        </w:rPr>
        <w:t>-</w:t>
      </w:r>
      <w:r w:rsidRPr="00AF0582">
        <w:rPr>
          <w:rFonts w:ascii="Times New Roman" w:hAnsi="Times New Roman" w:cs="Times New Roman"/>
        </w:rPr>
        <w:t xml:space="preserve"> osiągnęły skokowy rozwój, podczas gdy państwa pozostające na peryferiach postępu technologicznego zmagały się z gospodarczym zacofaniem. Obecnie świat znajduje się u progu czwartej rewolucji przemysłowej, opartej na technologiach cyfrowych, sztucznej inteligencji, dużych zbiorach danych, automatyzacji oraz nowych przełomowych odkryciach naukowych. Ta kolejna transformacja niesie ze sobą zarówno olbrzymie szanse rozwojowe, jak i ryzyko pogłębienia dysproporcji między krajami innowa</w:t>
      </w:r>
      <w:r w:rsidR="0040303A">
        <w:rPr>
          <w:rFonts w:ascii="Times New Roman" w:hAnsi="Times New Roman" w:cs="Times New Roman"/>
        </w:rPr>
        <w:t xml:space="preserve">cyjnymi a resztą świata. Polska, </w:t>
      </w:r>
      <w:r w:rsidRPr="00AF0582">
        <w:rPr>
          <w:rFonts w:ascii="Times New Roman" w:hAnsi="Times New Roman" w:cs="Times New Roman"/>
        </w:rPr>
        <w:t xml:space="preserve">aby zapewnić sobie trwały wzrost gospodarczy, bezpieczeństwo oraz </w:t>
      </w:r>
      <w:r w:rsidR="0040303A">
        <w:rPr>
          <w:rFonts w:ascii="Times New Roman" w:hAnsi="Times New Roman" w:cs="Times New Roman"/>
        </w:rPr>
        <w:t>poprawę jakości życia obywateli, powinna</w:t>
      </w:r>
      <w:r w:rsidRPr="00AF0582">
        <w:rPr>
          <w:rFonts w:ascii="Times New Roman" w:hAnsi="Times New Roman" w:cs="Times New Roman"/>
        </w:rPr>
        <w:t xml:space="preserve"> aktywnie uczestniczyć w tej globalnej rewolucji technologicznej i nie może pozwolić sobie na pozostanie wyłącznie odbiorcą cudzych technologii.</w:t>
      </w:r>
    </w:p>
    <w:p w14:paraId="38633CE8" w14:textId="4A0127EB" w:rsidR="004366D5" w:rsidRPr="00AF0582" w:rsidRDefault="004366D5" w:rsidP="00AF0582">
      <w:pPr>
        <w:spacing w:line="360" w:lineRule="auto"/>
        <w:jc w:val="both"/>
        <w:rPr>
          <w:rFonts w:ascii="Times New Roman" w:hAnsi="Times New Roman" w:cs="Times New Roman"/>
        </w:rPr>
      </w:pPr>
      <w:r w:rsidRPr="00AF0582">
        <w:rPr>
          <w:rFonts w:ascii="Times New Roman" w:hAnsi="Times New Roman" w:cs="Times New Roman"/>
        </w:rPr>
        <w:t>Niestety, szereg wskaźników świadczy o tym, że obecny poziom innowacyjności polskiej gospodarki jest niewystarczający. W Europejskim Rankingu Innowacyjności (</w:t>
      </w:r>
      <w:proofErr w:type="spellStart"/>
      <w:r w:rsidRPr="00AF0582">
        <w:rPr>
          <w:rFonts w:ascii="Times New Roman" w:hAnsi="Times New Roman" w:cs="Times New Roman"/>
        </w:rPr>
        <w:t>European</w:t>
      </w:r>
      <w:proofErr w:type="spellEnd"/>
      <w:r w:rsidRPr="00AF0582">
        <w:rPr>
          <w:rFonts w:ascii="Times New Roman" w:hAnsi="Times New Roman" w:cs="Times New Roman"/>
        </w:rPr>
        <w:t xml:space="preserve"> </w:t>
      </w:r>
      <w:proofErr w:type="spellStart"/>
      <w:r w:rsidRPr="00AF0582">
        <w:rPr>
          <w:rFonts w:ascii="Times New Roman" w:hAnsi="Times New Roman" w:cs="Times New Roman"/>
        </w:rPr>
        <w:t>Innovation</w:t>
      </w:r>
      <w:proofErr w:type="spellEnd"/>
      <w:r w:rsidRPr="00AF0582">
        <w:rPr>
          <w:rFonts w:ascii="Times New Roman" w:hAnsi="Times New Roman" w:cs="Times New Roman"/>
        </w:rPr>
        <w:t xml:space="preserve"> </w:t>
      </w:r>
      <w:proofErr w:type="spellStart"/>
      <w:r w:rsidRPr="00AF0582">
        <w:rPr>
          <w:rFonts w:ascii="Times New Roman" w:hAnsi="Times New Roman" w:cs="Times New Roman"/>
        </w:rPr>
        <w:t>Scoreboard</w:t>
      </w:r>
      <w:proofErr w:type="spellEnd"/>
      <w:r w:rsidRPr="00AF0582">
        <w:rPr>
          <w:rFonts w:ascii="Times New Roman" w:hAnsi="Times New Roman" w:cs="Times New Roman"/>
        </w:rPr>
        <w:t xml:space="preserve"> 2025) Polska została zaliczona do grupy tzw. „wschodzących innowatorów” (</w:t>
      </w:r>
      <w:proofErr w:type="spellStart"/>
      <w:r w:rsidRPr="00AF0582">
        <w:rPr>
          <w:rFonts w:ascii="Times New Roman" w:hAnsi="Times New Roman" w:cs="Times New Roman"/>
        </w:rPr>
        <w:t>Emerging</w:t>
      </w:r>
      <w:proofErr w:type="spellEnd"/>
      <w:r w:rsidRPr="00AF0582">
        <w:rPr>
          <w:rFonts w:ascii="Times New Roman" w:hAnsi="Times New Roman" w:cs="Times New Roman"/>
        </w:rPr>
        <w:t xml:space="preserve"> </w:t>
      </w:r>
      <w:proofErr w:type="spellStart"/>
      <w:r w:rsidRPr="00AF0582">
        <w:rPr>
          <w:rFonts w:ascii="Times New Roman" w:hAnsi="Times New Roman" w:cs="Times New Roman"/>
        </w:rPr>
        <w:t>Innovators</w:t>
      </w:r>
      <w:proofErr w:type="spellEnd"/>
      <w:r w:rsidRPr="00AF0582">
        <w:rPr>
          <w:rFonts w:ascii="Times New Roman" w:hAnsi="Times New Roman" w:cs="Times New Roman"/>
        </w:rPr>
        <w:t xml:space="preserve">), czyli państw o wynikach innowacyjnych poniżej 70% średniej UE, zajmując 23. miejsce w UE (na 27 krajów) z wynikiem ok. 66% średniego poziomu unijnego. Także globalnie Polska </w:t>
      </w:r>
      <w:r w:rsidR="009525E2">
        <w:rPr>
          <w:rFonts w:ascii="Times New Roman" w:hAnsi="Times New Roman" w:cs="Times New Roman"/>
        </w:rPr>
        <w:t>mierzy się z dużą konkurencją</w:t>
      </w:r>
      <w:r w:rsidRPr="00AF0582">
        <w:rPr>
          <w:rFonts w:ascii="Times New Roman" w:hAnsi="Times New Roman" w:cs="Times New Roman"/>
        </w:rPr>
        <w:t xml:space="preserve">: w Globalnym </w:t>
      </w:r>
      <w:r w:rsidRPr="00AF0582">
        <w:rPr>
          <w:rFonts w:ascii="Times New Roman" w:hAnsi="Times New Roman" w:cs="Times New Roman"/>
        </w:rPr>
        <w:lastRenderedPageBreak/>
        <w:t xml:space="preserve">Indeksie Innowacyjności </w:t>
      </w:r>
      <w:r w:rsidR="005870D5">
        <w:rPr>
          <w:rFonts w:ascii="Times New Roman" w:hAnsi="Times New Roman" w:cs="Times New Roman"/>
        </w:rPr>
        <w:t xml:space="preserve">(Global </w:t>
      </w:r>
      <w:proofErr w:type="spellStart"/>
      <w:r w:rsidR="005870D5">
        <w:rPr>
          <w:rFonts w:ascii="Times New Roman" w:hAnsi="Times New Roman" w:cs="Times New Roman"/>
        </w:rPr>
        <w:t>Innovation</w:t>
      </w:r>
      <w:proofErr w:type="spellEnd"/>
      <w:r w:rsidR="005870D5">
        <w:rPr>
          <w:rFonts w:ascii="Times New Roman" w:hAnsi="Times New Roman" w:cs="Times New Roman"/>
        </w:rPr>
        <w:t xml:space="preserve"> Index) </w:t>
      </w:r>
      <w:r w:rsidRPr="00AF0582">
        <w:rPr>
          <w:rFonts w:ascii="Times New Roman" w:hAnsi="Times New Roman" w:cs="Times New Roman"/>
        </w:rPr>
        <w:t xml:space="preserve">2024 Polska zajęła </w:t>
      </w:r>
      <w:r w:rsidR="005870D5">
        <w:rPr>
          <w:rFonts w:ascii="Times New Roman" w:hAnsi="Times New Roman" w:cs="Times New Roman"/>
        </w:rPr>
        <w:t>40</w:t>
      </w:r>
      <w:r w:rsidRPr="00AF0582">
        <w:rPr>
          <w:rFonts w:ascii="Times New Roman" w:hAnsi="Times New Roman" w:cs="Times New Roman"/>
        </w:rPr>
        <w:t xml:space="preserve"> pozycję na świecie </w:t>
      </w:r>
      <w:r w:rsidR="005870D5">
        <w:rPr>
          <w:rFonts w:ascii="Times New Roman" w:hAnsi="Times New Roman" w:cs="Times New Roman"/>
        </w:rPr>
        <w:t xml:space="preserve">ogółem </w:t>
      </w:r>
      <w:r w:rsidRPr="00AF0582">
        <w:rPr>
          <w:rFonts w:ascii="Times New Roman" w:hAnsi="Times New Roman" w:cs="Times New Roman"/>
        </w:rPr>
        <w:t xml:space="preserve">i </w:t>
      </w:r>
      <w:r w:rsidR="005870D5">
        <w:rPr>
          <w:rFonts w:ascii="Times New Roman" w:hAnsi="Times New Roman" w:cs="Times New Roman"/>
        </w:rPr>
        <w:t>47</w:t>
      </w:r>
      <w:r w:rsidRPr="00AF0582">
        <w:rPr>
          <w:rFonts w:ascii="Times New Roman" w:hAnsi="Times New Roman" w:cs="Times New Roman"/>
        </w:rPr>
        <w:t xml:space="preserve"> pod względem rezultatów. Główną barierą jest niedostateczny poziom nakładów na badania naukowe i prace rozwojowe oraz ograniczona absorpcja nowych technologii przez sektor publiczny i prywatny. Choć w ostatnich latach odnotowano pozytywny trend wzrostowy (</w:t>
      </w:r>
      <w:r w:rsidR="0032211B" w:rsidRPr="00AF0582">
        <w:rPr>
          <w:rFonts w:ascii="Times New Roman" w:hAnsi="Times New Roman" w:cs="Times New Roman"/>
        </w:rPr>
        <w:t xml:space="preserve">według ostatnich dostępnych danych GUS </w:t>
      </w:r>
      <w:r w:rsidRPr="00AF0582">
        <w:rPr>
          <w:rFonts w:ascii="Times New Roman" w:hAnsi="Times New Roman" w:cs="Times New Roman"/>
        </w:rPr>
        <w:t>wydatki B+</w:t>
      </w:r>
      <w:r w:rsidR="0040303A">
        <w:rPr>
          <w:rFonts w:ascii="Times New Roman" w:hAnsi="Times New Roman" w:cs="Times New Roman"/>
        </w:rPr>
        <w:t>R w Polsce wzrosły nominalnie o </w:t>
      </w:r>
      <w:r w:rsidRPr="00AF0582">
        <w:rPr>
          <w:rFonts w:ascii="Times New Roman" w:hAnsi="Times New Roman" w:cs="Times New Roman"/>
        </w:rPr>
        <w:t>18,</w:t>
      </w:r>
      <w:r w:rsidR="0032211B" w:rsidRPr="00AF0582">
        <w:rPr>
          <w:rFonts w:ascii="Times New Roman" w:hAnsi="Times New Roman" w:cs="Times New Roman"/>
        </w:rPr>
        <w:t>8</w:t>
      </w:r>
      <w:r w:rsidRPr="00AF0582">
        <w:rPr>
          <w:rFonts w:ascii="Times New Roman" w:hAnsi="Times New Roman" w:cs="Times New Roman"/>
        </w:rPr>
        <w:t>% w 202</w:t>
      </w:r>
      <w:r w:rsidR="0032211B" w:rsidRPr="00AF0582">
        <w:rPr>
          <w:rFonts w:ascii="Times New Roman" w:hAnsi="Times New Roman" w:cs="Times New Roman"/>
        </w:rPr>
        <w:t>3</w:t>
      </w:r>
      <w:r w:rsidRPr="00AF0582">
        <w:rPr>
          <w:rFonts w:ascii="Times New Roman" w:hAnsi="Times New Roman" w:cs="Times New Roman"/>
        </w:rPr>
        <w:t xml:space="preserve"> r. względem poprzedniego roku, a ich udział w PKB wzrósł z 0,</w:t>
      </w:r>
      <w:r w:rsidR="0032211B" w:rsidRPr="00AF0582">
        <w:rPr>
          <w:rFonts w:ascii="Times New Roman" w:hAnsi="Times New Roman" w:cs="Times New Roman"/>
        </w:rPr>
        <w:t>94</w:t>
      </w:r>
      <w:r w:rsidRPr="00AF0582">
        <w:rPr>
          <w:rFonts w:ascii="Times New Roman" w:hAnsi="Times New Roman" w:cs="Times New Roman"/>
        </w:rPr>
        <w:t>% w 201</w:t>
      </w:r>
      <w:r w:rsidR="0032211B" w:rsidRPr="00AF0582">
        <w:rPr>
          <w:rFonts w:ascii="Times New Roman" w:hAnsi="Times New Roman" w:cs="Times New Roman"/>
        </w:rPr>
        <w:t>4</w:t>
      </w:r>
      <w:r w:rsidRPr="00AF0582">
        <w:rPr>
          <w:rFonts w:ascii="Times New Roman" w:hAnsi="Times New Roman" w:cs="Times New Roman"/>
        </w:rPr>
        <w:t xml:space="preserve"> r. do 1,</w:t>
      </w:r>
      <w:r w:rsidR="0032211B" w:rsidRPr="00AF0582">
        <w:rPr>
          <w:rFonts w:ascii="Times New Roman" w:hAnsi="Times New Roman" w:cs="Times New Roman"/>
        </w:rPr>
        <w:t>5</w:t>
      </w:r>
      <w:r w:rsidRPr="00AF0582">
        <w:rPr>
          <w:rFonts w:ascii="Times New Roman" w:hAnsi="Times New Roman" w:cs="Times New Roman"/>
        </w:rPr>
        <w:t xml:space="preserve">6% </w:t>
      </w:r>
      <w:r w:rsidR="0032211B" w:rsidRPr="00AF0582">
        <w:rPr>
          <w:rFonts w:ascii="Times New Roman" w:hAnsi="Times New Roman" w:cs="Times New Roman"/>
        </w:rPr>
        <w:t>w 2023 r.</w:t>
      </w:r>
      <w:r w:rsidRPr="00AF0582">
        <w:rPr>
          <w:rFonts w:ascii="Times New Roman" w:hAnsi="Times New Roman" w:cs="Times New Roman"/>
        </w:rPr>
        <w:t xml:space="preserve">), to luka względem </w:t>
      </w:r>
      <w:r w:rsidR="0032211B" w:rsidRPr="00AF0582">
        <w:rPr>
          <w:rFonts w:ascii="Times New Roman" w:hAnsi="Times New Roman" w:cs="Times New Roman"/>
        </w:rPr>
        <w:t xml:space="preserve">wysoko </w:t>
      </w:r>
      <w:r w:rsidRPr="00AF0582">
        <w:rPr>
          <w:rFonts w:ascii="Times New Roman" w:hAnsi="Times New Roman" w:cs="Times New Roman"/>
        </w:rPr>
        <w:t>rozwiniętych państw nadal jest duża.</w:t>
      </w:r>
    </w:p>
    <w:p w14:paraId="522465D9" w14:textId="409E3FE9" w:rsidR="004366D5" w:rsidRPr="00AF0582" w:rsidRDefault="004366D5" w:rsidP="00AF0582">
      <w:pPr>
        <w:spacing w:line="360" w:lineRule="auto"/>
        <w:ind w:firstLine="708"/>
        <w:jc w:val="both"/>
        <w:rPr>
          <w:rFonts w:ascii="Times New Roman" w:hAnsi="Times New Roman" w:cs="Times New Roman"/>
        </w:rPr>
      </w:pPr>
      <w:r w:rsidRPr="00AF0582">
        <w:rPr>
          <w:rFonts w:ascii="Times New Roman" w:hAnsi="Times New Roman" w:cs="Times New Roman"/>
        </w:rPr>
        <w:t>Co istotne, znaczna część nakładów na innowacje w Polsce pochodzi ze środków publicznych oraz funduszy unijnych, a zaangażowanie kapitału prywatnego w prace B+R wciąż jest ograniczone. Z danych GUS wynika, że w 2022 r. sektor</w:t>
      </w:r>
      <w:r w:rsidR="00137913">
        <w:rPr>
          <w:rFonts w:ascii="Times New Roman" w:hAnsi="Times New Roman" w:cs="Times New Roman"/>
        </w:rPr>
        <w:t xml:space="preserve"> przedsiębiorstw finansował ok. </w:t>
      </w:r>
      <w:r w:rsidRPr="00AF0582">
        <w:rPr>
          <w:rFonts w:ascii="Times New Roman" w:hAnsi="Times New Roman" w:cs="Times New Roman"/>
        </w:rPr>
        <w:t xml:space="preserve">65% nakładów B+R w Polsce, podczas gdy w gospodarkach </w:t>
      </w:r>
      <w:proofErr w:type="spellStart"/>
      <w:r w:rsidRPr="00AF0582">
        <w:rPr>
          <w:rFonts w:ascii="Times New Roman" w:hAnsi="Times New Roman" w:cs="Times New Roman"/>
        </w:rPr>
        <w:t>wysokoinnowacyjnych</w:t>
      </w:r>
      <w:proofErr w:type="spellEnd"/>
      <w:r w:rsidRPr="00AF0582">
        <w:rPr>
          <w:rFonts w:ascii="Times New Roman" w:hAnsi="Times New Roman" w:cs="Times New Roman"/>
        </w:rPr>
        <w:t xml:space="preserve"> biznes często ponosi 70</w:t>
      </w:r>
      <w:r w:rsidR="00DA4FA2" w:rsidRPr="00AF0582">
        <w:rPr>
          <w:rFonts w:ascii="Times New Roman" w:hAnsi="Times New Roman" w:cs="Times New Roman"/>
        </w:rPr>
        <w:t>-</w:t>
      </w:r>
      <w:r w:rsidRPr="00AF0582">
        <w:rPr>
          <w:rFonts w:ascii="Times New Roman" w:hAnsi="Times New Roman" w:cs="Times New Roman"/>
        </w:rPr>
        <w:t>80% całkowitych wydatków na B+R. Oznacza to, że bez aktywnej roli państwa trudno oczekiwać przełomu</w:t>
      </w:r>
      <w:r w:rsidR="0032211B" w:rsidRPr="00AF0582">
        <w:rPr>
          <w:rFonts w:ascii="Times New Roman" w:hAnsi="Times New Roman" w:cs="Times New Roman"/>
        </w:rPr>
        <w:t xml:space="preserve">, </w:t>
      </w:r>
      <w:r w:rsidRPr="00AF0582">
        <w:rPr>
          <w:rFonts w:ascii="Times New Roman" w:hAnsi="Times New Roman" w:cs="Times New Roman"/>
        </w:rPr>
        <w:t>tym bardziej, że pr</w:t>
      </w:r>
      <w:r w:rsidR="00137913">
        <w:rPr>
          <w:rFonts w:ascii="Times New Roman" w:hAnsi="Times New Roman" w:cs="Times New Roman"/>
        </w:rPr>
        <w:t>zedsiębiorcy często rezygnują z </w:t>
      </w:r>
      <w:r w:rsidRPr="00AF0582">
        <w:rPr>
          <w:rFonts w:ascii="Times New Roman" w:hAnsi="Times New Roman" w:cs="Times New Roman"/>
        </w:rPr>
        <w:t>realizacji innowacyjnych projektów, jeśli nie uzyskają wsparcia publicznego. Najwyższa Izba Kontroli</w:t>
      </w:r>
      <w:r w:rsidR="00137913">
        <w:rPr>
          <w:rFonts w:ascii="Times New Roman" w:hAnsi="Times New Roman" w:cs="Times New Roman"/>
        </w:rPr>
        <w:t xml:space="preserve"> (NIK)</w:t>
      </w:r>
      <w:r w:rsidRPr="00AF0582">
        <w:rPr>
          <w:rFonts w:ascii="Times New Roman" w:hAnsi="Times New Roman" w:cs="Times New Roman"/>
        </w:rPr>
        <w:t xml:space="preserve"> w raporcie podsumowującym </w:t>
      </w:r>
      <w:r w:rsidR="0032211B" w:rsidRPr="00AF0582">
        <w:rPr>
          <w:rFonts w:ascii="Times New Roman" w:hAnsi="Times New Roman" w:cs="Times New Roman"/>
        </w:rPr>
        <w:t>kontrolę pod nazwą „Wykorzystanie przez przedsiębiorców środków publicznych na innowacje i prace badawczo-rozwojowe” (201</w:t>
      </w:r>
      <w:r w:rsidR="00137913">
        <w:rPr>
          <w:rFonts w:ascii="Times New Roman" w:hAnsi="Times New Roman" w:cs="Times New Roman"/>
        </w:rPr>
        <w:t>7 - </w:t>
      </w:r>
      <w:r w:rsidR="0032211B" w:rsidRPr="00AF0582">
        <w:rPr>
          <w:rFonts w:ascii="Times New Roman" w:hAnsi="Times New Roman" w:cs="Times New Roman"/>
        </w:rPr>
        <w:t xml:space="preserve">ostatnia szczegółowa kontrola z tego zakresu) </w:t>
      </w:r>
      <w:r w:rsidRPr="00AF0582">
        <w:rPr>
          <w:rFonts w:ascii="Times New Roman" w:hAnsi="Times New Roman" w:cs="Times New Roman"/>
        </w:rPr>
        <w:t>stwierdziła, że „przedsiębiorcy w</w:t>
      </w:r>
      <w:r w:rsidR="00137913">
        <w:rPr>
          <w:rFonts w:ascii="Times New Roman" w:hAnsi="Times New Roman" w:cs="Times New Roman"/>
        </w:rPr>
        <w:t> </w:t>
      </w:r>
      <w:r w:rsidRPr="00AF0582">
        <w:rPr>
          <w:rFonts w:ascii="Times New Roman" w:hAnsi="Times New Roman" w:cs="Times New Roman"/>
        </w:rPr>
        <w:t>zdecydowanej większości przypadków (24 na 30) rezygnowali z realizacji innowacyjnych projektów, gdy nie otrzymali publicznego wsparcia”. Jednocześnie NIK wskazała, iż dotychczasowe programy wsparcia innowacji w Polsce ce</w:t>
      </w:r>
      <w:r w:rsidR="007F38A5">
        <w:rPr>
          <w:rFonts w:ascii="Times New Roman" w:hAnsi="Times New Roman" w:cs="Times New Roman"/>
        </w:rPr>
        <w:t>chował brak spójnej strategii i </w:t>
      </w:r>
      <w:r w:rsidRPr="00AF0582">
        <w:rPr>
          <w:rFonts w:ascii="Times New Roman" w:hAnsi="Times New Roman" w:cs="Times New Roman"/>
        </w:rPr>
        <w:t xml:space="preserve">koncentracji na projektach rzeczywiście przełomowych </w:t>
      </w:r>
      <w:r w:rsidR="00DA4FA2" w:rsidRPr="00AF0582">
        <w:rPr>
          <w:rFonts w:ascii="Times New Roman" w:hAnsi="Times New Roman" w:cs="Times New Roman"/>
        </w:rPr>
        <w:t>-</w:t>
      </w:r>
      <w:r w:rsidRPr="00AF0582">
        <w:rPr>
          <w:rFonts w:ascii="Times New Roman" w:hAnsi="Times New Roman" w:cs="Times New Roman"/>
        </w:rPr>
        <w:t xml:space="preserve"> środki rozproszone w wielu programach operacyjnych często finansowały jedynie rozwiązania nowe z perspektywy danego przedsiębiorcy, ale niebędące faktyczną nowością w skali kraju czy świata. </w:t>
      </w:r>
    </w:p>
    <w:p w14:paraId="5964204E" w14:textId="46A2BEA6" w:rsidR="004366D5" w:rsidRPr="00AF0582" w:rsidRDefault="004366D5"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Projektowana ustawa wprost odpowiada na powyższe wnioski. Poprzez utworzenie Funduszu </w:t>
      </w:r>
      <w:r w:rsidR="00DA4FA2" w:rsidRPr="00AF0582">
        <w:rPr>
          <w:rFonts w:ascii="Times New Roman" w:hAnsi="Times New Roman" w:cs="Times New Roman"/>
        </w:rPr>
        <w:t>jako państwowego funduszu celowego</w:t>
      </w:r>
      <w:r w:rsidRPr="00AF0582">
        <w:rPr>
          <w:rFonts w:ascii="Times New Roman" w:hAnsi="Times New Roman" w:cs="Times New Roman"/>
        </w:rPr>
        <w:t xml:space="preserve"> z jasno określonymi priorytetami technologicznymi (technologie przełomowe o kluczowym znaczeniu dla </w:t>
      </w:r>
      <w:r w:rsidR="005870D5">
        <w:rPr>
          <w:rFonts w:ascii="Times New Roman" w:hAnsi="Times New Roman" w:cs="Times New Roman"/>
        </w:rPr>
        <w:t xml:space="preserve">gospodarki </w:t>
      </w:r>
      <w:r w:rsidRPr="00AF0582">
        <w:rPr>
          <w:rFonts w:ascii="Times New Roman" w:hAnsi="Times New Roman" w:cs="Times New Roman"/>
        </w:rPr>
        <w:t>przyszłości) oraz mechanizmami wyboru projektów,</w:t>
      </w:r>
      <w:r w:rsidR="00DA4FA2" w:rsidRPr="00AF0582">
        <w:rPr>
          <w:rFonts w:ascii="Times New Roman" w:hAnsi="Times New Roman" w:cs="Times New Roman"/>
        </w:rPr>
        <w:t xml:space="preserve"> nastąpi </w:t>
      </w:r>
      <w:r w:rsidRPr="00AF0582">
        <w:rPr>
          <w:rFonts w:ascii="Times New Roman" w:hAnsi="Times New Roman" w:cs="Times New Roman"/>
        </w:rPr>
        <w:t xml:space="preserve">skokowe zwiększenie efektywności inwestowania środków publicznych w innowacje. Fundusz umożliwi koncentrację zasobów finansowych na najbardziej obiecujących kierunkach rozwoju (jak </w:t>
      </w:r>
      <w:r w:rsidR="00DA4FA2" w:rsidRPr="00AF0582">
        <w:rPr>
          <w:rFonts w:ascii="Times New Roman" w:hAnsi="Times New Roman" w:cs="Times New Roman"/>
        </w:rPr>
        <w:t>sztuczna inteligencja i uczenie maszynowe</w:t>
      </w:r>
      <w:r w:rsidRPr="00AF0582">
        <w:rPr>
          <w:rFonts w:ascii="Times New Roman" w:hAnsi="Times New Roman" w:cs="Times New Roman"/>
        </w:rPr>
        <w:t>, komputery kwantowe, biotechnologia, robotyka, etc.), zapewniając równocześnie koordynację działań na poziomie centralnym</w:t>
      </w:r>
      <w:r w:rsidR="00DA4FA2" w:rsidRPr="00AF0582">
        <w:rPr>
          <w:rFonts w:ascii="Times New Roman" w:hAnsi="Times New Roman" w:cs="Times New Roman"/>
        </w:rPr>
        <w:t xml:space="preserve">, </w:t>
      </w:r>
      <w:r w:rsidRPr="00AF0582">
        <w:rPr>
          <w:rFonts w:ascii="Times New Roman" w:hAnsi="Times New Roman" w:cs="Times New Roman"/>
        </w:rPr>
        <w:t xml:space="preserve">tak aby uniknąć rozproszenia i dublowania programów wsparcia. Kompleksowe spojrzenie sprawi, że realizowane inwestycje przyczynią się do wyrównywania różnic w innowacyjności między regionami i sektorami, pomoże uniknąć pułapek wynikających z udzielania fragmentarycznego lub wybiórczego wsparcia, a także sprawi, że dofinansowane </w:t>
      </w:r>
      <w:r w:rsidR="007F38A5">
        <w:rPr>
          <w:rFonts w:ascii="Times New Roman" w:hAnsi="Times New Roman" w:cs="Times New Roman"/>
        </w:rPr>
        <w:t>zostaną rzeczywiście projekty o </w:t>
      </w:r>
      <w:r w:rsidRPr="00AF0582">
        <w:rPr>
          <w:rFonts w:ascii="Times New Roman" w:hAnsi="Times New Roman" w:cs="Times New Roman"/>
        </w:rPr>
        <w:t>charakterze strategicznym dla całej gospodarki</w:t>
      </w:r>
      <w:r w:rsidR="00DA4FA2" w:rsidRPr="00AF0582">
        <w:rPr>
          <w:rFonts w:ascii="Times New Roman" w:hAnsi="Times New Roman" w:cs="Times New Roman"/>
        </w:rPr>
        <w:t>.</w:t>
      </w:r>
    </w:p>
    <w:p w14:paraId="71382E71" w14:textId="76A6B71A" w:rsidR="004366D5" w:rsidRDefault="004366D5" w:rsidP="00AF0582">
      <w:pPr>
        <w:spacing w:line="360" w:lineRule="auto"/>
        <w:ind w:firstLine="708"/>
        <w:jc w:val="both"/>
        <w:rPr>
          <w:rFonts w:ascii="Times New Roman" w:hAnsi="Times New Roman" w:cs="Times New Roman"/>
        </w:rPr>
      </w:pPr>
      <w:r w:rsidRPr="00AF0582">
        <w:rPr>
          <w:rFonts w:ascii="Times New Roman" w:hAnsi="Times New Roman" w:cs="Times New Roman"/>
        </w:rPr>
        <w:t>Współczesne uwarunkowania czynią inwestycje w technologie przełomowe nie tylko kwestią rozwoju gospodarczego, ale wręcz konieczności</w:t>
      </w:r>
      <w:r w:rsidR="007F38A5">
        <w:rPr>
          <w:rFonts w:ascii="Times New Roman" w:hAnsi="Times New Roman" w:cs="Times New Roman"/>
        </w:rPr>
        <w:t>ą dla zachowania suwerenności i </w:t>
      </w:r>
      <w:r w:rsidRPr="00AF0582">
        <w:rPr>
          <w:rFonts w:ascii="Times New Roman" w:hAnsi="Times New Roman" w:cs="Times New Roman"/>
        </w:rPr>
        <w:t>bezpieczeństwa państwa. Sztuczna inteligencja czy kryptografia kwantowa stają się narzędziami rywalizacji międzynarodowej</w:t>
      </w:r>
      <w:r w:rsidR="00DA4FA2" w:rsidRPr="00AF0582">
        <w:rPr>
          <w:rFonts w:ascii="Times New Roman" w:hAnsi="Times New Roman" w:cs="Times New Roman"/>
        </w:rPr>
        <w:t xml:space="preserve"> - </w:t>
      </w:r>
      <w:r w:rsidRPr="00AF0582">
        <w:rPr>
          <w:rFonts w:ascii="Times New Roman" w:hAnsi="Times New Roman" w:cs="Times New Roman"/>
        </w:rPr>
        <w:t xml:space="preserve">zarówno na polu ekonomii (przewaga technologiczna przekłada się na przewagę rynkową), jak i w sferze militarnej czy informacyjnej. Coraz częstsze ataki cybernetyczne na infrastrukturę krytyczną państw pokazują, że zdolności w zakresie </w:t>
      </w:r>
      <w:proofErr w:type="spellStart"/>
      <w:r w:rsidRPr="00AF0582">
        <w:rPr>
          <w:rFonts w:ascii="Times New Roman" w:hAnsi="Times New Roman" w:cs="Times New Roman"/>
        </w:rPr>
        <w:t>cyberbezpieczeństwa</w:t>
      </w:r>
      <w:proofErr w:type="spellEnd"/>
      <w:r w:rsidRPr="00AF0582">
        <w:rPr>
          <w:rFonts w:ascii="Times New Roman" w:hAnsi="Times New Roman" w:cs="Times New Roman"/>
        </w:rPr>
        <w:t xml:space="preserve"> i nowoczesnych systemów informatycznych są równie istotne jak tradycyjne zdolności obronne. W odpowiedzi na te wyzwania państwa wysoko rozwinięte znacząco zwiększają nakłady na badania nad nowymi technologiami o potencjale przełomowym. Unia Europejska, obok </w:t>
      </w:r>
      <w:r w:rsidR="00DA4FA2" w:rsidRPr="00AF0582">
        <w:rPr>
          <w:rFonts w:ascii="Times New Roman" w:hAnsi="Times New Roman" w:cs="Times New Roman"/>
        </w:rPr>
        <w:t>innych</w:t>
      </w:r>
      <w:r w:rsidRPr="00AF0582">
        <w:rPr>
          <w:rFonts w:ascii="Times New Roman" w:hAnsi="Times New Roman" w:cs="Times New Roman"/>
        </w:rPr>
        <w:t xml:space="preserve"> inicjatyw w zakresie AI, uruchomiła np. Flagowy Program Kwantowy (Quantum </w:t>
      </w:r>
      <w:proofErr w:type="spellStart"/>
      <w:r w:rsidRPr="00AF0582">
        <w:rPr>
          <w:rFonts w:ascii="Times New Roman" w:hAnsi="Times New Roman" w:cs="Times New Roman"/>
        </w:rPr>
        <w:t>Flagship</w:t>
      </w:r>
      <w:proofErr w:type="spellEnd"/>
      <w:r w:rsidRPr="00AF0582">
        <w:rPr>
          <w:rFonts w:ascii="Times New Roman" w:hAnsi="Times New Roman" w:cs="Times New Roman"/>
        </w:rPr>
        <w:t>) o budżecie 1 mld € na lata 2018</w:t>
      </w:r>
      <w:r w:rsidR="00DA4FA2" w:rsidRPr="00AF0582">
        <w:rPr>
          <w:rFonts w:ascii="Times New Roman" w:hAnsi="Times New Roman" w:cs="Times New Roman"/>
        </w:rPr>
        <w:t>-</w:t>
      </w:r>
      <w:r w:rsidRPr="00AF0582">
        <w:rPr>
          <w:rFonts w:ascii="Times New Roman" w:hAnsi="Times New Roman" w:cs="Times New Roman"/>
        </w:rPr>
        <w:t xml:space="preserve">2028, Francja w 2021 r. ogłosiła narodowy program rozwoju technologii kwantowych o wartości 1,8 mld €. Również Polska dostrzega te potrzeby </w:t>
      </w:r>
      <w:r w:rsidR="00DA4FA2" w:rsidRPr="00AF0582">
        <w:rPr>
          <w:rFonts w:ascii="Times New Roman" w:hAnsi="Times New Roman" w:cs="Times New Roman"/>
        </w:rPr>
        <w:t>-</w:t>
      </w:r>
      <w:r w:rsidRPr="00AF0582">
        <w:rPr>
          <w:rFonts w:ascii="Times New Roman" w:hAnsi="Times New Roman" w:cs="Times New Roman"/>
        </w:rPr>
        <w:t xml:space="preserve"> w dokumencie „Polityka naukowa państwa” przyjętym w 2022 r. </w:t>
      </w:r>
      <w:r w:rsidR="007F38A5">
        <w:rPr>
          <w:rFonts w:ascii="Times New Roman" w:hAnsi="Times New Roman" w:cs="Times New Roman"/>
        </w:rPr>
        <w:t>wskazano informatykę kwantową i </w:t>
      </w:r>
      <w:r w:rsidRPr="00AF0582">
        <w:rPr>
          <w:rFonts w:ascii="Times New Roman" w:hAnsi="Times New Roman" w:cs="Times New Roman"/>
        </w:rPr>
        <w:t xml:space="preserve">zaawansowane obliczenia wysokiej mocy jako jedne z głównych priorytetów nauki polskiej na najbliższe lata. Już teraz polskie ośrodki badawcze uczestniczą w międzynarodowych przedsięwzięciach w tym zakresie (np. w projekcie </w:t>
      </w:r>
      <w:proofErr w:type="spellStart"/>
      <w:r w:rsidRPr="00AF0582">
        <w:rPr>
          <w:rFonts w:ascii="Times New Roman" w:hAnsi="Times New Roman" w:cs="Times New Roman"/>
        </w:rPr>
        <w:t>EuroQCS</w:t>
      </w:r>
      <w:proofErr w:type="spellEnd"/>
      <w:r w:rsidRPr="00AF0582">
        <w:rPr>
          <w:rFonts w:ascii="Times New Roman" w:hAnsi="Times New Roman" w:cs="Times New Roman"/>
        </w:rPr>
        <w:t xml:space="preserve">-PL koordynowanym przez Poznańskie Centrum Superkomputerowo-Sieciowe, </w:t>
      </w:r>
      <w:r w:rsidR="00DA4FA2" w:rsidRPr="00AF0582">
        <w:rPr>
          <w:rFonts w:ascii="Times New Roman" w:hAnsi="Times New Roman" w:cs="Times New Roman"/>
        </w:rPr>
        <w:t>owocujący</w:t>
      </w:r>
      <w:r w:rsidR="003740FC">
        <w:rPr>
          <w:rFonts w:ascii="Times New Roman" w:hAnsi="Times New Roman" w:cs="Times New Roman"/>
        </w:rPr>
        <w:t>m</w:t>
      </w:r>
      <w:r w:rsidR="00DA4FA2" w:rsidRPr="00AF0582">
        <w:rPr>
          <w:rFonts w:ascii="Times New Roman" w:hAnsi="Times New Roman" w:cs="Times New Roman"/>
        </w:rPr>
        <w:t xml:space="preserve"> niedawnym uruchomieniem komputera kwantowego w technologii </w:t>
      </w:r>
      <w:proofErr w:type="spellStart"/>
      <w:r w:rsidR="00DA4FA2" w:rsidRPr="00AF0582">
        <w:rPr>
          <w:rFonts w:ascii="Times New Roman" w:hAnsi="Times New Roman" w:cs="Times New Roman"/>
        </w:rPr>
        <w:t>spułapkowanych</w:t>
      </w:r>
      <w:proofErr w:type="spellEnd"/>
      <w:r w:rsidR="00DA4FA2" w:rsidRPr="00AF0582">
        <w:rPr>
          <w:rFonts w:ascii="Times New Roman" w:hAnsi="Times New Roman" w:cs="Times New Roman"/>
        </w:rPr>
        <w:t xml:space="preserve"> jonów</w:t>
      </w:r>
      <w:r w:rsidRPr="00AF0582">
        <w:rPr>
          <w:rFonts w:ascii="Times New Roman" w:hAnsi="Times New Roman" w:cs="Times New Roman"/>
        </w:rPr>
        <w:t>). Aby jednak tego rodzaju inicjatywy mogły się rozwijać i przynosić rezultaty, niezbędne jest zapewnienie im stabilnego finansowania oraz systemowego wsparcia</w:t>
      </w:r>
      <w:r w:rsidR="00DA4FA2" w:rsidRPr="00AF0582">
        <w:rPr>
          <w:rFonts w:ascii="Times New Roman" w:hAnsi="Times New Roman" w:cs="Times New Roman"/>
        </w:rPr>
        <w:t xml:space="preserve">, </w:t>
      </w:r>
      <w:r w:rsidRPr="00AF0582">
        <w:rPr>
          <w:rFonts w:ascii="Times New Roman" w:hAnsi="Times New Roman" w:cs="Times New Roman"/>
        </w:rPr>
        <w:t>stąd propozycja ustanowienia Funduszu jako dedykowanego źródła finansowania technologii przyszłości.</w:t>
      </w:r>
      <w:r w:rsidR="005870D5">
        <w:rPr>
          <w:rFonts w:ascii="Times New Roman" w:hAnsi="Times New Roman" w:cs="Times New Roman"/>
        </w:rPr>
        <w:t xml:space="preserve"> </w:t>
      </w:r>
    </w:p>
    <w:p w14:paraId="0F0F6A79" w14:textId="69449453" w:rsidR="005870D5" w:rsidRPr="00AF0582" w:rsidRDefault="005870D5" w:rsidP="00AF0582">
      <w:pPr>
        <w:spacing w:line="360" w:lineRule="auto"/>
        <w:ind w:firstLine="708"/>
        <w:jc w:val="both"/>
        <w:rPr>
          <w:rFonts w:ascii="Times New Roman" w:hAnsi="Times New Roman" w:cs="Times New Roman"/>
        </w:rPr>
      </w:pPr>
      <w:r>
        <w:rPr>
          <w:rFonts w:ascii="Times New Roman" w:hAnsi="Times New Roman" w:cs="Times New Roman"/>
        </w:rPr>
        <w:t>Co istotne, Fundusz będzie tam gdzie to możliwe opierał się o istniejące już dobre praktyki i wykorzystywał zasoby instytucjonalne istnie</w:t>
      </w:r>
      <w:r w:rsidR="003740FC">
        <w:rPr>
          <w:rFonts w:ascii="Times New Roman" w:hAnsi="Times New Roman" w:cs="Times New Roman"/>
        </w:rPr>
        <w:t>jących podmiotów działających w </w:t>
      </w:r>
      <w:r>
        <w:rPr>
          <w:rFonts w:ascii="Times New Roman" w:hAnsi="Times New Roman" w:cs="Times New Roman"/>
        </w:rPr>
        <w:t>obszarze wsparcia innowacyjności, zapewniając stabilne źródło finansowania dla inicjatyw będących w gestii tych instytucji.</w:t>
      </w:r>
    </w:p>
    <w:p w14:paraId="53D56692" w14:textId="76EE9C9D" w:rsidR="004366D5" w:rsidRPr="00AF0582" w:rsidRDefault="004366D5" w:rsidP="00AF0582">
      <w:pPr>
        <w:spacing w:line="360" w:lineRule="auto"/>
        <w:ind w:firstLine="708"/>
        <w:jc w:val="both"/>
        <w:rPr>
          <w:rFonts w:ascii="Times New Roman" w:hAnsi="Times New Roman" w:cs="Times New Roman"/>
        </w:rPr>
      </w:pPr>
      <w:r w:rsidRPr="00AF0582">
        <w:rPr>
          <w:rFonts w:ascii="Times New Roman" w:hAnsi="Times New Roman" w:cs="Times New Roman"/>
        </w:rPr>
        <w:t>Reasumując, zarówno uwarunkowania</w:t>
      </w:r>
      <w:r w:rsidR="00DA4FA2" w:rsidRPr="00AF0582">
        <w:rPr>
          <w:rFonts w:ascii="Times New Roman" w:hAnsi="Times New Roman" w:cs="Times New Roman"/>
        </w:rPr>
        <w:t xml:space="preserve"> wewnętrzne</w:t>
      </w:r>
      <w:r w:rsidRPr="00AF0582">
        <w:rPr>
          <w:rFonts w:ascii="Times New Roman" w:hAnsi="Times New Roman" w:cs="Times New Roman"/>
        </w:rPr>
        <w:t xml:space="preserve">, jak i trendy globalne jednoznacznie wskazują na konieczność podjęcia skoordynowanego wysiłku państwa na rzecz technologii przełomowych. Ustawa o Funduszu Rozwoju Technologii Przełomowych jest odpowiedzią na tę konieczność i stanowi inwestycję w przyszłość kraju </w:t>
      </w:r>
      <w:r w:rsidR="00DA4FA2" w:rsidRPr="00AF0582">
        <w:rPr>
          <w:rFonts w:ascii="Times New Roman" w:hAnsi="Times New Roman" w:cs="Times New Roman"/>
        </w:rPr>
        <w:t>-</w:t>
      </w:r>
      <w:r w:rsidRPr="00AF0582">
        <w:rPr>
          <w:rFonts w:ascii="Times New Roman" w:hAnsi="Times New Roman" w:cs="Times New Roman"/>
        </w:rPr>
        <w:t xml:space="preserve"> tak jak niegdyś budowa portu w Gdyni czy Centralnego Okręgu Przemysłowego stanowiły impulsy modernizacyjne na miarę potrzeb swoich czasów. </w:t>
      </w:r>
      <w:r w:rsidR="00DA4FA2" w:rsidRPr="00AF0582">
        <w:rPr>
          <w:rFonts w:ascii="Times New Roman" w:hAnsi="Times New Roman" w:cs="Times New Roman"/>
        </w:rPr>
        <w:t>Eksperci zauważają</w:t>
      </w:r>
      <w:r w:rsidRPr="00AF0582">
        <w:rPr>
          <w:rFonts w:ascii="Times New Roman" w:hAnsi="Times New Roman" w:cs="Times New Roman"/>
        </w:rPr>
        <w:t>,</w:t>
      </w:r>
      <w:r w:rsidR="00DA4FA2" w:rsidRPr="00AF0582">
        <w:rPr>
          <w:rFonts w:ascii="Times New Roman" w:hAnsi="Times New Roman" w:cs="Times New Roman"/>
        </w:rPr>
        <w:t xml:space="preserve"> że </w:t>
      </w:r>
      <w:r w:rsidRPr="00AF0582">
        <w:rPr>
          <w:rFonts w:ascii="Times New Roman" w:hAnsi="Times New Roman" w:cs="Times New Roman"/>
        </w:rPr>
        <w:t>inwestycje w nowe technologie, takie jak sztuczna inteligencja, zwracają się wielokrotni</w:t>
      </w:r>
      <w:r w:rsidR="00DA4FA2" w:rsidRPr="00AF0582">
        <w:rPr>
          <w:rFonts w:ascii="Times New Roman" w:hAnsi="Times New Roman" w:cs="Times New Roman"/>
        </w:rPr>
        <w:t xml:space="preserve">e, a </w:t>
      </w:r>
      <w:r w:rsidRPr="00AF0582">
        <w:rPr>
          <w:rFonts w:ascii="Times New Roman" w:hAnsi="Times New Roman" w:cs="Times New Roman"/>
        </w:rPr>
        <w:t>analizy wskazują, że średnio każda złotówka zainwestowana w rozwiązania</w:t>
      </w:r>
      <w:r w:rsidR="00DA4FA2" w:rsidRPr="00AF0582">
        <w:rPr>
          <w:rFonts w:ascii="Times New Roman" w:hAnsi="Times New Roman" w:cs="Times New Roman"/>
        </w:rPr>
        <w:t xml:space="preserve"> oparte o najnowocześniejsze technologie</w:t>
      </w:r>
      <w:r w:rsidRPr="00AF0582">
        <w:rPr>
          <w:rFonts w:ascii="Times New Roman" w:hAnsi="Times New Roman" w:cs="Times New Roman"/>
        </w:rPr>
        <w:t xml:space="preserve"> przynosi przedsiębiorstwom kilk</w:t>
      </w:r>
      <w:r w:rsidR="003740FC">
        <w:rPr>
          <w:rFonts w:ascii="Times New Roman" w:hAnsi="Times New Roman" w:cs="Times New Roman"/>
        </w:rPr>
        <w:t>u</w:t>
      </w:r>
      <w:r w:rsidR="005870D5">
        <w:rPr>
          <w:rFonts w:ascii="Times New Roman" w:hAnsi="Times New Roman" w:cs="Times New Roman"/>
        </w:rPr>
        <w:t>, bądź nawet kilkunastokrotnie</w:t>
      </w:r>
      <w:r w:rsidRPr="00AF0582">
        <w:rPr>
          <w:rFonts w:ascii="Times New Roman" w:hAnsi="Times New Roman" w:cs="Times New Roman"/>
        </w:rPr>
        <w:t xml:space="preserve"> większe oszczędności lub przychody. Polska powinna wykorzystać te możliwości wzrostu produktywności i budowy nowych przewag konkurencyjnych</w:t>
      </w:r>
      <w:r w:rsidR="00DA4FA2" w:rsidRPr="00AF0582">
        <w:rPr>
          <w:rFonts w:ascii="Times New Roman" w:hAnsi="Times New Roman" w:cs="Times New Roman"/>
        </w:rPr>
        <w:t>,</w:t>
      </w:r>
      <w:r w:rsidRPr="00AF0582">
        <w:rPr>
          <w:rFonts w:ascii="Times New Roman" w:hAnsi="Times New Roman" w:cs="Times New Roman"/>
        </w:rPr>
        <w:t xml:space="preserve"> wymaga to jednak zasilenia systemu innowacji odpowiednim kapitałem oraz ukierunkowania go na najbardziej obiecujące obszary</w:t>
      </w:r>
      <w:r w:rsidR="005870D5">
        <w:rPr>
          <w:rFonts w:ascii="Times New Roman" w:hAnsi="Times New Roman" w:cs="Times New Roman"/>
        </w:rPr>
        <w:t xml:space="preserve"> przy poszanowaniu roli istniejących instytucji o podobnych celach.</w:t>
      </w:r>
    </w:p>
    <w:p w14:paraId="47EC38D8" w14:textId="77777777" w:rsidR="00DA4FA2" w:rsidRPr="00AF0582" w:rsidRDefault="00DA4FA2" w:rsidP="00AF0582">
      <w:pPr>
        <w:spacing w:line="360" w:lineRule="auto"/>
        <w:jc w:val="both"/>
        <w:rPr>
          <w:rFonts w:ascii="Times New Roman" w:hAnsi="Times New Roman" w:cs="Times New Roman"/>
        </w:rPr>
      </w:pPr>
    </w:p>
    <w:p w14:paraId="5A64175A" w14:textId="37BB3FF0" w:rsidR="004366D5" w:rsidRPr="00AF0582" w:rsidRDefault="004366D5" w:rsidP="00AF0582">
      <w:pPr>
        <w:spacing w:line="360" w:lineRule="auto"/>
        <w:jc w:val="both"/>
        <w:rPr>
          <w:rFonts w:ascii="Times New Roman" w:hAnsi="Times New Roman" w:cs="Times New Roman"/>
          <w:b/>
          <w:bCs/>
        </w:rPr>
      </w:pPr>
      <w:r w:rsidRPr="00AF0582">
        <w:rPr>
          <w:rFonts w:ascii="Times New Roman" w:hAnsi="Times New Roman" w:cs="Times New Roman"/>
          <w:b/>
          <w:bCs/>
        </w:rPr>
        <w:t>Streszcze</w:t>
      </w:r>
      <w:r w:rsidR="00DA4FA2" w:rsidRPr="00AF0582">
        <w:rPr>
          <w:rFonts w:ascii="Times New Roman" w:hAnsi="Times New Roman" w:cs="Times New Roman"/>
          <w:b/>
          <w:bCs/>
        </w:rPr>
        <w:t xml:space="preserve">nie rozwiązań przyjętych w projekcie </w:t>
      </w:r>
    </w:p>
    <w:p w14:paraId="514BA5ED" w14:textId="77777777" w:rsidR="00541DCB" w:rsidRPr="00AF0582" w:rsidRDefault="00541DCB" w:rsidP="00AF0582">
      <w:pPr>
        <w:spacing w:line="360" w:lineRule="auto"/>
        <w:jc w:val="both"/>
        <w:rPr>
          <w:rFonts w:ascii="Times New Roman" w:hAnsi="Times New Roman" w:cs="Times New Roman"/>
        </w:rPr>
      </w:pPr>
    </w:p>
    <w:p w14:paraId="6276EC5E" w14:textId="10662659" w:rsidR="005870D5" w:rsidRPr="003579EE" w:rsidRDefault="0061095D" w:rsidP="005870D5">
      <w:pPr>
        <w:pStyle w:val="ARTartustawynprozporzdzenia"/>
        <w:rPr>
          <w:rFonts w:eastAsia="Calibri"/>
        </w:rPr>
      </w:pPr>
      <w:r w:rsidRPr="00AF0582">
        <w:rPr>
          <w:rFonts w:ascii="Times New Roman" w:hAnsi="Times New Roman" w:cs="Times New Roman"/>
        </w:rPr>
        <w:t xml:space="preserve">Projekt ustawy precyzyjnie wskazuje cele Funduszu Rozwoju Technologii Przełomowych oraz zasady jego funkcjonowania. Zgodnie z art. </w:t>
      </w:r>
      <w:r w:rsidR="005870D5">
        <w:rPr>
          <w:rFonts w:ascii="Times New Roman" w:hAnsi="Times New Roman" w:cs="Times New Roman"/>
        </w:rPr>
        <w:t>4</w:t>
      </w:r>
      <w:r w:rsidRPr="00AF0582">
        <w:rPr>
          <w:rFonts w:ascii="Times New Roman" w:hAnsi="Times New Roman" w:cs="Times New Roman"/>
        </w:rPr>
        <w:t xml:space="preserve"> projektu, </w:t>
      </w:r>
      <w:r w:rsidR="005870D5" w:rsidRPr="003579EE">
        <w:rPr>
          <w:rFonts w:eastAsia="Calibri"/>
        </w:rPr>
        <w:t xml:space="preserve">Celem Funduszu jest </w:t>
      </w:r>
      <w:r w:rsidR="005870D5">
        <w:rPr>
          <w:rFonts w:eastAsia="Calibri"/>
        </w:rPr>
        <w:t>działanie na rzecz</w:t>
      </w:r>
      <w:r w:rsidR="003740FC">
        <w:rPr>
          <w:rFonts w:eastAsia="Calibri"/>
        </w:rPr>
        <w:t xml:space="preserve"> wzmocnienia</w:t>
      </w:r>
      <w:r w:rsidR="005870D5">
        <w:rPr>
          <w:rFonts w:eastAsia="Calibri"/>
        </w:rPr>
        <w:t xml:space="preserve"> bezpieczeństwa państwa, w szczególności w zakresie realizacji i wdrażania strategii bezpieczeństwa narodowego, o której mowa w art. 24 ustawy z dnia 11 marca 2022 r. o obronie Ojczyzny (Dz. U. z 2025 r. poz. 825, 1014 i 1080), poprzez wspieranie </w:t>
      </w:r>
      <w:r w:rsidR="005870D5" w:rsidRPr="003579EE">
        <w:rPr>
          <w:rFonts w:eastAsia="Calibri"/>
        </w:rPr>
        <w:t xml:space="preserve">polskiej nauki, administracji, gospodarki i społeczeństwa </w:t>
      </w:r>
      <w:r w:rsidR="005870D5">
        <w:rPr>
          <w:rFonts w:eastAsia="Calibri"/>
        </w:rPr>
        <w:t>w </w:t>
      </w:r>
      <w:r w:rsidR="005870D5" w:rsidRPr="003579EE">
        <w:rPr>
          <w:rFonts w:eastAsia="Calibri"/>
        </w:rPr>
        <w:t>rozwijaniu technologii przełomowych, w tym:</w:t>
      </w:r>
    </w:p>
    <w:p w14:paraId="0756B2E2" w14:textId="77777777" w:rsidR="005870D5" w:rsidRPr="003579EE" w:rsidRDefault="005870D5" w:rsidP="005870D5">
      <w:pPr>
        <w:pStyle w:val="LITlitera"/>
        <w:rPr>
          <w:rFonts w:eastAsia="Calibri"/>
        </w:rPr>
      </w:pPr>
      <w:r w:rsidRPr="003579EE">
        <w:rPr>
          <w:rFonts w:eastAsia="Calibri"/>
        </w:rPr>
        <w:t>a</w:t>
      </w:r>
      <w:r>
        <w:rPr>
          <w:rFonts w:eastAsia="Calibri"/>
        </w:rPr>
        <w:t>)</w:t>
      </w:r>
      <w:r w:rsidRPr="003579EE">
        <w:rPr>
          <w:rFonts w:eastAsia="Calibri"/>
        </w:rPr>
        <w:tab/>
        <w:t>biotechnologii i medycyn</w:t>
      </w:r>
      <w:r>
        <w:rPr>
          <w:rFonts w:eastAsia="Calibri"/>
        </w:rPr>
        <w:t>y</w:t>
      </w:r>
      <w:r w:rsidRPr="003579EE">
        <w:rPr>
          <w:rFonts w:eastAsia="Calibri"/>
        </w:rPr>
        <w:t>,</w:t>
      </w:r>
    </w:p>
    <w:p w14:paraId="24194EB0" w14:textId="77777777" w:rsidR="005870D5" w:rsidRPr="003579EE" w:rsidRDefault="005870D5" w:rsidP="005870D5">
      <w:pPr>
        <w:pStyle w:val="LITlitera"/>
        <w:rPr>
          <w:rFonts w:eastAsia="Calibri"/>
        </w:rPr>
      </w:pPr>
      <w:r w:rsidRPr="003579EE">
        <w:rPr>
          <w:rFonts w:eastAsia="Calibri"/>
        </w:rPr>
        <w:t>b</w:t>
      </w:r>
      <w:r>
        <w:rPr>
          <w:rFonts w:eastAsia="Calibri"/>
        </w:rPr>
        <w:t>)</w:t>
      </w:r>
      <w:r w:rsidRPr="003579EE">
        <w:rPr>
          <w:rFonts w:eastAsia="Calibri"/>
        </w:rPr>
        <w:tab/>
        <w:t>interfejsów człowiek-maszyna i technologii immersyjnych,</w:t>
      </w:r>
    </w:p>
    <w:p w14:paraId="79EC6D75" w14:textId="77777777" w:rsidR="005870D5" w:rsidRPr="003579EE" w:rsidRDefault="005870D5" w:rsidP="005870D5">
      <w:pPr>
        <w:pStyle w:val="LITlitera"/>
        <w:rPr>
          <w:rFonts w:eastAsia="Calibri"/>
        </w:rPr>
      </w:pPr>
      <w:r w:rsidRPr="003579EE">
        <w:rPr>
          <w:rFonts w:eastAsia="Calibri"/>
        </w:rPr>
        <w:t>c</w:t>
      </w:r>
      <w:r>
        <w:rPr>
          <w:rFonts w:eastAsia="Calibri"/>
        </w:rPr>
        <w:t>)</w:t>
      </w:r>
      <w:r w:rsidRPr="003579EE">
        <w:rPr>
          <w:rFonts w:eastAsia="Calibri"/>
        </w:rPr>
        <w:tab/>
        <w:t>technologii materiałowych</w:t>
      </w:r>
      <w:r>
        <w:rPr>
          <w:rFonts w:eastAsia="Calibri"/>
        </w:rPr>
        <w:t xml:space="preserve"> i</w:t>
      </w:r>
      <w:r w:rsidRPr="003579EE">
        <w:rPr>
          <w:rFonts w:eastAsia="Calibri"/>
        </w:rPr>
        <w:t xml:space="preserve"> produkcyjnych,</w:t>
      </w:r>
    </w:p>
    <w:p w14:paraId="7E301231" w14:textId="77777777" w:rsidR="005870D5" w:rsidRPr="003579EE" w:rsidRDefault="005870D5" w:rsidP="005870D5">
      <w:pPr>
        <w:pStyle w:val="LITlitera"/>
        <w:rPr>
          <w:rFonts w:eastAsia="Calibri"/>
        </w:rPr>
      </w:pPr>
      <w:r w:rsidRPr="003579EE">
        <w:rPr>
          <w:rFonts w:eastAsia="Calibri"/>
        </w:rPr>
        <w:t>d</w:t>
      </w:r>
      <w:r>
        <w:rPr>
          <w:rFonts w:eastAsia="Calibri"/>
        </w:rPr>
        <w:t>)</w:t>
      </w:r>
      <w:r w:rsidRPr="003579EE">
        <w:rPr>
          <w:rFonts w:eastAsia="Calibri"/>
        </w:rPr>
        <w:tab/>
        <w:t>technologii komunikacyjnych,</w:t>
      </w:r>
    </w:p>
    <w:p w14:paraId="1536E933" w14:textId="77777777" w:rsidR="005870D5" w:rsidRPr="003579EE" w:rsidRDefault="005870D5" w:rsidP="005870D5">
      <w:pPr>
        <w:pStyle w:val="LITlitera"/>
        <w:rPr>
          <w:rFonts w:eastAsia="Calibri"/>
        </w:rPr>
      </w:pPr>
      <w:r w:rsidRPr="003579EE">
        <w:rPr>
          <w:rFonts w:eastAsia="Calibri"/>
        </w:rPr>
        <w:t>e</w:t>
      </w:r>
      <w:r>
        <w:rPr>
          <w:rFonts w:eastAsia="Calibri"/>
        </w:rPr>
        <w:t>)</w:t>
      </w:r>
      <w:r w:rsidRPr="003579EE">
        <w:rPr>
          <w:rFonts w:eastAsia="Calibri"/>
        </w:rPr>
        <w:tab/>
        <w:t>sztucznej inteligencji i robotyki,</w:t>
      </w:r>
    </w:p>
    <w:p w14:paraId="769D05B1" w14:textId="77777777" w:rsidR="005870D5" w:rsidRPr="003579EE" w:rsidRDefault="005870D5" w:rsidP="005870D5">
      <w:pPr>
        <w:pStyle w:val="LITlitera"/>
        <w:rPr>
          <w:rFonts w:eastAsia="Calibri"/>
        </w:rPr>
      </w:pPr>
      <w:r w:rsidRPr="003579EE">
        <w:rPr>
          <w:rFonts w:eastAsia="Calibri"/>
        </w:rPr>
        <w:t>f</w:t>
      </w:r>
      <w:r>
        <w:rPr>
          <w:rFonts w:eastAsia="Calibri"/>
        </w:rPr>
        <w:t>)</w:t>
      </w:r>
      <w:r w:rsidRPr="003579EE">
        <w:rPr>
          <w:rFonts w:eastAsia="Calibri"/>
        </w:rPr>
        <w:tab/>
        <w:t>technologii energetycznych,</w:t>
      </w:r>
    </w:p>
    <w:p w14:paraId="00F0520A" w14:textId="77777777" w:rsidR="005870D5" w:rsidRPr="003579EE" w:rsidRDefault="005870D5" w:rsidP="005870D5">
      <w:pPr>
        <w:pStyle w:val="LITlitera"/>
        <w:rPr>
          <w:rFonts w:eastAsia="Calibri"/>
        </w:rPr>
      </w:pPr>
      <w:r w:rsidRPr="003579EE">
        <w:rPr>
          <w:rFonts w:eastAsia="Calibri"/>
        </w:rPr>
        <w:t>g</w:t>
      </w:r>
      <w:r>
        <w:rPr>
          <w:rFonts w:eastAsia="Calibri"/>
        </w:rPr>
        <w:t>)</w:t>
      </w:r>
      <w:r w:rsidRPr="003579EE">
        <w:rPr>
          <w:rFonts w:eastAsia="Calibri"/>
        </w:rPr>
        <w:tab/>
        <w:t>technologii kosmicznych i transportowych,</w:t>
      </w:r>
    </w:p>
    <w:p w14:paraId="1E87EAFA" w14:textId="77777777" w:rsidR="005870D5" w:rsidRPr="003579EE" w:rsidRDefault="005870D5" w:rsidP="005870D5">
      <w:pPr>
        <w:pStyle w:val="LITlitera"/>
        <w:rPr>
          <w:rFonts w:eastAsia="Calibri"/>
        </w:rPr>
      </w:pPr>
      <w:r w:rsidRPr="003579EE">
        <w:rPr>
          <w:rFonts w:eastAsia="Calibri"/>
        </w:rPr>
        <w:t>h</w:t>
      </w:r>
      <w:r>
        <w:rPr>
          <w:rFonts w:eastAsia="Calibri"/>
        </w:rPr>
        <w:t>)</w:t>
      </w:r>
      <w:r w:rsidRPr="003579EE">
        <w:rPr>
          <w:rFonts w:eastAsia="Calibri"/>
        </w:rPr>
        <w:tab/>
        <w:t>technologii środowiskowych, klimatycznych i rolniczych,</w:t>
      </w:r>
    </w:p>
    <w:p w14:paraId="5F4E4C24" w14:textId="77777777" w:rsidR="005870D5" w:rsidRPr="003579EE" w:rsidRDefault="005870D5" w:rsidP="005870D5">
      <w:pPr>
        <w:pStyle w:val="LITlitera"/>
        <w:rPr>
          <w:rFonts w:eastAsia="Calibri"/>
        </w:rPr>
      </w:pPr>
      <w:r w:rsidRPr="003579EE">
        <w:rPr>
          <w:rFonts w:eastAsia="Calibri"/>
        </w:rPr>
        <w:t>i</w:t>
      </w:r>
      <w:r>
        <w:rPr>
          <w:rFonts w:eastAsia="Calibri"/>
        </w:rPr>
        <w:t>)</w:t>
      </w:r>
      <w:r w:rsidRPr="003579EE">
        <w:rPr>
          <w:rFonts w:eastAsia="Calibri"/>
        </w:rPr>
        <w:tab/>
        <w:t>technologii cyfrowych i obliczeniowych, w tym technologii kwantowych i</w:t>
      </w:r>
      <w:r>
        <w:rPr>
          <w:rFonts w:eastAsia="Calibri"/>
        </w:rPr>
        <w:t> </w:t>
      </w:r>
      <w:r w:rsidRPr="003579EE">
        <w:rPr>
          <w:rFonts w:eastAsia="Calibri"/>
        </w:rPr>
        <w:t>kryptografii,</w:t>
      </w:r>
    </w:p>
    <w:p w14:paraId="59CBE5D1" w14:textId="77777777" w:rsidR="005870D5" w:rsidRPr="003579EE" w:rsidRDefault="005870D5" w:rsidP="005870D5">
      <w:pPr>
        <w:pStyle w:val="LITlitera"/>
        <w:rPr>
          <w:rFonts w:eastAsia="Calibri"/>
        </w:rPr>
      </w:pPr>
      <w:r w:rsidRPr="003579EE">
        <w:rPr>
          <w:rFonts w:eastAsia="Calibri"/>
        </w:rPr>
        <w:t>j</w:t>
      </w:r>
      <w:r>
        <w:rPr>
          <w:rFonts w:eastAsia="Calibri"/>
        </w:rPr>
        <w:t>)</w:t>
      </w:r>
      <w:r w:rsidRPr="003579EE">
        <w:rPr>
          <w:rFonts w:eastAsia="Calibri"/>
        </w:rPr>
        <w:tab/>
      </w:r>
      <w:proofErr w:type="spellStart"/>
      <w:r w:rsidRPr="003579EE">
        <w:rPr>
          <w:rFonts w:eastAsia="Calibri"/>
        </w:rPr>
        <w:t>neurotechnologii</w:t>
      </w:r>
      <w:proofErr w:type="spellEnd"/>
    </w:p>
    <w:p w14:paraId="7E3C7843" w14:textId="77777777" w:rsidR="005870D5" w:rsidRDefault="005870D5" w:rsidP="005870D5">
      <w:pPr>
        <w:pStyle w:val="CZWSPLITczwsplnaliter"/>
        <w:rPr>
          <w:rFonts w:eastAsia="Calibri"/>
        </w:rPr>
      </w:pPr>
      <w:r>
        <w:rPr>
          <w:rFonts w:eastAsia="Calibri"/>
        </w:rPr>
        <w:t>-</w:t>
      </w:r>
      <w:r w:rsidRPr="003579EE">
        <w:rPr>
          <w:rFonts w:eastAsia="Calibri"/>
        </w:rPr>
        <w:tab/>
        <w:t>oraz tworzeniu, rozwijaniu</w:t>
      </w:r>
      <w:r>
        <w:rPr>
          <w:rFonts w:eastAsia="Calibri"/>
        </w:rPr>
        <w:t xml:space="preserve">, </w:t>
      </w:r>
      <w:r w:rsidRPr="003579EE">
        <w:rPr>
          <w:rFonts w:eastAsia="Calibri"/>
        </w:rPr>
        <w:t>wdrażaniu</w:t>
      </w:r>
      <w:r>
        <w:rPr>
          <w:rFonts w:eastAsia="Calibri"/>
        </w:rPr>
        <w:t xml:space="preserve"> i popularyzowaniu</w:t>
      </w:r>
      <w:r w:rsidRPr="003579EE">
        <w:rPr>
          <w:rFonts w:eastAsia="Calibri"/>
        </w:rPr>
        <w:t xml:space="preserve"> rozwiązań opartych na tych technologiach.</w:t>
      </w:r>
    </w:p>
    <w:p w14:paraId="0AB3BB3A" w14:textId="70DE8D69" w:rsidR="001643CD" w:rsidRPr="00AF0582" w:rsidRDefault="001643CD" w:rsidP="005870D5">
      <w:pPr>
        <w:spacing w:line="360" w:lineRule="auto"/>
        <w:ind w:firstLine="360"/>
        <w:jc w:val="both"/>
        <w:rPr>
          <w:rFonts w:ascii="Times New Roman" w:hAnsi="Times New Roman" w:cs="Times New Roman"/>
        </w:rPr>
      </w:pPr>
    </w:p>
    <w:p w14:paraId="63D991A9" w14:textId="2B46E70D" w:rsidR="0061095D" w:rsidRPr="00AF0582" w:rsidRDefault="001643CD" w:rsidP="00AF0582">
      <w:pPr>
        <w:spacing w:line="360" w:lineRule="auto"/>
        <w:jc w:val="both"/>
        <w:rPr>
          <w:rFonts w:ascii="Times New Roman" w:hAnsi="Times New Roman" w:cs="Times New Roman"/>
        </w:rPr>
      </w:pPr>
      <w:r w:rsidRPr="00AF0582">
        <w:rPr>
          <w:rFonts w:ascii="Times New Roman" w:hAnsi="Times New Roman" w:cs="Times New Roman"/>
        </w:rPr>
        <w:t>Co kluczowe, k</w:t>
      </w:r>
      <w:r w:rsidR="0061095D" w:rsidRPr="00AF0582">
        <w:rPr>
          <w:rFonts w:ascii="Times New Roman" w:hAnsi="Times New Roman" w:cs="Times New Roman"/>
        </w:rPr>
        <w:t>atalog ten ma charakter otwarty</w:t>
      </w:r>
      <w:r w:rsidRPr="00AF0582">
        <w:rPr>
          <w:rFonts w:ascii="Times New Roman" w:hAnsi="Times New Roman" w:cs="Times New Roman"/>
        </w:rPr>
        <w:t>. W</w:t>
      </w:r>
      <w:r w:rsidR="0061095D" w:rsidRPr="00AF0582">
        <w:rPr>
          <w:rFonts w:ascii="Times New Roman" w:hAnsi="Times New Roman" w:cs="Times New Roman"/>
        </w:rPr>
        <w:t>ymieniono</w:t>
      </w:r>
      <w:r w:rsidRPr="00AF0582">
        <w:rPr>
          <w:rFonts w:ascii="Times New Roman" w:hAnsi="Times New Roman" w:cs="Times New Roman"/>
        </w:rPr>
        <w:t xml:space="preserve"> w nim</w:t>
      </w:r>
      <w:r w:rsidR="0061095D" w:rsidRPr="00AF0582">
        <w:rPr>
          <w:rFonts w:ascii="Times New Roman" w:hAnsi="Times New Roman" w:cs="Times New Roman"/>
        </w:rPr>
        <w:t xml:space="preserve"> kluczowe dziedziny będące dziś w światowej czołówce przełomowych innowacji, przy czym dynamiczny postęp naukowy może powodować pojawienie się kolejnych obszarów o podobnym potencjale (które również będą mogły być wspierane w ramach Funduszu). Istotą jest ukierunkowanie wsparcia na technologie o charakterze horyzontalnym, których rozwój może przynieść radykalne zmiany społeczno-gospodarcze (</w:t>
      </w:r>
      <w:r w:rsidR="005870D5">
        <w:rPr>
          <w:rFonts w:ascii="Times New Roman" w:hAnsi="Times New Roman" w:cs="Times New Roman"/>
        </w:rPr>
        <w:t xml:space="preserve">ang. </w:t>
      </w:r>
      <w:proofErr w:type="spellStart"/>
      <w:r w:rsidR="0061095D" w:rsidRPr="00AF0582">
        <w:rPr>
          <w:rFonts w:ascii="Times New Roman" w:hAnsi="Times New Roman" w:cs="Times New Roman"/>
        </w:rPr>
        <w:t>general</w:t>
      </w:r>
      <w:proofErr w:type="spellEnd"/>
      <w:r w:rsidR="0061095D" w:rsidRPr="00AF0582">
        <w:rPr>
          <w:rFonts w:ascii="Times New Roman" w:hAnsi="Times New Roman" w:cs="Times New Roman"/>
        </w:rPr>
        <w:t xml:space="preserve"> </w:t>
      </w:r>
      <w:proofErr w:type="spellStart"/>
      <w:r w:rsidR="0061095D" w:rsidRPr="00AF0582">
        <w:rPr>
          <w:rFonts w:ascii="Times New Roman" w:hAnsi="Times New Roman" w:cs="Times New Roman"/>
        </w:rPr>
        <w:t>purpose</w:t>
      </w:r>
      <w:proofErr w:type="spellEnd"/>
      <w:r w:rsidR="0061095D" w:rsidRPr="00AF0582">
        <w:rPr>
          <w:rFonts w:ascii="Times New Roman" w:hAnsi="Times New Roman" w:cs="Times New Roman"/>
        </w:rPr>
        <w:t xml:space="preserve"> </w:t>
      </w:r>
      <w:proofErr w:type="spellStart"/>
      <w:r w:rsidR="0061095D" w:rsidRPr="00AF0582">
        <w:rPr>
          <w:rFonts w:ascii="Times New Roman" w:hAnsi="Times New Roman" w:cs="Times New Roman"/>
        </w:rPr>
        <w:t>technologies</w:t>
      </w:r>
      <w:proofErr w:type="spellEnd"/>
      <w:r w:rsidR="0061095D" w:rsidRPr="00AF0582">
        <w:rPr>
          <w:rFonts w:ascii="Times New Roman" w:hAnsi="Times New Roman" w:cs="Times New Roman"/>
        </w:rPr>
        <w:t>), a tym samym zapewnić Polsce długofalowe korzyści rozwojowe.</w:t>
      </w:r>
    </w:p>
    <w:p w14:paraId="2CB5EBFE" w14:textId="56C47B62" w:rsidR="0061095D" w:rsidRPr="00AF0582" w:rsidRDefault="0061095D"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Fundusz będzie państwowym funduszem celowym, </w:t>
      </w:r>
      <w:r w:rsidR="00AF0582">
        <w:rPr>
          <w:rFonts w:ascii="Times New Roman" w:hAnsi="Times New Roman" w:cs="Times New Roman"/>
        </w:rPr>
        <w:t>o</w:t>
      </w:r>
      <w:r w:rsidR="003740FC">
        <w:rPr>
          <w:rFonts w:ascii="Times New Roman" w:hAnsi="Times New Roman" w:cs="Times New Roman"/>
        </w:rPr>
        <w:t xml:space="preserve"> którym mowa w art. 29 ustawy z </w:t>
      </w:r>
      <w:r w:rsidR="00AF0582">
        <w:rPr>
          <w:rFonts w:ascii="Times New Roman" w:hAnsi="Times New Roman" w:cs="Times New Roman"/>
        </w:rPr>
        <w:t>dnia 27 sierpnia 2009 r. o finansach publicz</w:t>
      </w:r>
      <w:r w:rsidR="003740FC">
        <w:rPr>
          <w:rFonts w:ascii="Times New Roman" w:hAnsi="Times New Roman" w:cs="Times New Roman"/>
        </w:rPr>
        <w:t xml:space="preserve">nych (Dz. U. z 2024 r. poz. 1530 z </w:t>
      </w:r>
      <w:proofErr w:type="spellStart"/>
      <w:r w:rsidR="003740FC">
        <w:rPr>
          <w:rFonts w:ascii="Times New Roman" w:hAnsi="Times New Roman" w:cs="Times New Roman"/>
        </w:rPr>
        <w:t>późn</w:t>
      </w:r>
      <w:proofErr w:type="spellEnd"/>
      <w:r w:rsidR="003740FC">
        <w:rPr>
          <w:rFonts w:ascii="Times New Roman" w:hAnsi="Times New Roman" w:cs="Times New Roman"/>
        </w:rPr>
        <w:t>. zm.</w:t>
      </w:r>
      <w:r w:rsidR="00AF0582">
        <w:rPr>
          <w:rFonts w:ascii="Times New Roman" w:hAnsi="Times New Roman" w:cs="Times New Roman"/>
        </w:rPr>
        <w:t xml:space="preserve">), </w:t>
      </w:r>
      <w:r w:rsidR="003740FC">
        <w:rPr>
          <w:rFonts w:ascii="Times New Roman" w:hAnsi="Times New Roman" w:cs="Times New Roman"/>
        </w:rPr>
        <w:t>co </w:t>
      </w:r>
      <w:r w:rsidRPr="00AF0582">
        <w:rPr>
          <w:rFonts w:ascii="Times New Roman" w:hAnsi="Times New Roman" w:cs="Times New Roman"/>
        </w:rPr>
        <w:t xml:space="preserve">oznacza wyodrębnienie jego środków z budżetu państwa i przeznaczenie na ściśle określone cele. Dysponentem Funduszu ma być minister właściwy do spraw </w:t>
      </w:r>
      <w:r w:rsidR="005870D5">
        <w:rPr>
          <w:rFonts w:ascii="Times New Roman" w:hAnsi="Times New Roman" w:cs="Times New Roman"/>
        </w:rPr>
        <w:t xml:space="preserve">informatyzacji </w:t>
      </w:r>
      <w:r w:rsidRPr="00AF0582">
        <w:rPr>
          <w:rFonts w:ascii="Times New Roman" w:hAnsi="Times New Roman" w:cs="Times New Roman"/>
        </w:rPr>
        <w:t xml:space="preserve">(art. </w:t>
      </w:r>
      <w:r w:rsidR="005870D5">
        <w:rPr>
          <w:rFonts w:ascii="Times New Roman" w:hAnsi="Times New Roman" w:cs="Times New Roman"/>
        </w:rPr>
        <w:t>5</w:t>
      </w:r>
      <w:r w:rsidRPr="00AF0582">
        <w:rPr>
          <w:rFonts w:ascii="Times New Roman" w:hAnsi="Times New Roman" w:cs="Times New Roman"/>
        </w:rPr>
        <w:t xml:space="preserve"> ust. 2 projektu). </w:t>
      </w:r>
      <w:r w:rsidR="001643CD" w:rsidRPr="00AF0582">
        <w:rPr>
          <w:rFonts w:ascii="Times New Roman" w:hAnsi="Times New Roman" w:cs="Times New Roman"/>
        </w:rPr>
        <w:t xml:space="preserve">Oznacza to, że minister </w:t>
      </w:r>
      <w:r w:rsidRPr="00AF0582">
        <w:rPr>
          <w:rFonts w:ascii="Times New Roman" w:hAnsi="Times New Roman" w:cs="Times New Roman"/>
        </w:rPr>
        <w:t>będzie zarządzać środkami Funduszu i odpowiadać za ich rozdysponowanie zgodnie z ustawą. Taki wybór dysponenta jest uzasad</w:t>
      </w:r>
      <w:r w:rsidR="003740FC">
        <w:rPr>
          <w:rFonts w:ascii="Times New Roman" w:hAnsi="Times New Roman" w:cs="Times New Roman"/>
        </w:rPr>
        <w:t xml:space="preserve">niony zakresem zadań Funduszu, </w:t>
      </w:r>
      <w:r w:rsidRPr="00AF0582">
        <w:rPr>
          <w:rFonts w:ascii="Times New Roman" w:hAnsi="Times New Roman" w:cs="Times New Roman"/>
        </w:rPr>
        <w:t xml:space="preserve">obejmujących w dużej mierze finansowanie </w:t>
      </w:r>
      <w:r w:rsidR="005870D5">
        <w:rPr>
          <w:rFonts w:ascii="Times New Roman" w:hAnsi="Times New Roman" w:cs="Times New Roman"/>
        </w:rPr>
        <w:t>technolo</w:t>
      </w:r>
      <w:r w:rsidR="003740FC">
        <w:rPr>
          <w:rFonts w:ascii="Times New Roman" w:hAnsi="Times New Roman" w:cs="Times New Roman"/>
        </w:rPr>
        <w:t xml:space="preserve">gii cyfrowych  i informatyzacji, </w:t>
      </w:r>
      <w:r w:rsidRPr="00AF0582">
        <w:rPr>
          <w:rFonts w:ascii="Times New Roman" w:hAnsi="Times New Roman" w:cs="Times New Roman"/>
        </w:rPr>
        <w:t>przy czym minister będzie współd</w:t>
      </w:r>
      <w:r w:rsidR="003740FC">
        <w:rPr>
          <w:rFonts w:ascii="Times New Roman" w:hAnsi="Times New Roman" w:cs="Times New Roman"/>
        </w:rPr>
        <w:t>ziałał ściśle z innymi ministrami</w:t>
      </w:r>
      <w:r w:rsidRPr="00AF0582">
        <w:rPr>
          <w:rFonts w:ascii="Times New Roman" w:hAnsi="Times New Roman" w:cs="Times New Roman"/>
        </w:rPr>
        <w:t xml:space="preserve"> przy realizacji poszczególnych komponentów</w:t>
      </w:r>
      <w:r w:rsidR="001643CD" w:rsidRPr="00AF0582">
        <w:rPr>
          <w:rFonts w:ascii="Times New Roman" w:hAnsi="Times New Roman" w:cs="Times New Roman"/>
        </w:rPr>
        <w:t xml:space="preserve"> </w:t>
      </w:r>
      <w:r w:rsidRPr="00AF0582">
        <w:rPr>
          <w:rFonts w:ascii="Times New Roman" w:hAnsi="Times New Roman" w:cs="Times New Roman"/>
        </w:rPr>
        <w:t xml:space="preserve">np. z ministrem właściwym ds. </w:t>
      </w:r>
      <w:r w:rsidR="005870D5">
        <w:rPr>
          <w:rFonts w:ascii="Times New Roman" w:hAnsi="Times New Roman" w:cs="Times New Roman"/>
        </w:rPr>
        <w:t>szkolnictwa wyższego i nauki</w:t>
      </w:r>
      <w:r w:rsidRPr="00AF0582">
        <w:rPr>
          <w:rFonts w:ascii="Times New Roman" w:hAnsi="Times New Roman" w:cs="Times New Roman"/>
        </w:rPr>
        <w:t xml:space="preserve"> przy projektach </w:t>
      </w:r>
      <w:r w:rsidR="005870D5">
        <w:rPr>
          <w:rFonts w:ascii="Times New Roman" w:hAnsi="Times New Roman" w:cs="Times New Roman"/>
        </w:rPr>
        <w:t>z zakresu badań naukowych</w:t>
      </w:r>
      <w:r w:rsidRPr="00AF0582">
        <w:rPr>
          <w:rFonts w:ascii="Times New Roman" w:hAnsi="Times New Roman" w:cs="Times New Roman"/>
        </w:rPr>
        <w:t xml:space="preserve">, z ministrem ds. gospodarki przy wsparciu przedsiębiorstw </w:t>
      </w:r>
      <w:r w:rsidR="001643CD" w:rsidRPr="00AF0582">
        <w:rPr>
          <w:rFonts w:ascii="Times New Roman" w:hAnsi="Times New Roman" w:cs="Times New Roman"/>
        </w:rPr>
        <w:t>etc</w:t>
      </w:r>
      <w:r w:rsidRPr="00AF0582">
        <w:rPr>
          <w:rFonts w:ascii="Times New Roman" w:hAnsi="Times New Roman" w:cs="Times New Roman"/>
        </w:rPr>
        <w:t>.</w:t>
      </w:r>
    </w:p>
    <w:p w14:paraId="5A2B42D1" w14:textId="23F3F5CD" w:rsidR="0061095D" w:rsidRPr="00AF0582" w:rsidRDefault="0061095D"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Projektowana ustawa określa przejrzyste zasady naboru i wyboru projektów do finansowania. W myśl art. </w:t>
      </w:r>
      <w:r w:rsidR="00FD72E1">
        <w:rPr>
          <w:rFonts w:ascii="Times New Roman" w:hAnsi="Times New Roman" w:cs="Times New Roman"/>
        </w:rPr>
        <w:t>6</w:t>
      </w:r>
      <w:r w:rsidR="0001574F">
        <w:rPr>
          <w:rFonts w:ascii="Times New Roman" w:hAnsi="Times New Roman" w:cs="Times New Roman"/>
        </w:rPr>
        <w:t xml:space="preserve"> ust. 6 </w:t>
      </w:r>
      <w:r w:rsidRPr="00AF0582">
        <w:rPr>
          <w:rFonts w:ascii="Times New Roman" w:hAnsi="Times New Roman" w:cs="Times New Roman"/>
        </w:rPr>
        <w:t xml:space="preserve">, </w:t>
      </w:r>
      <w:r w:rsidR="00FD72E1">
        <w:rPr>
          <w:rFonts w:ascii="Times New Roman" w:hAnsi="Times New Roman" w:cs="Times New Roman"/>
        </w:rPr>
        <w:t>minister</w:t>
      </w:r>
      <w:r w:rsidRPr="00AF0582">
        <w:rPr>
          <w:rFonts w:ascii="Times New Roman" w:hAnsi="Times New Roman" w:cs="Times New Roman"/>
        </w:rPr>
        <w:t xml:space="preserve"> przeprowadza konkursy w sposób „przejrzysty, rzetelny i bezstronny”, zapewniając wnioskodawcom równy dostęp do informacji o warunkach i sposobie naboru oraz wyboru projektów. Ten zapis gwarantuje dochowanie zasad uczciwej k</w:t>
      </w:r>
      <w:r w:rsidR="0001574F">
        <w:rPr>
          <w:rFonts w:ascii="Times New Roman" w:hAnsi="Times New Roman" w:cs="Times New Roman"/>
        </w:rPr>
        <w:t>onkurencji i transparentności. K</w:t>
      </w:r>
      <w:r w:rsidRPr="00AF0582">
        <w:rPr>
          <w:rFonts w:ascii="Times New Roman" w:hAnsi="Times New Roman" w:cs="Times New Roman"/>
        </w:rPr>
        <w:t>ażdy zainteresowany podmiot, spełniający kryteria określone w u</w:t>
      </w:r>
      <w:r w:rsidR="0001574F">
        <w:rPr>
          <w:rFonts w:ascii="Times New Roman" w:hAnsi="Times New Roman" w:cs="Times New Roman"/>
        </w:rPr>
        <w:t>stawie i ogłoszeniu konkursowym</w:t>
      </w:r>
      <w:r w:rsidRPr="00AF0582">
        <w:rPr>
          <w:rFonts w:ascii="Times New Roman" w:hAnsi="Times New Roman" w:cs="Times New Roman"/>
        </w:rPr>
        <w:t xml:space="preserve"> będzie miał jednakową szansę ubiegania się o środki Funduszu, zaś proces oceny wniosków będzie oparty na jawnych kryteriach merytorycznych</w:t>
      </w:r>
      <w:r w:rsidR="001643CD" w:rsidRPr="00AF0582">
        <w:rPr>
          <w:rFonts w:ascii="Times New Roman" w:hAnsi="Times New Roman" w:cs="Times New Roman"/>
        </w:rPr>
        <w:t xml:space="preserve">. </w:t>
      </w:r>
      <w:r w:rsidRPr="00AF0582">
        <w:rPr>
          <w:rFonts w:ascii="Times New Roman" w:hAnsi="Times New Roman" w:cs="Times New Roman"/>
        </w:rPr>
        <w:t>Takie unormowania sprzyjają profesjonalnemu i bezstronnemu wyborowi najlepszych projektów, co jest kluczowe dla powodzenia całego Funduszu.</w:t>
      </w:r>
      <w:r w:rsidR="0029686A" w:rsidRPr="00AF0582">
        <w:rPr>
          <w:rFonts w:ascii="Times New Roman" w:hAnsi="Times New Roman" w:cs="Times New Roman"/>
        </w:rPr>
        <w:t xml:space="preserve"> Jednocześnie, projekt przewiduje szczególny tryb postępowania w przypadku projektów strategicznym, dla których dopuszczony jest także tryb pozakonkursowy</w:t>
      </w:r>
      <w:r w:rsidR="003B5E24" w:rsidRPr="00AF0582">
        <w:rPr>
          <w:rFonts w:ascii="Times New Roman" w:hAnsi="Times New Roman" w:cs="Times New Roman"/>
        </w:rPr>
        <w:t>, jednak po spełnieniu rygorystycznych warunków:</w:t>
      </w:r>
    </w:p>
    <w:p w14:paraId="61135527" w14:textId="22AFE5D5" w:rsidR="003B5E24" w:rsidRPr="00AF0582" w:rsidRDefault="00FD72E1" w:rsidP="00FD72E1">
      <w:pPr>
        <w:spacing w:line="360" w:lineRule="auto"/>
        <w:jc w:val="both"/>
        <w:rPr>
          <w:rFonts w:ascii="Times New Roman" w:hAnsi="Times New Roman" w:cs="Times New Roman"/>
        </w:rPr>
      </w:pPr>
      <w:r>
        <w:rPr>
          <w:rFonts w:ascii="Times New Roman" w:hAnsi="Times New Roman" w:cs="Times New Roman"/>
        </w:rPr>
        <w:t xml:space="preserve">1. </w:t>
      </w:r>
      <w:r w:rsidR="00BF48C1">
        <w:rPr>
          <w:rFonts w:ascii="Times New Roman" w:hAnsi="Times New Roman" w:cs="Times New Roman"/>
        </w:rPr>
        <w:t>P</w:t>
      </w:r>
      <w:r w:rsidR="003B5E24" w:rsidRPr="00AF0582">
        <w:rPr>
          <w:rFonts w:ascii="Times New Roman" w:hAnsi="Times New Roman" w:cs="Times New Roman"/>
        </w:rPr>
        <w:t>odmiotem realizującym projekt strategiczny jest:</w:t>
      </w:r>
    </w:p>
    <w:p w14:paraId="3DB6B03B" w14:textId="74C494AE" w:rsidR="003B5E24" w:rsidRPr="00AF0582" w:rsidRDefault="003B5E24" w:rsidP="00AF0582">
      <w:pPr>
        <w:pStyle w:val="Akapitzlist"/>
        <w:numPr>
          <w:ilvl w:val="0"/>
          <w:numId w:val="4"/>
        </w:numPr>
        <w:spacing w:line="360" w:lineRule="auto"/>
        <w:jc w:val="both"/>
        <w:rPr>
          <w:rFonts w:ascii="Times New Roman" w:hAnsi="Times New Roman" w:cs="Times New Roman"/>
        </w:rPr>
      </w:pPr>
      <w:r w:rsidRPr="00AF0582">
        <w:rPr>
          <w:rFonts w:ascii="Times New Roman" w:hAnsi="Times New Roman" w:cs="Times New Roman"/>
        </w:rPr>
        <w:t>jednostka sektora finansów publicznych, lub jednostka jej podległa lub przez nią nadzorowana;</w:t>
      </w:r>
    </w:p>
    <w:p w14:paraId="249392F7" w14:textId="15AE81D0" w:rsidR="003B5E24" w:rsidRPr="00AF0582" w:rsidRDefault="003B5E24" w:rsidP="00AF0582">
      <w:pPr>
        <w:pStyle w:val="Akapitzlist"/>
        <w:numPr>
          <w:ilvl w:val="0"/>
          <w:numId w:val="4"/>
        </w:numPr>
        <w:spacing w:line="360" w:lineRule="auto"/>
        <w:jc w:val="both"/>
        <w:rPr>
          <w:rFonts w:ascii="Times New Roman" w:hAnsi="Times New Roman" w:cs="Times New Roman"/>
        </w:rPr>
      </w:pPr>
      <w:r w:rsidRPr="00AF0582">
        <w:rPr>
          <w:rFonts w:ascii="Times New Roman" w:hAnsi="Times New Roman" w:cs="Times New Roman"/>
        </w:rPr>
        <w:t>instytucja rozwoju, o której mowa w ustawie z dnia 4 lipca 2019 r. o systemie instytucji rozwoju (Dz. U. z 2024 r. poz. 923);</w:t>
      </w:r>
    </w:p>
    <w:p w14:paraId="4C79C4CD" w14:textId="45AC0697" w:rsidR="003B5E24" w:rsidRPr="00AF0582" w:rsidRDefault="003B5E24" w:rsidP="00AF0582">
      <w:pPr>
        <w:pStyle w:val="Akapitzlist"/>
        <w:numPr>
          <w:ilvl w:val="0"/>
          <w:numId w:val="4"/>
        </w:numPr>
        <w:spacing w:line="360" w:lineRule="auto"/>
        <w:jc w:val="both"/>
        <w:rPr>
          <w:rFonts w:ascii="Times New Roman" w:hAnsi="Times New Roman" w:cs="Times New Roman"/>
        </w:rPr>
      </w:pPr>
      <w:r w:rsidRPr="00AF0582">
        <w:rPr>
          <w:rFonts w:ascii="Times New Roman" w:hAnsi="Times New Roman" w:cs="Times New Roman"/>
        </w:rPr>
        <w:t>jednostka systemu oświaty lub jej organ prowadzący będący jednostką samorządu terytorialnego lub ministrem;</w:t>
      </w:r>
    </w:p>
    <w:p w14:paraId="767FD9B7" w14:textId="651C105E" w:rsidR="003B5E24" w:rsidRPr="00AF0582" w:rsidRDefault="003B5E24" w:rsidP="00AF0582">
      <w:pPr>
        <w:pStyle w:val="Akapitzlist"/>
        <w:numPr>
          <w:ilvl w:val="0"/>
          <w:numId w:val="4"/>
        </w:numPr>
        <w:spacing w:line="360" w:lineRule="auto"/>
        <w:jc w:val="both"/>
        <w:rPr>
          <w:rFonts w:ascii="Times New Roman" w:hAnsi="Times New Roman" w:cs="Times New Roman"/>
        </w:rPr>
      </w:pPr>
      <w:r w:rsidRPr="00AF0582">
        <w:rPr>
          <w:rFonts w:ascii="Times New Roman" w:hAnsi="Times New Roman" w:cs="Times New Roman"/>
        </w:rPr>
        <w:t>podmiot systemu szkolnictwa wyższego i nauki;</w:t>
      </w:r>
    </w:p>
    <w:p w14:paraId="21D03B3E" w14:textId="6C8E7F4D" w:rsidR="003B5E24" w:rsidRPr="00AF0582" w:rsidRDefault="003B5E24" w:rsidP="00AF0582">
      <w:pPr>
        <w:pStyle w:val="Akapitzlist"/>
        <w:numPr>
          <w:ilvl w:val="0"/>
          <w:numId w:val="4"/>
        </w:numPr>
        <w:spacing w:line="360" w:lineRule="auto"/>
        <w:jc w:val="both"/>
        <w:rPr>
          <w:rFonts w:ascii="Times New Roman" w:hAnsi="Times New Roman" w:cs="Times New Roman"/>
        </w:rPr>
      </w:pPr>
      <w:r w:rsidRPr="00AF0582">
        <w:rPr>
          <w:rFonts w:ascii="Times New Roman" w:hAnsi="Times New Roman" w:cs="Times New Roman"/>
        </w:rPr>
        <w:t>publiczny podmiot prowadzący działalność leczniczą;</w:t>
      </w:r>
    </w:p>
    <w:p w14:paraId="4C7D7371" w14:textId="7DD7DF01" w:rsidR="003B5E24" w:rsidRPr="00AF0582" w:rsidRDefault="003B5E24" w:rsidP="00AF0582">
      <w:pPr>
        <w:pStyle w:val="Akapitzlist"/>
        <w:numPr>
          <w:ilvl w:val="0"/>
          <w:numId w:val="4"/>
        </w:numPr>
        <w:spacing w:line="360" w:lineRule="auto"/>
        <w:jc w:val="both"/>
        <w:rPr>
          <w:rFonts w:ascii="Times New Roman" w:hAnsi="Times New Roman" w:cs="Times New Roman"/>
        </w:rPr>
      </w:pPr>
      <w:r w:rsidRPr="00AF0582">
        <w:rPr>
          <w:rFonts w:ascii="Times New Roman" w:hAnsi="Times New Roman" w:cs="Times New Roman"/>
        </w:rPr>
        <w:t>publiczny podmiot o szczególnym znaczeniu dla bezpieczeństwa państwa;</w:t>
      </w:r>
    </w:p>
    <w:p w14:paraId="014C6118" w14:textId="42289C2A" w:rsidR="00FD72E1" w:rsidRDefault="00BF48C1" w:rsidP="00FD72E1">
      <w:pPr>
        <w:pStyle w:val="LITlitera"/>
        <w:ind w:left="0" w:firstLine="0"/>
        <w:rPr>
          <w:rFonts w:eastAsia="Calibri"/>
        </w:rPr>
      </w:pPr>
      <w:r>
        <w:rPr>
          <w:rFonts w:eastAsia="Calibri"/>
        </w:rPr>
        <w:t>2. P</w:t>
      </w:r>
      <w:r w:rsidR="00FD72E1">
        <w:rPr>
          <w:rFonts w:eastAsia="Calibri"/>
        </w:rPr>
        <w:t>rojekt nie dotyczy wsparcia działalności gospodarczej podmiotu realizującego ten projekt</w:t>
      </w:r>
      <w:r w:rsidR="00FD72E1" w:rsidRPr="003579EE">
        <w:rPr>
          <w:rFonts w:eastAsia="Calibri"/>
        </w:rPr>
        <w:t>;</w:t>
      </w:r>
    </w:p>
    <w:p w14:paraId="177B7597" w14:textId="20B5334F" w:rsidR="00FD72E1" w:rsidRDefault="00BF48C1" w:rsidP="00FD72E1">
      <w:pPr>
        <w:pStyle w:val="LITlitera"/>
        <w:ind w:left="0" w:firstLine="0"/>
        <w:rPr>
          <w:rFonts w:eastAsia="Calibri"/>
        </w:rPr>
      </w:pPr>
      <w:r>
        <w:rPr>
          <w:rFonts w:eastAsia="Calibri"/>
        </w:rPr>
        <w:t>3. P</w:t>
      </w:r>
      <w:r w:rsidR="00FD72E1">
        <w:rPr>
          <w:rFonts w:eastAsia="Calibri"/>
        </w:rPr>
        <w:t>rojekt ma szczególnie istotne znaczenie dla celu Funduszu;</w:t>
      </w:r>
    </w:p>
    <w:p w14:paraId="15FCF19B" w14:textId="0E6749C5" w:rsidR="00FD72E1" w:rsidRDefault="00BF48C1" w:rsidP="00FD72E1">
      <w:pPr>
        <w:pStyle w:val="LITlitera"/>
        <w:ind w:left="0" w:firstLine="0"/>
        <w:rPr>
          <w:rFonts w:eastAsia="Calibri"/>
        </w:rPr>
      </w:pPr>
      <w:r>
        <w:rPr>
          <w:rFonts w:eastAsia="Calibri"/>
        </w:rPr>
        <w:t>4. P</w:t>
      </w:r>
      <w:r w:rsidR="00FD72E1">
        <w:rPr>
          <w:rFonts w:eastAsia="Calibri"/>
        </w:rPr>
        <w:t>rojekt charakteryzuje się wysokim stopniem pilności</w:t>
      </w:r>
      <w:r>
        <w:rPr>
          <w:rFonts w:eastAsia="Calibri"/>
        </w:rPr>
        <w:t xml:space="preserve"> w zakresie realizacji celów Funduszu</w:t>
      </w:r>
      <w:r w:rsidR="00FD72E1">
        <w:rPr>
          <w:rFonts w:eastAsia="Calibri"/>
        </w:rPr>
        <w:t>;</w:t>
      </w:r>
    </w:p>
    <w:p w14:paraId="11858E41" w14:textId="1FD5FE08" w:rsidR="00FD72E1" w:rsidRPr="00BF48C1" w:rsidRDefault="00BF48C1" w:rsidP="00BF48C1">
      <w:pPr>
        <w:pStyle w:val="LITlitera"/>
        <w:ind w:left="0" w:firstLine="0"/>
        <w:rPr>
          <w:rFonts w:eastAsia="Calibri"/>
        </w:rPr>
      </w:pPr>
      <w:r>
        <w:rPr>
          <w:rFonts w:eastAsia="Calibri"/>
        </w:rPr>
        <w:t>5. P</w:t>
      </w:r>
      <w:r w:rsidR="00FD72E1">
        <w:rPr>
          <w:rFonts w:eastAsia="Calibri"/>
        </w:rPr>
        <w:t>odmiot realizujący projekt strategiczny jest je</w:t>
      </w:r>
      <w:r w:rsidR="00140D65">
        <w:rPr>
          <w:rFonts w:eastAsia="Calibri"/>
        </w:rPr>
        <w:t>dynym posiadającym zdolności, w </w:t>
      </w:r>
      <w:r w:rsidR="00FD72E1">
        <w:rPr>
          <w:rFonts w:eastAsia="Calibri"/>
        </w:rPr>
        <w:t>szczególności techniczne, organizacyjne, kadrowe czy wynikające z jego formy prawnej lub zawartych umów, do racjonalnej ekonomicznie realizacji danego projektu.</w:t>
      </w:r>
    </w:p>
    <w:p w14:paraId="189BB9D3" w14:textId="005D2C9F" w:rsidR="003B5E24" w:rsidRPr="00AF0582" w:rsidRDefault="003B5E24" w:rsidP="00FD72E1">
      <w:pPr>
        <w:spacing w:line="360" w:lineRule="auto"/>
        <w:ind w:firstLine="708"/>
        <w:jc w:val="both"/>
        <w:rPr>
          <w:rFonts w:ascii="Times New Roman" w:hAnsi="Times New Roman" w:cs="Times New Roman"/>
        </w:rPr>
      </w:pPr>
      <w:r w:rsidRPr="00AF0582">
        <w:rPr>
          <w:rFonts w:ascii="Times New Roman" w:hAnsi="Times New Roman" w:cs="Times New Roman"/>
        </w:rPr>
        <w:t>W praktyce oznacza to, że nabór pozakonkursowy ograniczony będzie jedynie do projektów realizowanych przez podmioty publiczne, dzięki czemu projekty strategiczne nie będą powodować zakłóceń konkurencyjności ani budzić podejrzeń o nierówny dostęp do środków publicznych.</w:t>
      </w:r>
    </w:p>
    <w:p w14:paraId="549D327A" w14:textId="30AE64A6" w:rsidR="0029686A" w:rsidRPr="00AF0582" w:rsidRDefault="0029686A" w:rsidP="00AF0582">
      <w:pPr>
        <w:spacing w:line="360" w:lineRule="auto"/>
        <w:ind w:firstLine="708"/>
        <w:jc w:val="both"/>
        <w:rPr>
          <w:rFonts w:ascii="Times New Roman" w:hAnsi="Times New Roman" w:cs="Times New Roman"/>
        </w:rPr>
      </w:pPr>
      <w:r w:rsidRPr="00AF0582">
        <w:rPr>
          <w:rFonts w:ascii="Times New Roman" w:hAnsi="Times New Roman" w:cs="Times New Roman"/>
        </w:rPr>
        <w:t>Fundusz będzie funkcjonował w oparciu o programy inwestycyjne, ustanawiane prze</w:t>
      </w:r>
      <w:r w:rsidR="003B5E24" w:rsidRPr="00AF0582">
        <w:rPr>
          <w:rFonts w:ascii="Times New Roman" w:hAnsi="Times New Roman" w:cs="Times New Roman"/>
        </w:rPr>
        <w:t>z</w:t>
      </w:r>
      <w:r w:rsidR="00FD72E1">
        <w:rPr>
          <w:rFonts w:ascii="Times New Roman" w:hAnsi="Times New Roman" w:cs="Times New Roman"/>
        </w:rPr>
        <w:t xml:space="preserve"> </w:t>
      </w:r>
      <w:r w:rsidR="00FD72E1" w:rsidRPr="00FD72E1">
        <w:rPr>
          <w:rFonts w:ascii="Times New Roman" w:hAnsi="Times New Roman" w:cs="Times New Roman"/>
        </w:rPr>
        <w:t>w drodze uchwały przez Radę Ministrów na wniosek ministra właściwego do spraw informatyzacji pozytywnie zaopiniowany przez Radę Funduszu</w:t>
      </w:r>
      <w:r w:rsidR="00FD72E1">
        <w:rPr>
          <w:rFonts w:ascii="Times New Roman" w:hAnsi="Times New Roman" w:cs="Times New Roman"/>
        </w:rPr>
        <w:t xml:space="preserve"> i </w:t>
      </w:r>
      <w:r w:rsidRPr="00AF0582">
        <w:rPr>
          <w:rFonts w:ascii="Times New Roman" w:hAnsi="Times New Roman" w:cs="Times New Roman"/>
        </w:rPr>
        <w:t xml:space="preserve">określające w sposób ogólny charakter interwencji dokonywanych ze środków Funduszu. Programy inwestycyjne mają mieć co najmniej roczny okres obowiązywania i </w:t>
      </w:r>
      <w:r w:rsidR="00931DB2" w:rsidRPr="00AF0582">
        <w:rPr>
          <w:rFonts w:ascii="Times New Roman" w:hAnsi="Times New Roman" w:cs="Times New Roman"/>
        </w:rPr>
        <w:t xml:space="preserve">służą temu by </w:t>
      </w:r>
      <w:r w:rsidRPr="00AF0582">
        <w:rPr>
          <w:rFonts w:ascii="Times New Roman" w:hAnsi="Times New Roman" w:cs="Times New Roman"/>
        </w:rPr>
        <w:t xml:space="preserve">nadawać ramy konkursom ogłaszanym przez </w:t>
      </w:r>
      <w:r w:rsidR="00FD72E1">
        <w:rPr>
          <w:rFonts w:ascii="Times New Roman" w:hAnsi="Times New Roman" w:cs="Times New Roman"/>
        </w:rPr>
        <w:t>ministra.</w:t>
      </w:r>
    </w:p>
    <w:p w14:paraId="6E2170F3" w14:textId="7A5ED562" w:rsidR="00931DB2" w:rsidRPr="00AF0582" w:rsidRDefault="00931DB2"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Wsparcie finansowe ze środków Funduszu może być udzielane w formie dotacji celowej lub </w:t>
      </w:r>
      <w:r w:rsidR="001970E7">
        <w:rPr>
          <w:rFonts w:ascii="Times New Roman" w:hAnsi="Times New Roman" w:cs="Times New Roman"/>
        </w:rPr>
        <w:t>w innych</w:t>
      </w:r>
      <w:r w:rsidRPr="00AF0582">
        <w:rPr>
          <w:rFonts w:ascii="Times New Roman" w:hAnsi="Times New Roman" w:cs="Times New Roman"/>
        </w:rPr>
        <w:t xml:space="preserve"> form</w:t>
      </w:r>
      <w:r w:rsidR="001970E7">
        <w:rPr>
          <w:rFonts w:ascii="Times New Roman" w:hAnsi="Times New Roman" w:cs="Times New Roman"/>
        </w:rPr>
        <w:t xml:space="preserve">ach </w:t>
      </w:r>
      <w:r w:rsidRPr="00AF0582">
        <w:rPr>
          <w:rFonts w:ascii="Times New Roman" w:hAnsi="Times New Roman" w:cs="Times New Roman"/>
        </w:rPr>
        <w:t>zapewnienia finansowania, w tym finansowania bezpośredniego. Projektowana ustawa ma być samodzielną podstawą prawną do przyznawania wsparcia finansowego.</w:t>
      </w:r>
    </w:p>
    <w:p w14:paraId="48AF3A12" w14:textId="43B1E833" w:rsidR="0061095D" w:rsidRPr="00AF0582" w:rsidRDefault="0061095D"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W strukturze Funduszu wyodrębnionych zostanie pięć subfunduszy celowych (art. </w:t>
      </w:r>
      <w:r w:rsidR="00FD72E1">
        <w:rPr>
          <w:rFonts w:ascii="Times New Roman" w:hAnsi="Times New Roman" w:cs="Times New Roman"/>
        </w:rPr>
        <w:t>5</w:t>
      </w:r>
      <w:r w:rsidR="001970E7">
        <w:rPr>
          <w:rFonts w:ascii="Times New Roman" w:hAnsi="Times New Roman" w:cs="Times New Roman"/>
        </w:rPr>
        <w:t xml:space="preserve"> ust. 3</w:t>
      </w:r>
      <w:r w:rsidRPr="00AF0582">
        <w:rPr>
          <w:rFonts w:ascii="Times New Roman" w:hAnsi="Times New Roman" w:cs="Times New Roman"/>
        </w:rPr>
        <w:t>), odpowiadających głównym obszarom wsparcia:</w:t>
      </w:r>
    </w:p>
    <w:p w14:paraId="05539ED5" w14:textId="18059979" w:rsidR="0061095D" w:rsidRPr="00AF0582" w:rsidRDefault="0061095D" w:rsidP="00AF0582">
      <w:pPr>
        <w:spacing w:line="360" w:lineRule="auto"/>
        <w:jc w:val="both"/>
        <w:rPr>
          <w:rFonts w:ascii="Times New Roman" w:hAnsi="Times New Roman" w:cs="Times New Roman"/>
        </w:rPr>
      </w:pPr>
      <w:r w:rsidRPr="00AF0582">
        <w:rPr>
          <w:rFonts w:ascii="Times New Roman" w:hAnsi="Times New Roman" w:cs="Times New Roman"/>
        </w:rPr>
        <w:t>1.</w:t>
      </w:r>
      <w:r w:rsidR="001643CD" w:rsidRPr="00AF0582">
        <w:rPr>
          <w:rFonts w:ascii="Times New Roman" w:hAnsi="Times New Roman" w:cs="Times New Roman"/>
        </w:rPr>
        <w:t xml:space="preserve"> </w:t>
      </w:r>
      <w:r w:rsidRPr="00AF0582">
        <w:rPr>
          <w:rFonts w:ascii="Times New Roman" w:hAnsi="Times New Roman" w:cs="Times New Roman"/>
        </w:rPr>
        <w:t>Subfundusz naukowo-badawczy - przeznaczony na finansowanie prac badawczo-rozwojowych z obszaru technologii przełomowych, realizowanych głównie przez jednostki naukowe, konsorcja B+R i wybitnych naukowców.</w:t>
      </w:r>
    </w:p>
    <w:p w14:paraId="74010022" w14:textId="4CD269C5" w:rsidR="0061095D" w:rsidRPr="00AF0582" w:rsidRDefault="0061095D" w:rsidP="00AF0582">
      <w:pPr>
        <w:spacing w:line="360" w:lineRule="auto"/>
        <w:jc w:val="both"/>
        <w:rPr>
          <w:rFonts w:ascii="Times New Roman" w:hAnsi="Times New Roman" w:cs="Times New Roman"/>
        </w:rPr>
      </w:pPr>
      <w:r w:rsidRPr="00AF0582">
        <w:rPr>
          <w:rFonts w:ascii="Times New Roman" w:hAnsi="Times New Roman" w:cs="Times New Roman"/>
        </w:rPr>
        <w:t>2.</w:t>
      </w:r>
      <w:r w:rsidR="001643CD" w:rsidRPr="00AF0582">
        <w:rPr>
          <w:rFonts w:ascii="Times New Roman" w:hAnsi="Times New Roman" w:cs="Times New Roman"/>
        </w:rPr>
        <w:t xml:space="preserve"> </w:t>
      </w:r>
      <w:r w:rsidRPr="00AF0582">
        <w:rPr>
          <w:rFonts w:ascii="Times New Roman" w:hAnsi="Times New Roman" w:cs="Times New Roman"/>
        </w:rPr>
        <w:t xml:space="preserve">Subfundusz wsparcia innowacyjnej gospodarki - </w:t>
      </w:r>
      <w:r w:rsidR="008A0B77" w:rsidRPr="00AF0582">
        <w:rPr>
          <w:rFonts w:ascii="Times New Roman" w:hAnsi="Times New Roman" w:cs="Times New Roman"/>
        </w:rPr>
        <w:t>przeznaczony</w:t>
      </w:r>
      <w:r w:rsidRPr="00AF0582">
        <w:rPr>
          <w:rFonts w:ascii="Times New Roman" w:hAnsi="Times New Roman" w:cs="Times New Roman"/>
        </w:rPr>
        <w:t xml:space="preserve"> na </w:t>
      </w:r>
      <w:r w:rsidR="00FD72E1">
        <w:rPr>
          <w:rFonts w:ascii="Times New Roman" w:hAnsi="Times New Roman" w:cs="Times New Roman"/>
        </w:rPr>
        <w:t xml:space="preserve">zapewnienie </w:t>
      </w:r>
      <w:r w:rsidRPr="00AF0582">
        <w:rPr>
          <w:rFonts w:ascii="Times New Roman" w:hAnsi="Times New Roman" w:cs="Times New Roman"/>
        </w:rPr>
        <w:t>wsparci</w:t>
      </w:r>
      <w:r w:rsidR="00FD72E1">
        <w:rPr>
          <w:rFonts w:ascii="Times New Roman" w:hAnsi="Times New Roman" w:cs="Times New Roman"/>
        </w:rPr>
        <w:t>a</w:t>
      </w:r>
      <w:r w:rsidRPr="00AF0582">
        <w:rPr>
          <w:rFonts w:ascii="Times New Roman" w:hAnsi="Times New Roman" w:cs="Times New Roman"/>
        </w:rPr>
        <w:t xml:space="preserve"> przedsiębiorc</w:t>
      </w:r>
      <w:r w:rsidR="00FD72E1">
        <w:rPr>
          <w:rFonts w:ascii="Times New Roman" w:hAnsi="Times New Roman" w:cs="Times New Roman"/>
        </w:rPr>
        <w:t>om</w:t>
      </w:r>
      <w:r w:rsidRPr="00AF0582">
        <w:rPr>
          <w:rFonts w:ascii="Times New Roman" w:hAnsi="Times New Roman" w:cs="Times New Roman"/>
        </w:rPr>
        <w:t xml:space="preserve"> (</w:t>
      </w:r>
      <w:r w:rsidR="001643CD" w:rsidRPr="00AF0582">
        <w:rPr>
          <w:rFonts w:ascii="Times New Roman" w:hAnsi="Times New Roman" w:cs="Times New Roman"/>
        </w:rPr>
        <w:t xml:space="preserve">w tym </w:t>
      </w:r>
      <w:r w:rsidRPr="00AF0582">
        <w:rPr>
          <w:rFonts w:ascii="Times New Roman" w:hAnsi="Times New Roman" w:cs="Times New Roman"/>
        </w:rPr>
        <w:t>startup</w:t>
      </w:r>
      <w:r w:rsidR="00FD72E1">
        <w:rPr>
          <w:rFonts w:ascii="Times New Roman" w:hAnsi="Times New Roman" w:cs="Times New Roman"/>
        </w:rPr>
        <w:t>om</w:t>
      </w:r>
      <w:r w:rsidRPr="00AF0582">
        <w:rPr>
          <w:rFonts w:ascii="Times New Roman" w:hAnsi="Times New Roman" w:cs="Times New Roman"/>
        </w:rPr>
        <w:t>, innowacyjn</w:t>
      </w:r>
      <w:r w:rsidR="001643CD" w:rsidRPr="00AF0582">
        <w:rPr>
          <w:rFonts w:ascii="Times New Roman" w:hAnsi="Times New Roman" w:cs="Times New Roman"/>
        </w:rPr>
        <w:t>y</w:t>
      </w:r>
      <w:r w:rsidR="00FD72E1">
        <w:rPr>
          <w:rFonts w:ascii="Times New Roman" w:hAnsi="Times New Roman" w:cs="Times New Roman"/>
        </w:rPr>
        <w:t>m</w:t>
      </w:r>
      <w:r w:rsidRPr="00AF0582">
        <w:rPr>
          <w:rFonts w:ascii="Times New Roman" w:hAnsi="Times New Roman" w:cs="Times New Roman"/>
        </w:rPr>
        <w:t xml:space="preserve"> MŚP) wdrażający</w:t>
      </w:r>
      <w:r w:rsidR="00FD72E1">
        <w:rPr>
          <w:rFonts w:ascii="Times New Roman" w:hAnsi="Times New Roman" w:cs="Times New Roman"/>
        </w:rPr>
        <w:t>m</w:t>
      </w:r>
      <w:r w:rsidRPr="00AF0582">
        <w:rPr>
          <w:rFonts w:ascii="Times New Roman" w:hAnsi="Times New Roman" w:cs="Times New Roman"/>
        </w:rPr>
        <w:t xml:space="preserve"> przełomowe technologie, w tym ich ekspansj</w:t>
      </w:r>
      <w:r w:rsidR="00FD72E1">
        <w:rPr>
          <w:rFonts w:ascii="Times New Roman" w:hAnsi="Times New Roman" w:cs="Times New Roman"/>
        </w:rPr>
        <w:t>i</w:t>
      </w:r>
      <w:r w:rsidRPr="00AF0582">
        <w:rPr>
          <w:rFonts w:ascii="Times New Roman" w:hAnsi="Times New Roman" w:cs="Times New Roman"/>
        </w:rPr>
        <w:t xml:space="preserve"> zagraniczn</w:t>
      </w:r>
      <w:r w:rsidR="00FD72E1">
        <w:rPr>
          <w:rFonts w:ascii="Times New Roman" w:hAnsi="Times New Roman" w:cs="Times New Roman"/>
        </w:rPr>
        <w:t>ej</w:t>
      </w:r>
      <w:r w:rsidRPr="00AF0582">
        <w:rPr>
          <w:rFonts w:ascii="Times New Roman" w:hAnsi="Times New Roman" w:cs="Times New Roman"/>
        </w:rPr>
        <w:t xml:space="preserve"> i skalowani</w:t>
      </w:r>
      <w:r w:rsidR="00FD72E1">
        <w:rPr>
          <w:rFonts w:ascii="Times New Roman" w:hAnsi="Times New Roman" w:cs="Times New Roman"/>
        </w:rPr>
        <w:t>a</w:t>
      </w:r>
      <w:r w:rsidRPr="00AF0582">
        <w:rPr>
          <w:rFonts w:ascii="Times New Roman" w:hAnsi="Times New Roman" w:cs="Times New Roman"/>
        </w:rPr>
        <w:t xml:space="preserve"> działalności.</w:t>
      </w:r>
    </w:p>
    <w:p w14:paraId="656EFF60" w14:textId="4DF27E84" w:rsidR="0061095D" w:rsidRPr="00AF0582" w:rsidRDefault="0061095D" w:rsidP="00AF0582">
      <w:pPr>
        <w:spacing w:line="360" w:lineRule="auto"/>
        <w:jc w:val="both"/>
        <w:rPr>
          <w:rFonts w:ascii="Times New Roman" w:hAnsi="Times New Roman" w:cs="Times New Roman"/>
        </w:rPr>
      </w:pPr>
      <w:r w:rsidRPr="00AF0582">
        <w:rPr>
          <w:rFonts w:ascii="Times New Roman" w:hAnsi="Times New Roman" w:cs="Times New Roman"/>
        </w:rPr>
        <w:t>3.</w:t>
      </w:r>
      <w:r w:rsidR="001643CD" w:rsidRPr="00AF0582">
        <w:rPr>
          <w:rFonts w:ascii="Times New Roman" w:hAnsi="Times New Roman" w:cs="Times New Roman"/>
        </w:rPr>
        <w:t xml:space="preserve"> </w:t>
      </w:r>
      <w:r w:rsidRPr="00AF0582">
        <w:rPr>
          <w:rFonts w:ascii="Times New Roman" w:hAnsi="Times New Roman" w:cs="Times New Roman"/>
        </w:rPr>
        <w:t xml:space="preserve">Subfundusz nowoczesnej administracji </w:t>
      </w:r>
      <w:r w:rsidR="008A0B77" w:rsidRPr="00AF0582">
        <w:rPr>
          <w:rFonts w:ascii="Times New Roman" w:hAnsi="Times New Roman" w:cs="Times New Roman"/>
        </w:rPr>
        <w:t>-</w:t>
      </w:r>
      <w:r w:rsidRPr="00AF0582">
        <w:rPr>
          <w:rFonts w:ascii="Times New Roman" w:hAnsi="Times New Roman" w:cs="Times New Roman"/>
        </w:rPr>
        <w:t xml:space="preserve"> </w:t>
      </w:r>
      <w:r w:rsidR="008A0B77" w:rsidRPr="00AF0582">
        <w:rPr>
          <w:rFonts w:ascii="Times New Roman" w:hAnsi="Times New Roman" w:cs="Times New Roman"/>
        </w:rPr>
        <w:t xml:space="preserve">przeznaczony na wsparcie </w:t>
      </w:r>
      <w:r w:rsidRPr="00AF0582">
        <w:rPr>
          <w:rFonts w:ascii="Times New Roman" w:hAnsi="Times New Roman" w:cs="Times New Roman"/>
        </w:rPr>
        <w:t>projekt</w:t>
      </w:r>
      <w:r w:rsidR="008A0B77" w:rsidRPr="00AF0582">
        <w:rPr>
          <w:rFonts w:ascii="Times New Roman" w:hAnsi="Times New Roman" w:cs="Times New Roman"/>
        </w:rPr>
        <w:t>ów</w:t>
      </w:r>
      <w:r w:rsidRPr="00AF0582">
        <w:rPr>
          <w:rFonts w:ascii="Times New Roman" w:hAnsi="Times New Roman" w:cs="Times New Roman"/>
        </w:rPr>
        <w:t xml:space="preserve"> transformacji cyfrowej sektora publicznego, wdrażanie nowatorskich rozwiązań technologicznych w</w:t>
      </w:r>
      <w:r w:rsidR="001970E7">
        <w:rPr>
          <w:rFonts w:ascii="Times New Roman" w:hAnsi="Times New Roman" w:cs="Times New Roman"/>
        </w:rPr>
        <w:t> </w:t>
      </w:r>
      <w:r w:rsidRPr="00AF0582">
        <w:rPr>
          <w:rFonts w:ascii="Times New Roman" w:hAnsi="Times New Roman" w:cs="Times New Roman"/>
        </w:rPr>
        <w:t>administracji rządowej i samorządowej celem zwiększenia efektywności i dostępności usług publicznych.</w:t>
      </w:r>
    </w:p>
    <w:p w14:paraId="6E47FCC9" w14:textId="65B2550A" w:rsidR="0061095D" w:rsidRPr="00AF0582" w:rsidRDefault="0061095D" w:rsidP="00AF0582">
      <w:pPr>
        <w:spacing w:line="360" w:lineRule="auto"/>
        <w:jc w:val="both"/>
        <w:rPr>
          <w:rFonts w:ascii="Times New Roman" w:hAnsi="Times New Roman" w:cs="Times New Roman"/>
        </w:rPr>
      </w:pPr>
      <w:r w:rsidRPr="00AF0582">
        <w:rPr>
          <w:rFonts w:ascii="Times New Roman" w:hAnsi="Times New Roman" w:cs="Times New Roman"/>
        </w:rPr>
        <w:t>4.</w:t>
      </w:r>
      <w:r w:rsidR="001643CD" w:rsidRPr="00AF0582">
        <w:rPr>
          <w:rFonts w:ascii="Times New Roman" w:hAnsi="Times New Roman" w:cs="Times New Roman"/>
        </w:rPr>
        <w:t xml:space="preserve"> </w:t>
      </w:r>
      <w:r w:rsidRPr="00AF0582">
        <w:rPr>
          <w:rFonts w:ascii="Times New Roman" w:hAnsi="Times New Roman" w:cs="Times New Roman"/>
        </w:rPr>
        <w:t xml:space="preserve">Subfundusz bezpieczeństwa cyberprzestrzeni </w:t>
      </w:r>
      <w:r w:rsidR="008A0B77" w:rsidRPr="00AF0582">
        <w:rPr>
          <w:rFonts w:ascii="Times New Roman" w:hAnsi="Times New Roman" w:cs="Times New Roman"/>
        </w:rPr>
        <w:t>- przeznaczony</w:t>
      </w:r>
      <w:r w:rsidRPr="00AF0582">
        <w:rPr>
          <w:rFonts w:ascii="Times New Roman" w:hAnsi="Times New Roman" w:cs="Times New Roman"/>
        </w:rPr>
        <w:t xml:space="preserve"> poprawie bezpieczeństwa państwa w </w:t>
      </w:r>
      <w:r w:rsidR="001643CD" w:rsidRPr="00AF0582">
        <w:rPr>
          <w:rFonts w:ascii="Times New Roman" w:hAnsi="Times New Roman" w:cs="Times New Roman"/>
        </w:rPr>
        <w:t>cyberprzestrzeni</w:t>
      </w:r>
      <w:r w:rsidRPr="00AF0582">
        <w:rPr>
          <w:rFonts w:ascii="Times New Roman" w:hAnsi="Times New Roman" w:cs="Times New Roman"/>
        </w:rPr>
        <w:t xml:space="preserve">, poprzez finansowanie projektów z zakresu </w:t>
      </w:r>
      <w:proofErr w:type="spellStart"/>
      <w:r w:rsidRPr="00AF0582">
        <w:rPr>
          <w:rFonts w:ascii="Times New Roman" w:hAnsi="Times New Roman" w:cs="Times New Roman"/>
        </w:rPr>
        <w:t>cyberbezpieczeństwa</w:t>
      </w:r>
      <w:proofErr w:type="spellEnd"/>
      <w:r w:rsidRPr="00AF0582">
        <w:rPr>
          <w:rFonts w:ascii="Times New Roman" w:hAnsi="Times New Roman" w:cs="Times New Roman"/>
        </w:rPr>
        <w:t xml:space="preserve">, kryptografii, ochrony infrastruktury krytycznej i rozwijania rodzimych narzędzi zabezpieczających przed </w:t>
      </w:r>
      <w:proofErr w:type="spellStart"/>
      <w:r w:rsidRPr="00AF0582">
        <w:rPr>
          <w:rFonts w:ascii="Times New Roman" w:hAnsi="Times New Roman" w:cs="Times New Roman"/>
        </w:rPr>
        <w:t>cyberzagrożeniami</w:t>
      </w:r>
      <w:proofErr w:type="spellEnd"/>
      <w:r w:rsidRPr="00AF0582">
        <w:rPr>
          <w:rFonts w:ascii="Times New Roman" w:hAnsi="Times New Roman" w:cs="Times New Roman"/>
        </w:rPr>
        <w:t>.</w:t>
      </w:r>
    </w:p>
    <w:p w14:paraId="5AB98EF9" w14:textId="77E3C09A" w:rsidR="0061095D" w:rsidRPr="00AF0582" w:rsidRDefault="0061095D" w:rsidP="00AF0582">
      <w:pPr>
        <w:spacing w:line="360" w:lineRule="auto"/>
        <w:jc w:val="both"/>
        <w:rPr>
          <w:rFonts w:ascii="Times New Roman" w:hAnsi="Times New Roman" w:cs="Times New Roman"/>
        </w:rPr>
      </w:pPr>
      <w:r w:rsidRPr="00AF0582">
        <w:rPr>
          <w:rFonts w:ascii="Times New Roman" w:hAnsi="Times New Roman" w:cs="Times New Roman"/>
        </w:rPr>
        <w:t>5.</w:t>
      </w:r>
      <w:r w:rsidR="001643CD" w:rsidRPr="00AF0582">
        <w:rPr>
          <w:rFonts w:ascii="Times New Roman" w:hAnsi="Times New Roman" w:cs="Times New Roman"/>
        </w:rPr>
        <w:t xml:space="preserve"> </w:t>
      </w:r>
      <w:r w:rsidRPr="00AF0582">
        <w:rPr>
          <w:rFonts w:ascii="Times New Roman" w:hAnsi="Times New Roman" w:cs="Times New Roman"/>
        </w:rPr>
        <w:t>Subfundusz edukacyjno-popularyzatorski</w:t>
      </w:r>
      <w:r w:rsidR="008A0B77" w:rsidRPr="00AF0582">
        <w:rPr>
          <w:rFonts w:ascii="Times New Roman" w:hAnsi="Times New Roman" w:cs="Times New Roman"/>
        </w:rPr>
        <w:t xml:space="preserve"> </w:t>
      </w:r>
      <w:r w:rsidR="00931DB2" w:rsidRPr="00AF0582">
        <w:rPr>
          <w:rFonts w:ascii="Times New Roman" w:hAnsi="Times New Roman" w:cs="Times New Roman"/>
        </w:rPr>
        <w:t>-</w:t>
      </w:r>
      <w:r w:rsidR="008A0B77" w:rsidRPr="00AF0582">
        <w:rPr>
          <w:rFonts w:ascii="Times New Roman" w:hAnsi="Times New Roman" w:cs="Times New Roman"/>
        </w:rPr>
        <w:t xml:space="preserve"> przeznaczony na</w:t>
      </w:r>
      <w:r w:rsidRPr="00AF0582">
        <w:rPr>
          <w:rFonts w:ascii="Times New Roman" w:hAnsi="Times New Roman" w:cs="Times New Roman"/>
        </w:rPr>
        <w:t xml:space="preserve"> rozwój kompetencji przyszłości poprzez </w:t>
      </w:r>
      <w:r w:rsidR="001643CD" w:rsidRPr="00AF0582">
        <w:rPr>
          <w:rFonts w:ascii="Times New Roman" w:hAnsi="Times New Roman" w:cs="Times New Roman"/>
        </w:rPr>
        <w:t xml:space="preserve">np. </w:t>
      </w:r>
      <w:r w:rsidRPr="00AF0582">
        <w:rPr>
          <w:rFonts w:ascii="Times New Roman" w:hAnsi="Times New Roman" w:cs="Times New Roman"/>
        </w:rPr>
        <w:t>dofinansowanie projektów edukacyjnych, szkoleń, stypendiów oraz inicjatyw popularyzujących naukę i innowacje w społeczeństwie.</w:t>
      </w:r>
    </w:p>
    <w:p w14:paraId="5A482F8F" w14:textId="18BC95D3" w:rsidR="001643CD" w:rsidRPr="00AF0582" w:rsidRDefault="0061095D" w:rsidP="00AF0582">
      <w:pPr>
        <w:spacing w:line="360" w:lineRule="auto"/>
        <w:jc w:val="both"/>
        <w:rPr>
          <w:rFonts w:ascii="Times New Roman" w:hAnsi="Times New Roman" w:cs="Times New Roman"/>
        </w:rPr>
      </w:pPr>
      <w:r w:rsidRPr="00AF0582">
        <w:rPr>
          <w:rFonts w:ascii="Times New Roman" w:hAnsi="Times New Roman" w:cs="Times New Roman"/>
        </w:rPr>
        <w:t xml:space="preserve">Takie rozdzielenie strumieni finansowania pozwoli na </w:t>
      </w:r>
      <w:r w:rsidR="001970E7">
        <w:rPr>
          <w:rFonts w:ascii="Times New Roman" w:hAnsi="Times New Roman" w:cs="Times New Roman"/>
        </w:rPr>
        <w:t>lepsze dostosowanie kryteriów i </w:t>
      </w:r>
      <w:r w:rsidRPr="00AF0582">
        <w:rPr>
          <w:rFonts w:ascii="Times New Roman" w:hAnsi="Times New Roman" w:cs="Times New Roman"/>
        </w:rPr>
        <w:t>mechanizmów wsparcia do specyfiki beneficjentów każdego z obszarów</w:t>
      </w:r>
      <w:r w:rsidR="001643CD" w:rsidRPr="00AF0582">
        <w:rPr>
          <w:rFonts w:ascii="Times New Roman" w:hAnsi="Times New Roman" w:cs="Times New Roman"/>
        </w:rPr>
        <w:t xml:space="preserve">. </w:t>
      </w:r>
    </w:p>
    <w:p w14:paraId="1BAECC23" w14:textId="33052329" w:rsidR="0061095D" w:rsidRPr="00AF0582" w:rsidRDefault="001643CD"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W </w:t>
      </w:r>
      <w:r w:rsidR="00FD72E1">
        <w:rPr>
          <w:rFonts w:ascii="Times New Roman" w:hAnsi="Times New Roman" w:cs="Times New Roman"/>
        </w:rPr>
        <w:t>założeniu</w:t>
      </w:r>
      <w:r w:rsidRPr="00AF0582">
        <w:rPr>
          <w:rFonts w:ascii="Times New Roman" w:hAnsi="Times New Roman" w:cs="Times New Roman"/>
        </w:rPr>
        <w:t xml:space="preserve"> projektu, g</w:t>
      </w:r>
      <w:r w:rsidR="0061095D" w:rsidRPr="00AF0582">
        <w:rPr>
          <w:rFonts w:ascii="Times New Roman" w:hAnsi="Times New Roman" w:cs="Times New Roman"/>
        </w:rPr>
        <w:t>łównymi beneficjentami subfunduszu naukowo-badawczego będą uczelnie, instytuty badawcze</w:t>
      </w:r>
      <w:r w:rsidRPr="00AF0582">
        <w:rPr>
          <w:rFonts w:ascii="Times New Roman" w:hAnsi="Times New Roman" w:cs="Times New Roman"/>
        </w:rPr>
        <w:t xml:space="preserve">, </w:t>
      </w:r>
      <w:r w:rsidR="0061095D" w:rsidRPr="00AF0582">
        <w:rPr>
          <w:rFonts w:ascii="Times New Roman" w:hAnsi="Times New Roman" w:cs="Times New Roman"/>
        </w:rPr>
        <w:t>wybitni naukowcy prowadzący przełomowe projekty B+R</w:t>
      </w:r>
      <w:r w:rsidRPr="00AF0582">
        <w:rPr>
          <w:rFonts w:ascii="Times New Roman" w:hAnsi="Times New Roman" w:cs="Times New Roman"/>
        </w:rPr>
        <w:t xml:space="preserve"> oraz podmioty realizujące zadania publiczne</w:t>
      </w:r>
      <w:r w:rsidR="0061095D" w:rsidRPr="00AF0582">
        <w:rPr>
          <w:rFonts w:ascii="Times New Roman" w:hAnsi="Times New Roman" w:cs="Times New Roman"/>
        </w:rPr>
        <w:t>. Subfundusz ten umożliwi finansowanie projektów strategicznych o wysokim ryzyku i potencjalnie wysokim zysku poznawczym</w:t>
      </w:r>
      <w:r w:rsidRPr="00AF0582">
        <w:rPr>
          <w:rFonts w:ascii="Times New Roman" w:hAnsi="Times New Roman" w:cs="Times New Roman"/>
        </w:rPr>
        <w:t>.</w:t>
      </w:r>
      <w:r w:rsidR="0061095D" w:rsidRPr="00AF0582">
        <w:rPr>
          <w:rFonts w:ascii="Times New Roman" w:hAnsi="Times New Roman" w:cs="Times New Roman"/>
        </w:rPr>
        <w:t xml:space="preserve"> </w:t>
      </w:r>
    </w:p>
    <w:p w14:paraId="1BDA20DA" w14:textId="6E816EC7" w:rsidR="0061095D" w:rsidRPr="00AF0582" w:rsidRDefault="0061095D" w:rsidP="00AF0582">
      <w:pPr>
        <w:spacing w:line="360" w:lineRule="auto"/>
        <w:ind w:firstLine="708"/>
        <w:jc w:val="both"/>
        <w:rPr>
          <w:rFonts w:ascii="Times New Roman" w:hAnsi="Times New Roman" w:cs="Times New Roman"/>
        </w:rPr>
      </w:pPr>
      <w:r w:rsidRPr="00AF0582">
        <w:rPr>
          <w:rFonts w:ascii="Times New Roman" w:hAnsi="Times New Roman" w:cs="Times New Roman"/>
        </w:rPr>
        <w:t>Subfundusz wsparcia innowacyjnej gospodarki skierowany będzie przede wszystkim do startupów i MŚP rozwijających nowatorskie rozwiązania technologiczne</w:t>
      </w:r>
      <w:r w:rsidR="00C51188" w:rsidRPr="00AF0582">
        <w:rPr>
          <w:rFonts w:ascii="Times New Roman" w:hAnsi="Times New Roman" w:cs="Times New Roman"/>
        </w:rPr>
        <w:t>.</w:t>
      </w:r>
      <w:r w:rsidRPr="00AF0582">
        <w:rPr>
          <w:rFonts w:ascii="Times New Roman" w:hAnsi="Times New Roman" w:cs="Times New Roman"/>
        </w:rPr>
        <w:t xml:space="preserve"> W ramach tego subfunduszu możliwe będzie udzielanie </w:t>
      </w:r>
      <w:r w:rsidR="00FD72E1">
        <w:rPr>
          <w:rFonts w:ascii="Times New Roman" w:hAnsi="Times New Roman" w:cs="Times New Roman"/>
        </w:rPr>
        <w:t>wsparcia finansowego</w:t>
      </w:r>
      <w:r w:rsidRPr="00AF0582">
        <w:rPr>
          <w:rFonts w:ascii="Times New Roman" w:hAnsi="Times New Roman" w:cs="Times New Roman"/>
        </w:rPr>
        <w:t xml:space="preserve"> np. na prace rozwojowe nad prototypem przełomowego produktu, na wdrożenie nowej technologii do działalności firmy czy na ekspansję na rynki zagraniczne. Fundusz umożliwi współfinansowanie projektów rozwojowych tak, by mogły one rosnąć na rodzimym rynku i stawać się globalnymi czempionami wywodzącymi się z Polski.</w:t>
      </w:r>
      <w:r w:rsidR="00C51188" w:rsidRPr="00AF0582">
        <w:rPr>
          <w:rFonts w:ascii="Times New Roman" w:hAnsi="Times New Roman" w:cs="Times New Roman"/>
        </w:rPr>
        <w:t xml:space="preserve"> Subf</w:t>
      </w:r>
      <w:r w:rsidRPr="00AF0582">
        <w:rPr>
          <w:rFonts w:ascii="Times New Roman" w:hAnsi="Times New Roman" w:cs="Times New Roman"/>
        </w:rPr>
        <w:t>undusz wsparcia innowacyjnej gospodarki umożliwi zwiększenie tych wskaźników przez stymu</w:t>
      </w:r>
      <w:r w:rsidR="00AC7FF6">
        <w:rPr>
          <w:rFonts w:ascii="Times New Roman" w:hAnsi="Times New Roman" w:cs="Times New Roman"/>
        </w:rPr>
        <w:t>lowanie inwestycji prywatnych w </w:t>
      </w:r>
      <w:r w:rsidRPr="00AF0582">
        <w:rPr>
          <w:rFonts w:ascii="Times New Roman" w:hAnsi="Times New Roman" w:cs="Times New Roman"/>
        </w:rPr>
        <w:t xml:space="preserve">innowacje (poprzez efekt mnożnikowy </w:t>
      </w:r>
      <w:r w:rsidR="00C51188" w:rsidRPr="00AF0582">
        <w:rPr>
          <w:rFonts w:ascii="Times New Roman" w:hAnsi="Times New Roman" w:cs="Times New Roman"/>
        </w:rPr>
        <w:t>wsparcia finansowego</w:t>
      </w:r>
      <w:r w:rsidRPr="00AF0582">
        <w:rPr>
          <w:rFonts w:ascii="Times New Roman" w:hAnsi="Times New Roman" w:cs="Times New Roman"/>
        </w:rPr>
        <w:t>) oraz poprawi struktury finansowania startupów</w:t>
      </w:r>
      <w:r w:rsidR="00FD72E1">
        <w:rPr>
          <w:rFonts w:ascii="Times New Roman" w:hAnsi="Times New Roman" w:cs="Times New Roman"/>
        </w:rPr>
        <w:t xml:space="preserve">. </w:t>
      </w:r>
      <w:r w:rsidRPr="00AF0582">
        <w:rPr>
          <w:rFonts w:ascii="Times New Roman" w:hAnsi="Times New Roman" w:cs="Times New Roman"/>
        </w:rPr>
        <w:t>Co więcej, brak silnego wsparcia skutkuje często przejmowaniem polskich innowacji przez kapitał zewnętrzny</w:t>
      </w:r>
      <w:r w:rsidR="00C51188" w:rsidRPr="00AF0582">
        <w:rPr>
          <w:rFonts w:ascii="Times New Roman" w:hAnsi="Times New Roman" w:cs="Times New Roman"/>
        </w:rPr>
        <w:t>. N</w:t>
      </w:r>
      <w:r w:rsidRPr="00AF0582">
        <w:rPr>
          <w:rFonts w:ascii="Times New Roman" w:hAnsi="Times New Roman" w:cs="Times New Roman"/>
        </w:rPr>
        <w:t xml:space="preserve">owy Fundusz pozwoli temu przeciwdziałać, finansując rodzime firmy na krytycznym etapie wzrostu. </w:t>
      </w:r>
      <w:r w:rsidR="00FD72E1">
        <w:rPr>
          <w:rFonts w:ascii="Times New Roman" w:hAnsi="Times New Roman" w:cs="Times New Roman"/>
        </w:rPr>
        <w:t xml:space="preserve">Co istotne, intencją </w:t>
      </w:r>
      <w:r w:rsidR="00AC7FF6">
        <w:rPr>
          <w:rFonts w:ascii="Times New Roman" w:hAnsi="Times New Roman" w:cs="Times New Roman"/>
        </w:rPr>
        <w:t>projektu zgodnie z art. 6 ust. 3</w:t>
      </w:r>
      <w:r w:rsidR="00FD72E1">
        <w:rPr>
          <w:rFonts w:ascii="Times New Roman" w:hAnsi="Times New Roman" w:cs="Times New Roman"/>
        </w:rPr>
        <w:t xml:space="preserve"> jest możliwość stworzenia pośredniego systemu wsparcia, wykorzystującego istniejące zasoby instytucjonalne podmiotów zajmujących się bezpośrednim udzielaniem wsparcia.</w:t>
      </w:r>
    </w:p>
    <w:p w14:paraId="1A2AFF46" w14:textId="672CBFEC" w:rsidR="0061095D" w:rsidRPr="00AF0582" w:rsidRDefault="0061095D" w:rsidP="00AF0582">
      <w:pPr>
        <w:spacing w:line="360" w:lineRule="auto"/>
        <w:ind w:firstLine="708"/>
        <w:jc w:val="both"/>
        <w:rPr>
          <w:rFonts w:ascii="Times New Roman" w:hAnsi="Times New Roman" w:cs="Times New Roman"/>
        </w:rPr>
      </w:pPr>
      <w:r w:rsidRPr="00AF0582">
        <w:rPr>
          <w:rFonts w:ascii="Times New Roman" w:hAnsi="Times New Roman" w:cs="Times New Roman"/>
        </w:rPr>
        <w:t>Subfundusz nowoczesnej administracji przewidziany jest jako wsparcie dla projektów informatyzacji i cyfryzacji sektora publicznego. Głównymi beneficjentami będą tu instytucje publiczne (rządowe i samorządowe), które planują wdrożenia nowoczesnych technologii usprawniających realizację zadań publicznych. Przykładowo, środki z tego subfunduszu mogą zostać wykorzystane na sfinansowanie systemów wykorzystujących sztuczną inteligencję do obsługi obywatela (</w:t>
      </w:r>
      <w:proofErr w:type="spellStart"/>
      <w:r w:rsidRPr="00AF0582">
        <w:rPr>
          <w:rFonts w:ascii="Times New Roman" w:hAnsi="Times New Roman" w:cs="Times New Roman"/>
        </w:rPr>
        <w:t>chatboty</w:t>
      </w:r>
      <w:proofErr w:type="spellEnd"/>
      <w:r w:rsidRPr="00AF0582">
        <w:rPr>
          <w:rFonts w:ascii="Times New Roman" w:hAnsi="Times New Roman" w:cs="Times New Roman"/>
        </w:rPr>
        <w:t xml:space="preserve"> w urzędach, automatyczna analiza wniosków), na zastosowanie Internetu Rzeczy i analiz big data w zarządzaniu infrastrukturą miejską (smart </w:t>
      </w:r>
      <w:proofErr w:type="spellStart"/>
      <w:r w:rsidRPr="00AF0582">
        <w:rPr>
          <w:rFonts w:ascii="Times New Roman" w:hAnsi="Times New Roman" w:cs="Times New Roman"/>
        </w:rPr>
        <w:t>city</w:t>
      </w:r>
      <w:proofErr w:type="spellEnd"/>
      <w:r w:rsidRPr="00AF0582">
        <w:rPr>
          <w:rFonts w:ascii="Times New Roman" w:hAnsi="Times New Roman" w:cs="Times New Roman"/>
        </w:rPr>
        <w:t>), na cyfryzację procesów administracyjnych (e-</w:t>
      </w:r>
      <w:proofErr w:type="spellStart"/>
      <w:r w:rsidRPr="00AF0582">
        <w:rPr>
          <w:rFonts w:ascii="Times New Roman" w:hAnsi="Times New Roman" w:cs="Times New Roman"/>
        </w:rPr>
        <w:t>government</w:t>
      </w:r>
      <w:proofErr w:type="spellEnd"/>
      <w:r w:rsidRPr="00AF0582">
        <w:rPr>
          <w:rFonts w:ascii="Times New Roman" w:hAnsi="Times New Roman" w:cs="Times New Roman"/>
        </w:rPr>
        <w:t xml:space="preserve">) czy zwiększenie interoperacyjności rejestrów państwowych. Transformacja cyfrowa administracji publicznej jest priorytetem </w:t>
      </w:r>
      <w:r w:rsidR="00C51188" w:rsidRPr="00AF0582">
        <w:rPr>
          <w:rFonts w:ascii="Times New Roman" w:hAnsi="Times New Roman" w:cs="Times New Roman"/>
        </w:rPr>
        <w:t xml:space="preserve">ogólnonarodowym </w:t>
      </w:r>
      <w:r w:rsidRPr="00AF0582">
        <w:rPr>
          <w:rFonts w:ascii="Times New Roman" w:hAnsi="Times New Roman" w:cs="Times New Roman"/>
        </w:rPr>
        <w:t>- poprawia dostępność usług dla obywateli i przedsiębiorców, obniża koszty funkcjonowania urzędów oraz podnosi efektywność prz</w:t>
      </w:r>
      <w:r w:rsidR="00AC7FF6">
        <w:rPr>
          <w:rFonts w:ascii="Times New Roman" w:hAnsi="Times New Roman" w:cs="Times New Roman"/>
        </w:rPr>
        <w:t>yspieszając załatwianie spraw i </w:t>
      </w:r>
      <w:r w:rsidRPr="00AF0582">
        <w:rPr>
          <w:rFonts w:ascii="Times New Roman" w:hAnsi="Times New Roman" w:cs="Times New Roman"/>
        </w:rPr>
        <w:t xml:space="preserve">eliminując biurokratyczne bariery. Art. </w:t>
      </w:r>
      <w:r w:rsidR="002F1D6A">
        <w:rPr>
          <w:rFonts w:ascii="Times New Roman" w:hAnsi="Times New Roman" w:cs="Times New Roman"/>
        </w:rPr>
        <w:t>8</w:t>
      </w:r>
      <w:r w:rsidRPr="00AF0582">
        <w:rPr>
          <w:rFonts w:ascii="Times New Roman" w:hAnsi="Times New Roman" w:cs="Times New Roman"/>
        </w:rPr>
        <w:t xml:space="preserve"> pkt 2 projektu ustawy wprost wskazuje, iż Fundusz finansuje „transformację cyfrową zadań wykonywanych przez jednostki sektora finansów publicznych”. </w:t>
      </w:r>
      <w:r w:rsidR="006933C2">
        <w:rPr>
          <w:rFonts w:ascii="Times New Roman" w:hAnsi="Times New Roman" w:cs="Times New Roman"/>
        </w:rPr>
        <w:t>Sub</w:t>
      </w:r>
      <w:r w:rsidR="006933C2" w:rsidRPr="00AF0582">
        <w:rPr>
          <w:rFonts w:ascii="Times New Roman" w:hAnsi="Times New Roman" w:cs="Times New Roman"/>
        </w:rPr>
        <w:t>fundusz</w:t>
      </w:r>
      <w:r w:rsidRPr="00AF0582">
        <w:rPr>
          <w:rFonts w:ascii="Times New Roman" w:hAnsi="Times New Roman" w:cs="Times New Roman"/>
        </w:rPr>
        <w:t xml:space="preserve"> nowoczesnej administracji pomoże nadrobić te zaległości, finansując m.in. tworzenie nowych cyfrowych usług publicznych, rozwój </w:t>
      </w:r>
      <w:r w:rsidR="00C51188" w:rsidRPr="00AF0582">
        <w:rPr>
          <w:rFonts w:ascii="Times New Roman" w:hAnsi="Times New Roman" w:cs="Times New Roman"/>
        </w:rPr>
        <w:t xml:space="preserve">rozwiązań typu </w:t>
      </w:r>
      <w:proofErr w:type="spellStart"/>
      <w:r w:rsidRPr="00AF0582">
        <w:rPr>
          <w:rFonts w:ascii="Times New Roman" w:hAnsi="Times New Roman" w:cs="Times New Roman"/>
        </w:rPr>
        <w:t>GovTech</w:t>
      </w:r>
      <w:proofErr w:type="spellEnd"/>
      <w:r w:rsidRPr="00AF0582">
        <w:rPr>
          <w:rFonts w:ascii="Times New Roman" w:hAnsi="Times New Roman" w:cs="Times New Roman"/>
        </w:rPr>
        <w:t xml:space="preserve"> (technologi</w:t>
      </w:r>
      <w:r w:rsidR="00C51188" w:rsidRPr="00AF0582">
        <w:rPr>
          <w:rFonts w:ascii="Times New Roman" w:hAnsi="Times New Roman" w:cs="Times New Roman"/>
        </w:rPr>
        <w:t>e</w:t>
      </w:r>
      <w:r w:rsidRPr="00AF0582">
        <w:rPr>
          <w:rFonts w:ascii="Times New Roman" w:hAnsi="Times New Roman" w:cs="Times New Roman"/>
        </w:rPr>
        <w:t xml:space="preserve"> dla sektora rządowego) czy szkolenia urzędników z obsługi zaawansowanych systemów. Długofalowym efektem będzie bardziej dostępna i efektywna administracja, co ma znaczenie zarówno dla obywateli, jak i dla klimatu inwestycyjnego. </w:t>
      </w:r>
    </w:p>
    <w:p w14:paraId="7E8FDD1E" w14:textId="6C09F540" w:rsidR="0061095D" w:rsidRPr="00AF0582" w:rsidRDefault="0061095D" w:rsidP="00AF0582">
      <w:pPr>
        <w:spacing w:line="360" w:lineRule="auto"/>
        <w:ind w:firstLine="708"/>
        <w:jc w:val="both"/>
        <w:rPr>
          <w:rFonts w:ascii="Times New Roman" w:hAnsi="Times New Roman" w:cs="Times New Roman"/>
        </w:rPr>
      </w:pPr>
      <w:r w:rsidRPr="00AF0582">
        <w:rPr>
          <w:rFonts w:ascii="Times New Roman" w:hAnsi="Times New Roman" w:cs="Times New Roman"/>
        </w:rPr>
        <w:t>Subfundusz bezpieczeństwa cyberprzestrzeni jest odpo</w:t>
      </w:r>
      <w:r w:rsidR="00AC7FF6">
        <w:rPr>
          <w:rFonts w:ascii="Times New Roman" w:hAnsi="Times New Roman" w:cs="Times New Roman"/>
        </w:rPr>
        <w:t>wiedzią na rosnące zagrożenia w </w:t>
      </w:r>
      <w:r w:rsidRPr="00AF0582">
        <w:rPr>
          <w:rFonts w:ascii="Times New Roman" w:hAnsi="Times New Roman" w:cs="Times New Roman"/>
        </w:rPr>
        <w:t xml:space="preserve">sferze cyfrowej. Polska, tak jak inne kraje, doświadcza coraz bardziej złożonych ataków cybernetycznych wymierzonych w systemy państwowe, infrastrukturę krytyczną (energetyka, finanse, transport) czy przedsiębiorstwa. W 2022 r. odnotowano tysiące incydentów </w:t>
      </w:r>
      <w:proofErr w:type="spellStart"/>
      <w:r w:rsidRPr="00AF0582">
        <w:rPr>
          <w:rFonts w:ascii="Times New Roman" w:hAnsi="Times New Roman" w:cs="Times New Roman"/>
        </w:rPr>
        <w:t>cyberbezpieczeństwa</w:t>
      </w:r>
      <w:proofErr w:type="spellEnd"/>
      <w:r w:rsidRPr="00AF0582">
        <w:rPr>
          <w:rFonts w:ascii="Times New Roman" w:hAnsi="Times New Roman" w:cs="Times New Roman"/>
        </w:rPr>
        <w:t xml:space="preserve">, a skala ataków typu </w:t>
      </w:r>
      <w:proofErr w:type="spellStart"/>
      <w:r w:rsidRPr="00AF0582">
        <w:rPr>
          <w:rFonts w:ascii="Times New Roman" w:hAnsi="Times New Roman" w:cs="Times New Roman"/>
        </w:rPr>
        <w:t>ransomware</w:t>
      </w:r>
      <w:proofErr w:type="spellEnd"/>
      <w:r w:rsidRPr="00AF0582">
        <w:rPr>
          <w:rFonts w:ascii="Times New Roman" w:hAnsi="Times New Roman" w:cs="Times New Roman"/>
        </w:rPr>
        <w:t xml:space="preserve">, </w:t>
      </w:r>
      <w:proofErr w:type="spellStart"/>
      <w:r w:rsidRPr="00AF0582">
        <w:rPr>
          <w:rFonts w:ascii="Times New Roman" w:hAnsi="Times New Roman" w:cs="Times New Roman"/>
        </w:rPr>
        <w:t>phishing</w:t>
      </w:r>
      <w:proofErr w:type="spellEnd"/>
      <w:r w:rsidRPr="00AF0582">
        <w:rPr>
          <w:rFonts w:ascii="Times New Roman" w:hAnsi="Times New Roman" w:cs="Times New Roman"/>
        </w:rPr>
        <w:t xml:space="preserve"> czy APT (Advanced </w:t>
      </w:r>
      <w:proofErr w:type="spellStart"/>
      <w:r w:rsidRPr="00AF0582">
        <w:rPr>
          <w:rFonts w:ascii="Times New Roman" w:hAnsi="Times New Roman" w:cs="Times New Roman"/>
        </w:rPr>
        <w:t>Persistent</w:t>
      </w:r>
      <w:proofErr w:type="spellEnd"/>
      <w:r w:rsidRPr="00AF0582">
        <w:rPr>
          <w:rFonts w:ascii="Times New Roman" w:hAnsi="Times New Roman" w:cs="Times New Roman"/>
        </w:rPr>
        <w:t xml:space="preserve"> </w:t>
      </w:r>
      <w:proofErr w:type="spellStart"/>
      <w:r w:rsidRPr="00AF0582">
        <w:rPr>
          <w:rFonts w:ascii="Times New Roman" w:hAnsi="Times New Roman" w:cs="Times New Roman"/>
        </w:rPr>
        <w:t>Threat</w:t>
      </w:r>
      <w:proofErr w:type="spellEnd"/>
      <w:r w:rsidR="00C51188" w:rsidRPr="00AF0582">
        <w:rPr>
          <w:rFonts w:ascii="Times New Roman" w:hAnsi="Times New Roman" w:cs="Times New Roman"/>
        </w:rPr>
        <w:t xml:space="preserve"> </w:t>
      </w:r>
      <w:r w:rsidR="00931DB2" w:rsidRPr="00AF0582">
        <w:rPr>
          <w:rFonts w:ascii="Times New Roman" w:hAnsi="Times New Roman" w:cs="Times New Roman"/>
        </w:rPr>
        <w:t>-</w:t>
      </w:r>
      <w:r w:rsidR="00C51188" w:rsidRPr="00AF0582">
        <w:rPr>
          <w:rFonts w:ascii="Times New Roman" w:hAnsi="Times New Roman" w:cs="Times New Roman"/>
        </w:rPr>
        <w:t xml:space="preserve"> szczególnie poważne zagrożenia</w:t>
      </w:r>
      <w:r w:rsidRPr="00AF0582">
        <w:rPr>
          <w:rFonts w:ascii="Times New Roman" w:hAnsi="Times New Roman" w:cs="Times New Roman"/>
        </w:rPr>
        <w:t>) stale rośn</w:t>
      </w:r>
      <w:r w:rsidR="00AC7FF6">
        <w:rPr>
          <w:rFonts w:ascii="Times New Roman" w:hAnsi="Times New Roman" w:cs="Times New Roman"/>
        </w:rPr>
        <w:t>ie. W tej sytuacji inwestycje w </w:t>
      </w:r>
      <w:r w:rsidRPr="00AF0582">
        <w:rPr>
          <w:rFonts w:ascii="Times New Roman" w:hAnsi="Times New Roman" w:cs="Times New Roman"/>
        </w:rPr>
        <w:t xml:space="preserve">rozwój krajowych zdolności </w:t>
      </w:r>
      <w:proofErr w:type="spellStart"/>
      <w:r w:rsidRPr="00AF0582">
        <w:rPr>
          <w:rFonts w:ascii="Times New Roman" w:hAnsi="Times New Roman" w:cs="Times New Roman"/>
        </w:rPr>
        <w:t>cyberbezpieczeństwa</w:t>
      </w:r>
      <w:proofErr w:type="spellEnd"/>
      <w:r w:rsidRPr="00AF0582">
        <w:rPr>
          <w:rFonts w:ascii="Times New Roman" w:hAnsi="Times New Roman" w:cs="Times New Roman"/>
        </w:rPr>
        <w:t xml:space="preserve"> są nieodzowne. Subfundusz </w:t>
      </w:r>
      <w:r w:rsidR="00C51188" w:rsidRPr="00AF0582">
        <w:rPr>
          <w:rFonts w:ascii="Times New Roman" w:hAnsi="Times New Roman" w:cs="Times New Roman"/>
        </w:rPr>
        <w:t>bezpieczeństwa cyberprzestrzeni</w:t>
      </w:r>
      <w:r w:rsidRPr="00AF0582">
        <w:rPr>
          <w:rFonts w:ascii="Times New Roman" w:hAnsi="Times New Roman" w:cs="Times New Roman"/>
        </w:rPr>
        <w:t xml:space="preserve"> pozwoli finansować </w:t>
      </w:r>
      <w:r w:rsidR="00AC7FF6">
        <w:rPr>
          <w:rFonts w:ascii="Times New Roman" w:hAnsi="Times New Roman" w:cs="Times New Roman"/>
        </w:rPr>
        <w:t>m.in.: rozwój nowych narzędzi i </w:t>
      </w:r>
      <w:r w:rsidRPr="00AF0582">
        <w:rPr>
          <w:rFonts w:ascii="Times New Roman" w:hAnsi="Times New Roman" w:cs="Times New Roman"/>
        </w:rPr>
        <w:t>oprogramowania zabezpieczającego</w:t>
      </w:r>
      <w:r w:rsidR="00C51188" w:rsidRPr="00AF0582">
        <w:rPr>
          <w:rFonts w:ascii="Times New Roman" w:hAnsi="Times New Roman" w:cs="Times New Roman"/>
        </w:rPr>
        <w:t>,</w:t>
      </w:r>
      <w:r w:rsidRPr="00AF0582">
        <w:rPr>
          <w:rFonts w:ascii="Times New Roman" w:hAnsi="Times New Roman" w:cs="Times New Roman"/>
        </w:rPr>
        <w:t xml:space="preserve"> wsparcie dla sektora publicznego w podnoszeniu poziomu zabezpieczeń, tworzenie centrów operacji bezpieczeństwa (SOC) czy specjalistyczne szkolenia kadr. Beneficjentami będą tu zarówno instytucje państwowe odpowiedzialne za </w:t>
      </w:r>
      <w:proofErr w:type="spellStart"/>
      <w:r w:rsidRPr="00AF0582">
        <w:rPr>
          <w:rFonts w:ascii="Times New Roman" w:hAnsi="Times New Roman" w:cs="Times New Roman"/>
        </w:rPr>
        <w:t>cyberbezpieczeństwo</w:t>
      </w:r>
      <w:proofErr w:type="spellEnd"/>
      <w:r w:rsidRPr="00AF0582">
        <w:rPr>
          <w:rFonts w:ascii="Times New Roman" w:hAnsi="Times New Roman" w:cs="Times New Roman"/>
        </w:rPr>
        <w:t xml:space="preserve"> (np. zespoły reagowania na incydenty CERT, jednostki administracji zobowiązane ustawą o krajowym systemie </w:t>
      </w:r>
      <w:proofErr w:type="spellStart"/>
      <w:r w:rsidRPr="00AF0582">
        <w:rPr>
          <w:rFonts w:ascii="Times New Roman" w:hAnsi="Times New Roman" w:cs="Times New Roman"/>
        </w:rPr>
        <w:t>cyberbezpieczeństwa</w:t>
      </w:r>
      <w:proofErr w:type="spellEnd"/>
      <w:r w:rsidRPr="00AF0582">
        <w:rPr>
          <w:rFonts w:ascii="Times New Roman" w:hAnsi="Times New Roman" w:cs="Times New Roman"/>
        </w:rPr>
        <w:t>), jak i podmioty rozwijające strategiczne technologie bezpieczeństwa (startupy produkujące rozwiązania kryptograficzne, firmy tworzące oprogramowanie ochronne itp.). Inwestycje z</w:t>
      </w:r>
      <w:r w:rsidR="00AC7FF6">
        <w:rPr>
          <w:rFonts w:ascii="Times New Roman" w:hAnsi="Times New Roman" w:cs="Times New Roman"/>
        </w:rPr>
        <w:t xml:space="preserve"> tego subfunduszu wpisują się w </w:t>
      </w:r>
      <w:r w:rsidRPr="00AF0582">
        <w:rPr>
          <w:rFonts w:ascii="Times New Roman" w:hAnsi="Times New Roman" w:cs="Times New Roman"/>
        </w:rPr>
        <w:t xml:space="preserve">założenia Krajowej Strategii </w:t>
      </w:r>
      <w:proofErr w:type="spellStart"/>
      <w:r w:rsidRPr="00AF0582">
        <w:rPr>
          <w:rFonts w:ascii="Times New Roman" w:hAnsi="Times New Roman" w:cs="Times New Roman"/>
        </w:rPr>
        <w:t>Cyberbezpieczeństwa</w:t>
      </w:r>
      <w:proofErr w:type="spellEnd"/>
      <w:r w:rsidRPr="00AF0582">
        <w:rPr>
          <w:rFonts w:ascii="Times New Roman" w:hAnsi="Times New Roman" w:cs="Times New Roman"/>
        </w:rPr>
        <w:t xml:space="preserve"> RP na lata 2019-2024</w:t>
      </w:r>
      <w:r w:rsidR="00C51188" w:rsidRPr="00AF0582">
        <w:rPr>
          <w:rFonts w:ascii="Times New Roman" w:hAnsi="Times New Roman" w:cs="Times New Roman"/>
        </w:rPr>
        <w:t xml:space="preserve"> (oraz projektowanej Strategii </w:t>
      </w:r>
      <w:proofErr w:type="spellStart"/>
      <w:r w:rsidR="00C51188" w:rsidRPr="00AF0582">
        <w:rPr>
          <w:rFonts w:ascii="Times New Roman" w:hAnsi="Times New Roman" w:cs="Times New Roman"/>
        </w:rPr>
        <w:t>Cyberbezpieczeństwa</w:t>
      </w:r>
      <w:proofErr w:type="spellEnd"/>
      <w:r w:rsidR="00C51188" w:rsidRPr="00AF0582">
        <w:rPr>
          <w:rFonts w:ascii="Times New Roman" w:hAnsi="Times New Roman" w:cs="Times New Roman"/>
        </w:rPr>
        <w:t xml:space="preserve"> RP na lata 2025-2029)</w:t>
      </w:r>
      <w:r w:rsidRPr="00AF0582">
        <w:rPr>
          <w:rFonts w:ascii="Times New Roman" w:hAnsi="Times New Roman" w:cs="Times New Roman"/>
        </w:rPr>
        <w:t xml:space="preserve">, która przewiduje budowę silnego ekosystemu krajowego w tym obszarze. Należy podkreślić, że środki na </w:t>
      </w:r>
      <w:proofErr w:type="spellStart"/>
      <w:r w:rsidRPr="00AF0582">
        <w:rPr>
          <w:rFonts w:ascii="Times New Roman" w:hAnsi="Times New Roman" w:cs="Times New Roman"/>
        </w:rPr>
        <w:t>cyberbezpieczeństwo</w:t>
      </w:r>
      <w:proofErr w:type="spellEnd"/>
      <w:r w:rsidRPr="00AF0582">
        <w:rPr>
          <w:rFonts w:ascii="Times New Roman" w:hAnsi="Times New Roman" w:cs="Times New Roman"/>
        </w:rPr>
        <w:t xml:space="preserve"> to nie tylko wydatek, ale i inwestycja chroniąca przed potencjalnie ogromnymi stratami</w:t>
      </w:r>
      <w:r w:rsidR="00C51188" w:rsidRPr="00AF0582">
        <w:rPr>
          <w:rFonts w:ascii="Times New Roman" w:hAnsi="Times New Roman" w:cs="Times New Roman"/>
        </w:rPr>
        <w:t>. W</w:t>
      </w:r>
      <w:r w:rsidRPr="00AF0582">
        <w:rPr>
          <w:rFonts w:ascii="Times New Roman" w:hAnsi="Times New Roman" w:cs="Times New Roman"/>
        </w:rPr>
        <w:t xml:space="preserve">edług szacunków, skuteczny system </w:t>
      </w:r>
      <w:proofErr w:type="spellStart"/>
      <w:r w:rsidRPr="00AF0582">
        <w:rPr>
          <w:rFonts w:ascii="Times New Roman" w:hAnsi="Times New Roman" w:cs="Times New Roman"/>
        </w:rPr>
        <w:t>cyberochrony</w:t>
      </w:r>
      <w:proofErr w:type="spellEnd"/>
      <w:r w:rsidRPr="00AF0582">
        <w:rPr>
          <w:rFonts w:ascii="Times New Roman" w:hAnsi="Times New Roman" w:cs="Times New Roman"/>
        </w:rPr>
        <w:t xml:space="preserve"> może uchronić gospodarkę przed szkodami rzędu wielu miliardów złotych rocznie, wynikającymi z udanych ataków</w:t>
      </w:r>
      <w:r w:rsidR="00C51188" w:rsidRPr="00AF0582">
        <w:rPr>
          <w:rFonts w:ascii="Times New Roman" w:hAnsi="Times New Roman" w:cs="Times New Roman"/>
        </w:rPr>
        <w:t>.</w:t>
      </w:r>
      <w:r w:rsidRPr="00AF0582">
        <w:rPr>
          <w:rFonts w:ascii="Times New Roman" w:hAnsi="Times New Roman" w:cs="Times New Roman"/>
        </w:rPr>
        <w:t xml:space="preserve"> Wzmocnienie własnego potencjału w dziedzinie </w:t>
      </w:r>
      <w:proofErr w:type="spellStart"/>
      <w:r w:rsidR="00C51188" w:rsidRPr="00AF0582">
        <w:rPr>
          <w:rFonts w:ascii="Times New Roman" w:hAnsi="Times New Roman" w:cs="Times New Roman"/>
        </w:rPr>
        <w:t>cyberbezpieczeństwa</w:t>
      </w:r>
      <w:proofErr w:type="spellEnd"/>
      <w:r w:rsidRPr="00AF0582">
        <w:rPr>
          <w:rFonts w:ascii="Times New Roman" w:hAnsi="Times New Roman" w:cs="Times New Roman"/>
        </w:rPr>
        <w:t xml:space="preserve"> zabezpieczy również autonomię decyzyjną państwa ograniczy konieczność polegania na zagranicznych dostawcach technologii bezpieczeństwa.</w:t>
      </w:r>
    </w:p>
    <w:p w14:paraId="7022CD0B" w14:textId="788A5CC3" w:rsidR="0061095D" w:rsidRPr="00AF0582" w:rsidRDefault="0061095D"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Subfundusz edukacyjno-popularyzatorski ma z kolei za zadanie zbudować trwałe fundamenty kapitału ludzkiego dla gospodarki opartej na wiedzy oraz zwiększyć świadomość społeczeństwa w zakresie korzyści i wyzwań związanych z nowymi technologami. Główni planowani beneficjenci to szkoły, uczelnie, jednostki samorządu terytorialnego i organizacje pozarządowe prowadzące projekty z obszaru edukacji i popularyzacji nauki. Środki tego subfunduszu mogą posłużyć m.in. do: finansowania programów stypendialnych i konkursów dla uczniów i studentów wybitnie uzdolnionych w dziedzinach </w:t>
      </w:r>
      <w:r w:rsidR="00C51188" w:rsidRPr="00AF0582">
        <w:rPr>
          <w:rFonts w:ascii="Times New Roman" w:hAnsi="Times New Roman" w:cs="Times New Roman"/>
        </w:rPr>
        <w:t>nowych technologii,</w:t>
      </w:r>
      <w:r w:rsidRPr="00AF0582">
        <w:rPr>
          <w:rFonts w:ascii="Times New Roman" w:hAnsi="Times New Roman" w:cs="Times New Roman"/>
        </w:rPr>
        <w:t xml:space="preserve"> wspierania tworzenia nowych kierunków studiów i specjalizacji związanych </w:t>
      </w:r>
      <w:r w:rsidR="00C51188" w:rsidRPr="00AF0582">
        <w:rPr>
          <w:rFonts w:ascii="Times New Roman" w:hAnsi="Times New Roman" w:cs="Times New Roman"/>
        </w:rPr>
        <w:t>ze sztuczną inteligencją</w:t>
      </w:r>
      <w:r w:rsidRPr="00AF0582">
        <w:rPr>
          <w:rFonts w:ascii="Times New Roman" w:hAnsi="Times New Roman" w:cs="Times New Roman"/>
        </w:rPr>
        <w:t>, inżynierią danych, mechatroniką, kwantowymi technologiami</w:t>
      </w:r>
      <w:r w:rsidR="00C51188" w:rsidRPr="00AF0582">
        <w:rPr>
          <w:rFonts w:ascii="Times New Roman" w:hAnsi="Times New Roman" w:cs="Times New Roman"/>
        </w:rPr>
        <w:t xml:space="preserve">, </w:t>
      </w:r>
      <w:r w:rsidRPr="00AF0582">
        <w:rPr>
          <w:rFonts w:ascii="Times New Roman" w:hAnsi="Times New Roman" w:cs="Times New Roman"/>
        </w:rPr>
        <w:t>szkolenia nauczycieli i kadry akademickiej, aby potrafili kształcić uczniów/studentów w najnowszych technologiach</w:t>
      </w:r>
      <w:r w:rsidR="00C51188" w:rsidRPr="00AF0582">
        <w:rPr>
          <w:rFonts w:ascii="Times New Roman" w:hAnsi="Times New Roman" w:cs="Times New Roman"/>
        </w:rPr>
        <w:t>,</w:t>
      </w:r>
      <w:r w:rsidRPr="00AF0582">
        <w:rPr>
          <w:rFonts w:ascii="Times New Roman" w:hAnsi="Times New Roman" w:cs="Times New Roman"/>
        </w:rPr>
        <w:t xml:space="preserve"> dofinansowania inicjatyw popularyzatorskich</w:t>
      </w:r>
      <w:r w:rsidR="00C51188" w:rsidRPr="00AF0582">
        <w:rPr>
          <w:rFonts w:ascii="Times New Roman" w:hAnsi="Times New Roman" w:cs="Times New Roman"/>
        </w:rPr>
        <w:t xml:space="preserve">, czy </w:t>
      </w:r>
      <w:r w:rsidRPr="00AF0582">
        <w:rPr>
          <w:rFonts w:ascii="Times New Roman" w:hAnsi="Times New Roman" w:cs="Times New Roman"/>
        </w:rPr>
        <w:t>rozwoju otwartych platform e-</w:t>
      </w:r>
      <w:r w:rsidR="00AC7FF6">
        <w:rPr>
          <w:rFonts w:ascii="Times New Roman" w:hAnsi="Times New Roman" w:cs="Times New Roman"/>
        </w:rPr>
        <w:t> </w:t>
      </w:r>
      <w:proofErr w:type="spellStart"/>
      <w:r w:rsidRPr="00AF0582">
        <w:rPr>
          <w:rFonts w:ascii="Times New Roman" w:hAnsi="Times New Roman" w:cs="Times New Roman"/>
        </w:rPr>
        <w:t>learningowych</w:t>
      </w:r>
      <w:proofErr w:type="spellEnd"/>
      <w:r w:rsidRPr="00AF0582">
        <w:rPr>
          <w:rFonts w:ascii="Times New Roman" w:hAnsi="Times New Roman" w:cs="Times New Roman"/>
        </w:rPr>
        <w:t xml:space="preserve"> z zakresu nowych technologii dostępnych dla szerokiego grona odbiorców. Inwestycja w edukację technologiczną jest krytycznie istotna, ponieważ już obecnie polski rynek odczuwa niedobór wykwalifikowanych specjalistów. </w:t>
      </w:r>
      <w:r w:rsidR="00C51188" w:rsidRPr="00AF0582">
        <w:rPr>
          <w:rFonts w:ascii="Times New Roman" w:hAnsi="Times New Roman" w:cs="Times New Roman"/>
        </w:rPr>
        <w:t xml:space="preserve"> </w:t>
      </w:r>
      <w:r w:rsidRPr="00AF0582">
        <w:rPr>
          <w:rFonts w:ascii="Times New Roman" w:hAnsi="Times New Roman" w:cs="Times New Roman"/>
        </w:rPr>
        <w:t xml:space="preserve">W </w:t>
      </w:r>
      <w:r w:rsidR="008A0B77" w:rsidRPr="00AF0582">
        <w:rPr>
          <w:rFonts w:ascii="Times New Roman" w:hAnsi="Times New Roman" w:cs="Times New Roman"/>
        </w:rPr>
        <w:t>Polsce branża</w:t>
      </w:r>
      <w:r w:rsidRPr="00AF0582">
        <w:rPr>
          <w:rFonts w:ascii="Times New Roman" w:hAnsi="Times New Roman" w:cs="Times New Roman"/>
        </w:rPr>
        <w:t xml:space="preserve"> nowych technologii sygnalizuje deficyt tysięcy programistów, inżynierów</w:t>
      </w:r>
      <w:r w:rsidR="00C51188" w:rsidRPr="00AF0582">
        <w:rPr>
          <w:rFonts w:ascii="Times New Roman" w:hAnsi="Times New Roman" w:cs="Times New Roman"/>
        </w:rPr>
        <w:t xml:space="preserve"> oprogramowania</w:t>
      </w:r>
      <w:r w:rsidRPr="00AF0582">
        <w:rPr>
          <w:rFonts w:ascii="Times New Roman" w:hAnsi="Times New Roman" w:cs="Times New Roman"/>
        </w:rPr>
        <w:t>,</w:t>
      </w:r>
      <w:r w:rsidR="00C51188" w:rsidRPr="00AF0582">
        <w:rPr>
          <w:rFonts w:ascii="Times New Roman" w:hAnsi="Times New Roman" w:cs="Times New Roman"/>
        </w:rPr>
        <w:t xml:space="preserve"> czy</w:t>
      </w:r>
      <w:r w:rsidRPr="00AF0582">
        <w:rPr>
          <w:rFonts w:ascii="Times New Roman" w:hAnsi="Times New Roman" w:cs="Times New Roman"/>
        </w:rPr>
        <w:t xml:space="preserve"> analityków danych. Fundusz poprzez subfundusz edukacyjn</w:t>
      </w:r>
      <w:r w:rsidR="00C51188" w:rsidRPr="00AF0582">
        <w:rPr>
          <w:rFonts w:ascii="Times New Roman" w:hAnsi="Times New Roman" w:cs="Times New Roman"/>
        </w:rPr>
        <w:t>o-popularyzatorski</w:t>
      </w:r>
      <w:r w:rsidRPr="00AF0582">
        <w:rPr>
          <w:rFonts w:ascii="Times New Roman" w:hAnsi="Times New Roman" w:cs="Times New Roman"/>
        </w:rPr>
        <w:t xml:space="preserve"> będzie przeciwdziałał zjawisku drenażu mózgów, stwarzając lepsze warunki do rozwoju dla młodych talentów w</w:t>
      </w:r>
      <w:r w:rsidR="00C51188" w:rsidRPr="00AF0582">
        <w:rPr>
          <w:rFonts w:ascii="Times New Roman" w:hAnsi="Times New Roman" w:cs="Times New Roman"/>
        </w:rPr>
        <w:t xml:space="preserve"> kraju</w:t>
      </w:r>
      <w:r w:rsidRPr="00AF0582">
        <w:rPr>
          <w:rFonts w:ascii="Times New Roman" w:hAnsi="Times New Roman" w:cs="Times New Roman"/>
        </w:rPr>
        <w:t>. Ponadto wzrośnie ogólny poziom kompetencji cyfrowych społeczeństwa, co ułatwi adaptację do zachodzących zmian technologicznych i zapewni bardziej włączający charakter transformacji (zmniejszając ryzyko wykluczenia cyfrowego części obywateli).</w:t>
      </w:r>
    </w:p>
    <w:p w14:paraId="403DFBA1" w14:textId="3F98C895" w:rsidR="001643CD" w:rsidRPr="00AF0582" w:rsidRDefault="0061095D"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Każdy z subfunduszy będzie funkcjonował w ramach ogólnej struktury Funduszu, pod nadzorem </w:t>
      </w:r>
      <w:r w:rsidR="001643CD" w:rsidRPr="00AF0582">
        <w:rPr>
          <w:rFonts w:ascii="Times New Roman" w:hAnsi="Times New Roman" w:cs="Times New Roman"/>
        </w:rPr>
        <w:t>m</w:t>
      </w:r>
      <w:r w:rsidRPr="00AF0582">
        <w:rPr>
          <w:rFonts w:ascii="Times New Roman" w:hAnsi="Times New Roman" w:cs="Times New Roman"/>
        </w:rPr>
        <w:t xml:space="preserve">inistra </w:t>
      </w:r>
      <w:r w:rsidR="00931DB2" w:rsidRPr="00AF0582">
        <w:rPr>
          <w:rFonts w:ascii="Times New Roman" w:hAnsi="Times New Roman" w:cs="Times New Roman"/>
        </w:rPr>
        <w:t>-</w:t>
      </w:r>
      <w:r w:rsidRPr="00AF0582">
        <w:rPr>
          <w:rFonts w:ascii="Times New Roman" w:hAnsi="Times New Roman" w:cs="Times New Roman"/>
        </w:rPr>
        <w:t xml:space="preserve"> dysponenta</w:t>
      </w:r>
      <w:r w:rsidR="001643CD" w:rsidRPr="00AF0582">
        <w:rPr>
          <w:rFonts w:ascii="Times New Roman" w:hAnsi="Times New Roman" w:cs="Times New Roman"/>
        </w:rPr>
        <w:t xml:space="preserve"> oraz Rady Funduszu</w:t>
      </w:r>
      <w:r w:rsidRPr="00AF0582">
        <w:rPr>
          <w:rFonts w:ascii="Times New Roman" w:hAnsi="Times New Roman" w:cs="Times New Roman"/>
        </w:rPr>
        <w:t xml:space="preserve">. W art. </w:t>
      </w:r>
      <w:r w:rsidR="002F1D6A">
        <w:rPr>
          <w:rFonts w:ascii="Times New Roman" w:hAnsi="Times New Roman" w:cs="Times New Roman"/>
        </w:rPr>
        <w:t>5</w:t>
      </w:r>
      <w:r w:rsidR="002466D8">
        <w:rPr>
          <w:rFonts w:ascii="Times New Roman" w:hAnsi="Times New Roman" w:cs="Times New Roman"/>
        </w:rPr>
        <w:t xml:space="preserve"> ust. 4</w:t>
      </w:r>
      <w:r w:rsidRPr="00AF0582">
        <w:rPr>
          <w:rFonts w:ascii="Times New Roman" w:hAnsi="Times New Roman" w:cs="Times New Roman"/>
        </w:rPr>
        <w:t xml:space="preserve"> przewidziano, że podziału środków Funduszu na poszczególne zadania dokonywać będzie </w:t>
      </w:r>
      <w:r w:rsidR="001643CD" w:rsidRPr="00AF0582">
        <w:rPr>
          <w:rFonts w:ascii="Times New Roman" w:hAnsi="Times New Roman" w:cs="Times New Roman"/>
        </w:rPr>
        <w:t>minister</w:t>
      </w:r>
      <w:r w:rsidR="00AC7FF6">
        <w:rPr>
          <w:rFonts w:ascii="Times New Roman" w:hAnsi="Times New Roman" w:cs="Times New Roman"/>
        </w:rPr>
        <w:t xml:space="preserve"> właściwy ds. </w:t>
      </w:r>
      <w:r w:rsidR="002F1D6A">
        <w:rPr>
          <w:rFonts w:ascii="Times New Roman" w:hAnsi="Times New Roman" w:cs="Times New Roman"/>
        </w:rPr>
        <w:t xml:space="preserve">informatyzacji po uzyskaniu pozytywnej opinii </w:t>
      </w:r>
      <w:r w:rsidRPr="00AF0582">
        <w:rPr>
          <w:rFonts w:ascii="Times New Roman" w:hAnsi="Times New Roman" w:cs="Times New Roman"/>
        </w:rPr>
        <w:t xml:space="preserve">Rady Funduszu. </w:t>
      </w:r>
    </w:p>
    <w:p w14:paraId="0D96A13D" w14:textId="24D887B4" w:rsidR="0061095D" w:rsidRPr="00AF0582" w:rsidRDefault="0061095D" w:rsidP="00AF0582">
      <w:pPr>
        <w:spacing w:line="360" w:lineRule="auto"/>
        <w:ind w:firstLine="708"/>
        <w:jc w:val="both"/>
        <w:rPr>
          <w:rFonts w:ascii="Times New Roman" w:hAnsi="Times New Roman" w:cs="Times New Roman"/>
        </w:rPr>
      </w:pPr>
      <w:r w:rsidRPr="00AF0582">
        <w:rPr>
          <w:rFonts w:ascii="Times New Roman" w:hAnsi="Times New Roman" w:cs="Times New Roman"/>
        </w:rPr>
        <w:t xml:space="preserve">Dodatkowo, art. </w:t>
      </w:r>
      <w:r w:rsidR="002F1D6A">
        <w:rPr>
          <w:rFonts w:ascii="Times New Roman" w:hAnsi="Times New Roman" w:cs="Times New Roman"/>
        </w:rPr>
        <w:t>5</w:t>
      </w:r>
      <w:r w:rsidRPr="00AF0582">
        <w:rPr>
          <w:rFonts w:ascii="Times New Roman" w:hAnsi="Times New Roman" w:cs="Times New Roman"/>
        </w:rPr>
        <w:t xml:space="preserve"> ust. 5 zakłada utworzenie rezerwy ogólnej Funduszu w wysokości 10% środków rocznych, co jest mechanizmem elastyczności pozwalającym reagować na nieprzewidziane okoliczności lub uzupełniać finansowanie tam, gdzie będzie szczególnie potrzebne w danym roku (np. dofinansowanie wyjątkowo licznych projektów wysokiej jakości lub interwencja w sytuacji kryzysowej). Koszty obsługi Funduszu zostały ograniczone do </w:t>
      </w:r>
      <w:r w:rsidR="002F1D6A">
        <w:rPr>
          <w:rFonts w:ascii="Times New Roman" w:hAnsi="Times New Roman" w:cs="Times New Roman"/>
        </w:rPr>
        <w:t>maksymalnie</w:t>
      </w:r>
      <w:r w:rsidRPr="00AF0582">
        <w:rPr>
          <w:rFonts w:ascii="Times New Roman" w:hAnsi="Times New Roman" w:cs="Times New Roman"/>
        </w:rPr>
        <w:t xml:space="preserve"> 1% wszystkich środków i również pokrywane będą z Funduszu</w:t>
      </w:r>
      <w:r w:rsidR="001643CD" w:rsidRPr="00AF0582">
        <w:rPr>
          <w:rFonts w:ascii="Times New Roman" w:hAnsi="Times New Roman" w:cs="Times New Roman"/>
        </w:rPr>
        <w:t xml:space="preserve">, co </w:t>
      </w:r>
      <w:r w:rsidRPr="00AF0582">
        <w:rPr>
          <w:rFonts w:ascii="Times New Roman" w:hAnsi="Times New Roman" w:cs="Times New Roman"/>
        </w:rPr>
        <w:t>zapewni że przynajmniej 99% środków trafi bezpośrednio na cele merytoryczne, a wydatki administracyjne będą minimalizowane.</w:t>
      </w:r>
      <w:r w:rsidR="00931DB2" w:rsidRPr="00AF0582">
        <w:rPr>
          <w:rFonts w:ascii="Times New Roman" w:hAnsi="Times New Roman" w:cs="Times New Roman"/>
        </w:rPr>
        <w:t xml:space="preserve"> Wydatkowanie środków w ramach kosztów obsługowych odbywać się będzie na podstawie planu wydatków obsługowych, </w:t>
      </w:r>
      <w:r w:rsidR="002F1D6A">
        <w:rPr>
          <w:rFonts w:ascii="Times New Roman" w:hAnsi="Times New Roman" w:cs="Times New Roman"/>
        </w:rPr>
        <w:t>pozytywnie zaopiniowanego</w:t>
      </w:r>
      <w:r w:rsidR="00931DB2" w:rsidRPr="00AF0582">
        <w:rPr>
          <w:rFonts w:ascii="Times New Roman" w:hAnsi="Times New Roman" w:cs="Times New Roman"/>
        </w:rPr>
        <w:t xml:space="preserve"> przez Radę Funduszu.</w:t>
      </w:r>
    </w:p>
    <w:p w14:paraId="36D25B2E" w14:textId="2E3FA246" w:rsidR="00931DB2" w:rsidRPr="00AF0582" w:rsidRDefault="00931DB2" w:rsidP="00AF0582">
      <w:pPr>
        <w:spacing w:after="120" w:line="360" w:lineRule="auto"/>
        <w:ind w:firstLine="708"/>
        <w:jc w:val="both"/>
        <w:rPr>
          <w:rFonts w:ascii="Times New Roman" w:hAnsi="Times New Roman" w:cs="Times New Roman"/>
        </w:rPr>
      </w:pPr>
      <w:r w:rsidRPr="00AF0582">
        <w:rPr>
          <w:rFonts w:ascii="Times New Roman" w:hAnsi="Times New Roman" w:cs="Times New Roman"/>
        </w:rPr>
        <w:t xml:space="preserve">W celu realizacji działań koordynacyjno-doradczych w zakresie właściwości Funduszu, projekt przewiduje powołanie Rady Funduszu - organu o charakterze opiniodawczo-doradczym, działającego przy ministrze właściwym do spraw </w:t>
      </w:r>
      <w:r w:rsidR="002F1D6A">
        <w:rPr>
          <w:rFonts w:ascii="Times New Roman" w:hAnsi="Times New Roman" w:cs="Times New Roman"/>
        </w:rPr>
        <w:t>informatyzacji</w:t>
      </w:r>
      <w:r w:rsidRPr="00AF0582">
        <w:rPr>
          <w:rFonts w:ascii="Times New Roman" w:hAnsi="Times New Roman" w:cs="Times New Roman"/>
        </w:rPr>
        <w:t xml:space="preserve"> (art. </w:t>
      </w:r>
      <w:r w:rsidR="002F1D6A">
        <w:rPr>
          <w:rFonts w:ascii="Times New Roman" w:hAnsi="Times New Roman" w:cs="Times New Roman"/>
        </w:rPr>
        <w:t>10</w:t>
      </w:r>
      <w:r w:rsidRPr="00AF0582">
        <w:rPr>
          <w:rFonts w:ascii="Times New Roman" w:hAnsi="Times New Roman" w:cs="Times New Roman"/>
        </w:rPr>
        <w:t xml:space="preserve"> ust. 1). Rada Funduszu ma być forum eksperckim i koordynacyjnym, które zapewni </w:t>
      </w:r>
      <w:proofErr w:type="spellStart"/>
      <w:r w:rsidRPr="00AF0582">
        <w:rPr>
          <w:rFonts w:ascii="Times New Roman" w:hAnsi="Times New Roman" w:cs="Times New Roman"/>
        </w:rPr>
        <w:t>ponadresortowe</w:t>
      </w:r>
      <w:proofErr w:type="spellEnd"/>
      <w:r w:rsidRPr="00AF0582">
        <w:rPr>
          <w:rFonts w:ascii="Times New Roman" w:hAnsi="Times New Roman" w:cs="Times New Roman"/>
        </w:rPr>
        <w:t xml:space="preserve"> podejście i ciągłość strategiczną funkcjonowania Funduszu. Do zadań Rady należeć będzie m.in.: doradztwo w zakresie kierunków działań Funduszu, </w:t>
      </w:r>
      <w:r w:rsidR="002F1D6A">
        <w:rPr>
          <w:rFonts w:ascii="Times New Roman" w:hAnsi="Times New Roman" w:cs="Times New Roman"/>
        </w:rPr>
        <w:t>opiniowanie</w:t>
      </w:r>
      <w:r w:rsidRPr="00AF0582">
        <w:rPr>
          <w:rFonts w:ascii="Times New Roman" w:hAnsi="Times New Roman" w:cs="Times New Roman"/>
        </w:rPr>
        <w:t xml:space="preserve"> </w:t>
      </w:r>
      <w:r w:rsidR="002F1D6A">
        <w:rPr>
          <w:rFonts w:ascii="Times New Roman" w:hAnsi="Times New Roman" w:cs="Times New Roman"/>
        </w:rPr>
        <w:t>kluczowych decyzji</w:t>
      </w:r>
      <w:r w:rsidRPr="00AF0582">
        <w:rPr>
          <w:rFonts w:ascii="Times New Roman" w:hAnsi="Times New Roman" w:cs="Times New Roman"/>
        </w:rPr>
        <w:t>, coroczna analiza i ocena skuteczności finansowania programów inwe</w:t>
      </w:r>
      <w:r w:rsidR="00FD5DC9">
        <w:rPr>
          <w:rFonts w:ascii="Times New Roman" w:hAnsi="Times New Roman" w:cs="Times New Roman"/>
        </w:rPr>
        <w:t>stycyjnych</w:t>
      </w:r>
      <w:r w:rsidR="002466D8">
        <w:rPr>
          <w:rFonts w:ascii="Times New Roman" w:hAnsi="Times New Roman" w:cs="Times New Roman"/>
        </w:rPr>
        <w:t xml:space="preserve"> wraz z </w:t>
      </w:r>
      <w:r w:rsidRPr="00AF0582">
        <w:rPr>
          <w:rFonts w:ascii="Times New Roman" w:hAnsi="Times New Roman" w:cs="Times New Roman"/>
        </w:rPr>
        <w:t xml:space="preserve">rekomendacjami na przyszłość, a także sporządzanie opinii na temat działalności Funduszu oraz zgłaszanie propozycji dotyczących jego funkcjonowania. Taki zakres kompetencji zapewni stały nadzór merytoryczny nad pracami Funduszu i umożliwi szybkie identyfikowanie ewentualnych problemów czy potrzeb korekt w działaniu instrumentu. Rada będzie także wyposażona w szereg kompetencji </w:t>
      </w:r>
      <w:r w:rsidR="002F1D6A">
        <w:rPr>
          <w:rFonts w:ascii="Times New Roman" w:hAnsi="Times New Roman" w:cs="Times New Roman"/>
        </w:rPr>
        <w:t>opiniodawczych</w:t>
      </w:r>
      <w:r w:rsidRPr="00AF0582">
        <w:rPr>
          <w:rFonts w:ascii="Times New Roman" w:hAnsi="Times New Roman" w:cs="Times New Roman"/>
        </w:rPr>
        <w:t xml:space="preserve"> – jej wyrażona w uchwale </w:t>
      </w:r>
      <w:r w:rsidR="002F1D6A">
        <w:rPr>
          <w:rFonts w:ascii="Times New Roman" w:hAnsi="Times New Roman" w:cs="Times New Roman"/>
        </w:rPr>
        <w:t>pozytywna opinia</w:t>
      </w:r>
      <w:r w:rsidRPr="00AF0582">
        <w:rPr>
          <w:rFonts w:ascii="Times New Roman" w:hAnsi="Times New Roman" w:cs="Times New Roman"/>
        </w:rPr>
        <w:t xml:space="preserve"> jest wymagana np. do ustalenia regulaminu konkursu, ustanowienia programu inwestycyjnego, zatwierdzeni</w:t>
      </w:r>
      <w:r w:rsidR="00FD5DC9">
        <w:rPr>
          <w:rFonts w:ascii="Times New Roman" w:hAnsi="Times New Roman" w:cs="Times New Roman"/>
        </w:rPr>
        <w:t>a przebiegu konkursu</w:t>
      </w:r>
      <w:r w:rsidRPr="00AF0582">
        <w:rPr>
          <w:rFonts w:ascii="Times New Roman" w:hAnsi="Times New Roman" w:cs="Times New Roman"/>
        </w:rPr>
        <w:t xml:space="preserve"> czy podziału środków na obsługę Funduszu. Takie podejście jest konieczne dla zapewnienia, że istnieje ciało koordynujące </w:t>
      </w:r>
      <w:r w:rsidR="00AC5D13" w:rsidRPr="00AF0582">
        <w:rPr>
          <w:rFonts w:ascii="Times New Roman" w:hAnsi="Times New Roman" w:cs="Times New Roman"/>
        </w:rPr>
        <w:t>działania w ramach Funduszu oraz, że działania podejmowane</w:t>
      </w:r>
      <w:r w:rsidR="002F1D6A">
        <w:rPr>
          <w:rFonts w:ascii="Times New Roman" w:hAnsi="Times New Roman" w:cs="Times New Roman"/>
        </w:rPr>
        <w:t xml:space="preserve"> w</w:t>
      </w:r>
      <w:r w:rsidR="00AC5D13" w:rsidRPr="00AF0582">
        <w:rPr>
          <w:rFonts w:ascii="Times New Roman" w:hAnsi="Times New Roman" w:cs="Times New Roman"/>
        </w:rPr>
        <w:t xml:space="preserve"> ramach konkursów mają szerokie poparcie wszystkich środowisk.</w:t>
      </w:r>
    </w:p>
    <w:p w14:paraId="3F00C9F4" w14:textId="30B894A2" w:rsidR="00931DB2" w:rsidRPr="00AF0582" w:rsidRDefault="00931DB2" w:rsidP="002F1D6A">
      <w:pPr>
        <w:spacing w:after="120" w:line="360" w:lineRule="auto"/>
        <w:ind w:firstLine="708"/>
        <w:jc w:val="both"/>
        <w:rPr>
          <w:rFonts w:ascii="Times New Roman" w:hAnsi="Times New Roman" w:cs="Times New Roman"/>
        </w:rPr>
      </w:pPr>
      <w:r w:rsidRPr="00AF0582">
        <w:rPr>
          <w:rFonts w:ascii="Times New Roman" w:hAnsi="Times New Roman" w:cs="Times New Roman"/>
        </w:rPr>
        <w:t xml:space="preserve">Skład Rady został zaprojektowany tak, by łączyć przedstawicieli administracji rządowej, świata nauki, </w:t>
      </w:r>
      <w:r w:rsidR="00AC5D13" w:rsidRPr="00AF0582">
        <w:rPr>
          <w:rFonts w:ascii="Times New Roman" w:hAnsi="Times New Roman" w:cs="Times New Roman"/>
        </w:rPr>
        <w:t>przedsiębiorców</w:t>
      </w:r>
      <w:r w:rsidR="002B2340">
        <w:rPr>
          <w:rFonts w:ascii="Times New Roman" w:hAnsi="Times New Roman" w:cs="Times New Roman"/>
        </w:rPr>
        <w:t xml:space="preserve"> oraz Prezydenta</w:t>
      </w:r>
      <w:r w:rsidR="00630CD9" w:rsidRPr="00630CD9">
        <w:rPr>
          <w:rFonts w:ascii="Times New Roman" w:hAnsi="Times New Roman" w:cs="Times New Roman"/>
        </w:rPr>
        <w:t xml:space="preserve"> </w:t>
      </w:r>
      <w:r w:rsidR="00630CD9">
        <w:rPr>
          <w:rFonts w:ascii="Times New Roman" w:hAnsi="Times New Roman" w:cs="Times New Roman"/>
        </w:rPr>
        <w:t>Rzeczypospolitej Polskiej</w:t>
      </w:r>
      <w:r w:rsidR="002B2340">
        <w:rPr>
          <w:rFonts w:ascii="Times New Roman" w:hAnsi="Times New Roman" w:cs="Times New Roman"/>
        </w:rPr>
        <w:t>. Zgodnie z art. 11</w:t>
      </w:r>
      <w:r w:rsidRPr="00AF0582">
        <w:rPr>
          <w:rFonts w:ascii="Times New Roman" w:hAnsi="Times New Roman" w:cs="Times New Roman"/>
        </w:rPr>
        <w:t xml:space="preserve"> ust. 1, w skład Rady wejd</w:t>
      </w:r>
      <w:r w:rsidR="00AC5D13" w:rsidRPr="00AF0582">
        <w:rPr>
          <w:rFonts w:ascii="Times New Roman" w:hAnsi="Times New Roman" w:cs="Times New Roman"/>
        </w:rPr>
        <w:t>ą</w:t>
      </w:r>
      <w:r w:rsidRPr="00AF0582">
        <w:rPr>
          <w:rFonts w:ascii="Times New Roman" w:hAnsi="Times New Roman" w:cs="Times New Roman"/>
        </w:rPr>
        <w:t xml:space="preserve"> przedstawiciel</w:t>
      </w:r>
      <w:r w:rsidR="00AC5D13" w:rsidRPr="00AF0582">
        <w:rPr>
          <w:rFonts w:ascii="Times New Roman" w:hAnsi="Times New Roman" w:cs="Times New Roman"/>
        </w:rPr>
        <w:t>e</w:t>
      </w:r>
      <w:r w:rsidRPr="00AF0582">
        <w:rPr>
          <w:rFonts w:ascii="Times New Roman" w:hAnsi="Times New Roman" w:cs="Times New Roman"/>
        </w:rPr>
        <w:t xml:space="preserve"> </w:t>
      </w:r>
      <w:r w:rsidR="002F1D6A">
        <w:rPr>
          <w:rFonts w:ascii="Times New Roman" w:hAnsi="Times New Roman" w:cs="Times New Roman"/>
        </w:rPr>
        <w:t xml:space="preserve">pięciu </w:t>
      </w:r>
      <w:r w:rsidR="00AC5D13" w:rsidRPr="00AF0582">
        <w:rPr>
          <w:rFonts w:ascii="Times New Roman" w:hAnsi="Times New Roman" w:cs="Times New Roman"/>
        </w:rPr>
        <w:t xml:space="preserve">właściwych </w:t>
      </w:r>
      <w:r w:rsidR="002F1D6A">
        <w:rPr>
          <w:rFonts w:ascii="Times New Roman" w:hAnsi="Times New Roman" w:cs="Times New Roman"/>
        </w:rPr>
        <w:t xml:space="preserve">przedmiotowo </w:t>
      </w:r>
      <w:r w:rsidR="00AC5D13" w:rsidRPr="00AF0582">
        <w:rPr>
          <w:rFonts w:ascii="Times New Roman" w:hAnsi="Times New Roman" w:cs="Times New Roman"/>
        </w:rPr>
        <w:t>ministrów</w:t>
      </w:r>
      <w:r w:rsidR="002F1D6A">
        <w:rPr>
          <w:rFonts w:ascii="Times New Roman" w:hAnsi="Times New Roman" w:cs="Times New Roman"/>
        </w:rPr>
        <w:t>,</w:t>
      </w:r>
      <w:r w:rsidR="00AC5D13" w:rsidRPr="00AF0582">
        <w:rPr>
          <w:rFonts w:ascii="Times New Roman" w:hAnsi="Times New Roman" w:cs="Times New Roman"/>
        </w:rPr>
        <w:t xml:space="preserve"> </w:t>
      </w:r>
      <w:r w:rsidRPr="00AF0582">
        <w:rPr>
          <w:rFonts w:ascii="Times New Roman" w:hAnsi="Times New Roman" w:cs="Times New Roman"/>
        </w:rPr>
        <w:t>przedstawiciel Prezesa Rady Ministrów</w:t>
      </w:r>
      <w:r w:rsidR="00AC5D13" w:rsidRPr="00AF0582">
        <w:rPr>
          <w:rFonts w:ascii="Times New Roman" w:hAnsi="Times New Roman" w:cs="Times New Roman"/>
        </w:rPr>
        <w:t xml:space="preserve">, </w:t>
      </w:r>
      <w:r w:rsidRPr="00AF0582">
        <w:rPr>
          <w:rFonts w:ascii="Times New Roman" w:hAnsi="Times New Roman" w:cs="Times New Roman"/>
        </w:rPr>
        <w:t xml:space="preserve">trzech przedstawicieli </w:t>
      </w:r>
      <w:r w:rsidR="002B2340">
        <w:rPr>
          <w:rFonts w:ascii="Times New Roman" w:hAnsi="Times New Roman" w:cs="Times New Roman"/>
        </w:rPr>
        <w:t xml:space="preserve">ogólnokrajowych </w:t>
      </w:r>
      <w:r w:rsidRPr="00AF0582">
        <w:rPr>
          <w:rFonts w:ascii="Times New Roman" w:hAnsi="Times New Roman" w:cs="Times New Roman"/>
        </w:rPr>
        <w:t>organizacji przedsiębiorców (statutowo zajmujących się tematyką</w:t>
      </w:r>
      <w:r w:rsidR="00AC5D13" w:rsidRPr="00AF0582">
        <w:rPr>
          <w:rFonts w:ascii="Times New Roman" w:hAnsi="Times New Roman" w:cs="Times New Roman"/>
        </w:rPr>
        <w:t xml:space="preserve"> Funduszu</w:t>
      </w:r>
      <w:r w:rsidRPr="00AF0582">
        <w:rPr>
          <w:rFonts w:ascii="Times New Roman" w:hAnsi="Times New Roman" w:cs="Times New Roman"/>
        </w:rPr>
        <w:t xml:space="preserve">), trzech przedstawicieli podmiotów systemu szkolnictwa wyższego i nauki oraz </w:t>
      </w:r>
      <w:r w:rsidR="002F1D6A">
        <w:rPr>
          <w:rFonts w:ascii="Times New Roman" w:hAnsi="Times New Roman" w:cs="Times New Roman"/>
        </w:rPr>
        <w:t>czterech</w:t>
      </w:r>
      <w:r w:rsidR="002B2340">
        <w:rPr>
          <w:rFonts w:ascii="Times New Roman" w:hAnsi="Times New Roman" w:cs="Times New Roman"/>
        </w:rPr>
        <w:t xml:space="preserve"> przedstawicieli Prezydenta</w:t>
      </w:r>
      <w:r w:rsidR="002F1D6A">
        <w:rPr>
          <w:rFonts w:ascii="Times New Roman" w:hAnsi="Times New Roman" w:cs="Times New Roman"/>
        </w:rPr>
        <w:t xml:space="preserve"> w tym jeden przedstawiciel Biura Bezpieczeństwa Narodowego</w:t>
      </w:r>
      <w:r w:rsidRPr="00AF0582">
        <w:rPr>
          <w:rFonts w:ascii="Times New Roman" w:hAnsi="Times New Roman" w:cs="Times New Roman"/>
        </w:rPr>
        <w:t xml:space="preserve">. Łącznie Rada liczyć będzie </w:t>
      </w:r>
      <w:r w:rsidR="007D4AAF">
        <w:rPr>
          <w:rFonts w:ascii="Times New Roman" w:hAnsi="Times New Roman" w:cs="Times New Roman"/>
        </w:rPr>
        <w:t>1</w:t>
      </w:r>
      <w:r w:rsidR="002F1D6A">
        <w:rPr>
          <w:rFonts w:ascii="Times New Roman" w:hAnsi="Times New Roman" w:cs="Times New Roman"/>
        </w:rPr>
        <w:t>6</w:t>
      </w:r>
      <w:r w:rsidRPr="00AF0582">
        <w:rPr>
          <w:rFonts w:ascii="Times New Roman" w:hAnsi="Times New Roman" w:cs="Times New Roman"/>
        </w:rPr>
        <w:t xml:space="preserve"> członków. Tak ukształtowany skład gwarantuje z jednej strony udział kluczowych resortów rządowych</w:t>
      </w:r>
      <w:r w:rsidR="00AC5D13" w:rsidRPr="00AF0582">
        <w:rPr>
          <w:rFonts w:ascii="Times New Roman" w:hAnsi="Times New Roman" w:cs="Times New Roman"/>
        </w:rPr>
        <w:t xml:space="preserve">, </w:t>
      </w:r>
      <w:r w:rsidRPr="00AF0582">
        <w:rPr>
          <w:rFonts w:ascii="Times New Roman" w:hAnsi="Times New Roman" w:cs="Times New Roman"/>
        </w:rPr>
        <w:t>zapewniając powiązanie Funduszu z politykami publicznymi rządu</w:t>
      </w:r>
      <w:r w:rsidR="00AC5D13" w:rsidRPr="00AF0582">
        <w:rPr>
          <w:rFonts w:ascii="Times New Roman" w:hAnsi="Times New Roman" w:cs="Times New Roman"/>
        </w:rPr>
        <w:t xml:space="preserve">, </w:t>
      </w:r>
      <w:r w:rsidRPr="00AF0582">
        <w:rPr>
          <w:rFonts w:ascii="Times New Roman" w:hAnsi="Times New Roman" w:cs="Times New Roman"/>
        </w:rPr>
        <w:t>a z drugiej strony silną reprezentację interesariuszy spoza rządu (</w:t>
      </w:r>
      <w:r w:rsidR="002F1D6A">
        <w:rPr>
          <w:rFonts w:ascii="Times New Roman" w:hAnsi="Times New Roman" w:cs="Times New Roman"/>
        </w:rPr>
        <w:t>środowisko przedsiębiorców oraz środowisko naukowe)</w:t>
      </w:r>
      <w:r w:rsidRPr="00AF0582">
        <w:rPr>
          <w:rFonts w:ascii="Times New Roman" w:hAnsi="Times New Roman" w:cs="Times New Roman"/>
        </w:rPr>
        <w:t xml:space="preserve">. </w:t>
      </w:r>
      <w:r w:rsidR="00630CD9">
        <w:rPr>
          <w:rFonts w:ascii="Times New Roman" w:hAnsi="Times New Roman" w:cs="Times New Roman"/>
        </w:rPr>
        <w:t>Reprezentanci przedsiębiorców i </w:t>
      </w:r>
      <w:r w:rsidRPr="00AF0582">
        <w:rPr>
          <w:rFonts w:ascii="Times New Roman" w:hAnsi="Times New Roman" w:cs="Times New Roman"/>
        </w:rPr>
        <w:t xml:space="preserve">nauki wniosą do prac Rady perspektywę praktyczną i ekspercką, co zwiększy jakość decyzji i rekomendacji. Warto zauważyć, że członków Rady </w:t>
      </w:r>
      <w:r w:rsidR="00630CD9">
        <w:rPr>
          <w:rFonts w:ascii="Times New Roman" w:hAnsi="Times New Roman" w:cs="Times New Roman"/>
        </w:rPr>
        <w:t>powołuje i odwołuje Prezydent Rzeczypospolitej Polskiej</w:t>
      </w:r>
      <w:r w:rsidRPr="00AF0582">
        <w:rPr>
          <w:rFonts w:ascii="Times New Roman" w:hAnsi="Times New Roman" w:cs="Times New Roman"/>
        </w:rPr>
        <w:t xml:space="preserve"> (art. </w:t>
      </w:r>
      <w:r w:rsidR="00630CD9">
        <w:rPr>
          <w:rFonts w:ascii="Times New Roman" w:hAnsi="Times New Roman" w:cs="Times New Roman"/>
        </w:rPr>
        <w:t>11 ust. 3</w:t>
      </w:r>
      <w:r w:rsidRPr="00AF0582">
        <w:rPr>
          <w:rFonts w:ascii="Times New Roman" w:hAnsi="Times New Roman" w:cs="Times New Roman"/>
        </w:rPr>
        <w:t>) - w tym przedstawicieli rządowych na wniosek odpowiednich podmiotów, zaś przedstawicieli przedsiębiorców spośród</w:t>
      </w:r>
      <w:r w:rsidR="00530543">
        <w:rPr>
          <w:rFonts w:ascii="Times New Roman" w:hAnsi="Times New Roman" w:cs="Times New Roman"/>
        </w:rPr>
        <w:t xml:space="preserve"> wyłonionych w </w:t>
      </w:r>
      <w:r w:rsidR="002F1D6A">
        <w:rPr>
          <w:rFonts w:ascii="Times New Roman" w:hAnsi="Times New Roman" w:cs="Times New Roman"/>
        </w:rPr>
        <w:t>otwartych konkursach</w:t>
      </w:r>
      <w:r w:rsidRPr="00AF0582">
        <w:rPr>
          <w:rFonts w:ascii="Times New Roman" w:hAnsi="Times New Roman" w:cs="Times New Roman"/>
        </w:rPr>
        <w:t xml:space="preserve"> kandydatów zgłoszonych przez </w:t>
      </w:r>
      <w:r w:rsidR="002F1D6A">
        <w:rPr>
          <w:rFonts w:ascii="Times New Roman" w:hAnsi="Times New Roman" w:cs="Times New Roman"/>
        </w:rPr>
        <w:t xml:space="preserve">organizacje pracodawców oraz podmioty sytemu szkolnictwa wyższego i nauki. </w:t>
      </w:r>
      <w:r w:rsidRPr="00AF0582">
        <w:rPr>
          <w:rFonts w:ascii="Times New Roman" w:hAnsi="Times New Roman" w:cs="Times New Roman"/>
        </w:rPr>
        <w:t xml:space="preserve">Obsługę techniczno-organizacyjną Rady zapewniać będzie </w:t>
      </w:r>
      <w:r w:rsidR="002F1D6A">
        <w:rPr>
          <w:rFonts w:ascii="Times New Roman" w:hAnsi="Times New Roman" w:cs="Times New Roman"/>
        </w:rPr>
        <w:t>urząd obsługujący ministra właściwego do spraw informatyzacji</w:t>
      </w:r>
      <w:r w:rsidRPr="00AF0582">
        <w:rPr>
          <w:rFonts w:ascii="Times New Roman" w:hAnsi="Times New Roman" w:cs="Times New Roman"/>
        </w:rPr>
        <w:t xml:space="preserve"> (art. </w:t>
      </w:r>
      <w:r w:rsidR="002F1D6A">
        <w:rPr>
          <w:rFonts w:ascii="Times New Roman" w:hAnsi="Times New Roman" w:cs="Times New Roman"/>
        </w:rPr>
        <w:t xml:space="preserve">10 </w:t>
      </w:r>
      <w:r w:rsidRPr="00AF0582">
        <w:rPr>
          <w:rFonts w:ascii="Times New Roman" w:hAnsi="Times New Roman" w:cs="Times New Roman"/>
        </w:rPr>
        <w:t>ust. 3), a koszty funkcjonowania Rady pokrywane będą z bu</w:t>
      </w:r>
      <w:r w:rsidR="00530543">
        <w:rPr>
          <w:rFonts w:ascii="Times New Roman" w:hAnsi="Times New Roman" w:cs="Times New Roman"/>
        </w:rPr>
        <w:t>dżetu Funduszu (mieszcząc się w </w:t>
      </w:r>
      <w:r w:rsidRPr="00AF0582">
        <w:rPr>
          <w:rFonts w:ascii="Times New Roman" w:hAnsi="Times New Roman" w:cs="Times New Roman"/>
        </w:rPr>
        <w:t>limicie 1% kosztów obsługi). Członkom Rady - którzy będą pełnić funkcje społecznie - przysługiwać ma zwrot kosztów przejazdu, zakwat</w:t>
      </w:r>
      <w:r w:rsidR="00530543">
        <w:rPr>
          <w:rFonts w:ascii="Times New Roman" w:hAnsi="Times New Roman" w:cs="Times New Roman"/>
        </w:rPr>
        <w:t>erowania oraz dieta za udział w </w:t>
      </w:r>
      <w:r w:rsidRPr="00AF0582">
        <w:rPr>
          <w:rFonts w:ascii="Times New Roman" w:hAnsi="Times New Roman" w:cs="Times New Roman"/>
        </w:rPr>
        <w:t>posiedzeniach, według zasad analogicznych jak dla pracowników sfery budżetowej odbywających podróże służbowe.</w:t>
      </w:r>
    </w:p>
    <w:p w14:paraId="74914E20" w14:textId="0A09B339" w:rsidR="00786C93" w:rsidRPr="00AF0582" w:rsidRDefault="00931DB2" w:rsidP="00AF0582">
      <w:pPr>
        <w:spacing w:after="120" w:line="360" w:lineRule="auto"/>
        <w:ind w:firstLine="708"/>
        <w:jc w:val="both"/>
        <w:rPr>
          <w:rFonts w:ascii="Times New Roman" w:hAnsi="Times New Roman" w:cs="Times New Roman"/>
        </w:rPr>
      </w:pPr>
      <w:r w:rsidRPr="00AF0582">
        <w:rPr>
          <w:rFonts w:ascii="Times New Roman" w:hAnsi="Times New Roman" w:cs="Times New Roman"/>
        </w:rPr>
        <w:t xml:space="preserve">Powołanie Rady Funduszu ma istotne znaczenie ustrojowe i praktyczne. Po pierwsze, zapewnia </w:t>
      </w:r>
      <w:proofErr w:type="spellStart"/>
      <w:r w:rsidRPr="00AF0582">
        <w:rPr>
          <w:rFonts w:ascii="Times New Roman" w:hAnsi="Times New Roman" w:cs="Times New Roman"/>
        </w:rPr>
        <w:t>ponadpolityczność</w:t>
      </w:r>
      <w:proofErr w:type="spellEnd"/>
      <w:r w:rsidRPr="00AF0582">
        <w:rPr>
          <w:rFonts w:ascii="Times New Roman" w:hAnsi="Times New Roman" w:cs="Times New Roman"/>
        </w:rPr>
        <w:t xml:space="preserve"> i ciągłość - niezależnie od ewentualnych zmian</w:t>
      </w:r>
      <w:r w:rsidR="002F1D6A">
        <w:rPr>
          <w:rFonts w:ascii="Times New Roman" w:hAnsi="Times New Roman" w:cs="Times New Roman"/>
        </w:rPr>
        <w:t xml:space="preserve"> na poszczególnych stanowiskach.</w:t>
      </w:r>
      <w:r w:rsidRPr="00AF0582">
        <w:rPr>
          <w:rFonts w:ascii="Times New Roman" w:hAnsi="Times New Roman" w:cs="Times New Roman"/>
        </w:rPr>
        <w:t xml:space="preserve"> Prezydent</w:t>
      </w:r>
      <w:r w:rsidR="00630CD9">
        <w:rPr>
          <w:rFonts w:ascii="Times New Roman" w:hAnsi="Times New Roman" w:cs="Times New Roman"/>
        </w:rPr>
        <w:t xml:space="preserve"> Rzeczypospolitej Polskiej</w:t>
      </w:r>
      <w:r w:rsidR="00AC5D13" w:rsidRPr="00AF0582">
        <w:rPr>
          <w:rFonts w:ascii="Times New Roman" w:hAnsi="Times New Roman" w:cs="Times New Roman"/>
        </w:rPr>
        <w:t xml:space="preserve">, </w:t>
      </w:r>
      <w:r w:rsidR="005527AB">
        <w:rPr>
          <w:rFonts w:ascii="Times New Roman" w:hAnsi="Times New Roman" w:cs="Times New Roman"/>
        </w:rPr>
        <w:t>sprawujący patronat honorowy nad działalnością Funduszu</w:t>
      </w:r>
      <w:r w:rsidR="00AC5D13" w:rsidRPr="00AF0582">
        <w:rPr>
          <w:rFonts w:ascii="Times New Roman" w:hAnsi="Times New Roman" w:cs="Times New Roman"/>
        </w:rPr>
        <w:t xml:space="preserve">, </w:t>
      </w:r>
      <w:r w:rsidRPr="00AF0582">
        <w:rPr>
          <w:rFonts w:ascii="Times New Roman" w:hAnsi="Times New Roman" w:cs="Times New Roman"/>
        </w:rPr>
        <w:t>wraz z</w:t>
      </w:r>
      <w:r w:rsidR="002F1D6A">
        <w:rPr>
          <w:rFonts w:ascii="Times New Roman" w:hAnsi="Times New Roman" w:cs="Times New Roman"/>
        </w:rPr>
        <w:t xml:space="preserve">e środowiskiem naukowym i biznesowym </w:t>
      </w:r>
      <w:r w:rsidRPr="00AF0582">
        <w:rPr>
          <w:rFonts w:ascii="Times New Roman" w:hAnsi="Times New Roman" w:cs="Times New Roman"/>
        </w:rPr>
        <w:t>czuwać będą nad utrzymaniem strategicznego kierunku inwestycji. Jest to szczególnie ważne w obszarze, którego horyzont czasowy wykracza poza jedną kadencję parlamentu - badania naukowe i budowa innowacji wymagają stabilności finansowania w perspektywie wielu lat.</w:t>
      </w:r>
      <w:r w:rsidR="00843737">
        <w:rPr>
          <w:rFonts w:ascii="Times New Roman" w:hAnsi="Times New Roman" w:cs="Times New Roman"/>
        </w:rPr>
        <w:t xml:space="preserve"> Oprócz tego</w:t>
      </w:r>
      <w:r w:rsidRPr="00AF0582">
        <w:rPr>
          <w:rFonts w:ascii="Times New Roman" w:hAnsi="Times New Roman" w:cs="Times New Roman"/>
        </w:rPr>
        <w:t xml:space="preserve">, Rada integruje różne środowiska - staje się platformą współpracy rządu z biznesem i nauką. Pozwoli to uniknąć dublowania </w:t>
      </w:r>
      <w:r w:rsidR="00AC5D13" w:rsidRPr="00AF0582">
        <w:rPr>
          <w:rFonts w:ascii="Times New Roman" w:hAnsi="Times New Roman" w:cs="Times New Roman"/>
        </w:rPr>
        <w:t>inicjatyw oraz</w:t>
      </w:r>
      <w:r w:rsidRPr="00AF0582">
        <w:rPr>
          <w:rFonts w:ascii="Times New Roman" w:hAnsi="Times New Roman" w:cs="Times New Roman"/>
        </w:rPr>
        <w:t xml:space="preserve"> zapewnić komplementarność działań na styku nauka-gospodarka-administracja. Po trzecie, Rada poprzez swoje analizy skuteczności będzie narzędziem monitoringu i </w:t>
      </w:r>
      <w:r w:rsidR="00843737">
        <w:rPr>
          <w:rFonts w:ascii="Times New Roman" w:hAnsi="Times New Roman" w:cs="Times New Roman"/>
        </w:rPr>
        <w:t>ewaluacji. Sprawozdanie z działalności Funduszu przekazywan</w:t>
      </w:r>
      <w:r w:rsidR="00630CD9">
        <w:rPr>
          <w:rFonts w:ascii="Times New Roman" w:hAnsi="Times New Roman" w:cs="Times New Roman"/>
        </w:rPr>
        <w:t>e będzie co roku Prezydentowi</w:t>
      </w:r>
      <w:r w:rsidR="00630CD9" w:rsidRPr="00630CD9">
        <w:rPr>
          <w:rFonts w:ascii="Times New Roman" w:hAnsi="Times New Roman" w:cs="Times New Roman"/>
        </w:rPr>
        <w:t xml:space="preserve"> </w:t>
      </w:r>
      <w:r w:rsidR="00630CD9">
        <w:rPr>
          <w:rFonts w:ascii="Times New Roman" w:hAnsi="Times New Roman" w:cs="Times New Roman"/>
        </w:rPr>
        <w:t>Rzeczypospolitej Polskiej</w:t>
      </w:r>
      <w:r w:rsidR="00843737">
        <w:rPr>
          <w:rFonts w:ascii="Times New Roman" w:hAnsi="Times New Roman" w:cs="Times New Roman"/>
        </w:rPr>
        <w:t xml:space="preserve">, Sejmowi i Senatowi. </w:t>
      </w:r>
      <w:r w:rsidR="00530543">
        <w:rPr>
          <w:rFonts w:ascii="Times New Roman" w:hAnsi="Times New Roman" w:cs="Times New Roman"/>
        </w:rPr>
        <w:t>Takie podejście wpisuje się w </w:t>
      </w:r>
      <w:r w:rsidRPr="00AF0582">
        <w:rPr>
          <w:rFonts w:ascii="Times New Roman" w:hAnsi="Times New Roman" w:cs="Times New Roman"/>
        </w:rPr>
        <w:t xml:space="preserve">zasadę zarządzania opartego na dowodach i pozwoli udoskonalać politykę Funduszu w toku jego działania. </w:t>
      </w:r>
      <w:r w:rsidR="00843737">
        <w:rPr>
          <w:rFonts w:ascii="Times New Roman" w:hAnsi="Times New Roman" w:cs="Times New Roman"/>
        </w:rPr>
        <w:t>U</w:t>
      </w:r>
      <w:r w:rsidRPr="00AF0582">
        <w:rPr>
          <w:rFonts w:ascii="Times New Roman" w:hAnsi="Times New Roman" w:cs="Times New Roman"/>
        </w:rPr>
        <w:t>tworzenie Rady Funduszu zapewni</w:t>
      </w:r>
      <w:r w:rsidR="00843737">
        <w:rPr>
          <w:rFonts w:ascii="Times New Roman" w:hAnsi="Times New Roman" w:cs="Times New Roman"/>
        </w:rPr>
        <w:t xml:space="preserve"> więc</w:t>
      </w:r>
      <w:r w:rsidRPr="00AF0582">
        <w:rPr>
          <w:rFonts w:ascii="Times New Roman" w:hAnsi="Times New Roman" w:cs="Times New Roman"/>
        </w:rPr>
        <w:t>, że realizacja ustawy będzie odbywać się z udziałem szerokiego grona interesariuszy i ekspertów, co zwiększy przejrzystość, efektywność i akceptację społeczną podejmowanych decyzji.</w:t>
      </w:r>
      <w:r w:rsidR="00AC5D13" w:rsidRPr="00AF0582">
        <w:rPr>
          <w:rFonts w:ascii="Times New Roman" w:hAnsi="Times New Roman" w:cs="Times New Roman"/>
        </w:rPr>
        <w:t xml:space="preserve"> Przewiduje się, że członkowie Rad</w:t>
      </w:r>
      <w:r w:rsidR="00AF0582">
        <w:rPr>
          <w:rFonts w:ascii="Times New Roman" w:hAnsi="Times New Roman" w:cs="Times New Roman"/>
        </w:rPr>
        <w:t>y</w:t>
      </w:r>
      <w:r w:rsidR="00AC5D13" w:rsidRPr="00AF0582">
        <w:rPr>
          <w:rFonts w:ascii="Times New Roman" w:hAnsi="Times New Roman" w:cs="Times New Roman"/>
        </w:rPr>
        <w:t xml:space="preserve"> Funduszu będzie pełnić swoją funkcję przez czas nieokreślony (tj. do odwołania), co pozwoli zapewnić jej reprezentatywność oraz lepszą współpracę między Radą Funduszu a innymi podmiotami zaangażowanymi w wykonywanie zadań wynikających z projektowanej ustawy.</w:t>
      </w:r>
    </w:p>
    <w:p w14:paraId="2F0755FB" w14:textId="268FC550" w:rsidR="00541DCB" w:rsidRPr="00AF0582" w:rsidRDefault="00541DCB" w:rsidP="00AF0582">
      <w:pPr>
        <w:spacing w:after="120" w:line="360" w:lineRule="auto"/>
        <w:ind w:firstLine="708"/>
        <w:jc w:val="both"/>
        <w:rPr>
          <w:rFonts w:ascii="Times New Roman" w:hAnsi="Times New Roman" w:cs="Times New Roman"/>
        </w:rPr>
      </w:pPr>
      <w:r w:rsidRPr="00AF0582">
        <w:rPr>
          <w:rFonts w:ascii="Times New Roman" w:hAnsi="Times New Roman" w:cs="Times New Roman"/>
        </w:rPr>
        <w:t xml:space="preserve">Projektowana ustawa wejdzie w życie po upływie 30 dni od dnia ogłoszenia. </w:t>
      </w:r>
    </w:p>
    <w:p w14:paraId="2BDBEEB3" w14:textId="77777777" w:rsidR="00093E99" w:rsidRDefault="00541DCB" w:rsidP="00093E99">
      <w:pPr>
        <w:spacing w:after="120" w:line="360" w:lineRule="auto"/>
        <w:ind w:firstLine="708"/>
        <w:jc w:val="both"/>
        <w:rPr>
          <w:rFonts w:ascii="Times New Roman" w:hAnsi="Times New Roman" w:cs="Times New Roman"/>
        </w:rPr>
      </w:pPr>
      <w:r w:rsidRPr="00AF0582">
        <w:rPr>
          <w:rFonts w:ascii="Times New Roman" w:hAnsi="Times New Roman" w:cs="Times New Roman"/>
        </w:rPr>
        <w:t xml:space="preserve">Maksymalny limit finansowania z budżetu państwa Funduszu, według założeń do ustawy, w okresie 2026-2035 wyniesie 47 500 000 000 zł. Środki na realizację zadań w ramach Funduszu będą pochodzić m.in. z budżetu państwa. Projekt ustawy wskazuje przychody Funduszu: </w:t>
      </w:r>
    </w:p>
    <w:p w14:paraId="5D548B8F" w14:textId="57A9BD72" w:rsidR="00093E99" w:rsidRPr="00093E99" w:rsidRDefault="00530543" w:rsidP="00093E99">
      <w:pPr>
        <w:spacing w:after="120" w:line="360" w:lineRule="auto"/>
        <w:jc w:val="both"/>
        <w:rPr>
          <w:rFonts w:ascii="Times New Roman" w:hAnsi="Times New Roman" w:cs="Times New Roman"/>
        </w:rPr>
      </w:pPr>
      <w:r>
        <w:rPr>
          <w:rFonts w:ascii="Times New Roman" w:hAnsi="Times New Roman" w:cs="Times New Roman"/>
        </w:rPr>
        <w:t>1)</w:t>
      </w:r>
      <w:r w:rsidR="00093E99">
        <w:rPr>
          <w:rFonts w:ascii="Times New Roman" w:hAnsi="Times New Roman" w:cs="Times New Roman"/>
        </w:rPr>
        <w:t xml:space="preserve"> ś</w:t>
      </w:r>
      <w:r w:rsidR="00093E99" w:rsidRPr="00093E99">
        <w:rPr>
          <w:rFonts w:ascii="Times New Roman" w:hAnsi="Times New Roman" w:cs="Times New Roman"/>
        </w:rPr>
        <w:t>rodki finansowe z tytułu odsetek lub udziału w zyskach przedsięwzięć finansowanych przez Fundusz, o ile program inwestycyjny w ramach którego przyznano wsparcie finansowe przewidywał takie rozwiązania;</w:t>
      </w:r>
    </w:p>
    <w:p w14:paraId="0F7AE6B6" w14:textId="655AE60F" w:rsidR="00093E99" w:rsidRPr="00093E99" w:rsidRDefault="00530543" w:rsidP="00093E99">
      <w:pPr>
        <w:spacing w:after="120" w:line="360" w:lineRule="auto"/>
        <w:jc w:val="both"/>
        <w:rPr>
          <w:rFonts w:ascii="Times New Roman" w:hAnsi="Times New Roman" w:cs="Times New Roman"/>
        </w:rPr>
      </w:pPr>
      <w:r>
        <w:rPr>
          <w:rFonts w:ascii="Times New Roman" w:hAnsi="Times New Roman" w:cs="Times New Roman"/>
        </w:rPr>
        <w:t>2)</w:t>
      </w:r>
      <w:r w:rsidR="00093E99">
        <w:rPr>
          <w:rFonts w:ascii="Times New Roman" w:hAnsi="Times New Roman" w:cs="Times New Roman"/>
        </w:rPr>
        <w:t xml:space="preserve"> </w:t>
      </w:r>
      <w:r w:rsidR="00093E99" w:rsidRPr="00093E99">
        <w:rPr>
          <w:rFonts w:ascii="Times New Roman" w:hAnsi="Times New Roman" w:cs="Times New Roman"/>
        </w:rPr>
        <w:t>wpłaty z budżetu państwa przekazywane przez ministra właściwego do spraw informatyzacji, w wysokości określonej corocznie w ustawie budżetowej na dany rok budżetowy, nie niższej niż 5 mld zł;</w:t>
      </w:r>
    </w:p>
    <w:p w14:paraId="78F18DF5" w14:textId="415D5861" w:rsidR="00093E99" w:rsidRPr="00093E99" w:rsidRDefault="00530543" w:rsidP="00093E99">
      <w:pPr>
        <w:spacing w:after="120" w:line="360" w:lineRule="auto"/>
        <w:jc w:val="both"/>
        <w:rPr>
          <w:rFonts w:ascii="Times New Roman" w:hAnsi="Times New Roman" w:cs="Times New Roman"/>
        </w:rPr>
      </w:pPr>
      <w:r>
        <w:rPr>
          <w:rFonts w:ascii="Times New Roman" w:hAnsi="Times New Roman" w:cs="Times New Roman"/>
        </w:rPr>
        <w:t>3)</w:t>
      </w:r>
      <w:r w:rsidR="00093E99" w:rsidRPr="00093E99">
        <w:rPr>
          <w:rFonts w:ascii="Times New Roman" w:hAnsi="Times New Roman" w:cs="Times New Roman"/>
        </w:rPr>
        <w:t xml:space="preserve"> wpływy z kar pieniężnych, o których mowa w art. 46, 47a oraz 47b ustawy z dnia 5 września 2016 r. o usługach zaufania oraz identyfikacji elektronicznej (Dz. U. z 2024 r. poz. 1725);</w:t>
      </w:r>
    </w:p>
    <w:p w14:paraId="65DFF8E5" w14:textId="124C5340" w:rsidR="00093E99" w:rsidRPr="00093E99" w:rsidRDefault="00530543" w:rsidP="00093E99">
      <w:pPr>
        <w:spacing w:after="120" w:line="360" w:lineRule="auto"/>
        <w:jc w:val="both"/>
        <w:rPr>
          <w:rFonts w:ascii="Times New Roman" w:hAnsi="Times New Roman" w:cs="Times New Roman"/>
        </w:rPr>
      </w:pPr>
      <w:r>
        <w:rPr>
          <w:rFonts w:ascii="Times New Roman" w:hAnsi="Times New Roman" w:cs="Times New Roman"/>
        </w:rPr>
        <w:t>4)</w:t>
      </w:r>
      <w:r w:rsidR="00093E99">
        <w:rPr>
          <w:rFonts w:ascii="Times New Roman" w:hAnsi="Times New Roman" w:cs="Times New Roman"/>
        </w:rPr>
        <w:t xml:space="preserve"> </w:t>
      </w:r>
      <w:r w:rsidR="00093E99" w:rsidRPr="00093E99">
        <w:rPr>
          <w:rFonts w:ascii="Times New Roman" w:hAnsi="Times New Roman" w:cs="Times New Roman"/>
        </w:rPr>
        <w:t>wpływy z kar pieniężnych, o których mowa w art. 19 ust. 1 ustawy z dnia 4 kwietnia 2019 r. o dostępności cyfrowej stron internetowych i aplikacji mobilnych podmiotów publicznych (Dz. U. z 2019 r. poz. 848);</w:t>
      </w:r>
    </w:p>
    <w:p w14:paraId="2BC0160C" w14:textId="1E651304" w:rsidR="00093E99" w:rsidRPr="00093E99" w:rsidRDefault="006933C2" w:rsidP="00093E99">
      <w:pPr>
        <w:spacing w:after="120" w:line="360" w:lineRule="auto"/>
        <w:jc w:val="both"/>
        <w:rPr>
          <w:rFonts w:ascii="Times New Roman" w:hAnsi="Times New Roman" w:cs="Times New Roman"/>
        </w:rPr>
      </w:pPr>
      <w:r>
        <w:rPr>
          <w:rFonts w:ascii="Times New Roman" w:hAnsi="Times New Roman" w:cs="Times New Roman"/>
        </w:rPr>
        <w:t>5</w:t>
      </w:r>
      <w:r w:rsidR="00530543">
        <w:rPr>
          <w:rFonts w:ascii="Times New Roman" w:hAnsi="Times New Roman" w:cs="Times New Roman"/>
        </w:rPr>
        <w:t>)</w:t>
      </w:r>
      <w:r w:rsidR="00093E99">
        <w:rPr>
          <w:rFonts w:ascii="Times New Roman" w:hAnsi="Times New Roman" w:cs="Times New Roman"/>
        </w:rPr>
        <w:t xml:space="preserve"> </w:t>
      </w:r>
      <w:r w:rsidR="00093E99" w:rsidRPr="00093E99">
        <w:rPr>
          <w:rFonts w:ascii="Times New Roman" w:hAnsi="Times New Roman" w:cs="Times New Roman"/>
        </w:rPr>
        <w:t>odsetki od zgromadzonych środków;</w:t>
      </w:r>
    </w:p>
    <w:p w14:paraId="54C84465" w14:textId="44CA91DC" w:rsidR="00093E99" w:rsidRDefault="006933C2" w:rsidP="00093E99">
      <w:pPr>
        <w:spacing w:after="120" w:line="360" w:lineRule="auto"/>
        <w:jc w:val="both"/>
        <w:rPr>
          <w:rFonts w:ascii="Times New Roman" w:hAnsi="Times New Roman" w:cs="Times New Roman"/>
        </w:rPr>
      </w:pPr>
      <w:r>
        <w:rPr>
          <w:rFonts w:ascii="Times New Roman" w:hAnsi="Times New Roman" w:cs="Times New Roman"/>
        </w:rPr>
        <w:t>6</w:t>
      </w:r>
      <w:r w:rsidR="00530543">
        <w:rPr>
          <w:rFonts w:ascii="Times New Roman" w:hAnsi="Times New Roman" w:cs="Times New Roman"/>
        </w:rPr>
        <w:t>)</w:t>
      </w:r>
      <w:r w:rsidR="00093E99">
        <w:rPr>
          <w:rFonts w:ascii="Times New Roman" w:hAnsi="Times New Roman" w:cs="Times New Roman"/>
        </w:rPr>
        <w:t xml:space="preserve"> </w:t>
      </w:r>
      <w:r w:rsidR="00093E99" w:rsidRPr="00093E99">
        <w:rPr>
          <w:rFonts w:ascii="Times New Roman" w:hAnsi="Times New Roman" w:cs="Times New Roman"/>
        </w:rPr>
        <w:t>dobrow</w:t>
      </w:r>
      <w:r w:rsidR="00530543">
        <w:rPr>
          <w:rFonts w:ascii="Times New Roman" w:hAnsi="Times New Roman" w:cs="Times New Roman"/>
        </w:rPr>
        <w:t>olne wpłaty, darowizny i zapisy.</w:t>
      </w:r>
    </w:p>
    <w:p w14:paraId="51EE1646" w14:textId="7AEF8E38" w:rsidR="00093E99" w:rsidRDefault="00093E99" w:rsidP="00093E99">
      <w:pPr>
        <w:spacing w:after="120" w:line="360" w:lineRule="auto"/>
        <w:jc w:val="both"/>
        <w:rPr>
          <w:rFonts w:ascii="Times New Roman" w:hAnsi="Times New Roman" w:cs="Times New Roman"/>
        </w:rPr>
      </w:pPr>
      <w:r>
        <w:rPr>
          <w:rFonts w:ascii="Times New Roman" w:hAnsi="Times New Roman" w:cs="Times New Roman"/>
        </w:rPr>
        <w:t>Oprócz tego, w zakresie przychodów Funduszu przewidziano dwa dodatkowe rozwiązania:</w:t>
      </w:r>
    </w:p>
    <w:p w14:paraId="14ABD8C2" w14:textId="7537BA57" w:rsidR="00093E99" w:rsidRDefault="00093E99" w:rsidP="00093E99">
      <w:pPr>
        <w:pStyle w:val="USTustnpkodeksu"/>
        <w:ind w:firstLine="0"/>
        <w:rPr>
          <w:rFonts w:eastAsia="Calibri"/>
        </w:rPr>
      </w:pPr>
      <w:r>
        <w:rPr>
          <w:rFonts w:eastAsia="Calibri"/>
        </w:rPr>
        <w:t xml:space="preserve">1. </w:t>
      </w:r>
      <w:r w:rsidRPr="00467BAD">
        <w:rPr>
          <w:rFonts w:eastAsia="Calibri"/>
        </w:rPr>
        <w:t>Dyrektor Naukowej i Akademickiej Sieci Komputerowej – Państwowego Instytutu Badawczego może, w drodze porozumienia z ministrem właściwym do spraw informatyzacji, przekazać część środków z planu finansowego tego instytutu, w tym z wypracowanego przez Naukową i Akademicką Sieć Komputerową – Państwowy Instytut Badawczy zysku netto za poprzedni rok obrotowy, do Funduszu.</w:t>
      </w:r>
    </w:p>
    <w:p w14:paraId="51E1EBE9" w14:textId="77777777" w:rsidR="00093E99" w:rsidRDefault="00093E99" w:rsidP="00093E99">
      <w:pPr>
        <w:pStyle w:val="USTustnpkodeksu"/>
        <w:ind w:firstLine="0"/>
        <w:rPr>
          <w:rFonts w:eastAsia="Calibri"/>
        </w:rPr>
      </w:pPr>
    </w:p>
    <w:p w14:paraId="09622180" w14:textId="4BEFEB89" w:rsidR="00093E99" w:rsidRDefault="00093E99" w:rsidP="00763CD2">
      <w:pPr>
        <w:pStyle w:val="USTustnpkodeksu"/>
        <w:ind w:firstLine="0"/>
        <w:rPr>
          <w:rFonts w:eastAsia="Calibri"/>
        </w:rPr>
      </w:pPr>
      <w:r>
        <w:rPr>
          <w:rFonts w:eastAsia="Calibri"/>
        </w:rPr>
        <w:t xml:space="preserve">2. </w:t>
      </w:r>
      <w:r w:rsidRPr="00467BAD">
        <w:rPr>
          <w:rFonts w:eastAsia="Calibri"/>
        </w:rPr>
        <w:t>Minister właściwy do spraw informatyzacji może przekazać, w drodze decyzji, część środków z Funduszu Szerokopasmowego, o którym mowa w art. 16a ustawy z dnia 7 maja 2010 r. o wspieraniu rozwoju usług i sieci telekomunikacyjnych (Dz. U. z 2024 r. poz. 604, 834 i 1222), do Funduszu, informując o tym ministra właściwego do spraw finansów publicznych.</w:t>
      </w:r>
    </w:p>
    <w:p w14:paraId="7D8F091A" w14:textId="77777777" w:rsidR="00763CD2" w:rsidRPr="00763CD2" w:rsidRDefault="00763CD2" w:rsidP="00763CD2">
      <w:pPr>
        <w:pStyle w:val="USTustnpkodeksu"/>
        <w:ind w:firstLine="0"/>
        <w:rPr>
          <w:rFonts w:eastAsia="Calibri"/>
        </w:rPr>
      </w:pPr>
    </w:p>
    <w:p w14:paraId="6C7C10D7" w14:textId="0675B511" w:rsidR="003E468A" w:rsidRPr="00AF0582" w:rsidRDefault="003E468A" w:rsidP="00AF0582">
      <w:pPr>
        <w:spacing w:after="120" w:line="360" w:lineRule="auto"/>
        <w:ind w:firstLine="708"/>
        <w:jc w:val="both"/>
        <w:rPr>
          <w:rFonts w:ascii="Times New Roman" w:hAnsi="Times New Roman" w:cs="Times New Roman"/>
        </w:rPr>
      </w:pPr>
      <w:r w:rsidRPr="00AF0582">
        <w:rPr>
          <w:rFonts w:ascii="Times New Roman" w:hAnsi="Times New Roman" w:cs="Times New Roman"/>
        </w:rPr>
        <w:t>Dla zapewnienia, że Fundusz będzie w stanie realizować swoje zadania, projekt ustawy przewiduje, że wpłaty do Funduszu z budżetu państwa będą powiększane, począwszy od drugiego roku od powołania Funduszu, o wskaźnik cen towarów i usług konsumpcyjnych ogółem w poprzednim roku kalendarzowym, ogłoszony przez Prezesa Głównego Urzędu Statystycznego na podstawie art. 94 ust. 1 pkt 1 lit. a ust</w:t>
      </w:r>
      <w:r w:rsidR="00140D65">
        <w:rPr>
          <w:rFonts w:ascii="Times New Roman" w:hAnsi="Times New Roman" w:cs="Times New Roman"/>
        </w:rPr>
        <w:t>awy z dnia 17 grudnia 1998 r. o </w:t>
      </w:r>
      <w:r w:rsidRPr="00AF0582">
        <w:rPr>
          <w:rFonts w:ascii="Times New Roman" w:hAnsi="Times New Roman" w:cs="Times New Roman"/>
        </w:rPr>
        <w:t>emeryturach i rentach z Funduszu Ubezpieczeń Społecznych. W przypadku, gdy wskaźnik ten przyjmuje wartość ujemną, projekt przewiduje przyjmowanie wartości celu inflacyjnego publikowanego przez Narodowy Bank Polski na 1 stycznia r</w:t>
      </w:r>
      <w:r w:rsidR="00140D65">
        <w:rPr>
          <w:rFonts w:ascii="Times New Roman" w:hAnsi="Times New Roman" w:cs="Times New Roman"/>
        </w:rPr>
        <w:t>oku, którego dotyczy. Zgodnie z </w:t>
      </w:r>
      <w:r w:rsidRPr="00AF0582">
        <w:rPr>
          <w:rFonts w:ascii="Times New Roman" w:hAnsi="Times New Roman" w:cs="Times New Roman"/>
        </w:rPr>
        <w:t xml:space="preserve">najbardziej aktualnymi Wieloletnimi Założeniami Makroekonomicznymi na lata 2025-2029, przyjętymi przez Radę Ministrów </w:t>
      </w:r>
      <w:r w:rsidR="006A25D4" w:rsidRPr="00AF0582">
        <w:rPr>
          <w:rFonts w:ascii="Times New Roman" w:hAnsi="Times New Roman" w:cs="Times New Roman"/>
        </w:rPr>
        <w:t>29 kwietnia 2025 roku, wskaźnik cen towarów i usług konsumpcyjnych ma wynieść:</w:t>
      </w:r>
    </w:p>
    <w:p w14:paraId="37E60C66" w14:textId="3EAB8F86" w:rsidR="006A25D4" w:rsidRPr="00AF0582" w:rsidRDefault="006A25D4" w:rsidP="00AF0582">
      <w:pPr>
        <w:spacing w:after="120" w:line="360" w:lineRule="auto"/>
        <w:ind w:firstLine="708"/>
        <w:jc w:val="both"/>
        <w:rPr>
          <w:rFonts w:ascii="Times New Roman" w:hAnsi="Times New Roman" w:cs="Times New Roman"/>
        </w:rPr>
      </w:pPr>
      <w:r w:rsidRPr="00AF0582">
        <w:rPr>
          <w:rFonts w:ascii="Times New Roman" w:hAnsi="Times New Roman" w:cs="Times New Roman"/>
        </w:rPr>
        <w:t>1) w 2026 roku: 103,0 (przy bazie za rok poprzedni = 100)</w:t>
      </w:r>
    </w:p>
    <w:p w14:paraId="1D7F7B43" w14:textId="12628578" w:rsidR="006A25D4" w:rsidRPr="00AF0582" w:rsidRDefault="006A25D4" w:rsidP="00AF0582">
      <w:pPr>
        <w:spacing w:after="120" w:line="360" w:lineRule="auto"/>
        <w:ind w:firstLine="708"/>
        <w:jc w:val="both"/>
        <w:rPr>
          <w:rFonts w:ascii="Times New Roman" w:hAnsi="Times New Roman" w:cs="Times New Roman"/>
        </w:rPr>
      </w:pPr>
      <w:r w:rsidRPr="00AF0582">
        <w:rPr>
          <w:rFonts w:ascii="Times New Roman" w:hAnsi="Times New Roman" w:cs="Times New Roman"/>
        </w:rPr>
        <w:t>2) w 2027 roku: 102,6 (przy bazie za rok poprzedni = 100)</w:t>
      </w:r>
    </w:p>
    <w:p w14:paraId="29CEDA9C" w14:textId="698106CC" w:rsidR="006A25D4" w:rsidRPr="00AF0582" w:rsidRDefault="006A25D4" w:rsidP="00AF0582">
      <w:pPr>
        <w:spacing w:after="120" w:line="360" w:lineRule="auto"/>
        <w:ind w:firstLine="708"/>
        <w:jc w:val="both"/>
        <w:rPr>
          <w:rFonts w:ascii="Times New Roman" w:hAnsi="Times New Roman" w:cs="Times New Roman"/>
        </w:rPr>
      </w:pPr>
      <w:r w:rsidRPr="00AF0582">
        <w:rPr>
          <w:rFonts w:ascii="Times New Roman" w:hAnsi="Times New Roman" w:cs="Times New Roman"/>
        </w:rPr>
        <w:t>3) w 2028 roku: 102,5 (przy bazie za rok poprzedni = 100)</w:t>
      </w:r>
    </w:p>
    <w:p w14:paraId="6C69CD39" w14:textId="7E5E07E5" w:rsidR="006A25D4" w:rsidRPr="00AF0582" w:rsidRDefault="006A25D4" w:rsidP="00AF0582">
      <w:pPr>
        <w:spacing w:after="120" w:line="360" w:lineRule="auto"/>
        <w:ind w:firstLine="708"/>
        <w:jc w:val="both"/>
        <w:rPr>
          <w:rFonts w:ascii="Times New Roman" w:hAnsi="Times New Roman" w:cs="Times New Roman"/>
        </w:rPr>
      </w:pPr>
      <w:r w:rsidRPr="00AF0582">
        <w:rPr>
          <w:rFonts w:ascii="Times New Roman" w:hAnsi="Times New Roman" w:cs="Times New Roman"/>
        </w:rPr>
        <w:t>4) w 2029 roku: 102,4 (przy bazie za rok poprzedni = 100)</w:t>
      </w:r>
    </w:p>
    <w:p w14:paraId="74B8842E" w14:textId="6DC1CF0B" w:rsidR="006A25D4" w:rsidRPr="00AF0582" w:rsidRDefault="006A25D4" w:rsidP="00530543">
      <w:pPr>
        <w:spacing w:after="120" w:line="360" w:lineRule="auto"/>
        <w:ind w:firstLine="708"/>
        <w:jc w:val="both"/>
        <w:rPr>
          <w:rFonts w:ascii="Times New Roman" w:hAnsi="Times New Roman" w:cs="Times New Roman"/>
        </w:rPr>
      </w:pPr>
      <w:r w:rsidRPr="00AF0582">
        <w:rPr>
          <w:rFonts w:ascii="Times New Roman" w:hAnsi="Times New Roman" w:cs="Times New Roman"/>
        </w:rPr>
        <w:t>Przyjmując, że w kolejnych latach wskaźnik cen towarów i usług konsumpcyjnych miałby wynieść wartość średnią z ww. czterech, tj. 102,625, wysokość wpłat z budżetu państwa przedstawiałaby się następująco:</w:t>
      </w:r>
    </w:p>
    <w:p w14:paraId="4EC19A04" w14:textId="6D0F1493" w:rsidR="006A25D4" w:rsidRPr="00AF0582" w:rsidRDefault="006A25D4" w:rsidP="00AF0582">
      <w:pPr>
        <w:spacing w:after="120" w:line="360" w:lineRule="auto"/>
        <w:jc w:val="both"/>
        <w:rPr>
          <w:rFonts w:ascii="Times New Roman" w:hAnsi="Times New Roman" w:cs="Times New Roman"/>
        </w:rPr>
      </w:pPr>
      <w:r w:rsidRPr="00AF0582">
        <w:rPr>
          <w:rFonts w:ascii="Times New Roman" w:hAnsi="Times New Roman" w:cs="Times New Roman"/>
        </w:rPr>
        <w:tab/>
        <w:t xml:space="preserve">1) w 2026 roku: </w:t>
      </w:r>
      <w:r w:rsidR="005E7A5A" w:rsidRPr="00AF0582">
        <w:rPr>
          <w:rFonts w:ascii="Times New Roman" w:hAnsi="Times New Roman" w:cs="Times New Roman"/>
        </w:rPr>
        <w:t>2,5 miliarda złotych</w:t>
      </w:r>
    </w:p>
    <w:p w14:paraId="560427C4" w14:textId="67C7FBFE" w:rsidR="005E7A5A" w:rsidRPr="00AF0582" w:rsidRDefault="005E7A5A" w:rsidP="00AF0582">
      <w:pPr>
        <w:spacing w:after="120" w:line="360" w:lineRule="auto"/>
        <w:jc w:val="both"/>
        <w:rPr>
          <w:rFonts w:ascii="Times New Roman" w:hAnsi="Times New Roman" w:cs="Times New Roman"/>
        </w:rPr>
      </w:pPr>
      <w:r w:rsidRPr="00AF0582">
        <w:rPr>
          <w:rFonts w:ascii="Times New Roman" w:hAnsi="Times New Roman" w:cs="Times New Roman"/>
        </w:rPr>
        <w:tab/>
        <w:t>2) w 2027 roku: 5,15 miliarda złotych</w:t>
      </w:r>
    </w:p>
    <w:p w14:paraId="72F2446F" w14:textId="36CB695D" w:rsidR="005E7A5A" w:rsidRPr="00AF0582" w:rsidRDefault="005E7A5A" w:rsidP="00AF0582">
      <w:pPr>
        <w:spacing w:after="120" w:line="360" w:lineRule="auto"/>
        <w:jc w:val="both"/>
        <w:rPr>
          <w:rFonts w:ascii="Times New Roman" w:hAnsi="Times New Roman" w:cs="Times New Roman"/>
        </w:rPr>
      </w:pPr>
      <w:r w:rsidRPr="00AF0582">
        <w:rPr>
          <w:rFonts w:ascii="Times New Roman" w:hAnsi="Times New Roman" w:cs="Times New Roman"/>
        </w:rPr>
        <w:tab/>
        <w:t>3) w 2028 roku: 5,284 miliarda złotych</w:t>
      </w:r>
    </w:p>
    <w:p w14:paraId="76B104A4" w14:textId="12618F20" w:rsidR="005E7A5A" w:rsidRPr="00AF0582" w:rsidRDefault="005E7A5A" w:rsidP="00AF0582">
      <w:pPr>
        <w:spacing w:after="120" w:line="360" w:lineRule="auto"/>
        <w:jc w:val="both"/>
        <w:rPr>
          <w:rFonts w:ascii="Times New Roman" w:hAnsi="Times New Roman" w:cs="Times New Roman"/>
        </w:rPr>
      </w:pPr>
      <w:r w:rsidRPr="00AF0582">
        <w:rPr>
          <w:rFonts w:ascii="Times New Roman" w:hAnsi="Times New Roman" w:cs="Times New Roman"/>
        </w:rPr>
        <w:tab/>
        <w:t>4) w 2029 roku: 5,416 miliarda złotych</w:t>
      </w:r>
    </w:p>
    <w:p w14:paraId="3212C2DB" w14:textId="79B083DB" w:rsidR="005E7A5A" w:rsidRPr="00AF0582" w:rsidRDefault="005E7A5A" w:rsidP="00AF0582">
      <w:pPr>
        <w:spacing w:after="120" w:line="360" w:lineRule="auto"/>
        <w:jc w:val="both"/>
        <w:rPr>
          <w:rFonts w:ascii="Times New Roman" w:hAnsi="Times New Roman" w:cs="Times New Roman"/>
        </w:rPr>
      </w:pPr>
      <w:r w:rsidRPr="00AF0582">
        <w:rPr>
          <w:rFonts w:ascii="Times New Roman" w:hAnsi="Times New Roman" w:cs="Times New Roman"/>
        </w:rPr>
        <w:tab/>
        <w:t>5) w 2030 roku: 5,546 miliarda złotych</w:t>
      </w:r>
    </w:p>
    <w:p w14:paraId="621FC734" w14:textId="22606823" w:rsidR="005E7A5A" w:rsidRPr="00AF0582" w:rsidRDefault="005E7A5A" w:rsidP="00AF0582">
      <w:pPr>
        <w:spacing w:after="120" w:line="360" w:lineRule="auto"/>
        <w:jc w:val="both"/>
        <w:rPr>
          <w:rFonts w:ascii="Times New Roman" w:hAnsi="Times New Roman" w:cs="Times New Roman"/>
        </w:rPr>
      </w:pPr>
      <w:r w:rsidRPr="00AF0582">
        <w:rPr>
          <w:rFonts w:ascii="Times New Roman" w:hAnsi="Times New Roman" w:cs="Times New Roman"/>
        </w:rPr>
        <w:tab/>
        <w:t>6) w 2031 roku: 5,692 miliarda złotych</w:t>
      </w:r>
    </w:p>
    <w:p w14:paraId="5D6ED66D" w14:textId="30F13775" w:rsidR="005E7A5A" w:rsidRPr="00AF0582" w:rsidRDefault="005E7A5A" w:rsidP="00AF0582">
      <w:pPr>
        <w:spacing w:after="120" w:line="360" w:lineRule="auto"/>
        <w:jc w:val="both"/>
        <w:rPr>
          <w:rFonts w:ascii="Times New Roman" w:hAnsi="Times New Roman" w:cs="Times New Roman"/>
        </w:rPr>
      </w:pPr>
      <w:r w:rsidRPr="00AF0582">
        <w:rPr>
          <w:rFonts w:ascii="Times New Roman" w:hAnsi="Times New Roman" w:cs="Times New Roman"/>
        </w:rPr>
        <w:tab/>
        <w:t>7) w 2032 roku: 5,840 miliarda złotych</w:t>
      </w:r>
    </w:p>
    <w:p w14:paraId="01C90080" w14:textId="0AB8143B" w:rsidR="005E7A5A" w:rsidRPr="00AF0582" w:rsidRDefault="005E7A5A" w:rsidP="00AF0582">
      <w:pPr>
        <w:spacing w:after="120" w:line="360" w:lineRule="auto"/>
        <w:jc w:val="both"/>
        <w:rPr>
          <w:rFonts w:ascii="Times New Roman" w:hAnsi="Times New Roman" w:cs="Times New Roman"/>
        </w:rPr>
      </w:pPr>
      <w:r w:rsidRPr="00AF0582">
        <w:rPr>
          <w:rFonts w:ascii="Times New Roman" w:hAnsi="Times New Roman" w:cs="Times New Roman"/>
        </w:rPr>
        <w:tab/>
        <w:t>8) w 2033 roku: 5,994 miliarda złotych</w:t>
      </w:r>
    </w:p>
    <w:p w14:paraId="627CCA4C" w14:textId="137CDDD0" w:rsidR="005E7A5A" w:rsidRPr="00AF0582" w:rsidRDefault="005E7A5A" w:rsidP="00AF0582">
      <w:pPr>
        <w:spacing w:after="120" w:line="360" w:lineRule="auto"/>
        <w:jc w:val="both"/>
        <w:rPr>
          <w:rFonts w:ascii="Times New Roman" w:hAnsi="Times New Roman" w:cs="Times New Roman"/>
        </w:rPr>
      </w:pPr>
      <w:r w:rsidRPr="00AF0582">
        <w:rPr>
          <w:rFonts w:ascii="Times New Roman" w:hAnsi="Times New Roman" w:cs="Times New Roman"/>
        </w:rPr>
        <w:tab/>
        <w:t>9) w 2034 roku: 6,152 miliarda złotych</w:t>
      </w:r>
    </w:p>
    <w:p w14:paraId="5C8456B7" w14:textId="727B287A" w:rsidR="005E7A5A" w:rsidRPr="00AF0582" w:rsidRDefault="005E7A5A" w:rsidP="00AF0582">
      <w:pPr>
        <w:spacing w:after="120" w:line="360" w:lineRule="auto"/>
        <w:jc w:val="both"/>
        <w:rPr>
          <w:rFonts w:ascii="Times New Roman" w:hAnsi="Times New Roman" w:cs="Times New Roman"/>
        </w:rPr>
      </w:pPr>
      <w:r w:rsidRPr="00AF0582">
        <w:rPr>
          <w:rFonts w:ascii="Times New Roman" w:hAnsi="Times New Roman" w:cs="Times New Roman"/>
        </w:rPr>
        <w:tab/>
        <w:t>10) w 2035 roku: 6,313 miliarda złotych.</w:t>
      </w:r>
    </w:p>
    <w:p w14:paraId="7C68C990" w14:textId="3ED3472C" w:rsidR="00763CD2" w:rsidRDefault="005E7A5A" w:rsidP="00530543">
      <w:pPr>
        <w:spacing w:after="120" w:line="360" w:lineRule="auto"/>
        <w:ind w:firstLine="708"/>
        <w:jc w:val="both"/>
        <w:rPr>
          <w:rFonts w:ascii="Times New Roman" w:hAnsi="Times New Roman" w:cs="Times New Roman"/>
        </w:rPr>
      </w:pPr>
      <w:r w:rsidRPr="00AF0582">
        <w:rPr>
          <w:rFonts w:ascii="Times New Roman" w:hAnsi="Times New Roman" w:cs="Times New Roman"/>
        </w:rPr>
        <w:t xml:space="preserve">Należy jednak podkreślić, że powyższe dane mają jedynie charakter szacunkowy, a wysokość wpłat do Funduszu z budżetu państwa byłaby uzależniona od obiektywnego wskaźnika gospodarczego, jakim jest wskaźnik cen towarów i usług konsumpcyjnych ogółem. </w:t>
      </w:r>
      <w:r w:rsidR="00351D26" w:rsidRPr="00AF0582">
        <w:rPr>
          <w:rFonts w:ascii="Times New Roman" w:hAnsi="Times New Roman" w:cs="Times New Roman"/>
        </w:rPr>
        <w:t>Waloryzacja ta ma na celu zachowanie siły nabywczej śro</w:t>
      </w:r>
      <w:r w:rsidR="00530543">
        <w:rPr>
          <w:rFonts w:ascii="Times New Roman" w:hAnsi="Times New Roman" w:cs="Times New Roman"/>
        </w:rPr>
        <w:t>dków zgromadzonych w Funduszu i </w:t>
      </w:r>
      <w:r w:rsidR="00351D26" w:rsidRPr="00AF0582">
        <w:rPr>
          <w:rFonts w:ascii="Times New Roman" w:hAnsi="Times New Roman" w:cs="Times New Roman"/>
        </w:rPr>
        <w:t>uniknięcie erozji jego zdolności do efektywnego wsparcia strategicznych sektorów technologicznych w Polsce.</w:t>
      </w:r>
      <w:r w:rsidR="00763CD2">
        <w:rPr>
          <w:rFonts w:ascii="Times New Roman" w:hAnsi="Times New Roman" w:cs="Times New Roman"/>
        </w:rPr>
        <w:t xml:space="preserve"> </w:t>
      </w:r>
    </w:p>
    <w:p w14:paraId="419C3419" w14:textId="6687CFE9" w:rsidR="005E7A5A" w:rsidRPr="00763CD2" w:rsidRDefault="00763CD2" w:rsidP="00AF0582">
      <w:pPr>
        <w:spacing w:after="120" w:line="360" w:lineRule="auto"/>
        <w:jc w:val="both"/>
        <w:rPr>
          <w:rFonts w:ascii="Times New Roman" w:hAnsi="Times New Roman" w:cs="Times New Roman"/>
        </w:rPr>
      </w:pPr>
      <w:r>
        <w:rPr>
          <w:rFonts w:ascii="Times New Roman" w:hAnsi="Times New Roman" w:cs="Times New Roman"/>
        </w:rPr>
        <w:t xml:space="preserve">W zakresie zasilenia budżetu państwa, przewiduje się że działania Funduszu będą miały pozytywny wpływ na sytuację fiskalną budżetu państwa. </w:t>
      </w:r>
      <w:r w:rsidRPr="00AF0582">
        <w:rPr>
          <w:rFonts w:ascii="Times New Roman" w:hAnsi="Times New Roman" w:cs="Times New Roman"/>
        </w:rPr>
        <w:t xml:space="preserve">Zgodnie z raportem przygotowanym w 2023 roku na zlecenie Konferencji Rektorów Uczelni Ekonomicznych: </w:t>
      </w:r>
      <w:r w:rsidR="00AB0219">
        <w:rPr>
          <w:rFonts w:ascii="Times New Roman" w:hAnsi="Times New Roman" w:cs="Times New Roman"/>
          <w:i/>
        </w:rPr>
        <w:t>,,</w:t>
      </w:r>
      <w:r w:rsidRPr="00AF0582">
        <w:rPr>
          <w:rFonts w:ascii="Times New Roman" w:hAnsi="Times New Roman" w:cs="Times New Roman"/>
          <w:i/>
          <w:iCs/>
        </w:rPr>
        <w:t>Każdy wzrost udziału wydatków w PKB o 0,1 punkt procentowy oznacza wyższy wzrost PKB między ok. 0,8 punktu procentowego do ok. 1,3 punktu procentowego. Innymi słowy, każda zainwestowana złotówka daje efekt między ok. 8 a 13 złotych wyższego PKB</w:t>
      </w:r>
      <w:r w:rsidR="00AB0219">
        <w:rPr>
          <w:rFonts w:ascii="Times New Roman" w:hAnsi="Times New Roman" w:cs="Times New Roman"/>
          <w:i/>
          <w:iCs/>
        </w:rPr>
        <w:t>”</w:t>
      </w:r>
      <w:r w:rsidRPr="00AF0582">
        <w:rPr>
          <w:rFonts w:ascii="Times New Roman" w:hAnsi="Times New Roman" w:cs="Times New Roman"/>
          <w:i/>
          <w:iCs/>
        </w:rPr>
        <w:t>.</w:t>
      </w:r>
      <w:r>
        <w:rPr>
          <w:rFonts w:ascii="Times New Roman" w:hAnsi="Times New Roman" w:cs="Times New Roman"/>
        </w:rPr>
        <w:t xml:space="preserve"> Będzie się to przekładać bezpośrednio na wpływy z tytułu podatków i innych opłat, co będzie sprzyjać sytuacji budżetowej.</w:t>
      </w:r>
    </w:p>
    <w:p w14:paraId="78AFD41A" w14:textId="20CD5AC1" w:rsidR="008456F1" w:rsidRPr="00AF0582" w:rsidRDefault="008456F1" w:rsidP="00AF0582">
      <w:pPr>
        <w:spacing w:after="120" w:line="360" w:lineRule="auto"/>
        <w:ind w:firstLine="708"/>
        <w:jc w:val="both"/>
        <w:rPr>
          <w:rFonts w:ascii="Times New Roman" w:hAnsi="Times New Roman" w:cs="Times New Roman"/>
        </w:rPr>
      </w:pPr>
      <w:r w:rsidRPr="00AF0582">
        <w:rPr>
          <w:rFonts w:ascii="Times New Roman" w:hAnsi="Times New Roman" w:cs="Times New Roman"/>
        </w:rPr>
        <w:t>Przewidywany jest jednoznacznie korzystny skutek sp</w:t>
      </w:r>
      <w:r w:rsidR="000A2B26">
        <w:rPr>
          <w:rFonts w:ascii="Times New Roman" w:hAnsi="Times New Roman" w:cs="Times New Roman"/>
        </w:rPr>
        <w:t>ołeczny projektowanej ustawy, w </w:t>
      </w:r>
      <w:r w:rsidRPr="00AF0582">
        <w:rPr>
          <w:rFonts w:ascii="Times New Roman" w:hAnsi="Times New Roman" w:cs="Times New Roman"/>
        </w:rPr>
        <w:t>szczególności z uwagi na wzrost poziomu kompetencji cyfrowych w społeczeństwie, pozytywne skutki prowadzonych badań finansowanych ze środków Funduszu. Na dowód tych słów można przytoczyć raport końcowy z badania ewaluacyjnego prowadzonego przez Narodowe Centrum Badań i Rozwoju w odniesieniu do Programu Innowacje Społeczne (2023), który na podstawie metodologii ilościowej SROI</w:t>
      </w:r>
      <w:r w:rsidR="00786C93" w:rsidRPr="00AF0582">
        <w:rPr>
          <w:rFonts w:ascii="Times New Roman" w:hAnsi="Times New Roman" w:cs="Times New Roman"/>
        </w:rPr>
        <w:t>, służącej analizie mechanizmów powstawania i trwania wpływu organizacji na społeczeństwo, środowisko i gospodarkę, mierzeniu wartości tego wpływu i raportowaniu go, stwierdza że złotówka zainwestowana w program przyniosła zwrot społeczny od 15,55 zł do 250,26 zł w zależności od projektu i scenariusza. W przypadku Funduszu duży nacisk położono na działania edukacyjne i popularyzatorskie (w tym poprzez przeznaczenie na ten cel jednego z pięciu subfunduszy), co stanowi dodatkową korzyść społeczną.</w:t>
      </w:r>
    </w:p>
    <w:p w14:paraId="3B5A4654" w14:textId="3AD463E0" w:rsidR="00541DCB" w:rsidRDefault="00351D26" w:rsidP="000A2B26">
      <w:pPr>
        <w:spacing w:after="120" w:line="360" w:lineRule="auto"/>
        <w:jc w:val="both"/>
        <w:rPr>
          <w:rFonts w:ascii="Times New Roman" w:hAnsi="Times New Roman" w:cs="Times New Roman"/>
        </w:rPr>
      </w:pPr>
      <w:r w:rsidRPr="00AF0582">
        <w:rPr>
          <w:rFonts w:ascii="Times New Roman" w:hAnsi="Times New Roman" w:cs="Times New Roman"/>
        </w:rPr>
        <w:tab/>
        <w:t xml:space="preserve">Wpływ projektowanej ustawy na działalność mikro-, małych, średnich i dużych przedsiębiorstw jest jednoznacznie pozytywny, z uwagi na fakt że jeden z pięciu subfunduszy dotyczy bezpośrednio wsparcia innowacyjnej gospodarki, a pozostałe zakładają finansowanie zadań związanych z rozwojem technologicznym, w tym </w:t>
      </w:r>
      <w:r w:rsidR="008456F1" w:rsidRPr="00AF0582">
        <w:rPr>
          <w:rFonts w:ascii="Times New Roman" w:hAnsi="Times New Roman" w:cs="Times New Roman"/>
        </w:rPr>
        <w:t>infrastrukturą badawczą. W praktyce oznacza to, że przedsiębiorcy zyskają na bezpośrednim finansowaniu ze środków Funduszu oraz na poprawie ogólnego stanu gospodarki, wywołanej zwi</w:t>
      </w:r>
      <w:r w:rsidR="000A2B26">
        <w:rPr>
          <w:rFonts w:ascii="Times New Roman" w:hAnsi="Times New Roman" w:cs="Times New Roman"/>
        </w:rPr>
        <w:t>ększeniem nakładów na badania i </w:t>
      </w:r>
      <w:r w:rsidR="008456F1" w:rsidRPr="00AF0582">
        <w:rPr>
          <w:rFonts w:ascii="Times New Roman" w:hAnsi="Times New Roman" w:cs="Times New Roman"/>
        </w:rPr>
        <w:t>rozwój.</w:t>
      </w:r>
      <w:r w:rsidR="000A2B26">
        <w:rPr>
          <w:rFonts w:ascii="Times New Roman" w:hAnsi="Times New Roman" w:cs="Times New Roman"/>
        </w:rPr>
        <w:t xml:space="preserve"> </w:t>
      </w:r>
      <w:r w:rsidR="00541DCB" w:rsidRPr="00AF0582">
        <w:rPr>
          <w:rFonts w:ascii="Times New Roman" w:hAnsi="Times New Roman" w:cs="Times New Roman"/>
        </w:rPr>
        <w:t>Z uwagi na przeznaczenie dodatkowych środków finansowych na realizację działań inwesty</w:t>
      </w:r>
      <w:r w:rsidR="005527AB">
        <w:rPr>
          <w:rFonts w:ascii="Times New Roman" w:hAnsi="Times New Roman" w:cs="Times New Roman"/>
        </w:rPr>
        <w:t>cyjnych, przewidywany jest</w:t>
      </w:r>
      <w:r w:rsidR="00541DCB" w:rsidRPr="00AF0582">
        <w:rPr>
          <w:rFonts w:ascii="Times New Roman" w:hAnsi="Times New Roman" w:cs="Times New Roman"/>
        </w:rPr>
        <w:t xml:space="preserve"> pozytywny wpływ na działalność mikro-, małych, średnich i dużych przedsiębiorstw, w szczególności zajmujących się produkcją lub sprzedażą sprzętu </w:t>
      </w:r>
      <w:r w:rsidR="008456F1" w:rsidRPr="00AF0582">
        <w:rPr>
          <w:rFonts w:ascii="Times New Roman" w:hAnsi="Times New Roman" w:cs="Times New Roman"/>
        </w:rPr>
        <w:t xml:space="preserve">cyfrowego i </w:t>
      </w:r>
      <w:r w:rsidR="00541DCB" w:rsidRPr="00AF0582">
        <w:rPr>
          <w:rFonts w:ascii="Times New Roman" w:hAnsi="Times New Roman" w:cs="Times New Roman"/>
        </w:rPr>
        <w:t>elektronicznego oraz przedsiębiorstwa z sektora budowlanego.</w:t>
      </w:r>
    </w:p>
    <w:p w14:paraId="4E1C7A0D" w14:textId="77777777" w:rsidR="00093E99" w:rsidRPr="008F1D49" w:rsidRDefault="00093E99" w:rsidP="00093E99">
      <w:pPr>
        <w:spacing w:after="120" w:line="360" w:lineRule="auto"/>
        <w:ind w:firstLine="709"/>
        <w:jc w:val="both"/>
        <w:rPr>
          <w:rFonts w:ascii="Times New Roman" w:hAnsi="Times New Roman" w:cs="Times New Roman"/>
        </w:rPr>
      </w:pPr>
      <w:r w:rsidRPr="008F1D49">
        <w:rPr>
          <w:rFonts w:ascii="Times New Roman" w:hAnsi="Times New Roman" w:cs="Times New Roman"/>
        </w:rPr>
        <w:t>Projektowane przepisy są zgodne z zasadami proporcjonalności, uzasadnionego i niedyskryminującego charakteru. Przepisy projektu ustawy są uzasadnione nadrzędnymi względami interesu ogólnego i tym samym nie wykraczają poza to, co niezbędne.</w:t>
      </w:r>
    </w:p>
    <w:p w14:paraId="2722D74D" w14:textId="77777777" w:rsidR="00093E99" w:rsidRDefault="00093E99" w:rsidP="00093E99">
      <w:pPr>
        <w:spacing w:line="360" w:lineRule="auto"/>
        <w:ind w:firstLine="709"/>
        <w:jc w:val="both"/>
        <w:rPr>
          <w:rFonts w:ascii="Times New Roman" w:hAnsi="Times New Roman" w:cs="Times New Roman"/>
        </w:rPr>
      </w:pPr>
      <w:r w:rsidRPr="008F1D49">
        <w:rPr>
          <w:rFonts w:ascii="Times New Roman" w:hAnsi="Times New Roman" w:cs="Times New Roman"/>
        </w:rPr>
        <w:t xml:space="preserve">Projekt nie zawiera przepisów regulacyjnych lub przepisów określających wymogi dotyczące świadczenia usług transgranicznych w rozumieniu </w:t>
      </w:r>
      <w:hyperlink r:id="rId8" w:anchor="/document/18268594?cm=DOCUMENT" w:history="1">
        <w:r w:rsidRPr="008F1D49">
          <w:rPr>
            <w:rFonts w:ascii="Times New Roman" w:hAnsi="Times New Roman" w:cs="Times New Roman"/>
          </w:rPr>
          <w:t>ustawy</w:t>
        </w:r>
      </w:hyperlink>
      <w:r w:rsidRPr="008F1D49">
        <w:rPr>
          <w:rFonts w:ascii="Times New Roman" w:hAnsi="Times New Roman" w:cs="Times New Roman"/>
        </w:rPr>
        <w:t xml:space="preserve"> z dnia 22 grudnia 2015 r. o zasadach uznawania kwalifikacji zawodowych nabytych w państwach członkowskich Unii Europejskiej (Dz. U. z 2023 r. poz. 334).</w:t>
      </w:r>
    </w:p>
    <w:p w14:paraId="7FB49747" w14:textId="25EA167D" w:rsidR="00093E99" w:rsidRPr="00AF0582" w:rsidRDefault="00093E99" w:rsidP="00093E99">
      <w:pPr>
        <w:spacing w:line="360" w:lineRule="auto"/>
        <w:ind w:firstLine="709"/>
        <w:jc w:val="both"/>
        <w:rPr>
          <w:rFonts w:ascii="Times New Roman" w:hAnsi="Times New Roman" w:cs="Times New Roman"/>
        </w:rPr>
      </w:pPr>
      <w:r w:rsidRPr="009D319E">
        <w:rPr>
          <w:rFonts w:ascii="Times New Roman" w:hAnsi="Times New Roman" w:cs="Times New Roman"/>
        </w:rPr>
        <w:t>Nie ma możliwości podjęcia alternatywnych w stosunku do projektowanej ustawy środków umożliwiających osiągnięcie zamierzonego celu.</w:t>
      </w:r>
    </w:p>
    <w:p w14:paraId="5A3A8C30" w14:textId="3713DBEB" w:rsidR="00541DCB" w:rsidRDefault="00541DCB" w:rsidP="00AF0582">
      <w:pPr>
        <w:spacing w:after="120" w:line="360" w:lineRule="auto"/>
        <w:ind w:firstLine="708"/>
        <w:jc w:val="both"/>
        <w:rPr>
          <w:rFonts w:ascii="Times New Roman" w:hAnsi="Times New Roman" w:cs="Times New Roman"/>
        </w:rPr>
      </w:pPr>
      <w:r w:rsidRPr="00AF0582">
        <w:rPr>
          <w:rFonts w:ascii="Times New Roman" w:hAnsi="Times New Roman" w:cs="Times New Roman"/>
        </w:rPr>
        <w:t>Projektowan</w:t>
      </w:r>
      <w:r w:rsidR="00AF0582">
        <w:rPr>
          <w:rFonts w:ascii="Times New Roman" w:hAnsi="Times New Roman" w:cs="Times New Roman"/>
        </w:rPr>
        <w:t>a</w:t>
      </w:r>
      <w:r w:rsidRPr="00AF0582">
        <w:rPr>
          <w:rFonts w:ascii="Times New Roman" w:hAnsi="Times New Roman" w:cs="Times New Roman"/>
        </w:rPr>
        <w:t xml:space="preserve"> ustawa nie wymaga przedstawienia właściwym organom i instytucjom Unii Europejskiej, w tym Europejskiemu Bankowi Centralnemu, w celu uzyskania opinii, dokonania powiadomienia, konsultacji lub uzgodnienia. </w:t>
      </w:r>
    </w:p>
    <w:p w14:paraId="03CAB430" w14:textId="77777777" w:rsidR="00763CD2" w:rsidRDefault="00093E99" w:rsidP="00763CD2">
      <w:pPr>
        <w:spacing w:line="360" w:lineRule="auto"/>
        <w:ind w:firstLine="708"/>
        <w:jc w:val="both"/>
        <w:rPr>
          <w:rFonts w:ascii="Times New Roman" w:hAnsi="Times New Roman" w:cs="Times New Roman"/>
        </w:rPr>
      </w:pPr>
      <w:r w:rsidRPr="008F1D49">
        <w:rPr>
          <w:rFonts w:ascii="Times New Roman" w:hAnsi="Times New Roman" w:cs="Times New Roman"/>
        </w:rPr>
        <w:t>Projekt ustawy nie zawiera przepisów technicznych w rozumieniu rozporządzenia Rady Ministrów z dnia 23 grudnia 2002 r. w sprawie funkcjonowania krajowego systemu notyfikacji norm i aktów prawnych (Dz. U. poz. 2039 oraz z 2004 r. poz. 597), w związku z tym nie podlega notyfikacji.</w:t>
      </w:r>
      <w:r w:rsidR="00763CD2" w:rsidRPr="00763CD2">
        <w:rPr>
          <w:rFonts w:ascii="Times New Roman" w:hAnsi="Times New Roman" w:cs="Times New Roman"/>
        </w:rPr>
        <w:t xml:space="preserve"> </w:t>
      </w:r>
    </w:p>
    <w:p w14:paraId="0A32EF2F" w14:textId="5F0E8ACE" w:rsidR="00763CD2" w:rsidRPr="00AF0582" w:rsidRDefault="00763CD2" w:rsidP="00763CD2">
      <w:pPr>
        <w:spacing w:line="360" w:lineRule="auto"/>
        <w:ind w:firstLine="708"/>
        <w:jc w:val="both"/>
        <w:rPr>
          <w:rFonts w:ascii="Times New Roman" w:hAnsi="Times New Roman" w:cs="Times New Roman"/>
        </w:rPr>
      </w:pPr>
      <w:r>
        <w:rPr>
          <w:rFonts w:ascii="Times New Roman" w:hAnsi="Times New Roman" w:cs="Times New Roman"/>
        </w:rPr>
        <w:t>Projekt ustawy</w:t>
      </w:r>
      <w:r w:rsidRPr="00AA1347">
        <w:rPr>
          <w:rFonts w:ascii="Times New Roman" w:hAnsi="Times New Roman" w:cs="Times New Roman"/>
        </w:rPr>
        <w:t xml:space="preserve"> </w:t>
      </w:r>
      <w:r>
        <w:rPr>
          <w:rFonts w:ascii="Times New Roman" w:hAnsi="Times New Roman" w:cs="Times New Roman"/>
        </w:rPr>
        <w:t xml:space="preserve">nie </w:t>
      </w:r>
      <w:r>
        <w:rPr>
          <w:rFonts w:ascii="Times New Roman" w:eastAsia="Times New Roman" w:hAnsi="Times New Roman" w:cs="Times New Roman"/>
          <w:lang w:eastAsia="pl-PL"/>
        </w:rPr>
        <w:t>dotyczy</w:t>
      </w:r>
      <w:r w:rsidRPr="00AA1347">
        <w:rPr>
          <w:rFonts w:ascii="Times New Roman" w:eastAsia="Times New Roman" w:hAnsi="Times New Roman" w:cs="Times New Roman"/>
          <w:lang w:eastAsia="pl-PL"/>
        </w:rPr>
        <w:t xml:space="preserve"> praw i obowiązków przedsiębiorców </w:t>
      </w:r>
      <w:r>
        <w:rPr>
          <w:rFonts w:ascii="Times New Roman" w:eastAsia="Times New Roman" w:hAnsi="Times New Roman" w:cs="Times New Roman"/>
          <w:lang w:eastAsia="pl-PL"/>
        </w:rPr>
        <w:t>lub ich praw i </w:t>
      </w:r>
      <w:r w:rsidRPr="00AA1347">
        <w:rPr>
          <w:rFonts w:ascii="Times New Roman" w:eastAsia="Times New Roman" w:hAnsi="Times New Roman" w:cs="Times New Roman"/>
          <w:lang w:eastAsia="pl-PL"/>
        </w:rPr>
        <w:t>obowiązków wobec organów administracji publicznej</w:t>
      </w:r>
      <w:r>
        <w:rPr>
          <w:rFonts w:ascii="Times New Roman" w:eastAsia="Times New Roman" w:hAnsi="Times New Roman" w:cs="Times New Roman"/>
          <w:lang w:eastAsia="pl-PL"/>
        </w:rPr>
        <w:t>.</w:t>
      </w:r>
    </w:p>
    <w:p w14:paraId="71E5BD6F" w14:textId="36230AA6" w:rsidR="00541DCB" w:rsidRPr="000A2B26" w:rsidRDefault="00541DCB" w:rsidP="000A2B26">
      <w:pPr>
        <w:spacing w:after="120" w:line="360" w:lineRule="auto"/>
        <w:ind w:firstLine="708"/>
        <w:jc w:val="both"/>
        <w:rPr>
          <w:rFonts w:ascii="Times New Roman" w:hAnsi="Times New Roman" w:cs="Times New Roman"/>
        </w:rPr>
      </w:pPr>
      <w:r w:rsidRPr="00AF0582">
        <w:rPr>
          <w:rFonts w:ascii="Times New Roman" w:hAnsi="Times New Roman" w:cs="Times New Roman"/>
        </w:rPr>
        <w:t>Projektowana ustawa nie jest sprzeczna z prawem Unii Europejskiej</w:t>
      </w:r>
      <w:r w:rsidR="000A2B26">
        <w:rPr>
          <w:rFonts w:ascii="Times New Roman" w:hAnsi="Times New Roman" w:cs="Times New Roman"/>
        </w:rPr>
        <w:t>.</w:t>
      </w:r>
      <w:r w:rsidRPr="00AF0582">
        <w:rPr>
          <w:rFonts w:ascii="Times New Roman" w:hAnsi="Times New Roman" w:cs="Times New Roman"/>
          <w:color w:val="FF0000"/>
        </w:rPr>
        <w:t xml:space="preserve"> </w:t>
      </w:r>
    </w:p>
    <w:sectPr w:rsidR="00541DCB" w:rsidRPr="000A2B26" w:rsidSect="00567900">
      <w:footerReference w:type="defaul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61A43" w14:textId="77777777" w:rsidR="009A788A" w:rsidRDefault="009A788A" w:rsidP="00EB7DB2">
      <w:r>
        <w:separator/>
      </w:r>
    </w:p>
  </w:endnote>
  <w:endnote w:type="continuationSeparator" w:id="0">
    <w:p w14:paraId="601886A8" w14:textId="77777777" w:rsidR="009A788A" w:rsidRDefault="009A788A" w:rsidP="00EB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Microsoft Sans Serif"/>
    <w:charset w:val="00"/>
    <w:family w:val="swiss"/>
    <w:pitch w:val="variable"/>
    <w:sig w:usb0="00000001" w:usb1="00000003" w:usb2="00000000" w:usb3="00000000" w:csb0="0000019F" w:csb1="00000000"/>
  </w:font>
  <w:font w:name="Aptos Display">
    <w:altName w:val="Microsoft Sans Serif"/>
    <w:charset w:val="00"/>
    <w:family w:val="swiss"/>
    <w:pitch w:val="variable"/>
    <w:sig w:usb0="00000001"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201074"/>
      <w:docPartObj>
        <w:docPartGallery w:val="Page Numbers (Bottom of Page)"/>
        <w:docPartUnique/>
      </w:docPartObj>
    </w:sdtPr>
    <w:sdtEndPr/>
    <w:sdtContent>
      <w:p w14:paraId="5F721BA6" w14:textId="284EE672" w:rsidR="00567900" w:rsidRDefault="00567900">
        <w:pPr>
          <w:pStyle w:val="Stopka"/>
          <w:jc w:val="center"/>
        </w:pPr>
        <w:r>
          <w:fldChar w:fldCharType="begin"/>
        </w:r>
        <w:r>
          <w:instrText>PAGE   \* MERGEFORMAT</w:instrText>
        </w:r>
        <w:r>
          <w:fldChar w:fldCharType="separate"/>
        </w:r>
        <w:r w:rsidR="00E94BFD">
          <w:rPr>
            <w:noProof/>
          </w:rPr>
          <w:t>2</w:t>
        </w:r>
        <w:r>
          <w:fldChar w:fldCharType="end"/>
        </w:r>
      </w:p>
    </w:sdtContent>
  </w:sdt>
  <w:p w14:paraId="0FC7D473" w14:textId="77777777" w:rsidR="00EB7DB2" w:rsidRDefault="00EB7D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07D53" w14:textId="77777777" w:rsidR="009A788A" w:rsidRDefault="009A788A" w:rsidP="00EB7DB2">
      <w:r>
        <w:separator/>
      </w:r>
    </w:p>
  </w:footnote>
  <w:footnote w:type="continuationSeparator" w:id="0">
    <w:p w14:paraId="7EC4E806" w14:textId="77777777" w:rsidR="009A788A" w:rsidRDefault="009A788A" w:rsidP="00EB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2602"/>
    <w:multiLevelType w:val="hybridMultilevel"/>
    <w:tmpl w:val="43348B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1044C"/>
    <w:multiLevelType w:val="hybridMultilevel"/>
    <w:tmpl w:val="341EB0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8855C7"/>
    <w:multiLevelType w:val="multilevel"/>
    <w:tmpl w:val="0278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952EF9"/>
    <w:multiLevelType w:val="hybridMultilevel"/>
    <w:tmpl w:val="69488AD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677549CF"/>
    <w:multiLevelType w:val="hybridMultilevel"/>
    <w:tmpl w:val="47667F5A"/>
    <w:lvl w:ilvl="0" w:tplc="D106733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CB"/>
    <w:rsid w:val="0001574F"/>
    <w:rsid w:val="00093E99"/>
    <w:rsid w:val="000A27E8"/>
    <w:rsid w:val="000A2B26"/>
    <w:rsid w:val="001214C7"/>
    <w:rsid w:val="00137913"/>
    <w:rsid w:val="00140D65"/>
    <w:rsid w:val="001643CD"/>
    <w:rsid w:val="001970E7"/>
    <w:rsid w:val="001B2B8D"/>
    <w:rsid w:val="002466D8"/>
    <w:rsid w:val="0029686A"/>
    <w:rsid w:val="002B2340"/>
    <w:rsid w:val="002F1D6A"/>
    <w:rsid w:val="0032211B"/>
    <w:rsid w:val="00351D26"/>
    <w:rsid w:val="00357616"/>
    <w:rsid w:val="003740FC"/>
    <w:rsid w:val="00394A71"/>
    <w:rsid w:val="003A3EC0"/>
    <w:rsid w:val="003B5E24"/>
    <w:rsid w:val="003E468A"/>
    <w:rsid w:val="0040303A"/>
    <w:rsid w:val="004366D5"/>
    <w:rsid w:val="00520265"/>
    <w:rsid w:val="00530543"/>
    <w:rsid w:val="00541DCB"/>
    <w:rsid w:val="005527AB"/>
    <w:rsid w:val="00567900"/>
    <w:rsid w:val="005870D5"/>
    <w:rsid w:val="005D1E7A"/>
    <w:rsid w:val="005D4A47"/>
    <w:rsid w:val="005E7A5A"/>
    <w:rsid w:val="0061095D"/>
    <w:rsid w:val="00630A05"/>
    <w:rsid w:val="00630CD9"/>
    <w:rsid w:val="006933C2"/>
    <w:rsid w:val="006A25D4"/>
    <w:rsid w:val="00763CD2"/>
    <w:rsid w:val="00786C93"/>
    <w:rsid w:val="007D4AAF"/>
    <w:rsid w:val="007F38A5"/>
    <w:rsid w:val="007F442F"/>
    <w:rsid w:val="00843737"/>
    <w:rsid w:val="008456F1"/>
    <w:rsid w:val="008A0B77"/>
    <w:rsid w:val="008D0E76"/>
    <w:rsid w:val="00931DB2"/>
    <w:rsid w:val="009525E2"/>
    <w:rsid w:val="009A788A"/>
    <w:rsid w:val="00A1446D"/>
    <w:rsid w:val="00A33393"/>
    <w:rsid w:val="00A641E8"/>
    <w:rsid w:val="00AB0219"/>
    <w:rsid w:val="00AC5D13"/>
    <w:rsid w:val="00AC7FF6"/>
    <w:rsid w:val="00AF0582"/>
    <w:rsid w:val="00BF48C1"/>
    <w:rsid w:val="00C51188"/>
    <w:rsid w:val="00D05301"/>
    <w:rsid w:val="00D22413"/>
    <w:rsid w:val="00DA4FA2"/>
    <w:rsid w:val="00DC6245"/>
    <w:rsid w:val="00DF3FAB"/>
    <w:rsid w:val="00E70354"/>
    <w:rsid w:val="00E94BFD"/>
    <w:rsid w:val="00EB7DB2"/>
    <w:rsid w:val="00F753CF"/>
    <w:rsid w:val="00F942F5"/>
    <w:rsid w:val="00FD5DC9"/>
    <w:rsid w:val="00FD7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8EA5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541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41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41DC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41DC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41DC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41DC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41DC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41DC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41DC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1DC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41DC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41DC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41DC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41DC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41D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41D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41D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41DCB"/>
    <w:rPr>
      <w:rFonts w:eastAsiaTheme="majorEastAsia" w:cstheme="majorBidi"/>
      <w:color w:val="272727" w:themeColor="text1" w:themeTint="D8"/>
    </w:rPr>
  </w:style>
  <w:style w:type="paragraph" w:styleId="Tytu">
    <w:name w:val="Title"/>
    <w:basedOn w:val="Normalny"/>
    <w:next w:val="Normalny"/>
    <w:link w:val="TytuZnak"/>
    <w:uiPriority w:val="10"/>
    <w:qFormat/>
    <w:rsid w:val="00541DC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41D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1DCB"/>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41D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41DCB"/>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41DCB"/>
    <w:rPr>
      <w:i/>
      <w:iCs/>
      <w:color w:val="404040" w:themeColor="text1" w:themeTint="BF"/>
    </w:rPr>
  </w:style>
  <w:style w:type="paragraph" w:styleId="Akapitzlist">
    <w:name w:val="List Paragraph"/>
    <w:basedOn w:val="Normalny"/>
    <w:uiPriority w:val="34"/>
    <w:qFormat/>
    <w:rsid w:val="00541DCB"/>
    <w:pPr>
      <w:ind w:left="720"/>
      <w:contextualSpacing/>
    </w:pPr>
  </w:style>
  <w:style w:type="character" w:styleId="Wyrnienieintensywne">
    <w:name w:val="Intense Emphasis"/>
    <w:basedOn w:val="Domylnaczcionkaakapitu"/>
    <w:uiPriority w:val="21"/>
    <w:qFormat/>
    <w:rsid w:val="00541DCB"/>
    <w:rPr>
      <w:i/>
      <w:iCs/>
      <w:color w:val="0F4761" w:themeColor="accent1" w:themeShade="BF"/>
    </w:rPr>
  </w:style>
  <w:style w:type="paragraph" w:styleId="Cytatintensywny">
    <w:name w:val="Intense Quote"/>
    <w:basedOn w:val="Normalny"/>
    <w:next w:val="Normalny"/>
    <w:link w:val="CytatintensywnyZnak"/>
    <w:uiPriority w:val="30"/>
    <w:qFormat/>
    <w:rsid w:val="00541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41DCB"/>
    <w:rPr>
      <w:i/>
      <w:iCs/>
      <w:color w:val="0F4761" w:themeColor="accent1" w:themeShade="BF"/>
    </w:rPr>
  </w:style>
  <w:style w:type="character" w:styleId="Odwoanieintensywne">
    <w:name w:val="Intense Reference"/>
    <w:basedOn w:val="Domylnaczcionkaakapitu"/>
    <w:uiPriority w:val="32"/>
    <w:qFormat/>
    <w:rsid w:val="00541DCB"/>
    <w:rPr>
      <w:b/>
      <w:bCs/>
      <w:smallCaps/>
      <w:color w:val="0F4761" w:themeColor="accent1" w:themeShade="BF"/>
      <w:spacing w:val="5"/>
    </w:rPr>
  </w:style>
  <w:style w:type="paragraph" w:customStyle="1" w:styleId="ARTartustawynprozporzdzenia">
    <w:name w:val="ART(§) – art. ustawy (§ np. rozporządzenia)"/>
    <w:uiPriority w:val="11"/>
    <w:qFormat/>
    <w:rsid w:val="005870D5"/>
    <w:pPr>
      <w:suppressAutoHyphens/>
      <w:autoSpaceDE w:val="0"/>
      <w:autoSpaceDN w:val="0"/>
      <w:adjustRightInd w:val="0"/>
      <w:spacing w:before="120" w:line="360" w:lineRule="auto"/>
      <w:ind w:firstLine="510"/>
      <w:jc w:val="both"/>
    </w:pPr>
    <w:rPr>
      <w:rFonts w:ascii="Times" w:eastAsiaTheme="minorEastAsia" w:hAnsi="Times" w:cs="Arial"/>
      <w:szCs w:val="20"/>
      <w:lang w:eastAsia="pl-PL"/>
    </w:rPr>
  </w:style>
  <w:style w:type="paragraph" w:customStyle="1" w:styleId="LITlitera">
    <w:name w:val="LIT – litera"/>
    <w:basedOn w:val="Normalny"/>
    <w:uiPriority w:val="14"/>
    <w:qFormat/>
    <w:rsid w:val="005870D5"/>
    <w:pPr>
      <w:spacing w:line="360" w:lineRule="auto"/>
      <w:ind w:left="986" w:hanging="476"/>
      <w:jc w:val="both"/>
    </w:pPr>
    <w:rPr>
      <w:rFonts w:ascii="Times" w:eastAsiaTheme="minorEastAsia" w:hAnsi="Times" w:cs="Arial"/>
      <w:bCs/>
      <w:szCs w:val="20"/>
      <w:lang w:eastAsia="pl-PL"/>
    </w:rPr>
  </w:style>
  <w:style w:type="paragraph" w:customStyle="1" w:styleId="CZWSPLITczwsplnaliter">
    <w:name w:val="CZ_WSP_LIT – część wspólna liter"/>
    <w:basedOn w:val="LITlitera"/>
    <w:next w:val="Normalny"/>
    <w:uiPriority w:val="17"/>
    <w:qFormat/>
    <w:rsid w:val="005870D5"/>
    <w:pPr>
      <w:ind w:left="510" w:firstLine="0"/>
    </w:pPr>
    <w:rPr>
      <w:szCs w:val="24"/>
    </w:rPr>
  </w:style>
  <w:style w:type="character" w:styleId="Odwoaniedokomentarza">
    <w:name w:val="annotation reference"/>
    <w:basedOn w:val="Domylnaczcionkaakapitu"/>
    <w:uiPriority w:val="99"/>
    <w:semiHidden/>
    <w:qFormat/>
    <w:rsid w:val="00FD72E1"/>
    <w:rPr>
      <w:sz w:val="16"/>
      <w:szCs w:val="16"/>
    </w:rPr>
  </w:style>
  <w:style w:type="paragraph" w:styleId="Tekstkomentarza">
    <w:name w:val="annotation text"/>
    <w:basedOn w:val="Normalny"/>
    <w:link w:val="TekstkomentarzaZnak"/>
    <w:uiPriority w:val="99"/>
    <w:qFormat/>
    <w:rsid w:val="00FD72E1"/>
    <w:pPr>
      <w:widowControl w:val="0"/>
      <w:autoSpaceDE w:val="0"/>
      <w:autoSpaceDN w:val="0"/>
      <w:adjustRightInd w:val="0"/>
      <w:spacing w:line="360" w:lineRule="auto"/>
    </w:pPr>
    <w:rPr>
      <w:rFonts w:ascii="Times" w:eastAsia="Times New Roman" w:hAnsi="Times" w:cs="Times New Roman"/>
      <w:lang w:eastAsia="pl-PL"/>
    </w:rPr>
  </w:style>
  <w:style w:type="character" w:customStyle="1" w:styleId="TekstkomentarzaZnak">
    <w:name w:val="Tekst komentarza Znak"/>
    <w:basedOn w:val="Domylnaczcionkaakapitu"/>
    <w:link w:val="Tekstkomentarza"/>
    <w:uiPriority w:val="99"/>
    <w:qFormat/>
    <w:rsid w:val="00FD72E1"/>
    <w:rPr>
      <w:rFonts w:ascii="Times" w:eastAsia="Times New Roman" w:hAnsi="Times" w:cs="Times New Roman"/>
      <w:lang w:eastAsia="pl-PL"/>
    </w:rPr>
  </w:style>
  <w:style w:type="paragraph" w:customStyle="1" w:styleId="USTustnpkodeksu">
    <w:name w:val="UST(§) – ust. (§ np. kodeksu)"/>
    <w:basedOn w:val="ARTartustawynprozporzdzenia"/>
    <w:uiPriority w:val="12"/>
    <w:qFormat/>
    <w:rsid w:val="00093E99"/>
    <w:pPr>
      <w:spacing w:before="0"/>
    </w:pPr>
    <w:rPr>
      <w:bCs/>
    </w:rPr>
  </w:style>
  <w:style w:type="paragraph" w:styleId="Nagwek">
    <w:name w:val="header"/>
    <w:basedOn w:val="Normalny"/>
    <w:link w:val="NagwekZnak"/>
    <w:uiPriority w:val="99"/>
    <w:unhideWhenUsed/>
    <w:rsid w:val="00EB7DB2"/>
    <w:pPr>
      <w:tabs>
        <w:tab w:val="center" w:pos="4536"/>
        <w:tab w:val="right" w:pos="9072"/>
      </w:tabs>
    </w:pPr>
  </w:style>
  <w:style w:type="character" w:customStyle="1" w:styleId="NagwekZnak">
    <w:name w:val="Nagłówek Znak"/>
    <w:basedOn w:val="Domylnaczcionkaakapitu"/>
    <w:link w:val="Nagwek"/>
    <w:uiPriority w:val="99"/>
    <w:rsid w:val="00EB7DB2"/>
  </w:style>
  <w:style w:type="paragraph" w:styleId="Stopka">
    <w:name w:val="footer"/>
    <w:basedOn w:val="Normalny"/>
    <w:link w:val="StopkaZnak"/>
    <w:uiPriority w:val="99"/>
    <w:unhideWhenUsed/>
    <w:rsid w:val="00EB7DB2"/>
    <w:pPr>
      <w:tabs>
        <w:tab w:val="center" w:pos="4536"/>
        <w:tab w:val="right" w:pos="9072"/>
      </w:tabs>
    </w:pPr>
  </w:style>
  <w:style w:type="character" w:customStyle="1" w:styleId="StopkaZnak">
    <w:name w:val="Stopka Znak"/>
    <w:basedOn w:val="Domylnaczcionkaakapitu"/>
    <w:link w:val="Stopka"/>
    <w:uiPriority w:val="99"/>
    <w:rsid w:val="00EB7DB2"/>
  </w:style>
  <w:style w:type="paragraph" w:styleId="Tekstdymka">
    <w:name w:val="Balloon Text"/>
    <w:basedOn w:val="Normalny"/>
    <w:link w:val="TekstdymkaZnak"/>
    <w:uiPriority w:val="99"/>
    <w:semiHidden/>
    <w:unhideWhenUsed/>
    <w:rsid w:val="005D1E7A"/>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1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9412F-4C31-4908-AEC5-CFA5CE0C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5968</Words>
  <Characters>35814</Characters>
  <Application>Microsoft Office Word</Application>
  <DocSecurity>4</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2025-09-01T13:42:00Z</dcterms:created>
  <dcterms:modified xsi:type="dcterms:W3CDTF">2025-09-01T13:42:00Z</dcterms:modified>
</cp:coreProperties>
</file>