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15" w:type="dxa"/>
        <w:tblInd w:w="-781" w:type="dxa"/>
        <w:tblLayout w:type="fixed"/>
        <w:tblCellMar>
          <w:left w:w="70" w:type="dxa"/>
          <w:right w:w="70" w:type="dxa"/>
        </w:tblCellMar>
        <w:tblLook w:val="04A0" w:firstRow="1" w:lastRow="0" w:firstColumn="1" w:lastColumn="0" w:noHBand="0" w:noVBand="1"/>
      </w:tblPr>
      <w:tblGrid>
        <w:gridCol w:w="4539"/>
        <w:gridCol w:w="5676"/>
      </w:tblGrid>
      <w:tr w:rsidR="00BA68EC" w14:paraId="384F4356" w14:textId="77777777" w:rsidTr="00BA68EC">
        <w:trPr>
          <w:trHeight w:val="997"/>
        </w:trPr>
        <w:tc>
          <w:tcPr>
            <w:tcW w:w="4537" w:type="dxa"/>
            <w:hideMark/>
          </w:tcPr>
          <w:p w14:paraId="5DE8840C" w14:textId="77777777" w:rsidR="00BA68EC" w:rsidRDefault="00BA68EC">
            <w:pPr>
              <w:ind w:left="23" w:hanging="23"/>
              <w:jc w:val="center"/>
              <w:rPr>
                <w:rFonts w:ascii="Garamond" w:hAnsi="Garamond"/>
                <w:b/>
                <w:sz w:val="22"/>
              </w:rPr>
            </w:pPr>
            <w:r>
              <w:br w:type="page"/>
            </w:r>
            <w:r>
              <w:rPr>
                <w:b/>
                <w:sz w:val="44"/>
                <w:u w:val="single"/>
              </w:rPr>
              <w:br w:type="page"/>
            </w:r>
            <w:r>
              <w:rPr>
                <w:b/>
                <w:sz w:val="30"/>
              </w:rPr>
              <w:br w:type="page"/>
            </w:r>
            <w:r>
              <w:br w:type="page"/>
            </w:r>
            <w:r>
              <w:rPr>
                <w:b/>
                <w:noProof/>
                <w:sz w:val="22"/>
              </w:rPr>
              <w:drawing>
                <wp:inline distT="0" distB="0" distL="0" distR="0" wp14:anchorId="11C63307" wp14:editId="7BA052A1">
                  <wp:extent cx="657225" cy="68580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225" cy="685800"/>
                          </a:xfrm>
                          <a:prstGeom prst="rect">
                            <a:avLst/>
                          </a:prstGeom>
                          <a:noFill/>
                          <a:ln>
                            <a:noFill/>
                          </a:ln>
                        </pic:spPr>
                      </pic:pic>
                    </a:graphicData>
                  </a:graphic>
                </wp:inline>
              </w:drawing>
            </w:r>
          </w:p>
        </w:tc>
        <w:tc>
          <w:tcPr>
            <w:tcW w:w="5674" w:type="dxa"/>
          </w:tcPr>
          <w:p w14:paraId="3C1EA4C4" w14:textId="77777777" w:rsidR="00BA68EC" w:rsidRDefault="00BA68EC">
            <w:pPr>
              <w:jc w:val="right"/>
              <w:rPr>
                <w:sz w:val="26"/>
              </w:rPr>
            </w:pPr>
          </w:p>
          <w:p w14:paraId="7EA3B5F6" w14:textId="3FD7837A" w:rsidR="00BA68EC" w:rsidRDefault="00F80CBD" w:rsidP="00F80CBD">
            <w:pPr>
              <w:jc w:val="center"/>
              <w:rPr>
                <w:b/>
                <w:sz w:val="44"/>
                <w:u w:val="single"/>
              </w:rPr>
            </w:pPr>
            <w:r w:rsidRPr="00F80CBD">
              <w:rPr>
                <w:b/>
                <w:sz w:val="44"/>
              </w:rPr>
              <w:t xml:space="preserve">               </w:t>
            </w:r>
            <w:r w:rsidR="00BA68EC">
              <w:rPr>
                <w:b/>
                <w:sz w:val="44"/>
                <w:u w:val="single"/>
              </w:rPr>
              <w:t>Druk nr</w:t>
            </w:r>
            <w:r w:rsidR="00F51173">
              <w:rPr>
                <w:b/>
                <w:sz w:val="44"/>
                <w:u w:val="single"/>
              </w:rPr>
              <w:t xml:space="preserve"> 1</w:t>
            </w:r>
            <w:r w:rsidR="00EA1035">
              <w:rPr>
                <w:b/>
                <w:sz w:val="44"/>
                <w:u w:val="single"/>
              </w:rPr>
              <w:t>687</w:t>
            </w:r>
            <w:r w:rsidR="004E7DD6">
              <w:rPr>
                <w:b/>
                <w:sz w:val="44"/>
                <w:u w:val="single"/>
              </w:rPr>
              <w:t>-A</w:t>
            </w:r>
            <w:r w:rsidR="00BA68EC">
              <w:rPr>
                <w:b/>
                <w:sz w:val="44"/>
                <w:u w:val="single"/>
              </w:rPr>
              <w:t xml:space="preserve">   </w:t>
            </w:r>
          </w:p>
          <w:p w14:paraId="69889880" w14:textId="77777777" w:rsidR="00BA68EC" w:rsidRDefault="00BA68EC">
            <w:pPr>
              <w:tabs>
                <w:tab w:val="center" w:pos="-851"/>
                <w:tab w:val="center" w:pos="1843"/>
                <w:tab w:val="center" w:pos="7088"/>
              </w:tabs>
              <w:ind w:left="60"/>
              <w:jc w:val="right"/>
              <w:rPr>
                <w:sz w:val="26"/>
              </w:rPr>
            </w:pPr>
          </w:p>
        </w:tc>
      </w:tr>
      <w:tr w:rsidR="00BA68EC" w14:paraId="636C7D7C" w14:textId="77777777" w:rsidTr="00BA68EC">
        <w:trPr>
          <w:trHeight w:val="695"/>
        </w:trPr>
        <w:tc>
          <w:tcPr>
            <w:tcW w:w="4537" w:type="dxa"/>
            <w:hideMark/>
          </w:tcPr>
          <w:p w14:paraId="53D7161A" w14:textId="77777777" w:rsidR="00BA68EC" w:rsidRDefault="00BA68EC">
            <w:pPr>
              <w:jc w:val="center"/>
              <w:rPr>
                <w:rFonts w:ascii="Garamond" w:hAnsi="Garamond"/>
                <w:spacing w:val="20"/>
                <w:sz w:val="26"/>
              </w:rPr>
            </w:pPr>
            <w:r>
              <w:rPr>
                <w:rFonts w:ascii="Garamond" w:hAnsi="Garamond"/>
                <w:spacing w:val="20"/>
                <w:sz w:val="26"/>
              </w:rPr>
              <w:t>SEJM</w:t>
            </w:r>
          </w:p>
          <w:p w14:paraId="7D77D7CE" w14:textId="77777777" w:rsidR="00BA68EC" w:rsidRDefault="00BA68EC">
            <w:pPr>
              <w:jc w:val="center"/>
              <w:rPr>
                <w:spacing w:val="20"/>
                <w:sz w:val="26"/>
              </w:rPr>
            </w:pPr>
            <w:r>
              <w:rPr>
                <w:rFonts w:ascii="Garamond" w:hAnsi="Garamond"/>
                <w:spacing w:val="20"/>
                <w:sz w:val="26"/>
              </w:rPr>
              <w:t>RZECZYPOSPOLITEJ POLSKIEJ</w:t>
            </w:r>
          </w:p>
        </w:tc>
        <w:tc>
          <w:tcPr>
            <w:tcW w:w="5674" w:type="dxa"/>
          </w:tcPr>
          <w:p w14:paraId="799EFD68" w14:textId="77777777" w:rsidR="00BA68EC" w:rsidRDefault="00BA68EC">
            <w:pPr>
              <w:rPr>
                <w:sz w:val="26"/>
              </w:rPr>
            </w:pPr>
          </w:p>
        </w:tc>
      </w:tr>
    </w:tbl>
    <w:p w14:paraId="002C3E36" w14:textId="53482DF6" w:rsidR="00126216" w:rsidRPr="00116E40" w:rsidRDefault="003E5A3F" w:rsidP="00116E40">
      <w:pPr>
        <w:pStyle w:val="Nagwek1"/>
        <w:ind w:left="-900" w:right="5292"/>
        <w:rPr>
          <w:b/>
          <w:sz w:val="24"/>
        </w:rPr>
      </w:pPr>
      <w:r>
        <w:rPr>
          <w:b/>
          <w:sz w:val="24"/>
        </w:rPr>
        <w:t>X</w:t>
      </w:r>
      <w:r w:rsidR="00BA68EC">
        <w:rPr>
          <w:b/>
          <w:sz w:val="24"/>
        </w:rPr>
        <w:t xml:space="preserve"> kadencja</w:t>
      </w:r>
    </w:p>
    <w:p w14:paraId="6F3ADB41" w14:textId="77777777" w:rsidR="008B0093" w:rsidRDefault="008B0093" w:rsidP="00BA68EC">
      <w:pPr>
        <w:rPr>
          <w:sz w:val="24"/>
        </w:rPr>
      </w:pPr>
    </w:p>
    <w:p w14:paraId="3FFA318B" w14:textId="752EA0A5" w:rsidR="00BA68EC" w:rsidRDefault="004E7DD6" w:rsidP="00BA68EC">
      <w:pPr>
        <w:spacing w:line="360" w:lineRule="auto"/>
        <w:jc w:val="center"/>
        <w:rPr>
          <w:b/>
          <w:caps/>
          <w:spacing w:val="78"/>
          <w:sz w:val="24"/>
        </w:rPr>
      </w:pPr>
      <w:r>
        <w:rPr>
          <w:b/>
          <w:caps/>
          <w:spacing w:val="78"/>
          <w:sz w:val="24"/>
        </w:rPr>
        <w:t xml:space="preserve">   DODATKOWE </w:t>
      </w:r>
      <w:r w:rsidR="00BA68EC">
        <w:rPr>
          <w:b/>
          <w:caps/>
          <w:spacing w:val="78"/>
          <w:sz w:val="24"/>
        </w:rPr>
        <w:t xml:space="preserve">Sprawozdanie </w:t>
      </w:r>
    </w:p>
    <w:p w14:paraId="05EAF80E" w14:textId="1318112F" w:rsidR="00126216" w:rsidRDefault="00BA68EC" w:rsidP="00116E40">
      <w:pPr>
        <w:pStyle w:val="tyt"/>
        <w:keepNext w:val="0"/>
        <w:spacing w:before="0" w:after="0"/>
        <w:ind w:left="540"/>
        <w:rPr>
          <w:caps/>
        </w:rPr>
      </w:pPr>
      <w:r>
        <w:rPr>
          <w:caps/>
        </w:rPr>
        <w:t>Komisji Administracji i Spraw WewnĘtrznych</w:t>
      </w:r>
    </w:p>
    <w:p w14:paraId="6CB73459" w14:textId="3FDB44A1" w:rsidR="0087244F" w:rsidRPr="0087244F" w:rsidRDefault="00BA68EC" w:rsidP="00755E29">
      <w:pPr>
        <w:pStyle w:val="Tekstpodstawowywcity"/>
        <w:spacing w:before="120"/>
        <w:ind w:left="360" w:right="252" w:firstLine="0"/>
        <w:rPr>
          <w:b/>
          <w:sz w:val="44"/>
        </w:rPr>
      </w:pPr>
      <w:r>
        <w:rPr>
          <w:b/>
          <w:sz w:val="44"/>
        </w:rPr>
        <w:t xml:space="preserve">o </w:t>
      </w:r>
      <w:r w:rsidR="00791813">
        <w:rPr>
          <w:b/>
          <w:sz w:val="44"/>
        </w:rPr>
        <w:t>rządowym</w:t>
      </w:r>
      <w:r w:rsidR="003E5A3F">
        <w:rPr>
          <w:b/>
          <w:sz w:val="44"/>
        </w:rPr>
        <w:t xml:space="preserve"> p</w:t>
      </w:r>
      <w:r>
        <w:rPr>
          <w:b/>
          <w:sz w:val="44"/>
        </w:rPr>
        <w:t xml:space="preserve">rojekcie ustawy </w:t>
      </w:r>
      <w:r w:rsidR="00791813">
        <w:rPr>
          <w:b/>
          <w:sz w:val="44"/>
        </w:rPr>
        <w:t xml:space="preserve">o </w:t>
      </w:r>
      <w:r w:rsidR="0087244F" w:rsidRPr="0087244F">
        <w:rPr>
          <w:b/>
          <w:sz w:val="44"/>
        </w:rPr>
        <w:t xml:space="preserve"> zmianie niektórych ustaw w związku z określeniem zasad zakwaterowania funkcjonariuszy Policji, Straży Granicznej, Państwowej Straży Pożarnej, Agencji Bezpieczeństwa Wewnętrznego, Agencji Wywiadu, Służby Kontrwywiadu Wojskowego, Służby Wywiadu Wojskowego, Służby Ochrony Państwa oraz poprawy niektórych warunków pełnienia służby (druk nr 1623)</w:t>
      </w:r>
    </w:p>
    <w:p w14:paraId="41D4F208" w14:textId="77777777" w:rsidR="008B0093" w:rsidRDefault="008B0093" w:rsidP="00AD3C73">
      <w:pPr>
        <w:pStyle w:val="Tekstpodstawowywcity"/>
        <w:spacing w:before="120" w:line="360" w:lineRule="auto"/>
        <w:ind w:firstLine="0"/>
      </w:pPr>
    </w:p>
    <w:p w14:paraId="2155F7A6" w14:textId="61C56E2F" w:rsidR="00BA68EC" w:rsidRDefault="00AD7B6E" w:rsidP="00CE2C4D">
      <w:pPr>
        <w:pStyle w:val="Tekstpodstawowywcity"/>
        <w:tabs>
          <w:tab w:val="center" w:pos="1134"/>
          <w:tab w:val="center" w:pos="7088"/>
        </w:tabs>
        <w:spacing w:line="360" w:lineRule="auto"/>
        <w:ind w:firstLine="426"/>
      </w:pPr>
      <w:r>
        <w:t xml:space="preserve">Sejm na </w:t>
      </w:r>
      <w:r w:rsidR="0087244F">
        <w:t>40</w:t>
      </w:r>
      <w:r w:rsidR="00BA68EC">
        <w:t xml:space="preserve">. posiedzeniu w dniu </w:t>
      </w:r>
      <w:r w:rsidR="0087244F">
        <w:t>11 września</w:t>
      </w:r>
      <w:r w:rsidR="007709B8">
        <w:t xml:space="preserve"> </w:t>
      </w:r>
      <w:r w:rsidR="00BA68EC">
        <w:t>20</w:t>
      </w:r>
      <w:r w:rsidR="003E5A3F">
        <w:t>2</w:t>
      </w:r>
      <w:r w:rsidR="007709B8">
        <w:t>5</w:t>
      </w:r>
      <w:r w:rsidR="00BA68EC">
        <w:t xml:space="preserve"> r.</w:t>
      </w:r>
      <w:r w:rsidR="007709B8">
        <w:t xml:space="preserve">, zgodnie z </w:t>
      </w:r>
      <w:r w:rsidR="00BA68EC">
        <w:t xml:space="preserve">art. </w:t>
      </w:r>
      <w:r w:rsidR="004E7DD6">
        <w:t>47</w:t>
      </w:r>
      <w:r w:rsidR="00BA68EC">
        <w:t xml:space="preserve"> ust. </w:t>
      </w:r>
      <w:r w:rsidR="004E7DD6">
        <w:t>1</w:t>
      </w:r>
      <w:r w:rsidR="00BA68EC">
        <w:t xml:space="preserve"> regulaminu Sejmu</w:t>
      </w:r>
      <w:r w:rsidR="004E7DD6">
        <w:t>,</w:t>
      </w:r>
      <w:r w:rsidR="00BA68EC">
        <w:t xml:space="preserve"> skierował p</w:t>
      </w:r>
      <w:r w:rsidR="004E7DD6">
        <w:t>onownie</w:t>
      </w:r>
      <w:r w:rsidR="00BA68EC">
        <w:t xml:space="preserve"> projekt ustawy </w:t>
      </w:r>
      <w:r w:rsidR="004E7DD6">
        <w:t>zawarty w druku nr 1</w:t>
      </w:r>
      <w:r w:rsidR="0087244F">
        <w:t>687</w:t>
      </w:r>
      <w:r w:rsidR="004E7DD6">
        <w:t xml:space="preserve"> </w:t>
      </w:r>
      <w:r w:rsidR="00BA68EC">
        <w:t>do Komisji Administracji i Spraw Wewnętrznych w celu rozpatrzenia</w:t>
      </w:r>
      <w:r w:rsidR="004E7DD6">
        <w:t xml:space="preserve">  poprawek zgłoszonych w drugim czytaniu.</w:t>
      </w:r>
    </w:p>
    <w:p w14:paraId="784C4286" w14:textId="20E5A8C5" w:rsidR="00BA68EC" w:rsidRDefault="00BA68EC" w:rsidP="00CE2C4D">
      <w:pPr>
        <w:tabs>
          <w:tab w:val="center" w:pos="2268"/>
          <w:tab w:val="center" w:pos="6804"/>
        </w:tabs>
        <w:spacing w:line="360" w:lineRule="auto"/>
        <w:ind w:firstLine="426"/>
        <w:jc w:val="both"/>
        <w:rPr>
          <w:sz w:val="24"/>
          <w:szCs w:val="24"/>
        </w:rPr>
      </w:pPr>
      <w:r>
        <w:rPr>
          <w:sz w:val="24"/>
          <w:szCs w:val="24"/>
        </w:rPr>
        <w:t>Komisja Administracji i Spraw Wewnętrznych po rozpatrzeniu</w:t>
      </w:r>
      <w:r w:rsidR="004E7DD6">
        <w:rPr>
          <w:sz w:val="24"/>
          <w:szCs w:val="24"/>
        </w:rPr>
        <w:t xml:space="preserve"> poprawek </w:t>
      </w:r>
      <w:r>
        <w:rPr>
          <w:sz w:val="24"/>
          <w:szCs w:val="24"/>
        </w:rPr>
        <w:t xml:space="preserve">na posiedzeniu w dniu </w:t>
      </w:r>
      <w:r w:rsidR="0087244F">
        <w:rPr>
          <w:sz w:val="24"/>
          <w:szCs w:val="24"/>
        </w:rPr>
        <w:t>12 września</w:t>
      </w:r>
      <w:r w:rsidR="00F80CBD">
        <w:rPr>
          <w:sz w:val="24"/>
          <w:szCs w:val="24"/>
        </w:rPr>
        <w:t xml:space="preserve"> </w:t>
      </w:r>
      <w:r>
        <w:rPr>
          <w:sz w:val="24"/>
          <w:szCs w:val="24"/>
        </w:rPr>
        <w:t>20</w:t>
      </w:r>
      <w:r w:rsidR="003E5A3F">
        <w:rPr>
          <w:sz w:val="24"/>
          <w:szCs w:val="24"/>
        </w:rPr>
        <w:t>2</w:t>
      </w:r>
      <w:r w:rsidR="007709B8">
        <w:rPr>
          <w:sz w:val="24"/>
          <w:szCs w:val="24"/>
        </w:rPr>
        <w:t>5</w:t>
      </w:r>
      <w:r>
        <w:rPr>
          <w:sz w:val="24"/>
          <w:szCs w:val="24"/>
        </w:rPr>
        <w:t xml:space="preserve"> r. </w:t>
      </w:r>
    </w:p>
    <w:p w14:paraId="178D6886" w14:textId="6E1388EA" w:rsidR="00126216" w:rsidRPr="00AD3C73" w:rsidRDefault="00BA68EC" w:rsidP="00D02D90">
      <w:pPr>
        <w:spacing w:before="240"/>
        <w:ind w:firstLine="426"/>
        <w:rPr>
          <w:sz w:val="24"/>
        </w:rPr>
      </w:pPr>
      <w:r>
        <w:rPr>
          <w:sz w:val="24"/>
        </w:rPr>
        <w:t>wnosi:</w:t>
      </w:r>
    </w:p>
    <w:p w14:paraId="412E170D" w14:textId="1B20D77B" w:rsidR="00DC19CC" w:rsidRDefault="00BA68EC" w:rsidP="00DC19CC">
      <w:pPr>
        <w:spacing w:before="240"/>
        <w:ind w:left="426" w:right="-425"/>
        <w:rPr>
          <w:sz w:val="24"/>
        </w:rPr>
      </w:pPr>
      <w:r w:rsidRPr="007E5708">
        <w:rPr>
          <w:bCs/>
          <w:sz w:val="24"/>
        </w:rPr>
        <w:t>W y s o k i   S e j m</w:t>
      </w:r>
      <w:r>
        <w:rPr>
          <w:sz w:val="24"/>
        </w:rPr>
        <w:t xml:space="preserve"> </w:t>
      </w:r>
      <w:r w:rsidR="004E7DD6">
        <w:rPr>
          <w:sz w:val="24"/>
        </w:rPr>
        <w:t xml:space="preserve"> </w:t>
      </w:r>
      <w:r>
        <w:rPr>
          <w:sz w:val="24"/>
        </w:rPr>
        <w:t>raczy</w:t>
      </w:r>
      <w:r w:rsidR="004E7DD6">
        <w:rPr>
          <w:sz w:val="24"/>
        </w:rPr>
        <w:t xml:space="preserve"> </w:t>
      </w:r>
      <w:r w:rsidR="006D40C9">
        <w:rPr>
          <w:sz w:val="24"/>
        </w:rPr>
        <w:t xml:space="preserve">następujące </w:t>
      </w:r>
      <w:r w:rsidR="004E7DD6">
        <w:rPr>
          <w:sz w:val="24"/>
        </w:rPr>
        <w:t>poprawki:</w:t>
      </w:r>
    </w:p>
    <w:p w14:paraId="0C98558A" w14:textId="77777777" w:rsidR="00DC19CC" w:rsidRDefault="00DC19CC" w:rsidP="00DC19CC">
      <w:pPr>
        <w:spacing w:before="240"/>
        <w:ind w:left="426" w:right="-425"/>
        <w:rPr>
          <w:sz w:val="24"/>
        </w:rPr>
      </w:pPr>
    </w:p>
    <w:p w14:paraId="3076474D" w14:textId="77777777" w:rsidR="00DC19CC" w:rsidRDefault="00DC19CC" w:rsidP="00DC19CC">
      <w:pPr>
        <w:spacing w:before="240"/>
        <w:ind w:left="426" w:right="-425"/>
        <w:rPr>
          <w:sz w:val="24"/>
        </w:rPr>
      </w:pPr>
    </w:p>
    <w:p w14:paraId="70AB973D" w14:textId="77777777" w:rsidR="00DC19CC" w:rsidRPr="00DC19CC" w:rsidRDefault="00DC19CC" w:rsidP="00DC19CC">
      <w:pPr>
        <w:spacing w:before="240"/>
        <w:ind w:left="426" w:right="-425"/>
        <w:rPr>
          <w:sz w:val="24"/>
        </w:rPr>
      </w:pPr>
      <w:r w:rsidRPr="00DC19CC">
        <w:rPr>
          <w:sz w:val="24"/>
        </w:rPr>
        <w:t>1)</w:t>
      </w:r>
      <w:r w:rsidRPr="00DC19CC">
        <w:rPr>
          <w:sz w:val="24"/>
        </w:rPr>
        <w:tab/>
        <w:t>w art. 1 w pkt 7, w art. 93 ust. 4  nadać brzmienie:</w:t>
      </w:r>
    </w:p>
    <w:p w14:paraId="01D5F913" w14:textId="77777777" w:rsidR="00DC19CC" w:rsidRPr="00DC19CC" w:rsidRDefault="00DC19CC" w:rsidP="00DC19CC">
      <w:pPr>
        <w:spacing w:before="240"/>
        <w:ind w:left="426" w:right="-425"/>
        <w:rPr>
          <w:sz w:val="24"/>
        </w:rPr>
      </w:pPr>
      <w:r w:rsidRPr="00DC19CC">
        <w:rPr>
          <w:sz w:val="24"/>
        </w:rPr>
        <w:t>„4. Zryczałtowany zwrot kosztów dojazdu policjanta, o którym mowa w ust. 1, do miejscowości, w której pełni służbę, przysługuje od dnia złożenia wniosku.”;</w:t>
      </w:r>
    </w:p>
    <w:p w14:paraId="08C0EF66" w14:textId="77777777" w:rsidR="00DC19CC" w:rsidRDefault="00DC19CC" w:rsidP="00DC19CC">
      <w:pPr>
        <w:spacing w:before="240"/>
        <w:ind w:left="426" w:right="-425"/>
        <w:rPr>
          <w:sz w:val="24"/>
        </w:rPr>
      </w:pPr>
    </w:p>
    <w:p w14:paraId="68DAA08E" w14:textId="77777777" w:rsidR="00DC19CC" w:rsidRPr="00DC19CC" w:rsidRDefault="00DC19CC" w:rsidP="00DC19CC">
      <w:pPr>
        <w:spacing w:before="240"/>
        <w:ind w:left="426" w:right="-425"/>
        <w:rPr>
          <w:sz w:val="24"/>
        </w:rPr>
      </w:pPr>
    </w:p>
    <w:p w14:paraId="3DBF1045" w14:textId="72E8FA4A" w:rsidR="00DC19CC" w:rsidRPr="00DC19CC" w:rsidRDefault="00DC19CC" w:rsidP="00C85ED2">
      <w:pPr>
        <w:spacing w:before="240"/>
        <w:ind w:left="426" w:right="-425"/>
        <w:rPr>
          <w:i/>
          <w:iCs/>
          <w:sz w:val="24"/>
        </w:rPr>
      </w:pPr>
      <w:r w:rsidRPr="00DC19CC">
        <w:rPr>
          <w:i/>
          <w:iCs/>
          <w:sz w:val="24"/>
        </w:rPr>
        <w:lastRenderedPageBreak/>
        <w:t>Uwaga: Powyższą poprawkę należy uwzględnić odpowiednio w art. 2, art. 4, art. 6, art. 8 i art. 9.</w:t>
      </w:r>
    </w:p>
    <w:p w14:paraId="65DFF643" w14:textId="77777777" w:rsidR="00DC19CC" w:rsidRPr="00DC19CC" w:rsidRDefault="00DC19CC" w:rsidP="00DC19CC">
      <w:pPr>
        <w:spacing w:before="240"/>
        <w:ind w:left="426" w:right="-425"/>
        <w:rPr>
          <w:b/>
          <w:bCs/>
          <w:sz w:val="24"/>
        </w:rPr>
      </w:pPr>
      <w:r w:rsidRPr="00DC19CC">
        <w:rPr>
          <w:b/>
          <w:bCs/>
          <w:sz w:val="24"/>
        </w:rPr>
        <w:t>– KP KO</w:t>
      </w:r>
    </w:p>
    <w:p w14:paraId="5BF76851" w14:textId="77777777" w:rsidR="00DC19CC" w:rsidRPr="00DC19CC" w:rsidRDefault="00DC19CC" w:rsidP="00C85ED2">
      <w:pPr>
        <w:spacing w:before="240"/>
        <w:ind w:left="7080" w:right="-425" w:firstLine="708"/>
        <w:rPr>
          <w:b/>
          <w:bCs/>
          <w:sz w:val="24"/>
        </w:rPr>
      </w:pPr>
      <w:r w:rsidRPr="00DC19CC">
        <w:rPr>
          <w:b/>
          <w:bCs/>
          <w:sz w:val="24"/>
        </w:rPr>
        <w:t>– przyjąć</w:t>
      </w:r>
    </w:p>
    <w:p w14:paraId="3D69CE8E" w14:textId="77777777" w:rsidR="00DC19CC" w:rsidRPr="00DC19CC" w:rsidRDefault="00DC19CC" w:rsidP="00DC19CC">
      <w:pPr>
        <w:spacing w:before="240"/>
        <w:ind w:left="426" w:right="-425"/>
        <w:rPr>
          <w:sz w:val="24"/>
        </w:rPr>
      </w:pPr>
    </w:p>
    <w:p w14:paraId="1F260357" w14:textId="77777777" w:rsidR="00DC19CC" w:rsidRPr="00DC19CC" w:rsidRDefault="00DC19CC" w:rsidP="00DC19CC">
      <w:pPr>
        <w:spacing w:before="240"/>
        <w:ind w:left="426" w:right="-425"/>
        <w:rPr>
          <w:sz w:val="24"/>
        </w:rPr>
      </w:pPr>
      <w:r w:rsidRPr="00DC19CC">
        <w:rPr>
          <w:sz w:val="24"/>
        </w:rPr>
        <w:t>2)</w:t>
      </w:r>
      <w:r w:rsidRPr="00DC19CC">
        <w:rPr>
          <w:sz w:val="24"/>
        </w:rPr>
        <w:tab/>
        <w:t xml:space="preserve">w art. 6 w pkt 6, w art. 107 ust. 11 nadać brzmienie: </w:t>
      </w:r>
    </w:p>
    <w:p w14:paraId="0B5E0F13" w14:textId="6ED6CEB5" w:rsidR="00DC19CC" w:rsidRPr="00DC19CC" w:rsidRDefault="00DC19CC" w:rsidP="00C85ED2">
      <w:pPr>
        <w:spacing w:before="240"/>
        <w:ind w:left="426" w:right="-425"/>
        <w:rPr>
          <w:sz w:val="24"/>
        </w:rPr>
      </w:pPr>
      <w:r w:rsidRPr="00DC19CC">
        <w:rPr>
          <w:sz w:val="24"/>
        </w:rPr>
        <w:t>„11. Prezes Rady Ministrów określi, w drodze rozporządzeń, odrębnie dla każdej Agencji, wzór oraz formę wniosku o wypłatę zryczałtowanego zwrotu kosztów dojazdu do miejscowości, w której funkcjonariusz pełni służbę, uwzględniając konieczność zapewnienia przejrzystości i efektywności przebiegu procesu przyznania funkcjonariuszowi zwrotu kosztów dojazdu do miejscowości, w której funkcjonariusz pełni służbę.”;</w:t>
      </w:r>
    </w:p>
    <w:p w14:paraId="327508F8" w14:textId="77777777" w:rsidR="00DC19CC" w:rsidRPr="00DC19CC" w:rsidRDefault="00DC19CC" w:rsidP="00DC19CC">
      <w:pPr>
        <w:spacing w:before="240"/>
        <w:ind w:left="426" w:right="-425"/>
        <w:rPr>
          <w:b/>
          <w:bCs/>
          <w:sz w:val="24"/>
        </w:rPr>
      </w:pPr>
      <w:r w:rsidRPr="00DC19CC">
        <w:rPr>
          <w:b/>
          <w:bCs/>
          <w:sz w:val="24"/>
        </w:rPr>
        <w:t>– KP KO</w:t>
      </w:r>
    </w:p>
    <w:p w14:paraId="4EE5ED5B" w14:textId="77777777" w:rsidR="00DC19CC" w:rsidRPr="00DC19CC" w:rsidRDefault="00DC19CC" w:rsidP="00C85ED2">
      <w:pPr>
        <w:spacing w:before="240"/>
        <w:ind w:left="7080" w:right="-425" w:firstLine="708"/>
        <w:rPr>
          <w:b/>
          <w:bCs/>
          <w:sz w:val="24"/>
        </w:rPr>
      </w:pPr>
      <w:r w:rsidRPr="00DC19CC">
        <w:rPr>
          <w:b/>
          <w:bCs/>
          <w:sz w:val="24"/>
        </w:rPr>
        <w:t>– przyjąć</w:t>
      </w:r>
    </w:p>
    <w:p w14:paraId="65CF9F09" w14:textId="77777777" w:rsidR="00DC19CC" w:rsidRPr="00DC19CC" w:rsidRDefault="00DC19CC" w:rsidP="00DC19CC">
      <w:pPr>
        <w:spacing w:before="240"/>
        <w:ind w:left="426" w:right="-425"/>
        <w:rPr>
          <w:sz w:val="24"/>
        </w:rPr>
      </w:pPr>
    </w:p>
    <w:p w14:paraId="69151A72" w14:textId="77777777" w:rsidR="00DC19CC" w:rsidRPr="00DC19CC" w:rsidRDefault="00DC19CC" w:rsidP="00DC19CC">
      <w:pPr>
        <w:spacing w:before="240"/>
        <w:ind w:left="426" w:right="-425"/>
        <w:rPr>
          <w:sz w:val="24"/>
        </w:rPr>
      </w:pPr>
      <w:r w:rsidRPr="00DC19CC">
        <w:rPr>
          <w:sz w:val="24"/>
        </w:rPr>
        <w:t>3)</w:t>
      </w:r>
      <w:r w:rsidRPr="00DC19CC">
        <w:rPr>
          <w:sz w:val="24"/>
        </w:rPr>
        <w:tab/>
        <w:t>art. 7 nadać brzmienie:</w:t>
      </w:r>
    </w:p>
    <w:p w14:paraId="69A4831E" w14:textId="77777777" w:rsidR="00DC19CC" w:rsidRPr="00DC19CC" w:rsidRDefault="00DC19CC" w:rsidP="00DC19CC">
      <w:pPr>
        <w:spacing w:before="240"/>
        <w:ind w:left="426" w:right="-425"/>
        <w:rPr>
          <w:sz w:val="24"/>
        </w:rPr>
      </w:pPr>
      <w:r w:rsidRPr="00DC19CC">
        <w:rPr>
          <w:sz w:val="24"/>
        </w:rPr>
        <w:t>„Art. 7. W ustawie z dnia 9 czerwca 2006 r. o Służbie Kontrwywiadu Wojskowego oraz Służbie Wywiadu Wojskowego (Dz. U. z 2024 r. poz. 1405 oraz z 2025 r. poz. 179) w art. 23 dotychczasową treść oznacza się jako ust. 1 i dodaje się ust. 2 w brzmieniu:</w:t>
      </w:r>
    </w:p>
    <w:p w14:paraId="2C83DC7E" w14:textId="41C4F043" w:rsidR="00DC19CC" w:rsidRPr="00DC19CC" w:rsidRDefault="00DC19CC" w:rsidP="00C85ED2">
      <w:pPr>
        <w:spacing w:before="240"/>
        <w:ind w:left="426" w:right="-425"/>
        <w:rPr>
          <w:sz w:val="24"/>
        </w:rPr>
      </w:pPr>
      <w:r w:rsidRPr="00DC19CC">
        <w:rPr>
          <w:sz w:val="24"/>
        </w:rPr>
        <w:t>„2. Pracownicy SKW i SWW mogą korzystać z kwatery internatowej albo miejsca w internacie. Przepisy art. 62 ust. 4–7 i 12 oraz art. 62a ustawy z dnia 9 czerwca 2006 r. o służbie funkcjonariuszy Służby Kontrwywiadu Wojskowego oraz Służby Wywiadu Wojskowego (Dz. U. z 2025 r. poz. 694, 718 i …) stosuje się odpowiednio.”.”;</w:t>
      </w:r>
    </w:p>
    <w:p w14:paraId="59AE8585" w14:textId="77777777" w:rsidR="00DC19CC" w:rsidRPr="00DC19CC" w:rsidRDefault="00DC19CC" w:rsidP="00DC19CC">
      <w:pPr>
        <w:spacing w:before="240"/>
        <w:ind w:left="426" w:right="-425"/>
        <w:rPr>
          <w:b/>
          <w:bCs/>
          <w:sz w:val="24"/>
        </w:rPr>
      </w:pPr>
      <w:r w:rsidRPr="00DC19CC">
        <w:rPr>
          <w:b/>
          <w:bCs/>
          <w:sz w:val="24"/>
        </w:rPr>
        <w:t>– KP KO</w:t>
      </w:r>
    </w:p>
    <w:p w14:paraId="17451E8E" w14:textId="77777777" w:rsidR="00DC19CC" w:rsidRPr="00DC19CC" w:rsidRDefault="00DC19CC" w:rsidP="00C85ED2">
      <w:pPr>
        <w:spacing w:before="240"/>
        <w:ind w:left="7506" w:right="-425" w:firstLine="282"/>
        <w:rPr>
          <w:b/>
          <w:bCs/>
          <w:sz w:val="24"/>
        </w:rPr>
      </w:pPr>
      <w:r w:rsidRPr="00DC19CC">
        <w:rPr>
          <w:b/>
          <w:bCs/>
          <w:sz w:val="24"/>
        </w:rPr>
        <w:t>– przyjąć</w:t>
      </w:r>
    </w:p>
    <w:p w14:paraId="51B1DBE4" w14:textId="77777777" w:rsidR="00DC19CC" w:rsidRPr="00DC19CC" w:rsidRDefault="00DC19CC" w:rsidP="00DC19CC">
      <w:pPr>
        <w:spacing w:before="240"/>
        <w:ind w:left="426" w:right="-425"/>
        <w:rPr>
          <w:sz w:val="24"/>
        </w:rPr>
      </w:pPr>
      <w:r w:rsidRPr="00DC19CC">
        <w:rPr>
          <w:sz w:val="24"/>
        </w:rPr>
        <w:t>4)</w:t>
      </w:r>
      <w:r w:rsidRPr="00DC19CC">
        <w:rPr>
          <w:sz w:val="24"/>
        </w:rPr>
        <w:tab/>
        <w:t>w art. 8 w pkt 3, w art. 62a ust. 1 nadać brzmienie:</w:t>
      </w:r>
    </w:p>
    <w:p w14:paraId="2F4D9D69" w14:textId="77777777" w:rsidR="00DC19CC" w:rsidRPr="00DC19CC" w:rsidRDefault="00DC19CC" w:rsidP="00DC19CC">
      <w:pPr>
        <w:spacing w:before="240"/>
        <w:ind w:left="426" w:right="-425"/>
        <w:rPr>
          <w:sz w:val="24"/>
        </w:rPr>
      </w:pPr>
      <w:r w:rsidRPr="00DC19CC">
        <w:rPr>
          <w:sz w:val="24"/>
        </w:rPr>
        <w:t>„1. Podmiotami właściwymi w sprawach zakwaterowania są:</w:t>
      </w:r>
    </w:p>
    <w:p w14:paraId="4F9C87FB" w14:textId="77777777" w:rsidR="00DC19CC" w:rsidRPr="00DC19CC" w:rsidRDefault="00DC19CC" w:rsidP="00DC19CC">
      <w:pPr>
        <w:spacing w:before="240"/>
        <w:ind w:left="426" w:right="-425"/>
        <w:rPr>
          <w:sz w:val="24"/>
        </w:rPr>
      </w:pPr>
      <w:r w:rsidRPr="00DC19CC">
        <w:rPr>
          <w:sz w:val="24"/>
        </w:rPr>
        <w:t>1) Minister Obrony Narodowej – w stosunku do Szefa SKW i Szefa SWW;</w:t>
      </w:r>
    </w:p>
    <w:p w14:paraId="431982EC" w14:textId="77777777" w:rsidR="00DC19CC" w:rsidRPr="00DC19CC" w:rsidRDefault="00DC19CC" w:rsidP="00DC19CC">
      <w:pPr>
        <w:spacing w:before="240"/>
        <w:ind w:left="426" w:right="-425"/>
        <w:rPr>
          <w:sz w:val="24"/>
        </w:rPr>
      </w:pPr>
      <w:r w:rsidRPr="00DC19CC">
        <w:rPr>
          <w:sz w:val="24"/>
        </w:rPr>
        <w:t>2) Szef SKW – w stosunku do funkcjonariuszy SKW;</w:t>
      </w:r>
    </w:p>
    <w:p w14:paraId="25A10846" w14:textId="3B421394" w:rsidR="00DC19CC" w:rsidRPr="00DC19CC" w:rsidRDefault="00DC19CC" w:rsidP="00C85ED2">
      <w:pPr>
        <w:spacing w:before="240"/>
        <w:ind w:left="426" w:right="-425"/>
        <w:rPr>
          <w:sz w:val="24"/>
        </w:rPr>
      </w:pPr>
      <w:r w:rsidRPr="00DC19CC">
        <w:rPr>
          <w:sz w:val="24"/>
        </w:rPr>
        <w:t>3) Szef SWW – w stosunku do funkcjonariuszy SWW.”;</w:t>
      </w:r>
    </w:p>
    <w:p w14:paraId="2DC73827" w14:textId="77777777" w:rsidR="00DC19CC" w:rsidRPr="00DC19CC" w:rsidRDefault="00DC19CC" w:rsidP="00DC19CC">
      <w:pPr>
        <w:spacing w:before="240"/>
        <w:ind w:left="426" w:right="-425"/>
        <w:rPr>
          <w:b/>
          <w:bCs/>
          <w:sz w:val="24"/>
        </w:rPr>
      </w:pPr>
      <w:r w:rsidRPr="00DC19CC">
        <w:rPr>
          <w:b/>
          <w:bCs/>
          <w:sz w:val="24"/>
        </w:rPr>
        <w:t>– KP KO</w:t>
      </w:r>
    </w:p>
    <w:p w14:paraId="4EC1F806" w14:textId="77777777" w:rsidR="00DC19CC" w:rsidRDefault="00DC19CC" w:rsidP="00C85ED2">
      <w:pPr>
        <w:spacing w:before="240"/>
        <w:ind w:left="7506" w:right="-425" w:firstLine="282"/>
        <w:rPr>
          <w:b/>
          <w:bCs/>
          <w:sz w:val="24"/>
        </w:rPr>
      </w:pPr>
      <w:r w:rsidRPr="00DC19CC">
        <w:rPr>
          <w:b/>
          <w:bCs/>
          <w:sz w:val="24"/>
        </w:rPr>
        <w:t>– przyjąć</w:t>
      </w:r>
    </w:p>
    <w:p w14:paraId="0254DF71" w14:textId="77777777" w:rsidR="00DC19CC" w:rsidRDefault="00DC19CC" w:rsidP="00DC19CC">
      <w:pPr>
        <w:spacing w:before="240"/>
        <w:ind w:left="426" w:right="-425"/>
        <w:rPr>
          <w:b/>
          <w:bCs/>
          <w:sz w:val="24"/>
        </w:rPr>
      </w:pPr>
    </w:p>
    <w:p w14:paraId="7438AFB4" w14:textId="77777777" w:rsidR="00C85ED2" w:rsidRDefault="00C85ED2" w:rsidP="00DC19CC">
      <w:pPr>
        <w:spacing w:before="240"/>
        <w:ind w:left="426" w:right="-425"/>
        <w:rPr>
          <w:b/>
          <w:bCs/>
          <w:sz w:val="24"/>
        </w:rPr>
      </w:pPr>
    </w:p>
    <w:p w14:paraId="0F1D59F5" w14:textId="77777777" w:rsidR="00C85ED2" w:rsidRDefault="00C85ED2" w:rsidP="00DC19CC">
      <w:pPr>
        <w:spacing w:before="240"/>
        <w:ind w:left="426" w:right="-425"/>
        <w:rPr>
          <w:b/>
          <w:bCs/>
          <w:sz w:val="24"/>
        </w:rPr>
      </w:pPr>
    </w:p>
    <w:p w14:paraId="40F08A78" w14:textId="77777777" w:rsidR="00C85ED2" w:rsidRPr="00DC19CC" w:rsidRDefault="00C85ED2" w:rsidP="00DC19CC">
      <w:pPr>
        <w:spacing w:before="240"/>
        <w:ind w:left="426" w:right="-425"/>
        <w:rPr>
          <w:sz w:val="24"/>
        </w:rPr>
      </w:pPr>
    </w:p>
    <w:p w14:paraId="0D0C9CB0" w14:textId="77777777" w:rsidR="00DC19CC" w:rsidRPr="00DC19CC" w:rsidRDefault="00DC19CC" w:rsidP="00DC19CC">
      <w:pPr>
        <w:spacing w:before="240"/>
        <w:ind w:left="426" w:right="-425"/>
        <w:rPr>
          <w:sz w:val="24"/>
        </w:rPr>
      </w:pPr>
      <w:r w:rsidRPr="00DC19CC">
        <w:rPr>
          <w:sz w:val="24"/>
        </w:rPr>
        <w:lastRenderedPageBreak/>
        <w:t>5)</w:t>
      </w:r>
      <w:r w:rsidRPr="00DC19CC">
        <w:rPr>
          <w:sz w:val="24"/>
        </w:rPr>
        <w:tab/>
        <w:t>w art. 8 w pkt 6, w art. 67 ust. 1 nadać brzmienie:</w:t>
      </w:r>
    </w:p>
    <w:p w14:paraId="37E3CCFA" w14:textId="77777777" w:rsidR="00DC19CC" w:rsidRPr="00DC19CC" w:rsidRDefault="00DC19CC" w:rsidP="00DC19CC">
      <w:pPr>
        <w:spacing w:before="240"/>
        <w:ind w:left="426" w:right="-425"/>
        <w:rPr>
          <w:sz w:val="24"/>
        </w:rPr>
      </w:pPr>
      <w:r w:rsidRPr="00DC19CC">
        <w:rPr>
          <w:sz w:val="24"/>
        </w:rPr>
        <w:t>„1. Funkcjonariuszowi, który zamieszkuje w miejscowości innej niż miejscowość,</w:t>
      </w:r>
      <w:r w:rsidRPr="00DC19CC">
        <w:rPr>
          <w:sz w:val="24"/>
        </w:rPr>
        <w:br/>
        <w:t>w której pełni służbę, od której granic administracyjnych najkrótsza odległość drogą publiczną do granic administracyjnych miejscowości, w której pełni służbę, wynosi:</w:t>
      </w:r>
    </w:p>
    <w:p w14:paraId="393B76C4" w14:textId="77777777" w:rsidR="00DC19CC" w:rsidRPr="00DC19CC" w:rsidRDefault="00DC19CC" w:rsidP="00DC19CC">
      <w:pPr>
        <w:spacing w:before="240"/>
        <w:ind w:left="426" w:right="-425"/>
        <w:rPr>
          <w:sz w:val="24"/>
        </w:rPr>
      </w:pPr>
      <w:r w:rsidRPr="00DC19CC">
        <w:rPr>
          <w:sz w:val="24"/>
        </w:rPr>
        <w:t>1) do 30 km – wypłaca się, na jego wniosek, zryczałtowany zwrot kosztów dojazdu do miejscowości, w której funkcjonariusz pełni służbę, w wysokości 140 zł miesięcznie;</w:t>
      </w:r>
    </w:p>
    <w:p w14:paraId="39481399" w14:textId="77777777" w:rsidR="00DC19CC" w:rsidRPr="00DC19CC" w:rsidRDefault="00DC19CC" w:rsidP="00DC19CC">
      <w:pPr>
        <w:spacing w:before="240"/>
        <w:ind w:left="426" w:right="-425"/>
        <w:rPr>
          <w:sz w:val="24"/>
        </w:rPr>
      </w:pPr>
      <w:r w:rsidRPr="00DC19CC">
        <w:rPr>
          <w:sz w:val="24"/>
        </w:rPr>
        <w:t>2) powyżej 30 km do 50 km – wypłaca się, na jego wniosek, zryczałtowany zwrot kosztów dojazdu do miejscowości, w której funkcjonariusz pełni służbę, w wysokości 180 zł miesięcznie;</w:t>
      </w:r>
    </w:p>
    <w:p w14:paraId="1FFFBC8B" w14:textId="66FCF389" w:rsidR="00DC19CC" w:rsidRPr="00DC19CC" w:rsidRDefault="00DC19CC" w:rsidP="00C85ED2">
      <w:pPr>
        <w:spacing w:before="240"/>
        <w:ind w:left="426" w:right="-425"/>
        <w:rPr>
          <w:sz w:val="24"/>
        </w:rPr>
      </w:pPr>
      <w:r w:rsidRPr="00DC19CC">
        <w:rPr>
          <w:sz w:val="24"/>
        </w:rPr>
        <w:t>3) powyżej 50 km – wypłaca się, na jego wniosek, zryczałtowany zwrot kosztów dojazdu do miejscowości, w której funkcjonariusz pełni służbę, w wysokości 220 zł miesięcznie.”;</w:t>
      </w:r>
    </w:p>
    <w:p w14:paraId="30F0DD7D" w14:textId="77777777" w:rsidR="00DC19CC" w:rsidRPr="00DC19CC" w:rsidRDefault="00DC19CC" w:rsidP="00DC19CC">
      <w:pPr>
        <w:spacing w:before="240"/>
        <w:ind w:left="426" w:right="-425"/>
        <w:rPr>
          <w:b/>
          <w:bCs/>
          <w:sz w:val="24"/>
        </w:rPr>
      </w:pPr>
      <w:r w:rsidRPr="00DC19CC">
        <w:rPr>
          <w:b/>
          <w:bCs/>
          <w:sz w:val="24"/>
        </w:rPr>
        <w:t>– KP KO</w:t>
      </w:r>
    </w:p>
    <w:p w14:paraId="236DD8B5" w14:textId="77777777" w:rsidR="00DC19CC" w:rsidRPr="00DC19CC" w:rsidRDefault="00DC19CC" w:rsidP="00C85ED2">
      <w:pPr>
        <w:spacing w:before="240"/>
        <w:ind w:left="7506" w:right="-425" w:firstLine="282"/>
        <w:rPr>
          <w:b/>
          <w:bCs/>
          <w:sz w:val="24"/>
        </w:rPr>
      </w:pPr>
      <w:r w:rsidRPr="00DC19CC">
        <w:rPr>
          <w:b/>
          <w:bCs/>
          <w:sz w:val="24"/>
        </w:rPr>
        <w:t>– przyjąć</w:t>
      </w:r>
    </w:p>
    <w:p w14:paraId="481F587E" w14:textId="77777777" w:rsidR="00DC19CC" w:rsidRPr="00DC19CC" w:rsidRDefault="00DC19CC" w:rsidP="00DC19CC">
      <w:pPr>
        <w:spacing w:before="240"/>
        <w:ind w:left="426" w:right="-425"/>
        <w:rPr>
          <w:sz w:val="24"/>
        </w:rPr>
      </w:pPr>
    </w:p>
    <w:p w14:paraId="7592B136" w14:textId="77777777" w:rsidR="00DC19CC" w:rsidRPr="00DC19CC" w:rsidRDefault="00DC19CC" w:rsidP="00DC19CC">
      <w:pPr>
        <w:spacing w:before="240"/>
        <w:ind w:left="426" w:right="-425"/>
        <w:rPr>
          <w:sz w:val="24"/>
        </w:rPr>
      </w:pPr>
      <w:r w:rsidRPr="00DC19CC">
        <w:rPr>
          <w:sz w:val="24"/>
        </w:rPr>
        <w:t>6)</w:t>
      </w:r>
      <w:r w:rsidRPr="00DC19CC">
        <w:rPr>
          <w:sz w:val="24"/>
        </w:rPr>
        <w:tab/>
        <w:t>w art. 9 pkt 6 nadać brzmienie:</w:t>
      </w:r>
    </w:p>
    <w:p w14:paraId="3EF43FCB" w14:textId="1117B5B9" w:rsidR="00DC19CC" w:rsidRPr="00DC19CC" w:rsidRDefault="00DC19CC" w:rsidP="00C85ED2">
      <w:pPr>
        <w:spacing w:before="240"/>
        <w:ind w:left="426" w:right="-425"/>
        <w:rPr>
          <w:sz w:val="24"/>
        </w:rPr>
      </w:pPr>
      <w:r w:rsidRPr="00DC19CC">
        <w:rPr>
          <w:sz w:val="24"/>
        </w:rPr>
        <w:t>„6) uchyla się art. 179–181;”;</w:t>
      </w:r>
    </w:p>
    <w:p w14:paraId="3B401EEC" w14:textId="77777777" w:rsidR="00DC19CC" w:rsidRPr="00DC19CC" w:rsidRDefault="00DC19CC" w:rsidP="00DC19CC">
      <w:pPr>
        <w:spacing w:before="240"/>
        <w:ind w:left="426" w:right="-425"/>
        <w:rPr>
          <w:b/>
          <w:bCs/>
          <w:sz w:val="24"/>
        </w:rPr>
      </w:pPr>
      <w:r w:rsidRPr="00DC19CC">
        <w:rPr>
          <w:b/>
          <w:bCs/>
          <w:sz w:val="24"/>
        </w:rPr>
        <w:t>– KP KO</w:t>
      </w:r>
    </w:p>
    <w:p w14:paraId="25EF04D9" w14:textId="77777777" w:rsidR="00DC19CC" w:rsidRPr="00DC19CC" w:rsidRDefault="00DC19CC" w:rsidP="00C85ED2">
      <w:pPr>
        <w:spacing w:before="240"/>
        <w:ind w:left="7506" w:right="-425" w:firstLine="282"/>
        <w:rPr>
          <w:b/>
          <w:bCs/>
          <w:sz w:val="24"/>
        </w:rPr>
      </w:pPr>
      <w:r w:rsidRPr="00DC19CC">
        <w:rPr>
          <w:b/>
          <w:bCs/>
          <w:sz w:val="24"/>
        </w:rPr>
        <w:t>– przyjąć</w:t>
      </w:r>
    </w:p>
    <w:p w14:paraId="5D99CCC0" w14:textId="77777777" w:rsidR="00DC19CC" w:rsidRPr="00DC19CC" w:rsidRDefault="00DC19CC" w:rsidP="00DC19CC">
      <w:pPr>
        <w:spacing w:before="240"/>
        <w:ind w:left="426" w:right="-425"/>
        <w:rPr>
          <w:sz w:val="24"/>
        </w:rPr>
      </w:pPr>
    </w:p>
    <w:p w14:paraId="7050CC5F" w14:textId="77777777" w:rsidR="00DC19CC" w:rsidRPr="00DC19CC" w:rsidRDefault="00DC19CC" w:rsidP="00DC19CC">
      <w:pPr>
        <w:spacing w:before="240"/>
        <w:ind w:left="426" w:right="-425"/>
        <w:rPr>
          <w:sz w:val="24"/>
        </w:rPr>
      </w:pPr>
      <w:r w:rsidRPr="00DC19CC">
        <w:rPr>
          <w:sz w:val="24"/>
        </w:rPr>
        <w:t>7) art. 23 nadać brzmienie:</w:t>
      </w:r>
    </w:p>
    <w:p w14:paraId="05FBF918" w14:textId="55A343B6" w:rsidR="00DC19CC" w:rsidRPr="00DC19CC" w:rsidRDefault="00DC19CC" w:rsidP="00C85ED2">
      <w:pPr>
        <w:spacing w:before="240"/>
        <w:ind w:left="426" w:right="-425"/>
        <w:rPr>
          <w:sz w:val="24"/>
        </w:rPr>
      </w:pPr>
      <w:r w:rsidRPr="00DC19CC">
        <w:rPr>
          <w:sz w:val="24"/>
        </w:rPr>
        <w:t xml:space="preserve">„Art. 23. Ustawa wchodzi w życie z dniem następującym po dniu ogłoszenia, z mocą od dnia 1 lipca 2025 r.,  z wyjątkiem art. 1 pkt 7, art. 2 pkt 2, 8, 16 i 17, art. 4 pkt 12, art. 6 pkt 6, art. 8 pkt 6, art. 9 pkt 1, 2 i 10 </w:t>
      </w:r>
      <w:r w:rsidRPr="00DC19CC">
        <w:rPr>
          <w:bCs/>
          <w:sz w:val="24"/>
        </w:rPr>
        <w:t>oraz art. 14</w:t>
      </w:r>
      <w:r w:rsidRPr="00DC19CC">
        <w:rPr>
          <w:sz w:val="24"/>
        </w:rPr>
        <w:t>, które wchodzą w życie z dniem następującym po dniu ogłoszenia.”.</w:t>
      </w:r>
    </w:p>
    <w:p w14:paraId="2E8FCAB6" w14:textId="77777777" w:rsidR="00DC19CC" w:rsidRPr="00DC19CC" w:rsidRDefault="00DC19CC" w:rsidP="00DC19CC">
      <w:pPr>
        <w:spacing w:before="240"/>
        <w:ind w:left="426" w:right="-425"/>
        <w:rPr>
          <w:b/>
          <w:bCs/>
          <w:sz w:val="24"/>
        </w:rPr>
      </w:pPr>
      <w:r w:rsidRPr="00DC19CC">
        <w:rPr>
          <w:b/>
          <w:bCs/>
          <w:sz w:val="24"/>
        </w:rPr>
        <w:t>– KP KO</w:t>
      </w:r>
    </w:p>
    <w:p w14:paraId="298E5FE1" w14:textId="3774E924" w:rsidR="00126216" w:rsidRPr="00DC19CC" w:rsidRDefault="00DC19CC" w:rsidP="00C85ED2">
      <w:pPr>
        <w:spacing w:before="240"/>
        <w:ind w:left="7506" w:right="-425" w:firstLine="282"/>
        <w:rPr>
          <w:b/>
          <w:bCs/>
          <w:sz w:val="24"/>
        </w:rPr>
      </w:pPr>
      <w:r w:rsidRPr="00DC19CC">
        <w:rPr>
          <w:b/>
          <w:bCs/>
          <w:sz w:val="24"/>
        </w:rPr>
        <w:t>– przyjąć</w:t>
      </w:r>
    </w:p>
    <w:p w14:paraId="617A0CD8" w14:textId="77777777" w:rsidR="00BA68EC" w:rsidRDefault="00BA68EC" w:rsidP="00BA68EC">
      <w:pPr>
        <w:rPr>
          <w:sz w:val="24"/>
          <w:szCs w:val="24"/>
        </w:rPr>
      </w:pPr>
    </w:p>
    <w:p w14:paraId="224B9EBA" w14:textId="5D48B436" w:rsidR="00BA68EC" w:rsidRDefault="00BA68EC" w:rsidP="00BA68EC">
      <w:pPr>
        <w:rPr>
          <w:sz w:val="24"/>
          <w:szCs w:val="24"/>
        </w:rPr>
      </w:pPr>
      <w:r>
        <w:rPr>
          <w:sz w:val="24"/>
          <w:szCs w:val="24"/>
        </w:rPr>
        <w:t xml:space="preserve">Warszawa, dnia </w:t>
      </w:r>
      <w:r w:rsidR="0087244F">
        <w:rPr>
          <w:sz w:val="24"/>
          <w:szCs w:val="24"/>
        </w:rPr>
        <w:t>12 września</w:t>
      </w:r>
      <w:r>
        <w:rPr>
          <w:sz w:val="24"/>
          <w:szCs w:val="24"/>
        </w:rPr>
        <w:t xml:space="preserve"> 20</w:t>
      </w:r>
      <w:r w:rsidR="003E5A3F">
        <w:rPr>
          <w:sz w:val="24"/>
          <w:szCs w:val="24"/>
        </w:rPr>
        <w:t>2</w:t>
      </w:r>
      <w:r w:rsidR="007709B8">
        <w:rPr>
          <w:sz w:val="24"/>
          <w:szCs w:val="24"/>
        </w:rPr>
        <w:t>5</w:t>
      </w:r>
      <w:r>
        <w:rPr>
          <w:sz w:val="24"/>
          <w:szCs w:val="24"/>
        </w:rPr>
        <w:t xml:space="preserve"> r.</w:t>
      </w:r>
    </w:p>
    <w:p w14:paraId="5AF49602" w14:textId="77777777" w:rsidR="00D02D90" w:rsidRDefault="00D02D90" w:rsidP="00BA68EC">
      <w:pPr>
        <w:rPr>
          <w:sz w:val="24"/>
          <w:szCs w:val="24"/>
        </w:rPr>
      </w:pPr>
    </w:p>
    <w:p w14:paraId="3B691C7C" w14:textId="4C0DD1C8" w:rsidR="00BA68EC" w:rsidRDefault="00BA68EC" w:rsidP="00BA68EC">
      <w:pPr>
        <w:tabs>
          <w:tab w:val="center" w:pos="2268"/>
          <w:tab w:val="center" w:pos="6804"/>
        </w:tabs>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21"/>
        <w:gridCol w:w="4516"/>
      </w:tblGrid>
      <w:tr w:rsidR="008B0093" w14:paraId="1F9D7802" w14:textId="77777777" w:rsidTr="00B90282">
        <w:tc>
          <w:tcPr>
            <w:tcW w:w="4535" w:type="dxa"/>
          </w:tcPr>
          <w:p w14:paraId="4A769A23" w14:textId="77777777" w:rsidR="008B0093" w:rsidRPr="00EF2AFA" w:rsidRDefault="008B0093" w:rsidP="001835BD">
            <w:pPr>
              <w:jc w:val="center"/>
              <w:rPr>
                <w:sz w:val="24"/>
                <w:szCs w:val="24"/>
              </w:rPr>
            </w:pPr>
            <w:r w:rsidRPr="00EF2AFA">
              <w:rPr>
                <w:sz w:val="24"/>
                <w:szCs w:val="24"/>
              </w:rPr>
              <w:t>Sprawozdawca</w:t>
            </w:r>
          </w:p>
          <w:p w14:paraId="4304096E" w14:textId="77777777" w:rsidR="008B0093" w:rsidRDefault="008B0093" w:rsidP="001835BD"/>
        </w:tc>
        <w:tc>
          <w:tcPr>
            <w:tcW w:w="4537" w:type="dxa"/>
            <w:gridSpan w:val="2"/>
          </w:tcPr>
          <w:p w14:paraId="0CEA9D33" w14:textId="0878D7C9" w:rsidR="008B0093" w:rsidRDefault="00AF231F" w:rsidP="008B0093">
            <w:pPr>
              <w:jc w:val="center"/>
            </w:pPr>
            <w:r>
              <w:rPr>
                <w:sz w:val="24"/>
                <w:szCs w:val="24"/>
              </w:rPr>
              <w:t xml:space="preserve"> P</w:t>
            </w:r>
            <w:r w:rsidR="008B0093">
              <w:rPr>
                <w:sz w:val="24"/>
                <w:szCs w:val="24"/>
              </w:rPr>
              <w:t>rzewodniczą</w:t>
            </w:r>
            <w:r w:rsidR="00F80CBD">
              <w:rPr>
                <w:sz w:val="24"/>
                <w:szCs w:val="24"/>
              </w:rPr>
              <w:t>ca</w:t>
            </w:r>
            <w:r w:rsidR="008B0093">
              <w:rPr>
                <w:sz w:val="24"/>
                <w:szCs w:val="24"/>
              </w:rPr>
              <w:t xml:space="preserve"> Komisji </w:t>
            </w:r>
          </w:p>
        </w:tc>
      </w:tr>
      <w:tr w:rsidR="008B0093" w14:paraId="5AB02ACD" w14:textId="77777777" w:rsidTr="00B90282">
        <w:tc>
          <w:tcPr>
            <w:tcW w:w="4535" w:type="dxa"/>
          </w:tcPr>
          <w:p w14:paraId="44224169" w14:textId="77777777" w:rsidR="00D02D90" w:rsidRDefault="00D02D90" w:rsidP="001835BD"/>
          <w:p w14:paraId="5C6016DE" w14:textId="031023E4" w:rsidR="00D02D90" w:rsidRPr="00D02D90" w:rsidRDefault="00D02D90" w:rsidP="001835BD">
            <w:pPr>
              <w:rPr>
                <w:sz w:val="24"/>
                <w:szCs w:val="24"/>
              </w:rPr>
            </w:pPr>
            <w:r>
              <w:t xml:space="preserve">                         </w:t>
            </w:r>
            <w:r w:rsidRPr="00D02D90">
              <w:rPr>
                <w:sz w:val="24"/>
                <w:szCs w:val="24"/>
              </w:rPr>
              <w:t xml:space="preserve"> (-) Zofia Czernow</w:t>
            </w:r>
          </w:p>
        </w:tc>
        <w:tc>
          <w:tcPr>
            <w:tcW w:w="4537" w:type="dxa"/>
            <w:gridSpan w:val="2"/>
          </w:tcPr>
          <w:p w14:paraId="7D392159" w14:textId="77777777" w:rsidR="00D02D90" w:rsidRDefault="00D02D90" w:rsidP="00D02D90">
            <w:pPr>
              <w:rPr>
                <w:sz w:val="24"/>
                <w:szCs w:val="24"/>
              </w:rPr>
            </w:pPr>
          </w:p>
          <w:p w14:paraId="7BED923C" w14:textId="45CF2B64" w:rsidR="00D02D90" w:rsidRDefault="00D02D90" w:rsidP="00B90282">
            <w:pPr>
              <w:jc w:val="center"/>
              <w:rPr>
                <w:sz w:val="24"/>
                <w:szCs w:val="24"/>
              </w:rPr>
            </w:pPr>
            <w:r>
              <w:rPr>
                <w:sz w:val="24"/>
                <w:szCs w:val="24"/>
              </w:rPr>
              <w:t xml:space="preserve">(-) Maria Małgorzata </w:t>
            </w:r>
            <w:proofErr w:type="spellStart"/>
            <w:r>
              <w:rPr>
                <w:sz w:val="24"/>
                <w:szCs w:val="24"/>
              </w:rPr>
              <w:t>Janyska</w:t>
            </w:r>
            <w:proofErr w:type="spellEnd"/>
          </w:p>
          <w:p w14:paraId="52C57FB7" w14:textId="77777777" w:rsidR="00D02D90" w:rsidRDefault="00D02D90" w:rsidP="00B90282">
            <w:pPr>
              <w:jc w:val="center"/>
              <w:rPr>
                <w:sz w:val="24"/>
                <w:szCs w:val="24"/>
              </w:rPr>
            </w:pPr>
          </w:p>
          <w:p w14:paraId="7EF26BF8" w14:textId="77777777" w:rsidR="00D02D90" w:rsidRDefault="00D02D90" w:rsidP="00B90282">
            <w:pPr>
              <w:jc w:val="center"/>
              <w:rPr>
                <w:sz w:val="24"/>
                <w:szCs w:val="24"/>
              </w:rPr>
            </w:pPr>
          </w:p>
          <w:p w14:paraId="379E9B14" w14:textId="70279026" w:rsidR="00D02D90" w:rsidRPr="00F80CBD" w:rsidRDefault="00D02D90" w:rsidP="00B90282">
            <w:pPr>
              <w:jc w:val="center"/>
              <w:rPr>
                <w:sz w:val="24"/>
                <w:szCs w:val="24"/>
              </w:rPr>
            </w:pPr>
          </w:p>
        </w:tc>
      </w:tr>
      <w:tr w:rsidR="00144AF7" w:rsidRPr="00E8374C" w14:paraId="0CCBDD24" w14:textId="77777777" w:rsidTr="00B90282">
        <w:trPr>
          <w:gridBefore w:val="2"/>
          <w:wBefore w:w="4556" w:type="dxa"/>
        </w:trPr>
        <w:tc>
          <w:tcPr>
            <w:tcW w:w="4516" w:type="dxa"/>
          </w:tcPr>
          <w:p w14:paraId="0CBBD25C" w14:textId="77777777" w:rsidR="006E308F" w:rsidRDefault="006E308F" w:rsidP="00B90282">
            <w:pPr>
              <w:rPr>
                <w:sz w:val="24"/>
                <w:szCs w:val="24"/>
              </w:rPr>
            </w:pPr>
          </w:p>
          <w:p w14:paraId="3366E0D3" w14:textId="77777777" w:rsidR="006E308F" w:rsidRPr="00E8374C" w:rsidRDefault="006E308F" w:rsidP="00B90282">
            <w:pPr>
              <w:rPr>
                <w:sz w:val="24"/>
                <w:szCs w:val="24"/>
              </w:rPr>
            </w:pPr>
          </w:p>
        </w:tc>
      </w:tr>
      <w:tr w:rsidR="007E5708" w:rsidRPr="00E8374C" w14:paraId="49703387" w14:textId="77777777" w:rsidTr="00F821F7">
        <w:trPr>
          <w:gridBefore w:val="2"/>
          <w:wBefore w:w="4556" w:type="dxa"/>
        </w:trPr>
        <w:tc>
          <w:tcPr>
            <w:tcW w:w="4516" w:type="dxa"/>
          </w:tcPr>
          <w:p w14:paraId="0FB90E8F" w14:textId="77777777" w:rsidR="007E5708" w:rsidRPr="00E8374C" w:rsidRDefault="007E5708" w:rsidP="00F821F7">
            <w:pPr>
              <w:rPr>
                <w:sz w:val="24"/>
                <w:szCs w:val="24"/>
              </w:rPr>
            </w:pPr>
          </w:p>
        </w:tc>
      </w:tr>
    </w:tbl>
    <w:p w14:paraId="03EF636E" w14:textId="6711F866" w:rsidR="00C723A0" w:rsidRDefault="007E5708" w:rsidP="00EA0443">
      <w:pPr>
        <w:pStyle w:val="Akapitzlist"/>
        <w:pBdr>
          <w:top w:val="single" w:sz="4" w:space="1" w:color="auto"/>
          <w:bottom w:val="single" w:sz="4" w:space="1" w:color="auto"/>
        </w:pBdr>
        <w:tabs>
          <w:tab w:val="center" w:pos="4253"/>
        </w:tabs>
        <w:spacing w:before="300"/>
        <w:ind w:left="646" w:right="1134"/>
        <w:jc w:val="both"/>
      </w:pPr>
      <w:r>
        <w:rPr>
          <w:noProof/>
          <w:lang w:eastAsia="pl-PL"/>
        </w:rPr>
        <w:drawing>
          <wp:anchor distT="0" distB="0" distL="114300" distR="114300" simplePos="0" relativeHeight="251659264" behindDoc="1" locked="0" layoutInCell="1" allowOverlap="1" wp14:anchorId="6CE10824" wp14:editId="10022E43">
            <wp:simplePos x="0" y="0"/>
            <wp:positionH relativeFrom="column">
              <wp:posOffset>5186045</wp:posOffset>
            </wp:positionH>
            <wp:positionV relativeFrom="paragraph">
              <wp:posOffset>23495</wp:posOffset>
            </wp:positionV>
            <wp:extent cx="596265" cy="413385"/>
            <wp:effectExtent l="0" t="0" r="0" b="5715"/>
            <wp:wrapThrough wrapText="bothSides">
              <wp:wrapPolygon edited="0">
                <wp:start x="0" y="0"/>
                <wp:lineTo x="0" y="20903"/>
                <wp:lineTo x="20703" y="20903"/>
                <wp:lineTo x="20703" y="0"/>
                <wp:lineTo x="0" y="0"/>
              </wp:wrapPolygon>
            </wp:wrapThrough>
            <wp:docPr id="1250609381" name="Obraz 1" descr="Obraz zawierający tekst, Czcionka, biał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Obraz zawierający tekst, Czcionka, biały, logo&#10;&#10;Opis wygenerowany automatyczni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6265" cy="413385"/>
                    </a:xfrm>
                    <a:prstGeom prst="rect">
                      <a:avLst/>
                    </a:prstGeom>
                    <a:noFill/>
                  </pic:spPr>
                </pic:pic>
              </a:graphicData>
            </a:graphic>
            <wp14:sizeRelH relativeFrom="page">
              <wp14:pctWidth>0</wp14:pctWidth>
            </wp14:sizeRelH>
            <wp14:sizeRelV relativeFrom="page">
              <wp14:pctHeight>0</wp14:pctHeight>
            </wp14:sizeRelV>
          </wp:anchor>
        </w:drawing>
      </w:r>
      <w:r>
        <w:tab/>
        <w:t>Tłoczono z polecenia Marszałka Sejmu Rzeczypospolitej Polskiej</w:t>
      </w:r>
    </w:p>
    <w:sectPr w:rsidR="00C723A0" w:rsidSect="00116E40">
      <w:pgSz w:w="11906" w:h="16838"/>
      <w:pgMar w:top="851"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8EC"/>
    <w:rsid w:val="000721CB"/>
    <w:rsid w:val="000A2800"/>
    <w:rsid w:val="00101BF9"/>
    <w:rsid w:val="00116375"/>
    <w:rsid w:val="00116E40"/>
    <w:rsid w:val="00126216"/>
    <w:rsid w:val="00131F1D"/>
    <w:rsid w:val="00144AF7"/>
    <w:rsid w:val="00154992"/>
    <w:rsid w:val="00172250"/>
    <w:rsid w:val="002145E0"/>
    <w:rsid w:val="00287655"/>
    <w:rsid w:val="002D2F99"/>
    <w:rsid w:val="00307592"/>
    <w:rsid w:val="0033257C"/>
    <w:rsid w:val="003E1C9E"/>
    <w:rsid w:val="003E5A3F"/>
    <w:rsid w:val="003F4A0A"/>
    <w:rsid w:val="004B71D6"/>
    <w:rsid w:val="004D06F7"/>
    <w:rsid w:val="004E7DD6"/>
    <w:rsid w:val="00521B63"/>
    <w:rsid w:val="00532D89"/>
    <w:rsid w:val="0054010C"/>
    <w:rsid w:val="00575BB9"/>
    <w:rsid w:val="005B1606"/>
    <w:rsid w:val="005F5D10"/>
    <w:rsid w:val="006243F9"/>
    <w:rsid w:val="0064478B"/>
    <w:rsid w:val="00673712"/>
    <w:rsid w:val="006C57D6"/>
    <w:rsid w:val="006D40C9"/>
    <w:rsid w:val="006E308F"/>
    <w:rsid w:val="006E36E7"/>
    <w:rsid w:val="006F702D"/>
    <w:rsid w:val="00723F88"/>
    <w:rsid w:val="00755E29"/>
    <w:rsid w:val="007709B8"/>
    <w:rsid w:val="00791813"/>
    <w:rsid w:val="007E5708"/>
    <w:rsid w:val="0087244F"/>
    <w:rsid w:val="008B0093"/>
    <w:rsid w:val="008B1D31"/>
    <w:rsid w:val="008C2A24"/>
    <w:rsid w:val="008F145C"/>
    <w:rsid w:val="00912FB4"/>
    <w:rsid w:val="00913A4F"/>
    <w:rsid w:val="00933CCD"/>
    <w:rsid w:val="00936165"/>
    <w:rsid w:val="009B1DFD"/>
    <w:rsid w:val="00A6558A"/>
    <w:rsid w:val="00A755BD"/>
    <w:rsid w:val="00A92547"/>
    <w:rsid w:val="00AD3C73"/>
    <w:rsid w:val="00AD7B6E"/>
    <w:rsid w:val="00AF231F"/>
    <w:rsid w:val="00B40DA1"/>
    <w:rsid w:val="00B90282"/>
    <w:rsid w:val="00BA68EC"/>
    <w:rsid w:val="00BC48B0"/>
    <w:rsid w:val="00C1360C"/>
    <w:rsid w:val="00C1377C"/>
    <w:rsid w:val="00C23300"/>
    <w:rsid w:val="00C723A0"/>
    <w:rsid w:val="00C85ED2"/>
    <w:rsid w:val="00CB55D9"/>
    <w:rsid w:val="00CD4BDA"/>
    <w:rsid w:val="00CE2C4D"/>
    <w:rsid w:val="00D02D90"/>
    <w:rsid w:val="00D030A6"/>
    <w:rsid w:val="00D14C84"/>
    <w:rsid w:val="00D32F35"/>
    <w:rsid w:val="00D33DA2"/>
    <w:rsid w:val="00D5358D"/>
    <w:rsid w:val="00D73EEC"/>
    <w:rsid w:val="00DC19CC"/>
    <w:rsid w:val="00DD6AEF"/>
    <w:rsid w:val="00DF3CB3"/>
    <w:rsid w:val="00E400E6"/>
    <w:rsid w:val="00E60AA1"/>
    <w:rsid w:val="00E95BC5"/>
    <w:rsid w:val="00EA0443"/>
    <w:rsid w:val="00EA1035"/>
    <w:rsid w:val="00EC093E"/>
    <w:rsid w:val="00F21648"/>
    <w:rsid w:val="00F25212"/>
    <w:rsid w:val="00F51173"/>
    <w:rsid w:val="00F80CBD"/>
    <w:rsid w:val="00FA1F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81DEE"/>
  <w15:docId w15:val="{E0571265-0623-445D-B24D-CA8EB2E1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68EC"/>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BA68EC"/>
    <w:pPr>
      <w:keepNext/>
      <w:ind w:right="5670"/>
      <w:jc w:val="center"/>
      <w:outlineLvl w:val="0"/>
    </w:pPr>
    <w:rPr>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A68EC"/>
    <w:rPr>
      <w:rFonts w:ascii="Times New Roman" w:eastAsia="Times New Roman" w:hAnsi="Times New Roman" w:cs="Times New Roman"/>
      <w:sz w:val="26"/>
      <w:szCs w:val="20"/>
      <w:lang w:eastAsia="pl-PL"/>
    </w:rPr>
  </w:style>
  <w:style w:type="paragraph" w:styleId="Tekstpodstawowywcity">
    <w:name w:val="Body Text Indent"/>
    <w:basedOn w:val="Normalny"/>
    <w:link w:val="TekstpodstawowywcityZnak"/>
    <w:semiHidden/>
    <w:unhideWhenUsed/>
    <w:rsid w:val="00BA68EC"/>
    <w:pPr>
      <w:ind w:firstLine="851"/>
      <w:jc w:val="both"/>
    </w:pPr>
    <w:rPr>
      <w:sz w:val="24"/>
    </w:rPr>
  </w:style>
  <w:style w:type="character" w:customStyle="1" w:styleId="TekstpodstawowywcityZnak">
    <w:name w:val="Tekst podstawowy wcięty Znak"/>
    <w:basedOn w:val="Domylnaczcionkaakapitu"/>
    <w:link w:val="Tekstpodstawowywcity"/>
    <w:semiHidden/>
    <w:rsid w:val="00BA68EC"/>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unhideWhenUsed/>
    <w:rsid w:val="00BA68EC"/>
    <w:pPr>
      <w:tabs>
        <w:tab w:val="center" w:pos="1701"/>
        <w:tab w:val="center" w:pos="6946"/>
      </w:tabs>
    </w:pPr>
    <w:rPr>
      <w:sz w:val="26"/>
    </w:rPr>
  </w:style>
  <w:style w:type="character" w:customStyle="1" w:styleId="Tekstpodstawowy2Znak">
    <w:name w:val="Tekst podstawowy 2 Znak"/>
    <w:basedOn w:val="Domylnaczcionkaakapitu"/>
    <w:link w:val="Tekstpodstawowy2"/>
    <w:rsid w:val="00BA68EC"/>
    <w:rPr>
      <w:rFonts w:ascii="Times New Roman" w:eastAsia="Times New Roman" w:hAnsi="Times New Roman" w:cs="Times New Roman"/>
      <w:sz w:val="26"/>
      <w:szCs w:val="20"/>
      <w:lang w:eastAsia="pl-PL"/>
    </w:rPr>
  </w:style>
  <w:style w:type="paragraph" w:customStyle="1" w:styleId="tyt">
    <w:name w:val="tyt"/>
    <w:basedOn w:val="Normalny"/>
    <w:rsid w:val="00BA68EC"/>
    <w:pPr>
      <w:keepNext/>
      <w:spacing w:before="60" w:after="60"/>
      <w:jc w:val="center"/>
    </w:pPr>
    <w:rPr>
      <w:b/>
      <w:sz w:val="24"/>
    </w:rPr>
  </w:style>
  <w:style w:type="paragraph" w:customStyle="1" w:styleId="ustep">
    <w:name w:val="ustep"/>
    <w:basedOn w:val="Normalny"/>
    <w:next w:val="Normalny"/>
    <w:qFormat/>
    <w:rsid w:val="00BA68EC"/>
    <w:pPr>
      <w:spacing w:before="60" w:after="60"/>
      <w:ind w:left="426" w:hanging="284"/>
      <w:jc w:val="both"/>
      <w:outlineLvl w:val="2"/>
    </w:pPr>
    <w:rPr>
      <w:rFonts w:eastAsia="Calibri"/>
      <w:sz w:val="24"/>
      <w:szCs w:val="22"/>
      <w:lang w:eastAsia="en-US"/>
    </w:rPr>
  </w:style>
  <w:style w:type="paragraph" w:customStyle="1" w:styleId="punkt">
    <w:name w:val="punkt"/>
    <w:basedOn w:val="Normalny"/>
    <w:qFormat/>
    <w:rsid w:val="00BA68EC"/>
    <w:pPr>
      <w:spacing w:before="60" w:after="60"/>
      <w:ind w:left="840" w:hanging="284"/>
      <w:jc w:val="both"/>
      <w:outlineLvl w:val="3"/>
    </w:pPr>
    <w:rPr>
      <w:rFonts w:eastAsia="Calibri"/>
      <w:sz w:val="24"/>
      <w:szCs w:val="22"/>
      <w:lang w:eastAsia="en-US"/>
    </w:rPr>
  </w:style>
  <w:style w:type="paragraph" w:customStyle="1" w:styleId="w2zmart">
    <w:name w:val="w2_zm_art"/>
    <w:qFormat/>
    <w:rsid w:val="00BA68EC"/>
    <w:pPr>
      <w:spacing w:before="60" w:after="60" w:line="240" w:lineRule="auto"/>
      <w:ind w:left="851" w:hanging="295"/>
      <w:jc w:val="both"/>
      <w:outlineLvl w:val="3"/>
    </w:pPr>
    <w:rPr>
      <w:rFonts w:ascii="Times New Roman" w:eastAsia="Calibri" w:hAnsi="Times New Roman" w:cs="Times New Roman"/>
      <w:sz w:val="24"/>
    </w:rPr>
  </w:style>
  <w:style w:type="paragraph" w:customStyle="1" w:styleId="litera">
    <w:name w:val="litera"/>
    <w:basedOn w:val="Normalny"/>
    <w:next w:val="Normalny"/>
    <w:qFormat/>
    <w:rsid w:val="00BA68EC"/>
    <w:pPr>
      <w:spacing w:before="60" w:after="60"/>
      <w:ind w:left="1281" w:hanging="272"/>
      <w:jc w:val="both"/>
      <w:outlineLvl w:val="4"/>
    </w:pPr>
    <w:rPr>
      <w:rFonts w:eastAsia="Calibri"/>
      <w:sz w:val="24"/>
      <w:szCs w:val="22"/>
      <w:lang w:eastAsia="en-US"/>
    </w:rPr>
  </w:style>
  <w:style w:type="paragraph" w:styleId="Tekstdymka">
    <w:name w:val="Balloon Text"/>
    <w:basedOn w:val="Normalny"/>
    <w:link w:val="TekstdymkaZnak"/>
    <w:uiPriority w:val="99"/>
    <w:semiHidden/>
    <w:unhideWhenUsed/>
    <w:rsid w:val="00BA68EC"/>
    <w:rPr>
      <w:rFonts w:ascii="Tahoma" w:hAnsi="Tahoma" w:cs="Tahoma"/>
      <w:sz w:val="16"/>
      <w:szCs w:val="16"/>
    </w:rPr>
  </w:style>
  <w:style w:type="character" w:customStyle="1" w:styleId="TekstdymkaZnak">
    <w:name w:val="Tekst dymka Znak"/>
    <w:basedOn w:val="Domylnaczcionkaakapitu"/>
    <w:link w:val="Tekstdymka"/>
    <w:uiPriority w:val="99"/>
    <w:semiHidden/>
    <w:rsid w:val="00BA68EC"/>
    <w:rPr>
      <w:rFonts w:ascii="Tahoma" w:eastAsia="Times New Roman" w:hAnsi="Tahoma" w:cs="Tahoma"/>
      <w:sz w:val="16"/>
      <w:szCs w:val="16"/>
      <w:lang w:eastAsia="pl-PL"/>
    </w:rPr>
  </w:style>
  <w:style w:type="table" w:styleId="Tabela-Siatka">
    <w:name w:val="Table Grid"/>
    <w:basedOn w:val="Standardowy"/>
    <w:uiPriority w:val="59"/>
    <w:rsid w:val="00144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E5708"/>
    <w:pPr>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42091">
      <w:bodyDiv w:val="1"/>
      <w:marLeft w:val="0"/>
      <w:marRight w:val="0"/>
      <w:marTop w:val="0"/>
      <w:marBottom w:val="0"/>
      <w:divBdr>
        <w:top w:val="none" w:sz="0" w:space="0" w:color="auto"/>
        <w:left w:val="none" w:sz="0" w:space="0" w:color="auto"/>
        <w:bottom w:val="none" w:sz="0" w:space="0" w:color="auto"/>
        <w:right w:val="none" w:sz="0" w:space="0" w:color="auto"/>
      </w:divBdr>
    </w:div>
    <w:div w:id="520122481">
      <w:bodyDiv w:val="1"/>
      <w:marLeft w:val="0"/>
      <w:marRight w:val="0"/>
      <w:marTop w:val="0"/>
      <w:marBottom w:val="0"/>
      <w:divBdr>
        <w:top w:val="none" w:sz="0" w:space="0" w:color="auto"/>
        <w:left w:val="none" w:sz="0" w:space="0" w:color="auto"/>
        <w:bottom w:val="none" w:sz="0" w:space="0" w:color="auto"/>
        <w:right w:val="none" w:sz="0" w:space="0" w:color="auto"/>
      </w:divBdr>
    </w:div>
    <w:div w:id="1148784401">
      <w:bodyDiv w:val="1"/>
      <w:marLeft w:val="0"/>
      <w:marRight w:val="0"/>
      <w:marTop w:val="0"/>
      <w:marBottom w:val="0"/>
      <w:divBdr>
        <w:top w:val="none" w:sz="0" w:space="0" w:color="auto"/>
        <w:left w:val="none" w:sz="0" w:space="0" w:color="auto"/>
        <w:bottom w:val="none" w:sz="0" w:space="0" w:color="auto"/>
        <w:right w:val="none" w:sz="0" w:space="0" w:color="auto"/>
      </w:divBdr>
    </w:div>
    <w:div w:id="1249968477">
      <w:bodyDiv w:val="1"/>
      <w:marLeft w:val="0"/>
      <w:marRight w:val="0"/>
      <w:marTop w:val="0"/>
      <w:marBottom w:val="0"/>
      <w:divBdr>
        <w:top w:val="none" w:sz="0" w:space="0" w:color="auto"/>
        <w:left w:val="none" w:sz="0" w:space="0" w:color="auto"/>
        <w:bottom w:val="none" w:sz="0" w:space="0" w:color="auto"/>
        <w:right w:val="none" w:sz="0" w:space="0" w:color="auto"/>
      </w:divBdr>
    </w:div>
    <w:div w:id="1806581981">
      <w:bodyDiv w:val="1"/>
      <w:marLeft w:val="0"/>
      <w:marRight w:val="0"/>
      <w:marTop w:val="0"/>
      <w:marBottom w:val="0"/>
      <w:divBdr>
        <w:top w:val="none" w:sz="0" w:space="0" w:color="auto"/>
        <w:left w:val="none" w:sz="0" w:space="0" w:color="auto"/>
        <w:bottom w:val="none" w:sz="0" w:space="0" w:color="auto"/>
        <w:right w:val="none" w:sz="0" w:space="0" w:color="auto"/>
      </w:divBdr>
    </w:div>
    <w:div w:id="1905212436">
      <w:bodyDiv w:val="1"/>
      <w:marLeft w:val="0"/>
      <w:marRight w:val="0"/>
      <w:marTop w:val="0"/>
      <w:marBottom w:val="0"/>
      <w:divBdr>
        <w:top w:val="none" w:sz="0" w:space="0" w:color="auto"/>
        <w:left w:val="none" w:sz="0" w:space="0" w:color="auto"/>
        <w:bottom w:val="none" w:sz="0" w:space="0" w:color="auto"/>
        <w:right w:val="none" w:sz="0" w:space="0" w:color="auto"/>
      </w:divBdr>
    </w:div>
    <w:div w:id="192317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2FECF-3D69-4F2B-89E8-C8465A035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3603</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A. Ornat</dc:creator>
  <cp:lastModifiedBy>Janusz A. Markiewicz</cp:lastModifiedBy>
  <cp:revision>2</cp:revision>
  <cp:lastPrinted>2025-09-12T07:02:00Z</cp:lastPrinted>
  <dcterms:created xsi:type="dcterms:W3CDTF">2025-09-12T11:56:00Z</dcterms:created>
  <dcterms:modified xsi:type="dcterms:W3CDTF">2025-09-12T11:56:00Z</dcterms:modified>
</cp:coreProperties>
</file>