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EB2F" w14:textId="77777777" w:rsidR="00AA7148" w:rsidRPr="00AA7148" w:rsidRDefault="00AA7148" w:rsidP="00AA7148">
      <w:pPr>
        <w:pStyle w:val="OZNPROJEKTUwskazaniedatylubwersjiprojektu"/>
        <w:keepNext/>
      </w:pPr>
      <w:r w:rsidRPr="00AA7148">
        <w:t>Projekt</w:t>
      </w:r>
    </w:p>
    <w:p w14:paraId="43BD3108" w14:textId="77777777" w:rsidR="00AA7148" w:rsidRPr="00AA7148" w:rsidRDefault="00AA7148" w:rsidP="00AA7148">
      <w:pPr>
        <w:pStyle w:val="OZNRODZAKTUtznustawalubrozporzdzenieiorganwydajcy"/>
      </w:pPr>
      <w:r w:rsidRPr="00AA7148">
        <w:t>USTAWA</w:t>
      </w:r>
    </w:p>
    <w:p w14:paraId="4C0EDA45" w14:textId="03B49878" w:rsidR="00AA7148" w:rsidRPr="00AA7148" w:rsidRDefault="00AA7148" w:rsidP="00AA7148">
      <w:pPr>
        <w:pStyle w:val="DATAAKTUdatauchwalenialubwydaniaaktu"/>
      </w:pPr>
      <w:r w:rsidRPr="00AA7148">
        <w:t>z dnia .... 2025 r.</w:t>
      </w:r>
    </w:p>
    <w:p w14:paraId="70D86527" w14:textId="6B940A7A" w:rsidR="00AA7148" w:rsidRPr="00AA7148" w:rsidRDefault="00AA7148" w:rsidP="00AA7148">
      <w:pPr>
        <w:pStyle w:val="TYTUAKTUprzedmiotregulacjiustawylubrozporzdzenia"/>
      </w:pPr>
      <w:r w:rsidRPr="00AA7148">
        <w:t xml:space="preserve">o zmianie ustawy o rehabilitacji zawodowej i społecznej </w:t>
      </w:r>
      <w:r w:rsidR="00946FA7">
        <w:br/>
      </w:r>
      <w:r w:rsidRPr="00AA7148">
        <w:t>oraz zatrudnianiu osób niepełnosprawnych</w:t>
      </w:r>
    </w:p>
    <w:p w14:paraId="38AD6C13" w14:textId="23A4A808" w:rsidR="00AA7148" w:rsidRPr="00AA7148" w:rsidRDefault="00AA7148" w:rsidP="00AA7148">
      <w:pPr>
        <w:pStyle w:val="ARTartustawynprozporzdzenia"/>
        <w:keepNext/>
      </w:pPr>
      <w:r w:rsidRPr="00AA7148">
        <w:rPr>
          <w:rStyle w:val="Ppogrubienie"/>
        </w:rPr>
        <w:t>Art. 1.</w:t>
      </w:r>
      <w:r w:rsidRPr="00AA7148">
        <w:t xml:space="preserve"> W ustawie z dnia 27 sierpnia 1997 r. o rehabilitacji zawodowej i społecznej oraz zatrudnianiu osób niepełnosprawnych (Dz. U. z 2024 r</w:t>
      </w:r>
      <w:r w:rsidR="003B5E43">
        <w:t xml:space="preserve">. </w:t>
      </w:r>
      <w:r w:rsidRPr="00AA7148">
        <w:t>poz. 44, 858, 1089, 1165, 1494 i 1961) wprowadza się następujące zmiany:</w:t>
      </w:r>
    </w:p>
    <w:p w14:paraId="7017E5BF" w14:textId="77777777" w:rsidR="00AA7148" w:rsidRPr="00AA7148" w:rsidRDefault="00AA7148" w:rsidP="00AA7148">
      <w:pPr>
        <w:pStyle w:val="PKTpunkt"/>
        <w:keepNext/>
      </w:pPr>
      <w:r w:rsidRPr="00AA7148">
        <w:t>1)</w:t>
      </w:r>
      <w:r w:rsidRPr="00AA7148">
        <w:tab/>
        <w:t>w art. 22:</w:t>
      </w:r>
    </w:p>
    <w:p w14:paraId="5FD5D036" w14:textId="77777777" w:rsidR="00AA7148" w:rsidRPr="00AA7148" w:rsidRDefault="00AA7148" w:rsidP="00AA7148">
      <w:pPr>
        <w:pStyle w:val="LITlitera"/>
      </w:pPr>
      <w:r w:rsidRPr="00AA7148">
        <w:t>a)</w:t>
      </w:r>
      <w:r w:rsidRPr="00AA7148">
        <w:tab/>
        <w:t>uchyla się ust. 1a,</w:t>
      </w:r>
    </w:p>
    <w:p w14:paraId="5C037CB8" w14:textId="43ABE552" w:rsidR="00AA7148" w:rsidRPr="00D43F38" w:rsidRDefault="00AA7148" w:rsidP="00B411F9">
      <w:pPr>
        <w:pStyle w:val="LITlitera"/>
        <w:keepNext/>
      </w:pPr>
      <w:r w:rsidRPr="00D43F38">
        <w:t>b)</w:t>
      </w:r>
      <w:r w:rsidRPr="00D43F38">
        <w:tab/>
      </w:r>
      <w:r w:rsidR="00B411F9" w:rsidRPr="00D43F38">
        <w:t>po ust. 2 dodaje się ust. 2a–2d w brzmieniu:</w:t>
      </w:r>
    </w:p>
    <w:p w14:paraId="0D73272E" w14:textId="2DC4A177" w:rsidR="00B411F9" w:rsidRPr="00D43F38" w:rsidRDefault="00B411F9" w:rsidP="00B411F9">
      <w:pPr>
        <w:pStyle w:val="ZLITUSTzmustliter"/>
      </w:pPr>
      <w:r w:rsidRPr="00D43F38">
        <w:t xml:space="preserve">„2a. Informacja, o której mowa w ust. 2 pkt 3, jest wystawiana na wniosek nabywcy złożony w formie pisemnej, elektronicznej lub dokumentowej. </w:t>
      </w:r>
    </w:p>
    <w:p w14:paraId="3D800B1F" w14:textId="10694BC9" w:rsidR="00B411F9" w:rsidRPr="00D43F38" w:rsidRDefault="00B411F9" w:rsidP="00B411F9">
      <w:pPr>
        <w:pStyle w:val="ZLITUSTzmustliter"/>
      </w:pPr>
      <w:r w:rsidRPr="00D43F38">
        <w:t>2b. Wniosek składany jest jednorazowo. Wniosek może zostać odwołany w każdym czasie, w formach określonych w ust. 2a.</w:t>
      </w:r>
    </w:p>
    <w:p w14:paraId="743784B1" w14:textId="73082472" w:rsidR="00B411F9" w:rsidRPr="00D43F38" w:rsidRDefault="00B411F9" w:rsidP="00B411F9">
      <w:pPr>
        <w:pStyle w:val="ZLITUSTzmustliter"/>
      </w:pPr>
      <w:r w:rsidRPr="00D43F38">
        <w:t>2c. Sprzedający, który otrzymał wniosek, o którym mowa w ust. 2a, każdorazowo po wystawieniu faktury nabywcy wystawia mu informację, o której mowa w ust. 2 pkt 3.</w:t>
      </w:r>
    </w:p>
    <w:p w14:paraId="12F0BCA1" w14:textId="46CB9C7A" w:rsidR="00B411F9" w:rsidRPr="00D43F38" w:rsidRDefault="00B411F9" w:rsidP="00B411F9">
      <w:pPr>
        <w:pStyle w:val="ZLITUSTzmustliter"/>
        <w:rPr>
          <w:rStyle w:val="Ppogrubienie"/>
        </w:rPr>
      </w:pPr>
      <w:r w:rsidRPr="00D43F38">
        <w:t>2d. Sprzedający może skorygować informację, o której mowa w ust. 2 pkt 3, pomimo braku wniosku nabywcy.”,</w:t>
      </w:r>
    </w:p>
    <w:p w14:paraId="0CD48952" w14:textId="77777777" w:rsidR="00AA7148" w:rsidRPr="00AA7148" w:rsidRDefault="00AA7148" w:rsidP="00AA7148">
      <w:pPr>
        <w:pStyle w:val="LITlitera"/>
        <w:keepNext/>
      </w:pPr>
      <w:r w:rsidRPr="00AA7148">
        <w:t>c)</w:t>
      </w:r>
      <w:r w:rsidRPr="00AA7148">
        <w:tab/>
        <w:t>w ust. 10 pkt 1 otrzymuje brzmienie:</w:t>
      </w:r>
    </w:p>
    <w:p w14:paraId="637E3AAC" w14:textId="77777777" w:rsidR="00B411F9" w:rsidRPr="00D43F38" w:rsidRDefault="00AA7148" w:rsidP="00AA7148">
      <w:pPr>
        <w:pStyle w:val="ZLITPKTzmpktliter"/>
      </w:pPr>
      <w:r w:rsidRPr="00D43F38">
        <w:t>„1)</w:t>
      </w:r>
      <w:r w:rsidRPr="00D43F38">
        <w:tab/>
      </w:r>
      <w:r w:rsidR="00B411F9" w:rsidRPr="00D43F38">
        <w:t xml:space="preserve">wystawia nabywcy </w:t>
      </w:r>
      <w:r w:rsidRPr="00D43F38">
        <w:t>informację o kwocie obniżenia</w:t>
      </w:r>
      <w:r w:rsidR="00B411F9" w:rsidRPr="00D43F38">
        <w:t>:</w:t>
      </w:r>
    </w:p>
    <w:p w14:paraId="7A9444E3" w14:textId="43A86ACA" w:rsidR="00B411F9" w:rsidRPr="00D43F38" w:rsidRDefault="00B411F9" w:rsidP="0048552F">
      <w:pPr>
        <w:pStyle w:val="ZLITLITwPKTzmlitwpktliter"/>
      </w:pPr>
      <w:r w:rsidRPr="00D43F38">
        <w:t>a)</w:t>
      </w:r>
      <w:r w:rsidRPr="00D43F38">
        <w:tab/>
        <w:t xml:space="preserve">po otrzymaniu wniosku określonego w ust. 2a oraz </w:t>
      </w:r>
    </w:p>
    <w:p w14:paraId="037E0C33" w14:textId="1351D49A" w:rsidR="0048552F" w:rsidRPr="00D43F38" w:rsidRDefault="00B411F9" w:rsidP="0048552F">
      <w:pPr>
        <w:pStyle w:val="ZLITLITwPKTzmlitwpktliter"/>
      </w:pPr>
      <w:r w:rsidRPr="00D43F38">
        <w:t>b)</w:t>
      </w:r>
      <w:r w:rsidRPr="00D43F38">
        <w:tab/>
      </w:r>
      <w:r w:rsidR="000040B0" w:rsidRPr="00D43F38">
        <w:t xml:space="preserve">niezwłocznie </w:t>
      </w:r>
      <w:r w:rsidRPr="00D43F38">
        <w:t xml:space="preserve">po </w:t>
      </w:r>
      <w:r w:rsidR="00AA7148" w:rsidRPr="00D43F38">
        <w:t>terminowym uregulowaniu należności</w:t>
      </w:r>
      <w:r w:rsidR="0048552F" w:rsidRPr="00D43F38">
        <w:t xml:space="preserve"> za zakup</w:t>
      </w:r>
      <w:r w:rsidR="00AA7148" w:rsidRPr="00D43F38">
        <w:t xml:space="preserve"> </w:t>
      </w:r>
    </w:p>
    <w:p w14:paraId="50A4C689" w14:textId="384E70C9" w:rsidR="00AA7148" w:rsidRPr="00D43F38" w:rsidRDefault="0048552F" w:rsidP="0048552F">
      <w:pPr>
        <w:pStyle w:val="ZLITCZWSPLITwPKTzmczciwsplitwpktliter"/>
      </w:pPr>
      <w:r w:rsidRPr="00D43F38">
        <w:t xml:space="preserve">– </w:t>
      </w:r>
      <w:r w:rsidR="00AA7148" w:rsidRPr="00D43F38">
        <w:t>jednak nie później niż do ostatniego dnia miesiąca następującego po miesiącu, w którym przypadał termin płatności za zakup;”;</w:t>
      </w:r>
    </w:p>
    <w:p w14:paraId="5C615501" w14:textId="77777777" w:rsidR="00AA7148" w:rsidRPr="00AA7148" w:rsidRDefault="00AA7148" w:rsidP="00AA7148">
      <w:pPr>
        <w:pStyle w:val="PKTpunkt"/>
        <w:keepNext/>
      </w:pPr>
      <w:r w:rsidRPr="00AA7148">
        <w:t>2)</w:t>
      </w:r>
      <w:r w:rsidRPr="00AA7148">
        <w:tab/>
        <w:t>w art. 28:</w:t>
      </w:r>
    </w:p>
    <w:p w14:paraId="1D06DC09" w14:textId="77777777" w:rsidR="00AA7148" w:rsidRPr="00AA7148" w:rsidRDefault="00AA7148" w:rsidP="00AA7148">
      <w:pPr>
        <w:pStyle w:val="LITlitera"/>
        <w:keepNext/>
      </w:pPr>
      <w:r w:rsidRPr="00AA7148">
        <w:t>a)</w:t>
      </w:r>
      <w:r w:rsidRPr="00AA7148">
        <w:tab/>
        <w:t>w ust. 1 pkt 3 otrzymuje brzmienie:</w:t>
      </w:r>
    </w:p>
    <w:p w14:paraId="2B34027D" w14:textId="31A2D55C" w:rsidR="00AA7148" w:rsidRPr="00AA7148" w:rsidRDefault="00AA7148" w:rsidP="00AA7148">
      <w:pPr>
        <w:pStyle w:val="ZLITLITzmlitliter"/>
      </w:pPr>
      <w:r w:rsidRPr="00AA7148">
        <w:t>„3)</w:t>
      </w:r>
      <w:r w:rsidRPr="00AA7148">
        <w:tab/>
      </w:r>
      <w:r w:rsidR="00946FA7" w:rsidRPr="00F53141">
        <w:t xml:space="preserve">jest </w:t>
      </w:r>
      <w:r w:rsidRPr="00AA7148">
        <w:t>zapewniona specjalistyczna opieka medyczna, poradnictwo i usługi rehabilitacyjne;”,</w:t>
      </w:r>
    </w:p>
    <w:p w14:paraId="05503840" w14:textId="77777777" w:rsidR="00AA7148" w:rsidRPr="00AA7148" w:rsidRDefault="00AA7148" w:rsidP="00AA7148">
      <w:pPr>
        <w:pStyle w:val="LITlitera"/>
      </w:pPr>
      <w:r w:rsidRPr="00AA7148">
        <w:t>b)</w:t>
      </w:r>
      <w:r w:rsidRPr="00AA7148">
        <w:tab/>
        <w:t>uchyla się ust. 2a i 2b;</w:t>
      </w:r>
    </w:p>
    <w:p w14:paraId="718AA39F" w14:textId="77777777" w:rsidR="00AA7148" w:rsidRPr="00AA7148" w:rsidRDefault="00AA7148" w:rsidP="00AA7148">
      <w:pPr>
        <w:pStyle w:val="PKTpunkt"/>
        <w:keepNext/>
      </w:pPr>
      <w:r w:rsidRPr="00AA7148">
        <w:lastRenderedPageBreak/>
        <w:t>3)</w:t>
      </w:r>
      <w:r w:rsidRPr="00AA7148">
        <w:tab/>
        <w:t>w art. 29:</w:t>
      </w:r>
    </w:p>
    <w:p w14:paraId="6EB409B0" w14:textId="4001B37A" w:rsidR="00AA7148" w:rsidRPr="00AA7148" w:rsidRDefault="00AA7148" w:rsidP="00AA7148">
      <w:pPr>
        <w:pStyle w:val="LITlitera"/>
        <w:keepNext/>
      </w:pPr>
      <w:r w:rsidRPr="00AA7148">
        <w:t>a)</w:t>
      </w:r>
      <w:r w:rsidRPr="00AA7148">
        <w:tab/>
        <w:t>ust</w:t>
      </w:r>
      <w:r w:rsidR="00F53141">
        <w:t>.</w:t>
      </w:r>
      <w:r w:rsidRPr="00AA7148">
        <w:t xml:space="preserve"> 1a otrzymuje brzmienie</w:t>
      </w:r>
      <w:r w:rsidR="00F53141">
        <w:t>:</w:t>
      </w:r>
    </w:p>
    <w:p w14:paraId="0BE499C1" w14:textId="1C4F20C5" w:rsidR="00AA7148" w:rsidRPr="00AA7148" w:rsidRDefault="00AA7148" w:rsidP="00AA7148">
      <w:pPr>
        <w:pStyle w:val="ZLITUSTzmustliter"/>
      </w:pPr>
      <w:r w:rsidRPr="00AA7148">
        <w:t xml:space="preserve">„1a. Stan zatrudnienia osób niepełnosprawnych, o których mowa w ust. 1 pkt 1 </w:t>
      </w:r>
      <w:r w:rsidRPr="00F53141">
        <w:t xml:space="preserve">lit. </w:t>
      </w:r>
      <w:r w:rsidR="00964704" w:rsidRPr="00F53141">
        <w:t>b</w:t>
      </w:r>
      <w:r w:rsidRPr="00AA7148">
        <w:t xml:space="preserve">, nie </w:t>
      </w:r>
      <w:r w:rsidR="00ED3783">
        <w:t xml:space="preserve">może </w:t>
      </w:r>
      <w:r w:rsidRPr="00AA7148">
        <w:t xml:space="preserve">być </w:t>
      </w:r>
      <w:r w:rsidR="00ED3783" w:rsidRPr="00F53141">
        <w:t xml:space="preserve">wyższy </w:t>
      </w:r>
      <w:r w:rsidRPr="00AA7148">
        <w:t xml:space="preserve">niż </w:t>
      </w:r>
      <w:r w:rsidR="00ED3783">
        <w:t xml:space="preserve">55 </w:t>
      </w:r>
      <w:r w:rsidRPr="00AA7148">
        <w:t>% ogółu zatrudnionych</w:t>
      </w:r>
      <w:r w:rsidR="00F53141">
        <w:t>.</w:t>
      </w:r>
      <w:r w:rsidRPr="00AA7148">
        <w:t>”,</w:t>
      </w:r>
    </w:p>
    <w:p w14:paraId="5BEB3B7B" w14:textId="77777777" w:rsidR="00AA7148" w:rsidRPr="00D43F38" w:rsidRDefault="00AA7148" w:rsidP="00AA7148">
      <w:pPr>
        <w:pStyle w:val="LITlitera"/>
        <w:keepNext/>
      </w:pPr>
      <w:r w:rsidRPr="00D43F38">
        <w:t>b)</w:t>
      </w:r>
      <w:r w:rsidRPr="00D43F38">
        <w:tab/>
        <w:t>ust. 1c otrzymuje brzmienie:</w:t>
      </w:r>
    </w:p>
    <w:p w14:paraId="6A55CAA1" w14:textId="2D9F34F1" w:rsidR="00AA7148" w:rsidRPr="00D43F38" w:rsidRDefault="00AA7148" w:rsidP="00AA7148">
      <w:pPr>
        <w:pStyle w:val="ZLITUSTzmustliter"/>
      </w:pPr>
      <w:r w:rsidRPr="00D43F38">
        <w:t>„1c. Wojewoda, w drodze decyzji, zwalnia na czas określony, nie dłużej niż na sześć miesięcy, organizatora zakładu aktywności zawodowej od spełniania warunku, o którym mowa w ust. 1 pkt 1</w:t>
      </w:r>
      <w:r w:rsidR="0048552F" w:rsidRPr="00D43F38">
        <w:t xml:space="preserve"> lit. a lub ust. 1a</w:t>
      </w:r>
      <w:r w:rsidRPr="00D43F38">
        <w:t>, jeżeli naruszenie tego warunku nastąpiło z przyczyn niezależnych od pracodawcy a właściwy powiatowy urząd pracy nie może skierować wymaganej liczby osób niepełnosprawnych, o których mowa w ust. 1, do pracy w tym zakładzie.”,</w:t>
      </w:r>
    </w:p>
    <w:p w14:paraId="784B605F" w14:textId="77777777" w:rsidR="00AA7148" w:rsidRPr="00AA7148" w:rsidRDefault="00AA7148" w:rsidP="00AA7148">
      <w:pPr>
        <w:pStyle w:val="LITlitera"/>
        <w:keepNext/>
      </w:pPr>
      <w:r w:rsidRPr="00AA7148">
        <w:t>c)</w:t>
      </w:r>
      <w:r w:rsidRPr="00AA7148">
        <w:tab/>
        <w:t>w ust. 3a</w:t>
      </w:r>
      <w:r w:rsidRPr="00AA7148">
        <w:rPr>
          <w:rStyle w:val="IGindeksgrny"/>
        </w:rPr>
        <w:t>1</w:t>
      </w:r>
      <w:r w:rsidRPr="00AA7148">
        <w:t xml:space="preserve"> wprowadzenie do wyliczenia otrzymuje brzmienie:</w:t>
      </w:r>
    </w:p>
    <w:p w14:paraId="7EBD0D33" w14:textId="68FF50B8" w:rsidR="00AA7148" w:rsidRPr="00AA7148" w:rsidRDefault="00AA7148" w:rsidP="00AA7148">
      <w:pPr>
        <w:pStyle w:val="ZLITFRAGzmlitfragmentunpzdanialiter"/>
      </w:pPr>
      <w:r w:rsidRPr="00AA7148">
        <w:t>„W przypadku wydatkowania zakładowego funduszu aktywności niezgodnie z przepisami wydanymi na podstawie ust. 4 albo w razie nieprzekazania środków, o których mowa w ust. 1 pkt 3</w:t>
      </w:r>
      <w:r w:rsidR="00ED3783">
        <w:t>,</w:t>
      </w:r>
      <w:r w:rsidRPr="00AA7148">
        <w:t xml:space="preserve"> na wyodrębniony rachunek bankowy w terminie do dnia 31 grudnia roku </w:t>
      </w:r>
      <w:r w:rsidRPr="00F53141">
        <w:t>następ</w:t>
      </w:r>
      <w:r w:rsidR="00ED3783" w:rsidRPr="00F53141">
        <w:t>ującego</w:t>
      </w:r>
      <w:r w:rsidRPr="00AA7148">
        <w:t xml:space="preserve"> </w:t>
      </w:r>
      <w:r w:rsidRPr="00F53141">
        <w:t xml:space="preserve">po </w:t>
      </w:r>
      <w:r w:rsidR="00ED3783" w:rsidRPr="00F53141">
        <w:t xml:space="preserve">roku </w:t>
      </w:r>
      <w:r w:rsidRPr="00F53141">
        <w:t>uzyskani</w:t>
      </w:r>
      <w:r w:rsidR="00ED3783" w:rsidRPr="00F53141">
        <w:t>a</w:t>
      </w:r>
      <w:r w:rsidRPr="00AA7148">
        <w:t xml:space="preserve"> tych środków, pracodawca jest obowiązany do dokonania:”,</w:t>
      </w:r>
    </w:p>
    <w:p w14:paraId="35B064EC" w14:textId="2E37115B" w:rsidR="00AA7148" w:rsidRPr="00AA7148" w:rsidRDefault="00AA7148" w:rsidP="00AA7148">
      <w:pPr>
        <w:pStyle w:val="LITlitera"/>
      </w:pPr>
      <w:r w:rsidRPr="00AA7148">
        <w:t>d)</w:t>
      </w:r>
      <w:r w:rsidRPr="00AA7148">
        <w:tab/>
        <w:t>w ust. 3a</w:t>
      </w:r>
      <w:r w:rsidRPr="00AA7148">
        <w:rPr>
          <w:rStyle w:val="IGindeksgrny"/>
        </w:rPr>
        <w:t>3</w:t>
      </w:r>
      <w:r w:rsidRPr="00AA7148">
        <w:t xml:space="preserve"> skreśla się wyrazy „art. 29”;</w:t>
      </w:r>
    </w:p>
    <w:p w14:paraId="4B1C9444" w14:textId="77777777" w:rsidR="00AA7148" w:rsidRPr="00AA7148" w:rsidRDefault="00AA7148" w:rsidP="00AA7148">
      <w:pPr>
        <w:pStyle w:val="PKTpunkt"/>
        <w:keepNext/>
      </w:pPr>
      <w:r w:rsidRPr="00AA7148">
        <w:t>4)</w:t>
      </w:r>
      <w:r w:rsidRPr="00AA7148">
        <w:tab/>
        <w:t>w art. 48 po ust. 3 dodaje się ust. 3a w brzmieniu:</w:t>
      </w:r>
    </w:p>
    <w:p w14:paraId="2270C913" w14:textId="09ACF90B" w:rsidR="00AA7148" w:rsidRPr="00AA7148" w:rsidRDefault="00AA7148" w:rsidP="00AA7148">
      <w:pPr>
        <w:pStyle w:val="ZUSTzmustartykuempunktem"/>
      </w:pPr>
      <w:r w:rsidRPr="00AA7148">
        <w:t xml:space="preserve">„3a. Samorząd województwa może zwiększyć maksymalną kwotę zobowiązań samorządu województwa do wypłaty w danym roku z tytułu dofinansowania kosztów działalności zakładów aktywności zawodowej z </w:t>
      </w:r>
      <w:bookmarkStart w:id="0" w:name="_Hlk191744486"/>
      <w:r w:rsidRPr="00AA7148">
        <w:t xml:space="preserve">zaoszczędzonych środków własnych lub ze środków otrzymanych na realizację innych działań, przekazanych przez Prezesa Zarządu Funduszu, </w:t>
      </w:r>
      <w:bookmarkEnd w:id="0"/>
      <w:r w:rsidRPr="00AA7148">
        <w:t>według algorytmu, o którym mowa w ust. 1 pkt 1.”.</w:t>
      </w:r>
    </w:p>
    <w:p w14:paraId="6029165C" w14:textId="643966E8" w:rsidR="0048552F" w:rsidRPr="00D43F38" w:rsidRDefault="0048552F" w:rsidP="00AA7148">
      <w:pPr>
        <w:pStyle w:val="ARTartustawynprozporzdzenia"/>
      </w:pPr>
      <w:r>
        <w:rPr>
          <w:rStyle w:val="Ppogrubienie"/>
        </w:rPr>
        <w:t>Art.</w:t>
      </w:r>
      <w:r w:rsidR="00D43F38">
        <w:rPr>
          <w:rStyle w:val="Ppogrubienie"/>
        </w:rPr>
        <w:t> </w:t>
      </w:r>
      <w:r w:rsidR="000040B0">
        <w:rPr>
          <w:rStyle w:val="Ppogrubienie"/>
        </w:rPr>
        <w:t>2</w:t>
      </w:r>
      <w:r>
        <w:rPr>
          <w:rStyle w:val="Ppogrubienie"/>
        </w:rPr>
        <w:t xml:space="preserve">. </w:t>
      </w:r>
      <w:r w:rsidRPr="00D43F38">
        <w:t>Do obniżenia wpłat na Państwowy Fundusz Rehabilitacji Osób Niepełnosprawnych, o których mowa w art. 22 ust. 1 ustawy zmienianej w art. 1, związanych z zakupem produkcji lub usługi dokonanym przed dniem wejścia w życie niniejszej ustawy, stosuje się przepisy dotychczasowe.</w:t>
      </w:r>
    </w:p>
    <w:p w14:paraId="7E3BC620" w14:textId="3A0B3D98" w:rsidR="0048552F" w:rsidRPr="00D43F38" w:rsidRDefault="0048552F" w:rsidP="0048552F">
      <w:pPr>
        <w:pStyle w:val="ARTartustawynprozporzdzenia"/>
      </w:pPr>
      <w:r>
        <w:rPr>
          <w:rStyle w:val="Ppogrubienie"/>
        </w:rPr>
        <w:t>Art.</w:t>
      </w:r>
      <w:r w:rsidR="00D43F38">
        <w:rPr>
          <w:rStyle w:val="Ppogrubienie"/>
        </w:rPr>
        <w:t> </w:t>
      </w:r>
      <w:r w:rsidR="000040B0">
        <w:rPr>
          <w:rStyle w:val="Ppogrubienie"/>
        </w:rPr>
        <w:t>3</w:t>
      </w:r>
      <w:r>
        <w:rPr>
          <w:rStyle w:val="Ppogrubienie"/>
        </w:rPr>
        <w:t xml:space="preserve">. </w:t>
      </w:r>
      <w:r w:rsidRPr="00D43F38">
        <w:t xml:space="preserve">Dotychczasowe przepisy wykonawcze wydane na podstawie art. 22 ust. 12 i art. 30 ust. 5 ustawy zmienianej w art. 1 zachowują moc do dnia wejścia w życie </w:t>
      </w:r>
      <w:r w:rsidRPr="00D43F38">
        <w:lastRenderedPageBreak/>
        <w:t>nowych przepisów wykonawczych wydanych na podstawie art. 22 ust. 12 i art. 30 ust. 5 ustawy zmienianej w art. 1, jednak nie dłużej niż przez okres 18 miesięcy od dnia wejścia w życie niniejszej ustawy.</w:t>
      </w:r>
    </w:p>
    <w:p w14:paraId="5BDEA59B" w14:textId="6B9C7FB4" w:rsidR="00AA7148" w:rsidRPr="00AA7148" w:rsidRDefault="00AA7148" w:rsidP="00AA7148">
      <w:pPr>
        <w:pStyle w:val="ARTartustawynprozporzdzenia"/>
      </w:pPr>
      <w:r w:rsidRPr="00AA7148">
        <w:rPr>
          <w:rStyle w:val="Ppogrubienie"/>
        </w:rPr>
        <w:t>Art. </w:t>
      </w:r>
      <w:r w:rsidR="000040B0">
        <w:rPr>
          <w:rStyle w:val="Ppogrubienie"/>
        </w:rPr>
        <w:t>4</w:t>
      </w:r>
      <w:r w:rsidRPr="00AA7148">
        <w:rPr>
          <w:rStyle w:val="Ppogrubienie"/>
        </w:rPr>
        <w:t>.</w:t>
      </w:r>
      <w:r w:rsidRPr="00AA7148">
        <w:t xml:space="preserve"> </w:t>
      </w:r>
      <w:bookmarkStart w:id="1" w:name="_Hlk194219436"/>
      <w:r w:rsidRPr="00AA7148">
        <w:t>Ustawa wchodzi w życie pierwszego dnia miesiąca następującego po upływie miesiąca od dnia ogłoszenia, z wyjątkiem art. 1 pkt 1, który wchodzi w życie pierwszego dnia miesiąca następującego po upływie 3 miesięcy od dnia ogłoszenia.</w:t>
      </w:r>
      <w:bookmarkEnd w:id="1"/>
    </w:p>
    <w:p w14:paraId="7E6E8E06" w14:textId="77777777" w:rsidR="005E31CC" w:rsidRPr="00AA7148" w:rsidRDefault="005E31CC" w:rsidP="005315BE">
      <w:pPr>
        <w:rPr>
          <w:rStyle w:val="Ppogrubienie"/>
          <w:b w:val="0"/>
        </w:rPr>
      </w:pPr>
    </w:p>
    <w:sectPr w:rsidR="005E31CC" w:rsidRPr="00AA7148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60CE" w14:textId="77777777" w:rsidR="00026466" w:rsidRDefault="00026466">
      <w:r>
        <w:separator/>
      </w:r>
    </w:p>
  </w:endnote>
  <w:endnote w:type="continuationSeparator" w:id="0">
    <w:p w14:paraId="2B9A8594" w14:textId="77777777" w:rsidR="00026466" w:rsidRDefault="0002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D278" w14:textId="77777777" w:rsidR="00026466" w:rsidRDefault="00026466">
      <w:r>
        <w:separator/>
      </w:r>
    </w:p>
  </w:footnote>
  <w:footnote w:type="continuationSeparator" w:id="0">
    <w:p w14:paraId="718EACA6" w14:textId="77777777" w:rsidR="00026466" w:rsidRDefault="0002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241C" w14:textId="4648D09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60F34">
      <w:rPr>
        <w:rStyle w:val="Ppogrubienie"/>
        <w:noProof/>
      </w:rPr>
      <w:t>2025-09-16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60F34">
          <w:rPr>
            <w:rStyle w:val="Ppogrubienie"/>
            <w:noProof/>
          </w:rPr>
          <w:t>V5_68-36.NK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214FF7E" w14:textId="78DCFFE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48573F" wp14:editId="7547EEB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A7148">
      <w:rPr>
        <w:rStyle w:val="Ppogrubienie"/>
      </w:rPr>
      <w:t xml:space="preserve"> 1187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A94A" w14:textId="4B1F5DE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60F34">
      <w:rPr>
        <w:rStyle w:val="Ppogrubienie"/>
        <w:noProof/>
      </w:rPr>
      <w:t>2025-09-16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60F34">
          <w:rPr>
            <w:rStyle w:val="Ppogrubienie"/>
            <w:noProof/>
          </w:rPr>
          <w:t>V5_68-36.NK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D12328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9DD2B9" wp14:editId="38A9E0F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9337458">
    <w:abstractNumId w:val="24"/>
  </w:num>
  <w:num w:numId="2" w16cid:durableId="772241867">
    <w:abstractNumId w:val="24"/>
  </w:num>
  <w:num w:numId="3" w16cid:durableId="366368406">
    <w:abstractNumId w:val="19"/>
  </w:num>
  <w:num w:numId="4" w16cid:durableId="714551044">
    <w:abstractNumId w:val="19"/>
  </w:num>
  <w:num w:numId="5" w16cid:durableId="1935505566">
    <w:abstractNumId w:val="38"/>
  </w:num>
  <w:num w:numId="6" w16cid:durableId="591357007">
    <w:abstractNumId w:val="34"/>
  </w:num>
  <w:num w:numId="7" w16cid:durableId="897940093">
    <w:abstractNumId w:val="38"/>
  </w:num>
  <w:num w:numId="8" w16cid:durableId="1474832471">
    <w:abstractNumId w:val="34"/>
  </w:num>
  <w:num w:numId="9" w16cid:durableId="308486326">
    <w:abstractNumId w:val="38"/>
  </w:num>
  <w:num w:numId="10" w16cid:durableId="1914773576">
    <w:abstractNumId w:val="34"/>
  </w:num>
  <w:num w:numId="11" w16cid:durableId="1001619375">
    <w:abstractNumId w:val="15"/>
  </w:num>
  <w:num w:numId="12" w16cid:durableId="1950700385">
    <w:abstractNumId w:val="10"/>
  </w:num>
  <w:num w:numId="13" w16cid:durableId="1235966394">
    <w:abstractNumId w:val="16"/>
  </w:num>
  <w:num w:numId="14" w16cid:durableId="1550528546">
    <w:abstractNumId w:val="28"/>
  </w:num>
  <w:num w:numId="15" w16cid:durableId="1961374198">
    <w:abstractNumId w:val="15"/>
  </w:num>
  <w:num w:numId="16" w16cid:durableId="1776173822">
    <w:abstractNumId w:val="17"/>
  </w:num>
  <w:num w:numId="17" w16cid:durableId="1184051076">
    <w:abstractNumId w:val="8"/>
  </w:num>
  <w:num w:numId="18" w16cid:durableId="2146391606">
    <w:abstractNumId w:val="3"/>
  </w:num>
  <w:num w:numId="19" w16cid:durableId="291909972">
    <w:abstractNumId w:val="2"/>
  </w:num>
  <w:num w:numId="20" w16cid:durableId="1055272672">
    <w:abstractNumId w:val="1"/>
  </w:num>
  <w:num w:numId="21" w16cid:durableId="2002349833">
    <w:abstractNumId w:val="0"/>
  </w:num>
  <w:num w:numId="22" w16cid:durableId="1204907220">
    <w:abstractNumId w:val="9"/>
  </w:num>
  <w:num w:numId="23" w16cid:durableId="1112557317">
    <w:abstractNumId w:val="7"/>
  </w:num>
  <w:num w:numId="24" w16cid:durableId="532613249">
    <w:abstractNumId w:val="6"/>
  </w:num>
  <w:num w:numId="25" w16cid:durableId="1685397780">
    <w:abstractNumId w:val="5"/>
  </w:num>
  <w:num w:numId="26" w16cid:durableId="1478912862">
    <w:abstractNumId w:val="4"/>
  </w:num>
  <w:num w:numId="27" w16cid:durableId="1382746229">
    <w:abstractNumId w:val="36"/>
  </w:num>
  <w:num w:numId="28" w16cid:durableId="1275483555">
    <w:abstractNumId w:val="27"/>
  </w:num>
  <w:num w:numId="29" w16cid:durableId="1420832551">
    <w:abstractNumId w:val="39"/>
  </w:num>
  <w:num w:numId="30" w16cid:durableId="521554173">
    <w:abstractNumId w:val="35"/>
  </w:num>
  <w:num w:numId="31" w16cid:durableId="898981688">
    <w:abstractNumId w:val="20"/>
  </w:num>
  <w:num w:numId="32" w16cid:durableId="1891961668">
    <w:abstractNumId w:val="11"/>
  </w:num>
  <w:num w:numId="33" w16cid:durableId="1576667863">
    <w:abstractNumId w:val="33"/>
  </w:num>
  <w:num w:numId="34" w16cid:durableId="470562796">
    <w:abstractNumId w:val="21"/>
  </w:num>
  <w:num w:numId="35" w16cid:durableId="210845910">
    <w:abstractNumId w:val="18"/>
  </w:num>
  <w:num w:numId="36" w16cid:durableId="692270234">
    <w:abstractNumId w:val="23"/>
  </w:num>
  <w:num w:numId="37" w16cid:durableId="2104107280">
    <w:abstractNumId w:val="29"/>
  </w:num>
  <w:num w:numId="38" w16cid:durableId="2098551012">
    <w:abstractNumId w:val="26"/>
  </w:num>
  <w:num w:numId="39" w16cid:durableId="179514393">
    <w:abstractNumId w:val="14"/>
  </w:num>
  <w:num w:numId="40" w16cid:durableId="1448113996">
    <w:abstractNumId w:val="32"/>
  </w:num>
  <w:num w:numId="41" w16cid:durableId="543905799">
    <w:abstractNumId w:val="30"/>
  </w:num>
  <w:num w:numId="42" w16cid:durableId="1833135075">
    <w:abstractNumId w:val="22"/>
  </w:num>
  <w:num w:numId="43" w16cid:durableId="579825593">
    <w:abstractNumId w:val="37"/>
  </w:num>
  <w:num w:numId="44" w16cid:durableId="1504661888">
    <w:abstractNumId w:val="13"/>
  </w:num>
  <w:num w:numId="45" w16cid:durableId="16783962">
    <w:abstractNumId w:val="40"/>
  </w:num>
  <w:num w:numId="46" w16cid:durableId="917977494">
    <w:abstractNumId w:val="25"/>
  </w:num>
  <w:num w:numId="47" w16cid:durableId="1283533894">
    <w:abstractNumId w:val="12"/>
  </w:num>
  <w:num w:numId="48" w16cid:durableId="12434445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0937"/>
    <w:rsid w:val="000012DA"/>
    <w:rsid w:val="0000246E"/>
    <w:rsid w:val="00003862"/>
    <w:rsid w:val="000040B0"/>
    <w:rsid w:val="00012A35"/>
    <w:rsid w:val="00016099"/>
    <w:rsid w:val="00017DC2"/>
    <w:rsid w:val="00021522"/>
    <w:rsid w:val="000225DD"/>
    <w:rsid w:val="00023471"/>
    <w:rsid w:val="00023F13"/>
    <w:rsid w:val="00026466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4E6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542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7EE3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E43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3B58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52F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2FFD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61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1DB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0267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6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69E0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AB0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3875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46FA7"/>
    <w:rsid w:val="009509E6"/>
    <w:rsid w:val="00951095"/>
    <w:rsid w:val="00952018"/>
    <w:rsid w:val="00952800"/>
    <w:rsid w:val="0095300D"/>
    <w:rsid w:val="00956812"/>
    <w:rsid w:val="0095719A"/>
    <w:rsid w:val="009623E9"/>
    <w:rsid w:val="00963EEB"/>
    <w:rsid w:val="00964704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3EE"/>
    <w:rsid w:val="00A24FCC"/>
    <w:rsid w:val="00A26080"/>
    <w:rsid w:val="00A26A90"/>
    <w:rsid w:val="00A26B27"/>
    <w:rsid w:val="00A30E4F"/>
    <w:rsid w:val="00A32253"/>
    <w:rsid w:val="00A328F1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148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0E1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1F9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3F38"/>
    <w:rsid w:val="00D4718E"/>
    <w:rsid w:val="00D47D7A"/>
    <w:rsid w:val="00D50ABD"/>
    <w:rsid w:val="00D55290"/>
    <w:rsid w:val="00D57791"/>
    <w:rsid w:val="00D6046A"/>
    <w:rsid w:val="00D62870"/>
    <w:rsid w:val="00D64FB8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3EA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783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84"/>
    <w:rsid w:val="00F43390"/>
    <w:rsid w:val="00F443B2"/>
    <w:rsid w:val="00F458D8"/>
    <w:rsid w:val="00F50237"/>
    <w:rsid w:val="00F53141"/>
    <w:rsid w:val="00F53596"/>
    <w:rsid w:val="00F55BA8"/>
    <w:rsid w:val="00F55DB1"/>
    <w:rsid w:val="00F56ACA"/>
    <w:rsid w:val="00F600FE"/>
    <w:rsid w:val="00F60F34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001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43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2025-09-16T07:16:00Z</dcterms:created>
  <dcterms:modified xsi:type="dcterms:W3CDTF">2025-09-16T07:16:00Z</dcterms:modified>
  <cp:category/>
</cp:coreProperties>
</file>