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56CD" w14:textId="77777777" w:rsidR="00F20F77" w:rsidRPr="00F20F77" w:rsidRDefault="00F20F77" w:rsidP="00F20F77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24"/>
          <w:lang w:eastAsia="pl-PL"/>
          <w14:ligatures w14:val="none"/>
        </w:rPr>
      </w:pPr>
      <w:bookmarkStart w:id="0" w:name="_Hlk172801897"/>
      <w:r w:rsidRPr="00F20F77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24"/>
          <w:lang w:eastAsia="pl-PL"/>
          <w14:ligatures w14:val="none"/>
        </w:rPr>
        <w:t>USTAWA</w:t>
      </w:r>
    </w:p>
    <w:bookmarkEnd w:id="0"/>
    <w:p w14:paraId="7DA6BABB" w14:textId="77777777" w:rsidR="00F20F77" w:rsidRPr="00F20F77" w:rsidRDefault="00F20F77" w:rsidP="00F20F77">
      <w:pPr>
        <w:suppressAutoHyphens/>
        <w:spacing w:line="360" w:lineRule="auto"/>
        <w:jc w:val="center"/>
        <w:rPr>
          <w:rFonts w:ascii="Times New Roman" w:eastAsia="SimSun" w:hAnsi="Times New Roman" w:cs="Times New Roman"/>
          <w:bCs/>
          <w:color w:val="000000"/>
          <w:kern w:val="0"/>
          <w:lang w:eastAsia="ar-SA"/>
          <w14:ligatures w14:val="none"/>
        </w:rPr>
      </w:pPr>
      <w:r w:rsidRPr="00F20F77">
        <w:rPr>
          <w:rFonts w:ascii="Times New Roman" w:eastAsia="SimSun" w:hAnsi="Times New Roman" w:cs="Times New Roman"/>
          <w:bCs/>
          <w:color w:val="000000"/>
          <w:kern w:val="0"/>
          <w:lang w:eastAsia="ar-SA"/>
          <w14:ligatures w14:val="none"/>
        </w:rPr>
        <w:t>z dnia …</w:t>
      </w:r>
    </w:p>
    <w:p w14:paraId="12120B54" w14:textId="14E0E910" w:rsidR="00F20F77" w:rsidRDefault="00F20F77" w:rsidP="00F20F7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  <w:r w:rsidRPr="00F20F77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>o zmianie ustawy o podatku dochodowym od osób prawnych oraz ustawy o podatku dochodowym od osób fizycznych</w:t>
      </w:r>
    </w:p>
    <w:p w14:paraId="4D40A48F" w14:textId="77777777" w:rsidR="00ED4BF5" w:rsidRPr="00F20F77" w:rsidRDefault="00ED4BF5" w:rsidP="00F20F7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59495282" w14:textId="228AE2CB" w:rsidR="00F20F77" w:rsidRPr="00F20F77" w:rsidRDefault="00F20F77" w:rsidP="00F20F77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bookmarkStart w:id="1" w:name="_Hlk207098079"/>
      <w:r w:rsidRPr="00F20F77">
        <w:rPr>
          <w:rFonts w:ascii="Times New Roman" w:eastAsia="Calibri" w:hAnsi="Times New Roman" w:cs="Times New Roman"/>
          <w:b/>
          <w:bCs/>
          <w:color w:val="000000"/>
        </w:rPr>
        <w:t>Art. 1.</w:t>
      </w:r>
      <w:r w:rsidRPr="00F20F77">
        <w:rPr>
          <w:rFonts w:ascii="Times New Roman" w:eastAsia="Calibri" w:hAnsi="Times New Roman" w:cs="Times New Roman"/>
          <w:color w:val="000000"/>
        </w:rPr>
        <w:t xml:space="preserve"> W ustawie z dnia 15 lutego 1992 r. o podatku dochodowym od osób prawnych (Dz. U. z 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F20F77">
        <w:rPr>
          <w:rFonts w:ascii="Times New Roman" w:eastAsia="Calibri" w:hAnsi="Times New Roman" w:cs="Times New Roman"/>
          <w:color w:val="000000"/>
        </w:rPr>
        <w:t xml:space="preserve"> r. poz.</w:t>
      </w:r>
      <w:r>
        <w:rPr>
          <w:rFonts w:ascii="Times New Roman" w:eastAsia="Calibri" w:hAnsi="Times New Roman" w:cs="Times New Roman"/>
          <w:color w:val="000000"/>
        </w:rPr>
        <w:t>278</w:t>
      </w:r>
      <w:r w:rsidRPr="00F20F77">
        <w:rPr>
          <w:rFonts w:ascii="Times New Roman" w:eastAsia="Calibri" w:hAnsi="Times New Roman" w:cs="Times New Roman"/>
          <w:color w:val="000000"/>
        </w:rPr>
        <w:t xml:space="preserve">) </w:t>
      </w:r>
      <w:r>
        <w:rPr>
          <w:rFonts w:ascii="Times New Roman" w:eastAsia="Calibri" w:hAnsi="Times New Roman" w:cs="Times New Roman"/>
          <w:color w:val="000000"/>
        </w:rPr>
        <w:t>w art. 38eb</w:t>
      </w:r>
      <w:r w:rsidRPr="00F20F77">
        <w:rPr>
          <w:rFonts w:ascii="Times New Roman" w:eastAsia="Calibri" w:hAnsi="Times New Roman" w:cs="Times New Roman"/>
          <w:color w:val="000000"/>
        </w:rPr>
        <w:t>:</w:t>
      </w:r>
    </w:p>
    <w:bookmarkEnd w:id="1"/>
    <w:p w14:paraId="2084315D" w14:textId="3732F134" w:rsidR="005E35F6" w:rsidRDefault="00F20F77" w:rsidP="00F20F7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ust. 1 otrzymuje brzmienie:</w:t>
      </w:r>
    </w:p>
    <w:p w14:paraId="3DBA5347" w14:textId="77777777" w:rsidR="00F20F77" w:rsidRDefault="00F20F77" w:rsidP="00F20F77">
      <w:pPr>
        <w:spacing w:after="0" w:line="240" w:lineRule="auto"/>
        <w:ind w:left="708" w:firstLine="348"/>
        <w:rPr>
          <w:rFonts w:ascii="Times New Roman" w:hAnsi="Times New Roman" w:cs="Times New Roman"/>
        </w:rPr>
      </w:pPr>
    </w:p>
    <w:p w14:paraId="44FAD873" w14:textId="3F52C112" w:rsidR="00F20F77" w:rsidRDefault="00F20F77" w:rsidP="00EC4854">
      <w:pPr>
        <w:spacing w:after="0" w:line="360" w:lineRule="auto"/>
        <w:ind w:left="709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F20F77">
        <w:rPr>
          <w:rFonts w:ascii="Times New Roman" w:hAnsi="Times New Roman" w:cs="Times New Roman"/>
        </w:rPr>
        <w:t xml:space="preserve">1. Podatnik uzyskujący przychody inne niż przychody z zysków kapitałowych może odliczyć od podstawy opodatkowania, ustalonej zgodnie z art. 18, kwotę stanowiącą </w:t>
      </w:r>
      <w:r>
        <w:rPr>
          <w:rFonts w:ascii="Times New Roman" w:hAnsi="Times New Roman" w:cs="Times New Roman"/>
        </w:rPr>
        <w:t>10</w:t>
      </w:r>
      <w:r w:rsidRPr="00F20F77">
        <w:rPr>
          <w:rFonts w:ascii="Times New Roman" w:hAnsi="Times New Roman" w:cs="Times New Roman"/>
        </w:rPr>
        <w:t>0% kosztów uzyskania przychodów poniesionych w roku podatkowym na robotyzację, przy czym kwota odliczenia nie może przekraczać kwoty dochodu uzyskanego przez podatnika w roku podatkowym z przychodów innych niż przychody z zysków kapitałowych.</w:t>
      </w:r>
      <w:r>
        <w:rPr>
          <w:rFonts w:ascii="Times New Roman" w:hAnsi="Times New Roman" w:cs="Times New Roman"/>
        </w:rPr>
        <w:t>”</w:t>
      </w:r>
      <w:r w:rsidR="00874BE0">
        <w:rPr>
          <w:rFonts w:ascii="Times New Roman" w:hAnsi="Times New Roman" w:cs="Times New Roman"/>
        </w:rPr>
        <w:t>;</w:t>
      </w:r>
    </w:p>
    <w:p w14:paraId="12DA8C9E" w14:textId="7DFFC816" w:rsidR="00EC4854" w:rsidRDefault="00F20F77" w:rsidP="00EC48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uchyla się ust. 5.</w:t>
      </w:r>
    </w:p>
    <w:p w14:paraId="5462BAE9" w14:textId="77777777" w:rsidR="00EC4854" w:rsidRDefault="00EC4854" w:rsidP="00EC48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F7362" w14:textId="1C4CDC5B" w:rsidR="00EC4854" w:rsidRDefault="00EC4854" w:rsidP="00EC4854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bookmarkStart w:id="2" w:name="_Hlk207098795"/>
      <w:r w:rsidRPr="00F20F77">
        <w:rPr>
          <w:rFonts w:ascii="Times New Roman" w:eastAsia="Calibri" w:hAnsi="Times New Roman" w:cs="Times New Roman"/>
          <w:b/>
          <w:bCs/>
          <w:color w:val="000000"/>
        </w:rPr>
        <w:t xml:space="preserve">Art. </w:t>
      </w:r>
      <w:r>
        <w:rPr>
          <w:rFonts w:ascii="Times New Roman" w:eastAsia="Calibri" w:hAnsi="Times New Roman" w:cs="Times New Roman"/>
          <w:b/>
          <w:bCs/>
          <w:color w:val="000000"/>
        </w:rPr>
        <w:t>2</w:t>
      </w:r>
      <w:r w:rsidRPr="00F20F77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F20F77">
        <w:rPr>
          <w:rFonts w:ascii="Times New Roman" w:eastAsia="Calibri" w:hAnsi="Times New Roman" w:cs="Times New Roman"/>
          <w:color w:val="000000"/>
        </w:rPr>
        <w:t xml:space="preserve"> W ustawie z dnia </w:t>
      </w:r>
      <w:r w:rsidRPr="00EC4854">
        <w:rPr>
          <w:rFonts w:ascii="Times New Roman" w:eastAsia="Calibri" w:hAnsi="Times New Roman" w:cs="Times New Roman"/>
          <w:color w:val="000000"/>
        </w:rPr>
        <w:t>26 lipca 1991 r.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C4854">
        <w:rPr>
          <w:rFonts w:ascii="Times New Roman" w:eastAsia="Calibri" w:hAnsi="Times New Roman" w:cs="Times New Roman"/>
          <w:color w:val="000000"/>
        </w:rPr>
        <w:t xml:space="preserve">o podatku dochodowym od osób fizycznych </w:t>
      </w:r>
      <w:r w:rsidRPr="00F20F77">
        <w:rPr>
          <w:rFonts w:ascii="Times New Roman" w:eastAsia="Calibri" w:hAnsi="Times New Roman" w:cs="Times New Roman"/>
          <w:color w:val="000000"/>
        </w:rPr>
        <w:t>(Dz. U. z 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F20F77">
        <w:rPr>
          <w:rFonts w:ascii="Times New Roman" w:eastAsia="Calibri" w:hAnsi="Times New Roman" w:cs="Times New Roman"/>
          <w:color w:val="000000"/>
        </w:rPr>
        <w:t xml:space="preserve"> r. poz.</w:t>
      </w:r>
      <w:r>
        <w:rPr>
          <w:rFonts w:ascii="Times New Roman" w:eastAsia="Calibri" w:hAnsi="Times New Roman" w:cs="Times New Roman"/>
          <w:color w:val="000000"/>
        </w:rPr>
        <w:t>163 oraz 1022</w:t>
      </w:r>
      <w:r w:rsidRPr="00F20F77">
        <w:rPr>
          <w:rFonts w:ascii="Times New Roman" w:eastAsia="Calibri" w:hAnsi="Times New Roman" w:cs="Times New Roman"/>
          <w:color w:val="000000"/>
        </w:rPr>
        <w:t xml:space="preserve">) </w:t>
      </w:r>
      <w:r>
        <w:rPr>
          <w:rFonts w:ascii="Times New Roman" w:eastAsia="Calibri" w:hAnsi="Times New Roman" w:cs="Times New Roman"/>
          <w:color w:val="000000"/>
        </w:rPr>
        <w:t>w art. 52jb</w:t>
      </w:r>
      <w:r w:rsidRPr="00F20F77">
        <w:rPr>
          <w:rFonts w:ascii="Times New Roman" w:eastAsia="Calibri" w:hAnsi="Times New Roman" w:cs="Times New Roman"/>
          <w:color w:val="000000"/>
        </w:rPr>
        <w:t>:</w:t>
      </w:r>
    </w:p>
    <w:bookmarkEnd w:id="2"/>
    <w:p w14:paraId="7AB38B7A" w14:textId="5CCFF010" w:rsidR="00EC4854" w:rsidRDefault="00EC4854" w:rsidP="00EC4854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ust. 1 otrzymuje brzmienie:</w:t>
      </w:r>
    </w:p>
    <w:p w14:paraId="2712A49E" w14:textId="0C4233F6" w:rsidR="00EC4854" w:rsidRDefault="00EC4854" w:rsidP="00EC4854">
      <w:pPr>
        <w:spacing w:before="120" w:after="120" w:line="360" w:lineRule="auto"/>
        <w:ind w:left="708"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„</w:t>
      </w:r>
      <w:r w:rsidRPr="00EC4854">
        <w:rPr>
          <w:rFonts w:ascii="Times New Roman" w:eastAsia="Calibri" w:hAnsi="Times New Roman" w:cs="Times New Roman"/>
          <w:color w:val="000000"/>
        </w:rPr>
        <w:t xml:space="preserve">1. Podatnik prowadzący pozarolniczą działalność gospodarczą może odliczyć od podstawy obliczenia podatku, ustalonej zgodnie z art. 26 ust. 1 lub art. 30c ust. 2, kwotę stanowiącą </w:t>
      </w:r>
      <w:r>
        <w:rPr>
          <w:rFonts w:ascii="Times New Roman" w:eastAsia="Calibri" w:hAnsi="Times New Roman" w:cs="Times New Roman"/>
          <w:color w:val="000000"/>
        </w:rPr>
        <w:t>10</w:t>
      </w:r>
      <w:r w:rsidRPr="00EC4854">
        <w:rPr>
          <w:rFonts w:ascii="Times New Roman" w:eastAsia="Calibri" w:hAnsi="Times New Roman" w:cs="Times New Roman"/>
          <w:color w:val="000000"/>
        </w:rPr>
        <w:t>0% kosztów uzyskania przychodów poniesionych w roku podatkowym na robotyzację, przy czym kwota odliczenia nie może przekraczać kwoty dochodu uzyskanego przez podatnika w roku podatkowym z pozarolniczej działalności gospodarczej.</w:t>
      </w:r>
      <w:r>
        <w:rPr>
          <w:rFonts w:ascii="Times New Roman" w:eastAsia="Calibri" w:hAnsi="Times New Roman" w:cs="Times New Roman"/>
          <w:color w:val="000000"/>
        </w:rPr>
        <w:t>”</w:t>
      </w:r>
      <w:r w:rsidR="00874BE0">
        <w:rPr>
          <w:rFonts w:ascii="Times New Roman" w:eastAsia="Calibri" w:hAnsi="Times New Roman" w:cs="Times New Roman"/>
          <w:color w:val="000000"/>
        </w:rPr>
        <w:t>;</w:t>
      </w:r>
    </w:p>
    <w:p w14:paraId="2F48A6DC" w14:textId="13E966B8" w:rsidR="00EC4854" w:rsidRPr="00EC4854" w:rsidRDefault="00ED4BF5" w:rsidP="00EC4854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uchyla się ust. 5.</w:t>
      </w:r>
    </w:p>
    <w:p w14:paraId="2ACEF344" w14:textId="1A1AA019" w:rsidR="00ED4BF5" w:rsidRDefault="00ED4BF5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F20F77">
        <w:rPr>
          <w:rFonts w:ascii="Times New Roman" w:eastAsia="Calibri" w:hAnsi="Times New Roman" w:cs="Times New Roman"/>
          <w:b/>
          <w:bCs/>
          <w:color w:val="000000"/>
        </w:rPr>
        <w:t xml:space="preserve">Art. </w:t>
      </w:r>
      <w:r>
        <w:rPr>
          <w:rFonts w:ascii="Times New Roman" w:eastAsia="Calibri" w:hAnsi="Times New Roman" w:cs="Times New Roman"/>
          <w:b/>
          <w:bCs/>
          <w:color w:val="000000"/>
        </w:rPr>
        <w:t>3</w:t>
      </w:r>
      <w:r w:rsidRPr="00F20F77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F20F77">
        <w:rPr>
          <w:rFonts w:ascii="Times New Roman" w:eastAsia="Calibri" w:hAnsi="Times New Roman" w:cs="Times New Roman"/>
          <w:color w:val="000000"/>
        </w:rPr>
        <w:t xml:space="preserve"> </w:t>
      </w:r>
      <w:r w:rsidRPr="00ED4BF5">
        <w:rPr>
          <w:rFonts w:ascii="Times New Roman" w:eastAsia="Calibri" w:hAnsi="Times New Roman" w:cs="Times New Roman"/>
          <w:color w:val="000000"/>
        </w:rPr>
        <w:t>Odliczenie od podstawy obliczenia podatku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D4BF5">
        <w:rPr>
          <w:rFonts w:ascii="Times New Roman" w:eastAsia="Calibri" w:hAnsi="Times New Roman" w:cs="Times New Roman"/>
          <w:color w:val="000000"/>
        </w:rPr>
        <w:t>kosztów uzyskania przychodów poniesionych na robotyzację</w:t>
      </w:r>
      <w:r>
        <w:rPr>
          <w:rFonts w:ascii="Times New Roman" w:eastAsia="Calibri" w:hAnsi="Times New Roman" w:cs="Times New Roman"/>
          <w:color w:val="000000"/>
        </w:rPr>
        <w:t xml:space="preserve"> w wysokości</w:t>
      </w:r>
      <w:r w:rsidR="00CF53A2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o której mowa w </w:t>
      </w:r>
      <w:r w:rsidR="00F11BE5">
        <w:rPr>
          <w:rFonts w:ascii="Times New Roman" w:eastAsia="Calibri" w:hAnsi="Times New Roman" w:cs="Times New Roman"/>
          <w:color w:val="000000"/>
        </w:rPr>
        <w:t xml:space="preserve">ustawie zmienianej w </w:t>
      </w:r>
      <w:r>
        <w:rPr>
          <w:rFonts w:ascii="Times New Roman" w:eastAsia="Calibri" w:hAnsi="Times New Roman" w:cs="Times New Roman"/>
          <w:color w:val="000000"/>
        </w:rPr>
        <w:t xml:space="preserve">art. 1 i 2 w brzmieniu nadanym niniejszą ustawą </w:t>
      </w:r>
      <w:r w:rsidRPr="00ED4BF5">
        <w:rPr>
          <w:rFonts w:ascii="Times New Roman" w:eastAsia="Calibri" w:hAnsi="Times New Roman" w:cs="Times New Roman"/>
          <w:color w:val="000000"/>
        </w:rPr>
        <w:t>ma zastosowanie</w:t>
      </w:r>
      <w:r>
        <w:rPr>
          <w:rFonts w:ascii="Times New Roman" w:eastAsia="Calibri" w:hAnsi="Times New Roman" w:cs="Times New Roman"/>
          <w:color w:val="000000"/>
        </w:rPr>
        <w:t xml:space="preserve"> po raz pierwszy</w:t>
      </w:r>
      <w:r w:rsidRPr="00ED4BF5">
        <w:rPr>
          <w:rFonts w:ascii="Times New Roman" w:eastAsia="Calibri" w:hAnsi="Times New Roman" w:cs="Times New Roman"/>
          <w:color w:val="000000"/>
        </w:rPr>
        <w:t xml:space="preserve"> </w:t>
      </w:r>
      <w:r w:rsidR="00CF53A2">
        <w:rPr>
          <w:rFonts w:ascii="Times New Roman" w:eastAsia="Calibri" w:hAnsi="Times New Roman" w:cs="Times New Roman"/>
          <w:color w:val="000000"/>
        </w:rPr>
        <w:t>do tych kosztów poniesionych od dnia 1 stycznia 2026 r.</w:t>
      </w:r>
    </w:p>
    <w:p w14:paraId="2F492F17" w14:textId="1F653C34" w:rsidR="00ED4BF5" w:rsidRPr="00ED4BF5" w:rsidRDefault="00ED4BF5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ED4BF5">
        <w:rPr>
          <w:rFonts w:ascii="Times New Roman" w:eastAsia="Calibri" w:hAnsi="Times New Roman" w:cs="Times New Roman"/>
          <w:b/>
          <w:bCs/>
          <w:color w:val="000000"/>
        </w:rPr>
        <w:t xml:space="preserve">Art. </w:t>
      </w:r>
      <w:r>
        <w:rPr>
          <w:rFonts w:ascii="Times New Roman" w:eastAsia="Calibri" w:hAnsi="Times New Roman" w:cs="Times New Roman"/>
          <w:b/>
          <w:bCs/>
          <w:color w:val="000000"/>
        </w:rPr>
        <w:t>4</w:t>
      </w:r>
      <w:r w:rsidRPr="00ED4BF5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ED4BF5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Ustawa wchodzi w życie z dniem 1 stycznia 2026 r.</w:t>
      </w:r>
    </w:p>
    <w:p w14:paraId="2E551068" w14:textId="23DD540C" w:rsidR="00F95075" w:rsidRDefault="00F95075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8B9">
        <w:rPr>
          <w:rFonts w:ascii="Times New Roman" w:hAnsi="Times New Roman" w:cs="Times New Roman"/>
          <w:b/>
          <w:bCs/>
        </w:rPr>
        <w:lastRenderedPageBreak/>
        <w:t>U</w:t>
      </w:r>
      <w:r w:rsidR="00CF53A2">
        <w:rPr>
          <w:rFonts w:ascii="Times New Roman" w:hAnsi="Times New Roman" w:cs="Times New Roman"/>
          <w:b/>
          <w:bCs/>
        </w:rPr>
        <w:t xml:space="preserve"> Z A S A D N I E N I E</w:t>
      </w:r>
    </w:p>
    <w:p w14:paraId="3BD98F86" w14:textId="77777777" w:rsidR="00CF53A2" w:rsidRPr="005518B9" w:rsidRDefault="00CF53A2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94D1D4" w14:textId="77777777" w:rsidR="00F95075" w:rsidRPr="005E35F6" w:rsidRDefault="00F95075" w:rsidP="005E35F6">
      <w:pPr>
        <w:spacing w:after="0" w:line="240" w:lineRule="auto"/>
        <w:rPr>
          <w:rFonts w:ascii="Times New Roman" w:hAnsi="Times New Roman" w:cs="Times New Roman"/>
        </w:rPr>
      </w:pPr>
    </w:p>
    <w:p w14:paraId="7BC5EDB8" w14:textId="28214D88" w:rsidR="007210B7" w:rsidRPr="005E35F6" w:rsidRDefault="00F95075" w:rsidP="00CF53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t xml:space="preserve">Od stuleci automatyzacja </w:t>
      </w:r>
      <w:r w:rsidR="005E35F6">
        <w:rPr>
          <w:rFonts w:ascii="Times New Roman" w:hAnsi="Times New Roman" w:cs="Times New Roman"/>
        </w:rPr>
        <w:t>stanowi</w:t>
      </w:r>
      <w:r w:rsidRPr="005E35F6">
        <w:rPr>
          <w:rFonts w:ascii="Times New Roman" w:hAnsi="Times New Roman" w:cs="Times New Roman"/>
        </w:rPr>
        <w:t xml:space="preserve"> warunek rozwoju przemysłu. Przez ostatnie dziesięciolecia, kluczowym sposobem zwiększenia jego efektywności była robotyzacja. Między 1993 a 2023 r. liczba robotów przemysłowych na świecie zwiększyła się niemal ośmiokrotnie, z 557 tys. do prawie 4,3 mln</w:t>
      </w:r>
      <w:r w:rsidR="005518B9">
        <w:rPr>
          <w:rStyle w:val="Odwoanieprzypisudolnego"/>
          <w:rFonts w:ascii="Times New Roman" w:hAnsi="Times New Roman" w:cs="Times New Roman"/>
        </w:rPr>
        <w:footnoteReference w:id="1"/>
      </w:r>
      <w:r w:rsidRPr="005E35F6">
        <w:rPr>
          <w:rFonts w:ascii="Times New Roman" w:hAnsi="Times New Roman" w:cs="Times New Roman"/>
        </w:rPr>
        <w:t>. Całkowita liczba robotów przemysłowych w państwach o największej liczbie robotów wynosiła w 2023 r. w Chinach – 1,755 mln, w Japonii – 435,3 tys. oraz w USA – 382 tys. Polska plasuje się w tym zestawieniu daleko za światowymi liderami. W 2023 r. w polskim przemyśle funkcjonowało 24 808 robotów. Jako wskaźnik stopnia robotyzacji gospodarek wskazuje się tzw. współczynnik robotyzacji, tj. liczbę robotów przemysłowych przypadających na 10 tys. pracowników zatrudnionych w przemyśle</w:t>
      </w:r>
      <w:r w:rsidR="005518B9">
        <w:rPr>
          <w:rFonts w:ascii="Times New Roman" w:hAnsi="Times New Roman" w:cs="Times New Roman"/>
        </w:rPr>
        <w:t xml:space="preserve">. </w:t>
      </w:r>
      <w:r w:rsidRPr="005E35F6">
        <w:rPr>
          <w:rFonts w:ascii="Times New Roman" w:hAnsi="Times New Roman" w:cs="Times New Roman"/>
        </w:rPr>
        <w:t>Światowi liderzy, tj. Korea Południowa i Singapur, wyróżniali się w 2022 r. współczynnikiem robotyzacji na poziomie kolejno – 1012 i 730. Współczynnik robotyzacji europejskiego lidera, tj. Niemiec, wyniósł 415. Światowa średnia wyniosła 151, podczas gdy średnia UE – 208</w:t>
      </w:r>
      <w:r w:rsidR="005518B9">
        <w:rPr>
          <w:rStyle w:val="Odwoanieprzypisudolnego"/>
          <w:rFonts w:ascii="Times New Roman" w:hAnsi="Times New Roman" w:cs="Times New Roman"/>
        </w:rPr>
        <w:footnoteReference w:id="2"/>
      </w:r>
      <w:r w:rsidRPr="005E35F6">
        <w:rPr>
          <w:rFonts w:ascii="Times New Roman" w:hAnsi="Times New Roman" w:cs="Times New Roman"/>
        </w:rPr>
        <w:t>. W 2022 r. współczynnik robotyzacji polskiej gospodarki wyniósł jedynie 71. W 2023 r. wzrósł on do poziomu 78, wciąż pozostając znacznie poniżej nie tylko europejskiej i światowej średniej, lecz także poniżej wyników innych państw regionu, w szczególności Czech (207), Słowacji (201) czy Słowenii (306).</w:t>
      </w:r>
    </w:p>
    <w:p w14:paraId="1E2C6F0F" w14:textId="77777777" w:rsidR="007210B7" w:rsidRPr="005E35F6" w:rsidRDefault="007210B7" w:rsidP="005E35F6">
      <w:pPr>
        <w:spacing w:after="0" w:line="240" w:lineRule="auto"/>
        <w:rPr>
          <w:rFonts w:ascii="Times New Roman" w:hAnsi="Times New Roman" w:cs="Times New Roman"/>
        </w:rPr>
      </w:pPr>
    </w:p>
    <w:p w14:paraId="07850950" w14:textId="344535C8" w:rsidR="00F95075" w:rsidRPr="005E35F6" w:rsidRDefault="00F95075" w:rsidP="00CF53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t>Dla utrzymania konkurencyjności gospodarek państwowych istotne znaczenie mają działania władzy publicznej mające na celu zwiększanie wydajności pracy, polegające na wspieraniu procesów automatyzacji i robotyzacji. Szczególnie istotne są one dla Polski, gdzie robotyzacja wskazywana jest jako remedium na takie zjawiska, jak niski poziom bezrobocia oraz starzenie się społeczeństwa, utrudniające przedsiębiorcom dostęp do pracowników</w:t>
      </w:r>
      <w:r w:rsidR="00CA63C7">
        <w:rPr>
          <w:rStyle w:val="Odwoanieprzypisudolnego"/>
          <w:rFonts w:ascii="Times New Roman" w:hAnsi="Times New Roman" w:cs="Times New Roman"/>
        </w:rPr>
        <w:footnoteReference w:id="3"/>
      </w:r>
      <w:r w:rsidRPr="005E35F6">
        <w:rPr>
          <w:rFonts w:ascii="Times New Roman" w:hAnsi="Times New Roman" w:cs="Times New Roman"/>
        </w:rPr>
        <w:t>. Według danych Głównego Urzędu Statystycznego (GUS) w połowie 2024 r. polskie firmy zgłosiły ok. 111 tys. nieobsadzonych miejsc pracy, z czego najwięcej, tj. prawie 25 tys., zanotowano w przetwórstwie przemysłowym. Polska jest jednym z najszybciej wyludniających się krajów świata. Według prognoz ONZ do 2050 r. populacja Polski zmniejszy się o ok. 15%</w:t>
      </w:r>
      <w:r w:rsidR="005518B9">
        <w:rPr>
          <w:rStyle w:val="Odwoanieprzypisudolnego"/>
          <w:rFonts w:ascii="Times New Roman" w:hAnsi="Times New Roman" w:cs="Times New Roman"/>
        </w:rPr>
        <w:footnoteReference w:id="4"/>
      </w:r>
      <w:r w:rsidRPr="005E35F6">
        <w:rPr>
          <w:rFonts w:ascii="Times New Roman" w:hAnsi="Times New Roman" w:cs="Times New Roman"/>
        </w:rPr>
        <w:t>.</w:t>
      </w:r>
    </w:p>
    <w:p w14:paraId="1C1FB4B6" w14:textId="77777777" w:rsidR="00844BA1" w:rsidRDefault="00844BA1" w:rsidP="005E35F6">
      <w:pPr>
        <w:spacing w:after="0" w:line="240" w:lineRule="auto"/>
        <w:rPr>
          <w:rFonts w:ascii="Times New Roman" w:hAnsi="Times New Roman" w:cs="Times New Roman"/>
        </w:rPr>
      </w:pPr>
    </w:p>
    <w:p w14:paraId="4A188E7B" w14:textId="42F17331" w:rsidR="005E35F6" w:rsidRPr="005E35F6" w:rsidRDefault="005E35F6" w:rsidP="00CF53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lastRenderedPageBreak/>
        <w:t>Chcąc ułatwić polskim przedsiębiorcom podjęcie decyzji o automatyzacji produkc</w:t>
      </w:r>
      <w:r w:rsidR="003564CF">
        <w:rPr>
          <w:rFonts w:ascii="Times New Roman" w:hAnsi="Times New Roman" w:cs="Times New Roman"/>
        </w:rPr>
        <w:t>ji</w:t>
      </w:r>
      <w:r w:rsidRPr="005E35F6">
        <w:rPr>
          <w:rFonts w:ascii="Times New Roman" w:hAnsi="Times New Roman" w:cs="Times New Roman"/>
        </w:rPr>
        <w:t xml:space="preserve">, Rząd Zjednoczonej Prawicy wdrożył szeroki katalog </w:t>
      </w:r>
      <w:r w:rsidRPr="007210B7">
        <w:rPr>
          <w:rFonts w:ascii="Times New Roman" w:hAnsi="Times New Roman" w:cs="Times New Roman"/>
        </w:rPr>
        <w:t xml:space="preserve">rozwiązań służących </w:t>
      </w:r>
      <w:r w:rsidR="003564CF">
        <w:rPr>
          <w:rFonts w:ascii="Times New Roman" w:hAnsi="Times New Roman" w:cs="Times New Roman"/>
        </w:rPr>
        <w:t xml:space="preserve">jej </w:t>
      </w:r>
      <w:r w:rsidRPr="007210B7">
        <w:rPr>
          <w:rFonts w:ascii="Times New Roman" w:hAnsi="Times New Roman" w:cs="Times New Roman"/>
        </w:rPr>
        <w:t>podatkowemu wsparciu</w:t>
      </w:r>
      <w:r w:rsidR="00CA63C7">
        <w:rPr>
          <w:rStyle w:val="Odwoanieprzypisudolnego"/>
          <w:rFonts w:ascii="Times New Roman" w:hAnsi="Times New Roman" w:cs="Times New Roman"/>
        </w:rPr>
        <w:footnoteReference w:id="5"/>
      </w:r>
      <w:r w:rsidRPr="005E35F6">
        <w:rPr>
          <w:rFonts w:ascii="Times New Roman" w:hAnsi="Times New Roman" w:cs="Times New Roman"/>
        </w:rPr>
        <w:t>:</w:t>
      </w:r>
    </w:p>
    <w:p w14:paraId="2B1ED84E" w14:textId="77777777" w:rsidR="005E35F6" w:rsidRPr="005E35F6" w:rsidRDefault="005E35F6" w:rsidP="00CF53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t xml:space="preserve">dedykowaną jednoosobowym działalnościom gospodarczym amortyzację jednorazową; </w:t>
      </w:r>
    </w:p>
    <w:p w14:paraId="595CF716" w14:textId="0A7CA345" w:rsidR="005E35F6" w:rsidRPr="005E35F6" w:rsidRDefault="005E35F6" w:rsidP="00CF53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t>obejmującą podatników CIT amortyzację uprzednią/wyprzedzającą, tj. (regulację funduszu na cele inwestycyjne);</w:t>
      </w:r>
    </w:p>
    <w:p w14:paraId="5E7FDD28" w14:textId="77777777" w:rsidR="005E35F6" w:rsidRPr="005E35F6" w:rsidRDefault="005E35F6" w:rsidP="00CF53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t>dostępną dla wszystkich przedsiębiorców ulgę na robotyzację;</w:t>
      </w:r>
    </w:p>
    <w:p w14:paraId="6A544363" w14:textId="46944D02" w:rsidR="005E35F6" w:rsidRPr="005E35F6" w:rsidRDefault="005E35F6" w:rsidP="00CF53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E35F6">
        <w:rPr>
          <w:rFonts w:ascii="Times New Roman" w:hAnsi="Times New Roman" w:cs="Times New Roman"/>
        </w:rPr>
        <w:t>dostępn</w:t>
      </w:r>
      <w:r w:rsidR="005518B9">
        <w:rPr>
          <w:rFonts w:ascii="Times New Roman" w:hAnsi="Times New Roman" w:cs="Times New Roman"/>
        </w:rPr>
        <w:t>ą</w:t>
      </w:r>
      <w:r w:rsidRPr="005E35F6">
        <w:rPr>
          <w:rFonts w:ascii="Times New Roman" w:hAnsi="Times New Roman" w:cs="Times New Roman"/>
        </w:rPr>
        <w:t xml:space="preserve"> dla wszystkich przedsiębiorców </w:t>
      </w:r>
      <w:r w:rsidR="005518B9">
        <w:rPr>
          <w:rFonts w:ascii="Times New Roman" w:hAnsi="Times New Roman" w:cs="Times New Roman"/>
        </w:rPr>
        <w:t>instytucję</w:t>
      </w:r>
      <w:r w:rsidRPr="005E35F6">
        <w:rPr>
          <w:rFonts w:ascii="Times New Roman" w:hAnsi="Times New Roman" w:cs="Times New Roman"/>
        </w:rPr>
        <w:t xml:space="preserve"> Polskiej Strefy Inwestycji.</w:t>
      </w:r>
    </w:p>
    <w:p w14:paraId="238BED3A" w14:textId="77777777" w:rsidR="005E35F6" w:rsidRPr="005E35F6" w:rsidRDefault="005E35F6" w:rsidP="005E35F6">
      <w:pPr>
        <w:spacing w:after="0" w:line="240" w:lineRule="auto"/>
        <w:rPr>
          <w:rFonts w:ascii="Times New Roman" w:hAnsi="Times New Roman" w:cs="Times New Roman"/>
        </w:rPr>
      </w:pPr>
    </w:p>
    <w:p w14:paraId="3AD49EA3" w14:textId="6E68D433" w:rsidR="00EE754D" w:rsidRPr="006E1415" w:rsidRDefault="00844BA1" w:rsidP="00CF53A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E35F6">
        <w:rPr>
          <w:rFonts w:ascii="Times New Roman" w:hAnsi="Times New Roman" w:cs="Times New Roman"/>
        </w:rPr>
        <w:t>Tymczasem liczba instalowanych w Polsce robotów przemysłowych od wielu lat nie rośnie</w:t>
      </w:r>
      <w:r w:rsidR="00F11BE5">
        <w:rPr>
          <w:rFonts w:ascii="Times New Roman" w:hAnsi="Times New Roman" w:cs="Times New Roman"/>
        </w:rPr>
        <w:t>,</w:t>
      </w:r>
      <w:r w:rsidRPr="005E35F6">
        <w:rPr>
          <w:rFonts w:ascii="Times New Roman" w:hAnsi="Times New Roman" w:cs="Times New Roman"/>
        </w:rPr>
        <w:t xml:space="preserve"> </w:t>
      </w:r>
      <w:r w:rsidR="00F11BE5">
        <w:rPr>
          <w:rFonts w:ascii="Times New Roman" w:hAnsi="Times New Roman" w:cs="Times New Roman"/>
        </w:rPr>
        <w:t xml:space="preserve">                 </w:t>
      </w:r>
      <w:r w:rsidRPr="005E35F6">
        <w:rPr>
          <w:rFonts w:ascii="Times New Roman" w:hAnsi="Times New Roman" w:cs="Times New Roman"/>
        </w:rPr>
        <w:t>a staje się z roku na rok coraz mniejsza. O ile w 2021 r. zainstalowano w Polsce 3 532 roboty przemysłowe, to w 2022 były to już 3 082 (spadek o ok. 13% r/r) a w 2023 - 2 685 (spadek r/r o ok. 15%)</w:t>
      </w:r>
      <w:r w:rsidR="003564CF">
        <w:rPr>
          <w:rFonts w:ascii="Times New Roman" w:hAnsi="Times New Roman" w:cs="Times New Roman"/>
        </w:rPr>
        <w:t>. Wskazany spadek</w:t>
      </w:r>
      <w:r w:rsidRPr="005E35F6">
        <w:rPr>
          <w:rFonts w:ascii="Times New Roman" w:hAnsi="Times New Roman" w:cs="Times New Roman"/>
        </w:rPr>
        <w:t xml:space="preserve"> tłumaczyć można obawą polskich przedsiębiorców przed dokonywaniem dużych zakupów inwestycyjnych w okolicznościach niepewności łańcuchów dostaw</w:t>
      </w:r>
      <w:r w:rsidR="00CC1273" w:rsidRPr="005E35F6">
        <w:rPr>
          <w:rFonts w:ascii="Times New Roman" w:hAnsi="Times New Roman" w:cs="Times New Roman"/>
        </w:rPr>
        <w:t xml:space="preserve"> i rynków zbytu, wywołanej najpierw pandemią a potem – intensyfikacją konfliktu zbrojnego za wschodnią granicą Polski. </w:t>
      </w:r>
      <w:r w:rsidR="00EE754D">
        <w:rPr>
          <w:rFonts w:ascii="Times New Roman" w:hAnsi="Times New Roman" w:cs="Times New Roman"/>
        </w:rPr>
        <w:t xml:space="preserve">Zachęty </w:t>
      </w:r>
      <w:r w:rsidR="003564CF">
        <w:rPr>
          <w:rFonts w:ascii="Times New Roman" w:hAnsi="Times New Roman" w:cs="Times New Roman"/>
        </w:rPr>
        <w:t>p</w:t>
      </w:r>
      <w:r w:rsidR="00EE754D">
        <w:rPr>
          <w:rFonts w:ascii="Times New Roman" w:hAnsi="Times New Roman" w:cs="Times New Roman"/>
        </w:rPr>
        <w:t xml:space="preserve">odatkowe wdrożone przez Rząd Zjednoczonej Prawicy zahamowały ten spadek ratując robotyzację Polski przed całkowitym zatrzymaniem. Niestety poziom </w:t>
      </w:r>
      <w:r w:rsidR="003564CF">
        <w:rPr>
          <w:rFonts w:ascii="Times New Roman" w:hAnsi="Times New Roman" w:cs="Times New Roman"/>
        </w:rPr>
        <w:t xml:space="preserve">wskazanych zachęt </w:t>
      </w:r>
      <w:r w:rsidR="00EE754D">
        <w:rPr>
          <w:rFonts w:ascii="Times New Roman" w:hAnsi="Times New Roman" w:cs="Times New Roman"/>
        </w:rPr>
        <w:t xml:space="preserve">jest obecnie zbyt niski, aby przyspieszyć te konieczne dla polskiej gospodarki procesy. </w:t>
      </w:r>
      <w:r w:rsidR="003564CF">
        <w:rPr>
          <w:rFonts w:ascii="Times New Roman" w:hAnsi="Times New Roman" w:cs="Times New Roman"/>
        </w:rPr>
        <w:t xml:space="preserve">Spośród wymienionych, rozwiązaniem charakteryzującym się największym wzrostem zainteresowania firm była w 2023 r. </w:t>
      </w:r>
      <w:r w:rsidR="00EE754D">
        <w:rPr>
          <w:rFonts w:ascii="Times New Roman" w:hAnsi="Times New Roman" w:cs="Times New Roman"/>
        </w:rPr>
        <w:t>ulg</w:t>
      </w:r>
      <w:r w:rsidR="003564CF">
        <w:rPr>
          <w:rFonts w:ascii="Times New Roman" w:hAnsi="Times New Roman" w:cs="Times New Roman"/>
        </w:rPr>
        <w:t>a</w:t>
      </w:r>
      <w:r w:rsidR="00EE754D">
        <w:rPr>
          <w:rFonts w:ascii="Times New Roman" w:hAnsi="Times New Roman" w:cs="Times New Roman"/>
        </w:rPr>
        <w:t xml:space="preserve"> na robotyzację. </w:t>
      </w:r>
      <w:r w:rsidR="002E72C2">
        <w:rPr>
          <w:rFonts w:ascii="Times New Roman" w:hAnsi="Times New Roman" w:cs="Times New Roman"/>
        </w:rPr>
        <w:t>Wg danych Ministerstwa Finansów</w:t>
      </w:r>
      <w:r w:rsidR="00CA63C7">
        <w:rPr>
          <w:rStyle w:val="Odwoanieprzypisudolnego"/>
          <w:rFonts w:ascii="Times New Roman" w:hAnsi="Times New Roman" w:cs="Times New Roman"/>
        </w:rPr>
        <w:footnoteReference w:id="6"/>
      </w:r>
      <w:r w:rsidR="00EE754D">
        <w:rPr>
          <w:rFonts w:ascii="Times New Roman" w:hAnsi="Times New Roman" w:cs="Times New Roman"/>
        </w:rPr>
        <w:t xml:space="preserve"> </w:t>
      </w:r>
      <w:r w:rsidR="002E72C2">
        <w:rPr>
          <w:rFonts w:ascii="Times New Roman" w:hAnsi="Times New Roman" w:cs="Times New Roman"/>
        </w:rPr>
        <w:t xml:space="preserve">w </w:t>
      </w:r>
      <w:r w:rsidR="00EE754D">
        <w:rPr>
          <w:rFonts w:ascii="Times New Roman" w:hAnsi="Times New Roman" w:cs="Times New Roman"/>
        </w:rPr>
        <w:t xml:space="preserve">2022 r. podatnicy odliczyli z jej wykorzystaniem </w:t>
      </w:r>
      <w:r w:rsidR="002E72C2">
        <w:rPr>
          <w:rFonts w:ascii="Times New Roman" w:hAnsi="Times New Roman" w:cs="Times New Roman"/>
        </w:rPr>
        <w:t>57 mln zł, zaś w 2023 – już 231,6 mln zł, tj. aż czterokrotnie więcej. W 2024 i 2025 r. spodziewać się można jednak zahamowania jej stosowania a co za tym idzie – zmniejszenia zakupów przez firmy robotów przemysłowych</w:t>
      </w:r>
      <w:r w:rsidR="003564CF">
        <w:rPr>
          <w:rFonts w:ascii="Times New Roman" w:hAnsi="Times New Roman" w:cs="Times New Roman"/>
        </w:rPr>
        <w:t>. Przyczyną tego trendu będzie</w:t>
      </w:r>
      <w:r w:rsidR="002E72C2">
        <w:rPr>
          <w:rFonts w:ascii="Times New Roman" w:hAnsi="Times New Roman" w:cs="Times New Roman"/>
        </w:rPr>
        <w:t xml:space="preserve"> deklaracj</w:t>
      </w:r>
      <w:r w:rsidR="003564CF">
        <w:rPr>
          <w:rFonts w:ascii="Times New Roman" w:hAnsi="Times New Roman" w:cs="Times New Roman"/>
        </w:rPr>
        <w:t>a</w:t>
      </w:r>
      <w:r w:rsidR="002E72C2">
        <w:rPr>
          <w:rFonts w:ascii="Times New Roman" w:hAnsi="Times New Roman" w:cs="Times New Roman"/>
        </w:rPr>
        <w:t xml:space="preserve"> Rządu Koalicji 13 </w:t>
      </w:r>
      <w:r w:rsidR="003564CF">
        <w:rPr>
          <w:rFonts w:ascii="Times New Roman" w:hAnsi="Times New Roman" w:cs="Times New Roman"/>
        </w:rPr>
        <w:t>G</w:t>
      </w:r>
      <w:r w:rsidR="002E72C2">
        <w:rPr>
          <w:rFonts w:ascii="Times New Roman" w:hAnsi="Times New Roman" w:cs="Times New Roman"/>
        </w:rPr>
        <w:t xml:space="preserve">rudnia o tym, że okres obowiązywania ulgi </w:t>
      </w:r>
      <w:r w:rsidR="003564CF">
        <w:rPr>
          <w:rFonts w:ascii="Times New Roman" w:hAnsi="Times New Roman" w:cs="Times New Roman"/>
        </w:rPr>
        <w:t xml:space="preserve">na robotyzację, mimo ewidentnych potrzeb polskiej gospodarki, </w:t>
      </w:r>
      <w:r w:rsidR="002E72C2">
        <w:rPr>
          <w:rFonts w:ascii="Times New Roman" w:hAnsi="Times New Roman" w:cs="Times New Roman"/>
        </w:rPr>
        <w:t>nie zostanie przedłużony, tj. że zostanie ona przez Rząd zniesiona z końcem 2026 r.</w:t>
      </w:r>
      <w:r w:rsidR="005518B9">
        <w:rPr>
          <w:rStyle w:val="Odwoanieprzypisudolnego"/>
          <w:rFonts w:ascii="Times New Roman" w:hAnsi="Times New Roman" w:cs="Times New Roman"/>
        </w:rPr>
        <w:footnoteReference w:id="7"/>
      </w:r>
    </w:p>
    <w:p w14:paraId="0B974550" w14:textId="77777777" w:rsidR="00EE754D" w:rsidRDefault="00EE754D" w:rsidP="00EE754D">
      <w:pPr>
        <w:spacing w:after="0" w:line="240" w:lineRule="auto"/>
        <w:rPr>
          <w:rFonts w:ascii="Times New Roman" w:hAnsi="Times New Roman" w:cs="Times New Roman"/>
        </w:rPr>
      </w:pPr>
    </w:p>
    <w:p w14:paraId="181D5995" w14:textId="5D66F6D1" w:rsidR="00844BA1" w:rsidRDefault="002E72C2" w:rsidP="00CF53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3E23">
        <w:rPr>
          <w:rFonts w:ascii="Times New Roman" w:hAnsi="Times New Roman" w:cs="Times New Roman"/>
        </w:rPr>
        <w:lastRenderedPageBreak/>
        <w:t xml:space="preserve">Mając na uwadze powyższe, </w:t>
      </w:r>
      <w:r w:rsidR="007A3CD4">
        <w:rPr>
          <w:rFonts w:ascii="Times New Roman" w:hAnsi="Times New Roman" w:cs="Times New Roman"/>
        </w:rPr>
        <w:t xml:space="preserve">chcąc zapewnić stały, dynamiczny wzrost poziomu robotyzacji Polski, </w:t>
      </w:r>
      <w:r w:rsidRPr="00CB3E23">
        <w:rPr>
          <w:rFonts w:ascii="Times New Roman" w:hAnsi="Times New Roman" w:cs="Times New Roman"/>
        </w:rPr>
        <w:t>w ramach niniejszego projektu proponuje się:</w:t>
      </w:r>
      <w:r w:rsidR="00CB3E23" w:rsidRPr="00CB3E23">
        <w:rPr>
          <w:rFonts w:ascii="Times New Roman" w:hAnsi="Times New Roman" w:cs="Times New Roman"/>
        </w:rPr>
        <w:t xml:space="preserve"> </w:t>
      </w:r>
      <w:r w:rsidR="00CB3E23">
        <w:rPr>
          <w:rFonts w:ascii="Times New Roman" w:hAnsi="Times New Roman" w:cs="Times New Roman"/>
        </w:rPr>
        <w:t xml:space="preserve">(1) </w:t>
      </w:r>
      <w:r w:rsidR="003564CF">
        <w:rPr>
          <w:rFonts w:ascii="Times New Roman" w:hAnsi="Times New Roman" w:cs="Times New Roman"/>
        </w:rPr>
        <w:t>w</w:t>
      </w:r>
      <w:r w:rsidR="00CB3E23" w:rsidRPr="00CB3E23">
        <w:rPr>
          <w:rFonts w:ascii="Times New Roman" w:hAnsi="Times New Roman" w:cs="Times New Roman"/>
        </w:rPr>
        <w:t>ykreślenie przepisu przewidującego zniesienie ulgi na robotyzację z dniem 31 grudnia 2026 r.</w:t>
      </w:r>
      <w:r w:rsidR="00CB3E23">
        <w:rPr>
          <w:rFonts w:ascii="Times New Roman" w:hAnsi="Times New Roman" w:cs="Times New Roman"/>
        </w:rPr>
        <w:t xml:space="preserve"> oraz (2) </w:t>
      </w:r>
      <w:r w:rsidR="003564CF">
        <w:rPr>
          <w:rFonts w:ascii="Times New Roman" w:hAnsi="Times New Roman" w:cs="Times New Roman"/>
        </w:rPr>
        <w:t>p</w:t>
      </w:r>
      <w:r w:rsidR="006E1415" w:rsidRPr="00CB3E23">
        <w:rPr>
          <w:rFonts w:ascii="Times New Roman" w:hAnsi="Times New Roman" w:cs="Times New Roman"/>
        </w:rPr>
        <w:t xml:space="preserve">odniesienie </w:t>
      </w:r>
      <w:r w:rsidR="003564CF">
        <w:rPr>
          <w:rFonts w:ascii="Times New Roman" w:hAnsi="Times New Roman" w:cs="Times New Roman"/>
        </w:rPr>
        <w:t xml:space="preserve">poziomu </w:t>
      </w:r>
      <w:r w:rsidR="006E1415" w:rsidRPr="00CB3E23">
        <w:rPr>
          <w:rFonts w:ascii="Times New Roman" w:hAnsi="Times New Roman" w:cs="Times New Roman"/>
        </w:rPr>
        <w:t>ulgi na robotyzację z 50% na 100% wydatku, tak by ulga nie była niższa od obowiązującej ulgi B+R.</w:t>
      </w:r>
      <w:r w:rsidR="00CB3E23">
        <w:rPr>
          <w:rFonts w:ascii="Times New Roman" w:hAnsi="Times New Roman" w:cs="Times New Roman"/>
        </w:rPr>
        <w:t xml:space="preserve"> Dość dodać, że podobne podniesienie ulgi B+R z początkiem 2018 r. doprowadziło do skokowego wzrostu korzystających z niej podmiotów: o 7</w:t>
      </w:r>
      <w:r w:rsidR="00985DBA">
        <w:rPr>
          <w:rFonts w:ascii="Times New Roman" w:hAnsi="Times New Roman" w:cs="Times New Roman"/>
        </w:rPr>
        <w:t>3%</w:t>
      </w:r>
      <w:r w:rsidR="00CB3E23">
        <w:rPr>
          <w:rFonts w:ascii="Times New Roman" w:hAnsi="Times New Roman" w:cs="Times New Roman"/>
        </w:rPr>
        <w:t xml:space="preserve"> w pierwszym roku (2018 wobec 2017), </w:t>
      </w:r>
      <w:r w:rsidR="00985DBA">
        <w:rPr>
          <w:rFonts w:ascii="Times New Roman" w:hAnsi="Times New Roman" w:cs="Times New Roman"/>
        </w:rPr>
        <w:t xml:space="preserve">oraz zapewniło wysoki, stabilny wzrost ich liczby </w:t>
      </w:r>
      <w:r w:rsidR="00CB3E23">
        <w:rPr>
          <w:rFonts w:ascii="Times New Roman" w:hAnsi="Times New Roman" w:cs="Times New Roman"/>
        </w:rPr>
        <w:t xml:space="preserve">w kolejnych latach </w:t>
      </w:r>
      <w:r w:rsidR="00985DBA">
        <w:rPr>
          <w:rFonts w:ascii="Times New Roman" w:hAnsi="Times New Roman" w:cs="Times New Roman"/>
        </w:rPr>
        <w:t>(</w:t>
      </w:r>
      <w:r w:rsidR="00CB3E23">
        <w:rPr>
          <w:rFonts w:ascii="Times New Roman" w:hAnsi="Times New Roman" w:cs="Times New Roman"/>
        </w:rPr>
        <w:t xml:space="preserve">o </w:t>
      </w:r>
      <w:r w:rsidR="00985DBA">
        <w:rPr>
          <w:rFonts w:ascii="Times New Roman" w:hAnsi="Times New Roman" w:cs="Times New Roman"/>
        </w:rPr>
        <w:t>ok. 30% r/r.)</w:t>
      </w:r>
      <w:r w:rsidR="00985DBA">
        <w:rPr>
          <w:rStyle w:val="Odwoanieprzypisudolnego"/>
          <w:rFonts w:ascii="Times New Roman" w:hAnsi="Times New Roman" w:cs="Times New Roman"/>
        </w:rPr>
        <w:footnoteReference w:id="8"/>
      </w:r>
      <w:r w:rsidR="00985DBA">
        <w:rPr>
          <w:rFonts w:ascii="Times New Roman" w:hAnsi="Times New Roman" w:cs="Times New Roman"/>
        </w:rPr>
        <w:t>.</w:t>
      </w:r>
    </w:p>
    <w:p w14:paraId="2DF5264E" w14:textId="77777777" w:rsidR="00985DBA" w:rsidRDefault="00985DBA" w:rsidP="00CB3E23">
      <w:pPr>
        <w:spacing w:after="0" w:line="240" w:lineRule="auto"/>
        <w:rPr>
          <w:rFonts w:ascii="Times New Roman" w:hAnsi="Times New Roman" w:cs="Times New Roman"/>
        </w:rPr>
      </w:pPr>
    </w:p>
    <w:p w14:paraId="7CEAC141" w14:textId="61653DDF" w:rsidR="002A12CE" w:rsidRDefault="002A12CE" w:rsidP="00CF53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85DBA">
        <w:rPr>
          <w:rFonts w:ascii="Times New Roman" w:hAnsi="Times New Roman" w:cs="Times New Roman"/>
        </w:rPr>
        <w:t>oszty budżetowe</w:t>
      </w:r>
      <w:r>
        <w:rPr>
          <w:rFonts w:ascii="Times New Roman" w:hAnsi="Times New Roman" w:cs="Times New Roman"/>
        </w:rPr>
        <w:t xml:space="preserve"> planowanej zmiany, </w:t>
      </w:r>
      <w:r w:rsidR="00393973">
        <w:rPr>
          <w:rFonts w:ascii="Times New Roman" w:hAnsi="Times New Roman" w:cs="Times New Roman"/>
        </w:rPr>
        <w:t xml:space="preserve">obliczone zostały </w:t>
      </w:r>
      <w:r>
        <w:rPr>
          <w:rFonts w:ascii="Times New Roman" w:hAnsi="Times New Roman" w:cs="Times New Roman"/>
        </w:rPr>
        <w:t xml:space="preserve">przy założeniu wzrostu </w:t>
      </w:r>
      <w:r w:rsidR="00F308E3">
        <w:rPr>
          <w:rFonts w:ascii="Times New Roman" w:hAnsi="Times New Roman" w:cs="Times New Roman"/>
        </w:rPr>
        <w:t xml:space="preserve">wartości odpisów z tytułu </w:t>
      </w:r>
      <w:r>
        <w:rPr>
          <w:rFonts w:ascii="Times New Roman" w:hAnsi="Times New Roman" w:cs="Times New Roman"/>
        </w:rPr>
        <w:t xml:space="preserve">ulgi </w:t>
      </w:r>
      <w:r w:rsidR="00F308E3">
        <w:rPr>
          <w:rFonts w:ascii="Times New Roman" w:hAnsi="Times New Roman" w:cs="Times New Roman"/>
        </w:rPr>
        <w:t>o 30% r/r</w:t>
      </w:r>
      <w:r w:rsidR="00FD3FEE">
        <w:rPr>
          <w:rFonts w:ascii="Times New Roman" w:hAnsi="Times New Roman" w:cs="Times New Roman"/>
        </w:rPr>
        <w:t xml:space="preserve">. Ujęcie statyczne ujmuje korzyści </w:t>
      </w:r>
      <w:r w:rsidR="003C154E">
        <w:rPr>
          <w:rFonts w:ascii="Times New Roman" w:hAnsi="Times New Roman" w:cs="Times New Roman"/>
        </w:rPr>
        <w:t xml:space="preserve">budżetowe </w:t>
      </w:r>
      <w:r w:rsidR="00393973">
        <w:rPr>
          <w:rFonts w:ascii="Times New Roman" w:hAnsi="Times New Roman" w:cs="Times New Roman"/>
        </w:rPr>
        <w:t>wynikające ze wzrostu wpływów z</w:t>
      </w:r>
      <w:r w:rsidR="00FD3FEE">
        <w:rPr>
          <w:rFonts w:ascii="Times New Roman" w:hAnsi="Times New Roman" w:cs="Times New Roman"/>
        </w:rPr>
        <w:t xml:space="preserve"> VAT</w:t>
      </w:r>
      <w:r w:rsidR="003C154E">
        <w:rPr>
          <w:rFonts w:ascii="Times New Roman" w:hAnsi="Times New Roman" w:cs="Times New Roman"/>
        </w:rPr>
        <w:t xml:space="preserve">, </w:t>
      </w:r>
      <w:r w:rsidR="00393973">
        <w:rPr>
          <w:rFonts w:ascii="Times New Roman" w:hAnsi="Times New Roman" w:cs="Times New Roman"/>
        </w:rPr>
        <w:t xml:space="preserve">zaś </w:t>
      </w:r>
      <w:r w:rsidR="003C154E">
        <w:rPr>
          <w:rFonts w:ascii="Times New Roman" w:hAnsi="Times New Roman" w:cs="Times New Roman"/>
        </w:rPr>
        <w:t>ujęcie dynamiczne – fakt, że inwestycja w robota przemysłowego zwraca się firmie średnio w dwa lata.</w:t>
      </w:r>
    </w:p>
    <w:p w14:paraId="572B535D" w14:textId="77777777" w:rsidR="004F6C36" w:rsidRDefault="004F6C36" w:rsidP="00CF53A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795F58" w14:textId="0B3ADBB3" w:rsidR="004F6C36" w:rsidRDefault="004F6C36" w:rsidP="004F6C36">
      <w:pPr>
        <w:spacing w:line="360" w:lineRule="auto"/>
        <w:jc w:val="both"/>
        <w:rPr>
          <w:rFonts w:ascii="Times New Roman" w:hAnsi="Times New Roman" w:cs="Times New Roman"/>
        </w:rPr>
      </w:pPr>
      <w:r w:rsidRPr="004F6C36">
        <w:rPr>
          <w:rFonts w:ascii="Times New Roman" w:hAnsi="Times New Roman" w:cs="Times New Roman"/>
        </w:rPr>
        <w:t xml:space="preserve">Wprowadzenie możliwości odliczenia 100% kosztów uzyskania przychodów poniesionych na robotyzację bez dodatkowych ograniczeń </w:t>
      </w:r>
      <w:r>
        <w:rPr>
          <w:rFonts w:ascii="Times New Roman" w:hAnsi="Times New Roman" w:cs="Times New Roman"/>
        </w:rPr>
        <w:t xml:space="preserve">może </w:t>
      </w:r>
      <w:r w:rsidRPr="004F6C36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>ć</w:t>
      </w:r>
      <w:r w:rsidRPr="004F6C36">
        <w:rPr>
          <w:rFonts w:ascii="Times New Roman" w:hAnsi="Times New Roman" w:cs="Times New Roman"/>
        </w:rPr>
        <w:t xml:space="preserve"> zachętę inwestycyjną i narzędzie wspierające transformację technologiczną polskiej gospodarki.</w:t>
      </w:r>
    </w:p>
    <w:p w14:paraId="7E590945" w14:textId="6D989EFD" w:rsidR="004F6C36" w:rsidRDefault="004F6C36" w:rsidP="004F6C3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Proponuje się aby </w:t>
      </w: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nowe zasady stosowania ulgi m</w:t>
      </w:r>
      <w:r w:rsidR="006A1CB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iały</w:t>
      </w: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zastosowanie do kosztów poniesionych od dnia 1 stycznia 2026 r., co da podatnikom czas na przygotowanie się do korzystania z nowych regulacji.</w:t>
      </w:r>
    </w:p>
    <w:p w14:paraId="520E1315" w14:textId="26AFCBCB" w:rsidR="004F6C36" w:rsidRPr="004F6C36" w:rsidRDefault="004F6C36" w:rsidP="004F6C36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Projekt ustawy wywołuje pozytywne skutki społeczne, gospodarcze, finansowe</w:t>
      </w: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</w:t>
      </w: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i prawne.</w:t>
      </w:r>
      <w:r w:rsidRPr="004F6C36">
        <w:rPr>
          <w:rFonts w:ascii="Aptos" w:eastAsia="Aptos" w:hAnsi="Aptos" w:cs="Times New Roman"/>
          <w:sz w:val="22"/>
          <w:szCs w:val="22"/>
        </w:rPr>
        <w:t xml:space="preserve"> </w:t>
      </w:r>
      <w:r w:rsidR="00AF5A89" w:rsidRPr="00AF5A89">
        <w:rPr>
          <w:rFonts w:ascii="Times New Roman" w:eastAsia="Aptos" w:hAnsi="Times New Roman" w:cs="Times New Roman"/>
        </w:rPr>
        <w:t>Proponowane zmiany są odpowiedzią na wyzwania związane z niskim wskaźnikiem robotyzacji w Polsce w porównaniu do innych krajów Unii Europejskiej</w:t>
      </w:r>
      <w:r w:rsidR="00AF5A89" w:rsidRPr="00AF5A89">
        <w:rPr>
          <w:rFonts w:ascii="Aptos" w:eastAsia="Aptos" w:hAnsi="Aptos" w:cs="Times New Roman"/>
          <w:sz w:val="22"/>
          <w:szCs w:val="22"/>
        </w:rPr>
        <w:t>.</w:t>
      </w:r>
      <w:r w:rsidR="00AF5A89">
        <w:rPr>
          <w:rFonts w:ascii="Aptos" w:eastAsia="Aptos" w:hAnsi="Aptos" w:cs="Times New Roman"/>
          <w:sz w:val="22"/>
          <w:szCs w:val="22"/>
        </w:rPr>
        <w:t xml:space="preserve"> </w:t>
      </w:r>
      <w:r w:rsidRPr="004F6C36">
        <w:rPr>
          <w:rFonts w:ascii="Times New Roman" w:eastAsia="Aptos" w:hAnsi="Times New Roman" w:cs="Times New Roman"/>
        </w:rPr>
        <w:t>Wprowadzenie pełnej możliwości odliczenia 100% kosztów uzyskania przychodów poniesionych na robotyzacj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ę, a przez to inwestowanie w r</w:t>
      </w:r>
      <w:r w:rsidRPr="004F6C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obotyzacj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AF5A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co zdaniem wnioskodawców</w:t>
      </w: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może przyczynić się do</w:t>
      </w:r>
      <w:r w:rsidR="00AF5A89" w:rsidRP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obniżeni</w:t>
      </w:r>
      <w:r w:rsid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a</w:t>
      </w:r>
      <w:r w:rsidR="00AF5A89" w:rsidRP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kosztów operacyjnych</w:t>
      </w:r>
      <w:r w:rsid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,</w:t>
      </w: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poprawy warunków pracy, ograniczenia pracy fizycznej w trudnych warunkach, zmniejszenia liczby wypadków przy pracy oraz zwiększenia bezpieczeństwa.</w:t>
      </w:r>
      <w:r w:rsidRPr="004F6C36">
        <w:t xml:space="preserve"> </w:t>
      </w: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Zwiększenie nakładów na robotyzację przez sektor prywatny przyczyni się do podniesienia wydajności, jakości produkcji i konkurencyjności przedsiębiorstw. Ponadto, ułatwienie inwestycji w robotyzację może sprzyjać rozwojowi sektora technologicznego i usług z nim związanych</w:t>
      </w:r>
      <w:r w:rsid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,</w:t>
      </w:r>
      <w:r w:rsidR="00AF5A89" w:rsidRPr="00AF5A89">
        <w:t xml:space="preserve"> </w:t>
      </w:r>
      <w:r w:rsidR="00AF5A89" w:rsidRP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co przełoży się na długoterminowy wzrost gospodarczy</w:t>
      </w:r>
      <w:r w:rsidR="00AF5A8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</w:t>
      </w:r>
    </w:p>
    <w:p w14:paraId="00FEF6E2" w14:textId="77777777" w:rsidR="004F6C36" w:rsidRPr="004F6C36" w:rsidRDefault="004F6C36" w:rsidP="004F6C36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kern w:val="0"/>
          <w:sz w:val="10"/>
          <w:szCs w:val="10"/>
          <w:lang w:eastAsia="pl-PL"/>
          <w14:ligatures w14:val="none"/>
        </w:rPr>
      </w:pPr>
    </w:p>
    <w:p w14:paraId="0E423B57" w14:textId="77777777" w:rsidR="00AF5A89" w:rsidRDefault="004F6C36" w:rsidP="004F6C36">
      <w:pPr>
        <w:suppressAutoHyphens/>
        <w:autoSpaceDE w:val="0"/>
        <w:autoSpaceDN w:val="0"/>
        <w:adjustRightInd w:val="0"/>
        <w:spacing w:after="0" w:line="360" w:lineRule="auto"/>
        <w:jc w:val="both"/>
      </w:pPr>
      <w:r w:rsidRPr="004F6C3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 xml:space="preserve">Proponowane w projekcie ustawy rozwiązania są w ocenie wnioskodawców zgodne  z ustawą z dnia 6 marca 2018 r. - Prawo przedsiębiorców (Dz. U. z 2023 r. poz. 236),  w szczególności </w:t>
      </w:r>
      <w:bookmarkStart w:id="3" w:name="_Hlk202349764"/>
      <w:r w:rsidRPr="004F6C3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zapewniają ochronę konkurencyjności sektora mikroprzedsiębiorstw oraz małych i średnich przedsiębior</w:t>
      </w:r>
      <w:bookmarkEnd w:id="3"/>
      <w:r w:rsidRPr="004F6C3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stw, tym samym pozytywnie wpływają na ich działalność. Projekt ustawy dotyczy majątkowych praw i obowiązków przedsiębiorców oraz praw i obowiązków przedsiębiorców wobec organów administracji publicznej.</w:t>
      </w:r>
      <w:r w:rsidRPr="004F6C3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Możliwość p</w:t>
      </w:r>
      <w:r w:rsidR="00AF5A89"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ełne</w:t>
      </w:r>
      <w:r w:rsid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go</w:t>
      </w:r>
      <w:r w:rsidR="00AF5A89"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odliczeni</w:t>
      </w:r>
      <w:r w:rsid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a</w:t>
      </w:r>
      <w:r w:rsidR="00AF5A89"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kosztów inwestycji </w:t>
      </w:r>
      <w:r w:rsid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może </w:t>
      </w:r>
      <w:r w:rsidR="00AF5A89"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znacząco obniży</w:t>
      </w:r>
      <w:r w:rsid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ć</w:t>
      </w:r>
      <w:r w:rsidR="00AF5A89"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barierę finansową dla przedsiębiorstw, zwłaszcza tych małych i średnich</w:t>
      </w:r>
      <w:r w:rsid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.</w:t>
      </w:r>
      <w:r w:rsidR="00AF5A89" w:rsidRPr="00AF5A89">
        <w:t xml:space="preserve"> </w:t>
      </w:r>
    </w:p>
    <w:p w14:paraId="6548A4CC" w14:textId="77777777" w:rsidR="00AF5A89" w:rsidRDefault="00AF5A89" w:rsidP="004F6C36">
      <w:pPr>
        <w:suppressAutoHyphens/>
        <w:autoSpaceDE w:val="0"/>
        <w:autoSpaceDN w:val="0"/>
        <w:adjustRightInd w:val="0"/>
        <w:spacing w:after="0" w:line="360" w:lineRule="auto"/>
        <w:jc w:val="both"/>
      </w:pPr>
    </w:p>
    <w:p w14:paraId="5051DEF1" w14:textId="029A8861" w:rsidR="004F6C36" w:rsidRPr="004F6C36" w:rsidRDefault="00AF5A89" w:rsidP="004F6C3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Zakłada się</w:t>
      </w:r>
      <w:r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, że w perspektywie długoterminowej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proponowane zmiany</w:t>
      </w:r>
      <w:r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przyni</w:t>
      </w:r>
      <w:r w:rsidR="00F4649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osą</w:t>
      </w:r>
      <w:r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pozytywne efekty dla gospodarki. Wzrost produktywności i konkurencyjności firm przełoży się na </w:t>
      </w:r>
      <w:r w:rsidR="00F4649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większe</w:t>
      </w:r>
      <w:r w:rsidRPr="00AF5A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dochody przedsiębiorstw, co w przyszłości może skutkować zwiększonymi wpływami podatkowymi.</w:t>
      </w:r>
      <w:r w:rsidR="00F46499" w:rsidRPr="00F46499">
        <w:t xml:space="preserve"> </w:t>
      </w:r>
      <w:r w:rsidR="00F4649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Jednocześnie zakłada się, że proponowane zmiany przełożą się na zwiększenie inwestycji w roboty</w:t>
      </w:r>
      <w:r w:rsidR="00F46499" w:rsidRPr="00F4649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zacj</w:t>
      </w:r>
      <w:r w:rsidR="00F4649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ę, a to z kolei</w:t>
      </w:r>
      <w:r w:rsidR="00F46499" w:rsidRPr="00F4649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przyczyni się do tworzenia nowych, bardziej zaawansowanych technologicznie miejsc pracy oraz podniesienia kwalifikacji pracowników.</w:t>
      </w:r>
    </w:p>
    <w:p w14:paraId="6FE2AF25" w14:textId="77777777" w:rsidR="004F6C36" w:rsidRPr="004F6C36" w:rsidRDefault="004F6C36" w:rsidP="004F6C36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kern w:val="0"/>
          <w:sz w:val="12"/>
          <w:szCs w:val="8"/>
          <w:lang w:eastAsia="pl-PL"/>
          <w14:ligatures w14:val="none"/>
        </w:rPr>
      </w:pPr>
    </w:p>
    <w:p w14:paraId="74D30CA5" w14:textId="14A1CC40" w:rsidR="00B642A0" w:rsidRDefault="00B642A0" w:rsidP="00B642A0">
      <w:pPr>
        <w:spacing w:after="0" w:line="360" w:lineRule="auto"/>
        <w:rPr>
          <w:rFonts w:ascii="Times New Roman" w:hAnsi="Times New Roman" w:cs="Times New Roman"/>
        </w:rPr>
      </w:pPr>
      <w:r w:rsidRPr="00B642A0">
        <w:rPr>
          <w:rFonts w:ascii="Times New Roman" w:hAnsi="Times New Roman" w:cs="Times New Roman"/>
        </w:rPr>
        <w:t>Projekt ustawy nie pociąga za sobą skutków finansowych dla budżetów jednostek samorządu terytorialnego.</w:t>
      </w:r>
      <w:r>
        <w:rPr>
          <w:rFonts w:ascii="Times New Roman" w:hAnsi="Times New Roman" w:cs="Times New Roman"/>
        </w:rPr>
        <w:t xml:space="preserve"> </w:t>
      </w:r>
      <w:r w:rsidRPr="00B642A0">
        <w:rPr>
          <w:rFonts w:ascii="Times New Roman" w:hAnsi="Times New Roman" w:cs="Times New Roman"/>
        </w:rPr>
        <w:t>Projekt ustawy pociąga za sobą skutki finansowe dla budżetu państwa</w:t>
      </w:r>
      <w:r>
        <w:rPr>
          <w:rFonts w:ascii="Times New Roman" w:hAnsi="Times New Roman" w:cs="Times New Roman"/>
        </w:rPr>
        <w:t xml:space="preserve">, które w roku 2026 nie powinno przekroczyć kwoty 56,5 mln zł. W kolejnych latach </w:t>
      </w:r>
      <w:r w:rsidRPr="00B642A0">
        <w:rPr>
          <w:rFonts w:ascii="Times New Roman" w:hAnsi="Times New Roman" w:cs="Times New Roman"/>
        </w:rPr>
        <w:t>skutki finansowe dla budżetu państwa</w:t>
      </w:r>
      <w:r>
        <w:rPr>
          <w:rFonts w:ascii="Times New Roman" w:hAnsi="Times New Roman" w:cs="Times New Roman"/>
        </w:rPr>
        <w:t xml:space="preserve"> zostały przedstawione w tabeli poniżej.</w:t>
      </w:r>
    </w:p>
    <w:p w14:paraId="03D81CEB" w14:textId="77777777" w:rsidR="00B642A0" w:rsidRDefault="00B642A0" w:rsidP="00B642A0">
      <w:pPr>
        <w:spacing w:after="0" w:line="360" w:lineRule="auto"/>
        <w:rPr>
          <w:rFonts w:ascii="Times New Roman" w:hAnsi="Times New Roman" w:cs="Times New Roman"/>
        </w:rPr>
      </w:pPr>
    </w:p>
    <w:p w14:paraId="5A180554" w14:textId="02AF51B2" w:rsidR="002A12CE" w:rsidRDefault="003B2F16" w:rsidP="005E3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propozycji [mln zł]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43"/>
        <w:gridCol w:w="696"/>
        <w:gridCol w:w="756"/>
        <w:gridCol w:w="756"/>
        <w:gridCol w:w="756"/>
        <w:gridCol w:w="756"/>
        <w:gridCol w:w="756"/>
        <w:gridCol w:w="868"/>
        <w:gridCol w:w="756"/>
        <w:gridCol w:w="876"/>
        <w:gridCol w:w="932"/>
      </w:tblGrid>
      <w:tr w:rsidR="006A5254" w14:paraId="18CECFBB" w14:textId="77777777" w:rsidTr="006A5254">
        <w:tc>
          <w:tcPr>
            <w:tcW w:w="1357" w:type="dxa"/>
          </w:tcPr>
          <w:p w14:paraId="5E055993" w14:textId="77777777" w:rsidR="002A12CE" w:rsidRDefault="002A12CE" w:rsidP="002A1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0E4A544A" w14:textId="07D429ED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747" w:type="dxa"/>
          </w:tcPr>
          <w:p w14:paraId="54906656" w14:textId="715919E0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747" w:type="dxa"/>
          </w:tcPr>
          <w:p w14:paraId="42B2C7B6" w14:textId="024289BC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748" w:type="dxa"/>
          </w:tcPr>
          <w:p w14:paraId="5FA45C1E" w14:textId="4DAA9F61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748" w:type="dxa"/>
          </w:tcPr>
          <w:p w14:paraId="3F6EE448" w14:textId="25B11AEB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748" w:type="dxa"/>
          </w:tcPr>
          <w:p w14:paraId="1C3881E3" w14:textId="16626936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2031</w:t>
            </w:r>
          </w:p>
        </w:tc>
        <w:tc>
          <w:tcPr>
            <w:tcW w:w="858" w:type="dxa"/>
          </w:tcPr>
          <w:p w14:paraId="3EDBB23D" w14:textId="586B0D2A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2032</w:t>
            </w:r>
          </w:p>
        </w:tc>
        <w:tc>
          <w:tcPr>
            <w:tcW w:w="689" w:type="dxa"/>
          </w:tcPr>
          <w:p w14:paraId="0D51A0A9" w14:textId="1DE4E837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2033</w:t>
            </w:r>
          </w:p>
        </w:tc>
        <w:tc>
          <w:tcPr>
            <w:tcW w:w="866" w:type="dxa"/>
          </w:tcPr>
          <w:p w14:paraId="0F8D2659" w14:textId="71AD454B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2034</w:t>
            </w:r>
          </w:p>
        </w:tc>
        <w:tc>
          <w:tcPr>
            <w:tcW w:w="1155" w:type="dxa"/>
          </w:tcPr>
          <w:p w14:paraId="3504EB97" w14:textId="1F483ABF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2035</w:t>
            </w:r>
          </w:p>
        </w:tc>
      </w:tr>
      <w:tr w:rsidR="006A5254" w14:paraId="5CA35B88" w14:textId="77777777" w:rsidTr="006A5254">
        <w:tc>
          <w:tcPr>
            <w:tcW w:w="1357" w:type="dxa"/>
          </w:tcPr>
          <w:p w14:paraId="51040489" w14:textId="2ADC7CD4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Ujęcie statyczne</w:t>
            </w:r>
          </w:p>
        </w:tc>
        <w:tc>
          <w:tcPr>
            <w:tcW w:w="688" w:type="dxa"/>
          </w:tcPr>
          <w:p w14:paraId="222EE02D" w14:textId="58FB210F" w:rsidR="002A12CE" w:rsidRDefault="00F308E3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747" w:type="dxa"/>
          </w:tcPr>
          <w:p w14:paraId="7B5AE11B" w14:textId="7B07D791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318,2</w:t>
            </w:r>
          </w:p>
        </w:tc>
        <w:tc>
          <w:tcPr>
            <w:tcW w:w="747" w:type="dxa"/>
          </w:tcPr>
          <w:p w14:paraId="687AC2F1" w14:textId="50872BD7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413,7</w:t>
            </w:r>
          </w:p>
        </w:tc>
        <w:tc>
          <w:tcPr>
            <w:tcW w:w="748" w:type="dxa"/>
          </w:tcPr>
          <w:p w14:paraId="48957463" w14:textId="40E6FF10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537,8</w:t>
            </w:r>
          </w:p>
        </w:tc>
        <w:tc>
          <w:tcPr>
            <w:tcW w:w="748" w:type="dxa"/>
          </w:tcPr>
          <w:p w14:paraId="289ED5D4" w14:textId="1CB29DF8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699,1</w:t>
            </w:r>
          </w:p>
        </w:tc>
        <w:tc>
          <w:tcPr>
            <w:tcW w:w="748" w:type="dxa"/>
          </w:tcPr>
          <w:p w14:paraId="707DF403" w14:textId="2C132EFD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858" w:type="dxa"/>
          </w:tcPr>
          <w:p w14:paraId="2B071AAA" w14:textId="741B9371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1181,6</w:t>
            </w:r>
          </w:p>
        </w:tc>
        <w:tc>
          <w:tcPr>
            <w:tcW w:w="689" w:type="dxa"/>
          </w:tcPr>
          <w:p w14:paraId="4A96C419" w14:textId="1886CE66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</w:t>
            </w:r>
          </w:p>
        </w:tc>
        <w:tc>
          <w:tcPr>
            <w:tcW w:w="866" w:type="dxa"/>
          </w:tcPr>
          <w:p w14:paraId="14EDD2D8" w14:textId="60B0A8A8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1996,8</w:t>
            </w:r>
          </w:p>
        </w:tc>
        <w:tc>
          <w:tcPr>
            <w:tcW w:w="1155" w:type="dxa"/>
          </w:tcPr>
          <w:p w14:paraId="02BE6132" w14:textId="6D5A2D46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2585,9</w:t>
            </w:r>
          </w:p>
        </w:tc>
      </w:tr>
      <w:tr w:rsidR="006A5254" w14:paraId="7E6C9265" w14:textId="77777777" w:rsidTr="006A5254">
        <w:tc>
          <w:tcPr>
            <w:tcW w:w="1357" w:type="dxa"/>
          </w:tcPr>
          <w:p w14:paraId="39396033" w14:textId="71649E8F" w:rsidR="002A12CE" w:rsidRPr="003B2F16" w:rsidRDefault="002A12CE" w:rsidP="002A12CE">
            <w:pPr>
              <w:rPr>
                <w:rFonts w:ascii="Times New Roman" w:hAnsi="Times New Roman" w:cs="Times New Roman"/>
                <w:b/>
                <w:bCs/>
              </w:rPr>
            </w:pPr>
            <w:r w:rsidRPr="003B2F16">
              <w:rPr>
                <w:rFonts w:ascii="Times New Roman" w:hAnsi="Times New Roman" w:cs="Times New Roman"/>
                <w:b/>
                <w:bCs/>
              </w:rPr>
              <w:t>Ujęcie dynamiczne</w:t>
            </w:r>
          </w:p>
        </w:tc>
        <w:tc>
          <w:tcPr>
            <w:tcW w:w="688" w:type="dxa"/>
          </w:tcPr>
          <w:p w14:paraId="692C5E70" w14:textId="778D9661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747" w:type="dxa"/>
          </w:tcPr>
          <w:p w14:paraId="662FEDB0" w14:textId="18508B27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318,2</w:t>
            </w:r>
          </w:p>
        </w:tc>
        <w:tc>
          <w:tcPr>
            <w:tcW w:w="747" w:type="dxa"/>
          </w:tcPr>
          <w:p w14:paraId="57BE7491" w14:textId="03FD3616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357,2</w:t>
            </w:r>
          </w:p>
        </w:tc>
        <w:tc>
          <w:tcPr>
            <w:tcW w:w="748" w:type="dxa"/>
          </w:tcPr>
          <w:p w14:paraId="408AD3A4" w14:textId="07A519F3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219,6</w:t>
            </w:r>
          </w:p>
        </w:tc>
        <w:tc>
          <w:tcPr>
            <w:tcW w:w="748" w:type="dxa"/>
          </w:tcPr>
          <w:p w14:paraId="28E602D0" w14:textId="39D2A823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748" w:type="dxa"/>
          </w:tcPr>
          <w:p w14:paraId="1B069CF0" w14:textId="254EC256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371,1</w:t>
            </w:r>
          </w:p>
        </w:tc>
        <w:tc>
          <w:tcPr>
            <w:tcW w:w="858" w:type="dxa"/>
          </w:tcPr>
          <w:p w14:paraId="67BF5F94" w14:textId="7E20E6C4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482,5</w:t>
            </w:r>
          </w:p>
        </w:tc>
        <w:tc>
          <w:tcPr>
            <w:tcW w:w="689" w:type="dxa"/>
          </w:tcPr>
          <w:p w14:paraId="33C29A0A" w14:textId="2BDD5D00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627,1</w:t>
            </w:r>
          </w:p>
        </w:tc>
        <w:tc>
          <w:tcPr>
            <w:tcW w:w="866" w:type="dxa"/>
          </w:tcPr>
          <w:p w14:paraId="4B9C5357" w14:textId="0CA0570C" w:rsidR="002A12CE" w:rsidRDefault="006A5254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815,2</w:t>
            </w:r>
          </w:p>
        </w:tc>
        <w:tc>
          <w:tcPr>
            <w:tcW w:w="1155" w:type="dxa"/>
          </w:tcPr>
          <w:p w14:paraId="4736050D" w14:textId="49C99A88" w:rsidR="002A12CE" w:rsidRDefault="003B2F16" w:rsidP="002A1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1049,9</w:t>
            </w:r>
          </w:p>
        </w:tc>
      </w:tr>
    </w:tbl>
    <w:p w14:paraId="08617FC9" w14:textId="77777777" w:rsidR="005518B9" w:rsidRDefault="005518B9" w:rsidP="005E35F6">
      <w:pPr>
        <w:spacing w:after="0" w:line="240" w:lineRule="auto"/>
        <w:rPr>
          <w:rFonts w:ascii="Times New Roman" w:hAnsi="Times New Roman" w:cs="Times New Roman"/>
        </w:rPr>
      </w:pPr>
    </w:p>
    <w:p w14:paraId="30B2CEE0" w14:textId="77777777" w:rsidR="00B642A0" w:rsidRPr="004F6C36" w:rsidRDefault="00B642A0" w:rsidP="00B642A0">
      <w:pPr>
        <w:widowControl w:val="0"/>
        <w:autoSpaceDE w:val="0"/>
        <w:autoSpaceDN w:val="0"/>
        <w:adjustRightInd w:val="0"/>
        <w:spacing w:line="288" w:lineRule="auto"/>
        <w:ind w:firstLine="708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4F6C3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Projekt ustawy nie jest sprzeczny z prawem Unii Europejskiej.</w:t>
      </w:r>
    </w:p>
    <w:p w14:paraId="25570C6E" w14:textId="563A326A" w:rsidR="0071269D" w:rsidRPr="005E35F6" w:rsidRDefault="0071269D" w:rsidP="005E35F6">
      <w:pPr>
        <w:spacing w:after="0" w:line="240" w:lineRule="auto"/>
        <w:rPr>
          <w:rFonts w:ascii="Times New Roman" w:hAnsi="Times New Roman" w:cs="Times New Roman"/>
        </w:rPr>
      </w:pPr>
    </w:p>
    <w:sectPr w:rsidR="0071269D" w:rsidRPr="005E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1D6D" w14:textId="77777777" w:rsidR="00B62E99" w:rsidRDefault="00B62E99" w:rsidP="00CA63C7">
      <w:pPr>
        <w:spacing w:after="0" w:line="240" w:lineRule="auto"/>
      </w:pPr>
      <w:r>
        <w:separator/>
      </w:r>
    </w:p>
  </w:endnote>
  <w:endnote w:type="continuationSeparator" w:id="0">
    <w:p w14:paraId="75368612" w14:textId="77777777" w:rsidR="00B62E99" w:rsidRDefault="00B62E99" w:rsidP="00CA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185D" w14:textId="77777777" w:rsidR="00B62E99" w:rsidRDefault="00B62E99" w:rsidP="00CA63C7">
      <w:pPr>
        <w:spacing w:after="0" w:line="240" w:lineRule="auto"/>
      </w:pPr>
      <w:r>
        <w:separator/>
      </w:r>
    </w:p>
  </w:footnote>
  <w:footnote w:type="continuationSeparator" w:id="0">
    <w:p w14:paraId="6FC3923D" w14:textId="77777777" w:rsidR="00B62E99" w:rsidRDefault="00B62E99" w:rsidP="00CA63C7">
      <w:pPr>
        <w:spacing w:after="0" w:line="240" w:lineRule="auto"/>
      </w:pPr>
      <w:r>
        <w:continuationSeparator/>
      </w:r>
    </w:p>
  </w:footnote>
  <w:footnote w:id="1">
    <w:p w14:paraId="08DEE58A" w14:textId="14FD79BD" w:rsidR="005518B9" w:rsidRPr="00797365" w:rsidRDefault="005518B9">
      <w:pPr>
        <w:pStyle w:val="Tekstprzypisudolnego"/>
        <w:rPr>
          <w:rFonts w:ascii="Times New Roman" w:hAnsi="Times New Roman" w:cs="Times New Roman"/>
          <w:lang w:val="en-US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  <w:lang w:val="en-US"/>
        </w:rPr>
        <w:t xml:space="preserve"> IFR (International Federation of Robotics), World Robotics Industrial Robots 2024, VDMA Services GmbH, dostęp: 25.08.2025.</w:t>
      </w:r>
    </w:p>
  </w:footnote>
  <w:footnote w:id="2">
    <w:p w14:paraId="508DBADB" w14:textId="704AD9CA" w:rsidR="005518B9" w:rsidRPr="00797365" w:rsidRDefault="005518B9">
      <w:pPr>
        <w:pStyle w:val="Tekstprzypisudolnego"/>
        <w:rPr>
          <w:rFonts w:ascii="Times New Roman" w:hAnsi="Times New Roman" w:cs="Times New Roman"/>
          <w:lang w:val="en-US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  <w:lang w:val="en-US"/>
        </w:rPr>
        <w:t xml:space="preserve"> IFR (International Federation of Robotics), World Robotics Industrial Robots 2023, VDMA Services GmbH, dostęp: 25.08.2025.</w:t>
      </w:r>
    </w:p>
  </w:footnote>
  <w:footnote w:id="3">
    <w:p w14:paraId="36CEA6EA" w14:textId="6556BF1A" w:rsidR="00CA63C7" w:rsidRPr="00797365" w:rsidRDefault="00CA63C7">
      <w:pPr>
        <w:pStyle w:val="Tekstprzypisudolnego"/>
        <w:rPr>
          <w:rFonts w:ascii="Times New Roman" w:hAnsi="Times New Roman" w:cs="Times New Roman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</w:rPr>
        <w:t xml:space="preserve"> J. Grzeszak, J. Sarnowski, M. Supera-Markowska, Drogi do przemysłu 4.0. Robotyzacja na świecie i lekcje dla Polski, Polski Instytut Ekonomiczny 2019, s. 14</w:t>
      </w:r>
      <w:r w:rsidR="005518B9" w:rsidRPr="00797365">
        <w:rPr>
          <w:rFonts w:ascii="Times New Roman" w:hAnsi="Times New Roman" w:cs="Times New Roman"/>
        </w:rPr>
        <w:t>.</w:t>
      </w:r>
    </w:p>
  </w:footnote>
  <w:footnote w:id="4">
    <w:p w14:paraId="0ADF8826" w14:textId="0B411E82" w:rsidR="005518B9" w:rsidRPr="00797365" w:rsidRDefault="005518B9">
      <w:pPr>
        <w:pStyle w:val="Tekstprzypisudolnego"/>
        <w:rPr>
          <w:rFonts w:ascii="Times New Roman" w:hAnsi="Times New Roman" w:cs="Times New Roman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  <w:lang w:val="en-US"/>
        </w:rPr>
        <w:t xml:space="preserve"> UN (United Nations), World Population Prospects 2024. </w:t>
      </w:r>
      <w:hyperlink r:id="rId1" w:history="1">
        <w:r w:rsidR="00797365" w:rsidRPr="00797365">
          <w:rPr>
            <w:rStyle w:val="Hipercze"/>
            <w:rFonts w:ascii="Times New Roman" w:hAnsi="Times New Roman" w:cs="Times New Roman"/>
            <w:color w:val="auto"/>
            <w:u w:val="none"/>
          </w:rPr>
          <w:t>https://population.un.org/wpp/</w:t>
        </w:r>
      </w:hyperlink>
      <w:r w:rsidR="00797365" w:rsidRPr="00797365">
        <w:rPr>
          <w:rFonts w:ascii="Times New Roman" w:hAnsi="Times New Roman" w:cs="Times New Roman"/>
        </w:rPr>
        <w:t>, dostęp: 25.08.2025.</w:t>
      </w:r>
    </w:p>
  </w:footnote>
  <w:footnote w:id="5">
    <w:p w14:paraId="4778BA92" w14:textId="13A96A11" w:rsidR="00CA63C7" w:rsidRPr="00797365" w:rsidRDefault="00CA63C7">
      <w:pPr>
        <w:pStyle w:val="Tekstprzypisudolnego"/>
        <w:rPr>
          <w:rFonts w:ascii="Times New Roman" w:hAnsi="Times New Roman" w:cs="Times New Roman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</w:rPr>
        <w:t xml:space="preserve"> J. Sarnowski, A. Łożykowski, M. Polewiak, Podatek dochodowy od osób fizycznych w latach 2016-2022 – droga w kierunku sprawiedliwego, elastycznego i prostego w rozliczeniu podatku dochodowego, [w:] Modzelewski, Witold / Radzikowski, Krzysztof (red.), Koncepcje opodatkowania dochodu – refleksje na 30-lecie podatku dochodowego od osób fizycznych, Warszawa 2022, s. 27.</w:t>
      </w:r>
    </w:p>
  </w:footnote>
  <w:footnote w:id="6">
    <w:p w14:paraId="32C22464" w14:textId="40A9B6BB" w:rsidR="00CA63C7" w:rsidRPr="00797365" w:rsidRDefault="00CA63C7">
      <w:pPr>
        <w:pStyle w:val="Tekstprzypisudolnego"/>
        <w:rPr>
          <w:rFonts w:ascii="Times New Roman" w:hAnsi="Times New Roman" w:cs="Times New Roman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</w:rPr>
        <w:t xml:space="preserve"> Grant Thorton, Ulgi na innowacje, </w:t>
      </w:r>
      <w:hyperlink r:id="rId2" w:history="1">
        <w:r w:rsidRPr="00797365">
          <w:rPr>
            <w:rStyle w:val="Hipercze"/>
            <w:rFonts w:ascii="Times New Roman" w:hAnsi="Times New Roman" w:cs="Times New Roman"/>
            <w:color w:val="auto"/>
            <w:u w:val="none"/>
          </w:rPr>
          <w:t>https://grantthornton.pl/wp-content/uploads/2024/08/Ulgi-na-innowacje-Edycja-III.pdf</w:t>
        </w:r>
      </w:hyperlink>
      <w:r w:rsidRPr="00797365">
        <w:rPr>
          <w:rFonts w:ascii="Times New Roman" w:hAnsi="Times New Roman" w:cs="Times New Roman"/>
        </w:rPr>
        <w:t>, dostęp: 25.08.2025.</w:t>
      </w:r>
    </w:p>
  </w:footnote>
  <w:footnote w:id="7">
    <w:p w14:paraId="4FF0E526" w14:textId="4B87CD6C" w:rsidR="005518B9" w:rsidRPr="00797365" w:rsidRDefault="005518B9">
      <w:pPr>
        <w:pStyle w:val="Tekstprzypisudolnego"/>
        <w:rPr>
          <w:rFonts w:ascii="Times New Roman" w:hAnsi="Times New Roman" w:cs="Times New Roman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</w:rPr>
        <w:t xml:space="preserve"> DGP, Ulga na robotyzację tylko do końca 2026 r. Nie będzie kontynuacji, </w:t>
      </w:r>
      <w:hyperlink r:id="rId3" w:history="1">
        <w:r w:rsidRPr="00797365">
          <w:rPr>
            <w:rStyle w:val="Hipercze"/>
            <w:rFonts w:ascii="Times New Roman" w:hAnsi="Times New Roman" w:cs="Times New Roman"/>
            <w:color w:val="auto"/>
            <w:u w:val="none"/>
          </w:rPr>
          <w:t>https://www.inforlex.pl/dok/tresc,FOB0000000000006795291,Ulga-na-robotyzacje-tylko-do-konca-2026-r-Nie-bedzie-kontynuacji.html</w:t>
        </w:r>
      </w:hyperlink>
      <w:r w:rsidRPr="00797365">
        <w:rPr>
          <w:rFonts w:ascii="Times New Roman" w:hAnsi="Times New Roman" w:cs="Times New Roman"/>
        </w:rPr>
        <w:t xml:space="preserve">, </w:t>
      </w:r>
      <w:hyperlink r:id="rId4" w:history="1">
        <w:r w:rsidR="00797365" w:rsidRPr="00797365">
          <w:rPr>
            <w:rStyle w:val="Hipercze"/>
            <w:rFonts w:ascii="Times New Roman" w:hAnsi="Times New Roman" w:cs="Times New Roman"/>
            <w:color w:val="auto"/>
            <w:u w:val="none"/>
          </w:rPr>
          <w:t>https://magazynprzemyslowy.pl/artykuly/inwestycja-w-roboty-od-czego-zaczac-i-po-jakim-czasie-sie-zwroci?utm_source=chatgpt.com</w:t>
        </w:r>
      </w:hyperlink>
      <w:r w:rsidR="00797365" w:rsidRPr="00797365">
        <w:rPr>
          <w:rFonts w:ascii="Times New Roman" w:hAnsi="Times New Roman" w:cs="Times New Roman"/>
        </w:rPr>
        <w:t>, dostęp: 25.08.2025.</w:t>
      </w:r>
    </w:p>
  </w:footnote>
  <w:footnote w:id="8">
    <w:p w14:paraId="061E3898" w14:textId="1A2BEEF5" w:rsidR="00985DBA" w:rsidRPr="00797365" w:rsidRDefault="00985DBA">
      <w:pPr>
        <w:pStyle w:val="Tekstprzypisudolnego"/>
        <w:rPr>
          <w:rFonts w:ascii="Times New Roman" w:hAnsi="Times New Roman" w:cs="Times New Roman"/>
        </w:rPr>
      </w:pPr>
      <w:r w:rsidRPr="00797365">
        <w:rPr>
          <w:rStyle w:val="Odwoanieprzypisudolnego"/>
          <w:rFonts w:ascii="Times New Roman" w:hAnsi="Times New Roman" w:cs="Times New Roman"/>
        </w:rPr>
        <w:footnoteRef/>
      </w:r>
      <w:r w:rsidRPr="00797365">
        <w:rPr>
          <w:rFonts w:ascii="Times New Roman" w:hAnsi="Times New Roman" w:cs="Times New Roman"/>
        </w:rPr>
        <w:t xml:space="preserve"> Grant Thorton, Ulgi na innowacje, https://grantthornton.pl/wp-content/uploads/2024/08/Ulgi-na-innowacje-Edycja-III.pdf, dostęp: 25.08.2025.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E4C"/>
    <w:multiLevelType w:val="hybridMultilevel"/>
    <w:tmpl w:val="9C36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DEB"/>
    <w:multiLevelType w:val="hybridMultilevel"/>
    <w:tmpl w:val="62106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B58A0"/>
    <w:multiLevelType w:val="hybridMultilevel"/>
    <w:tmpl w:val="09A68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D3C8F"/>
    <w:multiLevelType w:val="hybridMultilevel"/>
    <w:tmpl w:val="F1C60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1BB8"/>
    <w:multiLevelType w:val="hybridMultilevel"/>
    <w:tmpl w:val="F98276D0"/>
    <w:lvl w:ilvl="0" w:tplc="3092C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C145CF"/>
    <w:multiLevelType w:val="hybridMultilevel"/>
    <w:tmpl w:val="D9B47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9765">
    <w:abstractNumId w:val="1"/>
  </w:num>
  <w:num w:numId="2" w16cid:durableId="1712413218">
    <w:abstractNumId w:val="2"/>
  </w:num>
  <w:num w:numId="3" w16cid:durableId="1009287139">
    <w:abstractNumId w:val="5"/>
  </w:num>
  <w:num w:numId="4" w16cid:durableId="791903797">
    <w:abstractNumId w:val="0"/>
  </w:num>
  <w:num w:numId="5" w16cid:durableId="1437754032">
    <w:abstractNumId w:val="3"/>
  </w:num>
  <w:num w:numId="6" w16cid:durableId="196345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75"/>
    <w:rsid w:val="000A4E0F"/>
    <w:rsid w:val="001637B6"/>
    <w:rsid w:val="002A12CE"/>
    <w:rsid w:val="002E72C2"/>
    <w:rsid w:val="003564CF"/>
    <w:rsid w:val="00376267"/>
    <w:rsid w:val="003811DC"/>
    <w:rsid w:val="00393973"/>
    <w:rsid w:val="003A5275"/>
    <w:rsid w:val="003B2F16"/>
    <w:rsid w:val="003C154E"/>
    <w:rsid w:val="004F6C36"/>
    <w:rsid w:val="005518B9"/>
    <w:rsid w:val="005E35F6"/>
    <w:rsid w:val="006A1CB6"/>
    <w:rsid w:val="006A5254"/>
    <w:rsid w:val="006E1415"/>
    <w:rsid w:val="0071269D"/>
    <w:rsid w:val="007210B7"/>
    <w:rsid w:val="00797365"/>
    <w:rsid w:val="007A3CD4"/>
    <w:rsid w:val="00844BA1"/>
    <w:rsid w:val="00874BE0"/>
    <w:rsid w:val="00921649"/>
    <w:rsid w:val="00936832"/>
    <w:rsid w:val="00985DBA"/>
    <w:rsid w:val="00AF5A89"/>
    <w:rsid w:val="00B466C2"/>
    <w:rsid w:val="00B62E99"/>
    <w:rsid w:val="00B642A0"/>
    <w:rsid w:val="00CA63C7"/>
    <w:rsid w:val="00CB3E23"/>
    <w:rsid w:val="00CC1273"/>
    <w:rsid w:val="00CF53A2"/>
    <w:rsid w:val="00EC4854"/>
    <w:rsid w:val="00ED4BF5"/>
    <w:rsid w:val="00EE754D"/>
    <w:rsid w:val="00F11BE5"/>
    <w:rsid w:val="00F20F77"/>
    <w:rsid w:val="00F308E3"/>
    <w:rsid w:val="00F46499"/>
    <w:rsid w:val="00F95075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03B5"/>
  <w15:chartTrackingRefBased/>
  <w15:docId w15:val="{9D1491A6-A6CC-46FE-B32C-DF4E3E9C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BF5"/>
  </w:style>
  <w:style w:type="paragraph" w:styleId="Nagwek1">
    <w:name w:val="heading 1"/>
    <w:basedOn w:val="Normalny"/>
    <w:next w:val="Normalny"/>
    <w:link w:val="Nagwek1Znak"/>
    <w:uiPriority w:val="9"/>
    <w:qFormat/>
    <w:rsid w:val="00F9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0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0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0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0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07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3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63C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3C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A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forlex.pl/dok/tresc,FOB0000000000006795291,Ulga-na-robotyzacje-tylko-do-konca-2026-r-Nie-bedzie-kontynuacji.html" TargetMode="External"/><Relationship Id="rId2" Type="http://schemas.openxmlformats.org/officeDocument/2006/relationships/hyperlink" Target="https://grantthornton.pl/wp-content/uploads/2024/08/Ulgi-na-innowacje-Edycja-III.pdf" TargetMode="External"/><Relationship Id="rId1" Type="http://schemas.openxmlformats.org/officeDocument/2006/relationships/hyperlink" Target="https://population.un.org/wpp/" TargetMode="External"/><Relationship Id="rId4" Type="http://schemas.openxmlformats.org/officeDocument/2006/relationships/hyperlink" Target="https://magazynprzemyslowy.pl/artykuly/inwestycja-w-roboty-od-czego-zaczac-i-po-jakim-czasie-sie-zwroci?utm_source=chatgp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7AA7-394D-4996-AC30-22EDE2DE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1416</Words>
  <Characters>8502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2025-08-26T08:54:00Z</dcterms:created>
  <dcterms:modified xsi:type="dcterms:W3CDTF">2025-09-02T07:41:00Z</dcterms:modified>
</cp:coreProperties>
</file>