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8F85" w14:textId="554981C5" w:rsidR="00AE3722" w:rsidRPr="0076781E" w:rsidRDefault="00AE3722" w:rsidP="009E5BC1">
      <w:pPr>
        <w:suppressAutoHyphens/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caps/>
          <w:kern w:val="0"/>
          <w:lang w:eastAsia="pl-PL"/>
          <w14:ligatures w14:val="none"/>
        </w:rPr>
      </w:pPr>
      <w:r w:rsidRPr="0076781E">
        <w:rPr>
          <w:rFonts w:ascii="Times New Roman" w:eastAsia="Times New Roman" w:hAnsi="Times New Roman" w:cs="Times New Roman"/>
          <w:caps/>
          <w:kern w:val="0"/>
          <w:lang w:eastAsia="pl-PL"/>
          <w14:ligatures w14:val="none"/>
        </w:rPr>
        <w:t>Uzasadnienie</w:t>
      </w:r>
      <w:r w:rsidR="00DE526C" w:rsidRPr="0076781E">
        <w:rPr>
          <w:rFonts w:ascii="Times New Roman" w:eastAsia="Times New Roman" w:hAnsi="Times New Roman" w:cs="Times New Roman"/>
          <w:caps/>
          <w:kern w:val="0"/>
          <w:lang w:eastAsia="pl-PL"/>
          <w14:ligatures w14:val="none"/>
        </w:rPr>
        <w:t xml:space="preserve"> </w:t>
      </w:r>
    </w:p>
    <w:p w14:paraId="2423B174" w14:textId="77777777" w:rsidR="0098385A" w:rsidRPr="0098385A" w:rsidRDefault="0098385A" w:rsidP="00D87F30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360" w:after="0" w:line="276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8385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Utworzenie Parku Narodowego Doliny Dolnej Odry</w:t>
      </w:r>
    </w:p>
    <w:p w14:paraId="3CC4B89A" w14:textId="6A36158F" w:rsidR="009272AC" w:rsidRPr="0098385A" w:rsidRDefault="009272AC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Celem projektowanej ustawy jest utworzenie Parku Narodowego Doliny Dolnej Odry </w:t>
      </w:r>
      <w:r w:rsidR="001C1A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jako formy ochrony przyrody oraz państwowej osoby prawnej </w:t>
      </w:r>
      <w:r w:rsidR="001C1AA8" w:rsidRPr="001C1A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Parku Narodowego Doliny Dolnej Odry </w:t>
      </w:r>
      <w:r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siedzibą w Gryfinie.</w:t>
      </w:r>
    </w:p>
    <w:p w14:paraId="755F6E92" w14:textId="0E9B4B75" w:rsidR="00AE3722" w:rsidRPr="009E5BC1" w:rsidRDefault="00AE3722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Park narodowy tworzy się w celu zachowania różnorodności biologicznej, zasobów, tworów i</w:t>
      </w:r>
      <w:r w:rsidR="001C1A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składników przyrody nieożywionej i walorów krajobrazowych, przywrócenia właściwego stanu zasobów i składników przyrody oraz odtworzenia zniekształconych siedlisk przyrodniczych, siedlisk roślin, siedlisk zwierząt lub siedlisk grzybów. </w:t>
      </w:r>
    </w:p>
    <w:p w14:paraId="6921DC42" w14:textId="4ED04513" w:rsidR="00AE3722" w:rsidRPr="009E5BC1" w:rsidRDefault="00AE3722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Park narodowy jest formą ochrony przyrody, która w najpełniejszym stopniu realizuje wszystkie cele ochrony przyrody określone w ustawie </w:t>
      </w:r>
      <w:r w:rsidR="0098385A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16 kwietnia 2004 r. 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ochronie przyrody</w:t>
      </w:r>
      <w:r w:rsidR="00F724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(Dz. U. </w:t>
      </w:r>
      <w:r w:rsidR="00F724C5" w:rsidRPr="00F724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2024</w:t>
      </w:r>
      <w:r w:rsidR="001C1A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="00F724C5" w:rsidRPr="00F724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 poz. 1478</w:t>
      </w:r>
      <w:r w:rsidR="00F724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z późn. zm.</w:t>
      </w:r>
      <w:r w:rsidR="00F724C5" w:rsidRPr="00F724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zwanej dalej „ustawą o ochronie przyrody”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Podział obszaru parku narodowego na </w:t>
      </w:r>
      <w:r w:rsidR="000F3F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trzy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rodzaje ochrony (ścisła, czynna i krajobrazowa) pozwala na różnicowanie rodzajów wykonywanych działań ochronnych. Ochrona ścisła pozwala na zachowanie i śledzenie naturalnych procesów przyrodniczych zachodzących w ekosystemach oraz zachowanie dziedzictwa geologicznego i paleontologicznego. Ochrona czynna pozwala na realizację zabiegów ochrony czynnej w</w:t>
      </w:r>
      <w:r w:rsidR="00D87F3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ekosystemach, zmierzających do ich odtworzenia lub do zachowania określonych gatunków roślin, zwierząt lub grzybów. Z kolei w ramach ochrony krajobrazowej </w:t>
      </w:r>
      <w:r w:rsidR="00843F91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jest 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możliwe wykonywanie działań ochronnych pozwalających na zachowanie określonych cech krajobrazu utrwalonego na obszarze parku narodowego. Ponadto ochrona krajobrazowa pozwala na gospodarcze wykorzystywanie nieruchomości w dotychczasowy sposób, np. prowadz</w:t>
      </w:r>
      <w:r w:rsidR="006659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enie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gospodarstw</w:t>
      </w:r>
      <w:r w:rsidR="006659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rolne</w:t>
      </w:r>
      <w:r w:rsidR="006659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go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530BCEAE" w14:textId="465ABCBF" w:rsidR="00AE3722" w:rsidRPr="009E5BC1" w:rsidRDefault="00AE3722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Jednocześnie obszar parku narodowego jest udostępniany społeczeństwu w sposób, który nie wpływa negatywnie na chronioną przyrodę. Dzięki temu całe społeczeństwo może korzystać z tych wartości. </w:t>
      </w:r>
    </w:p>
    <w:p w14:paraId="0704C8F9" w14:textId="19C0F2BF" w:rsidR="00AE3722" w:rsidRPr="009E5BC1" w:rsidRDefault="00AE3722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Aktualnie w Polsce funkcjonują 23 parki narodowe. Ostatni z nich – Park Narodowy „Ujście Warty” – został utworzony w 2001 r. Parki narodowe obejmują ok. 1% powierzchni Polski, przy średniej dla krajów Unii Europejskiej wynoszącej ok. 3%. Polska posiada potencjał przyrodniczy umożliwiający tworzenie nowych parków narodowych chroniących najcenniejsze zasoby przyrodnicze. Strategie, w</w:t>
      </w:r>
      <w:r w:rsidR="00D87F3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szczególności dotyczące ochrony różnorodności biologicznej, odnoszą się do potrzeby zwiększania powierzchni i liczby obsz</w:t>
      </w:r>
      <w:r w:rsidR="00B15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rów objętych ochroną przyrody, w szczególności parków narodowych. Obszary te zabezpieczają wartości przyrodnicze, umożliwiając jednocześnie prowadzenie badań naukowych dotyczących zmian zachodzących w przyrodzie, w tym wynikających ze zmian klimatu, zarówno w odniesieniu do procesów naturalnych (ochrona ścisła), jak i wykonywanych zabiegów ochrony czynnej (ochrona czynna). Dzięki ochronie przyrody parki narodowe są także rezerwuarem wody, w tym wody pitnej, co jest niezwykle ważne</w:t>
      </w:r>
      <w:r w:rsidR="00754D4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biorąc pod uwagę obserwowany w ostatnich latach niedobór wody w Polsce.</w:t>
      </w:r>
    </w:p>
    <w:p w14:paraId="5D9EB12D" w14:textId="68015C83" w:rsidR="00AE3722" w:rsidRPr="009E5BC1" w:rsidRDefault="00AE3722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Biorąc pod uwagę uwarunkowania przyrodnicze oraz oczekiwania społeczne dotyczące tworzenia nowych parków narodowych, zostały </w:t>
      </w:r>
      <w:r w:rsidR="0098385A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podjęte 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prace zmierzające do utworzenia Parku Narodowego Doliny Dolnej Odry, zwanego dalej „projektowanym Parkiem”. Z inicjatywą utworzenia projektowanego Parku wystąpiła miejscowa społeczność. Walory przyrodnicze obszaru projektowanego Parku położonego na obszarze </w:t>
      </w:r>
      <w:proofErr w:type="spellStart"/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Międzyodrza</w:t>
      </w:r>
      <w:proofErr w:type="spellEnd"/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bez wątpienia predestynują ten obszar do utworzenia najwyższej formy ochrony przyrody.</w:t>
      </w:r>
    </w:p>
    <w:p w14:paraId="3A8BB48D" w14:textId="1A2D4DB9" w:rsidR="0096251C" w:rsidRPr="009E5BC1" w:rsidRDefault="0096251C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 w:rsidR="000F3F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rojektowany Pa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rk obejm</w:t>
      </w:r>
      <w:r w:rsidR="006D7D9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ie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obszar jednego z najcenniejszych fragmentów dna doliny dolnej Odry, czyli obszar </w:t>
      </w:r>
      <w:proofErr w:type="spellStart"/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Międzyodrza</w:t>
      </w:r>
      <w:proofErr w:type="spellEnd"/>
      <w:r w:rsidR="00D87F3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w części pokry</w:t>
      </w:r>
      <w:r w:rsidR="00843F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się z obszarem Parku Krajobrazowego Dolina Dolnej Odry. </w:t>
      </w:r>
      <w:proofErr w:type="spellStart"/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Międzyodrze</w:t>
      </w:r>
      <w:proofErr w:type="spellEnd"/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znajduje się w granicach obszaru specjalnej ochrony ptaków Dolina Dolnej Odry (PLB320003) oraz specjalnego obszaru ochrony siedlisk Dolna Odra (PLH320037).</w:t>
      </w:r>
    </w:p>
    <w:p w14:paraId="1C9A68E1" w14:textId="6FCDB750" w:rsidR="0096251C" w:rsidRPr="009E5BC1" w:rsidRDefault="0096251C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Międzyodrze</w:t>
      </w:r>
      <w:proofErr w:type="spellEnd"/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stanowi wyspę torfową największego w Europie torfowiska </w:t>
      </w:r>
      <w:proofErr w:type="spellStart"/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fluwiogenicznego</w:t>
      </w:r>
      <w:proofErr w:type="spellEnd"/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poprzecinanego siecią kanałów, starorzeczy, rowów i rozlewisk. W tych warunkach, przy znikomym gospodarowaniu</w:t>
      </w:r>
      <w:r w:rsidR="00445C2E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wykształciła się specyficzna szata roślinna.</w:t>
      </w:r>
    </w:p>
    <w:p w14:paraId="6AB6498A" w14:textId="1CD5918B" w:rsidR="0096251C" w:rsidRPr="009E5BC1" w:rsidRDefault="0096251C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Flora roślin naczyniowych projektowanego </w:t>
      </w:r>
      <w:r w:rsidR="00445C2E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arku składa się z co najmniej 460 gatunków. Jest to znacząca reprezentacja flory krajowej obejmującej w sumie 3130 gatunków, zwłaszcza w kontekście obejmowania przez </w:t>
      </w:r>
      <w:r w:rsidR="00445C2E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projektowany P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ark jednolitego krajobrazu samego dna doliny rzeki nizinnej. Ze względu na warunki siedliskowe – zdecydowaną dominację siedlisk półnaturalnych i naturalnych</w:t>
      </w:r>
      <w:r w:rsidR="00445C2E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stosunkowo niewielki jest tu udział gatunków obcych oraz gatunków rodzimych preferujących siedliska kształtowane przez człowieka. </w:t>
      </w:r>
      <w:proofErr w:type="spellStart"/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Międzyodrze</w:t>
      </w:r>
      <w:proofErr w:type="spellEnd"/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to miejsce występowania 20 gatunków zagrożonych w</w:t>
      </w:r>
      <w:r w:rsidR="00D87F3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skali krajowej, ujętych na Czerwonej liście (Kaźmierczakowa 2016), przy czym 14 z nich potwierdzonych zostało na tym obszarze w XXI wieku, a pozostałych 6 ma tu status zaginionych (stwierdzone zostały po raz ostatni w XX wieku). Aż 18 z tych gatunków to rośliny związane z</w:t>
      </w:r>
      <w:r w:rsidR="00D87F3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siedliskami wodnymi i bagiennymi (pozostałe dwa rosną w lasach i w </w:t>
      </w:r>
      <w:proofErr w:type="spellStart"/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traworoślach</w:t>
      </w:r>
      <w:proofErr w:type="spellEnd"/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wałach przeciwpowodziowych), co świadczy o pełnieniu przez obszar roli ostoi rangi krajowej dla flory związanej z siedliskami wodnymi i zależn</w:t>
      </w:r>
      <w:r w:rsidR="00D02DB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ej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 wód.</w:t>
      </w:r>
    </w:p>
    <w:p w14:paraId="66B48A3C" w14:textId="4501AA83" w:rsidR="00D6719B" w:rsidRPr="00497566" w:rsidRDefault="0096251C" w:rsidP="0076781E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granicach </w:t>
      </w:r>
      <w:proofErr w:type="spellStart"/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Międzyodrza</w:t>
      </w:r>
      <w:proofErr w:type="spellEnd"/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stwierdzono występowanie co najmniej 6 typów siedlisk przyrodniczych </w:t>
      </w:r>
      <w:r w:rsidR="00445C2E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wymienionych 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rozporządzeniu Ministra Środowiska z dnia 13 kwietnia 2010 r. w sprawie siedlisk przyrodniczych oraz gatunków będących przedmiotem zainteresowania Wspólnoty, a także kryteriów wyboru obszarów kwalifikujących się do uznania lub wyznaczenia jako obszary Natura 2000 (Dz. U. z</w:t>
      </w:r>
      <w:r w:rsidR="00D87F3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2014 r. poz. 1713)</w:t>
      </w:r>
      <w:r w:rsidR="003204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="00D6719B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3204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</w:t>
      </w:r>
      <w:r w:rsidR="00D6719B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ą to między innymi: </w:t>
      </w:r>
      <w:r w:rsidR="00D6719B" w:rsidRPr="00497566">
        <w:rPr>
          <w:rFonts w:ascii="Times New Roman" w:hAnsi="Times New Roman" w:cs="Times New Roman"/>
        </w:rPr>
        <w:t xml:space="preserve">Ciepłolubne, śródlądowe murawy </w:t>
      </w:r>
      <w:proofErr w:type="spellStart"/>
      <w:r w:rsidR="00D6719B" w:rsidRPr="00497566">
        <w:rPr>
          <w:rFonts w:ascii="Times New Roman" w:hAnsi="Times New Roman" w:cs="Times New Roman"/>
        </w:rPr>
        <w:t>napiaskowe</w:t>
      </w:r>
      <w:proofErr w:type="spellEnd"/>
      <w:r w:rsidR="00D6719B" w:rsidRPr="00497566">
        <w:rPr>
          <w:rFonts w:ascii="Times New Roman" w:hAnsi="Times New Roman" w:cs="Times New Roman"/>
        </w:rPr>
        <w:t xml:space="preserve"> (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Koelerion</w:t>
      </w:r>
      <w:proofErr w:type="spellEnd"/>
      <w:r w:rsidR="00D6719B" w:rsidRPr="0049756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glaucae</w:t>
      </w:r>
      <w:proofErr w:type="spellEnd"/>
      <w:r w:rsidR="00D6719B" w:rsidRPr="00497566">
        <w:rPr>
          <w:rFonts w:ascii="Times New Roman" w:hAnsi="Times New Roman" w:cs="Times New Roman"/>
        </w:rPr>
        <w:t>); Murawy kserotermiczne (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Festuco-Brometea</w:t>
      </w:r>
      <w:proofErr w:type="spellEnd"/>
      <w:r w:rsidR="00D6719B" w:rsidRPr="00497566">
        <w:rPr>
          <w:rFonts w:ascii="Times New Roman" w:hAnsi="Times New Roman" w:cs="Times New Roman"/>
          <w:i/>
          <w:iCs/>
        </w:rPr>
        <w:t xml:space="preserve"> </w:t>
      </w:r>
      <w:r w:rsidR="00D6719B" w:rsidRPr="00497566">
        <w:rPr>
          <w:rFonts w:ascii="Times New Roman" w:hAnsi="Times New Roman" w:cs="Times New Roman"/>
        </w:rPr>
        <w:t xml:space="preserve">i ciepłolubne murawy z 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Asplenion</w:t>
      </w:r>
      <w:proofErr w:type="spellEnd"/>
      <w:r w:rsidR="00D6719B" w:rsidRPr="0049756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septentrionalis</w:t>
      </w:r>
      <w:proofErr w:type="spellEnd"/>
      <w:r w:rsidR="00D6719B" w:rsidRPr="0049756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Festucion</w:t>
      </w:r>
      <w:proofErr w:type="spellEnd"/>
      <w:r w:rsidR="00D6719B" w:rsidRPr="0049756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pallentis</w:t>
      </w:r>
      <w:proofErr w:type="spellEnd"/>
      <w:r w:rsidR="00D6719B" w:rsidRPr="00497566">
        <w:rPr>
          <w:rFonts w:ascii="Times New Roman" w:hAnsi="Times New Roman" w:cs="Times New Roman"/>
        </w:rPr>
        <w:t>); Bory i lasy bagienne (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Vaccinio</w:t>
      </w:r>
      <w:proofErr w:type="spellEnd"/>
      <w:r w:rsidR="00D6719B" w:rsidRPr="0049756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uliginosi-Betuletum</w:t>
      </w:r>
      <w:proofErr w:type="spellEnd"/>
      <w:r w:rsidR="00D6719B" w:rsidRPr="0049756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pubescentis</w:t>
      </w:r>
      <w:proofErr w:type="spellEnd"/>
      <w:r w:rsidR="00D6719B" w:rsidRPr="00497566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Vaccinio</w:t>
      </w:r>
      <w:proofErr w:type="spellEnd"/>
      <w:r w:rsidR="00D6719B" w:rsidRPr="0049756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uliginosi-Pinetum</w:t>
      </w:r>
      <w:proofErr w:type="spellEnd"/>
      <w:r w:rsidR="00D6719B" w:rsidRPr="00497566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Pino</w:t>
      </w:r>
      <w:proofErr w:type="spellEnd"/>
      <w:r w:rsidR="00D6719B" w:rsidRPr="0049756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mugo-Sphagnetum</w:t>
      </w:r>
      <w:proofErr w:type="spellEnd"/>
      <w:r w:rsidR="00D6719B" w:rsidRPr="00497566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Sphagno</w:t>
      </w:r>
      <w:proofErr w:type="spellEnd"/>
      <w:r w:rsidR="00D6719B" w:rsidRPr="0049756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girgensohnii-Piceetum</w:t>
      </w:r>
      <w:proofErr w:type="spellEnd"/>
      <w:r w:rsidR="00D6719B" w:rsidRPr="00497566">
        <w:rPr>
          <w:rFonts w:ascii="Times New Roman" w:hAnsi="Times New Roman" w:cs="Times New Roman"/>
          <w:i/>
          <w:iCs/>
        </w:rPr>
        <w:t xml:space="preserve">) </w:t>
      </w:r>
      <w:r w:rsidR="00D6719B" w:rsidRPr="00497566">
        <w:rPr>
          <w:rFonts w:ascii="Times New Roman" w:hAnsi="Times New Roman" w:cs="Times New Roman"/>
        </w:rPr>
        <w:t>i</w:t>
      </w:r>
      <w:r w:rsidR="003204A2">
        <w:rPr>
          <w:rFonts w:ascii="Times New Roman" w:hAnsi="Times New Roman" w:cs="Times New Roman"/>
        </w:rPr>
        <w:t> </w:t>
      </w:r>
      <w:r w:rsidR="00D6719B" w:rsidRPr="00497566">
        <w:rPr>
          <w:rFonts w:ascii="Times New Roman" w:hAnsi="Times New Roman" w:cs="Times New Roman"/>
        </w:rPr>
        <w:t>brzozowo</w:t>
      </w:r>
      <w:r w:rsidR="003204A2">
        <w:rPr>
          <w:rFonts w:ascii="Times New Roman" w:hAnsi="Times New Roman" w:cs="Times New Roman"/>
        </w:rPr>
        <w:noBreakHyphen/>
      </w:r>
      <w:r w:rsidR="00D6719B" w:rsidRPr="00497566">
        <w:rPr>
          <w:rFonts w:ascii="Times New Roman" w:hAnsi="Times New Roman" w:cs="Times New Roman"/>
        </w:rPr>
        <w:t>sosnowe bagienne lasy borealne; Łęgi wierzbowe, topolowe, olszowe i jesionowe (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Salicetum</w:t>
      </w:r>
      <w:proofErr w:type="spellEnd"/>
      <w:r w:rsidR="00D6719B" w:rsidRPr="00497566">
        <w:rPr>
          <w:rFonts w:ascii="Times New Roman" w:hAnsi="Times New Roman" w:cs="Times New Roman"/>
          <w:i/>
          <w:iCs/>
        </w:rPr>
        <w:t xml:space="preserve"> albo-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fragilis</w:t>
      </w:r>
      <w:proofErr w:type="spellEnd"/>
      <w:r w:rsidR="00D6719B" w:rsidRPr="00497566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Populetum</w:t>
      </w:r>
      <w:proofErr w:type="spellEnd"/>
      <w:r w:rsidR="00D6719B" w:rsidRPr="0049756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albae</w:t>
      </w:r>
      <w:proofErr w:type="spellEnd"/>
      <w:r w:rsidR="00D6719B" w:rsidRPr="00497566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Alnenion</w:t>
      </w:r>
      <w:proofErr w:type="spellEnd"/>
      <w:r w:rsidR="00D6719B" w:rsidRPr="0049756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glutinoso-incanae</w:t>
      </w:r>
      <w:proofErr w:type="spellEnd"/>
      <w:r w:rsidR="00D6719B" w:rsidRPr="00497566">
        <w:rPr>
          <w:rFonts w:ascii="Times New Roman" w:hAnsi="Times New Roman" w:cs="Times New Roman"/>
        </w:rPr>
        <w:t>) i olsy źródliskowe oraz Ciepłolubne dąbrowy (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Quercetalia</w:t>
      </w:r>
      <w:proofErr w:type="spellEnd"/>
      <w:r w:rsidR="00D6719B" w:rsidRPr="0049756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6719B" w:rsidRPr="00497566">
        <w:rPr>
          <w:rFonts w:ascii="Times New Roman" w:hAnsi="Times New Roman" w:cs="Times New Roman"/>
          <w:i/>
          <w:iCs/>
        </w:rPr>
        <w:t>pubescenti</w:t>
      </w:r>
      <w:r w:rsidR="00D6719B" w:rsidRPr="00497566">
        <w:rPr>
          <w:rFonts w:ascii="Times New Roman" w:hAnsi="Times New Roman" w:cs="Times New Roman"/>
        </w:rPr>
        <w:t>-</w:t>
      </w:r>
      <w:r w:rsidR="00D6719B" w:rsidRPr="00497566">
        <w:rPr>
          <w:rFonts w:ascii="Times New Roman" w:hAnsi="Times New Roman" w:cs="Times New Roman"/>
          <w:i/>
          <w:iCs/>
        </w:rPr>
        <w:t>petraeae</w:t>
      </w:r>
      <w:proofErr w:type="spellEnd"/>
      <w:r w:rsidR="00D6719B" w:rsidRPr="00497566">
        <w:rPr>
          <w:rFonts w:ascii="Times New Roman" w:hAnsi="Times New Roman" w:cs="Times New Roman"/>
        </w:rPr>
        <w:t>).</w:t>
      </w:r>
    </w:p>
    <w:p w14:paraId="1F528AFC" w14:textId="6BF73329" w:rsidR="00AB50A0" w:rsidRPr="00AB50A0" w:rsidRDefault="0096251C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Obszar projektowanego Parku, przebieg jego granic</w:t>
      </w:r>
      <w:r w:rsidR="000F3F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otulin</w:t>
      </w:r>
      <w:r w:rsidR="000F3F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FD611A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zostaną określone w rozporządzeniu Rady Ministrów wyda</w:t>
      </w:r>
      <w:r w:rsidR="00754D4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</w:t>
      </w:r>
      <w:r w:rsidR="00FD611A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nym na podstawie art. 10 ust. 1 ustawy o ochronie przyrody</w:t>
      </w:r>
      <w:r w:rsidR="009272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="00AB50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AB50A0" w:rsidRPr="00AB50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Projektowany Park obejm</w:t>
      </w:r>
      <w:r w:rsidR="00AB50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ie</w:t>
      </w:r>
      <w:r w:rsidR="00AB50A0" w:rsidRPr="00AB50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obszar o powierzchni 3856,30 ha położony w województwie zachodniopomorskim</w:t>
      </w:r>
      <w:r w:rsidR="00E5634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33BE11C" w14:textId="1FD552D8" w:rsidR="00754D40" w:rsidRPr="009E5BC1" w:rsidRDefault="00754D40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Zgodnie z art. 8a ust. 1 ustawy o ochronie przyrody</w:t>
      </w:r>
      <w:r w:rsidR="000F3F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park narodowy jest państwową osobą prawną w</w:t>
      </w:r>
      <w:r w:rsidR="003204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rozumieniu przepisów ustawy z dnia 27 sierpnia 2009 r. o finansach publicznych (Dz. U. z 2024 r. poz. 1530, z późn. zm.). Państwowe osoby prawne są tworzone w drodze odrębnej ustawy. Ponadto art.</w:t>
      </w:r>
      <w:r w:rsidR="003204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10 ust. 3 i 3b ustawy o ochronie przyrody wskazują na „ustawę o utworzeniu parku narodowego”. Tym samym w celu utworzenia projektowanego Parku </w:t>
      </w:r>
      <w:r w:rsidR="00D1105B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jest 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konieczne uchwalenie projektowanej ustawy, która </w:t>
      </w:r>
      <w:r w:rsidR="000F3F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kreuje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F3F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projektowany Park jako </w:t>
      </w:r>
      <w:r w:rsidR="00FE11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obszarową </w:t>
      </w:r>
      <w:r w:rsidR="000F3F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formę ochrony przyrody </w:t>
      </w:r>
      <w:r w:rsidR="00FE11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– park narodowy </w:t>
      </w:r>
      <w:r w:rsid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</w:t>
      </w:r>
      <w:r w:rsidR="00FE11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F3F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oraz tworzy 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państwową osobę prawną </w:t>
      </w:r>
      <w:r w:rsid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– 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Park Narodowy Doliny Dolnej Odry z siedzibą w Gryfinie. </w:t>
      </w:r>
    </w:p>
    <w:p w14:paraId="224ADFF1" w14:textId="55B31DDC" w:rsidR="0096251C" w:rsidRDefault="00AB50A0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B50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Granice projektowanego Parku i otuliny zosta</w:t>
      </w:r>
      <w:r w:rsidR="000F3F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ną</w:t>
      </w:r>
      <w:r w:rsidRPr="00AB50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wyznaczone w takim kształcie, aby zapewnić możliwie najlepszą ochronę zasobów przyrodniczych obszaru </w:t>
      </w:r>
      <w:proofErr w:type="spellStart"/>
      <w:r w:rsidRPr="00AB50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Międzyodrza</w:t>
      </w:r>
      <w:proofErr w:type="spellEnd"/>
      <w:r w:rsidRPr="00AB50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a także umożliwić funkcjonowanie dotychczasowych użytkowników obszaru – interesariuszy. Oba ramiona rzeki Odry: Odra Zachodnia </w:t>
      </w:r>
      <w:proofErr w:type="spellStart"/>
      <w:r w:rsidRPr="00AB50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iOdra</w:t>
      </w:r>
      <w:proofErr w:type="spellEnd"/>
      <w:r w:rsidRPr="00AB50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Wschodnia nie zosta</w:t>
      </w:r>
      <w:r w:rsidR="000F3F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ną</w:t>
      </w:r>
      <w:r w:rsidRPr="00AB50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włączone do </w:t>
      </w:r>
      <w:r w:rsidR="004943E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projektowanego </w:t>
      </w:r>
      <w:r w:rsidRPr="00AB50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Parku i jego otuliny. W obszar projektowanego Parku zosta</w:t>
      </w:r>
      <w:r w:rsidR="000F3F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ną</w:t>
      </w:r>
      <w:r w:rsidRPr="00AB50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włączone trzy wyspy wychodzące poza główny teren </w:t>
      </w:r>
      <w:proofErr w:type="spellStart"/>
      <w:r w:rsidRPr="00AB50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Międzyodrza</w:t>
      </w:r>
      <w:proofErr w:type="spellEnd"/>
      <w:r w:rsidRPr="00AB50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wyspa Łęgi Kurowskie</w:t>
      </w:r>
      <w:r w:rsidR="000F3F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AB50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położona między Odrą Zachodnią a Kanałem </w:t>
      </w:r>
      <w:r w:rsidR="006D7D96" w:rsidRPr="00AB50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Kurowskim</w:t>
      </w:r>
      <w:r w:rsidR="000F3F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AB50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kompleks dwóch wysp położonych między Odrą Wschodnią a </w:t>
      </w:r>
      <w:r w:rsidRPr="00D021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Kanałem Kurowskim: Klucki Ostrów i </w:t>
      </w:r>
      <w:proofErr w:type="spellStart"/>
      <w:r w:rsidRPr="00D021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Zaklucki</w:t>
      </w:r>
      <w:proofErr w:type="spellEnd"/>
      <w:r w:rsidRPr="00D021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Ostrówek. Wyspy Klucki Ostrów i </w:t>
      </w:r>
      <w:proofErr w:type="spellStart"/>
      <w:r w:rsidRPr="00D021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Zaklucki</w:t>
      </w:r>
      <w:proofErr w:type="spellEnd"/>
      <w:r w:rsidRPr="00D021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Ostrówek należą administracyjnie do miasta Szczecin, zatem projektowany Park obejmie </w:t>
      </w:r>
      <w:r w:rsidR="000F3F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trzy</w:t>
      </w:r>
      <w:r w:rsidRPr="00D021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jednostki administracyjne</w:t>
      </w:r>
      <w:r w:rsidR="000F3F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3204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</w:t>
      </w:r>
      <w:r w:rsidR="000F3F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D021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gminy Widuchowa, Kołbaskowo oraz miasto Szczecin</w:t>
      </w:r>
      <w:r w:rsidR="00FD611A" w:rsidRPr="00D021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75CFC5E9" w14:textId="6AA63A73" w:rsidR="0098385A" w:rsidRPr="009272AC" w:rsidRDefault="0098385A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</w:pPr>
      <w:r w:rsidRPr="009E5BC1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Projekt ustawy obejmuje zmianę w załączniku do ustawy o ochronie przyrody</w:t>
      </w:r>
      <w:r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, który zostanie oznaczony jako załącznik nr 1</w:t>
      </w:r>
      <w:r w:rsidRPr="009E5BC1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. Załącznik ten stanowi wykaz parków narodowych, stąd utworzenie nowego parku narodowego powoduje konieczność aktualizacji</w:t>
      </w:r>
      <w:r w:rsidR="00D11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tego załącznika</w:t>
      </w:r>
      <w:r w:rsidRPr="009E5BC1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 Dzięki temu oraz zgodnie z art. 1 projektowanej ustawy zostanie utworzona nowa państwowa osoba prawna. Będą do niej miały zastosowanie wszystkie przepisy ustawy o ochronie przyrody dotyczące parków narodowych, w szczególności art. 8b ust. 1, zgodnie z którym d</w:t>
      </w:r>
      <w:r w:rsidRPr="009272AC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o zadań parku narodowego należy w szczególności:</w:t>
      </w:r>
    </w:p>
    <w:p w14:paraId="3EE869DD" w14:textId="77777777" w:rsidR="0098385A" w:rsidRPr="009272AC" w:rsidRDefault="0098385A" w:rsidP="0076781E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</w:pPr>
      <w:r w:rsidRPr="009272AC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prowadzenie działań ochronnych w ekosystemach parku narodowego, zmierzających do realizacji celów tworzenia parku narodowego;</w:t>
      </w:r>
    </w:p>
    <w:p w14:paraId="7532249D" w14:textId="77777777" w:rsidR="0098385A" w:rsidRPr="009272AC" w:rsidRDefault="0098385A" w:rsidP="0076781E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</w:pPr>
      <w:r w:rsidRPr="009272AC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udostępnianie obszaru parku narodowego na zasadach określonych w planie ochrony lub zadaniach ochronnych i w zarządzeniach dyrektora parku narodowego;</w:t>
      </w:r>
    </w:p>
    <w:p w14:paraId="1FB3995E" w14:textId="77777777" w:rsidR="0098385A" w:rsidRDefault="0098385A" w:rsidP="00D87F30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before="120" w:after="0" w:line="36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</w:pPr>
      <w:r w:rsidRPr="009272AC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prowadzenie działań związanych z edukacją przyrodniczą.</w:t>
      </w:r>
    </w:p>
    <w:p w14:paraId="3097BDFB" w14:textId="77777777" w:rsidR="00D87F30" w:rsidRPr="00D87F30" w:rsidRDefault="00D87F30" w:rsidP="00D87F30">
      <w:pPr>
        <w:pStyle w:val="Akapitzlist"/>
        <w:suppressAutoHyphens/>
        <w:autoSpaceDE w:val="0"/>
        <w:autoSpaceDN w:val="0"/>
        <w:adjustRightInd w:val="0"/>
        <w:spacing w:before="120" w:after="0" w:line="360" w:lineRule="auto"/>
        <w:ind w:left="567"/>
        <w:contextualSpacing w:val="0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val="x-none" w:eastAsia="pl-PL"/>
          <w14:ligatures w14:val="none"/>
        </w:rPr>
      </w:pPr>
    </w:p>
    <w:p w14:paraId="2275EF65" w14:textId="5F4EFF7C" w:rsidR="0098385A" w:rsidRPr="0098385A" w:rsidRDefault="0098385A" w:rsidP="0076781E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Zmiany w ustawie o ochronie przyrody</w:t>
      </w:r>
    </w:p>
    <w:p w14:paraId="66F9D2BA" w14:textId="732FE1DE" w:rsidR="00B937BC" w:rsidRPr="0098385A" w:rsidRDefault="00D6719B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wyniku ustaleń</w:t>
      </w:r>
      <w:r w:rsidR="00EA7533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FD611A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mieszkańcami gmin</w:t>
      </w:r>
      <w:r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przedstawicielami ostatniej w Polsce Rybackiej Spółdzielni „</w:t>
      </w:r>
      <w:proofErr w:type="spellStart"/>
      <w:r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Regalica</w:t>
      </w:r>
      <w:proofErr w:type="spellEnd"/>
      <w:r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”</w:t>
      </w:r>
      <w:r w:rsidR="00FD611A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na obszarze których będzie tworzony projektowany Park, </w:t>
      </w:r>
      <w:r w:rsidR="00A44E79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ustalono</w:t>
      </w:r>
      <w:r w:rsidR="00FD611A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że będzie w</w:t>
      </w:r>
      <w:r w:rsidR="003204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="00FD611A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nim prowadzone </w:t>
      </w:r>
      <w:r w:rsidR="007C38C2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wędkarstwo (amatorski połów ryb) oraz </w:t>
      </w:r>
      <w:r w:rsidR="001E6071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kulturowy połów ryb</w:t>
      </w:r>
      <w:r w:rsidR="00616B5F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(rozumian</w:t>
      </w:r>
      <w:r w:rsidR="001E6071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="00616B5F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jako </w:t>
      </w:r>
      <w:r w:rsidR="00616B5F" w:rsidRPr="0098385A">
        <w:rPr>
          <w:rFonts w:ascii="Times New Roman" w:hAnsi="Times New Roman" w:cs="Times New Roman"/>
        </w:rPr>
        <w:lastRenderedPageBreak/>
        <w:t>wykonywanie połowów organizmów wodnych</w:t>
      </w:r>
      <w:r w:rsidR="00A33F33" w:rsidRPr="0098385A">
        <w:rPr>
          <w:rFonts w:ascii="Times New Roman" w:hAnsi="Times New Roman" w:cs="Times New Roman"/>
        </w:rPr>
        <w:t xml:space="preserve"> (w szczególności ryb)</w:t>
      </w:r>
      <w:r w:rsidR="00616B5F" w:rsidRPr="0098385A">
        <w:rPr>
          <w:rFonts w:ascii="Times New Roman" w:hAnsi="Times New Roman" w:cs="Times New Roman"/>
        </w:rPr>
        <w:t>, metodami i narzędziami powołowymi tradycyjnymi dla danego regionu na wodach śródlądowych</w:t>
      </w:r>
      <w:r w:rsidR="001E6071" w:rsidRPr="0098385A">
        <w:rPr>
          <w:rFonts w:ascii="Times New Roman" w:hAnsi="Times New Roman" w:cs="Times New Roman"/>
        </w:rPr>
        <w:t xml:space="preserve"> i </w:t>
      </w:r>
      <w:r w:rsidR="00A33F33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morskich</w:t>
      </w:r>
      <w:r w:rsidR="001E6071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="00FD611A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="00A44E79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Obszar </w:t>
      </w:r>
      <w:proofErr w:type="spellStart"/>
      <w:r w:rsidR="00A44E79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Międzyodrza</w:t>
      </w:r>
      <w:proofErr w:type="spellEnd"/>
      <w:r w:rsidR="00A44E79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jest trwale związany z prowadzeniem działalności polegającej na połowie ryb. Na tym obszarze, na podstawie obowiązujących operatów rybackich</w:t>
      </w:r>
      <w:r w:rsidR="007C38C2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o których mowa w ustawie</w:t>
      </w:r>
      <w:r w:rsidR="007C38C2" w:rsidRPr="0098385A">
        <w:rPr>
          <w:rFonts w:ascii="Times New Roman" w:hAnsi="Times New Roman" w:cs="Times New Roman"/>
        </w:rPr>
        <w:t xml:space="preserve"> </w:t>
      </w:r>
      <w:r w:rsidR="007C38C2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18kwietnia 1985 r. o rybactwie śródlądowym (Dz. U. z 2022 r. poz. 883)</w:t>
      </w:r>
      <w:r w:rsidR="00A44E79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gospodarkę rybacką, w tym połów ryb</w:t>
      </w:r>
      <w:r w:rsidR="00A45E20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A44E79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prowadzi Rybacka Spółdzielnia „</w:t>
      </w:r>
      <w:proofErr w:type="spellStart"/>
      <w:r w:rsidR="00A44E79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Regalica</w:t>
      </w:r>
      <w:proofErr w:type="spellEnd"/>
      <w:r w:rsidR="00A44E79" w:rsidRP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”. </w:t>
      </w:r>
    </w:p>
    <w:p w14:paraId="47EB842D" w14:textId="6CE0BC6C" w:rsidR="00215830" w:rsidRPr="009E5BC1" w:rsidRDefault="00A44E79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Zgodnie z przepisami ustawy </w:t>
      </w:r>
      <w:r w:rsidR="00A45E20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18 kwietnia 1985 r. 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rybactwie śródlądowym w parku narodowym nie tworzy się obwodów rybackich. Rybactwo może być prowadzone </w:t>
      </w:r>
      <w:r w:rsidR="00A45E20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obszarze park</w:t>
      </w:r>
      <w:r w:rsidR="00FA438B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ów</w:t>
      </w:r>
      <w:r w:rsidR="00EA7533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narodow</w:t>
      </w:r>
      <w:r w:rsidR="00FA438B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 czasu obowiązywania operatów rybackich (skrócenie tego okresu będzie możliwe wyłącznie za zgodą dzierżawcy obwodu rybackiego – zgodnie z ustawą </w:t>
      </w:r>
      <w:r w:rsidR="00A45E20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18 kwietnia 1985 r. 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rybactwie śródlądowym). Wędkarstwo w parku narodowym (amatorski połów ryb) będzie możliwe na zasadach określonych w planie ochrony, zadaniach ochronnych lub w zarządzeniu dyrektora parku narodowego. W związku z tym, że analogiczne działania mogą być realizowane na obszarze innych parków narodowych, w projekcie ustawy zaproponowano nowelizację przepisów ustawy o ochronie przyrody w zakresie dotyczącym możliwości prowadzenia </w:t>
      </w:r>
      <w:r w:rsidR="001E60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kulturowego połowu ryb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wędkarstwa (amatorskiego połowu ryb). </w:t>
      </w:r>
      <w:r w:rsidR="00EA7533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Projektodawca uzupełnił</w:t>
      </w:r>
      <w:r w:rsidR="00215830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pojęcie udostępniania w</w:t>
      </w:r>
      <w:r w:rsidR="00EA7533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słownik</w:t>
      </w:r>
      <w:r w:rsidR="00215830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 w:rsidR="00EA7533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ustawy o ochronie przyrody </w:t>
      </w:r>
      <w:r w:rsidR="00215830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(art. 5 pkt 22) o możliwość prowadzenia </w:t>
      </w:r>
      <w:r w:rsidR="002704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kulturowego połowu ryb, </w:t>
      </w:r>
      <w:r w:rsidR="00215830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amatorskiego połowu ryb </w:t>
      </w:r>
      <w:r w:rsidR="001E60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rybactwa (które dotąd występowały już w art. 20) </w:t>
      </w:r>
      <w:r w:rsidR="00215830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oraz zdefiniował pojęci</w:t>
      </w:r>
      <w:r w:rsidR="001E60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="00215830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„</w:t>
      </w:r>
      <w:r w:rsidR="001E60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kulturowego połowu ryb</w:t>
      </w:r>
      <w:r w:rsidR="00215830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”. 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Rozszerzenie możliwości dział</w:t>
      </w:r>
      <w:r w:rsidR="00215830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alności 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</w:t>
      </w:r>
      <w:r w:rsidR="001E60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kulturowy połów ryb na wodach morskich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wynika z możliwości jego prowadzenia na obszarach morskich znajdujących się </w:t>
      </w:r>
      <w:r w:rsidR="00A45E20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obszarze Wolińskiego Parku Narodowego oraz Słowińskiego Parku Narodowego. </w:t>
      </w:r>
      <w:r w:rsidR="00FD611A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Działania te będą uwzględniały ustalenia planu ochrony albo zadań ochronnych obowiązując</w:t>
      </w:r>
      <w:r w:rsidR="00B937BC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="00FD611A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obszarze </w:t>
      </w:r>
      <w:r w:rsidR="001E60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danego 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parku narodowego</w:t>
      </w:r>
      <w:r w:rsidR="00FD611A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5E9697E8" w14:textId="00F9E342" w:rsidR="00215830" w:rsidRDefault="00215830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</w:t>
      </w:r>
      <w:r w:rsidR="001E60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kulturowego połowu ryb</w:t>
      </w:r>
      <w:r w:rsidR="001E6071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będzie miał zastosowanie art. 12 ust. 2 ustawy o ochronie przyrody, który przewiduje, że w planie ochrony parku narodowego, a do czasu jego sporządzenia </w:t>
      </w:r>
      <w:r w:rsidR="002C26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zadaniach ochronnych</w:t>
      </w:r>
      <w:r w:rsidR="00B916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ustala się miejsca, które mogą być udostępniane, oraz maksymalną liczbę osób mogących przebywać jednocześnie w tych miejscach.</w:t>
      </w:r>
      <w:r w:rsidR="002C26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Katalog elementów planu ochrony parku narodowego (art.</w:t>
      </w:r>
      <w:r w:rsidR="003204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="002C262C" w:rsidRPr="002C26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 ust. 3 pkt 5</w:t>
      </w:r>
      <w:r w:rsidR="002C26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 zostanie uzupełniony o wskazanie obszarów i miejsc udostępnianych d</w:t>
      </w:r>
      <w:r w:rsidR="005302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la</w:t>
      </w:r>
      <w:r w:rsidR="002C26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celów </w:t>
      </w:r>
      <w:r w:rsidR="001E60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kulturowego połowu ryb</w:t>
      </w:r>
      <w:r w:rsidR="002C26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1278B661" w14:textId="6BAE9C99" w:rsidR="002A6E54" w:rsidRDefault="002A6E54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Aby zapewnić bezpieczne funkcjonowanie śródlądowych dróg wodnych znajdujących się </w:t>
      </w:r>
      <w:r w:rsidR="00C51FC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potencjalnie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granicach </w:t>
      </w:r>
      <w:r w:rsidR="003204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projektowanego </w:t>
      </w:r>
      <w:r w:rsidR="00C51FC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Parku</w:t>
      </w:r>
      <w:r w:rsidR="003204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 art. 15 ust. 2 </w:t>
      </w:r>
      <w:r w:rsidR="00C51FC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ustawy o ochronie przyrody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dodaje się nowy wyjątek od zakazów obowiązujących w parkach narodowych dotyczący </w:t>
      </w:r>
      <w:r w:rsidRPr="002A6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wykonywania przez Państwowe Gospodarstwo Wodne Wody Polskie lub na jego zlecenie </w:t>
      </w:r>
      <w:r w:rsidR="00614F76" w:rsidRPr="00614F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zadań utrzymywania </w:t>
      </w:r>
      <w:r w:rsidR="002704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lub</w:t>
      </w:r>
      <w:r w:rsidR="00614F76" w:rsidRPr="00614F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inwestycji w zakresie: śródlądowych dróg wodnych w sposób zapewniający bezpieczną żeglugę, bezpiecz</w:t>
      </w:r>
      <w:r w:rsidR="002704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eństwa lub</w:t>
      </w:r>
      <w:r w:rsidR="00614F76" w:rsidRPr="00614F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eksploatacji urządzeń wodnych wraz z infrastrukturą towarzyszącą oraz zapobiegania </w:t>
      </w:r>
      <w:r w:rsidR="002704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lub</w:t>
      </w:r>
      <w:r w:rsidR="00614F76" w:rsidRPr="00614F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zwalczania zagrożeń dla życia lub zdrowia ludzi oraz środowiska wodnego</w:t>
      </w:r>
      <w:r w:rsidRPr="00614F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Wyjątek ten będzie miał zastosowanie tylko do parków narodowych wskazanych w nowym załączniku nr 2 do ustawy o ochronie przyrody, czyli jedynie do </w:t>
      </w:r>
      <w:r w:rsidR="002704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projektowanego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Parku. Ponadto wykonywanie tych zadań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będzie możliwe w otulinach wszystkich parków narodowych, zgodnie z nowym ust. 1a w art. 11 ustawy o ochronie przyrody.</w:t>
      </w:r>
    </w:p>
    <w:p w14:paraId="25DCAEA5" w14:textId="24BA9A29" w:rsidR="00453389" w:rsidRDefault="002A6E54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</w:t>
      </w:r>
      <w:r w:rsidR="004533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art. 15 ust. 3 ustawy o ochronie przyrody zostanie dodana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nowa </w:t>
      </w:r>
      <w:r w:rsidR="004533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przesłanka wydawania zezwoleń na odstępstwa od zakazów obowiązujących w parkach narodowych dotycząca wykonywania zadań w</w:t>
      </w:r>
      <w:r w:rsidR="003204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="004533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zakresie obronności.</w:t>
      </w:r>
    </w:p>
    <w:p w14:paraId="4F612630" w14:textId="73576369" w:rsidR="0098385A" w:rsidRPr="0098385A" w:rsidRDefault="0098385A" w:rsidP="0076781E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Przepisy przejściowe, dostosowujące i końcowe</w:t>
      </w:r>
    </w:p>
    <w:p w14:paraId="04E9122C" w14:textId="4137C225" w:rsidR="0035083E" w:rsidRDefault="001E6071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Przepis dostosowujący wskaże 14-dniowy termin na przekazanie przez ministra</w:t>
      </w:r>
      <w:r w:rsidRPr="001E60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właściw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ego</w:t>
      </w:r>
      <w:r w:rsidRPr="001E60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 spraw środowiska projekt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 w:rsidRPr="001E60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planu finansowego </w:t>
      </w:r>
      <w:r w:rsid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</w:t>
      </w:r>
      <w:r w:rsidR="00C51FC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lata</w:t>
      </w:r>
      <w:r w:rsid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2025 i 2026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</w:t>
      </w:r>
      <w:r w:rsidR="00B916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owej państwowej osoby prawnej</w:t>
      </w:r>
      <w:r w:rsidR="003508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Parku Narodowego Doliny Dolnej Odry z siedzibą w Gryfinie </w:t>
      </w:r>
      <w:r w:rsid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</w:t>
      </w:r>
      <w:r w:rsidRPr="001E60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ministrowi właściwemu do spraw budżetu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1E60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CB0F2E7" w14:textId="4F5A3D8B" w:rsidR="00D02168" w:rsidRPr="00497566" w:rsidRDefault="00D02168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021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Przewiduje się </w:t>
      </w:r>
      <w:r w:rsidR="001E60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także </w:t>
      </w:r>
      <w:r w:rsidRPr="00D021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przepisy przejściowe utrzymujące w mocy </w:t>
      </w:r>
      <w:r w:rsidR="00F724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24 miesiące </w:t>
      </w:r>
      <w:r w:rsidRPr="00D021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dotychczasowe plany ochrony i zadania ochronne dla parków narodowych i rezerwatów </w:t>
      </w:r>
      <w:r w:rsidR="00CA71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przyrody </w:t>
      </w:r>
      <w:r w:rsidRPr="00D021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związku z rozszerzeniem ich zakresu przedmiotowego o </w:t>
      </w:r>
      <w:r w:rsidR="001C1A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potencjalne </w:t>
      </w:r>
      <w:r w:rsidR="0053024E" w:rsidRPr="005302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wskazanie obszarów i miejsc udostępnianych do celów </w:t>
      </w:r>
      <w:r w:rsidR="001E6071" w:rsidRPr="001E60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kulturowego połowu ryb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217F3374" w14:textId="474FEFA4" w:rsidR="00293DB8" w:rsidRPr="00293DB8" w:rsidRDefault="00293DB8" w:rsidP="0076781E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293DB8">
        <w:rPr>
          <w:rFonts w:ascii="Times New Roman" w:hAnsi="Times New Roman" w:cs="Times New Roman"/>
        </w:rPr>
        <w:t>Obowiązujące umowy dzierżawy przez rolników gruntów rolnych w ramach pakietów rolno</w:t>
      </w:r>
      <w:r w:rsidR="00AA718B">
        <w:rPr>
          <w:rFonts w:ascii="Times New Roman" w:hAnsi="Times New Roman" w:cs="Times New Roman"/>
        </w:rPr>
        <w:noBreakHyphen/>
      </w:r>
      <w:r w:rsidRPr="00293DB8">
        <w:rPr>
          <w:rFonts w:ascii="Times New Roman" w:hAnsi="Times New Roman" w:cs="Times New Roman"/>
        </w:rPr>
        <w:t xml:space="preserve">środowiskowo-klimatycznych na obszarze projektowanego </w:t>
      </w:r>
      <w:r w:rsidR="00F724C5">
        <w:rPr>
          <w:rFonts w:ascii="Times New Roman" w:hAnsi="Times New Roman" w:cs="Times New Roman"/>
        </w:rPr>
        <w:t>Parku</w:t>
      </w:r>
      <w:r w:rsidRPr="00293DB8">
        <w:rPr>
          <w:rFonts w:ascii="Times New Roman" w:hAnsi="Times New Roman" w:cs="Times New Roman"/>
        </w:rPr>
        <w:t xml:space="preserve"> zachowają swoją ważność do końca obowiązywania. Nowe umowy, po utworzeniu </w:t>
      </w:r>
      <w:r w:rsidR="00F724C5">
        <w:rPr>
          <w:rFonts w:ascii="Times New Roman" w:hAnsi="Times New Roman" w:cs="Times New Roman"/>
        </w:rPr>
        <w:t>Parku</w:t>
      </w:r>
      <w:r w:rsidRPr="00293DB8">
        <w:rPr>
          <w:rFonts w:ascii="Times New Roman" w:hAnsi="Times New Roman" w:cs="Times New Roman"/>
        </w:rPr>
        <w:t>, będą zawierane zgodnie z przepisami ustawy o ochronie przyrody odnoszącymi się do zawierania umów przez parki narodowe. Należy zwrócić uwagę, że projektowany Park będzie funkcjonował w oparciu o przepisy powszechnie obowiązujące, w tym przepisy ustawy o ochronie przyrody, odnoszące się do wszystkich parków narodowych. Tym samym nie ma potrzeby dodawania przepisów przejściowych w tym zakresie</w:t>
      </w:r>
      <w:r>
        <w:rPr>
          <w:rFonts w:ascii="Times New Roman" w:hAnsi="Times New Roman" w:cs="Times New Roman"/>
        </w:rPr>
        <w:t>.</w:t>
      </w:r>
    </w:p>
    <w:p w14:paraId="3F634612" w14:textId="60A93E9E" w:rsidR="00DF7AEF" w:rsidRDefault="00DF7AEF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</w:pPr>
      <w:r w:rsidRPr="009E5BC1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Zgodnie z przepisami ustawy </w:t>
      </w:r>
      <w:r w:rsidR="00EE4AB8" w:rsidRPr="009E5BC1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z dnia 27 sierpnia 2009 r. </w:t>
      </w:r>
      <w:r w:rsidRPr="009E5BC1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o finansach publicznych </w:t>
      </w:r>
      <w:r w:rsidR="0058742C" w:rsidRPr="009E5BC1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został </w:t>
      </w:r>
      <w:r w:rsidRPr="009E5BC1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określony także maksymalny limit wydatków budżetowych będący skutkiem </w:t>
      </w:r>
      <w:r w:rsidR="0035083E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wejścia w życie </w:t>
      </w:r>
      <w:r w:rsidRPr="009E5BC1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projektowanych regulacji oraz mechanizm korygujący w przypadku przekroczenia </w:t>
      </w:r>
      <w:r w:rsidR="00EE4AB8" w:rsidRPr="009E5BC1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tego </w:t>
      </w:r>
      <w:r w:rsidRPr="009E5BC1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limitu.</w:t>
      </w:r>
      <w:r w:rsidR="00266FBD" w:rsidRPr="009E5BC1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 </w:t>
      </w:r>
    </w:p>
    <w:p w14:paraId="6159EA1B" w14:textId="590BE782" w:rsidR="0098385A" w:rsidRDefault="0035083E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P</w:t>
      </w:r>
      <w:r w:rsidR="001E6071" w:rsidRPr="009E5BC1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odział rezerwy, o której mowa w art. 91 ustawy z dnia </w:t>
      </w:r>
      <w:r w:rsidR="001E6071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października 2024</w:t>
      </w:r>
      <w:r w:rsidR="001E6071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r. o dochodach jednostek samorządu terytorialnego (Dz.</w:t>
      </w:r>
      <w:r w:rsidR="00F724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1E6071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U. poz. 157</w:t>
      </w:r>
      <w:r w:rsidR="008D51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="00F724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z późn. zm.</w:t>
      </w:r>
      <w:r w:rsidR="001E6071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obejmie </w:t>
      </w:r>
      <w:r w:rsidR="001E60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także </w:t>
      </w:r>
      <w:r w:rsidR="001E6071"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gminy, w granicach których tworzy się projektowany Park.</w:t>
      </w:r>
      <w:r w:rsidR="001E60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Wynika to z faktu, że przepis ten dotyczy parków narodowych rozszerzanych i tworzonych w 2025 r., a Park Narodowy Doliny Dolnej Odry zostanie utworzony z</w:t>
      </w:r>
      <w:r w:rsidR="00FE11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="001E60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dniem </w:t>
      </w:r>
      <w:r w:rsidR="009838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 listopada</w:t>
      </w:r>
      <w:r w:rsidR="001E60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="001E60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</w:t>
      </w:r>
    </w:p>
    <w:p w14:paraId="1AB0741D" w14:textId="40D890D3" w:rsidR="00266FBD" w:rsidRDefault="00266FBD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</w:pPr>
      <w:r w:rsidRPr="009E5BC1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Przewiduje się, że ustawa wejdzie w życie z dniem </w:t>
      </w:r>
      <w:r w:rsidR="001E6071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następującym po dniu ogłoszenia</w:t>
      </w:r>
      <w:r w:rsidR="006D5E70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. </w:t>
      </w:r>
      <w:r w:rsidR="006D5E70" w:rsidRPr="006D5E70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Po </w:t>
      </w:r>
      <w:r w:rsidR="006D5E70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wejściu w</w:t>
      </w:r>
      <w:r w:rsidR="00AA718B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 </w:t>
      </w:r>
      <w:r w:rsidR="006D5E70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życie</w:t>
      </w:r>
      <w:r w:rsidR="006D5E70" w:rsidRPr="006D5E70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 ustawy minister właściwy do spraw finansów publicznych w porozumieniu z ministrem właściwym do spraw środowiska będą mogli dokonać podziału kwoty 40</w:t>
      </w:r>
      <w:r w:rsidR="00FE11A4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 </w:t>
      </w:r>
      <w:r w:rsidR="006D5E70" w:rsidRPr="006D5E70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000 tys. zł, </w:t>
      </w:r>
      <w:r w:rsidR="00FE11A4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o której mowa w art. 91 ust. 1 </w:t>
      </w:r>
      <w:r w:rsidR="00FE11A4" w:rsidRPr="006D5E70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ustawy z dnia 1 października 2024 r. o dochodach jednostek samorządu terytorialnego</w:t>
      </w:r>
      <w:r w:rsidR="00FE11A4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.</w:t>
      </w:r>
      <w:r w:rsidR="006D5E70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 </w:t>
      </w:r>
      <w:r w:rsidR="00E73893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Jednocześnie wejdą w życie inne regulacje projektowanej ustawy, które wprowadzają zmiany dostosowujące ustawę o ochronie przyrody do </w:t>
      </w:r>
      <w:r w:rsidR="00FE11A4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ustaleń dotyczących projektowanego Parku</w:t>
      </w:r>
      <w:r w:rsidR="00E73893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. Tak krótkiego </w:t>
      </w:r>
      <w:r w:rsidR="00E73893" w:rsidRPr="0076781E">
        <w:rPr>
          <w:rFonts w:ascii="Times New Roman" w:eastAsia="Times New Roman" w:hAnsi="Times New Roman" w:cs="Times New Roman"/>
          <w:i/>
          <w:iCs/>
          <w:kern w:val="0"/>
          <w:lang w:val="x-none" w:eastAsia="pl-PL"/>
          <w14:ligatures w14:val="none"/>
        </w:rPr>
        <w:t>vacatio legis</w:t>
      </w:r>
      <w:r w:rsidR="00E73893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 </w:t>
      </w:r>
      <w:r w:rsidR="00E73893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lastRenderedPageBreak/>
        <w:t xml:space="preserve">wymaga </w:t>
      </w:r>
      <w:r w:rsidR="00E73893" w:rsidRPr="002C262C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ważny interes państwa</w:t>
      </w:r>
      <w:r w:rsidR="00E73893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, a </w:t>
      </w:r>
      <w:r w:rsidR="00E73893" w:rsidRPr="002C262C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zasady demokratycznego państwa prawnego nie stoją temu na przeszkodzie</w:t>
      </w:r>
      <w:r w:rsidR="00E73893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. </w:t>
      </w:r>
    </w:p>
    <w:p w14:paraId="278841B4" w14:textId="43E4C0F3" w:rsidR="0098385A" w:rsidRPr="0098385A" w:rsidRDefault="0098385A" w:rsidP="0076781E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x-none" w:eastAsia="pl-PL"/>
          <w14:ligatures w14:val="none"/>
        </w:rPr>
      </w:pPr>
      <w:r w:rsidRPr="0098385A">
        <w:rPr>
          <w:rFonts w:ascii="Times New Roman" w:eastAsia="Times New Roman" w:hAnsi="Times New Roman" w:cs="Times New Roman"/>
          <w:b/>
          <w:bCs/>
          <w:kern w:val="0"/>
          <w:lang w:val="x-none" w:eastAsia="pl-PL"/>
          <w14:ligatures w14:val="none"/>
        </w:rPr>
        <w:t>Informacje na temat projektu ustawy</w:t>
      </w:r>
    </w:p>
    <w:p w14:paraId="6B3999FD" w14:textId="5EFAFACF" w:rsidR="0008209D" w:rsidRPr="00497566" w:rsidRDefault="00F724C5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</w:pPr>
      <w:r w:rsidRPr="00F724C5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Projektowana ustawa ma na celu przede wszystkim samo utworzenie nowego parku narodowego jako formy ochrony przyrody oraz utworzenie nowej państwowej osoby prawnej. Z kolei procedowane równolegle rozporządzenie Rady Ministrów w sprawie Parku Narodowego Doliny Dolnej Odry określi obszar i granice nowego parku narodowego.</w:t>
      </w:r>
      <w:r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 </w:t>
      </w:r>
      <w:r w:rsidR="0008209D" w:rsidRPr="00497566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Zgodnie z art. 10 ust. 2 ustawy o ochronie przyrody określenie granic projektowanego Parku zostało uzgodnione z:</w:t>
      </w:r>
    </w:p>
    <w:p w14:paraId="1BD55D3F" w14:textId="748851B9" w:rsidR="0008209D" w:rsidRPr="00E56347" w:rsidRDefault="0008209D" w:rsidP="0076781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</w:pPr>
      <w:r w:rsidRPr="00E56347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Radą Miasta Szczecin – </w:t>
      </w:r>
      <w:r w:rsidR="002C262C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u</w:t>
      </w:r>
      <w:r w:rsidRPr="00E56347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chwała nr X/222/25 z dnia 25 marca 2025 r. w sprawie uzgodnienia granic Parku Narodowego Doliny Dolnej Odry,</w:t>
      </w:r>
    </w:p>
    <w:p w14:paraId="636707BC" w14:textId="4F7EE64F" w:rsidR="0008209D" w:rsidRPr="00E56347" w:rsidRDefault="0008209D" w:rsidP="0076781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</w:pPr>
      <w:r w:rsidRPr="00E56347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Radą Gminy Widuchowa – </w:t>
      </w:r>
      <w:r w:rsidR="002C262C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u</w:t>
      </w:r>
      <w:r w:rsidRPr="00E56347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chwała </w:t>
      </w:r>
      <w:r w:rsidR="008D5145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n</w:t>
      </w:r>
      <w:r w:rsidRPr="00E56347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r X/81/2025 z dnia 15 kwietnia 2025 r. w sprawie uzgodnienia granic Parku Narodowego Doliny Dolnej Odry</w:t>
      </w:r>
      <w:r w:rsidR="00AA718B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,</w:t>
      </w:r>
    </w:p>
    <w:p w14:paraId="02A0ACF0" w14:textId="52563EFD" w:rsidR="0008209D" w:rsidRPr="00E56347" w:rsidRDefault="0008209D" w:rsidP="0076781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</w:pPr>
      <w:r w:rsidRPr="00E56347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Radą Gminy Kołbaskowo – </w:t>
      </w:r>
      <w:r w:rsidR="002C262C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u</w:t>
      </w:r>
      <w:r w:rsidRPr="00E56347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chwała </w:t>
      </w:r>
      <w:r w:rsidR="008D5145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n</w:t>
      </w:r>
      <w:r w:rsidRPr="00E56347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r XI/126/2025 z dnia 18 kwietnia 2025 r. w sprawie zaopiniowania projektu rozporządzenia Rady Ministrów w zakresie granic Parku Narodowego Doliny Dolnej Odry,</w:t>
      </w:r>
    </w:p>
    <w:p w14:paraId="69172D68" w14:textId="0C14D522" w:rsidR="0008209D" w:rsidRPr="00E56347" w:rsidRDefault="0008209D" w:rsidP="0076781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</w:pPr>
      <w:r w:rsidRPr="00E56347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Radą Powiatu Polickiego – </w:t>
      </w:r>
      <w:r w:rsidR="002C262C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u</w:t>
      </w:r>
      <w:r w:rsidRPr="00E56347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chwała nr XI/98/2025 z dnia 24 kwietnia 2025 r. w sprawie uzgodnienia granic Parku Narodowego Doliny Dolnej Odry,</w:t>
      </w:r>
    </w:p>
    <w:p w14:paraId="3935CDCB" w14:textId="60A60D0D" w:rsidR="0008209D" w:rsidRPr="00E56347" w:rsidRDefault="0008209D" w:rsidP="0076781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</w:pPr>
      <w:r w:rsidRPr="00E56347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Radą Powiatu Gryfińskiego – </w:t>
      </w:r>
      <w:r w:rsidR="002C262C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u</w:t>
      </w:r>
      <w:r w:rsidRPr="00E56347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chwała nr XI/84/2025 z dnia 28 maja 2025 r. w sprawie uzgodnienia granic Parku Narodowego Dolina Dolnej Odry,</w:t>
      </w:r>
    </w:p>
    <w:p w14:paraId="6024BB83" w14:textId="77D97465" w:rsidR="0008209D" w:rsidRPr="00E56347" w:rsidRDefault="0008209D" w:rsidP="0076781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</w:pPr>
      <w:r w:rsidRPr="00E56347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Sejmikiem Województwa Zachodniopomorskiego – </w:t>
      </w:r>
      <w:r w:rsidR="002C262C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u</w:t>
      </w:r>
      <w:r w:rsidRPr="00E56347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chwała nr IX/117/25 z dnia 29 maja 2025</w:t>
      </w:r>
      <w:r w:rsidR="00064806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 </w:t>
      </w:r>
      <w:r w:rsidRPr="00E56347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r. w sprawie uzgodnienia projektu rozporządzenia Rady Ministrów w sprawie Parku Narodowego Doliny Dolnej Odry.</w:t>
      </w:r>
    </w:p>
    <w:p w14:paraId="258E05DE" w14:textId="1F1FD364" w:rsidR="004E615E" w:rsidRPr="009E5BC1" w:rsidRDefault="004E615E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E5BC1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Projekt ustawy nie wymaga przedstawienia właściwym instytucjom i organom Unii Europejskiej, w tym Europejskiemu Bankowi Centralnemu, celem uzyskania opinii, dokonania powiadomienia, konsultacji albo uzgodnienia projektu. Projekt ustawy nie zawiera przepisów technicznych</w:t>
      </w:r>
      <w:r w:rsidR="00CA51B8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,</w:t>
      </w:r>
      <w:r w:rsidRPr="009E5BC1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 tym samym nie będzie podlegał procedurze notyfikacji aktów prawnych określonych w przepisach rozporządzenia Rady Ministrów z dnia 23 grudnia 2002 r. w sprawie sposobu funkcjonowania krajowego systemu notyfikacji norm i aktów prawnych (</w:t>
      </w:r>
      <w:r w:rsidRPr="009E5BC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Dz. U. poz. 2039, z późn. zm.).</w:t>
      </w:r>
    </w:p>
    <w:p w14:paraId="5483CD2B" w14:textId="5296BCB5" w:rsidR="004E615E" w:rsidRPr="009E5BC1" w:rsidRDefault="002C262C" w:rsidP="0076781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>Projektowana ustawa nie jest sprzeczna z prawem</w:t>
      </w:r>
      <w:r w:rsidR="004E615E" w:rsidRPr="009E5BC1">
        <w:rPr>
          <w:rFonts w:ascii="Times New Roman" w:eastAsia="Times New Roman" w:hAnsi="Times New Roman" w:cs="Times New Roman"/>
          <w:kern w:val="0"/>
          <w:lang w:val="x-none" w:eastAsia="pl-PL"/>
          <w14:ligatures w14:val="none"/>
        </w:rPr>
        <w:t xml:space="preserve"> Unii Europejskiej.</w:t>
      </w:r>
    </w:p>
    <w:sectPr w:rsidR="004E615E" w:rsidRPr="009E5BC1" w:rsidSect="00781D16">
      <w:footerReference w:type="default" r:id="rId7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598E4" w14:textId="77777777" w:rsidR="00034578" w:rsidRDefault="00034578" w:rsidP="00497566">
      <w:pPr>
        <w:spacing w:after="0" w:line="240" w:lineRule="auto"/>
      </w:pPr>
      <w:r>
        <w:separator/>
      </w:r>
    </w:p>
  </w:endnote>
  <w:endnote w:type="continuationSeparator" w:id="0">
    <w:p w14:paraId="142EB0DD" w14:textId="77777777" w:rsidR="00034578" w:rsidRDefault="00034578" w:rsidP="0049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44351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F075FE" w14:textId="481F45EC" w:rsidR="00781D16" w:rsidRPr="00781D16" w:rsidRDefault="00781D16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1D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1D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1D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81D16">
          <w:rPr>
            <w:rFonts w:ascii="Times New Roman" w:hAnsi="Times New Roman" w:cs="Times New Roman"/>
            <w:sz w:val="24"/>
            <w:szCs w:val="24"/>
          </w:rPr>
          <w:t>2</w:t>
        </w:r>
        <w:r w:rsidRPr="00781D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77C4B" w14:textId="77777777" w:rsidR="00034578" w:rsidRDefault="00034578" w:rsidP="00497566">
      <w:pPr>
        <w:spacing w:after="0" w:line="240" w:lineRule="auto"/>
      </w:pPr>
      <w:r>
        <w:separator/>
      </w:r>
    </w:p>
  </w:footnote>
  <w:footnote w:type="continuationSeparator" w:id="0">
    <w:p w14:paraId="34AD2BBE" w14:textId="77777777" w:rsidR="00034578" w:rsidRDefault="00034578" w:rsidP="00497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337D"/>
    <w:multiLevelType w:val="hybridMultilevel"/>
    <w:tmpl w:val="F2868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933"/>
    <w:multiLevelType w:val="hybridMultilevel"/>
    <w:tmpl w:val="508C8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368EE"/>
    <w:multiLevelType w:val="hybridMultilevel"/>
    <w:tmpl w:val="664E3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6579"/>
    <w:multiLevelType w:val="hybridMultilevel"/>
    <w:tmpl w:val="C63EF3A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FB4"/>
    <w:multiLevelType w:val="hybridMultilevel"/>
    <w:tmpl w:val="5A3C089A"/>
    <w:lvl w:ilvl="0" w:tplc="39CA4C1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27028"/>
    <w:multiLevelType w:val="hybridMultilevel"/>
    <w:tmpl w:val="F0E89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128D3"/>
    <w:multiLevelType w:val="hybridMultilevel"/>
    <w:tmpl w:val="33D4DB08"/>
    <w:lvl w:ilvl="0" w:tplc="735C0C5C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F12625"/>
    <w:multiLevelType w:val="hybridMultilevel"/>
    <w:tmpl w:val="C478E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60679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E4FD7"/>
    <w:multiLevelType w:val="hybridMultilevel"/>
    <w:tmpl w:val="A1AE0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546029">
    <w:abstractNumId w:val="8"/>
  </w:num>
  <w:num w:numId="2" w16cid:durableId="1785728154">
    <w:abstractNumId w:val="1"/>
  </w:num>
  <w:num w:numId="3" w16cid:durableId="183228544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77053679">
    <w:abstractNumId w:val="7"/>
  </w:num>
  <w:num w:numId="5" w16cid:durableId="1598947828">
    <w:abstractNumId w:val="0"/>
  </w:num>
  <w:num w:numId="6" w16cid:durableId="50814021">
    <w:abstractNumId w:val="6"/>
  </w:num>
  <w:num w:numId="7" w16cid:durableId="577397613">
    <w:abstractNumId w:val="2"/>
  </w:num>
  <w:num w:numId="8" w16cid:durableId="271862947">
    <w:abstractNumId w:val="5"/>
  </w:num>
  <w:num w:numId="9" w16cid:durableId="2028018859">
    <w:abstractNumId w:val="4"/>
  </w:num>
  <w:num w:numId="10" w16cid:durableId="1176992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22"/>
    <w:rsid w:val="00004BF0"/>
    <w:rsid w:val="0003278B"/>
    <w:rsid w:val="00034578"/>
    <w:rsid w:val="00064806"/>
    <w:rsid w:val="00070014"/>
    <w:rsid w:val="0008209D"/>
    <w:rsid w:val="00095E73"/>
    <w:rsid w:val="000C2360"/>
    <w:rsid w:val="000D26EC"/>
    <w:rsid w:val="000F3FAA"/>
    <w:rsid w:val="001C1AA8"/>
    <w:rsid w:val="001E042B"/>
    <w:rsid w:val="001E3159"/>
    <w:rsid w:val="001E406F"/>
    <w:rsid w:val="001E6071"/>
    <w:rsid w:val="001E7AF7"/>
    <w:rsid w:val="00215830"/>
    <w:rsid w:val="0021651D"/>
    <w:rsid w:val="002607DE"/>
    <w:rsid w:val="00266FBD"/>
    <w:rsid w:val="00270498"/>
    <w:rsid w:val="002767FA"/>
    <w:rsid w:val="00293DB8"/>
    <w:rsid w:val="002A4A7D"/>
    <w:rsid w:val="002A6E54"/>
    <w:rsid w:val="002C1F74"/>
    <w:rsid w:val="002C262C"/>
    <w:rsid w:val="002C6D4D"/>
    <w:rsid w:val="002D038D"/>
    <w:rsid w:val="002E7500"/>
    <w:rsid w:val="003001B8"/>
    <w:rsid w:val="003204A2"/>
    <w:rsid w:val="0035083E"/>
    <w:rsid w:val="00377073"/>
    <w:rsid w:val="0037766F"/>
    <w:rsid w:val="003D5147"/>
    <w:rsid w:val="003D6579"/>
    <w:rsid w:val="003F249A"/>
    <w:rsid w:val="00416567"/>
    <w:rsid w:val="00422F98"/>
    <w:rsid w:val="004419CF"/>
    <w:rsid w:val="00442B6C"/>
    <w:rsid w:val="00445C2E"/>
    <w:rsid w:val="00453389"/>
    <w:rsid w:val="00454F40"/>
    <w:rsid w:val="00466C3E"/>
    <w:rsid w:val="004943E4"/>
    <w:rsid w:val="00497566"/>
    <w:rsid w:val="004A0937"/>
    <w:rsid w:val="004C6211"/>
    <w:rsid w:val="004D5EB0"/>
    <w:rsid w:val="004E3DAC"/>
    <w:rsid w:val="004E615E"/>
    <w:rsid w:val="00513CF9"/>
    <w:rsid w:val="0053024E"/>
    <w:rsid w:val="00534B47"/>
    <w:rsid w:val="00575085"/>
    <w:rsid w:val="0058545F"/>
    <w:rsid w:val="0058742C"/>
    <w:rsid w:val="005A7383"/>
    <w:rsid w:val="005B75C0"/>
    <w:rsid w:val="005D0995"/>
    <w:rsid w:val="005E352D"/>
    <w:rsid w:val="005F1B19"/>
    <w:rsid w:val="00601A8F"/>
    <w:rsid w:val="00605F12"/>
    <w:rsid w:val="00614F76"/>
    <w:rsid w:val="00616B5F"/>
    <w:rsid w:val="00632E9D"/>
    <w:rsid w:val="00653041"/>
    <w:rsid w:val="00654E3E"/>
    <w:rsid w:val="00665983"/>
    <w:rsid w:val="00681D4D"/>
    <w:rsid w:val="006C5241"/>
    <w:rsid w:val="006C6647"/>
    <w:rsid w:val="006D5E70"/>
    <w:rsid w:val="006D7D96"/>
    <w:rsid w:val="00741C29"/>
    <w:rsid w:val="007548D9"/>
    <w:rsid w:val="00754D40"/>
    <w:rsid w:val="0076107A"/>
    <w:rsid w:val="0076781E"/>
    <w:rsid w:val="00775D22"/>
    <w:rsid w:val="00781D16"/>
    <w:rsid w:val="00796825"/>
    <w:rsid w:val="00797EB4"/>
    <w:rsid w:val="007A3BCF"/>
    <w:rsid w:val="007C38C2"/>
    <w:rsid w:val="007D44B0"/>
    <w:rsid w:val="007F0F8D"/>
    <w:rsid w:val="007F29BB"/>
    <w:rsid w:val="00800940"/>
    <w:rsid w:val="00814AFF"/>
    <w:rsid w:val="00833756"/>
    <w:rsid w:val="00843F91"/>
    <w:rsid w:val="008819F7"/>
    <w:rsid w:val="00883133"/>
    <w:rsid w:val="008861EE"/>
    <w:rsid w:val="008975DA"/>
    <w:rsid w:val="008D5145"/>
    <w:rsid w:val="00923E19"/>
    <w:rsid w:val="009272AC"/>
    <w:rsid w:val="0096251C"/>
    <w:rsid w:val="009626AA"/>
    <w:rsid w:val="009721C0"/>
    <w:rsid w:val="0098385A"/>
    <w:rsid w:val="00997207"/>
    <w:rsid w:val="009A3B85"/>
    <w:rsid w:val="009B490B"/>
    <w:rsid w:val="009C1F6B"/>
    <w:rsid w:val="009D1814"/>
    <w:rsid w:val="009E5BC1"/>
    <w:rsid w:val="009E6929"/>
    <w:rsid w:val="009F0BE0"/>
    <w:rsid w:val="009F41BC"/>
    <w:rsid w:val="009F5773"/>
    <w:rsid w:val="00A02BBC"/>
    <w:rsid w:val="00A12E21"/>
    <w:rsid w:val="00A32B95"/>
    <w:rsid w:val="00A33F33"/>
    <w:rsid w:val="00A44E79"/>
    <w:rsid w:val="00A45E20"/>
    <w:rsid w:val="00A8313E"/>
    <w:rsid w:val="00AA718B"/>
    <w:rsid w:val="00AB1BD7"/>
    <w:rsid w:val="00AB50A0"/>
    <w:rsid w:val="00AE3722"/>
    <w:rsid w:val="00B01DAC"/>
    <w:rsid w:val="00B1506F"/>
    <w:rsid w:val="00B50381"/>
    <w:rsid w:val="00B63489"/>
    <w:rsid w:val="00B72DAE"/>
    <w:rsid w:val="00B84310"/>
    <w:rsid w:val="00B86147"/>
    <w:rsid w:val="00B867BA"/>
    <w:rsid w:val="00B916C6"/>
    <w:rsid w:val="00B937BC"/>
    <w:rsid w:val="00BC6CE4"/>
    <w:rsid w:val="00BD680F"/>
    <w:rsid w:val="00C139E4"/>
    <w:rsid w:val="00C42D37"/>
    <w:rsid w:val="00C51FCF"/>
    <w:rsid w:val="00CA51B8"/>
    <w:rsid w:val="00CA712E"/>
    <w:rsid w:val="00CC4E24"/>
    <w:rsid w:val="00D02168"/>
    <w:rsid w:val="00D02DB1"/>
    <w:rsid w:val="00D1105B"/>
    <w:rsid w:val="00D16B16"/>
    <w:rsid w:val="00D60757"/>
    <w:rsid w:val="00D6719B"/>
    <w:rsid w:val="00D73685"/>
    <w:rsid w:val="00D87F30"/>
    <w:rsid w:val="00DA4BE5"/>
    <w:rsid w:val="00DC3BBC"/>
    <w:rsid w:val="00DC48BC"/>
    <w:rsid w:val="00DD4370"/>
    <w:rsid w:val="00DD6A6C"/>
    <w:rsid w:val="00DE526C"/>
    <w:rsid w:val="00DF7AEF"/>
    <w:rsid w:val="00E347A0"/>
    <w:rsid w:val="00E56347"/>
    <w:rsid w:val="00E72D95"/>
    <w:rsid w:val="00E73893"/>
    <w:rsid w:val="00E86524"/>
    <w:rsid w:val="00E901CC"/>
    <w:rsid w:val="00EA3E06"/>
    <w:rsid w:val="00EA7533"/>
    <w:rsid w:val="00EE4AB8"/>
    <w:rsid w:val="00EE4DFC"/>
    <w:rsid w:val="00F00A03"/>
    <w:rsid w:val="00F13283"/>
    <w:rsid w:val="00F21059"/>
    <w:rsid w:val="00F46D47"/>
    <w:rsid w:val="00F724C5"/>
    <w:rsid w:val="00F74FA5"/>
    <w:rsid w:val="00F761AC"/>
    <w:rsid w:val="00FA438B"/>
    <w:rsid w:val="00FD611A"/>
    <w:rsid w:val="00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8D87"/>
  <w15:chartTrackingRefBased/>
  <w15:docId w15:val="{982E9A0A-7956-452D-8B8B-562CDE4B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3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3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3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3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3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3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3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3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3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37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37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7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37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37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37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3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3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3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3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3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37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37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37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3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37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3722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445C2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5C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C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C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C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C2E"/>
    <w:rPr>
      <w:b/>
      <w:bCs/>
      <w:sz w:val="20"/>
      <w:szCs w:val="20"/>
    </w:rPr>
  </w:style>
  <w:style w:type="character" w:customStyle="1" w:styleId="Ppogrubienie">
    <w:name w:val="_P_ – pogrubienie"/>
    <w:basedOn w:val="Domylnaczcionkaakapitu"/>
    <w:uiPriority w:val="99"/>
    <w:qFormat/>
    <w:rsid w:val="00FA438B"/>
    <w:rPr>
      <w:b/>
    </w:rPr>
  </w:style>
  <w:style w:type="paragraph" w:styleId="Nagwek">
    <w:name w:val="header"/>
    <w:basedOn w:val="Normalny"/>
    <w:link w:val="NagwekZnak"/>
    <w:uiPriority w:val="99"/>
    <w:unhideWhenUsed/>
    <w:rsid w:val="0049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566"/>
  </w:style>
  <w:style w:type="paragraph" w:styleId="Stopka">
    <w:name w:val="footer"/>
    <w:basedOn w:val="Normalny"/>
    <w:link w:val="StopkaZnak"/>
    <w:uiPriority w:val="99"/>
    <w:unhideWhenUsed/>
    <w:rsid w:val="0049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2489</Words>
  <Characters>14934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Hurkała Wojciech</dc:creator>
  <cp:keywords/>
  <dc:description/>
  <cp:lastModifiedBy>Czarnecka Grażyna</cp:lastModifiedBy>
  <cp:revision>4</cp:revision>
  <dcterms:created xsi:type="dcterms:W3CDTF">2025-09-18T11:24:00Z</dcterms:created>
  <dcterms:modified xsi:type="dcterms:W3CDTF">2025-09-19T06:51:00Z</dcterms:modified>
</cp:coreProperties>
</file>