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46" w:rsidRPr="00827E46" w:rsidRDefault="00827E46" w:rsidP="00827E46">
      <w:pPr>
        <w:keepNext/>
        <w:suppressAutoHyphens/>
        <w:spacing w:after="120" w:line="360" w:lineRule="auto"/>
        <w:jc w:val="center"/>
        <w:rPr>
          <w:rFonts w:ascii="Times" w:eastAsia="Times New Roman" w:hAnsi="Times" w:cs="Times New Roman"/>
          <w:b/>
          <w:bCs/>
          <w:caps/>
          <w:spacing w:val="54"/>
          <w:kern w:val="24"/>
          <w:sz w:val="24"/>
          <w:szCs w:val="24"/>
          <w:lang w:eastAsia="pl-PL"/>
        </w:rPr>
      </w:pPr>
      <w:bookmarkStart w:id="0" w:name="_GoBack"/>
      <w:bookmarkEnd w:id="0"/>
      <w:r w:rsidRPr="00827E46">
        <w:rPr>
          <w:rFonts w:ascii="Times" w:eastAsia="Times New Roman" w:hAnsi="Times" w:cs="Times New Roman"/>
          <w:b/>
          <w:bCs/>
          <w:caps/>
          <w:spacing w:val="54"/>
          <w:kern w:val="24"/>
          <w:sz w:val="24"/>
          <w:szCs w:val="24"/>
          <w:lang w:eastAsia="pl-PL"/>
        </w:rPr>
        <w:t>Ustawa</w:t>
      </w:r>
    </w:p>
    <w:p w:rsidR="00827E46" w:rsidRPr="00827E46" w:rsidRDefault="00827E46" w:rsidP="00827E46">
      <w:pPr>
        <w:keepNext/>
        <w:suppressAutoHyphens/>
        <w:spacing w:before="120" w:after="120" w:line="360" w:lineRule="auto"/>
        <w:jc w:val="center"/>
        <w:rPr>
          <w:rFonts w:ascii="Times" w:eastAsia="Times New Roman" w:hAnsi="Times" w:cs="Arial"/>
          <w:bCs/>
          <w:sz w:val="24"/>
          <w:szCs w:val="24"/>
          <w:lang w:eastAsia="pl-PL"/>
        </w:rPr>
      </w:pPr>
      <w:r w:rsidRPr="00827E46">
        <w:rPr>
          <w:rFonts w:ascii="Times" w:eastAsia="Times New Roman" w:hAnsi="Times" w:cs="Arial"/>
          <w:bCs/>
          <w:sz w:val="24"/>
          <w:szCs w:val="24"/>
          <w:lang w:eastAsia="pl-PL"/>
        </w:rPr>
        <w:t>z dnia ……..… 2025 r.</w:t>
      </w:r>
    </w:p>
    <w:p w:rsidR="00827E46" w:rsidRPr="00827E46" w:rsidRDefault="00827E46" w:rsidP="00827E46">
      <w:pPr>
        <w:keepNext/>
        <w:suppressAutoHyphens/>
        <w:spacing w:before="120" w:after="360" w:line="360" w:lineRule="auto"/>
        <w:jc w:val="center"/>
        <w:rPr>
          <w:rFonts w:ascii="Times" w:eastAsia="Times New Roman" w:hAnsi="Times" w:cs="Arial"/>
          <w:b/>
          <w:bCs/>
          <w:sz w:val="24"/>
          <w:szCs w:val="24"/>
          <w:vertAlign w:val="superscript"/>
          <w:lang w:eastAsia="pl-PL"/>
        </w:rPr>
      </w:pPr>
      <w:r w:rsidRPr="00827E46">
        <w:rPr>
          <w:rFonts w:ascii="Times" w:eastAsia="Times New Roman" w:hAnsi="Times" w:cs="Arial"/>
          <w:b/>
          <w:bCs/>
          <w:sz w:val="24"/>
          <w:szCs w:val="24"/>
          <w:lang w:eastAsia="pl-PL"/>
        </w:rPr>
        <w:t xml:space="preserve"> o zmianie ustawy o pomocy obywatelom Ukrainy w związku z konfliktem zbrojnym na terytorium tego państwa oraz niektórych innych ustaw</w:t>
      </w:r>
      <w:r w:rsidRPr="00827E46">
        <w:rPr>
          <w:rFonts w:ascii="Times New Roman" w:eastAsia="Times New Roman" w:hAnsi="Times New Roman" w:cs="Times New Roman"/>
          <w:b/>
          <w:bCs/>
          <w:sz w:val="24"/>
          <w:szCs w:val="24"/>
          <w:vertAlign w:val="superscript"/>
          <w:lang w:eastAsia="pl-PL"/>
        </w:rPr>
        <w:footnoteReference w:id="1"/>
      </w:r>
      <w:r w:rsidRPr="00827E46">
        <w:rPr>
          <w:rFonts w:ascii="Times" w:eastAsia="Times New Roman" w:hAnsi="Times" w:cs="Arial"/>
          <w:b/>
          <w:bCs/>
          <w:sz w:val="24"/>
          <w:szCs w:val="24"/>
          <w:vertAlign w:val="superscript"/>
          <w:lang w:eastAsia="pl-PL"/>
        </w:rPr>
        <w:t>)</w:t>
      </w:r>
      <w:r w:rsidRPr="00827E46">
        <w:rPr>
          <w:rFonts w:ascii="Times" w:eastAsia="Times New Roman" w:hAnsi="Times" w:cs="Arial"/>
          <w:b/>
          <w:bCs/>
          <w:sz w:val="24"/>
          <w:szCs w:val="24"/>
          <w:lang w:eastAsia="pl-PL"/>
        </w:rPr>
        <w:t xml:space="preserve"> </w:t>
      </w:r>
    </w:p>
    <w:p w:rsidR="00827E46" w:rsidRPr="00827E46" w:rsidRDefault="00827E46" w:rsidP="00827E46">
      <w:pPr>
        <w:spacing w:line="256" w:lineRule="auto"/>
        <w:rPr>
          <w:rFonts w:ascii="Calibri" w:eastAsia="Calibri" w:hAnsi="Calibri" w:cs="Times New Roman"/>
        </w:rPr>
      </w:pP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w:t>
      </w:r>
      <w:r w:rsidRPr="00827E46">
        <w:rPr>
          <w:rFonts w:ascii="Times" w:eastAsia="Times New Roman" w:hAnsi="Times" w:cs="Arial"/>
          <w:sz w:val="24"/>
          <w:szCs w:val="20"/>
          <w:lang w:eastAsia="pl-PL"/>
        </w:rPr>
        <w:t> W ustawie z dnia 12 marca 2022 r. o pomocy obywatelom Ukrainy w związku z konfliktem zbrojnym na terytorium tego państwa (Dz. U. z 2025 r. poz. 337, 620 i 621) wprowadza się następujące zmiany:</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użyte w art. 2 w ust. 1 w zdaniu pierwszym i w ust. 2 w zdaniu pierwszym, w art. 4 w ust. 20a w zdaniu pierwszym, w art. 12a w ust. 1 we wprowadzeniu do wyliczenia, w art. 42 w ust. 3a w zdaniu pierwszym, w ust. 5a, w ust. 6 w zdaniu pierwszym, w ust. 7 w zdaniu pierwszym, w ust. 8 w części wspólnej, w ust. 11 w części wspólnej i w ust. 12a, w art. 42a w ust. 1 w zdaniu pierwszym, w art. 42b, w art. 50a, w art. 55b w ust. 1 we wprowadzeniu do wyliczenia wyrazy „do dnia 30 września 2025 r.” zastępuje się wyrazami „do dnia 4 marca 2026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w art. 2:</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w ust. 3:</w:t>
      </w:r>
    </w:p>
    <w:p w:rsidR="00827E46" w:rsidRPr="00827E46" w:rsidRDefault="00827E46" w:rsidP="00827E46">
      <w:pPr>
        <w:spacing w:after="0" w:line="360" w:lineRule="auto"/>
        <w:ind w:left="1384" w:hanging="397"/>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w:t>
      </w:r>
      <w:r w:rsidRPr="00827E46">
        <w:rPr>
          <w:rFonts w:ascii="Times" w:eastAsia="Times New Roman" w:hAnsi="Times" w:cs="Arial"/>
          <w:bCs/>
          <w:sz w:val="24"/>
          <w:szCs w:val="20"/>
          <w:lang w:eastAsia="pl-PL"/>
        </w:rPr>
        <w:tab/>
        <w:t>pkt 3 otrzymuje brzmienie:</w:t>
      </w:r>
    </w:p>
    <w:p w:rsidR="00827E46" w:rsidRPr="00827E46" w:rsidRDefault="00827E46" w:rsidP="00827E46">
      <w:pPr>
        <w:spacing w:after="0" w:line="360" w:lineRule="auto"/>
        <w:ind w:left="1893"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w:t>
      </w:r>
      <w:r w:rsidRPr="00827E46">
        <w:rPr>
          <w:rFonts w:ascii="Times" w:eastAsia="Times New Roman" w:hAnsi="Times" w:cs="Arial"/>
          <w:bCs/>
          <w:sz w:val="24"/>
          <w:szCs w:val="20"/>
          <w:lang w:eastAsia="pl-PL"/>
        </w:rPr>
        <w:tab/>
        <w:t>którzy uzyskali ochronę czasową na terenie innego niż Rzeczpospolita Polska państwa członkowskiego Unii Europejskiej przyznaną z powodu działań wojennych prowadzonych na terytorium Ukrainy;”,</w:t>
      </w:r>
    </w:p>
    <w:p w:rsidR="00827E46" w:rsidRPr="00827E46" w:rsidRDefault="00827E46" w:rsidP="00827E46">
      <w:pPr>
        <w:spacing w:after="0" w:line="360" w:lineRule="auto"/>
        <w:ind w:left="1384" w:hanging="397"/>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w:t>
      </w:r>
      <w:r w:rsidRPr="00827E46">
        <w:rPr>
          <w:rFonts w:ascii="Times" w:eastAsia="Times New Roman" w:hAnsi="Times" w:cs="Arial"/>
          <w:bCs/>
          <w:sz w:val="24"/>
          <w:szCs w:val="20"/>
          <w:lang w:eastAsia="pl-PL"/>
        </w:rPr>
        <w:tab/>
        <w:t>dodaje się pkt 4 w brzmieniu:</w:t>
      </w:r>
    </w:p>
    <w:p w:rsidR="00827E46" w:rsidRPr="00827E46" w:rsidRDefault="00827E46" w:rsidP="00827E46">
      <w:pPr>
        <w:spacing w:after="0" w:line="360" w:lineRule="auto"/>
        <w:ind w:left="1893"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w:t>
      </w:r>
      <w:r w:rsidRPr="00827E46">
        <w:rPr>
          <w:rFonts w:ascii="Times" w:eastAsia="Times New Roman" w:hAnsi="Times" w:cs="Arial"/>
          <w:bCs/>
          <w:sz w:val="24"/>
          <w:szCs w:val="20"/>
          <w:lang w:eastAsia="pl-PL"/>
        </w:rPr>
        <w:tab/>
        <w:t>którzy przekroczyli granicę państwową na podstawie zezwolenia na przekraczanie granicy w ramach małego ruchu granicznego.”,</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po ust. 3 dodaje się ust. 3a w brzmieniu:</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lastRenderedPageBreak/>
        <w:t>„3a. Szef Urzędu do Spraw Cudzoziemców przekazuje na bieżąco Komendantowi Głównemu Straży Granicznej informacje o dokumentach i złożonych wnioskach, o których mowa w ust. 3 pkt 1 i 2.”;</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w:t>
      </w:r>
      <w:r w:rsidRPr="00827E46">
        <w:rPr>
          <w:rFonts w:ascii="Times" w:eastAsia="Times New Roman" w:hAnsi="Times" w:cs="Arial"/>
          <w:bCs/>
          <w:sz w:val="24"/>
          <w:szCs w:val="20"/>
          <w:lang w:eastAsia="pl-PL"/>
        </w:rPr>
        <w:tab/>
        <w:t>w art. 3 w ust. 4:</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w pkt 1 lit. e i f otrzymują brzmienie:</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„e)</w:t>
      </w:r>
      <w:r w:rsidRPr="00827E46">
        <w:rPr>
          <w:rFonts w:ascii="Times" w:eastAsia="Times New Roman" w:hAnsi="Times" w:cs="Arial"/>
          <w:bCs/>
          <w:sz w:val="24"/>
          <w:szCs w:val="20"/>
          <w:lang w:eastAsia="pl-PL"/>
        </w:rPr>
        <w:tab/>
        <w:t>rodzaj dokumentu stanowiącego podstawę przekroczenia granicy,</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f)</w:t>
      </w:r>
      <w:r w:rsidRPr="00827E46">
        <w:rPr>
          <w:rFonts w:ascii="Times" w:eastAsia="Times New Roman" w:hAnsi="Times" w:cs="Arial"/>
          <w:bCs/>
          <w:sz w:val="24"/>
          <w:szCs w:val="20"/>
          <w:lang w:eastAsia="pl-PL"/>
        </w:rPr>
        <w:tab/>
        <w:t>serię i numer dokumentu stanowiącego podstawę przekroczenia granicy,”,</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uchyla się pkt 6,</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c)</w:t>
      </w:r>
      <w:r w:rsidRPr="00827E46">
        <w:rPr>
          <w:rFonts w:ascii="Times" w:eastAsia="Times New Roman" w:hAnsi="Times" w:cs="Arial"/>
          <w:bCs/>
          <w:sz w:val="24"/>
          <w:szCs w:val="20"/>
          <w:lang w:eastAsia="pl-PL"/>
        </w:rPr>
        <w:tab/>
        <w:t>dodaje się pkt 7 w brzmieniu:</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„7)</w:t>
      </w:r>
      <w:r w:rsidRPr="00827E46">
        <w:rPr>
          <w:rFonts w:ascii="Times" w:eastAsia="Times New Roman" w:hAnsi="Times" w:cs="Arial"/>
          <w:bCs/>
          <w:sz w:val="24"/>
          <w:szCs w:val="20"/>
          <w:lang w:eastAsia="pl-PL"/>
        </w:rPr>
        <w:tab/>
        <w:t>odciski palców, o których mowa w art. 4 ust. 8, jeżeli występują.”;</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w:t>
      </w:r>
      <w:r w:rsidRPr="00827E46">
        <w:rPr>
          <w:rFonts w:ascii="Times" w:eastAsia="Times New Roman" w:hAnsi="Times" w:cs="Arial"/>
          <w:bCs/>
          <w:sz w:val="24"/>
          <w:szCs w:val="20"/>
          <w:lang w:eastAsia="pl-PL"/>
        </w:rPr>
        <w:tab/>
        <w:t>w art. 4:</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w ust. 2 skreśla się zdanie trzecie,</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w ust. 3a skreśla się zdanie drugie,</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c)</w:t>
      </w:r>
      <w:r w:rsidRPr="00827E46">
        <w:rPr>
          <w:rFonts w:ascii="Times" w:eastAsia="Times New Roman" w:hAnsi="Times" w:cs="Arial"/>
          <w:bCs/>
          <w:sz w:val="24"/>
          <w:szCs w:val="20"/>
          <w:lang w:eastAsia="pl-PL"/>
        </w:rPr>
        <w:tab/>
        <w:t>w ust. 4 pkt 20a otrzymuje brzmienie:</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„20a)</w:t>
      </w:r>
      <w:r w:rsidRPr="00827E46">
        <w:rPr>
          <w:rFonts w:ascii="Times" w:eastAsia="Times New Roman" w:hAnsi="Times" w:cs="Arial"/>
          <w:bCs/>
          <w:sz w:val="24"/>
          <w:szCs w:val="20"/>
          <w:lang w:eastAsia="pl-PL"/>
        </w:rPr>
        <w:tab/>
      </w:r>
      <w:r w:rsidRPr="00827E46">
        <w:rPr>
          <w:rFonts w:ascii="Times" w:eastAsia="Times New Roman" w:hAnsi="Times" w:cs="Arial"/>
          <w:bCs/>
          <w:sz w:val="24"/>
          <w:szCs w:val="20"/>
          <w:lang w:eastAsia="pl-PL"/>
        </w:rPr>
        <w:tab/>
        <w:t>oświadczenie o braku posiadania tytułów pobytowych, o których mowa w art. 2 ust. 3 pkt 1, lub wystąpienia okoliczności, o których mowa w art. 2 ust. 3 pkt 2 – 4;”,</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d)</w:t>
      </w:r>
      <w:r w:rsidRPr="00827E46">
        <w:rPr>
          <w:rFonts w:ascii="Times" w:eastAsia="Times New Roman" w:hAnsi="Times" w:cs="Arial"/>
          <w:bCs/>
          <w:sz w:val="24"/>
          <w:szCs w:val="20"/>
          <w:lang w:eastAsia="pl-PL"/>
        </w:rPr>
        <w:tab/>
        <w:t>w ust. 8 skreśla się zdanie drugie,</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e)</w:t>
      </w:r>
      <w:r w:rsidRPr="00827E46">
        <w:rPr>
          <w:rFonts w:ascii="Times" w:eastAsia="Times New Roman" w:hAnsi="Times" w:cs="Arial"/>
          <w:bCs/>
          <w:sz w:val="24"/>
          <w:szCs w:val="20"/>
          <w:lang w:eastAsia="pl-PL"/>
        </w:rPr>
        <w:tab/>
        <w:t>po ust. 11 dodaje się ust. 11a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„11a. Organ gminy potwierdza istnienie więzów rodzinnych, o których mowa w ust. 4 pkt 20, stosownymi dokumentami stanu cywilnego bądź innymi dokumentami wydanymi przez właściwe władze, chyba że istnienie tych więzi będzie możliwe do potwierdzenia na podstawie danych znajdujących się w rejestrze PESEL.”,</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f)</w:t>
      </w:r>
      <w:r w:rsidRPr="00827E46">
        <w:rPr>
          <w:rFonts w:ascii="Times" w:eastAsia="Times New Roman" w:hAnsi="Times" w:cs="Arial"/>
          <w:bCs/>
          <w:sz w:val="24"/>
          <w:szCs w:val="20"/>
          <w:lang w:eastAsia="pl-PL"/>
        </w:rPr>
        <w:tab/>
      </w:r>
      <w:r w:rsidRPr="00827E46">
        <w:rPr>
          <w:rFonts w:ascii="Times" w:eastAsia="Times New Roman" w:hAnsi="Times" w:cs="Arial"/>
          <w:bCs/>
          <w:sz w:val="24"/>
          <w:szCs w:val="20"/>
          <w:lang w:eastAsia="pl-PL"/>
        </w:rPr>
        <w:tab/>
        <w:t>po ust. 14 dodaje się ust. 14a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„14a. Minister właściwy do spraw informatyzacji, jeżeli warunki techniczne i organizacyjne to umożliwiają, udostępnia Komendantowi Głównemu Straży Granicznej w drodze teletransmisji danych fotografię, o której mowa w ust. 7, osoby, której ma zostać nadany numer PESEL, w celu potwierdzenia tożsamości i autentyczności danych tej osoby podczas weryfikacji, o której mowa w ust. 14. Komendant Główny Straży Granicznej udostępnia ministrowi właściwemu do spraw informatyzacji z rejestru odpraw granicznych i legitymowań Komendanta Głównego Straży Granicznej wynik weryfikacji wraz z imieniem, nazwiskiem, datą urodzenia, numerem PESEL – jeśli widnieje w rejestrze, obywatelstwem, krajem wydania </w:t>
      </w:r>
      <w:r w:rsidRPr="00827E46">
        <w:rPr>
          <w:rFonts w:ascii="Times" w:eastAsia="Times New Roman" w:hAnsi="Times" w:cs="Arial"/>
          <w:bCs/>
          <w:sz w:val="24"/>
          <w:szCs w:val="20"/>
          <w:lang w:eastAsia="pl-PL"/>
        </w:rPr>
        <w:lastRenderedPageBreak/>
        <w:t>dokumentu podróży i numerem tego dokumentu, w celu zapewnienia poprawności danych wprowadzanych do rejestru PESEL i rejestru obywateli Ukrainy.”,</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g)</w:t>
      </w:r>
      <w:r w:rsidRPr="00827E46">
        <w:rPr>
          <w:rFonts w:ascii="Times" w:eastAsia="Times New Roman" w:hAnsi="Times" w:cs="Arial"/>
          <w:bCs/>
          <w:sz w:val="24"/>
          <w:szCs w:val="20"/>
          <w:lang w:eastAsia="pl-PL"/>
        </w:rPr>
        <w:tab/>
        <w:t>w ust. 17a pkt 4 otrzymuje brzmienie:</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w:t>
      </w:r>
      <w:r w:rsidRPr="00827E46">
        <w:rPr>
          <w:rFonts w:ascii="Times" w:eastAsia="Times New Roman" w:hAnsi="Times" w:cs="Arial"/>
          <w:bCs/>
          <w:sz w:val="24"/>
          <w:szCs w:val="20"/>
          <w:lang w:eastAsia="pl-PL"/>
        </w:rPr>
        <w:tab/>
        <w:t>uzyskaniu przez obywatela Ukrainy ochrony czasowej, o której mowa w art. 2 ust. 3 pkt 3.”,</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h)</w:t>
      </w:r>
      <w:r w:rsidRPr="00827E46">
        <w:rPr>
          <w:rFonts w:ascii="Times" w:eastAsia="Times New Roman" w:hAnsi="Times" w:cs="Arial"/>
          <w:bCs/>
          <w:sz w:val="24"/>
          <w:szCs w:val="20"/>
          <w:lang w:eastAsia="pl-PL"/>
        </w:rPr>
        <w:tab/>
        <w:t>ust. 17k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„17k. W przypadku ujawnienia, że obywatelowi państwa członkowskiego Unii Europejskiej został nadany numer PESEL na podstawie ust. 1 lub że takiemu obywatelowi został nadany status UKR na podstawie ust. 1a, status UKR jest zmieniany na status, o którym mowa w art. 8 pkt 24a lit. a ustawy z dnia 24 września 2010 r. o ewidencji ludności. Zmiany statusu dokonuje dowolny organ wykonawczy gminy. Datą zmiany statusu jest data nadania statusu UKR.”,</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i)</w:t>
      </w:r>
      <w:r w:rsidRPr="00827E46">
        <w:rPr>
          <w:rFonts w:ascii="Times" w:eastAsia="Times New Roman" w:hAnsi="Times" w:cs="Arial"/>
          <w:bCs/>
          <w:sz w:val="24"/>
          <w:szCs w:val="20"/>
          <w:lang w:eastAsia="pl-PL"/>
        </w:rPr>
        <w:tab/>
        <w:t>po ust. 17k dodaje ust. 17l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„17l. W przypadku ujawnienia, że osobie, która posiadała jeden z dokumentów potwierdzających uprawnienie, o którym mowa w art. 2 ust. 3 pkt 1, został nadany numer PESEL na podstawie ust. 1 lub że takiej osobie został nadany status UKR na podstawie ust. 1a, status UKR zmienia się na status, o którym mowa w art. 8 pkt 24a lit. c ustawy z dnia 24 września 2010 r. o ewidencji ludności. Zmiany statusu dokonuje dowolny organ wykonawczy gminy. Datą zmiany statusu jest data nadania statusu UKR.”,</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j)</w:t>
      </w:r>
      <w:r w:rsidRPr="00827E46">
        <w:rPr>
          <w:rFonts w:ascii="Times" w:eastAsia="Times New Roman" w:hAnsi="Times" w:cs="Arial"/>
          <w:bCs/>
          <w:sz w:val="24"/>
          <w:szCs w:val="20"/>
          <w:lang w:eastAsia="pl-PL"/>
        </w:rPr>
        <w:tab/>
        <w:t>ust. 20b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„20b. W przypadku zmiany danych, o których mowa w art. 8 pkt 1, 9, 11 lub 24 ustawy z dnia 24 września 2010 r. o ewidencji ludności, obywatel Ukrainy jest zobowiązany dokonać zgłoszenia zmiany tych danych w dowolnym organie gminy. W organie tym obywatel Ukrainy może także dokonać rejestracji danych, o których mowa w art. 8 pkt 3 i 3a ustawy z dnia 24 września 2010 r. o ewidencji ludności.”;</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5)</w:t>
      </w:r>
      <w:r w:rsidRPr="00827E46">
        <w:rPr>
          <w:rFonts w:ascii="Times" w:eastAsia="Times New Roman" w:hAnsi="Times" w:cs="Arial"/>
          <w:bCs/>
          <w:sz w:val="24"/>
          <w:szCs w:val="20"/>
          <w:lang w:eastAsia="pl-PL"/>
        </w:rPr>
        <w:tab/>
        <w:t>w art. 10 w ust. 1a we wprowadzeniu do wyliczenia wyrazy „w ramach publicznej aplikacji mobilnej, o której mowa w art. 19e ustawy z dnia 17 lutego 2005 r. o informatyzacji działalności podmiotów realizujących zadania publiczne,” zastępuje się wyrazami „w aplikacji mObywatel w rozumieniu ustawy z dnia 26 maja 2023 r. o aplikacji mObywatel”;</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6)</w:t>
      </w:r>
      <w:r w:rsidRPr="00827E46">
        <w:rPr>
          <w:rFonts w:ascii="Times" w:eastAsia="Times New Roman" w:hAnsi="Times" w:cs="Arial"/>
          <w:bCs/>
          <w:sz w:val="24"/>
          <w:szCs w:val="20"/>
          <w:lang w:eastAsia="pl-PL"/>
        </w:rPr>
        <w:tab/>
        <w:t>w art. 11 w ust. 4 wyrazy „Korzystanie przez obywatela Ukrainy z” zastępuje się wyrazami „Uzyskanie przez obywatela Ukrainy”;</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7)</w:t>
      </w:r>
      <w:r w:rsidRPr="00827E46">
        <w:rPr>
          <w:rFonts w:ascii="Times" w:eastAsia="Times New Roman" w:hAnsi="Times" w:cs="Arial"/>
          <w:bCs/>
          <w:sz w:val="24"/>
          <w:szCs w:val="20"/>
          <w:lang w:eastAsia="pl-PL"/>
        </w:rPr>
        <w:tab/>
        <w:t>w art. 12:</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lastRenderedPageBreak/>
        <w:t>a)</w:t>
      </w:r>
      <w:r w:rsidRPr="00827E46">
        <w:rPr>
          <w:rFonts w:ascii="Times" w:eastAsia="Times New Roman" w:hAnsi="Times" w:cs="Arial"/>
          <w:bCs/>
          <w:sz w:val="24"/>
          <w:szCs w:val="20"/>
          <w:lang w:eastAsia="pl-PL"/>
        </w:rPr>
        <w:tab/>
        <w:t>w ust. 1 pkt 1otrzymuje brzmienie:</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zapewnieniu zakwaterowania zbiorowego z całodziennym wyżywieniem, za które uznaje się zakwaterowanie w obiekcie:</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w którym przebywa co najmniej 20 osób lub</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w którym za zgodą ministra właściwego do spraw rodziny przebywają osoby, o których mowa w art. 27e, lub</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c)</w:t>
      </w:r>
      <w:r w:rsidRPr="00827E46">
        <w:rPr>
          <w:rFonts w:ascii="Times" w:eastAsia="Times New Roman" w:hAnsi="Times" w:cs="Arial"/>
          <w:bCs/>
          <w:sz w:val="24"/>
          <w:szCs w:val="20"/>
          <w:lang w:eastAsia="pl-PL"/>
        </w:rPr>
        <w:tab/>
        <w:t>będącym własnością lub przedmiotem trwałego zarządu jednostek sektora finansów publicznych;”,</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ust. 17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 Wojewoda oraz podmioty określone w ust. 3 i 4 mogą zapewnić pomoc, o której mowa w ust. 1 pkt 1, nie dłużej niż przez 120 dni od dnia pierwszego wjazdu obywatela Ukrainy na terytorium Rzeczypospolitej Polskiej oraz nie dłużej niż do dnia 31 października 2025 r.”,</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c)</w:t>
      </w:r>
      <w:r w:rsidRPr="00827E46">
        <w:rPr>
          <w:rFonts w:ascii="Times" w:eastAsia="Times New Roman" w:hAnsi="Times" w:cs="Arial"/>
          <w:bCs/>
          <w:sz w:val="24"/>
          <w:szCs w:val="20"/>
          <w:lang w:eastAsia="pl-PL"/>
        </w:rPr>
        <w:tab/>
        <w:t>uchyla się ust. 17a i 17b,</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d)</w:t>
      </w:r>
      <w:r w:rsidRPr="00827E46">
        <w:rPr>
          <w:rFonts w:ascii="Times" w:eastAsia="Times New Roman" w:hAnsi="Times" w:cs="Arial"/>
          <w:bCs/>
          <w:sz w:val="24"/>
          <w:szCs w:val="20"/>
          <w:lang w:eastAsia="pl-PL"/>
        </w:rPr>
        <w:tab/>
        <w:t>ust. 17c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„17c. Od dnia 1 listopada 2025 r. wojewoda oraz podmioty określone w ust. 3 i 4 mogą zapewnić pomoc, o której mowa w ust. 1 pkt 1, obywatelowi Ukrainy, który przybył na terytorium Rzeczypospolitej Polskiej w związku z działaniami wojennymi prowadzonymi na terytorium tego państwa, w przypadku posiadania przez niego statusu UKR oraz gdy spełnia jeden z warunków:</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posiada orzeczenie o niepełnosprawności lub stopniu niepełnosprawności umiarkowanym lub znacznym, lub orzeczenie równoważne, o którym mowa w art. 5 pkt 1–2 ustawy z dnia 27 sierpnia 1997 r. o rehabilitacji zawodowej i społecznej oraz zatrudnianiu osób niepełnosprawnych (Dz. U. z 2025 r. poz. 913), lub jest opiekunem takiej osoby i nie pobiera świadczenia pielęgnacyjnego;</w:t>
      </w:r>
      <w:bookmarkStart w:id="1" w:name="mip71906841"/>
      <w:bookmarkEnd w:id="1"/>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ukończył:</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w przypadku kobiet – 60. rok życia,</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w przypadku mężczyzn – 65. rok życia</w:t>
      </w:r>
    </w:p>
    <w:p w:rsidR="00827E46" w:rsidRPr="00827E46" w:rsidRDefault="00827E46" w:rsidP="00827E46">
      <w:pPr>
        <w:spacing w:after="0" w:line="360" w:lineRule="auto"/>
        <w:ind w:left="1384" w:hanging="397"/>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o ile nie pobiera polskiego świadczenia emerytalnego;</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w:t>
      </w:r>
      <w:r w:rsidRPr="00827E46">
        <w:rPr>
          <w:rFonts w:ascii="Times" w:eastAsia="Times New Roman" w:hAnsi="Times" w:cs="Arial"/>
          <w:bCs/>
          <w:sz w:val="24"/>
          <w:szCs w:val="20"/>
          <w:lang w:eastAsia="pl-PL"/>
        </w:rPr>
        <w:tab/>
        <w:t>jest kobietą w ciąży lub osobą wychowującą dziecko do 12 miesiąca życia, na podstawie przedstawionych dokumentów;</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lastRenderedPageBreak/>
        <w:t>4)</w:t>
      </w:r>
      <w:r w:rsidRPr="00827E46">
        <w:rPr>
          <w:rFonts w:ascii="Times" w:eastAsia="Times New Roman" w:hAnsi="Times" w:cs="Arial"/>
          <w:bCs/>
          <w:sz w:val="24"/>
          <w:szCs w:val="20"/>
          <w:lang w:eastAsia="pl-PL"/>
        </w:rPr>
        <w:tab/>
        <w:t>samotnie sprawuje na terytorium Rzeczypospolitej Polskiej opiekę nad trojgiem lub więcej dzieci, o ile przynajmniej jedno z dzieci nie ukończyło 7. roku życia, na podstawie przedstawionych dokumentów;</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5)</w:t>
      </w:r>
      <w:r w:rsidRPr="00827E46">
        <w:rPr>
          <w:rFonts w:ascii="Times" w:eastAsia="Times New Roman" w:hAnsi="Times" w:cs="Arial"/>
          <w:bCs/>
          <w:sz w:val="24"/>
          <w:szCs w:val="20"/>
          <w:lang w:eastAsia="pl-PL"/>
        </w:rPr>
        <w:tab/>
        <w:t>jest małoletnim w pieczy zastępczej lub jest małoletnim, na którego nie jest pobierane świadczenie wychowawcze;</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6)</w:t>
      </w:r>
      <w:r w:rsidRPr="00827E46">
        <w:rPr>
          <w:rFonts w:ascii="Times" w:eastAsia="Times New Roman" w:hAnsi="Times" w:cs="Arial"/>
          <w:bCs/>
          <w:sz w:val="24"/>
          <w:szCs w:val="20"/>
          <w:lang w:eastAsia="pl-PL"/>
        </w:rPr>
        <w:tab/>
        <w:t>jest opiekunem tymczasowym ustanowionym dla małoletnich, o których mowa w art. 25a ust. 1, lub jest opiekunem ustanowionym przez władze ukraińskie, o którym mowa w art. 25</w:t>
      </w:r>
      <w:r w:rsidRPr="00827E46">
        <w:rPr>
          <w:rFonts w:ascii="Times" w:eastAsia="Times New Roman" w:hAnsi="Times" w:cs="Arial"/>
          <w:sz w:val="24"/>
          <w:szCs w:val="20"/>
          <w:vertAlign w:val="superscript"/>
          <w:lang w:eastAsia="pl-PL"/>
        </w:rPr>
        <w:t>1</w:t>
      </w:r>
      <w:r w:rsidRPr="00827E46">
        <w:rPr>
          <w:rFonts w:ascii="Times" w:eastAsia="Times New Roman" w:hAnsi="Times" w:cs="Arial"/>
          <w:bCs/>
          <w:sz w:val="24"/>
          <w:szCs w:val="20"/>
          <w:lang w:eastAsia="pl-PL"/>
        </w:rPr>
        <w:t xml:space="preserve"> ust. 1;</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7)</w:t>
      </w:r>
      <w:r w:rsidRPr="00827E46">
        <w:rPr>
          <w:rFonts w:ascii="Times" w:eastAsia="Times New Roman" w:hAnsi="Times" w:cs="Arial"/>
          <w:bCs/>
          <w:sz w:val="24"/>
          <w:szCs w:val="20"/>
          <w:lang w:eastAsia="pl-PL"/>
        </w:rPr>
        <w:tab/>
        <w:t>jest pełnoletnim uczniem szkoły ponadpodstawowej prowadzącej kształcenie w formie dziennej, o której mowa w art. 18 ust. 1 pkt 2 lit. a–d ustawy z dnia 14 grudnia 2016 r. – Prawo oświatowe (Dz. U. z 2025 r. poz. 1043), nie dłużej niż do końca roku szkolnego, w którym ukończył 20. rok życia, na postawie przedstawionych dokumentów;</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8)</w:t>
      </w:r>
      <w:r w:rsidRPr="00827E46">
        <w:rPr>
          <w:rFonts w:ascii="Times" w:eastAsia="Times New Roman" w:hAnsi="Times" w:cs="Arial"/>
          <w:bCs/>
          <w:sz w:val="24"/>
          <w:szCs w:val="20"/>
          <w:lang w:eastAsia="pl-PL"/>
        </w:rPr>
        <w:tab/>
        <w:t>jest osobą bezpośrednio po hospitalizacji finansowanej przez Narodowy Fundusz Zdrowia lub Fundusz Pomocy, o którym mowa w art. 14 ust. 1, trwającej przynajmniej 7 dni, nie dłużej niż do ustania przyczyny będącej powodem hospitalizacji;</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9)</w:t>
      </w:r>
      <w:r w:rsidRPr="00827E46">
        <w:rPr>
          <w:rFonts w:ascii="Times" w:eastAsia="Times New Roman" w:hAnsi="Times" w:cs="Arial"/>
          <w:bCs/>
          <w:sz w:val="24"/>
          <w:szCs w:val="20"/>
          <w:lang w:eastAsia="pl-PL"/>
        </w:rPr>
        <w:tab/>
        <w:t>z góry pokrył część kosztów pomocy w wysokości 15 zł za osobę dziennie w przypadku pobytu</w:t>
      </w:r>
      <w:bookmarkStart w:id="2" w:name="mip71906843"/>
      <w:bookmarkStart w:id="3" w:name="mip71906844"/>
      <w:bookmarkStart w:id="4" w:name="mip71906845"/>
      <w:bookmarkStart w:id="5" w:name="mip71906846"/>
      <w:bookmarkEnd w:id="2"/>
      <w:bookmarkEnd w:id="3"/>
      <w:bookmarkEnd w:id="4"/>
      <w:bookmarkEnd w:id="5"/>
      <w:r w:rsidRPr="00827E46">
        <w:rPr>
          <w:rFonts w:ascii="Times" w:eastAsia="Times New Roman" w:hAnsi="Times" w:cs="Arial"/>
          <w:bCs/>
          <w:sz w:val="24"/>
          <w:szCs w:val="20"/>
          <w:lang w:eastAsia="pl-PL"/>
        </w:rPr>
        <w:t>:</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małoletniego, na którego pobierane jest świadczenie wychowawcze,</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emeryta, który pobiera polskie świadczenie emerytalne.”,</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e)</w:t>
      </w:r>
      <w:r w:rsidRPr="00827E46">
        <w:rPr>
          <w:rFonts w:ascii="Times" w:eastAsia="Times New Roman" w:hAnsi="Times" w:cs="Arial"/>
          <w:bCs/>
          <w:sz w:val="24"/>
          <w:szCs w:val="20"/>
          <w:lang w:eastAsia="pl-PL"/>
        </w:rPr>
        <w:tab/>
        <w:t>uchyla się ust. 17d,</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f) </w:t>
      </w:r>
      <w:r w:rsidRPr="00827E46">
        <w:rPr>
          <w:rFonts w:ascii="Times" w:eastAsia="Times New Roman" w:hAnsi="Times" w:cs="Arial"/>
          <w:bCs/>
          <w:sz w:val="24"/>
          <w:szCs w:val="20"/>
          <w:lang w:eastAsia="pl-PL"/>
        </w:rPr>
        <w:tab/>
        <w:t>ust. 17e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„17e. Partycypacja obywateli Ukrainy, o których mowa w art. 1 ust. 1, w kosztach pomocy, o której mowa w ust. 17c pkt 9, obniża wysokość pomocy zapewnianej przez wojewodę oraz podmioty określone w ust. 3 i 4. Koszty te obywatel Ukrainy uiszcza podmiotom realizującym na rzecz wojewody oraz podmiotów określonych w ust. 3 i 4 usługi w zakresie zakwaterowania i całodziennego wyżywienia zbiorowego.”,</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g)</w:t>
      </w:r>
      <w:r w:rsidRPr="00827E46">
        <w:rPr>
          <w:rFonts w:ascii="Times" w:eastAsia="Times New Roman" w:hAnsi="Times" w:cs="Arial"/>
          <w:bCs/>
          <w:sz w:val="24"/>
          <w:szCs w:val="20"/>
          <w:lang w:eastAsia="pl-PL"/>
        </w:rPr>
        <w:tab/>
        <w:t>uchyla się ust. 17f,</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h)</w:t>
      </w:r>
      <w:r w:rsidRPr="00827E46">
        <w:rPr>
          <w:rFonts w:ascii="Times" w:eastAsia="Times New Roman" w:hAnsi="Times" w:cs="Arial"/>
          <w:bCs/>
          <w:sz w:val="24"/>
          <w:szCs w:val="20"/>
          <w:lang w:eastAsia="pl-PL"/>
        </w:rPr>
        <w:tab/>
        <w:t>w ust. 17g w pkt 5 skreśla się wyrazy „lub 17d”,</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i)</w:t>
      </w:r>
      <w:r w:rsidRPr="00827E46">
        <w:rPr>
          <w:rFonts w:ascii="Times" w:eastAsia="Times New Roman" w:hAnsi="Times" w:cs="Arial"/>
          <w:bCs/>
          <w:sz w:val="24"/>
          <w:szCs w:val="20"/>
          <w:lang w:eastAsia="pl-PL"/>
        </w:rPr>
        <w:tab/>
        <w:t xml:space="preserve"> ust. 17h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w:t>
      </w:r>
      <w:bookmarkStart w:id="6" w:name="mip73920360"/>
      <w:bookmarkEnd w:id="6"/>
      <w:r w:rsidRPr="00827E46">
        <w:rPr>
          <w:rFonts w:ascii="Times" w:eastAsia="Times New Roman" w:hAnsi="Times" w:cs="Arial"/>
          <w:bCs/>
          <w:sz w:val="24"/>
          <w:szCs w:val="20"/>
          <w:lang w:eastAsia="pl-PL"/>
        </w:rPr>
        <w:t xml:space="preserve">17h. W przypadku pisemnego oświadczenia o niepobieraniu świadczenia wychowawczego lub emerytalnego, lub pielęgnacyjnego wojewoda oraz podmioty, </w:t>
      </w:r>
      <w:r w:rsidRPr="00827E46">
        <w:rPr>
          <w:rFonts w:ascii="Times" w:eastAsia="Times New Roman" w:hAnsi="Times" w:cs="Arial"/>
          <w:bCs/>
          <w:sz w:val="24"/>
          <w:szCs w:val="20"/>
          <w:lang w:eastAsia="pl-PL"/>
        </w:rPr>
        <w:lastRenderedPageBreak/>
        <w:t>o których mowa w ust. 3 i 4, mają prawo pozyskiwać informacje o pobieraniu świadczeń, a organy właściwe do gromadzenia tych danych obowiązane są do udzielenia informacji, w terminie nie dłuższym niż 7 dni od dnia wpływu wniosku.”,</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j)</w:t>
      </w:r>
      <w:r w:rsidRPr="00827E46">
        <w:rPr>
          <w:rFonts w:ascii="Times" w:eastAsia="Times New Roman" w:hAnsi="Times" w:cs="Arial"/>
          <w:bCs/>
          <w:sz w:val="24"/>
          <w:szCs w:val="20"/>
          <w:lang w:eastAsia="pl-PL"/>
        </w:rPr>
        <w:tab/>
        <w:t>w ust. 17j skreśla się wyrazy „i ust. 17d pkt 1”,</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k)</w:t>
      </w:r>
      <w:r w:rsidRPr="00827E46">
        <w:rPr>
          <w:rFonts w:ascii="Times" w:eastAsia="Times New Roman" w:hAnsi="Times" w:cs="Arial"/>
          <w:bCs/>
          <w:sz w:val="24"/>
          <w:szCs w:val="20"/>
          <w:lang w:eastAsia="pl-PL"/>
        </w:rPr>
        <w:tab/>
        <w:t>po ust. 17j dodaje się ust. 17k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„17k. Wojewoda ma prawo nakazać natychmiastowe wykwaterowanie obywateli Ukrainy, którzy:</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notorycznie łamią przyjęty w obiekcie zakwaterowania regulamin wewnętrzny w zakresie ciszy nocnej, utrzymania czystości i porządku wewnątrz użytkowanych pomieszczeń, przyjmowania gości i zasad trzymania zwierząt domowych;</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spożywają alkohol, używają środków odurzających, stosują przemoc fizyczną lub psychiczną w stosunku do innych osób;</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w:t>
      </w:r>
      <w:r w:rsidRPr="00827E46">
        <w:rPr>
          <w:rFonts w:ascii="Times" w:eastAsia="Times New Roman" w:hAnsi="Times" w:cs="Arial"/>
          <w:bCs/>
          <w:sz w:val="24"/>
          <w:szCs w:val="20"/>
          <w:lang w:eastAsia="pl-PL"/>
        </w:rPr>
        <w:tab/>
        <w:t>nie wywiązują się z partycypacji z góry w kosztach pobytu.”;</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8)</w:t>
      </w:r>
      <w:r w:rsidRPr="00827E46">
        <w:rPr>
          <w:rFonts w:ascii="Times" w:eastAsia="Times New Roman" w:hAnsi="Times" w:cs="Arial"/>
          <w:bCs/>
          <w:sz w:val="24"/>
          <w:szCs w:val="20"/>
          <w:lang w:eastAsia="pl-PL"/>
        </w:rPr>
        <w:tab/>
        <w:t>w art. 12a w ust. 3 wyrazy „5 dni roboczych” zastępuje się wyrazami „10 dni roboczych”;</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9)</w:t>
      </w:r>
      <w:r w:rsidRPr="00827E46">
        <w:rPr>
          <w:rFonts w:ascii="Times" w:eastAsia="Times New Roman" w:hAnsi="Times" w:cs="Arial"/>
          <w:bCs/>
          <w:sz w:val="24"/>
          <w:szCs w:val="20"/>
          <w:lang w:eastAsia="pl-PL"/>
        </w:rPr>
        <w:tab/>
        <w:t>w art. 14:</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uchyla się ust. 4c,</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ust. 4d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„4d. Odsetki od zgromadzonych środków z Funduszu podlegają zwrotowi na wydzielony rachunek prowadzony w Banku Gospodarstwa Krajowego w terminie 15 dni od dnia upływu każdego kwartału, z wyjątkiem odsetek znajdujących się na wyodrębnionych dla dysponentów rachunkach pomocniczych Funduszu, które zwracane są w terminie określonym w porozumieniach, o których mowa w ust. 10.”,</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c)</w:t>
      </w:r>
      <w:r w:rsidRPr="00827E46">
        <w:rPr>
          <w:rFonts w:ascii="Times" w:eastAsia="Times New Roman" w:hAnsi="Times" w:cs="Arial"/>
          <w:bCs/>
          <w:sz w:val="24"/>
          <w:szCs w:val="20"/>
          <w:lang w:eastAsia="pl-PL"/>
        </w:rPr>
        <w:tab/>
        <w:t>uchyla się ust. 16–17,</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d)</w:t>
      </w:r>
      <w:r w:rsidRPr="00827E46">
        <w:rPr>
          <w:rFonts w:ascii="Times" w:eastAsia="Times New Roman" w:hAnsi="Times" w:cs="Arial"/>
          <w:bCs/>
          <w:sz w:val="24"/>
          <w:szCs w:val="20"/>
          <w:lang w:eastAsia="pl-PL"/>
        </w:rPr>
        <w:tab/>
        <w:t xml:space="preserve"> po ust. 17 dodaje się ust. 17a i 17b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„17a. Minister właściwy do spraw finansów publicznych może żądać od upoważnionych podmiotów, o których mowa w ust. 4 i 4a, bieżących informacji i wyjaśnień w zakresie finansowanych lub dofinansowanych z Funduszu zadań, o których mowa w ust. 1.</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17b. Podmioty, które otrzymały środki z Funduszu, są zobowiązane przekazać na żądanie upoważnionych podmiotów, o których mowa w ust. 4 i 4a, lub wojewodów bieżące informacje i wyjaśnienia w zakresie, o którym mowa w ust. 17a.”,</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e)</w:t>
      </w:r>
      <w:r w:rsidRPr="00827E46">
        <w:rPr>
          <w:rFonts w:ascii="Times" w:eastAsia="Times New Roman" w:hAnsi="Times" w:cs="Arial"/>
          <w:sz w:val="24"/>
          <w:szCs w:val="20"/>
          <w:lang w:eastAsia="pl-PL"/>
        </w:rPr>
        <w:tab/>
        <w:t>uchyla się ust. 18,</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f) w ust. 21a i 22 wyrazy „ust. 17 i 21” zastępuje się wyrazami „ust. 21”,</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10)</w:t>
      </w:r>
      <w:r w:rsidRPr="00827E46">
        <w:rPr>
          <w:rFonts w:ascii="Times" w:eastAsia="Times New Roman" w:hAnsi="Times" w:cs="Arial"/>
          <w:sz w:val="24"/>
          <w:szCs w:val="20"/>
          <w:lang w:eastAsia="pl-PL"/>
        </w:rPr>
        <w:tab/>
        <w:t>w art. 16 ust. 2 otrzymuje brzmienie:</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 xml:space="preserve"> „2. W przypadku niedoboru na rachunku Funduszu środków niezbędnych do terminowej obsługi działań, o których mowa w art. 14 ust. 6, 6a i 6d–6f, finansowanie ich realizacji może odbywać się, po uzgodnieniu z ministrem właściwym do spraw finansów publicznych, ze środków Banku Gospodarstwa Krajowego.”;</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11)</w:t>
      </w:r>
      <w:r w:rsidRPr="00827E46">
        <w:rPr>
          <w:rFonts w:ascii="Times" w:eastAsia="Times New Roman" w:hAnsi="Times" w:cs="Arial"/>
          <w:bCs/>
          <w:sz w:val="24"/>
          <w:szCs w:val="20"/>
          <w:lang w:eastAsia="pl-PL"/>
        </w:rPr>
        <w:tab/>
        <w:t xml:space="preserve"> uchyla się art. 22a–22h;</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12)</w:t>
      </w:r>
      <w:r w:rsidRPr="00827E46">
        <w:rPr>
          <w:rFonts w:ascii="Times" w:eastAsia="Times New Roman" w:hAnsi="Times" w:cs="Arial"/>
          <w:bCs/>
          <w:sz w:val="24"/>
          <w:szCs w:val="20"/>
          <w:lang w:eastAsia="pl-PL"/>
        </w:rPr>
        <w:tab/>
        <w:t xml:space="preserve"> w art. 25</w:t>
      </w:r>
      <w:r w:rsidRPr="00827E46">
        <w:rPr>
          <w:rFonts w:ascii="Times" w:eastAsia="Times New Roman" w:hAnsi="Times" w:cs="Arial"/>
          <w:sz w:val="24"/>
          <w:szCs w:val="20"/>
          <w:vertAlign w:val="superscript"/>
          <w:lang w:eastAsia="pl-PL"/>
        </w:rPr>
        <w:t>1</w:t>
      </w:r>
      <w:r w:rsidRPr="00827E46">
        <w:rPr>
          <w:rFonts w:ascii="Times" w:eastAsia="Times New Roman" w:hAnsi="Times" w:cs="Arial"/>
          <w:bCs/>
          <w:sz w:val="24"/>
          <w:szCs w:val="20"/>
          <w:lang w:eastAsia="pl-PL"/>
        </w:rPr>
        <w:t>:</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ust. 2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 Nadzór nad realizacją praw i obowiązków opiekuna, o którym mowa w ust. 1, a także osób, o których mowa w art. 27e pkt 2, oraz nad zapewnieniem dziecku odpowiednich warunków opieki i wychowania, w tym przestrzegania praw dziecka, sprawuje powiatowe centrum pomocy rodzinie właściwe ze względu na miejsce pobytu dziecka z ukraińskiej instytucjonalnej pieczy zastępczej.”,</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dodaje się ust. 13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„13. Minister właściwy do spraw rodziny określi, w drodze rozporządzenia, sposób i tryb nadzoru nad realizacją praw i obowiązków opiekuna, o którym mowa w art. 25</w:t>
      </w:r>
      <w:r w:rsidRPr="00827E46">
        <w:rPr>
          <w:rFonts w:ascii="Times" w:eastAsia="Times New Roman" w:hAnsi="Times" w:cs="Arial"/>
          <w:sz w:val="24"/>
          <w:szCs w:val="20"/>
          <w:vertAlign w:val="superscript"/>
          <w:lang w:eastAsia="pl-PL"/>
        </w:rPr>
        <w:t>1</w:t>
      </w:r>
      <w:r w:rsidRPr="00827E46">
        <w:rPr>
          <w:rFonts w:ascii="Times" w:eastAsia="Times New Roman" w:hAnsi="Times" w:cs="Arial"/>
          <w:bCs/>
          <w:sz w:val="24"/>
          <w:szCs w:val="20"/>
          <w:lang w:eastAsia="pl-PL"/>
        </w:rPr>
        <w:t xml:space="preserve"> ust. 1, a także osób, o których mowa w art. 27e pkt 2, oraz nad zapewnieniem dziecku odpowiednich warunków opieki i wychowania, mając na uwadze przestrzeganie praw dziecka i dobro dziecka oraz potrzebę zapewnienia skutecznego, jednolitego i kompleksowego nadzoru nad realizacją praw i obowiązków opiekuna.”;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13)</w:t>
      </w:r>
      <w:r w:rsidRPr="00827E46">
        <w:rPr>
          <w:rFonts w:ascii="Times" w:eastAsia="Times New Roman" w:hAnsi="Times" w:cs="Arial"/>
          <w:bCs/>
          <w:sz w:val="24"/>
          <w:szCs w:val="20"/>
          <w:lang w:eastAsia="pl-PL"/>
        </w:rPr>
        <w:tab/>
        <w:t xml:space="preserve"> w art. 26:</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 w ust. 1  pkt 2  otrzymuje brzmienie:</w:t>
      </w:r>
    </w:p>
    <w:p w:rsidR="00827E46" w:rsidRPr="00827E46" w:rsidRDefault="00827E46" w:rsidP="00827E46">
      <w:pPr>
        <w:spacing w:after="0" w:line="360" w:lineRule="auto"/>
        <w:ind w:left="1497"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b/>
        <w:t>„2) świadczenia wychowawczego, o którym mowa w ustawie z dnia 11 lutego 2016 r. o pomocy państwa w wychowywaniu dzieci, jeżeli spełnia łącznie następujące warunki:</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b/>
        <w:t>a) zamieszkuje z dzieckiem na terytorium Rzeczypospolitej Polskiej,</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b/>
        <w:t>b) z tytułu aktywności zawodowej w rozumieniu art. 7 pkt 2 lit. a, b i d ustawy z dnia 15 maja 2024 r. o wspieraniu rodziców w aktywności zawodowej oraz w wychowywaniu dziecka – „Aktywny rodzic” (Dz. U. poz. 858 oraz z 2025 r. poz. 619 i 1083) podlega ubezpieczeniu emerytalnemu i rentowemu od podstawy, której łączna wysokość wynosi nie mniej niż 50% minimalnego wynagrodzenia za pracę w rozumieniu tej ustawy; przepisy art. 10 ust. 4-7 ustawy z dnia 15 maja 2024 r. o wspieraniu rodziców w aktywności zawodowej oraz w wychowywaniu dziecka – „Aktywny rodzic” stosuje się,</w:t>
      </w:r>
    </w:p>
    <w:p w:rsidR="00827E46" w:rsidRPr="00827E46" w:rsidRDefault="00827E46" w:rsidP="00827E46">
      <w:pPr>
        <w:spacing w:after="0" w:line="360" w:lineRule="auto"/>
        <w:ind w:left="1463"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c) dziecko, na które ubiega się o świadczenie wychowawcze lub otrzymuje świadczenie wychowawcze, realizuje odpowiednio obowiązek rocznego przygotowania przedszkolnego, obowiązek szkolny albo obowiązek nauki, zgodnie z ustawą z dnia 14 grudnia 2016 r. – Prawo oświatowe (Dz. U. z 2024 r. poz. 737), co zostało potwierdzone w wyniku weryfikacji dokonanej na podstawie art. 66b ustawy z dnia 15 kwietnia 2011 r. o systemie informacji oświatowej (Dz. U. z 2024 r. poz. 152, 858, 1572 i 1933 oraz z 2025 r. poz. 1019), chyba że dziecko jest w wieku, w jakim obowiązki te go nie dotyczą, albo obowiązki te zostały mu odroczone, albo dziecko realizuje obowiązek nauki przez uczęszczanie do uczelni należącej do polskiego systemu szkolnictwa wyższego, na kwalifikacyjny kurs zawodowy albo na praktykę absolwencką, o której mowa w ustawie z dnia 17 lipca 2009 r. o praktykach absolwenckich (Dz. U. z 2018 r. poz. 1244 oraz z 2025 r. poz. 620), zgodnie z art. 36 ust. 12 ustawy z dnia 14 grudnia 2016 r. - Prawo oświatowe,”,</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 po ust. 3bc dodaje się ust. 3bd-3be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„3bd. Realizację przez dziecko obowiązku nauki przez uczęszczanie do uczelni należącej do polskiego systemu szkolnictwa wyższego, na kwalifikacyjny kurs zawodowy albo na praktykę absolwencką, o której mowa w ustawie z dnia 17 lipca 2009 r. o praktykach absolwenckich, osoba ubiegająca się o świadczenie wychowawcze lub je pobierająca potwierdza zaświadczeniem wydanym przez uczelnię, organizatora kwalifikacyjnego kursu zawodowego albo praktyki absolwenckiej.</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3be. W przypadku stwierdzenia niespełnienia warunków, o których mowa w ust. 1 pkt 2, Zakład Ubezpieczeń Społecznych uchyla w drodze decyzji prawo do świadczenia wychowawczego.”;</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14)</w:t>
      </w:r>
      <w:r w:rsidRPr="00827E46">
        <w:rPr>
          <w:rFonts w:ascii="Times" w:eastAsia="Times New Roman" w:hAnsi="Times" w:cs="Arial"/>
          <w:bCs/>
          <w:sz w:val="24"/>
          <w:szCs w:val="20"/>
          <w:lang w:eastAsia="pl-PL"/>
        </w:rPr>
        <w:tab/>
        <w:t xml:space="preserve"> uchyla się art. 28;</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15)</w:t>
      </w:r>
      <w:r w:rsidRPr="00827E46">
        <w:rPr>
          <w:rFonts w:ascii="Times" w:eastAsia="Times New Roman" w:hAnsi="Times" w:cs="Arial"/>
          <w:bCs/>
          <w:sz w:val="24"/>
          <w:szCs w:val="20"/>
          <w:lang w:eastAsia="pl-PL"/>
        </w:rPr>
        <w:tab/>
        <w:t xml:space="preserve"> uchyla się art. 31a i art. 31b;</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16) w art. 37:</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 ust. 1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„1. Obywatel Ukrainy, którego pobyt na terytorium Rzeczypospolitej Polskiej jest uznawany za legalny na podstawie art. 2 ust. 1, jest uprawniony do opieki medycznej udzielanej na terytorium Rzeczypospolitej Polskiej obejmującej świadczenia opieki zdrowotnej tak jak osoba posiadająca obywatelstwo polskie, pod warunkiem spełniania wymogów określonych w art. 2 ust. 1 ustawy z dnia 27 sierpnia 2004 r. o świadczeniach opieki zdrowotnej finansowanych ze środków publicznych (Dz. U. z 2024 r. poz. 146, z </w:t>
      </w:r>
      <w:proofErr w:type="spellStart"/>
      <w:r w:rsidRPr="00827E46">
        <w:rPr>
          <w:rFonts w:ascii="Times" w:eastAsia="Times New Roman" w:hAnsi="Times" w:cs="Arial"/>
          <w:bCs/>
          <w:sz w:val="24"/>
          <w:szCs w:val="20"/>
          <w:lang w:eastAsia="pl-PL"/>
        </w:rPr>
        <w:t>późn</w:t>
      </w:r>
      <w:proofErr w:type="spellEnd"/>
      <w:r w:rsidRPr="00827E46">
        <w:rPr>
          <w:rFonts w:ascii="Times" w:eastAsia="Times New Roman" w:hAnsi="Times" w:cs="Arial"/>
          <w:bCs/>
          <w:sz w:val="24"/>
          <w:szCs w:val="20"/>
          <w:lang w:eastAsia="pl-PL"/>
        </w:rPr>
        <w:t>. zm.</w:t>
      </w:r>
      <w:r w:rsidRPr="00827E46">
        <w:rPr>
          <w:rFonts w:ascii="Times New Roman" w:eastAsia="Times New Roman" w:hAnsi="Times New Roman" w:cs="Times New Roman"/>
          <w:bCs/>
          <w:sz w:val="24"/>
          <w:szCs w:val="20"/>
          <w:vertAlign w:val="superscript"/>
          <w:lang w:eastAsia="pl-PL"/>
        </w:rPr>
        <w:footnoteReference w:id="2"/>
      </w:r>
      <w:r w:rsidRPr="00827E46">
        <w:rPr>
          <w:rFonts w:ascii="Times" w:eastAsia="Times New Roman" w:hAnsi="Times" w:cs="Arial"/>
          <w:sz w:val="24"/>
          <w:szCs w:val="20"/>
          <w:vertAlign w:val="superscript"/>
          <w:lang w:eastAsia="pl-PL"/>
        </w:rPr>
        <w:t>)</w:t>
      </w:r>
      <w:r w:rsidRPr="00827E46">
        <w:rPr>
          <w:rFonts w:ascii="Times" w:eastAsia="Times New Roman" w:hAnsi="Times" w:cs="Arial"/>
          <w:bCs/>
          <w:sz w:val="24"/>
          <w:szCs w:val="20"/>
          <w:lang w:eastAsia="pl-PL"/>
        </w:rPr>
        <w:t>), na zasadach i w trybie określonym w tej ustawie.”,</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  uchyla się ust. 1a i ust. 2–4;</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17)</w:t>
      </w:r>
      <w:r w:rsidRPr="00827E46">
        <w:rPr>
          <w:rFonts w:ascii="Times" w:eastAsia="Times New Roman" w:hAnsi="Times" w:cs="Arial"/>
          <w:bCs/>
          <w:sz w:val="24"/>
          <w:szCs w:val="20"/>
          <w:lang w:eastAsia="pl-PL"/>
        </w:rPr>
        <w:tab/>
        <w:t xml:space="preserve"> w art. 42a:</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po ust. 1 dodaje się ust. 1a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„1a. Obywatelowi Ukrainy zezwolenie, o którym mowa w ust. 1, może być udzielone tylko raz.”,</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w ust. 5:</w:t>
      </w:r>
    </w:p>
    <w:p w:rsidR="00827E46" w:rsidRPr="00827E46" w:rsidRDefault="00827E46" w:rsidP="00827E46">
      <w:pPr>
        <w:spacing w:after="0" w:line="360" w:lineRule="auto"/>
        <w:ind w:left="1384" w:hanging="397"/>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w:t>
      </w:r>
      <w:r w:rsidRPr="00827E46">
        <w:rPr>
          <w:rFonts w:ascii="Times" w:eastAsia="Times New Roman" w:hAnsi="Times" w:cs="Arial"/>
          <w:bCs/>
          <w:sz w:val="24"/>
          <w:szCs w:val="20"/>
          <w:lang w:eastAsia="pl-PL"/>
        </w:rPr>
        <w:tab/>
        <w:t>w pkt 2 wyrazy „obowiązujących Rzeczpospolitą Polską.” zastępuje się wyrazami „obowiązujących Rzeczpospolitą Polską, lub”,</w:t>
      </w:r>
    </w:p>
    <w:p w:rsidR="00827E46" w:rsidRPr="00827E46" w:rsidRDefault="00827E46" w:rsidP="00827E46">
      <w:pPr>
        <w:spacing w:after="0" w:line="360" w:lineRule="auto"/>
        <w:ind w:left="1384" w:hanging="397"/>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w:t>
      </w:r>
      <w:r w:rsidRPr="00827E46">
        <w:rPr>
          <w:rFonts w:ascii="Times" w:eastAsia="Times New Roman" w:hAnsi="Times" w:cs="Arial"/>
          <w:bCs/>
          <w:sz w:val="24"/>
          <w:szCs w:val="20"/>
          <w:lang w:eastAsia="pl-PL"/>
        </w:rPr>
        <w:tab/>
        <w:t>dodaje się pkt 3 i 4 w brzmieniu:</w:t>
      </w:r>
    </w:p>
    <w:p w:rsidR="00827E46" w:rsidRPr="00827E46" w:rsidRDefault="00827E46" w:rsidP="00827E46">
      <w:pPr>
        <w:spacing w:after="0" w:line="360" w:lineRule="auto"/>
        <w:ind w:left="1893"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w:t>
      </w:r>
      <w:r w:rsidRPr="00827E46">
        <w:rPr>
          <w:rFonts w:ascii="Times" w:eastAsia="Times New Roman" w:hAnsi="Times" w:cs="Arial"/>
          <w:bCs/>
          <w:sz w:val="24"/>
          <w:szCs w:val="20"/>
          <w:lang w:eastAsia="pl-PL"/>
        </w:rPr>
        <w:tab/>
        <w:t>w postępowaniu w sprawie udzielenia obywatelowi Ukrainy zezwolenia na pobyt czasowy:</w:t>
      </w:r>
    </w:p>
    <w:p w:rsidR="00827E46" w:rsidRPr="00827E46" w:rsidRDefault="00827E46" w:rsidP="00827E46">
      <w:pPr>
        <w:spacing w:after="0" w:line="360" w:lineRule="auto"/>
        <w:ind w:left="1859"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złożył on wniosek zawierający nieprawdziwe dane osobowe lub fałszywe informacje lub dołączył do niego dokumenty zawierające takie dane lub informacje, lub</w:t>
      </w:r>
    </w:p>
    <w:p w:rsidR="00827E46" w:rsidRPr="00827E46" w:rsidRDefault="00827E46" w:rsidP="00827E46">
      <w:pPr>
        <w:spacing w:after="0" w:line="360" w:lineRule="auto"/>
        <w:ind w:left="1859"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zeznał on nieprawdę lub zataił prawdę albo podrobił lub przerobił dokument w celu użycia go jako autentycznego lub takiego dokumentu używał jako autentycznego, lub</w:t>
      </w:r>
    </w:p>
    <w:p w:rsidR="00827E46" w:rsidRPr="00827E46" w:rsidRDefault="00827E46" w:rsidP="00827E46">
      <w:pPr>
        <w:spacing w:after="0" w:line="360" w:lineRule="auto"/>
        <w:ind w:left="1893"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w:t>
      </w:r>
      <w:r w:rsidRPr="00827E46">
        <w:rPr>
          <w:rFonts w:ascii="Times" w:eastAsia="Times New Roman" w:hAnsi="Times" w:cs="Arial"/>
          <w:bCs/>
          <w:sz w:val="24"/>
          <w:szCs w:val="20"/>
          <w:lang w:eastAsia="pl-PL"/>
        </w:rPr>
        <w:tab/>
        <w:t>związek małżeński został zawarty w celu obejścia przepisów określających zasady i warunki wjazdu cudzoziemców na terytorium Rzeczypospolitej Polskiej, ich przejazdu przez to terytorium, pobytu na nim i wyjazdu z niego.”;</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18) </w:t>
      </w:r>
      <w:r w:rsidRPr="00827E46">
        <w:rPr>
          <w:rFonts w:ascii="Times" w:eastAsia="Times New Roman" w:hAnsi="Times" w:cs="Arial"/>
          <w:bCs/>
          <w:sz w:val="24"/>
          <w:szCs w:val="20"/>
          <w:lang w:eastAsia="pl-PL"/>
        </w:rPr>
        <w:tab/>
        <w:t>w art. 42c w pkt 1 i w art. 42g w ust. 4 w pkt 10 wyrazy „w dniu 4 marca 2024 r.” zastępuje się wyrazami „w dniu 4 czerwca 2025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19)</w:t>
      </w:r>
      <w:r w:rsidRPr="00827E46">
        <w:rPr>
          <w:rFonts w:ascii="Times" w:eastAsia="Times New Roman" w:hAnsi="Times" w:cs="Arial"/>
          <w:bCs/>
          <w:sz w:val="24"/>
          <w:szCs w:val="20"/>
          <w:lang w:eastAsia="pl-PL"/>
        </w:rPr>
        <w:tab/>
        <w:t>po art. 42w dodaje się art. 42x w brzmieniu:</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„Art. 42x. Jeżeli do dnia 4 marca 2026 r. uprawniony obywatel Ukrainy złoży wniosek, o którym mowa w art. 42c lub art. 42d, w trybie przewidzianym w art. 42f ust. 1, pobyt obywatela Ukrainy, dla którego został złożony wniosek, uważa się za legalny na terytorium Rzeczypospolitej Polskiej do dnia:</w:t>
      </w:r>
    </w:p>
    <w:p w:rsidR="00827E46" w:rsidRPr="00827E46" w:rsidRDefault="00827E46" w:rsidP="00827E46">
      <w:pPr>
        <w:spacing w:after="0" w:line="360" w:lineRule="auto"/>
        <w:ind w:left="102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odbioru karty pobytu lub jej unieważnienia w trybie art. 42r ust. 2,</w:t>
      </w:r>
    </w:p>
    <w:p w:rsidR="00827E46" w:rsidRPr="00827E46" w:rsidRDefault="00827E46" w:rsidP="00827E46">
      <w:pPr>
        <w:spacing w:after="0" w:line="360" w:lineRule="auto"/>
        <w:ind w:left="102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w którym decyzja o odmowie wydania karty pobytu lub umorzeniu postępowania w sprawie wydania karty pobytu stanie się ostateczna.”;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20) </w:t>
      </w:r>
      <w:r w:rsidRPr="00827E46">
        <w:rPr>
          <w:rFonts w:ascii="Times" w:eastAsia="Times New Roman" w:hAnsi="Times" w:cs="Arial"/>
          <w:bCs/>
          <w:sz w:val="24"/>
          <w:szCs w:val="20"/>
          <w:lang w:eastAsia="pl-PL"/>
        </w:rPr>
        <w:tab/>
        <w:t>w art. 50:</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ust. 4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 Jednostki samorządu terytorialnego, w terminie do dnia 31 marca 2026 r., zwracają środki z Funduszu niewykorzystane do dnia 31 grudnia 2025 r. na wydzielony rachunek, z którego otrzymały środki z Funduszu.”,</w:t>
      </w:r>
      <w:bookmarkStart w:id="7" w:name="mip73920562"/>
      <w:bookmarkStart w:id="8" w:name="mip73920563"/>
      <w:bookmarkStart w:id="9" w:name="mip73920564"/>
      <w:bookmarkEnd w:id="7"/>
      <w:bookmarkEnd w:id="8"/>
      <w:bookmarkEnd w:id="9"/>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uchyla się ust. 5b,</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c)</w:t>
      </w:r>
      <w:r w:rsidRPr="00827E46">
        <w:rPr>
          <w:rFonts w:ascii="Times" w:eastAsia="Times New Roman" w:hAnsi="Times" w:cs="Arial"/>
          <w:bCs/>
          <w:sz w:val="24"/>
          <w:szCs w:val="20"/>
          <w:lang w:eastAsia="pl-PL"/>
        </w:rPr>
        <w:tab/>
        <w:t>po ust. 5b dodaje się ust. 5c w brzmieniu:</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„5c. Jednostki samorządu terytorialnego w terminie do dnia 15 kwietnia 2026 r. informują ministra właściwego do spraw finansów publicznych o dokonaniu zwrotu środków, o którym mowa w ust. 4, lub o całkowitym wykorzystaniu środków z Funduszu, o których mowa w ust. 1, 6 i 6a.”;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21)</w:t>
      </w:r>
      <w:r w:rsidRPr="00827E46">
        <w:rPr>
          <w:rFonts w:ascii="Times" w:eastAsia="Times New Roman" w:hAnsi="Times" w:cs="Arial"/>
          <w:bCs/>
          <w:sz w:val="24"/>
          <w:szCs w:val="20"/>
          <w:lang w:eastAsia="pl-PL"/>
        </w:rPr>
        <w:tab/>
        <w:t xml:space="preserve"> art. 50ba otrzymuje brzmienie:</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„Art. 50ba. W roku 2025 przy podziale łącznej kwoty potrzeb oświatowych między poszczególne jednostki samorządu terytorialnego, o którym mowa w art. 26 ust. 3 ustawy z dnia 1 października 2024 r. o dochodach jednostek samorządu terytorialnego, nie uwzględnia się dzieci i uczniów będących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22)</w:t>
      </w:r>
      <w:r w:rsidRPr="00827E46">
        <w:rPr>
          <w:rFonts w:ascii="Times" w:eastAsia="Times New Roman" w:hAnsi="Times" w:cs="Arial"/>
          <w:bCs/>
          <w:sz w:val="24"/>
          <w:szCs w:val="20"/>
          <w:lang w:eastAsia="pl-PL"/>
        </w:rPr>
        <w:tab/>
        <w:t xml:space="preserve"> w art. 50c:</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 xml:space="preserve">w ust. 10 objaśnienie symbolu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WbU</m:t>
            </m:r>
          </m:e>
          <m:sub>
            <m:r>
              <m:rPr>
                <m:sty m:val="p"/>
              </m:rPr>
              <w:rPr>
                <w:rFonts w:ascii="Cambria Math" w:eastAsia="Times New Roman" w:hAnsi="Cambria Math" w:cs="Arial"/>
                <w:sz w:val="24"/>
                <w:szCs w:val="20"/>
                <w:lang w:eastAsia="pl-PL"/>
              </w:rPr>
              <m:t>t-1</m:t>
            </m:r>
          </m:sub>
        </m:sSub>
        <m:r>
          <m:rPr>
            <m:sty m:val="p"/>
          </m:rPr>
          <w:rPr>
            <w:rFonts w:ascii="Cambria Math" w:eastAsia="Times New Roman" w:hAnsi="Cambria Math" w:cs="Arial"/>
            <w:sz w:val="24"/>
            <w:szCs w:val="20"/>
            <w:lang w:eastAsia="pl-PL"/>
          </w:rPr>
          <m:t xml:space="preserve"> </m:t>
        </m:r>
      </m:oMath>
      <w:r w:rsidRPr="00827E46">
        <w:rPr>
          <w:rFonts w:ascii="Times" w:eastAsia="Times New Roman" w:hAnsi="Times" w:cs="Arial"/>
          <w:bCs/>
          <w:sz w:val="24"/>
          <w:szCs w:val="20"/>
          <w:lang w:eastAsia="pl-PL"/>
        </w:rPr>
        <w:t>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WbU</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 poniesione w 2025 r. z budżetu jednostki samorządu terytorialnego, inne niż wymienione w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WbUE</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WbI</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i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WbP</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wydatki bieżące na prowadzenie przez tę jednostkę szkół danego typu, w których jest realizowany obowiązek szkolny lub obowiązek nauki, niebędących szkołami specjalnymi, związane z kształceniem, wychowaniem i opieką nad dziećmi i uczniami, będącymi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 xml:space="preserve">w ust. 11 objaśnienie symbolu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WbU</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otrzymuje brzmienie:</w:t>
      </w:r>
    </w:p>
    <w:p w:rsidR="00827E46" w:rsidRPr="00827E46" w:rsidRDefault="00827E46" w:rsidP="00827E46">
      <w:pPr>
        <w:suppressAutoHyphens/>
        <w:autoSpaceDE w:val="0"/>
        <w:autoSpaceDN w:val="0"/>
        <w:adjustRightInd w:val="0"/>
        <w:spacing w:after="0" w:line="360" w:lineRule="auto"/>
        <w:ind w:left="987"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WbU</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 poniesione w 2025 r. z budżetu jednostki samorządu terytorialnego, inne niż wymienione w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WbUE</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WbI</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i </w:t>
      </w:r>
      <m:oMath>
        <m:sSub>
          <m:sSubPr>
            <m:ctrlPr>
              <w:rPr>
                <w:rFonts w:ascii="Cambria Math" w:eastAsia="Times New Roman" w:hAnsi="Cambria Math" w:cs="Arial"/>
                <w:bCs/>
                <w:sz w:val="24"/>
                <w:szCs w:val="20"/>
                <w:lang w:eastAsia="pl-PL"/>
              </w:rPr>
            </m:ctrlPr>
          </m:sSubPr>
          <m:e>
            <m:r>
              <m:rPr>
                <m:sty m:val="p"/>
              </m:rPr>
              <w:rPr>
                <w:rFonts w:ascii="Cambria Math" w:eastAsia="Times New Roman" w:hAnsi="Cambria Math" w:cs="Arial"/>
                <w:sz w:val="24"/>
                <w:szCs w:val="20"/>
                <w:lang w:eastAsia="pl-PL"/>
              </w:rPr>
              <m:t>WbP</m:t>
            </m:r>
          </m:e>
          <m:sub>
            <m:r>
              <m:rPr>
                <m:sty m:val="p"/>
              </m:rPr>
              <w:rPr>
                <w:rFonts w:ascii="Cambria Math" w:eastAsia="Times New Roman" w:hAnsi="Cambria Math" w:cs="Arial"/>
                <w:sz w:val="24"/>
                <w:szCs w:val="20"/>
                <w:lang w:eastAsia="pl-PL"/>
              </w:rPr>
              <m:t>t-1</m:t>
            </m:r>
          </m:sub>
        </m:sSub>
      </m:oMath>
      <w:r w:rsidRPr="00827E46">
        <w:rPr>
          <w:rFonts w:ascii="Times" w:eastAsia="Times New Roman" w:hAnsi="Times" w:cs="Arial"/>
          <w:bCs/>
          <w:sz w:val="24"/>
          <w:szCs w:val="20"/>
          <w:lang w:eastAsia="pl-PL"/>
        </w:rPr>
        <w:t xml:space="preserve"> wydatki bieżące na prowadzenie przez tę jednostkę szkół danego typu będących szkołami specjalnymi, związane z kształceniem, wychowaniem i opieką nad dziećmi i uczniami będącymi obywatelami Ukrainy, których pobyt na terytorium Rzeczypospolitej Polskiej jest uznawany za legalny na podstawie niniejszej ustawy albo którzy przebywają legalnie na terytorium Rzeczypospolitej Polskiej, w przypadku gdy przybyli na terytorium Rzeczypospolitej Polskiej z terytorium Ukrainy od dnia 24 lutego 2022 r. w związku z działaniami wojennymi prowadzonymi na terytorium tego państwa,”;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23)</w:t>
      </w:r>
      <w:r w:rsidRPr="00827E46">
        <w:rPr>
          <w:rFonts w:ascii="Times" w:eastAsia="Times New Roman" w:hAnsi="Times" w:cs="Arial"/>
          <w:bCs/>
          <w:sz w:val="24"/>
          <w:szCs w:val="20"/>
          <w:lang w:eastAsia="pl-PL"/>
        </w:rPr>
        <w:tab/>
        <w:t>w art. 56 i art. 57 wyrazy „W latach szkolnych 2021/2022–2024/2025” zastępuje się wyrazami „Do dnia 4 marca 2026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24)</w:t>
      </w:r>
      <w:r w:rsidRPr="00827E46">
        <w:rPr>
          <w:rFonts w:ascii="Times" w:eastAsia="Times New Roman" w:hAnsi="Times" w:cs="Arial"/>
          <w:bCs/>
          <w:sz w:val="24"/>
          <w:szCs w:val="20"/>
          <w:lang w:eastAsia="pl-PL"/>
        </w:rPr>
        <w:tab/>
        <w:t>w art. 56a i w art. 58 w ust. 1 we wprowadzeniu do wyliczenia i w ust. 3 we wprowadzeniu do wyliczenia wyrazy „31 sierpnia 2025 r.” zastępuje się wyrazami „4 marca 2026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25)</w:t>
      </w:r>
      <w:r w:rsidRPr="00827E46">
        <w:rPr>
          <w:rFonts w:ascii="Times" w:eastAsia="Times New Roman" w:hAnsi="Times" w:cs="Arial"/>
          <w:bCs/>
          <w:sz w:val="24"/>
          <w:szCs w:val="20"/>
          <w:lang w:eastAsia="pl-PL"/>
        </w:rPr>
        <w:tab/>
        <w:t>w art. 57a wyrazy „W roku szkolnym 2024/2025” zastępuje się wyrazami „Do dnia 4 marca 2026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26)</w:t>
      </w:r>
      <w:r w:rsidRPr="00827E46">
        <w:rPr>
          <w:rFonts w:ascii="Times" w:eastAsia="Times New Roman" w:hAnsi="Times" w:cs="Arial"/>
          <w:bCs/>
          <w:sz w:val="24"/>
          <w:szCs w:val="20"/>
          <w:lang w:eastAsia="pl-PL"/>
        </w:rPr>
        <w:tab/>
        <w:t>w art. 63 w ust. 1 i 3 we wprowadzeniu do wyliczenia wyrazy „do 30 września 2025 r.” zastępuje się wyrazami „do dnia 4 marca 2026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27)</w:t>
      </w:r>
      <w:r w:rsidRPr="00827E46">
        <w:rPr>
          <w:rFonts w:ascii="Times" w:eastAsia="Times New Roman" w:hAnsi="Times" w:cs="Arial"/>
          <w:bCs/>
          <w:sz w:val="24"/>
          <w:szCs w:val="20"/>
          <w:lang w:eastAsia="pl-PL"/>
        </w:rPr>
        <w:tab/>
        <w:t>w art. 64b we wprowadzeniu do wyliczenia wyrazy „do 30 września 2025 r.” zastępuje się wyrazami „do dnia 31 grudnia 2025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28)</w:t>
      </w:r>
      <w:r w:rsidRPr="00827E46">
        <w:rPr>
          <w:rFonts w:ascii="Times" w:eastAsia="Times New Roman" w:hAnsi="Times" w:cs="Arial"/>
          <w:bCs/>
          <w:sz w:val="24"/>
          <w:szCs w:val="20"/>
          <w:lang w:eastAsia="pl-PL"/>
        </w:rPr>
        <w:tab/>
        <w:t>art. 115 otrzymuje brzmienie:</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„Art. 115. Rada Ministrów raz na 12 miesięcy składa Sejmowi i Senatowi szczegółowe sprawozdanie na piśmie z wykonania ustawy. Ostatnie sprawozdanie składa się w terminie 6 miesięcy od daty wskazanej w art. 2 ust. 1, określającej legalny pobyt obywateli Ukrainy na terytorium Rzeczypospolitej Polskiej. Sprawozdanie czyni się niezwłocznie przedmiotem debat Sejmu i Senatu.”.</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2.</w:t>
      </w:r>
      <w:r w:rsidRPr="00827E46">
        <w:rPr>
          <w:rFonts w:ascii="Times" w:eastAsia="Times New Roman" w:hAnsi="Times" w:cs="Arial"/>
          <w:sz w:val="24"/>
          <w:szCs w:val="20"/>
          <w:lang w:eastAsia="pl-PL"/>
        </w:rPr>
        <w:t xml:space="preserve"> W ustawie z dnia 26 stycznia 1982 r. – Karta Nauczyciela (Dz. U. z 2024 r. poz. 986 i 1871 oraz z 2025 r. poz. 620 i 1019) w art. 91a w ust. 4 wyrazy „art. 10–28b” zastępuje się wyrazami „art. 10–28, art. 28a, art. 28b”.</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3.</w:t>
      </w:r>
      <w:r w:rsidRPr="00827E46">
        <w:rPr>
          <w:rFonts w:ascii="Times" w:eastAsia="Times New Roman" w:hAnsi="Times" w:cs="Arial"/>
          <w:sz w:val="24"/>
          <w:szCs w:val="20"/>
          <w:lang w:eastAsia="pl-PL"/>
        </w:rPr>
        <w:t xml:space="preserve"> W ustawie </w:t>
      </w:r>
      <w:bookmarkStart w:id="10" w:name="_Hlk203068094"/>
      <w:r w:rsidRPr="00827E46">
        <w:rPr>
          <w:rFonts w:ascii="Times" w:eastAsia="Times New Roman" w:hAnsi="Times" w:cs="Arial"/>
          <w:sz w:val="24"/>
          <w:szCs w:val="20"/>
          <w:lang w:eastAsia="pl-PL"/>
        </w:rPr>
        <w:t xml:space="preserve">z dnia 26 lipca 1991 r. o podatku dochodowym od osób fizycznych </w:t>
      </w:r>
      <w:bookmarkEnd w:id="10"/>
      <w:r w:rsidRPr="00827E46">
        <w:rPr>
          <w:rFonts w:ascii="Times" w:eastAsia="Times New Roman" w:hAnsi="Times" w:cs="Arial"/>
          <w:sz w:val="24"/>
          <w:szCs w:val="20"/>
          <w:lang w:eastAsia="pl-PL"/>
        </w:rPr>
        <w:t>(Dz. U. z 2025 r. poz. 163, 340, 368, 620, 680 i 1022) w art. 52zo w ust. 1 we wprowadzeniu do wyliczenia i w ust. 2 oraz w art. 52zp–52zr wyrazy „do dnia 31 grudnia 2025 r.” zastępuje się wyrazami „do dnia 31 grudnia 2026 r.”.</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4.</w:t>
      </w:r>
      <w:r w:rsidRPr="00827E46">
        <w:rPr>
          <w:rFonts w:ascii="Times" w:eastAsia="Times New Roman" w:hAnsi="Times" w:cs="Arial"/>
          <w:sz w:val="24"/>
          <w:szCs w:val="20"/>
          <w:lang w:eastAsia="pl-PL"/>
        </w:rPr>
        <w:t xml:space="preserve"> W ustawie </w:t>
      </w:r>
      <w:bookmarkStart w:id="11" w:name="_Hlk203068105"/>
      <w:r w:rsidRPr="00827E46">
        <w:rPr>
          <w:rFonts w:ascii="Times" w:eastAsia="Times New Roman" w:hAnsi="Times" w:cs="Arial"/>
          <w:sz w:val="24"/>
          <w:szCs w:val="20"/>
          <w:lang w:eastAsia="pl-PL"/>
        </w:rPr>
        <w:t xml:space="preserve">z dnia 15 lutego 1992 r. o podatku dochodowym od osób prawnych </w:t>
      </w:r>
      <w:bookmarkEnd w:id="11"/>
      <w:r w:rsidRPr="00827E46">
        <w:rPr>
          <w:rFonts w:ascii="Times" w:eastAsia="Times New Roman" w:hAnsi="Times" w:cs="Arial"/>
          <w:sz w:val="24"/>
          <w:szCs w:val="20"/>
          <w:lang w:eastAsia="pl-PL"/>
        </w:rPr>
        <w:t>(Dz. U. z 2025 r. poz. 278, 340, 620, 680, 1022 i 1074) w art. 38wc w ust. 1 we wprowadzeniu do wyliczenia i w ust. 2 oraz w art. 38xb wyrazy „do dnia 31 grudnia 2025 r.” zastępuje się wyrazami „do dnia 31 grudnia 2026 r.”.</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5.</w:t>
      </w:r>
      <w:r w:rsidRPr="00827E46">
        <w:rPr>
          <w:rFonts w:ascii="Times" w:eastAsia="Times New Roman" w:hAnsi="Times" w:cs="Arial"/>
          <w:sz w:val="24"/>
          <w:szCs w:val="20"/>
          <w:lang w:eastAsia="pl-PL"/>
        </w:rPr>
        <w:t xml:space="preserve"> W ustawie </w:t>
      </w:r>
      <w:bookmarkStart w:id="12" w:name="_Hlk203068116"/>
      <w:r w:rsidRPr="00827E46">
        <w:rPr>
          <w:rFonts w:ascii="Times" w:eastAsia="Times New Roman" w:hAnsi="Times" w:cs="Arial"/>
          <w:sz w:val="24"/>
          <w:szCs w:val="20"/>
          <w:lang w:eastAsia="pl-PL"/>
        </w:rPr>
        <w:t xml:space="preserve">z dnia 5 grudnia 1996 r. o zawodach lekarza i lekarza dentysty </w:t>
      </w:r>
      <w:bookmarkEnd w:id="12"/>
      <w:r w:rsidRPr="00827E46">
        <w:rPr>
          <w:rFonts w:ascii="Times" w:eastAsia="Times New Roman" w:hAnsi="Times" w:cs="Arial"/>
          <w:sz w:val="24"/>
          <w:szCs w:val="20"/>
          <w:lang w:eastAsia="pl-PL"/>
        </w:rPr>
        <w:t>(Dz. U. z 2024 r. poz. 1287 i 1897 oraz z 2025 r. poz. 619 i 769) w art. 7:</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w ust. 1d:</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a)</w:t>
      </w:r>
      <w:r w:rsidRPr="00827E46">
        <w:rPr>
          <w:rFonts w:ascii="Times" w:eastAsia="Times New Roman" w:hAnsi="Times" w:cs="Arial"/>
          <w:bCs/>
          <w:sz w:val="24"/>
          <w:szCs w:val="20"/>
          <w:lang w:eastAsia="pl-PL"/>
        </w:rPr>
        <w:tab/>
        <w:t>we wprowadzeniu do wyliczenia po wyrazie „jeżeli” dodaje się wyrazy „w okresie 4 lat bezpośrednio poprzedzających dzień złożenia wniosku o uznanie czasu wykonywania zawodu na terytorium Rzeczypospolitej Polskiej za równoważny z odbyciem stażu podyplomowego”,</w:t>
      </w:r>
    </w:p>
    <w:p w:rsidR="00827E46" w:rsidRPr="00827E46" w:rsidRDefault="00827E46" w:rsidP="00827E46">
      <w:pPr>
        <w:spacing w:after="0" w:line="360" w:lineRule="auto"/>
        <w:ind w:left="986" w:hanging="476"/>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b)</w:t>
      </w:r>
      <w:r w:rsidRPr="00827E46">
        <w:rPr>
          <w:rFonts w:ascii="Times" w:eastAsia="Times New Roman" w:hAnsi="Times" w:cs="Arial"/>
          <w:bCs/>
          <w:sz w:val="24"/>
          <w:szCs w:val="20"/>
          <w:lang w:eastAsia="pl-PL"/>
        </w:rPr>
        <w:tab/>
        <w:t>w pkt 2 po wyrazie „przez” dodaje się wyraz „łącznie”;</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po ust. 2d dodaje się ust. 2da–2dc w brzmieniu:</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„2da. Lekarz albo lekarz dentysta, który uzyskał zgodę, o której mowa w ust. 2a, składa po raz pierwszy wniosek o przyznanie prawa wykonywania zawodu, o którym mowa w ust. 2e, do okręgowej izby lekarskiej w terminie 6 miesięcy od dnia otrzymania decyzji, o której mowa w ust. 2b.</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2db. Właściwa okręgowa izba lekarska wydaje lekarzowi potwierdzenie złożenia wniosku, o którym mowa w ust. 2da, wraz ze wskazaniem daty złożenia tego wniosku. Terminu, o którym mowa w ust. 2da, nie stosuje się do kolejnych wniosków o przyznanie prawa wykonywania zawodu, o którym mowa w ust. 2e, złożonych na podstawie tej samej decyzji.</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2dc. W przypadku złożenia wniosku, o którym mowa w ust. 2da, po terminie wskazanym w ust. 2da, okręgowa rada lekarska może odmówić przyznania prawa wykonywania zawodu. W takim przypadku przepisu ust. 21 nie stosuje się.”;</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w:t>
      </w:r>
      <w:r w:rsidRPr="00827E46">
        <w:rPr>
          <w:rFonts w:ascii="Times" w:eastAsia="Times New Roman" w:hAnsi="Times" w:cs="Arial"/>
          <w:bCs/>
          <w:sz w:val="24"/>
          <w:szCs w:val="20"/>
          <w:lang w:eastAsia="pl-PL"/>
        </w:rPr>
        <w:tab/>
        <w:t>w ust. 2e zdanie czwarte otrzymuje brzmienie:</w:t>
      </w:r>
    </w:p>
    <w:p w:rsidR="00827E46" w:rsidRPr="00827E46" w:rsidRDefault="00827E46" w:rsidP="00827E46">
      <w:pPr>
        <w:suppressAutoHyphens/>
        <w:autoSpaceDE w:val="0"/>
        <w:autoSpaceDN w:val="0"/>
        <w:adjustRightInd w:val="0"/>
        <w:spacing w:after="0" w:line="360" w:lineRule="auto"/>
        <w:ind w:left="510"/>
        <w:jc w:val="both"/>
        <w:rPr>
          <w:rFonts w:ascii="Times New Roman" w:eastAsia="Times New Roman" w:hAnsi="Times New Roman" w:cs="Arial"/>
          <w:sz w:val="24"/>
          <w:szCs w:val="20"/>
          <w:lang w:eastAsia="pl-PL"/>
        </w:rPr>
      </w:pPr>
      <w:r w:rsidRPr="00827E46">
        <w:rPr>
          <w:rFonts w:ascii="Times New Roman" w:eastAsia="Times New Roman" w:hAnsi="Times New Roman" w:cs="Arial"/>
          <w:sz w:val="24"/>
          <w:szCs w:val="20"/>
          <w:lang w:eastAsia="pl-PL"/>
        </w:rPr>
        <w:t>„Okręgowa rada lekarska niezwłocznie informuje ministra właściwego do spraw zdrowia o przyznaniu prawa wykonywania zawodu, odmowie przyznania prawa wykonywania zawodu albo innym rozstrzygnięciu lub działaniu skutkującym nieprzyznaniem prawa wykonywania zawodu przez radę, jednocześnie wskazując przyczyny takiego rozstrzygnięcia lub działania.”;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w:t>
      </w:r>
      <w:r w:rsidRPr="00827E46">
        <w:rPr>
          <w:rFonts w:ascii="Times" w:eastAsia="Times New Roman" w:hAnsi="Times" w:cs="Arial"/>
          <w:bCs/>
          <w:sz w:val="24"/>
          <w:szCs w:val="20"/>
          <w:lang w:eastAsia="pl-PL"/>
        </w:rPr>
        <w:tab/>
        <w:t>po ust. 12b dodaje się ust. 12c–12e w brzmieniu:</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„12c. Lekarz albo lekarz dentysta, który uzyskał zgodę, o której mowa w ust. 9 lub 10, składa po raz pierwszy wniosek o przyznanie prawa wykonywania zawodu, o którym mowa w ust. 13, do okręgowej izby lekarskiej w terminie 6 miesięcy od dnia otrzymania decyzji, o której mowa w ust. 12.</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12d. Właściwa okręgowa izba lekarska wydaje lekarzowi potwierdzenie złożenia wniosku, o którym mowa w ust. 12c, wraz ze wskazaniem daty złożenia tego wniosku. Terminu, o którym mowa w ust. 12c, nie stosuje się do kolejnych wniosków o przyznanie prawa wykonywania zawodu, o którym mowa w ust. 13, złożonych na podstawie tej samej decyzji.</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12e. W przypadku złożenia wniosku, o którym mowa w ust. 12c, po terminie wskazanym w ust. 12c, okręgowa rada lekarska może odmówić przyznania prawa wykonywania zawodu. W takim przypadku przepisu ust. 21 nie stosuje się.”;</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5)</w:t>
      </w:r>
      <w:r w:rsidRPr="00827E46">
        <w:rPr>
          <w:rFonts w:ascii="Times" w:eastAsia="Times New Roman" w:hAnsi="Times" w:cs="Arial"/>
          <w:bCs/>
          <w:sz w:val="24"/>
          <w:szCs w:val="20"/>
          <w:lang w:eastAsia="pl-PL"/>
        </w:rPr>
        <w:tab/>
        <w:t>w ust. 13 zdanie czwarte otrzymuje brzmienie:</w:t>
      </w:r>
    </w:p>
    <w:p w:rsidR="00827E46" w:rsidRPr="00827E46" w:rsidRDefault="00827E46" w:rsidP="00827E46">
      <w:pPr>
        <w:suppressAutoHyphens/>
        <w:autoSpaceDE w:val="0"/>
        <w:autoSpaceDN w:val="0"/>
        <w:adjustRightInd w:val="0"/>
        <w:spacing w:after="0" w:line="360" w:lineRule="auto"/>
        <w:ind w:left="510"/>
        <w:jc w:val="both"/>
        <w:rPr>
          <w:rFonts w:ascii="Times New Roman" w:eastAsia="Times New Roman" w:hAnsi="Times New Roman" w:cs="Arial"/>
          <w:sz w:val="24"/>
          <w:szCs w:val="20"/>
          <w:lang w:eastAsia="pl-PL"/>
        </w:rPr>
      </w:pPr>
      <w:r w:rsidRPr="00827E46">
        <w:rPr>
          <w:rFonts w:ascii="Times New Roman" w:eastAsia="Times New Roman" w:hAnsi="Times New Roman" w:cs="Arial"/>
          <w:sz w:val="24"/>
          <w:szCs w:val="20"/>
          <w:lang w:eastAsia="pl-PL"/>
        </w:rPr>
        <w:t>„Okręgowa rada lekarska niezwłocznie informuje ministra właściwego do spraw zdrowia o przyznaniu warunkowego prawa wykonywania zawodu, odmowie przyznania warunkowego prawa wykonywania zawodu albo innym rozstrzygnięciu lub działaniu skutkującym nieprzyznaniem warunkowego prawa wykonywania zawodu przez radę, jednocześnie wskazując przyczyny takiego rozstrzygnięcia lub działania.”;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6)</w:t>
      </w:r>
      <w:r w:rsidRPr="00827E46">
        <w:rPr>
          <w:rFonts w:ascii="Times" w:eastAsia="Times New Roman" w:hAnsi="Times" w:cs="Arial"/>
          <w:bCs/>
          <w:sz w:val="24"/>
          <w:szCs w:val="20"/>
          <w:lang w:eastAsia="pl-PL"/>
        </w:rPr>
        <w:tab/>
        <w:t>po ust. 18b dodaje się ust. 18c w brzmieniu:</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„18c. Lekarz lub lekarz dentysta, który uzyskał zgodę, o której mowa w ust. 2a albo w ust. 9 lub 10, jest obowiązany do poinformowania ministra właściwego do spraw zdrowia o zmianie danych osobowych oraz zmianie adresu do korespondencji.”;</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7)</w:t>
      </w:r>
      <w:r w:rsidRPr="00827E46">
        <w:rPr>
          <w:rFonts w:ascii="Times" w:eastAsia="Times New Roman" w:hAnsi="Times" w:cs="Arial"/>
          <w:bCs/>
          <w:sz w:val="24"/>
          <w:szCs w:val="20"/>
          <w:lang w:eastAsia="pl-PL"/>
        </w:rPr>
        <w:tab/>
        <w:t>po ust. 21 dodaje się ust. 21a w brzmieniu:</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„21a. Okręgowa rada lekarska albo Naczelna Rada Lekarska niezwłocznie informuje ministra właściwego do spraw zdrowia o wszelkich rozstrzygnięciach, w tym rozstrzygnięciach sądów administracyjnych, wydanych w ramach postępowania w sprawie przyznania prawa wykonywania zawodu lekarza albo lekarza dentysty, o którym mowa w ust. 21, oraz przekazuje potwierdzoną za zgodność z oryginałem kopię tych rozstrzygnięć.”.</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6.</w:t>
      </w:r>
      <w:r w:rsidRPr="00827E46">
        <w:rPr>
          <w:rFonts w:ascii="Times" w:eastAsia="Times New Roman" w:hAnsi="Times" w:cs="Arial"/>
          <w:sz w:val="24"/>
          <w:szCs w:val="20"/>
          <w:lang w:eastAsia="pl-PL"/>
        </w:rPr>
        <w:t xml:space="preserve"> W ustawie z dnia 6 czerwca 1997 r. – Kodeks karny (Dz. U. z 2025 r. poz. 383) wprowadza się następujące zmiany:</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 w art. 256 § 1a otrzymuje brzmienie:</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 1a. Tej samej karze podlega, kto publicznie propaguje ideologię nazistowską, komunistyczną, faszystowską, ideologię Organizacji Ukraińskich Nacjonalistów frakcja Bandery i Ukraińskiej Armii Powstańczej lub ideologię nawołującą do użycia przemocy w celu wpływania na życie polityczne lub społeczne.”;</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   art. 264 § 2 i 3 otrzymują brzmienie:</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 2. Kto wbrew przepisom przekracza granicę Rzeczypospolitej Polskiej, używając przemocy, groźby, podstępu lub we współdziałaniu z innymi osobami,</w:t>
      </w:r>
    </w:p>
    <w:p w:rsidR="00827E46" w:rsidRPr="00827E46" w:rsidRDefault="00827E46" w:rsidP="00827E46">
      <w:pPr>
        <w:suppressAutoHyphens/>
        <w:autoSpaceDE w:val="0"/>
        <w:autoSpaceDN w:val="0"/>
        <w:adjustRightInd w:val="0"/>
        <w:spacing w:after="0" w:line="360" w:lineRule="auto"/>
        <w:ind w:left="1021"/>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podlega karze pozbawienia wolności do lat 5.</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 xml:space="preserve">§ 3. Kto organizuje innym osobom przekraczanie wbrew przepisom granicy Rzeczypospolitej Polskiej, </w:t>
      </w:r>
    </w:p>
    <w:p w:rsidR="00827E46" w:rsidRPr="00827E46" w:rsidRDefault="00827E46" w:rsidP="00827E46">
      <w:pPr>
        <w:suppressAutoHyphens/>
        <w:autoSpaceDE w:val="0"/>
        <w:autoSpaceDN w:val="0"/>
        <w:adjustRightInd w:val="0"/>
        <w:spacing w:after="0" w:line="360" w:lineRule="auto"/>
        <w:ind w:left="1021"/>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podlega karze pozbawienia wolności od lat 2 do lat 12.”.  </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7.</w:t>
      </w:r>
      <w:r w:rsidRPr="00827E46">
        <w:rPr>
          <w:rFonts w:ascii="Times" w:eastAsia="Times New Roman" w:hAnsi="Times" w:cs="Arial"/>
          <w:sz w:val="24"/>
          <w:szCs w:val="20"/>
          <w:lang w:eastAsia="pl-PL"/>
        </w:rPr>
        <w:t xml:space="preserve"> W ustawie z dnia 18 grudnia 1998 r. o Instytucie Pamięci Narodowej – Komisji Ścigania Zbrodni przeciwko Narodowi Polskiemu (Dz. U. z 2023 r. poz. 102) wprowadza się następujące zmiany:  </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1) w art. 1 w pkt 1 w lit. a </w:t>
      </w:r>
      <w:proofErr w:type="spellStart"/>
      <w:r w:rsidRPr="00827E46">
        <w:rPr>
          <w:rFonts w:ascii="Times" w:eastAsia="Times New Roman" w:hAnsi="Times" w:cs="Arial"/>
          <w:bCs/>
          <w:sz w:val="24"/>
          <w:szCs w:val="20"/>
          <w:lang w:eastAsia="pl-PL"/>
        </w:rPr>
        <w:t>tiret</w:t>
      </w:r>
      <w:proofErr w:type="spellEnd"/>
      <w:r w:rsidRPr="00827E46">
        <w:rPr>
          <w:rFonts w:ascii="Times" w:eastAsia="Times New Roman" w:hAnsi="Times" w:cs="Arial"/>
          <w:bCs/>
          <w:sz w:val="24"/>
          <w:szCs w:val="20"/>
          <w:lang w:eastAsia="pl-PL"/>
        </w:rPr>
        <w:t xml:space="preserve"> trzecie otrzymuje brzmienie:</w:t>
      </w:r>
    </w:p>
    <w:p w:rsidR="00827E46" w:rsidRPr="00827E46" w:rsidRDefault="00827E46" w:rsidP="00827E46">
      <w:pPr>
        <w:spacing w:after="0" w:line="360" w:lineRule="auto"/>
        <w:ind w:left="907" w:hanging="397"/>
        <w:jc w:val="both"/>
        <w:rPr>
          <w:rFonts w:ascii="Times" w:eastAsia="Times New Roman" w:hAnsi="Times" w:cs="Arial"/>
          <w:bCs/>
          <w:sz w:val="24"/>
          <w:szCs w:val="20"/>
          <w:lang w:eastAsia="pl-PL"/>
        </w:rPr>
      </w:pPr>
      <w:bookmarkStart w:id="13" w:name="_1fob9te"/>
      <w:bookmarkEnd w:id="13"/>
      <w:r w:rsidRPr="00827E46">
        <w:rPr>
          <w:rFonts w:ascii="Times" w:eastAsia="Times New Roman" w:hAnsi="Times" w:cs="Arial"/>
          <w:bCs/>
          <w:sz w:val="24"/>
          <w:szCs w:val="20"/>
          <w:lang w:eastAsia="pl-PL"/>
        </w:rPr>
        <w:t xml:space="preserve">„– zbrodni członków i współpracowników Organizacji Ukraińskich Nacjonalistów frakcji Bandery i Ukraińskiej Armii Powstańczej oraz innych ukraińskich formacji kolaborujących z </w:t>
      </w:r>
      <w:bookmarkStart w:id="14" w:name="_Hlk184037946"/>
      <w:r w:rsidRPr="00827E46">
        <w:rPr>
          <w:rFonts w:ascii="Times" w:eastAsia="Times New Roman" w:hAnsi="Times" w:cs="Arial"/>
          <w:bCs/>
          <w:sz w:val="24"/>
          <w:szCs w:val="20"/>
          <w:lang w:eastAsia="pl-PL"/>
        </w:rPr>
        <w:t>Trzecią Rzeszą Niemiecką</w:t>
      </w:r>
      <w:bookmarkEnd w:id="14"/>
      <w:r w:rsidRPr="00827E46">
        <w:rPr>
          <w:rFonts w:ascii="Times" w:eastAsia="Times New Roman" w:hAnsi="Times" w:cs="Arial"/>
          <w:bCs/>
          <w:sz w:val="24"/>
          <w:szCs w:val="20"/>
          <w:lang w:eastAsia="pl-PL"/>
        </w:rPr>
        <w:t>,”;</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 art. 2a otrzymuje brzmienie:</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 xml:space="preserve">„Art. 2a. Zbrodniami członków i współpracowników Organizacji Ukraińskich Nacjonalistów frakcji Bandery i Ukraińskiej Armii Powstańczej oraz innych ukraińskich formacji kolaborujących z Trzecią Rzeszą Niemiecką w rozumieniu ustawy jest zbrodnia ludobójstwa dokonana na terytorium II Rzeczypospolitej Polskiej w latach 1943-1945, a także inne czyny polegające na stosowaniu przemocy, terroru lub innych form naruszania praw człowieka wobec jednostek lub grup ludności narodowości polskiej lub obywateli polskich innych narodowości.” . </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8.</w:t>
      </w:r>
      <w:r w:rsidRPr="00827E46">
        <w:rPr>
          <w:rFonts w:ascii="Times" w:eastAsia="Times New Roman" w:hAnsi="Times" w:cs="Arial"/>
          <w:sz w:val="24"/>
          <w:szCs w:val="20"/>
          <w:lang w:eastAsia="pl-PL"/>
        </w:rPr>
        <w:t xml:space="preserve"> W ustawie </w:t>
      </w:r>
      <w:bookmarkStart w:id="15" w:name="_Hlk203068136"/>
      <w:r w:rsidRPr="00827E46">
        <w:rPr>
          <w:rFonts w:ascii="Times" w:eastAsia="Times New Roman" w:hAnsi="Times" w:cs="Arial"/>
          <w:sz w:val="24"/>
          <w:szCs w:val="20"/>
          <w:lang w:eastAsia="pl-PL"/>
        </w:rPr>
        <w:t xml:space="preserve">z dnia 17 lutego 2005 r. o informatyzacji działalności podmiotów realizujących zadania publiczne </w:t>
      </w:r>
      <w:bookmarkEnd w:id="15"/>
      <w:r w:rsidRPr="00827E46">
        <w:rPr>
          <w:rFonts w:ascii="Times" w:eastAsia="Times New Roman" w:hAnsi="Times" w:cs="Arial"/>
          <w:sz w:val="24"/>
          <w:szCs w:val="20"/>
          <w:lang w:eastAsia="pl-PL"/>
        </w:rPr>
        <w:t>(Dz. U. z 2024 r. poz. 1557 i 1717 oraz z 2025 r. poz. 1006 i 1019) uchyla się art. 13aa.</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9.</w:t>
      </w:r>
      <w:r w:rsidRPr="00827E46">
        <w:rPr>
          <w:rFonts w:ascii="Times" w:eastAsia="Times New Roman" w:hAnsi="Times" w:cs="Arial"/>
          <w:sz w:val="24"/>
          <w:szCs w:val="20"/>
          <w:lang w:eastAsia="pl-PL"/>
        </w:rPr>
        <w:t xml:space="preserve"> W ustawie z dnia 2 kwietnia 2009 r. o obywatelstwie polskim (Dz. U. z 2023 r. poz. 1989 oraz z 2025 r. poz. 622 i 921) w art. 30 w ust. 1 pkt 1 otrzymuje brzmienie:</w:t>
      </w:r>
    </w:p>
    <w:p w:rsidR="00827E46" w:rsidRPr="00827E46" w:rsidRDefault="00827E46" w:rsidP="00827E46">
      <w:pPr>
        <w:spacing w:after="0" w:line="360" w:lineRule="auto"/>
        <w:ind w:left="102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 cudzoziemca przebywającego nieprzerwanie na terytorium Rzeczypospolitej Polskiej co najmniej od 10 lat na podstawie zezwolenia na pobyt stały, zezwolenia na pobyt rezydenta długoterminowego Unii Europejskiej lub prawa stałego pobytu, który posiada w Rzeczypospolitej Polskiej stabilne i regularne źródło dochodu oraz tytuł prawny do zajmowania lokalu mieszkalnego;”.</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10.</w:t>
      </w:r>
      <w:r w:rsidRPr="00827E46">
        <w:rPr>
          <w:rFonts w:ascii="Times" w:eastAsia="Times New Roman" w:hAnsi="Times" w:cs="Arial"/>
          <w:sz w:val="24"/>
          <w:szCs w:val="20"/>
          <w:lang w:eastAsia="pl-PL"/>
        </w:rPr>
        <w:t xml:space="preserve"> W ustawie </w:t>
      </w:r>
      <w:bookmarkStart w:id="16" w:name="_Hlk203068149"/>
      <w:r w:rsidRPr="00827E46">
        <w:rPr>
          <w:rFonts w:ascii="Times" w:eastAsia="Times New Roman" w:hAnsi="Times" w:cs="Arial"/>
          <w:sz w:val="24"/>
          <w:szCs w:val="20"/>
          <w:lang w:eastAsia="pl-PL"/>
        </w:rPr>
        <w:t xml:space="preserve">z dnia 15 lipca 2011 r. o zawodach pielęgniarki i położnej </w:t>
      </w:r>
      <w:bookmarkEnd w:id="16"/>
      <w:r w:rsidRPr="00827E46">
        <w:rPr>
          <w:rFonts w:ascii="Times" w:eastAsia="Times New Roman" w:hAnsi="Times" w:cs="Arial"/>
          <w:sz w:val="24"/>
          <w:szCs w:val="20"/>
          <w:lang w:eastAsia="pl-PL"/>
        </w:rPr>
        <w:t>(Dz. U. z 2024 r. poz. 814, 854 i 1897 oraz z 2025 r. poz. 129, 619 i 637) wprowadza się następujące zmiany:</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w art. 35a dodaje się ust. 30 i 31 w brzmieniu:</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„30. Przepisu ust. 12 nie stosuje się do pielęgniarki albo położnej, która posiada zgodę ministra właściwego do spraw zdrowia, o której mowa w ust. 1 lub 14, i prawo wykonywania zawodu, o którym mowa w ust. 6 lub 18, oraz w okresie jego obowiązywania wykonuje zawód na terytorium Rzeczypospolitej Polskiej i jednocześnie kształci się w szkole pielęgniarskiej, o której mowa w art. 52 ust. 2 pkt 1, lub szkole położnych, o której mowa w art. 53 ust. 2 pkt 1.</w:t>
      </w:r>
    </w:p>
    <w:p w:rsidR="00827E46" w:rsidRPr="00827E46" w:rsidRDefault="00827E46" w:rsidP="00827E46">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31. Właściwa okręgowa rada pielęgniarek i położnych na wniosek pielęgniarki lub położnej może przedłużyć prawo wykonywania zawodu, o którym mowa w ust. 6 i 18, na okres kształcenia się w szkole pielęgniarskiej, o której mowa w art. 52 ust. 2 pkt 1, lub szkole położnych, o której mowa w art. 53 ust. 2 pkt 1, jednak na nie dłużej niż 3 lata, po przedłożeniu przez wnioskodawcę zaświadczenia o aktualnym zatrudnieniu w zawodzie pielęgniarki lub położnej na terytorium Rzeczypospolitej Polskiej oraz zaświadczenia o realizacji kształcenia w szkole pielęgniarskiej, o której mowa w art. 52 ust. 2 pkt 1, lub szkole położnych, o której mowa w art. 53 ust. 2 pkt 1.”;</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uchyla się art. 55a.</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11.</w:t>
      </w:r>
      <w:r w:rsidRPr="00827E46">
        <w:rPr>
          <w:rFonts w:ascii="Times" w:eastAsia="Times New Roman" w:hAnsi="Times" w:cs="Arial"/>
          <w:sz w:val="24"/>
          <w:szCs w:val="20"/>
          <w:lang w:eastAsia="pl-PL"/>
        </w:rPr>
        <w:t xml:space="preserve"> Przepisu art. 2 ust. 3 pkt 3 ustawy zmienianej w art. 1, w brzmieniu nadanym niniejszą ustawą, nie stosuje się do obywateli Ukrainy, którzy w dniu wejścia w życie niniejszej ustawy posiadali status UKR, pomimo wcześniejszego posiadania ochrony czasowej na terenie innego niż Rzeczpospolita Polska państwa członkowskiego Unii Europejskiej.</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12.</w:t>
      </w:r>
      <w:r w:rsidRPr="00827E46">
        <w:rPr>
          <w:rFonts w:ascii="Times" w:eastAsia="Times New Roman" w:hAnsi="Times" w:cs="Arial"/>
          <w:sz w:val="24"/>
          <w:szCs w:val="20"/>
          <w:lang w:eastAsia="pl-PL"/>
        </w:rPr>
        <w:t xml:space="preserve"> Minister właściwy do spraw informatyzacji, jeżeli warunki techniczne i organizacyjne to umożliwiają, udostępnia Komendantowi Głównemu Straży Granicznej fotografię, o której mowa w art. 4 ust. 7 ustawy zmienianej w art. 1, osoby, która posiada lub posiadała status UKR, w celu potwierdzenia w sposób niebudzący wątpliwości tożsamości i autentyczności danych tej osoby. Komendant Główny Straży Granicznej udostępnia ministrowi właściwemu do spraw informatyzacji wynik weryfikacji wraz z danymi osoby, w tym jej fotografię zgromadzoną w związku z odprawą graniczną, w celu weryfikacji poprawności zapisów danych w rejestrze PESEL i rejestrze obywateli Ukrainy oraz weryfikacji, czy osoba posiada tylko jeden numer PESEL.</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13.</w:t>
      </w:r>
      <w:r w:rsidRPr="00827E46">
        <w:rPr>
          <w:rFonts w:ascii="Times" w:eastAsia="Times New Roman" w:hAnsi="Times" w:cs="Arial"/>
          <w:sz w:val="24"/>
          <w:szCs w:val="20"/>
          <w:lang w:eastAsia="pl-PL"/>
        </w:rPr>
        <w:t xml:space="preserve"> Przepis art. 12 ustawy zmienianej w art. 1, w brzmieniu nadanym niniejszą ustawą, stosuje się również do osób zamieszkujących w miejscach zakwaterowania zbiorowego do dnia wejścia w życie ustawy.</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14.</w:t>
      </w:r>
      <w:r w:rsidRPr="00827E46">
        <w:rPr>
          <w:rFonts w:ascii="Times" w:eastAsia="Times New Roman" w:hAnsi="Times" w:cs="Arial"/>
          <w:sz w:val="24"/>
          <w:szCs w:val="20"/>
          <w:lang w:eastAsia="pl-PL"/>
        </w:rPr>
        <w:t xml:space="preserve"> Minister właściwy do spraw informatyzacji usunie dane użytkowników systemu teleinformatycznego, o którym mowa w art. 22a ust. 1 ustawy zmienianej w art. 1, gromadzone na profilu pracownika, w tym dane użytkowników usługi online lub usługi sieciowej, o których mowa w uchylanym art. 22f ust. 2 ustawy zmienianej w art. 1, w terminie 30 dni od dnia wejścia w życie przepisu art. 1 pkt 11.</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15.</w:t>
      </w:r>
      <w:r w:rsidRPr="00827E46">
        <w:rPr>
          <w:rFonts w:ascii="Times" w:eastAsia="Times New Roman" w:hAnsi="Times" w:cs="Arial"/>
          <w:sz w:val="24"/>
          <w:szCs w:val="20"/>
          <w:lang w:eastAsia="pl-PL"/>
        </w:rPr>
        <w:t xml:space="preserve"> Odsetki, o których mowa w art. 14 ust. 4c ustawy zmienianej w art. 1, w brzmieniu dotychczasowym, niewykorzystane do dnia wejścia w życie niniejszej ustawy, podlegają zwrotowi na wydzielony rachunek prowadzony w Banku Gospodarstwa Krajowego w terminie 15 dni od dnia wejścia w życie niniejszej ustawy.</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16.</w:t>
      </w:r>
      <w:r w:rsidRPr="00827E46">
        <w:rPr>
          <w:rFonts w:ascii="Times" w:eastAsia="Times New Roman" w:hAnsi="Times" w:cs="Arial"/>
          <w:sz w:val="24"/>
          <w:szCs w:val="20"/>
          <w:lang w:eastAsia="pl-PL"/>
        </w:rPr>
        <w:t xml:space="preserve"> Do procedur związanych z nadzorem, o którym mowa w art. 25</w:t>
      </w:r>
      <w:r w:rsidRPr="00827E46">
        <w:rPr>
          <w:rFonts w:ascii="Times" w:eastAsia="Times New Roman" w:hAnsi="Times" w:cs="Arial"/>
          <w:sz w:val="24"/>
          <w:szCs w:val="20"/>
          <w:vertAlign w:val="superscript"/>
          <w:lang w:eastAsia="pl-PL"/>
        </w:rPr>
        <w:t>1</w:t>
      </w:r>
      <w:r w:rsidRPr="00827E46">
        <w:rPr>
          <w:rFonts w:ascii="Times" w:eastAsia="Times New Roman" w:hAnsi="Times" w:cs="Arial"/>
          <w:sz w:val="24"/>
          <w:szCs w:val="20"/>
          <w:lang w:eastAsia="pl-PL"/>
        </w:rPr>
        <w:t xml:space="preserve"> ust. 2 ustawy zmienianej w art. 1, wszczętych i niezakończonych przed dniem wejścia w życie niniejszej ustawy, stosuje się przepisy dotychczasowe.</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17.</w:t>
      </w:r>
      <w:r w:rsidRPr="00827E46">
        <w:rPr>
          <w:rFonts w:ascii="Times" w:eastAsia="Times New Roman" w:hAnsi="Times" w:cs="Arial"/>
          <w:sz w:val="24"/>
          <w:szCs w:val="20"/>
          <w:lang w:eastAsia="pl-PL"/>
        </w:rPr>
        <w:t xml:space="preserve"> 1. Prawo do świadczeń, o których mowa w art. 26 ust. 1 pkt 2 ustawy zmienianej w art. 1, w brzmieniu dotychczasowym wygasa z mocy prawa z dniem 1 grudnia 2025 r.</w:t>
      </w:r>
    </w:p>
    <w:p w:rsidR="00827E46" w:rsidRPr="00827E46" w:rsidRDefault="00827E46" w:rsidP="00827E46">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 Osoby, pobierające świadczenie, o którym mowa w ust. 1, mogą złożyć wniosek o ustalenia prawa do świadczenia, o którym mowa w art. 26 ust. 1 pkt 2 ustawy zmienianej w art. 1, w brzmieniu nadanym niniejszą ustawą, na zasadach i w trybie określonych w ustawie z dnia 11 lutego 2016 r. o pomocy państwa w wychowywaniu dzieci, od dnia wejścia w życie niniejszej ustawy.</w:t>
      </w:r>
    </w:p>
    <w:p w:rsidR="00827E46" w:rsidRPr="00827E46" w:rsidRDefault="00827E46" w:rsidP="00827E46">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 xml:space="preserve">3. Osobom, które złożą wniosek, o którym mowa w ust. 2, w okresie od dnia wejścia w życie ustawy do dnia 31 stycznia 2026 r. spełniającym warunki, o których mowa w art. 26 ust. 1 pkt 2 ustawy zmienianej w art. 1 w brzmieniu nadanym niniejszą ustawą, prawo do świadczenia ustala się od dnia 1 grudnia 2026 r.     </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18.</w:t>
      </w:r>
      <w:r w:rsidRPr="00827E46">
        <w:rPr>
          <w:rFonts w:ascii="Times" w:eastAsia="Times New Roman" w:hAnsi="Times" w:cs="Arial"/>
          <w:sz w:val="24"/>
          <w:szCs w:val="20"/>
          <w:lang w:eastAsia="pl-PL"/>
        </w:rPr>
        <w:t xml:space="preserve"> 1. Żłobki i kluby dziecięce utworzone lub prowadzone zgodnie z przepisami art. 28 ustawy zmienianej w art. 1, w brzmieniu dotychczasowym, mogą być prowadzone po dniu 1 grudnia 2025 r., o ile:</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spełnią wymagania dotyczące żłobków i klubów dziecięcych określone w ustawie z dnia 4 lutego 2011 r. o opiece nad dziećmi w wieku do lat 3 (Dz. U. z 2025 r. poz. 798) oraz</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podmiot prowadzący odpowiednio żłobek lub klub dziecięcy wystąpi do organu prowadzącego rejestr żłobków i klubów dziecięcych, o którym mowa w ustawie z dnia 4 lutego 2011 r. o opiece nad dziećmi w wieku do lat 3, z wnioskiem o zmianę danych obejmujących wymagania dotyczące odpowiednio żłobka i klubu dziecięcego określone w ustawie z dnia 4 lutego 2011 r. o opiece nad dziećmi w wieku do lat 3.</w:t>
      </w:r>
    </w:p>
    <w:p w:rsidR="00827E46" w:rsidRPr="00827E46" w:rsidRDefault="00827E46" w:rsidP="00827E46">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 Dzienny opiekun sprawujący opiekę nad dziećmi w wieku do lat 3 zgodnie z przepisami art. 28 ustawy zmienianej w art. 1, w brzmieniu dotychczasowym, może sprawować tę opiekę po dniu 1 grudnia 2025 r., o ile:</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w:t>
      </w:r>
      <w:r w:rsidRPr="00827E46">
        <w:rPr>
          <w:rFonts w:ascii="Times" w:eastAsia="Times New Roman" w:hAnsi="Times" w:cs="Arial"/>
          <w:bCs/>
          <w:sz w:val="24"/>
          <w:szCs w:val="20"/>
          <w:lang w:eastAsia="pl-PL"/>
        </w:rPr>
        <w:tab/>
        <w:t>spełni wymagania dotyczące dziennego opiekuna określone w ustawie z dnia 4 lutego 2011 r. o opiece nad dziećmi w wieku do lat 3 oraz</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w:t>
      </w:r>
      <w:r w:rsidRPr="00827E46">
        <w:rPr>
          <w:rFonts w:ascii="Times" w:eastAsia="Times New Roman" w:hAnsi="Times" w:cs="Arial"/>
          <w:bCs/>
          <w:sz w:val="24"/>
          <w:szCs w:val="20"/>
          <w:lang w:eastAsia="pl-PL"/>
        </w:rPr>
        <w:tab/>
        <w:t>odpowiednio podmiot zatrudniający dziennego opiekuna lub dzienny opiekun prowadzący działalność na własny rachunek wystąpi do organu prowadzącego wykaz dziennych opiekunów, o którym mowa w ustawie z dnia 4 lutego 2011 r. o opiece nad dziećmi w wieku do lat 3, z wnioskiem o zmianę danych obejmujących wymagania dotyczące dziennych opiekunów określone w ustawie z dnia 4 lutego 2011 r. o opiece nad dziećmi w wieku do lat 3.</w:t>
      </w:r>
    </w:p>
    <w:p w:rsidR="00827E46" w:rsidRPr="00827E46" w:rsidRDefault="00827E46" w:rsidP="00827E46">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 Organ prowadzący odpowiednio rejestr żłobków i klubów dziecięcych lub wykaz dziennych opiekunów, o których mowa w ustawie z dnia 4 lutego 2011 r. o opiece nad dziećmi w wieku do lat 3, jest obowiązany do dnia 31 grudnia 2025 r. do uzupełnienia danych zawartych odpowiednio w rejestrze lub wykazie o dane, o których mowa odpowiednio w ust. 1 pkt 2 lub ust. 2 pkt 2.</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19.</w:t>
      </w:r>
      <w:r w:rsidRPr="00827E46">
        <w:rPr>
          <w:rFonts w:ascii="Times" w:eastAsia="Times New Roman" w:hAnsi="Times" w:cs="Arial"/>
          <w:sz w:val="24"/>
          <w:szCs w:val="20"/>
          <w:lang w:eastAsia="pl-PL"/>
        </w:rPr>
        <w:t xml:space="preserve"> Ograniczenie, o którym mowa w art. 42a ust. 1a, ustawy zmienianej w art. 1, stosuje się do przypadków udzielenia zezwolenia na pobyt czasowy na podstawie art. 42a ust. 1 tej ustawy w okresie od dnia wejścia w życie niniejszej ustawy.</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20.</w:t>
      </w:r>
      <w:r w:rsidRPr="00827E46">
        <w:rPr>
          <w:rFonts w:ascii="Times" w:eastAsia="Times New Roman" w:hAnsi="Times" w:cs="Arial"/>
          <w:sz w:val="24"/>
          <w:szCs w:val="20"/>
          <w:lang w:eastAsia="pl-PL"/>
        </w:rPr>
        <w:t xml:space="preserve"> W latach 2025 i 2026 środki rezerwy, o której mowa w art. 34 ust. 1 ustawy z dnia 1 października 2024 r. o dochodach jednostek samorządu terytorialnego (Dz. U. poz. 1572 i 1717), mogą być przeznaczone na uzupełnienie dochodów jednostek samorządu terytorialnego, w szczególności dla jednostek samorządu terytorialnego, które realizują zadania oświatowe związane z kształceniem, wychowaniem i opieką nad dziećmi i uczniami będącymi obywatelami Ukrainy, których pobyt na terytorium Rzeczypospolitej Polskiej jest uznawany za legalny na podstawie ustawy zmienianej w art. 1 albo którzy przebywają legalnie na terytorium Rzeczypospolitej Polskiej, w przypadku gdy przybyli na terytorium Rzeczypospolitej Polskiej z terytorium Ukrainy od dnia 24 lutego 2022 r. w związku z działaniami wojennymi prowadzonymi na terytorium tego państwa. Przy podziale środków rezerwy na uzupełnienie dochodów jednostek samorządu terytorialnego mogą być uwzględniane zdarzenia, które wystąpiły w latach poprzednich.</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21.</w:t>
      </w:r>
      <w:r w:rsidRPr="00827E46">
        <w:rPr>
          <w:rFonts w:ascii="Times" w:eastAsia="Times New Roman" w:hAnsi="Times" w:cs="Arial"/>
          <w:sz w:val="24"/>
          <w:szCs w:val="20"/>
          <w:lang w:eastAsia="pl-PL"/>
        </w:rPr>
        <w:t xml:space="preserve"> 1. Do postępowań w sprawie decyzji, o których mowa w art. 7 ust. 1d ustawy zmienianej w art. 5, wszczętych i niezakończonych do dnia wejścia w życie niniejszej ustawy, stosuje się przepisy ustawy zmienianej w art. 5, w brzmieniu nadanym niniejszą ustawą.</w:t>
      </w:r>
    </w:p>
    <w:p w:rsidR="00827E46" w:rsidRPr="00827E46" w:rsidRDefault="00827E46" w:rsidP="00827E46">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 W przypadku osób, które uzyskały zgodę, o której mowa w art. 7 ust. 2a albo 9 lub 10 ustawy zmienianej w art. 5, przed dniem wejścia w życie niniejszej ustawy, bieg terminu, o którym mowa w art. 7 ust. 2da i 12c ustawy zmienianej w art. 5, na złożenie wniosku o przyznanie prawa wykonywania zawodu rozpoczyna się z dniem wejścia w życie niniejszej ustawy. Do postępowań w sprawie przyznania prawa wykonywania zawodu, o którym mowa w art. 7 ust. 2e lub 13 ustawy zmienianej w art. 5, wszczętych i niezakończonych do dnia wejścia w życie niniejszej ustawy, stosuje się przepisy dotychczasowe, z zastrzeżeniem ust. 3.</w:t>
      </w:r>
    </w:p>
    <w:p w:rsidR="00827E46" w:rsidRPr="00827E46" w:rsidRDefault="00827E46" w:rsidP="00827E46">
      <w:pPr>
        <w:suppressAutoHyphens/>
        <w:autoSpaceDE w:val="0"/>
        <w:autoSpaceDN w:val="0"/>
        <w:adjustRightInd w:val="0"/>
        <w:spacing w:after="0" w:line="360" w:lineRule="auto"/>
        <w:ind w:firstLine="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 Przepisy art. 7 ust. 2e, 13 i 21a ustawy zmienianej w art. 5, w brzmieniu nadanym niniejszą ustawą, stosuje się także do rozstrzygnięć podjętych w wyniku postępowań wszczętych i niezakończonych przed dniem wejścia w życie niniejszej ustawy.</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22.</w:t>
      </w:r>
      <w:r w:rsidRPr="00827E46">
        <w:rPr>
          <w:rFonts w:ascii="Times" w:eastAsia="Times New Roman" w:hAnsi="Times" w:cs="Arial"/>
          <w:sz w:val="24"/>
          <w:szCs w:val="20"/>
          <w:lang w:eastAsia="pl-PL"/>
        </w:rPr>
        <w:t xml:space="preserve"> Do postępowań w sprawie uznania za obywatela polskiego wszczętych i niezakończonych przed dniem wejścia w życie niniejszej ustawy stosuje się przepisy ustawy zmienianej w art. 9 w brzmieniu dotychczasowym.</w:t>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b/>
          <w:sz w:val="24"/>
          <w:szCs w:val="20"/>
          <w:lang w:eastAsia="pl-PL"/>
        </w:rPr>
        <w:t>Art. 23.</w:t>
      </w:r>
      <w:r w:rsidRPr="00827E46">
        <w:rPr>
          <w:rFonts w:ascii="Times" w:eastAsia="Times New Roman" w:hAnsi="Times" w:cs="Arial"/>
          <w:sz w:val="24"/>
          <w:szCs w:val="20"/>
          <w:lang w:eastAsia="pl-PL"/>
        </w:rPr>
        <w:t xml:space="preserve"> Ustawa wchodzi w życie z dniem 1 października 2025 r., z wyjątkiem:</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1) art. 1 pkt 3 lit. c, która wchodzi w życie po upływie 4 miesięcy od dnia ogłoszenia;</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2) art. 1 pkt 7 lit. c–j i pkt 16, które wchodzą w życie z dniem 1 listopada 2025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3) art. 1 pkt 11, art. 6 i art. 11, które wchodzą w życie z dniem 1 stycznia 2026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4) art.1 pkt 13 i 14, które wchodzą w życie z dniem 1 grudnia 2025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5) art. 1 pkt 18 i 19, które wchodzą w życie z dniem określonym w komunikacie, o którym mowa w art. 33 ustawy z dnia 15 maja 2024 r. o zmianie ustawy o pomocy obywatelom Ukrainy w związku z konfliktem zbrojnym na terytorium tego państwa oraz niektórych innych ustaw (Dz. U. poz. 854);</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r w:rsidRPr="00827E46">
        <w:rPr>
          <w:rFonts w:ascii="Times" w:eastAsia="Times New Roman" w:hAnsi="Times" w:cs="Arial"/>
          <w:bCs/>
          <w:sz w:val="24"/>
          <w:szCs w:val="20"/>
          <w:lang w:eastAsia="pl-PL"/>
        </w:rPr>
        <w:t>6) art.1pkt 24 i art. 2, które wchodzą w życie z dniem następującym po dniu ogłoszenia z mocą od dnia 1 września 2025 r.</w:t>
      </w:r>
    </w:p>
    <w:p w:rsidR="00827E46" w:rsidRPr="00827E46" w:rsidRDefault="00827E46" w:rsidP="00827E46">
      <w:pPr>
        <w:spacing w:after="0" w:line="360" w:lineRule="auto"/>
        <w:ind w:left="510" w:hanging="510"/>
        <w:jc w:val="both"/>
        <w:rPr>
          <w:rFonts w:ascii="Times" w:eastAsia="Times New Roman" w:hAnsi="Times" w:cs="Arial"/>
          <w:bCs/>
          <w:sz w:val="24"/>
          <w:szCs w:val="20"/>
          <w:lang w:eastAsia="pl-PL"/>
        </w:rPr>
      </w:pP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827E46">
        <w:rPr>
          <w:rFonts w:ascii="Times" w:eastAsia="Times New Roman" w:hAnsi="Times" w:cs="Arial"/>
          <w:sz w:val="24"/>
          <w:szCs w:val="20"/>
          <w:lang w:eastAsia="pl-PL"/>
        </w:rPr>
        <w:tab/>
      </w:r>
    </w:p>
    <w:p w:rsidR="00827E46" w:rsidRPr="00827E46" w:rsidRDefault="00827E46" w:rsidP="00827E46">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p>
    <w:p w:rsidR="00827E46" w:rsidRPr="00827E46" w:rsidRDefault="00827E46" w:rsidP="00827E46">
      <w:pPr>
        <w:suppressAutoHyphens/>
        <w:autoSpaceDE w:val="0"/>
        <w:autoSpaceDN w:val="0"/>
        <w:adjustRightInd w:val="0"/>
        <w:spacing w:before="120" w:after="0" w:line="360" w:lineRule="auto"/>
        <w:jc w:val="both"/>
        <w:rPr>
          <w:rFonts w:ascii="Times" w:eastAsia="Times New Roman" w:hAnsi="Times" w:cs="Arial"/>
          <w:sz w:val="24"/>
          <w:szCs w:val="20"/>
          <w:lang w:eastAsia="pl-PL"/>
        </w:rPr>
      </w:pPr>
    </w:p>
    <w:p w:rsidR="000F7B40" w:rsidRDefault="000F7B40"/>
    <w:sectPr w:rsidR="000F7B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97" w:rsidRDefault="00545897" w:rsidP="00827E46">
      <w:pPr>
        <w:spacing w:after="0" w:line="240" w:lineRule="auto"/>
      </w:pPr>
      <w:r>
        <w:separator/>
      </w:r>
    </w:p>
  </w:endnote>
  <w:endnote w:type="continuationSeparator" w:id="0">
    <w:p w:rsidR="00545897" w:rsidRDefault="00545897" w:rsidP="0082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97" w:rsidRDefault="00545897" w:rsidP="00827E46">
      <w:pPr>
        <w:spacing w:after="0" w:line="240" w:lineRule="auto"/>
      </w:pPr>
      <w:r>
        <w:separator/>
      </w:r>
    </w:p>
  </w:footnote>
  <w:footnote w:type="continuationSeparator" w:id="0">
    <w:p w:rsidR="00545897" w:rsidRDefault="00545897" w:rsidP="00827E46">
      <w:pPr>
        <w:spacing w:after="0" w:line="240" w:lineRule="auto"/>
      </w:pPr>
      <w:r>
        <w:continuationSeparator/>
      </w:r>
    </w:p>
  </w:footnote>
  <w:footnote w:id="1">
    <w:p w:rsidR="00827E46" w:rsidRDefault="00827E46" w:rsidP="00827E46">
      <w:pPr>
        <w:pStyle w:val="ODNONIKtreodnonika"/>
      </w:pPr>
      <w:r>
        <w:rPr>
          <w:rStyle w:val="Odwoanieprzypisudolnego"/>
        </w:rPr>
        <w:footnoteRef/>
      </w:r>
      <w:r>
        <w:rPr>
          <w:rStyle w:val="IGindeksgrny"/>
          <w:specVanish w:val="0"/>
        </w:rPr>
        <w:t>)</w:t>
      </w:r>
      <w:r>
        <w:t xml:space="preserve">  Niniejszą ustawą zmienia się ustawy: ustawę z dnia 26 stycznia 1982 r. - Karta Nauczyciela, ustawę z dnia 26 lipca 1991 r. o podatku dochodowym od osób fizycznych, ustawę z dnia 15 lutego 1992 r. o podatku dochodowym od osób prawnych, ustawę z dnia 5 grudnia 1996 r. o zawodach lekarza i lekarza dentysty, ustawę z dnia 6 czerwca 1997 r. – Kodeks karny, ustawę z dnia 18 grudnia 1998 r. o Instytucie Pamięci Narodowej – Komisji Ścigania Zbrodni przeciwko Narodowi Polskiemu, ustawę z dnia 17 lutego 2005 r. o informatyzacji działalności podmiotów realizujących zadania publiczne, ustawę z dnia 2 kwietnia 2009 r. o obywatelstwie polskim oraz ustawę z dnia 15 lipca 2011 r. o zawodach pielęgniarki i położnej.</w:t>
      </w:r>
    </w:p>
    <w:p w:rsidR="00827E46" w:rsidRDefault="00827E46" w:rsidP="00827E46"/>
    <w:p w:rsidR="00827E46" w:rsidRDefault="00827E46" w:rsidP="00827E46"/>
  </w:footnote>
  <w:footnote w:id="2">
    <w:p w:rsidR="00827E46" w:rsidRDefault="00827E46" w:rsidP="00827E46">
      <w:pPr>
        <w:pStyle w:val="ODNONIKtreodnonika"/>
      </w:pPr>
      <w:r>
        <w:rPr>
          <w:rStyle w:val="Odwoanieprzypisudolnego"/>
        </w:rPr>
        <w:footnoteRef/>
      </w:r>
      <w:r>
        <w:rPr>
          <w:rStyle w:val="IGindeksgrny"/>
          <w:specVanish w:val="0"/>
        </w:rPr>
        <w:t>)</w:t>
      </w:r>
      <w:r>
        <w:t xml:space="preserve"> Zmiany tekstu jednolitego niniejszej ustawy zostały ogłoszone w Dz. U. z 2024 r. poz. 858, 1222, 1593, 1615 i 1915 oraz z 2025 r. poz. 129, 304, 620, 637, 779 i 1083.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46"/>
    <w:rsid w:val="000D2F4E"/>
    <w:rsid w:val="000F7B40"/>
    <w:rsid w:val="001F0316"/>
    <w:rsid w:val="00517A7D"/>
    <w:rsid w:val="00545897"/>
    <w:rsid w:val="00827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88070-AC67-4621-81EE-8AB4495F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NONIKtreodnonika">
    <w:name w:val="ODNOŚNIK – treść odnośnika"/>
    <w:uiPriority w:val="19"/>
    <w:qFormat/>
    <w:rsid w:val="00827E46"/>
    <w:pPr>
      <w:spacing w:after="0" w:line="240" w:lineRule="auto"/>
      <w:ind w:left="284" w:hanging="284"/>
      <w:jc w:val="both"/>
    </w:pPr>
    <w:rPr>
      <w:rFonts w:ascii="Times New Roman" w:eastAsia="Times New Roman" w:hAnsi="Times New Roman" w:cs="Arial"/>
      <w:sz w:val="20"/>
      <w:szCs w:val="20"/>
      <w:lang w:eastAsia="pl-PL"/>
    </w:rPr>
  </w:style>
  <w:style w:type="character" w:styleId="Odwoanieprzypisudolnego">
    <w:name w:val="footnote reference"/>
    <w:uiPriority w:val="99"/>
    <w:semiHidden/>
    <w:unhideWhenUsed/>
    <w:rsid w:val="00827E46"/>
    <w:rPr>
      <w:rFonts w:ascii="Times New Roman" w:hAnsi="Times New Roman" w:cs="Times New Roman" w:hint="default"/>
      <w:vertAlign w:val="superscript"/>
    </w:rPr>
  </w:style>
  <w:style w:type="character" w:customStyle="1" w:styleId="IGindeksgrny">
    <w:name w:val="_IG_ – indeks górny"/>
    <w:basedOn w:val="Domylnaczcionkaakapitu"/>
    <w:uiPriority w:val="2"/>
    <w:qFormat/>
    <w:rsid w:val="00827E46"/>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5527</Words>
  <Characters>33167</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Kancelaria Prezydenta Rzeczypospolitej Polskiej</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Jabłonka-Jankowska</dc:creator>
  <cp:keywords/>
  <dc:description/>
  <cp:lastModifiedBy>Agata Kindler</cp:lastModifiedBy>
  <cp:revision>2</cp:revision>
  <dcterms:created xsi:type="dcterms:W3CDTF">2025-08-25T14:44:00Z</dcterms:created>
  <dcterms:modified xsi:type="dcterms:W3CDTF">2025-08-25T14:44:00Z</dcterms:modified>
</cp:coreProperties>
</file>