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9B80B" w14:textId="77777777" w:rsidR="00A5040C" w:rsidRPr="002077A0" w:rsidRDefault="00A5040C" w:rsidP="00A5040C">
      <w:pPr>
        <w:pStyle w:val="OZNPROJEKTUwskazaniedatylubwersjiprojektu"/>
        <w:rPr>
          <w:b/>
          <w:bCs/>
          <w:i/>
          <w:iCs/>
          <w:u w:val="none"/>
        </w:rPr>
      </w:pPr>
      <w:r w:rsidRPr="002077A0">
        <w:rPr>
          <w:b/>
          <w:bCs/>
          <w:i/>
          <w:iCs/>
          <w:u w:val="none"/>
        </w:rPr>
        <w:t>Projekt</w:t>
      </w:r>
    </w:p>
    <w:p w14:paraId="78D64F5D" w14:textId="77777777" w:rsidR="00A5040C" w:rsidRDefault="00A5040C" w:rsidP="00A5040C">
      <w:pPr>
        <w:spacing w:after="160" w:line="360" w:lineRule="auto"/>
        <w:jc w:val="center"/>
        <w:rPr>
          <w:rFonts w:ascii="Times New Roman" w:hAnsi="Times New Roman"/>
          <w:b/>
          <w:bCs/>
          <w:color w:val="000000"/>
          <w:sz w:val="24"/>
          <w:szCs w:val="24"/>
        </w:rPr>
      </w:pPr>
    </w:p>
    <w:p w14:paraId="50AFAD07" w14:textId="77777777" w:rsidR="00A5040C" w:rsidRDefault="00A5040C" w:rsidP="00A5040C">
      <w:pPr>
        <w:spacing w:after="160" w:line="360" w:lineRule="auto"/>
        <w:jc w:val="center"/>
        <w:rPr>
          <w:rFonts w:ascii="Times New Roman" w:hAnsi="Times New Roman"/>
          <w:b/>
          <w:bCs/>
          <w:color w:val="000000"/>
          <w:sz w:val="24"/>
          <w:szCs w:val="24"/>
        </w:rPr>
      </w:pPr>
      <w:r w:rsidRPr="001568AB">
        <w:rPr>
          <w:rFonts w:ascii="Times New Roman" w:hAnsi="Times New Roman"/>
          <w:b/>
          <w:bCs/>
          <w:color w:val="000000"/>
          <w:sz w:val="24"/>
          <w:szCs w:val="24"/>
        </w:rPr>
        <w:t>USTAWA</w:t>
      </w:r>
    </w:p>
    <w:p w14:paraId="7E8DC453" w14:textId="77777777" w:rsidR="00A5040C" w:rsidRPr="0050408E" w:rsidRDefault="00A5040C" w:rsidP="00A5040C">
      <w:pPr>
        <w:spacing w:after="160" w:line="360" w:lineRule="auto"/>
        <w:jc w:val="center"/>
        <w:rPr>
          <w:rFonts w:ascii="Times New Roman" w:hAnsi="Times New Roman"/>
          <w:b/>
          <w:bCs/>
          <w:color w:val="000000"/>
          <w:sz w:val="24"/>
          <w:szCs w:val="24"/>
        </w:rPr>
      </w:pPr>
      <w:r w:rsidRPr="0050408E">
        <w:rPr>
          <w:rFonts w:ascii="Times New Roman" w:hAnsi="Times New Roman"/>
          <w:b/>
          <w:bCs/>
          <w:color w:val="000000"/>
          <w:sz w:val="24"/>
          <w:szCs w:val="24"/>
        </w:rPr>
        <w:t>z dnia ………2025</w:t>
      </w:r>
      <w:r>
        <w:rPr>
          <w:rFonts w:ascii="Times New Roman" w:hAnsi="Times New Roman"/>
          <w:b/>
          <w:bCs/>
          <w:color w:val="000000"/>
          <w:sz w:val="24"/>
          <w:szCs w:val="24"/>
        </w:rPr>
        <w:t xml:space="preserve"> </w:t>
      </w:r>
      <w:r w:rsidRPr="0050408E">
        <w:rPr>
          <w:rFonts w:ascii="Times New Roman" w:hAnsi="Times New Roman"/>
          <w:b/>
          <w:bCs/>
          <w:color w:val="000000"/>
          <w:sz w:val="24"/>
          <w:szCs w:val="24"/>
        </w:rPr>
        <w:t>r.</w:t>
      </w:r>
    </w:p>
    <w:p w14:paraId="1FB19BBD" w14:textId="77777777" w:rsidR="00A5040C" w:rsidRPr="006F71FF" w:rsidRDefault="00A5040C" w:rsidP="00A5040C">
      <w:pPr>
        <w:spacing w:after="160" w:line="360" w:lineRule="auto"/>
        <w:jc w:val="center"/>
        <w:rPr>
          <w:rFonts w:ascii="Times New Roman" w:hAnsi="Times New Roman"/>
          <w:b/>
          <w:bCs/>
          <w:color w:val="000000"/>
          <w:sz w:val="24"/>
          <w:szCs w:val="24"/>
        </w:rPr>
      </w:pPr>
      <w:r w:rsidRPr="001568AB">
        <w:rPr>
          <w:rFonts w:ascii="Times New Roman" w:hAnsi="Times New Roman"/>
          <w:b/>
          <w:bCs/>
          <w:color w:val="000000"/>
          <w:sz w:val="24"/>
          <w:szCs w:val="24"/>
        </w:rPr>
        <w:t xml:space="preserve">o zmianie </w:t>
      </w:r>
      <w:r w:rsidRPr="006F71FF">
        <w:rPr>
          <w:rFonts w:ascii="Times New Roman" w:hAnsi="Times New Roman"/>
          <w:b/>
          <w:bCs/>
          <w:color w:val="000000"/>
          <w:sz w:val="24"/>
          <w:szCs w:val="24"/>
        </w:rPr>
        <w:t xml:space="preserve">ustawy o gospodarowaniu nieruchomościami rolnymi Skarbu Państwa </w:t>
      </w:r>
    </w:p>
    <w:p w14:paraId="7BB07799" w14:textId="77777777" w:rsidR="00A5040C" w:rsidRPr="001568AB" w:rsidRDefault="00A5040C" w:rsidP="00A5040C">
      <w:pPr>
        <w:spacing w:after="160" w:line="360" w:lineRule="auto"/>
        <w:jc w:val="center"/>
        <w:rPr>
          <w:rFonts w:ascii="Times New Roman" w:hAnsi="Times New Roman"/>
          <w:b/>
          <w:bCs/>
          <w:color w:val="000000"/>
          <w:sz w:val="24"/>
          <w:szCs w:val="24"/>
        </w:rPr>
      </w:pPr>
    </w:p>
    <w:p w14:paraId="3BE935E6" w14:textId="77777777" w:rsidR="00A5040C" w:rsidRDefault="00A5040C" w:rsidP="00A5040C">
      <w:pPr>
        <w:pStyle w:val="ARTartustawynprozporzdzenia"/>
      </w:pPr>
      <w:r w:rsidRPr="001568AB">
        <w:rPr>
          <w:rFonts w:ascii="Times New Roman" w:eastAsia="Century Gothic" w:hAnsi="Times New Roman"/>
          <w:b/>
          <w:color w:val="000000"/>
          <w:szCs w:val="24"/>
        </w:rPr>
        <w:t>Art. 1.</w:t>
      </w:r>
      <w:r w:rsidRPr="001568AB">
        <w:rPr>
          <w:rFonts w:ascii="Times New Roman" w:eastAsia="Century Gothic" w:hAnsi="Times New Roman"/>
          <w:color w:val="000000"/>
          <w:szCs w:val="24"/>
        </w:rPr>
        <w:t> </w:t>
      </w:r>
      <w:r w:rsidRPr="0038295A">
        <w:t xml:space="preserve">W ustawie z dnia 19 października 1991 r. o gospodarowaniu nieruchomościami rolnymi Skarbu Państwa </w:t>
      </w:r>
      <w:r w:rsidRPr="00C95405">
        <w:t>(</w:t>
      </w:r>
      <w:r w:rsidRPr="00C95405">
        <w:rPr>
          <w:rFonts w:ascii="Times New Roman" w:hAnsi="Times New Roman"/>
          <w:color w:val="000000"/>
          <w:szCs w:val="24"/>
        </w:rPr>
        <w:t>Dz. U. z 2024 r. poz. 589 ze zm.</w:t>
      </w:r>
      <w:r w:rsidRPr="00C95405">
        <w:t xml:space="preserve">) </w:t>
      </w:r>
      <w:r w:rsidRPr="0038295A">
        <w:t>wprowadza się następujące zmiany:</w:t>
      </w:r>
    </w:p>
    <w:p w14:paraId="7CC58235" w14:textId="77777777" w:rsidR="00A5040C" w:rsidRDefault="00A5040C" w:rsidP="00A5040C">
      <w:pPr>
        <w:pStyle w:val="PKTpunkt"/>
      </w:pPr>
      <w:r>
        <w:t>1)</w:t>
      </w:r>
      <w:r>
        <w:tab/>
      </w:r>
      <w:r w:rsidRPr="0038295A">
        <w:t xml:space="preserve">art. 23c </w:t>
      </w:r>
      <w:r>
        <w:t xml:space="preserve">otrzymuje </w:t>
      </w:r>
      <w:r w:rsidRPr="00F82776">
        <w:t>brzmieni</w:t>
      </w:r>
      <w:r>
        <w:t>e</w:t>
      </w:r>
      <w:r w:rsidRPr="00F82776">
        <w:t>:</w:t>
      </w:r>
    </w:p>
    <w:p w14:paraId="40211A4C" w14:textId="77777777" w:rsidR="00A5040C" w:rsidRPr="006F71FF" w:rsidRDefault="00A5040C" w:rsidP="00A5040C">
      <w:pPr>
        <w:pStyle w:val="ZARTzmartartykuempunktem"/>
      </w:pPr>
      <w:r w:rsidRPr="0038295A">
        <w:t>„</w:t>
      </w:r>
      <w:r w:rsidRPr="006F71FF">
        <w:t xml:space="preserve">W roku 2022 kwoty 500 mln zł z nadwyżki środków finansowych Zasobu, ustalonej na dzień 31 grudnia 2021 r., pozostającej po uregulowaniu zobowiązań Zasobu przez Krajowy Ośrodek, nie wpłaca się do budżetu państwa i przeznacza </w:t>
      </w:r>
      <w:r w:rsidRPr="00C95405">
        <w:rPr>
          <w:i/>
          <w:iCs/>
        </w:rPr>
        <w:t>do w</w:t>
      </w:r>
      <w:r>
        <w:rPr>
          <w:i/>
          <w:iCs/>
        </w:rPr>
        <w:t>ydatkowania</w:t>
      </w:r>
      <w:r w:rsidRPr="00C95405">
        <w:rPr>
          <w:i/>
          <w:iCs/>
        </w:rPr>
        <w:t xml:space="preserve"> </w:t>
      </w:r>
      <w:r>
        <w:rPr>
          <w:i/>
          <w:iCs/>
        </w:rPr>
        <w:br/>
        <w:t xml:space="preserve">w terminie </w:t>
      </w:r>
      <w:r w:rsidRPr="00C95405">
        <w:rPr>
          <w:i/>
          <w:iCs/>
        </w:rPr>
        <w:t xml:space="preserve">do </w:t>
      </w:r>
      <w:r w:rsidRPr="00DA4BD9">
        <w:rPr>
          <w:i/>
          <w:iCs/>
        </w:rPr>
        <w:t xml:space="preserve">31 grudnia </w:t>
      </w:r>
      <w:r w:rsidRPr="00C95405">
        <w:rPr>
          <w:i/>
          <w:iCs/>
        </w:rPr>
        <w:t>2027 r.</w:t>
      </w:r>
      <w:r>
        <w:t xml:space="preserve"> </w:t>
      </w:r>
      <w:r w:rsidRPr="006F71FF">
        <w:t>na zadania wynikające z:</w:t>
      </w:r>
    </w:p>
    <w:p w14:paraId="50FAB6F1" w14:textId="77777777" w:rsidR="00A5040C" w:rsidRPr="006F71FF" w:rsidRDefault="00A5040C" w:rsidP="00A5040C">
      <w:pPr>
        <w:pStyle w:val="ZARTzmartartykuempunktem"/>
      </w:pPr>
      <w:r w:rsidRPr="006F71FF">
        <w:t>1)</w:t>
      </w:r>
      <w:r>
        <w:t xml:space="preserve"> </w:t>
      </w:r>
      <w:r w:rsidRPr="006F71FF">
        <w:t>art. 24 ust. 10 w zakresie udzielania pożyczek na zakup środków do produkcji rolnej, w tym nawozów i środków ochrony roślin, lub na skup, przechowywanie lub przetwarzanie produktów rolnych;</w:t>
      </w:r>
    </w:p>
    <w:p w14:paraId="3D491384" w14:textId="77777777" w:rsidR="00A5040C" w:rsidRPr="006F71FF" w:rsidRDefault="00A5040C" w:rsidP="00A5040C">
      <w:pPr>
        <w:pStyle w:val="ZARTzmartartykuempunktem"/>
      </w:pPr>
      <w:r w:rsidRPr="006F71FF">
        <w:t>2)</w:t>
      </w:r>
      <w:r>
        <w:t xml:space="preserve"> </w:t>
      </w:r>
      <w:r w:rsidRPr="006F71FF">
        <w:t>art. 32a ust. 1 w zakresie obejmowania lub nabywania akcji lub udziałów w spółkach handlowych oraz nabywania nieruchomości lub ich części oraz przedsiębiorstw lub zorganizowanych części przedsiębiorstw w rozumieniu Kodeksu cywilnego, na własność Skarbu Państwa;</w:t>
      </w:r>
    </w:p>
    <w:p w14:paraId="377E923C" w14:textId="77777777" w:rsidR="00A5040C" w:rsidRPr="006F71FF" w:rsidRDefault="00A5040C" w:rsidP="00A5040C">
      <w:pPr>
        <w:pStyle w:val="ZARTzmartartykuempunktem"/>
      </w:pPr>
      <w:r w:rsidRPr="006F71FF">
        <w:t>3)</w:t>
      </w:r>
      <w:r>
        <w:t xml:space="preserve"> </w:t>
      </w:r>
      <w:r w:rsidRPr="006F71FF">
        <w:t>art. 4b ust. 1 i 2 ustawy z dnia 11 kwietnia 2003 r. o kształtowaniu ustroju rolnego w zakresie nabywania na własność Skarbu Państwa nieruchomości rolnych w celu poprawy struktury obszarowej gospodarstw rolnych, a także obejmowania i nabywania na własność Skarbu Państwa akcji i udziałów w spółkach handlowych, jeżeli wymaga tego realizacja zadań wynikających z polityki państwa w zakresie wdrażania i stosowania instrumentów wsparcia rolnictwa, aktywnej polityki rolnej oraz rozwoju obszarów wiejskich.</w:t>
      </w:r>
      <w:r>
        <w:t>”</w:t>
      </w:r>
    </w:p>
    <w:p w14:paraId="0DBCD520" w14:textId="77777777" w:rsidR="00A5040C" w:rsidRPr="001568AB" w:rsidRDefault="00A5040C" w:rsidP="00A5040C">
      <w:pPr>
        <w:spacing w:before="120" w:after="0" w:line="360" w:lineRule="auto"/>
        <w:rPr>
          <w:rFonts w:ascii="Times New Roman" w:hAnsi="Times New Roman"/>
          <w:sz w:val="24"/>
          <w:szCs w:val="24"/>
        </w:rPr>
      </w:pPr>
      <w:r w:rsidRPr="001568AB">
        <w:rPr>
          <w:rFonts w:ascii="Times New Roman" w:hAnsi="Times New Roman"/>
          <w:b/>
          <w:bCs/>
          <w:sz w:val="24"/>
          <w:szCs w:val="24"/>
        </w:rPr>
        <w:t>Art. 2.</w:t>
      </w:r>
      <w:r w:rsidRPr="001568AB">
        <w:rPr>
          <w:rFonts w:ascii="Times New Roman" w:hAnsi="Times New Roman"/>
          <w:sz w:val="24"/>
          <w:szCs w:val="24"/>
        </w:rPr>
        <w:t xml:space="preserve"> </w:t>
      </w:r>
      <w:r w:rsidRPr="00C95405">
        <w:rPr>
          <w:rFonts w:ascii="Times" w:eastAsiaTheme="minorEastAsia" w:hAnsi="Times" w:cs="Arial"/>
          <w:color w:val="auto"/>
          <w:sz w:val="24"/>
        </w:rPr>
        <w:t>Ustawa wchodzi w życie</w:t>
      </w:r>
      <w:r w:rsidRPr="00DA4BD9">
        <w:rPr>
          <w:rFonts w:ascii="Times New Roman" w:eastAsia="Century Gothic" w:hAnsi="Times New Roman"/>
          <w:color w:val="000000"/>
          <w:sz w:val="24"/>
          <w:szCs w:val="24"/>
        </w:rPr>
        <w:t xml:space="preserve"> </w:t>
      </w:r>
      <w:r w:rsidRPr="001568AB">
        <w:rPr>
          <w:rFonts w:ascii="Times New Roman" w:eastAsia="Century Gothic" w:hAnsi="Times New Roman"/>
          <w:color w:val="000000"/>
          <w:sz w:val="24"/>
          <w:szCs w:val="24"/>
        </w:rPr>
        <w:t>po upływie 14 dni od dnia ogłoszenia</w:t>
      </w:r>
      <w:r w:rsidRPr="00C95405">
        <w:rPr>
          <w:rFonts w:ascii="Times" w:eastAsiaTheme="minorEastAsia" w:hAnsi="Times" w:cs="Arial"/>
          <w:color w:val="auto"/>
          <w:sz w:val="24"/>
        </w:rPr>
        <w:t xml:space="preserve">. </w:t>
      </w:r>
    </w:p>
    <w:p w14:paraId="2048F17D" w14:textId="77777777" w:rsidR="00A5040C" w:rsidRPr="001568AB" w:rsidRDefault="00A5040C" w:rsidP="00A5040C">
      <w:pPr>
        <w:spacing w:after="160" w:line="259" w:lineRule="auto"/>
        <w:jc w:val="left"/>
        <w:rPr>
          <w:rFonts w:ascii="Times New Roman" w:eastAsia="Century Gothic" w:hAnsi="Times New Roman"/>
          <w:b/>
          <w:color w:val="000000"/>
          <w:sz w:val="24"/>
          <w:szCs w:val="24"/>
        </w:rPr>
      </w:pPr>
      <w:r>
        <w:rPr>
          <w:rFonts w:ascii="Times New Roman" w:eastAsia="Century Gothic" w:hAnsi="Times New Roman"/>
          <w:b/>
          <w:color w:val="000000"/>
          <w:sz w:val="24"/>
          <w:szCs w:val="24"/>
        </w:rPr>
        <w:br w:type="page"/>
      </w:r>
    </w:p>
    <w:p w14:paraId="2964F91E" w14:textId="77777777" w:rsidR="00A5040C" w:rsidRPr="00343517" w:rsidRDefault="00A5040C" w:rsidP="00A5040C">
      <w:pPr>
        <w:pBdr>
          <w:top w:val="nil"/>
          <w:left w:val="nil"/>
          <w:bottom w:val="nil"/>
          <w:right w:val="nil"/>
          <w:between w:val="nil"/>
        </w:pBdr>
        <w:spacing w:before="120" w:line="360" w:lineRule="auto"/>
        <w:jc w:val="center"/>
        <w:rPr>
          <w:rFonts w:ascii="Times New Roman" w:hAnsi="Times New Roman"/>
          <w:b/>
          <w:bCs/>
          <w:color w:val="000000"/>
          <w:sz w:val="24"/>
          <w:szCs w:val="24"/>
        </w:rPr>
      </w:pPr>
      <w:r w:rsidRPr="00343517">
        <w:rPr>
          <w:rFonts w:ascii="Times New Roman" w:hAnsi="Times New Roman"/>
          <w:b/>
          <w:bCs/>
          <w:color w:val="000000"/>
          <w:sz w:val="24"/>
          <w:szCs w:val="24"/>
        </w:rPr>
        <w:lastRenderedPageBreak/>
        <w:t>UZASADNIENIE</w:t>
      </w:r>
    </w:p>
    <w:p w14:paraId="21B5A9ED" w14:textId="77777777" w:rsidR="00A5040C" w:rsidRPr="003F5F38" w:rsidRDefault="00A5040C" w:rsidP="00A5040C">
      <w:pPr>
        <w:tabs>
          <w:tab w:val="left" w:pos="708"/>
        </w:tabs>
        <w:spacing w:line="360" w:lineRule="auto"/>
        <w:rPr>
          <w:rFonts w:ascii="Times New Roman" w:hAnsi="Times New Roman"/>
          <w:color w:val="000000"/>
          <w:sz w:val="24"/>
          <w:szCs w:val="24"/>
        </w:rPr>
      </w:pPr>
      <w:r w:rsidRPr="003F5F38">
        <w:rPr>
          <w:rFonts w:ascii="Times New Roman" w:hAnsi="Times New Roman"/>
          <w:color w:val="000000"/>
          <w:sz w:val="24"/>
          <w:szCs w:val="24"/>
        </w:rPr>
        <w:t>Przepis art. 23c ustawy z dnia 19 października 1991 r. o gospodarowaniu nieruchomościami rolnymi Skarbu Państwa został dodany ustawą o</w:t>
      </w:r>
      <w:r>
        <w:rPr>
          <w:rFonts w:ascii="Times New Roman" w:hAnsi="Times New Roman"/>
          <w:color w:val="000000"/>
          <w:sz w:val="24"/>
          <w:szCs w:val="24"/>
        </w:rPr>
        <w:t xml:space="preserve"> </w:t>
      </w:r>
      <w:r w:rsidRPr="003F5F38">
        <w:rPr>
          <w:rFonts w:ascii="Times New Roman" w:hAnsi="Times New Roman"/>
          <w:color w:val="000000"/>
          <w:sz w:val="24"/>
          <w:szCs w:val="24"/>
        </w:rPr>
        <w:t>zmianie ustawy z</w:t>
      </w:r>
      <w:r>
        <w:rPr>
          <w:rFonts w:ascii="Times New Roman" w:hAnsi="Times New Roman"/>
          <w:color w:val="000000"/>
          <w:sz w:val="24"/>
          <w:szCs w:val="24"/>
        </w:rPr>
        <w:t xml:space="preserve"> </w:t>
      </w:r>
      <w:r w:rsidRPr="003F5F38">
        <w:rPr>
          <w:rFonts w:ascii="Times New Roman" w:hAnsi="Times New Roman"/>
          <w:color w:val="000000"/>
          <w:sz w:val="24"/>
          <w:szCs w:val="24"/>
        </w:rPr>
        <w:t>26.5.2022 r. o</w:t>
      </w:r>
      <w:r>
        <w:rPr>
          <w:rFonts w:ascii="Times New Roman" w:hAnsi="Times New Roman"/>
          <w:color w:val="000000"/>
          <w:sz w:val="24"/>
          <w:szCs w:val="24"/>
        </w:rPr>
        <w:t xml:space="preserve"> </w:t>
      </w:r>
      <w:r w:rsidRPr="003F5F38">
        <w:rPr>
          <w:rFonts w:ascii="Times New Roman" w:hAnsi="Times New Roman"/>
          <w:color w:val="000000"/>
          <w:sz w:val="24"/>
          <w:szCs w:val="24"/>
        </w:rPr>
        <w:t>krajowym systemie ewidencji producentów, ewidencji gospodarstw rolnych oraz ewidencji wniosków o</w:t>
      </w:r>
      <w:r>
        <w:rPr>
          <w:rFonts w:ascii="Times New Roman" w:hAnsi="Times New Roman"/>
          <w:color w:val="000000"/>
          <w:sz w:val="24"/>
          <w:szCs w:val="24"/>
        </w:rPr>
        <w:t xml:space="preserve"> </w:t>
      </w:r>
      <w:r w:rsidRPr="003F5F38">
        <w:rPr>
          <w:rFonts w:ascii="Times New Roman" w:hAnsi="Times New Roman"/>
          <w:color w:val="000000"/>
          <w:sz w:val="24"/>
          <w:szCs w:val="24"/>
        </w:rPr>
        <w:t>przyznanie płatności oraz niektórych innych ustaw (Dz.U. z</w:t>
      </w:r>
      <w:r>
        <w:rPr>
          <w:rFonts w:ascii="Times New Roman" w:hAnsi="Times New Roman"/>
          <w:color w:val="000000"/>
          <w:sz w:val="24"/>
          <w:szCs w:val="24"/>
        </w:rPr>
        <w:t xml:space="preserve"> </w:t>
      </w:r>
      <w:r w:rsidRPr="003F5F38">
        <w:rPr>
          <w:rFonts w:ascii="Times New Roman" w:hAnsi="Times New Roman"/>
          <w:color w:val="000000"/>
          <w:sz w:val="24"/>
          <w:szCs w:val="24"/>
        </w:rPr>
        <w:t xml:space="preserve">2022 r. poz. 1270). </w:t>
      </w:r>
      <w:r>
        <w:rPr>
          <w:rFonts w:ascii="Times New Roman" w:hAnsi="Times New Roman"/>
          <w:color w:val="000000"/>
          <w:sz w:val="24"/>
          <w:szCs w:val="24"/>
        </w:rPr>
        <w:t xml:space="preserve">Przepis wszedł w życie </w:t>
      </w:r>
      <w:r w:rsidRPr="003F5F38">
        <w:rPr>
          <w:rFonts w:ascii="Times New Roman" w:hAnsi="Times New Roman"/>
          <w:color w:val="000000"/>
          <w:sz w:val="24"/>
          <w:szCs w:val="24"/>
        </w:rPr>
        <w:t>z</w:t>
      </w:r>
      <w:r>
        <w:rPr>
          <w:rFonts w:ascii="Times New Roman" w:hAnsi="Times New Roman"/>
          <w:color w:val="000000"/>
          <w:sz w:val="24"/>
          <w:szCs w:val="24"/>
        </w:rPr>
        <w:t xml:space="preserve"> </w:t>
      </w:r>
      <w:r w:rsidRPr="003F5F38">
        <w:rPr>
          <w:rFonts w:ascii="Times New Roman" w:hAnsi="Times New Roman"/>
          <w:color w:val="000000"/>
          <w:sz w:val="24"/>
          <w:szCs w:val="24"/>
        </w:rPr>
        <w:t>dniem następującym po dniu ogłoszenia (18</w:t>
      </w:r>
      <w:r>
        <w:rPr>
          <w:rFonts w:ascii="Times New Roman" w:hAnsi="Times New Roman"/>
          <w:color w:val="000000"/>
          <w:sz w:val="24"/>
          <w:szCs w:val="24"/>
        </w:rPr>
        <w:t xml:space="preserve"> czerwca </w:t>
      </w:r>
      <w:r w:rsidRPr="003F5F38">
        <w:rPr>
          <w:rFonts w:ascii="Times New Roman" w:hAnsi="Times New Roman"/>
          <w:color w:val="000000"/>
          <w:sz w:val="24"/>
          <w:szCs w:val="24"/>
        </w:rPr>
        <w:t>2022 r.)</w:t>
      </w:r>
      <w:r>
        <w:rPr>
          <w:rFonts w:ascii="Times New Roman" w:hAnsi="Times New Roman"/>
          <w:color w:val="000000"/>
          <w:sz w:val="24"/>
          <w:szCs w:val="24"/>
        </w:rPr>
        <w:t xml:space="preserve">. </w:t>
      </w:r>
      <w:r w:rsidRPr="003F5F38">
        <w:rPr>
          <w:rFonts w:ascii="Times New Roman" w:hAnsi="Times New Roman"/>
          <w:color w:val="000000"/>
          <w:sz w:val="24"/>
          <w:szCs w:val="24"/>
        </w:rPr>
        <w:t>Wspomnianą ustawą wymienioną w</w:t>
      </w:r>
      <w:r>
        <w:rPr>
          <w:rFonts w:ascii="Times New Roman" w:hAnsi="Times New Roman"/>
          <w:color w:val="000000"/>
          <w:sz w:val="24"/>
          <w:szCs w:val="24"/>
        </w:rPr>
        <w:t xml:space="preserve"> </w:t>
      </w:r>
      <w:r w:rsidRPr="003F5F38">
        <w:rPr>
          <w:rFonts w:ascii="Times New Roman" w:hAnsi="Times New Roman"/>
          <w:color w:val="000000"/>
          <w:sz w:val="24"/>
          <w:szCs w:val="24"/>
        </w:rPr>
        <w:t>przepisie kwotę nadwyżki środków finansowych Zasobu</w:t>
      </w:r>
      <w:r>
        <w:rPr>
          <w:rFonts w:ascii="Times New Roman" w:hAnsi="Times New Roman"/>
          <w:color w:val="000000"/>
          <w:sz w:val="24"/>
          <w:szCs w:val="24"/>
        </w:rPr>
        <w:t xml:space="preserve"> </w:t>
      </w:r>
      <w:r w:rsidRPr="00C92382">
        <w:rPr>
          <w:rFonts w:ascii="Times New Roman" w:hAnsi="Times New Roman"/>
          <w:color w:val="000000"/>
          <w:sz w:val="24"/>
          <w:szCs w:val="24"/>
        </w:rPr>
        <w:t>ustaloną na dzień 31 grudnia 2021 r.</w:t>
      </w:r>
      <w:r w:rsidRPr="003F5F38">
        <w:rPr>
          <w:rFonts w:ascii="Times New Roman" w:hAnsi="Times New Roman"/>
          <w:color w:val="000000"/>
          <w:sz w:val="24"/>
          <w:szCs w:val="24"/>
        </w:rPr>
        <w:t>, postanowiono przeznaczyć na zadania uregulowane w</w:t>
      </w:r>
      <w:r>
        <w:rPr>
          <w:rFonts w:ascii="Times New Roman" w:hAnsi="Times New Roman"/>
          <w:color w:val="000000"/>
          <w:sz w:val="24"/>
          <w:szCs w:val="24"/>
        </w:rPr>
        <w:t xml:space="preserve"> </w:t>
      </w:r>
      <w:r w:rsidRPr="003F5F38">
        <w:rPr>
          <w:rFonts w:ascii="Times New Roman" w:hAnsi="Times New Roman"/>
          <w:color w:val="000000"/>
          <w:sz w:val="24"/>
          <w:szCs w:val="24"/>
        </w:rPr>
        <w:t>art. 24 ust. 10 ustawy z dnia 19 października 1991 r. o gospodarowaniu nieruchomościami rolnymi Skarbu Państwa, które obejmują rozwój obszarów wiejskich, działania z</w:t>
      </w:r>
      <w:r>
        <w:rPr>
          <w:rFonts w:ascii="Times New Roman" w:hAnsi="Times New Roman"/>
          <w:color w:val="000000"/>
          <w:sz w:val="24"/>
          <w:szCs w:val="24"/>
        </w:rPr>
        <w:t xml:space="preserve"> </w:t>
      </w:r>
      <w:r w:rsidRPr="003F5F38">
        <w:rPr>
          <w:rFonts w:ascii="Times New Roman" w:hAnsi="Times New Roman"/>
          <w:color w:val="000000"/>
          <w:sz w:val="24"/>
          <w:szCs w:val="24"/>
        </w:rPr>
        <w:t>racjonalnym zagospodarowaniem zasobu, ochronę zabytków Zasobu, czy rozwój podmiotów gospodarujących mieniem zasobu. Osobną grupę wydatków stanowi obejmowanie lub nabywanie akcji lub udziałów w</w:t>
      </w:r>
      <w:r>
        <w:rPr>
          <w:rFonts w:ascii="Times New Roman" w:hAnsi="Times New Roman"/>
          <w:color w:val="000000"/>
          <w:sz w:val="24"/>
          <w:szCs w:val="24"/>
        </w:rPr>
        <w:t xml:space="preserve"> </w:t>
      </w:r>
      <w:r w:rsidRPr="003F5F38">
        <w:rPr>
          <w:rFonts w:ascii="Times New Roman" w:hAnsi="Times New Roman"/>
          <w:color w:val="000000"/>
          <w:sz w:val="24"/>
          <w:szCs w:val="24"/>
        </w:rPr>
        <w:t>spółkach prawa handlowego, czy nieruchomości albo przedsiębiorstw, czy realizacja celów Ust</w:t>
      </w:r>
      <w:r>
        <w:rPr>
          <w:rFonts w:ascii="Times New Roman" w:hAnsi="Times New Roman"/>
          <w:color w:val="000000"/>
          <w:sz w:val="24"/>
          <w:szCs w:val="24"/>
        </w:rPr>
        <w:t>awy o kształtowaniu ustroju rolnego</w:t>
      </w:r>
      <w:r w:rsidRPr="003F5F38">
        <w:rPr>
          <w:rFonts w:ascii="Times New Roman" w:hAnsi="Times New Roman"/>
          <w:color w:val="000000"/>
          <w:sz w:val="24"/>
          <w:szCs w:val="24"/>
        </w:rPr>
        <w:t xml:space="preserve">, takich jak poprawa struktury obszarowej gospodarstw rolnych. </w:t>
      </w:r>
      <w:r>
        <w:rPr>
          <w:rFonts w:ascii="Times New Roman" w:hAnsi="Times New Roman"/>
          <w:color w:val="000000"/>
          <w:sz w:val="24"/>
          <w:szCs w:val="24"/>
        </w:rPr>
        <w:t xml:space="preserve">Dodając do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przepis art. 23c</w:t>
      </w:r>
      <w:r w:rsidRPr="003F5F38">
        <w:rPr>
          <w:rFonts w:ascii="Times New Roman" w:hAnsi="Times New Roman"/>
          <w:color w:val="000000"/>
          <w:sz w:val="24"/>
          <w:szCs w:val="24"/>
        </w:rPr>
        <w:t>., dokonano ustawowej zmiany przeznaczenia nadwyżki, modyfikując tym samym zasady w</w:t>
      </w:r>
      <w:r>
        <w:rPr>
          <w:rFonts w:ascii="Times New Roman" w:hAnsi="Times New Roman"/>
          <w:color w:val="000000"/>
          <w:sz w:val="24"/>
          <w:szCs w:val="24"/>
        </w:rPr>
        <w:t xml:space="preserve"> </w:t>
      </w:r>
      <w:r w:rsidRPr="003F5F38">
        <w:rPr>
          <w:rFonts w:ascii="Times New Roman" w:hAnsi="Times New Roman"/>
          <w:color w:val="000000"/>
          <w:sz w:val="24"/>
          <w:szCs w:val="24"/>
        </w:rPr>
        <w:t>odniesieniu do kwot uregulowane w</w:t>
      </w:r>
      <w:r>
        <w:rPr>
          <w:rFonts w:ascii="Times New Roman" w:hAnsi="Times New Roman"/>
          <w:color w:val="000000"/>
          <w:sz w:val="24"/>
          <w:szCs w:val="24"/>
        </w:rPr>
        <w:t xml:space="preserve"> </w:t>
      </w:r>
      <w:r w:rsidRPr="003F5F38">
        <w:rPr>
          <w:rFonts w:ascii="Times New Roman" w:hAnsi="Times New Roman"/>
          <w:color w:val="000000"/>
          <w:sz w:val="24"/>
          <w:szCs w:val="24"/>
        </w:rPr>
        <w:t xml:space="preserve">przepisach art. 22 </w:t>
      </w:r>
      <w:r>
        <w:rPr>
          <w:rFonts w:ascii="Times New Roman" w:hAnsi="Times New Roman"/>
          <w:color w:val="000000"/>
          <w:sz w:val="24"/>
          <w:szCs w:val="24"/>
        </w:rPr>
        <w:t xml:space="preserve">Ustawy </w:t>
      </w:r>
      <w:r w:rsidRPr="00CC4412">
        <w:rPr>
          <w:rFonts w:ascii="Times New Roman" w:hAnsi="Times New Roman"/>
          <w:color w:val="000000"/>
          <w:sz w:val="24"/>
          <w:szCs w:val="24"/>
        </w:rPr>
        <w:t xml:space="preserve">o finansach publicznych. </w:t>
      </w:r>
      <w:r w:rsidRPr="003F5F38">
        <w:rPr>
          <w:rFonts w:ascii="Times New Roman" w:hAnsi="Times New Roman"/>
          <w:color w:val="000000"/>
          <w:sz w:val="24"/>
          <w:szCs w:val="24"/>
        </w:rPr>
        <w:t>Nadwyżka, zgodnie z</w:t>
      </w:r>
      <w:r>
        <w:rPr>
          <w:rFonts w:ascii="Times New Roman" w:hAnsi="Times New Roman"/>
          <w:color w:val="000000"/>
          <w:sz w:val="24"/>
          <w:szCs w:val="24"/>
        </w:rPr>
        <w:t xml:space="preserve"> </w:t>
      </w:r>
      <w:r w:rsidRPr="003F5F38">
        <w:rPr>
          <w:rFonts w:ascii="Times New Roman" w:hAnsi="Times New Roman"/>
          <w:color w:val="000000"/>
          <w:sz w:val="24"/>
          <w:szCs w:val="24"/>
        </w:rPr>
        <w:t xml:space="preserve">art. 7 </w:t>
      </w:r>
      <w:r>
        <w:rPr>
          <w:rFonts w:ascii="Times New Roman" w:hAnsi="Times New Roman"/>
          <w:color w:val="000000"/>
          <w:sz w:val="24"/>
          <w:szCs w:val="24"/>
        </w:rPr>
        <w:t>Ustawy o finansach publicznych</w:t>
      </w:r>
      <w:r w:rsidRPr="003F5F38">
        <w:rPr>
          <w:rFonts w:ascii="Times New Roman" w:hAnsi="Times New Roman"/>
          <w:color w:val="000000"/>
          <w:sz w:val="24"/>
          <w:szCs w:val="24"/>
        </w:rPr>
        <w:t>, to dodatnia różnica między dochodami publicznymi a wydatkami publicznymi, ustalona dla okresu rozliczeniowego, zaś ujemna różnica jest deficytem sektora finansów publicznych.</w:t>
      </w:r>
      <w:r>
        <w:rPr>
          <w:rFonts w:ascii="Times New Roman" w:hAnsi="Times New Roman"/>
          <w:color w:val="000000"/>
          <w:sz w:val="24"/>
          <w:szCs w:val="24"/>
        </w:rPr>
        <w:t xml:space="preserve"> </w:t>
      </w:r>
      <w:r w:rsidRPr="003F5F38">
        <w:rPr>
          <w:rFonts w:ascii="Times New Roman" w:hAnsi="Times New Roman"/>
          <w:color w:val="000000"/>
          <w:sz w:val="24"/>
          <w:szCs w:val="24"/>
        </w:rPr>
        <w:t xml:space="preserve">Zasadniczo </w:t>
      </w:r>
      <w:r>
        <w:rPr>
          <w:rFonts w:ascii="Times New Roman" w:hAnsi="Times New Roman"/>
          <w:color w:val="000000"/>
          <w:sz w:val="24"/>
          <w:szCs w:val="24"/>
        </w:rPr>
        <w:t>n</w:t>
      </w:r>
      <w:r w:rsidRPr="003F5F38">
        <w:rPr>
          <w:rFonts w:ascii="Times New Roman" w:hAnsi="Times New Roman"/>
          <w:color w:val="000000"/>
          <w:sz w:val="24"/>
          <w:szCs w:val="24"/>
        </w:rPr>
        <w:t>adwyżkę agencja wykonawcza musi przekazać niezwłocznie po uregulowaniu zobowiązań wymagalnych z okresu sprawozdawczego, nie później jednak niż do dnia 30 czerwca roku następującego po roku, w którym nadwyżka powstała.</w:t>
      </w:r>
      <w:r>
        <w:rPr>
          <w:rFonts w:ascii="Times New Roman" w:hAnsi="Times New Roman"/>
          <w:color w:val="000000"/>
          <w:sz w:val="24"/>
          <w:szCs w:val="24"/>
        </w:rPr>
        <w:t xml:space="preserve"> N</w:t>
      </w:r>
      <w:r w:rsidRPr="003F5F38">
        <w:rPr>
          <w:rFonts w:ascii="Times New Roman" w:hAnsi="Times New Roman"/>
          <w:color w:val="000000"/>
          <w:sz w:val="24"/>
          <w:szCs w:val="24"/>
        </w:rPr>
        <w:t>adwyżka ta powinna zostać przekazana do budżetu państwa</w:t>
      </w:r>
      <w:r>
        <w:rPr>
          <w:rFonts w:ascii="Times New Roman" w:hAnsi="Times New Roman"/>
          <w:color w:val="000000"/>
          <w:sz w:val="24"/>
          <w:szCs w:val="24"/>
        </w:rPr>
        <w:t>, gdyż a</w:t>
      </w:r>
      <w:r w:rsidRPr="003F5F38">
        <w:rPr>
          <w:rFonts w:ascii="Times New Roman" w:hAnsi="Times New Roman"/>
          <w:color w:val="000000"/>
          <w:sz w:val="24"/>
          <w:szCs w:val="24"/>
        </w:rPr>
        <w:t>gencja wykonawcza jest obowiązana corocznie wpłacać do budżetu państwa, na rachunek bieżący dochodów państwowej jednostki budżetowej obsługującej ministra sprawującego nadzór nad tą agencją, nadwyżkę środków finansowych ustaloną na koniec roku, pozostającą po uregulowaniu zobowiązań podatkowych, z tym że w szczególnie uzasadnionych przypadkach wynikających z konieczności zapewnienia sprawnego i pełnego wykonywania zadań agencji wykonawczej R</w:t>
      </w:r>
      <w:r>
        <w:rPr>
          <w:rFonts w:ascii="Times New Roman" w:hAnsi="Times New Roman"/>
          <w:color w:val="000000"/>
          <w:sz w:val="24"/>
          <w:szCs w:val="24"/>
        </w:rPr>
        <w:t xml:space="preserve">ady </w:t>
      </w:r>
      <w:r w:rsidRPr="003F5F38">
        <w:rPr>
          <w:rFonts w:ascii="Times New Roman" w:hAnsi="Times New Roman"/>
          <w:color w:val="000000"/>
          <w:sz w:val="24"/>
          <w:szCs w:val="24"/>
        </w:rPr>
        <w:t>M</w:t>
      </w:r>
      <w:r>
        <w:rPr>
          <w:rFonts w:ascii="Times New Roman" w:hAnsi="Times New Roman"/>
          <w:color w:val="000000"/>
          <w:sz w:val="24"/>
          <w:szCs w:val="24"/>
        </w:rPr>
        <w:t>inistrów</w:t>
      </w:r>
      <w:r w:rsidRPr="003F5F38">
        <w:rPr>
          <w:rFonts w:ascii="Times New Roman" w:hAnsi="Times New Roman"/>
          <w:color w:val="000000"/>
          <w:sz w:val="24"/>
          <w:szCs w:val="24"/>
        </w:rPr>
        <w:t xml:space="preserve"> może, na wniosek ministra sprawującego nadzór nad agencją wykonawczą, wyrazić zgodę, w formie uchwały, na niewpłacenie nadwyżki.</w:t>
      </w:r>
    </w:p>
    <w:p w14:paraId="51449B26" w14:textId="77777777" w:rsidR="00A5040C" w:rsidRDefault="00A5040C" w:rsidP="00A5040C">
      <w:pPr>
        <w:tabs>
          <w:tab w:val="left" w:pos="708"/>
        </w:tabs>
        <w:spacing w:after="160" w:line="360" w:lineRule="auto"/>
        <w:rPr>
          <w:rFonts w:ascii="Times New Roman" w:hAnsi="Times New Roman"/>
          <w:color w:val="000000"/>
          <w:sz w:val="24"/>
          <w:szCs w:val="24"/>
        </w:rPr>
      </w:pPr>
      <w:r w:rsidRPr="003F5F38">
        <w:rPr>
          <w:rFonts w:ascii="Times New Roman" w:hAnsi="Times New Roman"/>
          <w:color w:val="000000"/>
          <w:sz w:val="24"/>
          <w:szCs w:val="24"/>
        </w:rPr>
        <w:t>W</w:t>
      </w:r>
      <w:r>
        <w:rPr>
          <w:rFonts w:ascii="Times New Roman" w:hAnsi="Times New Roman"/>
          <w:color w:val="000000"/>
          <w:sz w:val="24"/>
          <w:szCs w:val="24"/>
        </w:rPr>
        <w:t xml:space="preserve"> </w:t>
      </w:r>
      <w:r w:rsidRPr="003F5F38">
        <w:rPr>
          <w:rFonts w:ascii="Times New Roman" w:hAnsi="Times New Roman"/>
          <w:color w:val="000000"/>
          <w:sz w:val="24"/>
          <w:szCs w:val="24"/>
        </w:rPr>
        <w:t>myśl art. 20 ust. 5c</w:t>
      </w:r>
      <w:r w:rsidRPr="00CC4412">
        <w:rPr>
          <w:rFonts w:ascii="Times New Roman" w:hAnsi="Times New Roman"/>
          <w:color w:val="000000"/>
          <w:sz w:val="24"/>
          <w:szCs w:val="24"/>
        </w:rPr>
        <w:t xml:space="preserve"> </w:t>
      </w:r>
      <w:r w:rsidRPr="003F5F38">
        <w:rPr>
          <w:rFonts w:ascii="Times New Roman" w:hAnsi="Times New Roman"/>
          <w:color w:val="000000"/>
          <w:sz w:val="24"/>
          <w:szCs w:val="24"/>
        </w:rPr>
        <w:t xml:space="preserve">o gospodarowaniu nieruchomościami rolnymi Skarbu Państwa, nadwyżkę </w:t>
      </w:r>
      <w:r w:rsidRPr="006F71FF">
        <w:rPr>
          <w:rFonts w:ascii="Times" w:eastAsiaTheme="minorEastAsia" w:hAnsi="Times" w:cs="Arial"/>
          <w:color w:val="auto"/>
          <w:sz w:val="24"/>
        </w:rPr>
        <w:t>handlowych</w:t>
      </w:r>
      <w:r w:rsidRPr="00D160D5">
        <w:rPr>
          <w:rFonts w:ascii="Times" w:eastAsiaTheme="minorEastAsia" w:hAnsi="Times" w:cs="Arial"/>
          <w:color w:val="auto"/>
          <w:sz w:val="24"/>
        </w:rPr>
        <w:t xml:space="preserve"> Krajowy Ośrodek Wsparcia Rolnictwa </w:t>
      </w:r>
      <w:r w:rsidRPr="003F5F38">
        <w:rPr>
          <w:rFonts w:ascii="Times New Roman" w:hAnsi="Times New Roman"/>
          <w:color w:val="000000"/>
          <w:sz w:val="24"/>
          <w:szCs w:val="24"/>
        </w:rPr>
        <w:t xml:space="preserve">przekazuje w danym roku </w:t>
      </w:r>
      <w:r w:rsidRPr="003F5F38">
        <w:rPr>
          <w:rFonts w:ascii="Times New Roman" w:hAnsi="Times New Roman"/>
          <w:color w:val="000000"/>
          <w:sz w:val="24"/>
          <w:szCs w:val="24"/>
        </w:rPr>
        <w:lastRenderedPageBreak/>
        <w:t>obrotowym w formie zaliczek kwartalnych, w wysokości ustalonej w rocznym planie finansowym Zasobu, w terminie 30 dni po zakończeniu kwartału. Wpłata zaliczki za IV kwartał następuje w terminie do dnia 10 grudnia danego roku obrotowego. Rozliczenie roczne zobowiązania następuje w terminie do dnia 30 czerwca roku następującego po roku, w</w:t>
      </w:r>
      <w:r>
        <w:rPr>
          <w:rFonts w:ascii="Times New Roman" w:hAnsi="Times New Roman"/>
          <w:color w:val="000000"/>
          <w:sz w:val="24"/>
          <w:szCs w:val="24"/>
        </w:rPr>
        <w:t xml:space="preserve"> </w:t>
      </w:r>
      <w:r w:rsidRPr="003F5F38">
        <w:rPr>
          <w:rFonts w:ascii="Times New Roman" w:hAnsi="Times New Roman"/>
          <w:color w:val="000000"/>
          <w:sz w:val="24"/>
          <w:szCs w:val="24"/>
        </w:rPr>
        <w:t>którym nadwyżka powstała.</w:t>
      </w:r>
    </w:p>
    <w:p w14:paraId="5000E788" w14:textId="77777777" w:rsidR="00A5040C" w:rsidRPr="007C06F2" w:rsidRDefault="00A5040C" w:rsidP="00A5040C">
      <w:pPr>
        <w:tabs>
          <w:tab w:val="left" w:pos="708"/>
        </w:tabs>
        <w:spacing w:after="160" w:line="360" w:lineRule="auto"/>
        <w:rPr>
          <w:rFonts w:ascii="Times New Roman" w:hAnsi="Times New Roman"/>
          <w:color w:val="000000"/>
          <w:sz w:val="24"/>
          <w:szCs w:val="24"/>
        </w:rPr>
      </w:pPr>
      <w:r>
        <w:rPr>
          <w:rFonts w:ascii="Times New Roman" w:hAnsi="Times New Roman"/>
          <w:color w:val="000000"/>
          <w:sz w:val="24"/>
          <w:szCs w:val="24"/>
        </w:rPr>
        <w:t xml:space="preserve">W czerwcu 2022 r. dodając do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przepis art. 23c</w:t>
      </w:r>
      <w:r w:rsidRPr="003F5F38">
        <w:rPr>
          <w:rFonts w:ascii="Times New Roman" w:hAnsi="Times New Roman"/>
          <w:color w:val="000000"/>
          <w:sz w:val="24"/>
          <w:szCs w:val="24"/>
        </w:rPr>
        <w:t>., dokonano ustawowej zmiany przeznaczenia nadwyżki</w:t>
      </w:r>
      <w:r>
        <w:rPr>
          <w:rFonts w:ascii="Times New Roman" w:hAnsi="Times New Roman"/>
          <w:color w:val="000000"/>
          <w:sz w:val="24"/>
          <w:szCs w:val="24"/>
        </w:rPr>
        <w:t xml:space="preserve"> </w:t>
      </w:r>
      <w:r w:rsidRPr="007C06F2">
        <w:rPr>
          <w:rFonts w:ascii="Times New Roman" w:hAnsi="Times New Roman"/>
          <w:color w:val="000000"/>
          <w:sz w:val="24"/>
          <w:szCs w:val="24"/>
        </w:rPr>
        <w:t>środków finansowych Krajowego Ośrodka Wsparcia Rolnictwa ustalonej na dzień 31 grudnia 2021 r. w kwocie 500 mln</w:t>
      </w:r>
      <w:r>
        <w:rPr>
          <w:rFonts w:ascii="Times New Roman" w:hAnsi="Times New Roman"/>
          <w:color w:val="000000"/>
          <w:sz w:val="24"/>
          <w:szCs w:val="24"/>
        </w:rPr>
        <w:t xml:space="preserve"> w celu realizacji</w:t>
      </w:r>
      <w:r w:rsidRPr="000A2691">
        <w:rPr>
          <w:rFonts w:ascii="Times New Roman" w:hAnsi="Times New Roman"/>
          <w:color w:val="000000"/>
          <w:sz w:val="24"/>
          <w:szCs w:val="24"/>
        </w:rPr>
        <w:t xml:space="preserve"> zadań wynikających z:</w:t>
      </w:r>
    </w:p>
    <w:p w14:paraId="4DBF275E" w14:textId="77777777" w:rsidR="00A5040C" w:rsidRPr="006F71FF" w:rsidRDefault="00A5040C" w:rsidP="00A5040C">
      <w:pPr>
        <w:pStyle w:val="ZARTzmartartykuempunktem"/>
        <w:numPr>
          <w:ilvl w:val="0"/>
          <w:numId w:val="2"/>
        </w:numPr>
      </w:pPr>
      <w:r w:rsidRPr="006F71FF">
        <w:t>art. 24 ust. 10 w zakresie udzielania pożyczek na zakup środków do produkcji rolnej, w tym nawozów i środków ochrony roślin, lub na skup, przechowywanie lub przetwarzanie produktów rolnych;</w:t>
      </w:r>
    </w:p>
    <w:p w14:paraId="39562E9F" w14:textId="77777777" w:rsidR="00A5040C" w:rsidRPr="006F71FF" w:rsidRDefault="00A5040C" w:rsidP="00A5040C">
      <w:pPr>
        <w:pStyle w:val="ZARTzmartartykuempunktem"/>
        <w:numPr>
          <w:ilvl w:val="0"/>
          <w:numId w:val="2"/>
        </w:numPr>
      </w:pPr>
      <w:r w:rsidRPr="006F71FF">
        <w:t>art. 32a ust. 1 w zakresie obejmowania lub nabywania akcji lub udziałów w spółkach handlowych oraz nabywania nieruchomości lub ich części oraz przedsiębiorstw lub zorganizowanych części przedsiębiorstw w rozumieniu Kodeksu cywilnego, na własność Skarbu Państwa;</w:t>
      </w:r>
    </w:p>
    <w:p w14:paraId="3A474BB3" w14:textId="77777777" w:rsidR="00A5040C" w:rsidRDefault="00A5040C" w:rsidP="00A5040C">
      <w:pPr>
        <w:pStyle w:val="ZARTzmartartykuempunktem"/>
        <w:numPr>
          <w:ilvl w:val="0"/>
          <w:numId w:val="2"/>
        </w:numPr>
      </w:pPr>
      <w:r w:rsidRPr="006F71FF">
        <w:t>art. 4b ust. 1 i 2 ustawy z dnia 11 kwietnia 2003 r. o kształtowaniu ustroju rolnego w zakresie nabywania na własność Skarbu Państwa nieruchomości rolnych w celu poprawy struktury obszarowej gospodarstw rolnych, a także obejmowania i nabywania na własność Skarbu Państwa akcji i udziałów w spółkach handlowych, jeżeli wymaga tego realizacja zadań wynikających z polityki państwa w zakresie wdrażania i stosowania instrumentów wsparcia rolnictwa, aktywnej polityki rolnej oraz rozwoju obszarów wiejskich.</w:t>
      </w:r>
      <w:r>
        <w:t>”</w:t>
      </w:r>
    </w:p>
    <w:p w14:paraId="5C2FE5DF" w14:textId="77777777" w:rsidR="00A5040C" w:rsidRPr="000A2691" w:rsidRDefault="00A5040C" w:rsidP="00A5040C">
      <w:pPr>
        <w:tabs>
          <w:tab w:val="left" w:pos="708"/>
        </w:tabs>
        <w:spacing w:before="240" w:line="360" w:lineRule="auto"/>
        <w:rPr>
          <w:rFonts w:ascii="Times" w:eastAsiaTheme="minorEastAsia" w:hAnsi="Times" w:cs="Arial"/>
          <w:color w:val="auto"/>
          <w:sz w:val="24"/>
        </w:rPr>
      </w:pPr>
      <w:r w:rsidRPr="000A2691">
        <w:rPr>
          <w:rFonts w:ascii="Times" w:eastAsiaTheme="minorEastAsia" w:hAnsi="Times" w:cs="Arial"/>
          <w:color w:val="auto"/>
          <w:sz w:val="24"/>
        </w:rPr>
        <w:t xml:space="preserve">Specyfika </w:t>
      </w:r>
      <w:r w:rsidRPr="006F71FF">
        <w:rPr>
          <w:rFonts w:ascii="Times" w:eastAsiaTheme="minorEastAsia" w:hAnsi="Times" w:cs="Arial"/>
          <w:color w:val="auto"/>
          <w:sz w:val="24"/>
        </w:rPr>
        <w:t>obejmowania i nabywania na własność Skarbu Państwa akcji i udziałów w spółkach handlowyc</w:t>
      </w:r>
      <w:r>
        <w:rPr>
          <w:rFonts w:ascii="Times" w:eastAsiaTheme="minorEastAsia" w:hAnsi="Times" w:cs="Arial"/>
          <w:color w:val="auto"/>
          <w:sz w:val="24"/>
        </w:rPr>
        <w:t xml:space="preserve">h, realizacja </w:t>
      </w:r>
      <w:r w:rsidRPr="000A2691">
        <w:rPr>
          <w:rFonts w:ascii="Times" w:eastAsiaTheme="minorEastAsia" w:hAnsi="Times" w:cs="Arial"/>
          <w:color w:val="auto"/>
          <w:sz w:val="24"/>
        </w:rPr>
        <w:t>długofalowej</w:t>
      </w:r>
      <w:r w:rsidRPr="006F71FF">
        <w:rPr>
          <w:rFonts w:ascii="Times" w:eastAsiaTheme="minorEastAsia" w:hAnsi="Times" w:cs="Arial"/>
          <w:color w:val="auto"/>
          <w:sz w:val="24"/>
        </w:rPr>
        <w:t xml:space="preserve"> polityk</w:t>
      </w:r>
      <w:r>
        <w:rPr>
          <w:rFonts w:ascii="Times" w:eastAsiaTheme="minorEastAsia" w:hAnsi="Times" w:cs="Arial"/>
          <w:color w:val="auto"/>
          <w:sz w:val="24"/>
        </w:rPr>
        <w:t>i</w:t>
      </w:r>
      <w:r w:rsidRPr="006F71FF">
        <w:rPr>
          <w:rFonts w:ascii="Times" w:eastAsiaTheme="minorEastAsia" w:hAnsi="Times" w:cs="Arial"/>
          <w:color w:val="auto"/>
          <w:sz w:val="24"/>
        </w:rPr>
        <w:t xml:space="preserve"> państwa w zakresie wdrażania i stosowania instrumentów wsparcia rolnictwa, aktywnej polityki rolnej oraz rozwoju obszarów </w:t>
      </w:r>
      <w:r w:rsidRPr="000A2691">
        <w:rPr>
          <w:rFonts w:ascii="Times" w:eastAsiaTheme="minorEastAsia" w:hAnsi="Times" w:cs="Arial"/>
          <w:color w:val="auto"/>
          <w:sz w:val="24"/>
        </w:rPr>
        <w:t xml:space="preserve">wiejskich, udzielania pożyczek na zakup środków do produkcji rolnej, lub na skup, przechowywanie lub przetwarzanie produktów rolnych wymagała przeprowadzenia złożonych procesów w kilkuletniej perspektywie czasowej, a co za tym idzie potrzebę dopuszczenia niezbędnej elastyczność w zakresie wydatkowania nadwyżki. </w:t>
      </w:r>
    </w:p>
    <w:p w14:paraId="34927FAB" w14:textId="77777777" w:rsidR="00A5040C" w:rsidRDefault="00A5040C" w:rsidP="00A5040C">
      <w:pPr>
        <w:tabs>
          <w:tab w:val="left" w:pos="708"/>
        </w:tabs>
        <w:spacing w:before="240" w:line="360" w:lineRule="auto"/>
        <w:rPr>
          <w:rFonts w:ascii="Times" w:eastAsiaTheme="minorEastAsia" w:hAnsi="Times" w:cs="Arial"/>
          <w:color w:val="auto"/>
          <w:sz w:val="24"/>
        </w:rPr>
      </w:pPr>
      <w:r w:rsidRPr="008B213F">
        <w:rPr>
          <w:rFonts w:ascii="Times New Roman" w:hAnsi="Times New Roman"/>
          <w:color w:val="000000"/>
          <w:sz w:val="24"/>
          <w:szCs w:val="24"/>
        </w:rPr>
        <w:t>Obecnie obowiązujące przepisy nie precyzują, w jakim okresie należy wydatkować nadwyżkę,</w:t>
      </w:r>
      <w:r>
        <w:rPr>
          <w:rFonts w:ascii="Times" w:eastAsiaTheme="minorEastAsia" w:hAnsi="Times" w:cs="Arial"/>
          <w:color w:val="auto"/>
          <w:sz w:val="24"/>
        </w:rPr>
        <w:t xml:space="preserve"> co budzi wątpliwości jak postąpić ma </w:t>
      </w:r>
      <w:r w:rsidRPr="00D160D5">
        <w:rPr>
          <w:rFonts w:ascii="Times" w:eastAsiaTheme="minorEastAsia" w:hAnsi="Times" w:cs="Arial"/>
          <w:color w:val="auto"/>
          <w:sz w:val="24"/>
        </w:rPr>
        <w:t>Krajowy Ośrodek Wsparcia Rolnictwa</w:t>
      </w:r>
      <w:r>
        <w:rPr>
          <w:rFonts w:ascii="Times" w:eastAsiaTheme="minorEastAsia" w:hAnsi="Times" w:cs="Arial"/>
          <w:color w:val="auto"/>
          <w:sz w:val="24"/>
        </w:rPr>
        <w:t xml:space="preserve">, w przypadku gdy </w:t>
      </w:r>
      <w:r>
        <w:rPr>
          <w:rFonts w:ascii="Times" w:eastAsiaTheme="minorEastAsia" w:hAnsi="Times" w:cs="Arial"/>
          <w:color w:val="auto"/>
          <w:sz w:val="24"/>
        </w:rPr>
        <w:lastRenderedPageBreak/>
        <w:t xml:space="preserve">proces nabycia/objęcia akcji lub udziałów nie dojdzie do skutku w przypadku zmian, uchylenia lub stwierdzenia nieważności uchwały dotyczącej </w:t>
      </w:r>
      <w:r w:rsidRPr="00CC4412">
        <w:rPr>
          <w:rFonts w:ascii="Times" w:eastAsiaTheme="minorEastAsia" w:hAnsi="Times" w:cs="Arial"/>
          <w:color w:val="auto"/>
          <w:sz w:val="24"/>
        </w:rPr>
        <w:t>podwyższenia kapitału zakładowego</w:t>
      </w:r>
      <w:r>
        <w:rPr>
          <w:rFonts w:ascii="Times" w:eastAsiaTheme="minorEastAsia" w:hAnsi="Times" w:cs="Arial"/>
          <w:color w:val="auto"/>
          <w:sz w:val="24"/>
        </w:rPr>
        <w:t xml:space="preserve">. Nie jest doprecyzowane, czy w takiej sytuacji zwrócona kwota nadwyżki może zostać wykorzystana ponowie na realizację zadań, o których mowa w </w:t>
      </w:r>
      <w:r>
        <w:rPr>
          <w:rFonts w:ascii="Times New Roman" w:hAnsi="Times New Roman"/>
          <w:color w:val="000000"/>
          <w:sz w:val="24"/>
          <w:szCs w:val="24"/>
        </w:rPr>
        <w:t xml:space="preserve">art. 23c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czy też winna być zwrócona do </w:t>
      </w:r>
      <w:r w:rsidRPr="003F5F38">
        <w:rPr>
          <w:rFonts w:ascii="Times New Roman" w:hAnsi="Times New Roman"/>
          <w:color w:val="000000"/>
          <w:sz w:val="24"/>
          <w:szCs w:val="24"/>
        </w:rPr>
        <w:t>budżetu państwa</w:t>
      </w:r>
      <w:r>
        <w:rPr>
          <w:rFonts w:ascii="Times New Roman" w:hAnsi="Times New Roman"/>
          <w:color w:val="000000"/>
          <w:sz w:val="24"/>
          <w:szCs w:val="24"/>
        </w:rPr>
        <w:t xml:space="preserve">. </w:t>
      </w:r>
    </w:p>
    <w:p w14:paraId="73388CEC" w14:textId="77777777" w:rsidR="00A5040C" w:rsidRPr="00DA4BD9" w:rsidRDefault="00A5040C" w:rsidP="00A5040C">
      <w:pPr>
        <w:tabs>
          <w:tab w:val="left" w:pos="708"/>
        </w:tabs>
        <w:spacing w:before="240" w:line="360" w:lineRule="auto"/>
        <w:rPr>
          <w:rFonts w:ascii="Times" w:eastAsiaTheme="minorEastAsia" w:hAnsi="Times" w:cs="Arial"/>
          <w:color w:val="auto"/>
          <w:sz w:val="24"/>
        </w:rPr>
      </w:pPr>
      <w:r>
        <w:rPr>
          <w:rFonts w:ascii="Times" w:eastAsiaTheme="minorEastAsia" w:hAnsi="Times" w:cs="Arial"/>
          <w:color w:val="auto"/>
          <w:sz w:val="24"/>
        </w:rPr>
        <w:t>Powstające r</w:t>
      </w:r>
      <w:r w:rsidRPr="00DA4BD9">
        <w:rPr>
          <w:rFonts w:ascii="Times" w:eastAsiaTheme="minorEastAsia" w:hAnsi="Times" w:cs="Arial"/>
          <w:color w:val="auto"/>
          <w:sz w:val="24"/>
        </w:rPr>
        <w:t xml:space="preserve">ozbieżności w zakresie interpretacji </w:t>
      </w:r>
      <w:r>
        <w:rPr>
          <w:rFonts w:ascii="Times" w:eastAsiaTheme="minorEastAsia" w:hAnsi="Times" w:cs="Arial"/>
          <w:color w:val="auto"/>
          <w:sz w:val="24"/>
        </w:rPr>
        <w:t xml:space="preserve">przepisów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w:t>
      </w:r>
      <w:r w:rsidRPr="00DA4BD9">
        <w:rPr>
          <w:rFonts w:ascii="Times" w:eastAsiaTheme="minorEastAsia" w:hAnsi="Times" w:cs="Arial"/>
          <w:color w:val="auto"/>
          <w:sz w:val="24"/>
        </w:rPr>
        <w:t xml:space="preserve">powodują niepewność sytuacji prawnej </w:t>
      </w:r>
      <w:r w:rsidRPr="00D160D5">
        <w:rPr>
          <w:rFonts w:ascii="Times" w:eastAsiaTheme="minorEastAsia" w:hAnsi="Times" w:cs="Arial"/>
          <w:color w:val="auto"/>
          <w:sz w:val="24"/>
        </w:rPr>
        <w:t>Krajow</w:t>
      </w:r>
      <w:r>
        <w:rPr>
          <w:rFonts w:ascii="Times" w:eastAsiaTheme="minorEastAsia" w:hAnsi="Times" w:cs="Arial"/>
          <w:color w:val="auto"/>
          <w:sz w:val="24"/>
        </w:rPr>
        <w:t>ego</w:t>
      </w:r>
      <w:r w:rsidRPr="00D160D5">
        <w:rPr>
          <w:rFonts w:ascii="Times" w:eastAsiaTheme="minorEastAsia" w:hAnsi="Times" w:cs="Arial"/>
          <w:color w:val="auto"/>
          <w:sz w:val="24"/>
        </w:rPr>
        <w:t xml:space="preserve"> Ośrodk</w:t>
      </w:r>
      <w:r>
        <w:rPr>
          <w:rFonts w:ascii="Times" w:eastAsiaTheme="minorEastAsia" w:hAnsi="Times" w:cs="Arial"/>
          <w:color w:val="auto"/>
          <w:sz w:val="24"/>
        </w:rPr>
        <w:t>u</w:t>
      </w:r>
      <w:r w:rsidRPr="00D160D5">
        <w:rPr>
          <w:rFonts w:ascii="Times" w:eastAsiaTheme="minorEastAsia" w:hAnsi="Times" w:cs="Arial"/>
          <w:color w:val="auto"/>
          <w:sz w:val="24"/>
        </w:rPr>
        <w:t xml:space="preserve"> Wsparcia Rolnictwa</w:t>
      </w:r>
      <w:r w:rsidRPr="00DA4BD9">
        <w:rPr>
          <w:rFonts w:ascii="Times" w:eastAsiaTheme="minorEastAsia" w:hAnsi="Times" w:cs="Arial"/>
          <w:color w:val="auto"/>
          <w:sz w:val="24"/>
        </w:rPr>
        <w:t xml:space="preserve">, co w praktyce wiązać się może z wymiernymi konsekwencjami po jego stronie, na skutek zastosowania się do odmiennej niż przyjmowana przez organy administracji publicznej </w:t>
      </w:r>
      <w:r>
        <w:rPr>
          <w:rFonts w:ascii="Times" w:eastAsiaTheme="minorEastAsia" w:hAnsi="Times" w:cs="Arial"/>
          <w:color w:val="auto"/>
          <w:sz w:val="24"/>
        </w:rPr>
        <w:t xml:space="preserve">oraz sądy </w:t>
      </w:r>
      <w:r w:rsidRPr="00DA4BD9">
        <w:rPr>
          <w:rFonts w:ascii="Times" w:eastAsiaTheme="minorEastAsia" w:hAnsi="Times" w:cs="Arial"/>
          <w:color w:val="auto"/>
          <w:sz w:val="24"/>
        </w:rPr>
        <w:t>interpretacji przepisów.</w:t>
      </w:r>
      <w:r>
        <w:rPr>
          <w:rFonts w:ascii="Times" w:eastAsiaTheme="minorEastAsia" w:hAnsi="Times" w:cs="Arial"/>
          <w:color w:val="auto"/>
          <w:sz w:val="24"/>
        </w:rPr>
        <w:t xml:space="preserve"> </w:t>
      </w:r>
    </w:p>
    <w:p w14:paraId="5B8336B7" w14:textId="77777777" w:rsidR="00A5040C" w:rsidRDefault="00A5040C" w:rsidP="00A5040C">
      <w:pPr>
        <w:tabs>
          <w:tab w:val="left" w:pos="708"/>
        </w:tabs>
        <w:spacing w:after="160" w:line="360" w:lineRule="auto"/>
        <w:rPr>
          <w:rFonts w:ascii="Times" w:eastAsiaTheme="minorEastAsia" w:hAnsi="Times" w:cs="Arial"/>
          <w:color w:val="auto"/>
          <w:sz w:val="24"/>
        </w:rPr>
      </w:pPr>
      <w:r w:rsidRPr="00DA4BD9">
        <w:rPr>
          <w:rFonts w:ascii="Times" w:eastAsiaTheme="minorEastAsia" w:hAnsi="Times" w:cs="Arial"/>
          <w:color w:val="auto"/>
          <w:sz w:val="24"/>
        </w:rPr>
        <w:t xml:space="preserve">Z powyższych względów proponuje się doprecyzowanie przepisów ustawy z dnia </w:t>
      </w:r>
      <w:r>
        <w:rPr>
          <w:rFonts w:ascii="Times" w:eastAsiaTheme="minorEastAsia" w:hAnsi="Times" w:cs="Arial"/>
          <w:color w:val="auto"/>
          <w:sz w:val="24"/>
        </w:rPr>
        <w:br/>
      </w:r>
      <w:r w:rsidRPr="00DA4BD9">
        <w:rPr>
          <w:rFonts w:ascii="Times" w:eastAsiaTheme="minorEastAsia" w:hAnsi="Times" w:cs="Arial"/>
          <w:color w:val="auto"/>
          <w:sz w:val="24"/>
        </w:rPr>
        <w:t>19 października 1991 r. o gospodarowaniu nieruchomościami rolnymi Skarbu Państwa poprzez dodanie w art. 23c sformułowania, iż nadwyżka za 2022 rok może zostać w</w:t>
      </w:r>
      <w:r>
        <w:rPr>
          <w:rFonts w:ascii="Times" w:eastAsiaTheme="minorEastAsia" w:hAnsi="Times" w:cs="Arial"/>
          <w:color w:val="auto"/>
          <w:sz w:val="24"/>
        </w:rPr>
        <w:t xml:space="preserve">ydatkowana terminie </w:t>
      </w:r>
      <w:r w:rsidRPr="00DA4BD9">
        <w:rPr>
          <w:rFonts w:ascii="Times" w:eastAsiaTheme="minorEastAsia" w:hAnsi="Times" w:cs="Arial"/>
          <w:color w:val="auto"/>
          <w:sz w:val="24"/>
        </w:rPr>
        <w:t>do 31 grudnia 2027 roku</w:t>
      </w:r>
      <w:r>
        <w:rPr>
          <w:rFonts w:ascii="Times" w:eastAsiaTheme="minorEastAsia" w:hAnsi="Times" w:cs="Arial"/>
          <w:color w:val="auto"/>
          <w:sz w:val="24"/>
        </w:rPr>
        <w:t xml:space="preserve">. Pozwoli to na realizację celu ustawodawcy, który przyświecał mu przy wprowadzeniu </w:t>
      </w:r>
      <w:r>
        <w:rPr>
          <w:rFonts w:ascii="Times New Roman" w:hAnsi="Times New Roman"/>
          <w:color w:val="000000"/>
          <w:sz w:val="24"/>
          <w:szCs w:val="24"/>
        </w:rPr>
        <w:t xml:space="preserve">przepisu art. 23c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w czerwcu 2022 r.</w:t>
      </w:r>
    </w:p>
    <w:p w14:paraId="53D6E36B" w14:textId="77777777" w:rsidR="00A5040C" w:rsidRPr="001568AB" w:rsidRDefault="00A5040C" w:rsidP="00A5040C">
      <w:pPr>
        <w:tabs>
          <w:tab w:val="left" w:pos="708"/>
        </w:tabs>
        <w:spacing w:after="160" w:line="360" w:lineRule="auto"/>
        <w:rPr>
          <w:rFonts w:ascii="Times New Roman" w:eastAsia="Century Gothic" w:hAnsi="Times New Roman"/>
          <w:color w:val="000000"/>
          <w:sz w:val="24"/>
          <w:szCs w:val="24"/>
        </w:rPr>
      </w:pPr>
      <w:r w:rsidRPr="001568AB">
        <w:rPr>
          <w:rFonts w:ascii="Times New Roman" w:eastAsia="Century Gothic" w:hAnsi="Times New Roman"/>
          <w:color w:val="000000"/>
          <w:sz w:val="24"/>
          <w:szCs w:val="24"/>
        </w:rPr>
        <w:t>Zgodnie z art. 2 Projektu, ustawa wejdzie w życie po upływie 14 dni od dnia ogłoszenia, stosownie do art. 4 ust. 1 ustawy z dnia 20 lipca 2000 r. o ogłaszaniu aktów normatywnych i niektórych innych aktów prawnych (Dz. U. z 2019 r. poz. 1461).</w:t>
      </w:r>
    </w:p>
    <w:p w14:paraId="75DF7103" w14:textId="77777777" w:rsidR="00A5040C" w:rsidRPr="001568AB" w:rsidRDefault="00A5040C" w:rsidP="00A5040C">
      <w:pPr>
        <w:tabs>
          <w:tab w:val="left" w:pos="708"/>
        </w:tabs>
        <w:spacing w:after="160" w:line="360" w:lineRule="auto"/>
        <w:rPr>
          <w:rFonts w:ascii="Times New Roman" w:hAnsi="Times New Roman"/>
          <w:color w:val="000000"/>
          <w:sz w:val="24"/>
          <w:szCs w:val="24"/>
        </w:rPr>
      </w:pPr>
      <w:r w:rsidRPr="001568AB">
        <w:rPr>
          <w:rFonts w:ascii="Times New Roman" w:hAnsi="Times New Roman"/>
          <w:color w:val="000000"/>
          <w:sz w:val="24"/>
          <w:szCs w:val="24"/>
        </w:rPr>
        <w:t xml:space="preserve">Regulacja </w:t>
      </w:r>
      <w:r>
        <w:rPr>
          <w:rFonts w:ascii="Times New Roman" w:hAnsi="Times New Roman"/>
          <w:color w:val="000000"/>
          <w:sz w:val="24"/>
          <w:szCs w:val="24"/>
        </w:rPr>
        <w:t xml:space="preserve">nie </w:t>
      </w:r>
      <w:r w:rsidRPr="001568AB">
        <w:rPr>
          <w:rFonts w:ascii="Times New Roman" w:hAnsi="Times New Roman"/>
          <w:color w:val="000000"/>
          <w:sz w:val="24"/>
          <w:szCs w:val="24"/>
        </w:rPr>
        <w:t>będzie miała wpływ na działalność mikroprzedsiębiorców, małych i średnich przedsiębiorców</w:t>
      </w:r>
      <w:r>
        <w:rPr>
          <w:rFonts w:ascii="Times New Roman" w:hAnsi="Times New Roman"/>
          <w:color w:val="000000"/>
          <w:sz w:val="24"/>
          <w:szCs w:val="24"/>
        </w:rPr>
        <w:t xml:space="preserve">. </w:t>
      </w:r>
      <w:r w:rsidRPr="001568AB">
        <w:rPr>
          <w:rFonts w:ascii="Times New Roman" w:hAnsi="Times New Roman"/>
          <w:color w:val="000000"/>
          <w:sz w:val="24"/>
          <w:szCs w:val="24"/>
        </w:rPr>
        <w:t xml:space="preserve">Projekt nie zawiera przepisów technicznych w rozumieniu rozporządzenia Rady Ministrów z dnia 23 grudnia 2002 r. w sprawie sposobu funkcjonowania krajowego systemu notyfikacji norm i aktów prawnych (Dz. U. </w:t>
      </w:r>
      <w:r>
        <w:rPr>
          <w:rFonts w:ascii="Times New Roman" w:hAnsi="Times New Roman"/>
          <w:color w:val="000000"/>
          <w:sz w:val="24"/>
          <w:szCs w:val="24"/>
        </w:rPr>
        <w:t xml:space="preserve">2002 </w:t>
      </w:r>
      <w:r w:rsidRPr="001568AB">
        <w:rPr>
          <w:rFonts w:ascii="Times New Roman" w:hAnsi="Times New Roman"/>
          <w:color w:val="000000"/>
          <w:sz w:val="24"/>
          <w:szCs w:val="24"/>
        </w:rPr>
        <w:t>poz. 2039, z późn. zm.), w związku z tym nie podlega notyfikacji w rozumieniu tego rozporządzenia.</w:t>
      </w:r>
    </w:p>
    <w:p w14:paraId="17FF6492" w14:textId="77777777" w:rsidR="00A5040C" w:rsidRDefault="00A5040C" w:rsidP="00A5040C">
      <w:pPr>
        <w:tabs>
          <w:tab w:val="left" w:pos="708"/>
        </w:tabs>
        <w:spacing w:after="160" w:line="360" w:lineRule="auto"/>
        <w:rPr>
          <w:rFonts w:ascii="Times New Roman" w:hAnsi="Times New Roman"/>
          <w:color w:val="000000"/>
          <w:sz w:val="24"/>
          <w:szCs w:val="24"/>
        </w:rPr>
      </w:pPr>
      <w:r w:rsidRPr="001568AB">
        <w:rPr>
          <w:rFonts w:ascii="Times New Roman" w:hAnsi="Times New Roman"/>
          <w:color w:val="000000"/>
          <w:sz w:val="24"/>
          <w:szCs w:val="24"/>
        </w:rPr>
        <w:t xml:space="preserve">Projekt nie wymaga przedstawienia właściwym organom i instytucjom Unii Europejskiej, </w:t>
      </w:r>
      <w:r>
        <w:rPr>
          <w:rFonts w:ascii="Times New Roman" w:hAnsi="Times New Roman"/>
          <w:color w:val="000000"/>
          <w:sz w:val="24"/>
          <w:szCs w:val="24"/>
        </w:rPr>
        <w:br/>
      </w:r>
      <w:r w:rsidRPr="001568AB">
        <w:rPr>
          <w:rFonts w:ascii="Times New Roman" w:hAnsi="Times New Roman"/>
          <w:color w:val="000000"/>
          <w:sz w:val="24"/>
          <w:szCs w:val="24"/>
        </w:rPr>
        <w:t>w tym Europejskiemu Bankowi Centralnemu, w celu uzyskania opinii, dokonania powiadomienia, konsultacji albo uzgodnienia.</w:t>
      </w:r>
    </w:p>
    <w:p w14:paraId="3BC1FED8" w14:textId="77777777" w:rsidR="00A5040C" w:rsidRDefault="00A5040C" w:rsidP="00A5040C">
      <w:pPr>
        <w:spacing w:after="160" w:line="259" w:lineRule="auto"/>
        <w:jc w:val="left"/>
        <w:rPr>
          <w:rFonts w:ascii="Times New Roman" w:hAnsi="Times New Roman"/>
          <w:color w:val="000000"/>
          <w:sz w:val="24"/>
          <w:szCs w:val="24"/>
        </w:rPr>
      </w:pPr>
      <w:r>
        <w:rPr>
          <w:rFonts w:ascii="Times New Roman" w:hAnsi="Times New Roman"/>
          <w:color w:val="000000"/>
          <w:sz w:val="24"/>
          <w:szCs w:val="24"/>
        </w:rPr>
        <w:br w:type="page"/>
      </w:r>
    </w:p>
    <w:p w14:paraId="1C5A7B17" w14:textId="77777777" w:rsidR="00A5040C" w:rsidRDefault="00A5040C" w:rsidP="00A5040C">
      <w:pPr>
        <w:tabs>
          <w:tab w:val="left" w:pos="708"/>
        </w:tabs>
        <w:spacing w:after="160" w:line="360" w:lineRule="auto"/>
        <w:rPr>
          <w:rFonts w:ascii="Times New Roman" w:hAnsi="Times New Roman"/>
          <w:color w:val="000000"/>
          <w:sz w:val="24"/>
          <w:szCs w:val="24"/>
        </w:rPr>
      </w:pPr>
    </w:p>
    <w:p w14:paraId="5630D3EE" w14:textId="77777777" w:rsidR="00A5040C" w:rsidRPr="00513456" w:rsidRDefault="00A5040C" w:rsidP="00A5040C">
      <w:pPr>
        <w:tabs>
          <w:tab w:val="left" w:pos="708"/>
        </w:tabs>
        <w:spacing w:after="160" w:line="360" w:lineRule="auto"/>
        <w:jc w:val="center"/>
        <w:rPr>
          <w:rFonts w:ascii="Times New Roman" w:hAnsi="Times New Roman"/>
          <w:b/>
          <w:bCs/>
          <w:color w:val="000000"/>
          <w:sz w:val="24"/>
          <w:szCs w:val="24"/>
        </w:rPr>
      </w:pPr>
      <w:r w:rsidRPr="00513456">
        <w:rPr>
          <w:rFonts w:ascii="Times New Roman" w:hAnsi="Times New Roman"/>
          <w:b/>
          <w:bCs/>
          <w:color w:val="000000"/>
          <w:sz w:val="24"/>
          <w:szCs w:val="24"/>
        </w:rPr>
        <w:t>DEKLAROWANE SKUTKI REGULACJI (DSR)</w:t>
      </w:r>
    </w:p>
    <w:p w14:paraId="2A3F429B" w14:textId="77777777" w:rsidR="00A5040C" w:rsidRDefault="00A5040C" w:rsidP="00A5040C">
      <w:pPr>
        <w:tabs>
          <w:tab w:val="left" w:pos="708"/>
        </w:tabs>
        <w:spacing w:after="160" w:line="360" w:lineRule="auto"/>
        <w:jc w:val="center"/>
        <w:rPr>
          <w:rFonts w:ascii="Times New Roman" w:hAnsi="Times New Roman"/>
          <w:b/>
          <w:bCs/>
          <w:color w:val="000000"/>
          <w:sz w:val="24"/>
          <w:szCs w:val="24"/>
        </w:rPr>
      </w:pPr>
      <w:r w:rsidRPr="00513456">
        <w:rPr>
          <w:rFonts w:ascii="Times New Roman" w:hAnsi="Times New Roman"/>
          <w:b/>
          <w:bCs/>
          <w:color w:val="000000"/>
          <w:sz w:val="24"/>
          <w:szCs w:val="24"/>
        </w:rPr>
        <w:t>projektu ustawy</w:t>
      </w:r>
    </w:p>
    <w:p w14:paraId="57EAF26C" w14:textId="77777777" w:rsidR="00A5040C" w:rsidRDefault="00A5040C" w:rsidP="00A5040C">
      <w:pPr>
        <w:tabs>
          <w:tab w:val="left" w:pos="708"/>
        </w:tabs>
        <w:spacing w:after="160" w:line="360" w:lineRule="auto"/>
        <w:rPr>
          <w:rFonts w:ascii="Times New Roman" w:hAnsi="Times New Roman"/>
          <w:b/>
          <w:bCs/>
          <w:color w:val="000000"/>
          <w:sz w:val="24"/>
          <w:szCs w:val="24"/>
        </w:rPr>
      </w:pPr>
      <w:r w:rsidRPr="00513456">
        <w:rPr>
          <w:rFonts w:ascii="Times New Roman" w:hAnsi="Times New Roman"/>
          <w:b/>
          <w:bCs/>
          <w:color w:val="000000"/>
          <w:sz w:val="24"/>
          <w:szCs w:val="24"/>
        </w:rPr>
        <w:t xml:space="preserve">Informacja o projekcie </w:t>
      </w:r>
    </w:p>
    <w:p w14:paraId="6B630953" w14:textId="77777777" w:rsidR="00A5040C" w:rsidRPr="00513456" w:rsidRDefault="00A5040C" w:rsidP="00A5040C">
      <w:pPr>
        <w:pStyle w:val="Akapitzlist"/>
        <w:numPr>
          <w:ilvl w:val="0"/>
          <w:numId w:val="1"/>
        </w:numPr>
        <w:tabs>
          <w:tab w:val="left" w:pos="708"/>
        </w:tabs>
        <w:spacing w:after="160" w:line="360" w:lineRule="auto"/>
        <w:rPr>
          <w:rFonts w:ascii="Times New Roman" w:hAnsi="Times New Roman"/>
          <w:b/>
          <w:bCs/>
          <w:color w:val="000000"/>
          <w:sz w:val="24"/>
          <w:szCs w:val="24"/>
        </w:rPr>
      </w:pPr>
      <w:r w:rsidRPr="00513456">
        <w:rPr>
          <w:rFonts w:ascii="Times New Roman" w:hAnsi="Times New Roman"/>
          <w:b/>
          <w:bCs/>
          <w:color w:val="000000"/>
          <w:sz w:val="24"/>
          <w:szCs w:val="24"/>
        </w:rPr>
        <w:t>Tytuł projektu:</w:t>
      </w:r>
    </w:p>
    <w:p w14:paraId="5169AB2A" w14:textId="5EB9415A" w:rsidR="00A5040C" w:rsidRPr="00283F51" w:rsidRDefault="00A5040C" w:rsidP="00A5040C">
      <w:pPr>
        <w:spacing w:after="160" w:line="360" w:lineRule="auto"/>
        <w:ind w:left="360"/>
        <w:rPr>
          <w:rFonts w:ascii="Times New Roman" w:hAnsi="Times New Roman"/>
          <w:color w:val="000000"/>
          <w:sz w:val="24"/>
          <w:szCs w:val="24"/>
        </w:rPr>
      </w:pPr>
      <w:r w:rsidRPr="00283F51">
        <w:rPr>
          <w:rFonts w:ascii="Times New Roman" w:hAnsi="Times New Roman"/>
          <w:color w:val="000000"/>
          <w:sz w:val="24"/>
          <w:szCs w:val="24"/>
        </w:rPr>
        <w:t>Poselski projekt ustawy o zmianie ustawy z dnia 19 października 1991 r. o gospodarowaniu nieruchomościami rolnymi Skarbu Państwa (Dz. U. z 2025 r. poz. 826</w:t>
      </w:r>
      <w:r w:rsidR="002077A0">
        <w:rPr>
          <w:rFonts w:ascii="Times New Roman" w:hAnsi="Times New Roman"/>
          <w:color w:val="000000"/>
          <w:sz w:val="24"/>
          <w:szCs w:val="24"/>
        </w:rPr>
        <w:t>)</w:t>
      </w:r>
    </w:p>
    <w:p w14:paraId="5DD84764" w14:textId="77777777" w:rsidR="00A5040C" w:rsidRPr="00513456" w:rsidRDefault="00A5040C" w:rsidP="00A5040C">
      <w:pPr>
        <w:pStyle w:val="Akapitzlist"/>
        <w:numPr>
          <w:ilvl w:val="0"/>
          <w:numId w:val="1"/>
        </w:numPr>
        <w:spacing w:after="160" w:line="360" w:lineRule="auto"/>
        <w:rPr>
          <w:rFonts w:ascii="Times New Roman" w:hAnsi="Times New Roman"/>
          <w:b/>
          <w:bCs/>
          <w:color w:val="000000"/>
          <w:sz w:val="24"/>
          <w:szCs w:val="24"/>
        </w:rPr>
      </w:pPr>
      <w:r w:rsidRPr="00513456">
        <w:rPr>
          <w:rFonts w:ascii="Times New Roman" w:hAnsi="Times New Roman"/>
          <w:b/>
          <w:bCs/>
          <w:color w:val="000000"/>
          <w:sz w:val="24"/>
          <w:szCs w:val="24"/>
        </w:rPr>
        <w:t>Przedstawiciel wnioskodawcy:</w:t>
      </w:r>
    </w:p>
    <w:p w14:paraId="4D37BF10" w14:textId="71763417" w:rsidR="00A5040C" w:rsidRPr="002077A0" w:rsidRDefault="002077A0" w:rsidP="00A5040C">
      <w:pPr>
        <w:pStyle w:val="Akapitzlist"/>
        <w:spacing w:after="160" w:line="360" w:lineRule="auto"/>
        <w:rPr>
          <w:rFonts w:ascii="Times New Roman" w:hAnsi="Times New Roman"/>
          <w:color w:val="000000"/>
          <w:sz w:val="24"/>
          <w:szCs w:val="24"/>
        </w:rPr>
      </w:pPr>
      <w:r w:rsidRPr="002077A0">
        <w:rPr>
          <w:rFonts w:ascii="Times New Roman" w:hAnsi="Times New Roman"/>
          <w:color w:val="000000"/>
          <w:sz w:val="24"/>
          <w:szCs w:val="24"/>
        </w:rPr>
        <w:t>Mirosław Adam Orliński</w:t>
      </w:r>
    </w:p>
    <w:p w14:paraId="6EA9ACB0" w14:textId="77777777" w:rsidR="00A5040C" w:rsidRPr="00513456" w:rsidRDefault="00A5040C" w:rsidP="00A5040C">
      <w:pPr>
        <w:spacing w:after="160" w:line="360" w:lineRule="auto"/>
        <w:rPr>
          <w:rFonts w:ascii="Times New Roman" w:hAnsi="Times New Roman"/>
          <w:b/>
          <w:bCs/>
          <w:color w:val="000000"/>
          <w:sz w:val="24"/>
          <w:szCs w:val="24"/>
        </w:rPr>
      </w:pPr>
      <w:r w:rsidRPr="00513456">
        <w:rPr>
          <w:rFonts w:ascii="Times New Roman" w:hAnsi="Times New Roman"/>
          <w:b/>
          <w:bCs/>
          <w:color w:val="000000"/>
          <w:sz w:val="24"/>
          <w:szCs w:val="24"/>
        </w:rPr>
        <w:t xml:space="preserve">I. Część wstępna </w:t>
      </w:r>
    </w:p>
    <w:p w14:paraId="7E52E102" w14:textId="77777777" w:rsidR="00A5040C" w:rsidRDefault="00A5040C" w:rsidP="00A5040C">
      <w:pPr>
        <w:spacing w:after="160" w:line="360" w:lineRule="auto"/>
        <w:rPr>
          <w:rFonts w:ascii="Times New Roman" w:hAnsi="Times New Roman"/>
          <w:b/>
          <w:bCs/>
          <w:color w:val="000000"/>
          <w:sz w:val="24"/>
          <w:szCs w:val="24"/>
        </w:rPr>
      </w:pPr>
      <w:r w:rsidRPr="00513456">
        <w:rPr>
          <w:rFonts w:ascii="Times New Roman" w:hAnsi="Times New Roman"/>
          <w:b/>
          <w:bCs/>
          <w:color w:val="000000"/>
          <w:sz w:val="24"/>
          <w:szCs w:val="24"/>
        </w:rPr>
        <w:t>[1] Zwięzły opis zidentyfikowanego problemu i proponowanych rozwiązań.</w:t>
      </w:r>
    </w:p>
    <w:p w14:paraId="4C8EFA58" w14:textId="77777777" w:rsidR="00A5040C" w:rsidRPr="007C06F2" w:rsidRDefault="00A5040C" w:rsidP="00A5040C">
      <w:pPr>
        <w:tabs>
          <w:tab w:val="left" w:pos="708"/>
        </w:tabs>
        <w:spacing w:after="160" w:line="360" w:lineRule="auto"/>
        <w:rPr>
          <w:rFonts w:ascii="Times New Roman" w:hAnsi="Times New Roman"/>
          <w:color w:val="000000"/>
          <w:sz w:val="24"/>
          <w:szCs w:val="24"/>
        </w:rPr>
      </w:pPr>
      <w:r>
        <w:rPr>
          <w:rFonts w:ascii="Times New Roman" w:hAnsi="Times New Roman"/>
          <w:color w:val="000000"/>
          <w:sz w:val="24"/>
          <w:szCs w:val="24"/>
        </w:rPr>
        <w:t xml:space="preserve">W czerwcu 2022 r. dodając do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przepis art. 23c</w:t>
      </w:r>
      <w:r w:rsidRPr="003F5F38">
        <w:rPr>
          <w:rFonts w:ascii="Times New Roman" w:hAnsi="Times New Roman"/>
          <w:color w:val="000000"/>
          <w:sz w:val="24"/>
          <w:szCs w:val="24"/>
        </w:rPr>
        <w:t>., dokonano ustawowej zmiany przeznaczenia nadwyżki</w:t>
      </w:r>
      <w:r>
        <w:rPr>
          <w:rFonts w:ascii="Times New Roman" w:hAnsi="Times New Roman"/>
          <w:color w:val="000000"/>
          <w:sz w:val="24"/>
          <w:szCs w:val="24"/>
        </w:rPr>
        <w:t xml:space="preserve"> </w:t>
      </w:r>
      <w:r w:rsidRPr="007C06F2">
        <w:rPr>
          <w:rFonts w:ascii="Times New Roman" w:hAnsi="Times New Roman"/>
          <w:color w:val="000000"/>
          <w:sz w:val="24"/>
          <w:szCs w:val="24"/>
        </w:rPr>
        <w:t>środków finansowych Krajowego Ośrodka Wsparcia Rolnictwa ustalonej na dzień 31 grudnia 2021 r. w kwocie 500 mln</w:t>
      </w:r>
      <w:r>
        <w:rPr>
          <w:rFonts w:ascii="Times New Roman" w:hAnsi="Times New Roman"/>
          <w:color w:val="000000"/>
          <w:sz w:val="24"/>
          <w:szCs w:val="24"/>
        </w:rPr>
        <w:t xml:space="preserve"> w celu realizacji</w:t>
      </w:r>
      <w:r w:rsidRPr="000A2691">
        <w:rPr>
          <w:rFonts w:ascii="Times New Roman" w:hAnsi="Times New Roman"/>
          <w:color w:val="000000"/>
          <w:sz w:val="24"/>
          <w:szCs w:val="24"/>
        </w:rPr>
        <w:t xml:space="preserve"> zadań wynikających z:</w:t>
      </w:r>
    </w:p>
    <w:p w14:paraId="2426DC1C" w14:textId="77777777" w:rsidR="00A5040C" w:rsidRPr="006F71FF" w:rsidRDefault="00A5040C" w:rsidP="00A5040C">
      <w:pPr>
        <w:pStyle w:val="ZARTzmartartykuempunktem"/>
        <w:numPr>
          <w:ilvl w:val="0"/>
          <w:numId w:val="2"/>
        </w:numPr>
      </w:pPr>
      <w:r w:rsidRPr="006F71FF">
        <w:t>art. 24 ust. 10 w zakresie udzielania pożyczek na zakup środków do produkcji rolnej, w tym nawozów i środków ochrony roślin, lub na skup, przechowywanie lub przetwarzanie produktów rolnych;</w:t>
      </w:r>
    </w:p>
    <w:p w14:paraId="01D6E55C" w14:textId="77777777" w:rsidR="00A5040C" w:rsidRPr="006F71FF" w:rsidRDefault="00A5040C" w:rsidP="00A5040C">
      <w:pPr>
        <w:pStyle w:val="ZARTzmartartykuempunktem"/>
        <w:numPr>
          <w:ilvl w:val="0"/>
          <w:numId w:val="2"/>
        </w:numPr>
      </w:pPr>
      <w:r w:rsidRPr="006F71FF">
        <w:t>art. 32a ust. 1 w zakresie obejmowania lub nabywania akcji lub udziałów w spółkach handlowych oraz nabywania nieruchomości lub ich części oraz przedsiębiorstw lub zorganizowanych części przedsiębiorstw w rozumieniu Kodeksu cywilnego, na własność Skarbu Państwa;</w:t>
      </w:r>
    </w:p>
    <w:p w14:paraId="2C299CF7" w14:textId="77777777" w:rsidR="00A5040C" w:rsidRDefault="00A5040C" w:rsidP="00A5040C">
      <w:pPr>
        <w:pStyle w:val="ZARTzmartartykuempunktem"/>
        <w:numPr>
          <w:ilvl w:val="0"/>
          <w:numId w:val="2"/>
        </w:numPr>
      </w:pPr>
      <w:r w:rsidRPr="006F71FF">
        <w:t>art. 4b ust. 1 i 2 ustawy z dnia 11 kwietnia 2003 r. o kształtowaniu ustroju rolnego w zakresie nabywania na własność Skarbu Państwa nieruchomości rolnych w celu poprawy struktury obszarowej gospodarstw rolnych, a także obejmowania i nabywania na własność Skarbu Państwa akcji i udziałów w spółkach handlowych, jeżeli wymaga tego realizacja zadań wynikających z polityki państwa w zakresie wdrażania i stosowania instrumentów wsparcia rolnictwa, aktywnej polityki rolnej oraz rozwoju obszarów wiejskich.</w:t>
      </w:r>
      <w:r>
        <w:t>”</w:t>
      </w:r>
    </w:p>
    <w:p w14:paraId="53777F75" w14:textId="77777777" w:rsidR="00A5040C" w:rsidRPr="000A2691" w:rsidRDefault="00A5040C" w:rsidP="00A5040C">
      <w:pPr>
        <w:tabs>
          <w:tab w:val="left" w:pos="708"/>
        </w:tabs>
        <w:spacing w:before="240" w:line="360" w:lineRule="auto"/>
        <w:rPr>
          <w:rFonts w:ascii="Times" w:eastAsiaTheme="minorEastAsia" w:hAnsi="Times" w:cs="Arial"/>
          <w:color w:val="auto"/>
          <w:sz w:val="24"/>
        </w:rPr>
      </w:pPr>
      <w:r w:rsidRPr="000A2691">
        <w:rPr>
          <w:rFonts w:ascii="Times" w:eastAsiaTheme="minorEastAsia" w:hAnsi="Times" w:cs="Arial"/>
          <w:color w:val="auto"/>
          <w:sz w:val="24"/>
        </w:rPr>
        <w:lastRenderedPageBreak/>
        <w:t xml:space="preserve">Specyfika </w:t>
      </w:r>
      <w:r w:rsidRPr="006F71FF">
        <w:rPr>
          <w:rFonts w:ascii="Times" w:eastAsiaTheme="minorEastAsia" w:hAnsi="Times" w:cs="Arial"/>
          <w:color w:val="auto"/>
          <w:sz w:val="24"/>
        </w:rPr>
        <w:t>obejmowania i nabywania na własność Skarbu Państwa akcji i udziałów w spółkach handlowyc</w:t>
      </w:r>
      <w:r>
        <w:rPr>
          <w:rFonts w:ascii="Times" w:eastAsiaTheme="minorEastAsia" w:hAnsi="Times" w:cs="Arial"/>
          <w:color w:val="auto"/>
          <w:sz w:val="24"/>
        </w:rPr>
        <w:t xml:space="preserve">h, realizacja </w:t>
      </w:r>
      <w:r w:rsidRPr="000A2691">
        <w:rPr>
          <w:rFonts w:ascii="Times" w:eastAsiaTheme="minorEastAsia" w:hAnsi="Times" w:cs="Arial"/>
          <w:color w:val="auto"/>
          <w:sz w:val="24"/>
        </w:rPr>
        <w:t>długofalowej</w:t>
      </w:r>
      <w:r w:rsidRPr="006F71FF">
        <w:rPr>
          <w:rFonts w:ascii="Times" w:eastAsiaTheme="minorEastAsia" w:hAnsi="Times" w:cs="Arial"/>
          <w:color w:val="auto"/>
          <w:sz w:val="24"/>
        </w:rPr>
        <w:t xml:space="preserve"> polityk</w:t>
      </w:r>
      <w:r>
        <w:rPr>
          <w:rFonts w:ascii="Times" w:eastAsiaTheme="minorEastAsia" w:hAnsi="Times" w:cs="Arial"/>
          <w:color w:val="auto"/>
          <w:sz w:val="24"/>
        </w:rPr>
        <w:t>i</w:t>
      </w:r>
      <w:r w:rsidRPr="006F71FF">
        <w:rPr>
          <w:rFonts w:ascii="Times" w:eastAsiaTheme="minorEastAsia" w:hAnsi="Times" w:cs="Arial"/>
          <w:color w:val="auto"/>
          <w:sz w:val="24"/>
        </w:rPr>
        <w:t xml:space="preserve"> państwa w zakresie wdrażania i stosowania instrumentów wsparcia rolnictwa, aktywnej polityki rolnej oraz rozwoju obszarów </w:t>
      </w:r>
      <w:r w:rsidRPr="000A2691">
        <w:rPr>
          <w:rFonts w:ascii="Times" w:eastAsiaTheme="minorEastAsia" w:hAnsi="Times" w:cs="Arial"/>
          <w:color w:val="auto"/>
          <w:sz w:val="24"/>
        </w:rPr>
        <w:t xml:space="preserve">wiejskich, udzielania pożyczek na zakup środków do produkcji rolnej, lub na skup, przechowywanie lub przetwarzanie produktów rolnych wymagała przeprowadzenia złożonych procesów w kilkuletniej perspektywie czasowej, a co za tym idzie potrzebę dopuszczenia niezbędnej elastyczność w zakresie wydatkowania nadwyżki. </w:t>
      </w:r>
    </w:p>
    <w:p w14:paraId="2A61802D" w14:textId="77777777" w:rsidR="00A5040C" w:rsidRDefault="00A5040C" w:rsidP="00A5040C">
      <w:pPr>
        <w:tabs>
          <w:tab w:val="left" w:pos="708"/>
        </w:tabs>
        <w:spacing w:before="240" w:line="360" w:lineRule="auto"/>
        <w:rPr>
          <w:rFonts w:ascii="Times" w:eastAsiaTheme="minorEastAsia" w:hAnsi="Times" w:cs="Arial"/>
          <w:color w:val="auto"/>
          <w:sz w:val="24"/>
        </w:rPr>
      </w:pPr>
      <w:r w:rsidRPr="008B213F">
        <w:rPr>
          <w:rFonts w:ascii="Times New Roman" w:hAnsi="Times New Roman"/>
          <w:color w:val="000000"/>
          <w:sz w:val="24"/>
          <w:szCs w:val="24"/>
        </w:rPr>
        <w:t>Obecnie obowiązujące przepisy nie precyzują, w jakim okresie należy wydatkować nadwyżkę,</w:t>
      </w:r>
      <w:r>
        <w:rPr>
          <w:rFonts w:ascii="Times" w:eastAsiaTheme="minorEastAsia" w:hAnsi="Times" w:cs="Arial"/>
          <w:color w:val="auto"/>
          <w:sz w:val="24"/>
        </w:rPr>
        <w:t xml:space="preserve"> co budzi wątpliwości jak postąpić ma </w:t>
      </w:r>
      <w:r w:rsidRPr="00D160D5">
        <w:rPr>
          <w:rFonts w:ascii="Times" w:eastAsiaTheme="minorEastAsia" w:hAnsi="Times" w:cs="Arial"/>
          <w:color w:val="auto"/>
          <w:sz w:val="24"/>
        </w:rPr>
        <w:t>Krajowy Ośrodek Wsparcia Rolnictwa</w:t>
      </w:r>
      <w:r>
        <w:rPr>
          <w:rFonts w:ascii="Times" w:eastAsiaTheme="minorEastAsia" w:hAnsi="Times" w:cs="Arial"/>
          <w:color w:val="auto"/>
          <w:sz w:val="24"/>
        </w:rPr>
        <w:t xml:space="preserve">, w przypadku gdy proces nabycia/objęcia akcji lub udziałów nie dojdzie do skutku w przypadku zmian, uchylenia lub stwierdzenia nieważności uchwały dotyczącej </w:t>
      </w:r>
      <w:r w:rsidRPr="00CC4412">
        <w:rPr>
          <w:rFonts w:ascii="Times" w:eastAsiaTheme="minorEastAsia" w:hAnsi="Times" w:cs="Arial"/>
          <w:color w:val="auto"/>
          <w:sz w:val="24"/>
        </w:rPr>
        <w:t>podwyższenia kapitału zakładowego</w:t>
      </w:r>
      <w:r>
        <w:rPr>
          <w:rFonts w:ascii="Times" w:eastAsiaTheme="minorEastAsia" w:hAnsi="Times" w:cs="Arial"/>
          <w:color w:val="auto"/>
          <w:sz w:val="24"/>
        </w:rPr>
        <w:t xml:space="preserve">. Nie jest doprecyzowane, czy w takiej sytuacji zwrócona kwota nadwyżki może zostać wykorzystana ponowie na realizację zadań, o których mowa w </w:t>
      </w:r>
      <w:r>
        <w:rPr>
          <w:rFonts w:ascii="Times New Roman" w:hAnsi="Times New Roman"/>
          <w:color w:val="000000"/>
          <w:sz w:val="24"/>
          <w:szCs w:val="24"/>
        </w:rPr>
        <w:t xml:space="preserve">art. 23c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czy też winna być zwrócona do </w:t>
      </w:r>
      <w:r w:rsidRPr="003F5F38">
        <w:rPr>
          <w:rFonts w:ascii="Times New Roman" w:hAnsi="Times New Roman"/>
          <w:color w:val="000000"/>
          <w:sz w:val="24"/>
          <w:szCs w:val="24"/>
        </w:rPr>
        <w:t>budżetu państwa</w:t>
      </w:r>
      <w:r>
        <w:rPr>
          <w:rFonts w:ascii="Times New Roman" w:hAnsi="Times New Roman"/>
          <w:color w:val="000000"/>
          <w:sz w:val="24"/>
          <w:szCs w:val="24"/>
        </w:rPr>
        <w:t xml:space="preserve">. </w:t>
      </w:r>
    </w:p>
    <w:p w14:paraId="797EFB90" w14:textId="77777777" w:rsidR="00A5040C" w:rsidRPr="00DA4BD9" w:rsidRDefault="00A5040C" w:rsidP="00A5040C">
      <w:pPr>
        <w:tabs>
          <w:tab w:val="left" w:pos="708"/>
        </w:tabs>
        <w:spacing w:before="240" w:line="360" w:lineRule="auto"/>
        <w:rPr>
          <w:rFonts w:ascii="Times" w:eastAsiaTheme="minorEastAsia" w:hAnsi="Times" w:cs="Arial"/>
          <w:color w:val="auto"/>
          <w:sz w:val="24"/>
        </w:rPr>
      </w:pPr>
      <w:r>
        <w:rPr>
          <w:rFonts w:ascii="Times" w:eastAsiaTheme="minorEastAsia" w:hAnsi="Times" w:cs="Arial"/>
          <w:color w:val="auto"/>
          <w:sz w:val="24"/>
        </w:rPr>
        <w:t>Powstające r</w:t>
      </w:r>
      <w:r w:rsidRPr="00DA4BD9">
        <w:rPr>
          <w:rFonts w:ascii="Times" w:eastAsiaTheme="minorEastAsia" w:hAnsi="Times" w:cs="Arial"/>
          <w:color w:val="auto"/>
          <w:sz w:val="24"/>
        </w:rPr>
        <w:t xml:space="preserve">ozbieżności w zakresie interpretacji </w:t>
      </w:r>
      <w:r>
        <w:rPr>
          <w:rFonts w:ascii="Times" w:eastAsiaTheme="minorEastAsia" w:hAnsi="Times" w:cs="Arial"/>
          <w:color w:val="auto"/>
          <w:sz w:val="24"/>
        </w:rPr>
        <w:t xml:space="preserve">przepisów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w:t>
      </w:r>
      <w:r w:rsidRPr="00DA4BD9">
        <w:rPr>
          <w:rFonts w:ascii="Times" w:eastAsiaTheme="minorEastAsia" w:hAnsi="Times" w:cs="Arial"/>
          <w:color w:val="auto"/>
          <w:sz w:val="24"/>
        </w:rPr>
        <w:t xml:space="preserve">powodują niepewność sytuacji prawnej </w:t>
      </w:r>
      <w:r w:rsidRPr="00D160D5">
        <w:rPr>
          <w:rFonts w:ascii="Times" w:eastAsiaTheme="minorEastAsia" w:hAnsi="Times" w:cs="Arial"/>
          <w:color w:val="auto"/>
          <w:sz w:val="24"/>
        </w:rPr>
        <w:t>Krajow</w:t>
      </w:r>
      <w:r>
        <w:rPr>
          <w:rFonts w:ascii="Times" w:eastAsiaTheme="minorEastAsia" w:hAnsi="Times" w:cs="Arial"/>
          <w:color w:val="auto"/>
          <w:sz w:val="24"/>
        </w:rPr>
        <w:t>ego</w:t>
      </w:r>
      <w:r w:rsidRPr="00D160D5">
        <w:rPr>
          <w:rFonts w:ascii="Times" w:eastAsiaTheme="minorEastAsia" w:hAnsi="Times" w:cs="Arial"/>
          <w:color w:val="auto"/>
          <w:sz w:val="24"/>
        </w:rPr>
        <w:t xml:space="preserve"> Ośrodk</w:t>
      </w:r>
      <w:r>
        <w:rPr>
          <w:rFonts w:ascii="Times" w:eastAsiaTheme="minorEastAsia" w:hAnsi="Times" w:cs="Arial"/>
          <w:color w:val="auto"/>
          <w:sz w:val="24"/>
        </w:rPr>
        <w:t>u</w:t>
      </w:r>
      <w:r w:rsidRPr="00D160D5">
        <w:rPr>
          <w:rFonts w:ascii="Times" w:eastAsiaTheme="minorEastAsia" w:hAnsi="Times" w:cs="Arial"/>
          <w:color w:val="auto"/>
          <w:sz w:val="24"/>
        </w:rPr>
        <w:t xml:space="preserve"> Wsparcia Rolnictwa</w:t>
      </w:r>
      <w:r w:rsidRPr="00DA4BD9">
        <w:rPr>
          <w:rFonts w:ascii="Times" w:eastAsiaTheme="minorEastAsia" w:hAnsi="Times" w:cs="Arial"/>
          <w:color w:val="auto"/>
          <w:sz w:val="24"/>
        </w:rPr>
        <w:t xml:space="preserve">, co w praktyce wiązać się może z wymiernymi konsekwencjami po jego stronie, na skutek zastosowania się do odmiennej niż przyjmowana przez organy administracji publicznej </w:t>
      </w:r>
      <w:r>
        <w:rPr>
          <w:rFonts w:ascii="Times" w:eastAsiaTheme="minorEastAsia" w:hAnsi="Times" w:cs="Arial"/>
          <w:color w:val="auto"/>
          <w:sz w:val="24"/>
        </w:rPr>
        <w:t xml:space="preserve">oraz sądy </w:t>
      </w:r>
      <w:r w:rsidRPr="00DA4BD9">
        <w:rPr>
          <w:rFonts w:ascii="Times" w:eastAsiaTheme="minorEastAsia" w:hAnsi="Times" w:cs="Arial"/>
          <w:color w:val="auto"/>
          <w:sz w:val="24"/>
        </w:rPr>
        <w:t>interpretacji przepisów.</w:t>
      </w:r>
      <w:r>
        <w:rPr>
          <w:rFonts w:ascii="Times" w:eastAsiaTheme="minorEastAsia" w:hAnsi="Times" w:cs="Arial"/>
          <w:color w:val="auto"/>
          <w:sz w:val="24"/>
        </w:rPr>
        <w:t xml:space="preserve"> </w:t>
      </w:r>
    </w:p>
    <w:p w14:paraId="1785AC84" w14:textId="77777777" w:rsidR="00A5040C" w:rsidRDefault="00A5040C" w:rsidP="00A5040C">
      <w:pPr>
        <w:tabs>
          <w:tab w:val="left" w:pos="708"/>
        </w:tabs>
        <w:spacing w:after="160" w:line="360" w:lineRule="auto"/>
        <w:rPr>
          <w:rFonts w:ascii="Times" w:eastAsiaTheme="minorEastAsia" w:hAnsi="Times" w:cs="Arial"/>
          <w:color w:val="auto"/>
          <w:sz w:val="24"/>
        </w:rPr>
      </w:pPr>
      <w:r w:rsidRPr="00DA4BD9">
        <w:rPr>
          <w:rFonts w:ascii="Times" w:eastAsiaTheme="minorEastAsia" w:hAnsi="Times" w:cs="Arial"/>
          <w:color w:val="auto"/>
          <w:sz w:val="24"/>
        </w:rPr>
        <w:t xml:space="preserve">Z powyższych względów proponuje się doprecyzowanie przepisów ustawy z dnia </w:t>
      </w:r>
      <w:r>
        <w:rPr>
          <w:rFonts w:ascii="Times" w:eastAsiaTheme="minorEastAsia" w:hAnsi="Times" w:cs="Arial"/>
          <w:color w:val="auto"/>
          <w:sz w:val="24"/>
        </w:rPr>
        <w:br/>
      </w:r>
      <w:r w:rsidRPr="00DA4BD9">
        <w:rPr>
          <w:rFonts w:ascii="Times" w:eastAsiaTheme="minorEastAsia" w:hAnsi="Times" w:cs="Arial"/>
          <w:color w:val="auto"/>
          <w:sz w:val="24"/>
        </w:rPr>
        <w:t xml:space="preserve">19 października 1991 r. o gospodarowaniu nieruchomościami rolnymi Skarbu Państwa poprzez dodanie w art. 23c sformułowania, iż nadwyżka za 2022 rok może zostać wykorzystana </w:t>
      </w:r>
      <w:r>
        <w:rPr>
          <w:rFonts w:ascii="Times" w:eastAsiaTheme="minorEastAsia" w:hAnsi="Times" w:cs="Arial"/>
          <w:color w:val="auto"/>
          <w:sz w:val="24"/>
        </w:rPr>
        <w:t xml:space="preserve">w terminie </w:t>
      </w:r>
      <w:r w:rsidRPr="00DA4BD9">
        <w:rPr>
          <w:rFonts w:ascii="Times" w:eastAsiaTheme="minorEastAsia" w:hAnsi="Times" w:cs="Arial"/>
          <w:color w:val="auto"/>
          <w:sz w:val="24"/>
        </w:rPr>
        <w:t>do 31 grudnia 2027 roku</w:t>
      </w:r>
      <w:r>
        <w:rPr>
          <w:rFonts w:ascii="Times" w:eastAsiaTheme="minorEastAsia" w:hAnsi="Times" w:cs="Arial"/>
          <w:color w:val="auto"/>
          <w:sz w:val="24"/>
        </w:rPr>
        <w:t xml:space="preserve">. Pozwoli to na realizację celu ustawodawcy, który przyświecał mu przy wprowadzeniu </w:t>
      </w:r>
      <w:r>
        <w:rPr>
          <w:rFonts w:ascii="Times New Roman" w:hAnsi="Times New Roman"/>
          <w:color w:val="000000"/>
          <w:sz w:val="24"/>
          <w:szCs w:val="24"/>
        </w:rPr>
        <w:t xml:space="preserve">przepisu art. 23c </w:t>
      </w:r>
      <w:r w:rsidRPr="003F5F38">
        <w:rPr>
          <w:rFonts w:ascii="Times New Roman" w:hAnsi="Times New Roman"/>
          <w:color w:val="000000"/>
          <w:sz w:val="24"/>
          <w:szCs w:val="24"/>
        </w:rPr>
        <w:t>ustawy z dnia 19 października 1991 r. o gospodarowaniu nieruchomościami rolnymi Skarbu Państwa</w:t>
      </w:r>
      <w:r>
        <w:rPr>
          <w:rFonts w:ascii="Times New Roman" w:hAnsi="Times New Roman"/>
          <w:color w:val="000000"/>
          <w:sz w:val="24"/>
          <w:szCs w:val="24"/>
        </w:rPr>
        <w:t xml:space="preserve"> w czerwcu 2022 r.</w:t>
      </w:r>
    </w:p>
    <w:p w14:paraId="7E37F853"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 xml:space="preserve">[2] Czy były rozważane rozwiązania alternatywne? </w:t>
      </w:r>
    </w:p>
    <w:p w14:paraId="443E8715" w14:textId="77777777" w:rsidR="00A5040C" w:rsidRDefault="00A5040C" w:rsidP="00A5040C">
      <w:pPr>
        <w:spacing w:after="160" w:line="360" w:lineRule="auto"/>
        <w:rPr>
          <w:rFonts w:ascii="Times New Roman" w:hAnsi="Times New Roman"/>
          <w:b/>
          <w:bCs/>
          <w:color w:val="000000"/>
          <w:sz w:val="24"/>
          <w:szCs w:val="24"/>
        </w:rPr>
      </w:pPr>
      <w:r w:rsidRPr="00586F6C">
        <w:rPr>
          <w:rFonts w:ascii="Segoe UI Symbol" w:hAnsi="Segoe UI Symbol" w:cs="Segoe UI Symbol"/>
          <w:b/>
          <w:bCs/>
          <w:color w:val="000000"/>
          <w:sz w:val="24"/>
          <w:szCs w:val="24"/>
        </w:rPr>
        <w:t>➢</w:t>
      </w:r>
      <w:r w:rsidRPr="00586F6C">
        <w:rPr>
          <w:rFonts w:ascii="Times New Roman" w:hAnsi="Times New Roman"/>
          <w:b/>
          <w:bCs/>
          <w:color w:val="000000"/>
          <w:sz w:val="24"/>
          <w:szCs w:val="24"/>
        </w:rPr>
        <w:t>Nie</w:t>
      </w:r>
    </w:p>
    <w:p w14:paraId="2DD0FF15"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Nie brano pod uwagę rozwiązań alternatywnych, gdyż cel który ma być osiągnięty jest możliwy jedynie poprzez zaproponowaną inicjatywę ustawodawczą</w:t>
      </w:r>
    </w:p>
    <w:p w14:paraId="45D682EC"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 xml:space="preserve">II. Wymogi określone w art. 34 ust. 2 pkt 3–5 regulaminu Sejmu </w:t>
      </w:r>
    </w:p>
    <w:p w14:paraId="51697DB6"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lastRenderedPageBreak/>
        <w:t>[3] Jakie są przewidywane skutki prawne projektowanych rozwiązań?</w:t>
      </w:r>
    </w:p>
    <w:p w14:paraId="5708911F" w14:textId="77777777" w:rsidR="00A5040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Projekt ustawy jest spójny terminologicznie i systemowo z dotychczasowym stanem prawnym. Wprowadzenie jasnych i jednoznacznych przepisów zwiększy przejrzystość działania</w:t>
      </w:r>
      <w:r>
        <w:rPr>
          <w:rFonts w:ascii="Times New Roman" w:hAnsi="Times New Roman"/>
          <w:color w:val="000000"/>
          <w:sz w:val="24"/>
          <w:szCs w:val="24"/>
        </w:rPr>
        <w:t xml:space="preserve"> Krajowego Ośrodka Wsparcia Rolnictwa</w:t>
      </w:r>
      <w:r w:rsidRPr="00586F6C">
        <w:rPr>
          <w:rFonts w:ascii="Times New Roman" w:hAnsi="Times New Roman"/>
          <w:color w:val="000000"/>
          <w:sz w:val="24"/>
          <w:szCs w:val="24"/>
        </w:rPr>
        <w:t>. Projekt jest spójny z dotychczasowymi regulacjami.</w:t>
      </w:r>
    </w:p>
    <w:p w14:paraId="7EB44293" w14:textId="77777777" w:rsidR="00A5040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Projekt ustawy jest zgodny z prawem Unii Europejskiej i prawem międzynarodowym</w:t>
      </w:r>
      <w:r>
        <w:rPr>
          <w:rFonts w:ascii="Times New Roman" w:hAnsi="Times New Roman"/>
          <w:color w:val="000000"/>
          <w:sz w:val="24"/>
          <w:szCs w:val="24"/>
        </w:rPr>
        <w:t xml:space="preserve">. </w:t>
      </w:r>
    </w:p>
    <w:p w14:paraId="646B0C51" w14:textId="77777777" w:rsidR="00A5040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Proponowany termin wejścia w życie ustawy jest w pełni uzasadniony i odpowiedni z uwagi na potrzebę przyjęcia proponowanych zmian.</w:t>
      </w:r>
    </w:p>
    <w:p w14:paraId="79C476A2"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[4] Jakie są przewidywane skutki społeczne projektowanych rozwiązań?</w:t>
      </w:r>
    </w:p>
    <w:p w14:paraId="010824AF"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Projekt nie wywołuje skutków społecznych.</w:t>
      </w:r>
    </w:p>
    <w:p w14:paraId="3073FC8E"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[5] Jakie są przewidywane skutki gospodarcze projektowanych rozwiązań?</w:t>
      </w:r>
    </w:p>
    <w:p w14:paraId="6CACA927" w14:textId="77777777" w:rsidR="00A5040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Projekt nie wywołuje skutków gospodarczych i nie ma wpływu na mikroprzedsiębiorców, małych i średnich przedsiębiorców (MŚP). Projektowana ustawa nie dotyczy majątkowych praw i obowiązków przedsiębiorców lub praw i obowiązków przedsiębiorców wobec organów administracji publicznej.</w:t>
      </w:r>
    </w:p>
    <w:p w14:paraId="36E23325"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[6] Jakie są przewidywane skutki finansowe projektowanych rozwiązań, w szczególności wpływ na sektor finansów publicznych, w tym na budżet państwa i budżety jednostek samorządu terytorialnego?</w:t>
      </w:r>
    </w:p>
    <w:p w14:paraId="1ED0D8F4"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Projektowana ustawa nie pociąga za sobą skutków finansowych dla budżetu państwa oraz budżetów jednostek samorządu terytorialnego.</w:t>
      </w:r>
    </w:p>
    <w:p w14:paraId="4D1FB932"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[7] Wykaz źródeł finansowania, jeśli projekt ustawy pociąga za sobą obciążenie budżetu państwa lub budżetów jednostek samorządu terytorialnego.</w:t>
      </w:r>
    </w:p>
    <w:p w14:paraId="5510819D"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Projektowana ustawa nie pociąga za sobą skutków finansowych dla budżetu państwa oraz budżetów jednostek samorządu terytorialnego.</w:t>
      </w:r>
    </w:p>
    <w:p w14:paraId="754944B1"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 xml:space="preserve">[8] Czy projekt ustawy podlega procedurze notyfikacyjnej? </w:t>
      </w:r>
    </w:p>
    <w:p w14:paraId="16DD2048"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Segoe UI Symbol" w:hAnsi="Segoe UI Symbol" w:cs="Segoe UI Symbol"/>
          <w:color w:val="000000"/>
          <w:sz w:val="24"/>
          <w:szCs w:val="24"/>
        </w:rPr>
        <w:t>➢</w:t>
      </w:r>
      <w:r w:rsidRPr="00586F6C">
        <w:rPr>
          <w:rFonts w:ascii="Times New Roman" w:hAnsi="Times New Roman"/>
          <w:color w:val="000000"/>
          <w:sz w:val="24"/>
          <w:szCs w:val="24"/>
        </w:rPr>
        <w:t xml:space="preserve"> Nie </w:t>
      </w:r>
    </w:p>
    <w:p w14:paraId="3C2C25E0"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 xml:space="preserve">III. Wymogi określone w art. 34 ust. 2a i 2b regulaminu Sejmu </w:t>
      </w:r>
    </w:p>
    <w:p w14:paraId="04B5D34D"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 xml:space="preserve">[9] Czy projekt ustawy zawiera przepisy określające zasady podejmowania, wykonywania lub zakończenia działalności gospodarczej (art. 34 ust. 2a regulaminu Sejmu)? </w:t>
      </w:r>
    </w:p>
    <w:p w14:paraId="4E77EB0B"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Segoe UI Symbol" w:hAnsi="Segoe UI Symbol" w:cs="Segoe UI Symbol"/>
          <w:color w:val="000000"/>
          <w:sz w:val="24"/>
          <w:szCs w:val="24"/>
        </w:rPr>
        <w:lastRenderedPageBreak/>
        <w:t>➢</w:t>
      </w:r>
      <w:r w:rsidRPr="00586F6C">
        <w:rPr>
          <w:rFonts w:ascii="Times New Roman" w:hAnsi="Times New Roman"/>
          <w:color w:val="000000"/>
          <w:sz w:val="24"/>
          <w:szCs w:val="24"/>
        </w:rPr>
        <w:t xml:space="preserve"> Nie </w:t>
      </w:r>
    </w:p>
    <w:p w14:paraId="6980D611"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 xml:space="preserve">[10] Czy wdrożenie projektowanych przepisów spowoduje obciążenia administracyjne mikroprzedsiębiorców, małych i średnich przedsiębiorców (art. 34 ust. 2a regulaminu Sejmu)? </w:t>
      </w:r>
      <w:r w:rsidRPr="00586F6C">
        <w:rPr>
          <w:rFonts w:ascii="Segoe UI Symbol" w:hAnsi="Segoe UI Symbol" w:cs="Segoe UI Symbol"/>
          <w:b/>
          <w:bCs/>
          <w:color w:val="000000"/>
          <w:sz w:val="24"/>
          <w:szCs w:val="24"/>
        </w:rPr>
        <w:t>➢</w:t>
      </w:r>
      <w:r w:rsidRPr="00586F6C">
        <w:rPr>
          <w:rFonts w:ascii="Times New Roman" w:hAnsi="Times New Roman"/>
          <w:b/>
          <w:bCs/>
          <w:color w:val="000000"/>
          <w:sz w:val="24"/>
          <w:szCs w:val="24"/>
        </w:rPr>
        <w:t xml:space="preserve"> Nie [11]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 </w:t>
      </w:r>
    </w:p>
    <w:p w14:paraId="0EA1388C"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Segoe UI Symbol" w:hAnsi="Segoe UI Symbol" w:cs="Segoe UI Symbol"/>
          <w:color w:val="000000"/>
          <w:sz w:val="24"/>
          <w:szCs w:val="24"/>
        </w:rPr>
        <w:t>➢</w:t>
      </w:r>
      <w:r w:rsidRPr="00586F6C">
        <w:rPr>
          <w:rFonts w:ascii="Times New Roman" w:hAnsi="Times New Roman"/>
          <w:color w:val="000000"/>
          <w:sz w:val="24"/>
          <w:szCs w:val="24"/>
        </w:rPr>
        <w:t xml:space="preserve"> Nie</w:t>
      </w:r>
    </w:p>
    <w:p w14:paraId="5A031BB0"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[10] Czy wdrożenie projektowanych przepisów spowoduje obciążenia administracyjne mikroprzedsiębiorców, małych i średnich przedsiębiorców (art. 34 ust. 2a regulaminu Sejmu)?</w:t>
      </w:r>
    </w:p>
    <w:p w14:paraId="444A1E0E"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Times New Roman" w:hAnsi="Times New Roman"/>
          <w:color w:val="000000"/>
          <w:sz w:val="24"/>
          <w:szCs w:val="24"/>
        </w:rPr>
        <w:t xml:space="preserve"> </w:t>
      </w:r>
      <w:r w:rsidRPr="00586F6C">
        <w:rPr>
          <w:rFonts w:ascii="Segoe UI Symbol" w:hAnsi="Segoe UI Symbol" w:cs="Segoe UI Symbol"/>
          <w:color w:val="000000"/>
          <w:sz w:val="24"/>
          <w:szCs w:val="24"/>
        </w:rPr>
        <w:t>➢</w:t>
      </w:r>
      <w:r w:rsidRPr="00586F6C">
        <w:rPr>
          <w:rFonts w:ascii="Times New Roman" w:hAnsi="Times New Roman"/>
          <w:color w:val="000000"/>
          <w:sz w:val="24"/>
          <w:szCs w:val="24"/>
        </w:rPr>
        <w:t xml:space="preserve"> Nie </w:t>
      </w:r>
    </w:p>
    <w:p w14:paraId="6A6FE73C" w14:textId="77777777" w:rsidR="00A5040C" w:rsidRDefault="00A5040C" w:rsidP="00A5040C">
      <w:pPr>
        <w:spacing w:after="160" w:line="360" w:lineRule="auto"/>
        <w:rPr>
          <w:rFonts w:ascii="Times New Roman" w:hAnsi="Times New Roman"/>
          <w:b/>
          <w:bCs/>
          <w:color w:val="000000"/>
          <w:sz w:val="24"/>
          <w:szCs w:val="24"/>
        </w:rPr>
      </w:pPr>
      <w:r w:rsidRPr="00586F6C">
        <w:rPr>
          <w:rFonts w:ascii="Times New Roman" w:hAnsi="Times New Roman"/>
          <w:b/>
          <w:bCs/>
          <w:color w:val="000000"/>
          <w:sz w:val="24"/>
          <w:szCs w:val="24"/>
        </w:rPr>
        <w:t xml:space="preserve">[11] Czy projekt ustawy zawiera przepisy regulacyjne lub określa wymogi dotyczące świadczenia usług transgranicznych w rozumieniu ustawy z dnia 22 grudnia 2015 r. o zasadach uznawania kwalifikacji zawodowych nabytych w państwach członkowskich Unii Europejskiej (art. 34 ust. 2b regulaminu Sejmu)? </w:t>
      </w:r>
    </w:p>
    <w:p w14:paraId="6206D511" w14:textId="77777777" w:rsidR="00A5040C" w:rsidRPr="00586F6C" w:rsidRDefault="00A5040C" w:rsidP="00A5040C">
      <w:pPr>
        <w:spacing w:after="160" w:line="360" w:lineRule="auto"/>
        <w:rPr>
          <w:rFonts w:ascii="Times New Roman" w:hAnsi="Times New Roman"/>
          <w:color w:val="000000"/>
          <w:sz w:val="24"/>
          <w:szCs w:val="24"/>
        </w:rPr>
      </w:pPr>
      <w:r w:rsidRPr="00586F6C">
        <w:rPr>
          <w:rFonts w:ascii="Segoe UI Symbol" w:hAnsi="Segoe UI Symbol" w:cs="Segoe UI Symbol"/>
          <w:color w:val="000000"/>
          <w:sz w:val="24"/>
          <w:szCs w:val="24"/>
        </w:rPr>
        <w:t>➢</w:t>
      </w:r>
      <w:r w:rsidRPr="00586F6C">
        <w:rPr>
          <w:rFonts w:ascii="Times New Roman" w:hAnsi="Times New Roman"/>
          <w:color w:val="000000"/>
          <w:sz w:val="24"/>
          <w:szCs w:val="24"/>
        </w:rPr>
        <w:t xml:space="preserve"> Nie</w:t>
      </w:r>
    </w:p>
    <w:p w14:paraId="3B28D913" w14:textId="77777777" w:rsidR="00A5040C" w:rsidRDefault="00A5040C" w:rsidP="00A5040C"/>
    <w:p w14:paraId="664FC808" w14:textId="77777777" w:rsidR="00A5040C" w:rsidRDefault="00A5040C"/>
    <w:sectPr w:rsidR="00A504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C3D5" w14:textId="77777777" w:rsidR="00865B0B" w:rsidRDefault="00865B0B" w:rsidP="006C272E">
      <w:pPr>
        <w:spacing w:after="0" w:line="240" w:lineRule="auto"/>
      </w:pPr>
      <w:r>
        <w:separator/>
      </w:r>
    </w:p>
  </w:endnote>
  <w:endnote w:type="continuationSeparator" w:id="0">
    <w:p w14:paraId="603452D8" w14:textId="77777777" w:rsidR="00865B0B" w:rsidRDefault="00865B0B" w:rsidP="006C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F11F8" w14:textId="77777777" w:rsidR="00865B0B" w:rsidRDefault="00865B0B" w:rsidP="006C272E">
      <w:pPr>
        <w:spacing w:after="0" w:line="240" w:lineRule="auto"/>
      </w:pPr>
      <w:r>
        <w:separator/>
      </w:r>
    </w:p>
  </w:footnote>
  <w:footnote w:type="continuationSeparator" w:id="0">
    <w:p w14:paraId="7BCA3CDB" w14:textId="77777777" w:rsidR="00865B0B" w:rsidRDefault="00865B0B" w:rsidP="006C2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338AC"/>
    <w:multiLevelType w:val="hybridMultilevel"/>
    <w:tmpl w:val="83FCC5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393CFA"/>
    <w:multiLevelType w:val="hybridMultilevel"/>
    <w:tmpl w:val="B1385A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622222578">
    <w:abstractNumId w:val="0"/>
  </w:num>
  <w:num w:numId="2" w16cid:durableId="1940989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C"/>
    <w:rsid w:val="002077A0"/>
    <w:rsid w:val="003E12B2"/>
    <w:rsid w:val="004E7469"/>
    <w:rsid w:val="005B21CA"/>
    <w:rsid w:val="006C272E"/>
    <w:rsid w:val="00731F3D"/>
    <w:rsid w:val="00751580"/>
    <w:rsid w:val="00865B0B"/>
    <w:rsid w:val="008A210F"/>
    <w:rsid w:val="00A5040C"/>
    <w:rsid w:val="00AC05A4"/>
    <w:rsid w:val="00E22534"/>
    <w:rsid w:val="00FF62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52A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040C"/>
    <w:pPr>
      <w:spacing w:after="120" w:line="280" w:lineRule="exact"/>
      <w:jc w:val="both"/>
    </w:pPr>
    <w:rPr>
      <w:rFonts w:ascii="Century Gothic" w:eastAsia="Calibri" w:hAnsi="Century Gothic" w:cs="Times New Roman"/>
      <w:color w:val="000000" w:themeColor="text1"/>
      <w:kern w:val="0"/>
      <w:sz w:val="20"/>
      <w:szCs w:val="20"/>
      <w:lang w:eastAsia="pl-PL"/>
      <w14:ligatures w14:val="none"/>
    </w:rPr>
  </w:style>
  <w:style w:type="paragraph" w:styleId="Nagwek1">
    <w:name w:val="heading 1"/>
    <w:basedOn w:val="Normalny"/>
    <w:next w:val="Normalny"/>
    <w:link w:val="Nagwek1Znak"/>
    <w:uiPriority w:val="9"/>
    <w:qFormat/>
    <w:rsid w:val="00A50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50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504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504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504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504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504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504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504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04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504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5040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5040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5040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5040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5040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5040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5040C"/>
    <w:rPr>
      <w:rFonts w:eastAsiaTheme="majorEastAsia" w:cstheme="majorBidi"/>
      <w:color w:val="272727" w:themeColor="text1" w:themeTint="D8"/>
    </w:rPr>
  </w:style>
  <w:style w:type="paragraph" w:styleId="Tytu">
    <w:name w:val="Title"/>
    <w:basedOn w:val="Normalny"/>
    <w:next w:val="Normalny"/>
    <w:link w:val="TytuZnak"/>
    <w:uiPriority w:val="10"/>
    <w:qFormat/>
    <w:rsid w:val="00A50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5040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5040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5040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5040C"/>
    <w:pPr>
      <w:spacing w:before="160"/>
      <w:jc w:val="center"/>
    </w:pPr>
    <w:rPr>
      <w:i/>
      <w:iCs/>
      <w:color w:val="404040" w:themeColor="text1" w:themeTint="BF"/>
    </w:rPr>
  </w:style>
  <w:style w:type="character" w:customStyle="1" w:styleId="CytatZnak">
    <w:name w:val="Cytat Znak"/>
    <w:basedOn w:val="Domylnaczcionkaakapitu"/>
    <w:link w:val="Cytat"/>
    <w:uiPriority w:val="29"/>
    <w:rsid w:val="00A5040C"/>
    <w:rPr>
      <w:i/>
      <w:iCs/>
      <w:color w:val="404040" w:themeColor="text1" w:themeTint="BF"/>
    </w:rPr>
  </w:style>
  <w:style w:type="paragraph" w:styleId="Akapitzlist">
    <w:name w:val="List Paragraph"/>
    <w:basedOn w:val="Normalny"/>
    <w:uiPriority w:val="34"/>
    <w:qFormat/>
    <w:rsid w:val="00A5040C"/>
    <w:pPr>
      <w:ind w:left="720"/>
      <w:contextualSpacing/>
    </w:pPr>
  </w:style>
  <w:style w:type="character" w:styleId="Wyrnienieintensywne">
    <w:name w:val="Intense Emphasis"/>
    <w:basedOn w:val="Domylnaczcionkaakapitu"/>
    <w:uiPriority w:val="21"/>
    <w:qFormat/>
    <w:rsid w:val="00A5040C"/>
    <w:rPr>
      <w:i/>
      <w:iCs/>
      <w:color w:val="0F4761" w:themeColor="accent1" w:themeShade="BF"/>
    </w:rPr>
  </w:style>
  <w:style w:type="paragraph" w:styleId="Cytatintensywny">
    <w:name w:val="Intense Quote"/>
    <w:basedOn w:val="Normalny"/>
    <w:next w:val="Normalny"/>
    <w:link w:val="CytatintensywnyZnak"/>
    <w:uiPriority w:val="30"/>
    <w:qFormat/>
    <w:rsid w:val="00A50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5040C"/>
    <w:rPr>
      <w:i/>
      <w:iCs/>
      <w:color w:val="0F4761" w:themeColor="accent1" w:themeShade="BF"/>
    </w:rPr>
  </w:style>
  <w:style w:type="character" w:styleId="Odwoanieintensywne">
    <w:name w:val="Intense Reference"/>
    <w:basedOn w:val="Domylnaczcionkaakapitu"/>
    <w:uiPriority w:val="32"/>
    <w:qFormat/>
    <w:rsid w:val="00A5040C"/>
    <w:rPr>
      <w:b/>
      <w:bCs/>
      <w:smallCaps/>
      <w:color w:val="0F4761" w:themeColor="accent1" w:themeShade="BF"/>
      <w:spacing w:val="5"/>
    </w:rPr>
  </w:style>
  <w:style w:type="paragraph" w:customStyle="1" w:styleId="OZNPROJEKTUwskazaniedatylubwersjiprojektu">
    <w:name w:val="OZN_PROJEKTU – wskazanie daty lub wersji projektu"/>
    <w:next w:val="Normalny"/>
    <w:qFormat/>
    <w:rsid w:val="00A5040C"/>
    <w:pPr>
      <w:spacing w:after="0" w:line="360" w:lineRule="auto"/>
      <w:jc w:val="right"/>
    </w:pPr>
    <w:rPr>
      <w:rFonts w:ascii="Times New Roman" w:eastAsiaTheme="minorEastAsia" w:hAnsi="Times New Roman" w:cs="Arial"/>
      <w:kern w:val="0"/>
      <w:sz w:val="24"/>
      <w:szCs w:val="20"/>
      <w:u w:val="single"/>
      <w:lang w:eastAsia="pl-PL"/>
      <w14:ligatures w14:val="none"/>
    </w:rPr>
  </w:style>
  <w:style w:type="paragraph" w:customStyle="1" w:styleId="ARTartustawynprozporzdzenia">
    <w:name w:val="ART(§) – art. ustawy (§ np. rozporządzenia)"/>
    <w:uiPriority w:val="11"/>
    <w:qFormat/>
    <w:rsid w:val="00A5040C"/>
    <w:pPr>
      <w:suppressAutoHyphens/>
      <w:autoSpaceDE w:val="0"/>
      <w:autoSpaceDN w:val="0"/>
      <w:adjustRightInd w:val="0"/>
      <w:spacing w:before="120" w:after="0" w:line="360" w:lineRule="auto"/>
      <w:ind w:firstLine="510"/>
      <w:jc w:val="both"/>
    </w:pPr>
    <w:rPr>
      <w:rFonts w:ascii="Times" w:eastAsiaTheme="minorEastAsia" w:hAnsi="Times" w:cs="Arial"/>
      <w:kern w:val="0"/>
      <w:sz w:val="24"/>
      <w:szCs w:val="20"/>
      <w:lang w:eastAsia="pl-PL"/>
      <w14:ligatures w14:val="none"/>
    </w:rPr>
  </w:style>
  <w:style w:type="paragraph" w:customStyle="1" w:styleId="ZARTzmartartykuempunktem">
    <w:name w:val="Z/ART(§) – zm. art. (§) artykułem (punktem)"/>
    <w:basedOn w:val="ARTartustawynprozporzdzenia"/>
    <w:uiPriority w:val="30"/>
    <w:qFormat/>
    <w:rsid w:val="00A5040C"/>
    <w:pPr>
      <w:spacing w:before="0"/>
      <w:ind w:left="510"/>
    </w:pPr>
  </w:style>
  <w:style w:type="paragraph" w:customStyle="1" w:styleId="PKTpunkt">
    <w:name w:val="PKT – punkt"/>
    <w:uiPriority w:val="13"/>
    <w:qFormat/>
    <w:rsid w:val="00A5040C"/>
    <w:pPr>
      <w:spacing w:after="0" w:line="360" w:lineRule="auto"/>
      <w:ind w:left="510" w:hanging="510"/>
      <w:jc w:val="both"/>
    </w:pPr>
    <w:rPr>
      <w:rFonts w:ascii="Times" w:eastAsiaTheme="minorEastAsia" w:hAnsi="Times" w:cs="Arial"/>
      <w:bCs/>
      <w:kern w:val="0"/>
      <w:sz w:val="24"/>
      <w:szCs w:val="20"/>
      <w:lang w:eastAsia="pl-PL"/>
      <w14:ligatures w14:val="none"/>
    </w:rPr>
  </w:style>
  <w:style w:type="paragraph" w:customStyle="1" w:styleId="TYTUAKTUprzedmiotregulacjiustawylubrozporzdzenia">
    <w:name w:val="TYTUŁ_AKTU – przedmiot regulacji ustawy lub rozporządzenia"/>
    <w:next w:val="Normalny"/>
    <w:link w:val="TYTUAKTUprzedmiotregulacjiustawylubrozporzdzeniaZnak"/>
    <w:uiPriority w:val="6"/>
    <w:qFormat/>
    <w:rsid w:val="00A5040C"/>
    <w:pPr>
      <w:keepNext/>
      <w:suppressAutoHyphens/>
      <w:spacing w:before="120" w:after="360" w:line="360" w:lineRule="auto"/>
      <w:jc w:val="center"/>
    </w:pPr>
    <w:rPr>
      <w:rFonts w:ascii="Times" w:eastAsiaTheme="minorEastAsia" w:hAnsi="Times" w:cs="Arial"/>
      <w:b/>
      <w:bCs/>
      <w:kern w:val="0"/>
      <w:sz w:val="24"/>
      <w:szCs w:val="24"/>
      <w:lang w:eastAsia="pl-PL"/>
      <w14:ligatures w14:val="none"/>
    </w:rPr>
  </w:style>
  <w:style w:type="paragraph" w:customStyle="1" w:styleId="Default">
    <w:name w:val="Default"/>
    <w:rsid w:val="00A5040C"/>
    <w:pPr>
      <w:autoSpaceDE w:val="0"/>
      <w:autoSpaceDN w:val="0"/>
      <w:adjustRightInd w:val="0"/>
      <w:spacing w:after="0" w:line="240" w:lineRule="auto"/>
    </w:pPr>
    <w:rPr>
      <w:rFonts w:ascii="Cambria" w:hAnsi="Cambria" w:cs="Cambria"/>
      <w:color w:val="000000"/>
      <w:kern w:val="0"/>
      <w:sz w:val="24"/>
      <w:szCs w:val="24"/>
    </w:rPr>
  </w:style>
  <w:style w:type="character" w:customStyle="1" w:styleId="TYTUAKTUprzedmiotregulacjiustawylubrozporzdzeniaZnak">
    <w:name w:val="TYTUŁ_AKTU – przedmiot regulacji ustawy lub rozporządzenia Znak"/>
    <w:link w:val="TYTUAKTUprzedmiotregulacjiustawylubrozporzdzenia"/>
    <w:uiPriority w:val="6"/>
    <w:rsid w:val="00A5040C"/>
    <w:rPr>
      <w:rFonts w:ascii="Times" w:eastAsiaTheme="minorEastAsia" w:hAnsi="Times" w:cs="Arial"/>
      <w:b/>
      <w:bCs/>
      <w:kern w:val="0"/>
      <w:sz w:val="24"/>
      <w:szCs w:val="24"/>
      <w:lang w:eastAsia="pl-PL"/>
      <w14:ligatures w14:val="none"/>
    </w:rPr>
  </w:style>
  <w:style w:type="paragraph" w:styleId="Nagwek">
    <w:name w:val="header"/>
    <w:basedOn w:val="Normalny"/>
    <w:link w:val="NagwekZnak"/>
    <w:uiPriority w:val="99"/>
    <w:unhideWhenUsed/>
    <w:rsid w:val="006C2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72E"/>
    <w:rPr>
      <w:rFonts w:ascii="Century Gothic" w:eastAsia="Calibri" w:hAnsi="Century Gothic" w:cs="Times New Roman"/>
      <w:color w:val="000000" w:themeColor="text1"/>
      <w:kern w:val="0"/>
      <w:sz w:val="20"/>
      <w:szCs w:val="20"/>
      <w:lang w:eastAsia="pl-PL"/>
      <w14:ligatures w14:val="none"/>
    </w:rPr>
  </w:style>
  <w:style w:type="paragraph" w:styleId="Stopka">
    <w:name w:val="footer"/>
    <w:basedOn w:val="Normalny"/>
    <w:link w:val="StopkaZnak"/>
    <w:uiPriority w:val="99"/>
    <w:unhideWhenUsed/>
    <w:rsid w:val="006C2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272E"/>
    <w:rPr>
      <w:rFonts w:ascii="Century Gothic" w:eastAsia="Calibri" w:hAnsi="Century Gothic" w:cs="Times New Roman"/>
      <w:color w:val="000000" w:themeColor="text1"/>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2290</Words>
  <Characters>13742</Characters>
  <Application>Microsoft Office Word</Application>
  <DocSecurity>0</DocSecurity>
  <Lines>114</Lines>
  <Paragraphs>31</Paragraphs>
  <ScaleCrop>false</ScaleCrop>
  <Company/>
  <LinksUpToDate>false</LinksUpToDate>
  <CharactersWithSpaces>16001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2025-09-05T12:27:00Z</dcterms:created>
  <dcterms:modified xsi:type="dcterms:W3CDTF">2025-09-05T12:27:00Z</dcterms:modified>
</cp:coreProperties>
</file>