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81BF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7612540D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382F7B7F" w14:textId="033757E7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EB47A3">
        <w:t>24 września 2025 r.</w:t>
      </w:r>
    </w:p>
    <w:p w14:paraId="10A18BE2" w14:textId="75B2BFC9" w:rsidR="00912118" w:rsidRPr="00E000DC" w:rsidRDefault="008F40C5" w:rsidP="00F149EA">
      <w:pPr>
        <w:pStyle w:val="TYTUAKTUprzedmiotregulacjiustawylubrozporzdzenia"/>
      </w:pPr>
      <w:r>
        <w:t xml:space="preserve">w sprawie </w:t>
      </w:r>
      <w:r w:rsidR="00F149EA" w:rsidRPr="00F149EA">
        <w:t xml:space="preserve">ustawy </w:t>
      </w:r>
      <w:bookmarkStart w:id="0" w:name="_Hlk209086651"/>
      <w:r w:rsidR="00726B20" w:rsidRPr="00726B20">
        <w:t xml:space="preserve">o zmianie ustawy – Kodeks </w:t>
      </w:r>
      <w:bookmarkEnd w:id="0"/>
      <w:r w:rsidR="008501D5">
        <w:t>cywilny</w:t>
      </w:r>
    </w:p>
    <w:p w14:paraId="2080214A" w14:textId="35CB1A4A" w:rsidR="00912118" w:rsidRDefault="00912118" w:rsidP="006B1255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387F64">
        <w:t>12 września</w:t>
      </w:r>
      <w:r w:rsidR="00AD7052">
        <w:t xml:space="preserve"> </w:t>
      </w:r>
      <w:r w:rsidR="001F2C35">
        <w:t>202</w:t>
      </w:r>
      <w:r w:rsidR="00F149EA">
        <w:t>5</w:t>
      </w:r>
      <w:r w:rsidR="00DE11BF">
        <w:t> </w:t>
      </w:r>
      <w:r w:rsidRPr="00E000DC">
        <w:t>r.</w:t>
      </w:r>
      <w:r w:rsidR="00F149EA" w:rsidRPr="00F149EA">
        <w:t xml:space="preserve"> ustawy</w:t>
      </w:r>
      <w:r w:rsidR="00387F64" w:rsidRPr="00387F64">
        <w:t xml:space="preserve"> o zmianie ustawy – Kodeks </w:t>
      </w:r>
      <w:r w:rsidR="00723A38">
        <w:t>cywilny</w:t>
      </w:r>
      <w:r w:rsidR="000805D6">
        <w:t>,</w:t>
      </w:r>
      <w:r w:rsidR="006B1255">
        <w:t xml:space="preserve"> wprowadza do </w:t>
      </w:r>
      <w:r w:rsidRPr="00E000DC">
        <w:t>jej tekstu następujące poprawki: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647"/>
      </w:tblGrid>
      <w:tr w:rsidR="008038F4" w:rsidRPr="00B528A4" w14:paraId="6CC92E2A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BC58AE2" w14:textId="77777777" w:rsidR="008038F4" w:rsidRPr="00B528A4" w:rsidRDefault="008038F4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646E0BD7" w14:textId="117322F0" w:rsidR="008038F4" w:rsidRPr="008038F4" w:rsidRDefault="00723A38" w:rsidP="00641F8F">
            <w:pPr>
              <w:pStyle w:val="TREPUNKTUWUCHWALESENACKIEJ"/>
            </w:pPr>
            <w:r w:rsidRPr="00723A38">
              <w:t>w art. 1 w pkt 2, w § 1</w:t>
            </w:r>
            <w:r w:rsidRPr="00872B57">
              <w:rPr>
                <w:rStyle w:val="IGindeksgrny"/>
              </w:rPr>
              <w:t>2</w:t>
            </w:r>
            <w:r w:rsidRPr="00723A38">
              <w:t xml:space="preserve"> wyrazy „dalszych umowach o podwykonawstwo” zastępuje się wyrazami „umowach z dalszym podwykonawcą”;</w:t>
            </w:r>
          </w:p>
        </w:tc>
      </w:tr>
      <w:tr w:rsidR="008038F4" w:rsidRPr="00B528A4" w14:paraId="65394134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DB261E1" w14:textId="77777777" w:rsidR="008038F4" w:rsidRPr="00B528A4" w:rsidRDefault="008038F4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7F61C7C1" w14:textId="6B31505F" w:rsidR="008038F4" w:rsidRPr="006B6B80" w:rsidRDefault="00723A38" w:rsidP="00641F8F">
            <w:pPr>
              <w:pStyle w:val="TREPUNKTUWUCHWALESENACKIEJ"/>
            </w:pPr>
            <w:r w:rsidRPr="00723A38">
              <w:t>w art. 2 wyraz „umów” zastępuje się wyrazami „umów o roboty budowlane”.</w:t>
            </w:r>
          </w:p>
        </w:tc>
      </w:tr>
    </w:tbl>
    <w:p w14:paraId="1D49F9E2" w14:textId="0E894293" w:rsidR="00912118" w:rsidRDefault="00912118" w:rsidP="00A054FD">
      <w:pPr>
        <w:pStyle w:val="POPIERAJCYPOPRAWKZAMIESZCZONWZESTAWIENIUWNIOSKW"/>
      </w:pPr>
    </w:p>
    <w:p w14:paraId="42CBC8E2" w14:textId="1EE66AE2" w:rsidR="0006396B" w:rsidRDefault="0006396B" w:rsidP="00A054FD">
      <w:pPr>
        <w:pStyle w:val="POPIERAJCYPOPRAWKZAMIESZCZONWZESTAWIENIUWNIOSKW"/>
      </w:pPr>
    </w:p>
    <w:p w14:paraId="089F1F58" w14:textId="5B823222" w:rsidR="0006396B" w:rsidRDefault="0006396B" w:rsidP="00A054FD">
      <w:pPr>
        <w:pStyle w:val="POPIERAJCYPOPRAWKZAMIESZCZONWZESTAWIENIUWNIOSKW"/>
      </w:pPr>
    </w:p>
    <w:p w14:paraId="2CCA20EA" w14:textId="615D6D53" w:rsidR="0006396B" w:rsidRDefault="0006396B" w:rsidP="00A054FD">
      <w:pPr>
        <w:pStyle w:val="POPIERAJCYPOPRAWKZAMIESZCZONWZESTAWIENIUWNIOSKW"/>
      </w:pPr>
    </w:p>
    <w:p w14:paraId="5837EB75" w14:textId="7450CD54" w:rsidR="0006396B" w:rsidRDefault="0006396B" w:rsidP="00A054FD">
      <w:pPr>
        <w:pStyle w:val="POPIERAJCYPOPRAWKZAMIESZCZONWZESTAWIENIUWNIOSKW"/>
      </w:pPr>
    </w:p>
    <w:p w14:paraId="5AE209F2" w14:textId="2CA481A0" w:rsidR="0006396B" w:rsidRDefault="0006396B" w:rsidP="00A054FD">
      <w:pPr>
        <w:pStyle w:val="POPIERAJCYPOPRAWKZAMIESZCZONWZESTAWIENIUWNIOSKW"/>
      </w:pPr>
    </w:p>
    <w:p w14:paraId="3E0DA281" w14:textId="2C1FFE5D" w:rsidR="0006396B" w:rsidRDefault="0006396B" w:rsidP="00A054FD">
      <w:pPr>
        <w:pStyle w:val="POPIERAJCYPOPRAWKZAMIESZCZONWZESTAWIENIUWNIOSKW"/>
      </w:pPr>
    </w:p>
    <w:p w14:paraId="626E04E8" w14:textId="31BF314B" w:rsidR="0006396B" w:rsidRDefault="0006396B" w:rsidP="00A054FD">
      <w:pPr>
        <w:pStyle w:val="POPIERAJCYPOPRAWKZAMIESZCZONWZESTAWIENIUWNIOSKW"/>
      </w:pPr>
    </w:p>
    <w:p w14:paraId="5187018A" w14:textId="77777777" w:rsidR="0006396B" w:rsidRPr="006E4091" w:rsidRDefault="0006396B" w:rsidP="0006396B">
      <w:pPr>
        <w:ind w:left="5443"/>
        <w:rPr>
          <w:rStyle w:val="Ppogrubienie"/>
          <w:color w:val="000000" w:themeColor="text1"/>
        </w:rPr>
      </w:pPr>
      <w:r w:rsidRPr="006E4091">
        <w:rPr>
          <w:rFonts w:eastAsia="Times New Roman" w:cs="Times New Roman"/>
          <w:b/>
          <w:color w:val="000000" w:themeColor="text1"/>
        </w:rPr>
        <w:tab/>
      </w:r>
      <w:r w:rsidRPr="006E4091">
        <w:rPr>
          <w:rStyle w:val="Ppogrubienie"/>
          <w:color w:val="000000" w:themeColor="text1"/>
        </w:rPr>
        <w:t>MARSZAŁEK SENATU</w:t>
      </w:r>
    </w:p>
    <w:p w14:paraId="4352E8DE" w14:textId="77777777" w:rsidR="0006396B" w:rsidRPr="006E4091" w:rsidRDefault="0006396B" w:rsidP="0006396B">
      <w:pPr>
        <w:ind w:left="5103" w:firstLine="4"/>
        <w:rPr>
          <w:rStyle w:val="Ppogrubienie"/>
          <w:color w:val="000000" w:themeColor="text1"/>
        </w:rPr>
      </w:pPr>
    </w:p>
    <w:p w14:paraId="5EBC6F67" w14:textId="77777777" w:rsidR="0006396B" w:rsidRPr="006E4091" w:rsidRDefault="0006396B" w:rsidP="0006396B">
      <w:pPr>
        <w:ind w:left="5103" w:firstLine="4"/>
        <w:rPr>
          <w:rStyle w:val="Ppogrubienie"/>
          <w:color w:val="000000" w:themeColor="text1"/>
        </w:rPr>
      </w:pPr>
    </w:p>
    <w:p w14:paraId="7E0AABB0" w14:textId="31D255DF" w:rsidR="0006396B" w:rsidRDefault="0006396B" w:rsidP="0006396B">
      <w:pPr>
        <w:tabs>
          <w:tab w:val="left" w:pos="5387"/>
        </w:tabs>
        <w:ind w:left="4962" w:firstLine="283"/>
        <w:rPr>
          <w:rStyle w:val="Ppogrubienie"/>
          <w:color w:val="000000" w:themeColor="text1"/>
        </w:rPr>
      </w:pPr>
      <w:r w:rsidRPr="006E4091">
        <w:rPr>
          <w:rStyle w:val="Ppogrubienie"/>
          <w:color w:val="000000" w:themeColor="text1"/>
        </w:rPr>
        <w:t>Małgorzata KIDAWA-BŁOŃSKA</w:t>
      </w:r>
    </w:p>
    <w:p w14:paraId="1DA25E09" w14:textId="77777777" w:rsidR="0006396B" w:rsidRDefault="0006396B" w:rsidP="0006396B">
      <w:pPr>
        <w:tabs>
          <w:tab w:val="left" w:pos="5387"/>
        </w:tabs>
        <w:ind w:left="4962" w:firstLine="283"/>
        <w:rPr>
          <w:color w:val="000000" w:themeColor="text1"/>
        </w:rPr>
        <w:sectPr w:rsidR="0006396B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7CDE8BA0" w14:textId="77777777" w:rsidR="0006396B" w:rsidRDefault="0006396B" w:rsidP="000E3BAB">
      <w:pPr>
        <w:pStyle w:val="OZNRODZAKTUtznustawalubrozporzdzenieiorganwydajcy"/>
      </w:pPr>
      <w:r w:rsidRPr="002E582A">
        <w:t>UZASADNIENI</w:t>
      </w:r>
      <w:r>
        <w:t xml:space="preserve">E </w:t>
      </w:r>
    </w:p>
    <w:p w14:paraId="009F6FAA" w14:textId="77777777" w:rsidR="0006396B" w:rsidRPr="000E3BAB" w:rsidRDefault="0006396B" w:rsidP="000E3BAB">
      <w:pPr>
        <w:pStyle w:val="DATAAKTUdatauchwalenialubwydaniaaktu"/>
      </w:pPr>
    </w:p>
    <w:p w14:paraId="7F8B8E04" w14:textId="77777777" w:rsidR="0006396B" w:rsidRDefault="0006396B" w:rsidP="001A5B04">
      <w:pPr>
        <w:pStyle w:val="NIEARTTEKSTtekstnieartykuowanynppodstprawnarozplubpreambua"/>
      </w:pPr>
      <w:r w:rsidRPr="002E582A">
        <w:t xml:space="preserve">Senat, po rozpatrzeniu uchwalonej przez Sejm na posiedzeniu w dniu </w:t>
      </w:r>
      <w:r>
        <w:t>12 września</w:t>
      </w:r>
      <w:r w:rsidRPr="002E582A">
        <w:t xml:space="preserve"> 202</w:t>
      </w:r>
      <w:r>
        <w:t>5 </w:t>
      </w:r>
      <w:r w:rsidRPr="002E582A">
        <w:t xml:space="preserve">r. ustawy </w:t>
      </w:r>
      <w:r w:rsidRPr="001A5B04">
        <w:t xml:space="preserve">o zmianie ustawy – Kodeks </w:t>
      </w:r>
      <w:r>
        <w:t>cywilny</w:t>
      </w:r>
      <w:r w:rsidRPr="002E582A">
        <w:t xml:space="preserve">, postanowił wprowadzić do jej tekstu </w:t>
      </w:r>
      <w:r>
        <w:t>2 poprawki</w:t>
      </w:r>
      <w:r w:rsidRPr="002E582A">
        <w:t>.</w:t>
      </w:r>
    </w:p>
    <w:p w14:paraId="27D437AD" w14:textId="77777777" w:rsidR="0006396B" w:rsidRPr="006A0DEC" w:rsidRDefault="0006396B" w:rsidP="006A0DEC">
      <w:pPr>
        <w:pStyle w:val="ARTartustawynprozporzdzenia"/>
      </w:pPr>
      <w:r w:rsidRPr="006A0DEC">
        <w:t>Poprawk</w:t>
      </w:r>
      <w:r>
        <w:t>ą</w:t>
      </w:r>
      <w:r w:rsidRPr="006A0DEC">
        <w:t xml:space="preserve"> nr 1 </w:t>
      </w:r>
      <w:r>
        <w:t xml:space="preserve">Senatorowie </w:t>
      </w:r>
      <w:r w:rsidRPr="006A0DEC">
        <w:t>zapewni</w:t>
      </w:r>
      <w:r>
        <w:t>li</w:t>
      </w:r>
      <w:r w:rsidRPr="006A0DEC">
        <w:t xml:space="preserve"> ustawie zmienianej spójność terminologiczną. W §</w:t>
      </w:r>
      <w:r>
        <w:t> </w:t>
      </w:r>
      <w:r w:rsidRPr="006A0DEC">
        <w:t>1</w:t>
      </w:r>
      <w:r w:rsidRPr="006A0DEC">
        <w:rPr>
          <w:rStyle w:val="IGindeksgrny"/>
        </w:rPr>
        <w:t>2</w:t>
      </w:r>
      <w:r w:rsidRPr="006A0DEC">
        <w:t xml:space="preserve"> dodawanym do </w:t>
      </w:r>
      <w:bookmarkStart w:id="1" w:name="_Hlk208575151"/>
      <w:r w:rsidRPr="006A0DEC">
        <w:t>art. 647</w:t>
      </w:r>
      <w:r w:rsidRPr="006A0DEC">
        <w:rPr>
          <w:rStyle w:val="IGindeksgrny"/>
        </w:rPr>
        <w:t>1</w:t>
      </w:r>
      <w:r w:rsidRPr="006A0DEC">
        <w:t xml:space="preserve"> </w:t>
      </w:r>
      <w:bookmarkEnd w:id="1"/>
      <w:r w:rsidRPr="006A0DEC">
        <w:t>Kodeksu cywilnego wprowadzono nowe określenie „dalsza umowa o podwykonawstwo”. Dotychczas w art. 647</w:t>
      </w:r>
      <w:r w:rsidRPr="006A0DEC">
        <w:rPr>
          <w:rStyle w:val="IGindeksgrny"/>
        </w:rPr>
        <w:t>1</w:t>
      </w:r>
      <w:r w:rsidRPr="006A0DEC">
        <w:t xml:space="preserve"> § 5 oraz w art. 649</w:t>
      </w:r>
      <w:r w:rsidRPr="006A0DEC">
        <w:rPr>
          <w:rStyle w:val="IGindeksgrny"/>
        </w:rPr>
        <w:t>5</w:t>
      </w:r>
      <w:r w:rsidRPr="006A0DEC">
        <w:t xml:space="preserve"> używa się pojęcia „</w:t>
      </w:r>
      <w:bookmarkStart w:id="2" w:name="_Hlk208577138"/>
      <w:r w:rsidRPr="006A0DEC">
        <w:t>umowa z dalszym podwykonawcą</w:t>
      </w:r>
      <w:bookmarkEnd w:id="2"/>
      <w:r w:rsidRPr="006A0DEC">
        <w:t xml:space="preserve">”. </w:t>
      </w:r>
    </w:p>
    <w:p w14:paraId="1368AF68" w14:textId="77777777" w:rsidR="0006396B" w:rsidRPr="006A0DEC" w:rsidRDefault="0006396B" w:rsidP="006A0DEC">
      <w:pPr>
        <w:pStyle w:val="ARTartustawynprozporzdzenia"/>
      </w:pPr>
      <w:r>
        <w:t>W myśl</w:t>
      </w:r>
      <w:r w:rsidRPr="006A0DEC">
        <w:t xml:space="preserve"> § 10 Zasad techniki prawodawczej</w:t>
      </w:r>
      <w:r>
        <w:t>, r</w:t>
      </w:r>
      <w:r w:rsidRPr="006A0DEC">
        <w:t xml:space="preserve">acjonalny ustawodawca do oznaczenia jednakowych pojęć używa jednakowych określeń. </w:t>
      </w:r>
      <w:r>
        <w:t>Ponieważ z kontekstu wynika, że</w:t>
      </w:r>
      <w:r w:rsidRPr="006A0DEC">
        <w:t xml:space="preserve"> </w:t>
      </w:r>
      <w:bookmarkStart w:id="3" w:name="_Hlk203995628"/>
      <w:r w:rsidRPr="006A0DEC">
        <w:t xml:space="preserve">„dalsza umowa o podwykonawstwo” </w:t>
      </w:r>
      <w:bookmarkEnd w:id="3"/>
      <w:r w:rsidRPr="006A0DEC">
        <w:t>oznacza to samo, co „umowa z dalszym podwykonawcą”, pojęcia te powinny zostać ujednolicone, tym bardziej, jeżeli znajdują się w tym samym przepisie. Dodatkowo pozwoli to uniknąć wątpliwości interpretacyjnych, czy nie chodzi o nowy typ umowy o roboty budowlane.</w:t>
      </w:r>
    </w:p>
    <w:p w14:paraId="321DEE2B" w14:textId="77777777" w:rsidR="0006396B" w:rsidRPr="00FF03E1" w:rsidRDefault="0006396B" w:rsidP="00FF03E1">
      <w:pPr>
        <w:pStyle w:val="ARTartustawynprozporzdzenia"/>
      </w:pPr>
      <w:r w:rsidRPr="006A0DEC">
        <w:t>Poprawka nr 2 ma charakter doprecyzowujący.</w:t>
      </w:r>
      <w:r w:rsidRPr="00FF03E1">
        <w:t xml:space="preserve"> Zgodnie z art. 2 noweli, do umów zawartych przed dniem wejścia w życie niniejszej ustawy stosuje się przepisy art. 647</w:t>
      </w:r>
      <w:r w:rsidRPr="00FF03E1">
        <w:rPr>
          <w:rStyle w:val="IGindeksgrny"/>
        </w:rPr>
        <w:t>1</w:t>
      </w:r>
      <w:r w:rsidRPr="00FF03E1">
        <w:t xml:space="preserve"> ustawy zmienianej w art. 1, w brzmieniu nadanym niniejszą ustawą. </w:t>
      </w:r>
      <w:r>
        <w:t>A</w:t>
      </w:r>
      <w:r w:rsidRPr="00FF03E1">
        <w:t>rt. 2 jest przepisem przejściowym</w:t>
      </w:r>
      <w:r>
        <w:t xml:space="preserve"> i </w:t>
      </w:r>
      <w:r w:rsidRPr="00FF03E1">
        <w:t>nie należy w nim stosować skrótów używanych w przepisach merytorycznych.</w:t>
      </w:r>
    </w:p>
    <w:p w14:paraId="4146A2BD" w14:textId="77777777" w:rsidR="0006396B" w:rsidRPr="006A0DEC" w:rsidRDefault="0006396B" w:rsidP="006A0DEC">
      <w:pPr>
        <w:pStyle w:val="ARTartustawynprozporzdzenia"/>
      </w:pPr>
    </w:p>
    <w:p w14:paraId="4DDE1290" w14:textId="77777777" w:rsidR="0006396B" w:rsidRPr="00C21785" w:rsidRDefault="0006396B" w:rsidP="00C21785">
      <w:pPr>
        <w:pStyle w:val="ARTartustawynprozporzdzenia"/>
      </w:pPr>
    </w:p>
    <w:p w14:paraId="5B7AF959" w14:textId="77777777" w:rsidR="0006396B" w:rsidRPr="00630931" w:rsidRDefault="0006396B" w:rsidP="00630931">
      <w:pPr>
        <w:pStyle w:val="ARTartustawynprozporzdzenia"/>
      </w:pPr>
    </w:p>
    <w:p w14:paraId="17BCBFC6" w14:textId="77777777" w:rsidR="0006396B" w:rsidRPr="00AD7F4B" w:rsidRDefault="0006396B" w:rsidP="00AD7F4B">
      <w:pPr>
        <w:pStyle w:val="ARTartustawynprozporzdzenia"/>
      </w:pPr>
    </w:p>
    <w:p w14:paraId="6D35210E" w14:textId="1B04AE60" w:rsidR="0006396B" w:rsidRPr="006E4091" w:rsidRDefault="0006396B" w:rsidP="0006396B">
      <w:pPr>
        <w:tabs>
          <w:tab w:val="left" w:pos="5387"/>
        </w:tabs>
        <w:ind w:left="4962" w:firstLine="283"/>
        <w:rPr>
          <w:color w:val="000000" w:themeColor="text1"/>
        </w:rPr>
      </w:pPr>
    </w:p>
    <w:p w14:paraId="0ED2CB23" w14:textId="77777777" w:rsidR="0006396B" w:rsidRPr="00737F6A" w:rsidRDefault="0006396B" w:rsidP="00A054FD">
      <w:pPr>
        <w:pStyle w:val="POPIERAJCYPOPRAWKZAMIESZCZONWZESTAWIENIUWNIOSKW"/>
      </w:pPr>
    </w:p>
    <w:sectPr w:rsidR="0006396B" w:rsidRPr="00737F6A" w:rsidSect="001A7F15"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0BB7A" w14:textId="77777777" w:rsidR="00CA3B0A" w:rsidRDefault="00CA3B0A">
      <w:r>
        <w:separator/>
      </w:r>
    </w:p>
  </w:endnote>
  <w:endnote w:type="continuationSeparator" w:id="0">
    <w:p w14:paraId="2E6A7021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40382" w14:textId="77777777" w:rsidR="00CA3B0A" w:rsidRDefault="00CA3B0A">
      <w:r>
        <w:separator/>
      </w:r>
    </w:p>
  </w:footnote>
  <w:footnote w:type="continuationSeparator" w:id="0">
    <w:p w14:paraId="7EFE058E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5E11B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C55CE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5D7A"/>
    <w:rsid w:val="00036B63"/>
    <w:rsid w:val="00037E1A"/>
    <w:rsid w:val="00043495"/>
    <w:rsid w:val="00046A75"/>
    <w:rsid w:val="00047312"/>
    <w:rsid w:val="00050300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396B"/>
    <w:rsid w:val="00064E4C"/>
    <w:rsid w:val="00066901"/>
    <w:rsid w:val="00071BEE"/>
    <w:rsid w:val="000736CD"/>
    <w:rsid w:val="00075245"/>
    <w:rsid w:val="0007533B"/>
    <w:rsid w:val="0007545D"/>
    <w:rsid w:val="000760BF"/>
    <w:rsid w:val="0007613E"/>
    <w:rsid w:val="00076BFC"/>
    <w:rsid w:val="000805D6"/>
    <w:rsid w:val="000814A7"/>
    <w:rsid w:val="00083704"/>
    <w:rsid w:val="0008557B"/>
    <w:rsid w:val="00085CE7"/>
    <w:rsid w:val="000906EE"/>
    <w:rsid w:val="000909F7"/>
    <w:rsid w:val="00091BA2"/>
    <w:rsid w:val="000944EF"/>
    <w:rsid w:val="0009732D"/>
    <w:rsid w:val="000973F0"/>
    <w:rsid w:val="000A1296"/>
    <w:rsid w:val="000A156A"/>
    <w:rsid w:val="000A1C27"/>
    <w:rsid w:val="000A1DAD"/>
    <w:rsid w:val="000A1E87"/>
    <w:rsid w:val="000A2649"/>
    <w:rsid w:val="000A323B"/>
    <w:rsid w:val="000B298D"/>
    <w:rsid w:val="000B5B2D"/>
    <w:rsid w:val="000B5DCE"/>
    <w:rsid w:val="000C05BA"/>
    <w:rsid w:val="000C0E8F"/>
    <w:rsid w:val="000C4BC4"/>
    <w:rsid w:val="000C7BB7"/>
    <w:rsid w:val="000D0110"/>
    <w:rsid w:val="000D2468"/>
    <w:rsid w:val="000D2CF8"/>
    <w:rsid w:val="000D318A"/>
    <w:rsid w:val="000D6173"/>
    <w:rsid w:val="000D6F83"/>
    <w:rsid w:val="000E25CC"/>
    <w:rsid w:val="000E3694"/>
    <w:rsid w:val="000E490F"/>
    <w:rsid w:val="000E6241"/>
    <w:rsid w:val="000F1545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175C1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2763"/>
    <w:rsid w:val="00184B91"/>
    <w:rsid w:val="00184D4A"/>
    <w:rsid w:val="00186EC1"/>
    <w:rsid w:val="00191E1F"/>
    <w:rsid w:val="0019473B"/>
    <w:rsid w:val="001952B1"/>
    <w:rsid w:val="00196A65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1486"/>
    <w:rsid w:val="001B342E"/>
    <w:rsid w:val="001C1832"/>
    <w:rsid w:val="001C188C"/>
    <w:rsid w:val="001C55CE"/>
    <w:rsid w:val="001D1783"/>
    <w:rsid w:val="001D53CD"/>
    <w:rsid w:val="001D55A3"/>
    <w:rsid w:val="001D5AF5"/>
    <w:rsid w:val="001E0F5E"/>
    <w:rsid w:val="001E1E73"/>
    <w:rsid w:val="001E4E0C"/>
    <w:rsid w:val="001E526D"/>
    <w:rsid w:val="001E5655"/>
    <w:rsid w:val="001F1832"/>
    <w:rsid w:val="001F220F"/>
    <w:rsid w:val="001F235F"/>
    <w:rsid w:val="001F25B3"/>
    <w:rsid w:val="001F2C35"/>
    <w:rsid w:val="001F6616"/>
    <w:rsid w:val="00202BD4"/>
    <w:rsid w:val="00204A97"/>
    <w:rsid w:val="00207133"/>
    <w:rsid w:val="002114EF"/>
    <w:rsid w:val="002140EA"/>
    <w:rsid w:val="00216218"/>
    <w:rsid w:val="002166AD"/>
    <w:rsid w:val="00217871"/>
    <w:rsid w:val="00221ED8"/>
    <w:rsid w:val="002231EA"/>
    <w:rsid w:val="00223FDF"/>
    <w:rsid w:val="002279C0"/>
    <w:rsid w:val="002309EC"/>
    <w:rsid w:val="0023727E"/>
    <w:rsid w:val="00240486"/>
    <w:rsid w:val="00242081"/>
    <w:rsid w:val="00243777"/>
    <w:rsid w:val="002441CD"/>
    <w:rsid w:val="00246912"/>
    <w:rsid w:val="002501A3"/>
    <w:rsid w:val="0025166C"/>
    <w:rsid w:val="002534F3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8273C"/>
    <w:rsid w:val="0029405D"/>
    <w:rsid w:val="00294FA6"/>
    <w:rsid w:val="00295A6F"/>
    <w:rsid w:val="002A20C4"/>
    <w:rsid w:val="002A2183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365B"/>
    <w:rsid w:val="002D0C4F"/>
    <w:rsid w:val="002D1364"/>
    <w:rsid w:val="002D4D30"/>
    <w:rsid w:val="002D5000"/>
    <w:rsid w:val="002D598D"/>
    <w:rsid w:val="002D7188"/>
    <w:rsid w:val="002E0A75"/>
    <w:rsid w:val="002E1DE3"/>
    <w:rsid w:val="002E2AB6"/>
    <w:rsid w:val="002E2D05"/>
    <w:rsid w:val="002E3F34"/>
    <w:rsid w:val="002E5F79"/>
    <w:rsid w:val="002E64FA"/>
    <w:rsid w:val="002F0A00"/>
    <w:rsid w:val="002F0CFA"/>
    <w:rsid w:val="002F4E50"/>
    <w:rsid w:val="002F4E83"/>
    <w:rsid w:val="002F669F"/>
    <w:rsid w:val="00301C97"/>
    <w:rsid w:val="00307898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3A03"/>
    <w:rsid w:val="00334E3A"/>
    <w:rsid w:val="00335A23"/>
    <w:rsid w:val="003361DD"/>
    <w:rsid w:val="003375F2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F64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C61F4"/>
    <w:rsid w:val="003D12C2"/>
    <w:rsid w:val="003D31B9"/>
    <w:rsid w:val="003D3867"/>
    <w:rsid w:val="003E0D1A"/>
    <w:rsid w:val="003E2138"/>
    <w:rsid w:val="003E2DA3"/>
    <w:rsid w:val="003F020D"/>
    <w:rsid w:val="003F03D9"/>
    <w:rsid w:val="003F2FBE"/>
    <w:rsid w:val="003F318D"/>
    <w:rsid w:val="003F5BAE"/>
    <w:rsid w:val="003F6A84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2F13"/>
    <w:rsid w:val="00463F43"/>
    <w:rsid w:val="00464B94"/>
    <w:rsid w:val="004653A8"/>
    <w:rsid w:val="00465A0B"/>
    <w:rsid w:val="0047077C"/>
    <w:rsid w:val="00470B05"/>
    <w:rsid w:val="0047207C"/>
    <w:rsid w:val="00472429"/>
    <w:rsid w:val="00472CD6"/>
    <w:rsid w:val="00474E3C"/>
    <w:rsid w:val="004762D6"/>
    <w:rsid w:val="00480A58"/>
    <w:rsid w:val="00482151"/>
    <w:rsid w:val="00485FAD"/>
    <w:rsid w:val="00487AED"/>
    <w:rsid w:val="00490675"/>
    <w:rsid w:val="00491EDF"/>
    <w:rsid w:val="00492A3F"/>
    <w:rsid w:val="00494F62"/>
    <w:rsid w:val="004A1E92"/>
    <w:rsid w:val="004A2001"/>
    <w:rsid w:val="004A3590"/>
    <w:rsid w:val="004B00A7"/>
    <w:rsid w:val="004B0749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73D"/>
    <w:rsid w:val="004C7EE7"/>
    <w:rsid w:val="004D2DEE"/>
    <w:rsid w:val="004D2E1F"/>
    <w:rsid w:val="004D7FD9"/>
    <w:rsid w:val="004E1324"/>
    <w:rsid w:val="004E19A5"/>
    <w:rsid w:val="004E2CFF"/>
    <w:rsid w:val="004E37E5"/>
    <w:rsid w:val="004E3FDB"/>
    <w:rsid w:val="004E6041"/>
    <w:rsid w:val="004F1F4A"/>
    <w:rsid w:val="004F235B"/>
    <w:rsid w:val="004F296D"/>
    <w:rsid w:val="004F508B"/>
    <w:rsid w:val="004F695F"/>
    <w:rsid w:val="004F6CA4"/>
    <w:rsid w:val="00500752"/>
    <w:rsid w:val="00501A50"/>
    <w:rsid w:val="0050222D"/>
    <w:rsid w:val="005039F5"/>
    <w:rsid w:val="00503AF3"/>
    <w:rsid w:val="00506397"/>
    <w:rsid w:val="005067C3"/>
    <w:rsid w:val="0050696D"/>
    <w:rsid w:val="0051094B"/>
    <w:rsid w:val="00510DFA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577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20C9"/>
    <w:rsid w:val="005A669D"/>
    <w:rsid w:val="005A75D8"/>
    <w:rsid w:val="005B2341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58A5"/>
    <w:rsid w:val="005F7812"/>
    <w:rsid w:val="005F7A88"/>
    <w:rsid w:val="006036EC"/>
    <w:rsid w:val="00603A1A"/>
    <w:rsid w:val="006041D1"/>
    <w:rsid w:val="006046D5"/>
    <w:rsid w:val="00607A93"/>
    <w:rsid w:val="00610C08"/>
    <w:rsid w:val="00611F74"/>
    <w:rsid w:val="00615772"/>
    <w:rsid w:val="00621256"/>
    <w:rsid w:val="00621FCC"/>
    <w:rsid w:val="00622E4B"/>
    <w:rsid w:val="006277F2"/>
    <w:rsid w:val="006333DA"/>
    <w:rsid w:val="00633DB0"/>
    <w:rsid w:val="00635134"/>
    <w:rsid w:val="006356E2"/>
    <w:rsid w:val="00641F8F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2D"/>
    <w:rsid w:val="00690252"/>
    <w:rsid w:val="006946BB"/>
    <w:rsid w:val="006969FA"/>
    <w:rsid w:val="006A35D5"/>
    <w:rsid w:val="006A748A"/>
    <w:rsid w:val="006B1255"/>
    <w:rsid w:val="006B6B80"/>
    <w:rsid w:val="006B7895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0B20"/>
    <w:rsid w:val="006F2648"/>
    <w:rsid w:val="006F2F10"/>
    <w:rsid w:val="006F482B"/>
    <w:rsid w:val="006F6311"/>
    <w:rsid w:val="006F7F59"/>
    <w:rsid w:val="007003D2"/>
    <w:rsid w:val="00700EC4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4459"/>
    <w:rsid w:val="007151B6"/>
    <w:rsid w:val="0071520D"/>
    <w:rsid w:val="00715EDB"/>
    <w:rsid w:val="007160D5"/>
    <w:rsid w:val="007163FB"/>
    <w:rsid w:val="00717C2E"/>
    <w:rsid w:val="007204FA"/>
    <w:rsid w:val="007213B3"/>
    <w:rsid w:val="00723A38"/>
    <w:rsid w:val="0072457F"/>
    <w:rsid w:val="00725406"/>
    <w:rsid w:val="0072621B"/>
    <w:rsid w:val="00726B20"/>
    <w:rsid w:val="00730555"/>
    <w:rsid w:val="007312CC"/>
    <w:rsid w:val="00736A64"/>
    <w:rsid w:val="00737F6A"/>
    <w:rsid w:val="00740295"/>
    <w:rsid w:val="007410B6"/>
    <w:rsid w:val="00744C6F"/>
    <w:rsid w:val="007457F6"/>
    <w:rsid w:val="00745ABB"/>
    <w:rsid w:val="00746E38"/>
    <w:rsid w:val="00747CD5"/>
    <w:rsid w:val="00751909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5C05"/>
    <w:rsid w:val="00770F6B"/>
    <w:rsid w:val="00771883"/>
    <w:rsid w:val="007744C2"/>
    <w:rsid w:val="00776DC2"/>
    <w:rsid w:val="00777FD3"/>
    <w:rsid w:val="00780122"/>
    <w:rsid w:val="0078214B"/>
    <w:rsid w:val="00784281"/>
    <w:rsid w:val="0078498A"/>
    <w:rsid w:val="00792207"/>
    <w:rsid w:val="00792B64"/>
    <w:rsid w:val="00792E29"/>
    <w:rsid w:val="0079379A"/>
    <w:rsid w:val="00794953"/>
    <w:rsid w:val="00796355"/>
    <w:rsid w:val="00796679"/>
    <w:rsid w:val="007A0684"/>
    <w:rsid w:val="007A147A"/>
    <w:rsid w:val="007A1F2F"/>
    <w:rsid w:val="007A2A5C"/>
    <w:rsid w:val="007A5150"/>
    <w:rsid w:val="007A5373"/>
    <w:rsid w:val="007A5537"/>
    <w:rsid w:val="007A7731"/>
    <w:rsid w:val="007A789F"/>
    <w:rsid w:val="007B75BC"/>
    <w:rsid w:val="007C0BD6"/>
    <w:rsid w:val="007C3806"/>
    <w:rsid w:val="007C4693"/>
    <w:rsid w:val="007C5BB7"/>
    <w:rsid w:val="007D07D5"/>
    <w:rsid w:val="007D1C64"/>
    <w:rsid w:val="007D32DD"/>
    <w:rsid w:val="007D6DCE"/>
    <w:rsid w:val="007D72C4"/>
    <w:rsid w:val="007E0DB7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038F4"/>
    <w:rsid w:val="008066BE"/>
    <w:rsid w:val="00812BE5"/>
    <w:rsid w:val="00815BC4"/>
    <w:rsid w:val="00817429"/>
    <w:rsid w:val="00821514"/>
    <w:rsid w:val="00821E35"/>
    <w:rsid w:val="00824591"/>
    <w:rsid w:val="00824AED"/>
    <w:rsid w:val="008277F1"/>
    <w:rsid w:val="00827820"/>
    <w:rsid w:val="00827F8D"/>
    <w:rsid w:val="00830A41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1D5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2B57"/>
    <w:rsid w:val="008753E6"/>
    <w:rsid w:val="0087738C"/>
    <w:rsid w:val="008802AF"/>
    <w:rsid w:val="00881926"/>
    <w:rsid w:val="0088242C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A91"/>
    <w:rsid w:val="00896A10"/>
    <w:rsid w:val="008971B5"/>
    <w:rsid w:val="008A2802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2A74"/>
    <w:rsid w:val="009130EF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4D8A"/>
    <w:rsid w:val="00934DC4"/>
    <w:rsid w:val="00937598"/>
    <w:rsid w:val="0093790B"/>
    <w:rsid w:val="00942B0E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08F9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1F26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32F0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56A4"/>
    <w:rsid w:val="00A4685E"/>
    <w:rsid w:val="00A50CD4"/>
    <w:rsid w:val="00A51191"/>
    <w:rsid w:val="00A52FEA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237A"/>
    <w:rsid w:val="00A7436E"/>
    <w:rsid w:val="00A74E96"/>
    <w:rsid w:val="00A75A8E"/>
    <w:rsid w:val="00A75C37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052"/>
    <w:rsid w:val="00AE039B"/>
    <w:rsid w:val="00AE28A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55AE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56AF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3C2C"/>
    <w:rsid w:val="00B848EA"/>
    <w:rsid w:val="00B84B2B"/>
    <w:rsid w:val="00B90500"/>
    <w:rsid w:val="00B9176C"/>
    <w:rsid w:val="00B935A4"/>
    <w:rsid w:val="00B954D6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A90"/>
    <w:rsid w:val="00BC4BC6"/>
    <w:rsid w:val="00BC52FD"/>
    <w:rsid w:val="00BC62C3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27F0"/>
    <w:rsid w:val="00BF3DDE"/>
    <w:rsid w:val="00BF6589"/>
    <w:rsid w:val="00BF6F7F"/>
    <w:rsid w:val="00C00647"/>
    <w:rsid w:val="00C02764"/>
    <w:rsid w:val="00C04CEF"/>
    <w:rsid w:val="00C0662F"/>
    <w:rsid w:val="00C10142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1684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1CCB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07B8"/>
    <w:rsid w:val="00CD12C1"/>
    <w:rsid w:val="00CD214E"/>
    <w:rsid w:val="00CD3E96"/>
    <w:rsid w:val="00CD46FA"/>
    <w:rsid w:val="00CD5973"/>
    <w:rsid w:val="00CE2DFB"/>
    <w:rsid w:val="00CE31A6"/>
    <w:rsid w:val="00CF09AA"/>
    <w:rsid w:val="00CF1336"/>
    <w:rsid w:val="00CF253D"/>
    <w:rsid w:val="00CF4813"/>
    <w:rsid w:val="00CF5233"/>
    <w:rsid w:val="00CF55AD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6806"/>
    <w:rsid w:val="00D32721"/>
    <w:rsid w:val="00D328DC"/>
    <w:rsid w:val="00D33387"/>
    <w:rsid w:val="00D402FB"/>
    <w:rsid w:val="00D42A0D"/>
    <w:rsid w:val="00D45679"/>
    <w:rsid w:val="00D4627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2766"/>
    <w:rsid w:val="00D848B9"/>
    <w:rsid w:val="00D865AB"/>
    <w:rsid w:val="00D87F82"/>
    <w:rsid w:val="00D90E69"/>
    <w:rsid w:val="00D91368"/>
    <w:rsid w:val="00D93106"/>
    <w:rsid w:val="00D933E9"/>
    <w:rsid w:val="00D9505D"/>
    <w:rsid w:val="00D953D0"/>
    <w:rsid w:val="00D9573F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695E"/>
    <w:rsid w:val="00DE11BF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3BDD"/>
    <w:rsid w:val="00E04258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1D7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61EC"/>
    <w:rsid w:val="00E767F8"/>
    <w:rsid w:val="00E773E8"/>
    <w:rsid w:val="00E80D2A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A7C02"/>
    <w:rsid w:val="00EB06D9"/>
    <w:rsid w:val="00EB192B"/>
    <w:rsid w:val="00EB19ED"/>
    <w:rsid w:val="00EB1CAB"/>
    <w:rsid w:val="00EB46A1"/>
    <w:rsid w:val="00EB47A3"/>
    <w:rsid w:val="00EB77E7"/>
    <w:rsid w:val="00EC0F5A"/>
    <w:rsid w:val="00EC4265"/>
    <w:rsid w:val="00EC4CEB"/>
    <w:rsid w:val="00EC659E"/>
    <w:rsid w:val="00ED2072"/>
    <w:rsid w:val="00ED2AE0"/>
    <w:rsid w:val="00ED3F06"/>
    <w:rsid w:val="00ED41EB"/>
    <w:rsid w:val="00ED5553"/>
    <w:rsid w:val="00ED5E36"/>
    <w:rsid w:val="00ED6961"/>
    <w:rsid w:val="00ED6DD1"/>
    <w:rsid w:val="00EE35B5"/>
    <w:rsid w:val="00EF0B96"/>
    <w:rsid w:val="00EF3486"/>
    <w:rsid w:val="00EF47AF"/>
    <w:rsid w:val="00EF53B6"/>
    <w:rsid w:val="00EF5483"/>
    <w:rsid w:val="00EF70AF"/>
    <w:rsid w:val="00F00926"/>
    <w:rsid w:val="00F00B73"/>
    <w:rsid w:val="00F034C4"/>
    <w:rsid w:val="00F115CA"/>
    <w:rsid w:val="00F14817"/>
    <w:rsid w:val="00F149EA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2BB1"/>
    <w:rsid w:val="00F43390"/>
    <w:rsid w:val="00F443B2"/>
    <w:rsid w:val="00F458D8"/>
    <w:rsid w:val="00F50237"/>
    <w:rsid w:val="00F53596"/>
    <w:rsid w:val="00F55BA8"/>
    <w:rsid w:val="00F55DB1"/>
    <w:rsid w:val="00F56266"/>
    <w:rsid w:val="00F5640D"/>
    <w:rsid w:val="00F56ACA"/>
    <w:rsid w:val="00F579A1"/>
    <w:rsid w:val="00F600FE"/>
    <w:rsid w:val="00F62E4D"/>
    <w:rsid w:val="00F66B34"/>
    <w:rsid w:val="00F675B9"/>
    <w:rsid w:val="00F711C9"/>
    <w:rsid w:val="00F74C59"/>
    <w:rsid w:val="00F75C3A"/>
    <w:rsid w:val="00F770A9"/>
    <w:rsid w:val="00F809E1"/>
    <w:rsid w:val="00F82E30"/>
    <w:rsid w:val="00F831CB"/>
    <w:rsid w:val="00F8352B"/>
    <w:rsid w:val="00F848A3"/>
    <w:rsid w:val="00F84ACF"/>
    <w:rsid w:val="00F85742"/>
    <w:rsid w:val="00F85BF8"/>
    <w:rsid w:val="00F871CE"/>
    <w:rsid w:val="00F87802"/>
    <w:rsid w:val="00F9068D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76AA"/>
    <w:rsid w:val="00FD0246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0D29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52E01B"/>
  <w15:docId w15:val="{324F90A4-4FAC-44C4-AB00-C06E19DA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96B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32F0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32F0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32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5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3D83B1-D636-4EBE-9187-9028C66F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Kopytowski Maciej</cp:lastModifiedBy>
  <cp:revision>3</cp:revision>
  <cp:lastPrinted>2024-06-03T13:11:00Z</cp:lastPrinted>
  <dcterms:created xsi:type="dcterms:W3CDTF">2025-09-25T07:20:00Z</dcterms:created>
  <dcterms:modified xsi:type="dcterms:W3CDTF">2025-09-25T07:22:00Z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