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8FA2" w14:textId="024CA234" w:rsidR="0077112C" w:rsidRPr="00B260CF" w:rsidRDefault="0077112C" w:rsidP="00427E3B">
      <w:pPr>
        <w:spacing w:before="120" w:after="120" w:line="276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B260CF">
        <w:rPr>
          <w:rFonts w:ascii="Times New Roman" w:hAnsi="Times New Roman" w:cs="Times New Roman"/>
          <w:spacing w:val="20"/>
          <w:sz w:val="24"/>
          <w:szCs w:val="24"/>
        </w:rPr>
        <w:t>UZASADNIENIE</w:t>
      </w:r>
    </w:p>
    <w:p w14:paraId="289B61A0" w14:textId="4E904E8F" w:rsidR="006645D6" w:rsidRPr="00B260CF" w:rsidRDefault="0077112C" w:rsidP="00427E3B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260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I. Część ogólna</w:t>
      </w:r>
    </w:p>
    <w:p w14:paraId="24A42F82" w14:textId="0B2BF564" w:rsidR="00A436AD" w:rsidRPr="00B260CF" w:rsidRDefault="0062068E" w:rsidP="00427E3B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>Od 2022 r. banki w UE odnotowały znaczny wzrost zysków w związku z ożywieniem gospodarczym po pandemii, wzrostem inflacji po inwazji na Ukrainę oraz gwałtownym podwyższeniem stóp procentowych w ramach polityki pieniężnej</w:t>
      </w:r>
      <w:r w:rsidR="00D42E99" w:rsidRPr="00B260CF"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04A2E1D" w14:textId="418EE73D" w:rsidR="00A436AD" w:rsidRPr="00B260CF" w:rsidRDefault="00A91FD8" w:rsidP="00427E3B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>Jak podaje GUS, w 2024 r. wynik finansowy netto banków w Polsce wyniósł 42</w:t>
      </w:r>
      <w:r w:rsidR="00DC667B" w:rsidRPr="00B260CF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ml</w:t>
      </w:r>
      <w:r w:rsidR="00DC667B" w:rsidRPr="00B260C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DC667B" w:rsidRPr="00B260CF"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2"/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, co oznacza wzrost o 51,9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 rok do roku</w:t>
      </w:r>
      <w:r w:rsidR="00DC667B" w:rsidRPr="00B260CF">
        <w:rPr>
          <w:rFonts w:ascii="Times New Roman" w:eastAsia="Times New Roman" w:hAnsi="Times New Roman" w:cs="Times New Roman"/>
          <w:sz w:val="24"/>
          <w:szCs w:val="24"/>
        </w:rPr>
        <w:t xml:space="preserve"> (w porównaniu do 27,6 mld zł wyniku w 2023 r.)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36AD" w:rsidRPr="00B2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14FA30" w14:textId="761014BD" w:rsidR="0077112C" w:rsidRPr="00B260CF" w:rsidRDefault="00F93F2F" w:rsidP="00427E3B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>Jednocześnie w</w:t>
      </w:r>
      <w:r w:rsidR="0062068E" w:rsidRPr="00B260CF">
        <w:rPr>
          <w:rFonts w:ascii="Times New Roman" w:eastAsia="Times New Roman" w:hAnsi="Times New Roman" w:cs="Times New Roman"/>
          <w:sz w:val="24"/>
          <w:szCs w:val="24"/>
        </w:rPr>
        <w:t xml:space="preserve"> obliczu dużych deficytów budżetowych i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nadzwyczajnej sytuacji</w:t>
      </w:r>
      <w:r w:rsidR="0062068E" w:rsidRPr="00B260CF">
        <w:rPr>
          <w:rFonts w:ascii="Times New Roman" w:eastAsia="Times New Roman" w:hAnsi="Times New Roman" w:cs="Times New Roman"/>
          <w:sz w:val="24"/>
          <w:szCs w:val="24"/>
        </w:rPr>
        <w:t xml:space="preserve"> polityczno-gospodarczej wiele rządów europejskich zareagowało wprowadzeniem nowych podatków dla banków. Od 2023 r. prawie połowa krajów UE (12 z 27) wprowadziła </w:t>
      </w:r>
      <w:r w:rsidR="00A91FD8" w:rsidRPr="00B260CF">
        <w:rPr>
          <w:rFonts w:ascii="Times New Roman" w:eastAsia="Times New Roman" w:hAnsi="Times New Roman" w:cs="Times New Roman"/>
          <w:sz w:val="24"/>
          <w:szCs w:val="24"/>
        </w:rPr>
        <w:t xml:space="preserve">tego rodzaju </w:t>
      </w:r>
      <w:r w:rsidR="0062068E" w:rsidRPr="00B260CF">
        <w:rPr>
          <w:rFonts w:ascii="Times New Roman" w:eastAsia="Times New Roman" w:hAnsi="Times New Roman" w:cs="Times New Roman"/>
          <w:sz w:val="24"/>
          <w:szCs w:val="24"/>
        </w:rPr>
        <w:t>nowe podatki</w:t>
      </w:r>
      <w:r w:rsidR="00E522E0" w:rsidRPr="00B260CF">
        <w:rPr>
          <w:rFonts w:ascii="Times New Roman" w:eastAsia="Times New Roman" w:hAnsi="Times New Roman" w:cs="Times New Roman"/>
          <w:sz w:val="24"/>
          <w:szCs w:val="24"/>
        </w:rPr>
        <w:t>, w tym obok istniejących podwyższonych stawek CIT dla sektora bankowego</w:t>
      </w:r>
      <w:r w:rsidR="00D42E99" w:rsidRPr="00B260CF"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3"/>
      </w:r>
      <w:r w:rsidR="00E522E0" w:rsidRPr="00B260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77A06" w:rsidRPr="00B260CF">
        <w:rPr>
          <w:rFonts w:ascii="Times New Roman" w:eastAsia="Times New Roman" w:hAnsi="Times New Roman" w:cs="Times New Roman"/>
          <w:sz w:val="24"/>
          <w:szCs w:val="24"/>
        </w:rPr>
        <w:t xml:space="preserve">np. </w:t>
      </w:r>
      <w:r w:rsidR="00E522E0" w:rsidRPr="00B260CF">
        <w:rPr>
          <w:rFonts w:ascii="Times New Roman" w:eastAsia="Times New Roman" w:hAnsi="Times New Roman" w:cs="Times New Roman"/>
          <w:sz w:val="24"/>
          <w:szCs w:val="24"/>
        </w:rPr>
        <w:t xml:space="preserve">w przypadku Hiszpanii, gdzie </w:t>
      </w:r>
      <w:r w:rsidR="00CE3033" w:rsidRPr="00B260CF">
        <w:rPr>
          <w:rFonts w:ascii="Times New Roman" w:eastAsia="Times New Roman" w:hAnsi="Times New Roman" w:cs="Times New Roman"/>
          <w:sz w:val="24"/>
          <w:szCs w:val="24"/>
        </w:rPr>
        <w:t>wprowadzono dodatkową opłatę</w:t>
      </w:r>
      <w:r w:rsidR="00CE3033" w:rsidRPr="00B260CF"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4"/>
      </w:r>
      <w:r w:rsidR="00CE3033" w:rsidRPr="00B2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22E0" w:rsidRPr="00B260CF">
        <w:rPr>
          <w:rFonts w:ascii="Times New Roman" w:eastAsia="Times New Roman" w:hAnsi="Times New Roman" w:cs="Times New Roman"/>
          <w:sz w:val="24"/>
          <w:szCs w:val="24"/>
        </w:rPr>
        <w:t>obok 30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22E0" w:rsidRPr="00B260CF">
        <w:rPr>
          <w:rFonts w:ascii="Times New Roman" w:eastAsia="Times New Roman" w:hAnsi="Times New Roman" w:cs="Times New Roman"/>
          <w:sz w:val="24"/>
          <w:szCs w:val="24"/>
        </w:rPr>
        <w:t>% stawki CIT</w:t>
      </w:r>
      <w:r w:rsidR="00DC667B" w:rsidRPr="00B260CF">
        <w:rPr>
          <w:rFonts w:ascii="Times New Roman" w:eastAsia="Times New Roman" w:hAnsi="Times New Roman" w:cs="Times New Roman"/>
          <w:sz w:val="24"/>
          <w:szCs w:val="24"/>
        </w:rPr>
        <w:t xml:space="preserve"> dla instytucji kredytowych</w:t>
      </w:r>
      <w:r w:rsidR="00E522E0" w:rsidRPr="00B260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C667B" w:rsidRPr="00B260CF">
        <w:rPr>
          <w:rFonts w:ascii="Times New Roman" w:eastAsia="Times New Roman" w:hAnsi="Times New Roman" w:cs="Times New Roman"/>
          <w:sz w:val="24"/>
          <w:szCs w:val="24"/>
        </w:rPr>
        <w:t>wyższej od standardowej stawki 25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667B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DC667B" w:rsidRPr="00B260CF"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5"/>
      </w:r>
      <w:r w:rsidR="00E522E0" w:rsidRPr="00B260CF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2D7E5DB7" w14:textId="61F88687" w:rsidR="00CE3033" w:rsidRPr="00B260CF" w:rsidRDefault="00A22461" w:rsidP="00427E3B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>Z drugiej strony destabilizacja sytuacji politycznej na W</w:t>
      </w:r>
      <w:r w:rsidR="00BD7CEF" w:rsidRPr="00B260C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chodzie Europy, wywołana agresją Rosji na Ukrainie, spowodowała bezprecedensową potrzebę systematycznego zwiększania wydatków na obronność w celu modernizacji i rozbudowy polskiej armii. Krajowe wydatki na obronność w 2023 r. wyniosły 3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 (były o 75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 większe w stosunku do roku poprzedniego), w 2024 r. niecałe 4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 PKB, natomiast plan na 2025 r. zakłada 4,7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% PKB. Realizacja założeń </w:t>
      </w:r>
      <w:r w:rsidR="00BC3EE6" w:rsidRPr="00B260CF">
        <w:rPr>
          <w:rFonts w:ascii="Times New Roman" w:eastAsia="Times New Roman" w:hAnsi="Times New Roman" w:cs="Times New Roman"/>
          <w:sz w:val="24"/>
          <w:szCs w:val="24"/>
        </w:rPr>
        <w:t xml:space="preserve">na kolejny rok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oznacza, że w 2026 r. Polska wyda na obronność co najmniej 5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% PKB, co nominalnie oznacza ponad 200 mld zł. </w:t>
      </w:r>
      <w:r w:rsidR="00BC3EE6" w:rsidRPr="00B260CF">
        <w:rPr>
          <w:rFonts w:ascii="Times New Roman" w:eastAsia="Times New Roman" w:hAnsi="Times New Roman" w:cs="Times New Roman"/>
          <w:sz w:val="24"/>
          <w:szCs w:val="24"/>
        </w:rPr>
        <w:t>Skutkuje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to koniecznoś</w:t>
      </w:r>
      <w:r w:rsidR="00BC3EE6" w:rsidRPr="00B260CF">
        <w:rPr>
          <w:rFonts w:ascii="Times New Roman" w:eastAsia="Times New Roman" w:hAnsi="Times New Roman" w:cs="Times New Roman"/>
          <w:sz w:val="24"/>
          <w:szCs w:val="24"/>
        </w:rPr>
        <w:t>cią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zapewnienia środków finansowych na pokrycie stopniowego zwiększania wydatków obronnych i liczebności wojska.</w:t>
      </w:r>
    </w:p>
    <w:p w14:paraId="0DCAA8E8" w14:textId="04DE329C" w:rsidR="00A22461" w:rsidRPr="00B260CF" w:rsidRDefault="00A22461" w:rsidP="00427E3B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>Biorąc pod uwagę powyższe okoliczności</w:t>
      </w:r>
      <w:r w:rsidR="00B55130" w:rsidRPr="00B260CF">
        <w:rPr>
          <w:rFonts w:ascii="Times New Roman" w:eastAsia="Times New Roman" w:hAnsi="Times New Roman" w:cs="Times New Roman"/>
          <w:sz w:val="24"/>
          <w:szCs w:val="24"/>
        </w:rPr>
        <w:t xml:space="preserve"> rynkowe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F77A06" w:rsidRPr="00B260CF">
        <w:rPr>
          <w:rFonts w:ascii="Times New Roman" w:eastAsia="Times New Roman" w:hAnsi="Times New Roman" w:cs="Times New Roman"/>
          <w:sz w:val="24"/>
          <w:szCs w:val="24"/>
        </w:rPr>
        <w:t xml:space="preserve">potrzebę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zwiększenia wpływów </w:t>
      </w:r>
      <w:r w:rsidR="00BC3EE6" w:rsidRPr="00B260CF">
        <w:rPr>
          <w:rFonts w:ascii="Times New Roman" w:eastAsia="Times New Roman" w:hAnsi="Times New Roman" w:cs="Times New Roman"/>
          <w:sz w:val="24"/>
          <w:szCs w:val="24"/>
        </w:rPr>
        <w:t>budżetowych dla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zapewnienia finansowania bezprecedensowych wydatków na obronność</w:t>
      </w:r>
      <w:r w:rsidR="00BC3EE6" w:rsidRPr="00B260C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2249" w:rsidRPr="00B260CF">
        <w:rPr>
          <w:rFonts w:ascii="Times New Roman" w:eastAsia="Times New Roman" w:hAnsi="Times New Roman" w:cs="Times New Roman"/>
          <w:sz w:val="24"/>
          <w:szCs w:val="24"/>
        </w:rPr>
        <w:t xml:space="preserve"> niezbędnym jest</w:t>
      </w:r>
      <w:r w:rsidR="00460053" w:rsidRPr="00B260CF">
        <w:rPr>
          <w:rFonts w:ascii="Times New Roman" w:eastAsia="Times New Roman" w:hAnsi="Times New Roman" w:cs="Times New Roman"/>
          <w:sz w:val="24"/>
          <w:szCs w:val="24"/>
        </w:rPr>
        <w:t xml:space="preserve"> po</w:t>
      </w:r>
      <w:r w:rsidR="003A2249" w:rsidRPr="00B260CF">
        <w:rPr>
          <w:rFonts w:ascii="Times New Roman" w:eastAsia="Times New Roman" w:hAnsi="Times New Roman" w:cs="Times New Roman"/>
          <w:sz w:val="24"/>
          <w:szCs w:val="24"/>
        </w:rPr>
        <w:t>n</w:t>
      </w:r>
      <w:r w:rsidR="00460053" w:rsidRPr="00B260CF">
        <w:rPr>
          <w:rFonts w:ascii="Times New Roman" w:eastAsia="Times New Roman" w:hAnsi="Times New Roman" w:cs="Times New Roman"/>
          <w:sz w:val="24"/>
          <w:szCs w:val="24"/>
        </w:rPr>
        <w:t>iesieni</w:t>
      </w:r>
      <w:r w:rsidR="003A2249" w:rsidRPr="00B260CF">
        <w:rPr>
          <w:rFonts w:ascii="Times New Roman" w:eastAsia="Times New Roman" w:hAnsi="Times New Roman" w:cs="Times New Roman"/>
          <w:sz w:val="24"/>
          <w:szCs w:val="24"/>
        </w:rPr>
        <w:t>e</w:t>
      </w:r>
      <w:r w:rsidR="00460053" w:rsidRPr="00B260CF">
        <w:rPr>
          <w:rFonts w:ascii="Times New Roman" w:eastAsia="Times New Roman" w:hAnsi="Times New Roman" w:cs="Times New Roman"/>
          <w:sz w:val="24"/>
          <w:szCs w:val="24"/>
        </w:rPr>
        <w:t xml:space="preserve"> dodatkowego ciężaru podatkowego przez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grupę podatników uzyskujących </w:t>
      </w:r>
      <w:r w:rsidR="00B55130" w:rsidRPr="00B260CF">
        <w:rPr>
          <w:rFonts w:ascii="Times New Roman" w:eastAsia="Times New Roman" w:hAnsi="Times New Roman" w:cs="Times New Roman"/>
          <w:sz w:val="24"/>
          <w:szCs w:val="24"/>
        </w:rPr>
        <w:t xml:space="preserve">na tle obecnej sytuacji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bezprecedensowe zyski</w:t>
      </w:r>
      <w:r w:rsidR="00460053" w:rsidRPr="00B260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4EB2A8" w14:textId="364654BA" w:rsidR="00460053" w:rsidRPr="00B260CF" w:rsidRDefault="00460053" w:rsidP="00427E3B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3A2249" w:rsidRPr="00B260CF">
        <w:rPr>
          <w:rFonts w:ascii="Times New Roman" w:eastAsia="Times New Roman" w:hAnsi="Times New Roman" w:cs="Times New Roman"/>
          <w:sz w:val="24"/>
          <w:szCs w:val="24"/>
        </w:rPr>
        <w:t>tym celu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wyodrębniono grupę podmiotów</w:t>
      </w:r>
      <w:r w:rsidR="003A2249" w:rsidRPr="00B260CF">
        <w:rPr>
          <w:rFonts w:ascii="Times New Roman" w:eastAsia="Times New Roman" w:hAnsi="Times New Roman" w:cs="Times New Roman"/>
          <w:sz w:val="24"/>
          <w:szCs w:val="24"/>
        </w:rPr>
        <w:t xml:space="preserve"> zaliczanych do sektora bankowego, pełniących wspólną funkcję w systemie finansowym ze względu na ich znaczenie w</w:t>
      </w:r>
      <w:r w:rsidR="00A436AD" w:rsidRPr="00B260C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A2249" w:rsidRPr="00B260CF">
        <w:rPr>
          <w:rFonts w:ascii="Times New Roman" w:eastAsia="Times New Roman" w:hAnsi="Times New Roman" w:cs="Times New Roman"/>
          <w:sz w:val="24"/>
          <w:szCs w:val="24"/>
        </w:rPr>
        <w:t xml:space="preserve">procesie obrotu szeroko rozumianym kapitałem. </w:t>
      </w:r>
      <w:r w:rsidR="00BC3EE6" w:rsidRPr="00B260CF">
        <w:rPr>
          <w:rFonts w:ascii="Times New Roman" w:eastAsia="Times New Roman" w:hAnsi="Times New Roman" w:cs="Times New Roman"/>
          <w:sz w:val="24"/>
          <w:szCs w:val="24"/>
        </w:rPr>
        <w:t>P</w:t>
      </w:r>
      <w:r w:rsidR="003A2249" w:rsidRPr="00B260CF">
        <w:rPr>
          <w:rFonts w:ascii="Times New Roman" w:eastAsia="Times New Roman" w:hAnsi="Times New Roman" w:cs="Times New Roman"/>
          <w:sz w:val="24"/>
          <w:szCs w:val="24"/>
        </w:rPr>
        <w:t>odmioty te pełnią rolę pośredników finansowych umożliwiając przepływ środków</w:t>
      </w:r>
      <w:r w:rsidR="00B55130" w:rsidRPr="00B260CF">
        <w:rPr>
          <w:rFonts w:ascii="Times New Roman" w:eastAsia="Times New Roman" w:hAnsi="Times New Roman" w:cs="Times New Roman"/>
          <w:sz w:val="24"/>
          <w:szCs w:val="24"/>
        </w:rPr>
        <w:t>, tj.</w:t>
      </w:r>
      <w:r w:rsidR="003A2249" w:rsidRPr="00B260CF">
        <w:rPr>
          <w:rFonts w:ascii="Times New Roman" w:eastAsia="Times New Roman" w:hAnsi="Times New Roman" w:cs="Times New Roman"/>
          <w:sz w:val="24"/>
          <w:szCs w:val="24"/>
        </w:rPr>
        <w:t xml:space="preserve"> gromadzenie </w:t>
      </w:r>
      <w:r w:rsidR="00B55130" w:rsidRPr="00B260CF">
        <w:rPr>
          <w:rFonts w:ascii="Times New Roman" w:eastAsia="Times New Roman" w:hAnsi="Times New Roman" w:cs="Times New Roman"/>
          <w:sz w:val="24"/>
          <w:szCs w:val="24"/>
        </w:rPr>
        <w:t>ich</w:t>
      </w:r>
      <w:r w:rsidR="003A2249" w:rsidRPr="00B260CF">
        <w:rPr>
          <w:rFonts w:ascii="Times New Roman" w:eastAsia="Times New Roman" w:hAnsi="Times New Roman" w:cs="Times New Roman"/>
          <w:sz w:val="24"/>
          <w:szCs w:val="24"/>
        </w:rPr>
        <w:t xml:space="preserve"> np. w formie depozytów</w:t>
      </w:r>
      <w:r w:rsidR="00BC3EE6" w:rsidRPr="00B260C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2249" w:rsidRPr="00B260CF">
        <w:rPr>
          <w:rFonts w:ascii="Times New Roman" w:eastAsia="Times New Roman" w:hAnsi="Times New Roman" w:cs="Times New Roman"/>
          <w:sz w:val="24"/>
          <w:szCs w:val="24"/>
        </w:rPr>
        <w:t xml:space="preserve"> jak i pozyskanie np. poprzez kredyt czy pożyczk</w:t>
      </w:r>
      <w:r w:rsidR="00B55130" w:rsidRPr="00B260CF">
        <w:rPr>
          <w:rFonts w:ascii="Times New Roman" w:eastAsia="Times New Roman" w:hAnsi="Times New Roman" w:cs="Times New Roman"/>
          <w:sz w:val="24"/>
          <w:szCs w:val="24"/>
        </w:rPr>
        <w:t>ę</w:t>
      </w:r>
      <w:r w:rsidR="003A2249" w:rsidRPr="00B260CF">
        <w:rPr>
          <w:rFonts w:ascii="Times New Roman" w:eastAsia="Times New Roman" w:hAnsi="Times New Roman" w:cs="Times New Roman"/>
          <w:sz w:val="24"/>
          <w:szCs w:val="24"/>
        </w:rPr>
        <w:t>. Niezależnie od różnic regulacyjnych oraz podstaw prawnych dot</w:t>
      </w:r>
      <w:r w:rsidR="000B507B" w:rsidRPr="00B260CF">
        <w:rPr>
          <w:rFonts w:ascii="Times New Roman" w:eastAsia="Times New Roman" w:hAnsi="Times New Roman" w:cs="Times New Roman"/>
          <w:sz w:val="24"/>
          <w:szCs w:val="24"/>
        </w:rPr>
        <w:t>yczących</w:t>
      </w:r>
      <w:r w:rsidR="003A2249" w:rsidRPr="00B260CF">
        <w:rPr>
          <w:rFonts w:ascii="Times New Roman" w:eastAsia="Times New Roman" w:hAnsi="Times New Roman" w:cs="Times New Roman"/>
          <w:sz w:val="24"/>
          <w:szCs w:val="24"/>
        </w:rPr>
        <w:t xml:space="preserve"> ich funkcjonowania podmioty te realizują tożsame funkcje ekonomiczne - udziału w kreowaniu oraz transferze środków pieniężnych między podmioty spoza sektora finansowego takie jak przedsiębiorstwa, osoby fizyczne, gospodarstwa domowe</w:t>
      </w:r>
      <w:r w:rsidR="00BD01D7" w:rsidRPr="00B260C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2249" w:rsidRPr="00B260CF">
        <w:rPr>
          <w:rFonts w:ascii="Times New Roman" w:eastAsia="Times New Roman" w:hAnsi="Times New Roman" w:cs="Times New Roman"/>
          <w:sz w:val="24"/>
          <w:szCs w:val="24"/>
        </w:rPr>
        <w:t xml:space="preserve"> które </w:t>
      </w:r>
      <w:r w:rsidR="003A2249" w:rsidRPr="00B260CF">
        <w:rPr>
          <w:rFonts w:ascii="Times New Roman" w:eastAsia="Times New Roman" w:hAnsi="Times New Roman" w:cs="Times New Roman"/>
          <w:sz w:val="24"/>
          <w:szCs w:val="24"/>
        </w:rPr>
        <w:lastRenderedPageBreak/>
        <w:t>gromadzą i wydatkują środki pieniężne lub poszukują finansowania.</w:t>
      </w:r>
      <w:r w:rsidR="00BC3EE6" w:rsidRPr="00B260CF">
        <w:rPr>
          <w:rFonts w:ascii="Times New Roman" w:eastAsia="Times New Roman" w:hAnsi="Times New Roman" w:cs="Times New Roman"/>
          <w:sz w:val="24"/>
          <w:szCs w:val="24"/>
        </w:rPr>
        <w:t xml:space="preserve"> Oparcie kryterium wyodrębnienia tej grupy podmiotów o</w:t>
      </w:r>
      <w:r w:rsidR="00A436AD" w:rsidRPr="00B260C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C3EE6" w:rsidRPr="00B260CF">
        <w:rPr>
          <w:rFonts w:ascii="Times New Roman" w:eastAsia="Times New Roman" w:hAnsi="Times New Roman" w:cs="Times New Roman"/>
          <w:sz w:val="24"/>
          <w:szCs w:val="24"/>
        </w:rPr>
        <w:t xml:space="preserve">taką funkcję ekonomiczną ma na celu jednolite rozłożenie dodatkowego ciężaru podatkowego na podmioty zyskujące m.in. na wzroście inflacji i podwyższonych stopach procentowych. </w:t>
      </w:r>
    </w:p>
    <w:p w14:paraId="01A6CFB6" w14:textId="09B59796" w:rsidR="008E1FBA" w:rsidRPr="00B260CF" w:rsidRDefault="008E1FBA" w:rsidP="00427E3B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>W odniesieniu do tej grupy podmiotów dokonano zmian w ustawie z dnia 15 lutego 1992</w:t>
      </w:r>
      <w:r w:rsidR="00A436AD" w:rsidRPr="00B260C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r. o podatku dochodowym od osób prawnych (Dz. U. z 2025 r. poz. 278, z późn. zm.), zwanej dalej „</w:t>
      </w:r>
      <w:r w:rsidRPr="00B260CF">
        <w:rPr>
          <w:rFonts w:ascii="Times New Roman" w:eastAsia="Times New Roman" w:hAnsi="Times New Roman" w:cs="Times New Roman"/>
          <w:b/>
          <w:bCs/>
          <w:sz w:val="24"/>
          <w:szCs w:val="24"/>
        </w:rPr>
        <w:t>ustawą o CIT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”, zmierzających do zwiększenia płaconego przez nie podatku. Zmiany te zostały szczegółowo omówione w pkt II poniżej.</w:t>
      </w:r>
    </w:p>
    <w:p w14:paraId="4C8B3FD9" w14:textId="164DCA3A" w:rsidR="00A436AD" w:rsidRPr="00B260CF" w:rsidRDefault="008E1FBA" w:rsidP="00427E3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>Biorąc jednak pod uwagę przejściowy charakter zysków wypracowywanych przez te podmioty</w:t>
      </w:r>
      <w:r w:rsidR="0004356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D7CEF" w:rsidRPr="00B2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zadecydowano o odpowiednim dostosowaniu</w:t>
      </w:r>
      <w:r w:rsidR="00B55130" w:rsidRPr="00B260CF">
        <w:rPr>
          <w:rFonts w:ascii="Times New Roman" w:eastAsia="Times New Roman" w:hAnsi="Times New Roman" w:cs="Times New Roman"/>
          <w:sz w:val="24"/>
          <w:szCs w:val="24"/>
        </w:rPr>
        <w:t xml:space="preserve"> od 2027 r.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obciążenia wynikającego z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ustawy z dnia 15 stycznia 2016 r. o podatku od niektórych instytucji finansowych (Dz. U. z 2023 r. poz. 623), zwanej dalej „</w:t>
      </w:r>
      <w:r w:rsidRPr="00B260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ustawą o ponif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”. Zmiany te</w:t>
      </w:r>
      <w:r w:rsidR="00BD7CEF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będą miały charakter trwały i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zostały szczegółowo omówione</w:t>
      </w:r>
      <w:r w:rsidR="00205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pkt III poniżej. </w:t>
      </w:r>
    </w:p>
    <w:p w14:paraId="7C1C5150" w14:textId="4FF16B06" w:rsidR="00ED4709" w:rsidRPr="00B260CF" w:rsidRDefault="0077112C" w:rsidP="00427E3B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260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II. </w:t>
      </w:r>
      <w:r w:rsidR="006645D6" w:rsidRPr="00B260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Zmiany w </w:t>
      </w:r>
      <w:r w:rsidR="00A436AD" w:rsidRPr="00B260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ustawie o </w:t>
      </w:r>
      <w:r w:rsidR="006645D6" w:rsidRPr="00B260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CIT</w:t>
      </w:r>
      <w:r w:rsidR="00A436AD" w:rsidRPr="00B260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6645D6" w:rsidRPr="00B260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719D90CE" w14:textId="432D4487" w:rsidR="00CC407A" w:rsidRPr="00B260CF" w:rsidRDefault="00632923" w:rsidP="00427E3B">
      <w:pPr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Ustawa </w:t>
      </w:r>
      <w:r w:rsidR="00427E3B" w:rsidRPr="00B260CF">
        <w:rPr>
          <w:rFonts w:ascii="Times New Roman" w:eastAsia="Times New Roman" w:hAnsi="Times New Roman" w:cs="Times New Roman"/>
          <w:sz w:val="24"/>
          <w:szCs w:val="24"/>
        </w:rPr>
        <w:t>(dodawany art. 19 ust. 1 pkt 3</w:t>
      </w:r>
      <w:r w:rsidR="007B40A7" w:rsidRPr="00B260CF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FE7E30" w:rsidRPr="00B260CF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7E3B" w:rsidRPr="00B260CF">
        <w:rPr>
          <w:rFonts w:ascii="Times New Roman" w:eastAsia="Times New Roman" w:hAnsi="Times New Roman" w:cs="Times New Roman"/>
          <w:sz w:val="24"/>
          <w:szCs w:val="24"/>
        </w:rPr>
        <w:t xml:space="preserve">; art. 1 pkt 1 nowelizacji)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wprowadza zmiany w</w:t>
      </w:r>
      <w:r w:rsidR="00427E3B" w:rsidRPr="00B260C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ustawie o CIT, polegające </w:t>
      </w:r>
      <w:r w:rsidR="00CC407A" w:rsidRPr="00B260CF">
        <w:rPr>
          <w:rFonts w:ascii="Times New Roman" w:eastAsia="Times New Roman" w:hAnsi="Times New Roman" w:cs="Times New Roman"/>
          <w:sz w:val="24"/>
          <w:szCs w:val="24"/>
        </w:rPr>
        <w:t>na podwyższeniu stawki CIT w</w:t>
      </w:r>
      <w:r w:rsidR="00A436AD" w:rsidRPr="00B260C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C407A" w:rsidRPr="00B260CF">
        <w:rPr>
          <w:rFonts w:ascii="Times New Roman" w:eastAsia="Times New Roman" w:hAnsi="Times New Roman" w:cs="Times New Roman"/>
          <w:sz w:val="24"/>
          <w:szCs w:val="24"/>
        </w:rPr>
        <w:t>odniesieniu do podatników będących:</w:t>
      </w:r>
    </w:p>
    <w:p w14:paraId="7C949F6F" w14:textId="43A83617" w:rsidR="00A436AD" w:rsidRPr="00B260CF" w:rsidRDefault="00CC407A" w:rsidP="00427E3B">
      <w:pPr>
        <w:numPr>
          <w:ilvl w:val="0"/>
          <w:numId w:val="1"/>
        </w:numPr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bankami krajowymi </w:t>
      </w:r>
      <w:r w:rsidR="00A436AD" w:rsidRPr="00B260CF">
        <w:rPr>
          <w:rFonts w:ascii="Times New Roman" w:eastAsia="Times New Roman" w:hAnsi="Times New Roman" w:cs="Times New Roman"/>
          <w:sz w:val="24"/>
          <w:szCs w:val="24"/>
        </w:rPr>
        <w:t>w rozumieniu art. 4 ust. 1 pkt 1 ustawy z dnia 29 sierpnia 1997 r. – Prawo bankowe (Dz. U. z 2024 r. poz.1646, z późn. zm.),</w:t>
      </w:r>
    </w:p>
    <w:p w14:paraId="44C9290B" w14:textId="034874F4" w:rsidR="00CC407A" w:rsidRPr="00B260CF" w:rsidRDefault="00CC407A" w:rsidP="00427E3B">
      <w:pPr>
        <w:numPr>
          <w:ilvl w:val="0"/>
          <w:numId w:val="1"/>
        </w:numPr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bankami zagranicznymi w rozumieniu art. 4 ust. 1 </w:t>
      </w:r>
      <w:r w:rsidR="00A436AD" w:rsidRPr="00B260CF">
        <w:rPr>
          <w:rFonts w:ascii="Times New Roman" w:eastAsia="Times New Roman" w:hAnsi="Times New Roman" w:cs="Times New Roman"/>
          <w:sz w:val="24"/>
          <w:szCs w:val="24"/>
        </w:rPr>
        <w:t xml:space="preserve">pkt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A436AD" w:rsidRPr="00B260CF">
        <w:rPr>
          <w:rFonts w:ascii="Times New Roman" w:eastAsia="Times New Roman" w:hAnsi="Times New Roman" w:cs="Times New Roman"/>
          <w:sz w:val="24"/>
          <w:szCs w:val="24"/>
        </w:rPr>
        <w:t xml:space="preserve">ww.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ustawy</w:t>
      </w:r>
      <w:r w:rsidR="00A95CFB" w:rsidRPr="00B2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– Prawo bankowe</w:t>
      </w:r>
      <w:r w:rsidR="00B21C55" w:rsidRPr="00B260C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386EB9" w14:textId="4153DD1A" w:rsidR="00CC407A" w:rsidRPr="00B260CF" w:rsidRDefault="00CC407A" w:rsidP="002E51C4">
      <w:pPr>
        <w:numPr>
          <w:ilvl w:val="0"/>
          <w:numId w:val="1"/>
        </w:numPr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instytucjami kredytowymi w rozumieniu art. 4 ust. 1 pkt 17 </w:t>
      </w:r>
      <w:r w:rsidR="00427E3B" w:rsidRPr="00B260CF">
        <w:rPr>
          <w:rFonts w:ascii="Times New Roman" w:eastAsia="Times New Roman" w:hAnsi="Times New Roman" w:cs="Times New Roman"/>
          <w:sz w:val="24"/>
          <w:szCs w:val="24"/>
        </w:rPr>
        <w:t xml:space="preserve">ustawy </w:t>
      </w:r>
      <w:r w:rsidR="0004356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7E3B" w:rsidRPr="00B2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Praw</w:t>
      </w:r>
      <w:r w:rsidR="00427E3B" w:rsidRPr="00B260C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bankowe</w:t>
      </w:r>
      <w:r w:rsidR="00B21C55" w:rsidRPr="00B260C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oraz</w:t>
      </w:r>
    </w:p>
    <w:p w14:paraId="257C5E2D" w14:textId="0DBB602D" w:rsidR="002E6C99" w:rsidRPr="00B260CF" w:rsidRDefault="00CC407A" w:rsidP="00A9702A">
      <w:pPr>
        <w:numPr>
          <w:ilvl w:val="0"/>
          <w:numId w:val="1"/>
        </w:numPr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>spółdzielczymi kasami oszczędnościowo-kredytowymi w rozumieniu art. 2 ustawy z dnia 5 listopada 2009 r. o spółdzielczych kasach oszczędnościowo-kredytowych (Dz. U. z 2025 r. poz. 379, z późn. zm.), zwanej dalej „</w:t>
      </w:r>
      <w:r w:rsidRPr="00B260CF">
        <w:rPr>
          <w:rFonts w:ascii="Times New Roman" w:eastAsia="Times New Roman" w:hAnsi="Times New Roman" w:cs="Times New Roman"/>
          <w:b/>
          <w:bCs/>
          <w:sz w:val="24"/>
          <w:szCs w:val="24"/>
        </w:rPr>
        <w:t>ustawą o SKOK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B21C55" w:rsidRPr="00B260C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E5B51FA" w14:textId="0808B950" w:rsidR="00632923" w:rsidRPr="00B260CF" w:rsidRDefault="00427E3B" w:rsidP="00A9702A">
      <w:pPr>
        <w:numPr>
          <w:ilvl w:val="0"/>
          <w:numId w:val="1"/>
        </w:numPr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>podatkową grupą kapitałową (</w:t>
      </w:r>
      <w:r w:rsidRPr="00B260CF">
        <w:rPr>
          <w:rFonts w:ascii="Times New Roman" w:eastAsia="Times New Roman" w:hAnsi="Times New Roman" w:cs="Times New Roman"/>
          <w:b/>
          <w:bCs/>
          <w:sz w:val="24"/>
          <w:szCs w:val="24"/>
        </w:rPr>
        <w:t>PGK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) w skład których wchodzi bank krajowy.</w:t>
      </w:r>
    </w:p>
    <w:p w14:paraId="4786F8AB" w14:textId="290BE58D" w:rsidR="002E51C4" w:rsidRPr="00B260CF" w:rsidRDefault="002E51C4" w:rsidP="002E51C4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Należy przy tym zauważyć, że zakres podmiotowy zmian został dostosowany do charakteru danego podatku. Z tego względu, powyżej wskazano m.in. bank zagraniczny i instytucję kredytową (w rozumieniu ustawy – Prawo bankowe), będące podmiotami z siedzibą na terytorium innego niż Rzeczpospolita Polska państwa członkowskiego UE bądź państwa trzeciego. Na gruncie podatku CIT podatnikiem jest bowiem m.in. osoba prawna – w omawianym przypadku – podmiot zagraniczny prowadzący działalność w Polsce poprzez zagraniczny zakład (np. oddział). Sam, położony w Polsce, oddział/zagraniczny zakład takiego podmiotu nie posiada podmiotowości prawnej na gruncie CIT. Oznacza to, że wskutek objęcia projektowaną nowelizacją instytucji kredytowych i banków zagranicznych objęto nią </w:t>
      </w:r>
      <w:r w:rsidRPr="00B260C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 facto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(w związku z zakresem władztwa podatkowego, uwzględniającego rozwiązania zawarte w umowach o unikaniu podwójnego opodatkowania) działalność takich podmiotów w Polsce poprzez położony w Polsce zakład (np. oddział). Nie jest </w:t>
      </w:r>
      <w:r w:rsidR="00923542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więc także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zasadnym odwołanie się wprost do samego oddziału, na wzór ustawy o ponif.</w:t>
      </w:r>
    </w:p>
    <w:p w14:paraId="0BED878E" w14:textId="7D1E4AF3" w:rsidR="008E2ABD" w:rsidRPr="00B260CF" w:rsidRDefault="00B55130" w:rsidP="002E51C4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odniesieniu do podmiotów objętych zmianą stawka CIT zostanie </w:t>
      </w:r>
      <w:r w:rsidR="00F77A06" w:rsidRPr="00B260CF">
        <w:rPr>
          <w:rFonts w:ascii="Times New Roman" w:eastAsia="Times New Roman" w:hAnsi="Times New Roman" w:cs="Times New Roman"/>
          <w:sz w:val="24"/>
          <w:szCs w:val="24"/>
        </w:rPr>
        <w:t xml:space="preserve">(docelowo)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podniesiona </w:t>
      </w:r>
      <w:r w:rsidR="00C84080" w:rsidRPr="00B260CF">
        <w:rPr>
          <w:rFonts w:ascii="Times New Roman" w:eastAsia="Times New Roman" w:hAnsi="Times New Roman" w:cs="Times New Roman"/>
          <w:sz w:val="24"/>
          <w:szCs w:val="24"/>
        </w:rPr>
        <w:t>z 19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080" w:rsidRPr="00B260CF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do 23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 podstawy opodatkowania</w:t>
      </w:r>
      <w:r w:rsidR="002E51C4" w:rsidRPr="00B260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84080" w:rsidRPr="00B260CF">
        <w:rPr>
          <w:rFonts w:ascii="Times New Roman" w:eastAsia="Times New Roman" w:hAnsi="Times New Roman" w:cs="Times New Roman"/>
          <w:sz w:val="24"/>
          <w:szCs w:val="24"/>
        </w:rPr>
        <w:t>a w przypadku gdy ww. podmioty (z wyjątkiem PGK, która nie może posiadać takiego statusu) spełniają warunki do stosowania obecnej stawki 9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080" w:rsidRPr="00B260CF">
        <w:rPr>
          <w:rFonts w:ascii="Times New Roman" w:eastAsia="Times New Roman" w:hAnsi="Times New Roman" w:cs="Times New Roman"/>
          <w:sz w:val="24"/>
          <w:szCs w:val="24"/>
        </w:rPr>
        <w:t>% - „docelowa” stawka podatku zostanie podniesiona do 13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080" w:rsidRPr="00B260CF">
        <w:rPr>
          <w:rFonts w:ascii="Times New Roman" w:eastAsia="Times New Roman" w:hAnsi="Times New Roman" w:cs="Times New Roman"/>
          <w:sz w:val="24"/>
          <w:szCs w:val="24"/>
        </w:rPr>
        <w:t xml:space="preserve">%. Takie rozwiązanie pozwala na zachowanie obecnej różnicy w punktach procentowych pomiędzy podmiotami, których dotyczy omawiany projekt. Rozwiązane to należy uznać za bardziej adekwatne w kontekście zachowania wewnętrznej konkurencyjności wprowadzanych rozwiązań w ramach sektora bankowego niż takie, które podnosi stawkę podstawową i stawkę obniżoną o ten sam procent. </w:t>
      </w:r>
      <w:r w:rsidR="00A76F57" w:rsidRPr="00B260CF">
        <w:rPr>
          <w:rFonts w:ascii="Times New Roman" w:eastAsia="Times New Roman" w:hAnsi="Times New Roman" w:cs="Times New Roman"/>
          <w:sz w:val="24"/>
          <w:szCs w:val="24"/>
        </w:rPr>
        <w:t xml:space="preserve">Jednocześnie </w:t>
      </w:r>
      <w:r w:rsidR="00B77CE4" w:rsidRPr="00B260CF">
        <w:rPr>
          <w:rFonts w:ascii="Times New Roman" w:eastAsia="Times New Roman" w:hAnsi="Times New Roman" w:cs="Times New Roman"/>
          <w:sz w:val="24"/>
          <w:szCs w:val="24"/>
        </w:rPr>
        <w:t xml:space="preserve">proponuje się </w:t>
      </w:r>
      <w:r w:rsidR="00D80D90" w:rsidRPr="00B260CF">
        <w:rPr>
          <w:rFonts w:ascii="Times New Roman" w:eastAsia="Times New Roman" w:hAnsi="Times New Roman" w:cs="Times New Roman"/>
          <w:sz w:val="24"/>
          <w:szCs w:val="24"/>
        </w:rPr>
        <w:t>odpowiednie dostosowanie art. 19 ust. 1 pkt 2 i u</w:t>
      </w:r>
      <w:r w:rsidR="00B77CE4" w:rsidRPr="00B260CF">
        <w:rPr>
          <w:rFonts w:ascii="Times New Roman" w:eastAsia="Times New Roman" w:hAnsi="Times New Roman" w:cs="Times New Roman"/>
          <w:sz w:val="24"/>
          <w:szCs w:val="24"/>
        </w:rPr>
        <w:t>regul</w:t>
      </w:r>
      <w:r w:rsidR="00D80D90" w:rsidRPr="00B260CF">
        <w:rPr>
          <w:rFonts w:ascii="Times New Roman" w:eastAsia="Times New Roman" w:hAnsi="Times New Roman" w:cs="Times New Roman"/>
          <w:sz w:val="24"/>
          <w:szCs w:val="24"/>
        </w:rPr>
        <w:t>owanie</w:t>
      </w:r>
      <w:r w:rsidR="00B77CE4" w:rsidRPr="00B260CF">
        <w:rPr>
          <w:rFonts w:ascii="Times New Roman" w:eastAsia="Times New Roman" w:hAnsi="Times New Roman" w:cs="Times New Roman"/>
          <w:sz w:val="24"/>
          <w:szCs w:val="24"/>
        </w:rPr>
        <w:t xml:space="preserve"> spos</w:t>
      </w:r>
      <w:r w:rsidR="00D80D90" w:rsidRPr="00B260CF">
        <w:rPr>
          <w:rFonts w:ascii="Times New Roman" w:eastAsia="Times New Roman" w:hAnsi="Times New Roman" w:cs="Times New Roman"/>
          <w:sz w:val="24"/>
          <w:szCs w:val="24"/>
        </w:rPr>
        <w:t>o</w:t>
      </w:r>
      <w:r w:rsidR="00B77CE4" w:rsidRPr="00B260CF">
        <w:rPr>
          <w:rFonts w:ascii="Times New Roman" w:eastAsia="Times New Roman" w:hAnsi="Times New Roman" w:cs="Times New Roman"/>
          <w:sz w:val="24"/>
          <w:szCs w:val="24"/>
        </w:rPr>
        <w:t>b</w:t>
      </w:r>
      <w:r w:rsidR="00D80D90" w:rsidRPr="00B260CF">
        <w:rPr>
          <w:rFonts w:ascii="Times New Roman" w:eastAsia="Times New Roman" w:hAnsi="Times New Roman" w:cs="Times New Roman"/>
          <w:sz w:val="24"/>
          <w:szCs w:val="24"/>
        </w:rPr>
        <w:t>u</w:t>
      </w:r>
      <w:r w:rsidR="00B77CE4" w:rsidRPr="00B260CF">
        <w:rPr>
          <w:rFonts w:ascii="Times New Roman" w:eastAsia="Times New Roman" w:hAnsi="Times New Roman" w:cs="Times New Roman"/>
          <w:sz w:val="24"/>
          <w:szCs w:val="24"/>
        </w:rPr>
        <w:t xml:space="preserve"> liczenia limitu przychodów uprawniającego do stosowania niższej stawki podatku CIT zgodnie z logiką, iż kwota 2 000 000 euro powinna być odpowiednio dostosowania do faktycznej długości roku podatkowego podatnika.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49C8FA0C" w14:textId="6F5C1EE9" w:rsidR="00736E10" w:rsidRPr="00B260CF" w:rsidRDefault="00736E10" w:rsidP="002E51C4">
      <w:pPr>
        <w:autoSpaceDE w:val="0"/>
        <w:autoSpaceDN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Zgodnie z</w:t>
      </w:r>
      <w:r w:rsidR="004D3760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7E30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zmienianym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przepisem art. 25 ust. 1</w:t>
      </w:r>
      <w:r w:rsidR="00FE7E30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1g (art. 1 pkt 2 lit. a nowelizacji) </w:t>
      </w:r>
      <w:r w:rsidR="00F51181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określenie stawki w wysokości 13</w:t>
      </w:r>
      <w:r w:rsidR="00205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1181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został</w:t>
      </w:r>
      <w:r w:rsidR="00F51181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1181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odpowiednio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uwzględnion</w:t>
      </w:r>
      <w:r w:rsidR="00F51181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odniesieniu do zasad płacenia zaliczek miesięcznych lub kwartalnych przez takie podmioty. </w:t>
      </w:r>
      <w:r w:rsidR="00F51181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Zgodnie z tymi przepisami podatnicy ci przy obliczaniu stawek miesięcznych i kwartalnych stosują 23</w:t>
      </w:r>
      <w:r w:rsidR="00205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1181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 stawkę podatkową określoną w art. 19 ust. 1 pkt 3, chyba że zastosowanie znajduje wyjątek od tej reguły pozwalający na zastosowanie </w:t>
      </w:r>
      <w:r w:rsidR="00BD01D7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stawki </w:t>
      </w:r>
      <w:r w:rsidR="00F51181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="00205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1181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%. Wyjątek ma zastosowanie wobec podatników rozpoczynających działalność oraz małych podatników (z odpowiednimi zastrzeżeniami wynikającymi z ustawy o CIT), którzy mogą obliczać zaliczki przy zastosowaniu obniżonej stawki 13</w:t>
      </w:r>
      <w:r w:rsidR="00205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1181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% za miesiące lub kwartały, w których ich przychody osiągnięte od początku roku podatkowego nie przekroczyły wyrażonej w złotych kwoty odpowiadającej równowartości 2 000 000 euro przeliczonej według średniego kursu euro ogłaszanego przez Narodowy Bank Polski na pierwszy dzień roboczy roku podatkowego, w zaokrągleniu do 1000 zł. Oznacza to, że za miesiące/kwartały, w którym próg ten nie został przekroczony, podatnicy ci stosują stawkę 13</w:t>
      </w:r>
      <w:r w:rsidR="00205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1181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% (albo wynikającą z przepisów epizodycznych), a do momentu przekroczenia tego progu stosują stawkę 23</w:t>
      </w:r>
      <w:r w:rsidR="00205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1181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% (albo wynikającą z przepisów epizodycznych).</w:t>
      </w:r>
    </w:p>
    <w:p w14:paraId="79B29DA3" w14:textId="7D4D7B49" w:rsidR="00F51181" w:rsidRPr="00B260CF" w:rsidRDefault="00F51181" w:rsidP="002E51C4">
      <w:pPr>
        <w:autoSpaceDE w:val="0"/>
        <w:autoSpaceDN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Zmieniony art. 25 ust. 1f i art. 25 ust. 1g utrzymuje dotychczasowe zasady w odniesieniu do pozostałych podatników stosujących stawkę 9</w:t>
      </w:r>
      <w:r w:rsidR="00205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%. </w:t>
      </w:r>
    </w:p>
    <w:p w14:paraId="72E09D34" w14:textId="0E2E5690" w:rsidR="00E20245" w:rsidRPr="00B260CF" w:rsidRDefault="00FE7E30" w:rsidP="00DD680D">
      <w:pPr>
        <w:autoSpaceDE w:val="0"/>
        <w:autoSpaceDN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>Zgodnie z dodawanym art. 25 ust. 1h (art. 1 pkt 2 lit. b nowelizacji) w</w:t>
      </w:r>
      <w:r w:rsidR="00B55130" w:rsidRPr="00B2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E3B" w:rsidRPr="00B260CF">
        <w:rPr>
          <w:rFonts w:ascii="Times New Roman" w:eastAsia="Times New Roman" w:hAnsi="Times New Roman" w:cs="Times New Roman"/>
          <w:sz w:val="24"/>
          <w:szCs w:val="24"/>
        </w:rPr>
        <w:t>odniesieniu do PGK objętych omawianymi zmianami stawka 23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8E8" w:rsidRPr="00B260CF">
        <w:rPr>
          <w:rFonts w:ascii="Times New Roman" w:eastAsia="Times New Roman" w:hAnsi="Times New Roman" w:cs="Times New Roman"/>
          <w:sz w:val="24"/>
          <w:szCs w:val="24"/>
        </w:rPr>
        <w:t xml:space="preserve">% (albo stawka wynikająca z przepisów epizodycznych) znajdzie zastosowanie do części podstawy opodatkowania takiej PGK </w:t>
      </w:r>
      <w:r w:rsidR="00D506B4" w:rsidRPr="00B260CF">
        <w:rPr>
          <w:rFonts w:ascii="Times New Roman" w:eastAsia="Times New Roman" w:hAnsi="Times New Roman" w:cs="Times New Roman"/>
          <w:sz w:val="24"/>
          <w:szCs w:val="24"/>
        </w:rPr>
        <w:t xml:space="preserve">określonej </w:t>
      </w:r>
      <w:r w:rsidR="002E6C99" w:rsidRPr="00B260CF">
        <w:rPr>
          <w:rFonts w:ascii="Times New Roman" w:eastAsia="Times New Roman" w:hAnsi="Times New Roman" w:cs="Times New Roman"/>
          <w:sz w:val="24"/>
          <w:szCs w:val="24"/>
        </w:rPr>
        <w:t>w proporcji</w:t>
      </w:r>
      <w:r w:rsidR="00043563">
        <w:rPr>
          <w:rFonts w:ascii="Times New Roman" w:eastAsia="Times New Roman" w:hAnsi="Times New Roman" w:cs="Times New Roman"/>
          <w:sz w:val="24"/>
          <w:szCs w:val="24"/>
        </w:rPr>
        <w:t>,</w:t>
      </w:r>
      <w:r w:rsidR="002E6C99" w:rsidRPr="00B260CF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8E2ABD" w:rsidRPr="00B260C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E6C99" w:rsidRPr="00B260CF">
        <w:rPr>
          <w:rFonts w:ascii="Times New Roman" w:eastAsia="Times New Roman" w:hAnsi="Times New Roman" w:cs="Times New Roman"/>
          <w:sz w:val="24"/>
          <w:szCs w:val="24"/>
        </w:rPr>
        <w:t>jakiej pozostają przychody</w:t>
      </w:r>
      <w:r w:rsidR="008E2ABD" w:rsidRPr="00B2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50B" w:rsidRPr="00B260CF">
        <w:rPr>
          <w:rFonts w:ascii="Times New Roman" w:eastAsia="Times New Roman" w:hAnsi="Times New Roman" w:cs="Times New Roman"/>
          <w:sz w:val="24"/>
          <w:szCs w:val="24"/>
        </w:rPr>
        <w:t>o</w:t>
      </w:r>
      <w:r w:rsidR="008E2ABD" w:rsidRPr="00B260CF">
        <w:rPr>
          <w:rFonts w:ascii="Times New Roman" w:eastAsia="Times New Roman" w:hAnsi="Times New Roman" w:cs="Times New Roman"/>
          <w:sz w:val="24"/>
          <w:szCs w:val="24"/>
        </w:rPr>
        <w:t>siągn</w:t>
      </w:r>
      <w:r w:rsidR="00CB350B" w:rsidRPr="00B260CF">
        <w:rPr>
          <w:rFonts w:ascii="Times New Roman" w:eastAsia="Times New Roman" w:hAnsi="Times New Roman" w:cs="Times New Roman"/>
          <w:sz w:val="24"/>
          <w:szCs w:val="24"/>
        </w:rPr>
        <w:t>ięte przez</w:t>
      </w:r>
      <w:r w:rsidR="002E6C99" w:rsidRPr="00B2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2ABD" w:rsidRPr="00B260CF">
        <w:rPr>
          <w:rFonts w:ascii="Times New Roman" w:eastAsia="Times New Roman" w:hAnsi="Times New Roman" w:cs="Times New Roman"/>
          <w:sz w:val="24"/>
          <w:szCs w:val="24"/>
        </w:rPr>
        <w:t>wchodzące w jej skład banki krajowe</w:t>
      </w:r>
      <w:r w:rsidR="00B55130" w:rsidRPr="00B260CF">
        <w:rPr>
          <w:rFonts w:ascii="Times New Roman" w:eastAsia="Times New Roman" w:hAnsi="Times New Roman" w:cs="Times New Roman"/>
          <w:sz w:val="24"/>
          <w:szCs w:val="24"/>
        </w:rPr>
        <w:t>,</w:t>
      </w:r>
      <w:r w:rsidR="002E6C99" w:rsidRPr="00B260CF">
        <w:rPr>
          <w:rFonts w:ascii="Times New Roman" w:eastAsia="Times New Roman" w:hAnsi="Times New Roman" w:cs="Times New Roman"/>
          <w:sz w:val="24"/>
          <w:szCs w:val="24"/>
        </w:rPr>
        <w:t xml:space="preserve"> do przychodów całej PGK.</w:t>
      </w:r>
      <w:r w:rsidR="00BD1737" w:rsidRPr="00B260CF">
        <w:rPr>
          <w:rFonts w:ascii="Times New Roman" w:eastAsia="Times New Roman" w:hAnsi="Times New Roman" w:cs="Times New Roman"/>
          <w:sz w:val="24"/>
          <w:szCs w:val="24"/>
        </w:rPr>
        <w:t xml:space="preserve"> W celu uniknięcia wątpliwości w wyjaśniono dodatkowo, że do „pozostałej części” podstawy obliczenia podatku zastosowanie znajdzie stawka „podstawowa”</w:t>
      </w:r>
      <w:r w:rsidR="00D80D90" w:rsidRPr="00B260C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D1737" w:rsidRPr="00B260CF">
        <w:rPr>
          <w:rFonts w:ascii="Times New Roman" w:eastAsia="Times New Roman" w:hAnsi="Times New Roman" w:cs="Times New Roman"/>
          <w:sz w:val="24"/>
          <w:szCs w:val="24"/>
        </w:rPr>
        <w:t xml:space="preserve"> tj. 19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737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04356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80D90" w:rsidRPr="00B260CF">
        <w:rPr>
          <w:rFonts w:ascii="Times New Roman" w:eastAsia="Times New Roman" w:hAnsi="Times New Roman" w:cs="Times New Roman"/>
          <w:sz w:val="24"/>
          <w:szCs w:val="24"/>
        </w:rPr>
        <w:t xml:space="preserve"> oraz że podatek takiej grupy stanowi suma podatku obliczonego według stawki 23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0D90" w:rsidRPr="00B260CF">
        <w:rPr>
          <w:rFonts w:ascii="Times New Roman" w:eastAsia="Times New Roman" w:hAnsi="Times New Roman" w:cs="Times New Roman"/>
          <w:sz w:val="24"/>
          <w:szCs w:val="24"/>
        </w:rPr>
        <w:t>% (albo wynikającej z przepisów epizodycznych) i według 19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0D90" w:rsidRPr="00B260CF">
        <w:rPr>
          <w:rFonts w:ascii="Times New Roman" w:eastAsia="Times New Roman" w:hAnsi="Times New Roman" w:cs="Times New Roman"/>
          <w:sz w:val="24"/>
          <w:szCs w:val="24"/>
        </w:rPr>
        <w:t>%.</w:t>
      </w:r>
      <w:r w:rsidR="00BD1737" w:rsidRPr="00B2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8E2ABD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asada odnoszącą się do </w:t>
      </w:r>
      <w:r w:rsidR="009C737C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określania podstawy opodatkowania opodatkowanej wyższą stawką poprzez odniesienie się do </w:t>
      </w:r>
      <w:r w:rsidR="008E2ABD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propozycji przychodów PGK z udziałem banku krajowego znajdzie zastosowanie również do zaliczek na podatek takiej PGK, w tym do zaliczek uproszczonych. </w:t>
      </w:r>
    </w:p>
    <w:p w14:paraId="11129ABE" w14:textId="68E23899" w:rsidR="00DD680D" w:rsidRPr="00B260CF" w:rsidRDefault="00632923" w:rsidP="00DD680D">
      <w:pPr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Ustawa przewiduje </w:t>
      </w:r>
      <w:r w:rsidR="00BD7CEF" w:rsidRPr="00B260CF">
        <w:rPr>
          <w:rFonts w:ascii="Times New Roman" w:eastAsia="Times New Roman" w:hAnsi="Times New Roman" w:cs="Times New Roman"/>
          <w:sz w:val="24"/>
          <w:szCs w:val="24"/>
        </w:rPr>
        <w:t xml:space="preserve">także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przepisy epizodyczne</w:t>
      </w:r>
      <w:r w:rsidR="00427E3B" w:rsidRPr="00B260CF">
        <w:rPr>
          <w:rFonts w:ascii="Times New Roman" w:eastAsia="Times New Roman" w:hAnsi="Times New Roman" w:cs="Times New Roman"/>
          <w:sz w:val="24"/>
          <w:szCs w:val="24"/>
        </w:rPr>
        <w:t xml:space="preserve"> (dodawany art. 38aa</w:t>
      </w:r>
      <w:r w:rsidR="00E20245" w:rsidRPr="00B260CF">
        <w:rPr>
          <w:rFonts w:ascii="Times New Roman" w:eastAsia="Times New Roman" w:hAnsi="Times New Roman" w:cs="Times New Roman"/>
          <w:sz w:val="24"/>
          <w:szCs w:val="24"/>
        </w:rPr>
        <w:t xml:space="preserve"> i art. 38ab</w:t>
      </w:r>
      <w:r w:rsidR="00427E3B" w:rsidRPr="00B260CF">
        <w:rPr>
          <w:rFonts w:ascii="Times New Roman" w:eastAsia="Times New Roman" w:hAnsi="Times New Roman" w:cs="Times New Roman"/>
          <w:sz w:val="24"/>
          <w:szCs w:val="24"/>
        </w:rPr>
        <w:t>; art. 1 pkt 3 nowelizacji)</w:t>
      </w:r>
      <w:r w:rsidR="00DD680D" w:rsidRPr="00B260C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27E3B" w:rsidRPr="00B2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80D" w:rsidRPr="00B260CF">
        <w:rPr>
          <w:rFonts w:ascii="Times New Roman" w:eastAsia="Times New Roman" w:hAnsi="Times New Roman" w:cs="Times New Roman"/>
          <w:sz w:val="24"/>
          <w:szCs w:val="24"/>
        </w:rPr>
        <w:t xml:space="preserve">które </w:t>
      </w:r>
      <w:r w:rsidR="00F77A06" w:rsidRPr="00B260CF">
        <w:rPr>
          <w:rFonts w:ascii="Times New Roman" w:eastAsia="Times New Roman" w:hAnsi="Times New Roman" w:cs="Times New Roman"/>
          <w:sz w:val="24"/>
          <w:szCs w:val="24"/>
        </w:rPr>
        <w:t>nakładają na</w:t>
      </w:r>
      <w:r w:rsidR="00DD680D" w:rsidRPr="00B260CF">
        <w:rPr>
          <w:rFonts w:ascii="Times New Roman" w:eastAsia="Times New Roman" w:hAnsi="Times New Roman" w:cs="Times New Roman"/>
          <w:sz w:val="24"/>
          <w:szCs w:val="24"/>
        </w:rPr>
        <w:t xml:space="preserve"> podatników objętych zmianami </w:t>
      </w:r>
      <w:r w:rsidR="00F77A06" w:rsidRPr="00B260CF">
        <w:rPr>
          <w:rFonts w:ascii="Times New Roman" w:eastAsia="Times New Roman" w:hAnsi="Times New Roman" w:cs="Times New Roman"/>
          <w:sz w:val="24"/>
          <w:szCs w:val="24"/>
        </w:rPr>
        <w:t xml:space="preserve">wyższą stawkę </w:t>
      </w:r>
      <w:r w:rsidR="00DD680D" w:rsidRPr="00B260CF">
        <w:rPr>
          <w:rFonts w:ascii="Times New Roman" w:eastAsia="Times New Roman" w:hAnsi="Times New Roman" w:cs="Times New Roman"/>
          <w:sz w:val="24"/>
          <w:szCs w:val="24"/>
        </w:rPr>
        <w:t>podatku, co do zasady, na dwa lata podatkowe. Zgodnie z wdrożonym w projekcie założeniem</w:t>
      </w:r>
      <w:r w:rsidR="00244A1D" w:rsidRPr="00B260CF">
        <w:rPr>
          <w:rFonts w:ascii="Times New Roman" w:eastAsia="Times New Roman" w:hAnsi="Times New Roman" w:cs="Times New Roman"/>
          <w:sz w:val="24"/>
          <w:szCs w:val="24"/>
        </w:rPr>
        <w:t xml:space="preserve">, zasadniczo, </w:t>
      </w:r>
      <w:r w:rsidR="00DD680D" w:rsidRPr="00B260CF">
        <w:rPr>
          <w:rFonts w:ascii="Times New Roman" w:eastAsia="Times New Roman" w:hAnsi="Times New Roman" w:cs="Times New Roman"/>
          <w:sz w:val="24"/>
          <w:szCs w:val="24"/>
        </w:rPr>
        <w:t>w pierwszym roku podatkowym</w:t>
      </w:r>
      <w:r w:rsidR="00F77A06" w:rsidRPr="00B260CF">
        <w:rPr>
          <w:rFonts w:ascii="Times New Roman" w:eastAsia="Times New Roman" w:hAnsi="Times New Roman" w:cs="Times New Roman"/>
          <w:sz w:val="24"/>
          <w:szCs w:val="24"/>
        </w:rPr>
        <w:t xml:space="preserve"> po wejściu w życie </w:t>
      </w:r>
      <w:r w:rsidR="00244A1D" w:rsidRPr="00B260CF">
        <w:rPr>
          <w:rFonts w:ascii="Times New Roman" w:eastAsia="Times New Roman" w:hAnsi="Times New Roman" w:cs="Times New Roman"/>
          <w:sz w:val="24"/>
          <w:szCs w:val="24"/>
        </w:rPr>
        <w:t>projektowanych</w:t>
      </w:r>
      <w:r w:rsidR="00F77A06" w:rsidRPr="00B2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A1D" w:rsidRPr="00B260CF">
        <w:rPr>
          <w:rFonts w:ascii="Times New Roman" w:eastAsia="Times New Roman" w:hAnsi="Times New Roman" w:cs="Times New Roman"/>
          <w:sz w:val="24"/>
          <w:szCs w:val="24"/>
        </w:rPr>
        <w:t>zmian</w:t>
      </w:r>
      <w:r w:rsidR="00DD680D" w:rsidRPr="00B260CF">
        <w:rPr>
          <w:rFonts w:ascii="Times New Roman" w:eastAsia="Times New Roman" w:hAnsi="Times New Roman" w:cs="Times New Roman"/>
          <w:sz w:val="24"/>
          <w:szCs w:val="24"/>
        </w:rPr>
        <w:t xml:space="preserve"> podmioty </w:t>
      </w:r>
      <w:r w:rsidR="00244A1D" w:rsidRPr="00B260CF">
        <w:rPr>
          <w:rFonts w:ascii="Times New Roman" w:eastAsia="Times New Roman" w:hAnsi="Times New Roman" w:cs="Times New Roman"/>
          <w:sz w:val="24"/>
          <w:szCs w:val="24"/>
        </w:rPr>
        <w:t xml:space="preserve">nimi </w:t>
      </w:r>
      <w:r w:rsidR="00DD680D" w:rsidRPr="00B260CF">
        <w:rPr>
          <w:rFonts w:ascii="Times New Roman" w:eastAsia="Times New Roman" w:hAnsi="Times New Roman" w:cs="Times New Roman"/>
          <w:sz w:val="24"/>
          <w:szCs w:val="24"/>
        </w:rPr>
        <w:t>objęte zostaną opodatkowane stawką 30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80D" w:rsidRPr="00B260CF">
        <w:rPr>
          <w:rFonts w:ascii="Times New Roman" w:eastAsia="Times New Roman" w:hAnsi="Times New Roman" w:cs="Times New Roman"/>
          <w:sz w:val="24"/>
          <w:szCs w:val="24"/>
        </w:rPr>
        <w:t>%, natomiast w drugim roku podatkowym stawka ta w</w:t>
      </w:r>
      <w:r w:rsidR="009345F4" w:rsidRPr="00B260CF">
        <w:rPr>
          <w:rFonts w:ascii="Times New Roman" w:eastAsia="Times New Roman" w:hAnsi="Times New Roman" w:cs="Times New Roman"/>
          <w:sz w:val="24"/>
          <w:szCs w:val="24"/>
        </w:rPr>
        <w:t>y</w:t>
      </w:r>
      <w:r w:rsidR="00DD680D" w:rsidRPr="00B260CF">
        <w:rPr>
          <w:rFonts w:ascii="Times New Roman" w:eastAsia="Times New Roman" w:hAnsi="Times New Roman" w:cs="Times New Roman"/>
          <w:sz w:val="24"/>
          <w:szCs w:val="24"/>
        </w:rPr>
        <w:t>niesie 26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80D" w:rsidRPr="00B260CF">
        <w:rPr>
          <w:rFonts w:ascii="Times New Roman" w:eastAsia="Times New Roman" w:hAnsi="Times New Roman" w:cs="Times New Roman"/>
          <w:sz w:val="24"/>
          <w:szCs w:val="24"/>
        </w:rPr>
        <w:t>%.</w:t>
      </w:r>
    </w:p>
    <w:p w14:paraId="58CB9B55" w14:textId="22BB7B00" w:rsidR="00120223" w:rsidRPr="00B260CF" w:rsidRDefault="00120223" w:rsidP="004D3760">
      <w:pPr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Zastosowana konstrukcja zawarta w przepisach epizodycznych oznacza, że podatnik rozpocznie stosowanie stawki „docelowej” </w:t>
      </w:r>
      <w:r w:rsidR="008464B9" w:rsidRPr="00B260C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tj. 23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2E51C4" w:rsidRPr="00B260CF">
        <w:rPr>
          <w:rFonts w:ascii="Times New Roman" w:eastAsia="Times New Roman" w:hAnsi="Times New Roman" w:cs="Times New Roman"/>
          <w:sz w:val="24"/>
          <w:szCs w:val="24"/>
        </w:rPr>
        <w:t xml:space="preserve"> lub 13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1C4" w:rsidRPr="00B260CF">
        <w:rPr>
          <w:rFonts w:ascii="Times New Roman" w:eastAsia="Times New Roman" w:hAnsi="Times New Roman" w:cs="Times New Roman"/>
          <w:sz w:val="24"/>
          <w:szCs w:val="24"/>
        </w:rPr>
        <w:t xml:space="preserve">% w przypadku </w:t>
      </w:r>
      <w:r w:rsidR="00F51181" w:rsidRPr="00B260CF">
        <w:rPr>
          <w:rFonts w:ascii="Times New Roman" w:eastAsia="Times New Roman" w:hAnsi="Times New Roman" w:cs="Times New Roman"/>
          <w:sz w:val="24"/>
          <w:szCs w:val="24"/>
        </w:rPr>
        <w:t>podatników, o których mowa w art. 19 ust. 1 pkt 4</w:t>
      </w:r>
      <w:r w:rsidR="008464B9" w:rsidRPr="00B260C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wówczas, gdy jego sytuacja faktyczna odnoszącą się do roku podatkowego nie będzie mieścić się w dyspozycji tych przepisów epizodycznych. Innymi słowy, stawka ta znajdzie zastosowanie po raz pierwszy wówczas, gdy do danego podatnika nie znajdą zastosowani</w:t>
      </w:r>
      <w:r w:rsidR="0004356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przepisy epizodyczne przewidujące opodatkowanie stawką 30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 lub 26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2E51C4" w:rsidRPr="00B260CF">
        <w:rPr>
          <w:rFonts w:ascii="Times New Roman" w:eastAsia="Times New Roman" w:hAnsi="Times New Roman" w:cs="Times New Roman"/>
          <w:sz w:val="24"/>
          <w:szCs w:val="24"/>
        </w:rPr>
        <w:t xml:space="preserve"> (odpowiednio </w:t>
      </w:r>
      <w:r w:rsidR="001526A5" w:rsidRPr="00B260C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1C4" w:rsidRPr="00B260CF">
        <w:rPr>
          <w:rFonts w:ascii="Times New Roman" w:eastAsia="Times New Roman" w:hAnsi="Times New Roman" w:cs="Times New Roman"/>
          <w:sz w:val="24"/>
          <w:szCs w:val="24"/>
        </w:rPr>
        <w:t>% i 16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1C4" w:rsidRPr="00B260CF">
        <w:rPr>
          <w:rFonts w:ascii="Times New Roman" w:eastAsia="Times New Roman" w:hAnsi="Times New Roman" w:cs="Times New Roman"/>
          <w:sz w:val="24"/>
          <w:szCs w:val="24"/>
        </w:rPr>
        <w:t xml:space="preserve">% w przypadku </w:t>
      </w:r>
      <w:r w:rsidR="00F51181" w:rsidRPr="00B260CF">
        <w:rPr>
          <w:rFonts w:ascii="Times New Roman" w:eastAsia="Times New Roman" w:hAnsi="Times New Roman" w:cs="Times New Roman"/>
          <w:sz w:val="24"/>
          <w:szCs w:val="24"/>
        </w:rPr>
        <w:t>podatników, o których mowa w art. 19 ust. 1 pkt 4</w:t>
      </w:r>
      <w:r w:rsidR="002E51C4" w:rsidRPr="00B260C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0033" w:rsidRPr="00B2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C55" w:rsidRPr="00B260CF">
        <w:rPr>
          <w:rFonts w:ascii="Times New Roman" w:eastAsia="Times New Roman" w:hAnsi="Times New Roman" w:cs="Times New Roman"/>
          <w:sz w:val="24"/>
          <w:szCs w:val="24"/>
        </w:rPr>
        <w:t>Z tego względu (i uwzględniając opisane poniżej szczegółowo przepisy epizodyczne przewidujące możliwe różne długości roku podatkowego)</w:t>
      </w:r>
      <w:r w:rsidR="00E90033" w:rsidRPr="00B260CF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="004D3760" w:rsidRPr="00B260CF">
        <w:rPr>
          <w:rFonts w:ascii="Times New Roman" w:eastAsia="Times New Roman" w:hAnsi="Times New Roman" w:cs="Times New Roman"/>
          <w:sz w:val="24"/>
          <w:szCs w:val="24"/>
        </w:rPr>
        <w:t>ma potrzeby wprowadzania w przepisach epizodycznych regulacji odnoszącej się do momentu (roku) rozpoczęcia stosowania stawek „docelowych” (odpowiednio, 23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760" w:rsidRPr="00B260CF">
        <w:rPr>
          <w:rFonts w:ascii="Times New Roman" w:eastAsia="Times New Roman" w:hAnsi="Times New Roman" w:cs="Times New Roman"/>
          <w:sz w:val="24"/>
          <w:szCs w:val="24"/>
        </w:rPr>
        <w:t>% i 13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760" w:rsidRPr="00B260CF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14:paraId="11C72A44" w14:textId="4DDAB515" w:rsidR="00DD680D" w:rsidRPr="00B260CF" w:rsidRDefault="00DD680D" w:rsidP="00DD680D">
      <w:pPr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>Ze względu na specyfikę podatników CIT rozróżnić jednak należy dwie grupy podatników objętych zmian</w:t>
      </w:r>
      <w:r w:rsidR="009345F4" w:rsidRPr="00B260CF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0AD31DF" w14:textId="396F8503" w:rsidR="00DD680D" w:rsidRPr="00B260CF" w:rsidRDefault="00DD680D" w:rsidP="00DD680D">
      <w:pPr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>Pierwsza grupa podatników to podatnicy, których rok podatkowy jest zbieżny z rokiem kalendarzowym. W przypadku takich podatników projekt przewiduje obowiązek zastosowania 30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2F02" w:rsidRPr="00B260CF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F02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stawki w odniesieniu do całego 2026 r., trwającego od 1 stycznia do 31 grudnia 2026 r. (projektowany </w:t>
      </w:r>
      <w:r w:rsidR="00332F02" w:rsidRPr="00B260CF">
        <w:rPr>
          <w:rFonts w:ascii="Times New Roman" w:eastAsia="Times New Roman" w:hAnsi="Times New Roman" w:cs="Times New Roman"/>
          <w:sz w:val="24"/>
          <w:szCs w:val="24"/>
        </w:rPr>
        <w:t>art. 38a</w:t>
      </w:r>
      <w:r w:rsidR="00C0434C" w:rsidRPr="00B260CF">
        <w:rPr>
          <w:rFonts w:ascii="Times New Roman" w:eastAsia="Times New Roman" w:hAnsi="Times New Roman" w:cs="Times New Roman"/>
          <w:sz w:val="24"/>
          <w:szCs w:val="24"/>
        </w:rPr>
        <w:t>a</w:t>
      </w:r>
      <w:r w:rsidR="00332F02" w:rsidRPr="00B2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5731" w:rsidRPr="00B260CF">
        <w:rPr>
          <w:rFonts w:ascii="Times New Roman" w:eastAsia="Times New Roman" w:hAnsi="Times New Roman" w:cs="Times New Roman"/>
          <w:sz w:val="24"/>
          <w:szCs w:val="24"/>
        </w:rPr>
        <w:t xml:space="preserve">ust. 1 </w:t>
      </w:r>
      <w:r w:rsidR="00332F02" w:rsidRPr="00B260CF">
        <w:rPr>
          <w:rFonts w:ascii="Times New Roman" w:eastAsia="Times New Roman" w:hAnsi="Times New Roman" w:cs="Times New Roman"/>
          <w:sz w:val="24"/>
          <w:szCs w:val="24"/>
        </w:rPr>
        <w:t xml:space="preserve">pkt 1 lit. a i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art. 38a</w:t>
      </w:r>
      <w:r w:rsidR="00C0434C" w:rsidRPr="00B260CF">
        <w:rPr>
          <w:rFonts w:ascii="Times New Roman" w:eastAsia="Times New Roman" w:hAnsi="Times New Roman" w:cs="Times New Roman"/>
          <w:sz w:val="24"/>
          <w:szCs w:val="24"/>
        </w:rPr>
        <w:t>b</w:t>
      </w:r>
      <w:r w:rsidR="00835731" w:rsidRPr="00B260CF">
        <w:rPr>
          <w:rFonts w:ascii="Times New Roman" w:eastAsia="Times New Roman" w:hAnsi="Times New Roman" w:cs="Times New Roman"/>
          <w:sz w:val="24"/>
          <w:szCs w:val="24"/>
        </w:rPr>
        <w:t xml:space="preserve"> ust. 1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pkt 1 lit. a). W kolejnym roku podatkowym (zbieżnym z rokiem kalendarzowym) ta grupa podatników będzie opodatkowana 26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1526A5" w:rsidRPr="00B260CF">
        <w:rPr>
          <w:rFonts w:ascii="Times New Roman" w:eastAsia="Times New Roman" w:hAnsi="Times New Roman" w:cs="Times New Roman"/>
          <w:sz w:val="24"/>
          <w:szCs w:val="24"/>
        </w:rPr>
        <w:t>/16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6A5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stawką (projektowany </w:t>
      </w:r>
      <w:r w:rsidR="00332F02" w:rsidRPr="00B260CF">
        <w:rPr>
          <w:rFonts w:ascii="Times New Roman" w:eastAsia="Times New Roman" w:hAnsi="Times New Roman" w:cs="Times New Roman"/>
          <w:sz w:val="24"/>
          <w:szCs w:val="24"/>
        </w:rPr>
        <w:t>art. 38a</w:t>
      </w:r>
      <w:r w:rsidR="00C0434C" w:rsidRPr="00B260CF">
        <w:rPr>
          <w:rFonts w:ascii="Times New Roman" w:eastAsia="Times New Roman" w:hAnsi="Times New Roman" w:cs="Times New Roman"/>
          <w:sz w:val="24"/>
          <w:szCs w:val="24"/>
        </w:rPr>
        <w:t>a</w:t>
      </w:r>
      <w:r w:rsidR="00332F02" w:rsidRPr="00B2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1108" w:rsidRPr="00B260CF">
        <w:rPr>
          <w:rFonts w:ascii="Times New Roman" w:eastAsia="Times New Roman" w:hAnsi="Times New Roman" w:cs="Times New Roman"/>
          <w:sz w:val="24"/>
          <w:szCs w:val="24"/>
        </w:rPr>
        <w:t xml:space="preserve">ust. 1 </w:t>
      </w:r>
      <w:r w:rsidR="00332F02" w:rsidRPr="00B260CF">
        <w:rPr>
          <w:rFonts w:ascii="Times New Roman" w:eastAsia="Times New Roman" w:hAnsi="Times New Roman" w:cs="Times New Roman"/>
          <w:sz w:val="24"/>
          <w:szCs w:val="24"/>
        </w:rPr>
        <w:t xml:space="preserve">pkt 2 lit. b i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art. 38a</w:t>
      </w:r>
      <w:r w:rsidR="00C0434C" w:rsidRPr="00B260C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1108" w:rsidRPr="00B260CF">
        <w:rPr>
          <w:rFonts w:ascii="Times New Roman" w:eastAsia="Times New Roman" w:hAnsi="Times New Roman" w:cs="Times New Roman"/>
          <w:sz w:val="24"/>
          <w:szCs w:val="24"/>
        </w:rPr>
        <w:t xml:space="preserve">ust. 1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pkt 2 lit. b). W związku z tym</w:t>
      </w:r>
      <w:r w:rsidR="00954260" w:rsidRPr="00B260C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w przypadku podatników, których rok podatkowy jest zbieżny z kalendarzowym i trwa pełne 12 miesięcy</w:t>
      </w:r>
      <w:r w:rsidR="00954260" w:rsidRPr="00B260C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projektowane przepisy przewidują opodatkowanie 30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2F02" w:rsidRPr="00B260CF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F02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stawką w 2026 r. i 26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1526A5" w:rsidRPr="00B260CF">
        <w:rPr>
          <w:rFonts w:ascii="Times New Roman" w:eastAsia="Times New Roman" w:hAnsi="Times New Roman" w:cs="Times New Roman"/>
          <w:sz w:val="24"/>
          <w:szCs w:val="24"/>
        </w:rPr>
        <w:t>/16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6A5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stawką w 2027 r., a w kolejnych latach </w:t>
      </w:r>
      <w:r w:rsidR="009345F4" w:rsidRPr="00B260C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czyli od 2028 r.</w:t>
      </w:r>
      <w:r w:rsidR="009345F4" w:rsidRPr="00B260C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zastosowanie znajdą reguły ogól</w:t>
      </w:r>
      <w:r w:rsidR="00562C2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e przewidujące opodatkowanie stawką 23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1526A5" w:rsidRPr="00B260CF">
        <w:rPr>
          <w:rFonts w:ascii="Times New Roman" w:eastAsia="Times New Roman" w:hAnsi="Times New Roman" w:cs="Times New Roman"/>
          <w:sz w:val="24"/>
          <w:szCs w:val="24"/>
        </w:rPr>
        <w:t>/13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6A5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(projektowany art. 19 ust. 1 pkt </w:t>
      </w:r>
      <w:r w:rsidR="00C0434C" w:rsidRPr="00B260CF">
        <w:rPr>
          <w:rFonts w:ascii="Times New Roman" w:eastAsia="Times New Roman" w:hAnsi="Times New Roman" w:cs="Times New Roman"/>
          <w:sz w:val="24"/>
          <w:szCs w:val="24"/>
        </w:rPr>
        <w:t>3</w:t>
      </w:r>
      <w:r w:rsidR="001526A5" w:rsidRPr="00B260CF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C0434C" w:rsidRPr="00B260C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F5EF036" w14:textId="1DEA71FB" w:rsidR="00DD680D" w:rsidRPr="00B260CF" w:rsidRDefault="00DD680D" w:rsidP="00DD680D">
      <w:pPr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>Zgodnie z przyjętą zasadą i przedstawionym powyżej modelowym rozwiązaniem podatnik objęty zmianami powinien podlegać opodatkowaniu</w:t>
      </w:r>
      <w:r w:rsidR="009345F4" w:rsidRPr="00B260CF">
        <w:rPr>
          <w:rFonts w:ascii="Times New Roman" w:eastAsia="Times New Roman" w:hAnsi="Times New Roman" w:cs="Times New Roman"/>
          <w:sz w:val="24"/>
          <w:szCs w:val="24"/>
        </w:rPr>
        <w:t xml:space="preserve"> podwyższonymi stawkami podatku (odpowiednio 30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45F4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1526A5" w:rsidRPr="00B260CF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6A5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9345F4" w:rsidRPr="00B260CF">
        <w:rPr>
          <w:rFonts w:ascii="Times New Roman" w:eastAsia="Times New Roman" w:hAnsi="Times New Roman" w:cs="Times New Roman"/>
          <w:sz w:val="24"/>
          <w:szCs w:val="24"/>
        </w:rPr>
        <w:t xml:space="preserve"> i 26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45F4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1526A5" w:rsidRPr="00B260CF">
        <w:rPr>
          <w:rFonts w:ascii="Times New Roman" w:eastAsia="Times New Roman" w:hAnsi="Times New Roman" w:cs="Times New Roman"/>
          <w:sz w:val="24"/>
          <w:szCs w:val="24"/>
        </w:rPr>
        <w:t>/16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6A5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9345F4" w:rsidRPr="00B260CF">
        <w:rPr>
          <w:rFonts w:ascii="Times New Roman" w:eastAsia="Times New Roman" w:hAnsi="Times New Roman" w:cs="Times New Roman"/>
          <w:sz w:val="24"/>
          <w:szCs w:val="24"/>
        </w:rPr>
        <w:t xml:space="preserve"> stawką)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przez okres roku podatkowego trwającego 12 miesięcy kalendarzowych. </w:t>
      </w:r>
    </w:p>
    <w:p w14:paraId="683203EF" w14:textId="48F12A38" w:rsidR="00DD680D" w:rsidRPr="00B260CF" w:rsidRDefault="00DD680D" w:rsidP="00DD680D">
      <w:pPr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>Druga grupa podatników to podatnicy, których rok podatkowy nie jest zbieżny z rokiem kalendarzowym. Tzw. ruchomy rok podatkowy w przypadku podatników CIT determinuje przede wszystkim treść projektowanego art. 38aa</w:t>
      </w:r>
      <w:r w:rsidR="002B29A1" w:rsidRPr="00B260CF">
        <w:rPr>
          <w:rFonts w:ascii="Times New Roman" w:eastAsia="Times New Roman" w:hAnsi="Times New Roman" w:cs="Times New Roman"/>
          <w:sz w:val="24"/>
          <w:szCs w:val="24"/>
        </w:rPr>
        <w:t xml:space="preserve"> i art. 38ab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. Uwzględniając powyższe</w:t>
      </w:r>
      <w:r w:rsidR="0004356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konieczne było w projektowanym przepisie odesłanie do roku podatkowego „rozpoczynającego się w 2026 r.”</w:t>
      </w:r>
      <w:r w:rsidR="00954260" w:rsidRPr="00B260C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Treść projektowan</w:t>
      </w:r>
      <w:r w:rsidR="001526A5" w:rsidRPr="00B260CF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art. 38aa </w:t>
      </w:r>
      <w:r w:rsidR="00091108" w:rsidRPr="00B260CF">
        <w:rPr>
          <w:rFonts w:ascii="Times New Roman" w:eastAsia="Times New Roman" w:hAnsi="Times New Roman" w:cs="Times New Roman"/>
          <w:sz w:val="24"/>
          <w:szCs w:val="24"/>
        </w:rPr>
        <w:t xml:space="preserve">ust. 1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pkt 1 lit. a</w:t>
      </w:r>
      <w:r w:rsidR="001526A5" w:rsidRPr="00B260CF">
        <w:rPr>
          <w:rFonts w:ascii="Times New Roman" w:eastAsia="Times New Roman" w:hAnsi="Times New Roman" w:cs="Times New Roman"/>
          <w:sz w:val="24"/>
          <w:szCs w:val="24"/>
        </w:rPr>
        <w:t xml:space="preserve"> i art. 38ab</w:t>
      </w:r>
      <w:r w:rsidR="00091108" w:rsidRPr="00B260CF">
        <w:rPr>
          <w:rFonts w:ascii="Times New Roman" w:eastAsia="Times New Roman" w:hAnsi="Times New Roman" w:cs="Times New Roman"/>
          <w:sz w:val="24"/>
          <w:szCs w:val="24"/>
        </w:rPr>
        <w:t xml:space="preserve"> ust. 1</w:t>
      </w:r>
      <w:r w:rsidR="001526A5" w:rsidRPr="00B260CF">
        <w:rPr>
          <w:rFonts w:ascii="Times New Roman" w:eastAsia="Times New Roman" w:hAnsi="Times New Roman" w:cs="Times New Roman"/>
          <w:sz w:val="24"/>
          <w:szCs w:val="24"/>
        </w:rPr>
        <w:t xml:space="preserve"> pkt 1 lit</w:t>
      </w:r>
      <w:r w:rsidR="002B29A1" w:rsidRPr="00B260CF">
        <w:rPr>
          <w:rFonts w:ascii="Times New Roman" w:eastAsia="Times New Roman" w:hAnsi="Times New Roman" w:cs="Times New Roman"/>
          <w:sz w:val="24"/>
          <w:szCs w:val="24"/>
        </w:rPr>
        <w:t>.</w:t>
      </w:r>
      <w:r w:rsidR="001526A5" w:rsidRPr="00B260C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przesądza, że reguł</w:t>
      </w:r>
      <w:r w:rsidR="00954260" w:rsidRPr="00B260CF">
        <w:rPr>
          <w:rFonts w:ascii="Times New Roman" w:eastAsia="Times New Roman" w:hAnsi="Times New Roman" w:cs="Times New Roman"/>
          <w:sz w:val="24"/>
          <w:szCs w:val="24"/>
        </w:rPr>
        <w:t>a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4260" w:rsidRPr="00B260CF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nie znajd</w:t>
      </w:r>
      <w:r w:rsidR="00954260" w:rsidRPr="00B260CF">
        <w:rPr>
          <w:rFonts w:ascii="Times New Roman" w:eastAsia="Times New Roman" w:hAnsi="Times New Roman" w:cs="Times New Roman"/>
          <w:sz w:val="24"/>
          <w:szCs w:val="24"/>
        </w:rPr>
        <w:t>zie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zastosowania do roku podatkowego, który rozpoczął się i nie zakończył przed wejściem w życie tych przepisów (tj. przed 1 stycznia 2026 r.). Oznacza to, że </w:t>
      </w:r>
      <w:r w:rsidR="00954260" w:rsidRPr="00B260CF">
        <w:rPr>
          <w:rFonts w:ascii="Times New Roman" w:eastAsia="Times New Roman" w:hAnsi="Times New Roman" w:cs="Times New Roman"/>
          <w:sz w:val="24"/>
          <w:szCs w:val="24"/>
        </w:rPr>
        <w:t xml:space="preserve">(zgodnie z projektowanym art. 38aa </w:t>
      </w:r>
      <w:r w:rsidR="00091108" w:rsidRPr="00B260CF">
        <w:rPr>
          <w:rFonts w:ascii="Times New Roman" w:eastAsia="Times New Roman" w:hAnsi="Times New Roman" w:cs="Times New Roman"/>
          <w:sz w:val="24"/>
          <w:szCs w:val="24"/>
        </w:rPr>
        <w:t xml:space="preserve">ust. 1 </w:t>
      </w:r>
      <w:r w:rsidR="00954260" w:rsidRPr="00B260CF">
        <w:rPr>
          <w:rFonts w:ascii="Times New Roman" w:eastAsia="Times New Roman" w:hAnsi="Times New Roman" w:cs="Times New Roman"/>
          <w:sz w:val="24"/>
          <w:szCs w:val="24"/>
        </w:rPr>
        <w:t>pkt 1 lit. b</w:t>
      </w:r>
      <w:r w:rsidR="001526A5" w:rsidRPr="00B260CF">
        <w:rPr>
          <w:rFonts w:ascii="Times New Roman" w:eastAsia="Times New Roman" w:hAnsi="Times New Roman" w:cs="Times New Roman"/>
          <w:sz w:val="24"/>
          <w:szCs w:val="24"/>
        </w:rPr>
        <w:t xml:space="preserve"> i art. 38ab </w:t>
      </w:r>
      <w:r w:rsidR="00091108" w:rsidRPr="00B260CF">
        <w:rPr>
          <w:rFonts w:ascii="Times New Roman" w:eastAsia="Times New Roman" w:hAnsi="Times New Roman" w:cs="Times New Roman"/>
          <w:sz w:val="24"/>
          <w:szCs w:val="24"/>
        </w:rPr>
        <w:t xml:space="preserve">ust. 1 </w:t>
      </w:r>
      <w:r w:rsidR="001526A5" w:rsidRPr="00B260CF">
        <w:rPr>
          <w:rFonts w:ascii="Times New Roman" w:eastAsia="Times New Roman" w:hAnsi="Times New Roman" w:cs="Times New Roman"/>
          <w:sz w:val="24"/>
          <w:szCs w:val="24"/>
        </w:rPr>
        <w:t>pkt 1 lit</w:t>
      </w:r>
      <w:r w:rsidR="002B29A1" w:rsidRPr="00B260CF">
        <w:rPr>
          <w:rFonts w:ascii="Times New Roman" w:eastAsia="Times New Roman" w:hAnsi="Times New Roman" w:cs="Times New Roman"/>
          <w:sz w:val="24"/>
          <w:szCs w:val="24"/>
        </w:rPr>
        <w:t>.</w:t>
      </w:r>
      <w:r w:rsidR="001526A5" w:rsidRPr="00B260C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954260" w:rsidRPr="00B260C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podwyższona stawka znajdzie zastosowanie wobec takiego podatnika dopiero </w:t>
      </w:r>
      <w:r w:rsidR="00954260" w:rsidRPr="00B260CF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początkiem „pierwszego” roku podatkowego rozpoczynającego się po wejściu w życiu przepisów. W tym „pierwszym” roku podatnik ten będzie opodatkowany 30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1526A5" w:rsidRPr="00B260CF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6A5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stawką, a w „drugim” roku podatkowym rozpoczynającym się bezpośrednio po „pierwszym” roku podatkowym zostanie opodatkowany stawką 26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C0434C" w:rsidRPr="00B260CF">
        <w:rPr>
          <w:rFonts w:ascii="Times New Roman" w:eastAsia="Times New Roman" w:hAnsi="Times New Roman" w:cs="Times New Roman"/>
          <w:sz w:val="24"/>
          <w:szCs w:val="24"/>
        </w:rPr>
        <w:t>/16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34C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954260" w:rsidRPr="00B260CF">
        <w:rPr>
          <w:rFonts w:ascii="Times New Roman" w:eastAsia="Times New Roman" w:hAnsi="Times New Roman" w:cs="Times New Roman"/>
          <w:sz w:val="24"/>
          <w:szCs w:val="24"/>
        </w:rPr>
        <w:t xml:space="preserve"> (zgodnie z projektowanym </w:t>
      </w:r>
      <w:r w:rsidR="00332F02" w:rsidRPr="00B260CF">
        <w:rPr>
          <w:rFonts w:ascii="Times New Roman" w:eastAsia="Times New Roman" w:hAnsi="Times New Roman" w:cs="Times New Roman"/>
          <w:sz w:val="24"/>
          <w:szCs w:val="24"/>
        </w:rPr>
        <w:t>art. 38a</w:t>
      </w:r>
      <w:r w:rsidR="00C0434C" w:rsidRPr="00B260CF">
        <w:rPr>
          <w:rFonts w:ascii="Times New Roman" w:eastAsia="Times New Roman" w:hAnsi="Times New Roman" w:cs="Times New Roman"/>
          <w:sz w:val="24"/>
          <w:szCs w:val="24"/>
        </w:rPr>
        <w:t>a</w:t>
      </w:r>
      <w:r w:rsidR="00332F02" w:rsidRPr="00B2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1108" w:rsidRPr="00B260CF">
        <w:rPr>
          <w:rFonts w:ascii="Times New Roman" w:eastAsia="Times New Roman" w:hAnsi="Times New Roman" w:cs="Times New Roman"/>
          <w:sz w:val="24"/>
          <w:szCs w:val="24"/>
        </w:rPr>
        <w:t xml:space="preserve">ust. 1 </w:t>
      </w:r>
      <w:r w:rsidR="00332F02" w:rsidRPr="00B260CF">
        <w:rPr>
          <w:rFonts w:ascii="Times New Roman" w:eastAsia="Times New Roman" w:hAnsi="Times New Roman" w:cs="Times New Roman"/>
          <w:sz w:val="24"/>
          <w:szCs w:val="24"/>
        </w:rPr>
        <w:t xml:space="preserve">pkt 2 lit. b i </w:t>
      </w:r>
      <w:r w:rsidR="00954260" w:rsidRPr="00B260CF">
        <w:rPr>
          <w:rFonts w:ascii="Times New Roman" w:eastAsia="Times New Roman" w:hAnsi="Times New Roman" w:cs="Times New Roman"/>
          <w:sz w:val="24"/>
          <w:szCs w:val="24"/>
        </w:rPr>
        <w:t>art. 38a</w:t>
      </w:r>
      <w:r w:rsidR="00C0434C" w:rsidRPr="00B260CF">
        <w:rPr>
          <w:rFonts w:ascii="Times New Roman" w:eastAsia="Times New Roman" w:hAnsi="Times New Roman" w:cs="Times New Roman"/>
          <w:sz w:val="24"/>
          <w:szCs w:val="24"/>
        </w:rPr>
        <w:t>b</w:t>
      </w:r>
      <w:r w:rsidR="00954260" w:rsidRPr="00B2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1108" w:rsidRPr="00B260CF">
        <w:rPr>
          <w:rFonts w:ascii="Times New Roman" w:eastAsia="Times New Roman" w:hAnsi="Times New Roman" w:cs="Times New Roman"/>
          <w:sz w:val="24"/>
          <w:szCs w:val="24"/>
        </w:rPr>
        <w:t xml:space="preserve">ust. 1 </w:t>
      </w:r>
      <w:r w:rsidR="00954260" w:rsidRPr="00B260CF">
        <w:rPr>
          <w:rFonts w:ascii="Times New Roman" w:eastAsia="Times New Roman" w:hAnsi="Times New Roman" w:cs="Times New Roman"/>
          <w:sz w:val="24"/>
          <w:szCs w:val="24"/>
        </w:rPr>
        <w:t>pkt 2 lit. b)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. Również w tym przypadku opis ten dotyczy sytuacji typowej, tj. przypadku, gdy rok podatkowy podatnika nie był wprawdzie zbieżny z kalendarzowym, lecz w każdym przypadku trwał „dwanaście kolejnych miesięcy kalendarzowych”. </w:t>
      </w:r>
    </w:p>
    <w:p w14:paraId="3EBCFA90" w14:textId="66ED8B58" w:rsidR="00244A1D" w:rsidRPr="00B260CF" w:rsidRDefault="00DD680D" w:rsidP="00DD680D">
      <w:pPr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W celu zapewnienia stosowania równych zasad wobec wszystkich podatników objętych projektowanymi zmianami konieczne było wprowadzenie dodatkowych reguł obejmujących przypadki szczególne, </w:t>
      </w:r>
      <w:r w:rsidR="00352F8C" w:rsidRPr="00B260CF">
        <w:rPr>
          <w:rFonts w:ascii="Times New Roman" w:eastAsia="Times New Roman" w:hAnsi="Times New Roman" w:cs="Times New Roman"/>
          <w:sz w:val="24"/>
          <w:szCs w:val="24"/>
        </w:rPr>
        <w:t>czyli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przede wszystkim przypadki, gdy rok podatkowy podatnika trwa krócej albo dłużej niż 12 kolejnych miesięcy kalendarzowych</w:t>
      </w:r>
      <w:r w:rsidR="00954260" w:rsidRPr="00B260CF">
        <w:rPr>
          <w:rFonts w:ascii="Times New Roman" w:eastAsia="Times New Roman" w:hAnsi="Times New Roman" w:cs="Times New Roman"/>
          <w:sz w:val="24"/>
          <w:szCs w:val="24"/>
        </w:rPr>
        <w:t xml:space="preserve"> (projektowany art. 38aa </w:t>
      </w:r>
      <w:r w:rsidR="00091108" w:rsidRPr="00B260CF">
        <w:rPr>
          <w:rFonts w:ascii="Times New Roman" w:eastAsia="Times New Roman" w:hAnsi="Times New Roman" w:cs="Times New Roman"/>
          <w:sz w:val="24"/>
          <w:szCs w:val="24"/>
        </w:rPr>
        <w:t xml:space="preserve">ust.1 </w:t>
      </w:r>
      <w:r w:rsidR="00954260" w:rsidRPr="00B260CF">
        <w:rPr>
          <w:rFonts w:ascii="Times New Roman" w:eastAsia="Times New Roman" w:hAnsi="Times New Roman" w:cs="Times New Roman"/>
          <w:sz w:val="24"/>
          <w:szCs w:val="24"/>
        </w:rPr>
        <w:t>pkt 1 lit. c i pkt 2 lit. c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 xml:space="preserve"> i art. 38ab</w:t>
      </w:r>
      <w:r w:rsidR="00091108" w:rsidRPr="00B260CF">
        <w:rPr>
          <w:rFonts w:ascii="Times New Roman" w:eastAsia="Times New Roman" w:hAnsi="Times New Roman" w:cs="Times New Roman"/>
          <w:sz w:val="24"/>
          <w:szCs w:val="24"/>
        </w:rPr>
        <w:t xml:space="preserve"> ust.1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 xml:space="preserve"> pkt 1 lit</w:t>
      </w:r>
      <w:r w:rsidR="002B29A1" w:rsidRPr="00B260CF">
        <w:rPr>
          <w:rFonts w:ascii="Times New Roman" w:eastAsia="Times New Roman" w:hAnsi="Times New Roman" w:cs="Times New Roman"/>
          <w:sz w:val="24"/>
          <w:szCs w:val="24"/>
        </w:rPr>
        <w:t>.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2B29A1" w:rsidRPr="00B260CF">
        <w:rPr>
          <w:rFonts w:ascii="Times New Roman" w:eastAsia="Times New Roman" w:hAnsi="Times New Roman" w:cs="Times New Roman"/>
          <w:sz w:val="24"/>
          <w:szCs w:val="24"/>
        </w:rPr>
        <w:t xml:space="preserve"> i pkt 2 lit. c</w:t>
      </w:r>
      <w:r w:rsidR="00954260" w:rsidRPr="00B260C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44A1D" w:rsidRPr="00B260CF">
        <w:rPr>
          <w:rFonts w:ascii="Times New Roman" w:eastAsia="Times New Roman" w:hAnsi="Times New Roman" w:cs="Times New Roman"/>
          <w:sz w:val="24"/>
          <w:szCs w:val="24"/>
        </w:rPr>
        <w:t>Należy zaznaczyć, że przepisy te dotyczą specyficznych stanów faktycznych. Można założyć, że w praktyce znajdą one zastosowanie w wyjątkowych i rzadkich przypadkach.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DCA21" w14:textId="1CFB2973" w:rsidR="00DD680D" w:rsidRPr="00B260CF" w:rsidRDefault="00DD680D" w:rsidP="00DD680D">
      <w:pPr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>Odrębnie została ukształtowana sytuacja podatników, którzy zostaną utworzeni</w:t>
      </w:r>
      <w:r w:rsidR="00244A1D" w:rsidRPr="00B260CF">
        <w:rPr>
          <w:rFonts w:ascii="Times New Roman" w:eastAsia="Times New Roman" w:hAnsi="Times New Roman" w:cs="Times New Roman"/>
          <w:sz w:val="24"/>
          <w:szCs w:val="24"/>
        </w:rPr>
        <w:t xml:space="preserve"> (rozpoczną działalność)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w</w:t>
      </w:r>
      <w:r w:rsidR="00244A1D" w:rsidRPr="00B260C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trakcie 2026 r. albo 2027 r., o czym szerzej w dalszej części uzasadnienia. </w:t>
      </w:r>
    </w:p>
    <w:p w14:paraId="2ED039D1" w14:textId="183E356A" w:rsidR="00DD680D" w:rsidRPr="00B260CF" w:rsidRDefault="00DD680D" w:rsidP="00DD680D">
      <w:pPr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Pierwszy wariant, który należało uwzględnić w odniesieniu do podatników utworzonych przed wejściem w życie projektowanych zmian, </w:t>
      </w:r>
      <w:r w:rsidR="00352F8C" w:rsidRPr="00B260C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przypadek, zgodnie z którym rok podatkowy podatnika rozpoczyna się w drugiej połowie 2025 r. (tj. jeszcze przed wejściem w życie projektowanych zmian) i będzie trwał do końca 2026 r. W takiej sytuacji rok podatkowy podatnika trwający (np. 16 miesięcy) nie rozpocznie się w 2026</w:t>
      </w:r>
      <w:r w:rsidR="00313E8F" w:rsidRPr="00B260C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r. Tym samym, nie zostanie spełniona dyspozycja projektowanego art. 38aa </w:t>
      </w:r>
      <w:r w:rsidR="00091108" w:rsidRPr="00B260CF">
        <w:rPr>
          <w:rFonts w:ascii="Times New Roman" w:eastAsia="Times New Roman" w:hAnsi="Times New Roman" w:cs="Times New Roman"/>
          <w:sz w:val="24"/>
          <w:szCs w:val="24"/>
        </w:rPr>
        <w:t xml:space="preserve">ust. 1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pkt 1 lit. a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 xml:space="preserve">/art. 38ab </w:t>
      </w:r>
      <w:r w:rsidR="00091108" w:rsidRPr="00B260CF">
        <w:rPr>
          <w:rFonts w:ascii="Times New Roman" w:eastAsia="Times New Roman" w:hAnsi="Times New Roman" w:cs="Times New Roman"/>
          <w:sz w:val="24"/>
          <w:szCs w:val="24"/>
        </w:rPr>
        <w:t xml:space="preserve">ust. 1 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pkt 1 lit</w:t>
      </w:r>
      <w:r w:rsidR="002B29A1" w:rsidRPr="00B260CF">
        <w:rPr>
          <w:rFonts w:ascii="Times New Roman" w:eastAsia="Times New Roman" w:hAnsi="Times New Roman" w:cs="Times New Roman"/>
          <w:sz w:val="24"/>
          <w:szCs w:val="24"/>
        </w:rPr>
        <w:t>.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. Wdrożenie modelowego rozwiązania przewidującego opodatkowanie określonej kategorii podatników w „pierwszym” pełnym roku podatkowym po wejściu w życie projektowanych zmian stawką 30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i w „drugim” pełnym roku podatkowym stawką 26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/16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nakazuje przyjąć, że w przypadku podatnika, którego rok podatkowy nie rozpoczął się w 2026 r. będzie on opodatkowany 30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stawką w roku rozpoczynającym się w 2027 r. (projektowany</w:t>
      </w:r>
      <w:r w:rsidR="00332F02" w:rsidRPr="00B260CF">
        <w:rPr>
          <w:rFonts w:ascii="Times New Roman" w:eastAsia="Times New Roman" w:hAnsi="Times New Roman" w:cs="Times New Roman"/>
          <w:sz w:val="24"/>
          <w:szCs w:val="24"/>
        </w:rPr>
        <w:t xml:space="preserve"> art. 38a</w:t>
      </w:r>
      <w:r w:rsidR="00E20245" w:rsidRPr="00B260CF">
        <w:rPr>
          <w:rFonts w:ascii="Times New Roman" w:eastAsia="Times New Roman" w:hAnsi="Times New Roman" w:cs="Times New Roman"/>
          <w:sz w:val="24"/>
          <w:szCs w:val="24"/>
        </w:rPr>
        <w:t>a</w:t>
      </w:r>
      <w:r w:rsidR="00332F02" w:rsidRPr="00B2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1108" w:rsidRPr="00B260CF">
        <w:rPr>
          <w:rFonts w:ascii="Times New Roman" w:eastAsia="Times New Roman" w:hAnsi="Times New Roman" w:cs="Times New Roman"/>
          <w:sz w:val="24"/>
          <w:szCs w:val="24"/>
        </w:rPr>
        <w:t xml:space="preserve">ust. 1 </w:t>
      </w:r>
      <w:r w:rsidR="00332F02" w:rsidRPr="00B260CF">
        <w:rPr>
          <w:rFonts w:ascii="Times New Roman" w:eastAsia="Times New Roman" w:hAnsi="Times New Roman" w:cs="Times New Roman"/>
          <w:sz w:val="24"/>
          <w:szCs w:val="24"/>
        </w:rPr>
        <w:t>pkt 1 lit. b i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art. 38a</w:t>
      </w:r>
      <w:r w:rsidR="00E20245" w:rsidRPr="00B260C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1108" w:rsidRPr="00B260CF">
        <w:rPr>
          <w:rFonts w:ascii="Times New Roman" w:eastAsia="Times New Roman" w:hAnsi="Times New Roman" w:cs="Times New Roman"/>
          <w:sz w:val="24"/>
          <w:szCs w:val="24"/>
        </w:rPr>
        <w:t xml:space="preserve">ust. 1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pkt 1 lit. b). </w:t>
      </w:r>
    </w:p>
    <w:p w14:paraId="0546DB00" w14:textId="6980ECA1" w:rsidR="00DD680D" w:rsidRPr="00B260CF" w:rsidRDefault="00DD680D" w:rsidP="00DD680D">
      <w:pPr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Drugi wariant odnoszący się do podatników utworzonych przed wejściem w życie projektowanych przepisów przewiduje, że rok podatkowy tego podatnika rozpoczął się wprawdzie </w:t>
      </w:r>
      <w:r w:rsidR="00043563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2026 r.</w:t>
      </w:r>
      <w:r w:rsidR="0004356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ale rok ten był krótszy niż 12 kolejnych miesięcy kalendarzowych. W</w:t>
      </w:r>
      <w:r w:rsidR="00313E8F" w:rsidRPr="00B260C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takim przypadku projektowany art. 38aa </w:t>
      </w:r>
      <w:r w:rsidR="00091108" w:rsidRPr="00B260CF">
        <w:rPr>
          <w:rFonts w:ascii="Times New Roman" w:eastAsia="Times New Roman" w:hAnsi="Times New Roman" w:cs="Times New Roman"/>
          <w:sz w:val="24"/>
          <w:szCs w:val="24"/>
        </w:rPr>
        <w:t xml:space="preserve">ust. 1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pkt 1 lit. b</w:t>
      </w:r>
      <w:r w:rsidR="00E20245" w:rsidRPr="00B260CF">
        <w:rPr>
          <w:rFonts w:ascii="Times New Roman" w:eastAsia="Times New Roman" w:hAnsi="Times New Roman" w:cs="Times New Roman"/>
          <w:sz w:val="24"/>
          <w:szCs w:val="24"/>
        </w:rPr>
        <w:t xml:space="preserve">/art. 38ab </w:t>
      </w:r>
      <w:r w:rsidR="00091108" w:rsidRPr="00B260CF">
        <w:rPr>
          <w:rFonts w:ascii="Times New Roman" w:eastAsia="Times New Roman" w:hAnsi="Times New Roman" w:cs="Times New Roman"/>
          <w:sz w:val="24"/>
          <w:szCs w:val="24"/>
        </w:rPr>
        <w:t xml:space="preserve">ust. 1 </w:t>
      </w:r>
      <w:r w:rsidR="00835731" w:rsidRPr="00B260CF">
        <w:rPr>
          <w:rFonts w:ascii="Times New Roman" w:eastAsia="Times New Roman" w:hAnsi="Times New Roman" w:cs="Times New Roman"/>
          <w:sz w:val="24"/>
          <w:szCs w:val="24"/>
        </w:rPr>
        <w:t>pkt 1 lit. b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przewiduje, że podatnik będzie obowiązany zastosować 30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stawkę również w kolejnym roku (tj. rozpoczynającym się w 2027 r.). Wprowadzenie takiej regulacji jest konieczne w celu uniemożliwienia podatnikom uniknięcia lub ograniczenia skutku wprowadzenia projektowanych rozwiązań. Bez znaczenia pozostaje to</w:t>
      </w:r>
      <w:r w:rsidR="0004356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w jaki sposób podatnik ukształtuje swoją sytuację w odniesieniu do </w:t>
      </w:r>
      <w:r w:rsidR="00DA3A4C" w:rsidRPr="00B260CF">
        <w:rPr>
          <w:rFonts w:ascii="Times New Roman" w:eastAsia="Times New Roman" w:hAnsi="Times New Roman" w:cs="Times New Roman"/>
          <w:sz w:val="24"/>
          <w:szCs w:val="24"/>
        </w:rPr>
        <w:t>okresu trwania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roku podatkowego, gdyż będzie zobowiązany do stosowania 30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stawki do każdego kolejnego roku podatkowego (lat podatkowych), jeżeli dotychczasowy łączny okres opodatkowania stawką 30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nie wyniósł 12 kolejnych miesięcy kalendarzowych. </w:t>
      </w:r>
      <w:r w:rsidR="00DA3A4C" w:rsidRPr="00B260CF">
        <w:rPr>
          <w:rFonts w:ascii="Times New Roman" w:eastAsia="Times New Roman" w:hAnsi="Times New Roman" w:cs="Times New Roman"/>
          <w:sz w:val="24"/>
          <w:szCs w:val="24"/>
        </w:rPr>
        <w:t>Uwzględniając ten cel</w:t>
      </w:r>
      <w:r w:rsidR="0004356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A3A4C" w:rsidRPr="00B260CF">
        <w:rPr>
          <w:rFonts w:ascii="Times New Roman" w:eastAsia="Times New Roman" w:hAnsi="Times New Roman" w:cs="Times New Roman"/>
          <w:sz w:val="24"/>
          <w:szCs w:val="24"/>
        </w:rPr>
        <w:t xml:space="preserve"> zasadne było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określenie w przepisie przypadku, w którym zastosowanie 30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stawki może znaleźć zastosowanie również do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lastRenderedPageBreak/>
        <w:t>roku podatkowego rozpoczętego w 2028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r. (projektowany </w:t>
      </w:r>
      <w:r w:rsidR="00332F02" w:rsidRPr="00B260CF">
        <w:rPr>
          <w:rFonts w:ascii="Times New Roman" w:eastAsia="Times New Roman" w:hAnsi="Times New Roman" w:cs="Times New Roman"/>
          <w:sz w:val="24"/>
          <w:szCs w:val="24"/>
        </w:rPr>
        <w:t>art. 38a</w:t>
      </w:r>
      <w:r w:rsidR="00835731" w:rsidRPr="00B260CF">
        <w:rPr>
          <w:rFonts w:ascii="Times New Roman" w:eastAsia="Times New Roman" w:hAnsi="Times New Roman" w:cs="Times New Roman"/>
          <w:sz w:val="24"/>
          <w:szCs w:val="24"/>
        </w:rPr>
        <w:t>a</w:t>
      </w:r>
      <w:r w:rsidR="00332F02" w:rsidRPr="00B2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1108" w:rsidRPr="00B260CF">
        <w:rPr>
          <w:rFonts w:ascii="Times New Roman" w:eastAsia="Times New Roman" w:hAnsi="Times New Roman" w:cs="Times New Roman"/>
          <w:sz w:val="24"/>
          <w:szCs w:val="24"/>
        </w:rPr>
        <w:t xml:space="preserve">ust. 1 </w:t>
      </w:r>
      <w:r w:rsidR="00332F02" w:rsidRPr="00B260CF">
        <w:rPr>
          <w:rFonts w:ascii="Times New Roman" w:eastAsia="Times New Roman" w:hAnsi="Times New Roman" w:cs="Times New Roman"/>
          <w:sz w:val="24"/>
          <w:szCs w:val="24"/>
        </w:rPr>
        <w:t xml:space="preserve">pkt 1 lit. c i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art. 38a</w:t>
      </w:r>
      <w:r w:rsidR="00835731" w:rsidRPr="00B260CF">
        <w:rPr>
          <w:rFonts w:ascii="Times New Roman" w:eastAsia="Times New Roman" w:hAnsi="Times New Roman" w:cs="Times New Roman"/>
          <w:sz w:val="24"/>
          <w:szCs w:val="24"/>
        </w:rPr>
        <w:t>b</w:t>
      </w:r>
      <w:r w:rsidR="00091108" w:rsidRPr="00B260CF">
        <w:rPr>
          <w:rFonts w:ascii="Times New Roman" w:eastAsia="Times New Roman" w:hAnsi="Times New Roman" w:cs="Times New Roman"/>
          <w:sz w:val="24"/>
          <w:szCs w:val="24"/>
        </w:rPr>
        <w:t xml:space="preserve"> ust. 1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pkt 1 lit. c</w:t>
      </w:r>
      <w:r w:rsidR="00DA3A4C" w:rsidRPr="00B260C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. Dotyczy to jednak wyłącznie przypadku</w:t>
      </w:r>
      <w:r w:rsidR="0004356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gdy ze względu na zdarzenia niezależne od podatnika lub w wyniku wyborów</w:t>
      </w:r>
      <w:r w:rsidR="0004356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jakie dokonuje</w:t>
      </w:r>
      <w:r w:rsidR="0004356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łączny okres opodatkowania 30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stawką (w latach 2026 i 2027) </w:t>
      </w:r>
      <w:r w:rsidR="00DA3A4C" w:rsidRPr="00B260CF">
        <w:rPr>
          <w:rFonts w:ascii="Times New Roman" w:eastAsia="Times New Roman" w:hAnsi="Times New Roman" w:cs="Times New Roman"/>
          <w:sz w:val="24"/>
          <w:szCs w:val="24"/>
        </w:rPr>
        <w:t>nie będzie wynosił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12 miesięcy kalendarzowych.</w:t>
      </w:r>
    </w:p>
    <w:p w14:paraId="0A4C3AD6" w14:textId="054525E3" w:rsidR="00DD680D" w:rsidRPr="00B260CF" w:rsidRDefault="00DD680D" w:rsidP="00DD680D">
      <w:pPr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Wymaga podkreślenia, że </w:t>
      </w:r>
      <w:r w:rsidR="00352F8C" w:rsidRPr="00B260CF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projektowanym art. 38aa</w:t>
      </w:r>
      <w:r w:rsidR="00332F02" w:rsidRPr="00B260CF">
        <w:rPr>
          <w:rFonts w:ascii="Times New Roman" w:eastAsia="Times New Roman" w:hAnsi="Times New Roman" w:cs="Times New Roman"/>
          <w:sz w:val="24"/>
          <w:szCs w:val="24"/>
        </w:rPr>
        <w:t xml:space="preserve"> i art. 3</w:t>
      </w:r>
      <w:r w:rsidR="00835731" w:rsidRPr="00B260CF">
        <w:rPr>
          <w:rFonts w:ascii="Times New Roman" w:eastAsia="Times New Roman" w:hAnsi="Times New Roman" w:cs="Times New Roman"/>
          <w:sz w:val="24"/>
          <w:szCs w:val="24"/>
        </w:rPr>
        <w:t>8</w:t>
      </w:r>
      <w:r w:rsidR="00332F02" w:rsidRPr="00B260CF">
        <w:rPr>
          <w:rFonts w:ascii="Times New Roman" w:eastAsia="Times New Roman" w:hAnsi="Times New Roman" w:cs="Times New Roman"/>
          <w:sz w:val="24"/>
          <w:szCs w:val="24"/>
        </w:rPr>
        <w:t>ab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jest mowa o „roku podatkowym”, jednak przepis ten znajdzie zastosowanie również w sytuacji, gdy w jedynym roku kalendarzowym </w:t>
      </w:r>
      <w:r w:rsidR="00352F8C" w:rsidRPr="00B260C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np. w 2027 r.</w:t>
      </w:r>
      <w:r w:rsidR="00352F8C" w:rsidRPr="00B260C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3A4C" w:rsidRPr="00B260CF">
        <w:rPr>
          <w:rFonts w:ascii="Times New Roman" w:eastAsia="Times New Roman" w:hAnsi="Times New Roman" w:cs="Times New Roman"/>
          <w:sz w:val="24"/>
          <w:szCs w:val="24"/>
        </w:rPr>
        <w:t>rozpocznie się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więcej niż jeden rok podatkowy. W</w:t>
      </w:r>
      <w:r w:rsidR="00313E8F" w:rsidRPr="00B260C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związku z tym odesłanie w przepisie do „roku podatkowego” należy, zgodnie z</w:t>
      </w:r>
      <w:r w:rsidR="00313E8F" w:rsidRPr="00B260C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obowiązującymi zasadami wykładni, odczytywać jako odesłanie również do „lat podatkowych”</w:t>
      </w:r>
      <w:r w:rsidR="00DA3A4C" w:rsidRPr="00B260C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96DE9" w:rsidRPr="00B260CF">
        <w:rPr>
          <w:rFonts w:ascii="Times New Roman" w:eastAsia="Times New Roman" w:hAnsi="Times New Roman" w:cs="Times New Roman"/>
          <w:sz w:val="24"/>
          <w:szCs w:val="24"/>
        </w:rPr>
        <w:t xml:space="preserve">o ile </w:t>
      </w:r>
      <w:r w:rsidR="00DA3A4C" w:rsidRPr="00B260CF">
        <w:rPr>
          <w:rFonts w:ascii="Times New Roman" w:eastAsia="Times New Roman" w:hAnsi="Times New Roman" w:cs="Times New Roman"/>
          <w:sz w:val="24"/>
          <w:szCs w:val="24"/>
        </w:rPr>
        <w:t xml:space="preserve">taki przypadek będzie miał miejsce </w:t>
      </w:r>
      <w:r w:rsidR="00352F8C" w:rsidRPr="00B260CF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DA3A4C" w:rsidRPr="00B260CF">
        <w:rPr>
          <w:rFonts w:ascii="Times New Roman" w:eastAsia="Times New Roman" w:hAnsi="Times New Roman" w:cs="Times New Roman"/>
          <w:sz w:val="24"/>
          <w:szCs w:val="24"/>
        </w:rPr>
        <w:t>określonym stanie faktycznym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979E12F" w14:textId="2A251F2C" w:rsidR="00DD680D" w:rsidRPr="00B260CF" w:rsidRDefault="00DD680D" w:rsidP="00DD680D">
      <w:pPr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>Analogiczne reguły znajdą zastosowanie w odniesieniu do opodatkowania 26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/16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stawką (projektowany </w:t>
      </w:r>
      <w:r w:rsidR="00332F02" w:rsidRPr="00B260CF">
        <w:rPr>
          <w:rFonts w:ascii="Times New Roman" w:eastAsia="Times New Roman" w:hAnsi="Times New Roman" w:cs="Times New Roman"/>
          <w:sz w:val="24"/>
          <w:szCs w:val="24"/>
        </w:rPr>
        <w:t>art. 38a</w:t>
      </w:r>
      <w:r w:rsidR="00835731" w:rsidRPr="00B260CF">
        <w:rPr>
          <w:rFonts w:ascii="Times New Roman" w:eastAsia="Times New Roman" w:hAnsi="Times New Roman" w:cs="Times New Roman"/>
          <w:sz w:val="24"/>
          <w:szCs w:val="24"/>
        </w:rPr>
        <w:t>a</w:t>
      </w:r>
      <w:r w:rsidR="00332F02" w:rsidRPr="00B2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1108" w:rsidRPr="00B260CF">
        <w:rPr>
          <w:rFonts w:ascii="Times New Roman" w:eastAsia="Times New Roman" w:hAnsi="Times New Roman" w:cs="Times New Roman"/>
          <w:sz w:val="24"/>
          <w:szCs w:val="24"/>
        </w:rPr>
        <w:t xml:space="preserve">ust. 1 </w:t>
      </w:r>
      <w:r w:rsidR="00332F02" w:rsidRPr="00B260CF">
        <w:rPr>
          <w:rFonts w:ascii="Times New Roman" w:eastAsia="Times New Roman" w:hAnsi="Times New Roman" w:cs="Times New Roman"/>
          <w:sz w:val="24"/>
          <w:szCs w:val="24"/>
        </w:rPr>
        <w:t xml:space="preserve">pkt 2 lit. c i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art. 38a</w:t>
      </w:r>
      <w:r w:rsidR="00835731" w:rsidRPr="00B260C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1108" w:rsidRPr="00B260CF">
        <w:rPr>
          <w:rFonts w:ascii="Times New Roman" w:eastAsia="Times New Roman" w:hAnsi="Times New Roman" w:cs="Times New Roman"/>
          <w:sz w:val="24"/>
          <w:szCs w:val="24"/>
        </w:rPr>
        <w:t xml:space="preserve">ust. 1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pkt 2 lit. c). Co do zasady, podatnik, który był utworzony przed 2026 r., będzie podlegał opodatkowaniu 26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/16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stawką w roku następującym (bezpośrednio) po roku podatkowym (latach podatkowych), za który</w:t>
      </w:r>
      <w:r w:rsidR="00DA3A4C" w:rsidRPr="00B260CF">
        <w:rPr>
          <w:rFonts w:ascii="Times New Roman" w:eastAsia="Times New Roman" w:hAnsi="Times New Roman" w:cs="Times New Roman"/>
          <w:sz w:val="24"/>
          <w:szCs w:val="24"/>
        </w:rPr>
        <w:t xml:space="preserve"> ten podatnik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był opodatkowany stawką wynoszącą 30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. W typowych okolicznościach będzie to rok 2027 r., jednak biorąc pod uwagę możliwość wydłużania roku podatkowego i odroczenia w związku z tym opodatkowania 30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stawką</w:t>
      </w:r>
      <w:r w:rsidR="0004356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należało przyjąć w projektowanym przepisie, że będzie to pierwszy rok podatkowy bezpośrednio następujący</w:t>
      </w:r>
      <w:r w:rsidR="00352F8C" w:rsidRPr="00B260CF">
        <w:rPr>
          <w:rFonts w:ascii="Times New Roman" w:eastAsia="Times New Roman" w:hAnsi="Times New Roman" w:cs="Times New Roman"/>
          <w:sz w:val="24"/>
          <w:szCs w:val="24"/>
        </w:rPr>
        <w:t xml:space="preserve"> po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roku podatkowym, w którym podatnik podlegał opodatkowaniu </w:t>
      </w:r>
      <w:r w:rsidR="00352F8C" w:rsidRPr="00B260CF">
        <w:rPr>
          <w:rFonts w:ascii="Times New Roman" w:eastAsia="Times New Roman" w:hAnsi="Times New Roman" w:cs="Times New Roman"/>
          <w:sz w:val="24"/>
          <w:szCs w:val="24"/>
        </w:rPr>
        <w:t>30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F8C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352F8C" w:rsidRPr="00B260CF">
        <w:rPr>
          <w:rFonts w:ascii="Times New Roman" w:eastAsia="Times New Roman" w:hAnsi="Times New Roman" w:cs="Times New Roman"/>
          <w:sz w:val="24"/>
          <w:szCs w:val="24"/>
        </w:rPr>
        <w:t xml:space="preserve"> stawką </w:t>
      </w:r>
      <w:r w:rsidR="00DA3A4C" w:rsidRPr="00B260CF">
        <w:rPr>
          <w:rFonts w:ascii="Times New Roman" w:eastAsia="Times New Roman" w:hAnsi="Times New Roman" w:cs="Times New Roman"/>
          <w:sz w:val="24"/>
          <w:szCs w:val="24"/>
        </w:rPr>
        <w:t xml:space="preserve">przez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pełne 12 miesięcy kalendarzowych. W przypadku natomiast gdy ten „pierwszy” rok, w którym podatnik podlegał opodatkowaniu 26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/16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stawką trwał krócej niż 12 miesięcy</w:t>
      </w:r>
      <w:r w:rsidR="0004356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będzie podlegał opodatkowaniu tą stawką w każdym kolejnym roku podatkowym następującym po tym „pierwszym” roku. Podatnik nie będzie obowiązany do stosowania stawki 26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 do kolejnego roku dopiero wówczas</w:t>
      </w:r>
      <w:r w:rsidR="0004356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gdy ustali, że w latach poprzednich łączny okres opodatkowania tą stawką wyniósł 12 miesięcy kalendarzowych, </w:t>
      </w:r>
    </w:p>
    <w:p w14:paraId="43C09FD1" w14:textId="4207A97A" w:rsidR="00DD680D" w:rsidRPr="00B260CF" w:rsidRDefault="00DD680D" w:rsidP="00DD680D">
      <w:pPr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>Jak już zasygnalizowano wcześniej</w:t>
      </w:r>
      <w:r w:rsidR="000435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odrębne reguły zostały wprowadzone w odniesieniu do podatnika rozpoczynającego działalność w trakcie 2026 r. albo 2027 r. W przypadku podatnika, który rozpocznie działalność np. listopadzie 2026 r.</w:t>
      </w:r>
      <w:r w:rsidR="0004356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nie przewiduje się obowiązku objęcia tego podatnika opodatkowaniem przez pełne 12 miesiące kalendarzowe</w:t>
      </w:r>
      <w:r w:rsidR="00DA3A4C" w:rsidRPr="00B260CF">
        <w:rPr>
          <w:rFonts w:ascii="Times New Roman" w:eastAsia="Times New Roman" w:hAnsi="Times New Roman" w:cs="Times New Roman"/>
          <w:sz w:val="24"/>
          <w:szCs w:val="24"/>
        </w:rPr>
        <w:t xml:space="preserve"> (niejako wstecz)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. Podatnik taki będzie opodatkowany </w:t>
      </w:r>
      <w:r w:rsidR="00DA3A4C" w:rsidRPr="00B260CF">
        <w:rPr>
          <w:rFonts w:ascii="Times New Roman" w:eastAsia="Times New Roman" w:hAnsi="Times New Roman" w:cs="Times New Roman"/>
          <w:sz w:val="24"/>
          <w:szCs w:val="24"/>
        </w:rPr>
        <w:t xml:space="preserve">przejściowo podwyższoną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stawką wyłącznie w pierwszym roku podatkowym rozpoczętym w 2026 r. (w odniesieniu do 30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stawki) oraz w 2027 r. (w odniesieniu do 26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/16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 stawki). </w:t>
      </w:r>
    </w:p>
    <w:p w14:paraId="1A6B56ED" w14:textId="0CD48F4E" w:rsidR="00CC407A" w:rsidRPr="00B260CF" w:rsidRDefault="00313E8F" w:rsidP="00DD680D">
      <w:pPr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CF">
        <w:rPr>
          <w:rFonts w:ascii="Times New Roman" w:eastAsia="Times New Roman" w:hAnsi="Times New Roman" w:cs="Times New Roman"/>
          <w:sz w:val="24"/>
          <w:szCs w:val="24"/>
        </w:rPr>
        <w:t xml:space="preserve">Intencją ww. regulacji </w:t>
      </w:r>
      <w:r w:rsidR="00DD680D" w:rsidRPr="00B260CF">
        <w:rPr>
          <w:rFonts w:ascii="Times New Roman" w:eastAsia="Times New Roman" w:hAnsi="Times New Roman" w:cs="Times New Roman"/>
          <w:sz w:val="24"/>
          <w:szCs w:val="24"/>
        </w:rPr>
        <w:t>jest doprowadzenie do sytuacji, w</w:t>
      </w:r>
      <w:r w:rsidRPr="00B260C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D680D" w:rsidRPr="00B260CF">
        <w:rPr>
          <w:rFonts w:ascii="Times New Roman" w:eastAsia="Times New Roman" w:hAnsi="Times New Roman" w:cs="Times New Roman"/>
          <w:sz w:val="24"/>
          <w:szCs w:val="24"/>
        </w:rPr>
        <w:t>której, jeżeli nie wszyscy, to zdecydowana większość podatników zastosuje w całym 2026 r. stawkę w wysokości 30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80D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DD680D" w:rsidRPr="00B260CF">
        <w:rPr>
          <w:rFonts w:ascii="Times New Roman" w:eastAsia="Times New Roman" w:hAnsi="Times New Roman" w:cs="Times New Roman"/>
          <w:sz w:val="24"/>
          <w:szCs w:val="24"/>
        </w:rPr>
        <w:t xml:space="preserve"> i w całym 2027 r. stawkę w wysokości 26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80D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/16</w:t>
      </w:r>
      <w:r w:rsidR="0020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02A" w:rsidRPr="00B260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DD680D" w:rsidRPr="00B260CF">
        <w:rPr>
          <w:rFonts w:ascii="Times New Roman" w:eastAsia="Times New Roman" w:hAnsi="Times New Roman" w:cs="Times New Roman"/>
          <w:sz w:val="24"/>
          <w:szCs w:val="24"/>
        </w:rPr>
        <w:t>., bez konieczności stosowania dodatkowych reguł szczególnych zaproponowanych w tym przepisie</w:t>
      </w:r>
      <w:r w:rsidR="00632923" w:rsidRPr="00B260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A103D0A" w14:textId="2B1D22BB" w:rsidR="008A203D" w:rsidRPr="00B260CF" w:rsidRDefault="00632923" w:rsidP="00427E3B">
      <w:pPr>
        <w:autoSpaceDE w:val="0"/>
        <w:autoSpaceDN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Ponadto ustawa </w:t>
      </w:r>
      <w:r w:rsidR="00427E3B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(dodawany art. 38a</w:t>
      </w:r>
      <w:r w:rsidR="00835731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a ust. 2</w:t>
      </w:r>
      <w:r w:rsidR="00427E3B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art. 1 pkt 3 nowelizacji)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przewiduje regulacje </w:t>
      </w:r>
      <w:r w:rsidR="00427E3B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określające szczegółowe zasady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dostosowujące wysokość zaliczek </w:t>
      </w:r>
      <w:r w:rsidR="00427E3B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zmienianych stawek podatku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427E3B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C407A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przypadku wpłacania przez ww. podmioty zaliczek miesięcznych na zasadach określonych w art. 25 ust. 6-6</w:t>
      </w:r>
      <w:r w:rsidR="00A22461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C407A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ustawy o CIT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tj. w przypadku wpłacania tzw. „zaliczek uproszczonych”. </w:t>
      </w:r>
      <w:r w:rsidR="00A9702A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Zdecydowano o objęciu tą regulacja wyłącznie podatników innych niż określeni w art. 19 ust. 1 pkt </w:t>
      </w:r>
      <w:r w:rsidR="00D80D90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A9702A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ustawy o CIT z dwóch powodów: (i) w przypadku tych </w:t>
      </w:r>
      <w:r w:rsidR="00A9702A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podatników wyliczanie nowych wartości zaliczek uproszczonych mogłoby stanowić nadmierną komplikację o charakterze administracyjnym, a po drugie (ii) ich status i wielkość nie uzasadnia pobierania zwiększonych kwot podatku już w trakcie roku (ponadto można założyć, że podmioty te rzadziej korzystają z zaliczek uproszczonych</w:t>
      </w:r>
      <w:r w:rsidR="007611D9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, z uwagi na mniejsze nominalnie różnice w poziomie dochodów w poszczególnych latach).</w:t>
      </w:r>
    </w:p>
    <w:p w14:paraId="433AEC9A" w14:textId="17CA380D" w:rsidR="0031347D" w:rsidRPr="00B260CF" w:rsidRDefault="00C4007C" w:rsidP="00580150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W przypadku podatników, o których mowa w art. 19 ust. 1 pkt 4 ustawy o CIT w okresie zastosowania przepisów epizodycznych stosuje się odpowiednio przepisy ogólne (art. 25 ust. 1f i 1g; art. 1 pkt 2 lit. a nowelizacji)</w:t>
      </w:r>
      <w:r w:rsidR="009076E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539C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Oznacza to, że </w:t>
      </w:r>
      <w:r w:rsidR="00A81100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 </w:t>
      </w:r>
      <w:r w:rsidR="0083539C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miesiąc</w:t>
      </w:r>
      <w:r w:rsidR="00A81100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83539C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/kwarta</w:t>
      </w:r>
      <w:r w:rsidR="00A81100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ły</w:t>
      </w:r>
      <w:r w:rsidR="0083539C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 którym próg </w:t>
      </w:r>
      <w:r w:rsidR="00736E10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określony w art. 25 ust. 1g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nie </w:t>
      </w:r>
      <w:r w:rsidR="0083539C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został przekroczony</w:t>
      </w:r>
      <w:r w:rsidR="00A81100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podatnicy ci </w:t>
      </w:r>
      <w:r w:rsidR="005B52AD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stosują</w:t>
      </w:r>
      <w:r w:rsidR="00A81100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stawkę określoną przepisami epizodycznymi</w:t>
      </w:r>
      <w:r w:rsidR="00F51181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– 20</w:t>
      </w:r>
      <w:r w:rsidR="00205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%/16</w:t>
      </w:r>
      <w:r w:rsidR="00205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%, a do momentu przekroczenia tego progu stosują stawkę określoną przepisami epizodycznymi </w:t>
      </w:r>
      <w:r w:rsidR="00F51181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dla podatników, o których mowa w art. 19 ust 1 pkt 3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– 30</w:t>
      </w:r>
      <w:r w:rsidR="00205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%/26</w:t>
      </w:r>
      <w:r w:rsidR="00205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%.</w:t>
      </w:r>
    </w:p>
    <w:p w14:paraId="727061B8" w14:textId="50681002" w:rsidR="006645D6" w:rsidRPr="00B260CF" w:rsidRDefault="0077112C" w:rsidP="00427E3B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260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III. </w:t>
      </w:r>
      <w:r w:rsidR="006645D6" w:rsidRPr="00B260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Zmiany w ponif z uwzględnieniem przepisów przejściowych </w:t>
      </w:r>
    </w:p>
    <w:p w14:paraId="08D1F801" w14:textId="3A8F9291" w:rsidR="00D506B4" w:rsidRPr="00B260CF" w:rsidRDefault="00D506B4" w:rsidP="00427E3B">
      <w:pPr>
        <w:autoSpaceDE w:val="0"/>
        <w:autoSpaceDN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Ustawa wprowadza także zmiany </w:t>
      </w:r>
      <w:r w:rsidR="001B1FD5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(art. 2 nowelizacji)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</w:t>
      </w:r>
      <w:r w:rsidR="008E1FBA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ustawie o ponif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polegające na obniżeniu stawki tego podatku w</w:t>
      </w:r>
      <w:r w:rsidR="0077112C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odniesieniu do podatników, o których mowa w art. 4 pkt 1–4</w:t>
      </w:r>
      <w:r w:rsidR="00B55130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tej</w:t>
      </w:r>
      <w:r w:rsidR="0077112C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ustawy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1501F9B1" w14:textId="2C85456A" w:rsidR="000B2067" w:rsidRPr="00B260CF" w:rsidRDefault="00B55130" w:rsidP="00427E3B">
      <w:pPr>
        <w:autoSpaceDE w:val="0"/>
        <w:autoSpaceDN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Regulacje te wejdą w życie 1 stycznia</w:t>
      </w:r>
      <w:r w:rsidR="00D506B4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2027 r.</w:t>
      </w:r>
      <w:r w:rsidR="005E41E2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kiedy to </w:t>
      </w:r>
      <w:r w:rsidR="00D506B4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77112C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bowiązująca obecnie stawka ponif </w:t>
      </w:r>
      <w:r w:rsidR="00D506B4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ulegnie obniżeniu </w:t>
      </w:r>
      <w:r w:rsidR="0077112C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o 10</w:t>
      </w:r>
      <w:r w:rsidR="00205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112C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="00D506B4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Docelowy poziom obniżenia zacznie obowiązywać od </w:t>
      </w:r>
      <w:r w:rsidR="0077112C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2028 r. </w:t>
      </w:r>
      <w:r w:rsidR="00D506B4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będzie to obniżenie obecnie obowiązującej stawki </w:t>
      </w:r>
      <w:r w:rsidR="0077112C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o 20</w:t>
      </w:r>
      <w:r w:rsidR="00205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112C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%. </w:t>
      </w:r>
    </w:p>
    <w:p w14:paraId="7A2E4BCD" w14:textId="572D20A6" w:rsidR="0077112C" w:rsidRPr="00B260CF" w:rsidRDefault="0077112C" w:rsidP="00427E3B">
      <w:pPr>
        <w:autoSpaceDE w:val="0"/>
        <w:autoSpaceDN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W odniesieniu do tej grupy podatników (</w:t>
      </w:r>
      <w:r w:rsidR="00C84C05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tj.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banki krajowe, oddziały banków zagranicznych, oddziały instytucji kredytowych oraz spółdzielcze kasy oszczędnościowo-kredytowe) oznacza to zmianę: </w:t>
      </w:r>
    </w:p>
    <w:p w14:paraId="5D1EFCFE" w14:textId="7887DF63" w:rsidR="0077112C" w:rsidRPr="00B260CF" w:rsidRDefault="0077112C" w:rsidP="00427E3B">
      <w:pPr>
        <w:pStyle w:val="Akapitzlist"/>
        <w:numPr>
          <w:ilvl w:val="0"/>
          <w:numId w:val="4"/>
        </w:numPr>
        <w:autoSpaceDE w:val="0"/>
        <w:autoSpaceDN w:val="0"/>
        <w:spacing w:before="120" w:after="1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260CF">
        <w:rPr>
          <w:rFonts w:ascii="Times New Roman" w:hAnsi="Times New Roman"/>
          <w:sz w:val="24"/>
          <w:szCs w:val="24"/>
          <w:shd w:val="clear" w:color="auto" w:fill="FFFFFF"/>
        </w:rPr>
        <w:t>w 2027 r. z podatku wynoszącego 0,0366</w:t>
      </w:r>
      <w:r w:rsidR="0020524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260CF">
        <w:rPr>
          <w:rFonts w:ascii="Times New Roman" w:hAnsi="Times New Roman"/>
          <w:sz w:val="24"/>
          <w:szCs w:val="24"/>
          <w:shd w:val="clear" w:color="auto" w:fill="FFFFFF"/>
        </w:rPr>
        <w:t>% podstawy opodatkowania na podatek wynoszący 0,0329% podstawy opodatkowania;</w:t>
      </w:r>
    </w:p>
    <w:p w14:paraId="08DC907E" w14:textId="1DC63AC0" w:rsidR="0077112C" w:rsidRPr="00B260CF" w:rsidRDefault="0077112C" w:rsidP="00427E3B">
      <w:pPr>
        <w:pStyle w:val="Akapitzlist"/>
        <w:numPr>
          <w:ilvl w:val="0"/>
          <w:numId w:val="4"/>
        </w:numPr>
        <w:autoSpaceDE w:val="0"/>
        <w:autoSpaceDN w:val="0"/>
        <w:spacing w:before="120" w:after="1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260CF">
        <w:rPr>
          <w:rFonts w:ascii="Times New Roman" w:hAnsi="Times New Roman"/>
          <w:sz w:val="24"/>
          <w:szCs w:val="24"/>
          <w:shd w:val="clear" w:color="auto" w:fill="FFFFFF"/>
        </w:rPr>
        <w:t>od 2028 r. z podatku wynoszącego 0,0366</w:t>
      </w:r>
      <w:r w:rsidR="0020524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260CF">
        <w:rPr>
          <w:rFonts w:ascii="Times New Roman" w:hAnsi="Times New Roman"/>
          <w:sz w:val="24"/>
          <w:szCs w:val="24"/>
          <w:shd w:val="clear" w:color="auto" w:fill="FFFFFF"/>
        </w:rPr>
        <w:t>% podstawy opodatkowania na podatek wynoszący 0,0293</w:t>
      </w:r>
      <w:r w:rsidR="0020524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260CF">
        <w:rPr>
          <w:rFonts w:ascii="Times New Roman" w:hAnsi="Times New Roman"/>
          <w:sz w:val="24"/>
          <w:szCs w:val="24"/>
          <w:shd w:val="clear" w:color="auto" w:fill="FFFFFF"/>
        </w:rPr>
        <w:t>% podstawy opodatkowania.</w:t>
      </w:r>
    </w:p>
    <w:p w14:paraId="32B86B4A" w14:textId="5E1D8DB2" w:rsidR="002E51C4" w:rsidRPr="00B260CF" w:rsidRDefault="00923542" w:rsidP="002E51C4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260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="002E51C4" w:rsidRPr="00B260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V. Przegląd funkcjonowania</w:t>
      </w:r>
    </w:p>
    <w:p w14:paraId="67F8CA2D" w14:textId="1ECEEF3A" w:rsidR="002E51C4" w:rsidRPr="00B260CF" w:rsidRDefault="00923542" w:rsidP="002E51C4">
      <w:pPr>
        <w:autoSpaceDE w:val="0"/>
        <w:autoSpaceDN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4 ustawy przewiduje przeprowadzenie w ciągu trzech lat od dnia jej wejścia w życie przeglądu funkcjonowania przepisów ustawy o CIT w zakresie zmian wprowadzonych ustawą. Przegląd ten polegać będzie na analizie skutków obowiązywania zmienionych stawek, w tym ich wpływie na sytuację sektora finansowego, w szczególności sektora bankowego. </w:t>
      </w:r>
    </w:p>
    <w:p w14:paraId="547BBAD5" w14:textId="6E436838" w:rsidR="00544BCC" w:rsidRPr="00B260CF" w:rsidRDefault="00544BCC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260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V. </w:t>
      </w:r>
      <w:r w:rsidR="002E51C4" w:rsidRPr="00B260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Przepis przejściowy i w</w:t>
      </w:r>
      <w:r w:rsidRPr="00B260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ejście w życie</w:t>
      </w:r>
    </w:p>
    <w:p w14:paraId="66049FAA" w14:textId="43D51593" w:rsidR="002E51C4" w:rsidRPr="00B260CF" w:rsidRDefault="002E51C4" w:rsidP="00544BCC">
      <w:pPr>
        <w:autoSpaceDE w:val="0"/>
        <w:autoSpaceDN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W art. 3 zawarto „typowy” przepis przejściowy odnoszący się do podatników podatku CIT z innym rokiem niż kalendarzowy (a precyzyjniej z rokiem podatkowym, który nie kończy się w dniu 31 grudnia 2025 r.). Zgodnie z tym przepisem do zakończenia tego roku podatkowego podatnik będzie stosował zasady dotychczasowe (19</w:t>
      </w:r>
      <w:r w:rsidR="00205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%/9</w:t>
      </w:r>
      <w:r w:rsidR="00205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% stawkę podatku).</w:t>
      </w:r>
      <w:r w:rsidR="00205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C474E47" w14:textId="6499D7CD" w:rsidR="004D3760" w:rsidRPr="00B260CF" w:rsidRDefault="004D3760" w:rsidP="004D3760">
      <w:pPr>
        <w:autoSpaceDE w:val="0"/>
        <w:autoSpaceDN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Przepis ten ma na celu zapewnienie ciągłości i stabilności rozliczeń podatkowych dla podatników, których rok podatkowy rozpoczął się przed dniem 1 stycznia 2026 r., a zakończy się po dniu 31 grudnia 2025 r.</w:t>
      </w:r>
      <w:r w:rsidR="00DE329B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Przykładowo, </w:t>
      </w:r>
      <w:r w:rsidR="00CE57D1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jeżeli </w:t>
      </w:r>
      <w:r w:rsidR="00DE329B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rok podatkowy podatnika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trwa od 1 lipca 2025 r. do 30 czerwca 2026 r.</w:t>
      </w:r>
      <w:r w:rsidR="009076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E329B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znacza to, że do 30 czerwca 2026 r. podatnik </w:t>
      </w:r>
      <w:r w:rsidR="00DE329B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taki będzie </w:t>
      </w:r>
      <w:r w:rsidR="00DE329B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stosował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przepisy ustawy o podatku dochodowym od osób prawnych w brzmieniu </w:t>
      </w:r>
      <w:r w:rsidR="00DE329B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dotychczasowym (a zatem stawkę 19</w:t>
      </w:r>
      <w:r w:rsidR="00205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E329B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%/9</w:t>
      </w:r>
      <w:r w:rsidR="00205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E329B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%).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Dopiero od kolejnego roku podatkowego (bezpośrednio po nim następującego), czyli od 1 lipca 2026</w:t>
      </w:r>
      <w:r w:rsidR="00CE57D1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r., podatnik będzie zobowiązany do stosowania nowych </w:t>
      </w:r>
      <w:r w:rsidR="00DE329B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stawek. </w:t>
      </w:r>
    </w:p>
    <w:p w14:paraId="26C90E47" w14:textId="48918664" w:rsidR="0013342B" w:rsidRPr="00B260CF" w:rsidRDefault="00544BCC" w:rsidP="004D3760">
      <w:pPr>
        <w:autoSpaceDE w:val="0"/>
        <w:autoSpaceDN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Zgodnie z art. </w:t>
      </w:r>
      <w:r w:rsidR="002E51C4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projektowanej ustawy zmiany dotyczące ustawy o CIT (art. 1 projektowanej ustawy) wchodzą w życie z dniem 1 stycznia 2026 r., a zmiany dotyczące ponif (art. 2 projektowanej ustawy) wchodzą w życie z dniem 1 stycznia 2027 r. </w:t>
      </w:r>
    </w:p>
    <w:p w14:paraId="11DD87B1" w14:textId="7CF8C9DB" w:rsidR="00DE329B" w:rsidRPr="00B260CF" w:rsidRDefault="00DE329B" w:rsidP="004D3760">
      <w:pPr>
        <w:autoSpaceDE w:val="0"/>
        <w:autoSpaceDN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Należy podkreślić, iż projektowane przepisy nie wiążą się koniecznością istotnego dostosowania się podatników pod kątem „organizacyjnym”,</w:t>
      </w:r>
      <w:r w:rsidR="00205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tym w szczególności w zakresie dostosowania systemów IT. Zmianie ulegają bowiem wyłącznie stawki podatku. Tym samym poziom skomplikowania procesu implementacji nowych przepisów przez podatników należy uznać za znikomy. Z tego względu nie ma uzasadnienia do zastosowania okresu vacatio legis dłuższego niż miesięczny (który to okres na gruncie podatków dochodowych wyprowadzany jest z art. 2 Konstytucji RP). </w:t>
      </w:r>
      <w:r w:rsidR="00604A05"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Ważny interes publiczny wymaga wejścia w życie tych zmian już od 1 stycznia 2026 r.</w:t>
      </w:r>
    </w:p>
    <w:p w14:paraId="45C6AC49" w14:textId="73CDD224" w:rsidR="0031347D" w:rsidRPr="00B260CF" w:rsidRDefault="0031347D" w:rsidP="00477AD5">
      <w:pPr>
        <w:autoSpaceDE w:val="0"/>
        <w:autoSpaceDN w:val="0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260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</w:t>
      </w:r>
      <w:r w:rsidR="0013342B" w:rsidRPr="00B260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B260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Dodatkowe informacje</w:t>
      </w:r>
    </w:p>
    <w:p w14:paraId="71CC41A3" w14:textId="77777777" w:rsidR="0031347D" w:rsidRPr="00B260CF" w:rsidRDefault="0031347D" w:rsidP="0031347D">
      <w:pPr>
        <w:autoSpaceDE w:val="0"/>
        <w:autoSpaceDN w:val="0"/>
        <w:spacing w:before="120"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Projekt ustawy jest zgodny z prawem Unii Europejskiej i nie podlega obowiązkowi przedstawienia właściwym instytucjom Unii Europejskiej, w tym Europejskiemu Bankowi Centralnemu, w celu uzyskania opinii, dokonania powiadomienia, konsultacji albo uzgodnienia. </w:t>
      </w:r>
    </w:p>
    <w:p w14:paraId="43FEF13E" w14:textId="77777777" w:rsidR="0031347D" w:rsidRPr="00B260CF" w:rsidRDefault="0031347D" w:rsidP="0031347D">
      <w:pPr>
        <w:autoSpaceDE w:val="0"/>
        <w:autoSpaceDN w:val="0"/>
        <w:spacing w:before="120"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Projekt ustawy nie podlega procedurze notyfikacji aktów prawnych, określonej w przepisach rozporządzenia Rady Ministrów z dnia 23 grudnia 2002 r. w sprawie funkcjonowania krajowego systemu notyfikacji norm i aktów prawnych (Dz. U. poz. 2039, z późn. zm.).</w:t>
      </w:r>
    </w:p>
    <w:p w14:paraId="62F8B46B" w14:textId="6F64D675" w:rsidR="0077112C" w:rsidRPr="00B260CF" w:rsidRDefault="0031347D" w:rsidP="00B260CF">
      <w:pPr>
        <w:autoSpaceDE w:val="0"/>
        <w:autoSpaceDN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260CF">
        <w:rPr>
          <w:rFonts w:ascii="Times New Roman" w:hAnsi="Times New Roman" w:cs="Times New Roman"/>
          <w:sz w:val="24"/>
          <w:szCs w:val="24"/>
          <w:shd w:val="clear" w:color="auto" w:fill="FFFFFF"/>
        </w:rPr>
        <w:t>Projekt nie stwarza zagrożeń korupcyjnych.</w:t>
      </w:r>
    </w:p>
    <w:sectPr w:rsidR="0077112C" w:rsidRPr="00B260CF" w:rsidSect="0020524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FA6F9" w14:textId="77777777" w:rsidR="00C25059" w:rsidRDefault="00C25059" w:rsidP="00DC667B">
      <w:pPr>
        <w:spacing w:after="0" w:line="240" w:lineRule="auto"/>
      </w:pPr>
      <w:r>
        <w:separator/>
      </w:r>
    </w:p>
  </w:endnote>
  <w:endnote w:type="continuationSeparator" w:id="0">
    <w:p w14:paraId="1A7B30AA" w14:textId="77777777" w:rsidR="00C25059" w:rsidRDefault="00C25059" w:rsidP="00DC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4365727"/>
      <w:docPartObj>
        <w:docPartGallery w:val="Page Numbers (Bottom of Page)"/>
        <w:docPartUnique/>
      </w:docPartObj>
    </w:sdtPr>
    <w:sdtEndPr/>
    <w:sdtContent>
      <w:p w14:paraId="65E4FE8F" w14:textId="50AA37BD" w:rsidR="00205247" w:rsidRDefault="00205247">
        <w:pPr>
          <w:pStyle w:val="Stopka"/>
          <w:jc w:val="center"/>
        </w:pPr>
        <w:r w:rsidRPr="002052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52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52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05247">
          <w:rPr>
            <w:rFonts w:ascii="Times New Roman" w:hAnsi="Times New Roman" w:cs="Times New Roman"/>
            <w:sz w:val="24"/>
            <w:szCs w:val="24"/>
          </w:rPr>
          <w:t>2</w:t>
        </w:r>
        <w:r w:rsidRPr="002052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BE949C6" w14:textId="77777777" w:rsidR="00205247" w:rsidRDefault="002052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1DE1E" w14:textId="77777777" w:rsidR="00C25059" w:rsidRDefault="00C25059" w:rsidP="00DC667B">
      <w:pPr>
        <w:spacing w:after="0" w:line="240" w:lineRule="auto"/>
      </w:pPr>
      <w:r>
        <w:separator/>
      </w:r>
    </w:p>
  </w:footnote>
  <w:footnote w:type="continuationSeparator" w:id="0">
    <w:p w14:paraId="742422C6" w14:textId="77777777" w:rsidR="00C25059" w:rsidRDefault="00C25059" w:rsidP="00DC667B">
      <w:pPr>
        <w:spacing w:after="0" w:line="240" w:lineRule="auto"/>
      </w:pPr>
      <w:r>
        <w:continuationSeparator/>
      </w:r>
    </w:p>
  </w:footnote>
  <w:footnote w:id="1">
    <w:p w14:paraId="64EC77F2" w14:textId="56A43E27" w:rsidR="00D42E99" w:rsidRPr="00B260CF" w:rsidRDefault="00D42E99" w:rsidP="00A436AD">
      <w:pPr>
        <w:pStyle w:val="Tekstprzypisudolnego"/>
        <w:rPr>
          <w:rFonts w:ascii="Times New Roman" w:hAnsi="Times New Roman" w:cs="Times New Roman"/>
          <w:lang w:val="en-AU"/>
        </w:rPr>
      </w:pPr>
      <w:r w:rsidRPr="00B260CF">
        <w:rPr>
          <w:rStyle w:val="Odwoanieprzypisudolnego"/>
          <w:rFonts w:ascii="Times New Roman" w:hAnsi="Times New Roman" w:cs="Times New Roman"/>
        </w:rPr>
        <w:footnoteRef/>
      </w:r>
      <w:r w:rsidRPr="00B260CF">
        <w:rPr>
          <w:rFonts w:ascii="Times New Roman" w:hAnsi="Times New Roman" w:cs="Times New Roman"/>
          <w:lang w:val="en-AU"/>
        </w:rPr>
        <w:t xml:space="preserve"> Morgan Maneely, and Lev Ratnovski. "Bank Profits and Bank Taxes in the EU", IMF Working Papers 2024, 143 (2024), </w:t>
      </w:r>
      <w:r w:rsidR="0031347D" w:rsidRPr="00B260CF">
        <w:rPr>
          <w:rFonts w:ascii="Times New Roman" w:hAnsi="Times New Roman" w:cs="Times New Roman"/>
          <w:lang w:val="en-AU"/>
        </w:rPr>
        <w:t>dostęp 28 sierpnia</w:t>
      </w:r>
      <w:r w:rsidRPr="00B260CF">
        <w:rPr>
          <w:rFonts w:ascii="Times New Roman" w:hAnsi="Times New Roman" w:cs="Times New Roman"/>
          <w:lang w:val="en-AU"/>
        </w:rPr>
        <w:t xml:space="preserve">, 2025, </w:t>
      </w:r>
      <w:r w:rsidR="0031347D" w:rsidRPr="00B260CF">
        <w:rPr>
          <w:rFonts w:ascii="Times New Roman" w:hAnsi="Times New Roman" w:cs="Times New Roman"/>
          <w:lang w:val="en-AU"/>
        </w:rPr>
        <w:t xml:space="preserve">https://doi.org/10.5089/9798400281198.001 </w:t>
      </w:r>
    </w:p>
  </w:footnote>
  <w:footnote w:id="2">
    <w:p w14:paraId="2B9DDE3A" w14:textId="28C2F82B" w:rsidR="00DC667B" w:rsidRPr="00B260CF" w:rsidRDefault="00DC667B" w:rsidP="00A436AD">
      <w:pPr>
        <w:pStyle w:val="Tekstprzypisudolnego"/>
        <w:rPr>
          <w:rFonts w:ascii="Times New Roman" w:hAnsi="Times New Roman" w:cs="Times New Roman"/>
          <w:lang w:val="en-AU"/>
        </w:rPr>
      </w:pPr>
      <w:r w:rsidRPr="00B260CF">
        <w:rPr>
          <w:rStyle w:val="Odwoanieprzypisudolnego"/>
          <w:rFonts w:ascii="Times New Roman" w:hAnsi="Times New Roman" w:cs="Times New Roman"/>
        </w:rPr>
        <w:footnoteRef/>
      </w:r>
      <w:r w:rsidRPr="00B260CF">
        <w:rPr>
          <w:rFonts w:ascii="Times New Roman" w:hAnsi="Times New Roman" w:cs="Times New Roman"/>
          <w:lang w:val="en-AU"/>
        </w:rPr>
        <w:t xml:space="preserve"> https://stat.gov.pl/obszary-tematyczne/podmioty-gospodarcze-wyniki-finansowe/przedsiebiorstwa-finansowe/wyniki-finansowe-bankow-w-2024-r-,5,29.html?contrast=black-white </w:t>
      </w:r>
    </w:p>
  </w:footnote>
  <w:footnote w:id="3">
    <w:p w14:paraId="1DB148AB" w14:textId="464884FF" w:rsidR="00D42E99" w:rsidRPr="00B260CF" w:rsidRDefault="00D42E99" w:rsidP="00A436AD">
      <w:pPr>
        <w:pStyle w:val="Tekstprzypisudolnego"/>
        <w:rPr>
          <w:rFonts w:ascii="Times New Roman" w:hAnsi="Times New Roman" w:cs="Times New Roman"/>
          <w:lang w:val="en-AU"/>
        </w:rPr>
      </w:pPr>
      <w:r w:rsidRPr="00B260CF">
        <w:rPr>
          <w:rStyle w:val="Odwoanieprzypisudolnego"/>
          <w:rFonts w:ascii="Times New Roman" w:hAnsi="Times New Roman" w:cs="Times New Roman"/>
        </w:rPr>
        <w:footnoteRef/>
      </w:r>
      <w:r w:rsidRPr="00B260CF">
        <w:rPr>
          <w:rFonts w:ascii="Times New Roman" w:hAnsi="Times New Roman" w:cs="Times New Roman"/>
          <w:lang w:val="en-AU"/>
        </w:rPr>
        <w:t xml:space="preserve"> Morgan Maneely, and Lev Ratnovski. "Bank Profits and Bank Taxes in the EU", IMF Working Papers 2024, 143 (2024), </w:t>
      </w:r>
      <w:r w:rsidR="0031347D" w:rsidRPr="00B260CF">
        <w:rPr>
          <w:rFonts w:ascii="Times New Roman" w:hAnsi="Times New Roman" w:cs="Times New Roman"/>
          <w:lang w:val="en-AU"/>
        </w:rPr>
        <w:t>dostęp 28 sierpnia</w:t>
      </w:r>
      <w:r w:rsidRPr="00B260CF">
        <w:rPr>
          <w:rFonts w:ascii="Times New Roman" w:hAnsi="Times New Roman" w:cs="Times New Roman"/>
          <w:lang w:val="en-AU"/>
        </w:rPr>
        <w:t xml:space="preserve">, 2025, </w:t>
      </w:r>
      <w:r w:rsidR="0031347D" w:rsidRPr="00B260CF">
        <w:rPr>
          <w:rFonts w:ascii="Times New Roman" w:hAnsi="Times New Roman" w:cs="Times New Roman"/>
          <w:lang w:val="en-AU"/>
        </w:rPr>
        <w:t xml:space="preserve">https://doi.org/10.5089/9798400281198.001 </w:t>
      </w:r>
    </w:p>
  </w:footnote>
  <w:footnote w:id="4">
    <w:p w14:paraId="2A74F324" w14:textId="34A1FB94" w:rsidR="00CE3033" w:rsidRPr="00B260CF" w:rsidRDefault="00CE3033" w:rsidP="00A436AD">
      <w:pPr>
        <w:pStyle w:val="Tekstprzypisudolnego"/>
        <w:rPr>
          <w:rFonts w:ascii="Times New Roman" w:hAnsi="Times New Roman" w:cs="Times New Roman"/>
          <w:lang w:val="en-AU"/>
        </w:rPr>
      </w:pPr>
      <w:r w:rsidRPr="00B260CF">
        <w:rPr>
          <w:rStyle w:val="Odwoanieprzypisudolnego"/>
          <w:rFonts w:ascii="Times New Roman" w:hAnsi="Times New Roman" w:cs="Times New Roman"/>
        </w:rPr>
        <w:footnoteRef/>
      </w:r>
      <w:r w:rsidRPr="00B260CF">
        <w:rPr>
          <w:rFonts w:ascii="Times New Roman" w:hAnsi="Times New Roman" w:cs="Times New Roman"/>
          <w:lang w:val="en-AU"/>
        </w:rPr>
        <w:t xml:space="preserve"> https://www.ey.com/en_gl/technical/tax-alerts/spain-implements-temporary-bank-levy </w:t>
      </w:r>
    </w:p>
  </w:footnote>
  <w:footnote w:id="5">
    <w:p w14:paraId="0499BADE" w14:textId="430BB59E" w:rsidR="00DC667B" w:rsidRPr="005407D0" w:rsidRDefault="00DC667B" w:rsidP="00A436AD">
      <w:pPr>
        <w:pStyle w:val="Tekstprzypisudolnego"/>
        <w:rPr>
          <w:rFonts w:ascii="Lato" w:hAnsi="Lato"/>
          <w:lang w:val="en-AU"/>
        </w:rPr>
      </w:pPr>
      <w:r w:rsidRPr="00B260CF">
        <w:rPr>
          <w:rStyle w:val="Odwoanieprzypisudolnego"/>
          <w:rFonts w:ascii="Times New Roman" w:hAnsi="Times New Roman" w:cs="Times New Roman"/>
        </w:rPr>
        <w:footnoteRef/>
      </w:r>
      <w:r w:rsidRPr="00B260CF">
        <w:rPr>
          <w:rFonts w:ascii="Times New Roman" w:hAnsi="Times New Roman" w:cs="Times New Roman"/>
          <w:lang w:val="en-AU"/>
        </w:rPr>
        <w:t xml:space="preserve"> </w:t>
      </w:r>
      <w:r w:rsidR="005407D0" w:rsidRPr="00B260CF">
        <w:rPr>
          <w:rFonts w:ascii="Times New Roman" w:hAnsi="Times New Roman" w:cs="Times New Roman"/>
          <w:lang w:val="en-AU"/>
        </w:rPr>
        <w:t xml:space="preserve">https://administracion.gob.es/pag_Home/Tu-espacio-europeo/derechos-obligaciones/empresas/impuestos/sociedades/info-general.html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48D"/>
    <w:multiLevelType w:val="hybridMultilevel"/>
    <w:tmpl w:val="9DE85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170DD"/>
    <w:multiLevelType w:val="hybridMultilevel"/>
    <w:tmpl w:val="455C5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56FAF"/>
    <w:multiLevelType w:val="hybridMultilevel"/>
    <w:tmpl w:val="980A3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77814"/>
    <w:multiLevelType w:val="hybridMultilevel"/>
    <w:tmpl w:val="F2FE9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D4E1B"/>
    <w:multiLevelType w:val="hybridMultilevel"/>
    <w:tmpl w:val="3A984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307284">
    <w:abstractNumId w:val="4"/>
  </w:num>
  <w:num w:numId="2" w16cid:durableId="17124847">
    <w:abstractNumId w:val="0"/>
  </w:num>
  <w:num w:numId="3" w16cid:durableId="1350371012">
    <w:abstractNumId w:val="3"/>
  </w:num>
  <w:num w:numId="4" w16cid:durableId="2029018710">
    <w:abstractNumId w:val="2"/>
  </w:num>
  <w:num w:numId="5" w16cid:durableId="1324701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D6"/>
    <w:rsid w:val="00011409"/>
    <w:rsid w:val="000168F3"/>
    <w:rsid w:val="00043563"/>
    <w:rsid w:val="00044EE0"/>
    <w:rsid w:val="00090345"/>
    <w:rsid w:val="00091108"/>
    <w:rsid w:val="000A29CF"/>
    <w:rsid w:val="000A62A8"/>
    <w:rsid w:val="000B1F1B"/>
    <w:rsid w:val="000B2067"/>
    <w:rsid w:val="000B507B"/>
    <w:rsid w:val="000C3924"/>
    <w:rsid w:val="000D0596"/>
    <w:rsid w:val="001123E6"/>
    <w:rsid w:val="00120223"/>
    <w:rsid w:val="00127126"/>
    <w:rsid w:val="0013342B"/>
    <w:rsid w:val="00137093"/>
    <w:rsid w:val="001453A8"/>
    <w:rsid w:val="001526A5"/>
    <w:rsid w:val="00183556"/>
    <w:rsid w:val="001B1FD5"/>
    <w:rsid w:val="00205247"/>
    <w:rsid w:val="0023222C"/>
    <w:rsid w:val="00244A1D"/>
    <w:rsid w:val="00253E57"/>
    <w:rsid w:val="002B29A1"/>
    <w:rsid w:val="002B4B8D"/>
    <w:rsid w:val="002E51C4"/>
    <w:rsid w:val="002E6C99"/>
    <w:rsid w:val="0031347D"/>
    <w:rsid w:val="00313E8F"/>
    <w:rsid w:val="00332F02"/>
    <w:rsid w:val="00352F8C"/>
    <w:rsid w:val="003A2249"/>
    <w:rsid w:val="003B63F2"/>
    <w:rsid w:val="003E3729"/>
    <w:rsid w:val="003F4E89"/>
    <w:rsid w:val="00400156"/>
    <w:rsid w:val="004203E3"/>
    <w:rsid w:val="00427E3B"/>
    <w:rsid w:val="00432A51"/>
    <w:rsid w:val="00444DA7"/>
    <w:rsid w:val="00460053"/>
    <w:rsid w:val="00466775"/>
    <w:rsid w:val="00477AD5"/>
    <w:rsid w:val="004A07D7"/>
    <w:rsid w:val="004C2439"/>
    <w:rsid w:val="004D3760"/>
    <w:rsid w:val="004D3E2C"/>
    <w:rsid w:val="004E75CE"/>
    <w:rsid w:val="005141EC"/>
    <w:rsid w:val="00527DC2"/>
    <w:rsid w:val="005407D0"/>
    <w:rsid w:val="00544BCC"/>
    <w:rsid w:val="00562C20"/>
    <w:rsid w:val="00580150"/>
    <w:rsid w:val="005B52AD"/>
    <w:rsid w:val="005E41E2"/>
    <w:rsid w:val="00604A05"/>
    <w:rsid w:val="0061648B"/>
    <w:rsid w:val="0062068E"/>
    <w:rsid w:val="00632923"/>
    <w:rsid w:val="006461D8"/>
    <w:rsid w:val="00660C02"/>
    <w:rsid w:val="006645D6"/>
    <w:rsid w:val="00672504"/>
    <w:rsid w:val="006B6B55"/>
    <w:rsid w:val="006C0239"/>
    <w:rsid w:val="00715CE9"/>
    <w:rsid w:val="00736E10"/>
    <w:rsid w:val="007611D9"/>
    <w:rsid w:val="0077112C"/>
    <w:rsid w:val="00787497"/>
    <w:rsid w:val="007B40A7"/>
    <w:rsid w:val="007E5EED"/>
    <w:rsid w:val="00806F76"/>
    <w:rsid w:val="0083539C"/>
    <w:rsid w:val="00835731"/>
    <w:rsid w:val="0083652E"/>
    <w:rsid w:val="008464B9"/>
    <w:rsid w:val="008936FE"/>
    <w:rsid w:val="008A203D"/>
    <w:rsid w:val="008E1FBA"/>
    <w:rsid w:val="008E2ABD"/>
    <w:rsid w:val="008F52B1"/>
    <w:rsid w:val="009076EF"/>
    <w:rsid w:val="00923542"/>
    <w:rsid w:val="009345F4"/>
    <w:rsid w:val="00954260"/>
    <w:rsid w:val="0097550F"/>
    <w:rsid w:val="00982B68"/>
    <w:rsid w:val="00996DE9"/>
    <w:rsid w:val="009C737C"/>
    <w:rsid w:val="00A22461"/>
    <w:rsid w:val="00A436AD"/>
    <w:rsid w:val="00A76F57"/>
    <w:rsid w:val="00A81100"/>
    <w:rsid w:val="00A91FD8"/>
    <w:rsid w:val="00A95CFB"/>
    <w:rsid w:val="00A9702A"/>
    <w:rsid w:val="00AB1FFA"/>
    <w:rsid w:val="00B21C55"/>
    <w:rsid w:val="00B260CF"/>
    <w:rsid w:val="00B50584"/>
    <w:rsid w:val="00B55130"/>
    <w:rsid w:val="00B5626D"/>
    <w:rsid w:val="00B77CE4"/>
    <w:rsid w:val="00BC3EE6"/>
    <w:rsid w:val="00BD01D7"/>
    <w:rsid w:val="00BD1737"/>
    <w:rsid w:val="00BD7CEF"/>
    <w:rsid w:val="00C0434C"/>
    <w:rsid w:val="00C25059"/>
    <w:rsid w:val="00C4007C"/>
    <w:rsid w:val="00C75207"/>
    <w:rsid w:val="00C84080"/>
    <w:rsid w:val="00C84C05"/>
    <w:rsid w:val="00C85AC5"/>
    <w:rsid w:val="00CA71D7"/>
    <w:rsid w:val="00CB350B"/>
    <w:rsid w:val="00CC407A"/>
    <w:rsid w:val="00CE3033"/>
    <w:rsid w:val="00CE57D1"/>
    <w:rsid w:val="00CF29D2"/>
    <w:rsid w:val="00D133F2"/>
    <w:rsid w:val="00D428E8"/>
    <w:rsid w:val="00D42E99"/>
    <w:rsid w:val="00D506B4"/>
    <w:rsid w:val="00D55569"/>
    <w:rsid w:val="00D80D90"/>
    <w:rsid w:val="00D82BF3"/>
    <w:rsid w:val="00DA3A4C"/>
    <w:rsid w:val="00DC667B"/>
    <w:rsid w:val="00DD680D"/>
    <w:rsid w:val="00DE29F0"/>
    <w:rsid w:val="00DE329B"/>
    <w:rsid w:val="00E20245"/>
    <w:rsid w:val="00E34196"/>
    <w:rsid w:val="00E522E0"/>
    <w:rsid w:val="00E62932"/>
    <w:rsid w:val="00E90033"/>
    <w:rsid w:val="00ED4709"/>
    <w:rsid w:val="00F51181"/>
    <w:rsid w:val="00F758E6"/>
    <w:rsid w:val="00F77A06"/>
    <w:rsid w:val="00F93F2F"/>
    <w:rsid w:val="00FC0C62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C7C6CB"/>
  <w15:chartTrackingRefBased/>
  <w15:docId w15:val="{EDC5C59A-5B2A-4178-9900-8E5F426B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liczanie,List Paragraph,BulletC,Numerowanie,Dot pt,F5 List Paragraph,List Paragraph1,Recommendation,List Paragraph11,Kolorowa lista — akcent 11,Listaszerű bekezdés1,List Paragraph à moi,Akapit z listą1,Akapit z listą11,Numbered Para 1,2"/>
    <w:basedOn w:val="Normalny"/>
    <w:link w:val="AkapitzlistZnak"/>
    <w:uiPriority w:val="34"/>
    <w:qFormat/>
    <w:rsid w:val="00CC407A"/>
    <w:pPr>
      <w:spacing w:after="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Wyliczanie Znak,List Paragraph Znak,BulletC Znak,Numerowanie Znak,Dot pt Znak,F5 List Paragraph Znak,List Paragraph1 Znak,Recommendation Znak,List Paragraph11 Znak,Kolorowa lista — akcent 11 Znak,Listaszerű bekezdés1 Znak,2 Znak"/>
    <w:link w:val="Akapitzlist"/>
    <w:uiPriority w:val="34"/>
    <w:qFormat/>
    <w:rsid w:val="00CC407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66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66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667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C66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667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36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36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36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36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36A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2A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2A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2AB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1347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497"/>
  </w:style>
  <w:style w:type="paragraph" w:styleId="Stopka">
    <w:name w:val="footer"/>
    <w:basedOn w:val="Normalny"/>
    <w:link w:val="StopkaZnak"/>
    <w:uiPriority w:val="99"/>
    <w:unhideWhenUsed/>
    <w:rsid w:val="0078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497"/>
  </w:style>
  <w:style w:type="paragraph" w:styleId="Poprawka">
    <w:name w:val="Revision"/>
    <w:hidden/>
    <w:uiPriority w:val="99"/>
    <w:semiHidden/>
    <w:rsid w:val="002052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D6F74-E0EB-4149-A86E-04D7285B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3446</Words>
  <Characters>20678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Bieniek - DD9</dc:creator>
  <cp:keywords/>
  <dc:description/>
  <cp:lastModifiedBy>Kołakowska Iwona</cp:lastModifiedBy>
  <cp:revision>3</cp:revision>
  <dcterms:created xsi:type="dcterms:W3CDTF">2025-10-01T06:45:00Z</dcterms:created>
  <dcterms:modified xsi:type="dcterms:W3CDTF">2025-10-01T06:45:00Z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UxC4dwLulzfINJ8nQH+xvX5LNGipWa4BRSZhPgxsCvlFc2i9eeQFvkJGlcLNHmqR0Wu/5sBleJ4ImBKLUCWxvg==</vt:lpwstr>
  </property>
  <property fmtid="{D5CDD505-2E9C-101B-9397-08002B2CF9AE}" pid="4" name="MFClassificationDate">
    <vt:lpwstr>2025-08-22T13:57:57.3211365+02:00</vt:lpwstr>
  </property>
  <property fmtid="{D5CDD505-2E9C-101B-9397-08002B2CF9AE}" pid="5" name="MFClassifiedBySID">
    <vt:lpwstr>UxC4dwLulzfINJ8nQH+xvX5LNGipWa4BRSZhPgxsCvm42mrIC/DSDv0ggS+FjUN/2v1BBotkLlY5aAiEhoi6uc1+2LQEZcFi3pmnHqmFLXJnwEceehdSLmSTL45sjB2U</vt:lpwstr>
  </property>
  <property fmtid="{D5CDD505-2E9C-101B-9397-08002B2CF9AE}" pid="6" name="MFGRNItemId">
    <vt:lpwstr>GRN-148b115f-a2b7-4795-a164-fec9fd88122b</vt:lpwstr>
  </property>
  <property fmtid="{D5CDD505-2E9C-101B-9397-08002B2CF9AE}" pid="7" name="MFHash">
    <vt:lpwstr>0WxdQ5Seq9T08ma614wqpkHvbpuLAuD+QnR/uqzH6so=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