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920E" w14:textId="5A8E4AA1" w:rsidR="00B51600" w:rsidRPr="00B33AD2" w:rsidRDefault="00B51600" w:rsidP="00B51600">
      <w:pPr>
        <w:pStyle w:val="OZNPROJEKTUwskazaniedatylubwersjiprojektu"/>
      </w:pPr>
      <w:r w:rsidRPr="00B33AD2">
        <w:t>Projekt</w:t>
      </w:r>
    </w:p>
    <w:p w14:paraId="68940C22" w14:textId="77777777" w:rsidR="00B51600" w:rsidRPr="00B33AD2" w:rsidRDefault="00B51600" w:rsidP="00B51600">
      <w:pPr>
        <w:pStyle w:val="OZNRODZAKTUtznustawalubrozporzdzenieiorganwydajcy"/>
      </w:pPr>
      <w:r w:rsidRPr="00B33AD2">
        <w:t>USTAWA</w:t>
      </w:r>
    </w:p>
    <w:p w14:paraId="12A26785" w14:textId="1FD1DC2E" w:rsidR="00B51600" w:rsidRPr="00B33AD2" w:rsidRDefault="00B51600" w:rsidP="00B51600">
      <w:pPr>
        <w:pStyle w:val="DATAAKTUdatauchwalenialubwydaniaaktu"/>
      </w:pPr>
      <w:r w:rsidRPr="00B33AD2">
        <w:t xml:space="preserve">z dnia </w:t>
      </w:r>
    </w:p>
    <w:p w14:paraId="07374F67" w14:textId="05591F7C" w:rsidR="00DD6AD6" w:rsidRPr="00B33AD2" w:rsidRDefault="00B51600" w:rsidP="00B51600">
      <w:pPr>
        <w:pStyle w:val="TYTUAKTUprzedmiotregulacjiustawylubrozporzdzenia"/>
      </w:pPr>
      <w:r w:rsidRPr="00B33AD2">
        <w:t xml:space="preserve">o zmianie ustawy o </w:t>
      </w:r>
      <w:r w:rsidR="00AE48E9" w:rsidRPr="00B33AD2">
        <w:t>imprezach turystycznych i powiązanych usługach turystycznych</w:t>
      </w:r>
      <w:r w:rsidRPr="00B33AD2">
        <w:t xml:space="preserve"> oraz</w:t>
      </w:r>
      <w:r w:rsidR="00DD6AD6" w:rsidRPr="00B33AD2">
        <w:t xml:space="preserve"> niektórych innych ustaw</w:t>
      </w:r>
      <w:r w:rsidR="00DD6AD6" w:rsidRPr="008567A6">
        <w:rPr>
          <w:rStyle w:val="IGPindeksgrnyipogrubienie"/>
        </w:rPr>
        <w:footnoteReference w:id="2"/>
      </w:r>
      <w:r w:rsidR="00BE7AC4" w:rsidRPr="008567A6">
        <w:rPr>
          <w:rStyle w:val="IGPindeksgrnyipogrubienie"/>
        </w:rPr>
        <w:t>)</w:t>
      </w:r>
    </w:p>
    <w:p w14:paraId="1AF14A8D" w14:textId="1C65786E" w:rsidR="00B51600" w:rsidRPr="00B33AD2" w:rsidRDefault="00B51600" w:rsidP="00262CFE">
      <w:pPr>
        <w:pStyle w:val="ARTartustawynprozporzdzenia"/>
      </w:pPr>
      <w:bookmarkStart w:id="0" w:name="_Hlk129764097"/>
      <w:r w:rsidRPr="00B33AD2">
        <w:rPr>
          <w:rStyle w:val="Ppogrubienie"/>
        </w:rPr>
        <w:t>Art. </w:t>
      </w:r>
      <w:r w:rsidR="00AE48E9" w:rsidRPr="00B33AD2">
        <w:rPr>
          <w:rStyle w:val="Ppogrubienie"/>
        </w:rPr>
        <w:t>1</w:t>
      </w:r>
      <w:r w:rsidRPr="00B33AD2">
        <w:rPr>
          <w:rStyle w:val="Ppogrubienie"/>
        </w:rPr>
        <w:t>.</w:t>
      </w:r>
      <w:r w:rsidRPr="00B33AD2">
        <w:t> W ustawie z dnia 24 listopada 2017 r. o imprezach turystycznych i powiązanych usługach turystycznych (Dz.</w:t>
      </w:r>
      <w:r w:rsidR="00EE405A" w:rsidRPr="00B33AD2">
        <w:t xml:space="preserve"> </w:t>
      </w:r>
      <w:r w:rsidRPr="00B33AD2">
        <w:t>U. z 2023 r. poz. 2211) wprowadza się następujące zmiany:</w:t>
      </w:r>
    </w:p>
    <w:p w14:paraId="35C5D0D9" w14:textId="60A5EDC3" w:rsidR="00B51600" w:rsidRPr="00B33AD2" w:rsidRDefault="00B51600" w:rsidP="00B51600">
      <w:pPr>
        <w:pStyle w:val="PKTpunkt"/>
      </w:pPr>
      <w:r w:rsidRPr="00B33AD2">
        <w:t>1)</w:t>
      </w:r>
      <w:r w:rsidRPr="00B33AD2">
        <w:tab/>
        <w:t>w art. 7</w:t>
      </w:r>
      <w:r w:rsidR="00AE48E9" w:rsidRPr="00B33AD2">
        <w:t>:</w:t>
      </w:r>
      <w:r w:rsidRPr="00B33AD2">
        <w:t xml:space="preserve"> </w:t>
      </w:r>
    </w:p>
    <w:p w14:paraId="00E9F592" w14:textId="02954583" w:rsidR="00B51600" w:rsidRPr="00B33AD2" w:rsidRDefault="00B51600" w:rsidP="00B51600">
      <w:pPr>
        <w:pStyle w:val="LITlitera"/>
      </w:pPr>
      <w:r w:rsidRPr="00B33AD2">
        <w:t>a)</w:t>
      </w:r>
      <w:r w:rsidRPr="00B33AD2">
        <w:tab/>
        <w:t>w ust. 1 pkt 3 otrzymuje brzmienie:</w:t>
      </w:r>
    </w:p>
    <w:p w14:paraId="2A7E8243" w14:textId="023AEBA9" w:rsidR="00B51600" w:rsidRPr="00B33AD2" w:rsidRDefault="00B51600" w:rsidP="00B51600">
      <w:pPr>
        <w:pStyle w:val="ZLITPKTzmpktliter"/>
      </w:pPr>
      <w:r w:rsidRPr="00B33AD2">
        <w:t>„3)</w:t>
      </w:r>
      <w:r w:rsidRPr="00B33AD2">
        <w:tab/>
        <w:t>prowadzić</w:t>
      </w:r>
      <w:r w:rsidR="00AF5F47" w:rsidRPr="00B33AD2">
        <w:t xml:space="preserve"> i</w:t>
      </w:r>
      <w:r w:rsidRPr="00B33AD2">
        <w:t xml:space="preserve"> aktualizować wykaz umów o udział w imprezie turystycznej oraz umów zawartych przez podróżnego z przedsiębiorcą ułatwiającym nabywanie powiązanych usług turystycznych</w:t>
      </w:r>
      <w:r w:rsidR="009A001E" w:rsidRPr="00B33AD2">
        <w:t>,</w:t>
      </w:r>
      <w:r w:rsidRPr="00B33AD2">
        <w:t xml:space="preserve"> zwany dalej „wykazem umów”: </w:t>
      </w:r>
    </w:p>
    <w:p w14:paraId="5257FBDD" w14:textId="17FDB8FE" w:rsidR="00B51600" w:rsidRPr="00B33AD2" w:rsidRDefault="00B51600" w:rsidP="00B51600">
      <w:pPr>
        <w:pStyle w:val="ZLITLITwPKTzmlitwpktliter"/>
      </w:pPr>
      <w:r w:rsidRPr="00B33AD2">
        <w:t>a)</w:t>
      </w:r>
      <w:r w:rsidRPr="00B33AD2">
        <w:tab/>
        <w:t xml:space="preserve">w systemie teleinformatycznym Ubezpieczeniowego Funduszu Gwarancyjnego, o którym mowa w </w:t>
      </w:r>
      <w:hyperlink r:id="rId10" w:anchor="/document/18966440?unitId=art(15(ka))ust(2)&amp;cm=DOCUMENT" w:history="1">
        <w:r w:rsidRPr="00B33AD2">
          <w:t>art. 15ka ust. 2</w:t>
        </w:r>
      </w:hyperlink>
      <w:r w:rsidRPr="00B33AD2">
        <w:t xml:space="preserve"> </w:t>
      </w:r>
      <w:bookmarkStart w:id="1" w:name="_Hlk205222208"/>
      <w:r w:rsidRPr="00B33AD2">
        <w:t>ustawy z dnia 2 marca 2020 r. o szczególnych rozwiązaniach związanych z zapobieganiem, przeciwdziałaniem i zwalczaniem COVID-19, innych chorób zakaźnych oraz wywołanych nimi sytuacji kryzysowych</w:t>
      </w:r>
      <w:r w:rsidR="00EE405A" w:rsidRPr="00B33AD2">
        <w:t xml:space="preserve"> </w:t>
      </w:r>
      <w:bookmarkEnd w:id="1"/>
      <w:r w:rsidR="00EE405A" w:rsidRPr="00B33AD2">
        <w:t>(Dz. U. z 2025 r. poz. 764)</w:t>
      </w:r>
      <w:r w:rsidRPr="00B33AD2">
        <w:t xml:space="preserve">, albo </w:t>
      </w:r>
    </w:p>
    <w:p w14:paraId="1466231E" w14:textId="7105477E" w:rsidR="00B51600" w:rsidRPr="00B33AD2" w:rsidRDefault="00B51600" w:rsidP="00B51600">
      <w:pPr>
        <w:pStyle w:val="ZLITLITwPKTzmlitwpktliter"/>
      </w:pPr>
      <w:r w:rsidRPr="00B33AD2">
        <w:t>b)</w:t>
      </w:r>
      <w:r w:rsidRPr="00B33AD2">
        <w:tab/>
        <w:t>poza systemem, o którym mowa w lit. a, pod warunkiem terminowego przekazywania wykazu umów do Ubezpieczen</w:t>
      </w:r>
      <w:r w:rsidR="009C3BA1" w:rsidRPr="00B33AD2">
        <w:t>iowego Funduszu Gwarancyjnego;”</w:t>
      </w:r>
      <w:r w:rsidR="00B66006" w:rsidRPr="00B33AD2">
        <w:t>,</w:t>
      </w:r>
    </w:p>
    <w:p w14:paraId="2D5DFF2E" w14:textId="196BA7F2" w:rsidR="00B51600" w:rsidRPr="00B33AD2" w:rsidRDefault="00B51600" w:rsidP="00B51600">
      <w:pPr>
        <w:pStyle w:val="LITlitera"/>
      </w:pPr>
      <w:r w:rsidRPr="00B33AD2">
        <w:t>b)</w:t>
      </w:r>
      <w:r w:rsidRPr="00B33AD2">
        <w:tab/>
        <w:t>po ust. 2 dodaje się ust. 2a i 2b w brzmieniu:</w:t>
      </w:r>
    </w:p>
    <w:p w14:paraId="0A1353EB" w14:textId="25C9987C" w:rsidR="00B51600" w:rsidRPr="00B33AD2" w:rsidRDefault="00B51600" w:rsidP="00C93F3D">
      <w:pPr>
        <w:pStyle w:val="ZLITUSTzmustliter"/>
      </w:pPr>
      <w:r w:rsidRPr="00B33AD2">
        <w:t>„2a. </w:t>
      </w:r>
      <w:r w:rsidR="00115105" w:rsidRPr="00B33AD2">
        <w:t>Zabezpieczenie finansowe, o którym mowa w ust. 2 pkt 1</w:t>
      </w:r>
      <w:r w:rsidR="00EE405A" w:rsidRPr="00B33AD2">
        <w:t>,</w:t>
      </w:r>
      <w:r w:rsidR="00A55B13" w:rsidRPr="00B33AD2">
        <w:t xml:space="preserve"> może być zapewnione </w:t>
      </w:r>
      <w:r w:rsidR="00115105" w:rsidRPr="00B33AD2">
        <w:t>przez zawarcie więcej niż jednej gwarancji bankowej lub gwarancji ubezpieczeniowej, których jednostkowe sumy gwarancji mogą być niższe niż ta ustalona przepisami określającymi minimalną wysokość sumy gwarancji, przy czym łączna suma gwarancji z nich wynikająca musi być nie niższa niż ta ustalona przepisami określającymi minimalną wysokość sumy gwarancji</w:t>
      </w:r>
      <w:r w:rsidR="00BB5D51" w:rsidRPr="00B33AD2">
        <w:t>. J</w:t>
      </w:r>
      <w:r w:rsidR="00115105" w:rsidRPr="00B33AD2">
        <w:t xml:space="preserve">eden z podmiotów udzielających gwarancji musi być wskazany w treści gwarancji jako podmiot, o </w:t>
      </w:r>
      <w:r w:rsidR="00115105" w:rsidRPr="00B33AD2">
        <w:lastRenderedPageBreak/>
        <w:t>który</w:t>
      </w:r>
      <w:r w:rsidR="00583EBB" w:rsidRPr="00B33AD2">
        <w:t>m</w:t>
      </w:r>
      <w:r w:rsidR="00115105" w:rsidRPr="00B33AD2">
        <w:t xml:space="preserve"> mowa w art. 16</w:t>
      </w:r>
      <w:r w:rsidR="00583EBB" w:rsidRPr="00B33AD2">
        <w:t xml:space="preserve"> ust. 2</w:t>
      </w:r>
      <w:r w:rsidR="00115105" w:rsidRPr="00B33AD2">
        <w:t>, a udzielone zabezpieczenia finansowe muszą obejmować ten sam okres.</w:t>
      </w:r>
    </w:p>
    <w:p w14:paraId="2287076F" w14:textId="33F588FE" w:rsidR="00B51600" w:rsidRPr="00B33AD2" w:rsidRDefault="00B51600" w:rsidP="00B51600">
      <w:pPr>
        <w:pStyle w:val="ZLITUSTzmustliter"/>
      </w:pPr>
      <w:r w:rsidRPr="00B33AD2">
        <w:t>2b. </w:t>
      </w:r>
      <w:r w:rsidR="00462F80" w:rsidRPr="00B33AD2">
        <w:t>Organizator turystyki</w:t>
      </w:r>
      <w:r w:rsidR="007A7E26" w:rsidRPr="00B33AD2">
        <w:t xml:space="preserve"> lub przedsiębiorca ułatwiający nabywanie powiązanych usług turystycznych</w:t>
      </w:r>
      <w:r w:rsidR="00B33AD2" w:rsidRPr="00B33AD2">
        <w:t>,</w:t>
      </w:r>
      <w:r w:rsidR="007A7E26" w:rsidRPr="00B33AD2">
        <w:t xml:space="preserve"> </w:t>
      </w:r>
      <w:r w:rsidR="00462F80" w:rsidRPr="00B33AD2">
        <w:t xml:space="preserve">wykonując obowiązek, o którym mowa w ust. 2 pkt 1, </w:t>
      </w:r>
      <w:r w:rsidR="005B3444" w:rsidRPr="00B33AD2">
        <w:t xml:space="preserve">w </w:t>
      </w:r>
      <w:r w:rsidR="009E23CF" w:rsidRPr="00B33AD2">
        <w:t xml:space="preserve">tym w </w:t>
      </w:r>
      <w:r w:rsidR="005B3444" w:rsidRPr="00B33AD2">
        <w:t>sposób</w:t>
      </w:r>
      <w:r w:rsidR="00462F80" w:rsidRPr="00B33AD2">
        <w:t>, o którym mowa w ust. 2a</w:t>
      </w:r>
      <w:r w:rsidR="005B3444" w:rsidRPr="00B33AD2">
        <w:t>,</w:t>
      </w:r>
      <w:r w:rsidR="00462F80" w:rsidRPr="00B33AD2">
        <w:t xml:space="preserve"> jest obowiązany udzielać podróżnym informacji o wszystkich obowiązujących w chwili zawierania umowy gwarancjach, uwzględniając w szczególności informacje o sposobie dochodzenia swoich roszczeń z tych gwarancji w przypadkach,</w:t>
      </w:r>
      <w:r w:rsidR="009D5C04" w:rsidRPr="00B33AD2">
        <w:t xml:space="preserve"> </w:t>
      </w:r>
      <w:r w:rsidRPr="00B33AD2">
        <w:t>o których mowa w ust. 1 pkt 1</w:t>
      </w:r>
      <w:r w:rsidR="00EE405A" w:rsidRPr="00B33AD2">
        <w:t>,</w:t>
      </w:r>
      <w:r w:rsidRPr="00B33AD2">
        <w:t xml:space="preserve"> oraz o podmiocie</w:t>
      </w:r>
      <w:r w:rsidR="00EE405A" w:rsidRPr="00B33AD2">
        <w:t>,</w:t>
      </w:r>
      <w:r w:rsidRPr="00B33AD2">
        <w:t xml:space="preserve"> do którego należy kierować roszczenia.”;</w:t>
      </w:r>
    </w:p>
    <w:p w14:paraId="3134F57B" w14:textId="24F50E50" w:rsidR="00B51600" w:rsidRPr="00B33AD2" w:rsidRDefault="00B51600" w:rsidP="00B51600">
      <w:pPr>
        <w:pStyle w:val="PKTpunkt"/>
      </w:pPr>
      <w:r w:rsidRPr="00B33AD2">
        <w:t>2)</w:t>
      </w:r>
      <w:r w:rsidRPr="00B33AD2">
        <w:tab/>
        <w:t>w art. 9:</w:t>
      </w:r>
    </w:p>
    <w:p w14:paraId="57BA4673" w14:textId="7F61C904" w:rsidR="00B51600" w:rsidRPr="00B33AD2" w:rsidRDefault="00B51600" w:rsidP="00B51600">
      <w:pPr>
        <w:pStyle w:val="LITlitera"/>
      </w:pPr>
      <w:r w:rsidRPr="00B33AD2">
        <w:t>a)</w:t>
      </w:r>
      <w:r w:rsidRPr="00B33AD2">
        <w:tab/>
        <w:t>w ust. 1:</w:t>
      </w:r>
    </w:p>
    <w:p w14:paraId="202D90A8" w14:textId="7BE6DEA9" w:rsidR="00B51600" w:rsidRPr="00B33AD2" w:rsidRDefault="009D6BAC" w:rsidP="00B51600">
      <w:pPr>
        <w:pStyle w:val="TIRtiret"/>
      </w:pPr>
      <w:r w:rsidRPr="00B33AD2">
        <w:t>–</w:t>
      </w:r>
      <w:r w:rsidRPr="00B33AD2">
        <w:tab/>
      </w:r>
      <w:r w:rsidR="00A55B13" w:rsidRPr="00B33AD2">
        <w:t xml:space="preserve">po pkt 1 </w:t>
      </w:r>
      <w:r w:rsidR="00B51600" w:rsidRPr="00B33AD2">
        <w:t>dodaje się pkt 1a w brzmieniu:</w:t>
      </w:r>
    </w:p>
    <w:p w14:paraId="0F133F92" w14:textId="37465E89" w:rsidR="00B51600" w:rsidRPr="00B33AD2" w:rsidRDefault="00B51600" w:rsidP="00B51600">
      <w:pPr>
        <w:pStyle w:val="ZTIRPKTzmpkttiret"/>
      </w:pPr>
      <w:r w:rsidRPr="00B33AD2">
        <w:t>„1a)</w:t>
      </w:r>
      <w:r w:rsidR="00124622" w:rsidRPr="00B33AD2">
        <w:tab/>
      </w:r>
      <w:r w:rsidR="00431D4B" w:rsidRPr="00B33AD2">
        <w:t>przedmiot</w:t>
      </w:r>
      <w:r w:rsidRPr="00B33AD2">
        <w:t xml:space="preserve"> umowy;”,</w:t>
      </w:r>
    </w:p>
    <w:p w14:paraId="707A82E7" w14:textId="62F8EEE1" w:rsidR="00B51600" w:rsidRPr="00B33AD2" w:rsidRDefault="009D6BAC" w:rsidP="00B51600">
      <w:pPr>
        <w:pStyle w:val="TIRtiret"/>
      </w:pPr>
      <w:r w:rsidRPr="00B33AD2">
        <w:t>–</w:t>
      </w:r>
      <w:r w:rsidRPr="00B33AD2">
        <w:tab/>
      </w:r>
      <w:r w:rsidR="00B51600" w:rsidRPr="00B33AD2">
        <w:t>pkt 5</w:t>
      </w:r>
      <w:r w:rsidR="00A55B13" w:rsidRPr="00B33AD2">
        <w:t xml:space="preserve"> i 6</w:t>
      </w:r>
      <w:r w:rsidR="00B51600" w:rsidRPr="00B33AD2">
        <w:t xml:space="preserve"> </w:t>
      </w:r>
      <w:r w:rsidR="00A55B13" w:rsidRPr="00B33AD2">
        <w:t>otrzymują</w:t>
      </w:r>
      <w:r w:rsidR="00B51600" w:rsidRPr="00B33AD2">
        <w:t xml:space="preserve"> brzmienie:</w:t>
      </w:r>
    </w:p>
    <w:p w14:paraId="26FCC0F8" w14:textId="57835C50" w:rsidR="00B51600" w:rsidRPr="00B33AD2" w:rsidRDefault="00B51600" w:rsidP="00B51600">
      <w:pPr>
        <w:pStyle w:val="ZTIRPKTzmpkttiret"/>
      </w:pPr>
      <w:r w:rsidRPr="00B33AD2">
        <w:t>„5)</w:t>
      </w:r>
      <w:r w:rsidRPr="00B33AD2">
        <w:tab/>
        <w:t xml:space="preserve">łączną cenę usług objętych umową albo poszczególne kwoty, które składają się na łączną cenę, w przypadku, gdy te kwoty są </w:t>
      </w:r>
      <w:r w:rsidR="00D65522" w:rsidRPr="00B33AD2">
        <w:t xml:space="preserve">podane </w:t>
      </w:r>
      <w:r w:rsidRPr="00B33AD2">
        <w:t>w różnych walutach;</w:t>
      </w:r>
    </w:p>
    <w:p w14:paraId="5D120FBD" w14:textId="5F41579E" w:rsidR="00B51600" w:rsidRPr="00B33AD2" w:rsidRDefault="00B51600" w:rsidP="00B51600">
      <w:pPr>
        <w:pStyle w:val="ZTIRPKTzmpkttiret"/>
      </w:pPr>
      <w:r w:rsidRPr="00B33AD2">
        <w:t>6)</w:t>
      </w:r>
      <w:r w:rsidRPr="00B33AD2">
        <w:tab/>
        <w:t>kraj i miejscowość albo</w:t>
      </w:r>
      <w:r w:rsidR="00431D4B" w:rsidRPr="00B33AD2">
        <w:t xml:space="preserve"> kraj i</w:t>
      </w:r>
      <w:r w:rsidRPr="00B33AD2">
        <w:t xml:space="preserve"> trasę wykonania umowy oraz zakres terytorialny wykonywanej działalności objętej wpisem do rejestru;”,</w:t>
      </w:r>
    </w:p>
    <w:p w14:paraId="18F2B156" w14:textId="02F126C0" w:rsidR="00B51600" w:rsidRPr="00B33AD2" w:rsidRDefault="009D6BAC" w:rsidP="00B51600">
      <w:pPr>
        <w:pStyle w:val="TIRtiret"/>
      </w:pPr>
      <w:r w:rsidRPr="00B33AD2">
        <w:t>–</w:t>
      </w:r>
      <w:r w:rsidRPr="00B33AD2">
        <w:tab/>
      </w:r>
      <w:r w:rsidR="00B51600" w:rsidRPr="00B33AD2">
        <w:t>w pkt 7 po wyrazach „rodzaj środka transportu</w:t>
      </w:r>
      <w:r w:rsidR="003F60FF" w:rsidRPr="00B33AD2">
        <w:t>,</w:t>
      </w:r>
      <w:r w:rsidR="00B51600" w:rsidRPr="00B33AD2">
        <w:t>” dodaje się wyrazy „w szczególności wskazanie transportu lotniczego w ramach przewozu czarterowego,”,</w:t>
      </w:r>
    </w:p>
    <w:p w14:paraId="3189E465" w14:textId="786854A3" w:rsidR="00B51600" w:rsidRPr="00B33AD2" w:rsidRDefault="009D6BAC" w:rsidP="00B51600">
      <w:pPr>
        <w:pStyle w:val="TIRtiret"/>
      </w:pPr>
      <w:r w:rsidRPr="00B33AD2">
        <w:t>–</w:t>
      </w:r>
      <w:r w:rsidRPr="00B33AD2">
        <w:tab/>
      </w:r>
      <w:r w:rsidR="00B51600" w:rsidRPr="00B33AD2">
        <w:t>w pkt 9 kropkę zastępuje się średnikiem i dodaje się pkt 10 w brzmieniu:</w:t>
      </w:r>
    </w:p>
    <w:p w14:paraId="120BBA5B" w14:textId="2057C9DD" w:rsidR="00B51600" w:rsidRPr="00B33AD2" w:rsidRDefault="00B51600" w:rsidP="00B51600">
      <w:pPr>
        <w:pStyle w:val="ZTIRPKTzmpkttiret"/>
      </w:pPr>
      <w:r w:rsidRPr="00B33AD2">
        <w:t>„10)</w:t>
      </w:r>
      <w:r w:rsidR="00A91608" w:rsidRPr="00B33AD2">
        <w:tab/>
      </w:r>
      <w:r w:rsidR="00CC5390" w:rsidRPr="00B33AD2">
        <w:t>wskazanie</w:t>
      </w:r>
      <w:r w:rsidR="00EE405A" w:rsidRPr="00B33AD2">
        <w:t>,</w:t>
      </w:r>
      <w:r w:rsidR="00CC5390" w:rsidRPr="00B33AD2">
        <w:t xml:space="preserve"> czy przed realizacją imprezy turystycznej lub powiązanej usługi turystycznej są przyjmowane przedpłaty</w:t>
      </w:r>
      <w:r w:rsidR="003F60FF" w:rsidRPr="00B33AD2">
        <w:t>.</w:t>
      </w:r>
      <w:r w:rsidRPr="00B33AD2">
        <w:t>”</w:t>
      </w:r>
      <w:r w:rsidR="003F60FF" w:rsidRPr="00B33AD2">
        <w:t>,</w:t>
      </w:r>
    </w:p>
    <w:p w14:paraId="66F8E95B" w14:textId="6F1D75F1" w:rsidR="00B51600" w:rsidRPr="00B33AD2" w:rsidRDefault="00B51600" w:rsidP="00B51600">
      <w:pPr>
        <w:pStyle w:val="LITlitera"/>
      </w:pPr>
      <w:r w:rsidRPr="00B33AD2">
        <w:t>b)</w:t>
      </w:r>
      <w:r w:rsidRPr="00B33AD2">
        <w:tab/>
        <w:t>ust. 2 otrzymuje brzmienie:</w:t>
      </w:r>
    </w:p>
    <w:p w14:paraId="761D4004" w14:textId="23A4BC13" w:rsidR="00B51600" w:rsidRPr="00B33AD2" w:rsidRDefault="00B51600" w:rsidP="00B51600">
      <w:pPr>
        <w:pStyle w:val="ZLITUSTzmustliter"/>
      </w:pPr>
      <w:r w:rsidRPr="00B33AD2">
        <w:t>„2. Marszałek województwa i minister właściwy do spraw turystyki, w trybie kontroli organizatora turystyki lub przedsiębiorcy ułatwiającego nabywanie powiązanych usług turystycznych, mają prawo dostępu do danych zawartych w wykazie umów.”,</w:t>
      </w:r>
    </w:p>
    <w:p w14:paraId="5B2DD23C" w14:textId="11BF9E4C" w:rsidR="00B51600" w:rsidRPr="00B33AD2" w:rsidRDefault="00B51600" w:rsidP="00B51600">
      <w:pPr>
        <w:pStyle w:val="LITlitera"/>
      </w:pPr>
      <w:r w:rsidRPr="00B33AD2">
        <w:t>c)</w:t>
      </w:r>
      <w:r w:rsidRPr="00B33AD2">
        <w:tab/>
        <w:t xml:space="preserve">po ust. 2 dodaje się ust. 2a–2d w brzmieniu: </w:t>
      </w:r>
    </w:p>
    <w:p w14:paraId="07E74083" w14:textId="41EB9C8C" w:rsidR="00B51600" w:rsidRPr="00B33AD2" w:rsidRDefault="00B51600" w:rsidP="00124622">
      <w:pPr>
        <w:pStyle w:val="ZLITUSTzmustliter"/>
      </w:pPr>
      <w:r w:rsidRPr="00B33AD2">
        <w:t>„2a. Organizatorzy turystyki oraz przedsiębiorcy ułatwiający nabywanie powiązanych usług turystycznych prowadzący wykaz umów poza systemem</w:t>
      </w:r>
      <w:bookmarkStart w:id="2" w:name="_Hlk205222106"/>
      <w:r w:rsidRPr="00B33AD2">
        <w:t xml:space="preserve">, o </w:t>
      </w:r>
      <w:r w:rsidRPr="00B33AD2">
        <w:lastRenderedPageBreak/>
        <w:t>którym mowa w art. 7 ust. 1 pkt 3 lit. a</w:t>
      </w:r>
      <w:bookmarkEnd w:id="2"/>
      <w:r w:rsidRPr="00B33AD2">
        <w:t>, przekazują za pośrednictwem tego systemu wykaz umów w terminie do 14</w:t>
      </w:r>
      <w:r w:rsidR="007D2D42" w:rsidRPr="00B33AD2">
        <w:t>.</w:t>
      </w:r>
      <w:r w:rsidR="00B33AD2">
        <w:t xml:space="preserve"> </w:t>
      </w:r>
      <w:r w:rsidRPr="00B33AD2">
        <w:t>dnia każdego miesiąca za poprzedni miesiąc kalendarzowy</w:t>
      </w:r>
      <w:r w:rsidR="004059E1" w:rsidRPr="00B33AD2">
        <w:t>, według stanu aktualnego na dzień przekazania.</w:t>
      </w:r>
    </w:p>
    <w:p w14:paraId="21FEDF71" w14:textId="1695922E" w:rsidR="0074599F" w:rsidRPr="00B33AD2" w:rsidRDefault="00B51600" w:rsidP="00124622">
      <w:pPr>
        <w:pStyle w:val="ZLITUSTzmustliter"/>
        <w:rPr>
          <w:lang w:eastAsia="en-US"/>
        </w:rPr>
      </w:pPr>
      <w:r w:rsidRPr="00B33AD2">
        <w:t xml:space="preserve">2b. Organizatorzy turystyki oraz przedsiębiorcy ułatwiający nabywanie powiązanych usług turystycznych </w:t>
      </w:r>
      <w:r w:rsidR="00124622" w:rsidRPr="00B33AD2">
        <w:t xml:space="preserve">niezwłocznie </w:t>
      </w:r>
      <w:r w:rsidR="006E6A55" w:rsidRPr="00B33AD2">
        <w:t xml:space="preserve">aktualizują dane, o których mowa w ust. 1, wprowadzone do </w:t>
      </w:r>
      <w:r w:rsidRPr="00B33AD2">
        <w:t>systemu, o którym mowa w art. 7 ust. 1 pkt 3 lit. a</w:t>
      </w:r>
      <w:r w:rsidR="0074599F" w:rsidRPr="00B33AD2">
        <w:t xml:space="preserve">, </w:t>
      </w:r>
      <w:r w:rsidR="0074599F" w:rsidRPr="00B33AD2">
        <w:rPr>
          <w:lang w:eastAsia="en-US"/>
        </w:rPr>
        <w:t>nie później niż w terminie 14 dni od dnia dokonania ich zmiany.</w:t>
      </w:r>
    </w:p>
    <w:p w14:paraId="6F12B7CE" w14:textId="0985A846" w:rsidR="00B51600" w:rsidRPr="00B33AD2" w:rsidRDefault="00B51600" w:rsidP="00124622">
      <w:pPr>
        <w:pStyle w:val="ZLITUSTzmustliter"/>
      </w:pPr>
      <w:r w:rsidRPr="00B33AD2">
        <w:t xml:space="preserve">2c. W przypadku niewykonania </w:t>
      </w:r>
      <w:r w:rsidR="0041779E" w:rsidRPr="00B33AD2">
        <w:t xml:space="preserve">lub nienależytego wykonywania </w:t>
      </w:r>
      <w:r w:rsidRPr="00B33AD2">
        <w:t>obowiązków, o których mowa w art. 7 ust. 1 pkt 3 oraz art. 9 ust. 2a i 2b, Ubezpieczeniowy Fundusz Gwarancyjny wzywa organizatora turystyki lub przedsiębiorcę ułatwiającego nabywanie powiązanych usług turystycznych za pośrednictwem systemu</w:t>
      </w:r>
      <w:r w:rsidR="00EE405A" w:rsidRPr="00B33AD2">
        <w:t>, o którym mowa w art. 7 ust. 1 pkt 3 lit. a,</w:t>
      </w:r>
      <w:r w:rsidRPr="00B33AD2">
        <w:t xml:space="preserve"> do wykonania tych obowiązków, w terminie nie dłuższym niż 14 dni od dnia wprowadzenia wezwania do </w:t>
      </w:r>
      <w:r w:rsidR="00EE405A" w:rsidRPr="00B33AD2">
        <w:t xml:space="preserve">tego </w:t>
      </w:r>
      <w:r w:rsidRPr="00B33AD2">
        <w:t xml:space="preserve">systemu. Wezwanie jest wysyłane do wiadomości właściwego marszałka województwa. </w:t>
      </w:r>
    </w:p>
    <w:p w14:paraId="3C224F53" w14:textId="3A1AEBC4" w:rsidR="00B51600" w:rsidRPr="00B33AD2" w:rsidRDefault="00B51600" w:rsidP="00B51600">
      <w:pPr>
        <w:pStyle w:val="ZLITUSTzmustliter"/>
      </w:pPr>
      <w:r w:rsidRPr="00B33AD2">
        <w:t>2d. W przypadku niedochowania terminu określonego w wezwaniu, o którym mowa w ust. 2c, Ubezpieczeniowy Fundusz Gwarancyjny występuje do właściwego marszałka województwa z wnioskiem o wydanie decyzji administracyjnej, o której mowa w art. 30 ust. 7 pkt 2.”</w:t>
      </w:r>
      <w:r w:rsidR="00FD359C" w:rsidRPr="00B33AD2">
        <w:t>,</w:t>
      </w:r>
    </w:p>
    <w:p w14:paraId="0B49F5CD" w14:textId="61D24834" w:rsidR="00B51600" w:rsidRPr="00B33AD2" w:rsidRDefault="00B51600" w:rsidP="00B51600">
      <w:pPr>
        <w:pStyle w:val="LITlitera"/>
      </w:pPr>
      <w:r w:rsidRPr="00B33AD2">
        <w:t>d)</w:t>
      </w:r>
      <w:r w:rsidRPr="00B33AD2">
        <w:tab/>
        <w:t xml:space="preserve">ust. 3 </w:t>
      </w:r>
      <w:r w:rsidR="00B531E3" w:rsidRPr="00B33AD2">
        <w:t>otrzymuje brzmienie:</w:t>
      </w:r>
    </w:p>
    <w:p w14:paraId="3172FE04" w14:textId="4D7255A6" w:rsidR="00B531E3" w:rsidRPr="00B33AD2" w:rsidRDefault="00B531E3" w:rsidP="00997766">
      <w:pPr>
        <w:pStyle w:val="ZLITUSTzmustliter"/>
      </w:pPr>
      <w:r w:rsidRPr="00B33AD2">
        <w:t>„3. Ubezpieczeniowy Fundusz Gwarancyjny jest uprawniony do przetwarzania danych zawartych w wykazie umów, w zakresie niezbędnym do zapewnienia prawidłowego funkcjonowania Turystycznego Funduszu Gwarancyjnego oraz Turystycznego Funduszu Pomocowego, o którym mowa w art. 15kc ust. 1 ustawy z dnia 2 marca 2020 r. o szczególnych rozwiązaniach związanych z zapobieganiem, przeciwdziałaniem i zwalczaniem COVID-19, innych chorób zakaźnych oraz wywołanych nimi sytuacji kryzysowych.”</w:t>
      </w:r>
      <w:r w:rsidR="00A55B13" w:rsidRPr="00B33AD2">
        <w:t>,</w:t>
      </w:r>
    </w:p>
    <w:p w14:paraId="2F677A5D" w14:textId="22D19A00" w:rsidR="00B51600" w:rsidRPr="00B33AD2" w:rsidRDefault="00B51600" w:rsidP="00B51600">
      <w:pPr>
        <w:pStyle w:val="LITlitera"/>
      </w:pPr>
      <w:r w:rsidRPr="00B33AD2">
        <w:t>e)</w:t>
      </w:r>
      <w:r w:rsidRPr="00B33AD2">
        <w:tab/>
        <w:t>dodaje się ust. 4 i 5 w brzmieniu:</w:t>
      </w:r>
    </w:p>
    <w:p w14:paraId="2FCE00CD" w14:textId="1E3E6046" w:rsidR="00B51600" w:rsidRPr="00B33AD2" w:rsidRDefault="00B51600" w:rsidP="00B51600">
      <w:pPr>
        <w:pStyle w:val="ZLITUSTzmustliter"/>
      </w:pPr>
      <w:r w:rsidRPr="00B33AD2">
        <w:t>„4. Ubezpieczeniowy Fundusz Gwarancyjny udostępnia dane, o których mowa w ust. 1 pkt 1</w:t>
      </w:r>
      <w:r w:rsidR="00124622" w:rsidRPr="00B33AD2">
        <w:t>–</w:t>
      </w:r>
      <w:r w:rsidRPr="00B33AD2">
        <w:t>4 i 6</w:t>
      </w:r>
      <w:r w:rsidR="00124622" w:rsidRPr="00B33AD2">
        <w:t>–</w:t>
      </w:r>
      <w:r w:rsidRPr="00B33AD2">
        <w:t>7a, zawarte w wykazie umów, marszałkowi województwa i ministrowi właściwemu do spraw turystyki w celu realizacji zadań przez te podmioty.</w:t>
      </w:r>
    </w:p>
    <w:p w14:paraId="0D018919" w14:textId="3418EC26" w:rsidR="00B51600" w:rsidRPr="00B33AD2" w:rsidRDefault="00B51600" w:rsidP="00B51600">
      <w:pPr>
        <w:pStyle w:val="ZLITUSTzmustliter"/>
      </w:pPr>
      <w:r w:rsidRPr="00B33AD2">
        <w:t xml:space="preserve">5. Ubezpieczeniowy Fundusz Gwarancyjny </w:t>
      </w:r>
      <w:r w:rsidR="00A55B13" w:rsidRPr="00B33AD2">
        <w:t xml:space="preserve">podaje </w:t>
      </w:r>
      <w:r w:rsidRPr="00B33AD2">
        <w:t>do powszechnej wiadomości zbiorcze dane, o których mowa w ust. 1 pkt 1–4 i 6–7a</w:t>
      </w:r>
      <w:r w:rsidR="004F57F9">
        <w:t>,</w:t>
      </w:r>
      <w:r w:rsidRPr="00B33AD2">
        <w:t xml:space="preserve"> zawarte w </w:t>
      </w:r>
      <w:r w:rsidRPr="00B33AD2">
        <w:lastRenderedPageBreak/>
        <w:t xml:space="preserve">wykazie umów, bez wskazywania danych identyfikujących przedsiębiorców turystycznych.”; </w:t>
      </w:r>
    </w:p>
    <w:p w14:paraId="14D98BDF" w14:textId="39F4E602" w:rsidR="00F4707D" w:rsidRPr="00B33AD2" w:rsidRDefault="00F4707D" w:rsidP="0090164C">
      <w:pPr>
        <w:pStyle w:val="PKTpunkt"/>
      </w:pPr>
      <w:r w:rsidRPr="00B33AD2">
        <w:t>3)</w:t>
      </w:r>
      <w:r w:rsidR="009D6BAC" w:rsidRPr="00B33AD2">
        <w:tab/>
      </w:r>
      <w:r w:rsidRPr="00B33AD2">
        <w:t>w art. 15 dodaje się ust. 3 w brzmieniu:</w:t>
      </w:r>
    </w:p>
    <w:p w14:paraId="2D6358B6" w14:textId="12781732" w:rsidR="00F4707D" w:rsidRPr="00B33AD2" w:rsidRDefault="00F4707D" w:rsidP="00856E8E">
      <w:pPr>
        <w:pStyle w:val="ZUSTzmustartykuempunktem"/>
      </w:pPr>
      <w:r w:rsidRPr="00B33AD2">
        <w:t>„</w:t>
      </w:r>
      <w:r w:rsidR="0065380C" w:rsidRPr="00B33AD2">
        <w:t>3</w:t>
      </w:r>
      <w:r w:rsidRPr="00B33AD2">
        <w:t>. W przypadku, o którym mowa w art.</w:t>
      </w:r>
      <w:r w:rsidR="00BB5D51" w:rsidRPr="00B33AD2">
        <w:t xml:space="preserve"> </w:t>
      </w:r>
      <w:r w:rsidRPr="00B33AD2">
        <w:t xml:space="preserve">7 ust. 2a, marszałek </w:t>
      </w:r>
      <w:r w:rsidR="00F6488A" w:rsidRPr="00B33AD2">
        <w:t xml:space="preserve">województwa </w:t>
      </w:r>
      <w:r w:rsidRPr="00B33AD2">
        <w:t>lub upoważniona przez niego jednostka</w:t>
      </w:r>
      <w:r w:rsidR="00046307" w:rsidRPr="00B33AD2">
        <w:t>, o której mowa w art. 14 ust. 1,</w:t>
      </w:r>
      <w:r w:rsidRPr="00B33AD2">
        <w:t xml:space="preserve"> kieruje wydawaną dyspozycję do podmiotu, o którym mowa w art. 16 ust. 2</w:t>
      </w:r>
      <w:r w:rsidR="005E738A" w:rsidRPr="00B33AD2">
        <w:t>,</w:t>
      </w:r>
      <w:r w:rsidRPr="00B33AD2">
        <w:t xml:space="preserve"> informując o tym podmioty, które udzieliły pozostałych gwarancji ubezpieczeniowych albo </w:t>
      </w:r>
      <w:r w:rsidR="008D5546" w:rsidRPr="00B33AD2">
        <w:t xml:space="preserve">bankowych. </w:t>
      </w:r>
      <w:r w:rsidR="00536B8D" w:rsidRPr="00B33AD2">
        <w:t>Przepis art. 19 ust. 3 stosuje się odpowiednio, z tym że przekazanie środków przez podmioty, które udzieliły pozostałych gwarancji ubezpieczeniowych albo bankowych następuje w terminie nie dłuższym niż 2 dni robocze od dnia doręczenia wezwania.”;</w:t>
      </w:r>
    </w:p>
    <w:p w14:paraId="0EF548A5" w14:textId="4E76CD20" w:rsidR="00B51600" w:rsidRPr="00B33AD2" w:rsidRDefault="00F4707D" w:rsidP="00B51600">
      <w:pPr>
        <w:pStyle w:val="PKTpunkt"/>
      </w:pPr>
      <w:r w:rsidRPr="00B33AD2">
        <w:t>4</w:t>
      </w:r>
      <w:r w:rsidR="00B51600" w:rsidRPr="00B33AD2">
        <w:t>)</w:t>
      </w:r>
      <w:r w:rsidR="00B51600" w:rsidRPr="00B33AD2">
        <w:tab/>
        <w:t xml:space="preserve">w art. 16 dotychczasową treść oznacza się jako ust. 1 i dodaje się ust. </w:t>
      </w:r>
      <w:r w:rsidR="0065380C" w:rsidRPr="00B33AD2">
        <w:t>2</w:t>
      </w:r>
      <w:r w:rsidR="0025304F" w:rsidRPr="00B33AD2">
        <w:t xml:space="preserve"> </w:t>
      </w:r>
      <w:r w:rsidR="00B51600" w:rsidRPr="00B33AD2">
        <w:t>w brzmieniu:</w:t>
      </w:r>
    </w:p>
    <w:p w14:paraId="72F09D22" w14:textId="7658E53C" w:rsidR="00B51600" w:rsidRPr="00B33AD2" w:rsidRDefault="00B51600" w:rsidP="00B51600">
      <w:pPr>
        <w:pStyle w:val="ZUSTzmustartykuempunktem"/>
      </w:pPr>
      <w:bookmarkStart w:id="3" w:name="_Hlk198903253"/>
      <w:r w:rsidRPr="00B33AD2">
        <w:t xml:space="preserve">„2. </w:t>
      </w:r>
      <w:r w:rsidR="0065380C" w:rsidRPr="00B33AD2">
        <w:t>W przypadku, o którym mowa w art. 7 ust. 2a</w:t>
      </w:r>
      <w:r w:rsidR="00D65522" w:rsidRPr="00B33AD2">
        <w:t>,</w:t>
      </w:r>
      <w:r w:rsidR="0065380C" w:rsidRPr="00B33AD2">
        <w:t xml:space="preserve"> podmiot udzielający gwarancji ubezpieczeniowej albo </w:t>
      </w:r>
      <w:r w:rsidR="00941484" w:rsidRPr="00B33AD2">
        <w:t xml:space="preserve">podmiot udzielający </w:t>
      </w:r>
      <w:r w:rsidR="0065380C" w:rsidRPr="00B33AD2">
        <w:t xml:space="preserve">gwarancji bankowej, wskazany jako właściwy do przyjmowania zgłoszeń od podróżnych, jest obowiązany do obsługi zgłoszonych roszczeń, w tym do dokonywania wypłat, do </w:t>
      </w:r>
      <w:r w:rsidR="00730B0F" w:rsidRPr="00B33AD2">
        <w:t xml:space="preserve">wysokości własnej sumy gwarancyjnej oraz w imieniu pozostałych podmiotów udzielających gwarancji ubezpieczeniowej albo bankowej, ze środków przez nich przekazanych zgodnie z </w:t>
      </w:r>
      <w:r w:rsidR="000D1747" w:rsidRPr="00B33AD2">
        <w:t>wyliczeniem</w:t>
      </w:r>
      <w:r w:rsidR="00730B0F" w:rsidRPr="00B33AD2">
        <w:t xml:space="preserve"> proporcjonalnego do wysokości udzielonego zabezpieczenia udziału w kwotach należnych podróżnym,</w:t>
      </w:r>
      <w:r w:rsidR="0065380C" w:rsidRPr="00B33AD2">
        <w:t xml:space="preserve"> do łącznej wysokości wszystkich gwarancji udzielonych na ten sam okres.</w:t>
      </w:r>
      <w:bookmarkEnd w:id="3"/>
      <w:r w:rsidR="00A55B13" w:rsidRPr="00B33AD2">
        <w:t>”</w:t>
      </w:r>
      <w:r w:rsidR="003F60FF" w:rsidRPr="00B33AD2">
        <w:t>;</w:t>
      </w:r>
    </w:p>
    <w:p w14:paraId="233377B3" w14:textId="241E9A0E" w:rsidR="00B51600" w:rsidRPr="00B33AD2" w:rsidRDefault="00252FE5" w:rsidP="00B51600">
      <w:pPr>
        <w:pStyle w:val="PKTpunkt"/>
      </w:pPr>
      <w:r w:rsidRPr="00B33AD2">
        <w:t>5)</w:t>
      </w:r>
      <w:r w:rsidR="00B51600" w:rsidRPr="00B33AD2">
        <w:tab/>
        <w:t xml:space="preserve">w art. 18 dotychczasową treść oznacza się jako ust. 1 </w:t>
      </w:r>
      <w:r w:rsidR="00A55B13" w:rsidRPr="00B33AD2">
        <w:t>oraz</w:t>
      </w:r>
      <w:r w:rsidR="006866C5" w:rsidRPr="00B33AD2">
        <w:t xml:space="preserve"> dodaje się ust. 2 i </w:t>
      </w:r>
      <w:r w:rsidR="00B51600" w:rsidRPr="00B33AD2">
        <w:t>3 w brzmieniu:</w:t>
      </w:r>
    </w:p>
    <w:p w14:paraId="0883E373" w14:textId="22EE8436" w:rsidR="00B51600" w:rsidRPr="00B33AD2" w:rsidRDefault="00B51600" w:rsidP="001E0AED">
      <w:pPr>
        <w:pStyle w:val="ZUSTzmustartykuempunktem"/>
      </w:pPr>
      <w:r w:rsidRPr="00B33AD2">
        <w:t>„2. W przypadku, o którym mowa w art. 7 ust. 2a</w:t>
      </w:r>
      <w:r w:rsidR="005E738A" w:rsidRPr="00B33AD2">
        <w:t>,</w:t>
      </w:r>
      <w:r w:rsidRPr="00B33AD2">
        <w:t xml:space="preserve"> właściwy do dokonywania weryfikacji zgłoszenia podróżnego oraz przekazania mu informacji, o której mowa w ust. 1, jest podmiot, o którym mowa w art. 16 ust. 2.</w:t>
      </w:r>
    </w:p>
    <w:p w14:paraId="46B968F3" w14:textId="467FCE8F" w:rsidR="00B51600" w:rsidRPr="00B33AD2" w:rsidRDefault="00B51600">
      <w:pPr>
        <w:pStyle w:val="ZUSTzmustartykuempunktem"/>
      </w:pPr>
      <w:r w:rsidRPr="00B33AD2">
        <w:t>3. W przypadku, o którym mowa w art. 7 ust. 2a</w:t>
      </w:r>
      <w:r w:rsidR="005E738A" w:rsidRPr="00B33AD2">
        <w:t>,</w:t>
      </w:r>
      <w:r w:rsidRPr="00B33AD2">
        <w:t xml:space="preserve"> podmiot</w:t>
      </w:r>
      <w:r w:rsidR="00E60FD7" w:rsidRPr="00B33AD2">
        <w:t>, o którym mowa w art. 16 ust. 2,</w:t>
      </w:r>
      <w:r w:rsidR="00BB3D59" w:rsidRPr="00B33AD2">
        <w:t xml:space="preserve"> </w:t>
      </w:r>
      <w:r w:rsidRPr="00B33AD2">
        <w:t xml:space="preserve">wraz z przekazaniem podróżnemu informacji, o której mowa w ust. 1, przekazuje tę informację do pozostałych podmiotów udzielających zabezpieczenia finansowego, wraz z </w:t>
      </w:r>
      <w:r w:rsidR="005E738A" w:rsidRPr="00B33AD2">
        <w:t xml:space="preserve">wyliczeniem </w:t>
      </w:r>
      <w:r w:rsidRPr="00B33AD2">
        <w:t>proporcjonalnego do wysokości udzielonego zabezpieczenia udziału w kwotach należnych podróżnym.”;</w:t>
      </w:r>
    </w:p>
    <w:p w14:paraId="51FC18A1" w14:textId="22DD8D8A" w:rsidR="00B51600" w:rsidRPr="00B33AD2" w:rsidRDefault="006C6D6E" w:rsidP="00B51600">
      <w:pPr>
        <w:pStyle w:val="PKTpunkt"/>
      </w:pPr>
      <w:r w:rsidRPr="00B33AD2">
        <w:t>6</w:t>
      </w:r>
      <w:r w:rsidR="00B51600" w:rsidRPr="00B33AD2">
        <w:t>)</w:t>
      </w:r>
      <w:r w:rsidR="00B51600" w:rsidRPr="00B33AD2">
        <w:tab/>
        <w:t xml:space="preserve">w art. 19 </w:t>
      </w:r>
      <w:r w:rsidR="00B90FDE" w:rsidRPr="00B33AD2">
        <w:t xml:space="preserve">dotychczasową treść oznacza się jako ust. 1 </w:t>
      </w:r>
      <w:r w:rsidR="00A55B13" w:rsidRPr="00B33AD2">
        <w:t>oraz</w:t>
      </w:r>
      <w:r w:rsidR="00B90FDE" w:rsidRPr="00B33AD2">
        <w:t xml:space="preserve"> </w:t>
      </w:r>
      <w:r w:rsidR="00B51600" w:rsidRPr="00B33AD2">
        <w:t>dodaje się ust. 2</w:t>
      </w:r>
      <w:r w:rsidR="00E46357" w:rsidRPr="00B33AD2">
        <w:t xml:space="preserve"> </w:t>
      </w:r>
      <w:r w:rsidR="00A55B13" w:rsidRPr="00B33AD2">
        <w:t xml:space="preserve">i </w:t>
      </w:r>
      <w:r w:rsidR="007E3980" w:rsidRPr="00B33AD2">
        <w:t>3</w:t>
      </w:r>
      <w:r w:rsidR="00B51600" w:rsidRPr="00B33AD2">
        <w:t xml:space="preserve"> w brzmieniu:</w:t>
      </w:r>
    </w:p>
    <w:p w14:paraId="4F49B6F9" w14:textId="726A63D0" w:rsidR="00B51600" w:rsidRPr="00B33AD2" w:rsidRDefault="00B51600" w:rsidP="00B51600">
      <w:pPr>
        <w:pStyle w:val="ZUSTzmustartykuempunktem"/>
      </w:pPr>
      <w:r w:rsidRPr="00B33AD2">
        <w:lastRenderedPageBreak/>
        <w:t>„2. W przypadku, o którym mowa w art. 7 ust. 2a, podmiot, o którym mowa w art. 16 ust. 2, w terminie nie dłuższym niż 30 dni od dnia doręczenia informacji o szczegółowym wyliczeniu kwot należnych podróżnym, dokonuje wypłat tych kwot bezpośrednio podróżnym, zgodnie z wyliczeniem, o którym mowa w art. 18 ust. 3</w:t>
      </w:r>
      <w:r w:rsidR="006866C5" w:rsidRPr="00B33AD2">
        <w:t>.</w:t>
      </w:r>
    </w:p>
    <w:p w14:paraId="0C140522" w14:textId="554B521F" w:rsidR="006866C5" w:rsidRPr="00B33AD2" w:rsidRDefault="006866C5" w:rsidP="00B51600">
      <w:pPr>
        <w:pStyle w:val="ZUSTzmustartykuempunktem"/>
      </w:pPr>
      <w:r w:rsidRPr="00B33AD2">
        <w:t>3. Podmiot</w:t>
      </w:r>
      <w:r w:rsidR="00583EBB" w:rsidRPr="00B33AD2">
        <w:t xml:space="preserve">, o którym mowa w art. 16 ust. 2, </w:t>
      </w:r>
      <w:r w:rsidR="00E05825" w:rsidRPr="00B33AD2">
        <w:t xml:space="preserve">występuje </w:t>
      </w:r>
      <w:r w:rsidRPr="00B33AD2">
        <w:t>do pozostałych podmiotów udzielających zabezpieczenia finansowego na ten sam okres</w:t>
      </w:r>
      <w:r w:rsidR="00B51600" w:rsidRPr="00B33AD2">
        <w:t xml:space="preserve"> o </w:t>
      </w:r>
      <w:r w:rsidR="00C71289" w:rsidRPr="00B33AD2">
        <w:t xml:space="preserve">przekazanie </w:t>
      </w:r>
      <w:r w:rsidR="00E05825" w:rsidRPr="00B33AD2">
        <w:t>środków</w:t>
      </w:r>
      <w:r w:rsidR="00B51600" w:rsidRPr="00B33AD2">
        <w:t xml:space="preserve"> </w:t>
      </w:r>
      <w:r w:rsidRPr="00B33AD2">
        <w:t>na poczet realizacji wypłat, o których mowa w ust</w:t>
      </w:r>
      <w:r w:rsidR="00FE2F8D" w:rsidRPr="00B33AD2">
        <w:t>.</w:t>
      </w:r>
      <w:r w:rsidRPr="00B33AD2">
        <w:t xml:space="preserve"> 2, proporcjonalnie, zgodnie z wyliczeniem, o którym mowa w art. 18 ust. 3. </w:t>
      </w:r>
      <w:r w:rsidR="00470DFF" w:rsidRPr="00B33AD2">
        <w:t>Pozostałe</w:t>
      </w:r>
      <w:r w:rsidR="00E05825" w:rsidRPr="00B33AD2">
        <w:t xml:space="preserve"> podmioty udzielające zabezpieczenia finansowego dokonują </w:t>
      </w:r>
      <w:r w:rsidR="00C71289" w:rsidRPr="00B33AD2">
        <w:t>przekazania</w:t>
      </w:r>
      <w:r w:rsidR="00E05825" w:rsidRPr="00B33AD2">
        <w:t xml:space="preserve"> środków</w:t>
      </w:r>
      <w:r w:rsidRPr="00B33AD2">
        <w:t xml:space="preserve"> w terminie nie dłuższym niż </w:t>
      </w:r>
      <w:r w:rsidR="00BB3D59" w:rsidRPr="00B33AD2">
        <w:t>7</w:t>
      </w:r>
      <w:r w:rsidRPr="00B33AD2">
        <w:t xml:space="preserve"> dni od dnia doręczenia wezwania.</w:t>
      </w:r>
      <w:r w:rsidR="0001706C" w:rsidRPr="00B33AD2">
        <w:t>”;</w:t>
      </w:r>
    </w:p>
    <w:p w14:paraId="1147846B" w14:textId="6E40D923" w:rsidR="00552798" w:rsidRPr="00B33AD2" w:rsidRDefault="00552798" w:rsidP="009B145A">
      <w:pPr>
        <w:pStyle w:val="PKTpunkt"/>
      </w:pPr>
      <w:r w:rsidRPr="00B33AD2">
        <w:t>7)</w:t>
      </w:r>
      <w:r w:rsidRPr="00B33AD2">
        <w:tab/>
      </w:r>
      <w:r w:rsidR="00A55B13" w:rsidRPr="00B33AD2">
        <w:t xml:space="preserve">po art. 21 </w:t>
      </w:r>
      <w:r w:rsidRPr="00B33AD2">
        <w:t>dodaje się art. 21a w brzmieniu:</w:t>
      </w:r>
    </w:p>
    <w:p w14:paraId="6B643163" w14:textId="4508CA1A" w:rsidR="00552798" w:rsidRPr="00B33AD2" w:rsidRDefault="00552798" w:rsidP="009B145A">
      <w:pPr>
        <w:pStyle w:val="ZARTzmartartykuempunktem"/>
      </w:pPr>
      <w:r w:rsidRPr="00B33AD2">
        <w:t>„</w:t>
      </w:r>
      <w:r w:rsidR="00A55B13" w:rsidRPr="00B33AD2">
        <w:t xml:space="preserve">Art. </w:t>
      </w:r>
      <w:r w:rsidRPr="00B33AD2">
        <w:t>21a. Przepisy niniejszego rozdziału w zakresie dotyczącym podmiotu udzielającego zabezpieczenia finansowego stosuje się odpowiednio do podmiotu</w:t>
      </w:r>
      <w:r w:rsidR="00583EBB" w:rsidRPr="00B33AD2">
        <w:t>, o którym mowa w art. 16 ust. 2</w:t>
      </w:r>
      <w:r w:rsidRPr="00B33AD2">
        <w:t xml:space="preserve">, jeżeli przedsiębiorca turystyczny posiada więcej niż jedno zabezpieczenie finansowe.”; </w:t>
      </w:r>
    </w:p>
    <w:p w14:paraId="71B2DA27" w14:textId="0ABDE59C" w:rsidR="00B51600" w:rsidRPr="00B33AD2" w:rsidRDefault="00552798" w:rsidP="00B51600">
      <w:pPr>
        <w:pStyle w:val="PKTpunkt"/>
      </w:pPr>
      <w:r w:rsidRPr="00B33AD2">
        <w:t>8</w:t>
      </w:r>
      <w:r w:rsidR="00B51600" w:rsidRPr="00B33AD2">
        <w:t>)</w:t>
      </w:r>
      <w:r w:rsidR="00B51600" w:rsidRPr="00B33AD2">
        <w:tab/>
        <w:t>w art. 30 w ust. 7</w:t>
      </w:r>
      <w:r w:rsidR="00331C23" w:rsidRPr="00B33AD2">
        <w:t>:</w:t>
      </w:r>
    </w:p>
    <w:p w14:paraId="49CFE806" w14:textId="2C9C803E" w:rsidR="00331C23" w:rsidRPr="00B33AD2" w:rsidRDefault="00331C23" w:rsidP="007B04DA">
      <w:pPr>
        <w:pStyle w:val="LITlitera"/>
      </w:pPr>
      <w:r w:rsidRPr="00B33AD2">
        <w:t>a)</w:t>
      </w:r>
      <w:r w:rsidRPr="00B33AD2">
        <w:tab/>
        <w:t xml:space="preserve">w pkt 1 przed wyrazem </w:t>
      </w:r>
      <w:r w:rsidR="00A55B13" w:rsidRPr="00B33AD2">
        <w:t>„</w:t>
      </w:r>
      <w:r w:rsidRPr="00B33AD2">
        <w:t>wykreśleniu</w:t>
      </w:r>
      <w:r w:rsidR="00A55B13" w:rsidRPr="00B33AD2">
        <w:t>”</w:t>
      </w:r>
      <w:r w:rsidRPr="00B33AD2">
        <w:t xml:space="preserve"> skreśla się wyraz </w:t>
      </w:r>
      <w:r w:rsidR="00A55B13" w:rsidRPr="00B33AD2">
        <w:t>„</w:t>
      </w:r>
      <w:r w:rsidRPr="00B33AD2">
        <w:t>o</w:t>
      </w:r>
      <w:r w:rsidR="00A55B13" w:rsidRPr="00B33AD2">
        <w:t>”</w:t>
      </w:r>
      <w:r w:rsidRPr="00B33AD2">
        <w:t>,</w:t>
      </w:r>
    </w:p>
    <w:p w14:paraId="5EAA020B" w14:textId="06AE9B19" w:rsidR="00331C23" w:rsidRPr="00B33AD2" w:rsidRDefault="00331C23" w:rsidP="007B04DA">
      <w:pPr>
        <w:pStyle w:val="LITlitera"/>
      </w:pPr>
      <w:r w:rsidRPr="00B33AD2">
        <w:t>b)</w:t>
      </w:r>
      <w:r w:rsidRPr="00B33AD2">
        <w:tab/>
        <w:t>pkt 2 otrzymuje brzmienie:</w:t>
      </w:r>
    </w:p>
    <w:p w14:paraId="7567F0F7" w14:textId="1B5B10BF" w:rsidR="00B51600" w:rsidRPr="00B33AD2" w:rsidRDefault="00B51600" w:rsidP="007B04DA">
      <w:pPr>
        <w:pStyle w:val="ZLITPKTzmpktliter"/>
      </w:pPr>
      <w:r w:rsidRPr="00B33AD2">
        <w:t>„2)</w:t>
      </w:r>
      <w:r w:rsidRPr="00B33AD2">
        <w:tab/>
        <w:t>wykreśleniu przedsiębiorcy turystycznego z rejestru i o zakazie wykonywania działalności objętej wpisem do rejestru przez okres 3 lat w przypadku rażącego naruszenia warunku wykonywania działalności, o którym mowa w art. 31 pkt 2 lub 3, na wniosek Ubezpieczeniowego Funduszu Gwarancyjnego, chyba że przed wydaniem decyzji administracyjnej przedsiębiorca ten spełni swoje obowiązki ustawowe;”;</w:t>
      </w:r>
    </w:p>
    <w:p w14:paraId="2F943C07" w14:textId="76C123D9" w:rsidR="00B51600" w:rsidRPr="00B33AD2" w:rsidRDefault="00552798" w:rsidP="00B51600">
      <w:pPr>
        <w:pStyle w:val="PKTpunkt"/>
      </w:pPr>
      <w:r w:rsidRPr="00B33AD2">
        <w:t>9</w:t>
      </w:r>
      <w:r w:rsidR="00B51600" w:rsidRPr="00B33AD2">
        <w:t>)</w:t>
      </w:r>
      <w:r w:rsidR="00B51600" w:rsidRPr="00B33AD2">
        <w:tab/>
        <w:t>w art. 31 pkt 2 i 3 otrzymują brzmienie:</w:t>
      </w:r>
    </w:p>
    <w:p w14:paraId="64CF9B9A" w14:textId="74CD7BD4" w:rsidR="00B51600" w:rsidRPr="00B33AD2" w:rsidRDefault="00B51600" w:rsidP="00B51600">
      <w:pPr>
        <w:pStyle w:val="ZPKTzmpktartykuempunktem"/>
      </w:pPr>
      <w:r w:rsidRPr="00B33AD2">
        <w:t>„2)</w:t>
      </w:r>
      <w:r w:rsidRPr="00B33AD2">
        <w:tab/>
        <w:t>uchylanie się, mimo wezwania, od obowiązku należytego i terminowego składania deklaracji lub opłacania należnych składek na Turystyczny Fundusz Gwarancyjny;</w:t>
      </w:r>
    </w:p>
    <w:p w14:paraId="0B915298" w14:textId="6594BCFB" w:rsidR="00B51600" w:rsidRPr="00B33AD2" w:rsidRDefault="00B51600" w:rsidP="00B51600">
      <w:pPr>
        <w:pStyle w:val="ZPKTzmpktartykuempunktem"/>
      </w:pPr>
      <w:r w:rsidRPr="00B33AD2">
        <w:t>3)</w:t>
      </w:r>
      <w:r w:rsidRPr="00B33AD2">
        <w:tab/>
        <w:t>uchylanie się, mimo wezwania, od obowiązku</w:t>
      </w:r>
      <w:r w:rsidR="00453E17" w:rsidRPr="00B33AD2">
        <w:t xml:space="preserve"> </w:t>
      </w:r>
      <w:r w:rsidR="00B05D46" w:rsidRPr="00B33AD2">
        <w:t xml:space="preserve">należytego </w:t>
      </w:r>
      <w:r w:rsidRPr="00B33AD2">
        <w:t xml:space="preserve">prowadzenia lub przekazywania i aktualizacji wykazu umów na zasadach określonych w art. </w:t>
      </w:r>
      <w:r w:rsidR="00B05D46" w:rsidRPr="00B33AD2">
        <w:t xml:space="preserve">7 ust. 1 pkt 3 i art. </w:t>
      </w:r>
      <w:r w:rsidRPr="00B33AD2">
        <w:t>9 ust</w:t>
      </w:r>
      <w:r w:rsidR="00A4106A" w:rsidRPr="00B33AD2">
        <w:t>.</w:t>
      </w:r>
      <w:r w:rsidRPr="00B33AD2">
        <w:t xml:space="preserve"> 2a</w:t>
      </w:r>
      <w:r w:rsidR="005E738A" w:rsidRPr="00B33AD2">
        <w:t xml:space="preserve"> i </w:t>
      </w:r>
      <w:r w:rsidRPr="00B33AD2">
        <w:t>2b;”;</w:t>
      </w:r>
    </w:p>
    <w:p w14:paraId="611A370E" w14:textId="5EC09660" w:rsidR="00B51600" w:rsidRPr="00B33AD2" w:rsidRDefault="00552798" w:rsidP="00B51600">
      <w:pPr>
        <w:pStyle w:val="PKTpunkt"/>
      </w:pPr>
      <w:r w:rsidRPr="00B33AD2">
        <w:t>10</w:t>
      </w:r>
      <w:r w:rsidR="00B51600" w:rsidRPr="00B33AD2">
        <w:t>)</w:t>
      </w:r>
      <w:r w:rsidR="00B51600" w:rsidRPr="00B33AD2">
        <w:tab/>
        <w:t>w art. 37 ust. 1a otrzymuje brzmienie:</w:t>
      </w:r>
    </w:p>
    <w:p w14:paraId="667815A1" w14:textId="3C4479DB" w:rsidR="00E76212" w:rsidRPr="00B33AD2" w:rsidRDefault="00B51600" w:rsidP="001E0AED">
      <w:pPr>
        <w:pStyle w:val="ZUSTzmustartykuempunktem"/>
      </w:pPr>
      <w:r w:rsidRPr="00B33AD2">
        <w:t xml:space="preserve">„1a. Deklaracje, o których mowa w art. 7 ust. 1 pkt 4, </w:t>
      </w:r>
      <w:r w:rsidR="005E738A" w:rsidRPr="00B33AD2">
        <w:t xml:space="preserve">są </w:t>
      </w:r>
      <w:r w:rsidRPr="00B33AD2">
        <w:t>składane za pośrednictwem systemu, o którym mowa w art. 7 ust. 1 pkt 3 lit. a.”.</w:t>
      </w:r>
    </w:p>
    <w:p w14:paraId="4CEA9E88" w14:textId="3B37DB9A" w:rsidR="00B51600" w:rsidRPr="00B33AD2" w:rsidRDefault="00B51600" w:rsidP="0062473E">
      <w:pPr>
        <w:pStyle w:val="ARTartustawynprozporzdzenia"/>
      </w:pPr>
      <w:r w:rsidRPr="00B33AD2">
        <w:rPr>
          <w:rStyle w:val="Ppogrubienie"/>
        </w:rPr>
        <w:lastRenderedPageBreak/>
        <w:t xml:space="preserve">Art. </w:t>
      </w:r>
      <w:r w:rsidR="0065380C" w:rsidRPr="00B33AD2">
        <w:rPr>
          <w:rStyle w:val="Ppogrubienie"/>
        </w:rPr>
        <w:t>2</w:t>
      </w:r>
      <w:r w:rsidRPr="00B33AD2">
        <w:rPr>
          <w:rStyle w:val="Ppogrubienie"/>
        </w:rPr>
        <w:t>.</w:t>
      </w:r>
      <w:r w:rsidRPr="00B33AD2">
        <w:t xml:space="preserve"> W ustawie z dnia 2 marca 2020 r. o szczególnych rozwiązaniach związanych z zapobieganiem, przeciwdziałaniem i zwalczaniem COVID-19, innych chorób zakaźnych oraz wywołanych nimi sytuacji kryzysowych (Dz. U. z </w:t>
      </w:r>
      <w:r w:rsidR="000101FB" w:rsidRPr="00B33AD2">
        <w:t xml:space="preserve">2025 r. poz. </w:t>
      </w:r>
      <w:r w:rsidR="005E738A" w:rsidRPr="00B33AD2">
        <w:t>764</w:t>
      </w:r>
      <w:r w:rsidRPr="00B33AD2">
        <w:t>) wprowadza się następujące zmiany:</w:t>
      </w:r>
    </w:p>
    <w:p w14:paraId="2F0DFDF4" w14:textId="0FAAE98E" w:rsidR="00BF4B85" w:rsidRPr="00B33AD2" w:rsidRDefault="00B51600" w:rsidP="001E0AED">
      <w:pPr>
        <w:pStyle w:val="PKTpunkt"/>
      </w:pPr>
      <w:r w:rsidRPr="00B33AD2">
        <w:t>1)</w:t>
      </w:r>
      <w:r w:rsidR="008C6F48" w:rsidRPr="00B33AD2">
        <w:tab/>
      </w:r>
      <w:r w:rsidR="00BF4B85" w:rsidRPr="00B33AD2">
        <w:t>w art. 15kb dodaje się ust. 18</w:t>
      </w:r>
      <w:r w:rsidR="009D6BAC" w:rsidRPr="00B33AD2">
        <w:t>–</w:t>
      </w:r>
      <w:r w:rsidR="000A10B8" w:rsidRPr="00B33AD2">
        <w:t>22</w:t>
      </w:r>
      <w:r w:rsidR="00BF4B85" w:rsidRPr="00B33AD2">
        <w:t xml:space="preserve"> w brzmieniu:</w:t>
      </w:r>
    </w:p>
    <w:p w14:paraId="501FBEAC" w14:textId="2248ACA6" w:rsidR="000A10B8" w:rsidRPr="00B33AD2" w:rsidRDefault="00A4106A" w:rsidP="001E0AED">
      <w:pPr>
        <w:pStyle w:val="ZUSTzmustartykuempunktem"/>
      </w:pPr>
      <w:r w:rsidRPr="00B33AD2">
        <w:t>„</w:t>
      </w:r>
      <w:r w:rsidR="00BF4B85" w:rsidRPr="00B33AD2">
        <w:t xml:space="preserve">18. </w:t>
      </w:r>
      <w:r w:rsidR="0041779E" w:rsidRPr="00B33AD2">
        <w:t xml:space="preserve">Do egzekucji należności pieniężnych, o których mowa w </w:t>
      </w:r>
      <w:r w:rsidR="00DB7658" w:rsidRPr="00B33AD2">
        <w:t xml:space="preserve">art. </w:t>
      </w:r>
      <w:r w:rsidR="0041779E" w:rsidRPr="00B33AD2">
        <w:t xml:space="preserve">15ka ust. 29, stosuje się przepisy o postępowaniu egzekucyjnym w administracji, z tym że </w:t>
      </w:r>
      <w:r w:rsidR="009E23CF" w:rsidRPr="00B33AD2">
        <w:t>wierzycielem jest</w:t>
      </w:r>
      <w:r w:rsidR="0041779E" w:rsidRPr="00B33AD2">
        <w:t xml:space="preserve"> Ubezpieczeniowy Fundusz Gwarancyjny.</w:t>
      </w:r>
    </w:p>
    <w:p w14:paraId="06D1BC21" w14:textId="76CFCBF6" w:rsidR="000A10B8" w:rsidRPr="00B33AD2" w:rsidRDefault="000A10B8" w:rsidP="00262CFE">
      <w:pPr>
        <w:pStyle w:val="ZUSTzmustartykuempunktem"/>
      </w:pPr>
      <w:r w:rsidRPr="00B33AD2">
        <w:t>19. Egzekucję, o której mowa w ust. 18, stosuje się, jeśli należność została</w:t>
      </w:r>
      <w:r w:rsidR="00262CFE" w:rsidRPr="00B33AD2">
        <w:t xml:space="preserve"> </w:t>
      </w:r>
      <w:r w:rsidRPr="00B33AD2">
        <w:t>stwierdzona wydaniem przez ministra właściwego do spraw turystyki prawomocnej decyzji, o której mowa w art. 15ka ust. 29.</w:t>
      </w:r>
    </w:p>
    <w:p w14:paraId="682A287D" w14:textId="0CF3F1BA" w:rsidR="000A10B8" w:rsidRPr="00B33AD2" w:rsidRDefault="000A10B8" w:rsidP="00262CFE">
      <w:pPr>
        <w:pStyle w:val="ZUSTzmustartykuempunktem"/>
      </w:pPr>
      <w:r w:rsidRPr="00B33AD2">
        <w:t>20. Roszczenia z tytułu należności pieniężnych, o których mowa w art.15ka ust.</w:t>
      </w:r>
      <w:r w:rsidR="00262CFE" w:rsidRPr="00B33AD2">
        <w:t xml:space="preserve"> </w:t>
      </w:r>
      <w:r w:rsidRPr="00B33AD2">
        <w:t>29, ulegają przedawnieniu z upływem 6 lat od ostatniego dnia roku kalendarzowego, w którym wydano decyzję, o której mowa w art. 15ka ust. 29</w:t>
      </w:r>
      <w:r w:rsidR="00982DAD" w:rsidRPr="00B33AD2">
        <w:t>.</w:t>
      </w:r>
    </w:p>
    <w:p w14:paraId="3460396C" w14:textId="77777777" w:rsidR="000A10B8" w:rsidRPr="00B33AD2" w:rsidRDefault="000A10B8" w:rsidP="000A10B8">
      <w:pPr>
        <w:pStyle w:val="ZUSTzmustartykuempunktem"/>
      </w:pPr>
      <w:r w:rsidRPr="00B33AD2">
        <w:t>21. Bieg przedawnienia przerywa:</w:t>
      </w:r>
    </w:p>
    <w:p w14:paraId="750F4B03" w14:textId="47F84B5E" w:rsidR="000A10B8" w:rsidRPr="00B33AD2" w:rsidRDefault="000A10B8" w:rsidP="00262CFE">
      <w:pPr>
        <w:pStyle w:val="ZPKTzmpktartykuempunktem"/>
      </w:pPr>
      <w:r w:rsidRPr="00B33AD2">
        <w:t>1)</w:t>
      </w:r>
      <w:r w:rsidR="00A91608" w:rsidRPr="00B33AD2">
        <w:tab/>
      </w:r>
      <w:r w:rsidRPr="00B33AD2">
        <w:t>każda czynność organu egzekucyjnego podjęta w celu wyegzekwowania należności;</w:t>
      </w:r>
    </w:p>
    <w:p w14:paraId="12CD42B1" w14:textId="778E7534" w:rsidR="000A10B8" w:rsidRPr="00B33AD2" w:rsidRDefault="000A10B8" w:rsidP="00262CFE">
      <w:pPr>
        <w:pStyle w:val="ZPKTzmpktartykuempunktem"/>
      </w:pPr>
      <w:r w:rsidRPr="00B33AD2">
        <w:t>2)</w:t>
      </w:r>
      <w:r w:rsidR="00A91608" w:rsidRPr="00B33AD2">
        <w:tab/>
      </w:r>
      <w:r w:rsidRPr="00B33AD2">
        <w:t>uznanie przez organizatora turystyki zobowiązania wynikającego z decyzji, o której mowa w art. 15ka ust. 29;</w:t>
      </w:r>
    </w:p>
    <w:p w14:paraId="59B41D92" w14:textId="15DE0CEB" w:rsidR="000A10B8" w:rsidRPr="00B33AD2" w:rsidRDefault="000A10B8" w:rsidP="00262CFE">
      <w:pPr>
        <w:pStyle w:val="ZPKTzmpktartykuempunktem"/>
      </w:pPr>
      <w:r w:rsidRPr="00B33AD2">
        <w:t>3)</w:t>
      </w:r>
      <w:r w:rsidR="00A91608" w:rsidRPr="00B33AD2">
        <w:tab/>
      </w:r>
      <w:r w:rsidRPr="00B33AD2">
        <w:t>wszczęcie postępowania skargowego przed sądem administracyjnym w związku z wydaniem decyzji, o której mowa w art. 15ka ust. 29;</w:t>
      </w:r>
    </w:p>
    <w:p w14:paraId="6DDF4EBD" w14:textId="463D3BFA" w:rsidR="000A10B8" w:rsidRPr="00B33AD2" w:rsidRDefault="000A10B8" w:rsidP="00262CFE">
      <w:pPr>
        <w:pStyle w:val="ZPKTzmpktartykuempunktem"/>
      </w:pPr>
      <w:r w:rsidRPr="00B33AD2">
        <w:t>4)</w:t>
      </w:r>
      <w:r w:rsidR="00A91608" w:rsidRPr="00B33AD2">
        <w:tab/>
      </w:r>
      <w:r w:rsidRPr="00B33AD2">
        <w:t>zawieszenie postępowania egzekucyjnego.</w:t>
      </w:r>
    </w:p>
    <w:p w14:paraId="2ADCADA9" w14:textId="77777777" w:rsidR="000A10B8" w:rsidRPr="00B33AD2" w:rsidRDefault="000A10B8" w:rsidP="000A10B8">
      <w:pPr>
        <w:pStyle w:val="ZUSTzmustartykuempunktem"/>
      </w:pPr>
      <w:r w:rsidRPr="00B33AD2">
        <w:t>22. Po przerwaniu biegu przedawnienia z przyczyny, o której mowa w ust. 21:</w:t>
      </w:r>
    </w:p>
    <w:p w14:paraId="6EFEEFC1" w14:textId="2ACE9E1D" w:rsidR="000A10B8" w:rsidRPr="00B33AD2" w:rsidRDefault="000A10B8" w:rsidP="00262CFE">
      <w:pPr>
        <w:pStyle w:val="ZPKTzmpktartykuempunktem"/>
      </w:pPr>
      <w:r w:rsidRPr="00B33AD2">
        <w:t>1)</w:t>
      </w:r>
      <w:r w:rsidR="00A91608" w:rsidRPr="00B33AD2">
        <w:tab/>
      </w:r>
      <w:r w:rsidRPr="00B33AD2">
        <w:t xml:space="preserve">pkt 1 i 2 </w:t>
      </w:r>
      <w:r w:rsidR="009D6BAC" w:rsidRPr="00B33AD2">
        <w:t xml:space="preserve">– </w:t>
      </w:r>
      <w:r w:rsidRPr="00B33AD2">
        <w:t>biegnie ono na nowo;</w:t>
      </w:r>
    </w:p>
    <w:p w14:paraId="5BEAA6EF" w14:textId="53949AD9" w:rsidR="000A10B8" w:rsidRPr="00B33AD2" w:rsidRDefault="000A10B8" w:rsidP="00262CFE">
      <w:pPr>
        <w:pStyle w:val="ZPKTzmpktartykuempunktem"/>
      </w:pPr>
      <w:r w:rsidRPr="00B33AD2">
        <w:t>2)</w:t>
      </w:r>
      <w:r w:rsidR="00A91608" w:rsidRPr="00B33AD2">
        <w:tab/>
      </w:r>
      <w:r w:rsidRPr="00B33AD2">
        <w:t xml:space="preserve">pkt 3 </w:t>
      </w:r>
      <w:r w:rsidR="009D6BAC" w:rsidRPr="00B33AD2">
        <w:t xml:space="preserve">– </w:t>
      </w:r>
      <w:r w:rsidRPr="00B33AD2">
        <w:t>okres przedawnienia biegnie na nowo od dnia zakończenia postępowania sądowego;</w:t>
      </w:r>
    </w:p>
    <w:p w14:paraId="2B16FBAD" w14:textId="244505AA" w:rsidR="00BF4B85" w:rsidRPr="00B33AD2" w:rsidRDefault="000A10B8" w:rsidP="00262CFE">
      <w:pPr>
        <w:pStyle w:val="ZPKTzmpktartykuempunktem"/>
      </w:pPr>
      <w:r w:rsidRPr="00B33AD2">
        <w:t>3)</w:t>
      </w:r>
      <w:r w:rsidR="00A91608" w:rsidRPr="00B33AD2">
        <w:tab/>
      </w:r>
      <w:r w:rsidRPr="00B33AD2">
        <w:t xml:space="preserve">pkt 4 </w:t>
      </w:r>
      <w:r w:rsidR="009D6BAC" w:rsidRPr="00B33AD2">
        <w:t xml:space="preserve">– </w:t>
      </w:r>
      <w:r w:rsidRPr="00B33AD2">
        <w:t>okres przedawnienia biegnie od dnia podjęcia postępowania egzekucyjnego.</w:t>
      </w:r>
      <w:r w:rsidR="00A4106A" w:rsidRPr="00B33AD2">
        <w:t>”</w:t>
      </w:r>
      <w:r w:rsidR="00A42550" w:rsidRPr="00B33AD2">
        <w:t>;</w:t>
      </w:r>
    </w:p>
    <w:p w14:paraId="5FD09E2C" w14:textId="72D840C6" w:rsidR="00B51600" w:rsidRPr="00B33AD2" w:rsidRDefault="00BF4B85" w:rsidP="001E0AED">
      <w:pPr>
        <w:pStyle w:val="PKTpunkt"/>
      </w:pPr>
      <w:r w:rsidRPr="00B33AD2">
        <w:t>2)</w:t>
      </w:r>
      <w:r w:rsidR="008C6F48" w:rsidRPr="00B33AD2">
        <w:tab/>
      </w:r>
      <w:r w:rsidR="00B51600" w:rsidRPr="00B33AD2">
        <w:t>w art. 15kc:</w:t>
      </w:r>
    </w:p>
    <w:p w14:paraId="6150E4DC" w14:textId="59D5F7F5" w:rsidR="00B51600" w:rsidRPr="00B33AD2" w:rsidRDefault="00B51600" w:rsidP="001E0AED">
      <w:pPr>
        <w:pStyle w:val="LITlitera"/>
      </w:pPr>
      <w:r w:rsidRPr="00B33AD2">
        <w:t>a)</w:t>
      </w:r>
      <w:r w:rsidRPr="00B33AD2">
        <w:tab/>
        <w:t>w ust. 4 po pkt 6 dodaje się pkt 6a i 6b w brzmieniu:</w:t>
      </w:r>
    </w:p>
    <w:p w14:paraId="7768B4D2" w14:textId="7D3E1811" w:rsidR="00B51600" w:rsidRPr="00B33AD2" w:rsidRDefault="00B51600" w:rsidP="001E0AED">
      <w:pPr>
        <w:pStyle w:val="ZLITPKTzmpktliter"/>
      </w:pPr>
      <w:r w:rsidRPr="00B33AD2">
        <w:t>„6a)</w:t>
      </w:r>
      <w:r w:rsidR="000F71D4">
        <w:tab/>
      </w:r>
      <w:r w:rsidRPr="00B33AD2">
        <w:t>z zapłat dokonanych przez organizatorów turystyki oraz przedsiębiorców ułatwiających nabywanie powiązanych usług turystycznych, o których mowa w ust. 19</w:t>
      </w:r>
      <w:r w:rsidR="00F36FA6" w:rsidRPr="00B33AD2">
        <w:t>e</w:t>
      </w:r>
      <w:r w:rsidRPr="00B33AD2">
        <w:t>;</w:t>
      </w:r>
    </w:p>
    <w:p w14:paraId="06EDC185" w14:textId="5E1C56B7" w:rsidR="00B51600" w:rsidRPr="00B33AD2" w:rsidRDefault="00B51600" w:rsidP="001E0AED">
      <w:pPr>
        <w:pStyle w:val="ZLITPKTzmpktliter"/>
      </w:pPr>
      <w:r w:rsidRPr="00B33AD2">
        <w:lastRenderedPageBreak/>
        <w:t>6b)</w:t>
      </w:r>
      <w:r w:rsidR="0030114F" w:rsidRPr="00B33AD2">
        <w:tab/>
      </w:r>
      <w:r w:rsidRPr="00B33AD2">
        <w:t>z wpływów z tytułu roszczeń o zwrot wypłaconych świadczeń, o których mowa w ust. 19</w:t>
      </w:r>
      <w:r w:rsidR="00552798" w:rsidRPr="00B33AD2">
        <w:t>j</w:t>
      </w:r>
      <w:r w:rsidRPr="00B33AD2">
        <w:t>;”,</w:t>
      </w:r>
    </w:p>
    <w:p w14:paraId="6A25CE13" w14:textId="30487A28" w:rsidR="00B51600" w:rsidRPr="00B33AD2" w:rsidRDefault="00B51600" w:rsidP="001E0AED">
      <w:pPr>
        <w:pStyle w:val="LITlitera"/>
      </w:pPr>
      <w:r w:rsidRPr="00B33AD2">
        <w:t>b)</w:t>
      </w:r>
      <w:r w:rsidRPr="00B33AD2">
        <w:tab/>
        <w:t xml:space="preserve">ust. 13 otrzymuje brzmienie: </w:t>
      </w:r>
    </w:p>
    <w:p w14:paraId="475FA909" w14:textId="54E3D114" w:rsidR="00B51600" w:rsidRPr="00B33AD2" w:rsidRDefault="00B51600" w:rsidP="001E0AED">
      <w:pPr>
        <w:pStyle w:val="ZLITUSTzmustliter"/>
      </w:pPr>
      <w:r w:rsidRPr="00B33AD2">
        <w:t xml:space="preserve">„13. </w:t>
      </w:r>
      <w:r w:rsidR="00196273" w:rsidRPr="00B33AD2">
        <w:t>Ubezpieczeniowy Fundusz Gwarancyjny może udzielić Funduszowi Pomocowemu, w celu realizacji jego zadań ustawowych, zwrotnego finansowania ze środków zgromadzonych w ramach Turystycznego Funduszu Gwarancyjnego, o którym mowa w ustawie z dnia 24 listopada 2017 r. o imprezach turystycznych i powiązanych usługach turystycznych, na warunkach odpowiadających stopie oprocentowania lokat uzyskiwanych przez Ubezpieczeniowy Fundusz Gwarancyjny w okresie, na który zostało udzielone zwrotne finansowanie, przy uwzględnieniu bezpieczeństwa i płynności środków Turystycznego Funduszu Gwarancyjnego. Wysokość zwrotnego finansowania udzielonego przez Ubezpieczeniowy Fundusz Gwarancyjny na rzecz Funduszu Pomocowego nie może przekroczyć wysokości 30% środków zgromadzonych na Turystycznym Funduszu Gwarancyjnym.”</w:t>
      </w:r>
      <w:r w:rsidRPr="00B33AD2">
        <w:t>,</w:t>
      </w:r>
    </w:p>
    <w:p w14:paraId="3BE49AF5" w14:textId="674CCFA7" w:rsidR="00B51600" w:rsidRPr="00B33AD2" w:rsidRDefault="00B51600" w:rsidP="001E0AED">
      <w:pPr>
        <w:pStyle w:val="LITlitera"/>
      </w:pPr>
      <w:r w:rsidRPr="00B33AD2">
        <w:t>c)</w:t>
      </w:r>
      <w:r w:rsidRPr="00B33AD2">
        <w:tab/>
        <w:t>ust. 18 otrzymuje brzmienie:</w:t>
      </w:r>
    </w:p>
    <w:p w14:paraId="4C1976EE" w14:textId="48EBA837" w:rsidR="00B51600" w:rsidRPr="00B33AD2" w:rsidRDefault="00B51600" w:rsidP="001E0AED">
      <w:pPr>
        <w:pStyle w:val="ZLITUSTzmustliter"/>
      </w:pPr>
      <w:r w:rsidRPr="00B33AD2">
        <w:t>„18. Ubezpieczeniowy Fundusz Gwarancyjny oraz osoby działające w jego imieniu z należytą starannością nie ponoszą odpowiedzialności za szkodę wynikłą z niewłaściwej realizacji wypłat, o których mowa w ust. 14 i 14b</w:t>
      </w:r>
      <w:r w:rsidR="005E738A" w:rsidRPr="00B33AD2">
        <w:t>,</w:t>
      </w:r>
      <w:r w:rsidRPr="00B33AD2">
        <w:t xml:space="preserve"> ani udzielania poręczeń, o których mowa w ust. 19a.”</w:t>
      </w:r>
      <w:r w:rsidR="003F60FF" w:rsidRPr="00B33AD2">
        <w:t>,</w:t>
      </w:r>
    </w:p>
    <w:p w14:paraId="07F45EB5" w14:textId="522E2F19" w:rsidR="00B51600" w:rsidRPr="00B33AD2" w:rsidRDefault="00B51600" w:rsidP="001E0AED">
      <w:pPr>
        <w:pStyle w:val="LITlitera"/>
      </w:pPr>
      <w:r w:rsidRPr="00B33AD2">
        <w:t>d)</w:t>
      </w:r>
      <w:r w:rsidRPr="00B33AD2">
        <w:tab/>
        <w:t>po ust. 19 dodaje się ust. 19a</w:t>
      </w:r>
      <w:r w:rsidR="000F71D4" w:rsidRPr="000F71D4">
        <w:t>–</w:t>
      </w:r>
      <w:r w:rsidRPr="00B33AD2">
        <w:t>19</w:t>
      </w:r>
      <w:r w:rsidR="00E84B5B" w:rsidRPr="00B33AD2">
        <w:t>j</w:t>
      </w:r>
      <w:r w:rsidRPr="00B33AD2">
        <w:t xml:space="preserve"> w brzmieniu:</w:t>
      </w:r>
    </w:p>
    <w:p w14:paraId="308D6147" w14:textId="568DE7AF" w:rsidR="00F36FA6" w:rsidRPr="00B33AD2" w:rsidRDefault="00B51600" w:rsidP="001E0AED">
      <w:pPr>
        <w:pStyle w:val="ZLITUSTzmustliter"/>
      </w:pPr>
      <w:r w:rsidRPr="00B33AD2">
        <w:t>„19a. </w:t>
      </w:r>
      <w:r w:rsidR="00F36FA6" w:rsidRPr="00B33AD2">
        <w:t>Ze środków zgromadzonych na Funduszu Pomocowym Ubezpieczeniowy Fundusz Gwarancyjny może udzielać organizatorom turystyki oraz przedsiębiorcom ułatwiającym nabywanie powiązanych usług turystycznych, częściowego poręczenia na zabezpieczenie ich ewentualnych zobowiązań względem podmiotu udzielającego gwarancji ubezpieczeniowej albo gwarancji bankowej, o której mowa w art. 7 ust. 2 pkt 1 ustawy z dnia 24 listopada 2017 r. o imprezach turystycznych i powiązanych usługach turystycznych, związanych z udzielaną gwarancją, w przypadku gdy podmiot udzielający gwarancji ubezpieczeniowej albo podmiot udzielający gwarancji bankowej wymaga zabezpieczenia w postaci kaucji, depozytu, gwarancji ubezpieczeniowej lub gwarancji bankowej.</w:t>
      </w:r>
    </w:p>
    <w:p w14:paraId="6DE7455E" w14:textId="61DCF1EE" w:rsidR="00B51600" w:rsidRPr="00B33AD2" w:rsidRDefault="00B51600" w:rsidP="001E0AED">
      <w:pPr>
        <w:pStyle w:val="ZLITUSTzmustliter"/>
      </w:pPr>
      <w:r w:rsidRPr="00B33AD2">
        <w:t>19</w:t>
      </w:r>
      <w:r w:rsidR="00F36FA6" w:rsidRPr="00B33AD2">
        <w:t>b</w:t>
      </w:r>
      <w:r w:rsidRPr="00B33AD2">
        <w:t xml:space="preserve">. Podmiot udzielający gwarancji ubezpieczeniowej albo </w:t>
      </w:r>
      <w:r w:rsidR="005F46C4" w:rsidRPr="00B33AD2">
        <w:t>podmiot udzielający gwarancji bankowej</w:t>
      </w:r>
      <w:r w:rsidR="00011110" w:rsidRPr="00B33AD2">
        <w:t>,</w:t>
      </w:r>
      <w:r w:rsidRPr="00B33AD2">
        <w:t xml:space="preserve"> wymagając zabezpieczenia, o którym mowa w ust. </w:t>
      </w:r>
      <w:r w:rsidRPr="00B33AD2">
        <w:lastRenderedPageBreak/>
        <w:t>19a, nie może odmówić przyjęcia poręczenia udzielonego przez Ubezpieczeniowy Fundusz Gwarancyjny.</w:t>
      </w:r>
    </w:p>
    <w:p w14:paraId="57947626" w14:textId="50D1B3B7" w:rsidR="007E6047" w:rsidRPr="00B33AD2" w:rsidRDefault="00B51600" w:rsidP="001E0AED">
      <w:pPr>
        <w:pStyle w:val="ZLITUSTzmustliter"/>
      </w:pPr>
      <w:r w:rsidRPr="00B33AD2">
        <w:t>19</w:t>
      </w:r>
      <w:r w:rsidR="00F36FA6" w:rsidRPr="00B33AD2">
        <w:t>c</w:t>
      </w:r>
      <w:r w:rsidRPr="00B33AD2">
        <w:t xml:space="preserve">. </w:t>
      </w:r>
      <w:r w:rsidR="00883CA0" w:rsidRPr="00B33AD2">
        <w:t>Poręczenie, o którym mowa w ust. 19a</w:t>
      </w:r>
      <w:r w:rsidR="005E738A" w:rsidRPr="00B33AD2">
        <w:t>,</w:t>
      </w:r>
      <w:r w:rsidR="00883CA0" w:rsidRPr="00B33AD2">
        <w:t xml:space="preserve"> jest udzielane</w:t>
      </w:r>
      <w:r w:rsidR="007E6047" w:rsidRPr="00B33AD2">
        <w:t xml:space="preserve"> </w:t>
      </w:r>
      <w:r w:rsidR="00423145" w:rsidRPr="00B33AD2">
        <w:t>organizatorom turystyki oraz przedsiębiorcom ułatwiającym nabywanie powiązanych usług turystycznych</w:t>
      </w:r>
      <w:r w:rsidR="00116A2A" w:rsidRPr="00B33AD2">
        <w:t>, w stosunku do których istnieje wymóg posiadania</w:t>
      </w:r>
      <w:r w:rsidR="007E6047" w:rsidRPr="00B33AD2">
        <w:t xml:space="preserve"> zabezpieczenia finansowego w wysokości nie niższej niż 250 000 euro,</w:t>
      </w:r>
      <w:r w:rsidR="00883CA0" w:rsidRPr="00B33AD2">
        <w:t xml:space="preserve"> na okres obowiązywania gwarancji</w:t>
      </w:r>
      <w:r w:rsidR="00F77FB1" w:rsidRPr="00B33AD2">
        <w:t xml:space="preserve"> oraz okres 12 miesięcy po jej wygaśnięciu</w:t>
      </w:r>
      <w:r w:rsidR="00883CA0" w:rsidRPr="00B33AD2">
        <w:t xml:space="preserve"> i obejmuje wierzytelności powstałe w tym okresie. Podmiot udzielający </w:t>
      </w:r>
      <w:r w:rsidR="007E6047" w:rsidRPr="00B33AD2">
        <w:t>gwarancji ubezpieczeniowej albo gwarancji bankowe</w:t>
      </w:r>
      <w:r w:rsidR="00564D37" w:rsidRPr="00B33AD2">
        <w:t>j</w:t>
      </w:r>
      <w:r w:rsidR="00690510" w:rsidRPr="00B33AD2">
        <w:t xml:space="preserve"> może zgłosić swoje roszczenie w terminie 60 dni od </w:t>
      </w:r>
      <w:r w:rsidR="005E738A" w:rsidRPr="00B33AD2">
        <w:t xml:space="preserve">dnia </w:t>
      </w:r>
      <w:r w:rsidR="00690510" w:rsidRPr="00B33AD2">
        <w:t>powstania wierzytelności.</w:t>
      </w:r>
    </w:p>
    <w:p w14:paraId="2CA74009" w14:textId="3DA8FCC8" w:rsidR="007E6047" w:rsidRPr="00B33AD2" w:rsidRDefault="00690510" w:rsidP="001E0AED">
      <w:pPr>
        <w:pStyle w:val="ZLITUSTzmustliter"/>
      </w:pPr>
      <w:r w:rsidRPr="00B33AD2">
        <w:t>19</w:t>
      </w:r>
      <w:r w:rsidR="00F36FA6" w:rsidRPr="00B33AD2">
        <w:t>d</w:t>
      </w:r>
      <w:r w:rsidR="00435C09" w:rsidRPr="00B33AD2">
        <w:t>.</w:t>
      </w:r>
      <w:r w:rsidRPr="00B33AD2">
        <w:t xml:space="preserve"> </w:t>
      </w:r>
      <w:r w:rsidR="00B51600" w:rsidRPr="00B33AD2">
        <w:t>Ubezpieczeniowy Fundusz Gwarancyjny decyduje o udzieleniu organizatorom turystyki oraz przedsiębiorcom ułatwiającym nabywanie powiązanych usług turystycznych poręczenia, o którym mowa w ust. 19a</w:t>
      </w:r>
      <w:r w:rsidR="005E738A" w:rsidRPr="00B33AD2">
        <w:t>,</w:t>
      </w:r>
      <w:r w:rsidR="00B51600" w:rsidRPr="00B33AD2">
        <w:t xml:space="preserve"> pod warunkiem spełnienia przez nich na dzień złożenia wniosku o jego udzielenie następujących kryteriów:</w:t>
      </w:r>
    </w:p>
    <w:p w14:paraId="5CAF0A38" w14:textId="47ED541D" w:rsidR="00B51600" w:rsidRPr="00B33AD2" w:rsidRDefault="007E6047" w:rsidP="001E0AED">
      <w:pPr>
        <w:pStyle w:val="ZLITPKTzmpktliter"/>
      </w:pPr>
      <w:r w:rsidRPr="00B33AD2">
        <w:t>1</w:t>
      </w:r>
      <w:r w:rsidR="00B51600" w:rsidRPr="00B33AD2">
        <w:t>)</w:t>
      </w:r>
      <w:r w:rsidR="00B51600" w:rsidRPr="00B33AD2">
        <w:tab/>
        <w:t>należytego realizowania obowiązków względem Ubezpieczeniowego Funduszu Gwarancyjnego</w:t>
      </w:r>
      <w:r w:rsidR="00924F48" w:rsidRPr="00B33AD2">
        <w:t>, o których mowa w niniejszej ustawie oraz w ustawie z dnia 24 listopada 2017 r. o imprezach turystycznych i powiązanych usługach turystycznych</w:t>
      </w:r>
      <w:r w:rsidR="009A301A" w:rsidRPr="00B33AD2">
        <w:t>,</w:t>
      </w:r>
      <w:r w:rsidR="00924F48" w:rsidRPr="00B33AD2">
        <w:t xml:space="preserve"> </w:t>
      </w:r>
      <w:r w:rsidR="00B51600" w:rsidRPr="00B33AD2">
        <w:t>w okresie ostatnich 12 miesięcy, poprzedzających dzień złożenia wniosku o udzielenie poręczenia;</w:t>
      </w:r>
    </w:p>
    <w:p w14:paraId="4227FE74" w14:textId="4A1EFB08" w:rsidR="00B51600" w:rsidRPr="00B33AD2" w:rsidRDefault="007E6047" w:rsidP="001E0AED">
      <w:pPr>
        <w:pStyle w:val="ZLITPKTzmpktliter"/>
      </w:pPr>
      <w:r w:rsidRPr="00B33AD2">
        <w:t>2</w:t>
      </w:r>
      <w:r w:rsidR="00B51600" w:rsidRPr="00B33AD2">
        <w:t>)</w:t>
      </w:r>
      <w:r w:rsidR="00B51600" w:rsidRPr="00B33AD2">
        <w:tab/>
        <w:t>wykonywania działalności gospodarczej w zakresie organizowania imprez turystycznych lub ułatwiania nabywania powiązanych usług turystycznych przez nieprzerwany okr</w:t>
      </w:r>
      <w:r w:rsidR="003F60FF" w:rsidRPr="00B33AD2">
        <w:t>es co najmniej ostatnich 3 lat;</w:t>
      </w:r>
    </w:p>
    <w:p w14:paraId="13598880" w14:textId="25BC0C85" w:rsidR="00B51600" w:rsidRPr="00B33AD2" w:rsidRDefault="007E6047" w:rsidP="001E0AED">
      <w:pPr>
        <w:pStyle w:val="ZLITPKTzmpktliter"/>
      </w:pPr>
      <w:r w:rsidRPr="00B33AD2">
        <w:t>3</w:t>
      </w:r>
      <w:r w:rsidR="00B51600" w:rsidRPr="00B33AD2">
        <w:t>)</w:t>
      </w:r>
      <w:r w:rsidR="00B51600" w:rsidRPr="00B33AD2">
        <w:tab/>
        <w:t>nieskorzystania z uprawnienia, o którym mowa w art. 22 ust. 1 ustawy z dnia 6 marca 2018 r</w:t>
      </w:r>
      <w:r w:rsidR="00A4106A" w:rsidRPr="00B33AD2">
        <w:t>.</w:t>
      </w:r>
      <w:r w:rsidR="00B51600" w:rsidRPr="00B33AD2">
        <w:t xml:space="preserve"> – Prawo przedsiębiorców</w:t>
      </w:r>
      <w:r w:rsidR="000F71D4">
        <w:t>,</w:t>
      </w:r>
      <w:r w:rsidR="00B51600" w:rsidRPr="00B33AD2">
        <w:t xml:space="preserve"> oraz posiadania przez okres 3 lat wpisu do rejestru organizatorów turystyki i przedsiębiorców ułatwiających nabywanie powiązanych usług turystycznych;</w:t>
      </w:r>
    </w:p>
    <w:p w14:paraId="6CD6609A" w14:textId="029B44C8" w:rsidR="00B51600" w:rsidRPr="00B33AD2" w:rsidRDefault="007E6047" w:rsidP="001E0AED">
      <w:pPr>
        <w:pStyle w:val="ZLITPKTzmpktliter"/>
      </w:pPr>
      <w:r w:rsidRPr="00B33AD2">
        <w:t>4</w:t>
      </w:r>
      <w:r w:rsidR="00B51600" w:rsidRPr="00B33AD2">
        <w:t>)</w:t>
      </w:r>
      <w:r w:rsidR="00B51600" w:rsidRPr="00B33AD2">
        <w:tab/>
        <w:t xml:space="preserve">braku </w:t>
      </w:r>
      <w:r w:rsidR="00924F48" w:rsidRPr="00B33AD2">
        <w:t xml:space="preserve">trwającego </w:t>
      </w:r>
      <w:r w:rsidR="00B51600" w:rsidRPr="00B33AD2">
        <w:t xml:space="preserve">postępowania w sprawie wykreślenia z rejestru organizatorów turystyki i przedsiębiorców ułatwiających nabywanie </w:t>
      </w:r>
      <w:r w:rsidR="003F60FF" w:rsidRPr="00B33AD2">
        <w:t>powiązanych usług turystycznych;</w:t>
      </w:r>
    </w:p>
    <w:p w14:paraId="7744E66F" w14:textId="282FC63D" w:rsidR="00B51600" w:rsidRPr="00B33AD2" w:rsidRDefault="007E6047" w:rsidP="001E0AED">
      <w:pPr>
        <w:pStyle w:val="ZLITPKTzmpktliter"/>
      </w:pPr>
      <w:r w:rsidRPr="00B33AD2">
        <w:t>5)</w:t>
      </w:r>
      <w:r w:rsidR="00B51600" w:rsidRPr="00B33AD2">
        <w:tab/>
        <w:t xml:space="preserve">przedstawienia zaświadczenia o niezaleganiu z należnościami względem Zakładu Ubezpieczeń Społecznych oraz </w:t>
      </w:r>
      <w:r w:rsidR="005E738A" w:rsidRPr="00B33AD2">
        <w:t xml:space="preserve">zaświadczenia </w:t>
      </w:r>
      <w:r w:rsidR="00924F48" w:rsidRPr="00B33AD2">
        <w:t xml:space="preserve">o niezaleganiu w </w:t>
      </w:r>
      <w:r w:rsidR="00924F48" w:rsidRPr="00B33AD2">
        <w:lastRenderedPageBreak/>
        <w:t>podatkach</w:t>
      </w:r>
      <w:r w:rsidR="00B51600" w:rsidRPr="00B33AD2">
        <w:t>, wystawionych nie wcześniej niż 3 miesiące przed dniem złożenia wniosku o udzielenie poręczenia;</w:t>
      </w:r>
    </w:p>
    <w:p w14:paraId="29491F25" w14:textId="411C22CC" w:rsidR="00B51600" w:rsidRPr="00B33AD2" w:rsidRDefault="007E6047" w:rsidP="001E0AED">
      <w:pPr>
        <w:pStyle w:val="ZLITPKTzmpktliter"/>
      </w:pPr>
      <w:r w:rsidRPr="00B33AD2">
        <w:t>6</w:t>
      </w:r>
      <w:r w:rsidR="00B51600" w:rsidRPr="00B33AD2">
        <w:t>)</w:t>
      </w:r>
      <w:r w:rsidR="00B51600" w:rsidRPr="00B33AD2">
        <w:tab/>
      </w:r>
      <w:r w:rsidR="005E4164" w:rsidRPr="00B33AD2">
        <w:t>przedstawienia informacji o pozytywnym wyniku oceny sytuacji finansowej organizatora turystyki lub przedsiębiorcy ułatwiającego nabywanie powiązanych usług turystycznych przeprowadzonej przez podmiot udzielający zabezpieczenia finansowego</w:t>
      </w:r>
      <w:r w:rsidR="000F71D4">
        <w:t>,</w:t>
      </w:r>
      <w:r w:rsidR="005E4164" w:rsidRPr="00B33AD2">
        <w:t xml:space="preserve"> w związku z którym ma zostać udzielone poręczenie nie wcześniej niż 3 miesiące przed dniem złożeniem wniosku o udzielenie poręczenia.</w:t>
      </w:r>
    </w:p>
    <w:p w14:paraId="753C9ACA" w14:textId="2898F686" w:rsidR="00B51600" w:rsidRPr="00B33AD2" w:rsidRDefault="00B51600" w:rsidP="001E0AED">
      <w:pPr>
        <w:pStyle w:val="ZLITUSTzmustliter"/>
      </w:pPr>
      <w:r w:rsidRPr="00B33AD2">
        <w:t>19</w:t>
      </w:r>
      <w:r w:rsidR="00F36FA6" w:rsidRPr="00B33AD2">
        <w:t>e</w:t>
      </w:r>
      <w:r w:rsidRPr="00B33AD2">
        <w:t>. Za udzielenie poręczenia, o którym mowa w ust. 19a, organizator turystyki lub przedsiębiorca ułatwiający nabywanie powiązanych usług turystycznych uiszcza zapłatę na rzecz Funduszu Pomocowego.</w:t>
      </w:r>
    </w:p>
    <w:p w14:paraId="310B3B1C" w14:textId="4DAAC00C" w:rsidR="00B51600" w:rsidRPr="00B33AD2" w:rsidRDefault="00B51600" w:rsidP="001E0AED">
      <w:pPr>
        <w:pStyle w:val="ZLITUSTzmustliter"/>
      </w:pPr>
      <w:r w:rsidRPr="00B33AD2">
        <w:t>19</w:t>
      </w:r>
      <w:r w:rsidR="00F36FA6" w:rsidRPr="00B33AD2">
        <w:t>f</w:t>
      </w:r>
      <w:r w:rsidR="00435C09" w:rsidRPr="00B33AD2">
        <w:t>.</w:t>
      </w:r>
      <w:r w:rsidRPr="00B33AD2">
        <w:t> Minister właściwy do spraw turystyki w porozumieniu z ministrem właściwym do spraw instytucji finansowych, po zasięgnięciu opinii Ubezpieczeniowego Funduszu Gwarancyjnego, określi, w drodze rozporządzenia:</w:t>
      </w:r>
    </w:p>
    <w:p w14:paraId="33C716CF" w14:textId="6E68CC63" w:rsidR="002F4474" w:rsidRPr="00B33AD2" w:rsidRDefault="002F4474" w:rsidP="001E0AED">
      <w:pPr>
        <w:pStyle w:val="ZLITPKTzmpktliter"/>
      </w:pPr>
      <w:r w:rsidRPr="00B33AD2">
        <w:t>1)</w:t>
      </w:r>
      <w:r w:rsidR="002653FA" w:rsidRPr="00B33AD2">
        <w:tab/>
      </w:r>
      <w:r w:rsidRPr="00B33AD2">
        <w:t>maksymalną wartość udzielanego poręczenia, o którym mowa w ust. 19a, mając na względzie:</w:t>
      </w:r>
    </w:p>
    <w:p w14:paraId="77C2DBE9" w14:textId="17E840F6" w:rsidR="002F4474" w:rsidRPr="00B33AD2" w:rsidRDefault="002F4474" w:rsidP="001E0AED">
      <w:pPr>
        <w:pStyle w:val="ZLITLITwPKTzmlitwpktliter"/>
      </w:pPr>
      <w:r w:rsidRPr="00B33AD2">
        <w:t>a)</w:t>
      </w:r>
      <w:r w:rsidR="000F71D4">
        <w:tab/>
      </w:r>
      <w:r w:rsidRPr="00B33AD2">
        <w:t>wysokość wymaganego zabezpieczenia finansowego na wypadek niewypłacalności organizatora turystyki lub przedsiębiorcy ułatwiającego nabywanie powiązanych usług turystycznych,</w:t>
      </w:r>
    </w:p>
    <w:p w14:paraId="097B7C40" w14:textId="1656D6CD" w:rsidR="002F4474" w:rsidRPr="00B33AD2" w:rsidRDefault="002F4474" w:rsidP="001E0AED">
      <w:pPr>
        <w:pStyle w:val="ZLITLITwPKTzmlitwpktliter"/>
      </w:pPr>
      <w:r w:rsidRPr="00B33AD2">
        <w:t>b)</w:t>
      </w:r>
      <w:r w:rsidR="00666E9E" w:rsidRPr="00B33AD2">
        <w:tab/>
      </w:r>
      <w:r w:rsidRPr="00B33AD2">
        <w:t xml:space="preserve">wysokość zabezpieczenia ewentualnych zobowiązań względem podmiotu udzielającego gwarancji ubezpieczeniowej albo </w:t>
      </w:r>
      <w:r w:rsidR="00B30854" w:rsidRPr="00B33AD2">
        <w:t xml:space="preserve">podmiotu udzielającego </w:t>
      </w:r>
      <w:r w:rsidRPr="00B33AD2">
        <w:t xml:space="preserve">gwarancji bankowej, związanych z udzielaną gwarancją, w przypadku gdy podmiot udzielający gwarancji ubezpieczeniowej albo </w:t>
      </w:r>
      <w:r w:rsidR="008B2250" w:rsidRPr="00B33AD2">
        <w:t xml:space="preserve">podmiot udzielający </w:t>
      </w:r>
      <w:r w:rsidRPr="00B33AD2">
        <w:t>gwarancji bankowej takiego zabezpieczenia wymaga, w tym ewentualną różnicę między wartością udzielanej gwarancji a wartością wymaganego zabezpieczenia</w:t>
      </w:r>
      <w:r w:rsidR="00734A24" w:rsidRPr="00B33AD2">
        <w:t>, przy czym udzielone poręczenie nie może przekraczać 80 % kwoty t</w:t>
      </w:r>
      <w:r w:rsidR="0063160A" w:rsidRPr="00B33AD2">
        <w:t>ego zabezpieczenia</w:t>
      </w:r>
      <w:r w:rsidR="00734A24" w:rsidRPr="00B33AD2">
        <w:t>,</w:t>
      </w:r>
      <w:r w:rsidRPr="00B33AD2">
        <w:t xml:space="preserve"> oraz</w:t>
      </w:r>
    </w:p>
    <w:p w14:paraId="615A4770" w14:textId="75415BC0" w:rsidR="002F4474" w:rsidRPr="00B33AD2" w:rsidRDefault="002F4474" w:rsidP="001E0AED">
      <w:pPr>
        <w:pStyle w:val="ZLITLITwPKTzmlitwpktliter"/>
      </w:pPr>
      <w:r w:rsidRPr="00B33AD2">
        <w:t>c)</w:t>
      </w:r>
      <w:r w:rsidR="002653FA" w:rsidRPr="00B33AD2">
        <w:tab/>
      </w:r>
      <w:r w:rsidRPr="00B33AD2">
        <w:t xml:space="preserve">adekwatność </w:t>
      </w:r>
      <w:r w:rsidR="003D6785" w:rsidRPr="00B33AD2">
        <w:t xml:space="preserve">maksymalnej wartości udzielanego poręczenia </w:t>
      </w:r>
      <w:r w:rsidRPr="00B33AD2">
        <w:t>do profilu ryzyka działalności prowadzonej przez organizatora turystyki lub przedsiębiorcy ułatwiającego nabywanie powiązanych usług turystycznych;</w:t>
      </w:r>
    </w:p>
    <w:p w14:paraId="5F73899F" w14:textId="74D3FDEC" w:rsidR="002F4474" w:rsidRPr="00B33AD2" w:rsidRDefault="002F4474" w:rsidP="001E0AED">
      <w:pPr>
        <w:pStyle w:val="ZLITPKTzmpktliter"/>
      </w:pPr>
      <w:r w:rsidRPr="00B33AD2">
        <w:t>2)</w:t>
      </w:r>
      <w:r w:rsidR="000A5C03" w:rsidRPr="00B33AD2">
        <w:tab/>
      </w:r>
      <w:r w:rsidR="007B04DA" w:rsidRPr="00B33AD2">
        <w:t>maksymalny stosunek łącznej wartości udzielanych poręczeń, o których mowa w ust. 19a, do wysokości środków zgromadzonych w Funduszu Pomocowym</w:t>
      </w:r>
      <w:r w:rsidR="00F66806" w:rsidRPr="00B33AD2">
        <w:t xml:space="preserve">, </w:t>
      </w:r>
      <w:r w:rsidR="00F66806" w:rsidRPr="00B33AD2">
        <w:lastRenderedPageBreak/>
        <w:t>mając na względzie</w:t>
      </w:r>
      <w:r w:rsidR="000A474A" w:rsidRPr="00B33AD2">
        <w:t xml:space="preserve"> konieczność zapewnienia ciągłości realizacji zadań Funduszu Pomocowego</w:t>
      </w:r>
      <w:r w:rsidR="003F60FF" w:rsidRPr="00B33AD2">
        <w:t>;</w:t>
      </w:r>
    </w:p>
    <w:p w14:paraId="6E739537" w14:textId="424AE22C" w:rsidR="002F4474" w:rsidRPr="00B33AD2" w:rsidRDefault="002F4474" w:rsidP="00EF7D5A">
      <w:pPr>
        <w:pStyle w:val="ZLITPKTzmpktliter"/>
      </w:pPr>
      <w:r w:rsidRPr="00B33AD2">
        <w:t>3)</w:t>
      </w:r>
      <w:r w:rsidR="000A5C03" w:rsidRPr="00B33AD2">
        <w:tab/>
      </w:r>
      <w:r w:rsidRPr="00B33AD2">
        <w:t>wysokość zapłaty za udzielenie poręczenia, o którym mowa w ust. 19a</w:t>
      </w:r>
      <w:r w:rsidR="00F66806" w:rsidRPr="00B33AD2">
        <w:t xml:space="preserve">, mając na względzie </w:t>
      </w:r>
      <w:r w:rsidR="003F60FF" w:rsidRPr="00B33AD2">
        <w:t>wysokość udzielanego poręczenia</w:t>
      </w:r>
      <w:r w:rsidR="00EF7D5A" w:rsidRPr="00B33AD2">
        <w:t>, przy czym zapłata nie może być niższa niż 300 zł</w:t>
      </w:r>
      <w:r w:rsidR="00DA247E" w:rsidRPr="00B33AD2">
        <w:t>.</w:t>
      </w:r>
    </w:p>
    <w:p w14:paraId="5F040ED7" w14:textId="0C436BB2" w:rsidR="00B51600" w:rsidRPr="00B33AD2" w:rsidRDefault="00B51600" w:rsidP="001E0AED">
      <w:pPr>
        <w:pStyle w:val="ZLITUSTzmustliter"/>
      </w:pPr>
      <w:r w:rsidRPr="00B33AD2">
        <w:t>19</w:t>
      </w:r>
      <w:r w:rsidR="00F36FA6" w:rsidRPr="00B33AD2">
        <w:t>g</w:t>
      </w:r>
      <w:r w:rsidRPr="00B33AD2">
        <w:t>. Dochodząc swoich wierzytelności w związku z udzieloną gwarancją</w:t>
      </w:r>
      <w:r w:rsidR="000F71D4">
        <w:t>,</w:t>
      </w:r>
      <w:r w:rsidRPr="00B33AD2">
        <w:t xml:space="preserve"> podmiot udzielający gwarancji ubezpieczeniowej </w:t>
      </w:r>
      <w:r w:rsidR="005F46C4" w:rsidRPr="00B33AD2">
        <w:t>albo</w:t>
      </w:r>
      <w:r w:rsidRPr="00B33AD2">
        <w:t xml:space="preserve"> </w:t>
      </w:r>
      <w:r w:rsidR="005F46C4" w:rsidRPr="00B33AD2">
        <w:t>podmiot udzielający gwarancji bankowej</w:t>
      </w:r>
      <w:r w:rsidRPr="00B33AD2">
        <w:t xml:space="preserve"> mają obowiązek zaspokoić się w pierwszej kolejności z zabezpieczeń, o których mowa w ust. 19</w:t>
      </w:r>
      <w:r w:rsidR="00F36FA6" w:rsidRPr="00B33AD2">
        <w:t>a</w:t>
      </w:r>
      <w:r w:rsidRPr="00B33AD2">
        <w:t>, wniesionych przez organizatora turystyki lub przedsiębiorcę ułatwiającego nabywanie powiązanych usług turystycznych.</w:t>
      </w:r>
    </w:p>
    <w:p w14:paraId="39BA34E8" w14:textId="48620EA6" w:rsidR="00B51600" w:rsidRPr="00B33AD2" w:rsidRDefault="00B51600" w:rsidP="001E0AED">
      <w:pPr>
        <w:pStyle w:val="ZLITUSTzmustliter"/>
      </w:pPr>
      <w:r w:rsidRPr="00B33AD2">
        <w:t>19</w:t>
      </w:r>
      <w:r w:rsidR="00F36FA6" w:rsidRPr="00B33AD2">
        <w:t>h</w:t>
      </w:r>
      <w:r w:rsidRPr="00B33AD2">
        <w:t>.</w:t>
      </w:r>
      <w:r w:rsidR="000D46E1" w:rsidRPr="00B33AD2">
        <w:t xml:space="preserve"> </w:t>
      </w:r>
      <w:r w:rsidRPr="00B33AD2">
        <w:t xml:space="preserve">Umowa </w:t>
      </w:r>
      <w:r w:rsidR="00914854" w:rsidRPr="00B33AD2">
        <w:t xml:space="preserve">o udzielenie </w:t>
      </w:r>
      <w:r w:rsidRPr="00B33AD2">
        <w:t xml:space="preserve">poręczenia, o którym mowa w ust. 19a, </w:t>
      </w:r>
      <w:r w:rsidR="00D65522" w:rsidRPr="00B33AD2">
        <w:t xml:space="preserve">jest </w:t>
      </w:r>
      <w:r w:rsidRPr="00B33AD2">
        <w:t xml:space="preserve">zawierana za pośrednictwem </w:t>
      </w:r>
      <w:r w:rsidR="007A7E26" w:rsidRPr="00B33AD2">
        <w:t>systemu teleinformatycznego Ubezpieczeniowego Funduszu Gwarancyjnego, o którym mowa w art. 15ka ust. 2</w:t>
      </w:r>
      <w:r w:rsidR="0058726B" w:rsidRPr="00B33AD2">
        <w:t>,</w:t>
      </w:r>
      <w:r w:rsidR="007A7E26" w:rsidRPr="00B33AD2">
        <w:t xml:space="preserve"> </w:t>
      </w:r>
      <w:r w:rsidRPr="00B33AD2">
        <w:t>między Ubezpieczeniowym Funduszem Gwarancyjnym a organizatorem turystyki lub przedsiębiorcą ułatwiającym nabywanie powiązanych usług turystycznych i zawiera w szczególności:</w:t>
      </w:r>
    </w:p>
    <w:p w14:paraId="378C8A37" w14:textId="6FC01492" w:rsidR="00B51600" w:rsidRPr="00B33AD2" w:rsidRDefault="00B51600" w:rsidP="001E0AED">
      <w:pPr>
        <w:pStyle w:val="ZLITPKTzmpktliter"/>
      </w:pPr>
      <w:r w:rsidRPr="00B33AD2">
        <w:t>1)</w:t>
      </w:r>
      <w:r w:rsidRPr="00B33AD2">
        <w:tab/>
        <w:t>oświadczenie Ubezpieczeniowego Funduszu Gwarancyjnego o udzieleniu poręczenia, o którym mowa w ust. 19a, ze środków Funduszu Pomocowego;</w:t>
      </w:r>
    </w:p>
    <w:p w14:paraId="36E20B51" w14:textId="45171A73" w:rsidR="00534EA2" w:rsidRPr="00B33AD2" w:rsidRDefault="00534EA2" w:rsidP="001E0AED">
      <w:pPr>
        <w:pStyle w:val="ZLITPKTzmpktliter"/>
      </w:pPr>
      <w:r w:rsidRPr="00B33AD2">
        <w:t>2)</w:t>
      </w:r>
      <w:r w:rsidR="00634530" w:rsidRPr="00B33AD2">
        <w:tab/>
      </w:r>
      <w:r w:rsidR="000F4E1A" w:rsidRPr="00B33AD2">
        <w:t>wskazanie podmiotu, na rzecz którego ma zostać udzielone poręczenie</w:t>
      </w:r>
      <w:r w:rsidR="00CB1D9B" w:rsidRPr="00B33AD2">
        <w:t>;</w:t>
      </w:r>
    </w:p>
    <w:p w14:paraId="259F22F8" w14:textId="2EF5C90E" w:rsidR="00B51600" w:rsidRPr="00B33AD2" w:rsidRDefault="000F4E1A" w:rsidP="001E0AED">
      <w:pPr>
        <w:pStyle w:val="ZLITPKTzmpktliter"/>
      </w:pPr>
      <w:r w:rsidRPr="00B33AD2">
        <w:t>3</w:t>
      </w:r>
      <w:r w:rsidR="00B51600" w:rsidRPr="00B33AD2">
        <w:t>)</w:t>
      </w:r>
      <w:r w:rsidR="00B51600" w:rsidRPr="00B33AD2">
        <w:tab/>
        <w:t>określenie wysokości udzielonego poręczenia;</w:t>
      </w:r>
    </w:p>
    <w:p w14:paraId="650D4667" w14:textId="18DDD441" w:rsidR="00B51600" w:rsidRPr="00B33AD2" w:rsidRDefault="000F4E1A" w:rsidP="001E0AED">
      <w:pPr>
        <w:pStyle w:val="ZLITPKTzmpktliter"/>
      </w:pPr>
      <w:r w:rsidRPr="00B33AD2">
        <w:t>4</w:t>
      </w:r>
      <w:r w:rsidR="00B51600" w:rsidRPr="00B33AD2">
        <w:t>)</w:t>
      </w:r>
      <w:r w:rsidR="00B51600" w:rsidRPr="00B33AD2">
        <w:tab/>
        <w:t>określenie wysokości zapłaty za udzielone poręcz</w:t>
      </w:r>
      <w:r w:rsidR="00B95BFD" w:rsidRPr="00B33AD2">
        <w:t>e</w:t>
      </w:r>
      <w:r w:rsidR="00B51600" w:rsidRPr="00B33AD2">
        <w:t>nie;</w:t>
      </w:r>
    </w:p>
    <w:p w14:paraId="4952D41B" w14:textId="6FE4D38E" w:rsidR="00B51600" w:rsidRPr="00B33AD2" w:rsidRDefault="000F4E1A" w:rsidP="001E0AED">
      <w:pPr>
        <w:pStyle w:val="ZLITPKTzmpktliter"/>
      </w:pPr>
      <w:r w:rsidRPr="00B33AD2">
        <w:t>5</w:t>
      </w:r>
      <w:r w:rsidR="00B51600" w:rsidRPr="00B33AD2">
        <w:t>)</w:t>
      </w:r>
      <w:r w:rsidR="00B51600" w:rsidRPr="00B33AD2">
        <w:tab/>
        <w:t>zobowiązanie organizatora turystyki lub przedsiębiorcy ułatwiającego nabywanie powiązanych usług turystycznych do informowania Ubezpieczeniowego Funduszu Gwarancyjnego o wszelkich okolicznościach mających znaczenie dla realizacji umowy poręczenia;</w:t>
      </w:r>
    </w:p>
    <w:p w14:paraId="099FDEDD" w14:textId="7F1DB478" w:rsidR="00B51600" w:rsidRPr="00B33AD2" w:rsidRDefault="007A7E26" w:rsidP="001E0AED">
      <w:pPr>
        <w:pStyle w:val="ZLITPKTzmpktliter"/>
      </w:pPr>
      <w:r w:rsidRPr="00B33AD2">
        <w:t>6</w:t>
      </w:r>
      <w:r w:rsidR="00B51600" w:rsidRPr="00B33AD2">
        <w:t>)</w:t>
      </w:r>
      <w:r w:rsidR="00B51600" w:rsidRPr="00B33AD2">
        <w:tab/>
        <w:t>określenie zasad odpowiedzialności stron.</w:t>
      </w:r>
    </w:p>
    <w:p w14:paraId="28A957E9" w14:textId="1717ACFB" w:rsidR="00C30475" w:rsidRPr="00B33AD2" w:rsidRDefault="00634530" w:rsidP="00C30475">
      <w:pPr>
        <w:pStyle w:val="ZLITUSTzmustliter"/>
      </w:pPr>
      <w:r w:rsidRPr="00B33AD2">
        <w:t>19i</w:t>
      </w:r>
      <w:r w:rsidR="00C30475" w:rsidRPr="00B33AD2">
        <w:t xml:space="preserve">. Oświadczenie, o którym mowa w ust. </w:t>
      </w:r>
      <w:r w:rsidRPr="00B33AD2">
        <w:t>19h</w:t>
      </w:r>
      <w:r w:rsidR="00C30475" w:rsidRPr="00B33AD2">
        <w:t xml:space="preserve"> pkt 1</w:t>
      </w:r>
      <w:r w:rsidR="00B95BFD" w:rsidRPr="00B33AD2">
        <w:t>,</w:t>
      </w:r>
      <w:r w:rsidR="00C30475" w:rsidRPr="00B33AD2">
        <w:t xml:space="preserve"> </w:t>
      </w:r>
      <w:r w:rsidR="00B95BFD" w:rsidRPr="00B33AD2">
        <w:t xml:space="preserve">jest </w:t>
      </w:r>
      <w:r w:rsidRPr="00B33AD2">
        <w:t>składane</w:t>
      </w:r>
      <w:r w:rsidR="00C30475" w:rsidRPr="00B33AD2">
        <w:t xml:space="preserve"> w </w:t>
      </w:r>
      <w:r w:rsidR="00154DAD" w:rsidRPr="00B33AD2">
        <w:t>postaci</w:t>
      </w:r>
      <w:r w:rsidR="00C30475" w:rsidRPr="00B33AD2">
        <w:t xml:space="preserve"> elektronicznej</w:t>
      </w:r>
      <w:r w:rsidR="00154DAD" w:rsidRPr="00B33AD2">
        <w:t xml:space="preserve"> i opatrywane kwalifikowanym podpisem elektronicznym</w:t>
      </w:r>
      <w:r w:rsidR="00C30475" w:rsidRPr="00B33AD2">
        <w:t xml:space="preserve">. </w:t>
      </w:r>
    </w:p>
    <w:p w14:paraId="55356999" w14:textId="762CB895" w:rsidR="00B51600" w:rsidRPr="00B33AD2" w:rsidRDefault="00B51600" w:rsidP="001E0AED">
      <w:pPr>
        <w:pStyle w:val="ZLITUSTzmustliter"/>
      </w:pPr>
      <w:r w:rsidRPr="00B33AD2">
        <w:t>19</w:t>
      </w:r>
      <w:r w:rsidR="00634530" w:rsidRPr="00B33AD2">
        <w:t>j</w:t>
      </w:r>
      <w:r w:rsidRPr="00B33AD2">
        <w:t>. Ubezpieczeniowemu Funduszowi Gwarancyjnemu, z dniem wykonania zobowiązania za organizatora turystyki lub przedsiębiorcę ułatwiającego nabywanie powiązanych usług turystycznych z tytułu poręczenia, o którym mowa w ust. 19a, przysługuje roszczenie o zwrot wypłaconego świadczenia.”,</w:t>
      </w:r>
    </w:p>
    <w:p w14:paraId="7D20FDF3" w14:textId="4D4B52ED" w:rsidR="00B51600" w:rsidRPr="00B33AD2" w:rsidRDefault="00B51600" w:rsidP="001E0AED">
      <w:pPr>
        <w:pStyle w:val="LITlitera"/>
      </w:pPr>
      <w:r w:rsidRPr="00B33AD2">
        <w:t>e)</w:t>
      </w:r>
      <w:r w:rsidRPr="00B33AD2">
        <w:tab/>
        <w:t>ust. 21 otrzymuje brzmienie:</w:t>
      </w:r>
    </w:p>
    <w:p w14:paraId="75BB5EA4" w14:textId="12B713A0" w:rsidR="00B51600" w:rsidRPr="00B33AD2" w:rsidRDefault="00B51600" w:rsidP="001E0AED">
      <w:pPr>
        <w:pStyle w:val="ZLITUSTzmustliter"/>
      </w:pPr>
      <w:r w:rsidRPr="00B33AD2">
        <w:lastRenderedPageBreak/>
        <w:t>„21. Ze środków Funduszu Pomocowego pokrywa się koszty związane z realizacją wypłat, o których mowa w ust. 14 i 14b oraz art. 15ka ust. 1, udzielaniem poręczeń, o których mowa w ust. 19a</w:t>
      </w:r>
      <w:r w:rsidR="000F71D4">
        <w:t>,</w:t>
      </w:r>
      <w:r w:rsidRPr="00B33AD2">
        <w:t xml:space="preserve"> i wypłat dokonywanych z ich tytułu oraz koszty jego obsługi przez Ubezpieczeniowy Fundusz Gwarancyjny i spłatę zwrotnego finansowania, o którym mowa w ust. 13. Roszczenia i zobowiązania Funduszu Pomocowego nie mogą być pokrywane ze środków Ubezpieczeniowego Funduszu Gwarancyjnego innych niż zgromadzone na rachunku, o którym mowa w ust. 3.”,</w:t>
      </w:r>
    </w:p>
    <w:p w14:paraId="302AB416" w14:textId="4410C9CD" w:rsidR="00B51600" w:rsidRPr="00B33AD2" w:rsidRDefault="00B51600" w:rsidP="001E0AED">
      <w:pPr>
        <w:pStyle w:val="LITlitera"/>
        <w:rPr>
          <w:rStyle w:val="Ppogrubienie"/>
        </w:rPr>
      </w:pPr>
      <w:r w:rsidRPr="00B33AD2">
        <w:t>f)</w:t>
      </w:r>
      <w:r w:rsidR="0058726B" w:rsidRPr="00B33AD2">
        <w:tab/>
      </w:r>
      <w:r w:rsidRPr="00B33AD2">
        <w:t>dodaje się ust. 24</w:t>
      </w:r>
      <w:r w:rsidR="00A4106A" w:rsidRPr="00B33AD2">
        <w:t xml:space="preserve"> i </w:t>
      </w:r>
      <w:r w:rsidR="0041779E" w:rsidRPr="00B33AD2">
        <w:t>25</w:t>
      </w:r>
      <w:r w:rsidRPr="00B33AD2">
        <w:t xml:space="preserve"> w brzmieniu:</w:t>
      </w:r>
    </w:p>
    <w:p w14:paraId="033C74B8" w14:textId="41566394" w:rsidR="0041779E" w:rsidRPr="00B33AD2" w:rsidRDefault="00B51600" w:rsidP="001E0AED">
      <w:pPr>
        <w:pStyle w:val="ZLITUSTzmustliter"/>
      </w:pPr>
      <w:r w:rsidRPr="00B33AD2">
        <w:t xml:space="preserve">„24. </w:t>
      </w:r>
      <w:r w:rsidR="0041779E" w:rsidRPr="00B33AD2">
        <w:t>W zakresie wypłat, o których mowa w ust. 14b, przepisy art. 15ka ust. 22–26 stosuje się odpowiednio.</w:t>
      </w:r>
    </w:p>
    <w:p w14:paraId="63EC9ABA" w14:textId="06F7189D" w:rsidR="00A70830" w:rsidRPr="00B33AD2" w:rsidRDefault="0041779E" w:rsidP="001E0AED">
      <w:pPr>
        <w:pStyle w:val="ZLITUSTzmustliter"/>
      </w:pPr>
      <w:r w:rsidRPr="00B33AD2">
        <w:t xml:space="preserve">25. </w:t>
      </w:r>
      <w:r w:rsidR="00B51600" w:rsidRPr="00B33AD2">
        <w:t xml:space="preserve">W zakresie nieuregulowanym, do poręczenia, o którym mowa w ust. 19a, stosuje się przepisy ustawy z dnia 23 kwietnia 1964 r. </w:t>
      </w:r>
      <w:r w:rsidR="009D6BAC" w:rsidRPr="00B33AD2">
        <w:t xml:space="preserve">– </w:t>
      </w:r>
      <w:r w:rsidR="00B51600" w:rsidRPr="00B33AD2">
        <w:t>Kodeks cywilny dotyczące umowy poręczenia.”.</w:t>
      </w:r>
    </w:p>
    <w:p w14:paraId="0049549F" w14:textId="43EFF4AF" w:rsidR="009519A4" w:rsidRPr="00B33AD2" w:rsidRDefault="009519A4" w:rsidP="001949F7">
      <w:pPr>
        <w:pStyle w:val="ARTartustawynprozporzdzenia"/>
      </w:pPr>
      <w:r w:rsidRPr="00B33AD2">
        <w:rPr>
          <w:rStyle w:val="Ppogrubienie"/>
        </w:rPr>
        <w:t xml:space="preserve">Art. </w:t>
      </w:r>
      <w:r w:rsidR="00573745" w:rsidRPr="00B33AD2">
        <w:rPr>
          <w:rStyle w:val="Ppogrubienie"/>
        </w:rPr>
        <w:t>3</w:t>
      </w:r>
      <w:r w:rsidRPr="00B33AD2">
        <w:rPr>
          <w:rStyle w:val="Ppogrubienie"/>
        </w:rPr>
        <w:t>.</w:t>
      </w:r>
      <w:r w:rsidRPr="00B33AD2">
        <w:t xml:space="preserve"> W ustawie z dnia 15 lipca 2020 r. o Polskim Bonie Turystycznym (Dz. U. z 2023 r. poz. 35) wprowadza się następujące zmiany:</w:t>
      </w:r>
    </w:p>
    <w:p w14:paraId="184015A8" w14:textId="77777777" w:rsidR="009519A4" w:rsidRPr="00B33AD2" w:rsidRDefault="009519A4" w:rsidP="00F77FB1">
      <w:pPr>
        <w:pStyle w:val="PKTpunkt"/>
      </w:pPr>
      <w:r w:rsidRPr="00B33AD2">
        <w:t>1)</w:t>
      </w:r>
      <w:r w:rsidRPr="00B33AD2">
        <w:tab/>
        <w:t>w art. 7 ust. 7 otrzymuje brzmienie:</w:t>
      </w:r>
    </w:p>
    <w:p w14:paraId="6D8B82DB" w14:textId="5B2406E8" w:rsidR="009519A4" w:rsidRPr="00B33AD2" w:rsidRDefault="009519A4" w:rsidP="00F77FB1">
      <w:pPr>
        <w:pStyle w:val="ZUSTzmustartykuempunktem"/>
      </w:pPr>
      <w:r w:rsidRPr="00B33AD2">
        <w:t xml:space="preserve">„7. Kwoty otrzymane w sposób, o którym mowa w ust. 3 i 4, </w:t>
      </w:r>
      <w:r w:rsidR="00B95BFD" w:rsidRPr="00B33AD2">
        <w:t xml:space="preserve">są </w:t>
      </w:r>
      <w:r w:rsidRPr="00B33AD2">
        <w:t>przekazywane na rachunek bankowy ministra właściwego do spraw turystyki i stanowią dochód budżetu państwa.”;</w:t>
      </w:r>
    </w:p>
    <w:p w14:paraId="1C27F5F1" w14:textId="77777777" w:rsidR="009519A4" w:rsidRPr="00B33AD2" w:rsidRDefault="009519A4" w:rsidP="00F77FB1">
      <w:pPr>
        <w:pStyle w:val="PKTpunkt"/>
      </w:pPr>
      <w:r w:rsidRPr="00B33AD2">
        <w:t>2)</w:t>
      </w:r>
      <w:r w:rsidRPr="00B33AD2">
        <w:tab/>
        <w:t>w art. 15:</w:t>
      </w:r>
    </w:p>
    <w:p w14:paraId="4412D746" w14:textId="77777777" w:rsidR="009519A4" w:rsidRPr="00B33AD2" w:rsidRDefault="009519A4" w:rsidP="00F77FB1">
      <w:pPr>
        <w:pStyle w:val="LITlitera"/>
      </w:pPr>
      <w:r w:rsidRPr="00B33AD2">
        <w:t>a)</w:t>
      </w:r>
      <w:r w:rsidRPr="00B33AD2">
        <w:tab/>
        <w:t>ust. 1 otrzymuje brzmienie:</w:t>
      </w:r>
    </w:p>
    <w:p w14:paraId="21D95F2A" w14:textId="0E008FFE" w:rsidR="009519A4" w:rsidRPr="00B33AD2" w:rsidRDefault="009519A4" w:rsidP="00F77FB1">
      <w:pPr>
        <w:pStyle w:val="ZLITUSTzmustliter"/>
      </w:pPr>
      <w:r w:rsidRPr="00B33AD2">
        <w:t>„1. W przypadku ujawnienia w wyniku przeprowadzonych czynności sprawdzających, że kwota płatności dokonanej za pomocą bonu stanowi kwotę nienależnie pobraną</w:t>
      </w:r>
      <w:r w:rsidR="00F276A9">
        <w:t>,</w:t>
      </w:r>
      <w:r w:rsidRPr="00B33AD2">
        <w:t xml:space="preserve"> kwota otrzymana w wyniku dokonania tej płatności podlega zwrotowi na rachunek bankowy POT łącznie z odsetkami ustawowymi za opóźnienie, liczonymi od dnia otrzymania kwoty przez przedsiębiorcę turystycznego lub organizację pożytku publicznego.”,</w:t>
      </w:r>
    </w:p>
    <w:p w14:paraId="2B2493B8" w14:textId="531A8C4C" w:rsidR="009519A4" w:rsidRPr="00B33AD2" w:rsidRDefault="009519A4" w:rsidP="00F77FB1">
      <w:pPr>
        <w:pStyle w:val="LITlitera"/>
      </w:pPr>
      <w:r w:rsidRPr="00B33AD2">
        <w:t>b)</w:t>
      </w:r>
      <w:r w:rsidRPr="00B33AD2">
        <w:tab/>
        <w:t>ust. 4 otrzymuje brzmienie:</w:t>
      </w:r>
    </w:p>
    <w:p w14:paraId="3543BBEE" w14:textId="77777777" w:rsidR="009519A4" w:rsidRPr="00B33AD2" w:rsidRDefault="009519A4" w:rsidP="00F77FB1">
      <w:pPr>
        <w:pStyle w:val="ZLITUSTzmustliter"/>
      </w:pPr>
      <w:r w:rsidRPr="00B33AD2">
        <w:t>„4. Kwota nienależnie pobranej płatności oraz odsetki podlegają zwrotowi na rachunek bankowy POT.”,</w:t>
      </w:r>
    </w:p>
    <w:p w14:paraId="028D7B3F" w14:textId="77777777" w:rsidR="009519A4" w:rsidRPr="00B33AD2" w:rsidRDefault="009519A4" w:rsidP="00F77FB1">
      <w:pPr>
        <w:pStyle w:val="LITlitera"/>
      </w:pPr>
      <w:r w:rsidRPr="00B33AD2">
        <w:t>c)</w:t>
      </w:r>
      <w:r w:rsidRPr="00B33AD2">
        <w:tab/>
        <w:t>dodaje się ust. 6 w brzmieniu:</w:t>
      </w:r>
    </w:p>
    <w:p w14:paraId="08BDD4F1" w14:textId="0CA2363C" w:rsidR="009519A4" w:rsidRPr="00B33AD2" w:rsidRDefault="009519A4" w:rsidP="00F77FB1">
      <w:pPr>
        <w:pStyle w:val="ZLITUSTzmustliter"/>
      </w:pPr>
      <w:r w:rsidRPr="00B33AD2">
        <w:lastRenderedPageBreak/>
        <w:t xml:space="preserve">„ 6. Kwoty otrzymane w sposób, o którym mowa w ust. 1 i 4, </w:t>
      </w:r>
      <w:r w:rsidR="00B95BFD" w:rsidRPr="00B33AD2">
        <w:t xml:space="preserve">są </w:t>
      </w:r>
      <w:r w:rsidRPr="00B33AD2">
        <w:t>przekazywane na rachunek bankowy ministra właściwego do spraw turystyki i stanowią dochód budżetu państwa.”;</w:t>
      </w:r>
    </w:p>
    <w:p w14:paraId="759EC5BE" w14:textId="77777777" w:rsidR="009519A4" w:rsidRPr="00B33AD2" w:rsidRDefault="009519A4" w:rsidP="00F77FB1">
      <w:pPr>
        <w:pStyle w:val="PKTpunkt"/>
      </w:pPr>
      <w:r w:rsidRPr="00B33AD2">
        <w:t>3)</w:t>
      </w:r>
      <w:r w:rsidRPr="00B33AD2">
        <w:tab/>
        <w:t xml:space="preserve">w art. 21: </w:t>
      </w:r>
    </w:p>
    <w:p w14:paraId="6714F097" w14:textId="77777777" w:rsidR="009519A4" w:rsidRPr="00B33AD2" w:rsidRDefault="009519A4" w:rsidP="00F77FB1">
      <w:pPr>
        <w:pStyle w:val="LITlitera"/>
      </w:pPr>
      <w:r w:rsidRPr="00B33AD2">
        <w:t>a)</w:t>
      </w:r>
      <w:r w:rsidRPr="00B33AD2">
        <w:tab/>
        <w:t>ust. 4 otrzymuje brzmienie:</w:t>
      </w:r>
    </w:p>
    <w:p w14:paraId="295EB509" w14:textId="77777777" w:rsidR="009519A4" w:rsidRPr="00B33AD2" w:rsidRDefault="009519A4" w:rsidP="00F77FB1">
      <w:pPr>
        <w:pStyle w:val="ZLITUSTzmustliter"/>
      </w:pPr>
      <w:r w:rsidRPr="00B33AD2">
        <w:t>„4. Kwota nienależnie pobranego dodatkowego świadczenia w formie bonu łącznie z odsetkami ustawowymi za opóźnienie podlega zwrotowi na rachunek bankowy POT.”,</w:t>
      </w:r>
    </w:p>
    <w:p w14:paraId="3153EE7D" w14:textId="77777777" w:rsidR="009519A4" w:rsidRPr="00B33AD2" w:rsidRDefault="009519A4" w:rsidP="00F77FB1">
      <w:pPr>
        <w:pStyle w:val="LITlitera"/>
      </w:pPr>
      <w:r w:rsidRPr="00B33AD2">
        <w:t>b)</w:t>
      </w:r>
      <w:r w:rsidRPr="00B33AD2">
        <w:tab/>
        <w:t>dodaje się ust. 5 w brzmieniu:</w:t>
      </w:r>
    </w:p>
    <w:p w14:paraId="7BF1118A" w14:textId="32217369" w:rsidR="009519A4" w:rsidRPr="00B33AD2" w:rsidRDefault="009519A4" w:rsidP="00F77FB1">
      <w:pPr>
        <w:pStyle w:val="ZLITUSTzmustliter"/>
      </w:pPr>
      <w:r w:rsidRPr="00B33AD2">
        <w:t xml:space="preserve">„5. Kwoty otrzymane w sposób, o którym mowa w ust. 4, </w:t>
      </w:r>
      <w:r w:rsidR="00B95BFD" w:rsidRPr="00B33AD2">
        <w:t xml:space="preserve">są </w:t>
      </w:r>
      <w:r w:rsidRPr="00B33AD2">
        <w:t>przekazywane na rachunek bankowy ministra właściwego do spraw turystyki i stanowią dochód budżetu państwa.”;</w:t>
      </w:r>
    </w:p>
    <w:p w14:paraId="6A3ADD0E" w14:textId="77777777" w:rsidR="009519A4" w:rsidRPr="00B33AD2" w:rsidRDefault="009519A4" w:rsidP="00F77FB1">
      <w:pPr>
        <w:pStyle w:val="PKTpunkt"/>
      </w:pPr>
      <w:r w:rsidRPr="00B33AD2">
        <w:t>4)</w:t>
      </w:r>
      <w:r w:rsidRPr="00B33AD2">
        <w:tab/>
        <w:t>w art. 32 ust. 6 otrzymuje brzmienie:</w:t>
      </w:r>
    </w:p>
    <w:p w14:paraId="6F3F6116" w14:textId="77777777" w:rsidR="009519A4" w:rsidRPr="00B33AD2" w:rsidRDefault="009519A4" w:rsidP="00F77FB1">
      <w:pPr>
        <w:pStyle w:val="ZUSTzmustartykuempunktem"/>
      </w:pPr>
      <w:r w:rsidRPr="00B33AD2">
        <w:t>„6. Odsetki od środków zgromadzonych na rachunku, o którym mowa w ust. 4, stanowią dochód budżetu państwa i są przekazywane na rachunek bankowy wskazany przez ministra właściwego do spraw turystyki, w terminie 5 dni roboczych od dnia ich naliczenia.”;</w:t>
      </w:r>
    </w:p>
    <w:p w14:paraId="6D7C849F" w14:textId="77777777" w:rsidR="009519A4" w:rsidRPr="00B33AD2" w:rsidRDefault="009519A4" w:rsidP="00F77FB1">
      <w:pPr>
        <w:pStyle w:val="PKTpunkt"/>
      </w:pPr>
      <w:r w:rsidRPr="00B33AD2">
        <w:t>5)</w:t>
      </w:r>
      <w:r w:rsidRPr="00B33AD2">
        <w:tab/>
        <w:t>w art. 35:</w:t>
      </w:r>
    </w:p>
    <w:p w14:paraId="5CF8BCE0" w14:textId="77777777" w:rsidR="009519A4" w:rsidRPr="00B33AD2" w:rsidRDefault="009519A4" w:rsidP="00F77FB1">
      <w:pPr>
        <w:pStyle w:val="LITlitera"/>
      </w:pPr>
      <w:r w:rsidRPr="00B33AD2">
        <w:t>a)</w:t>
      </w:r>
      <w:r w:rsidRPr="00B33AD2">
        <w:tab/>
        <w:t>uchyla się ust. 1,</w:t>
      </w:r>
    </w:p>
    <w:p w14:paraId="4D72B39E" w14:textId="77777777" w:rsidR="009519A4" w:rsidRPr="00B33AD2" w:rsidRDefault="009519A4" w:rsidP="00F77FB1">
      <w:pPr>
        <w:pStyle w:val="LITlitera"/>
      </w:pPr>
      <w:r w:rsidRPr="00B33AD2">
        <w:t>b)</w:t>
      </w:r>
      <w:r w:rsidRPr="00B33AD2">
        <w:tab/>
        <w:t>ust. 2 otrzymuje brzmienie:</w:t>
      </w:r>
    </w:p>
    <w:p w14:paraId="4C0AECCC" w14:textId="459A480D" w:rsidR="00E43C21" w:rsidRPr="00B33AD2" w:rsidRDefault="009519A4" w:rsidP="00E43C21">
      <w:pPr>
        <w:pStyle w:val="ZLITUSTzmustliter"/>
      </w:pPr>
      <w:r w:rsidRPr="00B33AD2">
        <w:t>„2. Źródłem finansowania zadań POT wynikających z ustawy jest dotacja celowa z budżetu państwa przekazywana p</w:t>
      </w:r>
      <w:r w:rsidR="00E60FD7" w:rsidRPr="00B33AD2">
        <w:t>r</w:t>
      </w:r>
      <w:r w:rsidRPr="00B33AD2">
        <w:t>zez ministra właściwego do spraw turystyki.”.</w:t>
      </w:r>
    </w:p>
    <w:p w14:paraId="7A2E8575" w14:textId="3C851CBF" w:rsidR="00E43C21" w:rsidRPr="00B33AD2" w:rsidRDefault="00E43C21" w:rsidP="00262CFE">
      <w:pPr>
        <w:pStyle w:val="ARTartustawynprozporzdzenia"/>
      </w:pPr>
      <w:r w:rsidRPr="00B33AD2">
        <w:rPr>
          <w:rStyle w:val="Ppogrubienie"/>
        </w:rPr>
        <w:t>Art. 4.</w:t>
      </w:r>
      <w:r w:rsidRPr="00B33AD2">
        <w:t xml:space="preserve"> 1. W latach 2026</w:t>
      </w:r>
      <w:r w:rsidR="00B33AD2" w:rsidRPr="00B33AD2">
        <w:t>–</w:t>
      </w:r>
      <w:r w:rsidRPr="00B33AD2">
        <w:t>2035 maksymalny limit wydatków budżetu państwa, będących skutkiem finansowym wejścia w życie ustawy w zakresie określonym w art. 3, wynosi w roku:</w:t>
      </w:r>
    </w:p>
    <w:p w14:paraId="65C2C267" w14:textId="59AC9CC2" w:rsidR="00E43C21" w:rsidRPr="00B33AD2" w:rsidRDefault="00E43C21" w:rsidP="00262CFE">
      <w:pPr>
        <w:pStyle w:val="PKTpunkt"/>
      </w:pPr>
      <w:r w:rsidRPr="00B33AD2">
        <w:t>1)</w:t>
      </w:r>
      <w:r w:rsidR="00E927B2" w:rsidRPr="00B33AD2">
        <w:tab/>
      </w:r>
      <w:r w:rsidRPr="00B33AD2">
        <w:t xml:space="preserve">2026 </w:t>
      </w:r>
      <w:r w:rsidR="00B33AD2" w:rsidRPr="00B33AD2">
        <w:t>–</w:t>
      </w:r>
      <w:r w:rsidRPr="00B33AD2">
        <w:t xml:space="preserve"> 1 420 tys. zł;</w:t>
      </w:r>
    </w:p>
    <w:p w14:paraId="7BA8CEA5" w14:textId="4E06A25B" w:rsidR="00E43C21" w:rsidRPr="00B33AD2" w:rsidRDefault="00E43C21" w:rsidP="00262CFE">
      <w:pPr>
        <w:pStyle w:val="PKTpunkt"/>
      </w:pPr>
      <w:r w:rsidRPr="00B33AD2">
        <w:t>2)</w:t>
      </w:r>
      <w:r w:rsidR="00E927B2" w:rsidRPr="00B33AD2">
        <w:tab/>
      </w:r>
      <w:r w:rsidRPr="00B33AD2">
        <w:t xml:space="preserve">2027 </w:t>
      </w:r>
      <w:r w:rsidR="00B33AD2" w:rsidRPr="00B33AD2">
        <w:t>–</w:t>
      </w:r>
      <w:r w:rsidRPr="00B33AD2">
        <w:t xml:space="preserve"> 1 145 tys. zł;</w:t>
      </w:r>
    </w:p>
    <w:p w14:paraId="160C78FE" w14:textId="6F8F5BC4" w:rsidR="00E43C21" w:rsidRPr="00B33AD2" w:rsidRDefault="00E43C21" w:rsidP="00262CFE">
      <w:pPr>
        <w:pStyle w:val="PKTpunkt"/>
      </w:pPr>
      <w:r w:rsidRPr="00B33AD2">
        <w:t>3)</w:t>
      </w:r>
      <w:r w:rsidR="00E927B2" w:rsidRPr="00B33AD2">
        <w:tab/>
      </w:r>
      <w:r w:rsidRPr="00B33AD2">
        <w:t xml:space="preserve">2028 </w:t>
      </w:r>
      <w:r w:rsidR="00B33AD2" w:rsidRPr="00B33AD2">
        <w:t>–</w:t>
      </w:r>
      <w:r w:rsidRPr="00B33AD2">
        <w:t xml:space="preserve"> 759 tys. zł;</w:t>
      </w:r>
    </w:p>
    <w:p w14:paraId="778A7539" w14:textId="69C05ED1" w:rsidR="00E43C21" w:rsidRPr="00B33AD2" w:rsidRDefault="00E43C21" w:rsidP="00262CFE">
      <w:pPr>
        <w:pStyle w:val="PKTpunkt"/>
      </w:pPr>
      <w:r w:rsidRPr="00B33AD2">
        <w:t>4)</w:t>
      </w:r>
      <w:r w:rsidR="00E927B2" w:rsidRPr="00B33AD2">
        <w:tab/>
      </w:r>
      <w:r w:rsidRPr="00B33AD2">
        <w:t xml:space="preserve">2029 </w:t>
      </w:r>
      <w:r w:rsidR="00B33AD2" w:rsidRPr="00B33AD2">
        <w:t>–</w:t>
      </w:r>
      <w:r w:rsidRPr="00B33AD2">
        <w:t xml:space="preserve"> 231 tys. zł;</w:t>
      </w:r>
    </w:p>
    <w:p w14:paraId="15BFFA74" w14:textId="1402786E" w:rsidR="00E43C21" w:rsidRPr="00B33AD2" w:rsidRDefault="00E43C21" w:rsidP="00262CFE">
      <w:pPr>
        <w:pStyle w:val="PKTpunkt"/>
      </w:pPr>
      <w:r w:rsidRPr="00B33AD2">
        <w:t>5)</w:t>
      </w:r>
      <w:r w:rsidR="00E927B2" w:rsidRPr="00B33AD2">
        <w:tab/>
      </w:r>
      <w:r w:rsidRPr="00B33AD2">
        <w:t xml:space="preserve">2030 </w:t>
      </w:r>
      <w:r w:rsidR="00B33AD2" w:rsidRPr="00B33AD2">
        <w:t>–</w:t>
      </w:r>
      <w:r w:rsidRPr="00B33AD2">
        <w:t xml:space="preserve"> 100 tys. zł;</w:t>
      </w:r>
    </w:p>
    <w:p w14:paraId="00F7F99A" w14:textId="3DD2DB25" w:rsidR="00E43C21" w:rsidRPr="00B33AD2" w:rsidRDefault="00E43C21" w:rsidP="00262CFE">
      <w:pPr>
        <w:pStyle w:val="PKTpunkt"/>
      </w:pPr>
      <w:r w:rsidRPr="00B33AD2">
        <w:t>6)</w:t>
      </w:r>
      <w:r w:rsidR="00E927B2" w:rsidRPr="00B33AD2">
        <w:tab/>
      </w:r>
      <w:r w:rsidRPr="00B33AD2">
        <w:t xml:space="preserve">2031 </w:t>
      </w:r>
      <w:r w:rsidR="00B33AD2" w:rsidRPr="00B33AD2">
        <w:t>–</w:t>
      </w:r>
      <w:r w:rsidRPr="00B33AD2">
        <w:t xml:space="preserve"> 100 tys. zł;</w:t>
      </w:r>
    </w:p>
    <w:p w14:paraId="442F4B08" w14:textId="5D2DE358" w:rsidR="00E43C21" w:rsidRPr="00B33AD2" w:rsidRDefault="00E43C21" w:rsidP="00262CFE">
      <w:pPr>
        <w:pStyle w:val="PKTpunkt"/>
      </w:pPr>
      <w:r w:rsidRPr="00B33AD2">
        <w:t>7)</w:t>
      </w:r>
      <w:r w:rsidR="00E927B2" w:rsidRPr="00B33AD2">
        <w:tab/>
      </w:r>
      <w:r w:rsidRPr="00B33AD2">
        <w:t xml:space="preserve">2032 </w:t>
      </w:r>
      <w:r w:rsidR="00B33AD2" w:rsidRPr="00B33AD2">
        <w:t>–</w:t>
      </w:r>
      <w:r w:rsidRPr="00B33AD2">
        <w:t xml:space="preserve"> 100 tys. zł;</w:t>
      </w:r>
    </w:p>
    <w:p w14:paraId="655E53B0" w14:textId="44779D0E" w:rsidR="00E43C21" w:rsidRPr="00B33AD2" w:rsidRDefault="00E43C21" w:rsidP="00262CFE">
      <w:pPr>
        <w:pStyle w:val="PKTpunkt"/>
      </w:pPr>
      <w:r w:rsidRPr="00B33AD2">
        <w:t>8)</w:t>
      </w:r>
      <w:r w:rsidR="00E927B2" w:rsidRPr="00B33AD2">
        <w:tab/>
      </w:r>
      <w:r w:rsidRPr="00B33AD2">
        <w:t xml:space="preserve">2033 </w:t>
      </w:r>
      <w:r w:rsidR="00B33AD2" w:rsidRPr="00B33AD2">
        <w:t>–</w:t>
      </w:r>
      <w:r w:rsidRPr="00B33AD2">
        <w:t xml:space="preserve"> 100 tys. zł;</w:t>
      </w:r>
    </w:p>
    <w:p w14:paraId="6EBD6DD0" w14:textId="3BD1061E" w:rsidR="00E43C21" w:rsidRPr="00B33AD2" w:rsidRDefault="00E43C21" w:rsidP="00262CFE">
      <w:pPr>
        <w:pStyle w:val="PKTpunkt"/>
      </w:pPr>
      <w:r w:rsidRPr="00B33AD2">
        <w:lastRenderedPageBreak/>
        <w:t>9)</w:t>
      </w:r>
      <w:r w:rsidR="00E927B2" w:rsidRPr="00B33AD2">
        <w:tab/>
      </w:r>
      <w:r w:rsidR="003F60FF" w:rsidRPr="00B33AD2">
        <w:t xml:space="preserve">2034 </w:t>
      </w:r>
      <w:r w:rsidR="00B33AD2" w:rsidRPr="00B33AD2">
        <w:t>–</w:t>
      </w:r>
      <w:r w:rsidR="003F60FF" w:rsidRPr="00B33AD2">
        <w:t xml:space="preserve"> 100 tys. zł;</w:t>
      </w:r>
    </w:p>
    <w:p w14:paraId="742AAD76" w14:textId="5CE4732E" w:rsidR="00E43C21" w:rsidRPr="00B33AD2" w:rsidRDefault="00E43C21" w:rsidP="00262CFE">
      <w:pPr>
        <w:pStyle w:val="PKTpunkt"/>
      </w:pPr>
      <w:r w:rsidRPr="00B33AD2">
        <w:t>10)</w:t>
      </w:r>
      <w:r w:rsidR="00E927B2" w:rsidRPr="00B33AD2">
        <w:tab/>
      </w:r>
      <w:r w:rsidRPr="00B33AD2">
        <w:t xml:space="preserve">2035 </w:t>
      </w:r>
      <w:r w:rsidR="00B33AD2" w:rsidRPr="00B33AD2">
        <w:t>–</w:t>
      </w:r>
      <w:r w:rsidRPr="00B33AD2">
        <w:t xml:space="preserve"> 100 tys. zł.</w:t>
      </w:r>
    </w:p>
    <w:p w14:paraId="6DC6F441" w14:textId="46F4EACE" w:rsidR="00AA3C07" w:rsidRPr="00B33AD2" w:rsidRDefault="00AA3C07" w:rsidP="00262CFE">
      <w:pPr>
        <w:pStyle w:val="USTustnpkodeksu"/>
      </w:pPr>
      <w:r w:rsidRPr="00B33AD2">
        <w:t>2. W przypadku zagrożenia przekroczenia przyjętego na dany rok budżetowy limitu wydatków, w szczególności w przypadku przekroczenia w pierwszym półroczu danego roku 65</w:t>
      </w:r>
      <w:r w:rsidR="00FE2F8D" w:rsidRPr="00B33AD2">
        <w:t xml:space="preserve"> </w:t>
      </w:r>
      <w:r w:rsidRPr="00B33AD2">
        <w:t>% limitu określonego w ust. 1, Polska Organizacja Turystyczna przygotowuje propozycję mechanizmu korygującego, polegającego na obniżeniu wysokości tych wydatków w drugim półroczu do poziomu gwarantującego, że limit ten nie zostanie przekroczony</w:t>
      </w:r>
      <w:r w:rsidR="000C506B" w:rsidRPr="00B33AD2">
        <w:t>,</w:t>
      </w:r>
      <w:r w:rsidRPr="00B33AD2">
        <w:t xml:space="preserve"> i przedkłada ją do akceptacji ministrowi właściwemu do spraw turystyki. </w:t>
      </w:r>
    </w:p>
    <w:p w14:paraId="27F8609F" w14:textId="1540C6B2" w:rsidR="00E43C21" w:rsidRPr="00B33AD2" w:rsidRDefault="00AA3C07">
      <w:pPr>
        <w:pStyle w:val="USTustnpkodeksu"/>
      </w:pPr>
      <w:r w:rsidRPr="00B33AD2">
        <w:t>3</w:t>
      </w:r>
      <w:r w:rsidR="00E43C21" w:rsidRPr="00B33AD2">
        <w:t xml:space="preserve">. </w:t>
      </w:r>
      <w:r w:rsidR="000C506B" w:rsidRPr="00B33AD2">
        <w:t>Polska Organizacja Turystyczna monitoruje w</w:t>
      </w:r>
      <w:r w:rsidR="00E43C21" w:rsidRPr="00B33AD2">
        <w:t>ykorzystanie limitu wydatków, o którym mowa w ust. 1</w:t>
      </w:r>
      <w:r w:rsidR="000C506B" w:rsidRPr="00B33AD2">
        <w:t xml:space="preserve">, oraz </w:t>
      </w:r>
      <w:r w:rsidR="00E43C21" w:rsidRPr="00B33AD2">
        <w:t xml:space="preserve">wdraża </w:t>
      </w:r>
      <w:r w:rsidR="000C506B" w:rsidRPr="00B33AD2">
        <w:t xml:space="preserve">zaakceptowany </w:t>
      </w:r>
      <w:r w:rsidR="00E43C21" w:rsidRPr="00B33AD2">
        <w:t xml:space="preserve">mechanizm korygujący, o którym mowa w ust. </w:t>
      </w:r>
      <w:r w:rsidR="000C506B" w:rsidRPr="00B33AD2">
        <w:t>2</w:t>
      </w:r>
      <w:r w:rsidR="00E43C21" w:rsidRPr="00B33AD2">
        <w:t>.</w:t>
      </w:r>
    </w:p>
    <w:p w14:paraId="3763D970" w14:textId="71134765" w:rsidR="00EA5EA7" w:rsidRPr="00B33AD2" w:rsidRDefault="00EA5EA7" w:rsidP="008567A6">
      <w:pPr>
        <w:pStyle w:val="ARTartustawynprozporzdzenia"/>
      </w:pPr>
      <w:r w:rsidRPr="00B33AD2">
        <w:rPr>
          <w:rStyle w:val="Ppogrubienie"/>
        </w:rPr>
        <w:t>Art. 5.</w:t>
      </w:r>
      <w:r w:rsidRPr="00B33AD2">
        <w:t xml:space="preserve"> </w:t>
      </w:r>
      <w:r w:rsidR="003D1D09" w:rsidRPr="00B33AD2">
        <w:t>Do umów o udział w imprezie turystycznej oraz umów zawartych przez podróżnego z przedsiębiorcą ułatwiającym nabywanie powiązanych usług turystycznych, zawartych do dnia 31 grudnia 2025 r.</w:t>
      </w:r>
      <w:r w:rsidR="00B33AD2" w:rsidRPr="00B33AD2">
        <w:t>,</w:t>
      </w:r>
      <w:r w:rsidR="003D1D09" w:rsidRPr="00B33AD2">
        <w:t xml:space="preserve"> stosuje się a</w:t>
      </w:r>
      <w:r w:rsidR="00AA2F8B" w:rsidRPr="00B33AD2">
        <w:t xml:space="preserve">rt. 9 </w:t>
      </w:r>
      <w:r w:rsidR="003D1D09" w:rsidRPr="00B33AD2">
        <w:t xml:space="preserve">ust. 1 </w:t>
      </w:r>
      <w:r w:rsidR="00AA2F8B" w:rsidRPr="00B33AD2">
        <w:t xml:space="preserve">ustawy zmienianej w art. 1, w brzmieniu </w:t>
      </w:r>
      <w:r w:rsidR="003D1D09" w:rsidRPr="00B33AD2">
        <w:t>dotychczasowym.</w:t>
      </w:r>
    </w:p>
    <w:p w14:paraId="4DDE4ECF" w14:textId="3312F630" w:rsidR="00AE48E9" w:rsidRPr="00B33AD2" w:rsidRDefault="00B51600" w:rsidP="001949F7">
      <w:pPr>
        <w:pStyle w:val="ARTartustawynprozporzdzenia"/>
      </w:pPr>
      <w:bookmarkStart w:id="4" w:name="_Hlk137467828"/>
      <w:bookmarkEnd w:id="0"/>
      <w:r w:rsidRPr="00B33AD2">
        <w:rPr>
          <w:rStyle w:val="Ppogrubienie"/>
        </w:rPr>
        <w:t xml:space="preserve">Art. </w:t>
      </w:r>
      <w:r w:rsidR="00EA5EA7" w:rsidRPr="00B33AD2">
        <w:rPr>
          <w:rStyle w:val="Ppogrubienie"/>
        </w:rPr>
        <w:t>6</w:t>
      </w:r>
      <w:r w:rsidRPr="00B33AD2">
        <w:rPr>
          <w:rStyle w:val="Ppogrubienie"/>
        </w:rPr>
        <w:t>.</w:t>
      </w:r>
      <w:r w:rsidRPr="00B33AD2">
        <w:rPr>
          <w:rStyle w:val="Ppogrubienie"/>
          <w:b w:val="0"/>
        </w:rPr>
        <w:t xml:space="preserve"> </w:t>
      </w:r>
      <w:r w:rsidR="00FC42F0" w:rsidRPr="00B33AD2">
        <w:t xml:space="preserve">Ustawa wchodzi w życie </w:t>
      </w:r>
      <w:r w:rsidR="00AE48E9" w:rsidRPr="00B33AD2">
        <w:t>z dniem 1 stycznia 2026 r.</w:t>
      </w:r>
      <w:bookmarkEnd w:id="4"/>
    </w:p>
    <w:sectPr w:rsidR="00AE48E9" w:rsidRPr="00B33AD2" w:rsidSect="001A7F15">
      <w:headerReference w:type="default" r:id="rId11"/>
      <w:footerReference w:type="defaul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AEC9" w14:textId="77777777" w:rsidR="000C1852" w:rsidRDefault="000C1852">
      <w:r>
        <w:separator/>
      </w:r>
    </w:p>
  </w:endnote>
  <w:endnote w:type="continuationSeparator" w:id="0">
    <w:p w14:paraId="0EAB84F5" w14:textId="77777777" w:rsidR="000C1852" w:rsidRDefault="000C1852">
      <w:r>
        <w:continuationSeparator/>
      </w:r>
    </w:p>
  </w:endnote>
  <w:endnote w:type="continuationNotice" w:id="1">
    <w:p w14:paraId="753AABD7" w14:textId="77777777" w:rsidR="000C1852" w:rsidRDefault="000C1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E1C1" w14:textId="77777777" w:rsidR="00124622" w:rsidRDefault="001246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FA65" w14:textId="77777777" w:rsidR="000C1852" w:rsidRDefault="000C1852">
      <w:r>
        <w:separator/>
      </w:r>
    </w:p>
  </w:footnote>
  <w:footnote w:type="continuationSeparator" w:id="0">
    <w:p w14:paraId="79BD8EB5" w14:textId="77777777" w:rsidR="000C1852" w:rsidRDefault="000C1852">
      <w:r>
        <w:continuationSeparator/>
      </w:r>
    </w:p>
  </w:footnote>
  <w:footnote w:type="continuationNotice" w:id="1">
    <w:p w14:paraId="68765966" w14:textId="77777777" w:rsidR="000C1852" w:rsidRDefault="000C1852">
      <w:pPr>
        <w:spacing w:line="240" w:lineRule="auto"/>
      </w:pPr>
    </w:p>
  </w:footnote>
  <w:footnote w:id="2">
    <w:p w14:paraId="03BD9A38" w14:textId="6D958A48" w:rsidR="00DD6AD6" w:rsidRDefault="00DD6AD6" w:rsidP="00E909A4">
      <w:pPr>
        <w:pStyle w:val="ODNONIKtreodnonika"/>
      </w:pPr>
      <w:r w:rsidRPr="00BE7AC4">
        <w:rPr>
          <w:rStyle w:val="IGindeksgrny"/>
        </w:rPr>
        <w:footnoteRef/>
      </w:r>
      <w:r w:rsidR="00BE7AC4" w:rsidRPr="00BE7AC4">
        <w:rPr>
          <w:rStyle w:val="IGindeksgrny"/>
        </w:rPr>
        <w:t>)</w:t>
      </w:r>
      <w:r>
        <w:t xml:space="preserve"> </w:t>
      </w:r>
      <w:r w:rsidR="00214C90">
        <w:tab/>
      </w:r>
      <w:r w:rsidR="00214C90" w:rsidRPr="00C93F3D">
        <w:t xml:space="preserve">Niniejszą ustawą zmienia się ustawy: ustawę z dnia 2 marca 2020 r. o szczególnych rozwiązaniach związanych z zapobieganiem, przeciwdziałaniem i zwalczaniem COVID-19, innych chorób zakaźnych oraz wywołanych nimi sytuacji kryzysowych </w:t>
      </w:r>
      <w:r w:rsidR="0091436D" w:rsidRPr="00C93F3D">
        <w:t>oraz ustawę z dnia 15 lipca 2020 r. o Polskim Bonie Turystycznym.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FE30" w14:textId="56F037E4"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8947BA">
      <w:rPr>
        <w:noProof/>
      </w:rPr>
      <w:t>13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E53"/>
    <w:multiLevelType w:val="hybridMultilevel"/>
    <w:tmpl w:val="B7E2D794"/>
    <w:lvl w:ilvl="0" w:tplc="E258D6B6">
      <w:start w:val="1"/>
      <w:numFmt w:val="decimal"/>
      <w:lvlText w:val="%1)"/>
      <w:lvlJc w:val="left"/>
      <w:pPr>
        <w:ind w:left="1020" w:hanging="360"/>
      </w:pPr>
    </w:lvl>
    <w:lvl w:ilvl="1" w:tplc="8BF85132">
      <w:start w:val="1"/>
      <w:numFmt w:val="decimal"/>
      <w:lvlText w:val="%2)"/>
      <w:lvlJc w:val="left"/>
      <w:pPr>
        <w:ind w:left="1020" w:hanging="360"/>
      </w:pPr>
    </w:lvl>
    <w:lvl w:ilvl="2" w:tplc="598CB5C2">
      <w:start w:val="1"/>
      <w:numFmt w:val="decimal"/>
      <w:lvlText w:val="%3)"/>
      <w:lvlJc w:val="left"/>
      <w:pPr>
        <w:ind w:left="1020" w:hanging="360"/>
      </w:pPr>
    </w:lvl>
    <w:lvl w:ilvl="3" w:tplc="5D60A24A">
      <w:start w:val="1"/>
      <w:numFmt w:val="decimal"/>
      <w:lvlText w:val="%4)"/>
      <w:lvlJc w:val="left"/>
      <w:pPr>
        <w:ind w:left="1020" w:hanging="360"/>
      </w:pPr>
    </w:lvl>
    <w:lvl w:ilvl="4" w:tplc="9B3A8AE6">
      <w:start w:val="1"/>
      <w:numFmt w:val="decimal"/>
      <w:lvlText w:val="%5)"/>
      <w:lvlJc w:val="left"/>
      <w:pPr>
        <w:ind w:left="1020" w:hanging="360"/>
      </w:pPr>
    </w:lvl>
    <w:lvl w:ilvl="5" w:tplc="0902D398">
      <w:start w:val="1"/>
      <w:numFmt w:val="decimal"/>
      <w:lvlText w:val="%6)"/>
      <w:lvlJc w:val="left"/>
      <w:pPr>
        <w:ind w:left="1020" w:hanging="360"/>
      </w:pPr>
    </w:lvl>
    <w:lvl w:ilvl="6" w:tplc="26166A8A">
      <w:start w:val="1"/>
      <w:numFmt w:val="decimal"/>
      <w:lvlText w:val="%7)"/>
      <w:lvlJc w:val="left"/>
      <w:pPr>
        <w:ind w:left="1020" w:hanging="360"/>
      </w:pPr>
    </w:lvl>
    <w:lvl w:ilvl="7" w:tplc="A8428C34">
      <w:start w:val="1"/>
      <w:numFmt w:val="decimal"/>
      <w:lvlText w:val="%8)"/>
      <w:lvlJc w:val="left"/>
      <w:pPr>
        <w:ind w:left="1020" w:hanging="360"/>
      </w:pPr>
    </w:lvl>
    <w:lvl w:ilvl="8" w:tplc="3A2067E8">
      <w:start w:val="1"/>
      <w:numFmt w:val="decimal"/>
      <w:lvlText w:val="%9)"/>
      <w:lvlJc w:val="left"/>
      <w:pPr>
        <w:ind w:left="1020" w:hanging="360"/>
      </w:pPr>
    </w:lvl>
  </w:abstractNum>
  <w:abstractNum w:abstractNumId="1" w15:restartNumberingAfterBreak="0">
    <w:nsid w:val="052F7CA3"/>
    <w:multiLevelType w:val="hybridMultilevel"/>
    <w:tmpl w:val="BDFC0BDC"/>
    <w:lvl w:ilvl="0" w:tplc="3342C6F2">
      <w:start w:val="1"/>
      <w:numFmt w:val="decimal"/>
      <w:lvlText w:val="%1)"/>
      <w:lvlJc w:val="left"/>
      <w:pPr>
        <w:ind w:left="1020" w:hanging="360"/>
      </w:pPr>
    </w:lvl>
    <w:lvl w:ilvl="1" w:tplc="B7EC8EA4">
      <w:start w:val="1"/>
      <w:numFmt w:val="decimal"/>
      <w:lvlText w:val="%2)"/>
      <w:lvlJc w:val="left"/>
      <w:pPr>
        <w:ind w:left="1020" w:hanging="360"/>
      </w:pPr>
    </w:lvl>
    <w:lvl w:ilvl="2" w:tplc="90360E02">
      <w:start w:val="1"/>
      <w:numFmt w:val="decimal"/>
      <w:lvlText w:val="%3)"/>
      <w:lvlJc w:val="left"/>
      <w:pPr>
        <w:ind w:left="1020" w:hanging="360"/>
      </w:pPr>
    </w:lvl>
    <w:lvl w:ilvl="3" w:tplc="B20E7138">
      <w:start w:val="1"/>
      <w:numFmt w:val="decimal"/>
      <w:lvlText w:val="%4)"/>
      <w:lvlJc w:val="left"/>
      <w:pPr>
        <w:ind w:left="1020" w:hanging="360"/>
      </w:pPr>
    </w:lvl>
    <w:lvl w:ilvl="4" w:tplc="D18A424C">
      <w:start w:val="1"/>
      <w:numFmt w:val="decimal"/>
      <w:lvlText w:val="%5)"/>
      <w:lvlJc w:val="left"/>
      <w:pPr>
        <w:ind w:left="1020" w:hanging="360"/>
      </w:pPr>
    </w:lvl>
    <w:lvl w:ilvl="5" w:tplc="E2DA4658">
      <w:start w:val="1"/>
      <w:numFmt w:val="decimal"/>
      <w:lvlText w:val="%6)"/>
      <w:lvlJc w:val="left"/>
      <w:pPr>
        <w:ind w:left="1020" w:hanging="360"/>
      </w:pPr>
    </w:lvl>
    <w:lvl w:ilvl="6" w:tplc="1E4228FC">
      <w:start w:val="1"/>
      <w:numFmt w:val="decimal"/>
      <w:lvlText w:val="%7)"/>
      <w:lvlJc w:val="left"/>
      <w:pPr>
        <w:ind w:left="1020" w:hanging="360"/>
      </w:pPr>
    </w:lvl>
    <w:lvl w:ilvl="7" w:tplc="B2D4E404">
      <w:start w:val="1"/>
      <w:numFmt w:val="decimal"/>
      <w:lvlText w:val="%8)"/>
      <w:lvlJc w:val="left"/>
      <w:pPr>
        <w:ind w:left="1020" w:hanging="360"/>
      </w:pPr>
    </w:lvl>
    <w:lvl w:ilvl="8" w:tplc="2E34FA8A">
      <w:start w:val="1"/>
      <w:numFmt w:val="decimal"/>
      <w:lvlText w:val="%9)"/>
      <w:lvlJc w:val="left"/>
      <w:pPr>
        <w:ind w:left="1020" w:hanging="360"/>
      </w:pPr>
    </w:lvl>
  </w:abstractNum>
  <w:abstractNum w:abstractNumId="2" w15:restartNumberingAfterBreak="0">
    <w:nsid w:val="0D866D17"/>
    <w:multiLevelType w:val="hybridMultilevel"/>
    <w:tmpl w:val="BF42E2EA"/>
    <w:lvl w:ilvl="0" w:tplc="C812D956">
      <w:start w:val="1"/>
      <w:numFmt w:val="decimal"/>
      <w:lvlText w:val="%1)"/>
      <w:lvlJc w:val="left"/>
      <w:pPr>
        <w:ind w:left="1020" w:hanging="360"/>
      </w:pPr>
    </w:lvl>
    <w:lvl w:ilvl="1" w:tplc="7196F8F8">
      <w:start w:val="1"/>
      <w:numFmt w:val="decimal"/>
      <w:lvlText w:val="%2)"/>
      <w:lvlJc w:val="left"/>
      <w:pPr>
        <w:ind w:left="1020" w:hanging="360"/>
      </w:pPr>
    </w:lvl>
    <w:lvl w:ilvl="2" w:tplc="E42884E4">
      <w:start w:val="1"/>
      <w:numFmt w:val="decimal"/>
      <w:lvlText w:val="%3)"/>
      <w:lvlJc w:val="left"/>
      <w:pPr>
        <w:ind w:left="1020" w:hanging="360"/>
      </w:pPr>
    </w:lvl>
    <w:lvl w:ilvl="3" w:tplc="9B083144">
      <w:start w:val="1"/>
      <w:numFmt w:val="decimal"/>
      <w:lvlText w:val="%4)"/>
      <w:lvlJc w:val="left"/>
      <w:pPr>
        <w:ind w:left="1020" w:hanging="360"/>
      </w:pPr>
    </w:lvl>
    <w:lvl w:ilvl="4" w:tplc="5C64F6C2">
      <w:start w:val="1"/>
      <w:numFmt w:val="decimal"/>
      <w:lvlText w:val="%5)"/>
      <w:lvlJc w:val="left"/>
      <w:pPr>
        <w:ind w:left="1020" w:hanging="360"/>
      </w:pPr>
    </w:lvl>
    <w:lvl w:ilvl="5" w:tplc="32FA0EA6">
      <w:start w:val="1"/>
      <w:numFmt w:val="decimal"/>
      <w:lvlText w:val="%6)"/>
      <w:lvlJc w:val="left"/>
      <w:pPr>
        <w:ind w:left="1020" w:hanging="360"/>
      </w:pPr>
    </w:lvl>
    <w:lvl w:ilvl="6" w:tplc="78F02E20">
      <w:start w:val="1"/>
      <w:numFmt w:val="decimal"/>
      <w:lvlText w:val="%7)"/>
      <w:lvlJc w:val="left"/>
      <w:pPr>
        <w:ind w:left="1020" w:hanging="360"/>
      </w:pPr>
    </w:lvl>
    <w:lvl w:ilvl="7" w:tplc="06B233B0">
      <w:start w:val="1"/>
      <w:numFmt w:val="decimal"/>
      <w:lvlText w:val="%8)"/>
      <w:lvlJc w:val="left"/>
      <w:pPr>
        <w:ind w:left="1020" w:hanging="360"/>
      </w:pPr>
    </w:lvl>
    <w:lvl w:ilvl="8" w:tplc="5D9A3672">
      <w:start w:val="1"/>
      <w:numFmt w:val="decimal"/>
      <w:lvlText w:val="%9)"/>
      <w:lvlJc w:val="left"/>
      <w:pPr>
        <w:ind w:left="1020" w:hanging="360"/>
      </w:pPr>
    </w:lvl>
  </w:abstractNum>
  <w:abstractNum w:abstractNumId="3" w15:restartNumberingAfterBreak="0">
    <w:nsid w:val="11355186"/>
    <w:multiLevelType w:val="hybridMultilevel"/>
    <w:tmpl w:val="6A188252"/>
    <w:lvl w:ilvl="0" w:tplc="7BE21BFE">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169D42DE"/>
    <w:multiLevelType w:val="hybridMultilevel"/>
    <w:tmpl w:val="DCBCBB60"/>
    <w:lvl w:ilvl="0" w:tplc="FE8033C8">
      <w:start w:val="1"/>
      <w:numFmt w:val="decimal"/>
      <w:lvlText w:val="%1)"/>
      <w:lvlJc w:val="left"/>
      <w:pPr>
        <w:ind w:left="1020" w:hanging="360"/>
      </w:pPr>
    </w:lvl>
    <w:lvl w:ilvl="1" w:tplc="EB9A1E06">
      <w:start w:val="1"/>
      <w:numFmt w:val="decimal"/>
      <w:lvlText w:val="%2)"/>
      <w:lvlJc w:val="left"/>
      <w:pPr>
        <w:ind w:left="1020" w:hanging="360"/>
      </w:pPr>
    </w:lvl>
    <w:lvl w:ilvl="2" w:tplc="22A2E4F8">
      <w:start w:val="1"/>
      <w:numFmt w:val="decimal"/>
      <w:lvlText w:val="%3)"/>
      <w:lvlJc w:val="left"/>
      <w:pPr>
        <w:ind w:left="1020" w:hanging="360"/>
      </w:pPr>
    </w:lvl>
    <w:lvl w:ilvl="3" w:tplc="A380D8D8">
      <w:start w:val="1"/>
      <w:numFmt w:val="decimal"/>
      <w:lvlText w:val="%4)"/>
      <w:lvlJc w:val="left"/>
      <w:pPr>
        <w:ind w:left="1020" w:hanging="360"/>
      </w:pPr>
    </w:lvl>
    <w:lvl w:ilvl="4" w:tplc="6AF0087C">
      <w:start w:val="1"/>
      <w:numFmt w:val="decimal"/>
      <w:lvlText w:val="%5)"/>
      <w:lvlJc w:val="left"/>
      <w:pPr>
        <w:ind w:left="1020" w:hanging="360"/>
      </w:pPr>
    </w:lvl>
    <w:lvl w:ilvl="5" w:tplc="E79CE136">
      <w:start w:val="1"/>
      <w:numFmt w:val="decimal"/>
      <w:lvlText w:val="%6)"/>
      <w:lvlJc w:val="left"/>
      <w:pPr>
        <w:ind w:left="1020" w:hanging="360"/>
      </w:pPr>
    </w:lvl>
    <w:lvl w:ilvl="6" w:tplc="804456D0">
      <w:start w:val="1"/>
      <w:numFmt w:val="decimal"/>
      <w:lvlText w:val="%7)"/>
      <w:lvlJc w:val="left"/>
      <w:pPr>
        <w:ind w:left="1020" w:hanging="360"/>
      </w:pPr>
    </w:lvl>
    <w:lvl w:ilvl="7" w:tplc="C764E6DA">
      <w:start w:val="1"/>
      <w:numFmt w:val="decimal"/>
      <w:lvlText w:val="%8)"/>
      <w:lvlJc w:val="left"/>
      <w:pPr>
        <w:ind w:left="1020" w:hanging="360"/>
      </w:pPr>
    </w:lvl>
    <w:lvl w:ilvl="8" w:tplc="DD00F718">
      <w:start w:val="1"/>
      <w:numFmt w:val="decimal"/>
      <w:lvlText w:val="%9)"/>
      <w:lvlJc w:val="left"/>
      <w:pPr>
        <w:ind w:left="1020" w:hanging="360"/>
      </w:pPr>
    </w:lvl>
  </w:abstractNum>
  <w:abstractNum w:abstractNumId="5" w15:restartNumberingAfterBreak="0">
    <w:nsid w:val="303B0521"/>
    <w:multiLevelType w:val="hybridMultilevel"/>
    <w:tmpl w:val="0276AC8C"/>
    <w:lvl w:ilvl="0" w:tplc="1B7854DA">
      <w:start w:val="1"/>
      <w:numFmt w:val="decimal"/>
      <w:lvlText w:val="%1)"/>
      <w:lvlJc w:val="left"/>
      <w:pPr>
        <w:ind w:left="1020" w:hanging="360"/>
      </w:pPr>
    </w:lvl>
    <w:lvl w:ilvl="1" w:tplc="AD14575C">
      <w:start w:val="1"/>
      <w:numFmt w:val="decimal"/>
      <w:lvlText w:val="%2)"/>
      <w:lvlJc w:val="left"/>
      <w:pPr>
        <w:ind w:left="1020" w:hanging="360"/>
      </w:pPr>
    </w:lvl>
    <w:lvl w:ilvl="2" w:tplc="E9388BA4">
      <w:start w:val="1"/>
      <w:numFmt w:val="decimal"/>
      <w:lvlText w:val="%3)"/>
      <w:lvlJc w:val="left"/>
      <w:pPr>
        <w:ind w:left="1020" w:hanging="360"/>
      </w:pPr>
    </w:lvl>
    <w:lvl w:ilvl="3" w:tplc="A4943456">
      <w:start w:val="1"/>
      <w:numFmt w:val="decimal"/>
      <w:lvlText w:val="%4)"/>
      <w:lvlJc w:val="left"/>
      <w:pPr>
        <w:ind w:left="1020" w:hanging="360"/>
      </w:pPr>
    </w:lvl>
    <w:lvl w:ilvl="4" w:tplc="19B462E0">
      <w:start w:val="1"/>
      <w:numFmt w:val="decimal"/>
      <w:lvlText w:val="%5)"/>
      <w:lvlJc w:val="left"/>
      <w:pPr>
        <w:ind w:left="1020" w:hanging="360"/>
      </w:pPr>
    </w:lvl>
    <w:lvl w:ilvl="5" w:tplc="C674EB8A">
      <w:start w:val="1"/>
      <w:numFmt w:val="decimal"/>
      <w:lvlText w:val="%6)"/>
      <w:lvlJc w:val="left"/>
      <w:pPr>
        <w:ind w:left="1020" w:hanging="360"/>
      </w:pPr>
    </w:lvl>
    <w:lvl w:ilvl="6" w:tplc="AA6200DC">
      <w:start w:val="1"/>
      <w:numFmt w:val="decimal"/>
      <w:lvlText w:val="%7)"/>
      <w:lvlJc w:val="left"/>
      <w:pPr>
        <w:ind w:left="1020" w:hanging="360"/>
      </w:pPr>
    </w:lvl>
    <w:lvl w:ilvl="7" w:tplc="578E3512">
      <w:start w:val="1"/>
      <w:numFmt w:val="decimal"/>
      <w:lvlText w:val="%8)"/>
      <w:lvlJc w:val="left"/>
      <w:pPr>
        <w:ind w:left="1020" w:hanging="360"/>
      </w:pPr>
    </w:lvl>
    <w:lvl w:ilvl="8" w:tplc="7326F8CA">
      <w:start w:val="1"/>
      <w:numFmt w:val="decimal"/>
      <w:lvlText w:val="%9)"/>
      <w:lvlJc w:val="left"/>
      <w:pPr>
        <w:ind w:left="1020" w:hanging="360"/>
      </w:pPr>
    </w:lvl>
  </w:abstractNum>
  <w:abstractNum w:abstractNumId="6" w15:restartNumberingAfterBreak="0">
    <w:nsid w:val="394F45A2"/>
    <w:multiLevelType w:val="hybridMultilevel"/>
    <w:tmpl w:val="ADAAE684"/>
    <w:lvl w:ilvl="0" w:tplc="EE98CE82">
      <w:start w:val="1"/>
      <w:numFmt w:val="decimal"/>
      <w:lvlText w:val="%1)"/>
      <w:lvlJc w:val="left"/>
      <w:pPr>
        <w:ind w:left="1497" w:hanging="51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3FE03C71"/>
    <w:multiLevelType w:val="hybridMultilevel"/>
    <w:tmpl w:val="E24642A2"/>
    <w:lvl w:ilvl="0" w:tplc="9C8AE29A">
      <w:start w:val="1"/>
      <w:numFmt w:val="decimal"/>
      <w:lvlText w:val="%1)"/>
      <w:lvlJc w:val="left"/>
      <w:pPr>
        <w:ind w:left="1020" w:hanging="360"/>
      </w:pPr>
    </w:lvl>
    <w:lvl w:ilvl="1" w:tplc="EA045C10">
      <w:start w:val="1"/>
      <w:numFmt w:val="decimal"/>
      <w:lvlText w:val="%2)"/>
      <w:lvlJc w:val="left"/>
      <w:pPr>
        <w:ind w:left="1020" w:hanging="360"/>
      </w:pPr>
    </w:lvl>
    <w:lvl w:ilvl="2" w:tplc="38380DB8">
      <w:start w:val="1"/>
      <w:numFmt w:val="decimal"/>
      <w:lvlText w:val="%3)"/>
      <w:lvlJc w:val="left"/>
      <w:pPr>
        <w:ind w:left="1020" w:hanging="360"/>
      </w:pPr>
    </w:lvl>
    <w:lvl w:ilvl="3" w:tplc="B55C1756">
      <w:start w:val="1"/>
      <w:numFmt w:val="decimal"/>
      <w:lvlText w:val="%4)"/>
      <w:lvlJc w:val="left"/>
      <w:pPr>
        <w:ind w:left="1020" w:hanging="360"/>
      </w:pPr>
    </w:lvl>
    <w:lvl w:ilvl="4" w:tplc="7EAE5BAC">
      <w:start w:val="1"/>
      <w:numFmt w:val="decimal"/>
      <w:lvlText w:val="%5)"/>
      <w:lvlJc w:val="left"/>
      <w:pPr>
        <w:ind w:left="1020" w:hanging="360"/>
      </w:pPr>
    </w:lvl>
    <w:lvl w:ilvl="5" w:tplc="2A86BFB0">
      <w:start w:val="1"/>
      <w:numFmt w:val="decimal"/>
      <w:lvlText w:val="%6)"/>
      <w:lvlJc w:val="left"/>
      <w:pPr>
        <w:ind w:left="1020" w:hanging="360"/>
      </w:pPr>
    </w:lvl>
    <w:lvl w:ilvl="6" w:tplc="5AF03B5A">
      <w:start w:val="1"/>
      <w:numFmt w:val="decimal"/>
      <w:lvlText w:val="%7)"/>
      <w:lvlJc w:val="left"/>
      <w:pPr>
        <w:ind w:left="1020" w:hanging="360"/>
      </w:pPr>
    </w:lvl>
    <w:lvl w:ilvl="7" w:tplc="4F68AB9A">
      <w:start w:val="1"/>
      <w:numFmt w:val="decimal"/>
      <w:lvlText w:val="%8)"/>
      <w:lvlJc w:val="left"/>
      <w:pPr>
        <w:ind w:left="1020" w:hanging="360"/>
      </w:pPr>
    </w:lvl>
    <w:lvl w:ilvl="8" w:tplc="DBD2A1CA">
      <w:start w:val="1"/>
      <w:numFmt w:val="decimal"/>
      <w:lvlText w:val="%9)"/>
      <w:lvlJc w:val="left"/>
      <w:pPr>
        <w:ind w:left="1020" w:hanging="360"/>
      </w:pPr>
    </w:lvl>
  </w:abstractNum>
  <w:abstractNum w:abstractNumId="8" w15:restartNumberingAfterBreak="0">
    <w:nsid w:val="48D26699"/>
    <w:multiLevelType w:val="hybridMultilevel"/>
    <w:tmpl w:val="B61E3B7E"/>
    <w:lvl w:ilvl="0" w:tplc="DD5833CE">
      <w:start w:val="1"/>
      <w:numFmt w:val="decimal"/>
      <w:lvlText w:val="%1)"/>
      <w:lvlJc w:val="left"/>
      <w:pPr>
        <w:ind w:left="1020" w:hanging="360"/>
      </w:pPr>
    </w:lvl>
    <w:lvl w:ilvl="1" w:tplc="F6E45132">
      <w:start w:val="1"/>
      <w:numFmt w:val="decimal"/>
      <w:lvlText w:val="%2)"/>
      <w:lvlJc w:val="left"/>
      <w:pPr>
        <w:ind w:left="1020" w:hanging="360"/>
      </w:pPr>
    </w:lvl>
    <w:lvl w:ilvl="2" w:tplc="5D7CF7D4">
      <w:start w:val="1"/>
      <w:numFmt w:val="decimal"/>
      <w:lvlText w:val="%3)"/>
      <w:lvlJc w:val="left"/>
      <w:pPr>
        <w:ind w:left="1020" w:hanging="360"/>
      </w:pPr>
    </w:lvl>
    <w:lvl w:ilvl="3" w:tplc="21680A18">
      <w:start w:val="1"/>
      <w:numFmt w:val="decimal"/>
      <w:lvlText w:val="%4)"/>
      <w:lvlJc w:val="left"/>
      <w:pPr>
        <w:ind w:left="1020" w:hanging="360"/>
      </w:pPr>
    </w:lvl>
    <w:lvl w:ilvl="4" w:tplc="AE60495A">
      <w:start w:val="1"/>
      <w:numFmt w:val="decimal"/>
      <w:lvlText w:val="%5)"/>
      <w:lvlJc w:val="left"/>
      <w:pPr>
        <w:ind w:left="1020" w:hanging="360"/>
      </w:pPr>
    </w:lvl>
    <w:lvl w:ilvl="5" w:tplc="673249EA">
      <w:start w:val="1"/>
      <w:numFmt w:val="decimal"/>
      <w:lvlText w:val="%6)"/>
      <w:lvlJc w:val="left"/>
      <w:pPr>
        <w:ind w:left="1020" w:hanging="360"/>
      </w:pPr>
    </w:lvl>
    <w:lvl w:ilvl="6" w:tplc="FF1C5888">
      <w:start w:val="1"/>
      <w:numFmt w:val="decimal"/>
      <w:lvlText w:val="%7)"/>
      <w:lvlJc w:val="left"/>
      <w:pPr>
        <w:ind w:left="1020" w:hanging="360"/>
      </w:pPr>
    </w:lvl>
    <w:lvl w:ilvl="7" w:tplc="D892E3AA">
      <w:start w:val="1"/>
      <w:numFmt w:val="decimal"/>
      <w:lvlText w:val="%8)"/>
      <w:lvlJc w:val="left"/>
      <w:pPr>
        <w:ind w:left="1020" w:hanging="360"/>
      </w:pPr>
    </w:lvl>
    <w:lvl w:ilvl="8" w:tplc="832A47D2">
      <w:start w:val="1"/>
      <w:numFmt w:val="decimal"/>
      <w:lvlText w:val="%9)"/>
      <w:lvlJc w:val="left"/>
      <w:pPr>
        <w:ind w:left="1020" w:hanging="360"/>
      </w:pPr>
    </w:lvl>
  </w:abstractNum>
  <w:abstractNum w:abstractNumId="9" w15:restartNumberingAfterBreak="0">
    <w:nsid w:val="4D190C8C"/>
    <w:multiLevelType w:val="hybridMultilevel"/>
    <w:tmpl w:val="15F4B8BE"/>
    <w:lvl w:ilvl="0" w:tplc="D04A1E00">
      <w:start w:val="1"/>
      <w:numFmt w:val="decimal"/>
      <w:lvlText w:val="%1)"/>
      <w:lvlJc w:val="left"/>
      <w:pPr>
        <w:ind w:left="1020" w:hanging="360"/>
      </w:pPr>
    </w:lvl>
    <w:lvl w:ilvl="1" w:tplc="5BB49A78">
      <w:start w:val="1"/>
      <w:numFmt w:val="decimal"/>
      <w:lvlText w:val="%2)"/>
      <w:lvlJc w:val="left"/>
      <w:pPr>
        <w:ind w:left="1020" w:hanging="360"/>
      </w:pPr>
    </w:lvl>
    <w:lvl w:ilvl="2" w:tplc="9DBCC958">
      <w:start w:val="1"/>
      <w:numFmt w:val="decimal"/>
      <w:lvlText w:val="%3)"/>
      <w:lvlJc w:val="left"/>
      <w:pPr>
        <w:ind w:left="1020" w:hanging="360"/>
      </w:pPr>
    </w:lvl>
    <w:lvl w:ilvl="3" w:tplc="AC665EDA">
      <w:start w:val="1"/>
      <w:numFmt w:val="decimal"/>
      <w:lvlText w:val="%4)"/>
      <w:lvlJc w:val="left"/>
      <w:pPr>
        <w:ind w:left="1020" w:hanging="360"/>
      </w:pPr>
    </w:lvl>
    <w:lvl w:ilvl="4" w:tplc="2B885302">
      <w:start w:val="1"/>
      <w:numFmt w:val="decimal"/>
      <w:lvlText w:val="%5)"/>
      <w:lvlJc w:val="left"/>
      <w:pPr>
        <w:ind w:left="1020" w:hanging="360"/>
      </w:pPr>
    </w:lvl>
    <w:lvl w:ilvl="5" w:tplc="CAD851CC">
      <w:start w:val="1"/>
      <w:numFmt w:val="decimal"/>
      <w:lvlText w:val="%6)"/>
      <w:lvlJc w:val="left"/>
      <w:pPr>
        <w:ind w:left="1020" w:hanging="360"/>
      </w:pPr>
    </w:lvl>
    <w:lvl w:ilvl="6" w:tplc="78ACECA4">
      <w:start w:val="1"/>
      <w:numFmt w:val="decimal"/>
      <w:lvlText w:val="%7)"/>
      <w:lvlJc w:val="left"/>
      <w:pPr>
        <w:ind w:left="1020" w:hanging="360"/>
      </w:pPr>
    </w:lvl>
    <w:lvl w:ilvl="7" w:tplc="0ECE3174">
      <w:start w:val="1"/>
      <w:numFmt w:val="decimal"/>
      <w:lvlText w:val="%8)"/>
      <w:lvlJc w:val="left"/>
      <w:pPr>
        <w:ind w:left="1020" w:hanging="360"/>
      </w:pPr>
    </w:lvl>
    <w:lvl w:ilvl="8" w:tplc="98C07E92">
      <w:start w:val="1"/>
      <w:numFmt w:val="decimal"/>
      <w:lvlText w:val="%9)"/>
      <w:lvlJc w:val="left"/>
      <w:pPr>
        <w:ind w:left="1020" w:hanging="360"/>
      </w:pPr>
    </w:lvl>
  </w:abstractNum>
  <w:abstractNum w:abstractNumId="10" w15:restartNumberingAfterBreak="0">
    <w:nsid w:val="4FBF0F5B"/>
    <w:multiLevelType w:val="hybridMultilevel"/>
    <w:tmpl w:val="9AEE4726"/>
    <w:lvl w:ilvl="0" w:tplc="E2184A7E">
      <w:start w:val="1"/>
      <w:numFmt w:val="decimal"/>
      <w:lvlText w:val="%1)"/>
      <w:lvlJc w:val="left"/>
      <w:pPr>
        <w:ind w:left="1020" w:hanging="360"/>
      </w:pPr>
    </w:lvl>
    <w:lvl w:ilvl="1" w:tplc="35A2DABE">
      <w:start w:val="1"/>
      <w:numFmt w:val="decimal"/>
      <w:lvlText w:val="%2)"/>
      <w:lvlJc w:val="left"/>
      <w:pPr>
        <w:ind w:left="1020" w:hanging="360"/>
      </w:pPr>
    </w:lvl>
    <w:lvl w:ilvl="2" w:tplc="6D48D606">
      <w:start w:val="1"/>
      <w:numFmt w:val="decimal"/>
      <w:lvlText w:val="%3)"/>
      <w:lvlJc w:val="left"/>
      <w:pPr>
        <w:ind w:left="1020" w:hanging="360"/>
      </w:pPr>
    </w:lvl>
    <w:lvl w:ilvl="3" w:tplc="581A72BC">
      <w:start w:val="1"/>
      <w:numFmt w:val="decimal"/>
      <w:lvlText w:val="%4)"/>
      <w:lvlJc w:val="left"/>
      <w:pPr>
        <w:ind w:left="1020" w:hanging="360"/>
      </w:pPr>
    </w:lvl>
    <w:lvl w:ilvl="4" w:tplc="27D6C1C6">
      <w:start w:val="1"/>
      <w:numFmt w:val="decimal"/>
      <w:lvlText w:val="%5)"/>
      <w:lvlJc w:val="left"/>
      <w:pPr>
        <w:ind w:left="1020" w:hanging="360"/>
      </w:pPr>
    </w:lvl>
    <w:lvl w:ilvl="5" w:tplc="6B6EECA0">
      <w:start w:val="1"/>
      <w:numFmt w:val="decimal"/>
      <w:lvlText w:val="%6)"/>
      <w:lvlJc w:val="left"/>
      <w:pPr>
        <w:ind w:left="1020" w:hanging="360"/>
      </w:pPr>
    </w:lvl>
    <w:lvl w:ilvl="6" w:tplc="71F0A8BE">
      <w:start w:val="1"/>
      <w:numFmt w:val="decimal"/>
      <w:lvlText w:val="%7)"/>
      <w:lvlJc w:val="left"/>
      <w:pPr>
        <w:ind w:left="1020" w:hanging="360"/>
      </w:pPr>
    </w:lvl>
    <w:lvl w:ilvl="7" w:tplc="F7DC3868">
      <w:start w:val="1"/>
      <w:numFmt w:val="decimal"/>
      <w:lvlText w:val="%8)"/>
      <w:lvlJc w:val="left"/>
      <w:pPr>
        <w:ind w:left="1020" w:hanging="360"/>
      </w:pPr>
    </w:lvl>
    <w:lvl w:ilvl="8" w:tplc="6576E67A">
      <w:start w:val="1"/>
      <w:numFmt w:val="decimal"/>
      <w:lvlText w:val="%9)"/>
      <w:lvlJc w:val="left"/>
      <w:pPr>
        <w:ind w:left="1020" w:hanging="360"/>
      </w:pPr>
    </w:lvl>
  </w:abstractNum>
  <w:abstractNum w:abstractNumId="11" w15:restartNumberingAfterBreak="0">
    <w:nsid w:val="586F6F8B"/>
    <w:multiLevelType w:val="hybridMultilevel"/>
    <w:tmpl w:val="CD26A972"/>
    <w:lvl w:ilvl="0" w:tplc="23AE329C">
      <w:start w:val="1"/>
      <w:numFmt w:val="decimal"/>
      <w:lvlText w:val="%1)"/>
      <w:lvlJc w:val="left"/>
      <w:pPr>
        <w:ind w:left="1020" w:hanging="360"/>
      </w:pPr>
    </w:lvl>
    <w:lvl w:ilvl="1" w:tplc="F730A37C">
      <w:start w:val="1"/>
      <w:numFmt w:val="decimal"/>
      <w:lvlText w:val="%2)"/>
      <w:lvlJc w:val="left"/>
      <w:pPr>
        <w:ind w:left="1020" w:hanging="360"/>
      </w:pPr>
    </w:lvl>
    <w:lvl w:ilvl="2" w:tplc="51246AA2">
      <w:start w:val="1"/>
      <w:numFmt w:val="decimal"/>
      <w:lvlText w:val="%3)"/>
      <w:lvlJc w:val="left"/>
      <w:pPr>
        <w:ind w:left="1020" w:hanging="360"/>
      </w:pPr>
    </w:lvl>
    <w:lvl w:ilvl="3" w:tplc="673C0A38">
      <w:start w:val="1"/>
      <w:numFmt w:val="decimal"/>
      <w:lvlText w:val="%4)"/>
      <w:lvlJc w:val="left"/>
      <w:pPr>
        <w:ind w:left="1020" w:hanging="360"/>
      </w:pPr>
    </w:lvl>
    <w:lvl w:ilvl="4" w:tplc="7EA875E6">
      <w:start w:val="1"/>
      <w:numFmt w:val="decimal"/>
      <w:lvlText w:val="%5)"/>
      <w:lvlJc w:val="left"/>
      <w:pPr>
        <w:ind w:left="1020" w:hanging="360"/>
      </w:pPr>
    </w:lvl>
    <w:lvl w:ilvl="5" w:tplc="812CE4BE">
      <w:start w:val="1"/>
      <w:numFmt w:val="decimal"/>
      <w:lvlText w:val="%6)"/>
      <w:lvlJc w:val="left"/>
      <w:pPr>
        <w:ind w:left="1020" w:hanging="360"/>
      </w:pPr>
    </w:lvl>
    <w:lvl w:ilvl="6" w:tplc="D7C2C296">
      <w:start w:val="1"/>
      <w:numFmt w:val="decimal"/>
      <w:lvlText w:val="%7)"/>
      <w:lvlJc w:val="left"/>
      <w:pPr>
        <w:ind w:left="1020" w:hanging="360"/>
      </w:pPr>
    </w:lvl>
    <w:lvl w:ilvl="7" w:tplc="8BEAF3BC">
      <w:start w:val="1"/>
      <w:numFmt w:val="decimal"/>
      <w:lvlText w:val="%8)"/>
      <w:lvlJc w:val="left"/>
      <w:pPr>
        <w:ind w:left="1020" w:hanging="360"/>
      </w:pPr>
    </w:lvl>
    <w:lvl w:ilvl="8" w:tplc="11F2D2FE">
      <w:start w:val="1"/>
      <w:numFmt w:val="decimal"/>
      <w:lvlText w:val="%9)"/>
      <w:lvlJc w:val="left"/>
      <w:pPr>
        <w:ind w:left="1020" w:hanging="360"/>
      </w:pPr>
    </w:lvl>
  </w:abstractNum>
  <w:abstractNum w:abstractNumId="12" w15:restartNumberingAfterBreak="0">
    <w:nsid w:val="75DE0425"/>
    <w:multiLevelType w:val="hybridMultilevel"/>
    <w:tmpl w:val="67269A20"/>
    <w:lvl w:ilvl="0" w:tplc="5EBA6E1C">
      <w:start w:val="1"/>
      <w:numFmt w:val="decimal"/>
      <w:lvlText w:val="%1)"/>
      <w:lvlJc w:val="left"/>
      <w:pPr>
        <w:ind w:left="1020" w:hanging="360"/>
      </w:pPr>
    </w:lvl>
    <w:lvl w:ilvl="1" w:tplc="AAB450D4">
      <w:start w:val="1"/>
      <w:numFmt w:val="decimal"/>
      <w:lvlText w:val="%2)"/>
      <w:lvlJc w:val="left"/>
      <w:pPr>
        <w:ind w:left="1020" w:hanging="360"/>
      </w:pPr>
    </w:lvl>
    <w:lvl w:ilvl="2" w:tplc="35C6461E">
      <w:start w:val="1"/>
      <w:numFmt w:val="decimal"/>
      <w:lvlText w:val="%3)"/>
      <w:lvlJc w:val="left"/>
      <w:pPr>
        <w:ind w:left="1020" w:hanging="360"/>
      </w:pPr>
    </w:lvl>
    <w:lvl w:ilvl="3" w:tplc="7A628A54">
      <w:start w:val="1"/>
      <w:numFmt w:val="decimal"/>
      <w:lvlText w:val="%4)"/>
      <w:lvlJc w:val="left"/>
      <w:pPr>
        <w:ind w:left="1020" w:hanging="360"/>
      </w:pPr>
    </w:lvl>
    <w:lvl w:ilvl="4" w:tplc="616CCAE6">
      <w:start w:val="1"/>
      <w:numFmt w:val="decimal"/>
      <w:lvlText w:val="%5)"/>
      <w:lvlJc w:val="left"/>
      <w:pPr>
        <w:ind w:left="1020" w:hanging="360"/>
      </w:pPr>
    </w:lvl>
    <w:lvl w:ilvl="5" w:tplc="5878750A">
      <w:start w:val="1"/>
      <w:numFmt w:val="decimal"/>
      <w:lvlText w:val="%6)"/>
      <w:lvlJc w:val="left"/>
      <w:pPr>
        <w:ind w:left="1020" w:hanging="360"/>
      </w:pPr>
    </w:lvl>
    <w:lvl w:ilvl="6" w:tplc="8E4EDDCA">
      <w:start w:val="1"/>
      <w:numFmt w:val="decimal"/>
      <w:lvlText w:val="%7)"/>
      <w:lvlJc w:val="left"/>
      <w:pPr>
        <w:ind w:left="1020" w:hanging="360"/>
      </w:pPr>
    </w:lvl>
    <w:lvl w:ilvl="7" w:tplc="108ABFB0">
      <w:start w:val="1"/>
      <w:numFmt w:val="decimal"/>
      <w:lvlText w:val="%8)"/>
      <w:lvlJc w:val="left"/>
      <w:pPr>
        <w:ind w:left="1020" w:hanging="360"/>
      </w:pPr>
    </w:lvl>
    <w:lvl w:ilvl="8" w:tplc="35BA784E">
      <w:start w:val="1"/>
      <w:numFmt w:val="decimal"/>
      <w:lvlText w:val="%9)"/>
      <w:lvlJc w:val="left"/>
      <w:pPr>
        <w:ind w:left="1020" w:hanging="360"/>
      </w:pPr>
    </w:lvl>
  </w:abstractNum>
  <w:num w:numId="1" w16cid:durableId="211775558">
    <w:abstractNumId w:val="6"/>
  </w:num>
  <w:num w:numId="2" w16cid:durableId="1332752188">
    <w:abstractNumId w:val="3"/>
  </w:num>
  <w:num w:numId="3" w16cid:durableId="1570458223">
    <w:abstractNumId w:val="5"/>
  </w:num>
  <w:num w:numId="4" w16cid:durableId="1708024441">
    <w:abstractNumId w:val="1"/>
  </w:num>
  <w:num w:numId="5" w16cid:durableId="896017731">
    <w:abstractNumId w:val="4"/>
  </w:num>
  <w:num w:numId="6" w16cid:durableId="1504126112">
    <w:abstractNumId w:val="8"/>
  </w:num>
  <w:num w:numId="7" w16cid:durableId="1293563243">
    <w:abstractNumId w:val="0"/>
  </w:num>
  <w:num w:numId="8" w16cid:durableId="106437326">
    <w:abstractNumId w:val="2"/>
  </w:num>
  <w:num w:numId="9" w16cid:durableId="1885095976">
    <w:abstractNumId w:val="9"/>
  </w:num>
  <w:num w:numId="10" w16cid:durableId="766730844">
    <w:abstractNumId w:val="7"/>
  </w:num>
  <w:num w:numId="11" w16cid:durableId="1553466586">
    <w:abstractNumId w:val="12"/>
  </w:num>
  <w:num w:numId="12" w16cid:durableId="632057286">
    <w:abstractNumId w:val="11"/>
  </w:num>
  <w:num w:numId="13" w16cid:durableId="1621689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FA"/>
    <w:rsid w:val="000012DA"/>
    <w:rsid w:val="0000246E"/>
    <w:rsid w:val="00002D35"/>
    <w:rsid w:val="00003862"/>
    <w:rsid w:val="00007804"/>
    <w:rsid w:val="000101FB"/>
    <w:rsid w:val="00011110"/>
    <w:rsid w:val="00012A35"/>
    <w:rsid w:val="00016099"/>
    <w:rsid w:val="0001706C"/>
    <w:rsid w:val="00017DC2"/>
    <w:rsid w:val="00021522"/>
    <w:rsid w:val="00021A36"/>
    <w:rsid w:val="00023471"/>
    <w:rsid w:val="00023F13"/>
    <w:rsid w:val="00030634"/>
    <w:rsid w:val="00030E03"/>
    <w:rsid w:val="000319C1"/>
    <w:rsid w:val="00031A8B"/>
    <w:rsid w:val="00031BCA"/>
    <w:rsid w:val="000330FA"/>
    <w:rsid w:val="0003362F"/>
    <w:rsid w:val="000341E8"/>
    <w:rsid w:val="00036B63"/>
    <w:rsid w:val="00037E1A"/>
    <w:rsid w:val="000404CC"/>
    <w:rsid w:val="000420AD"/>
    <w:rsid w:val="00043495"/>
    <w:rsid w:val="00046307"/>
    <w:rsid w:val="00046A75"/>
    <w:rsid w:val="00047312"/>
    <w:rsid w:val="000508BD"/>
    <w:rsid w:val="000517AB"/>
    <w:rsid w:val="0005339C"/>
    <w:rsid w:val="00053C66"/>
    <w:rsid w:val="0005571B"/>
    <w:rsid w:val="00057AB3"/>
    <w:rsid w:val="00060076"/>
    <w:rsid w:val="00060432"/>
    <w:rsid w:val="00060D87"/>
    <w:rsid w:val="000615A5"/>
    <w:rsid w:val="00061A53"/>
    <w:rsid w:val="00064E4C"/>
    <w:rsid w:val="00066901"/>
    <w:rsid w:val="00071BEE"/>
    <w:rsid w:val="00071E5F"/>
    <w:rsid w:val="000736CD"/>
    <w:rsid w:val="00074721"/>
    <w:rsid w:val="0007533B"/>
    <w:rsid w:val="0007545D"/>
    <w:rsid w:val="000760BF"/>
    <w:rsid w:val="0007613E"/>
    <w:rsid w:val="00076BFC"/>
    <w:rsid w:val="000814A7"/>
    <w:rsid w:val="0008437F"/>
    <w:rsid w:val="0008557B"/>
    <w:rsid w:val="00085CE7"/>
    <w:rsid w:val="00086EA7"/>
    <w:rsid w:val="000906EE"/>
    <w:rsid w:val="00091BA2"/>
    <w:rsid w:val="000944EF"/>
    <w:rsid w:val="0009732D"/>
    <w:rsid w:val="000973F0"/>
    <w:rsid w:val="000975DC"/>
    <w:rsid w:val="000A10B8"/>
    <w:rsid w:val="000A1296"/>
    <w:rsid w:val="000A1C27"/>
    <w:rsid w:val="000A1DAD"/>
    <w:rsid w:val="000A2649"/>
    <w:rsid w:val="000A323B"/>
    <w:rsid w:val="000A474A"/>
    <w:rsid w:val="000A5C03"/>
    <w:rsid w:val="000B298D"/>
    <w:rsid w:val="000B5365"/>
    <w:rsid w:val="000B5B2D"/>
    <w:rsid w:val="000B5DCE"/>
    <w:rsid w:val="000C05BA"/>
    <w:rsid w:val="000C0E8F"/>
    <w:rsid w:val="000C1852"/>
    <w:rsid w:val="000C4BC4"/>
    <w:rsid w:val="000C506B"/>
    <w:rsid w:val="000C7157"/>
    <w:rsid w:val="000D0110"/>
    <w:rsid w:val="000D1747"/>
    <w:rsid w:val="000D1C0F"/>
    <w:rsid w:val="000D2468"/>
    <w:rsid w:val="000D318A"/>
    <w:rsid w:val="000D46E1"/>
    <w:rsid w:val="000D6173"/>
    <w:rsid w:val="000D6F83"/>
    <w:rsid w:val="000E25CC"/>
    <w:rsid w:val="000E3694"/>
    <w:rsid w:val="000E3B77"/>
    <w:rsid w:val="000E490F"/>
    <w:rsid w:val="000E6241"/>
    <w:rsid w:val="000F05CB"/>
    <w:rsid w:val="000F2BE3"/>
    <w:rsid w:val="000F37F4"/>
    <w:rsid w:val="000F3D0D"/>
    <w:rsid w:val="000F4E1A"/>
    <w:rsid w:val="000F6ED4"/>
    <w:rsid w:val="000F71D4"/>
    <w:rsid w:val="000F7A6E"/>
    <w:rsid w:val="001042BA"/>
    <w:rsid w:val="00105C46"/>
    <w:rsid w:val="001061D2"/>
    <w:rsid w:val="00106D03"/>
    <w:rsid w:val="00110465"/>
    <w:rsid w:val="00110628"/>
    <w:rsid w:val="00111917"/>
    <w:rsid w:val="0011245A"/>
    <w:rsid w:val="0011493E"/>
    <w:rsid w:val="00115105"/>
    <w:rsid w:val="00115B72"/>
    <w:rsid w:val="00116A2A"/>
    <w:rsid w:val="001209EC"/>
    <w:rsid w:val="00120A9E"/>
    <w:rsid w:val="00124622"/>
    <w:rsid w:val="00124825"/>
    <w:rsid w:val="00125A9C"/>
    <w:rsid w:val="001270A2"/>
    <w:rsid w:val="00131237"/>
    <w:rsid w:val="001329AC"/>
    <w:rsid w:val="00134CA0"/>
    <w:rsid w:val="00137CE3"/>
    <w:rsid w:val="0014026F"/>
    <w:rsid w:val="001477E2"/>
    <w:rsid w:val="00147A47"/>
    <w:rsid w:val="00147AA1"/>
    <w:rsid w:val="001520CF"/>
    <w:rsid w:val="00154DAD"/>
    <w:rsid w:val="0015667C"/>
    <w:rsid w:val="00157110"/>
    <w:rsid w:val="0015742A"/>
    <w:rsid w:val="00157DA1"/>
    <w:rsid w:val="00163147"/>
    <w:rsid w:val="00164C57"/>
    <w:rsid w:val="00164C9D"/>
    <w:rsid w:val="00172F7A"/>
    <w:rsid w:val="00173150"/>
    <w:rsid w:val="00173390"/>
    <w:rsid w:val="001736F0"/>
    <w:rsid w:val="00173BB3"/>
    <w:rsid w:val="001740D0"/>
    <w:rsid w:val="00174CAB"/>
    <w:rsid w:val="00174F2C"/>
    <w:rsid w:val="00180F2A"/>
    <w:rsid w:val="001823E2"/>
    <w:rsid w:val="00184B91"/>
    <w:rsid w:val="00184D4A"/>
    <w:rsid w:val="001859D6"/>
    <w:rsid w:val="00186328"/>
    <w:rsid w:val="00186EC1"/>
    <w:rsid w:val="00191E1F"/>
    <w:rsid w:val="0019473B"/>
    <w:rsid w:val="001949F7"/>
    <w:rsid w:val="001951B8"/>
    <w:rsid w:val="001952B1"/>
    <w:rsid w:val="00196273"/>
    <w:rsid w:val="00196B09"/>
    <w:rsid w:val="00196E39"/>
    <w:rsid w:val="00197649"/>
    <w:rsid w:val="001A01FB"/>
    <w:rsid w:val="001A10E9"/>
    <w:rsid w:val="001A183D"/>
    <w:rsid w:val="001A2B65"/>
    <w:rsid w:val="001A3CD3"/>
    <w:rsid w:val="001A5BEF"/>
    <w:rsid w:val="001A6E46"/>
    <w:rsid w:val="001A7F15"/>
    <w:rsid w:val="001B1CE7"/>
    <w:rsid w:val="001B342E"/>
    <w:rsid w:val="001C1832"/>
    <w:rsid w:val="001C188C"/>
    <w:rsid w:val="001D1783"/>
    <w:rsid w:val="001D2DAA"/>
    <w:rsid w:val="001D53CD"/>
    <w:rsid w:val="001D55A3"/>
    <w:rsid w:val="001D5AF5"/>
    <w:rsid w:val="001D733D"/>
    <w:rsid w:val="001E0AED"/>
    <w:rsid w:val="001E1E73"/>
    <w:rsid w:val="001E28B8"/>
    <w:rsid w:val="001E2A40"/>
    <w:rsid w:val="001E4E0C"/>
    <w:rsid w:val="001E526D"/>
    <w:rsid w:val="001E5655"/>
    <w:rsid w:val="001F1832"/>
    <w:rsid w:val="001F220F"/>
    <w:rsid w:val="001F25B3"/>
    <w:rsid w:val="001F6616"/>
    <w:rsid w:val="001F74AA"/>
    <w:rsid w:val="00202BD4"/>
    <w:rsid w:val="00204A97"/>
    <w:rsid w:val="002114EF"/>
    <w:rsid w:val="00213354"/>
    <w:rsid w:val="00214C90"/>
    <w:rsid w:val="002166AD"/>
    <w:rsid w:val="00216C78"/>
    <w:rsid w:val="002172C2"/>
    <w:rsid w:val="00217871"/>
    <w:rsid w:val="00221ED8"/>
    <w:rsid w:val="002231EA"/>
    <w:rsid w:val="00223FDF"/>
    <w:rsid w:val="002279C0"/>
    <w:rsid w:val="00233828"/>
    <w:rsid w:val="0023727E"/>
    <w:rsid w:val="00242081"/>
    <w:rsid w:val="00243777"/>
    <w:rsid w:val="002441CD"/>
    <w:rsid w:val="002501A3"/>
    <w:rsid w:val="0025166C"/>
    <w:rsid w:val="00252FE5"/>
    <w:rsid w:val="0025304F"/>
    <w:rsid w:val="002555D4"/>
    <w:rsid w:val="00257515"/>
    <w:rsid w:val="00260A41"/>
    <w:rsid w:val="00261A16"/>
    <w:rsid w:val="00262CFE"/>
    <w:rsid w:val="00263522"/>
    <w:rsid w:val="002641FF"/>
    <w:rsid w:val="00264EC6"/>
    <w:rsid w:val="00264F51"/>
    <w:rsid w:val="002653FA"/>
    <w:rsid w:val="002655C0"/>
    <w:rsid w:val="002675A5"/>
    <w:rsid w:val="00271013"/>
    <w:rsid w:val="00273FE4"/>
    <w:rsid w:val="00275A1F"/>
    <w:rsid w:val="002765B4"/>
    <w:rsid w:val="00276A94"/>
    <w:rsid w:val="0029405D"/>
    <w:rsid w:val="00294FA6"/>
    <w:rsid w:val="00295A6F"/>
    <w:rsid w:val="002A19A1"/>
    <w:rsid w:val="002A20C4"/>
    <w:rsid w:val="002A570F"/>
    <w:rsid w:val="002A7292"/>
    <w:rsid w:val="002A7358"/>
    <w:rsid w:val="002A7902"/>
    <w:rsid w:val="002B068E"/>
    <w:rsid w:val="002B0F6B"/>
    <w:rsid w:val="002B199A"/>
    <w:rsid w:val="002B23B8"/>
    <w:rsid w:val="002B4429"/>
    <w:rsid w:val="002B5509"/>
    <w:rsid w:val="002B68A6"/>
    <w:rsid w:val="002B7FAF"/>
    <w:rsid w:val="002C24FA"/>
    <w:rsid w:val="002C4753"/>
    <w:rsid w:val="002D0C4F"/>
    <w:rsid w:val="002D1364"/>
    <w:rsid w:val="002D296F"/>
    <w:rsid w:val="002D4D30"/>
    <w:rsid w:val="002D5000"/>
    <w:rsid w:val="002D598D"/>
    <w:rsid w:val="002D619E"/>
    <w:rsid w:val="002D7188"/>
    <w:rsid w:val="002E1DE3"/>
    <w:rsid w:val="002E2AB6"/>
    <w:rsid w:val="002E3F34"/>
    <w:rsid w:val="002E5F79"/>
    <w:rsid w:val="002E64FA"/>
    <w:rsid w:val="002F09C7"/>
    <w:rsid w:val="002F0A00"/>
    <w:rsid w:val="002F0CFA"/>
    <w:rsid w:val="002F2D49"/>
    <w:rsid w:val="002F4474"/>
    <w:rsid w:val="002F669F"/>
    <w:rsid w:val="002F75C6"/>
    <w:rsid w:val="0030114F"/>
    <w:rsid w:val="00301C97"/>
    <w:rsid w:val="0031004C"/>
    <w:rsid w:val="003105F6"/>
    <w:rsid w:val="00311297"/>
    <w:rsid w:val="003113BE"/>
    <w:rsid w:val="003122CA"/>
    <w:rsid w:val="0031283F"/>
    <w:rsid w:val="003148FD"/>
    <w:rsid w:val="00321080"/>
    <w:rsid w:val="00322D45"/>
    <w:rsid w:val="0032569A"/>
    <w:rsid w:val="00325A1F"/>
    <w:rsid w:val="003268F9"/>
    <w:rsid w:val="00330BAF"/>
    <w:rsid w:val="00331C23"/>
    <w:rsid w:val="00334E3A"/>
    <w:rsid w:val="00335989"/>
    <w:rsid w:val="003361DD"/>
    <w:rsid w:val="00341A6A"/>
    <w:rsid w:val="00343509"/>
    <w:rsid w:val="00345B9C"/>
    <w:rsid w:val="0035294A"/>
    <w:rsid w:val="00352DAE"/>
    <w:rsid w:val="00354EB9"/>
    <w:rsid w:val="00356BC3"/>
    <w:rsid w:val="003602AE"/>
    <w:rsid w:val="00360929"/>
    <w:rsid w:val="003647D5"/>
    <w:rsid w:val="003674B0"/>
    <w:rsid w:val="00367517"/>
    <w:rsid w:val="0037240D"/>
    <w:rsid w:val="00376D3E"/>
    <w:rsid w:val="0037727C"/>
    <w:rsid w:val="00377E70"/>
    <w:rsid w:val="00380904"/>
    <w:rsid w:val="003823EE"/>
    <w:rsid w:val="00382960"/>
    <w:rsid w:val="00384610"/>
    <w:rsid w:val="003846F7"/>
    <w:rsid w:val="003851ED"/>
    <w:rsid w:val="00385B39"/>
    <w:rsid w:val="00386785"/>
    <w:rsid w:val="00390398"/>
    <w:rsid w:val="00390E89"/>
    <w:rsid w:val="00391B1A"/>
    <w:rsid w:val="00394423"/>
    <w:rsid w:val="00396942"/>
    <w:rsid w:val="00396B49"/>
    <w:rsid w:val="00396E3E"/>
    <w:rsid w:val="003A306E"/>
    <w:rsid w:val="003A60DC"/>
    <w:rsid w:val="003A6A46"/>
    <w:rsid w:val="003A7A63"/>
    <w:rsid w:val="003B000C"/>
    <w:rsid w:val="003B0F1D"/>
    <w:rsid w:val="003B34F2"/>
    <w:rsid w:val="003B46E3"/>
    <w:rsid w:val="003B4A57"/>
    <w:rsid w:val="003C0AD9"/>
    <w:rsid w:val="003C0ED0"/>
    <w:rsid w:val="003C1D49"/>
    <w:rsid w:val="003C35C4"/>
    <w:rsid w:val="003D12C2"/>
    <w:rsid w:val="003D1794"/>
    <w:rsid w:val="003D1D09"/>
    <w:rsid w:val="003D31B9"/>
    <w:rsid w:val="003D3867"/>
    <w:rsid w:val="003D6785"/>
    <w:rsid w:val="003E0982"/>
    <w:rsid w:val="003E0D1A"/>
    <w:rsid w:val="003E1081"/>
    <w:rsid w:val="003E2827"/>
    <w:rsid w:val="003E2DA3"/>
    <w:rsid w:val="003F020D"/>
    <w:rsid w:val="003F03D9"/>
    <w:rsid w:val="003F2FBE"/>
    <w:rsid w:val="003F318D"/>
    <w:rsid w:val="003F48A9"/>
    <w:rsid w:val="003F5BAE"/>
    <w:rsid w:val="003F60FF"/>
    <w:rsid w:val="003F6ED7"/>
    <w:rsid w:val="00401C84"/>
    <w:rsid w:val="004020CF"/>
    <w:rsid w:val="00402276"/>
    <w:rsid w:val="00403210"/>
    <w:rsid w:val="004035BB"/>
    <w:rsid w:val="004035EB"/>
    <w:rsid w:val="004036D3"/>
    <w:rsid w:val="00403FFE"/>
    <w:rsid w:val="004059E1"/>
    <w:rsid w:val="00407332"/>
    <w:rsid w:val="00407828"/>
    <w:rsid w:val="00413D8E"/>
    <w:rsid w:val="004140F2"/>
    <w:rsid w:val="0041779E"/>
    <w:rsid w:val="00417B22"/>
    <w:rsid w:val="00421085"/>
    <w:rsid w:val="00423145"/>
    <w:rsid w:val="0042465E"/>
    <w:rsid w:val="00424DF7"/>
    <w:rsid w:val="00425F68"/>
    <w:rsid w:val="00425FC5"/>
    <w:rsid w:val="00431D4B"/>
    <w:rsid w:val="00432B76"/>
    <w:rsid w:val="00434D01"/>
    <w:rsid w:val="00435C09"/>
    <w:rsid w:val="00435D26"/>
    <w:rsid w:val="00440C99"/>
    <w:rsid w:val="0044175C"/>
    <w:rsid w:val="00445F4D"/>
    <w:rsid w:val="00447FE8"/>
    <w:rsid w:val="004504C0"/>
    <w:rsid w:val="00450FC2"/>
    <w:rsid w:val="00452D22"/>
    <w:rsid w:val="00453E17"/>
    <w:rsid w:val="004550FB"/>
    <w:rsid w:val="0046111A"/>
    <w:rsid w:val="00462946"/>
    <w:rsid w:val="00462F80"/>
    <w:rsid w:val="00463024"/>
    <w:rsid w:val="00463F43"/>
    <w:rsid w:val="00464B94"/>
    <w:rsid w:val="004653A8"/>
    <w:rsid w:val="00465A0B"/>
    <w:rsid w:val="0047077C"/>
    <w:rsid w:val="00470B05"/>
    <w:rsid w:val="00470DFF"/>
    <w:rsid w:val="0047207C"/>
    <w:rsid w:val="00472CD6"/>
    <w:rsid w:val="00473E4B"/>
    <w:rsid w:val="00474E3C"/>
    <w:rsid w:val="0047616A"/>
    <w:rsid w:val="00480A58"/>
    <w:rsid w:val="00482151"/>
    <w:rsid w:val="00485FAD"/>
    <w:rsid w:val="00487AED"/>
    <w:rsid w:val="004908E0"/>
    <w:rsid w:val="00491EDF"/>
    <w:rsid w:val="00492A3F"/>
    <w:rsid w:val="00494577"/>
    <w:rsid w:val="00494F62"/>
    <w:rsid w:val="004A2001"/>
    <w:rsid w:val="004A3590"/>
    <w:rsid w:val="004B00A7"/>
    <w:rsid w:val="004B25E2"/>
    <w:rsid w:val="004B34D7"/>
    <w:rsid w:val="004B3624"/>
    <w:rsid w:val="004B5037"/>
    <w:rsid w:val="004B5B2F"/>
    <w:rsid w:val="004B626A"/>
    <w:rsid w:val="004B660E"/>
    <w:rsid w:val="004C05BD"/>
    <w:rsid w:val="004C06FD"/>
    <w:rsid w:val="004C1A07"/>
    <w:rsid w:val="004C3B06"/>
    <w:rsid w:val="004C3F97"/>
    <w:rsid w:val="004C7EE7"/>
    <w:rsid w:val="004D159D"/>
    <w:rsid w:val="004D2DEE"/>
    <w:rsid w:val="004D2E1F"/>
    <w:rsid w:val="004D3A6A"/>
    <w:rsid w:val="004D4726"/>
    <w:rsid w:val="004D7615"/>
    <w:rsid w:val="004D7927"/>
    <w:rsid w:val="004D7FD9"/>
    <w:rsid w:val="004E1324"/>
    <w:rsid w:val="004E19A5"/>
    <w:rsid w:val="004E37E5"/>
    <w:rsid w:val="004E3FDB"/>
    <w:rsid w:val="004E45C3"/>
    <w:rsid w:val="004F12BC"/>
    <w:rsid w:val="004F1F4A"/>
    <w:rsid w:val="004F296D"/>
    <w:rsid w:val="004F508B"/>
    <w:rsid w:val="004F57F9"/>
    <w:rsid w:val="004F695F"/>
    <w:rsid w:val="004F6CA4"/>
    <w:rsid w:val="00500752"/>
    <w:rsid w:val="00501A50"/>
    <w:rsid w:val="0050222D"/>
    <w:rsid w:val="00503AF3"/>
    <w:rsid w:val="0050696D"/>
    <w:rsid w:val="0051094B"/>
    <w:rsid w:val="005110D7"/>
    <w:rsid w:val="00511D99"/>
    <w:rsid w:val="005128D3"/>
    <w:rsid w:val="005147E8"/>
    <w:rsid w:val="005158F2"/>
    <w:rsid w:val="00520470"/>
    <w:rsid w:val="00526DFC"/>
    <w:rsid w:val="00526F43"/>
    <w:rsid w:val="00527651"/>
    <w:rsid w:val="00530FF9"/>
    <w:rsid w:val="00531111"/>
    <w:rsid w:val="005332AD"/>
    <w:rsid w:val="00533B8D"/>
    <w:rsid w:val="00534EA2"/>
    <w:rsid w:val="005363AB"/>
    <w:rsid w:val="00536B8D"/>
    <w:rsid w:val="005406F3"/>
    <w:rsid w:val="00542B9A"/>
    <w:rsid w:val="00544EF4"/>
    <w:rsid w:val="00545E53"/>
    <w:rsid w:val="005479D9"/>
    <w:rsid w:val="00552798"/>
    <w:rsid w:val="005572BD"/>
    <w:rsid w:val="00557A12"/>
    <w:rsid w:val="00560AC7"/>
    <w:rsid w:val="00561AFB"/>
    <w:rsid w:val="00561FA8"/>
    <w:rsid w:val="005635ED"/>
    <w:rsid w:val="00564D37"/>
    <w:rsid w:val="00565253"/>
    <w:rsid w:val="00570191"/>
    <w:rsid w:val="00570570"/>
    <w:rsid w:val="00572512"/>
    <w:rsid w:val="00573745"/>
    <w:rsid w:val="00573EE6"/>
    <w:rsid w:val="0057547F"/>
    <w:rsid w:val="005754EE"/>
    <w:rsid w:val="0057617E"/>
    <w:rsid w:val="00576497"/>
    <w:rsid w:val="005835E7"/>
    <w:rsid w:val="0058397F"/>
    <w:rsid w:val="00583BF8"/>
    <w:rsid w:val="00583EBB"/>
    <w:rsid w:val="00585F33"/>
    <w:rsid w:val="0058726B"/>
    <w:rsid w:val="00591124"/>
    <w:rsid w:val="00597024"/>
    <w:rsid w:val="005A0274"/>
    <w:rsid w:val="005A095C"/>
    <w:rsid w:val="005A669D"/>
    <w:rsid w:val="005A75D8"/>
    <w:rsid w:val="005B3444"/>
    <w:rsid w:val="005B5BEF"/>
    <w:rsid w:val="005B713E"/>
    <w:rsid w:val="005C03B6"/>
    <w:rsid w:val="005C348E"/>
    <w:rsid w:val="005C59A8"/>
    <w:rsid w:val="005C68E1"/>
    <w:rsid w:val="005D0BB2"/>
    <w:rsid w:val="005D343F"/>
    <w:rsid w:val="005D3763"/>
    <w:rsid w:val="005D4CC0"/>
    <w:rsid w:val="005D4E7B"/>
    <w:rsid w:val="005D55E1"/>
    <w:rsid w:val="005E19F7"/>
    <w:rsid w:val="005E1E8B"/>
    <w:rsid w:val="005E4164"/>
    <w:rsid w:val="005E4F04"/>
    <w:rsid w:val="005E62C2"/>
    <w:rsid w:val="005E6C71"/>
    <w:rsid w:val="005E738A"/>
    <w:rsid w:val="005F0963"/>
    <w:rsid w:val="005F1168"/>
    <w:rsid w:val="005F2824"/>
    <w:rsid w:val="005F2EBA"/>
    <w:rsid w:val="005F35ED"/>
    <w:rsid w:val="005F46C4"/>
    <w:rsid w:val="005F65BB"/>
    <w:rsid w:val="005F7812"/>
    <w:rsid w:val="005F7A88"/>
    <w:rsid w:val="00603A1A"/>
    <w:rsid w:val="006046D5"/>
    <w:rsid w:val="00607A93"/>
    <w:rsid w:val="00610C08"/>
    <w:rsid w:val="00611A9E"/>
    <w:rsid w:val="00611F74"/>
    <w:rsid w:val="00615772"/>
    <w:rsid w:val="00621256"/>
    <w:rsid w:val="00621FCC"/>
    <w:rsid w:val="00622E4B"/>
    <w:rsid w:val="0062473E"/>
    <w:rsid w:val="0062513B"/>
    <w:rsid w:val="00626D17"/>
    <w:rsid w:val="00627048"/>
    <w:rsid w:val="0063160A"/>
    <w:rsid w:val="006333DA"/>
    <w:rsid w:val="00634530"/>
    <w:rsid w:val="00635134"/>
    <w:rsid w:val="006356E2"/>
    <w:rsid w:val="0064227D"/>
    <w:rsid w:val="00642A65"/>
    <w:rsid w:val="0064457C"/>
    <w:rsid w:val="00645DCE"/>
    <w:rsid w:val="006465AC"/>
    <w:rsid w:val="006465BF"/>
    <w:rsid w:val="0065091D"/>
    <w:rsid w:val="00652267"/>
    <w:rsid w:val="0065380C"/>
    <w:rsid w:val="00653B22"/>
    <w:rsid w:val="0065532E"/>
    <w:rsid w:val="00657BF4"/>
    <w:rsid w:val="006603FB"/>
    <w:rsid w:val="006608DF"/>
    <w:rsid w:val="006623AC"/>
    <w:rsid w:val="00666E9E"/>
    <w:rsid w:val="006678AF"/>
    <w:rsid w:val="006701EF"/>
    <w:rsid w:val="0067348B"/>
    <w:rsid w:val="00673BA5"/>
    <w:rsid w:val="0068002B"/>
    <w:rsid w:val="00680058"/>
    <w:rsid w:val="00681F9F"/>
    <w:rsid w:val="006840EA"/>
    <w:rsid w:val="006844E2"/>
    <w:rsid w:val="00685267"/>
    <w:rsid w:val="006866C5"/>
    <w:rsid w:val="006872AE"/>
    <w:rsid w:val="00690082"/>
    <w:rsid w:val="00690252"/>
    <w:rsid w:val="00690510"/>
    <w:rsid w:val="006923AB"/>
    <w:rsid w:val="0069354F"/>
    <w:rsid w:val="006946BB"/>
    <w:rsid w:val="006969FA"/>
    <w:rsid w:val="006A35D5"/>
    <w:rsid w:val="006A748A"/>
    <w:rsid w:val="006B087A"/>
    <w:rsid w:val="006C33BA"/>
    <w:rsid w:val="006C419E"/>
    <w:rsid w:val="006C4A31"/>
    <w:rsid w:val="006C5AC2"/>
    <w:rsid w:val="006C6AFB"/>
    <w:rsid w:val="006C6D6E"/>
    <w:rsid w:val="006C74CD"/>
    <w:rsid w:val="006D2735"/>
    <w:rsid w:val="006D3608"/>
    <w:rsid w:val="006D45B2"/>
    <w:rsid w:val="006E0FCC"/>
    <w:rsid w:val="006E1E96"/>
    <w:rsid w:val="006E5E21"/>
    <w:rsid w:val="006E67C2"/>
    <w:rsid w:val="006E6A55"/>
    <w:rsid w:val="006F1D80"/>
    <w:rsid w:val="006F2648"/>
    <w:rsid w:val="006F2F10"/>
    <w:rsid w:val="006F482B"/>
    <w:rsid w:val="006F6311"/>
    <w:rsid w:val="00701952"/>
    <w:rsid w:val="00702556"/>
    <w:rsid w:val="0070277E"/>
    <w:rsid w:val="00704156"/>
    <w:rsid w:val="007052E4"/>
    <w:rsid w:val="007069FC"/>
    <w:rsid w:val="00711221"/>
    <w:rsid w:val="00712675"/>
    <w:rsid w:val="00712961"/>
    <w:rsid w:val="00713808"/>
    <w:rsid w:val="007151B6"/>
    <w:rsid w:val="0071520D"/>
    <w:rsid w:val="00715A51"/>
    <w:rsid w:val="00715EDB"/>
    <w:rsid w:val="007160D5"/>
    <w:rsid w:val="007163FB"/>
    <w:rsid w:val="00717C2E"/>
    <w:rsid w:val="007204FA"/>
    <w:rsid w:val="007213B3"/>
    <w:rsid w:val="0072457F"/>
    <w:rsid w:val="00725406"/>
    <w:rsid w:val="0072621B"/>
    <w:rsid w:val="00730555"/>
    <w:rsid w:val="00730B0F"/>
    <w:rsid w:val="007312CC"/>
    <w:rsid w:val="00734A24"/>
    <w:rsid w:val="00734F4D"/>
    <w:rsid w:val="00736A64"/>
    <w:rsid w:val="00737F6A"/>
    <w:rsid w:val="007410B6"/>
    <w:rsid w:val="00744C6F"/>
    <w:rsid w:val="007457F6"/>
    <w:rsid w:val="0074599F"/>
    <w:rsid w:val="00745ABB"/>
    <w:rsid w:val="00746E38"/>
    <w:rsid w:val="00747C8C"/>
    <w:rsid w:val="00747CD5"/>
    <w:rsid w:val="00752639"/>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2852"/>
    <w:rsid w:val="0078498A"/>
    <w:rsid w:val="007878FE"/>
    <w:rsid w:val="00792207"/>
    <w:rsid w:val="00792B64"/>
    <w:rsid w:val="00792E29"/>
    <w:rsid w:val="0079379A"/>
    <w:rsid w:val="00794953"/>
    <w:rsid w:val="007A1F2F"/>
    <w:rsid w:val="007A2A5C"/>
    <w:rsid w:val="007A5150"/>
    <w:rsid w:val="007A5373"/>
    <w:rsid w:val="007A5BAC"/>
    <w:rsid w:val="007A789F"/>
    <w:rsid w:val="007A7E26"/>
    <w:rsid w:val="007B04DA"/>
    <w:rsid w:val="007B0951"/>
    <w:rsid w:val="007B25B5"/>
    <w:rsid w:val="007B75BC"/>
    <w:rsid w:val="007C0BD6"/>
    <w:rsid w:val="007C1033"/>
    <w:rsid w:val="007C3806"/>
    <w:rsid w:val="007C5BB7"/>
    <w:rsid w:val="007D07D5"/>
    <w:rsid w:val="007D1096"/>
    <w:rsid w:val="007D1C64"/>
    <w:rsid w:val="007D216A"/>
    <w:rsid w:val="007D2D42"/>
    <w:rsid w:val="007D32DD"/>
    <w:rsid w:val="007D5B33"/>
    <w:rsid w:val="007D6DCE"/>
    <w:rsid w:val="007D72C4"/>
    <w:rsid w:val="007E2CFE"/>
    <w:rsid w:val="007E3980"/>
    <w:rsid w:val="007E59C9"/>
    <w:rsid w:val="007E6047"/>
    <w:rsid w:val="007F0072"/>
    <w:rsid w:val="007F2EB6"/>
    <w:rsid w:val="007F54C3"/>
    <w:rsid w:val="00802949"/>
    <w:rsid w:val="0080301E"/>
    <w:rsid w:val="0080365F"/>
    <w:rsid w:val="00804031"/>
    <w:rsid w:val="00812BE5"/>
    <w:rsid w:val="00815811"/>
    <w:rsid w:val="00817429"/>
    <w:rsid w:val="0082041D"/>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19B2"/>
    <w:rsid w:val="00852B59"/>
    <w:rsid w:val="00856272"/>
    <w:rsid w:val="008563FF"/>
    <w:rsid w:val="008567A6"/>
    <w:rsid w:val="00856E8E"/>
    <w:rsid w:val="0086018B"/>
    <w:rsid w:val="008611DD"/>
    <w:rsid w:val="008620DE"/>
    <w:rsid w:val="00864D27"/>
    <w:rsid w:val="00866867"/>
    <w:rsid w:val="00867075"/>
    <w:rsid w:val="00872257"/>
    <w:rsid w:val="008753E6"/>
    <w:rsid w:val="0087738C"/>
    <w:rsid w:val="008802AF"/>
    <w:rsid w:val="00881926"/>
    <w:rsid w:val="00882F88"/>
    <w:rsid w:val="0088318F"/>
    <w:rsid w:val="0088331D"/>
    <w:rsid w:val="00883CA0"/>
    <w:rsid w:val="00883DED"/>
    <w:rsid w:val="00884E06"/>
    <w:rsid w:val="008852B0"/>
    <w:rsid w:val="00885AE7"/>
    <w:rsid w:val="00886B60"/>
    <w:rsid w:val="00887889"/>
    <w:rsid w:val="008920FF"/>
    <w:rsid w:val="008926E8"/>
    <w:rsid w:val="008928F4"/>
    <w:rsid w:val="008944C6"/>
    <w:rsid w:val="008947BA"/>
    <w:rsid w:val="00894F19"/>
    <w:rsid w:val="00895773"/>
    <w:rsid w:val="00896A10"/>
    <w:rsid w:val="008971B5"/>
    <w:rsid w:val="008976FC"/>
    <w:rsid w:val="008A5D26"/>
    <w:rsid w:val="008A6B13"/>
    <w:rsid w:val="008A6ECB"/>
    <w:rsid w:val="008B0BF9"/>
    <w:rsid w:val="008B2250"/>
    <w:rsid w:val="008B2866"/>
    <w:rsid w:val="008B3859"/>
    <w:rsid w:val="008B436D"/>
    <w:rsid w:val="008B4E49"/>
    <w:rsid w:val="008B4F98"/>
    <w:rsid w:val="008B7712"/>
    <w:rsid w:val="008B7B26"/>
    <w:rsid w:val="008C3524"/>
    <w:rsid w:val="008C4061"/>
    <w:rsid w:val="008C4229"/>
    <w:rsid w:val="008C56A6"/>
    <w:rsid w:val="008C5BE0"/>
    <w:rsid w:val="008C6F48"/>
    <w:rsid w:val="008C7233"/>
    <w:rsid w:val="008D2434"/>
    <w:rsid w:val="008D5546"/>
    <w:rsid w:val="008D7CAF"/>
    <w:rsid w:val="008E171D"/>
    <w:rsid w:val="008E2785"/>
    <w:rsid w:val="008E78A3"/>
    <w:rsid w:val="008F0654"/>
    <w:rsid w:val="008F06CB"/>
    <w:rsid w:val="008F2E83"/>
    <w:rsid w:val="008F612A"/>
    <w:rsid w:val="0090164C"/>
    <w:rsid w:val="009027BB"/>
    <w:rsid w:val="0090293D"/>
    <w:rsid w:val="009034DE"/>
    <w:rsid w:val="00904798"/>
    <w:rsid w:val="00905396"/>
    <w:rsid w:val="0090605D"/>
    <w:rsid w:val="00906419"/>
    <w:rsid w:val="00912889"/>
    <w:rsid w:val="00913A42"/>
    <w:rsid w:val="00914167"/>
    <w:rsid w:val="0091436D"/>
    <w:rsid w:val="009143DB"/>
    <w:rsid w:val="00914854"/>
    <w:rsid w:val="00915065"/>
    <w:rsid w:val="00916722"/>
    <w:rsid w:val="00917CE5"/>
    <w:rsid w:val="009217C0"/>
    <w:rsid w:val="00924F48"/>
    <w:rsid w:val="00925241"/>
    <w:rsid w:val="00925CEC"/>
    <w:rsid w:val="00926A3F"/>
    <w:rsid w:val="0092794E"/>
    <w:rsid w:val="00930D30"/>
    <w:rsid w:val="009332A2"/>
    <w:rsid w:val="00933F69"/>
    <w:rsid w:val="0093526B"/>
    <w:rsid w:val="00937598"/>
    <w:rsid w:val="0093790B"/>
    <w:rsid w:val="00941484"/>
    <w:rsid w:val="0094187A"/>
    <w:rsid w:val="00943751"/>
    <w:rsid w:val="00946DD0"/>
    <w:rsid w:val="009509E6"/>
    <w:rsid w:val="009519A4"/>
    <w:rsid w:val="00952018"/>
    <w:rsid w:val="00952800"/>
    <w:rsid w:val="0095300D"/>
    <w:rsid w:val="00956812"/>
    <w:rsid w:val="0095719A"/>
    <w:rsid w:val="009623E9"/>
    <w:rsid w:val="00963EEB"/>
    <w:rsid w:val="009648BC"/>
    <w:rsid w:val="00964C2F"/>
    <w:rsid w:val="00965F88"/>
    <w:rsid w:val="009678D9"/>
    <w:rsid w:val="00982DAD"/>
    <w:rsid w:val="00984848"/>
    <w:rsid w:val="00984E03"/>
    <w:rsid w:val="00986D05"/>
    <w:rsid w:val="00987E85"/>
    <w:rsid w:val="00991774"/>
    <w:rsid w:val="009970D5"/>
    <w:rsid w:val="00997766"/>
    <w:rsid w:val="009A001E"/>
    <w:rsid w:val="009A0D12"/>
    <w:rsid w:val="009A1987"/>
    <w:rsid w:val="009A2BEE"/>
    <w:rsid w:val="009A301A"/>
    <w:rsid w:val="009A30F2"/>
    <w:rsid w:val="009A5289"/>
    <w:rsid w:val="009A7A53"/>
    <w:rsid w:val="009B0402"/>
    <w:rsid w:val="009B0B75"/>
    <w:rsid w:val="009B145A"/>
    <w:rsid w:val="009B16DF"/>
    <w:rsid w:val="009B4CB2"/>
    <w:rsid w:val="009B6701"/>
    <w:rsid w:val="009B6EF7"/>
    <w:rsid w:val="009B7000"/>
    <w:rsid w:val="009B739C"/>
    <w:rsid w:val="009C04EC"/>
    <w:rsid w:val="009C328C"/>
    <w:rsid w:val="009C3BA1"/>
    <w:rsid w:val="009C4444"/>
    <w:rsid w:val="009C7566"/>
    <w:rsid w:val="009C79AD"/>
    <w:rsid w:val="009C7CA6"/>
    <w:rsid w:val="009C7F27"/>
    <w:rsid w:val="009D3316"/>
    <w:rsid w:val="009D4443"/>
    <w:rsid w:val="009D55AA"/>
    <w:rsid w:val="009D5C04"/>
    <w:rsid w:val="009D6BAC"/>
    <w:rsid w:val="009E23CF"/>
    <w:rsid w:val="009E3E77"/>
    <w:rsid w:val="009E3FAB"/>
    <w:rsid w:val="009E5B3F"/>
    <w:rsid w:val="009E693D"/>
    <w:rsid w:val="009E7D90"/>
    <w:rsid w:val="009F1AB0"/>
    <w:rsid w:val="009F33B0"/>
    <w:rsid w:val="009F501D"/>
    <w:rsid w:val="00A039D5"/>
    <w:rsid w:val="00A046AD"/>
    <w:rsid w:val="00A079C1"/>
    <w:rsid w:val="00A12520"/>
    <w:rsid w:val="00A12DD8"/>
    <w:rsid w:val="00A130FD"/>
    <w:rsid w:val="00A13D6D"/>
    <w:rsid w:val="00A14769"/>
    <w:rsid w:val="00A16151"/>
    <w:rsid w:val="00A16EC6"/>
    <w:rsid w:val="00A17C06"/>
    <w:rsid w:val="00A20CB3"/>
    <w:rsid w:val="00A2126E"/>
    <w:rsid w:val="00A21706"/>
    <w:rsid w:val="00A24479"/>
    <w:rsid w:val="00A24FCC"/>
    <w:rsid w:val="00A26A90"/>
    <w:rsid w:val="00A26B27"/>
    <w:rsid w:val="00A30B3C"/>
    <w:rsid w:val="00A30E4F"/>
    <w:rsid w:val="00A32253"/>
    <w:rsid w:val="00A3310E"/>
    <w:rsid w:val="00A333A0"/>
    <w:rsid w:val="00A37E70"/>
    <w:rsid w:val="00A4106A"/>
    <w:rsid w:val="00A42550"/>
    <w:rsid w:val="00A437E1"/>
    <w:rsid w:val="00A4685E"/>
    <w:rsid w:val="00A50CD4"/>
    <w:rsid w:val="00A51191"/>
    <w:rsid w:val="00A518D4"/>
    <w:rsid w:val="00A55B13"/>
    <w:rsid w:val="00A56D62"/>
    <w:rsid w:val="00A56F07"/>
    <w:rsid w:val="00A5762C"/>
    <w:rsid w:val="00A600FC"/>
    <w:rsid w:val="00A60BCA"/>
    <w:rsid w:val="00A638DA"/>
    <w:rsid w:val="00A65B41"/>
    <w:rsid w:val="00A65E00"/>
    <w:rsid w:val="00A66A78"/>
    <w:rsid w:val="00A70830"/>
    <w:rsid w:val="00A7436E"/>
    <w:rsid w:val="00A74E96"/>
    <w:rsid w:val="00A75224"/>
    <w:rsid w:val="00A75A8E"/>
    <w:rsid w:val="00A824DD"/>
    <w:rsid w:val="00A82CDE"/>
    <w:rsid w:val="00A83676"/>
    <w:rsid w:val="00A83B7B"/>
    <w:rsid w:val="00A84274"/>
    <w:rsid w:val="00A850F3"/>
    <w:rsid w:val="00A864E3"/>
    <w:rsid w:val="00A873B4"/>
    <w:rsid w:val="00A91608"/>
    <w:rsid w:val="00A91AFF"/>
    <w:rsid w:val="00A94574"/>
    <w:rsid w:val="00A94A0A"/>
    <w:rsid w:val="00A95936"/>
    <w:rsid w:val="00A96265"/>
    <w:rsid w:val="00A97084"/>
    <w:rsid w:val="00AA1C2C"/>
    <w:rsid w:val="00AA2F8B"/>
    <w:rsid w:val="00AA35F6"/>
    <w:rsid w:val="00AA3C07"/>
    <w:rsid w:val="00AA667C"/>
    <w:rsid w:val="00AA6888"/>
    <w:rsid w:val="00AA6E91"/>
    <w:rsid w:val="00AA7439"/>
    <w:rsid w:val="00AB047E"/>
    <w:rsid w:val="00AB0B0A"/>
    <w:rsid w:val="00AB0BB7"/>
    <w:rsid w:val="00AB22C6"/>
    <w:rsid w:val="00AB2667"/>
    <w:rsid w:val="00AB2AD0"/>
    <w:rsid w:val="00AB67FC"/>
    <w:rsid w:val="00AB6EE2"/>
    <w:rsid w:val="00AC00F2"/>
    <w:rsid w:val="00AC31B5"/>
    <w:rsid w:val="00AC4EA1"/>
    <w:rsid w:val="00AC5381"/>
    <w:rsid w:val="00AC5920"/>
    <w:rsid w:val="00AD0E65"/>
    <w:rsid w:val="00AD2BF2"/>
    <w:rsid w:val="00AD4E90"/>
    <w:rsid w:val="00AD5422"/>
    <w:rsid w:val="00AD5436"/>
    <w:rsid w:val="00AE3AA1"/>
    <w:rsid w:val="00AE4179"/>
    <w:rsid w:val="00AE4425"/>
    <w:rsid w:val="00AE48E9"/>
    <w:rsid w:val="00AE4FBE"/>
    <w:rsid w:val="00AE650F"/>
    <w:rsid w:val="00AE6555"/>
    <w:rsid w:val="00AE769E"/>
    <w:rsid w:val="00AE7D16"/>
    <w:rsid w:val="00AF4CAA"/>
    <w:rsid w:val="00AF571A"/>
    <w:rsid w:val="00AF5DD0"/>
    <w:rsid w:val="00AF5F47"/>
    <w:rsid w:val="00AF60A0"/>
    <w:rsid w:val="00AF67FC"/>
    <w:rsid w:val="00AF7DF5"/>
    <w:rsid w:val="00B006E5"/>
    <w:rsid w:val="00B024C2"/>
    <w:rsid w:val="00B042FB"/>
    <w:rsid w:val="00B05D46"/>
    <w:rsid w:val="00B07700"/>
    <w:rsid w:val="00B13921"/>
    <w:rsid w:val="00B1528C"/>
    <w:rsid w:val="00B16ACD"/>
    <w:rsid w:val="00B21487"/>
    <w:rsid w:val="00B21FCF"/>
    <w:rsid w:val="00B232D1"/>
    <w:rsid w:val="00B24DB5"/>
    <w:rsid w:val="00B30854"/>
    <w:rsid w:val="00B31F9E"/>
    <w:rsid w:val="00B3268F"/>
    <w:rsid w:val="00B32C2C"/>
    <w:rsid w:val="00B33A1A"/>
    <w:rsid w:val="00B33AD2"/>
    <w:rsid w:val="00B33E6C"/>
    <w:rsid w:val="00B36332"/>
    <w:rsid w:val="00B371CC"/>
    <w:rsid w:val="00B41CD9"/>
    <w:rsid w:val="00B427E6"/>
    <w:rsid w:val="00B428A6"/>
    <w:rsid w:val="00B43E1F"/>
    <w:rsid w:val="00B45FBC"/>
    <w:rsid w:val="00B51600"/>
    <w:rsid w:val="00B51A7D"/>
    <w:rsid w:val="00B531E3"/>
    <w:rsid w:val="00B535C2"/>
    <w:rsid w:val="00B53F11"/>
    <w:rsid w:val="00B549E1"/>
    <w:rsid w:val="00B55544"/>
    <w:rsid w:val="00B5610F"/>
    <w:rsid w:val="00B56CB5"/>
    <w:rsid w:val="00B642FC"/>
    <w:rsid w:val="00B64D26"/>
    <w:rsid w:val="00B64FBB"/>
    <w:rsid w:val="00B66006"/>
    <w:rsid w:val="00B66813"/>
    <w:rsid w:val="00B673B9"/>
    <w:rsid w:val="00B677F9"/>
    <w:rsid w:val="00B70E22"/>
    <w:rsid w:val="00B7239A"/>
    <w:rsid w:val="00B774CB"/>
    <w:rsid w:val="00B77633"/>
    <w:rsid w:val="00B80402"/>
    <w:rsid w:val="00B80B9A"/>
    <w:rsid w:val="00B830B7"/>
    <w:rsid w:val="00B848EA"/>
    <w:rsid w:val="00B84B2B"/>
    <w:rsid w:val="00B90500"/>
    <w:rsid w:val="00B90FDE"/>
    <w:rsid w:val="00B9176C"/>
    <w:rsid w:val="00B935A4"/>
    <w:rsid w:val="00B95BFD"/>
    <w:rsid w:val="00B96B4A"/>
    <w:rsid w:val="00B96D61"/>
    <w:rsid w:val="00BA561A"/>
    <w:rsid w:val="00BA6BE8"/>
    <w:rsid w:val="00BB0DC6"/>
    <w:rsid w:val="00BB15E4"/>
    <w:rsid w:val="00BB1E19"/>
    <w:rsid w:val="00BB21D1"/>
    <w:rsid w:val="00BB32F2"/>
    <w:rsid w:val="00BB3D59"/>
    <w:rsid w:val="00BB4338"/>
    <w:rsid w:val="00BB5D51"/>
    <w:rsid w:val="00BB6C0E"/>
    <w:rsid w:val="00BB7B38"/>
    <w:rsid w:val="00BC11E5"/>
    <w:rsid w:val="00BC2D28"/>
    <w:rsid w:val="00BC4BC6"/>
    <w:rsid w:val="00BC52FD"/>
    <w:rsid w:val="00BC6592"/>
    <w:rsid w:val="00BC6E62"/>
    <w:rsid w:val="00BC7443"/>
    <w:rsid w:val="00BD0648"/>
    <w:rsid w:val="00BD1040"/>
    <w:rsid w:val="00BD12E0"/>
    <w:rsid w:val="00BD34AA"/>
    <w:rsid w:val="00BE0C44"/>
    <w:rsid w:val="00BE1B8B"/>
    <w:rsid w:val="00BE2A18"/>
    <w:rsid w:val="00BE2C01"/>
    <w:rsid w:val="00BE41EC"/>
    <w:rsid w:val="00BE510C"/>
    <w:rsid w:val="00BE56FB"/>
    <w:rsid w:val="00BE7AC4"/>
    <w:rsid w:val="00BF3DDE"/>
    <w:rsid w:val="00BF4B85"/>
    <w:rsid w:val="00BF6589"/>
    <w:rsid w:val="00BF6F7F"/>
    <w:rsid w:val="00C00647"/>
    <w:rsid w:val="00C023B8"/>
    <w:rsid w:val="00C02764"/>
    <w:rsid w:val="00C04CEF"/>
    <w:rsid w:val="00C0662F"/>
    <w:rsid w:val="00C11943"/>
    <w:rsid w:val="00C12E96"/>
    <w:rsid w:val="00C14763"/>
    <w:rsid w:val="00C16141"/>
    <w:rsid w:val="00C17B1A"/>
    <w:rsid w:val="00C2363F"/>
    <w:rsid w:val="00C236C8"/>
    <w:rsid w:val="00C25A87"/>
    <w:rsid w:val="00C260B1"/>
    <w:rsid w:val="00C26E56"/>
    <w:rsid w:val="00C30475"/>
    <w:rsid w:val="00C31406"/>
    <w:rsid w:val="00C35F24"/>
    <w:rsid w:val="00C37194"/>
    <w:rsid w:val="00C40637"/>
    <w:rsid w:val="00C40F6C"/>
    <w:rsid w:val="00C44426"/>
    <w:rsid w:val="00C445F3"/>
    <w:rsid w:val="00C451F4"/>
    <w:rsid w:val="00C45EB1"/>
    <w:rsid w:val="00C54A3A"/>
    <w:rsid w:val="00C55566"/>
    <w:rsid w:val="00C56448"/>
    <w:rsid w:val="00C60567"/>
    <w:rsid w:val="00C667BE"/>
    <w:rsid w:val="00C6766B"/>
    <w:rsid w:val="00C71289"/>
    <w:rsid w:val="00C72223"/>
    <w:rsid w:val="00C75990"/>
    <w:rsid w:val="00C76417"/>
    <w:rsid w:val="00C7726F"/>
    <w:rsid w:val="00C823DA"/>
    <w:rsid w:val="00C8259F"/>
    <w:rsid w:val="00C82746"/>
    <w:rsid w:val="00C8312F"/>
    <w:rsid w:val="00C84C47"/>
    <w:rsid w:val="00C858A4"/>
    <w:rsid w:val="00C86AFA"/>
    <w:rsid w:val="00C93F3D"/>
    <w:rsid w:val="00CA1036"/>
    <w:rsid w:val="00CA63F0"/>
    <w:rsid w:val="00CB1769"/>
    <w:rsid w:val="00CB18D0"/>
    <w:rsid w:val="00CB1C8A"/>
    <w:rsid w:val="00CB1D9B"/>
    <w:rsid w:val="00CB22A6"/>
    <w:rsid w:val="00CB24F5"/>
    <w:rsid w:val="00CB2663"/>
    <w:rsid w:val="00CB3BBE"/>
    <w:rsid w:val="00CB3C1E"/>
    <w:rsid w:val="00CB59E9"/>
    <w:rsid w:val="00CB6811"/>
    <w:rsid w:val="00CC0D6A"/>
    <w:rsid w:val="00CC183F"/>
    <w:rsid w:val="00CC3831"/>
    <w:rsid w:val="00CC3E3D"/>
    <w:rsid w:val="00CC519B"/>
    <w:rsid w:val="00CC5390"/>
    <w:rsid w:val="00CC74B6"/>
    <w:rsid w:val="00CD12C1"/>
    <w:rsid w:val="00CD214E"/>
    <w:rsid w:val="00CD22EF"/>
    <w:rsid w:val="00CD2DE2"/>
    <w:rsid w:val="00CD46FA"/>
    <w:rsid w:val="00CD4E42"/>
    <w:rsid w:val="00CD5973"/>
    <w:rsid w:val="00CD5FA3"/>
    <w:rsid w:val="00CE31A6"/>
    <w:rsid w:val="00CE35FE"/>
    <w:rsid w:val="00CE5423"/>
    <w:rsid w:val="00CF09AA"/>
    <w:rsid w:val="00CF1F9F"/>
    <w:rsid w:val="00CF4813"/>
    <w:rsid w:val="00CF5233"/>
    <w:rsid w:val="00D029B8"/>
    <w:rsid w:val="00D02F60"/>
    <w:rsid w:val="00D0434F"/>
    <w:rsid w:val="00D0464E"/>
    <w:rsid w:val="00D04A96"/>
    <w:rsid w:val="00D07A7B"/>
    <w:rsid w:val="00D10E06"/>
    <w:rsid w:val="00D12A88"/>
    <w:rsid w:val="00D15197"/>
    <w:rsid w:val="00D16820"/>
    <w:rsid w:val="00D169C8"/>
    <w:rsid w:val="00D1793F"/>
    <w:rsid w:val="00D17B10"/>
    <w:rsid w:val="00D22AF5"/>
    <w:rsid w:val="00D235EA"/>
    <w:rsid w:val="00D247A9"/>
    <w:rsid w:val="00D27E02"/>
    <w:rsid w:val="00D32721"/>
    <w:rsid w:val="00D328DC"/>
    <w:rsid w:val="00D33387"/>
    <w:rsid w:val="00D402FB"/>
    <w:rsid w:val="00D43588"/>
    <w:rsid w:val="00D4698B"/>
    <w:rsid w:val="00D47D7A"/>
    <w:rsid w:val="00D50ABD"/>
    <w:rsid w:val="00D55290"/>
    <w:rsid w:val="00D5541F"/>
    <w:rsid w:val="00D57791"/>
    <w:rsid w:val="00D6046A"/>
    <w:rsid w:val="00D62870"/>
    <w:rsid w:val="00D62EDC"/>
    <w:rsid w:val="00D65522"/>
    <w:rsid w:val="00D655D9"/>
    <w:rsid w:val="00D65872"/>
    <w:rsid w:val="00D676F3"/>
    <w:rsid w:val="00D70EF5"/>
    <w:rsid w:val="00D71024"/>
    <w:rsid w:val="00D71A25"/>
    <w:rsid w:val="00D71FCF"/>
    <w:rsid w:val="00D72A54"/>
    <w:rsid w:val="00D72CC1"/>
    <w:rsid w:val="00D76EC9"/>
    <w:rsid w:val="00D80E7D"/>
    <w:rsid w:val="00D81397"/>
    <w:rsid w:val="00D81B48"/>
    <w:rsid w:val="00D848B9"/>
    <w:rsid w:val="00D87016"/>
    <w:rsid w:val="00D90E69"/>
    <w:rsid w:val="00D91368"/>
    <w:rsid w:val="00D93106"/>
    <w:rsid w:val="00D933E9"/>
    <w:rsid w:val="00D9505D"/>
    <w:rsid w:val="00D953D0"/>
    <w:rsid w:val="00D959F5"/>
    <w:rsid w:val="00D96884"/>
    <w:rsid w:val="00DA247E"/>
    <w:rsid w:val="00DA3FDD"/>
    <w:rsid w:val="00DA47A9"/>
    <w:rsid w:val="00DA7017"/>
    <w:rsid w:val="00DA7028"/>
    <w:rsid w:val="00DB0F13"/>
    <w:rsid w:val="00DB1AD2"/>
    <w:rsid w:val="00DB2B58"/>
    <w:rsid w:val="00DB5206"/>
    <w:rsid w:val="00DB6276"/>
    <w:rsid w:val="00DB63F5"/>
    <w:rsid w:val="00DB7658"/>
    <w:rsid w:val="00DC1C6B"/>
    <w:rsid w:val="00DC2C2E"/>
    <w:rsid w:val="00DC4AF0"/>
    <w:rsid w:val="00DC7886"/>
    <w:rsid w:val="00DD0CF2"/>
    <w:rsid w:val="00DD6AD6"/>
    <w:rsid w:val="00DE1554"/>
    <w:rsid w:val="00DE2901"/>
    <w:rsid w:val="00DE590F"/>
    <w:rsid w:val="00DE7DC1"/>
    <w:rsid w:val="00DF3F7E"/>
    <w:rsid w:val="00DF502A"/>
    <w:rsid w:val="00DF5BB0"/>
    <w:rsid w:val="00DF7648"/>
    <w:rsid w:val="00E00E29"/>
    <w:rsid w:val="00E02BAB"/>
    <w:rsid w:val="00E04CEB"/>
    <w:rsid w:val="00E05825"/>
    <w:rsid w:val="00E060BC"/>
    <w:rsid w:val="00E11420"/>
    <w:rsid w:val="00E132FB"/>
    <w:rsid w:val="00E15C1D"/>
    <w:rsid w:val="00E170B7"/>
    <w:rsid w:val="00E17266"/>
    <w:rsid w:val="00E177DD"/>
    <w:rsid w:val="00E20900"/>
    <w:rsid w:val="00E20C48"/>
    <w:rsid w:val="00E20C7F"/>
    <w:rsid w:val="00E2396E"/>
    <w:rsid w:val="00E24728"/>
    <w:rsid w:val="00E25856"/>
    <w:rsid w:val="00E276AC"/>
    <w:rsid w:val="00E347DF"/>
    <w:rsid w:val="00E34A35"/>
    <w:rsid w:val="00E37C2F"/>
    <w:rsid w:val="00E41436"/>
    <w:rsid w:val="00E41C28"/>
    <w:rsid w:val="00E43C21"/>
    <w:rsid w:val="00E4430E"/>
    <w:rsid w:val="00E46308"/>
    <w:rsid w:val="00E46357"/>
    <w:rsid w:val="00E47A65"/>
    <w:rsid w:val="00E51E17"/>
    <w:rsid w:val="00E52DAB"/>
    <w:rsid w:val="00E539B0"/>
    <w:rsid w:val="00E55994"/>
    <w:rsid w:val="00E60606"/>
    <w:rsid w:val="00E60C66"/>
    <w:rsid w:val="00E60ED9"/>
    <w:rsid w:val="00E60FD7"/>
    <w:rsid w:val="00E6164D"/>
    <w:rsid w:val="00E618C9"/>
    <w:rsid w:val="00E62774"/>
    <w:rsid w:val="00E6307C"/>
    <w:rsid w:val="00E636FA"/>
    <w:rsid w:val="00E63DDA"/>
    <w:rsid w:val="00E66C50"/>
    <w:rsid w:val="00E679D3"/>
    <w:rsid w:val="00E71208"/>
    <w:rsid w:val="00E71444"/>
    <w:rsid w:val="00E71C91"/>
    <w:rsid w:val="00E720A1"/>
    <w:rsid w:val="00E75DDA"/>
    <w:rsid w:val="00E76212"/>
    <w:rsid w:val="00E773E8"/>
    <w:rsid w:val="00E80C0B"/>
    <w:rsid w:val="00E83ADD"/>
    <w:rsid w:val="00E84B5B"/>
    <w:rsid w:val="00E84F38"/>
    <w:rsid w:val="00E85623"/>
    <w:rsid w:val="00E87441"/>
    <w:rsid w:val="00E87CBD"/>
    <w:rsid w:val="00E909A4"/>
    <w:rsid w:val="00E91FAE"/>
    <w:rsid w:val="00E927B2"/>
    <w:rsid w:val="00E966BB"/>
    <w:rsid w:val="00E96E3F"/>
    <w:rsid w:val="00EA270C"/>
    <w:rsid w:val="00EA4888"/>
    <w:rsid w:val="00EA4974"/>
    <w:rsid w:val="00EA532E"/>
    <w:rsid w:val="00EA5EA7"/>
    <w:rsid w:val="00EB06D9"/>
    <w:rsid w:val="00EB192B"/>
    <w:rsid w:val="00EB19ED"/>
    <w:rsid w:val="00EB1CAB"/>
    <w:rsid w:val="00EC0F5A"/>
    <w:rsid w:val="00EC4265"/>
    <w:rsid w:val="00EC4CEB"/>
    <w:rsid w:val="00EC659E"/>
    <w:rsid w:val="00EC672E"/>
    <w:rsid w:val="00ED2072"/>
    <w:rsid w:val="00ED2AE0"/>
    <w:rsid w:val="00ED4B46"/>
    <w:rsid w:val="00ED5553"/>
    <w:rsid w:val="00ED5E36"/>
    <w:rsid w:val="00ED6961"/>
    <w:rsid w:val="00EE0B53"/>
    <w:rsid w:val="00EE405A"/>
    <w:rsid w:val="00EF0B96"/>
    <w:rsid w:val="00EF26D6"/>
    <w:rsid w:val="00EF3486"/>
    <w:rsid w:val="00EF3F86"/>
    <w:rsid w:val="00EF47AF"/>
    <w:rsid w:val="00EF53B6"/>
    <w:rsid w:val="00EF648E"/>
    <w:rsid w:val="00EF7D5A"/>
    <w:rsid w:val="00F00B73"/>
    <w:rsid w:val="00F115CA"/>
    <w:rsid w:val="00F14817"/>
    <w:rsid w:val="00F14CF9"/>
    <w:rsid w:val="00F14EBA"/>
    <w:rsid w:val="00F1510F"/>
    <w:rsid w:val="00F1533A"/>
    <w:rsid w:val="00F15E5A"/>
    <w:rsid w:val="00F17F0A"/>
    <w:rsid w:val="00F247EA"/>
    <w:rsid w:val="00F2668F"/>
    <w:rsid w:val="00F2742F"/>
    <w:rsid w:val="00F2753B"/>
    <w:rsid w:val="00F276A9"/>
    <w:rsid w:val="00F30003"/>
    <w:rsid w:val="00F33F8B"/>
    <w:rsid w:val="00F340B2"/>
    <w:rsid w:val="00F34AD7"/>
    <w:rsid w:val="00F3635D"/>
    <w:rsid w:val="00F36FA6"/>
    <w:rsid w:val="00F43390"/>
    <w:rsid w:val="00F43643"/>
    <w:rsid w:val="00F443B2"/>
    <w:rsid w:val="00F458D8"/>
    <w:rsid w:val="00F4707D"/>
    <w:rsid w:val="00F50237"/>
    <w:rsid w:val="00F53596"/>
    <w:rsid w:val="00F55BA8"/>
    <w:rsid w:val="00F55DB1"/>
    <w:rsid w:val="00F56ACA"/>
    <w:rsid w:val="00F600FE"/>
    <w:rsid w:val="00F62E4D"/>
    <w:rsid w:val="00F6488A"/>
    <w:rsid w:val="00F66806"/>
    <w:rsid w:val="00F66B34"/>
    <w:rsid w:val="00F675B9"/>
    <w:rsid w:val="00F711C9"/>
    <w:rsid w:val="00F74C59"/>
    <w:rsid w:val="00F75C3A"/>
    <w:rsid w:val="00F77A46"/>
    <w:rsid w:val="00F77FB1"/>
    <w:rsid w:val="00F82E30"/>
    <w:rsid w:val="00F831CB"/>
    <w:rsid w:val="00F848A3"/>
    <w:rsid w:val="00F84ACF"/>
    <w:rsid w:val="00F85742"/>
    <w:rsid w:val="00F85BF8"/>
    <w:rsid w:val="00F871CE"/>
    <w:rsid w:val="00F87802"/>
    <w:rsid w:val="00F92C0A"/>
    <w:rsid w:val="00F9415B"/>
    <w:rsid w:val="00F965A0"/>
    <w:rsid w:val="00FA13C2"/>
    <w:rsid w:val="00FA368C"/>
    <w:rsid w:val="00FA3D53"/>
    <w:rsid w:val="00FA6C93"/>
    <w:rsid w:val="00FA736F"/>
    <w:rsid w:val="00FA7F91"/>
    <w:rsid w:val="00FB121C"/>
    <w:rsid w:val="00FB1CDD"/>
    <w:rsid w:val="00FB1FBF"/>
    <w:rsid w:val="00FB2C2F"/>
    <w:rsid w:val="00FB305C"/>
    <w:rsid w:val="00FB4CC5"/>
    <w:rsid w:val="00FC2E3D"/>
    <w:rsid w:val="00FC3BDE"/>
    <w:rsid w:val="00FC3F58"/>
    <w:rsid w:val="00FC42F0"/>
    <w:rsid w:val="00FD0AF7"/>
    <w:rsid w:val="00FD1DBE"/>
    <w:rsid w:val="00FD25A7"/>
    <w:rsid w:val="00FD27B6"/>
    <w:rsid w:val="00FD359C"/>
    <w:rsid w:val="00FD3689"/>
    <w:rsid w:val="00FD42A3"/>
    <w:rsid w:val="00FD7285"/>
    <w:rsid w:val="00FD7468"/>
    <w:rsid w:val="00FD7CE0"/>
    <w:rsid w:val="00FE0554"/>
    <w:rsid w:val="00FE0B3B"/>
    <w:rsid w:val="00FE1BE2"/>
    <w:rsid w:val="00FE2F8D"/>
    <w:rsid w:val="00FE730A"/>
    <w:rsid w:val="00FF0E4B"/>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89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160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B516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unhideWhenUsed/>
    <w:qFormat/>
    <w:rsid w:val="00B51600"/>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9"/>
    <w:semiHidden/>
    <w:unhideWhenUsed/>
    <w:qFormat/>
    <w:rsid w:val="00B516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rsid w:val="00B51600"/>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9"/>
    <w:rsid w:val="00B51600"/>
    <w:rPr>
      <w:rFonts w:asciiTheme="majorHAnsi" w:eastAsiaTheme="majorEastAsia" w:hAnsiTheme="majorHAnsi" w:cstheme="majorBidi"/>
      <w:color w:val="243F60" w:themeColor="accent1" w:themeShade="7F"/>
    </w:rPr>
  </w:style>
  <w:style w:type="character" w:customStyle="1" w:styleId="Nagwek4Znak">
    <w:name w:val="Nagłówek 4 Znak"/>
    <w:basedOn w:val="Domylnaczcionkaakapitu"/>
    <w:link w:val="Nagwek4"/>
    <w:uiPriority w:val="99"/>
    <w:semiHidden/>
    <w:rsid w:val="00B51600"/>
    <w:rPr>
      <w:rFonts w:asciiTheme="majorHAnsi" w:eastAsiaTheme="majorEastAsia" w:hAnsiTheme="majorHAnsi" w:cstheme="majorBidi"/>
      <w:i/>
      <w:iCs/>
      <w:color w:val="365F91" w:themeColor="accent1" w:themeShade="BF"/>
      <w:szCs w:val="20"/>
    </w:rPr>
  </w:style>
  <w:style w:type="paragraph" w:styleId="Akapitzlist">
    <w:name w:val="List Paragraph"/>
    <w:aliases w:val="2,Akapit z listą1,Bullet 1,Dot pt,F5 List Paragraph,Kolorowa lista — akcent 11,List Paragraph Char Char Char,List Paragraph à moi,List Paragraph1,List Paragraph11,List Paragraph_0,Listaszerű bekezdés1,No Spacing1,Numerowanie"/>
    <w:basedOn w:val="Normalny"/>
    <w:uiPriority w:val="34"/>
    <w:qFormat/>
    <w:rsid w:val="00B51600"/>
    <w:pPr>
      <w:widowControl/>
      <w:autoSpaceDE/>
      <w:autoSpaceDN/>
      <w:adjustRightInd/>
      <w:spacing w:line="276" w:lineRule="auto"/>
      <w:ind w:left="720"/>
      <w:contextualSpacing/>
    </w:pPr>
    <w:rPr>
      <w:rFonts w:ascii="Calibri" w:eastAsia="Calibri" w:hAnsi="Calibri" w:cs="Times New Roman"/>
      <w:sz w:val="22"/>
      <w:szCs w:val="22"/>
      <w:lang w:eastAsia="en-US"/>
    </w:rPr>
  </w:style>
  <w:style w:type="paragraph" w:styleId="Poprawka">
    <w:name w:val="Revision"/>
    <w:hidden/>
    <w:uiPriority w:val="99"/>
    <w:semiHidden/>
    <w:rsid w:val="00B51600"/>
    <w:pPr>
      <w:spacing w:line="240" w:lineRule="auto"/>
    </w:pPr>
    <w:rPr>
      <w:rFonts w:ascii="Times New Roman" w:eastAsiaTheme="minorEastAsia" w:hAnsi="Times New Roman" w:cs="Arial"/>
      <w:szCs w:val="20"/>
    </w:rPr>
  </w:style>
  <w:style w:type="paragraph" w:styleId="HTML-wstpniesformatowany">
    <w:name w:val="HTML Preformatted"/>
    <w:basedOn w:val="Normalny"/>
    <w:link w:val="HTML-wstpniesformatowanyZnak"/>
    <w:uiPriority w:val="99"/>
    <w:semiHidden/>
    <w:unhideWhenUsed/>
    <w:rsid w:val="00B51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B51600"/>
    <w:rPr>
      <w:rFonts w:ascii="Courier New" w:hAnsi="Courier New" w:cs="Courier New"/>
      <w:sz w:val="20"/>
      <w:szCs w:val="20"/>
    </w:rPr>
  </w:style>
  <w:style w:type="character" w:styleId="Hipercze">
    <w:name w:val="Hyperlink"/>
    <w:basedOn w:val="Domylnaczcionkaakapitu"/>
    <w:uiPriority w:val="99"/>
    <w:unhideWhenUsed/>
    <w:rsid w:val="00B51600"/>
    <w:rPr>
      <w:color w:val="0000FF" w:themeColor="hyperlink"/>
      <w:u w:val="single"/>
    </w:rPr>
  </w:style>
  <w:style w:type="character" w:styleId="UyteHipercze">
    <w:name w:val="FollowedHyperlink"/>
    <w:basedOn w:val="Domylnaczcionkaakapitu"/>
    <w:uiPriority w:val="99"/>
    <w:semiHidden/>
    <w:unhideWhenUsed/>
    <w:rsid w:val="00B51600"/>
    <w:rPr>
      <w:color w:val="800080" w:themeColor="followedHyperlink"/>
      <w:u w:val="single"/>
    </w:rPr>
  </w:style>
  <w:style w:type="character" w:styleId="Uwydatnienie">
    <w:name w:val="Emphasis"/>
    <w:basedOn w:val="Domylnaczcionkaakapitu"/>
    <w:uiPriority w:val="20"/>
    <w:qFormat/>
    <w:rsid w:val="00B51600"/>
    <w:rPr>
      <w:i/>
      <w:iCs/>
    </w:rPr>
  </w:style>
  <w:style w:type="paragraph" w:styleId="NormalnyWeb">
    <w:name w:val="Normal (Web)"/>
    <w:basedOn w:val="Normalny"/>
    <w:uiPriority w:val="99"/>
    <w:semiHidden/>
    <w:unhideWhenUsed/>
    <w:rsid w:val="00B51600"/>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Nierozpoznanawzmianka1">
    <w:name w:val="Nierozpoznana wzmianka1"/>
    <w:basedOn w:val="Domylnaczcionkaakapitu"/>
    <w:uiPriority w:val="99"/>
    <w:semiHidden/>
    <w:unhideWhenUsed/>
    <w:rsid w:val="00356BC3"/>
    <w:rPr>
      <w:color w:val="605E5C"/>
      <w:shd w:val="clear" w:color="auto" w:fill="E1DFDD"/>
    </w:rPr>
  </w:style>
  <w:style w:type="character" w:customStyle="1" w:styleId="Nierozpoznanawzmianka2">
    <w:name w:val="Nierozpoznana wzmianka2"/>
    <w:basedOn w:val="Domylnaczcionkaakapitu"/>
    <w:uiPriority w:val="99"/>
    <w:semiHidden/>
    <w:unhideWhenUsed/>
    <w:rsid w:val="007A7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68985">
      <w:bodyDiv w:val="1"/>
      <w:marLeft w:val="0"/>
      <w:marRight w:val="0"/>
      <w:marTop w:val="0"/>
      <w:marBottom w:val="0"/>
      <w:divBdr>
        <w:top w:val="none" w:sz="0" w:space="0" w:color="auto"/>
        <w:left w:val="none" w:sz="0" w:space="0" w:color="auto"/>
        <w:bottom w:val="none" w:sz="0" w:space="0" w:color="auto"/>
        <w:right w:val="none" w:sz="0" w:space="0" w:color="auto"/>
      </w:divBdr>
    </w:div>
    <w:div w:id="1089034881">
      <w:bodyDiv w:val="1"/>
      <w:marLeft w:val="0"/>
      <w:marRight w:val="0"/>
      <w:marTop w:val="0"/>
      <w:marBottom w:val="0"/>
      <w:divBdr>
        <w:top w:val="none" w:sz="0" w:space="0" w:color="auto"/>
        <w:left w:val="none" w:sz="0" w:space="0" w:color="auto"/>
        <w:bottom w:val="none" w:sz="0" w:space="0" w:color="auto"/>
        <w:right w:val="none" w:sz="0" w:space="0" w:color="auto"/>
      </w:divBdr>
    </w:div>
    <w:div w:id="169334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ip.lex.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bb20e14d-be6a-46e8-ba22-12335b2c5146" origin="userSelected">
  <element uid="425c2d13-d437-4f49-aeef-11baec0cd680" value=""/>
</sisl>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5F2A56-3B26-49C9-AE32-30DD0BAD59F5}">
  <ds:schemaRefs>
    <ds:schemaRef ds:uri="http://schemas.openxmlformats.org/officeDocument/2006/bibliography"/>
  </ds:schemaRefs>
</ds:datastoreItem>
</file>

<file path=customXml/itemProps3.xml><?xml version="1.0" encoding="utf-8"?>
<ds:datastoreItem xmlns:ds="http://schemas.openxmlformats.org/officeDocument/2006/customXml" ds:itemID="{5001F1BB-0C55-490B-BAFD-0409A05B24B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3507</Words>
  <Characters>21114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2025-09-24T07:09:00Z</dcterms:created>
  <dcterms:modified xsi:type="dcterms:W3CDTF">2025-09-24T07:09:00Z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docIndexRef">
    <vt:lpwstr>0305f3b5-a9ff-414e-bbcf-687e0c9f87a5</vt:lpwstr>
  </property>
  <property fmtid="{D5CDD505-2E9C-101B-9397-08002B2CF9AE}" pid="5" name="bjSaver">
    <vt:lpwstr>YNJybXDrk4hfTBsFYAE/DvcCE8NQWe+F</vt:lpwstr>
  </property>
  <property fmtid="{D5CDD505-2E9C-101B-9397-08002B2CF9AE}" pid="6"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7" name="bjDocumentLabelXML-0">
    <vt:lpwstr>ames.com/2008/01/sie/internal/label"&gt;&lt;element uid="425c2d13-d437-4f49-aeef-11baec0cd680" value="" /&gt;&lt;/sisl&gt;</vt:lpwstr>
  </property>
  <property fmtid="{D5CDD505-2E9C-101B-9397-08002B2CF9AE}" pid="8" name="bjDocumentSecurityLabel">
    <vt:lpwstr>[ Klasyfikacja: Ogólne ]</vt:lpwstr>
  </property>
</Properties>
</file>