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69EF" w14:textId="77777777" w:rsidR="007A59DA" w:rsidRPr="00642A7E" w:rsidRDefault="007A59DA" w:rsidP="00642A7E">
      <w:pPr>
        <w:spacing w:before="120" w:line="360" w:lineRule="auto"/>
        <w:jc w:val="center"/>
        <w:rPr>
          <w:rFonts w:ascii="Times New Roman" w:hAnsi="Times New Roman" w:cs="Times New Roman"/>
          <w:bCs/>
          <w:spacing w:val="20"/>
          <w:sz w:val="24"/>
          <w:szCs w:val="24"/>
        </w:rPr>
      </w:pPr>
      <w:r w:rsidRPr="00642A7E">
        <w:rPr>
          <w:rFonts w:ascii="Times New Roman" w:hAnsi="Times New Roman" w:cs="Times New Roman"/>
          <w:bCs/>
          <w:spacing w:val="20"/>
          <w:sz w:val="24"/>
          <w:szCs w:val="24"/>
        </w:rPr>
        <w:t>UZASADNIENIE</w:t>
      </w:r>
    </w:p>
    <w:p w14:paraId="422AC0E7" w14:textId="77777777" w:rsidR="007A59DA" w:rsidRPr="00642A7E" w:rsidRDefault="007A59DA" w:rsidP="00642A7E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/>
          <w:iCs/>
          <w:sz w:val="24"/>
          <w:szCs w:val="24"/>
        </w:rPr>
        <w:t>Wstęp</w:t>
      </w:r>
    </w:p>
    <w:p w14:paraId="7D3737E7" w14:textId="77777777" w:rsidR="007A59DA" w:rsidRPr="00642A7E" w:rsidRDefault="007A59DA" w:rsidP="00642A7E">
      <w:pPr>
        <w:spacing w:before="12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t>Przedkładany projekt ustawy stanowi odpowiedź na istniejące potrzeby dotyczące uproszczenia przepisów podatkowych w zakresie niektórych zasad amortyzacji podatkowej.</w:t>
      </w:r>
    </w:p>
    <w:p w14:paraId="4A689EE4" w14:textId="77777777" w:rsidR="007A59DA" w:rsidRPr="00642A7E" w:rsidRDefault="007A59DA" w:rsidP="00642A7E">
      <w:pPr>
        <w:spacing w:before="12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t>Projekt ustawy wprowadza zmiany w:</w:t>
      </w:r>
    </w:p>
    <w:p w14:paraId="2AA461FA" w14:textId="52E6598C" w:rsidR="007A59DA" w:rsidRPr="00642A7E" w:rsidRDefault="007A59DA" w:rsidP="00642A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ustawie z dnia 26 lipca 1991 r. o podatku dochodowym od osób fizycznych </w:t>
      </w: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(Dz. U. z 2025 r. poz. 163, z późn. zm.), zwanej dalej „ustawą PIT”</w:t>
      </w:r>
      <w:r w:rsidR="00F4653C"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7F4F82CB" w14:textId="77777777" w:rsidR="007A59DA" w:rsidRPr="00642A7E" w:rsidRDefault="007A59DA" w:rsidP="00642A7E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ustawie z dnia 15 lutego 1992 r. o podatku dochodowym od osób prawnych </w:t>
      </w:r>
      <w:r w:rsidRPr="00642A7E"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(Dz. U. z 2025 r. poz. 278, z późn. zm.), zwanej dalej „ustawą CIT”.</w:t>
      </w:r>
    </w:p>
    <w:p w14:paraId="285990D2" w14:textId="77777777" w:rsidR="007A59DA" w:rsidRPr="00642A7E" w:rsidRDefault="007A59DA" w:rsidP="00642A7E">
      <w:pPr>
        <w:pStyle w:val="Akapitzlist"/>
        <w:spacing w:before="12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F15917F" w14:textId="77777777" w:rsidR="007A59DA" w:rsidRPr="00642A7E" w:rsidRDefault="007A59DA" w:rsidP="00642A7E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42A7E">
        <w:rPr>
          <w:rFonts w:ascii="Times New Roman" w:eastAsia="Calibri" w:hAnsi="Times New Roman" w:cs="Times New Roman"/>
          <w:b/>
          <w:iCs/>
          <w:sz w:val="24"/>
          <w:szCs w:val="24"/>
        </w:rPr>
        <w:t>Szczegółowe omówienie zmian</w:t>
      </w:r>
    </w:p>
    <w:p w14:paraId="497B7A5F" w14:textId="54931919" w:rsidR="007A59DA" w:rsidRPr="00642A7E" w:rsidRDefault="007A59DA" w:rsidP="00642A7E">
      <w:pPr>
        <w:pStyle w:val="TekstpismaMF"/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Zgodnie z aktualnym brzmieniem art. 22j ust. 7 ustawy PIT oraz art. 16j ust. 7 ustawy CIT podatnicy będący mikro-, małymi lub średnimi przedsiębiorcami mogą stosować indywidualne stawki amortyzacyjne dla wytworzonych we własnym zakresie środków trwałych (budynki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br/>
        <w:t>i budowle – grupy 1 i 2 K</w:t>
      </w:r>
      <w:r w:rsidR="006603AF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lasyfikacji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Ś</w:t>
      </w:r>
      <w:r w:rsidR="006603AF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rodków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6603AF" w:rsidRPr="00642A7E">
        <w:rPr>
          <w:rFonts w:ascii="Times New Roman" w:hAnsi="Times New Roman" w:cs="Times New Roman"/>
          <w:sz w:val="24"/>
          <w:szCs w:val="24"/>
          <w:lang w:eastAsia="pl-PL"/>
        </w:rPr>
        <w:t>rwałych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), pod warunkiem że środki te znajdują się na terenie gminy spełniającej dwa kryteria:</w:t>
      </w:r>
    </w:p>
    <w:p w14:paraId="2112620F" w14:textId="2A36BA10" w:rsidR="007A59DA" w:rsidRPr="00642A7E" w:rsidRDefault="007A59DA" w:rsidP="00642A7E">
      <w:pPr>
        <w:pStyle w:val="TekstpismaMF"/>
        <w:numPr>
          <w:ilvl w:val="0"/>
          <w:numId w:val="3"/>
        </w:numPr>
        <w:spacing w:before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>gmina znajduje się w powiecie lub mieście na prawach powiatu, w który</w:t>
      </w:r>
      <w:r w:rsidR="004329C9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przeciętna stopa bezrobocia wynosi co najmniej 120</w:t>
      </w:r>
      <w:r w:rsidR="00432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% przeciętnej stopy bezrobocia w kraju oraz</w:t>
      </w:r>
    </w:p>
    <w:p w14:paraId="5948A13B" w14:textId="193DF07B" w:rsidR="007A59DA" w:rsidRPr="00642A7E" w:rsidRDefault="007A59DA" w:rsidP="00642A7E">
      <w:pPr>
        <w:pStyle w:val="TekstpismaMF"/>
        <w:numPr>
          <w:ilvl w:val="0"/>
          <w:numId w:val="3"/>
        </w:numPr>
        <w:spacing w:before="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indywidualny wskaźnik </w:t>
      </w:r>
      <w:bookmarkStart w:id="0" w:name="_Hlk204006368"/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zamożności </w:t>
      </w:r>
      <w:bookmarkEnd w:id="0"/>
      <w:r w:rsidRPr="00642A7E">
        <w:rPr>
          <w:rFonts w:ascii="Times New Roman" w:hAnsi="Times New Roman" w:cs="Times New Roman"/>
          <w:sz w:val="24"/>
          <w:szCs w:val="24"/>
          <w:lang w:eastAsia="pl-PL"/>
        </w:rPr>
        <w:t>gminy (lub miasta na prawach powiatu) jest niższy niż 100</w:t>
      </w:r>
      <w:r w:rsidR="00432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% wskaźnika zamożności ogółu gmin (miast na prawach powiatu).</w:t>
      </w:r>
    </w:p>
    <w:p w14:paraId="525E2EB9" w14:textId="6A0622F4" w:rsidR="007A59DA" w:rsidRPr="00642A7E" w:rsidRDefault="00D3099C" w:rsidP="00642A7E">
      <w:pPr>
        <w:pStyle w:val="TekstpismaMF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7A59DA" w:rsidRPr="00642A7E">
        <w:rPr>
          <w:rFonts w:ascii="Times New Roman" w:hAnsi="Times New Roman" w:cs="Times New Roman"/>
          <w:sz w:val="24"/>
          <w:szCs w:val="24"/>
          <w:lang w:eastAsia="pl-PL"/>
        </w:rPr>
        <w:t>ryterium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określone w pkt 2</w:t>
      </w:r>
      <w:r w:rsidR="00F4653C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A59DA" w:rsidRPr="00642A7E">
        <w:rPr>
          <w:rFonts w:ascii="Times New Roman" w:hAnsi="Times New Roman" w:cs="Times New Roman"/>
          <w:sz w:val="24"/>
          <w:szCs w:val="24"/>
          <w:lang w:eastAsia="pl-PL"/>
        </w:rPr>
        <w:t>– wskaźnik zamożności – jest ogłaszane corocznie w drodze obwieszczenia ministra właściwego do spraw finansów publicznych na podstawie art. 22j ust. 12 ustawy PIT i art. 16j ust. 12 ustawy CIT.</w:t>
      </w:r>
    </w:p>
    <w:p w14:paraId="02334454" w14:textId="108CB375" w:rsidR="007A59DA" w:rsidRPr="00642A7E" w:rsidRDefault="007A59DA" w:rsidP="00642A7E">
      <w:pPr>
        <w:pStyle w:val="TekstpismaMF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>W związku z wejściem w życie ustawy z dnia 1 października 2024 r. o dochodach jednostek samorządu terytorialnego (Dz.</w:t>
      </w:r>
      <w:r w:rsidR="00F4653C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U. poz. 1572, z późn. zm.), jak również mając na uwadze praktykę obliczania i publikowania tego wskaźnika, zasadn</w:t>
      </w:r>
      <w:r w:rsidR="004329C9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jest zmiana omawianej regulacji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br/>
        <w:t>poprzez rezygnację z kryterium wskaźnika zamożności, dla potrzeb korzystania z preferencyjnej amortyzacji.</w:t>
      </w:r>
    </w:p>
    <w:p w14:paraId="03D10B2F" w14:textId="0B69A760" w:rsidR="007A59DA" w:rsidRPr="00642A7E" w:rsidRDefault="007A59DA" w:rsidP="00642A7E">
      <w:pPr>
        <w:pStyle w:val="TekstpismaMF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Pozostawienie jedynie przesłanki przeciętnej stopy bezrobocia jako warunku lokalizacyjnego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 skorzystania z preferencyjnej amortyzacji należy ocenić jako wystarczające z punktu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widzenia celu przepisu, jakim jest wspieranie inwestycji w regionach o gorszej sytuacji gospodarczej. Zmiana ta jest również zgodna z celem amortyzacyjnej preferencji,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br/>
        <w:t>jakim jest aktywizacja gospodarcza obszarów o trudnej sytuacji na rynku pracy, bez zbędnych barier administracyjno-formalnych.</w:t>
      </w:r>
    </w:p>
    <w:p w14:paraId="081B2297" w14:textId="1C3A8A27" w:rsidR="003F6D04" w:rsidRPr="00642A7E" w:rsidRDefault="003F6D04" w:rsidP="00642A7E">
      <w:pPr>
        <w:pStyle w:val="TekstpismaMF"/>
        <w:spacing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dla potrzeb stosowania tych regulacji w 2025 r. w dalszym ciągu obowiązywać będzie </w:t>
      </w:r>
      <w:r w:rsidR="00DF7FF4" w:rsidRPr="00642A7E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bwieszczenie Ministra Finansów z dnia 16 grudnia 2024</w:t>
      </w:r>
      <w:r w:rsidR="00F4653C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r. w sprawie wartości wskaźnika dochodów podatkowych na jednego mieszkańca w gminie i wskaźnika dochodów podatkowych dla wszystkich gmin na rok 2025 (M.P. z 2024 r. poz.</w:t>
      </w:r>
      <w:r w:rsidR="00C97CD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1083), które zostało wydane na podstawie </w:t>
      </w:r>
      <w:r w:rsidR="00DF7FF4" w:rsidRPr="00642A7E">
        <w:rPr>
          <w:rFonts w:ascii="Times New Roman" w:hAnsi="Times New Roman" w:cs="Times New Roman"/>
          <w:sz w:val="24"/>
          <w:szCs w:val="24"/>
          <w:lang w:eastAsia="pl-PL"/>
        </w:rPr>
        <w:t>art. 99 ust. 3 i art. 100</w:t>
      </w:r>
      <w:r w:rsidR="00982FD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F7FF4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ust. 3 </w:t>
      </w:r>
      <w:r w:rsidRPr="00642A7E">
        <w:rPr>
          <w:rFonts w:ascii="Times New Roman" w:hAnsi="Times New Roman" w:cs="Times New Roman"/>
          <w:sz w:val="24"/>
          <w:szCs w:val="24"/>
          <w:lang w:eastAsia="pl-PL"/>
        </w:rPr>
        <w:t>ustawy z dnia 1 października 2</w:t>
      </w:r>
      <w:r w:rsidR="00010F3C" w:rsidRPr="00642A7E">
        <w:rPr>
          <w:rFonts w:ascii="Times New Roman" w:hAnsi="Times New Roman" w:cs="Times New Roman"/>
          <w:sz w:val="24"/>
          <w:szCs w:val="24"/>
          <w:lang w:eastAsia="pl-PL"/>
        </w:rPr>
        <w:t>024 r. o dochodach jednostek samorządu terytorialnego.</w:t>
      </w:r>
      <w:r w:rsidR="00DF7FF4" w:rsidRPr="00642A7E">
        <w:rPr>
          <w:rFonts w:ascii="Times New Roman" w:hAnsi="Times New Roman" w:cs="Times New Roman"/>
          <w:sz w:val="24"/>
          <w:szCs w:val="24"/>
          <w:lang w:eastAsia="pl-PL"/>
        </w:rPr>
        <w:t xml:space="preserve"> Zmiany zaproponowane w projekcie pozostają bez wpływu na obowiązywanie tego obwieszczenia, które zachowa moc prawną do końca 2025 r.</w:t>
      </w:r>
    </w:p>
    <w:p w14:paraId="05A6B431" w14:textId="77777777" w:rsidR="007A59DA" w:rsidRPr="00642A7E" w:rsidRDefault="007A59DA" w:rsidP="00642A7E">
      <w:pPr>
        <w:pStyle w:val="Akapitzlist"/>
        <w:numPr>
          <w:ilvl w:val="0"/>
          <w:numId w:val="1"/>
        </w:numPr>
        <w:shd w:val="clear" w:color="auto" w:fill="FFFFFF" w:themeFill="background1"/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przejściowe, końcowe</w:t>
      </w:r>
    </w:p>
    <w:p w14:paraId="33A4C9E7" w14:textId="0C625E82" w:rsidR="007524C1" w:rsidRPr="00642A7E" w:rsidRDefault="007524C1" w:rsidP="00642A7E">
      <w:pPr>
        <w:shd w:val="clear" w:color="auto" w:fill="FFFFFF" w:themeFill="background1"/>
        <w:spacing w:before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</w:t>
      </w:r>
      <w:r w:rsidR="003F6D04"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precyzuje, że przepisy art. 22j ustawy PIT oraz art. 16j ustawy CIT, w brzmieniu nadanym ustawą, mają zastosowanie do </w:t>
      </w:r>
      <w:r w:rsidR="00AB1EA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trwałych będących budynkami (lokalami) niemieszkalnymi i budowlami</w:t>
      </w:r>
      <w:r w:rsidR="00F66F27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B1EA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przypadku których po dniu 31 grudnia 2025 r. nastąpiło uprawomocnienie się decyzji o pozwoleniu na budowę albo upłynął termin na wniesienie sprzeciwu wobec dokonanego zgłoszenia budowy albo wydan</w:t>
      </w:r>
      <w:r w:rsidR="001F622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AB1EA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zaświadczeni</w:t>
      </w:r>
      <w:r w:rsidR="001F622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AB1EA0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braku podstaw do wniesienia takiego sprzeciwu, albo nastąpiło wprowadzenie po raz pierwszy do ewidencji środków trwałych oraz wartości niematerialnych i prawnych, jeżeli budowa tego środka trwałego nie wymaga uzyskania decyzji o pozwoleniu na budowę albo dokonania zgłoszenia budowy lub z innych przyczyn nie doszło do wydania takiej decyzji albo dokonania takiego zgłoszenia.</w:t>
      </w:r>
    </w:p>
    <w:p w14:paraId="37F3E190" w14:textId="5D41DAD7" w:rsidR="007A59DA" w:rsidRDefault="007A59DA" w:rsidP="00982FD2">
      <w:pPr>
        <w:shd w:val="clear" w:color="auto" w:fill="FFFFFF" w:themeFill="background1"/>
        <w:spacing w:before="120" w:after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</w:t>
      </w:r>
      <w:r w:rsidR="003F6D04"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stanowi, że projektowana ustawa wejdzie w życie z dniem 1 stycznia 2026 r.</w:t>
      </w:r>
      <w:r w:rsidR="00C97C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wyjątkiem art. 1 pkt 3 w zakresie art. 22j ust. 12 ustawy </w:t>
      </w:r>
      <w:r w:rsidR="006603AF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PIT</w:t>
      </w:r>
      <w:r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art. 2 pkt 3 w zakresie art. 16j ust. 12 ustawy </w:t>
      </w:r>
      <w:r w:rsidR="006603AF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CIT</w:t>
      </w:r>
      <w:r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wchodzą w życie z dniem ogłoszenia. Ww. regulacje ustaw PIT i CIT dotyczą obowiązku obwieszczenia wartości wskaźnika, a ich wejście w życie wraz z ogłoszeniem ustawy spowoduje zniesienie obowiązku obwieszczenia wartości wskaźników na rok 2026.</w:t>
      </w:r>
      <w:r w:rsidR="00AD2507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Projektowane zmiany są korzystne dla podatników w związku z tym uzasadnione jest ich niezwłoczne wejście w życie</w:t>
      </w:r>
      <w:r w:rsidR="00CF77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D2507" w:rsidRPr="00642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żeby możliwe było ich zastosowanie już od 1 stycznia 2026 r.</w:t>
      </w:r>
    </w:p>
    <w:p w14:paraId="7B80D8CD" w14:textId="77777777" w:rsidR="00CF77D3" w:rsidRPr="00642A7E" w:rsidRDefault="00CF77D3" w:rsidP="00642A7E">
      <w:pPr>
        <w:shd w:val="clear" w:color="auto" w:fill="FFFFFF" w:themeFill="background1"/>
        <w:spacing w:before="120" w:after="24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211D38" w14:textId="77777777" w:rsidR="007A59DA" w:rsidRPr="00642A7E" w:rsidRDefault="007A59DA" w:rsidP="00642A7E">
      <w:pPr>
        <w:pStyle w:val="Akapitzlist"/>
        <w:numPr>
          <w:ilvl w:val="0"/>
          <w:numId w:val="1"/>
        </w:numPr>
        <w:shd w:val="clear" w:color="auto" w:fill="FFFFFF" w:themeFill="background1"/>
        <w:spacing w:before="120" w:after="0" w:line="36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</w:t>
      </w:r>
    </w:p>
    <w:p w14:paraId="6B6AA0E4" w14:textId="77777777" w:rsidR="007A59DA" w:rsidRPr="00642A7E" w:rsidRDefault="007A59DA" w:rsidP="00642A7E">
      <w:pPr>
        <w:shd w:val="clear" w:color="auto" w:fill="FFFFFF" w:themeFill="background1"/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jest zgodny z prawem Unii Europejskiej i nie podlega obowiązkowi przedstawienia właściwym instytucjom Unii Europejskiej, w tym Europejskiemu Bankowi Centralnemu, w celu uzyskania opinii, dokonania powiadomienia, konsultacji </w:t>
      </w:r>
      <w:r w:rsidRPr="00642A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albo uzgodnienia. </w:t>
      </w:r>
    </w:p>
    <w:p w14:paraId="74AB49D4" w14:textId="77777777" w:rsidR="007A59DA" w:rsidRPr="00642A7E" w:rsidRDefault="007A59DA" w:rsidP="00642A7E">
      <w:pPr>
        <w:shd w:val="clear" w:color="auto" w:fill="FFFFFF" w:themeFill="background1"/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2A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nie podlega procedurze notyfikacji aktów prawnych, określonej w przepisach rozporządzenia Rady Ministrów z dnia 23 grudnia 2002 r. w sprawie funkcjonowania krajowego systemu notyfikacji norm i aktów prawnych (Dz. U. poz. 2039, z późn. zm.). </w:t>
      </w:r>
    </w:p>
    <w:p w14:paraId="254B9FDA" w14:textId="0CD2AACD" w:rsidR="007A59DA" w:rsidRPr="00642A7E" w:rsidRDefault="007A59DA" w:rsidP="00642A7E">
      <w:pPr>
        <w:shd w:val="clear" w:color="auto" w:fill="FFFFFF" w:themeFill="background1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nie stwarza zagrożeń korupcyjnych.</w:t>
      </w:r>
    </w:p>
    <w:p w14:paraId="17F559AD" w14:textId="77777777" w:rsidR="00673E31" w:rsidRPr="00642A7E" w:rsidRDefault="00673E31" w:rsidP="00642A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3E31" w:rsidRPr="00642A7E" w:rsidSect="00982FD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EAF56" w14:textId="77777777" w:rsidR="004D5538" w:rsidRDefault="004D5538">
      <w:r>
        <w:separator/>
      </w:r>
    </w:p>
  </w:endnote>
  <w:endnote w:type="continuationSeparator" w:id="0">
    <w:p w14:paraId="58A2B480" w14:textId="77777777" w:rsidR="004D5538" w:rsidRDefault="004D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465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286C6E" w14:textId="77777777" w:rsidR="00CF77D3" w:rsidRPr="00773A45" w:rsidRDefault="00F322C3">
        <w:pPr>
          <w:pStyle w:val="Stopka"/>
          <w:jc w:val="center"/>
          <w:rPr>
            <w:rFonts w:ascii="Times New Roman" w:hAnsi="Times New Roman" w:cs="Times New Roman"/>
          </w:rPr>
        </w:pPr>
        <w:r w:rsidRPr="00982F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2F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2F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2FD2">
          <w:rPr>
            <w:rFonts w:ascii="Times New Roman" w:hAnsi="Times New Roman" w:cs="Times New Roman"/>
            <w:sz w:val="24"/>
            <w:szCs w:val="24"/>
          </w:rPr>
          <w:t>2</w:t>
        </w:r>
        <w:r w:rsidRPr="00982F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D4B864" w14:textId="77777777" w:rsidR="00CF77D3" w:rsidRDefault="00CF7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4925" w14:textId="77777777" w:rsidR="004D5538" w:rsidRDefault="004D5538">
      <w:r>
        <w:separator/>
      </w:r>
    </w:p>
  </w:footnote>
  <w:footnote w:type="continuationSeparator" w:id="0">
    <w:p w14:paraId="2A510670" w14:textId="77777777" w:rsidR="004D5538" w:rsidRDefault="004D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148"/>
    <w:multiLevelType w:val="hybridMultilevel"/>
    <w:tmpl w:val="2C900D18"/>
    <w:lvl w:ilvl="0" w:tplc="87B0DD6E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47C0D"/>
    <w:multiLevelType w:val="hybridMultilevel"/>
    <w:tmpl w:val="3A22AFF6"/>
    <w:lvl w:ilvl="0" w:tplc="9E0A505E">
      <w:start w:val="1"/>
      <w:numFmt w:val="decimal"/>
      <w:lvlText w:val="%1."/>
      <w:lvlJc w:val="left"/>
      <w:pPr>
        <w:ind w:left="720" w:hanging="360"/>
      </w:pPr>
    </w:lvl>
    <w:lvl w:ilvl="1" w:tplc="78B8BC62" w:tentative="1">
      <w:start w:val="1"/>
      <w:numFmt w:val="lowerLetter"/>
      <w:lvlText w:val="%2."/>
      <w:lvlJc w:val="left"/>
      <w:pPr>
        <w:ind w:left="1440" w:hanging="360"/>
      </w:pPr>
    </w:lvl>
    <w:lvl w:ilvl="2" w:tplc="770C8A76" w:tentative="1">
      <w:start w:val="1"/>
      <w:numFmt w:val="lowerRoman"/>
      <w:lvlText w:val="%3."/>
      <w:lvlJc w:val="right"/>
      <w:pPr>
        <w:ind w:left="2160" w:hanging="180"/>
      </w:pPr>
    </w:lvl>
    <w:lvl w:ilvl="3" w:tplc="32CAEFAE" w:tentative="1">
      <w:start w:val="1"/>
      <w:numFmt w:val="decimal"/>
      <w:lvlText w:val="%4."/>
      <w:lvlJc w:val="left"/>
      <w:pPr>
        <w:ind w:left="2880" w:hanging="360"/>
      </w:pPr>
    </w:lvl>
    <w:lvl w:ilvl="4" w:tplc="7936A244" w:tentative="1">
      <w:start w:val="1"/>
      <w:numFmt w:val="lowerLetter"/>
      <w:lvlText w:val="%5."/>
      <w:lvlJc w:val="left"/>
      <w:pPr>
        <w:ind w:left="3600" w:hanging="360"/>
      </w:pPr>
    </w:lvl>
    <w:lvl w:ilvl="5" w:tplc="7C8A5784" w:tentative="1">
      <w:start w:val="1"/>
      <w:numFmt w:val="lowerRoman"/>
      <w:lvlText w:val="%6."/>
      <w:lvlJc w:val="right"/>
      <w:pPr>
        <w:ind w:left="4320" w:hanging="180"/>
      </w:pPr>
    </w:lvl>
    <w:lvl w:ilvl="6" w:tplc="E242853E" w:tentative="1">
      <w:start w:val="1"/>
      <w:numFmt w:val="decimal"/>
      <w:lvlText w:val="%7."/>
      <w:lvlJc w:val="left"/>
      <w:pPr>
        <w:ind w:left="5040" w:hanging="360"/>
      </w:pPr>
    </w:lvl>
    <w:lvl w:ilvl="7" w:tplc="FE9095A8" w:tentative="1">
      <w:start w:val="1"/>
      <w:numFmt w:val="lowerLetter"/>
      <w:lvlText w:val="%8."/>
      <w:lvlJc w:val="left"/>
      <w:pPr>
        <w:ind w:left="5760" w:hanging="360"/>
      </w:pPr>
    </w:lvl>
    <w:lvl w:ilvl="8" w:tplc="B9185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48E9"/>
    <w:multiLevelType w:val="hybridMultilevel"/>
    <w:tmpl w:val="A588C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0618">
    <w:abstractNumId w:val="0"/>
  </w:num>
  <w:num w:numId="2" w16cid:durableId="1342197001">
    <w:abstractNumId w:val="2"/>
  </w:num>
  <w:num w:numId="3" w16cid:durableId="109269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86"/>
    <w:rsid w:val="00010F3C"/>
    <w:rsid w:val="00027834"/>
    <w:rsid w:val="0007253A"/>
    <w:rsid w:val="00107BB4"/>
    <w:rsid w:val="001430FF"/>
    <w:rsid w:val="00193D02"/>
    <w:rsid w:val="001B7792"/>
    <w:rsid w:val="001F6220"/>
    <w:rsid w:val="00201203"/>
    <w:rsid w:val="00250F04"/>
    <w:rsid w:val="00262B3F"/>
    <w:rsid w:val="00271DD0"/>
    <w:rsid w:val="00291563"/>
    <w:rsid w:val="002B1D26"/>
    <w:rsid w:val="0032076C"/>
    <w:rsid w:val="00366001"/>
    <w:rsid w:val="003905FD"/>
    <w:rsid w:val="003C372F"/>
    <w:rsid w:val="003F6D04"/>
    <w:rsid w:val="004329C9"/>
    <w:rsid w:val="00447CF1"/>
    <w:rsid w:val="00456287"/>
    <w:rsid w:val="004D5538"/>
    <w:rsid w:val="00510756"/>
    <w:rsid w:val="00531789"/>
    <w:rsid w:val="005D028F"/>
    <w:rsid w:val="00642A7E"/>
    <w:rsid w:val="006603AF"/>
    <w:rsid w:val="00673E31"/>
    <w:rsid w:val="006C271E"/>
    <w:rsid w:val="00730253"/>
    <w:rsid w:val="007524C1"/>
    <w:rsid w:val="007A59DA"/>
    <w:rsid w:val="007D0F86"/>
    <w:rsid w:val="00836B12"/>
    <w:rsid w:val="00840634"/>
    <w:rsid w:val="00852F12"/>
    <w:rsid w:val="008A4EC3"/>
    <w:rsid w:val="008C032B"/>
    <w:rsid w:val="00954153"/>
    <w:rsid w:val="00982FD2"/>
    <w:rsid w:val="00AB1EA0"/>
    <w:rsid w:val="00AD2507"/>
    <w:rsid w:val="00BB71B1"/>
    <w:rsid w:val="00BC6179"/>
    <w:rsid w:val="00C52088"/>
    <w:rsid w:val="00C97CDE"/>
    <w:rsid w:val="00CF77D3"/>
    <w:rsid w:val="00D13769"/>
    <w:rsid w:val="00D3099C"/>
    <w:rsid w:val="00DF7FF4"/>
    <w:rsid w:val="00E13D69"/>
    <w:rsid w:val="00E41C70"/>
    <w:rsid w:val="00EA50C8"/>
    <w:rsid w:val="00F322C3"/>
    <w:rsid w:val="00F4653C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69B127"/>
  <w15:chartTrackingRefBased/>
  <w15:docId w15:val="{0098D6EE-FF40-41C8-B20E-C1C32F6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D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1DD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271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DD0"/>
    <w:rPr>
      <w:rFonts w:ascii="Calibri" w:hAnsi="Calibri" w:cs="Calibri"/>
    </w:rPr>
  </w:style>
  <w:style w:type="character" w:customStyle="1" w:styleId="AkapitzlistZnak">
    <w:name w:val="Akapit z listą Znak"/>
    <w:link w:val="Akapitzlist"/>
    <w:uiPriority w:val="34"/>
    <w:rsid w:val="00271DD0"/>
  </w:style>
  <w:style w:type="paragraph" w:customStyle="1" w:styleId="SrodtytulpismaMF">
    <w:name w:val="Srodtytul pisma MF"/>
    <w:basedOn w:val="TekstpismaMF"/>
    <w:link w:val="SrodtytulpismaMFZnak"/>
    <w:qFormat/>
    <w:rsid w:val="001B7792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1B7792"/>
    <w:rPr>
      <w:rFonts w:ascii="Lato" w:hAnsi="Lato"/>
      <w:b/>
      <w:sz w:val="26"/>
    </w:rPr>
  </w:style>
  <w:style w:type="paragraph" w:customStyle="1" w:styleId="TekstpismaMF">
    <w:name w:val="Tekst pisma MF"/>
    <w:qFormat/>
    <w:rsid w:val="001B7792"/>
    <w:pPr>
      <w:spacing w:before="240" w:after="0" w:line="260" w:lineRule="exact"/>
      <w:contextualSpacing/>
    </w:pPr>
    <w:rPr>
      <w:rFonts w:ascii="Lato" w:hAnsi="Lato"/>
    </w:rPr>
  </w:style>
  <w:style w:type="character" w:styleId="Hipercze">
    <w:name w:val="Hyperlink"/>
    <w:basedOn w:val="Domylnaczcionkaakapitu"/>
    <w:uiPriority w:val="99"/>
    <w:unhideWhenUsed/>
    <w:rsid w:val="003F6D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D0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2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FD2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982FD2"/>
    <w:pPr>
      <w:spacing w:after="0" w:line="240" w:lineRule="auto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Grzegorz</dc:creator>
  <cp:keywords/>
  <dc:description/>
  <cp:lastModifiedBy>Kołakowska Iwona</cp:lastModifiedBy>
  <cp:revision>3</cp:revision>
  <dcterms:created xsi:type="dcterms:W3CDTF">2025-10-09T07:55:00Z</dcterms:created>
  <dcterms:modified xsi:type="dcterms:W3CDTF">2025-10-09T07:55:00Z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UxC4dwLulzfINJ8nQH+xvX5LNGipWa4BRSZhPgxsCvnxDLUVVlMT/xrov6EAmPerO8FDO9wVKzH4wTD4QKMLuw==</vt:lpwstr>
  </property>
  <property fmtid="{D5CDD505-2E9C-101B-9397-08002B2CF9AE}" pid="4" name="MFClassificationDate">
    <vt:lpwstr>2025-08-18T10:49:29.8556060+02:00</vt:lpwstr>
  </property>
  <property fmtid="{D5CDD505-2E9C-101B-9397-08002B2CF9AE}" pid="5" name="MFClassifiedBySID">
    <vt:lpwstr>UxC4dwLulzfINJ8nQH+xvX5LNGipWa4BRSZhPgxsCvm42mrIC/DSDv0ggS+FjUN/2v1BBotkLlY5aAiEhoi6ubyjF4YwCkvmEqX++xOvxoUi/n88PTnOat5Qv+ob6zwj</vt:lpwstr>
  </property>
  <property fmtid="{D5CDD505-2E9C-101B-9397-08002B2CF9AE}" pid="6" name="MFGRNItemId">
    <vt:lpwstr>GRN-16fea354-817d-456c-b8cc-266f2c19c6e7</vt:lpwstr>
  </property>
  <property fmtid="{D5CDD505-2E9C-101B-9397-08002B2CF9AE}" pid="7" name="MFHash">
    <vt:lpwstr>lzszbJRyM3KEgZpcUIZDFXaaDVFsyT62C2VNbx4ncXI=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