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CD8DB" w14:textId="21F8C2C6" w:rsidR="004E3550" w:rsidRPr="00D26C9E" w:rsidRDefault="004E3550" w:rsidP="00D26C9E">
      <w:pPr>
        <w:pStyle w:val="OZNRODZAKTUtznustawalubrozporzdzenieiorganwydajcy"/>
        <w:spacing w:after="240"/>
        <w:rPr>
          <w:rFonts w:ascii="Times New Roman" w:hAnsi="Times New Roman"/>
          <w:b w:val="0"/>
          <w:bCs w:val="0"/>
          <w:spacing w:val="0"/>
        </w:rPr>
      </w:pPr>
      <w:r w:rsidRPr="00D26C9E">
        <w:rPr>
          <w:rFonts w:ascii="Times New Roman" w:hAnsi="Times New Roman"/>
          <w:b w:val="0"/>
          <w:bCs w:val="0"/>
          <w:spacing w:val="0"/>
        </w:rPr>
        <w:t>UZASADNIENIE</w:t>
      </w:r>
    </w:p>
    <w:p w14:paraId="4D58AC01" w14:textId="6690EEA7" w:rsidR="00975FAA" w:rsidRPr="00E83661" w:rsidRDefault="00975FAA" w:rsidP="00D26C9E">
      <w:pPr>
        <w:spacing w:before="120"/>
        <w:jc w:val="both"/>
        <w:rPr>
          <w:rFonts w:cs="Times New Roman"/>
          <w:szCs w:val="24"/>
        </w:rPr>
      </w:pPr>
      <w:r w:rsidRPr="00E83661">
        <w:rPr>
          <w:rFonts w:cs="Times New Roman"/>
          <w:szCs w:val="24"/>
        </w:rPr>
        <w:t xml:space="preserve">Projektowana ustawa </w:t>
      </w:r>
      <w:r w:rsidR="00505554" w:rsidRPr="00E83661">
        <w:rPr>
          <w:rFonts w:cs="Times New Roman"/>
          <w:szCs w:val="24"/>
        </w:rPr>
        <w:t>ma charakter deregulacyjny i służy</w:t>
      </w:r>
      <w:r w:rsidR="00A45C52" w:rsidRPr="00E83661">
        <w:rPr>
          <w:rFonts w:cs="Times New Roman"/>
          <w:szCs w:val="24"/>
        </w:rPr>
        <w:t xml:space="preserve"> poprawie </w:t>
      </w:r>
      <w:r w:rsidRPr="00E83661">
        <w:rPr>
          <w:rFonts w:cs="Times New Roman"/>
          <w:szCs w:val="24"/>
        </w:rPr>
        <w:t>efektywności działań</w:t>
      </w:r>
      <w:r w:rsidR="003439EC" w:rsidRPr="00E83661">
        <w:rPr>
          <w:rFonts w:cs="Times New Roman"/>
          <w:szCs w:val="24"/>
        </w:rPr>
        <w:t xml:space="preserve"> </w:t>
      </w:r>
      <w:r w:rsidRPr="00E83661">
        <w:rPr>
          <w:rFonts w:cs="Times New Roman"/>
          <w:szCs w:val="24"/>
        </w:rPr>
        <w:t xml:space="preserve">organów administracji, a tym samym usprawnienia </w:t>
      </w:r>
      <w:r w:rsidR="00A45C52" w:rsidRPr="00E83661">
        <w:rPr>
          <w:rFonts w:cs="Times New Roman"/>
          <w:szCs w:val="24"/>
        </w:rPr>
        <w:t xml:space="preserve">warunków </w:t>
      </w:r>
      <w:r w:rsidRPr="00E83661">
        <w:rPr>
          <w:rFonts w:cs="Times New Roman"/>
          <w:szCs w:val="24"/>
        </w:rPr>
        <w:t xml:space="preserve">prowadzenia działalności </w:t>
      </w:r>
      <w:r w:rsidR="003439EC" w:rsidRPr="00E83661">
        <w:rPr>
          <w:rFonts w:cs="Times New Roman"/>
          <w:szCs w:val="24"/>
        </w:rPr>
        <w:t>gospodarczej.</w:t>
      </w:r>
    </w:p>
    <w:p w14:paraId="0F854EFE" w14:textId="77777777" w:rsidR="00975FAA" w:rsidRPr="00E83661" w:rsidRDefault="0073209F" w:rsidP="00D26C9E">
      <w:pPr>
        <w:spacing w:before="120"/>
        <w:jc w:val="both"/>
        <w:rPr>
          <w:rFonts w:cs="Times New Roman"/>
          <w:szCs w:val="24"/>
        </w:rPr>
      </w:pPr>
      <w:r w:rsidRPr="00E83661">
        <w:rPr>
          <w:rFonts w:cs="Times New Roman"/>
          <w:szCs w:val="24"/>
        </w:rPr>
        <w:t xml:space="preserve">Celem </w:t>
      </w:r>
      <w:r w:rsidR="00975FAA" w:rsidRPr="00E83661">
        <w:rPr>
          <w:rFonts w:cs="Times New Roman"/>
          <w:szCs w:val="24"/>
        </w:rPr>
        <w:t xml:space="preserve">projektowanej </w:t>
      </w:r>
      <w:r w:rsidRPr="00E83661">
        <w:rPr>
          <w:rFonts w:cs="Times New Roman"/>
          <w:szCs w:val="24"/>
        </w:rPr>
        <w:t>ustawy jest</w:t>
      </w:r>
      <w:r w:rsidR="00975FAA" w:rsidRPr="00E83661">
        <w:rPr>
          <w:rFonts w:cs="Times New Roman"/>
          <w:szCs w:val="24"/>
        </w:rPr>
        <w:t>:</w:t>
      </w:r>
    </w:p>
    <w:p w14:paraId="7F9F4846" w14:textId="77777777" w:rsidR="003439EC" w:rsidRPr="00E83661" w:rsidRDefault="003439EC" w:rsidP="00D26C9E">
      <w:pPr>
        <w:pStyle w:val="Akapitzlist"/>
        <w:numPr>
          <w:ilvl w:val="0"/>
          <w:numId w:val="11"/>
        </w:numPr>
        <w:ind w:left="426" w:hanging="426"/>
        <w:jc w:val="both"/>
        <w:rPr>
          <w:rFonts w:cs="Times New Roman"/>
          <w:szCs w:val="24"/>
        </w:rPr>
      </w:pPr>
      <w:r w:rsidRPr="00E83661">
        <w:rPr>
          <w:rFonts w:cs="Times New Roman"/>
          <w:szCs w:val="24"/>
        </w:rPr>
        <w:t>umożliwienie prowadzenia badań nad nową techniką dla instalacji ubiegających się o wydanie pozwolenia zintegrowanego na okres nie dłuższy niż 30 miesięcy;</w:t>
      </w:r>
    </w:p>
    <w:p w14:paraId="3106A773" w14:textId="2E47B442" w:rsidR="005B53B4" w:rsidRPr="00E83661" w:rsidRDefault="00975FAA" w:rsidP="00D26C9E">
      <w:pPr>
        <w:pStyle w:val="Akapitzlist"/>
        <w:numPr>
          <w:ilvl w:val="0"/>
          <w:numId w:val="11"/>
        </w:numPr>
        <w:ind w:left="426" w:hanging="426"/>
        <w:jc w:val="both"/>
        <w:rPr>
          <w:rFonts w:cs="Times New Roman"/>
          <w:szCs w:val="24"/>
        </w:rPr>
      </w:pPr>
      <w:r w:rsidRPr="00E83661">
        <w:rPr>
          <w:rFonts w:cs="Times New Roman"/>
          <w:iCs/>
          <w:szCs w:val="24"/>
        </w:rPr>
        <w:t xml:space="preserve">przedłużenie </w:t>
      </w:r>
      <w:r w:rsidR="00A45C52" w:rsidRPr="00E83661">
        <w:rPr>
          <w:rFonts w:cs="Times New Roman"/>
          <w:iCs/>
          <w:szCs w:val="24"/>
        </w:rPr>
        <w:t>obowiązywania przepisów prawa umożliwiających</w:t>
      </w:r>
      <w:r w:rsidR="0037107D" w:rsidRPr="00E83661">
        <w:rPr>
          <w:rFonts w:cs="Times New Roman"/>
          <w:iCs/>
          <w:szCs w:val="24"/>
        </w:rPr>
        <w:t xml:space="preserve"> </w:t>
      </w:r>
      <w:r w:rsidR="005B53B4" w:rsidRPr="00E83661">
        <w:rPr>
          <w:rFonts w:cs="Times New Roman"/>
          <w:iCs/>
          <w:szCs w:val="24"/>
        </w:rPr>
        <w:t>prowadzenie działalności w zakresie gospodarowania odpadami na podstawie dotychczasowej decyzji</w:t>
      </w:r>
      <w:r w:rsidR="00EF0FC1" w:rsidRPr="00E83661">
        <w:rPr>
          <w:rFonts w:cs="Times New Roman"/>
          <w:iCs/>
          <w:szCs w:val="24"/>
        </w:rPr>
        <w:t>,</w:t>
      </w:r>
      <w:r w:rsidR="005B53B4" w:rsidRPr="00E83661">
        <w:rPr>
          <w:rFonts w:cs="Times New Roman"/>
          <w:iCs/>
          <w:szCs w:val="24"/>
        </w:rPr>
        <w:t xml:space="preserve"> w okresie rozpatrywania wniosku</w:t>
      </w:r>
      <w:r w:rsidR="00EF0FC1" w:rsidRPr="00E83661">
        <w:rPr>
          <w:rFonts w:cs="Times New Roman"/>
          <w:iCs/>
          <w:szCs w:val="24"/>
        </w:rPr>
        <w:t xml:space="preserve"> o wydanie nowej decyzji</w:t>
      </w:r>
      <w:r w:rsidR="000F4CE8" w:rsidRPr="00E83661">
        <w:rPr>
          <w:rFonts w:cs="Times New Roman"/>
          <w:iCs/>
          <w:szCs w:val="24"/>
        </w:rPr>
        <w:t xml:space="preserve"> oraz </w:t>
      </w:r>
      <w:r w:rsidR="005B53B4" w:rsidRPr="00E83661">
        <w:rPr>
          <w:rFonts w:cs="Times New Roman"/>
          <w:iCs/>
          <w:szCs w:val="24"/>
        </w:rPr>
        <w:t>uregulowanie stanu prawnego w celu zakończenia procesu dostosowawczego;</w:t>
      </w:r>
    </w:p>
    <w:p w14:paraId="66232E9A" w14:textId="0FDB1648" w:rsidR="00021CFA" w:rsidRPr="00E83661" w:rsidRDefault="00193D94" w:rsidP="00D26C9E">
      <w:pPr>
        <w:pStyle w:val="Akapitzlist"/>
        <w:numPr>
          <w:ilvl w:val="0"/>
          <w:numId w:val="11"/>
        </w:numPr>
        <w:ind w:left="426" w:hanging="426"/>
        <w:jc w:val="both"/>
        <w:rPr>
          <w:rFonts w:cs="Times New Roman"/>
          <w:szCs w:val="24"/>
        </w:rPr>
      </w:pPr>
      <w:r w:rsidRPr="00E83661">
        <w:rPr>
          <w:rFonts w:cs="Times New Roman"/>
          <w:iCs/>
          <w:szCs w:val="24"/>
        </w:rPr>
        <w:t>usprawnienie</w:t>
      </w:r>
      <w:r w:rsidRPr="00E83661">
        <w:rPr>
          <w:rFonts w:cs="Times New Roman"/>
          <w:szCs w:val="24"/>
        </w:rPr>
        <w:t xml:space="preserve"> działań urzędów marszałkowskich w zakresie kontroli rzetelności dokumentów </w:t>
      </w:r>
      <w:r w:rsidR="003439EC" w:rsidRPr="00E83661">
        <w:rPr>
          <w:rFonts w:cs="Times New Roman"/>
          <w:szCs w:val="24"/>
        </w:rPr>
        <w:t>DPR (dokument potwierdzający recykling odpadów opakowaniowych</w:t>
      </w:r>
      <w:r w:rsidR="00EF0FC1" w:rsidRPr="00E83661">
        <w:rPr>
          <w:rFonts w:cs="Times New Roman"/>
          <w:szCs w:val="24"/>
        </w:rPr>
        <w:t>)</w:t>
      </w:r>
      <w:r w:rsidR="003439EC" w:rsidRPr="00E83661">
        <w:rPr>
          <w:rFonts w:cs="Times New Roman"/>
          <w:szCs w:val="24"/>
        </w:rPr>
        <w:t xml:space="preserve"> i EDPR (dokument potwierdzający odpowiednio eksport odpadów opakowaniowych albo wewnątrzwspólnotową dostawę odpadów opakowaniowych w celu poddania ich recyklingowi) oraz DPO (dokument potwierdzający inny niż recykling proces odzysku odpadów opakowaniowych) i EDPO </w:t>
      </w:r>
      <w:r w:rsidR="00E6289E" w:rsidRPr="00E83661">
        <w:rPr>
          <w:rFonts w:cs="Times New Roman"/>
          <w:szCs w:val="24"/>
        </w:rPr>
        <w:t>(</w:t>
      </w:r>
      <w:r w:rsidR="003439EC" w:rsidRPr="00E83661">
        <w:rPr>
          <w:rFonts w:cs="Times New Roman"/>
          <w:szCs w:val="24"/>
        </w:rPr>
        <w:t>dokument potwierdzający odpowiednio eksport odpadów opakowaniowych albo wewnątrzwspólnotową dostawę odpadów opakowaniowych w celu poddania ich innemu niż recykling procesowi odzysku)</w:t>
      </w:r>
      <w:r w:rsidR="0085135A" w:rsidRPr="00E83661">
        <w:rPr>
          <w:rFonts w:cs="Times New Roman"/>
          <w:szCs w:val="24"/>
        </w:rPr>
        <w:t>.</w:t>
      </w:r>
    </w:p>
    <w:p w14:paraId="6D5A8B1C" w14:textId="5B6D059E" w:rsidR="00E2563A" w:rsidRPr="00E83661" w:rsidRDefault="00EB701E" w:rsidP="00D26C9E">
      <w:pPr>
        <w:spacing w:before="120"/>
        <w:jc w:val="both"/>
        <w:rPr>
          <w:rFonts w:cs="Times New Roman"/>
          <w:szCs w:val="24"/>
        </w:rPr>
      </w:pPr>
      <w:r w:rsidRPr="00E83661">
        <w:rPr>
          <w:rFonts w:cs="Times New Roman"/>
          <w:szCs w:val="24"/>
        </w:rPr>
        <w:t xml:space="preserve">Projekt przewiduje zmiany w ustawie z dnia 27 kwietnia 2001 r. – Prawo </w:t>
      </w:r>
      <w:r w:rsidR="009F19F5" w:rsidRPr="00E83661">
        <w:rPr>
          <w:rFonts w:cs="Times New Roman"/>
          <w:szCs w:val="24"/>
        </w:rPr>
        <w:t>o</w:t>
      </w:r>
      <w:r w:rsidRPr="00E83661">
        <w:rPr>
          <w:rFonts w:cs="Times New Roman"/>
          <w:szCs w:val="24"/>
        </w:rPr>
        <w:t xml:space="preserve">chrony </w:t>
      </w:r>
      <w:r w:rsidR="009F19F5" w:rsidRPr="00E83661">
        <w:rPr>
          <w:rFonts w:cs="Times New Roman"/>
          <w:szCs w:val="24"/>
        </w:rPr>
        <w:t>ś</w:t>
      </w:r>
      <w:r w:rsidRPr="00E83661">
        <w:rPr>
          <w:rFonts w:cs="Times New Roman"/>
          <w:szCs w:val="24"/>
        </w:rPr>
        <w:t>rodowiska</w:t>
      </w:r>
      <w:r w:rsidRPr="00E83661">
        <w:rPr>
          <w:rStyle w:val="Odwoanieprzypisudolnego"/>
          <w:rFonts w:cs="Times New Roman"/>
          <w:szCs w:val="24"/>
        </w:rPr>
        <w:footnoteReference w:id="1"/>
      </w:r>
      <w:r w:rsidR="00CD0813" w:rsidRPr="00E83661">
        <w:rPr>
          <w:rFonts w:cs="Times New Roman"/>
          <w:szCs w:val="24"/>
          <w:vertAlign w:val="superscript"/>
        </w:rPr>
        <w:t>)</w:t>
      </w:r>
      <w:r w:rsidR="00C66CCC" w:rsidRPr="00E83661">
        <w:rPr>
          <w:rFonts w:cs="Times New Roman"/>
          <w:szCs w:val="24"/>
        </w:rPr>
        <w:t>,</w:t>
      </w:r>
      <w:r w:rsidR="00012734" w:rsidRPr="00E83661">
        <w:rPr>
          <w:rFonts w:cs="Times New Roman"/>
          <w:szCs w:val="24"/>
        </w:rPr>
        <w:t xml:space="preserve"> ustawie z dnia 14 grudnia 2012 r. o odpadach</w:t>
      </w:r>
      <w:bookmarkStart w:id="0" w:name="_Hlk199795300"/>
      <w:r w:rsidR="001415B5" w:rsidRPr="00E83661">
        <w:rPr>
          <w:rStyle w:val="Odwoanieprzypisudolnego"/>
          <w:rFonts w:cs="Times New Roman"/>
          <w:szCs w:val="24"/>
        </w:rPr>
        <w:footnoteReference w:id="2"/>
      </w:r>
      <w:r w:rsidR="001415B5" w:rsidRPr="00E83661">
        <w:rPr>
          <w:rFonts w:cs="Times New Roman"/>
          <w:szCs w:val="24"/>
          <w:vertAlign w:val="superscript"/>
        </w:rPr>
        <w:t>)</w:t>
      </w:r>
      <w:bookmarkEnd w:id="0"/>
      <w:r w:rsidR="00012734" w:rsidRPr="00E83661">
        <w:rPr>
          <w:rFonts w:cs="Times New Roman"/>
          <w:szCs w:val="24"/>
        </w:rPr>
        <w:t>,</w:t>
      </w:r>
      <w:r w:rsidRPr="00E83661">
        <w:rPr>
          <w:rFonts w:cs="Times New Roman"/>
          <w:szCs w:val="24"/>
        </w:rPr>
        <w:t xml:space="preserve"> ustawie z dnia 13 czerwca 2013 r. o gospodarce opakowaniami i odpadami opakowaniowymi</w:t>
      </w:r>
      <w:r w:rsidR="00E10949" w:rsidRPr="00E83661">
        <w:rPr>
          <w:rStyle w:val="Odwoanieprzypisudolnego"/>
          <w:rFonts w:cs="Times New Roman"/>
          <w:szCs w:val="24"/>
        </w:rPr>
        <w:footnoteReference w:id="3"/>
      </w:r>
      <w:r w:rsidR="002D16B0" w:rsidRPr="00E83661">
        <w:rPr>
          <w:rFonts w:cs="Times New Roman"/>
          <w:szCs w:val="24"/>
          <w:vertAlign w:val="superscript"/>
        </w:rPr>
        <w:t>)</w:t>
      </w:r>
      <w:r w:rsidR="00BA3A6D" w:rsidRPr="00E83661">
        <w:rPr>
          <w:rFonts w:cs="Times New Roman"/>
          <w:szCs w:val="24"/>
        </w:rPr>
        <w:t xml:space="preserve"> i</w:t>
      </w:r>
      <w:r w:rsidR="002D16B0" w:rsidRPr="00E83661">
        <w:rPr>
          <w:rFonts w:cs="Times New Roman"/>
          <w:szCs w:val="24"/>
        </w:rPr>
        <w:t xml:space="preserve"> ustawie</w:t>
      </w:r>
      <w:r w:rsidR="00012734" w:rsidRPr="00E83661">
        <w:rPr>
          <w:rFonts w:cs="Times New Roman"/>
          <w:szCs w:val="24"/>
        </w:rPr>
        <w:t xml:space="preserve"> z dnia 7 października 2022 r. o szczególnych rozwiązaniach służących ochronie odbiorców energii elektrycznej w 2023 roku oraz w 2024 roku w związku z sytuacją na rynku energii elektrycznej</w:t>
      </w:r>
      <w:r w:rsidR="001415B5" w:rsidRPr="00E83661">
        <w:rPr>
          <w:rStyle w:val="Odwoanieprzypisudolnego"/>
          <w:rFonts w:cs="Times New Roman"/>
          <w:szCs w:val="24"/>
        </w:rPr>
        <w:footnoteReference w:id="4"/>
      </w:r>
      <w:r w:rsidR="001415B5" w:rsidRPr="00E83661">
        <w:rPr>
          <w:rFonts w:cs="Times New Roman"/>
          <w:szCs w:val="24"/>
          <w:vertAlign w:val="superscript"/>
        </w:rPr>
        <w:t>)</w:t>
      </w:r>
      <w:r w:rsidR="0037107D" w:rsidRPr="00E83661">
        <w:rPr>
          <w:rFonts w:cs="Times New Roman"/>
          <w:szCs w:val="24"/>
        </w:rPr>
        <w:t>.</w:t>
      </w:r>
      <w:r w:rsidR="00021CFA" w:rsidRPr="00E83661">
        <w:rPr>
          <w:rFonts w:cs="Times New Roman"/>
          <w:szCs w:val="24"/>
        </w:rPr>
        <w:t xml:space="preserve"> </w:t>
      </w:r>
    </w:p>
    <w:p w14:paraId="1C4311E4" w14:textId="1367545E" w:rsidR="00510EDF" w:rsidRPr="00E83661" w:rsidRDefault="00510EDF" w:rsidP="00D26C9E">
      <w:pPr>
        <w:pStyle w:val="Akapitzlist"/>
        <w:numPr>
          <w:ilvl w:val="0"/>
          <w:numId w:val="13"/>
        </w:numPr>
        <w:spacing w:before="120"/>
        <w:ind w:left="426"/>
        <w:rPr>
          <w:rFonts w:cs="Times New Roman"/>
          <w:szCs w:val="24"/>
        </w:rPr>
      </w:pPr>
      <w:r w:rsidRPr="00E83661">
        <w:rPr>
          <w:rFonts w:cs="Times New Roman"/>
          <w:b/>
          <w:bCs/>
          <w:szCs w:val="24"/>
        </w:rPr>
        <w:t>Umożliwienie prowadzenia badań nad nową techniką dla instalacji ubiegających się o wydanie pozwolenia zintegrowanego na okres nie dłuższy niż 30 miesięcy</w:t>
      </w:r>
    </w:p>
    <w:p w14:paraId="54120888" w14:textId="6E9CC688" w:rsidR="00510EDF" w:rsidRPr="00E83661" w:rsidRDefault="00510EDF" w:rsidP="00D26C9E">
      <w:pPr>
        <w:spacing w:before="120"/>
        <w:jc w:val="both"/>
        <w:rPr>
          <w:rFonts w:cs="Times New Roman"/>
          <w:szCs w:val="24"/>
        </w:rPr>
      </w:pPr>
      <w:r w:rsidRPr="00E83661">
        <w:rPr>
          <w:rFonts w:cs="Times New Roman"/>
          <w:szCs w:val="24"/>
        </w:rPr>
        <w:t>Obecne brzmienie art. 211a ust. 1 ustawy – Prawo ochrony środowiska umożliwia prowadzenie badań nad nową techniką przez instalacje posiadające już pozwolenie zintegrowane</w:t>
      </w:r>
      <w:r w:rsidR="00BA3A6D" w:rsidRPr="00E83661">
        <w:rPr>
          <w:rFonts w:cs="Times New Roman"/>
          <w:szCs w:val="24"/>
        </w:rPr>
        <w:t xml:space="preserve">. Wymaga to jednak </w:t>
      </w:r>
      <w:r w:rsidRPr="00E83661">
        <w:rPr>
          <w:rFonts w:cs="Times New Roman"/>
          <w:szCs w:val="24"/>
        </w:rPr>
        <w:t>złożeni</w:t>
      </w:r>
      <w:r w:rsidR="00BA3A6D" w:rsidRPr="00E83661">
        <w:rPr>
          <w:rFonts w:cs="Times New Roman"/>
          <w:szCs w:val="24"/>
        </w:rPr>
        <w:t>a</w:t>
      </w:r>
      <w:r w:rsidRPr="00E83661">
        <w:rPr>
          <w:rFonts w:cs="Times New Roman"/>
          <w:szCs w:val="24"/>
        </w:rPr>
        <w:t xml:space="preserve"> wniosku o jego zmianę. Dopiero w zmianie pozwolenia organ właściwy </w:t>
      </w:r>
      <w:r w:rsidRPr="00E83661">
        <w:rPr>
          <w:rFonts w:cs="Times New Roman"/>
          <w:szCs w:val="24"/>
        </w:rPr>
        <w:lastRenderedPageBreak/>
        <w:t xml:space="preserve">może określić wariant funkcjonowania instalacji zawierający dopuszczalne wielkości emisji przekraczające graniczne wielkości emisyjne oraz </w:t>
      </w:r>
      <w:r w:rsidR="005513FA" w:rsidRPr="00E83661">
        <w:rPr>
          <w:rFonts w:cs="Times New Roman"/>
          <w:szCs w:val="24"/>
        </w:rPr>
        <w:t>zezwolić</w:t>
      </w:r>
      <w:r w:rsidRPr="00E83661">
        <w:rPr>
          <w:rFonts w:cs="Times New Roman"/>
          <w:szCs w:val="24"/>
        </w:rPr>
        <w:t xml:space="preserve"> na odstąpienie od wymagań ochrony środowiska wynikających z najlepszych dostępnych technik, na czas nie dłuższy niż 9 miesięcy. Utrudnia to przeprowadzenie badań </w:t>
      </w:r>
      <w:r w:rsidR="00BA3A6D" w:rsidRPr="00E83661">
        <w:rPr>
          <w:rFonts w:cs="Times New Roman"/>
          <w:szCs w:val="24"/>
        </w:rPr>
        <w:t>nad</w:t>
      </w:r>
      <w:r w:rsidRPr="00E83661">
        <w:rPr>
          <w:rFonts w:cs="Times New Roman"/>
          <w:szCs w:val="24"/>
        </w:rPr>
        <w:t xml:space="preserve"> nowymi technikami w przypadku nowych instalacji, nieposiadających jeszcze pozwolenia zintegrowanego. Dodatkowo w dyrektywie Parlamentu Europejskiego i Rady (UE) 2024/1785 z dnia 24 kwietnia 2024 r. w sprawie zmiany dyrektywy Parlamentu Europejskiego i Rady 2010/75/UE w sprawie emisji przemysłowych (zintegrowane zapobieganie zanieczyszczeniom i ich kontrola) i dyrektywy Rady 1999/31/WE w sprawie składowania odpadów</w:t>
      </w:r>
      <w:r w:rsidR="00EF0FC1" w:rsidRPr="00E83661">
        <w:rPr>
          <w:rStyle w:val="Odwoanieprzypisudolnego"/>
          <w:rFonts w:cs="Times New Roman"/>
          <w:szCs w:val="24"/>
        </w:rPr>
        <w:footnoteReference w:id="5"/>
      </w:r>
      <w:r w:rsidR="006006EE" w:rsidRPr="00E83661">
        <w:rPr>
          <w:rFonts w:cs="Times New Roman"/>
          <w:szCs w:val="24"/>
          <w:vertAlign w:val="superscript"/>
        </w:rPr>
        <w:t>)</w:t>
      </w:r>
      <w:r w:rsidRPr="00E83661">
        <w:rPr>
          <w:rFonts w:cs="Times New Roman"/>
          <w:szCs w:val="24"/>
        </w:rPr>
        <w:t xml:space="preserve"> (tzw. </w:t>
      </w:r>
      <w:r w:rsidR="00547D7A" w:rsidRPr="00E83661">
        <w:rPr>
          <w:rFonts w:cs="Times New Roman"/>
          <w:szCs w:val="24"/>
        </w:rPr>
        <w:t>d</w:t>
      </w:r>
      <w:r w:rsidRPr="00E83661">
        <w:rPr>
          <w:rFonts w:cs="Times New Roman"/>
          <w:szCs w:val="24"/>
        </w:rPr>
        <w:t xml:space="preserve">yrektywa IED 2.0) </w:t>
      </w:r>
      <w:r w:rsidR="00BE1BDC" w:rsidRPr="00E83661">
        <w:rPr>
          <w:rFonts w:cs="Times New Roman"/>
          <w:szCs w:val="24"/>
        </w:rPr>
        <w:t xml:space="preserve">został </w:t>
      </w:r>
      <w:r w:rsidRPr="00E83661">
        <w:rPr>
          <w:rFonts w:cs="Times New Roman"/>
          <w:szCs w:val="24"/>
        </w:rPr>
        <w:t>dodany artykuł 27b „Bez uszczerbku dla art. 18 właściwy organ może udzielić tymczasowego odstępstwa od wymogów określonych w art. 15 ust. 2, 3 i 4 oraz od zasad określonych w art. 11 lit. a) i b) na potrzeby badania nowych technik na okres nieprzekraczający łącznie 30 miesięcy, pod warunkiem, że po okresie wskazanym w pozwoleniu zaprzestaje się badania danej techniki lub działalność osiągnie przynajmniej poziomy BAT-AEL</w:t>
      </w:r>
      <w:r w:rsidR="00397664" w:rsidRPr="00E83661">
        <w:rPr>
          <w:rFonts w:cs="Times New Roman"/>
          <w:szCs w:val="24"/>
        </w:rPr>
        <w:t>.</w:t>
      </w:r>
      <w:r w:rsidRPr="00E83661">
        <w:rPr>
          <w:rFonts w:cs="Times New Roman"/>
          <w:szCs w:val="24"/>
        </w:rPr>
        <w:t>”. Na mocy tego przepisu badanie nowych technik może wynosić maksymalnie 30 miesięcy.</w:t>
      </w:r>
    </w:p>
    <w:p w14:paraId="52DE25CB" w14:textId="45AE3725" w:rsidR="00510EDF" w:rsidRPr="00E83661" w:rsidRDefault="00510EDF" w:rsidP="00D26C9E">
      <w:pPr>
        <w:spacing w:before="120"/>
        <w:jc w:val="both"/>
        <w:rPr>
          <w:rFonts w:cs="Times New Roman"/>
          <w:szCs w:val="24"/>
        </w:rPr>
      </w:pPr>
      <w:r w:rsidRPr="00E83661">
        <w:rPr>
          <w:rFonts w:cs="Times New Roman"/>
          <w:szCs w:val="24"/>
        </w:rPr>
        <w:t xml:space="preserve">Zmiana przepisu umożliwiająca przeprowadzanie badań nad nową techniką przez prowadzących instalacje ubiegających się o wydanie lub zmianę pozwolenia zintegrowanego </w:t>
      </w:r>
      <w:r w:rsidR="00BE1BDC" w:rsidRPr="00E83661">
        <w:rPr>
          <w:rFonts w:cs="Times New Roman"/>
          <w:szCs w:val="24"/>
        </w:rPr>
        <w:t xml:space="preserve">wpłynie </w:t>
      </w:r>
      <w:r w:rsidRPr="00E83661">
        <w:rPr>
          <w:rFonts w:cs="Times New Roman"/>
          <w:szCs w:val="24"/>
        </w:rPr>
        <w:t xml:space="preserve">korzystnie na przemysłowe zastosowanie nowych technologii, a w efekcie także na rozwój najlepszych dostępnych technik, tzw. BAT (ang. </w:t>
      </w:r>
      <w:r w:rsidRPr="00E83661">
        <w:rPr>
          <w:rFonts w:cs="Times New Roman"/>
          <w:i/>
          <w:iCs/>
          <w:szCs w:val="24"/>
        </w:rPr>
        <w:t xml:space="preserve">Best </w:t>
      </w:r>
      <w:proofErr w:type="spellStart"/>
      <w:r w:rsidRPr="00E83661">
        <w:rPr>
          <w:rFonts w:cs="Times New Roman"/>
          <w:i/>
          <w:iCs/>
          <w:szCs w:val="24"/>
        </w:rPr>
        <w:t>Available</w:t>
      </w:r>
      <w:proofErr w:type="spellEnd"/>
      <w:r w:rsidRPr="00E83661">
        <w:rPr>
          <w:rFonts w:cs="Times New Roman"/>
          <w:i/>
          <w:iCs/>
          <w:szCs w:val="24"/>
        </w:rPr>
        <w:t xml:space="preserve"> </w:t>
      </w:r>
      <w:proofErr w:type="spellStart"/>
      <w:r w:rsidRPr="00E83661">
        <w:rPr>
          <w:rFonts w:cs="Times New Roman"/>
          <w:i/>
          <w:iCs/>
          <w:szCs w:val="24"/>
        </w:rPr>
        <w:t>Techniques</w:t>
      </w:r>
      <w:proofErr w:type="spellEnd"/>
      <w:r w:rsidRPr="00E83661">
        <w:rPr>
          <w:rFonts w:cs="Times New Roman"/>
          <w:szCs w:val="24"/>
        </w:rPr>
        <w:t>). Prowadzący instalacje przemysłowe będą mogli testować nowe technologie z czasowym pominięciem wymagań BAT, które mogą nie odzwierciedlać specyfiki innowacyjnych rozwiązań technologicznych. Tym niemniej testowanie nowych technik nie może powodować naruszenia standardów jakości środowiska ani (</w:t>
      </w:r>
      <w:proofErr w:type="gramStart"/>
      <w:r w:rsidRPr="00E83661">
        <w:rPr>
          <w:rFonts w:cs="Times New Roman"/>
          <w:szCs w:val="24"/>
        </w:rPr>
        <w:t>tam</w:t>
      </w:r>
      <w:proofErr w:type="gramEnd"/>
      <w:r w:rsidRPr="00E83661">
        <w:rPr>
          <w:rFonts w:cs="Times New Roman"/>
          <w:szCs w:val="24"/>
        </w:rPr>
        <w:t xml:space="preserve"> gdzie mają zastosowanie) standardów emisyjnych. Warto też podkreślić, że wydłużony czas na testowanie nowych rozwiązań wynoszący 30 miesięcy jest okresem maksymalnym. Oznacza to, że przepis nie umożliwia, aby prowadzący instalację uzyskał jedno pozwolenie zintegrowane na testowanie nowej techniki przez 30 miesięcy, a potem wnioskował o kolejne, wydłużając tym samym stan, w którym nie są spełniane wymagania BAT. Testowanie nowych technologii w warunkach kontrolowanych pozwoli ograniczyć ryzyko dla środowiska, a jednocześnie przyspieszy wdrażanie bardziej ekologicznych rozwiązań w skali przemysłowej. Dzięki temu rozwiązaniu zakłada się, że zmiana przepisu potencjalnie pozytywnie wpłynie na rozwój zakładów, przyniesie korzyści dla środowiska i gospodarki</w:t>
      </w:r>
      <w:r w:rsidR="00FB3CBB">
        <w:rPr>
          <w:rFonts w:cs="Times New Roman"/>
          <w:szCs w:val="24"/>
        </w:rPr>
        <w:t>,</w:t>
      </w:r>
      <w:r w:rsidRPr="00E83661">
        <w:rPr>
          <w:rFonts w:cs="Times New Roman"/>
          <w:szCs w:val="24"/>
        </w:rPr>
        <w:t xml:space="preserve"> dając impuls do rozwoju innowacji.</w:t>
      </w:r>
    </w:p>
    <w:p w14:paraId="2CF12ADB" w14:textId="0C16DE2D" w:rsidR="0037107D" w:rsidRPr="00E83661" w:rsidRDefault="00510EDF" w:rsidP="00D26C9E">
      <w:pPr>
        <w:spacing w:before="120"/>
        <w:jc w:val="both"/>
        <w:rPr>
          <w:rFonts w:cs="Times New Roman"/>
          <w:szCs w:val="24"/>
        </w:rPr>
      </w:pPr>
      <w:r w:rsidRPr="00E83661">
        <w:rPr>
          <w:rFonts w:cs="Times New Roman"/>
          <w:szCs w:val="24"/>
        </w:rPr>
        <w:lastRenderedPageBreak/>
        <w:t>Ponadto przepis zostanie zmieniony w taki sposób, aby dotyczył wydania pozwolenia zintegrowanego, gdyż w powiązaniu z art. 192 ustawy – Prawo ochrony środowiska, stanowiącym że przepisy o wydawaniu pozwolenia stosuje się odpowiednio w przypadku zmiany jego warunków, brzmienie zmienianego art. 211a ust. 1 ustawy – Prawo ochrony środowiska będzie miało zastosowanie do wydania, jak i zmiany pozwolenia zintegrowanego, co z kolei oznacza, że ta zmiana nie wpłynie na zakłady posiadające pozwolenia zintegrowane.</w:t>
      </w:r>
    </w:p>
    <w:p w14:paraId="521FDEA1" w14:textId="14A167E7" w:rsidR="00012734" w:rsidRPr="00E83661" w:rsidRDefault="00012734" w:rsidP="00D26C9E">
      <w:pPr>
        <w:pStyle w:val="Akapitzlist"/>
        <w:numPr>
          <w:ilvl w:val="0"/>
          <w:numId w:val="13"/>
        </w:numPr>
        <w:spacing w:before="120"/>
        <w:ind w:left="426"/>
        <w:jc w:val="both"/>
        <w:rPr>
          <w:rFonts w:cs="Times New Roman"/>
          <w:b/>
          <w:bCs/>
          <w:szCs w:val="24"/>
        </w:rPr>
      </w:pPr>
      <w:r w:rsidRPr="00E83661">
        <w:rPr>
          <w:rFonts w:cs="Times New Roman"/>
          <w:b/>
          <w:bCs/>
          <w:szCs w:val="24"/>
        </w:rPr>
        <w:t>Przedłużenie obowiązywania przepisów prawa umożliwiających przedłużenie z mocy prawa ważności dotychczasowych decyzji administracyjnych w zakresie gospodarki odpadami</w:t>
      </w:r>
      <w:r w:rsidR="005B53B4" w:rsidRPr="00E83661">
        <w:rPr>
          <w:rFonts w:cs="Times New Roman"/>
          <w:b/>
          <w:bCs/>
          <w:szCs w:val="24"/>
        </w:rPr>
        <w:t xml:space="preserve"> oraz </w:t>
      </w:r>
      <w:r w:rsidR="005B53B4" w:rsidRPr="00E83661">
        <w:rPr>
          <w:rFonts w:cs="Times New Roman"/>
          <w:b/>
          <w:bCs/>
          <w:iCs/>
          <w:szCs w:val="24"/>
        </w:rPr>
        <w:t>uregulowanie stanu prawnego w celu zakończenia procesu dostosowawczego</w:t>
      </w:r>
    </w:p>
    <w:p w14:paraId="2EECE08D" w14:textId="0F79407A" w:rsidR="00012734" w:rsidRPr="00E83661" w:rsidRDefault="00374C72" w:rsidP="00D26C9E">
      <w:pPr>
        <w:spacing w:before="120"/>
        <w:jc w:val="both"/>
        <w:rPr>
          <w:rFonts w:cs="Times New Roman"/>
          <w:szCs w:val="24"/>
        </w:rPr>
      </w:pPr>
      <w:r w:rsidRPr="00E83661">
        <w:rPr>
          <w:rFonts w:cs="Times New Roman"/>
          <w:szCs w:val="24"/>
        </w:rPr>
        <w:t>W 2022 r.</w:t>
      </w:r>
      <w:r w:rsidR="00E93860" w:rsidRPr="00E83661">
        <w:rPr>
          <w:rFonts w:cs="Times New Roman"/>
          <w:szCs w:val="24"/>
        </w:rPr>
        <w:t xml:space="preserve"> na mocy</w:t>
      </w:r>
      <w:r w:rsidRPr="00E83661">
        <w:rPr>
          <w:rFonts w:cs="Times New Roman"/>
          <w:szCs w:val="24"/>
        </w:rPr>
        <w:t xml:space="preserve"> u</w:t>
      </w:r>
      <w:r w:rsidR="00012734" w:rsidRPr="00E83661">
        <w:rPr>
          <w:rFonts w:cs="Times New Roman"/>
          <w:szCs w:val="24"/>
        </w:rPr>
        <w:t>staw</w:t>
      </w:r>
      <w:r w:rsidR="00E93860" w:rsidRPr="00E83661">
        <w:rPr>
          <w:rFonts w:cs="Times New Roman"/>
          <w:szCs w:val="24"/>
        </w:rPr>
        <w:t>y</w:t>
      </w:r>
      <w:r w:rsidR="00012734" w:rsidRPr="00E83661">
        <w:rPr>
          <w:rFonts w:cs="Times New Roman"/>
          <w:szCs w:val="24"/>
        </w:rPr>
        <w:t xml:space="preserve"> o </w:t>
      </w:r>
      <w:r w:rsidR="00E93860" w:rsidRPr="00E83661">
        <w:rPr>
          <w:rFonts w:cs="Times New Roman"/>
          <w:szCs w:val="24"/>
        </w:rPr>
        <w:t>ochronie odbiorców energii</w:t>
      </w:r>
      <w:r w:rsidR="00012734" w:rsidRPr="00E83661">
        <w:rPr>
          <w:rFonts w:cs="Times New Roman"/>
          <w:szCs w:val="24"/>
        </w:rPr>
        <w:t xml:space="preserve"> wprowadzono na okres 3 lat (do </w:t>
      </w:r>
      <w:r w:rsidR="00BE1BDC" w:rsidRPr="00E83661">
        <w:rPr>
          <w:rFonts w:cs="Times New Roman"/>
          <w:szCs w:val="24"/>
        </w:rPr>
        <w:t xml:space="preserve">dnia </w:t>
      </w:r>
      <w:r w:rsidR="00012734" w:rsidRPr="00E83661">
        <w:rPr>
          <w:rFonts w:cs="Times New Roman"/>
          <w:szCs w:val="24"/>
        </w:rPr>
        <w:t>31 grudnia 2025 r.) przepisy art. 226a ustawy o odpadach oraz art. 193 ust. 1c</w:t>
      </w:r>
      <w:r w:rsidR="00BE1BDC" w:rsidRPr="00E83661">
        <w:rPr>
          <w:rFonts w:cs="Times New Roman"/>
          <w:szCs w:val="24"/>
        </w:rPr>
        <w:t>–</w:t>
      </w:r>
      <w:r w:rsidR="00012734" w:rsidRPr="00E83661">
        <w:rPr>
          <w:rFonts w:cs="Times New Roman"/>
          <w:szCs w:val="24"/>
        </w:rPr>
        <w:t xml:space="preserve">1e ustawy </w:t>
      </w:r>
      <w:r w:rsidRPr="00E83661">
        <w:rPr>
          <w:rFonts w:cs="Times New Roman"/>
          <w:szCs w:val="24"/>
        </w:rPr>
        <w:t xml:space="preserve">– </w:t>
      </w:r>
      <w:r w:rsidR="00012734" w:rsidRPr="00E83661">
        <w:rPr>
          <w:rFonts w:cs="Times New Roman"/>
          <w:szCs w:val="24"/>
        </w:rPr>
        <w:t>P</w:t>
      </w:r>
      <w:r w:rsidRPr="00E83661">
        <w:rPr>
          <w:rFonts w:cs="Times New Roman"/>
          <w:szCs w:val="24"/>
        </w:rPr>
        <w:t xml:space="preserve">rawo </w:t>
      </w:r>
      <w:r w:rsidR="00012734" w:rsidRPr="00E83661">
        <w:rPr>
          <w:rFonts w:cs="Times New Roman"/>
          <w:szCs w:val="24"/>
        </w:rPr>
        <w:t>o</w:t>
      </w:r>
      <w:r w:rsidRPr="00E83661">
        <w:rPr>
          <w:rFonts w:cs="Times New Roman"/>
          <w:szCs w:val="24"/>
        </w:rPr>
        <w:t xml:space="preserve">chrony </w:t>
      </w:r>
      <w:r w:rsidR="00012734" w:rsidRPr="00E83661">
        <w:rPr>
          <w:rFonts w:cs="Times New Roman"/>
          <w:szCs w:val="24"/>
        </w:rPr>
        <w:t>ś</w:t>
      </w:r>
      <w:r w:rsidRPr="00E83661">
        <w:rPr>
          <w:rFonts w:cs="Times New Roman"/>
          <w:szCs w:val="24"/>
        </w:rPr>
        <w:t>rodowiska</w:t>
      </w:r>
      <w:r w:rsidR="00012734" w:rsidRPr="00E83661">
        <w:rPr>
          <w:rFonts w:cs="Times New Roman"/>
          <w:szCs w:val="24"/>
        </w:rPr>
        <w:t xml:space="preserve">. Wprowadzenie powyższych przepisów </w:t>
      </w:r>
      <w:r w:rsidR="00BE1BDC" w:rsidRPr="00E83661">
        <w:rPr>
          <w:rFonts w:cs="Times New Roman"/>
          <w:szCs w:val="24"/>
        </w:rPr>
        <w:t xml:space="preserve">było </w:t>
      </w:r>
      <w:r w:rsidR="00012734" w:rsidRPr="00E83661">
        <w:rPr>
          <w:rFonts w:cs="Times New Roman"/>
          <w:szCs w:val="24"/>
        </w:rPr>
        <w:t xml:space="preserve">spowodowane wpływającymi w 2022 r. do </w:t>
      </w:r>
      <w:r w:rsidR="003947C7" w:rsidRPr="00E83661">
        <w:rPr>
          <w:rFonts w:cs="Times New Roman"/>
          <w:szCs w:val="24"/>
        </w:rPr>
        <w:t>Ministra K</w:t>
      </w:r>
      <w:r w:rsidR="00012734" w:rsidRPr="00E83661">
        <w:rPr>
          <w:rFonts w:cs="Times New Roman"/>
          <w:szCs w:val="24"/>
        </w:rPr>
        <w:t xml:space="preserve">limatu i </w:t>
      </w:r>
      <w:r w:rsidR="003947C7" w:rsidRPr="00E83661">
        <w:rPr>
          <w:rFonts w:cs="Times New Roman"/>
          <w:szCs w:val="24"/>
        </w:rPr>
        <w:t>Ś</w:t>
      </w:r>
      <w:r w:rsidR="00012734" w:rsidRPr="00E83661">
        <w:rPr>
          <w:rFonts w:cs="Times New Roman"/>
          <w:szCs w:val="24"/>
        </w:rPr>
        <w:t>rodowiska informacj</w:t>
      </w:r>
      <w:r w:rsidR="00E1605B" w:rsidRPr="00E83661">
        <w:rPr>
          <w:rFonts w:cs="Times New Roman"/>
          <w:szCs w:val="24"/>
        </w:rPr>
        <w:t>ami</w:t>
      </w:r>
      <w:r w:rsidR="00012734" w:rsidRPr="00E83661">
        <w:rPr>
          <w:rFonts w:cs="Times New Roman"/>
          <w:szCs w:val="24"/>
        </w:rPr>
        <w:t xml:space="preserve"> o </w:t>
      </w:r>
      <w:r w:rsidR="003947C7" w:rsidRPr="00E83661">
        <w:rPr>
          <w:rFonts w:cs="Times New Roman"/>
          <w:szCs w:val="24"/>
        </w:rPr>
        <w:t xml:space="preserve">znacznej </w:t>
      </w:r>
      <w:r w:rsidR="00BA3A6D" w:rsidRPr="00E83661">
        <w:rPr>
          <w:rFonts w:cs="Times New Roman"/>
          <w:szCs w:val="24"/>
        </w:rPr>
        <w:t>liczbie</w:t>
      </w:r>
      <w:r w:rsidR="00A45C52" w:rsidRPr="00E83661">
        <w:rPr>
          <w:rFonts w:cs="Times New Roman"/>
          <w:szCs w:val="24"/>
        </w:rPr>
        <w:t xml:space="preserve"> </w:t>
      </w:r>
      <w:r w:rsidR="00012734" w:rsidRPr="00E83661">
        <w:rPr>
          <w:rFonts w:cs="Times New Roman"/>
          <w:szCs w:val="24"/>
        </w:rPr>
        <w:t>prowadzonych postępowań w sprawie wydania decyzji administracyj</w:t>
      </w:r>
      <w:r w:rsidR="00A45C52" w:rsidRPr="00E83661">
        <w:rPr>
          <w:rFonts w:cs="Times New Roman"/>
          <w:szCs w:val="24"/>
        </w:rPr>
        <w:t>nych</w:t>
      </w:r>
      <w:r w:rsidR="00012734" w:rsidRPr="00E83661">
        <w:rPr>
          <w:rFonts w:cs="Times New Roman"/>
          <w:szCs w:val="24"/>
        </w:rPr>
        <w:t xml:space="preserve"> w zakresie gospodarki odpadami, </w:t>
      </w:r>
      <w:r w:rsidR="00BA3A6D" w:rsidRPr="00E83661">
        <w:rPr>
          <w:rFonts w:cs="Times New Roman"/>
          <w:szCs w:val="24"/>
        </w:rPr>
        <w:t>co wiązało się z</w:t>
      </w:r>
      <w:r w:rsidR="00012734" w:rsidRPr="00E83661">
        <w:rPr>
          <w:rFonts w:cs="Times New Roman"/>
          <w:szCs w:val="24"/>
        </w:rPr>
        <w:t xml:space="preserve"> ryzyk</w:t>
      </w:r>
      <w:r w:rsidR="00BA3A6D" w:rsidRPr="00E83661">
        <w:rPr>
          <w:rFonts w:cs="Times New Roman"/>
          <w:szCs w:val="24"/>
        </w:rPr>
        <w:t>iem</w:t>
      </w:r>
      <w:r w:rsidR="00012734" w:rsidRPr="00E83661">
        <w:rPr>
          <w:rFonts w:cs="Times New Roman"/>
          <w:szCs w:val="24"/>
        </w:rPr>
        <w:t xml:space="preserve"> konieczności zakończenia działalności w zakresie gospodarki odpadami w związku z nieuzyskaniem w stosownym czasie </w:t>
      </w:r>
      <w:r w:rsidR="00A05D3D" w:rsidRPr="00E83661">
        <w:rPr>
          <w:rFonts w:cs="Times New Roman"/>
          <w:szCs w:val="24"/>
        </w:rPr>
        <w:t xml:space="preserve">nowej </w:t>
      </w:r>
      <w:r w:rsidR="00012734" w:rsidRPr="00E83661">
        <w:rPr>
          <w:rFonts w:cs="Times New Roman"/>
          <w:szCs w:val="24"/>
        </w:rPr>
        <w:t>decyzji administracyjnej</w:t>
      </w:r>
      <w:r w:rsidR="00A05D3D" w:rsidRPr="00E83661">
        <w:rPr>
          <w:rFonts w:cs="Times New Roman"/>
          <w:szCs w:val="24"/>
        </w:rPr>
        <w:t xml:space="preserve"> w zakresie gospodarki odpadami</w:t>
      </w:r>
      <w:r w:rsidR="00012734" w:rsidRPr="00E83661">
        <w:rPr>
          <w:rFonts w:cs="Times New Roman"/>
          <w:szCs w:val="24"/>
        </w:rPr>
        <w:t>.</w:t>
      </w:r>
    </w:p>
    <w:p w14:paraId="506F41BC" w14:textId="41D81ADE" w:rsidR="00012734" w:rsidRPr="00E83661" w:rsidRDefault="00012734" w:rsidP="00D26C9E">
      <w:pPr>
        <w:spacing w:before="120"/>
        <w:jc w:val="both"/>
        <w:rPr>
          <w:rFonts w:cs="Times New Roman"/>
          <w:szCs w:val="24"/>
        </w:rPr>
      </w:pPr>
      <w:r w:rsidRPr="00E83661">
        <w:rPr>
          <w:rFonts w:cs="Times New Roman"/>
          <w:szCs w:val="24"/>
        </w:rPr>
        <w:t xml:space="preserve">W związku z kończącym się okresem obowiązywania </w:t>
      </w:r>
      <w:r w:rsidR="00BA3A6D" w:rsidRPr="00E83661">
        <w:rPr>
          <w:rFonts w:cs="Times New Roman"/>
          <w:szCs w:val="24"/>
        </w:rPr>
        <w:t xml:space="preserve">ww. </w:t>
      </w:r>
      <w:r w:rsidRPr="00E83661">
        <w:rPr>
          <w:rFonts w:cs="Times New Roman"/>
          <w:szCs w:val="24"/>
        </w:rPr>
        <w:t>przepisów podmioty gospodarujące odpadami, m.in.</w:t>
      </w:r>
      <w:r w:rsidR="00A45C52" w:rsidRPr="00E83661">
        <w:rPr>
          <w:rFonts w:cs="Times New Roman"/>
          <w:szCs w:val="24"/>
        </w:rPr>
        <w:t xml:space="preserve"> z</w:t>
      </w:r>
      <w:r w:rsidRPr="00E83661">
        <w:rPr>
          <w:rFonts w:cs="Times New Roman"/>
          <w:szCs w:val="24"/>
        </w:rPr>
        <w:t xml:space="preserve"> branż</w:t>
      </w:r>
      <w:r w:rsidR="00A45C52" w:rsidRPr="00E83661">
        <w:rPr>
          <w:rFonts w:cs="Times New Roman"/>
          <w:szCs w:val="24"/>
        </w:rPr>
        <w:t>y</w:t>
      </w:r>
      <w:r w:rsidRPr="00E83661">
        <w:rPr>
          <w:rFonts w:cs="Times New Roman"/>
          <w:szCs w:val="24"/>
        </w:rPr>
        <w:t xml:space="preserve"> hutnicz</w:t>
      </w:r>
      <w:r w:rsidR="00A45C52" w:rsidRPr="00E83661">
        <w:rPr>
          <w:rFonts w:cs="Times New Roman"/>
          <w:szCs w:val="24"/>
        </w:rPr>
        <w:t>ej</w:t>
      </w:r>
      <w:r w:rsidRPr="00E83661">
        <w:rPr>
          <w:rFonts w:cs="Times New Roman"/>
          <w:szCs w:val="24"/>
        </w:rPr>
        <w:t xml:space="preserve">, </w:t>
      </w:r>
      <w:r w:rsidR="00876A0F" w:rsidRPr="00E83661">
        <w:rPr>
          <w:rFonts w:cs="Times New Roman"/>
          <w:szCs w:val="24"/>
        </w:rPr>
        <w:t>przekaza</w:t>
      </w:r>
      <w:r w:rsidR="004A6FBC" w:rsidRPr="00E83661">
        <w:rPr>
          <w:rFonts w:cs="Times New Roman"/>
          <w:szCs w:val="24"/>
        </w:rPr>
        <w:t>ły</w:t>
      </w:r>
      <w:r w:rsidR="00876A0F" w:rsidRPr="00E83661">
        <w:rPr>
          <w:rFonts w:cs="Times New Roman"/>
          <w:szCs w:val="24"/>
        </w:rPr>
        <w:t xml:space="preserve"> informację</w:t>
      </w:r>
      <w:r w:rsidR="003947C7" w:rsidRPr="00E83661">
        <w:rPr>
          <w:rFonts w:cs="Times New Roman"/>
          <w:szCs w:val="24"/>
        </w:rPr>
        <w:t xml:space="preserve"> </w:t>
      </w:r>
      <w:r w:rsidRPr="00E83661">
        <w:rPr>
          <w:rFonts w:cs="Times New Roman"/>
          <w:szCs w:val="24"/>
        </w:rPr>
        <w:t xml:space="preserve">o nadal wydłużonym </w:t>
      </w:r>
      <w:r w:rsidR="006006EE" w:rsidRPr="00E83661">
        <w:rPr>
          <w:rFonts w:cs="Times New Roman"/>
          <w:szCs w:val="24"/>
        </w:rPr>
        <w:t>okresie</w:t>
      </w:r>
      <w:r w:rsidRPr="00E83661">
        <w:rPr>
          <w:rFonts w:cs="Times New Roman"/>
          <w:szCs w:val="24"/>
        </w:rPr>
        <w:t xml:space="preserve"> oczekiwania na uzyskanie zmiany lub nowej decyzji administracyjnej w zakresie gospodarki odpadami oraz ryzyku konieczności zakończenia działalności w związku z zbliżającym się terminem obowiązywania ww. przepisów i niewydaniem przez organy administracji w </w:t>
      </w:r>
      <w:r w:rsidR="00866FD7" w:rsidRPr="00E83661">
        <w:rPr>
          <w:rFonts w:cs="Times New Roman"/>
          <w:szCs w:val="24"/>
        </w:rPr>
        <w:t>odpowiednim terminie</w:t>
      </w:r>
      <w:r w:rsidRPr="00E83661">
        <w:rPr>
          <w:rFonts w:cs="Times New Roman"/>
          <w:szCs w:val="24"/>
        </w:rPr>
        <w:t xml:space="preserve"> nowej decyzji administracyjnej w zakresie gospodarki odpadami.</w:t>
      </w:r>
    </w:p>
    <w:p w14:paraId="5739B232" w14:textId="689B0DB0" w:rsidR="00012734" w:rsidRPr="00E83661" w:rsidRDefault="00012734" w:rsidP="00D26C9E">
      <w:pPr>
        <w:spacing w:before="120"/>
        <w:jc w:val="both"/>
        <w:rPr>
          <w:rFonts w:cs="Times New Roman"/>
          <w:szCs w:val="24"/>
        </w:rPr>
      </w:pPr>
      <w:r w:rsidRPr="00E83661">
        <w:rPr>
          <w:rFonts w:cs="Times New Roman"/>
          <w:szCs w:val="24"/>
        </w:rPr>
        <w:t>Skumulowanie od 2022 r. prowadzonych przez organy administracji spraw dot</w:t>
      </w:r>
      <w:r w:rsidR="003947C7" w:rsidRPr="00E83661">
        <w:rPr>
          <w:rFonts w:cs="Times New Roman"/>
          <w:szCs w:val="24"/>
        </w:rPr>
        <w:t>yczących</w:t>
      </w:r>
      <w:r w:rsidRPr="00E83661">
        <w:rPr>
          <w:rFonts w:cs="Times New Roman"/>
          <w:szCs w:val="24"/>
        </w:rPr>
        <w:t xml:space="preserve"> postępowań administracyjnych w zakresie zmiany lub wydani</w:t>
      </w:r>
      <w:r w:rsidR="001415B5" w:rsidRPr="00E83661">
        <w:rPr>
          <w:rFonts w:cs="Times New Roman"/>
          <w:szCs w:val="24"/>
        </w:rPr>
        <w:t>a</w:t>
      </w:r>
      <w:r w:rsidRPr="00E83661">
        <w:rPr>
          <w:rFonts w:cs="Times New Roman"/>
          <w:szCs w:val="24"/>
        </w:rPr>
        <w:t xml:space="preserve"> nowej decyzji administracyjnej w zakresie gospodarki odpadami </w:t>
      </w:r>
      <w:r w:rsidR="006006EE" w:rsidRPr="00E83661">
        <w:rPr>
          <w:rFonts w:cs="Times New Roman"/>
          <w:szCs w:val="24"/>
        </w:rPr>
        <w:t xml:space="preserve">jest </w:t>
      </w:r>
      <w:r w:rsidRPr="00E83661">
        <w:rPr>
          <w:rFonts w:cs="Times New Roman"/>
          <w:szCs w:val="24"/>
        </w:rPr>
        <w:t>spowodowane m.in. etapem dostosowania decyzji administracyjnych w zakresie gospodarowania odpadami. W związku z</w:t>
      </w:r>
      <w:r w:rsidR="001415B5" w:rsidRPr="00E83661">
        <w:rPr>
          <w:rFonts w:cs="Times New Roman"/>
          <w:szCs w:val="24"/>
        </w:rPr>
        <w:t xml:space="preserve"> przepisami</w:t>
      </w:r>
      <w:r w:rsidRPr="00E83661">
        <w:rPr>
          <w:rFonts w:cs="Times New Roman"/>
          <w:szCs w:val="24"/>
        </w:rPr>
        <w:t xml:space="preserve"> wprowadzonymi ustawą z dnia 20 lipca 2018 r. o zmianie ustawy o odpadach oraz niektórych innych ustaw</w:t>
      </w:r>
      <w:r w:rsidR="00374C72" w:rsidRPr="00E83661">
        <w:rPr>
          <w:rStyle w:val="Odwoanieprzypisudolnego"/>
          <w:rFonts w:cs="Times New Roman"/>
          <w:szCs w:val="24"/>
        </w:rPr>
        <w:footnoteReference w:id="6"/>
      </w:r>
      <w:r w:rsidR="003947C7" w:rsidRPr="00E83661">
        <w:rPr>
          <w:rFonts w:cs="Times New Roman"/>
          <w:szCs w:val="24"/>
          <w:vertAlign w:val="superscript"/>
        </w:rPr>
        <w:t>)</w:t>
      </w:r>
      <w:r w:rsidRPr="00E83661">
        <w:rPr>
          <w:rFonts w:cs="Times New Roman"/>
          <w:szCs w:val="24"/>
        </w:rPr>
        <w:t xml:space="preserve">, posiadacze odpadów mieli obowiązek w terminie do </w:t>
      </w:r>
      <w:r w:rsidR="006006EE" w:rsidRPr="00E83661">
        <w:rPr>
          <w:rFonts w:cs="Times New Roman"/>
          <w:szCs w:val="24"/>
        </w:rPr>
        <w:t xml:space="preserve">dnia </w:t>
      </w:r>
      <w:r w:rsidRPr="00E83661">
        <w:rPr>
          <w:rFonts w:cs="Times New Roman"/>
          <w:szCs w:val="24"/>
        </w:rPr>
        <w:t>5 marca 2020 r. złożyć do właściwego organu administracji (marszał</w:t>
      </w:r>
      <w:r w:rsidR="00374C72" w:rsidRPr="00E83661">
        <w:rPr>
          <w:rFonts w:cs="Times New Roman"/>
          <w:szCs w:val="24"/>
        </w:rPr>
        <w:t>ka</w:t>
      </w:r>
      <w:r w:rsidRPr="00E83661">
        <w:rPr>
          <w:rFonts w:cs="Times New Roman"/>
          <w:szCs w:val="24"/>
        </w:rPr>
        <w:t xml:space="preserve"> województwa lub starost</w:t>
      </w:r>
      <w:r w:rsidR="00374C72" w:rsidRPr="00E83661">
        <w:rPr>
          <w:rFonts w:cs="Times New Roman"/>
          <w:szCs w:val="24"/>
        </w:rPr>
        <w:t>y</w:t>
      </w:r>
      <w:r w:rsidRPr="00E83661">
        <w:rPr>
          <w:rFonts w:cs="Times New Roman"/>
          <w:szCs w:val="24"/>
        </w:rPr>
        <w:t xml:space="preserve"> </w:t>
      </w:r>
      <w:r w:rsidRPr="00E83661">
        <w:rPr>
          <w:rFonts w:cs="Times New Roman"/>
          <w:szCs w:val="24"/>
        </w:rPr>
        <w:lastRenderedPageBreak/>
        <w:t>powiat</w:t>
      </w:r>
      <w:r w:rsidR="00374C72" w:rsidRPr="00E83661">
        <w:rPr>
          <w:rFonts w:cs="Times New Roman"/>
          <w:szCs w:val="24"/>
        </w:rPr>
        <w:t>owego</w:t>
      </w:r>
      <w:r w:rsidRPr="00E83661">
        <w:rPr>
          <w:rFonts w:cs="Times New Roman"/>
          <w:szCs w:val="24"/>
        </w:rPr>
        <w:t>) wniosek o dostosowanie posiadanych ww. decyzji do</w:t>
      </w:r>
      <w:r w:rsidR="00374C72" w:rsidRPr="00E83661">
        <w:rPr>
          <w:rFonts w:cs="Times New Roman"/>
          <w:szCs w:val="24"/>
        </w:rPr>
        <w:t xml:space="preserve"> przepisów ustawy pożarowej</w:t>
      </w:r>
      <w:r w:rsidRPr="00E83661">
        <w:rPr>
          <w:rFonts w:cs="Times New Roman"/>
          <w:szCs w:val="24"/>
        </w:rPr>
        <w:t xml:space="preserve">. </w:t>
      </w:r>
      <w:r w:rsidR="00374C72" w:rsidRPr="00E83661">
        <w:rPr>
          <w:rFonts w:cs="Times New Roman"/>
          <w:szCs w:val="24"/>
        </w:rPr>
        <w:t>P</w:t>
      </w:r>
      <w:r w:rsidRPr="00E83661">
        <w:rPr>
          <w:rFonts w:cs="Times New Roman"/>
          <w:szCs w:val="24"/>
        </w:rPr>
        <w:t>owyższy etap dostosowawczy nadal trwa. W</w:t>
      </w:r>
      <w:r w:rsidR="000D06A1" w:rsidRPr="00E83661">
        <w:rPr>
          <w:rFonts w:cs="Times New Roman"/>
          <w:szCs w:val="24"/>
        </w:rPr>
        <w:t>edłu</w:t>
      </w:r>
      <w:r w:rsidRPr="00E83661">
        <w:rPr>
          <w:rFonts w:cs="Times New Roman"/>
          <w:szCs w:val="24"/>
        </w:rPr>
        <w:t>g</w:t>
      </w:r>
      <w:r w:rsidR="000D06A1" w:rsidRPr="00E83661">
        <w:rPr>
          <w:rFonts w:cs="Times New Roman"/>
          <w:szCs w:val="24"/>
        </w:rPr>
        <w:t xml:space="preserve"> danych ze</w:t>
      </w:r>
      <w:r w:rsidRPr="00E83661">
        <w:rPr>
          <w:rFonts w:cs="Times New Roman"/>
          <w:szCs w:val="24"/>
        </w:rPr>
        <w:t xml:space="preserve"> stanu na dzień 31 grudnia 2024 r. do rozpatrzenia pozosta</w:t>
      </w:r>
      <w:r w:rsidR="001415B5" w:rsidRPr="00E83661">
        <w:rPr>
          <w:rFonts w:cs="Times New Roman"/>
          <w:szCs w:val="24"/>
        </w:rPr>
        <w:t>wa</w:t>
      </w:r>
      <w:r w:rsidRPr="00E83661">
        <w:rPr>
          <w:rFonts w:cs="Times New Roman"/>
          <w:szCs w:val="24"/>
        </w:rPr>
        <w:t xml:space="preserve">ło około 1410 wniosków o dostosowanie decyzji administracyjnych do przepisów </w:t>
      </w:r>
      <w:r w:rsidR="00374C72" w:rsidRPr="00E83661">
        <w:rPr>
          <w:rFonts w:cs="Times New Roman"/>
          <w:szCs w:val="24"/>
        </w:rPr>
        <w:t xml:space="preserve">ustawy pożarowej. </w:t>
      </w:r>
      <w:r w:rsidRPr="00E83661">
        <w:rPr>
          <w:rFonts w:cs="Times New Roman"/>
          <w:szCs w:val="24"/>
        </w:rPr>
        <w:t>Stanowi to około 13</w:t>
      </w:r>
      <w:r w:rsidR="0037107D" w:rsidRPr="00E83661">
        <w:rPr>
          <w:rFonts w:cs="Times New Roman"/>
          <w:szCs w:val="24"/>
        </w:rPr>
        <w:t xml:space="preserve"> </w:t>
      </w:r>
      <w:r w:rsidRPr="00E83661">
        <w:rPr>
          <w:rFonts w:cs="Times New Roman"/>
          <w:szCs w:val="24"/>
        </w:rPr>
        <w:t>% wszystkich złożonych wniosków.</w:t>
      </w:r>
      <w:r w:rsidR="00A03EB2" w:rsidRPr="00E83661">
        <w:rPr>
          <w:rFonts w:cs="Times New Roman"/>
          <w:szCs w:val="24"/>
        </w:rPr>
        <w:t xml:space="preserve"> Najwięcej postępowań administracyjnych jest po stronie marszałków województw (w</w:t>
      </w:r>
      <w:r w:rsidR="0037107D" w:rsidRPr="00E83661">
        <w:rPr>
          <w:rFonts w:cs="Times New Roman"/>
          <w:szCs w:val="24"/>
        </w:rPr>
        <w:t>edłu</w:t>
      </w:r>
      <w:r w:rsidR="00A03EB2" w:rsidRPr="00E83661">
        <w:rPr>
          <w:rFonts w:cs="Times New Roman"/>
          <w:szCs w:val="24"/>
        </w:rPr>
        <w:t>g ww. stanu organom tym pozostało do rozpatrzenia 1070 wniosków). Biorąc pod uwagę skalę prowadzonych przez marszałków województw postępowań</w:t>
      </w:r>
      <w:r w:rsidR="00FB3CBB">
        <w:rPr>
          <w:rFonts w:cs="Times New Roman"/>
          <w:szCs w:val="24"/>
        </w:rPr>
        <w:t>,</w:t>
      </w:r>
      <w:r w:rsidR="00A03EB2" w:rsidRPr="00E83661">
        <w:rPr>
          <w:rFonts w:cs="Times New Roman"/>
          <w:szCs w:val="24"/>
        </w:rPr>
        <w:t xml:space="preserve"> dokonano szczegółowej analizy etapu dostosowawczego, z które</w:t>
      </w:r>
      <w:r w:rsidR="00A42870" w:rsidRPr="00E83661">
        <w:rPr>
          <w:rFonts w:cs="Times New Roman"/>
          <w:szCs w:val="24"/>
        </w:rPr>
        <w:t>j</w:t>
      </w:r>
      <w:r w:rsidR="00A03EB2" w:rsidRPr="00E83661">
        <w:rPr>
          <w:rFonts w:cs="Times New Roman"/>
          <w:szCs w:val="24"/>
        </w:rPr>
        <w:t xml:space="preserve"> wynika, że na dzień 1 stycznia 2026 r. pozostanie do rozpatrzenia około 307 wniosków o dostosowanie decyzji.</w:t>
      </w:r>
    </w:p>
    <w:p w14:paraId="5B760D64" w14:textId="059C456F" w:rsidR="00012734" w:rsidRPr="00E83661" w:rsidRDefault="00012734" w:rsidP="00D26C9E">
      <w:pPr>
        <w:spacing w:before="120"/>
        <w:jc w:val="both"/>
        <w:rPr>
          <w:rFonts w:cs="Times New Roman"/>
          <w:szCs w:val="24"/>
        </w:rPr>
      </w:pPr>
      <w:r w:rsidRPr="00E83661">
        <w:rPr>
          <w:rFonts w:cs="Times New Roman"/>
          <w:szCs w:val="24"/>
        </w:rPr>
        <w:t xml:space="preserve">Aby nie zaburzać </w:t>
      </w:r>
      <w:r w:rsidR="000D06A1" w:rsidRPr="00E83661">
        <w:rPr>
          <w:rFonts w:cs="Times New Roman"/>
          <w:szCs w:val="24"/>
        </w:rPr>
        <w:t>procedury</w:t>
      </w:r>
      <w:r w:rsidRPr="00E83661">
        <w:rPr>
          <w:rFonts w:cs="Times New Roman"/>
          <w:szCs w:val="24"/>
        </w:rPr>
        <w:t xml:space="preserve"> wydawania decyzji</w:t>
      </w:r>
      <w:r w:rsidR="000D06A1" w:rsidRPr="00E83661">
        <w:rPr>
          <w:rFonts w:cs="Times New Roman"/>
          <w:szCs w:val="24"/>
        </w:rPr>
        <w:t xml:space="preserve">, nie pogłębiać długotrwałości i </w:t>
      </w:r>
      <w:r w:rsidR="00676E14" w:rsidRPr="00E83661">
        <w:rPr>
          <w:rFonts w:cs="Times New Roman"/>
          <w:szCs w:val="24"/>
        </w:rPr>
        <w:t>przewlekłości</w:t>
      </w:r>
      <w:r w:rsidRPr="00E83661">
        <w:rPr>
          <w:rFonts w:cs="Times New Roman"/>
          <w:szCs w:val="24"/>
        </w:rPr>
        <w:t xml:space="preserve"> postępowań administracyjnych </w:t>
      </w:r>
      <w:r w:rsidR="000D06A1" w:rsidRPr="00E83661">
        <w:rPr>
          <w:rFonts w:cs="Times New Roman"/>
          <w:szCs w:val="24"/>
        </w:rPr>
        <w:t>oraz</w:t>
      </w:r>
      <w:r w:rsidRPr="00E83661">
        <w:rPr>
          <w:rFonts w:cs="Times New Roman"/>
          <w:szCs w:val="24"/>
        </w:rPr>
        <w:t xml:space="preserve"> </w:t>
      </w:r>
      <w:r w:rsidR="000D06A1" w:rsidRPr="00E83661">
        <w:rPr>
          <w:rFonts w:cs="Times New Roman"/>
          <w:szCs w:val="24"/>
        </w:rPr>
        <w:t>zapobie</w:t>
      </w:r>
      <w:r w:rsidR="004A6FBC" w:rsidRPr="00E83661">
        <w:rPr>
          <w:rFonts w:cs="Times New Roman"/>
          <w:szCs w:val="24"/>
        </w:rPr>
        <w:t>c</w:t>
      </w:r>
      <w:r w:rsidRPr="00E83661">
        <w:rPr>
          <w:rFonts w:cs="Times New Roman"/>
          <w:szCs w:val="24"/>
        </w:rPr>
        <w:t xml:space="preserve"> </w:t>
      </w:r>
      <w:r w:rsidR="000D06A1" w:rsidRPr="00E83661">
        <w:rPr>
          <w:rFonts w:cs="Times New Roman"/>
          <w:szCs w:val="24"/>
        </w:rPr>
        <w:t>zgłaszanym</w:t>
      </w:r>
      <w:r w:rsidRPr="00E83661">
        <w:rPr>
          <w:rFonts w:cs="Times New Roman"/>
          <w:szCs w:val="24"/>
        </w:rPr>
        <w:t xml:space="preserve"> przez podmioty </w:t>
      </w:r>
      <w:r w:rsidR="00676E14" w:rsidRPr="00E83661">
        <w:rPr>
          <w:rFonts w:cs="Times New Roman"/>
          <w:szCs w:val="24"/>
        </w:rPr>
        <w:t>obawom o dalsze prowadzenie działalności gospodarczej</w:t>
      </w:r>
      <w:r w:rsidR="00EF0FC1" w:rsidRPr="00E83661">
        <w:rPr>
          <w:rFonts w:cs="Times New Roman"/>
          <w:szCs w:val="24"/>
        </w:rPr>
        <w:t>,</w:t>
      </w:r>
      <w:r w:rsidRPr="00E83661">
        <w:rPr>
          <w:rFonts w:cs="Times New Roman"/>
          <w:szCs w:val="24"/>
        </w:rPr>
        <w:t xml:space="preserve"> </w:t>
      </w:r>
      <w:r w:rsidR="00374C72" w:rsidRPr="00E83661">
        <w:rPr>
          <w:rFonts w:cs="Times New Roman"/>
          <w:szCs w:val="24"/>
        </w:rPr>
        <w:t>zapro</w:t>
      </w:r>
      <w:r w:rsidR="001415B5" w:rsidRPr="00E83661">
        <w:rPr>
          <w:rFonts w:cs="Times New Roman"/>
          <w:szCs w:val="24"/>
        </w:rPr>
        <w:t>ponowano</w:t>
      </w:r>
      <w:r w:rsidRPr="00E83661">
        <w:rPr>
          <w:rFonts w:cs="Times New Roman"/>
          <w:szCs w:val="24"/>
        </w:rPr>
        <w:t xml:space="preserve"> zmiany w przepisach </w:t>
      </w:r>
      <w:r w:rsidR="006D07A6" w:rsidRPr="00E83661">
        <w:rPr>
          <w:rFonts w:cs="Times New Roman"/>
          <w:szCs w:val="24"/>
        </w:rPr>
        <w:t xml:space="preserve">art. 193 ust. 1c ustawy – Prawo ochrony środowiska oraz </w:t>
      </w:r>
      <w:r w:rsidRPr="00E83661">
        <w:rPr>
          <w:rFonts w:cs="Times New Roman"/>
          <w:szCs w:val="24"/>
        </w:rPr>
        <w:t>art. 226a ustawy o odpadach</w:t>
      </w:r>
      <w:r w:rsidR="00676E14" w:rsidRPr="00E83661">
        <w:rPr>
          <w:rFonts w:cs="Times New Roman"/>
          <w:szCs w:val="24"/>
        </w:rPr>
        <w:t xml:space="preserve">. </w:t>
      </w:r>
      <w:r w:rsidR="0078346B" w:rsidRPr="00E83661">
        <w:rPr>
          <w:rFonts w:cs="Times New Roman"/>
          <w:szCs w:val="24"/>
        </w:rPr>
        <w:t xml:space="preserve">Zaproponowane zmiany spowodują </w:t>
      </w:r>
      <w:r w:rsidRPr="00E83661">
        <w:rPr>
          <w:rFonts w:cs="Times New Roman"/>
          <w:szCs w:val="24"/>
        </w:rPr>
        <w:t>przedłużanie okresu ważności dotychczasowych decyzji administracyjnych w zakresie gospodarki odpadami</w:t>
      </w:r>
      <w:r w:rsidR="0078346B" w:rsidRPr="00E83661">
        <w:rPr>
          <w:rFonts w:cs="Times New Roman"/>
          <w:szCs w:val="24"/>
        </w:rPr>
        <w:t xml:space="preserve"> do </w:t>
      </w:r>
      <w:r w:rsidR="00BE1BDC" w:rsidRPr="00E83661">
        <w:rPr>
          <w:rFonts w:cs="Times New Roman"/>
          <w:szCs w:val="24"/>
        </w:rPr>
        <w:t xml:space="preserve">dnia </w:t>
      </w:r>
      <w:r w:rsidR="0078346B" w:rsidRPr="00E83661">
        <w:rPr>
          <w:rFonts w:cs="Times New Roman"/>
          <w:szCs w:val="24"/>
        </w:rPr>
        <w:t>3</w:t>
      </w:r>
      <w:r w:rsidR="00A03EB2" w:rsidRPr="00E83661">
        <w:rPr>
          <w:rFonts w:cs="Times New Roman"/>
          <w:szCs w:val="24"/>
        </w:rPr>
        <w:t>0 czerwca</w:t>
      </w:r>
      <w:r w:rsidR="0078346B" w:rsidRPr="00E83661">
        <w:rPr>
          <w:rFonts w:cs="Times New Roman"/>
          <w:szCs w:val="24"/>
        </w:rPr>
        <w:t xml:space="preserve"> 202</w:t>
      </w:r>
      <w:r w:rsidR="00A03EB2" w:rsidRPr="00E83661">
        <w:rPr>
          <w:rFonts w:cs="Times New Roman"/>
          <w:szCs w:val="24"/>
        </w:rPr>
        <w:t>6</w:t>
      </w:r>
      <w:r w:rsidR="0078346B" w:rsidRPr="00E83661">
        <w:rPr>
          <w:rFonts w:cs="Times New Roman"/>
          <w:szCs w:val="24"/>
        </w:rPr>
        <w:t xml:space="preserve"> r.</w:t>
      </w:r>
      <w:r w:rsidRPr="00E83661">
        <w:rPr>
          <w:rFonts w:cs="Times New Roman"/>
          <w:szCs w:val="24"/>
        </w:rPr>
        <w:t xml:space="preserve"> (tj. nadal będzie możliwe przedłużanie dotychczasowych decyzji tak, jak odbywa się to </w:t>
      </w:r>
      <w:r w:rsidR="0078346B" w:rsidRPr="00E83661">
        <w:rPr>
          <w:rFonts w:cs="Times New Roman"/>
          <w:szCs w:val="24"/>
        </w:rPr>
        <w:t xml:space="preserve">na mocy przepisów </w:t>
      </w:r>
      <w:r w:rsidR="004A6FBC" w:rsidRPr="00E83661">
        <w:rPr>
          <w:rFonts w:cs="Times New Roman"/>
          <w:szCs w:val="24"/>
        </w:rPr>
        <w:t>wprowadzonych</w:t>
      </w:r>
      <w:r w:rsidRPr="00E83661">
        <w:rPr>
          <w:rFonts w:cs="Times New Roman"/>
          <w:szCs w:val="24"/>
        </w:rPr>
        <w:t xml:space="preserve"> ustaw</w:t>
      </w:r>
      <w:r w:rsidR="004A6FBC" w:rsidRPr="00E83661">
        <w:rPr>
          <w:rFonts w:cs="Times New Roman"/>
          <w:szCs w:val="24"/>
        </w:rPr>
        <w:t>ą</w:t>
      </w:r>
      <w:r w:rsidRPr="00E83661">
        <w:rPr>
          <w:rFonts w:cs="Times New Roman"/>
          <w:szCs w:val="24"/>
        </w:rPr>
        <w:t xml:space="preserve"> o </w:t>
      </w:r>
      <w:r w:rsidR="0078346B" w:rsidRPr="00E83661">
        <w:rPr>
          <w:rFonts w:cs="Times New Roman"/>
          <w:szCs w:val="24"/>
        </w:rPr>
        <w:t>ochronie odbiorców energii</w:t>
      </w:r>
      <w:r w:rsidRPr="00E83661">
        <w:rPr>
          <w:rFonts w:cs="Times New Roman"/>
          <w:szCs w:val="24"/>
        </w:rPr>
        <w:t>).</w:t>
      </w:r>
    </w:p>
    <w:p w14:paraId="5AEC9E60" w14:textId="61D3FDEB" w:rsidR="00012734" w:rsidRPr="00E83661" w:rsidRDefault="006031F4" w:rsidP="00D26C9E">
      <w:pPr>
        <w:spacing w:before="120"/>
        <w:jc w:val="both"/>
        <w:rPr>
          <w:rFonts w:cs="Times New Roman"/>
          <w:szCs w:val="24"/>
        </w:rPr>
      </w:pPr>
      <w:r w:rsidRPr="00E83661">
        <w:rPr>
          <w:rFonts w:cs="Times New Roman"/>
          <w:szCs w:val="24"/>
        </w:rPr>
        <w:t>W</w:t>
      </w:r>
      <w:r w:rsidR="00012734" w:rsidRPr="00E83661">
        <w:rPr>
          <w:rFonts w:cs="Times New Roman"/>
          <w:szCs w:val="24"/>
        </w:rPr>
        <w:t xml:space="preserve"> celu zakończenia możliwości przedłużania decyzji z mocy prawa nie przewiduje się przepisów przejściowych, które pozwalałyby części podmiotów nadal korzystać z przedłużonej decyzji. W tym celu uchyla się przepis przejściowy art. 54 ustawy o </w:t>
      </w:r>
      <w:r w:rsidR="0078346B" w:rsidRPr="00E83661">
        <w:rPr>
          <w:rFonts w:cs="Times New Roman"/>
          <w:szCs w:val="24"/>
        </w:rPr>
        <w:t>ochronie odbiorców energii</w:t>
      </w:r>
      <w:r w:rsidR="00012734" w:rsidRPr="00E83661">
        <w:rPr>
          <w:rFonts w:cs="Times New Roman"/>
          <w:szCs w:val="24"/>
        </w:rPr>
        <w:t xml:space="preserve">, </w:t>
      </w:r>
      <w:r w:rsidR="0078346B" w:rsidRPr="00E83661">
        <w:rPr>
          <w:rFonts w:cs="Times New Roman"/>
          <w:szCs w:val="24"/>
        </w:rPr>
        <w:t>zgodnie z którym</w:t>
      </w:r>
      <w:r w:rsidR="00012734" w:rsidRPr="00E83661">
        <w:rPr>
          <w:rFonts w:cs="Times New Roman"/>
          <w:szCs w:val="24"/>
        </w:rPr>
        <w:t xml:space="preserve"> do postępowań w sprawie wydania nowej decyzji administracyjnej w zakresie gospodarki odpadami wszczętych i niezakończonych ostateczną decyzją przed dniem 1 stycznia 2026 r., przepisy art. 226a ustawy o odpadach oraz art. 193 ust. 1c</w:t>
      </w:r>
      <w:r w:rsidR="00BE1BDC" w:rsidRPr="00E83661">
        <w:rPr>
          <w:rFonts w:cs="Times New Roman"/>
          <w:szCs w:val="24"/>
        </w:rPr>
        <w:t>–</w:t>
      </w:r>
      <w:r w:rsidR="00012734" w:rsidRPr="00E83661">
        <w:rPr>
          <w:rFonts w:cs="Times New Roman"/>
          <w:szCs w:val="24"/>
        </w:rPr>
        <w:t>1e ustawy</w:t>
      </w:r>
      <w:r w:rsidR="00132966" w:rsidRPr="00E83661">
        <w:rPr>
          <w:rFonts w:cs="Times New Roman"/>
          <w:szCs w:val="24"/>
        </w:rPr>
        <w:t xml:space="preserve"> –</w:t>
      </w:r>
      <w:r w:rsidR="00012734" w:rsidRPr="00E83661">
        <w:rPr>
          <w:rFonts w:cs="Times New Roman"/>
          <w:szCs w:val="24"/>
        </w:rPr>
        <w:t xml:space="preserve"> P</w:t>
      </w:r>
      <w:r w:rsidR="00132966" w:rsidRPr="00E83661">
        <w:rPr>
          <w:rFonts w:cs="Times New Roman"/>
          <w:szCs w:val="24"/>
        </w:rPr>
        <w:t xml:space="preserve">rawo </w:t>
      </w:r>
      <w:r w:rsidR="00012734" w:rsidRPr="00E83661">
        <w:rPr>
          <w:rFonts w:cs="Times New Roman"/>
          <w:szCs w:val="24"/>
        </w:rPr>
        <w:t>o</w:t>
      </w:r>
      <w:r w:rsidR="00132966" w:rsidRPr="00E83661">
        <w:rPr>
          <w:rFonts w:cs="Times New Roman"/>
          <w:szCs w:val="24"/>
        </w:rPr>
        <w:t xml:space="preserve">chrony </w:t>
      </w:r>
      <w:r w:rsidR="00012734" w:rsidRPr="00E83661">
        <w:rPr>
          <w:rFonts w:cs="Times New Roman"/>
          <w:szCs w:val="24"/>
        </w:rPr>
        <w:t>ś</w:t>
      </w:r>
      <w:r w:rsidR="00132966" w:rsidRPr="00E83661">
        <w:rPr>
          <w:rFonts w:cs="Times New Roman"/>
          <w:szCs w:val="24"/>
        </w:rPr>
        <w:t>rodowiska</w:t>
      </w:r>
      <w:r w:rsidR="00012734" w:rsidRPr="00E83661">
        <w:rPr>
          <w:rFonts w:cs="Times New Roman"/>
          <w:szCs w:val="24"/>
        </w:rPr>
        <w:t xml:space="preserve"> stosuje się.</w:t>
      </w:r>
    </w:p>
    <w:p w14:paraId="4284BC0A" w14:textId="1CC11C28" w:rsidR="00012734" w:rsidRPr="00E83661" w:rsidRDefault="00012734" w:rsidP="00D26C9E">
      <w:pPr>
        <w:spacing w:before="120"/>
        <w:jc w:val="both"/>
        <w:rPr>
          <w:rFonts w:cs="Times New Roman"/>
          <w:szCs w:val="24"/>
        </w:rPr>
      </w:pPr>
      <w:r w:rsidRPr="00E83661">
        <w:rPr>
          <w:rFonts w:cs="Times New Roman"/>
          <w:szCs w:val="24"/>
        </w:rPr>
        <w:t>Dodatkowo w związku ze zmianą daty w przepisach art. 226a ustawy o odpadach oraz art. 193 ust. 1c</w:t>
      </w:r>
      <w:r w:rsidR="00BE1BDC" w:rsidRPr="00E83661">
        <w:rPr>
          <w:rFonts w:cs="Times New Roman"/>
          <w:szCs w:val="24"/>
        </w:rPr>
        <w:t>–</w:t>
      </w:r>
      <w:r w:rsidRPr="00E83661">
        <w:rPr>
          <w:rFonts w:cs="Times New Roman"/>
          <w:szCs w:val="24"/>
        </w:rPr>
        <w:t xml:space="preserve">1e ustawy </w:t>
      </w:r>
      <w:r w:rsidR="00132966" w:rsidRPr="00E83661">
        <w:rPr>
          <w:rFonts w:cs="Times New Roman"/>
          <w:szCs w:val="24"/>
        </w:rPr>
        <w:t xml:space="preserve">– </w:t>
      </w:r>
      <w:r w:rsidRPr="00E83661">
        <w:rPr>
          <w:rFonts w:cs="Times New Roman"/>
          <w:szCs w:val="24"/>
        </w:rPr>
        <w:t>P</w:t>
      </w:r>
      <w:r w:rsidR="00132966" w:rsidRPr="00E83661">
        <w:rPr>
          <w:rFonts w:cs="Times New Roman"/>
          <w:szCs w:val="24"/>
        </w:rPr>
        <w:t xml:space="preserve">rawo </w:t>
      </w:r>
      <w:r w:rsidRPr="00E83661">
        <w:rPr>
          <w:rFonts w:cs="Times New Roman"/>
          <w:szCs w:val="24"/>
        </w:rPr>
        <w:t>o</w:t>
      </w:r>
      <w:r w:rsidR="00132966" w:rsidRPr="00E83661">
        <w:rPr>
          <w:rFonts w:cs="Times New Roman"/>
          <w:szCs w:val="24"/>
        </w:rPr>
        <w:t xml:space="preserve">chrony </w:t>
      </w:r>
      <w:r w:rsidRPr="00E83661">
        <w:rPr>
          <w:rFonts w:cs="Times New Roman"/>
          <w:szCs w:val="24"/>
        </w:rPr>
        <w:t>ś</w:t>
      </w:r>
      <w:r w:rsidR="00132966" w:rsidRPr="00E83661">
        <w:rPr>
          <w:rFonts w:cs="Times New Roman"/>
          <w:szCs w:val="24"/>
        </w:rPr>
        <w:t>rodowiska</w:t>
      </w:r>
      <w:r w:rsidR="000C1108" w:rsidRPr="00E83661">
        <w:rPr>
          <w:rFonts w:cs="Times New Roman"/>
          <w:szCs w:val="24"/>
        </w:rPr>
        <w:t>,</w:t>
      </w:r>
      <w:r w:rsidRPr="00E83661">
        <w:rPr>
          <w:rFonts w:cs="Times New Roman"/>
          <w:szCs w:val="24"/>
        </w:rPr>
        <w:t xml:space="preserve"> w art. 60 ustawy o</w:t>
      </w:r>
      <w:r w:rsidR="000C1108" w:rsidRPr="00E83661">
        <w:rPr>
          <w:rFonts w:cs="Times New Roman"/>
          <w:szCs w:val="24"/>
        </w:rPr>
        <w:t xml:space="preserve"> ochronie odbiorców energii</w:t>
      </w:r>
      <w:r w:rsidRPr="00E83661">
        <w:rPr>
          <w:rFonts w:cs="Times New Roman"/>
          <w:szCs w:val="24"/>
        </w:rPr>
        <w:t xml:space="preserve"> wprowadzono zmianę terminu </w:t>
      </w:r>
      <w:r w:rsidR="00BA3A6D" w:rsidRPr="00E83661">
        <w:rPr>
          <w:rFonts w:cs="Times New Roman"/>
          <w:szCs w:val="24"/>
        </w:rPr>
        <w:t>uchylenia</w:t>
      </w:r>
      <w:r w:rsidRPr="00E83661">
        <w:rPr>
          <w:rFonts w:cs="Times New Roman"/>
          <w:szCs w:val="24"/>
        </w:rPr>
        <w:t xml:space="preserve"> ww. przepisów, tj. </w:t>
      </w:r>
      <w:r w:rsidR="00B72D6C" w:rsidRPr="00E83661">
        <w:rPr>
          <w:rFonts w:cs="Times New Roman"/>
          <w:szCs w:val="24"/>
        </w:rPr>
        <w:t xml:space="preserve">dokonano </w:t>
      </w:r>
      <w:r w:rsidRPr="00E83661">
        <w:rPr>
          <w:rFonts w:cs="Times New Roman"/>
          <w:szCs w:val="24"/>
        </w:rPr>
        <w:t>zmian</w:t>
      </w:r>
      <w:r w:rsidR="00B72D6C" w:rsidRPr="00E83661">
        <w:rPr>
          <w:rFonts w:cs="Times New Roman"/>
          <w:szCs w:val="24"/>
        </w:rPr>
        <w:t>y</w:t>
      </w:r>
      <w:r w:rsidRPr="00E83661">
        <w:rPr>
          <w:rFonts w:cs="Times New Roman"/>
          <w:szCs w:val="24"/>
        </w:rPr>
        <w:t xml:space="preserve"> </w:t>
      </w:r>
      <w:r w:rsidR="000C1108" w:rsidRPr="00E83661">
        <w:rPr>
          <w:rFonts w:cs="Times New Roman"/>
          <w:szCs w:val="24"/>
        </w:rPr>
        <w:t xml:space="preserve">brzmienia </w:t>
      </w:r>
      <w:r w:rsidRPr="00E83661">
        <w:rPr>
          <w:rFonts w:cs="Times New Roman"/>
          <w:szCs w:val="24"/>
        </w:rPr>
        <w:t>z „1 stycznia 2026</w:t>
      </w:r>
      <w:r w:rsidR="00BA0375" w:rsidRPr="00E83661">
        <w:rPr>
          <w:rFonts w:cs="Times New Roman"/>
          <w:szCs w:val="24"/>
        </w:rPr>
        <w:t> </w:t>
      </w:r>
      <w:r w:rsidRPr="00E83661">
        <w:rPr>
          <w:rFonts w:cs="Times New Roman"/>
          <w:szCs w:val="24"/>
        </w:rPr>
        <w:t>r.</w:t>
      </w:r>
      <w:r w:rsidR="001415B5" w:rsidRPr="00E83661">
        <w:rPr>
          <w:rFonts w:cs="Times New Roman"/>
          <w:szCs w:val="24"/>
        </w:rPr>
        <w:t>”</w:t>
      </w:r>
      <w:r w:rsidRPr="00E83661">
        <w:rPr>
          <w:rFonts w:cs="Times New Roman"/>
          <w:szCs w:val="24"/>
        </w:rPr>
        <w:t xml:space="preserve"> na „1 </w:t>
      </w:r>
      <w:r w:rsidR="00A03EB2" w:rsidRPr="00E83661">
        <w:rPr>
          <w:rFonts w:cs="Times New Roman"/>
          <w:szCs w:val="24"/>
        </w:rPr>
        <w:t>lipca</w:t>
      </w:r>
      <w:r w:rsidRPr="00E83661">
        <w:rPr>
          <w:rFonts w:cs="Times New Roman"/>
          <w:szCs w:val="24"/>
        </w:rPr>
        <w:t xml:space="preserve"> 202</w:t>
      </w:r>
      <w:r w:rsidR="00A03EB2" w:rsidRPr="00E83661">
        <w:rPr>
          <w:rFonts w:cs="Times New Roman"/>
          <w:szCs w:val="24"/>
        </w:rPr>
        <w:t>6</w:t>
      </w:r>
      <w:r w:rsidR="001415B5" w:rsidRPr="00E83661">
        <w:rPr>
          <w:rFonts w:cs="Times New Roman"/>
          <w:szCs w:val="24"/>
        </w:rPr>
        <w:t xml:space="preserve"> r.</w:t>
      </w:r>
      <w:r w:rsidRPr="00E83661">
        <w:rPr>
          <w:rFonts w:cs="Times New Roman"/>
          <w:szCs w:val="24"/>
        </w:rPr>
        <w:t>”.</w:t>
      </w:r>
    </w:p>
    <w:p w14:paraId="64002E62" w14:textId="58DEDF5B" w:rsidR="0034734E" w:rsidRPr="00E83661" w:rsidRDefault="00012734" w:rsidP="00D26C9E">
      <w:pPr>
        <w:spacing w:before="120"/>
        <w:jc w:val="both"/>
        <w:rPr>
          <w:rFonts w:cs="Times New Roman"/>
          <w:szCs w:val="24"/>
        </w:rPr>
      </w:pPr>
      <w:r w:rsidRPr="00E83661">
        <w:rPr>
          <w:rFonts w:cs="Times New Roman"/>
          <w:szCs w:val="24"/>
        </w:rPr>
        <w:t>W związku z powyższym</w:t>
      </w:r>
      <w:r w:rsidR="00866FD7" w:rsidRPr="00E83661">
        <w:rPr>
          <w:rFonts w:cs="Times New Roman"/>
          <w:szCs w:val="24"/>
        </w:rPr>
        <w:t xml:space="preserve"> dzień </w:t>
      </w:r>
      <w:r w:rsidR="00A03EB2" w:rsidRPr="00E83661">
        <w:rPr>
          <w:rFonts w:cs="Times New Roman"/>
          <w:szCs w:val="24"/>
        </w:rPr>
        <w:t>30</w:t>
      </w:r>
      <w:r w:rsidRPr="00E83661">
        <w:rPr>
          <w:rFonts w:cs="Times New Roman"/>
          <w:szCs w:val="24"/>
        </w:rPr>
        <w:t xml:space="preserve"> </w:t>
      </w:r>
      <w:r w:rsidR="00A03EB2" w:rsidRPr="00E83661">
        <w:rPr>
          <w:rFonts w:cs="Times New Roman"/>
          <w:szCs w:val="24"/>
        </w:rPr>
        <w:t>czerwca</w:t>
      </w:r>
      <w:r w:rsidRPr="00E83661">
        <w:rPr>
          <w:rFonts w:cs="Times New Roman"/>
          <w:szCs w:val="24"/>
        </w:rPr>
        <w:t xml:space="preserve"> 202</w:t>
      </w:r>
      <w:r w:rsidR="00A03EB2" w:rsidRPr="00E83661">
        <w:rPr>
          <w:rFonts w:cs="Times New Roman"/>
          <w:szCs w:val="24"/>
        </w:rPr>
        <w:t>6</w:t>
      </w:r>
      <w:r w:rsidRPr="00E83661">
        <w:rPr>
          <w:rFonts w:cs="Times New Roman"/>
          <w:szCs w:val="24"/>
        </w:rPr>
        <w:t xml:space="preserve"> r. jest terminem granicznym (ostatecznym) przedłużania dotychczasowych decyzji administracyjnych. Po tym terminie nie będzie już możliwości przedłużania ww. decyzji.</w:t>
      </w:r>
      <w:r w:rsidR="00FD6300" w:rsidRPr="00E83661">
        <w:rPr>
          <w:rFonts w:cs="Times New Roman"/>
          <w:szCs w:val="24"/>
        </w:rPr>
        <w:t xml:space="preserve"> </w:t>
      </w:r>
      <w:r w:rsidR="00E6289E" w:rsidRPr="00E83661">
        <w:rPr>
          <w:rFonts w:cs="Times New Roman"/>
          <w:szCs w:val="24"/>
        </w:rPr>
        <w:t xml:space="preserve">W przypadku, w którym </w:t>
      </w:r>
      <w:r w:rsidR="00847550" w:rsidRPr="00E83661">
        <w:rPr>
          <w:rFonts w:cs="Times New Roman"/>
          <w:szCs w:val="24"/>
        </w:rPr>
        <w:t>okres</w:t>
      </w:r>
      <w:r w:rsidR="00BA3A6D" w:rsidRPr="00E83661">
        <w:rPr>
          <w:rFonts w:cs="Times New Roman"/>
          <w:szCs w:val="24"/>
        </w:rPr>
        <w:t>,</w:t>
      </w:r>
      <w:r w:rsidR="00E6289E" w:rsidRPr="00E83661">
        <w:rPr>
          <w:rFonts w:cs="Times New Roman"/>
          <w:szCs w:val="24"/>
        </w:rPr>
        <w:t xml:space="preserve"> na jaki została wydana dotychczasowa decyzja</w:t>
      </w:r>
      <w:r w:rsidR="00BA3A6D" w:rsidRPr="00E83661">
        <w:rPr>
          <w:rFonts w:cs="Times New Roman"/>
          <w:szCs w:val="24"/>
        </w:rPr>
        <w:t>,</w:t>
      </w:r>
      <w:r w:rsidR="00E6289E" w:rsidRPr="00E83661">
        <w:rPr>
          <w:rFonts w:cs="Times New Roman"/>
          <w:szCs w:val="24"/>
        </w:rPr>
        <w:t xml:space="preserve"> upłynął, a postępowanie w sprawie wydania nowej decyzji nie zostanie ukończone przed dniem 1 </w:t>
      </w:r>
      <w:r w:rsidR="00A42870" w:rsidRPr="00E83661">
        <w:rPr>
          <w:rFonts w:cs="Times New Roman"/>
          <w:szCs w:val="24"/>
        </w:rPr>
        <w:t>lipca</w:t>
      </w:r>
      <w:r w:rsidR="00E6289E" w:rsidRPr="00E83661">
        <w:rPr>
          <w:rFonts w:cs="Times New Roman"/>
          <w:szCs w:val="24"/>
        </w:rPr>
        <w:t xml:space="preserve"> 202</w:t>
      </w:r>
      <w:r w:rsidR="00A42870" w:rsidRPr="00E83661">
        <w:rPr>
          <w:rFonts w:cs="Times New Roman"/>
          <w:szCs w:val="24"/>
        </w:rPr>
        <w:t>6</w:t>
      </w:r>
      <w:r w:rsidR="00BA0375" w:rsidRPr="00E83661">
        <w:rPr>
          <w:rFonts w:cs="Times New Roman"/>
          <w:szCs w:val="24"/>
        </w:rPr>
        <w:t> </w:t>
      </w:r>
      <w:r w:rsidR="00E6289E" w:rsidRPr="00E83661">
        <w:rPr>
          <w:rFonts w:cs="Times New Roman"/>
          <w:szCs w:val="24"/>
        </w:rPr>
        <w:t>r., wcześniejsza decyzja wygaśnie</w:t>
      </w:r>
      <w:r w:rsidR="00847550" w:rsidRPr="00E83661">
        <w:rPr>
          <w:rFonts w:cs="Times New Roman"/>
          <w:szCs w:val="24"/>
        </w:rPr>
        <w:t>,</w:t>
      </w:r>
      <w:r w:rsidR="00E6289E" w:rsidRPr="00E83661">
        <w:rPr>
          <w:rFonts w:cs="Times New Roman"/>
          <w:szCs w:val="24"/>
        </w:rPr>
        <w:t xml:space="preserve"> z mocy prawa</w:t>
      </w:r>
      <w:r w:rsidR="00847550" w:rsidRPr="00E83661">
        <w:rPr>
          <w:rFonts w:cs="Times New Roman"/>
          <w:szCs w:val="24"/>
        </w:rPr>
        <w:t>,</w:t>
      </w:r>
      <w:r w:rsidR="00866FD7" w:rsidRPr="00E83661">
        <w:rPr>
          <w:rFonts w:cs="Times New Roman"/>
          <w:szCs w:val="24"/>
        </w:rPr>
        <w:t xml:space="preserve"> tj</w:t>
      </w:r>
      <w:r w:rsidR="004C5F23" w:rsidRPr="00E83661">
        <w:rPr>
          <w:rFonts w:cs="Times New Roman"/>
          <w:szCs w:val="24"/>
        </w:rPr>
        <w:t>.</w:t>
      </w:r>
      <w:r w:rsidR="00866FD7" w:rsidRPr="00E83661">
        <w:rPr>
          <w:rFonts w:cs="Times New Roman"/>
          <w:szCs w:val="24"/>
        </w:rPr>
        <w:t xml:space="preserve"> z </w:t>
      </w:r>
      <w:r w:rsidR="00866FD7" w:rsidRPr="00E83661">
        <w:rPr>
          <w:rFonts w:cs="Times New Roman"/>
          <w:szCs w:val="24"/>
        </w:rPr>
        <w:lastRenderedPageBreak/>
        <w:t>dniem 1 lipca 2026 r</w:t>
      </w:r>
      <w:r w:rsidR="00E6289E" w:rsidRPr="00E83661">
        <w:rPr>
          <w:rFonts w:cs="Times New Roman"/>
          <w:szCs w:val="24"/>
        </w:rPr>
        <w:t>. Skutek ten nastąpi niezależnie od daty złożenia wniosku o wydanie nowego zezwolenia.</w:t>
      </w:r>
    </w:p>
    <w:p w14:paraId="16F994FD" w14:textId="310FE3B7" w:rsidR="00012734" w:rsidRPr="00E83661" w:rsidRDefault="00012734" w:rsidP="00D26C9E">
      <w:pPr>
        <w:pStyle w:val="Akapitzlist"/>
        <w:numPr>
          <w:ilvl w:val="0"/>
          <w:numId w:val="13"/>
        </w:numPr>
        <w:spacing w:before="120"/>
        <w:ind w:left="426"/>
        <w:rPr>
          <w:rFonts w:cs="Times New Roman"/>
          <w:b/>
          <w:bCs/>
          <w:szCs w:val="24"/>
        </w:rPr>
      </w:pPr>
      <w:r w:rsidRPr="00E83661">
        <w:rPr>
          <w:rFonts w:cs="Times New Roman"/>
          <w:b/>
          <w:bCs/>
          <w:szCs w:val="24"/>
        </w:rPr>
        <w:t>Usprawnienie działań urzędów marszałkowskich w zakresie kontroli rzetelności dokumentów DPR i EDPR</w:t>
      </w:r>
    </w:p>
    <w:p w14:paraId="013710BD" w14:textId="1E770976" w:rsidR="00814B75" w:rsidRPr="00E83661" w:rsidRDefault="00814B75" w:rsidP="00E83661">
      <w:pPr>
        <w:spacing w:before="120"/>
        <w:jc w:val="both"/>
        <w:rPr>
          <w:rFonts w:cs="Times New Roman"/>
          <w:szCs w:val="24"/>
        </w:rPr>
      </w:pPr>
      <w:r w:rsidRPr="00E83661">
        <w:rPr>
          <w:rFonts w:cs="Times New Roman"/>
          <w:szCs w:val="24"/>
        </w:rPr>
        <w:t xml:space="preserve">Marszałek województwa co najmniej raz na 3 lata przeprowadza kontrolę przedsiębiorców prowadzących recykling odpadów opakowaniowych, eksportujących odpady opakowaniowe oraz dokonujących wewnątrzwspólnotowej dostawy odpadów opakowaniowych (art. 53 ust. 2 ustawy o gospodarce opakowaniami i odpadami opakowaniowymi). Kontrolę przeprowadza się także w przypadku wykazania istotnych nieprawidłowości w sprawozdaniu z audytu przedsiębiorcy (art. 53 ust. 2a </w:t>
      </w:r>
      <w:r w:rsidR="000D59D0" w:rsidRPr="00E83661">
        <w:rPr>
          <w:rFonts w:cs="Times New Roman"/>
          <w:szCs w:val="24"/>
        </w:rPr>
        <w:t xml:space="preserve">ww. </w:t>
      </w:r>
      <w:r w:rsidRPr="00E83661">
        <w:rPr>
          <w:rFonts w:cs="Times New Roman"/>
          <w:szCs w:val="24"/>
        </w:rPr>
        <w:t>ustawy).</w:t>
      </w:r>
    </w:p>
    <w:p w14:paraId="666087E0" w14:textId="411F6BD5" w:rsidR="00814B75" w:rsidRPr="00E83661" w:rsidRDefault="00814B75" w:rsidP="00E83661">
      <w:pPr>
        <w:spacing w:before="120"/>
        <w:jc w:val="both"/>
        <w:rPr>
          <w:rFonts w:cs="Times New Roman"/>
          <w:szCs w:val="24"/>
        </w:rPr>
      </w:pPr>
      <w:r w:rsidRPr="00E83661">
        <w:rPr>
          <w:rFonts w:cs="Times New Roman"/>
          <w:szCs w:val="24"/>
        </w:rPr>
        <w:t>Zgodnie z art. 53 ust. 4a</w:t>
      </w:r>
      <w:r w:rsidR="000D59D0" w:rsidRPr="00E83661">
        <w:rPr>
          <w:rFonts w:cs="Times New Roman"/>
          <w:szCs w:val="24"/>
        </w:rPr>
        <w:t xml:space="preserve"> ww.</w:t>
      </w:r>
      <w:r w:rsidRPr="00E83661">
        <w:rPr>
          <w:rFonts w:cs="Times New Roman"/>
          <w:szCs w:val="24"/>
        </w:rPr>
        <w:t xml:space="preserve"> ustawy</w:t>
      </w:r>
      <w:r w:rsidR="000D59D0" w:rsidRPr="00E83661">
        <w:rPr>
          <w:rFonts w:cs="Times New Roman"/>
          <w:szCs w:val="24"/>
        </w:rPr>
        <w:t xml:space="preserve">, </w:t>
      </w:r>
      <w:r w:rsidRPr="00E83661">
        <w:rPr>
          <w:rFonts w:cs="Times New Roman"/>
          <w:szCs w:val="24"/>
        </w:rPr>
        <w:t>w przypadku stwierdzenia rażących nieprawidłowości, w wyniku kontroli przeprowadzonej na podstawie ust. 2 lub 2a, marszałek województwa unieważnia, w drodze decyzji wydawanej z urzędu, dokumenty DPR lub EDPR, w odniesieniu do których wykazano niezgodność informacji dotyczących zagospodarowania odpadów opakowaniowych zawartych w tych dokumentach ze stanem faktycznym.</w:t>
      </w:r>
      <w:r w:rsidR="00483376" w:rsidRPr="00E83661">
        <w:rPr>
          <w:rFonts w:cs="Times New Roman"/>
          <w:szCs w:val="24"/>
        </w:rPr>
        <w:t xml:space="preserve"> Przesłanką unieważnienia dokumentów DPR/EDPR jest stwierdzenie rażących nieprawidłowości „w wyniku kontroli przeprowadzonej na podstawie ust. 2 lub ust. 2a” – a więc bezpośrednio po przeprowadzeniu takich właściwych czynności przez marszałka województwa. Wskazuje to na brak możliwości wykorzystania przez marszałka województwa materiałów dowodowych zgromadzonych przez inne organy kontrolne, tj. Krajową Administrację Skarbową, </w:t>
      </w:r>
      <w:bookmarkStart w:id="1" w:name="_Hlk195173364"/>
      <w:r w:rsidR="00483376" w:rsidRPr="00E83661">
        <w:rPr>
          <w:rFonts w:cs="Times New Roman"/>
          <w:szCs w:val="24"/>
        </w:rPr>
        <w:t>Głównego Inspektora Ochrony Środowiska albo Wojewódzkiego Inspektora Ochrony Środowiska</w:t>
      </w:r>
      <w:bookmarkEnd w:id="1"/>
      <w:r w:rsidR="00483376" w:rsidRPr="00E83661">
        <w:rPr>
          <w:rFonts w:cs="Times New Roman"/>
          <w:szCs w:val="24"/>
        </w:rPr>
        <w:t xml:space="preserve">. Przeprowadzenie odrębnej kontroli przez marszałka województwa nie </w:t>
      </w:r>
      <w:r w:rsidR="00E1605B" w:rsidRPr="00E83661">
        <w:rPr>
          <w:rFonts w:cs="Times New Roman"/>
          <w:szCs w:val="24"/>
        </w:rPr>
        <w:t xml:space="preserve">zawsze </w:t>
      </w:r>
      <w:r w:rsidR="00483376" w:rsidRPr="00E83661">
        <w:rPr>
          <w:rFonts w:cs="Times New Roman"/>
          <w:szCs w:val="24"/>
        </w:rPr>
        <w:t>znajduje uzasadnieni</w:t>
      </w:r>
      <w:r w:rsidR="00E1605B" w:rsidRPr="00E83661">
        <w:rPr>
          <w:rFonts w:cs="Times New Roman"/>
          <w:szCs w:val="24"/>
        </w:rPr>
        <w:t>e</w:t>
      </w:r>
      <w:r w:rsidR="00483376" w:rsidRPr="00E83661">
        <w:rPr>
          <w:rFonts w:cs="Times New Roman"/>
          <w:szCs w:val="24"/>
        </w:rPr>
        <w:t xml:space="preserve">. </w:t>
      </w:r>
      <w:r w:rsidR="00C37D06" w:rsidRPr="00E83661">
        <w:rPr>
          <w:rFonts w:cs="Times New Roman"/>
          <w:szCs w:val="24"/>
        </w:rPr>
        <w:t>W</w:t>
      </w:r>
      <w:r w:rsidR="00483376" w:rsidRPr="00E83661">
        <w:rPr>
          <w:rFonts w:cs="Times New Roman"/>
          <w:szCs w:val="24"/>
        </w:rPr>
        <w:t xml:space="preserve">ymóg </w:t>
      </w:r>
      <w:r w:rsidR="00C37D06" w:rsidRPr="00E83661">
        <w:rPr>
          <w:rFonts w:cs="Times New Roman"/>
          <w:szCs w:val="24"/>
        </w:rPr>
        <w:t>przeprowadzenia odrębnej kontroli przez marszałka województwa, która będzie tylko potwierdzała fakty udokumentowane w trakcie kontroli przeprowadzonej przez inne organy</w:t>
      </w:r>
      <w:r w:rsidR="006228A5" w:rsidRPr="00E83661">
        <w:rPr>
          <w:rFonts w:cs="Times New Roman"/>
          <w:szCs w:val="24"/>
        </w:rPr>
        <w:t>,</w:t>
      </w:r>
      <w:r w:rsidR="00C37D06" w:rsidRPr="00E83661">
        <w:rPr>
          <w:rFonts w:cs="Times New Roman"/>
          <w:szCs w:val="24"/>
        </w:rPr>
        <w:t xml:space="preserve"> nie jest efektywny i </w:t>
      </w:r>
      <w:r w:rsidR="00483376" w:rsidRPr="00E83661">
        <w:rPr>
          <w:rFonts w:cs="Times New Roman"/>
          <w:szCs w:val="24"/>
        </w:rPr>
        <w:t>zwiększa ryzyko przedawnienia zaległości z tytułu opłaty produktowej</w:t>
      </w:r>
      <w:r w:rsidR="00C37D06" w:rsidRPr="00E83661">
        <w:rPr>
          <w:rFonts w:cs="Times New Roman"/>
          <w:szCs w:val="24"/>
        </w:rPr>
        <w:t>,</w:t>
      </w:r>
      <w:r w:rsidR="00483376" w:rsidRPr="00E83661">
        <w:rPr>
          <w:rFonts w:cs="Times New Roman"/>
          <w:szCs w:val="24"/>
        </w:rPr>
        <w:t xml:space="preserve"> przekłada się na konieczność dodatkowego obciążenia przedsiębiorcy trudnościami organizacyjnymi związanymi z dodatkową kontrolą</w:t>
      </w:r>
      <w:r w:rsidR="00C37D06" w:rsidRPr="00E83661">
        <w:rPr>
          <w:rFonts w:cs="Times New Roman"/>
          <w:szCs w:val="24"/>
        </w:rPr>
        <w:t xml:space="preserve"> i jest wbrew postulatom związanym z deregulacją i rezygnacją z nadmiernego obciążania przedsiębiorców związanych z przeprowadzaniem dodatkowych kontroli.</w:t>
      </w:r>
      <w:bookmarkStart w:id="2" w:name="_Hlk195172831"/>
    </w:p>
    <w:bookmarkEnd w:id="2"/>
    <w:p w14:paraId="6241A03D" w14:textId="17BD5D91" w:rsidR="00821844" w:rsidRPr="00E83661" w:rsidRDefault="00821844" w:rsidP="00E83661">
      <w:pPr>
        <w:spacing w:before="120"/>
        <w:jc w:val="both"/>
        <w:rPr>
          <w:rFonts w:cs="Times New Roman"/>
          <w:szCs w:val="24"/>
        </w:rPr>
      </w:pPr>
      <w:r w:rsidRPr="00E83661">
        <w:rPr>
          <w:rFonts w:cs="Times New Roman"/>
          <w:szCs w:val="24"/>
        </w:rPr>
        <w:t xml:space="preserve">Zagadnienie to ma szczególne znaczenie </w:t>
      </w:r>
      <w:r w:rsidR="00295F97" w:rsidRPr="00E83661">
        <w:rPr>
          <w:rFonts w:cs="Times New Roman"/>
          <w:szCs w:val="24"/>
        </w:rPr>
        <w:t>p</w:t>
      </w:r>
      <w:r w:rsidRPr="00E83661">
        <w:rPr>
          <w:rFonts w:cs="Times New Roman"/>
          <w:szCs w:val="24"/>
        </w:rPr>
        <w:t xml:space="preserve">o pierwsze, w przypadku nieprawidłowości polegającej na niedopełnieniu obowiązku </w:t>
      </w:r>
      <w:r w:rsidR="00295F97" w:rsidRPr="00E83661">
        <w:rPr>
          <w:rFonts w:cs="Times New Roman"/>
          <w:szCs w:val="24"/>
        </w:rPr>
        <w:t xml:space="preserve">udostępnienia </w:t>
      </w:r>
      <w:r w:rsidRPr="00E83661">
        <w:rPr>
          <w:rFonts w:cs="Times New Roman"/>
          <w:szCs w:val="24"/>
        </w:rPr>
        <w:t xml:space="preserve">marszałkowi województwa </w:t>
      </w:r>
      <w:r w:rsidR="00295F97" w:rsidRPr="00E83661">
        <w:rPr>
          <w:rFonts w:cs="Times New Roman"/>
          <w:szCs w:val="24"/>
        </w:rPr>
        <w:t>wystawionych dokumentów (art.</w:t>
      </w:r>
      <w:r w:rsidR="00456ACD" w:rsidRPr="00E83661">
        <w:rPr>
          <w:rFonts w:cs="Times New Roman"/>
          <w:szCs w:val="24"/>
        </w:rPr>
        <w:t> </w:t>
      </w:r>
      <w:r w:rsidR="00295F97" w:rsidRPr="00E83661">
        <w:rPr>
          <w:rFonts w:cs="Times New Roman"/>
          <w:szCs w:val="24"/>
        </w:rPr>
        <w:t xml:space="preserve">23 ust. 10 i art. 24 ust. 9 </w:t>
      </w:r>
      <w:r w:rsidR="0030198D" w:rsidRPr="00E83661">
        <w:rPr>
          <w:rFonts w:cs="Times New Roman"/>
          <w:szCs w:val="24"/>
        </w:rPr>
        <w:t xml:space="preserve">ww. </w:t>
      </w:r>
      <w:r w:rsidR="00295F97" w:rsidRPr="00E83661">
        <w:rPr>
          <w:rFonts w:cs="Times New Roman"/>
          <w:szCs w:val="24"/>
        </w:rPr>
        <w:t>ustawy) w celu wydłużenia okresu zidentyfikowania nieprawidłowości. Po drugie w</w:t>
      </w:r>
      <w:r w:rsidRPr="00E83661">
        <w:rPr>
          <w:rFonts w:cs="Times New Roman"/>
          <w:szCs w:val="24"/>
        </w:rPr>
        <w:t xml:space="preserve"> przypadku podmiotów, które </w:t>
      </w:r>
      <w:r w:rsidRPr="00E83661">
        <w:rPr>
          <w:rFonts w:cs="Times New Roman"/>
          <w:szCs w:val="24"/>
        </w:rPr>
        <w:lastRenderedPageBreak/>
        <w:t>rozpoczynają działalność polegającą na wystawianiu nierzetelnych DPR/EDPR i kończą ją przed upływem terminu 3 lat</w:t>
      </w:r>
      <w:r w:rsidR="00295F97" w:rsidRPr="00E83661">
        <w:rPr>
          <w:rFonts w:cs="Times New Roman"/>
          <w:szCs w:val="24"/>
        </w:rPr>
        <w:t>,</w:t>
      </w:r>
      <w:r w:rsidRPr="00E83661">
        <w:rPr>
          <w:rFonts w:cs="Times New Roman"/>
          <w:szCs w:val="24"/>
        </w:rPr>
        <w:t xml:space="preserve"> wyznaczającego częstotliwość</w:t>
      </w:r>
      <w:r w:rsidR="000D59D0" w:rsidRPr="00E83661">
        <w:rPr>
          <w:rFonts w:cs="Times New Roman"/>
          <w:szCs w:val="24"/>
        </w:rPr>
        <w:t xml:space="preserve"> przeprowadzania</w:t>
      </w:r>
      <w:r w:rsidRPr="00E83661">
        <w:rPr>
          <w:rFonts w:cs="Times New Roman"/>
          <w:szCs w:val="24"/>
        </w:rPr>
        <w:t xml:space="preserve"> kontroli </w:t>
      </w:r>
      <w:r w:rsidR="000D59D0" w:rsidRPr="00E83661">
        <w:rPr>
          <w:rFonts w:cs="Times New Roman"/>
          <w:szCs w:val="24"/>
        </w:rPr>
        <w:t xml:space="preserve">przez </w:t>
      </w:r>
      <w:r w:rsidRPr="00E83661">
        <w:rPr>
          <w:rFonts w:cs="Times New Roman"/>
          <w:szCs w:val="24"/>
        </w:rPr>
        <w:t>marszałków</w:t>
      </w:r>
      <w:r w:rsidR="000D59D0" w:rsidRPr="00E83661">
        <w:rPr>
          <w:rFonts w:cs="Times New Roman"/>
          <w:szCs w:val="24"/>
        </w:rPr>
        <w:t xml:space="preserve"> województw</w:t>
      </w:r>
      <w:r w:rsidRPr="00E83661">
        <w:rPr>
          <w:rFonts w:cs="Times New Roman"/>
          <w:szCs w:val="24"/>
        </w:rPr>
        <w:t>.</w:t>
      </w:r>
    </w:p>
    <w:p w14:paraId="36C090AB" w14:textId="2203DCCA" w:rsidR="008552A9" w:rsidRPr="00E83661" w:rsidRDefault="008B32E7" w:rsidP="00E83661">
      <w:pPr>
        <w:spacing w:before="120"/>
        <w:jc w:val="both"/>
        <w:rPr>
          <w:rFonts w:cs="Times New Roman"/>
          <w:szCs w:val="24"/>
        </w:rPr>
      </w:pPr>
      <w:r w:rsidRPr="00E83661">
        <w:rPr>
          <w:rFonts w:cs="Times New Roman"/>
          <w:szCs w:val="24"/>
        </w:rPr>
        <w:t>W związku z powyższym proponuje się zmianę brzmienia</w:t>
      </w:r>
      <w:r w:rsidR="008552A9" w:rsidRPr="00E83661">
        <w:rPr>
          <w:rFonts w:cs="Times New Roman"/>
          <w:szCs w:val="24"/>
        </w:rPr>
        <w:t xml:space="preserve"> art. 53 ust. 4a ww. ustawy </w:t>
      </w:r>
      <w:r w:rsidR="009777A7" w:rsidRPr="00E83661">
        <w:rPr>
          <w:rFonts w:cs="Times New Roman"/>
          <w:szCs w:val="24"/>
        </w:rPr>
        <w:t>przez wykreślenie wyrazów „</w:t>
      </w:r>
      <w:r w:rsidR="007D19BD" w:rsidRPr="00E83661">
        <w:rPr>
          <w:rFonts w:cs="Times New Roman"/>
          <w:szCs w:val="24"/>
        </w:rPr>
        <w:t xml:space="preserve">w wyniku kontroli przeprowadzonej na podstawie ust. 2 lub 2a”. Umożliwi </w:t>
      </w:r>
      <w:r w:rsidR="00061B8C" w:rsidRPr="00E83661">
        <w:rPr>
          <w:rFonts w:cs="Times New Roman"/>
          <w:szCs w:val="24"/>
        </w:rPr>
        <w:t xml:space="preserve">to </w:t>
      </w:r>
      <w:r w:rsidR="00C37D06" w:rsidRPr="00E83661">
        <w:rPr>
          <w:rFonts w:cs="Times New Roman"/>
          <w:szCs w:val="24"/>
        </w:rPr>
        <w:t>korzystanie w procedurze unieważniania dokumentów</w:t>
      </w:r>
      <w:r w:rsidRPr="00E83661">
        <w:rPr>
          <w:rFonts w:cs="Times New Roman"/>
          <w:szCs w:val="24"/>
        </w:rPr>
        <w:t xml:space="preserve"> </w:t>
      </w:r>
      <w:r w:rsidR="00E1605B" w:rsidRPr="00E83661">
        <w:rPr>
          <w:rFonts w:cs="Times New Roman"/>
          <w:szCs w:val="24"/>
        </w:rPr>
        <w:t xml:space="preserve">z </w:t>
      </w:r>
      <w:r w:rsidRPr="00E83661">
        <w:rPr>
          <w:rFonts w:cs="Times New Roman"/>
          <w:szCs w:val="24"/>
        </w:rPr>
        <w:t>informacj</w:t>
      </w:r>
      <w:r w:rsidR="00C37D06" w:rsidRPr="00E83661">
        <w:rPr>
          <w:rFonts w:cs="Times New Roman"/>
          <w:szCs w:val="24"/>
        </w:rPr>
        <w:t>i</w:t>
      </w:r>
      <w:r w:rsidRPr="00E83661">
        <w:rPr>
          <w:rFonts w:cs="Times New Roman"/>
          <w:szCs w:val="24"/>
        </w:rPr>
        <w:t xml:space="preserve"> uzyskanych </w:t>
      </w:r>
      <w:r w:rsidR="00391EBE" w:rsidRPr="00E83661">
        <w:rPr>
          <w:rFonts w:cs="Times New Roman"/>
          <w:szCs w:val="24"/>
        </w:rPr>
        <w:t xml:space="preserve">w inny sposób, w szczególności </w:t>
      </w:r>
      <w:r w:rsidRPr="00E83661">
        <w:rPr>
          <w:rFonts w:cs="Times New Roman"/>
          <w:szCs w:val="24"/>
        </w:rPr>
        <w:t xml:space="preserve">w ramach kontroli prowadzonych przez organy ścigania, organy Krajowej Administracji Skarbowej, </w:t>
      </w:r>
      <w:r w:rsidR="00C37D06" w:rsidRPr="00E83661">
        <w:rPr>
          <w:rFonts w:cs="Times New Roman"/>
          <w:szCs w:val="24"/>
        </w:rPr>
        <w:t>Głównego Inspektora Ochrony Środowiska albo Wojewódzkiego Inspektora Ochrony Środowiska</w:t>
      </w:r>
      <w:r w:rsidRPr="00E83661">
        <w:rPr>
          <w:rFonts w:cs="Times New Roman"/>
          <w:szCs w:val="24"/>
        </w:rPr>
        <w:t>, a także w ramach czynności kontrolnych, o których mowa w art. 10b ust. 2 ust</w:t>
      </w:r>
      <w:r w:rsidR="00295F97" w:rsidRPr="00E83661">
        <w:rPr>
          <w:rFonts w:cs="Times New Roman"/>
          <w:szCs w:val="24"/>
        </w:rPr>
        <w:t>a</w:t>
      </w:r>
      <w:r w:rsidRPr="00E83661">
        <w:rPr>
          <w:rFonts w:cs="Times New Roman"/>
          <w:szCs w:val="24"/>
        </w:rPr>
        <w:t>wy z dnia 20 lipca 1991</w:t>
      </w:r>
      <w:r w:rsidR="00E1605B" w:rsidRPr="00E83661">
        <w:rPr>
          <w:rFonts w:cs="Times New Roman"/>
          <w:szCs w:val="24"/>
        </w:rPr>
        <w:t xml:space="preserve"> r. </w:t>
      </w:r>
      <w:r w:rsidRPr="00E83661">
        <w:rPr>
          <w:rFonts w:cs="Times New Roman"/>
          <w:szCs w:val="24"/>
        </w:rPr>
        <w:t>o inspekcji ochrony środowiska</w:t>
      </w:r>
      <w:r w:rsidR="0030198D" w:rsidRPr="00E83661">
        <w:rPr>
          <w:rStyle w:val="Odwoanieprzypisudolnego"/>
          <w:rFonts w:cs="Times New Roman"/>
          <w:szCs w:val="24"/>
        </w:rPr>
        <w:footnoteReference w:id="7"/>
      </w:r>
      <w:r w:rsidR="00D76680" w:rsidRPr="00E83661">
        <w:rPr>
          <w:rFonts w:cs="Times New Roman"/>
          <w:szCs w:val="24"/>
          <w:vertAlign w:val="superscript"/>
        </w:rPr>
        <w:t>)</w:t>
      </w:r>
      <w:r w:rsidRPr="00E83661">
        <w:rPr>
          <w:rFonts w:cs="Times New Roman"/>
          <w:szCs w:val="24"/>
        </w:rPr>
        <w:t>.</w:t>
      </w:r>
    </w:p>
    <w:p w14:paraId="668DF495" w14:textId="56BB3BDF" w:rsidR="00E1605B" w:rsidRPr="00E83661" w:rsidRDefault="00295F97" w:rsidP="00E83661">
      <w:pPr>
        <w:pStyle w:val="ARTartustawynprozporzdzenia"/>
        <w:ind w:firstLine="0"/>
        <w:rPr>
          <w:rFonts w:ascii="Times New Roman" w:hAnsi="Times New Roman" w:cs="Times New Roman"/>
          <w:szCs w:val="24"/>
        </w:rPr>
      </w:pPr>
      <w:r w:rsidRPr="00E83661">
        <w:rPr>
          <w:rFonts w:ascii="Times New Roman" w:hAnsi="Times New Roman" w:cs="Times New Roman"/>
          <w:szCs w:val="24"/>
        </w:rPr>
        <w:t>Dokumenty DPO i EDPO nie są obecnie wystawiane i</w:t>
      </w:r>
      <w:r w:rsidR="00C72F66" w:rsidRPr="00E83661">
        <w:rPr>
          <w:rFonts w:ascii="Times New Roman" w:hAnsi="Times New Roman" w:cs="Times New Roman"/>
          <w:szCs w:val="24"/>
        </w:rPr>
        <w:t xml:space="preserve"> dotyczące ich przepisy </w:t>
      </w:r>
      <w:r w:rsidRPr="00E83661">
        <w:rPr>
          <w:rFonts w:ascii="Times New Roman" w:hAnsi="Times New Roman" w:cs="Times New Roman"/>
          <w:szCs w:val="24"/>
        </w:rPr>
        <w:t xml:space="preserve">zostały </w:t>
      </w:r>
      <w:r w:rsidR="00C72F66" w:rsidRPr="00E83661">
        <w:rPr>
          <w:rFonts w:ascii="Times New Roman" w:hAnsi="Times New Roman" w:cs="Times New Roman"/>
          <w:szCs w:val="24"/>
        </w:rPr>
        <w:t xml:space="preserve">uchylone </w:t>
      </w:r>
      <w:r w:rsidR="002D16B0" w:rsidRPr="00E83661">
        <w:rPr>
          <w:rFonts w:ascii="Times New Roman" w:hAnsi="Times New Roman" w:cs="Times New Roman"/>
          <w:szCs w:val="24"/>
        </w:rPr>
        <w:t>przez ustawę</w:t>
      </w:r>
      <w:r w:rsidRPr="00E83661">
        <w:rPr>
          <w:rFonts w:ascii="Times New Roman" w:hAnsi="Times New Roman" w:cs="Times New Roman"/>
          <w:szCs w:val="24"/>
        </w:rPr>
        <w:t xml:space="preserve"> z dnia 17 listopada 2021 r. o zmianie ustawy o odpadach oraz niektórych innych ustaw</w:t>
      </w:r>
      <w:r w:rsidR="0030198D" w:rsidRPr="00E83661">
        <w:rPr>
          <w:rStyle w:val="Odwoanieprzypisudolnego"/>
          <w:rFonts w:ascii="Times New Roman" w:hAnsi="Times New Roman" w:cs="Times New Roman"/>
          <w:szCs w:val="24"/>
        </w:rPr>
        <w:footnoteReference w:id="8"/>
      </w:r>
      <w:r w:rsidR="00D76680" w:rsidRPr="00E83661">
        <w:rPr>
          <w:rFonts w:ascii="Times New Roman" w:hAnsi="Times New Roman" w:cs="Times New Roman"/>
          <w:szCs w:val="24"/>
          <w:vertAlign w:val="superscript"/>
        </w:rPr>
        <w:t>)</w:t>
      </w:r>
      <w:r w:rsidRPr="00E83661">
        <w:rPr>
          <w:rFonts w:ascii="Times New Roman" w:hAnsi="Times New Roman" w:cs="Times New Roman"/>
          <w:szCs w:val="24"/>
        </w:rPr>
        <w:t xml:space="preserve">. </w:t>
      </w:r>
      <w:r w:rsidR="00541E26" w:rsidRPr="00E83661">
        <w:rPr>
          <w:rFonts w:ascii="Times New Roman" w:hAnsi="Times New Roman" w:cs="Times New Roman"/>
          <w:szCs w:val="24"/>
        </w:rPr>
        <w:t>Do</w:t>
      </w:r>
      <w:r w:rsidRPr="00E83661">
        <w:rPr>
          <w:rFonts w:ascii="Times New Roman" w:hAnsi="Times New Roman" w:cs="Times New Roman"/>
          <w:szCs w:val="24"/>
        </w:rPr>
        <w:t xml:space="preserve"> unieważnienia</w:t>
      </w:r>
      <w:r w:rsidR="00A709A8" w:rsidRPr="00E83661">
        <w:rPr>
          <w:rFonts w:ascii="Times New Roman" w:hAnsi="Times New Roman" w:cs="Times New Roman"/>
          <w:szCs w:val="24"/>
        </w:rPr>
        <w:t xml:space="preserve"> </w:t>
      </w:r>
      <w:r w:rsidRPr="00E83661">
        <w:rPr>
          <w:rFonts w:ascii="Times New Roman" w:hAnsi="Times New Roman" w:cs="Times New Roman"/>
          <w:szCs w:val="24"/>
        </w:rPr>
        <w:t xml:space="preserve">dokumentów DPO i EDPO </w:t>
      </w:r>
      <w:r w:rsidR="00847550" w:rsidRPr="00E83661">
        <w:rPr>
          <w:rFonts w:ascii="Times New Roman" w:hAnsi="Times New Roman" w:cs="Times New Roman"/>
          <w:szCs w:val="24"/>
        </w:rPr>
        <w:t xml:space="preserve">jest </w:t>
      </w:r>
      <w:r w:rsidRPr="00E83661">
        <w:rPr>
          <w:rFonts w:ascii="Times New Roman" w:hAnsi="Times New Roman" w:cs="Times New Roman"/>
          <w:szCs w:val="24"/>
        </w:rPr>
        <w:t>konieczne dodanie przepisu przejściowego</w:t>
      </w:r>
      <w:r w:rsidR="00391EBE" w:rsidRPr="00E83661">
        <w:rPr>
          <w:rFonts w:ascii="Times New Roman" w:hAnsi="Times New Roman" w:cs="Times New Roman"/>
          <w:szCs w:val="24"/>
        </w:rPr>
        <w:t xml:space="preserve"> w art. </w:t>
      </w:r>
      <w:r w:rsidR="00C4037A" w:rsidRPr="00E83661">
        <w:rPr>
          <w:rFonts w:ascii="Times New Roman" w:hAnsi="Times New Roman" w:cs="Times New Roman"/>
          <w:szCs w:val="24"/>
        </w:rPr>
        <w:t>5</w:t>
      </w:r>
      <w:r w:rsidR="00FD3874" w:rsidRPr="00E83661">
        <w:rPr>
          <w:rFonts w:ascii="Times New Roman" w:hAnsi="Times New Roman" w:cs="Times New Roman"/>
          <w:szCs w:val="24"/>
        </w:rPr>
        <w:t xml:space="preserve"> ust. 2</w:t>
      </w:r>
      <w:r w:rsidR="00391EBE" w:rsidRPr="00E83661">
        <w:rPr>
          <w:rFonts w:ascii="Times New Roman" w:hAnsi="Times New Roman" w:cs="Times New Roman"/>
          <w:szCs w:val="24"/>
        </w:rPr>
        <w:t xml:space="preserve"> projektowanej ustawy</w:t>
      </w:r>
      <w:r w:rsidRPr="00E83661">
        <w:rPr>
          <w:rFonts w:ascii="Times New Roman" w:hAnsi="Times New Roman" w:cs="Times New Roman"/>
          <w:szCs w:val="24"/>
        </w:rPr>
        <w:t xml:space="preserve">. </w:t>
      </w:r>
    </w:p>
    <w:p w14:paraId="14E0C253" w14:textId="2C8F12FB" w:rsidR="00EB701E" w:rsidRPr="00E83661" w:rsidRDefault="00EB701E" w:rsidP="00D26C9E">
      <w:pPr>
        <w:pStyle w:val="NIEARTTEKSTtekstnieartykuowanynppodstprawnarozplubpreambua"/>
        <w:ind w:firstLine="0"/>
        <w:rPr>
          <w:rFonts w:ascii="Times New Roman" w:hAnsi="Times New Roman" w:cs="Times New Roman"/>
          <w:szCs w:val="24"/>
        </w:rPr>
      </w:pPr>
      <w:r w:rsidRPr="00E83661">
        <w:rPr>
          <w:rFonts w:ascii="Times New Roman" w:hAnsi="Times New Roman" w:cs="Times New Roman"/>
          <w:szCs w:val="24"/>
        </w:rPr>
        <w:t xml:space="preserve">Projekt ustawy jest zgodny z prawem Unii Europejskiej. </w:t>
      </w:r>
    </w:p>
    <w:p w14:paraId="0D8BB5AF" w14:textId="67F4BCB1" w:rsidR="00EB701E" w:rsidRPr="00E83661" w:rsidRDefault="00EB701E" w:rsidP="00D26C9E">
      <w:pPr>
        <w:pStyle w:val="NIEARTTEKSTtekstnieartykuowanynppodstprawnarozplubpreambua"/>
        <w:ind w:firstLine="0"/>
        <w:rPr>
          <w:rFonts w:ascii="Times New Roman" w:hAnsi="Times New Roman" w:cs="Times New Roman"/>
          <w:szCs w:val="24"/>
        </w:rPr>
      </w:pPr>
      <w:r w:rsidRPr="00E83661">
        <w:rPr>
          <w:rFonts w:ascii="Times New Roman" w:hAnsi="Times New Roman" w:cs="Times New Roman"/>
          <w:szCs w:val="24"/>
        </w:rPr>
        <w:t>Projekt ustawy nie podlega procedurze notyfikacji aktów prawnych określonej w przepisach rozporządzenia Rady Ministrów z dnia 23 grudnia 2002 r. w sprawie sposobu funkcjonowania krajowego systemu notyfikacji norm i aktów prawnych</w:t>
      </w:r>
      <w:r w:rsidR="00A333D3" w:rsidRPr="00E83661">
        <w:rPr>
          <w:rStyle w:val="Odwoanieprzypisudolnego"/>
          <w:rFonts w:ascii="Times New Roman" w:hAnsi="Times New Roman" w:cs="Times New Roman"/>
          <w:szCs w:val="24"/>
        </w:rPr>
        <w:footnoteReference w:id="9"/>
      </w:r>
      <w:r w:rsidR="00D76680" w:rsidRPr="00E83661">
        <w:rPr>
          <w:rFonts w:ascii="Times New Roman" w:hAnsi="Times New Roman" w:cs="Times New Roman"/>
          <w:szCs w:val="24"/>
          <w:vertAlign w:val="superscript"/>
        </w:rPr>
        <w:t>)</w:t>
      </w:r>
      <w:r w:rsidRPr="00E83661">
        <w:rPr>
          <w:rFonts w:ascii="Times New Roman" w:hAnsi="Times New Roman" w:cs="Times New Roman"/>
          <w:szCs w:val="24"/>
        </w:rPr>
        <w:t>.</w:t>
      </w:r>
    </w:p>
    <w:p w14:paraId="123CF431" w14:textId="5A59F3CE" w:rsidR="00EB701E" w:rsidRPr="00E83661" w:rsidRDefault="00EB701E" w:rsidP="00D26C9E">
      <w:pPr>
        <w:pStyle w:val="ARTartustawynprozporzdzenia"/>
        <w:ind w:firstLine="0"/>
        <w:rPr>
          <w:rFonts w:ascii="Times New Roman" w:hAnsi="Times New Roman" w:cs="Times New Roman"/>
          <w:szCs w:val="24"/>
        </w:rPr>
      </w:pPr>
      <w:r w:rsidRPr="00E83661">
        <w:rPr>
          <w:rFonts w:ascii="Times New Roman" w:hAnsi="Times New Roman" w:cs="Times New Roman"/>
          <w:szCs w:val="24"/>
        </w:rPr>
        <w:t>Projekt ustawy nie wymaga przedstawienia właściwym instytucjom i organom Unii Europejskiej, w tym Europejskiemu Bankowi Centralnemu, celem uzyskania opinii, dokonania powiadomienia, konsultacji albo uzgodnienia projektu.</w:t>
      </w:r>
    </w:p>
    <w:p w14:paraId="4770A8D5" w14:textId="6CD611D3" w:rsidR="00EB701E" w:rsidRPr="00E83661" w:rsidRDefault="00EB701E" w:rsidP="00D26C9E">
      <w:pPr>
        <w:pStyle w:val="ARTartustawynprozporzdzenia"/>
        <w:ind w:firstLine="0"/>
        <w:rPr>
          <w:rFonts w:ascii="Times New Roman" w:hAnsi="Times New Roman" w:cs="Times New Roman"/>
          <w:szCs w:val="24"/>
        </w:rPr>
      </w:pPr>
      <w:r w:rsidRPr="00E83661">
        <w:rPr>
          <w:rFonts w:ascii="Times New Roman" w:hAnsi="Times New Roman" w:cs="Times New Roman"/>
          <w:szCs w:val="24"/>
        </w:rPr>
        <w:t>Stosownie do art. 5 ustawy z dnia 7 lipca 2005 r. o działalności lobbingowej w procesie stanowienia prawa</w:t>
      </w:r>
      <w:r w:rsidR="00C72F66" w:rsidRPr="00E83661">
        <w:rPr>
          <w:rStyle w:val="Odwoanieprzypisudolnego"/>
          <w:rFonts w:ascii="Times New Roman" w:hAnsi="Times New Roman" w:cs="Times New Roman"/>
          <w:szCs w:val="24"/>
        </w:rPr>
        <w:footnoteReference w:id="10"/>
      </w:r>
      <w:r w:rsidR="00D76680" w:rsidRPr="00E83661">
        <w:rPr>
          <w:rFonts w:ascii="Times New Roman" w:hAnsi="Times New Roman" w:cs="Times New Roman"/>
          <w:szCs w:val="24"/>
          <w:vertAlign w:val="superscript"/>
        </w:rPr>
        <w:t>)</w:t>
      </w:r>
      <w:r w:rsidR="00C72F66" w:rsidRPr="00E83661">
        <w:rPr>
          <w:rFonts w:ascii="Times New Roman" w:hAnsi="Times New Roman" w:cs="Times New Roman"/>
          <w:szCs w:val="24"/>
        </w:rPr>
        <w:t>,</w:t>
      </w:r>
      <w:r w:rsidRPr="00E83661">
        <w:rPr>
          <w:rFonts w:ascii="Times New Roman" w:hAnsi="Times New Roman" w:cs="Times New Roman"/>
          <w:szCs w:val="24"/>
        </w:rPr>
        <w:t xml:space="preserve"> projekt ustawy zosta</w:t>
      </w:r>
      <w:r w:rsidR="00C4037A" w:rsidRPr="00E83661">
        <w:rPr>
          <w:rFonts w:ascii="Times New Roman" w:hAnsi="Times New Roman" w:cs="Times New Roman"/>
          <w:szCs w:val="24"/>
        </w:rPr>
        <w:t>ł</w:t>
      </w:r>
      <w:r w:rsidRPr="00E83661">
        <w:rPr>
          <w:rFonts w:ascii="Times New Roman" w:hAnsi="Times New Roman" w:cs="Times New Roman"/>
          <w:szCs w:val="24"/>
        </w:rPr>
        <w:t xml:space="preserve"> zamieszczony w Biuletynie Informacji Publicznej, na stronie podmiotowej Rządowego Centrum Legislacji, w serwisie Rządowy Proces Legislacyjny. </w:t>
      </w:r>
    </w:p>
    <w:p w14:paraId="4809D396" w14:textId="510A50C5" w:rsidR="00EB701E" w:rsidRPr="00E83661" w:rsidRDefault="00EB701E" w:rsidP="00D26C9E">
      <w:pPr>
        <w:pStyle w:val="ARTartustawynprozporzdzenia"/>
        <w:ind w:firstLine="0"/>
        <w:rPr>
          <w:rFonts w:ascii="Times New Roman" w:hAnsi="Times New Roman" w:cs="Times New Roman"/>
          <w:szCs w:val="24"/>
        </w:rPr>
      </w:pPr>
      <w:r w:rsidRPr="00E83661">
        <w:rPr>
          <w:rFonts w:ascii="Times New Roman" w:hAnsi="Times New Roman" w:cs="Times New Roman"/>
          <w:szCs w:val="24"/>
        </w:rPr>
        <w:t xml:space="preserve">Wpływ na działalność </w:t>
      </w:r>
      <w:proofErr w:type="spellStart"/>
      <w:r w:rsidRPr="00E83661">
        <w:rPr>
          <w:rFonts w:ascii="Times New Roman" w:hAnsi="Times New Roman" w:cs="Times New Roman"/>
          <w:szCs w:val="24"/>
        </w:rPr>
        <w:t>mikroprzedsiębiorców</w:t>
      </w:r>
      <w:proofErr w:type="spellEnd"/>
      <w:r w:rsidRPr="00E83661">
        <w:rPr>
          <w:rFonts w:ascii="Times New Roman" w:hAnsi="Times New Roman" w:cs="Times New Roman"/>
          <w:szCs w:val="24"/>
        </w:rPr>
        <w:t>, małych i średnich przedsiębiorców zgodnie z ustawą z dnia 6 marca 2018 r. – Prawo przedsiębiorców</w:t>
      </w:r>
      <w:r w:rsidR="00C72F66" w:rsidRPr="00E83661">
        <w:rPr>
          <w:rStyle w:val="Odwoanieprzypisudolnego"/>
          <w:rFonts w:ascii="Times New Roman" w:hAnsi="Times New Roman" w:cs="Times New Roman"/>
          <w:szCs w:val="24"/>
        </w:rPr>
        <w:footnoteReference w:id="11"/>
      </w:r>
      <w:r w:rsidR="00D76680" w:rsidRPr="00E83661">
        <w:rPr>
          <w:rFonts w:ascii="Times New Roman" w:hAnsi="Times New Roman" w:cs="Times New Roman"/>
          <w:szCs w:val="24"/>
          <w:vertAlign w:val="superscript"/>
        </w:rPr>
        <w:t>)</w:t>
      </w:r>
      <w:r w:rsidRPr="00E83661">
        <w:rPr>
          <w:rFonts w:ascii="Times New Roman" w:hAnsi="Times New Roman" w:cs="Times New Roman"/>
          <w:szCs w:val="24"/>
        </w:rPr>
        <w:t xml:space="preserve"> </w:t>
      </w:r>
      <w:r w:rsidR="00C4037A" w:rsidRPr="00E83661">
        <w:rPr>
          <w:rFonts w:ascii="Times New Roman" w:hAnsi="Times New Roman" w:cs="Times New Roman"/>
          <w:szCs w:val="24"/>
        </w:rPr>
        <w:t xml:space="preserve">został </w:t>
      </w:r>
      <w:r w:rsidRPr="00E83661">
        <w:rPr>
          <w:rFonts w:ascii="Times New Roman" w:hAnsi="Times New Roman" w:cs="Times New Roman"/>
          <w:szCs w:val="24"/>
        </w:rPr>
        <w:t>określony w ocenie skutków regulacji (OSR)</w:t>
      </w:r>
      <w:r w:rsidR="008B32E7" w:rsidRPr="00E83661">
        <w:rPr>
          <w:rFonts w:ascii="Times New Roman" w:hAnsi="Times New Roman" w:cs="Times New Roman"/>
          <w:szCs w:val="24"/>
        </w:rPr>
        <w:t>.</w:t>
      </w:r>
    </w:p>
    <w:p w14:paraId="7D3633F6" w14:textId="448C9F34" w:rsidR="00932214" w:rsidRPr="00E83661" w:rsidRDefault="00EB701E" w:rsidP="00D26C9E">
      <w:pPr>
        <w:pStyle w:val="NIEARTTEKSTtekstnieartykuowanynppodstprawnarozplubpreambua"/>
        <w:ind w:firstLine="0"/>
        <w:rPr>
          <w:rFonts w:cs="Times New Roman"/>
          <w:szCs w:val="24"/>
        </w:rPr>
      </w:pPr>
      <w:r w:rsidRPr="00E83661">
        <w:rPr>
          <w:rFonts w:ascii="Times New Roman" w:hAnsi="Times New Roman" w:cs="Times New Roman"/>
          <w:szCs w:val="24"/>
        </w:rPr>
        <w:lastRenderedPageBreak/>
        <w:t xml:space="preserve">Planuje się, że projektowana ustawa wejdzie w życie </w:t>
      </w:r>
      <w:r w:rsidR="00391EBE" w:rsidRPr="00E83661">
        <w:rPr>
          <w:rFonts w:ascii="Times New Roman" w:hAnsi="Times New Roman" w:cs="Times New Roman"/>
          <w:szCs w:val="24"/>
        </w:rPr>
        <w:t xml:space="preserve">z dniem 1 </w:t>
      </w:r>
      <w:r w:rsidR="00C30613" w:rsidRPr="00E83661">
        <w:rPr>
          <w:rFonts w:ascii="Times New Roman" w:hAnsi="Times New Roman" w:cs="Times New Roman"/>
          <w:szCs w:val="24"/>
        </w:rPr>
        <w:t xml:space="preserve">grudnia </w:t>
      </w:r>
      <w:r w:rsidR="00391EBE" w:rsidRPr="00E83661">
        <w:rPr>
          <w:rFonts w:ascii="Times New Roman" w:hAnsi="Times New Roman" w:cs="Times New Roman"/>
          <w:szCs w:val="24"/>
        </w:rPr>
        <w:t>202</w:t>
      </w:r>
      <w:r w:rsidR="00F809DC" w:rsidRPr="00E83661">
        <w:rPr>
          <w:rFonts w:ascii="Times New Roman" w:hAnsi="Times New Roman" w:cs="Times New Roman"/>
          <w:szCs w:val="24"/>
        </w:rPr>
        <w:t>5</w:t>
      </w:r>
      <w:r w:rsidR="00391EBE" w:rsidRPr="00E83661">
        <w:rPr>
          <w:rFonts w:ascii="Times New Roman" w:hAnsi="Times New Roman" w:cs="Times New Roman"/>
          <w:szCs w:val="24"/>
        </w:rPr>
        <w:t xml:space="preserve"> r.</w:t>
      </w:r>
      <w:r w:rsidR="00C1777A" w:rsidRPr="00E83661">
        <w:rPr>
          <w:rFonts w:ascii="Times New Roman" w:hAnsi="Times New Roman" w:cs="Times New Roman"/>
          <w:szCs w:val="24"/>
        </w:rPr>
        <w:t xml:space="preserve"> </w:t>
      </w:r>
      <w:r w:rsidR="00B76974" w:rsidRPr="00D26C9E">
        <w:rPr>
          <w:rFonts w:ascii="Times New Roman" w:hAnsi="Times New Roman" w:cs="Times New Roman"/>
          <w:bCs w:val="0"/>
          <w:szCs w:val="24"/>
        </w:rPr>
        <w:t>Z uwagi na</w:t>
      </w:r>
      <w:r w:rsidR="00C1777A" w:rsidRPr="00D26C9E">
        <w:rPr>
          <w:rFonts w:ascii="Times New Roman" w:hAnsi="Times New Roman" w:cs="Times New Roman"/>
          <w:bCs w:val="0"/>
          <w:szCs w:val="24"/>
        </w:rPr>
        <w:t xml:space="preserve"> zbliżający się termin</w:t>
      </w:r>
      <w:r w:rsidR="00B76974" w:rsidRPr="00D26C9E">
        <w:rPr>
          <w:rFonts w:ascii="Times New Roman" w:hAnsi="Times New Roman" w:cs="Times New Roman"/>
          <w:bCs w:val="0"/>
          <w:szCs w:val="24"/>
        </w:rPr>
        <w:t xml:space="preserve"> – 31 grudnia 2025 r. – wskazany w </w:t>
      </w:r>
      <w:r w:rsidR="00C1777A" w:rsidRPr="00D26C9E">
        <w:rPr>
          <w:rFonts w:ascii="Times New Roman" w:hAnsi="Times New Roman" w:cs="Times New Roman"/>
          <w:bCs w:val="0"/>
          <w:szCs w:val="24"/>
        </w:rPr>
        <w:t>art. 226a</w:t>
      </w:r>
      <w:r w:rsidR="00B76974" w:rsidRPr="00D26C9E">
        <w:rPr>
          <w:rFonts w:ascii="Times New Roman" w:hAnsi="Times New Roman" w:cs="Times New Roman"/>
          <w:bCs w:val="0"/>
          <w:szCs w:val="24"/>
        </w:rPr>
        <w:t xml:space="preserve"> ustawy o odpadach oraz w art. 193 ust. 1c ustawy – Prawo ochrony środowiska</w:t>
      </w:r>
      <w:r w:rsidR="00C1777A" w:rsidRPr="00D26C9E">
        <w:rPr>
          <w:rFonts w:ascii="Times New Roman" w:hAnsi="Times New Roman" w:cs="Times New Roman"/>
          <w:bCs w:val="0"/>
          <w:szCs w:val="24"/>
        </w:rPr>
        <w:t xml:space="preserve">, </w:t>
      </w:r>
      <w:r w:rsidR="00B76974" w:rsidRPr="00D26C9E">
        <w:rPr>
          <w:rFonts w:ascii="Times New Roman" w:hAnsi="Times New Roman" w:cs="Times New Roman"/>
          <w:bCs w:val="0"/>
          <w:szCs w:val="24"/>
        </w:rPr>
        <w:t>któr</w:t>
      </w:r>
      <w:r w:rsidR="002270C0" w:rsidRPr="00D26C9E">
        <w:rPr>
          <w:rFonts w:ascii="Times New Roman" w:hAnsi="Times New Roman" w:cs="Times New Roman"/>
          <w:bCs w:val="0"/>
          <w:szCs w:val="24"/>
        </w:rPr>
        <w:t>e</w:t>
      </w:r>
      <w:r w:rsidR="00B76974" w:rsidRPr="00D26C9E">
        <w:rPr>
          <w:rFonts w:ascii="Times New Roman" w:hAnsi="Times New Roman" w:cs="Times New Roman"/>
          <w:bCs w:val="0"/>
          <w:szCs w:val="24"/>
        </w:rPr>
        <w:t xml:space="preserve"> </w:t>
      </w:r>
      <w:r w:rsidR="002270C0" w:rsidRPr="00D26C9E">
        <w:rPr>
          <w:rFonts w:ascii="Times New Roman" w:hAnsi="Times New Roman" w:cs="Times New Roman"/>
          <w:bCs w:val="0"/>
          <w:szCs w:val="24"/>
        </w:rPr>
        <w:t>są</w:t>
      </w:r>
      <w:r w:rsidR="00B76974" w:rsidRPr="00D26C9E">
        <w:rPr>
          <w:rFonts w:ascii="Times New Roman" w:hAnsi="Times New Roman" w:cs="Times New Roman"/>
          <w:bCs w:val="0"/>
          <w:szCs w:val="24"/>
        </w:rPr>
        <w:t xml:space="preserve"> zmienian</w:t>
      </w:r>
      <w:r w:rsidR="002270C0" w:rsidRPr="00D26C9E">
        <w:rPr>
          <w:rFonts w:ascii="Times New Roman" w:hAnsi="Times New Roman" w:cs="Times New Roman"/>
          <w:bCs w:val="0"/>
          <w:szCs w:val="24"/>
        </w:rPr>
        <w:t>e</w:t>
      </w:r>
      <w:r w:rsidR="00B76974" w:rsidRPr="00D26C9E">
        <w:rPr>
          <w:rFonts w:ascii="Times New Roman" w:hAnsi="Times New Roman" w:cs="Times New Roman"/>
          <w:bCs w:val="0"/>
          <w:szCs w:val="24"/>
        </w:rPr>
        <w:t xml:space="preserve"> projektowaną ustawą,</w:t>
      </w:r>
      <w:r w:rsidR="00C1777A" w:rsidRPr="00D26C9E">
        <w:rPr>
          <w:rFonts w:ascii="Times New Roman" w:hAnsi="Times New Roman" w:cs="Times New Roman"/>
          <w:bCs w:val="0"/>
          <w:szCs w:val="24"/>
        </w:rPr>
        <w:t xml:space="preserve"> </w:t>
      </w:r>
      <w:r w:rsidR="00BE1BDC" w:rsidRPr="00D26C9E">
        <w:rPr>
          <w:rFonts w:ascii="Times New Roman" w:hAnsi="Times New Roman" w:cs="Times New Roman"/>
          <w:bCs w:val="0"/>
          <w:szCs w:val="24"/>
        </w:rPr>
        <w:t xml:space="preserve">jest </w:t>
      </w:r>
      <w:r w:rsidR="00C1777A" w:rsidRPr="00D26C9E">
        <w:rPr>
          <w:rFonts w:ascii="Times New Roman" w:hAnsi="Times New Roman" w:cs="Times New Roman"/>
          <w:bCs w:val="0"/>
          <w:szCs w:val="24"/>
        </w:rPr>
        <w:t>niezbędne wejście w życie planowanych przepisów przed</w:t>
      </w:r>
      <w:r w:rsidR="00B76974" w:rsidRPr="00D26C9E">
        <w:rPr>
          <w:rFonts w:ascii="Times New Roman" w:hAnsi="Times New Roman" w:cs="Times New Roman"/>
          <w:bCs w:val="0"/>
          <w:szCs w:val="24"/>
        </w:rPr>
        <w:t xml:space="preserve"> tą</w:t>
      </w:r>
      <w:r w:rsidR="00C1777A" w:rsidRPr="00D26C9E">
        <w:rPr>
          <w:rFonts w:ascii="Times New Roman" w:hAnsi="Times New Roman" w:cs="Times New Roman"/>
          <w:bCs w:val="0"/>
          <w:szCs w:val="24"/>
        </w:rPr>
        <w:t xml:space="preserve"> datą.</w:t>
      </w:r>
      <w:r w:rsidR="00C1777A" w:rsidRPr="00D26C9E">
        <w:rPr>
          <w:rFonts w:ascii="Times New Roman" w:hAnsi="Times New Roman" w:cs="Times New Roman"/>
          <w:szCs w:val="24"/>
        </w:rPr>
        <w:t xml:space="preserve"> Wprowadzenie nowych regulacji z wyprzedzeniem w stosunku do tego terminu jest szczególnie istotne z perspektywy konieczności zapewnienia przedsiębiorcom </w:t>
      </w:r>
      <w:r w:rsidR="00C1777A" w:rsidRPr="00D26C9E">
        <w:rPr>
          <w:rFonts w:ascii="Times New Roman" w:hAnsi="Times New Roman" w:cs="Times New Roman"/>
          <w:bCs w:val="0"/>
          <w:szCs w:val="24"/>
        </w:rPr>
        <w:t>pewności i jednoznaczności sytuacji prawnej</w:t>
      </w:r>
      <w:r w:rsidR="00C1777A" w:rsidRPr="00D26C9E">
        <w:rPr>
          <w:rFonts w:ascii="Times New Roman" w:hAnsi="Times New Roman" w:cs="Times New Roman"/>
          <w:szCs w:val="24"/>
        </w:rPr>
        <w:t>.</w:t>
      </w:r>
    </w:p>
    <w:sectPr w:rsidR="00932214" w:rsidRPr="00E83661" w:rsidSect="00E83661">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ADB5A" w14:textId="77777777" w:rsidR="00736360" w:rsidRDefault="00736360" w:rsidP="00EB701E">
      <w:pPr>
        <w:spacing w:line="240" w:lineRule="auto"/>
      </w:pPr>
      <w:r>
        <w:separator/>
      </w:r>
    </w:p>
  </w:endnote>
  <w:endnote w:type="continuationSeparator" w:id="0">
    <w:p w14:paraId="2DA1FC7A" w14:textId="77777777" w:rsidR="00736360" w:rsidRDefault="00736360" w:rsidP="00EB70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075841"/>
      <w:docPartObj>
        <w:docPartGallery w:val="Page Numbers (Bottom of Page)"/>
        <w:docPartUnique/>
      </w:docPartObj>
    </w:sdtPr>
    <w:sdtEndPr/>
    <w:sdtContent>
      <w:p w14:paraId="18997CC8" w14:textId="73797FB1" w:rsidR="00E83661" w:rsidRDefault="00E83661" w:rsidP="00E83661">
        <w:pPr>
          <w:pStyle w:val="Stopk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79B78" w14:textId="77777777" w:rsidR="00736360" w:rsidRDefault="00736360" w:rsidP="00EB701E">
      <w:pPr>
        <w:spacing w:line="240" w:lineRule="auto"/>
      </w:pPr>
      <w:r>
        <w:separator/>
      </w:r>
    </w:p>
  </w:footnote>
  <w:footnote w:type="continuationSeparator" w:id="0">
    <w:p w14:paraId="436DE422" w14:textId="77777777" w:rsidR="00736360" w:rsidRDefault="00736360" w:rsidP="00EB701E">
      <w:pPr>
        <w:spacing w:line="240" w:lineRule="auto"/>
      </w:pPr>
      <w:r>
        <w:continuationSeparator/>
      </w:r>
    </w:p>
  </w:footnote>
  <w:footnote w:id="1">
    <w:p w14:paraId="40ABE775" w14:textId="29768A48" w:rsidR="00EB701E" w:rsidRPr="00012734" w:rsidRDefault="00EB701E" w:rsidP="00CD0813">
      <w:pPr>
        <w:pStyle w:val="Tekstprzypisudolnego"/>
        <w:rPr>
          <w:sz w:val="18"/>
          <w:szCs w:val="18"/>
        </w:rPr>
      </w:pPr>
      <w:r w:rsidRPr="00012734">
        <w:rPr>
          <w:rStyle w:val="Odwoanieprzypisudolnego"/>
          <w:sz w:val="18"/>
          <w:szCs w:val="18"/>
        </w:rPr>
        <w:footnoteRef/>
      </w:r>
      <w:r w:rsidR="00CD0813" w:rsidRPr="00012734">
        <w:rPr>
          <w:sz w:val="18"/>
          <w:szCs w:val="18"/>
          <w:vertAlign w:val="superscript"/>
        </w:rPr>
        <w:t>)</w:t>
      </w:r>
      <w:r w:rsidRPr="00012734">
        <w:rPr>
          <w:sz w:val="18"/>
          <w:szCs w:val="18"/>
        </w:rPr>
        <w:t xml:space="preserve"> Dz</w:t>
      </w:r>
      <w:r w:rsidR="00E10949" w:rsidRPr="00012734">
        <w:rPr>
          <w:sz w:val="18"/>
          <w:szCs w:val="18"/>
        </w:rPr>
        <w:t xml:space="preserve">. </w:t>
      </w:r>
      <w:r w:rsidRPr="00012734">
        <w:rPr>
          <w:sz w:val="18"/>
          <w:szCs w:val="18"/>
        </w:rPr>
        <w:t>U. z 202</w:t>
      </w:r>
      <w:r w:rsidR="005C543C">
        <w:rPr>
          <w:sz w:val="18"/>
          <w:szCs w:val="18"/>
        </w:rPr>
        <w:t>5</w:t>
      </w:r>
      <w:r w:rsidRPr="00012734">
        <w:rPr>
          <w:sz w:val="18"/>
          <w:szCs w:val="18"/>
        </w:rPr>
        <w:t xml:space="preserve"> r. poz. </w:t>
      </w:r>
      <w:r w:rsidR="005C543C">
        <w:rPr>
          <w:sz w:val="18"/>
          <w:szCs w:val="18"/>
        </w:rPr>
        <w:t>647</w:t>
      </w:r>
      <w:r w:rsidR="005513FA">
        <w:rPr>
          <w:sz w:val="18"/>
          <w:szCs w:val="18"/>
        </w:rPr>
        <w:t>, z późn. zm.</w:t>
      </w:r>
      <w:r w:rsidR="002A610F" w:rsidRPr="00012734">
        <w:rPr>
          <w:sz w:val="18"/>
          <w:szCs w:val="18"/>
        </w:rPr>
        <w:t xml:space="preserve">, dalej </w:t>
      </w:r>
      <w:r w:rsidR="00E83661">
        <w:rPr>
          <w:sz w:val="18"/>
          <w:szCs w:val="18"/>
        </w:rPr>
        <w:t>„</w:t>
      </w:r>
      <w:r w:rsidR="002A610F" w:rsidRPr="00012734">
        <w:rPr>
          <w:sz w:val="18"/>
          <w:szCs w:val="18"/>
        </w:rPr>
        <w:t>ustawa – Prawo ochrony środowiska”</w:t>
      </w:r>
      <w:r w:rsidR="00E10949" w:rsidRPr="00012734">
        <w:rPr>
          <w:sz w:val="18"/>
          <w:szCs w:val="18"/>
        </w:rPr>
        <w:t>.</w:t>
      </w:r>
    </w:p>
  </w:footnote>
  <w:footnote w:id="2">
    <w:p w14:paraId="2E5B5544" w14:textId="4FC57C0C" w:rsidR="001415B5" w:rsidRPr="0094341D" w:rsidRDefault="001415B5" w:rsidP="001415B5">
      <w:pPr>
        <w:pStyle w:val="Tekstprzypisudolnego"/>
        <w:rPr>
          <w:sz w:val="18"/>
          <w:szCs w:val="18"/>
        </w:rPr>
      </w:pPr>
      <w:r w:rsidRPr="0094341D">
        <w:rPr>
          <w:rStyle w:val="Odwoanieprzypisudolnego"/>
          <w:sz w:val="18"/>
          <w:szCs w:val="18"/>
        </w:rPr>
        <w:footnoteRef/>
      </w:r>
      <w:r w:rsidRPr="00541E26">
        <w:rPr>
          <w:sz w:val="18"/>
          <w:szCs w:val="18"/>
          <w:vertAlign w:val="superscript"/>
        </w:rPr>
        <w:t xml:space="preserve">) </w:t>
      </w:r>
      <w:r w:rsidRPr="001415B5">
        <w:rPr>
          <w:sz w:val="18"/>
          <w:szCs w:val="18"/>
        </w:rPr>
        <w:t>Dz. U. z 2023 r. poz. 1587</w:t>
      </w:r>
      <w:r w:rsidR="00A05D3D">
        <w:rPr>
          <w:sz w:val="18"/>
          <w:szCs w:val="18"/>
        </w:rPr>
        <w:t>,</w:t>
      </w:r>
      <w:r w:rsidRPr="001415B5">
        <w:rPr>
          <w:sz w:val="18"/>
          <w:szCs w:val="18"/>
        </w:rPr>
        <w:t xml:space="preserve"> z późn. zm., dalej </w:t>
      </w:r>
      <w:r w:rsidR="00E83661">
        <w:rPr>
          <w:sz w:val="18"/>
          <w:szCs w:val="18"/>
        </w:rPr>
        <w:t>„</w:t>
      </w:r>
      <w:r w:rsidRPr="001415B5">
        <w:rPr>
          <w:sz w:val="18"/>
          <w:szCs w:val="18"/>
        </w:rPr>
        <w:t>ustawa o odpadach”</w:t>
      </w:r>
      <w:r w:rsidRPr="0094341D">
        <w:rPr>
          <w:sz w:val="18"/>
          <w:szCs w:val="18"/>
        </w:rPr>
        <w:t>.</w:t>
      </w:r>
    </w:p>
  </w:footnote>
  <w:footnote w:id="3">
    <w:p w14:paraId="353F6609" w14:textId="5FE302F5" w:rsidR="00E10949" w:rsidRPr="00012734" w:rsidRDefault="00E10949" w:rsidP="00CD0813">
      <w:pPr>
        <w:pStyle w:val="Tekstprzypisudolnego"/>
        <w:rPr>
          <w:sz w:val="18"/>
          <w:szCs w:val="18"/>
        </w:rPr>
      </w:pPr>
      <w:r w:rsidRPr="005513FA">
        <w:rPr>
          <w:rStyle w:val="Odwoanieprzypisudolnego"/>
          <w:sz w:val="18"/>
          <w:szCs w:val="18"/>
        </w:rPr>
        <w:footnoteRef/>
      </w:r>
      <w:r w:rsidR="00CD0813" w:rsidRPr="005513FA">
        <w:rPr>
          <w:sz w:val="18"/>
          <w:szCs w:val="18"/>
          <w:vertAlign w:val="superscript"/>
        </w:rPr>
        <w:t>)</w:t>
      </w:r>
      <w:r w:rsidRPr="005513FA">
        <w:rPr>
          <w:sz w:val="18"/>
          <w:szCs w:val="18"/>
        </w:rPr>
        <w:t xml:space="preserve"> </w:t>
      </w:r>
      <w:r w:rsidRPr="00547D7A">
        <w:rPr>
          <w:sz w:val="18"/>
          <w:szCs w:val="18"/>
        </w:rPr>
        <w:t>Dz. U. z 202</w:t>
      </w:r>
      <w:r w:rsidR="005513FA" w:rsidRPr="00547D7A">
        <w:rPr>
          <w:sz w:val="18"/>
          <w:szCs w:val="18"/>
        </w:rPr>
        <w:t>5</w:t>
      </w:r>
      <w:r w:rsidRPr="00547D7A">
        <w:rPr>
          <w:sz w:val="18"/>
          <w:szCs w:val="18"/>
        </w:rPr>
        <w:t xml:space="preserve"> r. poz</w:t>
      </w:r>
      <w:r w:rsidR="005513FA" w:rsidRPr="00547D7A">
        <w:rPr>
          <w:sz w:val="18"/>
          <w:szCs w:val="18"/>
        </w:rPr>
        <w:t>. 870</w:t>
      </w:r>
      <w:r w:rsidR="001D5B37" w:rsidRPr="00547D7A">
        <w:rPr>
          <w:sz w:val="18"/>
          <w:szCs w:val="18"/>
        </w:rPr>
        <w:t xml:space="preserve">, dalej </w:t>
      </w:r>
      <w:r w:rsidR="00E83661">
        <w:rPr>
          <w:sz w:val="18"/>
          <w:szCs w:val="18"/>
        </w:rPr>
        <w:t>„</w:t>
      </w:r>
      <w:r w:rsidR="001D5B37" w:rsidRPr="00547D7A">
        <w:rPr>
          <w:sz w:val="18"/>
          <w:szCs w:val="18"/>
        </w:rPr>
        <w:t>ustawa o gospodarce opakowaniami i odpadami opakowaniowymi”</w:t>
      </w:r>
      <w:r w:rsidR="00322D2D" w:rsidRPr="00547D7A">
        <w:rPr>
          <w:sz w:val="18"/>
          <w:szCs w:val="18"/>
        </w:rPr>
        <w:t>.</w:t>
      </w:r>
    </w:p>
  </w:footnote>
  <w:footnote w:id="4">
    <w:p w14:paraId="188D71A9" w14:textId="454F3E36" w:rsidR="001415B5" w:rsidRPr="00012734" w:rsidRDefault="001415B5" w:rsidP="001415B5">
      <w:pPr>
        <w:pStyle w:val="Tekstprzypisudolnego"/>
        <w:rPr>
          <w:sz w:val="18"/>
          <w:szCs w:val="18"/>
        </w:rPr>
      </w:pPr>
      <w:r w:rsidRPr="00012734">
        <w:rPr>
          <w:rStyle w:val="Odwoanieprzypisudolnego"/>
          <w:sz w:val="18"/>
          <w:szCs w:val="18"/>
        </w:rPr>
        <w:footnoteRef/>
      </w:r>
      <w:r w:rsidRPr="00012734">
        <w:rPr>
          <w:sz w:val="18"/>
          <w:szCs w:val="18"/>
          <w:vertAlign w:val="superscript"/>
        </w:rPr>
        <w:t>)</w:t>
      </w:r>
      <w:r w:rsidRPr="00012734">
        <w:rPr>
          <w:sz w:val="18"/>
          <w:szCs w:val="18"/>
        </w:rPr>
        <w:t xml:space="preserve"> </w:t>
      </w:r>
      <w:r w:rsidRPr="001415B5">
        <w:rPr>
          <w:sz w:val="18"/>
          <w:szCs w:val="18"/>
        </w:rPr>
        <w:t>Dz.</w:t>
      </w:r>
      <w:r w:rsidR="00E93860">
        <w:rPr>
          <w:sz w:val="18"/>
          <w:szCs w:val="18"/>
        </w:rPr>
        <w:t xml:space="preserve"> </w:t>
      </w:r>
      <w:r w:rsidRPr="001415B5">
        <w:rPr>
          <w:sz w:val="18"/>
          <w:szCs w:val="18"/>
        </w:rPr>
        <w:t>U. z 2024 r. poz. 1288, z p</w:t>
      </w:r>
      <w:r w:rsidR="00E93860">
        <w:rPr>
          <w:sz w:val="18"/>
          <w:szCs w:val="18"/>
        </w:rPr>
        <w:t>ó</w:t>
      </w:r>
      <w:r w:rsidRPr="001415B5">
        <w:rPr>
          <w:sz w:val="18"/>
          <w:szCs w:val="18"/>
        </w:rPr>
        <w:t xml:space="preserve">źn. zm., dalej „ustawa o </w:t>
      </w:r>
      <w:r w:rsidR="00E93860">
        <w:rPr>
          <w:sz w:val="18"/>
          <w:szCs w:val="18"/>
        </w:rPr>
        <w:t>ochronie odbiorców energii</w:t>
      </w:r>
      <w:r w:rsidRPr="001415B5">
        <w:rPr>
          <w:sz w:val="18"/>
          <w:szCs w:val="18"/>
        </w:rPr>
        <w:t>”</w:t>
      </w:r>
      <w:r>
        <w:rPr>
          <w:sz w:val="18"/>
          <w:szCs w:val="18"/>
        </w:rPr>
        <w:t>.</w:t>
      </w:r>
    </w:p>
  </w:footnote>
  <w:footnote w:id="5">
    <w:p w14:paraId="7AB47280" w14:textId="4877EFBF" w:rsidR="00EF0FC1" w:rsidRDefault="00EF0FC1">
      <w:pPr>
        <w:pStyle w:val="Tekstprzypisudolnego"/>
      </w:pPr>
      <w:r>
        <w:rPr>
          <w:rStyle w:val="Odwoanieprzypisudolnego"/>
        </w:rPr>
        <w:footnoteRef/>
      </w:r>
      <w:r w:rsidR="006006EE">
        <w:rPr>
          <w:vertAlign w:val="superscript"/>
        </w:rPr>
        <w:t>)</w:t>
      </w:r>
      <w:r>
        <w:t xml:space="preserve"> </w:t>
      </w:r>
      <w:r w:rsidRPr="00EF0FC1">
        <w:t>Dz. Urz. UE L 2024/1785</w:t>
      </w:r>
      <w:r w:rsidR="00BE1BDC">
        <w:t xml:space="preserve"> z </w:t>
      </w:r>
      <w:r w:rsidR="00BE1BDC" w:rsidRPr="00BE1BDC">
        <w:t>15.</w:t>
      </w:r>
      <w:r w:rsidR="00BE1BDC">
        <w:t>0</w:t>
      </w:r>
      <w:r w:rsidR="00BE1BDC" w:rsidRPr="00BE1BDC">
        <w:t>7.2024</w:t>
      </w:r>
      <w:r>
        <w:t>.</w:t>
      </w:r>
    </w:p>
  </w:footnote>
  <w:footnote w:id="6">
    <w:p w14:paraId="504474B2" w14:textId="577AB03B" w:rsidR="00374C72" w:rsidRPr="004D70BA" w:rsidRDefault="00374C72">
      <w:pPr>
        <w:pStyle w:val="Tekstprzypisudolnego"/>
        <w:rPr>
          <w:sz w:val="18"/>
          <w:szCs w:val="18"/>
        </w:rPr>
      </w:pPr>
      <w:r w:rsidRPr="004D70BA">
        <w:rPr>
          <w:rStyle w:val="Odwoanieprzypisudolnego"/>
          <w:sz w:val="18"/>
          <w:szCs w:val="18"/>
        </w:rPr>
        <w:footnoteRef/>
      </w:r>
      <w:r w:rsidR="003947C7" w:rsidRPr="004D70BA">
        <w:rPr>
          <w:sz w:val="18"/>
          <w:szCs w:val="18"/>
          <w:vertAlign w:val="superscript"/>
        </w:rPr>
        <w:t>)</w:t>
      </w:r>
      <w:r w:rsidRPr="004D70BA">
        <w:rPr>
          <w:sz w:val="18"/>
          <w:szCs w:val="18"/>
        </w:rPr>
        <w:t xml:space="preserve"> Dz. U. poz. 1592</w:t>
      </w:r>
      <w:r w:rsidR="006006EE">
        <w:rPr>
          <w:sz w:val="18"/>
          <w:szCs w:val="18"/>
        </w:rPr>
        <w:t>,</w:t>
      </w:r>
      <w:r w:rsidR="00EF0FC1">
        <w:rPr>
          <w:sz w:val="18"/>
          <w:szCs w:val="18"/>
        </w:rPr>
        <w:t xml:space="preserve"> z późn. zm.</w:t>
      </w:r>
      <w:r w:rsidRPr="004D70BA">
        <w:rPr>
          <w:sz w:val="18"/>
          <w:szCs w:val="18"/>
        </w:rPr>
        <w:t>, dalej „ustawa pożarowa”</w:t>
      </w:r>
      <w:r w:rsidR="003947C7" w:rsidRPr="004D70BA">
        <w:rPr>
          <w:sz w:val="18"/>
          <w:szCs w:val="18"/>
        </w:rPr>
        <w:t>.</w:t>
      </w:r>
    </w:p>
  </w:footnote>
  <w:footnote w:id="7">
    <w:p w14:paraId="6CF10342" w14:textId="420A192B" w:rsidR="0030198D" w:rsidRPr="0094341D" w:rsidRDefault="0030198D" w:rsidP="00541E26">
      <w:pPr>
        <w:pStyle w:val="Tekstprzypisudolnego"/>
        <w:rPr>
          <w:sz w:val="18"/>
          <w:szCs w:val="18"/>
        </w:rPr>
      </w:pPr>
      <w:r w:rsidRPr="0094341D">
        <w:rPr>
          <w:rStyle w:val="Odwoanieprzypisudolnego"/>
          <w:sz w:val="18"/>
          <w:szCs w:val="18"/>
        </w:rPr>
        <w:footnoteRef/>
      </w:r>
      <w:r w:rsidR="00322D2D" w:rsidRPr="00541E26">
        <w:rPr>
          <w:sz w:val="18"/>
          <w:szCs w:val="18"/>
          <w:vertAlign w:val="superscript"/>
        </w:rPr>
        <w:t>)</w:t>
      </w:r>
      <w:r w:rsidRPr="00541E26">
        <w:rPr>
          <w:sz w:val="18"/>
          <w:szCs w:val="18"/>
          <w:vertAlign w:val="superscript"/>
        </w:rPr>
        <w:t xml:space="preserve"> </w:t>
      </w:r>
      <w:r w:rsidRPr="0094341D">
        <w:rPr>
          <w:sz w:val="18"/>
          <w:szCs w:val="18"/>
        </w:rPr>
        <w:t>Dz. U. z 2024 r. poz. 425</w:t>
      </w:r>
      <w:r w:rsidR="00083481" w:rsidRPr="0094341D">
        <w:rPr>
          <w:sz w:val="18"/>
          <w:szCs w:val="18"/>
        </w:rPr>
        <w:t>.</w:t>
      </w:r>
    </w:p>
  </w:footnote>
  <w:footnote w:id="8">
    <w:p w14:paraId="46485C98" w14:textId="6964C802" w:rsidR="0030198D" w:rsidRDefault="0030198D" w:rsidP="00541E26">
      <w:pPr>
        <w:pStyle w:val="Tekstprzypisudolnego"/>
      </w:pPr>
      <w:r w:rsidRPr="0094341D">
        <w:rPr>
          <w:rStyle w:val="Odwoanieprzypisudolnego"/>
          <w:sz w:val="18"/>
          <w:szCs w:val="18"/>
        </w:rPr>
        <w:footnoteRef/>
      </w:r>
      <w:r w:rsidR="00322D2D" w:rsidRPr="00541E26">
        <w:rPr>
          <w:sz w:val="18"/>
          <w:szCs w:val="18"/>
          <w:vertAlign w:val="superscript"/>
        </w:rPr>
        <w:t>)</w:t>
      </w:r>
      <w:r w:rsidRPr="0094341D">
        <w:rPr>
          <w:sz w:val="18"/>
          <w:szCs w:val="18"/>
        </w:rPr>
        <w:t xml:space="preserve"> </w:t>
      </w:r>
      <w:r w:rsidRPr="0094341D">
        <w:rPr>
          <w:rFonts w:cs="Times New Roman"/>
          <w:sz w:val="18"/>
          <w:szCs w:val="18"/>
        </w:rPr>
        <w:t>Dz. U. poz. 215</w:t>
      </w:r>
      <w:r w:rsidR="00C72F66" w:rsidRPr="0094341D">
        <w:rPr>
          <w:rFonts w:cs="Times New Roman"/>
          <w:sz w:val="18"/>
          <w:szCs w:val="18"/>
        </w:rPr>
        <w:t>1</w:t>
      </w:r>
      <w:r w:rsidR="00083481" w:rsidRPr="0094341D">
        <w:rPr>
          <w:rFonts w:cs="Times New Roman"/>
          <w:sz w:val="18"/>
          <w:szCs w:val="18"/>
        </w:rPr>
        <w:t>,</w:t>
      </w:r>
      <w:r w:rsidRPr="0094341D">
        <w:rPr>
          <w:rFonts w:cs="Times New Roman"/>
          <w:sz w:val="18"/>
          <w:szCs w:val="18"/>
        </w:rPr>
        <w:t xml:space="preserve"> z późn. zm.</w:t>
      </w:r>
    </w:p>
  </w:footnote>
  <w:footnote w:id="9">
    <w:p w14:paraId="118DD2C1" w14:textId="590B105F" w:rsidR="00A333D3" w:rsidRPr="0094341D" w:rsidRDefault="00A333D3" w:rsidP="00541E26">
      <w:pPr>
        <w:pStyle w:val="Tekstprzypisudolnego"/>
        <w:rPr>
          <w:sz w:val="18"/>
          <w:szCs w:val="18"/>
        </w:rPr>
      </w:pPr>
      <w:r w:rsidRPr="0094341D">
        <w:rPr>
          <w:rStyle w:val="Odwoanieprzypisudolnego"/>
          <w:sz w:val="18"/>
          <w:szCs w:val="18"/>
        </w:rPr>
        <w:footnoteRef/>
      </w:r>
      <w:r w:rsidR="00322D2D" w:rsidRPr="00541E26">
        <w:rPr>
          <w:sz w:val="18"/>
          <w:szCs w:val="18"/>
          <w:vertAlign w:val="superscript"/>
        </w:rPr>
        <w:t>)</w:t>
      </w:r>
      <w:r w:rsidRPr="00541E26">
        <w:rPr>
          <w:sz w:val="18"/>
          <w:szCs w:val="18"/>
          <w:vertAlign w:val="superscript"/>
        </w:rPr>
        <w:t xml:space="preserve"> </w:t>
      </w:r>
      <w:r w:rsidRPr="0094341D">
        <w:rPr>
          <w:sz w:val="18"/>
          <w:szCs w:val="18"/>
        </w:rPr>
        <w:t>Dz. U. poz. 2039, z późn. zm.</w:t>
      </w:r>
    </w:p>
  </w:footnote>
  <w:footnote w:id="10">
    <w:p w14:paraId="5BC87522" w14:textId="5BB19BA1" w:rsidR="00C72F66" w:rsidRPr="0094341D" w:rsidRDefault="00C72F66" w:rsidP="00541E26">
      <w:pPr>
        <w:pStyle w:val="Tekstprzypisudolnego"/>
        <w:rPr>
          <w:sz w:val="18"/>
          <w:szCs w:val="18"/>
        </w:rPr>
      </w:pPr>
      <w:r w:rsidRPr="0094341D">
        <w:rPr>
          <w:rStyle w:val="Odwoanieprzypisudolnego"/>
          <w:sz w:val="18"/>
          <w:szCs w:val="18"/>
        </w:rPr>
        <w:footnoteRef/>
      </w:r>
      <w:r w:rsidR="00322D2D" w:rsidRPr="00541E26">
        <w:rPr>
          <w:sz w:val="18"/>
          <w:szCs w:val="18"/>
          <w:vertAlign w:val="superscript"/>
        </w:rPr>
        <w:t>)</w:t>
      </w:r>
      <w:r w:rsidRPr="0094341D">
        <w:rPr>
          <w:sz w:val="18"/>
          <w:szCs w:val="18"/>
        </w:rPr>
        <w:t xml:space="preserve"> Dz. U. z 20</w:t>
      </w:r>
      <w:r w:rsidR="00E0216D">
        <w:rPr>
          <w:sz w:val="18"/>
          <w:szCs w:val="18"/>
        </w:rPr>
        <w:t>25</w:t>
      </w:r>
      <w:r w:rsidRPr="0094341D">
        <w:rPr>
          <w:sz w:val="18"/>
          <w:szCs w:val="18"/>
        </w:rPr>
        <w:t xml:space="preserve"> r. poz. </w:t>
      </w:r>
      <w:r w:rsidR="00E0216D">
        <w:rPr>
          <w:sz w:val="18"/>
          <w:szCs w:val="18"/>
        </w:rPr>
        <w:t>677</w:t>
      </w:r>
      <w:r w:rsidR="00322D2D">
        <w:rPr>
          <w:sz w:val="18"/>
          <w:szCs w:val="18"/>
        </w:rPr>
        <w:t>.</w:t>
      </w:r>
    </w:p>
  </w:footnote>
  <w:footnote w:id="11">
    <w:p w14:paraId="305BB6D3" w14:textId="74187AEC" w:rsidR="00C72F66" w:rsidRDefault="00C72F66" w:rsidP="00541E26">
      <w:pPr>
        <w:pStyle w:val="Tekstprzypisudolnego"/>
      </w:pPr>
      <w:r w:rsidRPr="0094341D">
        <w:rPr>
          <w:rStyle w:val="Odwoanieprzypisudolnego"/>
          <w:sz w:val="18"/>
          <w:szCs w:val="18"/>
        </w:rPr>
        <w:footnoteRef/>
      </w:r>
      <w:r w:rsidR="00322D2D" w:rsidRPr="00541E26">
        <w:rPr>
          <w:sz w:val="18"/>
          <w:szCs w:val="18"/>
          <w:vertAlign w:val="superscript"/>
        </w:rPr>
        <w:t>)</w:t>
      </w:r>
      <w:r w:rsidRPr="0094341D">
        <w:rPr>
          <w:sz w:val="18"/>
          <w:szCs w:val="18"/>
        </w:rPr>
        <w:t xml:space="preserve"> </w:t>
      </w:r>
      <w:r w:rsidRPr="00B76974">
        <w:rPr>
          <w:sz w:val="18"/>
          <w:szCs w:val="18"/>
        </w:rPr>
        <w:t>Dz. U. z 20</w:t>
      </w:r>
      <w:r w:rsidR="00B76974" w:rsidRPr="00B76974">
        <w:rPr>
          <w:sz w:val="18"/>
          <w:szCs w:val="18"/>
        </w:rPr>
        <w:t>24 r. poz. 236</w:t>
      </w:r>
      <w:r w:rsidRPr="00B76974">
        <w:rPr>
          <w:sz w:val="18"/>
          <w:szCs w:val="18"/>
        </w:rPr>
        <w:t>, z późn. zm.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603E"/>
    <w:multiLevelType w:val="hybridMultilevel"/>
    <w:tmpl w:val="CA466B3E"/>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05FB2C77"/>
    <w:multiLevelType w:val="hybridMultilevel"/>
    <w:tmpl w:val="2D22DDCE"/>
    <w:lvl w:ilvl="0" w:tplc="ED12595E">
      <w:start w:val="1"/>
      <w:numFmt w:val="decimal"/>
      <w:lvlText w:val="%1)"/>
      <w:lvlJc w:val="left"/>
      <w:pPr>
        <w:ind w:left="1020" w:hanging="360"/>
      </w:pPr>
    </w:lvl>
    <w:lvl w:ilvl="1" w:tplc="DEFCEE1E">
      <w:start w:val="1"/>
      <w:numFmt w:val="decimal"/>
      <w:lvlText w:val="%2)"/>
      <w:lvlJc w:val="left"/>
      <w:pPr>
        <w:ind w:left="1020" w:hanging="360"/>
      </w:pPr>
    </w:lvl>
    <w:lvl w:ilvl="2" w:tplc="A09292F0">
      <w:start w:val="1"/>
      <w:numFmt w:val="decimal"/>
      <w:lvlText w:val="%3)"/>
      <w:lvlJc w:val="left"/>
      <w:pPr>
        <w:ind w:left="1020" w:hanging="360"/>
      </w:pPr>
    </w:lvl>
    <w:lvl w:ilvl="3" w:tplc="876CB2B6">
      <w:start w:val="1"/>
      <w:numFmt w:val="decimal"/>
      <w:lvlText w:val="%4)"/>
      <w:lvlJc w:val="left"/>
      <w:pPr>
        <w:ind w:left="1020" w:hanging="360"/>
      </w:pPr>
    </w:lvl>
    <w:lvl w:ilvl="4" w:tplc="5CBE47A0">
      <w:start w:val="1"/>
      <w:numFmt w:val="decimal"/>
      <w:lvlText w:val="%5)"/>
      <w:lvlJc w:val="left"/>
      <w:pPr>
        <w:ind w:left="1020" w:hanging="360"/>
      </w:pPr>
    </w:lvl>
    <w:lvl w:ilvl="5" w:tplc="35F20976">
      <w:start w:val="1"/>
      <w:numFmt w:val="decimal"/>
      <w:lvlText w:val="%6)"/>
      <w:lvlJc w:val="left"/>
      <w:pPr>
        <w:ind w:left="1020" w:hanging="360"/>
      </w:pPr>
    </w:lvl>
    <w:lvl w:ilvl="6" w:tplc="6E6CB006">
      <w:start w:val="1"/>
      <w:numFmt w:val="decimal"/>
      <w:lvlText w:val="%7)"/>
      <w:lvlJc w:val="left"/>
      <w:pPr>
        <w:ind w:left="1020" w:hanging="360"/>
      </w:pPr>
    </w:lvl>
    <w:lvl w:ilvl="7" w:tplc="523AEAB6">
      <w:start w:val="1"/>
      <w:numFmt w:val="decimal"/>
      <w:lvlText w:val="%8)"/>
      <w:lvlJc w:val="left"/>
      <w:pPr>
        <w:ind w:left="1020" w:hanging="360"/>
      </w:pPr>
    </w:lvl>
    <w:lvl w:ilvl="8" w:tplc="F98616BE">
      <w:start w:val="1"/>
      <w:numFmt w:val="decimal"/>
      <w:lvlText w:val="%9)"/>
      <w:lvlJc w:val="left"/>
      <w:pPr>
        <w:ind w:left="1020" w:hanging="360"/>
      </w:pPr>
    </w:lvl>
  </w:abstractNum>
  <w:abstractNum w:abstractNumId="2" w15:restartNumberingAfterBreak="0">
    <w:nsid w:val="0A4400A0"/>
    <w:multiLevelType w:val="hybridMultilevel"/>
    <w:tmpl w:val="399EE654"/>
    <w:lvl w:ilvl="0" w:tplc="4AE48DC4">
      <w:start w:val="1"/>
      <w:numFmt w:val="lowerLetter"/>
      <w:lvlText w:val="%1)"/>
      <w:lvlJc w:val="left"/>
      <w:pPr>
        <w:ind w:left="1164" w:hanging="384"/>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 w15:restartNumberingAfterBreak="0">
    <w:nsid w:val="0A97006C"/>
    <w:multiLevelType w:val="hybridMultilevel"/>
    <w:tmpl w:val="54465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DC5241"/>
    <w:multiLevelType w:val="hybridMultilevel"/>
    <w:tmpl w:val="8EF254BE"/>
    <w:lvl w:ilvl="0" w:tplc="6410242C">
      <w:start w:val="1"/>
      <w:numFmt w:val="decimal"/>
      <w:lvlText w:val="%1."/>
      <w:lvlJc w:val="left"/>
      <w:pPr>
        <w:ind w:left="1020" w:hanging="360"/>
      </w:pPr>
    </w:lvl>
    <w:lvl w:ilvl="1" w:tplc="EFB47F10">
      <w:start w:val="1"/>
      <w:numFmt w:val="decimal"/>
      <w:lvlText w:val="%2."/>
      <w:lvlJc w:val="left"/>
      <w:pPr>
        <w:ind w:left="1020" w:hanging="360"/>
      </w:pPr>
    </w:lvl>
    <w:lvl w:ilvl="2" w:tplc="E73EB550">
      <w:start w:val="1"/>
      <w:numFmt w:val="decimal"/>
      <w:lvlText w:val="%3."/>
      <w:lvlJc w:val="left"/>
      <w:pPr>
        <w:ind w:left="1020" w:hanging="360"/>
      </w:pPr>
    </w:lvl>
    <w:lvl w:ilvl="3" w:tplc="49E2BD62">
      <w:start w:val="1"/>
      <w:numFmt w:val="decimal"/>
      <w:lvlText w:val="%4."/>
      <w:lvlJc w:val="left"/>
      <w:pPr>
        <w:ind w:left="1020" w:hanging="360"/>
      </w:pPr>
    </w:lvl>
    <w:lvl w:ilvl="4" w:tplc="0F744554">
      <w:start w:val="1"/>
      <w:numFmt w:val="decimal"/>
      <w:lvlText w:val="%5."/>
      <w:lvlJc w:val="left"/>
      <w:pPr>
        <w:ind w:left="1020" w:hanging="360"/>
      </w:pPr>
    </w:lvl>
    <w:lvl w:ilvl="5" w:tplc="3618A43A">
      <w:start w:val="1"/>
      <w:numFmt w:val="decimal"/>
      <w:lvlText w:val="%6."/>
      <w:lvlJc w:val="left"/>
      <w:pPr>
        <w:ind w:left="1020" w:hanging="360"/>
      </w:pPr>
    </w:lvl>
    <w:lvl w:ilvl="6" w:tplc="EBE65504">
      <w:start w:val="1"/>
      <w:numFmt w:val="decimal"/>
      <w:lvlText w:val="%7."/>
      <w:lvlJc w:val="left"/>
      <w:pPr>
        <w:ind w:left="1020" w:hanging="360"/>
      </w:pPr>
    </w:lvl>
    <w:lvl w:ilvl="7" w:tplc="CB4CB61E">
      <w:start w:val="1"/>
      <w:numFmt w:val="decimal"/>
      <w:lvlText w:val="%8."/>
      <w:lvlJc w:val="left"/>
      <w:pPr>
        <w:ind w:left="1020" w:hanging="360"/>
      </w:pPr>
    </w:lvl>
    <w:lvl w:ilvl="8" w:tplc="1A52FC20">
      <w:start w:val="1"/>
      <w:numFmt w:val="decimal"/>
      <w:lvlText w:val="%9."/>
      <w:lvlJc w:val="left"/>
      <w:pPr>
        <w:ind w:left="1020" w:hanging="360"/>
      </w:pPr>
    </w:lvl>
  </w:abstractNum>
  <w:abstractNum w:abstractNumId="5" w15:restartNumberingAfterBreak="0">
    <w:nsid w:val="242D1DD3"/>
    <w:multiLevelType w:val="hybridMultilevel"/>
    <w:tmpl w:val="F4D06656"/>
    <w:lvl w:ilvl="0" w:tplc="0E1A6EB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381A34"/>
    <w:multiLevelType w:val="hybridMultilevel"/>
    <w:tmpl w:val="BB4A8484"/>
    <w:lvl w:ilvl="0" w:tplc="B334791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3544F84"/>
    <w:multiLevelType w:val="hybridMultilevel"/>
    <w:tmpl w:val="89B0974E"/>
    <w:lvl w:ilvl="0" w:tplc="1FEA9DF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79B714C"/>
    <w:multiLevelType w:val="hybridMultilevel"/>
    <w:tmpl w:val="7EA052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A37171E"/>
    <w:multiLevelType w:val="hybridMultilevel"/>
    <w:tmpl w:val="DBDABD3A"/>
    <w:lvl w:ilvl="0" w:tplc="69D21CA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9FC1BE5"/>
    <w:multiLevelType w:val="hybridMultilevel"/>
    <w:tmpl w:val="AEFEEC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A1F4FF3"/>
    <w:multiLevelType w:val="hybridMultilevel"/>
    <w:tmpl w:val="E08CEC24"/>
    <w:lvl w:ilvl="0" w:tplc="FFFFFFFF">
      <w:start w:val="1"/>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67105C5"/>
    <w:multiLevelType w:val="hybridMultilevel"/>
    <w:tmpl w:val="B4D86AA6"/>
    <w:lvl w:ilvl="0" w:tplc="1FEA9DF0">
      <w:start w:val="1"/>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A692F65"/>
    <w:multiLevelType w:val="hybridMultilevel"/>
    <w:tmpl w:val="F6FCD89E"/>
    <w:lvl w:ilvl="0" w:tplc="D1EE3E34">
      <w:start w:val="1"/>
      <w:numFmt w:val="decimal"/>
      <w:lvlText w:val="%1)"/>
      <w:lvlJc w:val="left"/>
      <w:pPr>
        <w:ind w:left="1020" w:hanging="360"/>
      </w:pPr>
    </w:lvl>
    <w:lvl w:ilvl="1" w:tplc="AAC03D0A">
      <w:start w:val="1"/>
      <w:numFmt w:val="decimal"/>
      <w:lvlText w:val="%2)"/>
      <w:lvlJc w:val="left"/>
      <w:pPr>
        <w:ind w:left="1020" w:hanging="360"/>
      </w:pPr>
    </w:lvl>
    <w:lvl w:ilvl="2" w:tplc="17FA113C">
      <w:start w:val="1"/>
      <w:numFmt w:val="decimal"/>
      <w:lvlText w:val="%3)"/>
      <w:lvlJc w:val="left"/>
      <w:pPr>
        <w:ind w:left="1020" w:hanging="360"/>
      </w:pPr>
    </w:lvl>
    <w:lvl w:ilvl="3" w:tplc="93940B06">
      <w:start w:val="1"/>
      <w:numFmt w:val="decimal"/>
      <w:lvlText w:val="%4)"/>
      <w:lvlJc w:val="left"/>
      <w:pPr>
        <w:ind w:left="1020" w:hanging="360"/>
      </w:pPr>
    </w:lvl>
    <w:lvl w:ilvl="4" w:tplc="68FE340E">
      <w:start w:val="1"/>
      <w:numFmt w:val="decimal"/>
      <w:lvlText w:val="%5)"/>
      <w:lvlJc w:val="left"/>
      <w:pPr>
        <w:ind w:left="1020" w:hanging="360"/>
      </w:pPr>
    </w:lvl>
    <w:lvl w:ilvl="5" w:tplc="5302DD58">
      <w:start w:val="1"/>
      <w:numFmt w:val="decimal"/>
      <w:lvlText w:val="%6)"/>
      <w:lvlJc w:val="left"/>
      <w:pPr>
        <w:ind w:left="1020" w:hanging="360"/>
      </w:pPr>
    </w:lvl>
    <w:lvl w:ilvl="6" w:tplc="16A2CD08">
      <w:start w:val="1"/>
      <w:numFmt w:val="decimal"/>
      <w:lvlText w:val="%7)"/>
      <w:lvlJc w:val="left"/>
      <w:pPr>
        <w:ind w:left="1020" w:hanging="360"/>
      </w:pPr>
    </w:lvl>
    <w:lvl w:ilvl="7" w:tplc="5C9A0676">
      <w:start w:val="1"/>
      <w:numFmt w:val="decimal"/>
      <w:lvlText w:val="%8)"/>
      <w:lvlJc w:val="left"/>
      <w:pPr>
        <w:ind w:left="1020" w:hanging="360"/>
      </w:pPr>
    </w:lvl>
    <w:lvl w:ilvl="8" w:tplc="41CA6FEC">
      <w:start w:val="1"/>
      <w:numFmt w:val="decimal"/>
      <w:lvlText w:val="%9)"/>
      <w:lvlJc w:val="left"/>
      <w:pPr>
        <w:ind w:left="1020" w:hanging="360"/>
      </w:pPr>
    </w:lvl>
  </w:abstractNum>
  <w:abstractNum w:abstractNumId="14" w15:restartNumberingAfterBreak="0">
    <w:nsid w:val="5AF83811"/>
    <w:multiLevelType w:val="hybridMultilevel"/>
    <w:tmpl w:val="3D6CCB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D3A3B70"/>
    <w:multiLevelType w:val="hybridMultilevel"/>
    <w:tmpl w:val="C1FEC0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21D4509"/>
    <w:multiLevelType w:val="hybridMultilevel"/>
    <w:tmpl w:val="3ACC28EC"/>
    <w:lvl w:ilvl="0" w:tplc="3CFAD616">
      <w:start w:val="1"/>
      <w:numFmt w:val="decimal"/>
      <w:lvlText w:val="%1)"/>
      <w:lvlJc w:val="left"/>
      <w:pPr>
        <w:ind w:left="1020" w:hanging="360"/>
      </w:pPr>
    </w:lvl>
    <w:lvl w:ilvl="1" w:tplc="9DAC79B2">
      <w:start w:val="1"/>
      <w:numFmt w:val="decimal"/>
      <w:lvlText w:val="%2)"/>
      <w:lvlJc w:val="left"/>
      <w:pPr>
        <w:ind w:left="1020" w:hanging="360"/>
      </w:pPr>
    </w:lvl>
    <w:lvl w:ilvl="2" w:tplc="3056CCB2">
      <w:start w:val="1"/>
      <w:numFmt w:val="decimal"/>
      <w:lvlText w:val="%3)"/>
      <w:lvlJc w:val="left"/>
      <w:pPr>
        <w:ind w:left="1020" w:hanging="360"/>
      </w:pPr>
    </w:lvl>
    <w:lvl w:ilvl="3" w:tplc="54360270">
      <w:start w:val="1"/>
      <w:numFmt w:val="decimal"/>
      <w:lvlText w:val="%4)"/>
      <w:lvlJc w:val="left"/>
      <w:pPr>
        <w:ind w:left="1020" w:hanging="360"/>
      </w:pPr>
    </w:lvl>
    <w:lvl w:ilvl="4" w:tplc="ED08FF1C">
      <w:start w:val="1"/>
      <w:numFmt w:val="decimal"/>
      <w:lvlText w:val="%5)"/>
      <w:lvlJc w:val="left"/>
      <w:pPr>
        <w:ind w:left="1020" w:hanging="360"/>
      </w:pPr>
    </w:lvl>
    <w:lvl w:ilvl="5" w:tplc="66CAAECE">
      <w:start w:val="1"/>
      <w:numFmt w:val="decimal"/>
      <w:lvlText w:val="%6)"/>
      <w:lvlJc w:val="left"/>
      <w:pPr>
        <w:ind w:left="1020" w:hanging="360"/>
      </w:pPr>
    </w:lvl>
    <w:lvl w:ilvl="6" w:tplc="94EC9A7C">
      <w:start w:val="1"/>
      <w:numFmt w:val="decimal"/>
      <w:lvlText w:val="%7)"/>
      <w:lvlJc w:val="left"/>
      <w:pPr>
        <w:ind w:left="1020" w:hanging="360"/>
      </w:pPr>
    </w:lvl>
    <w:lvl w:ilvl="7" w:tplc="350A52C6">
      <w:start w:val="1"/>
      <w:numFmt w:val="decimal"/>
      <w:lvlText w:val="%8)"/>
      <w:lvlJc w:val="left"/>
      <w:pPr>
        <w:ind w:left="1020" w:hanging="360"/>
      </w:pPr>
    </w:lvl>
    <w:lvl w:ilvl="8" w:tplc="E8E0990A">
      <w:start w:val="1"/>
      <w:numFmt w:val="decimal"/>
      <w:lvlText w:val="%9)"/>
      <w:lvlJc w:val="left"/>
      <w:pPr>
        <w:ind w:left="1020" w:hanging="360"/>
      </w:pPr>
    </w:lvl>
  </w:abstractNum>
  <w:abstractNum w:abstractNumId="17" w15:restartNumberingAfterBreak="0">
    <w:nsid w:val="63EA5BE3"/>
    <w:multiLevelType w:val="hybridMultilevel"/>
    <w:tmpl w:val="A48CFC82"/>
    <w:lvl w:ilvl="0" w:tplc="14E2A5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C69531A"/>
    <w:multiLevelType w:val="hybridMultilevel"/>
    <w:tmpl w:val="176025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EE17230"/>
    <w:multiLevelType w:val="hybridMultilevel"/>
    <w:tmpl w:val="FDDC9DB2"/>
    <w:lvl w:ilvl="0" w:tplc="04150003">
      <w:start w:val="1"/>
      <w:numFmt w:val="bullet"/>
      <w:lvlText w:val="o"/>
      <w:lvlJc w:val="left"/>
      <w:pPr>
        <w:ind w:left="720" w:hanging="360"/>
      </w:pPr>
      <w:rPr>
        <w:rFonts w:ascii="Courier New" w:hAnsi="Courier New" w:cs="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C5A6906"/>
    <w:multiLevelType w:val="hybridMultilevel"/>
    <w:tmpl w:val="AFD62DCA"/>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1" w15:restartNumberingAfterBreak="0">
    <w:nsid w:val="7FF54033"/>
    <w:multiLevelType w:val="hybridMultilevel"/>
    <w:tmpl w:val="C58E5E36"/>
    <w:lvl w:ilvl="0" w:tplc="9FC23F38">
      <w:start w:val="1"/>
      <w:numFmt w:val="lowerLetter"/>
      <w:lvlText w:val="%1)"/>
      <w:lvlJc w:val="left"/>
      <w:pPr>
        <w:ind w:left="1140" w:hanging="36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num w:numId="1" w16cid:durableId="298658871">
    <w:abstractNumId w:val="8"/>
  </w:num>
  <w:num w:numId="2" w16cid:durableId="1300573267">
    <w:abstractNumId w:val="3"/>
  </w:num>
  <w:num w:numId="3" w16cid:durableId="732386997">
    <w:abstractNumId w:val="14"/>
  </w:num>
  <w:num w:numId="4" w16cid:durableId="109206577">
    <w:abstractNumId w:val="18"/>
  </w:num>
  <w:num w:numId="5" w16cid:durableId="549807765">
    <w:abstractNumId w:val="19"/>
  </w:num>
  <w:num w:numId="6" w16cid:durableId="564948749">
    <w:abstractNumId w:val="17"/>
  </w:num>
  <w:num w:numId="7" w16cid:durableId="692465627">
    <w:abstractNumId w:val="9"/>
  </w:num>
  <w:num w:numId="8" w16cid:durableId="1761296349">
    <w:abstractNumId w:val="6"/>
  </w:num>
  <w:num w:numId="9" w16cid:durableId="296180119">
    <w:abstractNumId w:val="7"/>
  </w:num>
  <w:num w:numId="10" w16cid:durableId="1967199235">
    <w:abstractNumId w:val="0"/>
  </w:num>
  <w:num w:numId="11" w16cid:durableId="2025201843">
    <w:abstractNumId w:val="20"/>
  </w:num>
  <w:num w:numId="12" w16cid:durableId="922952032">
    <w:abstractNumId w:val="15"/>
  </w:num>
  <w:num w:numId="13" w16cid:durableId="2022004111">
    <w:abstractNumId w:val="12"/>
  </w:num>
  <w:num w:numId="14" w16cid:durableId="1559632078">
    <w:abstractNumId w:val="5"/>
  </w:num>
  <w:num w:numId="15" w16cid:durableId="1458983202">
    <w:abstractNumId w:val="10"/>
  </w:num>
  <w:num w:numId="16" w16cid:durableId="962272780">
    <w:abstractNumId w:val="11"/>
  </w:num>
  <w:num w:numId="17" w16cid:durableId="1262910229">
    <w:abstractNumId w:val="4"/>
  </w:num>
  <w:num w:numId="18" w16cid:durableId="852500501">
    <w:abstractNumId w:val="1"/>
  </w:num>
  <w:num w:numId="19" w16cid:durableId="2101754357">
    <w:abstractNumId w:val="16"/>
  </w:num>
  <w:num w:numId="20" w16cid:durableId="602570665">
    <w:abstractNumId w:val="13"/>
  </w:num>
  <w:num w:numId="21" w16cid:durableId="1661692349">
    <w:abstractNumId w:val="2"/>
  </w:num>
  <w:num w:numId="22" w16cid:durableId="1333315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DFF"/>
    <w:rsid w:val="00012734"/>
    <w:rsid w:val="00014DEF"/>
    <w:rsid w:val="00021CFA"/>
    <w:rsid w:val="00022B0D"/>
    <w:rsid w:val="0002780D"/>
    <w:rsid w:val="0004124B"/>
    <w:rsid w:val="00045A8C"/>
    <w:rsid w:val="00047A3B"/>
    <w:rsid w:val="00050AB7"/>
    <w:rsid w:val="0005157B"/>
    <w:rsid w:val="00061174"/>
    <w:rsid w:val="00061B8C"/>
    <w:rsid w:val="00061BDC"/>
    <w:rsid w:val="00080317"/>
    <w:rsid w:val="00083481"/>
    <w:rsid w:val="0009062D"/>
    <w:rsid w:val="00095AAB"/>
    <w:rsid w:val="000964CB"/>
    <w:rsid w:val="00096F0A"/>
    <w:rsid w:val="000C1108"/>
    <w:rsid w:val="000C54E1"/>
    <w:rsid w:val="000C554A"/>
    <w:rsid w:val="000D06A1"/>
    <w:rsid w:val="000D59D0"/>
    <w:rsid w:val="000D5CB0"/>
    <w:rsid w:val="000E4263"/>
    <w:rsid w:val="000E5A3A"/>
    <w:rsid w:val="000F4CE8"/>
    <w:rsid w:val="00106B1C"/>
    <w:rsid w:val="00112F62"/>
    <w:rsid w:val="00116411"/>
    <w:rsid w:val="00131E02"/>
    <w:rsid w:val="00132966"/>
    <w:rsid w:val="00133C96"/>
    <w:rsid w:val="001415B5"/>
    <w:rsid w:val="00150F0B"/>
    <w:rsid w:val="00157454"/>
    <w:rsid w:val="00160E97"/>
    <w:rsid w:val="001736D7"/>
    <w:rsid w:val="00174EC9"/>
    <w:rsid w:val="00177BEE"/>
    <w:rsid w:val="00193C4D"/>
    <w:rsid w:val="00193D94"/>
    <w:rsid w:val="001A68BE"/>
    <w:rsid w:val="001B41C2"/>
    <w:rsid w:val="001C2A6C"/>
    <w:rsid w:val="001D0291"/>
    <w:rsid w:val="001D227E"/>
    <w:rsid w:val="001D5B37"/>
    <w:rsid w:val="001F4840"/>
    <w:rsid w:val="001F612B"/>
    <w:rsid w:val="00205476"/>
    <w:rsid w:val="00212DD0"/>
    <w:rsid w:val="00213ABF"/>
    <w:rsid w:val="002270C0"/>
    <w:rsid w:val="00237896"/>
    <w:rsid w:val="0024494C"/>
    <w:rsid w:val="002519DC"/>
    <w:rsid w:val="00254E46"/>
    <w:rsid w:val="0026269B"/>
    <w:rsid w:val="002650AC"/>
    <w:rsid w:val="00292182"/>
    <w:rsid w:val="0029535F"/>
    <w:rsid w:val="00295F97"/>
    <w:rsid w:val="002A610F"/>
    <w:rsid w:val="002C4A24"/>
    <w:rsid w:val="002D16B0"/>
    <w:rsid w:val="002E3D8A"/>
    <w:rsid w:val="002E7C95"/>
    <w:rsid w:val="002F032F"/>
    <w:rsid w:val="002F2AF0"/>
    <w:rsid w:val="002F4102"/>
    <w:rsid w:val="0030198D"/>
    <w:rsid w:val="00321170"/>
    <w:rsid w:val="00322D2D"/>
    <w:rsid w:val="0032695C"/>
    <w:rsid w:val="003270E1"/>
    <w:rsid w:val="003439EC"/>
    <w:rsid w:val="0034653D"/>
    <w:rsid w:val="0034734E"/>
    <w:rsid w:val="003474A9"/>
    <w:rsid w:val="00351628"/>
    <w:rsid w:val="00357746"/>
    <w:rsid w:val="0036062E"/>
    <w:rsid w:val="0036639D"/>
    <w:rsid w:val="00370A18"/>
    <w:rsid w:val="0037107D"/>
    <w:rsid w:val="00374C72"/>
    <w:rsid w:val="00391EBE"/>
    <w:rsid w:val="003947C7"/>
    <w:rsid w:val="00397664"/>
    <w:rsid w:val="003A4AC6"/>
    <w:rsid w:val="003A51C1"/>
    <w:rsid w:val="003A732B"/>
    <w:rsid w:val="003D3532"/>
    <w:rsid w:val="003E1FD6"/>
    <w:rsid w:val="003E563A"/>
    <w:rsid w:val="003F1FBD"/>
    <w:rsid w:val="0040653E"/>
    <w:rsid w:val="00407AE7"/>
    <w:rsid w:val="00411B2A"/>
    <w:rsid w:val="00435EFF"/>
    <w:rsid w:val="00456ACD"/>
    <w:rsid w:val="00457858"/>
    <w:rsid w:val="0047292D"/>
    <w:rsid w:val="004773D9"/>
    <w:rsid w:val="00483376"/>
    <w:rsid w:val="00483A2A"/>
    <w:rsid w:val="004847E6"/>
    <w:rsid w:val="00487621"/>
    <w:rsid w:val="004A1A41"/>
    <w:rsid w:val="004A4CD3"/>
    <w:rsid w:val="004A4FDE"/>
    <w:rsid w:val="004A6FBC"/>
    <w:rsid w:val="004C5F23"/>
    <w:rsid w:val="004D1D7D"/>
    <w:rsid w:val="004D70BA"/>
    <w:rsid w:val="004D7F92"/>
    <w:rsid w:val="004E0AD4"/>
    <w:rsid w:val="004E3550"/>
    <w:rsid w:val="004E3DE1"/>
    <w:rsid w:val="004E6B6B"/>
    <w:rsid w:val="004F5F4C"/>
    <w:rsid w:val="00505554"/>
    <w:rsid w:val="00510EDF"/>
    <w:rsid w:val="00517225"/>
    <w:rsid w:val="00522F63"/>
    <w:rsid w:val="0053095C"/>
    <w:rsid w:val="005362D6"/>
    <w:rsid w:val="00541E26"/>
    <w:rsid w:val="00544833"/>
    <w:rsid w:val="00547D7A"/>
    <w:rsid w:val="005513FA"/>
    <w:rsid w:val="00554053"/>
    <w:rsid w:val="00562327"/>
    <w:rsid w:val="0057262D"/>
    <w:rsid w:val="00574E8E"/>
    <w:rsid w:val="005A1E48"/>
    <w:rsid w:val="005A778E"/>
    <w:rsid w:val="005B19EE"/>
    <w:rsid w:val="005B53B4"/>
    <w:rsid w:val="005C543C"/>
    <w:rsid w:val="005C5ADE"/>
    <w:rsid w:val="005D6042"/>
    <w:rsid w:val="005E22D7"/>
    <w:rsid w:val="005E652B"/>
    <w:rsid w:val="005F2C58"/>
    <w:rsid w:val="00600010"/>
    <w:rsid w:val="006006EE"/>
    <w:rsid w:val="006031F4"/>
    <w:rsid w:val="00603694"/>
    <w:rsid w:val="00611E90"/>
    <w:rsid w:val="006208A6"/>
    <w:rsid w:val="006228A5"/>
    <w:rsid w:val="006234B2"/>
    <w:rsid w:val="0063367A"/>
    <w:rsid w:val="00637A47"/>
    <w:rsid w:val="006418FE"/>
    <w:rsid w:val="00641C88"/>
    <w:rsid w:val="00653FF8"/>
    <w:rsid w:val="0065420E"/>
    <w:rsid w:val="0065757B"/>
    <w:rsid w:val="006577B1"/>
    <w:rsid w:val="006604A4"/>
    <w:rsid w:val="00660C17"/>
    <w:rsid w:val="006619D1"/>
    <w:rsid w:val="00670BFE"/>
    <w:rsid w:val="00671655"/>
    <w:rsid w:val="00673D8D"/>
    <w:rsid w:val="00676E14"/>
    <w:rsid w:val="0067733F"/>
    <w:rsid w:val="00690341"/>
    <w:rsid w:val="006A3196"/>
    <w:rsid w:val="006A751B"/>
    <w:rsid w:val="006B2C7D"/>
    <w:rsid w:val="006B3FF5"/>
    <w:rsid w:val="006C4B73"/>
    <w:rsid w:val="006C6B04"/>
    <w:rsid w:val="006D07A6"/>
    <w:rsid w:val="006D0C5D"/>
    <w:rsid w:val="006D28BB"/>
    <w:rsid w:val="006D666B"/>
    <w:rsid w:val="006D6E28"/>
    <w:rsid w:val="006E22FC"/>
    <w:rsid w:val="006E73BE"/>
    <w:rsid w:val="006F7492"/>
    <w:rsid w:val="007011A8"/>
    <w:rsid w:val="0071276B"/>
    <w:rsid w:val="0073209F"/>
    <w:rsid w:val="00732C21"/>
    <w:rsid w:val="00736360"/>
    <w:rsid w:val="00750DFF"/>
    <w:rsid w:val="007549F7"/>
    <w:rsid w:val="00770033"/>
    <w:rsid w:val="00774A7E"/>
    <w:rsid w:val="0077590D"/>
    <w:rsid w:val="00781CDC"/>
    <w:rsid w:val="0078346B"/>
    <w:rsid w:val="007A6FD0"/>
    <w:rsid w:val="007C6A02"/>
    <w:rsid w:val="007C7B08"/>
    <w:rsid w:val="007D19BD"/>
    <w:rsid w:val="007E4356"/>
    <w:rsid w:val="007E7378"/>
    <w:rsid w:val="00814205"/>
    <w:rsid w:val="00814B75"/>
    <w:rsid w:val="00821844"/>
    <w:rsid w:val="008219D4"/>
    <w:rsid w:val="00827470"/>
    <w:rsid w:val="00831AB2"/>
    <w:rsid w:val="0084167A"/>
    <w:rsid w:val="008425C2"/>
    <w:rsid w:val="008426B0"/>
    <w:rsid w:val="008438F6"/>
    <w:rsid w:val="00844E34"/>
    <w:rsid w:val="00847550"/>
    <w:rsid w:val="0085135A"/>
    <w:rsid w:val="008552A9"/>
    <w:rsid w:val="0085562E"/>
    <w:rsid w:val="00866FD7"/>
    <w:rsid w:val="00876A0F"/>
    <w:rsid w:val="00892893"/>
    <w:rsid w:val="00897A3E"/>
    <w:rsid w:val="008B32E7"/>
    <w:rsid w:val="008C7EF2"/>
    <w:rsid w:val="008D0AB6"/>
    <w:rsid w:val="008D1345"/>
    <w:rsid w:val="008E1A55"/>
    <w:rsid w:val="008E75AD"/>
    <w:rsid w:val="008F4EAB"/>
    <w:rsid w:val="009075ED"/>
    <w:rsid w:val="00932214"/>
    <w:rsid w:val="00932D6E"/>
    <w:rsid w:val="00935865"/>
    <w:rsid w:val="00940431"/>
    <w:rsid w:val="0094341D"/>
    <w:rsid w:val="00963306"/>
    <w:rsid w:val="00972AB6"/>
    <w:rsid w:val="00975FAA"/>
    <w:rsid w:val="009777A7"/>
    <w:rsid w:val="009808AD"/>
    <w:rsid w:val="00982E65"/>
    <w:rsid w:val="00994E47"/>
    <w:rsid w:val="009A2462"/>
    <w:rsid w:val="009B73EB"/>
    <w:rsid w:val="009E5944"/>
    <w:rsid w:val="009F07AA"/>
    <w:rsid w:val="009F07FD"/>
    <w:rsid w:val="009F0A7F"/>
    <w:rsid w:val="009F0C89"/>
    <w:rsid w:val="009F19F5"/>
    <w:rsid w:val="00A026DB"/>
    <w:rsid w:val="00A03BA6"/>
    <w:rsid w:val="00A03EB2"/>
    <w:rsid w:val="00A0469D"/>
    <w:rsid w:val="00A05D3D"/>
    <w:rsid w:val="00A27A2C"/>
    <w:rsid w:val="00A333D3"/>
    <w:rsid w:val="00A35EC9"/>
    <w:rsid w:val="00A42870"/>
    <w:rsid w:val="00A44573"/>
    <w:rsid w:val="00A45C52"/>
    <w:rsid w:val="00A4712F"/>
    <w:rsid w:val="00A64B82"/>
    <w:rsid w:val="00A709A8"/>
    <w:rsid w:val="00A8294A"/>
    <w:rsid w:val="00A86FAD"/>
    <w:rsid w:val="00A95AD7"/>
    <w:rsid w:val="00AA34B8"/>
    <w:rsid w:val="00AA5B5D"/>
    <w:rsid w:val="00AB56F5"/>
    <w:rsid w:val="00AC34EC"/>
    <w:rsid w:val="00AD5C73"/>
    <w:rsid w:val="00AE6FCE"/>
    <w:rsid w:val="00B014BE"/>
    <w:rsid w:val="00B0504C"/>
    <w:rsid w:val="00B063EF"/>
    <w:rsid w:val="00B13013"/>
    <w:rsid w:val="00B16E7A"/>
    <w:rsid w:val="00B21CBD"/>
    <w:rsid w:val="00B451F1"/>
    <w:rsid w:val="00B47B58"/>
    <w:rsid w:val="00B72D6C"/>
    <w:rsid w:val="00B76974"/>
    <w:rsid w:val="00B802D9"/>
    <w:rsid w:val="00B80B5A"/>
    <w:rsid w:val="00B82662"/>
    <w:rsid w:val="00B83FEC"/>
    <w:rsid w:val="00B95278"/>
    <w:rsid w:val="00BA0375"/>
    <w:rsid w:val="00BA16CB"/>
    <w:rsid w:val="00BA3A6D"/>
    <w:rsid w:val="00BA59BA"/>
    <w:rsid w:val="00BA669C"/>
    <w:rsid w:val="00BC06B1"/>
    <w:rsid w:val="00BC5E9B"/>
    <w:rsid w:val="00BD6896"/>
    <w:rsid w:val="00BE1BDC"/>
    <w:rsid w:val="00BE256A"/>
    <w:rsid w:val="00BF49D6"/>
    <w:rsid w:val="00C007CA"/>
    <w:rsid w:val="00C014EE"/>
    <w:rsid w:val="00C1777A"/>
    <w:rsid w:val="00C20E6F"/>
    <w:rsid w:val="00C20F7B"/>
    <w:rsid w:val="00C25D26"/>
    <w:rsid w:val="00C30613"/>
    <w:rsid w:val="00C348DA"/>
    <w:rsid w:val="00C37D06"/>
    <w:rsid w:val="00C4037A"/>
    <w:rsid w:val="00C52A12"/>
    <w:rsid w:val="00C55881"/>
    <w:rsid w:val="00C640D6"/>
    <w:rsid w:val="00C66CCC"/>
    <w:rsid w:val="00C72F66"/>
    <w:rsid w:val="00C758EE"/>
    <w:rsid w:val="00C94727"/>
    <w:rsid w:val="00CA1310"/>
    <w:rsid w:val="00CC3099"/>
    <w:rsid w:val="00CC3FEE"/>
    <w:rsid w:val="00CD0813"/>
    <w:rsid w:val="00CF05C7"/>
    <w:rsid w:val="00CF35C2"/>
    <w:rsid w:val="00CF3C82"/>
    <w:rsid w:val="00D06C79"/>
    <w:rsid w:val="00D16758"/>
    <w:rsid w:val="00D16E4B"/>
    <w:rsid w:val="00D2049A"/>
    <w:rsid w:val="00D26262"/>
    <w:rsid w:val="00D26C9E"/>
    <w:rsid w:val="00D438C3"/>
    <w:rsid w:val="00D51D49"/>
    <w:rsid w:val="00D76680"/>
    <w:rsid w:val="00D82D53"/>
    <w:rsid w:val="00D8537D"/>
    <w:rsid w:val="00D97C5D"/>
    <w:rsid w:val="00DD1F04"/>
    <w:rsid w:val="00DE28BB"/>
    <w:rsid w:val="00DE2E92"/>
    <w:rsid w:val="00DF2C88"/>
    <w:rsid w:val="00E005E3"/>
    <w:rsid w:val="00E0216D"/>
    <w:rsid w:val="00E10949"/>
    <w:rsid w:val="00E1605B"/>
    <w:rsid w:val="00E22D39"/>
    <w:rsid w:val="00E2467E"/>
    <w:rsid w:val="00E2563A"/>
    <w:rsid w:val="00E3084B"/>
    <w:rsid w:val="00E37F97"/>
    <w:rsid w:val="00E55AA3"/>
    <w:rsid w:val="00E57DA3"/>
    <w:rsid w:val="00E6289E"/>
    <w:rsid w:val="00E70574"/>
    <w:rsid w:val="00E74E17"/>
    <w:rsid w:val="00E83661"/>
    <w:rsid w:val="00E93860"/>
    <w:rsid w:val="00E96733"/>
    <w:rsid w:val="00EB701E"/>
    <w:rsid w:val="00EB778B"/>
    <w:rsid w:val="00EB79FD"/>
    <w:rsid w:val="00EC1E81"/>
    <w:rsid w:val="00EC3EE7"/>
    <w:rsid w:val="00ED10F7"/>
    <w:rsid w:val="00ED26AA"/>
    <w:rsid w:val="00ED394F"/>
    <w:rsid w:val="00ED7D33"/>
    <w:rsid w:val="00EE5206"/>
    <w:rsid w:val="00EE6936"/>
    <w:rsid w:val="00EF0FC1"/>
    <w:rsid w:val="00F16C06"/>
    <w:rsid w:val="00F20BF5"/>
    <w:rsid w:val="00F2521A"/>
    <w:rsid w:val="00F26F10"/>
    <w:rsid w:val="00F27DFC"/>
    <w:rsid w:val="00F33008"/>
    <w:rsid w:val="00F33754"/>
    <w:rsid w:val="00F5382A"/>
    <w:rsid w:val="00F6282A"/>
    <w:rsid w:val="00F62BDA"/>
    <w:rsid w:val="00F63D7E"/>
    <w:rsid w:val="00F709B7"/>
    <w:rsid w:val="00F76FCF"/>
    <w:rsid w:val="00F7722B"/>
    <w:rsid w:val="00F809DC"/>
    <w:rsid w:val="00F954AF"/>
    <w:rsid w:val="00FB1A67"/>
    <w:rsid w:val="00FB2570"/>
    <w:rsid w:val="00FB3A44"/>
    <w:rsid w:val="00FB3CBB"/>
    <w:rsid w:val="00FB4E68"/>
    <w:rsid w:val="00FB6207"/>
    <w:rsid w:val="00FB7B25"/>
    <w:rsid w:val="00FD3874"/>
    <w:rsid w:val="00FD6300"/>
    <w:rsid w:val="00FE2B45"/>
    <w:rsid w:val="00FE59CC"/>
    <w:rsid w:val="00FF4F12"/>
    <w:rsid w:val="00FF50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30DB94"/>
  <w15:chartTrackingRefBased/>
  <w15:docId w15:val="{488E8AD1-6003-46DF-A724-E4A4C915E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B4E68"/>
    <w:pPr>
      <w:widowControl w:val="0"/>
      <w:autoSpaceDE w:val="0"/>
      <w:autoSpaceDN w:val="0"/>
      <w:adjustRightInd w:val="0"/>
      <w:spacing w:after="0" w:line="360" w:lineRule="auto"/>
    </w:pPr>
    <w:rPr>
      <w:rFonts w:ascii="Times New Roman" w:eastAsiaTheme="minorEastAsia" w:hAnsi="Times New Roman" w:cs="Arial"/>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E3550"/>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E3550"/>
    <w:rPr>
      <w:rFonts w:ascii="Segoe UI" w:hAnsi="Segoe UI" w:cs="Segoe UI"/>
      <w:sz w:val="18"/>
      <w:szCs w:val="18"/>
    </w:rPr>
  </w:style>
  <w:style w:type="paragraph" w:customStyle="1" w:styleId="ARTartustawynprozporzdzenia">
    <w:name w:val="ART(§) – art. ustawy (§ np. rozporządzenia)"/>
    <w:uiPriority w:val="14"/>
    <w:qFormat/>
    <w:rsid w:val="004E3550"/>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4E3550"/>
    <w:rPr>
      <w:bCs/>
    </w:rPr>
  </w:style>
  <w:style w:type="paragraph" w:customStyle="1" w:styleId="OZNRODZAKTUtznustawalubrozporzdzenieiorganwydajcy">
    <w:name w:val="OZN_RODZ_AKTU – tzn. ustawa lub rozporządzenie i organ wydający"/>
    <w:next w:val="Normalny"/>
    <w:uiPriority w:val="5"/>
    <w:qFormat/>
    <w:rsid w:val="004E3550"/>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character" w:styleId="Odwoaniedokomentarza">
    <w:name w:val="annotation reference"/>
    <w:basedOn w:val="Domylnaczcionkaakapitu"/>
    <w:semiHidden/>
    <w:rsid w:val="004E3550"/>
    <w:rPr>
      <w:sz w:val="16"/>
      <w:szCs w:val="16"/>
    </w:rPr>
  </w:style>
  <w:style w:type="paragraph" w:styleId="Tekstkomentarza">
    <w:name w:val="annotation text"/>
    <w:basedOn w:val="Normalny"/>
    <w:link w:val="TekstkomentarzaZnak"/>
    <w:uiPriority w:val="99"/>
    <w:semiHidden/>
    <w:rsid w:val="004E3550"/>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E3550"/>
    <w:rPr>
      <w:rFonts w:ascii="Times" w:eastAsia="Times New Roman" w:hAnsi="Times" w:cs="Times New Roman"/>
      <w:sz w:val="24"/>
      <w:szCs w:val="24"/>
      <w:lang w:eastAsia="pl-PL"/>
    </w:rPr>
  </w:style>
  <w:style w:type="paragraph" w:styleId="Akapitzlist">
    <w:name w:val="List Paragraph"/>
    <w:basedOn w:val="Normalny"/>
    <w:uiPriority w:val="34"/>
    <w:qFormat/>
    <w:rsid w:val="009075ED"/>
    <w:pPr>
      <w:ind w:left="720"/>
      <w:contextualSpacing/>
    </w:pPr>
  </w:style>
  <w:style w:type="paragraph" w:styleId="Tematkomentarza">
    <w:name w:val="annotation subject"/>
    <w:basedOn w:val="Tekstkomentarza"/>
    <w:next w:val="Tekstkomentarza"/>
    <w:link w:val="TematkomentarzaZnak"/>
    <w:uiPriority w:val="99"/>
    <w:semiHidden/>
    <w:unhideWhenUsed/>
    <w:rsid w:val="009075ED"/>
    <w:pPr>
      <w:spacing w:line="240" w:lineRule="auto"/>
    </w:pPr>
    <w:rPr>
      <w:rFonts w:ascii="Times New Roman" w:eastAsiaTheme="minorEastAsia" w:hAnsi="Times New Roman" w:cs="Arial"/>
      <w:b/>
      <w:bCs/>
      <w:sz w:val="20"/>
      <w:szCs w:val="20"/>
    </w:rPr>
  </w:style>
  <w:style w:type="character" w:customStyle="1" w:styleId="TematkomentarzaZnak">
    <w:name w:val="Temat komentarza Znak"/>
    <w:basedOn w:val="TekstkomentarzaZnak"/>
    <w:link w:val="Tematkomentarza"/>
    <w:uiPriority w:val="99"/>
    <w:semiHidden/>
    <w:rsid w:val="009075ED"/>
    <w:rPr>
      <w:rFonts w:ascii="Times New Roman" w:eastAsiaTheme="minorEastAsia" w:hAnsi="Times New Roman" w:cs="Arial"/>
      <w:b/>
      <w:bCs/>
      <w:sz w:val="20"/>
      <w:szCs w:val="20"/>
      <w:lang w:eastAsia="pl-PL"/>
    </w:rPr>
  </w:style>
  <w:style w:type="character" w:customStyle="1" w:styleId="articletitle">
    <w:name w:val="articletitle"/>
    <w:basedOn w:val="Domylnaczcionkaakapitu"/>
    <w:rsid w:val="009075ED"/>
  </w:style>
  <w:style w:type="character" w:customStyle="1" w:styleId="highlight">
    <w:name w:val="highlight"/>
    <w:basedOn w:val="Domylnaczcionkaakapitu"/>
    <w:rsid w:val="00932214"/>
  </w:style>
  <w:style w:type="character" w:styleId="Hipercze">
    <w:name w:val="Hyperlink"/>
    <w:uiPriority w:val="99"/>
    <w:unhideWhenUsed/>
    <w:rsid w:val="003E563A"/>
    <w:rPr>
      <w:color w:val="0000FF"/>
      <w:u w:val="single"/>
    </w:rPr>
  </w:style>
  <w:style w:type="paragraph" w:styleId="NormalnyWeb">
    <w:name w:val="Normal (Web)"/>
    <w:basedOn w:val="Normalny"/>
    <w:uiPriority w:val="99"/>
    <w:semiHidden/>
    <w:unhideWhenUsed/>
    <w:rsid w:val="00EB778B"/>
    <w:pPr>
      <w:widowControl/>
      <w:autoSpaceDE/>
      <w:autoSpaceDN/>
      <w:adjustRightInd/>
      <w:spacing w:before="100" w:beforeAutospacing="1" w:after="100" w:afterAutospacing="1" w:line="240" w:lineRule="auto"/>
    </w:pPr>
    <w:rPr>
      <w:rFonts w:eastAsia="Times New Roman" w:cs="Times New Roman"/>
      <w:szCs w:val="24"/>
    </w:rPr>
  </w:style>
  <w:style w:type="character" w:styleId="Uwydatnienie">
    <w:name w:val="Emphasis"/>
    <w:basedOn w:val="Domylnaczcionkaakapitu"/>
    <w:uiPriority w:val="20"/>
    <w:qFormat/>
    <w:rsid w:val="00EB778B"/>
    <w:rPr>
      <w:i/>
      <w:iCs/>
    </w:rPr>
  </w:style>
  <w:style w:type="character" w:styleId="Pogrubienie">
    <w:name w:val="Strong"/>
    <w:basedOn w:val="Domylnaczcionkaakapitu"/>
    <w:uiPriority w:val="22"/>
    <w:qFormat/>
    <w:rsid w:val="00EB778B"/>
    <w:rPr>
      <w:b/>
      <w:bCs/>
    </w:rPr>
  </w:style>
  <w:style w:type="character" w:styleId="Nierozpoznanawzmianka">
    <w:name w:val="Unresolved Mention"/>
    <w:basedOn w:val="Domylnaczcionkaakapitu"/>
    <w:uiPriority w:val="99"/>
    <w:semiHidden/>
    <w:unhideWhenUsed/>
    <w:rsid w:val="005F2C58"/>
    <w:rPr>
      <w:color w:val="605E5C"/>
      <w:shd w:val="clear" w:color="auto" w:fill="E1DFDD"/>
    </w:rPr>
  </w:style>
  <w:style w:type="paragraph" w:styleId="Tekstprzypisudolnego">
    <w:name w:val="footnote text"/>
    <w:basedOn w:val="Normalny"/>
    <w:link w:val="TekstprzypisudolnegoZnak"/>
    <w:uiPriority w:val="99"/>
    <w:semiHidden/>
    <w:unhideWhenUsed/>
    <w:rsid w:val="00EB701E"/>
    <w:pPr>
      <w:spacing w:line="240" w:lineRule="auto"/>
    </w:pPr>
    <w:rPr>
      <w:sz w:val="20"/>
    </w:rPr>
  </w:style>
  <w:style w:type="character" w:customStyle="1" w:styleId="TekstprzypisudolnegoZnak">
    <w:name w:val="Tekst przypisu dolnego Znak"/>
    <w:basedOn w:val="Domylnaczcionkaakapitu"/>
    <w:link w:val="Tekstprzypisudolnego"/>
    <w:uiPriority w:val="99"/>
    <w:semiHidden/>
    <w:rsid w:val="00EB701E"/>
    <w:rPr>
      <w:rFonts w:ascii="Times New Roman" w:eastAsiaTheme="minorEastAsia" w:hAnsi="Times New Roman" w:cs="Arial"/>
      <w:sz w:val="20"/>
      <w:szCs w:val="20"/>
      <w:lang w:eastAsia="pl-PL"/>
    </w:rPr>
  </w:style>
  <w:style w:type="character" w:styleId="Odwoanieprzypisudolnego">
    <w:name w:val="footnote reference"/>
    <w:basedOn w:val="Domylnaczcionkaakapitu"/>
    <w:uiPriority w:val="99"/>
    <w:semiHidden/>
    <w:unhideWhenUsed/>
    <w:rsid w:val="00EB701E"/>
    <w:rPr>
      <w:vertAlign w:val="superscript"/>
    </w:rPr>
  </w:style>
  <w:style w:type="paragraph" w:styleId="Nagwek">
    <w:name w:val="header"/>
    <w:basedOn w:val="Normalny"/>
    <w:link w:val="NagwekZnak"/>
    <w:uiPriority w:val="99"/>
    <w:unhideWhenUsed/>
    <w:rsid w:val="00E10949"/>
    <w:pPr>
      <w:tabs>
        <w:tab w:val="center" w:pos="4536"/>
        <w:tab w:val="right" w:pos="9072"/>
      </w:tabs>
      <w:spacing w:line="240" w:lineRule="auto"/>
    </w:pPr>
  </w:style>
  <w:style w:type="character" w:customStyle="1" w:styleId="NagwekZnak">
    <w:name w:val="Nagłówek Znak"/>
    <w:basedOn w:val="Domylnaczcionkaakapitu"/>
    <w:link w:val="Nagwek"/>
    <w:uiPriority w:val="99"/>
    <w:rsid w:val="00E10949"/>
    <w:rPr>
      <w:rFonts w:ascii="Times New Roman" w:eastAsiaTheme="minorEastAsia" w:hAnsi="Times New Roman" w:cs="Arial"/>
      <w:sz w:val="24"/>
      <w:szCs w:val="20"/>
      <w:lang w:eastAsia="pl-PL"/>
    </w:rPr>
  </w:style>
  <w:style w:type="paragraph" w:styleId="Stopka">
    <w:name w:val="footer"/>
    <w:basedOn w:val="Normalny"/>
    <w:link w:val="StopkaZnak"/>
    <w:uiPriority w:val="99"/>
    <w:unhideWhenUsed/>
    <w:rsid w:val="00E10949"/>
    <w:pPr>
      <w:tabs>
        <w:tab w:val="center" w:pos="4536"/>
        <w:tab w:val="right" w:pos="9072"/>
      </w:tabs>
      <w:spacing w:line="240" w:lineRule="auto"/>
    </w:pPr>
  </w:style>
  <w:style w:type="character" w:customStyle="1" w:styleId="StopkaZnak">
    <w:name w:val="Stopka Znak"/>
    <w:basedOn w:val="Domylnaczcionkaakapitu"/>
    <w:link w:val="Stopka"/>
    <w:uiPriority w:val="99"/>
    <w:rsid w:val="00E10949"/>
    <w:rPr>
      <w:rFonts w:ascii="Times New Roman" w:eastAsiaTheme="minorEastAsia" w:hAnsi="Times New Roman" w:cs="Arial"/>
      <w:sz w:val="24"/>
      <w:szCs w:val="20"/>
      <w:lang w:eastAsia="pl-PL"/>
    </w:rPr>
  </w:style>
  <w:style w:type="paragraph" w:styleId="Poprawka">
    <w:name w:val="Revision"/>
    <w:hidden/>
    <w:uiPriority w:val="99"/>
    <w:semiHidden/>
    <w:rsid w:val="0030198D"/>
    <w:pPr>
      <w:spacing w:after="0" w:line="240" w:lineRule="auto"/>
    </w:pPr>
    <w:rPr>
      <w:rFonts w:ascii="Times New Roman" w:eastAsiaTheme="minorEastAsia" w:hAnsi="Times New Roman" w:cs="Arial"/>
      <w:sz w:val="24"/>
      <w:szCs w:val="20"/>
      <w:lang w:eastAsia="pl-PL"/>
    </w:rPr>
  </w:style>
  <w:style w:type="paragraph" w:styleId="Tekstprzypisukocowego">
    <w:name w:val="endnote text"/>
    <w:basedOn w:val="Normalny"/>
    <w:link w:val="TekstprzypisukocowegoZnak"/>
    <w:uiPriority w:val="99"/>
    <w:semiHidden/>
    <w:unhideWhenUsed/>
    <w:rsid w:val="002650AC"/>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2650AC"/>
    <w:rPr>
      <w:rFonts w:ascii="Times New Roman" w:eastAsiaTheme="minorEastAsia" w:hAnsi="Times New Roman" w:cs="Arial"/>
      <w:sz w:val="20"/>
      <w:szCs w:val="20"/>
      <w:lang w:eastAsia="pl-PL"/>
    </w:rPr>
  </w:style>
  <w:style w:type="character" w:styleId="Odwoanieprzypisukocowego">
    <w:name w:val="endnote reference"/>
    <w:basedOn w:val="Domylnaczcionkaakapitu"/>
    <w:uiPriority w:val="99"/>
    <w:semiHidden/>
    <w:unhideWhenUsed/>
    <w:rsid w:val="002650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5006">
      <w:bodyDiv w:val="1"/>
      <w:marLeft w:val="0"/>
      <w:marRight w:val="0"/>
      <w:marTop w:val="0"/>
      <w:marBottom w:val="0"/>
      <w:divBdr>
        <w:top w:val="none" w:sz="0" w:space="0" w:color="auto"/>
        <w:left w:val="none" w:sz="0" w:space="0" w:color="auto"/>
        <w:bottom w:val="none" w:sz="0" w:space="0" w:color="auto"/>
        <w:right w:val="none" w:sz="0" w:space="0" w:color="auto"/>
      </w:divBdr>
    </w:div>
    <w:div w:id="35277404">
      <w:bodyDiv w:val="1"/>
      <w:marLeft w:val="0"/>
      <w:marRight w:val="0"/>
      <w:marTop w:val="0"/>
      <w:marBottom w:val="0"/>
      <w:divBdr>
        <w:top w:val="none" w:sz="0" w:space="0" w:color="auto"/>
        <w:left w:val="none" w:sz="0" w:space="0" w:color="auto"/>
        <w:bottom w:val="none" w:sz="0" w:space="0" w:color="auto"/>
        <w:right w:val="none" w:sz="0" w:space="0" w:color="auto"/>
      </w:divBdr>
    </w:div>
    <w:div w:id="274026631">
      <w:bodyDiv w:val="1"/>
      <w:marLeft w:val="0"/>
      <w:marRight w:val="0"/>
      <w:marTop w:val="0"/>
      <w:marBottom w:val="0"/>
      <w:divBdr>
        <w:top w:val="none" w:sz="0" w:space="0" w:color="auto"/>
        <w:left w:val="none" w:sz="0" w:space="0" w:color="auto"/>
        <w:bottom w:val="none" w:sz="0" w:space="0" w:color="auto"/>
        <w:right w:val="none" w:sz="0" w:space="0" w:color="auto"/>
      </w:divBdr>
    </w:div>
    <w:div w:id="406344578">
      <w:bodyDiv w:val="1"/>
      <w:marLeft w:val="0"/>
      <w:marRight w:val="0"/>
      <w:marTop w:val="0"/>
      <w:marBottom w:val="0"/>
      <w:divBdr>
        <w:top w:val="none" w:sz="0" w:space="0" w:color="auto"/>
        <w:left w:val="none" w:sz="0" w:space="0" w:color="auto"/>
        <w:bottom w:val="none" w:sz="0" w:space="0" w:color="auto"/>
        <w:right w:val="none" w:sz="0" w:space="0" w:color="auto"/>
      </w:divBdr>
      <w:divsChild>
        <w:div w:id="1765880229">
          <w:marLeft w:val="0"/>
          <w:marRight w:val="0"/>
          <w:marTop w:val="0"/>
          <w:marBottom w:val="0"/>
          <w:divBdr>
            <w:top w:val="none" w:sz="0" w:space="0" w:color="auto"/>
            <w:left w:val="none" w:sz="0" w:space="0" w:color="auto"/>
            <w:bottom w:val="none" w:sz="0" w:space="0" w:color="auto"/>
            <w:right w:val="none" w:sz="0" w:space="0" w:color="auto"/>
          </w:divBdr>
        </w:div>
      </w:divsChild>
    </w:div>
    <w:div w:id="547956533">
      <w:bodyDiv w:val="1"/>
      <w:marLeft w:val="0"/>
      <w:marRight w:val="0"/>
      <w:marTop w:val="0"/>
      <w:marBottom w:val="0"/>
      <w:divBdr>
        <w:top w:val="none" w:sz="0" w:space="0" w:color="auto"/>
        <w:left w:val="none" w:sz="0" w:space="0" w:color="auto"/>
        <w:bottom w:val="none" w:sz="0" w:space="0" w:color="auto"/>
        <w:right w:val="none" w:sz="0" w:space="0" w:color="auto"/>
      </w:divBdr>
    </w:div>
    <w:div w:id="664356482">
      <w:bodyDiv w:val="1"/>
      <w:marLeft w:val="0"/>
      <w:marRight w:val="0"/>
      <w:marTop w:val="0"/>
      <w:marBottom w:val="0"/>
      <w:divBdr>
        <w:top w:val="none" w:sz="0" w:space="0" w:color="auto"/>
        <w:left w:val="none" w:sz="0" w:space="0" w:color="auto"/>
        <w:bottom w:val="none" w:sz="0" w:space="0" w:color="auto"/>
        <w:right w:val="none" w:sz="0" w:space="0" w:color="auto"/>
      </w:divBdr>
      <w:divsChild>
        <w:div w:id="101075635">
          <w:marLeft w:val="0"/>
          <w:marRight w:val="0"/>
          <w:marTop w:val="0"/>
          <w:marBottom w:val="0"/>
          <w:divBdr>
            <w:top w:val="none" w:sz="0" w:space="0" w:color="auto"/>
            <w:left w:val="none" w:sz="0" w:space="0" w:color="auto"/>
            <w:bottom w:val="none" w:sz="0" w:space="0" w:color="auto"/>
            <w:right w:val="none" w:sz="0" w:space="0" w:color="auto"/>
          </w:divBdr>
          <w:divsChild>
            <w:div w:id="49499975">
              <w:marLeft w:val="0"/>
              <w:marRight w:val="0"/>
              <w:marTop w:val="0"/>
              <w:marBottom w:val="0"/>
              <w:divBdr>
                <w:top w:val="none" w:sz="0" w:space="0" w:color="auto"/>
                <w:left w:val="none" w:sz="0" w:space="0" w:color="auto"/>
                <w:bottom w:val="none" w:sz="0" w:space="0" w:color="auto"/>
                <w:right w:val="none" w:sz="0" w:space="0" w:color="auto"/>
              </w:divBdr>
            </w:div>
          </w:divsChild>
        </w:div>
        <w:div w:id="120652064">
          <w:marLeft w:val="0"/>
          <w:marRight w:val="0"/>
          <w:marTop w:val="0"/>
          <w:marBottom w:val="0"/>
          <w:divBdr>
            <w:top w:val="none" w:sz="0" w:space="0" w:color="auto"/>
            <w:left w:val="none" w:sz="0" w:space="0" w:color="auto"/>
            <w:bottom w:val="none" w:sz="0" w:space="0" w:color="auto"/>
            <w:right w:val="none" w:sz="0" w:space="0" w:color="auto"/>
          </w:divBdr>
          <w:divsChild>
            <w:div w:id="24135195">
              <w:marLeft w:val="0"/>
              <w:marRight w:val="0"/>
              <w:marTop w:val="0"/>
              <w:marBottom w:val="0"/>
              <w:divBdr>
                <w:top w:val="none" w:sz="0" w:space="0" w:color="auto"/>
                <w:left w:val="none" w:sz="0" w:space="0" w:color="auto"/>
                <w:bottom w:val="none" w:sz="0" w:space="0" w:color="auto"/>
                <w:right w:val="none" w:sz="0" w:space="0" w:color="auto"/>
              </w:divBdr>
            </w:div>
          </w:divsChild>
        </w:div>
        <w:div w:id="835220038">
          <w:marLeft w:val="0"/>
          <w:marRight w:val="0"/>
          <w:marTop w:val="0"/>
          <w:marBottom w:val="0"/>
          <w:divBdr>
            <w:top w:val="none" w:sz="0" w:space="0" w:color="auto"/>
            <w:left w:val="none" w:sz="0" w:space="0" w:color="auto"/>
            <w:bottom w:val="none" w:sz="0" w:space="0" w:color="auto"/>
            <w:right w:val="none" w:sz="0" w:space="0" w:color="auto"/>
          </w:divBdr>
          <w:divsChild>
            <w:div w:id="1394231396">
              <w:marLeft w:val="0"/>
              <w:marRight w:val="0"/>
              <w:marTop w:val="0"/>
              <w:marBottom w:val="0"/>
              <w:divBdr>
                <w:top w:val="none" w:sz="0" w:space="0" w:color="auto"/>
                <w:left w:val="none" w:sz="0" w:space="0" w:color="auto"/>
                <w:bottom w:val="none" w:sz="0" w:space="0" w:color="auto"/>
                <w:right w:val="none" w:sz="0" w:space="0" w:color="auto"/>
              </w:divBdr>
            </w:div>
          </w:divsChild>
        </w:div>
        <w:div w:id="836118267">
          <w:marLeft w:val="0"/>
          <w:marRight w:val="0"/>
          <w:marTop w:val="0"/>
          <w:marBottom w:val="0"/>
          <w:divBdr>
            <w:top w:val="none" w:sz="0" w:space="0" w:color="auto"/>
            <w:left w:val="none" w:sz="0" w:space="0" w:color="auto"/>
            <w:bottom w:val="none" w:sz="0" w:space="0" w:color="auto"/>
            <w:right w:val="none" w:sz="0" w:space="0" w:color="auto"/>
          </w:divBdr>
          <w:divsChild>
            <w:div w:id="176576139">
              <w:marLeft w:val="0"/>
              <w:marRight w:val="0"/>
              <w:marTop w:val="0"/>
              <w:marBottom w:val="0"/>
              <w:divBdr>
                <w:top w:val="none" w:sz="0" w:space="0" w:color="auto"/>
                <w:left w:val="none" w:sz="0" w:space="0" w:color="auto"/>
                <w:bottom w:val="none" w:sz="0" w:space="0" w:color="auto"/>
                <w:right w:val="none" w:sz="0" w:space="0" w:color="auto"/>
              </w:divBdr>
              <w:divsChild>
                <w:div w:id="685257562">
                  <w:marLeft w:val="0"/>
                  <w:marRight w:val="0"/>
                  <w:marTop w:val="0"/>
                  <w:marBottom w:val="0"/>
                  <w:divBdr>
                    <w:top w:val="none" w:sz="0" w:space="0" w:color="auto"/>
                    <w:left w:val="none" w:sz="0" w:space="0" w:color="auto"/>
                    <w:bottom w:val="none" w:sz="0" w:space="0" w:color="auto"/>
                    <w:right w:val="none" w:sz="0" w:space="0" w:color="auto"/>
                  </w:divBdr>
                  <w:divsChild>
                    <w:div w:id="81279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029454">
              <w:marLeft w:val="0"/>
              <w:marRight w:val="0"/>
              <w:marTop w:val="0"/>
              <w:marBottom w:val="0"/>
              <w:divBdr>
                <w:top w:val="none" w:sz="0" w:space="0" w:color="auto"/>
                <w:left w:val="none" w:sz="0" w:space="0" w:color="auto"/>
                <w:bottom w:val="none" w:sz="0" w:space="0" w:color="auto"/>
                <w:right w:val="none" w:sz="0" w:space="0" w:color="auto"/>
              </w:divBdr>
              <w:divsChild>
                <w:div w:id="509878732">
                  <w:marLeft w:val="0"/>
                  <w:marRight w:val="0"/>
                  <w:marTop w:val="0"/>
                  <w:marBottom w:val="0"/>
                  <w:divBdr>
                    <w:top w:val="none" w:sz="0" w:space="0" w:color="auto"/>
                    <w:left w:val="none" w:sz="0" w:space="0" w:color="auto"/>
                    <w:bottom w:val="none" w:sz="0" w:space="0" w:color="auto"/>
                    <w:right w:val="none" w:sz="0" w:space="0" w:color="auto"/>
                  </w:divBdr>
                  <w:divsChild>
                    <w:div w:id="1947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61403">
              <w:marLeft w:val="0"/>
              <w:marRight w:val="0"/>
              <w:marTop w:val="0"/>
              <w:marBottom w:val="0"/>
              <w:divBdr>
                <w:top w:val="none" w:sz="0" w:space="0" w:color="auto"/>
                <w:left w:val="none" w:sz="0" w:space="0" w:color="auto"/>
                <w:bottom w:val="none" w:sz="0" w:space="0" w:color="auto"/>
                <w:right w:val="none" w:sz="0" w:space="0" w:color="auto"/>
              </w:divBdr>
            </w:div>
            <w:div w:id="1742095089">
              <w:marLeft w:val="0"/>
              <w:marRight w:val="0"/>
              <w:marTop w:val="0"/>
              <w:marBottom w:val="0"/>
              <w:divBdr>
                <w:top w:val="none" w:sz="0" w:space="0" w:color="auto"/>
                <w:left w:val="none" w:sz="0" w:space="0" w:color="auto"/>
                <w:bottom w:val="none" w:sz="0" w:space="0" w:color="auto"/>
                <w:right w:val="none" w:sz="0" w:space="0" w:color="auto"/>
              </w:divBdr>
              <w:divsChild>
                <w:div w:id="476727307">
                  <w:marLeft w:val="0"/>
                  <w:marRight w:val="0"/>
                  <w:marTop w:val="0"/>
                  <w:marBottom w:val="0"/>
                  <w:divBdr>
                    <w:top w:val="none" w:sz="0" w:space="0" w:color="auto"/>
                    <w:left w:val="none" w:sz="0" w:space="0" w:color="auto"/>
                    <w:bottom w:val="none" w:sz="0" w:space="0" w:color="auto"/>
                    <w:right w:val="none" w:sz="0" w:space="0" w:color="auto"/>
                  </w:divBdr>
                  <w:divsChild>
                    <w:div w:id="833112567">
                      <w:marLeft w:val="0"/>
                      <w:marRight w:val="0"/>
                      <w:marTop w:val="0"/>
                      <w:marBottom w:val="0"/>
                      <w:divBdr>
                        <w:top w:val="none" w:sz="0" w:space="0" w:color="auto"/>
                        <w:left w:val="none" w:sz="0" w:space="0" w:color="auto"/>
                        <w:bottom w:val="none" w:sz="0" w:space="0" w:color="auto"/>
                        <w:right w:val="none" w:sz="0" w:space="0" w:color="auto"/>
                      </w:divBdr>
                      <w:divsChild>
                        <w:div w:id="1250962943">
                          <w:marLeft w:val="0"/>
                          <w:marRight w:val="0"/>
                          <w:marTop w:val="0"/>
                          <w:marBottom w:val="0"/>
                          <w:divBdr>
                            <w:top w:val="none" w:sz="0" w:space="0" w:color="auto"/>
                            <w:left w:val="none" w:sz="0" w:space="0" w:color="auto"/>
                            <w:bottom w:val="none" w:sz="0" w:space="0" w:color="auto"/>
                            <w:right w:val="none" w:sz="0" w:space="0" w:color="auto"/>
                          </w:divBdr>
                        </w:div>
                      </w:divsChild>
                    </w:div>
                    <w:div w:id="1014959899">
                      <w:marLeft w:val="0"/>
                      <w:marRight w:val="0"/>
                      <w:marTop w:val="0"/>
                      <w:marBottom w:val="0"/>
                      <w:divBdr>
                        <w:top w:val="none" w:sz="0" w:space="0" w:color="auto"/>
                        <w:left w:val="none" w:sz="0" w:space="0" w:color="auto"/>
                        <w:bottom w:val="none" w:sz="0" w:space="0" w:color="auto"/>
                        <w:right w:val="none" w:sz="0" w:space="0" w:color="auto"/>
                      </w:divBdr>
                    </w:div>
                    <w:div w:id="1880241137">
                      <w:marLeft w:val="0"/>
                      <w:marRight w:val="0"/>
                      <w:marTop w:val="0"/>
                      <w:marBottom w:val="0"/>
                      <w:divBdr>
                        <w:top w:val="none" w:sz="0" w:space="0" w:color="auto"/>
                        <w:left w:val="none" w:sz="0" w:space="0" w:color="auto"/>
                        <w:bottom w:val="none" w:sz="0" w:space="0" w:color="auto"/>
                        <w:right w:val="none" w:sz="0" w:space="0" w:color="auto"/>
                      </w:divBdr>
                      <w:divsChild>
                        <w:div w:id="4933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397355">
              <w:marLeft w:val="0"/>
              <w:marRight w:val="0"/>
              <w:marTop w:val="0"/>
              <w:marBottom w:val="0"/>
              <w:divBdr>
                <w:top w:val="none" w:sz="0" w:space="0" w:color="auto"/>
                <w:left w:val="none" w:sz="0" w:space="0" w:color="auto"/>
                <w:bottom w:val="none" w:sz="0" w:space="0" w:color="auto"/>
                <w:right w:val="none" w:sz="0" w:space="0" w:color="auto"/>
              </w:divBdr>
              <w:divsChild>
                <w:div w:id="793599316">
                  <w:marLeft w:val="0"/>
                  <w:marRight w:val="0"/>
                  <w:marTop w:val="0"/>
                  <w:marBottom w:val="0"/>
                  <w:divBdr>
                    <w:top w:val="none" w:sz="0" w:space="0" w:color="auto"/>
                    <w:left w:val="none" w:sz="0" w:space="0" w:color="auto"/>
                    <w:bottom w:val="none" w:sz="0" w:space="0" w:color="auto"/>
                    <w:right w:val="none" w:sz="0" w:space="0" w:color="auto"/>
                  </w:divBdr>
                  <w:divsChild>
                    <w:div w:id="84397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338933">
          <w:marLeft w:val="0"/>
          <w:marRight w:val="0"/>
          <w:marTop w:val="0"/>
          <w:marBottom w:val="0"/>
          <w:divBdr>
            <w:top w:val="none" w:sz="0" w:space="0" w:color="auto"/>
            <w:left w:val="none" w:sz="0" w:space="0" w:color="auto"/>
            <w:bottom w:val="none" w:sz="0" w:space="0" w:color="auto"/>
            <w:right w:val="none" w:sz="0" w:space="0" w:color="auto"/>
          </w:divBdr>
        </w:div>
      </w:divsChild>
    </w:div>
    <w:div w:id="761953930">
      <w:bodyDiv w:val="1"/>
      <w:marLeft w:val="0"/>
      <w:marRight w:val="0"/>
      <w:marTop w:val="0"/>
      <w:marBottom w:val="0"/>
      <w:divBdr>
        <w:top w:val="none" w:sz="0" w:space="0" w:color="auto"/>
        <w:left w:val="none" w:sz="0" w:space="0" w:color="auto"/>
        <w:bottom w:val="none" w:sz="0" w:space="0" w:color="auto"/>
        <w:right w:val="none" w:sz="0" w:space="0" w:color="auto"/>
      </w:divBdr>
      <w:divsChild>
        <w:div w:id="1810855508">
          <w:marLeft w:val="0"/>
          <w:marRight w:val="0"/>
          <w:marTop w:val="0"/>
          <w:marBottom w:val="0"/>
          <w:divBdr>
            <w:top w:val="none" w:sz="0" w:space="0" w:color="auto"/>
            <w:left w:val="none" w:sz="0" w:space="0" w:color="auto"/>
            <w:bottom w:val="none" w:sz="0" w:space="0" w:color="auto"/>
            <w:right w:val="none" w:sz="0" w:space="0" w:color="auto"/>
          </w:divBdr>
          <w:divsChild>
            <w:div w:id="519242628">
              <w:marLeft w:val="0"/>
              <w:marRight w:val="0"/>
              <w:marTop w:val="0"/>
              <w:marBottom w:val="0"/>
              <w:divBdr>
                <w:top w:val="none" w:sz="0" w:space="0" w:color="auto"/>
                <w:left w:val="none" w:sz="0" w:space="0" w:color="auto"/>
                <w:bottom w:val="none" w:sz="0" w:space="0" w:color="auto"/>
                <w:right w:val="none" w:sz="0" w:space="0" w:color="auto"/>
              </w:divBdr>
            </w:div>
          </w:divsChild>
        </w:div>
        <w:div w:id="1924219247">
          <w:marLeft w:val="0"/>
          <w:marRight w:val="0"/>
          <w:marTop w:val="0"/>
          <w:marBottom w:val="0"/>
          <w:divBdr>
            <w:top w:val="none" w:sz="0" w:space="0" w:color="auto"/>
            <w:left w:val="none" w:sz="0" w:space="0" w:color="auto"/>
            <w:bottom w:val="none" w:sz="0" w:space="0" w:color="auto"/>
            <w:right w:val="none" w:sz="0" w:space="0" w:color="auto"/>
          </w:divBdr>
          <w:divsChild>
            <w:div w:id="626663963">
              <w:marLeft w:val="0"/>
              <w:marRight w:val="0"/>
              <w:marTop w:val="0"/>
              <w:marBottom w:val="0"/>
              <w:divBdr>
                <w:top w:val="none" w:sz="0" w:space="0" w:color="auto"/>
                <w:left w:val="none" w:sz="0" w:space="0" w:color="auto"/>
                <w:bottom w:val="none" w:sz="0" w:space="0" w:color="auto"/>
                <w:right w:val="none" w:sz="0" w:space="0" w:color="auto"/>
              </w:divBdr>
            </w:div>
            <w:div w:id="1260797831">
              <w:marLeft w:val="0"/>
              <w:marRight w:val="0"/>
              <w:marTop w:val="0"/>
              <w:marBottom w:val="0"/>
              <w:divBdr>
                <w:top w:val="none" w:sz="0" w:space="0" w:color="auto"/>
                <w:left w:val="none" w:sz="0" w:space="0" w:color="auto"/>
                <w:bottom w:val="none" w:sz="0" w:space="0" w:color="auto"/>
                <w:right w:val="none" w:sz="0" w:space="0" w:color="auto"/>
              </w:divBdr>
              <w:divsChild>
                <w:div w:id="928394819">
                  <w:marLeft w:val="0"/>
                  <w:marRight w:val="0"/>
                  <w:marTop w:val="0"/>
                  <w:marBottom w:val="0"/>
                  <w:divBdr>
                    <w:top w:val="none" w:sz="0" w:space="0" w:color="auto"/>
                    <w:left w:val="none" w:sz="0" w:space="0" w:color="auto"/>
                    <w:bottom w:val="none" w:sz="0" w:space="0" w:color="auto"/>
                    <w:right w:val="none" w:sz="0" w:space="0" w:color="auto"/>
                  </w:divBdr>
                  <w:divsChild>
                    <w:div w:id="7643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596588">
              <w:marLeft w:val="0"/>
              <w:marRight w:val="0"/>
              <w:marTop w:val="0"/>
              <w:marBottom w:val="0"/>
              <w:divBdr>
                <w:top w:val="none" w:sz="0" w:space="0" w:color="auto"/>
                <w:left w:val="none" w:sz="0" w:space="0" w:color="auto"/>
                <w:bottom w:val="none" w:sz="0" w:space="0" w:color="auto"/>
                <w:right w:val="none" w:sz="0" w:space="0" w:color="auto"/>
              </w:divBdr>
              <w:divsChild>
                <w:div w:id="630012383">
                  <w:marLeft w:val="0"/>
                  <w:marRight w:val="0"/>
                  <w:marTop w:val="0"/>
                  <w:marBottom w:val="0"/>
                  <w:divBdr>
                    <w:top w:val="none" w:sz="0" w:space="0" w:color="auto"/>
                    <w:left w:val="none" w:sz="0" w:space="0" w:color="auto"/>
                    <w:bottom w:val="none" w:sz="0" w:space="0" w:color="auto"/>
                    <w:right w:val="none" w:sz="0" w:space="0" w:color="auto"/>
                  </w:divBdr>
                  <w:divsChild>
                    <w:div w:id="102324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86422">
          <w:marLeft w:val="0"/>
          <w:marRight w:val="0"/>
          <w:marTop w:val="0"/>
          <w:marBottom w:val="0"/>
          <w:divBdr>
            <w:top w:val="none" w:sz="0" w:space="0" w:color="auto"/>
            <w:left w:val="none" w:sz="0" w:space="0" w:color="auto"/>
            <w:bottom w:val="none" w:sz="0" w:space="0" w:color="auto"/>
            <w:right w:val="none" w:sz="0" w:space="0" w:color="auto"/>
          </w:divBdr>
          <w:divsChild>
            <w:div w:id="127409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225889">
      <w:bodyDiv w:val="1"/>
      <w:marLeft w:val="0"/>
      <w:marRight w:val="0"/>
      <w:marTop w:val="0"/>
      <w:marBottom w:val="0"/>
      <w:divBdr>
        <w:top w:val="none" w:sz="0" w:space="0" w:color="auto"/>
        <w:left w:val="none" w:sz="0" w:space="0" w:color="auto"/>
        <w:bottom w:val="none" w:sz="0" w:space="0" w:color="auto"/>
        <w:right w:val="none" w:sz="0" w:space="0" w:color="auto"/>
      </w:divBdr>
      <w:divsChild>
        <w:div w:id="1400976297">
          <w:marLeft w:val="0"/>
          <w:marRight w:val="0"/>
          <w:marTop w:val="0"/>
          <w:marBottom w:val="0"/>
          <w:divBdr>
            <w:top w:val="none" w:sz="0" w:space="0" w:color="auto"/>
            <w:left w:val="none" w:sz="0" w:space="0" w:color="auto"/>
            <w:bottom w:val="none" w:sz="0" w:space="0" w:color="auto"/>
            <w:right w:val="none" w:sz="0" w:space="0" w:color="auto"/>
          </w:divBdr>
          <w:divsChild>
            <w:div w:id="1555851357">
              <w:marLeft w:val="0"/>
              <w:marRight w:val="0"/>
              <w:marTop w:val="0"/>
              <w:marBottom w:val="0"/>
              <w:divBdr>
                <w:top w:val="none" w:sz="0" w:space="0" w:color="auto"/>
                <w:left w:val="none" w:sz="0" w:space="0" w:color="auto"/>
                <w:bottom w:val="none" w:sz="0" w:space="0" w:color="auto"/>
                <w:right w:val="none" w:sz="0" w:space="0" w:color="auto"/>
              </w:divBdr>
            </w:div>
          </w:divsChild>
        </w:div>
        <w:div w:id="1620723881">
          <w:marLeft w:val="0"/>
          <w:marRight w:val="0"/>
          <w:marTop w:val="0"/>
          <w:marBottom w:val="0"/>
          <w:divBdr>
            <w:top w:val="none" w:sz="0" w:space="0" w:color="auto"/>
            <w:left w:val="none" w:sz="0" w:space="0" w:color="auto"/>
            <w:bottom w:val="none" w:sz="0" w:space="0" w:color="auto"/>
            <w:right w:val="none" w:sz="0" w:space="0" w:color="auto"/>
          </w:divBdr>
          <w:divsChild>
            <w:div w:id="1760759439">
              <w:marLeft w:val="0"/>
              <w:marRight w:val="0"/>
              <w:marTop w:val="0"/>
              <w:marBottom w:val="0"/>
              <w:divBdr>
                <w:top w:val="none" w:sz="0" w:space="0" w:color="auto"/>
                <w:left w:val="none" w:sz="0" w:space="0" w:color="auto"/>
                <w:bottom w:val="none" w:sz="0" w:space="0" w:color="auto"/>
                <w:right w:val="none" w:sz="0" w:space="0" w:color="auto"/>
              </w:divBdr>
            </w:div>
            <w:div w:id="1581283952">
              <w:marLeft w:val="0"/>
              <w:marRight w:val="0"/>
              <w:marTop w:val="0"/>
              <w:marBottom w:val="0"/>
              <w:divBdr>
                <w:top w:val="none" w:sz="0" w:space="0" w:color="auto"/>
                <w:left w:val="none" w:sz="0" w:space="0" w:color="auto"/>
                <w:bottom w:val="none" w:sz="0" w:space="0" w:color="auto"/>
                <w:right w:val="none" w:sz="0" w:space="0" w:color="auto"/>
              </w:divBdr>
              <w:divsChild>
                <w:div w:id="500849779">
                  <w:marLeft w:val="0"/>
                  <w:marRight w:val="0"/>
                  <w:marTop w:val="0"/>
                  <w:marBottom w:val="0"/>
                  <w:divBdr>
                    <w:top w:val="none" w:sz="0" w:space="0" w:color="auto"/>
                    <w:left w:val="none" w:sz="0" w:space="0" w:color="auto"/>
                    <w:bottom w:val="none" w:sz="0" w:space="0" w:color="auto"/>
                    <w:right w:val="none" w:sz="0" w:space="0" w:color="auto"/>
                  </w:divBdr>
                  <w:divsChild>
                    <w:div w:id="12570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827099">
              <w:marLeft w:val="0"/>
              <w:marRight w:val="0"/>
              <w:marTop w:val="0"/>
              <w:marBottom w:val="0"/>
              <w:divBdr>
                <w:top w:val="none" w:sz="0" w:space="0" w:color="auto"/>
                <w:left w:val="none" w:sz="0" w:space="0" w:color="auto"/>
                <w:bottom w:val="none" w:sz="0" w:space="0" w:color="auto"/>
                <w:right w:val="none" w:sz="0" w:space="0" w:color="auto"/>
              </w:divBdr>
              <w:divsChild>
                <w:div w:id="170141388">
                  <w:marLeft w:val="0"/>
                  <w:marRight w:val="0"/>
                  <w:marTop w:val="0"/>
                  <w:marBottom w:val="0"/>
                  <w:divBdr>
                    <w:top w:val="none" w:sz="0" w:space="0" w:color="auto"/>
                    <w:left w:val="none" w:sz="0" w:space="0" w:color="auto"/>
                    <w:bottom w:val="none" w:sz="0" w:space="0" w:color="auto"/>
                    <w:right w:val="none" w:sz="0" w:space="0" w:color="auto"/>
                  </w:divBdr>
                  <w:divsChild>
                    <w:div w:id="9593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291083">
          <w:marLeft w:val="0"/>
          <w:marRight w:val="0"/>
          <w:marTop w:val="0"/>
          <w:marBottom w:val="0"/>
          <w:divBdr>
            <w:top w:val="none" w:sz="0" w:space="0" w:color="auto"/>
            <w:left w:val="none" w:sz="0" w:space="0" w:color="auto"/>
            <w:bottom w:val="none" w:sz="0" w:space="0" w:color="auto"/>
            <w:right w:val="none" w:sz="0" w:space="0" w:color="auto"/>
          </w:divBdr>
          <w:divsChild>
            <w:div w:id="46932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728532">
      <w:bodyDiv w:val="1"/>
      <w:marLeft w:val="0"/>
      <w:marRight w:val="0"/>
      <w:marTop w:val="0"/>
      <w:marBottom w:val="0"/>
      <w:divBdr>
        <w:top w:val="none" w:sz="0" w:space="0" w:color="auto"/>
        <w:left w:val="none" w:sz="0" w:space="0" w:color="auto"/>
        <w:bottom w:val="none" w:sz="0" w:space="0" w:color="auto"/>
        <w:right w:val="none" w:sz="0" w:space="0" w:color="auto"/>
      </w:divBdr>
    </w:div>
    <w:div w:id="1244410609">
      <w:bodyDiv w:val="1"/>
      <w:marLeft w:val="0"/>
      <w:marRight w:val="0"/>
      <w:marTop w:val="0"/>
      <w:marBottom w:val="0"/>
      <w:divBdr>
        <w:top w:val="none" w:sz="0" w:space="0" w:color="auto"/>
        <w:left w:val="none" w:sz="0" w:space="0" w:color="auto"/>
        <w:bottom w:val="none" w:sz="0" w:space="0" w:color="auto"/>
        <w:right w:val="none" w:sz="0" w:space="0" w:color="auto"/>
      </w:divBdr>
    </w:div>
    <w:div w:id="1246957167">
      <w:bodyDiv w:val="1"/>
      <w:marLeft w:val="0"/>
      <w:marRight w:val="0"/>
      <w:marTop w:val="0"/>
      <w:marBottom w:val="0"/>
      <w:divBdr>
        <w:top w:val="none" w:sz="0" w:space="0" w:color="auto"/>
        <w:left w:val="none" w:sz="0" w:space="0" w:color="auto"/>
        <w:bottom w:val="none" w:sz="0" w:space="0" w:color="auto"/>
        <w:right w:val="none" w:sz="0" w:space="0" w:color="auto"/>
      </w:divBdr>
    </w:div>
    <w:div w:id="1415395806">
      <w:bodyDiv w:val="1"/>
      <w:marLeft w:val="0"/>
      <w:marRight w:val="0"/>
      <w:marTop w:val="0"/>
      <w:marBottom w:val="0"/>
      <w:divBdr>
        <w:top w:val="none" w:sz="0" w:space="0" w:color="auto"/>
        <w:left w:val="none" w:sz="0" w:space="0" w:color="auto"/>
        <w:bottom w:val="none" w:sz="0" w:space="0" w:color="auto"/>
        <w:right w:val="none" w:sz="0" w:space="0" w:color="auto"/>
      </w:divBdr>
    </w:div>
    <w:div w:id="1646274677">
      <w:bodyDiv w:val="1"/>
      <w:marLeft w:val="0"/>
      <w:marRight w:val="0"/>
      <w:marTop w:val="0"/>
      <w:marBottom w:val="0"/>
      <w:divBdr>
        <w:top w:val="none" w:sz="0" w:space="0" w:color="auto"/>
        <w:left w:val="none" w:sz="0" w:space="0" w:color="auto"/>
        <w:bottom w:val="none" w:sz="0" w:space="0" w:color="auto"/>
        <w:right w:val="none" w:sz="0" w:space="0" w:color="auto"/>
      </w:divBdr>
      <w:divsChild>
        <w:div w:id="126246011">
          <w:marLeft w:val="0"/>
          <w:marRight w:val="0"/>
          <w:marTop w:val="0"/>
          <w:marBottom w:val="0"/>
          <w:divBdr>
            <w:top w:val="none" w:sz="0" w:space="0" w:color="auto"/>
            <w:left w:val="none" w:sz="0" w:space="0" w:color="auto"/>
            <w:bottom w:val="none" w:sz="0" w:space="0" w:color="auto"/>
            <w:right w:val="none" w:sz="0" w:space="0" w:color="auto"/>
          </w:divBdr>
          <w:divsChild>
            <w:div w:id="817570528">
              <w:marLeft w:val="0"/>
              <w:marRight w:val="0"/>
              <w:marTop w:val="0"/>
              <w:marBottom w:val="0"/>
              <w:divBdr>
                <w:top w:val="none" w:sz="0" w:space="0" w:color="auto"/>
                <w:left w:val="none" w:sz="0" w:space="0" w:color="auto"/>
                <w:bottom w:val="none" w:sz="0" w:space="0" w:color="auto"/>
                <w:right w:val="none" w:sz="0" w:space="0" w:color="auto"/>
              </w:divBdr>
            </w:div>
          </w:divsChild>
        </w:div>
        <w:div w:id="1379671921">
          <w:marLeft w:val="0"/>
          <w:marRight w:val="0"/>
          <w:marTop w:val="0"/>
          <w:marBottom w:val="0"/>
          <w:divBdr>
            <w:top w:val="none" w:sz="0" w:space="0" w:color="auto"/>
            <w:left w:val="none" w:sz="0" w:space="0" w:color="auto"/>
            <w:bottom w:val="none" w:sz="0" w:space="0" w:color="auto"/>
            <w:right w:val="none" w:sz="0" w:space="0" w:color="auto"/>
          </w:divBdr>
        </w:div>
        <w:div w:id="1771272413">
          <w:marLeft w:val="0"/>
          <w:marRight w:val="0"/>
          <w:marTop w:val="0"/>
          <w:marBottom w:val="0"/>
          <w:divBdr>
            <w:top w:val="none" w:sz="0" w:space="0" w:color="auto"/>
            <w:left w:val="none" w:sz="0" w:space="0" w:color="auto"/>
            <w:bottom w:val="none" w:sz="0" w:space="0" w:color="auto"/>
            <w:right w:val="none" w:sz="0" w:space="0" w:color="auto"/>
          </w:divBdr>
          <w:divsChild>
            <w:div w:id="207298237">
              <w:marLeft w:val="0"/>
              <w:marRight w:val="0"/>
              <w:marTop w:val="0"/>
              <w:marBottom w:val="0"/>
              <w:divBdr>
                <w:top w:val="none" w:sz="0" w:space="0" w:color="auto"/>
                <w:left w:val="none" w:sz="0" w:space="0" w:color="auto"/>
                <w:bottom w:val="none" w:sz="0" w:space="0" w:color="auto"/>
                <w:right w:val="none" w:sz="0" w:space="0" w:color="auto"/>
              </w:divBdr>
            </w:div>
            <w:div w:id="374815256">
              <w:marLeft w:val="0"/>
              <w:marRight w:val="0"/>
              <w:marTop w:val="0"/>
              <w:marBottom w:val="0"/>
              <w:divBdr>
                <w:top w:val="none" w:sz="0" w:space="0" w:color="auto"/>
                <w:left w:val="none" w:sz="0" w:space="0" w:color="auto"/>
                <w:bottom w:val="none" w:sz="0" w:space="0" w:color="auto"/>
                <w:right w:val="none" w:sz="0" w:space="0" w:color="auto"/>
              </w:divBdr>
              <w:divsChild>
                <w:div w:id="1796677851">
                  <w:marLeft w:val="0"/>
                  <w:marRight w:val="0"/>
                  <w:marTop w:val="0"/>
                  <w:marBottom w:val="0"/>
                  <w:divBdr>
                    <w:top w:val="none" w:sz="0" w:space="0" w:color="auto"/>
                    <w:left w:val="none" w:sz="0" w:space="0" w:color="auto"/>
                    <w:bottom w:val="none" w:sz="0" w:space="0" w:color="auto"/>
                    <w:right w:val="none" w:sz="0" w:space="0" w:color="auto"/>
                  </w:divBdr>
                  <w:divsChild>
                    <w:div w:id="102841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57499">
              <w:marLeft w:val="0"/>
              <w:marRight w:val="0"/>
              <w:marTop w:val="0"/>
              <w:marBottom w:val="0"/>
              <w:divBdr>
                <w:top w:val="none" w:sz="0" w:space="0" w:color="auto"/>
                <w:left w:val="none" w:sz="0" w:space="0" w:color="auto"/>
                <w:bottom w:val="none" w:sz="0" w:space="0" w:color="auto"/>
                <w:right w:val="none" w:sz="0" w:space="0" w:color="auto"/>
              </w:divBdr>
              <w:divsChild>
                <w:div w:id="1514102072">
                  <w:marLeft w:val="0"/>
                  <w:marRight w:val="0"/>
                  <w:marTop w:val="0"/>
                  <w:marBottom w:val="0"/>
                  <w:divBdr>
                    <w:top w:val="none" w:sz="0" w:space="0" w:color="auto"/>
                    <w:left w:val="none" w:sz="0" w:space="0" w:color="auto"/>
                    <w:bottom w:val="none" w:sz="0" w:space="0" w:color="auto"/>
                    <w:right w:val="none" w:sz="0" w:space="0" w:color="auto"/>
                  </w:divBdr>
                  <w:divsChild>
                    <w:div w:id="91574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539433">
              <w:marLeft w:val="0"/>
              <w:marRight w:val="0"/>
              <w:marTop w:val="0"/>
              <w:marBottom w:val="0"/>
              <w:divBdr>
                <w:top w:val="none" w:sz="0" w:space="0" w:color="auto"/>
                <w:left w:val="none" w:sz="0" w:space="0" w:color="auto"/>
                <w:bottom w:val="none" w:sz="0" w:space="0" w:color="auto"/>
                <w:right w:val="none" w:sz="0" w:space="0" w:color="auto"/>
              </w:divBdr>
              <w:divsChild>
                <w:div w:id="1241596198">
                  <w:marLeft w:val="0"/>
                  <w:marRight w:val="0"/>
                  <w:marTop w:val="0"/>
                  <w:marBottom w:val="0"/>
                  <w:divBdr>
                    <w:top w:val="none" w:sz="0" w:space="0" w:color="auto"/>
                    <w:left w:val="none" w:sz="0" w:space="0" w:color="auto"/>
                    <w:bottom w:val="none" w:sz="0" w:space="0" w:color="auto"/>
                    <w:right w:val="none" w:sz="0" w:space="0" w:color="auto"/>
                  </w:divBdr>
                  <w:divsChild>
                    <w:div w:id="449711956">
                      <w:marLeft w:val="0"/>
                      <w:marRight w:val="0"/>
                      <w:marTop w:val="0"/>
                      <w:marBottom w:val="0"/>
                      <w:divBdr>
                        <w:top w:val="none" w:sz="0" w:space="0" w:color="auto"/>
                        <w:left w:val="none" w:sz="0" w:space="0" w:color="auto"/>
                        <w:bottom w:val="none" w:sz="0" w:space="0" w:color="auto"/>
                        <w:right w:val="none" w:sz="0" w:space="0" w:color="auto"/>
                      </w:divBdr>
                    </w:div>
                    <w:div w:id="1165630458">
                      <w:marLeft w:val="0"/>
                      <w:marRight w:val="0"/>
                      <w:marTop w:val="0"/>
                      <w:marBottom w:val="0"/>
                      <w:divBdr>
                        <w:top w:val="none" w:sz="0" w:space="0" w:color="auto"/>
                        <w:left w:val="none" w:sz="0" w:space="0" w:color="auto"/>
                        <w:bottom w:val="none" w:sz="0" w:space="0" w:color="auto"/>
                        <w:right w:val="none" w:sz="0" w:space="0" w:color="auto"/>
                      </w:divBdr>
                      <w:divsChild>
                        <w:div w:id="1310817177">
                          <w:marLeft w:val="0"/>
                          <w:marRight w:val="0"/>
                          <w:marTop w:val="0"/>
                          <w:marBottom w:val="0"/>
                          <w:divBdr>
                            <w:top w:val="none" w:sz="0" w:space="0" w:color="auto"/>
                            <w:left w:val="none" w:sz="0" w:space="0" w:color="auto"/>
                            <w:bottom w:val="none" w:sz="0" w:space="0" w:color="auto"/>
                            <w:right w:val="none" w:sz="0" w:space="0" w:color="auto"/>
                          </w:divBdr>
                        </w:div>
                      </w:divsChild>
                    </w:div>
                    <w:div w:id="1179001140">
                      <w:marLeft w:val="0"/>
                      <w:marRight w:val="0"/>
                      <w:marTop w:val="0"/>
                      <w:marBottom w:val="0"/>
                      <w:divBdr>
                        <w:top w:val="none" w:sz="0" w:space="0" w:color="auto"/>
                        <w:left w:val="none" w:sz="0" w:space="0" w:color="auto"/>
                        <w:bottom w:val="none" w:sz="0" w:space="0" w:color="auto"/>
                        <w:right w:val="none" w:sz="0" w:space="0" w:color="auto"/>
                      </w:divBdr>
                      <w:divsChild>
                        <w:div w:id="21910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757567">
              <w:marLeft w:val="0"/>
              <w:marRight w:val="0"/>
              <w:marTop w:val="0"/>
              <w:marBottom w:val="0"/>
              <w:divBdr>
                <w:top w:val="none" w:sz="0" w:space="0" w:color="auto"/>
                <w:left w:val="none" w:sz="0" w:space="0" w:color="auto"/>
                <w:bottom w:val="none" w:sz="0" w:space="0" w:color="auto"/>
                <w:right w:val="none" w:sz="0" w:space="0" w:color="auto"/>
              </w:divBdr>
              <w:divsChild>
                <w:div w:id="431823349">
                  <w:marLeft w:val="0"/>
                  <w:marRight w:val="0"/>
                  <w:marTop w:val="0"/>
                  <w:marBottom w:val="0"/>
                  <w:divBdr>
                    <w:top w:val="none" w:sz="0" w:space="0" w:color="auto"/>
                    <w:left w:val="none" w:sz="0" w:space="0" w:color="auto"/>
                    <w:bottom w:val="none" w:sz="0" w:space="0" w:color="auto"/>
                    <w:right w:val="none" w:sz="0" w:space="0" w:color="auto"/>
                  </w:divBdr>
                  <w:divsChild>
                    <w:div w:id="9488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665138">
          <w:marLeft w:val="0"/>
          <w:marRight w:val="0"/>
          <w:marTop w:val="0"/>
          <w:marBottom w:val="0"/>
          <w:divBdr>
            <w:top w:val="none" w:sz="0" w:space="0" w:color="auto"/>
            <w:left w:val="none" w:sz="0" w:space="0" w:color="auto"/>
            <w:bottom w:val="none" w:sz="0" w:space="0" w:color="auto"/>
            <w:right w:val="none" w:sz="0" w:space="0" w:color="auto"/>
          </w:divBdr>
          <w:divsChild>
            <w:div w:id="1064992366">
              <w:marLeft w:val="0"/>
              <w:marRight w:val="0"/>
              <w:marTop w:val="0"/>
              <w:marBottom w:val="0"/>
              <w:divBdr>
                <w:top w:val="none" w:sz="0" w:space="0" w:color="auto"/>
                <w:left w:val="none" w:sz="0" w:space="0" w:color="auto"/>
                <w:bottom w:val="none" w:sz="0" w:space="0" w:color="auto"/>
                <w:right w:val="none" w:sz="0" w:space="0" w:color="auto"/>
              </w:divBdr>
            </w:div>
          </w:divsChild>
        </w:div>
        <w:div w:id="1900897383">
          <w:marLeft w:val="0"/>
          <w:marRight w:val="0"/>
          <w:marTop w:val="0"/>
          <w:marBottom w:val="0"/>
          <w:divBdr>
            <w:top w:val="none" w:sz="0" w:space="0" w:color="auto"/>
            <w:left w:val="none" w:sz="0" w:space="0" w:color="auto"/>
            <w:bottom w:val="none" w:sz="0" w:space="0" w:color="auto"/>
            <w:right w:val="none" w:sz="0" w:space="0" w:color="auto"/>
          </w:divBdr>
          <w:divsChild>
            <w:div w:id="174857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18996">
      <w:bodyDiv w:val="1"/>
      <w:marLeft w:val="0"/>
      <w:marRight w:val="0"/>
      <w:marTop w:val="0"/>
      <w:marBottom w:val="0"/>
      <w:divBdr>
        <w:top w:val="none" w:sz="0" w:space="0" w:color="auto"/>
        <w:left w:val="none" w:sz="0" w:space="0" w:color="auto"/>
        <w:bottom w:val="none" w:sz="0" w:space="0" w:color="auto"/>
        <w:right w:val="none" w:sz="0" w:space="0" w:color="auto"/>
      </w:divBdr>
      <w:divsChild>
        <w:div w:id="626277554">
          <w:marLeft w:val="0"/>
          <w:marRight w:val="0"/>
          <w:marTop w:val="0"/>
          <w:marBottom w:val="0"/>
          <w:divBdr>
            <w:top w:val="none" w:sz="0" w:space="0" w:color="auto"/>
            <w:left w:val="none" w:sz="0" w:space="0" w:color="auto"/>
            <w:bottom w:val="none" w:sz="0" w:space="0" w:color="auto"/>
            <w:right w:val="none" w:sz="0" w:space="0" w:color="auto"/>
          </w:divBdr>
          <w:divsChild>
            <w:div w:id="60177533">
              <w:marLeft w:val="0"/>
              <w:marRight w:val="0"/>
              <w:marTop w:val="0"/>
              <w:marBottom w:val="0"/>
              <w:divBdr>
                <w:top w:val="none" w:sz="0" w:space="0" w:color="auto"/>
                <w:left w:val="none" w:sz="0" w:space="0" w:color="auto"/>
                <w:bottom w:val="none" w:sz="0" w:space="0" w:color="auto"/>
                <w:right w:val="none" w:sz="0" w:space="0" w:color="auto"/>
              </w:divBdr>
              <w:divsChild>
                <w:div w:id="1710299191">
                  <w:marLeft w:val="0"/>
                  <w:marRight w:val="0"/>
                  <w:marTop w:val="0"/>
                  <w:marBottom w:val="0"/>
                  <w:divBdr>
                    <w:top w:val="none" w:sz="0" w:space="0" w:color="auto"/>
                    <w:left w:val="none" w:sz="0" w:space="0" w:color="auto"/>
                    <w:bottom w:val="none" w:sz="0" w:space="0" w:color="auto"/>
                    <w:right w:val="none" w:sz="0" w:space="0" w:color="auto"/>
                  </w:divBdr>
                  <w:divsChild>
                    <w:div w:id="198858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133009">
              <w:marLeft w:val="0"/>
              <w:marRight w:val="0"/>
              <w:marTop w:val="0"/>
              <w:marBottom w:val="0"/>
              <w:divBdr>
                <w:top w:val="none" w:sz="0" w:space="0" w:color="auto"/>
                <w:left w:val="none" w:sz="0" w:space="0" w:color="auto"/>
                <w:bottom w:val="none" w:sz="0" w:space="0" w:color="auto"/>
                <w:right w:val="none" w:sz="0" w:space="0" w:color="auto"/>
              </w:divBdr>
              <w:divsChild>
                <w:div w:id="623116581">
                  <w:marLeft w:val="0"/>
                  <w:marRight w:val="0"/>
                  <w:marTop w:val="0"/>
                  <w:marBottom w:val="0"/>
                  <w:divBdr>
                    <w:top w:val="none" w:sz="0" w:space="0" w:color="auto"/>
                    <w:left w:val="none" w:sz="0" w:space="0" w:color="auto"/>
                    <w:bottom w:val="none" w:sz="0" w:space="0" w:color="auto"/>
                    <w:right w:val="none" w:sz="0" w:space="0" w:color="auto"/>
                  </w:divBdr>
                  <w:divsChild>
                    <w:div w:id="51145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82167">
              <w:marLeft w:val="0"/>
              <w:marRight w:val="0"/>
              <w:marTop w:val="0"/>
              <w:marBottom w:val="0"/>
              <w:divBdr>
                <w:top w:val="none" w:sz="0" w:space="0" w:color="auto"/>
                <w:left w:val="none" w:sz="0" w:space="0" w:color="auto"/>
                <w:bottom w:val="none" w:sz="0" w:space="0" w:color="auto"/>
                <w:right w:val="none" w:sz="0" w:space="0" w:color="auto"/>
              </w:divBdr>
            </w:div>
          </w:divsChild>
        </w:div>
        <w:div w:id="1143154670">
          <w:marLeft w:val="0"/>
          <w:marRight w:val="0"/>
          <w:marTop w:val="0"/>
          <w:marBottom w:val="0"/>
          <w:divBdr>
            <w:top w:val="none" w:sz="0" w:space="0" w:color="auto"/>
            <w:left w:val="none" w:sz="0" w:space="0" w:color="auto"/>
            <w:bottom w:val="none" w:sz="0" w:space="0" w:color="auto"/>
            <w:right w:val="none" w:sz="0" w:space="0" w:color="auto"/>
          </w:divBdr>
          <w:divsChild>
            <w:div w:id="497843464">
              <w:marLeft w:val="0"/>
              <w:marRight w:val="0"/>
              <w:marTop w:val="0"/>
              <w:marBottom w:val="0"/>
              <w:divBdr>
                <w:top w:val="none" w:sz="0" w:space="0" w:color="auto"/>
                <w:left w:val="none" w:sz="0" w:space="0" w:color="auto"/>
                <w:bottom w:val="none" w:sz="0" w:space="0" w:color="auto"/>
                <w:right w:val="none" w:sz="0" w:space="0" w:color="auto"/>
              </w:divBdr>
            </w:div>
          </w:divsChild>
        </w:div>
        <w:div w:id="1608998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ADBCB-F71A-4DE8-BA69-631DED20C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2179</Words>
  <Characters>13075</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dc:creator>
  <cp:keywords/>
  <dc:description/>
  <cp:lastModifiedBy>Bodych Dominika</cp:lastModifiedBy>
  <cp:revision>2</cp:revision>
  <dcterms:created xsi:type="dcterms:W3CDTF">2025-10-09T06:36:00Z</dcterms:created>
  <dcterms:modified xsi:type="dcterms:W3CDTF">2025-10-09T06:36:00Z</dcterms:modified>
</cp:coreProperties>
</file>