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A08FD" w14:textId="7ED4D71B" w:rsidR="00C24C97" w:rsidRPr="00A9164E" w:rsidRDefault="00C24C97" w:rsidP="00C24C97">
      <w:pPr>
        <w:pStyle w:val="OZNPROJEKTUwskazaniedatylubwersjiprojektu"/>
      </w:pPr>
      <w:r w:rsidRPr="00A9164E">
        <w:t>Projekt</w:t>
      </w:r>
    </w:p>
    <w:p w14:paraId="1D57A036" w14:textId="77777777" w:rsidR="00C24C97" w:rsidRPr="00A9164E" w:rsidRDefault="00C24C97" w:rsidP="00C24C97"/>
    <w:p w14:paraId="45AA0A57" w14:textId="77777777" w:rsidR="00C24C97" w:rsidRPr="00A9164E" w:rsidRDefault="00C24C97" w:rsidP="00C24C97">
      <w:pPr>
        <w:pStyle w:val="OZNRODZAKTUtznustawalubrozporzdzenieiorganwydajcy"/>
      </w:pPr>
      <w:r w:rsidRPr="00A9164E">
        <w:t>USTAWA</w:t>
      </w:r>
    </w:p>
    <w:p w14:paraId="275B7377" w14:textId="77777777" w:rsidR="00C24C97" w:rsidRPr="00A9164E" w:rsidRDefault="00C24C97" w:rsidP="00C24C97">
      <w:pPr>
        <w:pStyle w:val="DATAAKTUdatauchwalenialubwydaniaaktu"/>
      </w:pPr>
      <w:r w:rsidRPr="00A9164E">
        <w:t>z dnia</w:t>
      </w:r>
      <w:r>
        <w:t xml:space="preserve"> ... 2025 r.</w:t>
      </w:r>
    </w:p>
    <w:p w14:paraId="7A69571F" w14:textId="77777777" w:rsidR="00C24C97" w:rsidRPr="00A9164E" w:rsidRDefault="00C24C97" w:rsidP="00C24C97">
      <w:pPr>
        <w:pStyle w:val="TYTUAKTUprzedmiotregulacjiustawylubrozporzdzenia"/>
      </w:pPr>
      <w:r w:rsidRPr="00A9164E">
        <w:t xml:space="preserve">o zmianie ustawy o wykonywaniu mandatu posła i senatora </w:t>
      </w:r>
      <w:r w:rsidRPr="00A9164E">
        <w:br/>
        <w:t>oraz ustawy o Staży Marszałkowskiej</w:t>
      </w:r>
    </w:p>
    <w:p w14:paraId="364037A0" w14:textId="77777777" w:rsidR="00C24C97" w:rsidRPr="00A9164E" w:rsidRDefault="00C24C97" w:rsidP="00C24C97">
      <w:pPr>
        <w:pStyle w:val="ARTartustawynprozporzdzenia"/>
      </w:pPr>
      <w:r w:rsidRPr="00A9164E">
        <w:rPr>
          <w:rStyle w:val="Ppogrubienie"/>
        </w:rPr>
        <w:t>Art. 1.</w:t>
      </w:r>
      <w:r w:rsidRPr="00A9164E">
        <w:t xml:space="preserve"> W ustawie z dnia 9 maja 1996 r. o wykonywaniu mandatu posła i senatora (Dz.</w:t>
      </w:r>
      <w:r>
        <w:t> </w:t>
      </w:r>
      <w:r w:rsidRPr="00A9164E">
        <w:t xml:space="preserve">U. z 2024 r. poz. 907) po art. 10b dodaje się art. 10c w brzmieniu: </w:t>
      </w:r>
    </w:p>
    <w:p w14:paraId="58A2B63D" w14:textId="77777777" w:rsidR="00C24C97" w:rsidRPr="00A9164E" w:rsidRDefault="00C24C97" w:rsidP="00C24C97">
      <w:pPr>
        <w:pStyle w:val="ZARTzmartartykuempunktem"/>
      </w:pPr>
      <w:r w:rsidRPr="00A9164E">
        <w:t>„Art.  10c. 1. W przypadku uzasadnionego podejrzenia uczestniczenia przez posła lub senatora w posiedzeniu Sejmu lub Senatu w stanie po użyciu alkoholu albo w stanie nietrzeźwości w rozumieniu art. 46 ust. 2 albo 3 ustawy z dnia 26 października 1982 r. o wychowaniu w trzeźwości i przeciwdziałaniu alkoholizmowi (Dz. U. z 2023 r. poz. 2151), Marszałek Sejmu lub Marszałek Senatu albo przewodniczący obradom Sejmu lub Senatu wicemarszałek może zarządzić przeprowadzenie przez Straż Marszałkowską badania posła lub senatora w celu ustalenia zawartości w organizmie alkoholu przy użyciu urządze</w:t>
      </w:r>
      <w:r>
        <w:t>nia</w:t>
      </w:r>
      <w:r w:rsidRPr="00A9164E">
        <w:t xml:space="preserve"> elektroniczn</w:t>
      </w:r>
      <w:r>
        <w:t>ego</w:t>
      </w:r>
      <w:r w:rsidRPr="00A9164E">
        <w:t xml:space="preserve"> dokonując</w:t>
      </w:r>
      <w:r>
        <w:t>ego</w:t>
      </w:r>
      <w:r w:rsidRPr="00A9164E">
        <w:t xml:space="preserve"> pomiaru stężenia alkoholu w wydychanym powietrzu.</w:t>
      </w:r>
    </w:p>
    <w:p w14:paraId="75361614" w14:textId="77777777" w:rsidR="00C24C97" w:rsidRPr="00A9164E" w:rsidRDefault="00C24C97" w:rsidP="00C24C97">
      <w:pPr>
        <w:pStyle w:val="ZUSTzmustartykuempunktem"/>
      </w:pPr>
      <w:r w:rsidRPr="00A9164E">
        <w:t>2. W przypadku, gdy poseł lub senator nie wyrazi zgody na kontrolę, o której mowa w ust. 1, a także gdy znajduje się w stanie uniemożliwiającym przeprowadzenie badania wydychanego powietrza, poseł lub senator może zostać wykluczony z posiedzenia Sejmu lub Senatu przez Marszałka Sejmu lub Marszałka Senatu albo przewodniczącego obradom Sejmu lub Senatu wicemarszałka.</w:t>
      </w:r>
    </w:p>
    <w:p w14:paraId="36F9E7E4" w14:textId="77777777" w:rsidR="00C24C97" w:rsidRPr="00A9164E" w:rsidRDefault="00C24C97" w:rsidP="00C24C97">
      <w:pPr>
        <w:pStyle w:val="ZUSTzmustartykuempunktem"/>
      </w:pPr>
      <w:r w:rsidRPr="00A9164E">
        <w:t>3. Jeśli w wyniku badania, o którym mowa w ust. 1, stwierdzono u posła lub senatora stan po użyciu alkoholu albo stan nietrzeźwości, Marszałek Sejmu lub Marszałek Senatu albo przewodniczący obradom Sejmu lub Senatu wicemarszałek może wykluczyć posła lub senatora z posiedzenia Sejmu lub Senatu.</w:t>
      </w:r>
      <w:r>
        <w:t>".</w:t>
      </w:r>
    </w:p>
    <w:p w14:paraId="2C41DB97" w14:textId="77777777" w:rsidR="00C24C97" w:rsidRPr="00A9164E" w:rsidRDefault="00C24C97" w:rsidP="00C24C97">
      <w:pPr>
        <w:pStyle w:val="ARTartustawynprozporzdzenia"/>
      </w:pPr>
      <w:r w:rsidRPr="008225B2">
        <w:rPr>
          <w:rStyle w:val="Ppogrubienie"/>
        </w:rPr>
        <w:t>Art. 2.</w:t>
      </w:r>
      <w:r w:rsidRPr="00A9164E">
        <w:t xml:space="preserve"> W ustawie z dnia 26 stycznia 2018 r. o Straży Marszałkowskiej (Dz. U. z 2025 r. poz. 607) wprowadza się następujące zmiany:</w:t>
      </w:r>
    </w:p>
    <w:p w14:paraId="7591E773" w14:textId="77777777" w:rsidR="00C24C97" w:rsidRPr="00A9164E" w:rsidRDefault="00C24C97" w:rsidP="00C24C97">
      <w:pPr>
        <w:pStyle w:val="PKTpunkt"/>
      </w:pPr>
      <w:r>
        <w:t>1)</w:t>
      </w:r>
      <w:r>
        <w:tab/>
      </w:r>
      <w:r w:rsidRPr="00A9164E">
        <w:t>w art. 2 w ust. 1 po pkt 5 dodaje się pkt 5a w brzmieniu:</w:t>
      </w:r>
    </w:p>
    <w:p w14:paraId="79691E6F" w14:textId="77777777" w:rsidR="00C24C97" w:rsidRPr="00A9164E" w:rsidRDefault="00C24C97" w:rsidP="00C24C97">
      <w:pPr>
        <w:pStyle w:val="ZPKTzmpktartykuempunktem"/>
      </w:pPr>
      <w:r w:rsidRPr="00A9164E">
        <w:t>„5a) wykonywanie zarządzeń Marszałka Sejmu lub Marszałka Senatu albo przewodniczącego obradom Sejmu lub Senatu wicemarszałka w sprawie poddania posła lub senatora badaniu w celu ustalenia zawartości w organizmie alkoholu przy użyciu urządze</w:t>
      </w:r>
      <w:r>
        <w:t>nia</w:t>
      </w:r>
      <w:r w:rsidRPr="00A9164E">
        <w:t xml:space="preserve"> elektroniczn</w:t>
      </w:r>
      <w:r>
        <w:t>ego</w:t>
      </w:r>
      <w:r w:rsidRPr="00A9164E">
        <w:t xml:space="preserve"> dokonując</w:t>
      </w:r>
      <w:r>
        <w:t>ego</w:t>
      </w:r>
      <w:r w:rsidRPr="00A9164E">
        <w:t xml:space="preserve"> pomiaru stężenia alkoholu w wydychanym powietrzu, w przypadkach określonych w art. 10c </w:t>
      </w:r>
      <w:r>
        <w:t xml:space="preserve">ust. 1 </w:t>
      </w:r>
      <w:r w:rsidRPr="00A9164E">
        <w:t xml:space="preserve">ustawy o </w:t>
      </w:r>
      <w:r w:rsidRPr="00A9164E">
        <w:lastRenderedPageBreak/>
        <w:t>wykonywaniu mandatu posła i senatora (Dz. U.</w:t>
      </w:r>
      <w:r w:rsidRPr="008225B2">
        <w:t xml:space="preserve"> </w:t>
      </w:r>
      <w:r w:rsidRPr="00A9164E">
        <w:t xml:space="preserve">z 2024 r. poz. 907 </w:t>
      </w:r>
      <w:r>
        <w:t xml:space="preserve">oraz z 2025 r. poz. </w:t>
      </w:r>
      <w:r w:rsidRPr="00A9164E">
        <w:t>…).”;</w:t>
      </w:r>
    </w:p>
    <w:p w14:paraId="50C18BAC" w14:textId="77777777" w:rsidR="00C24C97" w:rsidRPr="00A9164E" w:rsidRDefault="00C24C97" w:rsidP="00C24C97">
      <w:pPr>
        <w:pStyle w:val="PKTpunkt"/>
      </w:pPr>
      <w:r>
        <w:t>2)</w:t>
      </w:r>
      <w:r>
        <w:tab/>
      </w:r>
      <w:r w:rsidRPr="00A9164E">
        <w:t>po art. 50a dodaje się art. 50b w brzmieniu:</w:t>
      </w:r>
    </w:p>
    <w:p w14:paraId="2C182F5C" w14:textId="77777777" w:rsidR="00C24C97" w:rsidRPr="00A9164E" w:rsidRDefault="00C24C97" w:rsidP="00C24C97">
      <w:pPr>
        <w:pStyle w:val="ZARTzmartartykuempunktem"/>
      </w:pPr>
      <w:r w:rsidRPr="00A9164E">
        <w:t xml:space="preserve">„Art. 50b. 1. W przypadku wydania przez Marszałka Sejmu lub Marszałka Senatu albo przewodniczącego obradom Sejmu lub Senatu wicemarszałka </w:t>
      </w:r>
      <w:r>
        <w:t>zarządzenia</w:t>
      </w:r>
      <w:r w:rsidRPr="00A9164E">
        <w:t xml:space="preserve">, o którym mowa w art. 10c </w:t>
      </w:r>
      <w:r>
        <w:t xml:space="preserve">ust. 1 </w:t>
      </w:r>
      <w:r w:rsidRPr="00A9164E">
        <w:t>ustawy o wykonywaniu mandatu posła i senatora (Dz. U. …), Komendant Straży Marszałkowskiej lub osoba przez niego upoważni</w:t>
      </w:r>
      <w:r>
        <w:t>ona</w:t>
      </w:r>
      <w:r w:rsidRPr="00A9164E">
        <w:t xml:space="preserve"> poleca funkcjonariuszowi Straży Marszałkowskiej przeprowadzenie badania w celu ustalenia zawartości w organizmie alkoholu przy użyciu urządze</w:t>
      </w:r>
      <w:r>
        <w:t>nia</w:t>
      </w:r>
      <w:r w:rsidRPr="00A9164E">
        <w:t xml:space="preserve"> elektroniczn</w:t>
      </w:r>
      <w:r>
        <w:t>ego</w:t>
      </w:r>
      <w:r w:rsidRPr="00A9164E">
        <w:t xml:space="preserve"> dokonując</w:t>
      </w:r>
      <w:r>
        <w:t>ego</w:t>
      </w:r>
      <w:r w:rsidRPr="00A9164E">
        <w:t xml:space="preserve"> pomiaru stężenia alkoholu w wydychanym powietrzu.</w:t>
      </w:r>
    </w:p>
    <w:p w14:paraId="36DDA926" w14:textId="77777777" w:rsidR="00C24C97" w:rsidRPr="00A9164E" w:rsidRDefault="00C24C97" w:rsidP="00C24C97">
      <w:pPr>
        <w:pStyle w:val="ZUSTzmustartykuempunktem"/>
      </w:pPr>
      <w:r w:rsidRPr="00A9164E">
        <w:t xml:space="preserve">2. </w:t>
      </w:r>
      <w:r>
        <w:t xml:space="preserve">Do </w:t>
      </w:r>
      <w:r w:rsidRPr="00A9164E">
        <w:t>badania, o którym mowa w ust. 1,</w:t>
      </w:r>
      <w:r>
        <w:t xml:space="preserve"> w zakresie warunków i sposobu jego przeprowadzania oraz sposobu jego dokumentowania i weryfikacji</w:t>
      </w:r>
      <w:r w:rsidRPr="00A9164E">
        <w:t xml:space="preserve"> </w:t>
      </w:r>
      <w:r>
        <w:t xml:space="preserve">stosuje się odpowiednio </w:t>
      </w:r>
      <w:r w:rsidRPr="00A9164E">
        <w:t>przepisy wydane na podstawie art. 47 ust. 2 ustawy z dnia 26 października 1982 r. o wychowaniu w trzeźwości i przeciwdziałaniu alkoholizmowi (Dz. U. z 2023 r. poz. 2151)</w:t>
      </w:r>
      <w:r>
        <w:t>.</w:t>
      </w:r>
      <w:r w:rsidRPr="00A9164E">
        <w:t>”.</w:t>
      </w:r>
    </w:p>
    <w:p w14:paraId="70AEF0A4" w14:textId="77777777" w:rsidR="00C24C97" w:rsidRPr="00A9164E" w:rsidRDefault="00C24C97" w:rsidP="00C24C97">
      <w:pPr>
        <w:pStyle w:val="ARTartustawynprozporzdzenia"/>
      </w:pPr>
      <w:r w:rsidRPr="008225B2">
        <w:rPr>
          <w:rStyle w:val="Ppogrubienie"/>
        </w:rPr>
        <w:t>Art. 3.</w:t>
      </w:r>
      <w:r w:rsidRPr="00A9164E">
        <w:t xml:space="preserve"> Ustawa wchodzi w życie po upływie </w:t>
      </w:r>
      <w:r>
        <w:t>14 dni</w:t>
      </w:r>
      <w:r w:rsidRPr="00A9164E">
        <w:t xml:space="preserve"> od dnia ogłoszenia.</w:t>
      </w:r>
    </w:p>
    <w:p w14:paraId="0252BB9E" w14:textId="77777777" w:rsidR="00C24C97" w:rsidRPr="00A9164E" w:rsidRDefault="00C24C97" w:rsidP="00C24C97"/>
    <w:p w14:paraId="3AF44F93" w14:textId="77777777" w:rsidR="00C24C97" w:rsidRPr="00A9164E" w:rsidRDefault="00C24C97" w:rsidP="00C24C97">
      <w:r w:rsidRPr="00A9164E">
        <w:br w:type="page"/>
      </w:r>
    </w:p>
    <w:p w14:paraId="499D9691" w14:textId="77777777" w:rsidR="00C24C97" w:rsidRPr="00A9164E" w:rsidRDefault="00C24C97" w:rsidP="00C24C97">
      <w:pPr>
        <w:pStyle w:val="OZNRODZAKTUtznustawalubrozporzdzenieiorganwydajcy"/>
      </w:pPr>
      <w:r w:rsidRPr="00A9164E">
        <w:lastRenderedPageBreak/>
        <w:t>UZASADNIENIE</w:t>
      </w:r>
    </w:p>
    <w:p w14:paraId="3DA61331" w14:textId="77777777" w:rsidR="00C24C97" w:rsidRPr="00A9164E" w:rsidRDefault="00C24C97" w:rsidP="00C24C97">
      <w:pPr>
        <w:pStyle w:val="ZDANIENASTNOWYWIERSZnpzddrugienowywierszwust"/>
      </w:pPr>
      <w:r w:rsidRPr="00A9164E">
        <w:t>I.</w:t>
      </w:r>
    </w:p>
    <w:p w14:paraId="273B0276" w14:textId="77777777" w:rsidR="00C24C97" w:rsidRPr="00A9164E" w:rsidRDefault="00C24C97" w:rsidP="00C24C97">
      <w:pPr>
        <w:pStyle w:val="ZDANIENASTNOWYWIERSZnpzddrugienowywierszwust"/>
      </w:pPr>
      <w:r w:rsidRPr="00A9164E">
        <w:t>Przedstawiony projekt ustawy ma na celu umożliwienie przeprowadzeni</w:t>
      </w:r>
      <w:r>
        <w:t>a</w:t>
      </w:r>
      <w:r w:rsidRPr="00A9164E">
        <w:t xml:space="preserve"> badania posła lub senatora w celu ustalenia zawartości w organizmie alkoholu przy użyciu urządzeń elektronicznych dokonujących pomiaru stężenia alkoholu w wydychanym powietrzu (tzw. alkomaty).</w:t>
      </w:r>
    </w:p>
    <w:p w14:paraId="1DDA4388" w14:textId="77777777" w:rsidR="00C24C97" w:rsidRPr="00A9164E" w:rsidRDefault="00C24C97" w:rsidP="00C24C97">
      <w:pPr>
        <w:pStyle w:val="ZDANIENASTNOWYWIERSZnpzddrugienowywierszwust"/>
      </w:pPr>
      <w:r>
        <w:t>Przyczyną</w:t>
      </w:r>
      <w:r w:rsidRPr="00A9164E">
        <w:t xml:space="preserve"> do wniesienia niniejszego projektu były m.in. głośne w ostatnich latach przypadki uczestniczenia przez parlamentarzystów w obradach w stanie wskazującym na spożycie alkoholu, który nie licuje z powagą polskiego parlamentu. Należy ponadto odnotować systemowy problem nadużywania alkoholu.</w:t>
      </w:r>
    </w:p>
    <w:p w14:paraId="595D8A00" w14:textId="77777777" w:rsidR="00C24C97" w:rsidRPr="00A9164E" w:rsidRDefault="00C24C97" w:rsidP="00C24C97">
      <w:pPr>
        <w:pStyle w:val="ZDANIENASTNOWYWIERSZnpzddrugienowywierszwust"/>
      </w:pPr>
      <w:r w:rsidRPr="00A9164E">
        <w:t xml:space="preserve">Alkohol jest substancją psychoaktywną, która wpływa na zdolności psychofizyczne człowieka. W rezultacie jego spożycie może wpływać na zdolność koncentracji, percepcję, uwagę i proces podejmowania decyzji. Alkohol nie tylko wpływa na ograniczenie zdolności motorycznych człowieka, osłabia także możliwość racjonalnej oceny sytuacji, zdolność samokontroli, a w sferze emotywnej może sprzyjać </w:t>
      </w:r>
      <w:proofErr w:type="spellStart"/>
      <w:r w:rsidRPr="00A9164E">
        <w:t>zachowaniom</w:t>
      </w:r>
      <w:proofErr w:type="spellEnd"/>
      <w:r w:rsidRPr="00A9164E">
        <w:t xml:space="preserve"> impulsywnym, agresywnym czy wysoce nieprzemyślanym. Konsekwencje spożywania alkoholu, oprócz wpływania na organizm ludzki w wymiarze indywidualnym, mają skutek dla otoczenia, w którym znajduje się osoba spożywająca tę substancję.</w:t>
      </w:r>
    </w:p>
    <w:p w14:paraId="74841AC8" w14:textId="77777777" w:rsidR="00C24C97" w:rsidRPr="00A9164E" w:rsidRDefault="00C24C97" w:rsidP="00C24C97">
      <w:pPr>
        <w:pStyle w:val="ZDANIENASTNOWYWIERSZnpzddrugienowywierszwust"/>
      </w:pPr>
      <w:r w:rsidRPr="00A9164E">
        <w:t>Wpływ alkoholu na jednostkę, grupy społeczne i społeczeństwo nie może być bagatelizowany. Według raportu Organizacji Współpracy Gospodarczej i Rozwoju (OECD)</w:t>
      </w:r>
      <w:r>
        <w:rPr>
          <w:rStyle w:val="Odwoanieprzypisudolnego"/>
        </w:rPr>
        <w:footnoteReference w:id="1"/>
      </w:r>
      <w:r w:rsidRPr="00A9164E">
        <w:t xml:space="preserve"> Polacy spożywali średnio 11 litrów czystego alkoholu na osobę w 2021 r., co było jednym z najwyższych wyników krajów OECD. Jak wskazano, oficjalna konsumpcja wzrosła o 10% od 2010 r., podczas gdy w większości krajów OECD spadła. Około jedna trzecia dorosłych spożywa alkohol w dużych ilościach każdego miesiąca, przy czym jak wynika z przedstawionych danych, mężczyźni piją trzy razy więcej alkoholu niż kobiety. Szkodliwe spożywanie alkoholu prowadzi m.in. do przedwczesnych zgonów (np. w 2019 r. konsumpcja alkoholu była odpowiedzialna za 6% wszystkich zgonów) oraz obniża wzrost gospodarczy poprzez niższe zatrudnienie i produktywność. Według symulacji OECD dla Polski choroby i urazy spowodowane piciem powyżej 1-1½ drinka dziennie prowadzą do kosztów leczenia równym 3,1% wydatków na zdrowie i obniżenia poziomu PKB średnio o 3,1% (od chwili publikacji raportu do 2050 r.). </w:t>
      </w:r>
    </w:p>
    <w:p w14:paraId="0B04635F" w14:textId="77777777" w:rsidR="00C24C97" w:rsidRPr="00A9164E" w:rsidRDefault="00C24C97" w:rsidP="00C24C97">
      <w:pPr>
        <w:pStyle w:val="ZDANIENASTNOWYWIERSZnpzddrugienowywierszwust"/>
      </w:pPr>
      <w:r w:rsidRPr="00A9164E">
        <w:lastRenderedPageBreak/>
        <w:t>Należy przy tym podkreślić, że wszelkie przypadki pozostawania parlamentarzysty pod wpływem alkoholu bardzo szybko przeistaczają się w sprawę medialną i publiczną. Taka sytuacja może z jednej strony kreować stan przyzwolenia na tego typu zachowania podczas pełnienia obowiązków, zaś z drugiej może stwarzać wrażenie bezkarności posła bądź senatora, który z mocy Konstytucji został wybrany do reprezentowania Narodu. Zachowanie parlamentarzysty pod wpływem alkoholu godzi także w wizerunek i autorytet ustrojowy instytucji.</w:t>
      </w:r>
    </w:p>
    <w:p w14:paraId="4264D89A" w14:textId="77777777" w:rsidR="00C24C97" w:rsidRPr="00A9164E" w:rsidRDefault="00C24C97" w:rsidP="00C24C97">
      <w:pPr>
        <w:pStyle w:val="ZDANIENASTNOWYWIERSZnpzddrugienowywierszwust"/>
      </w:pPr>
      <w:r w:rsidRPr="00A9164E">
        <w:t xml:space="preserve">Należy przy tym podkreślić, że zgodnie z art. 104 ust. 2 w zw. z art. 108 Konstytucji RP, posłowie i senatorowie przed rozpoczęciem sprawowania mandatu ślubują rzetelnie i sumiennie wykonywać obowiązki wobec Narodu. Naruszeniem roty ślubowania są zatem przypadki działania przez deputowanych w warunkach ograniczonych zdolności psychofizycznych wskutek spożycia alkoholu. Ponadto, jednym z podstawowych obowiązków posłów i senatorów jest m.in. czynne uczestnictwo w pracach Sejmu lub Senatu (art. 3 ustawy o wykonywaniu mandatu posła i senatora). </w:t>
      </w:r>
    </w:p>
    <w:p w14:paraId="31D6626A" w14:textId="77777777" w:rsidR="00C24C97" w:rsidRPr="00A9164E" w:rsidRDefault="00C24C97" w:rsidP="00C24C97">
      <w:pPr>
        <w:pStyle w:val="ZDANIENASTNOWYWIERSZnpzddrugienowywierszwust"/>
      </w:pPr>
      <w:r w:rsidRPr="00A9164E">
        <w:t>II.</w:t>
      </w:r>
    </w:p>
    <w:p w14:paraId="088A4784" w14:textId="77777777" w:rsidR="00C24C97" w:rsidRPr="00A9164E" w:rsidRDefault="00C24C97" w:rsidP="00C24C97">
      <w:pPr>
        <w:pStyle w:val="ZDANIENASTNOWYWIERSZnpzddrugienowywierszwust"/>
      </w:pPr>
      <w:r w:rsidRPr="00A9164E">
        <w:t>Projekt zakłada nowelizację ustawy o wykonywaniu mandatu posła i senatora poprzez dodanie art. 10c. W projektowanych regulacjach przyjęto, że zarządzenie przeprowadzenia przez Straż Marszałkowską badania posła lub senatora w celu ustalenia zawartości w organizmie alkoholu będzie możliwe tylko w przypadku „uzasadnionego podejrzenia” uczestniczenia przez posła lub senatora w posiedzeniu Sejmu lub Senatu w stanie po użyciu alkoholu albo w stanie nietrzeźwości (w zakresie tych pojęć odsyła się do ustawy o wychowaniu w trzeźwości i przeciwdziałaniu alkoholizmowi). Badanie będą mogli zarządzić tylko Marszałek Sejmu lub Marszałek Senatu albo przewodniczący obradom Sejmu lub Senatu wicemarszałek. Wyklucza to prewencyjną kontrolę parlamentarzystów, gdyż – w ocenie projektodawców – taka prewencyjna kontrola nadmiernie ingerowałaby w mandat przedstawicielski i godność urzędu posła lub senatora.</w:t>
      </w:r>
    </w:p>
    <w:p w14:paraId="3BE63F9C" w14:textId="77777777" w:rsidR="00C24C97" w:rsidRPr="00A9164E" w:rsidRDefault="00C24C97" w:rsidP="00C24C97">
      <w:pPr>
        <w:pStyle w:val="ZDANIENASTNOWYWIERSZnpzddrugienowywierszwust"/>
      </w:pPr>
      <w:r w:rsidRPr="00A9164E">
        <w:t>Zakłada się przy tym, że możliwe będzie jedynie badanie przy użyciu urządzeń elektronicznych dokonujących pomiaru stężenia alkoholu w wydychanym powietrzu. Wyklucza się przy tym możliwość, ażeby funkcjonariusz Straży Marszałkowskiej przeprowadzał badanie krwi, uznając, że byłaby to nieuzasadniona ingerencja w wykonywanie mandatu posła lub senatora.</w:t>
      </w:r>
    </w:p>
    <w:p w14:paraId="0B232768" w14:textId="77777777" w:rsidR="00C24C97" w:rsidRPr="00A9164E" w:rsidRDefault="00C24C97" w:rsidP="00C24C97">
      <w:pPr>
        <w:pStyle w:val="ZDANIENASTNOWYWIERSZnpzddrugienowywierszwust"/>
      </w:pPr>
      <w:r w:rsidRPr="00A9164E">
        <w:t xml:space="preserve">W przedłożonym projekcie uregulowano konsekwencje stwierdzenia u posła lub senatora, na podstawie ww. badania, stanu po użyciu alkoholu albo stanu nietrzeźwości. Przewidziano przy tym, że wówczas organ prowadzący obrady (odpowiednio: Marszałek Sejm, Marszałek Senatu albo przewodniczący obradom Sejmu lub Senatu wicemarszałek) może wykluczyć posła lub senatora z obrad. Z jednej strony, pozostawia to ostateczną decyzję Marszałkowi Sejmu lub Marszałkowi Senatu albo przewodniczącemu obradom wicemarszałkowi, co istotne w </w:t>
      </w:r>
      <w:r w:rsidRPr="00A9164E">
        <w:lastRenderedPageBreak/>
        <w:t>przypadku niejednoznacznych przypadków (np. wskazywania w różnych badaniach minimalnego przekroczenia wskaźników stężenia alkoholu w wydychanym powietrzu). Z drugiej strony, projektowane regulacje umożliwiają wykluczenie z posiedzenia posła lub senatora, jeżeli dalsze uczestniczenie przez posła lub senatora w obradach naruszałoby m.in. powagę parlamentu.</w:t>
      </w:r>
    </w:p>
    <w:p w14:paraId="5EAB6B30" w14:textId="77777777" w:rsidR="00C24C97" w:rsidRPr="00A9164E" w:rsidRDefault="00C24C97" w:rsidP="00C24C97">
      <w:pPr>
        <w:pStyle w:val="ZDANIENASTNOWYWIERSZnpzddrugienowywierszwust"/>
      </w:pPr>
      <w:r w:rsidRPr="00A9164E">
        <w:t>Ten sam skutek, tj. możliwość wykluczenia z obrad, przewidziano w przypadku odmowy poddania się badaniu stężenia alkoholu w wydychanym powietrzu albo gdy poseł lub senator jest w stanie uniemożliwiającym takie badanie. Tym samym parlamentarzystę nie można przymusowo zbadać na obecność alkoholu, zaś poseł lub senator, który nie wyrazi zgody na badanie (które, co należy podkreślić, może być zlecone jedynie w przypadku „uzasadnionego podejrzenia” uczestniczenia przez posła lub senatora w posiedzeniu Sejmu lub Senatu w stanie po użyciu alkoholu albo w stanie nietrzeźwości), może zostać wykluczony z obrad. Propozycja w tym względzie wynika z próby znalezienia kompromisu pomiędzy efektywnością wprowadzanych regulacji związanych z badaniem zawartości alkoholu ze specyfiką i godnością mandatu przedstawicielskiego. Zarazem przewidziana możliwość wykluczenia z obrad (nie zaś bezwzględny obowiązek) ma zapewnić luz decyzyjny w przypadkach nieoczywistych, m.in. gdy przebadanie posła lub senatora nie jest możliwe ze względów zdrowotnych.</w:t>
      </w:r>
    </w:p>
    <w:p w14:paraId="713C094B" w14:textId="77777777" w:rsidR="00C24C97" w:rsidRPr="00A9164E" w:rsidRDefault="00C24C97" w:rsidP="00C24C97">
      <w:pPr>
        <w:pStyle w:val="ZDANIENASTNOWYWIERSZnpzddrugienowywierszwust"/>
      </w:pPr>
      <w:r w:rsidRPr="00A9164E">
        <w:tab/>
        <w:t xml:space="preserve">Na marginesie rozważań należy zaznaczyć, iż zapewnienie w proponowanych przepisach możliwości odmowy poddania się badaniu stężenia alkoholu przez parlamentarzystę kreuje stan prawny, który nie narusza ochrony immunitetowej deputowanych. W szczególności procedura wyrażenia zgody na badanie nie narusza tzw. przywileju nietykalności (art. 105 ust. 5 Konstytucji), bowiem parlamentarzysta może nie wyrazić właściwej zgody, z kolei poddanie się badaniu będzie zawsze związane z uzewnętrznionymi procesami wolicjonalnymi posła bądź senatora. Trzeba zatem skonkludować, iż projektowane przepisy nie wiążą się z ograniczeniem wolności osobistej deputowanych. </w:t>
      </w:r>
    </w:p>
    <w:p w14:paraId="273D81ED" w14:textId="77777777" w:rsidR="00C24C97" w:rsidRPr="00A9164E" w:rsidRDefault="00C24C97" w:rsidP="00C24C97">
      <w:pPr>
        <w:pStyle w:val="ZDANIENASTNOWYWIERSZnpzddrugienowywierszwust"/>
      </w:pPr>
      <w:r w:rsidRPr="00A9164E">
        <w:t>III.</w:t>
      </w:r>
    </w:p>
    <w:p w14:paraId="7DAE285A" w14:textId="77777777" w:rsidR="00C24C97" w:rsidRPr="00A9164E" w:rsidRDefault="00C24C97" w:rsidP="00C24C97">
      <w:pPr>
        <w:pStyle w:val="ZDANIENASTNOWYWIERSZnpzddrugienowywierszwust"/>
      </w:pPr>
      <w:r w:rsidRPr="00A9164E">
        <w:t>Z nowelizacją ustawy o wykonywaniu mandatu posła i senatora wią</w:t>
      </w:r>
      <w:r>
        <w:t>że się</w:t>
      </w:r>
      <w:r w:rsidRPr="00A9164E">
        <w:t xml:space="preserve"> zaproponowana zmiana ustawy o Straży Marszałkowskiej</w:t>
      </w:r>
      <w:r>
        <w:t xml:space="preserve">, polegająca na </w:t>
      </w:r>
      <w:r w:rsidRPr="00A9164E">
        <w:t>uzupełni</w:t>
      </w:r>
      <w:r>
        <w:t>eniu</w:t>
      </w:r>
      <w:r w:rsidRPr="00A9164E">
        <w:t xml:space="preserve"> zakres</w:t>
      </w:r>
      <w:r>
        <w:t>u</w:t>
      </w:r>
      <w:r w:rsidRPr="00A9164E">
        <w:t xml:space="preserve"> zadań Straży Marszałkowskiej o wykonywanie zarządzeń Marszałka Sejmu lub Marszałka Senatu albo przewodniczącego obradom Sejmu lub Senatu wicemarszałka w sprawie poddania posła lub senatora badaniu w celu ustalenia zawartości w organizmie alkoholu przy użyciu urządzeń elektronicznych dokonujących pomiaru stężenia alkoholu w wydychanym powietrzu (projektowany art. 2 ust. 1 pkt 5a ustawy o Straży Marszałkowskiej).</w:t>
      </w:r>
    </w:p>
    <w:p w14:paraId="1D4EFAEF" w14:textId="77777777" w:rsidR="00C24C97" w:rsidRPr="00A9164E" w:rsidRDefault="00C24C97" w:rsidP="00C24C97">
      <w:pPr>
        <w:pStyle w:val="ZDANIENASTNOWYWIERSZnpzddrugienowywierszwust"/>
      </w:pPr>
      <w:r w:rsidRPr="00A9164E">
        <w:t xml:space="preserve">Ponadto, projektowany art. 50b ust. 1 ustawy o Straży Marszałkowskiej wyposaża Komendanta Straży Marszałkowskiej lub osobę przez niego upoważnioną do polecenia wykonania przez </w:t>
      </w:r>
      <w:r w:rsidRPr="00A9164E">
        <w:lastRenderedPageBreak/>
        <w:t>funkcjonariusza Straży Marszałkowskiej badania w celu ustalenia zawartości w organizmie alkoholu przy użyciu urządzeń elektronicznych dokonujących pomiaru stężenia alkoholu w wydychanym powietrzu.</w:t>
      </w:r>
    </w:p>
    <w:p w14:paraId="79FD6E93" w14:textId="77777777" w:rsidR="00C24C97" w:rsidRPr="00A9164E" w:rsidRDefault="00C24C97" w:rsidP="00C24C97">
      <w:pPr>
        <w:pStyle w:val="ZDANIENASTNOWYWIERSZnpzddrugienowywierszwust"/>
      </w:pPr>
      <w:r w:rsidRPr="00A9164E">
        <w:t>Z kolei projektowany art. 50b ust. 2 ustawy o Straży Marszałkowskiej wskazuje, że</w:t>
      </w:r>
      <w:r>
        <w:t xml:space="preserve"> do badań stosować się będą odpowiednio przepis przepisy określające</w:t>
      </w:r>
      <w:r w:rsidRPr="00A9164E">
        <w:t> warunki i sposób przeprowadzania badania stężenia alkoholu w wydychanym powietrzu wydane na podstawie art. 47 ust. 2 ustawy z dnia 26 października 1982 r. o wychowaniu w trzeźwości i przeciwdziałaniu alkoholizmowi (Dz. U. z 2023 r. poz. 2151). Wskazane rozporządzenie reguluje m.in. warunki przeprowadzenia badania</w:t>
      </w:r>
      <w:r>
        <w:t>.</w:t>
      </w:r>
      <w:r w:rsidRPr="00A9164E">
        <w:t xml:space="preserve"> </w:t>
      </w:r>
      <w:r>
        <w:t>W</w:t>
      </w:r>
      <w:r w:rsidRPr="00A9164E">
        <w:t xml:space="preserve"> § 3 ust. 1 rozporządzenia</w:t>
      </w:r>
      <w:r>
        <w:t xml:space="preserve"> określono</w:t>
      </w:r>
      <w:r w:rsidRPr="00A9164E">
        <w:t>, że badanie wydychanego powietrza przeprowadza się w sposób nieinwazyjny przy użyciu urządzenia elektronicznego dokonującego pomiaru stężenia alkoholu w wydychanym powietrzu metodą m.in. spektrometrii w podczerwieni lub utleniania elektrochemicznego), czy też obowiązek dokonania drugiego (i ew. kolejnego) pomiaru w przypadku stwierdzenia w wyniku badania alkoholu w wydychanym powietrzu (zob. § 4 ww. rozporządzenia). W § 7 określono zaś, że z badania przeprowadzonego analizatorem wydechu wskazującego na obecność alkoholu w organizmie osoby badanej sporządza się protokół, który zawiera wymienione elementy. Sporządzenie protokołu, spełniającego wskazane wymogi, jest doniosłe prawnie, gdyż wykonywanie przez parlamentarzystę obowiązków w stanie po użyciu alkoholu może być kwalifikowane jako wykroczenie z art. 70 § 2 Kodeksu wykroczeń. Należy przy tym zaznaczyć, że zgodnie § 7 ust. 3 ww. rozporządzenia, protokół z przebiegu badania przeprowadzonego analizatorem wydechu, w którym uzyskano wynik równy 0,00 mg/dm3, sporządza się: 1) w przypadku prowadzenia dalszego postępowania w sprawie popełnienia przestępstwa lub wykroczenia; 2) na żądanie osoby badanej – o czym należy ją pouczyć).</w:t>
      </w:r>
    </w:p>
    <w:p w14:paraId="0A87EFBF" w14:textId="77777777" w:rsidR="00C24C97" w:rsidRPr="00A9164E" w:rsidRDefault="00C24C97" w:rsidP="00C24C97">
      <w:pPr>
        <w:pStyle w:val="ZDANIENASTNOWYWIERSZnpzddrugienowywierszwust"/>
      </w:pPr>
      <w:r w:rsidRPr="00A9164E">
        <w:t>Projektowane regulacje odsyłają do przepisów wykonawczych, wydanych na podstawie art. 47 ust. 2 ustawy z dnia 26 października 1982 r. o wychowaniu w trzeźwości i przeciwdziałaniu alkoholizmowi. Podobne rozwiązania – w zakresie badania na obecność alkoholu przy użyciu urządzeń elektronicznych dokonujących pomiaru stężenia alkoholu w wydychanym powietrzu – przewidują przepisy wykonawcze, wydane na podstawie art. 221g ustawy z dnia 26 czerwca 1974 r. – Kodeks pracy (Dz. U. z 2025 r. poz. 277), jednakże one obejmują szerszy zakres przedmiotowy, tj. także badanie na obecność środków działających podobnie do alkoholu. Projektodawcy uznali przy tym, że z uwagi na specyfikę funkcji publicznej pełnionej przez posłów i senatorów, nie jest zasadne odwoływanie się do rozwiązań z zakresu prawa pracy. Z kolei akt wykonawczy, wydany na podstawie art. 50a ust. 15 ustawy z dnia 26 stycznia 2018 r. o Straży Marszałkowskiej, obejmuje swym zakresem podmiotowym tylko funkcjonariuszy Straży Marszałkowskiej.</w:t>
      </w:r>
    </w:p>
    <w:p w14:paraId="1C052D0F" w14:textId="77777777" w:rsidR="00C24C97" w:rsidRPr="00A9164E" w:rsidRDefault="00C24C97" w:rsidP="00C24C97">
      <w:pPr>
        <w:pStyle w:val="ZDANIENASTNOWYWIERSZnpzddrugienowywierszwust"/>
      </w:pPr>
      <w:r w:rsidRPr="00A9164E">
        <w:lastRenderedPageBreak/>
        <w:t>Finalnie warto podkreślić, że w przypadku stwierdzenia, że poseł lub senator uczestniczył w posiedzeniu Sejmu lub Senatu w stanie po użyciu alkoholu albo w stanie nietrzeźwości, poza sankcjami regulaminowymi, dalsze czynności procesowe mogą podjąć organy ścigania (w przypadku uzasadnionego podejrzenia popełnienia wykroczenia lub przestępstwa).</w:t>
      </w:r>
    </w:p>
    <w:p w14:paraId="0D9E548C" w14:textId="77777777" w:rsidR="00C24C97" w:rsidRPr="00A9164E" w:rsidRDefault="00C24C97" w:rsidP="00C24C97">
      <w:pPr>
        <w:pStyle w:val="ZDANIENASTNOWYWIERSZnpzddrugienowywierszwust"/>
      </w:pPr>
      <w:r w:rsidRPr="00A9164E">
        <w:t>IV.</w:t>
      </w:r>
    </w:p>
    <w:p w14:paraId="0E1E25E7" w14:textId="77777777" w:rsidR="00C24C97" w:rsidRDefault="00C24C97" w:rsidP="00C24C97">
      <w:pPr>
        <w:pStyle w:val="ZDANIENASTNOWYWIERSZnpzddrugienowywierszwust"/>
      </w:pPr>
      <w:r>
        <w:t xml:space="preserve">Wystarczającym okresem </w:t>
      </w:r>
      <w:r w:rsidRPr="000E511F">
        <w:rPr>
          <w:rStyle w:val="Kkursywa"/>
        </w:rPr>
        <w:t>vacatio legis</w:t>
      </w:r>
      <w:r>
        <w:t xml:space="preserve"> jest w tym przypadku 14 dni. Kancelaria Sejmu dysponuje urządzeniami niezbędnymi do przeprowadzania badań stanowiących przedmiot nowelizacji. Nie ma wątpliwości, że jest to też wystarczający okres na zapoznanie się z nowymi regulacjami przez posłów i senatorów.</w:t>
      </w:r>
    </w:p>
    <w:p w14:paraId="35A0B462" w14:textId="77777777" w:rsidR="00C24C97" w:rsidRDefault="00C24C97" w:rsidP="00C24C97">
      <w:pPr>
        <w:pStyle w:val="USTustnpkodeksu"/>
        <w:ind w:firstLine="0"/>
      </w:pPr>
    </w:p>
    <w:p w14:paraId="7134E68B" w14:textId="77777777" w:rsidR="00C24C97" w:rsidRDefault="00C24C97" w:rsidP="00C24C97">
      <w:pPr>
        <w:pStyle w:val="USTustnpkodeksu"/>
        <w:ind w:firstLine="0"/>
      </w:pPr>
      <w:r>
        <w:t>Wejście w życie ustawy nie wymaga wydania aktów wykonawczych.</w:t>
      </w:r>
    </w:p>
    <w:p w14:paraId="157D65A0" w14:textId="77777777" w:rsidR="00C24C97" w:rsidRPr="003A0E55" w:rsidRDefault="00C24C97" w:rsidP="00C24C97">
      <w:pPr>
        <w:pStyle w:val="USTustnpkodeksu"/>
        <w:ind w:firstLine="0"/>
      </w:pPr>
      <w:r>
        <w:t>Projekt jest zgodny z prawem Unii europejskiej</w:t>
      </w:r>
    </w:p>
    <w:p w14:paraId="06B059CF" w14:textId="77777777" w:rsidR="00C24C97" w:rsidRDefault="00C24C97" w:rsidP="00C24C97"/>
    <w:p w14:paraId="14062964" w14:textId="52AAC62A" w:rsidR="00C24C97" w:rsidRDefault="00C24C97">
      <w:pPr>
        <w:spacing w:line="278" w:lineRule="auto"/>
        <w:rPr>
          <w:rFonts w:ascii="Arial" w:hAnsi="Arial" w:cs="Arial"/>
          <w:b/>
          <w:bCs/>
          <w:sz w:val="24"/>
        </w:rPr>
      </w:pPr>
      <w:r>
        <w:rPr>
          <w:rFonts w:ascii="Arial" w:hAnsi="Arial" w:cs="Arial"/>
          <w:b/>
          <w:bCs/>
          <w:sz w:val="24"/>
        </w:rPr>
        <w:br w:type="page"/>
      </w:r>
    </w:p>
    <w:p w14:paraId="7C811378" w14:textId="77777777" w:rsidR="00C24C97" w:rsidRDefault="00C24C97">
      <w:pPr>
        <w:spacing w:line="278" w:lineRule="auto"/>
        <w:rPr>
          <w:rFonts w:ascii="Arial" w:hAnsi="Arial" w:cs="Arial"/>
          <w:b/>
          <w:bCs/>
          <w:sz w:val="24"/>
        </w:rPr>
      </w:pPr>
    </w:p>
    <w:p w14:paraId="669233AB" w14:textId="77777777" w:rsidR="00C24C97" w:rsidRDefault="00C24C97" w:rsidP="00C24C97">
      <w:pPr>
        <w:spacing w:after="0" w:line="240" w:lineRule="auto"/>
        <w:rPr>
          <w:rFonts w:ascii="Arial" w:hAnsi="Arial" w:cs="Arial"/>
          <w:b/>
          <w:bCs/>
          <w:sz w:val="24"/>
        </w:rPr>
      </w:pPr>
    </w:p>
    <w:p w14:paraId="4B6E8B4A" w14:textId="77777777" w:rsidR="00C24C97" w:rsidRDefault="00C24C97" w:rsidP="00C24C97">
      <w:pPr>
        <w:spacing w:after="0" w:line="240" w:lineRule="auto"/>
        <w:rPr>
          <w:rFonts w:ascii="Arial" w:hAnsi="Arial" w:cs="Arial"/>
          <w:b/>
          <w:bCs/>
          <w:sz w:val="24"/>
        </w:rPr>
      </w:pPr>
    </w:p>
    <w:p w14:paraId="6AE264EE" w14:textId="77777777" w:rsidR="00C24C97" w:rsidRDefault="00C24C97" w:rsidP="00C24C97">
      <w:pPr>
        <w:spacing w:after="0" w:line="240" w:lineRule="auto"/>
        <w:jc w:val="center"/>
        <w:rPr>
          <w:rFonts w:ascii="Arial" w:hAnsi="Arial" w:cs="Arial"/>
          <w:b/>
          <w:bCs/>
          <w:sz w:val="24"/>
        </w:rPr>
      </w:pPr>
      <w:r>
        <w:rPr>
          <w:rFonts w:ascii="Arial" w:hAnsi="Arial" w:cs="Arial"/>
          <w:b/>
          <w:bCs/>
          <w:sz w:val="24"/>
        </w:rPr>
        <w:t>DEKLAROWANE SKUTKI REGULACJI (DSR)</w:t>
      </w:r>
    </w:p>
    <w:p w14:paraId="0A46F081" w14:textId="77777777" w:rsidR="00C24C97" w:rsidRDefault="00C24C97" w:rsidP="00C24C97">
      <w:pPr>
        <w:spacing w:after="0" w:line="240" w:lineRule="auto"/>
        <w:jc w:val="center"/>
        <w:rPr>
          <w:rFonts w:ascii="Arial" w:hAnsi="Arial" w:cs="Arial"/>
          <w:b/>
          <w:bCs/>
          <w:sz w:val="24"/>
        </w:rPr>
      </w:pPr>
      <w:r>
        <w:rPr>
          <w:rFonts w:ascii="Arial" w:hAnsi="Arial" w:cs="Arial"/>
          <w:b/>
          <w:bCs/>
          <w:sz w:val="24"/>
        </w:rPr>
        <w:t>projektu ustawy</w:t>
      </w:r>
    </w:p>
    <w:p w14:paraId="5E854A05" w14:textId="77777777" w:rsidR="00C24C97" w:rsidRDefault="00C24C97" w:rsidP="00C24C97">
      <w:pPr>
        <w:spacing w:after="0" w:line="240" w:lineRule="auto"/>
        <w:jc w:val="center"/>
        <w:rPr>
          <w:rFonts w:ascii="Arial" w:hAnsi="Arial" w:cs="Arial"/>
          <w:b/>
          <w:bCs/>
          <w:sz w:val="24"/>
        </w:rPr>
      </w:pPr>
    </w:p>
    <w:p w14:paraId="3A7594C2" w14:textId="77777777" w:rsidR="00C24C97" w:rsidRDefault="00C24C97" w:rsidP="00C24C97">
      <w:pPr>
        <w:spacing w:after="0" w:line="240" w:lineRule="auto"/>
        <w:jc w:val="center"/>
        <w:rPr>
          <w:rFonts w:ascii="Arial" w:hAnsi="Arial" w:cs="Arial"/>
          <w:b/>
          <w:bCs/>
          <w:sz w:val="24"/>
        </w:rPr>
      </w:pPr>
    </w:p>
    <w:p w14:paraId="4BD8A261" w14:textId="77777777" w:rsidR="00C24C97" w:rsidRDefault="00C24C97" w:rsidP="00C24C97">
      <w:pPr>
        <w:tabs>
          <w:tab w:val="left" w:pos="2834"/>
        </w:tabs>
        <w:spacing w:after="0" w:line="240" w:lineRule="auto"/>
        <w:rPr>
          <w:rFonts w:ascii="Arial" w:hAnsi="Arial" w:cs="Arial"/>
          <w:b/>
          <w:bCs/>
          <w:sz w:val="24"/>
        </w:rPr>
      </w:pPr>
      <w:r>
        <w:rPr>
          <w:rFonts w:ascii="Arial" w:hAnsi="Arial" w:cs="Arial"/>
          <w:b/>
          <w:bCs/>
          <w:sz w:val="24"/>
        </w:rPr>
        <w:tab/>
      </w:r>
    </w:p>
    <w:p w14:paraId="50DA3D27" w14:textId="77777777" w:rsidR="00C24C97" w:rsidRPr="0017371E" w:rsidRDefault="00C24C97" w:rsidP="00C24C97">
      <w:pPr>
        <w:tabs>
          <w:tab w:val="left" w:pos="6290"/>
        </w:tabs>
        <w:jc w:val="both"/>
        <w:rPr>
          <w:rFonts w:ascii="Arial" w:hAnsi="Arial" w:cs="Arial"/>
          <w:b/>
          <w:bCs/>
          <w:sz w:val="24"/>
        </w:rPr>
      </w:pPr>
      <w:r>
        <w:rPr>
          <w:rFonts w:ascii="Arial" w:hAnsi="Arial" w:cs="Arial"/>
          <w:b/>
          <w:bCs/>
          <w:sz w:val="24"/>
        </w:rPr>
        <w:t>Informacja o projekcie</w:t>
      </w:r>
      <w:r>
        <w:rPr>
          <w:rFonts w:ascii="Arial" w:hAnsi="Arial" w:cs="Arial"/>
          <w:b/>
          <w:bCs/>
          <w:sz w:val="24"/>
        </w:rPr>
        <w:tab/>
      </w:r>
    </w:p>
    <w:p w14:paraId="5F68D9CE" w14:textId="77777777" w:rsidR="00C24C97" w:rsidRPr="0017371E" w:rsidRDefault="00C24C97" w:rsidP="00C24C97">
      <w:pPr>
        <w:ind w:left="360"/>
        <w:jc w:val="both"/>
        <w:rPr>
          <w:rFonts w:ascii="Arial" w:hAnsi="Arial" w:cs="Arial"/>
          <w:sz w:val="24"/>
          <w:szCs w:val="24"/>
        </w:rPr>
      </w:pPr>
      <w:r w:rsidRPr="0017371E">
        <w:rPr>
          <w:rFonts w:ascii="Arial" w:hAnsi="Arial" w:cs="Arial"/>
          <w:sz w:val="24"/>
          <w:szCs w:val="24"/>
        </w:rPr>
        <w:t>a) Tytuł projektu</w:t>
      </w:r>
      <w:r>
        <w:rPr>
          <w:rFonts w:ascii="Arial" w:hAnsi="Arial" w:cs="Arial"/>
          <w:sz w:val="24"/>
          <w:szCs w:val="24"/>
        </w:rPr>
        <w:t>:</w:t>
      </w:r>
    </w:p>
    <w:tbl>
      <w:tblPr>
        <w:tblStyle w:val="Tabela-Siatka"/>
        <w:tblW w:w="9182" w:type="dxa"/>
        <w:tblLook w:val="04A0" w:firstRow="1" w:lastRow="0" w:firstColumn="1" w:lastColumn="0" w:noHBand="0" w:noVBand="1"/>
      </w:tblPr>
      <w:tblGrid>
        <w:gridCol w:w="9182"/>
      </w:tblGrid>
      <w:tr w:rsidR="00C24C97" w14:paraId="34F05D32" w14:textId="77777777" w:rsidTr="00982649">
        <w:trPr>
          <w:trHeight w:val="410"/>
        </w:trPr>
        <w:tc>
          <w:tcPr>
            <w:tcW w:w="9182" w:type="dxa"/>
          </w:tcPr>
          <w:p w14:paraId="5478AF77" w14:textId="77777777" w:rsidR="00C24C97" w:rsidRPr="002C6016" w:rsidRDefault="00C24C97" w:rsidP="00982649">
            <w:pPr>
              <w:spacing w:line="276" w:lineRule="auto"/>
              <w:ind w:left="360"/>
              <w:jc w:val="both"/>
              <w:rPr>
                <w:rFonts w:ascii="Arial" w:eastAsia="Times New Roman" w:hAnsi="Arial" w:cs="Arial"/>
                <w:color w:val="808080" w:themeColor="background1" w:themeShade="80"/>
                <w:sz w:val="20"/>
                <w:szCs w:val="20"/>
                <w14:ligatures w14:val="none"/>
              </w:rPr>
            </w:pPr>
            <w:bookmarkStart w:id="0" w:name="_Hlk174516121"/>
            <w:r w:rsidRPr="00D320FD">
              <w:rPr>
                <w:rFonts w:ascii="Arial" w:hAnsi="Arial" w:cs="Arial"/>
                <w:sz w:val="20"/>
                <w:szCs w:val="20"/>
              </w:rPr>
              <w:t xml:space="preserve">projekt ustawy o zmianie ustawy o wykonywaniu mandatu posła i senatora oraz ustawy o Straży Marszałkowskiej </w:t>
            </w:r>
          </w:p>
        </w:tc>
      </w:tr>
      <w:bookmarkEnd w:id="0"/>
    </w:tbl>
    <w:p w14:paraId="04340F66" w14:textId="77777777" w:rsidR="00C24C97" w:rsidRDefault="00C24C97" w:rsidP="00C24C97">
      <w:pPr>
        <w:jc w:val="both"/>
        <w:rPr>
          <w:rFonts w:ascii="Arial" w:hAnsi="Arial" w:cs="Arial"/>
          <w:b/>
          <w:bCs/>
          <w:sz w:val="24"/>
        </w:rPr>
      </w:pPr>
    </w:p>
    <w:p w14:paraId="5C3F736D" w14:textId="77777777" w:rsidR="00C24C97" w:rsidRPr="0017371E" w:rsidRDefault="00C24C97" w:rsidP="00C24C97">
      <w:pPr>
        <w:ind w:left="360"/>
        <w:jc w:val="both"/>
        <w:rPr>
          <w:rFonts w:ascii="Arial" w:eastAsia="Times New Roman" w:hAnsi="Arial" w:cs="Arial"/>
          <w:sz w:val="24"/>
          <w:szCs w:val="24"/>
          <w14:ligatures w14:val="none"/>
        </w:rPr>
      </w:pPr>
      <w:r w:rsidRPr="0017371E">
        <w:rPr>
          <w:rFonts w:ascii="Arial" w:eastAsia="Times New Roman" w:hAnsi="Arial" w:cs="Arial"/>
          <w:sz w:val="24"/>
          <w:szCs w:val="24"/>
          <w14:ligatures w14:val="none"/>
        </w:rPr>
        <w:t>b) Przedstawiciel wnioskodawcy</w:t>
      </w:r>
      <w:r>
        <w:rPr>
          <w:rFonts w:ascii="Arial" w:eastAsia="Times New Roman" w:hAnsi="Arial" w:cs="Arial"/>
          <w:sz w:val="24"/>
          <w:szCs w:val="24"/>
          <w14:ligatures w14:val="none"/>
        </w:rPr>
        <w:t>:</w:t>
      </w:r>
    </w:p>
    <w:tbl>
      <w:tblPr>
        <w:tblStyle w:val="Tabela-Siatka"/>
        <w:tblW w:w="9209" w:type="dxa"/>
        <w:tblLook w:val="04A0" w:firstRow="1" w:lastRow="0" w:firstColumn="1" w:lastColumn="0" w:noHBand="0" w:noVBand="1"/>
      </w:tblPr>
      <w:tblGrid>
        <w:gridCol w:w="9209"/>
      </w:tblGrid>
      <w:tr w:rsidR="00C24C97" w14:paraId="2B24F3CD" w14:textId="77777777" w:rsidTr="00982649">
        <w:trPr>
          <w:trHeight w:val="671"/>
        </w:trPr>
        <w:tc>
          <w:tcPr>
            <w:tcW w:w="9209" w:type="dxa"/>
          </w:tcPr>
          <w:p w14:paraId="093BFF5B" w14:textId="77777777" w:rsidR="00C24C97" w:rsidRDefault="00C24C97" w:rsidP="00982649">
            <w:pPr>
              <w:jc w:val="both"/>
              <w:rPr>
                <w:rFonts w:ascii="Arial" w:eastAsia="Times New Roman" w:hAnsi="Arial" w:cs="Arial"/>
                <w:color w:val="808080" w:themeColor="background1" w:themeShade="80"/>
                <w:sz w:val="20"/>
                <w:szCs w:val="20"/>
                <w14:ligatures w14:val="none"/>
              </w:rPr>
            </w:pPr>
          </w:p>
          <w:p w14:paraId="5DC008F8" w14:textId="77A854F4" w:rsidR="00C24C97" w:rsidRPr="002C6016" w:rsidRDefault="00427101" w:rsidP="00982649">
            <w:pPr>
              <w:jc w:val="both"/>
              <w:rPr>
                <w:rFonts w:ascii="Arial" w:eastAsia="Times New Roman" w:hAnsi="Arial" w:cs="Arial"/>
                <w:color w:val="808080" w:themeColor="background1" w:themeShade="80"/>
                <w:sz w:val="20"/>
                <w:szCs w:val="20"/>
                <w14:ligatures w14:val="none"/>
              </w:rPr>
            </w:pPr>
            <w:r w:rsidRPr="00427101">
              <w:rPr>
                <w:rFonts w:ascii="Arial" w:eastAsia="Times New Roman" w:hAnsi="Arial" w:cs="Arial"/>
                <w:sz w:val="20"/>
                <w:szCs w:val="20"/>
                <w14:ligatures w14:val="none"/>
              </w:rPr>
              <w:t>Posłanka Wioleta Tomczak</w:t>
            </w:r>
          </w:p>
        </w:tc>
      </w:tr>
    </w:tbl>
    <w:p w14:paraId="43A9D3EB" w14:textId="77777777" w:rsidR="00C24C97" w:rsidRDefault="00C24C97" w:rsidP="00C24C97">
      <w:pPr>
        <w:jc w:val="both"/>
        <w:rPr>
          <w:rFonts w:ascii="Arial" w:hAnsi="Arial" w:cs="Arial"/>
          <w:b/>
          <w:bCs/>
          <w:sz w:val="24"/>
        </w:rPr>
      </w:pPr>
    </w:p>
    <w:p w14:paraId="6533AD0B" w14:textId="77777777" w:rsidR="00C24C97" w:rsidRPr="009C37AF" w:rsidRDefault="00C24C97" w:rsidP="00C24C97">
      <w:pPr>
        <w:rPr>
          <w:rFonts w:ascii="Arial" w:hAnsi="Arial" w:cs="Arial"/>
          <w:b/>
          <w:bCs/>
          <w:sz w:val="24"/>
        </w:rPr>
      </w:pPr>
    </w:p>
    <w:p w14:paraId="0A827490" w14:textId="77777777" w:rsidR="00C24C97" w:rsidRDefault="00C24C97" w:rsidP="00C24C97">
      <w:pPr>
        <w:rPr>
          <w:rFonts w:ascii="Arial" w:hAnsi="Arial" w:cs="Arial"/>
          <w:sz w:val="24"/>
        </w:rPr>
      </w:pPr>
      <w:r w:rsidRPr="009C37AF">
        <w:rPr>
          <w:rFonts w:ascii="Arial" w:hAnsi="Arial" w:cs="Arial"/>
          <w:b/>
          <w:sz w:val="24"/>
        </w:rPr>
        <w:t xml:space="preserve">I. </w:t>
      </w:r>
      <w:r>
        <w:rPr>
          <w:rFonts w:ascii="Arial" w:hAnsi="Arial" w:cs="Arial"/>
          <w:b/>
          <w:sz w:val="24"/>
        </w:rPr>
        <w:t>Część wstępna</w:t>
      </w:r>
    </w:p>
    <w:p w14:paraId="49BE6B90" w14:textId="77777777" w:rsidR="00C24C97" w:rsidRDefault="00C24C97" w:rsidP="00C24C97">
      <w:pPr>
        <w:jc w:val="both"/>
        <w:rPr>
          <w:rFonts w:ascii="Arial" w:hAnsi="Arial" w:cs="Arial"/>
          <w:sz w:val="24"/>
        </w:rPr>
      </w:pPr>
      <w:r w:rsidRPr="009C37AF">
        <w:rPr>
          <w:rFonts w:ascii="Arial" w:hAnsi="Arial" w:cs="Arial"/>
          <w:sz w:val="24"/>
        </w:rPr>
        <w:t xml:space="preserve">[1] </w:t>
      </w:r>
      <w:r>
        <w:rPr>
          <w:rFonts w:ascii="Arial" w:hAnsi="Arial" w:cs="Arial"/>
          <w:sz w:val="24"/>
        </w:rPr>
        <w:t>Zwięzły o</w:t>
      </w:r>
      <w:r w:rsidRPr="009C37AF">
        <w:rPr>
          <w:rFonts w:ascii="Arial" w:hAnsi="Arial" w:cs="Arial"/>
          <w:sz w:val="24"/>
        </w:rPr>
        <w:t xml:space="preserve">pis </w:t>
      </w:r>
      <w:r>
        <w:rPr>
          <w:rFonts w:ascii="Arial" w:hAnsi="Arial" w:cs="Arial"/>
          <w:sz w:val="24"/>
        </w:rPr>
        <w:t xml:space="preserve">zidentyfikowanego problemu i </w:t>
      </w:r>
      <w:r w:rsidRPr="009C37AF">
        <w:rPr>
          <w:rFonts w:ascii="Arial" w:hAnsi="Arial" w:cs="Arial"/>
          <w:sz w:val="24"/>
        </w:rPr>
        <w:t>proponowanych rozwiązań</w:t>
      </w:r>
      <w:r>
        <w:rPr>
          <w:rFonts w:ascii="Arial" w:hAnsi="Arial" w:cs="Arial"/>
          <w:sz w:val="24"/>
        </w:rPr>
        <w:t>.</w:t>
      </w:r>
    </w:p>
    <w:tbl>
      <w:tblPr>
        <w:tblStyle w:val="Tabela-Siatka"/>
        <w:tblW w:w="0" w:type="auto"/>
        <w:tblLook w:val="04A0" w:firstRow="1" w:lastRow="0" w:firstColumn="1" w:lastColumn="0" w:noHBand="0" w:noVBand="1"/>
      </w:tblPr>
      <w:tblGrid>
        <w:gridCol w:w="9060"/>
      </w:tblGrid>
      <w:tr w:rsidR="00C24C97" w14:paraId="2C860E82" w14:textId="77777777" w:rsidTr="00982649">
        <w:tc>
          <w:tcPr>
            <w:tcW w:w="9060" w:type="dxa"/>
          </w:tcPr>
          <w:p w14:paraId="29315672" w14:textId="77777777" w:rsidR="00C24C97" w:rsidRDefault="00C24C97" w:rsidP="00982649">
            <w:pPr>
              <w:jc w:val="both"/>
              <w:rPr>
                <w:rFonts w:ascii="Arial" w:eastAsia="Times New Roman" w:hAnsi="Arial" w:cs="Arial"/>
                <w:sz w:val="20"/>
                <w:szCs w:val="20"/>
                <w14:ligatures w14:val="none"/>
              </w:rPr>
            </w:pPr>
            <w:r w:rsidRPr="001F4258">
              <w:rPr>
                <w:rFonts w:ascii="Arial" w:eastAsia="Times New Roman" w:hAnsi="Arial" w:cs="Arial"/>
                <w:sz w:val="20"/>
                <w:szCs w:val="20"/>
                <w14:ligatures w14:val="none"/>
              </w:rPr>
              <w:t xml:space="preserve">Projekt ustawy ma na celu przeciwdziałanie zjawisku uczestniczenia parlamentarzystów w obradach Sejmu i Senatu pod wpływem alkoholu, co w ostatnich latach zdarzało się wielokrotnie i negatywnie wpływało na postrzeganie instytucji parlamentarnych oraz godziło w powagę sprawowanego mandatu. Alkohol jako substancja psychoaktywna ogranicza zdolności poznawcze, emocjonalne i decyzyjne, co w przypadku osób pełniących funkcje publiczne może mieć poważne skutki dla jakości procesu legislacyjnego i zaufania obywateli. Zgodnie z raportem OECD z 2021 r., Polska należy do czołówki krajów pod względem spożycia alkoholu, które wzrosło o 10% od 2010 r., a szkodliwe jego spożywanie obniża PKB i generuje znaczne koszty zdrowotne. </w:t>
            </w:r>
          </w:p>
          <w:p w14:paraId="64CE12CD" w14:textId="77777777" w:rsidR="00C24C97" w:rsidRDefault="00C24C97" w:rsidP="00982649">
            <w:pPr>
              <w:jc w:val="both"/>
              <w:rPr>
                <w:rFonts w:ascii="Arial" w:eastAsia="Times New Roman" w:hAnsi="Arial" w:cs="Arial"/>
                <w:sz w:val="20"/>
                <w:szCs w:val="20"/>
                <w14:ligatures w14:val="none"/>
              </w:rPr>
            </w:pPr>
            <w:r w:rsidRPr="001F4258">
              <w:rPr>
                <w:rFonts w:ascii="Arial" w:eastAsia="Times New Roman" w:hAnsi="Arial" w:cs="Arial"/>
                <w:sz w:val="20"/>
                <w:szCs w:val="20"/>
                <w14:ligatures w14:val="none"/>
              </w:rPr>
              <w:t xml:space="preserve">Projekt zakłada możliwość przeprowadzenia badania trzeźwości parlamentarzystów </w:t>
            </w:r>
            <w:r>
              <w:rPr>
                <w:rFonts w:ascii="Arial" w:eastAsia="Times New Roman" w:hAnsi="Arial" w:cs="Arial"/>
                <w:sz w:val="20"/>
                <w:szCs w:val="20"/>
                <w14:ligatures w14:val="none"/>
              </w:rPr>
              <w:t xml:space="preserve">na zarządzenie </w:t>
            </w:r>
            <w:r w:rsidRPr="001F4258">
              <w:rPr>
                <w:rFonts w:ascii="Arial" w:eastAsia="Times New Roman" w:hAnsi="Arial" w:cs="Arial"/>
                <w:sz w:val="20"/>
                <w:szCs w:val="20"/>
                <w14:ligatures w14:val="none"/>
              </w:rPr>
              <w:t>Marszałka Sejmu lub Senatu bądź przewodniczącego obrad</w:t>
            </w:r>
            <w:r>
              <w:rPr>
                <w:rFonts w:ascii="Arial" w:eastAsia="Times New Roman" w:hAnsi="Arial" w:cs="Arial"/>
                <w:sz w:val="20"/>
                <w:szCs w:val="20"/>
                <w14:ligatures w14:val="none"/>
              </w:rPr>
              <w:t xml:space="preserve"> wicemarszałka Sejmu lub Senatu,</w:t>
            </w:r>
            <w:r w:rsidRPr="001F4258">
              <w:rPr>
                <w:rFonts w:ascii="Arial" w:eastAsia="Times New Roman" w:hAnsi="Arial" w:cs="Arial"/>
                <w:sz w:val="20"/>
                <w:szCs w:val="20"/>
                <w14:ligatures w14:val="none"/>
              </w:rPr>
              <w:t xml:space="preserve"> wyłącznie w przypadku uzasadnionego podejrzenia przebywania pod wpływem alkoholu podczas posiedzenia –. Badanie wykonywane byłoby przez Straż Marszałkowską z użyciem alkomatu, bez możliwości pobierania krwi. Odmowa poddania się badaniu lub niemożność jego przeprowadzenia może skutkować wykluczeniem parlamentarzysty z obrad, jednak decyzja ta pozostaje w gestii organu prowadzącego posiedzenie. </w:t>
            </w:r>
          </w:p>
          <w:p w14:paraId="50B435F0" w14:textId="77777777" w:rsidR="00C24C97" w:rsidRPr="002D489F" w:rsidRDefault="00C24C97" w:rsidP="00982649">
            <w:pPr>
              <w:jc w:val="both"/>
              <w:rPr>
                <w:rFonts w:ascii="Arial" w:eastAsia="Times New Roman" w:hAnsi="Arial" w:cs="Arial"/>
                <w:sz w:val="20"/>
                <w:szCs w:val="20"/>
                <w14:ligatures w14:val="none"/>
              </w:rPr>
            </w:pPr>
            <w:r w:rsidRPr="001F4258">
              <w:rPr>
                <w:rFonts w:ascii="Arial" w:eastAsia="Times New Roman" w:hAnsi="Arial" w:cs="Arial"/>
                <w:sz w:val="20"/>
                <w:szCs w:val="20"/>
                <w14:ligatures w14:val="none"/>
              </w:rPr>
              <w:t>Brak regulacji w tym zakresie utrwalałby stan faktycznej bezkarności, tworzyłby wrażenie przyzwolenia na nieodpowiedzialne zachowania oraz osłabiałby autorytet Sejmu i Senatu jako organów przedstawicielskich Rzeczypospolitej.</w:t>
            </w:r>
            <w:r>
              <w:rPr>
                <w:rFonts w:ascii="Arial" w:eastAsia="Times New Roman" w:hAnsi="Arial" w:cs="Arial"/>
                <w:sz w:val="20"/>
                <w:szCs w:val="20"/>
                <w14:ligatures w14:val="none"/>
              </w:rPr>
              <w:t xml:space="preserve"> </w:t>
            </w:r>
          </w:p>
        </w:tc>
      </w:tr>
    </w:tbl>
    <w:p w14:paraId="2DE74E4B" w14:textId="77777777" w:rsidR="00C24C97" w:rsidRDefault="00C24C97" w:rsidP="00C24C97">
      <w:pPr>
        <w:jc w:val="both"/>
        <w:rPr>
          <w:rFonts w:ascii="Arial" w:hAnsi="Arial" w:cs="Arial"/>
          <w:sz w:val="24"/>
        </w:rPr>
      </w:pPr>
    </w:p>
    <w:p w14:paraId="1DB36E83" w14:textId="77777777" w:rsidR="00C24C97" w:rsidRPr="009C37AF" w:rsidRDefault="00C24C97" w:rsidP="00C24C97">
      <w:pPr>
        <w:jc w:val="both"/>
        <w:rPr>
          <w:rFonts w:ascii="Arial" w:hAnsi="Arial" w:cs="Arial"/>
          <w:sz w:val="24"/>
        </w:rPr>
      </w:pPr>
    </w:p>
    <w:p w14:paraId="07A35436" w14:textId="77777777" w:rsidR="00C24C97" w:rsidRPr="009C37AF" w:rsidRDefault="00C24C97" w:rsidP="00C24C97">
      <w:pPr>
        <w:jc w:val="both"/>
        <w:rPr>
          <w:rFonts w:ascii="Arial" w:hAnsi="Arial" w:cs="Arial"/>
          <w:sz w:val="24"/>
        </w:rPr>
      </w:pPr>
      <w:r w:rsidRPr="009C37AF">
        <w:rPr>
          <w:rFonts w:ascii="Arial" w:hAnsi="Arial" w:cs="Arial"/>
          <w:sz w:val="24"/>
        </w:rPr>
        <w:t>[2] Czy były rozważane rozwiązania alternatywne?</w:t>
      </w:r>
    </w:p>
    <w:p w14:paraId="1FE24D12" w14:textId="77777777" w:rsidR="00C24C97" w:rsidRPr="00E927A5" w:rsidRDefault="00C24C97" w:rsidP="00C24C97">
      <w:pPr>
        <w:pStyle w:val="Akapitzlist"/>
        <w:numPr>
          <w:ilvl w:val="0"/>
          <w:numId w:val="1"/>
        </w:numPr>
        <w:spacing w:line="240" w:lineRule="auto"/>
        <w:jc w:val="both"/>
        <w:rPr>
          <w:rFonts w:ascii="Arial" w:hAnsi="Arial" w:cs="Arial"/>
          <w:b/>
          <w:bCs/>
          <w:sz w:val="24"/>
        </w:rPr>
      </w:pPr>
      <w:r>
        <w:rPr>
          <w:rFonts w:ascii="Arial" w:hAnsi="Arial" w:cs="Arial"/>
          <w:b/>
          <w:bCs/>
          <w:sz w:val="24"/>
        </w:rPr>
        <w:t>Tak</w:t>
      </w:r>
    </w:p>
    <w:tbl>
      <w:tblPr>
        <w:tblStyle w:val="Tabela-Siatka"/>
        <w:tblW w:w="0" w:type="auto"/>
        <w:tblLook w:val="04A0" w:firstRow="1" w:lastRow="0" w:firstColumn="1" w:lastColumn="0" w:noHBand="0" w:noVBand="1"/>
      </w:tblPr>
      <w:tblGrid>
        <w:gridCol w:w="9060"/>
      </w:tblGrid>
      <w:tr w:rsidR="00C24C97" w14:paraId="4C6433AB" w14:textId="77777777" w:rsidTr="00982649">
        <w:tc>
          <w:tcPr>
            <w:tcW w:w="9062" w:type="dxa"/>
          </w:tcPr>
          <w:p w14:paraId="47B380E2" w14:textId="77777777" w:rsidR="00C24C97" w:rsidRPr="00E927A5" w:rsidRDefault="00C24C97" w:rsidP="00982649">
            <w:pPr>
              <w:jc w:val="both"/>
              <w:rPr>
                <w:rFonts w:ascii="Arial" w:eastAsia="Times New Roman" w:hAnsi="Arial" w:cs="Arial"/>
                <w:sz w:val="20"/>
                <w:szCs w:val="20"/>
                <w14:ligatures w14:val="none"/>
              </w:rPr>
            </w:pPr>
            <w:bookmarkStart w:id="1" w:name="_Hlk174441549"/>
            <w:r>
              <w:rPr>
                <w:rFonts w:ascii="Arial" w:eastAsia="Times New Roman" w:hAnsi="Arial" w:cs="Arial"/>
                <w:sz w:val="20"/>
                <w:szCs w:val="20"/>
                <w14:ligatures w14:val="none"/>
              </w:rPr>
              <w:t xml:space="preserve">Rozważano wprowadzenie ww. zmian w Regulaminie Sejmu. Stwierdzono jednak, że ranga i waga proponowanej regulacji (m.in. potencjalna ingerencja w sferę prywatności parlamentarzysty) wymaga interwencji na poziomie ustawy. </w:t>
            </w:r>
          </w:p>
        </w:tc>
      </w:tr>
    </w:tbl>
    <w:bookmarkEnd w:id="1"/>
    <w:p w14:paraId="3B1F1198" w14:textId="77777777" w:rsidR="00C24C97" w:rsidRDefault="00C24C97" w:rsidP="00C24C97">
      <w:pPr>
        <w:rPr>
          <w:rFonts w:ascii="Arial" w:hAnsi="Arial" w:cs="Arial"/>
          <w:sz w:val="24"/>
        </w:rPr>
      </w:pPr>
      <w:r w:rsidRPr="009C37AF">
        <w:rPr>
          <w:rFonts w:ascii="Arial" w:hAnsi="Arial" w:cs="Arial"/>
          <w:b/>
          <w:sz w:val="24"/>
        </w:rPr>
        <w:t xml:space="preserve">II. </w:t>
      </w:r>
      <w:r>
        <w:rPr>
          <w:rFonts w:ascii="Arial" w:hAnsi="Arial" w:cs="Arial"/>
          <w:b/>
          <w:sz w:val="24"/>
        </w:rPr>
        <w:t>Wymogi określone w art. 34 ust. 2 pkt 3–5 regulaminu Sejmu</w:t>
      </w:r>
    </w:p>
    <w:p w14:paraId="31F2D254" w14:textId="77777777" w:rsidR="00C24C97" w:rsidRDefault="00C24C97" w:rsidP="00C24C97">
      <w:pPr>
        <w:jc w:val="both"/>
        <w:rPr>
          <w:rFonts w:ascii="Arial" w:hAnsi="Arial" w:cs="Arial"/>
          <w:sz w:val="24"/>
        </w:rPr>
      </w:pPr>
      <w:r w:rsidRPr="009C37AF">
        <w:rPr>
          <w:rFonts w:ascii="Arial" w:hAnsi="Arial" w:cs="Arial"/>
          <w:sz w:val="24"/>
        </w:rPr>
        <w:lastRenderedPageBreak/>
        <w:t xml:space="preserve">[3] Jakie są </w:t>
      </w:r>
      <w:r>
        <w:rPr>
          <w:rFonts w:ascii="Arial" w:hAnsi="Arial" w:cs="Arial"/>
          <w:sz w:val="24"/>
        </w:rPr>
        <w:t>przewidywane</w:t>
      </w:r>
      <w:r w:rsidRPr="009C37AF">
        <w:rPr>
          <w:rFonts w:ascii="Arial" w:hAnsi="Arial" w:cs="Arial"/>
          <w:sz w:val="24"/>
        </w:rPr>
        <w:t xml:space="preserve"> skutki prawne projektowanych rozwiązań?</w:t>
      </w:r>
    </w:p>
    <w:tbl>
      <w:tblPr>
        <w:tblStyle w:val="Tabela-Siatka"/>
        <w:tblW w:w="0" w:type="auto"/>
        <w:tblLook w:val="04A0" w:firstRow="1" w:lastRow="0" w:firstColumn="1" w:lastColumn="0" w:noHBand="0" w:noVBand="1"/>
      </w:tblPr>
      <w:tblGrid>
        <w:gridCol w:w="9060"/>
      </w:tblGrid>
      <w:tr w:rsidR="00C24C97" w14:paraId="6F05B2BE" w14:textId="77777777" w:rsidTr="00982649">
        <w:tc>
          <w:tcPr>
            <w:tcW w:w="9062" w:type="dxa"/>
          </w:tcPr>
          <w:p w14:paraId="4B7BBFC0" w14:textId="77777777" w:rsidR="00C24C97" w:rsidRDefault="00C24C97" w:rsidP="00982649">
            <w:pPr>
              <w:numPr>
                <w:ilvl w:val="0"/>
                <w:numId w:val="3"/>
              </w:numPr>
              <w:spacing w:line="276" w:lineRule="auto"/>
              <w:jc w:val="both"/>
              <w:rPr>
                <w:rFonts w:ascii="Arial" w:eastAsia="Times New Roman" w:hAnsi="Arial" w:cs="Arial"/>
                <w:b/>
                <w:bCs/>
                <w:sz w:val="20"/>
                <w:szCs w:val="20"/>
                <w14:ligatures w14:val="none"/>
              </w:rPr>
            </w:pPr>
            <w:r w:rsidRPr="00A32D2D">
              <w:rPr>
                <w:rFonts w:ascii="Arial" w:eastAsia="Times New Roman" w:hAnsi="Arial" w:cs="Arial"/>
                <w:b/>
                <w:bCs/>
                <w:sz w:val="20"/>
                <w:szCs w:val="20"/>
                <w14:ligatures w14:val="none"/>
              </w:rPr>
              <w:t xml:space="preserve">Dotychczasowy stan prawny </w:t>
            </w:r>
          </w:p>
          <w:p w14:paraId="6577FD6B" w14:textId="77777777" w:rsidR="00C24C97" w:rsidRPr="00923D8A" w:rsidRDefault="00C24C97" w:rsidP="00982649">
            <w:pPr>
              <w:spacing w:line="276" w:lineRule="auto"/>
              <w:jc w:val="both"/>
              <w:rPr>
                <w:rFonts w:ascii="Arial" w:eastAsia="Times New Roman" w:hAnsi="Arial" w:cs="Arial"/>
                <w:sz w:val="20"/>
                <w:szCs w:val="20"/>
                <w14:ligatures w14:val="none"/>
              </w:rPr>
            </w:pPr>
            <w:r w:rsidRPr="00923D8A">
              <w:rPr>
                <w:rFonts w:ascii="Arial" w:eastAsia="Times New Roman" w:hAnsi="Arial" w:cs="Arial"/>
                <w:sz w:val="20"/>
                <w:szCs w:val="20"/>
                <w14:ligatures w14:val="none"/>
              </w:rPr>
              <w:t>Brak regulacji umożliwiającej badanie posła lub senatora w celu ustalenia zawartości w organizmie alkoholu przy użyciu urządzeń elektronicznych dokonujących pomiaru stężenia alkoholu w</w:t>
            </w:r>
            <w:r>
              <w:rPr>
                <w:rFonts w:ascii="Arial" w:eastAsia="Times New Roman" w:hAnsi="Arial" w:cs="Arial"/>
                <w:sz w:val="20"/>
                <w:szCs w:val="20"/>
                <w14:ligatures w14:val="none"/>
              </w:rPr>
              <w:t> </w:t>
            </w:r>
            <w:r w:rsidRPr="00923D8A">
              <w:rPr>
                <w:rFonts w:ascii="Arial" w:eastAsia="Times New Roman" w:hAnsi="Arial" w:cs="Arial"/>
                <w:sz w:val="20"/>
                <w:szCs w:val="20"/>
                <w14:ligatures w14:val="none"/>
              </w:rPr>
              <w:t>wydychanym powietrzu (tzw. alkomaty)</w:t>
            </w:r>
          </w:p>
          <w:p w14:paraId="4741D573" w14:textId="77777777" w:rsidR="00C24C97" w:rsidRPr="00A32D2D" w:rsidRDefault="00C24C97" w:rsidP="00982649">
            <w:pPr>
              <w:spacing w:line="276" w:lineRule="auto"/>
              <w:jc w:val="both"/>
              <w:rPr>
                <w:rFonts w:ascii="Arial" w:eastAsia="Times New Roman" w:hAnsi="Arial" w:cs="Arial"/>
                <w:sz w:val="20"/>
                <w:szCs w:val="20"/>
                <w14:ligatures w14:val="none"/>
              </w:rPr>
            </w:pPr>
          </w:p>
          <w:p w14:paraId="43A685FA" w14:textId="77777777" w:rsidR="00C24C97" w:rsidRDefault="00C24C97" w:rsidP="00982649">
            <w:pPr>
              <w:numPr>
                <w:ilvl w:val="0"/>
                <w:numId w:val="3"/>
              </w:numPr>
              <w:spacing w:line="276" w:lineRule="auto"/>
              <w:jc w:val="both"/>
              <w:rPr>
                <w:rFonts w:ascii="Arial" w:eastAsia="Times New Roman" w:hAnsi="Arial" w:cs="Arial"/>
                <w:b/>
                <w:bCs/>
                <w:sz w:val="20"/>
                <w:szCs w:val="20"/>
                <w14:ligatures w14:val="none"/>
              </w:rPr>
            </w:pPr>
            <w:r w:rsidRPr="00A32D2D">
              <w:rPr>
                <w:rFonts w:ascii="Arial" w:eastAsia="Times New Roman" w:hAnsi="Arial" w:cs="Arial"/>
                <w:b/>
                <w:bCs/>
                <w:sz w:val="20"/>
                <w:szCs w:val="20"/>
                <w14:ligatures w14:val="none"/>
              </w:rPr>
              <w:t xml:space="preserve">Projektowany stan prawny </w:t>
            </w:r>
          </w:p>
          <w:p w14:paraId="666EA28E" w14:textId="77777777" w:rsidR="00C24C97" w:rsidRDefault="00C24C97" w:rsidP="00982649">
            <w:pPr>
              <w:spacing w:line="276" w:lineRule="auto"/>
              <w:jc w:val="both"/>
              <w:rPr>
                <w:rFonts w:ascii="Arial" w:eastAsia="Times New Roman" w:hAnsi="Arial" w:cs="Arial"/>
                <w:b/>
                <w:bCs/>
                <w:sz w:val="20"/>
                <w:szCs w:val="20"/>
                <w14:ligatures w14:val="none"/>
              </w:rPr>
            </w:pPr>
          </w:p>
          <w:p w14:paraId="3D5F2084" w14:textId="77777777" w:rsidR="00C24C97" w:rsidRPr="00923D8A" w:rsidRDefault="00C24C97" w:rsidP="00982649">
            <w:pPr>
              <w:spacing w:line="276" w:lineRule="auto"/>
              <w:ind w:firstLine="426"/>
              <w:jc w:val="both"/>
              <w:rPr>
                <w:rFonts w:ascii="Arial" w:eastAsia="Aptos" w:hAnsi="Arial" w:cs="Arial"/>
                <w:sz w:val="20"/>
                <w:szCs w:val="20"/>
              </w:rPr>
            </w:pPr>
            <w:r>
              <w:rPr>
                <w:rFonts w:ascii="Arial" w:eastAsia="Aptos" w:hAnsi="Arial" w:cs="Arial"/>
                <w:sz w:val="20"/>
                <w:szCs w:val="20"/>
              </w:rPr>
              <w:t>N</w:t>
            </w:r>
            <w:r w:rsidRPr="00CD77C4">
              <w:rPr>
                <w:rFonts w:ascii="Arial" w:eastAsia="Aptos" w:hAnsi="Arial" w:cs="Arial"/>
                <w:sz w:val="20"/>
                <w:szCs w:val="20"/>
              </w:rPr>
              <w:t>owelizacj</w:t>
            </w:r>
            <w:r>
              <w:rPr>
                <w:rFonts w:ascii="Arial" w:eastAsia="Aptos" w:hAnsi="Arial" w:cs="Arial"/>
                <w:sz w:val="20"/>
                <w:szCs w:val="20"/>
              </w:rPr>
              <w:t>a</w:t>
            </w:r>
            <w:r w:rsidRPr="00CD77C4">
              <w:rPr>
                <w:rFonts w:ascii="Arial" w:eastAsia="Aptos" w:hAnsi="Arial" w:cs="Arial"/>
                <w:sz w:val="20"/>
                <w:szCs w:val="20"/>
              </w:rPr>
              <w:t xml:space="preserve"> ustawy o wykonywaniu mandatu posła i senatora poprzez dodanie art. 10c. W</w:t>
            </w:r>
            <w:r w:rsidRPr="00923D8A">
              <w:rPr>
                <w:rFonts w:ascii="Arial" w:eastAsia="Aptos" w:hAnsi="Arial" w:cs="Arial"/>
                <w:sz w:val="20"/>
                <w:szCs w:val="20"/>
              </w:rPr>
              <w:t xml:space="preserve"> projektowanych regulacjach przyjęto, że zarządzenie przeprowadzenia przez Straż Marszałkowską badania posła lub senatora w celu ustalenia zawartości w organizmie alkoholu będzie możliwe tylko w przypadku „uzasadnionego podejrzenia” uczestniczenia przez posła lub senatora w posiedzeniu Sejmu lub Senatu w stanie po użyciu alkoholu albo w stanie nietrzeźwości (w zakresie tych pojęć odsyła się do ustawy o wychowaniu w trzeźwości i przeciwdziałaniu alkoholizmowi). Badanie będą mogli zarządzić tylko Marszałek Sejmu lub Marszałek Senatu albo przewodniczący obradom Sejmu lub Senatu wicemarszałek. Wyklucza to prewencyjną kontrolę parlamentarzystów, gdyż – w ocenie projektodawców – taka prewencyjna kontrola nadmiernie ingerowałaby w mandat przedstawicielski i godność urzędu posła lub senatora.</w:t>
            </w:r>
          </w:p>
          <w:p w14:paraId="056F3642" w14:textId="77777777" w:rsidR="00C24C97" w:rsidRPr="00923D8A" w:rsidRDefault="00C24C97" w:rsidP="00982649">
            <w:pPr>
              <w:spacing w:line="276" w:lineRule="auto"/>
              <w:ind w:firstLine="426"/>
              <w:jc w:val="both"/>
              <w:rPr>
                <w:rFonts w:ascii="Arial" w:eastAsia="Aptos" w:hAnsi="Arial" w:cs="Arial"/>
                <w:sz w:val="20"/>
                <w:szCs w:val="20"/>
              </w:rPr>
            </w:pPr>
            <w:r w:rsidRPr="00923D8A">
              <w:rPr>
                <w:rFonts w:ascii="Arial" w:eastAsia="Aptos" w:hAnsi="Arial" w:cs="Arial"/>
                <w:sz w:val="20"/>
                <w:szCs w:val="20"/>
              </w:rPr>
              <w:t>Zakłada się przy tym, że możliwe będzie jedynie badanie przy użyciu urządzeń elektronicznych dokonujących pomiaru stężenia alkoholu w wydychanym powietrzu. Wyklucza się przy tym możliwość, ażeby funkcjonariusz Straży Marszałkowskiej przeprowadzał badanie krwi, uznając, że byłaby to nieuzasadniona ingerencja w wykonywanie mandatu posła lub senatora.</w:t>
            </w:r>
          </w:p>
          <w:p w14:paraId="16812E56" w14:textId="77777777" w:rsidR="00C24C97" w:rsidRPr="00923D8A" w:rsidRDefault="00C24C97" w:rsidP="00982649">
            <w:pPr>
              <w:spacing w:line="276" w:lineRule="auto"/>
              <w:ind w:firstLine="426"/>
              <w:jc w:val="both"/>
              <w:rPr>
                <w:rFonts w:ascii="Arial" w:eastAsia="Aptos" w:hAnsi="Arial" w:cs="Arial"/>
                <w:sz w:val="20"/>
                <w:szCs w:val="20"/>
              </w:rPr>
            </w:pPr>
            <w:r w:rsidRPr="00923D8A">
              <w:rPr>
                <w:rFonts w:ascii="Arial" w:eastAsia="Aptos" w:hAnsi="Arial" w:cs="Arial"/>
                <w:sz w:val="20"/>
                <w:szCs w:val="20"/>
              </w:rPr>
              <w:t>W przedłożonym projekcie uregulowano konsekwencje stwierdzenia u posła lub senatora, na</w:t>
            </w:r>
            <w:r>
              <w:rPr>
                <w:rFonts w:ascii="Arial" w:eastAsia="Aptos" w:hAnsi="Arial" w:cs="Arial"/>
                <w:sz w:val="20"/>
                <w:szCs w:val="20"/>
              </w:rPr>
              <w:t> </w:t>
            </w:r>
            <w:r w:rsidRPr="00923D8A">
              <w:rPr>
                <w:rFonts w:ascii="Arial" w:eastAsia="Aptos" w:hAnsi="Arial" w:cs="Arial"/>
                <w:sz w:val="20"/>
                <w:szCs w:val="20"/>
              </w:rPr>
              <w:t>podstawie ww. badania, stanu po użyciu alkoholu albo stanu nietrzeźwości. Przewidziano przy tym, że wówczas organ prowadzący obrady (odpowiednio: Marszałek Sejm, Marszałek Senatu albo przewodniczący obradom Sejmu lub Senatu wicemarszałek) może wykluczyć posła lub senatora z</w:t>
            </w:r>
            <w:r>
              <w:rPr>
                <w:rFonts w:ascii="Arial" w:eastAsia="Aptos" w:hAnsi="Arial" w:cs="Arial"/>
                <w:sz w:val="20"/>
                <w:szCs w:val="20"/>
              </w:rPr>
              <w:t> </w:t>
            </w:r>
            <w:r w:rsidRPr="00923D8A">
              <w:rPr>
                <w:rFonts w:ascii="Arial" w:eastAsia="Aptos" w:hAnsi="Arial" w:cs="Arial"/>
                <w:sz w:val="20"/>
                <w:szCs w:val="20"/>
              </w:rPr>
              <w:t>obrad. Z jednej strony, pozostawia to ostateczną decyzję Marszałkowi Sejmu lub Marszałkowi Senatu albo przewodniczącemu obradom wicemarszałkowi, co istotne w przypadku niejednoznacznych przypadków (np. wskazywania w różnych badaniach minimalnego przekroczenia wskaźników stężenia alkoholu w wydychanym powietrzu). Z drugiej strony, projektowane regulacje umożliwiają wykluczenie z posiedzenia posła lub senatora, jeżeli dalsze uczestniczenie przez posła lub senatora w obradach naruszałoby m.in. powagę parlamentu.</w:t>
            </w:r>
          </w:p>
          <w:p w14:paraId="74DB6118" w14:textId="77777777" w:rsidR="00C24C97" w:rsidRPr="00923D8A" w:rsidRDefault="00C24C97" w:rsidP="00982649">
            <w:pPr>
              <w:spacing w:line="276" w:lineRule="auto"/>
              <w:ind w:firstLine="426"/>
              <w:jc w:val="both"/>
              <w:rPr>
                <w:rFonts w:ascii="Arial" w:eastAsia="Aptos" w:hAnsi="Arial" w:cs="Arial"/>
                <w:sz w:val="20"/>
                <w:szCs w:val="20"/>
              </w:rPr>
            </w:pPr>
            <w:r w:rsidRPr="00923D8A">
              <w:rPr>
                <w:rFonts w:ascii="Arial" w:eastAsia="Aptos" w:hAnsi="Arial" w:cs="Arial"/>
                <w:sz w:val="20"/>
                <w:szCs w:val="20"/>
              </w:rPr>
              <w:t>Ten sam skutek, tj. możliwość wykluczenia z obrad, przewidziano w przypadku odmowy poddania się badaniu stężenia alkoholu w wydychanym powietrzu albo gdy poseł lub senator jest w</w:t>
            </w:r>
            <w:r>
              <w:rPr>
                <w:rFonts w:ascii="Arial" w:eastAsia="Aptos" w:hAnsi="Arial" w:cs="Arial"/>
                <w:sz w:val="20"/>
                <w:szCs w:val="20"/>
              </w:rPr>
              <w:t> </w:t>
            </w:r>
            <w:r w:rsidRPr="00923D8A">
              <w:rPr>
                <w:rFonts w:ascii="Arial" w:eastAsia="Aptos" w:hAnsi="Arial" w:cs="Arial"/>
                <w:sz w:val="20"/>
                <w:szCs w:val="20"/>
              </w:rPr>
              <w:t>stanie uniemożliwiającym takie badanie. Tym samym parlamentarzystę nie można przymusowo zbadać na obecność alkoholu, zaś poseł lub senator, który nie wyrazi zgody na badanie (które, co</w:t>
            </w:r>
            <w:r>
              <w:rPr>
                <w:rFonts w:ascii="Arial" w:eastAsia="Aptos" w:hAnsi="Arial" w:cs="Arial"/>
                <w:sz w:val="20"/>
                <w:szCs w:val="20"/>
              </w:rPr>
              <w:t> </w:t>
            </w:r>
            <w:r w:rsidRPr="00923D8A">
              <w:rPr>
                <w:rFonts w:ascii="Arial" w:eastAsia="Aptos" w:hAnsi="Arial" w:cs="Arial"/>
                <w:sz w:val="20"/>
                <w:szCs w:val="20"/>
              </w:rPr>
              <w:t xml:space="preserve">należy podkreślić, może być zlecone jedynie w przypadku „uzasadnionego podejrzenia” uczestniczenia przez posła lub senatora w posiedzeniu Sejmu lub Senatu w stanie po użyciu alkoholu albo w stanie nietrzeźwości), może zostać wykluczony z obrad. Propozycja w tym względzie wynika z próby znalezienia kompromisu pomiędzy efektywnością wprowadzanych regulacji związanych z badaniem zawartości alkoholu ze specyfiką i godnością mandatu przedstawicielskiego. Zarazem przewidziana możliwość wykluczenia z obrad (nie zaś bezwzględny obowiązek) ma </w:t>
            </w:r>
            <w:r w:rsidRPr="0081197A">
              <w:rPr>
                <w:rFonts w:ascii="Arial" w:eastAsia="Aptos" w:hAnsi="Arial" w:cs="Arial"/>
                <w:sz w:val="20"/>
                <w:szCs w:val="20"/>
              </w:rPr>
              <w:t>zapewnić luz decyzyjn</w:t>
            </w:r>
            <w:r w:rsidRPr="006736A3">
              <w:rPr>
                <w:rFonts w:ascii="Arial" w:eastAsia="Aptos" w:hAnsi="Arial" w:cs="Arial"/>
                <w:sz w:val="20"/>
                <w:szCs w:val="20"/>
              </w:rPr>
              <w:t>y</w:t>
            </w:r>
            <w:r w:rsidRPr="00923D8A">
              <w:rPr>
                <w:rFonts w:ascii="Arial" w:eastAsia="Aptos" w:hAnsi="Arial" w:cs="Arial"/>
                <w:sz w:val="20"/>
                <w:szCs w:val="20"/>
              </w:rPr>
              <w:t xml:space="preserve"> w przypadkach nieoczywistych, m.in. gdy przebadanie posła lub senatora nie jest możliwe ze względów zdrowotnych.</w:t>
            </w:r>
          </w:p>
          <w:p w14:paraId="1F28DD57" w14:textId="77777777" w:rsidR="00C24C97" w:rsidRPr="00923D8A" w:rsidRDefault="00C24C97" w:rsidP="00982649">
            <w:pPr>
              <w:spacing w:line="276" w:lineRule="auto"/>
              <w:ind w:firstLine="426"/>
              <w:jc w:val="both"/>
              <w:rPr>
                <w:rFonts w:ascii="Arial" w:eastAsia="Aptos" w:hAnsi="Arial" w:cs="Arial"/>
                <w:sz w:val="20"/>
                <w:szCs w:val="20"/>
              </w:rPr>
            </w:pPr>
            <w:r>
              <w:rPr>
                <w:rFonts w:ascii="Arial" w:eastAsia="Aptos" w:hAnsi="Arial" w:cs="Arial"/>
                <w:sz w:val="20"/>
                <w:szCs w:val="20"/>
              </w:rPr>
              <w:t>N</w:t>
            </w:r>
            <w:r w:rsidRPr="00923D8A">
              <w:rPr>
                <w:rFonts w:ascii="Arial" w:eastAsia="Aptos" w:hAnsi="Arial" w:cs="Arial"/>
                <w:sz w:val="20"/>
                <w:szCs w:val="20"/>
              </w:rPr>
              <w:t>owelizacj</w:t>
            </w:r>
            <w:r>
              <w:rPr>
                <w:rFonts w:ascii="Arial" w:eastAsia="Aptos" w:hAnsi="Arial" w:cs="Arial"/>
                <w:sz w:val="20"/>
                <w:szCs w:val="20"/>
              </w:rPr>
              <w:t>a</w:t>
            </w:r>
            <w:r w:rsidRPr="00923D8A">
              <w:rPr>
                <w:rFonts w:ascii="Arial" w:eastAsia="Aptos" w:hAnsi="Arial" w:cs="Arial"/>
                <w:sz w:val="20"/>
                <w:szCs w:val="20"/>
              </w:rPr>
              <w:t xml:space="preserve"> </w:t>
            </w:r>
            <w:r w:rsidRPr="00CD77C4">
              <w:rPr>
                <w:rFonts w:ascii="Arial" w:eastAsia="Aptos" w:hAnsi="Arial" w:cs="Arial"/>
                <w:sz w:val="20"/>
                <w:szCs w:val="20"/>
              </w:rPr>
              <w:t>ustawy o Straży Marszałkowskiej</w:t>
            </w:r>
            <w:r w:rsidRPr="00923D8A">
              <w:rPr>
                <w:rFonts w:ascii="Arial" w:eastAsia="Aptos" w:hAnsi="Arial" w:cs="Arial"/>
                <w:sz w:val="20"/>
                <w:szCs w:val="20"/>
              </w:rPr>
              <w:t xml:space="preserve"> </w:t>
            </w:r>
            <w:r>
              <w:rPr>
                <w:rFonts w:ascii="Arial" w:eastAsia="Aptos" w:hAnsi="Arial" w:cs="Arial"/>
                <w:sz w:val="20"/>
                <w:szCs w:val="20"/>
              </w:rPr>
              <w:t xml:space="preserve">zwiększa </w:t>
            </w:r>
            <w:r w:rsidRPr="00923D8A">
              <w:rPr>
                <w:rFonts w:ascii="Arial" w:eastAsia="Aptos" w:hAnsi="Arial" w:cs="Arial"/>
                <w:sz w:val="20"/>
                <w:szCs w:val="20"/>
              </w:rPr>
              <w:t>zakres zadań Straży Marszałkowskiej o wykonywanie zarządzeń Marszałka Sejmu lub Marszałka Senatu albo przewodniczącego obradom Sejmu lub Senatu wicemarszałka w sprawie poddania posła lub senatora badaniu w celu ustalenia zawartości w organizmie alkoholu przy użyciu urządzeń elektronicznych dokonujących pomiaru stężenia alkoholu w wydychanym powietrzu (projektowany art. 2 ust. 1 pkt 5a ustawy o Straży Marszałkowskiej).</w:t>
            </w:r>
          </w:p>
          <w:p w14:paraId="7DC023C0" w14:textId="77777777" w:rsidR="00C24C97" w:rsidRPr="00923D8A" w:rsidRDefault="00C24C97" w:rsidP="00982649">
            <w:pPr>
              <w:spacing w:line="276" w:lineRule="auto"/>
              <w:ind w:firstLine="426"/>
              <w:jc w:val="both"/>
              <w:rPr>
                <w:rFonts w:ascii="Arial" w:eastAsia="Aptos" w:hAnsi="Arial" w:cs="Arial"/>
                <w:sz w:val="20"/>
                <w:szCs w:val="20"/>
              </w:rPr>
            </w:pPr>
            <w:r w:rsidRPr="00923D8A">
              <w:rPr>
                <w:rFonts w:ascii="Arial" w:eastAsia="Aptos" w:hAnsi="Arial" w:cs="Arial"/>
                <w:sz w:val="20"/>
                <w:szCs w:val="20"/>
              </w:rPr>
              <w:t xml:space="preserve">Ponadto, </w:t>
            </w:r>
            <w:r>
              <w:rPr>
                <w:rFonts w:ascii="Arial" w:eastAsia="Aptos" w:hAnsi="Arial" w:cs="Arial"/>
                <w:sz w:val="20"/>
                <w:szCs w:val="20"/>
              </w:rPr>
              <w:t>dodawany</w:t>
            </w:r>
            <w:r w:rsidRPr="00923D8A">
              <w:rPr>
                <w:rFonts w:ascii="Arial" w:eastAsia="Aptos" w:hAnsi="Arial" w:cs="Arial"/>
                <w:sz w:val="20"/>
                <w:szCs w:val="20"/>
              </w:rPr>
              <w:t xml:space="preserve"> art. 50b ust. 1 ustawy o Straży Marszałkowskiej wyposaża Komendanta Straży Marszałkowskiej lub osobę przez niego upoważnioną do polecenia wykonania przez funkcjonariusza Straży Marszałkowskiej badania w celu ustalenia zawartości w organizmie alkoholu przy użyciu urządzeń elektronicznych dokonujących pomiaru stężenia alkoholu w wydychanym powietrzu.</w:t>
            </w:r>
          </w:p>
          <w:p w14:paraId="4F287216" w14:textId="77777777" w:rsidR="00C24C97" w:rsidRDefault="00C24C97" w:rsidP="00982649">
            <w:pPr>
              <w:spacing w:line="276" w:lineRule="auto"/>
              <w:ind w:firstLine="426"/>
              <w:jc w:val="both"/>
              <w:rPr>
                <w:rFonts w:ascii="Arial" w:eastAsia="Aptos" w:hAnsi="Arial" w:cs="Arial"/>
                <w:sz w:val="20"/>
                <w:szCs w:val="20"/>
              </w:rPr>
            </w:pPr>
            <w:r w:rsidRPr="00923D8A">
              <w:rPr>
                <w:rFonts w:ascii="Arial" w:eastAsia="Aptos" w:hAnsi="Arial" w:cs="Arial"/>
                <w:sz w:val="20"/>
                <w:szCs w:val="20"/>
              </w:rPr>
              <w:lastRenderedPageBreak/>
              <w:t xml:space="preserve">Z kolei projektowany art. 50b ust. 2 ustawy o Straży Marszałkowskiej wskazuje, że </w:t>
            </w:r>
            <w:r>
              <w:rPr>
                <w:rFonts w:ascii="Arial" w:eastAsia="Aptos" w:hAnsi="Arial" w:cs="Arial"/>
                <w:sz w:val="20"/>
                <w:szCs w:val="20"/>
              </w:rPr>
              <w:t xml:space="preserve">do </w:t>
            </w:r>
            <w:r w:rsidRPr="00923D8A">
              <w:rPr>
                <w:rFonts w:ascii="Arial" w:eastAsia="Aptos" w:hAnsi="Arial" w:cs="Arial"/>
                <w:sz w:val="20"/>
                <w:szCs w:val="20"/>
              </w:rPr>
              <w:t>warunk</w:t>
            </w:r>
            <w:r>
              <w:rPr>
                <w:rFonts w:ascii="Arial" w:eastAsia="Aptos" w:hAnsi="Arial" w:cs="Arial"/>
                <w:sz w:val="20"/>
                <w:szCs w:val="20"/>
              </w:rPr>
              <w:t>ów</w:t>
            </w:r>
            <w:r w:rsidRPr="00923D8A">
              <w:rPr>
                <w:rFonts w:ascii="Arial" w:eastAsia="Aptos" w:hAnsi="Arial" w:cs="Arial"/>
                <w:sz w:val="20"/>
                <w:szCs w:val="20"/>
              </w:rPr>
              <w:t xml:space="preserve"> i</w:t>
            </w:r>
            <w:r>
              <w:rPr>
                <w:rFonts w:ascii="Arial" w:eastAsia="Aptos" w:hAnsi="Arial" w:cs="Arial"/>
                <w:sz w:val="20"/>
                <w:szCs w:val="20"/>
              </w:rPr>
              <w:t> </w:t>
            </w:r>
            <w:r w:rsidRPr="00923D8A">
              <w:rPr>
                <w:rFonts w:ascii="Arial" w:eastAsia="Aptos" w:hAnsi="Arial" w:cs="Arial"/>
                <w:sz w:val="20"/>
                <w:szCs w:val="20"/>
              </w:rPr>
              <w:t>spos</w:t>
            </w:r>
            <w:r>
              <w:rPr>
                <w:rFonts w:ascii="Arial" w:eastAsia="Aptos" w:hAnsi="Arial" w:cs="Arial"/>
                <w:sz w:val="20"/>
                <w:szCs w:val="20"/>
              </w:rPr>
              <w:t>o</w:t>
            </w:r>
            <w:r w:rsidRPr="00923D8A">
              <w:rPr>
                <w:rFonts w:ascii="Arial" w:eastAsia="Aptos" w:hAnsi="Arial" w:cs="Arial"/>
                <w:sz w:val="20"/>
                <w:szCs w:val="20"/>
              </w:rPr>
              <w:t>b</w:t>
            </w:r>
            <w:r>
              <w:rPr>
                <w:rFonts w:ascii="Arial" w:eastAsia="Aptos" w:hAnsi="Arial" w:cs="Arial"/>
                <w:sz w:val="20"/>
                <w:szCs w:val="20"/>
              </w:rPr>
              <w:t>u</w:t>
            </w:r>
            <w:r w:rsidRPr="00923D8A">
              <w:rPr>
                <w:rFonts w:ascii="Arial" w:eastAsia="Aptos" w:hAnsi="Arial" w:cs="Arial"/>
                <w:sz w:val="20"/>
                <w:szCs w:val="20"/>
              </w:rPr>
              <w:t xml:space="preserve"> przeprowadzania badania stężenia alkoholu w wydychanym powietrzu </w:t>
            </w:r>
            <w:r>
              <w:rPr>
                <w:rFonts w:ascii="Arial" w:eastAsia="Aptos" w:hAnsi="Arial" w:cs="Arial"/>
                <w:sz w:val="20"/>
                <w:szCs w:val="20"/>
              </w:rPr>
              <w:t>stosuje się odpowiednio</w:t>
            </w:r>
            <w:r w:rsidRPr="00923D8A">
              <w:rPr>
                <w:rFonts w:ascii="Arial" w:eastAsia="Aptos" w:hAnsi="Arial" w:cs="Arial"/>
                <w:sz w:val="20"/>
                <w:szCs w:val="20"/>
              </w:rPr>
              <w:t xml:space="preserve"> przepisy wydane na podstawie art. 47 ust. 2 ustawy z dnia 26 października 1982 r. o wychowaniu w trzeźwości i przeciwdziałaniu alkoholizmowi (Dz. U. z 2023 r. poz. 2151). Wskazane rozporządzenie</w:t>
            </w:r>
            <w:r w:rsidRPr="00923D8A">
              <w:rPr>
                <w:rFonts w:ascii="Arial" w:eastAsia="Aptos" w:hAnsi="Arial" w:cs="Arial"/>
                <w:i/>
                <w:iCs/>
                <w:sz w:val="20"/>
                <w:szCs w:val="20"/>
              </w:rPr>
              <w:t xml:space="preserve"> </w:t>
            </w:r>
            <w:r w:rsidRPr="00923D8A">
              <w:rPr>
                <w:rFonts w:ascii="Arial" w:eastAsia="Aptos" w:hAnsi="Arial" w:cs="Arial"/>
                <w:sz w:val="20"/>
                <w:szCs w:val="20"/>
              </w:rPr>
              <w:t>reguluje m.in. warunki przeprowadzenia badania</w:t>
            </w:r>
            <w:r>
              <w:rPr>
                <w:rFonts w:ascii="Arial" w:eastAsia="Aptos" w:hAnsi="Arial" w:cs="Arial"/>
                <w:sz w:val="20"/>
                <w:szCs w:val="20"/>
              </w:rPr>
              <w:t xml:space="preserve">. Do dania parlamentarzysty stosowany będzie w szczególności </w:t>
            </w:r>
            <w:r w:rsidRPr="00923D8A">
              <w:rPr>
                <w:rFonts w:ascii="Arial" w:eastAsia="Aptos" w:hAnsi="Arial" w:cs="Arial"/>
                <w:sz w:val="20"/>
                <w:szCs w:val="20"/>
              </w:rPr>
              <w:t>§ 3 ust. 1 w rozporządzenia,</w:t>
            </w:r>
            <w:r>
              <w:rPr>
                <w:rFonts w:ascii="Arial" w:eastAsia="Aptos" w:hAnsi="Arial" w:cs="Arial"/>
                <w:sz w:val="20"/>
                <w:szCs w:val="20"/>
              </w:rPr>
              <w:t xml:space="preserve"> stanowiący</w:t>
            </w:r>
            <w:r w:rsidRPr="00923D8A">
              <w:rPr>
                <w:rFonts w:ascii="Arial" w:eastAsia="Aptos" w:hAnsi="Arial" w:cs="Arial"/>
                <w:sz w:val="20"/>
                <w:szCs w:val="20"/>
              </w:rPr>
              <w:t xml:space="preserve"> że</w:t>
            </w:r>
            <w:r>
              <w:rPr>
                <w:rFonts w:ascii="Arial" w:eastAsia="Aptos" w:hAnsi="Arial" w:cs="Arial"/>
                <w:sz w:val="20"/>
                <w:szCs w:val="20"/>
              </w:rPr>
              <w:t> </w:t>
            </w:r>
            <w:r w:rsidRPr="00923D8A">
              <w:rPr>
                <w:rFonts w:ascii="Arial" w:eastAsia="Aptos" w:hAnsi="Arial" w:cs="Arial"/>
                <w:sz w:val="20"/>
                <w:szCs w:val="20"/>
              </w:rPr>
              <w:t>badanie wydychanego powietrza przeprowadza się w sposób nieinwazyjny przy użyciu urządzenia elektronicznego dokonującego pomiaru stężenia alkoholu w wydychanym powietrzu metodą m.in. spektrometrii w podczerwieni lub utleniania elektrochemicznego), czy też obowiązek dokonania drugiego (i ew. kolejnego) pomiaru w przypadku stwierdzenia w wyniku badania alkoholu w wydychanym powietrzu (zob. § 4 ww. rozporządzenia). W § 7 ww. rozporządzenia określono zaś, że z badania przeprowadzonego analizatorem wydechu wskazującego na obecność alkoholu w</w:t>
            </w:r>
            <w:r>
              <w:rPr>
                <w:rFonts w:ascii="Arial" w:eastAsia="Aptos" w:hAnsi="Arial" w:cs="Arial"/>
                <w:sz w:val="20"/>
                <w:szCs w:val="20"/>
              </w:rPr>
              <w:t> </w:t>
            </w:r>
            <w:r w:rsidRPr="00923D8A">
              <w:rPr>
                <w:rFonts w:ascii="Arial" w:eastAsia="Aptos" w:hAnsi="Arial" w:cs="Arial"/>
                <w:sz w:val="20"/>
                <w:szCs w:val="20"/>
              </w:rPr>
              <w:t>organizmie osoby badanej sporządza się protokół, który zawiera wymienione elementy. Sporządzenie protokołu, spełniającego wskazane wymogi, jest doniosłe prawnie, gdyż wykonywanie przez parlamentarzystę obowiązków w stanie po użyciu alkoholu może być kwalifikowane jako wykroczenie z art. 70 § 2 Kodeksu wykroczeń. Należy przy tym zaznaczyć, że zgodnie § 7 ust. 3 ww. rozporządzenia, protokół z przebiegu badania przeprowadzonego analizatorem wydechu, w którym uzyskano wynik równy 0,00 mg/dm3, sporządza się: 1) w przypadku prowadzenia dalszego postępowania w sprawie popełnienia przestępstwa lub wykroczenia; 2) na żądanie osoby badanej – o czym należy ją pouczyć.</w:t>
            </w:r>
          </w:p>
          <w:p w14:paraId="5DADA137" w14:textId="77777777" w:rsidR="00C24C97" w:rsidRPr="00923D8A" w:rsidRDefault="00C24C97" w:rsidP="00982649">
            <w:pPr>
              <w:spacing w:line="276" w:lineRule="auto"/>
              <w:jc w:val="both"/>
              <w:rPr>
                <w:rFonts w:ascii="Arial" w:eastAsia="Aptos" w:hAnsi="Arial" w:cs="Arial"/>
                <w:sz w:val="20"/>
                <w:szCs w:val="20"/>
              </w:rPr>
            </w:pPr>
            <w:r>
              <w:rPr>
                <w:rFonts w:ascii="Arial" w:eastAsia="Aptos" w:hAnsi="Arial" w:cs="Arial"/>
                <w:sz w:val="20"/>
                <w:szCs w:val="20"/>
              </w:rPr>
              <w:t>Ustawa wejdzie w życie po upływie 14 dni od dnia ogłoszenia.</w:t>
            </w:r>
          </w:p>
          <w:p w14:paraId="690E920C" w14:textId="77777777" w:rsidR="00C24C97" w:rsidRPr="0017371E" w:rsidRDefault="00C24C97" w:rsidP="00982649">
            <w:pPr>
              <w:spacing w:line="276" w:lineRule="auto"/>
              <w:ind w:firstLine="426"/>
              <w:jc w:val="both"/>
              <w:rPr>
                <w:rFonts w:ascii="Aptos" w:eastAsia="Times New Roman" w:hAnsi="Aptos" w:cs="Times New Roman"/>
                <w:color w:val="808080" w:themeColor="background1" w:themeShade="80"/>
                <w:sz w:val="20"/>
                <w:szCs w:val="20"/>
                <w14:ligatures w14:val="none"/>
              </w:rPr>
            </w:pPr>
          </w:p>
        </w:tc>
      </w:tr>
    </w:tbl>
    <w:p w14:paraId="48A721CD" w14:textId="77777777" w:rsidR="00C24C97" w:rsidRPr="009C37AF" w:rsidRDefault="00C24C97" w:rsidP="00C24C97">
      <w:pPr>
        <w:jc w:val="both"/>
        <w:rPr>
          <w:rFonts w:ascii="Arial" w:hAnsi="Arial" w:cs="Arial"/>
          <w:sz w:val="24"/>
        </w:rPr>
      </w:pPr>
    </w:p>
    <w:p w14:paraId="4EC89C33" w14:textId="77777777" w:rsidR="00C24C97" w:rsidRDefault="00C24C97" w:rsidP="00C24C97">
      <w:pPr>
        <w:jc w:val="both"/>
        <w:rPr>
          <w:rFonts w:ascii="Arial" w:hAnsi="Arial" w:cs="Arial"/>
          <w:sz w:val="24"/>
        </w:rPr>
      </w:pPr>
      <w:r w:rsidRPr="009C37AF">
        <w:rPr>
          <w:rFonts w:ascii="Arial" w:hAnsi="Arial" w:cs="Arial"/>
          <w:sz w:val="24"/>
        </w:rPr>
        <w:t xml:space="preserve">[4] Jakie są </w:t>
      </w:r>
      <w:bookmarkStart w:id="2" w:name="_Hlk174443131"/>
      <w:r>
        <w:rPr>
          <w:rFonts w:ascii="Arial" w:hAnsi="Arial" w:cs="Arial"/>
          <w:sz w:val="24"/>
        </w:rPr>
        <w:t>przewidywane</w:t>
      </w:r>
      <w:bookmarkEnd w:id="2"/>
      <w:r w:rsidRPr="009C37AF">
        <w:rPr>
          <w:rFonts w:ascii="Arial" w:hAnsi="Arial" w:cs="Arial"/>
          <w:sz w:val="24"/>
        </w:rPr>
        <w:t xml:space="preserve"> skutki społeczne projektowanych rozwiązań?</w:t>
      </w:r>
    </w:p>
    <w:tbl>
      <w:tblPr>
        <w:tblStyle w:val="Tabela-Siatka"/>
        <w:tblW w:w="0" w:type="auto"/>
        <w:tblLook w:val="04A0" w:firstRow="1" w:lastRow="0" w:firstColumn="1" w:lastColumn="0" w:noHBand="0" w:noVBand="1"/>
      </w:tblPr>
      <w:tblGrid>
        <w:gridCol w:w="9060"/>
      </w:tblGrid>
      <w:tr w:rsidR="00C24C97" w:rsidRPr="00E91DF0" w14:paraId="7514222F" w14:textId="77777777" w:rsidTr="00982649">
        <w:tc>
          <w:tcPr>
            <w:tcW w:w="9062" w:type="dxa"/>
          </w:tcPr>
          <w:p w14:paraId="011D2B7F" w14:textId="77777777" w:rsidR="00C24C97" w:rsidRDefault="00C24C97" w:rsidP="00982649">
            <w:pPr>
              <w:spacing w:line="276" w:lineRule="auto"/>
              <w:jc w:val="both"/>
              <w:rPr>
                <w:rFonts w:ascii="Arial" w:hAnsi="Arial" w:cs="Arial"/>
                <w:sz w:val="20"/>
                <w:szCs w:val="20"/>
              </w:rPr>
            </w:pPr>
            <w:r>
              <w:rPr>
                <w:rFonts w:ascii="Arial" w:hAnsi="Arial" w:cs="Arial"/>
                <w:sz w:val="20"/>
                <w:szCs w:val="20"/>
              </w:rPr>
              <w:t xml:space="preserve">Jak już wyżej zauważono, spożycie </w:t>
            </w:r>
            <w:r w:rsidRPr="00F276B5">
              <w:rPr>
                <w:rFonts w:ascii="Arial" w:hAnsi="Arial" w:cs="Arial"/>
                <w:sz w:val="20"/>
                <w:szCs w:val="20"/>
              </w:rPr>
              <w:t xml:space="preserve">alkoholu </w:t>
            </w:r>
            <w:r>
              <w:rPr>
                <w:rFonts w:ascii="Arial" w:hAnsi="Arial" w:cs="Arial"/>
                <w:sz w:val="20"/>
                <w:szCs w:val="20"/>
              </w:rPr>
              <w:t xml:space="preserve">bezpośrednio wpływa nie tylko </w:t>
            </w:r>
            <w:r w:rsidRPr="00F276B5">
              <w:rPr>
                <w:rFonts w:ascii="Arial" w:hAnsi="Arial" w:cs="Arial"/>
                <w:sz w:val="20"/>
                <w:szCs w:val="20"/>
              </w:rPr>
              <w:t>na jednostkę</w:t>
            </w:r>
            <w:r>
              <w:rPr>
                <w:rFonts w:ascii="Arial" w:hAnsi="Arial" w:cs="Arial"/>
                <w:sz w:val="20"/>
                <w:szCs w:val="20"/>
              </w:rPr>
              <w:t xml:space="preserve"> (jej otoczenie)</w:t>
            </w:r>
            <w:r w:rsidRPr="00F276B5">
              <w:rPr>
                <w:rFonts w:ascii="Arial" w:hAnsi="Arial" w:cs="Arial"/>
                <w:sz w:val="20"/>
                <w:szCs w:val="20"/>
              </w:rPr>
              <w:t xml:space="preserve">, </w:t>
            </w:r>
            <w:r>
              <w:rPr>
                <w:rFonts w:ascii="Arial" w:hAnsi="Arial" w:cs="Arial"/>
                <w:sz w:val="20"/>
                <w:szCs w:val="20"/>
              </w:rPr>
              <w:t xml:space="preserve">ale także na </w:t>
            </w:r>
            <w:r w:rsidRPr="00F276B5">
              <w:rPr>
                <w:rFonts w:ascii="Arial" w:hAnsi="Arial" w:cs="Arial"/>
                <w:sz w:val="20"/>
                <w:szCs w:val="20"/>
              </w:rPr>
              <w:t xml:space="preserve">grupy społeczne i społeczeństwo. </w:t>
            </w:r>
            <w:r>
              <w:rPr>
                <w:rFonts w:ascii="Arial" w:hAnsi="Arial" w:cs="Arial"/>
                <w:sz w:val="20"/>
                <w:szCs w:val="20"/>
              </w:rPr>
              <w:t>W</w:t>
            </w:r>
            <w:r w:rsidRPr="00F276B5">
              <w:rPr>
                <w:rFonts w:ascii="Arial" w:hAnsi="Arial" w:cs="Arial"/>
                <w:sz w:val="20"/>
                <w:szCs w:val="20"/>
              </w:rPr>
              <w:t>szelkie przypadki pozostawania parlamentarzysty pod wpływem alkoholu bardzo szybko przeistaczają się w sprawę medialną i publiczną. Taka sytuacja może z jednej strony kreować stan przyzwolenia na tego typu zachowania podczas pełnienia obowiązków, zaś z drugiej może stwarzać wrażenie bezkarności posła bądź senatora, który z mocy Konstytucji został wybrany</w:t>
            </w:r>
            <w:r>
              <w:rPr>
                <w:rFonts w:ascii="Arial" w:hAnsi="Arial" w:cs="Arial"/>
                <w:sz w:val="20"/>
                <w:szCs w:val="20"/>
              </w:rPr>
              <w:t>, aby pełnić służbę</w:t>
            </w:r>
            <w:r w:rsidRPr="00F276B5">
              <w:rPr>
                <w:rFonts w:ascii="Arial" w:hAnsi="Arial" w:cs="Arial"/>
                <w:sz w:val="20"/>
                <w:szCs w:val="20"/>
              </w:rPr>
              <w:t xml:space="preserve"> reprezentowania Narodu. Zachowanie parlamentarzysty pod wpływem alkoholu godzi </w:t>
            </w:r>
            <w:r>
              <w:rPr>
                <w:rFonts w:ascii="Arial" w:hAnsi="Arial" w:cs="Arial"/>
                <w:sz w:val="20"/>
                <w:szCs w:val="20"/>
              </w:rPr>
              <w:t>również niewątpliwie</w:t>
            </w:r>
            <w:r w:rsidRPr="00F276B5">
              <w:rPr>
                <w:rFonts w:ascii="Arial" w:hAnsi="Arial" w:cs="Arial"/>
                <w:sz w:val="20"/>
                <w:szCs w:val="20"/>
              </w:rPr>
              <w:t xml:space="preserve"> w wizerunek i</w:t>
            </w:r>
            <w:r>
              <w:rPr>
                <w:rFonts w:ascii="Arial" w:hAnsi="Arial" w:cs="Arial"/>
                <w:sz w:val="20"/>
                <w:szCs w:val="20"/>
              </w:rPr>
              <w:t> </w:t>
            </w:r>
            <w:r w:rsidRPr="00F276B5">
              <w:rPr>
                <w:rFonts w:ascii="Arial" w:hAnsi="Arial" w:cs="Arial"/>
                <w:sz w:val="20"/>
                <w:szCs w:val="20"/>
              </w:rPr>
              <w:t xml:space="preserve">autorytet ustrojowy instytucji. </w:t>
            </w:r>
          </w:p>
          <w:p w14:paraId="571A47E1" w14:textId="77777777" w:rsidR="00C24C97" w:rsidRDefault="00C24C97" w:rsidP="00982649">
            <w:pPr>
              <w:spacing w:line="276" w:lineRule="auto"/>
              <w:jc w:val="both"/>
              <w:rPr>
                <w:rFonts w:ascii="Arial" w:hAnsi="Arial" w:cs="Arial"/>
                <w:sz w:val="20"/>
                <w:szCs w:val="20"/>
              </w:rPr>
            </w:pPr>
          </w:p>
          <w:p w14:paraId="26446B0B" w14:textId="77777777" w:rsidR="00C24C97" w:rsidRDefault="00C24C97" w:rsidP="00982649">
            <w:pPr>
              <w:spacing w:line="276" w:lineRule="auto"/>
              <w:jc w:val="both"/>
              <w:rPr>
                <w:rFonts w:ascii="Arial" w:hAnsi="Arial" w:cs="Arial"/>
                <w:sz w:val="20"/>
                <w:szCs w:val="20"/>
              </w:rPr>
            </w:pPr>
            <w:r>
              <w:rPr>
                <w:rFonts w:ascii="Arial" w:hAnsi="Arial" w:cs="Arial"/>
                <w:sz w:val="20"/>
                <w:szCs w:val="20"/>
              </w:rPr>
              <w:t xml:space="preserve">Stąd proponowana interwencja ustawodawcza będzie wyraźnym sygnałem, że nie ma przyzwolenia na spożycie alkoholu w parlamencie. Przyjęcie proponowanych przepisów może także pełnić funkcję prewencyjną i zapobiegawczą, a w wymiarze symbolicznym może przełożyć się zjawisko „dawania przykładu”, które swoim zachowaniem i postawą zapewniać będą reprezentanci wybrani w powszechnym wyborach przez suwerena. </w:t>
            </w:r>
          </w:p>
          <w:p w14:paraId="29CB3DF1" w14:textId="77777777" w:rsidR="00C24C97" w:rsidRPr="002D489F" w:rsidRDefault="00C24C97" w:rsidP="00982649">
            <w:pPr>
              <w:spacing w:line="276" w:lineRule="auto"/>
              <w:jc w:val="both"/>
              <w:rPr>
                <w:rFonts w:ascii="Arial" w:hAnsi="Arial" w:cs="Arial"/>
                <w:sz w:val="20"/>
                <w:szCs w:val="20"/>
              </w:rPr>
            </w:pPr>
          </w:p>
        </w:tc>
      </w:tr>
    </w:tbl>
    <w:p w14:paraId="20706AE6" w14:textId="77777777" w:rsidR="00C24C97" w:rsidRDefault="00C24C97" w:rsidP="00C24C97">
      <w:pPr>
        <w:jc w:val="both"/>
        <w:rPr>
          <w:rFonts w:ascii="Arial" w:hAnsi="Arial" w:cs="Arial"/>
          <w:sz w:val="24"/>
        </w:rPr>
      </w:pPr>
    </w:p>
    <w:p w14:paraId="13C1BCEB" w14:textId="77777777" w:rsidR="00C24C97" w:rsidRDefault="00C24C97" w:rsidP="00C24C97">
      <w:pPr>
        <w:jc w:val="both"/>
        <w:rPr>
          <w:rFonts w:ascii="Arial" w:hAnsi="Arial" w:cs="Arial"/>
          <w:sz w:val="24"/>
        </w:rPr>
      </w:pPr>
      <w:r w:rsidRPr="009C37AF">
        <w:rPr>
          <w:rFonts w:ascii="Arial" w:hAnsi="Arial" w:cs="Arial"/>
          <w:sz w:val="24"/>
        </w:rPr>
        <w:t xml:space="preserve">[5] Jakie są </w:t>
      </w:r>
      <w:r>
        <w:rPr>
          <w:rFonts w:ascii="Arial" w:hAnsi="Arial" w:cs="Arial"/>
          <w:sz w:val="24"/>
        </w:rPr>
        <w:t>przewidywane</w:t>
      </w:r>
      <w:r w:rsidRPr="009C37AF">
        <w:rPr>
          <w:rFonts w:ascii="Arial" w:hAnsi="Arial" w:cs="Arial"/>
          <w:sz w:val="24"/>
        </w:rPr>
        <w:t xml:space="preserve"> skutki gospodarcze projektowanych rozwiązań?</w:t>
      </w:r>
    </w:p>
    <w:p w14:paraId="0A79422A" w14:textId="77777777" w:rsidR="00C24C97" w:rsidRDefault="00C24C97" w:rsidP="00C24C97">
      <w:pPr>
        <w:pBdr>
          <w:top w:val="single" w:sz="4" w:space="1" w:color="auto"/>
          <w:left w:val="single" w:sz="4" w:space="0" w:color="auto"/>
          <w:bottom w:val="single" w:sz="4" w:space="1" w:color="auto"/>
          <w:right w:val="single" w:sz="4" w:space="4" w:color="auto"/>
        </w:pBdr>
        <w:jc w:val="both"/>
        <w:rPr>
          <w:rFonts w:ascii="Arial" w:hAnsi="Arial" w:cs="Arial"/>
          <w:sz w:val="20"/>
          <w:szCs w:val="20"/>
        </w:rPr>
      </w:pPr>
      <w:r>
        <w:rPr>
          <w:rFonts w:ascii="Arial" w:hAnsi="Arial" w:cs="Arial"/>
          <w:sz w:val="20"/>
          <w:szCs w:val="20"/>
        </w:rPr>
        <w:t xml:space="preserve">Projekt nie wywołuje skutków gospodarczych. </w:t>
      </w:r>
    </w:p>
    <w:p w14:paraId="68EC00F9" w14:textId="77777777" w:rsidR="00C24C97" w:rsidRDefault="00C24C97" w:rsidP="00C24C97">
      <w:pPr>
        <w:jc w:val="both"/>
        <w:rPr>
          <w:rFonts w:ascii="Arial" w:hAnsi="Arial" w:cs="Arial"/>
          <w:sz w:val="24"/>
        </w:rPr>
      </w:pPr>
      <w:r w:rsidRPr="009C37AF">
        <w:rPr>
          <w:rFonts w:ascii="Arial" w:hAnsi="Arial" w:cs="Arial"/>
          <w:sz w:val="24"/>
        </w:rPr>
        <w:t xml:space="preserve">[6] </w:t>
      </w:r>
      <w:r w:rsidRPr="00295B4F">
        <w:rPr>
          <w:rFonts w:ascii="Arial" w:hAnsi="Arial" w:cs="Arial"/>
          <w:sz w:val="24"/>
        </w:rPr>
        <w:t xml:space="preserve">Jakie są </w:t>
      </w:r>
      <w:r w:rsidRPr="00226094">
        <w:rPr>
          <w:rFonts w:ascii="Arial" w:hAnsi="Arial" w:cs="Arial"/>
          <w:sz w:val="24"/>
        </w:rPr>
        <w:t>przewidywane</w:t>
      </w:r>
      <w:r w:rsidRPr="00295B4F">
        <w:rPr>
          <w:rFonts w:ascii="Arial" w:hAnsi="Arial" w:cs="Arial"/>
          <w:sz w:val="24"/>
        </w:rPr>
        <w:t xml:space="preserve"> skutki finansowe projektowanych rozwiązań, w</w:t>
      </w:r>
      <w:r>
        <w:rPr>
          <w:rFonts w:ascii="Arial" w:hAnsi="Arial" w:cs="Arial"/>
          <w:sz w:val="24"/>
        </w:rPr>
        <w:t> </w:t>
      </w:r>
      <w:r w:rsidRPr="00295B4F">
        <w:rPr>
          <w:rFonts w:ascii="Arial" w:hAnsi="Arial" w:cs="Arial"/>
          <w:sz w:val="24"/>
        </w:rPr>
        <w:t xml:space="preserve">szczególności wpływ na sektor finansów publicznych, w tym na budżet państwa </w:t>
      </w:r>
      <w:r>
        <w:rPr>
          <w:rFonts w:ascii="Arial" w:hAnsi="Arial" w:cs="Arial"/>
          <w:sz w:val="24"/>
        </w:rPr>
        <w:t>i </w:t>
      </w:r>
      <w:r w:rsidRPr="00295B4F">
        <w:rPr>
          <w:rFonts w:ascii="Arial" w:hAnsi="Arial" w:cs="Arial"/>
          <w:sz w:val="24"/>
        </w:rPr>
        <w:t>budżety jednostek samorządu terytorialnego?</w:t>
      </w:r>
    </w:p>
    <w:tbl>
      <w:tblPr>
        <w:tblStyle w:val="Tabela-Siatka"/>
        <w:tblW w:w="0" w:type="auto"/>
        <w:tblLook w:val="04A0" w:firstRow="1" w:lastRow="0" w:firstColumn="1" w:lastColumn="0" w:noHBand="0" w:noVBand="1"/>
      </w:tblPr>
      <w:tblGrid>
        <w:gridCol w:w="9060"/>
      </w:tblGrid>
      <w:tr w:rsidR="00C24C97" w14:paraId="28AA8EC6" w14:textId="77777777" w:rsidTr="00982649">
        <w:tc>
          <w:tcPr>
            <w:tcW w:w="9062" w:type="dxa"/>
          </w:tcPr>
          <w:p w14:paraId="40EE47BE" w14:textId="77777777" w:rsidR="00C24C97" w:rsidRPr="00E03855" w:rsidRDefault="00C24C97" w:rsidP="00982649">
            <w:pPr>
              <w:spacing w:line="276" w:lineRule="auto"/>
              <w:jc w:val="both"/>
              <w:rPr>
                <w:rFonts w:ascii="Arial" w:hAnsi="Arial" w:cs="Arial"/>
                <w:sz w:val="20"/>
                <w:szCs w:val="20"/>
              </w:rPr>
            </w:pPr>
            <w:r w:rsidRPr="00E03855">
              <w:rPr>
                <w:rFonts w:ascii="Arial" w:hAnsi="Arial" w:cs="Arial"/>
                <w:sz w:val="20"/>
                <w:szCs w:val="20"/>
              </w:rPr>
              <w:t xml:space="preserve">Projektowana zmiana nie </w:t>
            </w:r>
            <w:r>
              <w:rPr>
                <w:rFonts w:ascii="Arial" w:hAnsi="Arial" w:cs="Arial"/>
                <w:sz w:val="20"/>
                <w:szCs w:val="20"/>
              </w:rPr>
              <w:t>powoduje skutków finansowych</w:t>
            </w:r>
            <w:r w:rsidRPr="00E03855">
              <w:rPr>
                <w:rFonts w:ascii="Arial" w:hAnsi="Arial" w:cs="Arial"/>
                <w:sz w:val="20"/>
                <w:szCs w:val="20"/>
              </w:rPr>
              <w:t xml:space="preserve"> dla budżetu państwa i budżetów jednostek samorządu terytorialnego. </w:t>
            </w:r>
          </w:p>
          <w:p w14:paraId="10432476" w14:textId="77777777" w:rsidR="00C24C97" w:rsidRPr="00E03855" w:rsidRDefault="00C24C97" w:rsidP="00982649">
            <w:pPr>
              <w:spacing w:line="276" w:lineRule="auto"/>
              <w:jc w:val="both"/>
              <w:rPr>
                <w:rFonts w:ascii="Arial" w:hAnsi="Arial" w:cs="Arial"/>
                <w:sz w:val="20"/>
                <w:szCs w:val="20"/>
              </w:rPr>
            </w:pPr>
          </w:p>
          <w:p w14:paraId="7ADA6D93" w14:textId="77777777" w:rsidR="00C24C97" w:rsidRPr="00B336F7" w:rsidRDefault="00C24C97" w:rsidP="00982649">
            <w:pPr>
              <w:spacing w:line="276" w:lineRule="auto"/>
              <w:jc w:val="both"/>
              <w:rPr>
                <w:rFonts w:ascii="Arial" w:hAnsi="Arial" w:cs="Arial"/>
                <w:sz w:val="20"/>
                <w:szCs w:val="20"/>
              </w:rPr>
            </w:pPr>
            <w:r w:rsidRPr="00E03855">
              <w:rPr>
                <w:rFonts w:ascii="Arial" w:hAnsi="Arial" w:cs="Arial"/>
                <w:sz w:val="20"/>
                <w:szCs w:val="20"/>
              </w:rPr>
              <w:t>W ustawie o Straży Marszałkowskiej istnieje już regulacja dot. badania alkomatem</w:t>
            </w:r>
            <w:r>
              <w:rPr>
                <w:rFonts w:ascii="Arial" w:hAnsi="Arial" w:cs="Arial"/>
                <w:sz w:val="20"/>
                <w:szCs w:val="20"/>
              </w:rPr>
              <w:t xml:space="preserve"> (zob. obowiązujący art. 50a </w:t>
            </w:r>
            <w:r w:rsidRPr="00B336F7">
              <w:rPr>
                <w:rFonts w:ascii="Arial" w:hAnsi="Arial" w:cs="Arial"/>
                <w:sz w:val="20"/>
                <w:szCs w:val="20"/>
              </w:rPr>
              <w:t>ustawy o Straży Marszałkowskiej</w:t>
            </w:r>
            <w:r>
              <w:rPr>
                <w:rFonts w:ascii="Arial" w:hAnsi="Arial" w:cs="Arial"/>
                <w:sz w:val="20"/>
                <w:szCs w:val="20"/>
              </w:rPr>
              <w:t>, dotyczący badania funkcjonariuszy Straży Marszałkowskiej)</w:t>
            </w:r>
            <w:r w:rsidRPr="00E03855">
              <w:rPr>
                <w:rFonts w:ascii="Arial" w:hAnsi="Arial" w:cs="Arial"/>
                <w:sz w:val="20"/>
                <w:szCs w:val="20"/>
              </w:rPr>
              <w:t>,</w:t>
            </w:r>
            <w:r>
              <w:rPr>
                <w:rFonts w:ascii="Arial" w:hAnsi="Arial" w:cs="Arial"/>
                <w:sz w:val="20"/>
                <w:szCs w:val="20"/>
              </w:rPr>
              <w:t xml:space="preserve"> w związku z czym Straż Marszałkowska jest już w posiadaniu</w:t>
            </w:r>
            <w:r w:rsidRPr="00E03855">
              <w:rPr>
                <w:rFonts w:ascii="Arial" w:hAnsi="Arial" w:cs="Arial"/>
                <w:sz w:val="20"/>
                <w:szCs w:val="20"/>
              </w:rPr>
              <w:t xml:space="preserve"> niezbędnego </w:t>
            </w:r>
            <w:r w:rsidRPr="00E03855">
              <w:rPr>
                <w:rFonts w:ascii="Arial" w:hAnsi="Arial" w:cs="Arial"/>
                <w:sz w:val="20"/>
                <w:szCs w:val="20"/>
              </w:rPr>
              <w:lastRenderedPageBreak/>
              <w:t xml:space="preserve">instrumentarium </w:t>
            </w:r>
            <w:r>
              <w:rPr>
                <w:rFonts w:ascii="Arial" w:hAnsi="Arial" w:cs="Arial"/>
                <w:sz w:val="20"/>
                <w:szCs w:val="20"/>
              </w:rPr>
              <w:t>do przeprowadzenia przedmiotowych badań</w:t>
            </w:r>
            <w:r w:rsidRPr="00E03855">
              <w:rPr>
                <w:rFonts w:ascii="Arial" w:hAnsi="Arial" w:cs="Arial"/>
                <w:sz w:val="20"/>
                <w:szCs w:val="20"/>
              </w:rPr>
              <w:t>. Należ</w:t>
            </w:r>
            <w:r>
              <w:rPr>
                <w:rFonts w:ascii="Arial" w:hAnsi="Arial" w:cs="Arial"/>
                <w:sz w:val="20"/>
                <w:szCs w:val="20"/>
              </w:rPr>
              <w:t>ałoby</w:t>
            </w:r>
            <w:r w:rsidRPr="00E03855">
              <w:rPr>
                <w:rFonts w:ascii="Arial" w:hAnsi="Arial" w:cs="Arial"/>
                <w:sz w:val="20"/>
                <w:szCs w:val="20"/>
              </w:rPr>
              <w:t xml:space="preserve"> uwzględnić potencjalną konieczność zwiększenia ilości narzędzi pomiarowych, w celu sprawnej realizacji obowiązków wynik</w:t>
            </w:r>
            <w:r>
              <w:rPr>
                <w:rFonts w:ascii="Arial" w:hAnsi="Arial" w:cs="Arial"/>
                <w:sz w:val="20"/>
                <w:szCs w:val="20"/>
              </w:rPr>
              <w:t>ających</w:t>
            </w:r>
            <w:r w:rsidRPr="00E03855">
              <w:rPr>
                <w:rFonts w:ascii="Arial" w:hAnsi="Arial" w:cs="Arial"/>
                <w:sz w:val="20"/>
                <w:szCs w:val="20"/>
              </w:rPr>
              <w:t xml:space="preserve"> z projektowanych przepisów, jednakże są to koszty nieznaczące</w:t>
            </w:r>
            <w:r>
              <w:rPr>
                <w:rFonts w:ascii="Arial" w:hAnsi="Arial" w:cs="Arial"/>
                <w:sz w:val="20"/>
                <w:szCs w:val="20"/>
              </w:rPr>
              <w:t xml:space="preserve"> (pomijalne)</w:t>
            </w:r>
            <w:r w:rsidRPr="00E03855">
              <w:rPr>
                <w:rFonts w:ascii="Arial" w:hAnsi="Arial" w:cs="Arial"/>
                <w:sz w:val="20"/>
                <w:szCs w:val="20"/>
              </w:rPr>
              <w:t xml:space="preserve"> z perspektywy całego budżetu Kancelarii Sejmu. </w:t>
            </w:r>
          </w:p>
        </w:tc>
      </w:tr>
    </w:tbl>
    <w:p w14:paraId="32340AD6" w14:textId="77777777" w:rsidR="00C24C97" w:rsidRPr="009C37AF" w:rsidRDefault="00C24C97" w:rsidP="00C24C97">
      <w:pPr>
        <w:jc w:val="both"/>
        <w:rPr>
          <w:rFonts w:ascii="Arial" w:hAnsi="Arial" w:cs="Arial"/>
          <w:sz w:val="24"/>
        </w:rPr>
      </w:pPr>
    </w:p>
    <w:p w14:paraId="11908378" w14:textId="77777777" w:rsidR="00C24C97" w:rsidRDefault="00C24C97" w:rsidP="00C24C97">
      <w:pPr>
        <w:jc w:val="both"/>
        <w:rPr>
          <w:rFonts w:ascii="Arial" w:hAnsi="Arial" w:cs="Arial"/>
          <w:sz w:val="24"/>
        </w:rPr>
      </w:pPr>
      <w:r w:rsidRPr="009C37AF">
        <w:rPr>
          <w:rFonts w:ascii="Arial" w:hAnsi="Arial" w:cs="Arial"/>
          <w:sz w:val="24"/>
        </w:rPr>
        <w:t>[7] Wykaz źródeł finansowania, jeśli projekt ustawy pociąga za sobą obciążenie budżetu państwa lub budżetów jednostek samorządu terytorialnego</w:t>
      </w:r>
      <w:r>
        <w:rPr>
          <w:rFonts w:ascii="Arial" w:hAnsi="Arial" w:cs="Arial"/>
          <w:sz w:val="24"/>
        </w:rPr>
        <w:t>.</w:t>
      </w:r>
    </w:p>
    <w:tbl>
      <w:tblPr>
        <w:tblStyle w:val="Tabela-Siatka"/>
        <w:tblW w:w="0" w:type="auto"/>
        <w:tblLook w:val="04A0" w:firstRow="1" w:lastRow="0" w:firstColumn="1" w:lastColumn="0" w:noHBand="0" w:noVBand="1"/>
      </w:tblPr>
      <w:tblGrid>
        <w:gridCol w:w="9060"/>
      </w:tblGrid>
      <w:tr w:rsidR="00C24C97" w14:paraId="3CE3E0A0" w14:textId="77777777" w:rsidTr="00982649">
        <w:tc>
          <w:tcPr>
            <w:tcW w:w="9062" w:type="dxa"/>
          </w:tcPr>
          <w:p w14:paraId="70105042" w14:textId="77777777" w:rsidR="00C24C97" w:rsidRPr="004D24CA" w:rsidRDefault="00C24C97" w:rsidP="00982649">
            <w:pPr>
              <w:jc w:val="both"/>
              <w:rPr>
                <w:rFonts w:ascii="Arial" w:hAnsi="Arial" w:cs="Arial"/>
                <w:sz w:val="20"/>
                <w:szCs w:val="20"/>
              </w:rPr>
            </w:pPr>
            <w:r>
              <w:rPr>
                <w:rFonts w:ascii="Arial" w:hAnsi="Arial" w:cs="Arial"/>
                <w:sz w:val="20"/>
                <w:szCs w:val="20"/>
              </w:rPr>
              <w:t xml:space="preserve">Nie dotyczy. </w:t>
            </w:r>
          </w:p>
        </w:tc>
      </w:tr>
    </w:tbl>
    <w:p w14:paraId="0D2D1C4A" w14:textId="77777777" w:rsidR="00C24C97" w:rsidRPr="009C37AF" w:rsidRDefault="00C24C97" w:rsidP="00C24C97">
      <w:pPr>
        <w:jc w:val="both"/>
        <w:rPr>
          <w:rFonts w:ascii="Arial" w:hAnsi="Arial" w:cs="Arial"/>
          <w:sz w:val="24"/>
        </w:rPr>
      </w:pPr>
    </w:p>
    <w:p w14:paraId="16A30546" w14:textId="77777777" w:rsidR="00C24C97" w:rsidRPr="009C37AF" w:rsidRDefault="00C24C97" w:rsidP="00C24C97">
      <w:pPr>
        <w:rPr>
          <w:rFonts w:ascii="Arial" w:hAnsi="Arial" w:cs="Arial"/>
          <w:sz w:val="24"/>
        </w:rPr>
      </w:pPr>
      <w:r w:rsidRPr="009C37AF">
        <w:rPr>
          <w:rFonts w:ascii="Arial" w:hAnsi="Arial" w:cs="Arial"/>
          <w:sz w:val="24"/>
        </w:rPr>
        <w:t>[8] Czy projekt ustawy podlega procedurze notyfikacyjnej?</w:t>
      </w:r>
      <w:r>
        <w:rPr>
          <w:rFonts w:ascii="Arial" w:hAnsi="Arial" w:cs="Arial"/>
          <w:sz w:val="24"/>
        </w:rPr>
        <w:t xml:space="preserve"> </w:t>
      </w:r>
    </w:p>
    <w:p w14:paraId="070DFF5D" w14:textId="77777777" w:rsidR="00C24C97" w:rsidRDefault="00C24C97" w:rsidP="00C24C97">
      <w:pPr>
        <w:pStyle w:val="Akapitzlist"/>
        <w:numPr>
          <w:ilvl w:val="0"/>
          <w:numId w:val="1"/>
        </w:numPr>
        <w:spacing w:line="240" w:lineRule="auto"/>
        <w:jc w:val="both"/>
        <w:rPr>
          <w:rFonts w:ascii="Arial" w:hAnsi="Arial" w:cs="Arial"/>
          <w:b/>
          <w:bCs/>
          <w:sz w:val="24"/>
        </w:rPr>
      </w:pPr>
      <w:r w:rsidRPr="00DF4647">
        <w:rPr>
          <w:rFonts w:ascii="Arial" w:hAnsi="Arial" w:cs="Arial"/>
          <w:b/>
          <w:bCs/>
          <w:sz w:val="24"/>
        </w:rPr>
        <w:t xml:space="preserve">Nie </w:t>
      </w:r>
    </w:p>
    <w:p w14:paraId="3F0A375A" w14:textId="77777777" w:rsidR="00C24C97" w:rsidRPr="00650586" w:rsidRDefault="00C24C97" w:rsidP="00C24C97">
      <w:pPr>
        <w:spacing w:line="240" w:lineRule="auto"/>
        <w:ind w:left="360"/>
        <w:jc w:val="both"/>
        <w:rPr>
          <w:rFonts w:ascii="Arial" w:hAnsi="Arial" w:cs="Arial"/>
          <w:b/>
          <w:bCs/>
          <w:sz w:val="24"/>
        </w:rPr>
      </w:pPr>
    </w:p>
    <w:p w14:paraId="05FA43C0" w14:textId="77777777" w:rsidR="00C24C97" w:rsidRDefault="00C24C97" w:rsidP="00C24C97">
      <w:pPr>
        <w:rPr>
          <w:rFonts w:ascii="Arial" w:hAnsi="Arial" w:cs="Arial"/>
          <w:b/>
          <w:sz w:val="24"/>
        </w:rPr>
      </w:pPr>
      <w:r w:rsidRPr="009C37AF">
        <w:rPr>
          <w:rFonts w:ascii="Arial" w:hAnsi="Arial" w:cs="Arial"/>
          <w:b/>
          <w:sz w:val="24"/>
        </w:rPr>
        <w:t>III.</w:t>
      </w:r>
      <w:r>
        <w:rPr>
          <w:rFonts w:ascii="Arial" w:hAnsi="Arial" w:cs="Arial"/>
          <w:b/>
          <w:sz w:val="24"/>
        </w:rPr>
        <w:t xml:space="preserve"> </w:t>
      </w:r>
      <w:bookmarkStart w:id="3" w:name="_Hlk174441212"/>
      <w:r>
        <w:rPr>
          <w:rFonts w:ascii="Arial" w:hAnsi="Arial" w:cs="Arial"/>
          <w:b/>
          <w:sz w:val="24"/>
        </w:rPr>
        <w:t>Wymogi określone w art. 34 ust. 2a i 2b regulaminu Sejmu</w:t>
      </w:r>
    </w:p>
    <w:p w14:paraId="6D05DE3C" w14:textId="77777777" w:rsidR="00C24C97" w:rsidRPr="009C37AF" w:rsidRDefault="00C24C97" w:rsidP="00C24C97">
      <w:pPr>
        <w:rPr>
          <w:rFonts w:ascii="Arial" w:hAnsi="Arial" w:cs="Arial"/>
          <w:b/>
          <w:sz w:val="24"/>
        </w:rPr>
      </w:pPr>
      <w:r>
        <w:rPr>
          <w:rFonts w:ascii="Arial" w:hAnsi="Arial" w:cs="Arial"/>
          <w:b/>
          <w:sz w:val="24"/>
        </w:rPr>
        <w:t xml:space="preserve"> </w:t>
      </w:r>
      <w:bookmarkEnd w:id="3"/>
    </w:p>
    <w:p w14:paraId="152B9A90" w14:textId="77777777" w:rsidR="00C24C97" w:rsidRPr="009C37AF" w:rsidRDefault="00C24C97" w:rsidP="00C24C97">
      <w:pPr>
        <w:jc w:val="both"/>
        <w:rPr>
          <w:rFonts w:ascii="Arial" w:hAnsi="Arial" w:cs="Arial"/>
          <w:sz w:val="24"/>
        </w:rPr>
      </w:pPr>
      <w:r w:rsidRPr="009C37AF">
        <w:rPr>
          <w:rFonts w:ascii="Arial" w:hAnsi="Arial" w:cs="Arial"/>
          <w:sz w:val="24"/>
        </w:rPr>
        <w:t>[</w:t>
      </w:r>
      <w:r>
        <w:rPr>
          <w:rFonts w:ascii="Arial" w:hAnsi="Arial" w:cs="Arial"/>
          <w:sz w:val="24"/>
        </w:rPr>
        <w:t>9</w:t>
      </w:r>
      <w:r w:rsidRPr="009C37AF">
        <w:rPr>
          <w:rFonts w:ascii="Arial" w:hAnsi="Arial" w:cs="Arial"/>
          <w:sz w:val="24"/>
        </w:rPr>
        <w:t>] Czy projekt ustawy zawiera przepisy określające zasady podejmowania, wykonywania lub zakończenia działalności gospodarczej (art. 34 ust. 2a regulaminu Sejmu)</w:t>
      </w:r>
      <w:r>
        <w:rPr>
          <w:rFonts w:ascii="Arial" w:hAnsi="Arial" w:cs="Arial"/>
          <w:sz w:val="24"/>
        </w:rPr>
        <w:t>?</w:t>
      </w:r>
    </w:p>
    <w:p w14:paraId="44D5360B" w14:textId="77777777" w:rsidR="00C24C97" w:rsidRDefault="00C24C97" w:rsidP="00C24C97">
      <w:pPr>
        <w:pStyle w:val="Akapitzlist"/>
        <w:numPr>
          <w:ilvl w:val="0"/>
          <w:numId w:val="1"/>
        </w:numPr>
        <w:spacing w:line="240" w:lineRule="auto"/>
        <w:jc w:val="both"/>
        <w:rPr>
          <w:rFonts w:ascii="Arial" w:hAnsi="Arial" w:cs="Arial"/>
          <w:b/>
          <w:bCs/>
          <w:sz w:val="24"/>
        </w:rPr>
      </w:pPr>
      <w:r w:rsidRPr="00DF4647">
        <w:rPr>
          <w:rFonts w:ascii="Arial" w:hAnsi="Arial" w:cs="Arial"/>
          <w:b/>
          <w:bCs/>
          <w:sz w:val="24"/>
        </w:rPr>
        <w:t>Nie</w:t>
      </w:r>
    </w:p>
    <w:p w14:paraId="42871285" w14:textId="77777777" w:rsidR="00C24C97" w:rsidRPr="00DF4647" w:rsidRDefault="00C24C97" w:rsidP="00C24C97">
      <w:pPr>
        <w:pStyle w:val="Akapitzlist"/>
        <w:spacing w:line="240" w:lineRule="auto"/>
        <w:jc w:val="both"/>
        <w:rPr>
          <w:rFonts w:ascii="Arial" w:hAnsi="Arial" w:cs="Arial"/>
          <w:b/>
          <w:bCs/>
          <w:sz w:val="24"/>
        </w:rPr>
      </w:pPr>
    </w:p>
    <w:p w14:paraId="52DE5FF1" w14:textId="77777777" w:rsidR="00C24C97" w:rsidRPr="009C37AF" w:rsidRDefault="00C24C97" w:rsidP="00C24C97">
      <w:pPr>
        <w:jc w:val="both"/>
        <w:rPr>
          <w:rFonts w:ascii="Arial" w:hAnsi="Arial" w:cs="Arial"/>
          <w:sz w:val="24"/>
        </w:rPr>
      </w:pPr>
      <w:r w:rsidRPr="009C37AF">
        <w:rPr>
          <w:rFonts w:ascii="Arial" w:hAnsi="Arial" w:cs="Arial"/>
          <w:sz w:val="24"/>
        </w:rPr>
        <w:t>[</w:t>
      </w:r>
      <w:r>
        <w:rPr>
          <w:rFonts w:ascii="Arial" w:hAnsi="Arial" w:cs="Arial"/>
          <w:sz w:val="24"/>
        </w:rPr>
        <w:t>10</w:t>
      </w:r>
      <w:r w:rsidRPr="009C37AF">
        <w:rPr>
          <w:rFonts w:ascii="Arial" w:hAnsi="Arial" w:cs="Arial"/>
          <w:sz w:val="24"/>
        </w:rPr>
        <w:t xml:space="preserve">] Czy wdrożenie projektowanych przepisów spowoduje obciążenia administracyjne </w:t>
      </w:r>
      <w:proofErr w:type="spellStart"/>
      <w:r w:rsidRPr="009C37AF">
        <w:rPr>
          <w:rFonts w:ascii="Arial" w:hAnsi="Arial" w:cs="Arial"/>
          <w:sz w:val="24"/>
        </w:rPr>
        <w:t>mikroprzedsiębiorców</w:t>
      </w:r>
      <w:proofErr w:type="spellEnd"/>
      <w:r w:rsidRPr="009C37AF">
        <w:rPr>
          <w:rFonts w:ascii="Arial" w:hAnsi="Arial" w:cs="Arial"/>
          <w:sz w:val="24"/>
        </w:rPr>
        <w:t>, małych i średnich przedsiębiorców</w:t>
      </w:r>
      <w:r>
        <w:rPr>
          <w:rFonts w:ascii="Arial" w:hAnsi="Arial" w:cs="Arial"/>
          <w:sz w:val="24"/>
        </w:rPr>
        <w:t xml:space="preserve"> </w:t>
      </w:r>
      <w:r w:rsidRPr="009C37AF">
        <w:rPr>
          <w:rFonts w:ascii="Arial" w:hAnsi="Arial" w:cs="Arial"/>
          <w:sz w:val="24"/>
        </w:rPr>
        <w:t>(art. 34 ust. 2a regulaminu Sejmu)</w:t>
      </w:r>
      <w:r>
        <w:rPr>
          <w:rFonts w:ascii="Arial" w:hAnsi="Arial" w:cs="Arial"/>
          <w:sz w:val="24"/>
        </w:rPr>
        <w:t>?</w:t>
      </w:r>
    </w:p>
    <w:p w14:paraId="38138268" w14:textId="77777777" w:rsidR="00C24C97" w:rsidRPr="00B2685C" w:rsidRDefault="00C24C97" w:rsidP="00C24C97">
      <w:pPr>
        <w:pStyle w:val="Akapitzlist"/>
        <w:numPr>
          <w:ilvl w:val="0"/>
          <w:numId w:val="1"/>
        </w:numPr>
        <w:spacing w:line="240" w:lineRule="auto"/>
        <w:jc w:val="both"/>
        <w:rPr>
          <w:rFonts w:ascii="Arial" w:hAnsi="Arial" w:cs="Arial"/>
          <w:b/>
          <w:bCs/>
          <w:sz w:val="24"/>
        </w:rPr>
      </w:pPr>
      <w:r w:rsidRPr="00DF4647">
        <w:rPr>
          <w:rFonts w:ascii="Arial" w:hAnsi="Arial" w:cs="Arial"/>
          <w:b/>
          <w:bCs/>
          <w:sz w:val="24"/>
        </w:rPr>
        <w:t>Nie</w:t>
      </w:r>
    </w:p>
    <w:p w14:paraId="5F7EB229" w14:textId="77777777" w:rsidR="00C24C97" w:rsidRPr="009C37AF" w:rsidRDefault="00C24C97" w:rsidP="00C24C97">
      <w:pPr>
        <w:jc w:val="both"/>
        <w:rPr>
          <w:rFonts w:ascii="Arial" w:hAnsi="Arial" w:cs="Arial"/>
          <w:sz w:val="24"/>
        </w:rPr>
      </w:pPr>
      <w:r w:rsidRPr="009C37AF">
        <w:rPr>
          <w:rFonts w:ascii="Arial" w:hAnsi="Arial" w:cs="Arial"/>
          <w:sz w:val="24"/>
        </w:rPr>
        <w:t>[1</w:t>
      </w:r>
      <w:r>
        <w:rPr>
          <w:rFonts w:ascii="Arial" w:hAnsi="Arial" w:cs="Arial"/>
          <w:sz w:val="24"/>
        </w:rPr>
        <w:t>1</w:t>
      </w:r>
      <w:r w:rsidRPr="009C37AF">
        <w:rPr>
          <w:rFonts w:ascii="Arial" w:hAnsi="Arial" w:cs="Arial"/>
          <w:sz w:val="24"/>
        </w:rPr>
        <w:t>] Czy projekt ustawy zawiera przepisy regulacyjne lub określa wymogi dotyczące świadczenia usług transgranicznych w rozumieniu ustawy z dnia 22 grudnia 2015 r. o</w:t>
      </w:r>
      <w:r>
        <w:rPr>
          <w:rFonts w:ascii="Arial" w:hAnsi="Arial" w:cs="Arial"/>
          <w:sz w:val="24"/>
        </w:rPr>
        <w:t> </w:t>
      </w:r>
      <w:r w:rsidRPr="009C37AF">
        <w:rPr>
          <w:rFonts w:ascii="Arial" w:hAnsi="Arial" w:cs="Arial"/>
          <w:sz w:val="24"/>
        </w:rPr>
        <w:t>zasadach uznawania kwalifikacji zawodowych nabytych w państwach członkowskich Unii Europejskiej (art. 34 ust. 2b regulaminu Sejmu)?</w:t>
      </w:r>
    </w:p>
    <w:p w14:paraId="1A85BBB1" w14:textId="77777777" w:rsidR="00C24C97" w:rsidRPr="00DF4647" w:rsidRDefault="00C24C97" w:rsidP="00C24C97">
      <w:pPr>
        <w:pStyle w:val="Akapitzlist"/>
        <w:numPr>
          <w:ilvl w:val="0"/>
          <w:numId w:val="2"/>
        </w:numPr>
        <w:ind w:left="714" w:hanging="357"/>
        <w:jc w:val="both"/>
        <w:rPr>
          <w:rFonts w:ascii="Arial" w:hAnsi="Arial" w:cs="Arial"/>
          <w:b/>
          <w:bCs/>
          <w:sz w:val="24"/>
        </w:rPr>
      </w:pPr>
      <w:r w:rsidRPr="00DF4647">
        <w:rPr>
          <w:rFonts w:ascii="Arial" w:hAnsi="Arial" w:cs="Arial"/>
          <w:b/>
          <w:bCs/>
          <w:sz w:val="24"/>
        </w:rPr>
        <w:t xml:space="preserve">Nie </w:t>
      </w:r>
    </w:p>
    <w:p w14:paraId="177E4541" w14:textId="77777777" w:rsidR="00C24C97" w:rsidRPr="009C37AF" w:rsidRDefault="00C24C97" w:rsidP="00C24C97">
      <w:pPr>
        <w:rPr>
          <w:rFonts w:ascii="Arial" w:hAnsi="Arial" w:cs="Arial"/>
          <w:sz w:val="24"/>
        </w:rPr>
      </w:pPr>
    </w:p>
    <w:p w14:paraId="62337AD2" w14:textId="77777777" w:rsidR="00C24C97" w:rsidRDefault="00C24C97" w:rsidP="00C24C97"/>
    <w:p w14:paraId="5B7C570C" w14:textId="77777777" w:rsidR="00C24C97" w:rsidRDefault="00C24C97"/>
    <w:sectPr w:rsidR="00C24C97" w:rsidSect="00C24C97">
      <w:headerReference w:type="default" r:id="rId7"/>
      <w:headerReference w:type="first" r:id="rId8"/>
      <w:pgSz w:w="11906" w:h="16838"/>
      <w:pgMar w:top="851" w:right="1418" w:bottom="851" w:left="1418" w:header="567"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DF29" w14:textId="77777777" w:rsidR="00661FF3" w:rsidRDefault="00661FF3" w:rsidP="00C24C97">
      <w:pPr>
        <w:spacing w:after="0" w:line="240" w:lineRule="auto"/>
      </w:pPr>
      <w:r>
        <w:separator/>
      </w:r>
    </w:p>
  </w:endnote>
  <w:endnote w:type="continuationSeparator" w:id="0">
    <w:p w14:paraId="5CC46015" w14:textId="77777777" w:rsidR="00661FF3" w:rsidRDefault="00661FF3" w:rsidP="00C2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3286" w14:textId="77777777" w:rsidR="00661FF3" w:rsidRDefault="00661FF3" w:rsidP="00C24C97">
      <w:pPr>
        <w:spacing w:after="0" w:line="240" w:lineRule="auto"/>
      </w:pPr>
      <w:r>
        <w:separator/>
      </w:r>
    </w:p>
  </w:footnote>
  <w:footnote w:type="continuationSeparator" w:id="0">
    <w:p w14:paraId="79214E9A" w14:textId="77777777" w:rsidR="00661FF3" w:rsidRDefault="00661FF3" w:rsidP="00C24C97">
      <w:pPr>
        <w:spacing w:after="0" w:line="240" w:lineRule="auto"/>
      </w:pPr>
      <w:r>
        <w:continuationSeparator/>
      </w:r>
    </w:p>
  </w:footnote>
  <w:footnote w:id="1">
    <w:p w14:paraId="51720CC9" w14:textId="77777777" w:rsidR="00C24C97" w:rsidRPr="003A0E55" w:rsidRDefault="00C24C97" w:rsidP="00C24C97">
      <w:pPr>
        <w:rPr>
          <w:lang w:val="en-US"/>
        </w:rPr>
      </w:pPr>
      <w:r>
        <w:rPr>
          <w:rStyle w:val="Odwoanieprzypisudolnego"/>
        </w:rPr>
        <w:footnoteRef/>
      </w:r>
      <w:r w:rsidRPr="003A0E55">
        <w:rPr>
          <w:lang w:val="en-US"/>
        </w:rPr>
        <w:t xml:space="preserve"> OECD Economic Surveys: Poland 2025, February 2025, Volume 2025/2 (</w:t>
      </w:r>
      <w:hyperlink r:id="rId1" w:history="1">
        <w:r w:rsidRPr="003A0E55">
          <w:rPr>
            <w:rStyle w:val="Hipercze"/>
            <w:lang w:val="en-US"/>
          </w:rPr>
          <w:t>https://www.oecd.org/content/dam/oecd/en/publications/reports/2025/02/oecd-economic-surveys-poland-2025_3d6f79bd/483d3bb9-en.pdf</w:t>
        </w:r>
      </w:hyperlink>
      <w:r w:rsidRPr="003A0E55">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13068"/>
      <w:docPartObj>
        <w:docPartGallery w:val="Page Numbers (Top of Page)"/>
        <w:docPartUnique/>
      </w:docPartObj>
    </w:sdtPr>
    <w:sdtEndPr>
      <w:rPr>
        <w:rFonts w:ascii="Arial" w:hAnsi="Arial" w:cs="Arial"/>
        <w:sz w:val="24"/>
      </w:rPr>
    </w:sdtEndPr>
    <w:sdtContent>
      <w:p w14:paraId="6BFBAA92" w14:textId="77777777" w:rsidR="00C24C97" w:rsidRPr="00312A04" w:rsidRDefault="00C24C97">
        <w:pPr>
          <w:pStyle w:val="Nagwek"/>
          <w:jc w:val="center"/>
          <w:rPr>
            <w:rFonts w:ascii="Arial" w:hAnsi="Arial" w:cs="Arial"/>
            <w:sz w:val="24"/>
          </w:rPr>
        </w:pPr>
        <w:r w:rsidRPr="00312A04">
          <w:rPr>
            <w:rFonts w:ascii="Arial" w:hAnsi="Arial" w:cs="Arial"/>
            <w:sz w:val="24"/>
          </w:rPr>
          <w:fldChar w:fldCharType="begin"/>
        </w:r>
        <w:r w:rsidRPr="00312A04">
          <w:rPr>
            <w:rFonts w:ascii="Arial" w:hAnsi="Arial" w:cs="Arial"/>
            <w:sz w:val="24"/>
          </w:rPr>
          <w:instrText>PAGE   \* MERGEFORMAT</w:instrText>
        </w:r>
        <w:r w:rsidRPr="00312A04">
          <w:rPr>
            <w:rFonts w:ascii="Arial" w:hAnsi="Arial" w:cs="Arial"/>
            <w:sz w:val="24"/>
          </w:rPr>
          <w:fldChar w:fldCharType="separate"/>
        </w:r>
        <w:r>
          <w:rPr>
            <w:rFonts w:ascii="Arial" w:hAnsi="Arial" w:cs="Arial"/>
            <w:noProof/>
            <w:sz w:val="24"/>
          </w:rPr>
          <w:t>2</w:t>
        </w:r>
        <w:r w:rsidRPr="00312A04">
          <w:rPr>
            <w:rFonts w:ascii="Arial" w:hAnsi="Arial" w:cs="Arial"/>
            <w:sz w:val="24"/>
          </w:rPr>
          <w:fldChar w:fldCharType="end"/>
        </w:r>
      </w:p>
    </w:sdtContent>
  </w:sdt>
  <w:p w14:paraId="30CB8C8A" w14:textId="77777777" w:rsidR="00C24C97" w:rsidRPr="00874584" w:rsidRDefault="00C24C97" w:rsidP="00874584">
    <w:pPr>
      <w:pStyle w:val="Nagwek"/>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29AE" w14:textId="77777777" w:rsidR="00C24C97" w:rsidRPr="00696272" w:rsidRDefault="00C24C97" w:rsidP="00696272">
    <w:pPr>
      <w:pStyle w:val="Nagwek"/>
      <w:ind w:left="7080"/>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31E7E"/>
    <w:multiLevelType w:val="hybridMultilevel"/>
    <w:tmpl w:val="B1FC8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73487502">
    <w:abstractNumId w:val="2"/>
  </w:num>
  <w:num w:numId="2" w16cid:durableId="1496339664">
    <w:abstractNumId w:val="1"/>
  </w:num>
  <w:num w:numId="3" w16cid:durableId="20868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97"/>
    <w:rsid w:val="0026373A"/>
    <w:rsid w:val="00427101"/>
    <w:rsid w:val="00491467"/>
    <w:rsid w:val="00661FF3"/>
    <w:rsid w:val="00A8789D"/>
    <w:rsid w:val="00C24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4221"/>
  <w15:chartTrackingRefBased/>
  <w15:docId w15:val="{5BCED23A-3BC8-4087-848B-45166931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4C97"/>
    <w:pPr>
      <w:spacing w:line="259" w:lineRule="auto"/>
    </w:pPr>
    <w:rPr>
      <w:sz w:val="22"/>
      <w:szCs w:val="22"/>
    </w:rPr>
  </w:style>
  <w:style w:type="paragraph" w:styleId="Nagwek1">
    <w:name w:val="heading 1"/>
    <w:basedOn w:val="Normalny"/>
    <w:next w:val="Normalny"/>
    <w:link w:val="Nagwek1Znak"/>
    <w:uiPriority w:val="9"/>
    <w:qFormat/>
    <w:rsid w:val="00C24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24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24C9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24C9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24C9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24C9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24C9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24C9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24C9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4C9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24C9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24C9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24C9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24C9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24C9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24C9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24C9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24C97"/>
    <w:rPr>
      <w:rFonts w:eastAsiaTheme="majorEastAsia" w:cstheme="majorBidi"/>
      <w:color w:val="272727" w:themeColor="text1" w:themeTint="D8"/>
    </w:rPr>
  </w:style>
  <w:style w:type="paragraph" w:styleId="Tytu">
    <w:name w:val="Title"/>
    <w:basedOn w:val="Normalny"/>
    <w:next w:val="Normalny"/>
    <w:link w:val="TytuZnak"/>
    <w:uiPriority w:val="10"/>
    <w:qFormat/>
    <w:rsid w:val="00C24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24C9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4C9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24C9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24C97"/>
    <w:pPr>
      <w:spacing w:before="160"/>
      <w:jc w:val="center"/>
    </w:pPr>
    <w:rPr>
      <w:i/>
      <w:iCs/>
      <w:color w:val="404040" w:themeColor="text1" w:themeTint="BF"/>
    </w:rPr>
  </w:style>
  <w:style w:type="character" w:customStyle="1" w:styleId="CytatZnak">
    <w:name w:val="Cytat Znak"/>
    <w:basedOn w:val="Domylnaczcionkaakapitu"/>
    <w:link w:val="Cytat"/>
    <w:uiPriority w:val="29"/>
    <w:rsid w:val="00C24C97"/>
    <w:rPr>
      <w:i/>
      <w:iCs/>
      <w:color w:val="404040" w:themeColor="text1" w:themeTint="BF"/>
    </w:rPr>
  </w:style>
  <w:style w:type="paragraph" w:styleId="Akapitzlist">
    <w:name w:val="List Paragraph"/>
    <w:basedOn w:val="Normalny"/>
    <w:uiPriority w:val="34"/>
    <w:qFormat/>
    <w:rsid w:val="00C24C97"/>
    <w:pPr>
      <w:ind w:left="720"/>
      <w:contextualSpacing/>
    </w:pPr>
  </w:style>
  <w:style w:type="character" w:styleId="Wyrnienieintensywne">
    <w:name w:val="Intense Emphasis"/>
    <w:basedOn w:val="Domylnaczcionkaakapitu"/>
    <w:uiPriority w:val="21"/>
    <w:qFormat/>
    <w:rsid w:val="00C24C97"/>
    <w:rPr>
      <w:i/>
      <w:iCs/>
      <w:color w:val="0F4761" w:themeColor="accent1" w:themeShade="BF"/>
    </w:rPr>
  </w:style>
  <w:style w:type="paragraph" w:styleId="Cytatintensywny">
    <w:name w:val="Intense Quote"/>
    <w:basedOn w:val="Normalny"/>
    <w:next w:val="Normalny"/>
    <w:link w:val="CytatintensywnyZnak"/>
    <w:uiPriority w:val="30"/>
    <w:qFormat/>
    <w:rsid w:val="00C24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24C97"/>
    <w:rPr>
      <w:i/>
      <w:iCs/>
      <w:color w:val="0F4761" w:themeColor="accent1" w:themeShade="BF"/>
    </w:rPr>
  </w:style>
  <w:style w:type="character" w:styleId="Odwoanieintensywne">
    <w:name w:val="Intense Reference"/>
    <w:basedOn w:val="Domylnaczcionkaakapitu"/>
    <w:uiPriority w:val="32"/>
    <w:qFormat/>
    <w:rsid w:val="00C24C97"/>
    <w:rPr>
      <w:b/>
      <w:bCs/>
      <w:smallCaps/>
      <w:color w:val="0F4761" w:themeColor="accent1" w:themeShade="BF"/>
      <w:spacing w:val="5"/>
    </w:rPr>
  </w:style>
  <w:style w:type="table" w:styleId="Tabela-Siatka">
    <w:name w:val="Table Grid"/>
    <w:basedOn w:val="Standardowy"/>
    <w:uiPriority w:val="39"/>
    <w:rsid w:val="00C24C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24C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4C97"/>
    <w:rPr>
      <w:sz w:val="22"/>
      <w:szCs w:val="22"/>
    </w:rPr>
  </w:style>
  <w:style w:type="character" w:styleId="Odwoanieprzypisudolnego">
    <w:name w:val="footnote reference"/>
    <w:uiPriority w:val="99"/>
    <w:semiHidden/>
    <w:rsid w:val="00C24C97"/>
    <w:rPr>
      <w:rFonts w:cs="Times New Roman"/>
      <w:vertAlign w:val="superscript"/>
    </w:rPr>
  </w:style>
  <w:style w:type="paragraph" w:customStyle="1" w:styleId="ARTartustawynprozporzdzenia">
    <w:name w:val="ART(§) – art. ustawy (§ np. rozporządzenia)"/>
    <w:uiPriority w:val="11"/>
    <w:qFormat/>
    <w:rsid w:val="00C24C97"/>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ZPKTzmpktartykuempunktem">
    <w:name w:val="Z/PKT – zm. pkt artykułem (punktem)"/>
    <w:basedOn w:val="PKTpunkt"/>
    <w:uiPriority w:val="31"/>
    <w:qFormat/>
    <w:rsid w:val="00C24C97"/>
    <w:pPr>
      <w:ind w:left="1020"/>
    </w:pPr>
  </w:style>
  <w:style w:type="paragraph" w:customStyle="1" w:styleId="ZARTzmartartykuempunktem">
    <w:name w:val="Z/ART(§) – zm. art. (§) artykułem (punktem)"/>
    <w:basedOn w:val="ARTartustawynprozporzdzenia"/>
    <w:uiPriority w:val="30"/>
    <w:qFormat/>
    <w:rsid w:val="00C24C97"/>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C24C97"/>
    <w:pPr>
      <w:keepNext/>
      <w:suppressAutoHyphens/>
      <w:spacing w:before="120" w:after="120" w:line="360" w:lineRule="auto"/>
      <w:jc w:val="center"/>
    </w:pPr>
    <w:rPr>
      <w:rFonts w:ascii="Times" w:eastAsiaTheme="minorEastAsia" w:hAnsi="Times" w:cs="Arial"/>
      <w:bC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C24C97"/>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OZNRODZAKTUtznustawalubrozporzdzenieiorganwydajcy">
    <w:name w:val="OZN_RODZ_AKTU – tzn. ustawa lub rozporządzenie i organ wydający"/>
    <w:next w:val="DATAAKTUdatauchwalenialubwydaniaaktu"/>
    <w:uiPriority w:val="5"/>
    <w:qFormat/>
    <w:rsid w:val="00C24C97"/>
    <w:pPr>
      <w:keepNext/>
      <w:suppressAutoHyphens/>
      <w:spacing w:after="120" w:line="360" w:lineRule="auto"/>
      <w:jc w:val="center"/>
    </w:pPr>
    <w:rPr>
      <w:rFonts w:ascii="Times" w:eastAsia="Times New Roman" w:hAnsi="Times" w:cs="Times New Roman"/>
      <w:b/>
      <w:bCs/>
      <w:caps/>
      <w:spacing w:val="54"/>
      <w:kern w:val="24"/>
      <w:lang w:eastAsia="pl-PL"/>
      <w14:ligatures w14:val="none"/>
    </w:rPr>
  </w:style>
  <w:style w:type="paragraph" w:customStyle="1" w:styleId="USTustnpkodeksu">
    <w:name w:val="UST(§) – ust. (§ np. kodeksu)"/>
    <w:basedOn w:val="ARTartustawynprozporzdzenia"/>
    <w:uiPriority w:val="12"/>
    <w:qFormat/>
    <w:rsid w:val="00C24C97"/>
    <w:pPr>
      <w:spacing w:before="0"/>
    </w:pPr>
    <w:rPr>
      <w:bCs/>
    </w:rPr>
  </w:style>
  <w:style w:type="paragraph" w:customStyle="1" w:styleId="PKTpunkt">
    <w:name w:val="PKT – punkt"/>
    <w:uiPriority w:val="13"/>
    <w:qFormat/>
    <w:rsid w:val="00C24C97"/>
    <w:pPr>
      <w:spacing w:after="0" w:line="360" w:lineRule="auto"/>
      <w:ind w:left="510" w:hanging="510"/>
      <w:jc w:val="both"/>
    </w:pPr>
    <w:rPr>
      <w:rFonts w:ascii="Times" w:eastAsiaTheme="minorEastAsia" w:hAnsi="Times" w:cs="Arial"/>
      <w:bCs/>
      <w:kern w:val="0"/>
      <w:szCs w:val="20"/>
      <w:lang w:eastAsia="pl-PL"/>
      <w14:ligatures w14:val="none"/>
    </w:rPr>
  </w:style>
  <w:style w:type="paragraph" w:customStyle="1" w:styleId="ZUSTzmustartykuempunktem">
    <w:name w:val="Z/UST(§) – zm. ust. (§) artykułem (punktem)"/>
    <w:basedOn w:val="ZARTzmartartykuempunktem"/>
    <w:uiPriority w:val="30"/>
    <w:qFormat/>
    <w:rsid w:val="00C24C97"/>
  </w:style>
  <w:style w:type="paragraph" w:customStyle="1" w:styleId="OZNPROJEKTUwskazaniedatylubwersjiprojektu">
    <w:name w:val="OZN_PROJEKTU – wskazanie daty lub wersji projektu"/>
    <w:next w:val="OZNRODZAKTUtznustawalubrozporzdzenieiorganwydajcy"/>
    <w:uiPriority w:val="5"/>
    <w:qFormat/>
    <w:rsid w:val="00C24C97"/>
    <w:pPr>
      <w:spacing w:after="0" w:line="360" w:lineRule="auto"/>
      <w:jc w:val="right"/>
    </w:pPr>
    <w:rPr>
      <w:rFonts w:ascii="Times New Roman" w:eastAsiaTheme="minorEastAsia" w:hAnsi="Times New Roman" w:cs="Arial"/>
      <w:kern w:val="0"/>
      <w:szCs w:val="20"/>
      <w:u w:val="single"/>
      <w:lang w:eastAsia="pl-PL"/>
      <w14:ligatures w14:val="none"/>
    </w:rPr>
  </w:style>
  <w:style w:type="paragraph" w:customStyle="1" w:styleId="ZDANIENASTNOWYWIERSZnpzddrugienowywierszwust">
    <w:name w:val="ZDANIE_NAST_NOWY_WIERSZ – np. zd. drugie (nowy wiersz) w ust."/>
    <w:basedOn w:val="Normalny"/>
    <w:next w:val="USTustnpkodeksu"/>
    <w:uiPriority w:val="17"/>
    <w:qFormat/>
    <w:rsid w:val="00C24C97"/>
    <w:pPr>
      <w:spacing w:after="0" w:line="360" w:lineRule="auto"/>
      <w:jc w:val="both"/>
    </w:pPr>
    <w:rPr>
      <w:rFonts w:ascii="Times" w:eastAsiaTheme="minorEastAsia" w:hAnsi="Times" w:cs="Arial"/>
      <w:bCs/>
      <w:kern w:val="0"/>
      <w:sz w:val="24"/>
      <w:szCs w:val="20"/>
      <w:lang w:eastAsia="pl-PL"/>
      <w14:ligatures w14:val="none"/>
    </w:rPr>
  </w:style>
  <w:style w:type="character" w:customStyle="1" w:styleId="Ppogrubienie">
    <w:name w:val="_P_ – pogrubienie"/>
    <w:basedOn w:val="Domylnaczcionkaakapitu"/>
    <w:uiPriority w:val="1"/>
    <w:qFormat/>
    <w:rsid w:val="00C24C97"/>
    <w:rPr>
      <w:b/>
    </w:rPr>
  </w:style>
  <w:style w:type="character" w:customStyle="1" w:styleId="Kkursywa">
    <w:name w:val="_K_ – kursywa"/>
    <w:basedOn w:val="Domylnaczcionkaakapitu"/>
    <w:uiPriority w:val="1"/>
    <w:qFormat/>
    <w:rsid w:val="00C24C97"/>
    <w:rPr>
      <w:i/>
    </w:rPr>
  </w:style>
  <w:style w:type="character" w:styleId="Hipercze">
    <w:name w:val="Hyperlink"/>
    <w:basedOn w:val="Domylnaczcionkaakapitu"/>
    <w:uiPriority w:val="99"/>
    <w:unhideWhenUsed/>
    <w:rsid w:val="00C24C9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content/dam/oecd/en/publications/reports/2025/02/oecd-economic-surveys-poland-2025_3d6f79bd/483d3bb9-en.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3758</Words>
  <Characters>22552</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 Pachocki</dc:creator>
  <cp:keywords/>
  <dc:description/>
  <cp:lastModifiedBy>Maurycy Przyrowski</cp:lastModifiedBy>
  <cp:revision>2</cp:revision>
  <dcterms:created xsi:type="dcterms:W3CDTF">2025-09-23T15:58:00Z</dcterms:created>
  <dcterms:modified xsi:type="dcterms:W3CDTF">2025-09-24T06:11:00Z</dcterms:modified>
</cp:coreProperties>
</file>