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923F5" w14:textId="654A19A8" w:rsidR="00360BB1" w:rsidRDefault="00360BB1" w:rsidP="002F6F47">
      <w:pPr>
        <w:widowControl/>
        <w:spacing w:after="240"/>
        <w:jc w:val="center"/>
      </w:pPr>
      <w:r w:rsidRPr="002F6F47">
        <w:rPr>
          <w:rStyle w:val="Ppogrubienie"/>
          <w:b w:val="0"/>
          <w:bCs/>
        </w:rPr>
        <w:t>UZASADNIENIE</w:t>
      </w:r>
    </w:p>
    <w:p w14:paraId="0ABFE87E" w14:textId="12119CF9" w:rsidR="004B5042" w:rsidRDefault="00360BB1" w:rsidP="002F6F47">
      <w:pPr>
        <w:widowControl/>
        <w:jc w:val="both"/>
      </w:pPr>
      <w:r>
        <w:t>Projekt ustawy o zmianie ustawy o podatku akcyzowym zawiera regulacje nowelizujące</w:t>
      </w:r>
      <w:r w:rsidR="00685BBC">
        <w:t xml:space="preserve"> </w:t>
      </w:r>
      <w:r>
        <w:t xml:space="preserve">ustawę z dnia 6 grudnia 2008 r. o podatku akcyzowym (Dz. U. z 2025 r. poz. 126, z późn. zm.) – zwaną dalej </w:t>
      </w:r>
      <w:bookmarkStart w:id="0" w:name="_Hlk206509113"/>
      <w:r>
        <w:t>„u.p.a</w:t>
      </w:r>
      <w:r w:rsidR="00480E09">
        <w:t>.</w:t>
      </w:r>
      <w:r>
        <w:t>”</w:t>
      </w:r>
      <w:r w:rsidR="00DC2550">
        <w:t>.</w:t>
      </w:r>
    </w:p>
    <w:bookmarkEnd w:id="0"/>
    <w:p w14:paraId="1C5539F8" w14:textId="48FCC512" w:rsidR="00360BB1" w:rsidRDefault="00360BB1" w:rsidP="002F6F47">
      <w:pPr>
        <w:widowControl/>
        <w:spacing w:before="120"/>
        <w:jc w:val="both"/>
      </w:pPr>
      <w:r>
        <w:t xml:space="preserve">Projekt zakłada od </w:t>
      </w:r>
      <w:r w:rsidR="00893EDF">
        <w:t xml:space="preserve">dnia </w:t>
      </w:r>
      <w:r>
        <w:t>1 stycznia 2026 r.</w:t>
      </w:r>
      <w:r w:rsidR="00893EDF">
        <w:t xml:space="preserve"> </w:t>
      </w:r>
      <w:r>
        <w:t xml:space="preserve">aktualizację tzw. „akcyzowej mapy drogowej” w latach 2026 i 2027 w zakresie stawek akcyzy na napoje alkoholowe. Z roku na rok siła nabywcza konsumentów rośnie. Wraz ze wzrostem średniego wynagrodzenia, wg danych GUS, za miesięczną wypłatę można kupić coraz większą ilość napojów alkoholowych. Przykładowo za przeciętne miesięczne wynagrodzenie w 2020 r. można było kupić 201 butelek wódki (0,5 l, 40%), a w 2024 </w:t>
      </w:r>
      <w:r w:rsidR="00893EDF">
        <w:t xml:space="preserve">r. </w:t>
      </w:r>
      <w:r>
        <w:t>już 238 takich butelek.</w:t>
      </w:r>
    </w:p>
    <w:p w14:paraId="0C9D9DF6" w14:textId="77777777" w:rsidR="00360BB1" w:rsidRPr="002F6F47" w:rsidRDefault="00360BB1" w:rsidP="002F6F47">
      <w:pPr>
        <w:widowControl/>
        <w:jc w:val="both"/>
        <w:rPr>
          <w:sz w:val="16"/>
          <w:szCs w:val="16"/>
        </w:rPr>
      </w:pPr>
    </w:p>
    <w:p w14:paraId="15C1A90E" w14:textId="571094B5" w:rsidR="00360BB1" w:rsidRDefault="00360BB1" w:rsidP="002F6F47">
      <w:pPr>
        <w:widowControl/>
        <w:jc w:val="both"/>
      </w:pPr>
      <w:r>
        <w:rPr>
          <w:noProof/>
        </w:rPr>
        <w:drawing>
          <wp:inline distT="0" distB="0" distL="0" distR="0" wp14:anchorId="2BF52B93" wp14:editId="2F186CBF">
            <wp:extent cx="5760720" cy="23583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358390"/>
                    </a:xfrm>
                    <a:prstGeom prst="rect">
                      <a:avLst/>
                    </a:prstGeom>
                    <a:noFill/>
                    <a:ln>
                      <a:noFill/>
                    </a:ln>
                  </pic:spPr>
                </pic:pic>
              </a:graphicData>
            </a:graphic>
          </wp:inline>
        </w:drawing>
      </w:r>
    </w:p>
    <w:p w14:paraId="417F4AE3" w14:textId="77777777" w:rsidR="00360BB1" w:rsidRPr="00EB1D7F" w:rsidRDefault="00360BB1" w:rsidP="002F6F47">
      <w:pPr>
        <w:widowControl/>
        <w:jc w:val="both"/>
        <w:rPr>
          <w:rFonts w:cs="Times New Roman"/>
        </w:rPr>
      </w:pPr>
      <w:r w:rsidRPr="00EB1D7F">
        <w:rPr>
          <w:rFonts w:cs="Times New Roman"/>
        </w:rPr>
        <w:t>Dostępność alkoholu w Polsce jest zbyt duża, stąd wprowadzona w 2022 r. akcyzowa mapa drogowa wymaga aktualizacji. Podwyższenie stawek akcyzy na wszystkie napoje alkoholowe ma na celu przede wszystkim ograniczenie spożycia tych napojów, a w konsekwencji redukcję negatywnych skutków społecznych, wiążących się z nadużywaniem alkoholu.</w:t>
      </w:r>
    </w:p>
    <w:p w14:paraId="4B68C746" w14:textId="77777777" w:rsidR="00360BB1" w:rsidRPr="00EB1D7F" w:rsidRDefault="00360BB1" w:rsidP="002F6F47">
      <w:pPr>
        <w:widowControl/>
        <w:jc w:val="both"/>
        <w:rPr>
          <w:rFonts w:cs="Times New Roman"/>
        </w:rPr>
      </w:pPr>
      <w:r w:rsidRPr="00EB1D7F">
        <w:rPr>
          <w:rFonts w:cs="Times New Roman"/>
        </w:rPr>
        <w:t>Polityka akcyzowa państwa jest ważną częścią polityki fiskalnej, ale jednocześnie stanowi doskonałe narzędzie regulujące poziom konsumpcji używek mających negatywny wpływ na zdrowie społeczeństwa. Pośrednio ma ona przełożenie na możliwość kontrolowania szkód zdrowotnych ponoszonych przez społeczeństwo oraz wielkości nakładów na ich leczenie i działalność profilaktyczną.</w:t>
      </w:r>
    </w:p>
    <w:p w14:paraId="0DB195FC" w14:textId="77777777" w:rsidR="00360BB1" w:rsidRPr="00EB1D7F" w:rsidRDefault="00360BB1" w:rsidP="002F6F47">
      <w:pPr>
        <w:widowControl/>
        <w:jc w:val="both"/>
        <w:rPr>
          <w:rFonts w:cs="Times New Roman"/>
        </w:rPr>
      </w:pPr>
      <w:r w:rsidRPr="00EB1D7F">
        <w:rPr>
          <w:rFonts w:cs="Times New Roman"/>
        </w:rPr>
        <w:t xml:space="preserve">Projekt przewiduje aktualizację obecnej akcyzowej mapy drogowej poprzez podwyżkę stawek akcyzy na alkohol etylowy, piwo, wino, napoje fermentowane i wyroby pośrednie: </w:t>
      </w:r>
    </w:p>
    <w:p w14:paraId="70D397F2" w14:textId="27736CC3" w:rsidR="00360BB1" w:rsidRPr="00EB1D7F" w:rsidRDefault="00EB1D7F" w:rsidP="002F6F47">
      <w:pPr>
        <w:widowControl/>
        <w:ind w:left="426" w:hanging="426"/>
        <w:jc w:val="both"/>
        <w:rPr>
          <w:rFonts w:cs="Times New Roman"/>
        </w:rPr>
      </w:pPr>
      <w:r>
        <w:rPr>
          <w:rFonts w:cs="Times New Roman"/>
        </w:rPr>
        <w:t>–</w:t>
      </w:r>
      <w:r>
        <w:rPr>
          <w:rFonts w:cs="Times New Roman"/>
        </w:rPr>
        <w:tab/>
      </w:r>
      <w:r w:rsidR="00360BB1" w:rsidRPr="00EB1D7F">
        <w:rPr>
          <w:rFonts w:cs="Times New Roman"/>
        </w:rPr>
        <w:t>w 2026 r. o 15% w stosunku do stawek z 2025 r.</w:t>
      </w:r>
      <w:r>
        <w:rPr>
          <w:rFonts w:cs="Times New Roman"/>
        </w:rPr>
        <w:t>,</w:t>
      </w:r>
      <w:r w:rsidR="00360BB1" w:rsidRPr="00EB1D7F">
        <w:rPr>
          <w:rFonts w:cs="Times New Roman"/>
        </w:rPr>
        <w:t xml:space="preserve"> </w:t>
      </w:r>
    </w:p>
    <w:p w14:paraId="00790FFC" w14:textId="7B15AAC9" w:rsidR="00360BB1" w:rsidRPr="00EB1D7F" w:rsidRDefault="00EB1D7F" w:rsidP="002F6F47">
      <w:pPr>
        <w:widowControl/>
        <w:ind w:left="426" w:hanging="426"/>
        <w:jc w:val="both"/>
        <w:rPr>
          <w:rFonts w:cs="Times New Roman"/>
        </w:rPr>
      </w:pPr>
      <w:r>
        <w:rPr>
          <w:rFonts w:cs="Times New Roman"/>
        </w:rPr>
        <w:t>–</w:t>
      </w:r>
      <w:r>
        <w:rPr>
          <w:rFonts w:cs="Times New Roman"/>
        </w:rPr>
        <w:tab/>
      </w:r>
      <w:r w:rsidR="00360BB1" w:rsidRPr="00EB1D7F">
        <w:rPr>
          <w:rFonts w:cs="Times New Roman"/>
        </w:rPr>
        <w:t>w 2027 r. o 10% r/r.</w:t>
      </w:r>
    </w:p>
    <w:p w14:paraId="3F66EDC5" w14:textId="51B4EBDA" w:rsidR="00360BB1" w:rsidRPr="00EB1D7F" w:rsidRDefault="00360BB1" w:rsidP="002F6F47">
      <w:pPr>
        <w:widowControl/>
        <w:jc w:val="both"/>
        <w:rPr>
          <w:rFonts w:cs="Times New Roman"/>
        </w:rPr>
      </w:pPr>
      <w:r w:rsidRPr="00EB1D7F">
        <w:rPr>
          <w:rFonts w:cs="Times New Roman"/>
        </w:rPr>
        <w:lastRenderedPageBreak/>
        <w:t>Proponowana zmiana aktualizacji stawek akcyzy w obowiązującej do 2027 r. akcyzowej mapie drogowej nie narusza zasady zaufania do państwa i do stanowionego przezeń prawa. Dotychczas obowiązujące stawki akcyzy były skalkulowane w oparciu o całkowicie inne parametry makroekonomiczne, które nie mogły, w okresie kiedy tworzono obowiązujące regulacje (2021 r.), uwzględniać wzrostu inflacji spowodowanego wybuchem wojny na Ukrainie. Doprowadziło to do sytuacji, że napoje alkoholowe stały się relatywnie tańsze niż prognozowane założenia w stosunku do zarobków konsumentów. Zatem zasada zaufania do państwa i do stanowionego przezeń prawa nie powinna być traktowana w sposób „sztywny”</w:t>
      </w:r>
      <w:r w:rsidR="008A6805" w:rsidRPr="00EB1D7F">
        <w:rPr>
          <w:rFonts w:cs="Times New Roman"/>
        </w:rPr>
        <w:t>,</w:t>
      </w:r>
      <w:r w:rsidRPr="00EB1D7F">
        <w:rPr>
          <w:rFonts w:cs="Times New Roman"/>
        </w:rPr>
        <w:t xml:space="preserve"> nieuwzględniający nagłych, nieprzewidzianych zdarzeń rynkowych, które zmieniają w sposób zdecydowany uzgodnione z branżą, w tym wypadku branżą napojów alkoholowych, zaplanowane podwyżkami akcyzy cele. Bowiem akcyzowa mapa drogowa w swoich założeniach miała na celu ograniczenie dostępności cenowej ww. wyrobów. Wzrost inflacji i idący za nią wzrost wynagrodzeń zdezaktualizował dotychczasową akcyzową mapę drogową przy obecnie obowiązujących niezmienionych stawkach akcyzy. Dlatego konieczna stała się aktualizacja obowiązujących stawek akcyzy w oparciu o nowe, skorygowane parametry makroekonomiczne.</w:t>
      </w:r>
    </w:p>
    <w:p w14:paraId="6ABC7362" w14:textId="466B1E01" w:rsidR="00360BB1" w:rsidRPr="00EB1D7F" w:rsidRDefault="00360BB1" w:rsidP="002F6F47">
      <w:pPr>
        <w:widowControl/>
        <w:spacing w:before="120"/>
        <w:jc w:val="both"/>
        <w:rPr>
          <w:rFonts w:cs="Times New Roman"/>
          <w:b/>
        </w:rPr>
      </w:pPr>
      <w:r w:rsidRPr="00EB1D7F">
        <w:rPr>
          <w:rStyle w:val="Ppogrubienie"/>
          <w:rFonts w:cs="Times New Roman"/>
        </w:rPr>
        <w:t>Szczegółowy zakres proponowanych zmian obejmuje:</w:t>
      </w:r>
    </w:p>
    <w:p w14:paraId="5AA37395" w14:textId="0945E8F1" w:rsidR="00360BB1" w:rsidRPr="00EB1D7F" w:rsidRDefault="00360BB1" w:rsidP="002F6F47">
      <w:pPr>
        <w:widowControl/>
        <w:ind w:left="426" w:hanging="426"/>
        <w:jc w:val="both"/>
        <w:rPr>
          <w:rFonts w:cs="Times New Roman"/>
        </w:rPr>
      </w:pPr>
      <w:r w:rsidRPr="00EB1D7F">
        <w:rPr>
          <w:rFonts w:cs="Times New Roman"/>
        </w:rPr>
        <w:t>1</w:t>
      </w:r>
      <w:r w:rsidR="00EB1D7F">
        <w:rPr>
          <w:rFonts w:cs="Times New Roman"/>
        </w:rPr>
        <w:t>)</w:t>
      </w:r>
      <w:r w:rsidR="00EB1D7F">
        <w:rPr>
          <w:rFonts w:cs="Times New Roman"/>
        </w:rPr>
        <w:tab/>
      </w:r>
      <w:r w:rsidRPr="00EB1D7F">
        <w:rPr>
          <w:rFonts w:cs="Times New Roman"/>
        </w:rPr>
        <w:t>alkohol etylowy</w:t>
      </w:r>
      <w:r w:rsidR="00893EDF">
        <w:rPr>
          <w:rFonts w:cs="Times New Roman"/>
        </w:rPr>
        <w:t>:</w:t>
      </w:r>
      <w:r w:rsidRPr="00EB1D7F">
        <w:rPr>
          <w:rFonts w:cs="Times New Roman"/>
        </w:rPr>
        <w:t xml:space="preserve"> </w:t>
      </w:r>
    </w:p>
    <w:p w14:paraId="4B95F412" w14:textId="5A062C35" w:rsidR="00360BB1" w:rsidRPr="00475B54" w:rsidRDefault="00EB1D7F" w:rsidP="002F6F47">
      <w:pPr>
        <w:pStyle w:val="LITlitera"/>
        <w:ind w:left="851" w:hanging="341"/>
        <w:rPr>
          <w:rStyle w:val="Ppogrubienie"/>
          <w:rFonts w:ascii="Times New Roman" w:hAnsi="Times New Roman" w:cs="Times New Roman"/>
          <w:b w:val="0"/>
          <w:bCs w:val="0"/>
        </w:rPr>
      </w:pPr>
      <w:r>
        <w:rPr>
          <w:rFonts w:ascii="Times New Roman" w:hAnsi="Times New Roman" w:cs="Times New Roman"/>
        </w:rPr>
        <w:t>–</w:t>
      </w:r>
      <w:r>
        <w:rPr>
          <w:rFonts w:ascii="Times New Roman" w:hAnsi="Times New Roman" w:cs="Times New Roman"/>
        </w:rPr>
        <w:tab/>
      </w:r>
      <w:r w:rsidR="00360BB1" w:rsidRPr="002F6F47">
        <w:rPr>
          <w:rStyle w:val="Ppogrubienie"/>
          <w:rFonts w:ascii="Times New Roman" w:hAnsi="Times New Roman" w:cs="Times New Roman"/>
          <w:b w:val="0"/>
        </w:rPr>
        <w:t>2026 r. podwyżka z 8391,00 zł/hl 100% vol. do kwoty 9190,00 zł/hl 100% vol.,</w:t>
      </w:r>
    </w:p>
    <w:p w14:paraId="52C12151" w14:textId="1ABB4262" w:rsidR="00360BB1" w:rsidRPr="002F6F47" w:rsidRDefault="00EB1D7F" w:rsidP="002F6F47">
      <w:pPr>
        <w:pStyle w:val="LITlitera"/>
        <w:ind w:left="851" w:hanging="341"/>
        <w:rPr>
          <w:rStyle w:val="Ppogrubienie"/>
          <w:rFonts w:ascii="Times New Roman" w:hAnsi="Times New Roman" w:cs="Times New Roman"/>
          <w:b w:val="0"/>
        </w:rPr>
      </w:pPr>
      <w:r>
        <w:rPr>
          <w:rFonts w:ascii="Times New Roman" w:hAnsi="Times New Roman" w:cs="Times New Roman"/>
        </w:rPr>
        <w:t>–</w:t>
      </w:r>
      <w:r>
        <w:rPr>
          <w:rFonts w:ascii="Times New Roman" w:hAnsi="Times New Roman" w:cs="Times New Roman"/>
        </w:rPr>
        <w:tab/>
      </w:r>
      <w:r w:rsidR="00360BB1" w:rsidRPr="002F6F47">
        <w:rPr>
          <w:rStyle w:val="Ppogrubienie"/>
          <w:rFonts w:ascii="Times New Roman" w:hAnsi="Times New Roman" w:cs="Times New Roman"/>
          <w:b w:val="0"/>
        </w:rPr>
        <w:t>2027 r. podwyżka z 9190,00 zł/hl 100% vol. do kwoty 10109,00 zł/hl 100% vol.</w:t>
      </w:r>
      <w:r>
        <w:rPr>
          <w:rStyle w:val="Ppogrubienie"/>
          <w:rFonts w:ascii="Times New Roman" w:hAnsi="Times New Roman" w:cs="Times New Roman"/>
          <w:b w:val="0"/>
        </w:rPr>
        <w:t>;</w:t>
      </w:r>
    </w:p>
    <w:p w14:paraId="562804E7" w14:textId="1CEE64A6" w:rsidR="00360BB1" w:rsidRPr="00EB1D7F" w:rsidRDefault="00360BB1" w:rsidP="002F6F47">
      <w:pPr>
        <w:widowControl/>
        <w:ind w:left="426" w:hanging="426"/>
        <w:jc w:val="both"/>
        <w:rPr>
          <w:rFonts w:cs="Times New Roman"/>
        </w:rPr>
      </w:pPr>
      <w:r w:rsidRPr="00EB1D7F">
        <w:rPr>
          <w:rFonts w:cs="Times New Roman"/>
        </w:rPr>
        <w:t>2</w:t>
      </w:r>
      <w:r w:rsidR="00EB1D7F">
        <w:rPr>
          <w:rFonts w:cs="Times New Roman"/>
        </w:rPr>
        <w:t>)</w:t>
      </w:r>
      <w:r w:rsidR="00EB1D7F">
        <w:rPr>
          <w:rFonts w:cs="Times New Roman"/>
        </w:rPr>
        <w:tab/>
      </w:r>
      <w:r w:rsidRPr="00EB1D7F">
        <w:rPr>
          <w:rFonts w:cs="Times New Roman"/>
        </w:rPr>
        <w:t>piwo</w:t>
      </w:r>
      <w:r w:rsidR="00893EDF">
        <w:rPr>
          <w:rFonts w:cs="Times New Roman"/>
        </w:rPr>
        <w:t>:</w:t>
      </w:r>
    </w:p>
    <w:p w14:paraId="58510202" w14:textId="5F672C88" w:rsidR="00360BB1" w:rsidRPr="002F6F47" w:rsidRDefault="00EB1D7F" w:rsidP="002F6F47">
      <w:pPr>
        <w:pStyle w:val="LITlitera"/>
        <w:ind w:left="851" w:hanging="341"/>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60BB1" w:rsidRPr="002F6F47">
        <w:rPr>
          <w:rFonts w:ascii="Times New Roman" w:hAnsi="Times New Roman" w:cs="Times New Roman"/>
        </w:rPr>
        <w:t>2026 r. podwyżka z 11,47 zł/ hl</w:t>
      </w:r>
      <w:r w:rsidR="00893EDF">
        <w:rPr>
          <w:rFonts w:ascii="Times New Roman" w:hAnsi="Times New Roman" w:cs="Times New Roman"/>
        </w:rPr>
        <w:t xml:space="preserve"> </w:t>
      </w:r>
      <w:r w:rsidR="00360BB1" w:rsidRPr="002F6F47">
        <w:rPr>
          <w:rFonts w:ascii="Times New Roman" w:hAnsi="Times New Roman" w:cs="Times New Roman"/>
        </w:rPr>
        <w:t>st. Plato do kwoty 12,56 zł/ hl st. Plato,</w:t>
      </w:r>
    </w:p>
    <w:p w14:paraId="36C6FCBD" w14:textId="50565BC2" w:rsidR="00360BB1" w:rsidRPr="002F6F47" w:rsidRDefault="00EB1D7F" w:rsidP="002F6F47">
      <w:pPr>
        <w:pStyle w:val="LITlitera"/>
        <w:ind w:left="851" w:hanging="341"/>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60BB1" w:rsidRPr="002F6F47">
        <w:rPr>
          <w:rFonts w:ascii="Times New Roman" w:hAnsi="Times New Roman" w:cs="Times New Roman"/>
        </w:rPr>
        <w:t>2027 r. podwyżka z 12,56 zł/hl st. Plato do kwoty 13,82 zł/ hl st. Plato</w:t>
      </w:r>
      <w:r>
        <w:rPr>
          <w:rFonts w:ascii="Times New Roman" w:hAnsi="Times New Roman" w:cs="Times New Roman"/>
        </w:rPr>
        <w:t>;</w:t>
      </w:r>
    </w:p>
    <w:p w14:paraId="0ADABBBA" w14:textId="6D637811" w:rsidR="00360BB1" w:rsidRPr="00EB1D7F" w:rsidRDefault="00360BB1" w:rsidP="002F6F47">
      <w:pPr>
        <w:widowControl/>
        <w:ind w:left="426" w:hanging="426"/>
        <w:jc w:val="both"/>
        <w:rPr>
          <w:rFonts w:cs="Times New Roman"/>
        </w:rPr>
      </w:pPr>
      <w:r w:rsidRPr="00EB1D7F">
        <w:rPr>
          <w:rFonts w:cs="Times New Roman"/>
        </w:rPr>
        <w:t>3</w:t>
      </w:r>
      <w:r w:rsidR="00EB1D7F">
        <w:rPr>
          <w:rFonts w:cs="Times New Roman"/>
        </w:rPr>
        <w:t>)</w:t>
      </w:r>
      <w:r w:rsidR="00EB1D7F">
        <w:rPr>
          <w:rFonts w:cs="Times New Roman"/>
        </w:rPr>
        <w:tab/>
      </w:r>
      <w:r w:rsidRPr="00EB1D7F">
        <w:rPr>
          <w:rFonts w:cs="Times New Roman"/>
        </w:rPr>
        <w:t>wyroby winiarskie, w tym:</w:t>
      </w:r>
    </w:p>
    <w:p w14:paraId="0460729D" w14:textId="1C02244E" w:rsidR="00360BB1" w:rsidRPr="002F6F47" w:rsidRDefault="00360BB1" w:rsidP="00EB1D7F">
      <w:pPr>
        <w:pStyle w:val="LITlitera"/>
        <w:rPr>
          <w:rFonts w:ascii="Times New Roman" w:hAnsi="Times New Roman" w:cs="Times New Roman"/>
        </w:rPr>
      </w:pPr>
      <w:r w:rsidRPr="002F6F47">
        <w:rPr>
          <w:rFonts w:ascii="Times New Roman" w:hAnsi="Times New Roman" w:cs="Times New Roman"/>
        </w:rPr>
        <w:t>a)</w:t>
      </w:r>
      <w:r w:rsidR="00EB1D7F">
        <w:rPr>
          <w:rFonts w:ascii="Times New Roman" w:hAnsi="Times New Roman" w:cs="Times New Roman"/>
        </w:rPr>
        <w:tab/>
      </w:r>
      <w:r w:rsidRPr="002F6F47">
        <w:rPr>
          <w:rFonts w:ascii="Times New Roman" w:hAnsi="Times New Roman" w:cs="Times New Roman"/>
        </w:rPr>
        <w:t>wino i napoje fermentowane</w:t>
      </w:r>
      <w:r w:rsidR="00EB1D7F">
        <w:rPr>
          <w:rFonts w:ascii="Times New Roman" w:hAnsi="Times New Roman" w:cs="Times New Roman"/>
        </w:rPr>
        <w:t>:</w:t>
      </w:r>
    </w:p>
    <w:p w14:paraId="0319B2AD" w14:textId="19378F31" w:rsidR="00360BB1" w:rsidRPr="002F6F47" w:rsidRDefault="00EB1D7F" w:rsidP="002F6F47">
      <w:pPr>
        <w:pStyle w:val="TIRtiret"/>
        <w:ind w:hanging="391"/>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60BB1" w:rsidRPr="002F6F47">
        <w:rPr>
          <w:rFonts w:ascii="Times New Roman" w:hAnsi="Times New Roman" w:cs="Times New Roman"/>
        </w:rPr>
        <w:t>2026 r. podwyżka z 233,00 zł/hl do kwoty 255,30 zł/hl,</w:t>
      </w:r>
    </w:p>
    <w:p w14:paraId="0BE84ED3" w14:textId="6FD73D12" w:rsidR="00360BB1" w:rsidRPr="002F6F47" w:rsidRDefault="00EB1D7F" w:rsidP="002F6F47">
      <w:pPr>
        <w:pStyle w:val="TIRtiret"/>
        <w:ind w:hanging="391"/>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60BB1" w:rsidRPr="002F6F47">
        <w:rPr>
          <w:rFonts w:ascii="Times New Roman" w:hAnsi="Times New Roman" w:cs="Times New Roman"/>
        </w:rPr>
        <w:t xml:space="preserve">2027 r. podwyżka z 255,30 zł/hl </w:t>
      </w:r>
      <w:bookmarkStart w:id="1" w:name="_Hlk206506992"/>
      <w:r w:rsidR="00360BB1" w:rsidRPr="002F6F47">
        <w:rPr>
          <w:rFonts w:ascii="Times New Roman" w:hAnsi="Times New Roman" w:cs="Times New Roman"/>
        </w:rPr>
        <w:t>do kwoty 280,83 zł/hl</w:t>
      </w:r>
      <w:r>
        <w:rPr>
          <w:rFonts w:ascii="Times New Roman" w:hAnsi="Times New Roman" w:cs="Times New Roman"/>
        </w:rPr>
        <w:t>,</w:t>
      </w:r>
      <w:bookmarkEnd w:id="1"/>
    </w:p>
    <w:p w14:paraId="6A249C11" w14:textId="3C96B14B" w:rsidR="00360BB1" w:rsidRPr="002F6F47" w:rsidRDefault="00360BB1" w:rsidP="00EB1D7F">
      <w:pPr>
        <w:pStyle w:val="LITlitera"/>
        <w:rPr>
          <w:rFonts w:ascii="Times New Roman" w:hAnsi="Times New Roman" w:cs="Times New Roman"/>
        </w:rPr>
      </w:pPr>
      <w:r w:rsidRPr="002F6F47">
        <w:rPr>
          <w:rFonts w:ascii="Times New Roman" w:hAnsi="Times New Roman" w:cs="Times New Roman"/>
        </w:rPr>
        <w:t>b)</w:t>
      </w:r>
      <w:r w:rsidR="00EB1D7F">
        <w:rPr>
          <w:rFonts w:ascii="Times New Roman" w:hAnsi="Times New Roman" w:cs="Times New Roman"/>
        </w:rPr>
        <w:tab/>
      </w:r>
      <w:r w:rsidRPr="002F6F47">
        <w:rPr>
          <w:rFonts w:ascii="Times New Roman" w:hAnsi="Times New Roman" w:cs="Times New Roman"/>
        </w:rPr>
        <w:t>cydr i perry o mocy do 5% obj.</w:t>
      </w:r>
      <w:r w:rsidR="00EB1D7F">
        <w:rPr>
          <w:rFonts w:ascii="Times New Roman" w:hAnsi="Times New Roman" w:cs="Times New Roman"/>
        </w:rPr>
        <w:t>:</w:t>
      </w:r>
    </w:p>
    <w:p w14:paraId="1984177A" w14:textId="7B1EFB46" w:rsidR="00360BB1" w:rsidRPr="002F6F47" w:rsidRDefault="00EB1D7F" w:rsidP="00EB1D7F">
      <w:pPr>
        <w:pStyle w:val="TIRtiret"/>
        <w:rPr>
          <w:rFonts w:ascii="Times New Roman" w:hAnsi="Times New Roman" w:cs="Times New Roman"/>
        </w:rPr>
      </w:pPr>
      <w:bookmarkStart w:id="2" w:name="_Hlk206509580"/>
      <w:r>
        <w:rPr>
          <w:rFonts w:ascii="Times New Roman" w:hAnsi="Times New Roman" w:cs="Times New Roman"/>
        </w:rPr>
        <w:t>–</w:t>
      </w:r>
      <w:r>
        <w:rPr>
          <w:rFonts w:ascii="Times New Roman" w:hAnsi="Times New Roman" w:cs="Times New Roman"/>
        </w:rPr>
        <w:tab/>
      </w:r>
      <w:bookmarkEnd w:id="2"/>
      <w:r w:rsidR="00360BB1" w:rsidRPr="002F6F47">
        <w:rPr>
          <w:rFonts w:ascii="Times New Roman" w:hAnsi="Times New Roman" w:cs="Times New Roman"/>
        </w:rPr>
        <w:t>2026 r. podwyżka z 97,00 zł/hl do kwoty 111,55 zł/hl,</w:t>
      </w:r>
    </w:p>
    <w:p w14:paraId="7B856FAB" w14:textId="3D98C34A" w:rsidR="00360BB1" w:rsidRPr="002F6F47" w:rsidRDefault="00EB1D7F" w:rsidP="00EB1D7F">
      <w:pPr>
        <w:pStyle w:val="TIRtiret"/>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60BB1" w:rsidRPr="002F6F47">
        <w:rPr>
          <w:rFonts w:ascii="Times New Roman" w:hAnsi="Times New Roman" w:cs="Times New Roman"/>
        </w:rPr>
        <w:t>2027 r. podwyżka z 111,55 zł/hl do kwoty 122,71 zł/hl</w:t>
      </w:r>
      <w:r>
        <w:rPr>
          <w:rFonts w:ascii="Times New Roman" w:hAnsi="Times New Roman" w:cs="Times New Roman"/>
        </w:rPr>
        <w:t>,</w:t>
      </w:r>
    </w:p>
    <w:p w14:paraId="4919F6D8" w14:textId="2888B43E" w:rsidR="00360BB1" w:rsidRPr="002F6F47" w:rsidRDefault="00360BB1" w:rsidP="00EB1D7F">
      <w:pPr>
        <w:pStyle w:val="LITlitera"/>
        <w:rPr>
          <w:rFonts w:ascii="Times New Roman" w:hAnsi="Times New Roman" w:cs="Times New Roman"/>
        </w:rPr>
      </w:pPr>
      <w:r w:rsidRPr="002F6F47">
        <w:rPr>
          <w:rFonts w:ascii="Times New Roman" w:hAnsi="Times New Roman" w:cs="Times New Roman"/>
        </w:rPr>
        <w:t>c)</w:t>
      </w:r>
      <w:r w:rsidR="00EB1D7F">
        <w:rPr>
          <w:rFonts w:ascii="Times New Roman" w:hAnsi="Times New Roman" w:cs="Times New Roman"/>
        </w:rPr>
        <w:tab/>
      </w:r>
      <w:r w:rsidRPr="002F6F47">
        <w:rPr>
          <w:rFonts w:ascii="Times New Roman" w:hAnsi="Times New Roman" w:cs="Times New Roman"/>
        </w:rPr>
        <w:t>wyroby pośrednie</w:t>
      </w:r>
      <w:r w:rsidR="00EB1D7F">
        <w:rPr>
          <w:rFonts w:ascii="Times New Roman" w:hAnsi="Times New Roman" w:cs="Times New Roman"/>
        </w:rPr>
        <w:t>:</w:t>
      </w:r>
    </w:p>
    <w:p w14:paraId="041FA2E6" w14:textId="1F777782" w:rsidR="00360BB1" w:rsidRPr="002F6F47" w:rsidRDefault="00EB1D7F" w:rsidP="00EB1D7F">
      <w:pPr>
        <w:pStyle w:val="TIRtiret"/>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60BB1" w:rsidRPr="002F6F47">
        <w:rPr>
          <w:rFonts w:ascii="Times New Roman" w:hAnsi="Times New Roman" w:cs="Times New Roman"/>
        </w:rPr>
        <w:t>2026 r. podwyżka z 467,00 zł/hl do kwoty 511,75 zł/hl,</w:t>
      </w:r>
    </w:p>
    <w:p w14:paraId="4CB910A5" w14:textId="4530668E" w:rsidR="00360BB1" w:rsidRPr="002F6F47" w:rsidRDefault="00EB1D7F" w:rsidP="00EB1D7F">
      <w:pPr>
        <w:pStyle w:val="TIRtiret"/>
        <w:rPr>
          <w:rFonts w:ascii="Times New Roman" w:hAnsi="Times New Roman" w:cs="Times New Roman"/>
        </w:rPr>
      </w:pPr>
      <w:r>
        <w:rPr>
          <w:rFonts w:ascii="Times New Roman" w:hAnsi="Times New Roman" w:cs="Times New Roman"/>
        </w:rPr>
        <w:t>–</w:t>
      </w:r>
      <w:r>
        <w:rPr>
          <w:rFonts w:ascii="Times New Roman" w:hAnsi="Times New Roman" w:cs="Times New Roman"/>
        </w:rPr>
        <w:tab/>
      </w:r>
      <w:r w:rsidR="00360BB1" w:rsidRPr="002F6F47">
        <w:rPr>
          <w:rFonts w:ascii="Times New Roman" w:hAnsi="Times New Roman" w:cs="Times New Roman"/>
        </w:rPr>
        <w:t>2027 r. podwyżka z 511,75 zł/hl do kwoty 562,93 zł/hl.</w:t>
      </w:r>
    </w:p>
    <w:p w14:paraId="596A8535" w14:textId="1AC8971F" w:rsidR="00360BB1" w:rsidRPr="00EB1D7F" w:rsidRDefault="00320B0B" w:rsidP="002F6F47">
      <w:pPr>
        <w:widowControl/>
        <w:spacing w:before="120"/>
        <w:jc w:val="both"/>
        <w:rPr>
          <w:rFonts w:cs="Times New Roman"/>
        </w:rPr>
      </w:pPr>
      <w:r w:rsidRPr="00EB1D7F">
        <w:rPr>
          <w:rFonts w:cs="Times New Roman"/>
          <w:noProof/>
        </w:rPr>
        <w:lastRenderedPageBreak/>
        <w:drawing>
          <wp:anchor distT="0" distB="0" distL="114300" distR="114300" simplePos="0" relativeHeight="251659264" behindDoc="0" locked="0" layoutInCell="1" allowOverlap="1" wp14:anchorId="7BD4C0CB" wp14:editId="265202AA">
            <wp:simplePos x="0" y="0"/>
            <wp:positionH relativeFrom="page">
              <wp:posOffset>981075</wp:posOffset>
            </wp:positionH>
            <wp:positionV relativeFrom="paragraph">
              <wp:posOffset>1195705</wp:posOffset>
            </wp:positionV>
            <wp:extent cx="6124575" cy="222758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4575" cy="2227580"/>
                    </a:xfrm>
                    <a:prstGeom prst="rect">
                      <a:avLst/>
                    </a:prstGeom>
                    <a:noFill/>
                  </pic:spPr>
                </pic:pic>
              </a:graphicData>
            </a:graphic>
            <wp14:sizeRelH relativeFrom="margin">
              <wp14:pctWidth>0</wp14:pctWidth>
            </wp14:sizeRelH>
            <wp14:sizeRelV relativeFrom="margin">
              <wp14:pctHeight>0</wp14:pctHeight>
            </wp14:sizeRelV>
          </wp:anchor>
        </w:drawing>
      </w:r>
      <w:r w:rsidR="00360BB1" w:rsidRPr="00EB1D7F">
        <w:rPr>
          <w:rFonts w:cs="Times New Roman"/>
        </w:rPr>
        <w:t>Wzrost stawek podatku akcyzowego będzie oznaczać wzrost cen napojów alkoholowych. W przypadku przeniesienia przez podmioty obciążeń fiskalnych w zakresie podatku akcyzowego na konsumentów prawdopodobny jest następujący wzrost cen ww. wyrobów, a mianowicie:</w:t>
      </w:r>
    </w:p>
    <w:p w14:paraId="6685242F" w14:textId="43AFBF27" w:rsidR="00360BB1" w:rsidRPr="002F6F47" w:rsidRDefault="00360BB1" w:rsidP="002F6F47">
      <w:pPr>
        <w:widowControl/>
        <w:jc w:val="both"/>
        <w:rPr>
          <w:rStyle w:val="Ppogrubienie"/>
          <w:b w:val="0"/>
          <w:sz w:val="20"/>
        </w:rPr>
      </w:pPr>
      <w:r w:rsidRPr="002F6F47">
        <w:rPr>
          <w:sz w:val="20"/>
        </w:rPr>
        <w:t>Wg obliczeń własnych MF</w:t>
      </w:r>
    </w:p>
    <w:p w14:paraId="28E5F039" w14:textId="77777777" w:rsidR="00685BBC" w:rsidRDefault="00685BBC" w:rsidP="002F6F47">
      <w:pPr>
        <w:widowControl/>
        <w:jc w:val="both"/>
        <w:rPr>
          <w:rStyle w:val="Ppogrubienie"/>
        </w:rPr>
      </w:pPr>
    </w:p>
    <w:p w14:paraId="00B35DF9" w14:textId="6CDB357E" w:rsidR="00360BB1" w:rsidRDefault="00360BB1" w:rsidP="002F6F47">
      <w:pPr>
        <w:widowControl/>
        <w:jc w:val="both"/>
      </w:pPr>
      <w:r>
        <w:t xml:space="preserve">Przepisy art. 1 </w:t>
      </w:r>
      <w:r w:rsidR="00F83D9D">
        <w:t>pkt 1</w:t>
      </w:r>
      <w:r w:rsidR="00D278B5">
        <w:t>–</w:t>
      </w:r>
      <w:r w:rsidR="00F83D9D">
        <w:t xml:space="preserve">5 </w:t>
      </w:r>
      <w:r>
        <w:t>dotyczą zmian w art. 93 ust. 4, art. 94 ust. 4, art. 95 ust. 4, art. 96 ust. 4, art. 97 ust. 4 u.p.a. w zakresie wysokości stawek podatku akcyzowego na napoje alkoholowe</w:t>
      </w:r>
      <w:r w:rsidR="00D278B5">
        <w:t>,</w:t>
      </w:r>
      <w:r>
        <w:t xml:space="preserve"> tj. alkohol etylowy, piwo, napoje fermentowane i wyroby pośrednie</w:t>
      </w:r>
      <w:r w:rsidR="00D278B5">
        <w:t>,</w:t>
      </w:r>
      <w:r>
        <w:t xml:space="preserve"> jakie będą obowiązywać w 2027 r.</w:t>
      </w:r>
    </w:p>
    <w:p w14:paraId="7C28C224" w14:textId="214B651A" w:rsidR="00360BB1" w:rsidRDefault="00360BB1" w:rsidP="002F6F47">
      <w:pPr>
        <w:widowControl/>
        <w:jc w:val="both"/>
      </w:pPr>
      <w:r>
        <w:t xml:space="preserve">Natomiast w art. 1 pkt </w:t>
      </w:r>
      <w:r w:rsidR="00F83D9D">
        <w:t>6</w:t>
      </w:r>
      <w:r>
        <w:t xml:space="preserve"> zaproponowano zmiany w art. 165a u.p.a. w zakresie stawek akcyzy na napoje alkoholowe w 2026 r.</w:t>
      </w:r>
    </w:p>
    <w:p w14:paraId="65053207" w14:textId="4AAD9196" w:rsidR="00F83D9D" w:rsidRDefault="00360BB1" w:rsidP="002F6F47">
      <w:pPr>
        <w:widowControl/>
        <w:spacing w:before="240"/>
        <w:jc w:val="both"/>
        <w:rPr>
          <w:rStyle w:val="Ppogrubienie"/>
        </w:rPr>
      </w:pPr>
      <w:r>
        <w:rPr>
          <w:rStyle w:val="Ppogrubienie"/>
        </w:rPr>
        <w:t>Wejście w życie proponowanych zmian</w:t>
      </w:r>
    </w:p>
    <w:p w14:paraId="70454405" w14:textId="7630D89A" w:rsidR="00F702F4" w:rsidRDefault="00360BB1" w:rsidP="002F6F47">
      <w:pPr>
        <w:widowControl/>
        <w:jc w:val="both"/>
        <w:rPr>
          <w:rFonts w:ascii="Noto Serif" w:hAnsi="Noto Serif" w:cs="Noto Serif"/>
          <w:color w:val="333333"/>
          <w:shd w:val="clear" w:color="auto" w:fill="FFFFFF"/>
        </w:rPr>
      </w:pPr>
      <w:r>
        <w:t>Zmiany zawarte w projekcie ustawy powinny wejść w życie w dniu 1 stycznia 2026 r.</w:t>
      </w:r>
      <w:r w:rsidR="00CC225E">
        <w:t xml:space="preserve"> </w:t>
      </w:r>
    </w:p>
    <w:p w14:paraId="0B106F5F" w14:textId="77777777" w:rsidR="00F702F4" w:rsidRDefault="00F702F4" w:rsidP="002F6F47">
      <w:pPr>
        <w:widowControl/>
        <w:jc w:val="both"/>
        <w:rPr>
          <w:rFonts w:eastAsiaTheme="minorHAnsi" w:cs="Calibri"/>
          <w:sz w:val="22"/>
        </w:rPr>
      </w:pPr>
      <w:r>
        <w:t>Projekt ustawy przewiduje skrócone vacatio legis z uwagi na konieczność niezwłocznego przeciwdziałania narastającym zjawiskom społecznym związanym z nadużywaniem alkoholu oraz wynikającym z tego zjawiska negatywnym skutkom zdrowotnym, społecznym i ekonomicznym, które mają istotny wpływ na funkcjonowanie państwa i dobro obywateli.</w:t>
      </w:r>
    </w:p>
    <w:p w14:paraId="051596BB" w14:textId="6F7BA9E0" w:rsidR="00F702F4" w:rsidRPr="00F702F4" w:rsidRDefault="00F702F4" w:rsidP="002F6F47">
      <w:pPr>
        <w:widowControl/>
        <w:jc w:val="both"/>
        <w:rPr>
          <w:rFonts w:eastAsiaTheme="minorHAnsi" w:cs="Calibri"/>
          <w:sz w:val="22"/>
        </w:rPr>
      </w:pPr>
      <w:r>
        <w:t>Ponadto, w związku ze zwiększającymi się potrzebami w zakresie finansowania bezpieczeństwa i obronności państwa, konieczne jest zapewnienie stabilności finansów publicznych.</w:t>
      </w:r>
    </w:p>
    <w:p w14:paraId="7E2073E2" w14:textId="30A00FCC" w:rsidR="00360BB1" w:rsidRDefault="00360BB1" w:rsidP="002F6F47">
      <w:pPr>
        <w:keepNext/>
        <w:widowControl/>
        <w:spacing w:before="240"/>
        <w:jc w:val="both"/>
        <w:rPr>
          <w:rStyle w:val="Ppogrubienie"/>
        </w:rPr>
      </w:pPr>
      <w:r>
        <w:rPr>
          <w:rStyle w:val="Ppogrubienie"/>
        </w:rPr>
        <w:lastRenderedPageBreak/>
        <w:t>Wpływ projektowanej regulacji na działalność mikroprzedsiębiorców, małych i średnich przedsiębiorstw</w:t>
      </w:r>
    </w:p>
    <w:p w14:paraId="38C7FAD8" w14:textId="2B7D72E2" w:rsidR="00360BB1" w:rsidRDefault="00360BB1" w:rsidP="002F6F47">
      <w:pPr>
        <w:widowControl/>
        <w:jc w:val="both"/>
      </w:pPr>
      <w:r>
        <w:t>Należy liczyć się ze zwiększeniem obciążeń, w tym dla mikro</w:t>
      </w:r>
      <w:r w:rsidR="00D278B5">
        <w:t>-</w:t>
      </w:r>
      <w:r>
        <w:t xml:space="preserve">, małych i średnich przedsiębiorstw. </w:t>
      </w:r>
      <w:r w:rsidR="00685BBC">
        <w:t>Z</w:t>
      </w:r>
      <w:r>
        <w:t>większenie obciążeń nastąpi z uwagi na wzrost akcyz</w:t>
      </w:r>
      <w:r w:rsidR="008A6805">
        <w:t>y od</w:t>
      </w:r>
      <w:r>
        <w:t xml:space="preserve"> napojów alkoholowych.</w:t>
      </w:r>
    </w:p>
    <w:p w14:paraId="25E17B84" w14:textId="0B1A5157" w:rsidR="00360BB1" w:rsidRDefault="00360BB1" w:rsidP="002F6F47">
      <w:pPr>
        <w:widowControl/>
        <w:spacing w:before="240"/>
        <w:jc w:val="both"/>
      </w:pPr>
      <w:r>
        <w:t>Projekt ustawy nie jest sprzeczny z prawem Unii Europejskiej.</w:t>
      </w:r>
    </w:p>
    <w:p w14:paraId="564C4F25" w14:textId="078AC3AE" w:rsidR="00360BB1" w:rsidRDefault="00360BB1" w:rsidP="002F6F47">
      <w:pPr>
        <w:widowControl/>
        <w:jc w:val="both"/>
      </w:pPr>
      <w:r>
        <w:t>Projekt ustawy nie zawiera przepisów technicznych w rozumieniu przepisów rozporządzenia Rady Ministrów z dnia 23 grudnia 2002 r. w sprawie sposobu funkcjonowania krajowego systemu notyfikacji norm i aktów prawnych (Dz. U. poz. 2039, z późn. zm.), w związku z czym</w:t>
      </w:r>
      <w:r w:rsidR="00893EDF">
        <w:t xml:space="preserve"> </w:t>
      </w:r>
      <w:r>
        <w:t>nie będzie podlegał notyfikacji technicznej.</w:t>
      </w:r>
    </w:p>
    <w:p w14:paraId="48851043" w14:textId="77777777" w:rsidR="00360BB1" w:rsidRDefault="00360BB1" w:rsidP="002F6F47">
      <w:pPr>
        <w:widowControl/>
        <w:jc w:val="both"/>
      </w:pPr>
      <w:r>
        <w:t xml:space="preserve">Projekt ustawy nie podlega przedstawieniu właściwym organom i instytucjom Unii Europejskiej, w tym Europejskiemu Bankowi Centralnemu. </w:t>
      </w:r>
    </w:p>
    <w:p w14:paraId="049B6330" w14:textId="6FD8649D" w:rsidR="00737A9C" w:rsidRDefault="00360BB1" w:rsidP="002F6F47">
      <w:pPr>
        <w:widowControl/>
        <w:jc w:val="both"/>
      </w:pPr>
      <w:r>
        <w:t xml:space="preserve">Zgodnie z art. 5 ustawy z dnia 7 lipca 2005 r. o działalności lobbingowej w procesie stanowienia prawa (Dz. U. z 2025 r. poz. 677) w związku z § 52 ust. 1 uchwały nr 190 Rady Ministrów z dnia 29 października 2013 r. </w:t>
      </w:r>
      <w:r w:rsidR="00893EDF">
        <w:t>–</w:t>
      </w:r>
      <w:r>
        <w:t xml:space="preserve"> Regulamin pracy Rady Ministrów (M.P. z 2024 r. poz. 806, z późn. zm.), projekt ustawy z chwilą przekazania go do uzgodnień z członkami Rady Ministrów oraz konsultacji publicznych i opiniowania zosta</w:t>
      </w:r>
      <w:r w:rsidR="009B1D13">
        <w:t>ł</w:t>
      </w:r>
      <w:r>
        <w:t xml:space="preserve"> udostępniony w Biuletynie Informacji Publicznej na stronie podmiotowej Rządowego Centrum Legislacji, w serwisie Rządowy Proces Legislac</w:t>
      </w:r>
      <w:r w:rsidR="00480E09">
        <w:t>yjny</w:t>
      </w:r>
      <w:r>
        <w:t>.</w:t>
      </w:r>
    </w:p>
    <w:sectPr w:rsidR="00737A9C" w:rsidSect="00EB1D7F">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D295B" w14:textId="77777777" w:rsidR="004C4773" w:rsidRDefault="004C4773" w:rsidP="00360BB1">
      <w:pPr>
        <w:spacing w:line="240" w:lineRule="auto"/>
      </w:pPr>
      <w:r>
        <w:separator/>
      </w:r>
    </w:p>
  </w:endnote>
  <w:endnote w:type="continuationSeparator" w:id="0">
    <w:p w14:paraId="5BDAEDBE" w14:textId="77777777" w:rsidR="004C4773" w:rsidRDefault="004C4773" w:rsidP="00360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Noto Serif">
    <w:altName w:val="Cambria"/>
    <w:charset w:val="00"/>
    <w:family w:val="roman"/>
    <w:pitch w:val="variable"/>
    <w:sig w:usb0="E00002FF" w:usb1="500078FF" w:usb2="0000002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72517"/>
      <w:docPartObj>
        <w:docPartGallery w:val="Page Numbers (Bottom of Page)"/>
        <w:docPartUnique/>
      </w:docPartObj>
    </w:sdtPr>
    <w:sdtEndPr/>
    <w:sdtContent>
      <w:p w14:paraId="20AF617F" w14:textId="1C56ADCA" w:rsidR="00EB1D7F" w:rsidRDefault="00EB1D7F" w:rsidP="00EB1D7F">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9FCC" w14:textId="77777777" w:rsidR="004C4773" w:rsidRDefault="004C4773" w:rsidP="00360BB1">
      <w:pPr>
        <w:spacing w:line="240" w:lineRule="auto"/>
      </w:pPr>
      <w:r>
        <w:separator/>
      </w:r>
    </w:p>
  </w:footnote>
  <w:footnote w:type="continuationSeparator" w:id="0">
    <w:p w14:paraId="7EFB6C50" w14:textId="77777777" w:rsidR="004C4773" w:rsidRDefault="004C4773" w:rsidP="00360B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F3E4E"/>
    <w:multiLevelType w:val="hybridMultilevel"/>
    <w:tmpl w:val="D6680936"/>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15:restartNumberingAfterBreak="0">
    <w:nsid w:val="64BA782E"/>
    <w:multiLevelType w:val="hybridMultilevel"/>
    <w:tmpl w:val="BD5283B4"/>
    <w:lvl w:ilvl="0" w:tplc="3BE2CA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64862696">
    <w:abstractNumId w:val="0"/>
  </w:num>
  <w:num w:numId="2" w16cid:durableId="568425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BB1"/>
    <w:rsid w:val="000027EE"/>
    <w:rsid w:val="000A0437"/>
    <w:rsid w:val="000C5F21"/>
    <w:rsid w:val="00123E47"/>
    <w:rsid w:val="00135E86"/>
    <w:rsid w:val="00164015"/>
    <w:rsid w:val="001B4AED"/>
    <w:rsid w:val="001F5FA2"/>
    <w:rsid w:val="0020699D"/>
    <w:rsid w:val="00206DD2"/>
    <w:rsid w:val="00233EC4"/>
    <w:rsid w:val="00263DFF"/>
    <w:rsid w:val="002C6104"/>
    <w:rsid w:val="002D4735"/>
    <w:rsid w:val="002F6F47"/>
    <w:rsid w:val="00320B0B"/>
    <w:rsid w:val="00321D51"/>
    <w:rsid w:val="0034637A"/>
    <w:rsid w:val="00350B74"/>
    <w:rsid w:val="00353898"/>
    <w:rsid w:val="00360BB1"/>
    <w:rsid w:val="00362EBD"/>
    <w:rsid w:val="003D7CAB"/>
    <w:rsid w:val="0043601A"/>
    <w:rsid w:val="00443D13"/>
    <w:rsid w:val="004506FD"/>
    <w:rsid w:val="00475B54"/>
    <w:rsid w:val="00480E09"/>
    <w:rsid w:val="00482E19"/>
    <w:rsid w:val="00487C7F"/>
    <w:rsid w:val="004B5042"/>
    <w:rsid w:val="004C1553"/>
    <w:rsid w:val="004C4773"/>
    <w:rsid w:val="004C56B3"/>
    <w:rsid w:val="00514482"/>
    <w:rsid w:val="0058061F"/>
    <w:rsid w:val="005F68ED"/>
    <w:rsid w:val="005F7D25"/>
    <w:rsid w:val="00611321"/>
    <w:rsid w:val="00685BBC"/>
    <w:rsid w:val="00714369"/>
    <w:rsid w:val="00722108"/>
    <w:rsid w:val="00737A9C"/>
    <w:rsid w:val="007815F5"/>
    <w:rsid w:val="007F3DB4"/>
    <w:rsid w:val="008606CA"/>
    <w:rsid w:val="00872B8B"/>
    <w:rsid w:val="00893EDF"/>
    <w:rsid w:val="008A6805"/>
    <w:rsid w:val="0094610A"/>
    <w:rsid w:val="009B1D13"/>
    <w:rsid w:val="009B5905"/>
    <w:rsid w:val="009C6407"/>
    <w:rsid w:val="00B271AC"/>
    <w:rsid w:val="00B4003A"/>
    <w:rsid w:val="00BB65B1"/>
    <w:rsid w:val="00C53051"/>
    <w:rsid w:val="00C757EE"/>
    <w:rsid w:val="00C911A9"/>
    <w:rsid w:val="00CC1808"/>
    <w:rsid w:val="00CC225E"/>
    <w:rsid w:val="00CD08A6"/>
    <w:rsid w:val="00D13534"/>
    <w:rsid w:val="00D278B5"/>
    <w:rsid w:val="00D31431"/>
    <w:rsid w:val="00D74706"/>
    <w:rsid w:val="00DC2550"/>
    <w:rsid w:val="00DE710A"/>
    <w:rsid w:val="00E6606B"/>
    <w:rsid w:val="00EB1D7F"/>
    <w:rsid w:val="00ED5900"/>
    <w:rsid w:val="00ED7528"/>
    <w:rsid w:val="00EF38CF"/>
    <w:rsid w:val="00F702F4"/>
    <w:rsid w:val="00F83D9D"/>
    <w:rsid w:val="00F97233"/>
    <w:rsid w:val="00FD5E08"/>
    <w:rsid w:val="00FE3E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283CDC"/>
  <w15:chartTrackingRefBased/>
  <w15:docId w15:val="{01078686-65A6-4977-91E2-25320614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0BB1"/>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60BB1"/>
    <w:rPr>
      <w:color w:val="0563C1" w:themeColor="hyperlink"/>
      <w:u w:val="single"/>
    </w:rPr>
  </w:style>
  <w:style w:type="paragraph" w:customStyle="1" w:styleId="LITlitera">
    <w:name w:val="LIT – litera"/>
    <w:basedOn w:val="Normalny"/>
    <w:uiPriority w:val="14"/>
    <w:qFormat/>
    <w:rsid w:val="00360BB1"/>
    <w:pPr>
      <w:widowControl/>
      <w:autoSpaceDE/>
      <w:autoSpaceDN/>
      <w:adjustRightInd/>
      <w:ind w:left="986" w:hanging="476"/>
      <w:jc w:val="both"/>
    </w:pPr>
    <w:rPr>
      <w:rFonts w:ascii="Times" w:hAnsi="Times"/>
      <w:bCs/>
    </w:rPr>
  </w:style>
  <w:style w:type="paragraph" w:customStyle="1" w:styleId="TIRtiret">
    <w:name w:val="TIR – tiret"/>
    <w:basedOn w:val="LITlitera"/>
    <w:uiPriority w:val="15"/>
    <w:qFormat/>
    <w:rsid w:val="00360BB1"/>
    <w:pPr>
      <w:ind w:left="1384" w:hanging="397"/>
    </w:pPr>
  </w:style>
  <w:style w:type="character" w:customStyle="1" w:styleId="Ppogrubienie">
    <w:name w:val="_P_ – pogrubienie"/>
    <w:basedOn w:val="Domylnaczcionkaakapitu"/>
    <w:uiPriority w:val="1"/>
    <w:qFormat/>
    <w:rsid w:val="00360BB1"/>
    <w:rPr>
      <w:b/>
      <w:bCs w:val="0"/>
    </w:rPr>
  </w:style>
  <w:style w:type="paragraph" w:styleId="Akapitzlist">
    <w:name w:val="List Paragraph"/>
    <w:basedOn w:val="Normalny"/>
    <w:uiPriority w:val="34"/>
    <w:qFormat/>
    <w:rsid w:val="00ED7528"/>
    <w:pPr>
      <w:ind w:left="720"/>
      <w:contextualSpacing/>
    </w:pPr>
  </w:style>
  <w:style w:type="paragraph" w:styleId="Poprawka">
    <w:name w:val="Revision"/>
    <w:hidden/>
    <w:uiPriority w:val="99"/>
    <w:semiHidden/>
    <w:rsid w:val="00EB1D7F"/>
    <w:pPr>
      <w:spacing w:after="0" w:line="240" w:lineRule="auto"/>
    </w:pPr>
    <w:rPr>
      <w:rFonts w:ascii="Times New Roman" w:eastAsiaTheme="minorEastAsia" w:hAnsi="Times New Roman" w:cs="Arial"/>
      <w:sz w:val="24"/>
      <w:szCs w:val="20"/>
      <w:lang w:eastAsia="pl-PL"/>
    </w:rPr>
  </w:style>
  <w:style w:type="paragraph" w:styleId="Nagwek">
    <w:name w:val="header"/>
    <w:basedOn w:val="Normalny"/>
    <w:link w:val="NagwekZnak"/>
    <w:uiPriority w:val="99"/>
    <w:unhideWhenUsed/>
    <w:rsid w:val="00EB1D7F"/>
    <w:pPr>
      <w:tabs>
        <w:tab w:val="center" w:pos="4536"/>
        <w:tab w:val="right" w:pos="9072"/>
      </w:tabs>
      <w:spacing w:line="240" w:lineRule="auto"/>
    </w:pPr>
  </w:style>
  <w:style w:type="character" w:customStyle="1" w:styleId="NagwekZnak">
    <w:name w:val="Nagłówek Znak"/>
    <w:basedOn w:val="Domylnaczcionkaakapitu"/>
    <w:link w:val="Nagwek"/>
    <w:uiPriority w:val="99"/>
    <w:rsid w:val="00EB1D7F"/>
    <w:rPr>
      <w:rFonts w:ascii="Times New Roman" w:eastAsiaTheme="minorEastAsia" w:hAnsi="Times New Roman" w:cs="Arial"/>
      <w:sz w:val="24"/>
      <w:szCs w:val="20"/>
      <w:lang w:eastAsia="pl-PL"/>
    </w:rPr>
  </w:style>
  <w:style w:type="paragraph" w:styleId="Stopka">
    <w:name w:val="footer"/>
    <w:basedOn w:val="Normalny"/>
    <w:link w:val="StopkaZnak"/>
    <w:uiPriority w:val="99"/>
    <w:unhideWhenUsed/>
    <w:rsid w:val="00EB1D7F"/>
    <w:pPr>
      <w:tabs>
        <w:tab w:val="center" w:pos="4536"/>
        <w:tab w:val="right" w:pos="9072"/>
      </w:tabs>
      <w:spacing w:line="240" w:lineRule="auto"/>
    </w:pPr>
  </w:style>
  <w:style w:type="character" w:customStyle="1" w:styleId="StopkaZnak">
    <w:name w:val="Stopka Znak"/>
    <w:basedOn w:val="Domylnaczcionkaakapitu"/>
    <w:link w:val="Stopka"/>
    <w:uiPriority w:val="99"/>
    <w:rsid w:val="00EB1D7F"/>
    <w:rPr>
      <w:rFonts w:ascii="Times New Roman" w:eastAsiaTheme="minorEastAsia" w:hAnsi="Times New Roman" w:cs="Arial"/>
      <w:sz w:val="24"/>
      <w:szCs w:val="20"/>
      <w:lang w:eastAsia="pl-PL"/>
    </w:rPr>
  </w:style>
  <w:style w:type="paragraph" w:styleId="Tekstdymka">
    <w:name w:val="Balloon Text"/>
    <w:basedOn w:val="Normalny"/>
    <w:link w:val="TekstdymkaZnak"/>
    <w:uiPriority w:val="99"/>
    <w:semiHidden/>
    <w:unhideWhenUsed/>
    <w:rsid w:val="00475B5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75B54"/>
    <w:rPr>
      <w:rFonts w:ascii="Segoe UI" w:eastAsiaTheme="minorEastAsia"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9073">
      <w:bodyDiv w:val="1"/>
      <w:marLeft w:val="0"/>
      <w:marRight w:val="0"/>
      <w:marTop w:val="0"/>
      <w:marBottom w:val="0"/>
      <w:divBdr>
        <w:top w:val="none" w:sz="0" w:space="0" w:color="auto"/>
        <w:left w:val="none" w:sz="0" w:space="0" w:color="auto"/>
        <w:bottom w:val="none" w:sz="0" w:space="0" w:color="auto"/>
        <w:right w:val="none" w:sz="0" w:space="0" w:color="auto"/>
      </w:divBdr>
    </w:div>
    <w:div w:id="1424566512">
      <w:bodyDiv w:val="1"/>
      <w:marLeft w:val="0"/>
      <w:marRight w:val="0"/>
      <w:marTop w:val="0"/>
      <w:marBottom w:val="0"/>
      <w:divBdr>
        <w:top w:val="none" w:sz="0" w:space="0" w:color="auto"/>
        <w:left w:val="none" w:sz="0" w:space="0" w:color="auto"/>
        <w:bottom w:val="none" w:sz="0" w:space="0" w:color="auto"/>
        <w:right w:val="none" w:sz="0" w:space="0" w:color="auto"/>
      </w:divBdr>
    </w:div>
    <w:div w:id="177906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920</Words>
  <Characters>5526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Gocel Norbert</dc:creator>
  <cp:keywords/>
  <dc:description/>
  <cp:lastModifiedBy>Pietrzak Ewa</cp:lastModifiedBy>
  <cp:revision>3</cp:revision>
  <dcterms:created xsi:type="dcterms:W3CDTF">2025-10-14T16:27:00Z</dcterms:created>
  <dcterms:modified xsi:type="dcterms:W3CDTF">2025-10-14T16:27:00Z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UxC4dwLulzfINJ8nQH+xvX5LNGipWa4BRSZhPgxsCvniasJnyq6h2qVNgmjciQ67gpjAc1JPQZGyM9f6IMRzXQ==</vt:lpwstr>
  </property>
  <property fmtid="{D5CDD505-2E9C-101B-9397-08002B2CF9AE}" pid="4" name="MFClassificationDate">
    <vt:lpwstr>2025-08-26T13:08:41.6863478+02:00</vt:lpwstr>
  </property>
  <property fmtid="{D5CDD505-2E9C-101B-9397-08002B2CF9AE}" pid="5" name="MFClassifiedBySID">
    <vt:lpwstr>UxC4dwLulzfINJ8nQH+xvX5LNGipWa4BRSZhPgxsCvm42mrIC/DSDv0ggS+FjUN/2v1BBotkLlY5aAiEhoi6ufjJmLeUEhrPY/SXSP/m1zcHJmfsmSI/PfOpxri1bfqZ</vt:lpwstr>
  </property>
  <property fmtid="{D5CDD505-2E9C-101B-9397-08002B2CF9AE}" pid="6" name="MFGRNItemId">
    <vt:lpwstr>GRN-db67d5a6-eada-46d0-a323-aee021e3a41f</vt:lpwstr>
  </property>
  <property fmtid="{D5CDD505-2E9C-101B-9397-08002B2CF9AE}" pid="7" name="MFHash">
    <vt:lpwstr>13zJmVRIswavUYPuYYrMe3Nzh7eDaMHunSpxgB6ypZM=</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