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FD06" w14:textId="77777777" w:rsidR="00F543AF" w:rsidRPr="00DB3E1C" w:rsidRDefault="00F543AF" w:rsidP="00DB3E1C">
      <w:pPr>
        <w:spacing w:after="120" w:line="360" w:lineRule="auto"/>
        <w:ind w:left="360"/>
        <w:jc w:val="center"/>
        <w:rPr>
          <w:rFonts w:ascii="Times New Roman" w:eastAsia="Times New Roman" w:hAnsi="Times New Roman" w:cs="Times New Roman"/>
          <w:b/>
          <w:bCs/>
          <w:spacing w:val="20"/>
          <w:sz w:val="24"/>
          <w:szCs w:val="24"/>
          <w:lang w:eastAsia="pl-PL"/>
        </w:rPr>
      </w:pPr>
      <w:r w:rsidRPr="00DB3E1C">
        <w:rPr>
          <w:rFonts w:ascii="Times New Roman" w:eastAsia="Times New Roman" w:hAnsi="Times New Roman" w:cs="Times New Roman"/>
          <w:spacing w:val="20"/>
          <w:sz w:val="24"/>
          <w:szCs w:val="24"/>
          <w:lang w:eastAsia="pl-PL"/>
        </w:rPr>
        <w:t xml:space="preserve">UZASADNIENIE </w:t>
      </w:r>
    </w:p>
    <w:p w14:paraId="256CC11C" w14:textId="4DA87E9A" w:rsidR="00F543AF" w:rsidRPr="00DB3E1C" w:rsidRDefault="00F543AF" w:rsidP="00DB3E1C">
      <w:pPr>
        <w:spacing w:before="240" w:after="240" w:line="360" w:lineRule="auto"/>
        <w:rPr>
          <w:rFonts w:ascii="Times New Roman" w:hAnsi="Times New Roman" w:cs="Times New Roman"/>
          <w:b/>
          <w:bCs/>
          <w:sz w:val="24"/>
          <w:szCs w:val="24"/>
        </w:rPr>
      </w:pPr>
      <w:r w:rsidRPr="00DB3E1C">
        <w:rPr>
          <w:rFonts w:ascii="Times New Roman" w:hAnsi="Times New Roman" w:cs="Times New Roman"/>
          <w:b/>
          <w:bCs/>
          <w:sz w:val="24"/>
          <w:szCs w:val="24"/>
        </w:rPr>
        <w:t>I. WSTĘP</w:t>
      </w:r>
    </w:p>
    <w:p w14:paraId="50DFDFDD" w14:textId="5F2EEEAD" w:rsidR="006573D4" w:rsidRPr="00DB3E1C" w:rsidRDefault="00F543AF" w:rsidP="00DB3E1C">
      <w:pPr>
        <w:spacing w:after="120" w:line="360" w:lineRule="auto"/>
        <w:jc w:val="both"/>
        <w:rPr>
          <w:rFonts w:ascii="Times New Roman" w:eastAsia="Calibri" w:hAnsi="Times New Roman" w:cs="Times New Roman"/>
          <w:bCs/>
          <w:iCs/>
          <w:sz w:val="24"/>
          <w:szCs w:val="24"/>
        </w:rPr>
      </w:pPr>
      <w:r w:rsidRPr="00DB3E1C">
        <w:rPr>
          <w:rFonts w:ascii="Times New Roman" w:eastAsia="Calibri" w:hAnsi="Times New Roman" w:cs="Times New Roman"/>
          <w:bCs/>
          <w:iCs/>
          <w:sz w:val="24"/>
          <w:szCs w:val="24"/>
        </w:rPr>
        <w:t xml:space="preserve">Przedkładany projekt wprowadza zmiany </w:t>
      </w:r>
      <w:r w:rsidR="006573D4" w:rsidRPr="00DB3E1C">
        <w:rPr>
          <w:rFonts w:ascii="Times New Roman" w:eastAsia="Calibri" w:hAnsi="Times New Roman" w:cs="Times New Roman"/>
          <w:bCs/>
          <w:iCs/>
          <w:sz w:val="24"/>
          <w:szCs w:val="24"/>
        </w:rPr>
        <w:t xml:space="preserve">w </w:t>
      </w:r>
      <w:r w:rsidRPr="00DB3E1C">
        <w:rPr>
          <w:rFonts w:ascii="Times New Roman" w:eastAsia="Calibri" w:hAnsi="Times New Roman" w:cs="Times New Roman"/>
          <w:bCs/>
          <w:i/>
          <w:sz w:val="24"/>
          <w:szCs w:val="24"/>
        </w:rPr>
        <w:t>ustawie z dnia 15 lutego 1992 r. o podatku dochodowym od osób prawnych</w:t>
      </w:r>
      <w:r w:rsidR="006573D4" w:rsidRPr="00DB3E1C">
        <w:rPr>
          <w:rFonts w:ascii="Times New Roman" w:eastAsia="Calibri" w:hAnsi="Times New Roman" w:cs="Times New Roman"/>
          <w:bCs/>
          <w:i/>
          <w:sz w:val="24"/>
          <w:szCs w:val="24"/>
        </w:rPr>
        <w:t xml:space="preserve"> </w:t>
      </w:r>
      <w:r w:rsidRPr="00DB3E1C">
        <w:rPr>
          <w:rFonts w:ascii="Times New Roman" w:eastAsia="Calibri" w:hAnsi="Times New Roman" w:cs="Times New Roman"/>
          <w:bCs/>
          <w:i/>
          <w:sz w:val="24"/>
          <w:szCs w:val="24"/>
        </w:rPr>
        <w:t>(Dz. U. z </w:t>
      </w:r>
      <w:r w:rsidR="00823943" w:rsidRPr="00DB3E1C">
        <w:rPr>
          <w:rFonts w:ascii="Times New Roman" w:eastAsia="Calibri" w:hAnsi="Times New Roman" w:cs="Times New Roman"/>
          <w:bCs/>
          <w:i/>
          <w:sz w:val="24"/>
          <w:szCs w:val="24"/>
        </w:rPr>
        <w:t xml:space="preserve">2025 </w:t>
      </w:r>
      <w:r w:rsidRPr="00DB3E1C">
        <w:rPr>
          <w:rFonts w:ascii="Times New Roman" w:eastAsia="Calibri" w:hAnsi="Times New Roman" w:cs="Times New Roman"/>
          <w:bCs/>
          <w:i/>
          <w:sz w:val="24"/>
          <w:szCs w:val="24"/>
        </w:rPr>
        <w:t xml:space="preserve">r. poz. </w:t>
      </w:r>
      <w:r w:rsidR="00BC620F" w:rsidRPr="00DB3E1C">
        <w:rPr>
          <w:rFonts w:ascii="Times New Roman" w:eastAsia="Calibri" w:hAnsi="Times New Roman" w:cs="Times New Roman"/>
          <w:bCs/>
          <w:i/>
          <w:sz w:val="24"/>
          <w:szCs w:val="24"/>
        </w:rPr>
        <w:t>278</w:t>
      </w:r>
      <w:r w:rsidR="002564D3" w:rsidRPr="00DB3E1C">
        <w:rPr>
          <w:rFonts w:ascii="Times New Roman" w:eastAsia="Calibri" w:hAnsi="Times New Roman" w:cs="Times New Roman"/>
          <w:bCs/>
          <w:i/>
          <w:sz w:val="24"/>
          <w:szCs w:val="24"/>
        </w:rPr>
        <w:t>,</w:t>
      </w:r>
      <w:r w:rsidR="00F42C3D" w:rsidRPr="00DB3E1C">
        <w:rPr>
          <w:rFonts w:ascii="Times New Roman" w:eastAsia="Calibri" w:hAnsi="Times New Roman" w:cs="Times New Roman"/>
          <w:bCs/>
          <w:i/>
          <w:sz w:val="24"/>
          <w:szCs w:val="24"/>
        </w:rPr>
        <w:t xml:space="preserve"> </w:t>
      </w:r>
      <w:r w:rsidR="006C6ACC" w:rsidRPr="00DB3E1C">
        <w:rPr>
          <w:rFonts w:ascii="Times New Roman" w:eastAsia="Calibri" w:hAnsi="Times New Roman" w:cs="Times New Roman"/>
          <w:bCs/>
          <w:i/>
          <w:sz w:val="24"/>
          <w:szCs w:val="24"/>
        </w:rPr>
        <w:t xml:space="preserve">z późn. zm., </w:t>
      </w:r>
      <w:r w:rsidRPr="00DB3E1C">
        <w:rPr>
          <w:rFonts w:ascii="Times New Roman" w:eastAsia="Calibri" w:hAnsi="Times New Roman" w:cs="Times New Roman"/>
          <w:bCs/>
          <w:iCs/>
          <w:sz w:val="24"/>
          <w:szCs w:val="24"/>
        </w:rPr>
        <w:t>dalej</w:t>
      </w:r>
      <w:r w:rsidR="006573D4" w:rsidRPr="00DB3E1C">
        <w:rPr>
          <w:rFonts w:ascii="Times New Roman" w:eastAsia="Calibri" w:hAnsi="Times New Roman" w:cs="Times New Roman"/>
          <w:bCs/>
          <w:iCs/>
          <w:sz w:val="24"/>
          <w:szCs w:val="24"/>
        </w:rPr>
        <w:t xml:space="preserve"> jako:</w:t>
      </w:r>
      <w:r w:rsidRPr="00DB3E1C">
        <w:rPr>
          <w:rFonts w:ascii="Times New Roman" w:eastAsia="Calibri" w:hAnsi="Times New Roman" w:cs="Times New Roman"/>
          <w:bCs/>
          <w:iCs/>
          <w:sz w:val="24"/>
          <w:szCs w:val="24"/>
        </w:rPr>
        <w:t xml:space="preserve"> „</w:t>
      </w:r>
      <w:r w:rsidRPr="00DB3E1C">
        <w:rPr>
          <w:rFonts w:ascii="Times New Roman" w:eastAsia="Calibri" w:hAnsi="Times New Roman" w:cs="Times New Roman"/>
          <w:b/>
          <w:iCs/>
          <w:sz w:val="24"/>
          <w:szCs w:val="24"/>
        </w:rPr>
        <w:t>ustaw</w:t>
      </w:r>
      <w:r w:rsidR="006573D4" w:rsidRPr="00DB3E1C">
        <w:rPr>
          <w:rFonts w:ascii="Times New Roman" w:eastAsia="Calibri" w:hAnsi="Times New Roman" w:cs="Times New Roman"/>
          <w:b/>
          <w:iCs/>
          <w:sz w:val="24"/>
          <w:szCs w:val="24"/>
        </w:rPr>
        <w:t>a</w:t>
      </w:r>
      <w:r w:rsidRPr="00DB3E1C">
        <w:rPr>
          <w:rFonts w:ascii="Times New Roman" w:eastAsia="Calibri" w:hAnsi="Times New Roman" w:cs="Times New Roman"/>
          <w:b/>
          <w:iCs/>
          <w:sz w:val="24"/>
          <w:szCs w:val="24"/>
        </w:rPr>
        <w:t xml:space="preserve"> CIT</w:t>
      </w:r>
      <w:r w:rsidRPr="00DB3E1C">
        <w:rPr>
          <w:rFonts w:ascii="Times New Roman" w:eastAsia="Calibri" w:hAnsi="Times New Roman" w:cs="Times New Roman"/>
          <w:bCs/>
          <w:iCs/>
          <w:sz w:val="24"/>
          <w:szCs w:val="24"/>
        </w:rPr>
        <w:t>”</w:t>
      </w:r>
      <w:r w:rsidR="006573D4" w:rsidRPr="00DB3E1C">
        <w:rPr>
          <w:rFonts w:ascii="Times New Roman" w:eastAsia="Calibri" w:hAnsi="Times New Roman" w:cs="Times New Roman"/>
          <w:bCs/>
          <w:iCs/>
          <w:sz w:val="24"/>
          <w:szCs w:val="24"/>
        </w:rPr>
        <w:t>)</w:t>
      </w:r>
      <w:r w:rsidRPr="00DB3E1C">
        <w:rPr>
          <w:rFonts w:ascii="Times New Roman" w:eastAsia="Calibri" w:hAnsi="Times New Roman" w:cs="Times New Roman"/>
          <w:bCs/>
          <w:iCs/>
          <w:sz w:val="24"/>
          <w:szCs w:val="24"/>
        </w:rPr>
        <w:t>,</w:t>
      </w:r>
      <w:r w:rsidR="006573D4" w:rsidRPr="00DB3E1C">
        <w:rPr>
          <w:rFonts w:ascii="Times New Roman" w:eastAsia="Calibri" w:hAnsi="Times New Roman" w:cs="Times New Roman"/>
          <w:bCs/>
          <w:iCs/>
          <w:sz w:val="24"/>
          <w:szCs w:val="24"/>
        </w:rPr>
        <w:t xml:space="preserve"> polegające na doprecyzowaniu </w:t>
      </w:r>
      <w:r w:rsidR="00195656" w:rsidRPr="00DB3E1C">
        <w:rPr>
          <w:rFonts w:ascii="Times New Roman" w:eastAsia="Calibri" w:hAnsi="Times New Roman" w:cs="Times New Roman"/>
          <w:bCs/>
          <w:iCs/>
          <w:sz w:val="24"/>
          <w:szCs w:val="24"/>
        </w:rPr>
        <w:t>warunków</w:t>
      </w:r>
      <w:r w:rsidR="006573D4" w:rsidRPr="00DB3E1C">
        <w:rPr>
          <w:rFonts w:ascii="Times New Roman" w:eastAsia="Calibri" w:hAnsi="Times New Roman" w:cs="Times New Roman"/>
          <w:bCs/>
          <w:iCs/>
          <w:sz w:val="24"/>
          <w:szCs w:val="24"/>
        </w:rPr>
        <w:t xml:space="preserve"> zwolnienia dla zagranicznych funduszy inwestycyjnych</w:t>
      </w:r>
      <w:r w:rsidR="00195656" w:rsidRPr="00DB3E1C">
        <w:rPr>
          <w:rFonts w:ascii="Times New Roman" w:eastAsia="Calibri" w:hAnsi="Times New Roman" w:cs="Times New Roman"/>
          <w:bCs/>
          <w:iCs/>
          <w:sz w:val="24"/>
          <w:szCs w:val="24"/>
        </w:rPr>
        <w:t xml:space="preserve"> (instytucji wspólnego inwestowania)</w:t>
      </w:r>
      <w:r w:rsidR="00B76514" w:rsidRPr="00DB3E1C">
        <w:rPr>
          <w:rFonts w:ascii="Times New Roman" w:eastAsia="Calibri" w:hAnsi="Times New Roman" w:cs="Times New Roman"/>
          <w:bCs/>
          <w:iCs/>
          <w:sz w:val="24"/>
          <w:szCs w:val="24"/>
        </w:rPr>
        <w:t xml:space="preserve"> i zagranicznych funduszy emerytalnych</w:t>
      </w:r>
      <w:r w:rsidR="00B46B1A" w:rsidRPr="00DB3E1C">
        <w:rPr>
          <w:rFonts w:ascii="Times New Roman" w:eastAsia="Calibri" w:hAnsi="Times New Roman" w:cs="Times New Roman"/>
          <w:bCs/>
          <w:iCs/>
          <w:sz w:val="24"/>
          <w:szCs w:val="24"/>
        </w:rPr>
        <w:t>, w związku z orzecznictwem Trybunału Sprawiedliwości Unii Europejskiej („</w:t>
      </w:r>
      <w:r w:rsidR="00B46B1A" w:rsidRPr="00DB3E1C">
        <w:rPr>
          <w:rFonts w:ascii="Times New Roman" w:eastAsia="Calibri" w:hAnsi="Times New Roman" w:cs="Times New Roman"/>
          <w:b/>
          <w:iCs/>
          <w:sz w:val="24"/>
          <w:szCs w:val="24"/>
        </w:rPr>
        <w:t>TSUE</w:t>
      </w:r>
      <w:r w:rsidR="00B46B1A" w:rsidRPr="00DB3E1C">
        <w:rPr>
          <w:rFonts w:ascii="Times New Roman" w:eastAsia="Calibri" w:hAnsi="Times New Roman" w:cs="Times New Roman"/>
          <w:bCs/>
          <w:iCs/>
          <w:sz w:val="24"/>
          <w:szCs w:val="24"/>
        </w:rPr>
        <w:t>”)</w:t>
      </w:r>
      <w:r w:rsidR="006573D4" w:rsidRPr="00DB3E1C">
        <w:rPr>
          <w:rFonts w:ascii="Times New Roman" w:eastAsia="Calibri" w:hAnsi="Times New Roman" w:cs="Times New Roman"/>
          <w:bCs/>
          <w:iCs/>
          <w:sz w:val="24"/>
          <w:szCs w:val="24"/>
        </w:rPr>
        <w:t xml:space="preserve">. </w:t>
      </w:r>
    </w:p>
    <w:p w14:paraId="406FCF59" w14:textId="48856410" w:rsidR="00613A05" w:rsidRPr="00DB3E1C" w:rsidRDefault="00195656" w:rsidP="00DB3E1C">
      <w:pPr>
        <w:spacing w:line="360" w:lineRule="auto"/>
        <w:jc w:val="both"/>
        <w:rPr>
          <w:rFonts w:ascii="Times New Roman" w:eastAsia="Calibri" w:hAnsi="Times New Roman" w:cs="Times New Roman"/>
          <w:bCs/>
          <w:iCs/>
          <w:sz w:val="24"/>
          <w:szCs w:val="24"/>
        </w:rPr>
      </w:pPr>
      <w:r w:rsidRPr="00DB3E1C">
        <w:rPr>
          <w:rFonts w:ascii="Times New Roman" w:hAnsi="Times New Roman" w:cs="Times New Roman"/>
          <w:sz w:val="24"/>
          <w:szCs w:val="24"/>
        </w:rPr>
        <w:t>W szczególności</w:t>
      </w:r>
      <w:r w:rsidRPr="00DB3E1C">
        <w:rPr>
          <w:rFonts w:ascii="Times New Roman" w:eastAsia="Calibri" w:hAnsi="Times New Roman" w:cs="Times New Roman"/>
          <w:bCs/>
          <w:iCs/>
          <w:sz w:val="24"/>
          <w:szCs w:val="24"/>
        </w:rPr>
        <w:t xml:space="preserve"> p</w:t>
      </w:r>
      <w:r w:rsidR="006573D4" w:rsidRPr="00DB3E1C">
        <w:rPr>
          <w:rFonts w:ascii="Times New Roman" w:eastAsia="Calibri" w:hAnsi="Times New Roman" w:cs="Times New Roman"/>
          <w:bCs/>
          <w:iCs/>
          <w:sz w:val="24"/>
          <w:szCs w:val="24"/>
        </w:rPr>
        <w:t xml:space="preserve">roponowane zmiany </w:t>
      </w:r>
      <w:r w:rsidR="006573D4" w:rsidRPr="00DB3E1C">
        <w:rPr>
          <w:rFonts w:ascii="Times New Roman" w:eastAsia="Calibri" w:hAnsi="Times New Roman" w:cs="Times New Roman"/>
          <w:b/>
          <w:iCs/>
          <w:sz w:val="24"/>
          <w:szCs w:val="24"/>
        </w:rPr>
        <w:t>służą dostosowaniu przepisów ustawy CIT do tez wyroków TSUE</w:t>
      </w:r>
      <w:r w:rsidR="006573D4" w:rsidRPr="00DB3E1C">
        <w:rPr>
          <w:rFonts w:ascii="Times New Roman" w:eastAsia="Calibri" w:hAnsi="Times New Roman" w:cs="Times New Roman"/>
          <w:bCs/>
          <w:iCs/>
          <w:sz w:val="24"/>
          <w:szCs w:val="24"/>
        </w:rPr>
        <w:t xml:space="preserve"> w dwóch polskich sprawach, </w:t>
      </w:r>
      <w:r w:rsidRPr="00DB3E1C">
        <w:rPr>
          <w:rFonts w:ascii="Times New Roman" w:eastAsia="Calibri" w:hAnsi="Times New Roman" w:cs="Times New Roman"/>
          <w:bCs/>
          <w:iCs/>
          <w:sz w:val="24"/>
          <w:szCs w:val="24"/>
        </w:rPr>
        <w:t>w których określone warunki zawarte w art. 6 ust. 1 pkt 10a ustawy CIT uznano za niezgodne z prawem wspólnotowym</w:t>
      </w:r>
      <w:r w:rsidR="005D0CDF" w:rsidRPr="00DB3E1C">
        <w:rPr>
          <w:rFonts w:ascii="Times New Roman" w:eastAsia="Calibri" w:hAnsi="Times New Roman" w:cs="Times New Roman"/>
          <w:bCs/>
          <w:iCs/>
          <w:sz w:val="24"/>
          <w:szCs w:val="24"/>
        </w:rPr>
        <w:t>:</w:t>
      </w:r>
    </w:p>
    <w:p w14:paraId="4D820CD7" w14:textId="6CEA4D34" w:rsidR="00613A05" w:rsidRPr="00DB3E1C" w:rsidRDefault="00984313" w:rsidP="00DB3E1C">
      <w:pPr>
        <w:pStyle w:val="Akapitzlist"/>
        <w:numPr>
          <w:ilvl w:val="0"/>
          <w:numId w:val="7"/>
        </w:numPr>
        <w:spacing w:after="0" w:line="360" w:lineRule="auto"/>
        <w:ind w:left="426" w:hanging="284"/>
        <w:contextualSpacing w:val="0"/>
        <w:jc w:val="both"/>
        <w:rPr>
          <w:rFonts w:ascii="Times New Roman" w:eastAsia="Times New Roman" w:hAnsi="Times New Roman" w:cs="Times New Roman"/>
          <w:sz w:val="24"/>
          <w:szCs w:val="24"/>
        </w:rPr>
      </w:pPr>
      <w:r w:rsidRPr="00DB3E1C">
        <w:rPr>
          <w:rFonts w:ascii="Times New Roman" w:hAnsi="Times New Roman" w:cs="Times New Roman"/>
          <w:sz w:val="24"/>
          <w:szCs w:val="24"/>
        </w:rPr>
        <w:t>Projekt odnosi się przed</w:t>
      </w:r>
      <w:r w:rsidR="005E5384" w:rsidRPr="00DB3E1C">
        <w:rPr>
          <w:rFonts w:ascii="Times New Roman" w:hAnsi="Times New Roman" w:cs="Times New Roman"/>
          <w:sz w:val="24"/>
          <w:szCs w:val="24"/>
        </w:rPr>
        <w:t>e</w:t>
      </w:r>
      <w:r w:rsidRPr="00DB3E1C">
        <w:rPr>
          <w:rFonts w:ascii="Times New Roman" w:hAnsi="Times New Roman" w:cs="Times New Roman"/>
          <w:sz w:val="24"/>
          <w:szCs w:val="24"/>
        </w:rPr>
        <w:t xml:space="preserve"> wszystkim do niedawnego wyroku TSUE</w:t>
      </w:r>
      <w:r w:rsidR="006573D4" w:rsidRPr="00DB3E1C">
        <w:rPr>
          <w:rFonts w:ascii="Times New Roman" w:eastAsia="Times New Roman" w:hAnsi="Times New Roman" w:cs="Times New Roman"/>
          <w:sz w:val="24"/>
          <w:szCs w:val="24"/>
        </w:rPr>
        <w:t xml:space="preserve"> </w:t>
      </w:r>
      <w:r w:rsidR="00823BD4" w:rsidRPr="00DB3E1C">
        <w:rPr>
          <w:rFonts w:ascii="Times New Roman" w:eastAsia="Times New Roman" w:hAnsi="Times New Roman" w:cs="Times New Roman"/>
          <w:sz w:val="24"/>
          <w:szCs w:val="24"/>
        </w:rPr>
        <w:t xml:space="preserve">w </w:t>
      </w:r>
      <w:r w:rsidR="00EF7870" w:rsidRPr="00DB3E1C">
        <w:rPr>
          <w:rFonts w:ascii="Times New Roman" w:eastAsia="Times New Roman" w:hAnsi="Times New Roman" w:cs="Times New Roman"/>
          <w:sz w:val="24"/>
          <w:szCs w:val="24"/>
        </w:rPr>
        <w:t xml:space="preserve">sprawie </w:t>
      </w:r>
      <w:r w:rsidR="00EF7870" w:rsidRPr="00DB3E1C">
        <w:rPr>
          <w:rFonts w:ascii="Times New Roman" w:eastAsia="Times New Roman" w:hAnsi="Times New Roman" w:cs="Times New Roman"/>
          <w:b/>
          <w:bCs/>
          <w:sz w:val="24"/>
          <w:szCs w:val="24"/>
        </w:rPr>
        <w:t xml:space="preserve">C-18/23 </w:t>
      </w:r>
      <w:r w:rsidR="006573D4" w:rsidRPr="00DB3E1C">
        <w:rPr>
          <w:rFonts w:ascii="Times New Roman" w:eastAsia="Times New Roman" w:hAnsi="Times New Roman" w:cs="Times New Roman"/>
          <w:b/>
          <w:bCs/>
          <w:sz w:val="24"/>
          <w:szCs w:val="24"/>
        </w:rPr>
        <w:t>(</w:t>
      </w:r>
      <w:r w:rsidR="006573D4" w:rsidRPr="00DB3E1C">
        <w:rPr>
          <w:rFonts w:ascii="Times New Roman" w:hAnsi="Times New Roman" w:cs="Times New Roman"/>
          <w:b/>
          <w:bCs/>
          <w:i/>
          <w:iCs/>
          <w:sz w:val="24"/>
          <w:szCs w:val="24"/>
          <w:shd w:val="clear" w:color="auto" w:fill="FFFFFF"/>
        </w:rPr>
        <w:t>F S.A.</w:t>
      </w:r>
      <w:r w:rsidR="00195656" w:rsidRPr="00DB3E1C">
        <w:rPr>
          <w:rFonts w:ascii="Times New Roman" w:hAnsi="Times New Roman" w:cs="Times New Roman"/>
          <w:b/>
          <w:bCs/>
          <w:i/>
          <w:iCs/>
          <w:sz w:val="24"/>
          <w:szCs w:val="24"/>
          <w:shd w:val="clear" w:color="auto" w:fill="FFFFFF"/>
        </w:rPr>
        <w:t xml:space="preserve"> </w:t>
      </w:r>
      <w:r w:rsidR="006573D4" w:rsidRPr="00DB3E1C">
        <w:rPr>
          <w:rFonts w:ascii="Times New Roman" w:hAnsi="Times New Roman" w:cs="Times New Roman"/>
          <w:b/>
          <w:bCs/>
          <w:i/>
          <w:iCs/>
          <w:sz w:val="24"/>
          <w:szCs w:val="24"/>
          <w:shd w:val="clear" w:color="auto" w:fill="FFFFFF"/>
        </w:rPr>
        <w:t>przeciwko </w:t>
      </w:r>
      <w:r w:rsidR="006573D4" w:rsidRPr="00DB3E1C">
        <w:rPr>
          <w:rStyle w:val="Uwydatnienie"/>
          <w:rFonts w:ascii="Times New Roman" w:hAnsi="Times New Roman" w:cs="Times New Roman"/>
          <w:b/>
          <w:bCs/>
          <w:sz w:val="24"/>
          <w:szCs w:val="24"/>
          <w:shd w:val="clear" w:color="auto" w:fill="FFFFFF"/>
        </w:rPr>
        <w:t>Dyrektorowi Krajowej Informacji Skarbowej)</w:t>
      </w:r>
      <w:r w:rsidRPr="00DB3E1C">
        <w:rPr>
          <w:rStyle w:val="Uwydatnienie"/>
          <w:rFonts w:ascii="Times New Roman" w:hAnsi="Times New Roman" w:cs="Times New Roman"/>
          <w:sz w:val="24"/>
          <w:szCs w:val="24"/>
          <w:shd w:val="clear" w:color="auto" w:fill="FFFFFF"/>
        </w:rPr>
        <w:t xml:space="preserve"> </w:t>
      </w:r>
      <w:r w:rsidRPr="00DB3E1C">
        <w:rPr>
          <w:rStyle w:val="Uwydatnienie"/>
          <w:rFonts w:ascii="Times New Roman" w:hAnsi="Times New Roman" w:cs="Times New Roman"/>
          <w:b/>
          <w:bCs/>
          <w:i w:val="0"/>
          <w:iCs w:val="0"/>
          <w:sz w:val="24"/>
          <w:szCs w:val="24"/>
          <w:shd w:val="clear" w:color="auto" w:fill="FFFFFF"/>
        </w:rPr>
        <w:t>z</w:t>
      </w:r>
      <w:r w:rsidRPr="00DB3E1C">
        <w:rPr>
          <w:rStyle w:val="Uwydatnienie"/>
          <w:rFonts w:ascii="Times New Roman" w:hAnsi="Times New Roman" w:cs="Times New Roman"/>
          <w:b/>
          <w:bCs/>
          <w:sz w:val="24"/>
          <w:szCs w:val="24"/>
          <w:shd w:val="clear" w:color="auto" w:fill="FFFFFF"/>
        </w:rPr>
        <w:t xml:space="preserve"> </w:t>
      </w:r>
      <w:r w:rsidRPr="00DB3E1C">
        <w:rPr>
          <w:rFonts w:ascii="Times New Roman" w:eastAsia="Times New Roman" w:hAnsi="Times New Roman" w:cs="Times New Roman"/>
          <w:b/>
          <w:bCs/>
          <w:sz w:val="24"/>
          <w:szCs w:val="24"/>
        </w:rPr>
        <w:t>27 lutego 2025</w:t>
      </w:r>
      <w:r w:rsidR="00404EC9" w:rsidRPr="00DB3E1C">
        <w:rPr>
          <w:rFonts w:ascii="Times New Roman" w:eastAsia="Times New Roman" w:hAnsi="Times New Roman" w:cs="Times New Roman"/>
          <w:b/>
          <w:bCs/>
          <w:sz w:val="24"/>
          <w:szCs w:val="24"/>
        </w:rPr>
        <w:t> </w:t>
      </w:r>
      <w:r w:rsidRPr="00DB3E1C">
        <w:rPr>
          <w:rFonts w:ascii="Times New Roman" w:eastAsia="Times New Roman" w:hAnsi="Times New Roman" w:cs="Times New Roman"/>
          <w:b/>
          <w:bCs/>
          <w:sz w:val="24"/>
          <w:szCs w:val="24"/>
        </w:rPr>
        <w:t>r.</w:t>
      </w:r>
      <w:r w:rsidRPr="00DB3E1C">
        <w:rPr>
          <w:rFonts w:ascii="Times New Roman" w:eastAsia="Times New Roman" w:hAnsi="Times New Roman" w:cs="Times New Roman"/>
          <w:sz w:val="24"/>
          <w:szCs w:val="24"/>
        </w:rPr>
        <w:t xml:space="preserve">, </w:t>
      </w:r>
      <w:r w:rsidR="006573D4" w:rsidRPr="00DB3E1C">
        <w:rPr>
          <w:rFonts w:ascii="Times New Roman" w:eastAsia="Times New Roman" w:hAnsi="Times New Roman" w:cs="Times New Roman"/>
          <w:sz w:val="24"/>
          <w:szCs w:val="24"/>
        </w:rPr>
        <w:t>dotycząc</w:t>
      </w:r>
      <w:r w:rsidRPr="00DB3E1C">
        <w:rPr>
          <w:rFonts w:ascii="Times New Roman" w:eastAsia="Times New Roman" w:hAnsi="Times New Roman" w:cs="Times New Roman"/>
          <w:sz w:val="24"/>
          <w:szCs w:val="24"/>
        </w:rPr>
        <w:t>ego</w:t>
      </w:r>
      <w:r w:rsidR="006573D4" w:rsidRPr="00DB3E1C">
        <w:rPr>
          <w:rFonts w:ascii="Times New Roman" w:eastAsia="Times New Roman" w:hAnsi="Times New Roman" w:cs="Times New Roman"/>
          <w:sz w:val="24"/>
          <w:szCs w:val="24"/>
        </w:rPr>
        <w:t xml:space="preserve"> formy zarządzania funduszem</w:t>
      </w:r>
      <w:r w:rsidR="00EF7870" w:rsidRPr="00DB3E1C">
        <w:rPr>
          <w:rFonts w:ascii="Times New Roman" w:eastAsia="Times New Roman" w:hAnsi="Times New Roman" w:cs="Times New Roman"/>
          <w:sz w:val="24"/>
          <w:szCs w:val="24"/>
        </w:rPr>
        <w:t xml:space="preserve"> inwestycyjnym</w:t>
      </w:r>
      <w:r w:rsidR="006573D4" w:rsidRPr="00DB3E1C">
        <w:rPr>
          <w:rFonts w:ascii="Times New Roman" w:eastAsia="Times New Roman" w:hAnsi="Times New Roman" w:cs="Times New Roman"/>
          <w:sz w:val="24"/>
          <w:szCs w:val="24"/>
        </w:rPr>
        <w:t xml:space="preserve">. </w:t>
      </w:r>
      <w:r w:rsidR="00AD69ED" w:rsidRPr="00DB3E1C">
        <w:rPr>
          <w:rFonts w:ascii="Times New Roman" w:eastAsia="Times New Roman" w:hAnsi="Times New Roman" w:cs="Times New Roman"/>
          <w:sz w:val="24"/>
          <w:szCs w:val="24"/>
        </w:rPr>
        <w:t>W wyroku tym</w:t>
      </w:r>
      <w:r w:rsidR="003E2347" w:rsidRPr="00DB3E1C">
        <w:rPr>
          <w:rFonts w:ascii="Times New Roman" w:eastAsia="Times New Roman" w:hAnsi="Times New Roman" w:cs="Times New Roman"/>
          <w:sz w:val="24"/>
          <w:szCs w:val="24"/>
        </w:rPr>
        <w:t xml:space="preserve"> art. 6 ust. 1 pkt 10a lit f. ustawy CIT uznano</w:t>
      </w:r>
      <w:r w:rsidR="00AD69ED" w:rsidRPr="00DB3E1C">
        <w:rPr>
          <w:rFonts w:ascii="Times New Roman" w:eastAsia="Times New Roman" w:hAnsi="Times New Roman" w:cs="Times New Roman"/>
          <w:sz w:val="24"/>
          <w:szCs w:val="24"/>
        </w:rPr>
        <w:t xml:space="preserve"> za niezgodny z prawem wspólnotowym w zakresie, w jakim warunkiem zwolnienia jest zarządzanie funduszem</w:t>
      </w:r>
      <w:r w:rsidR="003E2347" w:rsidRPr="00DB3E1C">
        <w:rPr>
          <w:rFonts w:ascii="Times New Roman" w:eastAsia="Times New Roman" w:hAnsi="Times New Roman" w:cs="Times New Roman"/>
          <w:sz w:val="24"/>
          <w:szCs w:val="24"/>
        </w:rPr>
        <w:t xml:space="preserve"> inwestycyjnym</w:t>
      </w:r>
      <w:r w:rsidR="00AD69ED" w:rsidRPr="00DB3E1C">
        <w:rPr>
          <w:rFonts w:ascii="Times New Roman" w:eastAsia="Times New Roman" w:hAnsi="Times New Roman" w:cs="Times New Roman"/>
          <w:sz w:val="24"/>
          <w:szCs w:val="24"/>
        </w:rPr>
        <w:t xml:space="preserve"> przez podmiot</w:t>
      </w:r>
      <w:r w:rsidR="003E2347" w:rsidRPr="00DB3E1C">
        <w:rPr>
          <w:rFonts w:ascii="Times New Roman" w:eastAsia="Times New Roman" w:hAnsi="Times New Roman" w:cs="Times New Roman"/>
          <w:sz w:val="24"/>
          <w:szCs w:val="24"/>
        </w:rPr>
        <w:t>y</w:t>
      </w:r>
      <w:r w:rsidR="00AD69ED" w:rsidRPr="00DB3E1C">
        <w:rPr>
          <w:rFonts w:ascii="Times New Roman" w:eastAsia="Times New Roman" w:hAnsi="Times New Roman" w:cs="Times New Roman"/>
          <w:sz w:val="24"/>
          <w:szCs w:val="24"/>
        </w:rPr>
        <w:t xml:space="preserve"> zewnętrzn</w:t>
      </w:r>
      <w:r w:rsidR="003E2347" w:rsidRPr="00DB3E1C">
        <w:rPr>
          <w:rFonts w:ascii="Times New Roman" w:eastAsia="Times New Roman" w:hAnsi="Times New Roman" w:cs="Times New Roman"/>
          <w:sz w:val="24"/>
          <w:szCs w:val="24"/>
        </w:rPr>
        <w:t xml:space="preserve">e (tj. podobnie do polskich funduszy inwestycyjnych, które są </w:t>
      </w:r>
      <w:bookmarkStart w:id="0" w:name="_Hlk211323659"/>
      <w:r w:rsidR="00C337A7">
        <w:rPr>
          <w:rFonts w:ascii="Times New Roman" w:eastAsia="Times New Roman" w:hAnsi="Times New Roman" w:cs="Times New Roman"/>
          <w:sz w:val="24"/>
          <w:szCs w:val="24"/>
        </w:rPr>
        <w:t>–</w:t>
      </w:r>
      <w:bookmarkEnd w:id="0"/>
      <w:r w:rsidR="003E2347" w:rsidRPr="00DB3E1C">
        <w:rPr>
          <w:rFonts w:ascii="Times New Roman" w:eastAsia="Times New Roman" w:hAnsi="Times New Roman" w:cs="Times New Roman"/>
          <w:sz w:val="24"/>
          <w:szCs w:val="24"/>
        </w:rPr>
        <w:t xml:space="preserve"> zgodnie z przepisami ustawy o funduszach inwestycyjnych</w:t>
      </w:r>
      <w:r w:rsidR="003E2347" w:rsidRPr="00DB3E1C">
        <w:rPr>
          <w:rStyle w:val="Odwoanieprzypisudolnego"/>
          <w:rFonts w:ascii="Times New Roman" w:eastAsia="Times New Roman" w:hAnsi="Times New Roman" w:cs="Times New Roman"/>
          <w:sz w:val="24"/>
          <w:szCs w:val="24"/>
        </w:rPr>
        <w:footnoteReference w:id="1"/>
      </w:r>
      <w:r w:rsidR="003E2347" w:rsidRPr="00DB3E1C">
        <w:rPr>
          <w:rFonts w:ascii="Times New Roman" w:eastAsia="Times New Roman" w:hAnsi="Times New Roman" w:cs="Times New Roman"/>
          <w:sz w:val="24"/>
          <w:szCs w:val="24"/>
        </w:rPr>
        <w:t xml:space="preserve"> </w:t>
      </w:r>
      <w:r w:rsidR="00C337A7" w:rsidRPr="00C337A7">
        <w:rPr>
          <w:rFonts w:ascii="Times New Roman" w:eastAsia="Times New Roman" w:hAnsi="Times New Roman" w:cs="Times New Roman"/>
          <w:sz w:val="24"/>
          <w:szCs w:val="24"/>
        </w:rPr>
        <w:t>–</w:t>
      </w:r>
      <w:r w:rsidR="003E2347" w:rsidRPr="00DB3E1C">
        <w:rPr>
          <w:rFonts w:ascii="Times New Roman" w:eastAsia="Times New Roman" w:hAnsi="Times New Roman" w:cs="Times New Roman"/>
          <w:sz w:val="24"/>
          <w:szCs w:val="24"/>
        </w:rPr>
        <w:t xml:space="preserve"> zarządzane przez TFI)</w:t>
      </w:r>
      <w:r w:rsidR="00AD69ED" w:rsidRPr="00DB3E1C">
        <w:rPr>
          <w:rFonts w:ascii="Times New Roman" w:eastAsia="Times New Roman" w:hAnsi="Times New Roman" w:cs="Times New Roman"/>
          <w:sz w:val="24"/>
          <w:szCs w:val="24"/>
        </w:rPr>
        <w:t>. Tym samym z</w:t>
      </w:r>
      <w:r w:rsidR="006573D4" w:rsidRPr="00DB3E1C">
        <w:rPr>
          <w:rFonts w:ascii="Times New Roman" w:eastAsia="Times New Roman" w:hAnsi="Times New Roman" w:cs="Times New Roman"/>
          <w:sz w:val="24"/>
          <w:szCs w:val="24"/>
        </w:rPr>
        <w:t>godnie z tezami</w:t>
      </w:r>
      <w:r w:rsidR="00AD69ED" w:rsidRPr="00DB3E1C">
        <w:rPr>
          <w:rFonts w:ascii="Times New Roman" w:eastAsia="Times New Roman" w:hAnsi="Times New Roman" w:cs="Times New Roman"/>
          <w:sz w:val="24"/>
          <w:szCs w:val="24"/>
        </w:rPr>
        <w:t xml:space="preserve"> </w:t>
      </w:r>
      <w:r w:rsidR="00B76514" w:rsidRPr="00DB3E1C">
        <w:rPr>
          <w:rFonts w:ascii="Times New Roman" w:eastAsia="Times New Roman" w:hAnsi="Times New Roman" w:cs="Times New Roman"/>
          <w:sz w:val="24"/>
          <w:szCs w:val="24"/>
        </w:rPr>
        <w:t xml:space="preserve">ww. </w:t>
      </w:r>
      <w:r w:rsidR="00AD69ED" w:rsidRPr="00DB3E1C">
        <w:rPr>
          <w:rFonts w:ascii="Times New Roman" w:eastAsia="Times New Roman" w:hAnsi="Times New Roman" w:cs="Times New Roman"/>
          <w:sz w:val="24"/>
          <w:szCs w:val="24"/>
        </w:rPr>
        <w:t xml:space="preserve">wyroku </w:t>
      </w:r>
      <w:r w:rsidR="003E2347" w:rsidRPr="00DB3E1C">
        <w:rPr>
          <w:rFonts w:ascii="Times New Roman" w:eastAsia="Times New Roman" w:hAnsi="Times New Roman" w:cs="Times New Roman"/>
          <w:sz w:val="24"/>
          <w:szCs w:val="24"/>
        </w:rPr>
        <w:t xml:space="preserve">fundusze inwestycyjne, które na podstawie przepisów danego państwa są </w:t>
      </w:r>
      <w:r w:rsidR="006573D4" w:rsidRPr="00DB3E1C">
        <w:rPr>
          <w:rFonts w:ascii="Times New Roman" w:eastAsia="Times New Roman" w:hAnsi="Times New Roman" w:cs="Times New Roman"/>
          <w:sz w:val="24"/>
          <w:szCs w:val="24"/>
        </w:rPr>
        <w:t>zarządzane wewnętrznie</w:t>
      </w:r>
      <w:r w:rsidR="003E2347" w:rsidRPr="00DB3E1C">
        <w:rPr>
          <w:rFonts w:ascii="Times New Roman" w:eastAsia="Times New Roman" w:hAnsi="Times New Roman" w:cs="Times New Roman"/>
          <w:sz w:val="24"/>
          <w:szCs w:val="24"/>
        </w:rPr>
        <w:t>,</w:t>
      </w:r>
      <w:r w:rsidR="006573D4" w:rsidRPr="00DB3E1C">
        <w:rPr>
          <w:rFonts w:ascii="Times New Roman" w:eastAsia="Times New Roman" w:hAnsi="Times New Roman" w:cs="Times New Roman"/>
          <w:sz w:val="24"/>
          <w:szCs w:val="24"/>
        </w:rPr>
        <w:t xml:space="preserve"> powinny być uprawnione do zwolnienia </w:t>
      </w:r>
      <w:r w:rsidR="003E2347" w:rsidRPr="00DB3E1C">
        <w:rPr>
          <w:rFonts w:ascii="Times New Roman" w:eastAsia="Times New Roman" w:hAnsi="Times New Roman" w:cs="Times New Roman"/>
          <w:sz w:val="24"/>
          <w:szCs w:val="24"/>
        </w:rPr>
        <w:t>podobnie</w:t>
      </w:r>
      <w:r w:rsidR="006573D4" w:rsidRPr="00DB3E1C">
        <w:rPr>
          <w:rFonts w:ascii="Times New Roman" w:eastAsia="Times New Roman" w:hAnsi="Times New Roman" w:cs="Times New Roman"/>
          <w:sz w:val="24"/>
          <w:szCs w:val="24"/>
        </w:rPr>
        <w:t xml:space="preserve"> jak fundusze zarządzane </w:t>
      </w:r>
      <w:r w:rsidR="00404EC9" w:rsidRPr="00DB3E1C">
        <w:rPr>
          <w:rFonts w:ascii="Times New Roman" w:eastAsia="Times New Roman" w:hAnsi="Times New Roman" w:cs="Times New Roman"/>
          <w:sz w:val="24"/>
          <w:szCs w:val="24"/>
        </w:rPr>
        <w:t>przez podmioty zewnętrzne</w:t>
      </w:r>
      <w:r w:rsidR="003E2347" w:rsidRPr="00DB3E1C">
        <w:rPr>
          <w:rFonts w:ascii="Times New Roman" w:eastAsia="Times New Roman" w:hAnsi="Times New Roman" w:cs="Times New Roman"/>
          <w:sz w:val="24"/>
          <w:szCs w:val="24"/>
        </w:rPr>
        <w:t>.</w:t>
      </w:r>
      <w:r w:rsidR="00404EC9" w:rsidRPr="00DB3E1C">
        <w:rPr>
          <w:rFonts w:ascii="Times New Roman" w:eastAsia="Times New Roman" w:hAnsi="Times New Roman" w:cs="Times New Roman"/>
          <w:sz w:val="24"/>
          <w:szCs w:val="24"/>
        </w:rPr>
        <w:t xml:space="preserve"> </w:t>
      </w:r>
    </w:p>
    <w:p w14:paraId="013BF4F2" w14:textId="4421CBDA" w:rsidR="00613A05" w:rsidRPr="00DB3E1C" w:rsidRDefault="006573D4" w:rsidP="00DB3E1C">
      <w:pPr>
        <w:pStyle w:val="Akapitzlist"/>
        <w:numPr>
          <w:ilvl w:val="0"/>
          <w:numId w:val="7"/>
        </w:numPr>
        <w:spacing w:after="120" w:line="360" w:lineRule="auto"/>
        <w:ind w:left="426" w:hanging="284"/>
        <w:contextualSpacing w:val="0"/>
        <w:jc w:val="both"/>
        <w:rPr>
          <w:rFonts w:ascii="Times New Roman" w:eastAsia="Times New Roman" w:hAnsi="Times New Roman" w:cs="Times New Roman"/>
          <w:sz w:val="24"/>
          <w:szCs w:val="24"/>
        </w:rPr>
      </w:pPr>
      <w:r w:rsidRPr="00DB3E1C">
        <w:rPr>
          <w:rFonts w:ascii="Times New Roman" w:eastAsia="Times New Roman" w:hAnsi="Times New Roman" w:cs="Times New Roman"/>
          <w:sz w:val="24"/>
          <w:szCs w:val="24"/>
        </w:rPr>
        <w:t xml:space="preserve">Ponadto </w:t>
      </w:r>
      <w:r w:rsidR="00EF7870" w:rsidRPr="00DB3E1C">
        <w:rPr>
          <w:rFonts w:ascii="Times New Roman" w:eastAsia="Times New Roman" w:hAnsi="Times New Roman" w:cs="Times New Roman"/>
          <w:sz w:val="24"/>
          <w:szCs w:val="24"/>
        </w:rPr>
        <w:t>uwzględnienia w przepisach ustawy CIT wymaga</w:t>
      </w:r>
      <w:r w:rsidR="00984313" w:rsidRPr="00DB3E1C">
        <w:rPr>
          <w:rFonts w:ascii="Times New Roman" w:eastAsia="Times New Roman" w:hAnsi="Times New Roman" w:cs="Times New Roman"/>
          <w:sz w:val="24"/>
          <w:szCs w:val="24"/>
        </w:rPr>
        <w:t xml:space="preserve"> wcześniejszy</w:t>
      </w:r>
      <w:r w:rsidRPr="00DB3E1C">
        <w:rPr>
          <w:rFonts w:ascii="Times New Roman" w:eastAsia="Times New Roman" w:hAnsi="Times New Roman" w:cs="Times New Roman"/>
          <w:sz w:val="24"/>
          <w:szCs w:val="24"/>
        </w:rPr>
        <w:t xml:space="preserve"> wyrok TSUE w sprawie </w:t>
      </w:r>
      <w:r w:rsidRPr="00DB3E1C">
        <w:rPr>
          <w:rFonts w:ascii="Times New Roman" w:eastAsia="Times New Roman" w:hAnsi="Times New Roman" w:cs="Times New Roman"/>
          <w:b/>
          <w:bCs/>
          <w:sz w:val="24"/>
          <w:szCs w:val="24"/>
        </w:rPr>
        <w:t xml:space="preserve">C-190/12 </w:t>
      </w:r>
      <w:r w:rsidRPr="00DB3E1C">
        <w:rPr>
          <w:rFonts w:ascii="Times New Roman" w:hAnsi="Times New Roman" w:cs="Times New Roman"/>
          <w:b/>
          <w:bCs/>
          <w:i/>
          <w:iCs/>
          <w:sz w:val="24"/>
          <w:szCs w:val="24"/>
        </w:rPr>
        <w:t>(</w:t>
      </w:r>
      <w:proofErr w:type="spellStart"/>
      <w:r w:rsidRPr="00DB3E1C">
        <w:rPr>
          <w:rFonts w:ascii="Times New Roman" w:hAnsi="Times New Roman" w:cs="Times New Roman"/>
          <w:b/>
          <w:bCs/>
          <w:i/>
          <w:iCs/>
          <w:sz w:val="24"/>
          <w:szCs w:val="24"/>
        </w:rPr>
        <w:t>Emerging</w:t>
      </w:r>
      <w:proofErr w:type="spellEnd"/>
      <w:r w:rsidRPr="00DB3E1C">
        <w:rPr>
          <w:rFonts w:ascii="Times New Roman" w:hAnsi="Times New Roman" w:cs="Times New Roman"/>
          <w:b/>
          <w:bCs/>
          <w:i/>
          <w:iCs/>
          <w:sz w:val="24"/>
          <w:szCs w:val="24"/>
        </w:rPr>
        <w:t xml:space="preserve"> </w:t>
      </w:r>
      <w:proofErr w:type="spellStart"/>
      <w:r w:rsidRPr="00DB3E1C">
        <w:rPr>
          <w:rFonts w:ascii="Times New Roman" w:hAnsi="Times New Roman" w:cs="Times New Roman"/>
          <w:b/>
          <w:bCs/>
          <w:i/>
          <w:iCs/>
          <w:sz w:val="24"/>
          <w:szCs w:val="24"/>
        </w:rPr>
        <w:t>Markets</w:t>
      </w:r>
      <w:proofErr w:type="spellEnd"/>
      <w:r w:rsidRPr="00DB3E1C">
        <w:rPr>
          <w:rFonts w:ascii="Times New Roman" w:hAnsi="Times New Roman" w:cs="Times New Roman"/>
          <w:b/>
          <w:bCs/>
          <w:i/>
          <w:iCs/>
          <w:sz w:val="24"/>
          <w:szCs w:val="24"/>
        </w:rPr>
        <w:t xml:space="preserve"> (…) przeciwko Dyrektorowi Izby Skarbowej w Bydgoszczy</w:t>
      </w:r>
      <w:r w:rsidRPr="00DB3E1C">
        <w:rPr>
          <w:rFonts w:ascii="Times New Roman" w:hAnsi="Times New Roman" w:cs="Times New Roman"/>
          <w:b/>
          <w:bCs/>
          <w:sz w:val="24"/>
          <w:szCs w:val="24"/>
        </w:rPr>
        <w:t>)</w:t>
      </w:r>
      <w:r w:rsidRPr="00DB3E1C">
        <w:rPr>
          <w:rFonts w:ascii="Times New Roman" w:hAnsi="Times New Roman" w:cs="Times New Roman"/>
          <w:sz w:val="24"/>
          <w:szCs w:val="24"/>
        </w:rPr>
        <w:t xml:space="preserve"> </w:t>
      </w:r>
      <w:r w:rsidRPr="00DB3E1C">
        <w:rPr>
          <w:rFonts w:ascii="Times New Roman" w:hAnsi="Times New Roman" w:cs="Times New Roman"/>
          <w:b/>
          <w:bCs/>
          <w:sz w:val="24"/>
          <w:szCs w:val="24"/>
        </w:rPr>
        <w:t>z 10</w:t>
      </w:r>
      <w:r w:rsidR="003E2347" w:rsidRPr="00DB3E1C">
        <w:rPr>
          <w:rFonts w:ascii="Times New Roman" w:hAnsi="Times New Roman" w:cs="Times New Roman"/>
          <w:b/>
          <w:bCs/>
          <w:sz w:val="24"/>
          <w:szCs w:val="24"/>
        </w:rPr>
        <w:t xml:space="preserve"> kwietnia </w:t>
      </w:r>
      <w:r w:rsidRPr="00DB3E1C">
        <w:rPr>
          <w:rFonts w:ascii="Times New Roman" w:hAnsi="Times New Roman" w:cs="Times New Roman"/>
          <w:b/>
          <w:bCs/>
          <w:sz w:val="24"/>
          <w:szCs w:val="24"/>
        </w:rPr>
        <w:t>2014 r</w:t>
      </w:r>
      <w:r w:rsidRPr="00DB3E1C">
        <w:rPr>
          <w:rFonts w:ascii="Times New Roman" w:eastAsia="Times New Roman" w:hAnsi="Times New Roman" w:cs="Times New Roman"/>
          <w:b/>
          <w:bCs/>
          <w:sz w:val="24"/>
          <w:szCs w:val="24"/>
        </w:rPr>
        <w:t>.</w:t>
      </w:r>
      <w:r w:rsidR="00EF7870" w:rsidRPr="00DB3E1C">
        <w:rPr>
          <w:rFonts w:ascii="Times New Roman" w:eastAsia="Times New Roman" w:hAnsi="Times New Roman" w:cs="Times New Roman"/>
          <w:sz w:val="24"/>
          <w:szCs w:val="24"/>
        </w:rPr>
        <w:t xml:space="preserve"> </w:t>
      </w:r>
      <w:r w:rsidRPr="00DB3E1C">
        <w:rPr>
          <w:rFonts w:ascii="Times New Roman" w:eastAsia="Times New Roman" w:hAnsi="Times New Roman" w:cs="Times New Roman"/>
          <w:sz w:val="24"/>
          <w:szCs w:val="24"/>
        </w:rPr>
        <w:t xml:space="preserve">W wyroku tym TSUE stwierdził o niezgodności polskich przepisów ustawy CIT </w:t>
      </w:r>
      <w:r w:rsidR="00984313" w:rsidRPr="00DB3E1C">
        <w:rPr>
          <w:rFonts w:ascii="Times New Roman" w:eastAsia="Times New Roman" w:hAnsi="Times New Roman" w:cs="Times New Roman"/>
          <w:sz w:val="24"/>
          <w:szCs w:val="24"/>
        </w:rPr>
        <w:t xml:space="preserve">z prawem wspólnotowym </w:t>
      </w:r>
      <w:r w:rsidRPr="00DB3E1C">
        <w:rPr>
          <w:rFonts w:ascii="Times New Roman" w:eastAsia="Times New Roman" w:hAnsi="Times New Roman" w:cs="Times New Roman"/>
          <w:sz w:val="24"/>
          <w:szCs w:val="24"/>
        </w:rPr>
        <w:t xml:space="preserve">w zakresie, w jakim </w:t>
      </w:r>
      <w:r w:rsidR="003E2347" w:rsidRPr="00DB3E1C">
        <w:rPr>
          <w:rFonts w:ascii="Times New Roman" w:eastAsia="Times New Roman" w:hAnsi="Times New Roman" w:cs="Times New Roman"/>
          <w:sz w:val="24"/>
          <w:szCs w:val="24"/>
        </w:rPr>
        <w:t xml:space="preserve">przepisy te </w:t>
      </w:r>
      <w:r w:rsidRPr="00DB3E1C">
        <w:rPr>
          <w:rFonts w:ascii="Times New Roman" w:eastAsia="Times New Roman" w:hAnsi="Times New Roman" w:cs="Times New Roman"/>
          <w:sz w:val="24"/>
          <w:szCs w:val="24"/>
        </w:rPr>
        <w:t xml:space="preserve">wykluczają ze zwolnienia fundusze inwestycyjne z </w:t>
      </w:r>
      <w:r w:rsidR="003E2347" w:rsidRPr="00DB3E1C">
        <w:rPr>
          <w:rFonts w:ascii="Times New Roman" w:eastAsia="Times New Roman" w:hAnsi="Times New Roman" w:cs="Times New Roman"/>
          <w:sz w:val="24"/>
          <w:szCs w:val="24"/>
        </w:rPr>
        <w:t xml:space="preserve">siedzibą w </w:t>
      </w:r>
      <w:r w:rsidRPr="00DB3E1C">
        <w:rPr>
          <w:rFonts w:ascii="Times New Roman" w:eastAsia="Times New Roman" w:hAnsi="Times New Roman" w:cs="Times New Roman"/>
          <w:sz w:val="24"/>
          <w:szCs w:val="24"/>
        </w:rPr>
        <w:t>państw</w:t>
      </w:r>
      <w:r w:rsidR="003E2347" w:rsidRPr="00DB3E1C">
        <w:rPr>
          <w:rFonts w:ascii="Times New Roman" w:eastAsia="Times New Roman" w:hAnsi="Times New Roman" w:cs="Times New Roman"/>
          <w:sz w:val="24"/>
          <w:szCs w:val="24"/>
        </w:rPr>
        <w:t>ach</w:t>
      </w:r>
      <w:r w:rsidRPr="00DB3E1C">
        <w:rPr>
          <w:rFonts w:ascii="Times New Roman" w:eastAsia="Times New Roman" w:hAnsi="Times New Roman" w:cs="Times New Roman"/>
          <w:sz w:val="24"/>
          <w:szCs w:val="24"/>
        </w:rPr>
        <w:t xml:space="preserve"> trzecich</w:t>
      </w:r>
      <w:r w:rsidR="00B76514" w:rsidRPr="00DB3E1C">
        <w:rPr>
          <w:rFonts w:ascii="Times New Roman" w:eastAsia="Times New Roman" w:hAnsi="Times New Roman" w:cs="Times New Roman"/>
          <w:sz w:val="24"/>
          <w:szCs w:val="24"/>
        </w:rPr>
        <w:t xml:space="preserve"> (tezy tego wyroku należy odnieść także do funduszy emerytalnych). </w:t>
      </w:r>
      <w:r w:rsidR="003E2347" w:rsidRPr="00DB3E1C">
        <w:rPr>
          <w:rFonts w:ascii="Times New Roman" w:eastAsia="Times New Roman" w:hAnsi="Times New Roman" w:cs="Times New Roman"/>
          <w:sz w:val="24"/>
          <w:szCs w:val="24"/>
        </w:rPr>
        <w:t xml:space="preserve">Obecnie, </w:t>
      </w:r>
      <w:r w:rsidRPr="00DB3E1C">
        <w:rPr>
          <w:rFonts w:ascii="Times New Roman" w:eastAsia="Times New Roman" w:hAnsi="Times New Roman" w:cs="Times New Roman"/>
          <w:sz w:val="24"/>
          <w:szCs w:val="24"/>
        </w:rPr>
        <w:t xml:space="preserve">na gruncie </w:t>
      </w:r>
      <w:r w:rsidR="00984313" w:rsidRPr="00DB3E1C">
        <w:rPr>
          <w:rFonts w:ascii="Times New Roman" w:eastAsia="Times New Roman" w:hAnsi="Times New Roman" w:cs="Times New Roman"/>
          <w:sz w:val="24"/>
          <w:szCs w:val="24"/>
        </w:rPr>
        <w:t>art. 6 ust. 1 pkt 10a</w:t>
      </w:r>
      <w:r w:rsidR="00734DCA" w:rsidRPr="00DB3E1C">
        <w:rPr>
          <w:rFonts w:ascii="Times New Roman" w:eastAsia="Times New Roman" w:hAnsi="Times New Roman" w:cs="Times New Roman"/>
          <w:sz w:val="24"/>
          <w:szCs w:val="24"/>
        </w:rPr>
        <w:t xml:space="preserve"> i 11a</w:t>
      </w:r>
      <w:r w:rsidR="00984313" w:rsidRPr="00DB3E1C">
        <w:rPr>
          <w:rFonts w:ascii="Times New Roman" w:eastAsia="Times New Roman" w:hAnsi="Times New Roman" w:cs="Times New Roman"/>
          <w:sz w:val="24"/>
          <w:szCs w:val="24"/>
        </w:rPr>
        <w:t xml:space="preserve"> </w:t>
      </w:r>
      <w:r w:rsidR="00734DCA" w:rsidRPr="00DB3E1C">
        <w:rPr>
          <w:rFonts w:ascii="Times New Roman" w:eastAsia="Times New Roman" w:hAnsi="Times New Roman" w:cs="Times New Roman"/>
          <w:sz w:val="24"/>
          <w:szCs w:val="24"/>
        </w:rPr>
        <w:t>oraz</w:t>
      </w:r>
      <w:r w:rsidR="00984313" w:rsidRPr="00DB3E1C">
        <w:rPr>
          <w:rFonts w:ascii="Times New Roman" w:eastAsia="Times New Roman" w:hAnsi="Times New Roman" w:cs="Times New Roman"/>
          <w:sz w:val="24"/>
          <w:szCs w:val="24"/>
        </w:rPr>
        <w:t xml:space="preserve"> art. 17 ust. 1 pkt 58 </w:t>
      </w:r>
      <w:r w:rsidRPr="00DB3E1C">
        <w:rPr>
          <w:rFonts w:ascii="Times New Roman" w:eastAsia="Times New Roman" w:hAnsi="Times New Roman" w:cs="Times New Roman"/>
          <w:sz w:val="24"/>
          <w:szCs w:val="24"/>
        </w:rPr>
        <w:t>ustawy CIT</w:t>
      </w:r>
      <w:r w:rsidR="00CC49C0">
        <w:rPr>
          <w:rFonts w:ascii="Times New Roman" w:eastAsia="Times New Roman" w:hAnsi="Times New Roman" w:cs="Times New Roman"/>
          <w:sz w:val="24"/>
          <w:szCs w:val="24"/>
        </w:rPr>
        <w:t>,</w:t>
      </w:r>
      <w:r w:rsidRPr="00DB3E1C">
        <w:rPr>
          <w:rFonts w:ascii="Times New Roman" w:eastAsia="Times New Roman" w:hAnsi="Times New Roman" w:cs="Times New Roman"/>
          <w:sz w:val="24"/>
          <w:szCs w:val="24"/>
        </w:rPr>
        <w:t xml:space="preserve"> zwolnienie przysługuje wyłącznie funduszom z</w:t>
      </w:r>
      <w:r w:rsidR="003E2347" w:rsidRPr="00DB3E1C">
        <w:rPr>
          <w:rFonts w:ascii="Times New Roman" w:eastAsia="Times New Roman" w:hAnsi="Times New Roman" w:cs="Times New Roman"/>
          <w:sz w:val="24"/>
          <w:szCs w:val="24"/>
        </w:rPr>
        <w:t xml:space="preserve"> siedzibą w</w:t>
      </w:r>
      <w:r w:rsidRPr="00DB3E1C">
        <w:rPr>
          <w:rFonts w:ascii="Times New Roman" w:eastAsia="Times New Roman" w:hAnsi="Times New Roman" w:cs="Times New Roman"/>
          <w:sz w:val="24"/>
          <w:szCs w:val="24"/>
        </w:rPr>
        <w:t xml:space="preserve"> państw</w:t>
      </w:r>
      <w:r w:rsidR="003E2347" w:rsidRPr="00DB3E1C">
        <w:rPr>
          <w:rFonts w:ascii="Times New Roman" w:eastAsia="Times New Roman" w:hAnsi="Times New Roman" w:cs="Times New Roman"/>
          <w:sz w:val="24"/>
          <w:szCs w:val="24"/>
        </w:rPr>
        <w:t>ach</w:t>
      </w:r>
      <w:r w:rsidRPr="00DB3E1C">
        <w:rPr>
          <w:rFonts w:ascii="Times New Roman" w:eastAsia="Times New Roman" w:hAnsi="Times New Roman" w:cs="Times New Roman"/>
          <w:sz w:val="24"/>
          <w:szCs w:val="24"/>
        </w:rPr>
        <w:t xml:space="preserve"> UE/EOG przy spełnieniu innych ustawowych warunków. W okresie</w:t>
      </w:r>
      <w:r w:rsidR="00613A05" w:rsidRPr="00DB3E1C">
        <w:rPr>
          <w:rFonts w:ascii="Times New Roman" w:eastAsia="Times New Roman" w:hAnsi="Times New Roman" w:cs="Times New Roman"/>
          <w:sz w:val="24"/>
          <w:szCs w:val="24"/>
        </w:rPr>
        <w:t xml:space="preserve"> następującym</w:t>
      </w:r>
      <w:r w:rsidRPr="00DB3E1C">
        <w:rPr>
          <w:rFonts w:ascii="Times New Roman" w:eastAsia="Times New Roman" w:hAnsi="Times New Roman" w:cs="Times New Roman"/>
          <w:sz w:val="24"/>
          <w:szCs w:val="24"/>
        </w:rPr>
        <w:t xml:space="preserve"> po wydaniu </w:t>
      </w:r>
      <w:r w:rsidR="003E2347" w:rsidRPr="00DB3E1C">
        <w:rPr>
          <w:rFonts w:ascii="Times New Roman" w:eastAsia="Times New Roman" w:hAnsi="Times New Roman" w:cs="Times New Roman"/>
          <w:sz w:val="24"/>
          <w:szCs w:val="24"/>
        </w:rPr>
        <w:t>wskazanego</w:t>
      </w:r>
      <w:r w:rsidRPr="00DB3E1C">
        <w:rPr>
          <w:rFonts w:ascii="Times New Roman" w:eastAsia="Times New Roman" w:hAnsi="Times New Roman" w:cs="Times New Roman"/>
          <w:sz w:val="24"/>
          <w:szCs w:val="24"/>
        </w:rPr>
        <w:t xml:space="preserve"> wyroku </w:t>
      </w:r>
      <w:r w:rsidR="00613A05" w:rsidRPr="00DB3E1C">
        <w:rPr>
          <w:rFonts w:ascii="Times New Roman" w:eastAsia="Times New Roman" w:hAnsi="Times New Roman" w:cs="Times New Roman"/>
          <w:sz w:val="24"/>
          <w:szCs w:val="24"/>
        </w:rPr>
        <w:t xml:space="preserve">za priorytet uznawano </w:t>
      </w:r>
      <w:r w:rsidRPr="00DB3E1C">
        <w:rPr>
          <w:rFonts w:ascii="Times New Roman" w:eastAsia="Times New Roman" w:hAnsi="Times New Roman" w:cs="Times New Roman"/>
          <w:sz w:val="24"/>
          <w:szCs w:val="24"/>
        </w:rPr>
        <w:t>uszczelni</w:t>
      </w:r>
      <w:r w:rsidR="00613A05" w:rsidRPr="00DB3E1C">
        <w:rPr>
          <w:rFonts w:ascii="Times New Roman" w:eastAsia="Times New Roman" w:hAnsi="Times New Roman" w:cs="Times New Roman"/>
          <w:sz w:val="24"/>
          <w:szCs w:val="24"/>
        </w:rPr>
        <w:t>e</w:t>
      </w:r>
      <w:r w:rsidRPr="00DB3E1C">
        <w:rPr>
          <w:rFonts w:ascii="Times New Roman" w:eastAsia="Times New Roman" w:hAnsi="Times New Roman" w:cs="Times New Roman"/>
          <w:sz w:val="24"/>
          <w:szCs w:val="24"/>
        </w:rPr>
        <w:t>ni</w:t>
      </w:r>
      <w:r w:rsidR="00613A05" w:rsidRPr="00DB3E1C">
        <w:rPr>
          <w:rFonts w:ascii="Times New Roman" w:eastAsia="Times New Roman" w:hAnsi="Times New Roman" w:cs="Times New Roman"/>
          <w:sz w:val="24"/>
          <w:szCs w:val="24"/>
        </w:rPr>
        <w:t>e</w:t>
      </w:r>
      <w:r w:rsidRPr="00DB3E1C">
        <w:rPr>
          <w:rFonts w:ascii="Times New Roman" w:eastAsia="Times New Roman" w:hAnsi="Times New Roman" w:cs="Times New Roman"/>
          <w:sz w:val="24"/>
          <w:szCs w:val="24"/>
        </w:rPr>
        <w:t xml:space="preserve"> przepisów </w:t>
      </w:r>
      <w:r w:rsidR="003E2347" w:rsidRPr="00DB3E1C">
        <w:rPr>
          <w:rFonts w:ascii="Times New Roman" w:eastAsia="Times New Roman" w:hAnsi="Times New Roman" w:cs="Times New Roman"/>
          <w:sz w:val="24"/>
          <w:szCs w:val="24"/>
        </w:rPr>
        <w:t>ustawy CIT odnoszących się d</w:t>
      </w:r>
      <w:r w:rsidRPr="00DB3E1C">
        <w:rPr>
          <w:rFonts w:ascii="Times New Roman" w:eastAsia="Times New Roman" w:hAnsi="Times New Roman" w:cs="Times New Roman"/>
          <w:sz w:val="24"/>
          <w:szCs w:val="24"/>
        </w:rPr>
        <w:t>o zwolnie</w:t>
      </w:r>
      <w:r w:rsidR="003E2347" w:rsidRPr="00DB3E1C">
        <w:rPr>
          <w:rFonts w:ascii="Times New Roman" w:eastAsia="Times New Roman" w:hAnsi="Times New Roman" w:cs="Times New Roman"/>
          <w:sz w:val="24"/>
          <w:szCs w:val="24"/>
        </w:rPr>
        <w:t>ń</w:t>
      </w:r>
      <w:r w:rsidRPr="00DB3E1C">
        <w:rPr>
          <w:rFonts w:ascii="Times New Roman" w:eastAsia="Times New Roman" w:hAnsi="Times New Roman" w:cs="Times New Roman"/>
          <w:sz w:val="24"/>
          <w:szCs w:val="24"/>
        </w:rPr>
        <w:t xml:space="preserve"> dla funduszy </w:t>
      </w:r>
      <w:r w:rsidRPr="00DB3E1C">
        <w:rPr>
          <w:rFonts w:ascii="Times New Roman" w:eastAsia="Times New Roman" w:hAnsi="Times New Roman" w:cs="Times New Roman"/>
          <w:sz w:val="24"/>
          <w:szCs w:val="24"/>
        </w:rPr>
        <w:lastRenderedPageBreak/>
        <w:t xml:space="preserve">inwestycyjnych, </w:t>
      </w:r>
      <w:r w:rsidR="00613A05" w:rsidRPr="00DB3E1C">
        <w:rPr>
          <w:rFonts w:ascii="Times New Roman" w:eastAsia="Times New Roman" w:hAnsi="Times New Roman" w:cs="Times New Roman"/>
          <w:sz w:val="24"/>
          <w:szCs w:val="24"/>
        </w:rPr>
        <w:t>co wynikało z</w:t>
      </w:r>
      <w:r w:rsidRPr="00DB3E1C">
        <w:rPr>
          <w:rFonts w:ascii="Times New Roman" w:eastAsia="Times New Roman" w:hAnsi="Times New Roman" w:cs="Times New Roman"/>
          <w:sz w:val="24"/>
          <w:szCs w:val="24"/>
        </w:rPr>
        <w:t xml:space="preserve"> agresywnej optymalizacji podatkowej występującej w tamtym czasie w wielu strukturach z udziałem </w:t>
      </w:r>
      <w:r w:rsidR="00613A05" w:rsidRPr="00DB3E1C">
        <w:rPr>
          <w:rFonts w:ascii="Times New Roman" w:eastAsia="Times New Roman" w:hAnsi="Times New Roman" w:cs="Times New Roman"/>
          <w:sz w:val="24"/>
          <w:szCs w:val="24"/>
        </w:rPr>
        <w:t>funduszy inwestycyjnych zamkniętych</w:t>
      </w:r>
      <w:r w:rsidRPr="00DB3E1C">
        <w:rPr>
          <w:rFonts w:ascii="Times New Roman" w:eastAsia="Times New Roman" w:hAnsi="Times New Roman" w:cs="Times New Roman"/>
          <w:sz w:val="24"/>
          <w:szCs w:val="24"/>
        </w:rPr>
        <w:t xml:space="preserve">. Zjawisko to wymagało ograniczenia, co nastąpiło w ramach </w:t>
      </w:r>
      <w:r w:rsidR="00613A05" w:rsidRPr="00DB3E1C">
        <w:rPr>
          <w:rFonts w:ascii="Times New Roman" w:eastAsia="Times New Roman" w:hAnsi="Times New Roman" w:cs="Times New Roman"/>
          <w:sz w:val="24"/>
          <w:szCs w:val="24"/>
        </w:rPr>
        <w:t>zmian przepisów CIT</w:t>
      </w:r>
      <w:r w:rsidRPr="00DB3E1C">
        <w:rPr>
          <w:rFonts w:ascii="Times New Roman" w:eastAsia="Times New Roman" w:hAnsi="Times New Roman" w:cs="Times New Roman"/>
          <w:sz w:val="24"/>
          <w:szCs w:val="24"/>
        </w:rPr>
        <w:t xml:space="preserve"> uchwalonych w 2016 r.</w:t>
      </w:r>
      <w:r w:rsidR="00AD69ED" w:rsidRPr="00DB3E1C">
        <w:rPr>
          <w:rStyle w:val="Odwoanieprzypisudolnego"/>
          <w:rFonts w:ascii="Times New Roman" w:eastAsia="Times New Roman" w:hAnsi="Times New Roman" w:cs="Times New Roman"/>
          <w:sz w:val="24"/>
          <w:szCs w:val="24"/>
        </w:rPr>
        <w:footnoteReference w:id="2"/>
      </w:r>
      <w:r w:rsidR="00613A05" w:rsidRPr="00DB3E1C">
        <w:rPr>
          <w:rFonts w:ascii="Times New Roman" w:eastAsia="Times New Roman" w:hAnsi="Times New Roman" w:cs="Times New Roman"/>
          <w:sz w:val="24"/>
          <w:szCs w:val="24"/>
        </w:rPr>
        <w:t>, z pominięciem tez wskazanego wyroku TSUE.</w:t>
      </w:r>
      <w:r w:rsidRPr="00DB3E1C">
        <w:rPr>
          <w:rFonts w:ascii="Times New Roman" w:eastAsia="Times New Roman" w:hAnsi="Times New Roman" w:cs="Times New Roman"/>
          <w:sz w:val="24"/>
          <w:szCs w:val="24"/>
        </w:rPr>
        <w:t xml:space="preserve"> Nie</w:t>
      </w:r>
      <w:r w:rsidR="00613A05" w:rsidRPr="00DB3E1C">
        <w:rPr>
          <w:rFonts w:ascii="Times New Roman" w:eastAsia="Times New Roman" w:hAnsi="Times New Roman" w:cs="Times New Roman"/>
          <w:sz w:val="24"/>
          <w:szCs w:val="24"/>
        </w:rPr>
        <w:t xml:space="preserve">zależnie od tego wskazany </w:t>
      </w:r>
      <w:r w:rsidR="00EF7870" w:rsidRPr="00DB3E1C">
        <w:rPr>
          <w:rFonts w:ascii="Times New Roman" w:eastAsia="Times New Roman" w:hAnsi="Times New Roman" w:cs="Times New Roman"/>
          <w:sz w:val="24"/>
          <w:szCs w:val="24"/>
        </w:rPr>
        <w:t>wyrok</w:t>
      </w:r>
      <w:r w:rsidR="00613A05" w:rsidRPr="00DB3E1C">
        <w:rPr>
          <w:rFonts w:ascii="Times New Roman" w:eastAsia="Times New Roman" w:hAnsi="Times New Roman" w:cs="Times New Roman"/>
          <w:sz w:val="24"/>
          <w:szCs w:val="24"/>
        </w:rPr>
        <w:t xml:space="preserve"> </w:t>
      </w:r>
      <w:r w:rsidR="00404EC9" w:rsidRPr="00DB3E1C">
        <w:rPr>
          <w:rFonts w:ascii="Times New Roman" w:eastAsia="Times New Roman" w:hAnsi="Times New Roman" w:cs="Times New Roman"/>
          <w:sz w:val="24"/>
          <w:szCs w:val="24"/>
        </w:rPr>
        <w:t xml:space="preserve">był </w:t>
      </w:r>
      <w:r w:rsidR="00B148DA" w:rsidRPr="00DB3E1C">
        <w:rPr>
          <w:rFonts w:ascii="Times New Roman" w:eastAsia="Times New Roman" w:hAnsi="Times New Roman" w:cs="Times New Roman"/>
          <w:sz w:val="24"/>
          <w:szCs w:val="24"/>
        </w:rPr>
        <w:t>w latach 2014</w:t>
      </w:r>
      <w:r w:rsidR="00C337A7" w:rsidRPr="00C337A7">
        <w:rPr>
          <w:rFonts w:ascii="Times New Roman" w:eastAsia="Times New Roman" w:hAnsi="Times New Roman" w:cs="Times New Roman"/>
          <w:sz w:val="24"/>
          <w:szCs w:val="24"/>
        </w:rPr>
        <w:t>–</w:t>
      </w:r>
      <w:r w:rsidR="00B148DA" w:rsidRPr="00DB3E1C">
        <w:rPr>
          <w:rFonts w:ascii="Times New Roman" w:eastAsia="Times New Roman" w:hAnsi="Times New Roman" w:cs="Times New Roman"/>
          <w:sz w:val="24"/>
          <w:szCs w:val="24"/>
        </w:rPr>
        <w:t xml:space="preserve">2024 </w:t>
      </w:r>
      <w:r w:rsidR="00404EC9" w:rsidRPr="00DB3E1C">
        <w:rPr>
          <w:rFonts w:ascii="Times New Roman" w:eastAsia="Times New Roman" w:hAnsi="Times New Roman" w:cs="Times New Roman"/>
          <w:sz w:val="24"/>
          <w:szCs w:val="24"/>
        </w:rPr>
        <w:t xml:space="preserve">podstawą </w:t>
      </w:r>
      <w:r w:rsidR="00EF7870" w:rsidRPr="00DB3E1C">
        <w:rPr>
          <w:rFonts w:ascii="Times New Roman" w:eastAsia="Times New Roman" w:hAnsi="Times New Roman" w:cs="Times New Roman"/>
          <w:sz w:val="24"/>
          <w:szCs w:val="24"/>
        </w:rPr>
        <w:t>licznych postępowań o stwierdzenie nadpłaty. Stąd,</w:t>
      </w:r>
      <w:r w:rsidRPr="00DB3E1C">
        <w:rPr>
          <w:rFonts w:ascii="Times New Roman" w:eastAsia="Times New Roman" w:hAnsi="Times New Roman" w:cs="Times New Roman"/>
          <w:sz w:val="24"/>
          <w:szCs w:val="24"/>
        </w:rPr>
        <w:t xml:space="preserve"> </w:t>
      </w:r>
      <w:r w:rsidR="00613A05" w:rsidRPr="00DB3E1C">
        <w:rPr>
          <w:rFonts w:ascii="Times New Roman" w:eastAsia="Times New Roman" w:hAnsi="Times New Roman" w:cs="Times New Roman"/>
          <w:sz w:val="24"/>
          <w:szCs w:val="24"/>
        </w:rPr>
        <w:t>mając na względzie pewność stosowania prawa i ekonomikę postępowań</w:t>
      </w:r>
      <w:r w:rsidR="00B148DA" w:rsidRPr="00DB3E1C">
        <w:rPr>
          <w:rFonts w:ascii="Times New Roman" w:eastAsia="Times New Roman" w:hAnsi="Times New Roman" w:cs="Times New Roman"/>
          <w:sz w:val="24"/>
          <w:szCs w:val="24"/>
        </w:rPr>
        <w:t xml:space="preserve"> podatkowych</w:t>
      </w:r>
      <w:r w:rsidR="00C337A7">
        <w:rPr>
          <w:rFonts w:ascii="Times New Roman" w:eastAsia="Times New Roman" w:hAnsi="Times New Roman" w:cs="Times New Roman"/>
          <w:sz w:val="24"/>
          <w:szCs w:val="24"/>
        </w:rPr>
        <w:t>,</w:t>
      </w:r>
      <w:r w:rsidR="00613A05" w:rsidRPr="00DB3E1C">
        <w:rPr>
          <w:rFonts w:ascii="Times New Roman" w:eastAsia="Times New Roman" w:hAnsi="Times New Roman" w:cs="Times New Roman"/>
          <w:sz w:val="24"/>
          <w:szCs w:val="24"/>
        </w:rPr>
        <w:t xml:space="preserve"> </w:t>
      </w:r>
      <w:r w:rsidR="00EF7870" w:rsidRPr="00DB3E1C">
        <w:rPr>
          <w:rFonts w:ascii="Times New Roman" w:eastAsia="Times New Roman" w:hAnsi="Times New Roman" w:cs="Times New Roman"/>
          <w:sz w:val="24"/>
          <w:szCs w:val="24"/>
        </w:rPr>
        <w:t>wskazane są działania dostosowujące przepisy</w:t>
      </w:r>
      <w:r w:rsidR="00613A05" w:rsidRPr="00DB3E1C">
        <w:rPr>
          <w:rFonts w:ascii="Times New Roman" w:eastAsia="Times New Roman" w:hAnsi="Times New Roman" w:cs="Times New Roman"/>
          <w:sz w:val="24"/>
          <w:szCs w:val="24"/>
        </w:rPr>
        <w:t xml:space="preserve"> ustawy</w:t>
      </w:r>
      <w:r w:rsidR="00EF7870" w:rsidRPr="00DB3E1C">
        <w:rPr>
          <w:rFonts w:ascii="Times New Roman" w:eastAsia="Times New Roman" w:hAnsi="Times New Roman" w:cs="Times New Roman"/>
          <w:sz w:val="24"/>
          <w:szCs w:val="24"/>
        </w:rPr>
        <w:t xml:space="preserve"> CIT </w:t>
      </w:r>
      <w:r w:rsidR="00613A05" w:rsidRPr="00DB3E1C">
        <w:rPr>
          <w:rFonts w:ascii="Times New Roman" w:eastAsia="Times New Roman" w:hAnsi="Times New Roman" w:cs="Times New Roman"/>
          <w:sz w:val="24"/>
          <w:szCs w:val="24"/>
        </w:rPr>
        <w:t>w tym zakresie.</w:t>
      </w:r>
      <w:r w:rsidR="00B76514" w:rsidRPr="00DB3E1C">
        <w:rPr>
          <w:rFonts w:ascii="Times New Roman" w:eastAsia="Times New Roman" w:hAnsi="Times New Roman" w:cs="Times New Roman"/>
          <w:sz w:val="24"/>
          <w:szCs w:val="24"/>
        </w:rPr>
        <w:t xml:space="preserve"> </w:t>
      </w:r>
    </w:p>
    <w:p w14:paraId="569CEDB6" w14:textId="456EE47F" w:rsidR="00B148DA" w:rsidRPr="00DB3E1C" w:rsidRDefault="006573D4" w:rsidP="00DB3E1C">
      <w:pPr>
        <w:pStyle w:val="SzanownaPani"/>
        <w:spacing w:before="0" w:line="360" w:lineRule="auto"/>
        <w:contextualSpacing w:val="0"/>
        <w:jc w:val="both"/>
        <w:rPr>
          <w:rFonts w:ascii="Times New Roman" w:hAnsi="Times New Roman" w:cs="Times New Roman"/>
          <w:sz w:val="24"/>
          <w:szCs w:val="24"/>
        </w:rPr>
      </w:pPr>
      <w:r w:rsidRPr="00DB3E1C">
        <w:rPr>
          <w:rFonts w:ascii="Times New Roman" w:hAnsi="Times New Roman" w:cs="Times New Roman"/>
          <w:sz w:val="24"/>
          <w:szCs w:val="24"/>
        </w:rPr>
        <w:t xml:space="preserve">Mając na względzie powyższe, przedłożony projekt ma na celu dostosowanie </w:t>
      </w:r>
      <w:r w:rsidR="00404EC9" w:rsidRPr="00DB3E1C">
        <w:rPr>
          <w:rFonts w:ascii="Times New Roman" w:hAnsi="Times New Roman" w:cs="Times New Roman"/>
          <w:sz w:val="24"/>
          <w:szCs w:val="24"/>
        </w:rPr>
        <w:t>przepisów</w:t>
      </w:r>
      <w:r w:rsidRPr="00DB3E1C">
        <w:rPr>
          <w:rFonts w:ascii="Times New Roman" w:hAnsi="Times New Roman" w:cs="Times New Roman"/>
          <w:sz w:val="24"/>
          <w:szCs w:val="24"/>
        </w:rPr>
        <w:t xml:space="preserve"> art. 6 ust. 1 pkt 10a</w:t>
      </w:r>
      <w:r w:rsidR="00734DCA" w:rsidRPr="00DB3E1C">
        <w:rPr>
          <w:rFonts w:ascii="Times New Roman" w:hAnsi="Times New Roman" w:cs="Times New Roman"/>
          <w:sz w:val="24"/>
          <w:szCs w:val="24"/>
        </w:rPr>
        <w:t xml:space="preserve"> i 11a</w:t>
      </w:r>
      <w:r w:rsidRPr="00DB3E1C">
        <w:rPr>
          <w:rFonts w:ascii="Times New Roman" w:hAnsi="Times New Roman" w:cs="Times New Roman"/>
          <w:sz w:val="24"/>
          <w:szCs w:val="24"/>
        </w:rPr>
        <w:t xml:space="preserve"> </w:t>
      </w:r>
      <w:r w:rsidR="00734DCA" w:rsidRPr="00DB3E1C">
        <w:rPr>
          <w:rFonts w:ascii="Times New Roman" w:hAnsi="Times New Roman" w:cs="Times New Roman"/>
          <w:sz w:val="24"/>
          <w:szCs w:val="24"/>
        </w:rPr>
        <w:t>oraz</w:t>
      </w:r>
      <w:r w:rsidRPr="00DB3E1C">
        <w:rPr>
          <w:rFonts w:ascii="Times New Roman" w:hAnsi="Times New Roman" w:cs="Times New Roman"/>
          <w:sz w:val="24"/>
          <w:szCs w:val="24"/>
        </w:rPr>
        <w:t xml:space="preserve"> art. 17 ust. 1 pkt 58 ustawy CIT </w:t>
      </w:r>
      <w:r w:rsidR="00B76514" w:rsidRPr="00DB3E1C">
        <w:rPr>
          <w:rFonts w:ascii="Times New Roman" w:hAnsi="Times New Roman" w:cs="Times New Roman"/>
          <w:sz w:val="24"/>
          <w:szCs w:val="24"/>
        </w:rPr>
        <w:t>do</w:t>
      </w:r>
      <w:r w:rsidR="00115609" w:rsidRPr="00DB3E1C">
        <w:rPr>
          <w:rFonts w:ascii="Times New Roman" w:hAnsi="Times New Roman" w:cs="Times New Roman"/>
          <w:sz w:val="24"/>
          <w:szCs w:val="24"/>
        </w:rPr>
        <w:t xml:space="preserve"> orzecznictw</w:t>
      </w:r>
      <w:r w:rsidR="00B76514" w:rsidRPr="00DB3E1C">
        <w:rPr>
          <w:rFonts w:ascii="Times New Roman" w:hAnsi="Times New Roman" w:cs="Times New Roman"/>
          <w:sz w:val="24"/>
          <w:szCs w:val="24"/>
        </w:rPr>
        <w:t>a</w:t>
      </w:r>
      <w:r w:rsidR="00115609" w:rsidRPr="00DB3E1C">
        <w:rPr>
          <w:rFonts w:ascii="Times New Roman" w:hAnsi="Times New Roman" w:cs="Times New Roman"/>
          <w:sz w:val="24"/>
          <w:szCs w:val="24"/>
        </w:rPr>
        <w:t xml:space="preserve"> TSUE poprzez odpowiednią </w:t>
      </w:r>
      <w:r w:rsidR="00EE581E" w:rsidRPr="00DB3E1C">
        <w:rPr>
          <w:rFonts w:ascii="Times New Roman" w:hAnsi="Times New Roman" w:cs="Times New Roman"/>
          <w:sz w:val="24"/>
          <w:szCs w:val="24"/>
        </w:rPr>
        <w:t xml:space="preserve">liberalizację </w:t>
      </w:r>
      <w:r w:rsidR="00115609" w:rsidRPr="00DB3E1C">
        <w:rPr>
          <w:rFonts w:ascii="Times New Roman" w:hAnsi="Times New Roman" w:cs="Times New Roman"/>
          <w:sz w:val="24"/>
          <w:szCs w:val="24"/>
        </w:rPr>
        <w:t>warunków</w:t>
      </w:r>
      <w:r w:rsidR="00465386" w:rsidRPr="00DB3E1C">
        <w:rPr>
          <w:rFonts w:ascii="Times New Roman" w:hAnsi="Times New Roman" w:cs="Times New Roman"/>
          <w:sz w:val="24"/>
          <w:szCs w:val="24"/>
        </w:rPr>
        <w:t xml:space="preserve"> zwolnienia dla </w:t>
      </w:r>
      <w:r w:rsidR="00115609" w:rsidRPr="00DB3E1C">
        <w:rPr>
          <w:rFonts w:ascii="Times New Roman" w:hAnsi="Times New Roman" w:cs="Times New Roman"/>
          <w:sz w:val="24"/>
          <w:szCs w:val="24"/>
        </w:rPr>
        <w:t xml:space="preserve">zagranicznych </w:t>
      </w:r>
      <w:r w:rsidR="00465386" w:rsidRPr="00DB3E1C">
        <w:rPr>
          <w:rFonts w:ascii="Times New Roman" w:hAnsi="Times New Roman" w:cs="Times New Roman"/>
          <w:sz w:val="24"/>
          <w:szCs w:val="24"/>
        </w:rPr>
        <w:t>funduszy inwestycyjnych (instytucji wspólnego inwestowania)</w:t>
      </w:r>
      <w:r w:rsidR="007D667C" w:rsidRPr="00DB3E1C">
        <w:rPr>
          <w:rFonts w:ascii="Times New Roman" w:hAnsi="Times New Roman" w:cs="Times New Roman"/>
          <w:sz w:val="24"/>
          <w:szCs w:val="24"/>
        </w:rPr>
        <w:t>. W tym celu rozszerzono warunk</w:t>
      </w:r>
      <w:r w:rsidR="00216946" w:rsidRPr="00DB3E1C">
        <w:rPr>
          <w:rFonts w:ascii="Times New Roman" w:hAnsi="Times New Roman" w:cs="Times New Roman"/>
          <w:sz w:val="24"/>
          <w:szCs w:val="24"/>
        </w:rPr>
        <w:t xml:space="preserve">i </w:t>
      </w:r>
      <w:r w:rsidR="00EE581E" w:rsidRPr="00DB3E1C">
        <w:rPr>
          <w:rFonts w:ascii="Times New Roman" w:hAnsi="Times New Roman" w:cs="Times New Roman"/>
          <w:sz w:val="24"/>
          <w:szCs w:val="24"/>
        </w:rPr>
        <w:t xml:space="preserve">zwolnienia z CIT </w:t>
      </w:r>
      <w:r w:rsidR="00216946" w:rsidRPr="00DB3E1C">
        <w:rPr>
          <w:rFonts w:ascii="Times New Roman" w:hAnsi="Times New Roman" w:cs="Times New Roman"/>
          <w:sz w:val="24"/>
          <w:szCs w:val="24"/>
        </w:rPr>
        <w:t>dotyczące</w:t>
      </w:r>
      <w:r w:rsidR="00B148DA" w:rsidRPr="00DB3E1C">
        <w:rPr>
          <w:rFonts w:ascii="Times New Roman" w:hAnsi="Times New Roman" w:cs="Times New Roman"/>
          <w:sz w:val="24"/>
          <w:szCs w:val="24"/>
        </w:rPr>
        <w:t>:</w:t>
      </w:r>
      <w:r w:rsidR="00672CED" w:rsidRPr="00DB3E1C">
        <w:rPr>
          <w:rFonts w:ascii="Times New Roman" w:hAnsi="Times New Roman" w:cs="Times New Roman"/>
          <w:sz w:val="24"/>
          <w:szCs w:val="24"/>
        </w:rPr>
        <w:t xml:space="preserve"> </w:t>
      </w:r>
    </w:p>
    <w:p w14:paraId="1D0F3ADC" w14:textId="2E9AD4B7" w:rsidR="00B148DA" w:rsidRPr="00DB3E1C" w:rsidRDefault="007D667C" w:rsidP="00DB3E1C">
      <w:pPr>
        <w:pStyle w:val="SzanownaPani"/>
        <w:numPr>
          <w:ilvl w:val="0"/>
          <w:numId w:val="2"/>
        </w:numPr>
        <w:spacing w:before="0" w:line="360" w:lineRule="auto"/>
        <w:contextualSpacing w:val="0"/>
        <w:jc w:val="both"/>
        <w:rPr>
          <w:rFonts w:ascii="Times New Roman" w:hAnsi="Times New Roman" w:cs="Times New Roman"/>
          <w:sz w:val="24"/>
          <w:szCs w:val="24"/>
        </w:rPr>
      </w:pPr>
      <w:r w:rsidRPr="00DB3E1C">
        <w:rPr>
          <w:rFonts w:ascii="Times New Roman" w:hAnsi="Times New Roman" w:cs="Times New Roman"/>
          <w:sz w:val="24"/>
          <w:szCs w:val="24"/>
        </w:rPr>
        <w:t xml:space="preserve">siedziby funduszu, </w:t>
      </w:r>
      <w:r w:rsidRPr="00DB3E1C">
        <w:rPr>
          <w:rFonts w:ascii="Times New Roman" w:hAnsi="Times New Roman" w:cs="Times New Roman"/>
          <w:b/>
          <w:bCs/>
          <w:sz w:val="24"/>
          <w:szCs w:val="24"/>
        </w:rPr>
        <w:t xml:space="preserve">dopuszczając także </w:t>
      </w:r>
      <w:r w:rsidR="00465386" w:rsidRPr="00DB3E1C">
        <w:rPr>
          <w:rFonts w:ascii="Times New Roman" w:hAnsi="Times New Roman" w:cs="Times New Roman"/>
          <w:b/>
          <w:bCs/>
          <w:sz w:val="24"/>
          <w:szCs w:val="24"/>
        </w:rPr>
        <w:t>posiadani</w:t>
      </w:r>
      <w:r w:rsidRPr="00DB3E1C">
        <w:rPr>
          <w:rFonts w:ascii="Times New Roman" w:hAnsi="Times New Roman" w:cs="Times New Roman"/>
          <w:b/>
          <w:bCs/>
          <w:sz w:val="24"/>
          <w:szCs w:val="24"/>
        </w:rPr>
        <w:t>e</w:t>
      </w:r>
      <w:r w:rsidR="00465386" w:rsidRPr="00DB3E1C">
        <w:rPr>
          <w:rFonts w:ascii="Times New Roman" w:hAnsi="Times New Roman" w:cs="Times New Roman"/>
          <w:b/>
          <w:bCs/>
          <w:sz w:val="24"/>
          <w:szCs w:val="24"/>
        </w:rPr>
        <w:t xml:space="preserve"> </w:t>
      </w:r>
      <w:r w:rsidR="00672CED" w:rsidRPr="00DB3E1C">
        <w:rPr>
          <w:rFonts w:ascii="Times New Roman" w:hAnsi="Times New Roman" w:cs="Times New Roman"/>
          <w:b/>
          <w:bCs/>
          <w:sz w:val="24"/>
          <w:szCs w:val="24"/>
        </w:rPr>
        <w:t>przez fundusz</w:t>
      </w:r>
      <w:r w:rsidR="00734DCA" w:rsidRPr="00DB3E1C">
        <w:rPr>
          <w:rFonts w:ascii="Times New Roman" w:hAnsi="Times New Roman" w:cs="Times New Roman"/>
          <w:b/>
          <w:bCs/>
          <w:sz w:val="24"/>
          <w:szCs w:val="24"/>
        </w:rPr>
        <w:t>e inwestycyjne i fundusze emerytalne</w:t>
      </w:r>
      <w:r w:rsidR="00672CED" w:rsidRPr="00DB3E1C">
        <w:rPr>
          <w:rFonts w:ascii="Times New Roman" w:hAnsi="Times New Roman" w:cs="Times New Roman"/>
          <w:b/>
          <w:bCs/>
          <w:sz w:val="24"/>
          <w:szCs w:val="24"/>
        </w:rPr>
        <w:t xml:space="preserve"> </w:t>
      </w:r>
      <w:r w:rsidR="00465386" w:rsidRPr="00DB3E1C">
        <w:rPr>
          <w:rFonts w:ascii="Times New Roman" w:hAnsi="Times New Roman" w:cs="Times New Roman"/>
          <w:b/>
          <w:bCs/>
          <w:sz w:val="24"/>
          <w:szCs w:val="24"/>
        </w:rPr>
        <w:t>siedziby w państwie</w:t>
      </w:r>
      <w:r w:rsidR="00B76514" w:rsidRPr="00DB3E1C">
        <w:rPr>
          <w:rFonts w:ascii="Times New Roman" w:hAnsi="Times New Roman" w:cs="Times New Roman"/>
          <w:b/>
          <w:bCs/>
          <w:sz w:val="24"/>
          <w:szCs w:val="24"/>
        </w:rPr>
        <w:t xml:space="preserve"> trzecim (</w:t>
      </w:r>
      <w:r w:rsidRPr="00DB3E1C">
        <w:rPr>
          <w:rFonts w:ascii="Times New Roman" w:hAnsi="Times New Roman" w:cs="Times New Roman"/>
          <w:b/>
          <w:bCs/>
          <w:sz w:val="24"/>
          <w:szCs w:val="24"/>
        </w:rPr>
        <w:t xml:space="preserve">innym niż państwo </w:t>
      </w:r>
      <w:r w:rsidR="00465386" w:rsidRPr="00DB3E1C">
        <w:rPr>
          <w:rFonts w:ascii="Times New Roman" w:hAnsi="Times New Roman" w:cs="Times New Roman"/>
          <w:b/>
          <w:bCs/>
          <w:sz w:val="24"/>
          <w:szCs w:val="24"/>
        </w:rPr>
        <w:t>UE lub EOG</w:t>
      </w:r>
      <w:r w:rsidR="00B76514" w:rsidRPr="00DB3E1C">
        <w:rPr>
          <w:rFonts w:ascii="Times New Roman" w:hAnsi="Times New Roman" w:cs="Times New Roman"/>
          <w:b/>
          <w:bCs/>
          <w:sz w:val="24"/>
          <w:szCs w:val="24"/>
        </w:rPr>
        <w:t>)</w:t>
      </w:r>
      <w:r w:rsidR="00465386" w:rsidRPr="00DB3E1C">
        <w:rPr>
          <w:rFonts w:ascii="Times New Roman" w:hAnsi="Times New Roman" w:cs="Times New Roman"/>
          <w:sz w:val="24"/>
          <w:szCs w:val="24"/>
        </w:rPr>
        <w:t xml:space="preserve">, </w:t>
      </w:r>
    </w:p>
    <w:p w14:paraId="0FA51234" w14:textId="66E539A0" w:rsidR="00115609" w:rsidRPr="00DB3E1C" w:rsidRDefault="00216946" w:rsidP="00DB3E1C">
      <w:pPr>
        <w:pStyle w:val="SzanownaPani"/>
        <w:numPr>
          <w:ilvl w:val="0"/>
          <w:numId w:val="2"/>
        </w:numPr>
        <w:spacing w:before="0" w:line="360" w:lineRule="auto"/>
        <w:contextualSpacing w:val="0"/>
        <w:jc w:val="both"/>
        <w:rPr>
          <w:rFonts w:ascii="Times New Roman" w:hAnsi="Times New Roman" w:cs="Times New Roman"/>
          <w:sz w:val="24"/>
          <w:szCs w:val="24"/>
        </w:rPr>
      </w:pPr>
      <w:r w:rsidRPr="00DB3E1C">
        <w:rPr>
          <w:rFonts w:ascii="Times New Roman" w:hAnsi="Times New Roman" w:cs="Times New Roman"/>
          <w:sz w:val="24"/>
          <w:szCs w:val="24"/>
        </w:rPr>
        <w:t xml:space="preserve">trybu </w:t>
      </w:r>
      <w:r w:rsidR="00465386" w:rsidRPr="00DB3E1C">
        <w:rPr>
          <w:rFonts w:ascii="Times New Roman" w:hAnsi="Times New Roman" w:cs="Times New Roman"/>
          <w:sz w:val="24"/>
          <w:szCs w:val="24"/>
        </w:rPr>
        <w:t>zarządzania</w:t>
      </w:r>
      <w:r w:rsidRPr="00DB3E1C">
        <w:rPr>
          <w:rFonts w:ascii="Times New Roman" w:hAnsi="Times New Roman" w:cs="Times New Roman"/>
          <w:sz w:val="24"/>
          <w:szCs w:val="24"/>
        </w:rPr>
        <w:t xml:space="preserve"> </w:t>
      </w:r>
      <w:r w:rsidR="000529DB" w:rsidRPr="00DB3E1C">
        <w:rPr>
          <w:rFonts w:ascii="Times New Roman" w:hAnsi="Times New Roman" w:cs="Times New Roman"/>
          <w:sz w:val="24"/>
          <w:szCs w:val="24"/>
        </w:rPr>
        <w:t>(</w:t>
      </w:r>
      <w:r w:rsidR="00EE581E" w:rsidRPr="00DB3E1C">
        <w:rPr>
          <w:rFonts w:ascii="Times New Roman" w:hAnsi="Times New Roman" w:cs="Times New Roman"/>
          <w:sz w:val="24"/>
          <w:szCs w:val="24"/>
        </w:rPr>
        <w:t xml:space="preserve">na potrzeby zwolnienia </w:t>
      </w:r>
      <w:r w:rsidR="00123C2F" w:rsidRPr="00DB3E1C">
        <w:rPr>
          <w:rFonts w:ascii="Times New Roman" w:hAnsi="Times New Roman" w:cs="Times New Roman"/>
          <w:b/>
          <w:bCs/>
          <w:sz w:val="24"/>
          <w:szCs w:val="24"/>
        </w:rPr>
        <w:t>d</w:t>
      </w:r>
      <w:r w:rsidR="007D667C" w:rsidRPr="00DB3E1C">
        <w:rPr>
          <w:rFonts w:ascii="Times New Roman" w:hAnsi="Times New Roman" w:cs="Times New Roman"/>
          <w:b/>
          <w:bCs/>
          <w:sz w:val="24"/>
          <w:szCs w:val="24"/>
        </w:rPr>
        <w:t>opuszcza</w:t>
      </w:r>
      <w:r w:rsidR="00115609" w:rsidRPr="00DB3E1C">
        <w:rPr>
          <w:rFonts w:ascii="Times New Roman" w:hAnsi="Times New Roman" w:cs="Times New Roman"/>
          <w:b/>
          <w:bCs/>
          <w:sz w:val="24"/>
          <w:szCs w:val="24"/>
        </w:rPr>
        <w:t xml:space="preserve"> się</w:t>
      </w:r>
      <w:r w:rsidR="007D667C" w:rsidRPr="00DB3E1C">
        <w:rPr>
          <w:rFonts w:ascii="Times New Roman" w:hAnsi="Times New Roman" w:cs="Times New Roman"/>
          <w:b/>
          <w:bCs/>
          <w:sz w:val="24"/>
          <w:szCs w:val="24"/>
        </w:rPr>
        <w:t xml:space="preserve"> </w:t>
      </w:r>
      <w:r w:rsidR="00465386" w:rsidRPr="00DB3E1C">
        <w:rPr>
          <w:rFonts w:ascii="Times New Roman" w:hAnsi="Times New Roman" w:cs="Times New Roman"/>
          <w:b/>
          <w:bCs/>
          <w:sz w:val="24"/>
          <w:szCs w:val="24"/>
        </w:rPr>
        <w:t xml:space="preserve">także </w:t>
      </w:r>
      <w:r w:rsidR="000529DB" w:rsidRPr="00DB3E1C">
        <w:rPr>
          <w:rFonts w:ascii="Times New Roman" w:hAnsi="Times New Roman" w:cs="Times New Roman"/>
          <w:b/>
          <w:bCs/>
          <w:sz w:val="24"/>
          <w:szCs w:val="24"/>
        </w:rPr>
        <w:t xml:space="preserve">wewnętrzne </w:t>
      </w:r>
      <w:r w:rsidR="00465386" w:rsidRPr="00DB3E1C">
        <w:rPr>
          <w:rFonts w:ascii="Times New Roman" w:hAnsi="Times New Roman" w:cs="Times New Roman"/>
          <w:b/>
          <w:bCs/>
          <w:sz w:val="24"/>
          <w:szCs w:val="24"/>
        </w:rPr>
        <w:t>zarządzanie</w:t>
      </w:r>
      <w:r w:rsidR="000529DB" w:rsidRPr="00DB3E1C">
        <w:rPr>
          <w:rFonts w:ascii="Times New Roman" w:hAnsi="Times New Roman" w:cs="Times New Roman"/>
          <w:b/>
          <w:bCs/>
          <w:sz w:val="24"/>
          <w:szCs w:val="24"/>
        </w:rPr>
        <w:t xml:space="preserve"> funduszem</w:t>
      </w:r>
      <w:r w:rsidR="00734DCA" w:rsidRPr="00DB3E1C">
        <w:rPr>
          <w:rFonts w:ascii="Times New Roman" w:hAnsi="Times New Roman" w:cs="Times New Roman"/>
          <w:b/>
          <w:bCs/>
          <w:sz w:val="24"/>
          <w:szCs w:val="24"/>
        </w:rPr>
        <w:t xml:space="preserve"> inwestycyjnym</w:t>
      </w:r>
      <w:r w:rsidR="00465386" w:rsidRPr="00DB3E1C">
        <w:rPr>
          <w:rFonts w:ascii="Times New Roman" w:hAnsi="Times New Roman" w:cs="Times New Roman"/>
          <w:sz w:val="24"/>
          <w:szCs w:val="24"/>
        </w:rPr>
        <w:t>, o ile</w:t>
      </w:r>
      <w:r w:rsidR="000529DB" w:rsidRPr="00DB3E1C">
        <w:rPr>
          <w:rFonts w:ascii="Times New Roman" w:hAnsi="Times New Roman" w:cs="Times New Roman"/>
          <w:sz w:val="24"/>
          <w:szCs w:val="24"/>
        </w:rPr>
        <w:t xml:space="preserve"> prowadzi on działalność na podstawie zezwolenia właściwych organów nadzoru nad rynkiem finansowym państwa jego siedziby, uzyskanego przez</w:t>
      </w:r>
      <w:r w:rsidR="00C011F7" w:rsidRPr="00DB3E1C">
        <w:rPr>
          <w:rFonts w:ascii="Times New Roman" w:hAnsi="Times New Roman" w:cs="Times New Roman"/>
          <w:sz w:val="24"/>
          <w:szCs w:val="24"/>
        </w:rPr>
        <w:t xml:space="preserve"> ten</w:t>
      </w:r>
      <w:r w:rsidR="000529DB" w:rsidRPr="00DB3E1C">
        <w:rPr>
          <w:rFonts w:ascii="Times New Roman" w:hAnsi="Times New Roman" w:cs="Times New Roman"/>
          <w:sz w:val="24"/>
          <w:szCs w:val="24"/>
        </w:rPr>
        <w:t xml:space="preserve"> fundusz lub wewnętrznie zarządzającego</w:t>
      </w:r>
      <w:r w:rsidR="00C011F7" w:rsidRPr="00DB3E1C">
        <w:rPr>
          <w:rFonts w:ascii="Times New Roman" w:hAnsi="Times New Roman" w:cs="Times New Roman"/>
          <w:sz w:val="24"/>
          <w:szCs w:val="24"/>
        </w:rPr>
        <w:t>, na zarządzanie tym funduszem</w:t>
      </w:r>
      <w:r w:rsidR="00EE581E" w:rsidRPr="00DB3E1C">
        <w:rPr>
          <w:rFonts w:ascii="Times New Roman" w:hAnsi="Times New Roman" w:cs="Times New Roman"/>
          <w:sz w:val="24"/>
          <w:szCs w:val="24"/>
        </w:rPr>
        <w:t>)</w:t>
      </w:r>
      <w:r w:rsidR="000529DB" w:rsidRPr="00DB3E1C">
        <w:rPr>
          <w:rFonts w:ascii="Times New Roman" w:hAnsi="Times New Roman" w:cs="Times New Roman"/>
          <w:sz w:val="24"/>
          <w:szCs w:val="24"/>
        </w:rPr>
        <w:t>.</w:t>
      </w:r>
    </w:p>
    <w:p w14:paraId="5B43E108" w14:textId="5F963CC4" w:rsidR="00734DCA" w:rsidRPr="00DB3E1C" w:rsidRDefault="006573D4" w:rsidP="00DB3E1C">
      <w:pPr>
        <w:pStyle w:val="SzanownaPani"/>
        <w:spacing w:after="240" w:line="360" w:lineRule="auto"/>
        <w:contextualSpacing w:val="0"/>
        <w:jc w:val="both"/>
        <w:rPr>
          <w:rFonts w:ascii="Times New Roman" w:hAnsi="Times New Roman" w:cs="Times New Roman"/>
          <w:sz w:val="24"/>
          <w:szCs w:val="24"/>
        </w:rPr>
      </w:pPr>
      <w:r w:rsidRPr="00DB3E1C">
        <w:rPr>
          <w:rFonts w:ascii="Times New Roman" w:hAnsi="Times New Roman" w:cs="Times New Roman"/>
          <w:sz w:val="24"/>
          <w:szCs w:val="24"/>
        </w:rPr>
        <w:t xml:space="preserve">W ramach projektu ustawy uwzględniono również doprecyzowanie </w:t>
      </w:r>
      <w:r w:rsidR="00791F55" w:rsidRPr="00DB3E1C">
        <w:rPr>
          <w:rFonts w:ascii="Times New Roman" w:hAnsi="Times New Roman" w:cs="Times New Roman"/>
          <w:sz w:val="24"/>
          <w:szCs w:val="24"/>
        </w:rPr>
        <w:t xml:space="preserve">warunku </w:t>
      </w:r>
      <w:r w:rsidR="00672CED" w:rsidRPr="00DB3E1C">
        <w:rPr>
          <w:rFonts w:ascii="Times New Roman" w:hAnsi="Times New Roman" w:cs="Times New Roman"/>
          <w:sz w:val="24"/>
          <w:szCs w:val="24"/>
        </w:rPr>
        <w:t>określonego w art. 6 ust. 1 pkt 10a lit. a i pkt 11a lit. a, który wymaga, aby dany</w:t>
      </w:r>
      <w:r w:rsidR="00791F55" w:rsidRPr="00DB3E1C">
        <w:rPr>
          <w:rFonts w:ascii="Times New Roman" w:hAnsi="Times New Roman" w:cs="Times New Roman"/>
          <w:sz w:val="24"/>
          <w:szCs w:val="24"/>
        </w:rPr>
        <w:t xml:space="preserve"> fundusz</w:t>
      </w:r>
      <w:r w:rsidR="00672CED" w:rsidRPr="00DB3E1C">
        <w:rPr>
          <w:rFonts w:ascii="Times New Roman" w:hAnsi="Times New Roman" w:cs="Times New Roman"/>
          <w:sz w:val="24"/>
          <w:szCs w:val="24"/>
        </w:rPr>
        <w:t xml:space="preserve"> podlegał</w:t>
      </w:r>
      <w:r w:rsidR="00791F55" w:rsidRPr="00DB3E1C">
        <w:rPr>
          <w:rFonts w:ascii="Times New Roman" w:hAnsi="Times New Roman" w:cs="Times New Roman"/>
          <w:sz w:val="24"/>
          <w:szCs w:val="24"/>
        </w:rPr>
        <w:t xml:space="preserve"> nieograniczonemu obowiązkowi podatkow</w:t>
      </w:r>
      <w:r w:rsidR="00C337A7">
        <w:rPr>
          <w:rFonts w:ascii="Times New Roman" w:hAnsi="Times New Roman" w:cs="Times New Roman"/>
          <w:sz w:val="24"/>
          <w:szCs w:val="24"/>
        </w:rPr>
        <w:t>emu</w:t>
      </w:r>
      <w:r w:rsidR="00791F55" w:rsidRPr="00DB3E1C">
        <w:rPr>
          <w:rFonts w:ascii="Times New Roman" w:hAnsi="Times New Roman" w:cs="Times New Roman"/>
          <w:sz w:val="24"/>
          <w:szCs w:val="24"/>
        </w:rPr>
        <w:t xml:space="preserve"> w państwie jego siedziby</w:t>
      </w:r>
      <w:r w:rsidR="00672CED" w:rsidRPr="00DB3E1C">
        <w:rPr>
          <w:rFonts w:ascii="Times New Roman" w:hAnsi="Times New Roman" w:cs="Times New Roman"/>
          <w:sz w:val="24"/>
          <w:szCs w:val="24"/>
        </w:rPr>
        <w:t>.</w:t>
      </w:r>
      <w:r w:rsidR="00791F55" w:rsidRPr="00DB3E1C">
        <w:rPr>
          <w:rFonts w:ascii="Times New Roman" w:hAnsi="Times New Roman" w:cs="Times New Roman"/>
          <w:sz w:val="24"/>
          <w:szCs w:val="24"/>
        </w:rPr>
        <w:t xml:space="preserve"> </w:t>
      </w:r>
      <w:r w:rsidR="00672CED" w:rsidRPr="00DB3E1C">
        <w:rPr>
          <w:rFonts w:ascii="Times New Roman" w:hAnsi="Times New Roman" w:cs="Times New Roman"/>
          <w:sz w:val="24"/>
          <w:szCs w:val="24"/>
        </w:rPr>
        <w:t>Z</w:t>
      </w:r>
      <w:r w:rsidR="00791F55" w:rsidRPr="00DB3E1C">
        <w:rPr>
          <w:rFonts w:ascii="Times New Roman" w:hAnsi="Times New Roman" w:cs="Times New Roman"/>
          <w:sz w:val="24"/>
          <w:szCs w:val="24"/>
        </w:rPr>
        <w:t>e względu na to, że rezydencja podatkowa może wynikać z posiadania w danym państwie siedziby lub zarządu, wprowadzono odpowiednie uzupełnienie w tym zakresie</w:t>
      </w:r>
      <w:r w:rsidR="00B473A7" w:rsidRPr="00DB3E1C">
        <w:rPr>
          <w:rFonts w:ascii="Times New Roman" w:hAnsi="Times New Roman" w:cs="Times New Roman"/>
          <w:sz w:val="24"/>
          <w:szCs w:val="24"/>
        </w:rPr>
        <w:t xml:space="preserve"> (por</w:t>
      </w:r>
      <w:r w:rsidR="008F4F0C" w:rsidRPr="00DB3E1C">
        <w:rPr>
          <w:rFonts w:ascii="Times New Roman" w:hAnsi="Times New Roman" w:cs="Times New Roman"/>
          <w:sz w:val="24"/>
          <w:szCs w:val="24"/>
        </w:rPr>
        <w:t>.</w:t>
      </w:r>
      <w:r w:rsidR="00B473A7" w:rsidRPr="00DB3E1C">
        <w:rPr>
          <w:rFonts w:ascii="Times New Roman" w:hAnsi="Times New Roman" w:cs="Times New Roman"/>
          <w:sz w:val="24"/>
          <w:szCs w:val="24"/>
        </w:rPr>
        <w:t xml:space="preserve"> pkt II.</w:t>
      </w:r>
      <w:r w:rsidR="008F4F0C" w:rsidRPr="00DB3E1C">
        <w:rPr>
          <w:rFonts w:ascii="Times New Roman" w:hAnsi="Times New Roman" w:cs="Times New Roman"/>
          <w:sz w:val="24"/>
          <w:szCs w:val="24"/>
        </w:rPr>
        <w:t>5</w:t>
      </w:r>
      <w:r w:rsidR="00B473A7" w:rsidRPr="00DB3E1C">
        <w:rPr>
          <w:rFonts w:ascii="Times New Roman" w:hAnsi="Times New Roman" w:cs="Times New Roman"/>
          <w:sz w:val="24"/>
          <w:szCs w:val="24"/>
        </w:rPr>
        <w:t>)</w:t>
      </w:r>
      <w:r w:rsidR="00791F55" w:rsidRPr="00DB3E1C">
        <w:rPr>
          <w:rFonts w:ascii="Times New Roman" w:hAnsi="Times New Roman" w:cs="Times New Roman"/>
          <w:sz w:val="24"/>
          <w:szCs w:val="24"/>
        </w:rPr>
        <w:t xml:space="preserve">. </w:t>
      </w:r>
    </w:p>
    <w:p w14:paraId="33FBB883" w14:textId="1A8EE1F2" w:rsidR="00734DCA" w:rsidRPr="00DB3E1C" w:rsidRDefault="00EE581E" w:rsidP="00DB3E1C">
      <w:pPr>
        <w:pStyle w:val="SzanownaPani"/>
        <w:spacing w:after="120" w:line="360" w:lineRule="auto"/>
        <w:jc w:val="both"/>
        <w:rPr>
          <w:rFonts w:ascii="Times New Roman" w:hAnsi="Times New Roman" w:cs="Times New Roman"/>
          <w:sz w:val="24"/>
          <w:szCs w:val="24"/>
        </w:rPr>
      </w:pPr>
      <w:r w:rsidRPr="00DB3E1C">
        <w:rPr>
          <w:rFonts w:ascii="Times New Roman" w:hAnsi="Times New Roman" w:cs="Times New Roman"/>
          <w:sz w:val="24"/>
          <w:szCs w:val="24"/>
        </w:rPr>
        <w:t>Proponowane zmiany, realizując cel</w:t>
      </w:r>
      <w:r w:rsidR="00A05BC0">
        <w:rPr>
          <w:rFonts w:ascii="Times New Roman" w:hAnsi="Times New Roman" w:cs="Times New Roman"/>
          <w:sz w:val="24"/>
          <w:szCs w:val="24"/>
        </w:rPr>
        <w:t>,</w:t>
      </w:r>
      <w:r w:rsidRPr="00DB3E1C">
        <w:rPr>
          <w:rFonts w:ascii="Times New Roman" w:hAnsi="Times New Roman" w:cs="Times New Roman"/>
          <w:sz w:val="24"/>
          <w:szCs w:val="24"/>
        </w:rPr>
        <w:t xml:space="preserve"> jakim jest dostosowanie przepisów CIT do wyroków TSUE, mają </w:t>
      </w:r>
      <w:r w:rsidRPr="00DB3E1C">
        <w:rPr>
          <w:rFonts w:ascii="Times New Roman" w:hAnsi="Times New Roman" w:cs="Times New Roman"/>
          <w:b/>
          <w:bCs/>
          <w:sz w:val="24"/>
          <w:szCs w:val="24"/>
        </w:rPr>
        <w:t>charakter korzystny dla podatników</w:t>
      </w:r>
      <w:r w:rsidRPr="00DB3E1C">
        <w:rPr>
          <w:rFonts w:ascii="Times New Roman" w:hAnsi="Times New Roman" w:cs="Times New Roman"/>
          <w:sz w:val="24"/>
          <w:szCs w:val="24"/>
        </w:rPr>
        <w:t xml:space="preserve"> (zagranicznych funduszy inwestycyjnych</w:t>
      </w:r>
      <w:r w:rsidR="00734DCA" w:rsidRPr="00DB3E1C">
        <w:rPr>
          <w:rFonts w:ascii="Times New Roman" w:hAnsi="Times New Roman" w:cs="Times New Roman"/>
          <w:sz w:val="24"/>
          <w:szCs w:val="24"/>
        </w:rPr>
        <w:t xml:space="preserve"> i emerytalnych</w:t>
      </w:r>
      <w:r w:rsidRPr="00DB3E1C">
        <w:rPr>
          <w:rFonts w:ascii="Times New Roman" w:hAnsi="Times New Roman" w:cs="Times New Roman"/>
          <w:sz w:val="24"/>
          <w:szCs w:val="24"/>
        </w:rPr>
        <w:t xml:space="preserve">). Rozszerzają bowiem zwolnienie z CIT (tj. w praktyce zwolnienie z WHT na </w:t>
      </w:r>
      <w:r w:rsidRPr="00DB3E1C">
        <w:rPr>
          <w:rFonts w:ascii="Times New Roman" w:hAnsi="Times New Roman" w:cs="Times New Roman"/>
          <w:sz w:val="24"/>
          <w:szCs w:val="24"/>
        </w:rPr>
        <w:lastRenderedPageBreak/>
        <w:t>płatnościach takich jak dywidendy i odsetki)</w:t>
      </w:r>
      <w:r w:rsidR="00A05BC0">
        <w:rPr>
          <w:rFonts w:ascii="Times New Roman" w:hAnsi="Times New Roman" w:cs="Times New Roman"/>
          <w:sz w:val="24"/>
          <w:szCs w:val="24"/>
        </w:rPr>
        <w:t>,</w:t>
      </w:r>
      <w:r w:rsidRPr="00DB3E1C">
        <w:rPr>
          <w:rFonts w:ascii="Times New Roman" w:hAnsi="Times New Roman" w:cs="Times New Roman"/>
          <w:sz w:val="24"/>
          <w:szCs w:val="24"/>
        </w:rPr>
        <w:t xml:space="preserve"> </w:t>
      </w:r>
      <w:r w:rsidRPr="00DB3E1C">
        <w:rPr>
          <w:rFonts w:ascii="Times New Roman" w:hAnsi="Times New Roman" w:cs="Times New Roman"/>
          <w:b/>
          <w:bCs/>
          <w:sz w:val="24"/>
          <w:szCs w:val="24"/>
        </w:rPr>
        <w:t>umożliwiając skorzystanie ze zwolnienia z WHT również przez fundusze z państw trzecich i przez fundusze zarządzane wewnętrznie, o ile spełniają pozostałe ustawowe warunki</w:t>
      </w:r>
      <w:r w:rsidR="00B76514" w:rsidRPr="00DB3E1C">
        <w:rPr>
          <w:rFonts w:ascii="Times New Roman" w:hAnsi="Times New Roman" w:cs="Times New Roman"/>
          <w:b/>
          <w:bCs/>
          <w:sz w:val="24"/>
          <w:szCs w:val="24"/>
        </w:rPr>
        <w:t>, w szczególności posiadają odpowiednie zezwolenia organów nadzoru</w:t>
      </w:r>
      <w:r w:rsidRPr="00DB3E1C">
        <w:rPr>
          <w:rFonts w:ascii="Times New Roman" w:hAnsi="Times New Roman" w:cs="Times New Roman"/>
          <w:sz w:val="24"/>
          <w:szCs w:val="24"/>
        </w:rPr>
        <w:t>.</w:t>
      </w:r>
      <w:r w:rsidR="005D0CDF" w:rsidRPr="00DB3E1C">
        <w:rPr>
          <w:rFonts w:ascii="Times New Roman" w:hAnsi="Times New Roman" w:cs="Times New Roman"/>
          <w:sz w:val="24"/>
          <w:szCs w:val="24"/>
        </w:rPr>
        <w:t xml:space="preserve"> </w:t>
      </w:r>
    </w:p>
    <w:p w14:paraId="3770D717" w14:textId="77777777" w:rsidR="00734DCA" w:rsidRPr="00DB3E1C" w:rsidRDefault="00734DCA" w:rsidP="00DB3E1C">
      <w:pPr>
        <w:pStyle w:val="SzanownaPani"/>
        <w:spacing w:after="120" w:line="360" w:lineRule="auto"/>
        <w:jc w:val="both"/>
        <w:rPr>
          <w:rFonts w:ascii="Times New Roman" w:hAnsi="Times New Roman" w:cs="Times New Roman"/>
          <w:sz w:val="24"/>
          <w:szCs w:val="24"/>
        </w:rPr>
      </w:pPr>
    </w:p>
    <w:p w14:paraId="4ACEF9CC" w14:textId="4C30CAC0" w:rsidR="00B76514" w:rsidRPr="00DB3E1C" w:rsidRDefault="00B76514" w:rsidP="00DB3E1C">
      <w:pPr>
        <w:pStyle w:val="SzanownaPani"/>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t>C</w:t>
      </w:r>
      <w:r w:rsidR="009E3DC6" w:rsidRPr="00DB3E1C">
        <w:rPr>
          <w:rFonts w:ascii="Times New Roman" w:hAnsi="Times New Roman" w:cs="Times New Roman"/>
          <w:sz w:val="24"/>
          <w:szCs w:val="24"/>
        </w:rPr>
        <w:t>elem zwolnienia pozostaje, jak dotychczas, zapewnienie neutralności podatkowej funduszy inwestycyjnych jako form zbiorowego inwestowania, tj. uniknięcie podwójnego opodatkowania inwestorów działających poprzez fundusz inwestycyjny względem inwestycji bezpośrednich</w:t>
      </w:r>
      <w:r w:rsidRPr="00DB3E1C">
        <w:rPr>
          <w:rFonts w:ascii="Times New Roman" w:hAnsi="Times New Roman" w:cs="Times New Roman"/>
          <w:sz w:val="24"/>
          <w:szCs w:val="24"/>
        </w:rPr>
        <w:t>, przy warunkach niepowodujących dyskryminacji w świetle wspólnotowej zasady swobody przepływu kapitału</w:t>
      </w:r>
      <w:r w:rsidR="009E3DC6" w:rsidRPr="00DB3E1C">
        <w:rPr>
          <w:rFonts w:ascii="Times New Roman" w:hAnsi="Times New Roman" w:cs="Times New Roman"/>
          <w:sz w:val="24"/>
          <w:szCs w:val="24"/>
        </w:rPr>
        <w:t xml:space="preserve">. Zwolnienie nie powinno przysługiwać jednak dla celów sprzecznych z przedstawionym wyżej kierunkowym celem zwolnienia, w szczególności w przypadku struktur o charakterze sztucznym ustanowionych głównie dla celów podatkowych. Stąd, </w:t>
      </w:r>
      <w:r w:rsidR="009E3DC6" w:rsidRPr="00DB3E1C">
        <w:rPr>
          <w:rFonts w:ascii="Times New Roman" w:hAnsi="Times New Roman" w:cs="Times New Roman"/>
          <w:b/>
          <w:bCs/>
          <w:sz w:val="24"/>
          <w:szCs w:val="24"/>
        </w:rPr>
        <w:t>mając na względzie znaczne rozszerzenie zakresu zwolnienia na fundusze inwestycyjne</w:t>
      </w:r>
      <w:r w:rsidR="00C011F7" w:rsidRPr="00DB3E1C">
        <w:rPr>
          <w:rFonts w:ascii="Times New Roman" w:hAnsi="Times New Roman" w:cs="Times New Roman"/>
          <w:b/>
          <w:bCs/>
          <w:sz w:val="24"/>
          <w:szCs w:val="24"/>
        </w:rPr>
        <w:t xml:space="preserve"> i emerytalne</w:t>
      </w:r>
      <w:r w:rsidR="009E3DC6" w:rsidRPr="00DB3E1C">
        <w:rPr>
          <w:rFonts w:ascii="Times New Roman" w:hAnsi="Times New Roman" w:cs="Times New Roman"/>
          <w:b/>
          <w:bCs/>
          <w:sz w:val="24"/>
          <w:szCs w:val="24"/>
        </w:rPr>
        <w:t xml:space="preserve"> z różnych państw </w:t>
      </w:r>
      <w:r w:rsidR="00C011F7" w:rsidRPr="00DB3E1C">
        <w:rPr>
          <w:rFonts w:ascii="Times New Roman" w:hAnsi="Times New Roman" w:cs="Times New Roman"/>
          <w:b/>
          <w:bCs/>
          <w:sz w:val="24"/>
          <w:szCs w:val="24"/>
        </w:rPr>
        <w:t>oraz</w:t>
      </w:r>
      <w:r w:rsidR="009E3DC6" w:rsidRPr="00DB3E1C">
        <w:rPr>
          <w:rFonts w:ascii="Times New Roman" w:hAnsi="Times New Roman" w:cs="Times New Roman"/>
          <w:b/>
          <w:bCs/>
          <w:sz w:val="24"/>
          <w:szCs w:val="24"/>
        </w:rPr>
        <w:t xml:space="preserve"> działające w różnych ramach regulacyjnych</w:t>
      </w:r>
      <w:r w:rsidR="0035032D" w:rsidRPr="00DB3E1C">
        <w:rPr>
          <w:rFonts w:ascii="Times New Roman" w:hAnsi="Times New Roman" w:cs="Times New Roman"/>
          <w:b/>
          <w:bCs/>
          <w:sz w:val="24"/>
          <w:szCs w:val="24"/>
        </w:rPr>
        <w:t>,</w:t>
      </w:r>
      <w:r w:rsidR="009E3DC6" w:rsidRPr="00DB3E1C">
        <w:rPr>
          <w:rFonts w:ascii="Times New Roman" w:hAnsi="Times New Roman" w:cs="Times New Roman"/>
          <w:b/>
          <w:bCs/>
          <w:sz w:val="24"/>
          <w:szCs w:val="24"/>
        </w:rPr>
        <w:t xml:space="preserve"> przedłożony projekt przewiduje również</w:t>
      </w:r>
      <w:r w:rsidR="005D0CDF" w:rsidRPr="00DB3E1C">
        <w:rPr>
          <w:rFonts w:ascii="Times New Roman" w:hAnsi="Times New Roman" w:cs="Times New Roman"/>
          <w:b/>
          <w:bCs/>
          <w:sz w:val="24"/>
          <w:szCs w:val="24"/>
        </w:rPr>
        <w:t xml:space="preserve"> przepisy stanowiące swojego rodzaju</w:t>
      </w:r>
      <w:r w:rsidR="005D0CDF" w:rsidRPr="00DB3E1C">
        <w:rPr>
          <w:rFonts w:ascii="Times New Roman" w:hAnsi="Times New Roman" w:cs="Times New Roman"/>
          <w:sz w:val="24"/>
          <w:szCs w:val="24"/>
        </w:rPr>
        <w:t xml:space="preserve"> </w:t>
      </w:r>
      <w:r w:rsidR="005D0CDF" w:rsidRPr="00DB3E1C">
        <w:rPr>
          <w:rFonts w:ascii="Times New Roman" w:hAnsi="Times New Roman" w:cs="Times New Roman"/>
          <w:b/>
          <w:bCs/>
          <w:sz w:val="24"/>
          <w:szCs w:val="24"/>
        </w:rPr>
        <w:t>zabezpieczenie przed nadużywaniem prawa do zwolnienia</w:t>
      </w:r>
      <w:r w:rsidR="005D0CDF" w:rsidRPr="00DB3E1C">
        <w:rPr>
          <w:rFonts w:ascii="Times New Roman" w:hAnsi="Times New Roman" w:cs="Times New Roman"/>
          <w:sz w:val="24"/>
          <w:szCs w:val="24"/>
        </w:rPr>
        <w:t>:</w:t>
      </w:r>
    </w:p>
    <w:p w14:paraId="5B442733" w14:textId="7A0FDE53" w:rsidR="005D0CDF" w:rsidRPr="00DB3E1C" w:rsidRDefault="005D0CDF" w:rsidP="00DB3E1C">
      <w:pPr>
        <w:pStyle w:val="Akapitzlist"/>
        <w:numPr>
          <w:ilvl w:val="0"/>
          <w:numId w:val="8"/>
        </w:numPr>
        <w:autoSpaceDE w:val="0"/>
        <w:autoSpaceDN w:val="0"/>
        <w:spacing w:after="0" w:line="360" w:lineRule="auto"/>
        <w:ind w:left="714" w:hanging="357"/>
        <w:jc w:val="both"/>
        <w:rPr>
          <w:rFonts w:ascii="Times New Roman" w:hAnsi="Times New Roman" w:cs="Times New Roman"/>
          <w:sz w:val="24"/>
          <w:szCs w:val="24"/>
          <w:shd w:val="clear" w:color="auto" w:fill="FFFFFF"/>
        </w:rPr>
      </w:pPr>
      <w:r w:rsidRPr="00DB3E1C">
        <w:rPr>
          <w:rFonts w:ascii="Times New Roman" w:hAnsi="Times New Roman" w:cs="Times New Roman"/>
          <w:sz w:val="24"/>
          <w:szCs w:val="24"/>
          <w:shd w:val="clear" w:color="auto" w:fill="FFFFFF"/>
        </w:rPr>
        <w:t>dodatkowe wymogi w zakresie automatycznej wymiany informacji o rachunkach raportowanych</w:t>
      </w:r>
      <w:r w:rsidR="003231F1">
        <w:rPr>
          <w:rFonts w:ascii="Times New Roman" w:hAnsi="Times New Roman" w:cs="Times New Roman"/>
          <w:sz w:val="24"/>
          <w:szCs w:val="24"/>
          <w:shd w:val="clear" w:color="auto" w:fill="FFFFFF"/>
        </w:rPr>
        <w:t xml:space="preserve"> </w:t>
      </w:r>
      <w:r w:rsidRPr="00DB3E1C">
        <w:rPr>
          <w:rFonts w:ascii="Times New Roman" w:hAnsi="Times New Roman" w:cs="Times New Roman"/>
          <w:sz w:val="24"/>
          <w:szCs w:val="24"/>
          <w:shd w:val="clear" w:color="auto" w:fill="FFFFFF"/>
        </w:rPr>
        <w:t>(Oznacza to, że państw</w:t>
      </w:r>
      <w:r w:rsidR="00734DCA" w:rsidRPr="00DB3E1C">
        <w:rPr>
          <w:rFonts w:ascii="Times New Roman" w:hAnsi="Times New Roman" w:cs="Times New Roman"/>
          <w:sz w:val="24"/>
          <w:szCs w:val="24"/>
          <w:shd w:val="clear" w:color="auto" w:fill="FFFFFF"/>
        </w:rPr>
        <w:t>o</w:t>
      </w:r>
      <w:r w:rsidRPr="00DB3E1C">
        <w:rPr>
          <w:rFonts w:ascii="Times New Roman" w:hAnsi="Times New Roman" w:cs="Times New Roman"/>
          <w:sz w:val="24"/>
          <w:szCs w:val="24"/>
          <w:shd w:val="clear" w:color="auto" w:fill="FFFFFF"/>
        </w:rPr>
        <w:t xml:space="preserve"> siedziby funduszu inwestycyjnego powinn</w:t>
      </w:r>
      <w:r w:rsidR="00734DCA" w:rsidRPr="00DB3E1C">
        <w:rPr>
          <w:rFonts w:ascii="Times New Roman" w:hAnsi="Times New Roman" w:cs="Times New Roman"/>
          <w:sz w:val="24"/>
          <w:szCs w:val="24"/>
          <w:shd w:val="clear" w:color="auto" w:fill="FFFFFF"/>
        </w:rPr>
        <w:t>o być stroną wielostronnego porozumienia</w:t>
      </w:r>
      <w:r w:rsidRPr="00DB3E1C">
        <w:rPr>
          <w:rFonts w:ascii="Times New Roman" w:hAnsi="Times New Roman" w:cs="Times New Roman"/>
          <w:sz w:val="24"/>
          <w:szCs w:val="24"/>
          <w:shd w:val="clear" w:color="auto" w:fill="FFFFFF"/>
        </w:rPr>
        <w:t xml:space="preserve"> </w:t>
      </w:r>
      <w:r w:rsidRPr="00DB3E1C">
        <w:rPr>
          <w:rFonts w:ascii="Times New Roman" w:hAnsi="Times New Roman" w:cs="Times New Roman"/>
          <w:sz w:val="24"/>
          <w:szCs w:val="24"/>
        </w:rPr>
        <w:t>dotycząc</w:t>
      </w:r>
      <w:r w:rsidR="00734DCA" w:rsidRPr="00DB3E1C">
        <w:rPr>
          <w:rFonts w:ascii="Times New Roman" w:hAnsi="Times New Roman" w:cs="Times New Roman"/>
          <w:sz w:val="24"/>
          <w:szCs w:val="24"/>
        </w:rPr>
        <w:t>ego</w:t>
      </w:r>
      <w:r w:rsidRPr="00DB3E1C">
        <w:rPr>
          <w:rFonts w:ascii="Times New Roman" w:hAnsi="Times New Roman" w:cs="Times New Roman"/>
          <w:sz w:val="24"/>
          <w:szCs w:val="24"/>
        </w:rPr>
        <w:t xml:space="preserve"> automatycznej wymiany informacji podatkowych w ramach standardu CRS lub </w:t>
      </w:r>
      <w:r w:rsidR="00734DCA" w:rsidRPr="00DB3E1C">
        <w:rPr>
          <w:rFonts w:ascii="Times New Roman" w:hAnsi="Times New Roman" w:cs="Times New Roman"/>
          <w:sz w:val="24"/>
          <w:szCs w:val="24"/>
        </w:rPr>
        <w:t xml:space="preserve">podlegać wymogom </w:t>
      </w:r>
      <w:r w:rsidRPr="00DB3E1C">
        <w:rPr>
          <w:rFonts w:ascii="Times New Roman" w:hAnsi="Times New Roman" w:cs="Times New Roman"/>
          <w:sz w:val="24"/>
          <w:szCs w:val="24"/>
        </w:rPr>
        <w:t xml:space="preserve">FATCA, </w:t>
      </w:r>
      <w:r w:rsidR="00734DCA" w:rsidRPr="00DB3E1C">
        <w:rPr>
          <w:rFonts w:ascii="Times New Roman" w:hAnsi="Times New Roman" w:cs="Times New Roman"/>
          <w:sz w:val="24"/>
          <w:szCs w:val="24"/>
        </w:rPr>
        <w:t xml:space="preserve">co </w:t>
      </w:r>
      <w:r w:rsidRPr="00DB3E1C">
        <w:rPr>
          <w:rFonts w:ascii="Times New Roman" w:hAnsi="Times New Roman" w:cs="Times New Roman"/>
          <w:sz w:val="24"/>
          <w:szCs w:val="24"/>
        </w:rPr>
        <w:t>umożliwi uzyskiwanie przez Szefa KAS informacji o rachunkach</w:t>
      </w:r>
      <w:r w:rsidR="003231F1">
        <w:rPr>
          <w:rFonts w:ascii="Times New Roman" w:hAnsi="Times New Roman" w:cs="Times New Roman"/>
          <w:sz w:val="24"/>
          <w:szCs w:val="24"/>
        </w:rPr>
        <w:t xml:space="preserve"> </w:t>
      </w:r>
      <w:r w:rsidRPr="00DB3E1C">
        <w:rPr>
          <w:rFonts w:ascii="Times New Roman" w:hAnsi="Times New Roman" w:cs="Times New Roman"/>
          <w:sz w:val="24"/>
          <w:szCs w:val="24"/>
        </w:rPr>
        <w:t>prowadzonych przez instytucje wspólnego inwestowania na rzecz polskich rezydentów. W przypadku państw członkowskich UE warunek ten realizowany jest poprzez wdrożenie odpowiednich dyrektyw unijnych dotyczących automatycznej wymiany informacji</w:t>
      </w:r>
      <w:r w:rsidR="00734DCA" w:rsidRPr="00DB3E1C">
        <w:rPr>
          <w:rFonts w:ascii="Times New Roman" w:hAnsi="Times New Roman" w:cs="Times New Roman"/>
          <w:sz w:val="24"/>
          <w:szCs w:val="24"/>
        </w:rPr>
        <w:t xml:space="preserve"> – stąd proponowane zmiany nie wpływają negatywnie na te państwa</w:t>
      </w:r>
      <w:r w:rsidR="00E712DF" w:rsidRPr="00DB3E1C">
        <w:rPr>
          <w:rFonts w:ascii="Times New Roman" w:hAnsi="Times New Roman" w:cs="Times New Roman"/>
          <w:sz w:val="24"/>
          <w:szCs w:val="24"/>
        </w:rPr>
        <w:t xml:space="preserve"> i </w:t>
      </w:r>
      <w:r w:rsidR="00D24BD3" w:rsidRPr="00DB3E1C">
        <w:rPr>
          <w:rFonts w:ascii="Times New Roman" w:hAnsi="Times New Roman" w:cs="Times New Roman"/>
          <w:sz w:val="24"/>
          <w:szCs w:val="24"/>
        </w:rPr>
        <w:t>nie ograniczają</w:t>
      </w:r>
      <w:r w:rsidR="00E712DF" w:rsidRPr="00DB3E1C">
        <w:rPr>
          <w:rFonts w:ascii="Times New Roman" w:hAnsi="Times New Roman" w:cs="Times New Roman"/>
          <w:sz w:val="24"/>
          <w:szCs w:val="24"/>
        </w:rPr>
        <w:t xml:space="preserve"> praw podmiotów z siedzibą w UE</w:t>
      </w:r>
      <w:r w:rsidRPr="00DB3E1C">
        <w:rPr>
          <w:rFonts w:ascii="Times New Roman" w:hAnsi="Times New Roman" w:cs="Times New Roman"/>
          <w:sz w:val="24"/>
          <w:szCs w:val="24"/>
        </w:rPr>
        <w:t>.)</w:t>
      </w:r>
      <w:r w:rsidR="00A05BC0">
        <w:rPr>
          <w:rFonts w:ascii="Times New Roman" w:hAnsi="Times New Roman" w:cs="Times New Roman"/>
          <w:sz w:val="24"/>
          <w:szCs w:val="24"/>
        </w:rPr>
        <w:t>,</w:t>
      </w:r>
    </w:p>
    <w:p w14:paraId="60A0C098" w14:textId="1824138D" w:rsidR="005D0CDF" w:rsidRPr="00DB3E1C" w:rsidRDefault="005D0CDF" w:rsidP="00DB3E1C">
      <w:pPr>
        <w:numPr>
          <w:ilvl w:val="0"/>
          <w:numId w:val="6"/>
        </w:numPr>
        <w:autoSpaceDE w:val="0"/>
        <w:autoSpaceDN w:val="0"/>
        <w:spacing w:line="360" w:lineRule="auto"/>
        <w:ind w:left="714" w:hanging="357"/>
        <w:jc w:val="both"/>
        <w:rPr>
          <w:rFonts w:ascii="Times New Roman" w:hAnsi="Times New Roman" w:cs="Times New Roman"/>
          <w:sz w:val="24"/>
          <w:szCs w:val="24"/>
          <w:shd w:val="clear" w:color="auto" w:fill="FFFFFF"/>
        </w:rPr>
      </w:pPr>
      <w:r w:rsidRPr="00DB3E1C">
        <w:rPr>
          <w:rFonts w:ascii="Times New Roman" w:hAnsi="Times New Roman" w:cs="Times New Roman"/>
          <w:sz w:val="24"/>
          <w:szCs w:val="24"/>
          <w:shd w:val="clear" w:color="auto" w:fill="FFFFFF"/>
        </w:rPr>
        <w:t>możliwość zakwestionowania prawa do zwolnienia w przypadku nadużyć stwierdzonych na podstawie art. 22c ustawy CIT, tj. struktur o sztucznym charakterze</w:t>
      </w:r>
      <w:r w:rsidR="00172215" w:rsidRPr="00DB3E1C">
        <w:rPr>
          <w:rFonts w:ascii="Times New Roman" w:hAnsi="Times New Roman" w:cs="Times New Roman"/>
          <w:sz w:val="24"/>
          <w:szCs w:val="24"/>
          <w:shd w:val="clear" w:color="auto" w:fill="FFFFFF"/>
        </w:rPr>
        <w:t xml:space="preserve"> (Szczególny mechanizm anty-abuzywny zawarty w art. 22c stosowany jest przede wszystkim w odniesieniu do dywidend i płatności odsetkowych objętych zwolnieniem</w:t>
      </w:r>
      <w:r w:rsidR="00B5710A" w:rsidRPr="00DB3E1C">
        <w:rPr>
          <w:rFonts w:ascii="Times New Roman" w:hAnsi="Times New Roman" w:cs="Times New Roman"/>
          <w:sz w:val="24"/>
          <w:szCs w:val="24"/>
          <w:shd w:val="clear" w:color="auto" w:fill="FFFFFF"/>
        </w:rPr>
        <w:t xml:space="preserve"> z WHT</w:t>
      </w:r>
      <w:r w:rsidR="00172215" w:rsidRPr="00DB3E1C">
        <w:rPr>
          <w:rFonts w:ascii="Times New Roman" w:hAnsi="Times New Roman" w:cs="Times New Roman"/>
          <w:sz w:val="24"/>
          <w:szCs w:val="24"/>
          <w:shd w:val="clear" w:color="auto" w:fill="FFFFFF"/>
        </w:rPr>
        <w:t xml:space="preserve"> na podstawie dyrektyw </w:t>
      </w:r>
      <w:r w:rsidR="00172215" w:rsidRPr="00DB3E1C">
        <w:rPr>
          <w:rFonts w:ascii="Times New Roman" w:hAnsi="Times New Roman" w:cs="Times New Roman"/>
          <w:i/>
          <w:iCs/>
          <w:sz w:val="24"/>
          <w:szCs w:val="24"/>
          <w:shd w:val="clear" w:color="auto" w:fill="FFFFFF"/>
        </w:rPr>
        <w:t>Parent Subsidiary</w:t>
      </w:r>
      <w:r w:rsidR="00172215" w:rsidRPr="00DB3E1C">
        <w:rPr>
          <w:rFonts w:ascii="Times New Roman" w:hAnsi="Times New Roman" w:cs="Times New Roman"/>
          <w:sz w:val="24"/>
          <w:szCs w:val="24"/>
          <w:shd w:val="clear" w:color="auto" w:fill="FFFFFF"/>
        </w:rPr>
        <w:t xml:space="preserve"> i </w:t>
      </w:r>
      <w:r w:rsidR="00172215" w:rsidRPr="00DB3E1C">
        <w:rPr>
          <w:rFonts w:ascii="Times New Roman" w:hAnsi="Times New Roman" w:cs="Times New Roman"/>
          <w:i/>
          <w:iCs/>
          <w:sz w:val="24"/>
          <w:szCs w:val="24"/>
          <w:shd w:val="clear" w:color="auto" w:fill="FFFFFF"/>
        </w:rPr>
        <w:t>Interest&amp;Royalties</w:t>
      </w:r>
      <w:r w:rsidR="00172215" w:rsidRPr="00DB3E1C">
        <w:rPr>
          <w:rFonts w:ascii="Times New Roman" w:hAnsi="Times New Roman" w:cs="Times New Roman"/>
          <w:sz w:val="24"/>
          <w:szCs w:val="24"/>
          <w:shd w:val="clear" w:color="auto" w:fill="FFFFFF"/>
        </w:rPr>
        <w:t>, jak również</w:t>
      </w:r>
      <w:r w:rsidR="00D24BD3" w:rsidRPr="00DB3E1C">
        <w:rPr>
          <w:rFonts w:ascii="Times New Roman" w:hAnsi="Times New Roman" w:cs="Times New Roman"/>
          <w:sz w:val="24"/>
          <w:szCs w:val="24"/>
          <w:shd w:val="clear" w:color="auto" w:fill="FFFFFF"/>
        </w:rPr>
        <w:t xml:space="preserve"> objętych</w:t>
      </w:r>
      <w:r w:rsidR="00172215" w:rsidRPr="00DB3E1C">
        <w:rPr>
          <w:rFonts w:ascii="Times New Roman" w:hAnsi="Times New Roman" w:cs="Times New Roman"/>
          <w:sz w:val="24"/>
          <w:szCs w:val="24"/>
          <w:shd w:val="clear" w:color="auto" w:fill="FFFFFF"/>
        </w:rPr>
        <w:t xml:space="preserve"> innymi zwolnieniami</w:t>
      </w:r>
      <w:r w:rsidRPr="00DB3E1C">
        <w:rPr>
          <w:rFonts w:ascii="Times New Roman" w:hAnsi="Times New Roman" w:cs="Times New Roman"/>
          <w:sz w:val="24"/>
          <w:szCs w:val="24"/>
          <w:shd w:val="clear" w:color="auto" w:fill="FFFFFF"/>
        </w:rPr>
        <w:t>.</w:t>
      </w:r>
      <w:r w:rsidR="00172215" w:rsidRPr="00DB3E1C">
        <w:rPr>
          <w:rFonts w:ascii="Times New Roman" w:hAnsi="Times New Roman" w:cs="Times New Roman"/>
          <w:sz w:val="24"/>
          <w:szCs w:val="24"/>
          <w:shd w:val="clear" w:color="auto" w:fill="FFFFFF"/>
        </w:rPr>
        <w:t xml:space="preserve"> Stąd właściwe jest </w:t>
      </w:r>
      <w:r w:rsidR="00B5710A" w:rsidRPr="00DB3E1C">
        <w:rPr>
          <w:rFonts w:ascii="Times New Roman" w:hAnsi="Times New Roman" w:cs="Times New Roman"/>
          <w:sz w:val="24"/>
          <w:szCs w:val="24"/>
          <w:shd w:val="clear" w:color="auto" w:fill="FFFFFF"/>
        </w:rPr>
        <w:t xml:space="preserve">stosowanie klauzuli tej samej kategorii wobec dywidend i odsetek objętych zwolnieniem z WHT w oparciu o przepisy dla zagranicznych funduszy inwestycyjnych i emerytalnych, które </w:t>
      </w:r>
      <w:r w:rsidR="00A05BC0">
        <w:rPr>
          <w:rFonts w:ascii="Times New Roman" w:hAnsi="Times New Roman" w:cs="Times New Roman"/>
          <w:sz w:val="24"/>
          <w:szCs w:val="24"/>
          <w:shd w:val="clear" w:color="auto" w:fill="FFFFFF"/>
        </w:rPr>
        <w:t>–</w:t>
      </w:r>
      <w:r w:rsidR="00B5710A" w:rsidRPr="00DB3E1C">
        <w:rPr>
          <w:rFonts w:ascii="Times New Roman" w:hAnsi="Times New Roman" w:cs="Times New Roman"/>
          <w:sz w:val="24"/>
          <w:szCs w:val="24"/>
          <w:shd w:val="clear" w:color="auto" w:fill="FFFFFF"/>
        </w:rPr>
        <w:t xml:space="preserve"> poczynając od </w:t>
      </w:r>
      <w:r w:rsidR="00B5710A" w:rsidRPr="00DB3E1C">
        <w:rPr>
          <w:rFonts w:ascii="Times New Roman" w:hAnsi="Times New Roman" w:cs="Times New Roman"/>
          <w:sz w:val="24"/>
          <w:szCs w:val="24"/>
          <w:shd w:val="clear" w:color="auto" w:fill="FFFFFF"/>
        </w:rPr>
        <w:lastRenderedPageBreak/>
        <w:t xml:space="preserve">2011 r. </w:t>
      </w:r>
      <w:r w:rsidR="00A05BC0" w:rsidRPr="00A05BC0">
        <w:rPr>
          <w:rFonts w:ascii="Times New Roman" w:hAnsi="Times New Roman" w:cs="Times New Roman"/>
          <w:sz w:val="24"/>
          <w:szCs w:val="24"/>
          <w:shd w:val="clear" w:color="auto" w:fill="FFFFFF"/>
        </w:rPr>
        <w:t>–</w:t>
      </w:r>
      <w:r w:rsidR="00B5710A" w:rsidRPr="00DB3E1C">
        <w:rPr>
          <w:rFonts w:ascii="Times New Roman" w:hAnsi="Times New Roman" w:cs="Times New Roman"/>
          <w:sz w:val="24"/>
          <w:szCs w:val="24"/>
          <w:shd w:val="clear" w:color="auto" w:fill="FFFFFF"/>
        </w:rPr>
        <w:t xml:space="preserve"> zostały ustanowione i stopniowo rozszerzone zgodnie z wymogami prawa wspólnotowego</w:t>
      </w:r>
      <w:r w:rsidR="00D24BD3" w:rsidRPr="00DB3E1C">
        <w:rPr>
          <w:rFonts w:ascii="Times New Roman" w:hAnsi="Times New Roman" w:cs="Times New Roman"/>
          <w:sz w:val="24"/>
          <w:szCs w:val="24"/>
          <w:shd w:val="clear" w:color="auto" w:fill="FFFFFF"/>
        </w:rPr>
        <w:t>.</w:t>
      </w:r>
    </w:p>
    <w:p w14:paraId="558791E1" w14:textId="268E7DFD" w:rsidR="00E712DF" w:rsidRPr="00DB3E1C" w:rsidRDefault="00E712DF" w:rsidP="00DB3E1C">
      <w:pPr>
        <w:spacing w:line="360" w:lineRule="auto"/>
        <w:jc w:val="both"/>
        <w:rPr>
          <w:rFonts w:ascii="Times New Roman" w:hAnsi="Times New Roman" w:cs="Times New Roman"/>
          <w:color w:val="000000"/>
          <w:spacing w:val="-2"/>
          <w:sz w:val="24"/>
          <w:szCs w:val="24"/>
        </w:rPr>
      </w:pPr>
      <w:r w:rsidRPr="00DB3E1C">
        <w:rPr>
          <w:rFonts w:ascii="Times New Roman" w:hAnsi="Times New Roman" w:cs="Times New Roman"/>
          <w:sz w:val="24"/>
          <w:szCs w:val="24"/>
        </w:rPr>
        <w:t>Planuje się, iż proponowane zmiany wejdą w życie z dniem 1 stycznia 2026 r. Brak 6-miesięcznego vacatio legis uzasadniony jest koniecznoś</w:t>
      </w:r>
      <w:r w:rsidR="00172215" w:rsidRPr="00DB3E1C">
        <w:rPr>
          <w:rFonts w:ascii="Times New Roman" w:hAnsi="Times New Roman" w:cs="Times New Roman"/>
          <w:sz w:val="24"/>
          <w:szCs w:val="24"/>
        </w:rPr>
        <w:t>cią</w:t>
      </w:r>
      <w:r w:rsidRPr="00DB3E1C">
        <w:rPr>
          <w:rFonts w:ascii="Times New Roman" w:hAnsi="Times New Roman" w:cs="Times New Roman"/>
          <w:sz w:val="24"/>
          <w:szCs w:val="24"/>
        </w:rPr>
        <w:t xml:space="preserve"> dostosowania przepisów CIT do prawa wspólnotowego, tj. do wskazanego orzecznictwa TSUE, </w:t>
      </w:r>
      <w:r w:rsidRPr="00DB3E1C">
        <w:rPr>
          <w:rFonts w:ascii="Times New Roman" w:hAnsi="Times New Roman" w:cs="Times New Roman"/>
          <w:color w:val="000000"/>
          <w:spacing w:val="-2"/>
          <w:sz w:val="24"/>
          <w:szCs w:val="24"/>
        </w:rPr>
        <w:t xml:space="preserve">mając na uwadze istotne ryzyko procedury naruszeniowej dotyczące w szczególności wyroku w sprawie Emerging Markets z 2014 r. Te względy sprawiają, że </w:t>
      </w:r>
      <w:bookmarkStart w:id="1" w:name="_Hlk210987536"/>
      <w:r w:rsidRPr="00DB3E1C">
        <w:rPr>
          <w:rFonts w:ascii="Times New Roman" w:hAnsi="Times New Roman" w:cs="Times New Roman"/>
          <w:color w:val="000000"/>
          <w:spacing w:val="-2"/>
          <w:sz w:val="24"/>
          <w:szCs w:val="24"/>
        </w:rPr>
        <w:t>projektowane przepisy eliminujące wskazaną przez TSUE dyskryminację zagranicznych funduszy inwestycyjnych i emerytalnych powinny być przyjęte niezwłocznie.</w:t>
      </w:r>
    </w:p>
    <w:bookmarkEnd w:id="1"/>
    <w:p w14:paraId="7BA5C181" w14:textId="1868A293" w:rsidR="00E712DF" w:rsidRPr="00DB3E1C" w:rsidRDefault="00E712DF" w:rsidP="00DB3E1C">
      <w:pPr>
        <w:spacing w:before="240" w:after="240" w:line="360" w:lineRule="auto"/>
        <w:jc w:val="both"/>
        <w:rPr>
          <w:rFonts w:ascii="Times New Roman" w:hAnsi="Times New Roman" w:cs="Times New Roman"/>
          <w:color w:val="000000"/>
          <w:spacing w:val="-2"/>
          <w:sz w:val="24"/>
          <w:szCs w:val="24"/>
        </w:rPr>
      </w:pPr>
      <w:r w:rsidRPr="00DB3E1C">
        <w:rPr>
          <w:rFonts w:ascii="Times New Roman" w:hAnsi="Times New Roman" w:cs="Times New Roman"/>
          <w:b/>
          <w:bCs/>
          <w:sz w:val="24"/>
          <w:szCs w:val="24"/>
        </w:rPr>
        <w:t xml:space="preserve">W tym kontekście należy </w:t>
      </w:r>
      <w:r w:rsidR="00172215" w:rsidRPr="00DB3E1C">
        <w:rPr>
          <w:rFonts w:ascii="Times New Roman" w:hAnsi="Times New Roman" w:cs="Times New Roman"/>
          <w:b/>
          <w:bCs/>
          <w:sz w:val="24"/>
          <w:szCs w:val="24"/>
        </w:rPr>
        <w:t xml:space="preserve">ponownie </w:t>
      </w:r>
      <w:r w:rsidRPr="00DB3E1C">
        <w:rPr>
          <w:rFonts w:ascii="Times New Roman" w:hAnsi="Times New Roman" w:cs="Times New Roman"/>
          <w:b/>
          <w:bCs/>
          <w:sz w:val="24"/>
          <w:szCs w:val="24"/>
        </w:rPr>
        <w:t xml:space="preserve">podkreślić, </w:t>
      </w:r>
      <w:r w:rsidR="00A05BC0">
        <w:rPr>
          <w:rFonts w:ascii="Times New Roman" w:hAnsi="Times New Roman" w:cs="Times New Roman"/>
          <w:b/>
          <w:bCs/>
          <w:sz w:val="24"/>
          <w:szCs w:val="24"/>
        </w:rPr>
        <w:t xml:space="preserve">że </w:t>
      </w:r>
      <w:r w:rsidRPr="00DB3E1C">
        <w:rPr>
          <w:rFonts w:ascii="Times New Roman" w:hAnsi="Times New Roman" w:cs="Times New Roman"/>
          <w:b/>
          <w:bCs/>
          <w:sz w:val="24"/>
          <w:szCs w:val="24"/>
        </w:rPr>
        <w:t>projekt zawiera zmiany zdecydowanie korzystne dla podatników (</w:t>
      </w:r>
      <w:r w:rsidR="00172215" w:rsidRPr="00DB3E1C">
        <w:rPr>
          <w:rFonts w:ascii="Times New Roman" w:hAnsi="Times New Roman" w:cs="Times New Roman"/>
          <w:b/>
          <w:bCs/>
          <w:sz w:val="24"/>
          <w:szCs w:val="24"/>
        </w:rPr>
        <w:t>znaczące rozszerzenie warunków zwolnienia z CIT/WHT, przy przyjęciu pewnych ograniczeń przeciwdziałających nadużywaniu tak rozszerzonego zwolnienia</w:t>
      </w:r>
      <w:r w:rsidR="00D24BD3" w:rsidRPr="00DB3E1C">
        <w:rPr>
          <w:rFonts w:ascii="Times New Roman" w:hAnsi="Times New Roman" w:cs="Times New Roman"/>
          <w:b/>
          <w:bCs/>
          <w:sz w:val="24"/>
          <w:szCs w:val="24"/>
        </w:rPr>
        <w:t xml:space="preserve"> i uprawnieniu organów do weryfikacji, czy </w:t>
      </w:r>
      <w:r w:rsidR="00D8621B" w:rsidRPr="00DB3E1C">
        <w:rPr>
          <w:rFonts w:ascii="Times New Roman" w:hAnsi="Times New Roman" w:cs="Times New Roman"/>
          <w:b/>
          <w:bCs/>
          <w:sz w:val="24"/>
          <w:szCs w:val="24"/>
        </w:rPr>
        <w:t>zwolnienia nie</w:t>
      </w:r>
      <w:r w:rsidR="00D24BD3" w:rsidRPr="00DB3E1C">
        <w:rPr>
          <w:rFonts w:ascii="Times New Roman" w:hAnsi="Times New Roman" w:cs="Times New Roman"/>
          <w:b/>
          <w:bCs/>
          <w:sz w:val="24"/>
          <w:szCs w:val="24"/>
        </w:rPr>
        <w:t xml:space="preserve"> są wykorzystywane</w:t>
      </w:r>
      <w:r w:rsidR="00D8621B" w:rsidRPr="00DB3E1C">
        <w:rPr>
          <w:rFonts w:ascii="Times New Roman" w:hAnsi="Times New Roman" w:cs="Times New Roman"/>
          <w:b/>
          <w:bCs/>
          <w:sz w:val="24"/>
          <w:szCs w:val="24"/>
        </w:rPr>
        <w:t xml:space="preserve"> dla optymalizacji podatkowych w strukturach o sztucznym charakterze</w:t>
      </w:r>
      <w:r w:rsidR="00172215" w:rsidRPr="00DB3E1C">
        <w:rPr>
          <w:rFonts w:ascii="Times New Roman" w:hAnsi="Times New Roman" w:cs="Times New Roman"/>
          <w:b/>
          <w:bCs/>
          <w:sz w:val="24"/>
          <w:szCs w:val="24"/>
        </w:rPr>
        <w:t xml:space="preserve">). </w:t>
      </w:r>
      <w:r w:rsidR="00172215" w:rsidRPr="00DB3E1C">
        <w:rPr>
          <w:rFonts w:ascii="Times New Roman" w:hAnsi="Times New Roman" w:cs="Times New Roman"/>
          <w:sz w:val="24"/>
          <w:szCs w:val="24"/>
        </w:rPr>
        <w:t>Istotna jest także</w:t>
      </w:r>
      <w:r w:rsidR="003231F1">
        <w:rPr>
          <w:rFonts w:ascii="Times New Roman" w:hAnsi="Times New Roman" w:cs="Times New Roman"/>
          <w:b/>
          <w:bCs/>
          <w:sz w:val="24"/>
          <w:szCs w:val="24"/>
        </w:rPr>
        <w:t xml:space="preserve"> </w:t>
      </w:r>
      <w:r w:rsidRPr="00DB3E1C">
        <w:rPr>
          <w:rFonts w:ascii="Times New Roman" w:hAnsi="Times New Roman" w:cs="Times New Roman"/>
          <w:color w:val="000000"/>
          <w:spacing w:val="-2"/>
          <w:sz w:val="24"/>
          <w:szCs w:val="24"/>
        </w:rPr>
        <w:t xml:space="preserve">konieczność zredukowania </w:t>
      </w:r>
      <w:r w:rsidR="001146CB" w:rsidRPr="00DB3E1C">
        <w:rPr>
          <w:rFonts w:ascii="Times New Roman" w:hAnsi="Times New Roman" w:cs="Times New Roman"/>
          <w:color w:val="000000"/>
          <w:spacing w:val="-2"/>
          <w:sz w:val="24"/>
          <w:szCs w:val="24"/>
        </w:rPr>
        <w:t xml:space="preserve">istotnych </w:t>
      </w:r>
      <w:r w:rsidRPr="00DB3E1C">
        <w:rPr>
          <w:rFonts w:ascii="Times New Roman" w:hAnsi="Times New Roman" w:cs="Times New Roman"/>
          <w:color w:val="000000"/>
          <w:spacing w:val="-2"/>
          <w:sz w:val="24"/>
          <w:szCs w:val="24"/>
        </w:rPr>
        <w:t>wydatków budżetowych wynikając</w:t>
      </w:r>
      <w:r w:rsidR="001146CB" w:rsidRPr="00DB3E1C">
        <w:rPr>
          <w:rFonts w:ascii="Times New Roman" w:hAnsi="Times New Roman" w:cs="Times New Roman"/>
          <w:color w:val="000000"/>
          <w:spacing w:val="-2"/>
          <w:sz w:val="24"/>
          <w:szCs w:val="24"/>
        </w:rPr>
        <w:t>ych</w:t>
      </w:r>
      <w:r w:rsidRPr="00DB3E1C">
        <w:rPr>
          <w:rFonts w:ascii="Times New Roman" w:hAnsi="Times New Roman" w:cs="Times New Roman"/>
          <w:color w:val="000000"/>
          <w:spacing w:val="-2"/>
          <w:sz w:val="24"/>
          <w:szCs w:val="24"/>
        </w:rPr>
        <w:t xml:space="preserve"> z oprocentowania nadpłat i dużego obciążenia organów KAS i podatników w związku z czasochłonnymi postępowaniami o stwierdzenie nadpłaty.</w:t>
      </w:r>
    </w:p>
    <w:p w14:paraId="2088D090" w14:textId="77777777" w:rsidR="00F543AF" w:rsidRPr="00DB3E1C" w:rsidRDefault="00F543AF" w:rsidP="00DB3E1C">
      <w:pPr>
        <w:spacing w:before="240" w:after="240" w:line="360" w:lineRule="auto"/>
        <w:rPr>
          <w:rFonts w:ascii="Times New Roman" w:hAnsi="Times New Roman" w:cs="Times New Roman"/>
          <w:b/>
          <w:bCs/>
          <w:sz w:val="24"/>
          <w:szCs w:val="24"/>
        </w:rPr>
      </w:pPr>
      <w:r w:rsidRPr="00DB3E1C">
        <w:rPr>
          <w:rFonts w:ascii="Times New Roman" w:hAnsi="Times New Roman" w:cs="Times New Roman"/>
          <w:b/>
          <w:bCs/>
          <w:sz w:val="24"/>
          <w:szCs w:val="24"/>
        </w:rPr>
        <w:t xml:space="preserve">II. CZĘŚĆ SZCZEGÓŁOWA </w:t>
      </w:r>
    </w:p>
    <w:p w14:paraId="4C0F8822" w14:textId="58AAF99C" w:rsidR="00C443E5" w:rsidRPr="00DB3E1C" w:rsidRDefault="00672CED" w:rsidP="00DB3E1C">
      <w:pPr>
        <w:pStyle w:val="Akapitzlist"/>
        <w:numPr>
          <w:ilvl w:val="0"/>
          <w:numId w:val="3"/>
        </w:numPr>
        <w:spacing w:after="120" w:line="360" w:lineRule="auto"/>
        <w:ind w:left="426" w:hanging="284"/>
        <w:jc w:val="both"/>
        <w:rPr>
          <w:rFonts w:ascii="Times New Roman" w:eastAsia="Times New Roman" w:hAnsi="Times New Roman" w:cs="Times New Roman"/>
          <w:b/>
          <w:bCs/>
          <w:sz w:val="24"/>
          <w:szCs w:val="24"/>
          <w:lang w:eastAsia="pl-PL"/>
        </w:rPr>
      </w:pPr>
      <w:r w:rsidRPr="00DB3E1C">
        <w:rPr>
          <w:rFonts w:ascii="Times New Roman" w:eastAsia="Times New Roman" w:hAnsi="Times New Roman" w:cs="Times New Roman"/>
          <w:b/>
          <w:sz w:val="24"/>
          <w:szCs w:val="24"/>
          <w:lang w:eastAsia="pl-PL"/>
        </w:rPr>
        <w:t xml:space="preserve">Rezygnacja z </w:t>
      </w:r>
      <w:r w:rsidRPr="00DB3E1C">
        <w:rPr>
          <w:rFonts w:ascii="Times New Roman" w:eastAsia="Times New Roman" w:hAnsi="Times New Roman" w:cs="Times New Roman"/>
          <w:b/>
          <w:bCs/>
          <w:sz w:val="24"/>
          <w:szCs w:val="24"/>
        </w:rPr>
        <w:t>wymogu posiadania przez fundusz siedziby</w:t>
      </w:r>
      <w:r w:rsidRPr="00DB3E1C">
        <w:rPr>
          <w:rFonts w:ascii="Times New Roman" w:hAnsi="Times New Roman" w:cs="Times New Roman"/>
          <w:b/>
          <w:bCs/>
          <w:sz w:val="24"/>
          <w:szCs w:val="24"/>
          <w:shd w:val="clear" w:color="auto" w:fill="FFFFFF"/>
        </w:rPr>
        <w:t> w innym niż Rzeczpospolita Polska państwie członkowskim UE lub w innym państwie należącym do EOG</w:t>
      </w:r>
      <w:r w:rsidR="00A05BC0">
        <w:rPr>
          <w:rFonts w:ascii="Times New Roman" w:hAnsi="Times New Roman" w:cs="Times New Roman"/>
          <w:b/>
          <w:bCs/>
          <w:sz w:val="24"/>
          <w:szCs w:val="24"/>
          <w:shd w:val="clear" w:color="auto" w:fill="FFFFFF"/>
        </w:rPr>
        <w:t>.</w:t>
      </w:r>
      <w:r w:rsidR="00C443E5" w:rsidRPr="00DB3E1C">
        <w:rPr>
          <w:rFonts w:ascii="Times New Roman" w:hAnsi="Times New Roman" w:cs="Times New Roman"/>
          <w:b/>
          <w:bCs/>
          <w:sz w:val="24"/>
          <w:szCs w:val="24"/>
          <w:shd w:val="clear" w:color="auto" w:fill="FFFFFF"/>
        </w:rPr>
        <w:t xml:space="preserve"> </w:t>
      </w:r>
    </w:p>
    <w:p w14:paraId="48C294D6" w14:textId="66B06754" w:rsidR="00801789" w:rsidRPr="00DB3E1C" w:rsidRDefault="00B148DA" w:rsidP="00DB3E1C">
      <w:pPr>
        <w:autoSpaceDE w:val="0"/>
        <w:autoSpaceDN w:val="0"/>
        <w:spacing w:line="360" w:lineRule="auto"/>
        <w:jc w:val="both"/>
        <w:rPr>
          <w:rFonts w:ascii="Times New Roman" w:hAnsi="Times New Roman" w:cs="Times New Roman"/>
          <w:sz w:val="24"/>
          <w:szCs w:val="24"/>
          <w:shd w:val="clear" w:color="auto" w:fill="FFFFFF"/>
        </w:rPr>
      </w:pPr>
      <w:r w:rsidRPr="00DB3E1C">
        <w:rPr>
          <w:rFonts w:ascii="Times New Roman" w:eastAsia="Times New Roman" w:hAnsi="Times New Roman" w:cs="Times New Roman"/>
          <w:sz w:val="24"/>
          <w:szCs w:val="24"/>
        </w:rPr>
        <w:t>Po pierwsze projekt przewiduje</w:t>
      </w:r>
      <w:r w:rsidR="00801789" w:rsidRPr="00DB3E1C">
        <w:rPr>
          <w:rFonts w:ascii="Times New Roman" w:eastAsia="Times New Roman" w:hAnsi="Times New Roman" w:cs="Times New Roman"/>
          <w:sz w:val="24"/>
          <w:szCs w:val="24"/>
        </w:rPr>
        <w:t xml:space="preserve"> zmianę zdania wstępnego art. 6 ust. 1 pkt 10a oraz art. 17 ust. 1 pkt 58 ustawy CIT poprzez usunięcie wymogu posiadania przez fundusz</w:t>
      </w:r>
      <w:r w:rsidR="002755A7" w:rsidRPr="00DB3E1C">
        <w:rPr>
          <w:rFonts w:ascii="Times New Roman" w:eastAsia="Times New Roman" w:hAnsi="Times New Roman" w:cs="Times New Roman"/>
          <w:sz w:val="24"/>
          <w:szCs w:val="24"/>
        </w:rPr>
        <w:t xml:space="preserve"> inwestycyjny</w:t>
      </w:r>
      <w:r w:rsidR="00801789" w:rsidRPr="00DB3E1C">
        <w:rPr>
          <w:rFonts w:ascii="Times New Roman" w:eastAsia="Times New Roman" w:hAnsi="Times New Roman" w:cs="Times New Roman"/>
          <w:sz w:val="24"/>
          <w:szCs w:val="24"/>
        </w:rPr>
        <w:t xml:space="preserve"> siedziby </w:t>
      </w:r>
      <w:r w:rsidR="00801789" w:rsidRPr="00DB3E1C">
        <w:rPr>
          <w:rFonts w:ascii="Times New Roman" w:hAnsi="Times New Roman" w:cs="Times New Roman"/>
          <w:sz w:val="24"/>
          <w:szCs w:val="24"/>
          <w:shd w:val="clear" w:color="auto" w:fill="FFFFFF"/>
        </w:rPr>
        <w:t>w innym niż Rzeczpospolita Polska państwie członkowskim UE lub w innym państwie należącym do EOG.</w:t>
      </w:r>
      <w:r w:rsidR="002755A7" w:rsidRPr="00DB3E1C">
        <w:rPr>
          <w:rFonts w:ascii="Times New Roman" w:hAnsi="Times New Roman" w:cs="Times New Roman"/>
          <w:sz w:val="24"/>
          <w:szCs w:val="24"/>
          <w:shd w:val="clear" w:color="auto" w:fill="FFFFFF"/>
        </w:rPr>
        <w:t xml:space="preserve"> Podobną zmianę przewidziano w art. 6 ust. 1 pkt 11a w odniesieniu do zagranicznych funduszy emerytalnych.</w:t>
      </w:r>
      <w:r w:rsidR="00801789" w:rsidRPr="00DB3E1C">
        <w:rPr>
          <w:rFonts w:ascii="Times New Roman" w:hAnsi="Times New Roman" w:cs="Times New Roman"/>
          <w:sz w:val="24"/>
          <w:szCs w:val="24"/>
          <w:shd w:val="clear" w:color="auto" w:fill="FFFFFF"/>
        </w:rPr>
        <w:t xml:space="preserve"> </w:t>
      </w:r>
      <w:r w:rsidR="00D33047" w:rsidRPr="00DB3E1C">
        <w:rPr>
          <w:rFonts w:ascii="Times New Roman" w:hAnsi="Times New Roman" w:cs="Times New Roman"/>
          <w:sz w:val="24"/>
          <w:szCs w:val="24"/>
          <w:shd w:val="clear" w:color="auto" w:fill="FFFFFF"/>
        </w:rPr>
        <w:t>Tym samym zwolnienie nie będzie zawężone wyłącznie do instytucji wspólnego inwestowania</w:t>
      </w:r>
      <w:r w:rsidR="002755A7" w:rsidRPr="00DB3E1C">
        <w:rPr>
          <w:rFonts w:ascii="Times New Roman" w:hAnsi="Times New Roman" w:cs="Times New Roman"/>
          <w:sz w:val="24"/>
          <w:szCs w:val="24"/>
          <w:shd w:val="clear" w:color="auto" w:fill="FFFFFF"/>
        </w:rPr>
        <w:t xml:space="preserve"> i podatników prowadzących programy emerytalne,</w:t>
      </w:r>
      <w:r w:rsidR="00D33047" w:rsidRPr="00DB3E1C">
        <w:rPr>
          <w:rFonts w:ascii="Times New Roman" w:hAnsi="Times New Roman" w:cs="Times New Roman"/>
          <w:sz w:val="24"/>
          <w:szCs w:val="24"/>
          <w:shd w:val="clear" w:color="auto" w:fill="FFFFFF"/>
        </w:rPr>
        <w:t xml:space="preserve"> z siedzibą w innych państwach UE/EOG.</w:t>
      </w:r>
    </w:p>
    <w:p w14:paraId="05C312E1" w14:textId="372811A0" w:rsidR="009A5698" w:rsidRPr="00DB3E1C" w:rsidRDefault="00D33047" w:rsidP="00DB3E1C">
      <w:pPr>
        <w:spacing w:before="240" w:after="24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Jak zasygnalizowano w części wstępnej, podstawą do wskazanej zmiany</w:t>
      </w:r>
      <w:r w:rsidR="002755A7" w:rsidRPr="00DB3E1C">
        <w:rPr>
          <w:rFonts w:ascii="Times New Roman" w:eastAsia="Times New Roman" w:hAnsi="Times New Roman" w:cs="Times New Roman"/>
          <w:sz w:val="24"/>
          <w:szCs w:val="24"/>
          <w:lang w:eastAsia="pl-PL"/>
        </w:rPr>
        <w:t>, w szczególności w odniesieniu do funduszy inwestycyjnych,</w:t>
      </w:r>
      <w:r w:rsidRPr="00DB3E1C">
        <w:rPr>
          <w:rFonts w:ascii="Times New Roman" w:eastAsia="Times New Roman" w:hAnsi="Times New Roman" w:cs="Times New Roman"/>
          <w:sz w:val="24"/>
          <w:szCs w:val="24"/>
          <w:lang w:eastAsia="pl-PL"/>
        </w:rPr>
        <w:t xml:space="preserve"> jest w</w:t>
      </w:r>
      <w:r w:rsidR="009A5698" w:rsidRPr="00DB3E1C">
        <w:rPr>
          <w:rFonts w:ascii="Times New Roman" w:eastAsia="Times New Roman" w:hAnsi="Times New Roman" w:cs="Times New Roman"/>
          <w:sz w:val="24"/>
          <w:szCs w:val="24"/>
          <w:lang w:eastAsia="pl-PL"/>
        </w:rPr>
        <w:t xml:space="preserve">yrok TSUE z dnia 10 kwietnia 2014 r. w sprawie C-190/12 </w:t>
      </w:r>
      <w:r w:rsidR="00672CED" w:rsidRPr="00DB3E1C">
        <w:rPr>
          <w:rFonts w:ascii="Times New Roman" w:eastAsia="Times New Roman" w:hAnsi="Times New Roman" w:cs="Times New Roman"/>
          <w:sz w:val="24"/>
          <w:szCs w:val="24"/>
          <w:lang w:eastAsia="pl-PL"/>
        </w:rPr>
        <w:t>(Emerging Markets)</w:t>
      </w:r>
      <w:r w:rsidRPr="00DB3E1C">
        <w:rPr>
          <w:rFonts w:ascii="Times New Roman" w:eastAsia="Times New Roman" w:hAnsi="Times New Roman" w:cs="Times New Roman"/>
          <w:sz w:val="24"/>
          <w:szCs w:val="24"/>
          <w:lang w:eastAsia="pl-PL"/>
        </w:rPr>
        <w:t>. Wyrok ten</w:t>
      </w:r>
      <w:r w:rsidR="00672CED" w:rsidRPr="00DB3E1C">
        <w:rPr>
          <w:rFonts w:ascii="Times New Roman" w:eastAsia="Times New Roman" w:hAnsi="Times New Roman" w:cs="Times New Roman"/>
          <w:sz w:val="24"/>
          <w:szCs w:val="24"/>
          <w:lang w:eastAsia="pl-PL"/>
        </w:rPr>
        <w:t xml:space="preserve"> </w:t>
      </w:r>
      <w:r w:rsidR="009A5698" w:rsidRPr="00DB3E1C">
        <w:rPr>
          <w:rFonts w:ascii="Times New Roman" w:eastAsia="Times New Roman" w:hAnsi="Times New Roman" w:cs="Times New Roman"/>
          <w:sz w:val="24"/>
          <w:szCs w:val="24"/>
          <w:lang w:eastAsia="pl-PL"/>
        </w:rPr>
        <w:t xml:space="preserve">dotyczy wykładni artykułów 49, 63 i 65 Traktatu o Funkcjonowaniu Unii Europejskiej (TFUE) w kontekście różnic w traktowaniu </w:t>
      </w:r>
      <w:r w:rsidR="009A5698" w:rsidRPr="00DB3E1C">
        <w:rPr>
          <w:rFonts w:ascii="Times New Roman" w:eastAsia="Times New Roman" w:hAnsi="Times New Roman" w:cs="Times New Roman"/>
          <w:sz w:val="24"/>
          <w:szCs w:val="24"/>
          <w:lang w:eastAsia="pl-PL"/>
        </w:rPr>
        <w:lastRenderedPageBreak/>
        <w:t>dywidend wypłacanych funduszom inwestycyjnym będącym rezydentami</w:t>
      </w:r>
      <w:r w:rsidR="00892E77" w:rsidRPr="00DB3E1C">
        <w:rPr>
          <w:rFonts w:ascii="Times New Roman" w:eastAsia="Times New Roman" w:hAnsi="Times New Roman" w:cs="Times New Roman"/>
          <w:sz w:val="24"/>
          <w:szCs w:val="24"/>
          <w:lang w:eastAsia="pl-PL"/>
        </w:rPr>
        <w:t xml:space="preserve"> podatkowymi</w:t>
      </w:r>
      <w:r w:rsidR="009A5698" w:rsidRPr="00DB3E1C">
        <w:rPr>
          <w:rFonts w:ascii="Times New Roman" w:eastAsia="Times New Roman" w:hAnsi="Times New Roman" w:cs="Times New Roman"/>
          <w:sz w:val="24"/>
          <w:szCs w:val="24"/>
          <w:lang w:eastAsia="pl-PL"/>
        </w:rPr>
        <w:t xml:space="preserve"> i funduszom niebędącym </w:t>
      </w:r>
      <w:r w:rsidR="00892E77" w:rsidRPr="00DB3E1C">
        <w:rPr>
          <w:rFonts w:ascii="Times New Roman" w:eastAsia="Times New Roman" w:hAnsi="Times New Roman" w:cs="Times New Roman"/>
          <w:sz w:val="24"/>
          <w:szCs w:val="24"/>
          <w:lang w:eastAsia="pl-PL"/>
        </w:rPr>
        <w:t xml:space="preserve">takimi </w:t>
      </w:r>
      <w:r w:rsidR="009A5698" w:rsidRPr="00DB3E1C">
        <w:rPr>
          <w:rFonts w:ascii="Times New Roman" w:eastAsia="Times New Roman" w:hAnsi="Times New Roman" w:cs="Times New Roman"/>
          <w:sz w:val="24"/>
          <w:szCs w:val="24"/>
          <w:lang w:eastAsia="pl-PL"/>
        </w:rPr>
        <w:t xml:space="preserve">rezydentami. </w:t>
      </w:r>
    </w:p>
    <w:p w14:paraId="27B7E3D5" w14:textId="53B8CA68" w:rsidR="009A5698" w:rsidRPr="00DB3E1C" w:rsidRDefault="009A5698" w:rsidP="00DB3E1C">
      <w:pPr>
        <w:spacing w:after="24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 xml:space="preserve">Stan faktyczny sprawy dotyczył funduszu inwestycyjnego Emerging Markets Series of DFA Investment Trust Company, mającego siedzibę w </w:t>
      </w:r>
      <w:r w:rsidR="00B148DA" w:rsidRPr="00DB3E1C">
        <w:rPr>
          <w:rFonts w:ascii="Times New Roman" w:eastAsia="Times New Roman" w:hAnsi="Times New Roman" w:cs="Times New Roman"/>
          <w:sz w:val="24"/>
          <w:szCs w:val="24"/>
          <w:lang w:eastAsia="pl-PL"/>
        </w:rPr>
        <w:t>USA</w:t>
      </w:r>
      <w:r w:rsidR="00D33047" w:rsidRPr="00DB3E1C">
        <w:rPr>
          <w:rFonts w:ascii="Times New Roman" w:eastAsia="Times New Roman" w:hAnsi="Times New Roman" w:cs="Times New Roman"/>
          <w:sz w:val="24"/>
          <w:szCs w:val="24"/>
          <w:lang w:eastAsia="pl-PL"/>
        </w:rPr>
        <w:t>. Fundusz ten, będąc udziałowcem polskich spółek, otrzymywał od nich dywidendy obciążone 15</w:t>
      </w:r>
      <w:r w:rsidR="000B0A27">
        <w:rPr>
          <w:rFonts w:ascii="Times New Roman" w:eastAsia="Times New Roman" w:hAnsi="Times New Roman" w:cs="Times New Roman"/>
          <w:sz w:val="24"/>
          <w:szCs w:val="24"/>
          <w:lang w:eastAsia="pl-PL"/>
        </w:rPr>
        <w:t xml:space="preserve"> </w:t>
      </w:r>
      <w:r w:rsidR="00D33047" w:rsidRPr="00DB3E1C">
        <w:rPr>
          <w:rFonts w:ascii="Times New Roman" w:eastAsia="Times New Roman" w:hAnsi="Times New Roman" w:cs="Times New Roman"/>
          <w:sz w:val="24"/>
          <w:szCs w:val="24"/>
          <w:lang w:eastAsia="pl-PL"/>
        </w:rPr>
        <w:t>% WHT. Powołując się na przysługujące mu zwolnienie</w:t>
      </w:r>
      <w:r w:rsidR="000B0A27">
        <w:rPr>
          <w:rFonts w:ascii="Times New Roman" w:eastAsia="Times New Roman" w:hAnsi="Times New Roman" w:cs="Times New Roman"/>
          <w:sz w:val="24"/>
          <w:szCs w:val="24"/>
          <w:lang w:eastAsia="pl-PL"/>
        </w:rPr>
        <w:t>,</w:t>
      </w:r>
      <w:r w:rsidR="00D33047" w:rsidRPr="00DB3E1C">
        <w:rPr>
          <w:rFonts w:ascii="Times New Roman" w:eastAsia="Times New Roman" w:hAnsi="Times New Roman" w:cs="Times New Roman"/>
          <w:sz w:val="24"/>
          <w:szCs w:val="24"/>
          <w:lang w:eastAsia="pl-PL"/>
        </w:rPr>
        <w:t xml:space="preserve"> </w:t>
      </w:r>
      <w:r w:rsidRPr="00DB3E1C">
        <w:rPr>
          <w:rFonts w:ascii="Times New Roman" w:eastAsia="Times New Roman" w:hAnsi="Times New Roman" w:cs="Times New Roman"/>
          <w:sz w:val="24"/>
          <w:szCs w:val="24"/>
          <w:lang w:eastAsia="pl-PL"/>
        </w:rPr>
        <w:t xml:space="preserve">złożył wniosek o zwrot nadpłaty </w:t>
      </w:r>
      <w:r w:rsidR="00D33047" w:rsidRPr="00DB3E1C">
        <w:rPr>
          <w:rFonts w:ascii="Times New Roman" w:eastAsia="Times New Roman" w:hAnsi="Times New Roman" w:cs="Times New Roman"/>
          <w:sz w:val="24"/>
          <w:szCs w:val="24"/>
          <w:lang w:eastAsia="pl-PL"/>
        </w:rPr>
        <w:t>WHT</w:t>
      </w:r>
      <w:r w:rsidRPr="00DB3E1C">
        <w:rPr>
          <w:rFonts w:ascii="Times New Roman" w:eastAsia="Times New Roman" w:hAnsi="Times New Roman" w:cs="Times New Roman"/>
          <w:sz w:val="24"/>
          <w:szCs w:val="24"/>
          <w:lang w:eastAsia="pl-PL"/>
        </w:rPr>
        <w:t xml:space="preserve"> za lata 2005 i 2006. </w:t>
      </w:r>
      <w:r w:rsidR="00B148DA" w:rsidRPr="00DB3E1C">
        <w:rPr>
          <w:rFonts w:ascii="Times New Roman" w:eastAsia="Times New Roman" w:hAnsi="Times New Roman" w:cs="Times New Roman"/>
          <w:sz w:val="24"/>
          <w:szCs w:val="24"/>
          <w:lang w:eastAsia="pl-PL"/>
        </w:rPr>
        <w:t>Organ podatkowy</w:t>
      </w:r>
      <w:r w:rsidRPr="00DB3E1C">
        <w:rPr>
          <w:rFonts w:ascii="Times New Roman" w:eastAsia="Times New Roman" w:hAnsi="Times New Roman" w:cs="Times New Roman"/>
          <w:sz w:val="24"/>
          <w:szCs w:val="24"/>
          <w:lang w:eastAsia="pl-PL"/>
        </w:rPr>
        <w:t xml:space="preserve"> odmówił zwrotu, argumentując, że fundusz nie spełnia warunków zwolnienia podatkowego przewidzianych w polskiej ustawie o podatku dochodowym od osób prawnych. </w:t>
      </w:r>
    </w:p>
    <w:p w14:paraId="54AC2EA8" w14:textId="1878FF66" w:rsidR="009A5698" w:rsidRPr="00DB3E1C" w:rsidRDefault="00B148DA" w:rsidP="00DB3E1C">
      <w:pPr>
        <w:spacing w:after="24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Zgodnie z art. 6 ust. 1 pkt 10 i 10a ustawy CIT</w:t>
      </w:r>
      <w:r w:rsidR="009A5698" w:rsidRPr="00DB3E1C">
        <w:rPr>
          <w:rFonts w:ascii="Times New Roman" w:eastAsia="Times New Roman" w:hAnsi="Times New Roman" w:cs="Times New Roman"/>
          <w:sz w:val="24"/>
          <w:szCs w:val="24"/>
          <w:lang w:eastAsia="pl-PL"/>
        </w:rPr>
        <w:t xml:space="preserve"> fundusze inwestycyjne mające siedzibę w Polsce</w:t>
      </w:r>
      <w:r w:rsidR="00975448" w:rsidRPr="00DB3E1C">
        <w:rPr>
          <w:rFonts w:ascii="Times New Roman" w:eastAsia="Times New Roman" w:hAnsi="Times New Roman" w:cs="Times New Roman"/>
          <w:sz w:val="24"/>
          <w:szCs w:val="24"/>
          <w:lang w:eastAsia="pl-PL"/>
        </w:rPr>
        <w:t xml:space="preserve"> (oraz państwach UE/EOG)</w:t>
      </w:r>
      <w:r w:rsidR="009A5698" w:rsidRPr="00DB3E1C">
        <w:rPr>
          <w:rFonts w:ascii="Times New Roman" w:eastAsia="Times New Roman" w:hAnsi="Times New Roman" w:cs="Times New Roman"/>
          <w:sz w:val="24"/>
          <w:szCs w:val="24"/>
          <w:lang w:eastAsia="pl-PL"/>
        </w:rPr>
        <w:t xml:space="preserve"> były zwolnione z podatku dochodowego od dywidend,</w:t>
      </w:r>
      <w:r w:rsidR="00975448" w:rsidRPr="00DB3E1C">
        <w:rPr>
          <w:rFonts w:ascii="Times New Roman" w:eastAsia="Times New Roman" w:hAnsi="Times New Roman" w:cs="Times New Roman"/>
          <w:sz w:val="24"/>
          <w:szCs w:val="24"/>
          <w:lang w:eastAsia="pl-PL"/>
        </w:rPr>
        <w:t xml:space="preserve"> przy spełnieniu pozostałych warunków,</w:t>
      </w:r>
      <w:r w:rsidR="009A5698" w:rsidRPr="00DB3E1C">
        <w:rPr>
          <w:rFonts w:ascii="Times New Roman" w:eastAsia="Times New Roman" w:hAnsi="Times New Roman" w:cs="Times New Roman"/>
          <w:sz w:val="24"/>
          <w:szCs w:val="24"/>
          <w:lang w:eastAsia="pl-PL"/>
        </w:rPr>
        <w:t xml:space="preserve"> podczas gdy fundusze inwestycyjne mające siedzibę w państwach trzecich, takich jak Stany Zjednoczone, nie mogły korzystać z tego zwolnienia. W związku z tym dywidendy wypłacane funduszom inwestycyjnym </w:t>
      </w:r>
      <w:r w:rsidR="00975448" w:rsidRPr="00DB3E1C">
        <w:rPr>
          <w:rFonts w:ascii="Times New Roman" w:eastAsia="Times New Roman" w:hAnsi="Times New Roman" w:cs="Times New Roman"/>
          <w:sz w:val="24"/>
          <w:szCs w:val="24"/>
          <w:lang w:eastAsia="pl-PL"/>
        </w:rPr>
        <w:t>z państw trzecich</w:t>
      </w:r>
      <w:r w:rsidR="009A5698" w:rsidRPr="00DB3E1C">
        <w:rPr>
          <w:rFonts w:ascii="Times New Roman" w:eastAsia="Times New Roman" w:hAnsi="Times New Roman" w:cs="Times New Roman"/>
          <w:sz w:val="24"/>
          <w:szCs w:val="24"/>
          <w:lang w:eastAsia="pl-PL"/>
        </w:rPr>
        <w:t xml:space="preserve"> były opodatkowane według stawki 19</w:t>
      </w:r>
      <w:r w:rsidR="000B0A27">
        <w:rPr>
          <w:rFonts w:ascii="Times New Roman" w:eastAsia="Times New Roman" w:hAnsi="Times New Roman" w:cs="Times New Roman"/>
          <w:sz w:val="24"/>
          <w:szCs w:val="24"/>
          <w:lang w:eastAsia="pl-PL"/>
        </w:rPr>
        <w:t xml:space="preserve"> </w:t>
      </w:r>
      <w:r w:rsidR="009A5698" w:rsidRPr="00DB3E1C">
        <w:rPr>
          <w:rFonts w:ascii="Times New Roman" w:eastAsia="Times New Roman" w:hAnsi="Times New Roman" w:cs="Times New Roman"/>
          <w:sz w:val="24"/>
          <w:szCs w:val="24"/>
          <w:lang w:eastAsia="pl-PL"/>
        </w:rPr>
        <w:t xml:space="preserve">%, chyba że umowa o unikaniu podwójnego opodatkowania przewidywała </w:t>
      </w:r>
      <w:r w:rsidR="00892E77" w:rsidRPr="00DB3E1C">
        <w:rPr>
          <w:rFonts w:ascii="Times New Roman" w:eastAsia="Times New Roman" w:hAnsi="Times New Roman" w:cs="Times New Roman"/>
          <w:sz w:val="24"/>
          <w:szCs w:val="24"/>
          <w:lang w:eastAsia="pl-PL"/>
        </w:rPr>
        <w:t xml:space="preserve">obniżoną </w:t>
      </w:r>
      <w:r w:rsidR="009A5698" w:rsidRPr="00DB3E1C">
        <w:rPr>
          <w:rFonts w:ascii="Times New Roman" w:eastAsia="Times New Roman" w:hAnsi="Times New Roman" w:cs="Times New Roman"/>
          <w:sz w:val="24"/>
          <w:szCs w:val="24"/>
          <w:lang w:eastAsia="pl-PL"/>
        </w:rPr>
        <w:t>stawkę.</w:t>
      </w:r>
    </w:p>
    <w:p w14:paraId="6C86B96C" w14:textId="5035FDE4" w:rsidR="009A5698" w:rsidRPr="00DB3E1C" w:rsidRDefault="009A5698" w:rsidP="00DB3E1C">
      <w:pPr>
        <w:spacing w:after="24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 xml:space="preserve">Trybunał rozważył, czy takie różnicowanie traktowania dywidend jest zgodne z art. 63 TFUE dotyczącym swobodnego przepływu kapitału. Trybunał stwierdził, że przepisy krajowe, które wykluczają zwolnienie podatkowe dla dywidend wypłacanych funduszom inwestycyjnym mającym siedzibę w państwie trzecim, stanowią ograniczenie swobodnego przepływu kapitału. Trybunał uznał, że fundusze inwestycyjne niebędące rezydentami </w:t>
      </w:r>
      <w:r w:rsidR="00892E77" w:rsidRPr="00DB3E1C">
        <w:rPr>
          <w:rFonts w:ascii="Times New Roman" w:eastAsia="Times New Roman" w:hAnsi="Times New Roman" w:cs="Times New Roman"/>
          <w:sz w:val="24"/>
          <w:szCs w:val="24"/>
          <w:lang w:eastAsia="pl-PL"/>
        </w:rPr>
        <w:t xml:space="preserve">podatkowymi </w:t>
      </w:r>
      <w:r w:rsidRPr="00DB3E1C">
        <w:rPr>
          <w:rFonts w:ascii="Times New Roman" w:eastAsia="Times New Roman" w:hAnsi="Times New Roman" w:cs="Times New Roman"/>
          <w:sz w:val="24"/>
          <w:szCs w:val="24"/>
          <w:lang w:eastAsia="pl-PL"/>
        </w:rPr>
        <w:t>znajdują się w sytuacji obiektywnie porównywalnej z funduszami będącymi rezydentami</w:t>
      </w:r>
      <w:r w:rsidR="00892E77" w:rsidRPr="00DB3E1C">
        <w:rPr>
          <w:rFonts w:ascii="Times New Roman" w:eastAsia="Times New Roman" w:hAnsi="Times New Roman" w:cs="Times New Roman"/>
          <w:sz w:val="24"/>
          <w:szCs w:val="24"/>
          <w:lang w:eastAsia="pl-PL"/>
        </w:rPr>
        <w:t xml:space="preserve"> podatkowymi</w:t>
      </w:r>
      <w:r w:rsidRPr="00DB3E1C">
        <w:rPr>
          <w:rFonts w:ascii="Times New Roman" w:eastAsia="Times New Roman" w:hAnsi="Times New Roman" w:cs="Times New Roman"/>
          <w:sz w:val="24"/>
          <w:szCs w:val="24"/>
          <w:lang w:eastAsia="pl-PL"/>
        </w:rPr>
        <w:t xml:space="preserve">, ponieważ w obu przypadkach osiągnięte zyski mogą być przedmiotem podwójnego opodatkowania w wymiarze </w:t>
      </w:r>
      <w:r w:rsidR="00892E77" w:rsidRPr="00DB3E1C">
        <w:rPr>
          <w:rFonts w:ascii="Times New Roman" w:eastAsia="Times New Roman" w:hAnsi="Times New Roman" w:cs="Times New Roman"/>
          <w:sz w:val="24"/>
          <w:szCs w:val="24"/>
          <w:lang w:eastAsia="pl-PL"/>
        </w:rPr>
        <w:t xml:space="preserve">ekonomicznym </w:t>
      </w:r>
      <w:r w:rsidRPr="00DB3E1C">
        <w:rPr>
          <w:rFonts w:ascii="Times New Roman" w:eastAsia="Times New Roman" w:hAnsi="Times New Roman" w:cs="Times New Roman"/>
          <w:sz w:val="24"/>
          <w:szCs w:val="24"/>
          <w:lang w:eastAsia="pl-PL"/>
        </w:rPr>
        <w:t>lub opodatkowania kaskadowego.</w:t>
      </w:r>
    </w:p>
    <w:p w14:paraId="07844EA3" w14:textId="621859E5" w:rsidR="009A5698" w:rsidRPr="00DB3E1C" w:rsidRDefault="009A5698" w:rsidP="00DB3E1C">
      <w:pPr>
        <w:spacing w:after="24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Trybunał podkreślił, że przepisy krajowe, które różnicują traktowanie dywidend w zależności od miejsca siedziby funduszu inwestycyjnego, mogą zniechęcać fundusze inwestycyjne z siedzibą w państwie trzecim do inwestowania w udziały spółek z siedzibą w Polsce</w:t>
      </w:r>
      <w:r w:rsidR="00975448" w:rsidRPr="00DB3E1C">
        <w:rPr>
          <w:rFonts w:ascii="Times New Roman" w:eastAsia="Times New Roman" w:hAnsi="Times New Roman" w:cs="Times New Roman"/>
          <w:sz w:val="24"/>
          <w:szCs w:val="24"/>
          <w:lang w:eastAsia="pl-PL"/>
        </w:rPr>
        <w:t>, jak również</w:t>
      </w:r>
      <w:r w:rsidRPr="00DB3E1C">
        <w:rPr>
          <w:rFonts w:ascii="Times New Roman" w:eastAsia="Times New Roman" w:hAnsi="Times New Roman" w:cs="Times New Roman"/>
          <w:sz w:val="24"/>
          <w:szCs w:val="24"/>
          <w:lang w:eastAsia="pl-PL"/>
        </w:rPr>
        <w:t xml:space="preserve"> zniechęcać inwestorów będących rezydentami w Polsce do nabywania udziałów w funduszach inwestycyjnych niebędących rezydentami. W związku z tym takie przepisy mogą prowadzić do ograniczenia swobodnego przepływu kapitału, zakazanego na mocy art. 63 TFUE.</w:t>
      </w:r>
    </w:p>
    <w:p w14:paraId="79C973FD" w14:textId="6BB97BE5" w:rsidR="009A5698" w:rsidRPr="00DB3E1C" w:rsidRDefault="009A5698" w:rsidP="00DB3E1C">
      <w:pPr>
        <w:spacing w:after="24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 xml:space="preserve">Trybunał zbadał również, czy takie ograniczenie może być uzasadnione w świetle postanowień traktatu. W szczególności Trybunał rozważył, czy ograniczenie to może być uzasadnione </w:t>
      </w:r>
      <w:r w:rsidRPr="00DB3E1C">
        <w:rPr>
          <w:rFonts w:ascii="Times New Roman" w:eastAsia="Times New Roman" w:hAnsi="Times New Roman" w:cs="Times New Roman"/>
          <w:sz w:val="24"/>
          <w:szCs w:val="24"/>
          <w:lang w:eastAsia="pl-PL"/>
        </w:rPr>
        <w:lastRenderedPageBreak/>
        <w:t xml:space="preserve">koniecznością zapewnienia skuteczności kontroli podatkowych. </w:t>
      </w:r>
      <w:r w:rsidR="00975448" w:rsidRPr="00DB3E1C">
        <w:rPr>
          <w:rFonts w:ascii="Times New Roman" w:eastAsia="Times New Roman" w:hAnsi="Times New Roman" w:cs="Times New Roman"/>
          <w:sz w:val="24"/>
          <w:szCs w:val="24"/>
          <w:lang w:eastAsia="pl-PL"/>
        </w:rPr>
        <w:t>TSUE</w:t>
      </w:r>
      <w:r w:rsidRPr="00DB3E1C">
        <w:rPr>
          <w:rFonts w:ascii="Times New Roman" w:eastAsia="Times New Roman" w:hAnsi="Times New Roman" w:cs="Times New Roman"/>
          <w:sz w:val="24"/>
          <w:szCs w:val="24"/>
          <w:lang w:eastAsia="pl-PL"/>
        </w:rPr>
        <w:t xml:space="preserve"> stwierdził, że konieczność zapewnienia skuteczności kontroli podatkowych może stanowić nadrzędny wzgląd interesu ogólnego, który może uzasadniać ograniczenie wykonywania podstawowych swobód zagwarantowanych przez traktat. Jednakże Trybunał uznał, że w przypadku, gdy istnieją umowy o wzajemnej pomocy administracyjnej między państwem członkowskim a państwem trzecim, które umożliwiają krajowym organom podatkowym zweryfikowanie informacji przekazanych przez fundusz inwestycyjny, takie ograniczenie nie jest uzasadnione.</w:t>
      </w:r>
    </w:p>
    <w:p w14:paraId="4073BAA1" w14:textId="0DA0F194" w:rsidR="009A5698" w:rsidRPr="00DB3E1C" w:rsidRDefault="009A5698" w:rsidP="00DB3E1C">
      <w:pPr>
        <w:spacing w:after="24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W sprawie C-190/12 Trybunał stwierdził, że istnieją ramy prawne wzajemnej pomocy administracyjnej między Polską a</w:t>
      </w:r>
      <w:r w:rsidR="000A0D85" w:rsidRPr="00DB3E1C">
        <w:rPr>
          <w:rFonts w:ascii="Times New Roman" w:eastAsia="Times New Roman" w:hAnsi="Times New Roman" w:cs="Times New Roman"/>
          <w:sz w:val="24"/>
          <w:szCs w:val="24"/>
          <w:lang w:eastAsia="pl-PL"/>
        </w:rPr>
        <w:t xml:space="preserve"> państwami trzecimi (w tym przypadku</w:t>
      </w:r>
      <w:r w:rsidRPr="00DB3E1C">
        <w:rPr>
          <w:rFonts w:ascii="Times New Roman" w:eastAsia="Times New Roman" w:hAnsi="Times New Roman" w:cs="Times New Roman"/>
          <w:sz w:val="24"/>
          <w:szCs w:val="24"/>
          <w:lang w:eastAsia="pl-PL"/>
        </w:rPr>
        <w:t xml:space="preserve"> </w:t>
      </w:r>
      <w:r w:rsidR="00975448" w:rsidRPr="00DB3E1C">
        <w:rPr>
          <w:rFonts w:ascii="Times New Roman" w:eastAsia="Times New Roman" w:hAnsi="Times New Roman" w:cs="Times New Roman"/>
          <w:sz w:val="24"/>
          <w:szCs w:val="24"/>
          <w:lang w:eastAsia="pl-PL"/>
        </w:rPr>
        <w:t>USA</w:t>
      </w:r>
      <w:r w:rsidR="000A0D85" w:rsidRPr="00DB3E1C">
        <w:rPr>
          <w:rFonts w:ascii="Times New Roman" w:eastAsia="Times New Roman" w:hAnsi="Times New Roman" w:cs="Times New Roman"/>
          <w:sz w:val="24"/>
          <w:szCs w:val="24"/>
          <w:lang w:eastAsia="pl-PL"/>
        </w:rPr>
        <w:t>)</w:t>
      </w:r>
      <w:r w:rsidRPr="00DB3E1C">
        <w:rPr>
          <w:rFonts w:ascii="Times New Roman" w:eastAsia="Times New Roman" w:hAnsi="Times New Roman" w:cs="Times New Roman"/>
          <w:sz w:val="24"/>
          <w:szCs w:val="24"/>
          <w:lang w:eastAsia="pl-PL"/>
        </w:rPr>
        <w:t xml:space="preserve">, które umożliwiają wymianę informacji niezbędnych do stosowania przepisów podatkowych. W związku z tym Trybunał uznał, że polskie przepisy wykluczające zwolnienie podatkowe dla dywidend wypłacanych funduszom inwestycyjnym mającym siedzibę w </w:t>
      </w:r>
      <w:r w:rsidR="000A0D85" w:rsidRPr="00DB3E1C">
        <w:rPr>
          <w:rFonts w:ascii="Times New Roman" w:eastAsia="Times New Roman" w:hAnsi="Times New Roman" w:cs="Times New Roman"/>
          <w:sz w:val="24"/>
          <w:szCs w:val="24"/>
          <w:lang w:eastAsia="pl-PL"/>
        </w:rPr>
        <w:t xml:space="preserve">państwie trzecim </w:t>
      </w:r>
      <w:r w:rsidRPr="00DB3E1C">
        <w:rPr>
          <w:rFonts w:ascii="Times New Roman" w:eastAsia="Times New Roman" w:hAnsi="Times New Roman" w:cs="Times New Roman"/>
          <w:sz w:val="24"/>
          <w:szCs w:val="24"/>
          <w:lang w:eastAsia="pl-PL"/>
        </w:rPr>
        <w:t>są niezgodne z art. 63 TFUE i 65 TFUE.</w:t>
      </w:r>
    </w:p>
    <w:p w14:paraId="45044D80" w14:textId="77777777" w:rsidR="009A5698" w:rsidRPr="00DB3E1C" w:rsidRDefault="009A5698" w:rsidP="00DB3E1C">
      <w:pPr>
        <w:spacing w:after="24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W kontekście uzasadnienia konieczności zachowania spójności systemu podatkowego, Trybunał stwierdził, że zwolnienie podatkowe przewidziane w polskich przepisach nie jest uzależnione od opodatkowania dochodów wypłacanych uczestnikom funduszy inwestycyjnych. W związku z tym nie można uznać, że różnicowanie traktowania dywidend jest uzasadnione koniecznością zachowania spójności systemu podatkowego.</w:t>
      </w:r>
    </w:p>
    <w:p w14:paraId="511DF6B3" w14:textId="46993A75" w:rsidR="009A5698" w:rsidRPr="00DB3E1C" w:rsidRDefault="009A5698" w:rsidP="00DB3E1C">
      <w:pPr>
        <w:spacing w:after="24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Trybunał odrzucił również argument</w:t>
      </w:r>
      <w:r w:rsidR="00975448" w:rsidRPr="00DB3E1C">
        <w:rPr>
          <w:rFonts w:ascii="Times New Roman" w:eastAsia="Times New Roman" w:hAnsi="Times New Roman" w:cs="Times New Roman"/>
          <w:sz w:val="24"/>
          <w:szCs w:val="24"/>
          <w:lang w:eastAsia="pl-PL"/>
        </w:rPr>
        <w:t>y</w:t>
      </w:r>
      <w:r w:rsidRPr="00DB3E1C">
        <w:rPr>
          <w:rFonts w:ascii="Times New Roman" w:eastAsia="Times New Roman" w:hAnsi="Times New Roman" w:cs="Times New Roman"/>
          <w:sz w:val="24"/>
          <w:szCs w:val="24"/>
          <w:lang w:eastAsia="pl-PL"/>
        </w:rPr>
        <w:t xml:space="preserve"> dotycząc</w:t>
      </w:r>
      <w:r w:rsidR="00975448" w:rsidRPr="00DB3E1C">
        <w:rPr>
          <w:rFonts w:ascii="Times New Roman" w:eastAsia="Times New Roman" w:hAnsi="Times New Roman" w:cs="Times New Roman"/>
          <w:sz w:val="24"/>
          <w:szCs w:val="24"/>
          <w:lang w:eastAsia="pl-PL"/>
        </w:rPr>
        <w:t>e</w:t>
      </w:r>
      <w:r w:rsidRPr="00DB3E1C">
        <w:rPr>
          <w:rFonts w:ascii="Times New Roman" w:eastAsia="Times New Roman" w:hAnsi="Times New Roman" w:cs="Times New Roman"/>
          <w:sz w:val="24"/>
          <w:szCs w:val="24"/>
          <w:lang w:eastAsia="pl-PL"/>
        </w:rPr>
        <w:t xml:space="preserve"> konieczności zachowania zrównoważonego podziału kompetencji podatkowych </w:t>
      </w:r>
      <w:r w:rsidR="00975448" w:rsidRPr="00DB3E1C">
        <w:rPr>
          <w:rFonts w:ascii="Times New Roman" w:eastAsia="Times New Roman" w:hAnsi="Times New Roman" w:cs="Times New Roman"/>
          <w:sz w:val="24"/>
          <w:szCs w:val="24"/>
          <w:lang w:eastAsia="pl-PL"/>
        </w:rPr>
        <w:t>oraz</w:t>
      </w:r>
      <w:r w:rsidRPr="00DB3E1C">
        <w:rPr>
          <w:rFonts w:ascii="Times New Roman" w:eastAsia="Times New Roman" w:hAnsi="Times New Roman" w:cs="Times New Roman"/>
          <w:sz w:val="24"/>
          <w:szCs w:val="24"/>
          <w:lang w:eastAsia="pl-PL"/>
        </w:rPr>
        <w:t xml:space="preserve"> zachowania wpływów podatkowych. Trybunał uznał, że obniżenie wpływów podatkowych nie może być postrzegane jako nadrzędny wzgląd interesu ogólnego, który może uzasadniać ograniczenie swobodnego przepływu kapitału.</w:t>
      </w:r>
    </w:p>
    <w:p w14:paraId="63C5FFB5" w14:textId="74EAB0FC" w:rsidR="00FB2854" w:rsidRPr="00DB3E1C" w:rsidRDefault="00F42BC8" w:rsidP="00DB3E1C">
      <w:pPr>
        <w:autoSpaceDE w:val="0"/>
        <w:autoSpaceDN w:val="0"/>
        <w:spacing w:after="240" w:line="360" w:lineRule="auto"/>
        <w:jc w:val="both"/>
        <w:rPr>
          <w:rFonts w:ascii="Times New Roman" w:eastAsia="Times New Roman" w:hAnsi="Times New Roman" w:cs="Times New Roman"/>
          <w:sz w:val="24"/>
          <w:szCs w:val="24"/>
        </w:rPr>
      </w:pPr>
      <w:r w:rsidRPr="00DB3E1C">
        <w:rPr>
          <w:rFonts w:ascii="Times New Roman" w:eastAsia="Times New Roman" w:hAnsi="Times New Roman" w:cs="Times New Roman"/>
          <w:sz w:val="24"/>
          <w:szCs w:val="24"/>
        </w:rPr>
        <w:t>Opisany wyrok w</w:t>
      </w:r>
      <w:r w:rsidR="00FB2854" w:rsidRPr="00DB3E1C">
        <w:rPr>
          <w:rFonts w:ascii="Times New Roman" w:eastAsia="Times New Roman" w:hAnsi="Times New Roman" w:cs="Times New Roman"/>
          <w:sz w:val="24"/>
          <w:szCs w:val="24"/>
        </w:rPr>
        <w:t>pisuje się w linię interpretacyjną</w:t>
      </w:r>
      <w:r w:rsidRPr="00DB3E1C">
        <w:rPr>
          <w:rFonts w:ascii="Times New Roman" w:eastAsia="Times New Roman" w:hAnsi="Times New Roman" w:cs="Times New Roman"/>
          <w:sz w:val="24"/>
          <w:szCs w:val="24"/>
        </w:rPr>
        <w:t xml:space="preserve"> TSUE propagującą zakaz dyskryminacji funduszy niebędących rezydentami</w:t>
      </w:r>
      <w:r w:rsidR="00892E77" w:rsidRPr="00DB3E1C">
        <w:rPr>
          <w:rFonts w:ascii="Times New Roman" w:eastAsia="Times New Roman" w:hAnsi="Times New Roman" w:cs="Times New Roman"/>
          <w:sz w:val="24"/>
          <w:szCs w:val="24"/>
        </w:rPr>
        <w:t xml:space="preserve"> podatkowymi</w:t>
      </w:r>
      <w:r w:rsidRPr="00DB3E1C">
        <w:rPr>
          <w:rFonts w:ascii="Times New Roman" w:eastAsia="Times New Roman" w:hAnsi="Times New Roman" w:cs="Times New Roman"/>
          <w:sz w:val="24"/>
          <w:szCs w:val="24"/>
        </w:rPr>
        <w:t>. Niemniej można go postrzegać jako wyrok precedensowy, jako że odnosi się wprost do funduszu inwestycyjnego z państwa trzeciego (USA)</w:t>
      </w:r>
      <w:r w:rsidR="000B0A27">
        <w:rPr>
          <w:rFonts w:ascii="Times New Roman" w:eastAsia="Times New Roman" w:hAnsi="Times New Roman" w:cs="Times New Roman"/>
          <w:sz w:val="24"/>
          <w:szCs w:val="24"/>
        </w:rPr>
        <w:t>,</w:t>
      </w:r>
      <w:r w:rsidRPr="00DB3E1C">
        <w:rPr>
          <w:rFonts w:ascii="Times New Roman" w:eastAsia="Times New Roman" w:hAnsi="Times New Roman" w:cs="Times New Roman"/>
          <w:sz w:val="24"/>
          <w:szCs w:val="24"/>
        </w:rPr>
        <w:t xml:space="preserve"> podczas gdy inne wyroki TSUE dotyczą</w:t>
      </w:r>
      <w:r w:rsidR="000B0A27">
        <w:rPr>
          <w:rFonts w:ascii="Times New Roman" w:eastAsia="Times New Roman" w:hAnsi="Times New Roman" w:cs="Times New Roman"/>
          <w:sz w:val="24"/>
          <w:szCs w:val="24"/>
        </w:rPr>
        <w:t>,</w:t>
      </w:r>
      <w:r w:rsidRPr="00DB3E1C">
        <w:rPr>
          <w:rFonts w:ascii="Times New Roman" w:eastAsia="Times New Roman" w:hAnsi="Times New Roman" w:cs="Times New Roman"/>
          <w:sz w:val="24"/>
          <w:szCs w:val="24"/>
        </w:rPr>
        <w:t xml:space="preserve"> co do zasady</w:t>
      </w:r>
      <w:r w:rsidR="000B0A27">
        <w:rPr>
          <w:rFonts w:ascii="Times New Roman" w:eastAsia="Times New Roman" w:hAnsi="Times New Roman" w:cs="Times New Roman"/>
          <w:sz w:val="24"/>
          <w:szCs w:val="24"/>
        </w:rPr>
        <w:t>,</w:t>
      </w:r>
      <w:r w:rsidRPr="00DB3E1C">
        <w:rPr>
          <w:rFonts w:ascii="Times New Roman" w:eastAsia="Times New Roman" w:hAnsi="Times New Roman" w:cs="Times New Roman"/>
          <w:sz w:val="24"/>
          <w:szCs w:val="24"/>
        </w:rPr>
        <w:t xml:space="preserve"> funduszy z państw członkowskich.</w:t>
      </w:r>
    </w:p>
    <w:p w14:paraId="3CE71E65" w14:textId="0230C5C4" w:rsidR="007E7C59" w:rsidRPr="00DB3E1C" w:rsidRDefault="007E7C59" w:rsidP="00DB3E1C">
      <w:pPr>
        <w:autoSpaceDE w:val="0"/>
        <w:autoSpaceDN w:val="0"/>
        <w:adjustRightInd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t xml:space="preserve">Z </w:t>
      </w:r>
      <w:r w:rsidR="00C56449" w:rsidRPr="00DB3E1C">
        <w:rPr>
          <w:rFonts w:ascii="Times New Roman" w:hAnsi="Times New Roman" w:cs="Times New Roman"/>
          <w:sz w:val="24"/>
          <w:szCs w:val="24"/>
        </w:rPr>
        <w:t xml:space="preserve">ogólnej argumentacji TSUE w odniesieniu do zasady swobody przepływu kapitału oraz z </w:t>
      </w:r>
      <w:r w:rsidRPr="00DB3E1C">
        <w:rPr>
          <w:rFonts w:ascii="Times New Roman" w:hAnsi="Times New Roman" w:cs="Times New Roman"/>
          <w:sz w:val="24"/>
          <w:szCs w:val="24"/>
        </w:rPr>
        <w:t xml:space="preserve">ugruntowanej linii orzeczniczej sądów administracyjnych wynika, że choć orzeczenie TSUE w sprawie C190/12 </w:t>
      </w:r>
      <w:r w:rsidR="00C56449" w:rsidRPr="00DB3E1C">
        <w:rPr>
          <w:rFonts w:ascii="Times New Roman" w:hAnsi="Times New Roman" w:cs="Times New Roman"/>
          <w:sz w:val="24"/>
          <w:szCs w:val="24"/>
        </w:rPr>
        <w:t xml:space="preserve">Emerging Markets </w:t>
      </w:r>
      <w:r w:rsidRPr="00DB3E1C">
        <w:rPr>
          <w:rFonts w:ascii="Times New Roman" w:hAnsi="Times New Roman" w:cs="Times New Roman"/>
          <w:sz w:val="24"/>
          <w:szCs w:val="24"/>
        </w:rPr>
        <w:t>dotyczy funduszy inwestycyjnych, ma również zastosowanie do funduszy emerytalnych z państw z siedzibą spoza UE i EOG.</w:t>
      </w:r>
    </w:p>
    <w:p w14:paraId="35C33C77" w14:textId="77777777" w:rsidR="007E7C59" w:rsidRPr="00DB3E1C" w:rsidRDefault="007E7C59" w:rsidP="00DB3E1C">
      <w:pPr>
        <w:autoSpaceDE w:val="0"/>
        <w:autoSpaceDN w:val="0"/>
        <w:adjustRightInd w:val="0"/>
        <w:spacing w:line="360" w:lineRule="auto"/>
        <w:jc w:val="both"/>
        <w:rPr>
          <w:rFonts w:ascii="Times New Roman" w:hAnsi="Times New Roman" w:cs="Times New Roman"/>
          <w:sz w:val="24"/>
          <w:szCs w:val="24"/>
        </w:rPr>
      </w:pPr>
    </w:p>
    <w:p w14:paraId="0C8984D5" w14:textId="66619741" w:rsidR="007E7C59" w:rsidRPr="00DB3E1C" w:rsidRDefault="007E7C59" w:rsidP="00DB3E1C">
      <w:pPr>
        <w:autoSpaceDE w:val="0"/>
        <w:autoSpaceDN w:val="0"/>
        <w:adjustRightInd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t xml:space="preserve">Do wyroku TSUE w sprawie Emerging Markets, </w:t>
      </w:r>
      <w:r w:rsidR="00C56449" w:rsidRPr="00DB3E1C">
        <w:rPr>
          <w:rFonts w:ascii="Times New Roman" w:hAnsi="Times New Roman" w:cs="Times New Roman"/>
          <w:sz w:val="24"/>
          <w:szCs w:val="24"/>
        </w:rPr>
        <w:t>w kontekście</w:t>
      </w:r>
      <w:r w:rsidRPr="00DB3E1C">
        <w:rPr>
          <w:rFonts w:ascii="Times New Roman" w:hAnsi="Times New Roman" w:cs="Times New Roman"/>
          <w:sz w:val="24"/>
          <w:szCs w:val="24"/>
        </w:rPr>
        <w:t xml:space="preserve"> funduszy emerytalnych, odwoływały się w szczególności wyroki Naczelnego Sądu Administracyjnego (NSA) z 7 marca 2024 r., sygn. akt II FSK</w:t>
      </w:r>
      <w:r w:rsidR="000B0A27">
        <w:rPr>
          <w:rFonts w:ascii="Times New Roman" w:hAnsi="Times New Roman" w:cs="Times New Roman"/>
          <w:sz w:val="24"/>
          <w:szCs w:val="24"/>
        </w:rPr>
        <w:t xml:space="preserve"> </w:t>
      </w:r>
      <w:r w:rsidRPr="00DB3E1C">
        <w:rPr>
          <w:rFonts w:ascii="Times New Roman" w:hAnsi="Times New Roman" w:cs="Times New Roman"/>
          <w:sz w:val="24"/>
          <w:szCs w:val="24"/>
        </w:rPr>
        <w:t xml:space="preserve">1608/23, oraz z 3 października 2023 r., sygn. akt II FSK 1324/22, wydane odpowiednio dla kanadyjskiego i amerykańskiego funduszu emerytalnego. Według NSA z wyroku </w:t>
      </w:r>
      <w:proofErr w:type="spellStart"/>
      <w:r w:rsidRPr="00DB3E1C">
        <w:rPr>
          <w:rFonts w:ascii="Times New Roman" w:hAnsi="Times New Roman" w:cs="Times New Roman"/>
          <w:sz w:val="24"/>
          <w:szCs w:val="24"/>
        </w:rPr>
        <w:t>TSUE</w:t>
      </w:r>
      <w:proofErr w:type="spellEnd"/>
      <w:r w:rsidRPr="00DB3E1C">
        <w:rPr>
          <w:rFonts w:ascii="Times New Roman" w:hAnsi="Times New Roman" w:cs="Times New Roman"/>
          <w:sz w:val="24"/>
          <w:szCs w:val="24"/>
        </w:rPr>
        <w:t xml:space="preserve"> w sprawie </w:t>
      </w:r>
      <w:proofErr w:type="spellStart"/>
      <w:r w:rsidRPr="00DB3E1C">
        <w:rPr>
          <w:rFonts w:ascii="Times New Roman" w:hAnsi="Times New Roman" w:cs="Times New Roman"/>
          <w:sz w:val="24"/>
          <w:szCs w:val="24"/>
        </w:rPr>
        <w:t>Emerging</w:t>
      </w:r>
      <w:proofErr w:type="spellEnd"/>
      <w:r w:rsidRPr="00DB3E1C">
        <w:rPr>
          <w:rFonts w:ascii="Times New Roman" w:hAnsi="Times New Roman" w:cs="Times New Roman"/>
          <w:sz w:val="24"/>
          <w:szCs w:val="24"/>
        </w:rPr>
        <w:t xml:space="preserve"> </w:t>
      </w:r>
      <w:proofErr w:type="spellStart"/>
      <w:r w:rsidRPr="00DB3E1C">
        <w:rPr>
          <w:rFonts w:ascii="Times New Roman" w:hAnsi="Times New Roman" w:cs="Times New Roman"/>
          <w:sz w:val="24"/>
          <w:szCs w:val="24"/>
        </w:rPr>
        <w:t>Markets</w:t>
      </w:r>
      <w:proofErr w:type="spellEnd"/>
      <w:r w:rsidRPr="00DB3E1C">
        <w:rPr>
          <w:rFonts w:ascii="Times New Roman" w:hAnsi="Times New Roman" w:cs="Times New Roman"/>
          <w:sz w:val="24"/>
          <w:szCs w:val="24"/>
        </w:rPr>
        <w:t xml:space="preserve"> wynika, </w:t>
      </w:r>
      <w:r w:rsidR="00C56449" w:rsidRPr="00DB3E1C">
        <w:rPr>
          <w:rFonts w:ascii="Times New Roman" w:hAnsi="Times New Roman" w:cs="Times New Roman"/>
          <w:sz w:val="24"/>
          <w:szCs w:val="24"/>
        </w:rPr>
        <w:t xml:space="preserve">że </w:t>
      </w:r>
      <w:r w:rsidRPr="00DB3E1C">
        <w:rPr>
          <w:rFonts w:ascii="Times New Roman" w:hAnsi="Times New Roman" w:cs="Times New Roman"/>
          <w:sz w:val="24"/>
          <w:szCs w:val="24"/>
        </w:rPr>
        <w:t>miejsce siedziby danego podmiotu</w:t>
      </w:r>
      <w:r w:rsidR="00C56449" w:rsidRPr="00DB3E1C">
        <w:rPr>
          <w:rFonts w:ascii="Times New Roman" w:hAnsi="Times New Roman" w:cs="Times New Roman"/>
          <w:sz w:val="24"/>
          <w:szCs w:val="24"/>
        </w:rPr>
        <w:t xml:space="preserve"> nie może stanowić kryterium różnicującego, a u</w:t>
      </w:r>
      <w:r w:rsidRPr="00DB3E1C">
        <w:rPr>
          <w:rFonts w:ascii="Times New Roman" w:hAnsi="Times New Roman" w:cs="Times New Roman"/>
          <w:sz w:val="24"/>
          <w:szCs w:val="24"/>
        </w:rPr>
        <w:t>wagi sformułowane w tym wyroku TSUE odnieść należy także do funduszy emerytalnych.</w:t>
      </w:r>
    </w:p>
    <w:p w14:paraId="4FE6242F" w14:textId="65BAB398" w:rsidR="00FB2854" w:rsidRPr="00DB3E1C" w:rsidRDefault="007E7C59" w:rsidP="00DB3E1C">
      <w:pPr>
        <w:autoSpaceDE w:val="0"/>
        <w:autoSpaceDN w:val="0"/>
        <w:adjustRightInd w:val="0"/>
        <w:spacing w:before="240" w:line="360" w:lineRule="auto"/>
        <w:jc w:val="both"/>
        <w:rPr>
          <w:rFonts w:ascii="Times New Roman" w:eastAsia="Times New Roman" w:hAnsi="Times New Roman" w:cs="Times New Roman"/>
          <w:sz w:val="24"/>
          <w:szCs w:val="24"/>
        </w:rPr>
      </w:pPr>
      <w:r w:rsidRPr="00DB3E1C">
        <w:rPr>
          <w:rFonts w:ascii="Times New Roman" w:hAnsi="Times New Roman" w:cs="Times New Roman"/>
          <w:sz w:val="24"/>
          <w:szCs w:val="24"/>
        </w:rPr>
        <w:t>Takie podejście potwierdzają również wyroki Wojewódzkiego Sądu Administracyjnego we Wrocławiu z 7 września 2016 r., sygn. akt I SA/Wr 250/16</w:t>
      </w:r>
      <w:r w:rsidR="00C87AEB" w:rsidRPr="00DB3E1C">
        <w:rPr>
          <w:rFonts w:ascii="Times New Roman" w:hAnsi="Times New Roman" w:cs="Times New Roman"/>
          <w:sz w:val="24"/>
          <w:szCs w:val="24"/>
        </w:rPr>
        <w:t xml:space="preserve"> oraz</w:t>
      </w:r>
      <w:r w:rsidR="00C56449" w:rsidRPr="00DB3E1C">
        <w:rPr>
          <w:rFonts w:ascii="Times New Roman" w:hAnsi="Times New Roman" w:cs="Times New Roman"/>
          <w:sz w:val="24"/>
          <w:szCs w:val="24"/>
        </w:rPr>
        <w:t xml:space="preserve"> I SA/Wr 244/16</w:t>
      </w:r>
      <w:r w:rsidRPr="00DB3E1C">
        <w:rPr>
          <w:rFonts w:ascii="Times New Roman" w:hAnsi="Times New Roman" w:cs="Times New Roman"/>
          <w:sz w:val="24"/>
          <w:szCs w:val="24"/>
        </w:rPr>
        <w:t>, w świetle których wspólnotową zasadę swobody przepływu kapitału należy odnieść szerzej również do funduszy emerytalnych, a tezy zawarte we wskazanym wyroku TSUE w sprawie dotyczą nie tylko funduszy, których bezpośrednio spór dotyczył, ale również funduszy emerytalnych</w:t>
      </w:r>
      <w:r w:rsidR="00C87AEB" w:rsidRPr="00DB3E1C">
        <w:rPr>
          <w:rFonts w:ascii="Times New Roman" w:hAnsi="Times New Roman" w:cs="Times New Roman"/>
          <w:sz w:val="24"/>
          <w:szCs w:val="24"/>
        </w:rPr>
        <w:t>.</w:t>
      </w:r>
    </w:p>
    <w:p w14:paraId="74EBBBC8" w14:textId="48358662" w:rsidR="00F42BC8" w:rsidRPr="00DB3E1C" w:rsidRDefault="007965D3" w:rsidP="00DB3E1C">
      <w:pPr>
        <w:pStyle w:val="Akapitzlist"/>
        <w:numPr>
          <w:ilvl w:val="0"/>
          <w:numId w:val="3"/>
        </w:numPr>
        <w:spacing w:before="240" w:after="120" w:line="360" w:lineRule="auto"/>
        <w:ind w:left="567" w:hanging="283"/>
        <w:jc w:val="both"/>
        <w:rPr>
          <w:rFonts w:ascii="Times New Roman" w:eastAsia="Times New Roman" w:hAnsi="Times New Roman" w:cs="Times New Roman"/>
          <w:b/>
          <w:bCs/>
          <w:sz w:val="24"/>
          <w:szCs w:val="24"/>
          <w:lang w:eastAsia="pl-PL"/>
        </w:rPr>
      </w:pPr>
      <w:r w:rsidRPr="00DB3E1C">
        <w:rPr>
          <w:rFonts w:ascii="Times New Roman" w:eastAsia="Times New Roman" w:hAnsi="Times New Roman" w:cs="Times New Roman"/>
          <w:b/>
          <w:sz w:val="24"/>
          <w:szCs w:val="24"/>
          <w:lang w:eastAsia="pl-PL"/>
        </w:rPr>
        <w:t xml:space="preserve">Zmiana </w:t>
      </w:r>
      <w:r w:rsidR="00B95824" w:rsidRPr="00DB3E1C">
        <w:rPr>
          <w:rFonts w:ascii="Times New Roman" w:eastAsia="Times New Roman" w:hAnsi="Times New Roman" w:cs="Times New Roman"/>
          <w:b/>
          <w:bCs/>
          <w:sz w:val="24"/>
          <w:szCs w:val="24"/>
        </w:rPr>
        <w:t xml:space="preserve">warunku </w:t>
      </w:r>
      <w:r w:rsidR="00F42BC8" w:rsidRPr="00DB3E1C">
        <w:rPr>
          <w:rFonts w:ascii="Times New Roman" w:eastAsia="Times New Roman" w:hAnsi="Times New Roman" w:cs="Times New Roman"/>
          <w:b/>
          <w:bCs/>
          <w:sz w:val="24"/>
          <w:szCs w:val="24"/>
        </w:rPr>
        <w:t xml:space="preserve">zarządzania funduszem inwestycyjnym </w:t>
      </w:r>
      <w:r w:rsidR="00B95824" w:rsidRPr="00DB3E1C">
        <w:rPr>
          <w:rFonts w:ascii="Times New Roman" w:eastAsia="Times New Roman" w:hAnsi="Times New Roman" w:cs="Times New Roman"/>
          <w:b/>
          <w:bCs/>
          <w:sz w:val="24"/>
          <w:szCs w:val="24"/>
        </w:rPr>
        <w:t>(zarządzanie wewnętrzne)</w:t>
      </w:r>
      <w:r w:rsidR="000B0A27">
        <w:rPr>
          <w:rFonts w:ascii="Times New Roman" w:eastAsia="Times New Roman" w:hAnsi="Times New Roman" w:cs="Times New Roman"/>
          <w:b/>
          <w:bCs/>
          <w:sz w:val="24"/>
          <w:szCs w:val="24"/>
        </w:rPr>
        <w:t>.</w:t>
      </w:r>
    </w:p>
    <w:p w14:paraId="04092843" w14:textId="0686D7E3" w:rsidR="00227E90" w:rsidRPr="00DB3E1C" w:rsidRDefault="00227E90" w:rsidP="00DB3E1C">
      <w:pPr>
        <w:pStyle w:val="ZTIRLITzmlittiret"/>
        <w:ind w:left="0" w:firstLine="0"/>
        <w:rPr>
          <w:rFonts w:ascii="Times New Roman" w:eastAsia="Times New Roman" w:hAnsi="Times New Roman" w:cs="Times New Roman"/>
          <w:szCs w:val="24"/>
        </w:rPr>
      </w:pPr>
      <w:r w:rsidRPr="00DB3E1C">
        <w:rPr>
          <w:rFonts w:ascii="Times New Roman" w:eastAsia="Times New Roman" w:hAnsi="Times New Roman" w:cs="Times New Roman"/>
          <w:szCs w:val="24"/>
        </w:rPr>
        <w:t>Istotną zmianą proponowaną w ramach przedstawionego projektu</w:t>
      </w:r>
      <w:r w:rsidR="00851A8E" w:rsidRPr="00DB3E1C">
        <w:rPr>
          <w:rFonts w:ascii="Times New Roman" w:eastAsia="Times New Roman" w:hAnsi="Times New Roman" w:cs="Times New Roman"/>
          <w:szCs w:val="24"/>
        </w:rPr>
        <w:t xml:space="preserve">, w związku z </w:t>
      </w:r>
      <w:r w:rsidR="00851A8E" w:rsidRPr="00DB3E1C">
        <w:rPr>
          <w:rFonts w:ascii="Times New Roman" w:hAnsi="Times New Roman" w:cs="Times New Roman"/>
          <w:szCs w:val="24"/>
        </w:rPr>
        <w:t>wyrokiem TSUE w sprawie C-18/23,</w:t>
      </w:r>
      <w:r w:rsidRPr="00DB3E1C">
        <w:rPr>
          <w:rFonts w:ascii="Times New Roman" w:eastAsia="Times New Roman" w:hAnsi="Times New Roman" w:cs="Times New Roman"/>
          <w:szCs w:val="24"/>
        </w:rPr>
        <w:t xml:space="preserve"> jest</w:t>
      </w:r>
      <w:r w:rsidR="00F42BC8" w:rsidRPr="00DB3E1C">
        <w:rPr>
          <w:rFonts w:ascii="Times New Roman" w:eastAsia="Times New Roman" w:hAnsi="Times New Roman" w:cs="Times New Roman"/>
          <w:szCs w:val="24"/>
        </w:rPr>
        <w:t xml:space="preserve"> przeformułowanie warunku zawartego w art. 6 ust. 1 pkt 10a lit.</w:t>
      </w:r>
      <w:r w:rsidR="000B0A27">
        <w:rPr>
          <w:rFonts w:ascii="Times New Roman" w:eastAsia="Times New Roman" w:hAnsi="Times New Roman" w:cs="Times New Roman"/>
          <w:szCs w:val="24"/>
        </w:rPr>
        <w:t> </w:t>
      </w:r>
      <w:r w:rsidR="00F42BC8" w:rsidRPr="00DB3E1C">
        <w:rPr>
          <w:rFonts w:ascii="Times New Roman" w:eastAsia="Times New Roman" w:hAnsi="Times New Roman" w:cs="Times New Roman"/>
          <w:szCs w:val="24"/>
        </w:rPr>
        <w:t xml:space="preserve">f ustawy CIT. Przepis ten uzależnia przyznanie zwolnienia zagranicznym </w:t>
      </w:r>
      <w:r w:rsidRPr="00DB3E1C">
        <w:rPr>
          <w:rFonts w:ascii="Times New Roman" w:eastAsia="Times New Roman" w:hAnsi="Times New Roman" w:cs="Times New Roman"/>
          <w:szCs w:val="24"/>
        </w:rPr>
        <w:t>instytucjom wspólnego inwestowania</w:t>
      </w:r>
      <w:r w:rsidR="00F42BC8" w:rsidRPr="00DB3E1C">
        <w:rPr>
          <w:rFonts w:ascii="Times New Roman" w:eastAsia="Times New Roman" w:hAnsi="Times New Roman" w:cs="Times New Roman"/>
          <w:szCs w:val="24"/>
        </w:rPr>
        <w:t xml:space="preserve"> od tego, czy są zarządzane przez zewnętrzne podmioty, które działają na podstawie zezwolenia właściwych organów nadzoru. Proponuje się</w:t>
      </w:r>
      <w:r w:rsidR="003231F1">
        <w:rPr>
          <w:rFonts w:ascii="Times New Roman" w:eastAsia="Times New Roman" w:hAnsi="Times New Roman" w:cs="Times New Roman"/>
          <w:szCs w:val="24"/>
        </w:rPr>
        <w:t xml:space="preserve"> </w:t>
      </w:r>
      <w:r w:rsidR="00F42BC8" w:rsidRPr="00DB3E1C">
        <w:rPr>
          <w:rFonts w:ascii="Times New Roman" w:eastAsia="Times New Roman" w:hAnsi="Times New Roman" w:cs="Times New Roman"/>
          <w:szCs w:val="24"/>
        </w:rPr>
        <w:t>przeformułowanie dyskutowanego warunku tak, aby</w:t>
      </w:r>
      <w:r w:rsidRPr="00DB3E1C">
        <w:rPr>
          <w:rFonts w:ascii="Times New Roman" w:eastAsia="Times New Roman" w:hAnsi="Times New Roman" w:cs="Times New Roman"/>
          <w:szCs w:val="24"/>
        </w:rPr>
        <w:t xml:space="preserve"> miał on charakter bardziej ogólny</w:t>
      </w:r>
      <w:r w:rsidR="00491D41" w:rsidRPr="00DB3E1C">
        <w:rPr>
          <w:rFonts w:ascii="Times New Roman" w:eastAsia="Times New Roman" w:hAnsi="Times New Roman" w:cs="Times New Roman"/>
          <w:szCs w:val="24"/>
        </w:rPr>
        <w:t>,</w:t>
      </w:r>
      <w:r w:rsidRPr="00DB3E1C">
        <w:rPr>
          <w:rFonts w:ascii="Times New Roman" w:eastAsia="Times New Roman" w:hAnsi="Times New Roman" w:cs="Times New Roman"/>
          <w:szCs w:val="24"/>
        </w:rPr>
        <w:t xml:space="preserve"> tj. dozwalał formę zarządzania zgodną z przepisami danego państwa i</w:t>
      </w:r>
      <w:r w:rsidR="00F42BC8" w:rsidRPr="00DB3E1C">
        <w:rPr>
          <w:rFonts w:ascii="Times New Roman" w:eastAsia="Times New Roman" w:hAnsi="Times New Roman" w:cs="Times New Roman"/>
          <w:szCs w:val="24"/>
        </w:rPr>
        <w:t xml:space="preserve"> obejmował również zarządzanie wewnętrzne</w:t>
      </w:r>
      <w:r w:rsidRPr="00DB3E1C">
        <w:rPr>
          <w:rFonts w:ascii="Times New Roman" w:eastAsia="Times New Roman" w:hAnsi="Times New Roman" w:cs="Times New Roman"/>
          <w:szCs w:val="24"/>
        </w:rPr>
        <w:t xml:space="preserve">. </w:t>
      </w:r>
    </w:p>
    <w:p w14:paraId="2FE5431D" w14:textId="76105398" w:rsidR="00CF68F6" w:rsidRPr="00DB3E1C" w:rsidRDefault="00851A8E" w:rsidP="00DB3E1C">
      <w:pPr>
        <w:autoSpaceDE w:val="0"/>
        <w:autoSpaceDN w:val="0"/>
        <w:adjustRightInd w:val="0"/>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R</w:t>
      </w:r>
      <w:r w:rsidR="00CF68F6" w:rsidRPr="00DB3E1C">
        <w:rPr>
          <w:rFonts w:ascii="Times New Roman" w:hAnsi="Times New Roman" w:cs="Times New Roman"/>
          <w:sz w:val="24"/>
          <w:szCs w:val="24"/>
        </w:rPr>
        <w:t>ealizacj</w:t>
      </w:r>
      <w:r w:rsidRPr="00DB3E1C">
        <w:rPr>
          <w:rFonts w:ascii="Times New Roman" w:hAnsi="Times New Roman" w:cs="Times New Roman"/>
          <w:sz w:val="24"/>
          <w:szCs w:val="24"/>
        </w:rPr>
        <w:t>a</w:t>
      </w:r>
      <w:r w:rsidR="00CF68F6" w:rsidRPr="00DB3E1C">
        <w:rPr>
          <w:rFonts w:ascii="Times New Roman" w:hAnsi="Times New Roman" w:cs="Times New Roman"/>
          <w:sz w:val="24"/>
          <w:szCs w:val="24"/>
        </w:rPr>
        <w:t xml:space="preserve"> wyroku TSUE</w:t>
      </w:r>
      <w:r w:rsidRPr="00DB3E1C">
        <w:rPr>
          <w:rFonts w:ascii="Times New Roman" w:hAnsi="Times New Roman" w:cs="Times New Roman"/>
          <w:sz w:val="24"/>
          <w:szCs w:val="24"/>
        </w:rPr>
        <w:t xml:space="preserve"> w sprawie C-18/23</w:t>
      </w:r>
      <w:r w:rsidR="00CF68F6" w:rsidRPr="00DB3E1C">
        <w:rPr>
          <w:rFonts w:ascii="Times New Roman" w:hAnsi="Times New Roman" w:cs="Times New Roman"/>
          <w:sz w:val="24"/>
          <w:szCs w:val="24"/>
        </w:rPr>
        <w:t xml:space="preserve"> wymaga</w:t>
      </w:r>
      <w:r w:rsidRPr="00DB3E1C">
        <w:rPr>
          <w:rFonts w:ascii="Times New Roman" w:hAnsi="Times New Roman" w:cs="Times New Roman"/>
          <w:sz w:val="24"/>
          <w:szCs w:val="24"/>
        </w:rPr>
        <w:t xml:space="preserve"> jednakże</w:t>
      </w:r>
      <w:r w:rsidR="00CF68F6" w:rsidRPr="00DB3E1C">
        <w:rPr>
          <w:rFonts w:ascii="Times New Roman" w:hAnsi="Times New Roman" w:cs="Times New Roman"/>
          <w:sz w:val="24"/>
          <w:szCs w:val="24"/>
        </w:rPr>
        <w:t xml:space="preserve"> dwojakiego podejścia. Zgodnie bowiem z regulacjami z zakresu alternatywnych instytucji wspólnego inwestowania (alternatywnych funduszy inwestycyjnych</w:t>
      </w:r>
      <w:r w:rsidRPr="00DB3E1C">
        <w:rPr>
          <w:rFonts w:ascii="Times New Roman" w:hAnsi="Times New Roman" w:cs="Times New Roman"/>
          <w:sz w:val="24"/>
          <w:szCs w:val="24"/>
        </w:rPr>
        <w:t xml:space="preserve"> </w:t>
      </w:r>
      <w:r w:rsidR="00CF68F6" w:rsidRPr="00DB3E1C">
        <w:rPr>
          <w:rFonts w:ascii="Times New Roman" w:hAnsi="Times New Roman" w:cs="Times New Roman"/>
          <w:sz w:val="24"/>
          <w:szCs w:val="24"/>
        </w:rPr>
        <w:t>/</w:t>
      </w:r>
      <w:r w:rsidRPr="00DB3E1C">
        <w:rPr>
          <w:rFonts w:ascii="Times New Roman" w:hAnsi="Times New Roman" w:cs="Times New Roman"/>
          <w:sz w:val="24"/>
          <w:szCs w:val="24"/>
        </w:rPr>
        <w:t xml:space="preserve"> </w:t>
      </w:r>
      <w:r w:rsidR="00CF68F6" w:rsidRPr="00DB3E1C">
        <w:rPr>
          <w:rFonts w:ascii="Times New Roman" w:hAnsi="Times New Roman" w:cs="Times New Roman"/>
          <w:sz w:val="24"/>
          <w:szCs w:val="24"/>
        </w:rPr>
        <w:t xml:space="preserve">alternatywnych spółek inwestycyjnych) zarówno </w:t>
      </w:r>
      <w:bookmarkStart w:id="2" w:name="_Hlk204938050"/>
      <w:r w:rsidR="00CF68F6" w:rsidRPr="00DB3E1C">
        <w:rPr>
          <w:rFonts w:ascii="Times New Roman" w:hAnsi="Times New Roman" w:cs="Times New Roman"/>
          <w:sz w:val="24"/>
          <w:szCs w:val="24"/>
        </w:rPr>
        <w:t>dyrektywa PE i Rady 2011/61/UE z dnia 8 czerwca 2011 r. w sprawie zarządzających alternatywnymi funduszami inwestycyjnymi</w:t>
      </w:r>
      <w:r w:rsidRPr="00DB3E1C">
        <w:rPr>
          <w:rFonts w:ascii="Times New Roman" w:hAnsi="Times New Roman" w:cs="Times New Roman"/>
          <w:sz w:val="24"/>
          <w:szCs w:val="24"/>
        </w:rPr>
        <w:t xml:space="preserve"> (</w:t>
      </w:r>
      <w:r w:rsidRPr="00DB3E1C">
        <w:rPr>
          <w:rFonts w:ascii="Times New Roman" w:hAnsi="Times New Roman" w:cs="Times New Roman"/>
          <w:b/>
          <w:bCs/>
          <w:sz w:val="24"/>
          <w:szCs w:val="24"/>
        </w:rPr>
        <w:t>dyrektywa AIFMD</w:t>
      </w:r>
      <w:r w:rsidRPr="00DB3E1C">
        <w:rPr>
          <w:rFonts w:ascii="Times New Roman" w:hAnsi="Times New Roman" w:cs="Times New Roman"/>
          <w:sz w:val="24"/>
          <w:szCs w:val="24"/>
        </w:rPr>
        <w:t>),</w:t>
      </w:r>
      <w:r w:rsidR="00CF68F6" w:rsidRPr="00DB3E1C">
        <w:rPr>
          <w:rFonts w:ascii="Times New Roman" w:hAnsi="Times New Roman" w:cs="Times New Roman"/>
          <w:sz w:val="24"/>
          <w:szCs w:val="24"/>
        </w:rPr>
        <w:t xml:space="preserve"> zmiany dyrektyw 2003/41/WE i 2009/65/WE</w:t>
      </w:r>
      <w:bookmarkEnd w:id="2"/>
      <w:r w:rsidR="00CF68F6" w:rsidRPr="00DB3E1C">
        <w:rPr>
          <w:rFonts w:ascii="Times New Roman" w:hAnsi="Times New Roman" w:cs="Times New Roman"/>
          <w:sz w:val="24"/>
          <w:szCs w:val="24"/>
        </w:rPr>
        <w:t xml:space="preserve"> oraz rozporządzeń (WE) nr 1060/2009 i (UE) nr 1095/2010</w:t>
      </w:r>
      <w:r w:rsidRPr="00DB3E1C">
        <w:rPr>
          <w:rFonts w:ascii="Times New Roman" w:hAnsi="Times New Roman" w:cs="Times New Roman"/>
          <w:sz w:val="24"/>
          <w:szCs w:val="24"/>
        </w:rPr>
        <w:t>,</w:t>
      </w:r>
      <w:r w:rsidR="00CF68F6" w:rsidRPr="00DB3E1C">
        <w:rPr>
          <w:rFonts w:ascii="Times New Roman" w:hAnsi="Times New Roman" w:cs="Times New Roman"/>
          <w:sz w:val="24"/>
          <w:szCs w:val="24"/>
        </w:rPr>
        <w:t xml:space="preserve"> jak i ustawa z dnia 27 maja 2004 r. o funduszach inwestycyjnych i zarządzaniu alternatywnymi funduszami inwestycyjnymi, w przypadku wewnętrznie zarządzanych alternatywnych funduszy inwestycyjnych</w:t>
      </w:r>
      <w:r w:rsidR="001740E0" w:rsidRPr="00DB3E1C">
        <w:rPr>
          <w:rFonts w:ascii="Times New Roman" w:hAnsi="Times New Roman" w:cs="Times New Roman"/>
          <w:sz w:val="24"/>
          <w:szCs w:val="24"/>
        </w:rPr>
        <w:t xml:space="preserve"> (dalej: </w:t>
      </w:r>
      <w:r w:rsidR="001740E0" w:rsidRPr="00DB3E1C">
        <w:rPr>
          <w:rFonts w:ascii="Times New Roman" w:hAnsi="Times New Roman" w:cs="Times New Roman"/>
          <w:b/>
          <w:bCs/>
          <w:sz w:val="24"/>
          <w:szCs w:val="24"/>
        </w:rPr>
        <w:t>ustawa o funduszach inwestycyjnych</w:t>
      </w:r>
      <w:r w:rsidR="001740E0" w:rsidRPr="00DB3E1C">
        <w:rPr>
          <w:rFonts w:ascii="Times New Roman" w:hAnsi="Times New Roman" w:cs="Times New Roman"/>
          <w:sz w:val="24"/>
          <w:szCs w:val="24"/>
        </w:rPr>
        <w:t>)</w:t>
      </w:r>
      <w:r w:rsidR="00CF68F6" w:rsidRPr="00DB3E1C">
        <w:rPr>
          <w:rFonts w:ascii="Times New Roman" w:hAnsi="Times New Roman" w:cs="Times New Roman"/>
          <w:sz w:val="24"/>
          <w:szCs w:val="24"/>
        </w:rPr>
        <w:t xml:space="preserve"> uznaje </w:t>
      </w:r>
      <w:r w:rsidR="00CF68F6" w:rsidRPr="00DB3E1C">
        <w:rPr>
          <w:rFonts w:ascii="Times New Roman" w:hAnsi="Times New Roman" w:cs="Times New Roman"/>
          <w:sz w:val="24"/>
          <w:szCs w:val="24"/>
        </w:rPr>
        <w:lastRenderedPageBreak/>
        <w:t>zarządzającego alternatywnym fundusze</w:t>
      </w:r>
      <w:r w:rsidRPr="00DB3E1C">
        <w:rPr>
          <w:rFonts w:ascii="Times New Roman" w:hAnsi="Times New Roman" w:cs="Times New Roman"/>
          <w:sz w:val="24"/>
          <w:szCs w:val="24"/>
        </w:rPr>
        <w:t>m</w:t>
      </w:r>
      <w:r w:rsidR="00CF68F6" w:rsidRPr="00DB3E1C">
        <w:rPr>
          <w:rFonts w:ascii="Times New Roman" w:hAnsi="Times New Roman" w:cs="Times New Roman"/>
          <w:sz w:val="24"/>
          <w:szCs w:val="24"/>
        </w:rPr>
        <w:t xml:space="preserve"> inwestycyjnym (ZAFI) za tożsamego z alternatywnym funduszem inwestycyjnym, który w takiej sytuacji uzyskuje zezwolenie jako ZAFI. Wynika to z faktu, że regulacje unijne z zakresu alternatywnych funduszy inwestycyjnych są skierowane do zarządzających tymi funduszami</w:t>
      </w:r>
      <w:r w:rsidRPr="00DB3E1C">
        <w:rPr>
          <w:rFonts w:ascii="Times New Roman" w:hAnsi="Times New Roman" w:cs="Times New Roman"/>
          <w:sz w:val="24"/>
          <w:szCs w:val="24"/>
        </w:rPr>
        <w:t>,</w:t>
      </w:r>
      <w:r w:rsidR="00CF68F6" w:rsidRPr="00DB3E1C">
        <w:rPr>
          <w:rFonts w:ascii="Times New Roman" w:hAnsi="Times New Roman" w:cs="Times New Roman"/>
          <w:sz w:val="24"/>
          <w:szCs w:val="24"/>
        </w:rPr>
        <w:t xml:space="preserve"> a nie samych funduszy. Dlatego w zmianie lit. f wskazano wprost, że w przypadku gdy instytucje wspólnego inwestowania są wewnętrznie zarządzane</w:t>
      </w:r>
      <w:r w:rsidR="00341733" w:rsidRPr="00DB3E1C">
        <w:rPr>
          <w:rFonts w:ascii="Times New Roman" w:hAnsi="Times New Roman" w:cs="Times New Roman"/>
          <w:sz w:val="24"/>
          <w:szCs w:val="24"/>
        </w:rPr>
        <w:t>,</w:t>
      </w:r>
      <w:r w:rsidR="00CF68F6" w:rsidRPr="00DB3E1C">
        <w:rPr>
          <w:rFonts w:ascii="Times New Roman" w:hAnsi="Times New Roman" w:cs="Times New Roman"/>
          <w:sz w:val="24"/>
          <w:szCs w:val="24"/>
        </w:rPr>
        <w:t xml:space="preserve"> instytucje t</w:t>
      </w:r>
      <w:r w:rsidR="00341733" w:rsidRPr="00DB3E1C">
        <w:rPr>
          <w:rFonts w:ascii="Times New Roman" w:hAnsi="Times New Roman" w:cs="Times New Roman"/>
          <w:sz w:val="24"/>
          <w:szCs w:val="24"/>
        </w:rPr>
        <w:t>e</w:t>
      </w:r>
      <w:r w:rsidR="00CF68F6" w:rsidRPr="00DB3E1C">
        <w:rPr>
          <w:rFonts w:ascii="Times New Roman" w:hAnsi="Times New Roman" w:cs="Times New Roman"/>
          <w:sz w:val="24"/>
          <w:szCs w:val="24"/>
        </w:rPr>
        <w:t xml:space="preserve"> prowadzą swoją działalność na podstawie zezwolenia właściwych organów nadzoru nad rynkiem finansowym państwa, w którym mają siedzibę, na zarządzanie takimi instytucjami wspólnego inwestowania. Odmienne podejście zostało jednak przyjęte w prawie unijnym </w:t>
      </w:r>
      <w:r w:rsidR="000B0A27">
        <w:rPr>
          <w:rFonts w:ascii="Times New Roman" w:hAnsi="Times New Roman" w:cs="Times New Roman"/>
          <w:sz w:val="24"/>
          <w:szCs w:val="24"/>
        </w:rPr>
        <w:t xml:space="preserve">w </w:t>
      </w:r>
      <w:r w:rsidR="00CF68F6" w:rsidRPr="00DB3E1C">
        <w:rPr>
          <w:rFonts w:ascii="Times New Roman" w:hAnsi="Times New Roman" w:cs="Times New Roman"/>
          <w:sz w:val="24"/>
          <w:szCs w:val="24"/>
        </w:rPr>
        <w:t xml:space="preserve">przypadku instytucji wspólnego inwestowania typu UCITS. </w:t>
      </w:r>
      <w:bookmarkStart w:id="3" w:name="_Hlk204938083"/>
      <w:r w:rsidR="00CF68F6" w:rsidRPr="00DB3E1C">
        <w:rPr>
          <w:rFonts w:ascii="Times New Roman" w:hAnsi="Times New Roman" w:cs="Times New Roman"/>
          <w:i/>
          <w:iCs/>
          <w:sz w:val="24"/>
          <w:szCs w:val="24"/>
        </w:rPr>
        <w:t>Dyrektywa PE i Rady 2009/65/WE z dnia 13 lipca 2009 r. w sprawie koordynacji przepisów ustawowych, wykonawczych i administracyjnych odnoszących się do przedsiębiorstw zbiorowego inwestowania w zbywalne papiery wartościowe</w:t>
      </w:r>
      <w:r w:rsidR="00CF68F6" w:rsidRPr="00DB3E1C">
        <w:rPr>
          <w:rFonts w:ascii="Times New Roman" w:hAnsi="Times New Roman" w:cs="Times New Roman"/>
          <w:sz w:val="24"/>
          <w:szCs w:val="24"/>
        </w:rPr>
        <w:t xml:space="preserve"> (</w:t>
      </w:r>
      <w:r w:rsidR="00341733" w:rsidRPr="00DB3E1C">
        <w:rPr>
          <w:rFonts w:ascii="Times New Roman" w:hAnsi="Times New Roman" w:cs="Times New Roman"/>
          <w:b/>
          <w:bCs/>
          <w:sz w:val="24"/>
          <w:szCs w:val="24"/>
        </w:rPr>
        <w:t xml:space="preserve">dyrektywa </w:t>
      </w:r>
      <w:r w:rsidR="00CF68F6" w:rsidRPr="00DB3E1C">
        <w:rPr>
          <w:rFonts w:ascii="Times New Roman" w:hAnsi="Times New Roman" w:cs="Times New Roman"/>
          <w:b/>
          <w:bCs/>
          <w:sz w:val="24"/>
          <w:szCs w:val="24"/>
        </w:rPr>
        <w:t>UCITS</w:t>
      </w:r>
      <w:r w:rsidR="00CF68F6" w:rsidRPr="00DB3E1C">
        <w:rPr>
          <w:rFonts w:ascii="Times New Roman" w:hAnsi="Times New Roman" w:cs="Times New Roman"/>
          <w:sz w:val="24"/>
          <w:szCs w:val="24"/>
        </w:rPr>
        <w:t>)</w:t>
      </w:r>
      <w:bookmarkEnd w:id="3"/>
      <w:r w:rsidR="00CF68F6" w:rsidRPr="00DB3E1C">
        <w:rPr>
          <w:rFonts w:ascii="Times New Roman" w:hAnsi="Times New Roman" w:cs="Times New Roman"/>
          <w:sz w:val="24"/>
          <w:szCs w:val="24"/>
        </w:rPr>
        <w:t xml:space="preserve"> reguluje bowiem zarówno działalność instytucji wspólnego inwestowania typu UCITS</w:t>
      </w:r>
      <w:r w:rsidR="001740E0" w:rsidRPr="00DB3E1C">
        <w:rPr>
          <w:rFonts w:ascii="Times New Roman" w:hAnsi="Times New Roman" w:cs="Times New Roman"/>
          <w:sz w:val="24"/>
          <w:szCs w:val="24"/>
        </w:rPr>
        <w:t>,</w:t>
      </w:r>
      <w:r w:rsidR="00CF68F6" w:rsidRPr="00DB3E1C">
        <w:rPr>
          <w:rFonts w:ascii="Times New Roman" w:hAnsi="Times New Roman" w:cs="Times New Roman"/>
          <w:sz w:val="24"/>
          <w:szCs w:val="24"/>
        </w:rPr>
        <w:t xml:space="preserve"> jak również podmiotów zarządzających tymi instytucjami. Co istotne</w:t>
      </w:r>
      <w:r w:rsidR="001740E0" w:rsidRPr="00DB3E1C">
        <w:rPr>
          <w:rFonts w:ascii="Times New Roman" w:hAnsi="Times New Roman" w:cs="Times New Roman"/>
          <w:sz w:val="24"/>
          <w:szCs w:val="24"/>
        </w:rPr>
        <w:t>,</w:t>
      </w:r>
      <w:r w:rsidR="00CF68F6" w:rsidRPr="00DB3E1C">
        <w:rPr>
          <w:rFonts w:ascii="Times New Roman" w:hAnsi="Times New Roman" w:cs="Times New Roman"/>
          <w:sz w:val="24"/>
          <w:szCs w:val="24"/>
        </w:rPr>
        <w:t xml:space="preserve"> wewnętrznie zarządzanymi instytucjami wspólnego inwestowania typu UCITS, co do zasady, są spółki inwestycyjne, które nie wyznaczyły zewnętrznej spółki zarządzającej posiadającej zezwolenie na działalność zgodnie z dyrektywą 2009/65/WE. W przypadku takiej spółki inwestycyjnej ocena jej zdolności do wewnętrznego zarządzania dokonywana jest w trakcie procesu wydawania zezwolenia dla tej spółki na prowadzenie działalności jako przedsiębiorstwo wspólnego inwestowania. Mając na uwadze, że</w:t>
      </w:r>
      <w:r w:rsidR="001740E0" w:rsidRPr="00DB3E1C">
        <w:rPr>
          <w:rFonts w:ascii="Times New Roman" w:hAnsi="Times New Roman" w:cs="Times New Roman"/>
          <w:sz w:val="24"/>
          <w:szCs w:val="24"/>
        </w:rPr>
        <w:t xml:space="preserve"> art. 6 ust. 1</w:t>
      </w:r>
      <w:r w:rsidR="00CF68F6" w:rsidRPr="00DB3E1C">
        <w:rPr>
          <w:rFonts w:ascii="Times New Roman" w:hAnsi="Times New Roman" w:cs="Times New Roman"/>
          <w:sz w:val="24"/>
          <w:szCs w:val="24"/>
        </w:rPr>
        <w:t xml:space="preserve"> pkt 10a w dużym stopniu określa warunki zwolnienia z CIT dla instytucji wspólnego inwestowania typu UCIT</w:t>
      </w:r>
      <w:r w:rsidR="001740E0" w:rsidRPr="00DB3E1C">
        <w:rPr>
          <w:rFonts w:ascii="Times New Roman" w:hAnsi="Times New Roman" w:cs="Times New Roman"/>
          <w:sz w:val="24"/>
          <w:szCs w:val="24"/>
        </w:rPr>
        <w:t>S (w odniesieniu do UE),</w:t>
      </w:r>
      <w:r w:rsidR="00CF68F6" w:rsidRPr="00DB3E1C">
        <w:rPr>
          <w:rFonts w:ascii="Times New Roman" w:hAnsi="Times New Roman" w:cs="Times New Roman"/>
          <w:sz w:val="24"/>
          <w:szCs w:val="24"/>
        </w:rPr>
        <w:t xml:space="preserve"> </w:t>
      </w:r>
      <w:r w:rsidR="001740E0" w:rsidRPr="00DB3E1C">
        <w:rPr>
          <w:rFonts w:ascii="Times New Roman" w:hAnsi="Times New Roman" w:cs="Times New Roman"/>
          <w:sz w:val="24"/>
          <w:szCs w:val="24"/>
        </w:rPr>
        <w:t xml:space="preserve">w warunku wskazanym w </w:t>
      </w:r>
      <w:r w:rsidR="00CF68F6" w:rsidRPr="00DB3E1C">
        <w:rPr>
          <w:rFonts w:ascii="Times New Roman" w:hAnsi="Times New Roman" w:cs="Times New Roman"/>
          <w:sz w:val="24"/>
          <w:szCs w:val="24"/>
        </w:rPr>
        <w:t>lit. f rozpoznano również ten przypadek</w:t>
      </w:r>
      <w:r w:rsidR="00AF6535">
        <w:rPr>
          <w:rFonts w:ascii="Times New Roman" w:hAnsi="Times New Roman" w:cs="Times New Roman"/>
          <w:sz w:val="24"/>
          <w:szCs w:val="24"/>
        </w:rPr>
        <w:t>,</w:t>
      </w:r>
      <w:r w:rsidR="00CF68F6" w:rsidRPr="00DB3E1C">
        <w:rPr>
          <w:rFonts w:ascii="Times New Roman" w:hAnsi="Times New Roman" w:cs="Times New Roman"/>
          <w:sz w:val="24"/>
          <w:szCs w:val="24"/>
        </w:rPr>
        <w:t xml:space="preserve"> wskazując, że w przypadku gdy instytucje wspólnego inwestowania są wewnętrznie zarządzane</w:t>
      </w:r>
      <w:r w:rsidR="001740E0" w:rsidRPr="00DB3E1C">
        <w:rPr>
          <w:rFonts w:ascii="Times New Roman" w:hAnsi="Times New Roman" w:cs="Times New Roman"/>
          <w:sz w:val="24"/>
          <w:szCs w:val="24"/>
        </w:rPr>
        <w:t>,</w:t>
      </w:r>
      <w:r w:rsidR="00CF68F6" w:rsidRPr="00DB3E1C">
        <w:rPr>
          <w:rFonts w:ascii="Times New Roman" w:hAnsi="Times New Roman" w:cs="Times New Roman"/>
          <w:sz w:val="24"/>
          <w:szCs w:val="24"/>
        </w:rPr>
        <w:t xml:space="preserve"> instytucje te prowadzą swoją działalność na podstawie zezwolenia, o którym mowa w lit. c.</w:t>
      </w:r>
    </w:p>
    <w:p w14:paraId="094C8A47" w14:textId="31AEC1DD" w:rsidR="00CF68F6" w:rsidRPr="00DB3E1C" w:rsidRDefault="00CF68F6" w:rsidP="00DB3E1C">
      <w:pPr>
        <w:pStyle w:val="Tekstkomentarza"/>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Wyjaśnienia przy tym wymaga, że ustawa o funduszach inwestycyjnych nie przewiduje możliwości tworzenia w Polsce wewnętrznie zarządzanych instytucji wspólnego inwestowania typu UCITS. Instytucje takie mogą być wyłącznie tworzone jako fundusze inwestycyjne otwarte zarządzane zewnętrznie przez towarzystwa funduszy inwestycyjnych</w:t>
      </w:r>
      <w:r w:rsidR="001740E0" w:rsidRPr="00DB3E1C">
        <w:rPr>
          <w:rFonts w:ascii="Times New Roman" w:hAnsi="Times New Roman" w:cs="Times New Roman"/>
          <w:sz w:val="24"/>
          <w:szCs w:val="24"/>
        </w:rPr>
        <w:t xml:space="preserve"> (</w:t>
      </w:r>
      <w:r w:rsidR="00AF6535">
        <w:rPr>
          <w:rFonts w:ascii="Times New Roman" w:hAnsi="Times New Roman" w:cs="Times New Roman"/>
          <w:sz w:val="24"/>
          <w:szCs w:val="24"/>
        </w:rPr>
        <w:t>u</w:t>
      </w:r>
      <w:r w:rsidR="001740E0" w:rsidRPr="00DB3E1C">
        <w:rPr>
          <w:rFonts w:ascii="Times New Roman" w:hAnsi="Times New Roman" w:cs="Times New Roman"/>
          <w:sz w:val="24"/>
          <w:szCs w:val="24"/>
        </w:rPr>
        <w:t>stawa ta przewiduje możliwość wewnętrznego zarządzania wyłącznie w przypadku alternatywnych funduszy inwestycyjnych, jakimi są alternatywne spółki inwestycyjne).</w:t>
      </w:r>
    </w:p>
    <w:p w14:paraId="586177FE" w14:textId="3A629782" w:rsidR="00CF68F6" w:rsidRPr="00DB3E1C" w:rsidRDefault="00CF68F6" w:rsidP="00DB3E1C">
      <w:pPr>
        <w:pStyle w:val="Tekstkomentarza"/>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 xml:space="preserve">Dodatkowo w lit. f doprecyzowano, że zezwolenie podmiotu, który zarządza instytucją wspólnego inwestowania, ma być zezwoleniem na zarządzanie taką instytucją. Obecnie mowa jest o prowadzeniu przez podmiot zarządzający swojej działalności na podstawie zezwolenia </w:t>
      </w:r>
      <w:r w:rsidRPr="00DB3E1C">
        <w:rPr>
          <w:rFonts w:ascii="Times New Roman" w:hAnsi="Times New Roman" w:cs="Times New Roman"/>
          <w:sz w:val="24"/>
          <w:szCs w:val="24"/>
        </w:rPr>
        <w:lastRenderedPageBreak/>
        <w:t>właściwego organu nadzoru nad rynkiem finansowym państwa, w którym podmiot ten ma siedzibę, co mogło być mylnie interpretowane, że wystarczające jest jakiekolwiek zezwolenie, niezwiązane z zarządzaniem instytucjami wspólnego inwestowania.</w:t>
      </w:r>
    </w:p>
    <w:p w14:paraId="7D8AA00B" w14:textId="609D7F55" w:rsidR="00B95824" w:rsidRPr="00DB3E1C" w:rsidRDefault="00CF68F6" w:rsidP="00DB3E1C">
      <w:pPr>
        <w:pStyle w:val="ZTIRLITzmlittiret"/>
        <w:spacing w:before="240"/>
        <w:ind w:left="0" w:firstLine="0"/>
        <w:rPr>
          <w:rFonts w:ascii="Times New Roman" w:hAnsi="Times New Roman" w:cs="Times New Roman"/>
          <w:szCs w:val="24"/>
        </w:rPr>
      </w:pPr>
      <w:r w:rsidRPr="00DB3E1C">
        <w:rPr>
          <w:rFonts w:ascii="Times New Roman" w:hAnsi="Times New Roman" w:cs="Times New Roman"/>
          <w:szCs w:val="24"/>
        </w:rPr>
        <w:t>Zatem, z</w:t>
      </w:r>
      <w:r w:rsidR="00623903" w:rsidRPr="00DB3E1C">
        <w:rPr>
          <w:rFonts w:ascii="Times New Roman" w:hAnsi="Times New Roman" w:cs="Times New Roman"/>
          <w:szCs w:val="24"/>
        </w:rPr>
        <w:t xml:space="preserve">godnie z proponowanym brzmieniem </w:t>
      </w:r>
      <w:r w:rsidR="00623903" w:rsidRPr="00DB3E1C">
        <w:rPr>
          <w:rFonts w:ascii="Times New Roman" w:eastAsia="Times New Roman" w:hAnsi="Times New Roman" w:cs="Times New Roman"/>
          <w:szCs w:val="24"/>
        </w:rPr>
        <w:t>art. 6 ust. 1 pkt 10a lit. f</w:t>
      </w:r>
      <w:r w:rsidR="00623903" w:rsidRPr="00DB3E1C">
        <w:rPr>
          <w:rFonts w:ascii="Times New Roman" w:hAnsi="Times New Roman" w:cs="Times New Roman"/>
          <w:szCs w:val="24"/>
        </w:rPr>
        <w:t>, zwolnienie będzie przysługiwało również instytucjom wspólnego inwestowania</w:t>
      </w:r>
      <w:r w:rsidR="003143BA" w:rsidRPr="00DB3E1C">
        <w:rPr>
          <w:rFonts w:ascii="Times New Roman" w:hAnsi="Times New Roman" w:cs="Times New Roman"/>
          <w:szCs w:val="24"/>
        </w:rPr>
        <w:t xml:space="preserve"> zarządzanym wewnętrznie, jeżeli instytucje te prowadzą swoją działalność na podstawie zezwolenia właściwych organów nadzoru nad rynkiem finansowym państwa, w którym mają siedzibę, na zarządzanie takimi instytucjami wspólnego inwestowania albo zezwolenia, o którym mowa w art. 6 ust. 1 pkt 10a lit. c.</w:t>
      </w:r>
      <w:r w:rsidR="00623903" w:rsidRPr="00DB3E1C">
        <w:rPr>
          <w:rFonts w:ascii="Times New Roman" w:hAnsi="Times New Roman" w:cs="Times New Roman"/>
          <w:szCs w:val="24"/>
        </w:rPr>
        <w:t xml:space="preserve"> Pozwoli to na utrzymanie przewidzianego dotychczas w polskich przepisach CIT odpowiedniego standardu w zakresie ochrony inwestorów i zabezpieczenia ryzyka, który wyraża się poprzez odpowiednie wymogi względem zarządzającego.</w:t>
      </w:r>
      <w:r w:rsidR="001D52FC" w:rsidRPr="00DB3E1C">
        <w:rPr>
          <w:rFonts w:ascii="Times New Roman" w:hAnsi="Times New Roman" w:cs="Times New Roman"/>
          <w:szCs w:val="24"/>
        </w:rPr>
        <w:t xml:space="preserve"> </w:t>
      </w:r>
      <w:r w:rsidR="00B95824" w:rsidRPr="00DB3E1C">
        <w:rPr>
          <w:rFonts w:ascii="Times New Roman" w:hAnsi="Times New Roman" w:cs="Times New Roman"/>
          <w:szCs w:val="24"/>
        </w:rPr>
        <w:t>Warunek</w:t>
      </w:r>
      <w:r w:rsidR="003143BA" w:rsidRPr="00DB3E1C">
        <w:rPr>
          <w:rFonts w:ascii="Times New Roman" w:hAnsi="Times New Roman" w:cs="Times New Roman"/>
          <w:szCs w:val="24"/>
        </w:rPr>
        <w:t xml:space="preserve"> zezwolenia na zarządzanie funduszem oznacza, że spełnione będą</w:t>
      </w:r>
      <w:r w:rsidR="00B95824" w:rsidRPr="00DB3E1C">
        <w:rPr>
          <w:rFonts w:ascii="Times New Roman" w:hAnsi="Times New Roman" w:cs="Times New Roman"/>
          <w:szCs w:val="24"/>
        </w:rPr>
        <w:t>, co do zasady,</w:t>
      </w:r>
      <w:r w:rsidR="003143BA" w:rsidRPr="00DB3E1C">
        <w:rPr>
          <w:rFonts w:ascii="Times New Roman" w:hAnsi="Times New Roman" w:cs="Times New Roman"/>
          <w:szCs w:val="24"/>
        </w:rPr>
        <w:t xml:space="preserve"> bardziej rygorystyczne w</w:t>
      </w:r>
      <w:r w:rsidR="00B95824" w:rsidRPr="00DB3E1C">
        <w:rPr>
          <w:rFonts w:ascii="Times New Roman" w:hAnsi="Times New Roman" w:cs="Times New Roman"/>
          <w:szCs w:val="24"/>
        </w:rPr>
        <w:t xml:space="preserve">ymogi, w szczególności w zakresie raportowania, zabezpieczenia ryzyka i weryfikacji osób zarządzających. </w:t>
      </w:r>
    </w:p>
    <w:p w14:paraId="3A96A157" w14:textId="7685593F" w:rsidR="003F47DD" w:rsidRPr="00DB3E1C" w:rsidRDefault="00B95824" w:rsidP="00DB3E1C">
      <w:pPr>
        <w:pStyle w:val="ZTIRLITzmlittiret"/>
        <w:spacing w:before="240"/>
        <w:ind w:left="0" w:firstLine="0"/>
        <w:rPr>
          <w:rFonts w:ascii="Times New Roman" w:eastAsia="Times New Roman" w:hAnsi="Times New Roman" w:cs="Times New Roman"/>
          <w:szCs w:val="24"/>
        </w:rPr>
      </w:pPr>
      <w:r w:rsidRPr="00DB3E1C">
        <w:rPr>
          <w:rFonts w:ascii="Times New Roman" w:hAnsi="Times New Roman" w:cs="Times New Roman"/>
          <w:szCs w:val="24"/>
        </w:rPr>
        <w:t>Należy zaznaczyć, że r</w:t>
      </w:r>
      <w:r w:rsidR="001D52FC" w:rsidRPr="00DB3E1C">
        <w:rPr>
          <w:rFonts w:ascii="Times New Roman" w:hAnsi="Times New Roman" w:cs="Times New Roman"/>
          <w:szCs w:val="24"/>
        </w:rPr>
        <w:t>ozszerzenie zwolnienia na skutek wyroku TSUE ma zapewnić brak dyskryminacji podmiotów porównywalnych do podmiotów</w:t>
      </w:r>
      <w:r w:rsidR="007634A6" w:rsidRPr="00DB3E1C">
        <w:rPr>
          <w:rFonts w:ascii="Times New Roman" w:hAnsi="Times New Roman" w:cs="Times New Roman"/>
          <w:szCs w:val="24"/>
        </w:rPr>
        <w:t xml:space="preserve"> obecnie</w:t>
      </w:r>
      <w:r w:rsidR="001D52FC" w:rsidRPr="00DB3E1C">
        <w:rPr>
          <w:rFonts w:ascii="Times New Roman" w:hAnsi="Times New Roman" w:cs="Times New Roman"/>
          <w:szCs w:val="24"/>
        </w:rPr>
        <w:t xml:space="preserve"> objętych zwolnieniem.</w:t>
      </w:r>
      <w:r w:rsidR="00623903" w:rsidRPr="00DB3E1C">
        <w:rPr>
          <w:rFonts w:ascii="Times New Roman" w:hAnsi="Times New Roman" w:cs="Times New Roman"/>
          <w:szCs w:val="24"/>
        </w:rPr>
        <w:t xml:space="preserve"> </w:t>
      </w:r>
      <w:r w:rsidR="001D52FC" w:rsidRPr="00DB3E1C">
        <w:rPr>
          <w:rFonts w:ascii="Times New Roman" w:hAnsi="Times New Roman" w:cs="Times New Roman"/>
          <w:szCs w:val="24"/>
        </w:rPr>
        <w:t xml:space="preserve">Przyjęcie porównywalności </w:t>
      </w:r>
      <w:r w:rsidR="0054221F" w:rsidRPr="00DB3E1C">
        <w:rPr>
          <w:rFonts w:ascii="Times New Roman" w:hAnsi="Times New Roman" w:cs="Times New Roman"/>
          <w:szCs w:val="24"/>
        </w:rPr>
        <w:t xml:space="preserve">tych </w:t>
      </w:r>
      <w:r w:rsidR="001D52FC" w:rsidRPr="00DB3E1C">
        <w:rPr>
          <w:rFonts w:ascii="Times New Roman" w:hAnsi="Times New Roman" w:cs="Times New Roman"/>
          <w:szCs w:val="24"/>
        </w:rPr>
        <w:t>warunk</w:t>
      </w:r>
      <w:r w:rsidR="0054221F" w:rsidRPr="00DB3E1C">
        <w:rPr>
          <w:rFonts w:ascii="Times New Roman" w:hAnsi="Times New Roman" w:cs="Times New Roman"/>
          <w:szCs w:val="24"/>
        </w:rPr>
        <w:t>ów</w:t>
      </w:r>
      <w:r w:rsidR="001D52FC" w:rsidRPr="00DB3E1C">
        <w:rPr>
          <w:rFonts w:ascii="Times New Roman" w:hAnsi="Times New Roman" w:cs="Times New Roman"/>
          <w:szCs w:val="24"/>
        </w:rPr>
        <w:t xml:space="preserve"> </w:t>
      </w:r>
      <w:r w:rsidR="007634A6" w:rsidRPr="00DB3E1C">
        <w:rPr>
          <w:rFonts w:ascii="Times New Roman" w:hAnsi="Times New Roman" w:cs="Times New Roman"/>
          <w:szCs w:val="24"/>
        </w:rPr>
        <w:t xml:space="preserve">m.in. </w:t>
      </w:r>
      <w:r w:rsidR="00623903" w:rsidRPr="00DB3E1C">
        <w:rPr>
          <w:rFonts w:ascii="Times New Roman" w:hAnsi="Times New Roman" w:cs="Times New Roman"/>
          <w:szCs w:val="24"/>
        </w:rPr>
        <w:t>odzwierciedla standardy przewidziane Dyrektywą UCITS</w:t>
      </w:r>
      <w:r w:rsidR="007634A6" w:rsidRPr="00DB3E1C">
        <w:rPr>
          <w:rFonts w:ascii="Times New Roman" w:hAnsi="Times New Roman" w:cs="Times New Roman"/>
          <w:szCs w:val="24"/>
        </w:rPr>
        <w:t>, w tym</w:t>
      </w:r>
      <w:r w:rsidR="00623903" w:rsidRPr="00DB3E1C">
        <w:rPr>
          <w:rFonts w:ascii="Times New Roman" w:hAnsi="Times New Roman" w:cs="Times New Roman"/>
          <w:szCs w:val="24"/>
        </w:rPr>
        <w:t xml:space="preserve"> odnoszące się do instytucji wspólnego inwestowania, które nie wyznaczyły spółki zarządzającej (działających w formie statutowej)</w:t>
      </w:r>
      <w:r w:rsidR="00623903" w:rsidRPr="00DB3E1C">
        <w:rPr>
          <w:rStyle w:val="Odwoanieprzypisudolnego"/>
          <w:rFonts w:ascii="Times New Roman" w:hAnsi="Times New Roman" w:cs="Times New Roman"/>
          <w:szCs w:val="24"/>
        </w:rPr>
        <w:footnoteReference w:id="3"/>
      </w:r>
      <w:r w:rsidR="00623903" w:rsidRPr="00DB3E1C">
        <w:rPr>
          <w:rFonts w:ascii="Times New Roman" w:hAnsi="Times New Roman" w:cs="Times New Roman"/>
          <w:szCs w:val="24"/>
        </w:rPr>
        <w:t xml:space="preserve">. </w:t>
      </w:r>
      <w:r w:rsidR="007634A6" w:rsidRPr="00DB3E1C">
        <w:rPr>
          <w:rFonts w:ascii="Times New Roman" w:hAnsi="Times New Roman" w:cs="Times New Roman"/>
          <w:szCs w:val="24"/>
        </w:rPr>
        <w:t>W przypadku takiego zarządu wewnętrznego s</w:t>
      </w:r>
      <w:r w:rsidR="00623903" w:rsidRPr="00DB3E1C">
        <w:rPr>
          <w:rFonts w:ascii="Times New Roman" w:hAnsi="Times New Roman" w:cs="Times New Roman"/>
          <w:szCs w:val="24"/>
        </w:rPr>
        <w:t xml:space="preserve">tandardy </w:t>
      </w:r>
      <w:r w:rsidR="007634A6" w:rsidRPr="00DB3E1C">
        <w:rPr>
          <w:rFonts w:ascii="Times New Roman" w:hAnsi="Times New Roman" w:cs="Times New Roman"/>
          <w:szCs w:val="24"/>
        </w:rPr>
        <w:t xml:space="preserve">UCITS </w:t>
      </w:r>
      <w:r w:rsidR="00623903" w:rsidRPr="00DB3E1C">
        <w:rPr>
          <w:rFonts w:ascii="Times New Roman" w:hAnsi="Times New Roman" w:cs="Times New Roman"/>
          <w:szCs w:val="24"/>
        </w:rPr>
        <w:t>przewidują w szczególności określone wymogi względem dyrektorów spółki inwestycyjnej</w:t>
      </w:r>
      <w:r w:rsidR="001D52FC" w:rsidRPr="00DB3E1C">
        <w:rPr>
          <w:rFonts w:ascii="Times New Roman" w:hAnsi="Times New Roman" w:cs="Times New Roman"/>
          <w:szCs w:val="24"/>
        </w:rPr>
        <w:t>.</w:t>
      </w:r>
      <w:r w:rsidRPr="00DB3E1C">
        <w:rPr>
          <w:rFonts w:ascii="Times New Roman" w:hAnsi="Times New Roman" w:cs="Times New Roman"/>
          <w:szCs w:val="24"/>
        </w:rPr>
        <w:t xml:space="preserve"> </w:t>
      </w:r>
    </w:p>
    <w:p w14:paraId="73CFC3B4" w14:textId="1850028B" w:rsidR="00330157" w:rsidRPr="00DB3E1C" w:rsidRDefault="00330157" w:rsidP="00DB3E1C">
      <w:pPr>
        <w:pStyle w:val="ZTIRLITzmlittiret"/>
        <w:spacing w:before="240"/>
        <w:ind w:left="0" w:firstLine="0"/>
        <w:rPr>
          <w:rFonts w:ascii="Times New Roman" w:eastAsia="Times New Roman" w:hAnsi="Times New Roman" w:cs="Times New Roman"/>
          <w:szCs w:val="24"/>
        </w:rPr>
      </w:pPr>
      <w:r w:rsidRPr="00DB3E1C">
        <w:rPr>
          <w:rFonts w:ascii="Times New Roman" w:eastAsia="Times New Roman" w:hAnsi="Times New Roman" w:cs="Times New Roman"/>
          <w:szCs w:val="24"/>
        </w:rPr>
        <w:t>P</w:t>
      </w:r>
      <w:r w:rsidR="00623903" w:rsidRPr="00DB3E1C">
        <w:rPr>
          <w:rFonts w:ascii="Times New Roman" w:eastAsia="Times New Roman" w:hAnsi="Times New Roman" w:cs="Times New Roman"/>
          <w:szCs w:val="24"/>
        </w:rPr>
        <w:t>roponowana zmiana wpłynie na możliwość stosowania zwolnienia zarówno na podstawie ww. art. 6 ust. 1 pkt 10a ustawy CIT (tj. dla zagranicznych funduszy inwestycyjnych typu otwartego, porównywalnych do funduszy typu UCITS), jak również na podstawie art. 17 ust. 1 pkt 58 ustawy CIT (dla zagranicznych funduszy typu zamkniętego lub stosujących podobne zasady inwestycyjne, tj. funduszy, które mogą inwestować w szerszy katalog instrumentów lub praw majątkowych niż fundusze typu otwartego</w:t>
      </w:r>
      <w:r w:rsidRPr="00DB3E1C">
        <w:rPr>
          <w:rFonts w:ascii="Times New Roman" w:eastAsia="Times New Roman" w:hAnsi="Times New Roman" w:cs="Times New Roman"/>
          <w:szCs w:val="24"/>
        </w:rPr>
        <w:t>, porównywalnych do funduszy alternatywnych działających na gruncie dyrektywy AIFMD</w:t>
      </w:r>
      <w:r w:rsidR="00623903" w:rsidRPr="00DB3E1C">
        <w:rPr>
          <w:rFonts w:ascii="Times New Roman" w:eastAsia="Times New Roman" w:hAnsi="Times New Roman" w:cs="Times New Roman"/>
          <w:szCs w:val="24"/>
        </w:rPr>
        <w:t>).</w:t>
      </w:r>
      <w:r w:rsidR="003231F1">
        <w:rPr>
          <w:rFonts w:ascii="Times New Roman" w:eastAsia="Times New Roman" w:hAnsi="Times New Roman" w:cs="Times New Roman"/>
          <w:szCs w:val="24"/>
        </w:rPr>
        <w:t xml:space="preserve"> </w:t>
      </w:r>
      <w:r w:rsidR="00623903" w:rsidRPr="00DB3E1C">
        <w:rPr>
          <w:rFonts w:ascii="Times New Roman" w:eastAsia="Times New Roman" w:hAnsi="Times New Roman" w:cs="Times New Roman"/>
          <w:szCs w:val="24"/>
        </w:rPr>
        <w:t>W odniesieniu do funduszy typu zamkniętego</w:t>
      </w:r>
      <w:r w:rsidR="0054221F" w:rsidRPr="00DB3E1C">
        <w:rPr>
          <w:rFonts w:ascii="Times New Roman" w:eastAsia="Times New Roman" w:hAnsi="Times New Roman" w:cs="Times New Roman"/>
          <w:szCs w:val="24"/>
        </w:rPr>
        <w:t>, dla zapewnienia porównywalności do obecnego zwolnienia,</w:t>
      </w:r>
      <w:r w:rsidR="00623903" w:rsidRPr="00DB3E1C">
        <w:rPr>
          <w:rFonts w:ascii="Times New Roman" w:eastAsia="Times New Roman" w:hAnsi="Times New Roman" w:cs="Times New Roman"/>
          <w:szCs w:val="24"/>
        </w:rPr>
        <w:t xml:space="preserve"> </w:t>
      </w:r>
      <w:r w:rsidRPr="00DB3E1C">
        <w:rPr>
          <w:rFonts w:ascii="Times New Roman" w:eastAsia="Times New Roman" w:hAnsi="Times New Roman" w:cs="Times New Roman"/>
          <w:szCs w:val="24"/>
        </w:rPr>
        <w:t xml:space="preserve">celowe </w:t>
      </w:r>
      <w:r w:rsidR="00623903" w:rsidRPr="00DB3E1C">
        <w:rPr>
          <w:rFonts w:ascii="Times New Roman" w:eastAsia="Times New Roman" w:hAnsi="Times New Roman" w:cs="Times New Roman"/>
          <w:szCs w:val="24"/>
        </w:rPr>
        <w:t xml:space="preserve">jest utrzymywanie </w:t>
      </w:r>
      <w:r w:rsidR="00623903" w:rsidRPr="00DB3E1C">
        <w:rPr>
          <w:rFonts w:ascii="Times New Roman" w:eastAsia="Times New Roman" w:hAnsi="Times New Roman" w:cs="Times New Roman"/>
          <w:szCs w:val="24"/>
        </w:rPr>
        <w:lastRenderedPageBreak/>
        <w:t xml:space="preserve">podobnych standardów w zakresie ochrony inwestorów i zabezpieczenia ich poziomu ryzyka, jak w przypadku funduszy typu otwartego. </w:t>
      </w:r>
      <w:r w:rsidRPr="00DB3E1C">
        <w:rPr>
          <w:rFonts w:ascii="Times New Roman" w:eastAsia="Times New Roman" w:hAnsi="Times New Roman" w:cs="Times New Roman"/>
          <w:szCs w:val="24"/>
        </w:rPr>
        <w:t>S</w:t>
      </w:r>
      <w:r w:rsidR="00623903" w:rsidRPr="00DB3E1C">
        <w:rPr>
          <w:rFonts w:ascii="Times New Roman" w:eastAsia="Times New Roman" w:hAnsi="Times New Roman" w:cs="Times New Roman"/>
          <w:szCs w:val="24"/>
        </w:rPr>
        <w:t>tandardy te wyrażone są m.in.</w:t>
      </w:r>
      <w:r w:rsidRPr="00DB3E1C">
        <w:rPr>
          <w:rFonts w:ascii="Times New Roman" w:eastAsia="Times New Roman" w:hAnsi="Times New Roman" w:cs="Times New Roman"/>
          <w:szCs w:val="24"/>
        </w:rPr>
        <w:t xml:space="preserve"> poprzez</w:t>
      </w:r>
      <w:r w:rsidR="00623903" w:rsidRPr="00DB3E1C">
        <w:rPr>
          <w:rFonts w:ascii="Times New Roman" w:eastAsia="Times New Roman" w:hAnsi="Times New Roman" w:cs="Times New Roman"/>
          <w:szCs w:val="24"/>
        </w:rPr>
        <w:t xml:space="preserve"> wymogi wobec zarządzających (zarówno podmiotów zewnętrznych / spółek zarządzających</w:t>
      </w:r>
      <w:r w:rsidR="00AF6535">
        <w:rPr>
          <w:rFonts w:ascii="Times New Roman" w:eastAsia="Times New Roman" w:hAnsi="Times New Roman" w:cs="Times New Roman"/>
          <w:szCs w:val="24"/>
        </w:rPr>
        <w:t>,</w:t>
      </w:r>
      <w:r w:rsidR="00623903" w:rsidRPr="00DB3E1C">
        <w:rPr>
          <w:rFonts w:ascii="Times New Roman" w:eastAsia="Times New Roman" w:hAnsi="Times New Roman" w:cs="Times New Roman"/>
          <w:szCs w:val="24"/>
        </w:rPr>
        <w:t xml:space="preserve"> jak i </w:t>
      </w:r>
      <w:r w:rsidRPr="00DB3E1C">
        <w:rPr>
          <w:rFonts w:ascii="Times New Roman" w:eastAsia="Times New Roman" w:hAnsi="Times New Roman" w:cs="Times New Roman"/>
          <w:szCs w:val="24"/>
        </w:rPr>
        <w:t>wewnętrznie</w:t>
      </w:r>
      <w:r w:rsidR="00623903" w:rsidRPr="00DB3E1C">
        <w:rPr>
          <w:rFonts w:ascii="Times New Roman" w:eastAsia="Times New Roman" w:hAnsi="Times New Roman" w:cs="Times New Roman"/>
          <w:szCs w:val="24"/>
        </w:rPr>
        <w:t xml:space="preserve"> zarządzających, </w:t>
      </w:r>
      <w:r w:rsidRPr="00DB3E1C">
        <w:rPr>
          <w:rFonts w:ascii="Times New Roman" w:eastAsia="Times New Roman" w:hAnsi="Times New Roman" w:cs="Times New Roman"/>
          <w:szCs w:val="24"/>
        </w:rPr>
        <w:t>działających na podstawie odpowiedniego zezwolenia właściwych organów nadzoru na zarządzanie danym funduszem</w:t>
      </w:r>
      <w:r w:rsidR="00623903" w:rsidRPr="00DB3E1C">
        <w:rPr>
          <w:rFonts w:ascii="Times New Roman" w:eastAsia="Times New Roman" w:hAnsi="Times New Roman" w:cs="Times New Roman"/>
          <w:szCs w:val="24"/>
        </w:rPr>
        <w:t>).</w:t>
      </w:r>
      <w:r w:rsidRPr="00DB3E1C">
        <w:rPr>
          <w:rFonts w:ascii="Times New Roman" w:eastAsia="Times New Roman" w:hAnsi="Times New Roman" w:cs="Times New Roman"/>
          <w:szCs w:val="24"/>
        </w:rPr>
        <w:t xml:space="preserve"> </w:t>
      </w:r>
    </w:p>
    <w:p w14:paraId="409E682B" w14:textId="70C4DD6D" w:rsidR="00330157" w:rsidRPr="00DB3E1C" w:rsidRDefault="00330157" w:rsidP="00DB3E1C">
      <w:pPr>
        <w:pStyle w:val="ZTIRLITzmlittiret"/>
        <w:spacing w:before="240"/>
        <w:ind w:left="0" w:firstLine="0"/>
        <w:rPr>
          <w:rFonts w:ascii="Times New Roman" w:hAnsi="Times New Roman" w:cs="Times New Roman"/>
          <w:szCs w:val="24"/>
        </w:rPr>
      </w:pPr>
      <w:r w:rsidRPr="00DB3E1C">
        <w:rPr>
          <w:rFonts w:ascii="Times New Roman" w:hAnsi="Times New Roman" w:cs="Times New Roman"/>
          <w:szCs w:val="24"/>
        </w:rPr>
        <w:t xml:space="preserve">Ponadto, odnosząc się do alternatywnych funduszy inwestycyjnych, istotne jest, że przepisy o CIT nie przewidywały dotychczas zwolnienia podmiotowego ani szerokiego zwolnienia przedmiotowego dla wewnętrznie zarządzanych alternatywnych funduszy inwestycyjnych. </w:t>
      </w:r>
      <w:bookmarkStart w:id="4" w:name="_Hlk205287229"/>
      <w:r w:rsidRPr="00DB3E1C">
        <w:rPr>
          <w:rFonts w:ascii="Times New Roman" w:hAnsi="Times New Roman" w:cs="Times New Roman"/>
          <w:szCs w:val="24"/>
        </w:rPr>
        <w:t>Wewnętrznie zarządzane alternatywne spółki inwestycyjne (ASI) podlegają jedynie ograniczonemu zwolnieniu, o którym mowa w art. 17 ust. 1 pkt 58a ustawy CIT</w:t>
      </w:r>
      <w:bookmarkEnd w:id="4"/>
      <w:r w:rsidRPr="00DB3E1C">
        <w:rPr>
          <w:rFonts w:ascii="Times New Roman" w:hAnsi="Times New Roman" w:cs="Times New Roman"/>
          <w:szCs w:val="24"/>
        </w:rPr>
        <w:t>. Stąd zwolnienie, o którym mowa w art. 17 ust. 1 pkt 58</w:t>
      </w:r>
      <w:r w:rsidR="00B643A4" w:rsidRPr="00DB3E1C">
        <w:rPr>
          <w:rFonts w:ascii="Times New Roman" w:hAnsi="Times New Roman" w:cs="Times New Roman"/>
          <w:szCs w:val="24"/>
        </w:rPr>
        <w:t xml:space="preserve"> (</w:t>
      </w:r>
      <w:r w:rsidR="000E26B6" w:rsidRPr="00DB3E1C">
        <w:rPr>
          <w:rFonts w:ascii="Times New Roman" w:hAnsi="Times New Roman" w:cs="Times New Roman"/>
          <w:szCs w:val="24"/>
        </w:rPr>
        <w:t>odnoszące się do warunków wskazanych w</w:t>
      </w:r>
      <w:r w:rsidR="00B643A4" w:rsidRPr="00DB3E1C">
        <w:rPr>
          <w:rFonts w:ascii="Times New Roman" w:hAnsi="Times New Roman" w:cs="Times New Roman"/>
          <w:szCs w:val="24"/>
        </w:rPr>
        <w:t xml:space="preserve"> art. 6 ust. 1 pkt 10a</w:t>
      </w:r>
      <w:r w:rsidR="000E26B6" w:rsidRPr="00DB3E1C">
        <w:rPr>
          <w:rFonts w:ascii="Times New Roman" w:hAnsi="Times New Roman" w:cs="Times New Roman"/>
          <w:szCs w:val="24"/>
        </w:rPr>
        <w:t>)</w:t>
      </w:r>
      <w:r w:rsidR="00AF6535">
        <w:rPr>
          <w:rFonts w:ascii="Times New Roman" w:hAnsi="Times New Roman" w:cs="Times New Roman"/>
          <w:szCs w:val="24"/>
        </w:rPr>
        <w:t>,</w:t>
      </w:r>
      <w:r w:rsidR="003231F1">
        <w:rPr>
          <w:rFonts w:ascii="Times New Roman" w:hAnsi="Times New Roman" w:cs="Times New Roman"/>
          <w:szCs w:val="24"/>
        </w:rPr>
        <w:t xml:space="preserve"> </w:t>
      </w:r>
      <w:r w:rsidRPr="00DB3E1C">
        <w:rPr>
          <w:rFonts w:ascii="Times New Roman" w:hAnsi="Times New Roman" w:cs="Times New Roman"/>
          <w:szCs w:val="24"/>
        </w:rPr>
        <w:t>nie mogło zostać rozszerzone na wszystkie alternatywne fundusze inwestycyjne zarządzane wewnętrznie. Ze względu na standardy ochrony ryzyka, jak również systematykę dotychczasowych zwolnień dla funduszy inwestycyjnych, proponuje się, aby zwolnienie wskazane w art. 6 ust. 1 pkt 10a objęło jedynie wewnętrznie zarządzane alternatywne fundusze inwestycyjne, które spełniają warunek, o którym mowa w lit. f.</w:t>
      </w:r>
      <w:r w:rsidR="004843AB" w:rsidRPr="00DB3E1C">
        <w:rPr>
          <w:rFonts w:ascii="Times New Roman" w:hAnsi="Times New Roman" w:cs="Times New Roman"/>
          <w:szCs w:val="24"/>
        </w:rPr>
        <w:t xml:space="preserve"> Zatem</w:t>
      </w:r>
      <w:r w:rsidRPr="00DB3E1C">
        <w:rPr>
          <w:rFonts w:ascii="Times New Roman" w:hAnsi="Times New Roman" w:cs="Times New Roman"/>
          <w:szCs w:val="24"/>
        </w:rPr>
        <w:t xml:space="preserve"> </w:t>
      </w:r>
      <w:r w:rsidR="004843AB" w:rsidRPr="00DB3E1C">
        <w:rPr>
          <w:rFonts w:ascii="Times New Roman" w:hAnsi="Times New Roman" w:cs="Times New Roman"/>
          <w:szCs w:val="24"/>
        </w:rPr>
        <w:t>z</w:t>
      </w:r>
      <w:r w:rsidRPr="00DB3E1C">
        <w:rPr>
          <w:rFonts w:ascii="Times New Roman" w:hAnsi="Times New Roman" w:cs="Times New Roman"/>
          <w:szCs w:val="24"/>
        </w:rPr>
        <w:t>wolnieniu podlega</w:t>
      </w:r>
      <w:r w:rsidR="004843AB" w:rsidRPr="00DB3E1C">
        <w:rPr>
          <w:rFonts w:ascii="Times New Roman" w:hAnsi="Times New Roman" w:cs="Times New Roman"/>
          <w:szCs w:val="24"/>
        </w:rPr>
        <w:t>ć będą</w:t>
      </w:r>
      <w:r w:rsidR="003231F1">
        <w:rPr>
          <w:rFonts w:ascii="Times New Roman" w:hAnsi="Times New Roman" w:cs="Times New Roman"/>
          <w:szCs w:val="24"/>
        </w:rPr>
        <w:t xml:space="preserve"> </w:t>
      </w:r>
      <w:r w:rsidRPr="00DB3E1C">
        <w:rPr>
          <w:rFonts w:ascii="Times New Roman" w:hAnsi="Times New Roman" w:cs="Times New Roman"/>
          <w:szCs w:val="24"/>
        </w:rPr>
        <w:t xml:space="preserve">jedynie takie alternatywne fundusze inwestycyjne lub fundusze typu zamkniętego, które działają na podstawie zezwolenia na zarządzanie (w </w:t>
      </w:r>
      <w:r w:rsidR="004843AB" w:rsidRPr="00DB3E1C">
        <w:rPr>
          <w:rFonts w:ascii="Times New Roman" w:hAnsi="Times New Roman" w:cs="Times New Roman"/>
          <w:szCs w:val="24"/>
        </w:rPr>
        <w:t>tym</w:t>
      </w:r>
      <w:r w:rsidRPr="00DB3E1C">
        <w:rPr>
          <w:rFonts w:ascii="Times New Roman" w:hAnsi="Times New Roman" w:cs="Times New Roman"/>
          <w:szCs w:val="24"/>
        </w:rPr>
        <w:t xml:space="preserve"> na podstawie zezwolenia przyznanemu wewnętrznie zarządzającemu, tożsamemu z wewnętrznie zarządzanym funduszem).</w:t>
      </w:r>
    </w:p>
    <w:p w14:paraId="6B9298FF" w14:textId="006F448A" w:rsidR="007C7067" w:rsidRPr="00DB3E1C" w:rsidRDefault="007C7067" w:rsidP="00DB3E1C">
      <w:pPr>
        <w:pStyle w:val="ZTIRLITzmlittiret"/>
        <w:spacing w:before="240"/>
        <w:ind w:left="0" w:firstLine="0"/>
        <w:rPr>
          <w:rFonts w:ascii="Times New Roman" w:hAnsi="Times New Roman" w:cs="Times New Roman"/>
          <w:szCs w:val="24"/>
        </w:rPr>
      </w:pPr>
      <w:r w:rsidRPr="00DB3E1C">
        <w:rPr>
          <w:rFonts w:ascii="Times New Roman" w:hAnsi="Times New Roman" w:cs="Times New Roman"/>
          <w:szCs w:val="24"/>
        </w:rPr>
        <w:t xml:space="preserve">Zarazem, aby uniknąć wątpliwości, w art. 17 ust. 11 pkt 2 doprecyzowano, iż </w:t>
      </w:r>
      <w:r w:rsidR="00AF6535">
        <w:rPr>
          <w:rFonts w:ascii="Times New Roman" w:hAnsi="Times New Roman" w:cs="Times New Roman"/>
          <w:szCs w:val="24"/>
        </w:rPr>
        <w:t>–</w:t>
      </w:r>
      <w:r w:rsidRPr="00DB3E1C">
        <w:rPr>
          <w:rFonts w:ascii="Times New Roman" w:hAnsi="Times New Roman" w:cs="Times New Roman"/>
          <w:szCs w:val="24"/>
        </w:rPr>
        <w:t xml:space="preserve"> dla celów stosowania zwolnienia z CIT (WHT) </w:t>
      </w:r>
      <w:r w:rsidR="00AF6535" w:rsidRPr="00AF6535">
        <w:rPr>
          <w:rFonts w:ascii="Times New Roman" w:hAnsi="Times New Roman" w:cs="Times New Roman"/>
          <w:szCs w:val="24"/>
        </w:rPr>
        <w:t>–</w:t>
      </w:r>
      <w:r w:rsidRPr="00DB3E1C">
        <w:rPr>
          <w:rFonts w:ascii="Times New Roman" w:hAnsi="Times New Roman" w:cs="Times New Roman"/>
          <w:szCs w:val="24"/>
        </w:rPr>
        <w:t xml:space="preserve"> działalność funduszy inwestycyjnych typu zamkniętego, zarządzanych zewnętrznie, tak jak dotychczas nie wymaga zezwolenia (a jedynie powiadomienia). Natomiast zezwolenia takiego wymaga działalność spółki zarządzającej w zakresie zarządzania tym funduszem, zgodnie z warunkiem wskazanym w art. 6 ust. 1 pkt 10a lit. f. Tym samym, w przypadku posiadania zezwolenia przez spółkę zarządzającą, dla celów stosowania zwolnienia działalność samego funduszu może wymagać tylko powiadomienia.</w:t>
      </w:r>
    </w:p>
    <w:p w14:paraId="1A23C10C" w14:textId="47A511DD" w:rsidR="00435998" w:rsidRPr="00DB3E1C" w:rsidRDefault="00875821" w:rsidP="00DB3E1C">
      <w:pPr>
        <w:autoSpaceDE w:val="0"/>
        <w:autoSpaceDN w:val="0"/>
        <w:adjustRightInd w:val="0"/>
        <w:spacing w:before="240" w:line="360" w:lineRule="auto"/>
        <w:jc w:val="both"/>
        <w:rPr>
          <w:rFonts w:ascii="Times New Roman" w:hAnsi="Times New Roman" w:cs="Times New Roman"/>
          <w:b/>
          <w:bCs/>
          <w:sz w:val="24"/>
          <w:szCs w:val="24"/>
        </w:rPr>
      </w:pPr>
      <w:r w:rsidRPr="00DB3E1C">
        <w:rPr>
          <w:rFonts w:ascii="Times New Roman" w:hAnsi="Times New Roman" w:cs="Times New Roman"/>
          <w:sz w:val="24"/>
          <w:szCs w:val="24"/>
        </w:rPr>
        <w:t xml:space="preserve">Jak zaznaczono wcześniej, </w:t>
      </w:r>
      <w:r w:rsidRPr="00DB3E1C">
        <w:rPr>
          <w:rFonts w:ascii="Times New Roman" w:eastAsia="Times New Roman" w:hAnsi="Times New Roman" w:cs="Times New Roman"/>
          <w:sz w:val="24"/>
          <w:szCs w:val="24"/>
          <w:lang w:eastAsia="pl-PL"/>
        </w:rPr>
        <w:t xml:space="preserve">podstawą do wskazanej zmiany jest wyrok TSUE </w:t>
      </w:r>
      <w:r w:rsidR="00435998" w:rsidRPr="00DB3E1C">
        <w:rPr>
          <w:rFonts w:ascii="Times New Roman" w:hAnsi="Times New Roman" w:cs="Times New Roman"/>
          <w:sz w:val="24"/>
          <w:szCs w:val="24"/>
        </w:rPr>
        <w:t xml:space="preserve">z dnia 27 lutego 2025 r. w sprawie C-18/23 </w:t>
      </w:r>
      <w:r w:rsidR="00892E77" w:rsidRPr="00DB3E1C">
        <w:rPr>
          <w:rFonts w:ascii="Times New Roman" w:hAnsi="Times New Roman" w:cs="Times New Roman"/>
          <w:sz w:val="24"/>
          <w:szCs w:val="24"/>
        </w:rPr>
        <w:t>(</w:t>
      </w:r>
      <w:r w:rsidR="00892E77" w:rsidRPr="00DB3E1C">
        <w:rPr>
          <w:rFonts w:ascii="Times New Roman" w:hAnsi="Times New Roman" w:cs="Times New Roman"/>
          <w:sz w:val="24"/>
          <w:szCs w:val="24"/>
          <w:shd w:val="clear" w:color="auto" w:fill="FFFFFF"/>
        </w:rPr>
        <w:t>F S.A. przeciwko </w:t>
      </w:r>
      <w:r w:rsidR="00435998" w:rsidRPr="00DB3E1C">
        <w:rPr>
          <w:rFonts w:ascii="Times New Roman" w:hAnsi="Times New Roman" w:cs="Times New Roman"/>
          <w:sz w:val="24"/>
          <w:szCs w:val="24"/>
        </w:rPr>
        <w:t>Dyrektor</w:t>
      </w:r>
      <w:r w:rsidR="00892E77" w:rsidRPr="00DB3E1C">
        <w:rPr>
          <w:rFonts w:ascii="Times New Roman" w:hAnsi="Times New Roman" w:cs="Times New Roman"/>
          <w:sz w:val="24"/>
          <w:szCs w:val="24"/>
        </w:rPr>
        <w:t>owi</w:t>
      </w:r>
      <w:r w:rsidR="00435998" w:rsidRPr="00DB3E1C">
        <w:rPr>
          <w:rFonts w:ascii="Times New Roman" w:hAnsi="Times New Roman" w:cs="Times New Roman"/>
          <w:sz w:val="24"/>
          <w:szCs w:val="24"/>
        </w:rPr>
        <w:t xml:space="preserve"> Krajowej</w:t>
      </w:r>
      <w:r w:rsidRPr="00DB3E1C">
        <w:rPr>
          <w:rFonts w:ascii="Times New Roman" w:hAnsi="Times New Roman" w:cs="Times New Roman"/>
          <w:sz w:val="24"/>
          <w:szCs w:val="24"/>
        </w:rPr>
        <w:t xml:space="preserve"> </w:t>
      </w:r>
      <w:r w:rsidR="00435998" w:rsidRPr="00DB3E1C">
        <w:rPr>
          <w:rFonts w:ascii="Times New Roman" w:hAnsi="Times New Roman" w:cs="Times New Roman"/>
          <w:sz w:val="24"/>
          <w:szCs w:val="24"/>
        </w:rPr>
        <w:t>Informacji Skarbowej</w:t>
      </w:r>
      <w:r w:rsidR="00892E77" w:rsidRPr="00DB3E1C">
        <w:rPr>
          <w:rFonts w:ascii="Times New Roman" w:hAnsi="Times New Roman" w:cs="Times New Roman"/>
          <w:sz w:val="24"/>
          <w:szCs w:val="24"/>
        </w:rPr>
        <w:t>)</w:t>
      </w:r>
      <w:r w:rsidRPr="00DB3E1C">
        <w:rPr>
          <w:rFonts w:ascii="Times New Roman" w:hAnsi="Times New Roman" w:cs="Times New Roman"/>
          <w:sz w:val="24"/>
          <w:szCs w:val="24"/>
        </w:rPr>
        <w:t>.</w:t>
      </w:r>
    </w:p>
    <w:p w14:paraId="7EDB6749" w14:textId="325A809E" w:rsidR="009A5698" w:rsidRPr="00DB3E1C" w:rsidRDefault="00875821" w:rsidP="00DB3E1C">
      <w:pPr>
        <w:pStyle w:val="NormalnyWeb"/>
        <w:spacing w:before="240" w:beforeAutospacing="0" w:after="240" w:afterAutospacing="0" w:line="360" w:lineRule="auto"/>
        <w:jc w:val="both"/>
      </w:pPr>
      <w:r w:rsidRPr="00DB3E1C">
        <w:t>Stan faktyczny sprawy dotyczył f</w:t>
      </w:r>
      <w:r w:rsidR="009A5698" w:rsidRPr="00DB3E1C">
        <w:t>undusz</w:t>
      </w:r>
      <w:r w:rsidRPr="00DB3E1C">
        <w:t>u</w:t>
      </w:r>
      <w:r w:rsidR="009A5698" w:rsidRPr="00DB3E1C">
        <w:t xml:space="preserve"> F S.A., spółk</w:t>
      </w:r>
      <w:r w:rsidRPr="00DB3E1C">
        <w:t>i</w:t>
      </w:r>
      <w:r w:rsidR="009A5698" w:rsidRPr="00DB3E1C">
        <w:t xml:space="preserve"> akcyjn</w:t>
      </w:r>
      <w:r w:rsidRPr="00DB3E1C">
        <w:t>ej</w:t>
      </w:r>
      <w:r w:rsidR="009A5698" w:rsidRPr="00DB3E1C">
        <w:t xml:space="preserve"> prawa luksemburskiego</w:t>
      </w:r>
      <w:r w:rsidR="008974D2" w:rsidRPr="00DB3E1C">
        <w:t xml:space="preserve"> działającej jako specjalistyczny fundusz inwestycyjny</w:t>
      </w:r>
      <w:r w:rsidR="009A5698" w:rsidRPr="00DB3E1C">
        <w:t>, zarządzan</w:t>
      </w:r>
      <w:r w:rsidRPr="00DB3E1C">
        <w:t>ej</w:t>
      </w:r>
      <w:r w:rsidR="009A5698" w:rsidRPr="00DB3E1C">
        <w:t xml:space="preserve"> wewnętrznie przez zarząd</w:t>
      </w:r>
      <w:r w:rsidRPr="00DB3E1C">
        <w:t xml:space="preserve">, </w:t>
      </w:r>
      <w:r w:rsidRPr="00DB3E1C">
        <w:lastRenderedPageBreak/>
        <w:t xml:space="preserve">który </w:t>
      </w:r>
      <w:r w:rsidRPr="00DB3E1C">
        <w:rPr>
          <w:color w:val="000000"/>
        </w:rPr>
        <w:t>został również wpisany na listę zarządzających alternatywnymi funduszami inwestycyjnymi prowadzoną przez luksembursk</w:t>
      </w:r>
      <w:r w:rsidR="008974D2" w:rsidRPr="00DB3E1C">
        <w:rPr>
          <w:color w:val="000000"/>
        </w:rPr>
        <w:t>ą</w:t>
      </w:r>
      <w:r w:rsidRPr="00DB3E1C">
        <w:rPr>
          <w:color w:val="000000"/>
        </w:rPr>
        <w:t xml:space="preserve"> </w:t>
      </w:r>
      <w:r w:rsidR="008974D2" w:rsidRPr="00DB3E1C">
        <w:rPr>
          <w:color w:val="000000"/>
        </w:rPr>
        <w:t>komisję</w:t>
      </w:r>
      <w:r w:rsidRPr="00DB3E1C">
        <w:rPr>
          <w:color w:val="000000"/>
        </w:rPr>
        <w:t xml:space="preserve"> nadzoru nad rynkiem finansowym (CSSF)</w:t>
      </w:r>
      <w:r w:rsidR="009A5698" w:rsidRPr="00DB3E1C">
        <w:t>. Organ podatkowy uznał, że fundusz F nie spełnia warunku zarządzania przez podmiot zewnętrzny,</w:t>
      </w:r>
      <w:r w:rsidR="008974D2" w:rsidRPr="00DB3E1C">
        <w:t xml:space="preserve"> o którym mowa w art. 6 ust. 1 pkt 10a lit. f,</w:t>
      </w:r>
      <w:r w:rsidR="009A5698" w:rsidRPr="00DB3E1C">
        <w:t xml:space="preserve"> co jest wymagane do skorzystania ze zwolnienia podatkowego.</w:t>
      </w:r>
    </w:p>
    <w:p w14:paraId="5918F673" w14:textId="798045DC" w:rsidR="009A5698" w:rsidRPr="00DB3E1C" w:rsidRDefault="00875821" w:rsidP="00DB3E1C">
      <w:pPr>
        <w:spacing w:before="100" w:beforeAutospacing="1" w:after="100" w:afterAutospacing="1" w:line="360" w:lineRule="auto"/>
        <w:jc w:val="both"/>
        <w:rPr>
          <w:rFonts w:ascii="Times New Roman" w:hAnsi="Times New Roman" w:cs="Times New Roman"/>
          <w:sz w:val="24"/>
          <w:szCs w:val="24"/>
        </w:rPr>
      </w:pPr>
      <w:r w:rsidRPr="00DB3E1C">
        <w:rPr>
          <w:rStyle w:val="Pogrubienie"/>
          <w:rFonts w:ascii="Times New Roman" w:hAnsi="Times New Roman" w:cs="Times New Roman"/>
          <w:b w:val="0"/>
          <w:bCs w:val="0"/>
          <w:sz w:val="24"/>
          <w:szCs w:val="24"/>
        </w:rPr>
        <w:t xml:space="preserve">Sprawa była analizowana </w:t>
      </w:r>
      <w:r w:rsidR="008974D2" w:rsidRPr="00DB3E1C">
        <w:rPr>
          <w:rStyle w:val="Pogrubienie"/>
          <w:rFonts w:ascii="Times New Roman" w:hAnsi="Times New Roman" w:cs="Times New Roman"/>
          <w:b w:val="0"/>
          <w:bCs w:val="0"/>
          <w:sz w:val="24"/>
          <w:szCs w:val="24"/>
        </w:rPr>
        <w:t>przede wszystkim na tle art. 63 TFUE (zasady swobodnego przepływu kapitału), jak również</w:t>
      </w:r>
      <w:r w:rsidRPr="00DB3E1C">
        <w:rPr>
          <w:rStyle w:val="Pogrubienie"/>
          <w:rFonts w:ascii="Times New Roman" w:hAnsi="Times New Roman" w:cs="Times New Roman"/>
          <w:b w:val="0"/>
          <w:bCs w:val="0"/>
          <w:sz w:val="24"/>
          <w:szCs w:val="24"/>
        </w:rPr>
        <w:t xml:space="preserve"> na tle d</w:t>
      </w:r>
      <w:r w:rsidR="009A5698" w:rsidRPr="00DB3E1C">
        <w:rPr>
          <w:rStyle w:val="Pogrubienie"/>
          <w:rFonts w:ascii="Times New Roman" w:hAnsi="Times New Roman" w:cs="Times New Roman"/>
          <w:b w:val="0"/>
          <w:bCs w:val="0"/>
          <w:sz w:val="24"/>
          <w:szCs w:val="24"/>
        </w:rPr>
        <w:t>yrektyw</w:t>
      </w:r>
      <w:r w:rsidRPr="00DB3E1C">
        <w:rPr>
          <w:rStyle w:val="Pogrubienie"/>
          <w:rFonts w:ascii="Times New Roman" w:hAnsi="Times New Roman" w:cs="Times New Roman"/>
          <w:b w:val="0"/>
          <w:bCs w:val="0"/>
          <w:sz w:val="24"/>
          <w:szCs w:val="24"/>
        </w:rPr>
        <w:t>y</w:t>
      </w:r>
      <w:r w:rsidR="009A5698" w:rsidRPr="00DB3E1C">
        <w:rPr>
          <w:rStyle w:val="Pogrubienie"/>
          <w:rFonts w:ascii="Times New Roman" w:hAnsi="Times New Roman" w:cs="Times New Roman"/>
          <w:b w:val="0"/>
          <w:bCs w:val="0"/>
          <w:sz w:val="24"/>
          <w:szCs w:val="24"/>
        </w:rPr>
        <w:t xml:space="preserve"> 2009/65/WE</w:t>
      </w:r>
      <w:r w:rsidRPr="00DB3E1C">
        <w:rPr>
          <w:rFonts w:ascii="Times New Roman" w:hAnsi="Times New Roman" w:cs="Times New Roman"/>
          <w:sz w:val="24"/>
          <w:szCs w:val="24"/>
        </w:rPr>
        <w:t>, która</w:t>
      </w:r>
      <w:r w:rsidR="009A5698" w:rsidRPr="00DB3E1C">
        <w:rPr>
          <w:rFonts w:ascii="Times New Roman" w:hAnsi="Times New Roman" w:cs="Times New Roman"/>
          <w:sz w:val="24"/>
          <w:szCs w:val="24"/>
        </w:rPr>
        <w:t xml:space="preserve"> </w:t>
      </w:r>
      <w:r w:rsidRPr="00DB3E1C">
        <w:rPr>
          <w:rFonts w:ascii="Times New Roman" w:hAnsi="Times New Roman" w:cs="Times New Roman"/>
          <w:sz w:val="24"/>
          <w:szCs w:val="24"/>
        </w:rPr>
        <w:t>r</w:t>
      </w:r>
      <w:r w:rsidR="009A5698" w:rsidRPr="00DB3E1C">
        <w:rPr>
          <w:rFonts w:ascii="Times New Roman" w:hAnsi="Times New Roman" w:cs="Times New Roman"/>
          <w:sz w:val="24"/>
          <w:szCs w:val="24"/>
        </w:rPr>
        <w:t>eguluje przedsiębiorstwa zbiorowego inwestowania w zbywalne papiery wartościowe (UCITS). Artykuł 29 ust. 1 dyrektywy przewiduje, że spółki inwestycyjne mogą działać bez wyznaczenia spółki zarządzającej, pod warunkiem że posiadają odpowiedni kapitał założycielski i spełniają określone warunki dotyczące struktury organizacyjnej i nadzoru.</w:t>
      </w:r>
    </w:p>
    <w:p w14:paraId="7B0242C3" w14:textId="38097735" w:rsidR="008974D2" w:rsidRPr="00DB3E1C" w:rsidRDefault="008974D2" w:rsidP="00DB3E1C">
      <w:pPr>
        <w:autoSpaceDE w:val="0"/>
        <w:autoSpaceDN w:val="0"/>
        <w:adjustRightInd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t>TSUE</w:t>
      </w:r>
      <w:r w:rsidR="00BB3F8E" w:rsidRPr="00DB3E1C">
        <w:rPr>
          <w:rFonts w:ascii="Times New Roman" w:hAnsi="Times New Roman" w:cs="Times New Roman"/>
          <w:sz w:val="24"/>
          <w:szCs w:val="24"/>
        </w:rPr>
        <w:t xml:space="preserve"> uznał, że krajowe przepisy przewidujące zwolnienie z </w:t>
      </w:r>
      <w:r w:rsidRPr="00DB3E1C">
        <w:rPr>
          <w:rFonts w:ascii="Times New Roman" w:hAnsi="Times New Roman" w:cs="Times New Roman"/>
          <w:sz w:val="24"/>
          <w:szCs w:val="24"/>
        </w:rPr>
        <w:t>CIT</w:t>
      </w:r>
      <w:r w:rsidR="00BB3F8E" w:rsidRPr="00DB3E1C">
        <w:rPr>
          <w:rFonts w:ascii="Times New Roman" w:hAnsi="Times New Roman" w:cs="Times New Roman"/>
          <w:sz w:val="24"/>
          <w:szCs w:val="24"/>
        </w:rPr>
        <w:t xml:space="preserve"> jedynie dla przedsiębiorstw zbiorowego inwestowania zarządzanych przez podmiot zewnętrzny stanowią ograniczenie swobodnego przepływu kapitału, co jest zakazane przez artykuł 63 </w:t>
      </w:r>
      <w:r w:rsidRPr="00DB3E1C">
        <w:rPr>
          <w:rFonts w:ascii="Times New Roman" w:hAnsi="Times New Roman" w:cs="Times New Roman"/>
          <w:sz w:val="24"/>
          <w:szCs w:val="24"/>
        </w:rPr>
        <w:t>TFUE</w:t>
      </w:r>
      <w:r w:rsidR="00BB3F8E" w:rsidRPr="00DB3E1C">
        <w:rPr>
          <w:rFonts w:ascii="Times New Roman" w:hAnsi="Times New Roman" w:cs="Times New Roman"/>
          <w:sz w:val="24"/>
          <w:szCs w:val="24"/>
        </w:rPr>
        <w:t xml:space="preserve">. </w:t>
      </w:r>
      <w:r w:rsidRPr="00DB3E1C">
        <w:rPr>
          <w:rFonts w:ascii="Times New Roman" w:hAnsi="Times New Roman" w:cs="Times New Roman"/>
          <w:sz w:val="24"/>
          <w:szCs w:val="24"/>
        </w:rPr>
        <w:t xml:space="preserve">W tym względzie Trybunał przypomniał, że ustawodawstwo krajowe, które stosuje się bez rozróżnienia do podmiotów gospodarczych będących i niebędących rezydentami, może również stanowić ograniczenie swobodnego przepływu kapitału. Jest tak w szczególności w przypadku, gdy przepisy krajowe, stosowane bez rozróżnienia do podmiotów będących rezydentami i niebędących rezydentami, zastrzegają możliwość uzyskania korzyści podatkowej w sytuacjach, w których podmiot gospodarczy spełnia warunki lub obowiązki, które ze względu na ich charakter lub </w:t>
      </w:r>
      <w:r w:rsidRPr="00DB3E1C">
        <w:rPr>
          <w:rFonts w:ascii="Times New Roman" w:hAnsi="Times New Roman" w:cs="Times New Roman"/>
          <w:i/>
          <w:iCs/>
          <w:sz w:val="24"/>
          <w:szCs w:val="24"/>
        </w:rPr>
        <w:t xml:space="preserve">de facto </w:t>
      </w:r>
      <w:r w:rsidRPr="00DB3E1C">
        <w:rPr>
          <w:rFonts w:ascii="Times New Roman" w:hAnsi="Times New Roman" w:cs="Times New Roman"/>
          <w:sz w:val="24"/>
          <w:szCs w:val="24"/>
        </w:rPr>
        <w:t>są właściwe dla rynku krajowego, tak że jedynie podmioty działające na rynku krajowym mogą spełnić te warunki lub obowiązki, a podmioty niebędące rezydentami mające porównywalne cechy zazwyczaj ich nie spełniają. Odnosząc się do sprawy będącej przedmiotem postępowania przed sądem krajowym</w:t>
      </w:r>
      <w:r w:rsidR="00723346">
        <w:rPr>
          <w:rFonts w:ascii="Times New Roman" w:hAnsi="Times New Roman" w:cs="Times New Roman"/>
          <w:sz w:val="24"/>
          <w:szCs w:val="24"/>
        </w:rPr>
        <w:t>,</w:t>
      </w:r>
      <w:r w:rsidRPr="00DB3E1C">
        <w:rPr>
          <w:rFonts w:ascii="Times New Roman" w:hAnsi="Times New Roman" w:cs="Times New Roman"/>
          <w:sz w:val="24"/>
          <w:szCs w:val="24"/>
        </w:rPr>
        <w:t xml:space="preserve"> </w:t>
      </w:r>
      <w:r w:rsidR="00F42C3D" w:rsidRPr="00DB3E1C">
        <w:rPr>
          <w:rFonts w:ascii="Times New Roman" w:hAnsi="Times New Roman" w:cs="Times New Roman"/>
          <w:sz w:val="24"/>
          <w:szCs w:val="24"/>
        </w:rPr>
        <w:t>TSUE</w:t>
      </w:r>
      <w:r w:rsidRPr="00DB3E1C">
        <w:rPr>
          <w:rFonts w:ascii="Times New Roman" w:hAnsi="Times New Roman" w:cs="Times New Roman"/>
          <w:sz w:val="24"/>
          <w:szCs w:val="24"/>
        </w:rPr>
        <w:t xml:space="preserve"> zwrócił uwagę, że fundusze inwestycyjne</w:t>
      </w:r>
      <w:r w:rsidR="00C4677C" w:rsidRPr="00DB3E1C">
        <w:rPr>
          <w:rFonts w:ascii="Times New Roman" w:hAnsi="Times New Roman" w:cs="Times New Roman"/>
          <w:sz w:val="24"/>
          <w:szCs w:val="24"/>
        </w:rPr>
        <w:t>, o których mowa w tym wyroku (</w:t>
      </w:r>
      <w:r w:rsidR="00C4677C" w:rsidRPr="00DB3E1C">
        <w:rPr>
          <w:rFonts w:ascii="Times New Roman" w:hAnsi="Times New Roman" w:cs="Times New Roman"/>
          <w:i/>
          <w:iCs/>
          <w:sz w:val="24"/>
          <w:szCs w:val="24"/>
        </w:rPr>
        <w:t>należy odnotować, że TSUE pominął alternatywne fundusze inwestycyjne, jakimi są alternatywne spółki inwestycyjne</w:t>
      </w:r>
      <w:r w:rsidR="00C4677C" w:rsidRPr="00DB3E1C">
        <w:rPr>
          <w:rFonts w:ascii="Times New Roman" w:hAnsi="Times New Roman" w:cs="Times New Roman"/>
          <w:sz w:val="24"/>
          <w:szCs w:val="24"/>
        </w:rPr>
        <w:t>)</w:t>
      </w:r>
      <w:r w:rsidRPr="00DB3E1C">
        <w:rPr>
          <w:rFonts w:ascii="Times New Roman" w:hAnsi="Times New Roman" w:cs="Times New Roman"/>
          <w:sz w:val="24"/>
          <w:szCs w:val="24"/>
        </w:rPr>
        <w:t xml:space="preserve"> mogą zostać utworzone w Polsce tylko wtedy, gdy zdecydują się na zarządzanie zewnętrzne, a nieuniknioną i nieprzypadkową konsekwencją takiego warunku jest to, że jedynie przedsiębiorstwa zbiorowego inwestowania utworzone w innym państwie członkowskim mogą nie spełniać warunku dotyczącego sposobu zarządzania zewnętrznego. W efekcie tylko one nie mogą być</w:t>
      </w:r>
      <w:r w:rsidR="00801494" w:rsidRPr="00DB3E1C">
        <w:rPr>
          <w:rFonts w:ascii="Times New Roman" w:hAnsi="Times New Roman" w:cs="Times New Roman"/>
          <w:sz w:val="24"/>
          <w:szCs w:val="24"/>
        </w:rPr>
        <w:t xml:space="preserve"> </w:t>
      </w:r>
      <w:r w:rsidRPr="00DB3E1C">
        <w:rPr>
          <w:rFonts w:ascii="Times New Roman" w:hAnsi="Times New Roman" w:cs="Times New Roman"/>
          <w:sz w:val="24"/>
          <w:szCs w:val="24"/>
        </w:rPr>
        <w:t>dopuszczone do zwolnienia z podatku swoich dochodów.</w:t>
      </w:r>
    </w:p>
    <w:p w14:paraId="437B94CA" w14:textId="20C82D33" w:rsidR="008974D2" w:rsidRPr="00DB3E1C" w:rsidRDefault="008974D2" w:rsidP="00DB3E1C">
      <w:pPr>
        <w:autoSpaceDE w:val="0"/>
        <w:autoSpaceDN w:val="0"/>
        <w:spacing w:line="360" w:lineRule="auto"/>
        <w:jc w:val="both"/>
        <w:rPr>
          <w:rFonts w:ascii="Times New Roman" w:hAnsi="Times New Roman" w:cs="Times New Roman"/>
          <w:sz w:val="24"/>
          <w:szCs w:val="24"/>
        </w:rPr>
      </w:pPr>
    </w:p>
    <w:p w14:paraId="3EFA2F4A" w14:textId="190A0D4B" w:rsidR="008974D2" w:rsidRPr="00DB3E1C" w:rsidRDefault="008974D2" w:rsidP="00DB3E1C">
      <w:pPr>
        <w:autoSpaceDE w:val="0"/>
        <w:autoSpaceDN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lastRenderedPageBreak/>
        <w:t xml:space="preserve">Zatem </w:t>
      </w:r>
      <w:r w:rsidR="00BB3F8E" w:rsidRPr="00DB3E1C">
        <w:rPr>
          <w:rFonts w:ascii="Times New Roman" w:hAnsi="Times New Roman" w:cs="Times New Roman"/>
          <w:sz w:val="24"/>
          <w:szCs w:val="24"/>
        </w:rPr>
        <w:t xml:space="preserve">Trybunał stwierdził, że przepisy wymagające zarządzania przez podmiot zewnętrzny mogą zniechęcać przedsiębiorstwa zbiorowego inwestowania z innych państw członkowskich do inwestowania w Polsce, wprowadzając różnicę w traktowaniu ze względu na sposób zarządzania, co może prowadzić do niekorzystnego traktowania przedsiębiorstw zarządzanych wewnętrznie. Wyłączenie przedsiębiorstw zarządzanych wewnętrznie z możliwości skorzystania ze zwolnienia podatkowego stanowi </w:t>
      </w:r>
      <w:r w:rsidRPr="00DB3E1C">
        <w:rPr>
          <w:rFonts w:ascii="Times New Roman" w:hAnsi="Times New Roman" w:cs="Times New Roman"/>
          <w:sz w:val="24"/>
          <w:szCs w:val="24"/>
        </w:rPr>
        <w:t xml:space="preserve">zatem </w:t>
      </w:r>
      <w:r w:rsidR="00BB3F8E" w:rsidRPr="00DB3E1C">
        <w:rPr>
          <w:rFonts w:ascii="Times New Roman" w:hAnsi="Times New Roman" w:cs="Times New Roman"/>
          <w:sz w:val="24"/>
          <w:szCs w:val="24"/>
        </w:rPr>
        <w:t xml:space="preserve">ograniczenie swobodnego przepływu kapitału. </w:t>
      </w:r>
    </w:p>
    <w:p w14:paraId="4430FF80" w14:textId="3522DAA5" w:rsidR="009A5698" w:rsidRPr="00DB3E1C" w:rsidRDefault="008974D2" w:rsidP="00DB3E1C">
      <w:pPr>
        <w:autoSpaceDE w:val="0"/>
        <w:autoSpaceDN w:val="0"/>
        <w:adjustRightInd w:val="0"/>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Trybunał nie znalazł przy tym podstaw do tego, aby uznać, że w analizowanym przypadku mamy do czynienia z odmiennym traktowaniem dozwolonym na podstawie art. 65 ust. 1 lit. a) TFUE. W ocenie Trybunału p</w:t>
      </w:r>
      <w:r w:rsidR="00BB3F8E" w:rsidRPr="00DB3E1C">
        <w:rPr>
          <w:rFonts w:ascii="Times New Roman" w:hAnsi="Times New Roman" w:cs="Times New Roman"/>
          <w:sz w:val="24"/>
          <w:szCs w:val="24"/>
        </w:rPr>
        <w:t xml:space="preserve">rzedsiębiorstwa zarządzane wewnętrznie nie znajdują się w sytuacji obiektywnie odmiennej od przedsiębiorstw zarządzanych zewnętrznie w kontekście zwolnienia podatkowego, a cel zwolnienia podatkowego, jakim jest uniknięcie podwójnego opodatkowania dochodów z inwestycji, </w:t>
      </w:r>
      <w:r w:rsidRPr="00DB3E1C">
        <w:rPr>
          <w:rFonts w:ascii="Times New Roman" w:hAnsi="Times New Roman" w:cs="Times New Roman"/>
          <w:sz w:val="24"/>
          <w:szCs w:val="24"/>
        </w:rPr>
        <w:t>powinien</w:t>
      </w:r>
      <w:r w:rsidR="00BB3F8E" w:rsidRPr="00DB3E1C">
        <w:rPr>
          <w:rFonts w:ascii="Times New Roman" w:hAnsi="Times New Roman" w:cs="Times New Roman"/>
          <w:sz w:val="24"/>
          <w:szCs w:val="24"/>
        </w:rPr>
        <w:t xml:space="preserve"> być osiągnięty niezależnie od sposobu zarządzania przedsiębiorstwem.</w:t>
      </w:r>
      <w:r w:rsidRPr="00DB3E1C">
        <w:rPr>
          <w:rFonts w:ascii="Times New Roman" w:hAnsi="Times New Roman" w:cs="Times New Roman"/>
          <w:sz w:val="24"/>
          <w:szCs w:val="24"/>
        </w:rPr>
        <w:t xml:space="preserve"> </w:t>
      </w:r>
      <w:r w:rsidR="007E400A" w:rsidRPr="00DB3E1C">
        <w:rPr>
          <w:rFonts w:ascii="Times New Roman" w:hAnsi="Times New Roman" w:cs="Times New Roman"/>
          <w:sz w:val="24"/>
          <w:szCs w:val="24"/>
        </w:rPr>
        <w:t>Trybunał nie uznał również</w:t>
      </w:r>
      <w:r w:rsidRPr="00DB3E1C">
        <w:rPr>
          <w:rFonts w:ascii="Times New Roman" w:hAnsi="Times New Roman" w:cs="Times New Roman"/>
          <w:sz w:val="24"/>
          <w:szCs w:val="24"/>
        </w:rPr>
        <w:t xml:space="preserve"> celu ochrony inwestorów</w:t>
      </w:r>
      <w:r w:rsidR="007E400A" w:rsidRPr="00DB3E1C">
        <w:rPr>
          <w:rFonts w:ascii="Times New Roman" w:hAnsi="Times New Roman" w:cs="Times New Roman"/>
          <w:sz w:val="24"/>
          <w:szCs w:val="24"/>
        </w:rPr>
        <w:t xml:space="preserve"> jako uzasadnionej podstawy do odmiennego traktowania funduszy inwestycyjnych zarządzanych wewnętrznie</w:t>
      </w:r>
      <w:r w:rsidRPr="00DB3E1C">
        <w:rPr>
          <w:rFonts w:ascii="Times New Roman" w:hAnsi="Times New Roman" w:cs="Times New Roman"/>
          <w:sz w:val="24"/>
          <w:szCs w:val="24"/>
        </w:rPr>
        <w:t>.</w:t>
      </w:r>
    </w:p>
    <w:p w14:paraId="4B3C5F01" w14:textId="47F7EFE1" w:rsidR="007E400A" w:rsidRPr="00DB3E1C" w:rsidRDefault="007E400A" w:rsidP="00DB3E1C">
      <w:pPr>
        <w:autoSpaceDE w:val="0"/>
        <w:autoSpaceDN w:val="0"/>
        <w:adjustRightInd w:val="0"/>
        <w:spacing w:before="240" w:line="360" w:lineRule="auto"/>
        <w:jc w:val="both"/>
        <w:rPr>
          <w:rFonts w:ascii="Times New Roman" w:eastAsia="Times New Roman" w:hAnsi="Times New Roman" w:cs="Times New Roman"/>
          <w:sz w:val="24"/>
          <w:szCs w:val="24"/>
        </w:rPr>
      </w:pPr>
      <w:r w:rsidRPr="00DB3E1C">
        <w:rPr>
          <w:rFonts w:ascii="Times New Roman" w:hAnsi="Times New Roman" w:cs="Times New Roman"/>
          <w:sz w:val="24"/>
          <w:szCs w:val="24"/>
        </w:rPr>
        <w:t xml:space="preserve">Omawiany wyrok wpisuje się w szerszą linię orzeczeń TSUE </w:t>
      </w:r>
      <w:r w:rsidRPr="00DB3E1C">
        <w:rPr>
          <w:rFonts w:ascii="Times New Roman" w:eastAsia="Times New Roman" w:hAnsi="Times New Roman" w:cs="Times New Roman"/>
          <w:sz w:val="24"/>
          <w:szCs w:val="24"/>
        </w:rPr>
        <w:t xml:space="preserve">propagującą zakaz dyskryminacji funduszy niebędących rezydentami, w szczególności z uwagi na kwestie regulacyjne wynikające z prawa lokalnego (przykładowo: </w:t>
      </w:r>
      <w:r w:rsidRPr="00DB3E1C">
        <w:rPr>
          <w:rFonts w:ascii="Times New Roman" w:eastAsia="Times New Roman" w:hAnsi="Times New Roman" w:cs="Times New Roman"/>
          <w:sz w:val="24"/>
          <w:szCs w:val="24"/>
          <w:lang w:eastAsia="pl-PL"/>
        </w:rPr>
        <w:t xml:space="preserve">sprawy </w:t>
      </w:r>
      <w:r w:rsidRPr="00DB3E1C">
        <w:rPr>
          <w:rFonts w:ascii="Times New Roman" w:hAnsi="Times New Roman" w:cs="Times New Roman"/>
          <w:sz w:val="24"/>
          <w:szCs w:val="24"/>
        </w:rPr>
        <w:t xml:space="preserve">Aberdeen Property Fininvest Alpha [C-303/07], Santander [C-338/11], </w:t>
      </w:r>
      <w:proofErr w:type="spellStart"/>
      <w:r w:rsidRPr="00DB3E1C">
        <w:rPr>
          <w:rFonts w:ascii="Times New Roman" w:hAnsi="Times New Roman" w:cs="Times New Roman"/>
          <w:sz w:val="24"/>
          <w:szCs w:val="24"/>
        </w:rPr>
        <w:t>Allianzgi</w:t>
      </w:r>
      <w:proofErr w:type="spellEnd"/>
      <w:r w:rsidRPr="00DB3E1C">
        <w:rPr>
          <w:rFonts w:ascii="Times New Roman" w:hAnsi="Times New Roman" w:cs="Times New Roman"/>
          <w:sz w:val="24"/>
          <w:szCs w:val="24"/>
        </w:rPr>
        <w:t>-Fonds [C-545/19],</w:t>
      </w:r>
      <w:r w:rsidR="003231F1">
        <w:rPr>
          <w:rFonts w:ascii="Times New Roman" w:hAnsi="Times New Roman" w:cs="Times New Roman"/>
          <w:sz w:val="24"/>
          <w:szCs w:val="24"/>
        </w:rPr>
        <w:t xml:space="preserve"> </w:t>
      </w:r>
      <w:proofErr w:type="spellStart"/>
      <w:r w:rsidRPr="00DB3E1C">
        <w:rPr>
          <w:rStyle w:val="Uwydatnienie"/>
          <w:rFonts w:ascii="Times New Roman" w:hAnsi="Times New Roman" w:cs="Times New Roman"/>
          <w:i w:val="0"/>
          <w:iCs w:val="0"/>
          <w:sz w:val="24"/>
          <w:szCs w:val="24"/>
        </w:rPr>
        <w:t>SCPI</w:t>
      </w:r>
      <w:proofErr w:type="spellEnd"/>
      <w:r w:rsidRPr="00DB3E1C">
        <w:rPr>
          <w:rStyle w:val="Uwydatnienie"/>
          <w:rFonts w:ascii="Times New Roman" w:hAnsi="Times New Roman" w:cs="Times New Roman"/>
          <w:i w:val="0"/>
          <w:iCs w:val="0"/>
          <w:sz w:val="24"/>
          <w:szCs w:val="24"/>
        </w:rPr>
        <w:t xml:space="preserve"> v. </w:t>
      </w:r>
      <w:proofErr w:type="spellStart"/>
      <w:r w:rsidRPr="00DB3E1C">
        <w:rPr>
          <w:rStyle w:val="Uwydatnienie"/>
          <w:rFonts w:ascii="Times New Roman" w:hAnsi="Times New Roman" w:cs="Times New Roman"/>
          <w:i w:val="0"/>
          <w:iCs w:val="0"/>
          <w:sz w:val="24"/>
          <w:szCs w:val="24"/>
        </w:rPr>
        <w:t>Finland</w:t>
      </w:r>
      <w:proofErr w:type="spellEnd"/>
      <w:r w:rsidRPr="00DB3E1C">
        <w:rPr>
          <w:rFonts w:ascii="Times New Roman" w:hAnsi="Times New Roman" w:cs="Times New Roman"/>
          <w:sz w:val="24"/>
          <w:szCs w:val="24"/>
        </w:rPr>
        <w:t> [C-342/20]</w:t>
      </w:r>
      <w:r w:rsidRPr="00DB3E1C">
        <w:rPr>
          <w:rFonts w:ascii="Times New Roman" w:eastAsia="Times New Roman" w:hAnsi="Times New Roman" w:cs="Times New Roman"/>
          <w:sz w:val="24"/>
          <w:szCs w:val="24"/>
        </w:rPr>
        <w:t>.</w:t>
      </w:r>
    </w:p>
    <w:p w14:paraId="40C4166D" w14:textId="04A3633B" w:rsidR="00801789" w:rsidRPr="00DB3E1C" w:rsidRDefault="00233203" w:rsidP="00DB3E1C">
      <w:pPr>
        <w:autoSpaceDE w:val="0"/>
        <w:autoSpaceDN w:val="0"/>
        <w:spacing w:before="240" w:line="360" w:lineRule="auto"/>
        <w:ind w:left="360"/>
        <w:jc w:val="both"/>
        <w:rPr>
          <w:rFonts w:ascii="Times New Roman" w:eastAsia="Times New Roman" w:hAnsi="Times New Roman" w:cs="Times New Roman"/>
          <w:b/>
          <w:bCs/>
          <w:sz w:val="24"/>
          <w:szCs w:val="24"/>
        </w:rPr>
      </w:pPr>
      <w:r w:rsidRPr="00DB3E1C">
        <w:rPr>
          <w:rFonts w:ascii="Times New Roman" w:eastAsia="Times New Roman" w:hAnsi="Times New Roman" w:cs="Times New Roman"/>
          <w:b/>
          <w:bCs/>
          <w:sz w:val="24"/>
          <w:szCs w:val="24"/>
        </w:rPr>
        <w:t>3. Rozszerzenie wymogów w zakresie wymiany informacji</w:t>
      </w:r>
      <w:r w:rsidR="00723346">
        <w:rPr>
          <w:rFonts w:ascii="Times New Roman" w:eastAsia="Times New Roman" w:hAnsi="Times New Roman" w:cs="Times New Roman"/>
          <w:b/>
          <w:bCs/>
          <w:sz w:val="24"/>
          <w:szCs w:val="24"/>
        </w:rPr>
        <w:t>.</w:t>
      </w:r>
    </w:p>
    <w:p w14:paraId="65B414D1" w14:textId="584A1B4E" w:rsidR="002216F1" w:rsidRPr="00DB3E1C" w:rsidRDefault="002216F1" w:rsidP="00DB3E1C">
      <w:pPr>
        <w:pStyle w:val="SzanownaPani"/>
        <w:spacing w:after="120" w:line="360" w:lineRule="auto"/>
        <w:contextualSpacing w:val="0"/>
        <w:jc w:val="both"/>
        <w:rPr>
          <w:rFonts w:ascii="Times New Roman" w:hAnsi="Times New Roman" w:cs="Times New Roman"/>
          <w:i/>
          <w:iCs/>
          <w:sz w:val="24"/>
          <w:szCs w:val="24"/>
          <w:shd w:val="clear" w:color="auto" w:fill="FFFFFF"/>
        </w:rPr>
      </w:pPr>
      <w:r w:rsidRPr="00DB3E1C">
        <w:rPr>
          <w:rFonts w:ascii="Times New Roman" w:hAnsi="Times New Roman" w:cs="Times New Roman"/>
          <w:i/>
          <w:iCs/>
          <w:sz w:val="24"/>
          <w:szCs w:val="24"/>
          <w:shd w:val="clear" w:color="auto" w:fill="FFFFFF"/>
        </w:rPr>
        <w:t>Cel wprowadzenia nowych wymogów</w:t>
      </w:r>
    </w:p>
    <w:p w14:paraId="5ED712B1" w14:textId="7B96F145" w:rsidR="00233203" w:rsidRPr="00DB3E1C" w:rsidRDefault="00233203" w:rsidP="00DB3E1C">
      <w:pPr>
        <w:pStyle w:val="SzanownaPani"/>
        <w:spacing w:line="360" w:lineRule="auto"/>
        <w:jc w:val="both"/>
        <w:rPr>
          <w:rFonts w:ascii="Times New Roman" w:hAnsi="Times New Roman" w:cs="Times New Roman"/>
          <w:sz w:val="24"/>
          <w:szCs w:val="24"/>
          <w:shd w:val="clear" w:color="auto" w:fill="FFFFFF"/>
        </w:rPr>
      </w:pPr>
      <w:r w:rsidRPr="00DB3E1C">
        <w:rPr>
          <w:rFonts w:ascii="Times New Roman" w:hAnsi="Times New Roman" w:cs="Times New Roman"/>
          <w:sz w:val="24"/>
          <w:szCs w:val="24"/>
          <w:shd w:val="clear" w:color="auto" w:fill="FFFFFF"/>
        </w:rPr>
        <w:t xml:space="preserve">Obecnie zwolnienia dla zagranicznych funduszy inwestycyjnych i zagranicznych funduszy emerytalnych stosuje się pod warunkiem istnienia podstawy prawnej do wzajemnej pomocy informacyjnej, wynikającej </w:t>
      </w:r>
      <w:r w:rsidR="00723346">
        <w:rPr>
          <w:rFonts w:ascii="Times New Roman" w:hAnsi="Times New Roman" w:cs="Times New Roman"/>
          <w:sz w:val="24"/>
          <w:szCs w:val="24"/>
          <w:shd w:val="clear" w:color="auto" w:fill="FFFFFF"/>
        </w:rPr>
        <w:t>–</w:t>
      </w:r>
      <w:r w:rsidRPr="00DB3E1C">
        <w:rPr>
          <w:rFonts w:ascii="Times New Roman" w:hAnsi="Times New Roman" w:cs="Times New Roman"/>
          <w:sz w:val="24"/>
          <w:szCs w:val="24"/>
          <w:shd w:val="clear" w:color="auto" w:fill="FFFFFF"/>
        </w:rPr>
        <w:t xml:space="preserve"> zgodnie z art. 6 ust. 3 ustawy CIT </w:t>
      </w:r>
      <w:r w:rsidR="00723346">
        <w:rPr>
          <w:rFonts w:ascii="Times New Roman" w:hAnsi="Times New Roman" w:cs="Times New Roman"/>
          <w:sz w:val="24"/>
          <w:szCs w:val="24"/>
          <w:shd w:val="clear" w:color="auto" w:fill="FFFFFF"/>
        </w:rPr>
        <w:t>–</w:t>
      </w:r>
      <w:r w:rsidRPr="00DB3E1C">
        <w:rPr>
          <w:rFonts w:ascii="Times New Roman" w:hAnsi="Times New Roman" w:cs="Times New Roman"/>
          <w:sz w:val="24"/>
          <w:szCs w:val="24"/>
          <w:shd w:val="clear" w:color="auto" w:fill="FFFFFF"/>
        </w:rPr>
        <w:t xml:space="preserve"> zasadniczo z umów o unikaniu podwójnego opodatkowania („UPO”).</w:t>
      </w:r>
    </w:p>
    <w:p w14:paraId="72616A8A" w14:textId="32FA30A8" w:rsidR="00A70A8D" w:rsidRPr="00DB3E1C" w:rsidRDefault="00233203" w:rsidP="00DB3E1C">
      <w:pPr>
        <w:autoSpaceDE w:val="0"/>
        <w:autoSpaceDN w:val="0"/>
        <w:adjustRightInd w:val="0"/>
        <w:spacing w:before="240" w:line="360" w:lineRule="auto"/>
        <w:jc w:val="both"/>
        <w:rPr>
          <w:rFonts w:ascii="Times New Roman" w:hAnsi="Times New Roman" w:cs="Times New Roman"/>
          <w:sz w:val="24"/>
          <w:szCs w:val="24"/>
          <w:shd w:val="clear" w:color="auto" w:fill="FFFFFF"/>
        </w:rPr>
      </w:pPr>
      <w:r w:rsidRPr="00DB3E1C">
        <w:rPr>
          <w:rFonts w:ascii="Times New Roman" w:hAnsi="Times New Roman" w:cs="Times New Roman"/>
          <w:sz w:val="24"/>
          <w:szCs w:val="24"/>
          <w:shd w:val="clear" w:color="auto" w:fill="FFFFFF"/>
        </w:rPr>
        <w:t xml:space="preserve">Jednakże w świetle znaczącego rozszerzenia zakresu zwolnienia, tj. na fundusze z państw trzecich, podstawa ta jest niewystarczająca. Stąd </w:t>
      </w:r>
      <w:r w:rsidR="00905A40" w:rsidRPr="00DB3E1C">
        <w:rPr>
          <w:rFonts w:ascii="Times New Roman" w:hAnsi="Times New Roman" w:cs="Times New Roman"/>
          <w:sz w:val="24"/>
          <w:szCs w:val="24"/>
          <w:shd w:val="clear" w:color="auto" w:fill="FFFFFF"/>
        </w:rPr>
        <w:t>w przypadku zagranicznych instytucji wspólnego inwestowania projekt ustawy wprowadza dodatkowe warunki w zakresie wymiany informacji</w:t>
      </w:r>
      <w:r w:rsidR="00A70A8D" w:rsidRPr="00DB3E1C">
        <w:rPr>
          <w:rFonts w:ascii="Times New Roman" w:hAnsi="Times New Roman" w:cs="Times New Roman"/>
          <w:sz w:val="24"/>
          <w:szCs w:val="24"/>
          <w:shd w:val="clear" w:color="auto" w:fill="FFFFFF"/>
        </w:rPr>
        <w:t xml:space="preserve"> w zakresie CRS.</w:t>
      </w:r>
    </w:p>
    <w:p w14:paraId="4524ADC8" w14:textId="243CC8D3" w:rsidR="00A70A8D" w:rsidRPr="00DB3E1C" w:rsidRDefault="00A70A8D" w:rsidP="00DB3E1C">
      <w:pPr>
        <w:autoSpaceDE w:val="0"/>
        <w:autoSpaceDN w:val="0"/>
        <w:adjustRightInd w:val="0"/>
        <w:spacing w:line="360" w:lineRule="auto"/>
        <w:jc w:val="both"/>
        <w:rPr>
          <w:rFonts w:ascii="Times New Roman" w:hAnsi="Times New Roman" w:cs="Times New Roman"/>
          <w:sz w:val="24"/>
          <w:szCs w:val="24"/>
          <w:shd w:val="clear" w:color="auto" w:fill="FFFFFF"/>
        </w:rPr>
      </w:pPr>
    </w:p>
    <w:p w14:paraId="28BFE400" w14:textId="432979A5" w:rsidR="00A70A8D" w:rsidRPr="00DB3E1C" w:rsidRDefault="00A70A8D" w:rsidP="00DB3E1C">
      <w:pPr>
        <w:autoSpaceDE w:val="0"/>
        <w:autoSpaceDN w:val="0"/>
        <w:adjustRightInd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t xml:space="preserve">Standard CRS </w:t>
      </w:r>
      <w:r w:rsidR="00967D86" w:rsidRPr="00DB3E1C">
        <w:rPr>
          <w:rFonts w:ascii="Times New Roman" w:hAnsi="Times New Roman" w:cs="Times New Roman"/>
          <w:sz w:val="24"/>
          <w:szCs w:val="24"/>
        </w:rPr>
        <w:t>(</w:t>
      </w:r>
      <w:r w:rsidR="00967D86" w:rsidRPr="00DB3E1C">
        <w:rPr>
          <w:rFonts w:ascii="Times New Roman" w:eastAsia="Times New Roman" w:hAnsi="Times New Roman" w:cs="Times New Roman"/>
          <w:color w:val="000000"/>
          <w:sz w:val="24"/>
          <w:szCs w:val="24"/>
        </w:rPr>
        <w:t xml:space="preserve">ang. </w:t>
      </w:r>
      <w:proofErr w:type="spellStart"/>
      <w:r w:rsidR="00967D86" w:rsidRPr="00DB3E1C">
        <w:rPr>
          <w:rFonts w:ascii="Times New Roman" w:eastAsia="Times New Roman" w:hAnsi="Times New Roman" w:cs="Times New Roman"/>
          <w:i/>
          <w:iCs/>
          <w:color w:val="000000"/>
          <w:sz w:val="24"/>
          <w:szCs w:val="24"/>
        </w:rPr>
        <w:t>Common</w:t>
      </w:r>
      <w:proofErr w:type="spellEnd"/>
      <w:r w:rsidR="00967D86" w:rsidRPr="00DB3E1C">
        <w:rPr>
          <w:rFonts w:ascii="Times New Roman" w:eastAsia="Times New Roman" w:hAnsi="Times New Roman" w:cs="Times New Roman"/>
          <w:i/>
          <w:iCs/>
          <w:color w:val="000000"/>
          <w:sz w:val="24"/>
          <w:szCs w:val="24"/>
        </w:rPr>
        <w:t xml:space="preserve"> Reporting Standard</w:t>
      </w:r>
      <w:r w:rsidR="00967D86" w:rsidRPr="00DB3E1C">
        <w:rPr>
          <w:rFonts w:ascii="Times New Roman" w:hAnsi="Times New Roman" w:cs="Times New Roman"/>
          <w:sz w:val="24"/>
          <w:szCs w:val="24"/>
        </w:rPr>
        <w:t xml:space="preserve"> </w:t>
      </w:r>
      <w:r w:rsidR="00723346">
        <w:rPr>
          <w:rFonts w:ascii="Times New Roman" w:hAnsi="Times New Roman" w:cs="Times New Roman"/>
          <w:sz w:val="24"/>
          <w:szCs w:val="24"/>
        </w:rPr>
        <w:t>–</w:t>
      </w:r>
      <w:r w:rsidR="00967D86" w:rsidRPr="00DB3E1C">
        <w:rPr>
          <w:rFonts w:ascii="Times New Roman" w:hAnsi="Times New Roman" w:cs="Times New Roman"/>
          <w:sz w:val="24"/>
          <w:szCs w:val="24"/>
        </w:rPr>
        <w:t xml:space="preserve"> s</w:t>
      </w:r>
      <w:r w:rsidR="00967D86" w:rsidRPr="00DB3E1C">
        <w:rPr>
          <w:rFonts w:ascii="Times New Roman" w:hAnsi="Times New Roman" w:cs="Times New Roman"/>
          <w:i/>
          <w:iCs/>
          <w:sz w:val="24"/>
          <w:szCs w:val="24"/>
        </w:rPr>
        <w:t xml:space="preserve">tandard automatycznej wymiany informacji o rachunkach finansowych w sprawach podatkowych) </w:t>
      </w:r>
      <w:r w:rsidRPr="00DB3E1C">
        <w:rPr>
          <w:rFonts w:ascii="Times New Roman" w:hAnsi="Times New Roman" w:cs="Times New Roman"/>
          <w:sz w:val="24"/>
          <w:szCs w:val="24"/>
        </w:rPr>
        <w:t xml:space="preserve">został wypracowany </w:t>
      </w:r>
      <w:r w:rsidR="00D02411" w:rsidRPr="00DB3E1C">
        <w:rPr>
          <w:rFonts w:ascii="Times New Roman" w:hAnsi="Times New Roman" w:cs="Times New Roman"/>
          <w:sz w:val="24"/>
          <w:szCs w:val="24"/>
        </w:rPr>
        <w:t>na poziomie</w:t>
      </w:r>
      <w:r w:rsidRPr="00DB3E1C">
        <w:rPr>
          <w:rFonts w:ascii="Times New Roman" w:hAnsi="Times New Roman" w:cs="Times New Roman"/>
          <w:sz w:val="24"/>
          <w:szCs w:val="24"/>
        </w:rPr>
        <w:t xml:space="preserve"> OECD </w:t>
      </w:r>
      <w:r w:rsidR="00D02411" w:rsidRPr="00DB3E1C">
        <w:rPr>
          <w:rFonts w:ascii="Times New Roman" w:eastAsia="Times New Roman" w:hAnsi="Times New Roman" w:cs="Times New Roman"/>
          <w:color w:val="000000"/>
          <w:sz w:val="24"/>
          <w:szCs w:val="24"/>
        </w:rPr>
        <w:t>w 2014 r., w drodze przyjęcia wielostronnego porozumienia właściwych władz w sprawie automatycznej wymiany informacji o rachunkach</w:t>
      </w:r>
      <w:r w:rsidR="00D02411" w:rsidRPr="00DB3E1C">
        <w:rPr>
          <w:rFonts w:ascii="Times New Roman" w:eastAsia="Times New Roman" w:hAnsi="Times New Roman" w:cs="Times New Roman"/>
          <w:i/>
          <w:iCs/>
          <w:color w:val="000000"/>
          <w:sz w:val="24"/>
          <w:szCs w:val="24"/>
        </w:rPr>
        <w:t xml:space="preserve"> </w:t>
      </w:r>
      <w:r w:rsidR="00D02411" w:rsidRPr="00DB3E1C">
        <w:rPr>
          <w:rFonts w:ascii="Times New Roman" w:eastAsia="Times New Roman" w:hAnsi="Times New Roman" w:cs="Times New Roman"/>
          <w:color w:val="000000"/>
          <w:sz w:val="24"/>
          <w:szCs w:val="24"/>
        </w:rPr>
        <w:t xml:space="preserve">finansowych (tzw. </w:t>
      </w:r>
      <w:r w:rsidR="00D02411" w:rsidRPr="00DB3E1C">
        <w:rPr>
          <w:rFonts w:ascii="Times New Roman" w:eastAsia="Times New Roman" w:hAnsi="Times New Roman" w:cs="Times New Roman"/>
          <w:i/>
          <w:iCs/>
          <w:color w:val="000000"/>
          <w:sz w:val="24"/>
          <w:szCs w:val="24"/>
        </w:rPr>
        <w:t>CRS Multilateral Competent Authority Agreement</w:t>
      </w:r>
      <w:r w:rsidR="00D02411" w:rsidRPr="00DB3E1C">
        <w:rPr>
          <w:rFonts w:ascii="Times New Roman" w:eastAsia="Times New Roman" w:hAnsi="Times New Roman" w:cs="Times New Roman"/>
          <w:color w:val="000000"/>
          <w:sz w:val="24"/>
          <w:szCs w:val="24"/>
        </w:rPr>
        <w:t xml:space="preserve"> – </w:t>
      </w:r>
      <w:r w:rsidR="00D02411" w:rsidRPr="00DB3E1C">
        <w:rPr>
          <w:rFonts w:ascii="Times New Roman" w:eastAsia="Times New Roman" w:hAnsi="Times New Roman" w:cs="Times New Roman"/>
          <w:b/>
          <w:bCs/>
          <w:color w:val="000000"/>
          <w:sz w:val="24"/>
          <w:szCs w:val="24"/>
        </w:rPr>
        <w:t>CRS MCAA</w:t>
      </w:r>
      <w:r w:rsidR="00D02411" w:rsidRPr="00DB3E1C">
        <w:rPr>
          <w:rFonts w:ascii="Times New Roman" w:eastAsia="Times New Roman" w:hAnsi="Times New Roman" w:cs="Times New Roman"/>
          <w:color w:val="000000"/>
          <w:sz w:val="24"/>
          <w:szCs w:val="24"/>
        </w:rPr>
        <w:t xml:space="preserve">). Powyższe wielostronne porozumienie umożliwiło automatyczną wymianę informacji podatkowych pomiędzy sygnatariuszami w oparciu o </w:t>
      </w:r>
      <w:r w:rsidR="00967D86" w:rsidRPr="00DB3E1C">
        <w:rPr>
          <w:rFonts w:ascii="Times New Roman" w:eastAsia="Times New Roman" w:hAnsi="Times New Roman" w:cs="Times New Roman"/>
          <w:color w:val="000000"/>
          <w:sz w:val="24"/>
          <w:szCs w:val="24"/>
        </w:rPr>
        <w:t xml:space="preserve">ww. </w:t>
      </w:r>
      <w:r w:rsidR="00D02411" w:rsidRPr="00DB3E1C">
        <w:rPr>
          <w:rFonts w:ascii="Times New Roman" w:eastAsia="Times New Roman" w:hAnsi="Times New Roman" w:cs="Times New Roman"/>
          <w:color w:val="000000"/>
          <w:sz w:val="24"/>
          <w:szCs w:val="24"/>
        </w:rPr>
        <w:t>standard automatycznej wymiany informacji podatkowych (</w:t>
      </w:r>
      <w:r w:rsidR="00D02411" w:rsidRPr="00DB3E1C">
        <w:rPr>
          <w:rFonts w:ascii="Times New Roman" w:eastAsia="Times New Roman" w:hAnsi="Times New Roman" w:cs="Times New Roman"/>
          <w:i/>
          <w:iCs/>
          <w:color w:val="000000"/>
          <w:sz w:val="24"/>
          <w:szCs w:val="24"/>
        </w:rPr>
        <w:t>CRS</w:t>
      </w:r>
      <w:r w:rsidR="00D02411" w:rsidRPr="00DB3E1C">
        <w:rPr>
          <w:rFonts w:ascii="Times New Roman" w:eastAsia="Times New Roman" w:hAnsi="Times New Roman" w:cs="Times New Roman"/>
          <w:color w:val="000000"/>
          <w:sz w:val="24"/>
          <w:szCs w:val="24"/>
        </w:rPr>
        <w:t xml:space="preserve">). </w:t>
      </w:r>
      <w:r w:rsidR="00D02411" w:rsidRPr="00DB3E1C">
        <w:rPr>
          <w:rFonts w:ascii="Times New Roman" w:hAnsi="Times New Roman" w:cs="Times New Roman"/>
          <w:sz w:val="24"/>
          <w:szCs w:val="24"/>
        </w:rPr>
        <w:t>Przystąpiło do niego globalnie ok. 120 państw. Standard CRS j</w:t>
      </w:r>
      <w:r w:rsidRPr="00DB3E1C">
        <w:rPr>
          <w:rFonts w:ascii="Times New Roman" w:hAnsi="Times New Roman" w:cs="Times New Roman"/>
          <w:sz w:val="24"/>
          <w:szCs w:val="24"/>
        </w:rPr>
        <w:t>est także wdrażany na poziomie państw członkowskich UE (tzw. Dyrektywa DAC2). FATCA jest odpowiednikiem standardu CRS dotyczącym wymiany informacji podatkowych z USA.</w:t>
      </w:r>
      <w:r w:rsidR="00D02411" w:rsidRPr="00DB3E1C">
        <w:rPr>
          <w:rFonts w:ascii="Times New Roman" w:hAnsi="Times New Roman" w:cs="Times New Roman"/>
          <w:sz w:val="24"/>
          <w:szCs w:val="24"/>
        </w:rPr>
        <w:t xml:space="preserve"> Celem CRS jest zwalczanie unikania opodatkowania i zapewnienie integralności systemów podatkowych poprzez automatyczną wymianę informacji o rachunkach finansowych (w tym również rachunkach prowadzonych przez instytucje wspólnego inwestowania) pomiędzy krajami uczestniczącymi. Dzięki temu organy podatkowe mogą skuteczniej identyfikować dochody i aktywa osób i podmiotów unikających opodatkowania.</w:t>
      </w:r>
    </w:p>
    <w:p w14:paraId="1BC43186" w14:textId="77777777" w:rsidR="00A70A8D" w:rsidRPr="00DB3E1C" w:rsidRDefault="00A70A8D" w:rsidP="00DB3E1C">
      <w:pPr>
        <w:autoSpaceDE w:val="0"/>
        <w:autoSpaceDN w:val="0"/>
        <w:adjustRightInd w:val="0"/>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Zawężenie zakresu zwolnienia do podmiotów z państw, które uczestniczą w automatycznej wymianie informacji o rachunkach raportowanych CRS lub na potrzeby FATCA, pozwoli na ograniczenie stosowanie zwolnienia przez podmioty nieuprawnione i zminimalizuje skalę potencjalnych nadużyć zwolnienia.</w:t>
      </w:r>
    </w:p>
    <w:p w14:paraId="35188404" w14:textId="36FDC643" w:rsidR="002216F1" w:rsidRPr="00DB3E1C" w:rsidRDefault="002216F1" w:rsidP="00DB3E1C">
      <w:pPr>
        <w:autoSpaceDE w:val="0"/>
        <w:autoSpaceDN w:val="0"/>
        <w:adjustRightInd w:val="0"/>
        <w:spacing w:before="240" w:after="120" w:line="360" w:lineRule="auto"/>
        <w:jc w:val="both"/>
        <w:rPr>
          <w:rFonts w:ascii="Times New Roman" w:hAnsi="Times New Roman" w:cs="Times New Roman"/>
          <w:i/>
          <w:iCs/>
          <w:sz w:val="24"/>
          <w:szCs w:val="24"/>
          <w:shd w:val="clear" w:color="auto" w:fill="FFFFFF"/>
        </w:rPr>
      </w:pPr>
      <w:r w:rsidRPr="00DB3E1C">
        <w:rPr>
          <w:rFonts w:ascii="Times New Roman" w:hAnsi="Times New Roman" w:cs="Times New Roman"/>
          <w:i/>
          <w:iCs/>
          <w:sz w:val="24"/>
          <w:szCs w:val="24"/>
          <w:shd w:val="clear" w:color="auto" w:fill="FFFFFF"/>
        </w:rPr>
        <w:t>Art. 6 ust. 3a</w:t>
      </w:r>
      <w:r w:rsidR="00DA1EF3" w:rsidRPr="00DB3E1C">
        <w:rPr>
          <w:rFonts w:ascii="Times New Roman" w:hAnsi="Times New Roman" w:cs="Times New Roman"/>
          <w:i/>
          <w:iCs/>
          <w:sz w:val="24"/>
          <w:szCs w:val="24"/>
          <w:shd w:val="clear" w:color="auto" w:fill="FFFFFF"/>
        </w:rPr>
        <w:t xml:space="preserve"> oraz</w:t>
      </w:r>
      <w:r w:rsidRPr="00DB3E1C">
        <w:rPr>
          <w:rFonts w:ascii="Times New Roman" w:hAnsi="Times New Roman" w:cs="Times New Roman"/>
          <w:i/>
          <w:iCs/>
          <w:sz w:val="24"/>
          <w:szCs w:val="24"/>
          <w:shd w:val="clear" w:color="auto" w:fill="FFFFFF"/>
        </w:rPr>
        <w:t xml:space="preserve"> art. 17 ust. 1</w:t>
      </w:r>
      <w:r w:rsidR="00364D3C" w:rsidRPr="00DB3E1C">
        <w:rPr>
          <w:rFonts w:ascii="Times New Roman" w:hAnsi="Times New Roman" w:cs="Times New Roman"/>
          <w:i/>
          <w:iCs/>
          <w:sz w:val="24"/>
          <w:szCs w:val="24"/>
          <w:shd w:val="clear" w:color="auto" w:fill="FFFFFF"/>
        </w:rPr>
        <w:t>3</w:t>
      </w:r>
    </w:p>
    <w:p w14:paraId="5B3249E7" w14:textId="49185505" w:rsidR="00A84978" w:rsidRPr="00DB3E1C" w:rsidRDefault="002216F1" w:rsidP="00DB3E1C">
      <w:pPr>
        <w:autoSpaceDE w:val="0"/>
        <w:autoSpaceDN w:val="0"/>
        <w:adjustRightInd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shd w:val="clear" w:color="auto" w:fill="FFFFFF"/>
        </w:rPr>
        <w:t>Mając na względzie powyższe</w:t>
      </w:r>
      <w:r w:rsidR="00D02411" w:rsidRPr="00DB3E1C">
        <w:rPr>
          <w:rFonts w:ascii="Times New Roman" w:hAnsi="Times New Roman" w:cs="Times New Roman"/>
          <w:sz w:val="24"/>
          <w:szCs w:val="24"/>
          <w:shd w:val="clear" w:color="auto" w:fill="FFFFFF"/>
        </w:rPr>
        <w:t xml:space="preserve">, </w:t>
      </w:r>
      <w:r w:rsidR="00B0572F" w:rsidRPr="00DB3E1C">
        <w:rPr>
          <w:rFonts w:ascii="Times New Roman" w:hAnsi="Times New Roman" w:cs="Times New Roman"/>
          <w:sz w:val="24"/>
          <w:szCs w:val="24"/>
          <w:shd w:val="clear" w:color="auto" w:fill="FFFFFF"/>
        </w:rPr>
        <w:t xml:space="preserve">zgodnie z </w:t>
      </w:r>
      <w:r w:rsidR="00905A40" w:rsidRPr="00DB3E1C">
        <w:rPr>
          <w:rFonts w:ascii="Times New Roman" w:hAnsi="Times New Roman" w:cs="Times New Roman"/>
          <w:sz w:val="24"/>
          <w:szCs w:val="24"/>
          <w:shd w:val="clear" w:color="auto" w:fill="FFFFFF"/>
        </w:rPr>
        <w:t>nowo dodanym</w:t>
      </w:r>
      <w:r w:rsidR="00B0572F" w:rsidRPr="00DB3E1C">
        <w:rPr>
          <w:rFonts w:ascii="Times New Roman" w:hAnsi="Times New Roman" w:cs="Times New Roman"/>
          <w:sz w:val="24"/>
          <w:szCs w:val="24"/>
          <w:shd w:val="clear" w:color="auto" w:fill="FFFFFF"/>
        </w:rPr>
        <w:t xml:space="preserve"> art. 6 ust. 3</w:t>
      </w:r>
      <w:r w:rsidR="00905A40" w:rsidRPr="00DB3E1C">
        <w:rPr>
          <w:rFonts w:ascii="Times New Roman" w:hAnsi="Times New Roman" w:cs="Times New Roman"/>
          <w:sz w:val="24"/>
          <w:szCs w:val="24"/>
          <w:shd w:val="clear" w:color="auto" w:fill="FFFFFF"/>
        </w:rPr>
        <w:t>a</w:t>
      </w:r>
      <w:r w:rsidR="00B0572F" w:rsidRPr="00DB3E1C">
        <w:rPr>
          <w:rFonts w:ascii="Times New Roman" w:hAnsi="Times New Roman" w:cs="Times New Roman"/>
          <w:sz w:val="24"/>
          <w:szCs w:val="24"/>
          <w:shd w:val="clear" w:color="auto" w:fill="FFFFFF"/>
        </w:rPr>
        <w:t xml:space="preserve"> </w:t>
      </w:r>
      <w:r w:rsidR="007D5606" w:rsidRPr="00DB3E1C">
        <w:rPr>
          <w:rFonts w:ascii="Times New Roman" w:hAnsi="Times New Roman" w:cs="Times New Roman"/>
          <w:sz w:val="24"/>
          <w:szCs w:val="24"/>
          <w:shd w:val="clear" w:color="auto" w:fill="FFFFFF"/>
        </w:rPr>
        <w:t>oraz</w:t>
      </w:r>
      <w:r w:rsidR="000F3338" w:rsidRPr="00DB3E1C">
        <w:rPr>
          <w:rFonts w:ascii="Times New Roman" w:hAnsi="Times New Roman" w:cs="Times New Roman"/>
          <w:sz w:val="24"/>
          <w:szCs w:val="24"/>
          <w:shd w:val="clear" w:color="auto" w:fill="FFFFFF"/>
        </w:rPr>
        <w:t xml:space="preserve"> art. 17 ust. 1</w:t>
      </w:r>
      <w:r w:rsidR="00364D3C" w:rsidRPr="00DB3E1C">
        <w:rPr>
          <w:rFonts w:ascii="Times New Roman" w:hAnsi="Times New Roman" w:cs="Times New Roman"/>
          <w:sz w:val="24"/>
          <w:szCs w:val="24"/>
          <w:shd w:val="clear" w:color="auto" w:fill="FFFFFF"/>
        </w:rPr>
        <w:t>3</w:t>
      </w:r>
      <w:r w:rsidR="000F3338" w:rsidRPr="00DB3E1C">
        <w:rPr>
          <w:rFonts w:ascii="Times New Roman" w:hAnsi="Times New Roman" w:cs="Times New Roman"/>
          <w:sz w:val="24"/>
          <w:szCs w:val="24"/>
          <w:shd w:val="clear" w:color="auto" w:fill="FFFFFF"/>
        </w:rPr>
        <w:t xml:space="preserve"> </w:t>
      </w:r>
      <w:r w:rsidR="00B0572F" w:rsidRPr="00DB3E1C">
        <w:rPr>
          <w:rFonts w:ascii="Times New Roman" w:hAnsi="Times New Roman" w:cs="Times New Roman"/>
          <w:sz w:val="24"/>
          <w:szCs w:val="24"/>
          <w:shd w:val="clear" w:color="auto" w:fill="FFFFFF"/>
        </w:rPr>
        <w:t>ustawy CIT</w:t>
      </w:r>
      <w:r w:rsidR="00723346">
        <w:rPr>
          <w:rFonts w:ascii="Times New Roman" w:hAnsi="Times New Roman" w:cs="Times New Roman"/>
          <w:sz w:val="24"/>
          <w:szCs w:val="24"/>
          <w:shd w:val="clear" w:color="auto" w:fill="FFFFFF"/>
        </w:rPr>
        <w:t>,</w:t>
      </w:r>
      <w:r w:rsidR="00B0572F" w:rsidRPr="00DB3E1C">
        <w:rPr>
          <w:rFonts w:ascii="Times New Roman" w:hAnsi="Times New Roman" w:cs="Times New Roman"/>
          <w:sz w:val="24"/>
          <w:szCs w:val="24"/>
          <w:shd w:val="clear" w:color="auto" w:fill="FFFFFF"/>
        </w:rPr>
        <w:t xml:space="preserve"> </w:t>
      </w:r>
      <w:r w:rsidR="00DA1EF3" w:rsidRPr="00DB3E1C">
        <w:rPr>
          <w:rFonts w:ascii="Times New Roman" w:hAnsi="Times New Roman" w:cs="Times New Roman"/>
          <w:sz w:val="24"/>
          <w:szCs w:val="24"/>
          <w:shd w:val="clear" w:color="auto" w:fill="FFFFFF"/>
        </w:rPr>
        <w:t>z</w:t>
      </w:r>
      <w:r w:rsidR="00233203" w:rsidRPr="00DB3E1C">
        <w:rPr>
          <w:rFonts w:ascii="Times New Roman" w:hAnsi="Times New Roman" w:cs="Times New Roman"/>
          <w:sz w:val="24"/>
          <w:szCs w:val="24"/>
        </w:rPr>
        <w:t xml:space="preserve">e zwolnienia </w:t>
      </w:r>
      <w:r w:rsidR="00905A40" w:rsidRPr="00DB3E1C">
        <w:rPr>
          <w:rFonts w:ascii="Times New Roman" w:hAnsi="Times New Roman" w:cs="Times New Roman"/>
          <w:sz w:val="24"/>
          <w:szCs w:val="24"/>
        </w:rPr>
        <w:t xml:space="preserve">będą </w:t>
      </w:r>
      <w:r w:rsidR="00233203" w:rsidRPr="00DB3E1C">
        <w:rPr>
          <w:rFonts w:ascii="Times New Roman" w:hAnsi="Times New Roman" w:cs="Times New Roman"/>
          <w:sz w:val="24"/>
          <w:szCs w:val="24"/>
        </w:rPr>
        <w:t xml:space="preserve">mogły korzystać tylko instytucje wspólnego inwestowania z </w:t>
      </w:r>
      <w:r w:rsidR="00115609" w:rsidRPr="00DB3E1C">
        <w:rPr>
          <w:rFonts w:ascii="Times New Roman" w:hAnsi="Times New Roman" w:cs="Times New Roman"/>
          <w:sz w:val="24"/>
          <w:szCs w:val="24"/>
        </w:rPr>
        <w:t xml:space="preserve">państw, wobec których istnieje podstawa prawna </w:t>
      </w:r>
      <w:r w:rsidR="00905A40" w:rsidRPr="00DB3E1C">
        <w:rPr>
          <w:rFonts w:ascii="Times New Roman" w:hAnsi="Times New Roman" w:cs="Times New Roman"/>
          <w:sz w:val="24"/>
          <w:szCs w:val="24"/>
        </w:rPr>
        <w:t>do automatycznej wymiany informacji o rachunkach raportowanych</w:t>
      </w:r>
      <w:r w:rsidR="00981484" w:rsidRPr="00DB3E1C">
        <w:rPr>
          <w:rFonts w:ascii="Times New Roman" w:hAnsi="Times New Roman" w:cs="Times New Roman"/>
          <w:sz w:val="24"/>
          <w:szCs w:val="24"/>
        </w:rPr>
        <w:t xml:space="preserve">. </w:t>
      </w:r>
    </w:p>
    <w:p w14:paraId="3BD68918" w14:textId="099D3BAA" w:rsidR="00A84978" w:rsidRPr="00DB3E1C" w:rsidRDefault="002A61BC" w:rsidP="00DB3E1C">
      <w:pPr>
        <w:autoSpaceDE w:val="0"/>
        <w:autoSpaceDN w:val="0"/>
        <w:adjustRightInd w:val="0"/>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Ma to umożliwić uzyskiwanie przez właściwy organ (Szefa KAS) informacji o rachunkach prowadzonych przez instytucje wspólnego inwestowania na rzecz polskich rezydentów (zarówno osoby fizyczne, jak i podatników CIT).</w:t>
      </w:r>
    </w:p>
    <w:p w14:paraId="03A35A22" w14:textId="5B556B6D" w:rsidR="002A61BC" w:rsidRPr="00DB3E1C" w:rsidRDefault="00667097" w:rsidP="00DB3E1C">
      <w:pPr>
        <w:autoSpaceDE w:val="0"/>
        <w:autoSpaceDN w:val="0"/>
        <w:adjustRightInd w:val="0"/>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 xml:space="preserve">Taką podstawę prawną będą stanowić przepisy innego państwa lub odpowiednich umów, które zobowiązują właściwy organ tego państwa do przekazywania informacji, w drodze automatycznej wymiany, właściwemu organowi Rzeczpospolitej Polskiej (Szefowi KAS) – </w:t>
      </w:r>
      <w:r w:rsidR="002A61BC" w:rsidRPr="00DB3E1C">
        <w:rPr>
          <w:rFonts w:ascii="Times New Roman" w:hAnsi="Times New Roman" w:cs="Times New Roman"/>
          <w:sz w:val="24"/>
          <w:szCs w:val="24"/>
        </w:rPr>
        <w:lastRenderedPageBreak/>
        <w:t>podobnie do przepisów ustawy o wymianie informacji podatkowych</w:t>
      </w:r>
      <w:r w:rsidRPr="00DB3E1C">
        <w:rPr>
          <w:rStyle w:val="Odwoanieprzypisudolnego"/>
          <w:rFonts w:ascii="Times New Roman" w:hAnsi="Times New Roman" w:cs="Times New Roman"/>
          <w:sz w:val="24"/>
          <w:szCs w:val="24"/>
        </w:rPr>
        <w:footnoteReference w:id="4"/>
      </w:r>
      <w:r w:rsidR="002A61BC" w:rsidRPr="00DB3E1C">
        <w:rPr>
          <w:rFonts w:ascii="Times New Roman" w:hAnsi="Times New Roman" w:cs="Times New Roman"/>
          <w:sz w:val="24"/>
          <w:szCs w:val="24"/>
        </w:rPr>
        <w:t>, które obligują Szefa KAS do przekazywania organom innych państw informacji o instytucjach wspólnego inwestowania będących polskimi rezydentami podatkowymi.</w:t>
      </w:r>
      <w:r w:rsidR="00B90003" w:rsidRPr="00DB3E1C">
        <w:rPr>
          <w:rFonts w:ascii="Times New Roman" w:hAnsi="Times New Roman" w:cs="Times New Roman"/>
          <w:sz w:val="24"/>
          <w:szCs w:val="24"/>
        </w:rPr>
        <w:t xml:space="preserve"> </w:t>
      </w:r>
    </w:p>
    <w:p w14:paraId="3DEBBF92" w14:textId="035DD94F" w:rsidR="00A70A8D" w:rsidRPr="00DB3E1C" w:rsidRDefault="002869E1" w:rsidP="00DB3E1C">
      <w:pPr>
        <w:autoSpaceDE w:val="0"/>
        <w:autoSpaceDN w:val="0"/>
        <w:adjustRightInd w:val="0"/>
        <w:spacing w:before="240" w:line="360" w:lineRule="auto"/>
        <w:jc w:val="both"/>
        <w:rPr>
          <w:rFonts w:ascii="Times New Roman" w:hAnsi="Times New Roman" w:cs="Times New Roman"/>
          <w:sz w:val="24"/>
          <w:szCs w:val="24"/>
          <w:u w:val="single"/>
        </w:rPr>
      </w:pPr>
      <w:r w:rsidRPr="00DB3E1C">
        <w:rPr>
          <w:rFonts w:ascii="Times New Roman" w:hAnsi="Times New Roman" w:cs="Times New Roman"/>
          <w:sz w:val="24"/>
          <w:szCs w:val="24"/>
        </w:rPr>
        <w:t>Taka</w:t>
      </w:r>
      <w:r w:rsidR="002A61BC" w:rsidRPr="00DB3E1C">
        <w:rPr>
          <w:rFonts w:ascii="Times New Roman" w:hAnsi="Times New Roman" w:cs="Times New Roman"/>
          <w:sz w:val="24"/>
          <w:szCs w:val="24"/>
        </w:rPr>
        <w:t xml:space="preserve"> </w:t>
      </w:r>
      <w:r w:rsidR="00481E1A" w:rsidRPr="00DB3E1C">
        <w:rPr>
          <w:rFonts w:ascii="Times New Roman" w:hAnsi="Times New Roman" w:cs="Times New Roman"/>
          <w:sz w:val="24"/>
          <w:szCs w:val="24"/>
        </w:rPr>
        <w:t>podstaw</w:t>
      </w:r>
      <w:r w:rsidR="00A70A8D" w:rsidRPr="00DB3E1C">
        <w:rPr>
          <w:rFonts w:ascii="Times New Roman" w:hAnsi="Times New Roman" w:cs="Times New Roman"/>
          <w:sz w:val="24"/>
          <w:szCs w:val="24"/>
        </w:rPr>
        <w:t>a prawna</w:t>
      </w:r>
      <w:r w:rsidR="00481E1A" w:rsidRPr="00DB3E1C">
        <w:rPr>
          <w:rFonts w:ascii="Times New Roman" w:hAnsi="Times New Roman" w:cs="Times New Roman"/>
          <w:sz w:val="24"/>
          <w:szCs w:val="24"/>
        </w:rPr>
        <w:t xml:space="preserve"> </w:t>
      </w:r>
      <w:r w:rsidR="002A61BC" w:rsidRPr="00DB3E1C">
        <w:rPr>
          <w:rFonts w:ascii="Times New Roman" w:hAnsi="Times New Roman" w:cs="Times New Roman"/>
          <w:sz w:val="24"/>
          <w:szCs w:val="24"/>
        </w:rPr>
        <w:t xml:space="preserve">może </w:t>
      </w:r>
      <w:r w:rsidR="00A70A8D" w:rsidRPr="00DB3E1C">
        <w:rPr>
          <w:rFonts w:ascii="Times New Roman" w:hAnsi="Times New Roman" w:cs="Times New Roman"/>
          <w:sz w:val="24"/>
          <w:szCs w:val="24"/>
        </w:rPr>
        <w:t>wynikać z</w:t>
      </w:r>
      <w:r w:rsidR="00DA1EF3" w:rsidRPr="00DB3E1C">
        <w:rPr>
          <w:rFonts w:ascii="Times New Roman" w:hAnsi="Times New Roman" w:cs="Times New Roman"/>
          <w:sz w:val="24"/>
          <w:szCs w:val="24"/>
        </w:rPr>
        <w:t xml:space="preserve"> </w:t>
      </w:r>
      <w:r w:rsidR="003A0D90" w:rsidRPr="00DB3E1C">
        <w:rPr>
          <w:rFonts w:ascii="Times New Roman" w:hAnsi="Times New Roman" w:cs="Times New Roman"/>
          <w:sz w:val="24"/>
          <w:szCs w:val="24"/>
        </w:rPr>
        <w:t>podpisania przez dane państwo</w:t>
      </w:r>
      <w:r w:rsidR="00DA1EF3" w:rsidRPr="00DB3E1C">
        <w:rPr>
          <w:rFonts w:ascii="Times New Roman" w:hAnsi="Times New Roman" w:cs="Times New Roman"/>
          <w:sz w:val="24"/>
          <w:szCs w:val="24"/>
        </w:rPr>
        <w:t xml:space="preserve"> wielostronnej umowy CRS MCAA </w:t>
      </w:r>
      <w:r w:rsidR="003A0D90" w:rsidRPr="00DB3E1C">
        <w:rPr>
          <w:rFonts w:ascii="Times New Roman" w:hAnsi="Times New Roman" w:cs="Times New Roman"/>
          <w:sz w:val="24"/>
          <w:szCs w:val="24"/>
        </w:rPr>
        <w:t>(</w:t>
      </w:r>
      <w:r w:rsidR="00DA1EF3" w:rsidRPr="00DB3E1C">
        <w:rPr>
          <w:rFonts w:ascii="Times New Roman" w:hAnsi="Times New Roman" w:cs="Times New Roman"/>
          <w:sz w:val="24"/>
          <w:szCs w:val="24"/>
        </w:rPr>
        <w:t xml:space="preserve">lub </w:t>
      </w:r>
      <w:r w:rsidR="003A0D90" w:rsidRPr="00DB3E1C">
        <w:rPr>
          <w:rFonts w:ascii="Times New Roman" w:hAnsi="Times New Roman" w:cs="Times New Roman"/>
          <w:sz w:val="24"/>
          <w:szCs w:val="24"/>
        </w:rPr>
        <w:t xml:space="preserve">wdrożenia </w:t>
      </w:r>
      <w:r w:rsidR="00DA1EF3" w:rsidRPr="00DB3E1C">
        <w:rPr>
          <w:rFonts w:ascii="Times New Roman" w:hAnsi="Times New Roman" w:cs="Times New Roman"/>
          <w:sz w:val="24"/>
          <w:szCs w:val="24"/>
        </w:rPr>
        <w:t>dyrektyw unijnych przyjętych na jej podstawie</w:t>
      </w:r>
      <w:r w:rsidR="003A0D90" w:rsidRPr="00DB3E1C">
        <w:rPr>
          <w:rFonts w:ascii="Times New Roman" w:hAnsi="Times New Roman" w:cs="Times New Roman"/>
          <w:sz w:val="24"/>
          <w:szCs w:val="24"/>
        </w:rPr>
        <w:t>)</w:t>
      </w:r>
      <w:r w:rsidR="00DA1EF3" w:rsidRPr="00DB3E1C">
        <w:rPr>
          <w:rFonts w:ascii="Times New Roman" w:hAnsi="Times New Roman" w:cs="Times New Roman"/>
          <w:sz w:val="24"/>
          <w:szCs w:val="24"/>
        </w:rPr>
        <w:t>, innych</w:t>
      </w:r>
      <w:r w:rsidR="00481E1A" w:rsidRPr="00DB3E1C">
        <w:rPr>
          <w:rFonts w:ascii="Times New Roman" w:hAnsi="Times New Roman" w:cs="Times New Roman"/>
          <w:sz w:val="24"/>
          <w:szCs w:val="24"/>
        </w:rPr>
        <w:t xml:space="preserve"> </w:t>
      </w:r>
      <w:r w:rsidR="00233203" w:rsidRPr="00DB3E1C">
        <w:rPr>
          <w:rFonts w:ascii="Times New Roman" w:hAnsi="Times New Roman" w:cs="Times New Roman"/>
          <w:sz w:val="24"/>
          <w:szCs w:val="24"/>
        </w:rPr>
        <w:t>um</w:t>
      </w:r>
      <w:r w:rsidR="00A70A8D" w:rsidRPr="00DB3E1C">
        <w:rPr>
          <w:rFonts w:ascii="Times New Roman" w:hAnsi="Times New Roman" w:cs="Times New Roman"/>
          <w:sz w:val="24"/>
          <w:szCs w:val="24"/>
        </w:rPr>
        <w:t>ów</w:t>
      </w:r>
      <w:r w:rsidR="00233203" w:rsidRPr="00DB3E1C">
        <w:rPr>
          <w:rFonts w:ascii="Times New Roman" w:hAnsi="Times New Roman" w:cs="Times New Roman"/>
          <w:sz w:val="24"/>
          <w:szCs w:val="24"/>
        </w:rPr>
        <w:t xml:space="preserve"> o automatycznej wymianie informacji podatkowych w ramach standardu CRS (Common Reporting Standard)</w:t>
      </w:r>
      <w:r w:rsidR="00481E1A" w:rsidRPr="00DB3E1C">
        <w:rPr>
          <w:rFonts w:ascii="Times New Roman" w:hAnsi="Times New Roman" w:cs="Times New Roman"/>
          <w:sz w:val="24"/>
          <w:szCs w:val="24"/>
        </w:rPr>
        <w:t>, jak również</w:t>
      </w:r>
      <w:r w:rsidR="00233203" w:rsidRPr="00DB3E1C">
        <w:rPr>
          <w:rFonts w:ascii="Times New Roman" w:hAnsi="Times New Roman" w:cs="Times New Roman"/>
          <w:sz w:val="24"/>
          <w:szCs w:val="24"/>
        </w:rPr>
        <w:t xml:space="preserve"> </w:t>
      </w:r>
      <w:r w:rsidRPr="00DB3E1C">
        <w:rPr>
          <w:rFonts w:ascii="Times New Roman" w:hAnsi="Times New Roman" w:cs="Times New Roman"/>
          <w:sz w:val="24"/>
          <w:szCs w:val="24"/>
        </w:rPr>
        <w:t xml:space="preserve">z </w:t>
      </w:r>
      <w:r w:rsidR="00233203" w:rsidRPr="00DB3E1C">
        <w:rPr>
          <w:rFonts w:ascii="Times New Roman" w:hAnsi="Times New Roman" w:cs="Times New Roman"/>
          <w:sz w:val="24"/>
          <w:szCs w:val="24"/>
        </w:rPr>
        <w:t>umow</w:t>
      </w:r>
      <w:r w:rsidR="00A70A8D" w:rsidRPr="00DB3E1C">
        <w:rPr>
          <w:rFonts w:ascii="Times New Roman" w:hAnsi="Times New Roman" w:cs="Times New Roman"/>
          <w:sz w:val="24"/>
          <w:szCs w:val="24"/>
        </w:rPr>
        <w:t>y</w:t>
      </w:r>
      <w:r w:rsidR="00481E1A" w:rsidRPr="00DB3E1C">
        <w:rPr>
          <w:rFonts w:ascii="Times New Roman" w:hAnsi="Times New Roman" w:cs="Times New Roman"/>
          <w:sz w:val="24"/>
          <w:szCs w:val="24"/>
        </w:rPr>
        <w:t xml:space="preserve"> bilateraln</w:t>
      </w:r>
      <w:r w:rsidR="00A70A8D" w:rsidRPr="00DB3E1C">
        <w:rPr>
          <w:rFonts w:ascii="Times New Roman" w:hAnsi="Times New Roman" w:cs="Times New Roman"/>
          <w:sz w:val="24"/>
          <w:szCs w:val="24"/>
        </w:rPr>
        <w:t>ej</w:t>
      </w:r>
      <w:r w:rsidR="00233203" w:rsidRPr="00DB3E1C">
        <w:rPr>
          <w:rFonts w:ascii="Times New Roman" w:hAnsi="Times New Roman" w:cs="Times New Roman"/>
          <w:sz w:val="24"/>
          <w:szCs w:val="24"/>
        </w:rPr>
        <w:t xml:space="preserve"> </w:t>
      </w:r>
      <w:r w:rsidR="00481E1A" w:rsidRPr="00DB3E1C">
        <w:rPr>
          <w:rFonts w:ascii="Times New Roman" w:hAnsi="Times New Roman" w:cs="Times New Roman"/>
          <w:sz w:val="24"/>
          <w:szCs w:val="24"/>
        </w:rPr>
        <w:t xml:space="preserve">z USA </w:t>
      </w:r>
      <w:r w:rsidR="00233203" w:rsidRPr="00DB3E1C">
        <w:rPr>
          <w:rFonts w:ascii="Times New Roman" w:hAnsi="Times New Roman" w:cs="Times New Roman"/>
          <w:sz w:val="24"/>
          <w:szCs w:val="24"/>
        </w:rPr>
        <w:t>dotyczące</w:t>
      </w:r>
      <w:r w:rsidR="00A70A8D" w:rsidRPr="00DB3E1C">
        <w:rPr>
          <w:rFonts w:ascii="Times New Roman" w:hAnsi="Times New Roman" w:cs="Times New Roman"/>
          <w:sz w:val="24"/>
          <w:szCs w:val="24"/>
        </w:rPr>
        <w:t>j</w:t>
      </w:r>
      <w:r w:rsidR="00233203" w:rsidRPr="00DB3E1C">
        <w:rPr>
          <w:rFonts w:ascii="Times New Roman" w:hAnsi="Times New Roman" w:cs="Times New Roman"/>
          <w:sz w:val="24"/>
          <w:szCs w:val="24"/>
        </w:rPr>
        <w:t xml:space="preserve"> FATCA</w:t>
      </w:r>
      <w:r w:rsidR="00967D86" w:rsidRPr="00DB3E1C">
        <w:rPr>
          <w:rStyle w:val="Odwoanieprzypisudolnego"/>
          <w:rFonts w:ascii="Times New Roman" w:hAnsi="Times New Roman" w:cs="Times New Roman"/>
          <w:sz w:val="24"/>
          <w:szCs w:val="24"/>
        </w:rPr>
        <w:footnoteReference w:id="5"/>
      </w:r>
      <w:r w:rsidR="00233203" w:rsidRPr="00DB3E1C">
        <w:rPr>
          <w:rFonts w:ascii="Times New Roman" w:hAnsi="Times New Roman" w:cs="Times New Roman"/>
          <w:sz w:val="24"/>
          <w:szCs w:val="24"/>
        </w:rPr>
        <w:t>.</w:t>
      </w:r>
      <w:r w:rsidR="00233203" w:rsidRPr="00DB3E1C">
        <w:rPr>
          <w:rFonts w:ascii="Times New Roman" w:hAnsi="Times New Roman" w:cs="Times New Roman"/>
          <w:sz w:val="24"/>
          <w:szCs w:val="24"/>
          <w:u w:val="single"/>
        </w:rPr>
        <w:t xml:space="preserve"> </w:t>
      </w:r>
    </w:p>
    <w:p w14:paraId="1BBBCA15" w14:textId="354DC089" w:rsidR="00736D9A" w:rsidRPr="00DB3E1C" w:rsidRDefault="002869E1" w:rsidP="00DB3E1C">
      <w:pPr>
        <w:pStyle w:val="ZLITUSTzmustliter"/>
        <w:spacing w:before="240"/>
        <w:ind w:left="0" w:firstLine="0"/>
        <w:rPr>
          <w:rFonts w:ascii="Times New Roman" w:hAnsi="Times New Roman" w:cs="Times New Roman"/>
          <w:szCs w:val="24"/>
        </w:rPr>
      </w:pPr>
      <w:r w:rsidRPr="00DB3E1C">
        <w:rPr>
          <w:rFonts w:ascii="Times New Roman" w:hAnsi="Times New Roman" w:cs="Times New Roman"/>
          <w:szCs w:val="24"/>
        </w:rPr>
        <w:t>Systematyzując tę kwestię</w:t>
      </w:r>
      <w:r w:rsidR="00736D9A" w:rsidRPr="00DB3E1C">
        <w:rPr>
          <w:rFonts w:ascii="Times New Roman" w:hAnsi="Times New Roman" w:cs="Times New Roman"/>
          <w:szCs w:val="24"/>
        </w:rPr>
        <w:t>,</w:t>
      </w:r>
      <w:r w:rsidRPr="00DB3E1C">
        <w:rPr>
          <w:rFonts w:ascii="Times New Roman" w:hAnsi="Times New Roman" w:cs="Times New Roman"/>
          <w:szCs w:val="24"/>
        </w:rPr>
        <w:t xml:space="preserve"> </w:t>
      </w:r>
      <w:r w:rsidR="00736D9A" w:rsidRPr="00DB3E1C">
        <w:rPr>
          <w:rFonts w:ascii="Times New Roman" w:hAnsi="Times New Roman" w:cs="Times New Roman"/>
          <w:szCs w:val="24"/>
        </w:rPr>
        <w:t xml:space="preserve">podstawa prawna do uzyskania, w drodze automatycznej wymiany, przez Szefa KAS, informacji dotyczących rachunków prowadzonych przez instytucje wspólnego inwestowania </w:t>
      </w:r>
      <w:r w:rsidRPr="00DB3E1C">
        <w:rPr>
          <w:rFonts w:ascii="Times New Roman" w:hAnsi="Times New Roman" w:cs="Times New Roman"/>
          <w:szCs w:val="24"/>
        </w:rPr>
        <w:t>może</w:t>
      </w:r>
      <w:r w:rsidR="00736D9A" w:rsidRPr="00DB3E1C">
        <w:rPr>
          <w:rFonts w:ascii="Times New Roman" w:hAnsi="Times New Roman" w:cs="Times New Roman"/>
          <w:szCs w:val="24"/>
        </w:rPr>
        <w:t xml:space="preserve"> wynikać:</w:t>
      </w:r>
    </w:p>
    <w:p w14:paraId="2C843F0B" w14:textId="1D4FF7A6" w:rsidR="002869E1" w:rsidRPr="00DB3E1C" w:rsidRDefault="00736D9A" w:rsidP="00DB3E1C">
      <w:pPr>
        <w:pStyle w:val="ZLITLITwPKTzmlitwpktliter"/>
        <w:ind w:left="851" w:hanging="425"/>
        <w:rPr>
          <w:rFonts w:ascii="Times New Roman" w:hAnsi="Times New Roman" w:cs="Times New Roman"/>
          <w:szCs w:val="24"/>
        </w:rPr>
      </w:pPr>
      <w:r w:rsidRPr="00DB3E1C">
        <w:rPr>
          <w:rFonts w:ascii="Times New Roman" w:hAnsi="Times New Roman" w:cs="Times New Roman"/>
          <w:szCs w:val="24"/>
        </w:rPr>
        <w:t xml:space="preserve">1) </w:t>
      </w:r>
      <w:r w:rsidRPr="00DB3E1C">
        <w:rPr>
          <w:rFonts w:ascii="Times New Roman" w:hAnsi="Times New Roman" w:cs="Times New Roman"/>
          <w:szCs w:val="24"/>
        </w:rPr>
        <w:tab/>
        <w:t xml:space="preserve">z przepisów innego państwa członkowskiego UE wdrażających </w:t>
      </w:r>
      <w:bookmarkStart w:id="6" w:name="_Hlk209787873"/>
      <w:r w:rsidRPr="00DB3E1C">
        <w:rPr>
          <w:rFonts w:ascii="Times New Roman" w:hAnsi="Times New Roman" w:cs="Times New Roman"/>
          <w:szCs w:val="24"/>
        </w:rPr>
        <w:t>art. 8 ust. 3a</w:t>
      </w:r>
      <w:r w:rsidR="003231F1">
        <w:rPr>
          <w:rFonts w:ascii="Times New Roman" w:hAnsi="Times New Roman" w:cs="Times New Roman"/>
          <w:szCs w:val="24"/>
        </w:rPr>
        <w:t xml:space="preserve"> </w:t>
      </w:r>
      <w:r w:rsidRPr="00DB3E1C">
        <w:rPr>
          <w:rFonts w:ascii="Times New Roman" w:hAnsi="Times New Roman" w:cs="Times New Roman"/>
          <w:i/>
          <w:iCs/>
          <w:szCs w:val="24"/>
        </w:rPr>
        <w:t>Dyrektywy Rady 2011/16/UE z dnia 15 lutego 2011 r. w sprawie współpracy administracyjnej w dziedzinie opodatkowania i uchylającej dyrektywę 77/799/EWG</w:t>
      </w:r>
      <w:bookmarkEnd w:id="6"/>
      <w:r w:rsidRPr="00DB3E1C">
        <w:rPr>
          <w:rStyle w:val="Odwoanieprzypisudolnego"/>
          <w:rFonts w:ascii="Times New Roman" w:hAnsi="Times New Roman" w:cs="Times New Roman"/>
          <w:szCs w:val="24"/>
        </w:rPr>
        <w:footnoteReference w:id="6"/>
      </w:r>
      <w:r w:rsidR="002869E1" w:rsidRPr="00DB3E1C">
        <w:rPr>
          <w:rFonts w:ascii="Times New Roman" w:hAnsi="Times New Roman" w:cs="Times New Roman"/>
          <w:szCs w:val="24"/>
        </w:rPr>
        <w:t xml:space="preserve">, </w:t>
      </w:r>
      <w:r w:rsidRPr="00DB3E1C">
        <w:rPr>
          <w:rFonts w:ascii="Times New Roman" w:hAnsi="Times New Roman" w:cs="Times New Roman"/>
          <w:szCs w:val="24"/>
        </w:rPr>
        <w:t xml:space="preserve">regulujących automatyczną wymianę informacji zgodnie z zakresem danym określonym ww. art. 8 ust. 3a </w:t>
      </w:r>
      <w:r w:rsidR="00DA7AA5" w:rsidRPr="00DB3E1C">
        <w:rPr>
          <w:rFonts w:ascii="Times New Roman" w:hAnsi="Times New Roman" w:cs="Times New Roman"/>
          <w:szCs w:val="24"/>
        </w:rPr>
        <w:t>d</w:t>
      </w:r>
      <w:r w:rsidRPr="00DB3E1C">
        <w:rPr>
          <w:rFonts w:ascii="Times New Roman" w:hAnsi="Times New Roman" w:cs="Times New Roman"/>
          <w:szCs w:val="24"/>
        </w:rPr>
        <w:t>yrektywy</w:t>
      </w:r>
      <w:r w:rsidR="00DA7AA5" w:rsidRPr="00DB3E1C">
        <w:rPr>
          <w:rFonts w:ascii="Times New Roman" w:hAnsi="Times New Roman" w:cs="Times New Roman"/>
          <w:szCs w:val="24"/>
        </w:rPr>
        <w:t xml:space="preserve"> </w:t>
      </w:r>
      <w:r w:rsidR="002869E1" w:rsidRPr="00DB3E1C">
        <w:rPr>
          <w:rFonts w:ascii="Times New Roman" w:hAnsi="Times New Roman" w:cs="Times New Roman"/>
          <w:szCs w:val="24"/>
        </w:rPr>
        <w:t xml:space="preserve">[Zarazem należy zwrócić uwagę, że inne państwa członkowskie stanowią państwa uczestniczące, o których mowa w art. 24 ust. 1 pkt 25 lit. a ustawy o wymianie informacji podatkowych.] </w:t>
      </w:r>
    </w:p>
    <w:p w14:paraId="0E445B8D" w14:textId="3BAE65CD" w:rsidR="00736D9A" w:rsidRPr="00DB3E1C" w:rsidRDefault="00DA7AA5" w:rsidP="00DB3E1C">
      <w:pPr>
        <w:pStyle w:val="ZLITLITwPKTzmlitwpktliter"/>
        <w:ind w:left="851" w:firstLine="0"/>
        <w:rPr>
          <w:rFonts w:ascii="Times New Roman" w:hAnsi="Times New Roman" w:cs="Times New Roman"/>
          <w:i/>
          <w:iCs/>
          <w:szCs w:val="24"/>
        </w:rPr>
      </w:pPr>
      <w:r w:rsidRPr="00DB3E1C">
        <w:rPr>
          <w:rFonts w:ascii="Times New Roman" w:hAnsi="Times New Roman" w:cs="Times New Roman"/>
          <w:i/>
          <w:iCs/>
          <w:szCs w:val="24"/>
        </w:rPr>
        <w:t>albo</w:t>
      </w:r>
    </w:p>
    <w:p w14:paraId="6482C52C" w14:textId="7A270318" w:rsidR="002869E1" w:rsidRPr="00DB3E1C" w:rsidRDefault="00736D9A" w:rsidP="00DB3E1C">
      <w:pPr>
        <w:pStyle w:val="ZLITLITwPKTzmlitwpktliter"/>
        <w:spacing w:after="120"/>
        <w:ind w:left="850" w:hanging="425"/>
        <w:rPr>
          <w:rFonts w:ascii="Times New Roman" w:hAnsi="Times New Roman" w:cs="Times New Roman"/>
          <w:szCs w:val="24"/>
        </w:rPr>
      </w:pPr>
      <w:r w:rsidRPr="00DB3E1C">
        <w:rPr>
          <w:rFonts w:ascii="Times New Roman" w:hAnsi="Times New Roman" w:cs="Times New Roman"/>
          <w:szCs w:val="24"/>
        </w:rPr>
        <w:t xml:space="preserve">2) </w:t>
      </w:r>
      <w:r w:rsidRPr="00DB3E1C">
        <w:rPr>
          <w:rFonts w:ascii="Times New Roman" w:hAnsi="Times New Roman" w:cs="Times New Roman"/>
          <w:szCs w:val="24"/>
        </w:rPr>
        <w:tab/>
      </w:r>
      <w:bookmarkStart w:id="7" w:name="_Hlk209510339"/>
      <w:r w:rsidRPr="00DB3E1C">
        <w:rPr>
          <w:rFonts w:ascii="Times New Roman" w:hAnsi="Times New Roman" w:cs="Times New Roman"/>
          <w:szCs w:val="24"/>
        </w:rPr>
        <w:t xml:space="preserve">z przepisów </w:t>
      </w:r>
      <w:bookmarkStart w:id="8" w:name="_Hlk209790428"/>
      <w:r w:rsidRPr="00DB3E1C">
        <w:rPr>
          <w:rFonts w:ascii="Times New Roman" w:hAnsi="Times New Roman" w:cs="Times New Roman"/>
          <w:szCs w:val="24"/>
        </w:rPr>
        <w:t xml:space="preserve">państw uczestniczących w rozumieniu art. 24 ust. 1 pkt 25 lit. b lub c </w:t>
      </w:r>
      <w:bookmarkEnd w:id="8"/>
      <w:r w:rsidRPr="00DB3E1C">
        <w:rPr>
          <w:rFonts w:ascii="Times New Roman" w:hAnsi="Times New Roman" w:cs="Times New Roman"/>
          <w:szCs w:val="24"/>
        </w:rPr>
        <w:t>ustawy o wymianie informacji podatkowych z innymi państwami</w:t>
      </w:r>
      <w:bookmarkEnd w:id="7"/>
      <w:r w:rsidR="00004634" w:rsidRPr="00DB3E1C">
        <w:rPr>
          <w:rFonts w:ascii="Times New Roman" w:hAnsi="Times New Roman" w:cs="Times New Roman"/>
          <w:szCs w:val="24"/>
        </w:rPr>
        <w:t xml:space="preserve"> </w:t>
      </w:r>
      <w:r w:rsidR="00DD228D" w:rsidRPr="00DB3E1C">
        <w:rPr>
          <w:rFonts w:ascii="Times New Roman" w:hAnsi="Times New Roman" w:cs="Times New Roman"/>
          <w:szCs w:val="24"/>
        </w:rPr>
        <w:t xml:space="preserve">lub zapisów odpowiednich porozumień z Unią Europejską, </w:t>
      </w:r>
      <w:r w:rsidR="00004634" w:rsidRPr="00DB3E1C">
        <w:rPr>
          <w:rFonts w:ascii="Times New Roman" w:hAnsi="Times New Roman" w:cs="Times New Roman"/>
          <w:szCs w:val="24"/>
        </w:rPr>
        <w:t xml:space="preserve">regulujących automatyczną wymianę zgodnie z zakresem danych kierunkowo zgodnym z art. 34 ust. 1 </w:t>
      </w:r>
      <w:r w:rsidR="0000446D" w:rsidRPr="00DB3E1C">
        <w:rPr>
          <w:rFonts w:ascii="Times New Roman" w:hAnsi="Times New Roman" w:cs="Times New Roman"/>
          <w:szCs w:val="24"/>
        </w:rPr>
        <w:t>pkt 1</w:t>
      </w:r>
      <w:r w:rsidR="00723346" w:rsidRPr="00723346">
        <w:rPr>
          <w:rFonts w:ascii="Times New Roman" w:hAnsi="Times New Roman" w:cs="Times New Roman"/>
          <w:szCs w:val="24"/>
        </w:rPr>
        <w:t>–</w:t>
      </w:r>
      <w:r w:rsidR="0000446D" w:rsidRPr="00DB3E1C">
        <w:rPr>
          <w:rFonts w:ascii="Times New Roman" w:hAnsi="Times New Roman" w:cs="Times New Roman"/>
          <w:szCs w:val="24"/>
        </w:rPr>
        <w:t xml:space="preserve">3 </w:t>
      </w:r>
      <w:r w:rsidR="00004634" w:rsidRPr="00DB3E1C">
        <w:rPr>
          <w:rFonts w:ascii="Times New Roman" w:hAnsi="Times New Roman" w:cs="Times New Roman"/>
          <w:szCs w:val="24"/>
        </w:rPr>
        <w:t>ustawy o wymianie informacji podatkowych</w:t>
      </w:r>
      <w:r w:rsidR="00723346">
        <w:rPr>
          <w:rFonts w:ascii="Times New Roman" w:hAnsi="Times New Roman" w:cs="Times New Roman"/>
          <w:szCs w:val="24"/>
        </w:rPr>
        <w:t>.</w:t>
      </w:r>
    </w:p>
    <w:p w14:paraId="4170AD16" w14:textId="4CBA359C" w:rsidR="00004634" w:rsidRPr="00DB3E1C" w:rsidRDefault="002869E1" w:rsidP="00DB3E1C">
      <w:pPr>
        <w:pStyle w:val="ZLITLITwPKTzmlitwpktliter"/>
        <w:ind w:left="851" w:firstLine="0"/>
        <w:rPr>
          <w:rFonts w:ascii="Times New Roman" w:hAnsi="Times New Roman" w:cs="Times New Roman"/>
          <w:szCs w:val="24"/>
        </w:rPr>
      </w:pPr>
      <w:r w:rsidRPr="00DB3E1C">
        <w:rPr>
          <w:rFonts w:ascii="Times New Roman" w:hAnsi="Times New Roman" w:cs="Times New Roman"/>
          <w:szCs w:val="24"/>
        </w:rPr>
        <w:t>P</w:t>
      </w:r>
      <w:r w:rsidR="00DA7AA5" w:rsidRPr="00DB3E1C">
        <w:rPr>
          <w:rFonts w:ascii="Times New Roman" w:hAnsi="Times New Roman" w:cs="Times New Roman"/>
          <w:szCs w:val="24"/>
        </w:rPr>
        <w:t>aństw</w:t>
      </w:r>
      <w:r w:rsidRPr="00DB3E1C">
        <w:rPr>
          <w:rFonts w:ascii="Times New Roman" w:hAnsi="Times New Roman" w:cs="Times New Roman"/>
          <w:szCs w:val="24"/>
        </w:rPr>
        <w:t>a</w:t>
      </w:r>
      <w:r w:rsidR="00DA7AA5" w:rsidRPr="00DB3E1C">
        <w:rPr>
          <w:rFonts w:ascii="Times New Roman" w:hAnsi="Times New Roman" w:cs="Times New Roman"/>
          <w:szCs w:val="24"/>
        </w:rPr>
        <w:t>, o których mowa w art. 24 ust. 1 pkt 25 lit. b</w:t>
      </w:r>
      <w:r w:rsidR="008D1640">
        <w:rPr>
          <w:rFonts w:ascii="Times New Roman" w:hAnsi="Times New Roman" w:cs="Times New Roman"/>
          <w:szCs w:val="24"/>
        </w:rPr>
        <w:t>,</w:t>
      </w:r>
      <w:r w:rsidR="00DA7AA5" w:rsidRPr="00DB3E1C">
        <w:rPr>
          <w:rFonts w:ascii="Times New Roman" w:hAnsi="Times New Roman" w:cs="Times New Roman"/>
          <w:szCs w:val="24"/>
        </w:rPr>
        <w:t xml:space="preserve"> obejmują państwa</w:t>
      </w:r>
      <w:r w:rsidR="00967D86" w:rsidRPr="00DB3E1C">
        <w:rPr>
          <w:rFonts w:ascii="Times New Roman" w:hAnsi="Times New Roman" w:cs="Times New Roman"/>
          <w:szCs w:val="24"/>
        </w:rPr>
        <w:t xml:space="preserve"> inne niż państwa członkowskie UE</w:t>
      </w:r>
      <w:r w:rsidR="00DA7AA5" w:rsidRPr="00DB3E1C">
        <w:rPr>
          <w:rFonts w:ascii="Times New Roman" w:hAnsi="Times New Roman" w:cs="Times New Roman"/>
          <w:szCs w:val="24"/>
        </w:rPr>
        <w:t xml:space="preserve">, które wdrożyły </w:t>
      </w:r>
      <w:r w:rsidR="00967D86" w:rsidRPr="00DB3E1C">
        <w:rPr>
          <w:rFonts w:ascii="Times New Roman" w:hAnsi="Times New Roman" w:cs="Times New Roman"/>
          <w:szCs w:val="24"/>
        </w:rPr>
        <w:t xml:space="preserve">standard CRS </w:t>
      </w:r>
      <w:r w:rsidR="00DA7AA5" w:rsidRPr="00DB3E1C">
        <w:rPr>
          <w:rFonts w:ascii="Times New Roman" w:hAnsi="Times New Roman" w:cs="Times New Roman"/>
          <w:szCs w:val="24"/>
        </w:rPr>
        <w:t>będąc</w:t>
      </w:r>
      <w:r w:rsidR="00967D86" w:rsidRPr="00DB3E1C">
        <w:rPr>
          <w:rFonts w:ascii="Times New Roman" w:hAnsi="Times New Roman" w:cs="Times New Roman"/>
          <w:szCs w:val="24"/>
        </w:rPr>
        <w:t>y</w:t>
      </w:r>
      <w:r w:rsidR="00DA7AA5" w:rsidRPr="00DB3E1C">
        <w:rPr>
          <w:rFonts w:ascii="Times New Roman" w:hAnsi="Times New Roman" w:cs="Times New Roman"/>
          <w:szCs w:val="24"/>
        </w:rPr>
        <w:t xml:space="preserve"> częścią</w:t>
      </w:r>
      <w:r w:rsidR="00967D86" w:rsidRPr="00DB3E1C">
        <w:rPr>
          <w:rFonts w:ascii="Times New Roman" w:hAnsi="Times New Roman" w:cs="Times New Roman"/>
          <w:szCs w:val="24"/>
        </w:rPr>
        <w:t xml:space="preserve"> CRS MCAA </w:t>
      </w:r>
      <w:r w:rsidR="00967D86" w:rsidRPr="00DB3E1C">
        <w:rPr>
          <w:rFonts w:ascii="Times New Roman" w:hAnsi="Times New Roman" w:cs="Times New Roman"/>
          <w:i/>
          <w:iCs/>
          <w:szCs w:val="24"/>
        </w:rPr>
        <w:t>(</w:t>
      </w:r>
      <w:r w:rsidR="00DA7AA5" w:rsidRPr="00DB3E1C">
        <w:rPr>
          <w:rFonts w:ascii="Times New Roman" w:hAnsi="Times New Roman" w:cs="Times New Roman"/>
          <w:i/>
          <w:iCs/>
          <w:szCs w:val="24"/>
        </w:rPr>
        <w:t>wielostronnego porozumienia właściwych władz w sprawie automatycznej wymiany informacji o rachunkach finansowych</w:t>
      </w:r>
      <w:r w:rsidR="00004634" w:rsidRPr="00DB3E1C">
        <w:rPr>
          <w:rFonts w:ascii="Times New Roman" w:hAnsi="Times New Roman" w:cs="Times New Roman"/>
          <w:i/>
          <w:iCs/>
          <w:szCs w:val="24"/>
        </w:rPr>
        <w:t>)</w:t>
      </w:r>
      <w:r w:rsidR="00967D86" w:rsidRPr="00DB3E1C">
        <w:rPr>
          <w:rFonts w:ascii="Times New Roman" w:hAnsi="Times New Roman" w:cs="Times New Roman"/>
          <w:szCs w:val="24"/>
        </w:rPr>
        <w:t>.</w:t>
      </w:r>
      <w:r w:rsidR="00DA7AA5" w:rsidRPr="00DB3E1C">
        <w:rPr>
          <w:rFonts w:ascii="Times New Roman" w:hAnsi="Times New Roman" w:cs="Times New Roman"/>
          <w:szCs w:val="24"/>
        </w:rPr>
        <w:t xml:space="preserve"> </w:t>
      </w:r>
    </w:p>
    <w:p w14:paraId="7A00DFD0" w14:textId="77777777" w:rsidR="00004634" w:rsidRPr="00DB3E1C" w:rsidRDefault="00004634" w:rsidP="00DB3E1C">
      <w:pPr>
        <w:pStyle w:val="ZLITLITwPKTzmlitwpktliter"/>
        <w:ind w:left="851" w:firstLine="0"/>
        <w:rPr>
          <w:rFonts w:ascii="Times New Roman" w:hAnsi="Times New Roman" w:cs="Times New Roman"/>
          <w:szCs w:val="24"/>
        </w:rPr>
      </w:pPr>
    </w:p>
    <w:p w14:paraId="15BD1543" w14:textId="45AE99E4" w:rsidR="00DA7AA5" w:rsidRPr="00DB3E1C" w:rsidRDefault="00967D86" w:rsidP="00DB3E1C">
      <w:pPr>
        <w:pStyle w:val="ZLITLITwPKTzmlitwpktliter"/>
        <w:ind w:left="851" w:firstLine="0"/>
        <w:rPr>
          <w:rFonts w:ascii="Times New Roman" w:hAnsi="Times New Roman" w:cs="Times New Roman"/>
          <w:szCs w:val="24"/>
        </w:rPr>
      </w:pPr>
      <w:r w:rsidRPr="00DB3E1C">
        <w:rPr>
          <w:rFonts w:ascii="Times New Roman" w:hAnsi="Times New Roman" w:cs="Times New Roman"/>
          <w:szCs w:val="24"/>
        </w:rPr>
        <w:lastRenderedPageBreak/>
        <w:t>Projektowane przepisy wskazują w tym zakresie również na państwa, o których mowa w art. 24 ust. 1 pkt 25 lit. c, tj. wybrane państwa</w:t>
      </w:r>
      <w:r w:rsidR="008D1640">
        <w:rPr>
          <w:rFonts w:ascii="Times New Roman" w:hAnsi="Times New Roman" w:cs="Times New Roman"/>
          <w:szCs w:val="24"/>
        </w:rPr>
        <w:t>,</w:t>
      </w:r>
      <w:r w:rsidRPr="00DB3E1C">
        <w:rPr>
          <w:rFonts w:ascii="Times New Roman" w:hAnsi="Times New Roman" w:cs="Times New Roman"/>
          <w:szCs w:val="24"/>
        </w:rPr>
        <w:t xml:space="preserve"> z którymi Unia Europejska zawarła porozumienia </w:t>
      </w:r>
      <w:r w:rsidRPr="00DB3E1C">
        <w:rPr>
          <w:rFonts w:ascii="Times New Roman" w:hAnsi="Times New Roman" w:cs="Times New Roman"/>
          <w:szCs w:val="24"/>
          <w:shd w:val="clear" w:color="auto" w:fill="FFFFFF"/>
        </w:rPr>
        <w:t>stanowiąc</w:t>
      </w:r>
      <w:r w:rsidR="008D1640">
        <w:rPr>
          <w:rFonts w:ascii="Times New Roman" w:hAnsi="Times New Roman" w:cs="Times New Roman"/>
          <w:szCs w:val="24"/>
          <w:shd w:val="clear" w:color="auto" w:fill="FFFFFF"/>
        </w:rPr>
        <w:t>e</w:t>
      </w:r>
      <w:r w:rsidRPr="00DB3E1C">
        <w:rPr>
          <w:rFonts w:ascii="Times New Roman" w:hAnsi="Times New Roman" w:cs="Times New Roman"/>
          <w:szCs w:val="24"/>
          <w:shd w:val="clear" w:color="auto" w:fill="FFFFFF"/>
        </w:rPr>
        <w:t xml:space="preserve"> podstawę automatycznej wymiany informacji o rachunkach raportowanych</w:t>
      </w:r>
      <w:r w:rsidRPr="00DB3E1C">
        <w:rPr>
          <w:rFonts w:ascii="Times New Roman" w:hAnsi="Times New Roman" w:cs="Times New Roman"/>
          <w:szCs w:val="24"/>
        </w:rPr>
        <w:t xml:space="preserve"> zawartych przez Unię Europejską.</w:t>
      </w:r>
    </w:p>
    <w:p w14:paraId="6F78F47B" w14:textId="1F3A2C2A" w:rsidR="00736D9A" w:rsidRPr="00DB3E1C" w:rsidRDefault="00736D9A" w:rsidP="00DB3E1C">
      <w:pPr>
        <w:pStyle w:val="ZLITLITwPKTzmlitwpktliter"/>
        <w:ind w:left="851" w:firstLine="0"/>
        <w:rPr>
          <w:rFonts w:ascii="Times New Roman" w:hAnsi="Times New Roman" w:cs="Times New Roman"/>
          <w:i/>
          <w:iCs/>
          <w:szCs w:val="24"/>
        </w:rPr>
      </w:pPr>
      <w:r w:rsidRPr="00DB3E1C">
        <w:rPr>
          <w:rFonts w:ascii="Times New Roman" w:hAnsi="Times New Roman" w:cs="Times New Roman"/>
          <w:i/>
          <w:iCs/>
          <w:szCs w:val="24"/>
        </w:rPr>
        <w:t>albo</w:t>
      </w:r>
    </w:p>
    <w:p w14:paraId="0E47FEBC" w14:textId="5652A880" w:rsidR="00736D9A" w:rsidRPr="00DB3E1C" w:rsidRDefault="00736D9A" w:rsidP="00DB3E1C">
      <w:pPr>
        <w:pStyle w:val="ZLITLITwPKTzmlitwpktliter"/>
        <w:ind w:left="851" w:hanging="425"/>
        <w:rPr>
          <w:rFonts w:ascii="Times New Roman" w:hAnsi="Times New Roman" w:cs="Times New Roman"/>
          <w:szCs w:val="24"/>
        </w:rPr>
      </w:pPr>
      <w:r w:rsidRPr="00DB3E1C">
        <w:rPr>
          <w:rFonts w:ascii="Times New Roman" w:hAnsi="Times New Roman" w:cs="Times New Roman"/>
          <w:szCs w:val="24"/>
        </w:rPr>
        <w:t xml:space="preserve">3) </w:t>
      </w:r>
      <w:r w:rsidRPr="00DB3E1C">
        <w:rPr>
          <w:rFonts w:ascii="Times New Roman" w:hAnsi="Times New Roman" w:cs="Times New Roman"/>
          <w:szCs w:val="24"/>
        </w:rPr>
        <w:tab/>
      </w:r>
      <w:r w:rsidR="00967D86" w:rsidRPr="00DB3E1C">
        <w:rPr>
          <w:rFonts w:ascii="Times New Roman" w:hAnsi="Times New Roman" w:cs="Times New Roman"/>
          <w:szCs w:val="24"/>
        </w:rPr>
        <w:t xml:space="preserve">w przypadku USA </w:t>
      </w:r>
      <w:r w:rsidR="008D1640">
        <w:rPr>
          <w:rFonts w:ascii="Times New Roman" w:hAnsi="Times New Roman" w:cs="Times New Roman"/>
          <w:szCs w:val="24"/>
        </w:rPr>
        <w:t>–</w:t>
      </w:r>
      <w:r w:rsidR="00967D86" w:rsidRPr="00DB3E1C">
        <w:rPr>
          <w:rFonts w:ascii="Times New Roman" w:hAnsi="Times New Roman" w:cs="Times New Roman"/>
          <w:szCs w:val="24"/>
        </w:rPr>
        <w:t xml:space="preserve"> </w:t>
      </w:r>
      <w:r w:rsidR="00DA7AA5" w:rsidRPr="00DB3E1C">
        <w:rPr>
          <w:rFonts w:ascii="Times New Roman" w:hAnsi="Times New Roman" w:cs="Times New Roman"/>
          <w:szCs w:val="24"/>
        </w:rPr>
        <w:t>z</w:t>
      </w:r>
      <w:r w:rsidRPr="00DB3E1C">
        <w:rPr>
          <w:rFonts w:ascii="Times New Roman" w:hAnsi="Times New Roman" w:cs="Times New Roman"/>
          <w:szCs w:val="24"/>
        </w:rPr>
        <w:t xml:space="preserve"> art. 2</w:t>
      </w:r>
      <w:r w:rsidR="00967D86" w:rsidRPr="00DB3E1C">
        <w:rPr>
          <w:rFonts w:ascii="Times New Roman" w:hAnsi="Times New Roman" w:cs="Times New Roman"/>
          <w:szCs w:val="24"/>
        </w:rPr>
        <w:t xml:space="preserve"> Umowy FATCA.</w:t>
      </w:r>
    </w:p>
    <w:p w14:paraId="57DD44E4" w14:textId="5EA8C926" w:rsidR="00736D9A" w:rsidRPr="00DB3E1C" w:rsidRDefault="00736D9A" w:rsidP="00DB3E1C">
      <w:pPr>
        <w:autoSpaceDE w:val="0"/>
        <w:autoSpaceDN w:val="0"/>
        <w:adjustRightInd w:val="0"/>
        <w:spacing w:line="360" w:lineRule="auto"/>
        <w:jc w:val="both"/>
        <w:rPr>
          <w:rFonts w:ascii="Times New Roman" w:hAnsi="Times New Roman" w:cs="Times New Roman"/>
          <w:sz w:val="24"/>
          <w:szCs w:val="24"/>
          <w:u w:val="single"/>
        </w:rPr>
      </w:pPr>
    </w:p>
    <w:p w14:paraId="7946F3C3" w14:textId="602D597C" w:rsidR="0000446D" w:rsidRPr="00DB3E1C" w:rsidRDefault="0000446D" w:rsidP="00DB3E1C">
      <w:pPr>
        <w:pStyle w:val="ZLITUSTzmustliter"/>
        <w:spacing w:after="120"/>
        <w:ind w:left="0" w:firstLine="0"/>
        <w:rPr>
          <w:rFonts w:ascii="Times New Roman" w:hAnsi="Times New Roman" w:cs="Times New Roman"/>
          <w:szCs w:val="24"/>
        </w:rPr>
      </w:pPr>
      <w:r w:rsidRPr="00DB3E1C">
        <w:rPr>
          <w:rFonts w:ascii="Times New Roman" w:hAnsi="Times New Roman" w:cs="Times New Roman"/>
          <w:szCs w:val="24"/>
        </w:rPr>
        <w:t>Z perspektywy zwolnienia CIT istotny jest fakt uczestnictwa państwa siedziby funduszu w systemie CRS</w:t>
      </w:r>
      <w:r w:rsidR="00DD228D" w:rsidRPr="00DB3E1C">
        <w:rPr>
          <w:rFonts w:ascii="Times New Roman" w:hAnsi="Times New Roman" w:cs="Times New Roman"/>
          <w:szCs w:val="24"/>
        </w:rPr>
        <w:t xml:space="preserve"> (albo FATCA)</w:t>
      </w:r>
      <w:r w:rsidRPr="00DB3E1C">
        <w:rPr>
          <w:rFonts w:ascii="Times New Roman" w:hAnsi="Times New Roman" w:cs="Times New Roman"/>
          <w:szCs w:val="24"/>
        </w:rPr>
        <w:t>. Zakłada się, że w takim przypadku automatycznej wymianie podlegać będzie co najmniej minimalny zakres danych pozwalających na identyfikację posiadacza rachunku. W Polsce taki zakres danych reguluje art. 34 ust. 1 ustawy o wymianie informacji podatkowych; stąd projektowane wskazują na kluczowe pkt 1</w:t>
      </w:r>
      <w:r w:rsidR="008D1640" w:rsidRPr="008D1640">
        <w:rPr>
          <w:rFonts w:ascii="Times New Roman" w:hAnsi="Times New Roman" w:cs="Times New Roman"/>
          <w:szCs w:val="24"/>
        </w:rPr>
        <w:t>–</w:t>
      </w:r>
      <w:r w:rsidRPr="00DB3E1C">
        <w:rPr>
          <w:rFonts w:ascii="Times New Roman" w:hAnsi="Times New Roman" w:cs="Times New Roman"/>
          <w:szCs w:val="24"/>
        </w:rPr>
        <w:t>3 tej regulacji. Chodzi zatem o zakres kierunkowo podobny, z możliwością określonych odstępstw wynikających ze specyfiki ustawodawstwa poszczególnych państw.</w:t>
      </w:r>
    </w:p>
    <w:p w14:paraId="7B87E686" w14:textId="08DE235E" w:rsidR="00D02411" w:rsidRPr="00DB3E1C" w:rsidRDefault="00A70A8D" w:rsidP="00DB3E1C">
      <w:pPr>
        <w:pStyle w:val="ListanumeracjaMF"/>
        <w:numPr>
          <w:ilvl w:val="0"/>
          <w:numId w:val="0"/>
        </w:numPr>
        <w:spacing w:after="120" w:line="360" w:lineRule="auto"/>
        <w:jc w:val="both"/>
        <w:rPr>
          <w:rFonts w:ascii="Times New Roman" w:hAnsi="Times New Roman" w:cs="Times New Roman"/>
          <w:sz w:val="24"/>
          <w:szCs w:val="24"/>
        </w:rPr>
      </w:pPr>
      <w:r w:rsidRPr="00DB3E1C">
        <w:rPr>
          <w:rFonts w:ascii="Times New Roman" w:hAnsi="Times New Roman" w:cs="Times New Roman"/>
          <w:sz w:val="24"/>
          <w:szCs w:val="24"/>
        </w:rPr>
        <w:t>Zakłada się, że nowy wymóg nie wpłynie negatywnie na stosowanie zwolnienia przez instytucje wspólnego inwestowania z państw UE</w:t>
      </w:r>
      <w:r w:rsidR="00934BF0" w:rsidRPr="00DB3E1C">
        <w:rPr>
          <w:rFonts w:ascii="Times New Roman" w:hAnsi="Times New Roman" w:cs="Times New Roman"/>
          <w:sz w:val="24"/>
          <w:szCs w:val="24"/>
        </w:rPr>
        <w:t xml:space="preserve"> lub EOG</w:t>
      </w:r>
      <w:r w:rsidRPr="00DB3E1C">
        <w:rPr>
          <w:rFonts w:ascii="Times New Roman" w:hAnsi="Times New Roman" w:cs="Times New Roman"/>
          <w:sz w:val="24"/>
          <w:szCs w:val="24"/>
        </w:rPr>
        <w:t xml:space="preserve">, które są do niego uprawnione na bazie dotychczas obowiązujących przepisów, przy spełnieniu pozostałych ustawowych warunków. </w:t>
      </w:r>
      <w:r w:rsidR="00934BF0" w:rsidRPr="00DB3E1C">
        <w:rPr>
          <w:rFonts w:ascii="Times New Roman" w:hAnsi="Times New Roman" w:cs="Times New Roman"/>
          <w:sz w:val="24"/>
          <w:szCs w:val="24"/>
        </w:rPr>
        <w:t>Jak wspomniano, p</w:t>
      </w:r>
      <w:r w:rsidRPr="00DB3E1C">
        <w:rPr>
          <w:rFonts w:ascii="Times New Roman" w:hAnsi="Times New Roman" w:cs="Times New Roman"/>
          <w:sz w:val="24"/>
          <w:szCs w:val="24"/>
        </w:rPr>
        <w:t xml:space="preserve">odstawa prawna do automatycznej wymiany tych informacji wynika w tym przypadku z wdrożenia przez państwa członkowskie </w:t>
      </w:r>
      <w:r w:rsidR="00967D86" w:rsidRPr="00DB3E1C">
        <w:rPr>
          <w:rFonts w:ascii="Times New Roman" w:hAnsi="Times New Roman" w:cs="Times New Roman"/>
          <w:sz w:val="24"/>
          <w:szCs w:val="24"/>
        </w:rPr>
        <w:t xml:space="preserve">ww. </w:t>
      </w:r>
      <w:r w:rsidRPr="00DB3E1C">
        <w:rPr>
          <w:rFonts w:ascii="Times New Roman" w:eastAsia="Times New Roman" w:hAnsi="Times New Roman" w:cs="Times New Roman"/>
          <w:i/>
          <w:iCs/>
          <w:color w:val="000000"/>
          <w:sz w:val="24"/>
          <w:szCs w:val="24"/>
        </w:rPr>
        <w:t>Dyrektywy Rady 2011/16/UE</w:t>
      </w:r>
      <w:r w:rsidRPr="00DB3E1C">
        <w:rPr>
          <w:rFonts w:ascii="Times New Roman" w:eastAsia="Times New Roman" w:hAnsi="Times New Roman" w:cs="Times New Roman"/>
          <w:color w:val="000000"/>
          <w:sz w:val="24"/>
          <w:szCs w:val="24"/>
        </w:rPr>
        <w:t>, zmienionej dyrektywą Rady 2014/107/UE z dnia 9 grudnia 2014 r.</w:t>
      </w:r>
      <w:r w:rsidR="008D1640">
        <w:rPr>
          <w:rFonts w:ascii="Times New Roman" w:eastAsia="Times New Roman" w:hAnsi="Times New Roman" w:cs="Times New Roman"/>
          <w:color w:val="000000"/>
          <w:sz w:val="24"/>
          <w:szCs w:val="24"/>
        </w:rPr>
        <w:t xml:space="preserve"> </w:t>
      </w:r>
      <w:r w:rsidRPr="00DB3E1C">
        <w:rPr>
          <w:rFonts w:ascii="Times New Roman" w:eastAsia="Times New Roman" w:hAnsi="Times New Roman" w:cs="Times New Roman"/>
          <w:color w:val="000000"/>
          <w:sz w:val="24"/>
          <w:szCs w:val="24"/>
        </w:rPr>
        <w:footnoteReference w:id="7"/>
      </w:r>
      <w:r w:rsidRPr="00DB3E1C">
        <w:rPr>
          <w:rFonts w:ascii="Times New Roman" w:eastAsia="Times New Roman" w:hAnsi="Times New Roman" w:cs="Times New Roman"/>
          <w:color w:val="000000"/>
          <w:sz w:val="24"/>
          <w:szCs w:val="24"/>
        </w:rPr>
        <w:t xml:space="preserve"> (tj. tzw. </w:t>
      </w:r>
      <w:r w:rsidRPr="00DB3E1C">
        <w:rPr>
          <w:rFonts w:ascii="Times New Roman" w:eastAsia="Times New Roman" w:hAnsi="Times New Roman" w:cs="Times New Roman"/>
          <w:b/>
          <w:bCs/>
          <w:color w:val="000000"/>
          <w:sz w:val="24"/>
          <w:szCs w:val="24"/>
        </w:rPr>
        <w:t>Dyrektywą DAC2</w:t>
      </w:r>
      <w:r w:rsidRPr="00DB3E1C">
        <w:rPr>
          <w:rFonts w:ascii="Times New Roman" w:eastAsia="Times New Roman" w:hAnsi="Times New Roman" w:cs="Times New Roman"/>
          <w:color w:val="000000"/>
          <w:sz w:val="24"/>
          <w:szCs w:val="24"/>
        </w:rPr>
        <w:t xml:space="preserve">). </w:t>
      </w:r>
      <w:r w:rsidRPr="00DB3E1C">
        <w:rPr>
          <w:rFonts w:ascii="Times New Roman" w:hAnsi="Times New Roman" w:cs="Times New Roman"/>
          <w:sz w:val="24"/>
          <w:szCs w:val="24"/>
        </w:rPr>
        <w:t>Państwa członkowskie zostały zobowiązane do implementacji Dyrektywy DAC2 do swoich lokalnych ustawodawstw</w:t>
      </w:r>
      <w:r w:rsidR="008D1640">
        <w:rPr>
          <w:rFonts w:ascii="Times New Roman" w:hAnsi="Times New Roman" w:cs="Times New Roman"/>
          <w:sz w:val="24"/>
          <w:szCs w:val="24"/>
        </w:rPr>
        <w:t>,</w:t>
      </w:r>
      <w:r w:rsidRPr="00DB3E1C">
        <w:rPr>
          <w:rFonts w:ascii="Times New Roman" w:hAnsi="Times New Roman" w:cs="Times New Roman"/>
          <w:sz w:val="24"/>
          <w:szCs w:val="24"/>
        </w:rPr>
        <w:t xml:space="preserve"> co do zasady</w:t>
      </w:r>
      <w:r w:rsidR="008D1640">
        <w:rPr>
          <w:rFonts w:ascii="Times New Roman" w:hAnsi="Times New Roman" w:cs="Times New Roman"/>
          <w:sz w:val="24"/>
          <w:szCs w:val="24"/>
        </w:rPr>
        <w:t>,</w:t>
      </w:r>
      <w:r w:rsidRPr="00DB3E1C">
        <w:rPr>
          <w:rFonts w:ascii="Times New Roman" w:hAnsi="Times New Roman" w:cs="Times New Roman"/>
          <w:sz w:val="24"/>
          <w:szCs w:val="24"/>
        </w:rPr>
        <w:t xml:space="preserve"> nie później niż do dnia 31 grudnia 2015 r. </w:t>
      </w:r>
      <w:r w:rsidR="00D02411" w:rsidRPr="00DB3E1C">
        <w:rPr>
          <w:rFonts w:ascii="Times New Roman" w:hAnsi="Times New Roman" w:cs="Times New Roman"/>
          <w:sz w:val="24"/>
          <w:szCs w:val="24"/>
        </w:rPr>
        <w:t>Ponadto, odnosząc się do państw należących do EOG</w:t>
      </w:r>
      <w:r w:rsidR="008D1640">
        <w:rPr>
          <w:rFonts w:ascii="Times New Roman" w:hAnsi="Times New Roman" w:cs="Times New Roman"/>
          <w:sz w:val="24"/>
          <w:szCs w:val="24"/>
        </w:rPr>
        <w:t>,</w:t>
      </w:r>
      <w:r w:rsidR="00D02411" w:rsidRPr="00DB3E1C">
        <w:rPr>
          <w:rFonts w:ascii="Times New Roman" w:hAnsi="Times New Roman" w:cs="Times New Roman"/>
          <w:sz w:val="24"/>
          <w:szCs w:val="24"/>
        </w:rPr>
        <w:t xml:space="preserve"> a niebędących państwami członkowskimi UE, tj. Islandii, Norwegii i Liechtensteinu, państwa te – na dzień 1 sierpnia 2025 r. </w:t>
      </w:r>
      <w:r w:rsidR="008D1640" w:rsidRPr="008D1640">
        <w:rPr>
          <w:rFonts w:ascii="Times New Roman" w:hAnsi="Times New Roman" w:cs="Times New Roman"/>
          <w:sz w:val="24"/>
          <w:szCs w:val="24"/>
        </w:rPr>
        <w:t>–</w:t>
      </w:r>
      <w:r w:rsidR="00D02411" w:rsidRPr="00DB3E1C">
        <w:rPr>
          <w:rFonts w:ascii="Times New Roman" w:hAnsi="Times New Roman" w:cs="Times New Roman"/>
          <w:sz w:val="24"/>
          <w:szCs w:val="24"/>
        </w:rPr>
        <w:t xml:space="preserve"> są sygnatariuszami </w:t>
      </w:r>
      <w:r w:rsidR="00D02411" w:rsidRPr="00DB3E1C">
        <w:rPr>
          <w:rFonts w:ascii="Times New Roman" w:hAnsi="Times New Roman" w:cs="Times New Roman"/>
          <w:i/>
          <w:iCs/>
          <w:sz w:val="24"/>
          <w:szCs w:val="24"/>
        </w:rPr>
        <w:t>CRS MCAA</w:t>
      </w:r>
      <w:r w:rsidR="00D02411" w:rsidRPr="00DB3E1C">
        <w:rPr>
          <w:rFonts w:ascii="Times New Roman" w:hAnsi="Times New Roman" w:cs="Times New Roman"/>
          <w:sz w:val="24"/>
          <w:szCs w:val="24"/>
        </w:rPr>
        <w:t>.</w:t>
      </w:r>
      <w:r w:rsidR="00D02411" w:rsidRPr="00DB3E1C">
        <w:rPr>
          <w:rStyle w:val="Odwoanieprzypisudolnego"/>
          <w:rFonts w:ascii="Times New Roman" w:eastAsia="Times New Roman" w:hAnsi="Times New Roman" w:cs="Times New Roman"/>
          <w:color w:val="000000"/>
          <w:sz w:val="24"/>
          <w:szCs w:val="24"/>
        </w:rPr>
        <w:footnoteReference w:id="8"/>
      </w:r>
      <w:r w:rsidR="00D02411" w:rsidRPr="00DB3E1C">
        <w:rPr>
          <w:rFonts w:ascii="Times New Roman" w:hAnsi="Times New Roman" w:cs="Times New Roman"/>
          <w:sz w:val="24"/>
          <w:szCs w:val="24"/>
        </w:rPr>
        <w:t xml:space="preserve"> </w:t>
      </w:r>
    </w:p>
    <w:p w14:paraId="4C527D52" w14:textId="32C24C35" w:rsidR="008A29B0" w:rsidRPr="00DB3E1C" w:rsidRDefault="00D02411" w:rsidP="00DB3E1C">
      <w:pPr>
        <w:shd w:val="clear" w:color="auto" w:fill="FFFFFF"/>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lastRenderedPageBreak/>
        <w:t>W</w:t>
      </w:r>
      <w:r w:rsidR="007B2482" w:rsidRPr="00DB3E1C">
        <w:rPr>
          <w:rFonts w:ascii="Times New Roman" w:hAnsi="Times New Roman" w:cs="Times New Roman"/>
          <w:sz w:val="24"/>
          <w:szCs w:val="24"/>
        </w:rPr>
        <w:t xml:space="preserve"> praktyce, w</w:t>
      </w:r>
      <w:r w:rsidRPr="00DB3E1C">
        <w:rPr>
          <w:rFonts w:ascii="Times New Roman" w:hAnsi="Times New Roman" w:cs="Times New Roman"/>
          <w:sz w:val="24"/>
          <w:szCs w:val="24"/>
        </w:rPr>
        <w:t xml:space="preserve"> przypadku instytucji wspólnego inwestowania z siedzibą w państwach spoza UE/EOG, podatnicy lub płatnicy będą zobowiązani do weryfikacji podstawy prawnej, na dzień dokonania wypłaty należności, na </w:t>
      </w:r>
      <w:r w:rsidR="003F47DD" w:rsidRPr="00DB3E1C">
        <w:rPr>
          <w:rFonts w:ascii="Times New Roman" w:hAnsi="Times New Roman" w:cs="Times New Roman"/>
          <w:sz w:val="24"/>
          <w:szCs w:val="24"/>
        </w:rPr>
        <w:t xml:space="preserve">podstawie </w:t>
      </w:r>
      <w:r w:rsidR="009B18CA" w:rsidRPr="00DB3E1C">
        <w:rPr>
          <w:rFonts w:ascii="Times New Roman" w:hAnsi="Times New Roman" w:cs="Times New Roman"/>
          <w:sz w:val="24"/>
          <w:szCs w:val="24"/>
        </w:rPr>
        <w:t xml:space="preserve">aktualnych, </w:t>
      </w:r>
      <w:r w:rsidR="003F47DD" w:rsidRPr="00DB3E1C">
        <w:rPr>
          <w:rFonts w:ascii="Times New Roman" w:hAnsi="Times New Roman" w:cs="Times New Roman"/>
          <w:sz w:val="24"/>
          <w:szCs w:val="24"/>
        </w:rPr>
        <w:t>publicznie dostępnych informacji w zakresie państw będących sygnatariuszami CRS MCAA</w:t>
      </w:r>
      <w:r w:rsidR="00943E27" w:rsidRPr="00DB3E1C">
        <w:rPr>
          <w:rFonts w:ascii="Times New Roman" w:hAnsi="Times New Roman" w:cs="Times New Roman"/>
          <w:sz w:val="24"/>
          <w:szCs w:val="24"/>
        </w:rPr>
        <w:t>, w szczególności publikowanych przez OECD</w:t>
      </w:r>
      <w:r w:rsidR="003F47DD" w:rsidRPr="00DB3E1C">
        <w:rPr>
          <w:rFonts w:ascii="Times New Roman" w:hAnsi="Times New Roman" w:cs="Times New Roman"/>
          <w:sz w:val="24"/>
          <w:szCs w:val="24"/>
        </w:rPr>
        <w:t>.</w:t>
      </w:r>
      <w:r w:rsidR="009B18CA" w:rsidRPr="00DB3E1C">
        <w:rPr>
          <w:rFonts w:ascii="Times New Roman" w:hAnsi="Times New Roman" w:cs="Times New Roman"/>
          <w:sz w:val="24"/>
          <w:szCs w:val="24"/>
        </w:rPr>
        <w:t xml:space="preserve"> </w:t>
      </w:r>
      <w:r w:rsidR="008A29B0" w:rsidRPr="00DB3E1C">
        <w:rPr>
          <w:rFonts w:ascii="Times New Roman" w:hAnsi="Times New Roman" w:cs="Times New Roman"/>
          <w:sz w:val="24"/>
          <w:szCs w:val="24"/>
        </w:rPr>
        <w:t>W tym zakresie należy zauważyć, że zgodnie z przepisami ustawy o wymianie informacji podatkowych minister właściwy do spraw finansów corocznie, w terminie do dnia 31 marca, ogłasza, w drodze obwieszczenia, w Dzienniku Urzędowym Rzeczypospolitej Polskiej ,,Monitor Polski</w:t>
      </w:r>
      <w:r w:rsidR="008D1640">
        <w:rPr>
          <w:rFonts w:ascii="Times New Roman" w:hAnsi="Times New Roman" w:cs="Times New Roman"/>
          <w:sz w:val="24"/>
          <w:szCs w:val="24"/>
        </w:rPr>
        <w:t>”</w:t>
      </w:r>
      <w:r w:rsidR="008A29B0" w:rsidRPr="00DB3E1C">
        <w:rPr>
          <w:rFonts w:ascii="Times New Roman" w:hAnsi="Times New Roman" w:cs="Times New Roman"/>
          <w:sz w:val="24"/>
          <w:szCs w:val="24"/>
        </w:rPr>
        <w:t xml:space="preserve"> listę</w:t>
      </w:r>
      <w:r w:rsidR="003231F1">
        <w:rPr>
          <w:rFonts w:ascii="Times New Roman" w:hAnsi="Times New Roman" w:cs="Times New Roman"/>
          <w:sz w:val="24"/>
          <w:szCs w:val="24"/>
        </w:rPr>
        <w:t xml:space="preserve"> </w:t>
      </w:r>
      <w:r w:rsidR="008A29B0" w:rsidRPr="00DB3E1C">
        <w:rPr>
          <w:rFonts w:ascii="Times New Roman" w:hAnsi="Times New Roman" w:cs="Times New Roman"/>
          <w:sz w:val="24"/>
          <w:szCs w:val="24"/>
        </w:rPr>
        <w:t>państw uczestniczących, o których mowa w </w:t>
      </w:r>
      <w:r w:rsidR="00943E27" w:rsidRPr="00DB3E1C">
        <w:rPr>
          <w:rFonts w:ascii="Times New Roman" w:hAnsi="Times New Roman" w:cs="Times New Roman"/>
          <w:sz w:val="24"/>
          <w:szCs w:val="24"/>
        </w:rPr>
        <w:t>art. 24 ust. 1 pkt 25 lit. b i c</w:t>
      </w:r>
      <w:r w:rsidR="008A29B0" w:rsidRPr="00DB3E1C">
        <w:rPr>
          <w:rFonts w:ascii="Times New Roman" w:hAnsi="Times New Roman" w:cs="Times New Roman"/>
          <w:sz w:val="24"/>
          <w:szCs w:val="24"/>
        </w:rPr>
        <w:t xml:space="preserve"> tej ustawy. </w:t>
      </w:r>
      <w:r w:rsidR="008A29B0" w:rsidRPr="00DB3E1C">
        <w:rPr>
          <w:rFonts w:ascii="Times New Roman" w:hAnsi="Times New Roman" w:cs="Times New Roman"/>
          <w:sz w:val="24"/>
          <w:szCs w:val="24"/>
          <w:shd w:val="clear" w:color="auto" w:fill="FFFFFF"/>
        </w:rPr>
        <w:t>Ponadto Minister właściwy do spraw finansów publicznych zamieszcza w Biuletynie Informacji Publicznej na stronie podmiotowej urzędu obsługującego tego ministra listę państw uczestniczących, o których mowa w ust. 1 pkt 25 lit. b i c</w:t>
      </w:r>
      <w:r w:rsidR="003808EB" w:rsidRPr="00DB3E1C">
        <w:rPr>
          <w:rFonts w:ascii="Times New Roman" w:hAnsi="Times New Roman" w:cs="Times New Roman"/>
          <w:sz w:val="24"/>
          <w:szCs w:val="24"/>
          <w:shd w:val="clear" w:color="auto" w:fill="FFFFFF"/>
        </w:rPr>
        <w:t xml:space="preserve"> ustawy o wymianie informacji</w:t>
      </w:r>
      <w:r w:rsidR="008A29B0" w:rsidRPr="00DB3E1C">
        <w:rPr>
          <w:rFonts w:ascii="Times New Roman" w:hAnsi="Times New Roman" w:cs="Times New Roman"/>
          <w:sz w:val="24"/>
          <w:szCs w:val="24"/>
          <w:shd w:val="clear" w:color="auto" w:fill="FFFFFF"/>
        </w:rPr>
        <w:t>, i dokonuje jej bieżącej aktualizacji.</w:t>
      </w:r>
      <w:r w:rsidR="00943E27" w:rsidRPr="00DB3E1C">
        <w:rPr>
          <w:rFonts w:ascii="Times New Roman" w:hAnsi="Times New Roman" w:cs="Times New Roman"/>
          <w:sz w:val="24"/>
          <w:szCs w:val="24"/>
          <w:shd w:val="clear" w:color="auto" w:fill="FFFFFF"/>
        </w:rPr>
        <w:t xml:space="preserve"> Niemniej, w szczególności mając na względzie, że obwieszczenie ogłaszane jest za rok poprzedni, podatnik lub płatnik obowiązany jest do weryfikacji i aktualizacji podstawy prawnej na dzień dokonania płatności.</w:t>
      </w:r>
    </w:p>
    <w:p w14:paraId="018D0D4D" w14:textId="62F26CF0" w:rsidR="00233203" w:rsidRPr="00DB3E1C" w:rsidRDefault="00905A40" w:rsidP="00DB3E1C">
      <w:pPr>
        <w:autoSpaceDE w:val="0"/>
        <w:autoSpaceDN w:val="0"/>
        <w:adjustRightInd w:val="0"/>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Nowe warunki należy spełnić łącznie z dotychczasowymi warunkami, o których mowa w art. 6 ust. 3 albo art. 17 ust. 12</w:t>
      </w:r>
      <w:r w:rsidR="00D02411" w:rsidRPr="00DB3E1C">
        <w:rPr>
          <w:rFonts w:ascii="Times New Roman" w:hAnsi="Times New Roman" w:cs="Times New Roman"/>
          <w:sz w:val="24"/>
          <w:szCs w:val="24"/>
        </w:rPr>
        <w:t>, w zakresie umowy o unikaniu podwójnego opodatkowania</w:t>
      </w:r>
      <w:r w:rsidRPr="00DB3E1C">
        <w:rPr>
          <w:rFonts w:ascii="Times New Roman" w:hAnsi="Times New Roman" w:cs="Times New Roman"/>
          <w:sz w:val="24"/>
          <w:szCs w:val="24"/>
        </w:rPr>
        <w:t xml:space="preserve">. Jednakże </w:t>
      </w:r>
      <w:r w:rsidR="00D02411" w:rsidRPr="00DB3E1C">
        <w:rPr>
          <w:rFonts w:ascii="Times New Roman" w:hAnsi="Times New Roman" w:cs="Times New Roman"/>
          <w:sz w:val="24"/>
          <w:szCs w:val="24"/>
        </w:rPr>
        <w:t xml:space="preserve">nowe </w:t>
      </w:r>
      <w:r w:rsidRPr="00DB3E1C">
        <w:rPr>
          <w:rFonts w:ascii="Times New Roman" w:hAnsi="Times New Roman" w:cs="Times New Roman"/>
          <w:sz w:val="24"/>
          <w:szCs w:val="24"/>
        </w:rPr>
        <w:t>warunki, o których mowa w art. 6 ust. 3a</w:t>
      </w:r>
      <w:r w:rsidR="00DA1EF3" w:rsidRPr="00DB3E1C">
        <w:rPr>
          <w:rFonts w:ascii="Times New Roman" w:hAnsi="Times New Roman" w:cs="Times New Roman"/>
          <w:sz w:val="24"/>
          <w:szCs w:val="24"/>
        </w:rPr>
        <w:t xml:space="preserve"> oraz</w:t>
      </w:r>
      <w:r w:rsidRPr="00DB3E1C">
        <w:rPr>
          <w:rFonts w:ascii="Times New Roman" w:hAnsi="Times New Roman" w:cs="Times New Roman"/>
          <w:sz w:val="24"/>
          <w:szCs w:val="24"/>
        </w:rPr>
        <w:t xml:space="preserve"> art. 17 ust. 1</w:t>
      </w:r>
      <w:r w:rsidR="00364D3C" w:rsidRPr="00DB3E1C">
        <w:rPr>
          <w:rFonts w:ascii="Times New Roman" w:hAnsi="Times New Roman" w:cs="Times New Roman"/>
          <w:sz w:val="24"/>
          <w:szCs w:val="24"/>
        </w:rPr>
        <w:t>3</w:t>
      </w:r>
      <w:r w:rsidRPr="00DB3E1C">
        <w:rPr>
          <w:rFonts w:ascii="Times New Roman" w:hAnsi="Times New Roman" w:cs="Times New Roman"/>
          <w:sz w:val="24"/>
          <w:szCs w:val="24"/>
        </w:rPr>
        <w:t xml:space="preserve">, </w:t>
      </w:r>
      <w:r w:rsidRPr="00DB3E1C">
        <w:rPr>
          <w:rFonts w:ascii="Times New Roman" w:hAnsi="Times New Roman" w:cs="Times New Roman"/>
          <w:b/>
          <w:bCs/>
          <w:sz w:val="24"/>
          <w:szCs w:val="24"/>
        </w:rPr>
        <w:t>nie dotyczą zagranicznych funduszy emerytalnych</w:t>
      </w:r>
      <w:r w:rsidR="00CC49C0">
        <w:rPr>
          <w:rFonts w:ascii="Times New Roman" w:hAnsi="Times New Roman" w:cs="Times New Roman"/>
          <w:b/>
          <w:bCs/>
          <w:sz w:val="24"/>
          <w:szCs w:val="24"/>
        </w:rPr>
        <w:t>,</w:t>
      </w:r>
      <w:r w:rsidRPr="00DB3E1C">
        <w:rPr>
          <w:rFonts w:ascii="Times New Roman" w:hAnsi="Times New Roman" w:cs="Times New Roman"/>
          <w:sz w:val="24"/>
          <w:szCs w:val="24"/>
        </w:rPr>
        <w:t xml:space="preserve"> mając na względzie specyficzne wyłączenia na gruncie CRS dla tego typu instytucji.</w:t>
      </w:r>
    </w:p>
    <w:p w14:paraId="49F733B8" w14:textId="183AEE66" w:rsidR="002216F1" w:rsidRPr="00DB3E1C" w:rsidRDefault="002216F1" w:rsidP="00DB3E1C">
      <w:pPr>
        <w:autoSpaceDE w:val="0"/>
        <w:autoSpaceDN w:val="0"/>
        <w:adjustRightInd w:val="0"/>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Ponadto należy zaznaczyć, że art. 6 ust. 3</w:t>
      </w:r>
      <w:r w:rsidR="00DA1EF3" w:rsidRPr="00DB3E1C">
        <w:rPr>
          <w:rFonts w:ascii="Times New Roman" w:hAnsi="Times New Roman" w:cs="Times New Roman"/>
          <w:sz w:val="24"/>
          <w:szCs w:val="24"/>
        </w:rPr>
        <w:t xml:space="preserve"> oraz</w:t>
      </w:r>
      <w:r w:rsidRPr="00DB3E1C">
        <w:rPr>
          <w:rFonts w:ascii="Times New Roman" w:hAnsi="Times New Roman" w:cs="Times New Roman"/>
          <w:sz w:val="24"/>
          <w:szCs w:val="24"/>
        </w:rPr>
        <w:t xml:space="preserve"> art. 17 ust. 12, jak również nowo dodane warunki zawarte w art. 6 ust. 3a i art. 17 ust. 1</w:t>
      </w:r>
      <w:r w:rsidR="00364D3C" w:rsidRPr="00DB3E1C">
        <w:rPr>
          <w:rFonts w:ascii="Times New Roman" w:hAnsi="Times New Roman" w:cs="Times New Roman"/>
          <w:sz w:val="24"/>
          <w:szCs w:val="24"/>
        </w:rPr>
        <w:t>3</w:t>
      </w:r>
      <w:r w:rsidRPr="00DB3E1C">
        <w:rPr>
          <w:rFonts w:ascii="Times New Roman" w:hAnsi="Times New Roman" w:cs="Times New Roman"/>
          <w:sz w:val="24"/>
          <w:szCs w:val="24"/>
        </w:rPr>
        <w:t xml:space="preserve">, </w:t>
      </w:r>
      <w:r w:rsidRPr="00DB3E1C">
        <w:rPr>
          <w:rFonts w:ascii="Times New Roman" w:hAnsi="Times New Roman" w:cs="Times New Roman"/>
          <w:b/>
          <w:bCs/>
          <w:sz w:val="24"/>
          <w:szCs w:val="24"/>
        </w:rPr>
        <w:t>nie dotyczą również potencjalnego przypadku, w którym instytucja wspólnego inwestowania (fundusz inwestycyjny) posiada siedzibę w państwie innym niż Rzeczpospolita Polska, lecz – ze względu w szczególności na miejsce zarządu – jest</w:t>
      </w:r>
      <w:r w:rsidR="005C39FF" w:rsidRPr="00DB3E1C">
        <w:rPr>
          <w:rFonts w:ascii="Times New Roman" w:hAnsi="Times New Roman" w:cs="Times New Roman"/>
          <w:b/>
          <w:bCs/>
          <w:sz w:val="24"/>
          <w:szCs w:val="24"/>
        </w:rPr>
        <w:t xml:space="preserve"> uznawan</w:t>
      </w:r>
      <w:r w:rsidR="00290869" w:rsidRPr="00DB3E1C">
        <w:rPr>
          <w:rFonts w:ascii="Times New Roman" w:hAnsi="Times New Roman" w:cs="Times New Roman"/>
          <w:b/>
          <w:bCs/>
          <w:sz w:val="24"/>
          <w:szCs w:val="24"/>
        </w:rPr>
        <w:t>a</w:t>
      </w:r>
      <w:r w:rsidR="005C39FF" w:rsidRPr="00DB3E1C">
        <w:rPr>
          <w:rFonts w:ascii="Times New Roman" w:hAnsi="Times New Roman" w:cs="Times New Roman"/>
          <w:b/>
          <w:bCs/>
          <w:sz w:val="24"/>
          <w:szCs w:val="24"/>
        </w:rPr>
        <w:t xml:space="preserve"> za</w:t>
      </w:r>
      <w:r w:rsidRPr="00DB3E1C">
        <w:rPr>
          <w:rFonts w:ascii="Times New Roman" w:hAnsi="Times New Roman" w:cs="Times New Roman"/>
          <w:b/>
          <w:bCs/>
          <w:sz w:val="24"/>
          <w:szCs w:val="24"/>
        </w:rPr>
        <w:t xml:space="preserve"> polski</w:t>
      </w:r>
      <w:r w:rsidR="005C39FF" w:rsidRPr="00DB3E1C">
        <w:rPr>
          <w:rFonts w:ascii="Times New Roman" w:hAnsi="Times New Roman" w:cs="Times New Roman"/>
          <w:b/>
          <w:bCs/>
          <w:sz w:val="24"/>
          <w:szCs w:val="24"/>
        </w:rPr>
        <w:t>ego</w:t>
      </w:r>
      <w:r w:rsidRPr="00DB3E1C">
        <w:rPr>
          <w:rFonts w:ascii="Times New Roman" w:hAnsi="Times New Roman" w:cs="Times New Roman"/>
          <w:b/>
          <w:bCs/>
          <w:sz w:val="24"/>
          <w:szCs w:val="24"/>
        </w:rPr>
        <w:t xml:space="preserve"> rezydent</w:t>
      </w:r>
      <w:r w:rsidR="005C39FF" w:rsidRPr="00DB3E1C">
        <w:rPr>
          <w:rFonts w:ascii="Times New Roman" w:hAnsi="Times New Roman" w:cs="Times New Roman"/>
          <w:b/>
          <w:bCs/>
          <w:sz w:val="24"/>
          <w:szCs w:val="24"/>
        </w:rPr>
        <w:t>a</w:t>
      </w:r>
      <w:r w:rsidRPr="00DB3E1C">
        <w:rPr>
          <w:rFonts w:ascii="Times New Roman" w:hAnsi="Times New Roman" w:cs="Times New Roman"/>
          <w:b/>
          <w:bCs/>
          <w:sz w:val="24"/>
          <w:szCs w:val="24"/>
        </w:rPr>
        <w:t xml:space="preserve"> podatkow</w:t>
      </w:r>
      <w:r w:rsidR="005C39FF" w:rsidRPr="00DB3E1C">
        <w:rPr>
          <w:rFonts w:ascii="Times New Roman" w:hAnsi="Times New Roman" w:cs="Times New Roman"/>
          <w:b/>
          <w:bCs/>
          <w:sz w:val="24"/>
          <w:szCs w:val="24"/>
        </w:rPr>
        <w:t>ego</w:t>
      </w:r>
      <w:r w:rsidRPr="00DB3E1C">
        <w:rPr>
          <w:rFonts w:ascii="Times New Roman" w:hAnsi="Times New Roman" w:cs="Times New Roman"/>
          <w:sz w:val="24"/>
          <w:szCs w:val="24"/>
        </w:rPr>
        <w:t xml:space="preserve"> (podatnik</w:t>
      </w:r>
      <w:r w:rsidR="005C39FF" w:rsidRPr="00DB3E1C">
        <w:rPr>
          <w:rFonts w:ascii="Times New Roman" w:hAnsi="Times New Roman" w:cs="Times New Roman"/>
          <w:sz w:val="24"/>
          <w:szCs w:val="24"/>
        </w:rPr>
        <w:t>a</w:t>
      </w:r>
      <w:r w:rsidRPr="00DB3E1C">
        <w:rPr>
          <w:rFonts w:ascii="Times New Roman" w:hAnsi="Times New Roman" w:cs="Times New Roman"/>
          <w:sz w:val="24"/>
          <w:szCs w:val="24"/>
        </w:rPr>
        <w:t>, o którym mowa w art. 3 ust. 1 ustawy CIT). Taki fundusz inwestycyjny, o charakterze hybrydowym, będzie podlegał przepisom ustawy CIT, jak również przepisom ustawy o wymianie informacji podatkowych</w:t>
      </w:r>
      <w:r w:rsidR="005C39FF" w:rsidRPr="00DB3E1C">
        <w:rPr>
          <w:rFonts w:ascii="Times New Roman" w:hAnsi="Times New Roman" w:cs="Times New Roman"/>
          <w:sz w:val="24"/>
          <w:szCs w:val="24"/>
        </w:rPr>
        <w:t>. Stąd odpowiednie informacje podatkowe lub informacje o rachunkach raportowanych będą dostępne dla polskich organów administracji skarbowej i wymogi dotyczące innych państw będą w tym zakresie nieadekwatne. Zatem w przypadku takiego funduszu nie bada się warunków, o których mowa w art. 6 ust. 3</w:t>
      </w:r>
      <w:r w:rsidR="002131E2" w:rsidRPr="00DB3E1C">
        <w:rPr>
          <w:rFonts w:ascii="Times New Roman" w:hAnsi="Times New Roman" w:cs="Times New Roman"/>
          <w:sz w:val="24"/>
          <w:szCs w:val="24"/>
        </w:rPr>
        <w:t xml:space="preserve"> i</w:t>
      </w:r>
      <w:r w:rsidR="005C39FF" w:rsidRPr="00DB3E1C">
        <w:rPr>
          <w:rFonts w:ascii="Times New Roman" w:hAnsi="Times New Roman" w:cs="Times New Roman"/>
          <w:sz w:val="24"/>
          <w:szCs w:val="24"/>
        </w:rPr>
        <w:t xml:space="preserve"> 3a oraz art. 17 ust. 12</w:t>
      </w:r>
      <w:r w:rsidR="002131E2" w:rsidRPr="00DB3E1C">
        <w:rPr>
          <w:rFonts w:ascii="Times New Roman" w:hAnsi="Times New Roman" w:cs="Times New Roman"/>
          <w:sz w:val="24"/>
          <w:szCs w:val="24"/>
        </w:rPr>
        <w:t xml:space="preserve"> i</w:t>
      </w:r>
      <w:r w:rsidR="00DA1EF3" w:rsidRPr="00DB3E1C">
        <w:rPr>
          <w:rFonts w:ascii="Times New Roman" w:hAnsi="Times New Roman" w:cs="Times New Roman"/>
          <w:sz w:val="24"/>
          <w:szCs w:val="24"/>
        </w:rPr>
        <w:t xml:space="preserve"> </w:t>
      </w:r>
      <w:r w:rsidR="005C39FF" w:rsidRPr="00DB3E1C">
        <w:rPr>
          <w:rFonts w:ascii="Times New Roman" w:hAnsi="Times New Roman" w:cs="Times New Roman"/>
          <w:sz w:val="24"/>
          <w:szCs w:val="24"/>
        </w:rPr>
        <w:t>1</w:t>
      </w:r>
      <w:r w:rsidR="00364D3C" w:rsidRPr="00DB3E1C">
        <w:rPr>
          <w:rFonts w:ascii="Times New Roman" w:hAnsi="Times New Roman" w:cs="Times New Roman"/>
          <w:sz w:val="24"/>
          <w:szCs w:val="24"/>
        </w:rPr>
        <w:t>3</w:t>
      </w:r>
      <w:r w:rsidR="005C39FF" w:rsidRPr="00DB3E1C">
        <w:rPr>
          <w:rFonts w:ascii="Times New Roman" w:hAnsi="Times New Roman" w:cs="Times New Roman"/>
          <w:sz w:val="24"/>
          <w:szCs w:val="24"/>
        </w:rPr>
        <w:t xml:space="preserve"> </w:t>
      </w:r>
      <w:r w:rsidR="001C0852" w:rsidRPr="001C0852">
        <w:rPr>
          <w:rFonts w:ascii="Times New Roman" w:hAnsi="Times New Roman" w:cs="Times New Roman"/>
          <w:sz w:val="24"/>
          <w:szCs w:val="24"/>
        </w:rPr>
        <w:t>–</w:t>
      </w:r>
      <w:r w:rsidR="005C39FF" w:rsidRPr="00DB3E1C">
        <w:rPr>
          <w:rFonts w:ascii="Times New Roman" w:hAnsi="Times New Roman" w:cs="Times New Roman"/>
          <w:sz w:val="24"/>
          <w:szCs w:val="24"/>
        </w:rPr>
        <w:t xml:space="preserve"> taki fundusz będzie uprawniony do zwolnienia, o ile spełni pozostałe ustawowe warunki w tym zakresie.</w:t>
      </w:r>
    </w:p>
    <w:p w14:paraId="1B43F28E" w14:textId="77777777" w:rsidR="00233203" w:rsidRPr="00DB3E1C" w:rsidRDefault="00233203" w:rsidP="00DB3E1C">
      <w:pPr>
        <w:autoSpaceDE w:val="0"/>
        <w:autoSpaceDN w:val="0"/>
        <w:adjustRightInd w:val="0"/>
        <w:spacing w:line="360" w:lineRule="auto"/>
        <w:jc w:val="both"/>
        <w:rPr>
          <w:rFonts w:ascii="Times New Roman" w:hAnsi="Times New Roman" w:cs="Times New Roman"/>
          <w:sz w:val="24"/>
          <w:szCs w:val="24"/>
        </w:rPr>
      </w:pPr>
    </w:p>
    <w:p w14:paraId="2CA5C55D" w14:textId="68F29F17" w:rsidR="003F47DD" w:rsidRPr="00DB3E1C" w:rsidRDefault="003F47DD" w:rsidP="00DB3E1C">
      <w:pPr>
        <w:autoSpaceDE w:val="0"/>
        <w:autoSpaceDN w:val="0"/>
        <w:adjustRightInd w:val="0"/>
        <w:spacing w:after="120" w:line="360" w:lineRule="auto"/>
        <w:jc w:val="both"/>
        <w:rPr>
          <w:rFonts w:ascii="Times New Roman" w:hAnsi="Times New Roman" w:cs="Times New Roman"/>
          <w:i/>
          <w:iCs/>
          <w:sz w:val="24"/>
          <w:szCs w:val="24"/>
        </w:rPr>
      </w:pPr>
      <w:r w:rsidRPr="00DB3E1C">
        <w:rPr>
          <w:rFonts w:ascii="Times New Roman" w:hAnsi="Times New Roman" w:cs="Times New Roman"/>
          <w:i/>
          <w:iCs/>
          <w:sz w:val="24"/>
          <w:szCs w:val="24"/>
        </w:rPr>
        <w:lastRenderedPageBreak/>
        <w:t>Art. 26 ust. 1h</w:t>
      </w:r>
    </w:p>
    <w:p w14:paraId="6A434A9F" w14:textId="13DEE3E4" w:rsidR="00481E1A" w:rsidRPr="00DB3E1C" w:rsidRDefault="00BE0CB8" w:rsidP="00DB3E1C">
      <w:pPr>
        <w:autoSpaceDE w:val="0"/>
        <w:autoSpaceDN w:val="0"/>
        <w:adjustRightInd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t xml:space="preserve">Zarazem dla celów </w:t>
      </w:r>
      <w:proofErr w:type="spellStart"/>
      <w:r w:rsidRPr="00DB3E1C">
        <w:rPr>
          <w:rFonts w:ascii="Times New Roman" w:hAnsi="Times New Roman" w:cs="Times New Roman"/>
          <w:sz w:val="24"/>
          <w:szCs w:val="24"/>
        </w:rPr>
        <w:t>uspójnienia</w:t>
      </w:r>
      <w:proofErr w:type="spellEnd"/>
      <w:r w:rsidRPr="00DB3E1C">
        <w:rPr>
          <w:rFonts w:ascii="Times New Roman" w:hAnsi="Times New Roman" w:cs="Times New Roman"/>
          <w:sz w:val="24"/>
          <w:szCs w:val="24"/>
        </w:rPr>
        <w:t xml:space="preserve"> przepisów ustawy wprowadzono zmianę dostosowującą treść art. 26 ust. 1h (referującego do wymiany informacji) do </w:t>
      </w:r>
      <w:r w:rsidR="00DA1EF3" w:rsidRPr="00DB3E1C">
        <w:rPr>
          <w:rFonts w:ascii="Times New Roman" w:hAnsi="Times New Roman" w:cs="Times New Roman"/>
          <w:sz w:val="24"/>
          <w:szCs w:val="24"/>
        </w:rPr>
        <w:t>nowo dodanych warunków zawartych w</w:t>
      </w:r>
      <w:r w:rsidRPr="00DB3E1C">
        <w:rPr>
          <w:rFonts w:ascii="Times New Roman" w:hAnsi="Times New Roman" w:cs="Times New Roman"/>
          <w:sz w:val="24"/>
          <w:szCs w:val="24"/>
        </w:rPr>
        <w:t xml:space="preserve"> art. 6 ust. 3</w:t>
      </w:r>
      <w:r w:rsidR="00DA1EF3" w:rsidRPr="00DB3E1C">
        <w:rPr>
          <w:rFonts w:ascii="Times New Roman" w:hAnsi="Times New Roman" w:cs="Times New Roman"/>
          <w:sz w:val="24"/>
          <w:szCs w:val="24"/>
        </w:rPr>
        <w:t>a</w:t>
      </w:r>
      <w:r w:rsidRPr="00DB3E1C">
        <w:rPr>
          <w:rFonts w:ascii="Times New Roman" w:hAnsi="Times New Roman" w:cs="Times New Roman"/>
          <w:sz w:val="24"/>
          <w:szCs w:val="24"/>
        </w:rPr>
        <w:t xml:space="preserve"> </w:t>
      </w:r>
      <w:r w:rsidR="000F3338" w:rsidRPr="00DB3E1C">
        <w:rPr>
          <w:rFonts w:ascii="Times New Roman" w:hAnsi="Times New Roman" w:cs="Times New Roman"/>
          <w:sz w:val="24"/>
          <w:szCs w:val="24"/>
        </w:rPr>
        <w:t>i art. 17 ust. 1</w:t>
      </w:r>
      <w:r w:rsidR="002131E2" w:rsidRPr="00DB3E1C">
        <w:rPr>
          <w:rFonts w:ascii="Times New Roman" w:hAnsi="Times New Roman" w:cs="Times New Roman"/>
          <w:sz w:val="24"/>
          <w:szCs w:val="24"/>
        </w:rPr>
        <w:t>3</w:t>
      </w:r>
      <w:r w:rsidR="000F3338" w:rsidRPr="00DB3E1C">
        <w:rPr>
          <w:rFonts w:ascii="Times New Roman" w:hAnsi="Times New Roman" w:cs="Times New Roman"/>
          <w:sz w:val="24"/>
          <w:szCs w:val="24"/>
        </w:rPr>
        <w:t xml:space="preserve"> </w:t>
      </w:r>
      <w:r w:rsidRPr="00DB3E1C">
        <w:rPr>
          <w:rFonts w:ascii="Times New Roman" w:hAnsi="Times New Roman" w:cs="Times New Roman"/>
          <w:sz w:val="24"/>
          <w:szCs w:val="24"/>
        </w:rPr>
        <w:t xml:space="preserve">oraz do zmian wynikających z rezygnacji z wymogu posiadania przez fundusz siedziby w państwie członkowskim UE lub należącym do EOG. W świetle art. 26 ust. 1g i 1h dodatkowo do </w:t>
      </w:r>
      <w:r w:rsidR="007615B9" w:rsidRPr="00DB3E1C">
        <w:rPr>
          <w:rFonts w:ascii="Times New Roman" w:hAnsi="Times New Roman" w:cs="Times New Roman"/>
          <w:sz w:val="24"/>
          <w:szCs w:val="24"/>
        </w:rPr>
        <w:t xml:space="preserve">wymogów </w:t>
      </w:r>
      <w:r w:rsidRPr="00DB3E1C">
        <w:rPr>
          <w:rFonts w:ascii="Times New Roman" w:hAnsi="Times New Roman" w:cs="Times New Roman"/>
          <w:sz w:val="24"/>
          <w:szCs w:val="24"/>
        </w:rPr>
        <w:t>dotycząc</w:t>
      </w:r>
      <w:r w:rsidR="007615B9" w:rsidRPr="00DB3E1C">
        <w:rPr>
          <w:rFonts w:ascii="Times New Roman" w:hAnsi="Times New Roman" w:cs="Times New Roman"/>
          <w:sz w:val="24"/>
          <w:szCs w:val="24"/>
        </w:rPr>
        <w:t>ych</w:t>
      </w:r>
      <w:r w:rsidRPr="00DB3E1C">
        <w:rPr>
          <w:rFonts w:ascii="Times New Roman" w:hAnsi="Times New Roman" w:cs="Times New Roman"/>
          <w:sz w:val="24"/>
          <w:szCs w:val="24"/>
        </w:rPr>
        <w:t xml:space="preserve"> wymiany informacji, określon</w:t>
      </w:r>
      <w:r w:rsidR="007615B9" w:rsidRPr="00DB3E1C">
        <w:rPr>
          <w:rFonts w:ascii="Times New Roman" w:hAnsi="Times New Roman" w:cs="Times New Roman"/>
          <w:sz w:val="24"/>
          <w:szCs w:val="24"/>
        </w:rPr>
        <w:t>ych</w:t>
      </w:r>
      <w:r w:rsidRPr="00DB3E1C">
        <w:rPr>
          <w:rFonts w:ascii="Times New Roman" w:hAnsi="Times New Roman" w:cs="Times New Roman"/>
          <w:sz w:val="24"/>
          <w:szCs w:val="24"/>
        </w:rPr>
        <w:t xml:space="preserve"> w art. 6 ust. 3</w:t>
      </w:r>
      <w:r w:rsidR="002131E2" w:rsidRPr="00DB3E1C">
        <w:rPr>
          <w:rFonts w:ascii="Times New Roman" w:hAnsi="Times New Roman" w:cs="Times New Roman"/>
          <w:sz w:val="24"/>
          <w:szCs w:val="24"/>
        </w:rPr>
        <w:t xml:space="preserve"> i</w:t>
      </w:r>
      <w:r w:rsidR="007615B9" w:rsidRPr="00DB3E1C">
        <w:rPr>
          <w:rFonts w:ascii="Times New Roman" w:hAnsi="Times New Roman" w:cs="Times New Roman"/>
          <w:sz w:val="24"/>
          <w:szCs w:val="24"/>
        </w:rPr>
        <w:t xml:space="preserve"> 3a</w:t>
      </w:r>
      <w:r w:rsidR="000F3338" w:rsidRPr="00DB3E1C">
        <w:rPr>
          <w:rFonts w:ascii="Times New Roman" w:hAnsi="Times New Roman" w:cs="Times New Roman"/>
          <w:sz w:val="24"/>
          <w:szCs w:val="24"/>
        </w:rPr>
        <w:t xml:space="preserve"> albo art. 17 ust. 12</w:t>
      </w:r>
      <w:r w:rsidR="002131E2" w:rsidRPr="00DB3E1C">
        <w:rPr>
          <w:rFonts w:ascii="Times New Roman" w:hAnsi="Times New Roman" w:cs="Times New Roman"/>
          <w:sz w:val="24"/>
          <w:szCs w:val="24"/>
        </w:rPr>
        <w:t xml:space="preserve"> i</w:t>
      </w:r>
      <w:r w:rsidR="007615B9" w:rsidRPr="00DB3E1C">
        <w:rPr>
          <w:rFonts w:ascii="Times New Roman" w:hAnsi="Times New Roman" w:cs="Times New Roman"/>
          <w:sz w:val="24"/>
          <w:szCs w:val="24"/>
        </w:rPr>
        <w:t xml:space="preserve"> 1</w:t>
      </w:r>
      <w:r w:rsidR="002118C5" w:rsidRPr="00DB3E1C">
        <w:rPr>
          <w:rFonts w:ascii="Times New Roman" w:hAnsi="Times New Roman" w:cs="Times New Roman"/>
          <w:sz w:val="24"/>
          <w:szCs w:val="24"/>
        </w:rPr>
        <w:t>3</w:t>
      </w:r>
      <w:r w:rsidRPr="00DB3E1C">
        <w:rPr>
          <w:rFonts w:ascii="Times New Roman" w:hAnsi="Times New Roman" w:cs="Times New Roman"/>
          <w:sz w:val="24"/>
          <w:szCs w:val="24"/>
        </w:rPr>
        <w:t>, podatnik będzie zobowiązany przedstawić płatnikowi odpowiednie dokumenty, tj. certyfikat rezydencji oraz oświadczenie dotyczące rzeczywistego właściciela i co do spełnienia warunków zwolnienia. Tym samym proponowana zmiana przepisu ma wyłącznie charakter dostosowawczy.</w:t>
      </w:r>
    </w:p>
    <w:p w14:paraId="74BBD447" w14:textId="3DFA6679" w:rsidR="008F4F0C" w:rsidRPr="00DB3E1C" w:rsidRDefault="008F4F0C" w:rsidP="00DB3E1C">
      <w:pPr>
        <w:autoSpaceDE w:val="0"/>
        <w:autoSpaceDN w:val="0"/>
        <w:spacing w:before="240" w:line="360" w:lineRule="auto"/>
        <w:ind w:firstLine="360"/>
        <w:jc w:val="both"/>
        <w:rPr>
          <w:rFonts w:ascii="Times New Roman" w:eastAsia="Times New Roman" w:hAnsi="Times New Roman" w:cs="Times New Roman"/>
          <w:b/>
          <w:bCs/>
          <w:sz w:val="24"/>
          <w:szCs w:val="24"/>
        </w:rPr>
      </w:pPr>
      <w:r w:rsidRPr="00DB3E1C">
        <w:rPr>
          <w:rFonts w:ascii="Times New Roman" w:eastAsia="Times New Roman" w:hAnsi="Times New Roman" w:cs="Times New Roman"/>
          <w:b/>
          <w:bCs/>
          <w:sz w:val="24"/>
          <w:szCs w:val="24"/>
        </w:rPr>
        <w:t>4. Ograniczenia anty-abuzywne</w:t>
      </w:r>
      <w:r w:rsidR="001C0852">
        <w:rPr>
          <w:rFonts w:ascii="Times New Roman" w:eastAsia="Times New Roman" w:hAnsi="Times New Roman" w:cs="Times New Roman"/>
          <w:b/>
          <w:bCs/>
          <w:sz w:val="24"/>
          <w:szCs w:val="24"/>
        </w:rPr>
        <w:t>.</w:t>
      </w:r>
    </w:p>
    <w:p w14:paraId="57DEDB4B" w14:textId="7FAE8AE6" w:rsidR="00B22856" w:rsidRPr="00DB3E1C" w:rsidRDefault="00B22856" w:rsidP="00DB3E1C">
      <w:pPr>
        <w:autoSpaceDE w:val="0"/>
        <w:autoSpaceDN w:val="0"/>
        <w:spacing w:line="360" w:lineRule="auto"/>
        <w:ind w:firstLine="360"/>
        <w:jc w:val="both"/>
        <w:rPr>
          <w:rFonts w:ascii="Times New Roman" w:eastAsia="Times New Roman" w:hAnsi="Times New Roman" w:cs="Times New Roman"/>
          <w:sz w:val="24"/>
          <w:szCs w:val="24"/>
        </w:rPr>
      </w:pPr>
      <w:r w:rsidRPr="00DB3E1C">
        <w:rPr>
          <w:rFonts w:ascii="Times New Roman" w:eastAsia="Times New Roman" w:hAnsi="Times New Roman" w:cs="Times New Roman"/>
          <w:sz w:val="24"/>
          <w:szCs w:val="24"/>
        </w:rPr>
        <w:t>(art. 1 pkt 3 projektu)</w:t>
      </w:r>
    </w:p>
    <w:p w14:paraId="6E01DA7B" w14:textId="771FE6AF" w:rsidR="00D8621B" w:rsidRPr="00DB3E1C" w:rsidRDefault="00B22856" w:rsidP="00DB3E1C">
      <w:pPr>
        <w:autoSpaceDE w:val="0"/>
        <w:autoSpaceDN w:val="0"/>
        <w:adjustRightInd w:val="0"/>
        <w:spacing w:before="240" w:after="120" w:line="360" w:lineRule="auto"/>
        <w:jc w:val="both"/>
        <w:rPr>
          <w:rFonts w:ascii="Times New Roman" w:hAnsi="Times New Roman" w:cs="Times New Roman"/>
          <w:sz w:val="24"/>
          <w:szCs w:val="24"/>
        </w:rPr>
      </w:pPr>
      <w:r w:rsidRPr="00DB3E1C">
        <w:rPr>
          <w:rFonts w:ascii="Times New Roman" w:hAnsi="Times New Roman" w:cs="Times New Roman"/>
          <w:sz w:val="24"/>
          <w:szCs w:val="24"/>
        </w:rPr>
        <w:t>Przedstawiony projekt wiąże się z istotnym rozszerzeniem zakresu zwolnienia dla zagranicznych funduszy inwestycyjnych, co może zwiększać pole do potencjalnych nadużyć i prób korzystania ze zwolnienia przez podmioty nieuprawnione lub tworzące struktury o charakterze sztucznym. Aby przeciwdziałać potencjalnym nadużyciom w tym zakresie, proponuje się rozszerzenie art. 22c ustawy CIT o odwołanie do art. 17 ust. 1 pkt 58 ustawy CIT (przy czy</w:t>
      </w:r>
      <w:r w:rsidR="00D8621B" w:rsidRPr="00DB3E1C">
        <w:rPr>
          <w:rFonts w:ascii="Times New Roman" w:hAnsi="Times New Roman" w:cs="Times New Roman"/>
          <w:sz w:val="24"/>
          <w:szCs w:val="24"/>
        </w:rPr>
        <w:t>m mając na względzie równe traktowanie podmiotów krajowych i zagranicznych</w:t>
      </w:r>
      <w:r w:rsidR="001C0852">
        <w:rPr>
          <w:rFonts w:ascii="Times New Roman" w:hAnsi="Times New Roman" w:cs="Times New Roman"/>
          <w:sz w:val="24"/>
          <w:szCs w:val="24"/>
        </w:rPr>
        <w:t>,</w:t>
      </w:r>
      <w:r w:rsidR="003231F1">
        <w:rPr>
          <w:rFonts w:ascii="Times New Roman" w:hAnsi="Times New Roman" w:cs="Times New Roman"/>
          <w:sz w:val="24"/>
          <w:szCs w:val="24"/>
        </w:rPr>
        <w:t xml:space="preserve"> </w:t>
      </w:r>
      <w:r w:rsidR="00D8621B" w:rsidRPr="00DB3E1C">
        <w:rPr>
          <w:rFonts w:ascii="Times New Roman" w:hAnsi="Times New Roman" w:cs="Times New Roman"/>
          <w:sz w:val="24"/>
          <w:szCs w:val="24"/>
        </w:rPr>
        <w:t>konieczne</w:t>
      </w:r>
      <w:r w:rsidRPr="00DB3E1C">
        <w:rPr>
          <w:rFonts w:ascii="Times New Roman" w:hAnsi="Times New Roman" w:cs="Times New Roman"/>
          <w:sz w:val="24"/>
          <w:szCs w:val="24"/>
        </w:rPr>
        <w:t xml:space="preserve"> jest analogiczne odwołanie do pkt 57</w:t>
      </w:r>
      <w:r w:rsidR="00D8621B" w:rsidRPr="00DB3E1C">
        <w:rPr>
          <w:rFonts w:ascii="Times New Roman" w:hAnsi="Times New Roman" w:cs="Times New Roman"/>
          <w:sz w:val="24"/>
          <w:szCs w:val="24"/>
        </w:rPr>
        <w:t xml:space="preserve"> regulującego zwolnienia m.in. dla funduszy inwestycyjnych zamkniętych</w:t>
      </w:r>
      <w:r w:rsidRPr="00DB3E1C">
        <w:rPr>
          <w:rFonts w:ascii="Times New Roman" w:hAnsi="Times New Roman" w:cs="Times New Roman"/>
          <w:sz w:val="24"/>
          <w:szCs w:val="24"/>
        </w:rPr>
        <w:t xml:space="preserve">). </w:t>
      </w:r>
    </w:p>
    <w:p w14:paraId="31444BCE" w14:textId="76A37287" w:rsidR="0054221F" w:rsidRPr="00DB3E1C" w:rsidRDefault="0054221F" w:rsidP="00DB3E1C">
      <w:pPr>
        <w:autoSpaceDE w:val="0"/>
        <w:autoSpaceDN w:val="0"/>
        <w:adjustRightInd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t>Tym samym zwolnienie nie będzie przysługiwało</w:t>
      </w:r>
      <w:r w:rsidR="00D8621B" w:rsidRPr="00DB3E1C">
        <w:rPr>
          <w:rFonts w:ascii="Times New Roman" w:hAnsi="Times New Roman" w:cs="Times New Roman"/>
          <w:sz w:val="24"/>
          <w:szCs w:val="24"/>
        </w:rPr>
        <w:t xml:space="preserve"> zagranicznym funduszom alternatywnym,</w:t>
      </w:r>
      <w:r w:rsidRPr="00DB3E1C">
        <w:rPr>
          <w:rFonts w:ascii="Times New Roman" w:hAnsi="Times New Roman" w:cs="Times New Roman"/>
          <w:sz w:val="24"/>
          <w:szCs w:val="24"/>
        </w:rPr>
        <w:t xml:space="preserve"> funduszom typu zamkniętego lub stosującym podobną politykę inwestycyjną,</w:t>
      </w:r>
      <w:r w:rsidR="003231F1">
        <w:rPr>
          <w:rFonts w:ascii="Times New Roman" w:hAnsi="Times New Roman" w:cs="Times New Roman"/>
          <w:sz w:val="24"/>
          <w:szCs w:val="24"/>
        </w:rPr>
        <w:t xml:space="preserve"> </w:t>
      </w:r>
      <w:r w:rsidRPr="00DB3E1C">
        <w:rPr>
          <w:rFonts w:ascii="Times New Roman" w:hAnsi="Times New Roman" w:cs="Times New Roman"/>
          <w:sz w:val="24"/>
          <w:szCs w:val="24"/>
        </w:rPr>
        <w:t>jeżeli zostanie uznane, że skorzystanie ze zwolnienia określonego w tych przepisach było:</w:t>
      </w:r>
    </w:p>
    <w:p w14:paraId="241CDC1A" w14:textId="1154052C" w:rsidR="0054221F" w:rsidRPr="00DB3E1C" w:rsidRDefault="0054221F" w:rsidP="00DB3E1C">
      <w:pPr>
        <w:pStyle w:val="Akapitzlist"/>
        <w:numPr>
          <w:ilvl w:val="0"/>
          <w:numId w:val="4"/>
        </w:numPr>
        <w:autoSpaceDE w:val="0"/>
        <w:autoSpaceDN w:val="0"/>
        <w:adjustRightInd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t>sprzeczne w danych okolicznościach z przedmiotem lub celem tych przepisów;</w:t>
      </w:r>
    </w:p>
    <w:p w14:paraId="2E20EF5D" w14:textId="40EA272A" w:rsidR="0054221F" w:rsidRPr="00DB3E1C" w:rsidRDefault="0054221F" w:rsidP="00DB3E1C">
      <w:pPr>
        <w:pStyle w:val="Akapitzlist"/>
        <w:numPr>
          <w:ilvl w:val="0"/>
          <w:numId w:val="4"/>
        </w:numPr>
        <w:autoSpaceDE w:val="0"/>
        <w:autoSpaceDN w:val="0"/>
        <w:adjustRightInd w:val="0"/>
        <w:spacing w:line="360" w:lineRule="auto"/>
        <w:jc w:val="both"/>
        <w:rPr>
          <w:rFonts w:ascii="Times New Roman" w:hAnsi="Times New Roman" w:cs="Times New Roman"/>
          <w:sz w:val="24"/>
          <w:szCs w:val="24"/>
        </w:rPr>
      </w:pPr>
      <w:r w:rsidRPr="00DB3E1C">
        <w:rPr>
          <w:rFonts w:ascii="Times New Roman" w:hAnsi="Times New Roman" w:cs="Times New Roman"/>
          <w:sz w:val="24"/>
          <w:szCs w:val="24"/>
        </w:rPr>
        <w:t>głównym lub jednym z głównych celów dokonania transakcji lub innej czynności albo wielu transakcji lub innych czynności, a sposób działania był sztuczny.</w:t>
      </w:r>
    </w:p>
    <w:p w14:paraId="14CD490C" w14:textId="776D932F" w:rsidR="00B22856" w:rsidRPr="00DB3E1C" w:rsidRDefault="0054221F" w:rsidP="00DB3E1C">
      <w:pPr>
        <w:autoSpaceDE w:val="0"/>
        <w:autoSpaceDN w:val="0"/>
        <w:adjustRightInd w:val="0"/>
        <w:spacing w:line="360" w:lineRule="auto"/>
        <w:jc w:val="both"/>
        <w:rPr>
          <w:rFonts w:ascii="Times New Roman" w:eastAsia="Times New Roman" w:hAnsi="Times New Roman" w:cs="Times New Roman"/>
          <w:sz w:val="24"/>
          <w:szCs w:val="24"/>
        </w:rPr>
      </w:pPr>
      <w:r w:rsidRPr="00DB3E1C">
        <w:rPr>
          <w:rFonts w:ascii="Times New Roman" w:hAnsi="Times New Roman" w:cs="Times New Roman"/>
          <w:sz w:val="24"/>
          <w:szCs w:val="24"/>
        </w:rPr>
        <w:t>Regulacja ta umożliwia więc zweryfikowanie m.in.</w:t>
      </w:r>
      <w:r w:rsidR="00216946" w:rsidRPr="00DB3E1C">
        <w:rPr>
          <w:rFonts w:ascii="Times New Roman" w:hAnsi="Times New Roman" w:cs="Times New Roman"/>
          <w:sz w:val="24"/>
          <w:szCs w:val="24"/>
        </w:rPr>
        <w:t>,</w:t>
      </w:r>
      <w:r w:rsidRPr="00DB3E1C">
        <w:rPr>
          <w:rFonts w:ascii="Times New Roman" w:hAnsi="Times New Roman" w:cs="Times New Roman"/>
          <w:sz w:val="24"/>
          <w:szCs w:val="24"/>
        </w:rPr>
        <w:t xml:space="preserve"> czy zwolnienie zostało faktycznie zastosowane do </w:t>
      </w:r>
      <w:r w:rsidR="00AA51BA" w:rsidRPr="00DB3E1C">
        <w:rPr>
          <w:rFonts w:ascii="Times New Roman" w:hAnsi="Times New Roman" w:cs="Times New Roman"/>
          <w:sz w:val="24"/>
          <w:szCs w:val="24"/>
        </w:rPr>
        <w:t xml:space="preserve">formy zbiorowego inwestowania dla uniknięcia podwójnego opodatkowania jej uczestników. </w:t>
      </w:r>
      <w:r w:rsidR="00B22856" w:rsidRPr="00DB3E1C">
        <w:rPr>
          <w:rFonts w:ascii="Times New Roman" w:eastAsia="Times New Roman" w:hAnsi="Times New Roman" w:cs="Times New Roman"/>
          <w:sz w:val="24"/>
          <w:szCs w:val="24"/>
          <w:lang w:eastAsia="pl-PL"/>
        </w:rPr>
        <w:t>Zatem takie ograniczenie będzie stanowiło dodatkowe narzędzie dla organów podatkowych do podważenia zwolnienia dla danego funduszu inwestycyjnego, jeżeli okoliczności sprawy będą wskazywać na nadużycie.</w:t>
      </w:r>
    </w:p>
    <w:p w14:paraId="640CB476" w14:textId="77777777" w:rsidR="00233203" w:rsidRPr="00DB3E1C" w:rsidRDefault="00233203" w:rsidP="00DB3E1C">
      <w:pPr>
        <w:autoSpaceDE w:val="0"/>
        <w:autoSpaceDN w:val="0"/>
        <w:spacing w:line="360" w:lineRule="auto"/>
        <w:ind w:left="360"/>
        <w:jc w:val="both"/>
        <w:rPr>
          <w:rFonts w:ascii="Times New Roman" w:eastAsia="Times New Roman" w:hAnsi="Times New Roman" w:cs="Times New Roman"/>
          <w:b/>
          <w:bCs/>
          <w:sz w:val="24"/>
          <w:szCs w:val="24"/>
        </w:rPr>
      </w:pPr>
    </w:p>
    <w:p w14:paraId="2FE5B8AB" w14:textId="6C9E7029" w:rsidR="00F23E4B" w:rsidRPr="00DB3E1C" w:rsidRDefault="008F4F0C" w:rsidP="00DB3E1C">
      <w:pPr>
        <w:autoSpaceDE w:val="0"/>
        <w:autoSpaceDN w:val="0"/>
        <w:spacing w:line="360" w:lineRule="auto"/>
        <w:ind w:left="360"/>
        <w:jc w:val="both"/>
        <w:rPr>
          <w:rFonts w:ascii="Times New Roman" w:eastAsia="Times New Roman" w:hAnsi="Times New Roman" w:cs="Times New Roman"/>
          <w:b/>
          <w:bCs/>
          <w:sz w:val="24"/>
          <w:szCs w:val="24"/>
        </w:rPr>
      </w:pPr>
      <w:r w:rsidRPr="00DB3E1C">
        <w:rPr>
          <w:rFonts w:ascii="Times New Roman" w:eastAsia="Times New Roman" w:hAnsi="Times New Roman" w:cs="Times New Roman"/>
          <w:b/>
          <w:bCs/>
          <w:sz w:val="24"/>
          <w:szCs w:val="24"/>
        </w:rPr>
        <w:t>5</w:t>
      </w:r>
      <w:r w:rsidR="00801789" w:rsidRPr="00DB3E1C">
        <w:rPr>
          <w:rFonts w:ascii="Times New Roman" w:eastAsia="Times New Roman" w:hAnsi="Times New Roman" w:cs="Times New Roman"/>
          <w:b/>
          <w:bCs/>
          <w:sz w:val="24"/>
          <w:szCs w:val="24"/>
        </w:rPr>
        <w:t xml:space="preserve">. </w:t>
      </w:r>
      <w:r w:rsidR="00481A7D" w:rsidRPr="00DB3E1C">
        <w:rPr>
          <w:rFonts w:ascii="Times New Roman" w:eastAsia="Times New Roman" w:hAnsi="Times New Roman" w:cs="Times New Roman"/>
          <w:b/>
          <w:bCs/>
          <w:sz w:val="24"/>
          <w:szCs w:val="24"/>
          <w:shd w:val="clear" w:color="auto" w:fill="FFFFFF"/>
        </w:rPr>
        <w:t>Warunek podlegania opodatkowani</w:t>
      </w:r>
      <w:r w:rsidR="00F42C3D" w:rsidRPr="00DB3E1C">
        <w:rPr>
          <w:rFonts w:ascii="Times New Roman" w:eastAsia="Times New Roman" w:hAnsi="Times New Roman" w:cs="Times New Roman"/>
          <w:b/>
          <w:bCs/>
          <w:sz w:val="24"/>
          <w:szCs w:val="24"/>
          <w:shd w:val="clear" w:color="auto" w:fill="FFFFFF"/>
        </w:rPr>
        <w:t>u</w:t>
      </w:r>
      <w:r w:rsidR="00481A7D" w:rsidRPr="00DB3E1C">
        <w:rPr>
          <w:rFonts w:ascii="Times New Roman" w:eastAsia="Times New Roman" w:hAnsi="Times New Roman" w:cs="Times New Roman"/>
          <w:b/>
          <w:bCs/>
          <w:sz w:val="24"/>
          <w:szCs w:val="24"/>
          <w:shd w:val="clear" w:color="auto" w:fill="FFFFFF"/>
        </w:rPr>
        <w:t xml:space="preserve"> podatkiem dochodowym od całości dochodów</w:t>
      </w:r>
      <w:r w:rsidR="001C0852">
        <w:rPr>
          <w:rFonts w:ascii="Times New Roman" w:eastAsia="Times New Roman" w:hAnsi="Times New Roman" w:cs="Times New Roman"/>
          <w:b/>
          <w:bCs/>
          <w:sz w:val="24"/>
          <w:szCs w:val="24"/>
          <w:shd w:val="clear" w:color="auto" w:fill="FFFFFF"/>
        </w:rPr>
        <w:t>.</w:t>
      </w:r>
    </w:p>
    <w:p w14:paraId="13847E69" w14:textId="41B472E0" w:rsidR="00B473A7" w:rsidRPr="00DB3E1C" w:rsidRDefault="006573D4" w:rsidP="00DB3E1C">
      <w:pPr>
        <w:autoSpaceDE w:val="0"/>
        <w:autoSpaceDN w:val="0"/>
        <w:spacing w:before="240" w:line="360" w:lineRule="auto"/>
        <w:jc w:val="both"/>
        <w:rPr>
          <w:rFonts w:ascii="Times New Roman" w:eastAsia="Times New Roman" w:hAnsi="Times New Roman" w:cs="Times New Roman"/>
          <w:sz w:val="24"/>
          <w:szCs w:val="24"/>
        </w:rPr>
      </w:pPr>
      <w:r w:rsidRPr="00DB3E1C">
        <w:rPr>
          <w:rFonts w:ascii="Times New Roman" w:eastAsia="Times New Roman" w:hAnsi="Times New Roman" w:cs="Times New Roman"/>
          <w:sz w:val="24"/>
          <w:szCs w:val="24"/>
        </w:rPr>
        <w:t xml:space="preserve">Ponadto </w:t>
      </w:r>
      <w:r w:rsidR="007E400A" w:rsidRPr="00DB3E1C">
        <w:rPr>
          <w:rFonts w:ascii="Times New Roman" w:eastAsia="Times New Roman" w:hAnsi="Times New Roman" w:cs="Times New Roman"/>
          <w:sz w:val="24"/>
          <w:szCs w:val="24"/>
        </w:rPr>
        <w:t>przedstawiony projekt przewiduje</w:t>
      </w:r>
      <w:r w:rsidRPr="00DB3E1C">
        <w:rPr>
          <w:rFonts w:ascii="Times New Roman" w:eastAsia="Times New Roman" w:hAnsi="Times New Roman" w:cs="Times New Roman"/>
          <w:sz w:val="24"/>
          <w:szCs w:val="24"/>
        </w:rPr>
        <w:t xml:space="preserve"> </w:t>
      </w:r>
      <w:r w:rsidR="00481A7D" w:rsidRPr="00DB3E1C">
        <w:rPr>
          <w:rFonts w:ascii="Times New Roman" w:eastAsia="Times New Roman" w:hAnsi="Times New Roman" w:cs="Times New Roman"/>
          <w:sz w:val="24"/>
          <w:szCs w:val="24"/>
        </w:rPr>
        <w:t xml:space="preserve">uzupełnienie warunku wskazanego w art. 6 ust. 1 pkt 10a </w:t>
      </w:r>
      <w:r w:rsidR="00481A7D" w:rsidRPr="00DB3E1C">
        <w:rPr>
          <w:rFonts w:ascii="Times New Roman" w:eastAsia="Times New Roman" w:hAnsi="Times New Roman" w:cs="Times New Roman"/>
          <w:b/>
          <w:bCs/>
          <w:sz w:val="24"/>
          <w:szCs w:val="24"/>
        </w:rPr>
        <w:t>lit. a</w:t>
      </w:r>
      <w:r w:rsidR="00481A7D" w:rsidRPr="00DB3E1C">
        <w:rPr>
          <w:rFonts w:ascii="Times New Roman" w:eastAsia="Times New Roman" w:hAnsi="Times New Roman" w:cs="Times New Roman"/>
          <w:sz w:val="24"/>
          <w:szCs w:val="24"/>
        </w:rPr>
        <w:t xml:space="preserve"> ustawy CIT poprzez odniesienie się do państwa siedziby </w:t>
      </w:r>
      <w:r w:rsidR="00481A7D" w:rsidRPr="00DB3E1C">
        <w:rPr>
          <w:rFonts w:ascii="Times New Roman" w:eastAsia="Times New Roman" w:hAnsi="Times New Roman" w:cs="Times New Roman"/>
          <w:b/>
          <w:bCs/>
          <w:sz w:val="24"/>
          <w:szCs w:val="24"/>
        </w:rPr>
        <w:t>lub zarządu</w:t>
      </w:r>
      <w:r w:rsidR="00481A7D" w:rsidRPr="00DB3E1C">
        <w:rPr>
          <w:rFonts w:ascii="Times New Roman" w:eastAsia="Times New Roman" w:hAnsi="Times New Roman" w:cs="Times New Roman"/>
          <w:sz w:val="24"/>
          <w:szCs w:val="24"/>
        </w:rPr>
        <w:t xml:space="preserve"> danej instytucji wspólnego inwestowania w miejsce wyłącznie państwa siedziby tej instytucji.</w:t>
      </w:r>
      <w:r w:rsidR="00B473A7" w:rsidRPr="00DB3E1C">
        <w:rPr>
          <w:rFonts w:ascii="Times New Roman" w:eastAsia="Times New Roman" w:hAnsi="Times New Roman" w:cs="Times New Roman"/>
          <w:sz w:val="24"/>
          <w:szCs w:val="24"/>
        </w:rPr>
        <w:t xml:space="preserve"> Na zasadzie analogii, podobną zmianę proponuje się w</w:t>
      </w:r>
      <w:r w:rsidR="00E129AB" w:rsidRPr="00DB3E1C">
        <w:rPr>
          <w:rFonts w:ascii="Times New Roman" w:eastAsia="Times New Roman" w:hAnsi="Times New Roman" w:cs="Times New Roman"/>
          <w:sz w:val="24"/>
          <w:szCs w:val="24"/>
        </w:rPr>
        <w:t xml:space="preserve"> warunku zawartym w</w:t>
      </w:r>
      <w:r w:rsidR="00B473A7" w:rsidRPr="00DB3E1C">
        <w:rPr>
          <w:rFonts w:ascii="Times New Roman" w:eastAsia="Times New Roman" w:hAnsi="Times New Roman" w:cs="Times New Roman"/>
          <w:sz w:val="24"/>
          <w:szCs w:val="24"/>
        </w:rPr>
        <w:t xml:space="preserve"> art. 6 ust. 1 pkt 11a lit. a</w:t>
      </w:r>
      <w:r w:rsidR="00E129AB" w:rsidRPr="00DB3E1C">
        <w:rPr>
          <w:rFonts w:ascii="Times New Roman" w:eastAsia="Times New Roman" w:hAnsi="Times New Roman" w:cs="Times New Roman"/>
          <w:sz w:val="24"/>
          <w:szCs w:val="24"/>
        </w:rPr>
        <w:t>,</w:t>
      </w:r>
      <w:r w:rsidR="00B473A7" w:rsidRPr="00DB3E1C">
        <w:rPr>
          <w:rFonts w:ascii="Times New Roman" w:eastAsia="Times New Roman" w:hAnsi="Times New Roman" w:cs="Times New Roman"/>
          <w:sz w:val="24"/>
          <w:szCs w:val="24"/>
        </w:rPr>
        <w:t xml:space="preserve"> dotyczącym zagranicznych funduszy emerytalnych.</w:t>
      </w:r>
    </w:p>
    <w:p w14:paraId="06FC7F20" w14:textId="42A7DE81" w:rsidR="007E400A" w:rsidRPr="00DB3E1C" w:rsidRDefault="00B473A7" w:rsidP="00DB3E1C">
      <w:pPr>
        <w:autoSpaceDE w:val="0"/>
        <w:autoSpaceDN w:val="0"/>
        <w:spacing w:before="240" w:line="360" w:lineRule="auto"/>
        <w:jc w:val="both"/>
        <w:rPr>
          <w:rFonts w:ascii="Times New Roman" w:eastAsia="Times New Roman" w:hAnsi="Times New Roman" w:cs="Times New Roman"/>
          <w:sz w:val="24"/>
          <w:szCs w:val="24"/>
          <w:shd w:val="clear" w:color="auto" w:fill="FFFFFF"/>
        </w:rPr>
      </w:pPr>
      <w:r w:rsidRPr="00DB3E1C">
        <w:rPr>
          <w:rFonts w:ascii="Times New Roman" w:eastAsia="Times New Roman" w:hAnsi="Times New Roman" w:cs="Times New Roman"/>
          <w:sz w:val="24"/>
          <w:szCs w:val="24"/>
          <w:shd w:val="clear" w:color="auto" w:fill="FFFFFF"/>
        </w:rPr>
        <w:t>Zmiana ta ma</w:t>
      </w:r>
      <w:r w:rsidR="00E312B4" w:rsidRPr="00DB3E1C">
        <w:rPr>
          <w:rFonts w:ascii="Times New Roman" w:eastAsia="Times New Roman" w:hAnsi="Times New Roman" w:cs="Times New Roman"/>
          <w:sz w:val="24"/>
          <w:szCs w:val="24"/>
        </w:rPr>
        <w:t xml:space="preserve"> na celu </w:t>
      </w:r>
      <w:r w:rsidR="001C0852" w:rsidRPr="0005661C">
        <w:rPr>
          <w:rFonts w:ascii="Times New Roman" w:eastAsia="Times New Roman" w:hAnsi="Times New Roman" w:cs="Times New Roman"/>
          <w:sz w:val="24"/>
          <w:szCs w:val="24"/>
        </w:rPr>
        <w:t xml:space="preserve">w szczególności </w:t>
      </w:r>
      <w:r w:rsidR="00E312B4" w:rsidRPr="00DB3E1C">
        <w:rPr>
          <w:rFonts w:ascii="Times New Roman" w:eastAsia="Times New Roman" w:hAnsi="Times New Roman" w:cs="Times New Roman"/>
          <w:sz w:val="24"/>
          <w:szCs w:val="24"/>
        </w:rPr>
        <w:t xml:space="preserve">zapewnienie większej spójności systematyki przepisów ustawy CIT. </w:t>
      </w:r>
      <w:r w:rsidR="00E312B4" w:rsidRPr="00DB3E1C">
        <w:rPr>
          <w:rFonts w:ascii="Times New Roman" w:eastAsia="Times New Roman" w:hAnsi="Times New Roman" w:cs="Times New Roman"/>
          <w:sz w:val="24"/>
          <w:szCs w:val="24"/>
          <w:shd w:val="clear" w:color="auto" w:fill="FFFFFF"/>
        </w:rPr>
        <w:t xml:space="preserve">Proponowane </w:t>
      </w:r>
      <w:r w:rsidR="00481A7D" w:rsidRPr="00DB3E1C">
        <w:rPr>
          <w:rFonts w:ascii="Times New Roman" w:eastAsia="Times New Roman" w:hAnsi="Times New Roman" w:cs="Times New Roman"/>
          <w:sz w:val="24"/>
          <w:szCs w:val="24"/>
          <w:shd w:val="clear" w:color="auto" w:fill="FFFFFF"/>
        </w:rPr>
        <w:t>doprecyzowanie odzwierciedla w lepszym stopniu pojęcie rezydencji</w:t>
      </w:r>
      <w:r w:rsidR="00892E77" w:rsidRPr="00DB3E1C">
        <w:rPr>
          <w:rFonts w:ascii="Times New Roman" w:eastAsia="Times New Roman" w:hAnsi="Times New Roman" w:cs="Times New Roman"/>
          <w:sz w:val="24"/>
          <w:szCs w:val="24"/>
          <w:shd w:val="clear" w:color="auto" w:fill="FFFFFF"/>
        </w:rPr>
        <w:t xml:space="preserve"> podatkowej</w:t>
      </w:r>
      <w:r w:rsidR="00481A7D" w:rsidRPr="00DB3E1C">
        <w:rPr>
          <w:rFonts w:ascii="Times New Roman" w:eastAsia="Times New Roman" w:hAnsi="Times New Roman" w:cs="Times New Roman"/>
          <w:sz w:val="24"/>
          <w:szCs w:val="24"/>
          <w:shd w:val="clear" w:color="auto" w:fill="FFFFFF"/>
        </w:rPr>
        <w:t>, którą wyznacza się</w:t>
      </w:r>
      <w:r w:rsidR="001C0852">
        <w:rPr>
          <w:rFonts w:ascii="Times New Roman" w:eastAsia="Times New Roman" w:hAnsi="Times New Roman" w:cs="Times New Roman"/>
          <w:sz w:val="24"/>
          <w:szCs w:val="24"/>
          <w:shd w:val="clear" w:color="auto" w:fill="FFFFFF"/>
        </w:rPr>
        <w:t>,</w:t>
      </w:r>
      <w:r w:rsidR="00481A7D" w:rsidRPr="00DB3E1C">
        <w:rPr>
          <w:rFonts w:ascii="Times New Roman" w:eastAsia="Times New Roman" w:hAnsi="Times New Roman" w:cs="Times New Roman"/>
          <w:sz w:val="24"/>
          <w:szCs w:val="24"/>
          <w:shd w:val="clear" w:color="auto" w:fill="FFFFFF"/>
        </w:rPr>
        <w:t xml:space="preserve"> co do zasady</w:t>
      </w:r>
      <w:r w:rsidR="001C71BC" w:rsidRPr="00DB3E1C">
        <w:rPr>
          <w:rFonts w:ascii="Times New Roman" w:eastAsia="Times New Roman" w:hAnsi="Times New Roman" w:cs="Times New Roman"/>
          <w:sz w:val="24"/>
          <w:szCs w:val="24"/>
          <w:shd w:val="clear" w:color="auto" w:fill="FFFFFF"/>
        </w:rPr>
        <w:t>, w przepisach wielu państw i w kontekście umów o unikanie podwójnego opodatkowania,</w:t>
      </w:r>
      <w:r w:rsidR="00481A7D" w:rsidRPr="00DB3E1C">
        <w:rPr>
          <w:rFonts w:ascii="Times New Roman" w:eastAsia="Times New Roman" w:hAnsi="Times New Roman" w:cs="Times New Roman"/>
          <w:sz w:val="24"/>
          <w:szCs w:val="24"/>
          <w:shd w:val="clear" w:color="auto" w:fill="FFFFFF"/>
        </w:rPr>
        <w:t xml:space="preserve"> w zależności od siedziby lub efektywnego zarządu w danym państwie.</w:t>
      </w:r>
    </w:p>
    <w:p w14:paraId="383CB58F" w14:textId="326AD35B" w:rsidR="00E129AB" w:rsidRPr="00DB3E1C" w:rsidRDefault="00E129AB" w:rsidP="00DB3E1C">
      <w:pPr>
        <w:autoSpaceDE w:val="0"/>
        <w:autoSpaceDN w:val="0"/>
        <w:spacing w:before="240" w:line="360" w:lineRule="auto"/>
        <w:jc w:val="both"/>
        <w:rPr>
          <w:rFonts w:ascii="Times New Roman" w:eastAsia="Times New Roman" w:hAnsi="Times New Roman" w:cs="Times New Roman"/>
          <w:sz w:val="24"/>
          <w:szCs w:val="24"/>
          <w:shd w:val="clear" w:color="auto" w:fill="FFFFFF"/>
        </w:rPr>
      </w:pPr>
      <w:r w:rsidRPr="00DB3E1C">
        <w:rPr>
          <w:rFonts w:ascii="Times New Roman" w:eastAsia="Times New Roman" w:hAnsi="Times New Roman" w:cs="Times New Roman"/>
          <w:sz w:val="24"/>
          <w:szCs w:val="24"/>
          <w:shd w:val="clear" w:color="auto" w:fill="FFFFFF"/>
        </w:rPr>
        <w:t xml:space="preserve">Tym samym po zmianie zagraniczne fundusze inwestycyjne lub fundusze emerytalne będą spełniać omawiany warunek z lit. a, jeżeli podlegają opodatkowaniu podatkiem dochodowym od całości swoich dochodów, bez względu na miejsce ich osiągania, w państwie siedziby funduszu albo w innym państwie, jeżeli to w tym innym państwie dany fundusz posiada rezydencję podatkową (podlega nieograniczonemu obowiązkowi podatkowemu). Oznacza to, że jeżeli fundusz posiada siedzibę w danym państwie, lecz w innym państwie </w:t>
      </w:r>
      <w:r w:rsidR="001C0852">
        <w:rPr>
          <w:rFonts w:ascii="Times New Roman" w:eastAsia="Times New Roman" w:hAnsi="Times New Roman" w:cs="Times New Roman"/>
          <w:sz w:val="24"/>
          <w:szCs w:val="24"/>
          <w:shd w:val="clear" w:color="auto" w:fill="FFFFFF"/>
        </w:rPr>
        <w:t>–</w:t>
      </w:r>
      <w:r w:rsidRPr="00DB3E1C">
        <w:rPr>
          <w:rFonts w:ascii="Times New Roman" w:eastAsia="Times New Roman" w:hAnsi="Times New Roman" w:cs="Times New Roman"/>
          <w:sz w:val="24"/>
          <w:szCs w:val="24"/>
          <w:shd w:val="clear" w:color="auto" w:fill="FFFFFF"/>
        </w:rPr>
        <w:t xml:space="preserve"> z uwagi na sprawowanie efektywnego zarządu z tego innego państwa </w:t>
      </w:r>
      <w:r w:rsidR="007124A9" w:rsidRPr="00DB3E1C">
        <w:rPr>
          <w:rFonts w:ascii="Times New Roman" w:eastAsia="Times New Roman" w:hAnsi="Times New Roman" w:cs="Times New Roman"/>
          <w:sz w:val="24"/>
          <w:szCs w:val="24"/>
          <w:shd w:val="clear" w:color="auto" w:fill="FFFFFF"/>
        </w:rPr>
        <w:t>w rozumieniu właściwej umowy o unikaniu podwójnego opodatkowania</w:t>
      </w:r>
      <w:r w:rsidR="00CD0D44" w:rsidRPr="00DB3E1C">
        <w:rPr>
          <w:rFonts w:ascii="Times New Roman" w:eastAsia="Times New Roman" w:hAnsi="Times New Roman" w:cs="Times New Roman"/>
          <w:sz w:val="24"/>
          <w:szCs w:val="24"/>
          <w:shd w:val="clear" w:color="auto" w:fill="FFFFFF"/>
        </w:rPr>
        <w:t xml:space="preserve"> </w:t>
      </w:r>
      <w:r w:rsidR="001C0852">
        <w:rPr>
          <w:rFonts w:ascii="Times New Roman" w:eastAsia="Times New Roman" w:hAnsi="Times New Roman" w:cs="Times New Roman"/>
          <w:sz w:val="24"/>
          <w:szCs w:val="24"/>
          <w:shd w:val="clear" w:color="auto" w:fill="FFFFFF"/>
        </w:rPr>
        <w:t>–</w:t>
      </w:r>
      <w:r w:rsidRPr="00DB3E1C">
        <w:rPr>
          <w:rFonts w:ascii="Times New Roman" w:eastAsia="Times New Roman" w:hAnsi="Times New Roman" w:cs="Times New Roman"/>
          <w:sz w:val="24"/>
          <w:szCs w:val="24"/>
          <w:shd w:val="clear" w:color="auto" w:fill="FFFFFF"/>
        </w:rPr>
        <w:t xml:space="preserve"> występuje jako podatnik CIT, fundusz ten będzie mógł wykazać spełnienie warunku zawartego w art. 6 ust. 1 pkt 10a lit. a (oraz pkt 11a lit.</w:t>
      </w:r>
      <w:r w:rsidR="002013FE" w:rsidRPr="00DB3E1C">
        <w:rPr>
          <w:rFonts w:ascii="Times New Roman" w:eastAsia="Times New Roman" w:hAnsi="Times New Roman" w:cs="Times New Roman"/>
          <w:sz w:val="24"/>
          <w:szCs w:val="24"/>
          <w:shd w:val="clear" w:color="auto" w:fill="FFFFFF"/>
        </w:rPr>
        <w:t xml:space="preserve"> </w:t>
      </w:r>
      <w:r w:rsidRPr="00DB3E1C">
        <w:rPr>
          <w:rFonts w:ascii="Times New Roman" w:eastAsia="Times New Roman" w:hAnsi="Times New Roman" w:cs="Times New Roman"/>
          <w:sz w:val="24"/>
          <w:szCs w:val="24"/>
          <w:shd w:val="clear" w:color="auto" w:fill="FFFFFF"/>
        </w:rPr>
        <w:t>a)</w:t>
      </w:r>
      <w:r w:rsidR="001C0852">
        <w:rPr>
          <w:rFonts w:ascii="Times New Roman" w:eastAsia="Times New Roman" w:hAnsi="Times New Roman" w:cs="Times New Roman"/>
          <w:sz w:val="24"/>
          <w:szCs w:val="24"/>
          <w:shd w:val="clear" w:color="auto" w:fill="FFFFFF"/>
        </w:rPr>
        <w:t>,</w:t>
      </w:r>
      <w:r w:rsidRPr="00DB3E1C">
        <w:rPr>
          <w:rFonts w:ascii="Times New Roman" w:eastAsia="Times New Roman" w:hAnsi="Times New Roman" w:cs="Times New Roman"/>
          <w:sz w:val="24"/>
          <w:szCs w:val="24"/>
          <w:shd w:val="clear" w:color="auto" w:fill="FFFFFF"/>
        </w:rPr>
        <w:t xml:space="preserve"> odwołując się do państwa, w którym podlega de facto nieograniczonemu obowiązkowi podatkowemu i występuje jako podatnik CIT. </w:t>
      </w:r>
    </w:p>
    <w:p w14:paraId="122916E9" w14:textId="43139DC5" w:rsidR="00E129AB" w:rsidRPr="00DB3E1C" w:rsidRDefault="00E129AB" w:rsidP="00DB3E1C">
      <w:pPr>
        <w:autoSpaceDE w:val="0"/>
        <w:autoSpaceDN w:val="0"/>
        <w:spacing w:before="240" w:line="360" w:lineRule="auto"/>
        <w:jc w:val="both"/>
        <w:rPr>
          <w:rFonts w:ascii="Times New Roman" w:eastAsia="Times New Roman" w:hAnsi="Times New Roman" w:cs="Times New Roman"/>
          <w:sz w:val="24"/>
          <w:szCs w:val="24"/>
          <w:shd w:val="clear" w:color="auto" w:fill="FFFFFF"/>
        </w:rPr>
      </w:pPr>
      <w:r w:rsidRPr="00DB3E1C">
        <w:rPr>
          <w:rFonts w:ascii="Times New Roman" w:eastAsia="Times New Roman" w:hAnsi="Times New Roman" w:cs="Times New Roman"/>
          <w:sz w:val="24"/>
          <w:szCs w:val="24"/>
          <w:shd w:val="clear" w:color="auto" w:fill="FFFFFF"/>
        </w:rPr>
        <w:t xml:space="preserve">Zatem uzupełnienie przepisu poprzez dodanie wyrazów „lub zarządu” wpisuje się bardziej spójnie </w:t>
      </w:r>
      <w:r w:rsidR="001C71BC" w:rsidRPr="00DB3E1C">
        <w:rPr>
          <w:rFonts w:ascii="Times New Roman" w:eastAsia="Times New Roman" w:hAnsi="Times New Roman" w:cs="Times New Roman"/>
          <w:sz w:val="24"/>
          <w:szCs w:val="24"/>
          <w:shd w:val="clear" w:color="auto" w:fill="FFFFFF"/>
        </w:rPr>
        <w:t xml:space="preserve">w </w:t>
      </w:r>
      <w:r w:rsidRPr="00DB3E1C">
        <w:rPr>
          <w:rFonts w:ascii="Times New Roman" w:eastAsia="Times New Roman" w:hAnsi="Times New Roman" w:cs="Times New Roman"/>
          <w:sz w:val="24"/>
          <w:szCs w:val="24"/>
          <w:shd w:val="clear" w:color="auto" w:fill="FFFFFF"/>
        </w:rPr>
        <w:t xml:space="preserve">koncepcję rezydencji podatkowej. </w:t>
      </w:r>
    </w:p>
    <w:p w14:paraId="1E33E6E2" w14:textId="4217FF48" w:rsidR="005D00BA" w:rsidRPr="00DB3E1C" w:rsidRDefault="005D00BA" w:rsidP="00DB3E1C">
      <w:pPr>
        <w:autoSpaceDE w:val="0"/>
        <w:autoSpaceDN w:val="0"/>
        <w:spacing w:before="240" w:line="360" w:lineRule="auto"/>
        <w:jc w:val="both"/>
        <w:rPr>
          <w:rFonts w:ascii="Times New Roman" w:eastAsia="Times New Roman" w:hAnsi="Times New Roman" w:cs="Times New Roman"/>
          <w:sz w:val="24"/>
          <w:szCs w:val="24"/>
          <w:shd w:val="clear" w:color="auto" w:fill="FFFFFF"/>
        </w:rPr>
      </w:pPr>
      <w:r w:rsidRPr="00DB3E1C">
        <w:rPr>
          <w:rFonts w:ascii="Times New Roman" w:hAnsi="Times New Roman" w:cs="Times New Roman"/>
          <w:sz w:val="24"/>
          <w:szCs w:val="24"/>
        </w:rPr>
        <w:t xml:space="preserve">Zmiana ta wpisuje się </w:t>
      </w:r>
      <w:r w:rsidR="00825340" w:rsidRPr="00DB3E1C">
        <w:rPr>
          <w:rFonts w:ascii="Times New Roman" w:hAnsi="Times New Roman" w:cs="Times New Roman"/>
          <w:sz w:val="24"/>
          <w:szCs w:val="24"/>
        </w:rPr>
        <w:t xml:space="preserve">również </w:t>
      </w:r>
      <w:r w:rsidRPr="00DB3E1C">
        <w:rPr>
          <w:rFonts w:ascii="Times New Roman" w:hAnsi="Times New Roman" w:cs="Times New Roman"/>
          <w:sz w:val="24"/>
          <w:szCs w:val="24"/>
        </w:rPr>
        <w:t xml:space="preserve">w założenia „anty-dyskryminacyjne” wyrażane w orzecznictwie TSUE. Jak bowiem wskazano wcześniej, z linii orzeczniczej TSUE wynika, że państwa członkowskie nie mogą traktować funduszy inwestycyjnych mniej korzystnie ze względu na rezydencję w danym państwie – narusza to zasadę swobodnego przepływu kapitału (art. 63 TFUE). </w:t>
      </w:r>
      <w:bookmarkStart w:id="9" w:name="_Hlk198638085"/>
      <w:r w:rsidRPr="00DB3E1C">
        <w:rPr>
          <w:rFonts w:ascii="Times New Roman" w:eastAsia="Times New Roman" w:hAnsi="Times New Roman" w:cs="Times New Roman"/>
          <w:sz w:val="24"/>
          <w:szCs w:val="24"/>
          <w:lang w:eastAsia="pl-PL"/>
        </w:rPr>
        <w:t xml:space="preserve">Przykładowe wyroki TSUE w tym zakresie obejmują sprawy </w:t>
      </w:r>
      <w:r w:rsidRPr="00DB3E1C">
        <w:rPr>
          <w:rFonts w:ascii="Times New Roman" w:hAnsi="Times New Roman" w:cs="Times New Roman"/>
          <w:sz w:val="24"/>
          <w:szCs w:val="24"/>
        </w:rPr>
        <w:t>Aberdeen Property Fininvest Alpha (C-303/07), Santander (C-338/11), Allianzgi-Fonds (C-545/19</w:t>
      </w:r>
      <w:r w:rsidRPr="00DB3E1C">
        <w:rPr>
          <w:rFonts w:ascii="Times New Roman" w:hAnsi="Times New Roman" w:cs="Times New Roman"/>
          <w:i/>
          <w:iCs/>
          <w:sz w:val="24"/>
          <w:szCs w:val="24"/>
        </w:rPr>
        <w:t>)</w:t>
      </w:r>
      <w:bookmarkEnd w:id="9"/>
      <w:r w:rsidRPr="00DB3E1C">
        <w:rPr>
          <w:rFonts w:ascii="Times New Roman" w:hAnsi="Times New Roman" w:cs="Times New Roman"/>
          <w:i/>
          <w:iCs/>
          <w:sz w:val="24"/>
          <w:szCs w:val="24"/>
        </w:rPr>
        <w:t xml:space="preserve"> </w:t>
      </w:r>
      <w:r w:rsidRPr="00DB3E1C">
        <w:rPr>
          <w:rFonts w:ascii="Times New Roman" w:hAnsi="Times New Roman" w:cs="Times New Roman"/>
          <w:sz w:val="24"/>
          <w:szCs w:val="24"/>
        </w:rPr>
        <w:t>lub</w:t>
      </w:r>
      <w:r w:rsidRPr="00DB3E1C">
        <w:rPr>
          <w:rFonts w:ascii="Times New Roman" w:hAnsi="Times New Roman" w:cs="Times New Roman"/>
          <w:i/>
          <w:iCs/>
          <w:sz w:val="24"/>
          <w:szCs w:val="24"/>
        </w:rPr>
        <w:t xml:space="preserve"> </w:t>
      </w:r>
      <w:r w:rsidRPr="00DB3E1C">
        <w:rPr>
          <w:rStyle w:val="Uwydatnienie"/>
          <w:rFonts w:ascii="Times New Roman" w:hAnsi="Times New Roman" w:cs="Times New Roman"/>
          <w:i w:val="0"/>
          <w:iCs w:val="0"/>
          <w:sz w:val="24"/>
          <w:szCs w:val="24"/>
        </w:rPr>
        <w:t xml:space="preserve">SCPI v. </w:t>
      </w:r>
      <w:r w:rsidRPr="00DB3E1C">
        <w:rPr>
          <w:rStyle w:val="Uwydatnienie"/>
          <w:rFonts w:ascii="Times New Roman" w:hAnsi="Times New Roman" w:cs="Times New Roman"/>
          <w:i w:val="0"/>
          <w:iCs w:val="0"/>
          <w:sz w:val="24"/>
          <w:szCs w:val="24"/>
        </w:rPr>
        <w:lastRenderedPageBreak/>
        <w:t>Finland</w:t>
      </w:r>
      <w:r w:rsidRPr="00DB3E1C">
        <w:rPr>
          <w:rFonts w:ascii="Times New Roman" w:hAnsi="Times New Roman" w:cs="Times New Roman"/>
          <w:sz w:val="24"/>
          <w:szCs w:val="24"/>
        </w:rPr>
        <w:t xml:space="preserve"> (C-342/20). Dyskryminacja ta może być bezpośrednia (np. odmowa zwolnienia podatkowego) lub pośrednia (np. uzależnienie preferencji od danej formy prawnej). Istotne są w tym zakresie względy porównywalności </w:t>
      </w:r>
      <w:r w:rsidR="001C0852">
        <w:rPr>
          <w:rFonts w:ascii="Times New Roman" w:hAnsi="Times New Roman" w:cs="Times New Roman"/>
          <w:sz w:val="24"/>
          <w:szCs w:val="24"/>
        </w:rPr>
        <w:t>–</w:t>
      </w:r>
      <w:r w:rsidRPr="00DB3E1C">
        <w:rPr>
          <w:rFonts w:ascii="Times New Roman" w:hAnsi="Times New Roman" w:cs="Times New Roman"/>
          <w:sz w:val="24"/>
          <w:szCs w:val="24"/>
        </w:rPr>
        <w:t xml:space="preserve"> fundusz z siedzibą w innym państwie powinien być traktowany jak krajowy, jeśli jego struktura, cel i sposób działania są porównywalne z funduszami krajowymi korzystającymi z preferencji.</w:t>
      </w:r>
    </w:p>
    <w:p w14:paraId="662C6FB6" w14:textId="2DA9577B" w:rsidR="00825340" w:rsidRPr="00DB3E1C" w:rsidRDefault="00825340" w:rsidP="00DB3E1C">
      <w:pPr>
        <w:autoSpaceDE w:val="0"/>
        <w:autoSpaceDN w:val="0"/>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 xml:space="preserve">Jeżeli zatem dany fundusz podlega opodatkowaniu od całości swoich dochodów w państwie swojego zarządu (jako państwie rezydencji) i spełnia pozostałe ustawowe warunki regulacyjne (w tym fundusz podlega odpowiedniemu nadzorowi, posiada depozytariusza i prowadzi działalność określonego rodzaju), mając na celu uniknięcie dyskryminacji na tle rezydencji podatkowej, fundusz ten powinien być uprawniony do zwolnienia na podobnych zasadach, jak pozostałe fundusze, które podlegają opodatkowaniu od całości dochodów w państwie swojej siedziby. </w:t>
      </w:r>
    </w:p>
    <w:p w14:paraId="2EA17973" w14:textId="548DD9DB" w:rsidR="00825340" w:rsidRPr="00DB3E1C" w:rsidRDefault="005D00BA" w:rsidP="00DB3E1C">
      <w:pPr>
        <w:autoSpaceDE w:val="0"/>
        <w:autoSpaceDN w:val="0"/>
        <w:spacing w:before="240" w:line="360" w:lineRule="auto"/>
        <w:jc w:val="both"/>
        <w:rPr>
          <w:rFonts w:ascii="Times New Roman" w:hAnsi="Times New Roman" w:cs="Times New Roman"/>
          <w:sz w:val="24"/>
          <w:szCs w:val="24"/>
        </w:rPr>
      </w:pPr>
      <w:r w:rsidRPr="00DB3E1C">
        <w:rPr>
          <w:rFonts w:ascii="Times New Roman" w:eastAsia="Times New Roman" w:hAnsi="Times New Roman" w:cs="Times New Roman"/>
          <w:sz w:val="24"/>
          <w:szCs w:val="24"/>
          <w:shd w:val="clear" w:color="auto" w:fill="FFFFFF"/>
        </w:rPr>
        <w:t>N</w:t>
      </w:r>
      <w:r w:rsidR="00481A7D" w:rsidRPr="00DB3E1C">
        <w:rPr>
          <w:rFonts w:ascii="Times New Roman" w:eastAsia="Times New Roman" w:hAnsi="Times New Roman" w:cs="Times New Roman"/>
          <w:sz w:val="24"/>
          <w:szCs w:val="24"/>
          <w:shd w:val="clear" w:color="auto" w:fill="FFFFFF"/>
        </w:rPr>
        <w:t xml:space="preserve">ależy zauważyć, że warunek </w:t>
      </w:r>
      <w:r w:rsidR="00481A7D" w:rsidRPr="00DB3E1C">
        <w:rPr>
          <w:rFonts w:ascii="Times New Roman" w:eastAsia="Times New Roman" w:hAnsi="Times New Roman" w:cs="Times New Roman"/>
          <w:sz w:val="24"/>
          <w:szCs w:val="24"/>
        </w:rPr>
        <w:t>art. 6 ust. 1 pkt 10a lit. a ustawy CIT, po zmianach, będzie</w:t>
      </w:r>
      <w:r w:rsidR="006573D4" w:rsidRPr="00DB3E1C">
        <w:rPr>
          <w:rFonts w:ascii="Times New Roman" w:eastAsia="Times New Roman" w:hAnsi="Times New Roman" w:cs="Times New Roman"/>
          <w:sz w:val="24"/>
          <w:szCs w:val="24"/>
          <w:shd w:val="clear" w:color="auto" w:fill="FFFFFF"/>
        </w:rPr>
        <w:t xml:space="preserve"> spełniony również w przypadku, gdy instytucja wspólnego inwestowania posiada siedzibę w innym państwie, lecz podlega nieograniczonemu obowiązkow</w:t>
      </w:r>
      <w:r w:rsidR="001C71BC" w:rsidRPr="00DB3E1C">
        <w:rPr>
          <w:rFonts w:ascii="Times New Roman" w:eastAsia="Times New Roman" w:hAnsi="Times New Roman" w:cs="Times New Roman"/>
          <w:sz w:val="24"/>
          <w:szCs w:val="24"/>
          <w:shd w:val="clear" w:color="auto" w:fill="FFFFFF"/>
        </w:rPr>
        <w:t>i</w:t>
      </w:r>
      <w:r w:rsidR="006573D4" w:rsidRPr="00DB3E1C">
        <w:rPr>
          <w:rFonts w:ascii="Times New Roman" w:eastAsia="Times New Roman" w:hAnsi="Times New Roman" w:cs="Times New Roman"/>
          <w:sz w:val="24"/>
          <w:szCs w:val="24"/>
          <w:shd w:val="clear" w:color="auto" w:fill="FFFFFF"/>
        </w:rPr>
        <w:t xml:space="preserve"> podatkowemu na terytorium Rzeczypospolitej Polskiej na podstawie art. 3 ust. 1 ustawy CIT</w:t>
      </w:r>
      <w:r w:rsidR="00481A7D" w:rsidRPr="00DB3E1C">
        <w:rPr>
          <w:rFonts w:ascii="Times New Roman" w:eastAsia="Times New Roman" w:hAnsi="Times New Roman" w:cs="Times New Roman"/>
          <w:sz w:val="24"/>
          <w:szCs w:val="24"/>
          <w:shd w:val="clear" w:color="auto" w:fill="FFFFFF"/>
        </w:rPr>
        <w:t xml:space="preserve"> (a zatem </w:t>
      </w:r>
      <w:r w:rsidR="00E312B4" w:rsidRPr="00DB3E1C">
        <w:rPr>
          <w:rFonts w:ascii="Times New Roman" w:eastAsia="Times New Roman" w:hAnsi="Times New Roman" w:cs="Times New Roman"/>
          <w:sz w:val="24"/>
          <w:szCs w:val="24"/>
          <w:shd w:val="clear" w:color="auto" w:fill="FFFFFF"/>
        </w:rPr>
        <w:t>jest</w:t>
      </w:r>
      <w:r w:rsidR="00481A7D" w:rsidRPr="00DB3E1C">
        <w:rPr>
          <w:rFonts w:ascii="Times New Roman" w:eastAsia="Times New Roman" w:hAnsi="Times New Roman" w:cs="Times New Roman"/>
          <w:sz w:val="24"/>
          <w:szCs w:val="24"/>
          <w:shd w:val="clear" w:color="auto" w:fill="FFFFFF"/>
        </w:rPr>
        <w:t xml:space="preserve"> polskim rezydentem podatkowym)</w:t>
      </w:r>
      <w:r w:rsidR="006573D4" w:rsidRPr="00DB3E1C">
        <w:rPr>
          <w:rFonts w:ascii="Times New Roman" w:eastAsia="Times New Roman" w:hAnsi="Times New Roman" w:cs="Times New Roman"/>
          <w:sz w:val="24"/>
          <w:szCs w:val="24"/>
          <w:shd w:val="clear" w:color="auto" w:fill="FFFFFF"/>
        </w:rPr>
        <w:t>.</w:t>
      </w:r>
      <w:r w:rsidR="003711B8" w:rsidRPr="00DB3E1C">
        <w:rPr>
          <w:rFonts w:ascii="Times New Roman" w:eastAsia="Times New Roman" w:hAnsi="Times New Roman" w:cs="Times New Roman"/>
          <w:sz w:val="24"/>
          <w:szCs w:val="24"/>
          <w:shd w:val="clear" w:color="auto" w:fill="FFFFFF"/>
        </w:rPr>
        <w:t xml:space="preserve"> </w:t>
      </w:r>
      <w:r w:rsidR="00825340" w:rsidRPr="00DB3E1C">
        <w:rPr>
          <w:rFonts w:ascii="Times New Roman" w:hAnsi="Times New Roman" w:cs="Times New Roman"/>
          <w:sz w:val="24"/>
          <w:szCs w:val="24"/>
        </w:rPr>
        <w:t xml:space="preserve">Jeżeli zatem dany fundusz podlega opodatkowaniu od całości swoich dochodów w państwie swojego zarządu (jako państwie rezydencji) i spełnia pozostałe ustawowe warunki regulacyjne (w tym fundusz podlega odpowiedniemu nadzorowi, posiada depozytariusza i prowadzi działalność określonego rodzaju), mając na celu uniknięcie dyskryminacji na tle rezydencji podatkowej, fundusz ten powinien być uprawniony do zwolnienia na podobnych zasadach, jak pozostałe fundusze, które podlegają opodatkowaniu od całości dochodów w państwie swojej siedziby. </w:t>
      </w:r>
    </w:p>
    <w:p w14:paraId="2E07B803" w14:textId="1EEBD892" w:rsidR="00ED6CF6" w:rsidRPr="00DB3E1C" w:rsidRDefault="005D00BA" w:rsidP="00DB3E1C">
      <w:pPr>
        <w:autoSpaceDE w:val="0"/>
        <w:autoSpaceDN w:val="0"/>
        <w:spacing w:before="240" w:line="360" w:lineRule="auto"/>
        <w:jc w:val="both"/>
        <w:rPr>
          <w:rFonts w:ascii="Times New Roman" w:hAnsi="Times New Roman" w:cs="Times New Roman"/>
          <w:sz w:val="24"/>
          <w:szCs w:val="24"/>
        </w:rPr>
      </w:pPr>
      <w:r w:rsidRPr="00DB3E1C">
        <w:rPr>
          <w:rFonts w:ascii="Times New Roman" w:hAnsi="Times New Roman" w:cs="Times New Roman"/>
          <w:sz w:val="24"/>
          <w:szCs w:val="24"/>
        </w:rPr>
        <w:t>Powyższe dotyczy również funduszy z siedzibą w innym państwie niż Rzeczpospolita Polska, lecz będących polskimi rezydentami. Jeżeli taki fundusz podlega opodatkowaniu od całości dochodów na terytorium Rzeczpospolitej Polskiej i spełni pozostałe regulacyjne warunki ustawowe, powinien być uprawniony do zwolnienia podobnie jak inne fundusze zagraniczne (oraz na zasadach porównywalności do krajowych funduszy inwestycyjnych).</w:t>
      </w:r>
    </w:p>
    <w:p w14:paraId="2D38F543" w14:textId="60EB8E08" w:rsidR="00825340" w:rsidRPr="00DB3E1C" w:rsidRDefault="005D00BA" w:rsidP="00DB3E1C">
      <w:pPr>
        <w:spacing w:before="240" w:after="120" w:line="360" w:lineRule="auto"/>
        <w:jc w:val="both"/>
        <w:rPr>
          <w:rFonts w:ascii="Times New Roman" w:eastAsia="Times New Roman" w:hAnsi="Times New Roman" w:cs="Times New Roman"/>
          <w:bCs/>
          <w:sz w:val="24"/>
          <w:szCs w:val="24"/>
          <w:lang w:eastAsia="pl-PL"/>
        </w:rPr>
      </w:pPr>
      <w:r w:rsidRPr="00DB3E1C">
        <w:rPr>
          <w:rFonts w:ascii="Times New Roman" w:eastAsia="Times New Roman" w:hAnsi="Times New Roman" w:cs="Times New Roman"/>
          <w:sz w:val="24"/>
          <w:szCs w:val="24"/>
          <w:shd w:val="clear" w:color="auto" w:fill="FFFFFF"/>
        </w:rPr>
        <w:t xml:space="preserve">Finalnie należy zauważyć, że omawiany warunek </w:t>
      </w:r>
      <w:r w:rsidRPr="00DB3E1C">
        <w:rPr>
          <w:rFonts w:ascii="Times New Roman" w:eastAsia="Times New Roman" w:hAnsi="Times New Roman" w:cs="Times New Roman"/>
          <w:b/>
          <w:bCs/>
          <w:sz w:val="24"/>
          <w:szCs w:val="24"/>
          <w:shd w:val="clear" w:color="auto" w:fill="FFFFFF"/>
        </w:rPr>
        <w:t>dotyczy wprost funduszu</w:t>
      </w:r>
      <w:r w:rsidRPr="00DB3E1C">
        <w:rPr>
          <w:rFonts w:ascii="Times New Roman" w:eastAsia="Times New Roman" w:hAnsi="Times New Roman" w:cs="Times New Roman"/>
          <w:sz w:val="24"/>
          <w:szCs w:val="24"/>
          <w:shd w:val="clear" w:color="auto" w:fill="FFFFFF"/>
        </w:rPr>
        <w:t xml:space="preserve"> (instytucji wspólnego inwestowania lub podmiotu prowadzącego program emerytalny), a </w:t>
      </w:r>
      <w:r w:rsidRPr="00DB3E1C">
        <w:rPr>
          <w:rFonts w:ascii="Times New Roman" w:eastAsia="Times New Roman" w:hAnsi="Times New Roman" w:cs="Times New Roman"/>
          <w:b/>
          <w:bCs/>
          <w:sz w:val="24"/>
          <w:szCs w:val="24"/>
          <w:shd w:val="clear" w:color="auto" w:fill="FFFFFF"/>
        </w:rPr>
        <w:t>nie dotyczy spółki zarządzającej funduszem</w:t>
      </w:r>
      <w:r w:rsidRPr="00DB3E1C">
        <w:rPr>
          <w:rFonts w:ascii="Times New Roman" w:eastAsia="Times New Roman" w:hAnsi="Times New Roman" w:cs="Times New Roman"/>
          <w:sz w:val="24"/>
          <w:szCs w:val="24"/>
          <w:shd w:val="clear" w:color="auto" w:fill="FFFFFF"/>
        </w:rPr>
        <w:t xml:space="preserve"> (jeżeli dany fundusz zarządzany jest zewnętrznie). Oznacza </w:t>
      </w:r>
      <w:r w:rsidRPr="00DB3E1C">
        <w:rPr>
          <w:rFonts w:ascii="Times New Roman" w:eastAsia="Times New Roman" w:hAnsi="Times New Roman" w:cs="Times New Roman"/>
          <w:sz w:val="24"/>
          <w:szCs w:val="24"/>
          <w:shd w:val="clear" w:color="auto" w:fill="FFFFFF"/>
        </w:rPr>
        <w:lastRenderedPageBreak/>
        <w:t>to, że fundusz nie będzie mógł wykazać spełnienia omawianego warunku poprzez odwołanie się do państwa rezydencji spółki zarządzającej i przedstawienie jej certyfikatu rezydencji. Proponowana zmiana nie ma na celu umożliwienie arbitralności, tj. wyboru pomiędzy państwem rezydencji funduszu a państwem rezydencji spółki zarządzającej, w celu uzyskania potencjalnych korzyści podatkowych. Tego typu działania byłyby wprost sprzeczne z celem niniejszego przepisu.</w:t>
      </w:r>
    </w:p>
    <w:p w14:paraId="3BDC3C7E" w14:textId="2B0AC885" w:rsidR="007E400A" w:rsidRPr="00DB3E1C" w:rsidRDefault="00233203" w:rsidP="00DB3E1C">
      <w:pPr>
        <w:spacing w:before="240" w:after="240" w:line="360" w:lineRule="auto"/>
        <w:ind w:firstLine="425"/>
        <w:jc w:val="both"/>
        <w:rPr>
          <w:rFonts w:ascii="Times New Roman" w:eastAsia="Times New Roman" w:hAnsi="Times New Roman" w:cs="Times New Roman"/>
          <w:b/>
          <w:sz w:val="24"/>
          <w:szCs w:val="24"/>
          <w:lang w:eastAsia="pl-PL"/>
        </w:rPr>
      </w:pPr>
      <w:r w:rsidRPr="00DB3E1C">
        <w:rPr>
          <w:rFonts w:ascii="Times New Roman" w:eastAsia="Times New Roman" w:hAnsi="Times New Roman" w:cs="Times New Roman"/>
          <w:b/>
          <w:sz w:val="24"/>
          <w:szCs w:val="24"/>
          <w:lang w:eastAsia="pl-PL"/>
        </w:rPr>
        <w:t>5</w:t>
      </w:r>
      <w:r w:rsidR="00481A7D" w:rsidRPr="00DB3E1C">
        <w:rPr>
          <w:rFonts w:ascii="Times New Roman" w:eastAsia="Times New Roman" w:hAnsi="Times New Roman" w:cs="Times New Roman"/>
          <w:b/>
          <w:sz w:val="24"/>
          <w:szCs w:val="24"/>
          <w:lang w:eastAsia="pl-PL"/>
        </w:rPr>
        <w:t xml:space="preserve">. </w:t>
      </w:r>
      <w:r w:rsidR="00010C52" w:rsidRPr="00DB3E1C">
        <w:rPr>
          <w:rFonts w:ascii="Times New Roman" w:eastAsia="Times New Roman" w:hAnsi="Times New Roman" w:cs="Times New Roman"/>
          <w:b/>
          <w:sz w:val="24"/>
          <w:szCs w:val="24"/>
          <w:lang w:eastAsia="pl-PL"/>
        </w:rPr>
        <w:t>P</w:t>
      </w:r>
      <w:r w:rsidR="00481A7D" w:rsidRPr="00DB3E1C">
        <w:rPr>
          <w:rFonts w:ascii="Times New Roman" w:eastAsia="Times New Roman" w:hAnsi="Times New Roman" w:cs="Times New Roman"/>
          <w:b/>
          <w:sz w:val="24"/>
          <w:szCs w:val="24"/>
          <w:lang w:eastAsia="pl-PL"/>
        </w:rPr>
        <w:t>rzepisy</w:t>
      </w:r>
      <w:r w:rsidR="00010C52" w:rsidRPr="00DB3E1C">
        <w:rPr>
          <w:rFonts w:ascii="Times New Roman" w:eastAsia="Times New Roman" w:hAnsi="Times New Roman" w:cs="Times New Roman"/>
          <w:b/>
          <w:sz w:val="24"/>
          <w:szCs w:val="24"/>
          <w:lang w:eastAsia="pl-PL"/>
        </w:rPr>
        <w:t xml:space="preserve"> przejściowe i końcowe</w:t>
      </w:r>
      <w:r w:rsidR="00E646E3">
        <w:rPr>
          <w:rFonts w:ascii="Times New Roman" w:eastAsia="Times New Roman" w:hAnsi="Times New Roman" w:cs="Times New Roman"/>
          <w:b/>
          <w:sz w:val="24"/>
          <w:szCs w:val="24"/>
          <w:lang w:eastAsia="pl-PL"/>
        </w:rPr>
        <w:t>.</w:t>
      </w:r>
    </w:p>
    <w:p w14:paraId="408228F7" w14:textId="53ED167B" w:rsidR="00010C52" w:rsidRPr="00DB3E1C" w:rsidRDefault="00010C52" w:rsidP="00DB3E1C">
      <w:pPr>
        <w:pStyle w:val="ARTartustawynprozporzdzenia"/>
        <w:ind w:firstLine="0"/>
        <w:rPr>
          <w:rFonts w:ascii="Times New Roman" w:eastAsia="Times New Roman" w:hAnsi="Times New Roman" w:cs="Times New Roman"/>
          <w:bCs/>
          <w:szCs w:val="24"/>
        </w:rPr>
      </w:pPr>
      <w:r w:rsidRPr="00DB3E1C">
        <w:rPr>
          <w:rFonts w:ascii="Times New Roman" w:eastAsia="Times New Roman" w:hAnsi="Times New Roman" w:cs="Times New Roman"/>
          <w:bCs/>
          <w:szCs w:val="24"/>
        </w:rPr>
        <w:t>Zgodnie z art. 2 przepisy w znowelizowanym brzmieniu stosuje się</w:t>
      </w:r>
      <w:r w:rsidR="00E646E3">
        <w:rPr>
          <w:rFonts w:ascii="Times New Roman" w:eastAsia="Times New Roman" w:hAnsi="Times New Roman" w:cs="Times New Roman"/>
          <w:bCs/>
          <w:szCs w:val="24"/>
        </w:rPr>
        <w:t>,</w:t>
      </w:r>
      <w:r w:rsidRPr="00DB3E1C">
        <w:rPr>
          <w:rFonts w:ascii="Times New Roman" w:eastAsia="Times New Roman" w:hAnsi="Times New Roman" w:cs="Times New Roman"/>
          <w:bCs/>
          <w:szCs w:val="24"/>
        </w:rPr>
        <w:t xml:space="preserve"> co do zasady</w:t>
      </w:r>
      <w:r w:rsidR="00E646E3">
        <w:rPr>
          <w:rFonts w:ascii="Times New Roman" w:eastAsia="Times New Roman" w:hAnsi="Times New Roman" w:cs="Times New Roman"/>
          <w:bCs/>
          <w:szCs w:val="24"/>
        </w:rPr>
        <w:t>,</w:t>
      </w:r>
      <w:r w:rsidRPr="00DB3E1C">
        <w:rPr>
          <w:rFonts w:ascii="Times New Roman" w:eastAsia="Times New Roman" w:hAnsi="Times New Roman" w:cs="Times New Roman"/>
          <w:bCs/>
          <w:szCs w:val="24"/>
        </w:rPr>
        <w:t xml:space="preserve"> do dochodów (przychodów) </w:t>
      </w:r>
      <w:r w:rsidRPr="00DB3E1C">
        <w:rPr>
          <w:rFonts w:ascii="Times New Roman" w:hAnsi="Times New Roman" w:cs="Times New Roman"/>
          <w:bCs/>
          <w:szCs w:val="24"/>
        </w:rPr>
        <w:t>uzyskanych od dnia 1 stycznia 2026 r.</w:t>
      </w:r>
    </w:p>
    <w:p w14:paraId="58EF9BD7" w14:textId="47B4C330" w:rsidR="00481A7D" w:rsidRPr="00DB3E1C" w:rsidRDefault="00010C52" w:rsidP="00DB3E1C">
      <w:pPr>
        <w:pStyle w:val="ARTartustawynprozporzdzenia"/>
        <w:ind w:firstLine="0"/>
        <w:rPr>
          <w:rFonts w:ascii="Times New Roman" w:hAnsi="Times New Roman" w:cs="Times New Roman"/>
          <w:bCs/>
          <w:szCs w:val="24"/>
        </w:rPr>
      </w:pPr>
      <w:r w:rsidRPr="00DB3E1C">
        <w:rPr>
          <w:rFonts w:ascii="Times New Roman" w:eastAsia="Times New Roman" w:hAnsi="Times New Roman" w:cs="Times New Roman"/>
          <w:bCs/>
          <w:szCs w:val="24"/>
        </w:rPr>
        <w:t xml:space="preserve">Natomiast </w:t>
      </w:r>
      <w:r w:rsidR="007D5606" w:rsidRPr="00DB3E1C">
        <w:rPr>
          <w:rFonts w:ascii="Times New Roman" w:eastAsia="Times New Roman" w:hAnsi="Times New Roman" w:cs="Times New Roman"/>
          <w:bCs/>
          <w:szCs w:val="24"/>
        </w:rPr>
        <w:t>a</w:t>
      </w:r>
      <w:r w:rsidR="00481A7D" w:rsidRPr="00DB3E1C">
        <w:rPr>
          <w:rFonts w:ascii="Times New Roman" w:eastAsia="Times New Roman" w:hAnsi="Times New Roman" w:cs="Times New Roman"/>
          <w:bCs/>
          <w:szCs w:val="24"/>
        </w:rPr>
        <w:t xml:space="preserve">rt. </w:t>
      </w:r>
      <w:r w:rsidRPr="00DB3E1C">
        <w:rPr>
          <w:rFonts w:ascii="Times New Roman" w:eastAsia="Times New Roman" w:hAnsi="Times New Roman" w:cs="Times New Roman"/>
          <w:bCs/>
          <w:szCs w:val="24"/>
        </w:rPr>
        <w:t xml:space="preserve">3 </w:t>
      </w:r>
      <w:r w:rsidR="00481A7D" w:rsidRPr="00DB3E1C">
        <w:rPr>
          <w:rFonts w:ascii="Times New Roman" w:eastAsia="Times New Roman" w:hAnsi="Times New Roman" w:cs="Times New Roman"/>
          <w:bCs/>
          <w:szCs w:val="24"/>
        </w:rPr>
        <w:t>projektu wprowadza przepis przejściow</w:t>
      </w:r>
      <w:r w:rsidR="00F42C3D" w:rsidRPr="00DB3E1C">
        <w:rPr>
          <w:rFonts w:ascii="Times New Roman" w:eastAsia="Times New Roman" w:hAnsi="Times New Roman" w:cs="Times New Roman"/>
          <w:bCs/>
          <w:szCs w:val="24"/>
        </w:rPr>
        <w:t>y</w:t>
      </w:r>
      <w:r w:rsidR="00481A7D" w:rsidRPr="00DB3E1C">
        <w:rPr>
          <w:rFonts w:ascii="Times New Roman" w:eastAsia="Times New Roman" w:hAnsi="Times New Roman" w:cs="Times New Roman"/>
          <w:bCs/>
          <w:szCs w:val="24"/>
        </w:rPr>
        <w:t xml:space="preserve"> </w:t>
      </w:r>
      <w:r w:rsidR="00F42C3D" w:rsidRPr="00DB3E1C">
        <w:rPr>
          <w:rFonts w:ascii="Times New Roman" w:eastAsia="Times New Roman" w:hAnsi="Times New Roman" w:cs="Times New Roman"/>
          <w:bCs/>
          <w:szCs w:val="24"/>
        </w:rPr>
        <w:t xml:space="preserve">dotyczący </w:t>
      </w:r>
      <w:r w:rsidR="00481A7D" w:rsidRPr="00DB3E1C">
        <w:rPr>
          <w:rFonts w:ascii="Times New Roman" w:eastAsia="Times New Roman" w:hAnsi="Times New Roman" w:cs="Times New Roman"/>
          <w:bCs/>
          <w:szCs w:val="24"/>
        </w:rPr>
        <w:t>podatników z rokiem podatkowym innym niż rok kalendarzowy</w:t>
      </w:r>
      <w:r w:rsidRPr="00DB3E1C">
        <w:rPr>
          <w:rFonts w:ascii="Times New Roman" w:eastAsia="Times New Roman" w:hAnsi="Times New Roman" w:cs="Times New Roman"/>
          <w:bCs/>
          <w:szCs w:val="24"/>
        </w:rPr>
        <w:t xml:space="preserve"> (który rozpoczął się przed 1 stycznia 2026 r.)</w:t>
      </w:r>
      <w:r w:rsidR="00481A7D" w:rsidRPr="00DB3E1C">
        <w:rPr>
          <w:rFonts w:ascii="Times New Roman" w:eastAsia="Times New Roman" w:hAnsi="Times New Roman" w:cs="Times New Roman"/>
          <w:bCs/>
          <w:szCs w:val="24"/>
        </w:rPr>
        <w:t xml:space="preserve">. </w:t>
      </w:r>
      <w:r w:rsidRPr="00DB3E1C">
        <w:rPr>
          <w:rFonts w:ascii="Times New Roman" w:hAnsi="Times New Roman" w:cs="Times New Roman"/>
          <w:bCs/>
          <w:szCs w:val="24"/>
        </w:rPr>
        <w:t xml:space="preserve">W takim przypadku do końca roku podatkowego podatnicy ci stosują przepisy w brzmieniu dotychczasowym. </w:t>
      </w:r>
      <w:r w:rsidR="00E312B4" w:rsidRPr="00DB3E1C">
        <w:rPr>
          <w:rFonts w:ascii="Times New Roman" w:hAnsi="Times New Roman" w:cs="Times New Roman"/>
          <w:bCs/>
          <w:szCs w:val="24"/>
        </w:rPr>
        <w:t>Wskazany przepis przejściowy może dotyczyć w szczególności podatników, o których mowa w pkt 3 niniejszego uzasadnienia</w:t>
      </w:r>
      <w:r w:rsidRPr="00DB3E1C">
        <w:rPr>
          <w:rFonts w:ascii="Times New Roman" w:hAnsi="Times New Roman" w:cs="Times New Roman"/>
          <w:bCs/>
          <w:szCs w:val="24"/>
        </w:rPr>
        <w:t xml:space="preserve"> (funduszy inwestycyjnych, które podlegają nieograniczonemu obowiązkowi podatkowemu na terytorium Rzeczypospolitej Polskiej)</w:t>
      </w:r>
      <w:r w:rsidR="00E312B4" w:rsidRPr="00DB3E1C">
        <w:rPr>
          <w:rFonts w:ascii="Times New Roman" w:hAnsi="Times New Roman" w:cs="Times New Roman"/>
          <w:bCs/>
          <w:szCs w:val="24"/>
        </w:rPr>
        <w:t>.</w:t>
      </w:r>
    </w:p>
    <w:p w14:paraId="5CE17C69" w14:textId="12242A95" w:rsidR="00801494" w:rsidRPr="00DB3E1C" w:rsidRDefault="00814095" w:rsidP="00DB3E1C">
      <w:pPr>
        <w:spacing w:before="120" w:after="240" w:line="360" w:lineRule="auto"/>
        <w:jc w:val="both"/>
        <w:rPr>
          <w:rFonts w:ascii="Times New Roman" w:eastAsia="Times New Roman" w:hAnsi="Times New Roman" w:cs="Times New Roman"/>
          <w:bCs/>
          <w:sz w:val="24"/>
          <w:szCs w:val="24"/>
          <w:lang w:eastAsia="pl-PL"/>
        </w:rPr>
      </w:pPr>
      <w:r w:rsidRPr="00DB3E1C">
        <w:rPr>
          <w:rFonts w:ascii="Times New Roman" w:eastAsia="Times New Roman" w:hAnsi="Times New Roman" w:cs="Times New Roman"/>
          <w:bCs/>
          <w:sz w:val="24"/>
          <w:szCs w:val="24"/>
          <w:lang w:eastAsia="pl-PL"/>
        </w:rPr>
        <w:t xml:space="preserve">Art. </w:t>
      </w:r>
      <w:r w:rsidR="00010C52" w:rsidRPr="00DB3E1C">
        <w:rPr>
          <w:rFonts w:ascii="Times New Roman" w:eastAsia="Times New Roman" w:hAnsi="Times New Roman" w:cs="Times New Roman"/>
          <w:bCs/>
          <w:sz w:val="24"/>
          <w:szCs w:val="24"/>
          <w:lang w:eastAsia="pl-PL"/>
        </w:rPr>
        <w:t>4</w:t>
      </w:r>
      <w:r w:rsidR="00010C52" w:rsidRPr="00DB3E1C">
        <w:rPr>
          <w:rFonts w:ascii="Times New Roman" w:eastAsia="Times New Roman" w:hAnsi="Times New Roman" w:cs="Times New Roman"/>
          <w:b/>
          <w:sz w:val="24"/>
          <w:szCs w:val="24"/>
          <w:lang w:eastAsia="pl-PL"/>
        </w:rPr>
        <w:t xml:space="preserve"> </w:t>
      </w:r>
      <w:r w:rsidR="00F137F4" w:rsidRPr="00DB3E1C">
        <w:rPr>
          <w:rFonts w:ascii="Times New Roman" w:eastAsia="Times New Roman" w:hAnsi="Times New Roman" w:cs="Times New Roman"/>
          <w:bCs/>
          <w:sz w:val="24"/>
          <w:szCs w:val="24"/>
          <w:lang w:eastAsia="pl-PL"/>
        </w:rPr>
        <w:t>stanowi</w:t>
      </w:r>
      <w:r w:rsidR="00E92F4F" w:rsidRPr="00DB3E1C">
        <w:rPr>
          <w:rFonts w:ascii="Times New Roman" w:eastAsia="Times New Roman" w:hAnsi="Times New Roman" w:cs="Times New Roman"/>
          <w:bCs/>
          <w:sz w:val="24"/>
          <w:szCs w:val="24"/>
          <w:lang w:eastAsia="pl-PL"/>
        </w:rPr>
        <w:t>, że projektowana ustawa wejdzie w życie z dniem 1 stycznia 202</w:t>
      </w:r>
      <w:r w:rsidR="00454D35" w:rsidRPr="00DB3E1C">
        <w:rPr>
          <w:rFonts w:ascii="Times New Roman" w:eastAsia="Times New Roman" w:hAnsi="Times New Roman" w:cs="Times New Roman"/>
          <w:bCs/>
          <w:sz w:val="24"/>
          <w:szCs w:val="24"/>
          <w:lang w:eastAsia="pl-PL"/>
        </w:rPr>
        <w:t>6</w:t>
      </w:r>
      <w:r w:rsidR="00E92F4F" w:rsidRPr="00DB3E1C">
        <w:rPr>
          <w:rFonts w:ascii="Times New Roman" w:eastAsia="Times New Roman" w:hAnsi="Times New Roman" w:cs="Times New Roman"/>
          <w:bCs/>
          <w:sz w:val="24"/>
          <w:szCs w:val="24"/>
          <w:lang w:eastAsia="pl-PL"/>
        </w:rPr>
        <w:t xml:space="preserve"> r.</w:t>
      </w:r>
      <w:r w:rsidR="00481A7D" w:rsidRPr="00DB3E1C">
        <w:rPr>
          <w:rFonts w:ascii="Times New Roman" w:eastAsia="Times New Roman" w:hAnsi="Times New Roman" w:cs="Times New Roman"/>
          <w:bCs/>
          <w:sz w:val="24"/>
          <w:szCs w:val="24"/>
          <w:lang w:eastAsia="pl-PL"/>
        </w:rPr>
        <w:t xml:space="preserve"> </w:t>
      </w:r>
      <w:r w:rsidR="00D8621B" w:rsidRPr="00DB3E1C">
        <w:rPr>
          <w:rFonts w:ascii="Times New Roman" w:eastAsia="Times New Roman" w:hAnsi="Times New Roman" w:cs="Times New Roman"/>
          <w:bCs/>
          <w:sz w:val="24"/>
          <w:szCs w:val="24"/>
          <w:lang w:eastAsia="pl-PL"/>
        </w:rPr>
        <w:t xml:space="preserve">Jak zaznaczono na wstępie, konieczne jest niezwłoczne wejście w życie projektowanych przepisów ze względu na dostosowanie przepisów CIT do prawa wspólnotowego. </w:t>
      </w:r>
      <w:r w:rsidR="00481A7D" w:rsidRPr="00DB3E1C">
        <w:rPr>
          <w:rFonts w:ascii="Times New Roman" w:eastAsia="Times New Roman" w:hAnsi="Times New Roman" w:cs="Times New Roman"/>
          <w:bCs/>
          <w:sz w:val="24"/>
          <w:szCs w:val="24"/>
          <w:lang w:eastAsia="pl-PL"/>
        </w:rPr>
        <w:t>Projektowane przepisy obejmują zmiany korzystne z perspektywy podatników</w:t>
      </w:r>
      <w:r w:rsidR="00D8621B" w:rsidRPr="00DB3E1C">
        <w:rPr>
          <w:rFonts w:ascii="Times New Roman" w:eastAsia="Times New Roman" w:hAnsi="Times New Roman" w:cs="Times New Roman"/>
          <w:bCs/>
          <w:sz w:val="24"/>
          <w:szCs w:val="24"/>
          <w:lang w:eastAsia="pl-PL"/>
        </w:rPr>
        <w:t xml:space="preserve"> (znaczące rozszerzenie prawa do zwolnienia), z pewnymi ograniczeniami przeciwdziałającymi nadużywaniu tego prawa</w:t>
      </w:r>
      <w:r w:rsidR="00481A7D" w:rsidRPr="00DB3E1C">
        <w:rPr>
          <w:rFonts w:ascii="Times New Roman" w:eastAsia="Times New Roman" w:hAnsi="Times New Roman" w:cs="Times New Roman"/>
          <w:bCs/>
          <w:sz w:val="24"/>
          <w:szCs w:val="24"/>
          <w:lang w:eastAsia="pl-PL"/>
        </w:rPr>
        <w:t>.</w:t>
      </w:r>
    </w:p>
    <w:p w14:paraId="47D68374" w14:textId="15E5BE31" w:rsidR="003D2B1F" w:rsidRPr="00DB3E1C" w:rsidRDefault="00F543AF" w:rsidP="00DB3E1C">
      <w:pPr>
        <w:shd w:val="clear" w:color="auto" w:fill="FFFFFF" w:themeFill="background1"/>
        <w:spacing w:before="120" w:line="360" w:lineRule="auto"/>
        <w:jc w:val="both"/>
        <w:rPr>
          <w:rFonts w:ascii="Times New Roman" w:hAnsi="Times New Roman" w:cs="Times New Roman"/>
          <w:b/>
          <w:bCs/>
          <w:sz w:val="24"/>
          <w:szCs w:val="24"/>
          <w:lang w:eastAsia="pl-PL"/>
        </w:rPr>
      </w:pPr>
      <w:r w:rsidRPr="00DB3E1C">
        <w:rPr>
          <w:rFonts w:ascii="Times New Roman" w:hAnsi="Times New Roman" w:cs="Times New Roman"/>
          <w:b/>
          <w:bCs/>
          <w:sz w:val="24"/>
          <w:szCs w:val="24"/>
        </w:rPr>
        <w:t>III. DODATKOWE</w:t>
      </w:r>
      <w:r w:rsidRPr="00DB3E1C">
        <w:rPr>
          <w:rFonts w:ascii="Times New Roman" w:hAnsi="Times New Roman" w:cs="Times New Roman"/>
          <w:b/>
          <w:bCs/>
          <w:sz w:val="24"/>
          <w:szCs w:val="24"/>
          <w:lang w:eastAsia="pl-PL"/>
        </w:rPr>
        <w:t xml:space="preserve"> INFORMACJE</w:t>
      </w:r>
    </w:p>
    <w:p w14:paraId="0B7DE185" w14:textId="77777777" w:rsidR="003D2B1F" w:rsidRPr="00DB3E1C" w:rsidRDefault="003D2B1F" w:rsidP="00DB3E1C">
      <w:pPr>
        <w:shd w:val="clear" w:color="auto" w:fill="FFFFFF" w:themeFill="background1"/>
        <w:spacing w:before="12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 xml:space="preserve">Projekt ustawy jest zgodny z prawem Unii Europejskiej i nie podlega obowiązkowi przedstawienia właściwym instytucjom Unii Europejskiej, w tym Europejskiemu Bankowi Centralnemu, w celu uzyskania opinii, dokonania powiadomienia, konsultacji albo uzgodnienia. </w:t>
      </w:r>
    </w:p>
    <w:p w14:paraId="77415FC3" w14:textId="1609D444" w:rsidR="003D2B1F" w:rsidRPr="00DB3E1C" w:rsidRDefault="003D2B1F" w:rsidP="00DB3E1C">
      <w:pPr>
        <w:shd w:val="clear" w:color="auto" w:fill="FFFFFF" w:themeFill="background1"/>
        <w:spacing w:before="120" w:line="360" w:lineRule="auto"/>
        <w:jc w:val="both"/>
        <w:rPr>
          <w:rFonts w:ascii="Times New Roman" w:eastAsia="Times New Roman" w:hAnsi="Times New Roman" w:cs="Times New Roman"/>
          <w:sz w:val="24"/>
          <w:szCs w:val="24"/>
          <w:lang w:eastAsia="pl-PL"/>
        </w:rPr>
      </w:pPr>
      <w:r w:rsidRPr="00DB3E1C">
        <w:rPr>
          <w:rFonts w:ascii="Times New Roman" w:eastAsia="Times New Roman" w:hAnsi="Times New Roman" w:cs="Times New Roman"/>
          <w:sz w:val="24"/>
          <w:szCs w:val="24"/>
          <w:lang w:eastAsia="pl-PL"/>
        </w:rPr>
        <w:t>Projekt ustawy nie podlega procedurze notyfikacji aktów prawnych, określonej w przepisach rozporządzenia Rady Ministrów z dnia 23 grudnia 2002 r. w sprawie funkcjonowania krajowego systemu notyfikacji norm i aktów prawnych (Dz. U. poz. 2039, z późn. zm.).</w:t>
      </w:r>
    </w:p>
    <w:p w14:paraId="0AC2BAD9" w14:textId="737A392F" w:rsidR="006660EA" w:rsidRPr="00DB3E1C" w:rsidRDefault="003D2B1F" w:rsidP="00DB3E1C">
      <w:pPr>
        <w:shd w:val="clear" w:color="auto" w:fill="FFFFFF" w:themeFill="background1"/>
        <w:spacing w:before="120" w:line="360" w:lineRule="auto"/>
        <w:jc w:val="both"/>
        <w:rPr>
          <w:rFonts w:ascii="Times New Roman" w:eastAsia="Calibri" w:hAnsi="Times New Roman" w:cs="Times New Roman"/>
          <w:bCs/>
          <w:iCs/>
          <w:sz w:val="24"/>
          <w:szCs w:val="24"/>
        </w:rPr>
      </w:pPr>
      <w:r w:rsidRPr="00DB3E1C">
        <w:rPr>
          <w:rFonts w:ascii="Times New Roman" w:eastAsia="Times New Roman" w:hAnsi="Times New Roman" w:cs="Times New Roman"/>
          <w:sz w:val="24"/>
          <w:szCs w:val="24"/>
          <w:lang w:eastAsia="pl-PL"/>
        </w:rPr>
        <w:t>Projekt nie stwarza zagrożeń korupcyjnych.</w:t>
      </w:r>
    </w:p>
    <w:sectPr w:rsidR="006660EA" w:rsidRPr="00DB3E1C" w:rsidSect="00CC49C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E4F5" w14:textId="77777777" w:rsidR="00833367" w:rsidRDefault="00833367" w:rsidP="00B511B4">
      <w:r>
        <w:separator/>
      </w:r>
    </w:p>
  </w:endnote>
  <w:endnote w:type="continuationSeparator" w:id="0">
    <w:p w14:paraId="1D7204A9" w14:textId="77777777" w:rsidR="00833367" w:rsidRDefault="00833367" w:rsidP="00B5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Lato">
    <w:altName w:val="Segoe UI"/>
    <w:panose1 w:val="020F0502020204030203"/>
    <w:charset w:val="EE"/>
    <w:family w:val="swiss"/>
    <w:pitch w:val="variable"/>
    <w:sig w:usb0="800000AF" w:usb1="4000604A" w:usb2="00000000" w:usb3="00000000" w:csb0="00000093"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465224"/>
      <w:docPartObj>
        <w:docPartGallery w:val="Page Numbers (Bottom of Page)"/>
        <w:docPartUnique/>
      </w:docPartObj>
    </w:sdtPr>
    <w:sdtEndPr>
      <w:rPr>
        <w:rFonts w:ascii="Times New Roman" w:hAnsi="Times New Roman" w:cs="Times New Roman"/>
      </w:rPr>
    </w:sdtEndPr>
    <w:sdtContent>
      <w:p w14:paraId="06B7CA51" w14:textId="50CD378D" w:rsidR="001371B2" w:rsidRPr="00773A45" w:rsidRDefault="001371B2">
        <w:pPr>
          <w:pStyle w:val="Stopka"/>
          <w:jc w:val="center"/>
          <w:rPr>
            <w:rFonts w:ascii="Times New Roman" w:hAnsi="Times New Roman" w:cs="Times New Roman"/>
          </w:rPr>
        </w:pPr>
        <w:r w:rsidRPr="00CC49C0">
          <w:rPr>
            <w:rFonts w:ascii="Times New Roman" w:hAnsi="Times New Roman" w:cs="Times New Roman"/>
            <w:sz w:val="24"/>
            <w:szCs w:val="24"/>
          </w:rPr>
          <w:fldChar w:fldCharType="begin"/>
        </w:r>
        <w:r w:rsidRPr="00CC49C0">
          <w:rPr>
            <w:rFonts w:ascii="Times New Roman" w:hAnsi="Times New Roman" w:cs="Times New Roman"/>
            <w:sz w:val="24"/>
            <w:szCs w:val="24"/>
          </w:rPr>
          <w:instrText>PAGE   \* MERGEFORMAT</w:instrText>
        </w:r>
        <w:r w:rsidRPr="00CC49C0">
          <w:rPr>
            <w:rFonts w:ascii="Times New Roman" w:hAnsi="Times New Roman" w:cs="Times New Roman"/>
            <w:sz w:val="24"/>
            <w:szCs w:val="24"/>
          </w:rPr>
          <w:fldChar w:fldCharType="separate"/>
        </w:r>
        <w:r w:rsidRPr="00CC49C0">
          <w:rPr>
            <w:rFonts w:ascii="Times New Roman" w:hAnsi="Times New Roman" w:cs="Times New Roman"/>
            <w:sz w:val="24"/>
            <w:szCs w:val="24"/>
          </w:rPr>
          <w:t>2</w:t>
        </w:r>
        <w:r w:rsidRPr="00CC49C0">
          <w:rPr>
            <w:rFonts w:ascii="Times New Roman" w:hAnsi="Times New Roman" w:cs="Times New Roman"/>
            <w:sz w:val="24"/>
            <w:szCs w:val="24"/>
          </w:rPr>
          <w:fldChar w:fldCharType="end"/>
        </w:r>
      </w:p>
    </w:sdtContent>
  </w:sdt>
  <w:p w14:paraId="2D7D75B8" w14:textId="77777777" w:rsidR="001371B2" w:rsidRDefault="001371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CF2D" w14:textId="77777777" w:rsidR="00833367" w:rsidRDefault="00833367" w:rsidP="00B511B4">
      <w:r>
        <w:separator/>
      </w:r>
    </w:p>
  </w:footnote>
  <w:footnote w:type="continuationSeparator" w:id="0">
    <w:p w14:paraId="7407E134" w14:textId="77777777" w:rsidR="00833367" w:rsidRDefault="00833367" w:rsidP="00B511B4">
      <w:r>
        <w:continuationSeparator/>
      </w:r>
    </w:p>
  </w:footnote>
  <w:footnote w:id="1">
    <w:p w14:paraId="46F47154" w14:textId="7CB0F30F" w:rsidR="003E2347" w:rsidRPr="00DB3E1C" w:rsidRDefault="003E2347" w:rsidP="003E2347">
      <w:pPr>
        <w:pStyle w:val="Tekstprzypisudolnego"/>
        <w:jc w:val="both"/>
        <w:rPr>
          <w:rFonts w:ascii="Times New Roman" w:hAnsi="Times New Roman"/>
          <w:sz w:val="18"/>
          <w:szCs w:val="18"/>
        </w:rPr>
      </w:pPr>
      <w:r w:rsidRPr="00DB3E1C">
        <w:rPr>
          <w:rStyle w:val="Odwoanieprzypisudolnego"/>
          <w:rFonts w:ascii="Times New Roman" w:hAnsi="Times New Roman"/>
          <w:sz w:val="18"/>
          <w:szCs w:val="18"/>
        </w:rPr>
        <w:footnoteRef/>
      </w:r>
      <w:r w:rsidRPr="00DB3E1C">
        <w:rPr>
          <w:rFonts w:ascii="Times New Roman" w:hAnsi="Times New Roman"/>
          <w:sz w:val="18"/>
          <w:szCs w:val="18"/>
        </w:rPr>
        <w:t xml:space="preserve"> </w:t>
      </w:r>
      <w:r w:rsidRPr="00DB3E1C">
        <w:rPr>
          <w:rFonts w:ascii="Times New Roman" w:hAnsi="Times New Roman"/>
          <w:sz w:val="18"/>
          <w:szCs w:val="18"/>
          <w:shd w:val="clear" w:color="auto" w:fill="FFFFFF"/>
        </w:rPr>
        <w:t>Ustawa</w:t>
      </w:r>
      <w:r w:rsidRPr="00DB3E1C">
        <w:rPr>
          <w:rFonts w:ascii="Times New Roman" w:hAnsi="Times New Roman"/>
          <w:sz w:val="18"/>
          <w:szCs w:val="18"/>
        </w:rPr>
        <w:t xml:space="preserve"> z dnia 27 maja 2004 r. o funduszach inwestycyjnych i zarządzaniu alternatywnymi funduszami inwestycyjnymi (</w:t>
      </w:r>
      <w:r w:rsidRPr="00DB3E1C">
        <w:rPr>
          <w:rFonts w:ascii="Times New Roman" w:hAnsi="Times New Roman"/>
          <w:sz w:val="18"/>
          <w:szCs w:val="18"/>
          <w:shd w:val="clear" w:color="auto" w:fill="FFFFFF"/>
        </w:rPr>
        <w:t>Dz.</w:t>
      </w:r>
      <w:r w:rsidR="00C337A7">
        <w:rPr>
          <w:rFonts w:ascii="Times New Roman" w:hAnsi="Times New Roman"/>
          <w:sz w:val="18"/>
          <w:szCs w:val="18"/>
          <w:shd w:val="clear" w:color="auto" w:fill="FFFFFF"/>
        </w:rPr>
        <w:t xml:space="preserve"> </w:t>
      </w:r>
      <w:r w:rsidRPr="00DB3E1C">
        <w:rPr>
          <w:rFonts w:ascii="Times New Roman" w:hAnsi="Times New Roman"/>
          <w:sz w:val="18"/>
          <w:szCs w:val="18"/>
          <w:shd w:val="clear" w:color="auto" w:fill="FFFFFF"/>
        </w:rPr>
        <w:t>U. z 2024 r. poz. 1034</w:t>
      </w:r>
      <w:r w:rsidR="00C337A7">
        <w:rPr>
          <w:rFonts w:ascii="Times New Roman" w:hAnsi="Times New Roman"/>
          <w:sz w:val="18"/>
          <w:szCs w:val="18"/>
          <w:shd w:val="clear" w:color="auto" w:fill="FFFFFF"/>
        </w:rPr>
        <w:t>,</w:t>
      </w:r>
      <w:r w:rsidRPr="00DB3E1C">
        <w:rPr>
          <w:rFonts w:ascii="Times New Roman" w:hAnsi="Times New Roman"/>
          <w:sz w:val="18"/>
          <w:szCs w:val="18"/>
          <w:shd w:val="clear" w:color="auto" w:fill="FFFFFF"/>
        </w:rPr>
        <w:t> z późn. zm.)</w:t>
      </w:r>
      <w:r w:rsidR="00C337A7">
        <w:rPr>
          <w:rFonts w:ascii="Times New Roman" w:hAnsi="Times New Roman"/>
          <w:sz w:val="18"/>
          <w:szCs w:val="18"/>
          <w:shd w:val="clear" w:color="auto" w:fill="FFFFFF"/>
        </w:rPr>
        <w:t>.</w:t>
      </w:r>
    </w:p>
  </w:footnote>
  <w:footnote w:id="2">
    <w:p w14:paraId="613EF448" w14:textId="075A4948" w:rsidR="00AD69ED" w:rsidRPr="00672CED" w:rsidRDefault="00AD69ED" w:rsidP="00AD69ED">
      <w:pPr>
        <w:pStyle w:val="Nagwek2"/>
        <w:shd w:val="clear" w:color="auto" w:fill="FFFFFF"/>
        <w:spacing w:before="0" w:beforeAutospacing="0" w:after="120" w:afterAutospacing="0"/>
        <w:jc w:val="both"/>
        <w:rPr>
          <w:rFonts w:asciiTheme="minorHAnsi" w:hAnsiTheme="minorHAnsi" w:cs="Helvetica"/>
          <w:b w:val="0"/>
          <w:bCs w:val="0"/>
          <w:sz w:val="18"/>
          <w:szCs w:val="18"/>
        </w:rPr>
      </w:pPr>
      <w:r w:rsidRPr="00DB3E1C">
        <w:rPr>
          <w:rStyle w:val="Odwoanieprzypisudolnego"/>
          <w:b w:val="0"/>
          <w:bCs w:val="0"/>
          <w:sz w:val="18"/>
          <w:szCs w:val="18"/>
        </w:rPr>
        <w:footnoteRef/>
      </w:r>
      <w:r w:rsidRPr="00DB3E1C">
        <w:rPr>
          <w:b w:val="0"/>
          <w:bCs w:val="0"/>
          <w:sz w:val="18"/>
          <w:szCs w:val="18"/>
        </w:rPr>
        <w:t xml:space="preserve"> Ustawa z dnia 29 listopada 2016 r. o zmianie ustawy o podatku dochodowym od osób fizycznych, ustawy o podatku dochodowym od osób prawnych oraz ustawy o zmianie ustawy </w:t>
      </w:r>
      <w:r w:rsidR="00A05BC0">
        <w:rPr>
          <w:b w:val="0"/>
          <w:bCs w:val="0"/>
          <w:sz w:val="18"/>
          <w:szCs w:val="18"/>
        </w:rPr>
        <w:t>–</w:t>
      </w:r>
      <w:r w:rsidRPr="00DB3E1C">
        <w:rPr>
          <w:b w:val="0"/>
          <w:bCs w:val="0"/>
          <w:sz w:val="18"/>
          <w:szCs w:val="18"/>
        </w:rPr>
        <w:t xml:space="preserve"> Ordynacja podatkowa oraz niektórych innych ustaw (Dz.</w:t>
      </w:r>
      <w:r w:rsidR="00A05BC0">
        <w:rPr>
          <w:b w:val="0"/>
          <w:bCs w:val="0"/>
          <w:sz w:val="18"/>
          <w:szCs w:val="18"/>
        </w:rPr>
        <w:t xml:space="preserve"> </w:t>
      </w:r>
      <w:r w:rsidRPr="00DB3E1C">
        <w:rPr>
          <w:b w:val="0"/>
          <w:bCs w:val="0"/>
          <w:sz w:val="18"/>
          <w:szCs w:val="18"/>
        </w:rPr>
        <w:t>U. z 2016 r. poz. 1926).</w:t>
      </w:r>
    </w:p>
    <w:p w14:paraId="017F0753" w14:textId="472E66B7" w:rsidR="00AD69ED" w:rsidRDefault="00AD69ED" w:rsidP="00AD69ED">
      <w:pPr>
        <w:autoSpaceDE w:val="0"/>
        <w:autoSpaceDN w:val="0"/>
        <w:adjustRightInd w:val="0"/>
      </w:pPr>
    </w:p>
  </w:footnote>
  <w:footnote w:id="3">
    <w:p w14:paraId="1A0FFAF4" w14:textId="54C84C34" w:rsidR="00623903" w:rsidRPr="00DB3E1C" w:rsidRDefault="00623903" w:rsidP="00623903">
      <w:pPr>
        <w:pStyle w:val="title-doc-first"/>
        <w:shd w:val="clear" w:color="auto" w:fill="FFFFFF"/>
        <w:spacing w:before="120" w:beforeAutospacing="0" w:after="0" w:afterAutospacing="0"/>
        <w:jc w:val="both"/>
        <w:rPr>
          <w:color w:val="000000"/>
          <w:sz w:val="18"/>
          <w:szCs w:val="18"/>
        </w:rPr>
      </w:pPr>
      <w:r w:rsidRPr="00AF6535">
        <w:rPr>
          <w:rStyle w:val="Odwoanieprzypisudolnego"/>
          <w:sz w:val="20"/>
          <w:szCs w:val="20"/>
        </w:rPr>
        <w:footnoteRef/>
      </w:r>
      <w:r w:rsidRPr="00AF6535">
        <w:rPr>
          <w:sz w:val="20"/>
          <w:szCs w:val="20"/>
        </w:rPr>
        <w:t xml:space="preserve"> </w:t>
      </w:r>
      <w:r w:rsidRPr="00DB3E1C">
        <w:rPr>
          <w:color w:val="000000"/>
          <w:sz w:val="18"/>
          <w:szCs w:val="18"/>
        </w:rPr>
        <w:t>Dyrektywa Parlamentu Europejskiego i Rady 2009/65/WE z dnia 13 lipca 2009 r. w sprawie koordynacji przepisów ustawowych, wykonawczych i administracyjnych odnoszących się do przedsiębiorstw zbiorowego inwestowania w zbywalne papiery wartościowe (UCITS).</w:t>
      </w:r>
    </w:p>
    <w:p w14:paraId="0EB43CE7" w14:textId="721B31C3" w:rsidR="00623903" w:rsidRDefault="00623903">
      <w:pPr>
        <w:pStyle w:val="Tekstprzypisudolnego"/>
      </w:pPr>
    </w:p>
  </w:footnote>
  <w:footnote w:id="4">
    <w:p w14:paraId="341E3836" w14:textId="2DBA0C26" w:rsidR="00667097" w:rsidRPr="00DB3E1C" w:rsidRDefault="00667097">
      <w:pPr>
        <w:pStyle w:val="Tekstprzypisudolnego"/>
        <w:rPr>
          <w:rFonts w:ascii="Times New Roman" w:hAnsi="Times New Roman"/>
        </w:rPr>
      </w:pPr>
      <w:r w:rsidRPr="00DB3E1C">
        <w:rPr>
          <w:rStyle w:val="Odwoanieprzypisudolnego"/>
          <w:rFonts w:ascii="Times New Roman" w:hAnsi="Times New Roman"/>
        </w:rPr>
        <w:footnoteRef/>
      </w:r>
      <w:r w:rsidRPr="00DB3E1C">
        <w:rPr>
          <w:rFonts w:ascii="Times New Roman" w:hAnsi="Times New Roman"/>
        </w:rPr>
        <w:t xml:space="preserve"> </w:t>
      </w:r>
      <w:r w:rsidRPr="00DB3E1C">
        <w:rPr>
          <w:rFonts w:ascii="Times New Roman" w:hAnsi="Times New Roman"/>
          <w:sz w:val="18"/>
          <w:szCs w:val="18"/>
        </w:rPr>
        <w:t>Dz. U. z 2024 r. poz. 1588</w:t>
      </w:r>
      <w:r w:rsidR="008D1640">
        <w:rPr>
          <w:rFonts w:ascii="Times New Roman" w:hAnsi="Times New Roman"/>
          <w:sz w:val="18"/>
          <w:szCs w:val="18"/>
        </w:rPr>
        <w:t>,</w:t>
      </w:r>
      <w:r w:rsidRPr="00DB3E1C">
        <w:rPr>
          <w:rFonts w:ascii="Times New Roman" w:hAnsi="Times New Roman"/>
          <w:sz w:val="18"/>
          <w:szCs w:val="18"/>
        </w:rPr>
        <w:t xml:space="preserve"> z późn. zm., dalej: </w:t>
      </w:r>
      <w:r w:rsidRPr="00DB3E1C">
        <w:rPr>
          <w:rFonts w:ascii="Times New Roman" w:hAnsi="Times New Roman"/>
          <w:b/>
          <w:bCs/>
          <w:sz w:val="18"/>
          <w:szCs w:val="18"/>
        </w:rPr>
        <w:t>ustawa o wymianie informacji podatkowych</w:t>
      </w:r>
      <w:r w:rsidRPr="00DB3E1C">
        <w:rPr>
          <w:rFonts w:ascii="Times New Roman" w:hAnsi="Times New Roman"/>
          <w:sz w:val="18"/>
          <w:szCs w:val="18"/>
        </w:rPr>
        <w:t>.</w:t>
      </w:r>
    </w:p>
  </w:footnote>
  <w:footnote w:id="5">
    <w:p w14:paraId="0FC8AD64" w14:textId="1131C927" w:rsidR="00967D86" w:rsidRPr="00DB3E1C" w:rsidRDefault="00967D86" w:rsidP="00967D86">
      <w:pPr>
        <w:pStyle w:val="Tekstprzypisudolnego"/>
        <w:jc w:val="both"/>
        <w:rPr>
          <w:rFonts w:ascii="Times New Roman" w:hAnsi="Times New Roman"/>
          <w:sz w:val="18"/>
          <w:szCs w:val="18"/>
        </w:rPr>
      </w:pPr>
      <w:r w:rsidRPr="00DB3E1C">
        <w:rPr>
          <w:rStyle w:val="Odwoanieprzypisudolnego"/>
          <w:rFonts w:ascii="Times New Roman" w:hAnsi="Times New Roman"/>
          <w:sz w:val="18"/>
          <w:szCs w:val="18"/>
        </w:rPr>
        <w:footnoteRef/>
      </w:r>
      <w:r w:rsidRPr="00DB3E1C">
        <w:rPr>
          <w:rFonts w:ascii="Times New Roman" w:hAnsi="Times New Roman"/>
          <w:sz w:val="18"/>
          <w:szCs w:val="18"/>
        </w:rPr>
        <w:t xml:space="preserve"> Umowa między Rządem Rzeczypospolitej Polskiej a Rządem Stanów Zjednoczonych Ameryki w sprawie poprawy wypełniania międzynarodowych obowiązków podatkowych oraz wdrożenia ustawodawstwa FATCA</w:t>
      </w:r>
      <w:bookmarkStart w:id="5" w:name="_Hlk205444205"/>
      <w:r w:rsidRPr="00DB3E1C">
        <w:rPr>
          <w:rFonts w:ascii="Times New Roman" w:hAnsi="Times New Roman"/>
          <w:sz w:val="18"/>
          <w:szCs w:val="18"/>
        </w:rPr>
        <w:t>, oraz towarzyszących Uzgodnień Końcowych, podpisanych w Warszawie dnia 7 października 2014 r. (Dz. U. z 2015 r. poz. 1647 oraz z 2017 r. poz. 158)</w:t>
      </w:r>
      <w:bookmarkEnd w:id="5"/>
      <w:r w:rsidRPr="00DB3E1C">
        <w:rPr>
          <w:rFonts w:ascii="Times New Roman" w:hAnsi="Times New Roman"/>
          <w:sz w:val="18"/>
          <w:szCs w:val="18"/>
        </w:rPr>
        <w:t>.</w:t>
      </w:r>
    </w:p>
  </w:footnote>
  <w:footnote w:id="6">
    <w:p w14:paraId="2B2514FC" w14:textId="204A03E2" w:rsidR="00736D9A" w:rsidRDefault="00736D9A">
      <w:pPr>
        <w:pStyle w:val="Tekstprzypisudolnego"/>
      </w:pPr>
      <w:r w:rsidRPr="00DB3E1C">
        <w:rPr>
          <w:rStyle w:val="Odwoanieprzypisudolnego"/>
          <w:rFonts w:ascii="Times New Roman" w:hAnsi="Times New Roman"/>
          <w:sz w:val="18"/>
          <w:szCs w:val="18"/>
        </w:rPr>
        <w:footnoteRef/>
      </w:r>
      <w:r w:rsidRPr="00DB3E1C">
        <w:rPr>
          <w:rFonts w:ascii="Times New Roman" w:hAnsi="Times New Roman"/>
          <w:sz w:val="18"/>
          <w:szCs w:val="18"/>
        </w:rPr>
        <w:t xml:space="preserve"> Dz. Urz. UE L 64 z 11.03.2011, str. 1, z późn. zm.</w:t>
      </w:r>
    </w:p>
  </w:footnote>
  <w:footnote w:id="7">
    <w:p w14:paraId="1ACFBB3B" w14:textId="77777777" w:rsidR="00A70A8D" w:rsidRPr="00DB3E1C" w:rsidRDefault="00A70A8D" w:rsidP="00A70A8D">
      <w:pPr>
        <w:pStyle w:val="title-bold"/>
        <w:shd w:val="clear" w:color="auto" w:fill="FFFFFF"/>
        <w:spacing w:before="0" w:beforeAutospacing="0" w:after="75" w:afterAutospacing="0"/>
        <w:jc w:val="both"/>
        <w:rPr>
          <w:sz w:val="18"/>
          <w:szCs w:val="18"/>
        </w:rPr>
      </w:pPr>
      <w:r w:rsidRPr="00DB3E1C">
        <w:rPr>
          <w:rStyle w:val="Odwoanieprzypisudolnego"/>
          <w:sz w:val="18"/>
          <w:szCs w:val="18"/>
        </w:rPr>
        <w:footnoteRef/>
      </w:r>
      <w:r w:rsidRPr="00DB3E1C">
        <w:rPr>
          <w:sz w:val="18"/>
          <w:szCs w:val="18"/>
        </w:rPr>
        <w:t xml:space="preserve"> Dyrektywa Rady 2014/107/UE z dnia 9 grudnia 2014 r. zmieniająca dyrektywę 2011/16/UE w zakresie obowiązkowej automatycznej wymiany informacji w dziedzinie opodatkowania (</w:t>
      </w:r>
      <w:r w:rsidRPr="00DB3E1C">
        <w:rPr>
          <w:rStyle w:val="Uwydatnienie"/>
          <w:sz w:val="18"/>
          <w:szCs w:val="18"/>
        </w:rPr>
        <w:t>Dz. Urz. UE L 359 z 16.12.2014, s. 1–29).</w:t>
      </w:r>
    </w:p>
  </w:footnote>
  <w:footnote w:id="8">
    <w:p w14:paraId="2B726583" w14:textId="669EC02E" w:rsidR="00D02411" w:rsidRPr="008D1640" w:rsidRDefault="00D02411" w:rsidP="003F47DD">
      <w:pPr>
        <w:pStyle w:val="ListanumeracjaMF"/>
        <w:numPr>
          <w:ilvl w:val="0"/>
          <w:numId w:val="0"/>
        </w:numPr>
        <w:spacing w:after="120" w:line="240" w:lineRule="auto"/>
        <w:jc w:val="both"/>
        <w:rPr>
          <w:rFonts w:asciiTheme="minorHAnsi" w:hAnsiTheme="minorHAnsi" w:cstheme="minorHAnsi"/>
          <w:sz w:val="18"/>
          <w:szCs w:val="18"/>
        </w:rPr>
      </w:pPr>
      <w:r w:rsidRPr="00DB3E1C">
        <w:rPr>
          <w:rStyle w:val="Odwoanieprzypisudolnego"/>
          <w:rFonts w:ascii="Times New Roman" w:hAnsi="Times New Roman" w:cs="Times New Roman"/>
          <w:sz w:val="18"/>
          <w:szCs w:val="18"/>
        </w:rPr>
        <w:footnoteRef/>
      </w:r>
      <w:r w:rsidRPr="00DB3E1C">
        <w:rPr>
          <w:rFonts w:ascii="Times New Roman" w:hAnsi="Times New Roman" w:cs="Times New Roman"/>
          <w:sz w:val="18"/>
          <w:szCs w:val="18"/>
        </w:rPr>
        <w:t xml:space="preserve"> Państwa te widnieją wśród sygnatariuszy zgodnie z zestawieniami sygnatariuszy MCAA i Addendum na dedykowanej stronie OECD: </w:t>
      </w:r>
      <w:r w:rsidR="00CC49C0" w:rsidRPr="00DB3E1C">
        <w:rPr>
          <w:rFonts w:ascii="Times New Roman" w:hAnsi="Times New Roman" w:cs="Times New Roman"/>
        </w:rPr>
        <w:t>https://www.oecd.org/en/topics/international-standards-on-tax-transparency.html</w:t>
      </w:r>
      <w:r w:rsidRPr="00DB3E1C">
        <w:rPr>
          <w:rFonts w:ascii="Times New Roman" w:hAnsi="Times New Roman" w:cs="Times New Roman"/>
          <w:sz w:val="18"/>
          <w:szCs w:val="18"/>
        </w:rPr>
        <w:t xml:space="preserve">. Aktywny status automatycznej wymiany informacji pomiędzy Islandią, Norwegią i Liechtensteinem a Polską potwierdza zestawienie ze strony OECD, datowane na 4 lipca 2025 r.: </w:t>
      </w:r>
      <w:r w:rsidR="00CC49C0" w:rsidRPr="00DB3E1C">
        <w:rPr>
          <w:rFonts w:ascii="Times New Roman" w:hAnsi="Times New Roman" w:cs="Times New Roman"/>
        </w:rPr>
        <w:t>https://www.oecd.org/en/topics/sub-issues/international-standards-on-tax-transparency/automatic-exchange-of-information-exchange-relationships.html</w:t>
      </w:r>
      <w:r w:rsidRPr="00DB3E1C">
        <w:rPr>
          <w:rFonts w:ascii="Times New Roman" w:hAnsi="Times New Roman" w:cs="Times New Roman"/>
          <w:sz w:val="18"/>
          <w:szCs w:val="18"/>
        </w:rPr>
        <w:t xml:space="preserve">. Warto odnotować, że obszar współpracy z państwami nieczłonkowskimi stał się także przedmiotem relacji umownych z UE – zob. np. </w:t>
      </w:r>
      <w:r w:rsidRPr="00DB3E1C">
        <w:rPr>
          <w:rFonts w:ascii="Times New Roman" w:hAnsi="Times New Roman" w:cs="Times New Roman"/>
          <w:i/>
          <w:iCs/>
          <w:sz w:val="18"/>
          <w:szCs w:val="18"/>
        </w:rPr>
        <w:t>Umowa między Unią Europejską a Księstwem Liechtensteinu w sprawie automatycznej wymiany informacji finansowych w celu poprawy wypełniania międzynarodowych obowiązków podatkowych</w:t>
      </w:r>
      <w:r w:rsidRPr="00DB3E1C">
        <w:rPr>
          <w:rFonts w:ascii="Times New Roman" w:hAnsi="Times New Roman" w:cs="Times New Roman"/>
          <w:sz w:val="18"/>
          <w:szCs w:val="18"/>
        </w:rPr>
        <w:t>.</w:t>
      </w:r>
    </w:p>
    <w:p w14:paraId="4C16E4FD" w14:textId="5EAD0F35" w:rsidR="00D02411" w:rsidRPr="00274A55" w:rsidRDefault="00D02411" w:rsidP="00D02411">
      <w:pPr>
        <w:pStyle w:val="Tekstprzypisudolnego"/>
        <w:jc w:val="both"/>
      </w:pPr>
    </w:p>
    <w:p w14:paraId="255B9847" w14:textId="77777777" w:rsidR="00D02411" w:rsidRDefault="00D02411" w:rsidP="00D02411">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F9E"/>
    <w:multiLevelType w:val="hybridMultilevel"/>
    <w:tmpl w:val="C05AD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B14773"/>
    <w:multiLevelType w:val="hybridMultilevel"/>
    <w:tmpl w:val="AA44820E"/>
    <w:lvl w:ilvl="0" w:tplc="DAF445D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AF271D"/>
    <w:multiLevelType w:val="hybridMultilevel"/>
    <w:tmpl w:val="2F96D8D0"/>
    <w:lvl w:ilvl="0" w:tplc="38E294AC">
      <w:start w:val="1"/>
      <w:numFmt w:val="decimal"/>
      <w:pStyle w:val="ListanumeracjaMF"/>
      <w:lvlText w:val="%1."/>
      <w:lvlJc w:val="left"/>
      <w:pPr>
        <w:ind w:left="720" w:hanging="360"/>
      </w:pPr>
    </w:lvl>
    <w:lvl w:ilvl="1" w:tplc="F3D24FE0" w:tentative="1">
      <w:start w:val="1"/>
      <w:numFmt w:val="lowerLetter"/>
      <w:lvlText w:val="%2."/>
      <w:lvlJc w:val="left"/>
      <w:pPr>
        <w:ind w:left="1440" w:hanging="360"/>
      </w:pPr>
    </w:lvl>
    <w:lvl w:ilvl="2" w:tplc="C730284C" w:tentative="1">
      <w:start w:val="1"/>
      <w:numFmt w:val="lowerRoman"/>
      <w:lvlText w:val="%3."/>
      <w:lvlJc w:val="right"/>
      <w:pPr>
        <w:ind w:left="2160" w:hanging="180"/>
      </w:pPr>
    </w:lvl>
    <w:lvl w:ilvl="3" w:tplc="419C6140" w:tentative="1">
      <w:start w:val="1"/>
      <w:numFmt w:val="decimal"/>
      <w:lvlText w:val="%4."/>
      <w:lvlJc w:val="left"/>
      <w:pPr>
        <w:ind w:left="2880" w:hanging="360"/>
      </w:pPr>
    </w:lvl>
    <w:lvl w:ilvl="4" w:tplc="5ECE8CF6" w:tentative="1">
      <w:start w:val="1"/>
      <w:numFmt w:val="lowerLetter"/>
      <w:lvlText w:val="%5."/>
      <w:lvlJc w:val="left"/>
      <w:pPr>
        <w:ind w:left="3600" w:hanging="360"/>
      </w:pPr>
    </w:lvl>
    <w:lvl w:ilvl="5" w:tplc="5000604C" w:tentative="1">
      <w:start w:val="1"/>
      <w:numFmt w:val="lowerRoman"/>
      <w:lvlText w:val="%6."/>
      <w:lvlJc w:val="right"/>
      <w:pPr>
        <w:ind w:left="4320" w:hanging="180"/>
      </w:pPr>
    </w:lvl>
    <w:lvl w:ilvl="6" w:tplc="BCDCFD94" w:tentative="1">
      <w:start w:val="1"/>
      <w:numFmt w:val="decimal"/>
      <w:lvlText w:val="%7."/>
      <w:lvlJc w:val="left"/>
      <w:pPr>
        <w:ind w:left="5040" w:hanging="360"/>
      </w:pPr>
    </w:lvl>
    <w:lvl w:ilvl="7" w:tplc="D1181A0A" w:tentative="1">
      <w:start w:val="1"/>
      <w:numFmt w:val="lowerLetter"/>
      <w:lvlText w:val="%8."/>
      <w:lvlJc w:val="left"/>
      <w:pPr>
        <w:ind w:left="5760" w:hanging="360"/>
      </w:pPr>
    </w:lvl>
    <w:lvl w:ilvl="8" w:tplc="630661F4" w:tentative="1">
      <w:start w:val="1"/>
      <w:numFmt w:val="lowerRoman"/>
      <w:lvlText w:val="%9."/>
      <w:lvlJc w:val="right"/>
      <w:pPr>
        <w:ind w:left="6480" w:hanging="180"/>
      </w:pPr>
    </w:lvl>
  </w:abstractNum>
  <w:abstractNum w:abstractNumId="3" w15:restartNumberingAfterBreak="0">
    <w:nsid w:val="427B31E3"/>
    <w:multiLevelType w:val="hybridMultilevel"/>
    <w:tmpl w:val="9BA8F0CC"/>
    <w:lvl w:ilvl="0" w:tplc="8B0E22A8">
      <w:start w:val="1"/>
      <w:numFmt w:val="decimal"/>
      <w:lvlText w:val="%1)"/>
      <w:lvlJc w:val="left"/>
      <w:pPr>
        <w:ind w:left="720" w:hanging="360"/>
      </w:pPr>
      <w:rPr>
        <w:rFonts w:ascii="Times New Roman" w:hAnsi="Times New Roman" w:cs="Times New Roman" w:hint="default"/>
        <w:b w:val="0"/>
        <w:i w:val="0"/>
        <w:strike w:val="0"/>
        <w:dstrike w:val="0"/>
        <w:color w:val="auto"/>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562C1C"/>
    <w:multiLevelType w:val="hybridMultilevel"/>
    <w:tmpl w:val="804455D0"/>
    <w:lvl w:ilvl="0" w:tplc="9AA66D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C622E3"/>
    <w:multiLevelType w:val="hybridMultilevel"/>
    <w:tmpl w:val="DE609618"/>
    <w:lvl w:ilvl="0" w:tplc="0415001B">
      <w:start w:val="1"/>
      <w:numFmt w:val="lowerRoman"/>
      <w:lvlText w:val="%1."/>
      <w:lvlJc w:val="righ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884A7F"/>
    <w:multiLevelType w:val="hybridMultilevel"/>
    <w:tmpl w:val="82A0D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EE76E31"/>
    <w:multiLevelType w:val="hybridMultilevel"/>
    <w:tmpl w:val="C1F45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39A265A"/>
    <w:multiLevelType w:val="hybridMultilevel"/>
    <w:tmpl w:val="B8DC7A2A"/>
    <w:lvl w:ilvl="0" w:tplc="22B4BB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32085241">
    <w:abstractNumId w:val="2"/>
  </w:num>
  <w:num w:numId="2" w16cid:durableId="1753962710">
    <w:abstractNumId w:val="5"/>
  </w:num>
  <w:num w:numId="3" w16cid:durableId="1757944059">
    <w:abstractNumId w:val="8"/>
  </w:num>
  <w:num w:numId="4" w16cid:durableId="1322275289">
    <w:abstractNumId w:val="3"/>
  </w:num>
  <w:num w:numId="5" w16cid:durableId="438531497">
    <w:abstractNumId w:val="4"/>
  </w:num>
  <w:num w:numId="6" w16cid:durableId="1940137096">
    <w:abstractNumId w:val="6"/>
  </w:num>
  <w:num w:numId="7" w16cid:durableId="1626546445">
    <w:abstractNumId w:val="7"/>
  </w:num>
  <w:num w:numId="8" w16cid:durableId="1999917120">
    <w:abstractNumId w:val="0"/>
  </w:num>
  <w:num w:numId="9" w16cid:durableId="1385460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E8"/>
    <w:rsid w:val="0000118C"/>
    <w:rsid w:val="0000199D"/>
    <w:rsid w:val="00001F95"/>
    <w:rsid w:val="00002198"/>
    <w:rsid w:val="000022C1"/>
    <w:rsid w:val="000023C3"/>
    <w:rsid w:val="00002B61"/>
    <w:rsid w:val="000037C8"/>
    <w:rsid w:val="00003A76"/>
    <w:rsid w:val="00003ADD"/>
    <w:rsid w:val="0000446D"/>
    <w:rsid w:val="00004634"/>
    <w:rsid w:val="00004696"/>
    <w:rsid w:val="00004A60"/>
    <w:rsid w:val="00004D67"/>
    <w:rsid w:val="000051EB"/>
    <w:rsid w:val="00005358"/>
    <w:rsid w:val="0000648A"/>
    <w:rsid w:val="00006AA1"/>
    <w:rsid w:val="00006DD6"/>
    <w:rsid w:val="000075A9"/>
    <w:rsid w:val="0000791A"/>
    <w:rsid w:val="00007F68"/>
    <w:rsid w:val="00010C52"/>
    <w:rsid w:val="00010FBA"/>
    <w:rsid w:val="000129D8"/>
    <w:rsid w:val="00012A78"/>
    <w:rsid w:val="00013022"/>
    <w:rsid w:val="0001373D"/>
    <w:rsid w:val="000166D9"/>
    <w:rsid w:val="00017BBA"/>
    <w:rsid w:val="000214EB"/>
    <w:rsid w:val="00021D2D"/>
    <w:rsid w:val="00023F1B"/>
    <w:rsid w:val="0002521A"/>
    <w:rsid w:val="00025C18"/>
    <w:rsid w:val="0002630B"/>
    <w:rsid w:val="0002696D"/>
    <w:rsid w:val="000270A9"/>
    <w:rsid w:val="000314FD"/>
    <w:rsid w:val="00032133"/>
    <w:rsid w:val="00034091"/>
    <w:rsid w:val="000341E8"/>
    <w:rsid w:val="000341F7"/>
    <w:rsid w:val="0003785B"/>
    <w:rsid w:val="00040075"/>
    <w:rsid w:val="00041E67"/>
    <w:rsid w:val="00042E7C"/>
    <w:rsid w:val="00043D70"/>
    <w:rsid w:val="00044448"/>
    <w:rsid w:val="000446ED"/>
    <w:rsid w:val="000447F1"/>
    <w:rsid w:val="00044A64"/>
    <w:rsid w:val="00044DCD"/>
    <w:rsid w:val="000456C1"/>
    <w:rsid w:val="00047B18"/>
    <w:rsid w:val="0005045A"/>
    <w:rsid w:val="000504C5"/>
    <w:rsid w:val="00050548"/>
    <w:rsid w:val="000529DB"/>
    <w:rsid w:val="000535C1"/>
    <w:rsid w:val="00053AF7"/>
    <w:rsid w:val="0005414C"/>
    <w:rsid w:val="00054216"/>
    <w:rsid w:val="00056727"/>
    <w:rsid w:val="00056BF2"/>
    <w:rsid w:val="00056D0C"/>
    <w:rsid w:val="00057672"/>
    <w:rsid w:val="00057878"/>
    <w:rsid w:val="00061A77"/>
    <w:rsid w:val="00061CC0"/>
    <w:rsid w:val="0006477F"/>
    <w:rsid w:val="000653EE"/>
    <w:rsid w:val="00065746"/>
    <w:rsid w:val="000663C4"/>
    <w:rsid w:val="000665E5"/>
    <w:rsid w:val="0006678B"/>
    <w:rsid w:val="000677A1"/>
    <w:rsid w:val="00067983"/>
    <w:rsid w:val="00067B6F"/>
    <w:rsid w:val="000724DC"/>
    <w:rsid w:val="00072A67"/>
    <w:rsid w:val="00074E07"/>
    <w:rsid w:val="00074F4F"/>
    <w:rsid w:val="0008090D"/>
    <w:rsid w:val="00080C9B"/>
    <w:rsid w:val="00081774"/>
    <w:rsid w:val="00082248"/>
    <w:rsid w:val="000822EC"/>
    <w:rsid w:val="0008256A"/>
    <w:rsid w:val="000828A0"/>
    <w:rsid w:val="00083B9B"/>
    <w:rsid w:val="00084335"/>
    <w:rsid w:val="00084605"/>
    <w:rsid w:val="00084BBD"/>
    <w:rsid w:val="0008798A"/>
    <w:rsid w:val="00091780"/>
    <w:rsid w:val="000945E1"/>
    <w:rsid w:val="00094ECB"/>
    <w:rsid w:val="00095E46"/>
    <w:rsid w:val="00095F90"/>
    <w:rsid w:val="00096050"/>
    <w:rsid w:val="00096B16"/>
    <w:rsid w:val="000A0A39"/>
    <w:rsid w:val="000A0D85"/>
    <w:rsid w:val="000A2F60"/>
    <w:rsid w:val="000A30F0"/>
    <w:rsid w:val="000A36D2"/>
    <w:rsid w:val="000A41C1"/>
    <w:rsid w:val="000A4462"/>
    <w:rsid w:val="000A5795"/>
    <w:rsid w:val="000A617C"/>
    <w:rsid w:val="000B0344"/>
    <w:rsid w:val="000B0A27"/>
    <w:rsid w:val="000B1E3B"/>
    <w:rsid w:val="000B4746"/>
    <w:rsid w:val="000B4EB5"/>
    <w:rsid w:val="000B53CE"/>
    <w:rsid w:val="000B5C76"/>
    <w:rsid w:val="000B6D0E"/>
    <w:rsid w:val="000C1301"/>
    <w:rsid w:val="000C1E04"/>
    <w:rsid w:val="000C22AD"/>
    <w:rsid w:val="000C3CF4"/>
    <w:rsid w:val="000C4EDB"/>
    <w:rsid w:val="000C66AE"/>
    <w:rsid w:val="000C7674"/>
    <w:rsid w:val="000C7970"/>
    <w:rsid w:val="000D56C8"/>
    <w:rsid w:val="000D6940"/>
    <w:rsid w:val="000D69B9"/>
    <w:rsid w:val="000D729B"/>
    <w:rsid w:val="000D7483"/>
    <w:rsid w:val="000E0087"/>
    <w:rsid w:val="000E1845"/>
    <w:rsid w:val="000E26B6"/>
    <w:rsid w:val="000E32BD"/>
    <w:rsid w:val="000E440E"/>
    <w:rsid w:val="000E6DF9"/>
    <w:rsid w:val="000E7759"/>
    <w:rsid w:val="000F24A4"/>
    <w:rsid w:val="000F2C2D"/>
    <w:rsid w:val="000F3338"/>
    <w:rsid w:val="000F343C"/>
    <w:rsid w:val="000F3716"/>
    <w:rsid w:val="000F42E0"/>
    <w:rsid w:val="000F52A3"/>
    <w:rsid w:val="000F5EBE"/>
    <w:rsid w:val="000F6491"/>
    <w:rsid w:val="000F7138"/>
    <w:rsid w:val="001025AE"/>
    <w:rsid w:val="00105F70"/>
    <w:rsid w:val="00106229"/>
    <w:rsid w:val="001075E1"/>
    <w:rsid w:val="001108E2"/>
    <w:rsid w:val="001146CB"/>
    <w:rsid w:val="00114D15"/>
    <w:rsid w:val="00115418"/>
    <w:rsid w:val="00115609"/>
    <w:rsid w:val="00120F24"/>
    <w:rsid w:val="00122FE4"/>
    <w:rsid w:val="00123C2F"/>
    <w:rsid w:val="0012541C"/>
    <w:rsid w:val="00125B59"/>
    <w:rsid w:val="001261A4"/>
    <w:rsid w:val="00127777"/>
    <w:rsid w:val="00130DB5"/>
    <w:rsid w:val="00133CE6"/>
    <w:rsid w:val="0013453C"/>
    <w:rsid w:val="0013564E"/>
    <w:rsid w:val="00135CF2"/>
    <w:rsid w:val="0013618B"/>
    <w:rsid w:val="0013700C"/>
    <w:rsid w:val="001371B2"/>
    <w:rsid w:val="0013732A"/>
    <w:rsid w:val="001375E6"/>
    <w:rsid w:val="00137BCE"/>
    <w:rsid w:val="001406DA"/>
    <w:rsid w:val="00140919"/>
    <w:rsid w:val="00141185"/>
    <w:rsid w:val="00142CFA"/>
    <w:rsid w:val="001437A4"/>
    <w:rsid w:val="001442D8"/>
    <w:rsid w:val="001461DE"/>
    <w:rsid w:val="00146217"/>
    <w:rsid w:val="001509BE"/>
    <w:rsid w:val="00152676"/>
    <w:rsid w:val="00155C3F"/>
    <w:rsid w:val="0015606B"/>
    <w:rsid w:val="001563A5"/>
    <w:rsid w:val="00156719"/>
    <w:rsid w:val="00157339"/>
    <w:rsid w:val="001573FC"/>
    <w:rsid w:val="00157A10"/>
    <w:rsid w:val="00160318"/>
    <w:rsid w:val="001625EB"/>
    <w:rsid w:val="00163819"/>
    <w:rsid w:val="001639AB"/>
    <w:rsid w:val="00164285"/>
    <w:rsid w:val="00164DB3"/>
    <w:rsid w:val="00165CE2"/>
    <w:rsid w:val="001675D6"/>
    <w:rsid w:val="00167849"/>
    <w:rsid w:val="00170DEB"/>
    <w:rsid w:val="00171437"/>
    <w:rsid w:val="00172215"/>
    <w:rsid w:val="001735B0"/>
    <w:rsid w:val="001740E0"/>
    <w:rsid w:val="00174293"/>
    <w:rsid w:val="001745FC"/>
    <w:rsid w:val="001756FE"/>
    <w:rsid w:val="001800DF"/>
    <w:rsid w:val="001801D0"/>
    <w:rsid w:val="00181E73"/>
    <w:rsid w:val="00182FC1"/>
    <w:rsid w:val="00183611"/>
    <w:rsid w:val="00183B37"/>
    <w:rsid w:val="00183BC0"/>
    <w:rsid w:val="001860EE"/>
    <w:rsid w:val="001866E4"/>
    <w:rsid w:val="0018799B"/>
    <w:rsid w:val="0019032C"/>
    <w:rsid w:val="0019104F"/>
    <w:rsid w:val="00191599"/>
    <w:rsid w:val="00191BC6"/>
    <w:rsid w:val="00192B05"/>
    <w:rsid w:val="00193097"/>
    <w:rsid w:val="001941A7"/>
    <w:rsid w:val="00194F8B"/>
    <w:rsid w:val="00195656"/>
    <w:rsid w:val="00195EE8"/>
    <w:rsid w:val="001960D2"/>
    <w:rsid w:val="00197DA0"/>
    <w:rsid w:val="001A1E57"/>
    <w:rsid w:val="001A283C"/>
    <w:rsid w:val="001A3006"/>
    <w:rsid w:val="001A3A07"/>
    <w:rsid w:val="001A528C"/>
    <w:rsid w:val="001A6716"/>
    <w:rsid w:val="001A69D2"/>
    <w:rsid w:val="001B0D8D"/>
    <w:rsid w:val="001B1AA6"/>
    <w:rsid w:val="001B5028"/>
    <w:rsid w:val="001B5491"/>
    <w:rsid w:val="001B5614"/>
    <w:rsid w:val="001B59E6"/>
    <w:rsid w:val="001B5EA6"/>
    <w:rsid w:val="001B60EE"/>
    <w:rsid w:val="001B69F6"/>
    <w:rsid w:val="001B6CAC"/>
    <w:rsid w:val="001B77BE"/>
    <w:rsid w:val="001C0852"/>
    <w:rsid w:val="001C0D41"/>
    <w:rsid w:val="001C0FA1"/>
    <w:rsid w:val="001C11EF"/>
    <w:rsid w:val="001C18CA"/>
    <w:rsid w:val="001C1A5E"/>
    <w:rsid w:val="001C20A7"/>
    <w:rsid w:val="001C391A"/>
    <w:rsid w:val="001C53A5"/>
    <w:rsid w:val="001C71BC"/>
    <w:rsid w:val="001C7B4B"/>
    <w:rsid w:val="001D19CF"/>
    <w:rsid w:val="001D1CAB"/>
    <w:rsid w:val="001D1E85"/>
    <w:rsid w:val="001D3702"/>
    <w:rsid w:val="001D4504"/>
    <w:rsid w:val="001D48F7"/>
    <w:rsid w:val="001D52FC"/>
    <w:rsid w:val="001D5468"/>
    <w:rsid w:val="001D58FD"/>
    <w:rsid w:val="001D5AFA"/>
    <w:rsid w:val="001D60CA"/>
    <w:rsid w:val="001D7237"/>
    <w:rsid w:val="001D7514"/>
    <w:rsid w:val="001D7F8E"/>
    <w:rsid w:val="001E12E0"/>
    <w:rsid w:val="001E26B9"/>
    <w:rsid w:val="001E471E"/>
    <w:rsid w:val="001E4808"/>
    <w:rsid w:val="001E4866"/>
    <w:rsid w:val="001E50BC"/>
    <w:rsid w:val="001E53B8"/>
    <w:rsid w:val="001E658B"/>
    <w:rsid w:val="001E7858"/>
    <w:rsid w:val="001F01F7"/>
    <w:rsid w:val="001F0D62"/>
    <w:rsid w:val="001F209D"/>
    <w:rsid w:val="001F371F"/>
    <w:rsid w:val="001F5F9F"/>
    <w:rsid w:val="001F75AC"/>
    <w:rsid w:val="001F7F2D"/>
    <w:rsid w:val="00200E3A"/>
    <w:rsid w:val="002011A6"/>
    <w:rsid w:val="002013FE"/>
    <w:rsid w:val="002017B9"/>
    <w:rsid w:val="00202374"/>
    <w:rsid w:val="00206621"/>
    <w:rsid w:val="00207147"/>
    <w:rsid w:val="00207654"/>
    <w:rsid w:val="00207BE1"/>
    <w:rsid w:val="00207D61"/>
    <w:rsid w:val="00210E2F"/>
    <w:rsid w:val="00210ED9"/>
    <w:rsid w:val="00211361"/>
    <w:rsid w:val="002118C5"/>
    <w:rsid w:val="00212467"/>
    <w:rsid w:val="00212FDE"/>
    <w:rsid w:val="002131E2"/>
    <w:rsid w:val="0021528C"/>
    <w:rsid w:val="00216946"/>
    <w:rsid w:val="00216C3F"/>
    <w:rsid w:val="00217597"/>
    <w:rsid w:val="002213F6"/>
    <w:rsid w:val="002216F1"/>
    <w:rsid w:val="0022253C"/>
    <w:rsid w:val="00224895"/>
    <w:rsid w:val="00226777"/>
    <w:rsid w:val="00227E90"/>
    <w:rsid w:val="00230535"/>
    <w:rsid w:val="00233203"/>
    <w:rsid w:val="00234D97"/>
    <w:rsid w:val="00235F94"/>
    <w:rsid w:val="00236886"/>
    <w:rsid w:val="00237B61"/>
    <w:rsid w:val="00240149"/>
    <w:rsid w:val="0024045D"/>
    <w:rsid w:val="00240AEF"/>
    <w:rsid w:val="00242357"/>
    <w:rsid w:val="002425F5"/>
    <w:rsid w:val="00242C95"/>
    <w:rsid w:val="00244310"/>
    <w:rsid w:val="0024452C"/>
    <w:rsid w:val="00244674"/>
    <w:rsid w:val="00244FE4"/>
    <w:rsid w:val="002454E4"/>
    <w:rsid w:val="00245607"/>
    <w:rsid w:val="00245728"/>
    <w:rsid w:val="00246DDF"/>
    <w:rsid w:val="00246FDC"/>
    <w:rsid w:val="00250AD4"/>
    <w:rsid w:val="00253569"/>
    <w:rsid w:val="002536F1"/>
    <w:rsid w:val="00255E01"/>
    <w:rsid w:val="002564D3"/>
    <w:rsid w:val="00256B27"/>
    <w:rsid w:val="00262DAC"/>
    <w:rsid w:val="0026308E"/>
    <w:rsid w:val="00263268"/>
    <w:rsid w:val="00264362"/>
    <w:rsid w:val="00264D25"/>
    <w:rsid w:val="002650DE"/>
    <w:rsid w:val="00267D33"/>
    <w:rsid w:val="00267DC8"/>
    <w:rsid w:val="002707D2"/>
    <w:rsid w:val="00270D34"/>
    <w:rsid w:val="00271894"/>
    <w:rsid w:val="002728FA"/>
    <w:rsid w:val="00273DAA"/>
    <w:rsid w:val="002755A7"/>
    <w:rsid w:val="002770A4"/>
    <w:rsid w:val="002779B5"/>
    <w:rsid w:val="002810F8"/>
    <w:rsid w:val="00281147"/>
    <w:rsid w:val="002814B3"/>
    <w:rsid w:val="0028208A"/>
    <w:rsid w:val="002823C5"/>
    <w:rsid w:val="00283967"/>
    <w:rsid w:val="002840BA"/>
    <w:rsid w:val="00284413"/>
    <w:rsid w:val="00284EE6"/>
    <w:rsid w:val="00285CE6"/>
    <w:rsid w:val="002869E1"/>
    <w:rsid w:val="0028701A"/>
    <w:rsid w:val="002902F6"/>
    <w:rsid w:val="00290869"/>
    <w:rsid w:val="00291592"/>
    <w:rsid w:val="002916A9"/>
    <w:rsid w:val="00291C0F"/>
    <w:rsid w:val="00291CF2"/>
    <w:rsid w:val="00291D70"/>
    <w:rsid w:val="00293619"/>
    <w:rsid w:val="002944D7"/>
    <w:rsid w:val="00296F99"/>
    <w:rsid w:val="00297423"/>
    <w:rsid w:val="00297ED4"/>
    <w:rsid w:val="002A0097"/>
    <w:rsid w:val="002A09E4"/>
    <w:rsid w:val="002A101C"/>
    <w:rsid w:val="002A200B"/>
    <w:rsid w:val="002A241B"/>
    <w:rsid w:val="002A27AA"/>
    <w:rsid w:val="002A3521"/>
    <w:rsid w:val="002A4282"/>
    <w:rsid w:val="002A4411"/>
    <w:rsid w:val="002A4EE3"/>
    <w:rsid w:val="002A52CE"/>
    <w:rsid w:val="002A61BC"/>
    <w:rsid w:val="002A779B"/>
    <w:rsid w:val="002A7CC9"/>
    <w:rsid w:val="002B11C7"/>
    <w:rsid w:val="002B1495"/>
    <w:rsid w:val="002B1ED5"/>
    <w:rsid w:val="002B38F1"/>
    <w:rsid w:val="002B670B"/>
    <w:rsid w:val="002B6752"/>
    <w:rsid w:val="002B67D0"/>
    <w:rsid w:val="002C065B"/>
    <w:rsid w:val="002C1BE5"/>
    <w:rsid w:val="002C25A9"/>
    <w:rsid w:val="002C3380"/>
    <w:rsid w:val="002C38E1"/>
    <w:rsid w:val="002C477E"/>
    <w:rsid w:val="002C53FE"/>
    <w:rsid w:val="002C5744"/>
    <w:rsid w:val="002C6101"/>
    <w:rsid w:val="002D0329"/>
    <w:rsid w:val="002D11C5"/>
    <w:rsid w:val="002D1877"/>
    <w:rsid w:val="002D3AD8"/>
    <w:rsid w:val="002D3D73"/>
    <w:rsid w:val="002D400D"/>
    <w:rsid w:val="002D4AE8"/>
    <w:rsid w:val="002D4F8F"/>
    <w:rsid w:val="002D4FFC"/>
    <w:rsid w:val="002D5AD8"/>
    <w:rsid w:val="002D5B4A"/>
    <w:rsid w:val="002D6D78"/>
    <w:rsid w:val="002E25AD"/>
    <w:rsid w:val="002E2980"/>
    <w:rsid w:val="002E4B38"/>
    <w:rsid w:val="002E55C2"/>
    <w:rsid w:val="002E5CC1"/>
    <w:rsid w:val="002E7AA9"/>
    <w:rsid w:val="002E7EDD"/>
    <w:rsid w:val="002F1304"/>
    <w:rsid w:val="002F17E2"/>
    <w:rsid w:val="002F35AC"/>
    <w:rsid w:val="002F3825"/>
    <w:rsid w:val="002F3849"/>
    <w:rsid w:val="002F42F9"/>
    <w:rsid w:val="002F5215"/>
    <w:rsid w:val="002F6CAB"/>
    <w:rsid w:val="002F704D"/>
    <w:rsid w:val="002F76E6"/>
    <w:rsid w:val="002F7DD6"/>
    <w:rsid w:val="003005E7"/>
    <w:rsid w:val="003006D5"/>
    <w:rsid w:val="00302C9B"/>
    <w:rsid w:val="00304E98"/>
    <w:rsid w:val="00304EC6"/>
    <w:rsid w:val="00305A9B"/>
    <w:rsid w:val="003065A3"/>
    <w:rsid w:val="00307EC1"/>
    <w:rsid w:val="00311CFF"/>
    <w:rsid w:val="003133F6"/>
    <w:rsid w:val="00313604"/>
    <w:rsid w:val="003143BA"/>
    <w:rsid w:val="0031467F"/>
    <w:rsid w:val="00314B38"/>
    <w:rsid w:val="00314E58"/>
    <w:rsid w:val="00315928"/>
    <w:rsid w:val="00316C5F"/>
    <w:rsid w:val="00320EFE"/>
    <w:rsid w:val="0032164A"/>
    <w:rsid w:val="003216C0"/>
    <w:rsid w:val="003231F1"/>
    <w:rsid w:val="0032327D"/>
    <w:rsid w:val="00325164"/>
    <w:rsid w:val="003256DA"/>
    <w:rsid w:val="00325785"/>
    <w:rsid w:val="003257C7"/>
    <w:rsid w:val="00325C67"/>
    <w:rsid w:val="00327411"/>
    <w:rsid w:val="003274DA"/>
    <w:rsid w:val="00327FE4"/>
    <w:rsid w:val="00330157"/>
    <w:rsid w:val="00331CFF"/>
    <w:rsid w:val="00331EAD"/>
    <w:rsid w:val="003320E7"/>
    <w:rsid w:val="003321C3"/>
    <w:rsid w:val="003324C5"/>
    <w:rsid w:val="00332F25"/>
    <w:rsid w:val="00332F42"/>
    <w:rsid w:val="00334D70"/>
    <w:rsid w:val="00335BA3"/>
    <w:rsid w:val="00336190"/>
    <w:rsid w:val="0033654C"/>
    <w:rsid w:val="00336762"/>
    <w:rsid w:val="003367C1"/>
    <w:rsid w:val="003368F2"/>
    <w:rsid w:val="00336F7F"/>
    <w:rsid w:val="00337BD8"/>
    <w:rsid w:val="00337E57"/>
    <w:rsid w:val="00341733"/>
    <w:rsid w:val="00343112"/>
    <w:rsid w:val="0034343B"/>
    <w:rsid w:val="003440F4"/>
    <w:rsid w:val="00344F5E"/>
    <w:rsid w:val="00345724"/>
    <w:rsid w:val="00346350"/>
    <w:rsid w:val="0034739B"/>
    <w:rsid w:val="00347504"/>
    <w:rsid w:val="00350187"/>
    <w:rsid w:val="0035032D"/>
    <w:rsid w:val="00350E57"/>
    <w:rsid w:val="00351961"/>
    <w:rsid w:val="0035294C"/>
    <w:rsid w:val="00354468"/>
    <w:rsid w:val="00354757"/>
    <w:rsid w:val="00355A05"/>
    <w:rsid w:val="00355BE3"/>
    <w:rsid w:val="003565D1"/>
    <w:rsid w:val="00357337"/>
    <w:rsid w:val="00360AEB"/>
    <w:rsid w:val="00360C9B"/>
    <w:rsid w:val="00362EAD"/>
    <w:rsid w:val="0036378F"/>
    <w:rsid w:val="00363FD5"/>
    <w:rsid w:val="00364447"/>
    <w:rsid w:val="00364D3C"/>
    <w:rsid w:val="0036548D"/>
    <w:rsid w:val="00366400"/>
    <w:rsid w:val="00366F99"/>
    <w:rsid w:val="0036741F"/>
    <w:rsid w:val="003711B8"/>
    <w:rsid w:val="00371F87"/>
    <w:rsid w:val="00372D38"/>
    <w:rsid w:val="00373431"/>
    <w:rsid w:val="00373B84"/>
    <w:rsid w:val="00374E1F"/>
    <w:rsid w:val="00375096"/>
    <w:rsid w:val="003751E8"/>
    <w:rsid w:val="00375A27"/>
    <w:rsid w:val="003769E6"/>
    <w:rsid w:val="00376AC6"/>
    <w:rsid w:val="003771BF"/>
    <w:rsid w:val="003808EB"/>
    <w:rsid w:val="00380BEC"/>
    <w:rsid w:val="0038168F"/>
    <w:rsid w:val="003817F7"/>
    <w:rsid w:val="00382049"/>
    <w:rsid w:val="00382377"/>
    <w:rsid w:val="0038260F"/>
    <w:rsid w:val="00382999"/>
    <w:rsid w:val="0038374A"/>
    <w:rsid w:val="00383FB8"/>
    <w:rsid w:val="00387470"/>
    <w:rsid w:val="003918D3"/>
    <w:rsid w:val="003930F9"/>
    <w:rsid w:val="00393200"/>
    <w:rsid w:val="00394206"/>
    <w:rsid w:val="0039457D"/>
    <w:rsid w:val="00394F94"/>
    <w:rsid w:val="0039593F"/>
    <w:rsid w:val="00396B00"/>
    <w:rsid w:val="00396F87"/>
    <w:rsid w:val="00397862"/>
    <w:rsid w:val="003A087E"/>
    <w:rsid w:val="003A0D90"/>
    <w:rsid w:val="003A1726"/>
    <w:rsid w:val="003A3065"/>
    <w:rsid w:val="003A3237"/>
    <w:rsid w:val="003A4184"/>
    <w:rsid w:val="003A41C8"/>
    <w:rsid w:val="003A4A1F"/>
    <w:rsid w:val="003A4DB4"/>
    <w:rsid w:val="003A507B"/>
    <w:rsid w:val="003A54C2"/>
    <w:rsid w:val="003A6E05"/>
    <w:rsid w:val="003A7432"/>
    <w:rsid w:val="003A7471"/>
    <w:rsid w:val="003A7D20"/>
    <w:rsid w:val="003B0044"/>
    <w:rsid w:val="003B0A1C"/>
    <w:rsid w:val="003B0E7A"/>
    <w:rsid w:val="003B2655"/>
    <w:rsid w:val="003B321D"/>
    <w:rsid w:val="003B4D9D"/>
    <w:rsid w:val="003C13A2"/>
    <w:rsid w:val="003C194E"/>
    <w:rsid w:val="003C1A8B"/>
    <w:rsid w:val="003C1DC8"/>
    <w:rsid w:val="003C260E"/>
    <w:rsid w:val="003C2A25"/>
    <w:rsid w:val="003C5010"/>
    <w:rsid w:val="003C50E9"/>
    <w:rsid w:val="003C5883"/>
    <w:rsid w:val="003C599F"/>
    <w:rsid w:val="003C651C"/>
    <w:rsid w:val="003D0203"/>
    <w:rsid w:val="003D1BFE"/>
    <w:rsid w:val="003D1FD2"/>
    <w:rsid w:val="003D2B1F"/>
    <w:rsid w:val="003D30A9"/>
    <w:rsid w:val="003D3F22"/>
    <w:rsid w:val="003D4394"/>
    <w:rsid w:val="003D601C"/>
    <w:rsid w:val="003D69CE"/>
    <w:rsid w:val="003D714A"/>
    <w:rsid w:val="003D7BF6"/>
    <w:rsid w:val="003E1576"/>
    <w:rsid w:val="003E2347"/>
    <w:rsid w:val="003E3646"/>
    <w:rsid w:val="003E514E"/>
    <w:rsid w:val="003E6536"/>
    <w:rsid w:val="003E6817"/>
    <w:rsid w:val="003F009D"/>
    <w:rsid w:val="003F2722"/>
    <w:rsid w:val="003F47DD"/>
    <w:rsid w:val="003F5393"/>
    <w:rsid w:val="003F6343"/>
    <w:rsid w:val="003F6FA6"/>
    <w:rsid w:val="003F7FEC"/>
    <w:rsid w:val="00400D70"/>
    <w:rsid w:val="00401E14"/>
    <w:rsid w:val="00402D95"/>
    <w:rsid w:val="00404AC4"/>
    <w:rsid w:val="00404EC9"/>
    <w:rsid w:val="00405C34"/>
    <w:rsid w:val="00405CF4"/>
    <w:rsid w:val="004067FE"/>
    <w:rsid w:val="00412522"/>
    <w:rsid w:val="00412684"/>
    <w:rsid w:val="00412838"/>
    <w:rsid w:val="00412921"/>
    <w:rsid w:val="00412CDC"/>
    <w:rsid w:val="0041344A"/>
    <w:rsid w:val="004138BA"/>
    <w:rsid w:val="00413A18"/>
    <w:rsid w:val="00413DD5"/>
    <w:rsid w:val="00415647"/>
    <w:rsid w:val="00421F00"/>
    <w:rsid w:val="00423187"/>
    <w:rsid w:val="00423906"/>
    <w:rsid w:val="004240E7"/>
    <w:rsid w:val="004250DF"/>
    <w:rsid w:val="00425A80"/>
    <w:rsid w:val="004261F5"/>
    <w:rsid w:val="0043070A"/>
    <w:rsid w:val="00430BF3"/>
    <w:rsid w:val="00430EA7"/>
    <w:rsid w:val="00431ACB"/>
    <w:rsid w:val="00431C95"/>
    <w:rsid w:val="00433B40"/>
    <w:rsid w:val="00433DF2"/>
    <w:rsid w:val="004351C0"/>
    <w:rsid w:val="0043557E"/>
    <w:rsid w:val="00435998"/>
    <w:rsid w:val="00436554"/>
    <w:rsid w:val="004368F5"/>
    <w:rsid w:val="00442155"/>
    <w:rsid w:val="004429E9"/>
    <w:rsid w:val="00443584"/>
    <w:rsid w:val="00443D92"/>
    <w:rsid w:val="0044443F"/>
    <w:rsid w:val="00447073"/>
    <w:rsid w:val="0044740A"/>
    <w:rsid w:val="00451747"/>
    <w:rsid w:val="0045189A"/>
    <w:rsid w:val="00452DDC"/>
    <w:rsid w:val="00453545"/>
    <w:rsid w:val="00453A2F"/>
    <w:rsid w:val="00453FBF"/>
    <w:rsid w:val="004542F5"/>
    <w:rsid w:val="0045459F"/>
    <w:rsid w:val="00454D35"/>
    <w:rsid w:val="004556B4"/>
    <w:rsid w:val="004560D0"/>
    <w:rsid w:val="00456799"/>
    <w:rsid w:val="0046063F"/>
    <w:rsid w:val="004619B3"/>
    <w:rsid w:val="004640EA"/>
    <w:rsid w:val="00465386"/>
    <w:rsid w:val="00465490"/>
    <w:rsid w:val="00466372"/>
    <w:rsid w:val="00466F10"/>
    <w:rsid w:val="00467434"/>
    <w:rsid w:val="00467475"/>
    <w:rsid w:val="0047112D"/>
    <w:rsid w:val="004719C4"/>
    <w:rsid w:val="00473B34"/>
    <w:rsid w:val="00473B7E"/>
    <w:rsid w:val="0047406D"/>
    <w:rsid w:val="00474E3D"/>
    <w:rsid w:val="00475C79"/>
    <w:rsid w:val="00475D05"/>
    <w:rsid w:val="00475F34"/>
    <w:rsid w:val="00475F68"/>
    <w:rsid w:val="00477D1D"/>
    <w:rsid w:val="00480C50"/>
    <w:rsid w:val="0048161E"/>
    <w:rsid w:val="00481A7D"/>
    <w:rsid w:val="00481E1A"/>
    <w:rsid w:val="004822F3"/>
    <w:rsid w:val="00482DB5"/>
    <w:rsid w:val="00483106"/>
    <w:rsid w:val="00483F76"/>
    <w:rsid w:val="004843AB"/>
    <w:rsid w:val="00484649"/>
    <w:rsid w:val="0048553C"/>
    <w:rsid w:val="0049058E"/>
    <w:rsid w:val="00491D41"/>
    <w:rsid w:val="004946B4"/>
    <w:rsid w:val="0049484A"/>
    <w:rsid w:val="004958E7"/>
    <w:rsid w:val="00495F54"/>
    <w:rsid w:val="00496376"/>
    <w:rsid w:val="0049704E"/>
    <w:rsid w:val="004978A2"/>
    <w:rsid w:val="004A08E1"/>
    <w:rsid w:val="004A2FB6"/>
    <w:rsid w:val="004A3378"/>
    <w:rsid w:val="004A3745"/>
    <w:rsid w:val="004A3C3B"/>
    <w:rsid w:val="004A4147"/>
    <w:rsid w:val="004A500B"/>
    <w:rsid w:val="004A6AF6"/>
    <w:rsid w:val="004A6C4E"/>
    <w:rsid w:val="004A6FE3"/>
    <w:rsid w:val="004B00EE"/>
    <w:rsid w:val="004B0DCD"/>
    <w:rsid w:val="004B14CF"/>
    <w:rsid w:val="004B1F03"/>
    <w:rsid w:val="004B32AA"/>
    <w:rsid w:val="004B3AA9"/>
    <w:rsid w:val="004B4C78"/>
    <w:rsid w:val="004B50BE"/>
    <w:rsid w:val="004B5890"/>
    <w:rsid w:val="004B6CC3"/>
    <w:rsid w:val="004B6FB1"/>
    <w:rsid w:val="004C3463"/>
    <w:rsid w:val="004C4294"/>
    <w:rsid w:val="004C44E4"/>
    <w:rsid w:val="004C608F"/>
    <w:rsid w:val="004C6E3A"/>
    <w:rsid w:val="004C741D"/>
    <w:rsid w:val="004C7A95"/>
    <w:rsid w:val="004C7AC4"/>
    <w:rsid w:val="004C7C9B"/>
    <w:rsid w:val="004D2C59"/>
    <w:rsid w:val="004D349E"/>
    <w:rsid w:val="004D49D1"/>
    <w:rsid w:val="004D5D40"/>
    <w:rsid w:val="004D6221"/>
    <w:rsid w:val="004D6568"/>
    <w:rsid w:val="004E0E16"/>
    <w:rsid w:val="004E1195"/>
    <w:rsid w:val="004E406E"/>
    <w:rsid w:val="004E62B2"/>
    <w:rsid w:val="004E69F9"/>
    <w:rsid w:val="004E7184"/>
    <w:rsid w:val="004F0E21"/>
    <w:rsid w:val="004F13A1"/>
    <w:rsid w:val="004F42ED"/>
    <w:rsid w:val="004F4CE7"/>
    <w:rsid w:val="004F5864"/>
    <w:rsid w:val="004F5C9B"/>
    <w:rsid w:val="004F6B51"/>
    <w:rsid w:val="004F7198"/>
    <w:rsid w:val="004F7DC1"/>
    <w:rsid w:val="0050026A"/>
    <w:rsid w:val="00501C09"/>
    <w:rsid w:val="00502D21"/>
    <w:rsid w:val="00502F96"/>
    <w:rsid w:val="0050316A"/>
    <w:rsid w:val="00503CD5"/>
    <w:rsid w:val="00503E99"/>
    <w:rsid w:val="005056EB"/>
    <w:rsid w:val="005058F3"/>
    <w:rsid w:val="00505AF1"/>
    <w:rsid w:val="005066B1"/>
    <w:rsid w:val="00506DBA"/>
    <w:rsid w:val="00506E86"/>
    <w:rsid w:val="00510A25"/>
    <w:rsid w:val="00511A8A"/>
    <w:rsid w:val="005175D5"/>
    <w:rsid w:val="0051768C"/>
    <w:rsid w:val="00517886"/>
    <w:rsid w:val="00520153"/>
    <w:rsid w:val="005201BB"/>
    <w:rsid w:val="0052033F"/>
    <w:rsid w:val="00520491"/>
    <w:rsid w:val="005205FC"/>
    <w:rsid w:val="00520D3B"/>
    <w:rsid w:val="0052108D"/>
    <w:rsid w:val="005210D6"/>
    <w:rsid w:val="00521639"/>
    <w:rsid w:val="005224C6"/>
    <w:rsid w:val="005225B6"/>
    <w:rsid w:val="00524498"/>
    <w:rsid w:val="00524F82"/>
    <w:rsid w:val="005251E2"/>
    <w:rsid w:val="00526C6F"/>
    <w:rsid w:val="005277EB"/>
    <w:rsid w:val="005304B3"/>
    <w:rsid w:val="005313B5"/>
    <w:rsid w:val="00531F59"/>
    <w:rsid w:val="00532252"/>
    <w:rsid w:val="00535724"/>
    <w:rsid w:val="005363AE"/>
    <w:rsid w:val="00536DD6"/>
    <w:rsid w:val="00540D47"/>
    <w:rsid w:val="00540F39"/>
    <w:rsid w:val="00541197"/>
    <w:rsid w:val="0054221F"/>
    <w:rsid w:val="00542F10"/>
    <w:rsid w:val="0054330D"/>
    <w:rsid w:val="005441EE"/>
    <w:rsid w:val="00544D83"/>
    <w:rsid w:val="00544DA8"/>
    <w:rsid w:val="00545EF7"/>
    <w:rsid w:val="00546AE6"/>
    <w:rsid w:val="0054734C"/>
    <w:rsid w:val="005475DD"/>
    <w:rsid w:val="00547D6C"/>
    <w:rsid w:val="00547F1E"/>
    <w:rsid w:val="00550B5A"/>
    <w:rsid w:val="00551BC0"/>
    <w:rsid w:val="00551EE7"/>
    <w:rsid w:val="00552967"/>
    <w:rsid w:val="00552A30"/>
    <w:rsid w:val="00553198"/>
    <w:rsid w:val="005543F6"/>
    <w:rsid w:val="0055544C"/>
    <w:rsid w:val="00556025"/>
    <w:rsid w:val="00556435"/>
    <w:rsid w:val="00557BBF"/>
    <w:rsid w:val="00557EBC"/>
    <w:rsid w:val="00560F90"/>
    <w:rsid w:val="005619F4"/>
    <w:rsid w:val="00562139"/>
    <w:rsid w:val="00562CD6"/>
    <w:rsid w:val="00563537"/>
    <w:rsid w:val="005635ED"/>
    <w:rsid w:val="00565C58"/>
    <w:rsid w:val="00566389"/>
    <w:rsid w:val="00570264"/>
    <w:rsid w:val="005715E1"/>
    <w:rsid w:val="0057180D"/>
    <w:rsid w:val="00572921"/>
    <w:rsid w:val="00572CC0"/>
    <w:rsid w:val="00573519"/>
    <w:rsid w:val="00573572"/>
    <w:rsid w:val="0057357C"/>
    <w:rsid w:val="005764C5"/>
    <w:rsid w:val="005771CB"/>
    <w:rsid w:val="005772BF"/>
    <w:rsid w:val="00580553"/>
    <w:rsid w:val="005807BC"/>
    <w:rsid w:val="00580EBC"/>
    <w:rsid w:val="005815FE"/>
    <w:rsid w:val="0058160C"/>
    <w:rsid w:val="00581DDF"/>
    <w:rsid w:val="00583374"/>
    <w:rsid w:val="00584E79"/>
    <w:rsid w:val="00586ABD"/>
    <w:rsid w:val="0059126A"/>
    <w:rsid w:val="00591B97"/>
    <w:rsid w:val="0059266D"/>
    <w:rsid w:val="00592DAF"/>
    <w:rsid w:val="00594458"/>
    <w:rsid w:val="005944FE"/>
    <w:rsid w:val="0059485A"/>
    <w:rsid w:val="00595929"/>
    <w:rsid w:val="00595C97"/>
    <w:rsid w:val="00595CF4"/>
    <w:rsid w:val="00595F9A"/>
    <w:rsid w:val="00596A92"/>
    <w:rsid w:val="00596ACB"/>
    <w:rsid w:val="00597C2B"/>
    <w:rsid w:val="005A0176"/>
    <w:rsid w:val="005A4DC3"/>
    <w:rsid w:val="005A67CD"/>
    <w:rsid w:val="005A6E52"/>
    <w:rsid w:val="005B189C"/>
    <w:rsid w:val="005B1B21"/>
    <w:rsid w:val="005B2C2A"/>
    <w:rsid w:val="005B3725"/>
    <w:rsid w:val="005B44F9"/>
    <w:rsid w:val="005B5691"/>
    <w:rsid w:val="005B7451"/>
    <w:rsid w:val="005B78D2"/>
    <w:rsid w:val="005C0AA4"/>
    <w:rsid w:val="005C107F"/>
    <w:rsid w:val="005C2A94"/>
    <w:rsid w:val="005C2C5F"/>
    <w:rsid w:val="005C3662"/>
    <w:rsid w:val="005C39FF"/>
    <w:rsid w:val="005C40CD"/>
    <w:rsid w:val="005C4250"/>
    <w:rsid w:val="005C4F15"/>
    <w:rsid w:val="005C603E"/>
    <w:rsid w:val="005C79F2"/>
    <w:rsid w:val="005D00BA"/>
    <w:rsid w:val="005D09EA"/>
    <w:rsid w:val="005D0CDF"/>
    <w:rsid w:val="005D118A"/>
    <w:rsid w:val="005D3471"/>
    <w:rsid w:val="005D486E"/>
    <w:rsid w:val="005D55D5"/>
    <w:rsid w:val="005D5A29"/>
    <w:rsid w:val="005D6243"/>
    <w:rsid w:val="005D646D"/>
    <w:rsid w:val="005D64A4"/>
    <w:rsid w:val="005D6981"/>
    <w:rsid w:val="005D707A"/>
    <w:rsid w:val="005E0082"/>
    <w:rsid w:val="005E0219"/>
    <w:rsid w:val="005E0375"/>
    <w:rsid w:val="005E09B1"/>
    <w:rsid w:val="005E196C"/>
    <w:rsid w:val="005E24D3"/>
    <w:rsid w:val="005E28CC"/>
    <w:rsid w:val="005E2C54"/>
    <w:rsid w:val="005E468A"/>
    <w:rsid w:val="005E511D"/>
    <w:rsid w:val="005E5384"/>
    <w:rsid w:val="005E59B6"/>
    <w:rsid w:val="005E68C9"/>
    <w:rsid w:val="005E6C3A"/>
    <w:rsid w:val="005E6C8D"/>
    <w:rsid w:val="005E77B2"/>
    <w:rsid w:val="005F16EC"/>
    <w:rsid w:val="005F1FC0"/>
    <w:rsid w:val="005F29E6"/>
    <w:rsid w:val="005F2D94"/>
    <w:rsid w:val="005F3473"/>
    <w:rsid w:val="006007B2"/>
    <w:rsid w:val="00601215"/>
    <w:rsid w:val="0060169C"/>
    <w:rsid w:val="006023E2"/>
    <w:rsid w:val="006041A7"/>
    <w:rsid w:val="006048C6"/>
    <w:rsid w:val="00604BE6"/>
    <w:rsid w:val="0060761C"/>
    <w:rsid w:val="00607B65"/>
    <w:rsid w:val="0061114D"/>
    <w:rsid w:val="00611706"/>
    <w:rsid w:val="00613A05"/>
    <w:rsid w:val="0061456C"/>
    <w:rsid w:val="00614F50"/>
    <w:rsid w:val="00616036"/>
    <w:rsid w:val="00620272"/>
    <w:rsid w:val="00620CCE"/>
    <w:rsid w:val="0062105A"/>
    <w:rsid w:val="00623903"/>
    <w:rsid w:val="00623E10"/>
    <w:rsid w:val="0062582B"/>
    <w:rsid w:val="00625B4B"/>
    <w:rsid w:val="006266F5"/>
    <w:rsid w:val="0062692E"/>
    <w:rsid w:val="00626B87"/>
    <w:rsid w:val="00627051"/>
    <w:rsid w:val="00630989"/>
    <w:rsid w:val="00631FCE"/>
    <w:rsid w:val="0063251C"/>
    <w:rsid w:val="00633DDC"/>
    <w:rsid w:val="00635E37"/>
    <w:rsid w:val="00636338"/>
    <w:rsid w:val="00636D4C"/>
    <w:rsid w:val="0064080B"/>
    <w:rsid w:val="006424FF"/>
    <w:rsid w:val="006429F9"/>
    <w:rsid w:val="00643672"/>
    <w:rsid w:val="00643845"/>
    <w:rsid w:val="00643EE0"/>
    <w:rsid w:val="00645556"/>
    <w:rsid w:val="0064597C"/>
    <w:rsid w:val="0064730C"/>
    <w:rsid w:val="00650A4F"/>
    <w:rsid w:val="00650D38"/>
    <w:rsid w:val="006517CA"/>
    <w:rsid w:val="00653C36"/>
    <w:rsid w:val="006573D4"/>
    <w:rsid w:val="00660632"/>
    <w:rsid w:val="00660DA6"/>
    <w:rsid w:val="00663E77"/>
    <w:rsid w:val="0066407B"/>
    <w:rsid w:val="00664F48"/>
    <w:rsid w:val="00665B8A"/>
    <w:rsid w:val="006660EA"/>
    <w:rsid w:val="00667097"/>
    <w:rsid w:val="00667231"/>
    <w:rsid w:val="0066755E"/>
    <w:rsid w:val="00667618"/>
    <w:rsid w:val="0066776D"/>
    <w:rsid w:val="00667E5D"/>
    <w:rsid w:val="006702CB"/>
    <w:rsid w:val="006709DE"/>
    <w:rsid w:val="00670AC8"/>
    <w:rsid w:val="00671A5D"/>
    <w:rsid w:val="00672700"/>
    <w:rsid w:val="00672CED"/>
    <w:rsid w:val="00674656"/>
    <w:rsid w:val="00674F80"/>
    <w:rsid w:val="006767BE"/>
    <w:rsid w:val="00676A13"/>
    <w:rsid w:val="00677EE3"/>
    <w:rsid w:val="006807FC"/>
    <w:rsid w:val="006813D2"/>
    <w:rsid w:val="00681FA4"/>
    <w:rsid w:val="006823AE"/>
    <w:rsid w:val="00682951"/>
    <w:rsid w:val="00683F3B"/>
    <w:rsid w:val="00684793"/>
    <w:rsid w:val="00684E73"/>
    <w:rsid w:val="00685F82"/>
    <w:rsid w:val="0069134F"/>
    <w:rsid w:val="006925F6"/>
    <w:rsid w:val="00692AB1"/>
    <w:rsid w:val="00692C2F"/>
    <w:rsid w:val="00692E4E"/>
    <w:rsid w:val="00693794"/>
    <w:rsid w:val="0069430E"/>
    <w:rsid w:val="006957B7"/>
    <w:rsid w:val="00695845"/>
    <w:rsid w:val="00695D66"/>
    <w:rsid w:val="00696197"/>
    <w:rsid w:val="006962C1"/>
    <w:rsid w:val="006A01E9"/>
    <w:rsid w:val="006A01F1"/>
    <w:rsid w:val="006A14A2"/>
    <w:rsid w:val="006A3E8E"/>
    <w:rsid w:val="006A4099"/>
    <w:rsid w:val="006A49B4"/>
    <w:rsid w:val="006A647D"/>
    <w:rsid w:val="006A67D0"/>
    <w:rsid w:val="006B10CD"/>
    <w:rsid w:val="006B1E70"/>
    <w:rsid w:val="006B2134"/>
    <w:rsid w:val="006B27B0"/>
    <w:rsid w:val="006B4336"/>
    <w:rsid w:val="006B7652"/>
    <w:rsid w:val="006B78CE"/>
    <w:rsid w:val="006B7E44"/>
    <w:rsid w:val="006C02BF"/>
    <w:rsid w:val="006C0D80"/>
    <w:rsid w:val="006C2B69"/>
    <w:rsid w:val="006C3ED4"/>
    <w:rsid w:val="006C4304"/>
    <w:rsid w:val="006C57EA"/>
    <w:rsid w:val="006C6272"/>
    <w:rsid w:val="006C6ACC"/>
    <w:rsid w:val="006C7248"/>
    <w:rsid w:val="006C7301"/>
    <w:rsid w:val="006C7766"/>
    <w:rsid w:val="006D0A75"/>
    <w:rsid w:val="006D0E6A"/>
    <w:rsid w:val="006D1351"/>
    <w:rsid w:val="006D1CB5"/>
    <w:rsid w:val="006D1FF8"/>
    <w:rsid w:val="006D3C0F"/>
    <w:rsid w:val="006D5583"/>
    <w:rsid w:val="006D5AF2"/>
    <w:rsid w:val="006D5B53"/>
    <w:rsid w:val="006D5F27"/>
    <w:rsid w:val="006D6ED7"/>
    <w:rsid w:val="006D7475"/>
    <w:rsid w:val="006D74D1"/>
    <w:rsid w:val="006D7754"/>
    <w:rsid w:val="006E1056"/>
    <w:rsid w:val="006E299F"/>
    <w:rsid w:val="006E3BC3"/>
    <w:rsid w:val="006E4967"/>
    <w:rsid w:val="006E4E1C"/>
    <w:rsid w:val="006E5008"/>
    <w:rsid w:val="006E56AA"/>
    <w:rsid w:val="006E5A8E"/>
    <w:rsid w:val="006E6448"/>
    <w:rsid w:val="006E6B31"/>
    <w:rsid w:val="006E77C8"/>
    <w:rsid w:val="006E7E4B"/>
    <w:rsid w:val="006F0CC6"/>
    <w:rsid w:val="006F4D5B"/>
    <w:rsid w:val="006F637A"/>
    <w:rsid w:val="006F6FF4"/>
    <w:rsid w:val="0070243A"/>
    <w:rsid w:val="00704539"/>
    <w:rsid w:val="00705E9F"/>
    <w:rsid w:val="00705F59"/>
    <w:rsid w:val="00707083"/>
    <w:rsid w:val="0071039B"/>
    <w:rsid w:val="00710657"/>
    <w:rsid w:val="0071088D"/>
    <w:rsid w:val="0071165D"/>
    <w:rsid w:val="0071221C"/>
    <w:rsid w:val="007124A9"/>
    <w:rsid w:val="007126F5"/>
    <w:rsid w:val="00712C2E"/>
    <w:rsid w:val="00713341"/>
    <w:rsid w:val="00713513"/>
    <w:rsid w:val="007137FB"/>
    <w:rsid w:val="0071387B"/>
    <w:rsid w:val="00713C42"/>
    <w:rsid w:val="00713E4F"/>
    <w:rsid w:val="0071416C"/>
    <w:rsid w:val="00714A36"/>
    <w:rsid w:val="00715A70"/>
    <w:rsid w:val="00715E6E"/>
    <w:rsid w:val="007165A3"/>
    <w:rsid w:val="00716F01"/>
    <w:rsid w:val="00721C87"/>
    <w:rsid w:val="00723346"/>
    <w:rsid w:val="00724136"/>
    <w:rsid w:val="0072627D"/>
    <w:rsid w:val="0073023D"/>
    <w:rsid w:val="0073051E"/>
    <w:rsid w:val="007306AA"/>
    <w:rsid w:val="007311F5"/>
    <w:rsid w:val="00732869"/>
    <w:rsid w:val="00733CD1"/>
    <w:rsid w:val="00734AD1"/>
    <w:rsid w:val="00734DCA"/>
    <w:rsid w:val="0073558E"/>
    <w:rsid w:val="0073676E"/>
    <w:rsid w:val="00736D9A"/>
    <w:rsid w:val="00740D9D"/>
    <w:rsid w:val="007418DB"/>
    <w:rsid w:val="00743961"/>
    <w:rsid w:val="00746B1A"/>
    <w:rsid w:val="0074744F"/>
    <w:rsid w:val="0075011F"/>
    <w:rsid w:val="00750363"/>
    <w:rsid w:val="0075144E"/>
    <w:rsid w:val="00751466"/>
    <w:rsid w:val="00752140"/>
    <w:rsid w:val="00756160"/>
    <w:rsid w:val="007566F7"/>
    <w:rsid w:val="00756BB1"/>
    <w:rsid w:val="00757A27"/>
    <w:rsid w:val="00757B38"/>
    <w:rsid w:val="007615B9"/>
    <w:rsid w:val="00761DE3"/>
    <w:rsid w:val="007634A6"/>
    <w:rsid w:val="00763A96"/>
    <w:rsid w:val="007640A4"/>
    <w:rsid w:val="0076433E"/>
    <w:rsid w:val="007649F0"/>
    <w:rsid w:val="00764AC3"/>
    <w:rsid w:val="00770998"/>
    <w:rsid w:val="00771110"/>
    <w:rsid w:val="00771319"/>
    <w:rsid w:val="00771ADD"/>
    <w:rsid w:val="007732E7"/>
    <w:rsid w:val="007734BE"/>
    <w:rsid w:val="00773A45"/>
    <w:rsid w:val="007749E6"/>
    <w:rsid w:val="00774AC1"/>
    <w:rsid w:val="00775C27"/>
    <w:rsid w:val="007761A2"/>
    <w:rsid w:val="0077746B"/>
    <w:rsid w:val="00777C47"/>
    <w:rsid w:val="007803DB"/>
    <w:rsid w:val="00780BCA"/>
    <w:rsid w:val="00780CC5"/>
    <w:rsid w:val="00780CE3"/>
    <w:rsid w:val="00781168"/>
    <w:rsid w:val="0078118F"/>
    <w:rsid w:val="00781BBD"/>
    <w:rsid w:val="0078274B"/>
    <w:rsid w:val="00782779"/>
    <w:rsid w:val="00783349"/>
    <w:rsid w:val="0078381A"/>
    <w:rsid w:val="0078394F"/>
    <w:rsid w:val="00783E35"/>
    <w:rsid w:val="00785394"/>
    <w:rsid w:val="0078570F"/>
    <w:rsid w:val="0078635A"/>
    <w:rsid w:val="0078771E"/>
    <w:rsid w:val="00787F67"/>
    <w:rsid w:val="00791091"/>
    <w:rsid w:val="00791F55"/>
    <w:rsid w:val="0079281A"/>
    <w:rsid w:val="00792EDC"/>
    <w:rsid w:val="00792F12"/>
    <w:rsid w:val="00792F74"/>
    <w:rsid w:val="00793CAC"/>
    <w:rsid w:val="00793D5A"/>
    <w:rsid w:val="00794D0A"/>
    <w:rsid w:val="007965D3"/>
    <w:rsid w:val="00797DCC"/>
    <w:rsid w:val="00797EA3"/>
    <w:rsid w:val="007A0BE9"/>
    <w:rsid w:val="007A2941"/>
    <w:rsid w:val="007A3BDE"/>
    <w:rsid w:val="007A5BB1"/>
    <w:rsid w:val="007A67B7"/>
    <w:rsid w:val="007A7EDD"/>
    <w:rsid w:val="007B0088"/>
    <w:rsid w:val="007B1BB1"/>
    <w:rsid w:val="007B2482"/>
    <w:rsid w:val="007B30E4"/>
    <w:rsid w:val="007B4174"/>
    <w:rsid w:val="007B439E"/>
    <w:rsid w:val="007B5247"/>
    <w:rsid w:val="007B5978"/>
    <w:rsid w:val="007B72AF"/>
    <w:rsid w:val="007C1B5B"/>
    <w:rsid w:val="007C213E"/>
    <w:rsid w:val="007C3EA6"/>
    <w:rsid w:val="007C567A"/>
    <w:rsid w:val="007C5EA4"/>
    <w:rsid w:val="007C6BE6"/>
    <w:rsid w:val="007C6FE0"/>
    <w:rsid w:val="007C7067"/>
    <w:rsid w:val="007C7461"/>
    <w:rsid w:val="007D1E34"/>
    <w:rsid w:val="007D2086"/>
    <w:rsid w:val="007D24F3"/>
    <w:rsid w:val="007D29C9"/>
    <w:rsid w:val="007D361E"/>
    <w:rsid w:val="007D463C"/>
    <w:rsid w:val="007D5418"/>
    <w:rsid w:val="007D5606"/>
    <w:rsid w:val="007D6186"/>
    <w:rsid w:val="007D667C"/>
    <w:rsid w:val="007D682D"/>
    <w:rsid w:val="007D6C01"/>
    <w:rsid w:val="007D6DCE"/>
    <w:rsid w:val="007D6F05"/>
    <w:rsid w:val="007E2066"/>
    <w:rsid w:val="007E400A"/>
    <w:rsid w:val="007E66F7"/>
    <w:rsid w:val="007E7C59"/>
    <w:rsid w:val="007F0DC3"/>
    <w:rsid w:val="007F23C5"/>
    <w:rsid w:val="007F2850"/>
    <w:rsid w:val="007F2A10"/>
    <w:rsid w:val="007F4835"/>
    <w:rsid w:val="007F4A97"/>
    <w:rsid w:val="007F5305"/>
    <w:rsid w:val="007F5949"/>
    <w:rsid w:val="007F5C18"/>
    <w:rsid w:val="007F682D"/>
    <w:rsid w:val="007F7F70"/>
    <w:rsid w:val="00801494"/>
    <w:rsid w:val="00801789"/>
    <w:rsid w:val="00801A2E"/>
    <w:rsid w:val="00802503"/>
    <w:rsid w:val="0080320A"/>
    <w:rsid w:val="008039C3"/>
    <w:rsid w:val="008041A6"/>
    <w:rsid w:val="008045B9"/>
    <w:rsid w:val="008057C5"/>
    <w:rsid w:val="0080597D"/>
    <w:rsid w:val="0080609D"/>
    <w:rsid w:val="0081049F"/>
    <w:rsid w:val="00811C09"/>
    <w:rsid w:val="00811D44"/>
    <w:rsid w:val="008124F5"/>
    <w:rsid w:val="0081267A"/>
    <w:rsid w:val="0081271E"/>
    <w:rsid w:val="008132DB"/>
    <w:rsid w:val="008138FB"/>
    <w:rsid w:val="00813E7B"/>
    <w:rsid w:val="00814095"/>
    <w:rsid w:val="00814D8C"/>
    <w:rsid w:val="00816641"/>
    <w:rsid w:val="00816B41"/>
    <w:rsid w:val="00816E2C"/>
    <w:rsid w:val="008171CB"/>
    <w:rsid w:val="008202EE"/>
    <w:rsid w:val="00820674"/>
    <w:rsid w:val="00820B14"/>
    <w:rsid w:val="0082124A"/>
    <w:rsid w:val="00821AA7"/>
    <w:rsid w:val="00821CA3"/>
    <w:rsid w:val="00823943"/>
    <w:rsid w:val="00823BD4"/>
    <w:rsid w:val="00824881"/>
    <w:rsid w:val="00825340"/>
    <w:rsid w:val="0082560F"/>
    <w:rsid w:val="00825C0E"/>
    <w:rsid w:val="00826FC5"/>
    <w:rsid w:val="00827502"/>
    <w:rsid w:val="00827A69"/>
    <w:rsid w:val="00831001"/>
    <w:rsid w:val="008329B7"/>
    <w:rsid w:val="00832B0D"/>
    <w:rsid w:val="00833367"/>
    <w:rsid w:val="008347F3"/>
    <w:rsid w:val="008364FB"/>
    <w:rsid w:val="00836E56"/>
    <w:rsid w:val="00837A8A"/>
    <w:rsid w:val="00840D2E"/>
    <w:rsid w:val="00840E47"/>
    <w:rsid w:val="0084194B"/>
    <w:rsid w:val="00842AC8"/>
    <w:rsid w:val="00842BB0"/>
    <w:rsid w:val="00842EE4"/>
    <w:rsid w:val="00844F59"/>
    <w:rsid w:val="00845F2E"/>
    <w:rsid w:val="00846098"/>
    <w:rsid w:val="008460F3"/>
    <w:rsid w:val="00847F3D"/>
    <w:rsid w:val="00851A8E"/>
    <w:rsid w:val="00852C9E"/>
    <w:rsid w:val="00852ECF"/>
    <w:rsid w:val="008533F1"/>
    <w:rsid w:val="008535FC"/>
    <w:rsid w:val="00853FB0"/>
    <w:rsid w:val="00854042"/>
    <w:rsid w:val="00854199"/>
    <w:rsid w:val="008556AB"/>
    <w:rsid w:val="008560A6"/>
    <w:rsid w:val="0085796D"/>
    <w:rsid w:val="0086134A"/>
    <w:rsid w:val="008627ED"/>
    <w:rsid w:val="00862E36"/>
    <w:rsid w:val="00862F17"/>
    <w:rsid w:val="0086427F"/>
    <w:rsid w:val="0086453C"/>
    <w:rsid w:val="0086604D"/>
    <w:rsid w:val="008700D0"/>
    <w:rsid w:val="008706EB"/>
    <w:rsid w:val="00872D55"/>
    <w:rsid w:val="00873334"/>
    <w:rsid w:val="0087345B"/>
    <w:rsid w:val="00873ECC"/>
    <w:rsid w:val="00875821"/>
    <w:rsid w:val="00876DBA"/>
    <w:rsid w:val="00877020"/>
    <w:rsid w:val="00880E90"/>
    <w:rsid w:val="00883263"/>
    <w:rsid w:val="00884325"/>
    <w:rsid w:val="00885AA4"/>
    <w:rsid w:val="0088702B"/>
    <w:rsid w:val="00890506"/>
    <w:rsid w:val="00891BCB"/>
    <w:rsid w:val="00892E77"/>
    <w:rsid w:val="00893005"/>
    <w:rsid w:val="0089315B"/>
    <w:rsid w:val="00893762"/>
    <w:rsid w:val="00893999"/>
    <w:rsid w:val="00894354"/>
    <w:rsid w:val="008946FA"/>
    <w:rsid w:val="0089481E"/>
    <w:rsid w:val="00894C47"/>
    <w:rsid w:val="00894CA9"/>
    <w:rsid w:val="00894DFE"/>
    <w:rsid w:val="00895668"/>
    <w:rsid w:val="00895FD5"/>
    <w:rsid w:val="008974D2"/>
    <w:rsid w:val="00897A7D"/>
    <w:rsid w:val="00897B3F"/>
    <w:rsid w:val="00897BE4"/>
    <w:rsid w:val="008A1693"/>
    <w:rsid w:val="008A253E"/>
    <w:rsid w:val="008A29B0"/>
    <w:rsid w:val="008A39FC"/>
    <w:rsid w:val="008A41F7"/>
    <w:rsid w:val="008A4618"/>
    <w:rsid w:val="008A4E7F"/>
    <w:rsid w:val="008A51A3"/>
    <w:rsid w:val="008A72F5"/>
    <w:rsid w:val="008A7926"/>
    <w:rsid w:val="008B04C5"/>
    <w:rsid w:val="008B0DF3"/>
    <w:rsid w:val="008B11D5"/>
    <w:rsid w:val="008B1DC6"/>
    <w:rsid w:val="008B26C1"/>
    <w:rsid w:val="008B6AD0"/>
    <w:rsid w:val="008B7407"/>
    <w:rsid w:val="008C0018"/>
    <w:rsid w:val="008C05E7"/>
    <w:rsid w:val="008C0E51"/>
    <w:rsid w:val="008C2BC4"/>
    <w:rsid w:val="008C3E92"/>
    <w:rsid w:val="008C3EE7"/>
    <w:rsid w:val="008C4799"/>
    <w:rsid w:val="008C5C02"/>
    <w:rsid w:val="008C5E4D"/>
    <w:rsid w:val="008D02DB"/>
    <w:rsid w:val="008D1640"/>
    <w:rsid w:val="008D1EBE"/>
    <w:rsid w:val="008D3D43"/>
    <w:rsid w:val="008D48E1"/>
    <w:rsid w:val="008D6D95"/>
    <w:rsid w:val="008E03B5"/>
    <w:rsid w:val="008E31A2"/>
    <w:rsid w:val="008E4446"/>
    <w:rsid w:val="008E4B2B"/>
    <w:rsid w:val="008E5164"/>
    <w:rsid w:val="008E53CC"/>
    <w:rsid w:val="008E55D6"/>
    <w:rsid w:val="008E6AA5"/>
    <w:rsid w:val="008E7D36"/>
    <w:rsid w:val="008F1514"/>
    <w:rsid w:val="008F3605"/>
    <w:rsid w:val="008F3DDD"/>
    <w:rsid w:val="008F4F0C"/>
    <w:rsid w:val="008F5CA0"/>
    <w:rsid w:val="008F642B"/>
    <w:rsid w:val="008F6F44"/>
    <w:rsid w:val="008F7F54"/>
    <w:rsid w:val="008F7FD7"/>
    <w:rsid w:val="009013E0"/>
    <w:rsid w:val="0090153B"/>
    <w:rsid w:val="00901C76"/>
    <w:rsid w:val="0090229C"/>
    <w:rsid w:val="00902615"/>
    <w:rsid w:val="009039DE"/>
    <w:rsid w:val="00903B50"/>
    <w:rsid w:val="00904A88"/>
    <w:rsid w:val="009056A2"/>
    <w:rsid w:val="00905A40"/>
    <w:rsid w:val="00905EB3"/>
    <w:rsid w:val="009060D2"/>
    <w:rsid w:val="00907D5D"/>
    <w:rsid w:val="00910C47"/>
    <w:rsid w:val="009111DD"/>
    <w:rsid w:val="00913CCB"/>
    <w:rsid w:val="00913D54"/>
    <w:rsid w:val="00916795"/>
    <w:rsid w:val="00917D4E"/>
    <w:rsid w:val="009210AD"/>
    <w:rsid w:val="0092204C"/>
    <w:rsid w:val="0092278B"/>
    <w:rsid w:val="00922D31"/>
    <w:rsid w:val="00924450"/>
    <w:rsid w:val="00925129"/>
    <w:rsid w:val="00925851"/>
    <w:rsid w:val="00926258"/>
    <w:rsid w:val="0092628E"/>
    <w:rsid w:val="009262AA"/>
    <w:rsid w:val="0092641E"/>
    <w:rsid w:val="009270F5"/>
    <w:rsid w:val="009304E5"/>
    <w:rsid w:val="0093086B"/>
    <w:rsid w:val="00931289"/>
    <w:rsid w:val="00931431"/>
    <w:rsid w:val="00931702"/>
    <w:rsid w:val="00934B25"/>
    <w:rsid w:val="00934BF0"/>
    <w:rsid w:val="00934DFD"/>
    <w:rsid w:val="009355D7"/>
    <w:rsid w:val="009358E7"/>
    <w:rsid w:val="0093756C"/>
    <w:rsid w:val="00940698"/>
    <w:rsid w:val="0094080A"/>
    <w:rsid w:val="00940E06"/>
    <w:rsid w:val="00941740"/>
    <w:rsid w:val="00941B7A"/>
    <w:rsid w:val="00941D13"/>
    <w:rsid w:val="0094339B"/>
    <w:rsid w:val="00943506"/>
    <w:rsid w:val="009437F3"/>
    <w:rsid w:val="00943E27"/>
    <w:rsid w:val="00944596"/>
    <w:rsid w:val="009446DA"/>
    <w:rsid w:val="00944BEA"/>
    <w:rsid w:val="0094514E"/>
    <w:rsid w:val="00947C8C"/>
    <w:rsid w:val="009505AF"/>
    <w:rsid w:val="0095106E"/>
    <w:rsid w:val="00951C62"/>
    <w:rsid w:val="00952F5C"/>
    <w:rsid w:val="00954B50"/>
    <w:rsid w:val="00954FDA"/>
    <w:rsid w:val="00956E03"/>
    <w:rsid w:val="00956F80"/>
    <w:rsid w:val="00960287"/>
    <w:rsid w:val="00960564"/>
    <w:rsid w:val="00960C2E"/>
    <w:rsid w:val="0096171A"/>
    <w:rsid w:val="0096273B"/>
    <w:rsid w:val="00962DE0"/>
    <w:rsid w:val="00963266"/>
    <w:rsid w:val="009649A2"/>
    <w:rsid w:val="00965486"/>
    <w:rsid w:val="009655B3"/>
    <w:rsid w:val="00966108"/>
    <w:rsid w:val="0096677F"/>
    <w:rsid w:val="0096723F"/>
    <w:rsid w:val="00967D86"/>
    <w:rsid w:val="00971198"/>
    <w:rsid w:val="00972022"/>
    <w:rsid w:val="00974690"/>
    <w:rsid w:val="00974C6C"/>
    <w:rsid w:val="00975448"/>
    <w:rsid w:val="0097557B"/>
    <w:rsid w:val="00975C13"/>
    <w:rsid w:val="009770AD"/>
    <w:rsid w:val="00977713"/>
    <w:rsid w:val="009804F9"/>
    <w:rsid w:val="00981484"/>
    <w:rsid w:val="00983ECC"/>
    <w:rsid w:val="00983F9B"/>
    <w:rsid w:val="00984313"/>
    <w:rsid w:val="00985518"/>
    <w:rsid w:val="00986064"/>
    <w:rsid w:val="00987883"/>
    <w:rsid w:val="00987D05"/>
    <w:rsid w:val="009912EB"/>
    <w:rsid w:val="009914CF"/>
    <w:rsid w:val="00991C31"/>
    <w:rsid w:val="009935FE"/>
    <w:rsid w:val="009956CB"/>
    <w:rsid w:val="009963EA"/>
    <w:rsid w:val="009969FC"/>
    <w:rsid w:val="009A0DE9"/>
    <w:rsid w:val="009A1E8E"/>
    <w:rsid w:val="009A2EB0"/>
    <w:rsid w:val="009A37F8"/>
    <w:rsid w:val="009A5286"/>
    <w:rsid w:val="009A53A9"/>
    <w:rsid w:val="009A5698"/>
    <w:rsid w:val="009A56D8"/>
    <w:rsid w:val="009A5E86"/>
    <w:rsid w:val="009A5E9D"/>
    <w:rsid w:val="009B0CE2"/>
    <w:rsid w:val="009B10D1"/>
    <w:rsid w:val="009B18CA"/>
    <w:rsid w:val="009B1C47"/>
    <w:rsid w:val="009B30DA"/>
    <w:rsid w:val="009B422D"/>
    <w:rsid w:val="009B45A0"/>
    <w:rsid w:val="009B49B0"/>
    <w:rsid w:val="009B5AB1"/>
    <w:rsid w:val="009C2550"/>
    <w:rsid w:val="009C2636"/>
    <w:rsid w:val="009C31D1"/>
    <w:rsid w:val="009C3963"/>
    <w:rsid w:val="009C54AE"/>
    <w:rsid w:val="009C68C9"/>
    <w:rsid w:val="009C7184"/>
    <w:rsid w:val="009C7606"/>
    <w:rsid w:val="009D021D"/>
    <w:rsid w:val="009D0520"/>
    <w:rsid w:val="009D0F3D"/>
    <w:rsid w:val="009D1689"/>
    <w:rsid w:val="009D1A57"/>
    <w:rsid w:val="009D208D"/>
    <w:rsid w:val="009D34DF"/>
    <w:rsid w:val="009D360D"/>
    <w:rsid w:val="009D562D"/>
    <w:rsid w:val="009D667B"/>
    <w:rsid w:val="009D728B"/>
    <w:rsid w:val="009D7481"/>
    <w:rsid w:val="009D7846"/>
    <w:rsid w:val="009E0A7C"/>
    <w:rsid w:val="009E1A78"/>
    <w:rsid w:val="009E2347"/>
    <w:rsid w:val="009E2542"/>
    <w:rsid w:val="009E3519"/>
    <w:rsid w:val="009E37FF"/>
    <w:rsid w:val="009E3DC6"/>
    <w:rsid w:val="009E6853"/>
    <w:rsid w:val="009E71EE"/>
    <w:rsid w:val="009E79FC"/>
    <w:rsid w:val="009E7C85"/>
    <w:rsid w:val="009F1CC5"/>
    <w:rsid w:val="009F21D2"/>
    <w:rsid w:val="009F256F"/>
    <w:rsid w:val="00A03857"/>
    <w:rsid w:val="00A040F3"/>
    <w:rsid w:val="00A04573"/>
    <w:rsid w:val="00A04F4D"/>
    <w:rsid w:val="00A05BC0"/>
    <w:rsid w:val="00A11A1B"/>
    <w:rsid w:val="00A12A2B"/>
    <w:rsid w:val="00A1482E"/>
    <w:rsid w:val="00A14F20"/>
    <w:rsid w:val="00A15787"/>
    <w:rsid w:val="00A164C2"/>
    <w:rsid w:val="00A16EE2"/>
    <w:rsid w:val="00A17C07"/>
    <w:rsid w:val="00A17EB0"/>
    <w:rsid w:val="00A2025E"/>
    <w:rsid w:val="00A20EDE"/>
    <w:rsid w:val="00A21D25"/>
    <w:rsid w:val="00A223D6"/>
    <w:rsid w:val="00A22C6F"/>
    <w:rsid w:val="00A2433E"/>
    <w:rsid w:val="00A25927"/>
    <w:rsid w:val="00A26908"/>
    <w:rsid w:val="00A30887"/>
    <w:rsid w:val="00A31716"/>
    <w:rsid w:val="00A335C5"/>
    <w:rsid w:val="00A340D1"/>
    <w:rsid w:val="00A34B20"/>
    <w:rsid w:val="00A35FA1"/>
    <w:rsid w:val="00A37EB1"/>
    <w:rsid w:val="00A40E2F"/>
    <w:rsid w:val="00A411A2"/>
    <w:rsid w:val="00A414B6"/>
    <w:rsid w:val="00A41DF1"/>
    <w:rsid w:val="00A43413"/>
    <w:rsid w:val="00A43CDC"/>
    <w:rsid w:val="00A50A9E"/>
    <w:rsid w:val="00A5168D"/>
    <w:rsid w:val="00A51CE1"/>
    <w:rsid w:val="00A52699"/>
    <w:rsid w:val="00A526CC"/>
    <w:rsid w:val="00A52BC0"/>
    <w:rsid w:val="00A537C8"/>
    <w:rsid w:val="00A53BF7"/>
    <w:rsid w:val="00A54BF5"/>
    <w:rsid w:val="00A55E2F"/>
    <w:rsid w:val="00A56140"/>
    <w:rsid w:val="00A56C62"/>
    <w:rsid w:val="00A57E37"/>
    <w:rsid w:val="00A6006C"/>
    <w:rsid w:val="00A604DA"/>
    <w:rsid w:val="00A6053F"/>
    <w:rsid w:val="00A61509"/>
    <w:rsid w:val="00A61D9B"/>
    <w:rsid w:val="00A63019"/>
    <w:rsid w:val="00A64A8D"/>
    <w:rsid w:val="00A6503E"/>
    <w:rsid w:val="00A66146"/>
    <w:rsid w:val="00A70187"/>
    <w:rsid w:val="00A70A8D"/>
    <w:rsid w:val="00A72749"/>
    <w:rsid w:val="00A73344"/>
    <w:rsid w:val="00A735E4"/>
    <w:rsid w:val="00A73968"/>
    <w:rsid w:val="00A745E7"/>
    <w:rsid w:val="00A746FF"/>
    <w:rsid w:val="00A75A97"/>
    <w:rsid w:val="00A76591"/>
    <w:rsid w:val="00A77FAB"/>
    <w:rsid w:val="00A80198"/>
    <w:rsid w:val="00A80A40"/>
    <w:rsid w:val="00A819A8"/>
    <w:rsid w:val="00A82D38"/>
    <w:rsid w:val="00A84978"/>
    <w:rsid w:val="00A8505D"/>
    <w:rsid w:val="00A85918"/>
    <w:rsid w:val="00A860E0"/>
    <w:rsid w:val="00A867F1"/>
    <w:rsid w:val="00A86B51"/>
    <w:rsid w:val="00A917FF"/>
    <w:rsid w:val="00A91870"/>
    <w:rsid w:val="00A92F43"/>
    <w:rsid w:val="00A93453"/>
    <w:rsid w:val="00A93517"/>
    <w:rsid w:val="00A95353"/>
    <w:rsid w:val="00A95B08"/>
    <w:rsid w:val="00A9762A"/>
    <w:rsid w:val="00AA02D3"/>
    <w:rsid w:val="00AA186F"/>
    <w:rsid w:val="00AA230C"/>
    <w:rsid w:val="00AA2969"/>
    <w:rsid w:val="00AA2B0F"/>
    <w:rsid w:val="00AA3152"/>
    <w:rsid w:val="00AA3C90"/>
    <w:rsid w:val="00AA4454"/>
    <w:rsid w:val="00AA51BA"/>
    <w:rsid w:val="00AA5A7B"/>
    <w:rsid w:val="00AA65BF"/>
    <w:rsid w:val="00AA6B75"/>
    <w:rsid w:val="00AA6F64"/>
    <w:rsid w:val="00AA73B0"/>
    <w:rsid w:val="00AA76C5"/>
    <w:rsid w:val="00AA7960"/>
    <w:rsid w:val="00AB0049"/>
    <w:rsid w:val="00AB4D44"/>
    <w:rsid w:val="00AB4EAE"/>
    <w:rsid w:val="00AB5B83"/>
    <w:rsid w:val="00AB6C71"/>
    <w:rsid w:val="00AB71D5"/>
    <w:rsid w:val="00AC0DAC"/>
    <w:rsid w:val="00AC1654"/>
    <w:rsid w:val="00AC289C"/>
    <w:rsid w:val="00AC445C"/>
    <w:rsid w:val="00AC5C88"/>
    <w:rsid w:val="00AC6573"/>
    <w:rsid w:val="00AC6A60"/>
    <w:rsid w:val="00AC6C92"/>
    <w:rsid w:val="00AC7269"/>
    <w:rsid w:val="00AC7902"/>
    <w:rsid w:val="00AC7EB6"/>
    <w:rsid w:val="00AC7FED"/>
    <w:rsid w:val="00AD2129"/>
    <w:rsid w:val="00AD3A65"/>
    <w:rsid w:val="00AD3EF1"/>
    <w:rsid w:val="00AD5C5B"/>
    <w:rsid w:val="00AD5E27"/>
    <w:rsid w:val="00AD6182"/>
    <w:rsid w:val="00AD6245"/>
    <w:rsid w:val="00AD69ED"/>
    <w:rsid w:val="00AD760D"/>
    <w:rsid w:val="00AE2525"/>
    <w:rsid w:val="00AE3117"/>
    <w:rsid w:val="00AE427E"/>
    <w:rsid w:val="00AE5B7F"/>
    <w:rsid w:val="00AE76F3"/>
    <w:rsid w:val="00AF0443"/>
    <w:rsid w:val="00AF34F5"/>
    <w:rsid w:val="00AF384E"/>
    <w:rsid w:val="00AF42E6"/>
    <w:rsid w:val="00AF6535"/>
    <w:rsid w:val="00AF7830"/>
    <w:rsid w:val="00B00085"/>
    <w:rsid w:val="00B0137E"/>
    <w:rsid w:val="00B0153D"/>
    <w:rsid w:val="00B03595"/>
    <w:rsid w:val="00B054E0"/>
    <w:rsid w:val="00B0572F"/>
    <w:rsid w:val="00B068FF"/>
    <w:rsid w:val="00B10309"/>
    <w:rsid w:val="00B10871"/>
    <w:rsid w:val="00B10F49"/>
    <w:rsid w:val="00B12509"/>
    <w:rsid w:val="00B12931"/>
    <w:rsid w:val="00B13A4C"/>
    <w:rsid w:val="00B13E3F"/>
    <w:rsid w:val="00B1407F"/>
    <w:rsid w:val="00B148DA"/>
    <w:rsid w:val="00B14F0B"/>
    <w:rsid w:val="00B15A8E"/>
    <w:rsid w:val="00B16476"/>
    <w:rsid w:val="00B1684B"/>
    <w:rsid w:val="00B202A3"/>
    <w:rsid w:val="00B21BBB"/>
    <w:rsid w:val="00B22856"/>
    <w:rsid w:val="00B22BE9"/>
    <w:rsid w:val="00B23627"/>
    <w:rsid w:val="00B25F74"/>
    <w:rsid w:val="00B26F9E"/>
    <w:rsid w:val="00B275DD"/>
    <w:rsid w:val="00B27C3D"/>
    <w:rsid w:val="00B3193E"/>
    <w:rsid w:val="00B31CAC"/>
    <w:rsid w:val="00B32271"/>
    <w:rsid w:val="00B32415"/>
    <w:rsid w:val="00B33040"/>
    <w:rsid w:val="00B34285"/>
    <w:rsid w:val="00B35071"/>
    <w:rsid w:val="00B35B97"/>
    <w:rsid w:val="00B367C5"/>
    <w:rsid w:val="00B3719B"/>
    <w:rsid w:val="00B37222"/>
    <w:rsid w:val="00B37DC3"/>
    <w:rsid w:val="00B37DF7"/>
    <w:rsid w:val="00B425D0"/>
    <w:rsid w:val="00B43220"/>
    <w:rsid w:val="00B450C4"/>
    <w:rsid w:val="00B4529C"/>
    <w:rsid w:val="00B4677B"/>
    <w:rsid w:val="00B46B1A"/>
    <w:rsid w:val="00B473A7"/>
    <w:rsid w:val="00B511B4"/>
    <w:rsid w:val="00B523F0"/>
    <w:rsid w:val="00B555B7"/>
    <w:rsid w:val="00B565DE"/>
    <w:rsid w:val="00B5710A"/>
    <w:rsid w:val="00B576F9"/>
    <w:rsid w:val="00B601F4"/>
    <w:rsid w:val="00B61FC7"/>
    <w:rsid w:val="00B62256"/>
    <w:rsid w:val="00B63B21"/>
    <w:rsid w:val="00B643A4"/>
    <w:rsid w:val="00B668B7"/>
    <w:rsid w:val="00B700B7"/>
    <w:rsid w:val="00B70DDF"/>
    <w:rsid w:val="00B7129E"/>
    <w:rsid w:val="00B7137F"/>
    <w:rsid w:val="00B72AB0"/>
    <w:rsid w:val="00B72F22"/>
    <w:rsid w:val="00B7494F"/>
    <w:rsid w:val="00B76514"/>
    <w:rsid w:val="00B76ABA"/>
    <w:rsid w:val="00B7768A"/>
    <w:rsid w:val="00B77E5F"/>
    <w:rsid w:val="00B801AD"/>
    <w:rsid w:val="00B80A5C"/>
    <w:rsid w:val="00B81133"/>
    <w:rsid w:val="00B818AC"/>
    <w:rsid w:val="00B83092"/>
    <w:rsid w:val="00B83843"/>
    <w:rsid w:val="00B83B45"/>
    <w:rsid w:val="00B85305"/>
    <w:rsid w:val="00B86382"/>
    <w:rsid w:val="00B86C9E"/>
    <w:rsid w:val="00B86DE6"/>
    <w:rsid w:val="00B8730A"/>
    <w:rsid w:val="00B87FC4"/>
    <w:rsid w:val="00B90003"/>
    <w:rsid w:val="00B9043D"/>
    <w:rsid w:val="00B90876"/>
    <w:rsid w:val="00B9103E"/>
    <w:rsid w:val="00B918F3"/>
    <w:rsid w:val="00B923C2"/>
    <w:rsid w:val="00B92FF9"/>
    <w:rsid w:val="00B93FCD"/>
    <w:rsid w:val="00B94D8F"/>
    <w:rsid w:val="00B95536"/>
    <w:rsid w:val="00B955FD"/>
    <w:rsid w:val="00B95824"/>
    <w:rsid w:val="00B959FE"/>
    <w:rsid w:val="00B9626E"/>
    <w:rsid w:val="00B96C8D"/>
    <w:rsid w:val="00B9793D"/>
    <w:rsid w:val="00B97F23"/>
    <w:rsid w:val="00BA06C8"/>
    <w:rsid w:val="00BA2730"/>
    <w:rsid w:val="00BA33E6"/>
    <w:rsid w:val="00BA3F63"/>
    <w:rsid w:val="00BA4B2F"/>
    <w:rsid w:val="00BA566B"/>
    <w:rsid w:val="00BA6312"/>
    <w:rsid w:val="00BA75D5"/>
    <w:rsid w:val="00BB09A4"/>
    <w:rsid w:val="00BB14D7"/>
    <w:rsid w:val="00BB23D9"/>
    <w:rsid w:val="00BB3C3E"/>
    <w:rsid w:val="00BB3D25"/>
    <w:rsid w:val="00BB3F8E"/>
    <w:rsid w:val="00BB441C"/>
    <w:rsid w:val="00BB52D6"/>
    <w:rsid w:val="00BB78E7"/>
    <w:rsid w:val="00BC00C8"/>
    <w:rsid w:val="00BC124C"/>
    <w:rsid w:val="00BC1F52"/>
    <w:rsid w:val="00BC2F44"/>
    <w:rsid w:val="00BC433E"/>
    <w:rsid w:val="00BC620F"/>
    <w:rsid w:val="00BC64A9"/>
    <w:rsid w:val="00BC6BEB"/>
    <w:rsid w:val="00BD01E5"/>
    <w:rsid w:val="00BD2F56"/>
    <w:rsid w:val="00BD57D1"/>
    <w:rsid w:val="00BD5A18"/>
    <w:rsid w:val="00BD6989"/>
    <w:rsid w:val="00BD6CA0"/>
    <w:rsid w:val="00BD6D23"/>
    <w:rsid w:val="00BE09A8"/>
    <w:rsid w:val="00BE0BE6"/>
    <w:rsid w:val="00BE0CB8"/>
    <w:rsid w:val="00BE18B9"/>
    <w:rsid w:val="00BE2050"/>
    <w:rsid w:val="00BE217D"/>
    <w:rsid w:val="00BE4FD5"/>
    <w:rsid w:val="00BE6106"/>
    <w:rsid w:val="00BE67D9"/>
    <w:rsid w:val="00BE70AA"/>
    <w:rsid w:val="00BF0524"/>
    <w:rsid w:val="00BF0734"/>
    <w:rsid w:val="00BF1478"/>
    <w:rsid w:val="00BF16EA"/>
    <w:rsid w:val="00BF28E9"/>
    <w:rsid w:val="00BF3307"/>
    <w:rsid w:val="00BF4FAB"/>
    <w:rsid w:val="00BF5714"/>
    <w:rsid w:val="00BF5D89"/>
    <w:rsid w:val="00BF5E13"/>
    <w:rsid w:val="00BF6304"/>
    <w:rsid w:val="00BF691A"/>
    <w:rsid w:val="00BF696C"/>
    <w:rsid w:val="00BF6A19"/>
    <w:rsid w:val="00BF72DE"/>
    <w:rsid w:val="00BF789C"/>
    <w:rsid w:val="00C011F7"/>
    <w:rsid w:val="00C01A0A"/>
    <w:rsid w:val="00C0273A"/>
    <w:rsid w:val="00C03053"/>
    <w:rsid w:val="00C0316A"/>
    <w:rsid w:val="00C04822"/>
    <w:rsid w:val="00C04B94"/>
    <w:rsid w:val="00C058C0"/>
    <w:rsid w:val="00C05CD6"/>
    <w:rsid w:val="00C079CD"/>
    <w:rsid w:val="00C07A2C"/>
    <w:rsid w:val="00C10CFC"/>
    <w:rsid w:val="00C13A5D"/>
    <w:rsid w:val="00C13DF8"/>
    <w:rsid w:val="00C14238"/>
    <w:rsid w:val="00C14267"/>
    <w:rsid w:val="00C1511C"/>
    <w:rsid w:val="00C16DAE"/>
    <w:rsid w:val="00C17353"/>
    <w:rsid w:val="00C178AA"/>
    <w:rsid w:val="00C17D00"/>
    <w:rsid w:val="00C20199"/>
    <w:rsid w:val="00C20932"/>
    <w:rsid w:val="00C20C52"/>
    <w:rsid w:val="00C218ED"/>
    <w:rsid w:val="00C24A94"/>
    <w:rsid w:val="00C263A8"/>
    <w:rsid w:val="00C265B8"/>
    <w:rsid w:val="00C26AAC"/>
    <w:rsid w:val="00C26F02"/>
    <w:rsid w:val="00C31037"/>
    <w:rsid w:val="00C31747"/>
    <w:rsid w:val="00C31AC1"/>
    <w:rsid w:val="00C321CA"/>
    <w:rsid w:val="00C3312A"/>
    <w:rsid w:val="00C337A7"/>
    <w:rsid w:val="00C3432C"/>
    <w:rsid w:val="00C345DA"/>
    <w:rsid w:val="00C34D1A"/>
    <w:rsid w:val="00C351A7"/>
    <w:rsid w:val="00C36E7E"/>
    <w:rsid w:val="00C40E0A"/>
    <w:rsid w:val="00C40E4D"/>
    <w:rsid w:val="00C41626"/>
    <w:rsid w:val="00C43035"/>
    <w:rsid w:val="00C443E5"/>
    <w:rsid w:val="00C443FF"/>
    <w:rsid w:val="00C4677C"/>
    <w:rsid w:val="00C474B9"/>
    <w:rsid w:val="00C4771F"/>
    <w:rsid w:val="00C47C7E"/>
    <w:rsid w:val="00C54084"/>
    <w:rsid w:val="00C547DE"/>
    <w:rsid w:val="00C56449"/>
    <w:rsid w:val="00C56D31"/>
    <w:rsid w:val="00C60D76"/>
    <w:rsid w:val="00C62007"/>
    <w:rsid w:val="00C62093"/>
    <w:rsid w:val="00C648F6"/>
    <w:rsid w:val="00C6554A"/>
    <w:rsid w:val="00C72846"/>
    <w:rsid w:val="00C756E3"/>
    <w:rsid w:val="00C75EE3"/>
    <w:rsid w:val="00C764E2"/>
    <w:rsid w:val="00C77500"/>
    <w:rsid w:val="00C808A2"/>
    <w:rsid w:val="00C822F2"/>
    <w:rsid w:val="00C8246F"/>
    <w:rsid w:val="00C82DDC"/>
    <w:rsid w:val="00C82EF2"/>
    <w:rsid w:val="00C86827"/>
    <w:rsid w:val="00C872E4"/>
    <w:rsid w:val="00C873AA"/>
    <w:rsid w:val="00C87AEB"/>
    <w:rsid w:val="00C90F57"/>
    <w:rsid w:val="00C910AF"/>
    <w:rsid w:val="00C9218A"/>
    <w:rsid w:val="00C92725"/>
    <w:rsid w:val="00C93207"/>
    <w:rsid w:val="00C94128"/>
    <w:rsid w:val="00C94AD0"/>
    <w:rsid w:val="00C953CD"/>
    <w:rsid w:val="00C975D8"/>
    <w:rsid w:val="00C97B8F"/>
    <w:rsid w:val="00CA0B3A"/>
    <w:rsid w:val="00CA0DF4"/>
    <w:rsid w:val="00CA10D1"/>
    <w:rsid w:val="00CA1D4E"/>
    <w:rsid w:val="00CA28BE"/>
    <w:rsid w:val="00CA33FB"/>
    <w:rsid w:val="00CA4426"/>
    <w:rsid w:val="00CA447F"/>
    <w:rsid w:val="00CA45AB"/>
    <w:rsid w:val="00CA5020"/>
    <w:rsid w:val="00CA7855"/>
    <w:rsid w:val="00CA7CAE"/>
    <w:rsid w:val="00CB14D5"/>
    <w:rsid w:val="00CB2416"/>
    <w:rsid w:val="00CB42B5"/>
    <w:rsid w:val="00CB6023"/>
    <w:rsid w:val="00CB61BF"/>
    <w:rsid w:val="00CC0CA4"/>
    <w:rsid w:val="00CC162D"/>
    <w:rsid w:val="00CC2D18"/>
    <w:rsid w:val="00CC36D4"/>
    <w:rsid w:val="00CC49C0"/>
    <w:rsid w:val="00CC4DBB"/>
    <w:rsid w:val="00CC5076"/>
    <w:rsid w:val="00CC5096"/>
    <w:rsid w:val="00CC685D"/>
    <w:rsid w:val="00CC6CAD"/>
    <w:rsid w:val="00CC758E"/>
    <w:rsid w:val="00CD00AE"/>
    <w:rsid w:val="00CD0D44"/>
    <w:rsid w:val="00CD10A3"/>
    <w:rsid w:val="00CD124F"/>
    <w:rsid w:val="00CD1319"/>
    <w:rsid w:val="00CD1CE2"/>
    <w:rsid w:val="00CD2AC4"/>
    <w:rsid w:val="00CD2CB4"/>
    <w:rsid w:val="00CD310B"/>
    <w:rsid w:val="00CD3694"/>
    <w:rsid w:val="00CD3B2F"/>
    <w:rsid w:val="00CD402C"/>
    <w:rsid w:val="00CD4494"/>
    <w:rsid w:val="00CD49F4"/>
    <w:rsid w:val="00CD4AB5"/>
    <w:rsid w:val="00CD5AB5"/>
    <w:rsid w:val="00CD5EC3"/>
    <w:rsid w:val="00CD6512"/>
    <w:rsid w:val="00CD711B"/>
    <w:rsid w:val="00CD7D87"/>
    <w:rsid w:val="00CE06D3"/>
    <w:rsid w:val="00CE10F9"/>
    <w:rsid w:val="00CE2349"/>
    <w:rsid w:val="00CE32A6"/>
    <w:rsid w:val="00CE3DE1"/>
    <w:rsid w:val="00CE474B"/>
    <w:rsid w:val="00CE659D"/>
    <w:rsid w:val="00CE7EA1"/>
    <w:rsid w:val="00CF1611"/>
    <w:rsid w:val="00CF24DA"/>
    <w:rsid w:val="00CF3BA7"/>
    <w:rsid w:val="00CF418A"/>
    <w:rsid w:val="00CF612B"/>
    <w:rsid w:val="00CF68F6"/>
    <w:rsid w:val="00D000EA"/>
    <w:rsid w:val="00D00445"/>
    <w:rsid w:val="00D00B43"/>
    <w:rsid w:val="00D02411"/>
    <w:rsid w:val="00D0277B"/>
    <w:rsid w:val="00D04EDB"/>
    <w:rsid w:val="00D04EDC"/>
    <w:rsid w:val="00D0511D"/>
    <w:rsid w:val="00D058C7"/>
    <w:rsid w:val="00D06906"/>
    <w:rsid w:val="00D06B1A"/>
    <w:rsid w:val="00D11328"/>
    <w:rsid w:val="00D11BD4"/>
    <w:rsid w:val="00D12074"/>
    <w:rsid w:val="00D1271F"/>
    <w:rsid w:val="00D1346D"/>
    <w:rsid w:val="00D13EB5"/>
    <w:rsid w:val="00D14014"/>
    <w:rsid w:val="00D14436"/>
    <w:rsid w:val="00D1504A"/>
    <w:rsid w:val="00D15626"/>
    <w:rsid w:val="00D16B71"/>
    <w:rsid w:val="00D17AEF"/>
    <w:rsid w:val="00D20132"/>
    <w:rsid w:val="00D21521"/>
    <w:rsid w:val="00D217F9"/>
    <w:rsid w:val="00D21AE6"/>
    <w:rsid w:val="00D23631"/>
    <w:rsid w:val="00D23A5D"/>
    <w:rsid w:val="00D23F91"/>
    <w:rsid w:val="00D24931"/>
    <w:rsid w:val="00D24BD3"/>
    <w:rsid w:val="00D25C5D"/>
    <w:rsid w:val="00D2718D"/>
    <w:rsid w:val="00D27A06"/>
    <w:rsid w:val="00D309B9"/>
    <w:rsid w:val="00D32CC8"/>
    <w:rsid w:val="00D33047"/>
    <w:rsid w:val="00D3411C"/>
    <w:rsid w:val="00D36087"/>
    <w:rsid w:val="00D4197C"/>
    <w:rsid w:val="00D43723"/>
    <w:rsid w:val="00D44633"/>
    <w:rsid w:val="00D459ED"/>
    <w:rsid w:val="00D45BA6"/>
    <w:rsid w:val="00D460F2"/>
    <w:rsid w:val="00D46B95"/>
    <w:rsid w:val="00D47BBE"/>
    <w:rsid w:val="00D5038D"/>
    <w:rsid w:val="00D509F6"/>
    <w:rsid w:val="00D519DA"/>
    <w:rsid w:val="00D54B13"/>
    <w:rsid w:val="00D54C56"/>
    <w:rsid w:val="00D553CA"/>
    <w:rsid w:val="00D55905"/>
    <w:rsid w:val="00D60934"/>
    <w:rsid w:val="00D60CF3"/>
    <w:rsid w:val="00D61163"/>
    <w:rsid w:val="00D61921"/>
    <w:rsid w:val="00D61D0D"/>
    <w:rsid w:val="00D61D5C"/>
    <w:rsid w:val="00D62246"/>
    <w:rsid w:val="00D627FA"/>
    <w:rsid w:val="00D6294C"/>
    <w:rsid w:val="00D644BC"/>
    <w:rsid w:val="00D6481C"/>
    <w:rsid w:val="00D649B5"/>
    <w:rsid w:val="00D6592F"/>
    <w:rsid w:val="00D6656D"/>
    <w:rsid w:val="00D671DE"/>
    <w:rsid w:val="00D6798F"/>
    <w:rsid w:val="00D70B5A"/>
    <w:rsid w:val="00D7285B"/>
    <w:rsid w:val="00D7545F"/>
    <w:rsid w:val="00D80773"/>
    <w:rsid w:val="00D808DA"/>
    <w:rsid w:val="00D80904"/>
    <w:rsid w:val="00D80EC6"/>
    <w:rsid w:val="00D80F39"/>
    <w:rsid w:val="00D811FB"/>
    <w:rsid w:val="00D81853"/>
    <w:rsid w:val="00D81BB7"/>
    <w:rsid w:val="00D81DD2"/>
    <w:rsid w:val="00D81FD7"/>
    <w:rsid w:val="00D8211C"/>
    <w:rsid w:val="00D826B6"/>
    <w:rsid w:val="00D82B96"/>
    <w:rsid w:val="00D82CC6"/>
    <w:rsid w:val="00D83745"/>
    <w:rsid w:val="00D85549"/>
    <w:rsid w:val="00D85A1F"/>
    <w:rsid w:val="00D85AAD"/>
    <w:rsid w:val="00D85B10"/>
    <w:rsid w:val="00D8621B"/>
    <w:rsid w:val="00D86BEF"/>
    <w:rsid w:val="00D86F64"/>
    <w:rsid w:val="00D87960"/>
    <w:rsid w:val="00D9187D"/>
    <w:rsid w:val="00D91C2D"/>
    <w:rsid w:val="00D941D8"/>
    <w:rsid w:val="00D94AFD"/>
    <w:rsid w:val="00D954C3"/>
    <w:rsid w:val="00D95AFE"/>
    <w:rsid w:val="00DA01C1"/>
    <w:rsid w:val="00DA0B9D"/>
    <w:rsid w:val="00DA0C5B"/>
    <w:rsid w:val="00DA1151"/>
    <w:rsid w:val="00DA1448"/>
    <w:rsid w:val="00DA1A83"/>
    <w:rsid w:val="00DA1EA9"/>
    <w:rsid w:val="00DA1EF3"/>
    <w:rsid w:val="00DA23AF"/>
    <w:rsid w:val="00DA2C7A"/>
    <w:rsid w:val="00DA3693"/>
    <w:rsid w:val="00DA6240"/>
    <w:rsid w:val="00DA7AA5"/>
    <w:rsid w:val="00DA7ABC"/>
    <w:rsid w:val="00DB042E"/>
    <w:rsid w:val="00DB0BF0"/>
    <w:rsid w:val="00DB2578"/>
    <w:rsid w:val="00DB2CE0"/>
    <w:rsid w:val="00DB3A68"/>
    <w:rsid w:val="00DB3E1C"/>
    <w:rsid w:val="00DB4038"/>
    <w:rsid w:val="00DB5025"/>
    <w:rsid w:val="00DB6019"/>
    <w:rsid w:val="00DB6776"/>
    <w:rsid w:val="00DB6BD5"/>
    <w:rsid w:val="00DB784D"/>
    <w:rsid w:val="00DB7C08"/>
    <w:rsid w:val="00DC0441"/>
    <w:rsid w:val="00DC0A62"/>
    <w:rsid w:val="00DC10D9"/>
    <w:rsid w:val="00DC1DD8"/>
    <w:rsid w:val="00DC2637"/>
    <w:rsid w:val="00DC299C"/>
    <w:rsid w:val="00DC34C6"/>
    <w:rsid w:val="00DC4B23"/>
    <w:rsid w:val="00DC5DB9"/>
    <w:rsid w:val="00DC5EE3"/>
    <w:rsid w:val="00DC65E5"/>
    <w:rsid w:val="00DD02F0"/>
    <w:rsid w:val="00DD0CFD"/>
    <w:rsid w:val="00DD0E4A"/>
    <w:rsid w:val="00DD1FE7"/>
    <w:rsid w:val="00DD228D"/>
    <w:rsid w:val="00DD249F"/>
    <w:rsid w:val="00DD5832"/>
    <w:rsid w:val="00DD5C57"/>
    <w:rsid w:val="00DD5F02"/>
    <w:rsid w:val="00DD7B70"/>
    <w:rsid w:val="00DE1DB6"/>
    <w:rsid w:val="00DE223B"/>
    <w:rsid w:val="00DE5F69"/>
    <w:rsid w:val="00DE6B21"/>
    <w:rsid w:val="00DE7BC5"/>
    <w:rsid w:val="00DF0376"/>
    <w:rsid w:val="00DF1B88"/>
    <w:rsid w:val="00DF24EC"/>
    <w:rsid w:val="00DF2AA1"/>
    <w:rsid w:val="00DF2F55"/>
    <w:rsid w:val="00DF2FFD"/>
    <w:rsid w:val="00DF4027"/>
    <w:rsid w:val="00DF4155"/>
    <w:rsid w:val="00DF4891"/>
    <w:rsid w:val="00DF5681"/>
    <w:rsid w:val="00DF575A"/>
    <w:rsid w:val="00DF6118"/>
    <w:rsid w:val="00DF7366"/>
    <w:rsid w:val="00DF75E1"/>
    <w:rsid w:val="00E0039A"/>
    <w:rsid w:val="00E01A72"/>
    <w:rsid w:val="00E01AAA"/>
    <w:rsid w:val="00E02C89"/>
    <w:rsid w:val="00E0387C"/>
    <w:rsid w:val="00E03C5D"/>
    <w:rsid w:val="00E04C6D"/>
    <w:rsid w:val="00E06944"/>
    <w:rsid w:val="00E129AB"/>
    <w:rsid w:val="00E13003"/>
    <w:rsid w:val="00E14690"/>
    <w:rsid w:val="00E14947"/>
    <w:rsid w:val="00E14DAA"/>
    <w:rsid w:val="00E15C37"/>
    <w:rsid w:val="00E1603F"/>
    <w:rsid w:val="00E1614B"/>
    <w:rsid w:val="00E1639A"/>
    <w:rsid w:val="00E1740B"/>
    <w:rsid w:val="00E2003E"/>
    <w:rsid w:val="00E20944"/>
    <w:rsid w:val="00E20EB2"/>
    <w:rsid w:val="00E21082"/>
    <w:rsid w:val="00E22C09"/>
    <w:rsid w:val="00E22D95"/>
    <w:rsid w:val="00E2360C"/>
    <w:rsid w:val="00E248DF"/>
    <w:rsid w:val="00E25A62"/>
    <w:rsid w:val="00E25C50"/>
    <w:rsid w:val="00E264A8"/>
    <w:rsid w:val="00E30049"/>
    <w:rsid w:val="00E306DD"/>
    <w:rsid w:val="00E312B4"/>
    <w:rsid w:val="00E31548"/>
    <w:rsid w:val="00E315A8"/>
    <w:rsid w:val="00E315DB"/>
    <w:rsid w:val="00E3351F"/>
    <w:rsid w:val="00E34D70"/>
    <w:rsid w:val="00E37AD3"/>
    <w:rsid w:val="00E4098F"/>
    <w:rsid w:val="00E4268F"/>
    <w:rsid w:val="00E42AC2"/>
    <w:rsid w:val="00E502CB"/>
    <w:rsid w:val="00E503C0"/>
    <w:rsid w:val="00E5047A"/>
    <w:rsid w:val="00E50808"/>
    <w:rsid w:val="00E50AFA"/>
    <w:rsid w:val="00E51BF0"/>
    <w:rsid w:val="00E52646"/>
    <w:rsid w:val="00E52B5A"/>
    <w:rsid w:val="00E53356"/>
    <w:rsid w:val="00E53967"/>
    <w:rsid w:val="00E54B98"/>
    <w:rsid w:val="00E56032"/>
    <w:rsid w:val="00E561D6"/>
    <w:rsid w:val="00E56711"/>
    <w:rsid w:val="00E57122"/>
    <w:rsid w:val="00E57DA9"/>
    <w:rsid w:val="00E60A5D"/>
    <w:rsid w:val="00E61D05"/>
    <w:rsid w:val="00E646E3"/>
    <w:rsid w:val="00E655EC"/>
    <w:rsid w:val="00E6582F"/>
    <w:rsid w:val="00E662AD"/>
    <w:rsid w:val="00E6643D"/>
    <w:rsid w:val="00E7041C"/>
    <w:rsid w:val="00E70D4A"/>
    <w:rsid w:val="00E710BC"/>
    <w:rsid w:val="00E712DF"/>
    <w:rsid w:val="00E71F1C"/>
    <w:rsid w:val="00E72520"/>
    <w:rsid w:val="00E7266C"/>
    <w:rsid w:val="00E72DB8"/>
    <w:rsid w:val="00E730B7"/>
    <w:rsid w:val="00E73568"/>
    <w:rsid w:val="00E73D24"/>
    <w:rsid w:val="00E749F7"/>
    <w:rsid w:val="00E7562D"/>
    <w:rsid w:val="00E76390"/>
    <w:rsid w:val="00E7713B"/>
    <w:rsid w:val="00E80436"/>
    <w:rsid w:val="00E8118A"/>
    <w:rsid w:val="00E8133C"/>
    <w:rsid w:val="00E82A53"/>
    <w:rsid w:val="00E838F8"/>
    <w:rsid w:val="00E8396A"/>
    <w:rsid w:val="00E8413C"/>
    <w:rsid w:val="00E86485"/>
    <w:rsid w:val="00E86583"/>
    <w:rsid w:val="00E86F45"/>
    <w:rsid w:val="00E870A5"/>
    <w:rsid w:val="00E8726B"/>
    <w:rsid w:val="00E87A5C"/>
    <w:rsid w:val="00E90AC3"/>
    <w:rsid w:val="00E90C18"/>
    <w:rsid w:val="00E90C1F"/>
    <w:rsid w:val="00E91DB4"/>
    <w:rsid w:val="00E92077"/>
    <w:rsid w:val="00E924B9"/>
    <w:rsid w:val="00E92F4F"/>
    <w:rsid w:val="00E932FF"/>
    <w:rsid w:val="00E938C5"/>
    <w:rsid w:val="00E948E1"/>
    <w:rsid w:val="00E951F1"/>
    <w:rsid w:val="00E96411"/>
    <w:rsid w:val="00E965A4"/>
    <w:rsid w:val="00E9687F"/>
    <w:rsid w:val="00E96DD0"/>
    <w:rsid w:val="00EA0F5E"/>
    <w:rsid w:val="00EA1396"/>
    <w:rsid w:val="00EA19A3"/>
    <w:rsid w:val="00EA2383"/>
    <w:rsid w:val="00EA280D"/>
    <w:rsid w:val="00EA433D"/>
    <w:rsid w:val="00EA75FF"/>
    <w:rsid w:val="00EA7AB8"/>
    <w:rsid w:val="00EB0CF6"/>
    <w:rsid w:val="00EB0F3F"/>
    <w:rsid w:val="00EB2C6F"/>
    <w:rsid w:val="00EB5B10"/>
    <w:rsid w:val="00EB6DFF"/>
    <w:rsid w:val="00EC05CB"/>
    <w:rsid w:val="00EC088A"/>
    <w:rsid w:val="00EC270E"/>
    <w:rsid w:val="00EC281B"/>
    <w:rsid w:val="00EC28F7"/>
    <w:rsid w:val="00EC3764"/>
    <w:rsid w:val="00EC3BB8"/>
    <w:rsid w:val="00EC4B83"/>
    <w:rsid w:val="00EC4B95"/>
    <w:rsid w:val="00EC4D0D"/>
    <w:rsid w:val="00EC7DD1"/>
    <w:rsid w:val="00EC7FA9"/>
    <w:rsid w:val="00EC7FB8"/>
    <w:rsid w:val="00ED12B1"/>
    <w:rsid w:val="00ED1CA4"/>
    <w:rsid w:val="00ED3978"/>
    <w:rsid w:val="00ED4E7A"/>
    <w:rsid w:val="00ED507B"/>
    <w:rsid w:val="00ED513B"/>
    <w:rsid w:val="00ED5A7E"/>
    <w:rsid w:val="00ED6AAE"/>
    <w:rsid w:val="00ED6CF6"/>
    <w:rsid w:val="00ED6ECA"/>
    <w:rsid w:val="00EE1DA6"/>
    <w:rsid w:val="00EE2DF7"/>
    <w:rsid w:val="00EE489A"/>
    <w:rsid w:val="00EE581E"/>
    <w:rsid w:val="00EE6257"/>
    <w:rsid w:val="00EE6553"/>
    <w:rsid w:val="00EE674C"/>
    <w:rsid w:val="00EE6D6F"/>
    <w:rsid w:val="00EF0646"/>
    <w:rsid w:val="00EF0713"/>
    <w:rsid w:val="00EF0DD3"/>
    <w:rsid w:val="00EF0F18"/>
    <w:rsid w:val="00EF2AEE"/>
    <w:rsid w:val="00EF2E79"/>
    <w:rsid w:val="00EF2E8D"/>
    <w:rsid w:val="00EF30FF"/>
    <w:rsid w:val="00EF3DED"/>
    <w:rsid w:val="00EF7792"/>
    <w:rsid w:val="00EF7870"/>
    <w:rsid w:val="00EF7C74"/>
    <w:rsid w:val="00F000AC"/>
    <w:rsid w:val="00F00520"/>
    <w:rsid w:val="00F03DE7"/>
    <w:rsid w:val="00F03FB9"/>
    <w:rsid w:val="00F04034"/>
    <w:rsid w:val="00F0423D"/>
    <w:rsid w:val="00F04447"/>
    <w:rsid w:val="00F054F0"/>
    <w:rsid w:val="00F06782"/>
    <w:rsid w:val="00F06F5E"/>
    <w:rsid w:val="00F11DA3"/>
    <w:rsid w:val="00F127E5"/>
    <w:rsid w:val="00F12A37"/>
    <w:rsid w:val="00F137F4"/>
    <w:rsid w:val="00F14357"/>
    <w:rsid w:val="00F143A5"/>
    <w:rsid w:val="00F15670"/>
    <w:rsid w:val="00F1699A"/>
    <w:rsid w:val="00F1751A"/>
    <w:rsid w:val="00F20006"/>
    <w:rsid w:val="00F2004D"/>
    <w:rsid w:val="00F23106"/>
    <w:rsid w:val="00F23311"/>
    <w:rsid w:val="00F23E4B"/>
    <w:rsid w:val="00F24367"/>
    <w:rsid w:val="00F24814"/>
    <w:rsid w:val="00F257A2"/>
    <w:rsid w:val="00F26040"/>
    <w:rsid w:val="00F26550"/>
    <w:rsid w:val="00F27998"/>
    <w:rsid w:val="00F279A2"/>
    <w:rsid w:val="00F27BFA"/>
    <w:rsid w:val="00F300CC"/>
    <w:rsid w:val="00F306AE"/>
    <w:rsid w:val="00F349F6"/>
    <w:rsid w:val="00F35E35"/>
    <w:rsid w:val="00F36F6F"/>
    <w:rsid w:val="00F40185"/>
    <w:rsid w:val="00F42BC8"/>
    <w:rsid w:val="00F42C3D"/>
    <w:rsid w:val="00F45219"/>
    <w:rsid w:val="00F4591D"/>
    <w:rsid w:val="00F46EE8"/>
    <w:rsid w:val="00F519D6"/>
    <w:rsid w:val="00F52237"/>
    <w:rsid w:val="00F52543"/>
    <w:rsid w:val="00F526BA"/>
    <w:rsid w:val="00F5302F"/>
    <w:rsid w:val="00F53FC3"/>
    <w:rsid w:val="00F542FD"/>
    <w:rsid w:val="00F543AF"/>
    <w:rsid w:val="00F54D28"/>
    <w:rsid w:val="00F56511"/>
    <w:rsid w:val="00F57167"/>
    <w:rsid w:val="00F60483"/>
    <w:rsid w:val="00F61B88"/>
    <w:rsid w:val="00F624FC"/>
    <w:rsid w:val="00F62B19"/>
    <w:rsid w:val="00F63E37"/>
    <w:rsid w:val="00F6445B"/>
    <w:rsid w:val="00F663FC"/>
    <w:rsid w:val="00F70A18"/>
    <w:rsid w:val="00F712F7"/>
    <w:rsid w:val="00F714B9"/>
    <w:rsid w:val="00F719BC"/>
    <w:rsid w:val="00F71E15"/>
    <w:rsid w:val="00F720EF"/>
    <w:rsid w:val="00F72D11"/>
    <w:rsid w:val="00F72E9C"/>
    <w:rsid w:val="00F72ED4"/>
    <w:rsid w:val="00F740ED"/>
    <w:rsid w:val="00F7656D"/>
    <w:rsid w:val="00F77F6C"/>
    <w:rsid w:val="00F80FCC"/>
    <w:rsid w:val="00F81621"/>
    <w:rsid w:val="00F82578"/>
    <w:rsid w:val="00F82FBA"/>
    <w:rsid w:val="00F8372D"/>
    <w:rsid w:val="00F8493E"/>
    <w:rsid w:val="00F85AC8"/>
    <w:rsid w:val="00F85B9A"/>
    <w:rsid w:val="00F870BC"/>
    <w:rsid w:val="00F90D50"/>
    <w:rsid w:val="00F92468"/>
    <w:rsid w:val="00F92CF2"/>
    <w:rsid w:val="00FA06E4"/>
    <w:rsid w:val="00FA0D6B"/>
    <w:rsid w:val="00FA1A10"/>
    <w:rsid w:val="00FA1B8C"/>
    <w:rsid w:val="00FA26F4"/>
    <w:rsid w:val="00FA4330"/>
    <w:rsid w:val="00FA5742"/>
    <w:rsid w:val="00FA681F"/>
    <w:rsid w:val="00FA6EC5"/>
    <w:rsid w:val="00FB0166"/>
    <w:rsid w:val="00FB0F85"/>
    <w:rsid w:val="00FB17A8"/>
    <w:rsid w:val="00FB18C5"/>
    <w:rsid w:val="00FB1D01"/>
    <w:rsid w:val="00FB21DB"/>
    <w:rsid w:val="00FB2854"/>
    <w:rsid w:val="00FB2FD4"/>
    <w:rsid w:val="00FB34A4"/>
    <w:rsid w:val="00FB3520"/>
    <w:rsid w:val="00FB5848"/>
    <w:rsid w:val="00FB59DE"/>
    <w:rsid w:val="00FB5A27"/>
    <w:rsid w:val="00FB5E55"/>
    <w:rsid w:val="00FC0532"/>
    <w:rsid w:val="00FC0622"/>
    <w:rsid w:val="00FC2F0D"/>
    <w:rsid w:val="00FC3444"/>
    <w:rsid w:val="00FC4C0A"/>
    <w:rsid w:val="00FC5AC0"/>
    <w:rsid w:val="00FC64DA"/>
    <w:rsid w:val="00FC7F03"/>
    <w:rsid w:val="00FD4549"/>
    <w:rsid w:val="00FD4E70"/>
    <w:rsid w:val="00FD7806"/>
    <w:rsid w:val="00FE1AD7"/>
    <w:rsid w:val="00FE1C6E"/>
    <w:rsid w:val="00FE1D1C"/>
    <w:rsid w:val="00FE20C4"/>
    <w:rsid w:val="00FE35DC"/>
    <w:rsid w:val="00FE65EB"/>
    <w:rsid w:val="00FE68A2"/>
    <w:rsid w:val="00FE6DF4"/>
    <w:rsid w:val="00FE7EC2"/>
    <w:rsid w:val="00FF07A0"/>
    <w:rsid w:val="00FF1BA5"/>
    <w:rsid w:val="00FF40E1"/>
    <w:rsid w:val="00FF46BF"/>
    <w:rsid w:val="00FF4D02"/>
    <w:rsid w:val="00FF5064"/>
    <w:rsid w:val="00FF7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570CB"/>
  <w15:docId w15:val="{8877B161-FAF6-45EE-8F00-4C3481F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477"/>
    <w:pPr>
      <w:spacing w:after="0" w:line="240" w:lineRule="auto"/>
    </w:pPr>
    <w:rPr>
      <w:rFonts w:ascii="Calibri" w:hAnsi="Calibri" w:cs="Calibri"/>
    </w:rPr>
  </w:style>
  <w:style w:type="paragraph" w:styleId="Nagwek1">
    <w:name w:val="heading 1"/>
    <w:basedOn w:val="Normalny"/>
    <w:next w:val="Normalny"/>
    <w:link w:val="Nagwek1Znak"/>
    <w:uiPriority w:val="9"/>
    <w:qFormat/>
    <w:rsid w:val="001F37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EA19A3"/>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9A569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9A56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105A"/>
    <w:pPr>
      <w:spacing w:after="200" w:line="276" w:lineRule="auto"/>
      <w:ind w:left="720"/>
      <w:contextualSpacing/>
    </w:pPr>
    <w:rPr>
      <w:rFonts w:asciiTheme="minorHAnsi" w:hAnsiTheme="minorHAnsi" w:cstheme="minorBidi"/>
    </w:rPr>
  </w:style>
  <w:style w:type="paragraph" w:styleId="Tekstdymka">
    <w:name w:val="Balloon Text"/>
    <w:basedOn w:val="Normalny"/>
    <w:link w:val="TekstdymkaZnak"/>
    <w:uiPriority w:val="99"/>
    <w:semiHidden/>
    <w:unhideWhenUsed/>
    <w:rsid w:val="00A04F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F4D"/>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2E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E4B38"/>
    <w:rPr>
      <w:rFonts w:ascii="Courier New" w:eastAsia="Times New Roman" w:hAnsi="Courier New" w:cs="Courier New"/>
      <w:sz w:val="20"/>
      <w:szCs w:val="20"/>
      <w:lang w:eastAsia="pl-PL"/>
    </w:rPr>
  </w:style>
  <w:style w:type="paragraph" w:styleId="Zwykytekst">
    <w:name w:val="Plain Text"/>
    <w:basedOn w:val="Normalny"/>
    <w:link w:val="ZwykytekstZnak"/>
    <w:uiPriority w:val="99"/>
    <w:semiHidden/>
    <w:unhideWhenUsed/>
    <w:rsid w:val="000E1845"/>
    <w:rPr>
      <w:rFonts w:ascii="Times New Roman" w:eastAsia="SimSun" w:hAnsi="Times New Roman" w:cs="Times New Roman"/>
      <w:sz w:val="28"/>
      <w:szCs w:val="28"/>
    </w:rPr>
  </w:style>
  <w:style w:type="character" w:customStyle="1" w:styleId="ZwykytekstZnak">
    <w:name w:val="Zwykły tekst Znak"/>
    <w:basedOn w:val="Domylnaczcionkaakapitu"/>
    <w:link w:val="Zwykytekst"/>
    <w:uiPriority w:val="99"/>
    <w:semiHidden/>
    <w:rsid w:val="000E1845"/>
    <w:rPr>
      <w:rFonts w:ascii="Times New Roman" w:eastAsia="SimSun" w:hAnsi="Times New Roman" w:cs="Times New Roman"/>
      <w:sz w:val="28"/>
      <w:szCs w:val="28"/>
    </w:rPr>
  </w:style>
  <w:style w:type="character" w:styleId="Odwoaniedokomentarza">
    <w:name w:val="annotation reference"/>
    <w:basedOn w:val="Domylnaczcionkaakapitu"/>
    <w:uiPriority w:val="99"/>
    <w:semiHidden/>
    <w:unhideWhenUsed/>
    <w:rsid w:val="008F5CA0"/>
    <w:rPr>
      <w:sz w:val="16"/>
      <w:szCs w:val="16"/>
    </w:rPr>
  </w:style>
  <w:style w:type="paragraph" w:styleId="Tekstkomentarza">
    <w:name w:val="annotation text"/>
    <w:basedOn w:val="Normalny"/>
    <w:link w:val="TekstkomentarzaZnak"/>
    <w:uiPriority w:val="99"/>
    <w:unhideWhenUsed/>
    <w:rsid w:val="008F5CA0"/>
    <w:rPr>
      <w:sz w:val="20"/>
      <w:szCs w:val="20"/>
    </w:rPr>
  </w:style>
  <w:style w:type="character" w:customStyle="1" w:styleId="TekstkomentarzaZnak">
    <w:name w:val="Tekst komentarza Znak"/>
    <w:basedOn w:val="Domylnaczcionkaakapitu"/>
    <w:link w:val="Tekstkomentarza"/>
    <w:uiPriority w:val="99"/>
    <w:rsid w:val="008F5CA0"/>
    <w:rPr>
      <w:sz w:val="20"/>
      <w:szCs w:val="20"/>
    </w:rPr>
  </w:style>
  <w:style w:type="paragraph" w:styleId="Tematkomentarza">
    <w:name w:val="annotation subject"/>
    <w:basedOn w:val="Tekstkomentarza"/>
    <w:next w:val="Tekstkomentarza"/>
    <w:link w:val="TematkomentarzaZnak"/>
    <w:uiPriority w:val="99"/>
    <w:semiHidden/>
    <w:unhideWhenUsed/>
    <w:rsid w:val="008F5CA0"/>
    <w:rPr>
      <w:b/>
      <w:bCs/>
    </w:rPr>
  </w:style>
  <w:style w:type="character" w:customStyle="1" w:styleId="TematkomentarzaZnak">
    <w:name w:val="Temat komentarza Znak"/>
    <w:basedOn w:val="TekstkomentarzaZnak"/>
    <w:link w:val="Tematkomentarza"/>
    <w:uiPriority w:val="99"/>
    <w:semiHidden/>
    <w:rsid w:val="008F5CA0"/>
    <w:rPr>
      <w:b/>
      <w:bCs/>
      <w:sz w:val="20"/>
      <w:szCs w:val="20"/>
    </w:rPr>
  </w:style>
  <w:style w:type="paragraph" w:styleId="Tekstprzypisudolnego">
    <w:name w:val="footnote text"/>
    <w:basedOn w:val="Normalny"/>
    <w:link w:val="TekstprzypisudolnegoZnak"/>
    <w:uiPriority w:val="99"/>
    <w:semiHidden/>
    <w:rsid w:val="00B511B4"/>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semiHidden/>
    <w:rsid w:val="00B511B4"/>
    <w:rPr>
      <w:rFonts w:ascii="Cambria" w:eastAsia="Cambria" w:hAnsi="Cambria" w:cs="Times New Roman"/>
      <w:sz w:val="20"/>
      <w:szCs w:val="20"/>
    </w:rPr>
  </w:style>
  <w:style w:type="character" w:styleId="Odwoanieprzypisudolnego">
    <w:name w:val="footnote reference"/>
    <w:uiPriority w:val="99"/>
    <w:semiHidden/>
    <w:rsid w:val="00B511B4"/>
    <w:rPr>
      <w:vertAlign w:val="superscript"/>
    </w:rPr>
  </w:style>
  <w:style w:type="paragraph" w:customStyle="1" w:styleId="Default">
    <w:name w:val="Default"/>
    <w:rsid w:val="000C4EDB"/>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415647"/>
    <w:rPr>
      <w:sz w:val="20"/>
      <w:szCs w:val="20"/>
    </w:rPr>
  </w:style>
  <w:style w:type="character" w:customStyle="1" w:styleId="TekstprzypisukocowegoZnak">
    <w:name w:val="Tekst przypisu końcowego Znak"/>
    <w:basedOn w:val="Domylnaczcionkaakapitu"/>
    <w:link w:val="Tekstprzypisukocowego"/>
    <w:uiPriority w:val="99"/>
    <w:semiHidden/>
    <w:rsid w:val="00415647"/>
    <w:rPr>
      <w:rFonts w:ascii="Calibri" w:hAnsi="Calibri" w:cs="Calibri"/>
      <w:sz w:val="20"/>
      <w:szCs w:val="20"/>
    </w:rPr>
  </w:style>
  <w:style w:type="character" w:styleId="Odwoanieprzypisukocowego">
    <w:name w:val="endnote reference"/>
    <w:basedOn w:val="Domylnaczcionkaakapitu"/>
    <w:uiPriority w:val="99"/>
    <w:semiHidden/>
    <w:unhideWhenUsed/>
    <w:rsid w:val="00415647"/>
    <w:rPr>
      <w:vertAlign w:val="superscript"/>
    </w:rPr>
  </w:style>
  <w:style w:type="paragraph" w:styleId="NormalnyWeb">
    <w:name w:val="Normal (Web)"/>
    <w:basedOn w:val="Normalny"/>
    <w:uiPriority w:val="99"/>
    <w:semiHidden/>
    <w:unhideWhenUsed/>
    <w:rsid w:val="006C7248"/>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EA19A3"/>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EA19A3"/>
    <w:rPr>
      <w:b/>
      <w:bCs/>
    </w:rPr>
  </w:style>
  <w:style w:type="paragraph" w:styleId="Tekstpodstawowy">
    <w:name w:val="Body Text"/>
    <w:basedOn w:val="Normalny"/>
    <w:link w:val="TekstpodstawowyZnak"/>
    <w:uiPriority w:val="99"/>
    <w:rsid w:val="00DB6BD5"/>
    <w:pPr>
      <w:spacing w:after="120"/>
    </w:pPr>
    <w:rPr>
      <w:rFonts w:ascii="Cambria" w:eastAsia="Cambria" w:hAnsi="Cambria" w:cs="Times New Roman"/>
      <w:sz w:val="24"/>
      <w:szCs w:val="24"/>
    </w:rPr>
  </w:style>
  <w:style w:type="character" w:customStyle="1" w:styleId="TekstpodstawowyZnak">
    <w:name w:val="Tekst podstawowy Znak"/>
    <w:basedOn w:val="Domylnaczcionkaakapitu"/>
    <w:link w:val="Tekstpodstawowy"/>
    <w:uiPriority w:val="99"/>
    <w:rsid w:val="00DB6BD5"/>
    <w:rPr>
      <w:rFonts w:ascii="Cambria" w:eastAsia="Cambria" w:hAnsi="Cambria" w:cs="Times New Roman"/>
      <w:sz w:val="24"/>
      <w:szCs w:val="24"/>
    </w:rPr>
  </w:style>
  <w:style w:type="paragraph" w:styleId="Nagwek">
    <w:name w:val="header"/>
    <w:basedOn w:val="Normalny"/>
    <w:link w:val="NagwekZnak"/>
    <w:uiPriority w:val="99"/>
    <w:unhideWhenUsed/>
    <w:rsid w:val="001371B2"/>
    <w:pPr>
      <w:tabs>
        <w:tab w:val="center" w:pos="4536"/>
        <w:tab w:val="right" w:pos="9072"/>
      </w:tabs>
    </w:pPr>
  </w:style>
  <w:style w:type="character" w:customStyle="1" w:styleId="NagwekZnak">
    <w:name w:val="Nagłówek Znak"/>
    <w:basedOn w:val="Domylnaczcionkaakapitu"/>
    <w:link w:val="Nagwek"/>
    <w:uiPriority w:val="99"/>
    <w:rsid w:val="001371B2"/>
    <w:rPr>
      <w:rFonts w:ascii="Calibri" w:hAnsi="Calibri" w:cs="Calibri"/>
    </w:rPr>
  </w:style>
  <w:style w:type="paragraph" w:styleId="Stopka">
    <w:name w:val="footer"/>
    <w:basedOn w:val="Normalny"/>
    <w:link w:val="StopkaZnak"/>
    <w:uiPriority w:val="99"/>
    <w:unhideWhenUsed/>
    <w:rsid w:val="001371B2"/>
    <w:pPr>
      <w:tabs>
        <w:tab w:val="center" w:pos="4536"/>
        <w:tab w:val="right" w:pos="9072"/>
      </w:tabs>
    </w:pPr>
  </w:style>
  <w:style w:type="character" w:customStyle="1" w:styleId="StopkaZnak">
    <w:name w:val="Stopka Znak"/>
    <w:basedOn w:val="Domylnaczcionkaakapitu"/>
    <w:link w:val="Stopka"/>
    <w:uiPriority w:val="99"/>
    <w:rsid w:val="001371B2"/>
    <w:rPr>
      <w:rFonts w:ascii="Calibri" w:hAnsi="Calibri" w:cs="Calibri"/>
    </w:rPr>
  </w:style>
  <w:style w:type="paragraph" w:customStyle="1" w:styleId="USTustnpkodeksu">
    <w:name w:val="UST(§) – ust. (§ np. kodeksu)"/>
    <w:basedOn w:val="Normalny"/>
    <w:uiPriority w:val="12"/>
    <w:qFormat/>
    <w:rsid w:val="00B22BE9"/>
    <w:pPr>
      <w:suppressAutoHyphens/>
      <w:autoSpaceDE w:val="0"/>
      <w:autoSpaceDN w:val="0"/>
      <w:adjustRightInd w:val="0"/>
      <w:spacing w:line="360" w:lineRule="auto"/>
      <w:ind w:firstLine="510"/>
      <w:jc w:val="both"/>
    </w:pPr>
    <w:rPr>
      <w:rFonts w:ascii="Times" w:eastAsiaTheme="minorEastAsia" w:hAnsi="Times" w:cs="Arial"/>
      <w:bCs/>
      <w:sz w:val="24"/>
      <w:szCs w:val="20"/>
      <w:lang w:eastAsia="pl-PL"/>
    </w:rPr>
  </w:style>
  <w:style w:type="paragraph" w:customStyle="1" w:styleId="PKTpunkt">
    <w:name w:val="PKT – punkt"/>
    <w:uiPriority w:val="13"/>
    <w:qFormat/>
    <w:rsid w:val="00B22BE9"/>
    <w:pPr>
      <w:spacing w:after="0" w:line="360" w:lineRule="auto"/>
      <w:ind w:left="510" w:hanging="510"/>
      <w:jc w:val="both"/>
    </w:pPr>
    <w:rPr>
      <w:rFonts w:ascii="Times" w:eastAsiaTheme="minorEastAsia" w:hAnsi="Times" w:cs="Arial"/>
      <w:bCs/>
      <w:sz w:val="24"/>
      <w:szCs w:val="20"/>
      <w:lang w:eastAsia="pl-PL"/>
    </w:rPr>
  </w:style>
  <w:style w:type="character" w:customStyle="1" w:styleId="PKpogrubieniekursywa">
    <w:name w:val="_P_K_ – pogrubienie kursywa"/>
    <w:basedOn w:val="Domylnaczcionkaakapitu"/>
    <w:uiPriority w:val="1"/>
    <w:qFormat/>
    <w:rsid w:val="00B22BE9"/>
    <w:rPr>
      <w:b/>
      <w:i/>
    </w:rPr>
  </w:style>
  <w:style w:type="paragraph" w:customStyle="1" w:styleId="LITlitera">
    <w:name w:val="LIT – litera"/>
    <w:basedOn w:val="PKTpunkt"/>
    <w:uiPriority w:val="14"/>
    <w:qFormat/>
    <w:rsid w:val="0059126A"/>
    <w:pPr>
      <w:ind w:left="986" w:hanging="476"/>
    </w:pPr>
  </w:style>
  <w:style w:type="character" w:styleId="Hipercze">
    <w:name w:val="Hyperlink"/>
    <w:basedOn w:val="Domylnaczcionkaakapitu"/>
    <w:uiPriority w:val="99"/>
    <w:unhideWhenUsed/>
    <w:rsid w:val="0088702B"/>
    <w:rPr>
      <w:color w:val="0000FF"/>
      <w:u w:val="single"/>
    </w:rPr>
  </w:style>
  <w:style w:type="paragraph" w:customStyle="1" w:styleId="TekstpismaMF">
    <w:name w:val="Tekst pisma MF"/>
    <w:qFormat/>
    <w:rsid w:val="00F27998"/>
    <w:pPr>
      <w:spacing w:before="240" w:after="0" w:line="260" w:lineRule="exact"/>
      <w:contextualSpacing/>
    </w:pPr>
    <w:rPr>
      <w:rFonts w:ascii="Lato" w:hAnsi="Lato"/>
    </w:rPr>
  </w:style>
  <w:style w:type="paragraph" w:customStyle="1" w:styleId="ListanumeracjaMF">
    <w:name w:val="Lista numeracja MF"/>
    <w:link w:val="ListanumeracjaMFZnak"/>
    <w:qFormat/>
    <w:rsid w:val="00F27998"/>
    <w:pPr>
      <w:numPr>
        <w:numId w:val="1"/>
      </w:numPr>
      <w:spacing w:before="60" w:after="0" w:line="260" w:lineRule="exact"/>
      <w:ind w:left="284" w:hanging="284"/>
    </w:pPr>
    <w:rPr>
      <w:rFonts w:ascii="Lato" w:eastAsia="Lato" w:hAnsi="Lato"/>
      <w:lang w:eastAsia="pl-PL"/>
    </w:rPr>
  </w:style>
  <w:style w:type="character" w:customStyle="1" w:styleId="ListanumeracjaMFZnak">
    <w:name w:val="Lista numeracja MF Znak"/>
    <w:basedOn w:val="Domylnaczcionkaakapitu"/>
    <w:link w:val="ListanumeracjaMF"/>
    <w:rsid w:val="00F27998"/>
    <w:rPr>
      <w:rFonts w:ascii="Lato" w:eastAsia="Lato" w:hAnsi="Lato"/>
      <w:lang w:eastAsia="pl-PL"/>
    </w:rPr>
  </w:style>
  <w:style w:type="character" w:customStyle="1" w:styleId="AkapitzlistZnak">
    <w:name w:val="Akapit z listą Znak"/>
    <w:link w:val="Akapitzlist"/>
    <w:rsid w:val="00FC0622"/>
  </w:style>
  <w:style w:type="paragraph" w:customStyle="1" w:styleId="ZARTzmartartykuempunktem">
    <w:name w:val="Z/ART(§) – zm. art. (§) artykułem (punktem)"/>
    <w:basedOn w:val="Normalny"/>
    <w:uiPriority w:val="30"/>
    <w:qFormat/>
    <w:rsid w:val="00443D92"/>
    <w:pPr>
      <w:suppressAutoHyphens/>
      <w:autoSpaceDE w:val="0"/>
      <w:autoSpaceDN w:val="0"/>
      <w:adjustRightInd w:val="0"/>
      <w:spacing w:line="360" w:lineRule="auto"/>
      <w:ind w:left="510" w:firstLine="510"/>
      <w:jc w:val="both"/>
    </w:pPr>
    <w:rPr>
      <w:rFonts w:ascii="Times" w:eastAsiaTheme="minorEastAsia" w:hAnsi="Times" w:cs="Arial"/>
      <w:sz w:val="24"/>
      <w:szCs w:val="20"/>
      <w:lang w:eastAsia="pl-PL"/>
    </w:rPr>
  </w:style>
  <w:style w:type="paragraph" w:customStyle="1" w:styleId="ZUSTzmustartykuempunktem">
    <w:name w:val="Z/UST(§) – zm. ust. (§) artykułem (punktem)"/>
    <w:basedOn w:val="ZARTzmartartykuempunktem"/>
    <w:uiPriority w:val="30"/>
    <w:qFormat/>
    <w:rsid w:val="001E471E"/>
  </w:style>
  <w:style w:type="paragraph" w:customStyle="1" w:styleId="ZCZWSPPKTzmczciwsppktartykuempunktem">
    <w:name w:val="Z/CZ_WSP_PKT – zm. części wsp. pkt artykułem (punktem)"/>
    <w:basedOn w:val="Normalny"/>
    <w:next w:val="ZARTzmartartykuempunktem"/>
    <w:uiPriority w:val="34"/>
    <w:qFormat/>
    <w:rsid w:val="00270D34"/>
    <w:pPr>
      <w:spacing w:line="360" w:lineRule="auto"/>
      <w:ind w:left="510"/>
      <w:jc w:val="both"/>
    </w:pPr>
    <w:rPr>
      <w:rFonts w:ascii="Times" w:eastAsiaTheme="minorEastAsia" w:hAnsi="Times" w:cs="Arial"/>
      <w:bCs/>
      <w:sz w:val="24"/>
      <w:szCs w:val="20"/>
      <w:lang w:eastAsia="pl-PL"/>
    </w:rPr>
  </w:style>
  <w:style w:type="character" w:customStyle="1" w:styleId="Kkursywa">
    <w:name w:val="_K_ – kursywa"/>
    <w:basedOn w:val="Domylnaczcionkaakapitu"/>
    <w:uiPriority w:val="1"/>
    <w:qFormat/>
    <w:rsid w:val="001D7237"/>
    <w:rPr>
      <w:i/>
    </w:rPr>
  </w:style>
  <w:style w:type="paragraph" w:customStyle="1" w:styleId="ZPKTzmpktartykuempunktem">
    <w:name w:val="Z/PKT – zm. pkt artykułem (punktem)"/>
    <w:basedOn w:val="PKTpunkt"/>
    <w:uiPriority w:val="31"/>
    <w:qFormat/>
    <w:rsid w:val="00244310"/>
    <w:pPr>
      <w:ind w:left="1020"/>
    </w:pPr>
  </w:style>
  <w:style w:type="paragraph" w:customStyle="1" w:styleId="ARTartustawynprozporzdzenia">
    <w:name w:val="ART(§) – art. ustawy (§ np. rozporządzenia)"/>
    <w:uiPriority w:val="11"/>
    <w:qFormat/>
    <w:rsid w:val="00473B34"/>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473B34"/>
    <w:rPr>
      <w:b/>
    </w:rPr>
  </w:style>
  <w:style w:type="paragraph" w:customStyle="1" w:styleId="CytatMF">
    <w:name w:val="Cytat MF"/>
    <w:basedOn w:val="TekstpismaMF"/>
    <w:qFormat/>
    <w:rsid w:val="005C3662"/>
    <w:pPr>
      <w:pBdr>
        <w:left w:val="single" w:sz="8" w:space="8" w:color="000000"/>
      </w:pBdr>
      <w:spacing w:before="40" w:line="240" w:lineRule="exact"/>
      <w:ind w:left="510"/>
    </w:pPr>
    <w:rPr>
      <w:sz w:val="20"/>
    </w:rPr>
  </w:style>
  <w:style w:type="character" w:styleId="Nierozpoznanawzmianka">
    <w:name w:val="Unresolved Mention"/>
    <w:basedOn w:val="Domylnaczcionkaakapitu"/>
    <w:uiPriority w:val="99"/>
    <w:semiHidden/>
    <w:unhideWhenUsed/>
    <w:rsid w:val="00AA2969"/>
    <w:rPr>
      <w:color w:val="605E5C"/>
      <w:shd w:val="clear" w:color="auto" w:fill="E1DFDD"/>
    </w:rPr>
  </w:style>
  <w:style w:type="character" w:customStyle="1" w:styleId="Nagwek1Znak">
    <w:name w:val="Nagłówek 1 Znak"/>
    <w:basedOn w:val="Domylnaczcionkaakapitu"/>
    <w:link w:val="Nagwek1"/>
    <w:uiPriority w:val="9"/>
    <w:rsid w:val="001F371F"/>
    <w:rPr>
      <w:rFonts w:asciiTheme="majorHAnsi" w:eastAsiaTheme="majorEastAsia" w:hAnsiTheme="majorHAnsi" w:cstheme="majorBidi"/>
      <w:color w:val="2E74B5" w:themeColor="accent1" w:themeShade="BF"/>
      <w:sz w:val="32"/>
      <w:szCs w:val="32"/>
    </w:rPr>
  </w:style>
  <w:style w:type="paragraph" w:customStyle="1" w:styleId="ZLITUSTzmustliter">
    <w:name w:val="Z_LIT/UST(§) – zm. ust. (§) literą"/>
    <w:basedOn w:val="Normalny"/>
    <w:uiPriority w:val="46"/>
    <w:qFormat/>
    <w:rsid w:val="00584E79"/>
    <w:pPr>
      <w:suppressAutoHyphens/>
      <w:autoSpaceDE w:val="0"/>
      <w:autoSpaceDN w:val="0"/>
      <w:adjustRightInd w:val="0"/>
      <w:spacing w:line="360" w:lineRule="auto"/>
      <w:ind w:left="987" w:firstLine="510"/>
      <w:jc w:val="both"/>
    </w:pPr>
    <w:rPr>
      <w:rFonts w:ascii="Times" w:eastAsiaTheme="minorEastAsia" w:hAnsi="Times" w:cs="Arial"/>
      <w:bCs/>
      <w:sz w:val="24"/>
      <w:szCs w:val="20"/>
      <w:lang w:eastAsia="pl-PL"/>
    </w:rPr>
  </w:style>
  <w:style w:type="table" w:styleId="Tabela-Siatka">
    <w:name w:val="Table Grid"/>
    <w:basedOn w:val="Standardowy"/>
    <w:uiPriority w:val="39"/>
    <w:rsid w:val="00ED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7D6DCE"/>
    <w:rPr>
      <w:color w:val="954F72" w:themeColor="followedHyperlink"/>
      <w:u w:val="single"/>
    </w:rPr>
  </w:style>
  <w:style w:type="paragraph" w:customStyle="1" w:styleId="ZLITPKTzmpktliter">
    <w:name w:val="Z_LIT/PKT – zm. pkt literą"/>
    <w:basedOn w:val="PKTpunkt"/>
    <w:uiPriority w:val="47"/>
    <w:qFormat/>
    <w:rsid w:val="00502D21"/>
    <w:pPr>
      <w:ind w:left="1497"/>
    </w:pPr>
  </w:style>
  <w:style w:type="paragraph" w:customStyle="1" w:styleId="ZTIRLITwPKTzmlitwpkttiret">
    <w:name w:val="Z_TIR/LIT_w_PKT – zm. lit. w pkt tiret"/>
    <w:basedOn w:val="LITlitera"/>
    <w:uiPriority w:val="57"/>
    <w:qFormat/>
    <w:rsid w:val="005D6981"/>
    <w:pPr>
      <w:ind w:left="2336"/>
    </w:pPr>
  </w:style>
  <w:style w:type="paragraph" w:customStyle="1" w:styleId="SzanownaPani">
    <w:name w:val="Szanowna Pani"/>
    <w:basedOn w:val="TekstpismaMF"/>
    <w:rsid w:val="006573D4"/>
  </w:style>
  <w:style w:type="character" w:styleId="Uwydatnienie">
    <w:name w:val="Emphasis"/>
    <w:basedOn w:val="Domylnaczcionkaakapitu"/>
    <w:uiPriority w:val="20"/>
    <w:qFormat/>
    <w:rsid w:val="006573D4"/>
    <w:rPr>
      <w:i/>
      <w:iCs/>
    </w:rPr>
  </w:style>
  <w:style w:type="character" w:customStyle="1" w:styleId="Nagwek3Znak">
    <w:name w:val="Nagłówek 3 Znak"/>
    <w:basedOn w:val="Domylnaczcionkaakapitu"/>
    <w:link w:val="Nagwek3"/>
    <w:uiPriority w:val="9"/>
    <w:semiHidden/>
    <w:rsid w:val="009A5698"/>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9A5698"/>
    <w:rPr>
      <w:rFonts w:asciiTheme="majorHAnsi" w:eastAsiaTheme="majorEastAsia" w:hAnsiTheme="majorHAnsi" w:cstheme="majorBidi"/>
      <w:i/>
      <w:iCs/>
      <w:color w:val="2E74B5" w:themeColor="accent1" w:themeShade="BF"/>
    </w:rPr>
  </w:style>
  <w:style w:type="paragraph" w:customStyle="1" w:styleId="ZTIRLITzmlittiret">
    <w:name w:val="Z_TIR/LIT – zm. lit. tiret"/>
    <w:basedOn w:val="LITlitera"/>
    <w:uiPriority w:val="57"/>
    <w:qFormat/>
    <w:rsid w:val="00227E90"/>
    <w:pPr>
      <w:ind w:left="1859"/>
    </w:pPr>
  </w:style>
  <w:style w:type="paragraph" w:customStyle="1" w:styleId="ZTIRTIRzmtirtiret">
    <w:name w:val="Z_TIR/TIR – zm. tir. tiret"/>
    <w:basedOn w:val="Normalny"/>
    <w:uiPriority w:val="57"/>
    <w:qFormat/>
    <w:rsid w:val="00227E90"/>
    <w:pPr>
      <w:spacing w:line="360" w:lineRule="auto"/>
      <w:ind w:left="1780" w:hanging="397"/>
      <w:jc w:val="both"/>
    </w:pPr>
    <w:rPr>
      <w:rFonts w:ascii="Times" w:eastAsiaTheme="minorEastAsia" w:hAnsi="Times" w:cs="Arial"/>
      <w:bCs/>
      <w:sz w:val="24"/>
      <w:szCs w:val="20"/>
      <w:lang w:eastAsia="pl-PL"/>
    </w:rPr>
  </w:style>
  <w:style w:type="paragraph" w:customStyle="1" w:styleId="title-doc-first">
    <w:name w:val="title-doc-first"/>
    <w:basedOn w:val="Normalny"/>
    <w:rsid w:val="00623903"/>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ODNONIKtreodnonika">
    <w:name w:val="ODNOŚNIK – treść odnośnika"/>
    <w:uiPriority w:val="19"/>
    <w:qFormat/>
    <w:rsid w:val="00905A4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title-bold">
    <w:name w:val="title-bold"/>
    <w:basedOn w:val="Normalny"/>
    <w:rsid w:val="00A70A8D"/>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LITLITwPKTzmlitwpktliter">
    <w:name w:val="Z_LIT/LIT_w_PKT – zm. lit. w pkt literą"/>
    <w:basedOn w:val="LITlitera"/>
    <w:uiPriority w:val="48"/>
    <w:qFormat/>
    <w:rsid w:val="00736D9A"/>
    <w:pPr>
      <w:ind w:left="1973"/>
    </w:pPr>
  </w:style>
  <w:style w:type="paragraph" w:styleId="Poprawka">
    <w:name w:val="Revision"/>
    <w:hidden/>
    <w:uiPriority w:val="99"/>
    <w:semiHidden/>
    <w:rsid w:val="00CC49C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02">
      <w:bodyDiv w:val="1"/>
      <w:marLeft w:val="0"/>
      <w:marRight w:val="0"/>
      <w:marTop w:val="0"/>
      <w:marBottom w:val="0"/>
      <w:divBdr>
        <w:top w:val="none" w:sz="0" w:space="0" w:color="auto"/>
        <w:left w:val="none" w:sz="0" w:space="0" w:color="auto"/>
        <w:bottom w:val="none" w:sz="0" w:space="0" w:color="auto"/>
        <w:right w:val="none" w:sz="0" w:space="0" w:color="auto"/>
      </w:divBdr>
    </w:div>
    <w:div w:id="134181249">
      <w:bodyDiv w:val="1"/>
      <w:marLeft w:val="0"/>
      <w:marRight w:val="0"/>
      <w:marTop w:val="0"/>
      <w:marBottom w:val="0"/>
      <w:divBdr>
        <w:top w:val="none" w:sz="0" w:space="0" w:color="auto"/>
        <w:left w:val="none" w:sz="0" w:space="0" w:color="auto"/>
        <w:bottom w:val="none" w:sz="0" w:space="0" w:color="auto"/>
        <w:right w:val="none" w:sz="0" w:space="0" w:color="auto"/>
      </w:divBdr>
    </w:div>
    <w:div w:id="159279312">
      <w:bodyDiv w:val="1"/>
      <w:marLeft w:val="0"/>
      <w:marRight w:val="0"/>
      <w:marTop w:val="0"/>
      <w:marBottom w:val="0"/>
      <w:divBdr>
        <w:top w:val="none" w:sz="0" w:space="0" w:color="auto"/>
        <w:left w:val="none" w:sz="0" w:space="0" w:color="auto"/>
        <w:bottom w:val="none" w:sz="0" w:space="0" w:color="auto"/>
        <w:right w:val="none" w:sz="0" w:space="0" w:color="auto"/>
      </w:divBdr>
    </w:div>
    <w:div w:id="194850688">
      <w:bodyDiv w:val="1"/>
      <w:marLeft w:val="0"/>
      <w:marRight w:val="0"/>
      <w:marTop w:val="0"/>
      <w:marBottom w:val="0"/>
      <w:divBdr>
        <w:top w:val="none" w:sz="0" w:space="0" w:color="auto"/>
        <w:left w:val="none" w:sz="0" w:space="0" w:color="auto"/>
        <w:bottom w:val="none" w:sz="0" w:space="0" w:color="auto"/>
        <w:right w:val="none" w:sz="0" w:space="0" w:color="auto"/>
      </w:divBdr>
    </w:div>
    <w:div w:id="221991836">
      <w:bodyDiv w:val="1"/>
      <w:marLeft w:val="0"/>
      <w:marRight w:val="0"/>
      <w:marTop w:val="0"/>
      <w:marBottom w:val="0"/>
      <w:divBdr>
        <w:top w:val="none" w:sz="0" w:space="0" w:color="auto"/>
        <w:left w:val="none" w:sz="0" w:space="0" w:color="auto"/>
        <w:bottom w:val="none" w:sz="0" w:space="0" w:color="auto"/>
        <w:right w:val="none" w:sz="0" w:space="0" w:color="auto"/>
      </w:divBdr>
    </w:div>
    <w:div w:id="232469567">
      <w:bodyDiv w:val="1"/>
      <w:marLeft w:val="0"/>
      <w:marRight w:val="0"/>
      <w:marTop w:val="0"/>
      <w:marBottom w:val="0"/>
      <w:divBdr>
        <w:top w:val="none" w:sz="0" w:space="0" w:color="auto"/>
        <w:left w:val="none" w:sz="0" w:space="0" w:color="auto"/>
        <w:bottom w:val="none" w:sz="0" w:space="0" w:color="auto"/>
        <w:right w:val="none" w:sz="0" w:space="0" w:color="auto"/>
      </w:divBdr>
    </w:div>
    <w:div w:id="253124926">
      <w:bodyDiv w:val="1"/>
      <w:marLeft w:val="0"/>
      <w:marRight w:val="0"/>
      <w:marTop w:val="0"/>
      <w:marBottom w:val="0"/>
      <w:divBdr>
        <w:top w:val="none" w:sz="0" w:space="0" w:color="auto"/>
        <w:left w:val="none" w:sz="0" w:space="0" w:color="auto"/>
        <w:bottom w:val="none" w:sz="0" w:space="0" w:color="auto"/>
        <w:right w:val="none" w:sz="0" w:space="0" w:color="auto"/>
      </w:divBdr>
      <w:divsChild>
        <w:div w:id="1522624766">
          <w:marLeft w:val="0"/>
          <w:marRight w:val="0"/>
          <w:marTop w:val="0"/>
          <w:marBottom w:val="0"/>
          <w:divBdr>
            <w:top w:val="none" w:sz="0" w:space="0" w:color="auto"/>
            <w:left w:val="none" w:sz="0" w:space="0" w:color="auto"/>
            <w:bottom w:val="none" w:sz="0" w:space="0" w:color="auto"/>
            <w:right w:val="none" w:sz="0" w:space="0" w:color="auto"/>
          </w:divBdr>
        </w:div>
      </w:divsChild>
    </w:div>
    <w:div w:id="255604063">
      <w:bodyDiv w:val="1"/>
      <w:marLeft w:val="0"/>
      <w:marRight w:val="0"/>
      <w:marTop w:val="0"/>
      <w:marBottom w:val="0"/>
      <w:divBdr>
        <w:top w:val="none" w:sz="0" w:space="0" w:color="auto"/>
        <w:left w:val="none" w:sz="0" w:space="0" w:color="auto"/>
        <w:bottom w:val="none" w:sz="0" w:space="0" w:color="auto"/>
        <w:right w:val="none" w:sz="0" w:space="0" w:color="auto"/>
      </w:divBdr>
    </w:div>
    <w:div w:id="275186664">
      <w:bodyDiv w:val="1"/>
      <w:marLeft w:val="0"/>
      <w:marRight w:val="0"/>
      <w:marTop w:val="0"/>
      <w:marBottom w:val="0"/>
      <w:divBdr>
        <w:top w:val="none" w:sz="0" w:space="0" w:color="auto"/>
        <w:left w:val="none" w:sz="0" w:space="0" w:color="auto"/>
        <w:bottom w:val="none" w:sz="0" w:space="0" w:color="auto"/>
        <w:right w:val="none" w:sz="0" w:space="0" w:color="auto"/>
      </w:divBdr>
    </w:div>
    <w:div w:id="278688987">
      <w:bodyDiv w:val="1"/>
      <w:marLeft w:val="0"/>
      <w:marRight w:val="0"/>
      <w:marTop w:val="0"/>
      <w:marBottom w:val="0"/>
      <w:divBdr>
        <w:top w:val="none" w:sz="0" w:space="0" w:color="auto"/>
        <w:left w:val="none" w:sz="0" w:space="0" w:color="auto"/>
        <w:bottom w:val="none" w:sz="0" w:space="0" w:color="auto"/>
        <w:right w:val="none" w:sz="0" w:space="0" w:color="auto"/>
      </w:divBdr>
      <w:divsChild>
        <w:div w:id="1069814339">
          <w:marLeft w:val="0"/>
          <w:marRight w:val="0"/>
          <w:marTop w:val="105"/>
          <w:marBottom w:val="0"/>
          <w:divBdr>
            <w:top w:val="none" w:sz="0" w:space="0" w:color="auto"/>
            <w:left w:val="none" w:sz="0" w:space="0" w:color="auto"/>
            <w:bottom w:val="none" w:sz="0" w:space="0" w:color="auto"/>
            <w:right w:val="none" w:sz="0" w:space="0" w:color="auto"/>
          </w:divBdr>
        </w:div>
        <w:div w:id="51120833">
          <w:marLeft w:val="0"/>
          <w:marRight w:val="0"/>
          <w:marTop w:val="0"/>
          <w:marBottom w:val="0"/>
          <w:divBdr>
            <w:top w:val="none" w:sz="0" w:space="0" w:color="auto"/>
            <w:left w:val="none" w:sz="0" w:space="0" w:color="auto"/>
            <w:bottom w:val="none" w:sz="0" w:space="0" w:color="auto"/>
            <w:right w:val="none" w:sz="0" w:space="0" w:color="auto"/>
          </w:divBdr>
          <w:divsChild>
            <w:div w:id="3832871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9729861">
      <w:bodyDiv w:val="1"/>
      <w:marLeft w:val="0"/>
      <w:marRight w:val="0"/>
      <w:marTop w:val="0"/>
      <w:marBottom w:val="0"/>
      <w:divBdr>
        <w:top w:val="none" w:sz="0" w:space="0" w:color="auto"/>
        <w:left w:val="none" w:sz="0" w:space="0" w:color="auto"/>
        <w:bottom w:val="none" w:sz="0" w:space="0" w:color="auto"/>
        <w:right w:val="none" w:sz="0" w:space="0" w:color="auto"/>
      </w:divBdr>
    </w:div>
    <w:div w:id="348027744">
      <w:bodyDiv w:val="1"/>
      <w:marLeft w:val="0"/>
      <w:marRight w:val="0"/>
      <w:marTop w:val="0"/>
      <w:marBottom w:val="0"/>
      <w:divBdr>
        <w:top w:val="none" w:sz="0" w:space="0" w:color="auto"/>
        <w:left w:val="none" w:sz="0" w:space="0" w:color="auto"/>
        <w:bottom w:val="none" w:sz="0" w:space="0" w:color="auto"/>
        <w:right w:val="none" w:sz="0" w:space="0" w:color="auto"/>
      </w:divBdr>
    </w:div>
    <w:div w:id="355429793">
      <w:bodyDiv w:val="1"/>
      <w:marLeft w:val="0"/>
      <w:marRight w:val="0"/>
      <w:marTop w:val="0"/>
      <w:marBottom w:val="0"/>
      <w:divBdr>
        <w:top w:val="none" w:sz="0" w:space="0" w:color="auto"/>
        <w:left w:val="none" w:sz="0" w:space="0" w:color="auto"/>
        <w:bottom w:val="none" w:sz="0" w:space="0" w:color="auto"/>
        <w:right w:val="none" w:sz="0" w:space="0" w:color="auto"/>
      </w:divBdr>
    </w:div>
    <w:div w:id="373890649">
      <w:bodyDiv w:val="1"/>
      <w:marLeft w:val="0"/>
      <w:marRight w:val="0"/>
      <w:marTop w:val="0"/>
      <w:marBottom w:val="0"/>
      <w:divBdr>
        <w:top w:val="none" w:sz="0" w:space="0" w:color="auto"/>
        <w:left w:val="none" w:sz="0" w:space="0" w:color="auto"/>
        <w:bottom w:val="none" w:sz="0" w:space="0" w:color="auto"/>
        <w:right w:val="none" w:sz="0" w:space="0" w:color="auto"/>
      </w:divBdr>
    </w:div>
    <w:div w:id="399405617">
      <w:bodyDiv w:val="1"/>
      <w:marLeft w:val="0"/>
      <w:marRight w:val="0"/>
      <w:marTop w:val="0"/>
      <w:marBottom w:val="0"/>
      <w:divBdr>
        <w:top w:val="none" w:sz="0" w:space="0" w:color="auto"/>
        <w:left w:val="none" w:sz="0" w:space="0" w:color="auto"/>
        <w:bottom w:val="none" w:sz="0" w:space="0" w:color="auto"/>
        <w:right w:val="none" w:sz="0" w:space="0" w:color="auto"/>
      </w:divBdr>
    </w:div>
    <w:div w:id="476531884">
      <w:bodyDiv w:val="1"/>
      <w:marLeft w:val="0"/>
      <w:marRight w:val="0"/>
      <w:marTop w:val="0"/>
      <w:marBottom w:val="0"/>
      <w:divBdr>
        <w:top w:val="none" w:sz="0" w:space="0" w:color="auto"/>
        <w:left w:val="none" w:sz="0" w:space="0" w:color="auto"/>
        <w:bottom w:val="none" w:sz="0" w:space="0" w:color="auto"/>
        <w:right w:val="none" w:sz="0" w:space="0" w:color="auto"/>
      </w:divBdr>
    </w:div>
    <w:div w:id="597563155">
      <w:bodyDiv w:val="1"/>
      <w:marLeft w:val="0"/>
      <w:marRight w:val="0"/>
      <w:marTop w:val="0"/>
      <w:marBottom w:val="0"/>
      <w:divBdr>
        <w:top w:val="none" w:sz="0" w:space="0" w:color="auto"/>
        <w:left w:val="none" w:sz="0" w:space="0" w:color="auto"/>
        <w:bottom w:val="none" w:sz="0" w:space="0" w:color="auto"/>
        <w:right w:val="none" w:sz="0" w:space="0" w:color="auto"/>
      </w:divBdr>
    </w:div>
    <w:div w:id="599727974">
      <w:bodyDiv w:val="1"/>
      <w:marLeft w:val="0"/>
      <w:marRight w:val="0"/>
      <w:marTop w:val="0"/>
      <w:marBottom w:val="0"/>
      <w:divBdr>
        <w:top w:val="none" w:sz="0" w:space="0" w:color="auto"/>
        <w:left w:val="none" w:sz="0" w:space="0" w:color="auto"/>
        <w:bottom w:val="none" w:sz="0" w:space="0" w:color="auto"/>
        <w:right w:val="none" w:sz="0" w:space="0" w:color="auto"/>
      </w:divBdr>
    </w:div>
    <w:div w:id="638341001">
      <w:bodyDiv w:val="1"/>
      <w:marLeft w:val="0"/>
      <w:marRight w:val="0"/>
      <w:marTop w:val="0"/>
      <w:marBottom w:val="0"/>
      <w:divBdr>
        <w:top w:val="none" w:sz="0" w:space="0" w:color="auto"/>
        <w:left w:val="none" w:sz="0" w:space="0" w:color="auto"/>
        <w:bottom w:val="none" w:sz="0" w:space="0" w:color="auto"/>
        <w:right w:val="none" w:sz="0" w:space="0" w:color="auto"/>
      </w:divBdr>
    </w:div>
    <w:div w:id="673412370">
      <w:bodyDiv w:val="1"/>
      <w:marLeft w:val="0"/>
      <w:marRight w:val="0"/>
      <w:marTop w:val="0"/>
      <w:marBottom w:val="0"/>
      <w:divBdr>
        <w:top w:val="none" w:sz="0" w:space="0" w:color="auto"/>
        <w:left w:val="none" w:sz="0" w:space="0" w:color="auto"/>
        <w:bottom w:val="none" w:sz="0" w:space="0" w:color="auto"/>
        <w:right w:val="none" w:sz="0" w:space="0" w:color="auto"/>
      </w:divBdr>
    </w:div>
    <w:div w:id="802695416">
      <w:bodyDiv w:val="1"/>
      <w:marLeft w:val="0"/>
      <w:marRight w:val="0"/>
      <w:marTop w:val="0"/>
      <w:marBottom w:val="0"/>
      <w:divBdr>
        <w:top w:val="none" w:sz="0" w:space="0" w:color="auto"/>
        <w:left w:val="none" w:sz="0" w:space="0" w:color="auto"/>
        <w:bottom w:val="none" w:sz="0" w:space="0" w:color="auto"/>
        <w:right w:val="none" w:sz="0" w:space="0" w:color="auto"/>
      </w:divBdr>
    </w:div>
    <w:div w:id="821695839">
      <w:bodyDiv w:val="1"/>
      <w:marLeft w:val="0"/>
      <w:marRight w:val="0"/>
      <w:marTop w:val="0"/>
      <w:marBottom w:val="0"/>
      <w:divBdr>
        <w:top w:val="none" w:sz="0" w:space="0" w:color="auto"/>
        <w:left w:val="none" w:sz="0" w:space="0" w:color="auto"/>
        <w:bottom w:val="none" w:sz="0" w:space="0" w:color="auto"/>
        <w:right w:val="none" w:sz="0" w:space="0" w:color="auto"/>
      </w:divBdr>
    </w:div>
    <w:div w:id="821846950">
      <w:bodyDiv w:val="1"/>
      <w:marLeft w:val="0"/>
      <w:marRight w:val="0"/>
      <w:marTop w:val="0"/>
      <w:marBottom w:val="0"/>
      <w:divBdr>
        <w:top w:val="none" w:sz="0" w:space="0" w:color="auto"/>
        <w:left w:val="none" w:sz="0" w:space="0" w:color="auto"/>
        <w:bottom w:val="none" w:sz="0" w:space="0" w:color="auto"/>
        <w:right w:val="none" w:sz="0" w:space="0" w:color="auto"/>
      </w:divBdr>
    </w:div>
    <w:div w:id="848525923">
      <w:bodyDiv w:val="1"/>
      <w:marLeft w:val="0"/>
      <w:marRight w:val="0"/>
      <w:marTop w:val="0"/>
      <w:marBottom w:val="0"/>
      <w:divBdr>
        <w:top w:val="none" w:sz="0" w:space="0" w:color="auto"/>
        <w:left w:val="none" w:sz="0" w:space="0" w:color="auto"/>
        <w:bottom w:val="none" w:sz="0" w:space="0" w:color="auto"/>
        <w:right w:val="none" w:sz="0" w:space="0" w:color="auto"/>
      </w:divBdr>
    </w:div>
    <w:div w:id="851261512">
      <w:bodyDiv w:val="1"/>
      <w:marLeft w:val="0"/>
      <w:marRight w:val="0"/>
      <w:marTop w:val="0"/>
      <w:marBottom w:val="0"/>
      <w:divBdr>
        <w:top w:val="none" w:sz="0" w:space="0" w:color="auto"/>
        <w:left w:val="none" w:sz="0" w:space="0" w:color="auto"/>
        <w:bottom w:val="none" w:sz="0" w:space="0" w:color="auto"/>
        <w:right w:val="none" w:sz="0" w:space="0" w:color="auto"/>
      </w:divBdr>
      <w:divsChild>
        <w:div w:id="1115102028">
          <w:marLeft w:val="0"/>
          <w:marRight w:val="0"/>
          <w:marTop w:val="0"/>
          <w:marBottom w:val="0"/>
          <w:divBdr>
            <w:top w:val="none" w:sz="0" w:space="0" w:color="auto"/>
            <w:left w:val="none" w:sz="0" w:space="0" w:color="auto"/>
            <w:bottom w:val="none" w:sz="0" w:space="0" w:color="auto"/>
            <w:right w:val="none" w:sz="0" w:space="0" w:color="auto"/>
          </w:divBdr>
          <w:divsChild>
            <w:div w:id="302738531">
              <w:marLeft w:val="0"/>
              <w:marRight w:val="0"/>
              <w:marTop w:val="105"/>
              <w:marBottom w:val="0"/>
              <w:divBdr>
                <w:top w:val="none" w:sz="0" w:space="0" w:color="auto"/>
                <w:left w:val="none" w:sz="0" w:space="0" w:color="auto"/>
                <w:bottom w:val="none" w:sz="0" w:space="0" w:color="auto"/>
                <w:right w:val="none" w:sz="0" w:space="0" w:color="auto"/>
              </w:divBdr>
            </w:div>
          </w:divsChild>
        </w:div>
        <w:div w:id="1614361074">
          <w:marLeft w:val="0"/>
          <w:marRight w:val="0"/>
          <w:marTop w:val="0"/>
          <w:marBottom w:val="0"/>
          <w:divBdr>
            <w:top w:val="none" w:sz="0" w:space="0" w:color="auto"/>
            <w:left w:val="none" w:sz="0" w:space="0" w:color="auto"/>
            <w:bottom w:val="none" w:sz="0" w:space="0" w:color="auto"/>
            <w:right w:val="none" w:sz="0" w:space="0" w:color="auto"/>
          </w:divBdr>
          <w:divsChild>
            <w:div w:id="10409365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86835203">
      <w:bodyDiv w:val="1"/>
      <w:marLeft w:val="0"/>
      <w:marRight w:val="0"/>
      <w:marTop w:val="0"/>
      <w:marBottom w:val="0"/>
      <w:divBdr>
        <w:top w:val="none" w:sz="0" w:space="0" w:color="auto"/>
        <w:left w:val="none" w:sz="0" w:space="0" w:color="auto"/>
        <w:bottom w:val="none" w:sz="0" w:space="0" w:color="auto"/>
        <w:right w:val="none" w:sz="0" w:space="0" w:color="auto"/>
      </w:divBdr>
      <w:divsChild>
        <w:div w:id="1422529345">
          <w:marLeft w:val="0"/>
          <w:marRight w:val="0"/>
          <w:marTop w:val="0"/>
          <w:marBottom w:val="0"/>
          <w:divBdr>
            <w:top w:val="none" w:sz="0" w:space="0" w:color="auto"/>
            <w:left w:val="none" w:sz="0" w:space="0" w:color="auto"/>
            <w:bottom w:val="none" w:sz="0" w:space="0" w:color="auto"/>
            <w:right w:val="none" w:sz="0" w:space="0" w:color="auto"/>
          </w:divBdr>
          <w:divsChild>
            <w:div w:id="1475294858">
              <w:marLeft w:val="0"/>
              <w:marRight w:val="0"/>
              <w:marTop w:val="0"/>
              <w:marBottom w:val="0"/>
              <w:divBdr>
                <w:top w:val="none" w:sz="0" w:space="0" w:color="auto"/>
                <w:left w:val="none" w:sz="0" w:space="0" w:color="auto"/>
                <w:bottom w:val="none" w:sz="0" w:space="0" w:color="auto"/>
                <w:right w:val="none" w:sz="0" w:space="0" w:color="auto"/>
              </w:divBdr>
              <w:divsChild>
                <w:div w:id="11330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42930">
      <w:bodyDiv w:val="1"/>
      <w:marLeft w:val="0"/>
      <w:marRight w:val="0"/>
      <w:marTop w:val="0"/>
      <w:marBottom w:val="0"/>
      <w:divBdr>
        <w:top w:val="none" w:sz="0" w:space="0" w:color="auto"/>
        <w:left w:val="none" w:sz="0" w:space="0" w:color="auto"/>
        <w:bottom w:val="none" w:sz="0" w:space="0" w:color="auto"/>
        <w:right w:val="none" w:sz="0" w:space="0" w:color="auto"/>
      </w:divBdr>
    </w:div>
    <w:div w:id="1020473884">
      <w:bodyDiv w:val="1"/>
      <w:marLeft w:val="0"/>
      <w:marRight w:val="0"/>
      <w:marTop w:val="0"/>
      <w:marBottom w:val="0"/>
      <w:divBdr>
        <w:top w:val="none" w:sz="0" w:space="0" w:color="auto"/>
        <w:left w:val="none" w:sz="0" w:space="0" w:color="auto"/>
        <w:bottom w:val="none" w:sz="0" w:space="0" w:color="auto"/>
        <w:right w:val="none" w:sz="0" w:space="0" w:color="auto"/>
      </w:divBdr>
    </w:div>
    <w:div w:id="1073160759">
      <w:bodyDiv w:val="1"/>
      <w:marLeft w:val="0"/>
      <w:marRight w:val="0"/>
      <w:marTop w:val="0"/>
      <w:marBottom w:val="0"/>
      <w:divBdr>
        <w:top w:val="none" w:sz="0" w:space="0" w:color="auto"/>
        <w:left w:val="none" w:sz="0" w:space="0" w:color="auto"/>
        <w:bottom w:val="none" w:sz="0" w:space="0" w:color="auto"/>
        <w:right w:val="none" w:sz="0" w:space="0" w:color="auto"/>
      </w:divBdr>
    </w:div>
    <w:div w:id="1093015474">
      <w:bodyDiv w:val="1"/>
      <w:marLeft w:val="0"/>
      <w:marRight w:val="0"/>
      <w:marTop w:val="0"/>
      <w:marBottom w:val="0"/>
      <w:divBdr>
        <w:top w:val="none" w:sz="0" w:space="0" w:color="auto"/>
        <w:left w:val="none" w:sz="0" w:space="0" w:color="auto"/>
        <w:bottom w:val="none" w:sz="0" w:space="0" w:color="auto"/>
        <w:right w:val="none" w:sz="0" w:space="0" w:color="auto"/>
      </w:divBdr>
    </w:div>
    <w:div w:id="1123580148">
      <w:bodyDiv w:val="1"/>
      <w:marLeft w:val="0"/>
      <w:marRight w:val="0"/>
      <w:marTop w:val="0"/>
      <w:marBottom w:val="0"/>
      <w:divBdr>
        <w:top w:val="none" w:sz="0" w:space="0" w:color="auto"/>
        <w:left w:val="none" w:sz="0" w:space="0" w:color="auto"/>
        <w:bottom w:val="none" w:sz="0" w:space="0" w:color="auto"/>
        <w:right w:val="none" w:sz="0" w:space="0" w:color="auto"/>
      </w:divBdr>
      <w:divsChild>
        <w:div w:id="1349867773">
          <w:marLeft w:val="0"/>
          <w:marRight w:val="0"/>
          <w:marTop w:val="105"/>
          <w:marBottom w:val="0"/>
          <w:divBdr>
            <w:top w:val="none" w:sz="0" w:space="0" w:color="auto"/>
            <w:left w:val="none" w:sz="0" w:space="0" w:color="auto"/>
            <w:bottom w:val="none" w:sz="0" w:space="0" w:color="auto"/>
            <w:right w:val="none" w:sz="0" w:space="0" w:color="auto"/>
          </w:divBdr>
        </w:div>
        <w:div w:id="1192955196">
          <w:marLeft w:val="0"/>
          <w:marRight w:val="0"/>
          <w:marTop w:val="0"/>
          <w:marBottom w:val="0"/>
          <w:divBdr>
            <w:top w:val="none" w:sz="0" w:space="0" w:color="auto"/>
            <w:left w:val="none" w:sz="0" w:space="0" w:color="auto"/>
            <w:bottom w:val="none" w:sz="0" w:space="0" w:color="auto"/>
            <w:right w:val="none" w:sz="0" w:space="0" w:color="auto"/>
          </w:divBdr>
          <w:divsChild>
            <w:div w:id="19722038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86091434">
      <w:bodyDiv w:val="1"/>
      <w:marLeft w:val="0"/>
      <w:marRight w:val="0"/>
      <w:marTop w:val="0"/>
      <w:marBottom w:val="0"/>
      <w:divBdr>
        <w:top w:val="none" w:sz="0" w:space="0" w:color="auto"/>
        <w:left w:val="none" w:sz="0" w:space="0" w:color="auto"/>
        <w:bottom w:val="none" w:sz="0" w:space="0" w:color="auto"/>
        <w:right w:val="none" w:sz="0" w:space="0" w:color="auto"/>
      </w:divBdr>
    </w:div>
    <w:div w:id="1196193100">
      <w:bodyDiv w:val="1"/>
      <w:marLeft w:val="0"/>
      <w:marRight w:val="0"/>
      <w:marTop w:val="0"/>
      <w:marBottom w:val="0"/>
      <w:divBdr>
        <w:top w:val="none" w:sz="0" w:space="0" w:color="auto"/>
        <w:left w:val="none" w:sz="0" w:space="0" w:color="auto"/>
        <w:bottom w:val="none" w:sz="0" w:space="0" w:color="auto"/>
        <w:right w:val="none" w:sz="0" w:space="0" w:color="auto"/>
      </w:divBdr>
    </w:div>
    <w:div w:id="1199467244">
      <w:bodyDiv w:val="1"/>
      <w:marLeft w:val="0"/>
      <w:marRight w:val="0"/>
      <w:marTop w:val="0"/>
      <w:marBottom w:val="0"/>
      <w:divBdr>
        <w:top w:val="none" w:sz="0" w:space="0" w:color="auto"/>
        <w:left w:val="none" w:sz="0" w:space="0" w:color="auto"/>
        <w:bottom w:val="none" w:sz="0" w:space="0" w:color="auto"/>
        <w:right w:val="none" w:sz="0" w:space="0" w:color="auto"/>
      </w:divBdr>
    </w:div>
    <w:div w:id="1201818413">
      <w:bodyDiv w:val="1"/>
      <w:marLeft w:val="0"/>
      <w:marRight w:val="0"/>
      <w:marTop w:val="0"/>
      <w:marBottom w:val="0"/>
      <w:divBdr>
        <w:top w:val="none" w:sz="0" w:space="0" w:color="auto"/>
        <w:left w:val="none" w:sz="0" w:space="0" w:color="auto"/>
        <w:bottom w:val="none" w:sz="0" w:space="0" w:color="auto"/>
        <w:right w:val="none" w:sz="0" w:space="0" w:color="auto"/>
      </w:divBdr>
    </w:div>
    <w:div w:id="1310940486">
      <w:bodyDiv w:val="1"/>
      <w:marLeft w:val="0"/>
      <w:marRight w:val="0"/>
      <w:marTop w:val="0"/>
      <w:marBottom w:val="0"/>
      <w:divBdr>
        <w:top w:val="none" w:sz="0" w:space="0" w:color="auto"/>
        <w:left w:val="none" w:sz="0" w:space="0" w:color="auto"/>
        <w:bottom w:val="none" w:sz="0" w:space="0" w:color="auto"/>
        <w:right w:val="none" w:sz="0" w:space="0" w:color="auto"/>
      </w:divBdr>
    </w:div>
    <w:div w:id="1345091395">
      <w:bodyDiv w:val="1"/>
      <w:marLeft w:val="0"/>
      <w:marRight w:val="0"/>
      <w:marTop w:val="0"/>
      <w:marBottom w:val="0"/>
      <w:divBdr>
        <w:top w:val="none" w:sz="0" w:space="0" w:color="auto"/>
        <w:left w:val="none" w:sz="0" w:space="0" w:color="auto"/>
        <w:bottom w:val="none" w:sz="0" w:space="0" w:color="auto"/>
        <w:right w:val="none" w:sz="0" w:space="0" w:color="auto"/>
      </w:divBdr>
    </w:div>
    <w:div w:id="1384989269">
      <w:bodyDiv w:val="1"/>
      <w:marLeft w:val="0"/>
      <w:marRight w:val="0"/>
      <w:marTop w:val="0"/>
      <w:marBottom w:val="0"/>
      <w:divBdr>
        <w:top w:val="none" w:sz="0" w:space="0" w:color="auto"/>
        <w:left w:val="none" w:sz="0" w:space="0" w:color="auto"/>
        <w:bottom w:val="none" w:sz="0" w:space="0" w:color="auto"/>
        <w:right w:val="none" w:sz="0" w:space="0" w:color="auto"/>
      </w:divBdr>
      <w:divsChild>
        <w:div w:id="1997957900">
          <w:marLeft w:val="0"/>
          <w:marRight w:val="0"/>
          <w:marTop w:val="0"/>
          <w:marBottom w:val="0"/>
          <w:divBdr>
            <w:top w:val="none" w:sz="0" w:space="0" w:color="auto"/>
            <w:left w:val="none" w:sz="0" w:space="0" w:color="auto"/>
            <w:bottom w:val="none" w:sz="0" w:space="0" w:color="auto"/>
            <w:right w:val="none" w:sz="0" w:space="0" w:color="auto"/>
          </w:divBdr>
          <w:divsChild>
            <w:div w:id="1594052590">
              <w:marLeft w:val="0"/>
              <w:marRight w:val="0"/>
              <w:marTop w:val="0"/>
              <w:marBottom w:val="0"/>
              <w:divBdr>
                <w:top w:val="none" w:sz="0" w:space="0" w:color="auto"/>
                <w:left w:val="none" w:sz="0" w:space="0" w:color="auto"/>
                <w:bottom w:val="none" w:sz="0" w:space="0" w:color="auto"/>
                <w:right w:val="none" w:sz="0" w:space="0" w:color="auto"/>
              </w:divBdr>
              <w:divsChild>
                <w:div w:id="20801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39269">
      <w:bodyDiv w:val="1"/>
      <w:marLeft w:val="0"/>
      <w:marRight w:val="0"/>
      <w:marTop w:val="0"/>
      <w:marBottom w:val="0"/>
      <w:divBdr>
        <w:top w:val="none" w:sz="0" w:space="0" w:color="auto"/>
        <w:left w:val="none" w:sz="0" w:space="0" w:color="auto"/>
        <w:bottom w:val="none" w:sz="0" w:space="0" w:color="auto"/>
        <w:right w:val="none" w:sz="0" w:space="0" w:color="auto"/>
      </w:divBdr>
    </w:div>
    <w:div w:id="1395621717">
      <w:bodyDiv w:val="1"/>
      <w:marLeft w:val="0"/>
      <w:marRight w:val="0"/>
      <w:marTop w:val="0"/>
      <w:marBottom w:val="0"/>
      <w:divBdr>
        <w:top w:val="none" w:sz="0" w:space="0" w:color="auto"/>
        <w:left w:val="none" w:sz="0" w:space="0" w:color="auto"/>
        <w:bottom w:val="none" w:sz="0" w:space="0" w:color="auto"/>
        <w:right w:val="none" w:sz="0" w:space="0" w:color="auto"/>
      </w:divBdr>
    </w:div>
    <w:div w:id="1406875090">
      <w:bodyDiv w:val="1"/>
      <w:marLeft w:val="0"/>
      <w:marRight w:val="0"/>
      <w:marTop w:val="0"/>
      <w:marBottom w:val="0"/>
      <w:divBdr>
        <w:top w:val="none" w:sz="0" w:space="0" w:color="auto"/>
        <w:left w:val="none" w:sz="0" w:space="0" w:color="auto"/>
        <w:bottom w:val="none" w:sz="0" w:space="0" w:color="auto"/>
        <w:right w:val="none" w:sz="0" w:space="0" w:color="auto"/>
      </w:divBdr>
      <w:divsChild>
        <w:div w:id="1058475054">
          <w:marLeft w:val="0"/>
          <w:marRight w:val="0"/>
          <w:marTop w:val="0"/>
          <w:marBottom w:val="0"/>
          <w:divBdr>
            <w:top w:val="none" w:sz="0" w:space="0" w:color="auto"/>
            <w:left w:val="none" w:sz="0" w:space="0" w:color="auto"/>
            <w:bottom w:val="none" w:sz="0" w:space="0" w:color="auto"/>
            <w:right w:val="none" w:sz="0" w:space="0" w:color="auto"/>
          </w:divBdr>
        </w:div>
      </w:divsChild>
    </w:div>
    <w:div w:id="1450733441">
      <w:bodyDiv w:val="1"/>
      <w:marLeft w:val="0"/>
      <w:marRight w:val="0"/>
      <w:marTop w:val="0"/>
      <w:marBottom w:val="0"/>
      <w:divBdr>
        <w:top w:val="none" w:sz="0" w:space="0" w:color="auto"/>
        <w:left w:val="none" w:sz="0" w:space="0" w:color="auto"/>
        <w:bottom w:val="none" w:sz="0" w:space="0" w:color="auto"/>
        <w:right w:val="none" w:sz="0" w:space="0" w:color="auto"/>
      </w:divBdr>
    </w:div>
    <w:div w:id="1565870022">
      <w:bodyDiv w:val="1"/>
      <w:marLeft w:val="0"/>
      <w:marRight w:val="0"/>
      <w:marTop w:val="0"/>
      <w:marBottom w:val="0"/>
      <w:divBdr>
        <w:top w:val="none" w:sz="0" w:space="0" w:color="auto"/>
        <w:left w:val="none" w:sz="0" w:space="0" w:color="auto"/>
        <w:bottom w:val="none" w:sz="0" w:space="0" w:color="auto"/>
        <w:right w:val="none" w:sz="0" w:space="0" w:color="auto"/>
      </w:divBdr>
    </w:div>
    <w:div w:id="1605960965">
      <w:bodyDiv w:val="1"/>
      <w:marLeft w:val="0"/>
      <w:marRight w:val="0"/>
      <w:marTop w:val="0"/>
      <w:marBottom w:val="0"/>
      <w:divBdr>
        <w:top w:val="none" w:sz="0" w:space="0" w:color="auto"/>
        <w:left w:val="none" w:sz="0" w:space="0" w:color="auto"/>
        <w:bottom w:val="none" w:sz="0" w:space="0" w:color="auto"/>
        <w:right w:val="none" w:sz="0" w:space="0" w:color="auto"/>
      </w:divBdr>
    </w:div>
    <w:div w:id="1634289467">
      <w:bodyDiv w:val="1"/>
      <w:marLeft w:val="0"/>
      <w:marRight w:val="0"/>
      <w:marTop w:val="0"/>
      <w:marBottom w:val="0"/>
      <w:divBdr>
        <w:top w:val="none" w:sz="0" w:space="0" w:color="auto"/>
        <w:left w:val="none" w:sz="0" w:space="0" w:color="auto"/>
        <w:bottom w:val="none" w:sz="0" w:space="0" w:color="auto"/>
        <w:right w:val="none" w:sz="0" w:space="0" w:color="auto"/>
      </w:divBdr>
      <w:divsChild>
        <w:div w:id="731121123">
          <w:marLeft w:val="0"/>
          <w:marRight w:val="0"/>
          <w:marTop w:val="0"/>
          <w:marBottom w:val="0"/>
          <w:divBdr>
            <w:top w:val="none" w:sz="0" w:space="0" w:color="auto"/>
            <w:left w:val="none" w:sz="0" w:space="0" w:color="auto"/>
            <w:bottom w:val="none" w:sz="0" w:space="0" w:color="auto"/>
            <w:right w:val="none" w:sz="0" w:space="0" w:color="auto"/>
          </w:divBdr>
          <w:divsChild>
            <w:div w:id="397168610">
              <w:marLeft w:val="0"/>
              <w:marRight w:val="0"/>
              <w:marTop w:val="0"/>
              <w:marBottom w:val="0"/>
              <w:divBdr>
                <w:top w:val="none" w:sz="0" w:space="0" w:color="auto"/>
                <w:left w:val="none" w:sz="0" w:space="0" w:color="auto"/>
                <w:bottom w:val="none" w:sz="0" w:space="0" w:color="auto"/>
                <w:right w:val="none" w:sz="0" w:space="0" w:color="auto"/>
              </w:divBdr>
              <w:divsChild>
                <w:div w:id="1311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767">
      <w:bodyDiv w:val="1"/>
      <w:marLeft w:val="0"/>
      <w:marRight w:val="0"/>
      <w:marTop w:val="0"/>
      <w:marBottom w:val="0"/>
      <w:divBdr>
        <w:top w:val="none" w:sz="0" w:space="0" w:color="auto"/>
        <w:left w:val="none" w:sz="0" w:space="0" w:color="auto"/>
        <w:bottom w:val="none" w:sz="0" w:space="0" w:color="auto"/>
        <w:right w:val="none" w:sz="0" w:space="0" w:color="auto"/>
      </w:divBdr>
    </w:div>
    <w:div w:id="1650749629">
      <w:bodyDiv w:val="1"/>
      <w:marLeft w:val="0"/>
      <w:marRight w:val="0"/>
      <w:marTop w:val="0"/>
      <w:marBottom w:val="0"/>
      <w:divBdr>
        <w:top w:val="none" w:sz="0" w:space="0" w:color="auto"/>
        <w:left w:val="none" w:sz="0" w:space="0" w:color="auto"/>
        <w:bottom w:val="none" w:sz="0" w:space="0" w:color="auto"/>
        <w:right w:val="none" w:sz="0" w:space="0" w:color="auto"/>
      </w:divBdr>
    </w:div>
    <w:div w:id="1718049130">
      <w:bodyDiv w:val="1"/>
      <w:marLeft w:val="0"/>
      <w:marRight w:val="0"/>
      <w:marTop w:val="0"/>
      <w:marBottom w:val="0"/>
      <w:divBdr>
        <w:top w:val="none" w:sz="0" w:space="0" w:color="auto"/>
        <w:left w:val="none" w:sz="0" w:space="0" w:color="auto"/>
        <w:bottom w:val="none" w:sz="0" w:space="0" w:color="auto"/>
        <w:right w:val="none" w:sz="0" w:space="0" w:color="auto"/>
      </w:divBdr>
    </w:div>
    <w:div w:id="1756902820">
      <w:bodyDiv w:val="1"/>
      <w:marLeft w:val="0"/>
      <w:marRight w:val="0"/>
      <w:marTop w:val="0"/>
      <w:marBottom w:val="0"/>
      <w:divBdr>
        <w:top w:val="none" w:sz="0" w:space="0" w:color="auto"/>
        <w:left w:val="none" w:sz="0" w:space="0" w:color="auto"/>
        <w:bottom w:val="none" w:sz="0" w:space="0" w:color="auto"/>
        <w:right w:val="none" w:sz="0" w:space="0" w:color="auto"/>
      </w:divBdr>
    </w:div>
    <w:div w:id="1765422241">
      <w:bodyDiv w:val="1"/>
      <w:marLeft w:val="0"/>
      <w:marRight w:val="0"/>
      <w:marTop w:val="0"/>
      <w:marBottom w:val="0"/>
      <w:divBdr>
        <w:top w:val="none" w:sz="0" w:space="0" w:color="auto"/>
        <w:left w:val="none" w:sz="0" w:space="0" w:color="auto"/>
        <w:bottom w:val="none" w:sz="0" w:space="0" w:color="auto"/>
        <w:right w:val="none" w:sz="0" w:space="0" w:color="auto"/>
      </w:divBdr>
      <w:divsChild>
        <w:div w:id="168453156">
          <w:marLeft w:val="0"/>
          <w:marRight w:val="0"/>
          <w:marTop w:val="0"/>
          <w:marBottom w:val="0"/>
          <w:divBdr>
            <w:top w:val="none" w:sz="0" w:space="0" w:color="auto"/>
            <w:left w:val="none" w:sz="0" w:space="0" w:color="auto"/>
            <w:bottom w:val="none" w:sz="0" w:space="0" w:color="auto"/>
            <w:right w:val="none" w:sz="0" w:space="0" w:color="auto"/>
          </w:divBdr>
          <w:divsChild>
            <w:div w:id="1092093592">
              <w:marLeft w:val="0"/>
              <w:marRight w:val="0"/>
              <w:marTop w:val="0"/>
              <w:marBottom w:val="0"/>
              <w:divBdr>
                <w:top w:val="none" w:sz="0" w:space="0" w:color="auto"/>
                <w:left w:val="none" w:sz="0" w:space="0" w:color="auto"/>
                <w:bottom w:val="none" w:sz="0" w:space="0" w:color="auto"/>
                <w:right w:val="none" w:sz="0" w:space="0" w:color="auto"/>
              </w:divBdr>
              <w:divsChild>
                <w:div w:id="19555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1600">
      <w:bodyDiv w:val="1"/>
      <w:marLeft w:val="0"/>
      <w:marRight w:val="0"/>
      <w:marTop w:val="0"/>
      <w:marBottom w:val="0"/>
      <w:divBdr>
        <w:top w:val="none" w:sz="0" w:space="0" w:color="auto"/>
        <w:left w:val="none" w:sz="0" w:space="0" w:color="auto"/>
        <w:bottom w:val="none" w:sz="0" w:space="0" w:color="auto"/>
        <w:right w:val="none" w:sz="0" w:space="0" w:color="auto"/>
      </w:divBdr>
    </w:div>
    <w:div w:id="1846823179">
      <w:bodyDiv w:val="1"/>
      <w:marLeft w:val="0"/>
      <w:marRight w:val="0"/>
      <w:marTop w:val="0"/>
      <w:marBottom w:val="0"/>
      <w:divBdr>
        <w:top w:val="none" w:sz="0" w:space="0" w:color="auto"/>
        <w:left w:val="none" w:sz="0" w:space="0" w:color="auto"/>
        <w:bottom w:val="none" w:sz="0" w:space="0" w:color="auto"/>
        <w:right w:val="none" w:sz="0" w:space="0" w:color="auto"/>
      </w:divBdr>
    </w:div>
    <w:div w:id="1857184308">
      <w:bodyDiv w:val="1"/>
      <w:marLeft w:val="0"/>
      <w:marRight w:val="0"/>
      <w:marTop w:val="0"/>
      <w:marBottom w:val="0"/>
      <w:divBdr>
        <w:top w:val="none" w:sz="0" w:space="0" w:color="auto"/>
        <w:left w:val="none" w:sz="0" w:space="0" w:color="auto"/>
        <w:bottom w:val="none" w:sz="0" w:space="0" w:color="auto"/>
        <w:right w:val="none" w:sz="0" w:space="0" w:color="auto"/>
      </w:divBdr>
    </w:div>
    <w:div w:id="1953124585">
      <w:bodyDiv w:val="1"/>
      <w:marLeft w:val="0"/>
      <w:marRight w:val="0"/>
      <w:marTop w:val="0"/>
      <w:marBottom w:val="0"/>
      <w:divBdr>
        <w:top w:val="none" w:sz="0" w:space="0" w:color="auto"/>
        <w:left w:val="none" w:sz="0" w:space="0" w:color="auto"/>
        <w:bottom w:val="none" w:sz="0" w:space="0" w:color="auto"/>
        <w:right w:val="none" w:sz="0" w:space="0" w:color="auto"/>
      </w:divBdr>
    </w:div>
    <w:div w:id="1989361840">
      <w:bodyDiv w:val="1"/>
      <w:marLeft w:val="0"/>
      <w:marRight w:val="0"/>
      <w:marTop w:val="0"/>
      <w:marBottom w:val="0"/>
      <w:divBdr>
        <w:top w:val="none" w:sz="0" w:space="0" w:color="auto"/>
        <w:left w:val="none" w:sz="0" w:space="0" w:color="auto"/>
        <w:bottom w:val="none" w:sz="0" w:space="0" w:color="auto"/>
        <w:right w:val="none" w:sz="0" w:space="0" w:color="auto"/>
      </w:divBdr>
    </w:div>
    <w:div w:id="2000765421">
      <w:bodyDiv w:val="1"/>
      <w:marLeft w:val="0"/>
      <w:marRight w:val="0"/>
      <w:marTop w:val="0"/>
      <w:marBottom w:val="0"/>
      <w:divBdr>
        <w:top w:val="none" w:sz="0" w:space="0" w:color="auto"/>
        <w:left w:val="none" w:sz="0" w:space="0" w:color="auto"/>
        <w:bottom w:val="none" w:sz="0" w:space="0" w:color="auto"/>
        <w:right w:val="none" w:sz="0" w:space="0" w:color="auto"/>
      </w:divBdr>
    </w:div>
    <w:div w:id="20263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6F20C-C115-4212-9FF0-D7975F0C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6765</Words>
  <Characters>40591</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Małgorzata 3</dc:creator>
  <cp:lastModifiedBy>Kołakowska Iwona</cp:lastModifiedBy>
  <cp:revision>3</cp:revision>
  <cp:lastPrinted>2025-08-25T11:13:00Z</cp:lastPrinted>
  <dcterms:created xsi:type="dcterms:W3CDTF">2025-10-14T15:38:00Z</dcterms:created>
  <dcterms:modified xsi:type="dcterms:W3CDTF">2025-10-14T15:38:00Z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UxC4dwLulzfINJ8nQH+xvX5LNGipWa4BRSZhPgxsCvmbsUP7V1+m6zSsxbEdJLiydFL5HZKQfy1jHuXPP8rlfQ==</vt:lpwstr>
  </property>
  <property fmtid="{D5CDD505-2E9C-101B-9397-08002B2CF9AE}" pid="4" name="MFClassificationDate">
    <vt:lpwstr>2022-01-26T15:24:02.3394551+01:00</vt:lpwstr>
  </property>
  <property fmtid="{D5CDD505-2E9C-101B-9397-08002B2CF9AE}" pid="5" name="MFClassifiedBySID">
    <vt:lpwstr>UxC4dwLulzfINJ8nQH+xvX5LNGipWa4BRSZhPgxsCvm42mrIC/DSDv0ggS+FjUN/2v1BBotkLlY5aAiEhoi6uZuRQ+G0gdKUF7sRFzdCJdtIg1Qw9huxVMXTINZ6+f7h</vt:lpwstr>
  </property>
  <property fmtid="{D5CDD505-2E9C-101B-9397-08002B2CF9AE}" pid="6" name="MFGRNItemId">
    <vt:lpwstr>GRN-575cf0a9-b379-4472-a6a4-06b1d58957df</vt:lpwstr>
  </property>
  <property fmtid="{D5CDD505-2E9C-101B-9397-08002B2CF9AE}" pid="7" name="MFHash">
    <vt:lpwstr>7JmDfvaxvmhHL6wxzzytbr+MPiRHKU7FUHc1lyNfN0E=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