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3FF09" w14:textId="77777777" w:rsidR="00642ED7" w:rsidRPr="00E000DC" w:rsidRDefault="00642ED7" w:rsidP="00912118">
      <w:pPr>
        <w:pStyle w:val="OZNRODZAKTUtznustawalubrozporzdzenieiorganwydajcy"/>
      </w:pPr>
      <w:r w:rsidRPr="00912118">
        <w:t>UCHWAŁA</w:t>
      </w:r>
    </w:p>
    <w:p w14:paraId="2F6BC64D" w14:textId="77777777" w:rsidR="00642ED7" w:rsidRPr="00E000DC" w:rsidRDefault="00642ED7" w:rsidP="00912118">
      <w:pPr>
        <w:pStyle w:val="OZNRODZAKTUtznustawalubrozporzdzenieiorganwydajcy"/>
      </w:pPr>
      <w:r w:rsidRPr="00E000DC">
        <w:t>SENATU RZECZYPOSPOLITEJ POLSKIEJ</w:t>
      </w:r>
    </w:p>
    <w:p w14:paraId="54A33D21" w14:textId="77777777" w:rsidR="00642ED7" w:rsidRPr="00E000DC" w:rsidRDefault="00642ED7" w:rsidP="00912118">
      <w:pPr>
        <w:pStyle w:val="DATAAKTUdatauchwalenialubwydaniaaktu"/>
      </w:pPr>
      <w:r w:rsidRPr="00E000DC">
        <w:t>z dnia</w:t>
      </w:r>
      <w:r>
        <w:t xml:space="preserve"> 16 października 2025 r.</w:t>
      </w:r>
    </w:p>
    <w:p w14:paraId="156D0DEE" w14:textId="77777777" w:rsidR="00642ED7" w:rsidRPr="00E000DC" w:rsidRDefault="00642ED7" w:rsidP="00912118">
      <w:pPr>
        <w:pStyle w:val="TYTUAKTUprzedmiotregulacjiustawylubrozporzdzenia"/>
      </w:pPr>
      <w:r>
        <w:t xml:space="preserve">w sprawie ustawy o </w:t>
      </w:r>
      <w:r w:rsidRPr="00AC439C">
        <w:t>zmianie ustawy o wymianie informacji z organami ścigania państw członkowskich Unii Europejskiej, państw trzecich, agencjami Unii Europejskiej oraz</w:t>
      </w:r>
      <w:r>
        <w:t> </w:t>
      </w:r>
      <w:r w:rsidRPr="00AC439C">
        <w:t>organizacjami międzynarodowymi</w:t>
      </w:r>
    </w:p>
    <w:p w14:paraId="13BC2F5E" w14:textId="77777777" w:rsidR="00642ED7" w:rsidRDefault="00642ED7" w:rsidP="00912118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>
        <w:t>26 września 2025 r.</w:t>
      </w:r>
      <w:r w:rsidRPr="00E000DC">
        <w:t xml:space="preserve"> ustawy o </w:t>
      </w:r>
      <w:r w:rsidRPr="00AC439C">
        <w:t>zmianie ustawy o wymianie informacji z organami ścigania państw członkowskich Unii Europejskiej, państw trzecich, agencjami Unii Europejskiej oraz organizacjami międzynarodowymi</w:t>
      </w:r>
      <w:r w:rsidRPr="00E000DC">
        <w:t>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642ED7" w:rsidRPr="00B528A4" w14:paraId="05C35065" w14:textId="77777777" w:rsidTr="0014395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571DCB3" w14:textId="77777777" w:rsidR="00642ED7" w:rsidRPr="00B528A4" w:rsidRDefault="00642ED7" w:rsidP="00642ED7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C2C97AA" w14:textId="77777777" w:rsidR="00642ED7" w:rsidRPr="00B528A4" w:rsidRDefault="00642ED7" w:rsidP="00A25CD5">
            <w:pPr>
              <w:pStyle w:val="TREPUNKTUWUCHWALESENACKIEJ"/>
            </w:pPr>
            <w:r>
              <w:t xml:space="preserve">w art. 1 w pkt 10, w art. 11 w ust. 7 w pkt 4 w lit. b wyrazy „tożsamość osoby” zastępuje się </w:t>
            </w:r>
            <w:r w:rsidRPr="00A25CD5">
              <w:t>wyrazami „dane pozwalające na określenie tożsamości osoby”</w:t>
            </w:r>
            <w:r>
              <w:t>;</w:t>
            </w:r>
          </w:p>
        </w:tc>
      </w:tr>
      <w:tr w:rsidR="00642ED7" w:rsidRPr="00B528A4" w14:paraId="2F7DCBD2" w14:textId="77777777" w:rsidTr="0014395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0EFDB14" w14:textId="77777777" w:rsidR="00642ED7" w:rsidRPr="00B528A4" w:rsidRDefault="00642ED7" w:rsidP="00642ED7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CB4646E" w14:textId="77777777" w:rsidR="00642ED7" w:rsidRPr="00A25CD5" w:rsidRDefault="00642ED7" w:rsidP="00A25CD5">
            <w:pPr>
              <w:pStyle w:val="TREPUNKTUWUCHWALESENACKIEJ"/>
            </w:pPr>
            <w:r w:rsidRPr="00426D1E">
              <w:t xml:space="preserve">w art. 1 w pkt 10, w art. 11 w ust. </w:t>
            </w:r>
            <w:r>
              <w:t xml:space="preserve">8 w pkt 3 skreśla się </w:t>
            </w:r>
            <w:r w:rsidRPr="00426D1E">
              <w:t xml:space="preserve">wyraz </w:t>
            </w:r>
            <w:r>
              <w:t>„ograniczających”.</w:t>
            </w:r>
          </w:p>
        </w:tc>
      </w:tr>
    </w:tbl>
    <w:p w14:paraId="0800F482" w14:textId="77777777" w:rsidR="00642ED7" w:rsidRPr="00737F6A" w:rsidRDefault="00642ED7" w:rsidP="00A054FD">
      <w:pPr>
        <w:pStyle w:val="POPIERAJCYPOPRAWKZAMIESZCZONWZESTAWIENIUWNIOSKW"/>
      </w:pPr>
    </w:p>
    <w:p w14:paraId="1D49F9E2" w14:textId="61B186E8" w:rsidR="00912118" w:rsidRDefault="00912118" w:rsidP="00A054FD">
      <w:pPr>
        <w:pStyle w:val="POPIERAJCYPOPRAWKZAMIESZCZONWZESTAWIENIUWNIOSKW"/>
      </w:pPr>
    </w:p>
    <w:p w14:paraId="72914E84" w14:textId="4B7E0ECB" w:rsidR="00500FD5" w:rsidRDefault="00500FD5" w:rsidP="00A054FD">
      <w:pPr>
        <w:pStyle w:val="POPIERAJCYPOPRAWKZAMIESZCZONWZESTAWIENIUWNIOSKW"/>
      </w:pPr>
    </w:p>
    <w:p w14:paraId="3198B670" w14:textId="77777777" w:rsidR="00500FD5" w:rsidRPr="007A36AD" w:rsidRDefault="00500FD5" w:rsidP="00500FD5">
      <w:pPr>
        <w:pStyle w:val="POPIERAJCYPOPRAWKZAMIESZCZONWZESTAWIENIUWNIOSKW"/>
        <w:rPr>
          <w:color w:val="000000" w:themeColor="text1"/>
        </w:rPr>
      </w:pPr>
    </w:p>
    <w:p w14:paraId="4A9BAC98" w14:textId="77777777" w:rsidR="00500FD5" w:rsidRDefault="00500FD5" w:rsidP="00500FD5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51392F1D" w14:textId="77777777" w:rsidR="00500FD5" w:rsidRDefault="00500FD5" w:rsidP="00500FD5">
      <w:pPr>
        <w:ind w:left="5103" w:firstLine="4"/>
        <w:rPr>
          <w:rStyle w:val="Ppogrubienie"/>
          <w:color w:val="000000" w:themeColor="text1"/>
        </w:rPr>
      </w:pPr>
    </w:p>
    <w:p w14:paraId="19D15AF5" w14:textId="77777777" w:rsidR="00500FD5" w:rsidRDefault="00500FD5" w:rsidP="00500FD5">
      <w:pPr>
        <w:ind w:left="5103" w:firstLine="4"/>
        <w:rPr>
          <w:rStyle w:val="Ppogrubienie"/>
          <w:color w:val="000000" w:themeColor="text1"/>
        </w:rPr>
      </w:pPr>
    </w:p>
    <w:p w14:paraId="0F9B204E" w14:textId="77777777" w:rsidR="00500FD5" w:rsidRPr="00E81A5B" w:rsidRDefault="00500FD5" w:rsidP="00500FD5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5002D064" w14:textId="77777777" w:rsidR="00500FD5" w:rsidRDefault="00500FD5" w:rsidP="00A054FD">
      <w:pPr>
        <w:pStyle w:val="POPIERAJCYPOPRAWKZAMIESZCZONWZESTAWIENIUWNIOSKW"/>
        <w:sectPr w:rsidR="00500FD5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532A6869" w14:textId="77777777" w:rsidR="00642ED7" w:rsidRDefault="00642ED7" w:rsidP="00C27C1B">
      <w:pPr>
        <w:pStyle w:val="OZNRODZAKTUtznustawalubrozporzdzenieiorganwydajcy"/>
      </w:pPr>
      <w:r>
        <w:lastRenderedPageBreak/>
        <w:t>Uzasadnienie</w:t>
      </w:r>
    </w:p>
    <w:p w14:paraId="1CF461BC" w14:textId="77777777" w:rsidR="00642ED7" w:rsidRDefault="00642ED7" w:rsidP="00C27C1B">
      <w:pPr>
        <w:pStyle w:val="NIEARTTEKSTtekstnieartykuowanynppodstprawnarozplubpreambua"/>
      </w:pPr>
    </w:p>
    <w:p w14:paraId="665617C0" w14:textId="77777777" w:rsidR="00642ED7" w:rsidRDefault="00642ED7" w:rsidP="0039386C">
      <w:pPr>
        <w:pStyle w:val="ARTartustawynprozporzdzenia"/>
      </w:pPr>
      <w:r>
        <w:t xml:space="preserve">Na 43. posiedzeniu w dniu 16 października 2025 r. Senat, po rozpatrzeniu ustawy </w:t>
      </w:r>
      <w:r w:rsidRPr="00212EE5">
        <w:t>o</w:t>
      </w:r>
      <w:r>
        <w:t> </w:t>
      </w:r>
      <w:r w:rsidRPr="00AC439C">
        <w:t>zmianie ustawy o wymianie informacji z organami ścigania państw członkowskich Unii Europejskiej, państw trzecich, agencjami Unii Europejskiej oraz organizacjami międzynarodowymi</w:t>
      </w:r>
      <w:r>
        <w:t xml:space="preserve"> </w:t>
      </w:r>
      <w:r w:rsidRPr="0039386C">
        <w:t xml:space="preserve">zadecydował o </w:t>
      </w:r>
      <w:r>
        <w:t>wprowadzeniu dwóch poprawek</w:t>
      </w:r>
      <w:r w:rsidRPr="0039386C">
        <w:t>.</w:t>
      </w:r>
    </w:p>
    <w:p w14:paraId="0FDA1245" w14:textId="77777777" w:rsidR="00642ED7" w:rsidRDefault="00642ED7" w:rsidP="00E256C0">
      <w:pPr>
        <w:pStyle w:val="ARTartustawynprozporzdzenia"/>
      </w:pPr>
      <w:r>
        <w:t>Senat uznał, że wymaga poprawki przepis art. 1 pkt 10 ustawy, w zakresie art. 11 ust. 7 ustawy, który określa wymogi dotyczące treści wniosku sporządzanego w sprawie o udzielenie informacji. W pkt 4 w lit. b wskazano, że wniosek ma zwierać „tożsamość osoby”.</w:t>
      </w:r>
    </w:p>
    <w:p w14:paraId="3BFB9BA9" w14:textId="77777777" w:rsidR="00642ED7" w:rsidRDefault="00642ED7" w:rsidP="001E5E29">
      <w:pPr>
        <w:pStyle w:val="ARTartustawynprozporzdzenia"/>
      </w:pPr>
      <w:r>
        <w:t>Użyte sformułowanie nie jest zdefiniowane w dyrektywie ani w żadnej z ustaw. Jest niepełne</w:t>
      </w:r>
      <w:r w:rsidRPr="006E31F7">
        <w:t xml:space="preserve"> </w:t>
      </w:r>
      <w:r>
        <w:t>i nieprecyzyjne, a w związku z tym niezgodne zasadami techniki prawodawczej. Przepis w obecnym brzmieniu nie pozwala na określenie zakresu informacji czy danych, które obejmie wniosek.</w:t>
      </w:r>
    </w:p>
    <w:p w14:paraId="3E8F7DE2" w14:textId="77777777" w:rsidR="00642ED7" w:rsidRPr="001E5E29" w:rsidRDefault="00642ED7" w:rsidP="001E5E29">
      <w:pPr>
        <w:pStyle w:val="ARTartustawynprozporzdzenia"/>
      </w:pPr>
      <w:r>
        <w:t xml:space="preserve">Senat analizując przepisy innych ustaw odnoszących się do określania tożsamości osób lub ich identyfikowania, zawierających podobne lecz bardziej precyzyjne sformułowania, proponuje w swojej poprawce zastosowanie </w:t>
      </w:r>
      <w:r w:rsidRPr="006E31F7">
        <w:rPr>
          <w:rStyle w:val="Kkursywa"/>
        </w:rPr>
        <w:t>per analogiam</w:t>
      </w:r>
      <w:r>
        <w:rPr>
          <w:rStyle w:val="Kkursywa"/>
        </w:rPr>
        <w:t xml:space="preserve"> </w:t>
      </w:r>
      <w:r>
        <w:t>rozwiązania zaczerpniętego z przepisu art. 13 ust. 2 pkt 2 ustawy z dnia 6 lipca 2001 r. o przetwarzaniu informacji kryminalnych.</w:t>
      </w:r>
    </w:p>
    <w:p w14:paraId="21DD18A0" w14:textId="77777777" w:rsidR="00642ED7" w:rsidRDefault="00642ED7" w:rsidP="005C3580">
      <w:pPr>
        <w:pStyle w:val="ARTartustawynprozporzdzenia"/>
      </w:pPr>
      <w:r>
        <w:t xml:space="preserve">Druga poprawka dotyczy przepisu </w:t>
      </w:r>
      <w:r w:rsidRPr="007C398C">
        <w:t>art. 1</w:t>
      </w:r>
      <w:r>
        <w:t xml:space="preserve"> </w:t>
      </w:r>
      <w:r w:rsidRPr="007C398C">
        <w:t>pkt 10, art. 11 ust.</w:t>
      </w:r>
      <w:r>
        <w:t xml:space="preserve"> 8 pkt 3, w którym ustawodawca posłużył się nieobecnym w systemie prawa krajowego sformułowaniem „środki ograniczające </w:t>
      </w:r>
      <w:bookmarkStart w:id="0" w:name="_Hlk211203076"/>
      <w:r>
        <w:t>polegające na pozbawieniu wolności</w:t>
      </w:r>
      <w:bookmarkEnd w:id="0"/>
      <w:r>
        <w:t>”. Jak podniesiono w trakcie prac w Senacie, w</w:t>
      </w:r>
      <w:r w:rsidRPr="00426D1E">
        <w:t xml:space="preserve">yrażenie </w:t>
      </w:r>
      <w:r>
        <w:t>„środki ograniczające”</w:t>
      </w:r>
      <w:r w:rsidRPr="00426D1E">
        <w:t xml:space="preserve"> występuje w aktach prawa międzynarodowego</w:t>
      </w:r>
      <w:r>
        <w:t xml:space="preserve"> i odnosi się </w:t>
      </w:r>
      <w:r w:rsidRPr="00426D1E">
        <w:t xml:space="preserve">do środków stosowanych </w:t>
      </w:r>
      <w:r>
        <w:t>w relacjach pomiędzy państwami, jako podmiotami prawa międzynarodowego.</w:t>
      </w:r>
    </w:p>
    <w:p w14:paraId="3A067D94" w14:textId="77777777" w:rsidR="00642ED7" w:rsidRPr="00426D1E" w:rsidRDefault="00642ED7" w:rsidP="005C3580">
      <w:pPr>
        <w:pStyle w:val="ARTartustawynprozporzdzenia"/>
      </w:pPr>
      <w:r>
        <w:t>Środki ograniczające p</w:t>
      </w:r>
      <w:r w:rsidRPr="00426D1E">
        <w:t>olegają</w:t>
      </w:r>
      <w:r>
        <w:t xml:space="preserve"> </w:t>
      </w:r>
      <w:r w:rsidRPr="00426D1E">
        <w:t>mi</w:t>
      </w:r>
      <w:r>
        <w:t>ę</w:t>
      </w:r>
      <w:r w:rsidRPr="00426D1E">
        <w:t>dzy innymi na zamrażaniu środków finansowych i</w:t>
      </w:r>
      <w:r>
        <w:t> </w:t>
      </w:r>
      <w:r w:rsidRPr="00426D1E">
        <w:t>zasobów gospodarczych</w:t>
      </w:r>
      <w:r>
        <w:t xml:space="preserve"> innych państw</w:t>
      </w:r>
      <w:r w:rsidRPr="00426D1E">
        <w:t xml:space="preserve">, </w:t>
      </w:r>
      <w:r>
        <w:t xml:space="preserve">wprowadzaniu </w:t>
      </w:r>
      <w:r w:rsidRPr="00426D1E">
        <w:t xml:space="preserve">ograniczeń w obrocie </w:t>
      </w:r>
      <w:r>
        <w:t xml:space="preserve">pomiędzy państwami </w:t>
      </w:r>
      <w:r w:rsidRPr="00426D1E">
        <w:t xml:space="preserve">niektórymi towarami (broń, ropa naftowa, technologie) </w:t>
      </w:r>
      <w:r>
        <w:t>albo</w:t>
      </w:r>
      <w:r w:rsidRPr="00426D1E">
        <w:t xml:space="preserve"> ograniczeń w zakresie wjazdu i wyjazdu osób na terytorium innego państwa.</w:t>
      </w:r>
    </w:p>
    <w:p w14:paraId="260C6D3C" w14:textId="77777777" w:rsidR="00642ED7" w:rsidRDefault="00642ED7" w:rsidP="005C3580">
      <w:pPr>
        <w:pStyle w:val="ARTartustawynprozporzdzenia"/>
      </w:pPr>
      <w:r>
        <w:t xml:space="preserve">Senat uznaje, że mając na uwadze charakter zmian wprowadzanych ustawą, które zmierzają do wprowadzenia do polskiego systemu prawa norm zawartych w dyrektywie UE 2023/977 nie można zgodzić się, że właściwym zabiegiem ustawodawcy będzie zastosowanie w ustawie krajowej terminologii obcej, zaczerpniętej wprost z tekstu dyrektywy </w:t>
      </w:r>
      <w:r>
        <w:lastRenderedPageBreak/>
        <w:t xml:space="preserve">przetłumaczonej na język polski. Przepisy ustaw obowiązujących w Polsce stanowią, że stan zgodnego z prawem </w:t>
      </w:r>
      <w:r w:rsidRPr="00D851B5">
        <w:t>pozbawi</w:t>
      </w:r>
      <w:r>
        <w:t>enia</w:t>
      </w:r>
      <w:r w:rsidRPr="00D851B5">
        <w:t xml:space="preserve"> wolności </w:t>
      </w:r>
      <w:r>
        <w:t>może zaistnieć w przypadkach wykonania jednej z orzeczonych kar albo zastosowania jednego z ustanowionych ustawą środków zapobiegawczych albo zabezpieczających. Nie jest możliwe w Polsce pozbawienie kogoś wolności na podstawie środków ograniczających. Dlatego Senat w poprawce drugiej proponuje usunięcie zbędnego wyrazu z wyrażenia „środek ograniczający</w:t>
      </w:r>
      <w:r w:rsidRPr="00236AE4">
        <w:t xml:space="preserve"> </w:t>
      </w:r>
      <w:r>
        <w:t>polegający na pozbawieniu wolności”.</w:t>
      </w:r>
    </w:p>
    <w:p w14:paraId="3E0A70DD" w14:textId="12AE9E7D" w:rsidR="00500FD5" w:rsidRPr="00737F6A" w:rsidRDefault="00500FD5" w:rsidP="00642ED7">
      <w:pPr>
        <w:pStyle w:val="OZNRODZAKTUtznustawalubrozporzdzenieiorganwydajcy"/>
      </w:pPr>
    </w:p>
    <w:sectPr w:rsidR="00500FD5" w:rsidRPr="00737F6A" w:rsidSect="009833BB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0BB7A" w14:textId="77777777" w:rsidR="00CA3B0A" w:rsidRDefault="00CA3B0A">
      <w:r>
        <w:separator/>
      </w:r>
    </w:p>
  </w:endnote>
  <w:endnote w:type="continuationSeparator" w:id="0">
    <w:p w14:paraId="2E6A7021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40382" w14:textId="77777777" w:rsidR="00CA3B0A" w:rsidRDefault="00CA3B0A">
      <w:r>
        <w:separator/>
      </w:r>
    </w:p>
  </w:footnote>
  <w:footnote w:type="continuationSeparator" w:id="0">
    <w:p w14:paraId="7EFE058E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5E11B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C55CE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761CD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42ED7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236182E"/>
    <w:multiLevelType w:val="hybridMultilevel"/>
    <w:tmpl w:val="C48CB6D0"/>
    <w:lvl w:ilvl="0" w:tplc="96DA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8"/>
  </w:num>
  <w:num w:numId="4">
    <w:abstractNumId w:val="18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4"/>
  </w:num>
  <w:num w:numId="12">
    <w:abstractNumId w:val="10"/>
  </w:num>
  <w:num w:numId="13">
    <w:abstractNumId w:val="15"/>
  </w:num>
  <w:num w:numId="14">
    <w:abstractNumId w:val="28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7"/>
  </w:num>
  <w:num w:numId="29">
    <w:abstractNumId w:val="38"/>
  </w:num>
  <w:num w:numId="30">
    <w:abstractNumId w:val="34"/>
  </w:num>
  <w:num w:numId="31">
    <w:abstractNumId w:val="19"/>
  </w:num>
  <w:num w:numId="32">
    <w:abstractNumId w:val="11"/>
  </w:num>
  <w:num w:numId="33">
    <w:abstractNumId w:val="32"/>
  </w:num>
  <w:num w:numId="34">
    <w:abstractNumId w:val="21"/>
  </w:num>
  <w:num w:numId="35">
    <w:abstractNumId w:val="17"/>
  </w:num>
  <w:num w:numId="36">
    <w:abstractNumId w:val="23"/>
  </w:num>
  <w:num w:numId="37">
    <w:abstractNumId w:val="29"/>
  </w:num>
  <w:num w:numId="38">
    <w:abstractNumId w:val="26"/>
  </w:num>
  <w:num w:numId="39">
    <w:abstractNumId w:val="13"/>
  </w:num>
  <w:num w:numId="40">
    <w:abstractNumId w:val="31"/>
  </w:num>
  <w:num w:numId="41">
    <w:abstractNumId w:val="30"/>
  </w:num>
  <w:num w:numId="42">
    <w:abstractNumId w:val="22"/>
  </w:num>
  <w:num w:numId="43">
    <w:abstractNumId w:val="36"/>
  </w:num>
  <w:num w:numId="44">
    <w:abstractNumId w:val="12"/>
  </w:num>
  <w:num w:numId="45">
    <w:abstractNumId w:val="25"/>
  </w:num>
  <w:num w:numId="46">
    <w:abstractNumId w:val="25"/>
  </w:num>
  <w:num w:numId="47">
    <w:abstractNumId w:val="25"/>
  </w:num>
  <w:num w:numId="48">
    <w:abstractNumId w:val="25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5D7A"/>
    <w:rsid w:val="00036B63"/>
    <w:rsid w:val="00037E1A"/>
    <w:rsid w:val="00043495"/>
    <w:rsid w:val="00046A75"/>
    <w:rsid w:val="00047312"/>
    <w:rsid w:val="00050300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245"/>
    <w:rsid w:val="0007533B"/>
    <w:rsid w:val="0007545D"/>
    <w:rsid w:val="000760BF"/>
    <w:rsid w:val="0007613E"/>
    <w:rsid w:val="00076BFC"/>
    <w:rsid w:val="000805D6"/>
    <w:rsid w:val="000814A7"/>
    <w:rsid w:val="00083704"/>
    <w:rsid w:val="0008557B"/>
    <w:rsid w:val="00085CE7"/>
    <w:rsid w:val="000906EE"/>
    <w:rsid w:val="000909F7"/>
    <w:rsid w:val="00091BA2"/>
    <w:rsid w:val="000944EF"/>
    <w:rsid w:val="0009732D"/>
    <w:rsid w:val="000973F0"/>
    <w:rsid w:val="000A1296"/>
    <w:rsid w:val="000A156A"/>
    <w:rsid w:val="000A1C27"/>
    <w:rsid w:val="000A1DAD"/>
    <w:rsid w:val="000A1E87"/>
    <w:rsid w:val="000A2649"/>
    <w:rsid w:val="000A323B"/>
    <w:rsid w:val="000B298D"/>
    <w:rsid w:val="000B5B2D"/>
    <w:rsid w:val="000B5DCE"/>
    <w:rsid w:val="000C05BA"/>
    <w:rsid w:val="000C0E8F"/>
    <w:rsid w:val="000C4BC4"/>
    <w:rsid w:val="000C7BB7"/>
    <w:rsid w:val="000D0110"/>
    <w:rsid w:val="000D2468"/>
    <w:rsid w:val="000D2CF8"/>
    <w:rsid w:val="000D318A"/>
    <w:rsid w:val="000D6173"/>
    <w:rsid w:val="000D6F83"/>
    <w:rsid w:val="000E25CC"/>
    <w:rsid w:val="000E3694"/>
    <w:rsid w:val="000E490F"/>
    <w:rsid w:val="000E6241"/>
    <w:rsid w:val="000F1545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175C1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2456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2763"/>
    <w:rsid w:val="00184B91"/>
    <w:rsid w:val="00184D4A"/>
    <w:rsid w:val="00186EC1"/>
    <w:rsid w:val="00191E1F"/>
    <w:rsid w:val="0019473B"/>
    <w:rsid w:val="001952B1"/>
    <w:rsid w:val="00196A65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1486"/>
    <w:rsid w:val="001B342E"/>
    <w:rsid w:val="001C1832"/>
    <w:rsid w:val="001C188C"/>
    <w:rsid w:val="001C55CE"/>
    <w:rsid w:val="001D1783"/>
    <w:rsid w:val="001D53CD"/>
    <w:rsid w:val="001D55A3"/>
    <w:rsid w:val="001D5AF5"/>
    <w:rsid w:val="001E0F5E"/>
    <w:rsid w:val="001E1E73"/>
    <w:rsid w:val="001E4E0C"/>
    <w:rsid w:val="001E526D"/>
    <w:rsid w:val="001E5655"/>
    <w:rsid w:val="001F1832"/>
    <w:rsid w:val="001F220F"/>
    <w:rsid w:val="001F235F"/>
    <w:rsid w:val="001F25B3"/>
    <w:rsid w:val="001F2C35"/>
    <w:rsid w:val="001F6616"/>
    <w:rsid w:val="00202BD4"/>
    <w:rsid w:val="00204A97"/>
    <w:rsid w:val="00207133"/>
    <w:rsid w:val="002114EF"/>
    <w:rsid w:val="002140EA"/>
    <w:rsid w:val="00216218"/>
    <w:rsid w:val="002166AD"/>
    <w:rsid w:val="00217871"/>
    <w:rsid w:val="00221ED8"/>
    <w:rsid w:val="002231EA"/>
    <w:rsid w:val="00223FDF"/>
    <w:rsid w:val="002279C0"/>
    <w:rsid w:val="002309EC"/>
    <w:rsid w:val="0023727E"/>
    <w:rsid w:val="00240486"/>
    <w:rsid w:val="00242081"/>
    <w:rsid w:val="00243777"/>
    <w:rsid w:val="002441CD"/>
    <w:rsid w:val="00246912"/>
    <w:rsid w:val="002501A3"/>
    <w:rsid w:val="0025166C"/>
    <w:rsid w:val="002534F3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8273C"/>
    <w:rsid w:val="0029405D"/>
    <w:rsid w:val="00294FA6"/>
    <w:rsid w:val="00295A6F"/>
    <w:rsid w:val="002A20C4"/>
    <w:rsid w:val="002A2183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365B"/>
    <w:rsid w:val="002D0C4F"/>
    <w:rsid w:val="002D1364"/>
    <w:rsid w:val="002D4D30"/>
    <w:rsid w:val="002D5000"/>
    <w:rsid w:val="002D598D"/>
    <w:rsid w:val="002D7188"/>
    <w:rsid w:val="002E0A75"/>
    <w:rsid w:val="002E1DE3"/>
    <w:rsid w:val="002E2AB6"/>
    <w:rsid w:val="002E2D05"/>
    <w:rsid w:val="002E3F34"/>
    <w:rsid w:val="002E5F79"/>
    <w:rsid w:val="002E64FA"/>
    <w:rsid w:val="002F0A00"/>
    <w:rsid w:val="002F0CFA"/>
    <w:rsid w:val="002F4E50"/>
    <w:rsid w:val="002F4E83"/>
    <w:rsid w:val="002F669F"/>
    <w:rsid w:val="00301C97"/>
    <w:rsid w:val="00307898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3A03"/>
    <w:rsid w:val="00334E3A"/>
    <w:rsid w:val="00335A23"/>
    <w:rsid w:val="003361DD"/>
    <w:rsid w:val="003375F2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F64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C61F4"/>
    <w:rsid w:val="003D12C2"/>
    <w:rsid w:val="003D31B9"/>
    <w:rsid w:val="003D3867"/>
    <w:rsid w:val="003E0D1A"/>
    <w:rsid w:val="003E2138"/>
    <w:rsid w:val="003E2DA3"/>
    <w:rsid w:val="003F020D"/>
    <w:rsid w:val="003F03D9"/>
    <w:rsid w:val="003F2FBE"/>
    <w:rsid w:val="003F318D"/>
    <w:rsid w:val="003F5BAE"/>
    <w:rsid w:val="003F6A84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429"/>
    <w:rsid w:val="00472CD6"/>
    <w:rsid w:val="00474E3C"/>
    <w:rsid w:val="004762D6"/>
    <w:rsid w:val="00480A58"/>
    <w:rsid w:val="00482151"/>
    <w:rsid w:val="00485FAD"/>
    <w:rsid w:val="00487AED"/>
    <w:rsid w:val="00490675"/>
    <w:rsid w:val="00491EDF"/>
    <w:rsid w:val="00492A3F"/>
    <w:rsid w:val="00494F62"/>
    <w:rsid w:val="004A1E92"/>
    <w:rsid w:val="004A2001"/>
    <w:rsid w:val="004A3590"/>
    <w:rsid w:val="004B00A7"/>
    <w:rsid w:val="004B0749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73D"/>
    <w:rsid w:val="004C7EE7"/>
    <w:rsid w:val="004D2DEE"/>
    <w:rsid w:val="004D2E1F"/>
    <w:rsid w:val="004D7FD9"/>
    <w:rsid w:val="004E1324"/>
    <w:rsid w:val="004E19A5"/>
    <w:rsid w:val="004E2CFF"/>
    <w:rsid w:val="004E37E5"/>
    <w:rsid w:val="004E3FDB"/>
    <w:rsid w:val="004E6041"/>
    <w:rsid w:val="004F1F4A"/>
    <w:rsid w:val="004F235B"/>
    <w:rsid w:val="004F296D"/>
    <w:rsid w:val="004F508B"/>
    <w:rsid w:val="004F695F"/>
    <w:rsid w:val="004F6CA4"/>
    <w:rsid w:val="00500752"/>
    <w:rsid w:val="00500FD5"/>
    <w:rsid w:val="00501A50"/>
    <w:rsid w:val="0050222D"/>
    <w:rsid w:val="005039F5"/>
    <w:rsid w:val="00503AF3"/>
    <w:rsid w:val="00506397"/>
    <w:rsid w:val="005067C3"/>
    <w:rsid w:val="0050696D"/>
    <w:rsid w:val="0051094B"/>
    <w:rsid w:val="00510DFA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577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20C9"/>
    <w:rsid w:val="005A669D"/>
    <w:rsid w:val="005A75D8"/>
    <w:rsid w:val="005B2341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58A5"/>
    <w:rsid w:val="005F7812"/>
    <w:rsid w:val="005F7A88"/>
    <w:rsid w:val="006036EC"/>
    <w:rsid w:val="00603A1A"/>
    <w:rsid w:val="006041D1"/>
    <w:rsid w:val="006046D5"/>
    <w:rsid w:val="00607A93"/>
    <w:rsid w:val="00610C08"/>
    <w:rsid w:val="00611F74"/>
    <w:rsid w:val="00615772"/>
    <w:rsid w:val="00621256"/>
    <w:rsid w:val="00621FCC"/>
    <w:rsid w:val="00622E4B"/>
    <w:rsid w:val="006277F2"/>
    <w:rsid w:val="006333DA"/>
    <w:rsid w:val="00633DB0"/>
    <w:rsid w:val="00635134"/>
    <w:rsid w:val="006356E2"/>
    <w:rsid w:val="00641F8F"/>
    <w:rsid w:val="00642A65"/>
    <w:rsid w:val="00642ED7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2D"/>
    <w:rsid w:val="00690252"/>
    <w:rsid w:val="006946BB"/>
    <w:rsid w:val="006969FA"/>
    <w:rsid w:val="006A35D5"/>
    <w:rsid w:val="006A748A"/>
    <w:rsid w:val="006B1255"/>
    <w:rsid w:val="006B6B80"/>
    <w:rsid w:val="006B7895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0B20"/>
    <w:rsid w:val="006F2648"/>
    <w:rsid w:val="006F2F10"/>
    <w:rsid w:val="006F482B"/>
    <w:rsid w:val="006F6311"/>
    <w:rsid w:val="006F7F59"/>
    <w:rsid w:val="007003D2"/>
    <w:rsid w:val="00700EC4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4459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26B20"/>
    <w:rsid w:val="00730555"/>
    <w:rsid w:val="007312CC"/>
    <w:rsid w:val="00736A64"/>
    <w:rsid w:val="00737F6A"/>
    <w:rsid w:val="00740295"/>
    <w:rsid w:val="007410B6"/>
    <w:rsid w:val="00744C6F"/>
    <w:rsid w:val="007457F6"/>
    <w:rsid w:val="00745ABB"/>
    <w:rsid w:val="00746E38"/>
    <w:rsid w:val="00747CD5"/>
    <w:rsid w:val="00751909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5C05"/>
    <w:rsid w:val="00770F6B"/>
    <w:rsid w:val="00771883"/>
    <w:rsid w:val="007744C2"/>
    <w:rsid w:val="00776DC2"/>
    <w:rsid w:val="00777FD3"/>
    <w:rsid w:val="00780122"/>
    <w:rsid w:val="0078214B"/>
    <w:rsid w:val="00784281"/>
    <w:rsid w:val="0078498A"/>
    <w:rsid w:val="00787ADB"/>
    <w:rsid w:val="00792207"/>
    <w:rsid w:val="00792B64"/>
    <w:rsid w:val="00792E29"/>
    <w:rsid w:val="0079379A"/>
    <w:rsid w:val="00794953"/>
    <w:rsid w:val="00796355"/>
    <w:rsid w:val="00796679"/>
    <w:rsid w:val="007A0684"/>
    <w:rsid w:val="007A1F2F"/>
    <w:rsid w:val="007A2A5C"/>
    <w:rsid w:val="007A5150"/>
    <w:rsid w:val="007A5373"/>
    <w:rsid w:val="007A5537"/>
    <w:rsid w:val="007A7731"/>
    <w:rsid w:val="007A789F"/>
    <w:rsid w:val="007B75BC"/>
    <w:rsid w:val="007C0BD6"/>
    <w:rsid w:val="007C3806"/>
    <w:rsid w:val="007C4693"/>
    <w:rsid w:val="007C5BB7"/>
    <w:rsid w:val="007D07D5"/>
    <w:rsid w:val="007D1C64"/>
    <w:rsid w:val="007D32DD"/>
    <w:rsid w:val="007D6DCE"/>
    <w:rsid w:val="007D72C4"/>
    <w:rsid w:val="007E02AC"/>
    <w:rsid w:val="007E0DB7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038F4"/>
    <w:rsid w:val="008066BE"/>
    <w:rsid w:val="00812BE5"/>
    <w:rsid w:val="008144BD"/>
    <w:rsid w:val="00815BC4"/>
    <w:rsid w:val="00817429"/>
    <w:rsid w:val="00821514"/>
    <w:rsid w:val="00821E35"/>
    <w:rsid w:val="00824591"/>
    <w:rsid w:val="00824AED"/>
    <w:rsid w:val="008277F1"/>
    <w:rsid w:val="00827820"/>
    <w:rsid w:val="00827F8D"/>
    <w:rsid w:val="00830A41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242C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A91"/>
    <w:rsid w:val="00896A10"/>
    <w:rsid w:val="008971B5"/>
    <w:rsid w:val="008A2802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2A74"/>
    <w:rsid w:val="009130EF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4D8A"/>
    <w:rsid w:val="00934DC4"/>
    <w:rsid w:val="00937598"/>
    <w:rsid w:val="0093790B"/>
    <w:rsid w:val="00942B0E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4E20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08F9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1F26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32F0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56A4"/>
    <w:rsid w:val="00A4685E"/>
    <w:rsid w:val="00A50CD4"/>
    <w:rsid w:val="00A51191"/>
    <w:rsid w:val="00A52FEA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237A"/>
    <w:rsid w:val="00A7436E"/>
    <w:rsid w:val="00A74E96"/>
    <w:rsid w:val="00A75A8E"/>
    <w:rsid w:val="00A75C37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052"/>
    <w:rsid w:val="00AE039B"/>
    <w:rsid w:val="00AE28A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55AE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56AF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3C2C"/>
    <w:rsid w:val="00B848EA"/>
    <w:rsid w:val="00B84B2B"/>
    <w:rsid w:val="00B90500"/>
    <w:rsid w:val="00B9176C"/>
    <w:rsid w:val="00B935A4"/>
    <w:rsid w:val="00B954D6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A90"/>
    <w:rsid w:val="00BC4BC6"/>
    <w:rsid w:val="00BC52FD"/>
    <w:rsid w:val="00BC62C3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27F0"/>
    <w:rsid w:val="00BF3DDE"/>
    <w:rsid w:val="00BF6589"/>
    <w:rsid w:val="00BF6F7F"/>
    <w:rsid w:val="00C00647"/>
    <w:rsid w:val="00C02764"/>
    <w:rsid w:val="00C04CEF"/>
    <w:rsid w:val="00C0662F"/>
    <w:rsid w:val="00C10142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1684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1CCB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07B8"/>
    <w:rsid w:val="00CD12C1"/>
    <w:rsid w:val="00CD214E"/>
    <w:rsid w:val="00CD3E96"/>
    <w:rsid w:val="00CD46FA"/>
    <w:rsid w:val="00CD5973"/>
    <w:rsid w:val="00CE2DFB"/>
    <w:rsid w:val="00CE31A6"/>
    <w:rsid w:val="00CF09AA"/>
    <w:rsid w:val="00CF1336"/>
    <w:rsid w:val="00CF253D"/>
    <w:rsid w:val="00CF4813"/>
    <w:rsid w:val="00CF5233"/>
    <w:rsid w:val="00CF55AD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26806"/>
    <w:rsid w:val="00D32721"/>
    <w:rsid w:val="00D328DC"/>
    <w:rsid w:val="00D33387"/>
    <w:rsid w:val="00D402FB"/>
    <w:rsid w:val="00D42A0D"/>
    <w:rsid w:val="00D45679"/>
    <w:rsid w:val="00D4627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2766"/>
    <w:rsid w:val="00D848B9"/>
    <w:rsid w:val="00D865AB"/>
    <w:rsid w:val="00D87F82"/>
    <w:rsid w:val="00D90E69"/>
    <w:rsid w:val="00D91368"/>
    <w:rsid w:val="00D93106"/>
    <w:rsid w:val="00D933E9"/>
    <w:rsid w:val="00D9505D"/>
    <w:rsid w:val="00D953D0"/>
    <w:rsid w:val="00D9573F"/>
    <w:rsid w:val="00D959F5"/>
    <w:rsid w:val="00D96884"/>
    <w:rsid w:val="00DA3FDD"/>
    <w:rsid w:val="00DA7017"/>
    <w:rsid w:val="00DA7028"/>
    <w:rsid w:val="00DA7F41"/>
    <w:rsid w:val="00DB10A7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695E"/>
    <w:rsid w:val="00DE11BF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3BDD"/>
    <w:rsid w:val="00E04258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1D7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61EC"/>
    <w:rsid w:val="00E767F8"/>
    <w:rsid w:val="00E773E8"/>
    <w:rsid w:val="00E80D2A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A7C02"/>
    <w:rsid w:val="00EB06D9"/>
    <w:rsid w:val="00EB192B"/>
    <w:rsid w:val="00EB19ED"/>
    <w:rsid w:val="00EB1CAB"/>
    <w:rsid w:val="00EB46A1"/>
    <w:rsid w:val="00EB77E7"/>
    <w:rsid w:val="00EC0F5A"/>
    <w:rsid w:val="00EC4265"/>
    <w:rsid w:val="00EC4CEB"/>
    <w:rsid w:val="00EC659E"/>
    <w:rsid w:val="00ED2072"/>
    <w:rsid w:val="00ED2AE0"/>
    <w:rsid w:val="00ED3F06"/>
    <w:rsid w:val="00ED41EB"/>
    <w:rsid w:val="00ED5553"/>
    <w:rsid w:val="00ED5E36"/>
    <w:rsid w:val="00ED6961"/>
    <w:rsid w:val="00ED6DD1"/>
    <w:rsid w:val="00EE35B5"/>
    <w:rsid w:val="00EE6783"/>
    <w:rsid w:val="00EF0B96"/>
    <w:rsid w:val="00EF3486"/>
    <w:rsid w:val="00EF47AF"/>
    <w:rsid w:val="00EF53B6"/>
    <w:rsid w:val="00EF5483"/>
    <w:rsid w:val="00EF70AF"/>
    <w:rsid w:val="00F00926"/>
    <w:rsid w:val="00F00B73"/>
    <w:rsid w:val="00F02525"/>
    <w:rsid w:val="00F034C4"/>
    <w:rsid w:val="00F115CA"/>
    <w:rsid w:val="00F14817"/>
    <w:rsid w:val="00F149EA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2BB1"/>
    <w:rsid w:val="00F43390"/>
    <w:rsid w:val="00F443B2"/>
    <w:rsid w:val="00F458D8"/>
    <w:rsid w:val="00F50237"/>
    <w:rsid w:val="00F53596"/>
    <w:rsid w:val="00F55BA8"/>
    <w:rsid w:val="00F55DB1"/>
    <w:rsid w:val="00F56266"/>
    <w:rsid w:val="00F5640D"/>
    <w:rsid w:val="00F56ACA"/>
    <w:rsid w:val="00F579A1"/>
    <w:rsid w:val="00F600FE"/>
    <w:rsid w:val="00F62E4D"/>
    <w:rsid w:val="00F66B34"/>
    <w:rsid w:val="00F675B9"/>
    <w:rsid w:val="00F711C9"/>
    <w:rsid w:val="00F74C59"/>
    <w:rsid w:val="00F75C3A"/>
    <w:rsid w:val="00F770A9"/>
    <w:rsid w:val="00F809E1"/>
    <w:rsid w:val="00F82E30"/>
    <w:rsid w:val="00F831CB"/>
    <w:rsid w:val="00F8352B"/>
    <w:rsid w:val="00F848A3"/>
    <w:rsid w:val="00F84ACF"/>
    <w:rsid w:val="00F85742"/>
    <w:rsid w:val="00F85BF8"/>
    <w:rsid w:val="00F871CE"/>
    <w:rsid w:val="00F87802"/>
    <w:rsid w:val="00F9068D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76AA"/>
    <w:rsid w:val="00FD0246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0D29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52E01B"/>
  <w15:docId w15:val="{324F90A4-4FAC-44C4-AB00-C06E19DA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FD5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link w:val="FootnotesymbolCarZchn"/>
    <w:uiPriority w:val="99"/>
    <w:qFormat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32F0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32F0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32F0"/>
    <w:rPr>
      <w:vertAlign w:val="superscript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7E02AC"/>
    <w:rPr>
      <w:rFonts w:eastAsiaTheme="minorEastAsia" w:cs="Arial"/>
      <w:szCs w:val="20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ny"/>
    <w:link w:val="Odwoanieprzypisudolnego"/>
    <w:uiPriority w:val="99"/>
    <w:rsid w:val="007E02AC"/>
    <w:pPr>
      <w:widowControl/>
      <w:autoSpaceDE/>
      <w:autoSpaceDN/>
      <w:adjustRightInd/>
      <w:spacing w:after="160" w:line="240" w:lineRule="exact"/>
    </w:pPr>
    <w:rPr>
      <w:rFonts w:ascii="Times" w:eastAsia="Times New Roman" w:hAnsi="Times" w:cs="Times New Roman"/>
      <w:szCs w:val="24"/>
      <w:vertAlign w:val="superscript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F02525"/>
    <w:rPr>
      <w:rFonts w:eastAsiaTheme="minorEastAsia" w:cs="Arial"/>
      <w:bCs/>
      <w:szCs w:val="20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F02525"/>
    <w:rPr>
      <w:rFonts w:eastAsiaTheme="minorEastAsia" w:cs="Arial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5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3D83B1-D636-4EBE-9187-9028C66F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Mazur Justyna</cp:lastModifiedBy>
  <cp:revision>2</cp:revision>
  <cp:lastPrinted>2025-10-16T13:20:00Z</cp:lastPrinted>
  <dcterms:created xsi:type="dcterms:W3CDTF">2025-10-16T13:28:00Z</dcterms:created>
  <dcterms:modified xsi:type="dcterms:W3CDTF">2025-10-16T13:28:00Z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