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8DDA" w14:textId="77777777" w:rsidR="007C7A43" w:rsidRPr="00450AD2" w:rsidRDefault="007C7A43" w:rsidP="007C7A43">
      <w:pPr>
        <w:pStyle w:val="OZNPROJEKTUwskazaniedatylubwersjiprojektu"/>
      </w:pPr>
      <w:r w:rsidRPr="00450AD2">
        <w:t>Projekt</w:t>
      </w:r>
    </w:p>
    <w:p w14:paraId="6C1AC2FA" w14:textId="77777777" w:rsidR="007C7A43" w:rsidRPr="00450AD2" w:rsidRDefault="007C7A43" w:rsidP="007C7A43">
      <w:pPr>
        <w:pStyle w:val="OZNRODZAKTUtznustawalubrozporzdzenieiorganwydajcy"/>
        <w:rPr>
          <w:rFonts w:eastAsia="Times"/>
        </w:rPr>
      </w:pPr>
      <w:r w:rsidRPr="00450AD2">
        <w:rPr>
          <w:rFonts w:eastAsia="Times"/>
        </w:rPr>
        <w:t>USTAWA</w:t>
      </w:r>
    </w:p>
    <w:p w14:paraId="59B6E868" w14:textId="77777777" w:rsidR="007C7A43" w:rsidRPr="00450AD2" w:rsidRDefault="007C7A43" w:rsidP="007C7A43">
      <w:pPr>
        <w:pStyle w:val="DATAAKTUdatauchwalenialubwydaniaaktu"/>
      </w:pPr>
      <w:r w:rsidRPr="00450AD2">
        <w:t xml:space="preserve">z dnia … </w:t>
      </w:r>
      <w:r>
        <w:t xml:space="preserve">2025 </w:t>
      </w:r>
      <w:r w:rsidRPr="00450AD2">
        <w:t>r.</w:t>
      </w:r>
    </w:p>
    <w:p w14:paraId="58FEB3B9" w14:textId="77777777" w:rsidR="007C7A43" w:rsidRPr="00450AD2" w:rsidRDefault="007C7A43" w:rsidP="007C7A43">
      <w:pPr>
        <w:pStyle w:val="TYTUAKTUprzedmiotregulacjiustawylubrozporzdzenia"/>
      </w:pPr>
      <w:r w:rsidRPr="00450AD2">
        <w:t>o zmianie ustawy o świadczeniach opieki zdrowotnej finansowanych ze środków publicznych oraz ustawy o refundacji leków, środków spożywczych specjalnego przeznaczenia żywieniowego oraz wyrobów medycznych</w:t>
      </w:r>
    </w:p>
    <w:p w14:paraId="3E41A729" w14:textId="77777777" w:rsidR="007C7A43" w:rsidRPr="00450AD2" w:rsidRDefault="007C7A43" w:rsidP="007C7A43">
      <w:pPr>
        <w:pStyle w:val="ARTartustawynprozporzdzenia"/>
      </w:pPr>
      <w:r w:rsidRPr="00450AD2">
        <w:rPr>
          <w:rStyle w:val="Ppogrubienie"/>
        </w:rPr>
        <w:t>Art. 1.</w:t>
      </w:r>
      <w:r w:rsidRPr="00450AD2">
        <w:t xml:space="preserve"> W ustawie z dnia 27 sierpnia 2004 r. o świadczeniach opieki zdrowotnej finansowanych ze środków publicznych (Dz. U. z 202</w:t>
      </w:r>
      <w:r>
        <w:t>4</w:t>
      </w:r>
      <w:r w:rsidRPr="00450AD2">
        <w:t xml:space="preserve"> r. poz. </w:t>
      </w:r>
      <w:r w:rsidRPr="002D6DD8">
        <w:t>146,</w:t>
      </w:r>
      <w:r w:rsidRPr="00450AD2">
        <w:t xml:space="preserve"> z </w:t>
      </w:r>
      <w:proofErr w:type="spellStart"/>
      <w:r w:rsidRPr="00450AD2">
        <w:t>późn</w:t>
      </w:r>
      <w:proofErr w:type="spellEnd"/>
      <w:r w:rsidRPr="00450AD2">
        <w:t>. zm.</w:t>
      </w:r>
      <w:r>
        <w:rPr>
          <w:rStyle w:val="Odwoanieprzypisudolnego"/>
        </w:rPr>
        <w:footnoteReference w:id="1"/>
      </w:r>
      <w:r>
        <w:rPr>
          <w:rStyle w:val="IGindeksgrny"/>
        </w:rPr>
        <w:t>)</w:t>
      </w:r>
      <w:r w:rsidRPr="00450AD2">
        <w:t>) wprowadza się następujące zmiany:</w:t>
      </w:r>
    </w:p>
    <w:p w14:paraId="77B69965" w14:textId="77777777" w:rsidR="007C7A43" w:rsidRPr="00450AD2" w:rsidRDefault="007C7A43" w:rsidP="007C7A43">
      <w:pPr>
        <w:pStyle w:val="PKTpunkt"/>
      </w:pPr>
      <w:r w:rsidRPr="00450AD2">
        <w:t>1)</w:t>
      </w:r>
      <w:r w:rsidRPr="00450AD2">
        <w:tab/>
        <w:t>po art. 43b dodaje się art. 43c w brzmieniu:</w:t>
      </w:r>
    </w:p>
    <w:p w14:paraId="3327BF2A" w14:textId="4B16EE43" w:rsidR="007C7A43" w:rsidRPr="00450AD2" w:rsidRDefault="007C7A43" w:rsidP="007C7A43">
      <w:pPr>
        <w:pStyle w:val="ZUSTzmustartykuempunktem"/>
      </w:pPr>
      <w:r w:rsidRPr="00450AD2">
        <w:t>„Art. 43c. 1. Kobietom o</w:t>
      </w:r>
      <w:r>
        <w:t>d</w:t>
      </w:r>
      <w:r w:rsidRPr="00450AD2">
        <w:t xml:space="preserve"> ukończenia </w:t>
      </w:r>
      <w:r>
        <w:t>18</w:t>
      </w:r>
      <w:r w:rsidRPr="00450AD2">
        <w:t>.</w:t>
      </w:r>
      <w:r>
        <w:t xml:space="preserve"> do ukończenia 25.</w:t>
      </w:r>
      <w:r w:rsidRPr="00450AD2">
        <w:t xml:space="preserve"> roku życia przysługuje bezpłatne zaopatrzenie w leki lub </w:t>
      </w:r>
      <w:r>
        <w:t xml:space="preserve">wyroby medyczne </w:t>
      </w:r>
      <w:r w:rsidRPr="00450AD2">
        <w:t>stosowane w antykoncepcji</w:t>
      </w:r>
      <w:r>
        <w:t>,</w:t>
      </w:r>
      <w:r w:rsidRPr="00450AD2">
        <w:t xml:space="preserve"> określone w wykazie, o którym mowa w art. 37 ust. 1 ustawy o refundacji, ustalonym w sposób określony w ust. </w:t>
      </w:r>
      <w:r>
        <w:t xml:space="preserve">4, </w:t>
      </w:r>
      <w:r w:rsidRPr="003D7862">
        <w:t>na podstawie recepty wystawionej przez osobę uprawnioną w rozumieniu art. 2 pkt 14 ustawy o refundacji, w tym również posiadającą prawo wykonywania zawodu, która zaprzestała jego wykonywania i wystawia receptę dla siebie albo dla małżonka, albo dla osoby pozostającej we wspólnym pożyciu, albo dla krewnych lub powinowatych w linii prostej, a w linii bocznej do stopnia pokrewieństwa między dziećmi rodzeństwa.</w:t>
      </w:r>
    </w:p>
    <w:p w14:paraId="16DD7152" w14:textId="77777777" w:rsidR="007C7A43" w:rsidRDefault="007C7A43" w:rsidP="007C7A43">
      <w:pPr>
        <w:pStyle w:val="ZUSTzmustartykuempunktem"/>
      </w:pPr>
      <w:r>
        <w:t>2</w:t>
      </w:r>
      <w:r w:rsidRPr="00550824">
        <w:t xml:space="preserve">. </w:t>
      </w:r>
      <w:r w:rsidRPr="00A72D1F">
        <w:t xml:space="preserve">Uprawnienie świadczeniobiorcy określone w ust. 1: </w:t>
      </w:r>
    </w:p>
    <w:p w14:paraId="48512012" w14:textId="77777777" w:rsidR="007C7A43" w:rsidRDefault="007C7A43" w:rsidP="007C7A43">
      <w:pPr>
        <w:pStyle w:val="ZPKTzmpktartykuempunktem"/>
      </w:pPr>
      <w:r w:rsidRPr="00A72D1F">
        <w:t>1)</w:t>
      </w:r>
      <w:r>
        <w:tab/>
      </w:r>
      <w:r w:rsidRPr="00A72D1F">
        <w:t xml:space="preserve">przysługuje w zakresie, w jakim przepisywany lek lub wyrób medyczny podlega refundacji na zasadach wynikających z ustawy o refundacji; </w:t>
      </w:r>
    </w:p>
    <w:p w14:paraId="6B481EBD" w14:textId="77777777" w:rsidR="007C7A43" w:rsidRDefault="007C7A43" w:rsidP="007C7A43">
      <w:pPr>
        <w:pStyle w:val="ZPKTzmpktartykuempunktem"/>
      </w:pPr>
      <w:r w:rsidRPr="00A72D1F">
        <w:t>2)</w:t>
      </w:r>
      <w:r>
        <w:tab/>
      </w:r>
      <w:r w:rsidRPr="00A72D1F">
        <w:t xml:space="preserve">jest uwzględniane na recepcie w oparciu o wiek pacjenta przy pomocy narzędzia informatycznego, o którym mowa w art. 9b ustawy z dnia 28 kwietnia 2011 r. o systemie informacji w ochronie zdrowia, jeżeli recepta ta jest wystawiana w postaci elektronicznej. </w:t>
      </w:r>
    </w:p>
    <w:p w14:paraId="48D02E72" w14:textId="77777777" w:rsidR="007C7A43" w:rsidRDefault="007C7A43" w:rsidP="007C7A43">
      <w:pPr>
        <w:pStyle w:val="ZUSTzmustartykuempunktem"/>
      </w:pPr>
      <w:r>
        <w:t>3.</w:t>
      </w:r>
      <w:r w:rsidRPr="00A72D1F">
        <w:t xml:space="preserve"> Osoby uprawnione do wystawiania recept na podstawie ust. 1 przed wystawieniem recepty są obowiązane do dokonywania za pośrednictwem systemu, o którym mowa w art. 7 ust. 1 ustawy z dnia 28 kwietnia 2011 r. o systemie informacji w </w:t>
      </w:r>
      <w:r w:rsidRPr="00A72D1F">
        <w:lastRenderedPageBreak/>
        <w:t>ochronie zdrowia, weryfikacji ilości oraz rodzaju przepisanych świadczeniobiorcy, o którym mowa w ust. 1, leków oraz wyrobów medycznych, pod względem bezpieczeństwa oraz konieczności ich stosowania, biorąc pod uwagę recepty wystawione oraz zrealizowane dla tego świadczeniobiorcy. Dostęp do danych osobowych lub jednostkowych danych medycznych dotyczących ilości oraz rodzaju przepisanych świadczeniobiorcy, o którym mowa w ust. 1, leków oraz wyrobów medycznych umożliwiający dokonanie weryfikacji, o której mowa w zdaniu pierwszym, nie wymaga zgody, o której mowa w art. 35 ust. 1a ustawy z dnia 28 kwietnia 2011 r. o systemie informacji w ochronie zdrowia.</w:t>
      </w:r>
    </w:p>
    <w:p w14:paraId="7592B9EE" w14:textId="77777777" w:rsidR="007C7A43" w:rsidRPr="003D7862" w:rsidRDefault="007C7A43" w:rsidP="007C7A43">
      <w:pPr>
        <w:pStyle w:val="ZUSTzmustartykuempunktem"/>
      </w:pPr>
      <w:r>
        <w:t>4</w:t>
      </w:r>
      <w:r w:rsidRPr="003D7862">
        <w:t>.</w:t>
      </w:r>
      <w:r w:rsidRPr="003D7862">
        <w:tab/>
        <w:t xml:space="preserve">Minister właściwy do spraw zdrowia wskazuje spośród leków i wyrobów medycznych określonych w wykazie, o którym mowa w art. 37 ust. 1 ustawy o refundacji, leki i wyroby medyczne, </w:t>
      </w:r>
      <w:r>
        <w:t>w szczególności wkładki, plastry, iniekcje,</w:t>
      </w:r>
      <w:r w:rsidRPr="003D7862">
        <w:t xml:space="preserve"> które są wydawane z apteki lub punktu aptecznego bezpłatnie świadczeniobiorcom, o których mowa w ust. 1, mając na względzie dostępność i różnorodność leków stosowanych w antykoncepcji.</w:t>
      </w:r>
    </w:p>
    <w:p w14:paraId="18F3DC98" w14:textId="32358AB4" w:rsidR="007C7A43" w:rsidRDefault="007C7A43" w:rsidP="007C7A43">
      <w:pPr>
        <w:pStyle w:val="ZUSTzmustartykuempunktem"/>
      </w:pPr>
      <w:r>
        <w:t>5</w:t>
      </w:r>
      <w:r w:rsidR="003B2390">
        <w:t>.</w:t>
      </w:r>
      <w:r>
        <w:t xml:space="preserve"> </w:t>
      </w:r>
      <w:r w:rsidRPr="00550824">
        <w:t>Leki oraz wyroby medyczne, o których mowa w ust. 1, są finansowane przez Fundusz w części stanowiącej odpłatność świadczeniobiorcy, o której mowa w art. 6 ust. 2 ustawy o refundacji, obejmującej kwotę do wysokości limitu finansowania oraz dopłatę w wysokości różnicy między ceną detaliczną danego leku oraz wyrobu medycznego a wysokością limitu finansowania.</w:t>
      </w:r>
    </w:p>
    <w:p w14:paraId="5E6273E1" w14:textId="77777777" w:rsidR="007C7A43" w:rsidRPr="00450AD2" w:rsidRDefault="007C7A43" w:rsidP="007C7A43">
      <w:pPr>
        <w:pStyle w:val="ZUSTzmustartykuempunktem"/>
      </w:pPr>
      <w:r>
        <w:t>6</w:t>
      </w:r>
      <w:r w:rsidRPr="00A72D1F">
        <w:t xml:space="preserve">. Przepis ust. </w:t>
      </w:r>
      <w:r>
        <w:t>5</w:t>
      </w:r>
      <w:r w:rsidRPr="00A72D1F">
        <w:t xml:space="preserve"> nie narusza obowiązków Funduszu w zakresie wysokości finansowania świadczeń opieki zdrowotnej wynikających z uprawnień, o których mowa w art. 43 i art. 44–46 oraz art. 7a ust. 1 pkt 2 ustawy z dnia 19 czerwca 1997 r. o zakazie stosowania wyrobów zawierających azbest, w przypadku, o którym mowa w art. 44a ust. 2 ustawy o refundacji.</w:t>
      </w:r>
      <w:r w:rsidRPr="00450AD2">
        <w:t>”;</w:t>
      </w:r>
    </w:p>
    <w:p w14:paraId="02047594" w14:textId="0F7BABD7" w:rsidR="007C7A43" w:rsidRPr="00450AD2" w:rsidRDefault="007C7A43" w:rsidP="007C7A43">
      <w:pPr>
        <w:pStyle w:val="PKTpunkt"/>
      </w:pPr>
      <w:r w:rsidRPr="00450AD2">
        <w:t>2)</w:t>
      </w:r>
      <w:r w:rsidRPr="00450AD2">
        <w:tab/>
        <w:t>w art. 97 w ust. 3 po pkt 2e dodaje się pkt 2ea w brzmieniu:</w:t>
      </w:r>
    </w:p>
    <w:p w14:paraId="001F6565" w14:textId="77777777" w:rsidR="007C7A43" w:rsidRPr="00450AD2" w:rsidRDefault="007C7A43" w:rsidP="007C7A43">
      <w:pPr>
        <w:pStyle w:val="ZPKTzmpktartykuempunktem"/>
      </w:pPr>
      <w:r w:rsidRPr="00450AD2">
        <w:t xml:space="preserve">"2ea) finansowanie leków i </w:t>
      </w:r>
      <w:r>
        <w:t>wyrobów medycznych</w:t>
      </w:r>
      <w:r w:rsidRPr="00450AD2">
        <w:t xml:space="preserve"> przysługujących świadczeniobiorcom, o których mowa w art. 43c ust. 1;";</w:t>
      </w:r>
    </w:p>
    <w:p w14:paraId="4F8170C4" w14:textId="77777777" w:rsidR="007C7A43" w:rsidRPr="00450AD2" w:rsidRDefault="007C7A43" w:rsidP="007C7A43">
      <w:pPr>
        <w:pStyle w:val="PKTpunkt"/>
      </w:pPr>
      <w:r w:rsidRPr="00450AD2">
        <w:t>3)</w:t>
      </w:r>
      <w:r w:rsidRPr="00450AD2">
        <w:tab/>
        <w:t>w art. 102 w ust. 5 po pkt 26b dodaje się pkt 26c w brzmieniu:</w:t>
      </w:r>
    </w:p>
    <w:p w14:paraId="33CFEBF6" w14:textId="5D73DC62" w:rsidR="007C7A43" w:rsidRDefault="007C7A43" w:rsidP="007C7A43">
      <w:pPr>
        <w:pStyle w:val="ZUSTzmustartykuempunktem"/>
      </w:pPr>
      <w:r w:rsidRPr="00450AD2">
        <w:t>„26c)</w:t>
      </w:r>
      <w:r w:rsidR="003B2390">
        <w:t xml:space="preserve"> </w:t>
      </w:r>
      <w:r w:rsidRPr="00450AD2">
        <w:t>przekazywanie ministrowi właściwemu do spraw zdrowia comiesięcznych zestawień ilości zrefundowanych opakowań jednostkowych leków</w:t>
      </w:r>
      <w:r>
        <w:t xml:space="preserve"> oraz jednostkowych wyrobów medycznych </w:t>
      </w:r>
      <w:r w:rsidRPr="00450AD2">
        <w:t>wraz z podaniem numeru GTIN zgodnego z systemem GS1,</w:t>
      </w:r>
      <w:r>
        <w:t xml:space="preserve"> lub innego kodu jednoznacznie</w:t>
      </w:r>
      <w:r w:rsidRPr="00450AD2">
        <w:t xml:space="preserve"> </w:t>
      </w:r>
      <w:r>
        <w:t xml:space="preserve">identyfikującego wyrób medyczny </w:t>
      </w:r>
      <w:r w:rsidRPr="00450AD2">
        <w:t xml:space="preserve">wydawanych na podstawie </w:t>
      </w:r>
      <w:r w:rsidRPr="00450AD2">
        <w:lastRenderedPageBreak/>
        <w:t>art. 43c ust. 1, w terminie do 20. dnia miesiąca następującego po miesiącu, którego dotyczy zestawienie;”;</w:t>
      </w:r>
    </w:p>
    <w:p w14:paraId="4A9C0100" w14:textId="77777777" w:rsidR="007C7A43" w:rsidRPr="00450AD2" w:rsidRDefault="007C7A43" w:rsidP="007C7A43">
      <w:pPr>
        <w:pStyle w:val="PKTpunkt"/>
      </w:pPr>
      <w:r w:rsidRPr="00450AD2">
        <w:t>4)</w:t>
      </w:r>
      <w:r w:rsidRPr="00450AD2">
        <w:tab/>
        <w:t>w art. 188 w ust. 4 po pkt 15b dodaje się pkt 15c w brzmieniu:</w:t>
      </w:r>
    </w:p>
    <w:p w14:paraId="5DDF4586" w14:textId="77777777" w:rsidR="007C7A43" w:rsidRPr="00450AD2" w:rsidRDefault="007C7A43" w:rsidP="007C7A43">
      <w:pPr>
        <w:pStyle w:val="ZPKTzmpktartykuempunktem"/>
      </w:pPr>
      <w:r w:rsidRPr="00450AD2">
        <w:t>„15c) informacja o uprawnieniu, o którym mowa w art. 43c ust. 1;”.</w:t>
      </w:r>
    </w:p>
    <w:p w14:paraId="597B0E6E" w14:textId="77777777" w:rsidR="007C7A43" w:rsidRPr="00450AD2" w:rsidRDefault="007C7A43" w:rsidP="007C7A43">
      <w:pPr>
        <w:pStyle w:val="ARTartustawynprozporzdzenia"/>
      </w:pPr>
      <w:r w:rsidRPr="00450AD2">
        <w:rPr>
          <w:rStyle w:val="Ppogrubienie"/>
        </w:rPr>
        <w:t>Art. 2.</w:t>
      </w:r>
      <w:r w:rsidRPr="00450AD2">
        <w:t xml:space="preserve"> W ustawie z dnia 12 maja 2011 r. o refundacji leków, środków spożywczych specjalnego przeznaczenia żywieniowego oraz wyrobów medycznych (Dz. U. z </w:t>
      </w:r>
      <w:r w:rsidRPr="002419B9">
        <w:t>2025 r. poz. 907</w:t>
      </w:r>
      <w:r>
        <w:t xml:space="preserve"> i</w:t>
      </w:r>
      <w:r w:rsidRPr="002419B9">
        <w:t xml:space="preserve"> 1192</w:t>
      </w:r>
      <w:r w:rsidRPr="00450AD2">
        <w:t>) wprowadza się następujące zmiany:</w:t>
      </w:r>
    </w:p>
    <w:p w14:paraId="60E56940" w14:textId="77777777" w:rsidR="007C7A43" w:rsidRPr="00450AD2" w:rsidRDefault="007C7A43" w:rsidP="007C7A43">
      <w:pPr>
        <w:pStyle w:val="PKTpunkt"/>
      </w:pPr>
      <w:r w:rsidRPr="00450AD2">
        <w:t>1)</w:t>
      </w:r>
      <w:r w:rsidRPr="00450AD2">
        <w:tab/>
        <w:t>w art. 37 po ust. 2b dodaje się ust. 2ba w brzmieniu:</w:t>
      </w:r>
    </w:p>
    <w:p w14:paraId="5C03AD8A" w14:textId="77777777" w:rsidR="007C7A43" w:rsidRPr="00450AD2" w:rsidRDefault="007C7A43" w:rsidP="007C7A43">
      <w:pPr>
        <w:pStyle w:val="ZUSTzmustartykuempunktem"/>
      </w:pPr>
      <w:r w:rsidRPr="00450AD2">
        <w:t xml:space="preserve">„2ba. Leki oraz </w:t>
      </w:r>
      <w:r>
        <w:t>wyroby medyczne</w:t>
      </w:r>
      <w:r w:rsidRPr="00450AD2">
        <w:t xml:space="preserve"> stosowane w antykoncepcji przysługujące świadczeniobiorcom, o których mowa w art. 43c ust. 1 ustawy o świadczeniach, minister właściwy do spraw zdrowia ogłasza w obwieszczeniu, o którym mowa w ust. 1.”;</w:t>
      </w:r>
    </w:p>
    <w:p w14:paraId="1425798D" w14:textId="77777777" w:rsidR="007C7A43" w:rsidRPr="00450AD2" w:rsidRDefault="007C7A43" w:rsidP="007C7A43">
      <w:pPr>
        <w:pStyle w:val="PKTpunkt"/>
      </w:pPr>
      <w:r w:rsidRPr="00450AD2">
        <w:t>2)</w:t>
      </w:r>
      <w:r w:rsidRPr="00450AD2">
        <w:tab/>
        <w:t>w art. 45a:</w:t>
      </w:r>
    </w:p>
    <w:p w14:paraId="7CB4D7B5" w14:textId="77777777" w:rsidR="007C7A43" w:rsidRPr="00450AD2" w:rsidRDefault="007C7A43" w:rsidP="007C7A43">
      <w:pPr>
        <w:pStyle w:val="LITlitera"/>
      </w:pPr>
      <w:r w:rsidRPr="00450AD2">
        <w:t>a)</w:t>
      </w:r>
      <w:r w:rsidRPr="00450AD2">
        <w:tab/>
        <w:t>w pkt 4 w lit. h średnik zastępuje się przecinkiem oraz dodaje się lit. i w brzmieniu:</w:t>
      </w:r>
    </w:p>
    <w:p w14:paraId="40C43184" w14:textId="77777777" w:rsidR="007C7A43" w:rsidRPr="00450AD2" w:rsidRDefault="007C7A43" w:rsidP="007C7A43">
      <w:pPr>
        <w:pStyle w:val="ZLITLITzmlitliter"/>
      </w:pPr>
      <w:r w:rsidRPr="00450AD2">
        <w:t>„i) kod uprawnienia dodatkowego pacjenta określony symbolem „AN”, a w przypadku braku uprawnienia dodatkowego symbol „X”;”,</w:t>
      </w:r>
    </w:p>
    <w:p w14:paraId="41AC6B0C" w14:textId="77777777" w:rsidR="007C7A43" w:rsidRPr="00450AD2" w:rsidRDefault="007C7A43" w:rsidP="007C7A43">
      <w:pPr>
        <w:pStyle w:val="LITlitera"/>
      </w:pPr>
      <w:r w:rsidRPr="00450AD2">
        <w:t>b)</w:t>
      </w:r>
      <w:r w:rsidRPr="00450AD2">
        <w:tab/>
        <w:t>w pkt 8 w lit. i</w:t>
      </w:r>
      <w:r>
        <w:t xml:space="preserve"> </w:t>
      </w:r>
      <w:r w:rsidRPr="00450AD2">
        <w:t xml:space="preserve">w </w:t>
      </w:r>
      <w:proofErr w:type="spellStart"/>
      <w:r w:rsidRPr="00450AD2">
        <w:t>tiret</w:t>
      </w:r>
      <w:proofErr w:type="spellEnd"/>
      <w:r w:rsidRPr="00450AD2">
        <w:t xml:space="preserve"> pierwszym, trzecim, piątym, siódmym i dziewiątym wyrazy "art. 43a ust. 1 i 1a albo art. 43b ust. 1" zastępuje się wyrazami "art. 43a ust. 1 i 1a</w:t>
      </w:r>
      <w:r>
        <w:t>,</w:t>
      </w:r>
      <w:r w:rsidRPr="00450AD2">
        <w:t xml:space="preserve"> art. 43b ust. 1, albo art. 43c ust. 1".</w:t>
      </w:r>
    </w:p>
    <w:p w14:paraId="0E9379E3" w14:textId="77777777" w:rsidR="007C7A43" w:rsidRDefault="007C7A43" w:rsidP="007C7A43">
      <w:pPr>
        <w:pStyle w:val="ARTartustawynprozporzdzenia"/>
        <w:rPr>
          <w:rStyle w:val="Ppogrubienie"/>
        </w:rPr>
      </w:pPr>
      <w:r w:rsidRPr="005A452F">
        <w:rPr>
          <w:rStyle w:val="Ppogrubienie"/>
        </w:rPr>
        <w:t>Art. 3.</w:t>
      </w:r>
      <w:r w:rsidRPr="005A452F">
        <w:t> Pierwszy wykaz, o którym mowa w </w:t>
      </w:r>
      <w:hyperlink r:id="rId6" w:history="1">
        <w:r w:rsidRPr="005A452F">
          <w:t>art. 37 ust. 1</w:t>
        </w:r>
      </w:hyperlink>
      <w:r w:rsidRPr="005A452F">
        <w:t> ustawy zmienianej w </w:t>
      </w:r>
      <w:hyperlink r:id="rId7" w:history="1">
        <w:r w:rsidRPr="005A452F">
          <w:t>art. 2</w:t>
        </w:r>
      </w:hyperlink>
      <w:r w:rsidRPr="005A452F">
        <w:t>, uwzględniający leki, o których mowa w </w:t>
      </w:r>
      <w:hyperlink r:id="rId8" w:history="1">
        <w:r w:rsidRPr="005A452F">
          <w:t>art. 37 ust. 2b</w:t>
        </w:r>
      </w:hyperlink>
      <w:r>
        <w:t>a</w:t>
      </w:r>
      <w:r w:rsidRPr="005A452F">
        <w:t> tej ustawy, minister właściwy do spraw zdrowia ogłosi nie później niż w terminie 4 miesięcy od dnia wejścia w życie niniejszej ustawy, biorąc pod uwagę wytyczne określone w</w:t>
      </w:r>
      <w:r>
        <w:t xml:space="preserve"> art. 43c ust.</w:t>
      </w:r>
      <w:r w:rsidRPr="005A452F">
        <w:t> </w:t>
      </w:r>
      <w:hyperlink r:id="rId9" w:history="1">
        <w:r>
          <w:t>4</w:t>
        </w:r>
      </w:hyperlink>
      <w:r w:rsidRPr="005A452F">
        <w:t> ustawy zmienianej w </w:t>
      </w:r>
      <w:hyperlink r:id="rId10" w:history="1">
        <w:r w:rsidRPr="005A452F">
          <w:t>art. 1</w:t>
        </w:r>
      </w:hyperlink>
      <w:r w:rsidRPr="005A452F">
        <w:t>.</w:t>
      </w:r>
    </w:p>
    <w:p w14:paraId="4AB7BABA" w14:textId="77777777" w:rsidR="007C7A43" w:rsidRPr="00450AD2" w:rsidRDefault="007C7A43" w:rsidP="007C7A43">
      <w:pPr>
        <w:pStyle w:val="ARTartustawynprozporzdzenia"/>
      </w:pPr>
      <w:r w:rsidRPr="00450AD2">
        <w:rPr>
          <w:rStyle w:val="Ppogrubienie"/>
        </w:rPr>
        <w:t xml:space="preserve">Art. </w:t>
      </w:r>
      <w:r>
        <w:rPr>
          <w:rStyle w:val="Ppogrubienie"/>
        </w:rPr>
        <w:t>4</w:t>
      </w:r>
      <w:r w:rsidRPr="00450AD2">
        <w:rPr>
          <w:rStyle w:val="Ppogrubienie"/>
        </w:rPr>
        <w:t>.</w:t>
      </w:r>
      <w:r w:rsidRPr="00450AD2">
        <w:t xml:space="preserve"> Ustawa wchodzi w życie po upływie 14 dni od dnia ogłoszenia.</w:t>
      </w:r>
    </w:p>
    <w:p w14:paraId="0583536E" w14:textId="77777777" w:rsidR="007C7A43" w:rsidRPr="00450AD2" w:rsidRDefault="007C7A43" w:rsidP="007C7A43">
      <w:pPr>
        <w:ind w:left="0" w:hanging="2"/>
      </w:pPr>
    </w:p>
    <w:p w14:paraId="1A245EFB" w14:textId="77777777" w:rsidR="007C7A43" w:rsidRPr="00450AD2" w:rsidRDefault="007C7A43" w:rsidP="007C7A43">
      <w:pPr>
        <w:ind w:left="0" w:hanging="2"/>
      </w:pPr>
      <w:r>
        <w:br w:type="page"/>
      </w:r>
    </w:p>
    <w:p w14:paraId="005C899F" w14:textId="77777777" w:rsidR="007C7A43" w:rsidRPr="00450AD2" w:rsidRDefault="007C7A43" w:rsidP="007C7A43">
      <w:pPr>
        <w:pStyle w:val="OZNRODZAKTUtznustawalubrozporzdzenieiorganwydajcy"/>
      </w:pPr>
      <w:r w:rsidRPr="00450AD2">
        <w:lastRenderedPageBreak/>
        <w:t>Uzasadnienie</w:t>
      </w:r>
    </w:p>
    <w:p w14:paraId="79184258" w14:textId="77777777" w:rsidR="007C7A43" w:rsidRPr="00450AD2" w:rsidRDefault="007C7A43" w:rsidP="007C7A43">
      <w:pPr>
        <w:ind w:left="0" w:hanging="2"/>
      </w:pPr>
    </w:p>
    <w:p w14:paraId="32B622E8" w14:textId="57E5331B" w:rsidR="007C7A43" w:rsidRPr="00450AD2" w:rsidRDefault="007C7A43" w:rsidP="007C7A43">
      <w:pPr>
        <w:pStyle w:val="ZDANIENASTNOWYWIERSZnpzddrugienowywierszwust"/>
      </w:pPr>
      <w:r w:rsidRPr="00450AD2">
        <w:t>Od wielu lat potrzeby zdrowotne kobiet</w:t>
      </w:r>
      <w:r>
        <w:t xml:space="preserve"> w zakresie świadczeń zdrowotnych realizowanych w ramach powszechnego ubezpieczenia zdrowotnego związane ze stosowaniem skutecznych i odpowiednich środków antykoncepcyjnych nie są właściwie realizowane</w:t>
      </w:r>
      <w:r w:rsidRPr="00450AD2">
        <w:t>. Od momentu radykalizacji prawa aborcyjnego</w:t>
      </w:r>
      <w:r>
        <w:t xml:space="preserve"> po </w:t>
      </w:r>
      <w:r w:rsidRPr="00165309">
        <w:t xml:space="preserve">wyroku Trybunału Konstytucyjnego z dnia 22 października 2020 r. </w:t>
      </w:r>
      <w:r w:rsidRPr="00450AD2">
        <w:t xml:space="preserve">sytuacja kobiet jeszcze się pogorszyła, zmalało ich poczucie bezpieczeństwa. Nie podjęto adekwatnych działań dla zapewnienia dobrego zdrowia kobiet, zaniechano dyskusji o potrzebie zmian w dotyczącym zdrowia kobiet obszarze publicznego sektora ochrony zdrowia. </w:t>
      </w:r>
      <w:r>
        <w:t>Podejmowanie autonomicznych decyzji odnośnie posiadania potomstwa jest jedną z podstawowych praw jednostek i rodzin, a realny dostęp do skutecznych i odpowiednich środków antykoncepcyjnych umożliwia realizację tego prawa.</w:t>
      </w:r>
    </w:p>
    <w:p w14:paraId="1065E697" w14:textId="0EE676D7" w:rsidR="007C7A43" w:rsidRPr="00450AD2" w:rsidRDefault="007C7A43" w:rsidP="007C7A43">
      <w:pPr>
        <w:pStyle w:val="ZDANIENASTNOWYWIERSZnpzddrugienowywierszwust"/>
      </w:pPr>
      <w:r w:rsidRPr="00450AD2">
        <w:t>Wnioskodawcy stoją na stanowisku, że zapewnienie bezpieczeństwa zdrowia kobiet nie jest możliwe bez</w:t>
      </w:r>
      <w:r>
        <w:t xml:space="preserve"> odpowiedniej</w:t>
      </w:r>
      <w:r w:rsidRPr="00450AD2">
        <w:t xml:space="preserve"> dostępności środków antykoncepcyjnych i świadomości kobiet dotyczącej ich stosowania</w:t>
      </w:r>
      <w:r w:rsidR="00C82554">
        <w:t>,</w:t>
      </w:r>
      <w:r>
        <w:t xml:space="preserve"> a r</w:t>
      </w:r>
      <w:r w:rsidRPr="00450AD2">
        <w:t xml:space="preserve">zetelna wiedza o możliwych sposobach antykoncepcji powinna być przekazywana już w szkole. </w:t>
      </w:r>
    </w:p>
    <w:p w14:paraId="304BED32" w14:textId="77777777" w:rsidR="007C7A43" w:rsidRPr="00450AD2" w:rsidRDefault="007C7A43" w:rsidP="007C7A43">
      <w:pPr>
        <w:pStyle w:val="ZDANIENASTNOWYWIERSZnpzddrugienowywierszwust"/>
      </w:pPr>
      <w:r w:rsidRPr="00450AD2">
        <w:t xml:space="preserve">Kolejnym krokiem </w:t>
      </w:r>
      <w:r>
        <w:t>powinno być</w:t>
      </w:r>
      <w:r w:rsidRPr="00450AD2">
        <w:t xml:space="preserve"> zagwarantowanie grupie kobiet, dla których z przyczyn ekonomicznych środki antykoncepcyjne są niedostępne, możliwości zabezpieczenia przed nieplanowaną ciążą i podjęcia decyzji o macierzyństwie w wybranym przez nie czasie.</w:t>
      </w:r>
    </w:p>
    <w:p w14:paraId="6BD775CC" w14:textId="77777777" w:rsidR="007C7A43" w:rsidRPr="00280352" w:rsidRDefault="007C7A43" w:rsidP="007C7A43">
      <w:pPr>
        <w:pStyle w:val="ZDANIENASTNOWYWIERSZnpzddrugienowywierszwust"/>
      </w:pPr>
      <w:r w:rsidRPr="00280352">
        <w:t xml:space="preserve">Tymczasem dane o dostępności do środków antykoncepcyjnych są alarmujące. </w:t>
      </w:r>
    </w:p>
    <w:p w14:paraId="43CEFCC2" w14:textId="370B3987" w:rsidR="007C7A43" w:rsidRPr="00280352" w:rsidRDefault="007C7A43" w:rsidP="007C7A43">
      <w:pPr>
        <w:pStyle w:val="ZDANIENASTNOWYWIERSZnpzddrugienowywierszwust"/>
      </w:pPr>
      <w:r w:rsidRPr="00280352">
        <w:t xml:space="preserve">W tegorocznej edycji </w:t>
      </w:r>
      <w:proofErr w:type="spellStart"/>
      <w:r w:rsidRPr="00280352">
        <w:t>European</w:t>
      </w:r>
      <w:proofErr w:type="spellEnd"/>
      <w:r w:rsidRPr="00280352">
        <w:t xml:space="preserve"> </w:t>
      </w:r>
      <w:proofErr w:type="spellStart"/>
      <w:r w:rsidRPr="00280352">
        <w:t>Contraception</w:t>
      </w:r>
      <w:proofErr w:type="spellEnd"/>
      <w:r w:rsidRPr="00280352">
        <w:t xml:space="preserve"> Policy Atlas 2025 (Atlas europejskiej polityki antykoncepcyjnej 2025), wydawanego przez Europejskie Forum Parlamentarne na rzecz Praw Seksualnych i Reprodukcyjnych, którego celem jest monitorowanie polityk rządowych krajów europejskich w zakresie dostępu do środków antykoncepcyjnych, poradnictwa dotyczącego planowania rodziny i udostępniania informacji na temat antykoncepcji, Polska zajęła kolejny raz ostatnie miejsce wśród 47 państw. Niestety po raz szósty uplasowała się na poziomie nie przekraczającym 35%, w sytuacji gdy</w:t>
      </w:r>
      <w:r w:rsidRPr="00280352">
        <w:rPr>
          <w:rStyle w:val="IGindeksgrny"/>
        </w:rPr>
        <w:footnoteReference w:id="2"/>
      </w:r>
      <w:r w:rsidRPr="00280352">
        <w:t xml:space="preserve"> takie kraje jak: Francja (93,2 %), Wielka Brytania (91,6%), Portugalia (91,2%) i Belgia (90,3%) osiągnęły wartość wskaźnika rankingowego powyżej 90%, Słowienia - 81,3%, Szwecja 79%, Niemcy 75,6 %, Rosja (42,8%), Białoruś </w:t>
      </w:r>
      <w:r w:rsidRPr="00280352">
        <w:lastRenderedPageBreak/>
        <w:t>(44,4%) czy Kosowo (54%). Wskaźnik dla Polski wyniósł 33,2%</w:t>
      </w:r>
      <w:r w:rsidR="005F77E8">
        <w:t>,</w:t>
      </w:r>
      <w:r w:rsidRPr="00280352">
        <w:t xml:space="preserve"> co stanowi wynik gorszy od ubiegłorocznego (33,4%). </w:t>
      </w:r>
    </w:p>
    <w:p w14:paraId="76C37CCF" w14:textId="77777777" w:rsidR="007C7A43" w:rsidRPr="00280352" w:rsidRDefault="007C7A43" w:rsidP="007C7A43">
      <w:pPr>
        <w:pStyle w:val="ZDANIENASTNOWYWIERSZnpzddrugienowywierszwust"/>
      </w:pPr>
    </w:p>
    <w:p w14:paraId="44980557" w14:textId="77777777" w:rsidR="007C7A43" w:rsidRPr="00280352" w:rsidRDefault="007C7A43" w:rsidP="007C7A43">
      <w:pPr>
        <w:pStyle w:val="ZDANIENASTNOWYWIERSZnpzddrugienowywierszwust"/>
      </w:pPr>
      <w:r w:rsidRPr="00280352">
        <w:t>Zdaniem wnioskodawców kluczowe znaczenie mają takie wartości jak: zdrowie kobiet, poczucie bezpieczeństwa i umożliwienie podjęcia decyzji o macierzyństwie. Stąd szereg zmian w tym obszarze praw reprodukcyjnych: od refundacji in vitro, przez dostępność do antykoncepcji awaryjnej, inicjatywę zmian w zakresie zasad przerywania ciąży, po upowszechnienie edukacji seksualnej i zmiany zasad refundacji antykoncepcji.</w:t>
      </w:r>
    </w:p>
    <w:p w14:paraId="1711A310" w14:textId="77777777" w:rsidR="007C7A43" w:rsidRPr="00280352" w:rsidRDefault="007C7A43" w:rsidP="007C7A43">
      <w:pPr>
        <w:pStyle w:val="ZDANIENASTNOWYWIERSZnpzddrugienowywierszwust"/>
      </w:pPr>
      <w:r w:rsidRPr="00280352">
        <w:t>Wnioskodawcy proponują, by kobiety od 18. do 25. roku życia objęto bezpłatnym dostępem do środków antykoncepcyjnych dostępnych na rynku, zaś kobietom powyżej 25 roku dano możliwość korzystania z refundowanej antykoncepcji w zakresie szerszym niż dotychczas, co związane byłoby z oczekiwanym poszerzeniem katalogu leków czy wyrobów medycznych antykoncepcyjnych znajdujących się w wykazie ogłaszanym przez Ministra Zdrowia.</w:t>
      </w:r>
      <w:r w:rsidRPr="00280352">
        <w:br/>
        <w:t xml:space="preserve"> W odpowiedzi z dnia 12.02.2020 r. Ministra Zdrowia na interpelację nr 2266 wskazano, że zgodnie z obwieszczeniem Ministra Zdrowia w sprawie wykazu refundowanych leków, środków spożywczych specjalnego przeznaczenia żywieniowego oraz wyrobów medycznych, spośród leków mających działanie antykoncepcyjne refundowane są produkty zawierające substancje czynne: </w:t>
      </w:r>
      <w:proofErr w:type="spellStart"/>
      <w:r w:rsidRPr="00280352">
        <w:t>Cyproteronum</w:t>
      </w:r>
      <w:proofErr w:type="spellEnd"/>
      <w:r w:rsidRPr="00280352">
        <w:t xml:space="preserve"> + </w:t>
      </w:r>
      <w:proofErr w:type="spellStart"/>
      <w:r w:rsidRPr="00280352">
        <w:t>Ethinylestradiolum</w:t>
      </w:r>
      <w:proofErr w:type="spellEnd"/>
      <w:r w:rsidRPr="00280352">
        <w:t xml:space="preserve"> oraz </w:t>
      </w:r>
      <w:proofErr w:type="spellStart"/>
      <w:r w:rsidRPr="00280352">
        <w:t>Ethinylestradiolum</w:t>
      </w:r>
      <w:proofErr w:type="spellEnd"/>
      <w:r w:rsidRPr="00280352">
        <w:t xml:space="preserve"> + </w:t>
      </w:r>
      <w:proofErr w:type="spellStart"/>
      <w:r w:rsidRPr="00280352">
        <w:t>Levonorgestrelum</w:t>
      </w:r>
      <w:proofErr w:type="spellEnd"/>
      <w:r w:rsidRPr="00280352">
        <w:t xml:space="preserve">. Leki te są refundowane we wszystkich zarejestrowanych wskazaniach na dzień wydania decyzji i dostępne są za odpłatnością w wysokości 30% limitu finansowania i za dopłatą w wysokości różnicy między ceną detaliczną a limitem finansowania. </w:t>
      </w:r>
    </w:p>
    <w:p w14:paraId="1AA96918" w14:textId="1A82B247" w:rsidR="007C7A43" w:rsidRPr="00280352" w:rsidRDefault="007C7A43" w:rsidP="007C7A43">
      <w:pPr>
        <w:pStyle w:val="ZDANIENASTNOWYWIERSZnpzddrugienowywierszwust"/>
      </w:pPr>
      <w:r w:rsidRPr="00280352">
        <w:t xml:space="preserve">Podnosi się, że konieczne jest objęcie refundacją leków antykoncepcyjnych kolejnej generacji oraz innych środków antykoncepcyjnych: plastrów antykoncepcyjnych, wkładek czy </w:t>
      </w:r>
      <w:proofErr w:type="spellStart"/>
      <w:r w:rsidRPr="00280352">
        <w:t>minipigułek</w:t>
      </w:r>
      <w:proofErr w:type="spellEnd"/>
      <w:r w:rsidRPr="00280352">
        <w:t>. Środki antykoncepcyjne zgodnie z rekomendacjami Polskiego Towarzystwa Ginekologicznego</w:t>
      </w:r>
      <w:r w:rsidRPr="00AA1AFD">
        <w:rPr>
          <w:vertAlign w:val="superscript"/>
        </w:rPr>
        <w:footnoteReference w:id="3"/>
      </w:r>
      <w:r w:rsidRPr="00280352">
        <w:t xml:space="preserve"> powinny być przypisywane po dokonaniu profilu bezpieczeństwa danej metody i oczekiwań ze strony pacjentki. Przy tak ubogim wyborze dostępnych refundowanych środków antykoncepcyjnych osiągnięcie tego celu jest niemożliwe.</w:t>
      </w:r>
    </w:p>
    <w:p w14:paraId="70316DBF" w14:textId="77777777" w:rsidR="007C7A43" w:rsidRPr="00280352" w:rsidRDefault="007C7A43" w:rsidP="007C7A43">
      <w:pPr>
        <w:pStyle w:val="ZDANIENASTNOWYWIERSZnpzddrugienowywierszwust"/>
      </w:pPr>
      <w:r w:rsidRPr="00280352">
        <w:t xml:space="preserve">Objęcie refundacją środków antykoncepcyjnych zarówno hormonalnych jak i mechanicznych pozwoliłoby na lepsze zabezpieczenie potrzeb kobiety z uwzględnieniem jej indywidualnej sytuacji zdrowotnej i zagwarantuje jej większe bezpieczeństwo. Łatwiejsza dostępność do </w:t>
      </w:r>
      <w:r w:rsidRPr="00280352">
        <w:lastRenderedPageBreak/>
        <w:t xml:space="preserve">antykoncepcji przyczyni się do zwiększenia profilaktyki zdrowotnej u kobiet, gdyż wystawienie recepty na dany środek antykoncepcyjny poprzedzone winno być (według wiedzy medycznej) badaniem ginekologicznym, cytologicznym oraz badaniem piersi. Częstsze wizyty u lekarza pozwolą na lepszą profilaktykę chorób. </w:t>
      </w:r>
    </w:p>
    <w:p w14:paraId="334C22C9" w14:textId="77777777" w:rsidR="007C7A43" w:rsidRPr="00280352" w:rsidRDefault="007C7A43" w:rsidP="007C7A43">
      <w:pPr>
        <w:pStyle w:val="USTustnpkodeksu"/>
      </w:pPr>
      <w:r w:rsidRPr="00280352">
        <w:t>Konieczne jest także dodanie przepisów określających sposób realizacji nowych uprawnień przez osoby wystawiające recepty oraz zasady rozliczania kosztów związanych z refundacją leków i wyrobów medycznych objętych uprawnieniem. Przepisy te zostały sformułowane na wzór już obowiązujących przepisów wprowadzających prawo do bezpłatnego korzystania z leków oraz wyrobów medycznych przez inne uprawnione grupy.</w:t>
      </w:r>
    </w:p>
    <w:p w14:paraId="0ADF502A" w14:textId="77777777" w:rsidR="007C7A43" w:rsidRPr="00280352" w:rsidRDefault="007C7A43" w:rsidP="007C7A43">
      <w:pPr>
        <w:pStyle w:val="ZDANIENASTNOWYWIERSZnpzddrugienowywierszwust"/>
      </w:pPr>
      <w:r w:rsidRPr="00280352">
        <w:t xml:space="preserve">Uwzględniając powyższe proponuje się wprowadzenie regulacji umożliwiających korzystanie wszystkim kobietom, w wieku od 18 do 25 lat z bezpłatnej antykoncepcji. </w:t>
      </w:r>
    </w:p>
    <w:p w14:paraId="34131840" w14:textId="77777777" w:rsidR="007C7A43" w:rsidRPr="00280352" w:rsidRDefault="007C7A43" w:rsidP="007C7A43">
      <w:pPr>
        <w:pStyle w:val="ZDANIENASTNOWYWIERSZnpzddrugienowywierszwust"/>
      </w:pPr>
      <w:r w:rsidRPr="00280352">
        <w:t>Wnioskodawcy stoją na stanowisku, że tak ukształtowany zakres podmiotowy nowego uprawnienia spełnia konstytucyjne wymogi zasady równości wobec prawa. Kobiety w wieku od 18 do 25 lat należą do grupy szczególnie zagrożonej ograniczeniem dostępu do środków antykoncepcyjnych, co wiąże się z ich statusem ekonomicznym, ponieważ wiele młodych kobiet w tym wieku uczy się w trybie stacjonarnym, nie jest niezależnych finansowo i może nie być w stanie samodzielnie sfinansować antykoncepcji. Kobiety w tym wieku często nie posiadają zasobów pieniężnych na właściwe zabezpieczenia antykoncepcyjne. Wysokie koszty antykoncepcji, jak również ograniczona liczba dostępnych w ramach ubezpieczenia zdrowotnego środków, powoduje szczególnie w tej grupie zagrożenia dla zdrowia. Brak właściwego zabezpieczenia antykoncepcyjnego jest skutkiem niechcianych ciąż, co zwiększa ryzyka liczbę nielegalnych aborcji. Niezbędne jest więc zagwarantowanie tej grupie wiekowej szczególnych warunków dostępu do niezbędnej opieki zdrowotnej w zakresie zdrowia reprodukcyjnego, niezależnie od ich statusu ekonomicznego.</w:t>
      </w:r>
    </w:p>
    <w:p w14:paraId="5B96238B" w14:textId="101AE01A" w:rsidR="007C7A43" w:rsidRPr="00280352" w:rsidRDefault="007C7A43" w:rsidP="007C7A43">
      <w:pPr>
        <w:pStyle w:val="USTustnpkodeksu"/>
        <w:ind w:firstLine="0"/>
      </w:pPr>
      <w:r w:rsidRPr="00280352">
        <w:t>Jak wynika z przywołanych już publikacji - Atlasu europejskiej polityki antykoncepcyjnej refundację środków antykoncepcyjnych przewidziano najczęściej dla grupy osób młodych (najczęściej do 25</w:t>
      </w:r>
      <w:r w:rsidR="00E912C4">
        <w:t>.</w:t>
      </w:r>
      <w:r w:rsidRPr="00280352">
        <w:t xml:space="preserve"> roku życia) , wprowadzono ją w Europie m.in. w Belgii, Estonii, Finlandii, Francji, Niemczech, Islandii, Irlandii, Litwie, Luksemburgu, Mołdawii, Holandii, Norwegii, Portugalii, Słowenii, Szwecji i Wielkiej Brytanii. W każdych z tych państw środki antykoncepcyjne są refundowane ze środków publicznych dla wybranych grup osób lub dla każdego ubezpieczonego, przykładowo we Francji system bezpłatnej antykoncepcji przewidziany jest dla kobiet przed ukończeniem 26. roku życia, w Finlandii przed ukończeniem 25. roku życia. </w:t>
      </w:r>
    </w:p>
    <w:p w14:paraId="29DE7299" w14:textId="77777777" w:rsidR="007C7A43" w:rsidRPr="00280352" w:rsidRDefault="007C7A43" w:rsidP="007C7A43">
      <w:pPr>
        <w:pStyle w:val="USTustnpkodeksu"/>
      </w:pPr>
    </w:p>
    <w:p w14:paraId="55DF2F06" w14:textId="4B91752F" w:rsidR="007C7A43" w:rsidRPr="00280352" w:rsidRDefault="007C7A43" w:rsidP="007C7A43">
      <w:pPr>
        <w:pStyle w:val="ZDANIENASTNOWYWIERSZnpzddrugienowywierszwust"/>
      </w:pPr>
      <w:r w:rsidRPr="00280352">
        <w:t>W art. 1 nowelizującym ustawę z dnia 27 sierpnia 2004 r. o świadczeniach opieki zdrowotnej finansowanych ze środków publicznych, poprzez dodanie nowego art. 43c, proponuje się wprowadzenie nowej kategorii świadczeniobiorców uprawnionych do bezpłatnych leków oraz innych niż leki środków wystawianych na receptę stosowanych w antykoncepcji – kobiet od ukończenia 18. roku życia do ukończenia 25. roku życia. Katalog tych leków i środków ustalany będzie w wykazie wydawanym przez ministra właściwego do spraw zdrowie na podstawie art. 37 ust. 1 ustawy z dnia 12 maja 2011 r. o refundacji leków, środków spożywczych specjalnego przeznaczenia żywieniowego oraz wyrobów medycznych. Ustęp 4 dodawanego artykułu zobowiązuje ministra do tego, aby w wykazie wskazywał szeroki katalog leków i wyrobów medycznych spośród objętych refundacją. Rozszerzenie stosowanych w antykoncepcji środków również na wkładki, plastry, iniekcje, zapewni powszechną dostępność środków antykoncepcyjnych. Finansowanie tego zadania należeć będzie do Narodowego Funduszy Zdrowia i odbywać się będzie na takich samych zasadach jak finansowanie świadczeń dla pozostałych grup uprawnionych do bezpłatnych świadczeń dzieci, emerytów i kobiet w ciąży (art. 43a i art. 43b nowelizowanej ustawy).</w:t>
      </w:r>
    </w:p>
    <w:p w14:paraId="6E1BD20B" w14:textId="677BC353" w:rsidR="007C7A43" w:rsidRPr="00280352" w:rsidRDefault="007C7A43" w:rsidP="007C7A43">
      <w:pPr>
        <w:ind w:left="0" w:hanging="2"/>
      </w:pPr>
      <w:r w:rsidRPr="00280352">
        <w:t>W projekcie proponuje się określenie uprawnienia strony podmiotowej przewidzianego w art. 43c ust. 1 ustawy o świadczeniach w ten sposób, że uprawnioną do wystawiania recept na darmowe leki, lub wyroby będzie osoba posiadająca uprawnienie do preskrypcji wynikające wprost z wykonywania przez nią zawodu medycznego i jeżeli prawo to zapisano w przepisach regulujących zasady wykonywania danego zawodu medycznego. Innymi słowy proponuje się odniesienie się w przepisie do kategorii "osoby uprawnionej" w rozumieniu art. 2 pkt 14 ustawy o refundacji leków, środków spożywczych specjalnego przeznaczenia żywieniowego oraz wyrobów medycznych, co jest uzasadnione również tym, że leki i wyroby medyczne, których dotyczy przedmiotowy projekt, są to leki objęte refundacją systemową.</w:t>
      </w:r>
    </w:p>
    <w:p w14:paraId="3C55DA2C" w14:textId="77777777" w:rsidR="007C7A43" w:rsidRPr="00280352" w:rsidRDefault="007C7A43" w:rsidP="007C7A43">
      <w:pPr>
        <w:ind w:left="0" w:hanging="2"/>
      </w:pPr>
      <w:r w:rsidRPr="00280352">
        <w:t>Jednocześnie jako osobę uprawnioną proponuje się wskazać osobę posiadającą prawo wystawiania recept, która jednak przy zachowaniu prawa wykonywania zawodu medycznego zaprzestała jego praktykowania.</w:t>
      </w:r>
    </w:p>
    <w:p w14:paraId="449F8C4C" w14:textId="77777777" w:rsidR="007C7A43" w:rsidRPr="00280352" w:rsidRDefault="007C7A43" w:rsidP="007C7A43">
      <w:pPr>
        <w:pStyle w:val="USTustnpkodeksu"/>
      </w:pPr>
    </w:p>
    <w:p w14:paraId="37D60FEF" w14:textId="2CDD86F6" w:rsidR="007C7A43" w:rsidRPr="00280352" w:rsidRDefault="007C7A43" w:rsidP="007C7A43">
      <w:pPr>
        <w:pStyle w:val="ZDANIENASTNOWYWIERSZnpzddrugienowywierszwust"/>
      </w:pPr>
      <w:r w:rsidRPr="00280352">
        <w:t xml:space="preserve">W art. 2 nowelizującym ustawę z dnia 12 maja 2011 r. o refundacji leków, środków spożywczych specjalnego przeznaczenia żywieniowego oraz wyrobów medycznych wprowadza się zmiany będące konsekwencją zmian w ustawie o świadczeniach opieki zdrowotnej finansowanych ze środków publicznych. W ust. 2ba dodawanym w art. 37 </w:t>
      </w:r>
      <w:r w:rsidRPr="00280352">
        <w:lastRenderedPageBreak/>
        <w:t>zobowiązuje się ministra zdrowia do wyodrębniania w wykazie, który wydaje na podstawie ust. 1 leków oraz inne niż leki środków stosowane w antykoncepcji przysługujących bezpłatnie kobietom do ukończenia 25. roku życia. Pozostałe zmiany w ustawie o refundacji związane są z koniecznością właściwego oznaczania recept wydawanych uprawnionym świadczeniobiorcom i rozliczania w systemie finansowania świadczeń opieki zdrowotn</w:t>
      </w:r>
      <w:r w:rsidR="00B15363">
        <w:t xml:space="preserve">ej </w:t>
      </w:r>
      <w:r w:rsidRPr="00280352">
        <w:t xml:space="preserve">finansowanych ze środków publicznych. </w:t>
      </w:r>
    </w:p>
    <w:p w14:paraId="2A2E12E0" w14:textId="77777777" w:rsidR="007C7A43" w:rsidRPr="00280352" w:rsidRDefault="007C7A43" w:rsidP="007C7A43">
      <w:pPr>
        <w:pStyle w:val="ZDANIENASTNOWYWIERSZnpzddrugienowywierszwust"/>
      </w:pPr>
    </w:p>
    <w:p w14:paraId="4496E70D" w14:textId="77777777" w:rsidR="007C7A43" w:rsidRPr="00280352" w:rsidRDefault="007C7A43" w:rsidP="007C7A43">
      <w:pPr>
        <w:pStyle w:val="ZDANIENASTNOWYWIERSZnpzddrugienowywierszwust"/>
      </w:pPr>
    </w:p>
    <w:p w14:paraId="6C2AC918" w14:textId="77777777" w:rsidR="007C7A43" w:rsidRPr="00280352" w:rsidRDefault="007C7A43" w:rsidP="007C7A43">
      <w:pPr>
        <w:pStyle w:val="ZDANIENASTNOWYWIERSZnpzddrugienowywierszwust"/>
      </w:pPr>
      <w:r w:rsidRPr="00280352">
        <w:t>Projekt jest zgodny z prawem Unii Europejskiej:</w:t>
      </w:r>
    </w:p>
    <w:p w14:paraId="407182B9" w14:textId="77777777" w:rsidR="007C7A43" w:rsidRPr="00280352" w:rsidRDefault="007C7A43" w:rsidP="007C7A43">
      <w:pPr>
        <w:ind w:left="0" w:hanging="2"/>
      </w:pPr>
    </w:p>
    <w:p w14:paraId="5DB0C75A" w14:textId="77777777" w:rsidR="007C7A43" w:rsidRPr="00280352" w:rsidRDefault="007C7A43" w:rsidP="007C7A43">
      <w:pPr>
        <w:ind w:left="0" w:hanging="2"/>
      </w:pPr>
    </w:p>
    <w:p w14:paraId="61DCA0DC" w14:textId="77777777" w:rsidR="007C7A43" w:rsidRPr="00280352" w:rsidRDefault="007C7A43" w:rsidP="007C7A43">
      <w:pPr>
        <w:ind w:left="0" w:hanging="2"/>
      </w:pPr>
    </w:p>
    <w:p w14:paraId="7D94B26F" w14:textId="77777777" w:rsidR="00F740E1" w:rsidRDefault="00F740E1">
      <w:pPr>
        <w:ind w:left="0" w:hanging="2"/>
      </w:pPr>
    </w:p>
    <w:sectPr w:rsidR="00F740E1" w:rsidSect="007C7A43">
      <w:headerReference w:type="default" r:id="rId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E86A" w14:textId="77777777" w:rsidR="008472B9" w:rsidRDefault="008472B9" w:rsidP="007C7A43">
      <w:pPr>
        <w:spacing w:line="240" w:lineRule="auto"/>
        <w:ind w:left="0" w:hanging="2"/>
      </w:pPr>
      <w:r>
        <w:separator/>
      </w:r>
    </w:p>
  </w:endnote>
  <w:endnote w:type="continuationSeparator" w:id="0">
    <w:p w14:paraId="035DCDAB" w14:textId="77777777" w:rsidR="008472B9" w:rsidRDefault="008472B9" w:rsidP="007C7A4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85A7" w14:textId="77777777" w:rsidR="008472B9" w:rsidRDefault="008472B9" w:rsidP="007C7A43">
      <w:pPr>
        <w:spacing w:line="240" w:lineRule="auto"/>
        <w:ind w:left="0" w:hanging="2"/>
      </w:pPr>
      <w:r>
        <w:separator/>
      </w:r>
    </w:p>
  </w:footnote>
  <w:footnote w:type="continuationSeparator" w:id="0">
    <w:p w14:paraId="5736D689" w14:textId="77777777" w:rsidR="008472B9" w:rsidRDefault="008472B9" w:rsidP="007C7A43">
      <w:pPr>
        <w:spacing w:line="240" w:lineRule="auto"/>
        <w:ind w:left="0" w:hanging="2"/>
      </w:pPr>
      <w:r>
        <w:continuationSeparator/>
      </w:r>
    </w:p>
  </w:footnote>
  <w:footnote w:id="1">
    <w:p w14:paraId="6813F79A" w14:textId="77777777" w:rsidR="007C7A43" w:rsidRPr="002D6DD8" w:rsidRDefault="007C7A43" w:rsidP="007C7A43">
      <w:pPr>
        <w:pStyle w:val="ODNONIKtreodnonika"/>
      </w:pPr>
      <w:r>
        <w:rPr>
          <w:rStyle w:val="Odwoanieprzypisudolnego"/>
        </w:rPr>
        <w:footnoteRef/>
      </w:r>
      <w:r>
        <w:rPr>
          <w:rStyle w:val="IGindeksgrny"/>
        </w:rPr>
        <w:t>)</w:t>
      </w:r>
      <w:r>
        <w:tab/>
      </w:r>
      <w:r w:rsidRPr="002D6DD8">
        <w:t>Zmiany tekstu jednolitego wymienionej ustawy zostały ogłoszone w</w:t>
      </w:r>
      <w:r>
        <w:t xml:space="preserve"> </w:t>
      </w:r>
      <w:r w:rsidRPr="002D6DD8">
        <w:t>Dz. U. z 2024 r. poz. 858, 1222, 1593, 1615</w:t>
      </w:r>
      <w:r>
        <w:t xml:space="preserve"> i</w:t>
      </w:r>
      <w:r w:rsidRPr="002D6DD8">
        <w:t xml:space="preserve"> 1915</w:t>
      </w:r>
      <w:r>
        <w:t xml:space="preserve"> oraz</w:t>
      </w:r>
      <w:r w:rsidRPr="002D6DD8">
        <w:t xml:space="preserve"> z 2025 r. poz. 129, 304, 620, 637, 779, 1083, 1192</w:t>
      </w:r>
      <w:r>
        <w:t xml:space="preserve"> i</w:t>
      </w:r>
      <w:r w:rsidRPr="002D6DD8">
        <w:t xml:space="preserve"> 1211</w:t>
      </w:r>
      <w:r>
        <w:t>).</w:t>
      </w:r>
    </w:p>
  </w:footnote>
  <w:footnote w:id="2">
    <w:p w14:paraId="610ECD6C" w14:textId="77777777" w:rsidR="007C7A43" w:rsidRDefault="007C7A43" w:rsidP="007C7A43">
      <w:pPr>
        <w:pBdr>
          <w:top w:val="nil"/>
          <w:left w:val="nil"/>
          <w:bottom w:val="nil"/>
          <w:right w:val="nil"/>
          <w:between w:val="nil"/>
        </w:pBdr>
        <w:ind w:left="0" w:hanging="2"/>
        <w:rPr>
          <w:color w:val="000000"/>
          <w:szCs w:val="24"/>
        </w:rPr>
      </w:pPr>
      <w:r>
        <w:rPr>
          <w:vertAlign w:val="superscript"/>
        </w:rPr>
        <w:footnoteRef/>
      </w:r>
      <w:r>
        <w:rPr>
          <w:color w:val="000000"/>
          <w:szCs w:val="24"/>
        </w:rPr>
        <w:t xml:space="preserve"> </w:t>
      </w:r>
      <w:r w:rsidRPr="007F1049">
        <w:t>https://www.epfweb.org/sites/default/files/2025</w:t>
      </w:r>
      <w:r>
        <w:t>-</w:t>
      </w:r>
      <w:r w:rsidRPr="007F1049">
        <w:t>02/CCInfoEU_A3_EN_2025_FEB14%20BIS_0.pdf</w:t>
      </w:r>
      <w:r w:rsidRPr="007F1049" w:rsidDel="007F1049">
        <w:t xml:space="preserve"> </w:t>
      </w:r>
      <w:r>
        <w:rPr>
          <w:szCs w:val="24"/>
        </w:rPr>
        <w:t>[dostęp z dnia 23.0</w:t>
      </w:r>
      <w:r>
        <w:t>9</w:t>
      </w:r>
      <w:r>
        <w:rPr>
          <w:szCs w:val="24"/>
        </w:rPr>
        <w:t>.202</w:t>
      </w:r>
      <w:r>
        <w:t>5</w:t>
      </w:r>
      <w:r>
        <w:rPr>
          <w:szCs w:val="24"/>
        </w:rPr>
        <w:t xml:space="preserve"> r.]</w:t>
      </w:r>
    </w:p>
    <w:p w14:paraId="0FEB9974" w14:textId="77777777" w:rsidR="007C7A43" w:rsidRDefault="007C7A43" w:rsidP="007C7A43">
      <w:pPr>
        <w:pBdr>
          <w:top w:val="nil"/>
          <w:left w:val="nil"/>
          <w:bottom w:val="nil"/>
          <w:right w:val="nil"/>
          <w:between w:val="nil"/>
        </w:pBdr>
        <w:ind w:left="0" w:hanging="2"/>
        <w:rPr>
          <w:color w:val="000000"/>
          <w:szCs w:val="24"/>
        </w:rPr>
      </w:pPr>
    </w:p>
  </w:footnote>
  <w:footnote w:id="3">
    <w:p w14:paraId="5C6ABC39" w14:textId="77777777" w:rsidR="007C7A43" w:rsidRDefault="007C7A43" w:rsidP="007C7A43">
      <w:pPr>
        <w:pBdr>
          <w:top w:val="nil"/>
          <w:left w:val="nil"/>
          <w:bottom w:val="nil"/>
          <w:right w:val="nil"/>
          <w:between w:val="nil"/>
        </w:pBdr>
        <w:ind w:left="0" w:hanging="2"/>
        <w:rPr>
          <w:rFonts w:ascii="Times" w:eastAsia="Times" w:hAnsi="Times" w:cs="Times"/>
          <w:color w:val="000000"/>
          <w:szCs w:val="24"/>
        </w:rPr>
      </w:pPr>
      <w:r>
        <w:rPr>
          <w:vertAlign w:val="superscript"/>
        </w:rPr>
        <w:footnoteRef/>
      </w:r>
      <w:r>
        <w:rPr>
          <w:rFonts w:ascii="Times" w:eastAsia="Times" w:hAnsi="Times" w:cs="Times"/>
          <w:color w:val="000000"/>
          <w:szCs w:val="24"/>
        </w:rPr>
        <w:t xml:space="preserve"> </w:t>
      </w:r>
      <w:hyperlink r:id="rId1">
        <w:r>
          <w:rPr>
            <w:rFonts w:ascii="Times" w:eastAsia="Times" w:hAnsi="Times" w:cs="Times"/>
            <w:color w:val="1155CC"/>
            <w:szCs w:val="24"/>
            <w:u w:val="single"/>
          </w:rPr>
          <w:t>https://publicum.umed.lodz.pl/info.seam?id=AMLe55f585fd91f4829897a083f187f798f</w:t>
        </w:r>
      </w:hyperlink>
      <w:r>
        <w:rPr>
          <w:szCs w:val="24"/>
        </w:rPr>
        <w:t xml:space="preserve"> [dostęp z dnia 23.02.2024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C2AF" w14:textId="77777777" w:rsidR="007C7A43" w:rsidRPr="00B371CC" w:rsidRDefault="007C7A43" w:rsidP="00B371CC">
    <w:pPr>
      <w:pStyle w:val="Nagwek"/>
      <w:ind w:left="0" w:hanging="2"/>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43"/>
    <w:rsid w:val="001301AD"/>
    <w:rsid w:val="001B7544"/>
    <w:rsid w:val="001E77EB"/>
    <w:rsid w:val="003B2390"/>
    <w:rsid w:val="005F77E8"/>
    <w:rsid w:val="007C7A43"/>
    <w:rsid w:val="008472B9"/>
    <w:rsid w:val="00A8789D"/>
    <w:rsid w:val="00AA1AFD"/>
    <w:rsid w:val="00B15363"/>
    <w:rsid w:val="00C67E32"/>
    <w:rsid w:val="00C82554"/>
    <w:rsid w:val="00CE7AEB"/>
    <w:rsid w:val="00E912C4"/>
    <w:rsid w:val="00F16121"/>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D304"/>
  <w15:chartTrackingRefBased/>
  <w15:docId w15:val="{C121F427-5A66-4A1B-934A-848994DE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7A43"/>
    <w:pPr>
      <w:widowControl w:val="0"/>
      <w:suppressAutoHyphens/>
      <w:autoSpaceDE w:val="0"/>
      <w:autoSpaceDN w:val="0"/>
      <w:adjustRightInd w:val="0"/>
      <w:spacing w:after="0" w:line="360" w:lineRule="auto"/>
      <w:ind w:leftChars="-1" w:left="-1" w:hangingChars="1" w:hanging="1"/>
      <w:textDirection w:val="btLr"/>
      <w:textAlignment w:val="top"/>
      <w:outlineLvl w:val="0"/>
    </w:pPr>
    <w:rPr>
      <w:rFonts w:ascii="Times New Roman" w:eastAsia="Times New Roman" w:hAnsi="Times New Roman" w:cs="Times New Roman"/>
      <w:kern w:val="0"/>
      <w:position w:val="-1"/>
      <w:sz w:val="24"/>
      <w:szCs w:val="20"/>
      <w:lang w:eastAsia="pl-PL"/>
    </w:rPr>
  </w:style>
  <w:style w:type="paragraph" w:styleId="Nagwek1">
    <w:name w:val="heading 1"/>
    <w:basedOn w:val="Normalny"/>
    <w:next w:val="Normalny"/>
    <w:link w:val="Nagwek1Znak"/>
    <w:uiPriority w:val="9"/>
    <w:qFormat/>
    <w:rsid w:val="007C7A43"/>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C7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C7A4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C7A4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C7A4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C7A4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C7A4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C7A4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C7A4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7A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C7A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C7A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C7A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C7A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C7A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C7A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C7A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C7A43"/>
    <w:rPr>
      <w:rFonts w:eastAsiaTheme="majorEastAsia" w:cstheme="majorBidi"/>
      <w:color w:val="272727" w:themeColor="text1" w:themeTint="D8"/>
    </w:rPr>
  </w:style>
  <w:style w:type="paragraph" w:styleId="Tytu">
    <w:name w:val="Title"/>
    <w:basedOn w:val="Normalny"/>
    <w:next w:val="Normalny"/>
    <w:link w:val="TytuZnak"/>
    <w:uiPriority w:val="10"/>
    <w:qFormat/>
    <w:rsid w:val="007C7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C7A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C7A43"/>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C7A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C7A43"/>
    <w:pPr>
      <w:spacing w:before="160"/>
      <w:jc w:val="center"/>
    </w:pPr>
    <w:rPr>
      <w:i/>
      <w:iCs/>
      <w:color w:val="404040" w:themeColor="text1" w:themeTint="BF"/>
    </w:rPr>
  </w:style>
  <w:style w:type="character" w:customStyle="1" w:styleId="CytatZnak">
    <w:name w:val="Cytat Znak"/>
    <w:basedOn w:val="Domylnaczcionkaakapitu"/>
    <w:link w:val="Cytat"/>
    <w:uiPriority w:val="29"/>
    <w:rsid w:val="007C7A43"/>
    <w:rPr>
      <w:i/>
      <w:iCs/>
      <w:color w:val="404040" w:themeColor="text1" w:themeTint="BF"/>
    </w:rPr>
  </w:style>
  <w:style w:type="paragraph" w:styleId="Akapitzlist">
    <w:name w:val="List Paragraph"/>
    <w:basedOn w:val="Normalny"/>
    <w:uiPriority w:val="34"/>
    <w:qFormat/>
    <w:rsid w:val="007C7A43"/>
    <w:pPr>
      <w:ind w:left="720"/>
      <w:contextualSpacing/>
    </w:pPr>
  </w:style>
  <w:style w:type="character" w:styleId="Wyrnienieintensywne">
    <w:name w:val="Intense Emphasis"/>
    <w:basedOn w:val="Domylnaczcionkaakapitu"/>
    <w:uiPriority w:val="21"/>
    <w:qFormat/>
    <w:rsid w:val="007C7A43"/>
    <w:rPr>
      <w:i/>
      <w:iCs/>
      <w:color w:val="0F4761" w:themeColor="accent1" w:themeShade="BF"/>
    </w:rPr>
  </w:style>
  <w:style w:type="paragraph" w:styleId="Cytatintensywny">
    <w:name w:val="Intense Quote"/>
    <w:basedOn w:val="Normalny"/>
    <w:next w:val="Normalny"/>
    <w:link w:val="CytatintensywnyZnak"/>
    <w:uiPriority w:val="30"/>
    <w:qFormat/>
    <w:rsid w:val="007C7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C7A43"/>
    <w:rPr>
      <w:i/>
      <w:iCs/>
      <w:color w:val="0F4761" w:themeColor="accent1" w:themeShade="BF"/>
    </w:rPr>
  </w:style>
  <w:style w:type="character" w:styleId="Odwoanieintensywne">
    <w:name w:val="Intense Reference"/>
    <w:basedOn w:val="Domylnaczcionkaakapitu"/>
    <w:uiPriority w:val="32"/>
    <w:qFormat/>
    <w:rsid w:val="007C7A43"/>
    <w:rPr>
      <w:b/>
      <w:bCs/>
      <w:smallCaps/>
      <w:color w:val="0F4761" w:themeColor="accent1" w:themeShade="BF"/>
      <w:spacing w:val="5"/>
    </w:rPr>
  </w:style>
  <w:style w:type="character" w:styleId="Odwoanieprzypisudolnego">
    <w:name w:val="footnote reference"/>
    <w:uiPriority w:val="99"/>
    <w:semiHidden/>
    <w:rsid w:val="007C7A43"/>
    <w:rPr>
      <w:rFonts w:cs="Times New Roman"/>
      <w:vertAlign w:val="superscript"/>
    </w:rPr>
  </w:style>
  <w:style w:type="paragraph" w:styleId="Nagwek">
    <w:name w:val="header"/>
    <w:basedOn w:val="Normalny"/>
    <w:link w:val="NagwekZnak"/>
    <w:uiPriority w:val="99"/>
    <w:semiHidden/>
    <w:rsid w:val="007C7A43"/>
    <w:pPr>
      <w:tabs>
        <w:tab w:val="center" w:pos="4536"/>
        <w:tab w:val="right" w:pos="9072"/>
      </w:tabs>
      <w:autoSpaceDE/>
      <w:autoSpaceDN/>
      <w:adjustRightInd/>
    </w:pPr>
    <w:rPr>
      <w:rFonts w:ascii="Times" w:hAnsi="Times"/>
      <w:kern w:val="1"/>
      <w:szCs w:val="24"/>
      <w:lang w:eastAsia="ar-SA"/>
    </w:rPr>
  </w:style>
  <w:style w:type="character" w:customStyle="1" w:styleId="NagwekZnak">
    <w:name w:val="Nagłówek Znak"/>
    <w:basedOn w:val="Domylnaczcionkaakapitu"/>
    <w:link w:val="Nagwek"/>
    <w:uiPriority w:val="99"/>
    <w:semiHidden/>
    <w:rsid w:val="007C7A43"/>
    <w:rPr>
      <w:rFonts w:ascii="Times" w:eastAsia="Times New Roman" w:hAnsi="Times" w:cs="Times New Roman"/>
      <w:kern w:val="1"/>
      <w:position w:val="-1"/>
      <w:sz w:val="24"/>
      <w:szCs w:val="24"/>
      <w:lang w:eastAsia="ar-SA"/>
    </w:rPr>
  </w:style>
  <w:style w:type="paragraph" w:customStyle="1" w:styleId="ARTartustawynprozporzdzenia">
    <w:name w:val="ART(§) – art. ustawy (§ np. rozporządzenia)"/>
    <w:uiPriority w:val="11"/>
    <w:qFormat/>
    <w:rsid w:val="007C7A43"/>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ZPKTzmpktartykuempunktem">
    <w:name w:val="Z/PKT – zm. pkt artykułem (punktem)"/>
    <w:basedOn w:val="PKTpunkt"/>
    <w:uiPriority w:val="31"/>
    <w:qFormat/>
    <w:rsid w:val="007C7A43"/>
    <w:pPr>
      <w:ind w:left="1020"/>
    </w:pPr>
  </w:style>
  <w:style w:type="paragraph" w:customStyle="1" w:styleId="DATAAKTUdatauchwalenialubwydaniaaktu">
    <w:name w:val="DATA_AKTU – data uchwalenia lub wydania aktu"/>
    <w:next w:val="TYTUAKTUprzedmiotregulacjiustawylubrozporzdzenia"/>
    <w:uiPriority w:val="6"/>
    <w:qFormat/>
    <w:rsid w:val="007C7A43"/>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7C7A43"/>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7C7A4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7C7A43"/>
    <w:pPr>
      <w:spacing w:before="0"/>
    </w:pPr>
    <w:rPr>
      <w:bCs/>
    </w:rPr>
  </w:style>
  <w:style w:type="paragraph" w:customStyle="1" w:styleId="PKTpunkt">
    <w:name w:val="PKT – punkt"/>
    <w:uiPriority w:val="13"/>
    <w:qFormat/>
    <w:rsid w:val="007C7A43"/>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7C7A43"/>
    <w:pPr>
      <w:ind w:left="986" w:hanging="476"/>
    </w:pPr>
  </w:style>
  <w:style w:type="paragraph" w:customStyle="1" w:styleId="ZLITLITzmlitliter">
    <w:name w:val="Z_LIT/LIT – zm. lit. literą"/>
    <w:basedOn w:val="LITlitera"/>
    <w:uiPriority w:val="48"/>
    <w:qFormat/>
    <w:rsid w:val="007C7A43"/>
    <w:pPr>
      <w:ind w:left="1463"/>
    </w:pPr>
  </w:style>
  <w:style w:type="paragraph" w:customStyle="1" w:styleId="ODNONIKtreodnonika">
    <w:name w:val="ODNOŚNIK – treść odnośnika"/>
    <w:uiPriority w:val="19"/>
    <w:qFormat/>
    <w:rsid w:val="007C7A43"/>
    <w:pPr>
      <w:spacing w:after="0" w:line="240" w:lineRule="auto"/>
      <w:ind w:left="284" w:hanging="284"/>
      <w:jc w:val="both"/>
    </w:pPr>
    <w:rPr>
      <w:rFonts w:ascii="Times New Roman" w:eastAsiaTheme="minorEastAsia" w:hAnsi="Times New Roman" w:cs="Arial"/>
      <w:kern w:val="0"/>
      <w:sz w:val="20"/>
      <w:szCs w:val="20"/>
      <w:lang w:eastAsia="pl-PL"/>
    </w:rPr>
  </w:style>
  <w:style w:type="paragraph" w:customStyle="1" w:styleId="ZUSTzmustartykuempunktem">
    <w:name w:val="Z/UST(§) – zm. ust. (§) artykułem (punktem)"/>
    <w:basedOn w:val="Normalny"/>
    <w:uiPriority w:val="30"/>
    <w:qFormat/>
    <w:rsid w:val="007C7A43"/>
    <w:pPr>
      <w:widowControl/>
      <w:ind w:leftChars="0" w:left="510" w:firstLineChars="0" w:firstLine="510"/>
      <w:jc w:val="both"/>
      <w:textDirection w:val="lrTb"/>
      <w:textAlignment w:val="auto"/>
      <w:outlineLvl w:val="9"/>
    </w:pPr>
    <w:rPr>
      <w:rFonts w:ascii="Times" w:eastAsiaTheme="minorEastAsia" w:hAnsi="Times" w:cs="Arial"/>
      <w:position w:val="0"/>
    </w:rPr>
  </w:style>
  <w:style w:type="paragraph" w:customStyle="1" w:styleId="OZNPROJEKTUwskazaniedatylubwersjiprojektu">
    <w:name w:val="OZN_PROJEKTU – wskazanie daty lub wersji projektu"/>
    <w:next w:val="OZNRODZAKTUtznustawalubrozporzdzenieiorganwydajcy"/>
    <w:uiPriority w:val="5"/>
    <w:qFormat/>
    <w:rsid w:val="007C7A43"/>
    <w:pPr>
      <w:spacing w:after="0" w:line="360" w:lineRule="auto"/>
      <w:jc w:val="right"/>
    </w:pPr>
    <w:rPr>
      <w:rFonts w:ascii="Times New Roman" w:eastAsiaTheme="minorEastAsia" w:hAnsi="Times New Roman" w:cs="Arial"/>
      <w:kern w:val="0"/>
      <w:sz w:val="24"/>
      <w:szCs w:val="20"/>
      <w:u w:val="single"/>
      <w:lang w:eastAsia="pl-PL"/>
    </w:rPr>
  </w:style>
  <w:style w:type="paragraph" w:customStyle="1" w:styleId="ZDANIENASTNOWYWIERSZnpzddrugienowywierszwust">
    <w:name w:val="ZDANIE_NAST_NOWY_WIERSZ – np. zd. drugie (nowy wiersz) w ust."/>
    <w:basedOn w:val="Normalny"/>
    <w:next w:val="USTustnpkodeksu"/>
    <w:uiPriority w:val="17"/>
    <w:qFormat/>
    <w:rsid w:val="007C7A43"/>
    <w:pPr>
      <w:widowControl/>
      <w:suppressAutoHyphens w:val="0"/>
      <w:autoSpaceDE/>
      <w:autoSpaceDN/>
      <w:adjustRightInd/>
      <w:ind w:leftChars="0" w:left="0" w:firstLineChars="0" w:firstLine="0"/>
      <w:jc w:val="both"/>
      <w:textDirection w:val="lrTb"/>
      <w:textAlignment w:val="auto"/>
      <w:outlineLvl w:val="9"/>
    </w:pPr>
    <w:rPr>
      <w:rFonts w:ascii="Times" w:eastAsiaTheme="minorEastAsia" w:hAnsi="Times" w:cs="Arial"/>
      <w:bCs/>
      <w:position w:val="0"/>
    </w:rPr>
  </w:style>
  <w:style w:type="character" w:customStyle="1" w:styleId="IGindeksgrny">
    <w:name w:val="_IG_ – indeks górny"/>
    <w:basedOn w:val="Domylnaczcionkaakapitu"/>
    <w:uiPriority w:val="2"/>
    <w:qFormat/>
    <w:rsid w:val="007C7A43"/>
    <w:rPr>
      <w:b w:val="0"/>
      <w:i w:val="0"/>
      <w:vanish w:val="0"/>
      <w:spacing w:val="0"/>
      <w:vertAlign w:val="superscript"/>
    </w:rPr>
  </w:style>
  <w:style w:type="character" w:customStyle="1" w:styleId="Ppogrubienie">
    <w:name w:val="_P_ – pogrubienie"/>
    <w:basedOn w:val="Domylnaczcionkaakapitu"/>
    <w:uiPriority w:val="1"/>
    <w:qFormat/>
    <w:rsid w:val="007C7A4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obsgm4deltqmfyc4njugqydgmbrg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ip.legalis.pl/document-view.seam?documentId=mfrxilrtg4ytkmjqg4ytcltqmfyc4njugm4tqnbxh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galis.pl/document-view.seam?documentId=mfrxilrtg4ytiobsgm4deltqmfyc4njtgm2tkobrg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sip.legalis.pl/document-view.seam?documentId=mfrxilrtg4ytkmjqg4ytcltqmfyc4njugm4tqnbxge" TargetMode="External"/><Relationship Id="rId4" Type="http://schemas.openxmlformats.org/officeDocument/2006/relationships/footnotes" Target="footnotes.xml"/><Relationship Id="rId9" Type="http://schemas.openxmlformats.org/officeDocument/2006/relationships/hyperlink" Target="https://sip.legalis.pl/document-view.seam?documentId=mfrxilrtg4ytgojsgqydoltqmfyc4njugqydgmbqg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ublicum.umed.lodz.pl/info.seam?id=AMLe55f585fd91f4829897a083f187f798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2392</Words>
  <Characters>14358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8</cp:revision>
  <cp:lastPrinted>2025-09-26T06:05:00Z</cp:lastPrinted>
  <dcterms:created xsi:type="dcterms:W3CDTF">2025-09-25T09:59:00Z</dcterms:created>
  <dcterms:modified xsi:type="dcterms:W3CDTF">2025-09-26T07:27:00Z</dcterms:modified>
</cp:coreProperties>
</file>