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7D3D" w14:textId="725D24EF" w:rsidR="006D707F" w:rsidRPr="006D707F" w:rsidRDefault="006D707F" w:rsidP="006D707F">
      <w:pPr>
        <w:pStyle w:val="OZNPROJEKTUwskazaniedatylubwersjiprojektu"/>
      </w:pPr>
      <w:r w:rsidRPr="006D707F">
        <w:t>Projekt</w:t>
      </w:r>
    </w:p>
    <w:p w14:paraId="675664F9" w14:textId="77777777" w:rsidR="006D707F" w:rsidRPr="006D707F" w:rsidRDefault="006D707F" w:rsidP="006D707F">
      <w:pPr>
        <w:pStyle w:val="OZNRODZAKTUtznustawalubrozporzdzenieiorganwydajcy"/>
      </w:pPr>
      <w:r w:rsidRPr="006D707F">
        <w:t>Ustawa</w:t>
      </w:r>
    </w:p>
    <w:p w14:paraId="786CA029" w14:textId="25AA6D89" w:rsidR="006D707F" w:rsidRPr="006D707F" w:rsidRDefault="006D707F" w:rsidP="006D707F">
      <w:pPr>
        <w:pStyle w:val="DATAAKTUdatauchwalenialubwydaniaaktu"/>
      </w:pPr>
      <w:r w:rsidRPr="006D707F">
        <w:t xml:space="preserve">z dnia </w:t>
      </w:r>
    </w:p>
    <w:p w14:paraId="7A4940D3" w14:textId="42CFB1F2" w:rsidR="006D707F" w:rsidRPr="006D707F" w:rsidRDefault="006D707F" w:rsidP="006D707F">
      <w:pPr>
        <w:pStyle w:val="TYTUAKTUprzedmiotregulacjiustawylubrozporzdzenia"/>
      </w:pPr>
      <w:r w:rsidRPr="006D707F">
        <w:t xml:space="preserve">o ustanowieniu </w:t>
      </w:r>
      <w:r>
        <w:t>„</w:t>
      </w:r>
      <w:r w:rsidRPr="006D707F">
        <w:t>Programu modernizacji Policji, Straży Granicznej, Państwowej Straży Pożarnej i Służby Ochrony Państwa w latach 2026–2029</w:t>
      </w:r>
      <w:r>
        <w:t>”</w:t>
      </w:r>
    </w:p>
    <w:p w14:paraId="6748C946" w14:textId="60E9F83C" w:rsidR="006D707F" w:rsidRPr="006D707F" w:rsidRDefault="006D707F" w:rsidP="006D707F">
      <w:pPr>
        <w:pStyle w:val="ARTartustawynprozporzdzenia"/>
      </w:pPr>
      <w:r w:rsidRPr="006D707F">
        <w:rPr>
          <w:rStyle w:val="Ppogrubienie"/>
        </w:rPr>
        <w:t>Art. 1.</w:t>
      </w:r>
      <w:r>
        <w:t> </w:t>
      </w:r>
      <w:r w:rsidRPr="006D707F">
        <w:t xml:space="preserve">1. Ustanawia się </w:t>
      </w:r>
      <w:r>
        <w:t>„</w:t>
      </w:r>
      <w:r w:rsidRPr="006D707F">
        <w:t>Program modernizacji Policji, Straży Granicznej, Państwowej Straży Pożarnej i Służby Ochrony Państwa w latach 2026–2029</w:t>
      </w:r>
      <w:r>
        <w:t>”</w:t>
      </w:r>
      <w:r w:rsidRPr="006D707F">
        <w:t xml:space="preserve">, zwany dalej </w:t>
      </w:r>
      <w:r>
        <w:t>„</w:t>
      </w:r>
      <w:r w:rsidRPr="006D707F">
        <w:t>Programem</w:t>
      </w:r>
      <w:r>
        <w:t>”</w:t>
      </w:r>
      <w:r w:rsidRPr="006D707F">
        <w:t>.</w:t>
      </w:r>
    </w:p>
    <w:p w14:paraId="6E5E6E8C" w14:textId="0C990894" w:rsidR="006D707F" w:rsidRPr="006D707F" w:rsidRDefault="006D707F" w:rsidP="006D707F">
      <w:pPr>
        <w:pStyle w:val="USTustnpkodeksu"/>
      </w:pPr>
      <w:r w:rsidRPr="006D707F">
        <w:t>2.</w:t>
      </w:r>
      <w:r>
        <w:t> </w:t>
      </w:r>
      <w:r w:rsidRPr="006D707F">
        <w:t xml:space="preserve">Wdrożenie Programu ma zapewnić dalszą modernizację Policji, Straży Granicznej, Państwowej Straży Pożarnej i Służby Ochrony Państwa, zwanych dalej </w:t>
      </w:r>
      <w:r>
        <w:t>„</w:t>
      </w:r>
      <w:r w:rsidRPr="006D707F">
        <w:t>formacjami</w:t>
      </w:r>
      <w:r>
        <w:t>”</w:t>
      </w:r>
      <w:r w:rsidRPr="006D707F">
        <w:t>, w celu stworzenia warunków sprzyjających realizacji ich ustawowych zadań przez unowocześnienie infrastruktury, sprzętu i wyposażenia, a także wzmocnienie etatowe funkcjonariuszy.</w:t>
      </w:r>
    </w:p>
    <w:p w14:paraId="37C3F52F" w14:textId="53FCF149" w:rsidR="006D707F" w:rsidRPr="006D707F" w:rsidRDefault="006D707F" w:rsidP="006D707F">
      <w:pPr>
        <w:pStyle w:val="USTustnpkodeksu"/>
      </w:pPr>
      <w:r w:rsidRPr="006D707F">
        <w:t>3.</w:t>
      </w:r>
      <w:r>
        <w:t> </w:t>
      </w:r>
      <w:r w:rsidRPr="006D707F">
        <w:t>Program nie jest programem wieloletnim w rozumieniu ustawy z dnia 27 sierpnia 2009 r. o finansach publicznych (Dz. U. z 2024 r. poz. 1530,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).</w:t>
      </w:r>
    </w:p>
    <w:p w14:paraId="73A1DD85" w14:textId="33D6543F" w:rsidR="006D707F" w:rsidRPr="006D707F" w:rsidRDefault="006D707F" w:rsidP="006D707F">
      <w:pPr>
        <w:pStyle w:val="USTustnpkodeksu"/>
      </w:pPr>
      <w:r w:rsidRPr="006D707F">
        <w:t>4.</w:t>
      </w:r>
      <w:r>
        <w:t> </w:t>
      </w:r>
      <w:r w:rsidRPr="006D707F">
        <w:t xml:space="preserve">Podmioty, które realizują Program, w celu sfinansowania w poszczególnych latach przedsięwzięć określonych w art. 2 pkt 1–4 mogą zaciągać zobowiązania do wysokości łącznej kwoty wydatków przewidzianych w Programie na dane przedsięwzięcie po uprzednim uzyskaniu zgody ministra właściwego do spraw wewnętrznych, zwanego dalej </w:t>
      </w:r>
      <w:r>
        <w:t>„</w:t>
      </w:r>
      <w:r w:rsidRPr="006D707F">
        <w:t>ministrem</w:t>
      </w:r>
      <w:r>
        <w:t>”</w:t>
      </w:r>
      <w:r w:rsidRPr="006D707F">
        <w:t>, lub właściwego wojewody – w odniesieniu do środków budżetu państwa, których są dysponentami.</w:t>
      </w:r>
    </w:p>
    <w:p w14:paraId="23BC222B" w14:textId="6C1BFDE8" w:rsidR="006D707F" w:rsidRPr="006D707F" w:rsidRDefault="006D707F" w:rsidP="006D707F">
      <w:pPr>
        <w:pStyle w:val="ARTartustawynprozporzdzenia"/>
        <w:keepNext/>
      </w:pPr>
      <w:r w:rsidRPr="006D707F">
        <w:rPr>
          <w:rStyle w:val="Ppogrubienie"/>
        </w:rPr>
        <w:t>Art. 2.</w:t>
      </w:r>
      <w:r>
        <w:t> </w:t>
      </w:r>
      <w:r w:rsidRPr="006D707F">
        <w:t>Zakres Programu obejmuje realizację następujących przedsięwzięć:</w:t>
      </w:r>
    </w:p>
    <w:p w14:paraId="03778000" w14:textId="5CC2545A" w:rsidR="006D707F" w:rsidRPr="006D707F" w:rsidRDefault="006D707F" w:rsidP="006D707F">
      <w:pPr>
        <w:pStyle w:val="PKTpunkt"/>
      </w:pPr>
      <w:r w:rsidRPr="006D707F">
        <w:t>1)</w:t>
      </w:r>
      <w:r>
        <w:tab/>
      </w:r>
      <w:r w:rsidRPr="006D707F">
        <w:t>inwestycje budowlane i remonty obiektów;</w:t>
      </w:r>
    </w:p>
    <w:p w14:paraId="1A763234" w14:textId="5921FC7F" w:rsidR="006D707F" w:rsidRPr="006D707F" w:rsidRDefault="006D707F" w:rsidP="006D707F">
      <w:pPr>
        <w:pStyle w:val="PKTpunkt"/>
        <w:keepNext/>
      </w:pPr>
      <w:r w:rsidRPr="006D707F">
        <w:t>2)</w:t>
      </w:r>
      <w:r>
        <w:tab/>
      </w:r>
      <w:r w:rsidRPr="006D707F">
        <w:t>zakupy wyposażenia formacji w zakresie sprzętu:</w:t>
      </w:r>
    </w:p>
    <w:p w14:paraId="4370C331" w14:textId="47DF41E1" w:rsidR="006D707F" w:rsidRPr="006D707F" w:rsidRDefault="006D707F" w:rsidP="006D707F">
      <w:pPr>
        <w:pStyle w:val="LITlitera"/>
      </w:pPr>
      <w:r w:rsidRPr="006D707F">
        <w:t>a)</w:t>
      </w:r>
      <w:r>
        <w:tab/>
      </w:r>
      <w:r w:rsidRPr="006D707F">
        <w:t>transportowego,</w:t>
      </w:r>
    </w:p>
    <w:p w14:paraId="57FD0185" w14:textId="26A3C0E0" w:rsidR="006D707F" w:rsidRPr="006D707F" w:rsidRDefault="006D707F" w:rsidP="006D707F">
      <w:pPr>
        <w:pStyle w:val="LITlitera"/>
      </w:pPr>
      <w:r w:rsidRPr="006D707F">
        <w:t>b)</w:t>
      </w:r>
      <w:r>
        <w:tab/>
      </w:r>
      <w:r w:rsidRPr="006D707F">
        <w:t>uzbrojenia i techniki specjalnej,</w:t>
      </w:r>
    </w:p>
    <w:p w14:paraId="2030398A" w14:textId="599E94BB" w:rsidR="006D707F" w:rsidRPr="006D707F" w:rsidRDefault="006D707F" w:rsidP="006D707F">
      <w:pPr>
        <w:pStyle w:val="LITlitera"/>
      </w:pPr>
      <w:r w:rsidRPr="006D707F">
        <w:t>c)</w:t>
      </w:r>
      <w:r>
        <w:tab/>
      </w:r>
      <w:r w:rsidRPr="006D707F">
        <w:t>informatyki i łączności;</w:t>
      </w:r>
    </w:p>
    <w:p w14:paraId="751C1E06" w14:textId="671D3203" w:rsidR="006D707F" w:rsidRPr="006D707F" w:rsidRDefault="006D707F" w:rsidP="006D707F">
      <w:pPr>
        <w:pStyle w:val="PKTpunkt"/>
      </w:pPr>
      <w:r w:rsidRPr="006D707F">
        <w:t>3)</w:t>
      </w:r>
      <w:r>
        <w:tab/>
      </w:r>
      <w:r w:rsidRPr="006D707F">
        <w:t>zakupy wyposażenia osobistego, specjalnego i ochronnego funkcjonariuszy;</w:t>
      </w:r>
    </w:p>
    <w:p w14:paraId="52B8C38A" w14:textId="3EF76286" w:rsidR="006D707F" w:rsidRPr="006D707F" w:rsidRDefault="006D707F" w:rsidP="006D707F">
      <w:pPr>
        <w:pStyle w:val="PKTpunkt"/>
      </w:pPr>
      <w:r w:rsidRPr="006D707F">
        <w:t>4)</w:t>
      </w:r>
      <w:r>
        <w:tab/>
      </w:r>
      <w:r w:rsidRPr="006D707F">
        <w:t>zakupy sprzętu i wyposażenia szkoleniowego i gospodarczo-kwaterunkowego;</w:t>
      </w:r>
    </w:p>
    <w:p w14:paraId="15326C9D" w14:textId="09D63571" w:rsidR="006D707F" w:rsidRPr="006D707F" w:rsidRDefault="006D707F" w:rsidP="006D707F">
      <w:pPr>
        <w:pStyle w:val="PKTpunkt"/>
      </w:pPr>
      <w:r w:rsidRPr="006D707F">
        <w:t>5)</w:t>
      </w:r>
      <w:r>
        <w:tab/>
      </w:r>
      <w:r w:rsidRPr="006D707F">
        <w:t>wzmocnienie formacji o dodatkowe etaty funkcjonariuszy.</w:t>
      </w:r>
    </w:p>
    <w:p w14:paraId="4A7D7097" w14:textId="452D391C" w:rsidR="006D707F" w:rsidRPr="006D707F" w:rsidRDefault="006D707F" w:rsidP="006D707F">
      <w:pPr>
        <w:pStyle w:val="ARTartustawynprozporzdzenia"/>
      </w:pPr>
      <w:r w:rsidRPr="006D707F">
        <w:rPr>
          <w:rStyle w:val="Ppogrubienie"/>
        </w:rPr>
        <w:lastRenderedPageBreak/>
        <w:t>Art. 3.</w:t>
      </w:r>
      <w:r>
        <w:t> </w:t>
      </w:r>
      <w:r w:rsidRPr="006D707F">
        <w:t>Program realizują Komendanci Główni: Policji, Straży Granicznej i Państwowej Straży Pożarnej, a także jednostki organizacyjne im podległe i przez nich nadzorowane lub kontrolowane oraz Komendant Służby Ochrony Państwa.</w:t>
      </w:r>
    </w:p>
    <w:p w14:paraId="49553B7A" w14:textId="33A5D5DD" w:rsidR="006D707F" w:rsidRPr="006D707F" w:rsidRDefault="006D707F" w:rsidP="006D707F">
      <w:pPr>
        <w:pStyle w:val="ARTartustawynprozporzdzenia"/>
        <w:keepNext/>
      </w:pPr>
      <w:r w:rsidRPr="006D707F">
        <w:rPr>
          <w:rStyle w:val="Ppogrubienie"/>
        </w:rPr>
        <w:t>Art. 4.</w:t>
      </w:r>
      <w:r>
        <w:t> </w:t>
      </w:r>
      <w:r w:rsidRPr="006D707F">
        <w:t>1. Ogólna kwota wydatków na realizację Programu wyniesie 13 000 000 tys. zł, z tego w:</w:t>
      </w:r>
    </w:p>
    <w:p w14:paraId="65D7A35D" w14:textId="34AAEB0E" w:rsidR="006D707F" w:rsidRPr="006D707F" w:rsidRDefault="006D707F" w:rsidP="006D707F">
      <w:pPr>
        <w:pStyle w:val="PKTpunkt"/>
      </w:pPr>
      <w:r w:rsidRPr="006D707F">
        <w:t>1)</w:t>
      </w:r>
      <w:r>
        <w:tab/>
      </w:r>
      <w:r w:rsidRPr="006D707F">
        <w:t>2026 r. – 1 500 000 tys. zł;</w:t>
      </w:r>
    </w:p>
    <w:p w14:paraId="1CA32425" w14:textId="06194453" w:rsidR="006D707F" w:rsidRPr="006D707F" w:rsidRDefault="006D707F" w:rsidP="006D707F">
      <w:pPr>
        <w:pStyle w:val="PKTpunkt"/>
      </w:pPr>
      <w:r w:rsidRPr="006D707F">
        <w:t>2)</w:t>
      </w:r>
      <w:r>
        <w:tab/>
      </w:r>
      <w:r w:rsidRPr="006D707F">
        <w:t>2027 r. – 3 000 000 tys. zł;</w:t>
      </w:r>
    </w:p>
    <w:p w14:paraId="39AE4E7F" w14:textId="5D1B3ACB" w:rsidR="006D707F" w:rsidRPr="006D707F" w:rsidRDefault="006D707F" w:rsidP="006D707F">
      <w:pPr>
        <w:pStyle w:val="PKTpunkt"/>
      </w:pPr>
      <w:r w:rsidRPr="006D707F">
        <w:t>3)</w:t>
      </w:r>
      <w:r>
        <w:tab/>
      </w:r>
      <w:r w:rsidRPr="006D707F">
        <w:t>2028 r. – 3 500 000 tys. zł;</w:t>
      </w:r>
    </w:p>
    <w:p w14:paraId="6F063AAC" w14:textId="6484B689" w:rsidR="006D707F" w:rsidRPr="006D707F" w:rsidRDefault="006D707F" w:rsidP="006D707F">
      <w:pPr>
        <w:pStyle w:val="PKTpunkt"/>
      </w:pPr>
      <w:r w:rsidRPr="006D707F">
        <w:t>4)</w:t>
      </w:r>
      <w:r>
        <w:tab/>
      </w:r>
      <w:r w:rsidRPr="006D707F">
        <w:t>2029 r. – 5 000 000 tys. zł.</w:t>
      </w:r>
    </w:p>
    <w:p w14:paraId="5D05BED6" w14:textId="1EB0AD84" w:rsidR="006D707F" w:rsidRPr="006D707F" w:rsidRDefault="006D707F" w:rsidP="006D707F">
      <w:pPr>
        <w:pStyle w:val="USTustnpkodeksu"/>
        <w:keepNext/>
      </w:pPr>
      <w:r w:rsidRPr="006D707F">
        <w:t>2.</w:t>
      </w:r>
      <w:r>
        <w:t> </w:t>
      </w:r>
      <w:r w:rsidRPr="006D707F">
        <w:t>Podział kwot, o których mowa w ust. 1, na formacje i przedsięwzięcia jest określony w:</w:t>
      </w:r>
    </w:p>
    <w:p w14:paraId="4076F660" w14:textId="630D1819" w:rsidR="006D707F" w:rsidRPr="006D707F" w:rsidRDefault="006D707F" w:rsidP="006D707F">
      <w:pPr>
        <w:pStyle w:val="PKTpunkt"/>
      </w:pPr>
      <w:r w:rsidRPr="006D707F">
        <w:t>1)</w:t>
      </w:r>
      <w:r>
        <w:tab/>
      </w:r>
      <w:r w:rsidRPr="006D707F">
        <w:t>załączniku nr 1 do ustawy – podział kwot przeznaczonych na realizację Programu między formacje ochrony bezpieczeństwa i porządku publicznego;</w:t>
      </w:r>
    </w:p>
    <w:p w14:paraId="2ED6AA86" w14:textId="40D8279C" w:rsidR="006D707F" w:rsidRPr="006D707F" w:rsidRDefault="006D707F" w:rsidP="006D707F">
      <w:pPr>
        <w:pStyle w:val="PKTpunkt"/>
      </w:pPr>
      <w:r w:rsidRPr="006D707F">
        <w:t>2)</w:t>
      </w:r>
      <w:r>
        <w:tab/>
      </w:r>
      <w:r w:rsidRPr="006D707F">
        <w:t>załączniku nr 2 do ustawy – podział kwot przeznaczonych na realizację Programu na poszczególne przedsięwzięcia;</w:t>
      </w:r>
    </w:p>
    <w:p w14:paraId="7C58B4DC" w14:textId="70AED584" w:rsidR="006D707F" w:rsidRPr="006D707F" w:rsidRDefault="006D707F" w:rsidP="006D707F">
      <w:pPr>
        <w:pStyle w:val="PKTpunkt"/>
      </w:pPr>
      <w:r w:rsidRPr="006D707F">
        <w:t>3)</w:t>
      </w:r>
      <w:r>
        <w:tab/>
      </w:r>
      <w:r w:rsidRPr="006D707F">
        <w:t>załączniku nr 3 do ustawy – szczegółowy podział kwot przeznaczonych na realizację Programu na poszczególne przedsięwzięcia w formacjach ochrony bezpieczeństwa i porządku publicznego.</w:t>
      </w:r>
    </w:p>
    <w:p w14:paraId="721F687C" w14:textId="49B64659" w:rsidR="006D707F" w:rsidRPr="006D707F" w:rsidRDefault="006D707F" w:rsidP="006D707F">
      <w:pPr>
        <w:pStyle w:val="ARTartustawynprozporzdzenia"/>
      </w:pPr>
      <w:r w:rsidRPr="006D707F">
        <w:rPr>
          <w:rStyle w:val="Ppogrubienie"/>
        </w:rPr>
        <w:t>Art. 5.</w:t>
      </w:r>
      <w:r>
        <w:t> </w:t>
      </w:r>
      <w:r w:rsidRPr="006D707F">
        <w:t>1. Nadzór nad realizacją Programu sprawuje minister.</w:t>
      </w:r>
    </w:p>
    <w:p w14:paraId="39F853F5" w14:textId="320F5F4E" w:rsidR="006D707F" w:rsidRPr="006D707F" w:rsidRDefault="006D707F" w:rsidP="006D707F">
      <w:pPr>
        <w:pStyle w:val="USTustnpkodeksu"/>
      </w:pPr>
      <w:r w:rsidRPr="006D707F">
        <w:t>2.</w:t>
      </w:r>
      <w:r>
        <w:t> </w:t>
      </w:r>
      <w:r w:rsidRPr="006D707F">
        <w:t>Minister dokonuje oceny realizacji przedsięwzięć oraz wielkości wydatkowanych środków przez poszczególne formacje.</w:t>
      </w:r>
    </w:p>
    <w:p w14:paraId="06B9C209" w14:textId="1C14CDDE" w:rsidR="006D707F" w:rsidRPr="006D707F" w:rsidRDefault="006D707F" w:rsidP="006D707F">
      <w:pPr>
        <w:pStyle w:val="USTustnpkodeksu"/>
      </w:pPr>
      <w:r w:rsidRPr="006D707F">
        <w:t>3.</w:t>
      </w:r>
      <w:r>
        <w:t> </w:t>
      </w:r>
      <w:r w:rsidRPr="006D707F">
        <w:t>W trakcie realizacji Programu mogą być dokonywane przez ministra, w ramach limitów wydatków w poszczególnych latach, zmiany podziału kwot określonych w załącznikach nr 1–3 do ustawy z uwzględnieniem przepisów art. 171 ustawy z dnia 27 sierpnia 2009 r. o finansach publicznych.</w:t>
      </w:r>
    </w:p>
    <w:p w14:paraId="1F55998E" w14:textId="1245CF95" w:rsidR="006D707F" w:rsidRPr="006D707F" w:rsidRDefault="006D707F" w:rsidP="006D707F">
      <w:pPr>
        <w:pStyle w:val="USTustnpkodeksu"/>
      </w:pPr>
      <w:r w:rsidRPr="006D707F">
        <w:t>4.</w:t>
      </w:r>
      <w:r>
        <w:t> </w:t>
      </w:r>
      <w:r w:rsidRPr="006D707F">
        <w:t>Minister niezwłocznie informuje ministra właściwego do spraw finansów publicznych o dokonaniu zmian, o których mowa w ust. 3.</w:t>
      </w:r>
    </w:p>
    <w:p w14:paraId="31F09E99" w14:textId="00AEF9C6" w:rsidR="006D707F" w:rsidRPr="006D707F" w:rsidRDefault="006D707F" w:rsidP="006D707F">
      <w:pPr>
        <w:pStyle w:val="USTustnpkodeksu"/>
      </w:pPr>
      <w:r w:rsidRPr="006D707F">
        <w:t>5.</w:t>
      </w:r>
      <w:r>
        <w:t> </w:t>
      </w:r>
      <w:r w:rsidRPr="006D707F">
        <w:t>Zmiany podziału kwot określonych w załącznikach nr 1–3 do ustawy w zakresie wydatków poszczególnych wojewodów wymagają również zgody ministra właściwego do spraw finansów publicznych.</w:t>
      </w:r>
    </w:p>
    <w:p w14:paraId="77012E64" w14:textId="414D3167" w:rsidR="006D707F" w:rsidRPr="006D707F" w:rsidRDefault="006D707F" w:rsidP="006D707F">
      <w:pPr>
        <w:pStyle w:val="USTustnpkodeksu"/>
      </w:pPr>
      <w:r w:rsidRPr="006D707F">
        <w:t>6.</w:t>
      </w:r>
      <w:r>
        <w:t> </w:t>
      </w:r>
      <w:r w:rsidRPr="006D707F">
        <w:t xml:space="preserve">Zmiany podziału kwot, o których mowa w ust. 3, nie mogą zwiększać wydatków na przedsięwzięcie </w:t>
      </w:r>
      <w:r>
        <w:t>„</w:t>
      </w:r>
      <w:r w:rsidRPr="006D707F">
        <w:t>Wzmocnienie formacji o dodatkowe etaty funkcjonariuszy</w:t>
      </w:r>
      <w:r>
        <w:t>”</w:t>
      </w:r>
      <w:r w:rsidRPr="006D707F">
        <w:t>.</w:t>
      </w:r>
    </w:p>
    <w:p w14:paraId="035DB83B" w14:textId="7A4C0484" w:rsidR="006D707F" w:rsidRPr="006D707F" w:rsidRDefault="006D707F" w:rsidP="006D707F">
      <w:pPr>
        <w:pStyle w:val="ARTartustawynprozporzdzenia"/>
      </w:pPr>
      <w:r w:rsidRPr="006D707F">
        <w:rPr>
          <w:rStyle w:val="Ppogrubienie"/>
        </w:rPr>
        <w:lastRenderedPageBreak/>
        <w:t>Art. 6.</w:t>
      </w:r>
      <w:r>
        <w:t> </w:t>
      </w:r>
      <w:r w:rsidRPr="006D707F">
        <w:t>Minister przedstawia Sejmowi Rzeczypospolitej Polskiej w terminie do dnia 30 kwietnia danego roku informację o realizacji Programu za rok poprzedni, a do dnia 31 maja 2030 r. – informację końcową o realizacji Programu.</w:t>
      </w:r>
    </w:p>
    <w:p w14:paraId="3D715353" w14:textId="191B99A7" w:rsidR="006D707F" w:rsidRPr="006D707F" w:rsidRDefault="006D707F" w:rsidP="006D707F">
      <w:pPr>
        <w:pStyle w:val="ARTartustawynprozporzdzenia"/>
        <w:keepNext/>
      </w:pPr>
      <w:r w:rsidRPr="006D707F">
        <w:rPr>
          <w:rStyle w:val="Ppogrubienie"/>
        </w:rPr>
        <w:t>Art. 7.</w:t>
      </w:r>
      <w:r>
        <w:t> </w:t>
      </w:r>
      <w:r w:rsidRPr="006D707F">
        <w:t>1. Maksymalny limit wydatków z budżetu państwa na realizację Programu, będący</w:t>
      </w:r>
      <w:r>
        <w:t>ch</w:t>
      </w:r>
      <w:r w:rsidRPr="006D707F">
        <w:t xml:space="preserve"> skutkiem finansowym ustawy, wynosi 16 684 000 tys. zł, z tego w:</w:t>
      </w:r>
    </w:p>
    <w:p w14:paraId="3F967137" w14:textId="49D77017" w:rsidR="006D707F" w:rsidRPr="006D707F" w:rsidRDefault="006D707F" w:rsidP="006D707F">
      <w:pPr>
        <w:pStyle w:val="PKTpunkt"/>
      </w:pPr>
      <w:r w:rsidRPr="006D707F">
        <w:t>1)</w:t>
      </w:r>
      <w:r>
        <w:tab/>
      </w:r>
      <w:r w:rsidRPr="006D707F">
        <w:t>2026 r. – 1 500 000 tys. zł;</w:t>
      </w:r>
    </w:p>
    <w:p w14:paraId="09823190" w14:textId="74B9E957" w:rsidR="006D707F" w:rsidRPr="006D707F" w:rsidRDefault="006D707F" w:rsidP="006D707F">
      <w:pPr>
        <w:pStyle w:val="PKTpunkt"/>
      </w:pPr>
      <w:r w:rsidRPr="006D707F">
        <w:t>2)</w:t>
      </w:r>
      <w:r>
        <w:tab/>
      </w:r>
      <w:r w:rsidRPr="006D707F">
        <w:t>2027 r. – 3 000 000 tys. zł;</w:t>
      </w:r>
    </w:p>
    <w:p w14:paraId="62B407F9" w14:textId="0CCF0593" w:rsidR="006D707F" w:rsidRPr="006D707F" w:rsidRDefault="006D707F" w:rsidP="006D707F">
      <w:pPr>
        <w:pStyle w:val="PKTpunkt"/>
      </w:pPr>
      <w:r w:rsidRPr="006D707F">
        <w:t>3)</w:t>
      </w:r>
      <w:r>
        <w:tab/>
      </w:r>
      <w:r w:rsidRPr="006D707F">
        <w:t>2028 r. – 3 500 000 tys. zł;</w:t>
      </w:r>
    </w:p>
    <w:p w14:paraId="2FA2D12C" w14:textId="418C86EA" w:rsidR="006D707F" w:rsidRPr="006D707F" w:rsidRDefault="006D707F" w:rsidP="006D707F">
      <w:pPr>
        <w:pStyle w:val="PKTpunkt"/>
      </w:pPr>
      <w:r w:rsidRPr="006D707F">
        <w:t>4)</w:t>
      </w:r>
      <w:r>
        <w:tab/>
      </w:r>
      <w:r w:rsidRPr="006D707F">
        <w:t>2029 r. – 5 000 000 tys. zł;</w:t>
      </w:r>
    </w:p>
    <w:p w14:paraId="143F462D" w14:textId="498BC362" w:rsidR="006D707F" w:rsidRPr="006D707F" w:rsidRDefault="006D707F" w:rsidP="006D707F">
      <w:pPr>
        <w:pStyle w:val="PKTpunkt"/>
      </w:pPr>
      <w:r w:rsidRPr="006D707F">
        <w:t>5)</w:t>
      </w:r>
      <w:r>
        <w:tab/>
      </w:r>
      <w:r w:rsidRPr="006D707F">
        <w:t>2030 r. – 578 000 tys. zł;</w:t>
      </w:r>
    </w:p>
    <w:p w14:paraId="5A73E0DF" w14:textId="73B7B146" w:rsidR="006D707F" w:rsidRPr="006D707F" w:rsidRDefault="006D707F" w:rsidP="006D707F">
      <w:pPr>
        <w:pStyle w:val="PKTpunkt"/>
      </w:pPr>
      <w:r w:rsidRPr="006D707F">
        <w:t>6)</w:t>
      </w:r>
      <w:r>
        <w:tab/>
      </w:r>
      <w:r w:rsidRPr="006D707F">
        <w:t>2031 r. – 592 000 tys. zł;</w:t>
      </w:r>
    </w:p>
    <w:p w14:paraId="2A86B184" w14:textId="75A14BED" w:rsidR="006D707F" w:rsidRPr="006D707F" w:rsidRDefault="006D707F" w:rsidP="006D707F">
      <w:pPr>
        <w:pStyle w:val="PKTpunkt"/>
      </w:pPr>
      <w:r w:rsidRPr="006D707F">
        <w:t>7)</w:t>
      </w:r>
      <w:r>
        <w:tab/>
      </w:r>
      <w:r w:rsidRPr="006D707F">
        <w:t>2032 r. – 606 000 tys. zł;</w:t>
      </w:r>
    </w:p>
    <w:p w14:paraId="0C54DB04" w14:textId="11D22F7D" w:rsidR="006D707F" w:rsidRPr="006D707F" w:rsidRDefault="006D707F" w:rsidP="006D707F">
      <w:pPr>
        <w:pStyle w:val="PKTpunkt"/>
      </w:pPr>
      <w:r w:rsidRPr="006D707F">
        <w:t>8)</w:t>
      </w:r>
      <w:r>
        <w:tab/>
      </w:r>
      <w:r w:rsidRPr="006D707F">
        <w:t>2033 r. – 621 000 tys. zł;</w:t>
      </w:r>
    </w:p>
    <w:p w14:paraId="2E62D590" w14:textId="5B5456E3" w:rsidR="006D707F" w:rsidRPr="006D707F" w:rsidRDefault="006D707F" w:rsidP="006D707F">
      <w:pPr>
        <w:pStyle w:val="PKTpunkt"/>
      </w:pPr>
      <w:r w:rsidRPr="006D707F">
        <w:t>9)</w:t>
      </w:r>
      <w:r>
        <w:tab/>
      </w:r>
      <w:r w:rsidRPr="006D707F">
        <w:t>2034 r. – 636 000 tys. zł;</w:t>
      </w:r>
    </w:p>
    <w:p w14:paraId="20A7B621" w14:textId="13610728" w:rsidR="006D707F" w:rsidRPr="006D707F" w:rsidRDefault="006D707F" w:rsidP="006D707F">
      <w:pPr>
        <w:pStyle w:val="PKTpunkt"/>
      </w:pPr>
      <w:r w:rsidRPr="006D707F">
        <w:t>10)</w:t>
      </w:r>
      <w:r>
        <w:tab/>
      </w:r>
      <w:r w:rsidRPr="006D707F">
        <w:t>2035 r. – 651 000 tys. zł.</w:t>
      </w:r>
    </w:p>
    <w:p w14:paraId="5D02C808" w14:textId="4B4F53DF" w:rsidR="006D707F" w:rsidRPr="006D707F" w:rsidRDefault="006D707F" w:rsidP="006D707F">
      <w:pPr>
        <w:pStyle w:val="USTustnpkodeksu"/>
      </w:pPr>
      <w:r w:rsidRPr="006D707F">
        <w:t>2.</w:t>
      </w:r>
      <w:r>
        <w:t> </w:t>
      </w:r>
      <w:r w:rsidRPr="006D707F">
        <w:t>Minister monitoruje wykorzystanie limitu wydatków, o którym mowa w ust. 1, i dokonuje oceny wykorzystania tego limitu według stanu na koniec każdego półrocza i na koniec każdego roku kalendarzowego oraz w razie konieczności wdraża mechanizm korygujący określony w ust. 3.</w:t>
      </w:r>
    </w:p>
    <w:p w14:paraId="4EC0D603" w14:textId="764D4B41" w:rsidR="006D707F" w:rsidRPr="006D707F" w:rsidRDefault="006D707F" w:rsidP="006D707F">
      <w:pPr>
        <w:pStyle w:val="USTustnpkodeksu"/>
      </w:pPr>
      <w:r w:rsidRPr="006D707F">
        <w:t>3.</w:t>
      </w:r>
      <w:r>
        <w:t> </w:t>
      </w:r>
      <w:r w:rsidRPr="006D707F">
        <w:t>W przypadku zagrożenia przekroczeniem lub przekroczenia w danym roku budżetowym limitu wydatków, o którym mowa w ust. 1, minister wprowadza mechanizm korygujący polegający na zmniejszeniu wydatków budżetu państwa będących skutkiem finansowym ustawy.</w:t>
      </w:r>
    </w:p>
    <w:p w14:paraId="06711910" w14:textId="06FDD511" w:rsidR="00261A16" w:rsidRPr="00737F6A" w:rsidRDefault="006D707F" w:rsidP="006D707F">
      <w:pPr>
        <w:pStyle w:val="ARTartustawynprozporzdzenia"/>
      </w:pPr>
      <w:r w:rsidRPr="006D707F">
        <w:rPr>
          <w:rStyle w:val="Ppogrubienie"/>
        </w:rPr>
        <w:t>Art. 8.</w:t>
      </w:r>
      <w:r>
        <w:t> </w:t>
      </w:r>
      <w:r w:rsidRPr="006D707F">
        <w:t>Ustawa wchodzi w życie z dniem 1 stycznia 2026 r.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F446" w14:textId="77777777" w:rsidR="00EB01A0" w:rsidRDefault="00EB01A0">
      <w:r>
        <w:separator/>
      </w:r>
    </w:p>
  </w:endnote>
  <w:endnote w:type="continuationSeparator" w:id="0">
    <w:p w14:paraId="6B315476" w14:textId="77777777" w:rsidR="00EB01A0" w:rsidRDefault="00EB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E2BD" w14:textId="77777777" w:rsidR="00EB01A0" w:rsidRDefault="00EB01A0">
      <w:r>
        <w:separator/>
      </w:r>
    </w:p>
  </w:footnote>
  <w:footnote w:type="continuationSeparator" w:id="0">
    <w:p w14:paraId="6B0E703E" w14:textId="77777777" w:rsidR="00EB01A0" w:rsidRDefault="00EB01A0">
      <w:r>
        <w:continuationSeparator/>
      </w:r>
    </w:p>
  </w:footnote>
  <w:footnote w:id="1">
    <w:p w14:paraId="29C14F6B" w14:textId="4455B0E1" w:rsidR="006D707F" w:rsidRPr="006D707F" w:rsidRDefault="006D707F" w:rsidP="006D70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D707F">
        <w:t>Zmiany tekstu jednolitego wymienionej ustawy zostały ogłoszone w Dz. U. z 2024 r. poz. 1572, 1717, 1756 i 1907 oraz z 2025 r. poz. 39 i 1180.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77B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0698527">
    <w:abstractNumId w:val="23"/>
  </w:num>
  <w:num w:numId="2" w16cid:durableId="1235432297">
    <w:abstractNumId w:val="23"/>
  </w:num>
  <w:num w:numId="3" w16cid:durableId="1400059958">
    <w:abstractNumId w:val="18"/>
  </w:num>
  <w:num w:numId="4" w16cid:durableId="1031418354">
    <w:abstractNumId w:val="18"/>
  </w:num>
  <w:num w:numId="5" w16cid:durableId="1477258127">
    <w:abstractNumId w:val="35"/>
  </w:num>
  <w:num w:numId="6" w16cid:durableId="1269969298">
    <w:abstractNumId w:val="31"/>
  </w:num>
  <w:num w:numId="7" w16cid:durableId="938098378">
    <w:abstractNumId w:val="35"/>
  </w:num>
  <w:num w:numId="8" w16cid:durableId="1842970194">
    <w:abstractNumId w:val="31"/>
  </w:num>
  <w:num w:numId="9" w16cid:durableId="1820685857">
    <w:abstractNumId w:val="35"/>
  </w:num>
  <w:num w:numId="10" w16cid:durableId="855072266">
    <w:abstractNumId w:val="31"/>
  </w:num>
  <w:num w:numId="11" w16cid:durableId="999380651">
    <w:abstractNumId w:val="14"/>
  </w:num>
  <w:num w:numId="12" w16cid:durableId="2138134175">
    <w:abstractNumId w:val="10"/>
  </w:num>
  <w:num w:numId="13" w16cid:durableId="1520778101">
    <w:abstractNumId w:val="15"/>
  </w:num>
  <w:num w:numId="14" w16cid:durableId="1536305173">
    <w:abstractNumId w:val="26"/>
  </w:num>
  <w:num w:numId="15" w16cid:durableId="613557880">
    <w:abstractNumId w:val="14"/>
  </w:num>
  <w:num w:numId="16" w16cid:durableId="2144031273">
    <w:abstractNumId w:val="16"/>
  </w:num>
  <w:num w:numId="17" w16cid:durableId="1530096789">
    <w:abstractNumId w:val="8"/>
  </w:num>
  <w:num w:numId="18" w16cid:durableId="690182831">
    <w:abstractNumId w:val="3"/>
  </w:num>
  <w:num w:numId="19" w16cid:durableId="1692684982">
    <w:abstractNumId w:val="2"/>
  </w:num>
  <w:num w:numId="20" w16cid:durableId="754980026">
    <w:abstractNumId w:val="1"/>
  </w:num>
  <w:num w:numId="21" w16cid:durableId="1017804992">
    <w:abstractNumId w:val="0"/>
  </w:num>
  <w:num w:numId="22" w16cid:durableId="203909498">
    <w:abstractNumId w:val="9"/>
  </w:num>
  <w:num w:numId="23" w16cid:durableId="1815099153">
    <w:abstractNumId w:val="7"/>
  </w:num>
  <w:num w:numId="24" w16cid:durableId="1629816555">
    <w:abstractNumId w:val="6"/>
  </w:num>
  <w:num w:numId="25" w16cid:durableId="540940415">
    <w:abstractNumId w:val="5"/>
  </w:num>
  <w:num w:numId="26" w16cid:durableId="2072536180">
    <w:abstractNumId w:val="4"/>
  </w:num>
  <w:num w:numId="27" w16cid:durableId="1684093257">
    <w:abstractNumId w:val="33"/>
  </w:num>
  <w:num w:numId="28" w16cid:durableId="1518344007">
    <w:abstractNumId w:val="25"/>
  </w:num>
  <w:num w:numId="29" w16cid:durableId="1627470071">
    <w:abstractNumId w:val="36"/>
  </w:num>
  <w:num w:numId="30" w16cid:durableId="1434282969">
    <w:abstractNumId w:val="32"/>
  </w:num>
  <w:num w:numId="31" w16cid:durableId="1120029351">
    <w:abstractNumId w:val="19"/>
  </w:num>
  <w:num w:numId="32" w16cid:durableId="1128357848">
    <w:abstractNumId w:val="11"/>
  </w:num>
  <w:num w:numId="33" w16cid:durableId="1947732720">
    <w:abstractNumId w:val="30"/>
  </w:num>
  <w:num w:numId="34" w16cid:durableId="299112786">
    <w:abstractNumId w:val="20"/>
  </w:num>
  <w:num w:numId="35" w16cid:durableId="64378360">
    <w:abstractNumId w:val="17"/>
  </w:num>
  <w:num w:numId="36" w16cid:durableId="1159078830">
    <w:abstractNumId w:val="22"/>
  </w:num>
  <w:num w:numId="37" w16cid:durableId="2091341850">
    <w:abstractNumId w:val="27"/>
  </w:num>
  <w:num w:numId="38" w16cid:durableId="1092698422">
    <w:abstractNumId w:val="24"/>
  </w:num>
  <w:num w:numId="39" w16cid:durableId="1083264463">
    <w:abstractNumId w:val="13"/>
  </w:num>
  <w:num w:numId="40" w16cid:durableId="1001157906">
    <w:abstractNumId w:val="29"/>
  </w:num>
  <w:num w:numId="41" w16cid:durableId="1472014756">
    <w:abstractNumId w:val="28"/>
  </w:num>
  <w:num w:numId="42" w16cid:durableId="1420979557">
    <w:abstractNumId w:val="21"/>
  </w:num>
  <w:num w:numId="43" w16cid:durableId="1759524617">
    <w:abstractNumId w:val="34"/>
  </w:num>
  <w:num w:numId="44" w16cid:durableId="1422679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4C51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7E02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2FB3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098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664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707F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7CBB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7EC1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1A0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23E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B68B3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DAB7E"/>
  <w15:docId w15:val="{002F4911-E3BF-426C-8504-E439AF36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rsid w:val="006D70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707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D707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731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Binkowska Joanna</dc:creator>
  <cp:lastModifiedBy>Binkowska Joanna</cp:lastModifiedBy>
  <cp:revision>3</cp:revision>
  <cp:lastPrinted>2012-04-23T06:39:00Z</cp:lastPrinted>
  <dcterms:created xsi:type="dcterms:W3CDTF">2025-10-22T08:07:00Z</dcterms:created>
  <dcterms:modified xsi:type="dcterms:W3CDTF">2025-10-22T08:07:00Z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