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0FAA" w14:textId="1E2FE1F9" w:rsidR="00CF65A3" w:rsidRPr="00C67591" w:rsidRDefault="00CF65A3" w:rsidP="00CF65A3">
      <w:pPr>
        <w:pStyle w:val="NIEARTTEKSTtekstnieartykuowanynppodstprawnarozplubpreambua"/>
        <w:ind w:firstLine="0"/>
        <w:jc w:val="center"/>
        <w:rPr>
          <w:bCs w:val="0"/>
          <w:caps/>
        </w:rPr>
      </w:pPr>
      <w:r w:rsidRPr="00C67591">
        <w:rPr>
          <w:bCs w:val="0"/>
          <w:caps/>
        </w:rPr>
        <w:t>Uzasadnienie</w:t>
      </w:r>
    </w:p>
    <w:p w14:paraId="54923142" w14:textId="1E8B74E1" w:rsidR="00910BC8" w:rsidRDefault="00CF65A3" w:rsidP="00910BC8">
      <w:pPr>
        <w:pStyle w:val="ARTartustawynprozporzdzenia"/>
      </w:pPr>
      <w:r w:rsidRPr="00D4171A">
        <w:t xml:space="preserve">Projekt nowelizacji ustawy z dnia </w:t>
      </w:r>
      <w:r w:rsidR="00717375">
        <w:t xml:space="preserve">4 listopada 2022 </w:t>
      </w:r>
      <w:r w:rsidRPr="00D4171A">
        <w:t>r. o</w:t>
      </w:r>
      <w:r w:rsidR="00717375">
        <w:t xml:space="preserve"> Centralnym Azylu dla Zwierząt (Dz.</w:t>
      </w:r>
      <w:r w:rsidR="00E72533">
        <w:t xml:space="preserve"> </w:t>
      </w:r>
      <w:r w:rsidR="00717375">
        <w:t>U. poz. 2375</w:t>
      </w:r>
      <w:r w:rsidR="00D719C9" w:rsidRPr="00D4171A">
        <w:rPr>
          <w:lang w:eastAsia="en-US"/>
        </w:rPr>
        <w:t>)</w:t>
      </w:r>
      <w:r w:rsidRPr="00D4171A">
        <w:t xml:space="preserve">, zwanej dalej „ustawą o </w:t>
      </w:r>
      <w:r w:rsidR="00717375">
        <w:t>Centralnym Azylu</w:t>
      </w:r>
      <w:r w:rsidRPr="00D4171A">
        <w:t xml:space="preserve">”, ma na celu wyeliminowanie zidentyfikowanych problemów, usprawnienie podejmowanych działań, wyjaśnienie albo </w:t>
      </w:r>
      <w:r w:rsidR="00756EC1">
        <w:t>rozstrzygnięcie</w:t>
      </w:r>
      <w:r w:rsidR="00756EC1" w:rsidRPr="00D4171A">
        <w:t xml:space="preserve"> </w:t>
      </w:r>
      <w:r w:rsidRPr="00D4171A">
        <w:t>występujących wątpliwości</w:t>
      </w:r>
      <w:r w:rsidR="00910BC8">
        <w:t>, w szczególności</w:t>
      </w:r>
      <w:r w:rsidR="00FA2AC4">
        <w:t xml:space="preserve"> w zakresie</w:t>
      </w:r>
      <w:r w:rsidR="00910BC8">
        <w:t>:</w:t>
      </w:r>
    </w:p>
    <w:p w14:paraId="0778A305" w14:textId="0F9550AD" w:rsidR="00910BC8" w:rsidRPr="004B5CA3" w:rsidRDefault="00910BC8" w:rsidP="00FA2AC4">
      <w:pPr>
        <w:pStyle w:val="ARTartustawynprozporzdzenia"/>
        <w:numPr>
          <w:ilvl w:val="0"/>
          <w:numId w:val="6"/>
        </w:numPr>
        <w:ind w:left="567" w:hanging="567"/>
      </w:pPr>
      <w:r w:rsidRPr="00891B04">
        <w:rPr>
          <w:rFonts w:ascii="Times New Roman" w:hAnsi="Times New Roman"/>
        </w:rPr>
        <w:t>konieczności</w:t>
      </w:r>
      <w:r w:rsidRPr="00F56055">
        <w:rPr>
          <w:rFonts w:ascii="Times New Roman" w:hAnsi="Times New Roman"/>
        </w:rPr>
        <w:t xml:space="preserve"> korekty </w:t>
      </w:r>
      <w:r>
        <w:rPr>
          <w:rFonts w:ascii="Times New Roman" w:hAnsi="Times New Roman"/>
        </w:rPr>
        <w:t xml:space="preserve">maksymalnego całkowitego </w:t>
      </w:r>
      <w:r w:rsidRPr="00F56055">
        <w:rPr>
          <w:rFonts w:ascii="Times New Roman" w:hAnsi="Times New Roman"/>
        </w:rPr>
        <w:t>limit</w:t>
      </w:r>
      <w:r>
        <w:rPr>
          <w:rFonts w:ascii="Times New Roman" w:hAnsi="Times New Roman"/>
        </w:rPr>
        <w:t>u</w:t>
      </w:r>
      <w:r w:rsidRPr="00F56055">
        <w:rPr>
          <w:rFonts w:ascii="Times New Roman" w:hAnsi="Times New Roman"/>
        </w:rPr>
        <w:t xml:space="preserve"> wydatków </w:t>
      </w:r>
      <w:r>
        <w:rPr>
          <w:rFonts w:ascii="Times New Roman" w:hAnsi="Times New Roman"/>
        </w:rPr>
        <w:t>budżetu państwa na lata 202</w:t>
      </w:r>
      <w:r w:rsidR="00BE05DD">
        <w:rPr>
          <w:rFonts w:ascii="Times New Roman" w:hAnsi="Times New Roman"/>
        </w:rPr>
        <w:t>6</w:t>
      </w:r>
      <w:r>
        <w:rPr>
          <w:rFonts w:ascii="Times New Roman" w:hAnsi="Times New Roman"/>
        </w:rPr>
        <w:t>–2031, któr</w:t>
      </w:r>
      <w:r w:rsidR="009A7A8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jest wynikiem braku </w:t>
      </w:r>
      <w:r w:rsidRPr="0067090D">
        <w:rPr>
          <w:rFonts w:ascii="Times New Roman" w:hAnsi="Times New Roman"/>
        </w:rPr>
        <w:t>możliwości wydatkowania środków inwestycyjnych zgodnie z pierwotnie przyjętym harmonogramem organizacji Centralnego Azylu dla Zwierząt</w:t>
      </w:r>
      <w:r w:rsidR="00465FF4">
        <w:rPr>
          <w:rFonts w:ascii="Times New Roman" w:hAnsi="Times New Roman"/>
        </w:rPr>
        <w:t xml:space="preserve"> (dalej „Centralny Azyl”)</w:t>
      </w:r>
      <w:r>
        <w:rPr>
          <w:rFonts w:ascii="Times New Roman" w:hAnsi="Times New Roman"/>
        </w:rPr>
        <w:t>,</w:t>
      </w:r>
    </w:p>
    <w:p w14:paraId="3A12BBD3" w14:textId="3866CD84" w:rsidR="00910BC8" w:rsidRPr="004B5CA3" w:rsidRDefault="00910BC8" w:rsidP="00FA2AC4">
      <w:pPr>
        <w:pStyle w:val="ARTartustawynprozporzdzenia"/>
        <w:numPr>
          <w:ilvl w:val="0"/>
          <w:numId w:val="6"/>
        </w:numPr>
        <w:ind w:left="567" w:hanging="567"/>
      </w:pPr>
      <w:r w:rsidRPr="00891B04">
        <w:rPr>
          <w:rFonts w:ascii="Times New Roman" w:hAnsi="Times New Roman"/>
        </w:rPr>
        <w:t>brak</w:t>
      </w:r>
      <w:r w:rsidRPr="00F56055">
        <w:rPr>
          <w:rFonts w:ascii="Times New Roman" w:hAnsi="Times New Roman"/>
        </w:rPr>
        <w:t xml:space="preserve">u możliwości wykonywania zadań obejmujących przetrzymywanie zwierząt do czasu dostosowania </w:t>
      </w:r>
      <w:r>
        <w:rPr>
          <w:rFonts w:ascii="Times New Roman" w:hAnsi="Times New Roman"/>
        </w:rPr>
        <w:t xml:space="preserve">siedziby </w:t>
      </w:r>
      <w:r w:rsidRPr="00F56055">
        <w:rPr>
          <w:rFonts w:ascii="Times New Roman" w:hAnsi="Times New Roman"/>
        </w:rPr>
        <w:t>Centralnego Azylu</w:t>
      </w:r>
      <w:r>
        <w:rPr>
          <w:rFonts w:ascii="Times New Roman" w:hAnsi="Times New Roman"/>
        </w:rPr>
        <w:t>,</w:t>
      </w:r>
    </w:p>
    <w:p w14:paraId="7BBC72A7" w14:textId="5AE7122D" w:rsidR="00910BC8" w:rsidRPr="004B5CA3" w:rsidRDefault="00910BC8" w:rsidP="00FA2AC4">
      <w:pPr>
        <w:pStyle w:val="ARTartustawynprozporzdzenia"/>
        <w:numPr>
          <w:ilvl w:val="0"/>
          <w:numId w:val="6"/>
        </w:numPr>
        <w:ind w:left="567" w:hanging="567"/>
      </w:pPr>
      <w:r w:rsidRPr="00891B04">
        <w:rPr>
          <w:rFonts w:ascii="Times New Roman" w:hAnsi="Times New Roman"/>
        </w:rPr>
        <w:t>potrzeb</w:t>
      </w:r>
      <w:r w:rsidRPr="00F56055">
        <w:rPr>
          <w:rFonts w:ascii="Times New Roman" w:hAnsi="Times New Roman"/>
        </w:rPr>
        <w:t>y rozszerzenia zakresu zadań Centralnego Azylu</w:t>
      </w:r>
      <w:r w:rsidR="00D7415C">
        <w:rPr>
          <w:rFonts w:ascii="Times New Roman" w:hAnsi="Times New Roman"/>
        </w:rPr>
        <w:t xml:space="preserve"> </w:t>
      </w:r>
      <w:r w:rsidRPr="00F56055">
        <w:rPr>
          <w:rFonts w:ascii="Times New Roman" w:hAnsi="Times New Roman"/>
        </w:rPr>
        <w:t>o zadania z zakresu ochrony przyrody, edukacji i współpracy z instytucjami naukowymi</w:t>
      </w:r>
      <w:r>
        <w:rPr>
          <w:rFonts w:ascii="Times New Roman" w:hAnsi="Times New Roman"/>
        </w:rPr>
        <w:t>,</w:t>
      </w:r>
    </w:p>
    <w:p w14:paraId="07876B2E" w14:textId="3EE3E3D6" w:rsidR="00910BC8" w:rsidRPr="004B5CA3" w:rsidRDefault="00910BC8" w:rsidP="00FA2AC4">
      <w:pPr>
        <w:pStyle w:val="ARTartustawynprozporzdzenia"/>
        <w:numPr>
          <w:ilvl w:val="0"/>
          <w:numId w:val="6"/>
        </w:numPr>
        <w:ind w:left="567" w:hanging="567"/>
      </w:pPr>
      <w:r w:rsidRPr="008F71C4">
        <w:rPr>
          <w:rFonts w:ascii="Times New Roman" w:hAnsi="Times New Roman"/>
        </w:rPr>
        <w:t xml:space="preserve">potrzeby </w:t>
      </w:r>
      <w:r w:rsidR="008F71C4">
        <w:rPr>
          <w:rFonts w:ascii="Times New Roman" w:hAnsi="Times New Roman"/>
        </w:rPr>
        <w:t xml:space="preserve">dostosowania </w:t>
      </w:r>
      <w:r w:rsidRPr="008F71C4">
        <w:rPr>
          <w:rFonts w:ascii="Times New Roman" w:hAnsi="Times New Roman"/>
        </w:rPr>
        <w:t xml:space="preserve">procedur </w:t>
      </w:r>
      <w:bookmarkStart w:id="0" w:name="_Hlk180653367"/>
      <w:r w:rsidRPr="008F71C4">
        <w:rPr>
          <w:rFonts w:ascii="Times New Roman" w:hAnsi="Times New Roman"/>
        </w:rPr>
        <w:t>związanych</w:t>
      </w:r>
      <w:r w:rsidRPr="00AE321C">
        <w:rPr>
          <w:rFonts w:ascii="Times New Roman" w:hAnsi="Times New Roman"/>
        </w:rPr>
        <w:t xml:space="preserve"> z przyjmowaniem zwierząt do Centralnego Azylu</w:t>
      </w:r>
      <w:r>
        <w:rPr>
          <w:rFonts w:ascii="Times New Roman" w:hAnsi="Times New Roman"/>
        </w:rPr>
        <w:t xml:space="preserve"> </w:t>
      </w:r>
      <w:r w:rsidRPr="00AE321C">
        <w:rPr>
          <w:rFonts w:ascii="Times New Roman" w:hAnsi="Times New Roman"/>
        </w:rPr>
        <w:t>do procedur obowiązujących w organach celnych i organach Policji</w:t>
      </w:r>
      <w:bookmarkEnd w:id="0"/>
      <w:r>
        <w:rPr>
          <w:rFonts w:ascii="Times New Roman" w:hAnsi="Times New Roman"/>
        </w:rPr>
        <w:t>,</w:t>
      </w:r>
    </w:p>
    <w:p w14:paraId="71277696" w14:textId="58091A46" w:rsidR="00910BC8" w:rsidRPr="004B5CA3" w:rsidRDefault="00910BC8" w:rsidP="00FA2AC4">
      <w:pPr>
        <w:pStyle w:val="ARTartustawynprozporzdzenia"/>
        <w:numPr>
          <w:ilvl w:val="0"/>
          <w:numId w:val="6"/>
        </w:numPr>
        <w:ind w:left="567" w:hanging="567"/>
      </w:pPr>
      <w:r w:rsidRPr="00891B04">
        <w:rPr>
          <w:rFonts w:ascii="Times New Roman" w:hAnsi="Times New Roman"/>
        </w:rPr>
        <w:t>potrzeb</w:t>
      </w:r>
      <w:r w:rsidRPr="00F56055">
        <w:rPr>
          <w:rFonts w:ascii="Times New Roman" w:hAnsi="Times New Roman"/>
        </w:rPr>
        <w:t>y zwiększenia zakresu decyzyjności Dyrektora Centralnego Azylu w zakresie transportu zwierząt</w:t>
      </w:r>
      <w:r>
        <w:rPr>
          <w:rFonts w:ascii="Times New Roman" w:hAnsi="Times New Roman"/>
        </w:rPr>
        <w:t xml:space="preserve"> </w:t>
      </w:r>
      <w:r w:rsidRPr="00356F4E">
        <w:rPr>
          <w:rFonts w:ascii="Times New Roman" w:hAnsi="Times New Roman"/>
        </w:rPr>
        <w:t>przez uniezależnienie czynności transportu od zgody na przyjęcie zwierzęcia do Centralnego Azyl</w:t>
      </w:r>
      <w:r w:rsidR="0048753A">
        <w:rPr>
          <w:rFonts w:ascii="Times New Roman" w:hAnsi="Times New Roman"/>
        </w:rPr>
        <w:t>u</w:t>
      </w:r>
      <w:r>
        <w:rPr>
          <w:rFonts w:ascii="Times New Roman" w:hAnsi="Times New Roman"/>
        </w:rPr>
        <w:t>,</w:t>
      </w:r>
    </w:p>
    <w:p w14:paraId="11FD3F26" w14:textId="32C851F1" w:rsidR="00910BC8" w:rsidRDefault="00910BC8" w:rsidP="00FA2AC4">
      <w:pPr>
        <w:pStyle w:val="ARTartustawynprozporzdzenia"/>
        <w:numPr>
          <w:ilvl w:val="0"/>
          <w:numId w:val="6"/>
        </w:numPr>
        <w:ind w:left="567" w:hanging="567"/>
      </w:pPr>
      <w:r w:rsidRPr="000929DA">
        <w:rPr>
          <w:rFonts w:ascii="Times New Roman" w:hAnsi="Times New Roman"/>
        </w:rPr>
        <w:t>nakładania się na siebie obowiązków wynikających z ustawy o Centralnym Azylu</w:t>
      </w:r>
      <w:r>
        <w:rPr>
          <w:rFonts w:ascii="Times New Roman" w:hAnsi="Times New Roman"/>
        </w:rPr>
        <w:t xml:space="preserve"> dla Zwierząt</w:t>
      </w:r>
      <w:r w:rsidRPr="000929DA">
        <w:rPr>
          <w:rFonts w:ascii="Times New Roman" w:hAnsi="Times New Roman"/>
        </w:rPr>
        <w:t xml:space="preserve"> i ustawy </w:t>
      </w:r>
      <w:r w:rsidRPr="00356F4E">
        <w:rPr>
          <w:rFonts w:ascii="Times New Roman" w:hAnsi="Times New Roman"/>
        </w:rPr>
        <w:t>z dnia 16 kwietnia 2004</w:t>
      </w:r>
      <w:r>
        <w:rPr>
          <w:rFonts w:ascii="Times New Roman" w:hAnsi="Times New Roman"/>
        </w:rPr>
        <w:t> </w:t>
      </w:r>
      <w:r w:rsidRPr="00356F4E">
        <w:rPr>
          <w:rFonts w:ascii="Times New Roman" w:hAnsi="Times New Roman"/>
        </w:rPr>
        <w:t xml:space="preserve">r. </w:t>
      </w:r>
      <w:r w:rsidRPr="000929DA">
        <w:rPr>
          <w:rFonts w:ascii="Times New Roman" w:hAnsi="Times New Roman"/>
        </w:rPr>
        <w:t>o ochronie przyrody (Dz.</w:t>
      </w:r>
      <w:r w:rsidR="00F735E1">
        <w:rPr>
          <w:rFonts w:ascii="Times New Roman" w:hAnsi="Times New Roman"/>
        </w:rPr>
        <w:t xml:space="preserve"> </w:t>
      </w:r>
      <w:r w:rsidRPr="000929DA">
        <w:rPr>
          <w:rFonts w:ascii="Times New Roman" w:hAnsi="Times New Roman"/>
        </w:rPr>
        <w:t>U. z 2024 r. poz.</w:t>
      </w:r>
      <w:r w:rsidR="00CE2E75">
        <w:rPr>
          <w:rFonts w:ascii="Times New Roman" w:hAnsi="Times New Roman"/>
        </w:rPr>
        <w:t> </w:t>
      </w:r>
      <w:r w:rsidRPr="000929DA">
        <w:rPr>
          <w:rFonts w:ascii="Times New Roman" w:hAnsi="Times New Roman"/>
        </w:rPr>
        <w:t>1478</w:t>
      </w:r>
      <w:r w:rsidR="00063089">
        <w:rPr>
          <w:rFonts w:ascii="Times New Roman" w:hAnsi="Times New Roman"/>
        </w:rPr>
        <w:t>,</w:t>
      </w:r>
      <w:r w:rsidR="00F25220">
        <w:rPr>
          <w:rFonts w:ascii="Times New Roman" w:hAnsi="Times New Roman"/>
        </w:rPr>
        <w:t xml:space="preserve"> z późn. zm.</w:t>
      </w:r>
      <w:r w:rsidRPr="000929DA">
        <w:rPr>
          <w:rFonts w:ascii="Times New Roman" w:hAnsi="Times New Roman"/>
        </w:rPr>
        <w:t>)</w:t>
      </w:r>
      <w:r w:rsidR="0048753A">
        <w:rPr>
          <w:rFonts w:ascii="Times New Roman" w:hAnsi="Times New Roman"/>
        </w:rPr>
        <w:t>,</w:t>
      </w:r>
      <w:r w:rsidRPr="000929DA">
        <w:rPr>
          <w:rFonts w:ascii="Times New Roman" w:hAnsi="Times New Roman"/>
        </w:rPr>
        <w:t xml:space="preserve"> </w:t>
      </w:r>
      <w:r w:rsidR="0048753A">
        <w:rPr>
          <w:rFonts w:ascii="Times New Roman" w:hAnsi="Times New Roman"/>
        </w:rPr>
        <w:t xml:space="preserve">zwanej dalej: </w:t>
      </w:r>
      <w:r w:rsidR="0048753A" w:rsidRPr="00B17DD5">
        <w:rPr>
          <w:rFonts w:ascii="Times New Roman" w:hAnsi="Times New Roman"/>
        </w:rPr>
        <w:t>uop</w:t>
      </w:r>
      <w:r w:rsidR="0048753A">
        <w:rPr>
          <w:rFonts w:ascii="Times New Roman" w:hAnsi="Times New Roman"/>
        </w:rPr>
        <w:t>,</w:t>
      </w:r>
      <w:r w:rsidR="0048753A" w:rsidRPr="000929DA">
        <w:rPr>
          <w:rFonts w:ascii="Times New Roman" w:hAnsi="Times New Roman"/>
        </w:rPr>
        <w:t xml:space="preserve"> </w:t>
      </w:r>
      <w:r w:rsidRPr="000929DA">
        <w:rPr>
          <w:rFonts w:ascii="Times New Roman" w:hAnsi="Times New Roman"/>
        </w:rPr>
        <w:t>w zakresie zezwolenia na uśmiercanie zwierząt należących do gatunków chronionych</w:t>
      </w:r>
      <w:r w:rsidR="00C84E82">
        <w:rPr>
          <w:rFonts w:ascii="Times New Roman" w:hAnsi="Times New Roman"/>
        </w:rPr>
        <w:t xml:space="preserve"> i</w:t>
      </w:r>
      <w:r w:rsidRPr="000929DA">
        <w:rPr>
          <w:rFonts w:ascii="Times New Roman" w:hAnsi="Times New Roman"/>
        </w:rPr>
        <w:t xml:space="preserve"> braku uzasadnienia </w:t>
      </w:r>
      <w:r w:rsidRPr="00356F4E">
        <w:rPr>
          <w:rFonts w:ascii="Times New Roman" w:hAnsi="Times New Roman"/>
        </w:rPr>
        <w:t xml:space="preserve">potrzeby </w:t>
      </w:r>
      <w:r w:rsidRPr="000929DA">
        <w:rPr>
          <w:rFonts w:ascii="Times New Roman" w:hAnsi="Times New Roman"/>
        </w:rPr>
        <w:t xml:space="preserve">zwiększenia </w:t>
      </w:r>
      <w:r w:rsidRPr="00356F4E">
        <w:rPr>
          <w:rFonts w:ascii="Times New Roman" w:hAnsi="Times New Roman"/>
        </w:rPr>
        <w:t>decyzyjności Dyrektora Centralnego Azylu</w:t>
      </w:r>
      <w:r>
        <w:rPr>
          <w:rFonts w:ascii="Times New Roman" w:hAnsi="Times New Roman"/>
        </w:rPr>
        <w:t xml:space="preserve"> dla Zwierząt</w:t>
      </w:r>
      <w:r w:rsidRPr="00356F4E">
        <w:rPr>
          <w:rFonts w:ascii="Times New Roman" w:hAnsi="Times New Roman"/>
        </w:rPr>
        <w:t xml:space="preserve"> w zakresie uśmiercania zwierząt </w:t>
      </w:r>
      <w:r w:rsidRPr="000929DA">
        <w:rPr>
          <w:rFonts w:ascii="Times New Roman" w:hAnsi="Times New Roman"/>
        </w:rPr>
        <w:t>w związku z</w:t>
      </w:r>
      <w:r w:rsidR="00C53CFB">
        <w:rPr>
          <w:rFonts w:ascii="Times New Roman" w:hAnsi="Times New Roman"/>
        </w:rPr>
        <w:t> </w:t>
      </w:r>
      <w:r w:rsidRPr="000929DA">
        <w:rPr>
          <w:rFonts w:ascii="Times New Roman" w:hAnsi="Times New Roman"/>
        </w:rPr>
        <w:t>koniecznością podejmowania natychmiastowych działań, przy jednoczesnym braku uzasadnienia dla funkcjonowania dalej idących niż w</w:t>
      </w:r>
      <w:r w:rsidR="0048753A">
        <w:rPr>
          <w:rFonts w:ascii="Times New Roman" w:hAnsi="Times New Roman"/>
        </w:rPr>
        <w:t> </w:t>
      </w:r>
      <w:r w:rsidRPr="000929DA">
        <w:rPr>
          <w:rFonts w:ascii="Times New Roman" w:hAnsi="Times New Roman"/>
        </w:rPr>
        <w:t>systemie prawa rygorów co do uzyskiwania zezwoleń na uśmiercanie zwierząt gatunków inn</w:t>
      </w:r>
      <w:r w:rsidR="0048753A">
        <w:rPr>
          <w:rFonts w:ascii="Times New Roman" w:hAnsi="Times New Roman"/>
        </w:rPr>
        <w:t>ych</w:t>
      </w:r>
      <w:r w:rsidRPr="000929DA">
        <w:rPr>
          <w:rFonts w:ascii="Times New Roman" w:hAnsi="Times New Roman"/>
        </w:rPr>
        <w:t xml:space="preserve"> niż chronione</w:t>
      </w:r>
      <w:r>
        <w:rPr>
          <w:rFonts w:ascii="Times New Roman" w:hAnsi="Times New Roman"/>
        </w:rPr>
        <w:t>.</w:t>
      </w:r>
    </w:p>
    <w:p w14:paraId="5768B588" w14:textId="47DEDB10" w:rsidR="00CF65A3" w:rsidRPr="009B3677" w:rsidRDefault="00CF65A3" w:rsidP="00FA2AC4">
      <w:pPr>
        <w:pStyle w:val="ARTartustawynprozporzdzenia"/>
        <w:ind w:firstLine="0"/>
        <w:rPr>
          <w:b/>
          <w:bCs/>
        </w:rPr>
      </w:pPr>
      <w:r w:rsidRPr="009B3677">
        <w:rPr>
          <w:b/>
          <w:bCs/>
        </w:rPr>
        <w:t xml:space="preserve">Szczegółowe uzasadnienie zaproponowanych zmian </w:t>
      </w:r>
    </w:p>
    <w:p w14:paraId="2C365800" w14:textId="49FC52DB" w:rsidR="00F1291D" w:rsidRDefault="00F7358E" w:rsidP="00530376">
      <w:pPr>
        <w:pStyle w:val="ARTartustawynprozporzdzenia"/>
      </w:pPr>
      <w:r>
        <w:t>W art. 4 d</w:t>
      </w:r>
      <w:r w:rsidR="00C441B0">
        <w:t xml:space="preserve">okonano wyodrębnienia </w:t>
      </w:r>
      <w:r>
        <w:t xml:space="preserve">z pkt 2 </w:t>
      </w:r>
      <w:r w:rsidR="00C441B0">
        <w:t>zgody na transport zwierząt</w:t>
      </w:r>
      <w:r w:rsidR="00787103">
        <w:t xml:space="preserve"> przekazywanych do Centralnego Azylu przez organy administracji publicznej, podmioty i jednostki inne niż </w:t>
      </w:r>
      <w:r w:rsidR="00787103">
        <w:lastRenderedPageBreak/>
        <w:t>organy celne i organy Policji</w:t>
      </w:r>
      <w:r w:rsidR="00C441B0">
        <w:t xml:space="preserve">, </w:t>
      </w:r>
      <w:r w:rsidR="00101D3A">
        <w:t>regulując</w:t>
      </w:r>
      <w:r w:rsidR="00C441B0">
        <w:t xml:space="preserve"> ją w</w:t>
      </w:r>
      <w:r w:rsidR="00327E33">
        <w:t> </w:t>
      </w:r>
      <w:r w:rsidR="00825B28">
        <w:t xml:space="preserve">dodanym </w:t>
      </w:r>
      <w:r w:rsidR="00E72533">
        <w:t>pkt 3a</w:t>
      </w:r>
      <w:r w:rsidR="00C441B0">
        <w:t xml:space="preserve">. </w:t>
      </w:r>
      <w:r w:rsidR="00101D3A">
        <w:t xml:space="preserve">Powyższa zmiana ma </w:t>
      </w:r>
      <w:r w:rsidR="00465FF4">
        <w:t xml:space="preserve">na celu </w:t>
      </w:r>
      <w:r w:rsidR="00101D3A">
        <w:t>umożliwi</w:t>
      </w:r>
      <w:r w:rsidR="00C84E82">
        <w:t>enie</w:t>
      </w:r>
      <w:r w:rsidR="00101D3A" w:rsidRPr="00101D3A">
        <w:t xml:space="preserve"> przyjmowani</w:t>
      </w:r>
      <w:r w:rsidR="00C84E82">
        <w:t>a</w:t>
      </w:r>
      <w:r w:rsidR="00101D3A" w:rsidRPr="00101D3A">
        <w:t xml:space="preserve"> zwierząt do Centralnego Azylu również w przypadkach, gdy Centralny Azyl nie będzie w stanie zapewnić im transportu.</w:t>
      </w:r>
      <w:r w:rsidR="00101D3A">
        <w:t xml:space="preserve"> </w:t>
      </w:r>
      <w:r w:rsidR="00825B28">
        <w:t>Jednocześnie z</w:t>
      </w:r>
      <w:r w:rsidR="00825B28" w:rsidRPr="00825B28">
        <w:t xml:space="preserve">miana ta umożliwi również </w:t>
      </w:r>
      <w:r w:rsidR="00C84E82" w:rsidRPr="00825B28">
        <w:t xml:space="preserve">transport </w:t>
      </w:r>
      <w:r w:rsidR="00825B28" w:rsidRPr="00825B28">
        <w:t>zwierząt wymienionych w art. 3 ust. 2 ustawy o Centralnym Azylu</w:t>
      </w:r>
      <w:r w:rsidR="00C84E82" w:rsidRPr="00C84E82">
        <w:t xml:space="preserve"> </w:t>
      </w:r>
      <w:r w:rsidR="00C84E82" w:rsidRPr="00825B28">
        <w:t>pojazdami Centralnego Azylu</w:t>
      </w:r>
      <w:r w:rsidR="00825B28" w:rsidRPr="00825B28">
        <w:t>.</w:t>
      </w:r>
      <w:r>
        <w:t xml:space="preserve"> </w:t>
      </w:r>
      <w:r w:rsidR="00E72533" w:rsidRPr="00F7358E">
        <w:t>Konsekwencją tej zmiany jest uchylenie pkt 2 w art. 10 ustawy o</w:t>
      </w:r>
      <w:r w:rsidR="0048753A">
        <w:t> </w:t>
      </w:r>
      <w:r w:rsidR="00E72533" w:rsidRPr="00F7358E">
        <w:t>Centralnym Azylu</w:t>
      </w:r>
      <w:r w:rsidR="00F1291D" w:rsidRPr="00F7358E">
        <w:t>.</w:t>
      </w:r>
    </w:p>
    <w:p w14:paraId="10578646" w14:textId="1BF8C375" w:rsidR="005D123A" w:rsidRDefault="005D123A" w:rsidP="00CF65A3">
      <w:pPr>
        <w:pStyle w:val="ARTartustawynprozporzdzenia"/>
      </w:pPr>
      <w:r>
        <w:t xml:space="preserve">Zmiana w art. 4 pkt 5 </w:t>
      </w:r>
      <w:r w:rsidR="000657F9">
        <w:t xml:space="preserve">ustawy o Centralnym Azylu </w:t>
      </w:r>
      <w:r>
        <w:t>dotyczącym znakowania zwierząt przyjętych do Centralnego Azylu ma charakter doprecyzowujący.</w:t>
      </w:r>
    </w:p>
    <w:p w14:paraId="28B52E2B" w14:textId="70BA7D87" w:rsidR="00B97967" w:rsidRDefault="00B97967" w:rsidP="00CF65A3">
      <w:pPr>
        <w:pStyle w:val="ARTartustawynprozporzdzenia"/>
      </w:pPr>
      <w:r>
        <w:t xml:space="preserve">Dodany </w:t>
      </w:r>
      <w:r w:rsidR="000657F9">
        <w:t xml:space="preserve">pkt 9 </w:t>
      </w:r>
      <w:r>
        <w:t xml:space="preserve">w art. 4 </w:t>
      </w:r>
      <w:r w:rsidR="000657F9">
        <w:t xml:space="preserve">ustawy o Centralnym Azylu </w:t>
      </w:r>
      <w:r>
        <w:t>ma na celu rozszerzenie zakresu zadań Centralnego Azylu o inne zadania z zakresu ochrony przyrody</w:t>
      </w:r>
      <w:r w:rsidR="000657F9">
        <w:t xml:space="preserve"> i</w:t>
      </w:r>
      <w:r>
        <w:t xml:space="preserve"> edukacji</w:t>
      </w:r>
      <w:r w:rsidR="00530376">
        <w:t>.</w:t>
      </w:r>
      <w:r w:rsidR="00530376" w:rsidRPr="00530376">
        <w:rPr>
          <w:rFonts w:ascii="Times New Roman" w:hAnsi="Times New Roman"/>
        </w:rPr>
        <w:t xml:space="preserve"> </w:t>
      </w:r>
      <w:r w:rsidR="00044A6C">
        <w:rPr>
          <w:rFonts w:ascii="Times New Roman" w:hAnsi="Times New Roman"/>
        </w:rPr>
        <w:t>Za powyższą zmianą przemawia fakt, ż</w:t>
      </w:r>
      <w:r w:rsidR="0048753A">
        <w:rPr>
          <w:rFonts w:ascii="Times New Roman" w:hAnsi="Times New Roman"/>
        </w:rPr>
        <w:t>e</w:t>
      </w:r>
      <w:r w:rsidR="00044A6C">
        <w:rPr>
          <w:rFonts w:ascii="Times New Roman" w:hAnsi="Times New Roman"/>
        </w:rPr>
        <w:t xml:space="preserve"> Centralny Azyl jako ośrodek czasowego przetrzymywania zwierząt ma specyficzny charakter. </w:t>
      </w:r>
      <w:r w:rsidR="00847876" w:rsidRPr="00847876">
        <w:rPr>
          <w:rFonts w:ascii="Times New Roman" w:hAnsi="Times New Roman"/>
        </w:rPr>
        <w:t xml:space="preserve">Zgodnie z art. 3 pkt 5 </w:t>
      </w:r>
      <w:r w:rsidR="00C25909">
        <w:rPr>
          <w:rFonts w:ascii="Times New Roman" w:hAnsi="Times New Roman"/>
        </w:rPr>
        <w:t>uop</w:t>
      </w:r>
      <w:r w:rsidR="00847876" w:rsidRPr="00847876">
        <w:rPr>
          <w:rFonts w:ascii="Times New Roman" w:hAnsi="Times New Roman"/>
        </w:rPr>
        <w:t xml:space="preserve">, cele ochrony przyrody realizowane są m.in. przez: „prowadzenie działalności edukacyjnej, informacyjnej i promocyjnej w dziedzinie ochrony przyrody”.  </w:t>
      </w:r>
      <w:r w:rsidR="00DC4592">
        <w:rPr>
          <w:rFonts w:ascii="Times New Roman" w:hAnsi="Times New Roman"/>
        </w:rPr>
        <w:t>Dodanie</w:t>
      </w:r>
      <w:r w:rsidR="00DC4592" w:rsidRPr="00847876">
        <w:rPr>
          <w:rFonts w:ascii="Times New Roman" w:hAnsi="Times New Roman"/>
        </w:rPr>
        <w:t xml:space="preserve"> </w:t>
      </w:r>
      <w:r w:rsidR="00DC4592">
        <w:rPr>
          <w:rFonts w:ascii="Times New Roman" w:hAnsi="Times New Roman"/>
        </w:rPr>
        <w:t>w</w:t>
      </w:r>
      <w:r w:rsidR="00DC4592" w:rsidRPr="00847876">
        <w:rPr>
          <w:rFonts w:ascii="Times New Roman" w:hAnsi="Times New Roman"/>
        </w:rPr>
        <w:t xml:space="preserve"> </w:t>
      </w:r>
      <w:r w:rsidR="00847876" w:rsidRPr="00847876">
        <w:rPr>
          <w:rFonts w:ascii="Times New Roman" w:hAnsi="Times New Roman"/>
        </w:rPr>
        <w:t>art. 4 ustawy o C</w:t>
      </w:r>
      <w:r w:rsidR="00847876">
        <w:rPr>
          <w:rFonts w:ascii="Times New Roman" w:hAnsi="Times New Roman"/>
        </w:rPr>
        <w:t>entralnym Azylu</w:t>
      </w:r>
      <w:r w:rsidR="00847876" w:rsidRPr="00847876">
        <w:rPr>
          <w:rFonts w:ascii="Times New Roman" w:hAnsi="Times New Roman"/>
        </w:rPr>
        <w:t xml:space="preserve"> </w:t>
      </w:r>
      <w:r w:rsidR="00DC4592" w:rsidRPr="00847876">
        <w:rPr>
          <w:rFonts w:ascii="Times New Roman" w:hAnsi="Times New Roman"/>
        </w:rPr>
        <w:t>now</w:t>
      </w:r>
      <w:r w:rsidR="00DC4592">
        <w:rPr>
          <w:rFonts w:ascii="Times New Roman" w:hAnsi="Times New Roman"/>
        </w:rPr>
        <w:t>ego</w:t>
      </w:r>
      <w:r w:rsidR="00DC4592" w:rsidRPr="00847876">
        <w:rPr>
          <w:rFonts w:ascii="Times New Roman" w:hAnsi="Times New Roman"/>
        </w:rPr>
        <w:t xml:space="preserve"> </w:t>
      </w:r>
      <w:r w:rsidR="00847876" w:rsidRPr="00847876">
        <w:rPr>
          <w:rFonts w:ascii="Times New Roman" w:hAnsi="Times New Roman"/>
        </w:rPr>
        <w:t>pkt 9 w zakresie</w:t>
      </w:r>
      <w:r w:rsidR="0048753A">
        <w:rPr>
          <w:rFonts w:ascii="Times New Roman" w:hAnsi="Times New Roman"/>
        </w:rPr>
        <w:t>,</w:t>
      </w:r>
      <w:r w:rsidR="00847876" w:rsidRPr="00847876">
        <w:rPr>
          <w:rFonts w:ascii="Times New Roman" w:hAnsi="Times New Roman"/>
        </w:rPr>
        <w:t xml:space="preserve"> w</w:t>
      </w:r>
      <w:r w:rsidR="0048753A">
        <w:rPr>
          <w:rFonts w:ascii="Times New Roman" w:hAnsi="Times New Roman"/>
        </w:rPr>
        <w:t> </w:t>
      </w:r>
      <w:r w:rsidR="00847876" w:rsidRPr="00847876">
        <w:rPr>
          <w:rFonts w:ascii="Times New Roman" w:hAnsi="Times New Roman"/>
        </w:rPr>
        <w:t>jakim dotyczy on „ochrony przyrody”</w:t>
      </w:r>
      <w:r w:rsidR="0048753A">
        <w:rPr>
          <w:rFonts w:ascii="Times New Roman" w:hAnsi="Times New Roman"/>
        </w:rPr>
        <w:t>,</w:t>
      </w:r>
      <w:r w:rsidR="00847876" w:rsidRPr="00847876">
        <w:rPr>
          <w:rFonts w:ascii="Times New Roman" w:hAnsi="Times New Roman"/>
        </w:rPr>
        <w:t xml:space="preserve"> jest komplementarne z realizacją celów ochrony przyrody w zakresie</w:t>
      </w:r>
      <w:r w:rsidR="00097882">
        <w:rPr>
          <w:rFonts w:ascii="Times New Roman" w:hAnsi="Times New Roman"/>
        </w:rPr>
        <w:t>,</w:t>
      </w:r>
      <w:r w:rsidR="00847876" w:rsidRPr="00847876">
        <w:rPr>
          <w:rFonts w:ascii="Times New Roman" w:hAnsi="Times New Roman"/>
        </w:rPr>
        <w:t xml:space="preserve"> w jakim </w:t>
      </w:r>
      <w:r w:rsidR="0048753A" w:rsidRPr="00847876">
        <w:rPr>
          <w:rFonts w:ascii="Times New Roman" w:hAnsi="Times New Roman"/>
        </w:rPr>
        <w:t xml:space="preserve">jest to </w:t>
      </w:r>
      <w:r w:rsidR="00847876" w:rsidRPr="00847876">
        <w:rPr>
          <w:rFonts w:ascii="Times New Roman" w:hAnsi="Times New Roman"/>
        </w:rPr>
        <w:t xml:space="preserve">osiągane przez prowadzenie przez </w:t>
      </w:r>
      <w:r w:rsidR="00975549">
        <w:rPr>
          <w:rFonts w:ascii="Times New Roman" w:hAnsi="Times New Roman"/>
        </w:rPr>
        <w:t>Centralny Azyl</w:t>
      </w:r>
      <w:r w:rsidR="00975549" w:rsidRPr="00847876">
        <w:rPr>
          <w:rFonts w:ascii="Times New Roman" w:hAnsi="Times New Roman"/>
        </w:rPr>
        <w:t xml:space="preserve"> </w:t>
      </w:r>
      <w:r w:rsidR="00847876" w:rsidRPr="00847876">
        <w:rPr>
          <w:rFonts w:ascii="Times New Roman" w:hAnsi="Times New Roman"/>
        </w:rPr>
        <w:t xml:space="preserve">działalności edukacyjnej, informacyjnej i promocyjnej. Omawiane uzupełnienie pozwoli na występowanie przez </w:t>
      </w:r>
      <w:r w:rsidR="004A306E">
        <w:rPr>
          <w:rFonts w:ascii="Times New Roman" w:hAnsi="Times New Roman"/>
        </w:rPr>
        <w:t>Centralny Azyl</w:t>
      </w:r>
      <w:r w:rsidR="004A306E" w:rsidRPr="00847876">
        <w:rPr>
          <w:rFonts w:ascii="Times New Roman" w:hAnsi="Times New Roman"/>
        </w:rPr>
        <w:t xml:space="preserve"> </w:t>
      </w:r>
      <w:r w:rsidR="00847876" w:rsidRPr="00847876">
        <w:rPr>
          <w:rFonts w:ascii="Times New Roman" w:hAnsi="Times New Roman"/>
        </w:rPr>
        <w:t>o zewnętrzne źródła finansowania, do których dostęp uzależniony jest od posiadania wzmiankowanych zadań/działalności zdefiniowanych w</w:t>
      </w:r>
      <w:r w:rsidR="0048753A">
        <w:rPr>
          <w:rFonts w:ascii="Times New Roman" w:hAnsi="Times New Roman"/>
        </w:rPr>
        <w:t> </w:t>
      </w:r>
      <w:r w:rsidR="00847876" w:rsidRPr="00847876">
        <w:rPr>
          <w:rFonts w:ascii="Times New Roman" w:hAnsi="Times New Roman"/>
        </w:rPr>
        <w:t>dokumentach bazowych (ustawa, statut), a które to weryfikowane są pod kątem spełniania założeń danego projektu/przedsięwzięcia</w:t>
      </w:r>
      <w:r w:rsidR="00DC4592">
        <w:rPr>
          <w:rFonts w:ascii="Times New Roman" w:hAnsi="Times New Roman"/>
        </w:rPr>
        <w:t>,</w:t>
      </w:r>
      <w:r w:rsidR="00847876" w:rsidRPr="00847876">
        <w:rPr>
          <w:rFonts w:ascii="Times New Roman" w:hAnsi="Times New Roman"/>
        </w:rPr>
        <w:t xml:space="preserve"> czy też możliwości zakwalifikowania </w:t>
      </w:r>
      <w:r w:rsidR="00975549">
        <w:rPr>
          <w:rFonts w:ascii="Times New Roman" w:hAnsi="Times New Roman"/>
        </w:rPr>
        <w:t>Centralnego Azylu</w:t>
      </w:r>
      <w:r w:rsidR="00975549" w:rsidRPr="00847876">
        <w:rPr>
          <w:rFonts w:ascii="Times New Roman" w:hAnsi="Times New Roman"/>
        </w:rPr>
        <w:t xml:space="preserve"> </w:t>
      </w:r>
      <w:r w:rsidR="00847876" w:rsidRPr="00847876">
        <w:rPr>
          <w:rFonts w:ascii="Times New Roman" w:hAnsi="Times New Roman"/>
        </w:rPr>
        <w:t xml:space="preserve">do grupy docelowej projektu/przedsięwzięcia. Zestawianie zadań </w:t>
      </w:r>
      <w:r w:rsidR="00975549">
        <w:rPr>
          <w:rFonts w:ascii="Times New Roman" w:hAnsi="Times New Roman"/>
        </w:rPr>
        <w:t>Centralnego Azylu</w:t>
      </w:r>
      <w:r w:rsidR="00975549" w:rsidRPr="00847876">
        <w:rPr>
          <w:rFonts w:ascii="Times New Roman" w:hAnsi="Times New Roman"/>
        </w:rPr>
        <w:t xml:space="preserve"> </w:t>
      </w:r>
      <w:r w:rsidR="00847876" w:rsidRPr="00847876">
        <w:rPr>
          <w:rFonts w:ascii="Times New Roman" w:hAnsi="Times New Roman"/>
        </w:rPr>
        <w:t>z</w:t>
      </w:r>
      <w:r w:rsidR="0048753A">
        <w:rPr>
          <w:rFonts w:ascii="Times New Roman" w:hAnsi="Times New Roman"/>
        </w:rPr>
        <w:t> </w:t>
      </w:r>
      <w:r w:rsidR="00847876" w:rsidRPr="00847876">
        <w:rPr>
          <w:rFonts w:ascii="Times New Roman" w:hAnsi="Times New Roman"/>
        </w:rPr>
        <w:t xml:space="preserve">zadaniami innych </w:t>
      </w:r>
      <w:proofErr w:type="spellStart"/>
      <w:r w:rsidR="00847876" w:rsidRPr="00847876">
        <w:rPr>
          <w:rFonts w:ascii="Times New Roman" w:hAnsi="Times New Roman"/>
        </w:rPr>
        <w:t>azyli</w:t>
      </w:r>
      <w:proofErr w:type="spellEnd"/>
      <w:r w:rsidR="00847876" w:rsidRPr="00847876">
        <w:rPr>
          <w:rFonts w:ascii="Times New Roman" w:hAnsi="Times New Roman"/>
        </w:rPr>
        <w:t xml:space="preserve"> działających na podstawie </w:t>
      </w:r>
      <w:r w:rsidR="00C25909">
        <w:rPr>
          <w:rFonts w:ascii="Times New Roman" w:hAnsi="Times New Roman"/>
        </w:rPr>
        <w:t>uop</w:t>
      </w:r>
      <w:r w:rsidR="00847876" w:rsidRPr="00847876">
        <w:rPr>
          <w:rFonts w:ascii="Times New Roman" w:hAnsi="Times New Roman"/>
        </w:rPr>
        <w:t xml:space="preserve"> nie jest uzasadnione</w:t>
      </w:r>
      <w:r w:rsidR="0048753A">
        <w:rPr>
          <w:rFonts w:ascii="Times New Roman" w:hAnsi="Times New Roman"/>
        </w:rPr>
        <w:t>,</w:t>
      </w:r>
      <w:r w:rsidR="00847876" w:rsidRPr="00847876">
        <w:rPr>
          <w:rFonts w:ascii="Times New Roman" w:hAnsi="Times New Roman"/>
        </w:rPr>
        <w:t xml:space="preserve"> bowiem podstawą ich działania są </w:t>
      </w:r>
      <w:r w:rsidR="00975549">
        <w:rPr>
          <w:rFonts w:ascii="Times New Roman" w:hAnsi="Times New Roman"/>
        </w:rPr>
        <w:t>inne</w:t>
      </w:r>
      <w:r w:rsidR="00847876" w:rsidRPr="00847876">
        <w:rPr>
          <w:rFonts w:ascii="Times New Roman" w:hAnsi="Times New Roman"/>
        </w:rPr>
        <w:t xml:space="preserve"> przepisy materialne. </w:t>
      </w:r>
      <w:r w:rsidR="00044A6C">
        <w:rPr>
          <w:rFonts w:ascii="Times New Roman" w:hAnsi="Times New Roman"/>
        </w:rPr>
        <w:t>Dodanie zadań z zakresu edukacji</w:t>
      </w:r>
      <w:r w:rsidR="000B3977">
        <w:rPr>
          <w:rFonts w:ascii="Times New Roman" w:hAnsi="Times New Roman"/>
        </w:rPr>
        <w:t xml:space="preserve"> umożliwi realizację</w:t>
      </w:r>
      <w:r w:rsidR="00530376">
        <w:rPr>
          <w:rFonts w:ascii="Times New Roman" w:hAnsi="Times New Roman"/>
        </w:rPr>
        <w:t xml:space="preserve"> </w:t>
      </w:r>
      <w:r w:rsidR="00530376" w:rsidRPr="00C967B3">
        <w:rPr>
          <w:rFonts w:ascii="Times New Roman" w:hAnsi="Times New Roman"/>
        </w:rPr>
        <w:t>kampanii edukacyjnych, w tym organizacji spotkań, udział w targach, wystawach czy innych wydarzeniach społecznych</w:t>
      </w:r>
      <w:r w:rsidR="00530376">
        <w:rPr>
          <w:rFonts w:ascii="Times New Roman" w:hAnsi="Times New Roman"/>
        </w:rPr>
        <w:t xml:space="preserve"> </w:t>
      </w:r>
      <w:r w:rsidR="00530376" w:rsidRPr="00C967B3">
        <w:rPr>
          <w:rFonts w:ascii="Times New Roman" w:hAnsi="Times New Roman"/>
        </w:rPr>
        <w:t>związanych z problematyką działalności Centralnego Azylu</w:t>
      </w:r>
      <w:r w:rsidR="00530376">
        <w:rPr>
          <w:rFonts w:ascii="Times New Roman" w:hAnsi="Times New Roman"/>
        </w:rPr>
        <w:t xml:space="preserve">. </w:t>
      </w:r>
      <w:r w:rsidR="00267781">
        <w:rPr>
          <w:rFonts w:ascii="Times New Roman" w:hAnsi="Times New Roman"/>
        </w:rPr>
        <w:t>Współpraca w tym zakresie umożliwi m.in. przekazywanie zainteresowanym jednostkom naukowym, o który</w:t>
      </w:r>
      <w:r w:rsidR="00097882">
        <w:rPr>
          <w:rFonts w:ascii="Times New Roman" w:hAnsi="Times New Roman"/>
        </w:rPr>
        <w:t>ch</w:t>
      </w:r>
      <w:r w:rsidR="00267781">
        <w:rPr>
          <w:rFonts w:ascii="Times New Roman" w:hAnsi="Times New Roman"/>
        </w:rPr>
        <w:t xml:space="preserve"> mowa w </w:t>
      </w:r>
      <w:r w:rsidR="00267781" w:rsidRPr="00267781">
        <w:rPr>
          <w:rFonts w:ascii="Times New Roman" w:hAnsi="Times New Roman"/>
        </w:rPr>
        <w:t xml:space="preserve">art. 7 ustawy z dnia 20 lipca 2018 r. </w:t>
      </w:r>
      <w:r w:rsidR="00946C3F">
        <w:rPr>
          <w:rFonts w:ascii="Times New Roman" w:hAnsi="Times New Roman"/>
        </w:rPr>
        <w:sym w:font="Symbol" w:char="F02D"/>
      </w:r>
      <w:r w:rsidR="00946C3F">
        <w:rPr>
          <w:rFonts w:ascii="Times New Roman" w:hAnsi="Times New Roman"/>
        </w:rPr>
        <w:t xml:space="preserve"> </w:t>
      </w:r>
      <w:r w:rsidR="00267781" w:rsidRPr="00267781">
        <w:rPr>
          <w:rFonts w:ascii="Times New Roman" w:hAnsi="Times New Roman"/>
        </w:rPr>
        <w:t>Prawo o</w:t>
      </w:r>
      <w:r w:rsidR="0048753A">
        <w:rPr>
          <w:rFonts w:ascii="Times New Roman" w:hAnsi="Times New Roman"/>
        </w:rPr>
        <w:t> </w:t>
      </w:r>
      <w:r w:rsidR="00267781" w:rsidRPr="00267781">
        <w:rPr>
          <w:rFonts w:ascii="Times New Roman" w:hAnsi="Times New Roman"/>
        </w:rPr>
        <w:t>szkolnictwie wyższym i nauce (Dz.</w:t>
      </w:r>
      <w:r w:rsidR="00F735E1">
        <w:rPr>
          <w:rFonts w:ascii="Times New Roman" w:hAnsi="Times New Roman"/>
        </w:rPr>
        <w:t xml:space="preserve"> </w:t>
      </w:r>
      <w:r w:rsidR="00267781" w:rsidRPr="00267781">
        <w:rPr>
          <w:rFonts w:ascii="Times New Roman" w:hAnsi="Times New Roman"/>
        </w:rPr>
        <w:t>U. z 2024 r. poz. 1571</w:t>
      </w:r>
      <w:r w:rsidR="00FE6C00">
        <w:rPr>
          <w:rFonts w:ascii="Times New Roman" w:hAnsi="Times New Roman"/>
        </w:rPr>
        <w:t xml:space="preserve"> z późn. zm.</w:t>
      </w:r>
      <w:r w:rsidR="00267781" w:rsidRPr="00267781">
        <w:rPr>
          <w:rFonts w:ascii="Times New Roman" w:hAnsi="Times New Roman"/>
        </w:rPr>
        <w:t>)</w:t>
      </w:r>
      <w:r w:rsidR="001C184E">
        <w:rPr>
          <w:rFonts w:ascii="Times New Roman" w:hAnsi="Times New Roman"/>
        </w:rPr>
        <w:t>,</w:t>
      </w:r>
      <w:r w:rsidR="00267781">
        <w:rPr>
          <w:rFonts w:ascii="Times New Roman" w:hAnsi="Times New Roman"/>
        </w:rPr>
        <w:t xml:space="preserve"> materiału biologicznego do celów badawczych. </w:t>
      </w:r>
      <w:r w:rsidR="00530376" w:rsidRPr="00C967B3">
        <w:rPr>
          <w:rFonts w:ascii="Times New Roman" w:hAnsi="Times New Roman"/>
        </w:rPr>
        <w:t xml:space="preserve">Zadania te będą stanowiły </w:t>
      </w:r>
      <w:r w:rsidR="00267781">
        <w:rPr>
          <w:rFonts w:ascii="Times New Roman" w:hAnsi="Times New Roman"/>
        </w:rPr>
        <w:t xml:space="preserve">również </w:t>
      </w:r>
      <w:r w:rsidR="00530376" w:rsidRPr="00C967B3">
        <w:rPr>
          <w:rFonts w:ascii="Times New Roman" w:hAnsi="Times New Roman"/>
        </w:rPr>
        <w:t xml:space="preserve">istotną część działalności </w:t>
      </w:r>
      <w:r w:rsidR="00975549">
        <w:rPr>
          <w:rFonts w:ascii="Times New Roman" w:hAnsi="Times New Roman"/>
        </w:rPr>
        <w:t>Centralnego Azylu</w:t>
      </w:r>
      <w:r w:rsidR="00975549" w:rsidRPr="00C967B3">
        <w:rPr>
          <w:rFonts w:ascii="Times New Roman" w:hAnsi="Times New Roman"/>
        </w:rPr>
        <w:t xml:space="preserve"> </w:t>
      </w:r>
      <w:r w:rsidR="00530376" w:rsidRPr="00C967B3">
        <w:rPr>
          <w:rFonts w:ascii="Times New Roman" w:hAnsi="Times New Roman"/>
        </w:rPr>
        <w:t xml:space="preserve">w okresie </w:t>
      </w:r>
      <w:r w:rsidR="00530376">
        <w:rPr>
          <w:rFonts w:ascii="Times New Roman" w:hAnsi="Times New Roman"/>
        </w:rPr>
        <w:t xml:space="preserve">budowy ośrodka czasowego przetrzymywania zwierząt, a ze względu na trwający proces inwestycyjny umożliwią </w:t>
      </w:r>
      <w:r w:rsidR="000B3977">
        <w:rPr>
          <w:rFonts w:ascii="Times New Roman" w:hAnsi="Times New Roman"/>
        </w:rPr>
        <w:t>m</w:t>
      </w:r>
      <w:r w:rsidR="0048753A">
        <w:rPr>
          <w:rFonts w:ascii="Times New Roman" w:hAnsi="Times New Roman"/>
        </w:rPr>
        <w:t>.</w:t>
      </w:r>
      <w:r w:rsidR="000B3977">
        <w:rPr>
          <w:rFonts w:ascii="Times New Roman" w:hAnsi="Times New Roman"/>
        </w:rPr>
        <w:t>in</w:t>
      </w:r>
      <w:r w:rsidR="00530376">
        <w:rPr>
          <w:rFonts w:ascii="Times New Roman" w:hAnsi="Times New Roman"/>
        </w:rPr>
        <w:t xml:space="preserve">. przygotowanie </w:t>
      </w:r>
      <w:r w:rsidR="00530376">
        <w:rPr>
          <w:rFonts w:ascii="Times New Roman" w:hAnsi="Times New Roman"/>
        </w:rPr>
        <w:lastRenderedPageBreak/>
        <w:t xml:space="preserve">materiałów dla studentów architektury, leśnictwa, ochrony środowiska nt. metod zapobiegania i ograniczania ucieczek </w:t>
      </w:r>
      <w:r w:rsidR="00381DA7">
        <w:rPr>
          <w:rFonts w:ascii="Times New Roman" w:hAnsi="Times New Roman"/>
        </w:rPr>
        <w:t>zwierząt należących do grupy inwazyjnych gatunków obcych</w:t>
      </w:r>
      <w:r w:rsidR="00381DA7">
        <w:rPr>
          <w:rStyle w:val="Odwoanieprzypisudolnego"/>
          <w:rFonts w:ascii="Times New Roman" w:hAnsi="Times New Roman"/>
        </w:rPr>
        <w:footnoteReference w:id="1"/>
      </w:r>
      <w:r w:rsidR="006452C0" w:rsidRPr="00CF04D1">
        <w:rPr>
          <w:rFonts w:ascii="Times New Roman" w:hAnsi="Times New Roman"/>
          <w:vertAlign w:val="superscript"/>
        </w:rPr>
        <w:t>)</w:t>
      </w:r>
      <w:r w:rsidR="00381DA7" w:rsidRPr="00CF04D1">
        <w:rPr>
          <w:rFonts w:ascii="Times New Roman" w:hAnsi="Times New Roman"/>
          <w:vertAlign w:val="superscript"/>
        </w:rPr>
        <w:t xml:space="preserve"> </w:t>
      </w:r>
      <w:r w:rsidR="00530376">
        <w:rPr>
          <w:rFonts w:ascii="Times New Roman" w:hAnsi="Times New Roman"/>
        </w:rPr>
        <w:t>z miejsc ich przetrzymywania</w:t>
      </w:r>
      <w:r w:rsidR="00530376" w:rsidRPr="00C967B3">
        <w:rPr>
          <w:rFonts w:ascii="Times New Roman" w:hAnsi="Times New Roman"/>
        </w:rPr>
        <w:t>.</w:t>
      </w:r>
    </w:p>
    <w:p w14:paraId="2907508B" w14:textId="565EDB1B" w:rsidR="00B16DF4" w:rsidRDefault="00B16DF4" w:rsidP="00692420">
      <w:pPr>
        <w:pStyle w:val="ARTartustawynprozporzdzenia"/>
      </w:pPr>
      <w:r w:rsidRPr="005843DE">
        <w:t xml:space="preserve">Dodanie </w:t>
      </w:r>
      <w:r w:rsidR="000657F9">
        <w:t xml:space="preserve">do ustawy o Centralnym Azylu </w:t>
      </w:r>
      <w:r w:rsidRPr="005843DE">
        <w:t xml:space="preserve">art. 4a </w:t>
      </w:r>
      <w:r w:rsidR="00E07092" w:rsidRPr="005843DE">
        <w:t>ma na celu doprecyzowanie</w:t>
      </w:r>
      <w:r w:rsidR="00692420" w:rsidRPr="005843DE">
        <w:t xml:space="preserve"> możliwości</w:t>
      </w:r>
      <w:r w:rsidR="00E07092" w:rsidRPr="005843DE">
        <w:t xml:space="preserve"> </w:t>
      </w:r>
      <w:r w:rsidRPr="005843DE">
        <w:t xml:space="preserve">współpracy </w:t>
      </w:r>
      <w:r w:rsidR="00E07092" w:rsidRPr="005843DE">
        <w:t xml:space="preserve">Centralnego Azylu </w:t>
      </w:r>
      <w:r w:rsidRPr="005843DE">
        <w:t>z innymi podmiotami w zakresie czasowego przetrzymywania zwierząt</w:t>
      </w:r>
      <w:r w:rsidR="00E07092" w:rsidRPr="005843DE">
        <w:t xml:space="preserve"> oraz poddawania ich kwarantannie lub izolacji.</w:t>
      </w:r>
      <w:r w:rsidRPr="005843DE">
        <w:t xml:space="preserve"> </w:t>
      </w:r>
      <w:r w:rsidR="00692420" w:rsidRPr="005843DE">
        <w:t>Możliwość współpracy Centralnego Azylu z innymi podmiotami wynika z art. 5 ust. 4</w:t>
      </w:r>
      <w:r w:rsidR="000657F9">
        <w:t xml:space="preserve"> ustawy o Centralnym Azylu</w:t>
      </w:r>
      <w:r w:rsidR="00692420" w:rsidRPr="005843DE">
        <w:t>. O ile jednak współpraca w zakresie transportu została doprecyzowana w art. 10</w:t>
      </w:r>
      <w:r w:rsidR="000657F9">
        <w:t xml:space="preserve"> tej ustawy</w:t>
      </w:r>
      <w:r w:rsidR="00692420" w:rsidRPr="005843DE">
        <w:t xml:space="preserve">, to nie było analogicznego doprecyzowania w zakresie czasowego przetrzymywania zwierząt oraz poddawania ich kwarantannie lub izolacji. W związku z powyższym należy wprowadzić przepis dotyczący tych zadań. Wprowadzenie powyższego przepisu uzasadnione jest ponadto </w:t>
      </w:r>
      <w:r w:rsidRPr="005843DE">
        <w:rPr>
          <w:rFonts w:ascii="Times New Roman" w:hAnsi="Times New Roman"/>
        </w:rPr>
        <w:t xml:space="preserve">brakiem możliwości wykonywania </w:t>
      </w:r>
      <w:r w:rsidR="00692420" w:rsidRPr="00316A24">
        <w:rPr>
          <w:rFonts w:ascii="Times New Roman" w:hAnsi="Times New Roman"/>
        </w:rPr>
        <w:t xml:space="preserve">przez Centralny Azyl powyższych </w:t>
      </w:r>
      <w:r w:rsidRPr="005843DE">
        <w:rPr>
          <w:rFonts w:ascii="Times New Roman" w:hAnsi="Times New Roman"/>
        </w:rPr>
        <w:t xml:space="preserve">zadań do czasu </w:t>
      </w:r>
      <w:r w:rsidR="00692420" w:rsidRPr="00316A24">
        <w:rPr>
          <w:rFonts w:ascii="Times New Roman" w:hAnsi="Times New Roman"/>
        </w:rPr>
        <w:t xml:space="preserve">zakończenia </w:t>
      </w:r>
      <w:r w:rsidRPr="005843DE">
        <w:rPr>
          <w:rFonts w:ascii="Times New Roman" w:hAnsi="Times New Roman"/>
        </w:rPr>
        <w:t>budowy siedziby Centralnego Azylu</w:t>
      </w:r>
      <w:r w:rsidR="00E60F26" w:rsidRPr="005843DE">
        <w:rPr>
          <w:rFonts w:ascii="Times New Roman" w:hAnsi="Times New Roman"/>
        </w:rPr>
        <w:t>.</w:t>
      </w:r>
      <w:r w:rsidRPr="005843DE">
        <w:t xml:space="preserve"> </w:t>
      </w:r>
      <w:r w:rsidR="001614B0">
        <w:t>Z powierzenia innym podmiotom zadań z</w:t>
      </w:r>
      <w:r w:rsidR="00C53CFB">
        <w:t> </w:t>
      </w:r>
      <w:r w:rsidR="001614B0">
        <w:t>zakresu czasowego przetrzymywania zwierząt i poddawania ich kwarantannie lub izolacji wynika konieczność powierzenia im zadania dotyczącego znakowania zwierząt, wobec których nie dopełniono takiego obowiązku.</w:t>
      </w:r>
    </w:p>
    <w:p w14:paraId="746B0ECE" w14:textId="4974E1E3" w:rsidR="00B50BE6" w:rsidRDefault="001220D2" w:rsidP="005B6C71">
      <w:pPr>
        <w:pStyle w:val="ARTartustawynprozporzdzenia"/>
      </w:pPr>
      <w:r>
        <w:t xml:space="preserve">Dodanie art. 4b do ustawy o Centralnym Azylu dla Zwierząt ma na celu uregulowanie sytuacji, w </w:t>
      </w:r>
      <w:r w:rsidR="00B42D1F">
        <w:t xml:space="preserve">której </w:t>
      </w:r>
      <w:r>
        <w:t>przyjęcie zwierz</w:t>
      </w:r>
      <w:r w:rsidR="00B42D1F">
        <w:t xml:space="preserve">ąt </w:t>
      </w:r>
      <w:r w:rsidR="00B42D1F" w:rsidRPr="00B42D1F">
        <w:t>przekazanych przez organy celne lub organy Policji</w:t>
      </w:r>
      <w:r>
        <w:t xml:space="preserve"> nie jest możliwe ze względu na </w:t>
      </w:r>
      <w:r w:rsidR="007F229A">
        <w:t>brak</w:t>
      </w:r>
      <w:r w:rsidR="00B42D1F">
        <w:t xml:space="preserve"> możliwości zapewnienia</w:t>
      </w:r>
      <w:r w:rsidR="007F229A">
        <w:t xml:space="preserve"> </w:t>
      </w:r>
      <w:r w:rsidR="00B42D1F">
        <w:t>właściwych</w:t>
      </w:r>
      <w:r>
        <w:t xml:space="preserve"> warunków przetrzymywania i opieki, przekroczenia przepustowości Centralnego Azylu lub ryzyka przekroczenia ustalonego limitu wydatków budżetowych. </w:t>
      </w:r>
      <w:r w:rsidR="00387F46">
        <w:t>D</w:t>
      </w:r>
      <w:r>
        <w:t>odawany przepis zapewnia ramy prawne do podejmowania czynności zmierzających do przekazania zwierzęcia do innej, wyspecjalizowanej instytucji (ogrodu zoologicznego, ośrodka rehabilitacji, innego azylu).</w:t>
      </w:r>
    </w:p>
    <w:p w14:paraId="485F2C9A" w14:textId="102305D7" w:rsidR="000B3977" w:rsidRDefault="000B3977" w:rsidP="005B6C71">
      <w:pPr>
        <w:pStyle w:val="ARTartustawynprozporzdzenia"/>
      </w:pPr>
      <w:r>
        <w:t>Zmiany w art. 5</w:t>
      </w:r>
      <w:r w:rsidR="00930F14">
        <w:t xml:space="preserve"> </w:t>
      </w:r>
      <w:r w:rsidR="000657F9">
        <w:t>pkt</w:t>
      </w:r>
      <w:r>
        <w:t xml:space="preserve"> 4 </w:t>
      </w:r>
      <w:r w:rsidR="000657F9">
        <w:t>ustawy o Centralnym Azylu</w:t>
      </w:r>
      <w:r w:rsidR="000E25B3">
        <w:t xml:space="preserve"> </w:t>
      </w:r>
      <w:r>
        <w:t xml:space="preserve">obejmujące poszerzenie listy podmiotów współpracujących z Centralnym Azylem o instytucje naukowe oraz dodanie </w:t>
      </w:r>
      <w:r w:rsidR="006F1ACD">
        <w:t xml:space="preserve">odesłania </w:t>
      </w:r>
      <w:r>
        <w:t xml:space="preserve">do </w:t>
      </w:r>
      <w:r w:rsidR="00587EEB">
        <w:t>nowo</w:t>
      </w:r>
      <w:r w:rsidR="00243E63">
        <w:t xml:space="preserve"> </w:t>
      </w:r>
      <w:r w:rsidR="00587EEB">
        <w:t xml:space="preserve">wprowadzonego art. 4 pkt 9 są konsekwencją rozszerzenia zakresu zadań Centralnego Azylu </w:t>
      </w:r>
      <w:r w:rsidR="00692420">
        <w:t>o zadania, o których mowa w art. 4 pkt 9</w:t>
      </w:r>
      <w:r w:rsidR="00587EEB">
        <w:t>.</w:t>
      </w:r>
      <w:r w:rsidR="00467CFA">
        <w:t xml:space="preserve"> </w:t>
      </w:r>
      <w:r w:rsidR="00467CFA">
        <w:rPr>
          <w:rFonts w:ascii="Times New Roman" w:hAnsi="Times New Roman"/>
        </w:rPr>
        <w:t>Współpraca z instytucjami naukowymi u</w:t>
      </w:r>
      <w:r w:rsidR="00467CFA" w:rsidRPr="00C967B3">
        <w:rPr>
          <w:rFonts w:ascii="Times New Roman" w:hAnsi="Times New Roman"/>
        </w:rPr>
        <w:t xml:space="preserve">możliwi </w:t>
      </w:r>
      <w:r w:rsidR="00467CFA">
        <w:rPr>
          <w:rFonts w:ascii="Times New Roman" w:hAnsi="Times New Roman"/>
        </w:rPr>
        <w:t>m.in. p</w:t>
      </w:r>
      <w:r w:rsidR="00467CFA" w:rsidRPr="00C967B3">
        <w:rPr>
          <w:rFonts w:ascii="Times New Roman" w:hAnsi="Times New Roman"/>
        </w:rPr>
        <w:t>rzekazanie uśmiercon</w:t>
      </w:r>
      <w:r w:rsidR="00467CFA">
        <w:rPr>
          <w:rFonts w:ascii="Times New Roman" w:hAnsi="Times New Roman"/>
        </w:rPr>
        <w:t>ych</w:t>
      </w:r>
      <w:r w:rsidR="00467CFA" w:rsidRPr="00C967B3">
        <w:rPr>
          <w:rFonts w:ascii="Times New Roman" w:hAnsi="Times New Roman"/>
        </w:rPr>
        <w:t xml:space="preserve"> lub padł</w:t>
      </w:r>
      <w:r w:rsidR="00467CFA">
        <w:rPr>
          <w:rFonts w:ascii="Times New Roman" w:hAnsi="Times New Roman"/>
        </w:rPr>
        <w:t xml:space="preserve">ych </w:t>
      </w:r>
      <w:r w:rsidR="00467CFA" w:rsidRPr="00C967B3">
        <w:rPr>
          <w:rFonts w:ascii="Times New Roman" w:hAnsi="Times New Roman"/>
        </w:rPr>
        <w:t>zwierz</w:t>
      </w:r>
      <w:r w:rsidR="00467CFA">
        <w:rPr>
          <w:rFonts w:ascii="Times New Roman" w:hAnsi="Times New Roman"/>
        </w:rPr>
        <w:t>ąt</w:t>
      </w:r>
      <w:r w:rsidR="00467CFA" w:rsidRPr="00C967B3">
        <w:rPr>
          <w:rFonts w:ascii="Times New Roman" w:hAnsi="Times New Roman"/>
        </w:rPr>
        <w:t xml:space="preserve"> podmioto</w:t>
      </w:r>
      <w:r w:rsidR="00467CFA">
        <w:rPr>
          <w:rFonts w:ascii="Times New Roman" w:hAnsi="Times New Roman"/>
        </w:rPr>
        <w:t>m</w:t>
      </w:r>
      <w:r w:rsidR="00467CFA" w:rsidRPr="00C967B3">
        <w:rPr>
          <w:rFonts w:ascii="Times New Roman" w:hAnsi="Times New Roman"/>
        </w:rPr>
        <w:t xml:space="preserve"> </w:t>
      </w:r>
      <w:r w:rsidR="00467CFA" w:rsidRPr="00C967B3">
        <w:rPr>
          <w:rFonts w:ascii="Times New Roman" w:hAnsi="Times New Roman"/>
        </w:rPr>
        <w:lastRenderedPageBreak/>
        <w:t>naukow</w:t>
      </w:r>
      <w:r w:rsidR="00467CFA">
        <w:rPr>
          <w:rFonts w:ascii="Times New Roman" w:hAnsi="Times New Roman"/>
        </w:rPr>
        <w:t>ym</w:t>
      </w:r>
      <w:r w:rsidR="00467CFA" w:rsidRPr="00C967B3">
        <w:rPr>
          <w:rFonts w:ascii="Times New Roman" w:hAnsi="Times New Roman"/>
        </w:rPr>
        <w:t xml:space="preserve"> w celach badawczych</w:t>
      </w:r>
      <w:r w:rsidR="00467CFA">
        <w:rPr>
          <w:rFonts w:ascii="Times New Roman" w:hAnsi="Times New Roman"/>
        </w:rPr>
        <w:t>,</w:t>
      </w:r>
      <w:r w:rsidR="00467CFA" w:rsidRPr="00C967B3">
        <w:rPr>
          <w:rFonts w:ascii="Times New Roman" w:hAnsi="Times New Roman"/>
        </w:rPr>
        <w:t xml:space="preserve"> prezentację czasowo przetrzymywanych żywych osobników w celach edukacyjnych</w:t>
      </w:r>
      <w:r w:rsidR="00C53CFB">
        <w:rPr>
          <w:rFonts w:ascii="Times New Roman" w:hAnsi="Times New Roman"/>
        </w:rPr>
        <w:t xml:space="preserve"> lub </w:t>
      </w:r>
      <w:r w:rsidR="00467CFA" w:rsidRPr="00C967B3">
        <w:rPr>
          <w:rFonts w:ascii="Times New Roman" w:hAnsi="Times New Roman"/>
        </w:rPr>
        <w:t>szkoleniowych</w:t>
      </w:r>
      <w:r w:rsidR="00467CFA">
        <w:rPr>
          <w:rFonts w:ascii="Times New Roman" w:hAnsi="Times New Roman"/>
        </w:rPr>
        <w:t>.</w:t>
      </w:r>
    </w:p>
    <w:p w14:paraId="7D53047C" w14:textId="431C34E3" w:rsidR="0026694F" w:rsidRPr="00A536C0" w:rsidRDefault="0026694F" w:rsidP="0026694F">
      <w:pPr>
        <w:pStyle w:val="ARTartustawynprozporzdzenia"/>
      </w:pPr>
      <w:r w:rsidRPr="00A536C0">
        <w:t>Zmiana w art. 6 ust. 1 ustawy o Centralnym Azylu polega na doprecyzowaniu formy protokołu przyjęcia zwierzęcia. Doprecyzowanie to obejmuje zarówno dokumenty papierowe opatrzone podpisem własnoręcznym, jak i dokumenty elektroniczne opatrzone kwalifikowanym podpisem elektronicznym, podpisem zaufanym lub podpisem osobistym. Ma to na celu ujednolicenie i ułatwienie procedur przyjmowania zwierząt do Centralnego Azylu z</w:t>
      </w:r>
      <w:r w:rsidR="00243E63">
        <w:t> </w:t>
      </w:r>
      <w:r w:rsidRPr="00A536C0">
        <w:t>wykorzystaniem nowoczesnych form komunikacji.</w:t>
      </w:r>
    </w:p>
    <w:p w14:paraId="0059F633" w14:textId="2C25B365" w:rsidR="00780971" w:rsidRDefault="00780971" w:rsidP="00780971">
      <w:pPr>
        <w:pStyle w:val="ARTartustawynprozporzdzenia"/>
      </w:pPr>
      <w:r>
        <w:t>Zmian</w:t>
      </w:r>
      <w:r w:rsidR="005843DE">
        <w:t>y</w:t>
      </w:r>
      <w:r>
        <w:t xml:space="preserve"> w art. 6 ust. 2</w:t>
      </w:r>
      <w:r w:rsidR="00FC165E">
        <w:t xml:space="preserve"> </w:t>
      </w:r>
      <w:r w:rsidR="000E25B3">
        <w:t xml:space="preserve">ustawy o Centralnym Azylu </w:t>
      </w:r>
      <w:r w:rsidR="00FC165E">
        <w:t>dotyczącym obligatoryjnej treści protokołu przyjęcia zwierzęcia do Centralnego Azylu</w:t>
      </w:r>
      <w:r w:rsidR="005843DE">
        <w:t>:</w:t>
      </w:r>
      <w:r>
        <w:t xml:space="preserve"> </w:t>
      </w:r>
      <w:r w:rsidR="00FC165E">
        <w:t xml:space="preserve">skreślenie w </w:t>
      </w:r>
      <w:r>
        <w:t xml:space="preserve">pkt 3 </w:t>
      </w:r>
      <w:r w:rsidR="00FC165E">
        <w:t xml:space="preserve">słowa „nazwa”, odnoszącego się do Centralnego Azylu </w:t>
      </w:r>
      <w:r>
        <w:t>i dodanie pkt 3a dotyczące</w:t>
      </w:r>
      <w:r w:rsidR="005843DE">
        <w:t>go</w:t>
      </w:r>
      <w:r>
        <w:t xml:space="preserve"> </w:t>
      </w:r>
      <w:r w:rsidR="00FC165E">
        <w:t xml:space="preserve">wymogu wskazania miejsca i adresu przyjęcia zwierzęcia </w:t>
      </w:r>
      <w:r>
        <w:t>ma</w:t>
      </w:r>
      <w:r w:rsidR="00FC165E">
        <w:t>ją</w:t>
      </w:r>
      <w:r>
        <w:t xml:space="preserve"> charakter </w:t>
      </w:r>
      <w:r w:rsidR="00CF1E29">
        <w:t xml:space="preserve">porządkujący i </w:t>
      </w:r>
      <w:r>
        <w:t>doprecyzowujący.</w:t>
      </w:r>
    </w:p>
    <w:p w14:paraId="01B3F004" w14:textId="0E881CD6" w:rsidR="00AC5495" w:rsidRDefault="00605E45" w:rsidP="00CF65A3">
      <w:pPr>
        <w:pStyle w:val="ARTartustawynprozporzdzenia"/>
      </w:pPr>
      <w:r>
        <w:t xml:space="preserve">Zmiana art. 7 ust. 1 </w:t>
      </w:r>
      <w:r w:rsidR="000E25B3">
        <w:t xml:space="preserve">ustawy o Centralnym Azylu </w:t>
      </w:r>
      <w:r w:rsidR="00316A24">
        <w:t xml:space="preserve">ma na celu usprawnienie procesu przyjmowania zwierząt i </w:t>
      </w:r>
      <w:r w:rsidR="000E25B3">
        <w:t xml:space="preserve">polega na </w:t>
      </w:r>
      <w:r w:rsidR="00C4392A">
        <w:t>umożliwieniu wniesienia</w:t>
      </w:r>
      <w:r w:rsidR="0089118D">
        <w:t xml:space="preserve"> </w:t>
      </w:r>
      <w:r>
        <w:t xml:space="preserve">prośby o przyjęcie zwierzęcia do Centralnego Azylu </w:t>
      </w:r>
      <w:r w:rsidR="0089118D">
        <w:t>lub o transport zwierzęcia</w:t>
      </w:r>
      <w:r w:rsidR="00CE2E75">
        <w:t>, które ma zostać przyjęte do Centralnego Azylu,</w:t>
      </w:r>
      <w:r w:rsidR="0089118D">
        <w:t xml:space="preserve"> </w:t>
      </w:r>
      <w:r w:rsidR="00585650" w:rsidRPr="00C4399D">
        <w:t>przy użyciu środków komunikacji elektronicznej w rozumieniu art. 2 pkt 5 ustawy z dnia 18</w:t>
      </w:r>
      <w:r w:rsidR="00243E63">
        <w:t> </w:t>
      </w:r>
      <w:r w:rsidR="00585650" w:rsidRPr="00C4399D">
        <w:t>lipca 2002 r. o świadczeniu usług drogą elektroniczną (Dz. U.</w:t>
      </w:r>
      <w:r w:rsidR="00DB06D6">
        <w:t xml:space="preserve"> </w:t>
      </w:r>
      <w:r w:rsidR="00585650" w:rsidRPr="00C4399D">
        <w:t>z</w:t>
      </w:r>
      <w:r w:rsidR="00CE2E75">
        <w:t> </w:t>
      </w:r>
      <w:r w:rsidR="00316A24">
        <w:t>2024 r. poz. 1513</w:t>
      </w:r>
      <w:r w:rsidR="00585650" w:rsidRPr="00C4399D">
        <w:t>)</w:t>
      </w:r>
      <w:r>
        <w:t xml:space="preserve">. </w:t>
      </w:r>
      <w:r w:rsidR="00AC5495">
        <w:t>Wprowadzono ponadto wymóg, aby prośba zawierała te spośród informacji o</w:t>
      </w:r>
      <w:r w:rsidR="00243E63">
        <w:t> </w:t>
      </w:r>
      <w:r w:rsidR="00AC5495">
        <w:t>zwierzęciu podawanych w protokole przyjęcia zwierzęcia do Centralnego Azylu, które już w</w:t>
      </w:r>
      <w:r w:rsidR="00243E63">
        <w:t> </w:t>
      </w:r>
      <w:r w:rsidR="00AC5495">
        <w:t xml:space="preserve">momencie składania prośby są dostępne. Ma to na celu usprawnienie obiegu informacji między </w:t>
      </w:r>
      <w:r w:rsidR="0089118D">
        <w:t xml:space="preserve">wnoszącym </w:t>
      </w:r>
      <w:r w:rsidR="00AC5495">
        <w:t>prośbę a Centralnym Azylem.</w:t>
      </w:r>
      <w:r w:rsidR="003F5314">
        <w:t xml:space="preserve"> </w:t>
      </w:r>
    </w:p>
    <w:p w14:paraId="291F9B69" w14:textId="5DE9F72E" w:rsidR="001C7853" w:rsidRPr="001C7853" w:rsidRDefault="00D144A6" w:rsidP="00B17DD5">
      <w:pPr>
        <w:pStyle w:val="ARTartustawynprozporzdzenia"/>
      </w:pPr>
      <w:r>
        <w:t xml:space="preserve">Zmiana wprowadzona w art. 7 ust. 5 </w:t>
      </w:r>
      <w:r w:rsidR="0089118D">
        <w:t xml:space="preserve">ustawy o Centralnym Azylu </w:t>
      </w:r>
      <w:r>
        <w:t xml:space="preserve">ma </w:t>
      </w:r>
      <w:r w:rsidR="0089118D">
        <w:t>na celu</w:t>
      </w:r>
      <w:r>
        <w:t xml:space="preserve"> zawężenie kryterium odmowy przyjęcia zwierzęcia do Centralnego Azylu w przypadku możliwości </w:t>
      </w:r>
      <w:r w:rsidRPr="00D144A6">
        <w:t>umieszczenia zwierzęcia w ogrodzie zoologicznym, ośrodku rehabilitacji zwierząt lub azylu dla zwierząt</w:t>
      </w:r>
      <w:r>
        <w:t xml:space="preserve"> przez konieczność uwzględnienia zakresu działalności tych podmiotów</w:t>
      </w:r>
      <w:r w:rsidR="00EE1076">
        <w:t xml:space="preserve"> przy udzielaniu zgody na przyjęcie zwierzęcia</w:t>
      </w:r>
      <w:r>
        <w:t>.</w:t>
      </w:r>
    </w:p>
    <w:p w14:paraId="34F1D3EF" w14:textId="7FDD1996" w:rsidR="009B1D0C" w:rsidRDefault="009B1D0C" w:rsidP="009B1D0C">
      <w:pPr>
        <w:pStyle w:val="ARTartustawynprozporzdzenia"/>
      </w:pPr>
      <w:r>
        <w:t>Zmiana w ust. 6</w:t>
      </w:r>
      <w:r w:rsidR="008F1C8B">
        <w:t xml:space="preserve"> art. 7</w:t>
      </w:r>
      <w:r>
        <w:t xml:space="preserve"> ustawy o Centralnym Azylu polegająca na doprecyzowaniu formy sporządzania protokołu odmowy przyjęcia ma na celu ujednolicenie procedur dokumentacyjnych stosowanych w </w:t>
      </w:r>
      <w:r w:rsidR="00DB06D6">
        <w:t xml:space="preserve">tej </w:t>
      </w:r>
      <w:r>
        <w:t xml:space="preserve">ustawie i odpowiada zmianom wprowadzanym w innych przepisach ustawy (art. 6 ust. 1, art. 7 ust. 1 i art. 7a ust. 1). Celem zmiany jest zapewnienie spójności formalnej dokumentów tworzonych w ramach realizacji zadań Centralnego Azylu, </w:t>
      </w:r>
      <w:r>
        <w:lastRenderedPageBreak/>
        <w:t>przy jednoczesnym umożliwieniu stosowania formy elektronicznej z zachowaniem odpowiednich środków autoryzacji.</w:t>
      </w:r>
    </w:p>
    <w:p w14:paraId="2EF4C6E3" w14:textId="6BD2A3FA" w:rsidR="00A92383" w:rsidRDefault="0005634F" w:rsidP="005C0CB5">
      <w:pPr>
        <w:pStyle w:val="ARTartustawynprozporzdzenia"/>
      </w:pPr>
      <w:r>
        <w:t xml:space="preserve">W art. 7 ust. 7 </w:t>
      </w:r>
      <w:r w:rsidR="00FF6C1E">
        <w:t xml:space="preserve">ustawy o Centralnym Azylu </w:t>
      </w:r>
      <w:r>
        <w:t xml:space="preserve">dotyczącym obligatoryjnej treści protokołu odmowy przyjęcia w pkt 3 skreślono </w:t>
      </w:r>
      <w:r w:rsidR="00CB041C">
        <w:t xml:space="preserve">wyraz </w:t>
      </w:r>
      <w:r>
        <w:t>„nazwa”, odnosząc</w:t>
      </w:r>
      <w:r w:rsidR="00243E63">
        <w:t>y</w:t>
      </w:r>
      <w:r>
        <w:t xml:space="preserve"> się do Centralnego Azylu, co stanowi zmianę analogiczną do wprowadzonej w art. 6 ust. 2 pkt 3 odnoszącym się do protokołu przyjęcia i</w:t>
      </w:r>
      <w:r w:rsidR="005C0CB5">
        <w:t> </w:t>
      </w:r>
      <w:r>
        <w:t xml:space="preserve">ma charakter doprecyzowujący. </w:t>
      </w:r>
      <w:r w:rsidR="005C0CB5">
        <w:t xml:space="preserve">Ponadto w ust. 7 </w:t>
      </w:r>
      <w:r w:rsidR="00DB06D6">
        <w:t xml:space="preserve">w art. 7 </w:t>
      </w:r>
      <w:r w:rsidR="005C0CB5">
        <w:t xml:space="preserve">uchylono punkty </w:t>
      </w:r>
      <w:r w:rsidR="004B4C31">
        <w:t xml:space="preserve">4 i 5, </w:t>
      </w:r>
      <w:r w:rsidR="005C0CB5">
        <w:t xml:space="preserve">nakazujące </w:t>
      </w:r>
      <w:r w:rsidR="004B4C31">
        <w:t>określenie gatunku, wieku i płci zwierzęcia</w:t>
      </w:r>
      <w:r w:rsidR="00FF6C1E">
        <w:t xml:space="preserve"> i </w:t>
      </w:r>
      <w:r w:rsidR="007F17A6">
        <w:t xml:space="preserve">zamieszczenie </w:t>
      </w:r>
      <w:r w:rsidR="004B4C31">
        <w:t>informacj</w:t>
      </w:r>
      <w:r w:rsidR="007F17A6">
        <w:t>i</w:t>
      </w:r>
      <w:r w:rsidR="004B4C31">
        <w:t xml:space="preserve"> o stanie zdrowia zwierzęcia. </w:t>
      </w:r>
      <w:r w:rsidR="00FF6C1E">
        <w:t xml:space="preserve">Określone </w:t>
      </w:r>
      <w:r w:rsidR="004B4C31">
        <w:t xml:space="preserve">w art. 7 ust. 5 przesłanki odmowy przyjęcia zwierzęcia do Centralnego Azylu stanowią okoliczności </w:t>
      </w:r>
      <w:r w:rsidR="00FE1347">
        <w:t>nie</w:t>
      </w:r>
      <w:r w:rsidR="007F17A6">
        <w:t>dotyczące</w:t>
      </w:r>
      <w:r w:rsidR="00FE1347">
        <w:t xml:space="preserve"> zwierzęcia, ale </w:t>
      </w:r>
      <w:r w:rsidR="007F17A6">
        <w:t xml:space="preserve">leżące </w:t>
      </w:r>
      <w:r w:rsidR="00FE1347">
        <w:t>po stronie innych podmiotów, w tym Centralnego Azylu</w:t>
      </w:r>
      <w:r w:rsidR="00AE512E">
        <w:t xml:space="preserve">. </w:t>
      </w:r>
      <w:r w:rsidR="006D455D">
        <w:t>W</w:t>
      </w:r>
      <w:r w:rsidR="00FE1347">
        <w:t xml:space="preserve"> sytuacji odmowy przyjęcia zwierzęcia do Centralnego Azylu </w:t>
      </w:r>
      <w:r w:rsidR="006D455D">
        <w:t xml:space="preserve">wskazywanie tych informacji nie </w:t>
      </w:r>
      <w:r w:rsidR="00FE1347">
        <w:t>jest celowe.</w:t>
      </w:r>
      <w:r w:rsidR="005C0CB5">
        <w:t xml:space="preserve"> Dodatkowo w pkt 6 </w:t>
      </w:r>
      <w:r w:rsidR="00B045A1">
        <w:t xml:space="preserve">w art. 7 ust. 7 skreślono wyraz </w:t>
      </w:r>
      <w:r w:rsidR="005C0CB5">
        <w:t xml:space="preserve">„inne”. </w:t>
      </w:r>
    </w:p>
    <w:p w14:paraId="560F6718" w14:textId="3D36E26F" w:rsidR="00D75E64" w:rsidRDefault="00D75E64" w:rsidP="00D75E64">
      <w:pPr>
        <w:pStyle w:val="ARTartustawynprozporzdzenia"/>
      </w:pPr>
      <w:r>
        <w:t>Zmiana w art. 7 ust. 9 ustawy o Centralnym Azylu polega na doprecyzowaniu formy, w</w:t>
      </w:r>
      <w:r w:rsidR="00243E63">
        <w:t> </w:t>
      </w:r>
      <w:r>
        <w:t>jakiej Dyrektor Centralnego Azylu przekazuje uzasadnienie odmowy przyjęcia zwierzęcia. Zmiana ta ma charakter porządkujący i redakcyjny. Ma na celu zapewnienie spójności z</w:t>
      </w:r>
      <w:r w:rsidR="00243E63">
        <w:t> </w:t>
      </w:r>
      <w:r>
        <w:t xml:space="preserve">analogicznymi przepisami ustawy dotyczącymi formy protokołu przyjęcia (art. 6 ust. 1), formy prośby (art. 7 ust. 1) oraz formy </w:t>
      </w:r>
      <w:r w:rsidR="00CB041C">
        <w:t xml:space="preserve">udzielenia </w:t>
      </w:r>
      <w:r>
        <w:t xml:space="preserve">zgody lub odmowy </w:t>
      </w:r>
      <w:r w:rsidR="00CB041C">
        <w:t xml:space="preserve">udzielania zgody na </w:t>
      </w:r>
      <w:r>
        <w:t>transport (art. 7a ust. 1 i 3).</w:t>
      </w:r>
    </w:p>
    <w:p w14:paraId="48F0908E" w14:textId="6C3AE17A" w:rsidR="00D75E64" w:rsidRDefault="00D75E64" w:rsidP="00D75E64">
      <w:pPr>
        <w:pStyle w:val="ARTartustawynprozporzdzenia"/>
      </w:pPr>
      <w:r>
        <w:t xml:space="preserve">Dodanie art. 7a </w:t>
      </w:r>
      <w:r w:rsidR="00CC4D1F">
        <w:t xml:space="preserve">pozostaje w związku z dodanym pkt 3a w art. 4 i </w:t>
      </w:r>
      <w:r>
        <w:t xml:space="preserve">ma na celu szczegółowe uregulowanie zasad udzielania przez Dyrektora Centralnego Azylu zgody na transport zwierząt do Centralnego Azylu oraz przesłanek odmowy </w:t>
      </w:r>
      <w:r w:rsidR="000D36B2">
        <w:t xml:space="preserve">udzielenia </w:t>
      </w:r>
      <w:r>
        <w:t>takiej zgody.</w:t>
      </w:r>
      <w:r w:rsidR="00CC4D1F">
        <w:t xml:space="preserve"> F</w:t>
      </w:r>
      <w:r>
        <w:t xml:space="preserve">ormę udzielenia zgody lub odmowy </w:t>
      </w:r>
      <w:r w:rsidR="000D36B2">
        <w:t xml:space="preserve">jej udzielenia </w:t>
      </w:r>
      <w:r w:rsidR="00CC4D1F">
        <w:t>określono w sposób analogiczny do formy protokołu przyjęcia i protokołu odmowy przyjęcia</w:t>
      </w:r>
      <w:r w:rsidR="000D36B2">
        <w:t xml:space="preserve"> zwierzęcia do Centralnego Azylu</w:t>
      </w:r>
      <w:r>
        <w:t>.</w:t>
      </w:r>
      <w:r w:rsidR="00CC4D1F">
        <w:t xml:space="preserve"> </w:t>
      </w:r>
      <w:r>
        <w:t>Wskazano również zamknięty katalog przesłanek odmowy</w:t>
      </w:r>
      <w:r w:rsidR="000D36B2">
        <w:t xml:space="preserve"> udzielania zgody</w:t>
      </w:r>
      <w:r w:rsidR="00975549">
        <w:t xml:space="preserve"> na transport</w:t>
      </w:r>
      <w:r>
        <w:t>, obejmujący brak zgody powiatowego lekarza weterynarii, brak możliwości technicznych oraz ryzyko przekroczenia limitu wydatków budżetu państwa.</w:t>
      </w:r>
      <w:r w:rsidR="00A041B2">
        <w:t xml:space="preserve"> </w:t>
      </w:r>
    </w:p>
    <w:p w14:paraId="295B3658" w14:textId="7D998DD8" w:rsidR="00470108" w:rsidRDefault="00470108" w:rsidP="00D75E64">
      <w:pPr>
        <w:pStyle w:val="ARTartustawynprozporzdzenia"/>
      </w:pPr>
      <w:r w:rsidRPr="00470108">
        <w:t xml:space="preserve">Dodanie art. 7b ma charakter doprecyzowujący. Mając na uwadze spójność dotychczasowego art. 7 dotyczącego </w:t>
      </w:r>
      <w:r w:rsidR="00C813DD">
        <w:t xml:space="preserve">udzielania </w:t>
      </w:r>
      <w:r w:rsidRPr="00470108">
        <w:t xml:space="preserve">zgody </w:t>
      </w:r>
      <w:r w:rsidR="00C813DD">
        <w:t xml:space="preserve">przez </w:t>
      </w:r>
      <w:r w:rsidRPr="00470108">
        <w:t xml:space="preserve">Dyrektora Centralnego Azylu na przyjęcie zwierzęcia z dodanym art. 7a dotyczącym </w:t>
      </w:r>
      <w:r w:rsidR="00C813DD">
        <w:t xml:space="preserve">udzielania </w:t>
      </w:r>
      <w:r w:rsidRPr="00470108">
        <w:t>zgody Dyrektora Centralnego Azylu na transport zwierzęcia do Centralnego Azylu</w:t>
      </w:r>
      <w:r w:rsidR="00C813DD">
        <w:t xml:space="preserve"> </w:t>
      </w:r>
      <w:r w:rsidR="00C813DD">
        <w:sym w:font="Symbol" w:char="F02D"/>
      </w:r>
      <w:r w:rsidR="00C813DD">
        <w:t xml:space="preserve"> </w:t>
      </w:r>
      <w:r w:rsidRPr="00470108">
        <w:t xml:space="preserve">art. 7b </w:t>
      </w:r>
      <w:r w:rsidR="00C813DD">
        <w:t>określa</w:t>
      </w:r>
      <w:r w:rsidRPr="00470108">
        <w:t xml:space="preserve">, że </w:t>
      </w:r>
      <w:r w:rsidR="00C813DD">
        <w:t xml:space="preserve">udzielenie </w:t>
      </w:r>
      <w:r w:rsidRPr="00470108">
        <w:t>zgod</w:t>
      </w:r>
      <w:r w:rsidR="00C813DD">
        <w:t>y</w:t>
      </w:r>
      <w:r w:rsidR="006E7298">
        <w:t xml:space="preserve"> oraz odmowa </w:t>
      </w:r>
      <w:r w:rsidR="00C813DD">
        <w:t xml:space="preserve">udzielenia </w:t>
      </w:r>
      <w:r w:rsidR="006E7298">
        <w:t>zgody</w:t>
      </w:r>
      <w:r w:rsidRPr="00470108">
        <w:t>, o których mowa w przytoczonych artykułach</w:t>
      </w:r>
      <w:r w:rsidR="00243E63">
        <w:t>,</w:t>
      </w:r>
      <w:r w:rsidRPr="00470108">
        <w:t xml:space="preserve"> nie są decyzjami </w:t>
      </w:r>
      <w:r w:rsidRPr="00470108">
        <w:lastRenderedPageBreak/>
        <w:t xml:space="preserve">administracyjnymi w rozumieniu </w:t>
      </w:r>
      <w:r w:rsidR="00C813DD">
        <w:t>ustawy</w:t>
      </w:r>
      <w:r w:rsidR="00C813DD" w:rsidRPr="00C813DD">
        <w:t xml:space="preserve"> </w:t>
      </w:r>
      <w:r w:rsidR="00C813DD" w:rsidRPr="00CA1F2C">
        <w:t xml:space="preserve">z dnia 14 czerwca 1960 r. </w:t>
      </w:r>
      <w:r w:rsidR="00C813DD">
        <w:sym w:font="Symbol" w:char="F02D"/>
      </w:r>
      <w:r w:rsidR="00C813DD" w:rsidRPr="00CA1F2C">
        <w:t xml:space="preserve"> Kodeks postępowania administracyjnego (Dz.</w:t>
      </w:r>
      <w:r w:rsidR="00F735E1">
        <w:t xml:space="preserve"> </w:t>
      </w:r>
      <w:r w:rsidR="00C813DD" w:rsidRPr="00CA1F2C">
        <w:t>U. z 2024 poz. 572</w:t>
      </w:r>
      <w:r w:rsidR="00C813DD">
        <w:t xml:space="preserve"> </w:t>
      </w:r>
      <w:r w:rsidR="00E90864">
        <w:t>oraz</w:t>
      </w:r>
      <w:r w:rsidR="00C813DD">
        <w:t xml:space="preserve"> 2025 r. poz. 769</w:t>
      </w:r>
      <w:r w:rsidR="00C813DD" w:rsidRPr="00CA1F2C">
        <w:t>)</w:t>
      </w:r>
      <w:r w:rsidRPr="00470108">
        <w:t>. </w:t>
      </w:r>
    </w:p>
    <w:p w14:paraId="08B9F288" w14:textId="346C1101" w:rsidR="00932A07" w:rsidRDefault="0000659A" w:rsidP="004B4C31">
      <w:pPr>
        <w:pStyle w:val="ARTartustawynprozporzdzenia"/>
      </w:pPr>
      <w:r w:rsidRPr="00670615">
        <w:t xml:space="preserve">Zmiana w </w:t>
      </w:r>
      <w:r w:rsidR="001A0B94">
        <w:t xml:space="preserve">pkt 6 w ust. 1 w </w:t>
      </w:r>
      <w:r w:rsidRPr="00670615">
        <w:t>art. 8 ust</w:t>
      </w:r>
      <w:r w:rsidR="001A0B94">
        <w:t>awy o Centralnym Azylu</w:t>
      </w:r>
      <w:r w:rsidRPr="00670615">
        <w:t xml:space="preserve"> polegająca na </w:t>
      </w:r>
      <w:r w:rsidR="00EC4BB0" w:rsidRPr="00670615">
        <w:t>skreśleniu wyrazów „</w:t>
      </w:r>
      <w:r w:rsidR="00EC4BB0">
        <w:t xml:space="preserve">po uzyskaniu zezwolenia” ma charakter </w:t>
      </w:r>
      <w:r w:rsidR="00932A07">
        <w:t xml:space="preserve">porządkujący. </w:t>
      </w:r>
      <w:r w:rsidR="00192A98">
        <w:t xml:space="preserve">Zgodnie z art. 15 ust. 2 </w:t>
      </w:r>
      <w:r w:rsidR="001A0B94">
        <w:t xml:space="preserve">tej </w:t>
      </w:r>
      <w:r w:rsidR="00192A98">
        <w:t>ustawy wymóg uzyskania zezwolenia odnosi się tylko do przypadków, o których mowa w</w:t>
      </w:r>
      <w:r w:rsidR="00C53CFB">
        <w:t> </w:t>
      </w:r>
      <w:r w:rsidR="00192A98">
        <w:t>art.</w:t>
      </w:r>
      <w:r w:rsidR="00C53CFB">
        <w:t> </w:t>
      </w:r>
      <w:r w:rsidR="00192A98">
        <w:t>15</w:t>
      </w:r>
      <w:r w:rsidR="00192A98" w:rsidRPr="00192A98">
        <w:t xml:space="preserve"> ust. 1 pkt 2 lit. a, c lub d</w:t>
      </w:r>
      <w:r w:rsidR="00192A98">
        <w:t>, nie odnosi się natomiast do przypadków, o których mowa w</w:t>
      </w:r>
      <w:r w:rsidR="00C53CFB">
        <w:t> </w:t>
      </w:r>
      <w:r w:rsidR="00192A98">
        <w:t>art. 15 ust. 1 pkt 1 oraz pkt 2 lit. b.</w:t>
      </w:r>
    </w:p>
    <w:p w14:paraId="080355B6" w14:textId="62168C0F" w:rsidR="008A490C" w:rsidRDefault="00CC4D1F" w:rsidP="004B4C31">
      <w:pPr>
        <w:pStyle w:val="ARTartustawynprozporzdzenia"/>
      </w:pPr>
      <w:r>
        <w:t xml:space="preserve">Dodanie </w:t>
      </w:r>
      <w:r w:rsidR="00D27A10">
        <w:t xml:space="preserve">pkt 7 i 8 </w:t>
      </w:r>
      <w:r w:rsidR="00E1732F">
        <w:t xml:space="preserve">w </w:t>
      </w:r>
      <w:r w:rsidR="008A490C">
        <w:t xml:space="preserve">art. 8 w </w:t>
      </w:r>
      <w:r w:rsidR="00E1732F">
        <w:t xml:space="preserve">ust. 1 </w:t>
      </w:r>
      <w:r>
        <w:t xml:space="preserve">ma na celu doprecyzowanie </w:t>
      </w:r>
      <w:r w:rsidR="00E1732F">
        <w:t>kwestii zakończenia przetrzymywania zwierząt w Centralnym Azylu i eliminuje wątpliwości co do dalszego postępowania z tymi zwierzętami</w:t>
      </w:r>
      <w:r>
        <w:t>.</w:t>
      </w:r>
      <w:r w:rsidR="00E1732F">
        <w:t xml:space="preserve"> </w:t>
      </w:r>
      <w:r>
        <w:t xml:space="preserve">W pkt 7 wskazano sytuację, w której sąd nie orzeknie przepadku zwierzęcia na podstawie przepisów </w:t>
      </w:r>
      <w:r w:rsidR="00C25909">
        <w:t>uop</w:t>
      </w:r>
      <w:r w:rsidR="00B17DD5">
        <w:t xml:space="preserve"> </w:t>
      </w:r>
      <w:r>
        <w:t xml:space="preserve">lub ustawy </w:t>
      </w:r>
      <w:r w:rsidR="00E811CE">
        <w:t xml:space="preserve">z dnia z dnia 11 sierpnia 2021 r. </w:t>
      </w:r>
      <w:r>
        <w:t>o gatunkach obcych</w:t>
      </w:r>
      <w:r w:rsidR="00E90864">
        <w:t xml:space="preserve">, </w:t>
      </w:r>
      <w:r>
        <w:t xml:space="preserve">a także przypadki umorzenia postępowania karnego </w:t>
      </w:r>
      <w:r w:rsidR="00975549">
        <w:t xml:space="preserve">albo </w:t>
      </w:r>
      <w:r w:rsidR="00E811CE">
        <w:t>postępowania w</w:t>
      </w:r>
      <w:r w:rsidR="00243E63">
        <w:t> </w:t>
      </w:r>
      <w:r w:rsidR="00E811CE">
        <w:t>sprawach o wykroczenia</w:t>
      </w:r>
      <w:r>
        <w:t xml:space="preserve">. </w:t>
      </w:r>
      <w:r w:rsidR="00E1732F">
        <w:t xml:space="preserve">Pkt 8 dotyczy zwrotu zwierzęcia, o którym mowa w art. 7 ust. 6 ustawy </w:t>
      </w:r>
      <w:r w:rsidR="009C7C67">
        <w:t xml:space="preserve">z dnia 21 sierpnia 1997 r. </w:t>
      </w:r>
      <w:r w:rsidR="00E1732F">
        <w:t>o ochronie zwierząt</w:t>
      </w:r>
      <w:r w:rsidR="009C7C67">
        <w:t xml:space="preserve"> (Dz.U. z 2023 r. poz. 1580)</w:t>
      </w:r>
      <w:r w:rsidR="00E1732F">
        <w:t>, tj. w sytuacji gdy zwierzę zostało czasowo odebrane właścicielowi lub opiekunowi decyzją administracyjną, a przyczyny tego odebrania ustały.</w:t>
      </w:r>
      <w:r w:rsidR="00A041B2">
        <w:t xml:space="preserve"> </w:t>
      </w:r>
    </w:p>
    <w:p w14:paraId="7D3EB6F1" w14:textId="160813C9" w:rsidR="00EB6541" w:rsidRDefault="006D455D" w:rsidP="004B4C31">
      <w:pPr>
        <w:pStyle w:val="ARTartustawynprozporzdzenia"/>
      </w:pPr>
      <w:r>
        <w:t>Zmiana w</w:t>
      </w:r>
      <w:r w:rsidR="001A0B94">
        <w:t xml:space="preserve"> pkt 3 w ust. 2 </w:t>
      </w:r>
      <w:r w:rsidR="008A490C">
        <w:t xml:space="preserve">w </w:t>
      </w:r>
      <w:r w:rsidR="00EB6541">
        <w:t xml:space="preserve">art. 8 </w:t>
      </w:r>
      <w:r w:rsidR="001A0B94">
        <w:t xml:space="preserve">ustawy o Centralnym Azylu </w:t>
      </w:r>
      <w:r w:rsidR="00AF0E97">
        <w:t xml:space="preserve">ma za zadanie </w:t>
      </w:r>
      <w:r w:rsidR="00AF0E97" w:rsidRPr="00D4171A">
        <w:t>przesądzenie występujących wątpliwości</w:t>
      </w:r>
      <w:r w:rsidR="00AF0E97">
        <w:t xml:space="preserve"> w odniesieniu do kosztów ponoszonych przez Centralny Azyl. </w:t>
      </w:r>
      <w:r w:rsidR="00D80C37">
        <w:t>D</w:t>
      </w:r>
      <w:r w:rsidR="009539F8">
        <w:t xml:space="preserve">oprecyzowano, że koszty </w:t>
      </w:r>
      <w:r w:rsidR="009539F8" w:rsidRPr="009539F8">
        <w:t>uśmiercenia i utylizacji zwłok uśmierconego lub padłego zwierzęcia</w:t>
      </w:r>
      <w:r w:rsidR="009539F8">
        <w:t xml:space="preserve"> dotyczą zwierząt przyjętych do Centralnego Azylu.</w:t>
      </w:r>
    </w:p>
    <w:p w14:paraId="17C65388" w14:textId="58517E18" w:rsidR="00F1291D" w:rsidRDefault="003E0668" w:rsidP="003E0668">
      <w:pPr>
        <w:pStyle w:val="ARTartustawynprozporzdzenia"/>
      </w:pPr>
      <w:r>
        <w:t xml:space="preserve">Uchylenie pkt 2 w art. 10 </w:t>
      </w:r>
      <w:r w:rsidR="001A0B94">
        <w:t xml:space="preserve">ustawy o Centralnym Azylu </w:t>
      </w:r>
      <w:r>
        <w:t>wiąże się z wyodrębnieniem zgody na transport zwierząt przyjętych do Centralnego Azylu uregulowanym w doda</w:t>
      </w:r>
      <w:r w:rsidR="001A0B94">
        <w:t>wa</w:t>
      </w:r>
      <w:r>
        <w:t>nym</w:t>
      </w:r>
      <w:r w:rsidR="001A0B94">
        <w:t xml:space="preserve"> pkt 3a w</w:t>
      </w:r>
      <w:r w:rsidR="00C53CFB">
        <w:t> </w:t>
      </w:r>
      <w:r>
        <w:t xml:space="preserve">art. 4 </w:t>
      </w:r>
      <w:r w:rsidR="001A0B94">
        <w:t>tej ustawy</w:t>
      </w:r>
      <w:r>
        <w:t xml:space="preserve">. </w:t>
      </w:r>
    </w:p>
    <w:p w14:paraId="28CEA01A" w14:textId="48541F7A" w:rsidR="001D0602" w:rsidRDefault="00B80567" w:rsidP="00CF65A3">
      <w:pPr>
        <w:pStyle w:val="ARTartustawynprozporzdzenia"/>
      </w:pPr>
      <w:r>
        <w:t xml:space="preserve">Rozszerzono </w:t>
      </w:r>
      <w:r w:rsidR="00381B17">
        <w:t>zakres pkt 2 w ust. 3 w</w:t>
      </w:r>
      <w:r w:rsidR="008639D4">
        <w:t xml:space="preserve"> art. 11 ust</w:t>
      </w:r>
      <w:r w:rsidR="00381B17">
        <w:t xml:space="preserve">awy o Centralnym Azylu </w:t>
      </w:r>
      <w:r w:rsidR="008639D4">
        <w:t>przez wskazanie, że opracowywane przez Dyrektora Centralnego Azylu działania na wypadek wydostania się zwierzęcia z pomieszczeń przeznaczonych do jego przetrzymywania dotyczą również zwierząt należących do inwazyjnych gatunków obcych.</w:t>
      </w:r>
      <w:r w:rsidR="002B69F5">
        <w:t xml:space="preserve"> Zmiana ma za zadanie ujednolicić redakcję p</w:t>
      </w:r>
      <w:r w:rsidR="00243E63">
        <w:t>kt </w:t>
      </w:r>
      <w:r w:rsidR="002B69F5">
        <w:t xml:space="preserve">2 i 3 </w:t>
      </w:r>
      <w:r w:rsidR="001D5AE6">
        <w:t xml:space="preserve">w art. 11 ust. 3 ustawy o Centralnym Azylu </w:t>
      </w:r>
      <w:r w:rsidR="002B69F5">
        <w:t xml:space="preserve">bez wpływu na </w:t>
      </w:r>
      <w:r w:rsidR="00C53CFB">
        <w:t xml:space="preserve">ich </w:t>
      </w:r>
      <w:r w:rsidR="002B69F5">
        <w:t>merytoryczną zawartość (katalogi zawarte w obu punktach mają charakter otwarty).</w:t>
      </w:r>
    </w:p>
    <w:p w14:paraId="12F25E1B" w14:textId="4F5CB28F" w:rsidR="008639D4" w:rsidRDefault="000B13B6" w:rsidP="00CF65A3">
      <w:pPr>
        <w:pStyle w:val="ARTartustawynprozporzdzenia"/>
      </w:pPr>
      <w:r>
        <w:t xml:space="preserve">Zmiana </w:t>
      </w:r>
      <w:r w:rsidR="00381B17">
        <w:t xml:space="preserve">w ust. 2 w </w:t>
      </w:r>
      <w:r>
        <w:t>art. 12 ust</w:t>
      </w:r>
      <w:r w:rsidR="00381B17">
        <w:t>awy o Centralnym Azylu</w:t>
      </w:r>
      <w:r>
        <w:t xml:space="preserve"> </w:t>
      </w:r>
      <w:r w:rsidR="00B80567">
        <w:t>ma na celu rozszerzenie</w:t>
      </w:r>
      <w:r>
        <w:t xml:space="preserve"> odpowiedzialności za naruszenie zakazu rozmnażania zwierząt w Centralnym Azylu na </w:t>
      </w:r>
      <w:r>
        <w:lastRenderedPageBreak/>
        <w:t>podmioty, z którymi Centralny Azyl będzie współpracował w zakresie wykonywania zadania czasowego przetrzymywania okazów gatunków zwierząt.</w:t>
      </w:r>
    </w:p>
    <w:p w14:paraId="2AD3925F" w14:textId="0BBB04DD" w:rsidR="00DD488F" w:rsidRDefault="00DD488F" w:rsidP="00CF65A3">
      <w:pPr>
        <w:pStyle w:val="ARTartustawynprozporzdzenia"/>
      </w:pPr>
      <w:r w:rsidRPr="00CF1E29">
        <w:t xml:space="preserve">Zmiana </w:t>
      </w:r>
      <w:r w:rsidR="00381B17">
        <w:t xml:space="preserve">ust. 2 w </w:t>
      </w:r>
      <w:r w:rsidRPr="00CF1E29">
        <w:t>art. 13 ust</w:t>
      </w:r>
      <w:r w:rsidR="00381B17">
        <w:t xml:space="preserve">awy o Centralnym Azylu </w:t>
      </w:r>
      <w:r w:rsidRPr="00CF1E29">
        <w:t xml:space="preserve">skutkuje rozszerzeniem katalogu </w:t>
      </w:r>
      <w:r w:rsidR="000E2D4D" w:rsidRPr="00CF1E29">
        <w:t>obszarów środowiska przyrodniczego, do którego można wprowadzić zwierzę przetrzymywane czasowo w Centralnym Azylu</w:t>
      </w:r>
      <w:r w:rsidR="00243E63">
        <w:t>,</w:t>
      </w:r>
      <w:r w:rsidR="00CF1E29" w:rsidRPr="00670615">
        <w:t xml:space="preserve"> o obszary morskie i obszary parków narodowych</w:t>
      </w:r>
      <w:r w:rsidR="000E2D4D" w:rsidRPr="00CF1E29">
        <w:t>.</w:t>
      </w:r>
    </w:p>
    <w:p w14:paraId="0BC5AA02" w14:textId="432A097D" w:rsidR="00CF1E29" w:rsidRDefault="00CF1E29" w:rsidP="00CF65A3">
      <w:pPr>
        <w:pStyle w:val="ARTartustawynprozporzdzenia"/>
      </w:pPr>
      <w:r>
        <w:t xml:space="preserve">Zmiana </w:t>
      </w:r>
      <w:r w:rsidR="00140A9D">
        <w:t xml:space="preserve">w art. 14 </w:t>
      </w:r>
      <w:r>
        <w:t xml:space="preserve">ust. 4 </w:t>
      </w:r>
      <w:r w:rsidR="001528B2">
        <w:t xml:space="preserve">ustawy o Centralnym Azylu </w:t>
      </w:r>
      <w:r>
        <w:t xml:space="preserve">odnoszącym się do obligatoryjnej treści protokołu przekazania, </w:t>
      </w:r>
      <w:r w:rsidR="001528B2">
        <w:t xml:space="preserve">polegająca na </w:t>
      </w:r>
      <w:r>
        <w:t>skreśleni</w:t>
      </w:r>
      <w:r w:rsidR="001528B2">
        <w:t>u</w:t>
      </w:r>
      <w:r>
        <w:t xml:space="preserve"> w pkt </w:t>
      </w:r>
      <w:r w:rsidR="00A538FD">
        <w:t>2</w:t>
      </w:r>
      <w:r>
        <w:t xml:space="preserve"> </w:t>
      </w:r>
      <w:r w:rsidR="005614CA">
        <w:t xml:space="preserve">wyrazu </w:t>
      </w:r>
      <w:r>
        <w:t>„nazwa”, odnoszącego się do Centralnego Azylu, ma charakter porządkujący i powiązana jest ze zmianą wprowadzaną w</w:t>
      </w:r>
      <w:r w:rsidR="00C53CFB">
        <w:t> </w:t>
      </w:r>
      <w:r>
        <w:t xml:space="preserve">art. 6 ust. 2 </w:t>
      </w:r>
      <w:r w:rsidR="001528B2">
        <w:t xml:space="preserve">tej ustawy </w:t>
      </w:r>
      <w:r>
        <w:t>dotyczącym obligatoryjnej treści protokołu przyjęcia</w:t>
      </w:r>
      <w:r w:rsidR="002545F1">
        <w:t xml:space="preserve">. </w:t>
      </w:r>
    </w:p>
    <w:p w14:paraId="0D4F6026" w14:textId="22C94A1D" w:rsidR="00140A9D" w:rsidRDefault="00140A9D" w:rsidP="00140A9D">
      <w:pPr>
        <w:pStyle w:val="ARTartustawynprozporzdzenia"/>
      </w:pPr>
      <w:r>
        <w:t xml:space="preserve">Zmiana </w:t>
      </w:r>
      <w:r w:rsidR="001528B2">
        <w:t xml:space="preserve">w pkt 2 w ust. 9 w </w:t>
      </w:r>
      <w:r>
        <w:t>art. 14 ust</w:t>
      </w:r>
      <w:r w:rsidR="001528B2">
        <w:t>awy o Centralnym Azylu</w:t>
      </w:r>
      <w:r>
        <w:t xml:space="preserve"> ma na celu zapewnienie zgodności terminów w ustawie o Centralnym Azylu z terminami wskazanymi w art. 77 ust 2 </w:t>
      </w:r>
      <w:r w:rsidR="00C25909">
        <w:t>uop</w:t>
      </w:r>
      <w:r>
        <w:t>.</w:t>
      </w:r>
    </w:p>
    <w:p w14:paraId="45AE39C3" w14:textId="012FAB09" w:rsidR="00E1732F" w:rsidRDefault="00E1732F" w:rsidP="00E1732F">
      <w:pPr>
        <w:pStyle w:val="ARTartustawynprozporzdzenia"/>
      </w:pPr>
      <w:r w:rsidRPr="00E1732F">
        <w:t xml:space="preserve">Dodanie </w:t>
      </w:r>
      <w:r w:rsidR="008A490C" w:rsidRPr="00E1732F">
        <w:t xml:space="preserve">ust. 4a </w:t>
      </w:r>
      <w:r w:rsidR="008A490C">
        <w:t xml:space="preserve">w </w:t>
      </w:r>
      <w:r w:rsidRPr="00E1732F">
        <w:t>art. 14 ma na celu doprecyzowanie formy, w jakiej powinien być sporządzony protokół przekazania zwierzęcia.</w:t>
      </w:r>
      <w:r>
        <w:t xml:space="preserve"> </w:t>
      </w:r>
      <w:r w:rsidRPr="00E1732F">
        <w:t>Zmiana ta ma na celu zapewnienie spójności formalnej z innymi przepisami ustawy (np. art. 6 ust. 1, art. 7 ust. 1, art. 7a ust. 1 i 3).</w:t>
      </w:r>
    </w:p>
    <w:p w14:paraId="4C538334" w14:textId="5F559B56" w:rsidR="000E1B1C" w:rsidRDefault="002545F1" w:rsidP="00CF65A3">
      <w:pPr>
        <w:pStyle w:val="ARTartustawynprozporzdzenia"/>
      </w:pPr>
      <w:r w:rsidRPr="00670615">
        <w:t xml:space="preserve">W ramach </w:t>
      </w:r>
      <w:r w:rsidR="001528B2">
        <w:t xml:space="preserve">zmian </w:t>
      </w:r>
      <w:r w:rsidR="001528B2" w:rsidRPr="00670615">
        <w:t>wprowadz</w:t>
      </w:r>
      <w:r w:rsidR="001528B2">
        <w:t>a</w:t>
      </w:r>
      <w:r w:rsidR="001528B2" w:rsidRPr="00670615">
        <w:t xml:space="preserve">nych </w:t>
      </w:r>
      <w:r w:rsidR="00A538FD">
        <w:t>w</w:t>
      </w:r>
      <w:r w:rsidRPr="00670615">
        <w:t xml:space="preserve"> art. 15 </w:t>
      </w:r>
      <w:r w:rsidR="001528B2">
        <w:t xml:space="preserve">ustawy o Centralnym Azylu </w:t>
      </w:r>
      <w:r w:rsidRPr="00670615">
        <w:t>zrezygnowano z</w:t>
      </w:r>
      <w:r w:rsidR="00243E63">
        <w:t> </w:t>
      </w:r>
      <w:r w:rsidRPr="00670615">
        <w:t xml:space="preserve">odrębnej regulacji dotyczącej wydawania przez odpowiednio Generalnego Dyrektora Ochrony Środowiska albo właściwego regionalnego dyrektora ochrony środowiska </w:t>
      </w:r>
      <w:r w:rsidR="00F57F37" w:rsidRPr="00670615">
        <w:t xml:space="preserve">zezwoleń na uśmiercanie przyjętych do Centralnego Azylu </w:t>
      </w:r>
      <w:r w:rsidRPr="00670615">
        <w:t>zwierząt należących do gatunków chronionych</w:t>
      </w:r>
      <w:r w:rsidR="00F57F37" w:rsidRPr="00670615">
        <w:t>, odsyłając w tym zakresie</w:t>
      </w:r>
      <w:r w:rsidR="006E12D5">
        <w:t xml:space="preserve">, w </w:t>
      </w:r>
      <w:r w:rsidR="001528B2">
        <w:t>dodawanym</w:t>
      </w:r>
      <w:r w:rsidR="006E12D5">
        <w:t xml:space="preserve"> ust. </w:t>
      </w:r>
      <w:r w:rsidR="002E6839">
        <w:t>1a</w:t>
      </w:r>
      <w:r w:rsidR="006E12D5">
        <w:t>,</w:t>
      </w:r>
      <w:r w:rsidR="00F57F37" w:rsidRPr="00670615">
        <w:t xml:space="preserve"> do przepisów </w:t>
      </w:r>
      <w:r w:rsidR="00F57F37" w:rsidRPr="00022220">
        <w:t>art. 56 ust. 1</w:t>
      </w:r>
      <w:r w:rsidR="00224CCF">
        <w:t xml:space="preserve"> i</w:t>
      </w:r>
      <w:r w:rsidR="00224CCF" w:rsidRPr="00022220">
        <w:t xml:space="preserve"> </w:t>
      </w:r>
      <w:r w:rsidR="00F57F37" w:rsidRPr="00022220">
        <w:t>2</w:t>
      </w:r>
      <w:r w:rsidR="001528B2">
        <w:t xml:space="preserve"> </w:t>
      </w:r>
      <w:r w:rsidR="00C25909">
        <w:t>uop</w:t>
      </w:r>
      <w:r w:rsidR="000E1B1C" w:rsidRPr="00022220">
        <w:t xml:space="preserve">. </w:t>
      </w:r>
      <w:r w:rsidR="006E12D5">
        <w:t xml:space="preserve">Jednocześnie w </w:t>
      </w:r>
      <w:r w:rsidR="001528B2">
        <w:t>dodawanym</w:t>
      </w:r>
      <w:r w:rsidR="00767439">
        <w:t xml:space="preserve"> </w:t>
      </w:r>
      <w:r w:rsidR="006E12D5">
        <w:t xml:space="preserve">ust. </w:t>
      </w:r>
      <w:r w:rsidR="00000678">
        <w:t>1b</w:t>
      </w:r>
      <w:r w:rsidR="00F857F2">
        <w:t xml:space="preserve"> unormowano, że zezwolenie, o którym mowa w</w:t>
      </w:r>
      <w:r w:rsidR="00243E63">
        <w:t> </w:t>
      </w:r>
      <w:r w:rsidR="00F857F2">
        <w:t>ust.</w:t>
      </w:r>
      <w:r w:rsidR="00243E63">
        <w:t> </w:t>
      </w:r>
      <w:r w:rsidR="00F857F2">
        <w:t>1a</w:t>
      </w:r>
      <w:r w:rsidR="00243E63">
        <w:t>,</w:t>
      </w:r>
      <w:r w:rsidR="00F857F2">
        <w:t xml:space="preserve"> może być wydane na wniosek Dyrektora Centralnego Azylu</w:t>
      </w:r>
      <w:r w:rsidR="006E12D5">
        <w:t xml:space="preserve">. </w:t>
      </w:r>
      <w:r w:rsidR="001528B2">
        <w:t>Nie ma</w:t>
      </w:r>
      <w:r w:rsidR="000E1B1C" w:rsidRPr="00022220">
        <w:t xml:space="preserve"> uzasadnienia dla wymogu wydawania przez te same organy dwukrotnie zezwoleń na uśmiercanie zwierząt należących do gatunków chronionych w oparciu o dwie różne podstawy prawne.</w:t>
      </w:r>
    </w:p>
    <w:p w14:paraId="1F658A32" w14:textId="58FD799B" w:rsidR="00022220" w:rsidRDefault="00332765" w:rsidP="00CF65A3">
      <w:pPr>
        <w:pStyle w:val="ARTartustawynprozporzdzenia"/>
      </w:pPr>
      <w:r>
        <w:t>Równocześnie zrezygnowano z wymogu uzyskiwania zezwoleń na uśmiercanie zwierząt gatunków, o których mowa w art. 3 ust. 2</w:t>
      </w:r>
      <w:r w:rsidR="00840A3E">
        <w:t xml:space="preserve"> ustawy o Centralnym Azylu</w:t>
      </w:r>
      <w:r w:rsidR="00693ECD">
        <w:t xml:space="preserve">, </w:t>
      </w:r>
      <w:r w:rsidR="00000678">
        <w:t xml:space="preserve">a także </w:t>
      </w:r>
      <w:r w:rsidR="00693ECD">
        <w:t xml:space="preserve">inwazyjnych gatunków obcych lub gatunków niebezpiecznych. </w:t>
      </w:r>
      <w:r w:rsidR="00840A3E">
        <w:t>Nie istnieją przepisy prawne</w:t>
      </w:r>
      <w:r w:rsidR="001C4D81">
        <w:t>, z których wynikałby obowiązek uzyskania zezwolenia na uśmiercanie zwierząt należących do gatunków innych niż chronione.</w:t>
      </w:r>
      <w:r w:rsidR="00693ECD">
        <w:t xml:space="preserve"> </w:t>
      </w:r>
      <w:r>
        <w:t xml:space="preserve"> </w:t>
      </w:r>
    </w:p>
    <w:p w14:paraId="01F7BF84" w14:textId="7A0EB8D3" w:rsidR="001C4D81" w:rsidRDefault="001C4D81" w:rsidP="001C4D81">
      <w:pPr>
        <w:pStyle w:val="ARTartustawynprozporzdzenia"/>
      </w:pPr>
      <w:r>
        <w:lastRenderedPageBreak/>
        <w:t xml:space="preserve">Biorąc pod uwagę, że wśród zawartych w art. 15 ust. 1 pkt 2 </w:t>
      </w:r>
      <w:r w:rsidR="00840A3E">
        <w:t>ustawy o Centralnym Azylu</w:t>
      </w:r>
      <w:r>
        <w:t xml:space="preserve"> przesłanek uśmiercenia zwierzęcia przeważają przesłanki wiążące się z koniecznością podjęcia </w:t>
      </w:r>
      <w:r w:rsidR="004D0410">
        <w:t xml:space="preserve">przez Centralny Azyl </w:t>
      </w:r>
      <w:r>
        <w:t xml:space="preserve">natychmiastowych działań, takie jak </w:t>
      </w:r>
      <w:r w:rsidRPr="001C4D81">
        <w:t xml:space="preserve">poważne </w:t>
      </w:r>
      <w:r w:rsidR="00684674" w:rsidRPr="001C4D81">
        <w:t>zagrożeni</w:t>
      </w:r>
      <w:r w:rsidR="00684674">
        <w:t>e</w:t>
      </w:r>
      <w:r w:rsidR="00684674" w:rsidRPr="001C4D81">
        <w:t xml:space="preserve"> </w:t>
      </w:r>
      <w:r w:rsidRPr="001C4D81">
        <w:t>sanitarne dla życia lub zdrowia ludzi lub zwierząt</w:t>
      </w:r>
      <w:r>
        <w:t xml:space="preserve"> albo </w:t>
      </w:r>
      <w:r w:rsidR="004D0410">
        <w:t>stwarzanie przez zwierzę bezpośredniego zagrożenia dla innych zwierząt lub ludzi, a wydawane w powyższych przypadkach przez organy ochrony przyrody zezwolenia wydają się mieć blankietowy, czysto formalny charakter, zasadne jest pozostawienie decyzji w powyższych przypadkach w gestii Dyrektora Centralnego Azylu.</w:t>
      </w:r>
    </w:p>
    <w:p w14:paraId="41C560CD" w14:textId="66466B4E" w:rsidR="006E12D5" w:rsidRDefault="006E12D5" w:rsidP="001D4FD2">
      <w:pPr>
        <w:pStyle w:val="ARTartustawynprozporzdzenia"/>
      </w:pPr>
      <w:r>
        <w:t xml:space="preserve">Jednocześnie zdecydowano się na pozostawienie w ustawie </w:t>
      </w:r>
      <w:r w:rsidR="00684674">
        <w:t xml:space="preserve">o Centralnym Azylu </w:t>
      </w:r>
      <w:r>
        <w:t xml:space="preserve">odrębnej regulacji dotyczącej wydawania zezwoleń </w:t>
      </w:r>
      <w:r w:rsidRPr="003D3B91">
        <w:t>na uśmiercanie przyjętych do Centralnego Azylu zwierząt</w:t>
      </w:r>
      <w:r>
        <w:t xml:space="preserve"> przez ministra właściwego do spraw środowiska. </w:t>
      </w:r>
      <w:r w:rsidR="001614B0">
        <w:t xml:space="preserve">W odniesieniu do </w:t>
      </w:r>
      <w:r w:rsidR="00D2649D">
        <w:t>obecnie obowiązującej</w:t>
      </w:r>
      <w:r w:rsidR="001614B0">
        <w:t xml:space="preserve"> regulacji zrezygnowano z odrębnej procedury w odniesieniu do </w:t>
      </w:r>
      <w:r w:rsidR="00000678">
        <w:t xml:space="preserve">zwierząt </w:t>
      </w:r>
      <w:r w:rsidR="00000678" w:rsidRPr="006C06B8">
        <w:t>CITES należących jednocześnie do gatunków chronionych</w:t>
      </w:r>
      <w:r w:rsidR="00000678">
        <w:t xml:space="preserve">. Zgody na uśmiercenie tych zwierząt wydawane będą </w:t>
      </w:r>
      <w:r w:rsidR="001D4FD2">
        <w:t xml:space="preserve">na podstawie przepisów </w:t>
      </w:r>
      <w:r w:rsidR="00C25909">
        <w:t>uop</w:t>
      </w:r>
      <w:r w:rsidR="00DC5E94">
        <w:t xml:space="preserve">. </w:t>
      </w:r>
    </w:p>
    <w:p w14:paraId="1C28637E" w14:textId="368F8ABE" w:rsidR="00635F19" w:rsidRDefault="001D4FD2" w:rsidP="00CF65A3">
      <w:pPr>
        <w:pStyle w:val="ARTartustawynprozporzdzenia"/>
      </w:pPr>
      <w:bookmarkStart w:id="1" w:name="_Hlk165955917"/>
      <w:r>
        <w:t xml:space="preserve">Uchylenie </w:t>
      </w:r>
      <w:r w:rsidR="00430B34">
        <w:t xml:space="preserve">ust. 7 w </w:t>
      </w:r>
      <w:r w:rsidR="00635F19">
        <w:t>art. 17 ust</w:t>
      </w:r>
      <w:r w:rsidR="00430B34">
        <w:t>awy o Centralnym Azylu</w:t>
      </w:r>
      <w:r w:rsidR="00635F19">
        <w:t>, zgodnie z którym czynności z</w:t>
      </w:r>
      <w:r w:rsidR="00C53CFB">
        <w:t> </w:t>
      </w:r>
      <w:r w:rsidR="00635F19">
        <w:t>zakresu prawa pracy w odniesieniu do Dyrektora Centralnego Azylu wykonuje minister właściwy do spraw środowiska</w:t>
      </w:r>
      <w:r w:rsidR="00430B34">
        <w:t>,</w:t>
      </w:r>
      <w:r w:rsidR="00635F19">
        <w:t xml:space="preserve"> ma na celu przekazanie tych kompetencji do Centralnego Azylu. Rozwiązanie to ma na celu uproszczenie wykonywania </w:t>
      </w:r>
      <w:r w:rsidR="00430B34">
        <w:t>t</w:t>
      </w:r>
      <w:r w:rsidR="00635F19">
        <w:t>ych czynności.</w:t>
      </w:r>
      <w:r w:rsidR="00E2770C">
        <w:t xml:space="preserve"> </w:t>
      </w:r>
    </w:p>
    <w:p w14:paraId="2361821E" w14:textId="768E498F" w:rsidR="00E2770C" w:rsidRDefault="00E2770C" w:rsidP="00E2770C">
      <w:pPr>
        <w:pStyle w:val="ARTartustawynprozporzdzenia"/>
      </w:pPr>
      <w:r>
        <w:t>Zgodnie z treścią art. 3</w:t>
      </w:r>
      <w:r w:rsidR="003B5E08">
        <w:rPr>
          <w:vertAlign w:val="superscript"/>
        </w:rPr>
        <w:t>1</w:t>
      </w:r>
      <w:r>
        <w:t xml:space="preserve"> § 1 </w:t>
      </w:r>
      <w:r w:rsidR="00E90864">
        <w:t>ustawy z dnia 26 czerwca 1974 r. – Kodeks pracy (Dz. U. z</w:t>
      </w:r>
      <w:r w:rsidR="00243E63">
        <w:t> </w:t>
      </w:r>
      <w:r w:rsidR="00E90864">
        <w:t>2025 poz. 277</w:t>
      </w:r>
      <w:r w:rsidR="00890BBC">
        <w:t>, z późn. zm.</w:t>
      </w:r>
      <w:r w:rsidR="00E90864">
        <w:t>), zwan</w:t>
      </w:r>
      <w:r w:rsidR="00243E63">
        <w:t>ej</w:t>
      </w:r>
      <w:r w:rsidR="00E90864">
        <w:t xml:space="preserve"> dalej „</w:t>
      </w:r>
      <w:proofErr w:type="spellStart"/>
      <w:r w:rsidR="00E90864">
        <w:t>k.p</w:t>
      </w:r>
      <w:proofErr w:type="spellEnd"/>
      <w:r w:rsidR="00E90864">
        <w:t>.”</w:t>
      </w:r>
      <w:r w:rsidR="00243E63">
        <w:t>,</w:t>
      </w:r>
      <w:r>
        <w:t xml:space="preserve"> za pracodawcę będącego jednostką organizacyjną czynności w sprawach z zakresu prawa pracy dokonuje osoba lub organ zarządzający tą jednostką albo inna wyznaczona do tego osoba. O tym, kto jest „osobą lub organem zarządzającym”</w:t>
      </w:r>
      <w:r w:rsidR="00477DCC">
        <w:t>,</w:t>
      </w:r>
      <w:r>
        <w:t xml:space="preserve"> przesądzają przepisy ustawowe, postanowienia statutowe, regulaminowe czy umowy określające ustrój danego podmiotu</w:t>
      </w:r>
      <w:r w:rsidR="00D86FF7">
        <w:t xml:space="preserve">. </w:t>
      </w:r>
      <w:r>
        <w:t>Organ zarządzający może być jednoosobowy lub wieloosobowy (kolegialny). Co się zaś tyczy „innej wyznaczonej osoby”</w:t>
      </w:r>
      <w:r w:rsidR="00477DCC">
        <w:t>,</w:t>
      </w:r>
      <w:r>
        <w:t xml:space="preserve"> w</w:t>
      </w:r>
      <w:r w:rsidR="00477DCC">
        <w:t> </w:t>
      </w:r>
      <w:r>
        <w:t>doktrynie wskazuje się, że: „Wyznaczenie to może być skoncentrowane lub rozproszone. W</w:t>
      </w:r>
      <w:r w:rsidR="00477DCC">
        <w:t> </w:t>
      </w:r>
      <w:r>
        <w:t>pierwszym przypadku może ono dotyczyć jednej osoby i obejmować dokonywanie wszystkich czynności z zakresu prawa pracy, w drugim zaś może ono obejmować więcej niż jedną osobę, np. kierowników wewnętrznych jednostek organizacyjnych pracodawcy, którym powierza się dokonywanie określonych rodzajowo czynności, przykładowo czynności z</w:t>
      </w:r>
      <w:r w:rsidR="00477DCC">
        <w:t> </w:t>
      </w:r>
      <w:r>
        <w:t xml:space="preserve">zakresu indywidualnego prawa pracy, w szczególności innych czynności niż czynności prawnych. Wyznaczonym do dokonywania czynności z zakresu prawa pracy nie musi być </w:t>
      </w:r>
      <w:r>
        <w:lastRenderedPageBreak/>
        <w:t>osoba pozostająca w stosunku pracy z pracodawcą”</w:t>
      </w:r>
      <w:r w:rsidR="00D86FF7">
        <w:rPr>
          <w:rStyle w:val="Odwoanieprzypisudolnego"/>
        </w:rPr>
        <w:footnoteReference w:id="2"/>
      </w:r>
      <w:r w:rsidR="003B5E08">
        <w:rPr>
          <w:vertAlign w:val="superscript"/>
        </w:rPr>
        <w:t>)</w:t>
      </w:r>
      <w:r>
        <w:t xml:space="preserve">. Przepisy </w:t>
      </w:r>
      <w:proofErr w:type="spellStart"/>
      <w:r>
        <w:t>k.p</w:t>
      </w:r>
      <w:proofErr w:type="spellEnd"/>
      <w:r>
        <w:t xml:space="preserve">. nie określają również sposobu wyznaczenia takiej osoby, w szczególności nie wskazują formy, jakiej należy przestrzegać, aby skutecznie wyznaczyć osobę fizyczną do dokonywania czynności z zakresu prawa pracy, co oznacza, że może to nastąpić nawet </w:t>
      </w:r>
      <w:proofErr w:type="spellStart"/>
      <w:r>
        <w:t>konkludentnie</w:t>
      </w:r>
      <w:proofErr w:type="spellEnd"/>
      <w:r>
        <w:t xml:space="preserve"> (art. 60 k.c. w zw. z art. 300 </w:t>
      </w:r>
      <w:proofErr w:type="spellStart"/>
      <w:r>
        <w:t>k.p</w:t>
      </w:r>
      <w:proofErr w:type="spellEnd"/>
      <w:r>
        <w:t>.). W praktyce będzie to osoba wyznaczona przez ministra właściwego do spraw środowiska.</w:t>
      </w:r>
    </w:p>
    <w:p w14:paraId="272057C8" w14:textId="2A9EFB43" w:rsidR="006472A7" w:rsidRDefault="00A536C0" w:rsidP="006472A7">
      <w:pPr>
        <w:pStyle w:val="ARTartustawynprozporzdzenia"/>
      </w:pPr>
      <w:r>
        <w:t xml:space="preserve">W związku ze zmianami wprowadzonymi w art. 15 zmieniono </w:t>
      </w:r>
      <w:r w:rsidR="006F1ACD">
        <w:t xml:space="preserve">odesłanie </w:t>
      </w:r>
      <w:r>
        <w:t xml:space="preserve">w art. 18 pkt </w:t>
      </w:r>
      <w:r w:rsidR="006F1ACD">
        <w:t>7</w:t>
      </w:r>
      <w:r>
        <w:t xml:space="preserve">. </w:t>
      </w:r>
      <w:r w:rsidR="0041155D">
        <w:t xml:space="preserve">W dalszej części w wyniku dodania art. 7a, w którym </w:t>
      </w:r>
      <w:r w:rsidR="00477DCC">
        <w:t xml:space="preserve">jest </w:t>
      </w:r>
      <w:r w:rsidR="0041155D">
        <w:t>mowa o udzielaniu zgody na transport zwierzęcia, które ma zostać przyjęte do Centralnego Azylu, uzupełniono katalog czynności dokonywanych przez Dyrektora Centralnego Azylu przez dodanie w art. 18 pkt 8a, w którym opisano czynność dotyczącą udzielenia bądź odmowy udzielenia z</w:t>
      </w:r>
      <w:r w:rsidR="0041155D" w:rsidRPr="00C4399D">
        <w:t>gody na transport zwierzęcia</w:t>
      </w:r>
      <w:r w:rsidR="0041155D">
        <w:t>, które ma zostać przyjęte do Centralnego Azylu. Następnie w wyniku uzupełnienia art. 8 ust</w:t>
      </w:r>
      <w:r w:rsidR="003A4680">
        <w:t>.</w:t>
      </w:r>
      <w:r w:rsidR="0041155D">
        <w:t xml:space="preserve"> 1 o pkt 7 i 8, w których wskazano przypadki</w:t>
      </w:r>
      <w:r w:rsidR="00477DCC">
        <w:t>,</w:t>
      </w:r>
      <w:r w:rsidR="0041155D">
        <w:t xml:space="preserve"> gdy następuje zwrot przyjętego do Centralnego Azylu zwierzęcia, dodano w art. 18 pkt 9a, w którym jako dodatkowy obowiązek Dyrektora Centralnego Azylu wskazuje się dokonanie zwrotu przedmiotowego </w:t>
      </w:r>
      <w:r w:rsidR="009D0CBF">
        <w:t>zwierzęcia</w:t>
      </w:r>
      <w:r w:rsidR="0041155D">
        <w:t xml:space="preserve">. </w:t>
      </w:r>
      <w:r w:rsidR="006472A7">
        <w:t xml:space="preserve">Ponadto zdecydowano się zrezygnować z przewidzianego w art. 18 </w:t>
      </w:r>
      <w:r w:rsidR="006F1ACD">
        <w:t xml:space="preserve">pkt </w:t>
      </w:r>
      <w:r w:rsidR="006472A7">
        <w:t xml:space="preserve">13 </w:t>
      </w:r>
      <w:r w:rsidR="00430B34">
        <w:t>ustawy o</w:t>
      </w:r>
      <w:r w:rsidR="00C53CFB">
        <w:t> </w:t>
      </w:r>
      <w:r w:rsidR="00430B34">
        <w:t xml:space="preserve">Centralnym Azylu </w:t>
      </w:r>
      <w:r w:rsidR="006472A7">
        <w:t>obowiązku Dyrektora Centralnego Azylu składania Generalnemu Dyrektorowi Ochrony Środowiska rocznych sprawozdań. Brak jest uzasadnienia dla takiego obowiązku</w:t>
      </w:r>
      <w:r w:rsidR="00477DCC">
        <w:t>,</w:t>
      </w:r>
      <w:r w:rsidR="006472A7">
        <w:t xml:space="preserve"> w sytuacji gdy Centralny Azyl podlega nadzorowi ministra właściwego do spraw środowiska, wobec którego realizuje obowiązek sprawozdawczy określony w art. 18 ust. 11 </w:t>
      </w:r>
      <w:r w:rsidR="00430B34">
        <w:t xml:space="preserve">tej </w:t>
      </w:r>
      <w:r w:rsidR="006472A7">
        <w:t xml:space="preserve">ustawy. </w:t>
      </w:r>
      <w:r w:rsidR="006472A7" w:rsidRPr="00DE4C03">
        <w:t>Nie jest zasadne cykliczne przekazywanie Generalnemu Dyrektorowi Ochrony Środowiska informacji z działalności Centralnego Azylu dla Zwierząt. W przypadku gdy informacje takie będą organowi niezbędne do wykonywania przypisanych mu zadań, może on się zwrócić o przekazanie danych w tym zakresie do Dyrektora Centralnego Azylu.</w:t>
      </w:r>
    </w:p>
    <w:p w14:paraId="12B31180" w14:textId="71E340BC" w:rsidR="006472A7" w:rsidRDefault="0028156F" w:rsidP="00CF65A3">
      <w:pPr>
        <w:pStyle w:val="ARTartustawynprozporzdzenia"/>
      </w:pPr>
      <w:r>
        <w:t xml:space="preserve">Zmiany w art. 20 </w:t>
      </w:r>
      <w:r w:rsidR="00430B34">
        <w:t xml:space="preserve">ustawy o Centralnym Azylu </w:t>
      </w:r>
      <w:r>
        <w:t xml:space="preserve">są skutkiem rezygnacji z obowiązku określonego w art. 18 ust. 3 </w:t>
      </w:r>
      <w:r w:rsidR="00430B34">
        <w:t xml:space="preserve">tej ustawy </w:t>
      </w:r>
      <w:r>
        <w:t>i obejmują uzupełnienie rocznego sprawozdania z</w:t>
      </w:r>
      <w:r w:rsidR="00C53CFB">
        <w:t> </w:t>
      </w:r>
      <w:r>
        <w:t>działalności Centralnego Azylu przekazywanego ministrowi właściwemu do spraw środowiska o informacje, które były zawarte w informacji rocznej przekazywanej Generalnemu Dyrektorowi Ochrony Środowiska.</w:t>
      </w:r>
      <w:r w:rsidR="00430B34">
        <w:t xml:space="preserve"> Konsekwencją tych zmian jest uchylenie art. 22 ustawy o</w:t>
      </w:r>
      <w:r w:rsidR="00C53CFB">
        <w:t> </w:t>
      </w:r>
      <w:r w:rsidR="00430B34">
        <w:t xml:space="preserve">Centralnym Azylu, </w:t>
      </w:r>
      <w:r w:rsidR="006472A7">
        <w:t>określającego obowiązkowe elementy takiej informacji.</w:t>
      </w:r>
      <w:r w:rsidR="00BF6663">
        <w:t xml:space="preserve"> Dodatkowo </w:t>
      </w:r>
      <w:r w:rsidR="00BF6663">
        <w:lastRenderedPageBreak/>
        <w:t>doprecyzowano, że wykaz, o którym mowa w art. 20 pkt 2</w:t>
      </w:r>
      <w:r w:rsidR="00477DCC">
        <w:t>,</w:t>
      </w:r>
      <w:r w:rsidR="00BF6663">
        <w:t xml:space="preserve"> sporządza się według stanu na koniec roku sprawozdawczego.</w:t>
      </w:r>
    </w:p>
    <w:p w14:paraId="0940EF77" w14:textId="2B0061F4" w:rsidR="0028156F" w:rsidRPr="00670615" w:rsidRDefault="0028156F" w:rsidP="007F669A">
      <w:pPr>
        <w:pStyle w:val="ARTartustawynprozporzdzenia"/>
      </w:pPr>
      <w:r w:rsidRPr="00670615">
        <w:t xml:space="preserve">Zmiana w </w:t>
      </w:r>
      <w:r w:rsidR="00904DAB">
        <w:t xml:space="preserve">ust. 1 w </w:t>
      </w:r>
      <w:r w:rsidRPr="00670615">
        <w:t xml:space="preserve">art. 25 </w:t>
      </w:r>
      <w:r w:rsidR="007F669A">
        <w:t xml:space="preserve">ustawy o Centralnym Azylu, </w:t>
      </w:r>
      <w:r w:rsidRPr="00670615">
        <w:t>polegająca na dodaniu odesłania do doda</w:t>
      </w:r>
      <w:r w:rsidR="007F669A">
        <w:t>wa</w:t>
      </w:r>
      <w:r w:rsidRPr="00670615">
        <w:t>nego art. 4a</w:t>
      </w:r>
      <w:r w:rsidR="007F669A">
        <w:t>,</w:t>
      </w:r>
      <w:r w:rsidRPr="00670615">
        <w:t xml:space="preserve"> ma na celu rozszerzenie odpowiedzialności z tytułu umyślnego </w:t>
      </w:r>
      <w:r w:rsidR="002E7BE5" w:rsidRPr="00670615">
        <w:t xml:space="preserve">rozmnażania zwierząt na podmioty wykonujące zadania </w:t>
      </w:r>
      <w:r w:rsidR="002E7BE5" w:rsidRPr="002E7BE5">
        <w:t>Centralnego Azylu</w:t>
      </w:r>
      <w:r w:rsidR="00904DAB">
        <w:t>,</w:t>
      </w:r>
      <w:r w:rsidR="002E7BE5" w:rsidRPr="002E7BE5">
        <w:t xml:space="preserve"> o których mowa w art. 4 pkt 1</w:t>
      </w:r>
      <w:r w:rsidR="00824B5D" w:rsidRPr="0062008E">
        <w:rPr>
          <w:rFonts w:eastAsiaTheme="minorEastAsia"/>
        </w:rPr>
        <w:t>–</w:t>
      </w:r>
      <w:r w:rsidR="002E7BE5" w:rsidRPr="002E7BE5">
        <w:t>5, na podstawie porozumień lub umów.</w:t>
      </w:r>
    </w:p>
    <w:bookmarkEnd w:id="1"/>
    <w:p w14:paraId="7676DAF3" w14:textId="4BE4678C" w:rsidR="000340B1" w:rsidRDefault="00975E4C" w:rsidP="00C01681">
      <w:pPr>
        <w:pStyle w:val="ARTartustawynprozporzdzenia"/>
      </w:pPr>
      <w:r w:rsidRPr="00975E4C">
        <w:t>Konieczność zmiany art. 36 ust. 1 ustawy o Centralnym Azylu</w:t>
      </w:r>
      <w:r w:rsidR="00904DAB">
        <w:t>, zawierającego</w:t>
      </w:r>
      <w:r w:rsidR="00904DAB" w:rsidRPr="00975E4C">
        <w:t xml:space="preserve"> </w:t>
      </w:r>
      <w:r w:rsidR="00904DAB">
        <w:t>regułę wydatkową</w:t>
      </w:r>
      <w:r w:rsidRPr="00975E4C">
        <w:t>, wynika ze zmiany pierwotnie przyjętego harmonogramu realizacji zadań w</w:t>
      </w:r>
      <w:r w:rsidR="00C53CFB">
        <w:t> </w:t>
      </w:r>
      <w:r w:rsidRPr="00975E4C">
        <w:t>zakresie organizacji Centralnego Azylu. Uchwalenie ustawy o Centralnym Azylu w</w:t>
      </w:r>
      <w:r w:rsidR="00C53CFB">
        <w:t> </w:t>
      </w:r>
      <w:r w:rsidRPr="00975E4C">
        <w:t>listopadzie 2022 r. uniemożliwiło wykorzystanie środków finansowych przewidzianych na rok 2022. Jednocześnie przesunięciu czasowemu uległ harmonogram realizacji zadań w</w:t>
      </w:r>
      <w:r w:rsidR="00C53CFB">
        <w:t> </w:t>
      </w:r>
      <w:r w:rsidRPr="00975E4C">
        <w:t xml:space="preserve">zakresie organizacji Centralnego Azylu, w tym planowane </w:t>
      </w:r>
      <w:r w:rsidR="0073743B">
        <w:t xml:space="preserve">w 2023 </w:t>
      </w:r>
      <w:r w:rsidR="00E20537">
        <w:t xml:space="preserve">r. </w:t>
      </w:r>
      <w:r w:rsidRPr="00975E4C">
        <w:t xml:space="preserve">wydatkowanie środków </w:t>
      </w:r>
      <w:r w:rsidR="0073743B">
        <w:t xml:space="preserve">na adaptację nieruchomości </w:t>
      </w:r>
      <w:r w:rsidRPr="00975E4C">
        <w:t xml:space="preserve">przez Pełnomocnika do spraw organizacji Centralnego Azylu powołanego zarządzeniem Ministra Klimatu i Środowiska z dnia 1 lutego 2023 r. w sprawie powołania Pełnomocnika do spraw organizacji Centralnego Azylu (Dz. Urz. </w:t>
      </w:r>
      <w:proofErr w:type="spellStart"/>
      <w:r w:rsidRPr="00975E4C">
        <w:t>MKiŚ</w:t>
      </w:r>
      <w:proofErr w:type="spellEnd"/>
      <w:r w:rsidRPr="00975E4C">
        <w:t xml:space="preserve"> z 2023</w:t>
      </w:r>
      <w:r w:rsidR="00C53CFB">
        <w:t> </w:t>
      </w:r>
      <w:r w:rsidRPr="00975E4C">
        <w:t>r. poz. 6)</w:t>
      </w:r>
      <w:r w:rsidR="00635F19">
        <w:t>, a obecnie przez Dyrektora Centralnego Azylu</w:t>
      </w:r>
      <w:r w:rsidRPr="00975E4C">
        <w:t xml:space="preserve">. Istotnym elementem wpływającym na możliwość podejmowania działań </w:t>
      </w:r>
      <w:r w:rsidR="0073743B">
        <w:t xml:space="preserve">w tym zakresie </w:t>
      </w:r>
      <w:r w:rsidR="000340B1">
        <w:rPr>
          <w:rFonts w:ascii="Times New Roman" w:hAnsi="Times New Roman"/>
        </w:rPr>
        <w:t xml:space="preserve">jest </w:t>
      </w:r>
      <w:r w:rsidR="000340B1" w:rsidRPr="00845159">
        <w:rPr>
          <w:rFonts w:ascii="Times New Roman" w:hAnsi="Times New Roman"/>
        </w:rPr>
        <w:t xml:space="preserve">art. 34 ust. 3 ustawy o Centralnym Azylu dla Zwierząt, </w:t>
      </w:r>
      <w:r w:rsidR="009D0CBF">
        <w:rPr>
          <w:rFonts w:ascii="Times New Roman" w:hAnsi="Times New Roman"/>
        </w:rPr>
        <w:t>zgodnie z którym</w:t>
      </w:r>
      <w:r w:rsidR="000340B1" w:rsidRPr="00845159">
        <w:rPr>
          <w:rFonts w:ascii="Times New Roman" w:hAnsi="Times New Roman"/>
        </w:rPr>
        <w:t xml:space="preserve"> właściwy starosta, wykonujący zadania z zakresu administracji rządowej, oddaje w trwały zarząd, w drodze decyzji administracyjnej, Centralnemu Azylowi nieruchomości wskazane na jego wyposażenie. </w:t>
      </w:r>
      <w:r w:rsidR="000340B1">
        <w:rPr>
          <w:rFonts w:ascii="Times New Roman" w:hAnsi="Times New Roman"/>
        </w:rPr>
        <w:t xml:space="preserve">Natomiast </w:t>
      </w:r>
      <w:r w:rsidR="009E7062">
        <w:rPr>
          <w:rFonts w:ascii="Times New Roman" w:hAnsi="Times New Roman"/>
        </w:rPr>
        <w:t>zgodnie z</w:t>
      </w:r>
      <w:r w:rsidR="000340B1" w:rsidRPr="00845159">
        <w:rPr>
          <w:rFonts w:ascii="Times New Roman" w:hAnsi="Times New Roman"/>
        </w:rPr>
        <w:t xml:space="preserve"> art. 44 ustawy dnia 21</w:t>
      </w:r>
      <w:r w:rsidR="00477DCC">
        <w:rPr>
          <w:rFonts w:ascii="Times New Roman" w:hAnsi="Times New Roman"/>
        </w:rPr>
        <w:t> </w:t>
      </w:r>
      <w:r w:rsidR="000340B1" w:rsidRPr="00845159">
        <w:rPr>
          <w:rFonts w:ascii="Times New Roman" w:hAnsi="Times New Roman"/>
        </w:rPr>
        <w:t>sierpnia 1997 r. o gospodarce nieruchomościami (Dz.</w:t>
      </w:r>
      <w:r w:rsidR="00E20537">
        <w:rPr>
          <w:rFonts w:ascii="Times New Roman" w:hAnsi="Times New Roman"/>
        </w:rPr>
        <w:t xml:space="preserve"> </w:t>
      </w:r>
      <w:r w:rsidR="000340B1" w:rsidRPr="00845159">
        <w:rPr>
          <w:rFonts w:ascii="Times New Roman" w:hAnsi="Times New Roman"/>
        </w:rPr>
        <w:t xml:space="preserve">U. </w:t>
      </w:r>
      <w:r w:rsidR="00E20537">
        <w:rPr>
          <w:rFonts w:ascii="Times New Roman" w:hAnsi="Times New Roman"/>
        </w:rPr>
        <w:t>z 2024 r.</w:t>
      </w:r>
      <w:r w:rsidR="000340B1" w:rsidRPr="00845159">
        <w:rPr>
          <w:rFonts w:ascii="Times New Roman" w:hAnsi="Times New Roman"/>
        </w:rPr>
        <w:t xml:space="preserve"> poz. </w:t>
      </w:r>
      <w:r w:rsidR="00E20537">
        <w:rPr>
          <w:rFonts w:ascii="Times New Roman" w:hAnsi="Times New Roman"/>
        </w:rPr>
        <w:t>1145</w:t>
      </w:r>
      <w:r w:rsidR="00080EB1">
        <w:rPr>
          <w:rFonts w:ascii="Times New Roman" w:hAnsi="Times New Roman"/>
        </w:rPr>
        <w:t xml:space="preserve">, </w:t>
      </w:r>
      <w:r w:rsidR="009E7062">
        <w:rPr>
          <w:rFonts w:ascii="Times New Roman" w:hAnsi="Times New Roman"/>
        </w:rPr>
        <w:t>z późn.zm.</w:t>
      </w:r>
      <w:r w:rsidR="00080EB1">
        <w:rPr>
          <w:rFonts w:ascii="Times New Roman" w:hAnsi="Times New Roman"/>
        </w:rPr>
        <w:t>)</w:t>
      </w:r>
      <w:r w:rsidR="000340B1" w:rsidRPr="00845159">
        <w:rPr>
          <w:rFonts w:ascii="Times New Roman" w:hAnsi="Times New Roman"/>
        </w:rPr>
        <w:t xml:space="preserve">, tryb ten można zastosować na rzecz samej jednostki. </w:t>
      </w:r>
      <w:r w:rsidR="0073743B">
        <w:rPr>
          <w:rFonts w:ascii="Times New Roman" w:hAnsi="Times New Roman"/>
        </w:rPr>
        <w:t>Z</w:t>
      </w:r>
      <w:r w:rsidR="000340B1" w:rsidRPr="00845159">
        <w:rPr>
          <w:rFonts w:ascii="Times New Roman" w:hAnsi="Times New Roman"/>
        </w:rPr>
        <w:t xml:space="preserve">godnie z art. 32 ustawy o Centralnym Azylu </w:t>
      </w:r>
      <w:r w:rsidR="00E20537">
        <w:rPr>
          <w:rFonts w:ascii="Times New Roman" w:hAnsi="Times New Roman"/>
        </w:rPr>
        <w:t xml:space="preserve">Centralny Azyl </w:t>
      </w:r>
      <w:r w:rsidR="000340B1" w:rsidRPr="00845159">
        <w:rPr>
          <w:rFonts w:ascii="Times New Roman" w:hAnsi="Times New Roman"/>
        </w:rPr>
        <w:t>został powołan</w:t>
      </w:r>
      <w:r w:rsidR="00B17DD5">
        <w:rPr>
          <w:rFonts w:ascii="Times New Roman" w:hAnsi="Times New Roman"/>
        </w:rPr>
        <w:t>y</w:t>
      </w:r>
      <w:r w:rsidR="000340B1" w:rsidRPr="00845159">
        <w:rPr>
          <w:rFonts w:ascii="Times New Roman" w:hAnsi="Times New Roman"/>
        </w:rPr>
        <w:t xml:space="preserve"> do życia z początkiem 2024 r</w:t>
      </w:r>
      <w:r w:rsidR="00E20537">
        <w:rPr>
          <w:rFonts w:ascii="Times New Roman" w:hAnsi="Times New Roman"/>
        </w:rPr>
        <w:t>.</w:t>
      </w:r>
      <w:r w:rsidR="000340B1" w:rsidRPr="00845159">
        <w:rPr>
          <w:rFonts w:ascii="Times New Roman" w:hAnsi="Times New Roman"/>
        </w:rPr>
        <w:t xml:space="preserve"> W konsekwencji tego</w:t>
      </w:r>
      <w:r w:rsidR="000340B1">
        <w:rPr>
          <w:rFonts w:ascii="Times New Roman" w:hAnsi="Times New Roman"/>
        </w:rPr>
        <w:t xml:space="preserve"> </w:t>
      </w:r>
      <w:r w:rsidR="000340B1" w:rsidRPr="00845159">
        <w:rPr>
          <w:rFonts w:ascii="Times New Roman" w:hAnsi="Times New Roman"/>
        </w:rPr>
        <w:t>w</w:t>
      </w:r>
      <w:r w:rsidR="00C53CFB">
        <w:rPr>
          <w:rFonts w:ascii="Times New Roman" w:hAnsi="Times New Roman"/>
        </w:rPr>
        <w:t> </w:t>
      </w:r>
      <w:r w:rsidR="000340B1" w:rsidRPr="00845159">
        <w:rPr>
          <w:rFonts w:ascii="Times New Roman" w:hAnsi="Times New Roman"/>
        </w:rPr>
        <w:t>okresie przejściowym, w którym działalność pełnił Pełnomocnik do spraw organizacji Centralnego Azylu</w:t>
      </w:r>
      <w:r w:rsidR="000340B1">
        <w:rPr>
          <w:rFonts w:ascii="Times New Roman" w:hAnsi="Times New Roman"/>
        </w:rPr>
        <w:t xml:space="preserve">, </w:t>
      </w:r>
      <w:r w:rsidR="000340B1" w:rsidRPr="00845159">
        <w:rPr>
          <w:rFonts w:ascii="Times New Roman" w:hAnsi="Times New Roman"/>
        </w:rPr>
        <w:t>nie było możliwe przejęcie nieruchomości</w:t>
      </w:r>
      <w:r w:rsidR="00477DCC">
        <w:rPr>
          <w:rFonts w:ascii="Times New Roman" w:hAnsi="Times New Roman"/>
        </w:rPr>
        <w:t>,</w:t>
      </w:r>
      <w:r w:rsidR="0073743B">
        <w:rPr>
          <w:rFonts w:ascii="Times New Roman" w:hAnsi="Times New Roman"/>
        </w:rPr>
        <w:t xml:space="preserve"> </w:t>
      </w:r>
      <w:r w:rsidR="008826F4">
        <w:rPr>
          <w:rFonts w:ascii="Times New Roman" w:hAnsi="Times New Roman"/>
        </w:rPr>
        <w:t>co</w:t>
      </w:r>
      <w:r w:rsidR="0073743B">
        <w:rPr>
          <w:rFonts w:ascii="Times New Roman" w:hAnsi="Times New Roman"/>
        </w:rPr>
        <w:t xml:space="preserve"> uniemożliwiło wykorzystanie </w:t>
      </w:r>
      <w:r w:rsidR="008826F4">
        <w:rPr>
          <w:rFonts w:ascii="Times New Roman" w:hAnsi="Times New Roman"/>
        </w:rPr>
        <w:t xml:space="preserve">ponad 96% </w:t>
      </w:r>
      <w:r w:rsidR="0073743B">
        <w:rPr>
          <w:rFonts w:ascii="Times New Roman" w:hAnsi="Times New Roman"/>
        </w:rPr>
        <w:t xml:space="preserve">środków na 2023 </w:t>
      </w:r>
      <w:r w:rsidR="00E20537">
        <w:rPr>
          <w:rFonts w:ascii="Times New Roman" w:hAnsi="Times New Roman"/>
        </w:rPr>
        <w:t>r</w:t>
      </w:r>
      <w:r w:rsidR="000340B1">
        <w:rPr>
          <w:rFonts w:ascii="Times New Roman" w:hAnsi="Times New Roman"/>
        </w:rPr>
        <w:t>.</w:t>
      </w:r>
      <w:r w:rsidR="000340B1" w:rsidRPr="00845159">
        <w:rPr>
          <w:rFonts w:ascii="Times New Roman" w:hAnsi="Times New Roman"/>
        </w:rPr>
        <w:t xml:space="preserve"> </w:t>
      </w:r>
    </w:p>
    <w:p w14:paraId="48BA9BA8" w14:textId="5D1B6689" w:rsidR="000340B1" w:rsidRDefault="000340B1" w:rsidP="00C01681">
      <w:pPr>
        <w:spacing w:line="360" w:lineRule="auto"/>
        <w:jc w:val="both"/>
      </w:pPr>
      <w:r w:rsidRPr="00845159">
        <w:t>W związku z tym okres</w:t>
      </w:r>
      <w:r w:rsidR="0073743B">
        <w:t xml:space="preserve"> organizac</w:t>
      </w:r>
      <w:r w:rsidR="00E20537">
        <w:t xml:space="preserve">ji Centralnego Azylu </w:t>
      </w:r>
      <w:r>
        <w:t>był ograniczony</w:t>
      </w:r>
      <w:r w:rsidRPr="00845159">
        <w:t xml:space="preserve"> do czynności administracyjnych oraz opracowania niezbędnych z punku widzenia przyszłej inwestycji analiz, specyfikacji, inwentaryzacji oraz ekspertyz. W tym czasie sporządzono również wstępne studium wykonalności</w:t>
      </w:r>
      <w:r>
        <w:t>, które stanowi prognozę przyszłych wydatków związanych z</w:t>
      </w:r>
      <w:r w:rsidR="00C53CFB">
        <w:t> </w:t>
      </w:r>
      <w:r>
        <w:t>procesem inwestycyjnym.</w:t>
      </w:r>
    </w:p>
    <w:p w14:paraId="39F24DC7" w14:textId="0BD3817F" w:rsidR="000340B1" w:rsidRDefault="008826F4" w:rsidP="00C01681">
      <w:pPr>
        <w:spacing w:line="360" w:lineRule="auto"/>
        <w:jc w:val="both"/>
      </w:pPr>
      <w:r>
        <w:lastRenderedPageBreak/>
        <w:t>Również ś</w:t>
      </w:r>
      <w:r w:rsidR="0073743B" w:rsidRPr="00975E4C">
        <w:t xml:space="preserve">rodki przeznaczone na wydatkowanie w </w:t>
      </w:r>
      <w:r w:rsidR="00A945B9">
        <w:t xml:space="preserve">latach </w:t>
      </w:r>
      <w:r w:rsidR="0073743B">
        <w:t>2024</w:t>
      </w:r>
      <w:r w:rsidR="00477DCC">
        <w:t xml:space="preserve"> i </w:t>
      </w:r>
      <w:r w:rsidR="00A536C0">
        <w:t xml:space="preserve">2025 </w:t>
      </w:r>
      <w:r w:rsidR="0073743B" w:rsidRPr="00975E4C">
        <w:t xml:space="preserve">nie mogły być wykorzystane w pełni, a jednocześnie potrzeba ich wydatkowania zmaterializuje się w latach kolejnych. </w:t>
      </w:r>
      <w:r w:rsidR="000340B1">
        <w:t>Ekspertyza techniczna przeprowadzona przez rzeczoznawcę budowlanego w</w:t>
      </w:r>
      <w:r w:rsidR="00477DCC">
        <w:t> </w:t>
      </w:r>
      <w:r w:rsidR="000340B1">
        <w:t>listopadzie 2023</w:t>
      </w:r>
      <w:r w:rsidR="00C53CFB">
        <w:t> </w:t>
      </w:r>
      <w:r w:rsidR="000340B1">
        <w:t xml:space="preserve">r. potwierdziła, że przedmiotowe budynki są w stanie </w:t>
      </w:r>
      <w:r w:rsidR="000340B1" w:rsidRPr="00302277">
        <w:t xml:space="preserve">technicznym </w:t>
      </w:r>
      <w:r w:rsidR="000340B1">
        <w:t>umożliwiającym</w:t>
      </w:r>
      <w:r w:rsidR="000340B1" w:rsidRPr="00302277">
        <w:t xml:space="preserve"> </w:t>
      </w:r>
      <w:r w:rsidR="000340B1">
        <w:t>ich</w:t>
      </w:r>
      <w:r w:rsidR="000340B1" w:rsidRPr="00302277">
        <w:t xml:space="preserve"> adaptację i wykorzystanie na cele Centralnego Azylu</w:t>
      </w:r>
      <w:r w:rsidR="00477DCC">
        <w:t>,</w:t>
      </w:r>
      <w:r w:rsidR="000340B1" w:rsidRPr="00302277">
        <w:t xml:space="preserve"> </w:t>
      </w:r>
      <w:r w:rsidR="000340B1">
        <w:t xml:space="preserve">jednocześnie stwierdzając, że </w:t>
      </w:r>
      <w:r w:rsidR="000340B1" w:rsidRPr="00302277">
        <w:t>obiekt</w:t>
      </w:r>
      <w:r w:rsidR="000340B1">
        <w:t>y</w:t>
      </w:r>
      <w:r w:rsidR="000340B1" w:rsidRPr="00302277">
        <w:t xml:space="preserve"> </w:t>
      </w:r>
      <w:r w:rsidR="000340B1">
        <w:t xml:space="preserve">te </w:t>
      </w:r>
      <w:r w:rsidR="000340B1" w:rsidRPr="00302277">
        <w:t>stwarz</w:t>
      </w:r>
      <w:r w:rsidR="000340B1">
        <w:t xml:space="preserve">ają </w:t>
      </w:r>
      <w:r w:rsidR="000340B1" w:rsidRPr="00302277">
        <w:t>zagrożeni</w:t>
      </w:r>
      <w:r w:rsidR="000340B1">
        <w:t>e</w:t>
      </w:r>
      <w:r w:rsidR="000340B1" w:rsidRPr="00302277">
        <w:t xml:space="preserve"> dla życia lub zdrowia ludzi</w:t>
      </w:r>
      <w:r w:rsidR="000340B1">
        <w:t xml:space="preserve"> oraz z uwagi na ich</w:t>
      </w:r>
      <w:r w:rsidR="000340B1" w:rsidRPr="00302277">
        <w:t xml:space="preserve"> dewastację nie nadaj</w:t>
      </w:r>
      <w:r w:rsidR="000340B1">
        <w:t>ą</w:t>
      </w:r>
      <w:r w:rsidR="000340B1" w:rsidRPr="00302277">
        <w:t xml:space="preserve"> się </w:t>
      </w:r>
      <w:r w:rsidR="000340B1">
        <w:t xml:space="preserve">obecnie </w:t>
      </w:r>
      <w:r w:rsidR="000340B1" w:rsidRPr="00302277">
        <w:t>do użytkowania</w:t>
      </w:r>
      <w:r w:rsidR="000340B1">
        <w:t xml:space="preserve">. </w:t>
      </w:r>
    </w:p>
    <w:p w14:paraId="252BEFC6" w14:textId="46CE77CA" w:rsidR="000340B1" w:rsidRDefault="000340B1" w:rsidP="00C01681">
      <w:pPr>
        <w:spacing w:line="360" w:lineRule="auto"/>
        <w:jc w:val="both"/>
      </w:pPr>
      <w:r>
        <w:t xml:space="preserve">W celu doprowadzenia obiektów do współcześnie obowiązujących warunków technicznych konieczne jest przeprowadzenie kompleksowego procesu inwestycyjnego w oparciu </w:t>
      </w:r>
      <w:r w:rsidR="008826F4">
        <w:br/>
      </w:r>
      <w:r>
        <w:t>o obowiązujące przepisy i procedury wynikające głównie z ustawy z dnia 7 lipca 1994</w:t>
      </w:r>
      <w:r w:rsidR="00C53CFB">
        <w:t> </w:t>
      </w:r>
      <w:r>
        <w:t xml:space="preserve">r. </w:t>
      </w:r>
      <w:r w:rsidR="00352705" w:rsidRPr="0062008E">
        <w:rPr>
          <w:rFonts w:ascii="Times" w:eastAsiaTheme="minorEastAsia" w:hAnsi="Times" w:cs="Arial"/>
          <w:szCs w:val="20"/>
        </w:rPr>
        <w:t>–</w:t>
      </w:r>
      <w:r w:rsidR="00C53CFB">
        <w:rPr>
          <w:rFonts w:ascii="Times" w:eastAsiaTheme="minorEastAsia" w:hAnsi="Times" w:cs="Arial"/>
          <w:szCs w:val="20"/>
        </w:rPr>
        <w:t> </w:t>
      </w:r>
      <w:r>
        <w:t xml:space="preserve">Prawo budowlane </w:t>
      </w:r>
      <w:r w:rsidR="00352705">
        <w:t>(Dz. U. z 202</w:t>
      </w:r>
      <w:r w:rsidR="006F1ACD">
        <w:t>5</w:t>
      </w:r>
      <w:r w:rsidR="00ED3B92">
        <w:t xml:space="preserve"> </w:t>
      </w:r>
      <w:r w:rsidR="006F1ACD">
        <w:t>r. poz.</w:t>
      </w:r>
      <w:r w:rsidR="00ED3B92">
        <w:t xml:space="preserve"> </w:t>
      </w:r>
      <w:r w:rsidR="006F1ACD">
        <w:t>418</w:t>
      </w:r>
      <w:r w:rsidR="00477DCC">
        <w:t>, z późn. zm.</w:t>
      </w:r>
      <w:r w:rsidR="00352705">
        <w:t xml:space="preserve">) </w:t>
      </w:r>
      <w:r>
        <w:t xml:space="preserve">oraz ustawy z dnia 11 września 2019 r. </w:t>
      </w:r>
      <w:r w:rsidR="00824B5D" w:rsidRPr="0062008E">
        <w:rPr>
          <w:rFonts w:ascii="Times" w:eastAsiaTheme="minorEastAsia" w:hAnsi="Times" w:cs="Arial"/>
          <w:szCs w:val="20"/>
        </w:rPr>
        <w:t>–</w:t>
      </w:r>
      <w:r w:rsidR="00824B5D">
        <w:rPr>
          <w:rFonts w:ascii="Times" w:eastAsiaTheme="minorEastAsia" w:hAnsi="Times" w:cs="Arial"/>
          <w:szCs w:val="20"/>
        </w:rPr>
        <w:t xml:space="preserve"> </w:t>
      </w:r>
      <w:r>
        <w:t>Prawo zamówień publicznych</w:t>
      </w:r>
      <w:r w:rsidR="00352705">
        <w:t xml:space="preserve"> (Dz. U. z 2024 r. poz. 1320</w:t>
      </w:r>
      <w:r w:rsidR="00ED3B92">
        <w:t>, z późn.zm.</w:t>
      </w:r>
      <w:r w:rsidR="00352705">
        <w:t>)</w:t>
      </w:r>
      <w:r>
        <w:t xml:space="preserve">. Z uwagi na skomplikowany charakter przedsięwzięcia czas </w:t>
      </w:r>
      <w:r w:rsidR="00D836CF">
        <w:t xml:space="preserve">realizacji </w:t>
      </w:r>
      <w:r>
        <w:t>inwestycji szacowany jest na 54</w:t>
      </w:r>
      <w:r w:rsidR="00477DCC">
        <w:t> </w:t>
      </w:r>
      <w:r>
        <w:t xml:space="preserve">miesiące (w tym od 30 do 36 miesięcy na przeprowadzenie robót budowalnych). Planowanym terminem zakończenia inwestycji wraz z wyposażeniem obiektów jest koniec </w:t>
      </w:r>
      <w:r w:rsidR="001D3D63">
        <w:t xml:space="preserve">2031 </w:t>
      </w:r>
      <w:r>
        <w:t>r.</w:t>
      </w:r>
      <w:r w:rsidR="008826F4">
        <w:t xml:space="preserve"> </w:t>
      </w:r>
      <w:r>
        <w:t>Zgodnie z danymi GUS na temat w</w:t>
      </w:r>
      <w:r w:rsidRPr="00CE3E69">
        <w:t>skaźnik</w:t>
      </w:r>
      <w:r>
        <w:t>ów</w:t>
      </w:r>
      <w:r w:rsidRPr="00CE3E69">
        <w:t xml:space="preserve"> cen produkcji budowlano-montażowej </w:t>
      </w:r>
      <w:r>
        <w:t>w</w:t>
      </w:r>
      <w:r w:rsidRPr="00CE3E69">
        <w:t xml:space="preserve"> styczni</w:t>
      </w:r>
      <w:r>
        <w:t>u</w:t>
      </w:r>
      <w:r w:rsidRPr="00CE3E69">
        <w:t xml:space="preserve"> 2024 r.</w:t>
      </w:r>
      <w:r>
        <w:t xml:space="preserve"> w okresie od końca 2021 r</w:t>
      </w:r>
      <w:r w:rsidR="005F3E77">
        <w:t>.</w:t>
      </w:r>
      <w:r>
        <w:t xml:space="preserve"> do stycznia 2024 r</w:t>
      </w:r>
      <w:r w:rsidR="00352705">
        <w:t>.</w:t>
      </w:r>
      <w:r>
        <w:t xml:space="preserve"> ceny budowy budynków wzrosły </w:t>
      </w:r>
      <w:r w:rsidR="005F3E77">
        <w:t xml:space="preserve">o </w:t>
      </w:r>
      <w:r>
        <w:t>23,9%</w:t>
      </w:r>
      <w:r w:rsidR="005F3E77">
        <w:t>,</w:t>
      </w:r>
      <w:r>
        <w:t xml:space="preserve"> a roboty budowlane specjalistyczne o 21,5% (źródło danych</w:t>
      </w:r>
      <w:r w:rsidR="00FC6674">
        <w:t>:</w:t>
      </w:r>
      <w:r>
        <w:t xml:space="preserve"> GUS). </w:t>
      </w:r>
      <w:r w:rsidR="003A313D">
        <w:t>W</w:t>
      </w:r>
      <w:r w:rsidR="00477DCC">
        <w:t> </w:t>
      </w:r>
      <w:r w:rsidR="008826F4">
        <w:t>związku z czym p</w:t>
      </w:r>
      <w:r>
        <w:t>ierwotni</w:t>
      </w:r>
      <w:r w:rsidR="008826F4">
        <w:t>e</w:t>
      </w:r>
      <w:r>
        <w:t xml:space="preserve"> </w:t>
      </w:r>
      <w:r w:rsidR="008826F4">
        <w:t xml:space="preserve">szacowane </w:t>
      </w:r>
      <w:r>
        <w:t>koszty adaptacji nieruchomości</w:t>
      </w:r>
      <w:r w:rsidR="005F3E77">
        <w:t>,</w:t>
      </w:r>
      <w:r>
        <w:t xml:space="preserve"> </w:t>
      </w:r>
      <w:r w:rsidR="008826F4">
        <w:t xml:space="preserve">określone na </w:t>
      </w:r>
      <w:r>
        <w:t xml:space="preserve">poziomie 32,000 mln zł, </w:t>
      </w:r>
      <w:r w:rsidR="008826F4">
        <w:t>uległy podwyższeniu. A</w:t>
      </w:r>
      <w:r>
        <w:t xml:space="preserve">ktualny koszt planowanej inwestycji </w:t>
      </w:r>
      <w:r w:rsidR="008826F4">
        <w:t>wynosi</w:t>
      </w:r>
      <w:r>
        <w:t xml:space="preserve"> </w:t>
      </w:r>
      <w:r w:rsidR="001D3D63">
        <w:t>64</w:t>
      </w:r>
      <w:r>
        <w:t>,</w:t>
      </w:r>
      <w:r w:rsidR="001D3D63">
        <w:t xml:space="preserve">105 </w:t>
      </w:r>
      <w:r>
        <w:t>mln zł</w:t>
      </w:r>
      <w:r w:rsidR="001D3D63">
        <w:t xml:space="preserve"> (w tym zakupy niezbędnych pojazdów na potrzeby </w:t>
      </w:r>
      <w:r w:rsidR="00975549">
        <w:t>Centralnego Azylu</w:t>
      </w:r>
      <w:r w:rsidR="001D3D63">
        <w:t>)</w:t>
      </w:r>
      <w:r>
        <w:t>.</w:t>
      </w:r>
      <w:r w:rsidR="008826F4">
        <w:t xml:space="preserve"> </w:t>
      </w:r>
    </w:p>
    <w:p w14:paraId="2B46B5C9" w14:textId="1C172D91" w:rsidR="00975E4C" w:rsidRDefault="00975E4C" w:rsidP="00975E4C">
      <w:pPr>
        <w:pStyle w:val="ARTartustawynprozporzdzenia"/>
      </w:pPr>
      <w:r w:rsidRPr="00975E4C">
        <w:t xml:space="preserve">Istotne z punktu widzenia założonej funkcjonalności i zamierzeń inwestycyjnych jest zatem </w:t>
      </w:r>
      <w:r w:rsidR="000340B1">
        <w:t>zmiana limitu</w:t>
      </w:r>
      <w:r w:rsidR="000340B1" w:rsidRPr="00975E4C">
        <w:t xml:space="preserve"> </w:t>
      </w:r>
      <w:r w:rsidRPr="00975E4C">
        <w:t xml:space="preserve">środków finansowych określonych w regule </w:t>
      </w:r>
      <w:r w:rsidR="00FC6674">
        <w:t>wydatkowej</w:t>
      </w:r>
      <w:r w:rsidRPr="00975E4C">
        <w:t>, celem właściwe</w:t>
      </w:r>
      <w:r w:rsidR="0073743B">
        <w:t xml:space="preserve">j realizacji przedsięwzięcia zgodnie z </w:t>
      </w:r>
      <w:r w:rsidRPr="00975E4C">
        <w:t xml:space="preserve">zamierzeniami i celami ustawy. </w:t>
      </w:r>
    </w:p>
    <w:p w14:paraId="1B8CB744" w14:textId="79D654C0" w:rsidR="00E2770C" w:rsidRDefault="00E2770C" w:rsidP="00975E4C">
      <w:pPr>
        <w:pStyle w:val="ARTartustawynprozporzdzenia"/>
      </w:pPr>
      <w:r>
        <w:t>W projekcie nie przewiduje się przepisów przejściowych, z uwagi na fakt, ż</w:t>
      </w:r>
      <w:r w:rsidR="005F3E77">
        <w:t>e</w:t>
      </w:r>
      <w:r>
        <w:t xml:space="preserve"> Centralny Azyl nie </w:t>
      </w:r>
      <w:r w:rsidR="00D86FF7">
        <w:t>prowadzi postępowań</w:t>
      </w:r>
      <w:r>
        <w:t>, które w chwili wejścia w życie znowelizowanych przepisów był</w:t>
      </w:r>
      <w:r w:rsidR="00D86FF7">
        <w:t>y</w:t>
      </w:r>
      <w:r>
        <w:t>by kontynuowane</w:t>
      </w:r>
      <w:r w:rsidR="00D86FF7">
        <w:t xml:space="preserve">, a zatem brak jest sytuacji intertemporalnych, które wymagałyby osobnej regulacji. </w:t>
      </w:r>
    </w:p>
    <w:p w14:paraId="7CCF902F" w14:textId="2EC8664A" w:rsidR="00E0493E" w:rsidRPr="00AD65AB" w:rsidRDefault="00CF65A3" w:rsidP="00CF65A3">
      <w:pPr>
        <w:pStyle w:val="ARTartustawynprozporzdzenia"/>
      </w:pPr>
      <w:r w:rsidRPr="00AD65AB">
        <w:t xml:space="preserve">W projekcie przewidziano </w:t>
      </w:r>
      <w:r w:rsidR="000B13B6" w:rsidRPr="00AD65AB">
        <w:t>14</w:t>
      </w:r>
      <w:r w:rsidRPr="00AD65AB">
        <w:t>-</w:t>
      </w:r>
      <w:r w:rsidR="00031195" w:rsidRPr="00AD65AB">
        <w:t>dniow</w:t>
      </w:r>
      <w:r w:rsidR="00031195">
        <w:t>ą</w:t>
      </w:r>
      <w:r w:rsidR="00031195" w:rsidRPr="00AD65AB">
        <w:t xml:space="preserve"> </w:t>
      </w:r>
      <w:r w:rsidRPr="00AD65AB">
        <w:rPr>
          <w:i/>
          <w:iCs/>
        </w:rPr>
        <w:t>vacatio legis</w:t>
      </w:r>
      <w:r w:rsidR="00031195">
        <w:t xml:space="preserve">, </w:t>
      </w:r>
      <w:r w:rsidR="00D2649D">
        <w:rPr>
          <w:rFonts w:ascii="Times New Roman" w:hAnsi="Times New Roman"/>
        </w:rPr>
        <w:t xml:space="preserve">zgodnie z art. 4 ustawy </w:t>
      </w:r>
      <w:r w:rsidR="00D2649D" w:rsidRPr="008C563F">
        <w:rPr>
          <w:rFonts w:ascii="Times New Roman" w:hAnsi="Times New Roman"/>
        </w:rPr>
        <w:t>z dnia 20 lipca 2000 r.</w:t>
      </w:r>
      <w:r w:rsidR="00D2649D" w:rsidRPr="008C563F">
        <w:t xml:space="preserve"> </w:t>
      </w:r>
      <w:r w:rsidR="00D2649D" w:rsidRPr="008C563F">
        <w:rPr>
          <w:rFonts w:ascii="Times New Roman" w:hAnsi="Times New Roman"/>
        </w:rPr>
        <w:t>o ogłaszaniu aktów normatywnych i niektórych innych aktów prawnych</w:t>
      </w:r>
      <w:r w:rsidR="00D2649D">
        <w:rPr>
          <w:rFonts w:ascii="Times New Roman" w:hAnsi="Times New Roman"/>
        </w:rPr>
        <w:t xml:space="preserve"> </w:t>
      </w:r>
      <w:r w:rsidR="00D2649D" w:rsidRPr="008C563F">
        <w:rPr>
          <w:rFonts w:ascii="Times New Roman" w:hAnsi="Times New Roman"/>
        </w:rPr>
        <w:t>(Dz.</w:t>
      </w:r>
      <w:r w:rsidR="00D2649D">
        <w:rPr>
          <w:rFonts w:ascii="Times New Roman" w:hAnsi="Times New Roman"/>
        </w:rPr>
        <w:t xml:space="preserve"> </w:t>
      </w:r>
      <w:r w:rsidR="00D2649D" w:rsidRPr="008C563F">
        <w:rPr>
          <w:rFonts w:ascii="Times New Roman" w:hAnsi="Times New Roman"/>
        </w:rPr>
        <w:t>U. z</w:t>
      </w:r>
      <w:r w:rsidR="00C53CFB">
        <w:rPr>
          <w:rFonts w:ascii="Times New Roman" w:hAnsi="Times New Roman"/>
        </w:rPr>
        <w:t> </w:t>
      </w:r>
      <w:r w:rsidR="00D2649D" w:rsidRPr="008C563F">
        <w:rPr>
          <w:rFonts w:ascii="Times New Roman" w:hAnsi="Times New Roman"/>
        </w:rPr>
        <w:t>2019</w:t>
      </w:r>
      <w:r w:rsidR="00C53CFB">
        <w:rPr>
          <w:rFonts w:ascii="Times New Roman" w:hAnsi="Times New Roman"/>
        </w:rPr>
        <w:t> </w:t>
      </w:r>
      <w:r w:rsidR="00D2649D" w:rsidRPr="008C563F">
        <w:rPr>
          <w:rFonts w:ascii="Times New Roman" w:hAnsi="Times New Roman"/>
        </w:rPr>
        <w:t>r. poz. 1461)</w:t>
      </w:r>
      <w:r w:rsidR="00031195">
        <w:t>.</w:t>
      </w:r>
    </w:p>
    <w:p w14:paraId="7D02715A" w14:textId="29DB14FE" w:rsidR="00717375" w:rsidRDefault="00AD65AB" w:rsidP="00DD0024">
      <w:pPr>
        <w:pStyle w:val="ARTartustawynprozporzdzenia"/>
      </w:pPr>
      <w:r w:rsidRPr="00AD65AB">
        <w:lastRenderedPageBreak/>
        <w:t>Projektowana ustawa</w:t>
      </w:r>
      <w:r w:rsidR="000B13B6" w:rsidRPr="00AD65AB">
        <w:t xml:space="preserve"> nie będzie </w:t>
      </w:r>
      <w:r w:rsidRPr="00AD65AB">
        <w:t>miała</w:t>
      </w:r>
      <w:r w:rsidR="000B13B6" w:rsidRPr="00AD65AB">
        <w:t xml:space="preserve"> wpływu na sektor mikro</w:t>
      </w:r>
      <w:r w:rsidR="005F3E77">
        <w:t>-</w:t>
      </w:r>
      <w:r w:rsidR="000B13B6" w:rsidRPr="00AD65AB">
        <w:t>, małych i średnich przedsiębiorstw oraz jest zgodn</w:t>
      </w:r>
      <w:r w:rsidR="00ED3B92">
        <w:t>a</w:t>
      </w:r>
      <w:r w:rsidR="000B13B6" w:rsidRPr="00AD65AB">
        <w:t xml:space="preserve"> z przepisami ustawy z dnia 6 marca 2018 r. – Prawo przedsiębiorców (</w:t>
      </w:r>
      <w:r w:rsidR="00635F19">
        <w:t>Dz.</w:t>
      </w:r>
      <w:r w:rsidR="00F735E1">
        <w:t xml:space="preserve"> </w:t>
      </w:r>
      <w:r w:rsidR="00635F19">
        <w:t>U. z 2024 r. poz. 236</w:t>
      </w:r>
      <w:r w:rsidR="006F1ACD">
        <w:t>,</w:t>
      </w:r>
      <w:r w:rsidR="00ED3B92">
        <w:t xml:space="preserve"> z późn.</w:t>
      </w:r>
      <w:r w:rsidR="005F3E77">
        <w:t xml:space="preserve"> </w:t>
      </w:r>
      <w:r w:rsidR="00ED3B92">
        <w:t>zm.</w:t>
      </w:r>
      <w:r w:rsidR="000B13B6" w:rsidRPr="00AD65AB">
        <w:t>).</w:t>
      </w:r>
    </w:p>
    <w:p w14:paraId="758EEE6D" w14:textId="77777777" w:rsidR="00CF65A3" w:rsidRDefault="00CF65A3" w:rsidP="00CF65A3">
      <w:pPr>
        <w:pStyle w:val="ARTartustawynprozporzdzenia"/>
      </w:pPr>
      <w:r w:rsidRPr="00D4171A">
        <w:t xml:space="preserve">Projekt jest zgodny z prawem Unii Europejskiej. </w:t>
      </w:r>
    </w:p>
    <w:p w14:paraId="5C16397C" w14:textId="04834FA1" w:rsidR="00031195" w:rsidRPr="00F12273" w:rsidRDefault="00031195" w:rsidP="00031195">
      <w:pPr>
        <w:pStyle w:val="ARTartustawynprozporzdzenia"/>
      </w:pPr>
      <w:r w:rsidRPr="00F12273">
        <w:t xml:space="preserve">Projekt </w:t>
      </w:r>
      <w:r>
        <w:t>ustawy</w:t>
      </w:r>
      <w:r w:rsidRPr="00F12273">
        <w:t xml:space="preserve"> nie dotyczy majątkowych praw i obowiązków przedsiębiorców lub praw i obowiązków przedsiębiorców wobec organów administracji publicznej i nie wpływa na działalność mikroprzedsiębiorców oraz małych i średnich przedsiębiorców. </w:t>
      </w:r>
    </w:p>
    <w:p w14:paraId="075DBAB8" w14:textId="3526AB29" w:rsidR="00CF65A3" w:rsidRPr="00D4171A" w:rsidRDefault="00CF65A3" w:rsidP="00CF65A3">
      <w:pPr>
        <w:pStyle w:val="ARTartustawynprozporzdzenia"/>
      </w:pPr>
      <w:r w:rsidRPr="00D4171A">
        <w:t>Projekt nie wymaga przedstawienia właściwym organom i instytucjom Unii Europejskiej, w tym Europejskiemu Bankowi Centralnemu, w celu uzyskania opinii, dokonania powiadomienia, konsultacji albo uzgodnienia</w:t>
      </w:r>
      <w:r w:rsidR="00031195">
        <w:t xml:space="preserve"> projektu</w:t>
      </w:r>
      <w:r w:rsidRPr="00D4171A">
        <w:t>.</w:t>
      </w:r>
    </w:p>
    <w:p w14:paraId="56805A43" w14:textId="507E019F" w:rsidR="008A687F" w:rsidRDefault="00031195" w:rsidP="00A041B2">
      <w:pPr>
        <w:pStyle w:val="ARTartustawynprozporzdzenia"/>
      </w:pPr>
      <w:r w:rsidRPr="00F12273">
        <w:rPr>
          <w:bCs/>
        </w:rPr>
        <w:t>Projekt ustawy nie podlega procedurze notyfikacji aktów prawnych, określonej w</w:t>
      </w:r>
      <w:r w:rsidR="00C53CFB">
        <w:rPr>
          <w:bCs/>
        </w:rPr>
        <w:t> </w:t>
      </w:r>
      <w:r w:rsidRPr="00F12273">
        <w:rPr>
          <w:bCs/>
        </w:rPr>
        <w:t>przepisach rozporządzenia Rady Ministrów z dnia 23 grudnia 2002 r. w sprawie sposobu funkcjonowania krajowego systemu notyfikacji norm i aktów prawnych (Dz. U. poz. 2039, z</w:t>
      </w:r>
      <w:r w:rsidR="00C53CFB">
        <w:rPr>
          <w:bCs/>
        </w:rPr>
        <w:t> </w:t>
      </w:r>
      <w:r w:rsidRPr="00F12273">
        <w:rPr>
          <w:bCs/>
        </w:rPr>
        <w:t>późn. zm.).</w:t>
      </w:r>
    </w:p>
    <w:sectPr w:rsidR="008A687F" w:rsidSect="00013A4F">
      <w:foot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56DE" w14:textId="77777777" w:rsidR="00E06B3A" w:rsidRDefault="00E06B3A" w:rsidP="00CF65A3">
      <w:r>
        <w:separator/>
      </w:r>
    </w:p>
  </w:endnote>
  <w:endnote w:type="continuationSeparator" w:id="0">
    <w:p w14:paraId="306CA837" w14:textId="77777777" w:rsidR="00E06B3A" w:rsidRDefault="00E06B3A" w:rsidP="00CF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403760"/>
      <w:docPartObj>
        <w:docPartGallery w:val="Page Numbers (Bottom of Page)"/>
        <w:docPartUnique/>
      </w:docPartObj>
    </w:sdtPr>
    <w:sdtEndPr/>
    <w:sdtContent>
      <w:p w14:paraId="639604A8" w14:textId="29C35477" w:rsidR="00020621" w:rsidRDefault="000206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2C82" w14:textId="77777777" w:rsidR="00E06B3A" w:rsidRDefault="00E06B3A" w:rsidP="00CF65A3">
      <w:r>
        <w:separator/>
      </w:r>
    </w:p>
  </w:footnote>
  <w:footnote w:type="continuationSeparator" w:id="0">
    <w:p w14:paraId="6126B204" w14:textId="77777777" w:rsidR="00E06B3A" w:rsidRDefault="00E06B3A" w:rsidP="00CF65A3">
      <w:r>
        <w:continuationSeparator/>
      </w:r>
    </w:p>
  </w:footnote>
  <w:footnote w:id="1">
    <w:p w14:paraId="2531A079" w14:textId="3B3046AF" w:rsidR="00381DA7" w:rsidRDefault="00381DA7" w:rsidP="00C6759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="005E2371">
        <w:rPr>
          <w:vertAlign w:val="superscript"/>
        </w:rPr>
        <w:t>)</w:t>
      </w:r>
      <w:r>
        <w:t xml:space="preserve"> </w:t>
      </w:r>
      <w:r w:rsidR="00FA2AC4">
        <w:t>I</w:t>
      </w:r>
      <w:r w:rsidRPr="00381DA7">
        <w:t>nwazyjny gatunek obcy stwarzający zagrożenie dla Unii wymieniony w wykazie, o którym mowa w art. 4 ust.</w:t>
      </w:r>
      <w:r w:rsidR="00243E63">
        <w:t> </w:t>
      </w:r>
      <w:r w:rsidRPr="00381DA7">
        <w:t xml:space="preserve">1 rozporządzenia Parlamentu Europejskiego i Rady (UE) nr 1143/2014 z dnia 22 października 2014 r. w sprawie działań zapobiegawczych i zaradczych w odniesieniu do wprowadzania i rozprzestrzeniania inwazyjnych </w:t>
      </w:r>
      <w:r>
        <w:t>g</w:t>
      </w:r>
      <w:r w:rsidRPr="00381DA7">
        <w:t xml:space="preserve">atunków obcych (Dz. Urz. UE L 317 z 04.11.2014, str. 35, z późn. zm.), lub inwazyjny gatunek obcy stwarzający zagrożenie dla Polski wymieniony na liście określonej w przepisach wydanych na podstawie art. 23 ust. 1 pkt 2 ustawy z dnia 11 sierpnia 2021 r. o gatunkach obcych (Dz. U. </w:t>
      </w:r>
      <w:r w:rsidR="00FB4905">
        <w:t xml:space="preserve">z 2023 r. </w:t>
      </w:r>
      <w:r w:rsidRPr="00381DA7">
        <w:t>poz.</w:t>
      </w:r>
      <w:r w:rsidR="00FB4905">
        <w:t>1589</w:t>
      </w:r>
      <w:r w:rsidRPr="00381DA7">
        <w:t>)</w:t>
      </w:r>
      <w:r w:rsidR="008D0E62">
        <w:t>.</w:t>
      </w:r>
    </w:p>
  </w:footnote>
  <w:footnote w:id="2">
    <w:p w14:paraId="30BCBE98" w14:textId="1CA9E630" w:rsidR="00D86FF7" w:rsidRDefault="00D86FF7" w:rsidP="00C67591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="003B5E08">
        <w:rPr>
          <w:vertAlign w:val="superscript"/>
        </w:rPr>
        <w:t>)</w:t>
      </w:r>
      <w:r>
        <w:t xml:space="preserve"> </w:t>
      </w:r>
      <w:r w:rsidRPr="00D86FF7">
        <w:t xml:space="preserve">Rączka Krzysztof, Reprezentacja pracodawcy w sferze dokonywania czynności z zakresu prawa pracy, </w:t>
      </w:r>
      <w:proofErr w:type="spellStart"/>
      <w:r w:rsidRPr="00D86FF7">
        <w:t>PiZS</w:t>
      </w:r>
      <w:proofErr w:type="spellEnd"/>
      <w:r w:rsidR="00477DCC">
        <w:t xml:space="preserve"> </w:t>
      </w:r>
      <w:r w:rsidRPr="00D86FF7">
        <w:t>2020/12/31</w:t>
      </w:r>
      <w:r w:rsidR="00477DCC">
        <w:t>–</w:t>
      </w:r>
      <w:r w:rsidRPr="00D86FF7">
        <w:t>36, Lex.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043"/>
    <w:multiLevelType w:val="hybridMultilevel"/>
    <w:tmpl w:val="744C25CE"/>
    <w:lvl w:ilvl="0" w:tplc="343C2A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F2172"/>
    <w:multiLevelType w:val="hybridMultilevel"/>
    <w:tmpl w:val="9B9C1E64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97F0600"/>
    <w:multiLevelType w:val="hybridMultilevel"/>
    <w:tmpl w:val="B7E44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62ED"/>
    <w:multiLevelType w:val="hybridMultilevel"/>
    <w:tmpl w:val="ED961B1A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500764A7"/>
    <w:multiLevelType w:val="hybridMultilevel"/>
    <w:tmpl w:val="4EE2C204"/>
    <w:lvl w:ilvl="0" w:tplc="04150011">
      <w:start w:val="1"/>
      <w:numFmt w:val="decimal"/>
      <w:lvlText w:val="%1)"/>
      <w:lvlJc w:val="left"/>
      <w:pPr>
        <w:ind w:left="2486" w:hanging="360"/>
      </w:p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5" w15:restartNumberingAfterBreak="0">
    <w:nsid w:val="73D50E93"/>
    <w:multiLevelType w:val="hybridMultilevel"/>
    <w:tmpl w:val="B7E44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00678"/>
    <w:rsid w:val="000013F8"/>
    <w:rsid w:val="00006147"/>
    <w:rsid w:val="00006183"/>
    <w:rsid w:val="0000659A"/>
    <w:rsid w:val="00006CD3"/>
    <w:rsid w:val="00013A4F"/>
    <w:rsid w:val="00013B7F"/>
    <w:rsid w:val="000151F3"/>
    <w:rsid w:val="00017284"/>
    <w:rsid w:val="00020621"/>
    <w:rsid w:val="00022220"/>
    <w:rsid w:val="00031195"/>
    <w:rsid w:val="0003144E"/>
    <w:rsid w:val="00032481"/>
    <w:rsid w:val="000340B1"/>
    <w:rsid w:val="0003426A"/>
    <w:rsid w:val="000347CA"/>
    <w:rsid w:val="000348BB"/>
    <w:rsid w:val="000358C5"/>
    <w:rsid w:val="000359A5"/>
    <w:rsid w:val="0003654D"/>
    <w:rsid w:val="000431C7"/>
    <w:rsid w:val="00044A6C"/>
    <w:rsid w:val="00045485"/>
    <w:rsid w:val="0005634F"/>
    <w:rsid w:val="00061378"/>
    <w:rsid w:val="00061A20"/>
    <w:rsid w:val="00063089"/>
    <w:rsid w:val="000657F9"/>
    <w:rsid w:val="00067FC6"/>
    <w:rsid w:val="00071BF2"/>
    <w:rsid w:val="00072425"/>
    <w:rsid w:val="00080C63"/>
    <w:rsid w:val="00080EB1"/>
    <w:rsid w:val="000831A1"/>
    <w:rsid w:val="00091078"/>
    <w:rsid w:val="000941EB"/>
    <w:rsid w:val="000942CD"/>
    <w:rsid w:val="00095B51"/>
    <w:rsid w:val="00097882"/>
    <w:rsid w:val="000A1181"/>
    <w:rsid w:val="000B13B6"/>
    <w:rsid w:val="000B3117"/>
    <w:rsid w:val="000B3977"/>
    <w:rsid w:val="000C07BE"/>
    <w:rsid w:val="000C4EA6"/>
    <w:rsid w:val="000D0DD5"/>
    <w:rsid w:val="000D1D25"/>
    <w:rsid w:val="000D36B2"/>
    <w:rsid w:val="000D4FE5"/>
    <w:rsid w:val="000D7592"/>
    <w:rsid w:val="000E0D74"/>
    <w:rsid w:val="000E107B"/>
    <w:rsid w:val="000E1B1C"/>
    <w:rsid w:val="000E25B3"/>
    <w:rsid w:val="000E2D4D"/>
    <w:rsid w:val="000E39D0"/>
    <w:rsid w:val="000E3D0C"/>
    <w:rsid w:val="000E496B"/>
    <w:rsid w:val="000E56F5"/>
    <w:rsid w:val="000E58AD"/>
    <w:rsid w:val="000E6C92"/>
    <w:rsid w:val="000F7A28"/>
    <w:rsid w:val="00101D3A"/>
    <w:rsid w:val="00104FC7"/>
    <w:rsid w:val="00107749"/>
    <w:rsid w:val="0011211C"/>
    <w:rsid w:val="00112120"/>
    <w:rsid w:val="001130BA"/>
    <w:rsid w:val="0011564A"/>
    <w:rsid w:val="001220D2"/>
    <w:rsid w:val="001233BC"/>
    <w:rsid w:val="00124142"/>
    <w:rsid w:val="00134DCF"/>
    <w:rsid w:val="0014019F"/>
    <w:rsid w:val="0014095A"/>
    <w:rsid w:val="00140A9D"/>
    <w:rsid w:val="0015096B"/>
    <w:rsid w:val="001528B2"/>
    <w:rsid w:val="00152B20"/>
    <w:rsid w:val="00154606"/>
    <w:rsid w:val="00155D3F"/>
    <w:rsid w:val="00160DA6"/>
    <w:rsid w:val="00160E5C"/>
    <w:rsid w:val="001614B0"/>
    <w:rsid w:val="001614C5"/>
    <w:rsid w:val="00166A1A"/>
    <w:rsid w:val="00171B10"/>
    <w:rsid w:val="00183331"/>
    <w:rsid w:val="00187410"/>
    <w:rsid w:val="00187809"/>
    <w:rsid w:val="00190AD1"/>
    <w:rsid w:val="00192A98"/>
    <w:rsid w:val="00193246"/>
    <w:rsid w:val="0019343D"/>
    <w:rsid w:val="00195F52"/>
    <w:rsid w:val="00195FCC"/>
    <w:rsid w:val="001A0028"/>
    <w:rsid w:val="001A0356"/>
    <w:rsid w:val="001A0B94"/>
    <w:rsid w:val="001A3DAF"/>
    <w:rsid w:val="001A6725"/>
    <w:rsid w:val="001A7300"/>
    <w:rsid w:val="001B4586"/>
    <w:rsid w:val="001C11AC"/>
    <w:rsid w:val="001C184E"/>
    <w:rsid w:val="001C3890"/>
    <w:rsid w:val="001C4D81"/>
    <w:rsid w:val="001C66D2"/>
    <w:rsid w:val="001C7853"/>
    <w:rsid w:val="001D0602"/>
    <w:rsid w:val="001D3AEF"/>
    <w:rsid w:val="001D3D63"/>
    <w:rsid w:val="001D4FD2"/>
    <w:rsid w:val="001D5549"/>
    <w:rsid w:val="001D5AE6"/>
    <w:rsid w:val="001F3E8A"/>
    <w:rsid w:val="00200786"/>
    <w:rsid w:val="002021EA"/>
    <w:rsid w:val="002032A1"/>
    <w:rsid w:val="00203AB1"/>
    <w:rsid w:val="00204EB3"/>
    <w:rsid w:val="00213EB6"/>
    <w:rsid w:val="00214E1D"/>
    <w:rsid w:val="00216BAB"/>
    <w:rsid w:val="00217FB0"/>
    <w:rsid w:val="002204D7"/>
    <w:rsid w:val="00222B97"/>
    <w:rsid w:val="00224CCF"/>
    <w:rsid w:val="00230302"/>
    <w:rsid w:val="00232003"/>
    <w:rsid w:val="00234EE6"/>
    <w:rsid w:val="00243E63"/>
    <w:rsid w:val="00244313"/>
    <w:rsid w:val="0024799D"/>
    <w:rsid w:val="00250534"/>
    <w:rsid w:val="002545F1"/>
    <w:rsid w:val="002564A8"/>
    <w:rsid w:val="00256D66"/>
    <w:rsid w:val="00261200"/>
    <w:rsid w:val="00264D45"/>
    <w:rsid w:val="002664C2"/>
    <w:rsid w:val="0026694F"/>
    <w:rsid w:val="00267781"/>
    <w:rsid w:val="002737BA"/>
    <w:rsid w:val="00273B49"/>
    <w:rsid w:val="00274C54"/>
    <w:rsid w:val="00280AEF"/>
    <w:rsid w:val="0028156F"/>
    <w:rsid w:val="00282A1A"/>
    <w:rsid w:val="00292B9A"/>
    <w:rsid w:val="002A1821"/>
    <w:rsid w:val="002B69F5"/>
    <w:rsid w:val="002C543D"/>
    <w:rsid w:val="002D0151"/>
    <w:rsid w:val="002D25C9"/>
    <w:rsid w:val="002D42BC"/>
    <w:rsid w:val="002D6F2C"/>
    <w:rsid w:val="002E0B85"/>
    <w:rsid w:val="002E16D6"/>
    <w:rsid w:val="002E4EFC"/>
    <w:rsid w:val="002E6839"/>
    <w:rsid w:val="002E7BE5"/>
    <w:rsid w:val="002F2569"/>
    <w:rsid w:val="003062D5"/>
    <w:rsid w:val="0030719F"/>
    <w:rsid w:val="00313420"/>
    <w:rsid w:val="00316A24"/>
    <w:rsid w:val="00326E06"/>
    <w:rsid w:val="00327E33"/>
    <w:rsid w:val="003318FD"/>
    <w:rsid w:val="00332765"/>
    <w:rsid w:val="00333E32"/>
    <w:rsid w:val="00352705"/>
    <w:rsid w:val="0035463D"/>
    <w:rsid w:val="00356AF9"/>
    <w:rsid w:val="00356BD9"/>
    <w:rsid w:val="00362DF8"/>
    <w:rsid w:val="00364795"/>
    <w:rsid w:val="003657C2"/>
    <w:rsid w:val="00367B64"/>
    <w:rsid w:val="00370DA9"/>
    <w:rsid w:val="00374771"/>
    <w:rsid w:val="00375032"/>
    <w:rsid w:val="0038111E"/>
    <w:rsid w:val="00381B17"/>
    <w:rsid w:val="00381DA7"/>
    <w:rsid w:val="00382D85"/>
    <w:rsid w:val="00387F46"/>
    <w:rsid w:val="003A09A2"/>
    <w:rsid w:val="003A313D"/>
    <w:rsid w:val="003A4680"/>
    <w:rsid w:val="003A581F"/>
    <w:rsid w:val="003A6276"/>
    <w:rsid w:val="003A6868"/>
    <w:rsid w:val="003A7036"/>
    <w:rsid w:val="003A7BFE"/>
    <w:rsid w:val="003B25FE"/>
    <w:rsid w:val="003B594F"/>
    <w:rsid w:val="003B5E08"/>
    <w:rsid w:val="003B7867"/>
    <w:rsid w:val="003C255E"/>
    <w:rsid w:val="003C3C3D"/>
    <w:rsid w:val="003C6678"/>
    <w:rsid w:val="003D443D"/>
    <w:rsid w:val="003D502C"/>
    <w:rsid w:val="003E0668"/>
    <w:rsid w:val="003E1450"/>
    <w:rsid w:val="003E330F"/>
    <w:rsid w:val="003E4B9A"/>
    <w:rsid w:val="003E51B7"/>
    <w:rsid w:val="003F12C4"/>
    <w:rsid w:val="003F5314"/>
    <w:rsid w:val="0041155D"/>
    <w:rsid w:val="00411877"/>
    <w:rsid w:val="00411B83"/>
    <w:rsid w:val="00412D22"/>
    <w:rsid w:val="00421446"/>
    <w:rsid w:val="00423325"/>
    <w:rsid w:val="004255A4"/>
    <w:rsid w:val="00430B34"/>
    <w:rsid w:val="00430B8F"/>
    <w:rsid w:val="00433D2A"/>
    <w:rsid w:val="00435C78"/>
    <w:rsid w:val="0044129C"/>
    <w:rsid w:val="00444183"/>
    <w:rsid w:val="00444728"/>
    <w:rsid w:val="00445972"/>
    <w:rsid w:val="00453EF6"/>
    <w:rsid w:val="0046054E"/>
    <w:rsid w:val="004605ED"/>
    <w:rsid w:val="004625C2"/>
    <w:rsid w:val="00465FF4"/>
    <w:rsid w:val="0046647E"/>
    <w:rsid w:val="00467CFA"/>
    <w:rsid w:val="00470108"/>
    <w:rsid w:val="00470CBF"/>
    <w:rsid w:val="00472343"/>
    <w:rsid w:val="00477DCC"/>
    <w:rsid w:val="00481217"/>
    <w:rsid w:val="004819D4"/>
    <w:rsid w:val="0048753A"/>
    <w:rsid w:val="004956B5"/>
    <w:rsid w:val="004A306E"/>
    <w:rsid w:val="004A4457"/>
    <w:rsid w:val="004A7897"/>
    <w:rsid w:val="004B06FA"/>
    <w:rsid w:val="004B2DF5"/>
    <w:rsid w:val="004B4454"/>
    <w:rsid w:val="004B4C31"/>
    <w:rsid w:val="004C0A16"/>
    <w:rsid w:val="004C4337"/>
    <w:rsid w:val="004D0410"/>
    <w:rsid w:val="004D05CB"/>
    <w:rsid w:val="004D447D"/>
    <w:rsid w:val="004D4D04"/>
    <w:rsid w:val="004D52AD"/>
    <w:rsid w:val="004E2936"/>
    <w:rsid w:val="004E3781"/>
    <w:rsid w:val="004E7915"/>
    <w:rsid w:val="004F0825"/>
    <w:rsid w:val="00502BE6"/>
    <w:rsid w:val="0050698F"/>
    <w:rsid w:val="005070A5"/>
    <w:rsid w:val="005116A4"/>
    <w:rsid w:val="00514416"/>
    <w:rsid w:val="00515C11"/>
    <w:rsid w:val="00524EE3"/>
    <w:rsid w:val="0052650E"/>
    <w:rsid w:val="00526F37"/>
    <w:rsid w:val="00530376"/>
    <w:rsid w:val="00532DF2"/>
    <w:rsid w:val="005336FD"/>
    <w:rsid w:val="00535857"/>
    <w:rsid w:val="0054664F"/>
    <w:rsid w:val="00556269"/>
    <w:rsid w:val="00560B06"/>
    <w:rsid w:val="00561375"/>
    <w:rsid w:val="005614CA"/>
    <w:rsid w:val="0056525B"/>
    <w:rsid w:val="005753A9"/>
    <w:rsid w:val="00580806"/>
    <w:rsid w:val="005835AF"/>
    <w:rsid w:val="005843DE"/>
    <w:rsid w:val="00584ACF"/>
    <w:rsid w:val="00585650"/>
    <w:rsid w:val="00587EEB"/>
    <w:rsid w:val="0059355E"/>
    <w:rsid w:val="005A08D6"/>
    <w:rsid w:val="005A76C6"/>
    <w:rsid w:val="005B31C3"/>
    <w:rsid w:val="005B6C71"/>
    <w:rsid w:val="005C02EA"/>
    <w:rsid w:val="005C0CB5"/>
    <w:rsid w:val="005C0DB7"/>
    <w:rsid w:val="005C20B3"/>
    <w:rsid w:val="005C2135"/>
    <w:rsid w:val="005C414D"/>
    <w:rsid w:val="005C41AD"/>
    <w:rsid w:val="005C4E38"/>
    <w:rsid w:val="005C67FA"/>
    <w:rsid w:val="005D0803"/>
    <w:rsid w:val="005D08B6"/>
    <w:rsid w:val="005D123A"/>
    <w:rsid w:val="005D5CEC"/>
    <w:rsid w:val="005D6C96"/>
    <w:rsid w:val="005E2371"/>
    <w:rsid w:val="005E46D0"/>
    <w:rsid w:val="005F02F4"/>
    <w:rsid w:val="005F3E77"/>
    <w:rsid w:val="005F49BF"/>
    <w:rsid w:val="005F567C"/>
    <w:rsid w:val="006003AC"/>
    <w:rsid w:val="006028BA"/>
    <w:rsid w:val="0060409C"/>
    <w:rsid w:val="00605E45"/>
    <w:rsid w:val="006177CF"/>
    <w:rsid w:val="00617D8F"/>
    <w:rsid w:val="00621D00"/>
    <w:rsid w:val="00623A0E"/>
    <w:rsid w:val="00623D65"/>
    <w:rsid w:val="006242FA"/>
    <w:rsid w:val="0063191C"/>
    <w:rsid w:val="0063209B"/>
    <w:rsid w:val="00635F19"/>
    <w:rsid w:val="00641DFB"/>
    <w:rsid w:val="0064496C"/>
    <w:rsid w:val="006452C0"/>
    <w:rsid w:val="006472A7"/>
    <w:rsid w:val="00647BD7"/>
    <w:rsid w:val="00651006"/>
    <w:rsid w:val="006620F5"/>
    <w:rsid w:val="006667B7"/>
    <w:rsid w:val="006669BD"/>
    <w:rsid w:val="006675B7"/>
    <w:rsid w:val="00667E01"/>
    <w:rsid w:val="00670615"/>
    <w:rsid w:val="00673CEB"/>
    <w:rsid w:val="00675498"/>
    <w:rsid w:val="006765D0"/>
    <w:rsid w:val="00681500"/>
    <w:rsid w:val="006822E6"/>
    <w:rsid w:val="00684674"/>
    <w:rsid w:val="006921E8"/>
    <w:rsid w:val="006923B5"/>
    <w:rsid w:val="00692420"/>
    <w:rsid w:val="00693ECD"/>
    <w:rsid w:val="006952D3"/>
    <w:rsid w:val="00695994"/>
    <w:rsid w:val="006962D0"/>
    <w:rsid w:val="00696E76"/>
    <w:rsid w:val="006A5AA5"/>
    <w:rsid w:val="006B00FA"/>
    <w:rsid w:val="006B37BA"/>
    <w:rsid w:val="006B3EC7"/>
    <w:rsid w:val="006B7673"/>
    <w:rsid w:val="006C1120"/>
    <w:rsid w:val="006C266C"/>
    <w:rsid w:val="006C3B98"/>
    <w:rsid w:val="006C4C56"/>
    <w:rsid w:val="006C53E2"/>
    <w:rsid w:val="006D303D"/>
    <w:rsid w:val="006D455D"/>
    <w:rsid w:val="006D6DCE"/>
    <w:rsid w:val="006E0ED6"/>
    <w:rsid w:val="006E12D5"/>
    <w:rsid w:val="006E7298"/>
    <w:rsid w:val="006F1ACD"/>
    <w:rsid w:val="006F3233"/>
    <w:rsid w:val="006F4D66"/>
    <w:rsid w:val="006F5E99"/>
    <w:rsid w:val="007020DA"/>
    <w:rsid w:val="00704C9C"/>
    <w:rsid w:val="007075B8"/>
    <w:rsid w:val="0071042B"/>
    <w:rsid w:val="00717375"/>
    <w:rsid w:val="0072317A"/>
    <w:rsid w:val="00726A3F"/>
    <w:rsid w:val="0073743B"/>
    <w:rsid w:val="00741B46"/>
    <w:rsid w:val="00746217"/>
    <w:rsid w:val="007500B9"/>
    <w:rsid w:val="007529BE"/>
    <w:rsid w:val="0075567B"/>
    <w:rsid w:val="00756EC1"/>
    <w:rsid w:val="007578E1"/>
    <w:rsid w:val="00757B74"/>
    <w:rsid w:val="007623C3"/>
    <w:rsid w:val="00762D43"/>
    <w:rsid w:val="007638CD"/>
    <w:rsid w:val="007655C4"/>
    <w:rsid w:val="00767439"/>
    <w:rsid w:val="0077000B"/>
    <w:rsid w:val="00776075"/>
    <w:rsid w:val="00780971"/>
    <w:rsid w:val="00782A42"/>
    <w:rsid w:val="00785411"/>
    <w:rsid w:val="00787103"/>
    <w:rsid w:val="00792A5D"/>
    <w:rsid w:val="007961A2"/>
    <w:rsid w:val="00796BAA"/>
    <w:rsid w:val="00796BDA"/>
    <w:rsid w:val="007A07B6"/>
    <w:rsid w:val="007A1F27"/>
    <w:rsid w:val="007A2825"/>
    <w:rsid w:val="007A2CE1"/>
    <w:rsid w:val="007A5713"/>
    <w:rsid w:val="007A70D1"/>
    <w:rsid w:val="007A739E"/>
    <w:rsid w:val="007B2B25"/>
    <w:rsid w:val="007B5E7C"/>
    <w:rsid w:val="007B6696"/>
    <w:rsid w:val="007B7EA6"/>
    <w:rsid w:val="007C27D4"/>
    <w:rsid w:val="007C3F0F"/>
    <w:rsid w:val="007C5273"/>
    <w:rsid w:val="007C5F25"/>
    <w:rsid w:val="007D011B"/>
    <w:rsid w:val="007E1894"/>
    <w:rsid w:val="007E3772"/>
    <w:rsid w:val="007F17A6"/>
    <w:rsid w:val="007F229A"/>
    <w:rsid w:val="007F2BBB"/>
    <w:rsid w:val="007F5F6F"/>
    <w:rsid w:val="007F612E"/>
    <w:rsid w:val="007F669A"/>
    <w:rsid w:val="00801F65"/>
    <w:rsid w:val="00804092"/>
    <w:rsid w:val="008060A8"/>
    <w:rsid w:val="00807019"/>
    <w:rsid w:val="008121C3"/>
    <w:rsid w:val="008162B5"/>
    <w:rsid w:val="00816522"/>
    <w:rsid w:val="00816845"/>
    <w:rsid w:val="008172D2"/>
    <w:rsid w:val="00824B5D"/>
    <w:rsid w:val="00825B28"/>
    <w:rsid w:val="00827A2B"/>
    <w:rsid w:val="00834F56"/>
    <w:rsid w:val="00837217"/>
    <w:rsid w:val="00840A3E"/>
    <w:rsid w:val="00846BC6"/>
    <w:rsid w:val="008477AC"/>
    <w:rsid w:val="00847876"/>
    <w:rsid w:val="008523A9"/>
    <w:rsid w:val="00852CB4"/>
    <w:rsid w:val="00855428"/>
    <w:rsid w:val="00863458"/>
    <w:rsid w:val="008639D4"/>
    <w:rsid w:val="008649BF"/>
    <w:rsid w:val="008667D4"/>
    <w:rsid w:val="00866C7F"/>
    <w:rsid w:val="00875677"/>
    <w:rsid w:val="008826F4"/>
    <w:rsid w:val="0089086F"/>
    <w:rsid w:val="00890BBC"/>
    <w:rsid w:val="0089118D"/>
    <w:rsid w:val="008916AF"/>
    <w:rsid w:val="00892A17"/>
    <w:rsid w:val="008940BE"/>
    <w:rsid w:val="008970CA"/>
    <w:rsid w:val="008A2CD0"/>
    <w:rsid w:val="008A2D15"/>
    <w:rsid w:val="008A490C"/>
    <w:rsid w:val="008A4A78"/>
    <w:rsid w:val="008A5FCA"/>
    <w:rsid w:val="008A687F"/>
    <w:rsid w:val="008A7596"/>
    <w:rsid w:val="008B5EB1"/>
    <w:rsid w:val="008B76C3"/>
    <w:rsid w:val="008C2D84"/>
    <w:rsid w:val="008C4A77"/>
    <w:rsid w:val="008C5D2C"/>
    <w:rsid w:val="008D0E62"/>
    <w:rsid w:val="008D624E"/>
    <w:rsid w:val="008D76C1"/>
    <w:rsid w:val="008E043B"/>
    <w:rsid w:val="008F1C8B"/>
    <w:rsid w:val="008F2DF2"/>
    <w:rsid w:val="008F71C4"/>
    <w:rsid w:val="008F744C"/>
    <w:rsid w:val="008F76EC"/>
    <w:rsid w:val="009046F0"/>
    <w:rsid w:val="00904DAB"/>
    <w:rsid w:val="00910BC8"/>
    <w:rsid w:val="00912C53"/>
    <w:rsid w:val="00916020"/>
    <w:rsid w:val="00916947"/>
    <w:rsid w:val="00917BD3"/>
    <w:rsid w:val="00920028"/>
    <w:rsid w:val="00922417"/>
    <w:rsid w:val="00923A42"/>
    <w:rsid w:val="0092684E"/>
    <w:rsid w:val="00926E85"/>
    <w:rsid w:val="00930F14"/>
    <w:rsid w:val="00931617"/>
    <w:rsid w:val="00932A07"/>
    <w:rsid w:val="009337EF"/>
    <w:rsid w:val="0093483C"/>
    <w:rsid w:val="009378C7"/>
    <w:rsid w:val="00946C3F"/>
    <w:rsid w:val="0094736F"/>
    <w:rsid w:val="0095391A"/>
    <w:rsid w:val="009539F8"/>
    <w:rsid w:val="0096044A"/>
    <w:rsid w:val="00967EE5"/>
    <w:rsid w:val="0097310C"/>
    <w:rsid w:val="00975549"/>
    <w:rsid w:val="00975E4C"/>
    <w:rsid w:val="00981075"/>
    <w:rsid w:val="009A09AE"/>
    <w:rsid w:val="009A44A9"/>
    <w:rsid w:val="009A6342"/>
    <w:rsid w:val="009A6F33"/>
    <w:rsid w:val="009A7A8A"/>
    <w:rsid w:val="009B0128"/>
    <w:rsid w:val="009B0515"/>
    <w:rsid w:val="009B0E38"/>
    <w:rsid w:val="009B1163"/>
    <w:rsid w:val="009B1D0C"/>
    <w:rsid w:val="009B32A2"/>
    <w:rsid w:val="009B3677"/>
    <w:rsid w:val="009B4714"/>
    <w:rsid w:val="009C2E93"/>
    <w:rsid w:val="009C7C67"/>
    <w:rsid w:val="009D0CBF"/>
    <w:rsid w:val="009D65A2"/>
    <w:rsid w:val="009D788A"/>
    <w:rsid w:val="009E21B8"/>
    <w:rsid w:val="009E23F6"/>
    <w:rsid w:val="009E5B88"/>
    <w:rsid w:val="009E7062"/>
    <w:rsid w:val="009F226C"/>
    <w:rsid w:val="009F52D6"/>
    <w:rsid w:val="00A01C0F"/>
    <w:rsid w:val="00A041B2"/>
    <w:rsid w:val="00A04A78"/>
    <w:rsid w:val="00A079E1"/>
    <w:rsid w:val="00A16AD7"/>
    <w:rsid w:val="00A173A6"/>
    <w:rsid w:val="00A224F6"/>
    <w:rsid w:val="00A30F63"/>
    <w:rsid w:val="00A33056"/>
    <w:rsid w:val="00A34A44"/>
    <w:rsid w:val="00A40EBA"/>
    <w:rsid w:val="00A47163"/>
    <w:rsid w:val="00A536C0"/>
    <w:rsid w:val="00A538FD"/>
    <w:rsid w:val="00A70742"/>
    <w:rsid w:val="00A7160D"/>
    <w:rsid w:val="00A7222A"/>
    <w:rsid w:val="00A7731F"/>
    <w:rsid w:val="00A8293F"/>
    <w:rsid w:val="00A8373E"/>
    <w:rsid w:val="00A85E80"/>
    <w:rsid w:val="00A86500"/>
    <w:rsid w:val="00A87BA4"/>
    <w:rsid w:val="00A87F7B"/>
    <w:rsid w:val="00A90069"/>
    <w:rsid w:val="00A92383"/>
    <w:rsid w:val="00A945B9"/>
    <w:rsid w:val="00A95B12"/>
    <w:rsid w:val="00AA1AA7"/>
    <w:rsid w:val="00AA3967"/>
    <w:rsid w:val="00AA685B"/>
    <w:rsid w:val="00AB0878"/>
    <w:rsid w:val="00AB135D"/>
    <w:rsid w:val="00AB170C"/>
    <w:rsid w:val="00AB3DD8"/>
    <w:rsid w:val="00AB467B"/>
    <w:rsid w:val="00AB79D1"/>
    <w:rsid w:val="00AC029E"/>
    <w:rsid w:val="00AC5495"/>
    <w:rsid w:val="00AD4236"/>
    <w:rsid w:val="00AD525A"/>
    <w:rsid w:val="00AD65AB"/>
    <w:rsid w:val="00AE512E"/>
    <w:rsid w:val="00AE5845"/>
    <w:rsid w:val="00AE7F63"/>
    <w:rsid w:val="00AF0E97"/>
    <w:rsid w:val="00AF385A"/>
    <w:rsid w:val="00AF3E30"/>
    <w:rsid w:val="00B02988"/>
    <w:rsid w:val="00B02FCF"/>
    <w:rsid w:val="00B03499"/>
    <w:rsid w:val="00B045A1"/>
    <w:rsid w:val="00B0542F"/>
    <w:rsid w:val="00B0722F"/>
    <w:rsid w:val="00B07469"/>
    <w:rsid w:val="00B10929"/>
    <w:rsid w:val="00B14033"/>
    <w:rsid w:val="00B14CD0"/>
    <w:rsid w:val="00B16DF4"/>
    <w:rsid w:val="00B17DD5"/>
    <w:rsid w:val="00B20F88"/>
    <w:rsid w:val="00B25671"/>
    <w:rsid w:val="00B302D7"/>
    <w:rsid w:val="00B30BEA"/>
    <w:rsid w:val="00B34FF4"/>
    <w:rsid w:val="00B42D1F"/>
    <w:rsid w:val="00B50BE6"/>
    <w:rsid w:val="00B52208"/>
    <w:rsid w:val="00B567F9"/>
    <w:rsid w:val="00B61602"/>
    <w:rsid w:val="00B62615"/>
    <w:rsid w:val="00B66A23"/>
    <w:rsid w:val="00B70772"/>
    <w:rsid w:val="00B72285"/>
    <w:rsid w:val="00B72743"/>
    <w:rsid w:val="00B7335B"/>
    <w:rsid w:val="00B76B38"/>
    <w:rsid w:val="00B80567"/>
    <w:rsid w:val="00B85B64"/>
    <w:rsid w:val="00B85FC0"/>
    <w:rsid w:val="00B97967"/>
    <w:rsid w:val="00BB3B3D"/>
    <w:rsid w:val="00BC449F"/>
    <w:rsid w:val="00BC7EC5"/>
    <w:rsid w:val="00BD0171"/>
    <w:rsid w:val="00BD33EC"/>
    <w:rsid w:val="00BD378B"/>
    <w:rsid w:val="00BD6487"/>
    <w:rsid w:val="00BE05DD"/>
    <w:rsid w:val="00BE461B"/>
    <w:rsid w:val="00BF38AF"/>
    <w:rsid w:val="00BF6663"/>
    <w:rsid w:val="00BF6F1A"/>
    <w:rsid w:val="00C01681"/>
    <w:rsid w:val="00C0259D"/>
    <w:rsid w:val="00C04B9C"/>
    <w:rsid w:val="00C106E7"/>
    <w:rsid w:val="00C13321"/>
    <w:rsid w:val="00C145C1"/>
    <w:rsid w:val="00C175BF"/>
    <w:rsid w:val="00C217A1"/>
    <w:rsid w:val="00C237B5"/>
    <w:rsid w:val="00C239C9"/>
    <w:rsid w:val="00C253B8"/>
    <w:rsid w:val="00C25909"/>
    <w:rsid w:val="00C306C1"/>
    <w:rsid w:val="00C31BD5"/>
    <w:rsid w:val="00C41177"/>
    <w:rsid w:val="00C41CE1"/>
    <w:rsid w:val="00C4392A"/>
    <w:rsid w:val="00C441B0"/>
    <w:rsid w:val="00C44D95"/>
    <w:rsid w:val="00C44F9A"/>
    <w:rsid w:val="00C45FE7"/>
    <w:rsid w:val="00C47FC6"/>
    <w:rsid w:val="00C50090"/>
    <w:rsid w:val="00C53CFB"/>
    <w:rsid w:val="00C56008"/>
    <w:rsid w:val="00C604E3"/>
    <w:rsid w:val="00C62843"/>
    <w:rsid w:val="00C67591"/>
    <w:rsid w:val="00C70457"/>
    <w:rsid w:val="00C72E65"/>
    <w:rsid w:val="00C73DA3"/>
    <w:rsid w:val="00C74570"/>
    <w:rsid w:val="00C76344"/>
    <w:rsid w:val="00C76672"/>
    <w:rsid w:val="00C813DD"/>
    <w:rsid w:val="00C82B27"/>
    <w:rsid w:val="00C836CC"/>
    <w:rsid w:val="00C84E82"/>
    <w:rsid w:val="00C95E55"/>
    <w:rsid w:val="00CA0DA0"/>
    <w:rsid w:val="00CA4579"/>
    <w:rsid w:val="00CA4D74"/>
    <w:rsid w:val="00CA6D46"/>
    <w:rsid w:val="00CA7AB4"/>
    <w:rsid w:val="00CB041C"/>
    <w:rsid w:val="00CB3E4C"/>
    <w:rsid w:val="00CC20AF"/>
    <w:rsid w:val="00CC3530"/>
    <w:rsid w:val="00CC4D1F"/>
    <w:rsid w:val="00CC6C8C"/>
    <w:rsid w:val="00CD3F5B"/>
    <w:rsid w:val="00CD5EEC"/>
    <w:rsid w:val="00CE278C"/>
    <w:rsid w:val="00CE2E75"/>
    <w:rsid w:val="00CF04D1"/>
    <w:rsid w:val="00CF1E29"/>
    <w:rsid w:val="00CF2F05"/>
    <w:rsid w:val="00CF65A3"/>
    <w:rsid w:val="00CF6BD9"/>
    <w:rsid w:val="00CF7C7E"/>
    <w:rsid w:val="00D043A2"/>
    <w:rsid w:val="00D045FC"/>
    <w:rsid w:val="00D0587C"/>
    <w:rsid w:val="00D05BB8"/>
    <w:rsid w:val="00D06826"/>
    <w:rsid w:val="00D07536"/>
    <w:rsid w:val="00D10AAD"/>
    <w:rsid w:val="00D11E92"/>
    <w:rsid w:val="00D144A6"/>
    <w:rsid w:val="00D14E8D"/>
    <w:rsid w:val="00D2649D"/>
    <w:rsid w:val="00D27A10"/>
    <w:rsid w:val="00D308E4"/>
    <w:rsid w:val="00D32F16"/>
    <w:rsid w:val="00D33C37"/>
    <w:rsid w:val="00D3587B"/>
    <w:rsid w:val="00D36029"/>
    <w:rsid w:val="00D36D50"/>
    <w:rsid w:val="00D5360E"/>
    <w:rsid w:val="00D579C6"/>
    <w:rsid w:val="00D60EFE"/>
    <w:rsid w:val="00D6132A"/>
    <w:rsid w:val="00D6345C"/>
    <w:rsid w:val="00D67E5E"/>
    <w:rsid w:val="00D7122E"/>
    <w:rsid w:val="00D719C9"/>
    <w:rsid w:val="00D73809"/>
    <w:rsid w:val="00D7415C"/>
    <w:rsid w:val="00D75214"/>
    <w:rsid w:val="00D75787"/>
    <w:rsid w:val="00D75E64"/>
    <w:rsid w:val="00D8026B"/>
    <w:rsid w:val="00D80C37"/>
    <w:rsid w:val="00D836CF"/>
    <w:rsid w:val="00D85BE6"/>
    <w:rsid w:val="00D86FF7"/>
    <w:rsid w:val="00D97717"/>
    <w:rsid w:val="00DA03EE"/>
    <w:rsid w:val="00DA2638"/>
    <w:rsid w:val="00DA44EB"/>
    <w:rsid w:val="00DA6050"/>
    <w:rsid w:val="00DA606B"/>
    <w:rsid w:val="00DB0419"/>
    <w:rsid w:val="00DB06D6"/>
    <w:rsid w:val="00DB1476"/>
    <w:rsid w:val="00DB65E0"/>
    <w:rsid w:val="00DB7260"/>
    <w:rsid w:val="00DC4592"/>
    <w:rsid w:val="00DC5E94"/>
    <w:rsid w:val="00DD0024"/>
    <w:rsid w:val="00DD1ADF"/>
    <w:rsid w:val="00DD2B41"/>
    <w:rsid w:val="00DD488F"/>
    <w:rsid w:val="00DE22FD"/>
    <w:rsid w:val="00DE4478"/>
    <w:rsid w:val="00DE4C03"/>
    <w:rsid w:val="00DE6F2D"/>
    <w:rsid w:val="00DF6B00"/>
    <w:rsid w:val="00DF7DE3"/>
    <w:rsid w:val="00E02C0F"/>
    <w:rsid w:val="00E0493E"/>
    <w:rsid w:val="00E06B3A"/>
    <w:rsid w:val="00E07092"/>
    <w:rsid w:val="00E10888"/>
    <w:rsid w:val="00E11DB5"/>
    <w:rsid w:val="00E137EB"/>
    <w:rsid w:val="00E13BCD"/>
    <w:rsid w:val="00E154E5"/>
    <w:rsid w:val="00E16C5D"/>
    <w:rsid w:val="00E16D7D"/>
    <w:rsid w:val="00E1732F"/>
    <w:rsid w:val="00E2042F"/>
    <w:rsid w:val="00E20537"/>
    <w:rsid w:val="00E20684"/>
    <w:rsid w:val="00E212F1"/>
    <w:rsid w:val="00E23823"/>
    <w:rsid w:val="00E2770C"/>
    <w:rsid w:val="00E30233"/>
    <w:rsid w:val="00E34294"/>
    <w:rsid w:val="00E37A4D"/>
    <w:rsid w:val="00E407EA"/>
    <w:rsid w:val="00E5132E"/>
    <w:rsid w:val="00E519B4"/>
    <w:rsid w:val="00E55BB4"/>
    <w:rsid w:val="00E57614"/>
    <w:rsid w:val="00E57788"/>
    <w:rsid w:val="00E60F26"/>
    <w:rsid w:val="00E72533"/>
    <w:rsid w:val="00E7361A"/>
    <w:rsid w:val="00E73CF4"/>
    <w:rsid w:val="00E752B7"/>
    <w:rsid w:val="00E7634C"/>
    <w:rsid w:val="00E811CE"/>
    <w:rsid w:val="00E853D2"/>
    <w:rsid w:val="00E86725"/>
    <w:rsid w:val="00E87418"/>
    <w:rsid w:val="00E90864"/>
    <w:rsid w:val="00E9120E"/>
    <w:rsid w:val="00E91761"/>
    <w:rsid w:val="00EA0169"/>
    <w:rsid w:val="00EA3ADB"/>
    <w:rsid w:val="00EA5F92"/>
    <w:rsid w:val="00EB1CC1"/>
    <w:rsid w:val="00EB2AC3"/>
    <w:rsid w:val="00EB4150"/>
    <w:rsid w:val="00EB45A2"/>
    <w:rsid w:val="00EB6541"/>
    <w:rsid w:val="00EC2B7C"/>
    <w:rsid w:val="00EC4BB0"/>
    <w:rsid w:val="00ED1A8D"/>
    <w:rsid w:val="00ED1FD3"/>
    <w:rsid w:val="00ED3322"/>
    <w:rsid w:val="00ED3B92"/>
    <w:rsid w:val="00EE1076"/>
    <w:rsid w:val="00EE1DD0"/>
    <w:rsid w:val="00EE465B"/>
    <w:rsid w:val="00EE6373"/>
    <w:rsid w:val="00EF1313"/>
    <w:rsid w:val="00EF18B2"/>
    <w:rsid w:val="00EF26CA"/>
    <w:rsid w:val="00EF61C5"/>
    <w:rsid w:val="00F04A28"/>
    <w:rsid w:val="00F06E28"/>
    <w:rsid w:val="00F11502"/>
    <w:rsid w:val="00F12845"/>
    <w:rsid w:val="00F1291D"/>
    <w:rsid w:val="00F133C7"/>
    <w:rsid w:val="00F165E4"/>
    <w:rsid w:val="00F20353"/>
    <w:rsid w:val="00F20512"/>
    <w:rsid w:val="00F20849"/>
    <w:rsid w:val="00F25220"/>
    <w:rsid w:val="00F30BF8"/>
    <w:rsid w:val="00F3148A"/>
    <w:rsid w:val="00F35058"/>
    <w:rsid w:val="00F37720"/>
    <w:rsid w:val="00F43B0C"/>
    <w:rsid w:val="00F476E5"/>
    <w:rsid w:val="00F47F46"/>
    <w:rsid w:val="00F500C2"/>
    <w:rsid w:val="00F50546"/>
    <w:rsid w:val="00F50AD5"/>
    <w:rsid w:val="00F53649"/>
    <w:rsid w:val="00F54C40"/>
    <w:rsid w:val="00F57F37"/>
    <w:rsid w:val="00F63DC8"/>
    <w:rsid w:val="00F7358E"/>
    <w:rsid w:val="00F735E1"/>
    <w:rsid w:val="00F811BD"/>
    <w:rsid w:val="00F857F2"/>
    <w:rsid w:val="00F90227"/>
    <w:rsid w:val="00FA2AC4"/>
    <w:rsid w:val="00FA41DA"/>
    <w:rsid w:val="00FA6AB8"/>
    <w:rsid w:val="00FA78B9"/>
    <w:rsid w:val="00FB4905"/>
    <w:rsid w:val="00FB4C6F"/>
    <w:rsid w:val="00FC165E"/>
    <w:rsid w:val="00FC6674"/>
    <w:rsid w:val="00FD5C86"/>
    <w:rsid w:val="00FE04CC"/>
    <w:rsid w:val="00FE1347"/>
    <w:rsid w:val="00FE13ED"/>
    <w:rsid w:val="00FE24D7"/>
    <w:rsid w:val="00FE3224"/>
    <w:rsid w:val="00FE3601"/>
    <w:rsid w:val="00FE6C00"/>
    <w:rsid w:val="00FF5E0E"/>
    <w:rsid w:val="00FF6C1E"/>
    <w:rsid w:val="00FF74EF"/>
    <w:rsid w:val="00FF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7099E"/>
  <w15:docId w15:val="{560372E9-5F29-461A-B3AB-A782E96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431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CF65A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styleId="Nagwek">
    <w:name w:val="header"/>
    <w:basedOn w:val="Normalny"/>
    <w:link w:val="NagwekZnak"/>
    <w:uiPriority w:val="99"/>
    <w:rsid w:val="00CF65A3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rsid w:val="00CF65A3"/>
    <w:rPr>
      <w:rFonts w:ascii="Times" w:hAnsi="Times"/>
      <w:kern w:val="1"/>
      <w:sz w:val="24"/>
      <w:szCs w:val="24"/>
      <w:lang w:eastAsia="ar-SA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F65A3"/>
    <w:rPr>
      <w:bCs/>
    </w:rPr>
  </w:style>
  <w:style w:type="paragraph" w:styleId="Stopka">
    <w:name w:val="footer"/>
    <w:basedOn w:val="Normalny"/>
    <w:link w:val="StopkaZnak"/>
    <w:uiPriority w:val="99"/>
    <w:rsid w:val="00CF65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65A3"/>
    <w:rPr>
      <w:sz w:val="24"/>
      <w:szCs w:val="24"/>
    </w:rPr>
  </w:style>
  <w:style w:type="paragraph" w:styleId="Poprawka">
    <w:name w:val="Revision"/>
    <w:hidden/>
    <w:uiPriority w:val="99"/>
    <w:semiHidden/>
    <w:rsid w:val="004B2DF5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4B2D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B2D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B2DF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B2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B2DF5"/>
    <w:rPr>
      <w:b/>
      <w:bCs/>
    </w:rPr>
  </w:style>
  <w:style w:type="character" w:customStyle="1" w:styleId="markedcontent">
    <w:name w:val="markedcontent"/>
    <w:basedOn w:val="Domylnaczcionkaakapitu"/>
    <w:rsid w:val="00356AF9"/>
  </w:style>
  <w:style w:type="paragraph" w:styleId="Tekstdymka">
    <w:name w:val="Balloon Text"/>
    <w:basedOn w:val="Normalny"/>
    <w:link w:val="TekstdymkaZnak"/>
    <w:rsid w:val="004E37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E37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5C20B3"/>
    <w:rPr>
      <w:color w:val="0000FF" w:themeColor="hyperlink"/>
      <w:u w:val="single"/>
    </w:rPr>
  </w:style>
  <w:style w:type="paragraph" w:customStyle="1" w:styleId="LITlitera">
    <w:name w:val="LIT – litera"/>
    <w:basedOn w:val="Normalny"/>
    <w:uiPriority w:val="99"/>
    <w:qFormat/>
    <w:rsid w:val="00D045FC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D045F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7B64"/>
    <w:pPr>
      <w:widowControl w:val="0"/>
      <w:autoSpaceDE w:val="0"/>
      <w:autoSpaceDN w:val="0"/>
      <w:adjustRightInd w:val="0"/>
    </w:pPr>
    <w:rPr>
      <w:rFonts w:eastAsiaTheme="minorEastAsia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7B64"/>
    <w:rPr>
      <w:rFonts w:eastAsiaTheme="minorEastAsia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7B64"/>
    <w:rPr>
      <w:vertAlign w:val="superscript"/>
    </w:rPr>
  </w:style>
  <w:style w:type="character" w:customStyle="1" w:styleId="object">
    <w:name w:val="object"/>
    <w:basedOn w:val="Domylnaczcionkaakapitu"/>
    <w:rsid w:val="00367B64"/>
  </w:style>
  <w:style w:type="paragraph" w:customStyle="1" w:styleId="USTustnpkodeksu">
    <w:name w:val="UST(§) – ust. (§ np. kodeksu)"/>
    <w:basedOn w:val="Normalny"/>
    <w:uiPriority w:val="12"/>
    <w:qFormat/>
    <w:rsid w:val="00D67E5E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f0">
    <w:name w:val="pf0"/>
    <w:basedOn w:val="Normalny"/>
    <w:rsid w:val="00203AB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203AB1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5C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743"/>
    <w:rPr>
      <w:color w:val="605E5C"/>
      <w:shd w:val="clear" w:color="auto" w:fill="E1DFDD"/>
    </w:rPr>
  </w:style>
  <w:style w:type="character" w:customStyle="1" w:styleId="highlight-disabled">
    <w:name w:val="highlight-disabled"/>
    <w:basedOn w:val="Domylnaczcionkaakapitu"/>
    <w:rsid w:val="00C239C9"/>
  </w:style>
  <w:style w:type="character" w:customStyle="1" w:styleId="ui-provider">
    <w:name w:val="ui-provider"/>
    <w:basedOn w:val="Domylnaczcionkaakapitu"/>
    <w:rsid w:val="00FA2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35EA-36BB-4186-89BB-03F32CB4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3964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 Małgorzata</dc:creator>
  <cp:keywords/>
  <dc:description/>
  <cp:lastModifiedBy>Podgórska Małgorzata</cp:lastModifiedBy>
  <cp:revision>2</cp:revision>
  <dcterms:created xsi:type="dcterms:W3CDTF">2025-10-21T07:26:00Z</dcterms:created>
  <dcterms:modified xsi:type="dcterms:W3CDTF">2025-10-21T07:26:00Z</dcterms:modified>
</cp:coreProperties>
</file>