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1A6C6FEE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145046">
        <w:t>29 października 2025 r.</w:t>
      </w:r>
    </w:p>
    <w:p w14:paraId="424EDE9D" w14:textId="2874215B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2F20EE">
        <w:t xml:space="preserve">zmianie ustawy o ochronie roślin przed </w:t>
      </w:r>
      <w:proofErr w:type="spellStart"/>
      <w:r w:rsidR="002F20EE">
        <w:t>agrofagami</w:t>
      </w:r>
      <w:proofErr w:type="spellEnd"/>
      <w:r w:rsidR="002F20EE">
        <w:t xml:space="preserve"> oraz niektórych innych ustaw</w:t>
      </w:r>
    </w:p>
    <w:p w14:paraId="66BEF929" w14:textId="3A4BFD33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2F20EE">
        <w:t>9 października</w:t>
      </w:r>
      <w:r w:rsidR="00D35198">
        <w:t xml:space="preserve"> 2025 r.</w:t>
      </w:r>
      <w:r w:rsidR="00D35198" w:rsidRPr="00E000DC">
        <w:t xml:space="preserve"> ustawy </w:t>
      </w:r>
      <w:r w:rsidR="00D35198">
        <w:t>o</w:t>
      </w:r>
      <w:r w:rsidR="00D35198" w:rsidRPr="00E01C79">
        <w:t xml:space="preserve"> </w:t>
      </w:r>
      <w:r w:rsidR="002F20EE">
        <w:t xml:space="preserve">zmianie ustawy o ochronie roślin przed </w:t>
      </w:r>
      <w:proofErr w:type="spellStart"/>
      <w:r w:rsidR="002F20EE">
        <w:t>agrofagami</w:t>
      </w:r>
      <w:proofErr w:type="spellEnd"/>
      <w:r w:rsidR="002F20EE">
        <w:t xml:space="preserve"> oraz niektórych innych ustaw</w:t>
      </w:r>
      <w:r w:rsidR="009B2A7E" w:rsidRPr="009B2A7E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645A08DE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6988B7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7B7FB4C" w14:textId="2C45D08F" w:rsidR="00891952" w:rsidRDefault="00891952" w:rsidP="00891952">
            <w:pPr>
              <w:pStyle w:val="TREPUNKTUWUCHWALESENACKIEJ"/>
            </w:pPr>
            <w:r>
              <w:t>w art. 1 w pkt 4, w art. 37a w ust. 6:</w:t>
            </w:r>
          </w:p>
          <w:p w14:paraId="28306FE6" w14:textId="5D9B1567" w:rsidR="00891952" w:rsidRDefault="00891952" w:rsidP="00891952">
            <w:pPr>
              <w:pStyle w:val="LITERAWUCHWALESENACKIEJ"/>
            </w:pPr>
            <w:r>
              <w:t>a)</w:t>
            </w:r>
            <w:r>
              <w:tab/>
              <w:t>w pkt 3 i 6 po wyrazach „drewnianych materiałów opakowaniowych” dodaje się wyrazy „</w:t>
            </w:r>
            <w:r w:rsidR="002818D2">
              <w:t xml:space="preserve"> </w:t>
            </w:r>
            <w:r>
              <w:t>,</w:t>
            </w:r>
            <w:r w:rsidR="002818D2">
              <w:t xml:space="preserve"> </w:t>
            </w:r>
            <w:r>
              <w:t>o</w:t>
            </w:r>
            <w:r w:rsidR="002818D2">
              <w:t xml:space="preserve"> </w:t>
            </w:r>
            <w:r>
              <w:t>których mowa w ust. 1,”,</w:t>
            </w:r>
          </w:p>
          <w:p w14:paraId="36AEA0C2" w14:textId="0CEAC5D5" w:rsidR="00643B88" w:rsidRPr="00B528A4" w:rsidRDefault="00891952" w:rsidP="00891952">
            <w:pPr>
              <w:pStyle w:val="LITERAWUCHWALESENACKIEJ"/>
            </w:pPr>
            <w:r>
              <w:t>b)</w:t>
            </w:r>
            <w:r>
              <w:tab/>
              <w:t>w pkt 4 po wyrazach „w jaki drewniane materiały opakowaniowe” dodaje się wyrazy „</w:t>
            </w:r>
            <w:r w:rsidR="002818D2">
              <w:t xml:space="preserve"> </w:t>
            </w:r>
            <w:r>
              <w:t>,</w:t>
            </w:r>
            <w:r w:rsidR="002818D2">
              <w:t xml:space="preserve"> </w:t>
            </w:r>
            <w:r>
              <w:t>o</w:t>
            </w:r>
            <w:r w:rsidR="002818D2">
              <w:t xml:space="preserve"> </w:t>
            </w:r>
            <w:r>
              <w:t>których mowa w ust. 1,”;</w:t>
            </w:r>
          </w:p>
        </w:tc>
      </w:tr>
      <w:tr w:rsidR="009C4C46" w:rsidRPr="00B528A4" w14:paraId="1043099B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6A1B7D" w14:textId="77777777" w:rsidR="009C4C46" w:rsidRPr="00B528A4" w:rsidRDefault="009C4C4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BAD3E7D" w14:textId="034F3F49" w:rsidR="009C4C46" w:rsidRDefault="00891952" w:rsidP="00A77EA2">
            <w:pPr>
              <w:pStyle w:val="TREPUNKTUWUCHWALESENACKIEJ"/>
            </w:pPr>
            <w:r>
              <w:t>w art. 1</w:t>
            </w:r>
            <w:r w:rsidRPr="00891952">
              <w:t xml:space="preserve"> w pkt 4, w art. 37a w ust. 6 w pkt 6 skreśla się wyraz „tych”</w:t>
            </w:r>
            <w:r>
              <w:t>;</w:t>
            </w:r>
          </w:p>
        </w:tc>
      </w:tr>
      <w:tr w:rsidR="000A156A" w:rsidRPr="00B528A4" w14:paraId="009B57EF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13170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067FE81" w14:textId="7CE4EA32" w:rsidR="009710CD" w:rsidRPr="001242AB" w:rsidRDefault="00891952" w:rsidP="00891952">
            <w:pPr>
              <w:pStyle w:val="TREPUNKTUWUCHWALESENACKIEJ"/>
            </w:pPr>
            <w:r>
              <w:t xml:space="preserve">w art. 1 w pkt 4, </w:t>
            </w:r>
            <w:r w:rsidRPr="00891952">
              <w:t>w art. 37a w ust. 7 w pkt 1 wyrazy „wydający tę decyzję” zastępuje się wyrazami „udzielający tej zgody”</w:t>
            </w:r>
            <w:r>
              <w:t>;</w:t>
            </w:r>
          </w:p>
        </w:tc>
      </w:tr>
      <w:tr w:rsidR="001242AB" w:rsidRPr="00B528A4" w14:paraId="07BB4F6C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C0EF17" w14:textId="77777777" w:rsidR="001242AB" w:rsidRPr="00B528A4" w:rsidRDefault="001242AB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53BB54B" w14:textId="77777777" w:rsidR="00891952" w:rsidRDefault="00891952" w:rsidP="00891952">
            <w:pPr>
              <w:pStyle w:val="TREPUNKTUWUCHWALESENACKIEJ"/>
            </w:pPr>
            <w:r w:rsidRPr="00B201E1">
              <w:t>w art. 1 w pkt 4</w:t>
            </w:r>
            <w:r>
              <w:t>, w art. 37a:</w:t>
            </w:r>
          </w:p>
          <w:p w14:paraId="6EA6D8C2" w14:textId="77777777" w:rsidR="00891952" w:rsidRDefault="00891952" w:rsidP="00891952">
            <w:pPr>
              <w:pStyle w:val="LITERAWUCHWALESENACKIEJ"/>
            </w:pPr>
            <w:r>
              <w:t>a)</w:t>
            </w:r>
            <w:r>
              <w:tab/>
              <w:t>w ust. 7 w części wspólnej skreśla się wyrazy „drewnianych materiałów opakowaniowych”,</w:t>
            </w:r>
          </w:p>
          <w:p w14:paraId="11D67481" w14:textId="77777777" w:rsidR="00891952" w:rsidRDefault="00891952" w:rsidP="00891952">
            <w:pPr>
              <w:pStyle w:val="LITERAWUCHWALESENACKIEJ"/>
            </w:pPr>
            <w:r>
              <w:t>b)</w:t>
            </w:r>
            <w:r>
              <w:tab/>
              <w:t>w ust. 11:</w:t>
            </w:r>
          </w:p>
          <w:p w14:paraId="6B402D3C" w14:textId="77777777" w:rsidR="00891952" w:rsidRDefault="00891952" w:rsidP="00891952">
            <w:pPr>
              <w:pStyle w:val="TIRETWUCHWALESENACKIEJ"/>
            </w:pPr>
            <w:r>
              <w:t>–</w:t>
            </w:r>
            <w:r>
              <w:tab/>
              <w:t>we wprowadzeniu do wyliczenia skreśla się wyrazy „drewnianych materiałów opakowaniowych, o których mowa w ust. 1,”,</w:t>
            </w:r>
          </w:p>
          <w:p w14:paraId="181455BA" w14:textId="77777777" w:rsidR="00891952" w:rsidRDefault="00891952" w:rsidP="00891952">
            <w:pPr>
              <w:pStyle w:val="TIRETWUCHWALESENACKIEJ"/>
            </w:pPr>
            <w:r>
              <w:t>–</w:t>
            </w:r>
            <w:r>
              <w:tab/>
              <w:t>w pkt 1:</w:t>
            </w:r>
          </w:p>
          <w:p w14:paraId="5F298F05" w14:textId="77777777" w:rsidR="00891952" w:rsidRDefault="00891952" w:rsidP="00891952">
            <w:pPr>
              <w:pStyle w:val="PODWJNETIRETWUCHWALESENACKIEJ"/>
            </w:pPr>
            <w:r>
              <w:t>– –</w:t>
            </w:r>
            <w:r>
              <w:tab/>
              <w:t xml:space="preserve">w lit. a wyrazy „kontroli dokumentacji tych drewnianych materiałów opakowaniowych w miejscu ich wprowadzenia” zastępuje się wyrazami „tej kontroli w miejscu wprowadzenia drewnianych materiałów </w:t>
            </w:r>
            <w:r>
              <w:lastRenderedPageBreak/>
              <w:t>opakowaniowych, o których mowa w ust. 1,”,</w:t>
            </w:r>
          </w:p>
          <w:p w14:paraId="52A10EA2" w14:textId="70B2E19F" w:rsidR="001242AB" w:rsidRDefault="00891952" w:rsidP="00891952">
            <w:pPr>
              <w:pStyle w:val="PODWJNETIRETWUCHWALESENACKIEJ"/>
            </w:pPr>
            <w:r>
              <w:t>– –</w:t>
            </w:r>
            <w:r>
              <w:tab/>
              <w:t xml:space="preserve">w lit. b wyrazy „tych drewnianych materiałów opakowaniowych” zastępuje się wyrazami „drewnianych materiałów opakowaniowych, </w:t>
            </w:r>
            <w:r w:rsidR="002818D2">
              <w:t>o </w:t>
            </w:r>
            <w:r>
              <w:t>których mowa w ust. 1”;</w:t>
            </w:r>
          </w:p>
        </w:tc>
      </w:tr>
      <w:tr w:rsidR="00B11193" w:rsidRPr="00B528A4" w14:paraId="41CA2834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F9A81B" w14:textId="77777777" w:rsidR="00B11193" w:rsidRPr="00B528A4" w:rsidRDefault="00B11193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DB2DCB7" w14:textId="7A3DA9E7" w:rsidR="00B11193" w:rsidRPr="004D152C" w:rsidRDefault="00891952" w:rsidP="00891952">
            <w:pPr>
              <w:pStyle w:val="TREPUNKTUWUCHWALESENACKIEJ"/>
            </w:pPr>
            <w:r w:rsidRPr="00B766E5">
              <w:t xml:space="preserve">w art. 1 w pkt </w:t>
            </w:r>
            <w:r>
              <w:t>6</w:t>
            </w:r>
            <w:r w:rsidRPr="00B766E5">
              <w:t>,</w:t>
            </w:r>
            <w:r>
              <w:t xml:space="preserve"> w art. 51c w ust. 6 w pkt 2 skreśla się wyrazy „do rejestru zaufanych eksporterów”;</w:t>
            </w:r>
          </w:p>
        </w:tc>
      </w:tr>
      <w:tr w:rsidR="00B11193" w:rsidRPr="00B528A4" w14:paraId="2D70EBEE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CBB619" w14:textId="77777777" w:rsidR="00B11193" w:rsidRPr="00B528A4" w:rsidRDefault="00B11193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415A53C" w14:textId="78C6AAFA" w:rsidR="00B11193" w:rsidRPr="00B11193" w:rsidRDefault="00891952" w:rsidP="004D152C">
            <w:pPr>
              <w:pStyle w:val="TREPUNKTUWUCHWALESENACKIEJ"/>
            </w:pPr>
            <w:r w:rsidRPr="00643C66">
              <w:t>w art. 1 w pkt 6, w art. 51</w:t>
            </w:r>
            <w:r w:rsidRPr="00891952">
              <w:t>g w ust. 4 w pkt 2 wyrazy „tego rejestru” zastępuje się wyrazami „rejestru zaufanych eksporterów”</w:t>
            </w:r>
            <w:r>
              <w:t>;</w:t>
            </w:r>
          </w:p>
        </w:tc>
      </w:tr>
      <w:tr w:rsidR="00B11193" w:rsidRPr="00B528A4" w14:paraId="6DA614D6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A2567" w14:textId="77777777" w:rsidR="00B11193" w:rsidRPr="00B528A4" w:rsidRDefault="00B11193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FD9B29D" w14:textId="5B63E862" w:rsidR="00B11193" w:rsidRPr="00B11193" w:rsidRDefault="00891952" w:rsidP="00891952">
            <w:pPr>
              <w:pStyle w:val="TREPUNKTUWUCHWALESENACKIEJ"/>
            </w:pPr>
            <w:r w:rsidRPr="007312FD">
              <w:t xml:space="preserve">w art. 1 w pkt 6, w art. 51g w ust. </w:t>
            </w:r>
            <w:r w:rsidRPr="00891952">
              <w:t>7 we wprowadzeniu do wyliczenia wyraz „informacji” zastępuje się wyrazem „informacj</w:t>
            </w:r>
            <w:r w:rsidR="00BB714C">
              <w:t>e</w:t>
            </w:r>
            <w:r w:rsidRPr="00891952">
              <w:t>”</w:t>
            </w:r>
            <w:r>
              <w:t>;</w:t>
            </w:r>
          </w:p>
        </w:tc>
      </w:tr>
      <w:tr w:rsidR="006E0DA6" w:rsidRPr="00B528A4" w14:paraId="19B51159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25D686" w14:textId="77777777" w:rsidR="006E0DA6" w:rsidRPr="00B528A4" w:rsidRDefault="006E0DA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BA37B12" w14:textId="2DB1588A" w:rsidR="006E0DA6" w:rsidRPr="00B11193" w:rsidRDefault="00891952" w:rsidP="00891952">
            <w:pPr>
              <w:pStyle w:val="TREPUNKTUWUCHWALESENACKIEJ"/>
            </w:pPr>
            <w:r w:rsidRPr="00141753">
              <w:t xml:space="preserve">w art. </w:t>
            </w:r>
            <w:r w:rsidRPr="00891952">
              <w:t xml:space="preserve">1 w pkt 8 w lit. d w </w:t>
            </w:r>
            <w:proofErr w:type="spellStart"/>
            <w:r w:rsidRPr="00891952">
              <w:t>tiret</w:t>
            </w:r>
            <w:proofErr w:type="spellEnd"/>
            <w:r w:rsidRPr="00891952">
              <w:t xml:space="preserve"> drugim przed wyrazami „4 i 5” dodaje się wyraz „pkt”</w:t>
            </w:r>
            <w:r>
              <w:t>;</w:t>
            </w:r>
          </w:p>
        </w:tc>
      </w:tr>
      <w:tr w:rsidR="006E0DA6" w:rsidRPr="00B528A4" w14:paraId="5FC36222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58E8BB" w14:textId="77777777" w:rsidR="006E0DA6" w:rsidRPr="00B528A4" w:rsidRDefault="006E0DA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1E52B85" w14:textId="57227022" w:rsidR="006E0DA6" w:rsidRPr="006E0DA6" w:rsidRDefault="00891952" w:rsidP="00891952">
            <w:pPr>
              <w:pStyle w:val="TREPUNKTUWUCHWALESENACKIEJ"/>
            </w:pPr>
            <w:r w:rsidRPr="00141753">
              <w:t xml:space="preserve">w art. </w:t>
            </w:r>
            <w:r w:rsidRPr="00891952">
              <w:t>4 w pkt 3 w lit. a po wyrazach „odpowiednie kwalifikacje” dodaje się wyrazy „w zakresie opracowywanej oceny lub uwag”</w:t>
            </w:r>
            <w:r>
              <w:t>;</w:t>
            </w:r>
          </w:p>
        </w:tc>
      </w:tr>
      <w:tr w:rsidR="006E0DA6" w:rsidRPr="00B528A4" w14:paraId="56465C98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6AF54B" w14:textId="77777777" w:rsidR="006E0DA6" w:rsidRPr="00B528A4" w:rsidRDefault="006E0DA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A5126B2" w14:textId="10E272DC" w:rsidR="006E0DA6" w:rsidRPr="006E0DA6" w:rsidRDefault="00891952" w:rsidP="00891952">
            <w:pPr>
              <w:pStyle w:val="TREPUNKTUWUCHWALESENACKIEJ"/>
            </w:pPr>
            <w:r w:rsidRPr="00AD102B">
              <w:t xml:space="preserve">w art. 4 w pkt </w:t>
            </w:r>
            <w:r>
              <w:t>17 w lit. b,</w:t>
            </w:r>
            <w:r w:rsidRPr="00AD102B">
              <w:t xml:space="preserve"> </w:t>
            </w:r>
            <w:r>
              <w:t>w ust. 2a wyrazy „może przyjąć zgłoszenie, o którym mowa w ust. 2, po” zastępuje się wyraz</w:t>
            </w:r>
            <w:r w:rsidR="00C47CA3">
              <w:t>a</w:t>
            </w:r>
            <w:r>
              <w:t>m</w:t>
            </w:r>
            <w:r w:rsidR="00C47CA3">
              <w:t>i</w:t>
            </w:r>
            <w:r>
              <w:t xml:space="preserve"> „przyjmuje</w:t>
            </w:r>
            <w:r w:rsidRPr="00847213">
              <w:t xml:space="preserve"> zgłoszenie, o którym mowa </w:t>
            </w:r>
            <w:r w:rsidR="002818D2">
              <w:t>w ust. </w:t>
            </w:r>
            <w:r w:rsidRPr="00847213">
              <w:t xml:space="preserve">2, </w:t>
            </w:r>
            <w:r>
              <w:t>również po”;</w:t>
            </w:r>
          </w:p>
        </w:tc>
      </w:tr>
      <w:tr w:rsidR="006E0DA6" w:rsidRPr="00B528A4" w14:paraId="256F2376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D84571" w14:textId="77777777" w:rsidR="006E0DA6" w:rsidRPr="00B528A4" w:rsidRDefault="006E0DA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4B3DC31" w14:textId="77777777" w:rsidR="00891952" w:rsidRPr="00492DC0" w:rsidRDefault="00891952" w:rsidP="00891952">
            <w:pPr>
              <w:pStyle w:val="TREPUNKTUWUCHWALESENACKIEJ"/>
            </w:pPr>
            <w:r w:rsidRPr="00492DC0">
              <w:t>w art. 4 w pkt 22, w art. 65a:</w:t>
            </w:r>
          </w:p>
          <w:p w14:paraId="5312F1E1" w14:textId="77777777" w:rsidR="00891952" w:rsidRPr="00492DC0" w:rsidRDefault="00891952" w:rsidP="00891952">
            <w:pPr>
              <w:pStyle w:val="LITERAWUCHWALESENACKIEJ"/>
            </w:pPr>
            <w:r w:rsidRPr="00492DC0">
              <w:t>a)</w:t>
            </w:r>
            <w:r w:rsidRPr="00492DC0">
              <w:tab/>
              <w:t>w ust. 3 w pkt 1 wyrazy „które ukończyły szkolenie w zakresie środków ochrony roślin potwierdzone zaświadczeniem o ukończeniu tego szkolenia” zastępuje się wyrazami „którym wydały zaświadczenie wskazane w ust. 1 pkt 1”,</w:t>
            </w:r>
          </w:p>
          <w:p w14:paraId="28ECF491" w14:textId="436C1345" w:rsidR="006E0DA6" w:rsidRPr="006E0DA6" w:rsidRDefault="00891952" w:rsidP="00891952">
            <w:pPr>
              <w:pStyle w:val="LITERAWUCHWALESENACKIEJ"/>
            </w:pPr>
            <w:r w:rsidRPr="00492DC0">
              <w:t>b)</w:t>
            </w:r>
            <w:r w:rsidRPr="00492DC0">
              <w:tab/>
              <w:t xml:space="preserve">w ust. 4 w pkt 1 wyrazy „zaświadczenie o ukończeniu szkolenia w zakresie środków ochrony roślin” zastępuje się wyrazami „zaświadczenie wskazane </w:t>
            </w:r>
            <w:r w:rsidR="002818D2">
              <w:t>w ust. </w:t>
            </w:r>
            <w:r w:rsidRPr="00492DC0">
              <w:t>1 pkt 1”</w:t>
            </w:r>
            <w:r>
              <w:t>;</w:t>
            </w:r>
          </w:p>
        </w:tc>
      </w:tr>
      <w:tr w:rsidR="000A156A" w:rsidRPr="00B528A4" w14:paraId="7A46E0B7" w14:textId="77777777" w:rsidTr="000015CB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8920B9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B93C30" w14:textId="1068B8E6" w:rsidR="003F032D" w:rsidRDefault="00891952" w:rsidP="00033AE5">
            <w:pPr>
              <w:pStyle w:val="TREPUNKTUWUCHWALESENACKIEJ"/>
            </w:pPr>
            <w:r w:rsidRPr="00630FA8">
              <w:t xml:space="preserve">w art. 4 w pkt </w:t>
            </w:r>
            <w:r w:rsidRPr="00891952">
              <w:t xml:space="preserve">22, w art. 65a w ust. 4 w pkt 1 i 2 wyrazy „dane osoby” zastępuje się </w:t>
            </w:r>
            <w:r w:rsidRPr="00891952">
              <w:lastRenderedPageBreak/>
              <w:t>wyrazami „dane dotyczące osoby”</w:t>
            </w:r>
            <w:r>
              <w:t>;</w:t>
            </w:r>
          </w:p>
        </w:tc>
      </w:tr>
      <w:tr w:rsidR="00037F01" w:rsidRPr="00B528A4" w14:paraId="2D5C1610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20CCDC" w14:textId="77777777" w:rsidR="00037F01" w:rsidRPr="00B528A4" w:rsidRDefault="00037F01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55FF58D" w14:textId="08DB5C7D" w:rsidR="00037F01" w:rsidRPr="00037F01" w:rsidRDefault="00891952" w:rsidP="00891952">
            <w:pPr>
              <w:pStyle w:val="TREPUNKTUWUCHWALESENACKIEJ"/>
            </w:pPr>
            <w:r w:rsidRPr="00DC3BA9">
              <w:t>w art. 7 w</w:t>
            </w:r>
            <w:r>
              <w:t xml:space="preserve"> ust. 3 w zdaniu drugim skreśla się wyrazy „w brzmieniu dotychczasowym”;</w:t>
            </w:r>
          </w:p>
        </w:tc>
      </w:tr>
      <w:tr w:rsidR="001242AB" w:rsidRPr="00B528A4" w14:paraId="5BA06C64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0AE85A" w14:textId="77777777" w:rsidR="001242AB" w:rsidRPr="00B528A4" w:rsidRDefault="001242AB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58071F3" w14:textId="377BAF1A" w:rsidR="001242AB" w:rsidRPr="001242AB" w:rsidRDefault="00891952" w:rsidP="00891952">
            <w:pPr>
              <w:pStyle w:val="TREPUNKTUWUCHWALESENACKIEJ"/>
            </w:pPr>
            <w:r w:rsidRPr="00DC3BA9">
              <w:t xml:space="preserve">w art. 7 w ust. </w:t>
            </w:r>
            <w:r w:rsidRPr="00891952">
              <w:t>4 w zdaniu pierwszym wyrazy „na podstawie na podstawie” zastępuje się wyrazami „na podstawie”</w:t>
            </w:r>
            <w:r w:rsidR="00BB714C">
              <w:t>;</w:t>
            </w:r>
          </w:p>
        </w:tc>
      </w:tr>
      <w:tr w:rsidR="00BB714C" w:rsidRPr="00B528A4" w14:paraId="6893F201" w14:textId="77777777" w:rsidTr="000E4D5E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FC20ED" w14:textId="77777777" w:rsidR="00BB714C" w:rsidRPr="00B528A4" w:rsidRDefault="00BB714C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A87D8C6" w14:textId="0046BCA5" w:rsidR="00BB714C" w:rsidRPr="00DC3BA9" w:rsidRDefault="00BB714C" w:rsidP="00891952">
            <w:pPr>
              <w:pStyle w:val="TREPUNKTUWUCHWALESENACKIEJ"/>
            </w:pPr>
            <w:r>
              <w:t xml:space="preserve">w art. 11 skreśla się wyrazy </w:t>
            </w:r>
            <w:r w:rsidRPr="00891952">
              <w:t>„w brzmieniu nadanym niniejszą ustawą”</w:t>
            </w:r>
            <w:r>
              <w:t>.</w:t>
            </w:r>
          </w:p>
        </w:tc>
      </w:tr>
    </w:tbl>
    <w:p w14:paraId="782EBAAE" w14:textId="7815CA22" w:rsidR="00912118" w:rsidRDefault="00912118" w:rsidP="00A054FD">
      <w:pPr>
        <w:pStyle w:val="POPIERAJCYPOPRAWKZAMIESZCZONWZESTAWIENIUWNIOSKW"/>
      </w:pPr>
    </w:p>
    <w:p w14:paraId="76F869FE" w14:textId="330727FD" w:rsidR="008A71C2" w:rsidRDefault="008A71C2" w:rsidP="00A054FD">
      <w:pPr>
        <w:pStyle w:val="POPIERAJCYPOPRAWKZAMIESZCZONWZESTAWIENIUWNIOSKW"/>
      </w:pPr>
    </w:p>
    <w:p w14:paraId="3495F259" w14:textId="777F0736" w:rsidR="008A71C2" w:rsidRDefault="008A71C2" w:rsidP="00A054FD">
      <w:pPr>
        <w:pStyle w:val="POPIERAJCYPOPRAWKZAMIESZCZONWZESTAWIENIUWNIOSKW"/>
      </w:pPr>
    </w:p>
    <w:p w14:paraId="662FEF28" w14:textId="77777777" w:rsidR="008A71C2" w:rsidRPr="007A36AD" w:rsidRDefault="008A71C2" w:rsidP="008A71C2">
      <w:pPr>
        <w:pStyle w:val="POPIERAJCYPOPRAWKZAMIESZCZONWZESTAWIENIUWNIOSKW"/>
        <w:rPr>
          <w:color w:val="000000" w:themeColor="text1"/>
        </w:rPr>
      </w:pPr>
    </w:p>
    <w:p w14:paraId="57F6BB07" w14:textId="77777777" w:rsidR="008A71C2" w:rsidRPr="007A36AD" w:rsidRDefault="008A71C2" w:rsidP="008A71C2">
      <w:pPr>
        <w:pStyle w:val="POPIERAJCYPOPRAWKZAMIESZCZONWZESTAWIENIUWNIOSKW"/>
        <w:rPr>
          <w:color w:val="000000" w:themeColor="text1"/>
        </w:rPr>
      </w:pPr>
    </w:p>
    <w:p w14:paraId="2F71F228" w14:textId="77777777" w:rsidR="008A71C2" w:rsidRDefault="008A71C2" w:rsidP="008A71C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4163B09D" w14:textId="77777777" w:rsidR="008A71C2" w:rsidRDefault="008A71C2" w:rsidP="008A71C2">
      <w:pPr>
        <w:ind w:left="5103" w:firstLine="4"/>
        <w:rPr>
          <w:rStyle w:val="Ppogrubienie"/>
          <w:color w:val="000000" w:themeColor="text1"/>
        </w:rPr>
      </w:pPr>
    </w:p>
    <w:p w14:paraId="287B46D6" w14:textId="77777777" w:rsidR="008A71C2" w:rsidRDefault="008A71C2" w:rsidP="008A71C2">
      <w:pPr>
        <w:ind w:left="5103" w:firstLine="4"/>
        <w:rPr>
          <w:rStyle w:val="Ppogrubienie"/>
          <w:color w:val="000000" w:themeColor="text1"/>
        </w:rPr>
      </w:pPr>
    </w:p>
    <w:p w14:paraId="1C594461" w14:textId="77777777" w:rsidR="008A71C2" w:rsidRDefault="008A71C2" w:rsidP="008A71C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7A0FF67" w14:textId="77777777" w:rsidR="008A71C2" w:rsidRPr="007A36AD" w:rsidRDefault="008A71C2" w:rsidP="008A71C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10B53A02" w14:textId="77777777" w:rsidR="008A71C2" w:rsidRDefault="008A71C2" w:rsidP="00A054FD">
      <w:pPr>
        <w:pStyle w:val="POPIERAJCYPOPRAWKZAMIESZCZONWZESTAWIENIUWNIOSKW"/>
        <w:sectPr w:rsidR="008A71C2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46DFC84" w14:textId="77777777" w:rsidR="008A71C2" w:rsidRDefault="008A71C2" w:rsidP="008A71C2">
      <w:pPr>
        <w:pStyle w:val="OZNRODZAKTUtznustawalubrozporzdzenieiorganwydajcy"/>
      </w:pPr>
      <w:r>
        <w:lastRenderedPageBreak/>
        <w:t>Uzasadnienie</w:t>
      </w:r>
    </w:p>
    <w:p w14:paraId="5A7D0AF3" w14:textId="77777777" w:rsidR="008A71C2" w:rsidRDefault="008A71C2" w:rsidP="008A71C2"/>
    <w:p w14:paraId="0A19F28F" w14:textId="77777777" w:rsidR="008A71C2" w:rsidRPr="006124B5" w:rsidRDefault="008A71C2" w:rsidP="008A71C2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29 października 2025 r. Senat rozpatrzył ustawę o zmianie ustawy o ochronie roślin przed </w:t>
      </w:r>
      <w:proofErr w:type="spellStart"/>
      <w:r>
        <w:t>agrofagami</w:t>
      </w:r>
      <w:proofErr w:type="spellEnd"/>
      <w:r>
        <w:t xml:space="preserve"> oraz niektórych innych ustaw i uchwalił do niej </w:t>
      </w:r>
      <w:r w:rsidRPr="00A15DFA">
        <w:t>15 poprawek.</w:t>
      </w:r>
    </w:p>
    <w:p w14:paraId="207B091B" w14:textId="77777777" w:rsidR="008A71C2" w:rsidRDefault="008A71C2" w:rsidP="008A71C2">
      <w:pPr>
        <w:pStyle w:val="ARTartustawynprozporzdzenia"/>
      </w:pPr>
      <w:r>
        <w:t xml:space="preserve">Dokonując analizy przepisów ustawy pod </w:t>
      </w:r>
      <w:r w:rsidRPr="00D36EDF">
        <w:t xml:space="preserve">względem </w:t>
      </w:r>
      <w:r>
        <w:t>jednolitości, w tym terminologicznej, spójności, błędów językowych, sformułowań składających się z powtarzających się wyrazów, konieczności dopasowania ich do pozostałych przepisów zmienianych ustaw, oraz zgodności z pozostałymi wymogami poprawnej legislacji określonymi w załączniku do rozporządzenia Prezesa Rady Ministrów z dnia 20 czerwca 2002 r. w sprawie „Zasad techniki prawodawczej”, zwanego dalej „Zasadami techniki prawodawczej”, Senat uznał za zasadne przyjęcie:</w:t>
      </w:r>
    </w:p>
    <w:p w14:paraId="2B190A48" w14:textId="77777777" w:rsidR="008A71C2" w:rsidRDefault="008A71C2" w:rsidP="008A71C2">
      <w:pPr>
        <w:pStyle w:val="PKTpunkt"/>
      </w:pPr>
      <w:r>
        <w:t>1)</w:t>
      </w:r>
      <w:r>
        <w:tab/>
        <w:t xml:space="preserve">poprawki nr 1 – mającej na celu zapewnienie jednolitości proponowanych przepisów art. 37a ust. 6 pkt 3, 4 i 6 ustawy o ochronie roślin przed </w:t>
      </w:r>
      <w:proofErr w:type="spellStart"/>
      <w:r>
        <w:t>agrofagami</w:t>
      </w:r>
      <w:proofErr w:type="spellEnd"/>
      <w:r>
        <w:t xml:space="preserve"> z pozostałymi przepisami tego artykułu w sposobie odnoszenia się do tych samych drewnianych materiałów opakowaniowych;</w:t>
      </w:r>
    </w:p>
    <w:p w14:paraId="7AAC2BD8" w14:textId="77777777" w:rsidR="008A71C2" w:rsidRDefault="008A71C2" w:rsidP="008A71C2">
      <w:pPr>
        <w:pStyle w:val="PKTpunkt"/>
      </w:pPr>
      <w:r>
        <w:t>2)</w:t>
      </w:r>
      <w:r>
        <w:tab/>
        <w:t xml:space="preserve">poprawki nr 2 – mającej na celu zapewnienie spójności w obrębie treści proponowanego przepisu </w:t>
      </w:r>
      <w:r w:rsidRPr="00891952">
        <w:t xml:space="preserve">art. 37a ust. 6 w pkt 6 </w:t>
      </w:r>
      <w:r>
        <w:t xml:space="preserve">ustawy o ochronie roślin przed </w:t>
      </w:r>
      <w:proofErr w:type="spellStart"/>
      <w:r>
        <w:t>agrofagami</w:t>
      </w:r>
      <w:proofErr w:type="spellEnd"/>
      <w:r>
        <w:t xml:space="preserve"> w zakresie, w jakim odnosi się do drewnianych materiałów opakowaniowych;</w:t>
      </w:r>
    </w:p>
    <w:p w14:paraId="3A1AE672" w14:textId="77777777" w:rsidR="008A71C2" w:rsidRDefault="008A71C2" w:rsidP="008A71C2">
      <w:pPr>
        <w:pStyle w:val="PKTpunkt"/>
      </w:pPr>
      <w:r>
        <w:t>3)</w:t>
      </w:r>
      <w:r>
        <w:tab/>
        <w:t>poprawki nr 3 –</w:t>
      </w:r>
      <w:r w:rsidRPr="00C60F39">
        <w:t xml:space="preserve"> </w:t>
      </w:r>
      <w:r>
        <w:t>mającej na celu zapewnienie jednolitości proponowanych przepisów</w:t>
      </w:r>
      <w:r w:rsidRPr="00891952">
        <w:t xml:space="preserve"> </w:t>
      </w:r>
      <w:r>
        <w:t>art. </w:t>
      </w:r>
      <w:r w:rsidRPr="00891952">
        <w:t xml:space="preserve">37a </w:t>
      </w:r>
      <w:r>
        <w:t xml:space="preserve">ustawy o ochronie roślin przed </w:t>
      </w:r>
      <w:proofErr w:type="spellStart"/>
      <w:r>
        <w:t>agrofagami</w:t>
      </w:r>
      <w:proofErr w:type="spellEnd"/>
      <w:r>
        <w:t xml:space="preserve"> w odnoszeniu się do zgody na przeprowadzanie objętych ich regulacją kontroli;</w:t>
      </w:r>
    </w:p>
    <w:p w14:paraId="35076953" w14:textId="77777777" w:rsidR="008A71C2" w:rsidRDefault="008A71C2" w:rsidP="008A71C2">
      <w:pPr>
        <w:pStyle w:val="PKTpunkt"/>
      </w:pPr>
      <w:r>
        <w:t>4)</w:t>
      </w:r>
      <w:r>
        <w:tab/>
        <w:t>poprawki nr 4 – mającej na celu zapewnienie jednolitości proponowanych przepisów</w:t>
      </w:r>
      <w:r w:rsidRPr="00891952">
        <w:t xml:space="preserve"> </w:t>
      </w:r>
      <w:r>
        <w:t>art. </w:t>
      </w:r>
      <w:r w:rsidRPr="00891952">
        <w:t xml:space="preserve">37a </w:t>
      </w:r>
      <w:r>
        <w:t xml:space="preserve">ustawy o ochronie roślin przed </w:t>
      </w:r>
      <w:proofErr w:type="spellStart"/>
      <w:r>
        <w:t>agrofagami</w:t>
      </w:r>
      <w:proofErr w:type="spellEnd"/>
      <w:r>
        <w:t xml:space="preserve"> w sposobie odnoszenia się do tych samych kontroli;</w:t>
      </w:r>
    </w:p>
    <w:p w14:paraId="78605AAF" w14:textId="77777777" w:rsidR="008A71C2" w:rsidRDefault="008A71C2" w:rsidP="008A71C2">
      <w:pPr>
        <w:pStyle w:val="PKTpunkt"/>
      </w:pPr>
      <w:r>
        <w:t>5)</w:t>
      </w:r>
      <w:r>
        <w:tab/>
        <w:t xml:space="preserve">poprawki nr 5 – mającej na celu zapewnienie jednolitości proponowanych przepisów art. 51c ust. 6 ustawy o ochronie roślin przed </w:t>
      </w:r>
      <w:proofErr w:type="spellStart"/>
      <w:r>
        <w:t>agrofagami</w:t>
      </w:r>
      <w:proofErr w:type="spellEnd"/>
      <w:r>
        <w:t xml:space="preserve"> w sposobie odnoszenia się do wpisu do rejestru zaufanych eksporterów;</w:t>
      </w:r>
    </w:p>
    <w:p w14:paraId="2383DAFF" w14:textId="77777777" w:rsidR="008A71C2" w:rsidRDefault="008A71C2" w:rsidP="008A71C2">
      <w:pPr>
        <w:pStyle w:val="PKTpunkt"/>
      </w:pPr>
      <w:r>
        <w:t>6)</w:t>
      </w:r>
      <w:r>
        <w:tab/>
        <w:t>poprawki nr 6 – mającej na celu doprecyzowanie proponowanego przepisu</w:t>
      </w:r>
      <w:r w:rsidRPr="00C60F39">
        <w:t xml:space="preserve"> </w:t>
      </w:r>
      <w:r w:rsidRPr="00643C66">
        <w:t>art. 51</w:t>
      </w:r>
      <w:r w:rsidRPr="00891952">
        <w:t xml:space="preserve">g ust. 4 pkt 2 </w:t>
      </w:r>
      <w:r>
        <w:t xml:space="preserve">ustawy o ochronie roślin przed </w:t>
      </w:r>
      <w:proofErr w:type="spellStart"/>
      <w:r>
        <w:t>agrofagami</w:t>
      </w:r>
      <w:proofErr w:type="spellEnd"/>
      <w:r>
        <w:t xml:space="preserve"> przez wskazanie </w:t>
      </w:r>
      <w:r w:rsidRPr="00D009B1">
        <w:t>nazwy rejestru objętego jego regulacją</w:t>
      </w:r>
      <w:r>
        <w:t>;</w:t>
      </w:r>
    </w:p>
    <w:p w14:paraId="14752003" w14:textId="77777777" w:rsidR="008A71C2" w:rsidRDefault="008A71C2" w:rsidP="008A71C2">
      <w:pPr>
        <w:pStyle w:val="PKTpunkt"/>
      </w:pPr>
      <w:r>
        <w:lastRenderedPageBreak/>
        <w:t>7)</w:t>
      </w:r>
      <w:r>
        <w:tab/>
        <w:t xml:space="preserve">poprawki nr 7 – likwidującej w proponowanym przepisie </w:t>
      </w:r>
      <w:r w:rsidRPr="007312FD">
        <w:t xml:space="preserve">art. 51g w ust. </w:t>
      </w:r>
      <w:r w:rsidRPr="00891952">
        <w:t>7</w:t>
      </w:r>
      <w:r w:rsidRPr="00375B70">
        <w:t xml:space="preserve"> </w:t>
      </w:r>
      <w:r>
        <w:t xml:space="preserve">ustawy o ochronie roślin przed </w:t>
      </w:r>
      <w:proofErr w:type="spellStart"/>
      <w:r>
        <w:t>agrofagami</w:t>
      </w:r>
      <w:proofErr w:type="spellEnd"/>
      <w:r w:rsidRPr="00891952">
        <w:t xml:space="preserve"> </w:t>
      </w:r>
      <w:r>
        <w:t>błąd językowy;</w:t>
      </w:r>
    </w:p>
    <w:p w14:paraId="6C59CF7B" w14:textId="77777777" w:rsidR="008A71C2" w:rsidRDefault="008A71C2" w:rsidP="008A71C2">
      <w:pPr>
        <w:pStyle w:val="PKTpunkt"/>
      </w:pPr>
      <w:r>
        <w:t>8)</w:t>
      </w:r>
      <w:r>
        <w:tab/>
        <w:t xml:space="preserve">poprawki nr 8 – mającej na celu uzupełnienie przepisu </w:t>
      </w:r>
      <w:r w:rsidRPr="00141753">
        <w:t xml:space="preserve">art. </w:t>
      </w:r>
      <w:r w:rsidRPr="00891952">
        <w:t xml:space="preserve">1 pkt 8 w lit. d </w:t>
      </w:r>
      <w:proofErr w:type="spellStart"/>
      <w:r w:rsidRPr="00891952">
        <w:t>tiret</w:t>
      </w:r>
      <w:proofErr w:type="spellEnd"/>
      <w:r w:rsidRPr="00891952">
        <w:t xml:space="preserve"> drugi</w:t>
      </w:r>
      <w:r>
        <w:t>e</w:t>
      </w:r>
      <w:r w:rsidRPr="00891952">
        <w:t xml:space="preserve"> </w:t>
      </w:r>
      <w:r>
        <w:t xml:space="preserve">przez wskazanie oznaczenia uchylanych nim jednostek redakcyjnych art. 58 ust. 4 ustawy o ochronie roślin przed </w:t>
      </w:r>
      <w:proofErr w:type="spellStart"/>
      <w:r>
        <w:t>agrofagami</w:t>
      </w:r>
      <w:proofErr w:type="spellEnd"/>
      <w:r>
        <w:t>;</w:t>
      </w:r>
    </w:p>
    <w:p w14:paraId="4C798AF5" w14:textId="77777777" w:rsidR="008A71C2" w:rsidRDefault="008A71C2" w:rsidP="008A71C2">
      <w:pPr>
        <w:pStyle w:val="PKTpunkt"/>
      </w:pPr>
      <w:r>
        <w:t>9)</w:t>
      </w:r>
      <w:r>
        <w:tab/>
        <w:t>poprawki nr 9 – mającej na celu doprecyzowanie proponowanego przepisu art. 10 ust. 3 pkt 1 lit. a ustawy o środkach ochrony roślin przez wskazanie zakresu kwalifikacji wymaganych od objętych jego regulacją osób nadzorujących;</w:t>
      </w:r>
    </w:p>
    <w:p w14:paraId="6DD4BAC8" w14:textId="77777777" w:rsidR="008A71C2" w:rsidRDefault="008A71C2" w:rsidP="008A71C2">
      <w:pPr>
        <w:pStyle w:val="PKTpunkt"/>
      </w:pPr>
      <w:r>
        <w:t>10)</w:t>
      </w:r>
      <w:r>
        <w:tab/>
        <w:t xml:space="preserve">poprawki nr 11 – zapewniającej spójność i jednolitość proponowanych przepisów </w:t>
      </w:r>
      <w:r w:rsidRPr="00492DC0">
        <w:t>art. 65a</w:t>
      </w:r>
      <w:r>
        <w:t xml:space="preserve"> ustawy o środkach ochrony roślin w odnoszeniu się do szkoleń, których ukończenie uprawnia do uzyskania wpisu do rejestru wskazanego w ust. 1 tego artykułu;</w:t>
      </w:r>
    </w:p>
    <w:p w14:paraId="150E8C6F" w14:textId="77777777" w:rsidR="008A71C2" w:rsidRDefault="008A71C2" w:rsidP="008A71C2">
      <w:pPr>
        <w:pStyle w:val="PKTpunkt"/>
      </w:pPr>
      <w:r>
        <w:t>11)</w:t>
      </w:r>
      <w:r>
        <w:tab/>
        <w:t xml:space="preserve">poprawki nr 12 – </w:t>
      </w:r>
      <w:bookmarkStart w:id="0" w:name="_Hlk212547196"/>
      <w:r>
        <w:t>mającej na celu zapewnienie jednolitości</w:t>
      </w:r>
      <w:r w:rsidRPr="00604428">
        <w:t xml:space="preserve"> i spójności proponowanych przepisów </w:t>
      </w:r>
      <w:r w:rsidRPr="00891952">
        <w:t xml:space="preserve">art. 65a </w:t>
      </w:r>
      <w:r>
        <w:t xml:space="preserve">ustawy o środkach ochrony roślin w zakresie </w:t>
      </w:r>
      <w:r w:rsidRPr="00604428">
        <w:t xml:space="preserve">danych wpisywanych </w:t>
      </w:r>
      <w:r>
        <w:t>do </w:t>
      </w:r>
      <w:r w:rsidRPr="00604428">
        <w:t xml:space="preserve">rejestru </w:t>
      </w:r>
      <w:r>
        <w:t>wskazanego w</w:t>
      </w:r>
      <w:r w:rsidRPr="00604428">
        <w:t xml:space="preserve"> ust. 1</w:t>
      </w:r>
      <w:r>
        <w:t xml:space="preserve"> </w:t>
      </w:r>
      <w:bookmarkEnd w:id="0"/>
      <w:r>
        <w:t>tego artykułu;</w:t>
      </w:r>
    </w:p>
    <w:p w14:paraId="6A2E48E0" w14:textId="77777777" w:rsidR="008A71C2" w:rsidRDefault="008A71C2" w:rsidP="008A71C2">
      <w:pPr>
        <w:pStyle w:val="PKTpunkt"/>
      </w:pPr>
      <w:r>
        <w:t>12)</w:t>
      </w:r>
      <w:r>
        <w:tab/>
        <w:t xml:space="preserve">poprawki nr 13 – zapewniającej zredagowanie </w:t>
      </w:r>
      <w:r w:rsidRPr="00DC3BA9">
        <w:t xml:space="preserve">art. 7 </w:t>
      </w:r>
      <w:r>
        <w:t>ust. 3 ustawy zgodnie z utrwaloną praktyką legislacyjną</w:t>
      </w:r>
      <w:r w:rsidRPr="00B4775F">
        <w:t xml:space="preserve"> w sposobie odwoływania się </w:t>
      </w:r>
      <w:r>
        <w:t xml:space="preserve">w przepisach przejściowych do uchylanych przepisów, a także jednolitość z rozwiązaniem przyjętym w </w:t>
      </w:r>
      <w:r w:rsidRPr="00504F7C">
        <w:t>pozostałych przepisach przejściowych ustawy</w:t>
      </w:r>
      <w:r>
        <w:t>;</w:t>
      </w:r>
    </w:p>
    <w:p w14:paraId="0CAEAF51" w14:textId="77777777" w:rsidR="008A71C2" w:rsidRDefault="008A71C2" w:rsidP="008A71C2">
      <w:pPr>
        <w:pStyle w:val="PKTpunkt"/>
      </w:pPr>
      <w:r>
        <w:t>13)</w:t>
      </w:r>
      <w:r>
        <w:tab/>
        <w:t>poprawki nr 14 – zapewniającej skorygowanie art. 7 ust. 4 ustawy w zakresie zwrotu składającego się z powtarzających się wyrazów;</w:t>
      </w:r>
    </w:p>
    <w:p w14:paraId="24886628" w14:textId="77777777" w:rsidR="008A71C2" w:rsidRDefault="008A71C2" w:rsidP="008A71C2">
      <w:pPr>
        <w:pStyle w:val="PKTpunkt"/>
      </w:pPr>
      <w:r>
        <w:t>14)</w:t>
      </w:r>
      <w:r>
        <w:tab/>
        <w:t xml:space="preserve">poprawki nr 15 – zapewniającej </w:t>
      </w:r>
      <w:r w:rsidRPr="00B4775F">
        <w:t xml:space="preserve">zredagowanie </w:t>
      </w:r>
      <w:r>
        <w:t>art. 11 ustawy</w:t>
      </w:r>
      <w:r w:rsidRPr="00B4775F">
        <w:t xml:space="preserve"> zgodnie z utrwaloną praktyką legislacyjną w sposobie odwoływania się w przepisach przejściowych </w:t>
      </w:r>
      <w:r>
        <w:t xml:space="preserve">do dodawanych ustawą nowych przepisów, a także </w:t>
      </w:r>
      <w:r w:rsidRPr="00B4775F">
        <w:t>jednoli</w:t>
      </w:r>
      <w:r>
        <w:t>tość</w:t>
      </w:r>
      <w:r w:rsidRPr="00B4775F">
        <w:t xml:space="preserve"> z </w:t>
      </w:r>
      <w:r>
        <w:t>rozwiązaniem przyjętym w </w:t>
      </w:r>
      <w:r w:rsidRPr="00B4775F">
        <w:t>pozostały</w:t>
      </w:r>
      <w:r>
        <w:t xml:space="preserve">ch </w:t>
      </w:r>
      <w:r w:rsidRPr="00B4775F">
        <w:t>przepisa</w:t>
      </w:r>
      <w:r>
        <w:t>ch</w:t>
      </w:r>
      <w:r w:rsidRPr="00B4775F">
        <w:t xml:space="preserve"> przejściowy</w:t>
      </w:r>
      <w:r>
        <w:t>ch</w:t>
      </w:r>
      <w:r w:rsidRPr="00B4775F">
        <w:t xml:space="preserve"> ustawy</w:t>
      </w:r>
      <w:r>
        <w:t>.</w:t>
      </w:r>
    </w:p>
    <w:p w14:paraId="1FC3DB0F" w14:textId="77777777" w:rsidR="008A71C2" w:rsidRPr="00B2310E" w:rsidRDefault="008A71C2" w:rsidP="008A71C2">
      <w:pPr>
        <w:pStyle w:val="NIEARTTEKSTtekstnieartykuowanynppodstprawnarozplubpreambua"/>
      </w:pPr>
      <w:r>
        <w:t xml:space="preserve">Dokonując analizy proponowanego przepisu art. 55 ust. 2a ustawy o środkach ochrony roślin, Senat uznał za zasadne przyjęcie </w:t>
      </w:r>
      <w:r w:rsidRPr="00B2310E">
        <w:t>poprawki nr 1</w:t>
      </w:r>
      <w:r>
        <w:t>0</w:t>
      </w:r>
      <w:r w:rsidRPr="00B2310E">
        <w:t xml:space="preserve">, która zapewnia, że podmiot certyfikujący jest obowiązany do przyjęcia od producenta roślin zgłoszenia złożonego po terminie, zawsze, gdy nie wpłynie to na możliwość sprawdzenia przez producenta roślin wymagań określonych w art. 57 ust. 2 tej ustawy i przeprowadzenie kontroli wskazanej </w:t>
      </w:r>
      <w:r>
        <w:t>w art. </w:t>
      </w:r>
      <w:r w:rsidRPr="00B2310E">
        <w:t>56 ust. 1 tej ustawy.</w:t>
      </w:r>
      <w:r>
        <w:t xml:space="preserve"> W ocenie Senatu przewidziane w art. 55 ust. 2a uprawnienie dla podmiotu certyfikującego w postaci możliwości przyjęcia wskazanego w tym przepisie zgłoszenia po upływie terminu stwarza dla tego podmiotu nadmierny luz decyzyjny, który może przejawiać się w nierównym traktowaniu producentów roślin będących w takiej samej </w:t>
      </w:r>
      <w:r>
        <w:lastRenderedPageBreak/>
        <w:t>sytuacji. To bowiem wyłącznie od decyzji podmiotu certyfikującego będzie zależeć, czy wniesione po terminie przez producenta roślin zgłoszenie zostanie przyjęte, również w sytuacji gdy nie wpłynie to na możliwość sprawdzenia spełnienia przez tego producenta wymagań i przeprowadzenie kontroli, o których mowa wyżej. Takie rozwiązanie budziłoby wątpliwości w kontekście wywodzonej z art. 2 Konstytucji zasady sprawiedliwości społecznej i zasady zaufania do państwa i stanowionego przez nie prawa, a także stwarzałoby możliwość powstania sytuacji, w której producenci rolni wbrew konstytucyjnej zasadzie równości wobec prawa (art. 32 ust. 1 Konstytucji) równo traktowani nie będą.</w:t>
      </w:r>
    </w:p>
    <w:p w14:paraId="5F449C60" w14:textId="4A99FE15" w:rsidR="008A71C2" w:rsidRPr="00737F6A" w:rsidRDefault="008A71C2" w:rsidP="00A054FD">
      <w:pPr>
        <w:pStyle w:val="POPIERAJCYPOPRAWKZAMIESZCZONWZESTAWIENIUWNIOSKW"/>
      </w:pPr>
    </w:p>
    <w:sectPr w:rsidR="008A71C2" w:rsidRPr="00737F6A" w:rsidSect="008A71C2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BB8A" w14:textId="77777777" w:rsidR="00CB03BC" w:rsidRDefault="00CB03BC">
      <w:r>
        <w:separator/>
      </w:r>
    </w:p>
  </w:endnote>
  <w:endnote w:type="continuationSeparator" w:id="0">
    <w:p w14:paraId="74067B87" w14:textId="77777777" w:rsidR="00CB03BC" w:rsidRDefault="00CB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E45F" w14:textId="77777777" w:rsidR="00CB03BC" w:rsidRDefault="00CB03BC">
      <w:r>
        <w:separator/>
      </w:r>
    </w:p>
  </w:footnote>
  <w:footnote w:type="continuationSeparator" w:id="0">
    <w:p w14:paraId="3BBBCEA5" w14:textId="77777777" w:rsidR="00CB03BC" w:rsidRDefault="00CB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6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8FB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71C2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15CB"/>
    <w:rsid w:val="0000246E"/>
    <w:rsid w:val="00003862"/>
    <w:rsid w:val="00012A35"/>
    <w:rsid w:val="0001539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3A73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4D5E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9C"/>
    <w:rsid w:val="00125C9D"/>
    <w:rsid w:val="001270A2"/>
    <w:rsid w:val="00131237"/>
    <w:rsid w:val="001329AC"/>
    <w:rsid w:val="00134CA0"/>
    <w:rsid w:val="0014026F"/>
    <w:rsid w:val="00145046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29"/>
    <w:rsid w:val="002441CD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18D2"/>
    <w:rsid w:val="0029405D"/>
    <w:rsid w:val="00294FA6"/>
    <w:rsid w:val="00295A6F"/>
    <w:rsid w:val="0029760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20EE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48A"/>
    <w:rsid w:val="003D3867"/>
    <w:rsid w:val="003E0D1A"/>
    <w:rsid w:val="003E2DA3"/>
    <w:rsid w:val="003E5C6F"/>
    <w:rsid w:val="003F020D"/>
    <w:rsid w:val="003F032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3EEE"/>
    <w:rsid w:val="00474E3C"/>
    <w:rsid w:val="00480A58"/>
    <w:rsid w:val="00482151"/>
    <w:rsid w:val="00485FAD"/>
    <w:rsid w:val="00487AED"/>
    <w:rsid w:val="00487B82"/>
    <w:rsid w:val="00491EDF"/>
    <w:rsid w:val="00492A3F"/>
    <w:rsid w:val="00494F62"/>
    <w:rsid w:val="004A2001"/>
    <w:rsid w:val="004A3590"/>
    <w:rsid w:val="004B00A7"/>
    <w:rsid w:val="004B20B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52C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26DFC"/>
    <w:rsid w:val="00526F43"/>
    <w:rsid w:val="00527651"/>
    <w:rsid w:val="005363AB"/>
    <w:rsid w:val="00544EF4"/>
    <w:rsid w:val="00545E53"/>
    <w:rsid w:val="005479D9"/>
    <w:rsid w:val="0055419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B8F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333DA"/>
    <w:rsid w:val="00635134"/>
    <w:rsid w:val="006356E2"/>
    <w:rsid w:val="00642A65"/>
    <w:rsid w:val="00643B8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BB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A4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12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952"/>
    <w:rsid w:val="008920FF"/>
    <w:rsid w:val="008926E8"/>
    <w:rsid w:val="00894F19"/>
    <w:rsid w:val="00896A10"/>
    <w:rsid w:val="008971B5"/>
    <w:rsid w:val="008A152A"/>
    <w:rsid w:val="008A5D26"/>
    <w:rsid w:val="008A6B13"/>
    <w:rsid w:val="008A6ECB"/>
    <w:rsid w:val="008A71C2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84E03"/>
    <w:rsid w:val="00987E85"/>
    <w:rsid w:val="009931D3"/>
    <w:rsid w:val="009A0D12"/>
    <w:rsid w:val="009A1987"/>
    <w:rsid w:val="009A2BEE"/>
    <w:rsid w:val="009A5289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234D"/>
    <w:rsid w:val="009C328C"/>
    <w:rsid w:val="009C4444"/>
    <w:rsid w:val="009C4C46"/>
    <w:rsid w:val="009C79AD"/>
    <w:rsid w:val="009C7CA6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4AA6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DF5"/>
    <w:rsid w:val="00B006E5"/>
    <w:rsid w:val="00B024C2"/>
    <w:rsid w:val="00B07700"/>
    <w:rsid w:val="00B11193"/>
    <w:rsid w:val="00B13921"/>
    <w:rsid w:val="00B1528C"/>
    <w:rsid w:val="00B16ACD"/>
    <w:rsid w:val="00B21487"/>
    <w:rsid w:val="00B232D1"/>
    <w:rsid w:val="00B23E32"/>
    <w:rsid w:val="00B2463C"/>
    <w:rsid w:val="00B24DB5"/>
    <w:rsid w:val="00B276D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976"/>
    <w:rsid w:val="00B640EE"/>
    <w:rsid w:val="00B642FC"/>
    <w:rsid w:val="00B64D26"/>
    <w:rsid w:val="00B64FBB"/>
    <w:rsid w:val="00B70E22"/>
    <w:rsid w:val="00B75231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14C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CA3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03B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5290"/>
    <w:rsid w:val="00D5761C"/>
    <w:rsid w:val="00D57791"/>
    <w:rsid w:val="00D6046A"/>
    <w:rsid w:val="00D62870"/>
    <w:rsid w:val="00D62C5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4B6"/>
    <w:rsid w:val="00E24728"/>
    <w:rsid w:val="00E272DB"/>
    <w:rsid w:val="00E276AC"/>
    <w:rsid w:val="00E34A35"/>
    <w:rsid w:val="00E37C2F"/>
    <w:rsid w:val="00E41C28"/>
    <w:rsid w:val="00E46308"/>
    <w:rsid w:val="00E51E17"/>
    <w:rsid w:val="00E52DAB"/>
    <w:rsid w:val="00E539B0"/>
    <w:rsid w:val="00E553E4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8C5"/>
    <w:rsid w:val="00ED6961"/>
    <w:rsid w:val="00EF0B96"/>
    <w:rsid w:val="00EF3486"/>
    <w:rsid w:val="00EF47AF"/>
    <w:rsid w:val="00EF53B6"/>
    <w:rsid w:val="00F00B73"/>
    <w:rsid w:val="00F01B42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BB6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E508"/>
  <w15:docId w15:val="{D28014E2-B874-407E-B670-570A281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C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1306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2012-04-23T06:39:00Z</cp:lastPrinted>
  <dcterms:created xsi:type="dcterms:W3CDTF">2025-10-29T14:19:00Z</dcterms:created>
  <dcterms:modified xsi:type="dcterms:W3CDTF">2025-10-30T07:14:00Z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