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8A85C" w14:textId="77777777" w:rsidR="00FE2379" w:rsidRPr="00281351" w:rsidRDefault="00FE2379" w:rsidP="00281351">
      <w:pPr>
        <w:spacing w:after="240" w:line="360" w:lineRule="auto"/>
        <w:jc w:val="center"/>
        <w:rPr>
          <w:rFonts w:ascii="Times New Roman" w:eastAsia="Times New Roman" w:hAnsi="Times New Roman" w:cs="Times New Roman"/>
          <w:sz w:val="24"/>
          <w:szCs w:val="24"/>
          <w:lang w:eastAsia="pl-PL"/>
        </w:rPr>
      </w:pPr>
      <w:r w:rsidRPr="00281351">
        <w:rPr>
          <w:rFonts w:ascii="Times New Roman" w:eastAsia="Times New Roman" w:hAnsi="Times New Roman" w:cs="Times New Roman"/>
          <w:spacing w:val="20"/>
          <w:sz w:val="24"/>
          <w:szCs w:val="24"/>
          <w:lang w:eastAsia="pl-PL"/>
        </w:rPr>
        <w:t>UZASADNIENIE</w:t>
      </w:r>
    </w:p>
    <w:p w14:paraId="2DDFC172" w14:textId="386F93D7" w:rsidR="00FE2379" w:rsidRPr="00FE2379" w:rsidRDefault="00FE2379" w:rsidP="00281351">
      <w:pPr>
        <w:tabs>
          <w:tab w:val="left" w:pos="426"/>
        </w:tabs>
        <w:spacing w:before="120" w:after="0" w:line="360" w:lineRule="auto"/>
        <w:rPr>
          <w:rFonts w:ascii="Times New Roman" w:eastAsia="Times New Roman" w:hAnsi="Times New Roman" w:cs="Times New Roman"/>
          <w:b/>
          <w:sz w:val="24"/>
          <w:szCs w:val="24"/>
          <w:lang w:eastAsia="pl-PL"/>
        </w:rPr>
      </w:pPr>
      <w:r w:rsidRPr="00FE2379">
        <w:rPr>
          <w:rFonts w:ascii="Times New Roman" w:eastAsia="Times New Roman" w:hAnsi="Times New Roman" w:cs="Times New Roman"/>
          <w:b/>
          <w:sz w:val="24"/>
          <w:szCs w:val="24"/>
          <w:lang w:eastAsia="pl-PL"/>
        </w:rPr>
        <w:t>1.</w:t>
      </w:r>
      <w:r>
        <w:rPr>
          <w:rFonts w:ascii="Times New Roman" w:eastAsia="Times New Roman" w:hAnsi="Times New Roman" w:cs="Times New Roman"/>
          <w:b/>
          <w:sz w:val="24"/>
          <w:szCs w:val="24"/>
          <w:lang w:eastAsia="pl-PL"/>
        </w:rPr>
        <w:tab/>
      </w:r>
      <w:r w:rsidRPr="00FE2379">
        <w:rPr>
          <w:rFonts w:ascii="Times New Roman" w:eastAsia="Times New Roman" w:hAnsi="Times New Roman" w:cs="Times New Roman"/>
          <w:b/>
          <w:sz w:val="24"/>
          <w:szCs w:val="24"/>
          <w:lang w:eastAsia="pl-PL"/>
        </w:rPr>
        <w:t>Potrzeba i cel związania Rzeczypospolitej Polskiej Umową</w:t>
      </w:r>
      <w:r w:rsidR="003E6ED9">
        <w:rPr>
          <w:rFonts w:ascii="Times New Roman" w:eastAsia="Times New Roman" w:hAnsi="Times New Roman" w:cs="Times New Roman"/>
          <w:b/>
          <w:sz w:val="24"/>
          <w:szCs w:val="24"/>
          <w:lang w:eastAsia="pl-PL"/>
        </w:rPr>
        <w:t>.</w:t>
      </w:r>
    </w:p>
    <w:p w14:paraId="1754BC90" w14:textId="070F6F66" w:rsidR="00FE2379" w:rsidRPr="00FE2379" w:rsidRDefault="00FE2379" w:rsidP="00281351">
      <w:pPr>
        <w:spacing w:before="120" w:after="0" w:line="360" w:lineRule="auto"/>
        <w:jc w:val="both"/>
        <w:rPr>
          <w:rFonts w:ascii="Times New Roman" w:eastAsia="Times New Roman" w:hAnsi="Times New Roman" w:cs="Times New Roman"/>
          <w:sz w:val="24"/>
          <w:szCs w:val="24"/>
        </w:rPr>
      </w:pPr>
      <w:r w:rsidRPr="00FE2379">
        <w:rPr>
          <w:rFonts w:ascii="Times New Roman" w:eastAsia="Calibri" w:hAnsi="Times New Roman" w:cs="Times New Roman"/>
          <w:sz w:val="24"/>
          <w:szCs w:val="24"/>
        </w:rPr>
        <w:t xml:space="preserve">Singapur jest jednym z najbardziej rozwiniętych państw świata. Według danych Międzynarodowego Funduszu Walutowego za pierwszy kwartał 2024 r. Singapur znajduje się na piątym miejscu w rankingu państw o najwyższym PKB </w:t>
      </w:r>
      <w:r w:rsidRPr="00FE2379">
        <w:rPr>
          <w:rFonts w:ascii="Times New Roman" w:eastAsia="Calibri" w:hAnsi="Times New Roman" w:cs="Times New Roman"/>
          <w:i/>
          <w:sz w:val="24"/>
          <w:szCs w:val="24"/>
        </w:rPr>
        <w:t>per capita</w:t>
      </w:r>
      <w:r w:rsidRPr="00FE2379">
        <w:rPr>
          <w:rFonts w:ascii="Times New Roman" w:eastAsia="Calibri" w:hAnsi="Times New Roman" w:cs="Times New Roman"/>
          <w:sz w:val="24"/>
          <w:szCs w:val="24"/>
        </w:rPr>
        <w:t xml:space="preserve"> na świecie. W 2023 r. Singapur był 2. co do wielkości partnerem handlowym Unii Europejskiej (dalej jako „UE”) w ASEAN. Wartość handlu towarami między UE a Singapurem wyniosła 52,6 mld </w:t>
      </w:r>
      <w:proofErr w:type="spellStart"/>
      <w:r w:rsidRPr="00FE2379">
        <w:rPr>
          <w:rFonts w:ascii="Times New Roman" w:eastAsia="Calibri" w:hAnsi="Times New Roman" w:cs="Times New Roman"/>
          <w:sz w:val="24"/>
          <w:szCs w:val="24"/>
        </w:rPr>
        <w:t>EUR</w:t>
      </w:r>
      <w:proofErr w:type="spellEnd"/>
      <w:r w:rsidRPr="00FE2379">
        <w:rPr>
          <w:rFonts w:ascii="Times New Roman" w:eastAsia="Calibri" w:hAnsi="Times New Roman" w:cs="Times New Roman"/>
          <w:sz w:val="24"/>
          <w:szCs w:val="24"/>
        </w:rPr>
        <w:t xml:space="preserve"> (eksport 32,2 mld </w:t>
      </w:r>
      <w:proofErr w:type="spellStart"/>
      <w:r w:rsidRPr="00FE2379">
        <w:rPr>
          <w:rFonts w:ascii="Times New Roman" w:eastAsia="Calibri" w:hAnsi="Times New Roman" w:cs="Times New Roman"/>
          <w:sz w:val="24"/>
          <w:szCs w:val="24"/>
        </w:rPr>
        <w:t>EUR</w:t>
      </w:r>
      <w:proofErr w:type="spellEnd"/>
      <w:r w:rsidRPr="00FE2379">
        <w:rPr>
          <w:rFonts w:ascii="Times New Roman" w:eastAsia="Calibri" w:hAnsi="Times New Roman" w:cs="Times New Roman"/>
          <w:sz w:val="24"/>
          <w:szCs w:val="24"/>
        </w:rPr>
        <w:t xml:space="preserve">, import 20,4 mld </w:t>
      </w:r>
      <w:proofErr w:type="spellStart"/>
      <w:r w:rsidRPr="00FE2379">
        <w:rPr>
          <w:rFonts w:ascii="Times New Roman" w:eastAsia="Calibri" w:hAnsi="Times New Roman" w:cs="Times New Roman"/>
          <w:sz w:val="24"/>
          <w:szCs w:val="24"/>
        </w:rPr>
        <w:t>EUR</w:t>
      </w:r>
      <w:proofErr w:type="spellEnd"/>
      <w:r w:rsidRPr="00FE2379">
        <w:rPr>
          <w:rFonts w:ascii="Times New Roman" w:eastAsia="Calibri" w:hAnsi="Times New Roman" w:cs="Times New Roman"/>
          <w:sz w:val="24"/>
          <w:szCs w:val="24"/>
        </w:rPr>
        <w:t xml:space="preserve">). </w:t>
      </w:r>
      <w:r w:rsidRPr="00FE2379">
        <w:rPr>
          <w:rFonts w:ascii="Times New Roman" w:eastAsia="Times New Roman" w:hAnsi="Times New Roman" w:cs="Times New Roman"/>
          <w:sz w:val="24"/>
          <w:szCs w:val="24"/>
        </w:rPr>
        <w:t xml:space="preserve">Dla porównania w 2022 r. wymiana handlowa wyniosła 52,5 mld </w:t>
      </w:r>
      <w:proofErr w:type="spellStart"/>
      <w:r w:rsidRPr="00FE2379">
        <w:rPr>
          <w:rFonts w:ascii="Times New Roman" w:eastAsia="Times New Roman" w:hAnsi="Times New Roman" w:cs="Times New Roman"/>
          <w:sz w:val="24"/>
          <w:szCs w:val="24"/>
        </w:rPr>
        <w:t>EUR</w:t>
      </w:r>
      <w:proofErr w:type="spellEnd"/>
      <w:r w:rsidRPr="00FE2379">
        <w:rPr>
          <w:rFonts w:ascii="Times New Roman" w:eastAsia="Times New Roman" w:hAnsi="Times New Roman" w:cs="Times New Roman"/>
          <w:sz w:val="24"/>
          <w:szCs w:val="24"/>
        </w:rPr>
        <w:t xml:space="preserve">, a handel usługami 77,5 mld </w:t>
      </w:r>
      <w:proofErr w:type="spellStart"/>
      <w:r w:rsidRPr="00FE2379">
        <w:rPr>
          <w:rFonts w:ascii="Times New Roman" w:eastAsia="Times New Roman" w:hAnsi="Times New Roman" w:cs="Times New Roman"/>
          <w:sz w:val="24"/>
          <w:szCs w:val="24"/>
        </w:rPr>
        <w:t>EUR</w:t>
      </w:r>
      <w:proofErr w:type="spellEnd"/>
      <w:r w:rsidRPr="00FE2379">
        <w:rPr>
          <w:rFonts w:ascii="Times New Roman" w:eastAsia="Times New Roman" w:hAnsi="Times New Roman" w:cs="Times New Roman"/>
          <w:sz w:val="24"/>
          <w:szCs w:val="24"/>
        </w:rPr>
        <w:t xml:space="preserve">, co razem dało 130 mld </w:t>
      </w:r>
      <w:proofErr w:type="spellStart"/>
      <w:r w:rsidRPr="00FE2379">
        <w:rPr>
          <w:rFonts w:ascii="Times New Roman" w:eastAsia="Times New Roman" w:hAnsi="Times New Roman" w:cs="Times New Roman"/>
          <w:sz w:val="24"/>
          <w:szCs w:val="24"/>
        </w:rPr>
        <w:t>EUR</w:t>
      </w:r>
      <w:proofErr w:type="spellEnd"/>
      <w:r w:rsidRPr="00FE2379">
        <w:rPr>
          <w:rFonts w:ascii="Times New Roman" w:eastAsia="Times New Roman" w:hAnsi="Times New Roman" w:cs="Times New Roman"/>
          <w:sz w:val="24"/>
          <w:szCs w:val="24"/>
        </w:rPr>
        <w:t>, dając Singapurowi 11. miejsce wśród partnerów UE.</w:t>
      </w:r>
    </w:p>
    <w:p w14:paraId="3103C37D" w14:textId="054F96D7" w:rsidR="00FE2379" w:rsidRPr="00FE2379" w:rsidRDefault="00FE2379" w:rsidP="00281351">
      <w:pPr>
        <w:spacing w:before="120" w:after="0" w:line="360" w:lineRule="auto"/>
        <w:jc w:val="both"/>
        <w:rPr>
          <w:rFonts w:ascii="Times New Roman" w:eastAsia="Times New Roman" w:hAnsi="Times New Roman" w:cs="Times New Roman"/>
          <w:b/>
          <w:i/>
          <w:sz w:val="24"/>
          <w:szCs w:val="24"/>
          <w:lang w:eastAsia="pl-PL"/>
        </w:rPr>
      </w:pPr>
      <w:r w:rsidRPr="00FE2379">
        <w:rPr>
          <w:rFonts w:ascii="Times New Roman" w:eastAsia="Calibri" w:hAnsi="Times New Roman" w:cs="Times New Roman"/>
          <w:sz w:val="24"/>
          <w:szCs w:val="24"/>
        </w:rPr>
        <w:t>W ostatnim opublikowanym przez Bank Światowy zestawieniu</w:t>
      </w:r>
      <w:r w:rsidRPr="00FE2379">
        <w:rPr>
          <w:rFonts w:ascii="Times New Roman" w:eastAsia="Calibri" w:hAnsi="Times New Roman" w:cs="Times New Roman"/>
          <w:i/>
          <w:sz w:val="24"/>
          <w:szCs w:val="24"/>
        </w:rPr>
        <w:t xml:space="preserve"> </w:t>
      </w:r>
      <w:proofErr w:type="spellStart"/>
      <w:r w:rsidRPr="00FE2379">
        <w:rPr>
          <w:rFonts w:ascii="Times New Roman" w:eastAsia="Calibri" w:hAnsi="Times New Roman" w:cs="Times New Roman"/>
          <w:i/>
          <w:sz w:val="24"/>
          <w:szCs w:val="24"/>
        </w:rPr>
        <w:t>Doing</w:t>
      </w:r>
      <w:proofErr w:type="spellEnd"/>
      <w:r w:rsidRPr="00FE2379">
        <w:rPr>
          <w:rFonts w:ascii="Times New Roman" w:eastAsia="Calibri" w:hAnsi="Times New Roman" w:cs="Times New Roman"/>
          <w:i/>
          <w:sz w:val="24"/>
          <w:szCs w:val="24"/>
        </w:rPr>
        <w:t xml:space="preserve"> business index</w:t>
      </w:r>
      <w:r w:rsidRPr="00FE2379">
        <w:rPr>
          <w:rFonts w:ascii="Times New Roman" w:eastAsia="Calibri" w:hAnsi="Times New Roman" w:cs="Times New Roman"/>
          <w:sz w:val="24"/>
          <w:szCs w:val="24"/>
        </w:rPr>
        <w:t xml:space="preserve">, w 2020 r. Singapur pod względem warunków sprzyjających prowadzeniu działalności gospodarczej zajmował 2. miejsce wśród 190 ujętych w rankingu gospodarek świata. </w:t>
      </w:r>
      <w:r w:rsidRPr="00FE2379">
        <w:rPr>
          <w:rFonts w:ascii="Times New Roman" w:eastAsia="Times New Roman" w:hAnsi="Times New Roman" w:cs="Times New Roman"/>
          <w:sz w:val="24"/>
          <w:szCs w:val="24"/>
          <w:lang w:eastAsia="pl-PL"/>
        </w:rPr>
        <w:t>Z kolei w rankingu konkurencyjności „</w:t>
      </w:r>
      <w:r w:rsidRPr="00FE2379">
        <w:rPr>
          <w:rFonts w:ascii="Times New Roman" w:eastAsia="Times New Roman" w:hAnsi="Times New Roman" w:cs="Times New Roman"/>
          <w:bCs/>
          <w:sz w:val="24"/>
          <w:szCs w:val="24"/>
          <w:lang w:eastAsia="pl-PL"/>
        </w:rPr>
        <w:t xml:space="preserve">The </w:t>
      </w:r>
      <w:proofErr w:type="spellStart"/>
      <w:r w:rsidRPr="00FE2379">
        <w:rPr>
          <w:rFonts w:ascii="Times New Roman" w:eastAsia="Times New Roman" w:hAnsi="Times New Roman" w:cs="Times New Roman"/>
          <w:bCs/>
          <w:sz w:val="24"/>
          <w:szCs w:val="24"/>
          <w:lang w:eastAsia="pl-PL"/>
        </w:rPr>
        <w:t>IMD</w:t>
      </w:r>
      <w:proofErr w:type="spellEnd"/>
      <w:r w:rsidRPr="00FE2379">
        <w:rPr>
          <w:rFonts w:ascii="Times New Roman" w:eastAsia="Times New Roman" w:hAnsi="Times New Roman" w:cs="Times New Roman"/>
          <w:sz w:val="24"/>
          <w:szCs w:val="24"/>
          <w:lang w:eastAsia="pl-PL"/>
        </w:rPr>
        <w:t xml:space="preserve"> </w:t>
      </w:r>
      <w:r w:rsidRPr="00FE2379">
        <w:rPr>
          <w:rFonts w:ascii="Times New Roman" w:eastAsia="Times New Roman" w:hAnsi="Times New Roman" w:cs="Times New Roman"/>
          <w:i/>
          <w:sz w:val="24"/>
          <w:szCs w:val="24"/>
          <w:lang w:eastAsia="pl-PL"/>
        </w:rPr>
        <w:t xml:space="preserve">World </w:t>
      </w:r>
      <w:proofErr w:type="spellStart"/>
      <w:r w:rsidRPr="00FE2379">
        <w:rPr>
          <w:rFonts w:ascii="Times New Roman" w:eastAsia="Times New Roman" w:hAnsi="Times New Roman" w:cs="Times New Roman"/>
          <w:i/>
          <w:sz w:val="24"/>
          <w:szCs w:val="24"/>
          <w:lang w:eastAsia="pl-PL"/>
        </w:rPr>
        <w:t>Competitive</w:t>
      </w:r>
      <w:r w:rsidR="00075182">
        <w:rPr>
          <w:rFonts w:ascii="Times New Roman" w:eastAsia="Times New Roman" w:hAnsi="Times New Roman" w:cs="Times New Roman"/>
          <w:i/>
          <w:sz w:val="24"/>
          <w:szCs w:val="24"/>
          <w:lang w:eastAsia="pl-PL"/>
        </w:rPr>
        <w:t>ne</w:t>
      </w:r>
      <w:r w:rsidRPr="00FE2379">
        <w:rPr>
          <w:rFonts w:ascii="Times New Roman" w:eastAsia="Times New Roman" w:hAnsi="Times New Roman" w:cs="Times New Roman"/>
          <w:i/>
          <w:sz w:val="24"/>
          <w:szCs w:val="24"/>
          <w:lang w:eastAsia="pl-PL"/>
        </w:rPr>
        <w:t>ss</w:t>
      </w:r>
      <w:proofErr w:type="spellEnd"/>
      <w:r w:rsidRPr="00FE2379">
        <w:rPr>
          <w:rFonts w:ascii="Times New Roman" w:eastAsia="Times New Roman" w:hAnsi="Times New Roman" w:cs="Times New Roman"/>
          <w:i/>
          <w:sz w:val="24"/>
          <w:szCs w:val="24"/>
          <w:lang w:eastAsia="pl-PL"/>
        </w:rPr>
        <w:t xml:space="preserve"> Ranking</w:t>
      </w:r>
      <w:r w:rsidRPr="00281351">
        <w:rPr>
          <w:rFonts w:ascii="Times New Roman" w:eastAsia="Times New Roman" w:hAnsi="Times New Roman" w:cs="Times New Roman"/>
          <w:iCs/>
          <w:sz w:val="24"/>
          <w:szCs w:val="24"/>
          <w:lang w:eastAsia="pl-PL"/>
        </w:rPr>
        <w:t>”</w:t>
      </w:r>
      <w:r w:rsidRPr="00FE2379">
        <w:rPr>
          <w:rFonts w:ascii="Times New Roman" w:eastAsia="Times New Roman" w:hAnsi="Times New Roman" w:cs="Times New Roman"/>
          <w:b/>
          <w:i/>
          <w:sz w:val="24"/>
          <w:szCs w:val="24"/>
          <w:lang w:eastAsia="pl-PL"/>
        </w:rPr>
        <w:t xml:space="preserve"> </w:t>
      </w:r>
      <w:r w:rsidRPr="00FE2379">
        <w:rPr>
          <w:rFonts w:ascii="Times New Roman" w:eastAsia="Times New Roman" w:hAnsi="Times New Roman" w:cs="Times New Roman"/>
          <w:bCs/>
          <w:iCs/>
          <w:sz w:val="24"/>
          <w:szCs w:val="24"/>
          <w:lang w:eastAsia="pl-PL"/>
        </w:rPr>
        <w:t>w 2024 r. przyznano Singapurowi 1. miejsce (wcześniej, w 2023 r.</w:t>
      </w:r>
      <w:r w:rsidR="003E6ED9">
        <w:rPr>
          <w:rFonts w:ascii="Times New Roman" w:eastAsia="Times New Roman" w:hAnsi="Times New Roman" w:cs="Times New Roman"/>
          <w:bCs/>
          <w:iCs/>
          <w:sz w:val="24"/>
          <w:szCs w:val="24"/>
          <w:lang w:eastAsia="pl-PL"/>
        </w:rPr>
        <w:t>,</w:t>
      </w:r>
      <w:r w:rsidRPr="00FE2379">
        <w:rPr>
          <w:rFonts w:ascii="Times New Roman" w:eastAsia="Times New Roman" w:hAnsi="Times New Roman" w:cs="Times New Roman"/>
          <w:bCs/>
          <w:iCs/>
          <w:sz w:val="24"/>
          <w:szCs w:val="24"/>
          <w:lang w:eastAsia="pl-PL"/>
        </w:rPr>
        <w:t xml:space="preserve"> było to miejsce 4., a w 2022 r. miejsce 3.).</w:t>
      </w:r>
      <w:r w:rsidRPr="00FE2379">
        <w:rPr>
          <w:rFonts w:ascii="Times New Roman" w:eastAsia="Times New Roman" w:hAnsi="Times New Roman" w:cs="Times New Roman"/>
          <w:b/>
          <w:i/>
          <w:sz w:val="24"/>
          <w:szCs w:val="24"/>
          <w:lang w:eastAsia="pl-PL"/>
        </w:rPr>
        <w:t xml:space="preserve"> </w:t>
      </w:r>
    </w:p>
    <w:p w14:paraId="62B8C607" w14:textId="76316269" w:rsidR="00FE2379" w:rsidRPr="00FE2379" w:rsidRDefault="00FE2379" w:rsidP="00281351">
      <w:pPr>
        <w:spacing w:before="120" w:after="0" w:line="360" w:lineRule="auto"/>
        <w:jc w:val="both"/>
        <w:rPr>
          <w:rFonts w:ascii="Times New Roman" w:eastAsia="Times New Roman" w:hAnsi="Times New Roman" w:cs="Times New Roman"/>
          <w:color w:val="000000"/>
          <w:sz w:val="24"/>
          <w:szCs w:val="24"/>
          <w:lang w:eastAsia="pl-PL"/>
        </w:rPr>
      </w:pPr>
      <w:r w:rsidRPr="00FE2379">
        <w:rPr>
          <w:rFonts w:ascii="Times New Roman" w:eastAsia="Calibri" w:hAnsi="Times New Roman" w:cs="Times New Roman"/>
          <w:color w:val="000000"/>
          <w:sz w:val="24"/>
          <w:szCs w:val="24"/>
        </w:rPr>
        <w:t xml:space="preserve">W efekcie Singapur jest miejscem wielu inwestycji zagranicznych i </w:t>
      </w:r>
      <w:r w:rsidRPr="00FE2379">
        <w:rPr>
          <w:rFonts w:ascii="Times New Roman" w:eastAsia="Aptos" w:hAnsi="Times New Roman" w:cs="Times New Roman"/>
          <w:color w:val="000000"/>
          <w:sz w:val="24"/>
          <w:szCs w:val="24"/>
        </w:rPr>
        <w:t>ponad 10</w:t>
      </w:r>
      <w:r w:rsidR="003E6ED9">
        <w:rPr>
          <w:rFonts w:ascii="Times New Roman" w:eastAsia="Aptos" w:hAnsi="Times New Roman" w:cs="Times New Roman"/>
          <w:color w:val="000000"/>
          <w:sz w:val="24"/>
          <w:szCs w:val="24"/>
        </w:rPr>
        <w:t> </w:t>
      </w:r>
      <w:r w:rsidRPr="00FE2379">
        <w:rPr>
          <w:rFonts w:ascii="Times New Roman" w:eastAsia="Aptos" w:hAnsi="Times New Roman" w:cs="Times New Roman"/>
          <w:color w:val="000000"/>
          <w:sz w:val="24"/>
          <w:szCs w:val="24"/>
        </w:rPr>
        <w:t>000 firm europejskich posiada tam swoje oddziały lub przedstawicielstwa.</w:t>
      </w:r>
      <w:r w:rsidRPr="00FE2379">
        <w:rPr>
          <w:rFonts w:ascii="Times New Roman" w:eastAsia="Calibri" w:hAnsi="Times New Roman" w:cs="Times New Roman"/>
          <w:color w:val="000000"/>
          <w:sz w:val="24"/>
          <w:szCs w:val="24"/>
        </w:rPr>
        <w:t xml:space="preserve"> W 2022 r. wartość bezpośrednich inwestycji zagranicznych UE w Singapurze sięgnęła 293,3 mld </w:t>
      </w:r>
      <w:proofErr w:type="spellStart"/>
      <w:r w:rsidRPr="00FE2379">
        <w:rPr>
          <w:rFonts w:ascii="Times New Roman" w:eastAsia="Calibri" w:hAnsi="Times New Roman" w:cs="Times New Roman"/>
          <w:color w:val="000000"/>
          <w:sz w:val="24"/>
          <w:szCs w:val="24"/>
        </w:rPr>
        <w:t>EUR</w:t>
      </w:r>
      <w:proofErr w:type="spellEnd"/>
      <w:r w:rsidRPr="00FE2379">
        <w:rPr>
          <w:rFonts w:ascii="Times New Roman" w:eastAsia="Calibri" w:hAnsi="Times New Roman" w:cs="Times New Roman"/>
          <w:color w:val="000000"/>
          <w:sz w:val="24"/>
          <w:szCs w:val="24"/>
        </w:rPr>
        <w:t xml:space="preserve">. Singapur jest bowiem głównym odbiorcą europejskich inwestycji w Azji i 2. co do wielkości inwestorem azjatyckim w UE. Z kolei wartość inwestycji singapurskich w UE na koniec 2022 r. wyniosła 206 mld </w:t>
      </w:r>
      <w:proofErr w:type="spellStart"/>
      <w:r w:rsidRPr="00FE2379">
        <w:rPr>
          <w:rFonts w:ascii="Times New Roman" w:eastAsia="Calibri" w:hAnsi="Times New Roman" w:cs="Times New Roman"/>
          <w:color w:val="000000"/>
          <w:sz w:val="24"/>
          <w:szCs w:val="24"/>
        </w:rPr>
        <w:t>EUR</w:t>
      </w:r>
      <w:proofErr w:type="spellEnd"/>
      <w:r w:rsidRPr="00FE2379">
        <w:rPr>
          <w:rFonts w:ascii="Times New Roman" w:eastAsia="Calibri" w:hAnsi="Times New Roman" w:cs="Times New Roman"/>
          <w:color w:val="000000"/>
          <w:sz w:val="24"/>
          <w:szCs w:val="24"/>
        </w:rPr>
        <w:t xml:space="preserve">. Dane NBP dotyczące bezpośrednich inwestycji zagranicznych wskazują, że wartość skumulowanych singapurskich inwestycji bezpośrednich na koniec 2022 r. w Polsce wyniosła 263 mln </w:t>
      </w:r>
      <w:proofErr w:type="spellStart"/>
      <w:r w:rsidRPr="00FE2379">
        <w:rPr>
          <w:rFonts w:ascii="Times New Roman" w:eastAsia="Calibri" w:hAnsi="Times New Roman" w:cs="Times New Roman"/>
          <w:color w:val="000000"/>
          <w:sz w:val="24"/>
          <w:szCs w:val="24"/>
        </w:rPr>
        <w:t>EUR</w:t>
      </w:r>
      <w:proofErr w:type="spellEnd"/>
      <w:r w:rsidRPr="00FE2379">
        <w:rPr>
          <w:rFonts w:ascii="Times New Roman" w:eastAsia="Calibri" w:hAnsi="Times New Roman" w:cs="Times New Roman"/>
          <w:color w:val="000000"/>
          <w:sz w:val="24"/>
          <w:szCs w:val="24"/>
        </w:rPr>
        <w:t xml:space="preserve">. </w:t>
      </w:r>
      <w:r w:rsidRPr="00FE2379">
        <w:rPr>
          <w:rFonts w:ascii="Times New Roman" w:eastAsia="Aptos" w:hAnsi="Times New Roman" w:cs="Times New Roman"/>
          <w:color w:val="000000"/>
          <w:sz w:val="24"/>
          <w:szCs w:val="24"/>
        </w:rPr>
        <w:t>Jeśli chodzi o konkretne projekty</w:t>
      </w:r>
      <w:r w:rsidR="003E6ED9">
        <w:rPr>
          <w:rFonts w:ascii="Times New Roman" w:eastAsia="Aptos" w:hAnsi="Times New Roman" w:cs="Times New Roman"/>
          <w:color w:val="000000"/>
          <w:sz w:val="24"/>
          <w:szCs w:val="24"/>
        </w:rPr>
        <w:t>,</w:t>
      </w:r>
      <w:r w:rsidRPr="00FE2379">
        <w:rPr>
          <w:rFonts w:ascii="Times New Roman" w:eastAsia="Aptos" w:hAnsi="Times New Roman" w:cs="Times New Roman"/>
          <w:color w:val="000000"/>
          <w:sz w:val="24"/>
          <w:szCs w:val="24"/>
        </w:rPr>
        <w:t xml:space="preserve"> to w:</w:t>
      </w:r>
    </w:p>
    <w:p w14:paraId="6591E743" w14:textId="595A647C" w:rsidR="00FE2379" w:rsidRPr="00FE2379" w:rsidRDefault="00FE2379" w:rsidP="00281351">
      <w:pPr>
        <w:numPr>
          <w:ilvl w:val="0"/>
          <w:numId w:val="1"/>
        </w:numPr>
        <w:spacing w:after="0" w:line="360" w:lineRule="auto"/>
        <w:ind w:left="426" w:hanging="426"/>
        <w:jc w:val="both"/>
        <w:rPr>
          <w:rFonts w:ascii="Times New Roman" w:eastAsia="Aptos" w:hAnsi="Times New Roman" w:cs="Times New Roman"/>
          <w:b/>
          <w:bCs/>
          <w:color w:val="000000"/>
          <w:sz w:val="24"/>
          <w:szCs w:val="24"/>
        </w:rPr>
      </w:pPr>
      <w:r w:rsidRPr="00FE2379">
        <w:rPr>
          <w:rFonts w:ascii="Times New Roman" w:eastAsia="Aptos" w:hAnsi="Times New Roman" w:cs="Times New Roman"/>
          <w:color w:val="000000"/>
          <w:sz w:val="24"/>
          <w:szCs w:val="24"/>
        </w:rPr>
        <w:t>2024 r.</w:t>
      </w:r>
      <w:r w:rsidR="00075182">
        <w:rPr>
          <w:rFonts w:ascii="Times New Roman" w:eastAsia="Aptos" w:hAnsi="Times New Roman" w:cs="Times New Roman"/>
          <w:color w:val="000000"/>
          <w:sz w:val="24"/>
          <w:szCs w:val="24"/>
        </w:rPr>
        <w:t>:</w:t>
      </w:r>
      <w:r w:rsidRPr="00FE2379">
        <w:rPr>
          <w:rFonts w:ascii="Times New Roman" w:eastAsia="Aptos" w:hAnsi="Times New Roman" w:cs="Times New Roman"/>
          <w:color w:val="000000"/>
          <w:sz w:val="24"/>
          <w:szCs w:val="24"/>
        </w:rPr>
        <w:t xml:space="preserve"> PSA International – udziały (85</w:t>
      </w:r>
      <w:r w:rsidR="003E6ED9">
        <w:rPr>
          <w:rFonts w:ascii="Times New Roman" w:eastAsia="Aptos" w:hAnsi="Times New Roman" w:cs="Times New Roman"/>
          <w:color w:val="000000"/>
          <w:sz w:val="24"/>
          <w:szCs w:val="24"/>
        </w:rPr>
        <w:t xml:space="preserve"> </w:t>
      </w:r>
      <w:r w:rsidRPr="00FE2379">
        <w:rPr>
          <w:rFonts w:ascii="Times New Roman" w:eastAsia="Aptos" w:hAnsi="Times New Roman" w:cs="Times New Roman"/>
          <w:color w:val="000000"/>
          <w:sz w:val="24"/>
          <w:szCs w:val="24"/>
        </w:rPr>
        <w:t xml:space="preserve">%) w polskim operatorze intermodalnym, </w:t>
      </w:r>
    </w:p>
    <w:p w14:paraId="2961E4AF" w14:textId="5782BC18" w:rsidR="00FE2379" w:rsidRPr="00FE2379" w:rsidRDefault="00FE2379" w:rsidP="00281351">
      <w:pPr>
        <w:numPr>
          <w:ilvl w:val="0"/>
          <w:numId w:val="1"/>
        </w:numPr>
        <w:spacing w:after="0" w:line="360" w:lineRule="auto"/>
        <w:ind w:left="426" w:hanging="426"/>
        <w:contextualSpacing/>
        <w:jc w:val="both"/>
        <w:rPr>
          <w:rFonts w:ascii="Times New Roman" w:eastAsia="Times New Roman" w:hAnsi="Times New Roman" w:cs="Times New Roman"/>
          <w:sz w:val="24"/>
          <w:szCs w:val="24"/>
          <w:lang w:eastAsia="pl-PL"/>
        </w:rPr>
      </w:pPr>
      <w:r w:rsidRPr="00FE2379">
        <w:rPr>
          <w:rFonts w:ascii="Times New Roman" w:eastAsia="Times New Roman" w:hAnsi="Times New Roman" w:cs="Times New Roman"/>
          <w:sz w:val="24"/>
          <w:szCs w:val="24"/>
          <w:lang w:eastAsia="pl-PL"/>
        </w:rPr>
        <w:t>2023 r.</w:t>
      </w:r>
      <w:r w:rsidR="00075182">
        <w:rPr>
          <w:rFonts w:ascii="Times New Roman" w:eastAsia="Times New Roman" w:hAnsi="Times New Roman" w:cs="Times New Roman"/>
          <w:sz w:val="24"/>
          <w:szCs w:val="24"/>
          <w:lang w:eastAsia="pl-PL"/>
        </w:rPr>
        <w:t>:</w:t>
      </w:r>
      <w:r w:rsidRPr="00FE2379">
        <w:rPr>
          <w:rFonts w:ascii="Times New Roman" w:eastAsia="Times New Roman" w:hAnsi="Times New Roman" w:cs="Times New Roman"/>
          <w:sz w:val="24"/>
          <w:szCs w:val="24"/>
          <w:lang w:eastAsia="pl-PL"/>
        </w:rPr>
        <w:t xml:space="preserve"> centrum dystrybucyjne marki </w:t>
      </w:r>
      <w:proofErr w:type="spellStart"/>
      <w:r w:rsidRPr="00FE2379">
        <w:rPr>
          <w:rFonts w:ascii="Times New Roman" w:eastAsia="Times New Roman" w:hAnsi="Times New Roman" w:cs="Times New Roman"/>
          <w:sz w:val="24"/>
          <w:szCs w:val="24"/>
          <w:lang w:eastAsia="pl-PL"/>
        </w:rPr>
        <w:t>Shein</w:t>
      </w:r>
      <w:proofErr w:type="spellEnd"/>
      <w:r w:rsidRPr="00FE2379">
        <w:rPr>
          <w:rFonts w:ascii="Times New Roman" w:eastAsia="Times New Roman" w:hAnsi="Times New Roman" w:cs="Times New Roman"/>
          <w:sz w:val="24"/>
          <w:szCs w:val="24"/>
          <w:lang w:eastAsia="pl-PL"/>
        </w:rPr>
        <w:t xml:space="preserve"> we Wrocławiu, </w:t>
      </w:r>
    </w:p>
    <w:p w14:paraId="2B8EE445" w14:textId="4D76C97F" w:rsidR="00FE2379" w:rsidRPr="00FE2379" w:rsidRDefault="00FE2379" w:rsidP="00281351">
      <w:pPr>
        <w:numPr>
          <w:ilvl w:val="0"/>
          <w:numId w:val="1"/>
        </w:numPr>
        <w:spacing w:after="0" w:line="360" w:lineRule="auto"/>
        <w:ind w:left="426" w:hanging="426"/>
        <w:contextualSpacing/>
        <w:jc w:val="both"/>
        <w:rPr>
          <w:rFonts w:ascii="Times New Roman" w:eastAsia="Times New Roman" w:hAnsi="Times New Roman" w:cs="Times New Roman"/>
          <w:sz w:val="24"/>
          <w:szCs w:val="24"/>
          <w:lang w:val="en-US" w:eastAsia="pl-PL"/>
        </w:rPr>
      </w:pPr>
      <w:proofErr w:type="spellStart"/>
      <w:r w:rsidRPr="00FE2379">
        <w:rPr>
          <w:rFonts w:ascii="Times New Roman" w:eastAsia="Times New Roman" w:hAnsi="Times New Roman" w:cs="Times New Roman"/>
          <w:sz w:val="24"/>
          <w:szCs w:val="24"/>
          <w:lang w:val="en-US" w:eastAsia="pl-PL"/>
        </w:rPr>
        <w:t>Flixstock</w:t>
      </w:r>
      <w:proofErr w:type="spellEnd"/>
      <w:r w:rsidRPr="00FE2379">
        <w:rPr>
          <w:rFonts w:ascii="Times New Roman" w:eastAsia="Times New Roman" w:hAnsi="Times New Roman" w:cs="Times New Roman"/>
          <w:sz w:val="24"/>
          <w:szCs w:val="24"/>
          <w:lang w:val="en-US" w:eastAsia="pl-PL"/>
        </w:rPr>
        <w:t xml:space="preserve"> (IT/AI </w:t>
      </w:r>
      <w:r>
        <w:rPr>
          <w:rFonts w:ascii="Times New Roman" w:eastAsia="Times New Roman" w:hAnsi="Times New Roman" w:cs="Times New Roman"/>
          <w:sz w:val="24"/>
          <w:szCs w:val="24"/>
          <w:lang w:val="en-US" w:eastAsia="pl-PL"/>
        </w:rPr>
        <w:t>–</w:t>
      </w:r>
      <w:r w:rsidRPr="00FE2379">
        <w:rPr>
          <w:rFonts w:ascii="Times New Roman" w:eastAsia="Times New Roman" w:hAnsi="Times New Roman" w:cs="Times New Roman"/>
          <w:sz w:val="24"/>
          <w:szCs w:val="24"/>
          <w:lang w:val="en-US" w:eastAsia="pl-PL"/>
        </w:rPr>
        <w:t xml:space="preserve"> </w:t>
      </w:r>
      <w:proofErr w:type="spellStart"/>
      <w:r w:rsidRPr="00FE2379">
        <w:rPr>
          <w:rFonts w:ascii="Times New Roman" w:eastAsia="Times New Roman" w:hAnsi="Times New Roman" w:cs="Times New Roman"/>
          <w:sz w:val="24"/>
          <w:szCs w:val="24"/>
          <w:lang w:val="en-US" w:eastAsia="pl-PL"/>
        </w:rPr>
        <w:t>usługi</w:t>
      </w:r>
      <w:proofErr w:type="spellEnd"/>
      <w:r w:rsidRPr="00FE2379">
        <w:rPr>
          <w:rFonts w:ascii="Times New Roman" w:eastAsia="Times New Roman" w:hAnsi="Times New Roman" w:cs="Times New Roman"/>
          <w:sz w:val="24"/>
          <w:szCs w:val="24"/>
          <w:lang w:val="en-US" w:eastAsia="pl-PL"/>
        </w:rPr>
        <w:t xml:space="preserve"> </w:t>
      </w:r>
      <w:proofErr w:type="spellStart"/>
      <w:r w:rsidRPr="00FE2379">
        <w:rPr>
          <w:rFonts w:ascii="Times New Roman" w:eastAsia="Times New Roman" w:hAnsi="Times New Roman" w:cs="Times New Roman"/>
          <w:sz w:val="24"/>
          <w:szCs w:val="24"/>
          <w:lang w:val="en-US" w:eastAsia="pl-PL"/>
        </w:rPr>
        <w:t>dla</w:t>
      </w:r>
      <w:proofErr w:type="spellEnd"/>
      <w:r w:rsidRPr="00FE2379">
        <w:rPr>
          <w:rFonts w:ascii="Times New Roman" w:eastAsia="Times New Roman" w:hAnsi="Times New Roman" w:cs="Times New Roman"/>
          <w:sz w:val="24"/>
          <w:szCs w:val="24"/>
          <w:lang w:val="en-US" w:eastAsia="pl-PL"/>
        </w:rPr>
        <w:t xml:space="preserve"> </w:t>
      </w:r>
      <w:proofErr w:type="spellStart"/>
      <w:r w:rsidRPr="00FE2379">
        <w:rPr>
          <w:rFonts w:ascii="Times New Roman" w:eastAsia="Times New Roman" w:hAnsi="Times New Roman" w:cs="Times New Roman"/>
          <w:sz w:val="24"/>
          <w:szCs w:val="24"/>
          <w:lang w:val="en-US" w:eastAsia="pl-PL"/>
        </w:rPr>
        <w:t>branży</w:t>
      </w:r>
      <w:proofErr w:type="spellEnd"/>
      <w:r w:rsidRPr="00FE2379">
        <w:rPr>
          <w:rFonts w:ascii="Times New Roman" w:eastAsia="Times New Roman" w:hAnsi="Times New Roman" w:cs="Times New Roman"/>
          <w:sz w:val="24"/>
          <w:szCs w:val="24"/>
          <w:lang w:val="en-US" w:eastAsia="pl-PL"/>
        </w:rPr>
        <w:t xml:space="preserve"> Fashion/Textiles) we </w:t>
      </w:r>
      <w:proofErr w:type="spellStart"/>
      <w:r w:rsidRPr="00FE2379">
        <w:rPr>
          <w:rFonts w:ascii="Times New Roman" w:eastAsia="Times New Roman" w:hAnsi="Times New Roman" w:cs="Times New Roman"/>
          <w:sz w:val="24"/>
          <w:szCs w:val="24"/>
          <w:lang w:val="en-US" w:eastAsia="pl-PL"/>
        </w:rPr>
        <w:t>Wrocławiu</w:t>
      </w:r>
      <w:proofErr w:type="spellEnd"/>
      <w:r w:rsidRPr="00FE2379">
        <w:rPr>
          <w:rFonts w:ascii="Times New Roman" w:eastAsia="Times New Roman" w:hAnsi="Times New Roman" w:cs="Times New Roman"/>
          <w:sz w:val="24"/>
          <w:szCs w:val="24"/>
          <w:lang w:val="en-US" w:eastAsia="pl-PL"/>
        </w:rPr>
        <w:t>,</w:t>
      </w:r>
    </w:p>
    <w:p w14:paraId="23D7E49D" w14:textId="611CF2BD" w:rsidR="00FE2379" w:rsidRPr="00FE2379" w:rsidRDefault="00FE2379" w:rsidP="00281351">
      <w:pPr>
        <w:numPr>
          <w:ilvl w:val="0"/>
          <w:numId w:val="1"/>
        </w:numPr>
        <w:spacing w:after="0" w:line="360" w:lineRule="auto"/>
        <w:ind w:left="426" w:hanging="426"/>
        <w:contextualSpacing/>
        <w:jc w:val="both"/>
        <w:rPr>
          <w:rFonts w:ascii="Times New Roman" w:eastAsia="Times New Roman" w:hAnsi="Times New Roman" w:cs="Times New Roman"/>
          <w:sz w:val="24"/>
          <w:szCs w:val="24"/>
          <w:lang w:eastAsia="pl-PL"/>
        </w:rPr>
      </w:pPr>
      <w:r w:rsidRPr="00FE2379">
        <w:rPr>
          <w:rFonts w:ascii="Times New Roman" w:eastAsia="Times New Roman" w:hAnsi="Times New Roman" w:cs="Times New Roman"/>
          <w:sz w:val="24"/>
          <w:szCs w:val="24"/>
          <w:lang w:eastAsia="pl-PL"/>
        </w:rPr>
        <w:t xml:space="preserve">2021 r.: </w:t>
      </w:r>
      <w:proofErr w:type="spellStart"/>
      <w:r w:rsidRPr="00FE2379">
        <w:rPr>
          <w:rFonts w:ascii="Times New Roman" w:eastAsia="Times New Roman" w:hAnsi="Times New Roman" w:cs="Times New Roman"/>
          <w:sz w:val="24"/>
          <w:szCs w:val="24"/>
          <w:lang w:eastAsia="pl-PL"/>
        </w:rPr>
        <w:t>Dyson</w:t>
      </w:r>
      <w:proofErr w:type="spellEnd"/>
      <w:r w:rsidRPr="00FE2379">
        <w:rPr>
          <w:rFonts w:ascii="Times New Roman" w:eastAsia="Times New Roman" w:hAnsi="Times New Roman" w:cs="Times New Roman"/>
          <w:sz w:val="24"/>
          <w:szCs w:val="24"/>
          <w:lang w:eastAsia="pl-PL"/>
        </w:rPr>
        <w:t xml:space="preserve"> Sp. z o.o.</w:t>
      </w:r>
      <w:r>
        <w:rPr>
          <w:rFonts w:ascii="Times New Roman" w:eastAsia="Times New Roman" w:hAnsi="Times New Roman" w:cs="Times New Roman"/>
          <w:sz w:val="24"/>
          <w:szCs w:val="24"/>
          <w:lang w:eastAsia="pl-PL"/>
        </w:rPr>
        <w:t xml:space="preserve"> –</w:t>
      </w:r>
      <w:r w:rsidRPr="00FE2379">
        <w:rPr>
          <w:rFonts w:ascii="Times New Roman" w:eastAsia="Times New Roman" w:hAnsi="Times New Roman" w:cs="Times New Roman"/>
          <w:sz w:val="24"/>
          <w:szCs w:val="24"/>
          <w:lang w:eastAsia="pl-PL"/>
        </w:rPr>
        <w:t xml:space="preserve"> Software Development Centre w Krakowie, docelowo przewiduje się budowę w Polsce zakładu produkcji systemów przechowywania energii na potrzeby rynku europejskiego,</w:t>
      </w:r>
    </w:p>
    <w:p w14:paraId="2C6A21B2" w14:textId="43C169FF" w:rsidR="00FE2379" w:rsidRPr="00FE2379" w:rsidRDefault="00FE2379" w:rsidP="00281351">
      <w:pPr>
        <w:numPr>
          <w:ilvl w:val="0"/>
          <w:numId w:val="1"/>
        </w:numPr>
        <w:spacing w:after="0" w:line="360" w:lineRule="auto"/>
        <w:ind w:left="426" w:hanging="426"/>
        <w:contextualSpacing/>
        <w:jc w:val="both"/>
        <w:rPr>
          <w:rFonts w:ascii="Times New Roman" w:eastAsia="Times New Roman" w:hAnsi="Times New Roman" w:cs="Times New Roman"/>
          <w:sz w:val="24"/>
          <w:szCs w:val="24"/>
          <w:lang w:eastAsia="pl-PL"/>
        </w:rPr>
      </w:pPr>
      <w:r w:rsidRPr="00FE2379">
        <w:rPr>
          <w:rFonts w:ascii="Times New Roman" w:eastAsia="Times New Roman" w:hAnsi="Times New Roman" w:cs="Times New Roman"/>
          <w:sz w:val="24"/>
          <w:szCs w:val="24"/>
          <w:lang w:eastAsia="pl-PL"/>
        </w:rPr>
        <w:t xml:space="preserve">2019 r.: </w:t>
      </w:r>
      <w:proofErr w:type="spellStart"/>
      <w:r w:rsidRPr="00FE2379">
        <w:rPr>
          <w:rFonts w:ascii="Times New Roman" w:eastAsia="Times New Roman" w:hAnsi="Times New Roman" w:cs="Times New Roman"/>
          <w:sz w:val="24"/>
          <w:szCs w:val="24"/>
          <w:lang w:eastAsia="pl-PL"/>
        </w:rPr>
        <w:t>DCT</w:t>
      </w:r>
      <w:proofErr w:type="spellEnd"/>
      <w:r w:rsidRPr="00FE2379">
        <w:rPr>
          <w:rFonts w:ascii="Times New Roman" w:eastAsia="Times New Roman" w:hAnsi="Times New Roman" w:cs="Times New Roman"/>
          <w:sz w:val="24"/>
          <w:szCs w:val="24"/>
          <w:lang w:eastAsia="pl-PL"/>
        </w:rPr>
        <w:t xml:space="preserve"> Gdańsk, </w:t>
      </w:r>
      <w:proofErr w:type="spellStart"/>
      <w:r w:rsidRPr="00FE2379">
        <w:rPr>
          <w:rFonts w:ascii="Times New Roman" w:eastAsia="Times New Roman" w:hAnsi="Times New Roman" w:cs="Times New Roman"/>
          <w:sz w:val="24"/>
          <w:szCs w:val="24"/>
          <w:lang w:eastAsia="pl-PL"/>
        </w:rPr>
        <w:t>Investors</w:t>
      </w:r>
      <w:proofErr w:type="spellEnd"/>
      <w:r w:rsidRPr="00FE2379">
        <w:rPr>
          <w:rFonts w:ascii="Times New Roman" w:eastAsia="Times New Roman" w:hAnsi="Times New Roman" w:cs="Times New Roman"/>
          <w:sz w:val="24"/>
          <w:szCs w:val="24"/>
          <w:lang w:eastAsia="pl-PL"/>
        </w:rPr>
        <w:t xml:space="preserve">: PSA International </w:t>
      </w:r>
      <w:proofErr w:type="spellStart"/>
      <w:r w:rsidRPr="00FE2379">
        <w:rPr>
          <w:rFonts w:ascii="Times New Roman" w:eastAsia="Times New Roman" w:hAnsi="Times New Roman" w:cs="Times New Roman"/>
          <w:sz w:val="24"/>
          <w:szCs w:val="24"/>
          <w:lang w:eastAsia="pl-PL"/>
        </w:rPr>
        <w:t>Ptd</w:t>
      </w:r>
      <w:proofErr w:type="spellEnd"/>
      <w:r w:rsidRPr="00FE2379">
        <w:rPr>
          <w:rFonts w:ascii="Times New Roman" w:eastAsia="Times New Roman" w:hAnsi="Times New Roman" w:cs="Times New Roman"/>
          <w:sz w:val="24"/>
          <w:szCs w:val="24"/>
          <w:lang w:eastAsia="pl-PL"/>
        </w:rPr>
        <w:t xml:space="preserve"> </w:t>
      </w:r>
      <w:proofErr w:type="spellStart"/>
      <w:r w:rsidRPr="00FE2379">
        <w:rPr>
          <w:rFonts w:ascii="Times New Roman" w:eastAsia="Times New Roman" w:hAnsi="Times New Roman" w:cs="Times New Roman"/>
          <w:sz w:val="24"/>
          <w:szCs w:val="24"/>
          <w:lang w:eastAsia="pl-PL"/>
        </w:rPr>
        <w:t>Ltd</w:t>
      </w:r>
      <w:proofErr w:type="spellEnd"/>
      <w:r w:rsidRPr="00FE2379">
        <w:rPr>
          <w:rFonts w:ascii="Times New Roman" w:eastAsia="Times New Roman" w:hAnsi="Times New Roman" w:cs="Times New Roman"/>
          <w:sz w:val="24"/>
          <w:szCs w:val="24"/>
          <w:lang w:eastAsia="pl-PL"/>
        </w:rPr>
        <w:t xml:space="preserve"> (PSA) – 40</w:t>
      </w:r>
      <w:r w:rsidR="003E6ED9">
        <w:rPr>
          <w:rFonts w:ascii="Times New Roman" w:eastAsia="Times New Roman" w:hAnsi="Times New Roman" w:cs="Times New Roman"/>
          <w:sz w:val="24"/>
          <w:szCs w:val="24"/>
          <w:lang w:eastAsia="pl-PL"/>
        </w:rPr>
        <w:t xml:space="preserve"> </w:t>
      </w:r>
      <w:r w:rsidRPr="00FE2379">
        <w:rPr>
          <w:rFonts w:ascii="Times New Roman" w:eastAsia="Times New Roman" w:hAnsi="Times New Roman" w:cs="Times New Roman"/>
          <w:sz w:val="24"/>
          <w:szCs w:val="24"/>
          <w:lang w:eastAsia="pl-PL"/>
        </w:rPr>
        <w:t>%, Polski Fundusz Rozwoju (</w:t>
      </w:r>
      <w:proofErr w:type="spellStart"/>
      <w:r w:rsidRPr="00FE2379">
        <w:rPr>
          <w:rFonts w:ascii="Times New Roman" w:eastAsia="Times New Roman" w:hAnsi="Times New Roman" w:cs="Times New Roman"/>
          <w:sz w:val="24"/>
          <w:szCs w:val="24"/>
          <w:lang w:eastAsia="pl-PL"/>
        </w:rPr>
        <w:t>PFR</w:t>
      </w:r>
      <w:proofErr w:type="spellEnd"/>
      <w:r w:rsidRPr="00FE237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Pr="00FE2379">
        <w:rPr>
          <w:rFonts w:ascii="Times New Roman" w:eastAsia="Times New Roman" w:hAnsi="Times New Roman" w:cs="Times New Roman"/>
          <w:sz w:val="24"/>
          <w:szCs w:val="24"/>
          <w:lang w:eastAsia="pl-PL"/>
        </w:rPr>
        <w:t xml:space="preserve"> 30</w:t>
      </w:r>
      <w:r w:rsidR="003E6ED9">
        <w:rPr>
          <w:rFonts w:ascii="Times New Roman" w:eastAsia="Times New Roman" w:hAnsi="Times New Roman" w:cs="Times New Roman"/>
          <w:sz w:val="24"/>
          <w:szCs w:val="24"/>
          <w:lang w:eastAsia="pl-PL"/>
        </w:rPr>
        <w:t xml:space="preserve"> </w:t>
      </w:r>
      <w:r w:rsidRPr="00FE2379">
        <w:rPr>
          <w:rFonts w:ascii="Times New Roman" w:eastAsia="Times New Roman" w:hAnsi="Times New Roman" w:cs="Times New Roman"/>
          <w:sz w:val="24"/>
          <w:szCs w:val="24"/>
          <w:lang w:eastAsia="pl-PL"/>
        </w:rPr>
        <w:t xml:space="preserve">%, </w:t>
      </w:r>
      <w:proofErr w:type="spellStart"/>
      <w:r w:rsidRPr="00FE2379">
        <w:rPr>
          <w:rFonts w:ascii="Times New Roman" w:eastAsia="Times New Roman" w:hAnsi="Times New Roman" w:cs="Times New Roman"/>
          <w:sz w:val="24"/>
          <w:szCs w:val="24"/>
          <w:lang w:eastAsia="pl-PL"/>
        </w:rPr>
        <w:t>IFM</w:t>
      </w:r>
      <w:proofErr w:type="spellEnd"/>
      <w:r w:rsidRPr="00FE2379">
        <w:rPr>
          <w:rFonts w:ascii="Times New Roman" w:eastAsia="Times New Roman" w:hAnsi="Times New Roman" w:cs="Times New Roman"/>
          <w:sz w:val="24"/>
          <w:szCs w:val="24"/>
          <w:lang w:eastAsia="pl-PL"/>
        </w:rPr>
        <w:t xml:space="preserve"> Global </w:t>
      </w:r>
      <w:proofErr w:type="spellStart"/>
      <w:r w:rsidRPr="00FE2379">
        <w:rPr>
          <w:rFonts w:ascii="Times New Roman" w:eastAsia="Times New Roman" w:hAnsi="Times New Roman" w:cs="Times New Roman"/>
          <w:sz w:val="24"/>
          <w:szCs w:val="24"/>
          <w:lang w:eastAsia="pl-PL"/>
        </w:rPr>
        <w:t>Infrastructure</w:t>
      </w:r>
      <w:proofErr w:type="spellEnd"/>
      <w:r w:rsidRPr="00FE2379">
        <w:rPr>
          <w:rFonts w:ascii="Times New Roman" w:eastAsia="Times New Roman" w:hAnsi="Times New Roman" w:cs="Times New Roman"/>
          <w:sz w:val="24"/>
          <w:szCs w:val="24"/>
          <w:lang w:eastAsia="pl-PL"/>
        </w:rPr>
        <w:t xml:space="preserve"> Fund (GIF) – 30</w:t>
      </w:r>
      <w:r w:rsidR="003E6ED9">
        <w:rPr>
          <w:rFonts w:ascii="Times New Roman" w:eastAsia="Times New Roman" w:hAnsi="Times New Roman" w:cs="Times New Roman"/>
          <w:sz w:val="24"/>
          <w:szCs w:val="24"/>
          <w:lang w:eastAsia="pl-PL"/>
        </w:rPr>
        <w:t xml:space="preserve"> </w:t>
      </w:r>
      <w:r w:rsidRPr="00FE2379">
        <w:rPr>
          <w:rFonts w:ascii="Times New Roman" w:eastAsia="Times New Roman" w:hAnsi="Times New Roman" w:cs="Times New Roman"/>
          <w:sz w:val="24"/>
          <w:szCs w:val="24"/>
          <w:lang w:eastAsia="pl-PL"/>
        </w:rPr>
        <w:t xml:space="preserve">%, doradztwo </w:t>
      </w:r>
      <w:proofErr w:type="spellStart"/>
      <w:r w:rsidRPr="00FE2379">
        <w:rPr>
          <w:rFonts w:ascii="Times New Roman" w:eastAsia="Times New Roman" w:hAnsi="Times New Roman" w:cs="Times New Roman"/>
          <w:sz w:val="24"/>
          <w:szCs w:val="24"/>
          <w:lang w:eastAsia="pl-PL"/>
        </w:rPr>
        <w:t>IFM</w:t>
      </w:r>
      <w:proofErr w:type="spellEnd"/>
      <w:r w:rsidRPr="00FE2379">
        <w:rPr>
          <w:rFonts w:ascii="Times New Roman" w:eastAsia="Times New Roman" w:hAnsi="Times New Roman" w:cs="Times New Roman"/>
          <w:sz w:val="24"/>
          <w:szCs w:val="24"/>
          <w:lang w:eastAsia="pl-PL"/>
        </w:rPr>
        <w:t xml:space="preserve"> </w:t>
      </w:r>
      <w:proofErr w:type="spellStart"/>
      <w:r w:rsidRPr="00FE2379">
        <w:rPr>
          <w:rFonts w:ascii="Times New Roman" w:eastAsia="Times New Roman" w:hAnsi="Times New Roman" w:cs="Times New Roman"/>
          <w:sz w:val="24"/>
          <w:szCs w:val="24"/>
          <w:lang w:eastAsia="pl-PL"/>
        </w:rPr>
        <w:t>Investors</w:t>
      </w:r>
      <w:proofErr w:type="spellEnd"/>
      <w:r w:rsidRPr="00FE2379">
        <w:rPr>
          <w:rFonts w:ascii="Times New Roman" w:eastAsia="Times New Roman" w:hAnsi="Times New Roman" w:cs="Times New Roman"/>
          <w:sz w:val="24"/>
          <w:szCs w:val="24"/>
          <w:lang w:eastAsia="pl-PL"/>
        </w:rPr>
        <w:t>, rozbudowanie nadbrzeża portowego w Gdańsku,</w:t>
      </w:r>
    </w:p>
    <w:p w14:paraId="7E9B6827" w14:textId="6E0C3E51" w:rsidR="00FE2379" w:rsidRPr="00FE2379" w:rsidRDefault="00FE2379" w:rsidP="00281351">
      <w:pPr>
        <w:numPr>
          <w:ilvl w:val="0"/>
          <w:numId w:val="1"/>
        </w:numPr>
        <w:spacing w:after="0" w:line="360" w:lineRule="auto"/>
        <w:contextualSpacing/>
        <w:jc w:val="both"/>
        <w:rPr>
          <w:rFonts w:ascii="Times New Roman" w:eastAsia="Times New Roman" w:hAnsi="Times New Roman" w:cs="Times New Roman"/>
          <w:sz w:val="24"/>
          <w:szCs w:val="24"/>
          <w:lang w:eastAsia="pl-PL"/>
        </w:rPr>
      </w:pPr>
      <w:r w:rsidRPr="00FE2379">
        <w:rPr>
          <w:rFonts w:ascii="Times New Roman" w:eastAsia="Times New Roman" w:hAnsi="Times New Roman" w:cs="Times New Roman"/>
          <w:sz w:val="24"/>
          <w:szCs w:val="24"/>
          <w:lang w:eastAsia="pl-PL"/>
        </w:rPr>
        <w:lastRenderedPageBreak/>
        <w:t xml:space="preserve">2018 r.: Paris Tobacco International (część </w:t>
      </w:r>
      <w:proofErr w:type="spellStart"/>
      <w:r w:rsidRPr="00FE2379">
        <w:rPr>
          <w:rFonts w:ascii="Times New Roman" w:eastAsia="Times New Roman" w:hAnsi="Times New Roman" w:cs="Times New Roman"/>
          <w:sz w:val="24"/>
          <w:szCs w:val="24"/>
          <w:lang w:eastAsia="pl-PL"/>
        </w:rPr>
        <w:t>YSQ</w:t>
      </w:r>
      <w:proofErr w:type="spellEnd"/>
      <w:r w:rsidRPr="00FE2379">
        <w:rPr>
          <w:rFonts w:ascii="Times New Roman" w:eastAsia="Times New Roman" w:hAnsi="Times New Roman" w:cs="Times New Roman"/>
          <w:sz w:val="24"/>
          <w:szCs w:val="24"/>
          <w:lang w:eastAsia="pl-PL"/>
        </w:rPr>
        <w:t xml:space="preserve"> International, </w:t>
      </w:r>
      <w:proofErr w:type="spellStart"/>
      <w:r w:rsidRPr="00FE2379">
        <w:rPr>
          <w:rFonts w:ascii="Times New Roman" w:eastAsia="Times New Roman" w:hAnsi="Times New Roman" w:cs="Times New Roman"/>
          <w:sz w:val="24"/>
          <w:szCs w:val="24"/>
          <w:lang w:eastAsia="pl-PL"/>
        </w:rPr>
        <w:t>Singapore</w:t>
      </w:r>
      <w:proofErr w:type="spellEnd"/>
      <w:r w:rsidRPr="00FE2379">
        <w:rPr>
          <w:rFonts w:ascii="Times New Roman" w:eastAsia="Times New Roman" w:hAnsi="Times New Roman" w:cs="Times New Roman"/>
          <w:sz w:val="24"/>
          <w:szCs w:val="24"/>
          <w:lang w:eastAsia="pl-PL"/>
        </w:rPr>
        <w:t xml:space="preserve"> </w:t>
      </w:r>
      <w:proofErr w:type="spellStart"/>
      <w:r w:rsidRPr="00FE2379">
        <w:rPr>
          <w:rFonts w:ascii="Times New Roman" w:eastAsia="Times New Roman" w:hAnsi="Times New Roman" w:cs="Times New Roman"/>
          <w:sz w:val="24"/>
          <w:szCs w:val="24"/>
          <w:lang w:eastAsia="pl-PL"/>
        </w:rPr>
        <w:t>Group</w:t>
      </w:r>
      <w:proofErr w:type="spellEnd"/>
      <w:r w:rsidRPr="00FE2379">
        <w:rPr>
          <w:rFonts w:ascii="Times New Roman" w:eastAsia="Times New Roman" w:hAnsi="Times New Roman" w:cs="Times New Roman"/>
          <w:sz w:val="24"/>
          <w:szCs w:val="24"/>
          <w:lang w:eastAsia="pl-PL"/>
        </w:rPr>
        <w:t xml:space="preserve">) centrum handlowe w Warszawie i fabryka w Skrzyńsku (produkcja i centrum </w:t>
      </w:r>
      <w:proofErr w:type="spellStart"/>
      <w:r w:rsidRPr="00FE2379">
        <w:rPr>
          <w:rFonts w:ascii="Times New Roman" w:eastAsia="Times New Roman" w:hAnsi="Times New Roman" w:cs="Times New Roman"/>
          <w:sz w:val="24"/>
          <w:szCs w:val="24"/>
          <w:lang w:eastAsia="pl-PL"/>
        </w:rPr>
        <w:t>R&amp;D</w:t>
      </w:r>
      <w:proofErr w:type="spellEnd"/>
      <w:r w:rsidRPr="00FE2379">
        <w:rPr>
          <w:rFonts w:ascii="Times New Roman" w:eastAsia="Times New Roman" w:hAnsi="Times New Roman" w:cs="Times New Roman"/>
          <w:sz w:val="24"/>
          <w:szCs w:val="24"/>
          <w:lang w:eastAsia="pl-PL"/>
        </w:rPr>
        <w:t>).</w:t>
      </w:r>
    </w:p>
    <w:p w14:paraId="75DF1024" w14:textId="66BF8BBB" w:rsidR="00FE2379" w:rsidRPr="00FE2379" w:rsidRDefault="00FE2379" w:rsidP="00281351">
      <w:pPr>
        <w:spacing w:before="120" w:after="0" w:line="360" w:lineRule="auto"/>
        <w:jc w:val="both"/>
        <w:rPr>
          <w:rFonts w:ascii="Times New Roman" w:eastAsia="Calibri" w:hAnsi="Times New Roman" w:cs="Times New Roman"/>
          <w:color w:val="000000"/>
          <w:sz w:val="24"/>
          <w:szCs w:val="24"/>
        </w:rPr>
      </w:pPr>
      <w:r w:rsidRPr="00FE2379">
        <w:rPr>
          <w:rFonts w:ascii="Times New Roman" w:eastAsia="Calibri" w:hAnsi="Times New Roman" w:cs="Times New Roman"/>
          <w:color w:val="000000"/>
          <w:sz w:val="24"/>
          <w:szCs w:val="24"/>
        </w:rPr>
        <w:t xml:space="preserve">Natomiast skumulowane polskie inwestycje bezpośrednie w Singapurze wyniosły, według danych NBP, na koniec 2022 r. 11 mln </w:t>
      </w:r>
      <w:proofErr w:type="spellStart"/>
      <w:r w:rsidRPr="00FE2379">
        <w:rPr>
          <w:rFonts w:ascii="Times New Roman" w:eastAsia="Calibri" w:hAnsi="Times New Roman" w:cs="Times New Roman"/>
          <w:color w:val="000000"/>
          <w:sz w:val="24"/>
          <w:szCs w:val="24"/>
        </w:rPr>
        <w:t>EUR</w:t>
      </w:r>
      <w:proofErr w:type="spellEnd"/>
      <w:r w:rsidRPr="00FE2379">
        <w:rPr>
          <w:rFonts w:ascii="Times New Roman" w:eastAsia="Calibri" w:hAnsi="Times New Roman" w:cs="Times New Roman"/>
          <w:color w:val="000000"/>
          <w:sz w:val="24"/>
          <w:szCs w:val="24"/>
        </w:rPr>
        <w:t xml:space="preserve">. </w:t>
      </w:r>
    </w:p>
    <w:p w14:paraId="097B1AFC" w14:textId="77777777" w:rsidR="00FE2379" w:rsidRPr="00FE2379" w:rsidRDefault="00FE2379" w:rsidP="00281351">
      <w:pPr>
        <w:spacing w:before="120" w:after="0" w:line="360" w:lineRule="auto"/>
        <w:jc w:val="both"/>
        <w:rPr>
          <w:rFonts w:ascii="Times New Roman" w:eastAsia="Times New Roman" w:hAnsi="Times New Roman" w:cs="Times New Roman"/>
          <w:sz w:val="24"/>
          <w:szCs w:val="24"/>
          <w:lang w:eastAsia="pl-PL"/>
        </w:rPr>
      </w:pPr>
      <w:r w:rsidRPr="00FE2379">
        <w:rPr>
          <w:rFonts w:ascii="Times New Roman" w:eastAsia="Times New Roman" w:hAnsi="Times New Roman" w:cs="Times New Roman"/>
          <w:sz w:val="24"/>
          <w:szCs w:val="24"/>
          <w:lang w:eastAsia="pl-PL"/>
        </w:rPr>
        <w:t>Największe polskie inwestycje w Singapurze należą do:</w:t>
      </w:r>
    </w:p>
    <w:p w14:paraId="52C6EA38" w14:textId="77777777" w:rsidR="00FE2379" w:rsidRPr="00FE2379" w:rsidRDefault="00FE2379" w:rsidP="00281351">
      <w:pPr>
        <w:numPr>
          <w:ilvl w:val="0"/>
          <w:numId w:val="2"/>
        </w:numPr>
        <w:spacing w:after="0" w:line="360" w:lineRule="auto"/>
        <w:ind w:left="426" w:hanging="426"/>
        <w:jc w:val="both"/>
        <w:rPr>
          <w:rFonts w:ascii="Times New Roman" w:eastAsia="Times New Roman" w:hAnsi="Times New Roman" w:cs="Times New Roman"/>
          <w:sz w:val="24"/>
          <w:szCs w:val="24"/>
          <w:lang w:eastAsia="pl-PL"/>
        </w:rPr>
      </w:pPr>
      <w:proofErr w:type="spellStart"/>
      <w:r w:rsidRPr="00FE2379">
        <w:rPr>
          <w:rFonts w:ascii="Times New Roman" w:eastAsia="Times New Roman" w:hAnsi="Times New Roman" w:cs="Times New Roman"/>
          <w:sz w:val="24"/>
          <w:szCs w:val="24"/>
          <w:lang w:eastAsia="pl-PL"/>
        </w:rPr>
        <w:t>POLSIN</w:t>
      </w:r>
      <w:proofErr w:type="spellEnd"/>
      <w:r w:rsidRPr="00FE2379">
        <w:rPr>
          <w:rFonts w:ascii="Times New Roman" w:eastAsia="Times New Roman" w:hAnsi="Times New Roman" w:cs="Times New Roman"/>
          <w:sz w:val="24"/>
          <w:szCs w:val="24"/>
          <w:lang w:eastAsia="pl-PL"/>
        </w:rPr>
        <w:t xml:space="preserve"> </w:t>
      </w:r>
      <w:proofErr w:type="spellStart"/>
      <w:r w:rsidRPr="00FE2379">
        <w:rPr>
          <w:rFonts w:ascii="Times New Roman" w:eastAsia="Times New Roman" w:hAnsi="Times New Roman" w:cs="Times New Roman"/>
          <w:sz w:val="24"/>
          <w:szCs w:val="24"/>
          <w:lang w:eastAsia="pl-PL"/>
        </w:rPr>
        <w:t>PTE</w:t>
      </w:r>
      <w:proofErr w:type="spellEnd"/>
      <w:r w:rsidRPr="00FE2379">
        <w:rPr>
          <w:rFonts w:ascii="Times New Roman" w:eastAsia="Times New Roman" w:hAnsi="Times New Roman" w:cs="Times New Roman"/>
          <w:sz w:val="24"/>
          <w:szCs w:val="24"/>
          <w:lang w:eastAsia="pl-PL"/>
        </w:rPr>
        <w:t xml:space="preserve"> LTD. W Singapurze działa od 1975 r. spółka handlowa, której głównym udziałowcem ze strony polskiej jest Ciech,</w:t>
      </w:r>
    </w:p>
    <w:p w14:paraId="34145AC9" w14:textId="5D606AC2" w:rsidR="00FE2379" w:rsidRPr="00FE2379" w:rsidRDefault="00FE2379" w:rsidP="00281351">
      <w:pPr>
        <w:numPr>
          <w:ilvl w:val="0"/>
          <w:numId w:val="2"/>
        </w:numPr>
        <w:spacing w:after="0" w:line="360" w:lineRule="auto"/>
        <w:ind w:left="426" w:hanging="426"/>
        <w:jc w:val="both"/>
        <w:rPr>
          <w:rFonts w:ascii="Times New Roman" w:eastAsia="Times New Roman" w:hAnsi="Times New Roman" w:cs="Times New Roman"/>
          <w:sz w:val="24"/>
          <w:szCs w:val="24"/>
          <w:lang w:eastAsia="pl-PL"/>
        </w:rPr>
      </w:pPr>
      <w:proofErr w:type="spellStart"/>
      <w:r w:rsidRPr="00FE2379">
        <w:rPr>
          <w:rFonts w:ascii="Times New Roman" w:eastAsia="Times New Roman" w:hAnsi="Times New Roman" w:cs="Times New Roman"/>
          <w:sz w:val="24"/>
          <w:szCs w:val="24"/>
          <w:lang w:eastAsia="pl-PL"/>
        </w:rPr>
        <w:t>Dresta</w:t>
      </w:r>
      <w:proofErr w:type="spellEnd"/>
      <w:r w:rsidRPr="00FE2379">
        <w:rPr>
          <w:rFonts w:ascii="Times New Roman" w:eastAsia="Times New Roman" w:hAnsi="Times New Roman" w:cs="Times New Roman"/>
          <w:sz w:val="24"/>
          <w:szCs w:val="24"/>
          <w:lang w:eastAsia="pl-PL"/>
        </w:rPr>
        <w:t xml:space="preserve"> Asia Pacific </w:t>
      </w:r>
      <w:proofErr w:type="spellStart"/>
      <w:r w:rsidRPr="00FE2379">
        <w:rPr>
          <w:rFonts w:ascii="Times New Roman" w:eastAsia="Times New Roman" w:hAnsi="Times New Roman" w:cs="Times New Roman"/>
          <w:sz w:val="24"/>
          <w:szCs w:val="24"/>
          <w:lang w:eastAsia="pl-PL"/>
        </w:rPr>
        <w:t>Pte</w:t>
      </w:r>
      <w:proofErr w:type="spellEnd"/>
      <w:r w:rsidRPr="00FE2379">
        <w:rPr>
          <w:rFonts w:ascii="Times New Roman" w:eastAsia="Times New Roman" w:hAnsi="Times New Roman" w:cs="Times New Roman"/>
          <w:sz w:val="24"/>
          <w:szCs w:val="24"/>
          <w:lang w:eastAsia="pl-PL"/>
        </w:rPr>
        <w:t xml:space="preserve"> Ltd. </w:t>
      </w:r>
      <w:r>
        <w:rPr>
          <w:rFonts w:ascii="Times New Roman" w:eastAsia="Times New Roman" w:hAnsi="Times New Roman" w:cs="Times New Roman"/>
          <w:sz w:val="24"/>
          <w:szCs w:val="24"/>
          <w:lang w:eastAsia="pl-PL"/>
        </w:rPr>
        <w:t>–</w:t>
      </w:r>
      <w:r w:rsidRPr="00FE2379">
        <w:rPr>
          <w:rFonts w:ascii="Times New Roman" w:eastAsia="Times New Roman" w:hAnsi="Times New Roman" w:cs="Times New Roman"/>
          <w:sz w:val="24"/>
          <w:szCs w:val="24"/>
          <w:lang w:eastAsia="pl-PL"/>
        </w:rPr>
        <w:t xml:space="preserve"> zajmuje się sprzedażą maszyn drogowych Huty Stalowa Wola oraz części zamiennych do krajów Azji Południowo-Wschodniej,</w:t>
      </w:r>
    </w:p>
    <w:p w14:paraId="0BEB8ED7" w14:textId="56EC8EE9" w:rsidR="00FE2379" w:rsidRPr="00FE2379" w:rsidRDefault="00FE2379" w:rsidP="00281351">
      <w:pPr>
        <w:numPr>
          <w:ilvl w:val="0"/>
          <w:numId w:val="2"/>
        </w:numPr>
        <w:spacing w:after="0" w:line="360" w:lineRule="auto"/>
        <w:ind w:left="426" w:hanging="426"/>
        <w:jc w:val="both"/>
        <w:rPr>
          <w:rFonts w:ascii="Times New Roman" w:eastAsia="Times New Roman" w:hAnsi="Times New Roman" w:cs="Times New Roman"/>
          <w:sz w:val="24"/>
          <w:szCs w:val="24"/>
          <w:lang w:eastAsia="pl-PL"/>
        </w:rPr>
      </w:pPr>
      <w:proofErr w:type="spellStart"/>
      <w:r w:rsidRPr="00FE2379">
        <w:rPr>
          <w:rFonts w:ascii="Times New Roman" w:eastAsia="Times New Roman" w:hAnsi="Times New Roman" w:cs="Times New Roman"/>
          <w:sz w:val="24"/>
          <w:szCs w:val="24"/>
          <w:lang w:eastAsia="pl-PL"/>
        </w:rPr>
        <w:t>SciGen</w:t>
      </w:r>
      <w:proofErr w:type="spellEnd"/>
      <w:r w:rsidRPr="00FE237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Pr="00FE2379">
        <w:rPr>
          <w:rFonts w:ascii="Times New Roman" w:eastAsia="Times New Roman" w:hAnsi="Times New Roman" w:cs="Times New Roman"/>
          <w:sz w:val="24"/>
          <w:szCs w:val="24"/>
          <w:lang w:eastAsia="pl-PL"/>
        </w:rPr>
        <w:t xml:space="preserve"> zakup większościowego pakietu akcji w firmie przez Bioton S.A.,</w:t>
      </w:r>
    </w:p>
    <w:p w14:paraId="66D37BF6" w14:textId="67FDE5E8" w:rsidR="00FE2379" w:rsidRPr="00FE2379" w:rsidRDefault="00FE2379" w:rsidP="00281351">
      <w:pPr>
        <w:numPr>
          <w:ilvl w:val="0"/>
          <w:numId w:val="2"/>
        </w:numPr>
        <w:spacing w:after="0" w:line="360" w:lineRule="auto"/>
        <w:ind w:left="426" w:hanging="426"/>
        <w:jc w:val="both"/>
        <w:rPr>
          <w:rFonts w:ascii="Times New Roman" w:eastAsia="Times New Roman" w:hAnsi="Times New Roman" w:cs="Times New Roman"/>
          <w:sz w:val="24"/>
          <w:szCs w:val="24"/>
          <w:lang w:eastAsia="pl-PL"/>
        </w:rPr>
      </w:pPr>
      <w:r w:rsidRPr="00FE2379">
        <w:rPr>
          <w:rFonts w:ascii="Times New Roman" w:eastAsia="Times New Roman" w:hAnsi="Times New Roman" w:cs="Times New Roman"/>
          <w:sz w:val="24"/>
          <w:szCs w:val="24"/>
          <w:lang w:eastAsia="pl-PL"/>
        </w:rPr>
        <w:t xml:space="preserve">H. Cegielski – Service </w:t>
      </w:r>
      <w:r>
        <w:rPr>
          <w:rFonts w:ascii="Times New Roman" w:eastAsia="Times New Roman" w:hAnsi="Times New Roman" w:cs="Times New Roman"/>
          <w:sz w:val="24"/>
          <w:szCs w:val="24"/>
          <w:lang w:eastAsia="pl-PL"/>
        </w:rPr>
        <w:t>–</w:t>
      </w:r>
      <w:r w:rsidRPr="00FE2379">
        <w:rPr>
          <w:rFonts w:ascii="Times New Roman" w:eastAsia="Times New Roman" w:hAnsi="Times New Roman" w:cs="Times New Roman"/>
          <w:sz w:val="24"/>
          <w:szCs w:val="24"/>
          <w:lang w:eastAsia="pl-PL"/>
        </w:rPr>
        <w:t xml:space="preserve"> oddział Huty Cegielski-Poznań </w:t>
      </w:r>
      <w:r>
        <w:rPr>
          <w:rFonts w:ascii="Times New Roman" w:eastAsia="Times New Roman" w:hAnsi="Times New Roman" w:cs="Times New Roman"/>
          <w:sz w:val="24"/>
          <w:szCs w:val="24"/>
          <w:lang w:eastAsia="pl-PL"/>
        </w:rPr>
        <w:t>–</w:t>
      </w:r>
      <w:r w:rsidRPr="00FE2379">
        <w:rPr>
          <w:rFonts w:ascii="Times New Roman" w:eastAsia="Times New Roman" w:hAnsi="Times New Roman" w:cs="Times New Roman"/>
          <w:sz w:val="24"/>
          <w:szCs w:val="24"/>
          <w:lang w:eastAsia="pl-PL"/>
        </w:rPr>
        <w:t xml:space="preserve"> serwis gwarancyjny i pogwarancyjny silników okrętowych.</w:t>
      </w:r>
    </w:p>
    <w:p w14:paraId="5A476C80" w14:textId="1269F363" w:rsidR="00FE2379" w:rsidRPr="00FE2379" w:rsidRDefault="00FE2379" w:rsidP="00281351">
      <w:pPr>
        <w:spacing w:before="120" w:after="0" w:line="360" w:lineRule="auto"/>
        <w:jc w:val="both"/>
        <w:rPr>
          <w:rFonts w:ascii="Times New Roman" w:eastAsia="Times New Roman" w:hAnsi="Times New Roman" w:cs="Times New Roman"/>
          <w:sz w:val="24"/>
          <w:szCs w:val="24"/>
          <w:lang w:eastAsia="pl-PL"/>
        </w:rPr>
      </w:pPr>
      <w:r w:rsidRPr="00FE2379">
        <w:rPr>
          <w:rFonts w:ascii="Times New Roman" w:eastAsia="Times New Roman" w:hAnsi="Times New Roman" w:cs="Times New Roman"/>
          <w:sz w:val="24"/>
          <w:szCs w:val="24"/>
          <w:lang w:eastAsia="pl-PL"/>
        </w:rPr>
        <w:t>W ostatnich latach duża grupa firm polskich zarejestrowała swoje oddziały lub przedstawicielstwa w Singapurze ze względu na korzystne warunki oferowane przez Singapur, w tym start-</w:t>
      </w:r>
      <w:proofErr w:type="spellStart"/>
      <w:r w:rsidRPr="00FE2379">
        <w:rPr>
          <w:rFonts w:ascii="Times New Roman" w:eastAsia="Times New Roman" w:hAnsi="Times New Roman" w:cs="Times New Roman"/>
          <w:sz w:val="24"/>
          <w:szCs w:val="24"/>
          <w:lang w:eastAsia="pl-PL"/>
        </w:rPr>
        <w:t>up'y</w:t>
      </w:r>
      <w:proofErr w:type="spellEnd"/>
      <w:r w:rsidRPr="00FE2379">
        <w:rPr>
          <w:rFonts w:ascii="Times New Roman" w:eastAsia="Times New Roman" w:hAnsi="Times New Roman" w:cs="Times New Roman"/>
          <w:sz w:val="24"/>
          <w:szCs w:val="24"/>
          <w:lang w:eastAsia="pl-PL"/>
        </w:rPr>
        <w:t xml:space="preserve"> z branży IT, które rejestrują IP w Singapurze (wtedy stają się automatycznie firmami singapurskimi, z wszelkimi prawami lokalnego prawa handlowego). </w:t>
      </w:r>
    </w:p>
    <w:p w14:paraId="011A4611" w14:textId="77777777" w:rsidR="00FE2379" w:rsidRPr="00FE2379" w:rsidRDefault="00FE2379" w:rsidP="00281351">
      <w:pPr>
        <w:spacing w:before="120" w:after="0" w:line="360" w:lineRule="auto"/>
        <w:jc w:val="both"/>
        <w:rPr>
          <w:rFonts w:ascii="Times New Roman" w:eastAsia="Times New Roman" w:hAnsi="Times New Roman" w:cs="Times New Roman"/>
          <w:bCs/>
          <w:sz w:val="24"/>
          <w:szCs w:val="24"/>
          <w:lang w:eastAsia="pl-PL"/>
        </w:rPr>
      </w:pPr>
      <w:r w:rsidRPr="00FE2379">
        <w:rPr>
          <w:rFonts w:ascii="Times New Roman" w:eastAsia="Times New Roman" w:hAnsi="Times New Roman" w:cs="Times New Roman"/>
          <w:bCs/>
          <w:i/>
          <w:iCs/>
          <w:sz w:val="24"/>
          <w:szCs w:val="24"/>
          <w:lang w:eastAsia="pl-PL"/>
        </w:rPr>
        <w:t>Umowa o ochronie inwestycji między Unią Europejską i jej państwami członkowskimi, z jednej strony, a Republiką Singapuru, z drugiej strony sporządzona w Brukseli dnia 19 października 2018 r.</w:t>
      </w:r>
      <w:r w:rsidRPr="00FE2379">
        <w:rPr>
          <w:rFonts w:ascii="Times New Roman" w:eastAsia="Times New Roman" w:hAnsi="Times New Roman" w:cs="Times New Roman"/>
          <w:bCs/>
          <w:sz w:val="24"/>
          <w:szCs w:val="24"/>
          <w:lang w:eastAsia="pl-PL"/>
        </w:rPr>
        <w:t xml:space="preserve"> (dalej jako „Umowa </w:t>
      </w:r>
      <w:proofErr w:type="spellStart"/>
      <w:r w:rsidRPr="00FE2379">
        <w:rPr>
          <w:rFonts w:ascii="Times New Roman" w:eastAsia="Times New Roman" w:hAnsi="Times New Roman" w:cs="Times New Roman"/>
          <w:bCs/>
          <w:sz w:val="24"/>
          <w:szCs w:val="24"/>
          <w:lang w:eastAsia="pl-PL"/>
        </w:rPr>
        <w:t>IPA</w:t>
      </w:r>
      <w:proofErr w:type="spellEnd"/>
      <w:r w:rsidRPr="00FE2379">
        <w:rPr>
          <w:rFonts w:ascii="Times New Roman" w:eastAsia="Times New Roman" w:hAnsi="Times New Roman" w:cs="Times New Roman"/>
          <w:bCs/>
          <w:sz w:val="24"/>
          <w:szCs w:val="24"/>
          <w:lang w:eastAsia="pl-PL"/>
        </w:rPr>
        <w:t xml:space="preserve">”) </w:t>
      </w:r>
      <w:r w:rsidRPr="00FE2379">
        <w:rPr>
          <w:rFonts w:ascii="Times New Roman" w:eastAsia="Times New Roman" w:hAnsi="Times New Roman" w:cs="Times New Roman"/>
          <w:sz w:val="24"/>
          <w:szCs w:val="24"/>
          <w:lang w:eastAsia="pl-PL"/>
        </w:rPr>
        <w:t>została podpisana przez Polskę tego samego dnia.</w:t>
      </w:r>
    </w:p>
    <w:p w14:paraId="3024F3AC" w14:textId="05AAEB58" w:rsidR="00FE2379" w:rsidRPr="00FE2379" w:rsidRDefault="00FE2379" w:rsidP="00281351">
      <w:pPr>
        <w:tabs>
          <w:tab w:val="left" w:pos="426"/>
        </w:tabs>
        <w:spacing w:before="120" w:after="0" w:line="360" w:lineRule="auto"/>
        <w:rPr>
          <w:rFonts w:ascii="Times New Roman" w:eastAsia="Times New Roman" w:hAnsi="Times New Roman" w:cs="Times New Roman"/>
          <w:b/>
          <w:color w:val="000000"/>
          <w:sz w:val="24"/>
          <w:szCs w:val="24"/>
          <w:lang w:eastAsia="pl-PL"/>
        </w:rPr>
      </w:pPr>
      <w:r w:rsidRPr="00FE2379">
        <w:rPr>
          <w:rFonts w:ascii="Times New Roman" w:eastAsia="Times New Roman" w:hAnsi="Times New Roman" w:cs="Times New Roman"/>
          <w:b/>
          <w:color w:val="000000"/>
          <w:sz w:val="24"/>
          <w:szCs w:val="24"/>
          <w:lang w:eastAsia="pl-PL"/>
        </w:rPr>
        <w:t>2.</w:t>
      </w:r>
      <w:r>
        <w:rPr>
          <w:rFonts w:ascii="Times New Roman" w:eastAsia="Times New Roman" w:hAnsi="Times New Roman" w:cs="Times New Roman"/>
          <w:b/>
          <w:color w:val="000000"/>
          <w:sz w:val="24"/>
          <w:szCs w:val="24"/>
          <w:lang w:eastAsia="pl-PL"/>
        </w:rPr>
        <w:tab/>
      </w:r>
      <w:r w:rsidRPr="00FE2379">
        <w:rPr>
          <w:rFonts w:ascii="Times New Roman" w:eastAsia="Times New Roman" w:hAnsi="Times New Roman" w:cs="Times New Roman"/>
          <w:b/>
          <w:color w:val="000000"/>
          <w:sz w:val="24"/>
          <w:szCs w:val="24"/>
          <w:lang w:eastAsia="pl-PL"/>
        </w:rPr>
        <w:t>Różnice między dotychczasowym a projektowanym stanem prawnym</w:t>
      </w:r>
      <w:r w:rsidR="003E6ED9">
        <w:rPr>
          <w:rFonts w:ascii="Times New Roman" w:eastAsia="Times New Roman" w:hAnsi="Times New Roman" w:cs="Times New Roman"/>
          <w:b/>
          <w:color w:val="000000"/>
          <w:sz w:val="24"/>
          <w:szCs w:val="24"/>
          <w:lang w:eastAsia="pl-PL"/>
        </w:rPr>
        <w:t>.</w:t>
      </w:r>
    </w:p>
    <w:p w14:paraId="14A4C96E" w14:textId="42E32158" w:rsidR="00FE2379" w:rsidRPr="00FE2379" w:rsidRDefault="00FE2379" w:rsidP="00281351">
      <w:pPr>
        <w:spacing w:before="120" w:after="0" w:line="360" w:lineRule="auto"/>
        <w:jc w:val="both"/>
        <w:rPr>
          <w:rFonts w:ascii="Times New Roman" w:eastAsia="Calibri" w:hAnsi="Times New Roman" w:cs="Times New Roman"/>
          <w:sz w:val="24"/>
          <w:szCs w:val="24"/>
        </w:rPr>
      </w:pPr>
      <w:r w:rsidRPr="00FE2379">
        <w:rPr>
          <w:rFonts w:ascii="Times New Roman" w:eastAsia="Calibri" w:hAnsi="Times New Roman" w:cs="Times New Roman"/>
          <w:sz w:val="24"/>
          <w:szCs w:val="24"/>
        </w:rPr>
        <w:t xml:space="preserve">W polsko – singapurskich stosunkach </w:t>
      </w:r>
      <w:proofErr w:type="spellStart"/>
      <w:r w:rsidRPr="00FE2379">
        <w:rPr>
          <w:rFonts w:ascii="Times New Roman" w:eastAsia="Calibri" w:hAnsi="Times New Roman" w:cs="Times New Roman"/>
          <w:sz w:val="24"/>
          <w:szCs w:val="24"/>
        </w:rPr>
        <w:t>prawno</w:t>
      </w:r>
      <w:proofErr w:type="spellEnd"/>
      <w:r w:rsidRPr="00FE2379">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FE2379">
        <w:rPr>
          <w:rFonts w:ascii="Times New Roman" w:eastAsia="Calibri" w:hAnsi="Times New Roman" w:cs="Times New Roman"/>
          <w:sz w:val="24"/>
          <w:szCs w:val="24"/>
        </w:rPr>
        <w:t xml:space="preserve"> traktatowych w zakresie współpracy gospodarczej obowiązuje m.in. </w:t>
      </w:r>
      <w:r w:rsidRPr="00FE2379">
        <w:rPr>
          <w:rFonts w:ascii="Times New Roman" w:eastAsia="Calibri" w:hAnsi="Times New Roman" w:cs="Times New Roman"/>
          <w:i/>
          <w:sz w:val="24"/>
          <w:szCs w:val="24"/>
        </w:rPr>
        <w:t>Umowa między Rządem Rzeczypospolitej Polskiej a Rządem Republiki Singapuru o ochronie i popieraniu inwestycji, sporządzona w Warszawie dnia 3 czerwca 1993 r.</w:t>
      </w:r>
      <w:r w:rsidRPr="00FE2379">
        <w:rPr>
          <w:rFonts w:ascii="Times New Roman" w:eastAsia="Calibri" w:hAnsi="Times New Roman" w:cs="Times New Roman"/>
          <w:sz w:val="24"/>
          <w:szCs w:val="24"/>
        </w:rPr>
        <w:t xml:space="preserve"> (Dz. U. z 1994 r. poz. 237) (dalej jako „Umowa BIT”). Zgodnie z art. 4.12 Umowy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Umowa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z dniem wejścia w życie zastąpi ww. Umowę BIT. </w:t>
      </w:r>
    </w:p>
    <w:p w14:paraId="204469AB" w14:textId="77777777" w:rsidR="00FE2379" w:rsidRPr="00FE2379" w:rsidRDefault="00FE2379" w:rsidP="00281351">
      <w:pPr>
        <w:spacing w:before="120" w:after="0" w:line="360" w:lineRule="auto"/>
        <w:jc w:val="both"/>
        <w:rPr>
          <w:rFonts w:ascii="Times New Roman" w:eastAsia="Calibri" w:hAnsi="Times New Roman" w:cs="Times New Roman"/>
          <w:sz w:val="24"/>
          <w:szCs w:val="24"/>
        </w:rPr>
      </w:pPr>
      <w:r w:rsidRPr="00FE2379">
        <w:rPr>
          <w:rFonts w:ascii="Times New Roman" w:eastAsia="Calibri" w:hAnsi="Times New Roman" w:cs="Times New Roman"/>
          <w:sz w:val="24"/>
          <w:szCs w:val="24"/>
        </w:rPr>
        <w:t xml:space="preserve">W porządku prawnym funkcjonuje również </w:t>
      </w:r>
      <w:r w:rsidRPr="00FE2379">
        <w:rPr>
          <w:rFonts w:ascii="Times New Roman" w:eastAsia="Calibri" w:hAnsi="Times New Roman" w:cs="Times New Roman"/>
          <w:i/>
          <w:iCs/>
          <w:sz w:val="24"/>
          <w:szCs w:val="24"/>
        </w:rPr>
        <w:t>Umowa o wolnym handlu między Unią Europejską a Republiką Singapuru, sporządzona w Brukseli dnia 19 października 2018 r.</w:t>
      </w:r>
      <w:r w:rsidRPr="00281351">
        <w:rPr>
          <w:rFonts w:ascii="Times New Roman" w:eastAsia="Calibri" w:hAnsi="Times New Roman" w:cs="Times New Roman"/>
          <w:sz w:val="24"/>
          <w:szCs w:val="24"/>
        </w:rPr>
        <w:t>,</w:t>
      </w:r>
      <w:r w:rsidRPr="00FE2379">
        <w:rPr>
          <w:rFonts w:ascii="Times New Roman" w:eastAsia="Calibri" w:hAnsi="Times New Roman" w:cs="Times New Roman"/>
          <w:sz w:val="24"/>
          <w:szCs w:val="24"/>
        </w:rPr>
        <w:t xml:space="preserve"> która weszła w życie dnia 21 listopada 2019 r. (Dz. Urz. UE L 294 z 14.11.2019, str. 3).</w:t>
      </w:r>
    </w:p>
    <w:p w14:paraId="5B37E23B" w14:textId="1E830E9A" w:rsidR="00FE2379" w:rsidRPr="00FE2379" w:rsidRDefault="00FE2379" w:rsidP="00281351">
      <w:pPr>
        <w:spacing w:before="120" w:after="0" w:line="360" w:lineRule="auto"/>
        <w:jc w:val="both"/>
        <w:rPr>
          <w:rFonts w:ascii="Times New Roman" w:eastAsia="Calibri" w:hAnsi="Times New Roman" w:cs="Times New Roman"/>
          <w:sz w:val="24"/>
          <w:szCs w:val="24"/>
        </w:rPr>
      </w:pPr>
      <w:r w:rsidRPr="00FE2379">
        <w:rPr>
          <w:rFonts w:ascii="Times New Roman" w:eastAsia="Calibri" w:hAnsi="Times New Roman" w:cs="Times New Roman"/>
          <w:sz w:val="24"/>
          <w:szCs w:val="24"/>
        </w:rPr>
        <w:t>Generalnie z punktu widzenia państwa, które jest pozywane w sporach inwestycyjnych</w:t>
      </w:r>
      <w:r w:rsidR="003E6ED9">
        <w:rPr>
          <w:rFonts w:ascii="Times New Roman" w:eastAsia="Calibri" w:hAnsi="Times New Roman" w:cs="Times New Roman"/>
          <w:sz w:val="24"/>
          <w:szCs w:val="24"/>
        </w:rPr>
        <w:t>,</w:t>
      </w:r>
      <w:r w:rsidRPr="00FE2379">
        <w:rPr>
          <w:rFonts w:ascii="Times New Roman" w:eastAsia="Calibri" w:hAnsi="Times New Roman" w:cs="Times New Roman"/>
          <w:sz w:val="24"/>
          <w:szCs w:val="24"/>
        </w:rPr>
        <w:t xml:space="preserve"> Umowa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wprowadza korzystniejsze postanowienia w zakresie gwarancji materialnych w porównaniu do Umowy BIT.</w:t>
      </w:r>
    </w:p>
    <w:p w14:paraId="28A891B9" w14:textId="24D3F76C" w:rsidR="00FE2379" w:rsidRPr="00FE2379" w:rsidRDefault="00FE2379" w:rsidP="00281351">
      <w:pPr>
        <w:spacing w:before="120" w:after="0" w:line="360" w:lineRule="auto"/>
        <w:jc w:val="both"/>
        <w:rPr>
          <w:rFonts w:ascii="Times New Roman" w:eastAsia="Calibri" w:hAnsi="Times New Roman" w:cs="Times New Roman"/>
          <w:sz w:val="24"/>
          <w:szCs w:val="24"/>
        </w:rPr>
      </w:pPr>
      <w:r w:rsidRPr="00FE2379">
        <w:rPr>
          <w:rFonts w:ascii="Times New Roman" w:eastAsia="Calibri" w:hAnsi="Times New Roman" w:cs="Times New Roman"/>
          <w:sz w:val="24"/>
          <w:szCs w:val="24"/>
        </w:rPr>
        <w:lastRenderedPageBreak/>
        <w:t xml:space="preserve">Umowa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jest drugą umową, po </w:t>
      </w:r>
      <w:r w:rsidRPr="00FE2379">
        <w:rPr>
          <w:rFonts w:ascii="Times New Roman" w:eastAsia="Calibri" w:hAnsi="Times New Roman" w:cs="Times New Roman"/>
          <w:i/>
          <w:sz w:val="24"/>
          <w:szCs w:val="24"/>
        </w:rPr>
        <w:t>Kompleksowej umowie gospodarczo-handlowej między Kanadą, z jednej strony, a Unią Europejską i jej państwami członkowskimi, z drugiej strony</w:t>
      </w:r>
      <w:r w:rsidRPr="00FE2379">
        <w:rPr>
          <w:rFonts w:ascii="Times New Roman" w:eastAsia="Calibri" w:hAnsi="Times New Roman" w:cs="Times New Roman"/>
          <w:sz w:val="24"/>
          <w:szCs w:val="24"/>
        </w:rPr>
        <w:t xml:space="preserve"> </w:t>
      </w:r>
      <w:r w:rsidRPr="00FE2379">
        <w:rPr>
          <w:rFonts w:ascii="Times New Roman" w:eastAsia="Calibri" w:hAnsi="Times New Roman" w:cs="Times New Roman"/>
          <w:i/>
          <w:sz w:val="24"/>
          <w:szCs w:val="24"/>
        </w:rPr>
        <w:t>(</w:t>
      </w:r>
      <w:proofErr w:type="spellStart"/>
      <w:r w:rsidRPr="00FE2379">
        <w:rPr>
          <w:rFonts w:ascii="Times New Roman" w:eastAsia="Calibri" w:hAnsi="Times New Roman" w:cs="Times New Roman"/>
          <w:i/>
          <w:sz w:val="24"/>
          <w:szCs w:val="24"/>
        </w:rPr>
        <w:t>CETA</w:t>
      </w:r>
      <w:proofErr w:type="spellEnd"/>
      <w:r w:rsidRPr="00FE2379">
        <w:rPr>
          <w:rFonts w:ascii="Times New Roman" w:eastAsia="Calibri" w:hAnsi="Times New Roman" w:cs="Times New Roman"/>
          <w:i/>
          <w:sz w:val="24"/>
          <w:szCs w:val="24"/>
        </w:rPr>
        <w:t xml:space="preserve">) </w:t>
      </w:r>
      <w:r w:rsidRPr="00FE2379">
        <w:rPr>
          <w:rFonts w:ascii="Times New Roman" w:eastAsia="Calibri" w:hAnsi="Times New Roman" w:cs="Times New Roman"/>
          <w:sz w:val="24"/>
          <w:szCs w:val="24"/>
        </w:rPr>
        <w:t xml:space="preserve">w obszarze ochrony inwestycji, która zawiera elementy nowego podejścia UE i państw członkowskich UE do ochrony inwestycji i mechanizmu rozstrzygania sporów inwestycyjnych. Zrównuje ona, w porównaniu do ww. Umowy BIT, ochronę inwestorów i ich inwestycji z prawami Państwa-Strony. Ponadto Umowa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doprecyzowuje standardy ochrony inwestycji w celu ograniczenia stosowanej przez międzynarodowe trybunały arbitrażowe szerokiej i często niespójnej interpretacji ogólnie sformułowanych postanowień umów o popieraniu i ochronie inwestycji.</w:t>
      </w:r>
    </w:p>
    <w:p w14:paraId="0CFF1E4B" w14:textId="72C7BD07" w:rsidR="00FE2379" w:rsidRPr="00FE2379" w:rsidRDefault="00FE2379" w:rsidP="00281351">
      <w:pPr>
        <w:spacing w:before="120" w:after="0" w:line="360" w:lineRule="auto"/>
        <w:jc w:val="both"/>
        <w:rPr>
          <w:rFonts w:ascii="Times New Roman" w:eastAsia="Calibri" w:hAnsi="Times New Roman" w:cs="Times New Roman"/>
          <w:sz w:val="24"/>
          <w:szCs w:val="24"/>
        </w:rPr>
      </w:pPr>
      <w:r w:rsidRPr="00FE2379">
        <w:rPr>
          <w:rFonts w:ascii="Times New Roman" w:eastAsia="Calibri" w:hAnsi="Times New Roman" w:cs="Times New Roman"/>
          <w:sz w:val="24"/>
          <w:szCs w:val="24"/>
        </w:rPr>
        <w:t xml:space="preserve">Umowa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ma zapewnić wysoki poziom ochrony inwestycji, gwarantując jednocześnie UE i jej państwom członkowskim oraz Singapurowi prawo do wprowadzania regulacji na swoim terytorium w celu osiągania uzasadnionych celów polityki, takich jak ochrona zdrowia publicznego, usług społecznych, edukacji publicznej, bezpieczeństwa, środowiska lub moralności publicznej, ochrona socjalna lub ochrona konsumenta, ochrona danych i ochrona prywatności oraz promowanie i ochrona różnorodności kulturowej (art. 2.2.1). Co ważne, katalog obszarów prawa do regulacji jest otwarty. Ponadto sam fakt, że Strona Umowy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wprowadza regulacje, w tym poprzez zmianę swoich przepisów, w sposób mający niekorzystny wpływ na inwestycje lub niezgodny z oczekiwaniami inwestora, w tym jego oczekiwaniami zysków, nie stanowi naruszenia zobowiązań wynikających z rozdziału drugiego Ochrona inwestycji (art. 2.2.2).</w:t>
      </w:r>
    </w:p>
    <w:p w14:paraId="711A3B6D" w14:textId="5155140F" w:rsidR="00FE2379" w:rsidRPr="00FE2379" w:rsidRDefault="00FE2379" w:rsidP="00281351">
      <w:pPr>
        <w:spacing w:before="120" w:after="0" w:line="360" w:lineRule="auto"/>
        <w:jc w:val="both"/>
        <w:rPr>
          <w:rFonts w:ascii="Times New Roman" w:eastAsia="Calibri" w:hAnsi="Times New Roman" w:cs="Times New Roman"/>
          <w:sz w:val="24"/>
          <w:szCs w:val="24"/>
        </w:rPr>
      </w:pPr>
      <w:r w:rsidRPr="00FE2379">
        <w:rPr>
          <w:rFonts w:ascii="Times New Roman" w:eastAsia="Calibri" w:hAnsi="Times New Roman" w:cs="Times New Roman"/>
          <w:sz w:val="24"/>
          <w:szCs w:val="24"/>
        </w:rPr>
        <w:t xml:space="preserve">W Umowie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doprecyzowano i zawężono w porównaniu do Umowy BIT definicję inwestora, poprzez wskazanie, że jest to osoba fizyczna lub prawna pochodząca z jednej Strony Umowy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która dokonała inwestycji na terytorium drugiej Strony</w:t>
      </w:r>
      <w:r w:rsidR="00786AB8">
        <w:rPr>
          <w:rFonts w:ascii="Times New Roman" w:eastAsia="Calibri" w:hAnsi="Times New Roman" w:cs="Times New Roman"/>
          <w:sz w:val="24"/>
          <w:szCs w:val="24"/>
        </w:rPr>
        <w:t>,</w:t>
      </w:r>
      <w:r w:rsidRPr="00FE2379">
        <w:rPr>
          <w:rFonts w:ascii="Times New Roman" w:eastAsia="Calibri" w:hAnsi="Times New Roman" w:cs="Times New Roman"/>
          <w:sz w:val="24"/>
          <w:szCs w:val="24"/>
        </w:rPr>
        <w:t xml:space="preserve"> oraz, że jest ona rzeczywiście i trwale powiązana gospodarczo z krajem pochodzenia inwestora poprzez posiadanie siedziby, zarządu lub głównego miejsca prowadzenia działalności w tym kraju. Inwestor, zgodnie z postanowieniami Umowy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musi być zaangażowany w znaczące operacje gospodarcze na terytorium kraju, którego jest inwestorem (art. 1.2.3 i 1.2.6). </w:t>
      </w:r>
    </w:p>
    <w:p w14:paraId="7E8A8A5F" w14:textId="6EE674FC" w:rsidR="00FE2379" w:rsidRPr="00FE2379" w:rsidRDefault="00FE2379" w:rsidP="00281351">
      <w:pPr>
        <w:spacing w:before="120" w:after="0" w:line="360" w:lineRule="auto"/>
        <w:jc w:val="both"/>
        <w:rPr>
          <w:rFonts w:ascii="Times New Roman" w:eastAsia="Calibri" w:hAnsi="Times New Roman" w:cs="Times New Roman"/>
          <w:sz w:val="24"/>
          <w:szCs w:val="24"/>
        </w:rPr>
      </w:pPr>
      <w:r w:rsidRPr="00FE2379">
        <w:rPr>
          <w:rFonts w:ascii="Times New Roman" w:eastAsia="Calibri" w:hAnsi="Times New Roman" w:cs="Times New Roman"/>
          <w:sz w:val="24"/>
          <w:szCs w:val="24"/>
        </w:rPr>
        <w:t xml:space="preserve">Zgodnie z Umową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inwestorzy z państw członkowskich UE i ich inwestycje w Singapurze</w:t>
      </w:r>
      <w:r w:rsidR="00786AB8">
        <w:rPr>
          <w:rFonts w:ascii="Times New Roman" w:eastAsia="Calibri" w:hAnsi="Times New Roman" w:cs="Times New Roman"/>
          <w:sz w:val="24"/>
          <w:szCs w:val="24"/>
        </w:rPr>
        <w:t>,</w:t>
      </w:r>
      <w:r w:rsidRPr="00FE2379">
        <w:rPr>
          <w:rFonts w:ascii="Times New Roman" w:eastAsia="Calibri" w:hAnsi="Times New Roman" w:cs="Times New Roman"/>
          <w:sz w:val="24"/>
          <w:szCs w:val="24"/>
        </w:rPr>
        <w:t xml:space="preserve"> a także inwestorzy singapurscy i ich inwestycje w państwach członkowskich UE będą uczciwie i sprawiedliwie traktowani, objęci pełną ochroną i bezpieczeństwem oraz nie będą dyskryminowani w porównaniu do inwestycji singapurskich. W Umowie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doprecyzowano klauzulę uczciwego i sprawiedliwego traktowania (klauzula FET). Zawiera ona (art. 2.4) zamknięty katalog elementów: odmowa ochrony prawnej w postępowaniu karnym, cywilnym </w:t>
      </w:r>
      <w:r w:rsidRPr="00FE2379">
        <w:rPr>
          <w:rFonts w:ascii="Times New Roman" w:eastAsia="Calibri" w:hAnsi="Times New Roman" w:cs="Times New Roman"/>
          <w:sz w:val="24"/>
          <w:szCs w:val="24"/>
        </w:rPr>
        <w:lastRenderedPageBreak/>
        <w:t xml:space="preserve">i administracyjnym; rażące naruszenie zasad sprawiedliwości proceduralnej; wyraźnie arbitralne zachowanie; nękanie, wymuszenie, nadużycie władzy lub podobne działanie w złej wierze. Co więcej „uzasadnione oczekiwania inwestora”, standardowy element klauzuli FET w umowach o popieraniu i ochronie inwestycji, nie są w Umowie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składowym elementem klauzuli FET i mogą być wzięte pod uwagę przez stały sąd inwestycyjny w stosownych przypadkach. Doprecyzowanie klauzuli FET w Umowie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poprzez wskazanie zamkniętego katalogu elementów ma na celu zapewnienie pewności i przewidywalności prawa, ponieważ wskazuje stałemu sądowi inwestycyjnemu, powołanemu na podstawie Umowy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kierunek interpretacji klauzuli FET. Złamanie klauzuli FET przez Państwo jest obecnie główną podstawą roszczeń wysuwanych przez inwestorów zagranicznych wobec państwa w ramach postępowań arbitrażowych prowadzonych na podstawie umów o popieraniu i ochronie inwestycji. Jest to możliwe, ponieważ w większości tych umów klauzula FET jest ogólnie sformułowana (jako uczciwe i sprawiedliwe traktowanie, jak w Umowie BIT), co przyznaje międzynarodowym trybunałom arbitrażowym swobodną ocenę treści tego standardu, w ramach danych umów, co w dotychczasowym orzecznictwie doprowadziło do szerokiej interpretacji klauzuli FET. </w:t>
      </w:r>
    </w:p>
    <w:p w14:paraId="19273270" w14:textId="77777777" w:rsidR="00FE2379" w:rsidRPr="00FE2379" w:rsidRDefault="00FE2379" w:rsidP="00281351">
      <w:pPr>
        <w:spacing w:before="120" w:after="0" w:line="360" w:lineRule="auto"/>
        <w:jc w:val="both"/>
        <w:rPr>
          <w:rFonts w:ascii="Times New Roman" w:eastAsia="Calibri" w:hAnsi="Times New Roman" w:cs="Times New Roman"/>
          <w:sz w:val="24"/>
          <w:szCs w:val="24"/>
        </w:rPr>
      </w:pPr>
      <w:r w:rsidRPr="00FE2379">
        <w:rPr>
          <w:rFonts w:ascii="Times New Roman" w:eastAsia="Calibri" w:hAnsi="Times New Roman" w:cs="Times New Roman"/>
          <w:sz w:val="24"/>
          <w:szCs w:val="24"/>
        </w:rPr>
        <w:t xml:space="preserve">Umowa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ma zapewnić inwestorom z państw członkowskich UE i ich inwestycjom w Singapurze oraz inwestorom i inwestycjom singapurskim w UE ochronę przed wywłaszczeniem, chyba że jest ono prowadzone na cele publiczne, zgodnie z odpowiednimi procedurami, w sposób niedyskryminujący i w zamian za szybką, odpowiednią i skuteczną rekompensatę według godziwej wartości rynkowej wywłaszczonej inwestycji (art. 2.6). </w:t>
      </w:r>
    </w:p>
    <w:p w14:paraId="5470F8F4" w14:textId="7D26DBB7" w:rsidR="00FE2379" w:rsidRPr="00FE2379" w:rsidRDefault="00FE2379" w:rsidP="00281351">
      <w:pPr>
        <w:spacing w:before="120" w:after="0" w:line="360" w:lineRule="auto"/>
        <w:jc w:val="both"/>
        <w:rPr>
          <w:rFonts w:ascii="Times New Roman" w:eastAsia="Calibri" w:hAnsi="Times New Roman" w:cs="Times New Roman"/>
          <w:sz w:val="24"/>
          <w:szCs w:val="24"/>
        </w:rPr>
      </w:pPr>
      <w:r w:rsidRPr="00FE2379">
        <w:rPr>
          <w:rFonts w:ascii="Times New Roman" w:eastAsia="Calibri" w:hAnsi="Times New Roman" w:cs="Times New Roman"/>
          <w:sz w:val="24"/>
          <w:szCs w:val="24"/>
        </w:rPr>
        <w:t xml:space="preserve">Umowa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ustanawia standard dalej idący niż wynikający z art. 1 Pierwszego protokołu dodatkowego do Europejskiej konwencji praw człowieka i art. 21 Konstytucji RP, które mówią o słusznym odszkodowaniu. Słuszne odszkodowanie umożliwia wypłatę rekompensaty mniejszej niż wartość rynkowa inwestycji w uzasadnianych przypadkach</w:t>
      </w:r>
      <w:r w:rsidR="00786AB8">
        <w:rPr>
          <w:rFonts w:ascii="Times New Roman" w:eastAsia="Calibri" w:hAnsi="Times New Roman" w:cs="Times New Roman"/>
          <w:sz w:val="24"/>
          <w:szCs w:val="24"/>
        </w:rPr>
        <w:t>,</w:t>
      </w:r>
      <w:r w:rsidRPr="00FE2379">
        <w:rPr>
          <w:rFonts w:ascii="Times New Roman" w:eastAsia="Calibri" w:hAnsi="Times New Roman" w:cs="Times New Roman"/>
          <w:sz w:val="24"/>
          <w:szCs w:val="24"/>
        </w:rPr>
        <w:t xml:space="preserve"> biorąc pod uwagę równowagę interesów inwestora i interesów publicznych. Zasada „pełnej” rekompensaty stanowi jednak element nowego podejścia UE w unijnych umowach zawierających kwestie inwestycyjne i jest tym bardziej uzasadniona w przypadku Umowy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gdzie UE i Polska mają interes ofensywny z punktu widzenia relacji w obszarze inwestycji.</w:t>
      </w:r>
    </w:p>
    <w:p w14:paraId="0DECD69C" w14:textId="1A22D266" w:rsidR="00FE2379" w:rsidRPr="00FE2379" w:rsidRDefault="00FE2379" w:rsidP="00281351">
      <w:pPr>
        <w:spacing w:before="120" w:after="0" w:line="360" w:lineRule="auto"/>
        <w:jc w:val="both"/>
        <w:rPr>
          <w:rFonts w:ascii="Times New Roman" w:eastAsia="Calibri" w:hAnsi="Times New Roman" w:cs="Times New Roman"/>
          <w:sz w:val="24"/>
          <w:szCs w:val="24"/>
        </w:rPr>
      </w:pPr>
      <w:r w:rsidRPr="00FE2379">
        <w:rPr>
          <w:rFonts w:ascii="Times New Roman" w:eastAsia="Calibri" w:hAnsi="Times New Roman" w:cs="Times New Roman"/>
          <w:sz w:val="24"/>
          <w:szCs w:val="24"/>
        </w:rPr>
        <w:t xml:space="preserve">Umowa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zawiera klauzulę parasolową (art. 2.4.6). Nie jest to jednak szeroko sformułowana klauzula, która zwyczajowo w umowach o ochronie i popieraniu inwestycji zawartych przez Polskę jest gwarancją przestrzegania przez Państwo podjętych przez siebie zobowiązań w odniesieniu do inwestycji inwestorów drugiej Strony Umowy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W Umowie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klauzula jest zawężona do zobowiązań podjętych w ramach pisemnego zobowiązania umownego. </w:t>
      </w:r>
    </w:p>
    <w:p w14:paraId="445CF5E2" w14:textId="77777777" w:rsidR="00FE2379" w:rsidRPr="00FE2379" w:rsidRDefault="00FE2379" w:rsidP="00281351">
      <w:pPr>
        <w:spacing w:before="120" w:after="0" w:line="360" w:lineRule="auto"/>
        <w:jc w:val="both"/>
        <w:rPr>
          <w:rFonts w:ascii="Times New Roman" w:eastAsia="Calibri" w:hAnsi="Times New Roman" w:cs="Times New Roman"/>
          <w:sz w:val="24"/>
          <w:szCs w:val="24"/>
        </w:rPr>
      </w:pPr>
      <w:r w:rsidRPr="00FE2379">
        <w:rPr>
          <w:rFonts w:ascii="Times New Roman" w:eastAsia="Calibri" w:hAnsi="Times New Roman" w:cs="Times New Roman"/>
          <w:sz w:val="24"/>
          <w:szCs w:val="24"/>
        </w:rPr>
        <w:lastRenderedPageBreak/>
        <w:t xml:space="preserve">W obszarze mechanizmu rozstrzygania sporów między inwestorem a państwem Umowa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wprowadza wspomniany powyżej tzw. stały sąd inwestycyjny (dalej jako „Trybunał”). Trybunał odchodzi od klasycznego międzynarodowego arbitrażu inwestycyjnego (</w:t>
      </w:r>
      <w:proofErr w:type="spellStart"/>
      <w:r w:rsidRPr="00FE2379">
        <w:rPr>
          <w:rFonts w:ascii="Times New Roman" w:eastAsia="Calibri" w:hAnsi="Times New Roman" w:cs="Times New Roman"/>
          <w:sz w:val="24"/>
          <w:szCs w:val="24"/>
        </w:rPr>
        <w:t>ISDS</w:t>
      </w:r>
      <w:proofErr w:type="spellEnd"/>
      <w:r w:rsidRPr="00FE2379">
        <w:rPr>
          <w:rFonts w:ascii="Times New Roman" w:eastAsia="Calibri" w:hAnsi="Times New Roman" w:cs="Times New Roman"/>
          <w:sz w:val="24"/>
          <w:szCs w:val="24"/>
        </w:rPr>
        <w:t xml:space="preserve">), który jest przedmiotem krytyki opinii publicznej, i ewoluuje w kierunku sądu inwestycyjnego. Celem Stron Umowy jest dążenie, wspólnie i z innymi partnerami handlowymi, do ustanowienia Wielostronnego Trybunału Inwestycyjnego (tzw. </w:t>
      </w:r>
      <w:proofErr w:type="spellStart"/>
      <w:r w:rsidRPr="00FE2379">
        <w:rPr>
          <w:rFonts w:ascii="Times New Roman" w:eastAsia="Calibri" w:hAnsi="Times New Roman" w:cs="Times New Roman"/>
          <w:sz w:val="24"/>
          <w:szCs w:val="24"/>
        </w:rPr>
        <w:t>MIC</w:t>
      </w:r>
      <w:proofErr w:type="spellEnd"/>
      <w:r w:rsidRPr="00FE2379">
        <w:rPr>
          <w:rFonts w:ascii="Times New Roman" w:eastAsia="Calibri" w:hAnsi="Times New Roman" w:cs="Times New Roman"/>
          <w:sz w:val="24"/>
          <w:szCs w:val="24"/>
        </w:rPr>
        <w:t xml:space="preserve">), którego powołanie Polska popiera, który obejmie swoją jurysdykcją spory inwestycyjne powstałe na podstawie ww. Umowy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(art. 3.12). </w:t>
      </w:r>
    </w:p>
    <w:p w14:paraId="0305A92B" w14:textId="04371F88" w:rsidR="00FE2379" w:rsidRPr="00FE2379" w:rsidRDefault="00FE2379" w:rsidP="00281351">
      <w:pPr>
        <w:spacing w:before="120" w:after="0" w:line="360" w:lineRule="auto"/>
        <w:jc w:val="both"/>
        <w:rPr>
          <w:rFonts w:ascii="Times New Roman" w:eastAsia="Calibri" w:hAnsi="Times New Roman" w:cs="Times New Roman"/>
          <w:sz w:val="24"/>
          <w:szCs w:val="24"/>
        </w:rPr>
      </w:pPr>
      <w:r w:rsidRPr="00FE2379">
        <w:rPr>
          <w:rFonts w:ascii="Times New Roman" w:eastAsia="Calibri" w:hAnsi="Times New Roman" w:cs="Times New Roman"/>
          <w:sz w:val="24"/>
          <w:szCs w:val="24"/>
        </w:rPr>
        <w:t xml:space="preserve">Trybunał w Umowie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jest złożony z Trybunału Pierwszej Instancji oraz z Trybunału Odwoławczego (w obecnym </w:t>
      </w:r>
      <w:proofErr w:type="spellStart"/>
      <w:r w:rsidRPr="00FE2379">
        <w:rPr>
          <w:rFonts w:ascii="Times New Roman" w:eastAsia="Calibri" w:hAnsi="Times New Roman" w:cs="Times New Roman"/>
          <w:sz w:val="24"/>
          <w:szCs w:val="24"/>
        </w:rPr>
        <w:t>ISDS</w:t>
      </w:r>
      <w:proofErr w:type="spellEnd"/>
      <w:r w:rsidRPr="00FE2379">
        <w:rPr>
          <w:rFonts w:ascii="Times New Roman" w:eastAsia="Calibri" w:hAnsi="Times New Roman" w:cs="Times New Roman"/>
          <w:sz w:val="24"/>
          <w:szCs w:val="24"/>
        </w:rPr>
        <w:t xml:space="preserve"> nie ma organu odwoławczego w ramach postępowania arbitrażowego). Członkowie Trybunału Pierwszej Instancji (art. 3.9) mają być wybierani do orzekania w sporze przez Prezesa Trybunału z listy ustanawianej przez Strony Umowy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(a nie, jak w tradycyjnym </w:t>
      </w:r>
      <w:proofErr w:type="spellStart"/>
      <w:r w:rsidRPr="00FE2379">
        <w:rPr>
          <w:rFonts w:ascii="Times New Roman" w:eastAsia="Calibri" w:hAnsi="Times New Roman" w:cs="Times New Roman"/>
          <w:sz w:val="24"/>
          <w:szCs w:val="24"/>
        </w:rPr>
        <w:t>ISDS</w:t>
      </w:r>
      <w:proofErr w:type="spellEnd"/>
      <w:r w:rsidRPr="00FE2379">
        <w:rPr>
          <w:rFonts w:ascii="Times New Roman" w:eastAsia="Calibri" w:hAnsi="Times New Roman" w:cs="Times New Roman"/>
          <w:sz w:val="24"/>
          <w:szCs w:val="24"/>
        </w:rPr>
        <w:t xml:space="preserve">, przez strony sporu). UE nominuje dwóch członków, Singapur nominuje dwóch członków oraz UE i Singapur nominują wspólnie dwóch członków, którzy nie są obywatelami żadnego państwa członkowskiego UE ani Singapuru. Liczba członków Trybunału może ulec zwiększeniu lub zmniejszeniu o liczbę będącą wielokrotnością liczby trzy. Skład orzekający w danej sprawie będzie stanowiło trzech członków </w:t>
      </w:r>
      <w:r>
        <w:rPr>
          <w:rFonts w:ascii="Times New Roman" w:eastAsia="Calibri" w:hAnsi="Times New Roman" w:cs="Times New Roman"/>
          <w:sz w:val="24"/>
          <w:szCs w:val="24"/>
        </w:rPr>
        <w:t>–</w:t>
      </w:r>
      <w:r w:rsidRPr="00FE2379">
        <w:rPr>
          <w:rFonts w:ascii="Times New Roman" w:eastAsia="Calibri" w:hAnsi="Times New Roman" w:cs="Times New Roman"/>
          <w:sz w:val="24"/>
          <w:szCs w:val="24"/>
        </w:rPr>
        <w:t xml:space="preserve"> po jednym z UE, Singapuru i kraju trzeciego </w:t>
      </w:r>
      <w:r>
        <w:rPr>
          <w:rFonts w:ascii="Times New Roman" w:eastAsia="Calibri" w:hAnsi="Times New Roman" w:cs="Times New Roman"/>
          <w:sz w:val="24"/>
          <w:szCs w:val="24"/>
        </w:rPr>
        <w:t>–</w:t>
      </w:r>
      <w:r w:rsidRPr="00FE2379">
        <w:rPr>
          <w:rFonts w:ascii="Times New Roman" w:eastAsia="Calibri" w:hAnsi="Times New Roman" w:cs="Times New Roman"/>
          <w:sz w:val="24"/>
          <w:szCs w:val="24"/>
        </w:rPr>
        <w:t xml:space="preserve"> a składowi będzie przewodniczył członek Trybunału będący obywatelem państwa trzeciego. Członkowie Trybunału będą powołani przez Prezesa Trybunału (którym będzie obywatel z państwa trzeciego) do zasiadania w składzie Trybunału rozpatrującym sprawę w systemie rotacyjnym, tak aby każdy skład był wybierany losowo i w sposób nieprzewidywalny, dając przy tym wszystkim członkom równe szanse orzekania. </w:t>
      </w:r>
    </w:p>
    <w:p w14:paraId="6A6C6D44" w14:textId="77777777" w:rsidR="00FE2379" w:rsidRPr="00FE2379" w:rsidRDefault="00FE2379" w:rsidP="00281351">
      <w:pPr>
        <w:spacing w:before="120" w:after="0" w:line="360" w:lineRule="auto"/>
        <w:jc w:val="both"/>
        <w:rPr>
          <w:rFonts w:ascii="Times New Roman" w:eastAsia="Calibri" w:hAnsi="Times New Roman" w:cs="Times New Roman"/>
          <w:sz w:val="24"/>
          <w:szCs w:val="24"/>
        </w:rPr>
      </w:pPr>
      <w:r w:rsidRPr="00FE2379">
        <w:rPr>
          <w:rFonts w:ascii="Times New Roman" w:eastAsia="Calibri" w:hAnsi="Times New Roman" w:cs="Times New Roman"/>
          <w:sz w:val="24"/>
          <w:szCs w:val="24"/>
        </w:rPr>
        <w:t xml:space="preserve">Trybunał Odwoławczy, którego zadaniem będzie rozpatrywanie </w:t>
      </w:r>
      <w:proofErr w:type="spellStart"/>
      <w:r w:rsidRPr="00FE2379">
        <w:rPr>
          <w:rFonts w:ascii="Times New Roman" w:eastAsia="Calibri" w:hAnsi="Times New Roman" w:cs="Times New Roman"/>
          <w:sz w:val="24"/>
          <w:szCs w:val="24"/>
        </w:rPr>
        <w:t>odwołań</w:t>
      </w:r>
      <w:proofErr w:type="spellEnd"/>
      <w:r w:rsidRPr="00FE2379">
        <w:rPr>
          <w:rFonts w:ascii="Times New Roman" w:eastAsia="Calibri" w:hAnsi="Times New Roman" w:cs="Times New Roman"/>
          <w:sz w:val="24"/>
          <w:szCs w:val="24"/>
        </w:rPr>
        <w:t xml:space="preserve"> od orzeczeń wydanych przez Trybunał Pierwszej Instancji (art. 3.10), będzie się składał z sześciu członków. Kwestie nominacji i wyboru do orzekania w danej sprawie są wzorowane na rozwiązaniach przyjętych dla składu i funkcjonowania Trybunału Pierwszej Instancji. </w:t>
      </w:r>
    </w:p>
    <w:p w14:paraId="501758CE" w14:textId="51C14C58" w:rsidR="00FE2379" w:rsidRPr="00FE2379" w:rsidRDefault="00FE2379" w:rsidP="00281351">
      <w:pPr>
        <w:spacing w:before="120" w:after="0" w:line="360" w:lineRule="auto"/>
        <w:jc w:val="both"/>
        <w:rPr>
          <w:rFonts w:ascii="Times New Roman" w:eastAsia="Calibri" w:hAnsi="Times New Roman" w:cs="Times New Roman"/>
          <w:sz w:val="24"/>
          <w:szCs w:val="24"/>
        </w:rPr>
      </w:pPr>
      <w:r w:rsidRPr="00FE2379">
        <w:rPr>
          <w:rFonts w:ascii="Times New Roman" w:eastAsia="Calibri" w:hAnsi="Times New Roman" w:cs="Times New Roman"/>
          <w:sz w:val="24"/>
          <w:szCs w:val="24"/>
        </w:rPr>
        <w:t xml:space="preserve">Na członków Trybunału mają być mianowane osoby o wysokich kwalifikacjach i etyce (art. 3.11). Członkowie Trybunału Pierwszej Instancji mają posiadać kwalifikacje wymagane w swoich państwach do powołania na stanowisko sędziego lub są prawnikami o uznanej reputacji. Posiadają oni specjalistyczną wiedzę lub doświadczenie z zakresu międzynarodowego prawa publicznego. Zaleca się, by członkowie Trybunału posiadali wiedzę fachową, w szczególności w zakresie międzynarodowego prawa inwestycyjnego, międzynarodowego prawa handlowego, lub rozstrzygania sporów związanych z międzynarodowymi umowami </w:t>
      </w:r>
      <w:r w:rsidRPr="00FE2379">
        <w:rPr>
          <w:rFonts w:ascii="Times New Roman" w:eastAsia="Calibri" w:hAnsi="Times New Roman" w:cs="Times New Roman"/>
          <w:sz w:val="24"/>
          <w:szCs w:val="24"/>
        </w:rPr>
        <w:lastRenderedPageBreak/>
        <w:t xml:space="preserve">inwestycyjnymi lub handlowymi (art. 3.9.4.). Wobec członków Trybunału Odwoławczego stosuje się jeszcze wyższe kryteria </w:t>
      </w:r>
      <w:r>
        <w:rPr>
          <w:rFonts w:ascii="Times New Roman" w:eastAsia="Calibri" w:hAnsi="Times New Roman" w:cs="Times New Roman"/>
          <w:sz w:val="24"/>
          <w:szCs w:val="24"/>
        </w:rPr>
        <w:t>–</w:t>
      </w:r>
      <w:r w:rsidRPr="00FE2379">
        <w:rPr>
          <w:rFonts w:ascii="Times New Roman" w:eastAsia="Calibri" w:hAnsi="Times New Roman" w:cs="Times New Roman"/>
          <w:sz w:val="24"/>
          <w:szCs w:val="24"/>
        </w:rPr>
        <w:t xml:space="preserve"> członkowie Trybunału Odwoławczego mają posiadać kwalifikacje wymagane w swoich państwach do powołania na najwyższe stanowiska sędziego lub są prawnikami o uznanej reputacji (art. 3.10.4). </w:t>
      </w:r>
    </w:p>
    <w:p w14:paraId="400BD2D8" w14:textId="69C6B428" w:rsidR="00FE2379" w:rsidRPr="00FE2379" w:rsidRDefault="00FE2379" w:rsidP="00281351">
      <w:pPr>
        <w:spacing w:before="120" w:after="0" w:line="360" w:lineRule="auto"/>
        <w:jc w:val="both"/>
        <w:rPr>
          <w:rFonts w:ascii="Times New Roman" w:eastAsia="Calibri" w:hAnsi="Times New Roman" w:cs="Times New Roman"/>
          <w:sz w:val="24"/>
          <w:szCs w:val="24"/>
        </w:rPr>
      </w:pPr>
      <w:r w:rsidRPr="00FE2379">
        <w:rPr>
          <w:rFonts w:ascii="Times New Roman" w:eastAsia="Calibri" w:hAnsi="Times New Roman" w:cs="Times New Roman"/>
          <w:sz w:val="24"/>
          <w:szCs w:val="24"/>
        </w:rPr>
        <w:t xml:space="preserve">Członkowie Trybunału są wybierani spośród osób, których niezależność jest niekwestionowana. Nie mogą być powiązani z żadnym rządem, a w szczególności nie przyjmują instrukcji od żadnego rządu lub organizacji w sprawach związanych ze sporem. Nie uczestniczą w rozpatrywaniu żadnej sprawy, która powodowałaby bezpośrednio lub pośrednio konflikt interesów. Muszą spełniać wymogi załączonego do Umowy Kodeksu postępowania Członków Trybunału, Trybunału Odwoławczego i mediatorów. Ponadto, po mianowaniu, wstrzymują się od działania w charakterze pełnomocnika, wyznaczonego przez stronę sporu eksperta lub wyznaczonego przez stronę sporu świadka w jakimkolwiek toczącym się lub nowym sporze dotyczącym ochrony inwestycji w ramach niniejszej lub innej umowy lub prawa krajowego. To zapobiega łączeniu funkcji pełnomocnika i sędziego/arbitra w sporach (tzw. </w:t>
      </w:r>
      <w:proofErr w:type="spellStart"/>
      <w:r w:rsidRPr="00FE2379">
        <w:rPr>
          <w:rFonts w:ascii="Times New Roman" w:eastAsia="Calibri" w:hAnsi="Times New Roman" w:cs="Times New Roman"/>
          <w:i/>
          <w:iCs/>
          <w:sz w:val="24"/>
          <w:szCs w:val="24"/>
        </w:rPr>
        <w:t>doublehatting</w:t>
      </w:r>
      <w:proofErr w:type="spellEnd"/>
      <w:r w:rsidRPr="00FE2379">
        <w:rPr>
          <w:rFonts w:ascii="Times New Roman" w:eastAsia="Calibri" w:hAnsi="Times New Roman" w:cs="Times New Roman"/>
          <w:sz w:val="24"/>
          <w:szCs w:val="24"/>
        </w:rPr>
        <w:t xml:space="preserve">), która to praktyka jest podnoszona na fali krytyki </w:t>
      </w:r>
      <w:proofErr w:type="spellStart"/>
      <w:r w:rsidRPr="00FE2379">
        <w:rPr>
          <w:rFonts w:ascii="Times New Roman" w:eastAsia="Calibri" w:hAnsi="Times New Roman" w:cs="Times New Roman"/>
          <w:sz w:val="24"/>
          <w:szCs w:val="24"/>
        </w:rPr>
        <w:t>ISDS</w:t>
      </w:r>
      <w:proofErr w:type="spellEnd"/>
      <w:r w:rsidRPr="00FE2379">
        <w:rPr>
          <w:rFonts w:ascii="Times New Roman" w:eastAsia="Calibri" w:hAnsi="Times New Roman" w:cs="Times New Roman"/>
          <w:sz w:val="24"/>
          <w:szCs w:val="24"/>
        </w:rPr>
        <w:t>. W zamian wprowadza się kadencyjność (8</w:t>
      </w:r>
      <w:r>
        <w:rPr>
          <w:rFonts w:ascii="Times New Roman" w:eastAsia="Calibri" w:hAnsi="Times New Roman" w:cs="Times New Roman"/>
          <w:sz w:val="24"/>
          <w:szCs w:val="24"/>
        </w:rPr>
        <w:t>–</w:t>
      </w:r>
      <w:r w:rsidRPr="00FE2379">
        <w:rPr>
          <w:rFonts w:ascii="Times New Roman" w:eastAsia="Calibri" w:hAnsi="Times New Roman" w:cs="Times New Roman"/>
          <w:sz w:val="24"/>
          <w:szCs w:val="24"/>
        </w:rPr>
        <w:t xml:space="preserve">12 lat) oraz wynagrodzenia dla członków Trybunału. Umowa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przewiduje także możliwość wniesienia sprzeciwu przez stronę sporu wobec mianowania członka Trybunału do sporu, który podlega decyzji Prezesa Trybunału lub Prezesa Trybunału Odwoławczego. Ponadto Umowa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przewiduje możliwość usunięcia członka z Trybunału. </w:t>
      </w:r>
    </w:p>
    <w:p w14:paraId="6227E25F" w14:textId="50C90CD7" w:rsidR="00FE2379" w:rsidRPr="00FE2379" w:rsidRDefault="00FE2379" w:rsidP="00281351">
      <w:pPr>
        <w:spacing w:before="120" w:after="0" w:line="360" w:lineRule="auto"/>
        <w:jc w:val="both"/>
        <w:rPr>
          <w:rFonts w:ascii="Times New Roman" w:eastAsia="Calibri" w:hAnsi="Times New Roman" w:cs="Times New Roman"/>
          <w:sz w:val="24"/>
          <w:szCs w:val="24"/>
        </w:rPr>
      </w:pPr>
      <w:r w:rsidRPr="00FE2379">
        <w:rPr>
          <w:rFonts w:ascii="Times New Roman" w:eastAsia="Calibri" w:hAnsi="Times New Roman" w:cs="Times New Roman"/>
          <w:sz w:val="24"/>
          <w:szCs w:val="24"/>
        </w:rPr>
        <w:t xml:space="preserve">Zmiany dotyczące kwalifikacji i etyki członków Trybunału należy ocenić pozytywnie z punktu widzenia reformy </w:t>
      </w:r>
      <w:proofErr w:type="spellStart"/>
      <w:r w:rsidRPr="00FE2379">
        <w:rPr>
          <w:rFonts w:ascii="Times New Roman" w:eastAsia="Calibri" w:hAnsi="Times New Roman" w:cs="Times New Roman"/>
          <w:sz w:val="24"/>
          <w:szCs w:val="24"/>
        </w:rPr>
        <w:t>ISDS</w:t>
      </w:r>
      <w:proofErr w:type="spellEnd"/>
      <w:r w:rsidRPr="00FE2379">
        <w:rPr>
          <w:rFonts w:ascii="Times New Roman" w:eastAsia="Calibri" w:hAnsi="Times New Roman" w:cs="Times New Roman"/>
          <w:sz w:val="24"/>
          <w:szCs w:val="24"/>
        </w:rPr>
        <w:t>, którą Polska popiera. Natomiast należy zauważyć, że system, na którym oparty będzie Trybunał, pozbawia stron</w:t>
      </w:r>
      <w:r w:rsidR="009D34B0">
        <w:rPr>
          <w:rFonts w:ascii="Times New Roman" w:eastAsia="Calibri" w:hAnsi="Times New Roman" w:cs="Times New Roman"/>
          <w:sz w:val="24"/>
          <w:szCs w:val="24"/>
        </w:rPr>
        <w:t>y</w:t>
      </w:r>
      <w:r w:rsidRPr="00FE2379">
        <w:rPr>
          <w:rFonts w:ascii="Times New Roman" w:eastAsia="Calibri" w:hAnsi="Times New Roman" w:cs="Times New Roman"/>
          <w:sz w:val="24"/>
          <w:szCs w:val="24"/>
        </w:rPr>
        <w:t xml:space="preserve"> sporu możliwości wyboru członków Trybunału. Oznacza to dla Polski utratę dotychczasowego wpływu na nominację arbitra. Jednak, co należy podkreślić, zarówno państwa jak i inwestorzy będą pozbawieni takiego prawa. Ponadto Państwa-Strony, w porównaniu do inwestorów, będą miały możliwość zgłaszania kandydatów na listy członków Trybunału. Polska będzie mogła zgłosić kandydata na listę „unijnych członków” Trybunału Pierwszej Instancji i Trybunału Odwoławczego. Umowa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nie wskazuje jednak trybu nominowania i powoływania członków Trybunału. Kwestia nominacji i wyboru „unijnych”</w:t>
      </w:r>
      <w:r>
        <w:rPr>
          <w:rFonts w:ascii="Times New Roman" w:eastAsia="Calibri" w:hAnsi="Times New Roman" w:cs="Times New Roman"/>
          <w:sz w:val="24"/>
          <w:szCs w:val="24"/>
        </w:rPr>
        <w:t xml:space="preserve"> </w:t>
      </w:r>
      <w:r w:rsidRPr="00FE2379">
        <w:rPr>
          <w:rFonts w:ascii="Times New Roman" w:eastAsia="Calibri" w:hAnsi="Times New Roman" w:cs="Times New Roman"/>
          <w:sz w:val="24"/>
          <w:szCs w:val="24"/>
        </w:rPr>
        <w:t>członków</w:t>
      </w:r>
      <w:r>
        <w:rPr>
          <w:rFonts w:ascii="Times New Roman" w:eastAsia="Calibri" w:hAnsi="Times New Roman" w:cs="Times New Roman"/>
          <w:sz w:val="24"/>
          <w:szCs w:val="24"/>
        </w:rPr>
        <w:t xml:space="preserve"> </w:t>
      </w:r>
      <w:r w:rsidRPr="00FE2379">
        <w:rPr>
          <w:rFonts w:ascii="Times New Roman" w:eastAsia="Calibri" w:hAnsi="Times New Roman" w:cs="Times New Roman"/>
          <w:sz w:val="24"/>
          <w:szCs w:val="24"/>
        </w:rPr>
        <w:t>Trybunału</w:t>
      </w:r>
      <w:r>
        <w:rPr>
          <w:rFonts w:ascii="Times New Roman" w:eastAsia="Calibri" w:hAnsi="Times New Roman" w:cs="Times New Roman"/>
          <w:sz w:val="24"/>
          <w:szCs w:val="24"/>
        </w:rPr>
        <w:t xml:space="preserve"> </w:t>
      </w:r>
      <w:r w:rsidRPr="00FE2379">
        <w:rPr>
          <w:rFonts w:ascii="Times New Roman" w:eastAsia="Calibri" w:hAnsi="Times New Roman" w:cs="Times New Roman"/>
          <w:sz w:val="24"/>
          <w:szCs w:val="24"/>
        </w:rPr>
        <w:t>będzie</w:t>
      </w:r>
      <w:r>
        <w:rPr>
          <w:rFonts w:ascii="Times New Roman" w:eastAsia="Calibri" w:hAnsi="Times New Roman" w:cs="Times New Roman"/>
          <w:sz w:val="24"/>
          <w:szCs w:val="24"/>
        </w:rPr>
        <w:t xml:space="preserve"> </w:t>
      </w:r>
      <w:r w:rsidRPr="00FE2379">
        <w:rPr>
          <w:rFonts w:ascii="Times New Roman" w:eastAsia="Calibri" w:hAnsi="Times New Roman" w:cs="Times New Roman"/>
          <w:sz w:val="24"/>
          <w:szCs w:val="24"/>
        </w:rPr>
        <w:t>przedmiotem</w:t>
      </w:r>
      <w:r>
        <w:rPr>
          <w:rFonts w:ascii="Times New Roman" w:eastAsia="Calibri" w:hAnsi="Times New Roman" w:cs="Times New Roman"/>
          <w:sz w:val="24"/>
          <w:szCs w:val="24"/>
        </w:rPr>
        <w:t xml:space="preserve"> </w:t>
      </w:r>
      <w:r w:rsidRPr="00FE2379">
        <w:rPr>
          <w:rFonts w:ascii="Times New Roman" w:eastAsia="Calibri" w:hAnsi="Times New Roman" w:cs="Times New Roman"/>
          <w:sz w:val="24"/>
          <w:szCs w:val="24"/>
        </w:rPr>
        <w:t>wewnętrznych</w:t>
      </w:r>
      <w:r>
        <w:rPr>
          <w:rFonts w:ascii="Times New Roman" w:eastAsia="Calibri" w:hAnsi="Times New Roman" w:cs="Times New Roman"/>
          <w:sz w:val="24"/>
          <w:szCs w:val="24"/>
        </w:rPr>
        <w:t xml:space="preserve"> </w:t>
      </w:r>
      <w:r w:rsidRPr="00FE2379">
        <w:rPr>
          <w:rFonts w:ascii="Times New Roman" w:eastAsia="Calibri" w:hAnsi="Times New Roman" w:cs="Times New Roman"/>
          <w:sz w:val="24"/>
          <w:szCs w:val="24"/>
        </w:rPr>
        <w:t xml:space="preserve">procedur w UE. </w:t>
      </w:r>
    </w:p>
    <w:p w14:paraId="1A4E7F25" w14:textId="4BFE6866" w:rsidR="00FE2379" w:rsidRPr="00FE2379" w:rsidRDefault="00FE2379" w:rsidP="00281351">
      <w:pPr>
        <w:spacing w:before="120" w:after="0" w:line="360" w:lineRule="auto"/>
        <w:jc w:val="both"/>
        <w:rPr>
          <w:rFonts w:ascii="Times New Roman" w:eastAsia="Calibri" w:hAnsi="Times New Roman" w:cs="Times New Roman"/>
          <w:sz w:val="24"/>
          <w:szCs w:val="24"/>
        </w:rPr>
      </w:pPr>
      <w:r w:rsidRPr="00FE2379">
        <w:rPr>
          <w:rFonts w:ascii="Times New Roman" w:eastAsia="Calibri" w:hAnsi="Times New Roman" w:cs="Times New Roman"/>
          <w:sz w:val="24"/>
          <w:szCs w:val="24"/>
        </w:rPr>
        <w:t xml:space="preserve">Wątpliwości może budzić przyjęcie krótkiej listy członków Trybunału Pierwszej Instancji i Trybunału Odwoławczego (po 6), co przy ryzyku powstania konfliktu interesów w przypadku części nominacji oznaczać może paraliż prac Trybunału. Tym niemniej należy odnotować, że </w:t>
      </w:r>
      <w:r w:rsidRPr="00FE2379">
        <w:rPr>
          <w:rFonts w:ascii="Times New Roman" w:eastAsia="Calibri" w:hAnsi="Times New Roman" w:cs="Times New Roman"/>
          <w:sz w:val="24"/>
          <w:szCs w:val="24"/>
        </w:rPr>
        <w:lastRenderedPageBreak/>
        <w:t xml:space="preserve">postanowienia Umowy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co zostało już wcześniej wskazane, umożliwiają zwiększenie lub zmniejszenie liczby członków Trybunału także w trakcie obowiązywania Umowy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Polska zgłaszała na forum UE postulat, zgodnie z którym każde państwo członkowskie UE powinno mieć prawo nominowania swojego arbitra do listy „unijnych członków” Trybunału. Pula członków Trybunału dla UE powinna być rozszerzona do 27 lub też powinna być zagwarantowana możliwość powoływania sędziego ad hoc do danej sprawy, spoza listy. Postulaty te nie spotkały się jednak z uznaniem ani ze strony Komisji Europejskiej (dalej jako „KE”) ani innych państw członkowskich UE.</w:t>
      </w:r>
    </w:p>
    <w:p w14:paraId="060C9C25" w14:textId="38F7EDF9" w:rsidR="00FE2379" w:rsidRPr="00FE2379" w:rsidRDefault="00FE2379" w:rsidP="00281351">
      <w:pPr>
        <w:spacing w:before="120" w:after="0" w:line="360" w:lineRule="auto"/>
        <w:jc w:val="both"/>
        <w:rPr>
          <w:rFonts w:ascii="Times New Roman" w:eastAsia="Calibri" w:hAnsi="Times New Roman" w:cs="Times New Roman"/>
          <w:sz w:val="24"/>
          <w:szCs w:val="24"/>
        </w:rPr>
      </w:pPr>
      <w:r w:rsidRPr="00FE2379">
        <w:rPr>
          <w:rFonts w:ascii="Times New Roman" w:eastAsia="Calibri" w:hAnsi="Times New Roman" w:cs="Times New Roman"/>
          <w:sz w:val="24"/>
          <w:szCs w:val="24"/>
        </w:rPr>
        <w:t xml:space="preserve">Umowa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wprowadza ważną dla Polski generalną zasadę, według której koszty postępowania przed Trybunałem są ponoszone przez stronę przegrywającą (art. 3.21). W nadzwyczajnych okolicznościach Trybunał może podzielić koszty między strony sporu, jeżeli ustali, że taki podział jest właściwy w danych okolicznościach sprawy. Inne uzasadnione koszty, w tym koszty reprezentacji i pomocy prawnej, są ponoszone przez przegrywającą stronę sporu, o ile Trybunał ustali, że taki podział kosztów nie jest właściwy w danych okolicznościach sprawy. W dotychczasowych postępowaniach arbitrażowych Polska, mimo dużego odsetka wygrywanych spraw ponosi swoje koszty postępowania arbitrażowego, zatem wprowadzenie zasady, według której koszty postępowania przed Trybunałem są ponoszone przez stronę przegrywającą, są korzystne z punktu widzenia budżetu Państwa. </w:t>
      </w:r>
    </w:p>
    <w:p w14:paraId="1A253EE4" w14:textId="77777777" w:rsidR="00FE2379" w:rsidRPr="00FE2379" w:rsidRDefault="00FE2379" w:rsidP="00281351">
      <w:pPr>
        <w:spacing w:before="120" w:after="0" w:line="360" w:lineRule="auto"/>
        <w:jc w:val="both"/>
        <w:rPr>
          <w:rFonts w:ascii="Times New Roman" w:eastAsia="Calibri" w:hAnsi="Times New Roman" w:cs="Times New Roman"/>
          <w:sz w:val="24"/>
          <w:szCs w:val="24"/>
        </w:rPr>
      </w:pPr>
      <w:r w:rsidRPr="00FE2379">
        <w:rPr>
          <w:rFonts w:ascii="Times New Roman" w:eastAsia="Calibri" w:hAnsi="Times New Roman" w:cs="Times New Roman"/>
          <w:sz w:val="24"/>
          <w:szCs w:val="24"/>
        </w:rPr>
        <w:t xml:space="preserve">Umowa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w części proceduralnej wprowadza także inne zasady, korzystne z punktu widzenia Polski jako państwa pozywanego w postępowaniach arbitrażowych. Wprowadzono obowiązek ujawniania informacji na temat finansowania strony sporu przez osoby trzecie (art. 3.8) oraz szybkie ścieżki odrzucenia przez Trybunał skarg nieuzasadnionych i błahych (art. 3.14 i 3.15). </w:t>
      </w:r>
    </w:p>
    <w:p w14:paraId="3775DD40" w14:textId="370729A7" w:rsidR="00FE2379" w:rsidRPr="00FE2379" w:rsidRDefault="00FE2379" w:rsidP="00281351">
      <w:pPr>
        <w:spacing w:before="120" w:after="0" w:line="360" w:lineRule="auto"/>
        <w:jc w:val="both"/>
        <w:rPr>
          <w:rFonts w:ascii="Times New Roman" w:eastAsia="Calibri" w:hAnsi="Times New Roman" w:cs="Times New Roman"/>
          <w:sz w:val="24"/>
          <w:szCs w:val="24"/>
        </w:rPr>
      </w:pPr>
      <w:r w:rsidRPr="00FE2379">
        <w:rPr>
          <w:rFonts w:ascii="Times New Roman" w:eastAsia="Calibri" w:hAnsi="Times New Roman" w:cs="Times New Roman"/>
          <w:sz w:val="24"/>
          <w:szCs w:val="24"/>
        </w:rPr>
        <w:t xml:space="preserve">Umowa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wyklucza możliwość prowadzenia tego samego sporu równolegle, zarówno przed Trybunałem jak i krajowym lub międzynarodowym sądem lub trybunałem (art. 3.7). Umowa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dopuszcza możliwość oddania sprawy do Trybunału po rozpatrzeniu skargi przez krajowy lub międzynarodowy sąd lub trybunał. Natomiast jeżeli inwestor zdecyduje się na samym początku sporu na złożenie skargi w Trybunale, nie będzie mógł następnie wystąpić z tym samym roszczeniem do krajowego lub międzynarodowego sądu lub trybunału. Przyjęte rozwiązanie ma na celu zachęcenie inwestorów do wykorzystania ścieżki krajowej w dochodzeniu swoich roszczeń, przed skorzystaniem z procedury przed Trybunałem. Należy odnotować, że większość umów o popieraniu i ochronie inwestycji zawartych przez Polskę, w tym Umowa BIT, nie wprowadza uregulowań dotyczących kwestii prowadzenia równoległych </w:t>
      </w:r>
      <w:r w:rsidRPr="00FE2379">
        <w:rPr>
          <w:rFonts w:ascii="Times New Roman" w:eastAsia="Calibri" w:hAnsi="Times New Roman" w:cs="Times New Roman"/>
          <w:sz w:val="24"/>
          <w:szCs w:val="24"/>
        </w:rPr>
        <w:lastRenderedPageBreak/>
        <w:t xml:space="preserve">sporów, co może prowadzić do ryzyka wypłaty podwójnej rekompensaty. Ponadto wprowadzono zakaz </w:t>
      </w:r>
      <w:proofErr w:type="spellStart"/>
      <w:r w:rsidRPr="00FE2379">
        <w:rPr>
          <w:rFonts w:ascii="Times New Roman" w:eastAsia="Calibri" w:hAnsi="Times New Roman" w:cs="Times New Roman"/>
          <w:i/>
          <w:iCs/>
          <w:sz w:val="24"/>
          <w:szCs w:val="24"/>
        </w:rPr>
        <w:t>treaty</w:t>
      </w:r>
      <w:proofErr w:type="spellEnd"/>
      <w:r w:rsidRPr="00FE2379">
        <w:rPr>
          <w:rFonts w:ascii="Times New Roman" w:eastAsia="Calibri" w:hAnsi="Times New Roman" w:cs="Times New Roman"/>
          <w:i/>
          <w:iCs/>
          <w:sz w:val="24"/>
          <w:szCs w:val="24"/>
        </w:rPr>
        <w:t>-shopping</w:t>
      </w:r>
      <w:r w:rsidRPr="00FE2379">
        <w:rPr>
          <w:rFonts w:ascii="Times New Roman" w:eastAsia="Calibri" w:hAnsi="Times New Roman" w:cs="Times New Roman"/>
          <w:sz w:val="24"/>
          <w:szCs w:val="24"/>
        </w:rPr>
        <w:t xml:space="preserve">. Trybunał stwierdzi brak swojej właściwości, jeżeli spór powstał lub mógł najprawdopodobniej powstać w czasie, gdy skarżący nabył własność inwestycji będącej przedmiotem sporu lub prawo do jej kontroli, a Trybunał ustalił na podstawie faktów, że skarżący nabył własność takiej inwestycji lub prawo do jej kontroli w wyłącznym celu przedłożenia skargi. </w:t>
      </w:r>
    </w:p>
    <w:p w14:paraId="39B695C5" w14:textId="77777777" w:rsidR="00FE2379" w:rsidRPr="00FE2379" w:rsidRDefault="00FE2379" w:rsidP="00281351">
      <w:pPr>
        <w:spacing w:before="120" w:after="0" w:line="360" w:lineRule="auto"/>
        <w:jc w:val="both"/>
        <w:rPr>
          <w:rFonts w:ascii="Times New Roman" w:eastAsia="Calibri" w:hAnsi="Times New Roman" w:cs="Times New Roman"/>
          <w:sz w:val="24"/>
          <w:szCs w:val="24"/>
        </w:rPr>
      </w:pPr>
      <w:r w:rsidRPr="00FE2379">
        <w:rPr>
          <w:rFonts w:ascii="Times New Roman" w:eastAsia="Calibri" w:hAnsi="Times New Roman" w:cs="Times New Roman"/>
          <w:sz w:val="24"/>
          <w:szCs w:val="24"/>
        </w:rPr>
        <w:t xml:space="preserve">W odniesieniu do konieczności zagwarantowania autonomii prawa UE wprowadzono w Umowie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postanowienie (przypis do art. 3.13.2) stanowiące, że prawo krajowe Stron Umowy nie stanowi części obowiązującego prawa. Jeżeli Trybunał ma obowiązek określenia faktycznego znaczenia przepisu prawa krajowego jednej ze Stron, postępuje zgodnie z dominującą wykładnią tego przepisu dokonaną przez sądy lub organy tej Strony, a jakakolwiek interpretacja prawa krajowego dokonana przez Trybunał nie jest wiążąca dla sądów lub organów którejkolwiek ze Stron. Trybunał nie jest właściwy do określania zgodności z prawem środka, który rzekomo narusza postanowienia Umowy </w:t>
      </w:r>
      <w:proofErr w:type="spellStart"/>
      <w:r w:rsidRPr="00FE2379">
        <w:rPr>
          <w:rFonts w:ascii="Times New Roman" w:eastAsia="Calibri" w:hAnsi="Times New Roman" w:cs="Times New Roman"/>
          <w:sz w:val="24"/>
          <w:szCs w:val="24"/>
        </w:rPr>
        <w:t>IPA</w:t>
      </w:r>
      <w:proofErr w:type="spellEnd"/>
      <w:r w:rsidRPr="00FE2379">
        <w:rPr>
          <w:rFonts w:ascii="Times New Roman" w:eastAsia="Calibri" w:hAnsi="Times New Roman" w:cs="Times New Roman"/>
          <w:sz w:val="24"/>
          <w:szCs w:val="24"/>
        </w:rPr>
        <w:t xml:space="preserve">, na podstawie prawa krajowego Strony sporu. </w:t>
      </w:r>
    </w:p>
    <w:p w14:paraId="09A97675" w14:textId="28D5BB52" w:rsidR="00FE2379" w:rsidRPr="00FE2379" w:rsidRDefault="00FE2379" w:rsidP="00281351">
      <w:pPr>
        <w:tabs>
          <w:tab w:val="left" w:pos="426"/>
        </w:tabs>
        <w:spacing w:before="120" w:after="0" w:line="360" w:lineRule="auto"/>
        <w:jc w:val="both"/>
        <w:rPr>
          <w:rFonts w:ascii="Times New Roman" w:eastAsia="Times New Roman" w:hAnsi="Times New Roman" w:cs="Times New Roman"/>
          <w:b/>
          <w:sz w:val="24"/>
          <w:szCs w:val="24"/>
          <w:lang w:eastAsia="pl-PL"/>
        </w:rPr>
      </w:pPr>
      <w:r w:rsidRPr="00FE2379">
        <w:rPr>
          <w:rFonts w:ascii="Times New Roman" w:eastAsia="Times New Roman" w:hAnsi="Times New Roman" w:cs="Times New Roman"/>
          <w:b/>
          <w:sz w:val="24"/>
          <w:szCs w:val="24"/>
          <w:lang w:eastAsia="pl-PL"/>
        </w:rPr>
        <w:t>3.</w:t>
      </w:r>
      <w:r>
        <w:rPr>
          <w:rFonts w:ascii="Times New Roman" w:eastAsia="Times New Roman" w:hAnsi="Times New Roman" w:cs="Times New Roman"/>
          <w:b/>
          <w:sz w:val="24"/>
          <w:szCs w:val="24"/>
          <w:lang w:eastAsia="pl-PL"/>
        </w:rPr>
        <w:tab/>
      </w:r>
      <w:r w:rsidRPr="00FE2379">
        <w:rPr>
          <w:rFonts w:ascii="Times New Roman" w:eastAsia="Times New Roman" w:hAnsi="Times New Roman" w:cs="Times New Roman"/>
          <w:b/>
          <w:sz w:val="24"/>
          <w:szCs w:val="24"/>
          <w:lang w:eastAsia="pl-PL"/>
        </w:rPr>
        <w:t>Przewidywane skutki społeczne, gospodarcze, finansowe, polityczne i prawne związane z wejściem w życie Umowy</w:t>
      </w:r>
      <w:r w:rsidR="003E6ED9">
        <w:rPr>
          <w:rFonts w:ascii="Times New Roman" w:eastAsia="Times New Roman" w:hAnsi="Times New Roman" w:cs="Times New Roman"/>
          <w:b/>
          <w:sz w:val="24"/>
          <w:szCs w:val="24"/>
          <w:lang w:eastAsia="pl-PL"/>
        </w:rPr>
        <w:t>.</w:t>
      </w:r>
    </w:p>
    <w:p w14:paraId="30B0A61D" w14:textId="2A7FEF7D" w:rsidR="00FE2379" w:rsidRPr="00FE2379" w:rsidRDefault="00FE2379" w:rsidP="00281351">
      <w:pPr>
        <w:spacing w:before="120" w:after="0" w:line="360" w:lineRule="auto"/>
        <w:jc w:val="both"/>
        <w:rPr>
          <w:rFonts w:ascii="Times New Roman" w:eastAsia="Times New Roman" w:hAnsi="Times New Roman" w:cs="Times New Roman"/>
          <w:sz w:val="24"/>
          <w:szCs w:val="24"/>
          <w:lang w:eastAsia="pl-PL"/>
        </w:rPr>
      </w:pPr>
      <w:r w:rsidRPr="00FE2379">
        <w:rPr>
          <w:rFonts w:ascii="Times New Roman" w:eastAsia="Times New Roman" w:hAnsi="Times New Roman" w:cs="Times New Roman"/>
          <w:sz w:val="24"/>
          <w:szCs w:val="24"/>
          <w:lang w:eastAsia="pl-PL"/>
        </w:rPr>
        <w:t xml:space="preserve">Wejście w życie Umowy </w:t>
      </w:r>
      <w:proofErr w:type="spellStart"/>
      <w:r w:rsidRPr="00FE2379">
        <w:rPr>
          <w:rFonts w:ascii="Times New Roman" w:eastAsia="Times New Roman" w:hAnsi="Times New Roman" w:cs="Times New Roman"/>
          <w:sz w:val="24"/>
          <w:szCs w:val="24"/>
          <w:lang w:eastAsia="pl-PL"/>
        </w:rPr>
        <w:t>IPA</w:t>
      </w:r>
      <w:proofErr w:type="spellEnd"/>
      <w:r w:rsidRPr="00FE2379">
        <w:rPr>
          <w:rFonts w:ascii="Times New Roman" w:eastAsia="Times New Roman" w:hAnsi="Times New Roman" w:cs="Times New Roman"/>
          <w:sz w:val="24"/>
          <w:szCs w:val="24"/>
          <w:lang w:eastAsia="pl-PL"/>
        </w:rPr>
        <w:t xml:space="preserve"> nie spowoduje konieczności wprowadzania zmian do polskiego prawodawstwa. KE nie zdecydowała się na wystąpienie z wnioskiem o tymczasowe stosowanie umowy przez UE. </w:t>
      </w:r>
    </w:p>
    <w:p w14:paraId="78E4E423" w14:textId="46430B90" w:rsidR="00FE2379" w:rsidRPr="00FE2379" w:rsidRDefault="00FE2379" w:rsidP="00281351">
      <w:pPr>
        <w:spacing w:before="120" w:after="0" w:line="360" w:lineRule="auto"/>
        <w:jc w:val="both"/>
        <w:rPr>
          <w:rFonts w:ascii="Times New Roman" w:eastAsia="Times New Roman" w:hAnsi="Times New Roman" w:cs="Times New Roman"/>
          <w:sz w:val="24"/>
          <w:szCs w:val="24"/>
          <w:lang w:eastAsia="pl-PL"/>
        </w:rPr>
      </w:pPr>
      <w:r w:rsidRPr="00FE2379">
        <w:rPr>
          <w:rFonts w:ascii="Times New Roman" w:eastAsia="Times New Roman" w:hAnsi="Times New Roman" w:cs="Times New Roman"/>
          <w:sz w:val="24"/>
          <w:szCs w:val="24"/>
          <w:lang w:eastAsia="pl-PL"/>
        </w:rPr>
        <w:t xml:space="preserve">Umowa </w:t>
      </w:r>
      <w:proofErr w:type="spellStart"/>
      <w:r w:rsidRPr="00FE2379">
        <w:rPr>
          <w:rFonts w:ascii="Times New Roman" w:eastAsia="Times New Roman" w:hAnsi="Times New Roman" w:cs="Times New Roman"/>
          <w:sz w:val="24"/>
          <w:szCs w:val="24"/>
          <w:lang w:eastAsia="pl-PL"/>
        </w:rPr>
        <w:t>IPA</w:t>
      </w:r>
      <w:proofErr w:type="spellEnd"/>
      <w:r w:rsidRPr="00FE2379">
        <w:rPr>
          <w:rFonts w:ascii="Times New Roman" w:eastAsia="Times New Roman" w:hAnsi="Times New Roman" w:cs="Times New Roman"/>
          <w:sz w:val="24"/>
          <w:szCs w:val="24"/>
          <w:lang w:eastAsia="pl-PL"/>
        </w:rPr>
        <w:t xml:space="preserve"> z dniem wejścia w życie zastąpi Umowę BIT, która tym samym przestanie obowiązywać. Jednocześnie inwestorzy polscy i singapurscy będą mogli wystąpić z roszczeniem w oparciu o Umowę BIT w ciągu trzech lat od wejścia w życie Umowy </w:t>
      </w:r>
      <w:proofErr w:type="spellStart"/>
      <w:r w:rsidRPr="00FE2379">
        <w:rPr>
          <w:rFonts w:ascii="Times New Roman" w:eastAsia="Times New Roman" w:hAnsi="Times New Roman" w:cs="Times New Roman"/>
          <w:sz w:val="24"/>
          <w:szCs w:val="24"/>
          <w:lang w:eastAsia="pl-PL"/>
        </w:rPr>
        <w:t>IPA</w:t>
      </w:r>
      <w:proofErr w:type="spellEnd"/>
      <w:r w:rsidRPr="00FE2379">
        <w:rPr>
          <w:rFonts w:ascii="Times New Roman" w:eastAsia="Times New Roman" w:hAnsi="Times New Roman" w:cs="Times New Roman"/>
          <w:sz w:val="24"/>
          <w:szCs w:val="24"/>
          <w:lang w:eastAsia="pl-PL"/>
        </w:rPr>
        <w:t xml:space="preserve"> i jeżeli zdecydują się wnieść roszczenie w odniesieniu do traktowania przyznanego w okresie obowiązywania Umowy BIT. </w:t>
      </w:r>
    </w:p>
    <w:p w14:paraId="274C72EF" w14:textId="151F71A6" w:rsidR="00FE2379" w:rsidRPr="00FE2379" w:rsidRDefault="00FE2379" w:rsidP="00281351">
      <w:pPr>
        <w:spacing w:before="120" w:after="0" w:line="360" w:lineRule="auto"/>
        <w:jc w:val="both"/>
        <w:rPr>
          <w:rFonts w:ascii="Times New Roman" w:eastAsia="Times New Roman" w:hAnsi="Times New Roman" w:cs="Times New Roman"/>
          <w:sz w:val="24"/>
          <w:szCs w:val="24"/>
          <w:lang w:eastAsia="pl-PL"/>
        </w:rPr>
      </w:pPr>
      <w:r w:rsidRPr="00FE2379">
        <w:rPr>
          <w:rFonts w:ascii="Times New Roman" w:eastAsia="Times New Roman" w:hAnsi="Times New Roman" w:cs="Times New Roman"/>
          <w:sz w:val="24"/>
          <w:szCs w:val="24"/>
          <w:lang w:eastAsia="pl-PL"/>
        </w:rPr>
        <w:t xml:space="preserve">Zawarcie Umowy </w:t>
      </w:r>
      <w:proofErr w:type="spellStart"/>
      <w:r w:rsidRPr="00FE2379">
        <w:rPr>
          <w:rFonts w:ascii="Times New Roman" w:eastAsia="Times New Roman" w:hAnsi="Times New Roman" w:cs="Times New Roman"/>
          <w:sz w:val="24"/>
          <w:szCs w:val="24"/>
          <w:lang w:eastAsia="pl-PL"/>
        </w:rPr>
        <w:t>IPA</w:t>
      </w:r>
      <w:proofErr w:type="spellEnd"/>
      <w:r w:rsidRPr="00FE2379">
        <w:rPr>
          <w:rFonts w:ascii="Times New Roman" w:eastAsia="Times New Roman" w:hAnsi="Times New Roman" w:cs="Times New Roman"/>
          <w:sz w:val="24"/>
          <w:szCs w:val="24"/>
          <w:lang w:eastAsia="pl-PL"/>
        </w:rPr>
        <w:t xml:space="preserve"> powinno przynieść pozytywne konsekwencje polityczne w zakresie relacji Rzeczypospolita Polska – Republika Singapuru, jako kolejna umowa rozszerzająca bazę prawno-traktatową we wzajemnych stosunkach.</w:t>
      </w:r>
    </w:p>
    <w:p w14:paraId="0BEC97D7" w14:textId="77777777" w:rsidR="00FE2379" w:rsidRPr="00FE2379" w:rsidRDefault="00FE2379" w:rsidP="00281351">
      <w:pPr>
        <w:spacing w:before="120" w:after="0" w:line="360" w:lineRule="auto"/>
        <w:jc w:val="both"/>
        <w:rPr>
          <w:rFonts w:ascii="Times New Roman" w:eastAsia="Times New Roman" w:hAnsi="Times New Roman" w:cs="Times New Roman"/>
          <w:sz w:val="24"/>
          <w:szCs w:val="24"/>
          <w:highlight w:val="yellow"/>
          <w:lang w:eastAsia="pl-PL"/>
        </w:rPr>
      </w:pPr>
      <w:r w:rsidRPr="00FE2379">
        <w:rPr>
          <w:rFonts w:ascii="Times New Roman" w:eastAsia="Times New Roman" w:hAnsi="Times New Roman" w:cs="Times New Roman"/>
          <w:sz w:val="24"/>
          <w:szCs w:val="24"/>
          <w:lang w:eastAsia="pl-PL"/>
        </w:rPr>
        <w:t xml:space="preserve">Zawarcie Umowy </w:t>
      </w:r>
      <w:proofErr w:type="spellStart"/>
      <w:r w:rsidRPr="00FE2379">
        <w:rPr>
          <w:rFonts w:ascii="Times New Roman" w:eastAsia="Times New Roman" w:hAnsi="Times New Roman" w:cs="Times New Roman"/>
          <w:sz w:val="24"/>
          <w:szCs w:val="24"/>
          <w:lang w:eastAsia="pl-PL"/>
        </w:rPr>
        <w:t>IPA</w:t>
      </w:r>
      <w:proofErr w:type="spellEnd"/>
      <w:r w:rsidRPr="00FE2379">
        <w:rPr>
          <w:rFonts w:ascii="Times New Roman" w:eastAsia="Times New Roman" w:hAnsi="Times New Roman" w:cs="Times New Roman"/>
          <w:sz w:val="24"/>
          <w:szCs w:val="24"/>
          <w:lang w:eastAsia="pl-PL"/>
        </w:rPr>
        <w:t xml:space="preserve"> nie powinno mieć negatywnych skutków społecznych.</w:t>
      </w:r>
    </w:p>
    <w:p w14:paraId="5834E10C" w14:textId="5E18A19A" w:rsidR="00FE2379" w:rsidRPr="00FE2379" w:rsidRDefault="00FE2379" w:rsidP="00281351">
      <w:pPr>
        <w:spacing w:before="120" w:after="0" w:line="360" w:lineRule="auto"/>
        <w:jc w:val="both"/>
        <w:rPr>
          <w:rFonts w:ascii="Times New Roman" w:eastAsia="Times New Roman" w:hAnsi="Times New Roman" w:cs="Times New Roman"/>
          <w:sz w:val="24"/>
          <w:szCs w:val="24"/>
          <w:lang w:eastAsia="pl-PL"/>
        </w:rPr>
      </w:pPr>
      <w:r w:rsidRPr="00FE2379">
        <w:rPr>
          <w:rFonts w:ascii="Times New Roman" w:eastAsia="Times New Roman" w:hAnsi="Times New Roman" w:cs="Times New Roman"/>
          <w:sz w:val="24"/>
          <w:szCs w:val="24"/>
          <w:lang w:eastAsia="pl-PL"/>
        </w:rPr>
        <w:t xml:space="preserve">Zawarcie Umowy </w:t>
      </w:r>
      <w:proofErr w:type="spellStart"/>
      <w:r w:rsidRPr="00FE2379">
        <w:rPr>
          <w:rFonts w:ascii="Times New Roman" w:eastAsia="Times New Roman" w:hAnsi="Times New Roman" w:cs="Times New Roman"/>
          <w:sz w:val="24"/>
          <w:szCs w:val="24"/>
          <w:lang w:eastAsia="pl-PL"/>
        </w:rPr>
        <w:t>IPA</w:t>
      </w:r>
      <w:proofErr w:type="spellEnd"/>
      <w:r w:rsidRPr="00FE2379">
        <w:rPr>
          <w:rFonts w:ascii="Times New Roman" w:eastAsia="Times New Roman" w:hAnsi="Times New Roman" w:cs="Times New Roman"/>
          <w:sz w:val="24"/>
          <w:szCs w:val="24"/>
          <w:lang w:eastAsia="pl-PL"/>
        </w:rPr>
        <w:t xml:space="preserve"> powinno pozytywnie wpłynąć na stosunki gospodarcze i inwestycyjne między Rzecząpospolitą Polską a Singapurem, jako realizacja partnerstwa i współpracy między UE i jej państwami członkowskimi a Singapurem. Umowa </w:t>
      </w:r>
      <w:proofErr w:type="spellStart"/>
      <w:r w:rsidRPr="00FE2379">
        <w:rPr>
          <w:rFonts w:ascii="Times New Roman" w:eastAsia="Times New Roman" w:hAnsi="Times New Roman" w:cs="Times New Roman"/>
          <w:sz w:val="24"/>
          <w:szCs w:val="24"/>
          <w:lang w:eastAsia="pl-PL"/>
        </w:rPr>
        <w:t>IPA</w:t>
      </w:r>
      <w:proofErr w:type="spellEnd"/>
      <w:r w:rsidRPr="00FE2379">
        <w:rPr>
          <w:rFonts w:ascii="Times New Roman" w:eastAsia="Times New Roman" w:hAnsi="Times New Roman" w:cs="Times New Roman"/>
          <w:sz w:val="24"/>
          <w:szCs w:val="24"/>
          <w:lang w:eastAsia="pl-PL"/>
        </w:rPr>
        <w:t xml:space="preserve"> poprzez zwiększenie pewności </w:t>
      </w:r>
      <w:r w:rsidRPr="00FE2379">
        <w:rPr>
          <w:rFonts w:ascii="Times New Roman" w:eastAsia="Times New Roman" w:hAnsi="Times New Roman" w:cs="Times New Roman"/>
          <w:sz w:val="24"/>
          <w:szCs w:val="24"/>
          <w:lang w:eastAsia="pl-PL"/>
        </w:rPr>
        <w:lastRenderedPageBreak/>
        <w:t xml:space="preserve">prawa i przewidywalności ma na celu pomóc UE, w tym Rzeczypospolitej Polskiej, i Singapurowi przyciągnąć i utrzymać inwestycje. Oczekuje się też, że Umowa </w:t>
      </w:r>
      <w:proofErr w:type="spellStart"/>
      <w:r w:rsidRPr="00FE2379">
        <w:rPr>
          <w:rFonts w:ascii="Times New Roman" w:eastAsia="Times New Roman" w:hAnsi="Times New Roman" w:cs="Times New Roman"/>
          <w:sz w:val="24"/>
          <w:szCs w:val="24"/>
          <w:lang w:eastAsia="pl-PL"/>
        </w:rPr>
        <w:t>IPA</w:t>
      </w:r>
      <w:proofErr w:type="spellEnd"/>
      <w:r w:rsidRPr="00FE2379">
        <w:rPr>
          <w:rFonts w:ascii="Times New Roman" w:eastAsia="Times New Roman" w:hAnsi="Times New Roman" w:cs="Times New Roman"/>
          <w:sz w:val="24"/>
          <w:szCs w:val="24"/>
          <w:lang w:eastAsia="pl-PL"/>
        </w:rPr>
        <w:t xml:space="preserve"> przyniesie korzyści europejskim, w tym polskim, inwestorom, zapewniając wysoki poziom ochrony ich inwestycji w Singapurze</w:t>
      </w:r>
      <w:r w:rsidR="00E16244">
        <w:rPr>
          <w:rFonts w:ascii="Times New Roman" w:eastAsia="Times New Roman" w:hAnsi="Times New Roman" w:cs="Times New Roman"/>
          <w:sz w:val="24"/>
          <w:szCs w:val="24"/>
          <w:lang w:eastAsia="pl-PL"/>
        </w:rPr>
        <w:t>,</w:t>
      </w:r>
      <w:r w:rsidRPr="00FE2379">
        <w:rPr>
          <w:rFonts w:ascii="Times New Roman" w:eastAsia="Times New Roman" w:hAnsi="Times New Roman" w:cs="Times New Roman"/>
          <w:sz w:val="24"/>
          <w:szCs w:val="24"/>
          <w:lang w:eastAsia="pl-PL"/>
        </w:rPr>
        <w:t xml:space="preserve"> a jednocześnie gwarantując państwom członkowskim UE prawo do stanowienia przepisów i realizacji uzasadnionych celów polityki publicznej. Jest to ważne zarówno dla ochrony interesów polskich inwestorów w Rzeczypospolitej Polskiej (w stosunkach z Singapurem Rzeczpospolita Polska ma szansę stać się eksporterem kapitału)</w:t>
      </w:r>
      <w:r w:rsidR="00E16244">
        <w:rPr>
          <w:rFonts w:ascii="Times New Roman" w:eastAsia="Times New Roman" w:hAnsi="Times New Roman" w:cs="Times New Roman"/>
          <w:sz w:val="24"/>
          <w:szCs w:val="24"/>
          <w:lang w:eastAsia="pl-PL"/>
        </w:rPr>
        <w:t>,</w:t>
      </w:r>
      <w:r w:rsidRPr="00FE2379">
        <w:rPr>
          <w:rFonts w:ascii="Times New Roman" w:eastAsia="Times New Roman" w:hAnsi="Times New Roman" w:cs="Times New Roman"/>
          <w:sz w:val="24"/>
          <w:szCs w:val="24"/>
          <w:lang w:eastAsia="pl-PL"/>
        </w:rPr>
        <w:t xml:space="preserve"> jak i ochrony interesów Skarbu Państwa w ewentualnych postępowaniach przed Trybunałem prowadzonych na podstawie roszczeń wniesionych przez inwestorów singapurskich. Dotychczas, na podstawie Umowy BIT, inwestorzy singapurscy nie kierowali roszczeń do międzynarodowych trybunałów inwestycyjnych przeciwko Rzeczypospolitej Polskiej. Gwarancje materialnoprawne zawarte w Umowie </w:t>
      </w:r>
      <w:proofErr w:type="spellStart"/>
      <w:r w:rsidRPr="00FE2379">
        <w:rPr>
          <w:rFonts w:ascii="Times New Roman" w:eastAsia="Times New Roman" w:hAnsi="Times New Roman" w:cs="Times New Roman"/>
          <w:sz w:val="24"/>
          <w:szCs w:val="24"/>
          <w:lang w:eastAsia="pl-PL"/>
        </w:rPr>
        <w:t>IPA</w:t>
      </w:r>
      <w:proofErr w:type="spellEnd"/>
      <w:r w:rsidRPr="00FE2379">
        <w:rPr>
          <w:rFonts w:ascii="Times New Roman" w:eastAsia="Times New Roman" w:hAnsi="Times New Roman" w:cs="Times New Roman"/>
          <w:sz w:val="24"/>
          <w:szCs w:val="24"/>
          <w:lang w:eastAsia="pl-PL"/>
        </w:rPr>
        <w:t xml:space="preserve"> w większym stopniu niż Umowa BIT chronią Państwo przed nieuzasadnionymi i nieuczciwymi postępowaniami arbitrażowymi. </w:t>
      </w:r>
    </w:p>
    <w:p w14:paraId="490AF1E9" w14:textId="7D5CBE62" w:rsidR="00FE2379" w:rsidRPr="00FE2379" w:rsidRDefault="00FE2379" w:rsidP="00281351">
      <w:pPr>
        <w:tabs>
          <w:tab w:val="left" w:pos="426"/>
        </w:tabs>
        <w:spacing w:before="120" w:after="0" w:line="360" w:lineRule="auto"/>
        <w:jc w:val="both"/>
        <w:rPr>
          <w:rFonts w:ascii="Times New Roman" w:eastAsia="Times New Roman" w:hAnsi="Times New Roman" w:cs="Times New Roman"/>
          <w:b/>
          <w:sz w:val="24"/>
          <w:szCs w:val="24"/>
          <w:lang w:eastAsia="pl-PL"/>
        </w:rPr>
      </w:pPr>
      <w:r w:rsidRPr="00FE2379">
        <w:rPr>
          <w:rFonts w:ascii="Times New Roman" w:eastAsia="Times New Roman" w:hAnsi="Times New Roman" w:cs="Times New Roman"/>
          <w:b/>
          <w:sz w:val="24"/>
          <w:szCs w:val="24"/>
          <w:lang w:eastAsia="pl-PL"/>
        </w:rPr>
        <w:t>4.</w:t>
      </w:r>
      <w:r>
        <w:rPr>
          <w:rFonts w:ascii="Times New Roman" w:eastAsia="Times New Roman" w:hAnsi="Times New Roman" w:cs="Times New Roman"/>
          <w:b/>
          <w:sz w:val="24"/>
          <w:szCs w:val="24"/>
          <w:lang w:eastAsia="pl-PL"/>
        </w:rPr>
        <w:tab/>
      </w:r>
      <w:r w:rsidRPr="00FE2379">
        <w:rPr>
          <w:rFonts w:ascii="Times New Roman" w:eastAsia="Times New Roman" w:hAnsi="Times New Roman" w:cs="Times New Roman"/>
          <w:b/>
          <w:sz w:val="24"/>
          <w:szCs w:val="24"/>
          <w:lang w:eastAsia="pl-PL"/>
        </w:rPr>
        <w:t>Tryb związania Rzeczypospolitej Polskiej Umową</w:t>
      </w:r>
      <w:r w:rsidR="003E6ED9">
        <w:rPr>
          <w:rFonts w:ascii="Times New Roman" w:eastAsia="Times New Roman" w:hAnsi="Times New Roman" w:cs="Times New Roman"/>
          <w:b/>
          <w:sz w:val="24"/>
          <w:szCs w:val="24"/>
          <w:lang w:eastAsia="pl-PL"/>
        </w:rPr>
        <w:t>.</w:t>
      </w:r>
      <w:r w:rsidRPr="00FE2379">
        <w:rPr>
          <w:rFonts w:ascii="Times New Roman" w:eastAsia="Times New Roman" w:hAnsi="Times New Roman" w:cs="Times New Roman"/>
          <w:b/>
          <w:sz w:val="24"/>
          <w:szCs w:val="24"/>
          <w:lang w:eastAsia="pl-PL"/>
        </w:rPr>
        <w:t xml:space="preserve"> </w:t>
      </w:r>
    </w:p>
    <w:p w14:paraId="50F2FE40" w14:textId="3903694E" w:rsidR="00FE2379" w:rsidRPr="00FE2379" w:rsidRDefault="00FE2379" w:rsidP="00281351">
      <w:pPr>
        <w:spacing w:before="120" w:after="0" w:line="360" w:lineRule="auto"/>
        <w:jc w:val="both"/>
        <w:rPr>
          <w:rFonts w:ascii="Times New Roman" w:eastAsia="Times New Roman" w:hAnsi="Times New Roman" w:cs="Times New Roman"/>
          <w:sz w:val="24"/>
          <w:szCs w:val="24"/>
          <w:lang w:eastAsia="pl-PL"/>
        </w:rPr>
      </w:pPr>
      <w:r w:rsidRPr="00FE2379">
        <w:rPr>
          <w:rFonts w:ascii="Times New Roman" w:eastAsia="Times New Roman" w:hAnsi="Times New Roman" w:cs="Times New Roman"/>
          <w:sz w:val="24"/>
          <w:szCs w:val="24"/>
          <w:lang w:eastAsia="pl-PL"/>
        </w:rPr>
        <w:t xml:space="preserve">Umowa </w:t>
      </w:r>
      <w:proofErr w:type="spellStart"/>
      <w:r w:rsidRPr="00FE2379">
        <w:rPr>
          <w:rFonts w:ascii="Times New Roman" w:eastAsia="Times New Roman" w:hAnsi="Times New Roman" w:cs="Times New Roman"/>
          <w:sz w:val="24"/>
          <w:szCs w:val="24"/>
          <w:lang w:eastAsia="pl-PL"/>
        </w:rPr>
        <w:t>IPA</w:t>
      </w:r>
      <w:proofErr w:type="spellEnd"/>
      <w:r w:rsidRPr="00FE2379">
        <w:rPr>
          <w:rFonts w:ascii="Times New Roman" w:eastAsia="Times New Roman" w:hAnsi="Times New Roman" w:cs="Times New Roman"/>
          <w:sz w:val="24"/>
          <w:szCs w:val="24"/>
          <w:lang w:eastAsia="pl-PL"/>
        </w:rPr>
        <w:t xml:space="preserve"> ma rangę umowy międzypaństwowej. Umowa stanowi w polskim porządku prawnym umowę ratyfikowaną za uprzednią zgodą wyrażoną w ustawie, stosownie do art. 89 ust. 1 pkt 2 i 5 ustawy z dnia 2 kwietnia 1997 r. </w:t>
      </w:r>
      <w:r>
        <w:rPr>
          <w:rFonts w:ascii="Times New Roman" w:eastAsia="Times New Roman" w:hAnsi="Times New Roman" w:cs="Times New Roman"/>
          <w:sz w:val="24"/>
          <w:szCs w:val="24"/>
          <w:lang w:eastAsia="pl-PL"/>
        </w:rPr>
        <w:t>–</w:t>
      </w:r>
      <w:r w:rsidRPr="00FE2379">
        <w:rPr>
          <w:rFonts w:ascii="Times New Roman" w:eastAsia="Times New Roman" w:hAnsi="Times New Roman" w:cs="Times New Roman"/>
          <w:sz w:val="24"/>
          <w:szCs w:val="24"/>
          <w:lang w:eastAsia="pl-PL"/>
        </w:rPr>
        <w:t xml:space="preserve"> Konstytucja Rzeczypospolitej Polskiej. Umowa </w:t>
      </w:r>
      <w:proofErr w:type="spellStart"/>
      <w:r w:rsidRPr="00FE2379">
        <w:rPr>
          <w:rFonts w:ascii="Times New Roman" w:eastAsia="Times New Roman" w:hAnsi="Times New Roman" w:cs="Times New Roman"/>
          <w:sz w:val="24"/>
          <w:szCs w:val="24"/>
          <w:lang w:eastAsia="pl-PL"/>
        </w:rPr>
        <w:t>IPA</w:t>
      </w:r>
      <w:proofErr w:type="spellEnd"/>
      <w:r w:rsidRPr="00FE2379">
        <w:rPr>
          <w:rFonts w:ascii="Times New Roman" w:eastAsia="Times New Roman" w:hAnsi="Times New Roman" w:cs="Times New Roman"/>
          <w:sz w:val="24"/>
          <w:szCs w:val="24"/>
          <w:lang w:eastAsia="pl-PL"/>
        </w:rPr>
        <w:t xml:space="preserve"> dotyczy wolności, praw i obowiązków obywatelskich, spraw uregulowanych w ustawie lub w których Konstytucja RP wymaga ustawy (zasady prowadzenia działalności gospodarczej, ochrona prawa własności, kwestia wywłaszczenia oraz odszkodowania w tym zakresie), a więc spraw, o których mowa w ww. przepisach Konstytucji RP.</w:t>
      </w:r>
    </w:p>
    <w:p w14:paraId="1510BD16" w14:textId="77777777" w:rsidR="00FE2379" w:rsidRPr="00FE2379" w:rsidRDefault="00FE2379" w:rsidP="00281351">
      <w:pPr>
        <w:spacing w:before="120" w:after="0" w:line="360" w:lineRule="auto"/>
        <w:jc w:val="both"/>
        <w:rPr>
          <w:rFonts w:ascii="Times New Roman" w:hAnsi="Times New Roman" w:cs="Times New Roman"/>
          <w:sz w:val="24"/>
          <w:szCs w:val="24"/>
        </w:rPr>
      </w:pPr>
      <w:r w:rsidRPr="00FE2379">
        <w:rPr>
          <w:rFonts w:ascii="Times New Roman" w:hAnsi="Times New Roman" w:cs="Times New Roman"/>
          <w:sz w:val="24"/>
          <w:szCs w:val="24"/>
        </w:rPr>
        <w:t xml:space="preserve">W konsekwencji związanie Rzeczypospolitej Polskiej Umową </w:t>
      </w:r>
      <w:proofErr w:type="spellStart"/>
      <w:r w:rsidRPr="00FE2379">
        <w:rPr>
          <w:rFonts w:ascii="Times New Roman" w:hAnsi="Times New Roman" w:cs="Times New Roman"/>
          <w:sz w:val="24"/>
          <w:szCs w:val="24"/>
        </w:rPr>
        <w:t>IPA</w:t>
      </w:r>
      <w:proofErr w:type="spellEnd"/>
      <w:r w:rsidRPr="00FE2379">
        <w:rPr>
          <w:rFonts w:ascii="Times New Roman" w:hAnsi="Times New Roman" w:cs="Times New Roman"/>
          <w:sz w:val="24"/>
          <w:szCs w:val="24"/>
        </w:rPr>
        <w:t xml:space="preserve"> nastąpi za uprzednią zgodą wyrażoną w ustawie zgodnie z art. 12 ust. 2 ustawy z dnia 14 kwietnia 2000 r. o umowach międzynarodowych (Dz. U. z 2020 r. poz. 127).</w:t>
      </w:r>
    </w:p>
    <w:p w14:paraId="3A4A6030" w14:textId="52EBBA7D" w:rsidR="00FE2379" w:rsidRPr="00FE2379" w:rsidRDefault="00FE2379" w:rsidP="00281351">
      <w:pPr>
        <w:spacing w:before="120" w:after="0" w:line="360" w:lineRule="auto"/>
        <w:jc w:val="both"/>
        <w:rPr>
          <w:rFonts w:ascii="Times New Roman" w:eastAsia="Times New Roman" w:hAnsi="Times New Roman" w:cs="Times New Roman"/>
          <w:sz w:val="24"/>
          <w:szCs w:val="24"/>
          <w:lang w:eastAsia="pl-PL"/>
        </w:rPr>
      </w:pPr>
      <w:r w:rsidRPr="00FE2379">
        <w:rPr>
          <w:rFonts w:ascii="Times New Roman" w:eastAsia="Times New Roman" w:hAnsi="Times New Roman" w:cs="Times New Roman"/>
          <w:sz w:val="24"/>
          <w:szCs w:val="24"/>
          <w:lang w:eastAsia="pl-PL"/>
        </w:rPr>
        <w:t xml:space="preserve">Zjednoczone Królestwo Wielkiej Brytanii i Irlandii Północnej („Zjednoczone Królestwo”) pomimo podpisania Umowy </w:t>
      </w:r>
      <w:proofErr w:type="spellStart"/>
      <w:r w:rsidRPr="00FE2379">
        <w:rPr>
          <w:rFonts w:ascii="Times New Roman" w:eastAsia="Times New Roman" w:hAnsi="Times New Roman" w:cs="Times New Roman"/>
          <w:sz w:val="24"/>
          <w:szCs w:val="24"/>
          <w:lang w:eastAsia="pl-PL"/>
        </w:rPr>
        <w:t>IPA</w:t>
      </w:r>
      <w:proofErr w:type="spellEnd"/>
      <w:r w:rsidRPr="00FE2379">
        <w:rPr>
          <w:rFonts w:ascii="Times New Roman" w:eastAsia="Times New Roman" w:hAnsi="Times New Roman" w:cs="Times New Roman"/>
          <w:sz w:val="24"/>
          <w:szCs w:val="24"/>
          <w:lang w:eastAsia="pl-PL"/>
        </w:rPr>
        <w:t xml:space="preserve"> nie jest uwzględnione we wniosku ratyfikacyjnym jako strona umowy, z powodu jego wyjścia z UE w 2020 r. W związku z zaistniałą sytuacją prawną w relacjach między Zjednoczonym Królestwem a Republiką Singapuru dalej obowiązuje </w:t>
      </w:r>
      <w:r w:rsidRPr="00FE2379">
        <w:rPr>
          <w:rFonts w:ascii="Times New Roman" w:eastAsia="Times New Roman" w:hAnsi="Times New Roman" w:cs="Times New Roman"/>
          <w:i/>
          <w:sz w:val="24"/>
          <w:szCs w:val="24"/>
          <w:lang w:eastAsia="pl-PL"/>
        </w:rPr>
        <w:t>Umowa między Rządem</w:t>
      </w:r>
      <w:r w:rsidRPr="00FE2379">
        <w:rPr>
          <w:rFonts w:ascii="Times New Roman" w:eastAsia="Times New Roman" w:hAnsi="Times New Roman" w:cs="Times New Roman"/>
          <w:sz w:val="24"/>
          <w:szCs w:val="24"/>
          <w:lang w:eastAsia="pl-PL"/>
        </w:rPr>
        <w:t xml:space="preserve"> </w:t>
      </w:r>
      <w:r w:rsidRPr="00FE2379">
        <w:rPr>
          <w:rFonts w:ascii="Times New Roman" w:eastAsia="Times New Roman" w:hAnsi="Times New Roman" w:cs="Times New Roman"/>
          <w:i/>
          <w:sz w:val="24"/>
          <w:szCs w:val="24"/>
          <w:lang w:eastAsia="pl-PL"/>
        </w:rPr>
        <w:t xml:space="preserve">Zjednoczonego Królestwa Wielkiej Brytanii i Irlandii Północnej a Rządem Republiki Singapuru o promocji i ochronie inwestycji </w:t>
      </w:r>
      <w:r w:rsidRPr="00FE2379">
        <w:rPr>
          <w:rFonts w:ascii="Times New Roman" w:eastAsia="Times New Roman" w:hAnsi="Times New Roman" w:cs="Times New Roman"/>
          <w:sz w:val="24"/>
          <w:szCs w:val="24"/>
          <w:lang w:eastAsia="pl-PL"/>
        </w:rPr>
        <w:t xml:space="preserve">z dnia 22 lipca 1975 r. </w:t>
      </w:r>
    </w:p>
    <w:p w14:paraId="470DB219" w14:textId="1050C5B3" w:rsidR="00D35313" w:rsidRPr="00281351" w:rsidRDefault="00FE2379" w:rsidP="00281351">
      <w:pPr>
        <w:spacing w:before="120" w:after="0" w:line="360" w:lineRule="auto"/>
        <w:jc w:val="both"/>
        <w:rPr>
          <w:rFonts w:ascii="Times New Roman" w:hAnsi="Times New Roman" w:cs="Times New Roman"/>
          <w:sz w:val="24"/>
          <w:szCs w:val="24"/>
        </w:rPr>
      </w:pPr>
      <w:r w:rsidRPr="00FE2379">
        <w:rPr>
          <w:rFonts w:ascii="Times New Roman" w:eastAsia="Times New Roman" w:hAnsi="Times New Roman" w:cs="Times New Roman"/>
          <w:sz w:val="24"/>
          <w:szCs w:val="24"/>
          <w:lang w:eastAsia="pl-PL"/>
        </w:rPr>
        <w:t xml:space="preserve">Państwa, które ratyfikowały już Umowę </w:t>
      </w:r>
      <w:proofErr w:type="spellStart"/>
      <w:r w:rsidRPr="00FE2379">
        <w:rPr>
          <w:rFonts w:ascii="Times New Roman" w:eastAsia="Times New Roman" w:hAnsi="Times New Roman" w:cs="Times New Roman"/>
          <w:sz w:val="24"/>
          <w:szCs w:val="24"/>
          <w:lang w:eastAsia="pl-PL"/>
        </w:rPr>
        <w:t>IPA</w:t>
      </w:r>
      <w:proofErr w:type="spellEnd"/>
      <w:r w:rsidR="00E16244">
        <w:rPr>
          <w:rFonts w:ascii="Times New Roman" w:eastAsia="Times New Roman" w:hAnsi="Times New Roman" w:cs="Times New Roman"/>
          <w:sz w:val="24"/>
          <w:szCs w:val="24"/>
          <w:lang w:eastAsia="pl-PL"/>
        </w:rPr>
        <w:t>,</w:t>
      </w:r>
      <w:r w:rsidRPr="00FE2379">
        <w:rPr>
          <w:rFonts w:ascii="Times New Roman" w:eastAsia="Times New Roman" w:hAnsi="Times New Roman" w:cs="Times New Roman"/>
          <w:sz w:val="24"/>
          <w:szCs w:val="24"/>
          <w:lang w:eastAsia="pl-PL"/>
        </w:rPr>
        <w:t xml:space="preserve"> to Republika Bułgarii, Republika Czeska, Królestwo Danii, Republika Estońska, Republika Grecka, Królestwo Hiszpanii, Republika </w:t>
      </w:r>
      <w:r w:rsidRPr="00FE2379">
        <w:rPr>
          <w:rFonts w:ascii="Times New Roman" w:eastAsia="Times New Roman" w:hAnsi="Times New Roman" w:cs="Times New Roman"/>
          <w:sz w:val="24"/>
          <w:szCs w:val="24"/>
          <w:lang w:eastAsia="pl-PL"/>
        </w:rPr>
        <w:lastRenderedPageBreak/>
        <w:t xml:space="preserve">Chorwacji, Republika Litewska, Wielkie Księstwo Luksemburga, Republika Łotewska, Republika Włoska, Węgry, Republika Malty, Republika Portugalska, Rumunia, Republika Słowacka, Republika Finlandii oraz Królestwo Szwecji. Parlament Europejski wyraził zgodę na związanie się UE Umową </w:t>
      </w:r>
      <w:proofErr w:type="spellStart"/>
      <w:r w:rsidRPr="00FE2379">
        <w:rPr>
          <w:rFonts w:ascii="Times New Roman" w:eastAsia="Times New Roman" w:hAnsi="Times New Roman" w:cs="Times New Roman"/>
          <w:sz w:val="24"/>
          <w:szCs w:val="24"/>
          <w:lang w:eastAsia="pl-PL"/>
        </w:rPr>
        <w:t>IPA</w:t>
      </w:r>
      <w:proofErr w:type="spellEnd"/>
      <w:r w:rsidRPr="00FE2379">
        <w:rPr>
          <w:rFonts w:ascii="Times New Roman" w:eastAsia="Times New Roman" w:hAnsi="Times New Roman" w:cs="Times New Roman"/>
          <w:sz w:val="24"/>
          <w:szCs w:val="24"/>
          <w:lang w:eastAsia="pl-PL"/>
        </w:rPr>
        <w:t>.</w:t>
      </w:r>
    </w:p>
    <w:sectPr w:rsidR="00D35313" w:rsidRPr="00281351" w:rsidSect="00FE2379">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50A1E" w14:textId="77777777" w:rsidR="001F77D8" w:rsidRDefault="001F77D8" w:rsidP="00FE2379">
      <w:pPr>
        <w:spacing w:after="0" w:line="240" w:lineRule="auto"/>
      </w:pPr>
      <w:r>
        <w:separator/>
      </w:r>
    </w:p>
  </w:endnote>
  <w:endnote w:type="continuationSeparator" w:id="0">
    <w:p w14:paraId="597471AD" w14:textId="77777777" w:rsidR="001F77D8" w:rsidRDefault="001F77D8" w:rsidP="00FE2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981772"/>
      <w:docPartObj>
        <w:docPartGallery w:val="Page Numbers (Bottom of Page)"/>
        <w:docPartUnique/>
      </w:docPartObj>
    </w:sdtPr>
    <w:sdtEndPr>
      <w:rPr>
        <w:rFonts w:ascii="Times New Roman" w:hAnsi="Times New Roman" w:cs="Times New Roman"/>
        <w:sz w:val="24"/>
        <w:szCs w:val="24"/>
      </w:rPr>
    </w:sdtEndPr>
    <w:sdtContent>
      <w:p w14:paraId="51187CAE" w14:textId="3808138F" w:rsidR="00FE2379" w:rsidRPr="00FE2379" w:rsidRDefault="00FE2379" w:rsidP="00FE2379">
        <w:pPr>
          <w:pStyle w:val="Stopka"/>
          <w:jc w:val="center"/>
          <w:rPr>
            <w:rFonts w:ascii="Times New Roman" w:hAnsi="Times New Roman" w:cs="Times New Roman"/>
            <w:sz w:val="24"/>
            <w:szCs w:val="24"/>
          </w:rPr>
        </w:pPr>
        <w:r w:rsidRPr="00FE2379">
          <w:rPr>
            <w:rFonts w:ascii="Times New Roman" w:hAnsi="Times New Roman" w:cs="Times New Roman"/>
            <w:sz w:val="24"/>
            <w:szCs w:val="24"/>
          </w:rPr>
          <w:fldChar w:fldCharType="begin"/>
        </w:r>
        <w:r w:rsidRPr="00FE2379">
          <w:rPr>
            <w:rFonts w:ascii="Times New Roman" w:hAnsi="Times New Roman" w:cs="Times New Roman"/>
            <w:sz w:val="24"/>
            <w:szCs w:val="24"/>
          </w:rPr>
          <w:instrText>PAGE   \* MERGEFORMAT</w:instrText>
        </w:r>
        <w:r w:rsidRPr="00FE2379">
          <w:rPr>
            <w:rFonts w:ascii="Times New Roman" w:hAnsi="Times New Roman" w:cs="Times New Roman"/>
            <w:sz w:val="24"/>
            <w:szCs w:val="24"/>
          </w:rPr>
          <w:fldChar w:fldCharType="separate"/>
        </w:r>
        <w:r w:rsidRPr="00FE2379">
          <w:rPr>
            <w:rFonts w:ascii="Times New Roman" w:hAnsi="Times New Roman" w:cs="Times New Roman"/>
            <w:sz w:val="24"/>
            <w:szCs w:val="24"/>
          </w:rPr>
          <w:t>2</w:t>
        </w:r>
        <w:r w:rsidRPr="00FE2379">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1A906" w14:textId="77777777" w:rsidR="001F77D8" w:rsidRDefault="001F77D8" w:rsidP="00FE2379">
      <w:pPr>
        <w:spacing w:after="0" w:line="240" w:lineRule="auto"/>
      </w:pPr>
      <w:r>
        <w:separator/>
      </w:r>
    </w:p>
  </w:footnote>
  <w:footnote w:type="continuationSeparator" w:id="0">
    <w:p w14:paraId="2D22E585" w14:textId="77777777" w:rsidR="001F77D8" w:rsidRDefault="001F77D8" w:rsidP="00FE2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23541"/>
    <w:multiLevelType w:val="hybridMultilevel"/>
    <w:tmpl w:val="9620E4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83109B9"/>
    <w:multiLevelType w:val="hybridMultilevel"/>
    <w:tmpl w:val="6E90FBB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894802492">
    <w:abstractNumId w:val="0"/>
  </w:num>
  <w:num w:numId="2" w16cid:durableId="645475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379"/>
    <w:rsid w:val="00075182"/>
    <w:rsid w:val="001F77D8"/>
    <w:rsid w:val="00281351"/>
    <w:rsid w:val="002B7B25"/>
    <w:rsid w:val="00304579"/>
    <w:rsid w:val="003B1C54"/>
    <w:rsid w:val="003E454A"/>
    <w:rsid w:val="003E6ED9"/>
    <w:rsid w:val="0044211A"/>
    <w:rsid w:val="00507624"/>
    <w:rsid w:val="005102EF"/>
    <w:rsid w:val="00553A52"/>
    <w:rsid w:val="005564F9"/>
    <w:rsid w:val="00642336"/>
    <w:rsid w:val="006C4CB3"/>
    <w:rsid w:val="00786AB8"/>
    <w:rsid w:val="009074FC"/>
    <w:rsid w:val="0098221D"/>
    <w:rsid w:val="009D34B0"/>
    <w:rsid w:val="00AA70E5"/>
    <w:rsid w:val="00C33664"/>
    <w:rsid w:val="00D35313"/>
    <w:rsid w:val="00E16244"/>
    <w:rsid w:val="00ED3563"/>
    <w:rsid w:val="00F57638"/>
    <w:rsid w:val="00FD1186"/>
    <w:rsid w:val="00FE23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A9BE8"/>
  <w15:chartTrackingRefBased/>
  <w15:docId w15:val="{FFE88CB3-4E29-4C8A-95FE-590ABC61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2379"/>
    <w:rPr>
      <w:kern w:val="0"/>
      <w14:ligatures w14:val="none"/>
    </w:rPr>
  </w:style>
  <w:style w:type="paragraph" w:styleId="Nagwek1">
    <w:name w:val="heading 1"/>
    <w:basedOn w:val="Normalny"/>
    <w:next w:val="Normalny"/>
    <w:link w:val="Nagwek1Znak"/>
    <w:uiPriority w:val="9"/>
    <w:qFormat/>
    <w:rsid w:val="00FE23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E23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E237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E237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E237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E237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E237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E237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E237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E237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E237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E237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E237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E237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E237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E237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E237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E2379"/>
    <w:rPr>
      <w:rFonts w:eastAsiaTheme="majorEastAsia" w:cstheme="majorBidi"/>
      <w:color w:val="272727" w:themeColor="text1" w:themeTint="D8"/>
    </w:rPr>
  </w:style>
  <w:style w:type="paragraph" w:styleId="Tytu">
    <w:name w:val="Title"/>
    <w:basedOn w:val="Normalny"/>
    <w:next w:val="Normalny"/>
    <w:link w:val="TytuZnak"/>
    <w:uiPriority w:val="10"/>
    <w:qFormat/>
    <w:rsid w:val="00FE2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E237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E237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E237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E2379"/>
    <w:pPr>
      <w:spacing w:before="160"/>
      <w:jc w:val="center"/>
    </w:pPr>
    <w:rPr>
      <w:i/>
      <w:iCs/>
      <w:color w:val="404040" w:themeColor="text1" w:themeTint="BF"/>
    </w:rPr>
  </w:style>
  <w:style w:type="character" w:customStyle="1" w:styleId="CytatZnak">
    <w:name w:val="Cytat Znak"/>
    <w:basedOn w:val="Domylnaczcionkaakapitu"/>
    <w:link w:val="Cytat"/>
    <w:uiPriority w:val="29"/>
    <w:rsid w:val="00FE2379"/>
    <w:rPr>
      <w:i/>
      <w:iCs/>
      <w:color w:val="404040" w:themeColor="text1" w:themeTint="BF"/>
    </w:rPr>
  </w:style>
  <w:style w:type="paragraph" w:styleId="Akapitzlist">
    <w:name w:val="List Paragraph"/>
    <w:basedOn w:val="Normalny"/>
    <w:uiPriority w:val="34"/>
    <w:qFormat/>
    <w:rsid w:val="00FE2379"/>
    <w:pPr>
      <w:ind w:left="720"/>
      <w:contextualSpacing/>
    </w:pPr>
  </w:style>
  <w:style w:type="character" w:styleId="Wyrnienieintensywne">
    <w:name w:val="Intense Emphasis"/>
    <w:basedOn w:val="Domylnaczcionkaakapitu"/>
    <w:uiPriority w:val="21"/>
    <w:qFormat/>
    <w:rsid w:val="00FE2379"/>
    <w:rPr>
      <w:i/>
      <w:iCs/>
      <w:color w:val="0F4761" w:themeColor="accent1" w:themeShade="BF"/>
    </w:rPr>
  </w:style>
  <w:style w:type="paragraph" w:styleId="Cytatintensywny">
    <w:name w:val="Intense Quote"/>
    <w:basedOn w:val="Normalny"/>
    <w:next w:val="Normalny"/>
    <w:link w:val="CytatintensywnyZnak"/>
    <w:uiPriority w:val="30"/>
    <w:qFormat/>
    <w:rsid w:val="00FE23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E2379"/>
    <w:rPr>
      <w:i/>
      <w:iCs/>
      <w:color w:val="0F4761" w:themeColor="accent1" w:themeShade="BF"/>
    </w:rPr>
  </w:style>
  <w:style w:type="character" w:styleId="Odwoanieintensywne">
    <w:name w:val="Intense Reference"/>
    <w:basedOn w:val="Domylnaczcionkaakapitu"/>
    <w:uiPriority w:val="32"/>
    <w:qFormat/>
    <w:rsid w:val="00FE2379"/>
    <w:rPr>
      <w:b/>
      <w:bCs/>
      <w:smallCaps/>
      <w:color w:val="0F4761" w:themeColor="accent1" w:themeShade="BF"/>
      <w:spacing w:val="5"/>
    </w:rPr>
  </w:style>
  <w:style w:type="paragraph" w:styleId="Poprawka">
    <w:name w:val="Revision"/>
    <w:hidden/>
    <w:uiPriority w:val="99"/>
    <w:semiHidden/>
    <w:rsid w:val="00FE2379"/>
    <w:pPr>
      <w:spacing w:after="0" w:line="240" w:lineRule="auto"/>
    </w:pPr>
    <w:rPr>
      <w:kern w:val="0"/>
      <w14:ligatures w14:val="none"/>
    </w:rPr>
  </w:style>
  <w:style w:type="paragraph" w:styleId="Nagwek">
    <w:name w:val="header"/>
    <w:basedOn w:val="Normalny"/>
    <w:link w:val="NagwekZnak"/>
    <w:uiPriority w:val="99"/>
    <w:unhideWhenUsed/>
    <w:rsid w:val="00FE23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2379"/>
    <w:rPr>
      <w:kern w:val="0"/>
      <w14:ligatures w14:val="none"/>
    </w:rPr>
  </w:style>
  <w:style w:type="paragraph" w:styleId="Stopka">
    <w:name w:val="footer"/>
    <w:basedOn w:val="Normalny"/>
    <w:link w:val="StopkaZnak"/>
    <w:uiPriority w:val="99"/>
    <w:unhideWhenUsed/>
    <w:rsid w:val="00FE23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237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3390</Words>
  <Characters>20346</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23689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Trafisz Kinga</dc:creator>
  <cp:keywords/>
  <dc:description/>
  <cp:lastModifiedBy>Kołakowska Iwona</cp:lastModifiedBy>
  <cp:revision>3</cp:revision>
  <dcterms:created xsi:type="dcterms:W3CDTF">2025-10-20T12:44:00Z</dcterms:created>
  <dcterms:modified xsi:type="dcterms:W3CDTF">2025-10-20T12:45:00Z</dcterms:modified>
</cp:coreProperties>
</file>