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UZASADNIENIE</w:t>
      </w:r>
    </w:p>
    <w:p w:rsidR="00000000" w:rsidDel="00000000" w:rsidP="00000000" w:rsidRDefault="00000000" w:rsidRPr="00000000" w14:paraId="00000002">
      <w:pPr>
        <w:spacing w:before="24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Potrzeba i cel wydania ustawy oraz rzeczywisty stan w dziedzinie, która ma być unormowana</w:t>
      </w:r>
    </w:p>
    <w:p w:rsidR="00000000" w:rsidDel="00000000" w:rsidP="00000000" w:rsidRDefault="00000000" w:rsidRPr="00000000" w14:paraId="00000003">
      <w:pPr>
        <w:spacing w:before="240"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Celem projektu ustawy jest umożliwienie osobom, które uzyskały pozwolenie na broń na podstawie art. 10 ust. 3a ustawy z dnia 21 maja 1999 r. o broni i amunicji (t.j. Dz. U. z 2024 r. poz. 485), dalej jako: „ustawa o broni i amunicji”, zachowania go po zakończeniu służby </w:t>
        <w:br w:type="textWrapping"/>
        <w:t xml:space="preserve">w formacjach w nim wymienionych.</w:t>
      </w:r>
    </w:p>
    <w:p w:rsidR="00000000" w:rsidDel="00000000" w:rsidP="00000000" w:rsidRDefault="00000000" w:rsidRPr="00000000" w14:paraId="00000004">
      <w:pPr>
        <w:spacing w:before="240"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Zgodnie z art. 10 ust. 3a ustawy o broni i amunicji „za ważną przyczynę posiadania broni dla pozwolenia na broń do celów ochrony osobistej, osób i mienia uważa się także chęć wzmocnienia potencjału obronnego Rzeczypospolitej Polskiej zadeklarowaną przez funkcjonariusza Policji, Agencji Bezpieczeństwa Wewnętrznego, Agencji Wywiadu, Służby Kontrwywiadu Wojskowego, Służby Wywiadu Wojskowego, Centralnego Biura Antykorupcyjnego, Służby Ochrony Państwa, Straży Granicznej, Straży Marszałkowskiej, Służby Celno-Skarbowej, Służby Więziennej, funkcjonariusza innej państwowej formacji uzbrojonej oraz żołnierza zawodowego Sił Zbrojnych Rzeczypospolitej Polskiej, jeżeli posiada przydzieloną mu broń służbową, a także osobę pełniącą terytorialną służbę wojskową co najmniej dwa lata”.</w:t>
      </w:r>
    </w:p>
    <w:p w:rsidR="00000000" w:rsidDel="00000000" w:rsidP="00000000" w:rsidRDefault="00000000" w:rsidRPr="00000000" w14:paraId="00000005">
      <w:pPr>
        <w:spacing w:before="240"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Obecne przepisy, w szczególności art. 18 ust. 4 ustawy o broni i amunicji, pozwalają na cofnięcie pozwolenia na broń w przypadku ustania okoliczności faktycznych, które stanowiły podstawę do jego wydania. W praktyce, po zakończeniu służby, osoby, które uzyskały pozwolenie na broń na podstawie art. 10 ust. 3a tej ustawy, tracą to pozwolenie, co jest niezgodne z intencją wzmocnienia potencjału obronnego kraju, wyrażoną w nowelizacji tej ustawy z 2023 r. (Dz. U. z 2023 r. poz. 803). Proponowana zmiana zakłada, że ustanie służby nie będzie podstawą do cofnięcia pozwolenia, co pozwoli byłym funkcjonariuszom oraz żołnierzom, przeszkolonym w posługiwaniu się bronią, na dalsze wspieranie obronności Rzeczypospolitej Polskiej.</w:t>
      </w:r>
    </w:p>
    <w:p w:rsidR="00000000" w:rsidDel="00000000" w:rsidP="00000000" w:rsidRDefault="00000000" w:rsidRPr="00000000" w14:paraId="00000006">
      <w:pPr>
        <w:spacing w:before="240"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Jak wspomniano powyżej, zgodnie z art. 10 ust. 3a ustawy o broni i amunicji, pozwolenie na broń do celów ochrony osobistej, osób i mienia może być wydane osobom pełniącym służbę w określonych formacjach mundurowych, które posiadają przydzieloną broń służbową i złożyły deklarację chęci wzmocnienia potencjału obronnego Polski. Niestety po zakończeniu służby, na podstawie art. 18 ust. 4, organy Policji lub Żandarmerii Wojskowej wszczynają postępowania w celu cofnięcia pozwolenia, uznając, że ustały okoliczności uzasadniające jego wydanie (w tym przypadku brak statusu funkcjonariusza lub żołnierza oraz brak posiadanej broni służbowej). Praktyka ta znacząco ogranicza potencjał obronny kraju, ponieważ osoby te, pomimo zakończenia służby, mogą nadal przyczyniać się do obronności, np. poprzez udział w organizacjach proobronnych lub gotowość do działania w sytuacjach kryzysowych. Jest ona również niezgodna z założeniem o racjonalności ustawodawcy, gdyż wyrażone w uzasadnieniu projektu ustawy nowelizującej ustawę o broni i amunicji z 2023 r.</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cele wprowadzanych przepisów są z nią sprzeczne, przez co niweczą ważny planowany skutek tamtej nowelizacji.</w:t>
      </w:r>
    </w:p>
    <w:p w:rsidR="00000000" w:rsidDel="00000000" w:rsidP="00000000" w:rsidRDefault="00000000" w:rsidRPr="00000000" w14:paraId="00000007">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Przewidywane skutki prawne w tym różnica pomiędzy dotychczasowym </w:t>
        <w:br w:type="textWrapping"/>
        <w:t xml:space="preserve">a projektowanym stanem prawnym</w:t>
      </w:r>
    </w:p>
    <w:p w:rsidR="00000000" w:rsidDel="00000000" w:rsidP="00000000" w:rsidRDefault="00000000" w:rsidRPr="00000000" w14:paraId="00000008">
      <w:pPr>
        <w:spacing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Proponowana zmiana w art. 1 polega na dodaniu w art. 18 ustawy o broni i amunicji po ust. 4 ust. 4a, zgodnie z którym „w przypadku pozwoleń na broń wydanych na podstawie art. 10 ust. 3a, ustanie służby w formacjach, o których mowa w tym przepisie, nie stanowi ustania okoliczności faktycznych, o których mowa w ust. 4.”.</w:t>
      </w:r>
    </w:p>
    <w:p w:rsidR="00000000" w:rsidDel="00000000" w:rsidP="00000000" w:rsidRDefault="00000000" w:rsidRPr="00000000" w14:paraId="00000009">
      <w:pPr>
        <w:spacing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Ustanie służby w formacjach mundurowych nie będzie zatem podstawą do cofnięcia pozwolenia na broń wydanego na podstawie art. 10 ust. 3a. tej ustawy. Nie zmieni to w żaden sposób tego, że pozwolenie będzie mogło być cofnięte w przypadku naruszenia przez byłego funkcjonariusza lub żołnierza innych warunków określonych w ustawie, takich jak brak zdolności psychicznej lub fizycznej, karalność czy naruszenie zasad przechowywania broni. Zmiana nie wprowadza nowych procedur ani obowiązków administracyjnych dla posiadaczy pozwoleń i organów państwowych, co zapewnia jej prostotę i zgodność z zasadą minimalizacji obciążeń.</w:t>
      </w:r>
    </w:p>
    <w:p w:rsidR="00000000" w:rsidDel="00000000" w:rsidP="00000000" w:rsidRDefault="00000000" w:rsidRPr="00000000" w14:paraId="0000000A">
      <w:pPr>
        <w:spacing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Proponowana zmiana nie dotyczy prawa Unii Europejskiej, ponieważ regulacje dotyczące pozwoleń na broń pozostają w gestii państw członkowskich.</w:t>
      </w:r>
    </w:p>
    <w:p w:rsidR="00000000" w:rsidDel="00000000" w:rsidP="00000000" w:rsidRDefault="00000000" w:rsidRPr="00000000" w14:paraId="0000000B">
      <w:pPr>
        <w:spacing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 ustawy określa w art. 2, że ustawa wejdzie w życie po upływie 14 dni od dnia ogłoszenia. Jest to podstawowe vacatio legis zgodne z treścią ustawy z dnia 20 lipca 2000 r. </w:t>
        <w:br w:type="textWrapping"/>
        <w:t xml:space="preserve">o ogłaszaniu aktów normatywnych i niektórych innych aktów prawnych (Dz. U. z 2019 r. poz. 1461).</w:t>
      </w:r>
    </w:p>
    <w:p w:rsidR="00000000" w:rsidDel="00000000" w:rsidP="00000000" w:rsidRDefault="00000000" w:rsidRPr="00000000" w14:paraId="0000000C">
      <w:pPr>
        <w:spacing w:line="240" w:lineRule="auto"/>
        <w:ind w:firstLine="708"/>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Projektowane rozwiązania są spójne z dotychczasowymi regulacjami pod kątem systemowym i terminologicznym. Projektowane rozwiązania są zgodne z Konstytucją RP, </w:t>
        <w:br w:type="textWrapping"/>
        <w:t xml:space="preserve">w tym z konstytucyjnym standardem ochrony wolności i praw, rozszerzając w sposób bezpieczny dla jednostek oraz ogółu społeczeństwa prawo do posiadania broni.</w:t>
      </w: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 Przewidywane skutki społeczne, gospodarcze, finansowe</w:t>
      </w:r>
    </w:p>
    <w:p w:rsidR="00000000" w:rsidDel="00000000" w:rsidP="00000000" w:rsidRDefault="00000000" w:rsidRPr="00000000" w14:paraId="0000000E">
      <w:pPr>
        <w:spacing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 ustawy wywoła pozytywne skutki społeczne w kilku aspektach. Po pierwsze proponowana zmiana zwiększy gotowość obronną Polski, umożliwiając byłym funkcjonariuszom i żołnierzom, przeszkolonym w posługiwaniu się bronią, dalsze wspieranie potencjału obronnego. Jednocześnie, utrzymanie istniejących wymogów prawnych oraz zdrowotnych m.in. z art. 15 i art. 18 ust. 1 ustawy o broni i amunicji zapewnia bezpieczeństwo publiczne. Po drugie wpłynie na zmniejszenie obciążeń administracyjnych organów Policji oraz Żandarmerii Wojskowej eliminując konieczność wszczynania postępowań o cofnięcie pozwoleń po zakończeniu służby, co może ograniczyć liczbę sporów administracyjnych </w:t>
        <w:br w:type="textWrapping"/>
        <w:t xml:space="preserve">i sądowych.</w:t>
      </w:r>
    </w:p>
    <w:p w:rsidR="00000000" w:rsidDel="00000000" w:rsidP="00000000" w:rsidRDefault="00000000" w:rsidRPr="00000000" w14:paraId="0000000F">
      <w:pPr>
        <w:spacing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 nie ma bezpośredniego wpływu na konkurencyjność gospodarki ani przedsiębiorczość, ale może wywołać pozytywne skutki gospodarcze, gdyż każde wzmocnienie bezpieczeństwa w kraju wpływa pozytywnie na decyzje o rozpoczęciu prowadzenia działalności gospodarczej lub przeniesieniu jej do Polski.</w:t>
      </w:r>
    </w:p>
    <w:p w:rsidR="00000000" w:rsidDel="00000000" w:rsidP="00000000" w:rsidRDefault="00000000" w:rsidRPr="00000000" w14:paraId="00000010">
      <w:pPr>
        <w:spacing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 nie generuje dodatkowych kosztów dla sektora finansów publicznych. Eliminacja automatycznych postępowań o cofnięcie pozwoleń może zmniejszyć obciążenie administracyjne organów Policji, co może prowadzić do oszczędności w zakresie zasobów ludzkich i administracyjnych.</w:t>
      </w:r>
    </w:p>
    <w:p w:rsidR="00000000" w:rsidDel="00000000" w:rsidP="00000000" w:rsidRDefault="00000000" w:rsidRPr="00000000" w14:paraId="00000011">
      <w:pPr>
        <w:spacing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Informacje dodatkowe</w:t>
      </w:r>
    </w:p>
    <w:p w:rsidR="00000000" w:rsidDel="00000000" w:rsidP="00000000" w:rsidRDefault="00000000" w:rsidRPr="00000000" w14:paraId="00000012">
      <w:pPr>
        <w:spacing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 nie był poddawany formalnym konsultacjom społecznym.</w:t>
      </w:r>
    </w:p>
    <w:p w:rsidR="00000000" w:rsidDel="00000000" w:rsidP="00000000" w:rsidRDefault="00000000" w:rsidRPr="00000000" w14:paraId="00000013">
      <w:pPr>
        <w:spacing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 nie zawiera przepisów określających zasady podejmowania, wykonywania lub zakończenia działalności gospodarczej. Wdrożenie projektowanych przepisów nie spowoduje wzrostu obciążeń administracyjnych mikroprzedsiębiorców, małych i średnich przedsiębiorców. Projekt ustawy nie ma wpływu na działalność mikroprzedsiębiorców oraz małych i średnich przedsiębiorców. Projekt ustawy jest zgodny z przepisami ustawy z dnia 6 marca 2018 r. – Prawo przedsiębiorców (t.j. Dz. U. z 2024 r. poz. 236, 1222, 1871, z 2025 r. poz. 222, 621, 622, 769, 1168).</w:t>
      </w:r>
    </w:p>
    <w:p w:rsidR="00000000" w:rsidDel="00000000" w:rsidP="00000000" w:rsidRDefault="00000000" w:rsidRPr="00000000" w14:paraId="00000014">
      <w:pPr>
        <w:spacing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Przedmiot projektu ustawy nie jest objęty prawem Unii Europejskiej.</w:t>
      </w:r>
    </w:p>
    <w:p w:rsidR="00000000" w:rsidDel="00000000" w:rsidP="00000000" w:rsidRDefault="00000000" w:rsidRPr="00000000" w14:paraId="00000015">
      <w:pPr>
        <w:spacing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 ustawy nie zakłada wydania aktów wykonawczych. </w:t>
      </w:r>
    </w:p>
    <w:p w:rsidR="00000000" w:rsidDel="00000000" w:rsidP="00000000" w:rsidRDefault="00000000" w:rsidRPr="00000000" w14:paraId="00000016">
      <w:pPr>
        <w:spacing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Osiągnięcie celu ustawy nie jest możliwe za pomocą innych środków.</w:t>
      </w:r>
    </w:p>
    <w:p w:rsidR="00000000" w:rsidDel="00000000" w:rsidP="00000000" w:rsidRDefault="00000000" w:rsidRPr="00000000" w14:paraId="00000017">
      <w:pPr>
        <w:spacing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 nie zawiera przepisów regulacyjnych i nie określa wymogów dotyczących świadczenia usług transgranicznych w rozumieniu ustawy z dnia 22 grudnia 2015 r. o zasadach uznawania kwalifikacji zawodowych nabytych w państwach członkowskich Unii Europejskiej (t.j. Dz. U. z 2023 r. poz. 334, z 2025 r. poz. 619).</w:t>
      </w:r>
    </w:p>
    <w:p w:rsidR="00000000" w:rsidDel="00000000" w:rsidP="00000000" w:rsidRDefault="00000000" w:rsidRPr="00000000" w14:paraId="00000018">
      <w:pPr>
        <w:spacing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Projektowana ustawa nie wymaga przedstawienia właściwym organom i instytucjom Unii Europejskiej, w tym Europejskiemu Bankowi Centralnemu, w celu uzyskania opinii, dokonania powiadomienia, konsultacji albo uzgodnienia.</w:t>
      </w:r>
    </w:p>
    <w:p w:rsidR="00000000" w:rsidDel="00000000" w:rsidP="00000000" w:rsidRDefault="00000000" w:rsidRPr="00000000" w14:paraId="00000019">
      <w:pPr>
        <w:spacing w:line="240" w:lineRule="auto"/>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Projektowana ustawa nie zawiera przepisów technicznych i nie podlega notyfikacji zgodnie z przepisami rozporządzenia Rady Ministrów z dnia 23 grudnia 2002 r. w sprawie sposobu funkcjonowania krajowego systemu notyfikacji norm i aktów prawnych (Dz. U. poz. 2039 oraz z 2004 r. poz. 597).</w:t>
      </w:r>
    </w:p>
    <w:p w:rsidR="00000000" w:rsidDel="00000000" w:rsidP="00000000" w:rsidRDefault="00000000" w:rsidRPr="00000000" w14:paraId="0000001A">
      <w:pPr>
        <w:spacing w:line="24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4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4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4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ind w:firstLine="708"/>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DEKLAROWANE SKUTKI REGULACJI (DSR)</w:t>
      </w:r>
      <w:r w:rsidDel="00000000" w:rsidR="00000000" w:rsidRPr="00000000">
        <w:rPr>
          <w:rtl w:val="0"/>
        </w:rPr>
      </w:r>
    </w:p>
    <w:p w:rsidR="00000000" w:rsidDel="00000000" w:rsidP="00000000" w:rsidRDefault="00000000" w:rsidRPr="00000000" w14:paraId="00000021">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projektu ustawy</w:t>
      </w: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Informacja o projekcie</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Tytuł projektu:</w:t>
      </w:r>
    </w:p>
    <w:tbl>
      <w:tblPr>
        <w:tblStyle w:val="Table1"/>
        <w:tblW w:w="9067.0" w:type="dxa"/>
        <w:jc w:val="left"/>
        <w:tblLayout w:type="fixed"/>
        <w:tblLook w:val="0400"/>
      </w:tblPr>
      <w:tblGrid>
        <w:gridCol w:w="9067"/>
        <w:tblGridChange w:id="0">
          <w:tblGrid>
            <w:gridCol w:w="9067"/>
          </w:tblGrid>
        </w:tblGridChange>
      </w:tblGrid>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 ustawy o zmianie ustawy o broni i amunicji</w:t>
            </w:r>
          </w:p>
        </w:tc>
      </w:tr>
    </w:tbl>
    <w:p w:rsidR="00000000" w:rsidDel="00000000" w:rsidP="00000000" w:rsidRDefault="00000000" w:rsidRPr="00000000" w14:paraId="00000025">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Przedstawiciel wnioskodawcy:</w:t>
      </w:r>
    </w:p>
    <w:tbl>
      <w:tblPr>
        <w:tblStyle w:val="Table2"/>
        <w:tblW w:w="9067.0" w:type="dxa"/>
        <w:jc w:val="left"/>
        <w:tblLayout w:type="fixed"/>
        <w:tblLook w:val="0400"/>
      </w:tblPr>
      <w:tblGrid>
        <w:gridCol w:w="9067"/>
        <w:tblGridChange w:id="0">
          <w:tblGrid>
            <w:gridCol w:w="9067"/>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Krzysztof Szymański</w:t>
            </w:r>
          </w:p>
        </w:tc>
      </w:tr>
    </w:tbl>
    <w:p w:rsidR="00000000" w:rsidDel="00000000" w:rsidP="00000000" w:rsidRDefault="00000000" w:rsidRPr="00000000" w14:paraId="00000027">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 Część wstępna</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Zwięzły opis zidentyfikowanego problemu i proponowanych rozwiązań.</w:t>
      </w:r>
    </w:p>
    <w:tbl>
      <w:tblPr>
        <w:tblStyle w:val="Table3"/>
        <w:tblW w:w="9067.0" w:type="dxa"/>
        <w:jc w:val="left"/>
        <w:tblLayout w:type="fixed"/>
        <w:tblLook w:val="0400"/>
      </w:tblPr>
      <w:tblGrid>
        <w:gridCol w:w="9067"/>
        <w:tblGridChange w:id="0">
          <w:tblGrid>
            <w:gridCol w:w="9067"/>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Celem projektu ustawy jest umożliwienie osobom, które uzyskały pozwolenie na broń na podstawie art. 10 ust. 3a ustawy z dnia 21 maja 1999 r. o broni i amunicji (t.j. Dz. U. z 2024 r. poz. 485), dalej jako: „ustawa o broni i amunicji”, zachowania go po zakończeniu służby </w:t>
              <w:br w:type="textWrapping"/>
              <w:t xml:space="preserve">w formacjach w nim wymienionych.</w:t>
            </w:r>
          </w:p>
          <w:p w:rsidR="00000000" w:rsidDel="00000000" w:rsidP="00000000" w:rsidRDefault="00000000" w:rsidRPr="00000000" w14:paraId="0000002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Zgodnie z art. 10 ust. 3a ustawy o broni i amunicji „za ważną przyczynę posiadania broni dla pozwolenia na broń do celów ochrony osobistej, osób i mienia uważa się także chęć wzmocnienia potencjału obronnego Rzeczypospolitej Polskiej zadeklarowaną przez funkcjonariusza Policji, Agencji Bezpieczeństwa Wewnętrznego, Agencji Wywiadu, Służby Kontrwywiadu Wojskowego, Służby Wywiadu Wojskowego, Centralnego Biura Antykorupcyjnego, Służby Ochrony Państwa, Straży Granicznej, Straży Marszałkowskiej, Służby Celno-Skarbowej, Służby Więziennej, funkcjonariusza innej państwowej formacji uzbrojonej oraz żołnierza zawodowego Sił Zbrojnych Rzeczypospolitej Polskiej, jeżeli posiada przydzieloną mu broń służbową, a także osobę pełniącą terytorialną służbę wojskową co najmniej dwa lata”.</w:t>
            </w:r>
          </w:p>
          <w:p w:rsidR="00000000" w:rsidDel="00000000" w:rsidP="00000000" w:rsidRDefault="00000000" w:rsidRPr="00000000" w14:paraId="0000002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Obecne przepisy, w szczególności art. 18 ust. 4 ustawy o broni i amunicji, pozwalają na cofnięcie pozwolenia na broń w przypadku ustania okoliczności faktycznych, które stanowiły podstawę do jego wydania. W praktyce, po zakończeniu służby, osoby, które uzyskały pozwolenie na broń na podstawie art. 10 ust. 3a tej ustawy, tracą to pozwolenie, co jest niezgodne z intencją wzmocnienia potencjału obronnego kraju, wyrażoną w nowelizacji tej ustawy z 2023 r. (Dz. U. z 2023 r. poz. 803). Proponowana zmiana zakłada, że ustanie służby nie będzie podstawą do cofnięcia pozwolenia, co pozwoli byłym funkcjonariuszom oraz żołnierzom, przeszkolonym w posługiwaniu się bronią, na dalsze wspieranie obronności Rzeczypospolitej Polskiej.</w:t>
            </w:r>
          </w:p>
          <w:p w:rsidR="00000000" w:rsidDel="00000000" w:rsidP="00000000" w:rsidRDefault="00000000" w:rsidRPr="00000000" w14:paraId="0000002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Zgodnie z art. 10 ust. 3a ustawy o broni i amunicji, pozwolenie na broń do celów ochrony osobistej, osób i mienia może być wydane osobom pełniącym służbę w określonych formacjach mundurowych, które posiadają przydzieloną broń służbową i złożyły deklarację chęci wzmocnienia potencjału obronnego Polski. Niestety po zakończeniu służby, na podstawie art. 18 ust. 4, organy Policji lub Żandarmerii Wojskowej wszczynają postępowania w celu cofnięcia pozwolenia, uznając, że ustały okoliczności uzasadniające jego wydanie (status funkcjonariusza lub żołnierza oraz posiadana broń służbowa). Praktyka ta znacząco ogranicza potencjał obronny kraju, ponieważ osoby te, pomimo zakończenia służby, mogą nadal przyczyniać się do obronności, np. poprzez udział w organizacjach proobronnych lub gotowość do działania w sytuacjach kryzysowych. Jest ona również niezgodna z założeniem o racjonalności ustawodawcy, gdyż wyrażone w uzasadnieniu projektu ustawy nowelizującej ustawę o broni i amunicji z 2023 r.</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cele wprowadzanych przepisów są z nią sprzeczne, przez co niweczą ważny planowany skutek tamtej nowelizacji.</w:t>
            </w:r>
          </w:p>
        </w:tc>
      </w:tr>
    </w:tbl>
    <w:p w:rsidR="00000000" w:rsidDel="00000000" w:rsidP="00000000" w:rsidRDefault="00000000" w:rsidRPr="00000000" w14:paraId="0000002D">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Czy były rozważane rozwiązania alternatywne?</w:t>
      </w:r>
    </w:p>
    <w:p w:rsidR="00000000" w:rsidDel="00000000" w:rsidP="00000000" w:rsidRDefault="00000000" w:rsidRPr="00000000" w14:paraId="0000002E">
      <w:pPr>
        <w:numPr>
          <w:ilvl w:val="0"/>
          <w:numId w:val="5"/>
        </w:numPr>
        <w:ind w:left="720" w:hanging="36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u w:val="single"/>
          <w:rtl w:val="0"/>
        </w:rPr>
        <w:t xml:space="preserve">Nie</w:t>
      </w:r>
      <w:r w:rsidDel="00000000" w:rsidR="00000000" w:rsidRPr="00000000">
        <w:rPr>
          <w:rtl w:val="0"/>
        </w:rPr>
      </w:r>
    </w:p>
    <w:tbl>
      <w:tblPr>
        <w:tblStyle w:val="Table4"/>
        <w:tblW w:w="9062.0" w:type="dxa"/>
        <w:jc w:val="left"/>
        <w:tblLayout w:type="fixed"/>
        <w:tblLook w:val="0400"/>
      </w:tblPr>
      <w:tblGrid>
        <w:gridCol w:w="9062"/>
        <w:tblGridChange w:id="0">
          <w:tblGrid>
            <w:gridCol w:w="9062"/>
          </w:tblGrid>
        </w:tblGridChange>
      </w:tblGrid>
      <w:tr>
        <w:trPr>
          <w:cantSplit w:val="0"/>
          <w:trHeight w:val="6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 rozważano. Nie ma możliwości podjęcia alternatywnych, w stosunku do projektowanej ustawy, środków umożliwiających osiągnięcie zamierzonego celu.</w:t>
            </w:r>
          </w:p>
        </w:tc>
      </w:tr>
    </w:tbl>
    <w:p w:rsidR="00000000" w:rsidDel="00000000" w:rsidP="00000000" w:rsidRDefault="00000000" w:rsidRPr="00000000" w14:paraId="00000030">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II. Wymogi określone w art. 34 ust. 2 pkt 3–5 regulaminu Sejmu</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Jakie są przewidywane skutki prawne projektowanych rozwiązań?</w:t>
      </w:r>
    </w:p>
    <w:tbl>
      <w:tblPr>
        <w:tblStyle w:val="Table5"/>
        <w:tblW w:w="9062.0" w:type="dxa"/>
        <w:jc w:val="left"/>
        <w:tblLayout w:type="fixed"/>
        <w:tblLook w:val="0400"/>
      </w:tblPr>
      <w:tblGrid>
        <w:gridCol w:w="9062"/>
        <w:tblGridChange w:id="0">
          <w:tblGrid>
            <w:gridCol w:w="906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line="240" w:lineRule="auto"/>
              <w:jc w:val="both"/>
              <w:rPr>
                <w:rFonts w:ascii="Times New Roman" w:cs="Times New Roman" w:eastAsia="Times New Roman" w:hAnsi="Times New Roman"/>
                <w:b w:val="1"/>
              </w:rPr>
            </w:pPr>
            <w:bookmarkStart w:colFirst="0" w:colLast="0" w:name="_heading=h.s2270lawgyui" w:id="0"/>
            <w:bookmarkEnd w:id="0"/>
            <w:r w:rsidDel="00000000" w:rsidR="00000000" w:rsidRPr="00000000">
              <w:rPr>
                <w:rFonts w:ascii="Times New Roman" w:cs="Times New Roman" w:eastAsia="Times New Roman" w:hAnsi="Times New Roman"/>
                <w:b w:val="1"/>
                <w:rtl w:val="0"/>
              </w:rPr>
              <w:t xml:space="preserve">1) Zmiany w przepisach obowiązujących</w:t>
            </w:r>
          </w:p>
          <w:p w:rsidR="00000000" w:rsidDel="00000000" w:rsidP="00000000" w:rsidRDefault="00000000" w:rsidRPr="00000000" w14:paraId="00000033">
            <w:pPr>
              <w:spacing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Proponowana zmiana w art. 1 polega na dodaniu w art. 18 ustawy o broni i amunicji po ust. 4 ust. 4a, zgodnie z którym „w przypadku pozwoleń na broń wydanych na podstawie art. 10 ust. 3a, ustanie służby w formacjach, o których mowa w tym przepisie, nie stanowi ustania okoliczności faktycznych, o których mowa w ust. 4.”.</w:t>
            </w:r>
          </w:p>
          <w:p w:rsidR="00000000" w:rsidDel="00000000" w:rsidP="00000000" w:rsidRDefault="00000000" w:rsidRPr="00000000" w14:paraId="00000034">
            <w:pPr>
              <w:spacing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Ustanie służby w formacjach mundurowych nie będzie zatem podstawą do cofnięcia pozwolenia na broń wydanego na podstawie art. 10 ust. 3a. tej ustawy. Nie zmieni to w żaden sposób tego, że pozwolenie będzie mogło być cofnięte w przypadku naruszenia przez byłego funkcjonariusza lub żołnierza innych warunków określonych w ustawie, takich jak brak zdolności psychicznej lub fizycznej, karalność czy naruszenie zasad przechowywania broni. </w:t>
            </w:r>
          </w:p>
          <w:p w:rsidR="00000000" w:rsidDel="00000000" w:rsidP="00000000" w:rsidRDefault="00000000" w:rsidRPr="00000000" w14:paraId="00000035">
            <w:pPr>
              <w:spacing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Przepis końcowy</w:t>
            </w:r>
            <w:r w:rsidDel="00000000" w:rsidR="00000000" w:rsidRPr="00000000">
              <w:rPr>
                <w:rtl w:val="0"/>
              </w:rPr>
            </w:r>
          </w:p>
          <w:p w:rsidR="00000000" w:rsidDel="00000000" w:rsidP="00000000" w:rsidRDefault="00000000" w:rsidRPr="00000000" w14:paraId="00000036">
            <w:pPr>
              <w:spacing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 ustawy określa w art. 2, że ustawa wejdzie w życie po upływie 14 dni od dnia ogłoszenia. Jest to podstawowe vacatio legis zgodne z treścią ustawy z dnia 20 lipca 2000 r. o ogłaszaniu aktów normatywnych i niektórych innych aktów prawnych (Dz. U. z 2019 r. poz. 1461).</w:t>
            </w:r>
          </w:p>
          <w:p w:rsidR="00000000" w:rsidDel="00000000" w:rsidP="00000000" w:rsidRDefault="00000000" w:rsidRPr="00000000" w14:paraId="00000037">
            <w:pPr>
              <w:spacing w:before="240" w:line="240" w:lineRule="auto"/>
              <w:jc w:val="both"/>
              <w:rPr>
                <w:rFonts w:ascii="Times New Roman" w:cs="Times New Roman" w:eastAsia="Times New Roman" w:hAnsi="Times New Roman"/>
                <w:b w:val="1"/>
              </w:rPr>
            </w:pPr>
            <w:bookmarkStart w:colFirst="0" w:colLast="0" w:name="_heading=h.qt5wb7li77du" w:id="1"/>
            <w:bookmarkEnd w:id="1"/>
            <w:r w:rsidDel="00000000" w:rsidR="00000000" w:rsidRPr="00000000">
              <w:rPr>
                <w:rFonts w:ascii="Times New Roman" w:cs="Times New Roman" w:eastAsia="Times New Roman" w:hAnsi="Times New Roman"/>
                <w:rtl w:val="0"/>
              </w:rPr>
              <w:t xml:space="preserve">Projektowane rozwiązania są spójne z dotychczasowymi regulacjami pod kątem systemowym i terminologicznym. Projektowane rozwiązania są zgodne z Konstytucją RP, </w:t>
              <w:br w:type="textWrapping"/>
              <w:t xml:space="preserve">w tym z konstytucyjnym standardem ochrony wolności i praw.</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Projektowana ustawa nie jest objęta prawem Unii Europejskiej.</w:t>
            </w:r>
            <w:r w:rsidDel="00000000" w:rsidR="00000000" w:rsidRPr="00000000">
              <w:rPr>
                <w:rtl w:val="0"/>
              </w:rPr>
            </w:r>
          </w:p>
        </w:tc>
      </w:tr>
    </w:tbl>
    <w:p w:rsidR="00000000" w:rsidDel="00000000" w:rsidP="00000000" w:rsidRDefault="00000000" w:rsidRPr="00000000" w14:paraId="00000038">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Jakie są przewidywane skutki społeczne projektowanych rozwiązań?</w:t>
      </w:r>
    </w:p>
    <w:tbl>
      <w:tblPr>
        <w:tblStyle w:val="Table6"/>
        <w:tblW w:w="9067.0" w:type="dxa"/>
        <w:jc w:val="left"/>
        <w:tblLayout w:type="fixed"/>
        <w:tblLook w:val="0400"/>
      </w:tblPr>
      <w:tblGrid>
        <w:gridCol w:w="9067"/>
        <w:tblGridChange w:id="0">
          <w:tblGrid>
            <w:gridCol w:w="9067"/>
          </w:tblGrid>
        </w:tblGridChange>
      </w:tblGrid>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 ustawy wywoła pozytywne skutki społeczne w kilku aspektach. Po pierwsze proponowana zmiana zwiększy gotowość obronną Polski, umożliwiając byłym funkcjonariuszom i żołnierzom, przeszkolonym w posługiwaniu się bronią, dalsze wspieranie potencjału obronnego. Jednocześnie, utrzymanie istniejących wymogów prawnych oraz zdrowotnych m.in. z art. 15 i art. 18 ust. 1 ustawy o broni i amunicji zapewnia bezpieczeństwo publiczne. Po drugie wpłynie na zmniejszenie obciążeń administracyjnych organów Policji oraz Żandarmerii Wojskowej eliminując konieczność wszczynania postępowań o cofnięcie pozwoleń po zakończeniu służby, co może ograniczyć liczbę sporów administracyjnych i sądowych.</w:t>
            </w:r>
          </w:p>
          <w:p w:rsidR="00000000" w:rsidDel="00000000" w:rsidP="00000000" w:rsidRDefault="00000000" w:rsidRPr="00000000" w14:paraId="0000003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 oddziałuje na: </w:t>
            </w:r>
          </w:p>
          <w:p w:rsidR="00000000" w:rsidDel="00000000" w:rsidP="00000000" w:rsidRDefault="00000000" w:rsidRPr="00000000" w14:paraId="0000003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byłych funkcjonariuszy i żołnierzy, którzy uzyskali pozwolenie na broń na podstawie art. 10 ust. 3a;</w:t>
            </w:r>
          </w:p>
          <w:p w:rsidR="00000000" w:rsidDel="00000000" w:rsidP="00000000" w:rsidRDefault="00000000" w:rsidRPr="00000000" w14:paraId="0000003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organy administracji publicznej (Policję, Żandarmerię Wojskową) odpowiedzialne za wydawanie i cofanie pozwoleń na broń;</w:t>
            </w:r>
          </w:p>
          <w:p w:rsidR="00000000" w:rsidDel="00000000" w:rsidP="00000000" w:rsidRDefault="00000000" w:rsidRPr="00000000" w14:paraId="0000003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społeczeństwo, poprzez zwiększenie potencjału obronnego kraju.</w:t>
            </w:r>
          </w:p>
        </w:tc>
      </w:tr>
    </w:tbl>
    <w:p w:rsidR="00000000" w:rsidDel="00000000" w:rsidP="00000000" w:rsidRDefault="00000000" w:rsidRPr="00000000" w14:paraId="0000003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Jakie są przewidywane skutki gospodarcze projektowanych rozwiązań?</w:t>
      </w:r>
    </w:p>
    <w:tbl>
      <w:tblPr>
        <w:tblStyle w:val="Table7"/>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rHeight w:val="213" w:hRule="atLeast"/>
          <w:tblHeader w:val="0"/>
        </w:trPr>
        <w:tc>
          <w:tcPr/>
          <w:p w:rsidR="00000000" w:rsidDel="00000000" w:rsidP="00000000" w:rsidRDefault="00000000" w:rsidRPr="00000000" w14:paraId="0000003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 nie ma bezpośredniego wpływu na konkurencyjność gospodarki ani przedsiębiorczość, ale może wywołać pozytywne skutki gospodarcze, gdyż każde wzmocnienie bezpieczeństwa w kraju wpływa pozytywnie na decyzje o rozpoczęciu prowadzenia działalności gospodarczej lub przeniesieniu jej do Polski.</w:t>
            </w:r>
          </w:p>
          <w:p w:rsidR="00000000" w:rsidDel="00000000" w:rsidP="00000000" w:rsidRDefault="00000000" w:rsidRPr="00000000" w14:paraId="0000004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 nie ma bezpośredniego wpływu na rynek pracy. Projekt nie ma wpływu na rozwój regionalny. Projekt nie ma wpływu na środowisko.</w:t>
            </w:r>
          </w:p>
        </w:tc>
      </w:tr>
    </w:tbl>
    <w:p w:rsidR="00000000" w:rsidDel="00000000" w:rsidP="00000000" w:rsidRDefault="00000000" w:rsidRPr="00000000" w14:paraId="00000041">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Jakie są przewidywane skutki finansowe projektowanych rozwiązań, w szczególności wpływ na sektor finansów publicznych, w tym na budżet państwa i budżety jednostek samorządu terytorialnego?</w:t>
      </w:r>
    </w:p>
    <w:tbl>
      <w:tblPr>
        <w:tblStyle w:val="Table8"/>
        <w:tblW w:w="9062.0" w:type="dxa"/>
        <w:jc w:val="left"/>
        <w:tblLayout w:type="fixed"/>
        <w:tblLook w:val="0400"/>
      </w:tblPr>
      <w:tblGrid>
        <w:gridCol w:w="9062"/>
        <w:tblGridChange w:id="0">
          <w:tblGrid>
            <w:gridCol w:w="906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Projekt ustawy wywoła pozytywne skutki finansowe. Projekt nie generuje dodatkowych kosztów dla sektora finansów publicznych, natomiast eliminacja automatycznych postępowań o cofnięcie pozwoleń może zmniejszyć obciążenie administracyjne organów Policji, co może prowadzić do oszczędności w zakresie zasobów ludzkich oraz administracyjnych.</w:t>
            </w:r>
          </w:p>
        </w:tc>
      </w:tr>
    </w:tbl>
    <w:p w:rsidR="00000000" w:rsidDel="00000000" w:rsidP="00000000" w:rsidRDefault="00000000" w:rsidRPr="00000000" w14:paraId="00000043">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Wykaz źródeł finansowania, jeśli projekt ustawy pociąga za sobą obciążenie budżetu państwa lub budżetów jednostek samorządu terytorialnego.</w:t>
      </w:r>
    </w:p>
    <w:tbl>
      <w:tblPr>
        <w:tblStyle w:val="Table9"/>
        <w:tblW w:w="9067.0" w:type="dxa"/>
        <w:jc w:val="left"/>
        <w:tblLayout w:type="fixed"/>
        <w:tblLook w:val="0400"/>
      </w:tblPr>
      <w:tblGrid>
        <w:gridCol w:w="9067"/>
        <w:tblGridChange w:id="0">
          <w:tblGrid>
            <w:gridCol w:w="906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Nie dotyczy.</w:t>
            </w:r>
          </w:p>
        </w:tc>
      </w:tr>
    </w:tbl>
    <w:p w:rsidR="00000000" w:rsidDel="00000000" w:rsidP="00000000" w:rsidRDefault="00000000" w:rsidRPr="00000000" w14:paraId="00000045">
      <w:pPr>
        <w:spacing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Czy projekt ustawy podlega procedurze notyfikacyjnej? </w:t>
      </w:r>
    </w:p>
    <w:p w:rsidR="00000000" w:rsidDel="00000000" w:rsidP="00000000" w:rsidRDefault="00000000" w:rsidRPr="00000000" w14:paraId="00000046">
      <w:pPr>
        <w:numPr>
          <w:ilvl w:val="0"/>
          <w:numId w:val="3"/>
        </w:numPr>
        <w:ind w:left="72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u w:val="single"/>
          <w:rtl w:val="0"/>
        </w:rPr>
        <w:t xml:space="preserve">Nie</w:t>
      </w: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III. Wymogi określone w art. 34 ust. 2a i 2b regulaminu Sejmu</w: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Czy projekt ustawy zawiera przepisy określające zasady podejmowania, wykonywania lub zakończenia działalności gospodarczej (art. 34 ust. 2a regulaminu Sejmu)?</w:t>
      </w:r>
    </w:p>
    <w:p w:rsidR="00000000" w:rsidDel="00000000" w:rsidP="00000000" w:rsidRDefault="00000000" w:rsidRPr="00000000" w14:paraId="00000049">
      <w:pPr>
        <w:numPr>
          <w:ilvl w:val="0"/>
          <w:numId w:val="2"/>
        </w:numPr>
        <w:ind w:left="72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u w:val="single"/>
          <w:rtl w:val="0"/>
        </w:rPr>
        <w:t xml:space="preserve">Nie</w:t>
      </w: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Czy wdrożenie projektowanych przepisów spowoduje obciążenia administracyjne mikroprzedsiębiorców, małych i średnich przedsiębiorców (art. 34 ust. 2a regulaminu Sejmu)?</w:t>
      </w:r>
    </w:p>
    <w:p w:rsidR="00000000" w:rsidDel="00000000" w:rsidP="00000000" w:rsidRDefault="00000000" w:rsidRPr="00000000" w14:paraId="0000004B">
      <w:pPr>
        <w:numPr>
          <w:ilvl w:val="0"/>
          <w:numId w:val="1"/>
        </w:numPr>
        <w:ind w:left="72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u w:val="single"/>
          <w:rtl w:val="0"/>
        </w:rPr>
        <w:t xml:space="preserve">Nie</w:t>
      </w: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rsidR="00000000" w:rsidDel="00000000" w:rsidP="00000000" w:rsidRDefault="00000000" w:rsidRPr="00000000" w14:paraId="0000004D">
      <w:pPr>
        <w:numPr>
          <w:ilvl w:val="0"/>
          <w:numId w:val="4"/>
        </w:numPr>
        <w:ind w:left="720" w:hanging="36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u w:val="single"/>
          <w:rtl w:val="0"/>
        </w:rPr>
        <w:t xml:space="preserve">Nie</w:t>
      </w:r>
      <w:r w:rsidDel="00000000" w:rsidR="00000000" w:rsidRPr="00000000">
        <w:rPr>
          <w:rtl w:val="0"/>
        </w:rPr>
      </w:r>
    </w:p>
    <w:p w:rsidR="00000000" w:rsidDel="00000000" w:rsidP="00000000" w:rsidRDefault="00000000" w:rsidRPr="00000000" w14:paraId="0000004E">
      <w:pPr>
        <w:spacing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b w:val="1"/>
        </w:rPr>
      </w:pPr>
      <w:r w:rsidDel="00000000" w:rsidR="00000000" w:rsidRPr="00000000">
        <w:rPr>
          <w:rtl w:val="0"/>
        </w:rPr>
      </w:r>
    </w:p>
    <w:sectPr>
      <w:headerReference r:id="rId8" w:type="default"/>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pBdr>
        <w:top w:space="0" w:sz="0" w:val="nil"/>
        <w:left w:space="0" w:sz="0" w:val="nil"/>
        <w:bottom w:color="000000" w:space="1" w:sz="6" w:val="single"/>
        <w:right w:space="0" w:sz="0" w:val="nil"/>
        <w:between w:space="0" w:sz="0" w:val="nil"/>
      </w:pBdr>
      <w:spacing w:after="200" w:line="240" w:lineRule="auto"/>
      <w:rPr>
        <w:rFonts w:ascii="Times New Roman" w:cs="Times New Roman" w:eastAsia="Times New Roman" w:hAnsi="Times New Roman"/>
        <w:color w:val="000000"/>
      </w:rPr>
    </w:pPr>
    <w:bookmarkStart w:colFirst="0" w:colLast="0" w:name="_heading=h.o0fb3xldvfcy" w:id="2"/>
    <w:bookmarkEnd w:id="2"/>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s>
      <w:spacing w:after="200" w:line="240" w:lineRule="auto"/>
      <w:jc w:val="center"/>
      <w:rPr>
        <w:color w:val="000000"/>
        <w:sz w:val="22"/>
        <w:szCs w:val="22"/>
      </w:rPr>
    </w:pPr>
    <w:r w:rsidDel="00000000" w:rsidR="00000000" w:rsidRPr="00000000">
      <w:rPr>
        <w:color w:val="000000"/>
        <w:sz w:val="22"/>
        <w:szCs w:val="22"/>
        <w:rtl w:val="0"/>
      </w:rPr>
      <w:br w:type="textWrapping"/>
    </w:r>
    <w:r w:rsidDel="00000000" w:rsidR="00000000" w:rsidRPr="00000000">
      <w:rPr>
        <w:rFonts w:ascii="Calibri" w:cs="Calibri" w:eastAsia="Calibri" w:hAnsi="Calibri"/>
        <w:b w:val="1"/>
        <w:color w:val="132d4d"/>
        <w:sz w:val="22"/>
        <w:szCs w:val="22"/>
        <w:rtl w:val="0"/>
      </w:rPr>
      <w:t xml:space="preserve">Konfederacja Wolność i Niepodległość</w:t>
    </w:r>
    <w:r w:rsidDel="00000000" w:rsidR="00000000" w:rsidRPr="00000000">
      <w:rPr>
        <w:rFonts w:ascii="Calibri" w:cs="Calibri" w:eastAsia="Calibri" w:hAnsi="Calibri"/>
        <w:color w:val="132d4d"/>
        <w:sz w:val="22"/>
        <w:szCs w:val="22"/>
        <w:rtl w:val="0"/>
      </w:rPr>
      <w:t xml:space="preserve"> | konfederacja.pl</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https://orka.sejm.gov.pl/Druki9ka.nsf/0/684DD198D054FBB9C12588CA00371F60/%24File/2628.pdf</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str. 26-28</w:t>
      </w:r>
    </w:p>
  </w:footnote>
  <w:footnote w:id="1">
    <w:p w:rsidR="00000000" w:rsidDel="00000000" w:rsidP="00000000" w:rsidRDefault="00000000" w:rsidRPr="00000000" w14:paraId="00000057">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2">
        <w:r w:rsidDel="00000000" w:rsidR="00000000" w:rsidRPr="00000000">
          <w:rPr>
            <w:rFonts w:ascii="Times New Roman" w:cs="Times New Roman" w:eastAsia="Times New Roman" w:hAnsi="Times New Roman"/>
            <w:sz w:val="20"/>
            <w:szCs w:val="20"/>
            <w:rtl w:val="0"/>
          </w:rPr>
          <w:t xml:space="preserve">https://orka.sejm.gov.pl/Druki9ka.nsf/0/684DD198D054FBB9C12588CA00371F60/%24File/2628.pdf</w:t>
        </w:r>
      </w:hyperlink>
      <w:r w:rsidDel="00000000" w:rsidR="00000000" w:rsidRPr="00000000">
        <w:rPr>
          <w:rFonts w:ascii="Times New Roman" w:cs="Times New Roman" w:eastAsia="Times New Roman" w:hAnsi="Times New Roman"/>
          <w:sz w:val="20"/>
          <w:szCs w:val="20"/>
          <w:rtl w:val="0"/>
        </w:rPr>
        <w:t xml:space="preserve">; str. 26-28</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tabs>
        <w:tab w:val="center" w:leader="none" w:pos="4536"/>
        <w:tab w:val="right" w:leader="none" w:pos="9072"/>
      </w:tabs>
      <w:spacing w:after="0" w:line="240" w:lineRule="auto"/>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Pr>
      <w:drawing>
        <wp:inline distB="0" distT="0" distL="0" distR="0">
          <wp:extent cx="2733675" cy="495300"/>
          <wp:effectExtent b="0" l="0" r="0" t="0"/>
          <wp:docPr descr="Obraz zawierający tekst, Czcionka, logo, Grafika&#10;&#10;Opis wygenerowany automatycznie" id="10" name="image1.jpg"/>
          <a:graphic>
            <a:graphicData uri="http://schemas.openxmlformats.org/drawingml/2006/picture">
              <pic:pic>
                <pic:nvPicPr>
                  <pic:cNvPr descr="Obraz zawierający tekst, Czcionka, logo, Grafika&#10;&#10;Opis wygenerowany automatycznie" id="0" name="image1.jpg"/>
                  <pic:cNvPicPr preferRelativeResize="0"/>
                </pic:nvPicPr>
                <pic:blipFill>
                  <a:blip r:embed="rId1"/>
                  <a:srcRect b="0" l="0" r="0" t="0"/>
                  <a:stretch>
                    <a:fillRect/>
                  </a:stretch>
                </pic:blipFill>
                <pic:spPr>
                  <a:xfrm>
                    <a:off x="0" y="0"/>
                    <a:ext cx="2733675" cy="495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agwek7">
    <w:name w:val="heading 7"/>
    <w:basedOn w:val="Normalny"/>
    <w:next w:val="Normalny"/>
    <w:link w:val="Nagwek7Znak"/>
    <w:uiPriority w:val="9"/>
    <w:semiHidden w:val="1"/>
    <w:unhideWhenUsed w:val="1"/>
    <w:qFormat w:val="1"/>
    <w:rsid w:val="00302F2C"/>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302F2C"/>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302F2C"/>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1Znak" w:customStyle="1">
    <w:name w:val="Nagłówek 1 Znak"/>
    <w:basedOn w:val="Domylnaczcionkaakapitu"/>
    <w:link w:val="Nagwek1"/>
    <w:uiPriority w:val="9"/>
    <w:rsid w:val="00302F2C"/>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link w:val="Nagwek2"/>
    <w:uiPriority w:val="9"/>
    <w:semiHidden w:val="1"/>
    <w:rsid w:val="00302F2C"/>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link w:val="Nagwek3"/>
    <w:uiPriority w:val="9"/>
    <w:semiHidden w:val="1"/>
    <w:rsid w:val="00302F2C"/>
    <w:rPr>
      <w:rFonts w:cstheme="majorBidi" w:eastAsiaTheme="majorEastAsia"/>
      <w:color w:val="0f4761" w:themeColor="accent1" w:themeShade="0000BF"/>
      <w:sz w:val="28"/>
      <w:szCs w:val="28"/>
    </w:rPr>
  </w:style>
  <w:style w:type="character" w:styleId="Nagwek4Znak" w:customStyle="1">
    <w:name w:val="Nagłówek 4 Znak"/>
    <w:basedOn w:val="Domylnaczcionkaakapitu"/>
    <w:link w:val="Nagwek4"/>
    <w:uiPriority w:val="9"/>
    <w:semiHidden w:val="1"/>
    <w:rsid w:val="00302F2C"/>
    <w:rPr>
      <w:rFonts w:cstheme="majorBidi" w:eastAsiaTheme="majorEastAsia"/>
      <w:i w:val="1"/>
      <w:iCs w:val="1"/>
      <w:color w:val="0f4761" w:themeColor="accent1" w:themeShade="0000BF"/>
    </w:rPr>
  </w:style>
  <w:style w:type="character" w:styleId="Nagwek5Znak" w:customStyle="1">
    <w:name w:val="Nagłówek 5 Znak"/>
    <w:basedOn w:val="Domylnaczcionkaakapitu"/>
    <w:link w:val="Nagwek5"/>
    <w:uiPriority w:val="9"/>
    <w:semiHidden w:val="1"/>
    <w:rsid w:val="00302F2C"/>
    <w:rPr>
      <w:rFonts w:cstheme="majorBidi" w:eastAsiaTheme="majorEastAsia"/>
      <w:color w:val="0f4761" w:themeColor="accent1" w:themeShade="0000BF"/>
    </w:rPr>
  </w:style>
  <w:style w:type="character" w:styleId="Nagwek6Znak" w:customStyle="1">
    <w:name w:val="Nagłówek 6 Znak"/>
    <w:basedOn w:val="Domylnaczcionkaakapitu"/>
    <w:link w:val="Nagwek6"/>
    <w:uiPriority w:val="9"/>
    <w:semiHidden w:val="1"/>
    <w:rsid w:val="00302F2C"/>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302F2C"/>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302F2C"/>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302F2C"/>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302F2C"/>
    <w:rPr>
      <w:rFonts w:asciiTheme="majorHAnsi" w:cstheme="majorBidi" w:eastAsiaTheme="majorEastAsia" w:hAnsiTheme="majorHAnsi"/>
      <w:spacing w:val="-10"/>
      <w:kern w:val="28"/>
      <w:sz w:val="56"/>
      <w:szCs w:val="56"/>
    </w:rPr>
  </w:style>
  <w:style w:type="character" w:styleId="PodtytuZnak" w:customStyle="1">
    <w:name w:val="Podtytuł Znak"/>
    <w:basedOn w:val="Domylnaczcionkaakapitu"/>
    <w:link w:val="Podtytu"/>
    <w:uiPriority w:val="11"/>
    <w:rsid w:val="00302F2C"/>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302F2C"/>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302F2C"/>
    <w:rPr>
      <w:i w:val="1"/>
      <w:iCs w:val="1"/>
      <w:color w:val="404040" w:themeColor="text1" w:themeTint="0000BF"/>
    </w:rPr>
  </w:style>
  <w:style w:type="paragraph" w:styleId="Akapitzlist">
    <w:name w:val="List Paragraph"/>
    <w:basedOn w:val="Normalny"/>
    <w:uiPriority w:val="34"/>
    <w:qFormat w:val="1"/>
    <w:rsid w:val="00302F2C"/>
    <w:pPr>
      <w:ind w:left="720"/>
      <w:contextualSpacing w:val="1"/>
    </w:pPr>
  </w:style>
  <w:style w:type="character" w:styleId="Wyrnienieintensywne">
    <w:name w:val="Intense Emphasis"/>
    <w:basedOn w:val="Domylnaczcionkaakapitu"/>
    <w:uiPriority w:val="21"/>
    <w:qFormat w:val="1"/>
    <w:rsid w:val="00302F2C"/>
    <w:rPr>
      <w:i w:val="1"/>
      <w:iCs w:val="1"/>
      <w:color w:val="0f4761" w:themeColor="accent1" w:themeShade="0000BF"/>
    </w:rPr>
  </w:style>
  <w:style w:type="paragraph" w:styleId="Cytatintensywny">
    <w:name w:val="Intense Quote"/>
    <w:basedOn w:val="Normalny"/>
    <w:next w:val="Normalny"/>
    <w:link w:val="CytatintensywnyZnak"/>
    <w:uiPriority w:val="30"/>
    <w:qFormat w:val="1"/>
    <w:rsid w:val="00302F2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302F2C"/>
    <w:rPr>
      <w:i w:val="1"/>
      <w:iCs w:val="1"/>
      <w:color w:val="0f4761" w:themeColor="accent1" w:themeShade="0000BF"/>
    </w:rPr>
  </w:style>
  <w:style w:type="character" w:styleId="Odwoanieintensywne">
    <w:name w:val="Intense Reference"/>
    <w:basedOn w:val="Domylnaczcionkaakapitu"/>
    <w:uiPriority w:val="32"/>
    <w:qFormat w:val="1"/>
    <w:rsid w:val="00302F2C"/>
    <w:rPr>
      <w:b w:val="1"/>
      <w:bCs w:val="1"/>
      <w:smallCaps w:val="1"/>
      <w:color w:val="0f4761" w:themeColor="accent1" w:themeShade="0000BF"/>
      <w:spacing w:val="5"/>
    </w:rPr>
  </w:style>
  <w:style w:type="paragraph" w:styleId="Nagwek">
    <w:name w:val="header"/>
    <w:basedOn w:val="Normalny"/>
    <w:link w:val="NagwekZnak"/>
    <w:uiPriority w:val="99"/>
    <w:unhideWhenUsed w:val="1"/>
    <w:rsid w:val="00436A0D"/>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436A0D"/>
  </w:style>
  <w:style w:type="paragraph" w:styleId="Stopka">
    <w:name w:val="footer"/>
    <w:basedOn w:val="Normalny"/>
    <w:link w:val="StopkaZnak"/>
    <w:uiPriority w:val="99"/>
    <w:unhideWhenUsed w:val="1"/>
    <w:rsid w:val="00436A0D"/>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436A0D"/>
  </w:style>
  <w:style w:type="paragraph" w:styleId="Tekstprzypisudolnego">
    <w:name w:val="footnote text"/>
    <w:basedOn w:val="Normalny"/>
    <w:link w:val="TekstprzypisudolnegoZnak"/>
    <w:uiPriority w:val="99"/>
    <w:semiHidden w:val="1"/>
    <w:unhideWhenUsed w:val="1"/>
    <w:rsid w:val="00CC0EE4"/>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val="1"/>
    <w:rsid w:val="00CC0EE4"/>
    <w:rPr>
      <w:sz w:val="20"/>
      <w:szCs w:val="20"/>
    </w:rPr>
  </w:style>
  <w:style w:type="character" w:styleId="Odwoanieprzypisudolnego">
    <w:name w:val="footnote reference"/>
    <w:basedOn w:val="Domylnaczcionkaakapitu"/>
    <w:uiPriority w:val="99"/>
    <w:semiHidden w:val="1"/>
    <w:unhideWhenUsed w:val="1"/>
    <w:rsid w:val="00CC0EE4"/>
    <w:rPr>
      <w:vertAlign w:val="superscript"/>
    </w:rPr>
  </w:style>
  <w:style w:type="character" w:styleId="Hipercze">
    <w:name w:val="Hyperlink"/>
    <w:basedOn w:val="Domylnaczcionkaakapitu"/>
    <w:uiPriority w:val="99"/>
    <w:unhideWhenUsed w:val="1"/>
    <w:rsid w:val="00CC0EE4"/>
    <w:rPr>
      <w:color w:val="467886" w:themeColor="hyperlink"/>
      <w:u w:val="single"/>
    </w:rPr>
  </w:style>
  <w:style w:type="character" w:styleId="Nierozpoznanawzmianka">
    <w:name w:val="Unresolved Mention"/>
    <w:basedOn w:val="Domylnaczcionkaakapitu"/>
    <w:uiPriority w:val="99"/>
    <w:semiHidden w:val="1"/>
    <w:unhideWhenUsed w:val="1"/>
    <w:rsid w:val="00CC0EE4"/>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notes.xml.rels><?xml version="1.0" encoding="UTF-8" standalone="yes"?><Relationships xmlns="http://schemas.openxmlformats.org/package/2006/relationships"><Relationship Id="rId1" Type="http://schemas.openxmlformats.org/officeDocument/2006/relationships/hyperlink" Target="https://orka.sejm.gov.pl/Druki9ka.nsf/0/684DD198D054FBB9C12588CA00371F60/%24File/2628.pdf" TargetMode="External"/><Relationship Id="rId2" Type="http://schemas.openxmlformats.org/officeDocument/2006/relationships/hyperlink" Target="https://orka.sejm.gov.pl/Druki9ka.nsf/0/684DD198D054FBB9C12588CA00371F60/%24File/262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VVRlFaJ7Hu5Ss3fWIAqweWikQ==">CgMxLjAyDmguczIyNzBsYXdneXVpMg5oLnF0NXdiN2xpNzdkdTIOaC5vMGZiM3hsZHZmY3k4AHIhMVlQVEVkTEloQk1LRzhDV0NKOGl1RXI0N0xSdFZkRTdj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2025-09-18T09:46:00Z</dcterms:created>
  <dc:creator>Witold Stoch</dc:creator>
</cp:coreProperties>
</file>