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D1F6A" w14:textId="77777777" w:rsidR="007B77BA" w:rsidRPr="003C6BB6" w:rsidRDefault="007B77BA" w:rsidP="003C6BB6">
      <w:pPr>
        <w:pStyle w:val="OZNRODZAKTUtznustawalubrozporzdzenieiorganwydajcy"/>
        <w:rPr>
          <w:rFonts w:ascii="Times New Roman" w:hAnsi="Times New Roman"/>
          <w:b w:val="0"/>
          <w:bCs w:val="0"/>
        </w:rPr>
      </w:pPr>
      <w:r w:rsidRPr="003C6BB6">
        <w:rPr>
          <w:rFonts w:ascii="Times New Roman" w:hAnsi="Times New Roman"/>
          <w:b w:val="0"/>
          <w:bCs w:val="0"/>
        </w:rPr>
        <w:t>uzasadnienie</w:t>
      </w:r>
    </w:p>
    <w:p w14:paraId="40719D23" w14:textId="0E88568F" w:rsidR="007B77BA" w:rsidRPr="0021428C" w:rsidRDefault="007B77BA" w:rsidP="003C6BB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Ustawa</w:t>
      </w:r>
      <w:r w:rsidRPr="0021428C">
        <w:rPr>
          <w:rFonts w:ascii="Times New Roman" w:hAnsi="Times New Roman" w:cs="Times New Roman"/>
          <w:sz w:val="24"/>
          <w:szCs w:val="24"/>
        </w:rPr>
        <w:t xml:space="preserve"> z dnia 7 grudnia 2000 r. o funkcjonowaniu banków spółdzielczych, ich zrzeszaniu się i bankach zrzeszających (Dz. U. z </w:t>
      </w:r>
      <w:r w:rsidR="0022019E" w:rsidRPr="0021428C">
        <w:rPr>
          <w:rFonts w:ascii="Times New Roman" w:hAnsi="Times New Roman" w:cs="Times New Roman"/>
          <w:sz w:val="24"/>
          <w:szCs w:val="24"/>
        </w:rPr>
        <w:t>202</w:t>
      </w:r>
      <w:r w:rsidR="0022019E">
        <w:rPr>
          <w:rFonts w:ascii="Times New Roman" w:hAnsi="Times New Roman" w:cs="Times New Roman"/>
          <w:sz w:val="24"/>
          <w:szCs w:val="24"/>
        </w:rPr>
        <w:t>5</w:t>
      </w:r>
      <w:r w:rsidR="0022019E" w:rsidRPr="0021428C">
        <w:rPr>
          <w:rFonts w:ascii="Times New Roman" w:hAnsi="Times New Roman" w:cs="Times New Roman"/>
          <w:sz w:val="24"/>
          <w:szCs w:val="24"/>
        </w:rPr>
        <w:t xml:space="preserve"> </w:t>
      </w:r>
      <w:r w:rsidRPr="0021428C">
        <w:rPr>
          <w:rFonts w:ascii="Times New Roman" w:hAnsi="Times New Roman" w:cs="Times New Roman"/>
          <w:sz w:val="24"/>
          <w:szCs w:val="24"/>
        </w:rPr>
        <w:t>r. poz.</w:t>
      </w:r>
      <w:r w:rsidR="0022019E">
        <w:rPr>
          <w:rFonts w:ascii="Times New Roman" w:hAnsi="Times New Roman" w:cs="Times New Roman"/>
          <w:sz w:val="24"/>
          <w:szCs w:val="24"/>
        </w:rPr>
        <w:t xml:space="preserve"> 265</w:t>
      </w:r>
      <w:r w:rsidR="00C800DD">
        <w:rPr>
          <w:rFonts w:ascii="Times New Roman" w:hAnsi="Times New Roman" w:cs="Times New Roman"/>
          <w:sz w:val="24"/>
          <w:szCs w:val="24"/>
        </w:rPr>
        <w:t xml:space="preserve"> i 1191</w:t>
      </w:r>
      <w:r w:rsidRPr="0021428C">
        <w:rPr>
          <w:rFonts w:ascii="Times New Roman" w:hAnsi="Times New Roman" w:cs="Times New Roman"/>
          <w:sz w:val="24"/>
          <w:szCs w:val="24"/>
        </w:rPr>
        <w:t>)</w:t>
      </w:r>
      <w:r>
        <w:rPr>
          <w:rFonts w:ascii="Times New Roman" w:hAnsi="Times New Roman" w:cs="Times New Roman"/>
          <w:sz w:val="24"/>
          <w:szCs w:val="24"/>
        </w:rPr>
        <w:t>,</w:t>
      </w:r>
      <w:r w:rsidRPr="0021428C">
        <w:rPr>
          <w:rFonts w:ascii="Times New Roman" w:hAnsi="Times New Roman" w:cs="Times New Roman"/>
          <w:sz w:val="24"/>
          <w:szCs w:val="24"/>
        </w:rPr>
        <w:t xml:space="preserve"> dalej </w:t>
      </w:r>
      <w:r w:rsidR="00D4797F">
        <w:rPr>
          <w:rFonts w:ascii="Times New Roman" w:hAnsi="Times New Roman" w:cs="Times New Roman"/>
          <w:sz w:val="24"/>
          <w:szCs w:val="24"/>
        </w:rPr>
        <w:t xml:space="preserve">też </w:t>
      </w:r>
      <w:r>
        <w:rPr>
          <w:rFonts w:ascii="Times New Roman" w:hAnsi="Times New Roman" w:cs="Times New Roman"/>
          <w:sz w:val="24"/>
          <w:szCs w:val="24"/>
        </w:rPr>
        <w:t>„</w:t>
      </w:r>
      <w:r w:rsidRPr="0021428C">
        <w:rPr>
          <w:rFonts w:ascii="Times New Roman" w:hAnsi="Times New Roman" w:cs="Times New Roman"/>
          <w:sz w:val="24"/>
          <w:szCs w:val="24"/>
        </w:rPr>
        <w:t>ustawa o funkcjonowaniu banków spółdzielczych</w:t>
      </w:r>
      <w:r>
        <w:rPr>
          <w:rFonts w:ascii="Times New Roman" w:hAnsi="Times New Roman" w:cs="Times New Roman"/>
          <w:sz w:val="24"/>
          <w:szCs w:val="24"/>
        </w:rPr>
        <w:t xml:space="preserve">”, </w:t>
      </w:r>
      <w:r w:rsidRPr="0021428C">
        <w:rPr>
          <w:rFonts w:ascii="Times New Roman" w:hAnsi="Times New Roman" w:cs="Times New Roman"/>
          <w:sz w:val="24"/>
          <w:szCs w:val="24"/>
        </w:rPr>
        <w:t>od momentu uchwalenia nie była przedmiotem gruntownego przeglądu.</w:t>
      </w:r>
      <w:r>
        <w:rPr>
          <w:rFonts w:ascii="Times New Roman" w:hAnsi="Times New Roman" w:cs="Times New Roman"/>
          <w:sz w:val="24"/>
          <w:szCs w:val="24"/>
        </w:rPr>
        <w:t xml:space="preserve"> </w:t>
      </w:r>
      <w:r w:rsidRPr="0021428C">
        <w:rPr>
          <w:rFonts w:ascii="Times New Roman" w:hAnsi="Times New Roman" w:cs="Times New Roman"/>
          <w:sz w:val="24"/>
          <w:szCs w:val="24"/>
        </w:rPr>
        <w:t xml:space="preserve">Projektowana </w:t>
      </w:r>
      <w:r w:rsidRPr="003C6BB6">
        <w:rPr>
          <w:rFonts w:ascii="Times New Roman" w:hAnsi="Times New Roman" w:cs="Times New Roman"/>
          <w:sz w:val="24"/>
          <w:szCs w:val="24"/>
        </w:rPr>
        <w:t>ustawa o zmianie ustawy o funkcjonowaniu banków spółdzielczych, ich zrzeszaniu się i bankach zrzeszających oraz niektórych innych ustaw</w:t>
      </w:r>
      <w:r>
        <w:rPr>
          <w:rFonts w:ascii="Times New Roman" w:hAnsi="Times New Roman" w:cs="Times New Roman"/>
          <w:sz w:val="24"/>
          <w:szCs w:val="24"/>
        </w:rPr>
        <w:t xml:space="preserve"> wprowadza </w:t>
      </w:r>
      <w:r w:rsidRPr="0021428C">
        <w:rPr>
          <w:rFonts w:ascii="Times New Roman" w:hAnsi="Times New Roman" w:cs="Times New Roman"/>
          <w:sz w:val="24"/>
          <w:szCs w:val="24"/>
        </w:rPr>
        <w:t>zmiany</w:t>
      </w:r>
      <w:r>
        <w:rPr>
          <w:rFonts w:ascii="Times New Roman" w:hAnsi="Times New Roman" w:cs="Times New Roman"/>
          <w:sz w:val="24"/>
          <w:szCs w:val="24"/>
        </w:rPr>
        <w:t>, które</w:t>
      </w:r>
      <w:r w:rsidRPr="0021428C">
        <w:rPr>
          <w:rFonts w:ascii="Times New Roman" w:hAnsi="Times New Roman" w:cs="Times New Roman"/>
          <w:sz w:val="24"/>
          <w:szCs w:val="24"/>
        </w:rPr>
        <w:t xml:space="preserve"> są wynikiem potrzeby dostosowania przepisów do aktualnie obowiązujących norm oraz potrzeb sektora bankowości spółdzielczej. </w:t>
      </w:r>
      <w:r w:rsidR="00903D0F" w:rsidRPr="00903D0F">
        <w:rPr>
          <w:rFonts w:ascii="Times New Roman" w:hAnsi="Times New Roman" w:cs="Times New Roman"/>
          <w:sz w:val="24"/>
          <w:szCs w:val="24"/>
        </w:rPr>
        <w:t xml:space="preserve">Projektowana nowelizacja zmierza do uporządkowania przepisów regulujących działalność sektora bankowości spółdzielczej i w konsekwencji usprawnienia jego funkcjonowania. Zawarte </w:t>
      </w:r>
      <w:r w:rsidR="00903D0F">
        <w:rPr>
          <w:rFonts w:ascii="Times New Roman" w:hAnsi="Times New Roman" w:cs="Times New Roman"/>
          <w:sz w:val="24"/>
          <w:szCs w:val="24"/>
        </w:rPr>
        <w:t>w</w:t>
      </w:r>
      <w:r w:rsidR="00151640">
        <w:rPr>
          <w:rFonts w:ascii="Times New Roman" w:hAnsi="Times New Roman" w:cs="Times New Roman"/>
          <w:sz w:val="24"/>
          <w:szCs w:val="24"/>
        </w:rPr>
        <w:t> </w:t>
      </w:r>
      <w:r w:rsidR="00903D0F" w:rsidRPr="00903D0F">
        <w:rPr>
          <w:rFonts w:ascii="Times New Roman" w:hAnsi="Times New Roman" w:cs="Times New Roman"/>
          <w:sz w:val="24"/>
          <w:szCs w:val="24"/>
        </w:rPr>
        <w:t>projektowanej ustawie przepisy są odpowiedzią na postulaty zgłaszane przez sektor bankowości spółdzielczej</w:t>
      </w:r>
      <w:r w:rsidR="00F461EA">
        <w:rPr>
          <w:rFonts w:ascii="Times New Roman" w:hAnsi="Times New Roman" w:cs="Times New Roman"/>
          <w:sz w:val="24"/>
          <w:szCs w:val="24"/>
        </w:rPr>
        <w:t xml:space="preserve"> w ramach inicjatywy deregulacyjnej</w:t>
      </w:r>
      <w:r w:rsidR="00903D0F" w:rsidRPr="00903D0F">
        <w:rPr>
          <w:rFonts w:ascii="Times New Roman" w:hAnsi="Times New Roman" w:cs="Times New Roman"/>
          <w:sz w:val="24"/>
          <w:szCs w:val="24"/>
        </w:rPr>
        <w:t xml:space="preserve">. </w:t>
      </w:r>
      <w:r w:rsidR="00903D0F">
        <w:rPr>
          <w:rFonts w:ascii="Times New Roman" w:hAnsi="Times New Roman" w:cs="Times New Roman"/>
          <w:sz w:val="24"/>
          <w:szCs w:val="24"/>
        </w:rPr>
        <w:t>Postulaty</w:t>
      </w:r>
      <w:r w:rsidR="00903D0F" w:rsidRPr="00903D0F">
        <w:rPr>
          <w:rFonts w:ascii="Times New Roman" w:hAnsi="Times New Roman" w:cs="Times New Roman"/>
          <w:sz w:val="24"/>
          <w:szCs w:val="24"/>
        </w:rPr>
        <w:t xml:space="preserve"> </w:t>
      </w:r>
      <w:r w:rsidR="00903D0F">
        <w:rPr>
          <w:rFonts w:ascii="Times New Roman" w:hAnsi="Times New Roman" w:cs="Times New Roman"/>
          <w:sz w:val="24"/>
          <w:szCs w:val="24"/>
        </w:rPr>
        <w:t>te</w:t>
      </w:r>
      <w:r w:rsidR="00903D0F" w:rsidRPr="00903D0F">
        <w:rPr>
          <w:rFonts w:ascii="Times New Roman" w:hAnsi="Times New Roman" w:cs="Times New Roman"/>
          <w:sz w:val="24"/>
          <w:szCs w:val="24"/>
        </w:rPr>
        <w:t xml:space="preserve"> zostały poddane szczegółowej analizie.</w:t>
      </w:r>
      <w:r w:rsidR="003A6D6D">
        <w:rPr>
          <w:rFonts w:ascii="Times New Roman" w:hAnsi="Times New Roman" w:cs="Times New Roman"/>
          <w:sz w:val="24"/>
          <w:szCs w:val="24"/>
        </w:rPr>
        <w:t xml:space="preserve"> </w:t>
      </w:r>
      <w:r w:rsidR="00F461EA">
        <w:rPr>
          <w:rFonts w:ascii="Times New Roman" w:hAnsi="Times New Roman" w:cs="Times New Roman"/>
          <w:sz w:val="24"/>
          <w:szCs w:val="24"/>
        </w:rPr>
        <w:t>Proponowane zmiany zawarto w</w:t>
      </w:r>
      <w:r w:rsidR="003A6D6D">
        <w:rPr>
          <w:rFonts w:ascii="Times New Roman" w:hAnsi="Times New Roman" w:cs="Times New Roman"/>
          <w:sz w:val="24"/>
          <w:szCs w:val="24"/>
        </w:rPr>
        <w:t xml:space="preserve"> projektowan</w:t>
      </w:r>
      <w:r w:rsidR="00F461EA">
        <w:rPr>
          <w:rFonts w:ascii="Times New Roman" w:hAnsi="Times New Roman" w:cs="Times New Roman"/>
          <w:sz w:val="24"/>
          <w:szCs w:val="24"/>
        </w:rPr>
        <w:t>ej</w:t>
      </w:r>
      <w:r w:rsidR="003A6D6D">
        <w:rPr>
          <w:rFonts w:ascii="Times New Roman" w:hAnsi="Times New Roman" w:cs="Times New Roman"/>
          <w:sz w:val="24"/>
          <w:szCs w:val="24"/>
        </w:rPr>
        <w:t xml:space="preserve"> ustaw</w:t>
      </w:r>
      <w:r w:rsidR="00F461EA">
        <w:rPr>
          <w:rFonts w:ascii="Times New Roman" w:hAnsi="Times New Roman" w:cs="Times New Roman"/>
          <w:sz w:val="24"/>
          <w:szCs w:val="24"/>
        </w:rPr>
        <w:t>ie</w:t>
      </w:r>
      <w:r w:rsidR="003A6D6D">
        <w:rPr>
          <w:rFonts w:ascii="Times New Roman" w:hAnsi="Times New Roman" w:cs="Times New Roman"/>
          <w:sz w:val="24"/>
          <w:szCs w:val="24"/>
        </w:rPr>
        <w:t xml:space="preserve"> zmieniając</w:t>
      </w:r>
      <w:r w:rsidR="00F461EA">
        <w:rPr>
          <w:rFonts w:ascii="Times New Roman" w:hAnsi="Times New Roman" w:cs="Times New Roman"/>
          <w:sz w:val="24"/>
          <w:szCs w:val="24"/>
        </w:rPr>
        <w:t>ej</w:t>
      </w:r>
      <w:r w:rsidR="003A6D6D">
        <w:rPr>
          <w:rFonts w:ascii="Times New Roman" w:hAnsi="Times New Roman" w:cs="Times New Roman"/>
          <w:sz w:val="24"/>
          <w:szCs w:val="24"/>
        </w:rPr>
        <w:t>, która</w:t>
      </w:r>
      <w:r w:rsidR="00903D0F">
        <w:rPr>
          <w:rFonts w:ascii="Times New Roman" w:hAnsi="Times New Roman" w:cs="Times New Roman"/>
          <w:sz w:val="24"/>
          <w:szCs w:val="24"/>
        </w:rPr>
        <w:t xml:space="preserve"> </w:t>
      </w:r>
      <w:r w:rsidR="003A6D6D">
        <w:rPr>
          <w:rFonts w:ascii="Times New Roman" w:hAnsi="Times New Roman" w:cs="Times New Roman"/>
          <w:sz w:val="24"/>
          <w:szCs w:val="24"/>
        </w:rPr>
        <w:t>obejmuje</w:t>
      </w:r>
      <w:r w:rsidRPr="0021428C">
        <w:rPr>
          <w:rFonts w:ascii="Times New Roman" w:hAnsi="Times New Roman" w:cs="Times New Roman"/>
          <w:sz w:val="24"/>
          <w:szCs w:val="24"/>
        </w:rPr>
        <w:t xml:space="preserve"> m.in.</w:t>
      </w:r>
      <w:r>
        <w:rPr>
          <w:rFonts w:ascii="Times New Roman" w:hAnsi="Times New Roman" w:cs="Times New Roman"/>
          <w:sz w:val="24"/>
          <w:szCs w:val="24"/>
        </w:rPr>
        <w:t>:</w:t>
      </w:r>
      <w:r w:rsidRPr="0021428C">
        <w:rPr>
          <w:rFonts w:ascii="Times New Roman" w:hAnsi="Times New Roman" w:cs="Times New Roman"/>
          <w:sz w:val="24"/>
          <w:szCs w:val="24"/>
        </w:rPr>
        <w:t xml:space="preserve"> </w:t>
      </w:r>
    </w:p>
    <w:p w14:paraId="3EEBE48A" w14:textId="1F6D6D10" w:rsidR="007B77BA" w:rsidRPr="0021428C" w:rsidRDefault="007B77BA" w:rsidP="003C6BB6">
      <w:pPr>
        <w:pStyle w:val="Akapitzlist"/>
        <w:numPr>
          <w:ilvl w:val="0"/>
          <w:numId w:val="4"/>
        </w:numPr>
        <w:spacing w:after="120" w:line="360" w:lineRule="auto"/>
        <w:jc w:val="both"/>
        <w:rPr>
          <w:rFonts w:ascii="Times New Roman" w:hAnsi="Times New Roman" w:cs="Times New Roman"/>
          <w:sz w:val="24"/>
          <w:szCs w:val="24"/>
        </w:rPr>
      </w:pPr>
      <w:r w:rsidRPr="0021428C">
        <w:rPr>
          <w:rFonts w:ascii="Times New Roman" w:hAnsi="Times New Roman" w:cs="Times New Roman"/>
          <w:sz w:val="24"/>
          <w:szCs w:val="24"/>
        </w:rPr>
        <w:t>uchylenie przepisów dotyczących zrzeszenia zintegrowanego</w:t>
      </w:r>
      <w:r w:rsidR="007E48FA">
        <w:rPr>
          <w:rFonts w:ascii="Times New Roman" w:hAnsi="Times New Roman" w:cs="Times New Roman"/>
          <w:sz w:val="24"/>
          <w:szCs w:val="24"/>
        </w:rPr>
        <w:t>,</w:t>
      </w:r>
      <w:r w:rsidRPr="0021428C">
        <w:rPr>
          <w:rFonts w:ascii="Times New Roman" w:hAnsi="Times New Roman" w:cs="Times New Roman"/>
          <w:sz w:val="24"/>
          <w:szCs w:val="24"/>
        </w:rPr>
        <w:t xml:space="preserve"> </w:t>
      </w:r>
    </w:p>
    <w:p w14:paraId="7AAB6662" w14:textId="43FDD2BB" w:rsidR="007B77BA" w:rsidRPr="0021428C" w:rsidRDefault="007B77BA" w:rsidP="003C6BB6">
      <w:pPr>
        <w:pStyle w:val="Akapitzlist"/>
        <w:numPr>
          <w:ilvl w:val="0"/>
          <w:numId w:val="4"/>
        </w:numPr>
        <w:spacing w:after="120" w:line="360" w:lineRule="auto"/>
        <w:jc w:val="both"/>
        <w:rPr>
          <w:rFonts w:ascii="Times New Roman" w:hAnsi="Times New Roman" w:cs="Times New Roman"/>
          <w:sz w:val="24"/>
          <w:szCs w:val="24"/>
        </w:rPr>
      </w:pPr>
      <w:r w:rsidRPr="0021428C">
        <w:rPr>
          <w:rFonts w:ascii="Times New Roman" w:hAnsi="Times New Roman" w:cs="Times New Roman"/>
          <w:sz w:val="24"/>
          <w:szCs w:val="24"/>
        </w:rPr>
        <w:t>zniesienie obowiązku przekazywania na żądanie K</w:t>
      </w:r>
      <w:r w:rsidR="006A2CED">
        <w:rPr>
          <w:rFonts w:ascii="Times New Roman" w:hAnsi="Times New Roman" w:cs="Times New Roman"/>
          <w:sz w:val="24"/>
          <w:szCs w:val="24"/>
        </w:rPr>
        <w:t>omisji Nadzoru Finansowego</w:t>
      </w:r>
      <w:r w:rsidRPr="0021428C">
        <w:rPr>
          <w:rFonts w:ascii="Times New Roman" w:hAnsi="Times New Roman" w:cs="Times New Roman"/>
          <w:sz w:val="24"/>
          <w:szCs w:val="24"/>
        </w:rPr>
        <w:t xml:space="preserve"> informacji o kredytach, pożyczkach pieniężnych, gwarancjach bankowych oraz poręczeniach udzielonych udziałowcom banku spółdzielczego oraz obowiązku przechowywani</w:t>
      </w:r>
      <w:r w:rsidR="00D4797F">
        <w:rPr>
          <w:rFonts w:ascii="Times New Roman" w:hAnsi="Times New Roman" w:cs="Times New Roman"/>
          <w:sz w:val="24"/>
          <w:szCs w:val="24"/>
        </w:rPr>
        <w:t>a</w:t>
      </w:r>
      <w:r w:rsidRPr="0021428C">
        <w:rPr>
          <w:rFonts w:ascii="Times New Roman" w:hAnsi="Times New Roman" w:cs="Times New Roman"/>
          <w:sz w:val="24"/>
          <w:szCs w:val="24"/>
        </w:rPr>
        <w:t xml:space="preserve"> tych informacji</w:t>
      </w:r>
      <w:r w:rsidR="007E48FA">
        <w:rPr>
          <w:rFonts w:ascii="Times New Roman" w:hAnsi="Times New Roman" w:cs="Times New Roman"/>
          <w:sz w:val="24"/>
          <w:szCs w:val="24"/>
        </w:rPr>
        <w:t>,</w:t>
      </w:r>
    </w:p>
    <w:p w14:paraId="1C83BF28" w14:textId="7B8A3A8E" w:rsidR="007B77BA" w:rsidRPr="0021428C" w:rsidRDefault="007B77BA" w:rsidP="003C6BB6">
      <w:pPr>
        <w:pStyle w:val="Akapitzlist"/>
        <w:numPr>
          <w:ilvl w:val="0"/>
          <w:numId w:val="4"/>
        </w:numPr>
        <w:spacing w:after="120" w:line="360" w:lineRule="auto"/>
        <w:jc w:val="both"/>
        <w:rPr>
          <w:rFonts w:ascii="Times New Roman" w:hAnsi="Times New Roman" w:cs="Times New Roman"/>
          <w:sz w:val="24"/>
          <w:szCs w:val="24"/>
        </w:rPr>
      </w:pPr>
      <w:r w:rsidRPr="0021428C">
        <w:rPr>
          <w:rFonts w:ascii="Times New Roman" w:hAnsi="Times New Roman" w:cs="Times New Roman"/>
          <w:sz w:val="24"/>
          <w:szCs w:val="24"/>
        </w:rPr>
        <w:t>zmiany w zakresie zawiązywania konsorcjum bankowego obejmujące jednakowymi zasadami wszystkie banki spółdzielcze</w:t>
      </w:r>
      <w:r w:rsidR="007E48FA">
        <w:rPr>
          <w:rFonts w:ascii="Times New Roman" w:hAnsi="Times New Roman" w:cs="Times New Roman"/>
          <w:sz w:val="24"/>
          <w:szCs w:val="24"/>
        </w:rPr>
        <w:t>,</w:t>
      </w:r>
    </w:p>
    <w:p w14:paraId="05491742" w14:textId="00F545A3" w:rsidR="007B77BA" w:rsidRPr="0021428C" w:rsidRDefault="007B77BA" w:rsidP="003C6BB6">
      <w:pPr>
        <w:pStyle w:val="Akapitzlist"/>
        <w:numPr>
          <w:ilvl w:val="0"/>
          <w:numId w:val="4"/>
        </w:numPr>
        <w:spacing w:after="120" w:line="360" w:lineRule="auto"/>
        <w:jc w:val="both"/>
        <w:rPr>
          <w:rFonts w:ascii="Times New Roman" w:hAnsi="Times New Roman" w:cs="Times New Roman"/>
          <w:sz w:val="24"/>
          <w:szCs w:val="24"/>
        </w:rPr>
      </w:pPr>
      <w:r w:rsidRPr="0021428C">
        <w:rPr>
          <w:rFonts w:ascii="Times New Roman" w:hAnsi="Times New Roman" w:cs="Times New Roman"/>
          <w:sz w:val="24"/>
          <w:szCs w:val="24"/>
        </w:rPr>
        <w:t>uproszczenie wprowadzania zmian do umowy zrzeszenia</w:t>
      </w:r>
      <w:r w:rsidR="007E48FA">
        <w:rPr>
          <w:rFonts w:ascii="Times New Roman" w:hAnsi="Times New Roman" w:cs="Times New Roman"/>
          <w:sz w:val="24"/>
          <w:szCs w:val="24"/>
        </w:rPr>
        <w:t>,</w:t>
      </w:r>
    </w:p>
    <w:p w14:paraId="6981CAA5" w14:textId="11EFFB46" w:rsidR="003A6395" w:rsidRDefault="003A6395" w:rsidP="003C6BB6">
      <w:pPr>
        <w:pStyle w:val="Akapitzlist"/>
        <w:numPr>
          <w:ilvl w:val="0"/>
          <w:numId w:val="4"/>
        </w:numPr>
        <w:spacing w:after="120" w:line="360" w:lineRule="auto"/>
        <w:jc w:val="both"/>
        <w:rPr>
          <w:rFonts w:ascii="Times New Roman" w:hAnsi="Times New Roman" w:cs="Times New Roman"/>
          <w:sz w:val="24"/>
          <w:szCs w:val="24"/>
        </w:rPr>
      </w:pPr>
      <w:r w:rsidRPr="003A6395">
        <w:rPr>
          <w:rFonts w:ascii="Times New Roman" w:hAnsi="Times New Roman" w:cs="Times New Roman"/>
          <w:sz w:val="24"/>
          <w:szCs w:val="24"/>
        </w:rPr>
        <w:t>wprowadz</w:t>
      </w:r>
      <w:r>
        <w:rPr>
          <w:rFonts w:ascii="Times New Roman" w:hAnsi="Times New Roman" w:cs="Times New Roman"/>
          <w:sz w:val="24"/>
          <w:szCs w:val="24"/>
        </w:rPr>
        <w:t>enie</w:t>
      </w:r>
      <w:r w:rsidRPr="003A6395">
        <w:rPr>
          <w:rFonts w:ascii="Times New Roman" w:hAnsi="Times New Roman" w:cs="Times New Roman"/>
          <w:sz w:val="24"/>
          <w:szCs w:val="24"/>
        </w:rPr>
        <w:t xml:space="preserve"> now</w:t>
      </w:r>
      <w:r>
        <w:rPr>
          <w:rFonts w:ascii="Times New Roman" w:hAnsi="Times New Roman" w:cs="Times New Roman"/>
          <w:sz w:val="24"/>
          <w:szCs w:val="24"/>
        </w:rPr>
        <w:t>ej</w:t>
      </w:r>
      <w:r w:rsidRPr="003A6395">
        <w:rPr>
          <w:rFonts w:ascii="Times New Roman" w:hAnsi="Times New Roman" w:cs="Times New Roman"/>
          <w:sz w:val="24"/>
          <w:szCs w:val="24"/>
        </w:rPr>
        <w:t xml:space="preserve"> form</w:t>
      </w:r>
      <w:r>
        <w:rPr>
          <w:rFonts w:ascii="Times New Roman" w:hAnsi="Times New Roman" w:cs="Times New Roman"/>
          <w:sz w:val="24"/>
          <w:szCs w:val="24"/>
        </w:rPr>
        <w:t>y</w:t>
      </w:r>
      <w:r w:rsidRPr="003A6395">
        <w:rPr>
          <w:rFonts w:ascii="Times New Roman" w:hAnsi="Times New Roman" w:cs="Times New Roman"/>
          <w:sz w:val="24"/>
          <w:szCs w:val="24"/>
        </w:rPr>
        <w:t xml:space="preserve"> pomocy finansowej realizowanej w ramach funduszu pomocowego</w:t>
      </w:r>
      <w:r w:rsidRPr="003A6395" w:rsidDel="003A6395">
        <w:rPr>
          <w:rFonts w:ascii="Times New Roman" w:hAnsi="Times New Roman" w:cs="Times New Roman"/>
          <w:sz w:val="24"/>
          <w:szCs w:val="24"/>
        </w:rPr>
        <w:t xml:space="preserve"> </w:t>
      </w:r>
      <w:r w:rsidR="00903CEC">
        <w:rPr>
          <w:rFonts w:ascii="Times New Roman" w:hAnsi="Times New Roman" w:cs="Times New Roman"/>
          <w:sz w:val="24"/>
          <w:szCs w:val="24"/>
        </w:rPr>
        <w:t>systemu ochrony</w:t>
      </w:r>
      <w:r w:rsidR="003D365B">
        <w:rPr>
          <w:rFonts w:ascii="Times New Roman" w:hAnsi="Times New Roman" w:cs="Times New Roman"/>
          <w:sz w:val="24"/>
          <w:szCs w:val="24"/>
        </w:rPr>
        <w:t>.</w:t>
      </w:r>
    </w:p>
    <w:p w14:paraId="685576E5" w14:textId="630513C5" w:rsidR="003D365B" w:rsidRPr="008757BC" w:rsidRDefault="003D365B" w:rsidP="003C6BB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 ramach projektowanej nowelizacji doprecyzowano także sposób </w:t>
      </w:r>
      <w:r w:rsidR="006154B8">
        <w:rPr>
          <w:rFonts w:ascii="Times New Roman" w:hAnsi="Times New Roman" w:cs="Times New Roman"/>
          <w:sz w:val="24"/>
          <w:szCs w:val="24"/>
        </w:rPr>
        <w:t>odnoszenia</w:t>
      </w:r>
      <w:r>
        <w:rPr>
          <w:rFonts w:ascii="Times New Roman" w:hAnsi="Times New Roman" w:cs="Times New Roman"/>
          <w:sz w:val="24"/>
          <w:szCs w:val="24"/>
        </w:rPr>
        <w:t xml:space="preserve"> przychodów i kosztów w ramach funduszu pomocowego systemu ochrony oraz funduszu stabilizacyjnego </w:t>
      </w:r>
      <w:r w:rsidRPr="003D365B">
        <w:rPr>
          <w:rFonts w:ascii="Times New Roman" w:hAnsi="Times New Roman" w:cs="Times New Roman"/>
          <w:sz w:val="24"/>
          <w:szCs w:val="24"/>
        </w:rPr>
        <w:t>Krajow</w:t>
      </w:r>
      <w:r>
        <w:rPr>
          <w:rFonts w:ascii="Times New Roman" w:hAnsi="Times New Roman" w:cs="Times New Roman"/>
          <w:sz w:val="24"/>
          <w:szCs w:val="24"/>
        </w:rPr>
        <w:t>ej</w:t>
      </w:r>
      <w:r w:rsidRPr="003D365B">
        <w:rPr>
          <w:rFonts w:ascii="Times New Roman" w:hAnsi="Times New Roman" w:cs="Times New Roman"/>
          <w:sz w:val="24"/>
          <w:szCs w:val="24"/>
        </w:rPr>
        <w:t xml:space="preserve"> Spółdzielcz</w:t>
      </w:r>
      <w:r>
        <w:rPr>
          <w:rFonts w:ascii="Times New Roman" w:hAnsi="Times New Roman" w:cs="Times New Roman"/>
          <w:sz w:val="24"/>
          <w:szCs w:val="24"/>
        </w:rPr>
        <w:t>ej</w:t>
      </w:r>
      <w:r w:rsidRPr="003D365B">
        <w:rPr>
          <w:rFonts w:ascii="Times New Roman" w:hAnsi="Times New Roman" w:cs="Times New Roman"/>
          <w:sz w:val="24"/>
          <w:szCs w:val="24"/>
        </w:rPr>
        <w:t xml:space="preserve"> Kas</w:t>
      </w:r>
      <w:r>
        <w:rPr>
          <w:rFonts w:ascii="Times New Roman" w:hAnsi="Times New Roman" w:cs="Times New Roman"/>
          <w:sz w:val="24"/>
          <w:szCs w:val="24"/>
        </w:rPr>
        <w:t>y</w:t>
      </w:r>
      <w:r w:rsidRPr="003D365B">
        <w:rPr>
          <w:rFonts w:ascii="Times New Roman" w:hAnsi="Times New Roman" w:cs="Times New Roman"/>
          <w:sz w:val="24"/>
          <w:szCs w:val="24"/>
        </w:rPr>
        <w:t xml:space="preserve"> Oszczędnościowo-Kredytow</w:t>
      </w:r>
      <w:r>
        <w:rPr>
          <w:rFonts w:ascii="Times New Roman" w:hAnsi="Times New Roman" w:cs="Times New Roman"/>
          <w:sz w:val="24"/>
          <w:szCs w:val="24"/>
        </w:rPr>
        <w:t>ej.</w:t>
      </w:r>
    </w:p>
    <w:p w14:paraId="549B9AB9" w14:textId="77777777" w:rsidR="007B77BA" w:rsidRPr="00A037F0" w:rsidRDefault="007B77BA" w:rsidP="003C6BB6">
      <w:pPr>
        <w:pStyle w:val="NIEARTTEKSTtekstnieartykuowanynppodstprawnarozplubpreambua"/>
        <w:spacing w:before="0" w:after="120"/>
        <w:ind w:firstLine="0"/>
        <w:rPr>
          <w:rFonts w:ascii="Times New Roman" w:hAnsi="Times New Roman" w:cs="Times New Roman"/>
          <w:color w:val="000000" w:themeColor="text1"/>
          <w:szCs w:val="24"/>
        </w:rPr>
      </w:pPr>
      <w:r w:rsidRPr="00A037F0">
        <w:rPr>
          <w:rFonts w:ascii="Times New Roman" w:hAnsi="Times New Roman" w:cs="Times New Roman"/>
          <w:color w:val="000000" w:themeColor="text1"/>
          <w:szCs w:val="24"/>
        </w:rPr>
        <w:t>Mając powyższe na uwadze, konieczne jest dokonanie zmian</w:t>
      </w:r>
      <w:r>
        <w:rPr>
          <w:rFonts w:ascii="Times New Roman" w:hAnsi="Times New Roman" w:cs="Times New Roman"/>
          <w:color w:val="000000" w:themeColor="text1"/>
          <w:szCs w:val="24"/>
        </w:rPr>
        <w:t xml:space="preserve"> w</w:t>
      </w:r>
      <w:r w:rsidRPr="00A037F0">
        <w:rPr>
          <w:rFonts w:ascii="Times New Roman" w:hAnsi="Times New Roman" w:cs="Times New Roman"/>
          <w:color w:val="000000" w:themeColor="text1"/>
          <w:szCs w:val="24"/>
        </w:rPr>
        <w:t>:</w:t>
      </w:r>
    </w:p>
    <w:p w14:paraId="15FF815D" w14:textId="219F1731" w:rsidR="007B77BA" w:rsidRPr="00F5343B" w:rsidRDefault="007B77BA" w:rsidP="003C6BB6">
      <w:pPr>
        <w:pStyle w:val="Akapitzlist"/>
        <w:numPr>
          <w:ilvl w:val="0"/>
          <w:numId w:val="1"/>
        </w:numPr>
        <w:spacing w:after="120" w:line="360" w:lineRule="auto"/>
        <w:jc w:val="both"/>
        <w:rPr>
          <w:rFonts w:ascii="Times New Roman" w:hAnsi="Times New Roman" w:cs="Times New Roman"/>
          <w:szCs w:val="24"/>
        </w:rPr>
      </w:pPr>
      <w:r w:rsidRPr="00F5343B">
        <w:rPr>
          <w:rFonts w:ascii="Times New Roman" w:hAnsi="Times New Roman" w:cs="Times New Roman"/>
          <w:sz w:val="24"/>
          <w:szCs w:val="24"/>
          <w:lang w:eastAsia="pl-PL"/>
        </w:rPr>
        <w:t>ustawie z dnia 7 grudnia 2000 r. o funkcjonowaniu banków spółdzielczych, ich zrzeszaniu się i bankach zrzeszających</w:t>
      </w:r>
      <w:r>
        <w:rPr>
          <w:rFonts w:ascii="Times New Roman" w:hAnsi="Times New Roman" w:cs="Times New Roman"/>
          <w:sz w:val="24"/>
          <w:szCs w:val="24"/>
          <w:lang w:eastAsia="pl-PL"/>
        </w:rPr>
        <w:t>,</w:t>
      </w:r>
    </w:p>
    <w:p w14:paraId="32C9B70D" w14:textId="00C1DB8A" w:rsidR="007B77BA" w:rsidRPr="007B77BA" w:rsidRDefault="007B77BA" w:rsidP="003C6BB6">
      <w:pPr>
        <w:pStyle w:val="Akapitzlist"/>
        <w:numPr>
          <w:ilvl w:val="0"/>
          <w:numId w:val="1"/>
        </w:numPr>
        <w:spacing w:after="120" w:line="360" w:lineRule="auto"/>
        <w:jc w:val="both"/>
        <w:rPr>
          <w:rFonts w:ascii="Times New Roman" w:hAnsi="Times New Roman" w:cs="Times New Roman"/>
          <w:szCs w:val="24"/>
        </w:rPr>
      </w:pPr>
      <w:r w:rsidRPr="00F5343B">
        <w:rPr>
          <w:rFonts w:ascii="Times New Roman" w:hAnsi="Times New Roman" w:cs="Times New Roman"/>
          <w:sz w:val="24"/>
          <w:szCs w:val="24"/>
          <w:lang w:eastAsia="pl-PL"/>
        </w:rPr>
        <w:t>ustawie z dnia 15 lutego 1992 r. o podatku dochodowym od osób prawnych (Dz. U. z</w:t>
      </w:r>
      <w:r w:rsidR="00151640">
        <w:rPr>
          <w:rFonts w:ascii="Times New Roman" w:hAnsi="Times New Roman" w:cs="Times New Roman"/>
          <w:sz w:val="24"/>
          <w:szCs w:val="24"/>
          <w:lang w:eastAsia="pl-PL"/>
        </w:rPr>
        <w:t> </w:t>
      </w:r>
      <w:r w:rsidRPr="00F5343B">
        <w:rPr>
          <w:rFonts w:ascii="Times New Roman" w:hAnsi="Times New Roman" w:cs="Times New Roman"/>
          <w:sz w:val="24"/>
          <w:szCs w:val="24"/>
          <w:lang w:eastAsia="pl-PL"/>
        </w:rPr>
        <w:t>202</w:t>
      </w:r>
      <w:r w:rsidR="00E45D67">
        <w:rPr>
          <w:rFonts w:ascii="Times New Roman" w:hAnsi="Times New Roman" w:cs="Times New Roman"/>
          <w:sz w:val="24"/>
          <w:szCs w:val="24"/>
          <w:lang w:eastAsia="pl-PL"/>
        </w:rPr>
        <w:t>5</w:t>
      </w:r>
      <w:r w:rsidRPr="00F5343B">
        <w:rPr>
          <w:rFonts w:ascii="Times New Roman" w:hAnsi="Times New Roman" w:cs="Times New Roman"/>
          <w:sz w:val="24"/>
          <w:szCs w:val="24"/>
          <w:lang w:eastAsia="pl-PL"/>
        </w:rPr>
        <w:t xml:space="preserve"> r. poz.</w:t>
      </w:r>
      <w:r w:rsidR="00E45D67">
        <w:rPr>
          <w:rFonts w:ascii="Times New Roman" w:hAnsi="Times New Roman" w:cs="Times New Roman"/>
          <w:sz w:val="24"/>
          <w:szCs w:val="24"/>
          <w:lang w:eastAsia="pl-PL"/>
        </w:rPr>
        <w:t xml:space="preserve"> 278</w:t>
      </w:r>
      <w:r w:rsidRPr="00F5343B">
        <w:rPr>
          <w:rFonts w:ascii="Times New Roman" w:hAnsi="Times New Roman" w:cs="Times New Roman"/>
          <w:sz w:val="24"/>
          <w:szCs w:val="24"/>
          <w:lang w:eastAsia="pl-PL"/>
        </w:rPr>
        <w:t xml:space="preserve">, </w:t>
      </w:r>
      <w:r w:rsidRPr="007B77BA">
        <w:rPr>
          <w:rFonts w:ascii="Times New Roman" w:hAnsi="Times New Roman" w:cs="Times New Roman"/>
          <w:sz w:val="24"/>
          <w:szCs w:val="24"/>
          <w:lang w:eastAsia="pl-PL"/>
        </w:rPr>
        <w:t>z późn. zm.),</w:t>
      </w:r>
      <w:r w:rsidRPr="00F5343B">
        <w:rPr>
          <w:rFonts w:ascii="Times New Roman" w:hAnsi="Times New Roman" w:cs="Times New Roman"/>
          <w:sz w:val="24"/>
          <w:szCs w:val="24"/>
          <w:lang w:eastAsia="pl-PL"/>
        </w:rPr>
        <w:t xml:space="preserve"> dalej „ustawa o podatku dochodowym od osób prawnych”,</w:t>
      </w:r>
    </w:p>
    <w:p w14:paraId="6F43645B" w14:textId="216331C6" w:rsidR="007B77BA" w:rsidRPr="00F5343B" w:rsidRDefault="007B77BA" w:rsidP="003C6BB6">
      <w:pPr>
        <w:pStyle w:val="Akapitzlist"/>
        <w:numPr>
          <w:ilvl w:val="0"/>
          <w:numId w:val="1"/>
        </w:numPr>
        <w:spacing w:after="120" w:line="360" w:lineRule="auto"/>
        <w:jc w:val="both"/>
        <w:rPr>
          <w:rFonts w:ascii="Times New Roman" w:hAnsi="Times New Roman" w:cs="Times New Roman"/>
          <w:szCs w:val="24"/>
        </w:rPr>
      </w:pPr>
      <w:r w:rsidRPr="00F5343B">
        <w:rPr>
          <w:rFonts w:ascii="Times New Roman" w:hAnsi="Times New Roman" w:cs="Times New Roman"/>
          <w:sz w:val="24"/>
          <w:szCs w:val="24"/>
          <w:lang w:eastAsia="pl-PL"/>
        </w:rPr>
        <w:lastRenderedPageBreak/>
        <w:t xml:space="preserve">ustawie z dnia 29 sierpnia 1997 r. – Prawo bankowe (Dz. U. z 2024 r. poz. 1646, </w:t>
      </w:r>
      <w:r w:rsidR="00E45D67">
        <w:rPr>
          <w:rFonts w:ascii="Times New Roman" w:hAnsi="Times New Roman" w:cs="Times New Roman"/>
          <w:sz w:val="24"/>
          <w:szCs w:val="24"/>
          <w:lang w:eastAsia="pl-PL"/>
        </w:rPr>
        <w:t>z późn. zm.</w:t>
      </w:r>
      <w:r w:rsidRPr="00F5343B">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dalej „ustawa – Prawo bankowe”,</w:t>
      </w:r>
    </w:p>
    <w:p w14:paraId="7540C843" w14:textId="2C5F6718" w:rsidR="007B77BA" w:rsidRDefault="007B77BA" w:rsidP="003C6BB6">
      <w:pPr>
        <w:pStyle w:val="Akapitzlist"/>
        <w:numPr>
          <w:ilvl w:val="0"/>
          <w:numId w:val="1"/>
        </w:numPr>
        <w:spacing w:after="120" w:line="360" w:lineRule="auto"/>
        <w:jc w:val="both"/>
        <w:rPr>
          <w:rFonts w:ascii="Times New Roman" w:hAnsi="Times New Roman" w:cs="Times New Roman"/>
          <w:sz w:val="24"/>
          <w:szCs w:val="24"/>
          <w:lang w:eastAsia="pl-PL"/>
        </w:rPr>
      </w:pPr>
      <w:r w:rsidRPr="00680DF0">
        <w:rPr>
          <w:rFonts w:ascii="Times New Roman" w:hAnsi="Times New Roman" w:cs="Times New Roman"/>
          <w:sz w:val="24"/>
          <w:szCs w:val="24"/>
          <w:lang w:eastAsia="pl-PL"/>
        </w:rPr>
        <w:t xml:space="preserve">ustawie z dnia 28 lutego 2003 r. </w:t>
      </w:r>
      <w:r w:rsidRPr="00F5343B">
        <w:rPr>
          <w:rFonts w:ascii="Times New Roman" w:hAnsi="Times New Roman" w:cs="Times New Roman"/>
          <w:sz w:val="24"/>
          <w:szCs w:val="24"/>
          <w:lang w:eastAsia="pl-PL"/>
        </w:rPr>
        <w:t>–</w:t>
      </w:r>
      <w:r w:rsidRPr="00680DF0">
        <w:rPr>
          <w:rFonts w:ascii="Times New Roman" w:hAnsi="Times New Roman" w:cs="Times New Roman"/>
          <w:sz w:val="24"/>
          <w:szCs w:val="24"/>
          <w:lang w:eastAsia="pl-PL"/>
        </w:rPr>
        <w:t xml:space="preserve"> Prawo upadłościowe (Dz.U. z 202</w:t>
      </w:r>
      <w:r w:rsidR="006A2CED">
        <w:rPr>
          <w:rFonts w:ascii="Times New Roman" w:hAnsi="Times New Roman" w:cs="Times New Roman"/>
          <w:sz w:val="24"/>
          <w:szCs w:val="24"/>
          <w:lang w:eastAsia="pl-PL"/>
        </w:rPr>
        <w:t>5</w:t>
      </w:r>
      <w:r w:rsidRPr="00680DF0">
        <w:rPr>
          <w:rFonts w:ascii="Times New Roman" w:hAnsi="Times New Roman" w:cs="Times New Roman"/>
          <w:sz w:val="24"/>
          <w:szCs w:val="24"/>
          <w:lang w:eastAsia="pl-PL"/>
        </w:rPr>
        <w:t xml:space="preserve"> r. poz. </w:t>
      </w:r>
      <w:r w:rsidR="006A2CED">
        <w:rPr>
          <w:rFonts w:ascii="Times New Roman" w:hAnsi="Times New Roman" w:cs="Times New Roman"/>
          <w:sz w:val="24"/>
          <w:szCs w:val="24"/>
          <w:lang w:eastAsia="pl-PL"/>
        </w:rPr>
        <w:t>614</w:t>
      </w:r>
      <w:r w:rsidR="00C800DD">
        <w:rPr>
          <w:rFonts w:ascii="Times New Roman" w:hAnsi="Times New Roman" w:cs="Times New Roman"/>
          <w:sz w:val="24"/>
          <w:szCs w:val="24"/>
          <w:lang w:eastAsia="pl-PL"/>
        </w:rPr>
        <w:t xml:space="preserve">, </w:t>
      </w:r>
      <w:r w:rsidR="005818C6" w:rsidRPr="007B77BA">
        <w:rPr>
          <w:rFonts w:ascii="Times New Roman" w:hAnsi="Times New Roman" w:cs="Times New Roman"/>
          <w:sz w:val="24"/>
          <w:szCs w:val="24"/>
          <w:lang w:eastAsia="pl-PL"/>
        </w:rPr>
        <w:t>z późn. zm.</w:t>
      </w:r>
      <w:r w:rsidRPr="00680DF0">
        <w:rPr>
          <w:rFonts w:ascii="Times New Roman" w:hAnsi="Times New Roman" w:cs="Times New Roman"/>
          <w:sz w:val="24"/>
          <w:szCs w:val="24"/>
          <w:lang w:eastAsia="pl-PL"/>
        </w:rPr>
        <w:t xml:space="preserve">), dalej „ustawa </w:t>
      </w:r>
      <w:r w:rsidRPr="00F5343B">
        <w:rPr>
          <w:rFonts w:ascii="Times New Roman" w:hAnsi="Times New Roman" w:cs="Times New Roman"/>
          <w:sz w:val="24"/>
          <w:szCs w:val="24"/>
          <w:lang w:eastAsia="pl-PL"/>
        </w:rPr>
        <w:t>– P</w:t>
      </w:r>
      <w:r w:rsidRPr="00680DF0">
        <w:rPr>
          <w:rFonts w:ascii="Times New Roman" w:hAnsi="Times New Roman" w:cs="Times New Roman"/>
          <w:sz w:val="24"/>
          <w:szCs w:val="24"/>
          <w:lang w:eastAsia="pl-PL"/>
        </w:rPr>
        <w:t>rawo upadłościowe”</w:t>
      </w:r>
      <w:r>
        <w:rPr>
          <w:rFonts w:ascii="Times New Roman" w:hAnsi="Times New Roman" w:cs="Times New Roman"/>
          <w:sz w:val="24"/>
          <w:szCs w:val="24"/>
          <w:lang w:eastAsia="pl-PL"/>
        </w:rPr>
        <w:t>,</w:t>
      </w:r>
    </w:p>
    <w:p w14:paraId="12F02960" w14:textId="7ECCB632" w:rsidR="00E6430A" w:rsidRPr="00680DF0" w:rsidRDefault="00E6430A" w:rsidP="003C6BB6">
      <w:pPr>
        <w:pStyle w:val="Akapitzlist"/>
        <w:numPr>
          <w:ilvl w:val="0"/>
          <w:numId w:val="1"/>
        </w:numPr>
        <w:spacing w:after="120"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ustawie </w:t>
      </w:r>
      <w:r w:rsidRPr="00E6430A">
        <w:rPr>
          <w:rFonts w:ascii="Times New Roman" w:hAnsi="Times New Roman" w:cs="Times New Roman"/>
          <w:sz w:val="24"/>
          <w:szCs w:val="24"/>
          <w:lang w:eastAsia="pl-PL"/>
        </w:rPr>
        <w:t>z dnia 5 listopada 2009 r. o spółdzielczych kasach oszczędnościowo-kredytowych (Dz. U. z 2025 r. poz. 379</w:t>
      </w:r>
      <w:r w:rsidR="00C800DD">
        <w:rPr>
          <w:rFonts w:ascii="Times New Roman" w:hAnsi="Times New Roman" w:cs="Times New Roman"/>
          <w:sz w:val="24"/>
          <w:szCs w:val="24"/>
          <w:lang w:eastAsia="pl-PL"/>
        </w:rPr>
        <w:t>,</w:t>
      </w:r>
      <w:r w:rsidR="005818C6">
        <w:rPr>
          <w:rFonts w:ascii="Times New Roman" w:hAnsi="Times New Roman" w:cs="Times New Roman"/>
          <w:sz w:val="24"/>
          <w:szCs w:val="24"/>
          <w:lang w:eastAsia="pl-PL"/>
        </w:rPr>
        <w:t xml:space="preserve"> </w:t>
      </w:r>
      <w:r w:rsidR="005818C6" w:rsidRPr="007B77BA">
        <w:rPr>
          <w:rFonts w:ascii="Times New Roman" w:hAnsi="Times New Roman" w:cs="Times New Roman"/>
          <w:sz w:val="24"/>
          <w:szCs w:val="24"/>
          <w:lang w:eastAsia="pl-PL"/>
        </w:rPr>
        <w:t>z późn. zm.</w:t>
      </w:r>
      <w:r w:rsidRPr="00E6430A">
        <w:rPr>
          <w:rFonts w:ascii="Times New Roman" w:hAnsi="Times New Roman" w:cs="Times New Roman"/>
          <w:sz w:val="24"/>
          <w:szCs w:val="24"/>
          <w:lang w:eastAsia="pl-PL"/>
        </w:rPr>
        <w:t>)</w:t>
      </w:r>
      <w:r>
        <w:rPr>
          <w:rFonts w:ascii="Times New Roman" w:hAnsi="Times New Roman" w:cs="Times New Roman"/>
          <w:sz w:val="24"/>
          <w:szCs w:val="24"/>
          <w:lang w:eastAsia="pl-PL"/>
        </w:rPr>
        <w:t>, dalej „ustaw</w:t>
      </w:r>
      <w:r w:rsidR="00067F45">
        <w:rPr>
          <w:rFonts w:ascii="Times New Roman" w:hAnsi="Times New Roman" w:cs="Times New Roman"/>
          <w:sz w:val="24"/>
          <w:szCs w:val="24"/>
          <w:lang w:eastAsia="pl-PL"/>
        </w:rPr>
        <w:t>a</w:t>
      </w:r>
      <w:r>
        <w:rPr>
          <w:rFonts w:ascii="Times New Roman" w:hAnsi="Times New Roman" w:cs="Times New Roman"/>
          <w:sz w:val="24"/>
          <w:szCs w:val="24"/>
          <w:lang w:eastAsia="pl-PL"/>
        </w:rPr>
        <w:t xml:space="preserve"> o skok”</w:t>
      </w:r>
      <w:r w:rsidR="00D93A54">
        <w:rPr>
          <w:rFonts w:ascii="Times New Roman" w:hAnsi="Times New Roman" w:cs="Times New Roman"/>
          <w:sz w:val="24"/>
          <w:szCs w:val="24"/>
          <w:lang w:eastAsia="pl-PL"/>
        </w:rPr>
        <w:t>,</w:t>
      </w:r>
      <w:r>
        <w:rPr>
          <w:rFonts w:ascii="Times New Roman" w:hAnsi="Times New Roman" w:cs="Times New Roman"/>
          <w:sz w:val="24"/>
          <w:szCs w:val="24"/>
          <w:lang w:eastAsia="pl-PL"/>
        </w:rPr>
        <w:t xml:space="preserve"> </w:t>
      </w:r>
    </w:p>
    <w:p w14:paraId="5C83F49A" w14:textId="0E76A6A3" w:rsidR="007B77BA" w:rsidRPr="00680DF0" w:rsidRDefault="007B77BA" w:rsidP="003C6BB6">
      <w:pPr>
        <w:pStyle w:val="Akapitzlist"/>
        <w:numPr>
          <w:ilvl w:val="0"/>
          <w:numId w:val="1"/>
        </w:numPr>
        <w:spacing w:after="120" w:line="360" w:lineRule="auto"/>
        <w:jc w:val="both"/>
        <w:rPr>
          <w:rFonts w:ascii="Times New Roman" w:hAnsi="Times New Roman" w:cs="Times New Roman"/>
          <w:sz w:val="24"/>
          <w:szCs w:val="24"/>
          <w:lang w:eastAsia="pl-PL"/>
        </w:rPr>
      </w:pPr>
      <w:r w:rsidRPr="00680DF0">
        <w:rPr>
          <w:rFonts w:ascii="Times New Roman" w:hAnsi="Times New Roman" w:cs="Times New Roman"/>
          <w:sz w:val="24"/>
          <w:szCs w:val="24"/>
          <w:lang w:eastAsia="pl-PL"/>
        </w:rPr>
        <w:t xml:space="preserve">ustawie z dnia 10 czerwca 2016 r. o Bankowym Funduszu Gwarancyjnym, systemie gwarantowania depozytów oraz przymusowej restrukturyzacji (Dz. U. z </w:t>
      </w:r>
      <w:r w:rsidR="00E45D67" w:rsidRPr="00680DF0">
        <w:rPr>
          <w:rFonts w:ascii="Times New Roman" w:hAnsi="Times New Roman" w:cs="Times New Roman"/>
          <w:sz w:val="24"/>
          <w:szCs w:val="24"/>
          <w:lang w:eastAsia="pl-PL"/>
        </w:rPr>
        <w:t>202</w:t>
      </w:r>
      <w:r w:rsidR="00E45D67">
        <w:rPr>
          <w:rFonts w:ascii="Times New Roman" w:hAnsi="Times New Roman" w:cs="Times New Roman"/>
          <w:sz w:val="24"/>
          <w:szCs w:val="24"/>
          <w:lang w:eastAsia="pl-PL"/>
        </w:rPr>
        <w:t>5</w:t>
      </w:r>
      <w:r w:rsidR="00E45D67" w:rsidRPr="00680DF0">
        <w:rPr>
          <w:rFonts w:ascii="Times New Roman" w:hAnsi="Times New Roman" w:cs="Times New Roman"/>
          <w:sz w:val="24"/>
          <w:szCs w:val="24"/>
          <w:lang w:eastAsia="pl-PL"/>
        </w:rPr>
        <w:t xml:space="preserve"> </w:t>
      </w:r>
      <w:r w:rsidRPr="00680DF0">
        <w:rPr>
          <w:rFonts w:ascii="Times New Roman" w:hAnsi="Times New Roman" w:cs="Times New Roman"/>
          <w:sz w:val="24"/>
          <w:szCs w:val="24"/>
          <w:lang w:eastAsia="pl-PL"/>
        </w:rPr>
        <w:t xml:space="preserve">r. poz. </w:t>
      </w:r>
      <w:r w:rsidR="00E45D67">
        <w:rPr>
          <w:rFonts w:ascii="Times New Roman" w:hAnsi="Times New Roman" w:cs="Times New Roman"/>
          <w:sz w:val="24"/>
          <w:szCs w:val="24"/>
          <w:lang w:eastAsia="pl-PL"/>
        </w:rPr>
        <w:t>643</w:t>
      </w:r>
      <w:r w:rsidR="005818C6">
        <w:rPr>
          <w:rFonts w:ascii="Times New Roman" w:hAnsi="Times New Roman" w:cs="Times New Roman"/>
          <w:sz w:val="24"/>
          <w:szCs w:val="24"/>
          <w:lang w:eastAsia="pl-PL"/>
        </w:rPr>
        <w:t xml:space="preserve">, </w:t>
      </w:r>
      <w:r w:rsidR="005818C6" w:rsidRPr="007B77BA">
        <w:rPr>
          <w:rFonts w:ascii="Times New Roman" w:hAnsi="Times New Roman" w:cs="Times New Roman"/>
          <w:sz w:val="24"/>
          <w:szCs w:val="24"/>
          <w:lang w:eastAsia="pl-PL"/>
        </w:rPr>
        <w:t>z późn. zm.</w:t>
      </w:r>
      <w:r w:rsidRPr="00680DF0">
        <w:rPr>
          <w:rFonts w:ascii="Times New Roman" w:hAnsi="Times New Roman" w:cs="Times New Roman"/>
          <w:sz w:val="24"/>
          <w:szCs w:val="24"/>
          <w:lang w:eastAsia="pl-PL"/>
        </w:rPr>
        <w:t>)</w:t>
      </w:r>
      <w:r>
        <w:rPr>
          <w:rFonts w:ascii="Times New Roman" w:hAnsi="Times New Roman" w:cs="Times New Roman"/>
          <w:sz w:val="24"/>
          <w:szCs w:val="24"/>
          <w:lang w:eastAsia="pl-PL"/>
        </w:rPr>
        <w:t>,</w:t>
      </w:r>
      <w:r w:rsidRPr="00680DF0">
        <w:rPr>
          <w:rFonts w:ascii="Times New Roman" w:hAnsi="Times New Roman" w:cs="Times New Roman"/>
          <w:sz w:val="24"/>
          <w:szCs w:val="24"/>
          <w:lang w:eastAsia="pl-PL"/>
        </w:rPr>
        <w:t xml:space="preserve"> dalej „ustawa o BFG”.</w:t>
      </w:r>
    </w:p>
    <w:p w14:paraId="0673F7C9" w14:textId="7AF48B87" w:rsidR="000E3B53" w:rsidRPr="00346F05" w:rsidRDefault="000E3B53" w:rsidP="003C6BB6">
      <w:pPr>
        <w:spacing w:after="120" w:line="360" w:lineRule="auto"/>
        <w:jc w:val="both"/>
        <w:rPr>
          <w:rFonts w:ascii="Times New Roman" w:hAnsi="Times New Roman" w:cs="Times New Roman"/>
          <w:sz w:val="24"/>
          <w:szCs w:val="24"/>
          <w:u w:val="single"/>
        </w:rPr>
      </w:pPr>
      <w:r w:rsidRPr="00655235">
        <w:rPr>
          <w:rFonts w:ascii="Times New Roman" w:hAnsi="Times New Roman" w:cs="Times New Roman"/>
          <w:b/>
          <w:bCs/>
          <w:sz w:val="24"/>
          <w:szCs w:val="24"/>
          <w:u w:val="single"/>
        </w:rPr>
        <w:t>Art. 1</w:t>
      </w:r>
      <w:r w:rsidRPr="00346F05">
        <w:rPr>
          <w:rFonts w:ascii="Times New Roman" w:hAnsi="Times New Roman" w:cs="Times New Roman"/>
          <w:sz w:val="24"/>
          <w:szCs w:val="24"/>
          <w:u w:val="single"/>
        </w:rPr>
        <w:t xml:space="preserve"> – zmiany w ustawie </w:t>
      </w:r>
      <w:bookmarkStart w:id="0" w:name="_Hlk201001739"/>
      <w:r w:rsidRPr="00346F05">
        <w:rPr>
          <w:rFonts w:ascii="Times New Roman" w:hAnsi="Times New Roman" w:cs="Times New Roman"/>
          <w:sz w:val="24"/>
          <w:szCs w:val="24"/>
          <w:u w:val="single"/>
        </w:rPr>
        <w:t>o funkcjonowaniu banków spółdzielczych</w:t>
      </w:r>
      <w:bookmarkEnd w:id="0"/>
    </w:p>
    <w:p w14:paraId="29F5893A" w14:textId="76C1EF5A" w:rsidR="000E3B53" w:rsidRPr="00346F05"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 xml:space="preserve">Uchylenie </w:t>
      </w:r>
      <w:r w:rsidRPr="00346F05">
        <w:rPr>
          <w:rFonts w:ascii="Times New Roman" w:hAnsi="Times New Roman" w:cs="Times New Roman"/>
          <w:b/>
          <w:bCs/>
          <w:sz w:val="24"/>
          <w:szCs w:val="24"/>
        </w:rPr>
        <w:t>art. 1 ust. 1 pkt 4</w:t>
      </w:r>
      <w:r w:rsidRPr="00346F05">
        <w:rPr>
          <w:rFonts w:ascii="Times New Roman" w:hAnsi="Times New Roman" w:cs="Times New Roman"/>
          <w:sz w:val="24"/>
          <w:szCs w:val="24"/>
        </w:rPr>
        <w:t xml:space="preserve"> oraz zmiana </w:t>
      </w:r>
      <w:r w:rsidRPr="00346F05">
        <w:rPr>
          <w:rFonts w:ascii="Times New Roman" w:hAnsi="Times New Roman" w:cs="Times New Roman"/>
          <w:b/>
          <w:bCs/>
          <w:sz w:val="24"/>
          <w:szCs w:val="24"/>
        </w:rPr>
        <w:t>art. 1 ust. 2</w:t>
      </w:r>
      <w:r w:rsidRPr="00346F05">
        <w:rPr>
          <w:rFonts w:ascii="Times New Roman" w:hAnsi="Times New Roman" w:cs="Times New Roman"/>
          <w:sz w:val="24"/>
          <w:szCs w:val="24"/>
        </w:rPr>
        <w:t xml:space="preserve"> są konieczne z uwagi na uchylenie przepisów dotyczących zrzeszenia zintegrowanego, które szczegółowo jest omawiane w</w:t>
      </w:r>
      <w:r w:rsidR="00151640">
        <w:rPr>
          <w:rFonts w:ascii="Times New Roman" w:hAnsi="Times New Roman" w:cs="Times New Roman"/>
          <w:sz w:val="24"/>
          <w:szCs w:val="24"/>
        </w:rPr>
        <w:t> </w:t>
      </w:r>
      <w:r w:rsidRPr="00346F05">
        <w:rPr>
          <w:rFonts w:ascii="Times New Roman" w:hAnsi="Times New Roman" w:cs="Times New Roman"/>
          <w:sz w:val="24"/>
          <w:szCs w:val="24"/>
        </w:rPr>
        <w:t xml:space="preserve">dalszej części uzasadnienia. </w:t>
      </w:r>
    </w:p>
    <w:p w14:paraId="56335B86" w14:textId="75B31902" w:rsidR="000E3B53" w:rsidRPr="00346F05"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 xml:space="preserve">Zmiana w </w:t>
      </w:r>
      <w:r w:rsidRPr="00346F05">
        <w:rPr>
          <w:rFonts w:ascii="Times New Roman" w:hAnsi="Times New Roman" w:cs="Times New Roman"/>
          <w:b/>
          <w:bCs/>
          <w:sz w:val="24"/>
          <w:szCs w:val="24"/>
        </w:rPr>
        <w:t>art. 2 pkt 3</w:t>
      </w:r>
      <w:r w:rsidRPr="00346F05">
        <w:rPr>
          <w:rFonts w:ascii="Times New Roman" w:hAnsi="Times New Roman" w:cs="Times New Roman"/>
          <w:sz w:val="24"/>
          <w:szCs w:val="24"/>
        </w:rPr>
        <w:t xml:space="preserve"> ma na celu zmianę definicji zrzeszenia w obowiązującej ustawie. Zgodnie z nowym brzmieniem przepisu przez zrzeszenie należy rozumieć grupę banków obejmującą bank zrzeszający i ban</w:t>
      </w:r>
      <w:r w:rsidR="000963A1">
        <w:rPr>
          <w:rFonts w:ascii="Times New Roman" w:hAnsi="Times New Roman" w:cs="Times New Roman"/>
          <w:sz w:val="24"/>
          <w:szCs w:val="24"/>
        </w:rPr>
        <w:t>k</w:t>
      </w:r>
      <w:r w:rsidRPr="00346F05">
        <w:rPr>
          <w:rFonts w:ascii="Times New Roman" w:hAnsi="Times New Roman" w:cs="Times New Roman"/>
          <w:sz w:val="24"/>
          <w:szCs w:val="24"/>
        </w:rPr>
        <w:t xml:space="preserve"> lub banki spółdzielcze, które zawarły z</w:t>
      </w:r>
      <w:r w:rsidR="00151640">
        <w:rPr>
          <w:rFonts w:ascii="Times New Roman" w:hAnsi="Times New Roman" w:cs="Times New Roman"/>
          <w:sz w:val="24"/>
          <w:szCs w:val="24"/>
        </w:rPr>
        <w:t> </w:t>
      </w:r>
      <w:r w:rsidRPr="00346F05">
        <w:rPr>
          <w:rFonts w:ascii="Times New Roman" w:hAnsi="Times New Roman" w:cs="Times New Roman"/>
          <w:sz w:val="24"/>
          <w:szCs w:val="24"/>
        </w:rPr>
        <w:t>bankiem zrzeszającym umowę zrzeszenia zgodnie z ustawą. Nowe brzmienie akcentuje fakt, że zrzeszenie to grupa banków oraz podkreśla wiodącą rolę banku zrzeszającego.</w:t>
      </w:r>
    </w:p>
    <w:p w14:paraId="0B4AF85A" w14:textId="2B20FBF3" w:rsidR="000E3B53" w:rsidRPr="00346F05"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 xml:space="preserve">Uchylenie </w:t>
      </w:r>
      <w:r w:rsidRPr="00346F05">
        <w:rPr>
          <w:rFonts w:ascii="Times New Roman" w:hAnsi="Times New Roman" w:cs="Times New Roman"/>
          <w:b/>
          <w:bCs/>
          <w:sz w:val="24"/>
          <w:szCs w:val="24"/>
        </w:rPr>
        <w:t>art. 2 pkt 7</w:t>
      </w:r>
      <w:r w:rsidRPr="00346F05">
        <w:rPr>
          <w:rFonts w:ascii="Times New Roman" w:hAnsi="Times New Roman" w:cs="Times New Roman"/>
          <w:sz w:val="24"/>
          <w:szCs w:val="24"/>
        </w:rPr>
        <w:t xml:space="preserve"> jest zmianą wynikową uchylenia przepisów dotyczących zrzeszenia zintegrowanego.</w:t>
      </w:r>
    </w:p>
    <w:p w14:paraId="172140D9" w14:textId="09E7AEE7" w:rsidR="000E3B53" w:rsidRPr="00346F05" w:rsidRDefault="000E3B53" w:rsidP="003C6BB6">
      <w:pPr>
        <w:autoSpaceDE w:val="0"/>
        <w:autoSpaceDN w:val="0"/>
        <w:adjustRightInd w:val="0"/>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 xml:space="preserve">Zmiana w </w:t>
      </w:r>
      <w:r w:rsidRPr="00346F05">
        <w:rPr>
          <w:rFonts w:ascii="Times New Roman" w:hAnsi="Times New Roman" w:cs="Times New Roman"/>
          <w:b/>
          <w:bCs/>
          <w:sz w:val="24"/>
          <w:szCs w:val="24"/>
        </w:rPr>
        <w:t xml:space="preserve">art. 5 ust. </w:t>
      </w:r>
      <w:r w:rsidR="009A0FE9">
        <w:rPr>
          <w:rFonts w:ascii="Times New Roman" w:hAnsi="Times New Roman" w:cs="Times New Roman"/>
          <w:b/>
          <w:bCs/>
          <w:sz w:val="24"/>
          <w:szCs w:val="24"/>
        </w:rPr>
        <w:t>5</w:t>
      </w:r>
      <w:r w:rsidR="001042B1" w:rsidRPr="00201F0F">
        <w:rPr>
          <w:rFonts w:ascii="Times New Roman" w:hAnsi="Times New Roman" w:cs="Times New Roman"/>
          <w:sz w:val="24"/>
          <w:szCs w:val="24"/>
        </w:rPr>
        <w:t xml:space="preserve"> polegająca na dodaniu </w:t>
      </w:r>
      <w:r w:rsidR="001042B1">
        <w:rPr>
          <w:rFonts w:ascii="Times New Roman" w:hAnsi="Times New Roman" w:cs="Times New Roman"/>
          <w:b/>
          <w:bCs/>
          <w:sz w:val="24"/>
          <w:szCs w:val="24"/>
        </w:rPr>
        <w:t xml:space="preserve">pkt </w:t>
      </w:r>
      <w:r w:rsidR="00C72E45">
        <w:rPr>
          <w:rFonts w:ascii="Times New Roman" w:hAnsi="Times New Roman" w:cs="Times New Roman"/>
          <w:b/>
          <w:bCs/>
          <w:sz w:val="24"/>
          <w:szCs w:val="24"/>
        </w:rPr>
        <w:t>5</w:t>
      </w:r>
      <w:r w:rsidR="001042B1">
        <w:rPr>
          <w:rFonts w:ascii="Times New Roman" w:hAnsi="Times New Roman" w:cs="Times New Roman"/>
          <w:b/>
          <w:bCs/>
          <w:sz w:val="24"/>
          <w:szCs w:val="24"/>
        </w:rPr>
        <w:t xml:space="preserve"> </w:t>
      </w:r>
      <w:r w:rsidRPr="00346F05">
        <w:rPr>
          <w:rFonts w:ascii="Times New Roman" w:hAnsi="Times New Roman" w:cs="Times New Roman"/>
          <w:sz w:val="24"/>
          <w:szCs w:val="24"/>
        </w:rPr>
        <w:t>ma na celu stworzenie jednakowych możliwości prowadzenia działalności dla banków o kapitale założycielskim co najmniej 5 mln euro i dla banków</w:t>
      </w:r>
      <w:r w:rsidR="001042B1">
        <w:rPr>
          <w:rFonts w:ascii="Times New Roman" w:hAnsi="Times New Roman" w:cs="Times New Roman"/>
          <w:sz w:val="24"/>
          <w:szCs w:val="24"/>
        </w:rPr>
        <w:t xml:space="preserve"> </w:t>
      </w:r>
      <w:r w:rsidRPr="00346F05">
        <w:rPr>
          <w:rFonts w:ascii="Times New Roman" w:hAnsi="Times New Roman" w:cs="Times New Roman"/>
          <w:sz w:val="24"/>
          <w:szCs w:val="24"/>
        </w:rPr>
        <w:t>o kapitale niższym oraz usunięcie wątpliwości interpretacyjnych w tym zakresie.</w:t>
      </w:r>
    </w:p>
    <w:p w14:paraId="71C17934" w14:textId="77777777" w:rsidR="000E3B53" w:rsidRPr="00346F05"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Zgodnie z art. 5 ust. 1–1b ustawy, z uwagi na teren działania, wyróżnia się trzy grupy banków spółdzielczych:</w:t>
      </w:r>
    </w:p>
    <w:p w14:paraId="2653BED2" w14:textId="77777777" w:rsidR="000E3B53" w:rsidRPr="00346F05" w:rsidRDefault="000E3B53" w:rsidP="003C6BB6">
      <w:pPr>
        <w:pStyle w:val="Akapitzlist"/>
        <w:numPr>
          <w:ilvl w:val="0"/>
          <w:numId w:val="3"/>
        </w:numPr>
        <w:spacing w:after="120" w:line="360" w:lineRule="auto"/>
        <w:ind w:left="357" w:hanging="357"/>
        <w:jc w:val="both"/>
        <w:rPr>
          <w:rFonts w:ascii="Times New Roman" w:hAnsi="Times New Roman" w:cs="Times New Roman"/>
          <w:sz w:val="24"/>
          <w:szCs w:val="24"/>
        </w:rPr>
      </w:pPr>
      <w:r w:rsidRPr="00346F05">
        <w:rPr>
          <w:rFonts w:ascii="Times New Roman" w:hAnsi="Times New Roman" w:cs="Times New Roman"/>
          <w:sz w:val="24"/>
          <w:szCs w:val="24"/>
        </w:rPr>
        <w:t>banki prowadzące działalność na terenie powiatu, w którym znajduje się ich siedziba;</w:t>
      </w:r>
    </w:p>
    <w:p w14:paraId="75CC4CBC" w14:textId="77777777" w:rsidR="000E3B53" w:rsidRPr="00346F05" w:rsidRDefault="000E3B53" w:rsidP="003C6BB6">
      <w:pPr>
        <w:pStyle w:val="Akapitzlist"/>
        <w:numPr>
          <w:ilvl w:val="0"/>
          <w:numId w:val="3"/>
        </w:numPr>
        <w:spacing w:after="120" w:line="360" w:lineRule="auto"/>
        <w:ind w:left="357" w:hanging="357"/>
        <w:jc w:val="both"/>
        <w:rPr>
          <w:rFonts w:ascii="Times New Roman" w:hAnsi="Times New Roman" w:cs="Times New Roman"/>
          <w:sz w:val="24"/>
          <w:szCs w:val="24"/>
        </w:rPr>
      </w:pPr>
      <w:r w:rsidRPr="00346F05">
        <w:rPr>
          <w:rFonts w:ascii="Times New Roman" w:hAnsi="Times New Roman" w:cs="Times New Roman"/>
          <w:sz w:val="24"/>
          <w:szCs w:val="24"/>
        </w:rPr>
        <w:t>banki posiadające kapitał założycielski wyższy niż równowartość 1 mln euro, lecz niższy niż równowartość 5 mln euro, które mogą prowadzić działalność na terenie województwa, w którym znajduje się ich siedziba, oraz na terenie powiatów, w których znajdują się ich placówki wykonujące czynności bankowe;</w:t>
      </w:r>
    </w:p>
    <w:p w14:paraId="39A8CF52" w14:textId="77777777" w:rsidR="000E3B53" w:rsidRPr="00346F05" w:rsidRDefault="000E3B53" w:rsidP="003C6BB6">
      <w:pPr>
        <w:pStyle w:val="Akapitzlist"/>
        <w:numPr>
          <w:ilvl w:val="0"/>
          <w:numId w:val="3"/>
        </w:numPr>
        <w:spacing w:after="120" w:line="360" w:lineRule="auto"/>
        <w:ind w:left="357" w:hanging="357"/>
        <w:jc w:val="both"/>
        <w:rPr>
          <w:rFonts w:ascii="Times New Roman" w:hAnsi="Times New Roman" w:cs="Times New Roman"/>
          <w:sz w:val="24"/>
          <w:szCs w:val="24"/>
        </w:rPr>
      </w:pPr>
      <w:r w:rsidRPr="00346F05">
        <w:rPr>
          <w:rFonts w:ascii="Times New Roman" w:hAnsi="Times New Roman" w:cs="Times New Roman"/>
          <w:sz w:val="24"/>
          <w:szCs w:val="24"/>
        </w:rPr>
        <w:lastRenderedPageBreak/>
        <w:t>banki posiadające kapitał założycielski o równowartości co najmniej 5 mln euro, które mogą prowadzić działalność na obszarze całego kraju.</w:t>
      </w:r>
    </w:p>
    <w:p w14:paraId="1C263C8E" w14:textId="46434315" w:rsidR="000E3B53" w:rsidRPr="00346F05"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Ponadto zgodnie z art. 5 ust. 2 ustawy, bank spółdzielczy za zgodą</w:t>
      </w:r>
      <w:r w:rsidR="00C72E45">
        <w:rPr>
          <w:rFonts w:ascii="Times New Roman" w:hAnsi="Times New Roman" w:cs="Times New Roman"/>
          <w:sz w:val="24"/>
          <w:szCs w:val="24"/>
        </w:rPr>
        <w:t xml:space="preserve"> </w:t>
      </w:r>
      <w:r w:rsidR="00C740E1">
        <w:rPr>
          <w:rFonts w:ascii="Times New Roman" w:hAnsi="Times New Roman" w:cs="Times New Roman"/>
          <w:sz w:val="24"/>
          <w:szCs w:val="24"/>
        </w:rPr>
        <w:t>banku zrzeszaj</w:t>
      </w:r>
      <w:r w:rsidR="00A9716F">
        <w:rPr>
          <w:rFonts w:ascii="Times New Roman" w:hAnsi="Times New Roman" w:cs="Times New Roman"/>
          <w:sz w:val="24"/>
          <w:szCs w:val="24"/>
        </w:rPr>
        <w:t>ą</w:t>
      </w:r>
      <w:r w:rsidR="00C740E1">
        <w:rPr>
          <w:rFonts w:ascii="Times New Roman" w:hAnsi="Times New Roman" w:cs="Times New Roman"/>
          <w:sz w:val="24"/>
          <w:szCs w:val="24"/>
        </w:rPr>
        <w:t>cego</w:t>
      </w:r>
      <w:r w:rsidR="00C72E45">
        <w:rPr>
          <w:rFonts w:ascii="Times New Roman" w:hAnsi="Times New Roman" w:cs="Times New Roman"/>
          <w:sz w:val="24"/>
          <w:szCs w:val="24"/>
        </w:rPr>
        <w:t xml:space="preserve"> </w:t>
      </w:r>
      <w:r w:rsidRPr="00346F05">
        <w:rPr>
          <w:rFonts w:ascii="Times New Roman" w:hAnsi="Times New Roman" w:cs="Times New Roman"/>
          <w:sz w:val="24"/>
          <w:szCs w:val="24"/>
        </w:rPr>
        <w:t>może prowadzić działalność także na terenie powiatów sąsiadujących z</w:t>
      </w:r>
      <w:r w:rsidR="00151640">
        <w:rPr>
          <w:rFonts w:ascii="Times New Roman" w:hAnsi="Times New Roman" w:cs="Times New Roman"/>
          <w:sz w:val="24"/>
          <w:szCs w:val="24"/>
        </w:rPr>
        <w:t> </w:t>
      </w:r>
      <w:r w:rsidRPr="00346F05">
        <w:rPr>
          <w:rFonts w:ascii="Times New Roman" w:hAnsi="Times New Roman" w:cs="Times New Roman"/>
          <w:sz w:val="24"/>
          <w:szCs w:val="24"/>
        </w:rPr>
        <w:t>terenem ich działania. Zaś działalność obejmująca inne powiaty niż sąsiadujące wymaga uzyskania zgody Komisji Nadzoru Finansowego.</w:t>
      </w:r>
    </w:p>
    <w:p w14:paraId="01EDDD2B" w14:textId="1D714529" w:rsidR="000E3B53" w:rsidRPr="00346F05"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Zgodnie z art. 5 ust. 5 pkt 1 ustawy wobec pierwszych dwóch ww. banków, czyli posiadających kapitał założycielski poniżej 5 mln euro, nie stosuje się terenowego ograniczenia działalności</w:t>
      </w:r>
      <w:r w:rsidR="008459C8">
        <w:rPr>
          <w:rFonts w:ascii="Times New Roman" w:hAnsi="Times New Roman" w:cs="Times New Roman"/>
          <w:sz w:val="24"/>
          <w:szCs w:val="24"/>
        </w:rPr>
        <w:t>,</w:t>
      </w:r>
      <w:r w:rsidRPr="00346F05">
        <w:rPr>
          <w:rFonts w:ascii="Times New Roman" w:hAnsi="Times New Roman" w:cs="Times New Roman"/>
          <w:sz w:val="24"/>
          <w:szCs w:val="24"/>
        </w:rPr>
        <w:t xml:space="preserve"> je</w:t>
      </w:r>
      <w:r w:rsidR="00BE0A7B">
        <w:rPr>
          <w:rFonts w:ascii="Times New Roman" w:hAnsi="Times New Roman" w:cs="Times New Roman"/>
          <w:sz w:val="24"/>
          <w:szCs w:val="24"/>
        </w:rPr>
        <w:t>że</w:t>
      </w:r>
      <w:r w:rsidRPr="00346F05">
        <w:rPr>
          <w:rFonts w:ascii="Times New Roman" w:hAnsi="Times New Roman" w:cs="Times New Roman"/>
          <w:sz w:val="24"/>
          <w:szCs w:val="24"/>
        </w:rPr>
        <w:t>li te banki są uczestnikami systemu ochrony oraz należą do konsorcjum bankowego. W</w:t>
      </w:r>
      <w:r w:rsidR="00151640">
        <w:rPr>
          <w:rFonts w:ascii="Times New Roman" w:hAnsi="Times New Roman" w:cs="Times New Roman"/>
          <w:sz w:val="24"/>
          <w:szCs w:val="24"/>
        </w:rPr>
        <w:t> </w:t>
      </w:r>
      <w:r w:rsidRPr="00346F05">
        <w:rPr>
          <w:rFonts w:ascii="Times New Roman" w:hAnsi="Times New Roman" w:cs="Times New Roman"/>
          <w:sz w:val="24"/>
          <w:szCs w:val="24"/>
        </w:rPr>
        <w:t xml:space="preserve">związku z tym mogą </w:t>
      </w:r>
      <w:proofErr w:type="spellStart"/>
      <w:r w:rsidRPr="00346F05">
        <w:rPr>
          <w:rFonts w:ascii="Times New Roman" w:hAnsi="Times New Roman" w:cs="Times New Roman"/>
          <w:sz w:val="24"/>
          <w:szCs w:val="24"/>
        </w:rPr>
        <w:t>współkredytować</w:t>
      </w:r>
      <w:proofErr w:type="spellEnd"/>
      <w:r w:rsidRPr="00346F05">
        <w:rPr>
          <w:rFonts w:ascii="Times New Roman" w:hAnsi="Times New Roman" w:cs="Times New Roman"/>
          <w:sz w:val="24"/>
          <w:szCs w:val="24"/>
        </w:rPr>
        <w:t xml:space="preserve"> kredytobiorców spoza terenu swego działania.</w:t>
      </w:r>
    </w:p>
    <w:p w14:paraId="1D4A7C56" w14:textId="361FA05E" w:rsidR="000E3B53" w:rsidRPr="00346F05"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Banki spółdzielcze, których kapitały założycielskie zaczynają przewyższać 5 mln euro, przed rozszerzeniem w statucie obszaru działalności na obszar całego kraju, tracą dotychczas przysługujące im możliwości uczestniczenia w konsorcjach bankowych, jakie wynikają z treści art. 5 ust. 5 ustawy. W obecnym stanie prawnym banki spółdzielcze o kapitałach ponad 5 mln euro mogą uczestniczyć w konsorcjach na podobnych zasadach, jak banki wymienione w ust.</w:t>
      </w:r>
      <w:r w:rsidR="00151640">
        <w:rPr>
          <w:rFonts w:ascii="Times New Roman" w:hAnsi="Times New Roman" w:cs="Times New Roman"/>
          <w:sz w:val="24"/>
          <w:szCs w:val="24"/>
        </w:rPr>
        <w:t> </w:t>
      </w:r>
      <w:r w:rsidRPr="00346F05">
        <w:rPr>
          <w:rFonts w:ascii="Times New Roman" w:hAnsi="Times New Roman" w:cs="Times New Roman"/>
          <w:sz w:val="24"/>
          <w:szCs w:val="24"/>
        </w:rPr>
        <w:t>5, dopiero po uzyskaniu zgody zarządu jednostki zarządzającej systemem ochrony. Ustawa w</w:t>
      </w:r>
      <w:r w:rsidR="00151640">
        <w:rPr>
          <w:rFonts w:ascii="Times New Roman" w:hAnsi="Times New Roman" w:cs="Times New Roman"/>
          <w:sz w:val="24"/>
          <w:szCs w:val="24"/>
        </w:rPr>
        <w:t> </w:t>
      </w:r>
      <w:r w:rsidRPr="00346F05">
        <w:rPr>
          <w:rFonts w:ascii="Times New Roman" w:hAnsi="Times New Roman" w:cs="Times New Roman"/>
          <w:sz w:val="24"/>
          <w:szCs w:val="24"/>
        </w:rPr>
        <w:t>art. 6 ust. 2a umożliwia w szczególnie uzasadnionych przypadkach bankowi spółdzielczemu będącemu uczestnikiem systemu ochrony wykonywanie czynności bankowej z osobą fizyczną, osobą prawną lub jednostką organizacyjną nieposiadającą osobowości prawnej a posiadającą zdolność prawną, mającymi miejsce zamieszkania lub siedzibę poza terenem jego działania, po uzyskaniu zgody organu zarządzającego tym systemem.</w:t>
      </w:r>
    </w:p>
    <w:p w14:paraId="4D90AE2F" w14:textId="31795344" w:rsidR="000E3B53" w:rsidRPr="00346F05"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 xml:space="preserve">Zgodnie z obowiązującymi przepisami ustawy bank spółdzielczy posiadający kapitał założycielski co najmniej 5 mln euro jest pozbawiony możliwości przewidzianych dla banków spółdzielczych o kapitale założycielskim niższym niż 5 mln euro. </w:t>
      </w:r>
    </w:p>
    <w:p w14:paraId="427721BB" w14:textId="297EA4B3" w:rsidR="000E3B53" w:rsidRPr="00346F05"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Zaproponowane zmiany mają na celu określeni</w:t>
      </w:r>
      <w:r w:rsidR="009A2EAC">
        <w:rPr>
          <w:rFonts w:ascii="Times New Roman" w:hAnsi="Times New Roman" w:cs="Times New Roman"/>
          <w:sz w:val="24"/>
          <w:szCs w:val="24"/>
        </w:rPr>
        <w:t>e</w:t>
      </w:r>
      <w:r w:rsidRPr="00346F05">
        <w:rPr>
          <w:rFonts w:ascii="Times New Roman" w:hAnsi="Times New Roman" w:cs="Times New Roman"/>
          <w:sz w:val="24"/>
          <w:szCs w:val="24"/>
        </w:rPr>
        <w:t xml:space="preserve"> jednakowych możliwości prowadzenia działalności dla banków o kapitale założycielskim co najmniej 5 mln euro i dla banków o</w:t>
      </w:r>
      <w:r w:rsidR="00151640">
        <w:rPr>
          <w:rFonts w:ascii="Times New Roman" w:hAnsi="Times New Roman" w:cs="Times New Roman"/>
          <w:sz w:val="24"/>
          <w:szCs w:val="24"/>
        </w:rPr>
        <w:t> </w:t>
      </w:r>
      <w:r w:rsidRPr="00346F05">
        <w:rPr>
          <w:rFonts w:ascii="Times New Roman" w:hAnsi="Times New Roman" w:cs="Times New Roman"/>
          <w:sz w:val="24"/>
          <w:szCs w:val="24"/>
        </w:rPr>
        <w:t>kapitale niższym, jak też usunięcia wątpliwości w tym zakresie.</w:t>
      </w:r>
    </w:p>
    <w:p w14:paraId="6F55E8E9" w14:textId="1D770924" w:rsidR="000E3B53" w:rsidRPr="00346F05"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 xml:space="preserve">Zmiana </w:t>
      </w:r>
      <w:r w:rsidRPr="00346F05">
        <w:rPr>
          <w:rFonts w:ascii="Times New Roman" w:hAnsi="Times New Roman" w:cs="Times New Roman"/>
          <w:b/>
          <w:bCs/>
          <w:sz w:val="24"/>
          <w:szCs w:val="24"/>
        </w:rPr>
        <w:t xml:space="preserve">art. 6 ust. 2a </w:t>
      </w:r>
      <w:r w:rsidRPr="00346F05">
        <w:rPr>
          <w:rFonts w:ascii="Times New Roman" w:hAnsi="Times New Roman" w:cs="Times New Roman"/>
          <w:sz w:val="24"/>
          <w:szCs w:val="24"/>
        </w:rPr>
        <w:t xml:space="preserve">ma na celu usunięcie kolizji między obowiązującym przepisem art. 6 ust. 2a a przepisem art. 5 ust. 5, zgodnie z którym ograniczeń w zakresie terenu działania banków o kapitale założycielskim poniżej 5 mln euro, nie stosuje się do banku spółdzielczego będącego uczestnikiem systemu ochrony, w określonych w przepisie przypadkach. Zaproponowana </w:t>
      </w:r>
      <w:r w:rsidRPr="00346F05">
        <w:rPr>
          <w:rFonts w:ascii="Times New Roman" w:hAnsi="Times New Roman" w:cs="Times New Roman"/>
          <w:sz w:val="24"/>
          <w:szCs w:val="24"/>
        </w:rPr>
        <w:lastRenderedPageBreak/>
        <w:t>zmiana ma na celu umożliwieni</w:t>
      </w:r>
      <w:r w:rsidR="009A2EAC">
        <w:rPr>
          <w:rFonts w:ascii="Times New Roman" w:hAnsi="Times New Roman" w:cs="Times New Roman"/>
          <w:sz w:val="24"/>
          <w:szCs w:val="24"/>
        </w:rPr>
        <w:t>e</w:t>
      </w:r>
      <w:r w:rsidRPr="00346F05">
        <w:rPr>
          <w:rFonts w:ascii="Times New Roman" w:hAnsi="Times New Roman" w:cs="Times New Roman"/>
          <w:sz w:val="24"/>
          <w:szCs w:val="24"/>
        </w:rPr>
        <w:t xml:space="preserve"> udzielania kredytów podmiotom wskazanym w art. 5 ust. 5, bez konieczności uzyskiwania każdorazowej zgody jednostki zarządzającej systemem ochrony. </w:t>
      </w:r>
    </w:p>
    <w:p w14:paraId="051D9DB3" w14:textId="36369053" w:rsidR="000963A1"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 xml:space="preserve">Zgodnie z nowym brzmieniem </w:t>
      </w:r>
      <w:r w:rsidRPr="00346F05">
        <w:rPr>
          <w:rFonts w:ascii="Times New Roman" w:hAnsi="Times New Roman" w:cs="Times New Roman"/>
          <w:b/>
          <w:bCs/>
          <w:sz w:val="24"/>
          <w:szCs w:val="24"/>
        </w:rPr>
        <w:t>art. 16 ust. 2</w:t>
      </w:r>
      <w:r w:rsidR="006F6325">
        <w:rPr>
          <w:rFonts w:ascii="Times New Roman" w:hAnsi="Times New Roman" w:cs="Times New Roman"/>
          <w:b/>
          <w:bCs/>
          <w:sz w:val="24"/>
          <w:szCs w:val="24"/>
        </w:rPr>
        <w:t xml:space="preserve"> </w:t>
      </w:r>
      <w:r w:rsidR="006F6325" w:rsidRPr="006F6325">
        <w:rPr>
          <w:rFonts w:ascii="Times New Roman" w:hAnsi="Times New Roman" w:cs="Times New Roman"/>
          <w:b/>
          <w:bCs/>
          <w:sz w:val="24"/>
          <w:szCs w:val="24"/>
        </w:rPr>
        <w:t xml:space="preserve">i 3 </w:t>
      </w:r>
      <w:r w:rsidR="006F6325" w:rsidRPr="008757BC">
        <w:rPr>
          <w:rFonts w:ascii="Times New Roman" w:hAnsi="Times New Roman" w:cs="Times New Roman"/>
          <w:sz w:val="24"/>
          <w:szCs w:val="24"/>
        </w:rPr>
        <w:t xml:space="preserve">oraz </w:t>
      </w:r>
      <w:r w:rsidR="009A68E6" w:rsidRPr="008757BC">
        <w:rPr>
          <w:rFonts w:ascii="Times New Roman" w:hAnsi="Times New Roman" w:cs="Times New Roman"/>
          <w:sz w:val="24"/>
          <w:szCs w:val="24"/>
        </w:rPr>
        <w:t>dodan</w:t>
      </w:r>
      <w:r w:rsidR="009A68E6">
        <w:rPr>
          <w:rFonts w:ascii="Times New Roman" w:hAnsi="Times New Roman" w:cs="Times New Roman"/>
          <w:sz w:val="24"/>
          <w:szCs w:val="24"/>
        </w:rPr>
        <w:t>y</w:t>
      </w:r>
      <w:r w:rsidR="009A68E6" w:rsidRPr="008757BC">
        <w:rPr>
          <w:rFonts w:ascii="Times New Roman" w:hAnsi="Times New Roman" w:cs="Times New Roman"/>
          <w:sz w:val="24"/>
          <w:szCs w:val="24"/>
        </w:rPr>
        <w:t>m</w:t>
      </w:r>
      <w:r w:rsidR="008B7027">
        <w:rPr>
          <w:rFonts w:ascii="Times New Roman" w:hAnsi="Times New Roman" w:cs="Times New Roman"/>
          <w:sz w:val="24"/>
          <w:szCs w:val="24"/>
        </w:rPr>
        <w:t>i</w:t>
      </w:r>
      <w:r w:rsidR="009A68E6" w:rsidRPr="006F6325">
        <w:rPr>
          <w:rFonts w:ascii="Times New Roman" w:hAnsi="Times New Roman" w:cs="Times New Roman"/>
          <w:b/>
          <w:bCs/>
          <w:sz w:val="24"/>
          <w:szCs w:val="24"/>
        </w:rPr>
        <w:t xml:space="preserve"> </w:t>
      </w:r>
      <w:r w:rsidR="006F6325" w:rsidRPr="0004034C">
        <w:rPr>
          <w:rFonts w:ascii="Times New Roman" w:hAnsi="Times New Roman" w:cs="Times New Roman"/>
          <w:b/>
          <w:bCs/>
          <w:sz w:val="24"/>
          <w:szCs w:val="24"/>
        </w:rPr>
        <w:t>ust. 3a</w:t>
      </w:r>
      <w:r w:rsidR="008B7027">
        <w:rPr>
          <w:rFonts w:ascii="Times New Roman" w:hAnsi="Times New Roman" w:cs="Times New Roman"/>
          <w:b/>
          <w:bCs/>
          <w:sz w:val="24"/>
          <w:szCs w:val="24"/>
        </w:rPr>
        <w:t xml:space="preserve"> i 3b</w:t>
      </w:r>
      <w:r w:rsidRPr="008757BC">
        <w:rPr>
          <w:rFonts w:ascii="Times New Roman" w:hAnsi="Times New Roman" w:cs="Times New Roman"/>
          <w:sz w:val="24"/>
          <w:szCs w:val="24"/>
        </w:rPr>
        <w:t xml:space="preserve"> </w:t>
      </w:r>
      <w:r w:rsidRPr="00346F05">
        <w:rPr>
          <w:rFonts w:ascii="Times New Roman" w:hAnsi="Times New Roman" w:cs="Times New Roman"/>
          <w:sz w:val="24"/>
          <w:szCs w:val="24"/>
        </w:rPr>
        <w:t xml:space="preserve">zmieniony zostanie charakter umowy zrzeszenia. Aktualnie umowa zrzeszenia jest umową </w:t>
      </w:r>
      <w:r w:rsidR="00967A63" w:rsidRPr="00346F05">
        <w:rPr>
          <w:rFonts w:ascii="Times New Roman" w:hAnsi="Times New Roman" w:cs="Times New Roman"/>
          <w:sz w:val="24"/>
          <w:szCs w:val="24"/>
        </w:rPr>
        <w:t>dwustronn</w:t>
      </w:r>
      <w:r w:rsidR="00967A63">
        <w:rPr>
          <w:rFonts w:ascii="Times New Roman" w:hAnsi="Times New Roman" w:cs="Times New Roman"/>
          <w:sz w:val="24"/>
          <w:szCs w:val="24"/>
        </w:rPr>
        <w:t>ą</w:t>
      </w:r>
      <w:r w:rsidR="00967A63" w:rsidRPr="00346F05">
        <w:rPr>
          <w:rFonts w:ascii="Times New Roman" w:hAnsi="Times New Roman" w:cs="Times New Roman"/>
          <w:sz w:val="24"/>
          <w:szCs w:val="24"/>
        </w:rPr>
        <w:t xml:space="preserve"> </w:t>
      </w:r>
      <w:r w:rsidRPr="00346F05">
        <w:rPr>
          <w:rFonts w:ascii="Times New Roman" w:hAnsi="Times New Roman" w:cs="Times New Roman"/>
          <w:sz w:val="24"/>
          <w:szCs w:val="24"/>
        </w:rPr>
        <w:t>banku zrzeszającego z</w:t>
      </w:r>
      <w:r w:rsidR="00151640">
        <w:rPr>
          <w:rFonts w:ascii="Times New Roman" w:hAnsi="Times New Roman" w:cs="Times New Roman"/>
          <w:sz w:val="24"/>
          <w:szCs w:val="24"/>
        </w:rPr>
        <w:t> </w:t>
      </w:r>
      <w:r w:rsidRPr="00346F05">
        <w:rPr>
          <w:rFonts w:ascii="Times New Roman" w:hAnsi="Times New Roman" w:cs="Times New Roman"/>
          <w:sz w:val="24"/>
          <w:szCs w:val="24"/>
        </w:rPr>
        <w:t>bankiem spółdzielczym i każda zmiana wymaga podpisania aneksu z każdym zrzeszonym bankiem. Proponowana nowelizacja zakłada, że umowa zrzeszenia będzie umową wielostronną, zawieraną przez bank zrzeszający i wszystkie banki zrzeszone, a jej zmiana będzie wymagała</w:t>
      </w:r>
      <w:r w:rsidR="00941ACE">
        <w:rPr>
          <w:rFonts w:ascii="Times New Roman" w:hAnsi="Times New Roman" w:cs="Times New Roman"/>
          <w:sz w:val="24"/>
          <w:szCs w:val="24"/>
        </w:rPr>
        <w:t>,</w:t>
      </w:r>
      <w:r w:rsidR="005071BF">
        <w:rPr>
          <w:rFonts w:ascii="Times New Roman" w:hAnsi="Times New Roman" w:cs="Times New Roman"/>
          <w:sz w:val="24"/>
          <w:szCs w:val="24"/>
        </w:rPr>
        <w:t xml:space="preserve"> po uprzednim wypracowaniu </w:t>
      </w:r>
      <w:r w:rsidR="001D0922">
        <w:rPr>
          <w:rFonts w:ascii="Times New Roman" w:hAnsi="Times New Roman" w:cs="Times New Roman"/>
          <w:sz w:val="24"/>
          <w:szCs w:val="24"/>
        </w:rPr>
        <w:t xml:space="preserve">projektu </w:t>
      </w:r>
      <w:r w:rsidR="005071BF">
        <w:rPr>
          <w:rFonts w:ascii="Times New Roman" w:hAnsi="Times New Roman" w:cs="Times New Roman"/>
          <w:sz w:val="24"/>
          <w:szCs w:val="24"/>
        </w:rPr>
        <w:t>wzoru wspólnie przez banki spółdzielcze w ramach zrzeszenia,</w:t>
      </w:r>
      <w:r w:rsidRPr="00346F05">
        <w:rPr>
          <w:rFonts w:ascii="Times New Roman" w:hAnsi="Times New Roman" w:cs="Times New Roman"/>
          <w:sz w:val="24"/>
          <w:szCs w:val="24"/>
        </w:rPr>
        <w:t xml:space="preserve"> zatwierdzenia </w:t>
      </w:r>
      <w:r w:rsidR="005071BF">
        <w:rPr>
          <w:rFonts w:ascii="Times New Roman" w:hAnsi="Times New Roman" w:cs="Times New Roman"/>
          <w:sz w:val="24"/>
          <w:szCs w:val="24"/>
        </w:rPr>
        <w:t xml:space="preserve">przez </w:t>
      </w:r>
      <w:r w:rsidRPr="00346F05">
        <w:rPr>
          <w:rFonts w:ascii="Times New Roman" w:hAnsi="Times New Roman" w:cs="Times New Roman"/>
          <w:sz w:val="24"/>
          <w:szCs w:val="24"/>
        </w:rPr>
        <w:t>Komisj</w:t>
      </w:r>
      <w:r w:rsidR="00941ACE">
        <w:rPr>
          <w:rFonts w:ascii="Times New Roman" w:hAnsi="Times New Roman" w:cs="Times New Roman"/>
          <w:sz w:val="24"/>
          <w:szCs w:val="24"/>
        </w:rPr>
        <w:t>ę</w:t>
      </w:r>
      <w:r w:rsidRPr="00346F05">
        <w:rPr>
          <w:rFonts w:ascii="Times New Roman" w:hAnsi="Times New Roman" w:cs="Times New Roman"/>
          <w:sz w:val="24"/>
          <w:szCs w:val="24"/>
        </w:rPr>
        <w:t xml:space="preserve"> Nadzoru Finansowego</w:t>
      </w:r>
      <w:r w:rsidR="003C5651">
        <w:rPr>
          <w:rFonts w:ascii="Times New Roman" w:hAnsi="Times New Roman" w:cs="Times New Roman"/>
          <w:sz w:val="24"/>
          <w:szCs w:val="24"/>
        </w:rPr>
        <w:t>. Po zatwierdzeniu będzie ona wiążąca dla wszystkich uczestników zrzeszenia.</w:t>
      </w:r>
      <w:r w:rsidR="00535FD3">
        <w:rPr>
          <w:rFonts w:ascii="Times New Roman" w:hAnsi="Times New Roman" w:cs="Times New Roman"/>
          <w:sz w:val="24"/>
          <w:szCs w:val="24"/>
        </w:rPr>
        <w:t xml:space="preserve"> </w:t>
      </w:r>
      <w:r w:rsidR="00F520DC">
        <w:rPr>
          <w:rFonts w:ascii="Times New Roman" w:hAnsi="Times New Roman" w:cs="Times New Roman"/>
          <w:sz w:val="24"/>
          <w:szCs w:val="24"/>
        </w:rPr>
        <w:t>Dotychczas</w:t>
      </w:r>
      <w:r w:rsidR="00337D93">
        <w:rPr>
          <w:rFonts w:ascii="Times New Roman" w:hAnsi="Times New Roman" w:cs="Times New Roman"/>
          <w:sz w:val="24"/>
          <w:szCs w:val="24"/>
        </w:rPr>
        <w:t>owa praktyka</w:t>
      </w:r>
      <w:r w:rsidR="00F520DC">
        <w:rPr>
          <w:rFonts w:ascii="Times New Roman" w:hAnsi="Times New Roman" w:cs="Times New Roman"/>
          <w:sz w:val="24"/>
          <w:szCs w:val="24"/>
        </w:rPr>
        <w:t xml:space="preserve"> </w:t>
      </w:r>
      <w:r w:rsidR="00337D93">
        <w:rPr>
          <w:rFonts w:ascii="Times New Roman" w:hAnsi="Times New Roman" w:cs="Times New Roman"/>
          <w:sz w:val="24"/>
          <w:szCs w:val="24"/>
        </w:rPr>
        <w:t xml:space="preserve">przewidywała, że </w:t>
      </w:r>
      <w:r w:rsidR="00F520DC">
        <w:rPr>
          <w:rFonts w:ascii="Times New Roman" w:hAnsi="Times New Roman" w:cs="Times New Roman"/>
          <w:sz w:val="24"/>
          <w:szCs w:val="24"/>
        </w:rPr>
        <w:t xml:space="preserve">w przypadku każdej zmiany umowy, bank zrzeszający musiał </w:t>
      </w:r>
      <w:r w:rsidR="005071BF">
        <w:rPr>
          <w:rFonts w:ascii="Times New Roman" w:hAnsi="Times New Roman" w:cs="Times New Roman"/>
          <w:sz w:val="24"/>
          <w:szCs w:val="24"/>
        </w:rPr>
        <w:t xml:space="preserve">przygotować i </w:t>
      </w:r>
      <w:r w:rsidR="00F520DC">
        <w:rPr>
          <w:rFonts w:ascii="Times New Roman" w:hAnsi="Times New Roman" w:cs="Times New Roman"/>
          <w:sz w:val="24"/>
          <w:szCs w:val="24"/>
        </w:rPr>
        <w:t>przedstawić wzór do zatwierdzenia przez Komisję Nadzoru Finansowego, a następnie podpisać aneksy ze wszystkimi zrzeszonymi bankam</w:t>
      </w:r>
      <w:r w:rsidR="005071BF">
        <w:rPr>
          <w:rFonts w:ascii="Times New Roman" w:hAnsi="Times New Roman" w:cs="Times New Roman"/>
          <w:sz w:val="24"/>
          <w:szCs w:val="24"/>
        </w:rPr>
        <w:t>i.</w:t>
      </w:r>
      <w:r w:rsidR="006F6325">
        <w:rPr>
          <w:rFonts w:ascii="Times New Roman" w:hAnsi="Times New Roman" w:cs="Times New Roman"/>
          <w:sz w:val="24"/>
          <w:szCs w:val="24"/>
        </w:rPr>
        <w:t xml:space="preserve"> </w:t>
      </w:r>
      <w:r w:rsidR="005071BF">
        <w:rPr>
          <w:rFonts w:ascii="Times New Roman" w:hAnsi="Times New Roman" w:cs="Times New Roman"/>
          <w:sz w:val="24"/>
          <w:szCs w:val="24"/>
        </w:rPr>
        <w:t xml:space="preserve">Wprowadzana nowelizacja znacząco uprości i usprawni proces modyfikacji umowy zrzeszenia. Dzięki temu zrzeszenia będą dysponować </w:t>
      </w:r>
      <w:r w:rsidR="00F56789">
        <w:rPr>
          <w:rFonts w:ascii="Times New Roman" w:hAnsi="Times New Roman" w:cs="Times New Roman"/>
          <w:sz w:val="24"/>
          <w:szCs w:val="24"/>
        </w:rPr>
        <w:t>instrumentem umożliwiającym elastyczne dostosowanie się do zmieniających się warunków rynkowych oraz podejmowanie adekwatnych działań w przypadku wystąpienia ryzyka</w:t>
      </w:r>
      <w:r w:rsidR="005071BF">
        <w:rPr>
          <w:rFonts w:ascii="Times New Roman" w:hAnsi="Times New Roman" w:cs="Times New Roman"/>
          <w:sz w:val="24"/>
          <w:szCs w:val="24"/>
        </w:rPr>
        <w:t>. Zmiana ograniczy również obciążenia administracyjne związane z tworzeniem aneksów i ich podpisywania.</w:t>
      </w:r>
    </w:p>
    <w:p w14:paraId="523C3FE9" w14:textId="5FFD4D1A" w:rsidR="00814446" w:rsidRPr="00346F05" w:rsidRDefault="00814446" w:rsidP="003C6BB6">
      <w:pPr>
        <w:spacing w:after="120" w:line="360" w:lineRule="auto"/>
        <w:jc w:val="both"/>
        <w:rPr>
          <w:rFonts w:ascii="Times New Roman" w:hAnsi="Times New Roman" w:cs="Times New Roman"/>
          <w:sz w:val="24"/>
          <w:szCs w:val="24"/>
        </w:rPr>
      </w:pPr>
      <w:r w:rsidRPr="00814446">
        <w:rPr>
          <w:rFonts w:ascii="Times New Roman" w:hAnsi="Times New Roman" w:cs="Times New Roman"/>
          <w:sz w:val="24"/>
          <w:szCs w:val="24"/>
        </w:rPr>
        <w:t xml:space="preserve">Dodany </w:t>
      </w:r>
      <w:r w:rsidRPr="00590C2B">
        <w:rPr>
          <w:rFonts w:ascii="Times New Roman" w:hAnsi="Times New Roman" w:cs="Times New Roman"/>
          <w:b/>
          <w:bCs/>
          <w:sz w:val="24"/>
          <w:szCs w:val="24"/>
        </w:rPr>
        <w:t>art. 16a</w:t>
      </w:r>
      <w:r w:rsidRPr="00814446">
        <w:rPr>
          <w:rFonts w:ascii="Times New Roman" w:hAnsi="Times New Roman" w:cs="Times New Roman"/>
          <w:sz w:val="24"/>
          <w:szCs w:val="24"/>
        </w:rPr>
        <w:t xml:space="preserve"> ma za zadanie poprawić czytelność przepisów ustawy w zakresie celów zrzeszenia i umowy zrzeszenia. </w:t>
      </w:r>
      <w:r w:rsidR="00D93AA8">
        <w:rPr>
          <w:rFonts w:ascii="Times New Roman" w:hAnsi="Times New Roman" w:cs="Times New Roman"/>
          <w:b/>
          <w:bCs/>
          <w:sz w:val="24"/>
          <w:szCs w:val="24"/>
        </w:rPr>
        <w:t>U</w:t>
      </w:r>
      <w:r w:rsidRPr="00590C2B">
        <w:rPr>
          <w:rFonts w:ascii="Times New Roman" w:hAnsi="Times New Roman" w:cs="Times New Roman"/>
          <w:b/>
          <w:bCs/>
          <w:sz w:val="24"/>
          <w:szCs w:val="24"/>
        </w:rPr>
        <w:t>st. 1</w:t>
      </w:r>
      <w:r w:rsidR="00D93AA8">
        <w:rPr>
          <w:rFonts w:ascii="Times New Roman" w:hAnsi="Times New Roman" w:cs="Times New Roman"/>
          <w:b/>
          <w:bCs/>
          <w:sz w:val="24"/>
          <w:szCs w:val="24"/>
        </w:rPr>
        <w:t xml:space="preserve"> </w:t>
      </w:r>
      <w:r w:rsidR="00D93AA8" w:rsidRPr="00A84E0A">
        <w:rPr>
          <w:rFonts w:ascii="Times New Roman" w:hAnsi="Times New Roman" w:cs="Times New Roman"/>
          <w:sz w:val="24"/>
          <w:szCs w:val="24"/>
        </w:rPr>
        <w:t>określa cel</w:t>
      </w:r>
      <w:r w:rsidR="00146214">
        <w:rPr>
          <w:rFonts w:ascii="Times New Roman" w:hAnsi="Times New Roman" w:cs="Times New Roman"/>
          <w:sz w:val="24"/>
          <w:szCs w:val="24"/>
        </w:rPr>
        <w:t>e</w:t>
      </w:r>
      <w:r w:rsidR="00D93AA8" w:rsidRPr="00A84E0A">
        <w:rPr>
          <w:rFonts w:ascii="Times New Roman" w:hAnsi="Times New Roman" w:cs="Times New Roman"/>
          <w:sz w:val="24"/>
          <w:szCs w:val="24"/>
        </w:rPr>
        <w:t xml:space="preserve"> zrzeszenia,</w:t>
      </w:r>
      <w:r w:rsidR="00D93AA8">
        <w:rPr>
          <w:rFonts w:ascii="Times New Roman" w:hAnsi="Times New Roman" w:cs="Times New Roman"/>
          <w:b/>
          <w:bCs/>
          <w:sz w:val="24"/>
          <w:szCs w:val="24"/>
        </w:rPr>
        <w:t xml:space="preserve"> </w:t>
      </w:r>
      <w:r w:rsidR="00D93AA8" w:rsidRPr="00A84E0A">
        <w:rPr>
          <w:rFonts w:ascii="Times New Roman" w:hAnsi="Times New Roman" w:cs="Times New Roman"/>
          <w:sz w:val="24"/>
          <w:szCs w:val="24"/>
        </w:rPr>
        <w:t xml:space="preserve">które </w:t>
      </w:r>
      <w:r w:rsidR="00D93AA8" w:rsidRPr="00D93AA8">
        <w:rPr>
          <w:rFonts w:ascii="Times New Roman" w:hAnsi="Times New Roman" w:cs="Times New Roman"/>
          <w:sz w:val="24"/>
          <w:szCs w:val="24"/>
        </w:rPr>
        <w:t>umożliwi</w:t>
      </w:r>
      <w:r w:rsidR="00D93AA8" w:rsidRPr="00A84E0A">
        <w:rPr>
          <w:rFonts w:ascii="Times New Roman" w:hAnsi="Times New Roman" w:cs="Times New Roman"/>
          <w:sz w:val="24"/>
          <w:szCs w:val="24"/>
        </w:rPr>
        <w:t xml:space="preserve"> bankom </w:t>
      </w:r>
      <w:r w:rsidR="00D93AA8" w:rsidRPr="00D93AA8">
        <w:rPr>
          <w:rFonts w:ascii="Times New Roman" w:hAnsi="Times New Roman" w:cs="Times New Roman"/>
          <w:sz w:val="24"/>
          <w:szCs w:val="24"/>
        </w:rPr>
        <w:t>spółdzielczym</w:t>
      </w:r>
      <w:r w:rsidR="00D93AA8" w:rsidRPr="00A84E0A">
        <w:rPr>
          <w:rFonts w:ascii="Times New Roman" w:hAnsi="Times New Roman" w:cs="Times New Roman"/>
          <w:sz w:val="24"/>
          <w:szCs w:val="24"/>
        </w:rPr>
        <w:t xml:space="preserve"> podejmowani</w:t>
      </w:r>
      <w:r w:rsidR="00A9716F">
        <w:rPr>
          <w:rFonts w:ascii="Times New Roman" w:hAnsi="Times New Roman" w:cs="Times New Roman"/>
          <w:sz w:val="24"/>
          <w:szCs w:val="24"/>
        </w:rPr>
        <w:t>e</w:t>
      </w:r>
      <w:r w:rsidR="00D93AA8" w:rsidRPr="00A84E0A">
        <w:rPr>
          <w:rFonts w:ascii="Times New Roman" w:hAnsi="Times New Roman" w:cs="Times New Roman"/>
          <w:sz w:val="24"/>
          <w:szCs w:val="24"/>
        </w:rPr>
        <w:t xml:space="preserve"> działań integracyjnych</w:t>
      </w:r>
      <w:r w:rsidR="00D93AA8">
        <w:rPr>
          <w:rFonts w:ascii="Times New Roman" w:hAnsi="Times New Roman" w:cs="Times New Roman"/>
          <w:sz w:val="24"/>
          <w:szCs w:val="24"/>
        </w:rPr>
        <w:t xml:space="preserve">. </w:t>
      </w:r>
      <w:r w:rsidR="00146214">
        <w:rPr>
          <w:rFonts w:ascii="Times New Roman" w:hAnsi="Times New Roman" w:cs="Times New Roman"/>
          <w:sz w:val="24"/>
          <w:szCs w:val="24"/>
        </w:rPr>
        <w:t>Sformułowanie</w:t>
      </w:r>
      <w:r w:rsidR="00D93AA8">
        <w:rPr>
          <w:rFonts w:ascii="Times New Roman" w:hAnsi="Times New Roman" w:cs="Times New Roman"/>
          <w:sz w:val="24"/>
          <w:szCs w:val="24"/>
        </w:rPr>
        <w:t xml:space="preserve"> cel</w:t>
      </w:r>
      <w:r w:rsidR="00146214">
        <w:rPr>
          <w:rFonts w:ascii="Times New Roman" w:hAnsi="Times New Roman" w:cs="Times New Roman"/>
          <w:sz w:val="24"/>
          <w:szCs w:val="24"/>
        </w:rPr>
        <w:t>ów</w:t>
      </w:r>
      <w:r w:rsidR="00D93AA8">
        <w:rPr>
          <w:rFonts w:ascii="Times New Roman" w:hAnsi="Times New Roman" w:cs="Times New Roman"/>
          <w:sz w:val="24"/>
          <w:szCs w:val="24"/>
        </w:rPr>
        <w:t xml:space="preserve"> w sposób ogólny  pozwoli uczestnikom zrzeszeń na dostosowywanie podejmowanych działań do zmieniających się warunków rynkowych. </w:t>
      </w:r>
      <w:r>
        <w:rPr>
          <w:rFonts w:ascii="Times New Roman" w:hAnsi="Times New Roman" w:cs="Times New Roman"/>
          <w:sz w:val="24"/>
          <w:szCs w:val="24"/>
        </w:rPr>
        <w:t>Z kolei</w:t>
      </w:r>
      <w:r w:rsidRPr="00814446">
        <w:rPr>
          <w:rFonts w:ascii="Times New Roman" w:hAnsi="Times New Roman" w:cs="Times New Roman"/>
          <w:sz w:val="24"/>
          <w:szCs w:val="24"/>
        </w:rPr>
        <w:t xml:space="preserve"> </w:t>
      </w:r>
      <w:r>
        <w:rPr>
          <w:rFonts w:ascii="Times New Roman" w:hAnsi="Times New Roman" w:cs="Times New Roman"/>
          <w:sz w:val="24"/>
          <w:szCs w:val="24"/>
        </w:rPr>
        <w:t>w</w:t>
      </w:r>
      <w:r w:rsidRPr="00814446">
        <w:rPr>
          <w:rFonts w:ascii="Times New Roman" w:hAnsi="Times New Roman" w:cs="Times New Roman"/>
          <w:sz w:val="24"/>
          <w:szCs w:val="24"/>
        </w:rPr>
        <w:t xml:space="preserve"> </w:t>
      </w:r>
      <w:r w:rsidRPr="00590C2B">
        <w:rPr>
          <w:rFonts w:ascii="Times New Roman" w:hAnsi="Times New Roman" w:cs="Times New Roman"/>
          <w:b/>
          <w:bCs/>
          <w:sz w:val="24"/>
          <w:szCs w:val="24"/>
        </w:rPr>
        <w:t>ust. 2</w:t>
      </w:r>
      <w:r w:rsidRPr="00814446">
        <w:rPr>
          <w:rFonts w:ascii="Times New Roman" w:hAnsi="Times New Roman" w:cs="Times New Roman"/>
          <w:sz w:val="24"/>
          <w:szCs w:val="24"/>
        </w:rPr>
        <w:t xml:space="preserve"> </w:t>
      </w:r>
      <w:r>
        <w:rPr>
          <w:rFonts w:ascii="Times New Roman" w:hAnsi="Times New Roman" w:cs="Times New Roman"/>
          <w:sz w:val="24"/>
          <w:szCs w:val="24"/>
        </w:rPr>
        <w:t xml:space="preserve">doprecyzowano, że </w:t>
      </w:r>
      <w:r w:rsidR="00914790">
        <w:rPr>
          <w:rFonts w:ascii="Times New Roman" w:hAnsi="Times New Roman" w:cs="Times New Roman"/>
          <w:sz w:val="24"/>
          <w:szCs w:val="24"/>
        </w:rPr>
        <w:t xml:space="preserve">sposób </w:t>
      </w:r>
      <w:r>
        <w:rPr>
          <w:rFonts w:ascii="Times New Roman" w:hAnsi="Times New Roman" w:cs="Times New Roman"/>
          <w:sz w:val="24"/>
          <w:szCs w:val="24"/>
        </w:rPr>
        <w:t>realiza</w:t>
      </w:r>
      <w:r w:rsidR="00914790">
        <w:rPr>
          <w:rFonts w:ascii="Times New Roman" w:hAnsi="Times New Roman" w:cs="Times New Roman"/>
          <w:sz w:val="24"/>
          <w:szCs w:val="24"/>
        </w:rPr>
        <w:t>cji</w:t>
      </w:r>
      <w:r>
        <w:rPr>
          <w:rFonts w:ascii="Times New Roman" w:hAnsi="Times New Roman" w:cs="Times New Roman"/>
          <w:sz w:val="24"/>
          <w:szCs w:val="24"/>
        </w:rPr>
        <w:t xml:space="preserve"> powyższych celów </w:t>
      </w:r>
      <w:r w:rsidR="00914790">
        <w:rPr>
          <w:rFonts w:ascii="Times New Roman" w:hAnsi="Times New Roman" w:cs="Times New Roman"/>
          <w:sz w:val="24"/>
          <w:szCs w:val="24"/>
        </w:rPr>
        <w:t>określa</w:t>
      </w:r>
      <w:r w:rsidR="00146214">
        <w:rPr>
          <w:rFonts w:ascii="Times New Roman" w:hAnsi="Times New Roman" w:cs="Times New Roman"/>
          <w:sz w:val="24"/>
          <w:szCs w:val="24"/>
        </w:rPr>
        <w:t xml:space="preserve">ny jest </w:t>
      </w:r>
      <w:r>
        <w:rPr>
          <w:rFonts w:ascii="Times New Roman" w:hAnsi="Times New Roman" w:cs="Times New Roman"/>
          <w:sz w:val="24"/>
          <w:szCs w:val="24"/>
        </w:rPr>
        <w:t>w umowie zrzeszenia</w:t>
      </w:r>
      <w:r w:rsidR="00941ACE">
        <w:rPr>
          <w:rFonts w:ascii="Times New Roman" w:hAnsi="Times New Roman" w:cs="Times New Roman"/>
          <w:sz w:val="24"/>
          <w:szCs w:val="24"/>
        </w:rPr>
        <w:t>.</w:t>
      </w:r>
      <w:r w:rsidR="00914790">
        <w:rPr>
          <w:rFonts w:ascii="Times New Roman" w:hAnsi="Times New Roman" w:cs="Times New Roman"/>
          <w:sz w:val="24"/>
          <w:szCs w:val="24"/>
        </w:rPr>
        <w:t xml:space="preserve"> </w:t>
      </w:r>
      <w:r>
        <w:rPr>
          <w:rFonts w:ascii="Times New Roman" w:hAnsi="Times New Roman" w:cs="Times New Roman"/>
          <w:sz w:val="24"/>
          <w:szCs w:val="24"/>
        </w:rPr>
        <w:t xml:space="preserve">Ponadto, ustawowe określenie celów zrzeszania oraz </w:t>
      </w:r>
      <w:r w:rsidR="00146214">
        <w:rPr>
          <w:rFonts w:ascii="Times New Roman" w:hAnsi="Times New Roman" w:cs="Times New Roman"/>
          <w:sz w:val="24"/>
          <w:szCs w:val="24"/>
        </w:rPr>
        <w:t xml:space="preserve">sposobu </w:t>
      </w:r>
      <w:r>
        <w:rPr>
          <w:rFonts w:ascii="Times New Roman" w:hAnsi="Times New Roman" w:cs="Times New Roman"/>
          <w:sz w:val="24"/>
          <w:szCs w:val="24"/>
        </w:rPr>
        <w:t>ich realizacji przyczyni się do zwiększenia przejrzystości i przewidywalności funkcjonowania zrzeszeń, co w konsekwencji wpłynie pozytywnie na stabilność sektora</w:t>
      </w:r>
      <w:r w:rsidR="00034173">
        <w:rPr>
          <w:rFonts w:ascii="Times New Roman" w:hAnsi="Times New Roman" w:cs="Times New Roman"/>
          <w:sz w:val="24"/>
          <w:szCs w:val="24"/>
        </w:rPr>
        <w:t xml:space="preserve"> banków spółdzielczych</w:t>
      </w:r>
      <w:r>
        <w:rPr>
          <w:rFonts w:ascii="Times New Roman" w:hAnsi="Times New Roman" w:cs="Times New Roman"/>
          <w:sz w:val="24"/>
          <w:szCs w:val="24"/>
        </w:rPr>
        <w:t xml:space="preserve"> oraz zwiększy jego bezpieczeństwo.</w:t>
      </w:r>
    </w:p>
    <w:p w14:paraId="23452E28" w14:textId="4415A295" w:rsidR="000E3B53" w:rsidRDefault="000E3B53" w:rsidP="003C6BB6">
      <w:pPr>
        <w:spacing w:after="120" w:line="360" w:lineRule="auto"/>
        <w:jc w:val="both"/>
      </w:pPr>
      <w:r w:rsidRPr="00346F05">
        <w:rPr>
          <w:rFonts w:ascii="Times New Roman" w:hAnsi="Times New Roman" w:cs="Times New Roman"/>
          <w:sz w:val="24"/>
          <w:szCs w:val="24"/>
        </w:rPr>
        <w:t xml:space="preserve">Zmiana w </w:t>
      </w:r>
      <w:r w:rsidRPr="00346F05">
        <w:rPr>
          <w:rFonts w:ascii="Times New Roman" w:hAnsi="Times New Roman" w:cs="Times New Roman"/>
          <w:b/>
          <w:bCs/>
          <w:sz w:val="24"/>
          <w:szCs w:val="24"/>
        </w:rPr>
        <w:t>art. 19 ust. 2</w:t>
      </w:r>
      <w:r w:rsidRPr="00346F05">
        <w:rPr>
          <w:rFonts w:ascii="Times New Roman" w:hAnsi="Times New Roman" w:cs="Times New Roman"/>
          <w:sz w:val="24"/>
          <w:szCs w:val="24"/>
        </w:rPr>
        <w:t xml:space="preserve"> polega na uchyleniu przepisu</w:t>
      </w:r>
      <w:r w:rsidR="00E02E1C">
        <w:rPr>
          <w:rFonts w:ascii="Times New Roman" w:hAnsi="Times New Roman" w:cs="Times New Roman"/>
          <w:sz w:val="24"/>
          <w:szCs w:val="24"/>
        </w:rPr>
        <w:t>,</w:t>
      </w:r>
      <w:r w:rsidRPr="00346F05">
        <w:rPr>
          <w:rFonts w:ascii="Times New Roman" w:hAnsi="Times New Roman" w:cs="Times New Roman"/>
          <w:sz w:val="24"/>
          <w:szCs w:val="24"/>
        </w:rPr>
        <w:t xml:space="preserve"> zgodnie z którym bank zrzeszający kontroluje zgodność działalności zrzeszonych banków spółdzielczych z postanowieniami umowy zrzeszenia, przepisami prawa i statutami. System zarządzania ryzykiem i system kontroli wewnętrznej nie zakłada co do zasady udziału w kontroli wewnętrznej banku podmiotów trzecich. Wyjątkiem są tutaj odstępstwa odnoszące się do banków spółdzielczych niebędących uczestnikami systemem ochrony, dla których kontrola wewnętrzna może być </w:t>
      </w:r>
      <w:r w:rsidRPr="00346F05">
        <w:rPr>
          <w:rFonts w:ascii="Times New Roman" w:hAnsi="Times New Roman" w:cs="Times New Roman"/>
          <w:sz w:val="24"/>
          <w:szCs w:val="24"/>
        </w:rPr>
        <w:lastRenderedPageBreak/>
        <w:t>wykonywana przez bank zrzeszający oraz dotyczące banków będących uczestnikami system</w:t>
      </w:r>
      <w:r w:rsidR="00A9716F">
        <w:rPr>
          <w:rFonts w:ascii="Times New Roman" w:hAnsi="Times New Roman" w:cs="Times New Roman"/>
          <w:sz w:val="24"/>
          <w:szCs w:val="24"/>
        </w:rPr>
        <w:t>u</w:t>
      </w:r>
      <w:r w:rsidRPr="00346F05">
        <w:rPr>
          <w:rFonts w:ascii="Times New Roman" w:hAnsi="Times New Roman" w:cs="Times New Roman"/>
          <w:sz w:val="24"/>
          <w:szCs w:val="24"/>
        </w:rPr>
        <w:t xml:space="preserve"> ochrony, dla których kontrola wewnętrzna wykonywana jest przez organ zarządzający systemem ochrony. Zatem udział banku zrzeszającego w wykonywaniu kontroli wewnętrznej jest bardzo ograniczony, gdyż odnosi się wyłącznie do zrzeszonych banków spółdzielczych nieobjętych systemem ochrony. Kontrola działania banku spółdzielczego objętego systemem ochrony może być wykonywana przez bank zrzeszony, lecz nie w ramach wykonywania funkcji zrzeszeniowej, a w ramach wykonywania funkcji organu zarządzającego systemem ochrony.</w:t>
      </w:r>
      <w:r w:rsidR="00E71E9B">
        <w:rPr>
          <w:rFonts w:ascii="Times New Roman" w:hAnsi="Times New Roman" w:cs="Times New Roman"/>
          <w:sz w:val="24"/>
          <w:szCs w:val="24"/>
        </w:rPr>
        <w:t xml:space="preserve"> </w:t>
      </w:r>
      <w:r w:rsidR="00A12767" w:rsidRPr="000A05A7">
        <w:rPr>
          <w:rFonts w:ascii="Times New Roman" w:hAnsi="Times New Roman" w:cs="Times New Roman"/>
          <w:sz w:val="24"/>
          <w:szCs w:val="24"/>
        </w:rPr>
        <w:t xml:space="preserve">Ponadto </w:t>
      </w:r>
      <w:r w:rsidR="00A12767" w:rsidRPr="00201F0F">
        <w:rPr>
          <w:rFonts w:ascii="Times New Roman" w:hAnsi="Times New Roman" w:cs="Times New Roman"/>
          <w:sz w:val="24"/>
          <w:szCs w:val="24"/>
        </w:rPr>
        <w:t xml:space="preserve">uchylenie przepisu powierzającego bankowi zrzeszającemu obowiązek kontrolowania działalności banków spółdzielczych znajduje uzasadnienie </w:t>
      </w:r>
      <w:r w:rsidR="00131B01">
        <w:rPr>
          <w:rFonts w:ascii="Times New Roman" w:hAnsi="Times New Roman" w:cs="Times New Roman"/>
          <w:sz w:val="24"/>
          <w:szCs w:val="24"/>
        </w:rPr>
        <w:t xml:space="preserve">m.in. </w:t>
      </w:r>
      <w:r w:rsidR="00A12767" w:rsidRPr="00201F0F">
        <w:rPr>
          <w:rFonts w:ascii="Times New Roman" w:hAnsi="Times New Roman" w:cs="Times New Roman"/>
          <w:sz w:val="24"/>
          <w:szCs w:val="24"/>
        </w:rPr>
        <w:t>w ryzyku naruszenia zasady bezstronności. Pełnienie przez bank zrzeszający jednocześnie roli uczestnika zrzeszenia i</w:t>
      </w:r>
      <w:r w:rsidR="00151640">
        <w:rPr>
          <w:rFonts w:ascii="Times New Roman" w:hAnsi="Times New Roman" w:cs="Times New Roman"/>
          <w:sz w:val="24"/>
          <w:szCs w:val="24"/>
        </w:rPr>
        <w:t> </w:t>
      </w:r>
      <w:r w:rsidR="00A12767" w:rsidRPr="00201F0F">
        <w:rPr>
          <w:rFonts w:ascii="Times New Roman" w:hAnsi="Times New Roman" w:cs="Times New Roman"/>
          <w:sz w:val="24"/>
          <w:szCs w:val="24"/>
        </w:rPr>
        <w:t>podmiotu kontrolującego prowadziłoby do sytuacji, w której byłby on jednocześnie stroną i</w:t>
      </w:r>
      <w:r w:rsidR="00151640">
        <w:rPr>
          <w:rFonts w:ascii="Times New Roman" w:hAnsi="Times New Roman" w:cs="Times New Roman"/>
          <w:sz w:val="24"/>
          <w:szCs w:val="24"/>
        </w:rPr>
        <w:t> </w:t>
      </w:r>
      <w:r w:rsidR="00A12767" w:rsidRPr="00201F0F">
        <w:rPr>
          <w:rFonts w:ascii="Times New Roman" w:hAnsi="Times New Roman" w:cs="Times New Roman"/>
          <w:sz w:val="24"/>
          <w:szCs w:val="24"/>
        </w:rPr>
        <w:t>sędzią</w:t>
      </w:r>
      <w:r w:rsidR="00A12767">
        <w:t>.</w:t>
      </w:r>
    </w:p>
    <w:p w14:paraId="429933CF" w14:textId="7A129436" w:rsidR="004043BF" w:rsidRDefault="00343FBC" w:rsidP="003C6BB6">
      <w:pPr>
        <w:spacing w:after="120" w:line="360" w:lineRule="auto"/>
        <w:jc w:val="both"/>
        <w:rPr>
          <w:rFonts w:ascii="Times New Roman" w:hAnsi="Times New Roman" w:cs="Times New Roman"/>
          <w:sz w:val="24"/>
          <w:szCs w:val="24"/>
        </w:rPr>
      </w:pPr>
      <w:r w:rsidRPr="00655235">
        <w:rPr>
          <w:rFonts w:ascii="Times New Roman" w:hAnsi="Times New Roman" w:cs="Times New Roman"/>
          <w:sz w:val="24"/>
          <w:szCs w:val="24"/>
        </w:rPr>
        <w:t xml:space="preserve">Celem </w:t>
      </w:r>
      <w:r w:rsidR="00A9716F">
        <w:rPr>
          <w:rFonts w:ascii="Times New Roman" w:hAnsi="Times New Roman" w:cs="Times New Roman"/>
          <w:sz w:val="24"/>
          <w:szCs w:val="24"/>
        </w:rPr>
        <w:t>zmiany</w:t>
      </w:r>
      <w:r w:rsidR="00A9716F" w:rsidRPr="00655235">
        <w:rPr>
          <w:rFonts w:ascii="Times New Roman" w:hAnsi="Times New Roman" w:cs="Times New Roman"/>
          <w:sz w:val="24"/>
          <w:szCs w:val="24"/>
        </w:rPr>
        <w:t xml:space="preserve"> </w:t>
      </w:r>
      <w:r w:rsidRPr="00655235">
        <w:rPr>
          <w:rFonts w:ascii="Times New Roman" w:hAnsi="Times New Roman" w:cs="Times New Roman"/>
          <w:b/>
          <w:bCs/>
          <w:sz w:val="24"/>
          <w:szCs w:val="24"/>
        </w:rPr>
        <w:t xml:space="preserve">art. 21 </w:t>
      </w:r>
      <w:r w:rsidRPr="00655235">
        <w:rPr>
          <w:rFonts w:ascii="Times New Roman" w:hAnsi="Times New Roman" w:cs="Times New Roman"/>
          <w:sz w:val="24"/>
          <w:szCs w:val="24"/>
        </w:rPr>
        <w:t xml:space="preserve">jest określenie na nowo organów zrzeszenia, oprócz dotychczas </w:t>
      </w:r>
      <w:r w:rsidR="000963A1">
        <w:rPr>
          <w:rFonts w:ascii="Times New Roman" w:hAnsi="Times New Roman" w:cs="Times New Roman"/>
          <w:sz w:val="24"/>
          <w:szCs w:val="24"/>
        </w:rPr>
        <w:t>ustanowionej</w:t>
      </w:r>
      <w:r w:rsidRPr="00655235">
        <w:rPr>
          <w:rFonts w:ascii="Times New Roman" w:hAnsi="Times New Roman" w:cs="Times New Roman"/>
          <w:sz w:val="24"/>
          <w:szCs w:val="24"/>
        </w:rPr>
        <w:t xml:space="preserve"> w ustawie rady zrzeszenia zostanie </w:t>
      </w:r>
      <w:bookmarkStart w:id="1" w:name="_GoBack"/>
      <w:bookmarkEnd w:id="1"/>
      <w:r w:rsidRPr="00655235">
        <w:rPr>
          <w:rFonts w:ascii="Times New Roman" w:hAnsi="Times New Roman" w:cs="Times New Roman"/>
          <w:sz w:val="24"/>
          <w:szCs w:val="24"/>
        </w:rPr>
        <w:t xml:space="preserve">dodany nowy organ </w:t>
      </w:r>
      <w:r w:rsidR="00BE0A7B" w:rsidRPr="005045FF">
        <w:rPr>
          <w:rFonts w:ascii="Times New Roman" w:hAnsi="Times New Roman" w:cs="Times New Roman"/>
          <w:color w:val="000000" w:themeColor="text1"/>
          <w:sz w:val="24"/>
          <w:szCs w:val="24"/>
        </w:rPr>
        <w:t>–</w:t>
      </w:r>
      <w:r w:rsidR="000963A1">
        <w:rPr>
          <w:rFonts w:ascii="Times New Roman" w:hAnsi="Times New Roman" w:cs="Times New Roman"/>
          <w:sz w:val="24"/>
          <w:szCs w:val="24"/>
        </w:rPr>
        <w:t xml:space="preserve"> </w:t>
      </w:r>
      <w:r w:rsidRPr="00655235">
        <w:rPr>
          <w:rFonts w:ascii="Times New Roman" w:hAnsi="Times New Roman" w:cs="Times New Roman"/>
          <w:sz w:val="24"/>
          <w:szCs w:val="24"/>
        </w:rPr>
        <w:t>zgromadzenie prezesów. W dalszej części został określony krąg osób upoważnionych do udziału w</w:t>
      </w:r>
      <w:r w:rsidR="000568FF" w:rsidRPr="00655235">
        <w:rPr>
          <w:rFonts w:ascii="Times New Roman" w:hAnsi="Times New Roman" w:cs="Times New Roman"/>
          <w:sz w:val="24"/>
          <w:szCs w:val="24"/>
        </w:rPr>
        <w:t xml:space="preserve"> obu </w:t>
      </w:r>
      <w:r w:rsidR="00720795">
        <w:rPr>
          <w:rFonts w:ascii="Times New Roman" w:hAnsi="Times New Roman" w:cs="Times New Roman"/>
          <w:sz w:val="24"/>
          <w:szCs w:val="24"/>
        </w:rPr>
        <w:t>organach</w:t>
      </w:r>
      <w:r w:rsidRPr="00655235">
        <w:rPr>
          <w:rFonts w:ascii="Times New Roman" w:hAnsi="Times New Roman" w:cs="Times New Roman"/>
          <w:sz w:val="24"/>
          <w:szCs w:val="24"/>
        </w:rPr>
        <w:t xml:space="preserve">, a także kompetencje organów. Zmiany te mają na celu </w:t>
      </w:r>
      <w:r w:rsidR="00D8467B">
        <w:rPr>
          <w:rFonts w:ascii="Times New Roman" w:hAnsi="Times New Roman" w:cs="Times New Roman"/>
          <w:sz w:val="24"/>
          <w:szCs w:val="24"/>
        </w:rPr>
        <w:t xml:space="preserve">jasne </w:t>
      </w:r>
      <w:r w:rsidR="00146214">
        <w:rPr>
          <w:rFonts w:ascii="Times New Roman" w:hAnsi="Times New Roman" w:cs="Times New Roman"/>
          <w:sz w:val="24"/>
          <w:szCs w:val="24"/>
        </w:rPr>
        <w:t>określenie struktury zrzeszeń i zwiększeni</w:t>
      </w:r>
      <w:r w:rsidR="00D8467B">
        <w:rPr>
          <w:rFonts w:ascii="Times New Roman" w:hAnsi="Times New Roman" w:cs="Times New Roman"/>
          <w:sz w:val="24"/>
          <w:szCs w:val="24"/>
        </w:rPr>
        <w:t>e</w:t>
      </w:r>
      <w:r w:rsidR="00146214">
        <w:rPr>
          <w:rFonts w:ascii="Times New Roman" w:hAnsi="Times New Roman" w:cs="Times New Roman"/>
          <w:sz w:val="24"/>
          <w:szCs w:val="24"/>
        </w:rPr>
        <w:t xml:space="preserve"> efektywności ich funkcjonowania. </w:t>
      </w:r>
    </w:p>
    <w:p w14:paraId="00E631F4" w14:textId="4B351EA3" w:rsidR="00FF08F4" w:rsidRPr="000568FF" w:rsidRDefault="00274AB6" w:rsidP="003C6BB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Zgodnie z obowiązującymi</w:t>
      </w:r>
      <w:r w:rsidR="00FA77D6">
        <w:rPr>
          <w:rFonts w:ascii="Times New Roman" w:hAnsi="Times New Roman" w:cs="Times New Roman"/>
          <w:sz w:val="24"/>
          <w:szCs w:val="24"/>
        </w:rPr>
        <w:t xml:space="preserve"> przepis</w:t>
      </w:r>
      <w:r>
        <w:rPr>
          <w:rFonts w:ascii="Times New Roman" w:hAnsi="Times New Roman" w:cs="Times New Roman"/>
          <w:sz w:val="24"/>
          <w:szCs w:val="24"/>
        </w:rPr>
        <w:t>ami</w:t>
      </w:r>
      <w:r w:rsidR="00FA77D6">
        <w:rPr>
          <w:rFonts w:ascii="Times New Roman" w:hAnsi="Times New Roman" w:cs="Times New Roman"/>
          <w:sz w:val="24"/>
          <w:szCs w:val="24"/>
        </w:rPr>
        <w:t xml:space="preserve"> </w:t>
      </w:r>
      <w:r w:rsidR="00FA77D6" w:rsidRPr="00FA77D6">
        <w:rPr>
          <w:rFonts w:ascii="Times New Roman" w:hAnsi="Times New Roman" w:cs="Times New Roman"/>
          <w:sz w:val="24"/>
          <w:szCs w:val="24"/>
        </w:rPr>
        <w:t xml:space="preserve">w banku zrzeszającym albo jednostce zarządzającej tworzy się fundusz pomocowy w celu zapewnienia środków na finansowanie zadań systemu ochrony w zakresie pomocy finansowej dla uczestników systemu ochrony mającej na celu poprawę ich wypłacalności i zapobieżenie upadłości oraz umożliwienie udzielania przez system ochrony wsparcia. Fundusz ten jest tworzony z wpłat uczestników systemu ochrony. </w:t>
      </w:r>
      <w:r w:rsidR="00590C2B" w:rsidRPr="00590C2B">
        <w:rPr>
          <w:rFonts w:ascii="Times New Roman" w:hAnsi="Times New Roman" w:cs="Times New Roman"/>
          <w:sz w:val="24"/>
          <w:szCs w:val="24"/>
        </w:rPr>
        <w:t xml:space="preserve">Jednakże z przepisów ustawy w zakresie działalności funduszu pomocowego nie wynika jasno, </w:t>
      </w:r>
      <w:r w:rsidR="0067578D">
        <w:rPr>
          <w:rFonts w:ascii="Times New Roman" w:hAnsi="Times New Roman" w:cs="Times New Roman"/>
          <w:sz w:val="24"/>
          <w:szCs w:val="24"/>
        </w:rPr>
        <w:t>w jaki sposób jest rozliczane wykorzystanie funduszu</w:t>
      </w:r>
      <w:r w:rsidR="00590C2B" w:rsidRPr="00590C2B">
        <w:rPr>
          <w:rFonts w:ascii="Times New Roman" w:hAnsi="Times New Roman" w:cs="Times New Roman"/>
          <w:sz w:val="24"/>
          <w:szCs w:val="24"/>
        </w:rPr>
        <w:t xml:space="preserve">. </w:t>
      </w:r>
      <w:r w:rsidR="00FA77D6">
        <w:rPr>
          <w:rFonts w:ascii="Times New Roman" w:hAnsi="Times New Roman" w:cs="Times New Roman"/>
          <w:sz w:val="24"/>
          <w:szCs w:val="24"/>
        </w:rPr>
        <w:t>D</w:t>
      </w:r>
      <w:r w:rsidR="00FF08F4">
        <w:rPr>
          <w:rFonts w:ascii="Times New Roman" w:hAnsi="Times New Roman" w:cs="Times New Roman"/>
          <w:sz w:val="24"/>
          <w:szCs w:val="24"/>
        </w:rPr>
        <w:t>odani</w:t>
      </w:r>
      <w:r>
        <w:rPr>
          <w:rFonts w:ascii="Times New Roman" w:hAnsi="Times New Roman" w:cs="Times New Roman"/>
          <w:sz w:val="24"/>
          <w:szCs w:val="24"/>
        </w:rPr>
        <w:t>e</w:t>
      </w:r>
      <w:r w:rsidR="00FF08F4">
        <w:rPr>
          <w:rFonts w:ascii="Times New Roman" w:hAnsi="Times New Roman" w:cs="Times New Roman"/>
          <w:sz w:val="24"/>
          <w:szCs w:val="24"/>
        </w:rPr>
        <w:t xml:space="preserve"> </w:t>
      </w:r>
      <w:r w:rsidR="00FA77D6">
        <w:rPr>
          <w:rFonts w:ascii="Times New Roman" w:hAnsi="Times New Roman" w:cs="Times New Roman"/>
          <w:sz w:val="24"/>
          <w:szCs w:val="24"/>
        </w:rPr>
        <w:t xml:space="preserve">w </w:t>
      </w:r>
      <w:r w:rsidR="00FA77D6" w:rsidRPr="00590C2B">
        <w:rPr>
          <w:rFonts w:ascii="Times New Roman" w:hAnsi="Times New Roman" w:cs="Times New Roman"/>
          <w:b/>
          <w:bCs/>
          <w:sz w:val="24"/>
          <w:szCs w:val="24"/>
        </w:rPr>
        <w:t>art. 22</w:t>
      </w:r>
      <w:r w:rsidR="00993EF6">
        <w:rPr>
          <w:rFonts w:ascii="Times New Roman" w:hAnsi="Times New Roman" w:cs="Times New Roman"/>
          <w:b/>
          <w:bCs/>
          <w:sz w:val="24"/>
          <w:szCs w:val="24"/>
        </w:rPr>
        <w:t>g</w:t>
      </w:r>
      <w:r w:rsidR="00FA77D6" w:rsidRPr="00590C2B">
        <w:rPr>
          <w:rFonts w:ascii="Times New Roman" w:hAnsi="Times New Roman" w:cs="Times New Roman"/>
          <w:b/>
          <w:bCs/>
          <w:sz w:val="24"/>
          <w:szCs w:val="24"/>
        </w:rPr>
        <w:t xml:space="preserve"> ust. 5-7</w:t>
      </w:r>
      <w:r w:rsidR="00FA77D6">
        <w:rPr>
          <w:rFonts w:ascii="Times New Roman" w:hAnsi="Times New Roman" w:cs="Times New Roman"/>
          <w:sz w:val="24"/>
          <w:szCs w:val="24"/>
        </w:rPr>
        <w:t xml:space="preserve"> </w:t>
      </w:r>
      <w:r>
        <w:rPr>
          <w:rFonts w:ascii="Times New Roman" w:hAnsi="Times New Roman" w:cs="Times New Roman"/>
          <w:sz w:val="24"/>
          <w:szCs w:val="24"/>
        </w:rPr>
        <w:t>pozwoli</w:t>
      </w:r>
      <w:r w:rsidR="00FA77D6">
        <w:rPr>
          <w:rFonts w:ascii="Times New Roman" w:hAnsi="Times New Roman" w:cs="Times New Roman"/>
          <w:sz w:val="24"/>
          <w:szCs w:val="24"/>
        </w:rPr>
        <w:t xml:space="preserve"> jednoznaczn</w:t>
      </w:r>
      <w:r>
        <w:rPr>
          <w:rFonts w:ascii="Times New Roman" w:hAnsi="Times New Roman" w:cs="Times New Roman"/>
          <w:sz w:val="24"/>
          <w:szCs w:val="24"/>
        </w:rPr>
        <w:t>i</w:t>
      </w:r>
      <w:r w:rsidR="00FA77D6">
        <w:rPr>
          <w:rFonts w:ascii="Times New Roman" w:hAnsi="Times New Roman" w:cs="Times New Roman"/>
          <w:sz w:val="24"/>
          <w:szCs w:val="24"/>
        </w:rPr>
        <w:t xml:space="preserve">e określić, </w:t>
      </w:r>
      <w:r w:rsidR="00590C2B" w:rsidRPr="00590C2B">
        <w:rPr>
          <w:rFonts w:ascii="Times New Roman" w:hAnsi="Times New Roman" w:cs="Times New Roman"/>
          <w:sz w:val="24"/>
          <w:szCs w:val="24"/>
        </w:rPr>
        <w:t xml:space="preserve">że przychody i koszty związane z realizacją celów funduszu pomocowego będą odnoszone </w:t>
      </w:r>
      <w:r w:rsidR="0067578D">
        <w:rPr>
          <w:rFonts w:ascii="Times New Roman" w:hAnsi="Times New Roman" w:cs="Times New Roman"/>
          <w:sz w:val="24"/>
          <w:szCs w:val="24"/>
        </w:rPr>
        <w:t xml:space="preserve">bezpośrednio </w:t>
      </w:r>
      <w:r w:rsidR="00590C2B" w:rsidRPr="00590C2B">
        <w:rPr>
          <w:rFonts w:ascii="Times New Roman" w:hAnsi="Times New Roman" w:cs="Times New Roman"/>
          <w:sz w:val="24"/>
          <w:szCs w:val="24"/>
        </w:rPr>
        <w:t>na ten fundusz</w:t>
      </w:r>
      <w:r w:rsidR="00FA77D6">
        <w:rPr>
          <w:rFonts w:ascii="Times New Roman" w:hAnsi="Times New Roman" w:cs="Times New Roman"/>
          <w:sz w:val="24"/>
          <w:szCs w:val="24"/>
        </w:rPr>
        <w:t xml:space="preserve">. </w:t>
      </w:r>
      <w:r w:rsidRPr="00274AB6">
        <w:rPr>
          <w:rFonts w:ascii="Times New Roman" w:hAnsi="Times New Roman" w:cs="Times New Roman"/>
          <w:sz w:val="24"/>
          <w:szCs w:val="24"/>
        </w:rPr>
        <w:t>Rozwiązanie to zapewni większą przejrzystość sytuacji finansowej funduszu oraz lepsze odzwierciedlenie ryzyk związanych z jego działalnością. W konsekwencji przyczyni się to do zwiększenia stabilności funkcjonowania funduszy pomocowych oraz umożliwi skuteczniejsze udzielanie pomocy uczestnikom systemu ochrony w sytuacjach kryzysowych.</w:t>
      </w:r>
      <w:r w:rsidR="003B2EFC">
        <w:rPr>
          <w:rFonts w:ascii="Times New Roman" w:hAnsi="Times New Roman" w:cs="Times New Roman"/>
          <w:sz w:val="24"/>
          <w:szCs w:val="24"/>
        </w:rPr>
        <w:t xml:space="preserve"> </w:t>
      </w:r>
      <w:r w:rsidR="003B2EFC" w:rsidRPr="003B2EFC">
        <w:rPr>
          <w:rFonts w:ascii="Times New Roman" w:hAnsi="Times New Roman" w:cs="Times New Roman"/>
          <w:sz w:val="24"/>
          <w:szCs w:val="24"/>
        </w:rPr>
        <w:t xml:space="preserve">Proponowane przepisy mieszczą się w ogólnych zasadach odnoszenia przychodów oraz kosztów i stanowią ich doprecyzowanie, zapewniając uspójnienie podejścia. Nie identyfikuje się również trudności z ich jednolitym zastosowaniem przez uczestników rynku. Obecna praktyka, w analogicznym zakresie, jest </w:t>
      </w:r>
      <w:r w:rsidR="003B2EFC" w:rsidRPr="003B2EFC">
        <w:rPr>
          <w:rFonts w:ascii="Times New Roman" w:hAnsi="Times New Roman" w:cs="Times New Roman"/>
          <w:sz w:val="24"/>
          <w:szCs w:val="24"/>
        </w:rPr>
        <w:lastRenderedPageBreak/>
        <w:t xml:space="preserve">sankcjonowana interpretacją obecnie obowiązujących przepisów ustaw sektorowych, </w:t>
      </w:r>
      <w:r w:rsidR="0071780D" w:rsidRPr="0071780D">
        <w:rPr>
          <w:rFonts w:ascii="Times New Roman" w:hAnsi="Times New Roman" w:cs="Times New Roman"/>
          <w:sz w:val="24"/>
          <w:szCs w:val="24"/>
        </w:rPr>
        <w:t>ustaw</w:t>
      </w:r>
      <w:r w:rsidR="0071780D">
        <w:rPr>
          <w:rFonts w:ascii="Times New Roman" w:hAnsi="Times New Roman" w:cs="Times New Roman"/>
          <w:sz w:val="24"/>
          <w:szCs w:val="24"/>
        </w:rPr>
        <w:t>y</w:t>
      </w:r>
      <w:r w:rsidR="0071780D" w:rsidRPr="0071780D">
        <w:rPr>
          <w:rFonts w:ascii="Times New Roman" w:hAnsi="Times New Roman" w:cs="Times New Roman"/>
          <w:sz w:val="24"/>
          <w:szCs w:val="24"/>
        </w:rPr>
        <w:t xml:space="preserve"> z dnia 29 września 1994 r. o rachunkowości (Dz.</w:t>
      </w:r>
      <w:r w:rsidR="00CE1C40">
        <w:rPr>
          <w:rFonts w:ascii="Times New Roman" w:hAnsi="Times New Roman" w:cs="Times New Roman"/>
          <w:sz w:val="24"/>
          <w:szCs w:val="24"/>
        </w:rPr>
        <w:t xml:space="preserve"> </w:t>
      </w:r>
      <w:r w:rsidR="0071780D" w:rsidRPr="0071780D">
        <w:rPr>
          <w:rFonts w:ascii="Times New Roman" w:hAnsi="Times New Roman" w:cs="Times New Roman"/>
          <w:sz w:val="24"/>
          <w:szCs w:val="24"/>
        </w:rPr>
        <w:t>U. z 2023 r. poz. 12</w:t>
      </w:r>
      <w:r w:rsidR="0071780D">
        <w:rPr>
          <w:rFonts w:ascii="Times New Roman" w:hAnsi="Times New Roman" w:cs="Times New Roman"/>
          <w:sz w:val="24"/>
          <w:szCs w:val="24"/>
        </w:rPr>
        <w:t xml:space="preserve">0, </w:t>
      </w:r>
      <w:r w:rsidR="0071780D" w:rsidRPr="0071780D">
        <w:rPr>
          <w:rFonts w:ascii="Times New Roman" w:hAnsi="Times New Roman" w:cs="Times New Roman"/>
          <w:sz w:val="24"/>
          <w:szCs w:val="24"/>
        </w:rPr>
        <w:t>z późn. zm.)</w:t>
      </w:r>
      <w:r w:rsidR="00EF58F5">
        <w:rPr>
          <w:rFonts w:ascii="Times New Roman" w:hAnsi="Times New Roman" w:cs="Times New Roman"/>
          <w:sz w:val="24"/>
          <w:szCs w:val="24"/>
        </w:rPr>
        <w:t>, dalej „ustawa o rachunkowości”</w:t>
      </w:r>
      <w:r w:rsidR="005D6CE5">
        <w:rPr>
          <w:rFonts w:ascii="Times New Roman" w:hAnsi="Times New Roman" w:cs="Times New Roman"/>
          <w:sz w:val="24"/>
          <w:szCs w:val="24"/>
        </w:rPr>
        <w:t>,</w:t>
      </w:r>
      <w:r w:rsidR="0071780D" w:rsidRPr="0071780D">
        <w:rPr>
          <w:rFonts w:ascii="Times New Roman" w:hAnsi="Times New Roman" w:cs="Times New Roman"/>
          <w:sz w:val="24"/>
          <w:szCs w:val="24"/>
        </w:rPr>
        <w:t xml:space="preserve"> </w:t>
      </w:r>
      <w:r w:rsidR="003B2EFC" w:rsidRPr="003B2EFC">
        <w:rPr>
          <w:rFonts w:ascii="Times New Roman" w:hAnsi="Times New Roman" w:cs="Times New Roman"/>
          <w:sz w:val="24"/>
          <w:szCs w:val="24"/>
        </w:rPr>
        <w:t xml:space="preserve">oraz </w:t>
      </w:r>
      <w:r w:rsidR="00A84E0A">
        <w:rPr>
          <w:rFonts w:ascii="Times New Roman" w:hAnsi="Times New Roman" w:cs="Times New Roman"/>
          <w:sz w:val="24"/>
          <w:szCs w:val="24"/>
        </w:rPr>
        <w:t>postanowień</w:t>
      </w:r>
      <w:r w:rsidR="00A84E0A" w:rsidRPr="003B2EFC">
        <w:rPr>
          <w:rFonts w:ascii="Times New Roman" w:hAnsi="Times New Roman" w:cs="Times New Roman"/>
          <w:sz w:val="24"/>
          <w:szCs w:val="24"/>
        </w:rPr>
        <w:t xml:space="preserve"> </w:t>
      </w:r>
      <w:r w:rsidR="003B2EFC" w:rsidRPr="003B2EFC">
        <w:rPr>
          <w:rFonts w:ascii="Times New Roman" w:hAnsi="Times New Roman" w:cs="Times New Roman"/>
          <w:sz w:val="24"/>
          <w:szCs w:val="24"/>
        </w:rPr>
        <w:t>w aktach statutowych jednostek zarządzających. Dlatego w niniejszej sytuacji nie występuje konieczność wprowadzania przepisów przejściowych.</w:t>
      </w:r>
    </w:p>
    <w:p w14:paraId="38B5857E" w14:textId="35CCE1F7" w:rsidR="00B474AA"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Dodan</w:t>
      </w:r>
      <w:r w:rsidR="00CD3AE5">
        <w:rPr>
          <w:rFonts w:ascii="Times New Roman" w:hAnsi="Times New Roman" w:cs="Times New Roman"/>
          <w:sz w:val="24"/>
          <w:szCs w:val="24"/>
        </w:rPr>
        <w:t>y</w:t>
      </w:r>
      <w:r w:rsidRPr="00346F05">
        <w:rPr>
          <w:rFonts w:ascii="Times New Roman" w:hAnsi="Times New Roman" w:cs="Times New Roman"/>
          <w:sz w:val="24"/>
          <w:szCs w:val="24"/>
        </w:rPr>
        <w:t xml:space="preserve"> </w:t>
      </w:r>
      <w:r w:rsidRPr="00346F05">
        <w:rPr>
          <w:rFonts w:ascii="Times New Roman" w:hAnsi="Times New Roman" w:cs="Times New Roman"/>
          <w:b/>
          <w:bCs/>
          <w:sz w:val="24"/>
          <w:szCs w:val="24"/>
        </w:rPr>
        <w:t>art. 22ga</w:t>
      </w:r>
      <w:r w:rsidRPr="00346F05">
        <w:rPr>
          <w:rFonts w:ascii="Times New Roman" w:hAnsi="Times New Roman" w:cs="Times New Roman"/>
          <w:sz w:val="24"/>
          <w:szCs w:val="24"/>
        </w:rPr>
        <w:t xml:space="preserve"> </w:t>
      </w:r>
      <w:r w:rsidR="00794D2D" w:rsidRPr="00794D2D">
        <w:rPr>
          <w:rFonts w:ascii="Times New Roman" w:hAnsi="Times New Roman" w:cs="Times New Roman"/>
          <w:sz w:val="24"/>
          <w:szCs w:val="24"/>
        </w:rPr>
        <w:t>wprowadza nową formę pomocy finansowej</w:t>
      </w:r>
      <w:r w:rsidR="00131B01">
        <w:rPr>
          <w:rFonts w:ascii="Times New Roman" w:hAnsi="Times New Roman" w:cs="Times New Roman"/>
          <w:sz w:val="24"/>
          <w:szCs w:val="24"/>
        </w:rPr>
        <w:t xml:space="preserve"> realizowanej w ramach funduszu pomocowego</w:t>
      </w:r>
      <w:r w:rsidR="00794D2D" w:rsidRPr="00794D2D">
        <w:rPr>
          <w:rFonts w:ascii="Times New Roman" w:hAnsi="Times New Roman" w:cs="Times New Roman"/>
          <w:sz w:val="24"/>
          <w:szCs w:val="24"/>
        </w:rPr>
        <w:t xml:space="preserve">, która </w:t>
      </w:r>
      <w:r w:rsidRPr="00794D2D">
        <w:rPr>
          <w:rFonts w:ascii="Times New Roman" w:hAnsi="Times New Roman" w:cs="Times New Roman"/>
          <w:sz w:val="24"/>
          <w:szCs w:val="24"/>
        </w:rPr>
        <w:t>polega na</w:t>
      </w:r>
      <w:r w:rsidR="00794D2D" w:rsidRPr="000A05A7">
        <w:rPr>
          <w:rFonts w:ascii="Times New Roman" w:hAnsi="Times New Roman" w:cs="Times New Roman"/>
          <w:sz w:val="24"/>
          <w:szCs w:val="24"/>
        </w:rPr>
        <w:t xml:space="preserve"> </w:t>
      </w:r>
      <w:r w:rsidR="00794D2D" w:rsidRPr="00201F0F">
        <w:rPr>
          <w:rFonts w:ascii="Times New Roman" w:hAnsi="Times New Roman" w:cs="Times New Roman"/>
          <w:sz w:val="24"/>
          <w:szCs w:val="24"/>
        </w:rPr>
        <w:t>zawarciu przez banki spółdzielcze będące uczestnikami systemu ochrony z bankiem zrzeszającym zarządzającym systemem ochrony albo jednostką zarządzając</w:t>
      </w:r>
      <w:r w:rsidR="00B474AA">
        <w:rPr>
          <w:rFonts w:ascii="Times New Roman" w:hAnsi="Times New Roman" w:cs="Times New Roman"/>
          <w:sz w:val="24"/>
          <w:szCs w:val="24"/>
        </w:rPr>
        <w:t>ą</w:t>
      </w:r>
      <w:r w:rsidR="00794D2D" w:rsidRPr="00201F0F">
        <w:rPr>
          <w:rFonts w:ascii="Times New Roman" w:hAnsi="Times New Roman" w:cs="Times New Roman"/>
          <w:sz w:val="24"/>
          <w:szCs w:val="24"/>
        </w:rPr>
        <w:t xml:space="preserve"> umowy o przekazywanie </w:t>
      </w:r>
      <w:r w:rsidR="00CD3AE5">
        <w:rPr>
          <w:rFonts w:ascii="Times New Roman" w:hAnsi="Times New Roman" w:cs="Times New Roman"/>
          <w:sz w:val="24"/>
          <w:szCs w:val="24"/>
        </w:rPr>
        <w:t>tym</w:t>
      </w:r>
      <w:r w:rsidR="00794D2D" w:rsidRPr="00201F0F">
        <w:rPr>
          <w:rFonts w:ascii="Times New Roman" w:hAnsi="Times New Roman" w:cs="Times New Roman"/>
          <w:sz w:val="24"/>
          <w:szCs w:val="24"/>
        </w:rPr>
        <w:t xml:space="preserve"> </w:t>
      </w:r>
      <w:r w:rsidR="00CD3AE5">
        <w:rPr>
          <w:rFonts w:ascii="Times New Roman" w:hAnsi="Times New Roman" w:cs="Times New Roman"/>
          <w:sz w:val="24"/>
          <w:szCs w:val="24"/>
        </w:rPr>
        <w:t>podmiotom</w:t>
      </w:r>
      <w:r w:rsidR="00794D2D" w:rsidRPr="00201F0F">
        <w:rPr>
          <w:rFonts w:ascii="Times New Roman" w:hAnsi="Times New Roman" w:cs="Times New Roman"/>
          <w:sz w:val="24"/>
          <w:szCs w:val="24"/>
        </w:rPr>
        <w:t xml:space="preserve"> wszystkich świadczeń otrzymywanych przez uczestnika systemu z wierzytelności, z określonej puli wierzytelności lub z określonych wierzytelności</w:t>
      </w:r>
      <w:r w:rsidR="00F612EF">
        <w:rPr>
          <w:rFonts w:ascii="Times New Roman" w:hAnsi="Times New Roman" w:cs="Times New Roman"/>
          <w:sz w:val="24"/>
          <w:szCs w:val="24"/>
        </w:rPr>
        <w:t xml:space="preserve">, tj. </w:t>
      </w:r>
      <w:r w:rsidR="00794D2D" w:rsidRPr="00201F0F">
        <w:rPr>
          <w:rFonts w:ascii="Times New Roman" w:hAnsi="Times New Roman" w:cs="Times New Roman"/>
          <w:sz w:val="24"/>
          <w:szCs w:val="24"/>
        </w:rPr>
        <w:t>umow</w:t>
      </w:r>
      <w:r w:rsidR="00CD3AE5">
        <w:rPr>
          <w:rFonts w:ascii="Times New Roman" w:hAnsi="Times New Roman" w:cs="Times New Roman"/>
          <w:sz w:val="24"/>
          <w:szCs w:val="24"/>
        </w:rPr>
        <w:t>y</w:t>
      </w:r>
      <w:r w:rsidR="00794D2D" w:rsidRPr="00201F0F">
        <w:rPr>
          <w:rFonts w:ascii="Times New Roman" w:hAnsi="Times New Roman" w:cs="Times New Roman"/>
          <w:sz w:val="24"/>
          <w:szCs w:val="24"/>
        </w:rPr>
        <w:t xml:space="preserve"> o </w:t>
      </w:r>
      <w:proofErr w:type="spellStart"/>
      <w:r w:rsidR="00794D2D" w:rsidRPr="00201F0F">
        <w:rPr>
          <w:rFonts w:ascii="Times New Roman" w:hAnsi="Times New Roman" w:cs="Times New Roman"/>
          <w:sz w:val="24"/>
          <w:szCs w:val="24"/>
        </w:rPr>
        <w:t>subpartycypację</w:t>
      </w:r>
      <w:proofErr w:type="spellEnd"/>
      <w:r w:rsidR="00CD3AE5">
        <w:rPr>
          <w:rFonts w:ascii="Times New Roman" w:hAnsi="Times New Roman" w:cs="Times New Roman"/>
          <w:sz w:val="24"/>
          <w:szCs w:val="24"/>
        </w:rPr>
        <w:t xml:space="preserve">. </w:t>
      </w:r>
    </w:p>
    <w:p w14:paraId="26DB2A7A" w14:textId="6DB1F303" w:rsidR="00CD3AE5" w:rsidRDefault="00F612EF" w:rsidP="003C6BB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Ponadto, </w:t>
      </w:r>
      <w:r w:rsidR="000E3B53" w:rsidRPr="00794D2D">
        <w:rPr>
          <w:rFonts w:ascii="Times New Roman" w:hAnsi="Times New Roman" w:cs="Times New Roman"/>
          <w:sz w:val="24"/>
          <w:szCs w:val="24"/>
        </w:rPr>
        <w:t>pomoc finansowa</w:t>
      </w:r>
      <w:r>
        <w:rPr>
          <w:rFonts w:ascii="Times New Roman" w:hAnsi="Times New Roman" w:cs="Times New Roman"/>
          <w:sz w:val="24"/>
          <w:szCs w:val="24"/>
        </w:rPr>
        <w:t xml:space="preserve"> </w:t>
      </w:r>
      <w:r w:rsidRPr="00F612EF">
        <w:rPr>
          <w:rFonts w:ascii="Times New Roman" w:hAnsi="Times New Roman" w:cs="Times New Roman"/>
          <w:sz w:val="24"/>
          <w:szCs w:val="24"/>
        </w:rPr>
        <w:t>udzielana z funduszu pomocowego</w:t>
      </w:r>
      <w:r w:rsidR="000E3B53" w:rsidRPr="00794D2D">
        <w:rPr>
          <w:rFonts w:ascii="Times New Roman" w:hAnsi="Times New Roman" w:cs="Times New Roman"/>
          <w:sz w:val="24"/>
          <w:szCs w:val="24"/>
        </w:rPr>
        <w:t>, o któr</w:t>
      </w:r>
      <w:r>
        <w:rPr>
          <w:rFonts w:ascii="Times New Roman" w:hAnsi="Times New Roman" w:cs="Times New Roman"/>
          <w:sz w:val="24"/>
          <w:szCs w:val="24"/>
        </w:rPr>
        <w:t>ym</w:t>
      </w:r>
      <w:r w:rsidR="000E3B53" w:rsidRPr="00794D2D">
        <w:rPr>
          <w:rFonts w:ascii="Times New Roman" w:hAnsi="Times New Roman" w:cs="Times New Roman"/>
          <w:sz w:val="24"/>
          <w:szCs w:val="24"/>
        </w:rPr>
        <w:t xml:space="preserve"> mowa w art. 22g ust.</w:t>
      </w:r>
      <w:r w:rsidR="00187E0A">
        <w:rPr>
          <w:rFonts w:ascii="Times New Roman" w:hAnsi="Times New Roman" w:cs="Times New Roman"/>
          <w:sz w:val="24"/>
          <w:szCs w:val="24"/>
        </w:rPr>
        <w:t> </w:t>
      </w:r>
      <w:r w:rsidR="000E3B53" w:rsidRPr="00794D2D">
        <w:rPr>
          <w:rFonts w:ascii="Times New Roman" w:hAnsi="Times New Roman" w:cs="Times New Roman"/>
          <w:sz w:val="24"/>
          <w:szCs w:val="24"/>
        </w:rPr>
        <w:t xml:space="preserve">1 ustawy, może polegać również na nabyciu </w:t>
      </w:r>
      <w:r w:rsidRPr="00F612EF">
        <w:rPr>
          <w:rFonts w:ascii="Times New Roman" w:hAnsi="Times New Roman" w:cs="Times New Roman"/>
          <w:sz w:val="24"/>
          <w:szCs w:val="24"/>
        </w:rPr>
        <w:t>przez bank zrzeszający zarządzający systemem ochrony albo jednostk</w:t>
      </w:r>
      <w:r w:rsidR="00B474AA">
        <w:rPr>
          <w:rFonts w:ascii="Times New Roman" w:hAnsi="Times New Roman" w:cs="Times New Roman"/>
          <w:sz w:val="24"/>
          <w:szCs w:val="24"/>
        </w:rPr>
        <w:t>ę</w:t>
      </w:r>
      <w:r w:rsidRPr="00F612EF">
        <w:rPr>
          <w:rFonts w:ascii="Times New Roman" w:hAnsi="Times New Roman" w:cs="Times New Roman"/>
          <w:sz w:val="24"/>
          <w:szCs w:val="24"/>
        </w:rPr>
        <w:t xml:space="preserve"> zarządzającą </w:t>
      </w:r>
      <w:r w:rsidR="000E3B53" w:rsidRPr="00794D2D">
        <w:rPr>
          <w:rFonts w:ascii="Times New Roman" w:hAnsi="Times New Roman" w:cs="Times New Roman"/>
          <w:sz w:val="24"/>
          <w:szCs w:val="24"/>
        </w:rPr>
        <w:t>wierzytelności uczestnika systemu</w:t>
      </w:r>
      <w:r w:rsidR="000E3B53" w:rsidRPr="00346F05">
        <w:rPr>
          <w:rFonts w:ascii="Times New Roman" w:hAnsi="Times New Roman" w:cs="Times New Roman"/>
          <w:sz w:val="24"/>
          <w:szCs w:val="24"/>
        </w:rPr>
        <w:t xml:space="preserve"> ochrony. </w:t>
      </w:r>
      <w:r w:rsidR="003D5F91">
        <w:rPr>
          <w:rFonts w:ascii="Times New Roman" w:hAnsi="Times New Roman" w:cs="Times New Roman"/>
          <w:sz w:val="24"/>
          <w:szCs w:val="24"/>
        </w:rPr>
        <w:t>Rozwiązanie to jest</w:t>
      </w:r>
      <w:r w:rsidR="003D5F91" w:rsidRPr="00794D2D">
        <w:rPr>
          <w:rFonts w:ascii="Times New Roman" w:hAnsi="Times New Roman" w:cs="Times New Roman"/>
          <w:sz w:val="24"/>
          <w:szCs w:val="24"/>
        </w:rPr>
        <w:t xml:space="preserve"> analogiczn</w:t>
      </w:r>
      <w:r w:rsidR="003D5F91">
        <w:rPr>
          <w:rFonts w:ascii="Times New Roman" w:hAnsi="Times New Roman" w:cs="Times New Roman"/>
          <w:sz w:val="24"/>
          <w:szCs w:val="24"/>
        </w:rPr>
        <w:t>e</w:t>
      </w:r>
      <w:r w:rsidR="003D5F91" w:rsidRPr="00794D2D">
        <w:rPr>
          <w:rFonts w:ascii="Times New Roman" w:hAnsi="Times New Roman" w:cs="Times New Roman"/>
          <w:sz w:val="24"/>
          <w:szCs w:val="24"/>
        </w:rPr>
        <w:t xml:space="preserve"> do regulacji zawartych w ustawie z dnia 27 maja 2004 r. o funduszach inwestycyjnych i zarządzaniu alternatywnymi funduszami inwestycyjnymi (Dz. U. z 2024 r. poz. 1034, z późn. zm.)</w:t>
      </w:r>
      <w:r w:rsidR="00963848">
        <w:rPr>
          <w:rFonts w:ascii="Times New Roman" w:hAnsi="Times New Roman" w:cs="Times New Roman"/>
          <w:sz w:val="24"/>
          <w:szCs w:val="24"/>
        </w:rPr>
        <w:t>, dalej „ustawa o funduszach inwestycyjnych”</w:t>
      </w:r>
      <w:r w:rsidR="003D5F91">
        <w:rPr>
          <w:rFonts w:ascii="Times New Roman" w:hAnsi="Times New Roman" w:cs="Times New Roman"/>
          <w:sz w:val="24"/>
          <w:szCs w:val="24"/>
        </w:rPr>
        <w:t>.</w:t>
      </w:r>
      <w:r w:rsidR="00B474AA">
        <w:rPr>
          <w:rFonts w:ascii="Times New Roman" w:hAnsi="Times New Roman" w:cs="Times New Roman"/>
          <w:sz w:val="24"/>
          <w:szCs w:val="24"/>
        </w:rPr>
        <w:t xml:space="preserve"> Co istotne, taka pomoc finansowa </w:t>
      </w:r>
      <w:r w:rsidR="00B474AA" w:rsidRPr="00B474AA">
        <w:rPr>
          <w:rFonts w:ascii="Times New Roman" w:hAnsi="Times New Roman" w:cs="Times New Roman"/>
          <w:sz w:val="24"/>
          <w:szCs w:val="24"/>
        </w:rPr>
        <w:t>może być udzielona wyłącznie w</w:t>
      </w:r>
      <w:r w:rsidR="00187E0A">
        <w:rPr>
          <w:rFonts w:ascii="Times New Roman" w:hAnsi="Times New Roman" w:cs="Times New Roman"/>
          <w:sz w:val="24"/>
          <w:szCs w:val="24"/>
        </w:rPr>
        <w:t> </w:t>
      </w:r>
      <w:r w:rsidR="00B474AA" w:rsidRPr="00B474AA">
        <w:rPr>
          <w:rFonts w:ascii="Times New Roman" w:hAnsi="Times New Roman" w:cs="Times New Roman"/>
          <w:sz w:val="24"/>
          <w:szCs w:val="24"/>
        </w:rPr>
        <w:t>ramach procesu połączenia banków będących uczestnikami systemu ochrony, a przedmiotem nabycia mogą być tylko wierzytelności banku przejmowanego</w:t>
      </w:r>
      <w:r w:rsidR="00B474AA">
        <w:rPr>
          <w:rFonts w:ascii="Times New Roman" w:hAnsi="Times New Roman" w:cs="Times New Roman"/>
          <w:sz w:val="24"/>
          <w:szCs w:val="24"/>
        </w:rPr>
        <w:t>.</w:t>
      </w:r>
    </w:p>
    <w:p w14:paraId="189B11F9" w14:textId="10058E6F" w:rsidR="003D5F91" w:rsidRDefault="00CD3AE5" w:rsidP="003C6BB6">
      <w:pPr>
        <w:spacing w:after="120" w:line="360" w:lineRule="auto"/>
        <w:jc w:val="both"/>
      </w:pPr>
      <w:r>
        <w:rPr>
          <w:rFonts w:ascii="Times New Roman" w:hAnsi="Times New Roman" w:cs="Times New Roman"/>
          <w:sz w:val="24"/>
          <w:szCs w:val="24"/>
        </w:rPr>
        <w:t>Określono także, że p</w:t>
      </w:r>
      <w:r w:rsidR="000E3B53" w:rsidRPr="00346F05">
        <w:rPr>
          <w:rFonts w:ascii="Times New Roman" w:hAnsi="Times New Roman" w:cs="Times New Roman"/>
          <w:sz w:val="24"/>
          <w:szCs w:val="24"/>
        </w:rPr>
        <w:t>omoc finansowa</w:t>
      </w:r>
      <w:r w:rsidR="003D5F91">
        <w:rPr>
          <w:rFonts w:ascii="Times New Roman" w:hAnsi="Times New Roman" w:cs="Times New Roman"/>
          <w:sz w:val="24"/>
          <w:szCs w:val="24"/>
        </w:rPr>
        <w:t>, zarówno</w:t>
      </w:r>
      <w:r w:rsidR="000E3B53" w:rsidRPr="00346F05">
        <w:rPr>
          <w:rFonts w:ascii="Times New Roman" w:hAnsi="Times New Roman" w:cs="Times New Roman"/>
          <w:sz w:val="24"/>
          <w:szCs w:val="24"/>
        </w:rPr>
        <w:t xml:space="preserve"> </w:t>
      </w:r>
      <w:r w:rsidR="0006253B">
        <w:rPr>
          <w:rFonts w:ascii="Times New Roman" w:hAnsi="Times New Roman" w:cs="Times New Roman"/>
          <w:sz w:val="24"/>
          <w:szCs w:val="24"/>
        </w:rPr>
        <w:t>na podstawie</w:t>
      </w:r>
      <w:r w:rsidR="003D5F91">
        <w:rPr>
          <w:rFonts w:ascii="Times New Roman" w:hAnsi="Times New Roman" w:cs="Times New Roman"/>
          <w:sz w:val="24"/>
          <w:szCs w:val="24"/>
        </w:rPr>
        <w:t xml:space="preserve"> umow</w:t>
      </w:r>
      <w:r w:rsidR="0006253B">
        <w:rPr>
          <w:rFonts w:ascii="Times New Roman" w:hAnsi="Times New Roman" w:cs="Times New Roman"/>
          <w:sz w:val="24"/>
          <w:szCs w:val="24"/>
        </w:rPr>
        <w:t>y</w:t>
      </w:r>
      <w:r w:rsidR="00794D2D">
        <w:rPr>
          <w:rFonts w:ascii="Times New Roman" w:hAnsi="Times New Roman" w:cs="Times New Roman"/>
          <w:sz w:val="24"/>
          <w:szCs w:val="24"/>
        </w:rPr>
        <w:t xml:space="preserve"> </w:t>
      </w:r>
      <w:r w:rsidR="003D5F91" w:rsidRPr="003D5F91">
        <w:rPr>
          <w:rFonts w:ascii="Times New Roman" w:hAnsi="Times New Roman" w:cs="Times New Roman"/>
          <w:sz w:val="24"/>
          <w:szCs w:val="24"/>
        </w:rPr>
        <w:t xml:space="preserve">nabycia wierzytelności </w:t>
      </w:r>
      <w:r w:rsidR="003D5F91">
        <w:rPr>
          <w:rFonts w:ascii="Times New Roman" w:hAnsi="Times New Roman" w:cs="Times New Roman"/>
          <w:sz w:val="24"/>
          <w:szCs w:val="24"/>
        </w:rPr>
        <w:t>jak i</w:t>
      </w:r>
      <w:r w:rsidR="003D5F91" w:rsidRPr="003D5F91">
        <w:rPr>
          <w:rFonts w:ascii="Times New Roman" w:hAnsi="Times New Roman" w:cs="Times New Roman"/>
          <w:sz w:val="24"/>
          <w:szCs w:val="24"/>
        </w:rPr>
        <w:t xml:space="preserve"> umow</w:t>
      </w:r>
      <w:r w:rsidR="0006253B">
        <w:rPr>
          <w:rFonts w:ascii="Times New Roman" w:hAnsi="Times New Roman" w:cs="Times New Roman"/>
          <w:sz w:val="24"/>
          <w:szCs w:val="24"/>
        </w:rPr>
        <w:t>y</w:t>
      </w:r>
      <w:r w:rsidR="003D5F91" w:rsidRPr="003D5F91">
        <w:rPr>
          <w:rFonts w:ascii="Times New Roman" w:hAnsi="Times New Roman" w:cs="Times New Roman"/>
          <w:sz w:val="24"/>
          <w:szCs w:val="24"/>
        </w:rPr>
        <w:t xml:space="preserve"> o </w:t>
      </w:r>
      <w:proofErr w:type="spellStart"/>
      <w:r w:rsidR="003D5F91" w:rsidRPr="003D5F91">
        <w:rPr>
          <w:rFonts w:ascii="Times New Roman" w:hAnsi="Times New Roman" w:cs="Times New Roman"/>
          <w:sz w:val="24"/>
          <w:szCs w:val="24"/>
        </w:rPr>
        <w:t>subpartycypację</w:t>
      </w:r>
      <w:proofErr w:type="spellEnd"/>
      <w:r w:rsidR="003D5F91">
        <w:rPr>
          <w:rFonts w:ascii="Times New Roman" w:hAnsi="Times New Roman" w:cs="Times New Roman"/>
          <w:sz w:val="24"/>
          <w:szCs w:val="24"/>
        </w:rPr>
        <w:t>,</w:t>
      </w:r>
      <w:r w:rsidR="003D5F91" w:rsidRPr="003D5F91">
        <w:rPr>
          <w:rFonts w:ascii="Times New Roman" w:hAnsi="Times New Roman" w:cs="Times New Roman"/>
          <w:sz w:val="24"/>
          <w:szCs w:val="24"/>
        </w:rPr>
        <w:t xml:space="preserve"> </w:t>
      </w:r>
      <w:r w:rsidR="00794D2D">
        <w:rPr>
          <w:rFonts w:ascii="Times New Roman" w:hAnsi="Times New Roman" w:cs="Times New Roman"/>
          <w:sz w:val="24"/>
          <w:szCs w:val="24"/>
        </w:rPr>
        <w:t>będzie udzielana z funduszu pomocowego</w:t>
      </w:r>
      <w:r w:rsidR="000E3B53" w:rsidRPr="00346F05">
        <w:rPr>
          <w:rFonts w:ascii="Times New Roman" w:hAnsi="Times New Roman" w:cs="Times New Roman"/>
          <w:sz w:val="24"/>
          <w:szCs w:val="24"/>
        </w:rPr>
        <w:t xml:space="preserve"> w wysokości wartości nominalnej wierzytelności, w tym powyżej ich wartości rynkowej, pod warunkiem uzyskania zgody walnego zgromadzenia uczestników systemu ochrony. Ponadto </w:t>
      </w:r>
      <w:r>
        <w:rPr>
          <w:rFonts w:ascii="Times New Roman" w:hAnsi="Times New Roman" w:cs="Times New Roman"/>
          <w:sz w:val="24"/>
          <w:szCs w:val="24"/>
        </w:rPr>
        <w:t xml:space="preserve">w przypadku </w:t>
      </w:r>
      <w:r w:rsidR="000E3B53" w:rsidRPr="00346F05">
        <w:rPr>
          <w:rFonts w:ascii="Times New Roman" w:hAnsi="Times New Roman" w:cs="Times New Roman"/>
          <w:sz w:val="24"/>
          <w:szCs w:val="24"/>
        </w:rPr>
        <w:t>umow</w:t>
      </w:r>
      <w:r>
        <w:rPr>
          <w:rFonts w:ascii="Times New Roman" w:hAnsi="Times New Roman" w:cs="Times New Roman"/>
          <w:sz w:val="24"/>
          <w:szCs w:val="24"/>
        </w:rPr>
        <w:t>y</w:t>
      </w:r>
      <w:r w:rsidR="000E3B53" w:rsidRPr="00346F05">
        <w:rPr>
          <w:rFonts w:ascii="Times New Roman" w:hAnsi="Times New Roman" w:cs="Times New Roman"/>
          <w:sz w:val="24"/>
          <w:szCs w:val="24"/>
        </w:rPr>
        <w:t xml:space="preserve"> o </w:t>
      </w:r>
      <w:proofErr w:type="spellStart"/>
      <w:r w:rsidR="000E3B53" w:rsidRPr="00346F05">
        <w:rPr>
          <w:rFonts w:ascii="Times New Roman" w:hAnsi="Times New Roman" w:cs="Times New Roman"/>
          <w:sz w:val="24"/>
          <w:szCs w:val="24"/>
        </w:rPr>
        <w:t>subpartycypację</w:t>
      </w:r>
      <w:proofErr w:type="spellEnd"/>
      <w:r w:rsidR="000E3B53" w:rsidRPr="00346F05">
        <w:rPr>
          <w:rFonts w:ascii="Times New Roman" w:hAnsi="Times New Roman" w:cs="Times New Roman"/>
          <w:sz w:val="24"/>
          <w:szCs w:val="24"/>
        </w:rPr>
        <w:t xml:space="preserve"> może być zawarta wyłącznie w ramach procesu połączenia banków będących uczestnikami systemu ochrony i do wysokości ekspozycji kredytowych według wartości bilansowej brutto banku przejmowanego, które zgodnie z przepisami określającymi zasady tworzenia rezerw na ryzyko związane z działalnością banków zostały zaklasyfikowane do kategorii „poniżej standardu”, „wątpliwe” i „stracone”.</w:t>
      </w:r>
    </w:p>
    <w:p w14:paraId="7F754671" w14:textId="3A172EFC" w:rsidR="000E3B53" w:rsidRDefault="00794D2D" w:rsidP="003C6BB6">
      <w:pPr>
        <w:spacing w:after="120" w:line="360" w:lineRule="auto"/>
        <w:jc w:val="both"/>
        <w:rPr>
          <w:rFonts w:ascii="Times New Roman" w:hAnsi="Times New Roman" w:cs="Times New Roman"/>
          <w:sz w:val="24"/>
          <w:szCs w:val="24"/>
        </w:rPr>
      </w:pPr>
      <w:r w:rsidRPr="00794D2D">
        <w:rPr>
          <w:rFonts w:ascii="Times New Roman" w:hAnsi="Times New Roman" w:cs="Times New Roman"/>
          <w:sz w:val="24"/>
          <w:szCs w:val="24"/>
        </w:rPr>
        <w:t>Wprowadzenie art. 22ga zwiększa elastyczność mechanizmów wsparcia w systemie ochrony</w:t>
      </w:r>
      <w:r>
        <w:rPr>
          <w:rFonts w:ascii="Times New Roman" w:hAnsi="Times New Roman" w:cs="Times New Roman"/>
          <w:sz w:val="24"/>
          <w:szCs w:val="24"/>
        </w:rPr>
        <w:t xml:space="preserve">. </w:t>
      </w:r>
      <w:r w:rsidRPr="00794D2D">
        <w:rPr>
          <w:rFonts w:ascii="Times New Roman" w:hAnsi="Times New Roman" w:cs="Times New Roman"/>
          <w:sz w:val="24"/>
          <w:szCs w:val="24"/>
        </w:rPr>
        <w:t xml:space="preserve">Rozwiązanie to </w:t>
      </w:r>
      <w:r>
        <w:rPr>
          <w:rFonts w:ascii="Times New Roman" w:hAnsi="Times New Roman" w:cs="Times New Roman"/>
          <w:sz w:val="24"/>
          <w:szCs w:val="24"/>
        </w:rPr>
        <w:t xml:space="preserve">wpłynie pozytywnie na sytuację </w:t>
      </w:r>
      <w:r w:rsidR="007229B8">
        <w:rPr>
          <w:rFonts w:ascii="Times New Roman" w:hAnsi="Times New Roman" w:cs="Times New Roman"/>
          <w:sz w:val="24"/>
          <w:szCs w:val="24"/>
        </w:rPr>
        <w:t>banków spółdzielczych</w:t>
      </w:r>
      <w:r w:rsidRPr="00794D2D">
        <w:rPr>
          <w:rFonts w:ascii="Times New Roman" w:hAnsi="Times New Roman" w:cs="Times New Roman"/>
          <w:sz w:val="24"/>
          <w:szCs w:val="24"/>
        </w:rPr>
        <w:t>, szczególnie w</w:t>
      </w:r>
      <w:r w:rsidR="00187E0A">
        <w:rPr>
          <w:rFonts w:ascii="Times New Roman" w:hAnsi="Times New Roman" w:cs="Times New Roman"/>
          <w:sz w:val="24"/>
          <w:szCs w:val="24"/>
        </w:rPr>
        <w:t> </w:t>
      </w:r>
      <w:r w:rsidRPr="00794D2D">
        <w:rPr>
          <w:rFonts w:ascii="Times New Roman" w:hAnsi="Times New Roman" w:cs="Times New Roman"/>
          <w:sz w:val="24"/>
          <w:szCs w:val="24"/>
        </w:rPr>
        <w:t>procesach łączenia</w:t>
      </w:r>
      <w:r w:rsidR="007229B8">
        <w:rPr>
          <w:rFonts w:ascii="Times New Roman" w:hAnsi="Times New Roman" w:cs="Times New Roman"/>
          <w:sz w:val="24"/>
          <w:szCs w:val="24"/>
        </w:rPr>
        <w:t>. Przyczyni się do zwiększenia stabilności całego sektora.</w:t>
      </w:r>
    </w:p>
    <w:p w14:paraId="71E64256" w14:textId="77777777" w:rsidR="00963848" w:rsidRPr="00586D69" w:rsidRDefault="00963848" w:rsidP="003C6BB6">
      <w:pPr>
        <w:spacing w:after="120" w:line="360" w:lineRule="auto"/>
        <w:jc w:val="both"/>
        <w:rPr>
          <w:rFonts w:ascii="Times New Roman" w:hAnsi="Times New Roman" w:cs="Times New Roman"/>
          <w:sz w:val="24"/>
          <w:szCs w:val="24"/>
        </w:rPr>
      </w:pPr>
      <w:r w:rsidRPr="00586D69">
        <w:rPr>
          <w:rFonts w:ascii="Times New Roman" w:hAnsi="Times New Roman" w:cs="Times New Roman"/>
          <w:sz w:val="24"/>
          <w:szCs w:val="24"/>
        </w:rPr>
        <w:lastRenderedPageBreak/>
        <w:t xml:space="preserve">Doświadczenia związane z funkcjonowaniem systemów ochrony instytucjonalnej przemawiają za stworzeniem szczegółowych przepisów regulujących funkcjonowanie funduszu pomocowego zarządzanego przez jednostkę zarządzającą systemem ochrony. Nadanie funduszowi uprawnienia do zawierania transakcji subpartycypacji, które obecnie zastrzeżone są dla funduszy sekurytyzacyjnych, służy wzmocnieniu narzędzia pomocowego, stosowanego przez </w:t>
      </w:r>
      <w:r>
        <w:rPr>
          <w:rFonts w:ascii="Times New Roman" w:hAnsi="Times New Roman" w:cs="Times New Roman"/>
          <w:sz w:val="24"/>
          <w:szCs w:val="24"/>
        </w:rPr>
        <w:t>system ochrony</w:t>
      </w:r>
      <w:r w:rsidRPr="00586D69">
        <w:rPr>
          <w:rFonts w:ascii="Times New Roman" w:hAnsi="Times New Roman" w:cs="Times New Roman"/>
          <w:sz w:val="24"/>
          <w:szCs w:val="24"/>
        </w:rPr>
        <w:t>, jakim jest wykup wierzytelności.</w:t>
      </w:r>
    </w:p>
    <w:p w14:paraId="298BC3AC" w14:textId="77777777" w:rsidR="00963848" w:rsidRPr="00586D69" w:rsidRDefault="00963848" w:rsidP="003C6BB6">
      <w:pPr>
        <w:spacing w:after="120" w:line="360" w:lineRule="auto"/>
        <w:jc w:val="both"/>
        <w:rPr>
          <w:rFonts w:ascii="Times New Roman" w:hAnsi="Times New Roman" w:cs="Times New Roman"/>
          <w:sz w:val="24"/>
          <w:szCs w:val="24"/>
        </w:rPr>
      </w:pPr>
      <w:r w:rsidRPr="00586D69">
        <w:rPr>
          <w:rFonts w:ascii="Times New Roman" w:hAnsi="Times New Roman" w:cs="Times New Roman"/>
          <w:sz w:val="24"/>
          <w:szCs w:val="24"/>
        </w:rPr>
        <w:t xml:space="preserve">Biorąc pod uwagę, że w założeniu chodzi o stworzenie dla uczestników systemu ochrony mechanizmu pomocowego polegającego na subpartycypacji, gdzie nabywcą miałby być podmiot, o jakim mowa w ustawie </w:t>
      </w:r>
      <w:r>
        <w:rPr>
          <w:rFonts w:ascii="Times New Roman" w:hAnsi="Times New Roman" w:cs="Times New Roman"/>
          <w:sz w:val="24"/>
          <w:szCs w:val="24"/>
        </w:rPr>
        <w:t xml:space="preserve">o </w:t>
      </w:r>
      <w:r w:rsidRPr="003D5F91">
        <w:rPr>
          <w:rFonts w:ascii="Times New Roman" w:hAnsi="Times New Roman" w:cs="Times New Roman"/>
          <w:sz w:val="24"/>
          <w:szCs w:val="24"/>
        </w:rPr>
        <w:t>funkcjonowaniu banków spółdzielczych</w:t>
      </w:r>
      <w:r>
        <w:rPr>
          <w:rFonts w:ascii="Times New Roman" w:hAnsi="Times New Roman" w:cs="Times New Roman"/>
          <w:sz w:val="24"/>
          <w:szCs w:val="24"/>
        </w:rPr>
        <w:t>,</w:t>
      </w:r>
      <w:r w:rsidRPr="00586D69">
        <w:rPr>
          <w:rFonts w:ascii="Times New Roman" w:hAnsi="Times New Roman" w:cs="Times New Roman"/>
          <w:sz w:val="24"/>
          <w:szCs w:val="24"/>
        </w:rPr>
        <w:t xml:space="preserve"> zasadne jest uregulowanie tej instytucji wprost w tej ustawie sektorowej, przy czym nawiązywałaby ona do mechanizmu znanego z ustawy o funduszach inwestycyjnych (art. 183 ust. 4). W związku z faktem, że </w:t>
      </w:r>
      <w:r>
        <w:rPr>
          <w:rFonts w:ascii="Times New Roman" w:hAnsi="Times New Roman" w:cs="Times New Roman"/>
          <w:sz w:val="24"/>
          <w:szCs w:val="24"/>
        </w:rPr>
        <w:t xml:space="preserve">ustawa </w:t>
      </w:r>
      <w:r w:rsidRPr="00586D69">
        <w:rPr>
          <w:rFonts w:ascii="Times New Roman" w:hAnsi="Times New Roman" w:cs="Times New Roman"/>
          <w:sz w:val="24"/>
          <w:szCs w:val="24"/>
        </w:rPr>
        <w:t>o funduszach inwestycyjnych jest ustawą</w:t>
      </w:r>
      <w:r>
        <w:rPr>
          <w:rFonts w:ascii="Times New Roman" w:hAnsi="Times New Roman" w:cs="Times New Roman"/>
          <w:sz w:val="24"/>
          <w:szCs w:val="24"/>
        </w:rPr>
        <w:t xml:space="preserve"> </w:t>
      </w:r>
      <w:r w:rsidRPr="00586D69">
        <w:rPr>
          <w:rFonts w:ascii="Times New Roman" w:hAnsi="Times New Roman" w:cs="Times New Roman"/>
          <w:sz w:val="24"/>
          <w:szCs w:val="24"/>
        </w:rPr>
        <w:t>desygnowaną i regulującą działalność funduszy, odesłanie do tej ustawy w celu scharakteryzowania mechanizmu subpartycypacji mogłoby budzić wątpliwości. W związku z tym proponowana treść art. 22ga</w:t>
      </w:r>
      <w:r>
        <w:rPr>
          <w:rFonts w:ascii="Times New Roman" w:hAnsi="Times New Roman" w:cs="Times New Roman"/>
          <w:sz w:val="24"/>
          <w:szCs w:val="24"/>
        </w:rPr>
        <w:t xml:space="preserve"> </w:t>
      </w:r>
      <w:r w:rsidRPr="00586D69">
        <w:rPr>
          <w:rFonts w:ascii="Times New Roman" w:hAnsi="Times New Roman" w:cs="Times New Roman"/>
          <w:sz w:val="24"/>
          <w:szCs w:val="24"/>
        </w:rPr>
        <w:t xml:space="preserve">stanowi autonomiczne uregulowanie istoty subpartycypacji, aczkolwiek ściśle naśladujące uregulowania </w:t>
      </w:r>
      <w:r>
        <w:rPr>
          <w:rFonts w:ascii="Times New Roman" w:hAnsi="Times New Roman" w:cs="Times New Roman"/>
          <w:sz w:val="24"/>
          <w:szCs w:val="24"/>
        </w:rPr>
        <w:t xml:space="preserve">ustawy </w:t>
      </w:r>
      <w:r w:rsidRPr="00586D69">
        <w:rPr>
          <w:rFonts w:ascii="Times New Roman" w:hAnsi="Times New Roman" w:cs="Times New Roman"/>
          <w:sz w:val="24"/>
          <w:szCs w:val="24"/>
        </w:rPr>
        <w:t>o funduszach inwestycyjnych, wykorzystywanej w sektorze bankowości spółdzielczej, jako narzędzie pomocowe.</w:t>
      </w:r>
    </w:p>
    <w:p w14:paraId="3FF668BF" w14:textId="6C4EBD83" w:rsidR="00963848" w:rsidRPr="003D5F91" w:rsidRDefault="00963848" w:rsidP="003C6BB6">
      <w:pPr>
        <w:spacing w:after="120" w:line="360" w:lineRule="auto"/>
        <w:jc w:val="both"/>
        <w:rPr>
          <w:rFonts w:ascii="Times New Roman" w:hAnsi="Times New Roman" w:cs="Times New Roman"/>
          <w:sz w:val="24"/>
          <w:szCs w:val="24"/>
        </w:rPr>
      </w:pPr>
      <w:r w:rsidRPr="00586D69">
        <w:rPr>
          <w:rFonts w:ascii="Times New Roman" w:hAnsi="Times New Roman" w:cs="Times New Roman"/>
          <w:sz w:val="24"/>
          <w:szCs w:val="24"/>
        </w:rPr>
        <w:t xml:space="preserve">Należy również zauważyć, że wprowadzenie subpartycypacji do ustawy o funkcjonowaniu banków spółdzielczych nie wyklucza swobody banków spółdzielczych do zawierania umów subpartycypacji w reżimie </w:t>
      </w:r>
      <w:r w:rsidR="00F31FDB">
        <w:rPr>
          <w:rFonts w:ascii="Times New Roman" w:hAnsi="Times New Roman" w:cs="Times New Roman"/>
          <w:sz w:val="24"/>
          <w:szCs w:val="24"/>
        </w:rPr>
        <w:t>ustawy o funduszach inwestycyjnych</w:t>
      </w:r>
      <w:r w:rsidRPr="00586D69">
        <w:rPr>
          <w:rFonts w:ascii="Times New Roman" w:hAnsi="Times New Roman" w:cs="Times New Roman"/>
          <w:sz w:val="24"/>
          <w:szCs w:val="24"/>
        </w:rPr>
        <w:t xml:space="preserve">. Oba reżimy prawne powinny funkcjonować równolegle do wykorzystania w sektorze bankowości spółdzielczej, w zależności od celu działań </w:t>
      </w:r>
      <w:proofErr w:type="spellStart"/>
      <w:r w:rsidRPr="00586D69">
        <w:rPr>
          <w:rFonts w:ascii="Times New Roman" w:hAnsi="Times New Roman" w:cs="Times New Roman"/>
          <w:sz w:val="24"/>
          <w:szCs w:val="24"/>
        </w:rPr>
        <w:t>subpartycypacyjnych</w:t>
      </w:r>
      <w:proofErr w:type="spellEnd"/>
      <w:r w:rsidRPr="00586D69">
        <w:rPr>
          <w:rFonts w:ascii="Times New Roman" w:hAnsi="Times New Roman" w:cs="Times New Roman"/>
          <w:sz w:val="24"/>
          <w:szCs w:val="24"/>
        </w:rPr>
        <w:t xml:space="preserve"> (szczególny reżim przy celu pomocowym), rodzaju nabywanych wierzytelności oraz podmiotów dokonujących transakcji.</w:t>
      </w:r>
    </w:p>
    <w:p w14:paraId="481B5965" w14:textId="71B7B137" w:rsidR="000E3B53" w:rsidRPr="00346F05"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 xml:space="preserve">Zmiana w </w:t>
      </w:r>
      <w:r w:rsidRPr="00346F05">
        <w:rPr>
          <w:rFonts w:ascii="Times New Roman" w:hAnsi="Times New Roman" w:cs="Times New Roman"/>
          <w:b/>
          <w:bCs/>
          <w:sz w:val="24"/>
          <w:szCs w:val="24"/>
        </w:rPr>
        <w:t>art. 22j ust. 3</w:t>
      </w:r>
      <w:r w:rsidRPr="00346F05">
        <w:rPr>
          <w:rFonts w:ascii="Times New Roman" w:hAnsi="Times New Roman" w:cs="Times New Roman"/>
          <w:sz w:val="24"/>
          <w:szCs w:val="24"/>
        </w:rPr>
        <w:t xml:space="preserve"> ma na celu doprecyzowanie przepisów w zakresie dotyczącym określenia przesłanek skorzystania z uprawnienia do wystąpienia z wnioskiem o odwołanie członka zarządu lub rady nadzorczej oraz o zaskarżenie do sądu uchwały walnego zgromadzenia lub zebrania przedstawicieli. Aktualnie obowiązujące brzmienie przepisu art. 22j ust. 3 w zakresie określenia ww. przesłanki utrudnia możliwość zastosowania sankcji, generując jednocześnie ryzyko sporów</w:t>
      </w:r>
      <w:r w:rsidR="007229B8" w:rsidRPr="007229B8">
        <w:rPr>
          <w:rFonts w:ascii="Times New Roman" w:hAnsi="Times New Roman" w:cs="Times New Roman"/>
          <w:sz w:val="24"/>
          <w:szCs w:val="24"/>
        </w:rPr>
        <w:t xml:space="preserve">. Nowe regulacje doprecyzowują </w:t>
      </w:r>
      <w:r w:rsidR="000E5090">
        <w:rPr>
          <w:rFonts w:ascii="Times New Roman" w:hAnsi="Times New Roman" w:cs="Times New Roman"/>
          <w:sz w:val="24"/>
          <w:szCs w:val="24"/>
        </w:rPr>
        <w:t>przesłanki dotyczące wystąpienia ze wskazanymi powyżej wnioskami</w:t>
      </w:r>
      <w:r w:rsidR="007229B8" w:rsidRPr="007229B8">
        <w:rPr>
          <w:rFonts w:ascii="Times New Roman" w:hAnsi="Times New Roman" w:cs="Times New Roman"/>
          <w:sz w:val="24"/>
          <w:szCs w:val="24"/>
        </w:rPr>
        <w:t xml:space="preserve">, eliminując niejednoznaczności interpretacyjne. Dzięki temu </w:t>
      </w:r>
      <w:r w:rsidR="000E5090">
        <w:rPr>
          <w:rFonts w:ascii="Times New Roman" w:hAnsi="Times New Roman" w:cs="Times New Roman"/>
          <w:sz w:val="24"/>
          <w:szCs w:val="24"/>
        </w:rPr>
        <w:t>organ zarządzający systemem ochrony oraz uczestnicy systemu ochrony będą mieli</w:t>
      </w:r>
      <w:r w:rsidR="007229B8" w:rsidRPr="007229B8">
        <w:rPr>
          <w:rFonts w:ascii="Times New Roman" w:hAnsi="Times New Roman" w:cs="Times New Roman"/>
          <w:sz w:val="24"/>
          <w:szCs w:val="24"/>
        </w:rPr>
        <w:t xml:space="preserve"> jasność co do dopuszczalnych mechanizmów </w:t>
      </w:r>
      <w:r w:rsidR="000E5090">
        <w:rPr>
          <w:rFonts w:ascii="Times New Roman" w:hAnsi="Times New Roman" w:cs="Times New Roman"/>
          <w:sz w:val="24"/>
          <w:szCs w:val="24"/>
        </w:rPr>
        <w:t>występowania z ww. wnioskami.</w:t>
      </w:r>
    </w:p>
    <w:p w14:paraId="5C4152A7" w14:textId="2F168F9B" w:rsidR="000E3B53" w:rsidRPr="00346F05"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lastRenderedPageBreak/>
        <w:t xml:space="preserve">Uchylenie </w:t>
      </w:r>
      <w:r w:rsidRPr="00346F05">
        <w:rPr>
          <w:rFonts w:ascii="Times New Roman" w:hAnsi="Times New Roman" w:cs="Times New Roman"/>
          <w:b/>
          <w:bCs/>
          <w:sz w:val="24"/>
          <w:szCs w:val="24"/>
        </w:rPr>
        <w:t>rozdziału 3b „Zrzeszenie zintegrowane”</w:t>
      </w:r>
      <w:r w:rsidR="00C966DE">
        <w:rPr>
          <w:rFonts w:ascii="Times New Roman" w:hAnsi="Times New Roman" w:cs="Times New Roman"/>
          <w:b/>
          <w:bCs/>
          <w:sz w:val="24"/>
          <w:szCs w:val="24"/>
        </w:rPr>
        <w:t>.</w:t>
      </w:r>
      <w:r w:rsidRPr="00346F05">
        <w:rPr>
          <w:rFonts w:ascii="Times New Roman" w:hAnsi="Times New Roman" w:cs="Times New Roman"/>
          <w:b/>
          <w:bCs/>
          <w:sz w:val="24"/>
          <w:szCs w:val="24"/>
        </w:rPr>
        <w:t xml:space="preserve"> </w:t>
      </w:r>
      <w:r w:rsidR="00C966DE">
        <w:rPr>
          <w:rFonts w:ascii="Times New Roman" w:hAnsi="Times New Roman" w:cs="Times New Roman"/>
          <w:sz w:val="24"/>
          <w:szCs w:val="24"/>
        </w:rPr>
        <w:t>P</w:t>
      </w:r>
      <w:r w:rsidRPr="00346F05">
        <w:rPr>
          <w:rFonts w:ascii="Times New Roman" w:hAnsi="Times New Roman" w:cs="Times New Roman"/>
          <w:sz w:val="24"/>
          <w:szCs w:val="24"/>
        </w:rPr>
        <w:t xml:space="preserve">rzepisy te nie znajdowały zastosowania w praktyce. Do dnia dzisiejszego nie powstały żadne zrzeszenia tego rodzaju, a zdecydowana większość banków spółdzielczych jest członkami instytucjonalnych systemów ochrony lub funkcjonuje samodzielnie. W związku z powyższym utrzymywanie tych </w:t>
      </w:r>
      <w:r w:rsidR="00122F50">
        <w:rPr>
          <w:rFonts w:ascii="Times New Roman" w:hAnsi="Times New Roman" w:cs="Times New Roman"/>
          <w:sz w:val="24"/>
          <w:szCs w:val="24"/>
        </w:rPr>
        <w:t>prze</w:t>
      </w:r>
      <w:r w:rsidR="00122F50" w:rsidRPr="00346F05">
        <w:rPr>
          <w:rFonts w:ascii="Times New Roman" w:hAnsi="Times New Roman" w:cs="Times New Roman"/>
          <w:sz w:val="24"/>
          <w:szCs w:val="24"/>
        </w:rPr>
        <w:t xml:space="preserve">pisów </w:t>
      </w:r>
      <w:r w:rsidRPr="00346F05">
        <w:rPr>
          <w:rFonts w:ascii="Times New Roman" w:hAnsi="Times New Roman" w:cs="Times New Roman"/>
          <w:sz w:val="24"/>
          <w:szCs w:val="24"/>
        </w:rPr>
        <w:t>jest zbędne.</w:t>
      </w:r>
      <w:r w:rsidR="007229B8">
        <w:rPr>
          <w:rFonts w:ascii="Times New Roman" w:hAnsi="Times New Roman" w:cs="Times New Roman"/>
          <w:sz w:val="24"/>
          <w:szCs w:val="24"/>
        </w:rPr>
        <w:t xml:space="preserve"> Z uwagi na fakt, że żadne zrzeszenia zintegrowane nie </w:t>
      </w:r>
      <w:r w:rsidR="000A05A7">
        <w:rPr>
          <w:rFonts w:ascii="Times New Roman" w:hAnsi="Times New Roman" w:cs="Times New Roman"/>
          <w:sz w:val="24"/>
          <w:szCs w:val="24"/>
        </w:rPr>
        <w:t>funkcjonują</w:t>
      </w:r>
      <w:r w:rsidR="007229B8">
        <w:rPr>
          <w:rFonts w:ascii="Times New Roman" w:hAnsi="Times New Roman" w:cs="Times New Roman"/>
          <w:sz w:val="24"/>
          <w:szCs w:val="24"/>
        </w:rPr>
        <w:t>, nie ma koni</w:t>
      </w:r>
      <w:r w:rsidR="00B73C73">
        <w:rPr>
          <w:rFonts w:ascii="Times New Roman" w:hAnsi="Times New Roman" w:cs="Times New Roman"/>
          <w:sz w:val="24"/>
          <w:szCs w:val="24"/>
        </w:rPr>
        <w:t>e</w:t>
      </w:r>
      <w:r w:rsidR="007229B8">
        <w:rPr>
          <w:rFonts w:ascii="Times New Roman" w:hAnsi="Times New Roman" w:cs="Times New Roman"/>
          <w:sz w:val="24"/>
          <w:szCs w:val="24"/>
        </w:rPr>
        <w:t>czności tworzenia przepisów przejściowych.</w:t>
      </w:r>
    </w:p>
    <w:p w14:paraId="118ECD76" w14:textId="368CEE1B" w:rsidR="000E3B53" w:rsidRPr="00346F05" w:rsidRDefault="000E3B53" w:rsidP="003C6BB6">
      <w:pPr>
        <w:spacing w:after="120" w:line="360" w:lineRule="auto"/>
        <w:jc w:val="both"/>
        <w:rPr>
          <w:rFonts w:ascii="Times New Roman" w:hAnsi="Times New Roman" w:cs="Times New Roman"/>
          <w:sz w:val="24"/>
          <w:szCs w:val="24"/>
          <w:u w:val="single"/>
        </w:rPr>
      </w:pPr>
      <w:r w:rsidRPr="00655235">
        <w:rPr>
          <w:rFonts w:ascii="Times New Roman" w:hAnsi="Times New Roman" w:cs="Times New Roman"/>
          <w:b/>
          <w:bCs/>
          <w:sz w:val="24"/>
          <w:szCs w:val="24"/>
          <w:u w:val="single"/>
        </w:rPr>
        <w:t>Art. 2</w:t>
      </w:r>
      <w:r w:rsidRPr="00346F05">
        <w:rPr>
          <w:rFonts w:ascii="Times New Roman" w:hAnsi="Times New Roman" w:cs="Times New Roman"/>
          <w:sz w:val="24"/>
          <w:szCs w:val="24"/>
          <w:u w:val="single"/>
        </w:rPr>
        <w:t xml:space="preserve"> – zmiany w </w:t>
      </w:r>
      <w:bookmarkStart w:id="2" w:name="_Hlk190932987"/>
      <w:r w:rsidRPr="00346F05">
        <w:rPr>
          <w:rFonts w:ascii="Times New Roman" w:hAnsi="Times New Roman" w:cs="Times New Roman"/>
          <w:sz w:val="24"/>
          <w:szCs w:val="24"/>
          <w:u w:val="single"/>
        </w:rPr>
        <w:t>ustawie o podatku dochodowym od osób prawnych</w:t>
      </w:r>
      <w:bookmarkEnd w:id="2"/>
    </w:p>
    <w:p w14:paraId="5856A5B2" w14:textId="209AAF12" w:rsidR="004953E6" w:rsidRDefault="004953E6" w:rsidP="003C6BB6">
      <w:pPr>
        <w:autoSpaceDE w:val="0"/>
        <w:autoSpaceDN w:val="0"/>
        <w:adjustRightInd w:val="0"/>
        <w:spacing w:after="120" w:line="360" w:lineRule="auto"/>
        <w:jc w:val="both"/>
        <w:rPr>
          <w:rFonts w:ascii="Times New Roman" w:hAnsi="Times New Roman" w:cs="Times New Roman"/>
          <w:sz w:val="24"/>
          <w:szCs w:val="24"/>
        </w:rPr>
      </w:pPr>
      <w:r>
        <w:rPr>
          <w:rFonts w:ascii="Lato-Regular" w:hAnsi="Lato-Regular" w:cs="Lato-Regular"/>
        </w:rPr>
        <w:t>P</w:t>
      </w:r>
      <w:r w:rsidRPr="00201F0F">
        <w:rPr>
          <w:rFonts w:ascii="Times New Roman" w:hAnsi="Times New Roman" w:cs="Times New Roman"/>
          <w:sz w:val="24"/>
          <w:szCs w:val="24"/>
        </w:rPr>
        <w:t xml:space="preserve">roponowane zmiany w ustawie o podatku dochodowym od osób prawnych, tj. dodanie </w:t>
      </w:r>
      <w:r w:rsidRPr="004953E6">
        <w:rPr>
          <w:rFonts w:ascii="Times New Roman" w:hAnsi="Times New Roman" w:cs="Times New Roman"/>
          <w:b/>
          <w:bCs/>
          <w:sz w:val="24"/>
          <w:szCs w:val="24"/>
        </w:rPr>
        <w:t>art.</w:t>
      </w:r>
      <w:r>
        <w:rPr>
          <w:rFonts w:ascii="Times New Roman" w:hAnsi="Times New Roman" w:cs="Times New Roman"/>
          <w:b/>
          <w:bCs/>
          <w:sz w:val="24"/>
          <w:szCs w:val="24"/>
        </w:rPr>
        <w:t xml:space="preserve"> </w:t>
      </w:r>
      <w:r w:rsidRPr="004953E6">
        <w:rPr>
          <w:rFonts w:ascii="Times New Roman" w:hAnsi="Times New Roman" w:cs="Times New Roman"/>
          <w:b/>
          <w:bCs/>
          <w:sz w:val="24"/>
          <w:szCs w:val="24"/>
        </w:rPr>
        <w:t>12 ust. 4 pkt 15 lit. d, art. 12 ust. 4k, art. 15 ust. 1h</w:t>
      </w:r>
      <w:r w:rsidRPr="00201F0F">
        <w:rPr>
          <w:rFonts w:ascii="Times New Roman" w:hAnsi="Times New Roman" w:cs="Times New Roman"/>
          <w:b/>
          <w:bCs/>
          <w:sz w:val="24"/>
          <w:szCs w:val="24"/>
        </w:rPr>
        <w:t xml:space="preserve"> </w:t>
      </w:r>
      <w:r w:rsidRPr="004953E6">
        <w:rPr>
          <w:rFonts w:ascii="Times New Roman" w:hAnsi="Times New Roman" w:cs="Times New Roman"/>
          <w:b/>
          <w:bCs/>
          <w:sz w:val="24"/>
          <w:szCs w:val="24"/>
        </w:rPr>
        <w:t>pkt 7 i 8 oraz art. 16 ust. 3ga</w:t>
      </w:r>
      <w:r w:rsidRPr="00201F0F">
        <w:rPr>
          <w:rFonts w:ascii="Times New Roman" w:hAnsi="Times New Roman" w:cs="Times New Roman"/>
          <w:sz w:val="24"/>
          <w:szCs w:val="24"/>
        </w:rPr>
        <w:t>,</w:t>
      </w:r>
      <w:r>
        <w:rPr>
          <w:rFonts w:ascii="Times New Roman" w:hAnsi="Times New Roman" w:cs="Times New Roman"/>
          <w:sz w:val="24"/>
          <w:szCs w:val="24"/>
        </w:rPr>
        <w:t xml:space="preserve"> </w:t>
      </w:r>
      <w:r w:rsidRPr="00201F0F">
        <w:rPr>
          <w:rFonts w:ascii="Times New Roman" w:hAnsi="Times New Roman" w:cs="Times New Roman"/>
          <w:sz w:val="24"/>
          <w:szCs w:val="24"/>
        </w:rPr>
        <w:t>wynikają z</w:t>
      </w:r>
      <w:r w:rsidR="00187E0A">
        <w:rPr>
          <w:rFonts w:ascii="Times New Roman" w:hAnsi="Times New Roman" w:cs="Times New Roman"/>
          <w:sz w:val="24"/>
          <w:szCs w:val="24"/>
        </w:rPr>
        <w:t> </w:t>
      </w:r>
      <w:r w:rsidRPr="00201F0F">
        <w:rPr>
          <w:rFonts w:ascii="Times New Roman" w:hAnsi="Times New Roman" w:cs="Times New Roman"/>
          <w:sz w:val="24"/>
          <w:szCs w:val="24"/>
        </w:rPr>
        <w:t>umożliwienia bankom spółdzielczy</w:t>
      </w:r>
      <w:r w:rsidR="00C966DE">
        <w:rPr>
          <w:rFonts w:ascii="Times New Roman" w:hAnsi="Times New Roman" w:cs="Times New Roman"/>
          <w:sz w:val="24"/>
          <w:szCs w:val="24"/>
        </w:rPr>
        <w:t>m</w:t>
      </w:r>
      <w:r w:rsidRPr="00201F0F">
        <w:rPr>
          <w:rFonts w:ascii="Times New Roman" w:hAnsi="Times New Roman" w:cs="Times New Roman"/>
          <w:sz w:val="24"/>
          <w:szCs w:val="24"/>
        </w:rPr>
        <w:t xml:space="preserve"> i bankom zrzeszającym, będącym</w:t>
      </w:r>
      <w:r>
        <w:rPr>
          <w:rFonts w:ascii="Times New Roman" w:hAnsi="Times New Roman" w:cs="Times New Roman"/>
          <w:sz w:val="24"/>
          <w:szCs w:val="24"/>
        </w:rPr>
        <w:t xml:space="preserve"> </w:t>
      </w:r>
      <w:r w:rsidRPr="00201F0F">
        <w:rPr>
          <w:rFonts w:ascii="Times New Roman" w:hAnsi="Times New Roman" w:cs="Times New Roman"/>
          <w:sz w:val="24"/>
          <w:szCs w:val="24"/>
        </w:rPr>
        <w:t xml:space="preserve">uczestnikami systemu ochrony, zawierania umowy o </w:t>
      </w:r>
      <w:proofErr w:type="spellStart"/>
      <w:r w:rsidRPr="00201F0F">
        <w:rPr>
          <w:rFonts w:ascii="Times New Roman" w:hAnsi="Times New Roman" w:cs="Times New Roman"/>
          <w:sz w:val="24"/>
          <w:szCs w:val="24"/>
        </w:rPr>
        <w:t>subpartycypację</w:t>
      </w:r>
      <w:proofErr w:type="spellEnd"/>
      <w:r w:rsidRPr="00201F0F">
        <w:rPr>
          <w:rFonts w:ascii="Times New Roman" w:hAnsi="Times New Roman" w:cs="Times New Roman"/>
          <w:sz w:val="24"/>
          <w:szCs w:val="24"/>
        </w:rPr>
        <w:t xml:space="preserve"> z bankiem</w:t>
      </w:r>
      <w:r>
        <w:rPr>
          <w:rFonts w:ascii="Times New Roman" w:hAnsi="Times New Roman" w:cs="Times New Roman"/>
          <w:sz w:val="24"/>
          <w:szCs w:val="24"/>
        </w:rPr>
        <w:t xml:space="preserve"> </w:t>
      </w:r>
      <w:r w:rsidRPr="00201F0F">
        <w:rPr>
          <w:rFonts w:ascii="Times New Roman" w:hAnsi="Times New Roman" w:cs="Times New Roman"/>
          <w:sz w:val="24"/>
          <w:szCs w:val="24"/>
        </w:rPr>
        <w:t>zrzeszającym zarządzającym system</w:t>
      </w:r>
      <w:r w:rsidR="00394500">
        <w:rPr>
          <w:rFonts w:ascii="Times New Roman" w:hAnsi="Times New Roman" w:cs="Times New Roman"/>
          <w:sz w:val="24"/>
          <w:szCs w:val="24"/>
        </w:rPr>
        <w:t>em</w:t>
      </w:r>
      <w:r w:rsidRPr="00201F0F">
        <w:rPr>
          <w:rFonts w:ascii="Times New Roman" w:hAnsi="Times New Roman" w:cs="Times New Roman"/>
          <w:sz w:val="24"/>
          <w:szCs w:val="24"/>
        </w:rPr>
        <w:t xml:space="preserve"> ochrony albo jednostką zarządzając</w:t>
      </w:r>
      <w:r w:rsidR="00394500">
        <w:rPr>
          <w:rFonts w:ascii="Times New Roman" w:hAnsi="Times New Roman" w:cs="Times New Roman"/>
          <w:sz w:val="24"/>
          <w:szCs w:val="24"/>
        </w:rPr>
        <w:t xml:space="preserve">ą </w:t>
      </w:r>
      <w:r w:rsidRPr="00201F0F">
        <w:rPr>
          <w:rFonts w:ascii="Times New Roman" w:hAnsi="Times New Roman" w:cs="Times New Roman"/>
          <w:sz w:val="24"/>
          <w:szCs w:val="24"/>
        </w:rPr>
        <w:t>systemem ochrony. Ich celem jest zapewnienie, aby skutki podatkowe takiej umowy</w:t>
      </w:r>
      <w:r>
        <w:rPr>
          <w:rFonts w:ascii="Times New Roman" w:hAnsi="Times New Roman" w:cs="Times New Roman"/>
          <w:sz w:val="24"/>
          <w:szCs w:val="24"/>
        </w:rPr>
        <w:t xml:space="preserve"> </w:t>
      </w:r>
      <w:r w:rsidRPr="00201F0F">
        <w:rPr>
          <w:rFonts w:ascii="Times New Roman" w:hAnsi="Times New Roman" w:cs="Times New Roman"/>
          <w:sz w:val="24"/>
          <w:szCs w:val="24"/>
        </w:rPr>
        <w:t xml:space="preserve">były takie same jak w przypadku umowy o </w:t>
      </w:r>
      <w:proofErr w:type="spellStart"/>
      <w:r w:rsidRPr="00201F0F">
        <w:rPr>
          <w:rFonts w:ascii="Times New Roman" w:hAnsi="Times New Roman" w:cs="Times New Roman"/>
          <w:sz w:val="24"/>
          <w:szCs w:val="24"/>
        </w:rPr>
        <w:t>subpartycypację</w:t>
      </w:r>
      <w:proofErr w:type="spellEnd"/>
      <w:r w:rsidRPr="00201F0F">
        <w:rPr>
          <w:rFonts w:ascii="Times New Roman" w:hAnsi="Times New Roman" w:cs="Times New Roman"/>
          <w:sz w:val="24"/>
          <w:szCs w:val="24"/>
        </w:rPr>
        <w:t xml:space="preserve"> zawieranej przez bank</w:t>
      </w:r>
      <w:r>
        <w:rPr>
          <w:rFonts w:ascii="Times New Roman" w:hAnsi="Times New Roman" w:cs="Times New Roman"/>
          <w:sz w:val="24"/>
          <w:szCs w:val="24"/>
        </w:rPr>
        <w:t xml:space="preserve"> </w:t>
      </w:r>
      <w:r w:rsidRPr="00201F0F">
        <w:rPr>
          <w:rFonts w:ascii="Times New Roman" w:hAnsi="Times New Roman" w:cs="Times New Roman"/>
          <w:sz w:val="24"/>
          <w:szCs w:val="24"/>
        </w:rPr>
        <w:t>z funduszami inwestycyjnymi lub towarzystwami funduszy</w:t>
      </w:r>
      <w:r>
        <w:rPr>
          <w:rFonts w:ascii="Times New Roman" w:hAnsi="Times New Roman" w:cs="Times New Roman"/>
          <w:sz w:val="24"/>
          <w:szCs w:val="24"/>
        </w:rPr>
        <w:t xml:space="preserve"> </w:t>
      </w:r>
      <w:r w:rsidRPr="00201F0F">
        <w:rPr>
          <w:rFonts w:ascii="Times New Roman" w:hAnsi="Times New Roman" w:cs="Times New Roman"/>
          <w:sz w:val="24"/>
          <w:szCs w:val="24"/>
        </w:rPr>
        <w:t xml:space="preserve">inwestycyjnych. Tak samo jak w przypadku </w:t>
      </w:r>
      <w:r w:rsidR="00394500">
        <w:rPr>
          <w:rFonts w:ascii="Times New Roman" w:hAnsi="Times New Roman" w:cs="Times New Roman"/>
          <w:sz w:val="24"/>
          <w:szCs w:val="24"/>
        </w:rPr>
        <w:t xml:space="preserve">tych ostatnich </w:t>
      </w:r>
      <w:r w:rsidRPr="00201F0F">
        <w:rPr>
          <w:rFonts w:ascii="Times New Roman" w:hAnsi="Times New Roman" w:cs="Times New Roman"/>
          <w:sz w:val="24"/>
          <w:szCs w:val="24"/>
        </w:rPr>
        <w:t>umów</w:t>
      </w:r>
      <w:r w:rsidR="00394500">
        <w:rPr>
          <w:rFonts w:ascii="Times New Roman" w:hAnsi="Times New Roman" w:cs="Times New Roman"/>
          <w:sz w:val="24"/>
          <w:szCs w:val="24"/>
        </w:rPr>
        <w:t xml:space="preserve"> </w:t>
      </w:r>
      <w:r w:rsidRPr="00201F0F">
        <w:rPr>
          <w:rFonts w:ascii="Times New Roman" w:hAnsi="Times New Roman" w:cs="Times New Roman"/>
          <w:sz w:val="24"/>
          <w:szCs w:val="24"/>
        </w:rPr>
        <w:t>moment powstania przychodu po stronie inicjatora subpartycypacji z tytułu</w:t>
      </w:r>
      <w:r>
        <w:rPr>
          <w:rFonts w:ascii="Times New Roman" w:hAnsi="Times New Roman" w:cs="Times New Roman"/>
          <w:sz w:val="24"/>
          <w:szCs w:val="24"/>
        </w:rPr>
        <w:t xml:space="preserve"> </w:t>
      </w:r>
      <w:r w:rsidRPr="00201F0F">
        <w:rPr>
          <w:rFonts w:ascii="Times New Roman" w:hAnsi="Times New Roman" w:cs="Times New Roman"/>
          <w:sz w:val="24"/>
          <w:szCs w:val="24"/>
        </w:rPr>
        <w:t>wynagrodzenia za zbycie praw do strumienia pieniądza w części niewymagalnej</w:t>
      </w:r>
      <w:r>
        <w:rPr>
          <w:rFonts w:ascii="Times New Roman" w:hAnsi="Times New Roman" w:cs="Times New Roman"/>
          <w:sz w:val="24"/>
          <w:szCs w:val="24"/>
        </w:rPr>
        <w:t xml:space="preserve"> </w:t>
      </w:r>
      <w:r w:rsidRPr="00201F0F">
        <w:rPr>
          <w:rFonts w:ascii="Times New Roman" w:hAnsi="Times New Roman" w:cs="Times New Roman"/>
          <w:sz w:val="24"/>
          <w:szCs w:val="24"/>
        </w:rPr>
        <w:t xml:space="preserve">wierzytelności z tytułu kredytów lub pożyczek objętych umową o </w:t>
      </w:r>
      <w:proofErr w:type="spellStart"/>
      <w:r w:rsidRPr="00201F0F">
        <w:rPr>
          <w:rFonts w:ascii="Times New Roman" w:hAnsi="Times New Roman" w:cs="Times New Roman"/>
          <w:sz w:val="24"/>
          <w:szCs w:val="24"/>
        </w:rPr>
        <w:t>subpartycypację</w:t>
      </w:r>
      <w:proofErr w:type="spellEnd"/>
      <w:r>
        <w:rPr>
          <w:rFonts w:ascii="Times New Roman" w:hAnsi="Times New Roman" w:cs="Times New Roman"/>
          <w:sz w:val="24"/>
          <w:szCs w:val="24"/>
        </w:rPr>
        <w:t xml:space="preserve"> </w:t>
      </w:r>
      <w:r w:rsidRPr="00201F0F">
        <w:rPr>
          <w:rFonts w:ascii="Times New Roman" w:hAnsi="Times New Roman" w:cs="Times New Roman"/>
          <w:sz w:val="24"/>
          <w:szCs w:val="24"/>
        </w:rPr>
        <w:t>nie powstaje w momencie jego otrzymania. Moment ten będzie odroczony i</w:t>
      </w:r>
      <w:r>
        <w:rPr>
          <w:rFonts w:ascii="Times New Roman" w:hAnsi="Times New Roman" w:cs="Times New Roman"/>
          <w:sz w:val="24"/>
          <w:szCs w:val="24"/>
        </w:rPr>
        <w:t xml:space="preserve"> </w:t>
      </w:r>
      <w:r w:rsidRPr="00201F0F">
        <w:rPr>
          <w:rFonts w:ascii="Times New Roman" w:hAnsi="Times New Roman" w:cs="Times New Roman"/>
          <w:sz w:val="24"/>
          <w:szCs w:val="24"/>
        </w:rPr>
        <w:t>przychód powstanie dopiero w dacie wymagalności rat kapitałowych wierzytelności</w:t>
      </w:r>
      <w:r>
        <w:rPr>
          <w:rFonts w:ascii="Times New Roman" w:hAnsi="Times New Roman" w:cs="Times New Roman"/>
          <w:sz w:val="24"/>
          <w:szCs w:val="24"/>
        </w:rPr>
        <w:t xml:space="preserve"> </w:t>
      </w:r>
      <w:r w:rsidRPr="00201F0F">
        <w:rPr>
          <w:rFonts w:ascii="Times New Roman" w:hAnsi="Times New Roman" w:cs="Times New Roman"/>
          <w:sz w:val="24"/>
          <w:szCs w:val="24"/>
        </w:rPr>
        <w:t xml:space="preserve">objętych </w:t>
      </w:r>
      <w:proofErr w:type="spellStart"/>
      <w:r w:rsidRPr="00201F0F">
        <w:rPr>
          <w:rFonts w:ascii="Times New Roman" w:hAnsi="Times New Roman" w:cs="Times New Roman"/>
          <w:sz w:val="24"/>
          <w:szCs w:val="24"/>
        </w:rPr>
        <w:t>subpartycypacją</w:t>
      </w:r>
      <w:proofErr w:type="spellEnd"/>
      <w:r w:rsidRPr="00201F0F">
        <w:rPr>
          <w:rFonts w:ascii="Times New Roman" w:hAnsi="Times New Roman" w:cs="Times New Roman"/>
          <w:sz w:val="24"/>
          <w:szCs w:val="24"/>
        </w:rPr>
        <w:t xml:space="preserve"> lub w dacie ich zapłaty, jeżeli zapłata nastąpi przed</w:t>
      </w:r>
      <w:r>
        <w:rPr>
          <w:rFonts w:ascii="Times New Roman" w:hAnsi="Times New Roman" w:cs="Times New Roman"/>
          <w:sz w:val="24"/>
          <w:szCs w:val="24"/>
        </w:rPr>
        <w:t xml:space="preserve"> </w:t>
      </w:r>
      <w:r w:rsidRPr="00201F0F">
        <w:rPr>
          <w:rFonts w:ascii="Times New Roman" w:hAnsi="Times New Roman" w:cs="Times New Roman"/>
          <w:sz w:val="24"/>
          <w:szCs w:val="24"/>
        </w:rPr>
        <w:t>upływem terminu wymagalności. Moment rozpoznania kosztów uzyskania</w:t>
      </w:r>
      <w:r>
        <w:rPr>
          <w:rFonts w:ascii="Times New Roman" w:hAnsi="Times New Roman" w:cs="Times New Roman"/>
          <w:sz w:val="24"/>
          <w:szCs w:val="24"/>
        </w:rPr>
        <w:t xml:space="preserve"> </w:t>
      </w:r>
      <w:r w:rsidRPr="00201F0F">
        <w:rPr>
          <w:rFonts w:ascii="Times New Roman" w:hAnsi="Times New Roman" w:cs="Times New Roman"/>
          <w:sz w:val="24"/>
          <w:szCs w:val="24"/>
        </w:rPr>
        <w:t>przychodów będzie zbieżny z powstaniem przychodu i dla banku kosztem</w:t>
      </w:r>
      <w:r>
        <w:rPr>
          <w:rFonts w:ascii="Times New Roman" w:hAnsi="Times New Roman" w:cs="Times New Roman"/>
          <w:sz w:val="24"/>
          <w:szCs w:val="24"/>
        </w:rPr>
        <w:t xml:space="preserve"> </w:t>
      </w:r>
      <w:r w:rsidRPr="00201F0F">
        <w:rPr>
          <w:rFonts w:ascii="Times New Roman" w:hAnsi="Times New Roman" w:cs="Times New Roman"/>
          <w:sz w:val="24"/>
          <w:szCs w:val="24"/>
        </w:rPr>
        <w:t>uzyskania przychodu będą przekazane bankowi zrzeszającemu lub jednostce</w:t>
      </w:r>
      <w:r>
        <w:rPr>
          <w:rFonts w:ascii="Times New Roman" w:hAnsi="Times New Roman" w:cs="Times New Roman"/>
          <w:sz w:val="24"/>
          <w:szCs w:val="24"/>
        </w:rPr>
        <w:t xml:space="preserve"> </w:t>
      </w:r>
      <w:r w:rsidRPr="00201F0F">
        <w:rPr>
          <w:rFonts w:ascii="Times New Roman" w:hAnsi="Times New Roman" w:cs="Times New Roman"/>
          <w:sz w:val="24"/>
          <w:szCs w:val="24"/>
        </w:rPr>
        <w:t xml:space="preserve">zarządzającej systemem ochrony, pożytki z </w:t>
      </w:r>
      <w:proofErr w:type="spellStart"/>
      <w:r w:rsidRPr="00201F0F">
        <w:rPr>
          <w:rFonts w:ascii="Times New Roman" w:hAnsi="Times New Roman" w:cs="Times New Roman"/>
          <w:sz w:val="24"/>
          <w:szCs w:val="24"/>
        </w:rPr>
        <w:t>sekurytyzowanych</w:t>
      </w:r>
      <w:proofErr w:type="spellEnd"/>
      <w:r w:rsidRPr="00201F0F">
        <w:rPr>
          <w:rFonts w:ascii="Times New Roman" w:hAnsi="Times New Roman" w:cs="Times New Roman"/>
          <w:sz w:val="24"/>
          <w:szCs w:val="24"/>
        </w:rPr>
        <w:t xml:space="preserve"> wierzytelności,</w:t>
      </w:r>
      <w:r>
        <w:rPr>
          <w:rFonts w:ascii="Times New Roman" w:hAnsi="Times New Roman" w:cs="Times New Roman"/>
          <w:sz w:val="24"/>
          <w:szCs w:val="24"/>
        </w:rPr>
        <w:t xml:space="preserve"> </w:t>
      </w:r>
      <w:r w:rsidRPr="00201F0F">
        <w:rPr>
          <w:rFonts w:ascii="Times New Roman" w:hAnsi="Times New Roman" w:cs="Times New Roman"/>
          <w:sz w:val="24"/>
          <w:szCs w:val="24"/>
        </w:rPr>
        <w:t xml:space="preserve">kwoty główne </w:t>
      </w:r>
      <w:proofErr w:type="spellStart"/>
      <w:r w:rsidRPr="00201F0F">
        <w:rPr>
          <w:rFonts w:ascii="Times New Roman" w:hAnsi="Times New Roman" w:cs="Times New Roman"/>
          <w:sz w:val="24"/>
          <w:szCs w:val="24"/>
        </w:rPr>
        <w:t>sekurytyzowanych</w:t>
      </w:r>
      <w:proofErr w:type="spellEnd"/>
      <w:r w:rsidRPr="00201F0F">
        <w:rPr>
          <w:rFonts w:ascii="Times New Roman" w:hAnsi="Times New Roman" w:cs="Times New Roman"/>
          <w:sz w:val="24"/>
          <w:szCs w:val="24"/>
        </w:rPr>
        <w:t xml:space="preserve"> wierzytelności i kwoty uzyskane z tytułu realizacji</w:t>
      </w:r>
      <w:r>
        <w:rPr>
          <w:rFonts w:ascii="Times New Roman" w:hAnsi="Times New Roman" w:cs="Times New Roman"/>
          <w:sz w:val="24"/>
          <w:szCs w:val="24"/>
        </w:rPr>
        <w:t xml:space="preserve"> </w:t>
      </w:r>
      <w:r w:rsidRPr="00201F0F">
        <w:rPr>
          <w:rFonts w:ascii="Times New Roman" w:hAnsi="Times New Roman" w:cs="Times New Roman"/>
          <w:sz w:val="24"/>
          <w:szCs w:val="24"/>
        </w:rPr>
        <w:t xml:space="preserve">zabezpieczeń </w:t>
      </w:r>
      <w:proofErr w:type="spellStart"/>
      <w:r w:rsidRPr="00201F0F">
        <w:rPr>
          <w:rFonts w:ascii="Times New Roman" w:hAnsi="Times New Roman" w:cs="Times New Roman"/>
          <w:sz w:val="24"/>
          <w:szCs w:val="24"/>
        </w:rPr>
        <w:t>sekurytyzowanych</w:t>
      </w:r>
      <w:proofErr w:type="spellEnd"/>
      <w:r w:rsidRPr="00201F0F">
        <w:rPr>
          <w:rFonts w:ascii="Times New Roman" w:hAnsi="Times New Roman" w:cs="Times New Roman"/>
          <w:sz w:val="24"/>
          <w:szCs w:val="24"/>
        </w:rPr>
        <w:t xml:space="preserve"> wierzytelności. Ponadto bank będzie uprawniony</w:t>
      </w:r>
      <w:r>
        <w:rPr>
          <w:rFonts w:ascii="Times New Roman" w:hAnsi="Times New Roman" w:cs="Times New Roman"/>
          <w:sz w:val="24"/>
          <w:szCs w:val="24"/>
        </w:rPr>
        <w:t xml:space="preserve"> </w:t>
      </w:r>
      <w:r w:rsidRPr="00201F0F">
        <w:rPr>
          <w:rFonts w:ascii="Times New Roman" w:hAnsi="Times New Roman" w:cs="Times New Roman"/>
          <w:sz w:val="24"/>
          <w:szCs w:val="24"/>
        </w:rPr>
        <w:t>do pomniejszenia wartości rezerw tworzonych na pokrycie wierzytelności i odpisów</w:t>
      </w:r>
      <w:r>
        <w:rPr>
          <w:rFonts w:ascii="Times New Roman" w:hAnsi="Times New Roman" w:cs="Times New Roman"/>
          <w:sz w:val="24"/>
          <w:szCs w:val="24"/>
        </w:rPr>
        <w:t xml:space="preserve"> </w:t>
      </w:r>
      <w:r w:rsidRPr="00201F0F">
        <w:rPr>
          <w:rFonts w:ascii="Times New Roman" w:hAnsi="Times New Roman" w:cs="Times New Roman"/>
          <w:sz w:val="24"/>
          <w:szCs w:val="24"/>
        </w:rPr>
        <w:t>aktualizacyjnych (w</w:t>
      </w:r>
      <w:r w:rsidR="00187E0A">
        <w:rPr>
          <w:rFonts w:ascii="Times New Roman" w:hAnsi="Times New Roman" w:cs="Times New Roman"/>
          <w:sz w:val="24"/>
          <w:szCs w:val="24"/>
        </w:rPr>
        <w:t> </w:t>
      </w:r>
      <w:r w:rsidRPr="00201F0F">
        <w:rPr>
          <w:rFonts w:ascii="Times New Roman" w:hAnsi="Times New Roman" w:cs="Times New Roman"/>
          <w:sz w:val="24"/>
          <w:szCs w:val="24"/>
        </w:rPr>
        <w:t>odniesieniu do wierzytelności, których nieściągalność została</w:t>
      </w:r>
      <w:r>
        <w:rPr>
          <w:rFonts w:ascii="Times New Roman" w:hAnsi="Times New Roman" w:cs="Times New Roman"/>
          <w:sz w:val="24"/>
          <w:szCs w:val="24"/>
        </w:rPr>
        <w:t xml:space="preserve"> </w:t>
      </w:r>
      <w:r w:rsidRPr="00201F0F">
        <w:rPr>
          <w:rFonts w:ascii="Times New Roman" w:hAnsi="Times New Roman" w:cs="Times New Roman"/>
          <w:sz w:val="24"/>
          <w:szCs w:val="24"/>
        </w:rPr>
        <w:t xml:space="preserve">uprawdopodobniona) dotyczących wierzytelności objętych </w:t>
      </w:r>
      <w:proofErr w:type="spellStart"/>
      <w:r w:rsidRPr="00201F0F">
        <w:rPr>
          <w:rFonts w:ascii="Times New Roman" w:hAnsi="Times New Roman" w:cs="Times New Roman"/>
          <w:sz w:val="24"/>
          <w:szCs w:val="24"/>
        </w:rPr>
        <w:t>subpartycypacją</w:t>
      </w:r>
      <w:proofErr w:type="spellEnd"/>
      <w:r w:rsidRPr="00201F0F">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201F0F">
        <w:rPr>
          <w:rFonts w:ascii="Times New Roman" w:hAnsi="Times New Roman" w:cs="Times New Roman"/>
          <w:sz w:val="24"/>
          <w:szCs w:val="24"/>
        </w:rPr>
        <w:t xml:space="preserve">wartość kwoty uzyskanej z umowy </w:t>
      </w:r>
      <w:proofErr w:type="spellStart"/>
      <w:r w:rsidRPr="00201F0F">
        <w:rPr>
          <w:rFonts w:ascii="Times New Roman" w:hAnsi="Times New Roman" w:cs="Times New Roman"/>
          <w:sz w:val="24"/>
          <w:szCs w:val="24"/>
        </w:rPr>
        <w:t>subpartycypacyjnej</w:t>
      </w:r>
      <w:proofErr w:type="spellEnd"/>
      <w:r w:rsidRPr="00201F0F">
        <w:rPr>
          <w:rFonts w:ascii="Times New Roman" w:hAnsi="Times New Roman" w:cs="Times New Roman"/>
          <w:sz w:val="24"/>
          <w:szCs w:val="24"/>
        </w:rPr>
        <w:t>. Jednocześnie kosztem</w:t>
      </w:r>
      <w:r>
        <w:rPr>
          <w:rFonts w:ascii="Times New Roman" w:hAnsi="Times New Roman" w:cs="Times New Roman"/>
          <w:sz w:val="24"/>
          <w:szCs w:val="24"/>
        </w:rPr>
        <w:t xml:space="preserve"> </w:t>
      </w:r>
      <w:r w:rsidRPr="00201F0F">
        <w:rPr>
          <w:rFonts w:ascii="Times New Roman" w:hAnsi="Times New Roman" w:cs="Times New Roman"/>
          <w:sz w:val="24"/>
          <w:szCs w:val="24"/>
        </w:rPr>
        <w:t>uzyskania przychodu z tytułu rezerw będzie rezerwa w takim zakresie, w jakim</w:t>
      </w:r>
      <w:r>
        <w:rPr>
          <w:rFonts w:ascii="Times New Roman" w:hAnsi="Times New Roman" w:cs="Times New Roman"/>
          <w:sz w:val="24"/>
          <w:szCs w:val="24"/>
        </w:rPr>
        <w:t xml:space="preserve"> </w:t>
      </w:r>
      <w:r w:rsidRPr="00201F0F">
        <w:rPr>
          <w:rFonts w:ascii="Times New Roman" w:hAnsi="Times New Roman" w:cs="Times New Roman"/>
          <w:sz w:val="24"/>
          <w:szCs w:val="24"/>
        </w:rPr>
        <w:t xml:space="preserve">przychody ze zbycia kredytu lub pożyczki na podstawie umowy </w:t>
      </w:r>
      <w:proofErr w:type="spellStart"/>
      <w:r w:rsidRPr="00201F0F">
        <w:rPr>
          <w:rFonts w:ascii="Times New Roman" w:hAnsi="Times New Roman" w:cs="Times New Roman"/>
          <w:sz w:val="24"/>
          <w:szCs w:val="24"/>
        </w:rPr>
        <w:t>subpartycypacyjnej</w:t>
      </w:r>
      <w:proofErr w:type="spellEnd"/>
      <w:r>
        <w:rPr>
          <w:rFonts w:ascii="Times New Roman" w:hAnsi="Times New Roman" w:cs="Times New Roman"/>
          <w:sz w:val="24"/>
          <w:szCs w:val="24"/>
        </w:rPr>
        <w:t xml:space="preserve"> </w:t>
      </w:r>
      <w:r w:rsidRPr="00201F0F">
        <w:rPr>
          <w:rFonts w:ascii="Times New Roman" w:hAnsi="Times New Roman" w:cs="Times New Roman"/>
          <w:sz w:val="24"/>
          <w:szCs w:val="24"/>
        </w:rPr>
        <w:t>zostały rozpoznane w przychodach podatkowych.</w:t>
      </w:r>
    </w:p>
    <w:p w14:paraId="7DDEB3C5" w14:textId="77777777" w:rsidR="00CE1C40" w:rsidRDefault="00CE1C40" w:rsidP="003C6BB6">
      <w:pPr>
        <w:spacing w:after="120" w:line="360" w:lineRule="auto"/>
        <w:jc w:val="both"/>
        <w:rPr>
          <w:rFonts w:ascii="Times New Roman" w:hAnsi="Times New Roman" w:cs="Times New Roman"/>
          <w:b/>
          <w:bCs/>
          <w:sz w:val="24"/>
          <w:szCs w:val="24"/>
          <w:u w:val="single"/>
        </w:rPr>
      </w:pPr>
    </w:p>
    <w:p w14:paraId="256B03F4" w14:textId="5D115B0C" w:rsidR="000E3B53" w:rsidRPr="00346F05" w:rsidRDefault="000E3B53" w:rsidP="003C6BB6">
      <w:pPr>
        <w:spacing w:after="120" w:line="360" w:lineRule="auto"/>
        <w:jc w:val="both"/>
        <w:rPr>
          <w:rFonts w:ascii="Times New Roman" w:hAnsi="Times New Roman" w:cs="Times New Roman"/>
          <w:sz w:val="24"/>
          <w:szCs w:val="24"/>
          <w:u w:val="single"/>
        </w:rPr>
      </w:pPr>
      <w:r w:rsidRPr="00655235">
        <w:rPr>
          <w:rFonts w:ascii="Times New Roman" w:hAnsi="Times New Roman" w:cs="Times New Roman"/>
          <w:b/>
          <w:bCs/>
          <w:sz w:val="24"/>
          <w:szCs w:val="24"/>
          <w:u w:val="single"/>
        </w:rPr>
        <w:lastRenderedPageBreak/>
        <w:t>Art. 3</w:t>
      </w:r>
      <w:r w:rsidRPr="00346F05">
        <w:rPr>
          <w:rFonts w:ascii="Times New Roman" w:hAnsi="Times New Roman" w:cs="Times New Roman"/>
          <w:sz w:val="24"/>
          <w:szCs w:val="24"/>
          <w:u w:val="single"/>
        </w:rPr>
        <w:t xml:space="preserve"> – zmiany w ustawie </w:t>
      </w:r>
      <w:r w:rsidRPr="00346F05">
        <w:rPr>
          <w:rFonts w:ascii="Times New Roman" w:hAnsi="Times New Roman" w:cs="Times New Roman"/>
          <w:color w:val="000000" w:themeColor="text1"/>
          <w:sz w:val="24"/>
          <w:szCs w:val="24"/>
          <w:u w:val="single"/>
        </w:rPr>
        <w:t xml:space="preserve">– </w:t>
      </w:r>
      <w:r w:rsidRPr="00346F05">
        <w:rPr>
          <w:rFonts w:ascii="Times New Roman" w:hAnsi="Times New Roman" w:cs="Times New Roman"/>
          <w:sz w:val="24"/>
          <w:szCs w:val="24"/>
          <w:u w:val="single"/>
        </w:rPr>
        <w:t>Prawo bankowe</w:t>
      </w:r>
    </w:p>
    <w:p w14:paraId="320DB7C1" w14:textId="16C61C3F" w:rsidR="00C92A58"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 xml:space="preserve">Zmiany wprowadzone </w:t>
      </w:r>
      <w:r w:rsidRPr="00346F05">
        <w:rPr>
          <w:rFonts w:ascii="Times New Roman" w:hAnsi="Times New Roman" w:cs="Times New Roman"/>
          <w:b/>
          <w:bCs/>
          <w:sz w:val="24"/>
          <w:szCs w:val="24"/>
        </w:rPr>
        <w:t>w art. 79b</w:t>
      </w:r>
      <w:r w:rsidRPr="00346F05">
        <w:rPr>
          <w:rFonts w:ascii="Times New Roman" w:hAnsi="Times New Roman" w:cs="Times New Roman"/>
          <w:sz w:val="24"/>
          <w:szCs w:val="24"/>
        </w:rPr>
        <w:t xml:space="preserve"> </w:t>
      </w:r>
      <w:r w:rsidRPr="00346F05">
        <w:rPr>
          <w:rFonts w:ascii="Times New Roman" w:hAnsi="Times New Roman" w:cs="Times New Roman"/>
          <w:b/>
          <w:bCs/>
          <w:sz w:val="24"/>
          <w:szCs w:val="24"/>
        </w:rPr>
        <w:t xml:space="preserve">ust. 1 i 3 </w:t>
      </w:r>
      <w:r w:rsidRPr="00346F05">
        <w:rPr>
          <w:rFonts w:ascii="Times New Roman" w:hAnsi="Times New Roman" w:cs="Times New Roman"/>
          <w:sz w:val="24"/>
          <w:szCs w:val="24"/>
        </w:rPr>
        <w:t>mają na celu</w:t>
      </w:r>
      <w:r w:rsidRPr="00346F05">
        <w:rPr>
          <w:rFonts w:ascii="Times New Roman" w:hAnsi="Times New Roman" w:cs="Times New Roman"/>
          <w:b/>
          <w:bCs/>
          <w:sz w:val="24"/>
          <w:szCs w:val="24"/>
        </w:rPr>
        <w:t xml:space="preserve"> </w:t>
      </w:r>
      <w:r w:rsidRPr="00346F05">
        <w:rPr>
          <w:rFonts w:ascii="Times New Roman" w:hAnsi="Times New Roman" w:cs="Times New Roman"/>
          <w:sz w:val="24"/>
          <w:szCs w:val="24"/>
        </w:rPr>
        <w:t>zniesienie obowiązku przekazywania przez bank spółdzielczy, na żądanie Komisji Nadzoru Finansowego, informacji o kredytach, pożyczkach pieniężnych, gwarancjach bankowych oraz poręczeniach udzielonych udziałowcom tego banku. Mając na uwadze czas trwania członkostwa oraz liczbę członków w</w:t>
      </w:r>
      <w:r w:rsidR="00151640">
        <w:rPr>
          <w:rFonts w:ascii="Times New Roman" w:hAnsi="Times New Roman" w:cs="Times New Roman"/>
          <w:sz w:val="24"/>
          <w:szCs w:val="24"/>
        </w:rPr>
        <w:t> </w:t>
      </w:r>
      <w:r w:rsidRPr="00346F05">
        <w:rPr>
          <w:rFonts w:ascii="Times New Roman" w:hAnsi="Times New Roman" w:cs="Times New Roman"/>
          <w:sz w:val="24"/>
          <w:szCs w:val="24"/>
        </w:rPr>
        <w:t>bankach spółdzielczych, obowiązek przechowywania dokumentacji określonej w ww. przepisie przez okres 5 lat liczonych od daty ustania członkostwa jest znaczącym i kosztownym obciążeniem</w:t>
      </w:r>
      <w:r w:rsidR="00ED3494">
        <w:rPr>
          <w:rFonts w:ascii="Times New Roman" w:hAnsi="Times New Roman" w:cs="Times New Roman"/>
          <w:sz w:val="24"/>
          <w:szCs w:val="24"/>
        </w:rPr>
        <w:t>,</w:t>
      </w:r>
      <w:r w:rsidRPr="00346F05">
        <w:rPr>
          <w:rFonts w:ascii="Times New Roman" w:hAnsi="Times New Roman" w:cs="Times New Roman"/>
          <w:sz w:val="24"/>
          <w:szCs w:val="24"/>
        </w:rPr>
        <w:t xml:space="preserve"> w związku z tym zasadne </w:t>
      </w:r>
      <w:r w:rsidR="008E50EA">
        <w:rPr>
          <w:rFonts w:ascii="Times New Roman" w:hAnsi="Times New Roman" w:cs="Times New Roman"/>
          <w:sz w:val="24"/>
          <w:szCs w:val="24"/>
        </w:rPr>
        <w:t>jest</w:t>
      </w:r>
      <w:r w:rsidRPr="00346F05">
        <w:rPr>
          <w:rFonts w:ascii="Times New Roman" w:hAnsi="Times New Roman" w:cs="Times New Roman"/>
          <w:sz w:val="24"/>
          <w:szCs w:val="24"/>
        </w:rPr>
        <w:t xml:space="preserve"> uchylenie obowiązującego przepisu</w:t>
      </w:r>
      <w:r w:rsidR="00B44B2C">
        <w:rPr>
          <w:rFonts w:ascii="Times New Roman" w:hAnsi="Times New Roman" w:cs="Times New Roman"/>
          <w:sz w:val="24"/>
          <w:szCs w:val="24"/>
        </w:rPr>
        <w:t xml:space="preserve">. </w:t>
      </w:r>
      <w:r w:rsidR="00DA6E8F">
        <w:rPr>
          <w:rFonts w:ascii="Times New Roman" w:hAnsi="Times New Roman" w:cs="Times New Roman"/>
          <w:sz w:val="24"/>
          <w:szCs w:val="24"/>
        </w:rPr>
        <w:t>P</w:t>
      </w:r>
      <w:r w:rsidR="00B44B2C" w:rsidRPr="00B44B2C">
        <w:rPr>
          <w:rFonts w:ascii="Times New Roman" w:hAnsi="Times New Roman" w:cs="Times New Roman"/>
          <w:sz w:val="24"/>
          <w:szCs w:val="24"/>
        </w:rPr>
        <w:t>roponowan</w:t>
      </w:r>
      <w:r w:rsidR="00DA6E8F">
        <w:rPr>
          <w:rFonts w:ascii="Times New Roman" w:hAnsi="Times New Roman" w:cs="Times New Roman"/>
          <w:sz w:val="24"/>
          <w:szCs w:val="24"/>
        </w:rPr>
        <w:t>a zmiana</w:t>
      </w:r>
      <w:r w:rsidR="00B44B2C" w:rsidRPr="00B44B2C">
        <w:rPr>
          <w:rFonts w:ascii="Times New Roman" w:hAnsi="Times New Roman" w:cs="Times New Roman"/>
          <w:sz w:val="24"/>
          <w:szCs w:val="24"/>
        </w:rPr>
        <w:t xml:space="preserve"> zapewni</w:t>
      </w:r>
      <w:r w:rsidR="00DA6E8F">
        <w:rPr>
          <w:rFonts w:ascii="Times New Roman" w:hAnsi="Times New Roman" w:cs="Times New Roman"/>
          <w:sz w:val="24"/>
          <w:szCs w:val="24"/>
        </w:rPr>
        <w:t xml:space="preserve"> </w:t>
      </w:r>
      <w:r w:rsidR="002E7096">
        <w:rPr>
          <w:rFonts w:ascii="Times New Roman" w:hAnsi="Times New Roman" w:cs="Times New Roman"/>
          <w:sz w:val="24"/>
          <w:szCs w:val="24"/>
        </w:rPr>
        <w:t>odpowiedni</w:t>
      </w:r>
      <w:r w:rsidR="00DA6E8F">
        <w:rPr>
          <w:rFonts w:ascii="Times New Roman" w:hAnsi="Times New Roman" w:cs="Times New Roman"/>
          <w:sz w:val="24"/>
          <w:szCs w:val="24"/>
        </w:rPr>
        <w:t>ą</w:t>
      </w:r>
      <w:r w:rsidR="00B44B2C" w:rsidRPr="00B44B2C">
        <w:rPr>
          <w:rFonts w:ascii="Times New Roman" w:hAnsi="Times New Roman" w:cs="Times New Roman"/>
          <w:sz w:val="24"/>
          <w:szCs w:val="24"/>
        </w:rPr>
        <w:t xml:space="preserve"> proporcjonalnoś</w:t>
      </w:r>
      <w:r w:rsidR="00DA6E8F">
        <w:rPr>
          <w:rFonts w:ascii="Times New Roman" w:hAnsi="Times New Roman" w:cs="Times New Roman"/>
          <w:sz w:val="24"/>
          <w:szCs w:val="24"/>
        </w:rPr>
        <w:t>ć</w:t>
      </w:r>
      <w:r w:rsidR="00B44B2C" w:rsidRPr="00B44B2C">
        <w:rPr>
          <w:rFonts w:ascii="Times New Roman" w:hAnsi="Times New Roman" w:cs="Times New Roman"/>
          <w:sz w:val="24"/>
          <w:szCs w:val="24"/>
        </w:rPr>
        <w:t xml:space="preserve"> między zakresem obowiązków wynikających z regulacji nadzorczych, a nakładami pracy i kosztami p</w:t>
      </w:r>
      <w:r w:rsidR="008B33CE">
        <w:rPr>
          <w:rFonts w:ascii="Times New Roman" w:hAnsi="Times New Roman" w:cs="Times New Roman"/>
          <w:sz w:val="24"/>
          <w:szCs w:val="24"/>
        </w:rPr>
        <w:t>onoszonymi przez</w:t>
      </w:r>
      <w:r w:rsidR="00B44B2C" w:rsidRPr="00B44B2C">
        <w:rPr>
          <w:rFonts w:ascii="Times New Roman" w:hAnsi="Times New Roman" w:cs="Times New Roman"/>
          <w:sz w:val="24"/>
          <w:szCs w:val="24"/>
        </w:rPr>
        <w:t xml:space="preserve"> podmiot nadzorowan</w:t>
      </w:r>
      <w:r w:rsidR="008B33CE">
        <w:rPr>
          <w:rFonts w:ascii="Times New Roman" w:hAnsi="Times New Roman" w:cs="Times New Roman"/>
          <w:sz w:val="24"/>
          <w:szCs w:val="24"/>
        </w:rPr>
        <w:t>y</w:t>
      </w:r>
      <w:r w:rsidR="00A6349A">
        <w:rPr>
          <w:rFonts w:ascii="Times New Roman" w:hAnsi="Times New Roman" w:cs="Times New Roman"/>
          <w:sz w:val="24"/>
          <w:szCs w:val="24"/>
        </w:rPr>
        <w:t xml:space="preserve">. </w:t>
      </w:r>
      <w:r w:rsidR="004E72D6">
        <w:rPr>
          <w:rFonts w:ascii="Times New Roman" w:hAnsi="Times New Roman" w:cs="Times New Roman"/>
          <w:sz w:val="24"/>
          <w:szCs w:val="24"/>
        </w:rPr>
        <w:t>Zniesienie obowiązku przekazywania przez bank</w:t>
      </w:r>
      <w:r w:rsidR="008B33CE">
        <w:rPr>
          <w:rFonts w:ascii="Times New Roman" w:hAnsi="Times New Roman" w:cs="Times New Roman"/>
          <w:sz w:val="24"/>
          <w:szCs w:val="24"/>
        </w:rPr>
        <w:t>i</w:t>
      </w:r>
      <w:r w:rsidR="004E72D6">
        <w:rPr>
          <w:rFonts w:ascii="Times New Roman" w:hAnsi="Times New Roman" w:cs="Times New Roman"/>
          <w:sz w:val="24"/>
          <w:szCs w:val="24"/>
        </w:rPr>
        <w:t xml:space="preserve"> spółdzielcz</w:t>
      </w:r>
      <w:r w:rsidR="008B33CE">
        <w:rPr>
          <w:rFonts w:ascii="Times New Roman" w:hAnsi="Times New Roman" w:cs="Times New Roman"/>
          <w:sz w:val="24"/>
          <w:szCs w:val="24"/>
        </w:rPr>
        <w:t>e</w:t>
      </w:r>
      <w:r w:rsidR="004E72D6">
        <w:rPr>
          <w:rFonts w:ascii="Times New Roman" w:hAnsi="Times New Roman" w:cs="Times New Roman"/>
          <w:sz w:val="24"/>
          <w:szCs w:val="24"/>
        </w:rPr>
        <w:t xml:space="preserve"> informacji dotyczących transakcji zawieranych przez bank spółdzielczy z udziałowcami nie wpłynie negatywnie na nadzór sprawowany przez Komisję Nadzoru Finansowego. </w:t>
      </w:r>
      <w:r w:rsidR="008B33CE">
        <w:rPr>
          <w:rFonts w:ascii="Times New Roman" w:hAnsi="Times New Roman" w:cs="Times New Roman"/>
          <w:sz w:val="24"/>
          <w:szCs w:val="24"/>
        </w:rPr>
        <w:t>K</w:t>
      </w:r>
      <w:r w:rsidR="00DA6E8F">
        <w:rPr>
          <w:rFonts w:ascii="Times New Roman" w:hAnsi="Times New Roman" w:cs="Times New Roman"/>
          <w:sz w:val="24"/>
          <w:szCs w:val="24"/>
        </w:rPr>
        <w:t xml:space="preserve">omisja </w:t>
      </w:r>
      <w:r w:rsidR="008B33CE">
        <w:rPr>
          <w:rFonts w:ascii="Times New Roman" w:hAnsi="Times New Roman" w:cs="Times New Roman"/>
          <w:sz w:val="24"/>
          <w:szCs w:val="24"/>
        </w:rPr>
        <w:t>N</w:t>
      </w:r>
      <w:r w:rsidR="00DA6E8F">
        <w:rPr>
          <w:rFonts w:ascii="Times New Roman" w:hAnsi="Times New Roman" w:cs="Times New Roman"/>
          <w:sz w:val="24"/>
          <w:szCs w:val="24"/>
        </w:rPr>
        <w:t xml:space="preserve">adzoru </w:t>
      </w:r>
      <w:r w:rsidR="008B33CE">
        <w:rPr>
          <w:rFonts w:ascii="Times New Roman" w:hAnsi="Times New Roman" w:cs="Times New Roman"/>
          <w:sz w:val="24"/>
          <w:szCs w:val="24"/>
        </w:rPr>
        <w:t>F</w:t>
      </w:r>
      <w:r w:rsidR="00DA6E8F">
        <w:rPr>
          <w:rFonts w:ascii="Times New Roman" w:hAnsi="Times New Roman" w:cs="Times New Roman"/>
          <w:sz w:val="24"/>
          <w:szCs w:val="24"/>
        </w:rPr>
        <w:t>inansowego jako organ nadzoru</w:t>
      </w:r>
      <w:r w:rsidR="008B33CE">
        <w:rPr>
          <w:rFonts w:ascii="Times New Roman" w:hAnsi="Times New Roman" w:cs="Times New Roman"/>
          <w:sz w:val="24"/>
          <w:szCs w:val="24"/>
        </w:rPr>
        <w:t xml:space="preserve"> </w:t>
      </w:r>
      <w:r w:rsidR="00DA6E8F">
        <w:rPr>
          <w:rFonts w:ascii="Times New Roman" w:hAnsi="Times New Roman" w:cs="Times New Roman"/>
          <w:sz w:val="24"/>
          <w:szCs w:val="24"/>
        </w:rPr>
        <w:t>ma</w:t>
      </w:r>
      <w:r w:rsidR="008B33CE">
        <w:rPr>
          <w:rFonts w:ascii="Times New Roman" w:hAnsi="Times New Roman" w:cs="Times New Roman"/>
          <w:sz w:val="24"/>
          <w:szCs w:val="24"/>
        </w:rPr>
        <w:t xml:space="preserve"> możliwość </w:t>
      </w:r>
      <w:r w:rsidR="00700C13">
        <w:rPr>
          <w:rFonts w:ascii="Times New Roman" w:hAnsi="Times New Roman" w:cs="Times New Roman"/>
          <w:sz w:val="24"/>
          <w:szCs w:val="24"/>
        </w:rPr>
        <w:t>pozyskania</w:t>
      </w:r>
      <w:r w:rsidR="008B33CE">
        <w:rPr>
          <w:rFonts w:ascii="Times New Roman" w:hAnsi="Times New Roman" w:cs="Times New Roman"/>
          <w:sz w:val="24"/>
          <w:szCs w:val="24"/>
        </w:rPr>
        <w:t xml:space="preserve"> informacji </w:t>
      </w:r>
      <w:r w:rsidR="00DA6E8F">
        <w:rPr>
          <w:rFonts w:ascii="Times New Roman" w:hAnsi="Times New Roman" w:cs="Times New Roman"/>
          <w:sz w:val="24"/>
          <w:szCs w:val="24"/>
        </w:rPr>
        <w:t>niezbędnych do realizacji ustawowo powierzonych jej zadań</w:t>
      </w:r>
      <w:r w:rsidR="008B33CE">
        <w:rPr>
          <w:rFonts w:ascii="Times New Roman" w:hAnsi="Times New Roman" w:cs="Times New Roman"/>
          <w:sz w:val="24"/>
          <w:szCs w:val="24"/>
        </w:rPr>
        <w:t xml:space="preserve">. </w:t>
      </w:r>
      <w:r w:rsidR="004E72D6">
        <w:rPr>
          <w:rFonts w:ascii="Times New Roman" w:hAnsi="Times New Roman" w:cs="Times New Roman"/>
          <w:sz w:val="24"/>
          <w:szCs w:val="24"/>
        </w:rPr>
        <w:t xml:space="preserve">W </w:t>
      </w:r>
      <w:r w:rsidR="008B33CE">
        <w:rPr>
          <w:rFonts w:ascii="Times New Roman" w:hAnsi="Times New Roman" w:cs="Times New Roman"/>
          <w:sz w:val="24"/>
          <w:szCs w:val="24"/>
        </w:rPr>
        <w:t>dotychczasowej praktyce nadzorczej</w:t>
      </w:r>
      <w:r w:rsidR="00700C13">
        <w:rPr>
          <w:rFonts w:ascii="Times New Roman" w:hAnsi="Times New Roman" w:cs="Times New Roman"/>
          <w:sz w:val="24"/>
          <w:szCs w:val="24"/>
        </w:rPr>
        <w:t xml:space="preserve"> informacje tego rodzaju okazywały się użyteczne jedynie incydentalnie</w:t>
      </w:r>
      <w:r w:rsidR="004E72D6">
        <w:rPr>
          <w:rFonts w:ascii="Times New Roman" w:hAnsi="Times New Roman" w:cs="Times New Roman"/>
          <w:sz w:val="24"/>
          <w:szCs w:val="24"/>
        </w:rPr>
        <w:t xml:space="preserve">. </w:t>
      </w:r>
    </w:p>
    <w:p w14:paraId="4CDF0E87" w14:textId="481C9EC3" w:rsidR="00C92A58" w:rsidRDefault="00993EF6" w:rsidP="003C6BB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Zmiana </w:t>
      </w:r>
      <w:r w:rsidR="00C92A58">
        <w:rPr>
          <w:rFonts w:ascii="Times New Roman" w:hAnsi="Times New Roman" w:cs="Times New Roman"/>
          <w:sz w:val="24"/>
          <w:szCs w:val="24"/>
        </w:rPr>
        <w:t xml:space="preserve">w </w:t>
      </w:r>
      <w:r w:rsidR="00C92A58" w:rsidRPr="00655235">
        <w:rPr>
          <w:rFonts w:ascii="Times New Roman" w:hAnsi="Times New Roman" w:cs="Times New Roman"/>
          <w:b/>
          <w:bCs/>
          <w:sz w:val="24"/>
          <w:szCs w:val="24"/>
        </w:rPr>
        <w:t xml:space="preserve">art. 104 w ust. 2 </w:t>
      </w:r>
      <w:r w:rsidR="00F701C6">
        <w:rPr>
          <w:rFonts w:ascii="Times New Roman" w:hAnsi="Times New Roman" w:cs="Times New Roman"/>
          <w:b/>
          <w:bCs/>
          <w:sz w:val="24"/>
          <w:szCs w:val="24"/>
        </w:rPr>
        <w:t xml:space="preserve">(dodanie </w:t>
      </w:r>
      <w:r w:rsidR="00C92A58" w:rsidRPr="00655235">
        <w:rPr>
          <w:rFonts w:ascii="Times New Roman" w:hAnsi="Times New Roman" w:cs="Times New Roman"/>
          <w:b/>
          <w:bCs/>
          <w:sz w:val="24"/>
          <w:szCs w:val="24"/>
        </w:rPr>
        <w:t>pkt 9a</w:t>
      </w:r>
      <w:r w:rsidR="00F701C6">
        <w:rPr>
          <w:rFonts w:ascii="Times New Roman" w:hAnsi="Times New Roman" w:cs="Times New Roman"/>
          <w:b/>
          <w:bCs/>
          <w:sz w:val="24"/>
          <w:szCs w:val="24"/>
        </w:rPr>
        <w:t>)</w:t>
      </w:r>
      <w:r w:rsidR="00C92A58">
        <w:rPr>
          <w:rFonts w:ascii="Times New Roman" w:hAnsi="Times New Roman" w:cs="Times New Roman"/>
          <w:sz w:val="24"/>
          <w:szCs w:val="24"/>
        </w:rPr>
        <w:t xml:space="preserve"> jest </w:t>
      </w:r>
      <w:r w:rsidR="00570ADD">
        <w:rPr>
          <w:rFonts w:ascii="Times New Roman" w:hAnsi="Times New Roman" w:cs="Times New Roman"/>
          <w:sz w:val="24"/>
          <w:szCs w:val="24"/>
        </w:rPr>
        <w:t>konsekwencją</w:t>
      </w:r>
      <w:r w:rsidR="00C92A58">
        <w:rPr>
          <w:rFonts w:ascii="Times New Roman" w:hAnsi="Times New Roman" w:cs="Times New Roman"/>
          <w:sz w:val="24"/>
          <w:szCs w:val="24"/>
        </w:rPr>
        <w:t xml:space="preserve"> </w:t>
      </w:r>
      <w:r>
        <w:rPr>
          <w:rFonts w:ascii="Times New Roman" w:hAnsi="Times New Roman" w:cs="Times New Roman"/>
          <w:sz w:val="24"/>
          <w:szCs w:val="24"/>
        </w:rPr>
        <w:t>dodania art</w:t>
      </w:r>
      <w:r w:rsidR="000857DB">
        <w:rPr>
          <w:rFonts w:ascii="Times New Roman" w:hAnsi="Times New Roman" w:cs="Times New Roman"/>
          <w:sz w:val="24"/>
          <w:szCs w:val="24"/>
        </w:rPr>
        <w:t>.</w:t>
      </w:r>
      <w:r>
        <w:rPr>
          <w:rFonts w:ascii="Times New Roman" w:hAnsi="Times New Roman" w:cs="Times New Roman"/>
          <w:sz w:val="24"/>
          <w:szCs w:val="24"/>
        </w:rPr>
        <w:t xml:space="preserve"> 22ga w</w:t>
      </w:r>
      <w:r w:rsidR="00570ADD">
        <w:rPr>
          <w:rFonts w:ascii="Times New Roman" w:hAnsi="Times New Roman" w:cs="Times New Roman"/>
          <w:sz w:val="24"/>
          <w:szCs w:val="24"/>
        </w:rPr>
        <w:t xml:space="preserve"> ustaw</w:t>
      </w:r>
      <w:r>
        <w:rPr>
          <w:rFonts w:ascii="Times New Roman" w:hAnsi="Times New Roman" w:cs="Times New Roman"/>
          <w:sz w:val="24"/>
          <w:szCs w:val="24"/>
        </w:rPr>
        <w:t>ie</w:t>
      </w:r>
      <w:r w:rsidR="00F94422" w:rsidRPr="00F94422">
        <w:rPr>
          <w:rFonts w:ascii="Times New Roman" w:hAnsi="Times New Roman" w:cs="Times New Roman"/>
          <w:sz w:val="24"/>
          <w:szCs w:val="24"/>
        </w:rPr>
        <w:t xml:space="preserve"> o funkcjonowaniu banków spółdzielczych</w:t>
      </w:r>
      <w:r w:rsidR="00570ADD">
        <w:rPr>
          <w:rFonts w:ascii="Times New Roman" w:hAnsi="Times New Roman" w:cs="Times New Roman"/>
          <w:sz w:val="24"/>
          <w:szCs w:val="24"/>
        </w:rPr>
        <w:t xml:space="preserve">. Celem tej zmiany jest umożliwienie przekazywania informacji objętych tajemnicą bankową w zakresie niezbędnym do zawarcia i wykonania umowy o </w:t>
      </w:r>
      <w:proofErr w:type="spellStart"/>
      <w:r w:rsidR="00570ADD">
        <w:rPr>
          <w:rFonts w:ascii="Times New Roman" w:hAnsi="Times New Roman" w:cs="Times New Roman"/>
          <w:sz w:val="24"/>
          <w:szCs w:val="24"/>
        </w:rPr>
        <w:t>subpartycypacj</w:t>
      </w:r>
      <w:r w:rsidR="00CE221B">
        <w:rPr>
          <w:rFonts w:ascii="Times New Roman" w:hAnsi="Times New Roman" w:cs="Times New Roman"/>
          <w:sz w:val="24"/>
          <w:szCs w:val="24"/>
        </w:rPr>
        <w:t>ę</w:t>
      </w:r>
      <w:proofErr w:type="spellEnd"/>
      <w:r w:rsidR="00CE221B">
        <w:rPr>
          <w:rFonts w:ascii="Times New Roman" w:hAnsi="Times New Roman" w:cs="Times New Roman"/>
          <w:sz w:val="24"/>
          <w:szCs w:val="24"/>
        </w:rPr>
        <w:t xml:space="preserve">. </w:t>
      </w:r>
      <w:r w:rsidR="00570ADD">
        <w:rPr>
          <w:rFonts w:ascii="Times New Roman" w:hAnsi="Times New Roman" w:cs="Times New Roman"/>
          <w:sz w:val="24"/>
          <w:szCs w:val="24"/>
        </w:rPr>
        <w:t xml:space="preserve">Wprowadzenie </w:t>
      </w:r>
      <w:r w:rsidR="00F701C6">
        <w:rPr>
          <w:rFonts w:ascii="Times New Roman" w:hAnsi="Times New Roman" w:cs="Times New Roman"/>
          <w:sz w:val="24"/>
          <w:szCs w:val="24"/>
        </w:rPr>
        <w:t>zaproponowanego wyłączenia</w:t>
      </w:r>
      <w:r w:rsidR="00570ADD">
        <w:rPr>
          <w:rFonts w:ascii="Times New Roman" w:hAnsi="Times New Roman" w:cs="Times New Roman"/>
          <w:sz w:val="24"/>
          <w:szCs w:val="24"/>
        </w:rPr>
        <w:t xml:space="preserve"> </w:t>
      </w:r>
      <w:r w:rsidR="00CE221B">
        <w:rPr>
          <w:rFonts w:ascii="Times New Roman" w:hAnsi="Times New Roman" w:cs="Times New Roman"/>
          <w:sz w:val="24"/>
          <w:szCs w:val="24"/>
        </w:rPr>
        <w:t>pozwoli</w:t>
      </w:r>
      <w:r w:rsidR="00570ADD">
        <w:rPr>
          <w:rFonts w:ascii="Times New Roman" w:hAnsi="Times New Roman" w:cs="Times New Roman"/>
          <w:sz w:val="24"/>
          <w:szCs w:val="24"/>
        </w:rPr>
        <w:t xml:space="preserve"> na jednoznaczne uregulowanie </w:t>
      </w:r>
      <w:r w:rsidR="00CE221B">
        <w:rPr>
          <w:rFonts w:ascii="Times New Roman" w:hAnsi="Times New Roman" w:cs="Times New Roman"/>
          <w:sz w:val="24"/>
          <w:szCs w:val="24"/>
        </w:rPr>
        <w:t>tej kwestii oraz uniknięcie wątpliwości prawnych związanych z przekazywaniem informacji objętych tajemnicą bankową.</w:t>
      </w:r>
    </w:p>
    <w:p w14:paraId="6ECC3738" w14:textId="0D037409" w:rsidR="000E3B53" w:rsidRPr="00346F05"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 xml:space="preserve">Zmiana brzmienia </w:t>
      </w:r>
      <w:r w:rsidRPr="00346F05">
        <w:rPr>
          <w:rFonts w:ascii="Times New Roman" w:hAnsi="Times New Roman" w:cs="Times New Roman"/>
          <w:b/>
          <w:bCs/>
          <w:sz w:val="24"/>
          <w:szCs w:val="24"/>
        </w:rPr>
        <w:t>art.</w:t>
      </w:r>
      <w:r w:rsidR="00151640">
        <w:rPr>
          <w:rFonts w:ascii="Times New Roman" w:hAnsi="Times New Roman" w:cs="Times New Roman"/>
          <w:b/>
          <w:bCs/>
          <w:sz w:val="24"/>
          <w:szCs w:val="24"/>
        </w:rPr>
        <w:t> </w:t>
      </w:r>
      <w:r w:rsidRPr="00346F05">
        <w:rPr>
          <w:rFonts w:ascii="Times New Roman" w:hAnsi="Times New Roman" w:cs="Times New Roman"/>
          <w:b/>
          <w:bCs/>
          <w:sz w:val="24"/>
          <w:szCs w:val="24"/>
        </w:rPr>
        <w:t>141o ust. 1</w:t>
      </w:r>
      <w:r w:rsidRPr="00346F05">
        <w:rPr>
          <w:rFonts w:ascii="Times New Roman" w:hAnsi="Times New Roman" w:cs="Times New Roman"/>
          <w:sz w:val="24"/>
          <w:szCs w:val="24"/>
        </w:rPr>
        <w:t xml:space="preserve"> jest zmianą wynik</w:t>
      </w:r>
      <w:r w:rsidR="000857DB">
        <w:rPr>
          <w:rFonts w:ascii="Times New Roman" w:hAnsi="Times New Roman" w:cs="Times New Roman"/>
          <w:sz w:val="24"/>
          <w:szCs w:val="24"/>
        </w:rPr>
        <w:t>ającą</w:t>
      </w:r>
      <w:r w:rsidRPr="00346F05">
        <w:rPr>
          <w:rFonts w:ascii="Times New Roman" w:hAnsi="Times New Roman" w:cs="Times New Roman"/>
          <w:sz w:val="24"/>
          <w:szCs w:val="24"/>
        </w:rPr>
        <w:t xml:space="preserve"> </w:t>
      </w:r>
      <w:r w:rsidR="000857DB">
        <w:rPr>
          <w:rFonts w:ascii="Times New Roman" w:hAnsi="Times New Roman" w:cs="Times New Roman"/>
          <w:sz w:val="24"/>
          <w:szCs w:val="24"/>
        </w:rPr>
        <w:t xml:space="preserve">z </w:t>
      </w:r>
      <w:r w:rsidRPr="00346F05">
        <w:rPr>
          <w:rFonts w:ascii="Times New Roman" w:hAnsi="Times New Roman" w:cs="Times New Roman"/>
          <w:sz w:val="24"/>
          <w:szCs w:val="24"/>
        </w:rPr>
        <w:t>uchylenia w ustawie</w:t>
      </w:r>
      <w:r w:rsidR="00151640">
        <w:rPr>
          <w:rFonts w:ascii="Times New Roman" w:hAnsi="Times New Roman" w:cs="Times New Roman"/>
          <w:sz w:val="24"/>
          <w:szCs w:val="24"/>
        </w:rPr>
        <w:t xml:space="preserve"> </w:t>
      </w:r>
      <w:r w:rsidRPr="00346F05">
        <w:rPr>
          <w:rFonts w:ascii="Times New Roman" w:hAnsi="Times New Roman" w:cs="Times New Roman"/>
          <w:sz w:val="24"/>
          <w:szCs w:val="24"/>
        </w:rPr>
        <w:t>o funkcjonowaniu banków spółdzielczych rozdziału 3b dotyczącego zrzeszenia zintegrowanego.</w:t>
      </w:r>
    </w:p>
    <w:p w14:paraId="2B6F4B51" w14:textId="0496DCB4" w:rsidR="000E3B53" w:rsidRPr="00346F05" w:rsidRDefault="000E3B53" w:rsidP="003C6BB6">
      <w:pPr>
        <w:spacing w:after="120" w:line="360" w:lineRule="auto"/>
        <w:jc w:val="both"/>
        <w:rPr>
          <w:rFonts w:ascii="Times New Roman" w:hAnsi="Times New Roman" w:cs="Times New Roman"/>
          <w:sz w:val="24"/>
          <w:szCs w:val="24"/>
          <w:u w:val="single"/>
        </w:rPr>
      </w:pPr>
      <w:r w:rsidRPr="00655235">
        <w:rPr>
          <w:rFonts w:ascii="Times New Roman" w:hAnsi="Times New Roman" w:cs="Times New Roman"/>
          <w:b/>
          <w:bCs/>
          <w:sz w:val="24"/>
          <w:szCs w:val="24"/>
          <w:u w:val="single"/>
        </w:rPr>
        <w:t>Art. 4</w:t>
      </w:r>
      <w:r w:rsidRPr="00346F05">
        <w:rPr>
          <w:rFonts w:ascii="Times New Roman" w:hAnsi="Times New Roman" w:cs="Times New Roman"/>
          <w:sz w:val="24"/>
          <w:szCs w:val="24"/>
          <w:u w:val="single"/>
        </w:rPr>
        <w:t xml:space="preserve"> – zmiany w ustawie </w:t>
      </w:r>
      <w:r w:rsidRPr="00346F05">
        <w:rPr>
          <w:rFonts w:ascii="Times New Roman" w:hAnsi="Times New Roman" w:cs="Times New Roman"/>
          <w:color w:val="000000" w:themeColor="text1"/>
          <w:sz w:val="24"/>
          <w:szCs w:val="24"/>
          <w:u w:val="single"/>
        </w:rPr>
        <w:t>–</w:t>
      </w:r>
      <w:r w:rsidRPr="00346F05">
        <w:rPr>
          <w:rFonts w:ascii="Times New Roman" w:hAnsi="Times New Roman" w:cs="Times New Roman"/>
          <w:sz w:val="24"/>
          <w:szCs w:val="24"/>
          <w:u w:val="single"/>
        </w:rPr>
        <w:t xml:space="preserve"> Prawo upadłościowe</w:t>
      </w:r>
    </w:p>
    <w:p w14:paraId="67A93286" w14:textId="53564648" w:rsidR="000E3B53"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 xml:space="preserve">Zmiana brzmienia </w:t>
      </w:r>
      <w:r w:rsidRPr="00346F05">
        <w:rPr>
          <w:rFonts w:ascii="Times New Roman" w:hAnsi="Times New Roman" w:cs="Times New Roman"/>
          <w:b/>
          <w:bCs/>
          <w:sz w:val="24"/>
          <w:szCs w:val="24"/>
        </w:rPr>
        <w:t>art. 65a</w:t>
      </w:r>
      <w:r w:rsidRPr="00346F05">
        <w:rPr>
          <w:rFonts w:ascii="Times New Roman" w:hAnsi="Times New Roman" w:cs="Times New Roman"/>
          <w:sz w:val="24"/>
          <w:szCs w:val="24"/>
        </w:rPr>
        <w:t xml:space="preserve"> jest </w:t>
      </w:r>
      <w:r w:rsidR="001071A0">
        <w:rPr>
          <w:rFonts w:ascii="Times New Roman" w:hAnsi="Times New Roman" w:cs="Times New Roman"/>
          <w:sz w:val="24"/>
          <w:szCs w:val="24"/>
        </w:rPr>
        <w:t>powiązana ze</w:t>
      </w:r>
      <w:r w:rsidRPr="00346F05">
        <w:rPr>
          <w:rFonts w:ascii="Times New Roman" w:hAnsi="Times New Roman" w:cs="Times New Roman"/>
          <w:sz w:val="24"/>
          <w:szCs w:val="24"/>
        </w:rPr>
        <w:t xml:space="preserve"> </w:t>
      </w:r>
      <w:r w:rsidR="001071A0">
        <w:rPr>
          <w:rFonts w:ascii="Times New Roman" w:hAnsi="Times New Roman" w:cs="Times New Roman"/>
          <w:sz w:val="24"/>
          <w:szCs w:val="24"/>
        </w:rPr>
        <w:t xml:space="preserve">zmianą </w:t>
      </w:r>
      <w:r w:rsidRPr="00346F05">
        <w:rPr>
          <w:rFonts w:ascii="Times New Roman" w:hAnsi="Times New Roman" w:cs="Times New Roman"/>
          <w:sz w:val="24"/>
          <w:szCs w:val="24"/>
        </w:rPr>
        <w:t>dokonan</w:t>
      </w:r>
      <w:r w:rsidR="001071A0">
        <w:rPr>
          <w:rFonts w:ascii="Times New Roman" w:hAnsi="Times New Roman" w:cs="Times New Roman"/>
          <w:sz w:val="24"/>
          <w:szCs w:val="24"/>
        </w:rPr>
        <w:t>ą</w:t>
      </w:r>
      <w:r w:rsidRPr="00346F05">
        <w:rPr>
          <w:rFonts w:ascii="Times New Roman" w:hAnsi="Times New Roman" w:cs="Times New Roman"/>
          <w:sz w:val="24"/>
          <w:szCs w:val="24"/>
        </w:rPr>
        <w:t xml:space="preserve"> w ustawie o funkcjonowaniu banków spółdzielczych w zakresie subpartycypacji. Zgodnie z nowym brzmieniem przepisu w</w:t>
      </w:r>
      <w:r w:rsidR="00187E0A">
        <w:rPr>
          <w:rFonts w:ascii="Times New Roman" w:hAnsi="Times New Roman" w:cs="Times New Roman"/>
          <w:sz w:val="24"/>
          <w:szCs w:val="24"/>
        </w:rPr>
        <w:t> </w:t>
      </w:r>
      <w:r w:rsidRPr="00346F05">
        <w:rPr>
          <w:rFonts w:ascii="Times New Roman" w:hAnsi="Times New Roman" w:cs="Times New Roman"/>
          <w:sz w:val="24"/>
          <w:szCs w:val="24"/>
        </w:rPr>
        <w:t xml:space="preserve">skład masy upadłości upadłego będącego stroną umowy o </w:t>
      </w:r>
      <w:proofErr w:type="spellStart"/>
      <w:r w:rsidRPr="00346F05">
        <w:rPr>
          <w:rFonts w:ascii="Times New Roman" w:hAnsi="Times New Roman" w:cs="Times New Roman"/>
          <w:sz w:val="24"/>
          <w:szCs w:val="24"/>
        </w:rPr>
        <w:t>subpartycypację</w:t>
      </w:r>
      <w:proofErr w:type="spellEnd"/>
      <w:r w:rsidRPr="00346F05">
        <w:rPr>
          <w:rFonts w:ascii="Times New Roman" w:hAnsi="Times New Roman" w:cs="Times New Roman"/>
          <w:sz w:val="24"/>
          <w:szCs w:val="24"/>
        </w:rPr>
        <w:t xml:space="preserve">, o której mowa w art. 183 ust. 4 ustawy z dnia 27 maja 2004 r. o funduszach inwestycyjnych i zarządzaniu alternatywnymi funduszami inwestycyjnymi, </w:t>
      </w:r>
      <w:r w:rsidR="000857DB" w:rsidRPr="000857DB">
        <w:rPr>
          <w:rFonts w:ascii="Times New Roman" w:hAnsi="Times New Roman" w:cs="Times New Roman"/>
          <w:sz w:val="24"/>
          <w:szCs w:val="24"/>
        </w:rPr>
        <w:t xml:space="preserve">lub umowy o </w:t>
      </w:r>
      <w:proofErr w:type="spellStart"/>
      <w:r w:rsidR="000857DB" w:rsidRPr="000857DB">
        <w:rPr>
          <w:rFonts w:ascii="Times New Roman" w:hAnsi="Times New Roman" w:cs="Times New Roman"/>
          <w:sz w:val="24"/>
          <w:szCs w:val="24"/>
        </w:rPr>
        <w:t>subpartycypację</w:t>
      </w:r>
      <w:proofErr w:type="spellEnd"/>
      <w:r w:rsidR="000857DB" w:rsidRPr="000857DB">
        <w:rPr>
          <w:rFonts w:ascii="Times New Roman" w:hAnsi="Times New Roman" w:cs="Times New Roman"/>
          <w:sz w:val="24"/>
          <w:szCs w:val="24"/>
        </w:rPr>
        <w:t>, o której mowa w art. 22ga ust. 1 pkt 2 ustawy o funkcjonowaniu banków spółdzielczych</w:t>
      </w:r>
      <w:r w:rsidR="000857DB">
        <w:rPr>
          <w:rFonts w:ascii="Times New Roman" w:hAnsi="Times New Roman" w:cs="Times New Roman"/>
          <w:sz w:val="24"/>
          <w:szCs w:val="24"/>
        </w:rPr>
        <w:t>,</w:t>
      </w:r>
      <w:r w:rsidR="000857DB" w:rsidRPr="000857DB">
        <w:rPr>
          <w:rFonts w:ascii="Times New Roman" w:hAnsi="Times New Roman" w:cs="Times New Roman"/>
          <w:sz w:val="24"/>
          <w:szCs w:val="24"/>
        </w:rPr>
        <w:t xml:space="preserve"> </w:t>
      </w:r>
      <w:r w:rsidRPr="00346F05">
        <w:rPr>
          <w:rFonts w:ascii="Times New Roman" w:hAnsi="Times New Roman" w:cs="Times New Roman"/>
          <w:sz w:val="24"/>
          <w:szCs w:val="24"/>
        </w:rPr>
        <w:t>nie wchodzą wierzytelności będące przedmiotem tej umowy. Zgodnie z ust. 2 fundusz wierzytelności</w:t>
      </w:r>
      <w:r w:rsidR="004953E6">
        <w:rPr>
          <w:rFonts w:ascii="Times New Roman" w:hAnsi="Times New Roman" w:cs="Times New Roman"/>
          <w:sz w:val="24"/>
          <w:szCs w:val="24"/>
        </w:rPr>
        <w:t xml:space="preserve"> </w:t>
      </w:r>
      <w:r w:rsidR="004953E6" w:rsidRPr="004953E6">
        <w:rPr>
          <w:rFonts w:ascii="Times New Roman" w:hAnsi="Times New Roman" w:cs="Times New Roman"/>
          <w:sz w:val="24"/>
          <w:szCs w:val="24"/>
        </w:rPr>
        <w:t xml:space="preserve">albo </w:t>
      </w:r>
      <w:r w:rsidR="004953E6" w:rsidRPr="004953E6">
        <w:rPr>
          <w:rFonts w:ascii="Times New Roman" w:hAnsi="Times New Roman" w:cs="Times New Roman"/>
          <w:sz w:val="24"/>
          <w:szCs w:val="24"/>
        </w:rPr>
        <w:lastRenderedPageBreak/>
        <w:t>bank zrzeszający zarządzający systemem ochrony albo jednostka zarządzająca systemem ochrony</w:t>
      </w:r>
      <w:r w:rsidR="004953E6">
        <w:rPr>
          <w:rFonts w:ascii="Times New Roman" w:hAnsi="Times New Roman" w:cs="Times New Roman"/>
          <w:sz w:val="24"/>
          <w:szCs w:val="24"/>
        </w:rPr>
        <w:t xml:space="preserve"> </w:t>
      </w:r>
      <w:r w:rsidRPr="00346F05">
        <w:rPr>
          <w:rFonts w:ascii="Times New Roman" w:hAnsi="Times New Roman" w:cs="Times New Roman"/>
          <w:sz w:val="24"/>
          <w:szCs w:val="24"/>
        </w:rPr>
        <w:t xml:space="preserve">wstępuje w prawa upadłego z tytułu wierzytelności podlegających wyłączeniu zgodnie z art. 65a ust. 1 oraz zabezpieczeń tych wierzytelności. Syndyk przekazuje funduszowi wierzytelności </w:t>
      </w:r>
      <w:r w:rsidR="004953E6" w:rsidRPr="004953E6">
        <w:rPr>
          <w:rFonts w:ascii="Times New Roman" w:hAnsi="Times New Roman" w:cs="Times New Roman"/>
          <w:sz w:val="24"/>
          <w:szCs w:val="24"/>
        </w:rPr>
        <w:t>albo bank</w:t>
      </w:r>
      <w:r w:rsidR="004953E6">
        <w:rPr>
          <w:rFonts w:ascii="Times New Roman" w:hAnsi="Times New Roman" w:cs="Times New Roman"/>
          <w:sz w:val="24"/>
          <w:szCs w:val="24"/>
        </w:rPr>
        <w:t>owi</w:t>
      </w:r>
      <w:r w:rsidR="004953E6" w:rsidRPr="004953E6">
        <w:rPr>
          <w:rFonts w:ascii="Times New Roman" w:hAnsi="Times New Roman" w:cs="Times New Roman"/>
          <w:sz w:val="24"/>
          <w:szCs w:val="24"/>
        </w:rPr>
        <w:t xml:space="preserve"> zrzeszając</w:t>
      </w:r>
      <w:r w:rsidR="004953E6">
        <w:rPr>
          <w:rFonts w:ascii="Times New Roman" w:hAnsi="Times New Roman" w:cs="Times New Roman"/>
          <w:sz w:val="24"/>
          <w:szCs w:val="24"/>
        </w:rPr>
        <w:t>emu</w:t>
      </w:r>
      <w:r w:rsidR="004953E6" w:rsidRPr="004953E6">
        <w:rPr>
          <w:rFonts w:ascii="Times New Roman" w:hAnsi="Times New Roman" w:cs="Times New Roman"/>
          <w:sz w:val="24"/>
          <w:szCs w:val="24"/>
        </w:rPr>
        <w:t xml:space="preserve"> zarządzając</w:t>
      </w:r>
      <w:r w:rsidR="004953E6">
        <w:rPr>
          <w:rFonts w:ascii="Times New Roman" w:hAnsi="Times New Roman" w:cs="Times New Roman"/>
          <w:sz w:val="24"/>
          <w:szCs w:val="24"/>
        </w:rPr>
        <w:t>emu</w:t>
      </w:r>
      <w:r w:rsidR="004953E6" w:rsidRPr="004953E6">
        <w:rPr>
          <w:rFonts w:ascii="Times New Roman" w:hAnsi="Times New Roman" w:cs="Times New Roman"/>
          <w:sz w:val="24"/>
          <w:szCs w:val="24"/>
        </w:rPr>
        <w:t xml:space="preserve"> systemem ochrony albo jednost</w:t>
      </w:r>
      <w:r w:rsidR="004953E6">
        <w:rPr>
          <w:rFonts w:ascii="Times New Roman" w:hAnsi="Times New Roman" w:cs="Times New Roman"/>
          <w:sz w:val="24"/>
          <w:szCs w:val="24"/>
        </w:rPr>
        <w:t>ce</w:t>
      </w:r>
      <w:r w:rsidR="004953E6" w:rsidRPr="004953E6">
        <w:rPr>
          <w:rFonts w:ascii="Times New Roman" w:hAnsi="Times New Roman" w:cs="Times New Roman"/>
          <w:sz w:val="24"/>
          <w:szCs w:val="24"/>
        </w:rPr>
        <w:t xml:space="preserve"> zarządzając</w:t>
      </w:r>
      <w:r w:rsidR="004953E6">
        <w:rPr>
          <w:rFonts w:ascii="Times New Roman" w:hAnsi="Times New Roman" w:cs="Times New Roman"/>
          <w:sz w:val="24"/>
          <w:szCs w:val="24"/>
        </w:rPr>
        <w:t>ej</w:t>
      </w:r>
      <w:r w:rsidR="004953E6" w:rsidRPr="004953E6">
        <w:rPr>
          <w:rFonts w:ascii="Times New Roman" w:hAnsi="Times New Roman" w:cs="Times New Roman"/>
          <w:sz w:val="24"/>
          <w:szCs w:val="24"/>
        </w:rPr>
        <w:t xml:space="preserve"> systemem ochrony</w:t>
      </w:r>
      <w:r w:rsidR="004953E6">
        <w:rPr>
          <w:rFonts w:ascii="Times New Roman" w:hAnsi="Times New Roman" w:cs="Times New Roman"/>
          <w:sz w:val="24"/>
          <w:szCs w:val="24"/>
        </w:rPr>
        <w:t xml:space="preserve"> </w:t>
      </w:r>
      <w:r w:rsidRPr="00346F05">
        <w:rPr>
          <w:rFonts w:ascii="Times New Roman" w:hAnsi="Times New Roman" w:cs="Times New Roman"/>
          <w:sz w:val="24"/>
          <w:szCs w:val="24"/>
        </w:rPr>
        <w:t>świadczenia otrzymane od dłużników z tytułu wierzytelności, o których mowa w</w:t>
      </w:r>
      <w:r w:rsidR="00187E0A">
        <w:rPr>
          <w:rFonts w:ascii="Times New Roman" w:hAnsi="Times New Roman" w:cs="Times New Roman"/>
          <w:sz w:val="24"/>
          <w:szCs w:val="24"/>
        </w:rPr>
        <w:t> </w:t>
      </w:r>
      <w:r w:rsidRPr="00346F05">
        <w:rPr>
          <w:rFonts w:ascii="Times New Roman" w:hAnsi="Times New Roman" w:cs="Times New Roman"/>
          <w:sz w:val="24"/>
          <w:szCs w:val="24"/>
        </w:rPr>
        <w:t>art.</w:t>
      </w:r>
      <w:r w:rsidR="00187E0A">
        <w:rPr>
          <w:rFonts w:ascii="Times New Roman" w:hAnsi="Times New Roman" w:cs="Times New Roman"/>
          <w:sz w:val="24"/>
          <w:szCs w:val="24"/>
        </w:rPr>
        <w:t> </w:t>
      </w:r>
      <w:r w:rsidRPr="00346F05">
        <w:rPr>
          <w:rFonts w:ascii="Times New Roman" w:hAnsi="Times New Roman" w:cs="Times New Roman"/>
          <w:sz w:val="24"/>
          <w:szCs w:val="24"/>
        </w:rPr>
        <w:t xml:space="preserve">65a ust. 1, oraz dłużników z tytułu zabezpieczeń tych wierzytelności. </w:t>
      </w:r>
    </w:p>
    <w:p w14:paraId="12A80ADA" w14:textId="72EA43E0" w:rsidR="007E5469" w:rsidRPr="00590C2B" w:rsidRDefault="007E5469" w:rsidP="003C6BB6">
      <w:pPr>
        <w:spacing w:after="120" w:line="360" w:lineRule="auto"/>
        <w:jc w:val="both"/>
        <w:rPr>
          <w:rFonts w:ascii="Times New Roman" w:hAnsi="Times New Roman" w:cs="Times New Roman"/>
          <w:sz w:val="24"/>
          <w:szCs w:val="24"/>
          <w:u w:val="single"/>
        </w:rPr>
      </w:pPr>
      <w:r w:rsidRPr="008757BC">
        <w:rPr>
          <w:rFonts w:ascii="Times New Roman" w:hAnsi="Times New Roman" w:cs="Times New Roman"/>
          <w:b/>
          <w:bCs/>
          <w:sz w:val="24"/>
          <w:szCs w:val="24"/>
          <w:u w:val="single"/>
        </w:rPr>
        <w:t>Art. 5</w:t>
      </w:r>
      <w:r w:rsidRPr="00590C2B">
        <w:rPr>
          <w:rFonts w:ascii="Times New Roman" w:hAnsi="Times New Roman" w:cs="Times New Roman"/>
          <w:sz w:val="24"/>
          <w:szCs w:val="24"/>
          <w:u w:val="single"/>
        </w:rPr>
        <w:t xml:space="preserve"> – zmiany w ustawie o </w:t>
      </w:r>
      <w:r w:rsidR="00F56789">
        <w:rPr>
          <w:rFonts w:ascii="Times New Roman" w:hAnsi="Times New Roman" w:cs="Times New Roman"/>
          <w:sz w:val="24"/>
          <w:szCs w:val="24"/>
          <w:u w:val="single"/>
        </w:rPr>
        <w:t>skok</w:t>
      </w:r>
      <w:r w:rsidRPr="00590C2B">
        <w:rPr>
          <w:rFonts w:ascii="Times New Roman" w:hAnsi="Times New Roman" w:cs="Times New Roman"/>
          <w:sz w:val="24"/>
          <w:szCs w:val="24"/>
          <w:u w:val="single"/>
        </w:rPr>
        <w:t xml:space="preserve"> </w:t>
      </w:r>
    </w:p>
    <w:p w14:paraId="2D9044B1" w14:textId="586B1E45" w:rsidR="007E5469" w:rsidRPr="00590C2B" w:rsidRDefault="007E5469" w:rsidP="003C6BB6">
      <w:pPr>
        <w:spacing w:after="120" w:line="360" w:lineRule="auto"/>
        <w:jc w:val="both"/>
        <w:rPr>
          <w:rFonts w:ascii="Times New Roman" w:hAnsi="Times New Roman" w:cs="Times New Roman"/>
          <w:sz w:val="24"/>
          <w:szCs w:val="24"/>
        </w:rPr>
      </w:pPr>
      <w:r w:rsidRPr="00590C2B">
        <w:rPr>
          <w:rFonts w:ascii="Times New Roman" w:hAnsi="Times New Roman" w:cs="Times New Roman"/>
          <w:sz w:val="24"/>
          <w:szCs w:val="24"/>
        </w:rPr>
        <w:t xml:space="preserve">Celem działalności Kasy Krajowej jest zapewnienie stabilności finansowej kas, przez udzielanie kasom wsparcia finansowego ze środków funduszu stabilizacyjnego, który tworzony jest z wnoszonych przez kasy środków. </w:t>
      </w:r>
      <w:r w:rsidR="00590C2B" w:rsidRPr="00590C2B">
        <w:rPr>
          <w:rFonts w:ascii="Times New Roman" w:hAnsi="Times New Roman" w:cs="Times New Roman"/>
          <w:sz w:val="24"/>
          <w:szCs w:val="24"/>
        </w:rPr>
        <w:t>Jednakże z przepisów tej ustawy w zakresie działalności funduszu stabilizacyjnego nie wynika jasno</w:t>
      </w:r>
      <w:r w:rsidR="0067578D">
        <w:rPr>
          <w:rFonts w:ascii="Times New Roman" w:hAnsi="Times New Roman" w:cs="Times New Roman"/>
          <w:sz w:val="24"/>
          <w:szCs w:val="24"/>
        </w:rPr>
        <w:t>, w jaki sposób jest rozliczane wykorzystanie funduszu.</w:t>
      </w:r>
      <w:r w:rsidR="00590C2B" w:rsidRPr="00590C2B">
        <w:rPr>
          <w:rFonts w:ascii="Times New Roman" w:hAnsi="Times New Roman" w:cs="Times New Roman"/>
          <w:sz w:val="24"/>
          <w:szCs w:val="24"/>
        </w:rPr>
        <w:t xml:space="preserve"> </w:t>
      </w:r>
      <w:r w:rsidRPr="00590C2B">
        <w:rPr>
          <w:rFonts w:ascii="Times New Roman" w:hAnsi="Times New Roman" w:cs="Times New Roman"/>
          <w:sz w:val="24"/>
          <w:szCs w:val="24"/>
        </w:rPr>
        <w:t xml:space="preserve">Proponowane dodanie w </w:t>
      </w:r>
      <w:r w:rsidRPr="00590C2B">
        <w:rPr>
          <w:rFonts w:ascii="Times New Roman" w:hAnsi="Times New Roman" w:cs="Times New Roman"/>
          <w:b/>
          <w:bCs/>
          <w:sz w:val="24"/>
          <w:szCs w:val="24"/>
        </w:rPr>
        <w:t>art. 55 ust. 5</w:t>
      </w:r>
      <w:r w:rsidR="00ED3494" w:rsidRPr="00346F05">
        <w:rPr>
          <w:rFonts w:ascii="Times New Roman" w:hAnsi="Times New Roman" w:cs="Times New Roman"/>
          <w:sz w:val="24"/>
          <w:szCs w:val="24"/>
          <w:u w:val="single"/>
        </w:rPr>
        <w:t>–</w:t>
      </w:r>
      <w:r w:rsidRPr="00590C2B">
        <w:rPr>
          <w:rFonts w:ascii="Times New Roman" w:hAnsi="Times New Roman" w:cs="Times New Roman"/>
          <w:b/>
          <w:bCs/>
          <w:sz w:val="24"/>
          <w:szCs w:val="24"/>
        </w:rPr>
        <w:t xml:space="preserve">7 </w:t>
      </w:r>
      <w:r w:rsidRPr="00590C2B">
        <w:rPr>
          <w:rFonts w:ascii="Times New Roman" w:hAnsi="Times New Roman" w:cs="Times New Roman"/>
          <w:sz w:val="24"/>
          <w:szCs w:val="24"/>
        </w:rPr>
        <w:t>m</w:t>
      </w:r>
      <w:r w:rsidR="00590C2B" w:rsidRPr="00590C2B">
        <w:rPr>
          <w:rFonts w:ascii="Times New Roman" w:hAnsi="Times New Roman" w:cs="Times New Roman"/>
          <w:sz w:val="24"/>
          <w:szCs w:val="24"/>
        </w:rPr>
        <w:t xml:space="preserve">a na celu jednoznaczne określenie, że </w:t>
      </w:r>
      <w:r w:rsidR="00590C2B" w:rsidRPr="00590C2B">
        <w:rPr>
          <w:rFonts w:ascii="Times New Roman" w:hAnsi="Times New Roman" w:cs="Times New Roman"/>
          <w:iCs/>
          <w:sz w:val="24"/>
          <w:szCs w:val="24"/>
        </w:rPr>
        <w:t>przychody i koszty związane z realizacją celów funduszu stabilizacyjnego będą odnoszone na ten fundusz</w:t>
      </w:r>
      <w:r w:rsidR="00720795">
        <w:rPr>
          <w:rFonts w:ascii="Times New Roman" w:hAnsi="Times New Roman" w:cs="Times New Roman"/>
          <w:iCs/>
          <w:sz w:val="24"/>
          <w:szCs w:val="24"/>
        </w:rPr>
        <w:t>.</w:t>
      </w:r>
      <w:r w:rsidR="00590C2B" w:rsidRPr="00590C2B">
        <w:rPr>
          <w:rFonts w:ascii="Times New Roman" w:hAnsi="Times New Roman" w:cs="Times New Roman"/>
          <w:sz w:val="24"/>
          <w:szCs w:val="24"/>
        </w:rPr>
        <w:t xml:space="preserve"> </w:t>
      </w:r>
      <w:r w:rsidRPr="00590C2B">
        <w:rPr>
          <w:rFonts w:ascii="Times New Roman" w:hAnsi="Times New Roman" w:cs="Times New Roman"/>
          <w:sz w:val="24"/>
          <w:szCs w:val="24"/>
        </w:rPr>
        <w:t>Należy wskazać, że uwzględnienie przepływów z inwestycji i pomocy finansowej bezpośrednio w funduszu odzwierciedli rzeczywisty obraz sytuacji finansowej i ryzyk związanych z jego działalnością. Zwiększy także stabilność finansową kas</w:t>
      </w:r>
      <w:r w:rsidR="00720795">
        <w:rPr>
          <w:rFonts w:ascii="Times New Roman" w:hAnsi="Times New Roman" w:cs="Times New Roman"/>
          <w:sz w:val="24"/>
          <w:szCs w:val="24"/>
        </w:rPr>
        <w:t>,</w:t>
      </w:r>
      <w:r w:rsidRPr="00590C2B">
        <w:rPr>
          <w:rFonts w:ascii="Times New Roman" w:hAnsi="Times New Roman" w:cs="Times New Roman"/>
          <w:sz w:val="24"/>
          <w:szCs w:val="24"/>
        </w:rPr>
        <w:t xml:space="preserve"> umożliwiając efektywną pomoc w sytuacjach kryzysowych.</w:t>
      </w:r>
      <w:r w:rsidR="003B2EFC">
        <w:rPr>
          <w:rFonts w:ascii="Times New Roman" w:hAnsi="Times New Roman" w:cs="Times New Roman"/>
          <w:sz w:val="24"/>
          <w:szCs w:val="24"/>
        </w:rPr>
        <w:t xml:space="preserve"> </w:t>
      </w:r>
      <w:r w:rsidR="003B2EFC" w:rsidRPr="00971488">
        <w:rPr>
          <w:rFonts w:ascii="Times New Roman" w:hAnsi="Times New Roman" w:cs="Times New Roman"/>
          <w:sz w:val="24"/>
          <w:szCs w:val="24"/>
        </w:rPr>
        <w:t xml:space="preserve">Proponowane przepisy mieszczą się w ogólnych zasadach odnoszenia przychodów oraz kosztów i stanowią ich doprecyzowanie, zapewniając uspójnienie podejścia. Nie identyfikuje się również trudności z ich jednolitym zastosowaniem przez uczestników rynku. Obecna praktyka, w analogicznym zakresie, jest sankcjonowana interpretacją obecnie obowiązujących przepisów ustaw sektorowych, ustawy o rachunkowości oraz </w:t>
      </w:r>
      <w:r w:rsidR="00A84E0A">
        <w:rPr>
          <w:rFonts w:ascii="Times New Roman" w:hAnsi="Times New Roman" w:cs="Times New Roman"/>
          <w:sz w:val="24"/>
          <w:szCs w:val="24"/>
        </w:rPr>
        <w:t>postanowień</w:t>
      </w:r>
      <w:r w:rsidR="00A84E0A" w:rsidRPr="00971488">
        <w:rPr>
          <w:rFonts w:ascii="Times New Roman" w:hAnsi="Times New Roman" w:cs="Times New Roman"/>
          <w:sz w:val="24"/>
          <w:szCs w:val="24"/>
        </w:rPr>
        <w:t xml:space="preserve"> </w:t>
      </w:r>
      <w:r w:rsidR="003B2EFC" w:rsidRPr="00971488">
        <w:rPr>
          <w:rFonts w:ascii="Times New Roman" w:hAnsi="Times New Roman" w:cs="Times New Roman"/>
          <w:sz w:val="24"/>
          <w:szCs w:val="24"/>
        </w:rPr>
        <w:t>w aktach statutowych jednostek zarządzających. Dlatego w niniejszej sytuacji nie występuje konieczność wprowadzania przepisów przejściowych.</w:t>
      </w:r>
    </w:p>
    <w:p w14:paraId="42DBCE92" w14:textId="77F5A6A8" w:rsidR="000E3B53" w:rsidRPr="00346F05" w:rsidRDefault="000E3B53" w:rsidP="003C6BB6">
      <w:pPr>
        <w:spacing w:after="120" w:line="360" w:lineRule="auto"/>
        <w:jc w:val="both"/>
        <w:rPr>
          <w:rFonts w:ascii="Times New Roman" w:hAnsi="Times New Roman" w:cs="Times New Roman"/>
          <w:sz w:val="24"/>
          <w:szCs w:val="24"/>
          <w:u w:val="single"/>
        </w:rPr>
      </w:pPr>
      <w:r w:rsidRPr="00655235">
        <w:rPr>
          <w:rFonts w:ascii="Times New Roman" w:hAnsi="Times New Roman" w:cs="Times New Roman"/>
          <w:b/>
          <w:bCs/>
          <w:sz w:val="24"/>
          <w:szCs w:val="24"/>
          <w:u w:val="single"/>
        </w:rPr>
        <w:t xml:space="preserve">Art. </w:t>
      </w:r>
      <w:r w:rsidR="007E5469">
        <w:rPr>
          <w:rFonts w:ascii="Times New Roman" w:hAnsi="Times New Roman" w:cs="Times New Roman"/>
          <w:b/>
          <w:bCs/>
          <w:sz w:val="24"/>
          <w:szCs w:val="24"/>
          <w:u w:val="single"/>
        </w:rPr>
        <w:t>6</w:t>
      </w:r>
      <w:r w:rsidR="001071A0" w:rsidRPr="00346F05">
        <w:rPr>
          <w:rFonts w:ascii="Times New Roman" w:hAnsi="Times New Roman" w:cs="Times New Roman"/>
          <w:sz w:val="24"/>
          <w:szCs w:val="24"/>
          <w:u w:val="single"/>
        </w:rPr>
        <w:t xml:space="preserve"> </w:t>
      </w:r>
      <w:r w:rsidRPr="00346F05">
        <w:rPr>
          <w:rFonts w:ascii="Times New Roman" w:hAnsi="Times New Roman" w:cs="Times New Roman"/>
          <w:sz w:val="24"/>
          <w:szCs w:val="24"/>
          <w:u w:val="single"/>
        </w:rPr>
        <w:t>– zmiany w ustawie o BFG</w:t>
      </w:r>
    </w:p>
    <w:p w14:paraId="1C2A7AD7" w14:textId="20751A6E" w:rsidR="00590C2B" w:rsidRDefault="000E3B53"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 xml:space="preserve">Zmiana w </w:t>
      </w:r>
      <w:r w:rsidRPr="00346F05">
        <w:rPr>
          <w:rFonts w:ascii="Times New Roman" w:hAnsi="Times New Roman" w:cs="Times New Roman"/>
          <w:b/>
          <w:bCs/>
          <w:sz w:val="24"/>
          <w:szCs w:val="24"/>
        </w:rPr>
        <w:t xml:space="preserve">art. 160 </w:t>
      </w:r>
      <w:r w:rsidRPr="00346F05">
        <w:rPr>
          <w:rFonts w:ascii="Times New Roman" w:hAnsi="Times New Roman" w:cs="Times New Roman"/>
          <w:sz w:val="24"/>
          <w:szCs w:val="24"/>
        </w:rPr>
        <w:t>jest zmianą wynik</w:t>
      </w:r>
      <w:r w:rsidR="000857DB">
        <w:rPr>
          <w:rFonts w:ascii="Times New Roman" w:hAnsi="Times New Roman" w:cs="Times New Roman"/>
          <w:sz w:val="24"/>
          <w:szCs w:val="24"/>
        </w:rPr>
        <w:t>ającą</w:t>
      </w:r>
      <w:r w:rsidRPr="00346F05">
        <w:rPr>
          <w:rFonts w:ascii="Times New Roman" w:hAnsi="Times New Roman" w:cs="Times New Roman"/>
          <w:sz w:val="24"/>
          <w:szCs w:val="24"/>
        </w:rPr>
        <w:t xml:space="preserve"> </w:t>
      </w:r>
      <w:r w:rsidR="000857DB">
        <w:rPr>
          <w:rFonts w:ascii="Times New Roman" w:hAnsi="Times New Roman" w:cs="Times New Roman"/>
          <w:sz w:val="24"/>
          <w:szCs w:val="24"/>
        </w:rPr>
        <w:t xml:space="preserve">z </w:t>
      </w:r>
      <w:r w:rsidRPr="00346F05">
        <w:rPr>
          <w:rFonts w:ascii="Times New Roman" w:hAnsi="Times New Roman" w:cs="Times New Roman"/>
          <w:sz w:val="24"/>
          <w:szCs w:val="24"/>
        </w:rPr>
        <w:t>uchylenia w ustawie o funkcjonowaniu banków spółdzielczych rozdziału 3b dotyczącego zrzeszenia zintegrowanego.</w:t>
      </w:r>
    </w:p>
    <w:p w14:paraId="306C1A8C" w14:textId="28F97114" w:rsidR="00137402" w:rsidRPr="00655235" w:rsidRDefault="00137402" w:rsidP="003C6BB6">
      <w:pPr>
        <w:spacing w:after="120" w:line="360" w:lineRule="auto"/>
        <w:jc w:val="both"/>
        <w:rPr>
          <w:rFonts w:ascii="Times New Roman" w:hAnsi="Times New Roman" w:cs="Times New Roman"/>
          <w:b/>
          <w:bCs/>
          <w:sz w:val="24"/>
          <w:szCs w:val="24"/>
          <w:u w:val="single"/>
        </w:rPr>
      </w:pPr>
      <w:r w:rsidRPr="00655235">
        <w:rPr>
          <w:rFonts w:ascii="Times New Roman" w:hAnsi="Times New Roman" w:cs="Times New Roman"/>
          <w:b/>
          <w:bCs/>
          <w:sz w:val="24"/>
          <w:szCs w:val="24"/>
          <w:u w:val="single"/>
        </w:rPr>
        <w:t>Art.</w:t>
      </w:r>
      <w:r w:rsidR="00B06505" w:rsidRPr="00655235">
        <w:rPr>
          <w:rFonts w:ascii="Times New Roman" w:hAnsi="Times New Roman" w:cs="Times New Roman"/>
          <w:b/>
          <w:bCs/>
          <w:sz w:val="24"/>
          <w:szCs w:val="24"/>
          <w:u w:val="single"/>
        </w:rPr>
        <w:t xml:space="preserve"> </w:t>
      </w:r>
      <w:r w:rsidR="00FF08F4">
        <w:rPr>
          <w:rFonts w:ascii="Times New Roman" w:hAnsi="Times New Roman" w:cs="Times New Roman"/>
          <w:b/>
          <w:bCs/>
          <w:sz w:val="24"/>
          <w:szCs w:val="24"/>
          <w:u w:val="single"/>
        </w:rPr>
        <w:t>7</w:t>
      </w:r>
    </w:p>
    <w:p w14:paraId="5E42EAD4" w14:textId="42E62BBF" w:rsidR="00151A6A" w:rsidRDefault="00151A6A" w:rsidP="003C6BB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Celem </w:t>
      </w:r>
      <w:r w:rsidR="00151640">
        <w:rPr>
          <w:rFonts w:ascii="Times New Roman" w:hAnsi="Times New Roman" w:cs="Times New Roman"/>
          <w:sz w:val="24"/>
          <w:szCs w:val="24"/>
        </w:rPr>
        <w:t>przepisu</w:t>
      </w:r>
      <w:r>
        <w:rPr>
          <w:rFonts w:ascii="Times New Roman" w:hAnsi="Times New Roman" w:cs="Times New Roman"/>
          <w:sz w:val="24"/>
          <w:szCs w:val="24"/>
        </w:rPr>
        <w:t xml:space="preserve"> jest</w:t>
      </w:r>
      <w:r w:rsidR="00115AB4">
        <w:rPr>
          <w:rFonts w:ascii="Times New Roman" w:hAnsi="Times New Roman" w:cs="Times New Roman"/>
          <w:sz w:val="24"/>
          <w:szCs w:val="24"/>
        </w:rPr>
        <w:t xml:space="preserve"> zapewnienie ciągłości </w:t>
      </w:r>
      <w:r w:rsidR="00E6430A">
        <w:rPr>
          <w:rFonts w:ascii="Times New Roman" w:hAnsi="Times New Roman" w:cs="Times New Roman"/>
          <w:sz w:val="24"/>
          <w:szCs w:val="24"/>
        </w:rPr>
        <w:t xml:space="preserve">obowiązywania umów zrzeszenia zawartych przed dniem wejścia w życie niniejszej ustawy. Proponowane brzmienie umożliwia </w:t>
      </w:r>
      <w:r w:rsidR="00F56789">
        <w:rPr>
          <w:rFonts w:ascii="Times New Roman" w:hAnsi="Times New Roman" w:cs="Times New Roman"/>
          <w:sz w:val="24"/>
          <w:szCs w:val="24"/>
        </w:rPr>
        <w:t>funkcjonowanie</w:t>
      </w:r>
      <w:r w:rsidR="00E6430A">
        <w:rPr>
          <w:rFonts w:ascii="Times New Roman" w:hAnsi="Times New Roman" w:cs="Times New Roman"/>
          <w:sz w:val="24"/>
          <w:szCs w:val="24"/>
        </w:rPr>
        <w:t xml:space="preserve"> </w:t>
      </w:r>
      <w:r w:rsidR="008D52FD">
        <w:rPr>
          <w:rFonts w:ascii="Times New Roman" w:hAnsi="Times New Roman" w:cs="Times New Roman"/>
          <w:sz w:val="24"/>
          <w:szCs w:val="24"/>
        </w:rPr>
        <w:t xml:space="preserve">zrzeszenia </w:t>
      </w:r>
      <w:r w:rsidR="00E6430A">
        <w:rPr>
          <w:rFonts w:ascii="Times New Roman" w:hAnsi="Times New Roman" w:cs="Times New Roman"/>
          <w:sz w:val="24"/>
          <w:szCs w:val="24"/>
        </w:rPr>
        <w:t>banków na podstawie obowiązujących</w:t>
      </w:r>
      <w:r w:rsidR="00F56789">
        <w:rPr>
          <w:rFonts w:ascii="Times New Roman" w:hAnsi="Times New Roman" w:cs="Times New Roman"/>
          <w:sz w:val="24"/>
          <w:szCs w:val="24"/>
        </w:rPr>
        <w:t xml:space="preserve"> umów</w:t>
      </w:r>
      <w:r w:rsidR="00E6430A">
        <w:rPr>
          <w:rFonts w:ascii="Times New Roman" w:hAnsi="Times New Roman" w:cs="Times New Roman"/>
          <w:sz w:val="24"/>
          <w:szCs w:val="24"/>
        </w:rPr>
        <w:t xml:space="preserve"> do czasu </w:t>
      </w:r>
      <w:r w:rsidR="00E71F35">
        <w:rPr>
          <w:rFonts w:ascii="Times New Roman" w:hAnsi="Times New Roman" w:cs="Times New Roman"/>
          <w:sz w:val="24"/>
          <w:szCs w:val="24"/>
        </w:rPr>
        <w:t xml:space="preserve">podpisania nowej umowy zrzeszenia zgodnej z zatwierdzonym </w:t>
      </w:r>
      <w:r w:rsidR="00E6430A">
        <w:rPr>
          <w:rFonts w:ascii="Times New Roman" w:hAnsi="Times New Roman" w:cs="Times New Roman"/>
          <w:sz w:val="24"/>
          <w:szCs w:val="24"/>
        </w:rPr>
        <w:t>przez Komisję Nadzoru Finansowego wzor</w:t>
      </w:r>
      <w:r w:rsidR="00E71F35">
        <w:rPr>
          <w:rFonts w:ascii="Times New Roman" w:hAnsi="Times New Roman" w:cs="Times New Roman"/>
          <w:sz w:val="24"/>
          <w:szCs w:val="24"/>
        </w:rPr>
        <w:t>em</w:t>
      </w:r>
      <w:r w:rsidR="00E6430A">
        <w:rPr>
          <w:rFonts w:ascii="Times New Roman" w:hAnsi="Times New Roman" w:cs="Times New Roman"/>
          <w:sz w:val="24"/>
          <w:szCs w:val="24"/>
        </w:rPr>
        <w:t xml:space="preserve"> umowy zrzeszenia.</w:t>
      </w:r>
      <w:r>
        <w:rPr>
          <w:rFonts w:ascii="Times New Roman" w:hAnsi="Times New Roman" w:cs="Times New Roman"/>
          <w:sz w:val="24"/>
          <w:szCs w:val="24"/>
        </w:rPr>
        <w:t xml:space="preserve"> </w:t>
      </w:r>
      <w:r w:rsidR="003C5651">
        <w:rPr>
          <w:rFonts w:ascii="Times New Roman" w:hAnsi="Times New Roman" w:cs="Times New Roman"/>
          <w:sz w:val="24"/>
          <w:szCs w:val="24"/>
        </w:rPr>
        <w:t xml:space="preserve">Banki zrzeszające będą miały 3 miesiące od dnia wejścia </w:t>
      </w:r>
      <w:r w:rsidR="00E9760A">
        <w:rPr>
          <w:rFonts w:ascii="Times New Roman" w:hAnsi="Times New Roman" w:cs="Times New Roman"/>
          <w:sz w:val="24"/>
          <w:szCs w:val="24"/>
        </w:rPr>
        <w:t xml:space="preserve">w życie </w:t>
      </w:r>
      <w:r w:rsidR="003C5651">
        <w:rPr>
          <w:rFonts w:ascii="Times New Roman" w:hAnsi="Times New Roman" w:cs="Times New Roman"/>
          <w:sz w:val="24"/>
          <w:szCs w:val="24"/>
        </w:rPr>
        <w:t xml:space="preserve">ustawy na </w:t>
      </w:r>
      <w:r w:rsidR="003C5651">
        <w:rPr>
          <w:rFonts w:ascii="Times New Roman" w:hAnsi="Times New Roman" w:cs="Times New Roman"/>
          <w:sz w:val="24"/>
          <w:szCs w:val="24"/>
        </w:rPr>
        <w:lastRenderedPageBreak/>
        <w:t xml:space="preserve">przygotowanie </w:t>
      </w:r>
      <w:r w:rsidR="001D0922">
        <w:rPr>
          <w:rFonts w:ascii="Times New Roman" w:hAnsi="Times New Roman" w:cs="Times New Roman"/>
          <w:sz w:val="24"/>
          <w:szCs w:val="24"/>
        </w:rPr>
        <w:t xml:space="preserve">projektu </w:t>
      </w:r>
      <w:r w:rsidR="003C5651">
        <w:rPr>
          <w:rFonts w:ascii="Times New Roman" w:hAnsi="Times New Roman" w:cs="Times New Roman"/>
          <w:sz w:val="24"/>
          <w:szCs w:val="24"/>
        </w:rPr>
        <w:t>wzoru umowy</w:t>
      </w:r>
      <w:r w:rsidR="0082568F">
        <w:rPr>
          <w:rFonts w:ascii="Times New Roman" w:hAnsi="Times New Roman" w:cs="Times New Roman"/>
          <w:sz w:val="24"/>
          <w:szCs w:val="24"/>
        </w:rPr>
        <w:t xml:space="preserve"> zrzeszeni</w:t>
      </w:r>
      <w:r w:rsidR="00E9760A">
        <w:rPr>
          <w:rFonts w:ascii="Times New Roman" w:hAnsi="Times New Roman" w:cs="Times New Roman"/>
          <w:sz w:val="24"/>
          <w:szCs w:val="24"/>
        </w:rPr>
        <w:t>a</w:t>
      </w:r>
      <w:r w:rsidR="003C5651">
        <w:rPr>
          <w:rFonts w:ascii="Times New Roman" w:hAnsi="Times New Roman" w:cs="Times New Roman"/>
          <w:sz w:val="24"/>
          <w:szCs w:val="24"/>
        </w:rPr>
        <w:t xml:space="preserve"> i przedstawienie go Komisji Nadzoru Finansowego do zatwierdzenia</w:t>
      </w:r>
      <w:r w:rsidR="003148F7">
        <w:rPr>
          <w:rFonts w:ascii="Times New Roman" w:hAnsi="Times New Roman" w:cs="Times New Roman"/>
          <w:sz w:val="24"/>
          <w:szCs w:val="24"/>
        </w:rPr>
        <w:t>, a następnie podpisanie nowej umowy.</w:t>
      </w:r>
    </w:p>
    <w:p w14:paraId="61CAE0D1" w14:textId="30445B2E" w:rsidR="00AE56F5" w:rsidRPr="008757BC" w:rsidRDefault="00AE56F5" w:rsidP="003C6BB6">
      <w:pPr>
        <w:spacing w:after="120" w:line="360" w:lineRule="auto"/>
        <w:jc w:val="both"/>
        <w:rPr>
          <w:rFonts w:ascii="Times New Roman" w:hAnsi="Times New Roman" w:cs="Times New Roman"/>
          <w:b/>
          <w:bCs/>
          <w:sz w:val="24"/>
          <w:szCs w:val="24"/>
          <w:u w:val="single"/>
        </w:rPr>
      </w:pPr>
      <w:r w:rsidRPr="008757BC">
        <w:rPr>
          <w:rFonts w:ascii="Times New Roman" w:hAnsi="Times New Roman" w:cs="Times New Roman"/>
          <w:b/>
          <w:bCs/>
          <w:sz w:val="24"/>
          <w:szCs w:val="24"/>
          <w:u w:val="single"/>
        </w:rPr>
        <w:t xml:space="preserve">Art. 8 </w:t>
      </w:r>
    </w:p>
    <w:p w14:paraId="1FD99D93" w14:textId="0ED60407" w:rsidR="00E6430A" w:rsidRDefault="00AE56F5" w:rsidP="003C6BB6">
      <w:pPr>
        <w:spacing w:after="120" w:line="360" w:lineRule="auto"/>
        <w:jc w:val="both"/>
        <w:rPr>
          <w:rFonts w:ascii="Times New Roman" w:hAnsi="Times New Roman" w:cs="Times New Roman"/>
          <w:b/>
          <w:bCs/>
          <w:sz w:val="24"/>
          <w:szCs w:val="24"/>
          <w:u w:val="single"/>
        </w:rPr>
      </w:pPr>
      <w:r>
        <w:rPr>
          <w:rFonts w:ascii="Times New Roman" w:hAnsi="Times New Roman" w:cs="Times New Roman"/>
          <w:sz w:val="24"/>
          <w:szCs w:val="24"/>
        </w:rPr>
        <w:t>Przepis określa termin, w jakim zrzeszeni</w:t>
      </w:r>
      <w:r w:rsidR="00115AB4">
        <w:rPr>
          <w:rFonts w:ascii="Times New Roman" w:hAnsi="Times New Roman" w:cs="Times New Roman"/>
          <w:sz w:val="24"/>
          <w:szCs w:val="24"/>
        </w:rPr>
        <w:t>e</w:t>
      </w:r>
      <w:r>
        <w:rPr>
          <w:rFonts w:ascii="Times New Roman" w:hAnsi="Times New Roman" w:cs="Times New Roman"/>
          <w:sz w:val="24"/>
          <w:szCs w:val="24"/>
        </w:rPr>
        <w:t xml:space="preserve"> </w:t>
      </w:r>
      <w:r w:rsidR="00115AB4">
        <w:rPr>
          <w:rFonts w:ascii="Times New Roman" w:hAnsi="Times New Roman" w:cs="Times New Roman"/>
          <w:sz w:val="24"/>
          <w:szCs w:val="24"/>
        </w:rPr>
        <w:t xml:space="preserve">jest </w:t>
      </w:r>
      <w:r>
        <w:rPr>
          <w:rFonts w:ascii="Times New Roman" w:hAnsi="Times New Roman" w:cs="Times New Roman"/>
          <w:sz w:val="24"/>
          <w:szCs w:val="24"/>
        </w:rPr>
        <w:t>zobowiązane do powołania o</w:t>
      </w:r>
      <w:r w:rsidR="0022664C">
        <w:rPr>
          <w:rFonts w:ascii="Times New Roman" w:hAnsi="Times New Roman" w:cs="Times New Roman"/>
          <w:sz w:val="24"/>
          <w:szCs w:val="24"/>
        </w:rPr>
        <w:t>rganów</w:t>
      </w:r>
      <w:r>
        <w:rPr>
          <w:rFonts w:ascii="Times New Roman" w:hAnsi="Times New Roman" w:cs="Times New Roman"/>
          <w:sz w:val="24"/>
          <w:szCs w:val="24"/>
        </w:rPr>
        <w:t xml:space="preserve"> ustanowion</w:t>
      </w:r>
      <w:r w:rsidR="0022664C">
        <w:rPr>
          <w:rFonts w:ascii="Times New Roman" w:hAnsi="Times New Roman" w:cs="Times New Roman"/>
          <w:sz w:val="24"/>
          <w:szCs w:val="24"/>
        </w:rPr>
        <w:t>ych</w:t>
      </w:r>
      <w:r>
        <w:rPr>
          <w:rFonts w:ascii="Times New Roman" w:hAnsi="Times New Roman" w:cs="Times New Roman"/>
          <w:sz w:val="24"/>
          <w:szCs w:val="24"/>
        </w:rPr>
        <w:t xml:space="preserve"> niniejszą ustawą.</w:t>
      </w:r>
    </w:p>
    <w:p w14:paraId="16804683" w14:textId="7C06778C" w:rsidR="006F67B8" w:rsidRPr="00655235" w:rsidRDefault="006F67B8" w:rsidP="003C6BB6">
      <w:pPr>
        <w:spacing w:after="120" w:line="360" w:lineRule="auto"/>
        <w:jc w:val="both"/>
        <w:rPr>
          <w:rFonts w:ascii="Times New Roman" w:hAnsi="Times New Roman" w:cs="Times New Roman"/>
          <w:b/>
          <w:bCs/>
          <w:sz w:val="24"/>
          <w:szCs w:val="24"/>
          <w:u w:val="single"/>
        </w:rPr>
      </w:pPr>
      <w:r w:rsidRPr="00655235">
        <w:rPr>
          <w:rFonts w:ascii="Times New Roman" w:hAnsi="Times New Roman" w:cs="Times New Roman"/>
          <w:b/>
          <w:bCs/>
          <w:sz w:val="24"/>
          <w:szCs w:val="24"/>
          <w:u w:val="single"/>
        </w:rPr>
        <w:t xml:space="preserve">Art. </w:t>
      </w:r>
      <w:r w:rsidR="00AE56F5">
        <w:rPr>
          <w:rFonts w:ascii="Times New Roman" w:hAnsi="Times New Roman" w:cs="Times New Roman"/>
          <w:b/>
          <w:bCs/>
          <w:sz w:val="24"/>
          <w:szCs w:val="24"/>
          <w:u w:val="single"/>
        </w:rPr>
        <w:t>9</w:t>
      </w:r>
    </w:p>
    <w:p w14:paraId="76043953" w14:textId="21B241E5" w:rsidR="006F67B8" w:rsidRPr="00346F05" w:rsidRDefault="00151640" w:rsidP="003C6BB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Przepis m</w:t>
      </w:r>
      <w:r w:rsidR="00C821DB">
        <w:rPr>
          <w:rFonts w:ascii="Times New Roman" w:hAnsi="Times New Roman" w:cs="Times New Roman"/>
          <w:sz w:val="24"/>
          <w:szCs w:val="24"/>
        </w:rPr>
        <w:t xml:space="preserve">a na celu zachowanie ciągłości prawa przez </w:t>
      </w:r>
      <w:r w:rsidR="00F03453">
        <w:rPr>
          <w:rFonts w:ascii="Times New Roman" w:hAnsi="Times New Roman" w:cs="Times New Roman"/>
          <w:sz w:val="24"/>
          <w:szCs w:val="24"/>
        </w:rPr>
        <w:t>zastosowanie</w:t>
      </w:r>
      <w:r w:rsidR="00C821DB">
        <w:rPr>
          <w:rFonts w:ascii="Times New Roman" w:hAnsi="Times New Roman" w:cs="Times New Roman"/>
          <w:sz w:val="24"/>
          <w:szCs w:val="24"/>
        </w:rPr>
        <w:t xml:space="preserve"> przepisów w</w:t>
      </w:r>
      <w:r w:rsidR="00187E0A">
        <w:rPr>
          <w:rFonts w:ascii="Times New Roman" w:hAnsi="Times New Roman" w:cs="Times New Roman"/>
          <w:sz w:val="24"/>
          <w:szCs w:val="24"/>
        </w:rPr>
        <w:t> </w:t>
      </w:r>
      <w:r w:rsidR="00C821DB">
        <w:rPr>
          <w:rFonts w:ascii="Times New Roman" w:hAnsi="Times New Roman" w:cs="Times New Roman"/>
          <w:sz w:val="24"/>
          <w:szCs w:val="24"/>
        </w:rPr>
        <w:t xml:space="preserve">dotychczasowym brzmieniu do </w:t>
      </w:r>
      <w:r w:rsidR="00D8467B">
        <w:rPr>
          <w:rFonts w:ascii="Times New Roman" w:hAnsi="Times New Roman" w:cs="Times New Roman"/>
          <w:sz w:val="24"/>
          <w:szCs w:val="24"/>
        </w:rPr>
        <w:t xml:space="preserve">wystąpień i </w:t>
      </w:r>
      <w:r w:rsidR="00115AB4">
        <w:rPr>
          <w:rFonts w:ascii="Times New Roman" w:hAnsi="Times New Roman" w:cs="Times New Roman"/>
          <w:sz w:val="24"/>
          <w:szCs w:val="24"/>
        </w:rPr>
        <w:t xml:space="preserve">skarg złożonych, a nie rozpatrzonych </w:t>
      </w:r>
      <w:r w:rsidR="00C821DB">
        <w:rPr>
          <w:rFonts w:ascii="Times New Roman" w:hAnsi="Times New Roman" w:cs="Times New Roman"/>
          <w:sz w:val="24"/>
          <w:szCs w:val="24"/>
        </w:rPr>
        <w:t xml:space="preserve">przed wejściem w życie niniejszej ustawy. Oznacza to, że </w:t>
      </w:r>
      <w:r w:rsidR="00146214">
        <w:rPr>
          <w:rFonts w:ascii="Times New Roman" w:hAnsi="Times New Roman" w:cs="Times New Roman"/>
          <w:sz w:val="24"/>
          <w:szCs w:val="24"/>
        </w:rPr>
        <w:t xml:space="preserve">wystąpienia i </w:t>
      </w:r>
      <w:r w:rsidR="00115AB4">
        <w:rPr>
          <w:rFonts w:ascii="Times New Roman" w:hAnsi="Times New Roman" w:cs="Times New Roman"/>
          <w:sz w:val="24"/>
          <w:szCs w:val="24"/>
        </w:rPr>
        <w:t>skargi złożone</w:t>
      </w:r>
      <w:r w:rsidR="00146214">
        <w:rPr>
          <w:rFonts w:ascii="Times New Roman" w:hAnsi="Times New Roman" w:cs="Times New Roman"/>
          <w:sz w:val="24"/>
          <w:szCs w:val="24"/>
        </w:rPr>
        <w:t xml:space="preserve"> </w:t>
      </w:r>
      <w:r w:rsidR="00C821DB">
        <w:rPr>
          <w:rFonts w:ascii="Times New Roman" w:hAnsi="Times New Roman" w:cs="Times New Roman"/>
          <w:sz w:val="24"/>
          <w:szCs w:val="24"/>
        </w:rPr>
        <w:t>na podstawie zmienionej w</w:t>
      </w:r>
      <w:r w:rsidR="008E5CE3" w:rsidRPr="008E5CE3">
        <w:t xml:space="preserve"> </w:t>
      </w:r>
      <w:r w:rsidR="008E5CE3" w:rsidRPr="008E5CE3">
        <w:rPr>
          <w:rFonts w:ascii="Times New Roman" w:hAnsi="Times New Roman" w:cs="Times New Roman"/>
          <w:sz w:val="24"/>
          <w:szCs w:val="24"/>
        </w:rPr>
        <w:t>art. 22j ust. 3 ustawy</w:t>
      </w:r>
      <w:r w:rsidR="00C821DB">
        <w:rPr>
          <w:rFonts w:ascii="Times New Roman" w:hAnsi="Times New Roman" w:cs="Times New Roman"/>
          <w:sz w:val="24"/>
          <w:szCs w:val="24"/>
        </w:rPr>
        <w:t xml:space="preserve"> </w:t>
      </w:r>
      <w:r w:rsidR="008E5CE3">
        <w:rPr>
          <w:rFonts w:ascii="Times New Roman" w:hAnsi="Times New Roman" w:cs="Times New Roman"/>
          <w:sz w:val="24"/>
          <w:szCs w:val="24"/>
        </w:rPr>
        <w:t xml:space="preserve">o </w:t>
      </w:r>
      <w:r w:rsidR="008E5CE3" w:rsidRPr="008E5CE3">
        <w:rPr>
          <w:rFonts w:ascii="Times New Roman" w:hAnsi="Times New Roman" w:cs="Times New Roman"/>
          <w:sz w:val="24"/>
          <w:szCs w:val="24"/>
        </w:rPr>
        <w:t>funkcjonowaniu banków spółdzielczych</w:t>
      </w:r>
      <w:r w:rsidR="008E5CE3" w:rsidRPr="008E5CE3" w:rsidDel="008E5CE3">
        <w:rPr>
          <w:rFonts w:ascii="Times New Roman" w:hAnsi="Times New Roman" w:cs="Times New Roman"/>
          <w:sz w:val="24"/>
          <w:szCs w:val="24"/>
        </w:rPr>
        <w:t xml:space="preserve"> </w:t>
      </w:r>
      <w:r w:rsidR="00C821DB">
        <w:rPr>
          <w:rFonts w:ascii="Times New Roman" w:hAnsi="Times New Roman" w:cs="Times New Roman"/>
          <w:sz w:val="24"/>
          <w:szCs w:val="24"/>
        </w:rPr>
        <w:t xml:space="preserve">przesłanki </w:t>
      </w:r>
      <w:r w:rsidR="00151A6A">
        <w:rPr>
          <w:rFonts w:ascii="Times New Roman" w:hAnsi="Times New Roman" w:cs="Times New Roman"/>
          <w:sz w:val="24"/>
          <w:szCs w:val="24"/>
        </w:rPr>
        <w:t xml:space="preserve">będą </w:t>
      </w:r>
      <w:r w:rsidR="00115AB4">
        <w:rPr>
          <w:rFonts w:ascii="Times New Roman" w:hAnsi="Times New Roman" w:cs="Times New Roman"/>
          <w:sz w:val="24"/>
          <w:szCs w:val="24"/>
        </w:rPr>
        <w:t>rozpatrywane</w:t>
      </w:r>
      <w:r w:rsidR="00151A6A">
        <w:rPr>
          <w:rFonts w:ascii="Times New Roman" w:hAnsi="Times New Roman" w:cs="Times New Roman"/>
          <w:sz w:val="24"/>
          <w:szCs w:val="24"/>
        </w:rPr>
        <w:t xml:space="preserve"> zgodnie z obowiązującym stanem prawnym w</w:t>
      </w:r>
      <w:r w:rsidR="00187E0A">
        <w:rPr>
          <w:rFonts w:ascii="Times New Roman" w:hAnsi="Times New Roman" w:cs="Times New Roman"/>
          <w:sz w:val="24"/>
          <w:szCs w:val="24"/>
        </w:rPr>
        <w:t> </w:t>
      </w:r>
      <w:r w:rsidR="00151A6A">
        <w:rPr>
          <w:rFonts w:ascii="Times New Roman" w:hAnsi="Times New Roman" w:cs="Times New Roman"/>
          <w:sz w:val="24"/>
          <w:szCs w:val="24"/>
        </w:rPr>
        <w:t xml:space="preserve">momencie ich wszczęcia. </w:t>
      </w:r>
    </w:p>
    <w:p w14:paraId="5BF39381" w14:textId="218A7E87" w:rsidR="00151640" w:rsidRDefault="0019478A" w:rsidP="003C6BB6">
      <w:pPr>
        <w:spacing w:after="120" w:line="360" w:lineRule="auto"/>
        <w:jc w:val="both"/>
        <w:rPr>
          <w:rFonts w:ascii="Times New Roman" w:hAnsi="Times New Roman" w:cs="Times New Roman"/>
          <w:sz w:val="24"/>
          <w:szCs w:val="24"/>
        </w:rPr>
      </w:pPr>
      <w:r w:rsidRPr="00655235">
        <w:rPr>
          <w:rFonts w:ascii="Times New Roman" w:hAnsi="Times New Roman" w:cs="Times New Roman"/>
          <w:b/>
          <w:bCs/>
          <w:sz w:val="24"/>
          <w:szCs w:val="24"/>
          <w:u w:val="single"/>
        </w:rPr>
        <w:t xml:space="preserve">Art. </w:t>
      </w:r>
      <w:r w:rsidR="00AE56F5" w:rsidRPr="00847453">
        <w:rPr>
          <w:rFonts w:ascii="Times New Roman" w:hAnsi="Times New Roman" w:cs="Times New Roman"/>
          <w:b/>
          <w:bCs/>
          <w:sz w:val="24"/>
          <w:szCs w:val="24"/>
          <w:u w:val="single"/>
        </w:rPr>
        <w:t>10</w:t>
      </w:r>
    </w:p>
    <w:p w14:paraId="36A1BD8B" w14:textId="719CCB47" w:rsidR="0019478A" w:rsidRPr="00346F05" w:rsidRDefault="00151640" w:rsidP="003C6BB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Przepis </w:t>
      </w:r>
      <w:r w:rsidR="0019478A" w:rsidRPr="00346F05">
        <w:rPr>
          <w:rFonts w:ascii="Times New Roman" w:hAnsi="Times New Roman" w:cs="Times New Roman"/>
          <w:sz w:val="24"/>
          <w:szCs w:val="24"/>
        </w:rPr>
        <w:t>określa wejście w życie ustawy po upływie 14 dni od dnia ogłoszenia</w:t>
      </w:r>
      <w:r>
        <w:rPr>
          <w:rFonts w:ascii="Times New Roman" w:hAnsi="Times New Roman" w:cs="Times New Roman"/>
          <w:sz w:val="24"/>
          <w:szCs w:val="24"/>
        </w:rPr>
        <w:t>.</w:t>
      </w:r>
    </w:p>
    <w:p w14:paraId="5437548E" w14:textId="77777777" w:rsidR="00575CEB" w:rsidRPr="00346F05" w:rsidRDefault="00575CEB"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 xml:space="preserve">Projekt ustawy nie wymaga przedstawienia właściwym organom i instytucjom Unii Europejskiej, w tym Europejskiemu Bankowi Centralnemu, w celu uzyskania opinii, dokonania powiadomienia, konsultacji albo uzgodnienia. </w:t>
      </w:r>
    </w:p>
    <w:p w14:paraId="2D56A754" w14:textId="2D2E1CBD" w:rsidR="00575CEB" w:rsidRPr="00346F05" w:rsidRDefault="00575CEB"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 xml:space="preserve">Projekt ustawy </w:t>
      </w:r>
      <w:r w:rsidR="0019478A" w:rsidRPr="00346F05">
        <w:rPr>
          <w:rFonts w:ascii="Times New Roman" w:hAnsi="Times New Roman" w:cs="Times New Roman"/>
          <w:sz w:val="24"/>
          <w:szCs w:val="24"/>
        </w:rPr>
        <w:t xml:space="preserve">nie </w:t>
      </w:r>
      <w:r w:rsidRPr="00346F05">
        <w:rPr>
          <w:rFonts w:ascii="Times New Roman" w:hAnsi="Times New Roman" w:cs="Times New Roman"/>
          <w:sz w:val="24"/>
          <w:szCs w:val="24"/>
        </w:rPr>
        <w:t>podlega procedurze notyfikacji w rozumieniu przepisów rozporządzenia Rady Ministrów z dnia 23 grudnia 2002 r. w sprawie sposobu funkcjonowania krajowego systemu notyfikacji norm i aktów prawnych (Dz. U. poz. 2039, z późn. zm.).</w:t>
      </w:r>
    </w:p>
    <w:p w14:paraId="33FB6D1A" w14:textId="5D1E632D" w:rsidR="00575CEB" w:rsidRPr="00346F05" w:rsidRDefault="00575CEB"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 xml:space="preserve">Zawarte w projekcie regulacje </w:t>
      </w:r>
      <w:r w:rsidR="0019478A" w:rsidRPr="00346F05">
        <w:rPr>
          <w:rFonts w:ascii="Times New Roman" w:hAnsi="Times New Roman" w:cs="Times New Roman"/>
          <w:sz w:val="24"/>
          <w:szCs w:val="24"/>
        </w:rPr>
        <w:t>nie</w:t>
      </w:r>
      <w:r w:rsidRPr="00346F05">
        <w:rPr>
          <w:rFonts w:ascii="Times New Roman" w:hAnsi="Times New Roman" w:cs="Times New Roman"/>
          <w:sz w:val="24"/>
          <w:szCs w:val="24"/>
        </w:rPr>
        <w:t xml:space="preserve"> wpłyną na działalność </w:t>
      </w:r>
      <w:proofErr w:type="spellStart"/>
      <w:r w:rsidRPr="00346F05">
        <w:rPr>
          <w:rFonts w:ascii="Times New Roman" w:hAnsi="Times New Roman" w:cs="Times New Roman"/>
          <w:sz w:val="24"/>
          <w:szCs w:val="24"/>
        </w:rPr>
        <w:t>mikroprzedsiębiorców</w:t>
      </w:r>
      <w:proofErr w:type="spellEnd"/>
      <w:r w:rsidRPr="00346F05">
        <w:rPr>
          <w:rFonts w:ascii="Times New Roman" w:hAnsi="Times New Roman" w:cs="Times New Roman"/>
          <w:sz w:val="24"/>
          <w:szCs w:val="24"/>
        </w:rPr>
        <w:t>, małych i</w:t>
      </w:r>
      <w:r w:rsidR="00151640">
        <w:rPr>
          <w:rFonts w:ascii="Times New Roman" w:hAnsi="Times New Roman" w:cs="Times New Roman"/>
          <w:sz w:val="24"/>
          <w:szCs w:val="24"/>
        </w:rPr>
        <w:t> </w:t>
      </w:r>
      <w:r w:rsidRPr="00346F05">
        <w:rPr>
          <w:rFonts w:ascii="Times New Roman" w:hAnsi="Times New Roman" w:cs="Times New Roman"/>
          <w:sz w:val="24"/>
          <w:szCs w:val="24"/>
        </w:rPr>
        <w:t xml:space="preserve">średnich przedsiębiorców zgodnie z ustawą z dnia 6 marca 2018 r. – Prawo przedsiębiorców (Dz. U. z 2024 r. poz. 236, z późn. zm.). </w:t>
      </w:r>
    </w:p>
    <w:p w14:paraId="4F954387" w14:textId="71CFA37D" w:rsidR="00575CEB" w:rsidRPr="00346F05" w:rsidRDefault="00575CEB" w:rsidP="003C6BB6">
      <w:pPr>
        <w:spacing w:after="120" w:line="360" w:lineRule="auto"/>
        <w:jc w:val="both"/>
        <w:rPr>
          <w:rFonts w:ascii="Times New Roman" w:hAnsi="Times New Roman" w:cs="Times New Roman"/>
          <w:sz w:val="24"/>
          <w:szCs w:val="24"/>
        </w:rPr>
      </w:pPr>
      <w:r w:rsidRPr="00346F05">
        <w:rPr>
          <w:rFonts w:ascii="Times New Roman" w:hAnsi="Times New Roman" w:cs="Times New Roman"/>
          <w:sz w:val="24"/>
          <w:szCs w:val="24"/>
        </w:rPr>
        <w:t xml:space="preserve">Stosownie do art. 4 ustawy z dnia 7 lipca 2005 r. o działalności lobbingowej w procesie stanowienia prawa (Dz. U. z </w:t>
      </w:r>
      <w:r w:rsidR="00E45D67" w:rsidRPr="00346F05">
        <w:rPr>
          <w:rFonts w:ascii="Times New Roman" w:hAnsi="Times New Roman" w:cs="Times New Roman"/>
          <w:sz w:val="24"/>
          <w:szCs w:val="24"/>
        </w:rPr>
        <w:t xml:space="preserve">2025 </w:t>
      </w:r>
      <w:r w:rsidRPr="00346F05">
        <w:rPr>
          <w:rFonts w:ascii="Times New Roman" w:hAnsi="Times New Roman" w:cs="Times New Roman"/>
          <w:sz w:val="24"/>
          <w:szCs w:val="24"/>
        </w:rPr>
        <w:t>r. poz.</w:t>
      </w:r>
      <w:r w:rsidR="00E45D67" w:rsidRPr="00346F05">
        <w:rPr>
          <w:rFonts w:ascii="Times New Roman" w:hAnsi="Times New Roman" w:cs="Times New Roman"/>
          <w:sz w:val="24"/>
          <w:szCs w:val="24"/>
        </w:rPr>
        <w:t xml:space="preserve"> 677</w:t>
      </w:r>
      <w:r w:rsidRPr="00346F05">
        <w:rPr>
          <w:rFonts w:ascii="Times New Roman" w:hAnsi="Times New Roman" w:cs="Times New Roman"/>
          <w:sz w:val="24"/>
          <w:szCs w:val="24"/>
        </w:rPr>
        <w:t>) projekt ustawy zosta</w:t>
      </w:r>
      <w:r w:rsidR="00845B7F">
        <w:rPr>
          <w:rFonts w:ascii="Times New Roman" w:hAnsi="Times New Roman" w:cs="Times New Roman"/>
          <w:sz w:val="24"/>
          <w:szCs w:val="24"/>
        </w:rPr>
        <w:t>ł</w:t>
      </w:r>
      <w:r w:rsidRPr="00346F05">
        <w:rPr>
          <w:rFonts w:ascii="Times New Roman" w:hAnsi="Times New Roman" w:cs="Times New Roman"/>
          <w:sz w:val="24"/>
          <w:szCs w:val="24"/>
        </w:rPr>
        <w:t xml:space="preserve"> zamieszczony w wykazie prac legislacyjnych i programowych Rady Ministrów.</w:t>
      </w:r>
    </w:p>
    <w:p w14:paraId="485BB9E5" w14:textId="4E96A7A9" w:rsidR="000E3B53" w:rsidRDefault="00575CEB" w:rsidP="003C6BB6">
      <w:pPr>
        <w:spacing w:after="120" w:line="360" w:lineRule="auto"/>
        <w:jc w:val="both"/>
      </w:pPr>
      <w:r w:rsidRPr="00346F05">
        <w:rPr>
          <w:rFonts w:ascii="Times New Roman" w:hAnsi="Times New Roman" w:cs="Times New Roman"/>
          <w:sz w:val="24"/>
          <w:szCs w:val="24"/>
        </w:rPr>
        <w:t>Zgodnie z art. 5 ustawy z dnia 7 lipca 2005 r. o działalności lobbingowej w procesie stanowienia prawa oraz § 52 uchwały nr 190 Rady Ministrów z dnia 29 października 2013 r. – Regulamin pracy Rady Ministrów (M.P. z 2024 r. poz. 806</w:t>
      </w:r>
      <w:r w:rsidR="00E45D67" w:rsidRPr="00346F05">
        <w:rPr>
          <w:rFonts w:ascii="Times New Roman" w:hAnsi="Times New Roman" w:cs="Times New Roman"/>
          <w:sz w:val="24"/>
          <w:szCs w:val="24"/>
        </w:rPr>
        <w:t xml:space="preserve"> oraz z 2025 r. poz. 408</w:t>
      </w:r>
      <w:r w:rsidRPr="00346F05">
        <w:rPr>
          <w:rFonts w:ascii="Times New Roman" w:hAnsi="Times New Roman" w:cs="Times New Roman"/>
          <w:sz w:val="24"/>
          <w:szCs w:val="24"/>
        </w:rPr>
        <w:t>) projekt ustawy zosta</w:t>
      </w:r>
      <w:r w:rsidR="00845B7F">
        <w:rPr>
          <w:rFonts w:ascii="Times New Roman" w:hAnsi="Times New Roman" w:cs="Times New Roman"/>
          <w:sz w:val="24"/>
          <w:szCs w:val="24"/>
        </w:rPr>
        <w:t>ł</w:t>
      </w:r>
      <w:r w:rsidRPr="00346F05">
        <w:rPr>
          <w:rFonts w:ascii="Times New Roman" w:hAnsi="Times New Roman" w:cs="Times New Roman"/>
          <w:sz w:val="24"/>
          <w:szCs w:val="24"/>
        </w:rPr>
        <w:t xml:space="preserve"> udostępniony w Biuletynie Informacji Publicznej na stronie podmiotowej Rządowego Centrum Legislacji, w serwisie Rządowy Proces Legislacyjny.</w:t>
      </w:r>
    </w:p>
    <w:sectPr w:rsidR="000E3B53" w:rsidSect="006768F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B9593" w14:textId="77777777" w:rsidR="00FF31CA" w:rsidRDefault="00FF31CA" w:rsidP="007B77BA">
      <w:pPr>
        <w:spacing w:after="0" w:line="240" w:lineRule="auto"/>
      </w:pPr>
      <w:r>
        <w:separator/>
      </w:r>
    </w:p>
  </w:endnote>
  <w:endnote w:type="continuationSeparator" w:id="0">
    <w:p w14:paraId="1F08BD5E" w14:textId="77777777" w:rsidR="00FF31CA" w:rsidRDefault="00FF31CA" w:rsidP="007B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Regular">
    <w:altName w:val="Segoe U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925400"/>
      <w:docPartObj>
        <w:docPartGallery w:val="Page Numbers (Bottom of Page)"/>
        <w:docPartUnique/>
      </w:docPartObj>
    </w:sdtPr>
    <w:sdtEndPr>
      <w:rPr>
        <w:rFonts w:ascii="Times New Roman" w:hAnsi="Times New Roman" w:cs="Times New Roman"/>
        <w:sz w:val="24"/>
        <w:szCs w:val="24"/>
      </w:rPr>
    </w:sdtEndPr>
    <w:sdtContent>
      <w:p w14:paraId="6AF35040" w14:textId="6341D6BD" w:rsidR="006768FE" w:rsidRDefault="006768FE">
        <w:pPr>
          <w:pStyle w:val="Stopka"/>
          <w:jc w:val="center"/>
        </w:pPr>
        <w:r w:rsidRPr="006768FE">
          <w:rPr>
            <w:rFonts w:ascii="Times New Roman" w:hAnsi="Times New Roman" w:cs="Times New Roman"/>
            <w:sz w:val="24"/>
            <w:szCs w:val="24"/>
          </w:rPr>
          <w:fldChar w:fldCharType="begin"/>
        </w:r>
        <w:r w:rsidRPr="006768FE">
          <w:rPr>
            <w:rFonts w:ascii="Times New Roman" w:hAnsi="Times New Roman" w:cs="Times New Roman"/>
            <w:sz w:val="24"/>
            <w:szCs w:val="24"/>
          </w:rPr>
          <w:instrText>PAGE   \* MERGEFORMAT</w:instrText>
        </w:r>
        <w:r w:rsidRPr="006768FE">
          <w:rPr>
            <w:rFonts w:ascii="Times New Roman" w:hAnsi="Times New Roman" w:cs="Times New Roman"/>
            <w:sz w:val="24"/>
            <w:szCs w:val="24"/>
          </w:rPr>
          <w:fldChar w:fldCharType="separate"/>
        </w:r>
        <w:r w:rsidRPr="006768FE">
          <w:rPr>
            <w:rFonts w:ascii="Times New Roman" w:hAnsi="Times New Roman" w:cs="Times New Roman"/>
            <w:sz w:val="24"/>
            <w:szCs w:val="24"/>
          </w:rPr>
          <w:t>2</w:t>
        </w:r>
        <w:r w:rsidRPr="006768F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55AA0" w14:textId="77777777" w:rsidR="00FF31CA" w:rsidRDefault="00FF31CA" w:rsidP="007B77BA">
      <w:pPr>
        <w:spacing w:after="0" w:line="240" w:lineRule="auto"/>
      </w:pPr>
      <w:r>
        <w:separator/>
      </w:r>
    </w:p>
  </w:footnote>
  <w:footnote w:type="continuationSeparator" w:id="0">
    <w:p w14:paraId="0BC6DFE0" w14:textId="77777777" w:rsidR="00FF31CA" w:rsidRDefault="00FF31CA" w:rsidP="007B7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3ADC"/>
    <w:multiLevelType w:val="hybridMultilevel"/>
    <w:tmpl w:val="A84257E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478E5395"/>
    <w:multiLevelType w:val="hybridMultilevel"/>
    <w:tmpl w:val="6F3A80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C0B223D"/>
    <w:multiLevelType w:val="hybridMultilevel"/>
    <w:tmpl w:val="5914E3EA"/>
    <w:lvl w:ilvl="0" w:tplc="7D8E2FC2">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E876EB3"/>
    <w:multiLevelType w:val="hybridMultilevel"/>
    <w:tmpl w:val="0B26F18E"/>
    <w:lvl w:ilvl="0" w:tplc="EC4CC5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2E"/>
    <w:rsid w:val="00023CB1"/>
    <w:rsid w:val="00034173"/>
    <w:rsid w:val="0004034C"/>
    <w:rsid w:val="00047B66"/>
    <w:rsid w:val="000568FF"/>
    <w:rsid w:val="0006253B"/>
    <w:rsid w:val="00067F45"/>
    <w:rsid w:val="000771E7"/>
    <w:rsid w:val="00082CDA"/>
    <w:rsid w:val="000857DB"/>
    <w:rsid w:val="00090962"/>
    <w:rsid w:val="000963A1"/>
    <w:rsid w:val="000A05A7"/>
    <w:rsid w:val="000A2AFC"/>
    <w:rsid w:val="000E102E"/>
    <w:rsid w:val="000E201E"/>
    <w:rsid w:val="000E3B53"/>
    <w:rsid w:val="000E5090"/>
    <w:rsid w:val="000E539C"/>
    <w:rsid w:val="00102806"/>
    <w:rsid w:val="001042B1"/>
    <w:rsid w:val="001071A0"/>
    <w:rsid w:val="00115AB4"/>
    <w:rsid w:val="00120818"/>
    <w:rsid w:val="00122F50"/>
    <w:rsid w:val="00131B01"/>
    <w:rsid w:val="00137402"/>
    <w:rsid w:val="00146214"/>
    <w:rsid w:val="00151640"/>
    <w:rsid w:val="00151A6A"/>
    <w:rsid w:val="00152073"/>
    <w:rsid w:val="001609BF"/>
    <w:rsid w:val="001627CB"/>
    <w:rsid w:val="00163DD8"/>
    <w:rsid w:val="00167728"/>
    <w:rsid w:val="00176B5F"/>
    <w:rsid w:val="00183708"/>
    <w:rsid w:val="00187750"/>
    <w:rsid w:val="00187E0A"/>
    <w:rsid w:val="0019478A"/>
    <w:rsid w:val="001B72A4"/>
    <w:rsid w:val="001C0DF1"/>
    <w:rsid w:val="001C240E"/>
    <w:rsid w:val="001D07B0"/>
    <w:rsid w:val="001D0922"/>
    <w:rsid w:val="001D63B9"/>
    <w:rsid w:val="001E4C73"/>
    <w:rsid w:val="00201F0F"/>
    <w:rsid w:val="0022019E"/>
    <w:rsid w:val="0022664C"/>
    <w:rsid w:val="00260016"/>
    <w:rsid w:val="00274AB6"/>
    <w:rsid w:val="002A162C"/>
    <w:rsid w:val="002B0450"/>
    <w:rsid w:val="002C4AE4"/>
    <w:rsid w:val="002E7096"/>
    <w:rsid w:val="002F3E6D"/>
    <w:rsid w:val="003148F7"/>
    <w:rsid w:val="00333561"/>
    <w:rsid w:val="00337D93"/>
    <w:rsid w:val="00340ADF"/>
    <w:rsid w:val="00343FBC"/>
    <w:rsid w:val="00346F05"/>
    <w:rsid w:val="00394500"/>
    <w:rsid w:val="003A6395"/>
    <w:rsid w:val="003A6D6D"/>
    <w:rsid w:val="003B2EFC"/>
    <w:rsid w:val="003C531D"/>
    <w:rsid w:val="003C5651"/>
    <w:rsid w:val="003C6BB6"/>
    <w:rsid w:val="003D365B"/>
    <w:rsid w:val="003D5F91"/>
    <w:rsid w:val="004043BF"/>
    <w:rsid w:val="00413B4C"/>
    <w:rsid w:val="00450D72"/>
    <w:rsid w:val="00490D0C"/>
    <w:rsid w:val="004953E6"/>
    <w:rsid w:val="004960B0"/>
    <w:rsid w:val="004B6A23"/>
    <w:rsid w:val="004E4EB4"/>
    <w:rsid w:val="004E72D6"/>
    <w:rsid w:val="004F4352"/>
    <w:rsid w:val="004F5D7C"/>
    <w:rsid w:val="00503401"/>
    <w:rsid w:val="0050449B"/>
    <w:rsid w:val="005045FF"/>
    <w:rsid w:val="005071BF"/>
    <w:rsid w:val="00512A66"/>
    <w:rsid w:val="00526D62"/>
    <w:rsid w:val="005359A0"/>
    <w:rsid w:val="00535FD3"/>
    <w:rsid w:val="00570ADD"/>
    <w:rsid w:val="00575CEB"/>
    <w:rsid w:val="005818C6"/>
    <w:rsid w:val="0058561D"/>
    <w:rsid w:val="00586D69"/>
    <w:rsid w:val="00590C2B"/>
    <w:rsid w:val="005C7F19"/>
    <w:rsid w:val="005D0D3A"/>
    <w:rsid w:val="005D6CE5"/>
    <w:rsid w:val="006154B8"/>
    <w:rsid w:val="00622DE1"/>
    <w:rsid w:val="00640F1D"/>
    <w:rsid w:val="00647775"/>
    <w:rsid w:val="00655235"/>
    <w:rsid w:val="006661CC"/>
    <w:rsid w:val="00670FB9"/>
    <w:rsid w:val="0067578D"/>
    <w:rsid w:val="006768FE"/>
    <w:rsid w:val="006871BB"/>
    <w:rsid w:val="00687CA6"/>
    <w:rsid w:val="00692332"/>
    <w:rsid w:val="006A2CED"/>
    <w:rsid w:val="006A45EA"/>
    <w:rsid w:val="006B3285"/>
    <w:rsid w:val="006E6543"/>
    <w:rsid w:val="006F06E9"/>
    <w:rsid w:val="006F6325"/>
    <w:rsid w:val="006F67B8"/>
    <w:rsid w:val="00700C13"/>
    <w:rsid w:val="0071780D"/>
    <w:rsid w:val="00720795"/>
    <w:rsid w:val="007229B8"/>
    <w:rsid w:val="00737A73"/>
    <w:rsid w:val="00794D2D"/>
    <w:rsid w:val="007A1DEC"/>
    <w:rsid w:val="007B2486"/>
    <w:rsid w:val="007B77BA"/>
    <w:rsid w:val="007B79F3"/>
    <w:rsid w:val="007D6BC9"/>
    <w:rsid w:val="007E48FA"/>
    <w:rsid w:val="007E5469"/>
    <w:rsid w:val="00804B55"/>
    <w:rsid w:val="00814446"/>
    <w:rsid w:val="0082568F"/>
    <w:rsid w:val="00834DAE"/>
    <w:rsid w:val="00841799"/>
    <w:rsid w:val="008459C8"/>
    <w:rsid w:val="00845B7F"/>
    <w:rsid w:val="00847453"/>
    <w:rsid w:val="008579C7"/>
    <w:rsid w:val="008740F7"/>
    <w:rsid w:val="008757BC"/>
    <w:rsid w:val="0088255B"/>
    <w:rsid w:val="00893A5A"/>
    <w:rsid w:val="008B33CE"/>
    <w:rsid w:val="008B429A"/>
    <w:rsid w:val="008B7027"/>
    <w:rsid w:val="008C1675"/>
    <w:rsid w:val="008D01D2"/>
    <w:rsid w:val="008D45AC"/>
    <w:rsid w:val="008D52FD"/>
    <w:rsid w:val="008E50EA"/>
    <w:rsid w:val="008E5CE3"/>
    <w:rsid w:val="008F6241"/>
    <w:rsid w:val="00903CEC"/>
    <w:rsid w:val="00903D0F"/>
    <w:rsid w:val="00914790"/>
    <w:rsid w:val="009308B4"/>
    <w:rsid w:val="00941ACE"/>
    <w:rsid w:val="00951E7F"/>
    <w:rsid w:val="00963848"/>
    <w:rsid w:val="00967A61"/>
    <w:rsid w:val="00967A63"/>
    <w:rsid w:val="009710AE"/>
    <w:rsid w:val="00993EF6"/>
    <w:rsid w:val="009A0FE9"/>
    <w:rsid w:val="009A22EC"/>
    <w:rsid w:val="009A2EAC"/>
    <w:rsid w:val="009A68E6"/>
    <w:rsid w:val="009C1BA6"/>
    <w:rsid w:val="00A12767"/>
    <w:rsid w:val="00A14C02"/>
    <w:rsid w:val="00A31651"/>
    <w:rsid w:val="00A45BA7"/>
    <w:rsid w:val="00A60710"/>
    <w:rsid w:val="00A6349A"/>
    <w:rsid w:val="00A84E0A"/>
    <w:rsid w:val="00A9716F"/>
    <w:rsid w:val="00A97F2E"/>
    <w:rsid w:val="00AC469A"/>
    <w:rsid w:val="00AD70B7"/>
    <w:rsid w:val="00AE56F5"/>
    <w:rsid w:val="00AF5AF0"/>
    <w:rsid w:val="00B06505"/>
    <w:rsid w:val="00B44B2C"/>
    <w:rsid w:val="00B474AA"/>
    <w:rsid w:val="00B555DE"/>
    <w:rsid w:val="00B61F7C"/>
    <w:rsid w:val="00B73C73"/>
    <w:rsid w:val="00BA76F3"/>
    <w:rsid w:val="00BB03F5"/>
    <w:rsid w:val="00BB7B86"/>
    <w:rsid w:val="00BE0A7B"/>
    <w:rsid w:val="00C21894"/>
    <w:rsid w:val="00C2298E"/>
    <w:rsid w:val="00C72E45"/>
    <w:rsid w:val="00C72F8E"/>
    <w:rsid w:val="00C740E1"/>
    <w:rsid w:val="00C800DD"/>
    <w:rsid w:val="00C821DB"/>
    <w:rsid w:val="00C92A58"/>
    <w:rsid w:val="00C966DE"/>
    <w:rsid w:val="00CC7792"/>
    <w:rsid w:val="00CD3AE5"/>
    <w:rsid w:val="00CE1C40"/>
    <w:rsid w:val="00CE221B"/>
    <w:rsid w:val="00D46493"/>
    <w:rsid w:val="00D4797F"/>
    <w:rsid w:val="00D5753F"/>
    <w:rsid w:val="00D6676A"/>
    <w:rsid w:val="00D8467B"/>
    <w:rsid w:val="00D93A54"/>
    <w:rsid w:val="00D93AA8"/>
    <w:rsid w:val="00DA6E8F"/>
    <w:rsid w:val="00DC2579"/>
    <w:rsid w:val="00DD6353"/>
    <w:rsid w:val="00E02E1C"/>
    <w:rsid w:val="00E033FF"/>
    <w:rsid w:val="00E06F4B"/>
    <w:rsid w:val="00E275C8"/>
    <w:rsid w:val="00E37E9B"/>
    <w:rsid w:val="00E42D32"/>
    <w:rsid w:val="00E45D67"/>
    <w:rsid w:val="00E46302"/>
    <w:rsid w:val="00E63235"/>
    <w:rsid w:val="00E6430A"/>
    <w:rsid w:val="00E71E9B"/>
    <w:rsid w:val="00E71F35"/>
    <w:rsid w:val="00E8216F"/>
    <w:rsid w:val="00E836FC"/>
    <w:rsid w:val="00E9760A"/>
    <w:rsid w:val="00E97C07"/>
    <w:rsid w:val="00EB2931"/>
    <w:rsid w:val="00EC6A9C"/>
    <w:rsid w:val="00ED3494"/>
    <w:rsid w:val="00ED5F4D"/>
    <w:rsid w:val="00EE3712"/>
    <w:rsid w:val="00EF3DBE"/>
    <w:rsid w:val="00EF58F5"/>
    <w:rsid w:val="00F00E77"/>
    <w:rsid w:val="00F01A0F"/>
    <w:rsid w:val="00F03453"/>
    <w:rsid w:val="00F11DEB"/>
    <w:rsid w:val="00F2770C"/>
    <w:rsid w:val="00F31FDB"/>
    <w:rsid w:val="00F461EA"/>
    <w:rsid w:val="00F520DC"/>
    <w:rsid w:val="00F56789"/>
    <w:rsid w:val="00F56F39"/>
    <w:rsid w:val="00F612EF"/>
    <w:rsid w:val="00F6462B"/>
    <w:rsid w:val="00F701C6"/>
    <w:rsid w:val="00F74044"/>
    <w:rsid w:val="00F86DB4"/>
    <w:rsid w:val="00F94422"/>
    <w:rsid w:val="00F95A74"/>
    <w:rsid w:val="00FA1EE8"/>
    <w:rsid w:val="00FA3B2D"/>
    <w:rsid w:val="00FA77D6"/>
    <w:rsid w:val="00FB0829"/>
    <w:rsid w:val="00FD3D4F"/>
    <w:rsid w:val="00FF08F4"/>
    <w:rsid w:val="00FF31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E1884"/>
  <w15:chartTrackingRefBased/>
  <w15:docId w15:val="{D488C1A6-6F1F-4C34-A127-35FDC501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B77B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OZNRODZAKTUtznustawalubrozporzdzenieiorganwydajcy">
    <w:name w:val="OZN_RODZ_AKTU – tzn. ustawa lub rozporządzenie i organ wydający"/>
    <w:next w:val="Normalny"/>
    <w:uiPriority w:val="5"/>
    <w:qFormat/>
    <w:rsid w:val="007B77BA"/>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7"/>
    <w:qFormat/>
    <w:rsid w:val="007B77BA"/>
    <w:pPr>
      <w:suppressAutoHyphens/>
      <w:autoSpaceDE w:val="0"/>
      <w:autoSpaceDN w:val="0"/>
      <w:adjustRightInd w:val="0"/>
      <w:spacing w:before="120" w:after="0" w:line="360" w:lineRule="auto"/>
      <w:ind w:firstLine="510"/>
      <w:jc w:val="both"/>
    </w:pPr>
    <w:rPr>
      <w:rFonts w:ascii="Times" w:eastAsiaTheme="minorEastAsia" w:hAnsi="Times" w:cs="Arial"/>
      <w:bCs/>
      <w:sz w:val="24"/>
      <w:szCs w:val="20"/>
      <w:lang w:eastAsia="pl-PL"/>
    </w:rPr>
  </w:style>
  <w:style w:type="paragraph" w:styleId="Akapitzlist">
    <w:name w:val="List Paragraph"/>
    <w:basedOn w:val="Normalny"/>
    <w:uiPriority w:val="34"/>
    <w:qFormat/>
    <w:rsid w:val="007B77BA"/>
    <w:pPr>
      <w:ind w:left="720"/>
      <w:contextualSpacing/>
    </w:pPr>
  </w:style>
  <w:style w:type="character" w:styleId="Odwoaniedokomentarza">
    <w:name w:val="annotation reference"/>
    <w:basedOn w:val="Domylnaczcionkaakapitu"/>
    <w:uiPriority w:val="99"/>
    <w:semiHidden/>
    <w:unhideWhenUsed/>
    <w:rsid w:val="008459C8"/>
    <w:rPr>
      <w:sz w:val="16"/>
      <w:szCs w:val="16"/>
    </w:rPr>
  </w:style>
  <w:style w:type="paragraph" w:styleId="Tekstkomentarza">
    <w:name w:val="annotation text"/>
    <w:basedOn w:val="Normalny"/>
    <w:link w:val="TekstkomentarzaZnak"/>
    <w:uiPriority w:val="99"/>
    <w:semiHidden/>
    <w:unhideWhenUsed/>
    <w:rsid w:val="008459C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459C8"/>
    <w:rPr>
      <w:sz w:val="20"/>
      <w:szCs w:val="20"/>
    </w:rPr>
  </w:style>
  <w:style w:type="paragraph" w:styleId="Tematkomentarza">
    <w:name w:val="annotation subject"/>
    <w:basedOn w:val="Tekstkomentarza"/>
    <w:next w:val="Tekstkomentarza"/>
    <w:link w:val="TematkomentarzaZnak"/>
    <w:uiPriority w:val="99"/>
    <w:semiHidden/>
    <w:unhideWhenUsed/>
    <w:rsid w:val="008459C8"/>
    <w:rPr>
      <w:b/>
      <w:bCs/>
    </w:rPr>
  </w:style>
  <w:style w:type="character" w:customStyle="1" w:styleId="TematkomentarzaZnak">
    <w:name w:val="Temat komentarza Znak"/>
    <w:basedOn w:val="TekstkomentarzaZnak"/>
    <w:link w:val="Tematkomentarza"/>
    <w:uiPriority w:val="99"/>
    <w:semiHidden/>
    <w:rsid w:val="008459C8"/>
    <w:rPr>
      <w:b/>
      <w:bCs/>
      <w:sz w:val="20"/>
      <w:szCs w:val="20"/>
    </w:rPr>
  </w:style>
  <w:style w:type="character" w:styleId="Pogrubienie">
    <w:name w:val="Strong"/>
    <w:basedOn w:val="Domylnaczcionkaakapitu"/>
    <w:uiPriority w:val="22"/>
    <w:qFormat/>
    <w:rsid w:val="00794D2D"/>
    <w:rPr>
      <w:b/>
      <w:bCs/>
    </w:rPr>
  </w:style>
  <w:style w:type="paragraph" w:styleId="Tekstprzypisukocowego">
    <w:name w:val="endnote text"/>
    <w:basedOn w:val="Normalny"/>
    <w:link w:val="TekstprzypisukocowegoZnak"/>
    <w:uiPriority w:val="99"/>
    <w:semiHidden/>
    <w:unhideWhenUsed/>
    <w:rsid w:val="00FF08F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08F4"/>
    <w:rPr>
      <w:sz w:val="20"/>
      <w:szCs w:val="20"/>
    </w:rPr>
  </w:style>
  <w:style w:type="character" w:styleId="Odwoanieprzypisukocowego">
    <w:name w:val="endnote reference"/>
    <w:basedOn w:val="Domylnaczcionkaakapitu"/>
    <w:uiPriority w:val="99"/>
    <w:semiHidden/>
    <w:unhideWhenUsed/>
    <w:rsid w:val="00FF08F4"/>
    <w:rPr>
      <w:vertAlign w:val="superscript"/>
    </w:rPr>
  </w:style>
  <w:style w:type="paragraph" w:styleId="Nagwek">
    <w:name w:val="header"/>
    <w:basedOn w:val="Normalny"/>
    <w:link w:val="NagwekZnak"/>
    <w:uiPriority w:val="99"/>
    <w:unhideWhenUsed/>
    <w:rsid w:val="006768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68FE"/>
  </w:style>
  <w:style w:type="paragraph" w:styleId="Stopka">
    <w:name w:val="footer"/>
    <w:basedOn w:val="Normalny"/>
    <w:link w:val="StopkaZnak"/>
    <w:uiPriority w:val="99"/>
    <w:unhideWhenUsed/>
    <w:rsid w:val="006768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68FE"/>
  </w:style>
  <w:style w:type="paragraph" w:styleId="Poprawka">
    <w:name w:val="Revision"/>
    <w:hidden/>
    <w:uiPriority w:val="99"/>
    <w:semiHidden/>
    <w:rsid w:val="00E42D32"/>
    <w:pPr>
      <w:spacing w:after="0" w:line="240" w:lineRule="auto"/>
    </w:pPr>
  </w:style>
  <w:style w:type="paragraph" w:styleId="Tekstdymka">
    <w:name w:val="Balloon Text"/>
    <w:basedOn w:val="Normalny"/>
    <w:link w:val="TekstdymkaZnak"/>
    <w:uiPriority w:val="99"/>
    <w:semiHidden/>
    <w:unhideWhenUsed/>
    <w:rsid w:val="000771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71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3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E317F-421D-49D3-B2D5-1ED31E0E2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3936</Words>
  <Characters>23621</Characters>
  <Application>Microsoft Office Word</Application>
  <DocSecurity>0</DocSecurity>
  <Lines>196</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 Małgorzata</dc:creator>
  <cp:keywords/>
  <dc:description/>
  <cp:lastModifiedBy>pracownik</cp:lastModifiedBy>
  <cp:revision>14</cp:revision>
  <dcterms:created xsi:type="dcterms:W3CDTF">2025-10-20T06:19:00Z</dcterms:created>
  <dcterms:modified xsi:type="dcterms:W3CDTF">2025-10-24T19:06:00Z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UxC4dwLulzfINJ8nQH+xvX5LNGipWa4BRSZhPgxsCvmXYANQjbIpLQEU8N4dGIBbD5BPOQwWdYw8VJGBDc3SvA==</vt:lpwstr>
  </property>
  <property fmtid="{D5CDD505-2E9C-101B-9397-08002B2CF9AE}" pid="4" name="MFClassificationDate">
    <vt:lpwstr>2025-02-20T19:32:18.8695484+01:00</vt:lpwstr>
  </property>
  <property fmtid="{D5CDD505-2E9C-101B-9397-08002B2CF9AE}" pid="5" name="MFClassifiedBySID">
    <vt:lpwstr>UxC4dwLulzfINJ8nQH+xvX5LNGipWa4BRSZhPgxsCvm42mrIC/DSDv0ggS+FjUN/2v1BBotkLlY5aAiEhoi6uSancc4JeOSDIyPGZLIAx3j7rZLJYJaeDIhe9o2EWMTw</vt:lpwstr>
  </property>
  <property fmtid="{D5CDD505-2E9C-101B-9397-08002B2CF9AE}" pid="6" name="MFGRNItemId">
    <vt:lpwstr>GRN-d34154ff-c2c3-4ff4-92c2-cef35766260e</vt:lpwstr>
  </property>
  <property fmtid="{D5CDD505-2E9C-101B-9397-08002B2CF9AE}" pid="7" name="MFHash">
    <vt:lpwstr>mziPZk/O/b/PT8cAPwFFg728WUvNneMxZmi3H+BMuNE=</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