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9A" w:rsidRDefault="000D4E2A">
      <w:pPr>
        <w:spacing w:after="200"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AUTOPOPRAWKA</w:t>
      </w:r>
    </w:p>
    <w:p w:rsidR="0070379A" w:rsidRDefault="000D4E2A">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poselskiego projektu ustawy o zmianie ustawy  o podatku dochodowym od osób fizycznych (SH-020-1/23).</w:t>
      </w:r>
    </w:p>
    <w:p w:rsidR="0070379A" w:rsidRDefault="000D4E2A">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Poprawka nr 1</w:t>
      </w:r>
    </w:p>
    <w:p w:rsidR="0070379A" w:rsidRDefault="000D4E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 otrzymuje brzmienie:</w:t>
      </w:r>
    </w:p>
    <w:p w:rsidR="0070379A" w:rsidRDefault="000D4E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W ustawie z dnia z dnia 26 lipca 1991 r. o podatku dochodowym od osób fizycznych (t.j. Dz. U. z 2022 r. poz. 2647 z późn.zm.) wprowadza się następujące zmiany:</w:t>
      </w:r>
    </w:p>
    <w:p w:rsidR="0070379A" w:rsidRDefault="000D4E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art. 27 ust. 1 otrzymuje brzmienie:</w:t>
      </w:r>
    </w:p>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Podatek dochodowy, z zastrzeżeniem art. 29-30f, pobier</w:t>
      </w:r>
      <w:r>
        <w:rPr>
          <w:rFonts w:ascii="Times New Roman" w:eastAsia="Times New Roman" w:hAnsi="Times New Roman" w:cs="Times New Roman"/>
          <w:sz w:val="24"/>
          <w:szCs w:val="24"/>
        </w:rPr>
        <w:t>a się od podstawy jego obliczenia według następującej skali podatkowej:</w:t>
      </w:r>
    </w:p>
    <w:p w:rsidR="0070379A" w:rsidRDefault="0070379A">
      <w:pPr>
        <w:spacing w:line="360" w:lineRule="auto"/>
        <w:jc w:val="both"/>
        <w:rPr>
          <w:rFonts w:ascii="Times New Roman" w:eastAsia="Times New Roman" w:hAnsi="Times New Roman" w:cs="Times New Roman"/>
          <w:sz w:val="24"/>
          <w:szCs w:val="24"/>
        </w:rPr>
      </w:pPr>
    </w:p>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5"/>
        <w:gridCol w:w="2145"/>
        <w:gridCol w:w="4875"/>
      </w:tblGrid>
      <w:tr w:rsidR="0070379A">
        <w:trPr>
          <w:trHeight w:val="435"/>
        </w:trPr>
        <w:tc>
          <w:tcPr>
            <w:tcW w:w="4140" w:type="dxa"/>
            <w:gridSpan w:val="2"/>
            <w:tcBorders>
              <w:top w:val="single" w:sz="8" w:space="0" w:color="000000"/>
              <w:left w:val="single" w:sz="8" w:space="0" w:color="000000"/>
              <w:bottom w:val="single" w:sz="8" w:space="0" w:color="000000"/>
              <w:right w:val="single" w:sz="8" w:space="0" w:color="000000"/>
            </w:tcBorders>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Podstawa obliczenia podatku w złotych</w:t>
            </w:r>
          </w:p>
        </w:tc>
        <w:tc>
          <w:tcPr>
            <w:tcW w:w="487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Podatek wynosi</w:t>
            </w:r>
          </w:p>
        </w:tc>
      </w:tr>
      <w:tr w:rsidR="0070379A">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48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379A" w:rsidRDefault="0070379A">
            <w:pPr>
              <w:spacing w:line="360" w:lineRule="auto"/>
              <w:jc w:val="both"/>
              <w:rPr>
                <w:rFonts w:ascii="Times New Roman" w:eastAsia="Times New Roman" w:hAnsi="Times New Roman" w:cs="Times New Roman"/>
                <w:color w:val="333333"/>
                <w:sz w:val="18"/>
                <w:szCs w:val="18"/>
              </w:rPr>
            </w:pPr>
          </w:p>
        </w:tc>
      </w:tr>
      <w:tr w:rsidR="0070379A">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70379A">
            <w:pPr>
              <w:spacing w:line="360" w:lineRule="auto"/>
              <w:jc w:val="both"/>
              <w:rPr>
                <w:rFonts w:ascii="Times New Roman" w:eastAsia="Times New Roman" w:hAnsi="Times New Roman" w:cs="Times New Roman"/>
                <w:sz w:val="24"/>
                <w:szCs w:val="24"/>
              </w:rPr>
            </w:pP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120 000</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color w:val="333333"/>
                <w:sz w:val="24"/>
                <w:szCs w:val="24"/>
                <w:highlight w:val="white"/>
              </w:rPr>
              <w:t xml:space="preserve">minus </w:t>
            </w:r>
            <w:r>
              <w:rPr>
                <w:rFonts w:ascii="Times New Roman" w:eastAsia="Times New Roman" w:hAnsi="Times New Roman" w:cs="Times New Roman"/>
                <w:color w:val="333333"/>
                <w:sz w:val="24"/>
                <w:szCs w:val="24"/>
              </w:rPr>
              <w:t>kwota zmniejszająca</w:t>
            </w:r>
            <w:r>
              <w:rPr>
                <w:rFonts w:ascii="Times New Roman" w:eastAsia="Times New Roman" w:hAnsi="Times New Roman" w:cs="Times New Roman"/>
                <w:color w:val="333333"/>
                <w:sz w:val="24"/>
                <w:szCs w:val="24"/>
                <w:highlight w:val="white"/>
              </w:rPr>
              <w:t xml:space="preserve"> podatek </w:t>
            </w:r>
          </w:p>
        </w:tc>
      </w:tr>
      <w:tr w:rsidR="0070379A">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120 000</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70379A">
            <w:pPr>
              <w:spacing w:line="360" w:lineRule="auto"/>
              <w:jc w:val="both"/>
              <w:rPr>
                <w:rFonts w:ascii="Times New Roman" w:eastAsia="Times New Roman" w:hAnsi="Times New Roman" w:cs="Times New Roman"/>
                <w:sz w:val="24"/>
                <w:szCs w:val="24"/>
              </w:rPr>
            </w:pP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do 120 000 zł </w:t>
            </w:r>
            <w:r>
              <w:rPr>
                <w:rFonts w:ascii="Times New Roman" w:eastAsia="Times New Roman" w:hAnsi="Times New Roman" w:cs="Times New Roman"/>
                <w:color w:val="333333"/>
                <w:sz w:val="24"/>
                <w:szCs w:val="24"/>
                <w:highlight w:val="white"/>
              </w:rPr>
              <w:t xml:space="preserve">minus </w:t>
            </w:r>
            <w:r>
              <w:rPr>
                <w:rFonts w:ascii="Times New Roman" w:eastAsia="Times New Roman" w:hAnsi="Times New Roman" w:cs="Times New Roman"/>
                <w:color w:val="333333"/>
                <w:sz w:val="24"/>
                <w:szCs w:val="24"/>
              </w:rPr>
              <w:t>kwota zmniejszająca</w:t>
            </w:r>
            <w:r>
              <w:rPr>
                <w:rFonts w:ascii="Times New Roman" w:eastAsia="Times New Roman" w:hAnsi="Times New Roman" w:cs="Times New Roman"/>
                <w:color w:val="333333"/>
                <w:sz w:val="24"/>
                <w:szCs w:val="24"/>
                <w:highlight w:val="white"/>
              </w:rPr>
              <w:t xml:space="preserve"> podatek </w:t>
            </w:r>
            <w:r>
              <w:rPr>
                <w:rFonts w:ascii="Times New Roman" w:eastAsia="Times New Roman" w:hAnsi="Times New Roman" w:cs="Times New Roman"/>
                <w:sz w:val="24"/>
                <w:szCs w:val="24"/>
              </w:rPr>
              <w:t>+ 32% nadwyżki ponad 120 000 zł</w:t>
            </w:r>
          </w:p>
        </w:tc>
      </w:tr>
    </w:tbl>
    <w:p w:rsidR="0070379A" w:rsidRDefault="0070379A">
      <w:pPr>
        <w:spacing w:line="360" w:lineRule="auto"/>
        <w:rPr>
          <w:rFonts w:ascii="Times New Roman" w:eastAsia="Times New Roman" w:hAnsi="Times New Roman" w:cs="Times New Roman"/>
          <w:sz w:val="24"/>
          <w:szCs w:val="24"/>
        </w:rPr>
      </w:pPr>
    </w:p>
    <w:p w:rsidR="0070379A" w:rsidRDefault="000D4E2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 art. 27 po ust. 1 dodaje się ust. 1aa w brzmieniu: </w:t>
      </w:r>
    </w:p>
    <w:p w:rsidR="0070379A" w:rsidRDefault="000D4E2A">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1aa. Wysokość </w:t>
      </w:r>
      <w:r>
        <w:rPr>
          <w:rFonts w:ascii="Times New Roman" w:eastAsia="Times New Roman" w:hAnsi="Times New Roman" w:cs="Times New Roman"/>
          <w:sz w:val="24"/>
          <w:szCs w:val="24"/>
        </w:rPr>
        <w:t>kwoty zmniejszającej</w:t>
      </w:r>
      <w:r>
        <w:rPr>
          <w:rFonts w:ascii="Times New Roman" w:eastAsia="Times New Roman" w:hAnsi="Times New Roman" w:cs="Times New Roman"/>
          <w:sz w:val="24"/>
          <w:szCs w:val="24"/>
          <w:highlight w:val="white"/>
        </w:rPr>
        <w:t xml:space="preserve"> podatek o której mowa w pierwszym przedziale skali podatkowej, o której mowa w ust. 1, zwanej dalej "</w:t>
      </w:r>
      <w:r>
        <w:rPr>
          <w:rFonts w:ascii="Times New Roman" w:eastAsia="Times New Roman" w:hAnsi="Times New Roman" w:cs="Times New Roman"/>
          <w:sz w:val="24"/>
          <w:szCs w:val="24"/>
        </w:rPr>
        <w:t>kwotą zmniejszającą</w:t>
      </w:r>
      <w:r>
        <w:rPr>
          <w:rFonts w:ascii="Times New Roman" w:eastAsia="Times New Roman" w:hAnsi="Times New Roman" w:cs="Times New Roman"/>
          <w:sz w:val="24"/>
          <w:szCs w:val="24"/>
          <w:highlight w:val="white"/>
        </w:rPr>
        <w:t xml:space="preserve"> podatek",</w:t>
      </w:r>
      <w:r>
        <w:rPr>
          <w:rFonts w:ascii="Times New Roman" w:eastAsia="Times New Roman" w:hAnsi="Times New Roman" w:cs="Times New Roman"/>
          <w:sz w:val="24"/>
          <w:szCs w:val="24"/>
          <w:highlight w:val="white"/>
        </w:rPr>
        <w:t xml:space="preserve"> wynosi 12% kwoty wynoszącej dwunastokrotność </w:t>
      </w:r>
      <w:r>
        <w:rPr>
          <w:rFonts w:ascii="Times New Roman" w:eastAsia="Times New Roman" w:hAnsi="Times New Roman" w:cs="Times New Roman"/>
          <w:sz w:val="24"/>
          <w:szCs w:val="24"/>
        </w:rPr>
        <w:t>kwoty minimalnego wynagrodzenia za pracę ustalanego w trybie przepisów art. 2 i art. 4 przepisów ustawy z dnia 10 października 2002 r. o minimalnym wynagrodzeniu, ale nie mniejszej niż 7 200 zł</w:t>
      </w:r>
      <w:r>
        <w:rPr>
          <w:rFonts w:ascii="Times New Roman" w:eastAsia="Times New Roman" w:hAnsi="Times New Roman" w:cs="Times New Roman"/>
          <w:sz w:val="24"/>
          <w:szCs w:val="24"/>
          <w:highlight w:val="white"/>
        </w:rPr>
        <w:t>;”</w:t>
      </w:r>
    </w:p>
    <w:p w:rsidR="0070379A" w:rsidRDefault="0070379A">
      <w:pPr>
        <w:spacing w:line="360" w:lineRule="auto"/>
        <w:jc w:val="both"/>
        <w:rPr>
          <w:rFonts w:ascii="Times New Roman" w:eastAsia="Times New Roman" w:hAnsi="Times New Roman" w:cs="Times New Roman"/>
          <w:b/>
          <w:color w:val="333333"/>
          <w:sz w:val="24"/>
          <w:szCs w:val="24"/>
          <w:highlight w:val="white"/>
        </w:rPr>
      </w:pPr>
    </w:p>
    <w:p w:rsidR="0070379A" w:rsidRDefault="0070379A">
      <w:pPr>
        <w:spacing w:line="360" w:lineRule="auto"/>
        <w:jc w:val="both"/>
        <w:rPr>
          <w:rFonts w:ascii="Times New Roman" w:eastAsia="Times New Roman" w:hAnsi="Times New Roman" w:cs="Times New Roman"/>
          <w:b/>
          <w:color w:val="333333"/>
          <w:sz w:val="24"/>
          <w:szCs w:val="24"/>
          <w:highlight w:val="white"/>
        </w:rPr>
      </w:pPr>
    </w:p>
    <w:p w:rsidR="0070379A" w:rsidRDefault="000D4E2A">
      <w:pPr>
        <w:spacing w:line="360" w:lineRule="auto"/>
        <w:rPr>
          <w:rFonts w:ascii="Times New Roman" w:eastAsia="Times New Roman" w:hAnsi="Times New Roman" w:cs="Times New Roman"/>
          <w:b/>
          <w:color w:val="333333"/>
          <w:sz w:val="24"/>
          <w:szCs w:val="24"/>
          <w:highlight w:val="white"/>
        </w:rPr>
      </w:pPr>
      <w:r>
        <w:br w:type="page"/>
      </w:r>
    </w:p>
    <w:p w:rsidR="0070379A" w:rsidRDefault="000D4E2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UZASADNIEN</w:t>
      </w:r>
      <w:r>
        <w:rPr>
          <w:rFonts w:ascii="Times New Roman" w:eastAsia="Times New Roman" w:hAnsi="Times New Roman" w:cs="Times New Roman"/>
          <w:b/>
          <w:sz w:val="24"/>
          <w:szCs w:val="24"/>
        </w:rPr>
        <w:t>IE</w:t>
      </w:r>
    </w:p>
    <w:p w:rsidR="0070379A" w:rsidRDefault="0070379A">
      <w:pPr>
        <w:spacing w:after="200" w:line="360" w:lineRule="auto"/>
        <w:ind w:firstLine="708"/>
        <w:jc w:val="both"/>
        <w:rPr>
          <w:rFonts w:ascii="Times New Roman" w:eastAsia="Times New Roman" w:hAnsi="Times New Roman" w:cs="Times New Roman"/>
          <w:sz w:val="24"/>
          <w:szCs w:val="24"/>
        </w:rPr>
      </w:pPr>
    </w:p>
    <w:p w:rsidR="0070379A" w:rsidRDefault="000D4E2A">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Poprawka ma na celu wyeliminowanie oczywistej omyłki z pierwotnego brzmienia projektu.</w:t>
      </w:r>
    </w:p>
    <w:p w:rsidR="0070379A" w:rsidRDefault="000D4E2A">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o zmianie ustawy o podatku dochodowym od osób fizycznych ma na celu podniesienie kwoty wolnej od podatku dla wszystkich do wysokości równej dwunastokrotności minimalnego wynagrodzenia za pracę, ale nie mniejszej niż 60 000 zł. Celem niniejsz</w:t>
      </w:r>
      <w:r>
        <w:rPr>
          <w:rFonts w:ascii="Times New Roman" w:eastAsia="Times New Roman" w:hAnsi="Times New Roman" w:cs="Times New Roman"/>
          <w:sz w:val="24"/>
          <w:szCs w:val="24"/>
        </w:rPr>
        <w:t>ej zmiany jest zmniejszenie wysokości klina podatkowego, podwyższenie płac netto większości obywateli, oraz ustalenie bardziej sprawiedliwych obciążeń podatkowych poprzez wyrównanie kwoty wolnej dla wszystkich oraz oparcie systemu podatkowego na elementarn</w:t>
      </w:r>
      <w:r>
        <w:rPr>
          <w:rFonts w:ascii="Times New Roman" w:eastAsia="Times New Roman" w:hAnsi="Times New Roman" w:cs="Times New Roman"/>
          <w:sz w:val="24"/>
          <w:szCs w:val="24"/>
        </w:rPr>
        <w:t>ej zasadzie prawa podatkowego, tj. zasady zdolności płatniczej.</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pracujący Polak oddaje przeciętnie państwu około 40% swoich dochodów w formie PIT, składek na ZUS i składek na NFZ. Następnie płaci VAT, akcyzę oraz różne parapodatki, w wyniku czego pon</w:t>
      </w:r>
      <w:r>
        <w:rPr>
          <w:rFonts w:ascii="Times New Roman" w:eastAsia="Times New Roman" w:hAnsi="Times New Roman" w:cs="Times New Roman"/>
          <w:sz w:val="24"/>
          <w:szCs w:val="24"/>
        </w:rPr>
        <w:t>ad połowa dochodów pracującej części społeczeństwa trafia w ręce polityków i biurokratów. Rząd rzuca kłody pod nogi najbardziej pracowitym i przedsiębiorczym Polakom zabierając im większość owoców ich pracy.</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zamian za te wszystkie daniny otrzymujemy wizj</w:t>
      </w:r>
      <w:r>
        <w:rPr>
          <w:rFonts w:ascii="Times New Roman" w:eastAsia="Times New Roman" w:hAnsi="Times New Roman" w:cs="Times New Roman"/>
          <w:sz w:val="24"/>
          <w:szCs w:val="24"/>
        </w:rPr>
        <w:t>ę głodowych emerytur, niewydolny system ochrony zdrowia i niedostosowaną do potrzeb rynku pracy edukację. Wiele z naszych wspólnych pieniędzy jest bezmyślnie wydawanych na ciągle rozrastającą się biurokrację, która te podatki zbiera, a także na coraz to no</w:t>
      </w:r>
      <w:r>
        <w:rPr>
          <w:rFonts w:ascii="Times New Roman" w:eastAsia="Times New Roman" w:hAnsi="Times New Roman" w:cs="Times New Roman"/>
          <w:sz w:val="24"/>
          <w:szCs w:val="24"/>
        </w:rPr>
        <w:t>we programy socjalne. Skala rozkradania i marnotrawienia pieniędzy w naszym państwie jest gigantyczna.</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Polacy muszą wreszcie mieć możliwość korzystania z owoców własnej pracy. Aby Polska rozwijała się gospodarczo i goniła bogatsze od siebie kraje potrzebne</w:t>
      </w:r>
      <w:r>
        <w:rPr>
          <w:rFonts w:ascii="Times New Roman" w:eastAsia="Times New Roman" w:hAnsi="Times New Roman" w:cs="Times New Roman"/>
          <w:sz w:val="24"/>
          <w:szCs w:val="24"/>
        </w:rPr>
        <w:t xml:space="preserve"> są bardzo silne impulsy: proste i niskie podatki, wolność gospodarcza, maksymalne uproszczenie przepisów, redukcja biurokracji. Konfederacja proponuje największą w historii obniżkę podatków, a przy tym powstrzymanie pro-inflacyjnego rozdawnictwa i dodruku</w:t>
      </w:r>
      <w:r>
        <w:rPr>
          <w:rFonts w:ascii="Times New Roman" w:eastAsia="Times New Roman" w:hAnsi="Times New Roman" w:cs="Times New Roman"/>
          <w:sz w:val="24"/>
          <w:szCs w:val="24"/>
        </w:rPr>
        <w:t xml:space="preserve"> pieniądza. System gospodarczy będzie prosty, zarobki wyższe, a inflacja nie będzie pożerać naszych pensji i oszczędności. Podwyżka kwoty wolnej od podatku dla wszystkich Polaków to ważny element tych zmian.</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Przez wiele lat kwota wolna od podatku dla większości obywateli rozliczających PIT wynosiła 3.091 zł. Kwota ta nie była podnoszona od 2009 r. nawet pomimo wyroku Trybunału Konstytucyjnego z dnia 28 października 2015 r. (Sygn. akt K 21/14), w którym sędziow</w:t>
      </w:r>
      <w:r>
        <w:rPr>
          <w:rFonts w:ascii="Times New Roman" w:eastAsia="Times New Roman" w:hAnsi="Times New Roman" w:cs="Times New Roman"/>
          <w:sz w:val="24"/>
          <w:szCs w:val="24"/>
        </w:rPr>
        <w:t xml:space="preserve">ie TK orzekli, że „art. 27 ust. 1 ustawy z dnia 26 lipca 1991 r. o podatku dochodowym od osób </w:t>
      </w:r>
      <w:r>
        <w:rPr>
          <w:rFonts w:ascii="Times New Roman" w:eastAsia="Times New Roman" w:hAnsi="Times New Roman" w:cs="Times New Roman"/>
          <w:sz w:val="24"/>
          <w:szCs w:val="24"/>
        </w:rPr>
        <w:lastRenderedPageBreak/>
        <w:t xml:space="preserve">fizycznych w zakresie, w jakim nie przewiduje mechanizmu korygowania kwoty zmniejszającej podatek, gwarantującego co najmniej minimum egzystencji, jest niezgodny </w:t>
      </w:r>
      <w:r>
        <w:rPr>
          <w:rFonts w:ascii="Times New Roman" w:eastAsia="Times New Roman" w:hAnsi="Times New Roman" w:cs="Times New Roman"/>
          <w:sz w:val="24"/>
          <w:szCs w:val="24"/>
        </w:rPr>
        <w:t xml:space="preserve">z art. 2 i art. 84 Konstytucji Rzeczypospolitej Polskiej”. </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Nieudolną próbą obejścia wyroku TK była ustawa z dnia 29 listopada 2016 r. o zmianie ustawy o podatku dochodowym od osób fizycznych, ustawy o podatku dochodowym od osób prawnych oraz ustawy o zmia</w:t>
      </w:r>
      <w:r>
        <w:rPr>
          <w:rFonts w:ascii="Times New Roman" w:eastAsia="Times New Roman" w:hAnsi="Times New Roman" w:cs="Times New Roman"/>
          <w:sz w:val="24"/>
          <w:szCs w:val="24"/>
        </w:rPr>
        <w:t>nie ustawy – Ordynacja podatkowa oraz niektórych innych ustaw, która weszła w życie 1 stycznia 2017 r., według której w latach 2018-2021  kwota wolna od podatku dla najmniej zarabiających wynosiła teoretycznie 8.001,49 zł, jednak po przekroczeniu tego prog</w:t>
      </w:r>
      <w:r>
        <w:rPr>
          <w:rFonts w:ascii="Times New Roman" w:eastAsia="Times New Roman" w:hAnsi="Times New Roman" w:cs="Times New Roman"/>
          <w:sz w:val="24"/>
          <w:szCs w:val="24"/>
        </w:rPr>
        <w:t>u kwota ta systematycznie spadała i już ci, którzy zarobią w skali roku jedynie 13.000,50 zł mogli liczyć tylko na kwotę 3.091 zł, a zarabiający ponad 127 tys. zł rocznie całkowicie tracili prawo do tego odliczenia.</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Obecnie kwota wolna od podatku wynosi 30</w:t>
      </w:r>
      <w:r>
        <w:rPr>
          <w:rFonts w:ascii="Times New Roman" w:eastAsia="Times New Roman" w:hAnsi="Times New Roman" w:cs="Times New Roman"/>
          <w:sz w:val="24"/>
          <w:szCs w:val="24"/>
        </w:rPr>
        <w:t xml:space="preserve"> tys. złotych. Próg ten odnosi się do zarobków osiąganych w ujęciu rocznym. Jeśli chodzi o 2023 rok, kwota wolna od podatku dochodowego jest ustalana w następujący sposób:</w:t>
      </w:r>
    </w:p>
    <w:p w:rsidR="0070379A" w:rsidRDefault="000D4E2A">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na poziomie wynoszącym do 30 000 zł – podatek w wysokości 0 złotych;</w:t>
      </w:r>
    </w:p>
    <w:p w:rsidR="0070379A" w:rsidRDefault="000D4E2A">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wynoszące co najmniej 30 001 zł i nie wyższe niż 120 000 zł – kwota wolna jest ustalana jako różnica 12 proc. (tyle wynosi podstawowa stawka podatku VAT) minus kwota zmniejszająca podatek, czyli 3600 zł;</w:t>
      </w:r>
    </w:p>
    <w:p w:rsidR="0070379A" w:rsidRDefault="000D4E2A">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roczne dochody przekraczające 120 000</w:t>
      </w:r>
      <w:r>
        <w:rPr>
          <w:rFonts w:ascii="Times New Roman" w:eastAsia="Times New Roman" w:hAnsi="Times New Roman" w:cs="Times New Roman"/>
          <w:sz w:val="24"/>
          <w:szCs w:val="24"/>
        </w:rPr>
        <w:t xml:space="preserve"> zł – kwota jest wówczas ustalana jako 10 800 zł + 32 proc. z nadwyżki ponad  120 000 zł.</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zmian proponowanych w niniejszym projekcie spowoduje urealnienie kwoty wolnej i doprowadzi do realizacji zasady sprawiedliwości w systemie podatkowym. Dz</w:t>
      </w:r>
      <w:r>
        <w:rPr>
          <w:rFonts w:ascii="Times New Roman" w:eastAsia="Times New Roman" w:hAnsi="Times New Roman" w:cs="Times New Roman"/>
          <w:sz w:val="24"/>
          <w:szCs w:val="24"/>
        </w:rPr>
        <w:t xml:space="preserve">ięki ustaleniu jednej kwoty wolnej dla wszystkich w wysokości dwunastokrotności płacy minimalnej, opodatkowaniu będą podlegać dopiero dochody w wysokości minimalnego wynagrodzenia. Zarobki poniżej tego minimum nie będą w ogóle opodatkowane. Sprawiedliwość </w:t>
      </w:r>
      <w:r>
        <w:rPr>
          <w:rFonts w:ascii="Times New Roman" w:eastAsia="Times New Roman" w:hAnsi="Times New Roman" w:cs="Times New Roman"/>
          <w:sz w:val="24"/>
          <w:szCs w:val="24"/>
        </w:rPr>
        <w:t>tego rozwiązania oparta jest na idei zdolności płatniczej, czyli jednej z elementarnych zasad prawa podatkowego. Skoro bowiem racjonalny ustawodawca ustala minimalne wynagrodzenie na danym poziomie, przyjmując, że niższe zarobki są niedopuszczalne i niewys</w:t>
      </w:r>
      <w:r>
        <w:rPr>
          <w:rFonts w:ascii="Times New Roman" w:eastAsia="Times New Roman" w:hAnsi="Times New Roman" w:cs="Times New Roman"/>
          <w:sz w:val="24"/>
          <w:szCs w:val="24"/>
        </w:rPr>
        <w:t>tarczające dla utrzymania godnego poziomu życia, to skrajną niesprawiedliwością i naruszeniem zasady zdolności płatniczej jest jednoczesne nakładanie obciążeń fiskalnych na dochody poniżej tego minimalnego poziomu.</w:t>
      </w:r>
    </w:p>
    <w:p w:rsidR="0070379A" w:rsidRDefault="000D4E2A">
      <w:pPr>
        <w:widowControl w:val="0"/>
        <w:spacing w:line="36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Ponadto wejście w życie proponowanych zmi</w:t>
      </w:r>
      <w:r>
        <w:rPr>
          <w:rFonts w:ascii="Times New Roman" w:eastAsia="Times New Roman" w:hAnsi="Times New Roman" w:cs="Times New Roman"/>
          <w:sz w:val="24"/>
          <w:szCs w:val="24"/>
        </w:rPr>
        <w:t xml:space="preserve">an przyczyni się do wzrostu zamożności obywateli, poprzez zwiększenie ich zarobków netto. Dzięki wyższej kwocie wolnej w </w:t>
      </w:r>
      <w:r>
        <w:rPr>
          <w:rFonts w:ascii="Times New Roman" w:eastAsia="Times New Roman" w:hAnsi="Times New Roman" w:cs="Times New Roman"/>
          <w:sz w:val="24"/>
          <w:szCs w:val="24"/>
        </w:rPr>
        <w:lastRenderedPageBreak/>
        <w:t>kieszeniach Polaków zostanie więcej pieniędzy, dzięki czemu lepiej będą mogli realizować swoje życiowe potrzeby, co w efekcie spowoduje</w:t>
      </w:r>
      <w:r>
        <w:rPr>
          <w:rFonts w:ascii="Times New Roman" w:eastAsia="Times New Roman" w:hAnsi="Times New Roman" w:cs="Times New Roman"/>
          <w:sz w:val="24"/>
          <w:szCs w:val="24"/>
        </w:rPr>
        <w:t xml:space="preserve"> również, że budżet państwa skorzysta na tym, że mniej będzie osób wymagających wsparcia ze środków programów pomocy społecznej. Skorzysta również cała gospodarka, dzięki temu, że w sektorze prywatnym znajdzie się więcej środków zarówno na konsumpcję jak t</w:t>
      </w:r>
      <w:r>
        <w:rPr>
          <w:rFonts w:ascii="Times New Roman" w:eastAsia="Times New Roman" w:hAnsi="Times New Roman" w:cs="Times New Roman"/>
          <w:sz w:val="24"/>
          <w:szCs w:val="24"/>
        </w:rPr>
        <w:t>eż na inwestycje.</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przyniesie następujący skutek dla sektora finansów publicznych: wnioskodawca szacuje maksymalne koszty związane z podniesieniem kwoty wolnej od podatku do wysokości dwunastokrotności pensji minimalnej na kwotę 35 mld zł (w </w:t>
      </w:r>
      <w:r>
        <w:rPr>
          <w:rFonts w:ascii="Times New Roman" w:eastAsia="Times New Roman" w:hAnsi="Times New Roman" w:cs="Times New Roman"/>
          <w:sz w:val="24"/>
          <w:szCs w:val="24"/>
        </w:rPr>
        <w:t>tym 18 mld to skutek finansowy dla jednostek samorządu terytorialnego).</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pozytywnie wpłynie na sektor mikro, małych i średnich przedsiębiorstw poprzez zwiększenie podaży pracy wynikające ze zmniejszenia klina podatkowego, a także spowodu</w:t>
      </w:r>
      <w:r>
        <w:rPr>
          <w:rFonts w:ascii="Times New Roman" w:eastAsia="Times New Roman" w:hAnsi="Times New Roman" w:cs="Times New Roman"/>
          <w:sz w:val="24"/>
          <w:szCs w:val="24"/>
        </w:rPr>
        <w:t>je znaczny wzrost przeciętnych zarobków netto.</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4 rozporządzenia Rady Ministrów z dnia 23 grudnia 2002 r. w sprawie sposobu funkcjonowania krajowego systemu notyfikacji norm i aktów prawnych (Dz.U. Nr 239, poz.2039, z późn. zm.) projektowana usta</w:t>
      </w:r>
      <w:r>
        <w:rPr>
          <w:rFonts w:ascii="Times New Roman" w:eastAsia="Times New Roman" w:hAnsi="Times New Roman" w:cs="Times New Roman"/>
          <w:sz w:val="24"/>
          <w:szCs w:val="24"/>
        </w:rPr>
        <w:t>wa nie podlega notyfikacji Komisji Europejskiej.</w:t>
      </w:r>
    </w:p>
    <w:p w:rsidR="0070379A" w:rsidRDefault="000D4E2A">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 projektowanej regulacji nie jest objęty prawem Unii Europejskiej.</w:t>
      </w:r>
    </w:p>
    <w:p w:rsidR="0070379A" w:rsidRDefault="0070379A">
      <w:pPr>
        <w:spacing w:after="200" w:line="360" w:lineRule="auto"/>
        <w:ind w:firstLine="708"/>
        <w:jc w:val="both"/>
        <w:rPr>
          <w:rFonts w:ascii="Times New Roman" w:eastAsia="Times New Roman" w:hAnsi="Times New Roman" w:cs="Times New Roman"/>
          <w:sz w:val="24"/>
          <w:szCs w:val="24"/>
        </w:rPr>
      </w:pPr>
    </w:p>
    <w:p w:rsidR="0070379A" w:rsidRDefault="0070379A">
      <w:pPr>
        <w:spacing w:after="200" w:line="360" w:lineRule="auto"/>
        <w:jc w:val="both"/>
        <w:rPr>
          <w:rFonts w:ascii="Times New Roman" w:eastAsia="Times New Roman" w:hAnsi="Times New Roman" w:cs="Times New Roman"/>
          <w:sz w:val="24"/>
          <w:szCs w:val="24"/>
        </w:rPr>
      </w:pPr>
    </w:p>
    <w:p w:rsidR="0070379A" w:rsidRDefault="0070379A">
      <w:pPr>
        <w:spacing w:after="200" w:line="360" w:lineRule="auto"/>
        <w:jc w:val="both"/>
        <w:rPr>
          <w:rFonts w:ascii="Times New Roman" w:eastAsia="Times New Roman" w:hAnsi="Times New Roman" w:cs="Times New Roman"/>
          <w:sz w:val="24"/>
          <w:szCs w:val="24"/>
        </w:rPr>
      </w:pPr>
    </w:p>
    <w:p w:rsidR="0070379A" w:rsidRDefault="000D4E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0379A" w:rsidRDefault="0070379A">
      <w:pPr>
        <w:spacing w:line="360" w:lineRule="auto"/>
        <w:jc w:val="both"/>
        <w:rPr>
          <w:rFonts w:ascii="Times New Roman" w:eastAsia="Times New Roman" w:hAnsi="Times New Roman" w:cs="Times New Roman"/>
          <w:sz w:val="24"/>
          <w:szCs w:val="24"/>
        </w:rPr>
      </w:pPr>
    </w:p>
    <w:p w:rsidR="0070379A" w:rsidRDefault="0070379A">
      <w:pPr>
        <w:spacing w:after="200" w:line="360" w:lineRule="auto"/>
        <w:jc w:val="both"/>
        <w:rPr>
          <w:rFonts w:ascii="Times New Roman" w:eastAsia="Times New Roman" w:hAnsi="Times New Roman" w:cs="Times New Roman"/>
          <w:sz w:val="24"/>
          <w:szCs w:val="24"/>
        </w:rPr>
      </w:pPr>
    </w:p>
    <w:p w:rsidR="0070379A" w:rsidRDefault="0070379A">
      <w:pPr>
        <w:spacing w:after="200" w:line="360" w:lineRule="auto"/>
        <w:ind w:firstLine="708"/>
        <w:jc w:val="both"/>
        <w:rPr>
          <w:rFonts w:ascii="Times New Roman" w:eastAsia="Times New Roman" w:hAnsi="Times New Roman" w:cs="Times New Roman"/>
          <w:sz w:val="24"/>
          <w:szCs w:val="24"/>
        </w:rPr>
      </w:pPr>
    </w:p>
    <w:p w:rsidR="0070379A" w:rsidRDefault="0070379A">
      <w:pPr>
        <w:spacing w:after="200" w:line="360" w:lineRule="auto"/>
        <w:jc w:val="both"/>
        <w:rPr>
          <w:rFonts w:ascii="Times New Roman" w:eastAsia="Times New Roman" w:hAnsi="Times New Roman" w:cs="Times New Roman"/>
          <w:sz w:val="24"/>
          <w:szCs w:val="24"/>
        </w:rPr>
      </w:pPr>
    </w:p>
    <w:p w:rsidR="0070379A" w:rsidRDefault="0070379A"/>
    <w:sectPr w:rsidR="0070379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2A" w:rsidRDefault="000D4E2A" w:rsidP="00891BFF">
      <w:pPr>
        <w:spacing w:line="240" w:lineRule="auto"/>
      </w:pPr>
      <w:r>
        <w:separator/>
      </w:r>
    </w:p>
  </w:endnote>
  <w:endnote w:type="continuationSeparator" w:id="0">
    <w:p w:rsidR="000D4E2A" w:rsidRDefault="000D4E2A" w:rsidP="00891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2A" w:rsidRDefault="000D4E2A" w:rsidP="00891BFF">
      <w:pPr>
        <w:spacing w:line="240" w:lineRule="auto"/>
      </w:pPr>
      <w:r>
        <w:separator/>
      </w:r>
    </w:p>
  </w:footnote>
  <w:footnote w:type="continuationSeparator" w:id="0">
    <w:p w:rsidR="000D4E2A" w:rsidRDefault="000D4E2A" w:rsidP="00891B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FF" w:rsidRDefault="00891BF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F2F21"/>
    <w:multiLevelType w:val="multilevel"/>
    <w:tmpl w:val="6290B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9A"/>
    <w:rsid w:val="000D4E2A"/>
    <w:rsid w:val="003B26A1"/>
    <w:rsid w:val="0070379A"/>
    <w:rsid w:val="00891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891BFF"/>
    <w:pPr>
      <w:tabs>
        <w:tab w:val="center" w:pos="4536"/>
        <w:tab w:val="right" w:pos="9072"/>
      </w:tabs>
      <w:spacing w:line="240" w:lineRule="auto"/>
    </w:pPr>
  </w:style>
  <w:style w:type="character" w:customStyle="1" w:styleId="NagwekZnak">
    <w:name w:val="Nagłówek Znak"/>
    <w:basedOn w:val="Domylnaczcionkaakapitu"/>
    <w:link w:val="Nagwek"/>
    <w:uiPriority w:val="99"/>
    <w:rsid w:val="00891BFF"/>
  </w:style>
  <w:style w:type="paragraph" w:styleId="Stopka">
    <w:name w:val="footer"/>
    <w:basedOn w:val="Normalny"/>
    <w:link w:val="StopkaZnak"/>
    <w:uiPriority w:val="99"/>
    <w:unhideWhenUsed/>
    <w:rsid w:val="00891BFF"/>
    <w:pPr>
      <w:tabs>
        <w:tab w:val="center" w:pos="4536"/>
        <w:tab w:val="right" w:pos="9072"/>
      </w:tabs>
      <w:spacing w:line="240" w:lineRule="auto"/>
    </w:pPr>
  </w:style>
  <w:style w:type="character" w:customStyle="1" w:styleId="StopkaZnak">
    <w:name w:val="Stopka Znak"/>
    <w:basedOn w:val="Domylnaczcionkaakapitu"/>
    <w:link w:val="Stopka"/>
    <w:uiPriority w:val="99"/>
    <w:rsid w:val="0089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6435</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2024-02-07T10:15:00Z</dcterms:created>
  <dcterms:modified xsi:type="dcterms:W3CDTF">2024-02-07T10:15:00Z</dcterms:modified>
</cp:coreProperties>
</file>