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6824" w14:textId="68C58BFB" w:rsidR="002B5955" w:rsidRPr="00694061" w:rsidRDefault="009E288C" w:rsidP="002031F2">
      <w:pPr>
        <w:pStyle w:val="Tytu"/>
        <w:spacing w:after="240" w:line="360" w:lineRule="auto"/>
        <w:contextualSpacing w:val="0"/>
        <w:jc w:val="center"/>
        <w:rPr>
          <w:rFonts w:cs="Times New Roman"/>
          <w:sz w:val="24"/>
          <w:szCs w:val="24"/>
        </w:rPr>
      </w:pPr>
      <w:r w:rsidRPr="009E288C">
        <w:rPr>
          <w:rFonts w:cs="Times New Roman"/>
          <w:sz w:val="24"/>
          <w:szCs w:val="24"/>
        </w:rPr>
        <w:t>UZASADNIENIE</w:t>
      </w:r>
    </w:p>
    <w:p w14:paraId="6FDACD37" w14:textId="781903FD" w:rsidR="0059543A" w:rsidRPr="00833C88" w:rsidRDefault="002B5955" w:rsidP="00BC7BDE">
      <w:pPr>
        <w:pStyle w:val="Nagwek1"/>
        <w:numPr>
          <w:ilvl w:val="0"/>
          <w:numId w:val="2"/>
        </w:numPr>
        <w:spacing w:before="0" w:after="120" w:line="360" w:lineRule="auto"/>
        <w:jc w:val="both"/>
        <w:rPr>
          <w:rFonts w:cs="Times New Roman"/>
          <w:sz w:val="28"/>
          <w:szCs w:val="28"/>
        </w:rPr>
      </w:pPr>
      <w:r w:rsidRPr="00833C88">
        <w:rPr>
          <w:rFonts w:cs="Times New Roman"/>
          <w:sz w:val="28"/>
          <w:szCs w:val="28"/>
        </w:rPr>
        <w:t>Wstęp</w:t>
      </w:r>
    </w:p>
    <w:p w14:paraId="2F26D065" w14:textId="7B5DCCF9" w:rsidR="00995E5C" w:rsidRPr="00833C88" w:rsidRDefault="00995E5C" w:rsidP="002B66C8">
      <w:pPr>
        <w:pStyle w:val="NIEARTTEKSTtekstnieartykuowanynppodstprawnarozplubpreambua"/>
        <w:spacing w:before="0" w:after="120"/>
        <w:rPr>
          <w:rFonts w:ascii="Times New Roman" w:hAnsi="Times New Roman" w:cs="Times New Roman"/>
          <w:szCs w:val="24"/>
        </w:rPr>
      </w:pPr>
      <w:r w:rsidRPr="00833C88">
        <w:rPr>
          <w:rFonts w:ascii="Times New Roman" w:hAnsi="Times New Roman" w:cs="Times New Roman"/>
          <w:szCs w:val="24"/>
        </w:rPr>
        <w:t>Ustawa z dnia 5 lipca 2018 r. o krajowym systemie cyberbezpieczeństwa</w:t>
      </w:r>
      <w:r w:rsidR="005522B2" w:rsidRPr="00833C88">
        <w:rPr>
          <w:rFonts w:ascii="Times New Roman" w:hAnsi="Times New Roman" w:cs="Times New Roman"/>
          <w:szCs w:val="24"/>
        </w:rPr>
        <w:t xml:space="preserve"> (Dz.</w:t>
      </w:r>
      <w:r w:rsidR="00D550D5" w:rsidRPr="00833C88">
        <w:rPr>
          <w:rFonts w:ascii="Times New Roman" w:hAnsi="Times New Roman" w:cs="Times New Roman"/>
          <w:szCs w:val="24"/>
        </w:rPr>
        <w:t> </w:t>
      </w:r>
      <w:r w:rsidR="005522B2" w:rsidRPr="00833C88">
        <w:rPr>
          <w:rFonts w:ascii="Times New Roman" w:hAnsi="Times New Roman" w:cs="Times New Roman"/>
          <w:szCs w:val="24"/>
        </w:rPr>
        <w:t xml:space="preserve">U. </w:t>
      </w:r>
      <w:r w:rsidR="00601933" w:rsidRPr="00833C88">
        <w:rPr>
          <w:rFonts w:ascii="Times New Roman" w:hAnsi="Times New Roman" w:cs="Times New Roman"/>
          <w:szCs w:val="24"/>
        </w:rPr>
        <w:t>z </w:t>
      </w:r>
      <w:r w:rsidR="005522B2" w:rsidRPr="00833C88">
        <w:rPr>
          <w:rFonts w:ascii="Times New Roman" w:hAnsi="Times New Roman" w:cs="Times New Roman"/>
          <w:szCs w:val="24"/>
        </w:rPr>
        <w:t>2024</w:t>
      </w:r>
      <w:r w:rsidR="00442F38" w:rsidRPr="00833C88">
        <w:rPr>
          <w:rFonts w:ascii="Times New Roman" w:hAnsi="Times New Roman" w:cs="Times New Roman"/>
          <w:szCs w:val="24"/>
        </w:rPr>
        <w:t> </w:t>
      </w:r>
      <w:r w:rsidR="00F626E5" w:rsidRPr="00833C88">
        <w:rPr>
          <w:rFonts w:ascii="Times New Roman" w:hAnsi="Times New Roman" w:cs="Times New Roman"/>
          <w:szCs w:val="24"/>
        </w:rPr>
        <w:t>r. poz. 1077</w:t>
      </w:r>
      <w:r w:rsidR="0081778C" w:rsidRPr="00833C88">
        <w:rPr>
          <w:rFonts w:ascii="Times New Roman" w:hAnsi="Times New Roman" w:cs="Times New Roman"/>
          <w:szCs w:val="24"/>
        </w:rPr>
        <w:t xml:space="preserve"> </w:t>
      </w:r>
      <w:r w:rsidR="00373DC1" w:rsidRPr="00833C88">
        <w:rPr>
          <w:rFonts w:ascii="Times New Roman" w:hAnsi="Times New Roman" w:cs="Times New Roman"/>
          <w:szCs w:val="24"/>
        </w:rPr>
        <w:t xml:space="preserve">i </w:t>
      </w:r>
      <w:r w:rsidR="00F626E5" w:rsidRPr="00833C88">
        <w:rPr>
          <w:rFonts w:ascii="Times New Roman" w:hAnsi="Times New Roman" w:cs="Times New Roman"/>
          <w:szCs w:val="24"/>
        </w:rPr>
        <w:t>1222</w:t>
      </w:r>
      <w:r w:rsidR="00373DC1" w:rsidRPr="00833C88">
        <w:rPr>
          <w:rFonts w:ascii="Times New Roman" w:hAnsi="Times New Roman" w:cs="Times New Roman"/>
          <w:szCs w:val="24"/>
        </w:rPr>
        <w:t xml:space="preserve"> oraz z 2025 r. poz.</w:t>
      </w:r>
      <w:r w:rsidR="007F3AA2" w:rsidRPr="00833C88">
        <w:rPr>
          <w:rFonts w:ascii="Times New Roman" w:hAnsi="Times New Roman" w:cs="Times New Roman"/>
          <w:szCs w:val="24"/>
        </w:rPr>
        <w:t xml:space="preserve"> 1017 i 1069</w:t>
      </w:r>
      <w:r w:rsidR="005522B2" w:rsidRPr="00833C88">
        <w:rPr>
          <w:rFonts w:ascii="Times New Roman" w:hAnsi="Times New Roman" w:cs="Times New Roman"/>
          <w:szCs w:val="24"/>
        </w:rPr>
        <w:t>)</w:t>
      </w:r>
      <w:r w:rsidRPr="00833C88">
        <w:rPr>
          <w:rFonts w:ascii="Times New Roman" w:hAnsi="Times New Roman" w:cs="Times New Roman"/>
          <w:szCs w:val="24"/>
        </w:rPr>
        <w:t xml:space="preserve">, zwana dalej „ustawą o KSC”, tworzy podstawy prawno-instytucjonalne dla cyberbezpieczeństwa na poziomie krajowym. Ustawa o KSC jest implementacją dyrektywy </w:t>
      </w:r>
      <w:r w:rsidR="00747CF2" w:rsidRPr="00833C88">
        <w:rPr>
          <w:rFonts w:ascii="Times New Roman" w:hAnsi="Times New Roman" w:cs="Times New Roman"/>
          <w:szCs w:val="24"/>
        </w:rPr>
        <w:t>Parlamentu Europejskiego i Rady (UE) 2016/1148 z dnia 6 lipca 2016 r. w sprawie środków na rzecz wysokiego wspólnego poziomu bezpieczeństwa sieci i systemów informatycznych na terytorium Unii (Dz.</w:t>
      </w:r>
      <w:r w:rsidR="00031FDA" w:rsidRPr="00833C88">
        <w:rPr>
          <w:rFonts w:ascii="Times New Roman" w:hAnsi="Times New Roman" w:cs="Times New Roman"/>
          <w:szCs w:val="24"/>
        </w:rPr>
        <w:t> </w:t>
      </w:r>
      <w:r w:rsidR="00747CF2" w:rsidRPr="00833C88">
        <w:rPr>
          <w:rFonts w:ascii="Times New Roman" w:hAnsi="Times New Roman" w:cs="Times New Roman"/>
          <w:szCs w:val="24"/>
        </w:rPr>
        <w:t>Urz.</w:t>
      </w:r>
      <w:r w:rsidR="00031FDA" w:rsidRPr="00833C88">
        <w:rPr>
          <w:rFonts w:ascii="Times New Roman" w:hAnsi="Times New Roman" w:cs="Times New Roman"/>
          <w:szCs w:val="24"/>
        </w:rPr>
        <w:t> </w:t>
      </w:r>
      <w:r w:rsidR="00747CF2" w:rsidRPr="00833C88">
        <w:rPr>
          <w:rFonts w:ascii="Times New Roman" w:hAnsi="Times New Roman" w:cs="Times New Roman"/>
          <w:szCs w:val="24"/>
        </w:rPr>
        <w:t>UE.</w:t>
      </w:r>
      <w:r w:rsidR="00031FDA" w:rsidRPr="00833C88">
        <w:rPr>
          <w:rFonts w:ascii="Times New Roman" w:hAnsi="Times New Roman" w:cs="Times New Roman"/>
          <w:szCs w:val="24"/>
        </w:rPr>
        <w:t> </w:t>
      </w:r>
      <w:r w:rsidR="00747CF2" w:rsidRPr="00833C88">
        <w:rPr>
          <w:rFonts w:ascii="Times New Roman" w:hAnsi="Times New Roman" w:cs="Times New Roman"/>
          <w:szCs w:val="24"/>
        </w:rPr>
        <w:t xml:space="preserve">L 2016/1148 </w:t>
      </w:r>
      <w:r w:rsidR="00601933" w:rsidRPr="00833C88">
        <w:rPr>
          <w:rFonts w:ascii="Times New Roman" w:hAnsi="Times New Roman" w:cs="Times New Roman"/>
          <w:szCs w:val="24"/>
        </w:rPr>
        <w:t>z </w:t>
      </w:r>
      <w:r w:rsidR="00747CF2" w:rsidRPr="00833C88">
        <w:rPr>
          <w:rFonts w:ascii="Times New Roman" w:hAnsi="Times New Roman" w:cs="Times New Roman"/>
          <w:szCs w:val="24"/>
        </w:rPr>
        <w:t xml:space="preserve">19.07.2016), zwanej dalej „dyrektywą </w:t>
      </w:r>
      <w:r w:rsidRPr="00833C88">
        <w:rPr>
          <w:rFonts w:ascii="Times New Roman" w:hAnsi="Times New Roman" w:cs="Times New Roman"/>
          <w:szCs w:val="24"/>
        </w:rPr>
        <w:t>NIS</w:t>
      </w:r>
      <w:r w:rsidR="00747CF2" w:rsidRPr="00833C88">
        <w:rPr>
          <w:rFonts w:ascii="Times New Roman" w:hAnsi="Times New Roman" w:cs="Times New Roman"/>
          <w:szCs w:val="24"/>
        </w:rPr>
        <w:t>”</w:t>
      </w:r>
      <w:r w:rsidRPr="00833C88">
        <w:rPr>
          <w:rFonts w:ascii="Times New Roman" w:hAnsi="Times New Roman" w:cs="Times New Roman"/>
          <w:szCs w:val="24"/>
        </w:rPr>
        <w:t xml:space="preserve">. </w:t>
      </w:r>
    </w:p>
    <w:p w14:paraId="7F157D77" w14:textId="3AB28AFC" w:rsidR="00995E5C" w:rsidRPr="00833C88" w:rsidRDefault="00995E5C" w:rsidP="002B66C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Krajowy system cyberbezpieczeństwa tworzy wiele podmiotów, przede wszystkim operatorzy usług kluczowych, dostawcy usług cyfrowych oraz podmioty publiczne, na które nałożono obowiązki związane z zapewnieniem bezpieczeństwa informacji, a także obsługą incydentów. Operatorzy usług kluczowych zostali podzieleni według sektorów i podsektorów wskazanych w załączniku nr 1 do ustawy o KSC. Dla każdego sektora ustanowiono organ właściwy do spraw cyberbezpieczeństwa</w:t>
      </w:r>
      <w:r w:rsidR="00280229" w:rsidRPr="00833C88">
        <w:rPr>
          <w:rFonts w:ascii="Times New Roman" w:hAnsi="Times New Roman" w:cs="Times New Roman"/>
        </w:rPr>
        <w:t xml:space="preserve">, </w:t>
      </w:r>
      <w:r w:rsidRPr="00833C88">
        <w:rPr>
          <w:rFonts w:ascii="Times New Roman" w:hAnsi="Times New Roman" w:cs="Times New Roman"/>
        </w:rPr>
        <w:t xml:space="preserve">zwany dalej „organem właściwym”, który odpowiada za identyfikację i wyznaczanie operatorów usług kluczowych oraz nadzór i kontrolę nad przestrzeganiem przepisów ustawy </w:t>
      </w:r>
      <w:r w:rsidR="00601933" w:rsidRPr="00833C88">
        <w:rPr>
          <w:rFonts w:ascii="Times New Roman" w:hAnsi="Times New Roman" w:cs="Times New Roman"/>
        </w:rPr>
        <w:t>o </w:t>
      </w:r>
      <w:r w:rsidR="00280229" w:rsidRPr="00833C88">
        <w:rPr>
          <w:rFonts w:ascii="Times New Roman" w:hAnsi="Times New Roman" w:cs="Times New Roman"/>
        </w:rPr>
        <w:t xml:space="preserve">KSC </w:t>
      </w:r>
      <w:r w:rsidRPr="00833C88">
        <w:rPr>
          <w:rFonts w:ascii="Times New Roman" w:hAnsi="Times New Roman" w:cs="Times New Roman"/>
        </w:rPr>
        <w:t>w danym sektorze.</w:t>
      </w:r>
    </w:p>
    <w:p w14:paraId="767B4912" w14:textId="1C73E402" w:rsidR="00995E5C" w:rsidRPr="00833C88" w:rsidRDefault="00995E5C" w:rsidP="00831AB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Obecnie ani przedsiębiorcy telekomunikacyjni</w:t>
      </w:r>
      <w:r w:rsidR="009E288C">
        <w:rPr>
          <w:rFonts w:ascii="Times New Roman" w:hAnsi="Times New Roman" w:cs="Times New Roman"/>
        </w:rPr>
        <w:t>,</w:t>
      </w:r>
      <w:r w:rsidRPr="00833C88">
        <w:rPr>
          <w:rFonts w:ascii="Times New Roman" w:hAnsi="Times New Roman" w:cs="Times New Roman"/>
        </w:rPr>
        <w:t xml:space="preserve"> ani dostawcy usług zaufania nie</w:t>
      </w:r>
      <w:r w:rsidR="007C560E" w:rsidRPr="00833C88">
        <w:rPr>
          <w:rFonts w:ascii="Times New Roman" w:hAnsi="Times New Roman" w:cs="Times New Roman"/>
        </w:rPr>
        <w:t> </w:t>
      </w:r>
      <w:r w:rsidRPr="00833C88">
        <w:rPr>
          <w:rFonts w:ascii="Times New Roman" w:hAnsi="Times New Roman" w:cs="Times New Roman"/>
        </w:rPr>
        <w:t>są</w:t>
      </w:r>
      <w:r w:rsidR="007C560E" w:rsidRPr="00833C88">
        <w:rPr>
          <w:rFonts w:ascii="Times New Roman" w:hAnsi="Times New Roman" w:cs="Times New Roman"/>
        </w:rPr>
        <w:t> </w:t>
      </w:r>
      <w:r w:rsidRPr="00833C88">
        <w:rPr>
          <w:rFonts w:ascii="Times New Roman" w:hAnsi="Times New Roman" w:cs="Times New Roman"/>
        </w:rPr>
        <w:t>podmiotami krajowego systemu cyberbezpieczeństwa.</w:t>
      </w:r>
    </w:p>
    <w:p w14:paraId="050B8951" w14:textId="44EA5D01" w:rsidR="002031F2" w:rsidRPr="00833C88" w:rsidRDefault="00995E5C" w:rsidP="00D550D5">
      <w:pPr>
        <w:pStyle w:val="NIEARTTEKSTtekstnieartykuowanynppodstprawnarozplubpreambua"/>
        <w:spacing w:before="0" w:after="840"/>
        <w:rPr>
          <w:rFonts w:ascii="Times New Roman" w:hAnsi="Times New Roman" w:cs="Times New Roman"/>
        </w:rPr>
      </w:pPr>
      <w:r w:rsidRPr="00833C88">
        <w:rPr>
          <w:rFonts w:ascii="Times New Roman" w:hAnsi="Times New Roman" w:cs="Times New Roman"/>
        </w:rPr>
        <w:t>Incydenty wpływające na działalność operatorów usług kluczowych (incydenty poważne) i dostawców usług cyfrowych (incydenty istotne), a także incydenty w podmiotach publicznych, są raportowane do jednego z trzech krajowych zespołów reagowania na</w:t>
      </w:r>
      <w:r w:rsidR="007C560E" w:rsidRPr="00833C88">
        <w:rPr>
          <w:rFonts w:ascii="Times New Roman" w:hAnsi="Times New Roman" w:cs="Times New Roman"/>
        </w:rPr>
        <w:t> </w:t>
      </w:r>
      <w:r w:rsidRPr="00833C88">
        <w:rPr>
          <w:rFonts w:ascii="Times New Roman" w:hAnsi="Times New Roman" w:cs="Times New Roman"/>
        </w:rPr>
        <w:t>incydenty bezpieczeństwa komputerowego</w:t>
      </w:r>
      <w:r w:rsidR="00280229" w:rsidRPr="00833C88">
        <w:rPr>
          <w:rFonts w:ascii="Times New Roman" w:hAnsi="Times New Roman" w:cs="Times New Roman"/>
        </w:rPr>
        <w:t xml:space="preserve">, </w:t>
      </w:r>
      <w:r w:rsidRPr="00833C88">
        <w:rPr>
          <w:rFonts w:ascii="Times New Roman" w:hAnsi="Times New Roman" w:cs="Times New Roman"/>
        </w:rPr>
        <w:t xml:space="preserve">zwanych dalej ,,CSIRT”. Do zadań zespołów CSIRT należy m.in. klasyfikowanie incydentów jako krytyczne. Ustawa </w:t>
      </w:r>
      <w:r w:rsidR="00601933" w:rsidRPr="00833C88">
        <w:rPr>
          <w:rFonts w:ascii="Times New Roman" w:hAnsi="Times New Roman" w:cs="Times New Roman"/>
        </w:rPr>
        <w:t>o </w:t>
      </w:r>
      <w:r w:rsidR="00280229" w:rsidRPr="00833C88">
        <w:rPr>
          <w:rFonts w:ascii="Times New Roman" w:hAnsi="Times New Roman" w:cs="Times New Roman"/>
        </w:rPr>
        <w:t xml:space="preserve">KSC </w:t>
      </w:r>
      <w:r w:rsidRPr="00833C88">
        <w:rPr>
          <w:rFonts w:ascii="Times New Roman" w:hAnsi="Times New Roman" w:cs="Times New Roman"/>
        </w:rPr>
        <w:t>usankcjonowała istnienie trzech zespołów na poziomie krajowym – CSIRT GOV (działającego w Agencji Bezpieczeństwa Wewnętrznego), CSIRT NASK (działającego w Naukowej i Akademickiej Sieci Komputerowej – Państwowym Instytucie Badawczym, zwanym dalej „NASK</w:t>
      </w:r>
      <w:r w:rsidR="00E17B0D" w:rsidRPr="00833C88">
        <w:rPr>
          <w:rFonts w:ascii="Times New Roman" w:hAnsi="Times New Roman" w:cs="Times New Roman"/>
        </w:rPr>
        <w:t>–</w:t>
      </w:r>
      <w:r w:rsidRPr="00833C88">
        <w:rPr>
          <w:rFonts w:ascii="Times New Roman" w:hAnsi="Times New Roman" w:cs="Times New Roman"/>
        </w:rPr>
        <w:t>PIB”) oraz CSIRT MON (prowadzonego przez Ministra Obrony Narodowej). Zespoły CSIRT współpracują ze sobą w ramach Zespołu do spraw incydentów krytycznych.</w:t>
      </w:r>
    </w:p>
    <w:p w14:paraId="44932172" w14:textId="199F083B" w:rsidR="00995E5C" w:rsidRPr="00833C88" w:rsidRDefault="00C24BE3" w:rsidP="00694061">
      <w:pPr>
        <w:pStyle w:val="NIEARTTEKSTtekstnieartykuowanynppodstprawnarozplubpreambua"/>
        <w:keepNext/>
        <w:spacing w:before="0" w:after="120"/>
        <w:rPr>
          <w:rFonts w:ascii="Times New Roman" w:hAnsi="Times New Roman" w:cs="Times New Roman"/>
          <w:b/>
          <w:bCs w:val="0"/>
        </w:rPr>
      </w:pPr>
      <w:r w:rsidRPr="00833C88">
        <w:rPr>
          <w:rFonts w:ascii="Times New Roman" w:hAnsi="Times New Roman" w:cs="Times New Roman"/>
          <w:b/>
          <w:bCs w:val="0"/>
        </w:rPr>
        <w:lastRenderedPageBreak/>
        <w:t xml:space="preserve">1.1. </w:t>
      </w:r>
      <w:r w:rsidR="00995E5C" w:rsidRPr="00833C88">
        <w:rPr>
          <w:rFonts w:ascii="Times New Roman" w:hAnsi="Times New Roman" w:cs="Times New Roman"/>
          <w:b/>
          <w:bCs w:val="0"/>
        </w:rPr>
        <w:t>Sektorowe zespoły cyberbezpieczeństwa</w:t>
      </w:r>
    </w:p>
    <w:p w14:paraId="5B76F265" w14:textId="5BE7C176" w:rsidR="00995E5C" w:rsidRPr="00833C88" w:rsidRDefault="00995E5C" w:rsidP="00694061">
      <w:pPr>
        <w:pStyle w:val="NIEARTTEKSTtekstnieartykuowanynppodstprawnarozplubpreambua"/>
        <w:keepNext/>
        <w:spacing w:before="0" w:after="120"/>
        <w:rPr>
          <w:rFonts w:ascii="Times New Roman" w:hAnsi="Times New Roman" w:cs="Times New Roman"/>
        </w:rPr>
      </w:pPr>
      <w:r w:rsidRPr="00833C88">
        <w:rPr>
          <w:rFonts w:ascii="Times New Roman" w:hAnsi="Times New Roman" w:cs="Times New Roman"/>
        </w:rPr>
        <w:t xml:space="preserve">Organ właściwy może powołać sektorowy zespół cyberbezpieczeństwa. Zespół ten odpowiada za wsparcie obsługi incydentów </w:t>
      </w:r>
      <w:r w:rsidR="00601933" w:rsidRPr="00833C88">
        <w:rPr>
          <w:rFonts w:ascii="Times New Roman" w:hAnsi="Times New Roman" w:cs="Times New Roman"/>
        </w:rPr>
        <w:t>u </w:t>
      </w:r>
      <w:r w:rsidRPr="00833C88">
        <w:rPr>
          <w:rFonts w:ascii="Times New Roman" w:hAnsi="Times New Roman" w:cs="Times New Roman"/>
        </w:rPr>
        <w:t xml:space="preserve">operatorów usług kluczowych w konkretnym sektorze lub podsektorze. Do tej pory powołano tylko </w:t>
      </w:r>
      <w:r w:rsidR="00BD6EF6" w:rsidRPr="00833C88">
        <w:rPr>
          <w:rFonts w:ascii="Times New Roman" w:hAnsi="Times New Roman" w:cs="Times New Roman"/>
        </w:rPr>
        <w:t>dwa</w:t>
      </w:r>
      <w:r w:rsidRPr="00833C88">
        <w:rPr>
          <w:rFonts w:ascii="Times New Roman" w:hAnsi="Times New Roman" w:cs="Times New Roman"/>
        </w:rPr>
        <w:t xml:space="preserve"> taki</w:t>
      </w:r>
      <w:r w:rsidR="00BD6EF6" w:rsidRPr="00833C88">
        <w:rPr>
          <w:rFonts w:ascii="Times New Roman" w:hAnsi="Times New Roman" w:cs="Times New Roman"/>
        </w:rPr>
        <w:t>e</w:t>
      </w:r>
      <w:r w:rsidRPr="00833C88">
        <w:rPr>
          <w:rFonts w:ascii="Times New Roman" w:hAnsi="Times New Roman" w:cs="Times New Roman"/>
        </w:rPr>
        <w:t xml:space="preserve"> zesp</w:t>
      </w:r>
      <w:r w:rsidR="00CE3684" w:rsidRPr="00833C88">
        <w:rPr>
          <w:rFonts w:ascii="Times New Roman" w:hAnsi="Times New Roman" w:cs="Times New Roman"/>
        </w:rPr>
        <w:t>oły</w:t>
      </w:r>
      <w:r w:rsidRPr="00833C88">
        <w:rPr>
          <w:rFonts w:ascii="Times New Roman" w:hAnsi="Times New Roman" w:cs="Times New Roman"/>
        </w:rPr>
        <w:t>, tj. CSIRT KNF (zespół dla sektora finansowego), funkcjonujący przy Komisji Nadzoru Finansowego</w:t>
      </w:r>
      <w:r w:rsidRPr="00833C88">
        <w:rPr>
          <w:rStyle w:val="Odwoanieprzypisudolnego"/>
          <w:rFonts w:ascii="Times New Roman" w:hAnsi="Times New Roman" w:cs="Times New Roman"/>
        </w:rPr>
        <w:footnoteReference w:id="2"/>
      </w:r>
      <w:r w:rsidRPr="00833C88">
        <w:rPr>
          <w:rFonts w:ascii="Times New Roman" w:hAnsi="Times New Roman" w:cs="Times New Roman"/>
          <w:vertAlign w:val="superscript"/>
        </w:rPr>
        <w:t>)</w:t>
      </w:r>
      <w:r w:rsidR="00280229" w:rsidRPr="00833C88">
        <w:rPr>
          <w:rFonts w:ascii="Times New Roman" w:hAnsi="Times New Roman" w:cs="Times New Roman"/>
        </w:rPr>
        <w:t>,</w:t>
      </w:r>
      <w:r w:rsidR="00BD6EF6" w:rsidRPr="00833C88">
        <w:rPr>
          <w:rFonts w:ascii="Times New Roman" w:hAnsi="Times New Roman" w:cs="Times New Roman"/>
        </w:rPr>
        <w:t xml:space="preserve"> oraz Centrum e-Zdrowie</w:t>
      </w:r>
      <w:r w:rsidR="00A23305" w:rsidRPr="00833C88">
        <w:rPr>
          <w:rStyle w:val="Odwoanieprzypisudolnego"/>
          <w:rFonts w:ascii="Times New Roman" w:hAnsi="Times New Roman" w:cs="Times New Roman"/>
        </w:rPr>
        <w:footnoteReference w:id="3"/>
      </w:r>
      <w:r w:rsidR="00A23305" w:rsidRPr="00833C88">
        <w:rPr>
          <w:rFonts w:ascii="Times New Roman" w:hAnsi="Times New Roman" w:cs="Times New Roman"/>
          <w:vertAlign w:val="superscript"/>
        </w:rPr>
        <w:t>)</w:t>
      </w:r>
      <w:r w:rsidR="00AB6121" w:rsidRPr="00833C88">
        <w:rPr>
          <w:rFonts w:ascii="Times New Roman" w:hAnsi="Times New Roman" w:cs="Times New Roman"/>
        </w:rPr>
        <w:t xml:space="preserve"> </w:t>
      </w:r>
      <w:r w:rsidR="00280229" w:rsidRPr="00833C88">
        <w:rPr>
          <w:rFonts w:ascii="Times New Roman" w:hAnsi="Times New Roman" w:cs="Times New Roman"/>
        </w:rPr>
        <w:t>(</w:t>
      </w:r>
      <w:r w:rsidR="00601933" w:rsidRPr="00833C88">
        <w:rPr>
          <w:rFonts w:ascii="Times New Roman" w:hAnsi="Times New Roman" w:cs="Times New Roman"/>
        </w:rPr>
        <w:t>w </w:t>
      </w:r>
      <w:r w:rsidR="00BD6EF6" w:rsidRPr="00833C88">
        <w:rPr>
          <w:rFonts w:ascii="Times New Roman" w:hAnsi="Times New Roman" w:cs="Times New Roman"/>
        </w:rPr>
        <w:t>sektorze ochrony zdrowia</w:t>
      </w:r>
      <w:r w:rsidR="00280229" w:rsidRPr="00833C88">
        <w:rPr>
          <w:rFonts w:ascii="Times New Roman" w:hAnsi="Times New Roman" w:cs="Times New Roman"/>
        </w:rPr>
        <w:t>)</w:t>
      </w:r>
      <w:r w:rsidR="00BD6EF6" w:rsidRPr="00833C88">
        <w:rPr>
          <w:rFonts w:ascii="Times New Roman" w:hAnsi="Times New Roman" w:cs="Times New Roman"/>
        </w:rPr>
        <w:t>.</w:t>
      </w:r>
      <w:r w:rsidR="00115C64" w:rsidRPr="00833C88">
        <w:rPr>
          <w:rFonts w:ascii="Times New Roman" w:hAnsi="Times New Roman" w:cs="Times New Roman"/>
        </w:rPr>
        <w:t xml:space="preserve"> </w:t>
      </w:r>
    </w:p>
    <w:p w14:paraId="7D3E00AD" w14:textId="6492D0B1" w:rsidR="00995E5C" w:rsidRPr="00833C88" w:rsidRDefault="00C24BE3" w:rsidP="00C55289">
      <w:pPr>
        <w:pStyle w:val="NIEARTTEKSTtekstnieartykuowanynppodstprawnarozplubpreambua"/>
        <w:keepNext/>
        <w:keepLines/>
        <w:spacing w:before="0" w:after="120"/>
        <w:rPr>
          <w:rFonts w:ascii="Times New Roman" w:hAnsi="Times New Roman" w:cs="Times New Roman"/>
          <w:b/>
          <w:bCs w:val="0"/>
        </w:rPr>
      </w:pPr>
      <w:r w:rsidRPr="00833C88">
        <w:rPr>
          <w:rFonts w:ascii="Times New Roman" w:hAnsi="Times New Roman" w:cs="Times New Roman"/>
          <w:b/>
          <w:bCs w:val="0"/>
        </w:rPr>
        <w:t xml:space="preserve">1.2. </w:t>
      </w:r>
      <w:r w:rsidR="00995E5C" w:rsidRPr="00833C88">
        <w:rPr>
          <w:rFonts w:ascii="Times New Roman" w:hAnsi="Times New Roman" w:cs="Times New Roman"/>
          <w:b/>
          <w:bCs w:val="0"/>
        </w:rPr>
        <w:t>Pełnomocnik Rządu do Spraw Cyberbezpieczeństwa</w:t>
      </w:r>
    </w:p>
    <w:p w14:paraId="4EACF3F1" w14:textId="202140B1" w:rsidR="00995E5C" w:rsidRPr="00833C88" w:rsidRDefault="00995E5C" w:rsidP="00C55289">
      <w:pPr>
        <w:pStyle w:val="NIEARTTEKSTtekstnieartykuowanynppodstprawnarozplubpreambua"/>
        <w:keepNext/>
        <w:keepLines/>
        <w:spacing w:before="0" w:after="120"/>
        <w:rPr>
          <w:rFonts w:ascii="Times New Roman" w:hAnsi="Times New Roman" w:cs="Times New Roman"/>
        </w:rPr>
      </w:pPr>
      <w:r w:rsidRPr="00833C88">
        <w:rPr>
          <w:rFonts w:ascii="Times New Roman" w:hAnsi="Times New Roman" w:cs="Times New Roman"/>
        </w:rPr>
        <w:t>Pełnomocnik Rządu do Spraw Cyberbezpieczeństwa</w:t>
      </w:r>
      <w:r w:rsidR="005B46D0" w:rsidRPr="00833C88">
        <w:rPr>
          <w:rFonts w:ascii="Times New Roman" w:hAnsi="Times New Roman" w:cs="Times New Roman"/>
        </w:rPr>
        <w:t xml:space="preserve">, </w:t>
      </w:r>
      <w:r w:rsidRPr="00833C88">
        <w:rPr>
          <w:rFonts w:ascii="Times New Roman" w:hAnsi="Times New Roman" w:cs="Times New Roman"/>
        </w:rPr>
        <w:t>zwany dalej ,,Pełnomocnikiem”</w:t>
      </w:r>
      <w:r w:rsidR="005B46D0" w:rsidRPr="00833C88">
        <w:rPr>
          <w:rFonts w:ascii="Times New Roman" w:hAnsi="Times New Roman" w:cs="Times New Roman"/>
        </w:rPr>
        <w:t>,</w:t>
      </w:r>
      <w:r w:rsidRPr="00833C88">
        <w:rPr>
          <w:rFonts w:ascii="Times New Roman" w:hAnsi="Times New Roman" w:cs="Times New Roman"/>
        </w:rPr>
        <w:t xml:space="preserve"> jest odpowiedzialny za koordynowanie działań i </w:t>
      </w:r>
      <w:r w:rsidRPr="00833C88">
        <w:rPr>
          <w:rFonts w:ascii="Times New Roman" w:hAnsi="Times New Roman" w:cs="Times New Roman"/>
          <w:color w:val="333333"/>
          <w:szCs w:val="24"/>
          <w:shd w:val="clear" w:color="auto" w:fill="FFFFFF"/>
        </w:rPr>
        <w:t>realizowanie polityki rządu w zakresie zapewnienia</w:t>
      </w:r>
      <w:r w:rsidRPr="00833C88">
        <w:rPr>
          <w:rFonts w:ascii="Times New Roman" w:hAnsi="Times New Roman" w:cs="Times New Roman"/>
          <w:color w:val="333333"/>
          <w:sz w:val="21"/>
          <w:szCs w:val="21"/>
          <w:shd w:val="clear" w:color="auto" w:fill="FFFFFF"/>
        </w:rPr>
        <w:t xml:space="preserve"> </w:t>
      </w:r>
      <w:r w:rsidRPr="00833C88">
        <w:rPr>
          <w:rFonts w:ascii="Times New Roman" w:hAnsi="Times New Roman" w:cs="Times New Roman"/>
        </w:rPr>
        <w:t>cyberbezpieczeństwa w Rzeczypospolitej Polskiej. Pełnomocnik, w randze ministra, sekretarza stanu albo podsekretarza stanu, jest powoływany i odwoływany przez Prezesa Rady Ministrów. Do jego zadań należy zarówno analiza i ocena funkcjonowania krajowego systemu cyberbezpieczeństwa (dokonywana na podstawie zagregowanych danych i wskaźników opracowanych przy udziale organów administracji państwowej, organów właściwych i zespołów CSIRT), jak i nadzór nad procesem zarządzania ryzykiem krajowego systemu cyberbezpieczeństwa z wykorzystaniem zagregowanych danych i wskaźników opracowanych przy udziale organów właściwych i zespołów CSIRT. Pełnomocnik jest ponadto odpowiedzialny za opiniowanie projektów aktów prawnych oraz innych dokumentów rządowych mających wpływ na realizację zadań z zakresu cyberbezpieczeństwa. Inicjuje także krajowe ćwiczenia z zakresu cyberbezpieczeństwa.</w:t>
      </w:r>
    </w:p>
    <w:p w14:paraId="5C175192" w14:textId="1B25A8AB" w:rsidR="00995E5C" w:rsidRPr="00833C88" w:rsidRDefault="00C24BE3" w:rsidP="00C55289">
      <w:pPr>
        <w:pStyle w:val="NIEARTTEKSTtekstnieartykuowanynppodstprawnarozplubpreambua"/>
        <w:spacing w:before="0" w:after="120"/>
        <w:rPr>
          <w:rFonts w:ascii="Times New Roman" w:hAnsi="Times New Roman" w:cs="Times New Roman"/>
          <w:b/>
          <w:bCs w:val="0"/>
        </w:rPr>
      </w:pPr>
      <w:r w:rsidRPr="00833C88">
        <w:rPr>
          <w:rFonts w:ascii="Times New Roman" w:hAnsi="Times New Roman" w:cs="Times New Roman"/>
          <w:b/>
          <w:bCs w:val="0"/>
        </w:rPr>
        <w:t xml:space="preserve">1.3. </w:t>
      </w:r>
      <w:r w:rsidR="00995E5C" w:rsidRPr="00833C88">
        <w:rPr>
          <w:rFonts w:ascii="Times New Roman" w:hAnsi="Times New Roman" w:cs="Times New Roman"/>
          <w:b/>
          <w:bCs w:val="0"/>
        </w:rPr>
        <w:t>Kolegium do Spraw Cyberbezpieczeństwa</w:t>
      </w:r>
    </w:p>
    <w:p w14:paraId="05A132E5" w14:textId="47B6B819" w:rsidR="00995E5C" w:rsidRPr="00833C88" w:rsidRDefault="00995E5C" w:rsidP="00C55289">
      <w:pPr>
        <w:pStyle w:val="NIEARTTEKSTtekstnieartykuowanynppodstprawnarozplubpreambua"/>
        <w:spacing w:before="0" w:after="120"/>
        <w:rPr>
          <w:rFonts w:ascii="Times New Roman" w:hAnsi="Times New Roman" w:cs="Times New Roman"/>
          <w:szCs w:val="24"/>
        </w:rPr>
      </w:pPr>
      <w:r w:rsidRPr="00833C88">
        <w:rPr>
          <w:rFonts w:ascii="Times New Roman" w:hAnsi="Times New Roman" w:cs="Times New Roman"/>
          <w:szCs w:val="24"/>
        </w:rPr>
        <w:t>Kolegium do Spraw Cyberbezpieczeństwa</w:t>
      </w:r>
      <w:r w:rsidR="005B46D0" w:rsidRPr="00833C88">
        <w:rPr>
          <w:rFonts w:ascii="Times New Roman" w:hAnsi="Times New Roman" w:cs="Times New Roman"/>
          <w:szCs w:val="24"/>
        </w:rPr>
        <w:t xml:space="preserve">, </w:t>
      </w:r>
      <w:r w:rsidRPr="00833C88">
        <w:rPr>
          <w:rFonts w:ascii="Times New Roman" w:hAnsi="Times New Roman" w:cs="Times New Roman"/>
          <w:szCs w:val="24"/>
        </w:rPr>
        <w:t>zwane dalej ,,Kolegium”</w:t>
      </w:r>
      <w:r w:rsidR="005B46D0" w:rsidRPr="00833C88">
        <w:rPr>
          <w:rFonts w:ascii="Times New Roman" w:hAnsi="Times New Roman" w:cs="Times New Roman"/>
          <w:szCs w:val="24"/>
        </w:rPr>
        <w:t>,</w:t>
      </w:r>
      <w:r w:rsidRPr="00833C88">
        <w:rPr>
          <w:rFonts w:ascii="Times New Roman" w:hAnsi="Times New Roman" w:cs="Times New Roman"/>
          <w:szCs w:val="24"/>
        </w:rPr>
        <w:t xml:space="preserve"> jest organem opiniodawczo-doradczym w sprawach planowania, nadzorowania i koordynowania działalności zespołów CSIRT, sektorowych zespołów cyberbezpieczeństwa oraz organów właściwych. </w:t>
      </w:r>
      <w:r w:rsidR="00DB6380" w:rsidRPr="00833C88">
        <w:rPr>
          <w:rStyle w:val="ui-provider"/>
          <w:rFonts w:ascii="Times New Roman" w:hAnsi="Times New Roman" w:cs="Times New Roman"/>
        </w:rPr>
        <w:t xml:space="preserve">Kolegium opiniuje sprawy planowane do ustalenia przez Prezesa Urzędu Komunikacji Elektronicznej w projekcie rozstrzygnięcia decyzji w sprawie rezerwacji częstotliwości, o którym mowa </w:t>
      </w:r>
      <w:r w:rsidR="00601933" w:rsidRPr="00833C88">
        <w:rPr>
          <w:rStyle w:val="ui-provider"/>
          <w:rFonts w:ascii="Times New Roman" w:hAnsi="Times New Roman" w:cs="Times New Roman"/>
        </w:rPr>
        <w:t>w </w:t>
      </w:r>
      <w:r w:rsidR="00DB6380" w:rsidRPr="00833C88">
        <w:rPr>
          <w:rStyle w:val="ui-provider"/>
          <w:rFonts w:ascii="Times New Roman" w:hAnsi="Times New Roman" w:cs="Times New Roman"/>
        </w:rPr>
        <w:t xml:space="preserve">art. 110 ust. 2 ustawy </w:t>
      </w:r>
      <w:r w:rsidR="00601933" w:rsidRPr="00833C88">
        <w:rPr>
          <w:rStyle w:val="ui-provider"/>
          <w:rFonts w:ascii="Times New Roman" w:hAnsi="Times New Roman" w:cs="Times New Roman"/>
        </w:rPr>
        <w:t>z </w:t>
      </w:r>
      <w:r w:rsidR="00DB6380" w:rsidRPr="00833C88">
        <w:rPr>
          <w:rStyle w:val="ui-provider"/>
          <w:rFonts w:ascii="Times New Roman" w:hAnsi="Times New Roman" w:cs="Times New Roman"/>
        </w:rPr>
        <w:t xml:space="preserve">dnia 12 lipca 2024 r. </w:t>
      </w:r>
      <w:r w:rsidR="00D079B3" w:rsidRPr="00833C88">
        <w:rPr>
          <w:rStyle w:val="ui-provider"/>
          <w:rFonts w:ascii="Times New Roman" w:hAnsi="Times New Roman" w:cs="Times New Roman"/>
        </w:rPr>
        <w:t>–</w:t>
      </w:r>
      <w:r w:rsidR="00DB6380" w:rsidRPr="00833C88">
        <w:rPr>
          <w:rStyle w:val="ui-provider"/>
          <w:rFonts w:ascii="Times New Roman" w:hAnsi="Times New Roman" w:cs="Times New Roman"/>
        </w:rPr>
        <w:t xml:space="preserve"> Prawo komunikacji elektronicznej (Dz. U. poz. 1221</w:t>
      </w:r>
      <w:r w:rsidR="00683F88" w:rsidRPr="00833C88">
        <w:rPr>
          <w:rStyle w:val="ui-provider"/>
          <w:rFonts w:ascii="Times New Roman" w:hAnsi="Times New Roman" w:cs="Times New Roman"/>
        </w:rPr>
        <w:t xml:space="preserve"> oraz z 2025 r. poz. 637 i 820</w:t>
      </w:r>
      <w:r w:rsidR="00DB6380" w:rsidRPr="00833C88">
        <w:rPr>
          <w:rStyle w:val="ui-provider"/>
          <w:rFonts w:ascii="Times New Roman" w:hAnsi="Times New Roman" w:cs="Times New Roman"/>
        </w:rPr>
        <w:t>).</w:t>
      </w:r>
      <w:r w:rsidR="00D079B3" w:rsidRPr="00833C88">
        <w:rPr>
          <w:rStyle w:val="ui-provider"/>
          <w:rFonts w:ascii="Times New Roman" w:hAnsi="Times New Roman" w:cs="Times New Roman"/>
        </w:rPr>
        <w:t xml:space="preserve"> </w:t>
      </w:r>
      <w:r w:rsidRPr="00833C88">
        <w:rPr>
          <w:rFonts w:ascii="Times New Roman" w:hAnsi="Times New Roman" w:cs="Times New Roman"/>
          <w:szCs w:val="24"/>
        </w:rPr>
        <w:t xml:space="preserve">Przewodniczącym Kolegium jest Prezes Rady Ministrów, </w:t>
      </w:r>
      <w:r w:rsidR="00601933" w:rsidRPr="00833C88">
        <w:rPr>
          <w:rFonts w:ascii="Times New Roman" w:hAnsi="Times New Roman" w:cs="Times New Roman"/>
          <w:szCs w:val="24"/>
        </w:rPr>
        <w:t>a </w:t>
      </w:r>
      <w:r w:rsidRPr="00833C88">
        <w:rPr>
          <w:rFonts w:ascii="Times New Roman" w:hAnsi="Times New Roman" w:cs="Times New Roman"/>
          <w:szCs w:val="24"/>
        </w:rPr>
        <w:t xml:space="preserve">w jego skład wchodzą: minister właściwy do spraw </w:t>
      </w:r>
      <w:r w:rsidRPr="00833C88">
        <w:rPr>
          <w:rFonts w:ascii="Times New Roman" w:hAnsi="Times New Roman" w:cs="Times New Roman"/>
          <w:szCs w:val="24"/>
        </w:rPr>
        <w:lastRenderedPageBreak/>
        <w:t>wewnętrznych, minister właściwy do spraw informatyzacji, Minister Obrony Narodowej, minister właściwy do spraw zagranicznych</w:t>
      </w:r>
      <w:r w:rsidR="0099237B" w:rsidRPr="00833C88">
        <w:rPr>
          <w:rFonts w:ascii="Times New Roman" w:hAnsi="Times New Roman" w:cs="Times New Roman"/>
          <w:szCs w:val="24"/>
        </w:rPr>
        <w:t>, Szef Kancelarii Prezesa Rady Ministrów</w:t>
      </w:r>
      <w:r w:rsidRPr="00833C88">
        <w:rPr>
          <w:rFonts w:ascii="Times New Roman" w:hAnsi="Times New Roman" w:cs="Times New Roman"/>
          <w:szCs w:val="24"/>
        </w:rPr>
        <w:t xml:space="preserve">, Szef Biura Bezpieczeństwa Narodowego (jeżeli został wyznaczony przez Prezydenta RP), minister – członek Rady Ministrów właściwy do spraw koordynowania działalności służb specjalnych, a jeżeli nie został wyznaczony – Szef Agencji Bezpieczeństwa Wewnętrznego oraz </w:t>
      </w:r>
      <w:r w:rsidR="00B568EF" w:rsidRPr="00833C88">
        <w:rPr>
          <w:rFonts w:ascii="Times New Roman" w:hAnsi="Times New Roman" w:cs="Times New Roman"/>
          <w:szCs w:val="24"/>
        </w:rPr>
        <w:t>s</w:t>
      </w:r>
      <w:r w:rsidRPr="00833C88">
        <w:rPr>
          <w:rFonts w:ascii="Times New Roman" w:hAnsi="Times New Roman" w:cs="Times New Roman"/>
          <w:szCs w:val="24"/>
        </w:rPr>
        <w:t xml:space="preserve">ekretarz Kolegium. W posiedzeniach Kolegium uczestniczą także: </w:t>
      </w:r>
      <w:r w:rsidR="006D00D4" w:rsidRPr="00833C88">
        <w:rPr>
          <w:rFonts w:ascii="Times New Roman" w:hAnsi="Times New Roman" w:cs="Times New Roman"/>
          <w:szCs w:val="24"/>
        </w:rPr>
        <w:t>d</w:t>
      </w:r>
      <w:r w:rsidRPr="00833C88">
        <w:rPr>
          <w:rFonts w:ascii="Times New Roman" w:hAnsi="Times New Roman" w:cs="Times New Roman"/>
          <w:szCs w:val="24"/>
        </w:rPr>
        <w:t>yrektor Rządowego Centrum Bezpieczeństwa, Szef Agencji Bezpieczeństwa Wewnętrznego, Szef Służby Kontrwywiadu Wojskowego i Dyrektor NASK</w:t>
      </w:r>
      <w:r w:rsidR="00E17B0D" w:rsidRPr="00833C88">
        <w:rPr>
          <w:rFonts w:ascii="Times New Roman" w:hAnsi="Times New Roman" w:cs="Times New Roman"/>
          <w:szCs w:val="24"/>
        </w:rPr>
        <w:t>–</w:t>
      </w:r>
      <w:r w:rsidRPr="00833C88">
        <w:rPr>
          <w:rFonts w:ascii="Times New Roman" w:hAnsi="Times New Roman" w:cs="Times New Roman"/>
          <w:szCs w:val="24"/>
        </w:rPr>
        <w:t>PIB. Przewodniczący Kolegium może zapraszać do udziału w posiedzeniach Kolegium także inne osoby. Po otrzymaniu rekomendacji Kolegium, Prezes Rady Ministrów, w celu koordynacji działań administracji rządowej w zakresie cyberbezpieczeństwa, może wydawać wiążące wytyczne dotyczące zapewnienia cyberbezpieczeństwa na poziomie krajowym oraz funkcjonowania krajowego systemu cyberbezpieczeństwa.</w:t>
      </w:r>
    </w:p>
    <w:p w14:paraId="142A4167" w14:textId="37A6C651" w:rsidR="00995E5C" w:rsidRPr="00833C88" w:rsidRDefault="00C24BE3" w:rsidP="00C55289">
      <w:pPr>
        <w:pStyle w:val="NIEARTTEKSTtekstnieartykuowanynppodstprawnarozplubpreambua"/>
        <w:spacing w:before="0" w:after="120"/>
        <w:rPr>
          <w:rFonts w:ascii="Times New Roman" w:hAnsi="Times New Roman" w:cs="Times New Roman"/>
          <w:b/>
          <w:bCs w:val="0"/>
          <w:szCs w:val="24"/>
        </w:rPr>
      </w:pPr>
      <w:r w:rsidRPr="00833C88">
        <w:rPr>
          <w:rFonts w:ascii="Times New Roman" w:hAnsi="Times New Roman" w:cs="Times New Roman"/>
          <w:b/>
          <w:bCs w:val="0"/>
          <w:szCs w:val="24"/>
        </w:rPr>
        <w:t xml:space="preserve">1.4. </w:t>
      </w:r>
      <w:r w:rsidR="00995E5C" w:rsidRPr="00833C88">
        <w:rPr>
          <w:rFonts w:ascii="Times New Roman" w:hAnsi="Times New Roman" w:cs="Times New Roman"/>
          <w:b/>
          <w:bCs w:val="0"/>
          <w:szCs w:val="24"/>
        </w:rPr>
        <w:t>Potrzeba i cele projektu ustawy</w:t>
      </w:r>
    </w:p>
    <w:p w14:paraId="3062EC53" w14:textId="1ADE17F4" w:rsidR="00924193" w:rsidRPr="00833C88" w:rsidRDefault="00556A7F" w:rsidP="0029004E">
      <w:pPr>
        <w:spacing w:line="360" w:lineRule="auto"/>
        <w:jc w:val="both"/>
        <w:rPr>
          <w:rFonts w:cs="Times New Roman"/>
          <w:sz w:val="24"/>
          <w:szCs w:val="24"/>
        </w:rPr>
      </w:pPr>
      <w:r w:rsidRPr="00833C88">
        <w:rPr>
          <w:rFonts w:cs="Times New Roman"/>
          <w:sz w:val="24"/>
          <w:szCs w:val="24"/>
        </w:rPr>
        <w:t>D</w:t>
      </w:r>
      <w:r w:rsidR="007C560E" w:rsidRPr="00833C88">
        <w:rPr>
          <w:rFonts w:cs="Times New Roman"/>
          <w:sz w:val="24"/>
          <w:szCs w:val="24"/>
        </w:rPr>
        <w:t>yrektyw</w:t>
      </w:r>
      <w:r w:rsidR="00442F38" w:rsidRPr="00833C88">
        <w:rPr>
          <w:rFonts w:cs="Times New Roman"/>
          <w:sz w:val="24"/>
          <w:szCs w:val="24"/>
        </w:rPr>
        <w:t>a</w:t>
      </w:r>
      <w:r w:rsidR="007C560E" w:rsidRPr="00833C88">
        <w:rPr>
          <w:rFonts w:cs="Times New Roman"/>
          <w:sz w:val="24"/>
          <w:szCs w:val="24"/>
        </w:rPr>
        <w:t xml:space="preserve"> NIS</w:t>
      </w:r>
      <w:r w:rsidR="008A0144" w:rsidRPr="00833C88">
        <w:rPr>
          <w:rFonts w:cs="Times New Roman"/>
          <w:sz w:val="24"/>
          <w:szCs w:val="24"/>
        </w:rPr>
        <w:t xml:space="preserve"> </w:t>
      </w:r>
      <w:r w:rsidR="002D6DF4" w:rsidRPr="00833C88">
        <w:rPr>
          <w:rFonts w:cs="Times New Roman"/>
          <w:sz w:val="24"/>
          <w:szCs w:val="24"/>
        </w:rPr>
        <w:t xml:space="preserve">utworzyła nowe ramy systemu zapewnienia cyberbezpieczeństwa </w:t>
      </w:r>
      <w:r w:rsidR="00601933" w:rsidRPr="00833C88">
        <w:rPr>
          <w:rFonts w:cs="Times New Roman"/>
          <w:sz w:val="24"/>
          <w:szCs w:val="24"/>
        </w:rPr>
        <w:t>w </w:t>
      </w:r>
      <w:r w:rsidR="002D6DF4" w:rsidRPr="00833C88">
        <w:rPr>
          <w:rFonts w:cs="Times New Roman"/>
          <w:sz w:val="24"/>
          <w:szCs w:val="24"/>
        </w:rPr>
        <w:t xml:space="preserve">Unii Europejskiej. Wprowadziła nowe zadania państw członkowskich </w:t>
      </w:r>
      <w:r w:rsidR="0081778C" w:rsidRPr="00833C88">
        <w:rPr>
          <w:rFonts w:cs="Times New Roman"/>
          <w:sz w:val="24"/>
          <w:szCs w:val="24"/>
        </w:rPr>
        <w:t xml:space="preserve">Unii Europejskiej </w:t>
      </w:r>
      <w:r w:rsidR="00601933" w:rsidRPr="00833C88">
        <w:rPr>
          <w:rFonts w:cs="Times New Roman"/>
          <w:sz w:val="24"/>
          <w:szCs w:val="24"/>
        </w:rPr>
        <w:t>w </w:t>
      </w:r>
      <w:r w:rsidR="002D6DF4" w:rsidRPr="00833C88">
        <w:rPr>
          <w:rFonts w:cs="Times New Roman"/>
          <w:sz w:val="24"/>
          <w:szCs w:val="24"/>
        </w:rPr>
        <w:t xml:space="preserve">tym obszarze, rozszerzyła zakres podmiotów objętych </w:t>
      </w:r>
      <w:r w:rsidR="004C4696" w:rsidRPr="00833C88">
        <w:rPr>
          <w:rFonts w:cs="Times New Roman"/>
          <w:sz w:val="24"/>
          <w:szCs w:val="24"/>
        </w:rPr>
        <w:t xml:space="preserve">obowiązkami </w:t>
      </w:r>
      <w:r w:rsidR="00601933" w:rsidRPr="00833C88">
        <w:rPr>
          <w:rFonts w:cs="Times New Roman"/>
          <w:sz w:val="24"/>
          <w:szCs w:val="24"/>
        </w:rPr>
        <w:t>w </w:t>
      </w:r>
      <w:r w:rsidR="004C4696" w:rsidRPr="00833C88">
        <w:rPr>
          <w:rFonts w:cs="Times New Roman"/>
          <w:sz w:val="24"/>
          <w:szCs w:val="24"/>
        </w:rPr>
        <w:t xml:space="preserve">zakresie cyberbezpieczeństwa </w:t>
      </w:r>
      <w:r w:rsidR="007A0800" w:rsidRPr="00833C88">
        <w:rPr>
          <w:rFonts w:cs="Times New Roman"/>
          <w:sz w:val="24"/>
          <w:szCs w:val="24"/>
        </w:rPr>
        <w:t xml:space="preserve">oraz zredefiniowała zadania organów Unii Europejskiej </w:t>
      </w:r>
      <w:r w:rsidR="00601933" w:rsidRPr="00833C88">
        <w:rPr>
          <w:rFonts w:cs="Times New Roman"/>
          <w:sz w:val="24"/>
          <w:szCs w:val="24"/>
        </w:rPr>
        <w:t>w </w:t>
      </w:r>
      <w:r w:rsidR="007A0800" w:rsidRPr="00833C88">
        <w:rPr>
          <w:rFonts w:cs="Times New Roman"/>
          <w:sz w:val="24"/>
          <w:szCs w:val="24"/>
        </w:rPr>
        <w:t xml:space="preserve">tym obszarze. </w:t>
      </w:r>
      <w:r w:rsidR="0075512C" w:rsidRPr="00833C88">
        <w:rPr>
          <w:rFonts w:cs="Times New Roman"/>
          <w:sz w:val="24"/>
          <w:szCs w:val="24"/>
        </w:rPr>
        <w:t>Ponadto rozszerzeniu uległ katalog sektorów objętych dyrektywą NIS 2 – obok sektorów energii, transportu, zdrowia, bankowości, infrastruktury rynków finansowych, zaopatrzenia w</w:t>
      </w:r>
      <w:r w:rsidR="007C560E" w:rsidRPr="00833C88">
        <w:rPr>
          <w:rFonts w:cs="Times New Roman"/>
          <w:sz w:val="24"/>
          <w:szCs w:val="24"/>
        </w:rPr>
        <w:t> </w:t>
      </w:r>
      <w:r w:rsidR="0075512C" w:rsidRPr="00833C88">
        <w:rPr>
          <w:rFonts w:cs="Times New Roman"/>
          <w:sz w:val="24"/>
          <w:szCs w:val="24"/>
        </w:rPr>
        <w:t>wodę, infrastruktury cyfrowej, w</w:t>
      </w:r>
      <w:r w:rsidR="007C560E" w:rsidRPr="00833C88">
        <w:rPr>
          <w:rFonts w:cs="Times New Roman"/>
          <w:sz w:val="24"/>
          <w:szCs w:val="24"/>
        </w:rPr>
        <w:t> </w:t>
      </w:r>
      <w:r w:rsidR="0075512C" w:rsidRPr="00833C88">
        <w:rPr>
          <w:rFonts w:cs="Times New Roman"/>
          <w:sz w:val="24"/>
          <w:szCs w:val="24"/>
        </w:rPr>
        <w:t xml:space="preserve">dyrektywie NIS 2 dodano </w:t>
      </w:r>
      <w:r w:rsidR="00AF1BB4" w:rsidRPr="00833C88">
        <w:rPr>
          <w:rFonts w:cs="Times New Roman"/>
          <w:sz w:val="24"/>
          <w:szCs w:val="24"/>
        </w:rPr>
        <w:t xml:space="preserve">następujące </w:t>
      </w:r>
      <w:r w:rsidR="0075512C" w:rsidRPr="00833C88">
        <w:rPr>
          <w:rFonts w:cs="Times New Roman"/>
          <w:sz w:val="24"/>
          <w:szCs w:val="24"/>
        </w:rPr>
        <w:t>sektory</w:t>
      </w:r>
      <w:r w:rsidR="00AF1BB4" w:rsidRPr="00833C88">
        <w:rPr>
          <w:rFonts w:cs="Times New Roman"/>
          <w:sz w:val="24"/>
          <w:szCs w:val="24"/>
        </w:rPr>
        <w:t>:</w:t>
      </w:r>
      <w:r w:rsidR="0075512C" w:rsidRPr="00833C88">
        <w:rPr>
          <w:rFonts w:cs="Times New Roman"/>
          <w:sz w:val="24"/>
          <w:szCs w:val="24"/>
        </w:rPr>
        <w:t xml:space="preserve"> ścieki, zarządzanie ICT, przestrzeń kosmiczną, pocztę, produkcję, produkcję </w:t>
      </w:r>
      <w:r w:rsidR="00601933" w:rsidRPr="00833C88">
        <w:rPr>
          <w:rFonts w:cs="Times New Roman"/>
          <w:sz w:val="24"/>
          <w:szCs w:val="24"/>
        </w:rPr>
        <w:t>i </w:t>
      </w:r>
      <w:r w:rsidR="0075512C" w:rsidRPr="00833C88">
        <w:rPr>
          <w:rFonts w:cs="Times New Roman"/>
          <w:sz w:val="24"/>
          <w:szCs w:val="24"/>
        </w:rPr>
        <w:t>dystrybucję chemikaliów, produkcję i</w:t>
      </w:r>
      <w:r w:rsidR="007C560E" w:rsidRPr="00833C88">
        <w:rPr>
          <w:rFonts w:cs="Times New Roman"/>
          <w:sz w:val="24"/>
          <w:szCs w:val="24"/>
        </w:rPr>
        <w:t> </w:t>
      </w:r>
      <w:r w:rsidR="0075512C" w:rsidRPr="00833C88">
        <w:rPr>
          <w:rFonts w:cs="Times New Roman"/>
          <w:sz w:val="24"/>
          <w:szCs w:val="24"/>
        </w:rPr>
        <w:t>dystrybucję żywności.</w:t>
      </w:r>
      <w:r w:rsidR="00C166D9" w:rsidRPr="00833C88">
        <w:rPr>
          <w:rFonts w:cs="Times New Roman"/>
          <w:sz w:val="24"/>
          <w:szCs w:val="24"/>
        </w:rPr>
        <w:t xml:space="preserve"> Dyrektywa NIS 2 zastąpiła dotychczasowy podział na operatorów usług kluczowych </w:t>
      </w:r>
      <w:r w:rsidR="00601933" w:rsidRPr="00833C88">
        <w:rPr>
          <w:rFonts w:cs="Times New Roman"/>
          <w:sz w:val="24"/>
          <w:szCs w:val="24"/>
        </w:rPr>
        <w:t>i </w:t>
      </w:r>
      <w:r w:rsidR="00C166D9" w:rsidRPr="00833C88">
        <w:rPr>
          <w:rFonts w:cs="Times New Roman"/>
          <w:sz w:val="24"/>
          <w:szCs w:val="24"/>
        </w:rPr>
        <w:t xml:space="preserve">dostawców usług cyfrowych określony </w:t>
      </w:r>
      <w:r w:rsidR="00601933" w:rsidRPr="00833C88">
        <w:rPr>
          <w:rFonts w:cs="Times New Roman"/>
          <w:sz w:val="24"/>
          <w:szCs w:val="24"/>
        </w:rPr>
        <w:t>w </w:t>
      </w:r>
      <w:r w:rsidR="00C166D9" w:rsidRPr="00833C88">
        <w:rPr>
          <w:rFonts w:cs="Times New Roman"/>
          <w:sz w:val="24"/>
          <w:szCs w:val="24"/>
        </w:rPr>
        <w:t>NIS, na</w:t>
      </w:r>
      <w:r w:rsidR="00704668" w:rsidRPr="00833C88">
        <w:rPr>
          <w:rFonts w:cs="Times New Roman"/>
          <w:sz w:val="24"/>
          <w:szCs w:val="24"/>
        </w:rPr>
        <w:t> </w:t>
      </w:r>
      <w:r w:rsidR="00C166D9" w:rsidRPr="00833C88">
        <w:rPr>
          <w:rFonts w:cs="Times New Roman"/>
          <w:sz w:val="24"/>
          <w:szCs w:val="24"/>
        </w:rPr>
        <w:t>podmioty kluczowe i</w:t>
      </w:r>
      <w:r w:rsidR="00BE2629" w:rsidRPr="00833C88">
        <w:rPr>
          <w:rFonts w:cs="Times New Roman"/>
          <w:sz w:val="24"/>
          <w:szCs w:val="24"/>
        </w:rPr>
        <w:t> </w:t>
      </w:r>
      <w:r w:rsidR="00C166D9" w:rsidRPr="00833C88">
        <w:rPr>
          <w:rFonts w:cs="Times New Roman"/>
          <w:sz w:val="24"/>
          <w:szCs w:val="24"/>
        </w:rPr>
        <w:t xml:space="preserve">podmioty ważne. Dyrektywa NIS 2 nakłada również szereg obowiązków na podmioty kluczowe </w:t>
      </w:r>
      <w:r w:rsidR="00601933" w:rsidRPr="00833C88">
        <w:rPr>
          <w:rFonts w:cs="Times New Roman"/>
          <w:sz w:val="24"/>
          <w:szCs w:val="24"/>
        </w:rPr>
        <w:t>i </w:t>
      </w:r>
      <w:r w:rsidR="00C166D9" w:rsidRPr="00833C88">
        <w:rPr>
          <w:rFonts w:cs="Times New Roman"/>
          <w:sz w:val="24"/>
          <w:szCs w:val="24"/>
        </w:rPr>
        <w:t xml:space="preserve">podmioty ważne. Jako podstawowy obowiązek należy wskazać stosowanie odpowiednich </w:t>
      </w:r>
      <w:r w:rsidR="00601933" w:rsidRPr="00833C88">
        <w:rPr>
          <w:rFonts w:cs="Times New Roman"/>
          <w:sz w:val="24"/>
          <w:szCs w:val="24"/>
        </w:rPr>
        <w:t>i </w:t>
      </w:r>
      <w:r w:rsidR="00C166D9" w:rsidRPr="00833C88">
        <w:rPr>
          <w:rFonts w:cs="Times New Roman"/>
          <w:sz w:val="24"/>
          <w:szCs w:val="24"/>
        </w:rPr>
        <w:t>proporcjonalnych środków technicznych, operacyjnych</w:t>
      </w:r>
      <w:r w:rsidR="00C55289" w:rsidRPr="00833C88">
        <w:rPr>
          <w:rFonts w:cs="Times New Roman"/>
          <w:sz w:val="24"/>
          <w:szCs w:val="24"/>
        </w:rPr>
        <w:t xml:space="preserve"> </w:t>
      </w:r>
      <w:r w:rsidR="00601933" w:rsidRPr="00833C88">
        <w:rPr>
          <w:rFonts w:cs="Times New Roman"/>
          <w:sz w:val="24"/>
          <w:szCs w:val="24"/>
        </w:rPr>
        <w:t>i </w:t>
      </w:r>
      <w:r w:rsidR="00C166D9" w:rsidRPr="00833C88">
        <w:rPr>
          <w:rFonts w:cs="Times New Roman"/>
          <w:sz w:val="24"/>
          <w:szCs w:val="24"/>
        </w:rPr>
        <w:t>organizacyjnych w</w:t>
      </w:r>
      <w:r w:rsidR="007C560E" w:rsidRPr="00833C88">
        <w:rPr>
          <w:rFonts w:cs="Times New Roman"/>
          <w:sz w:val="24"/>
          <w:szCs w:val="24"/>
        </w:rPr>
        <w:t> </w:t>
      </w:r>
      <w:r w:rsidR="00C166D9" w:rsidRPr="00833C88">
        <w:rPr>
          <w:rFonts w:cs="Times New Roman"/>
          <w:sz w:val="24"/>
          <w:szCs w:val="24"/>
        </w:rPr>
        <w:t xml:space="preserve">celu zarządzania ryzykiem dla bezpieczeństwa sieci </w:t>
      </w:r>
      <w:r w:rsidR="00601933" w:rsidRPr="00833C88">
        <w:rPr>
          <w:rFonts w:cs="Times New Roman"/>
          <w:sz w:val="24"/>
          <w:szCs w:val="24"/>
        </w:rPr>
        <w:t>i </w:t>
      </w:r>
      <w:r w:rsidR="00C166D9" w:rsidRPr="00833C88">
        <w:rPr>
          <w:rFonts w:cs="Times New Roman"/>
          <w:sz w:val="24"/>
          <w:szCs w:val="24"/>
        </w:rPr>
        <w:t>systemów informatycznych wykorzystywanych przez te podmioty do prowadzenia działalności lub świadczenia usług oraz w</w:t>
      </w:r>
      <w:r w:rsidR="007C560E" w:rsidRPr="00833C88">
        <w:rPr>
          <w:rFonts w:cs="Times New Roman"/>
          <w:sz w:val="24"/>
          <w:szCs w:val="24"/>
        </w:rPr>
        <w:t> </w:t>
      </w:r>
      <w:r w:rsidR="00C166D9" w:rsidRPr="00833C88">
        <w:rPr>
          <w:rFonts w:cs="Times New Roman"/>
          <w:sz w:val="24"/>
          <w:szCs w:val="24"/>
        </w:rPr>
        <w:t>celu zapobiegania wpływowi incydentów na odbiorców ich usług lub na inne usługi bądź minimalizowania takiego wpływu.</w:t>
      </w:r>
    </w:p>
    <w:p w14:paraId="1292501A" w14:textId="3A071342" w:rsidR="007A0800" w:rsidRPr="00833C88" w:rsidRDefault="009D7A02" w:rsidP="0029004E">
      <w:pPr>
        <w:spacing w:line="360" w:lineRule="auto"/>
        <w:jc w:val="both"/>
        <w:rPr>
          <w:rFonts w:cs="Times New Roman"/>
          <w:sz w:val="24"/>
          <w:szCs w:val="24"/>
        </w:rPr>
      </w:pPr>
      <w:r w:rsidRPr="00833C88">
        <w:rPr>
          <w:rFonts w:cs="Times New Roman"/>
          <w:sz w:val="24"/>
          <w:szCs w:val="24"/>
        </w:rPr>
        <w:t xml:space="preserve">Zmiany te zostały wprowadzone </w:t>
      </w:r>
      <w:r w:rsidR="00601933" w:rsidRPr="00833C88">
        <w:rPr>
          <w:rFonts w:cs="Times New Roman"/>
          <w:sz w:val="24"/>
          <w:szCs w:val="24"/>
        </w:rPr>
        <w:t>w </w:t>
      </w:r>
      <w:r w:rsidR="00B441F0" w:rsidRPr="00833C88">
        <w:rPr>
          <w:rFonts w:cs="Times New Roman"/>
          <w:sz w:val="24"/>
          <w:szCs w:val="24"/>
        </w:rPr>
        <w:t xml:space="preserve">związku </w:t>
      </w:r>
      <w:r w:rsidR="00601933" w:rsidRPr="00833C88">
        <w:rPr>
          <w:rFonts w:cs="Times New Roman"/>
          <w:sz w:val="24"/>
          <w:szCs w:val="24"/>
        </w:rPr>
        <w:t>z </w:t>
      </w:r>
      <w:r w:rsidR="00B441F0" w:rsidRPr="00833C88">
        <w:rPr>
          <w:rFonts w:cs="Times New Roman"/>
          <w:sz w:val="24"/>
          <w:szCs w:val="24"/>
        </w:rPr>
        <w:t>szybko postępującą transformacją cyfrową i</w:t>
      </w:r>
      <w:r w:rsidR="007C560E" w:rsidRPr="00833C88">
        <w:rPr>
          <w:rFonts w:cs="Times New Roman"/>
          <w:sz w:val="24"/>
          <w:szCs w:val="24"/>
        </w:rPr>
        <w:t> </w:t>
      </w:r>
      <w:r w:rsidR="00B441F0" w:rsidRPr="00833C88">
        <w:rPr>
          <w:rFonts w:cs="Times New Roman"/>
          <w:sz w:val="24"/>
          <w:szCs w:val="24"/>
        </w:rPr>
        <w:t xml:space="preserve">siecią wzajemnych połączeń </w:t>
      </w:r>
      <w:r w:rsidR="00601933" w:rsidRPr="00833C88">
        <w:rPr>
          <w:rFonts w:cs="Times New Roman"/>
          <w:sz w:val="24"/>
          <w:szCs w:val="24"/>
        </w:rPr>
        <w:t>w </w:t>
      </w:r>
      <w:r w:rsidR="00B441F0" w:rsidRPr="00833C88">
        <w:rPr>
          <w:rFonts w:cs="Times New Roman"/>
          <w:sz w:val="24"/>
          <w:szCs w:val="24"/>
        </w:rPr>
        <w:t xml:space="preserve">społeczeństwie, </w:t>
      </w:r>
      <w:r w:rsidR="00601933" w:rsidRPr="00833C88">
        <w:rPr>
          <w:rFonts w:cs="Times New Roman"/>
          <w:sz w:val="24"/>
          <w:szCs w:val="24"/>
        </w:rPr>
        <w:t>w </w:t>
      </w:r>
      <w:r w:rsidR="00B441F0" w:rsidRPr="00833C88">
        <w:rPr>
          <w:rFonts w:cs="Times New Roman"/>
          <w:sz w:val="24"/>
          <w:szCs w:val="24"/>
        </w:rPr>
        <w:t xml:space="preserve">tym </w:t>
      </w:r>
      <w:r w:rsidR="00601933" w:rsidRPr="00833C88">
        <w:rPr>
          <w:rFonts w:cs="Times New Roman"/>
          <w:sz w:val="24"/>
          <w:szCs w:val="24"/>
        </w:rPr>
        <w:t>w </w:t>
      </w:r>
      <w:r w:rsidR="00B441F0" w:rsidRPr="00833C88">
        <w:rPr>
          <w:rFonts w:cs="Times New Roman"/>
          <w:sz w:val="24"/>
          <w:szCs w:val="24"/>
        </w:rPr>
        <w:t xml:space="preserve">kontekście wymiany </w:t>
      </w:r>
      <w:r w:rsidR="00B441F0" w:rsidRPr="00833C88">
        <w:rPr>
          <w:rFonts w:cs="Times New Roman"/>
          <w:sz w:val="24"/>
          <w:szCs w:val="24"/>
        </w:rPr>
        <w:lastRenderedPageBreak/>
        <w:t xml:space="preserve">transgranicznej, sieci </w:t>
      </w:r>
      <w:r w:rsidR="00601933" w:rsidRPr="00833C88">
        <w:rPr>
          <w:rFonts w:cs="Times New Roman"/>
          <w:sz w:val="24"/>
          <w:szCs w:val="24"/>
        </w:rPr>
        <w:t>i </w:t>
      </w:r>
      <w:r w:rsidR="00B441F0" w:rsidRPr="00833C88">
        <w:rPr>
          <w:rFonts w:cs="Times New Roman"/>
          <w:sz w:val="24"/>
          <w:szCs w:val="24"/>
        </w:rPr>
        <w:t xml:space="preserve">systemy informatyczne stały się zasadniczym elementem codziennego życia. Zmiana ta doprowadziła do ewolucji krajobrazu </w:t>
      </w:r>
      <w:proofErr w:type="spellStart"/>
      <w:r w:rsidR="00B441F0" w:rsidRPr="00833C88">
        <w:rPr>
          <w:rFonts w:cs="Times New Roman"/>
          <w:sz w:val="24"/>
          <w:szCs w:val="24"/>
        </w:rPr>
        <w:t>cyberzagrożeń</w:t>
      </w:r>
      <w:proofErr w:type="spellEnd"/>
      <w:r w:rsidR="00B441F0" w:rsidRPr="00833C88">
        <w:rPr>
          <w:rFonts w:cs="Times New Roman"/>
          <w:sz w:val="24"/>
          <w:szCs w:val="24"/>
        </w:rPr>
        <w:t xml:space="preserve">, przynosząc nowe wyzwania, które wymagają dostosowanych, skoordynowanych </w:t>
      </w:r>
      <w:r w:rsidR="00601933" w:rsidRPr="00833C88">
        <w:rPr>
          <w:rFonts w:cs="Times New Roman"/>
          <w:sz w:val="24"/>
          <w:szCs w:val="24"/>
        </w:rPr>
        <w:t>i </w:t>
      </w:r>
      <w:r w:rsidR="00B441F0" w:rsidRPr="00833C88">
        <w:rPr>
          <w:rFonts w:cs="Times New Roman"/>
          <w:sz w:val="24"/>
          <w:szCs w:val="24"/>
        </w:rPr>
        <w:t>innowacyjnych reakcji we</w:t>
      </w:r>
      <w:r w:rsidR="00DB0232" w:rsidRPr="00833C88">
        <w:rPr>
          <w:rFonts w:cs="Times New Roman"/>
          <w:sz w:val="24"/>
          <w:szCs w:val="24"/>
        </w:rPr>
        <w:t> </w:t>
      </w:r>
      <w:r w:rsidR="00B441F0" w:rsidRPr="00833C88">
        <w:rPr>
          <w:rFonts w:cs="Times New Roman"/>
          <w:sz w:val="24"/>
          <w:szCs w:val="24"/>
        </w:rPr>
        <w:t xml:space="preserve">wszystkich państwach członkowskich. Liczba, skala, zaawansowanie, częstotliwość oraz wpływ incydentów stają się coraz większe </w:t>
      </w:r>
      <w:r w:rsidR="00601933" w:rsidRPr="00833C88">
        <w:rPr>
          <w:rFonts w:cs="Times New Roman"/>
          <w:sz w:val="24"/>
          <w:szCs w:val="24"/>
        </w:rPr>
        <w:t>i </w:t>
      </w:r>
      <w:r w:rsidR="00B441F0" w:rsidRPr="00833C88">
        <w:rPr>
          <w:rFonts w:cs="Times New Roman"/>
          <w:sz w:val="24"/>
          <w:szCs w:val="24"/>
        </w:rPr>
        <w:t xml:space="preserve">stanowią poważne zagrożenie dla funkcjonowania sieci </w:t>
      </w:r>
      <w:r w:rsidR="00601933" w:rsidRPr="00833C88">
        <w:rPr>
          <w:rFonts w:cs="Times New Roman"/>
          <w:sz w:val="24"/>
          <w:szCs w:val="24"/>
        </w:rPr>
        <w:t>i </w:t>
      </w:r>
      <w:r w:rsidR="00B441F0" w:rsidRPr="00833C88">
        <w:rPr>
          <w:rFonts w:cs="Times New Roman"/>
          <w:sz w:val="24"/>
          <w:szCs w:val="24"/>
        </w:rPr>
        <w:t xml:space="preserve">systemów informatycznych. </w:t>
      </w:r>
      <w:r w:rsidR="00601933" w:rsidRPr="00833C88">
        <w:rPr>
          <w:rFonts w:cs="Times New Roman"/>
          <w:sz w:val="24"/>
          <w:szCs w:val="24"/>
        </w:rPr>
        <w:t>W </w:t>
      </w:r>
      <w:r w:rsidR="00B441F0" w:rsidRPr="00833C88">
        <w:rPr>
          <w:rFonts w:cs="Times New Roman"/>
          <w:sz w:val="24"/>
          <w:szCs w:val="24"/>
        </w:rPr>
        <w:t xml:space="preserve">rezultacie incydenty mogą utrudniać prowadzenie działalności gospodarczej na rynku wewnętrznym, powodować straty finansowe, podważać zaufanie użytkowników oraz powodować poważne szkody dla gospodarki </w:t>
      </w:r>
      <w:r w:rsidR="00601933" w:rsidRPr="00833C88">
        <w:rPr>
          <w:rFonts w:cs="Times New Roman"/>
          <w:sz w:val="24"/>
          <w:szCs w:val="24"/>
        </w:rPr>
        <w:t>i </w:t>
      </w:r>
      <w:r w:rsidR="00B441F0" w:rsidRPr="00833C88">
        <w:rPr>
          <w:rFonts w:cs="Times New Roman"/>
          <w:sz w:val="24"/>
          <w:szCs w:val="24"/>
        </w:rPr>
        <w:t xml:space="preserve">społeczeństw. </w:t>
      </w:r>
    </w:p>
    <w:p w14:paraId="5E4AD436" w14:textId="357873D4" w:rsidR="008842D7" w:rsidRPr="00833C88" w:rsidRDefault="00B441F0" w:rsidP="0029004E">
      <w:pPr>
        <w:spacing w:line="360" w:lineRule="auto"/>
        <w:jc w:val="both"/>
        <w:rPr>
          <w:rFonts w:cs="Times New Roman"/>
          <w:sz w:val="24"/>
          <w:szCs w:val="24"/>
        </w:rPr>
      </w:pPr>
      <w:r w:rsidRPr="00833C88">
        <w:rPr>
          <w:rFonts w:cs="Times New Roman"/>
          <w:sz w:val="24"/>
          <w:szCs w:val="24"/>
        </w:rPr>
        <w:t xml:space="preserve">Są one również efektem </w:t>
      </w:r>
      <w:r w:rsidR="00B37879" w:rsidRPr="00833C88">
        <w:rPr>
          <w:rFonts w:cs="Times New Roman"/>
          <w:sz w:val="24"/>
          <w:szCs w:val="24"/>
        </w:rPr>
        <w:t xml:space="preserve">analizy funkcjonowania </w:t>
      </w:r>
      <w:r w:rsidR="00701B81" w:rsidRPr="00833C88">
        <w:rPr>
          <w:rFonts w:cs="Times New Roman"/>
          <w:sz w:val="24"/>
          <w:szCs w:val="24"/>
        </w:rPr>
        <w:t>d</w:t>
      </w:r>
      <w:r w:rsidR="00B37879" w:rsidRPr="00833C88">
        <w:rPr>
          <w:rFonts w:cs="Times New Roman"/>
          <w:sz w:val="24"/>
          <w:szCs w:val="24"/>
        </w:rPr>
        <w:t xml:space="preserve">yrektywy </w:t>
      </w:r>
      <w:r w:rsidR="00813938" w:rsidRPr="00833C88">
        <w:rPr>
          <w:rFonts w:cs="Times New Roman"/>
          <w:sz w:val="24"/>
          <w:szCs w:val="24"/>
        </w:rPr>
        <w:t>NI</w:t>
      </w:r>
      <w:r w:rsidR="00142E4E" w:rsidRPr="00833C88">
        <w:rPr>
          <w:rFonts w:cs="Times New Roman"/>
          <w:sz w:val="24"/>
          <w:szCs w:val="24"/>
        </w:rPr>
        <w:t>S</w:t>
      </w:r>
      <w:r w:rsidR="009B7A82" w:rsidRPr="00833C88">
        <w:rPr>
          <w:rFonts w:cs="Times New Roman"/>
          <w:sz w:val="24"/>
          <w:szCs w:val="24"/>
        </w:rPr>
        <w:t xml:space="preserve">, która dotychczas regulowała te zagadnienia. </w:t>
      </w:r>
      <w:r w:rsidR="009826DD" w:rsidRPr="00833C88">
        <w:rPr>
          <w:rFonts w:cs="Times New Roman"/>
          <w:sz w:val="24"/>
          <w:szCs w:val="24"/>
        </w:rPr>
        <w:t xml:space="preserve">Uznano, że dotychczasowe środki </w:t>
      </w:r>
      <w:r w:rsidR="00601933" w:rsidRPr="00833C88">
        <w:rPr>
          <w:rFonts w:cs="Times New Roman"/>
          <w:sz w:val="24"/>
          <w:szCs w:val="24"/>
        </w:rPr>
        <w:t>w </w:t>
      </w:r>
      <w:r w:rsidR="009826DD" w:rsidRPr="00833C88">
        <w:rPr>
          <w:rFonts w:cs="Times New Roman"/>
          <w:sz w:val="24"/>
          <w:szCs w:val="24"/>
        </w:rPr>
        <w:t xml:space="preserve">tym zakresie nie są adekwatne do obecnej skali wyzwań </w:t>
      </w:r>
      <w:r w:rsidR="00601933" w:rsidRPr="00833C88">
        <w:rPr>
          <w:rFonts w:cs="Times New Roman"/>
          <w:sz w:val="24"/>
          <w:szCs w:val="24"/>
        </w:rPr>
        <w:t>z </w:t>
      </w:r>
      <w:r w:rsidR="009826DD" w:rsidRPr="00833C88">
        <w:rPr>
          <w:rFonts w:cs="Times New Roman"/>
          <w:sz w:val="24"/>
          <w:szCs w:val="24"/>
        </w:rPr>
        <w:t xml:space="preserve">jakimi można zetknąć się </w:t>
      </w:r>
      <w:r w:rsidR="00601933" w:rsidRPr="00833C88">
        <w:rPr>
          <w:rFonts w:cs="Times New Roman"/>
          <w:sz w:val="24"/>
          <w:szCs w:val="24"/>
        </w:rPr>
        <w:t>w </w:t>
      </w:r>
      <w:r w:rsidR="009826DD" w:rsidRPr="00833C88">
        <w:rPr>
          <w:rFonts w:cs="Times New Roman"/>
          <w:sz w:val="24"/>
          <w:szCs w:val="24"/>
        </w:rPr>
        <w:t xml:space="preserve">cyberprzestrzeni. </w:t>
      </w:r>
      <w:r w:rsidR="00F170F9" w:rsidRPr="00833C88">
        <w:rPr>
          <w:rFonts w:cs="Times New Roman"/>
          <w:sz w:val="24"/>
          <w:szCs w:val="24"/>
        </w:rPr>
        <w:t>Projektowana u</w:t>
      </w:r>
      <w:r w:rsidR="008842D7" w:rsidRPr="00833C88">
        <w:rPr>
          <w:rFonts w:cs="Times New Roman"/>
          <w:sz w:val="24"/>
          <w:szCs w:val="24"/>
        </w:rPr>
        <w:t xml:space="preserve">stawa </w:t>
      </w:r>
      <w:r w:rsidR="003B1701" w:rsidRPr="00833C88">
        <w:rPr>
          <w:rFonts w:cs="Times New Roman"/>
          <w:sz w:val="24"/>
          <w:szCs w:val="24"/>
        </w:rPr>
        <w:t>określa</w:t>
      </w:r>
      <w:r w:rsidR="008842D7" w:rsidRPr="00833C88">
        <w:rPr>
          <w:rFonts w:cs="Times New Roman"/>
          <w:sz w:val="24"/>
          <w:szCs w:val="24"/>
        </w:rPr>
        <w:t xml:space="preserve"> mechanizmy skutecznej współpracy między odpowiedzialnymi organami w</w:t>
      </w:r>
      <w:r w:rsidR="00DB0232" w:rsidRPr="00833C88">
        <w:rPr>
          <w:rFonts w:cs="Times New Roman"/>
          <w:sz w:val="24"/>
          <w:szCs w:val="24"/>
        </w:rPr>
        <w:t> </w:t>
      </w:r>
      <w:r w:rsidR="008842D7" w:rsidRPr="00833C88">
        <w:rPr>
          <w:rFonts w:cs="Times New Roman"/>
          <w:sz w:val="24"/>
          <w:szCs w:val="24"/>
        </w:rPr>
        <w:t xml:space="preserve">poszczególnych sektorach gospodarki, </w:t>
      </w:r>
      <w:r w:rsidR="00601933" w:rsidRPr="00833C88">
        <w:rPr>
          <w:rFonts w:cs="Times New Roman"/>
          <w:sz w:val="24"/>
          <w:szCs w:val="24"/>
        </w:rPr>
        <w:t>a </w:t>
      </w:r>
      <w:r w:rsidR="008842D7" w:rsidRPr="00833C88">
        <w:rPr>
          <w:rFonts w:cs="Times New Roman"/>
          <w:sz w:val="24"/>
          <w:szCs w:val="24"/>
        </w:rPr>
        <w:t xml:space="preserve">także określa nowe obowiązki </w:t>
      </w:r>
      <w:r w:rsidR="00601933" w:rsidRPr="00833C88">
        <w:rPr>
          <w:rFonts w:cs="Times New Roman"/>
          <w:sz w:val="24"/>
          <w:szCs w:val="24"/>
        </w:rPr>
        <w:t>w </w:t>
      </w:r>
      <w:r w:rsidR="008842D7" w:rsidRPr="00833C88">
        <w:rPr>
          <w:rFonts w:cs="Times New Roman"/>
          <w:sz w:val="24"/>
          <w:szCs w:val="24"/>
        </w:rPr>
        <w:t>zakresie cyberbezpieczeństwa</w:t>
      </w:r>
      <w:r w:rsidR="00AC0520" w:rsidRPr="00833C88">
        <w:rPr>
          <w:rFonts w:cs="Times New Roman"/>
          <w:sz w:val="24"/>
          <w:szCs w:val="24"/>
        </w:rPr>
        <w:t>,</w:t>
      </w:r>
      <w:r w:rsidR="008842D7" w:rsidRPr="00833C88">
        <w:rPr>
          <w:rFonts w:cs="Times New Roman"/>
          <w:sz w:val="24"/>
          <w:szCs w:val="24"/>
        </w:rPr>
        <w:t xml:space="preserve"> jak i</w:t>
      </w:r>
      <w:r w:rsidR="00704668" w:rsidRPr="00833C88">
        <w:rPr>
          <w:rFonts w:cs="Times New Roman"/>
          <w:sz w:val="24"/>
          <w:szCs w:val="24"/>
        </w:rPr>
        <w:t> </w:t>
      </w:r>
      <w:r w:rsidR="008842D7" w:rsidRPr="00833C88">
        <w:rPr>
          <w:rFonts w:cs="Times New Roman"/>
          <w:sz w:val="24"/>
          <w:szCs w:val="24"/>
        </w:rPr>
        <w:t xml:space="preserve">środki ich egzekwowania. </w:t>
      </w:r>
    </w:p>
    <w:p w14:paraId="42729DF9" w14:textId="24EF69A2" w:rsidR="00C460BB" w:rsidRPr="00833C88" w:rsidRDefault="00AC0520" w:rsidP="0029004E">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 xml:space="preserve">Ustawa </w:t>
      </w:r>
      <w:r w:rsidR="00601933" w:rsidRPr="00833C88">
        <w:rPr>
          <w:rFonts w:eastAsiaTheme="minorEastAsia" w:cs="Times New Roman"/>
          <w:bCs/>
          <w:sz w:val="24"/>
          <w:szCs w:val="20"/>
          <w:lang w:eastAsia="pl-PL"/>
        </w:rPr>
        <w:t>o </w:t>
      </w:r>
      <w:r w:rsidRPr="00833C88">
        <w:rPr>
          <w:rFonts w:eastAsiaTheme="minorEastAsia" w:cs="Times New Roman"/>
          <w:bCs/>
          <w:sz w:val="24"/>
          <w:szCs w:val="20"/>
          <w:lang w:eastAsia="pl-PL"/>
        </w:rPr>
        <w:t>KSC</w:t>
      </w:r>
      <w:r w:rsidR="004E7A27" w:rsidRPr="00833C88">
        <w:rPr>
          <w:rFonts w:eastAsiaTheme="minorEastAsia" w:cs="Times New Roman"/>
          <w:bCs/>
          <w:sz w:val="24"/>
          <w:szCs w:val="20"/>
          <w:lang w:eastAsia="pl-PL"/>
        </w:rPr>
        <w:t xml:space="preserve"> nie </w:t>
      </w:r>
      <w:r w:rsidR="004830F2" w:rsidRPr="00833C88">
        <w:rPr>
          <w:rFonts w:eastAsiaTheme="minorEastAsia" w:cs="Times New Roman"/>
          <w:bCs/>
          <w:sz w:val="24"/>
          <w:szCs w:val="20"/>
          <w:lang w:eastAsia="pl-PL"/>
        </w:rPr>
        <w:t xml:space="preserve">spełnia </w:t>
      </w:r>
      <w:r w:rsidR="004E7A27" w:rsidRPr="00833C88">
        <w:rPr>
          <w:rFonts w:eastAsiaTheme="minorEastAsia" w:cs="Times New Roman"/>
          <w:bCs/>
          <w:sz w:val="24"/>
          <w:szCs w:val="20"/>
          <w:lang w:eastAsia="pl-PL"/>
        </w:rPr>
        <w:t>wymogów dyrektywy NIS</w:t>
      </w:r>
      <w:r w:rsidR="00E17B0D" w:rsidRPr="00833C88">
        <w:rPr>
          <w:rFonts w:eastAsiaTheme="minorEastAsia" w:cs="Times New Roman"/>
          <w:bCs/>
          <w:sz w:val="24"/>
          <w:szCs w:val="20"/>
          <w:lang w:eastAsia="pl-PL"/>
        </w:rPr>
        <w:t xml:space="preserve"> </w:t>
      </w:r>
      <w:r w:rsidR="004E7A27" w:rsidRPr="00833C88">
        <w:rPr>
          <w:rFonts w:eastAsiaTheme="minorEastAsia" w:cs="Times New Roman"/>
          <w:bCs/>
          <w:sz w:val="24"/>
          <w:szCs w:val="20"/>
          <w:lang w:eastAsia="pl-PL"/>
        </w:rPr>
        <w:t>2</w:t>
      </w:r>
      <w:r w:rsidR="00DB0232" w:rsidRPr="00833C88">
        <w:rPr>
          <w:rFonts w:eastAsiaTheme="minorEastAsia" w:cs="Times New Roman"/>
          <w:bCs/>
          <w:sz w:val="24"/>
          <w:szCs w:val="20"/>
          <w:lang w:eastAsia="pl-PL"/>
        </w:rPr>
        <w:t>,</w:t>
      </w:r>
      <w:r w:rsidR="004E7A27" w:rsidRPr="00833C88">
        <w:rPr>
          <w:rFonts w:eastAsiaTheme="minorEastAsia" w:cs="Times New Roman"/>
          <w:bCs/>
          <w:sz w:val="24"/>
          <w:szCs w:val="20"/>
          <w:lang w:eastAsia="pl-PL"/>
        </w:rPr>
        <w:t xml:space="preserve"> </w:t>
      </w:r>
      <w:r w:rsidR="00601933" w:rsidRPr="00833C88">
        <w:rPr>
          <w:rFonts w:eastAsiaTheme="minorEastAsia" w:cs="Times New Roman"/>
          <w:bCs/>
          <w:sz w:val="24"/>
          <w:szCs w:val="20"/>
          <w:lang w:eastAsia="pl-PL"/>
        </w:rPr>
        <w:t>w </w:t>
      </w:r>
      <w:r w:rsidR="004E7A27" w:rsidRPr="00833C88">
        <w:rPr>
          <w:rFonts w:eastAsiaTheme="minorEastAsia" w:cs="Times New Roman"/>
          <w:bCs/>
          <w:sz w:val="24"/>
          <w:szCs w:val="20"/>
          <w:lang w:eastAsia="pl-PL"/>
        </w:rPr>
        <w:t xml:space="preserve">związku </w:t>
      </w:r>
      <w:r w:rsidR="00601933" w:rsidRPr="00833C88">
        <w:rPr>
          <w:rFonts w:eastAsiaTheme="minorEastAsia" w:cs="Times New Roman"/>
          <w:bCs/>
          <w:sz w:val="24"/>
          <w:szCs w:val="20"/>
          <w:lang w:eastAsia="pl-PL"/>
        </w:rPr>
        <w:t>z </w:t>
      </w:r>
      <w:r w:rsidR="004E7A27" w:rsidRPr="00833C88">
        <w:rPr>
          <w:rFonts w:eastAsiaTheme="minorEastAsia" w:cs="Times New Roman"/>
          <w:bCs/>
          <w:sz w:val="24"/>
          <w:szCs w:val="20"/>
          <w:lang w:eastAsia="pl-PL"/>
        </w:rPr>
        <w:t xml:space="preserve">czym </w:t>
      </w:r>
      <w:r w:rsidR="00AB03C1" w:rsidRPr="00833C88">
        <w:rPr>
          <w:rFonts w:eastAsiaTheme="minorEastAsia" w:cs="Times New Roman"/>
          <w:bCs/>
          <w:sz w:val="24"/>
          <w:szCs w:val="20"/>
          <w:lang w:eastAsia="pl-PL"/>
        </w:rPr>
        <w:t>wymaga ona wdrożenia</w:t>
      </w:r>
      <w:r w:rsidR="00A46E1B" w:rsidRPr="00833C88">
        <w:rPr>
          <w:rFonts w:eastAsiaTheme="minorEastAsia" w:cs="Times New Roman"/>
          <w:bCs/>
          <w:sz w:val="24"/>
          <w:szCs w:val="20"/>
          <w:lang w:eastAsia="pl-PL"/>
        </w:rPr>
        <w:t xml:space="preserve"> </w:t>
      </w:r>
      <w:r w:rsidR="00434C48" w:rsidRPr="00833C88">
        <w:rPr>
          <w:rFonts w:eastAsiaTheme="minorEastAsia" w:cs="Times New Roman"/>
          <w:bCs/>
          <w:sz w:val="24"/>
          <w:szCs w:val="20"/>
          <w:lang w:eastAsia="pl-PL"/>
        </w:rPr>
        <w:t>do porządku krajowego.</w:t>
      </w:r>
    </w:p>
    <w:p w14:paraId="7F7061D8" w14:textId="636F21F3" w:rsidR="00471698" w:rsidRPr="00833C88" w:rsidRDefault="00471698" w:rsidP="0029004E">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 xml:space="preserve">Pojawianie się nowych </w:t>
      </w:r>
      <w:proofErr w:type="spellStart"/>
      <w:r w:rsidRPr="00833C88">
        <w:rPr>
          <w:rFonts w:eastAsiaTheme="minorEastAsia" w:cs="Times New Roman"/>
          <w:bCs/>
          <w:sz w:val="24"/>
          <w:szCs w:val="20"/>
          <w:lang w:eastAsia="pl-PL"/>
        </w:rPr>
        <w:t>cyberzagrożeń</w:t>
      </w:r>
      <w:proofErr w:type="spellEnd"/>
      <w:r w:rsidRPr="00833C88">
        <w:rPr>
          <w:rFonts w:eastAsiaTheme="minorEastAsia" w:cs="Times New Roman"/>
          <w:bCs/>
          <w:sz w:val="24"/>
          <w:szCs w:val="20"/>
          <w:lang w:eastAsia="pl-PL"/>
        </w:rPr>
        <w:t>, jak również szybki wzrost katalogu usług publicznych dostępnych online, powodują, że instytucje publiczne</w:t>
      </w:r>
      <w:r w:rsidR="00AC0520" w:rsidRPr="00833C88">
        <w:rPr>
          <w:rFonts w:eastAsiaTheme="minorEastAsia" w:cs="Times New Roman"/>
          <w:bCs/>
          <w:sz w:val="24"/>
          <w:szCs w:val="20"/>
          <w:lang w:eastAsia="pl-PL"/>
        </w:rPr>
        <w:t>,</w:t>
      </w:r>
      <w:r w:rsidRPr="00833C88">
        <w:rPr>
          <w:rFonts w:eastAsiaTheme="minorEastAsia" w:cs="Times New Roman"/>
          <w:bCs/>
          <w:sz w:val="24"/>
          <w:szCs w:val="20"/>
          <w:lang w:eastAsia="pl-PL"/>
        </w:rPr>
        <w:t xml:space="preserve"> jak i podmioty prywatne odpowiedzialne za cyberbezpieczeństwo będą zmuszone poświęcać coraz więcej środków na</w:t>
      </w:r>
      <w:r w:rsidR="00704668" w:rsidRPr="00833C88">
        <w:rPr>
          <w:rFonts w:eastAsiaTheme="minorEastAsia" w:cs="Times New Roman"/>
          <w:bCs/>
          <w:sz w:val="24"/>
          <w:szCs w:val="20"/>
          <w:lang w:eastAsia="pl-PL"/>
        </w:rPr>
        <w:t> </w:t>
      </w:r>
      <w:r w:rsidRPr="00833C88">
        <w:rPr>
          <w:rFonts w:eastAsiaTheme="minorEastAsia" w:cs="Times New Roman"/>
          <w:bCs/>
          <w:sz w:val="24"/>
          <w:szCs w:val="20"/>
          <w:lang w:eastAsia="pl-PL"/>
        </w:rPr>
        <w:t xml:space="preserve">zapewnienie cyberbezpieczeństwa. Zmieniająca się sytuacja międzynarodowa oraz konieczność dostarczenia usług dużej grupie nowych klientów sprawia, że niezbędne jest dalsze wzmacnianie podmiotów krajowego systemu cyberbezpieczeństwa. Tą sytuację uwidaczniają statystyki zespołu CSIRT NASK. </w:t>
      </w:r>
      <w:r w:rsidR="00601933" w:rsidRPr="00833C88">
        <w:rPr>
          <w:rFonts w:eastAsiaTheme="minorEastAsia" w:cs="Times New Roman"/>
          <w:bCs/>
          <w:sz w:val="24"/>
          <w:szCs w:val="20"/>
          <w:lang w:eastAsia="pl-PL"/>
        </w:rPr>
        <w:t>W </w:t>
      </w:r>
      <w:r w:rsidRPr="00833C88">
        <w:rPr>
          <w:rFonts w:eastAsiaTheme="minorEastAsia" w:cs="Times New Roman"/>
          <w:bCs/>
          <w:sz w:val="24"/>
          <w:szCs w:val="20"/>
          <w:lang w:eastAsia="pl-PL"/>
        </w:rPr>
        <w:t>2022 r. do zespołu CSIRT NASK zgłoszono ponad 39</w:t>
      </w:r>
      <w:r w:rsidR="00DB0232" w:rsidRPr="00833C88">
        <w:rPr>
          <w:rFonts w:eastAsiaTheme="minorEastAsia" w:cs="Times New Roman"/>
          <w:bCs/>
          <w:sz w:val="24"/>
          <w:szCs w:val="20"/>
          <w:lang w:eastAsia="pl-PL"/>
        </w:rPr>
        <w:t> </w:t>
      </w:r>
      <w:r w:rsidRPr="00833C88">
        <w:rPr>
          <w:rFonts w:eastAsiaTheme="minorEastAsia" w:cs="Times New Roman"/>
          <w:bCs/>
          <w:sz w:val="24"/>
          <w:szCs w:val="20"/>
          <w:lang w:eastAsia="pl-PL"/>
        </w:rPr>
        <w:t xml:space="preserve">000 incydentów cyberbezpieczeństwa, </w:t>
      </w:r>
      <w:r w:rsidR="00601933" w:rsidRPr="00833C88">
        <w:rPr>
          <w:rFonts w:eastAsiaTheme="minorEastAsia" w:cs="Times New Roman"/>
          <w:bCs/>
          <w:sz w:val="24"/>
          <w:szCs w:val="20"/>
          <w:lang w:eastAsia="pl-PL"/>
        </w:rPr>
        <w:t>w </w:t>
      </w:r>
      <w:r w:rsidRPr="00833C88">
        <w:rPr>
          <w:rFonts w:eastAsiaTheme="minorEastAsia" w:cs="Times New Roman"/>
          <w:bCs/>
          <w:sz w:val="24"/>
          <w:szCs w:val="20"/>
          <w:lang w:eastAsia="pl-PL"/>
        </w:rPr>
        <w:t>2023 r. ponad 75 000 incydentów cyberbezpieczeństwa</w:t>
      </w:r>
      <w:r w:rsidR="00AB03C1" w:rsidRPr="00833C88">
        <w:rPr>
          <w:rFonts w:eastAsiaTheme="minorEastAsia" w:cs="Times New Roman"/>
          <w:bCs/>
          <w:sz w:val="24"/>
          <w:szCs w:val="20"/>
          <w:lang w:eastAsia="pl-PL"/>
        </w:rPr>
        <w:t xml:space="preserve">, </w:t>
      </w:r>
      <w:r w:rsidR="00601933" w:rsidRPr="00833C88">
        <w:rPr>
          <w:rFonts w:eastAsiaTheme="minorEastAsia" w:cs="Times New Roman"/>
          <w:bCs/>
          <w:sz w:val="24"/>
          <w:szCs w:val="20"/>
          <w:lang w:eastAsia="pl-PL"/>
        </w:rPr>
        <w:t>a w </w:t>
      </w:r>
      <w:r w:rsidR="00AB03C1" w:rsidRPr="00833C88">
        <w:rPr>
          <w:rFonts w:eastAsiaTheme="minorEastAsia" w:cs="Times New Roman"/>
          <w:bCs/>
          <w:sz w:val="24"/>
          <w:szCs w:val="20"/>
          <w:lang w:eastAsia="pl-PL"/>
        </w:rPr>
        <w:t>2024 r. 103048 incydentów</w:t>
      </w:r>
      <w:r w:rsidRPr="00833C88">
        <w:rPr>
          <w:rFonts w:eastAsiaTheme="minorEastAsia" w:cs="Times New Roman"/>
          <w:bCs/>
          <w:sz w:val="24"/>
          <w:szCs w:val="20"/>
          <w:lang w:eastAsia="pl-PL"/>
        </w:rPr>
        <w:t xml:space="preserve">. Dyrektywa NIS 2 </w:t>
      </w:r>
      <w:r w:rsidR="00601933" w:rsidRPr="00833C88">
        <w:rPr>
          <w:rFonts w:eastAsiaTheme="minorEastAsia" w:cs="Times New Roman"/>
          <w:bCs/>
          <w:sz w:val="24"/>
          <w:szCs w:val="20"/>
          <w:lang w:eastAsia="pl-PL"/>
        </w:rPr>
        <w:t>i </w:t>
      </w:r>
      <w:r w:rsidRPr="00833C88">
        <w:rPr>
          <w:rFonts w:eastAsiaTheme="minorEastAsia" w:cs="Times New Roman"/>
          <w:bCs/>
          <w:sz w:val="24"/>
          <w:szCs w:val="20"/>
          <w:lang w:eastAsia="pl-PL"/>
        </w:rPr>
        <w:t>przepisy ją implementujące są odpowiedzią na</w:t>
      </w:r>
      <w:r w:rsidR="00704668" w:rsidRPr="00833C88">
        <w:rPr>
          <w:rFonts w:eastAsiaTheme="minorEastAsia" w:cs="Times New Roman"/>
          <w:bCs/>
          <w:sz w:val="24"/>
          <w:szCs w:val="20"/>
          <w:lang w:eastAsia="pl-PL"/>
        </w:rPr>
        <w:t> </w:t>
      </w:r>
      <w:r w:rsidRPr="00833C88">
        <w:rPr>
          <w:rFonts w:eastAsiaTheme="minorEastAsia" w:cs="Times New Roman"/>
          <w:bCs/>
          <w:sz w:val="24"/>
          <w:szCs w:val="20"/>
          <w:lang w:eastAsia="pl-PL"/>
        </w:rPr>
        <w:t xml:space="preserve">dynamicznie zmieniającą się sytuację </w:t>
      </w:r>
      <w:r w:rsidR="00601933" w:rsidRPr="00833C88">
        <w:rPr>
          <w:rFonts w:eastAsiaTheme="minorEastAsia" w:cs="Times New Roman"/>
          <w:bCs/>
          <w:sz w:val="24"/>
          <w:szCs w:val="20"/>
          <w:lang w:eastAsia="pl-PL"/>
        </w:rPr>
        <w:t>w </w:t>
      </w:r>
      <w:r w:rsidRPr="00833C88">
        <w:rPr>
          <w:rFonts w:eastAsiaTheme="minorEastAsia" w:cs="Times New Roman"/>
          <w:bCs/>
          <w:sz w:val="24"/>
          <w:szCs w:val="20"/>
          <w:lang w:eastAsia="pl-PL"/>
        </w:rPr>
        <w:t>cyberprzestrzeni.</w:t>
      </w:r>
    </w:p>
    <w:p w14:paraId="482D62CA" w14:textId="61FB9E06" w:rsidR="00471698" w:rsidRPr="00833C88" w:rsidRDefault="00471698" w:rsidP="0029004E">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Zauważono również, że uprawnienia Pełnomocnika są</w:t>
      </w:r>
      <w:r w:rsidR="00704668" w:rsidRPr="00833C88">
        <w:rPr>
          <w:rFonts w:eastAsiaTheme="minorEastAsia" w:cs="Times New Roman"/>
          <w:bCs/>
          <w:sz w:val="24"/>
          <w:szCs w:val="20"/>
          <w:lang w:eastAsia="pl-PL"/>
        </w:rPr>
        <w:t> </w:t>
      </w:r>
      <w:r w:rsidRPr="00833C88">
        <w:rPr>
          <w:rFonts w:eastAsiaTheme="minorEastAsia" w:cs="Times New Roman"/>
          <w:bCs/>
          <w:sz w:val="24"/>
          <w:szCs w:val="20"/>
          <w:lang w:eastAsia="pl-PL"/>
        </w:rPr>
        <w:t>niewystarczające w stosunku do zadań, które organ ten musi wypełniać. Pełnomocnikowi brakuje skutecznych środków oddziaływania na</w:t>
      </w:r>
      <w:r w:rsidR="00704668" w:rsidRPr="00833C88">
        <w:rPr>
          <w:rFonts w:eastAsiaTheme="minorEastAsia" w:cs="Times New Roman"/>
          <w:bCs/>
          <w:sz w:val="24"/>
          <w:szCs w:val="20"/>
          <w:lang w:eastAsia="pl-PL"/>
        </w:rPr>
        <w:t> </w:t>
      </w:r>
      <w:r w:rsidRPr="00833C88">
        <w:rPr>
          <w:rFonts w:eastAsiaTheme="minorEastAsia" w:cs="Times New Roman"/>
          <w:bCs/>
          <w:sz w:val="24"/>
          <w:szCs w:val="20"/>
          <w:lang w:eastAsia="pl-PL"/>
        </w:rPr>
        <w:t xml:space="preserve">podmioty krajowego systemu cyberbezpieczeństwa. </w:t>
      </w:r>
      <w:r w:rsidR="00601933" w:rsidRPr="00833C88">
        <w:rPr>
          <w:rFonts w:eastAsiaTheme="minorEastAsia" w:cs="Times New Roman"/>
          <w:bCs/>
          <w:sz w:val="24"/>
          <w:szCs w:val="20"/>
          <w:lang w:eastAsia="pl-PL"/>
        </w:rPr>
        <w:t>W </w:t>
      </w:r>
      <w:r w:rsidRPr="00833C88">
        <w:rPr>
          <w:rFonts w:eastAsiaTheme="minorEastAsia" w:cs="Times New Roman"/>
          <w:bCs/>
          <w:sz w:val="24"/>
          <w:szCs w:val="20"/>
          <w:lang w:eastAsia="pl-PL"/>
        </w:rPr>
        <w:t>przeciwieństwie do innych Pełnomocników Rządu</w:t>
      </w:r>
      <w:r w:rsidR="00AC0520" w:rsidRPr="00833C88">
        <w:rPr>
          <w:rFonts w:eastAsiaTheme="minorEastAsia" w:cs="Times New Roman"/>
          <w:bCs/>
          <w:sz w:val="24"/>
          <w:szCs w:val="20"/>
          <w:lang w:eastAsia="pl-PL"/>
        </w:rPr>
        <w:t>,</w:t>
      </w:r>
      <w:r w:rsidRPr="00833C88">
        <w:rPr>
          <w:rFonts w:eastAsiaTheme="minorEastAsia" w:cs="Times New Roman"/>
          <w:bCs/>
          <w:sz w:val="24"/>
          <w:szCs w:val="20"/>
          <w:lang w:eastAsia="pl-PL"/>
        </w:rPr>
        <w:t xml:space="preserve"> nie ma on uprawnień do żądania niezbędnych informacji od organów administracji rządowej, możliwości powoływania zespołów problemowych, czy zlecania badań. Pełnomocnikowi brakuje również środka prawnego, który umożliwiłby wydawanie </w:t>
      </w:r>
      <w:r w:rsidRPr="00833C88">
        <w:rPr>
          <w:rFonts w:eastAsiaTheme="minorEastAsia" w:cs="Times New Roman"/>
          <w:bCs/>
          <w:sz w:val="24"/>
          <w:szCs w:val="20"/>
          <w:lang w:eastAsia="pl-PL"/>
        </w:rPr>
        <w:lastRenderedPageBreak/>
        <w:t xml:space="preserve">rekomendacji </w:t>
      </w:r>
      <w:r w:rsidR="00601933" w:rsidRPr="00833C88">
        <w:rPr>
          <w:rFonts w:eastAsiaTheme="minorEastAsia" w:cs="Times New Roman"/>
          <w:bCs/>
          <w:sz w:val="24"/>
          <w:szCs w:val="20"/>
          <w:lang w:eastAsia="pl-PL"/>
        </w:rPr>
        <w:t>o </w:t>
      </w:r>
      <w:r w:rsidRPr="00833C88">
        <w:rPr>
          <w:rFonts w:eastAsiaTheme="minorEastAsia" w:cs="Times New Roman"/>
          <w:bCs/>
          <w:sz w:val="24"/>
          <w:szCs w:val="20"/>
          <w:lang w:eastAsia="pl-PL"/>
        </w:rPr>
        <w:t>charakterze technicznym (</w:t>
      </w:r>
      <w:r w:rsidR="00601933" w:rsidRPr="00833C88">
        <w:rPr>
          <w:rFonts w:eastAsiaTheme="minorEastAsia" w:cs="Times New Roman"/>
          <w:bCs/>
          <w:sz w:val="24"/>
          <w:szCs w:val="20"/>
          <w:lang w:eastAsia="pl-PL"/>
        </w:rPr>
        <w:t>w </w:t>
      </w:r>
      <w:r w:rsidRPr="00833C88">
        <w:rPr>
          <w:rFonts w:eastAsiaTheme="minorEastAsia" w:cs="Times New Roman"/>
          <w:bCs/>
          <w:sz w:val="24"/>
          <w:szCs w:val="20"/>
          <w:lang w:eastAsia="pl-PL"/>
        </w:rPr>
        <w:t xml:space="preserve">tym zakresie – Narodowych Standardów Cyberbezpieczeństwa, </w:t>
      </w:r>
      <w:r w:rsidR="00601933" w:rsidRPr="00833C88">
        <w:rPr>
          <w:rFonts w:eastAsiaTheme="minorEastAsia" w:cs="Times New Roman"/>
          <w:bCs/>
          <w:sz w:val="24"/>
          <w:szCs w:val="20"/>
          <w:lang w:eastAsia="pl-PL"/>
        </w:rPr>
        <w:t>o </w:t>
      </w:r>
      <w:r w:rsidRPr="00833C88">
        <w:rPr>
          <w:rFonts w:eastAsiaTheme="minorEastAsia" w:cs="Times New Roman"/>
          <w:bCs/>
          <w:sz w:val="24"/>
          <w:szCs w:val="20"/>
          <w:lang w:eastAsia="pl-PL"/>
        </w:rPr>
        <w:t>których mowa w Strategii Cyberbezpieczeństwa R</w:t>
      </w:r>
      <w:r w:rsidR="00DB0232" w:rsidRPr="00833C88">
        <w:rPr>
          <w:rFonts w:eastAsiaTheme="minorEastAsia" w:cs="Times New Roman"/>
          <w:bCs/>
          <w:sz w:val="24"/>
          <w:szCs w:val="20"/>
          <w:lang w:eastAsia="pl-PL"/>
        </w:rPr>
        <w:t xml:space="preserve">zeczypospolitej </w:t>
      </w:r>
      <w:r w:rsidRPr="00833C88">
        <w:rPr>
          <w:rFonts w:eastAsiaTheme="minorEastAsia" w:cs="Times New Roman"/>
          <w:bCs/>
          <w:sz w:val="24"/>
          <w:szCs w:val="20"/>
          <w:lang w:eastAsia="pl-PL"/>
        </w:rPr>
        <w:t>P</w:t>
      </w:r>
      <w:r w:rsidR="00DB0232" w:rsidRPr="00833C88">
        <w:rPr>
          <w:rFonts w:eastAsiaTheme="minorEastAsia" w:cs="Times New Roman"/>
          <w:bCs/>
          <w:sz w:val="24"/>
          <w:szCs w:val="20"/>
          <w:lang w:eastAsia="pl-PL"/>
        </w:rPr>
        <w:t>olskiej</w:t>
      </w:r>
      <w:r w:rsidRPr="00833C88">
        <w:rPr>
          <w:rFonts w:eastAsiaTheme="minorEastAsia" w:cs="Times New Roman"/>
          <w:bCs/>
          <w:sz w:val="24"/>
          <w:szCs w:val="20"/>
          <w:lang w:eastAsia="pl-PL"/>
        </w:rPr>
        <w:t xml:space="preserve"> na lata 2019–2024</w:t>
      </w:r>
      <w:r w:rsidR="00DB0232" w:rsidRPr="00833C88">
        <w:rPr>
          <w:rFonts w:eastAsiaTheme="minorEastAsia" w:cs="Times New Roman"/>
          <w:bCs/>
          <w:sz w:val="24"/>
          <w:szCs w:val="20"/>
          <w:lang w:eastAsia="pl-PL"/>
        </w:rPr>
        <w:t>, zwanej dalej „Strategią”</w:t>
      </w:r>
      <w:r w:rsidRPr="00833C88">
        <w:rPr>
          <w:rFonts w:eastAsiaTheme="minorEastAsia" w:cs="Times New Roman"/>
          <w:bCs/>
          <w:sz w:val="24"/>
          <w:szCs w:val="20"/>
          <w:lang w:eastAsia="pl-PL"/>
        </w:rPr>
        <w:t>) i jednocześnie obowiązku uwzględnienia tych rekomendacji przez podmioty krajowego systemu cyberbezpieczeństwa, w trakcie procesu zarządzania ryzykiem.</w:t>
      </w:r>
    </w:p>
    <w:p w14:paraId="3B37AC3C" w14:textId="77A0F035" w:rsidR="00A62DB6" w:rsidRPr="00833C88" w:rsidRDefault="00DB0232" w:rsidP="0029004E">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J</w:t>
      </w:r>
      <w:r w:rsidR="00095294" w:rsidRPr="00833C88">
        <w:rPr>
          <w:rFonts w:eastAsiaTheme="minorEastAsia" w:cs="Times New Roman"/>
          <w:bCs/>
          <w:sz w:val="24"/>
          <w:szCs w:val="20"/>
          <w:lang w:eastAsia="pl-PL"/>
        </w:rPr>
        <w:t>ak wyżej wskazano</w:t>
      </w:r>
      <w:r w:rsidR="00AC0520" w:rsidRPr="00833C88">
        <w:rPr>
          <w:rFonts w:eastAsiaTheme="minorEastAsia" w:cs="Times New Roman"/>
          <w:bCs/>
          <w:sz w:val="24"/>
          <w:szCs w:val="20"/>
          <w:lang w:eastAsia="pl-PL"/>
        </w:rPr>
        <w:t>,</w:t>
      </w:r>
      <w:r w:rsidR="00095294" w:rsidRPr="00833C88">
        <w:rPr>
          <w:rFonts w:eastAsiaTheme="minorEastAsia" w:cs="Times New Roman"/>
          <w:bCs/>
          <w:sz w:val="24"/>
          <w:szCs w:val="20"/>
          <w:lang w:eastAsia="pl-PL"/>
        </w:rPr>
        <w:t xml:space="preserve"> d</w:t>
      </w:r>
      <w:r w:rsidR="00471698" w:rsidRPr="00833C88">
        <w:rPr>
          <w:rFonts w:eastAsiaTheme="minorEastAsia" w:cs="Times New Roman"/>
          <w:bCs/>
          <w:sz w:val="24"/>
          <w:szCs w:val="20"/>
          <w:lang w:eastAsia="pl-PL"/>
        </w:rPr>
        <w:t xml:space="preserve">o tej pory zostały utworzone tylko dwa sektorowe zespoły cyberbezpieczeństwa – CSIRT KNF </w:t>
      </w:r>
      <w:r w:rsidR="00601933" w:rsidRPr="00833C88">
        <w:rPr>
          <w:rFonts w:eastAsiaTheme="minorEastAsia" w:cs="Times New Roman"/>
          <w:bCs/>
          <w:sz w:val="24"/>
          <w:szCs w:val="20"/>
          <w:lang w:eastAsia="pl-PL"/>
        </w:rPr>
        <w:t>i </w:t>
      </w:r>
      <w:r w:rsidR="00471698" w:rsidRPr="00833C88">
        <w:rPr>
          <w:rFonts w:eastAsiaTheme="minorEastAsia" w:cs="Times New Roman"/>
          <w:bCs/>
          <w:sz w:val="24"/>
          <w:szCs w:val="20"/>
          <w:lang w:eastAsia="pl-PL"/>
        </w:rPr>
        <w:t xml:space="preserve">CSIRT Centrum e-Zdrowie. W pozostałych sektorach gospodarki brakuje zespołów wspierających przedsiębiorców </w:t>
      </w:r>
      <w:r w:rsidR="00601933" w:rsidRPr="00833C88">
        <w:rPr>
          <w:rFonts w:eastAsiaTheme="minorEastAsia" w:cs="Times New Roman"/>
          <w:bCs/>
          <w:sz w:val="24"/>
          <w:szCs w:val="20"/>
          <w:lang w:eastAsia="pl-PL"/>
        </w:rPr>
        <w:t>w </w:t>
      </w:r>
      <w:r w:rsidR="00471698" w:rsidRPr="00833C88">
        <w:rPr>
          <w:rFonts w:eastAsiaTheme="minorEastAsia" w:cs="Times New Roman"/>
          <w:bCs/>
          <w:sz w:val="24"/>
          <w:szCs w:val="20"/>
          <w:lang w:eastAsia="pl-PL"/>
        </w:rPr>
        <w:t>reagowaniu na incydenty. Utworzenie tych zespołów przewiduje inwestycja</w:t>
      </w:r>
      <w:r w:rsidR="007921A4" w:rsidRPr="00833C88">
        <w:rPr>
          <w:rFonts w:eastAsiaTheme="minorEastAsia" w:cs="Times New Roman"/>
          <w:bCs/>
          <w:sz w:val="24"/>
          <w:szCs w:val="20"/>
          <w:lang w:eastAsia="pl-PL"/>
        </w:rPr>
        <w:t xml:space="preserve"> C3.1.1 </w:t>
      </w:r>
      <w:proofErr w:type="spellStart"/>
      <w:r w:rsidR="007921A4" w:rsidRPr="00833C88">
        <w:rPr>
          <w:rFonts w:eastAsiaTheme="minorEastAsia" w:cs="Times New Roman"/>
          <w:bCs/>
          <w:sz w:val="24"/>
          <w:szCs w:val="20"/>
          <w:lang w:eastAsia="pl-PL"/>
        </w:rPr>
        <w:t>KPO</w:t>
      </w:r>
      <w:proofErr w:type="spellEnd"/>
      <w:r w:rsidR="007921A4" w:rsidRPr="00833C88">
        <w:rPr>
          <w:rFonts w:eastAsiaTheme="minorEastAsia" w:cs="Times New Roman"/>
          <w:bCs/>
          <w:sz w:val="24"/>
          <w:szCs w:val="20"/>
          <w:lang w:eastAsia="pl-PL"/>
        </w:rPr>
        <w:t xml:space="preserve"> </w:t>
      </w:r>
      <w:proofErr w:type="spellStart"/>
      <w:r w:rsidR="007921A4" w:rsidRPr="00833C88">
        <w:rPr>
          <w:rFonts w:eastAsiaTheme="minorEastAsia" w:cs="Times New Roman"/>
          <w:bCs/>
          <w:sz w:val="24"/>
          <w:szCs w:val="20"/>
          <w:lang w:eastAsia="pl-PL"/>
        </w:rPr>
        <w:t>Cyberbezpieczeństwo</w:t>
      </w:r>
      <w:proofErr w:type="spellEnd"/>
      <w:r w:rsidR="007921A4" w:rsidRPr="00833C88">
        <w:rPr>
          <w:rFonts w:eastAsiaTheme="minorEastAsia" w:cs="Times New Roman"/>
          <w:bCs/>
          <w:sz w:val="24"/>
          <w:szCs w:val="20"/>
          <w:lang w:eastAsia="pl-PL"/>
        </w:rPr>
        <w:t xml:space="preserve"> – </w:t>
      </w:r>
      <w:proofErr w:type="spellStart"/>
      <w:r w:rsidR="007921A4" w:rsidRPr="00833C88">
        <w:rPr>
          <w:rFonts w:eastAsiaTheme="minorEastAsia" w:cs="Times New Roman"/>
          <w:bCs/>
          <w:sz w:val="24"/>
          <w:szCs w:val="20"/>
          <w:lang w:eastAsia="pl-PL"/>
        </w:rPr>
        <w:t>CyberPL</w:t>
      </w:r>
      <w:proofErr w:type="spellEnd"/>
      <w:r w:rsidR="007921A4" w:rsidRPr="00833C88">
        <w:rPr>
          <w:rFonts w:eastAsiaTheme="minorEastAsia" w:cs="Times New Roman"/>
          <w:bCs/>
          <w:sz w:val="24"/>
          <w:szCs w:val="20"/>
          <w:lang w:eastAsia="pl-PL"/>
        </w:rPr>
        <w:t>, infrastruktura przetwarzania danych oraz optymalizacja infrastruktury służb państwowych odpowiedzialnych za bezpieczeństwo</w:t>
      </w:r>
      <w:r w:rsidR="00AC0520" w:rsidRPr="00833C88">
        <w:rPr>
          <w:rFonts w:eastAsiaTheme="minorEastAsia" w:cs="Times New Roman"/>
          <w:bCs/>
          <w:sz w:val="24"/>
          <w:szCs w:val="20"/>
          <w:lang w:eastAsia="pl-PL"/>
        </w:rPr>
        <w:t>,</w:t>
      </w:r>
      <w:r w:rsidR="007921A4" w:rsidRPr="00833C88">
        <w:rPr>
          <w:rFonts w:eastAsiaTheme="minorEastAsia" w:cs="Times New Roman"/>
          <w:bCs/>
          <w:sz w:val="24"/>
          <w:szCs w:val="20"/>
          <w:lang w:eastAsia="pl-PL"/>
        </w:rPr>
        <w:t xml:space="preserve"> planowana jest realizacja projektu pn. „</w:t>
      </w:r>
      <w:r w:rsidR="00AC0520" w:rsidRPr="00833C88">
        <w:rPr>
          <w:rFonts w:eastAsiaTheme="minorEastAsia" w:cs="Times New Roman"/>
          <w:bCs/>
          <w:sz w:val="24"/>
          <w:szCs w:val="20"/>
          <w:lang w:eastAsia="pl-PL"/>
        </w:rPr>
        <w:t>U</w:t>
      </w:r>
      <w:r w:rsidR="007921A4" w:rsidRPr="00833C88">
        <w:rPr>
          <w:rFonts w:eastAsiaTheme="minorEastAsia" w:cs="Times New Roman"/>
          <w:bCs/>
          <w:sz w:val="24"/>
          <w:szCs w:val="20"/>
          <w:lang w:eastAsia="pl-PL"/>
        </w:rPr>
        <w:t>tworzenie lub rozwój przynajmniej 5 sektorowych Zespołów Reagowania na Incydenty Bezpieczeństwa Komputerowego (CSIRT)”.</w:t>
      </w:r>
      <w:r w:rsidR="00A62DB6" w:rsidRPr="00833C88">
        <w:rPr>
          <w:rFonts w:eastAsiaTheme="minorEastAsia" w:cs="Times New Roman"/>
          <w:bCs/>
          <w:sz w:val="24"/>
          <w:szCs w:val="20"/>
          <w:lang w:eastAsia="pl-PL"/>
        </w:rPr>
        <w:t xml:space="preserve"> </w:t>
      </w:r>
      <w:r w:rsidR="003E0309" w:rsidRPr="00833C88">
        <w:rPr>
          <w:rFonts w:eastAsiaTheme="minorEastAsia" w:cs="Times New Roman"/>
          <w:bCs/>
          <w:sz w:val="24"/>
          <w:szCs w:val="20"/>
          <w:lang w:eastAsia="pl-PL"/>
        </w:rPr>
        <w:t xml:space="preserve">Celem </w:t>
      </w:r>
      <w:r w:rsidR="00DD68E3" w:rsidRPr="00833C88">
        <w:rPr>
          <w:rFonts w:eastAsiaTheme="minorEastAsia" w:cs="Times New Roman"/>
          <w:bCs/>
          <w:sz w:val="24"/>
          <w:szCs w:val="20"/>
          <w:lang w:eastAsia="pl-PL"/>
        </w:rPr>
        <w:t xml:space="preserve">nowelizacji </w:t>
      </w:r>
      <w:r w:rsidR="003E0309" w:rsidRPr="00833C88">
        <w:rPr>
          <w:rFonts w:eastAsiaTheme="minorEastAsia" w:cs="Times New Roman"/>
          <w:bCs/>
          <w:sz w:val="24"/>
          <w:szCs w:val="20"/>
          <w:lang w:eastAsia="pl-PL"/>
        </w:rPr>
        <w:t xml:space="preserve">ustawy </w:t>
      </w:r>
      <w:r w:rsidR="00601933" w:rsidRPr="00833C88">
        <w:rPr>
          <w:rFonts w:eastAsiaTheme="minorEastAsia" w:cs="Times New Roman"/>
          <w:bCs/>
          <w:sz w:val="24"/>
          <w:szCs w:val="20"/>
          <w:lang w:eastAsia="pl-PL"/>
        </w:rPr>
        <w:t>o </w:t>
      </w:r>
      <w:r w:rsidR="00AC0520" w:rsidRPr="00833C88">
        <w:rPr>
          <w:rFonts w:eastAsiaTheme="minorEastAsia" w:cs="Times New Roman"/>
          <w:bCs/>
          <w:sz w:val="24"/>
          <w:szCs w:val="20"/>
          <w:lang w:eastAsia="pl-PL"/>
        </w:rPr>
        <w:t xml:space="preserve">KSC </w:t>
      </w:r>
      <w:r w:rsidR="003E0309" w:rsidRPr="00833C88">
        <w:rPr>
          <w:rFonts w:eastAsiaTheme="minorEastAsia" w:cs="Times New Roman"/>
          <w:bCs/>
          <w:sz w:val="24"/>
          <w:szCs w:val="20"/>
          <w:lang w:eastAsia="pl-PL"/>
        </w:rPr>
        <w:t xml:space="preserve">jest </w:t>
      </w:r>
      <w:r w:rsidR="00360195" w:rsidRPr="00833C88">
        <w:rPr>
          <w:rFonts w:eastAsiaTheme="minorEastAsia" w:cs="Times New Roman"/>
          <w:bCs/>
          <w:sz w:val="24"/>
          <w:szCs w:val="20"/>
          <w:lang w:eastAsia="pl-PL"/>
        </w:rPr>
        <w:t>wprowadzenie uwarunkowań prawnych skutecznego funkcjonowania CSIRT sektorowych.</w:t>
      </w:r>
    </w:p>
    <w:p w14:paraId="5F5065DD" w14:textId="5549AAF4" w:rsidR="00222A93" w:rsidRPr="00833C88" w:rsidRDefault="007F1D08" w:rsidP="0029004E">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Coraz większe znaczenie dla bezpieczeństwa usług kluczowych ma niezawodność usług telekomunikacyjnych. Stacjonarne sieci szerokopasmowe są uzupełniane przez sieci mobilne nowej generacji (sieci 5G i kolejnych generacji). Komisja Europejska wielokrotnie, m.in. w opublikowanych w marcu 2019 r. zaleceniach dot. cyberbezpieczeństwa sieci 5G, podkreślała, że kwestia zapewnienia bezpieczeństwa wdrażanej technologii 5G jest priorytetem. Potwierdzenie </w:t>
      </w:r>
      <w:r w:rsidR="008A3774" w:rsidRPr="00833C88">
        <w:rPr>
          <w:rFonts w:ascii="Times New Roman" w:hAnsi="Times New Roman" w:cs="Times New Roman"/>
        </w:rPr>
        <w:t>powyższ</w:t>
      </w:r>
      <w:r w:rsidR="00F66EC1" w:rsidRPr="00833C88">
        <w:rPr>
          <w:rFonts w:ascii="Times New Roman" w:hAnsi="Times New Roman" w:cs="Times New Roman"/>
        </w:rPr>
        <w:t xml:space="preserve">ego </w:t>
      </w:r>
      <w:r w:rsidRPr="00833C88">
        <w:rPr>
          <w:rFonts w:ascii="Times New Roman" w:hAnsi="Times New Roman" w:cs="Times New Roman"/>
        </w:rPr>
        <w:t xml:space="preserve">znajduje </w:t>
      </w:r>
      <w:r w:rsidR="00F66EC1" w:rsidRPr="00833C88">
        <w:rPr>
          <w:rFonts w:ascii="Times New Roman" w:hAnsi="Times New Roman" w:cs="Times New Roman"/>
        </w:rPr>
        <w:t xml:space="preserve">odzwierciedlenie </w:t>
      </w:r>
      <w:r w:rsidRPr="00833C88">
        <w:rPr>
          <w:rFonts w:ascii="Times New Roman" w:hAnsi="Times New Roman" w:cs="Times New Roman"/>
        </w:rPr>
        <w:t>w opublikowanym w styczniu 2020 r. zestawie środków dot. minimalnej harmonizacji i standaryzacji na poziomie U</w:t>
      </w:r>
      <w:r w:rsidR="00222A93" w:rsidRPr="00833C88">
        <w:rPr>
          <w:rFonts w:ascii="Times New Roman" w:hAnsi="Times New Roman" w:cs="Times New Roman"/>
        </w:rPr>
        <w:t>nii Europejskiej</w:t>
      </w:r>
      <w:r w:rsidRPr="00833C88">
        <w:rPr>
          <w:rFonts w:ascii="Times New Roman" w:hAnsi="Times New Roman" w:cs="Times New Roman"/>
        </w:rPr>
        <w:t xml:space="preserve"> rozwiązań cyberbezpieczeństwa sieci 5G, określanym jako </w:t>
      </w:r>
      <w:proofErr w:type="spellStart"/>
      <w:r w:rsidRPr="00833C88">
        <w:rPr>
          <w:rFonts w:ascii="Times New Roman" w:hAnsi="Times New Roman" w:cs="Times New Roman"/>
        </w:rPr>
        <w:t>5G</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Toolbox</w:t>
      </w:r>
      <w:proofErr w:type="spellEnd"/>
      <w:r w:rsidRPr="00833C88">
        <w:rPr>
          <w:rFonts w:ascii="Times New Roman" w:hAnsi="Times New Roman" w:cs="Times New Roman"/>
          <w:vertAlign w:val="superscript"/>
        </w:rPr>
        <w:footnoteReference w:id="4"/>
      </w:r>
      <w:r w:rsidRPr="00833C88">
        <w:rPr>
          <w:rFonts w:ascii="Times New Roman" w:hAnsi="Times New Roman" w:cs="Times New Roman"/>
          <w:vertAlign w:val="superscript"/>
        </w:rPr>
        <w:t>)</w:t>
      </w:r>
      <w:r w:rsidRPr="00833C88">
        <w:rPr>
          <w:rFonts w:ascii="Times New Roman" w:hAnsi="Times New Roman" w:cs="Times New Roman"/>
        </w:rPr>
        <w:t>. Zestaw</w:t>
      </w:r>
      <w:r w:rsidR="00DD68E3" w:rsidRPr="00833C88">
        <w:rPr>
          <w:rFonts w:ascii="Times New Roman" w:hAnsi="Times New Roman" w:cs="Times New Roman"/>
        </w:rPr>
        <w:t>ienie to</w:t>
      </w:r>
      <w:r w:rsidR="00704668" w:rsidRPr="00833C88">
        <w:rPr>
          <w:rFonts w:ascii="Times New Roman" w:hAnsi="Times New Roman" w:cs="Times New Roman"/>
        </w:rPr>
        <w:t> </w:t>
      </w:r>
      <w:r w:rsidRPr="00833C88">
        <w:rPr>
          <w:rFonts w:ascii="Times New Roman" w:hAnsi="Times New Roman" w:cs="Times New Roman"/>
        </w:rPr>
        <w:t xml:space="preserve">obejmuje zarówno rozwiązania o charakterze strategicznym, technicznym, jak </w:t>
      </w:r>
      <w:r w:rsidR="00601933" w:rsidRPr="00833C88">
        <w:rPr>
          <w:rFonts w:ascii="Times New Roman" w:hAnsi="Times New Roman" w:cs="Times New Roman"/>
        </w:rPr>
        <w:t>i </w:t>
      </w:r>
      <w:r w:rsidR="004402AF" w:rsidRPr="00833C88">
        <w:rPr>
          <w:rFonts w:ascii="Times New Roman" w:hAnsi="Times New Roman" w:cs="Times New Roman"/>
        </w:rPr>
        <w:t>o</w:t>
      </w:r>
      <w:r w:rsidRPr="00833C88">
        <w:rPr>
          <w:rFonts w:ascii="Times New Roman" w:hAnsi="Times New Roman" w:cs="Times New Roman"/>
        </w:rPr>
        <w:t> charakterze wspierającym. Celami</w:t>
      </w:r>
      <w:r w:rsidR="00142E4E" w:rsidRPr="00833C88">
        <w:rPr>
          <w:rFonts w:ascii="Times New Roman" w:hAnsi="Times New Roman" w:cs="Times New Roman"/>
        </w:rPr>
        <w:t xml:space="preserve"> </w:t>
      </w:r>
      <w:proofErr w:type="spellStart"/>
      <w:r w:rsidR="00142E4E" w:rsidRPr="00833C88">
        <w:rPr>
          <w:rFonts w:ascii="Times New Roman" w:hAnsi="Times New Roman" w:cs="Times New Roman"/>
        </w:rPr>
        <w:t>5G</w:t>
      </w:r>
      <w:proofErr w:type="spellEnd"/>
      <w:r w:rsidR="00142E4E" w:rsidRPr="00833C88">
        <w:rPr>
          <w:rFonts w:ascii="Times New Roman" w:hAnsi="Times New Roman" w:cs="Times New Roman"/>
        </w:rPr>
        <w:t xml:space="preserve"> </w:t>
      </w:r>
      <w:proofErr w:type="spellStart"/>
      <w:r w:rsidR="00142E4E" w:rsidRPr="00833C88">
        <w:rPr>
          <w:rFonts w:ascii="Times New Roman" w:hAnsi="Times New Roman" w:cs="Times New Roman"/>
        </w:rPr>
        <w:t>Toolbox</w:t>
      </w:r>
      <w:proofErr w:type="spellEnd"/>
      <w:r w:rsidRPr="00833C88">
        <w:rPr>
          <w:rFonts w:ascii="Times New Roman" w:hAnsi="Times New Roman" w:cs="Times New Roman"/>
        </w:rPr>
        <w:t xml:space="preserve"> są po pierwsze bezpieczeństwo sieci 5G, a po drugie uspójnienie polityk państw członkowskich </w:t>
      </w:r>
      <w:r w:rsidR="00222A93" w:rsidRPr="00833C88">
        <w:rPr>
          <w:rFonts w:ascii="Times New Roman" w:hAnsi="Times New Roman" w:cs="Times New Roman"/>
        </w:rPr>
        <w:t xml:space="preserve">Unii Europejskiej </w:t>
      </w:r>
      <w:r w:rsidRPr="00833C88">
        <w:rPr>
          <w:rFonts w:ascii="Times New Roman" w:hAnsi="Times New Roman" w:cs="Times New Roman"/>
        </w:rPr>
        <w:t>w obszarze</w:t>
      </w:r>
      <w:r w:rsidR="00222A93" w:rsidRPr="00833C88">
        <w:rPr>
          <w:rFonts w:ascii="Times New Roman" w:hAnsi="Times New Roman" w:cs="Times New Roman"/>
        </w:rPr>
        <w:t xml:space="preserve"> </w:t>
      </w:r>
      <w:r w:rsidRPr="00833C88">
        <w:rPr>
          <w:rFonts w:ascii="Times New Roman" w:hAnsi="Times New Roman" w:cs="Times New Roman"/>
        </w:rPr>
        <w:t xml:space="preserve">bezpieczeństwa technologii 5G. </w:t>
      </w:r>
    </w:p>
    <w:p w14:paraId="68D239F1" w14:textId="21D40F01" w:rsidR="007F1D08" w:rsidRPr="00833C88" w:rsidRDefault="007F1D08" w:rsidP="0029004E">
      <w:pPr>
        <w:pStyle w:val="NIEARTTEKSTtekstnieartykuowanynppodstprawnarozplubpreambua"/>
        <w:spacing w:before="0" w:after="120"/>
        <w:rPr>
          <w:rFonts w:ascii="Times New Roman" w:hAnsi="Times New Roman" w:cs="Times New Roman"/>
          <w:szCs w:val="24"/>
        </w:rPr>
      </w:pPr>
      <w:proofErr w:type="spellStart"/>
      <w:r w:rsidRPr="00833C88">
        <w:rPr>
          <w:rFonts w:ascii="Times New Roman" w:hAnsi="Times New Roman" w:cs="Times New Roman"/>
        </w:rPr>
        <w:t>5G</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Toolbox</w:t>
      </w:r>
      <w:proofErr w:type="spellEnd"/>
      <w:r w:rsidRPr="00833C88">
        <w:rPr>
          <w:rFonts w:ascii="Times New Roman" w:hAnsi="Times New Roman" w:cs="Times New Roman"/>
        </w:rPr>
        <w:t xml:space="preserve"> definiuje zestaw środków zabezpieczających na poziomie strategicznym i technicznym oraz wskazuje działania wspierające stosowanie tych środków, niezbędne</w:t>
      </w:r>
      <w:r w:rsidRPr="00833C88">
        <w:rPr>
          <w:rFonts w:ascii="Times New Roman" w:hAnsi="Times New Roman" w:cs="Times New Roman"/>
          <w:bCs w:val="0"/>
          <w:szCs w:val="24"/>
        </w:rPr>
        <w:t xml:space="preserve"> </w:t>
      </w:r>
      <w:r w:rsidRPr="00833C88">
        <w:rPr>
          <w:rFonts w:ascii="Times New Roman" w:hAnsi="Times New Roman" w:cs="Times New Roman"/>
        </w:rPr>
        <w:t xml:space="preserve">do ograniczenia </w:t>
      </w:r>
      <w:proofErr w:type="spellStart"/>
      <w:r w:rsidRPr="00833C88">
        <w:rPr>
          <w:rFonts w:ascii="Times New Roman" w:hAnsi="Times New Roman" w:cs="Times New Roman"/>
        </w:rPr>
        <w:t>ryzyk</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cyberbezpieczeństwa</w:t>
      </w:r>
      <w:proofErr w:type="spellEnd"/>
      <w:r w:rsidRPr="00833C88">
        <w:rPr>
          <w:rFonts w:ascii="Times New Roman" w:hAnsi="Times New Roman" w:cs="Times New Roman"/>
        </w:rPr>
        <w:t xml:space="preserve"> w sieciach </w:t>
      </w:r>
      <w:proofErr w:type="spellStart"/>
      <w:r w:rsidRPr="00833C88">
        <w:rPr>
          <w:rFonts w:ascii="Times New Roman" w:hAnsi="Times New Roman" w:cs="Times New Roman"/>
        </w:rPr>
        <w:t>5G</w:t>
      </w:r>
      <w:proofErr w:type="spellEnd"/>
      <w:r w:rsidRPr="00833C88">
        <w:rPr>
          <w:rFonts w:ascii="Times New Roman" w:hAnsi="Times New Roman" w:cs="Times New Roman"/>
        </w:rPr>
        <w:t xml:space="preserve">, które będą </w:t>
      </w:r>
      <w:r w:rsidR="00F66EC1" w:rsidRPr="00833C88">
        <w:rPr>
          <w:rFonts w:ascii="Times New Roman" w:hAnsi="Times New Roman" w:cs="Times New Roman"/>
        </w:rPr>
        <w:t xml:space="preserve">podstawą </w:t>
      </w:r>
      <w:r w:rsidRPr="00833C88">
        <w:rPr>
          <w:rFonts w:ascii="Times New Roman" w:hAnsi="Times New Roman" w:cs="Times New Roman"/>
        </w:rPr>
        <w:t xml:space="preserve">Jednolitego </w:t>
      </w:r>
      <w:r w:rsidRPr="00833C88">
        <w:rPr>
          <w:rFonts w:ascii="Times New Roman" w:hAnsi="Times New Roman" w:cs="Times New Roman"/>
        </w:rPr>
        <w:lastRenderedPageBreak/>
        <w:t>Rynku Cyfrowego U</w:t>
      </w:r>
      <w:r w:rsidR="000A0122" w:rsidRPr="00833C88">
        <w:rPr>
          <w:rFonts w:ascii="Times New Roman" w:hAnsi="Times New Roman" w:cs="Times New Roman"/>
        </w:rPr>
        <w:t>nii Europejskiej</w:t>
      </w:r>
      <w:r w:rsidRPr="00833C88">
        <w:rPr>
          <w:rFonts w:ascii="Times New Roman" w:hAnsi="Times New Roman" w:cs="Times New Roman"/>
        </w:rPr>
        <w:t>. Wśród opisanych w </w:t>
      </w:r>
      <w:proofErr w:type="spellStart"/>
      <w:r w:rsidRPr="00833C88">
        <w:rPr>
          <w:rFonts w:ascii="Times New Roman" w:hAnsi="Times New Roman" w:cs="Times New Roman"/>
        </w:rPr>
        <w:t>5G</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Toolbox</w:t>
      </w:r>
      <w:proofErr w:type="spellEnd"/>
      <w:r w:rsidRPr="00833C88">
        <w:rPr>
          <w:rFonts w:ascii="Times New Roman" w:hAnsi="Times New Roman" w:cs="Times New Roman"/>
          <w:bCs w:val="0"/>
          <w:szCs w:val="24"/>
        </w:rPr>
        <w:t xml:space="preserve"> </w:t>
      </w:r>
      <w:r w:rsidRPr="00833C88">
        <w:rPr>
          <w:rFonts w:ascii="Times New Roman" w:hAnsi="Times New Roman" w:cs="Times New Roman"/>
        </w:rPr>
        <w:t xml:space="preserve">środków </w:t>
      </w:r>
      <w:r w:rsidR="00F66EC1" w:rsidRPr="00833C88">
        <w:rPr>
          <w:rFonts w:ascii="Times New Roman" w:hAnsi="Times New Roman" w:cs="Times New Roman"/>
        </w:rPr>
        <w:t xml:space="preserve">strategicznych, technicznych </w:t>
      </w:r>
      <w:r w:rsidR="00601933" w:rsidRPr="00833C88">
        <w:rPr>
          <w:rFonts w:ascii="Times New Roman" w:hAnsi="Times New Roman" w:cs="Times New Roman"/>
        </w:rPr>
        <w:t>i </w:t>
      </w:r>
      <w:r w:rsidR="00F66EC1" w:rsidRPr="00833C88">
        <w:rPr>
          <w:rFonts w:ascii="Times New Roman" w:hAnsi="Times New Roman" w:cs="Times New Roman"/>
        </w:rPr>
        <w:t xml:space="preserve">wspierających </w:t>
      </w:r>
      <w:r w:rsidRPr="00833C88">
        <w:rPr>
          <w:rFonts w:ascii="Times New Roman" w:hAnsi="Times New Roman" w:cs="Times New Roman"/>
        </w:rPr>
        <w:t>są środki o charakterze</w:t>
      </w:r>
      <w:r w:rsidRPr="00833C88">
        <w:rPr>
          <w:rFonts w:ascii="Times New Roman" w:hAnsi="Times New Roman" w:cs="Times New Roman"/>
          <w:bCs w:val="0"/>
          <w:szCs w:val="24"/>
        </w:rPr>
        <w:t>:</w:t>
      </w:r>
      <w:r w:rsidRPr="00833C88">
        <w:rPr>
          <w:rFonts w:ascii="Times New Roman" w:hAnsi="Times New Roman" w:cs="Times New Roman"/>
        </w:rPr>
        <w:t xml:space="preserve"> </w:t>
      </w:r>
    </w:p>
    <w:p w14:paraId="6405BEE5" w14:textId="77777777" w:rsidR="007F1D08" w:rsidRPr="00833C88" w:rsidRDefault="007F1D08">
      <w:pPr>
        <w:numPr>
          <w:ilvl w:val="0"/>
          <w:numId w:val="7"/>
        </w:numPr>
        <w:autoSpaceDN w:val="0"/>
        <w:spacing w:line="360" w:lineRule="auto"/>
        <w:jc w:val="both"/>
        <w:rPr>
          <w:rFonts w:cs="Times New Roman"/>
          <w:sz w:val="24"/>
          <w:szCs w:val="24"/>
        </w:rPr>
      </w:pPr>
      <w:r w:rsidRPr="00833C88">
        <w:rPr>
          <w:rFonts w:cs="Times New Roman"/>
          <w:sz w:val="24"/>
          <w:szCs w:val="24"/>
        </w:rPr>
        <w:t>strategicznym – m.in. większe uprawnienia dla organów właściwych, w tym w zakresie oceny bezpieczeństwa łańcucha dostaw, większe wymagania dla przedsiębiorców telekomunikacyjnych oraz ocena ryzyka dostawców sprzętu lub oprogramowania,</w:t>
      </w:r>
    </w:p>
    <w:p w14:paraId="4B794A0E" w14:textId="789E21BD" w:rsidR="007F1D08" w:rsidRPr="00833C88" w:rsidRDefault="007F1D08">
      <w:pPr>
        <w:numPr>
          <w:ilvl w:val="0"/>
          <w:numId w:val="7"/>
        </w:numPr>
        <w:autoSpaceDN w:val="0"/>
        <w:spacing w:line="360" w:lineRule="auto"/>
        <w:jc w:val="both"/>
        <w:rPr>
          <w:rFonts w:cs="Times New Roman"/>
          <w:sz w:val="24"/>
          <w:szCs w:val="24"/>
        </w:rPr>
      </w:pPr>
      <w:r w:rsidRPr="00833C88">
        <w:rPr>
          <w:rFonts w:cs="Times New Roman"/>
          <w:sz w:val="24"/>
          <w:szCs w:val="24"/>
        </w:rPr>
        <w:t xml:space="preserve">technicznym – m.in. badanie bezpieczeństwa oprogramowania i urządzeń – czego odzwierciedleniem są na gruncie prawa krajowego uprawnienia Pełnomocnika oraz zespołów CSIRT poziomu krajowego, CSIRT MON, CSIRT NASK, </w:t>
      </w:r>
      <w:r w:rsidR="00E229D7" w:rsidRPr="00833C88">
        <w:rPr>
          <w:rFonts w:cs="Times New Roman"/>
          <w:sz w:val="24"/>
          <w:szCs w:val="24"/>
        </w:rPr>
        <w:t xml:space="preserve">CSIRT GOV </w:t>
      </w:r>
      <w:r w:rsidRPr="00833C88">
        <w:rPr>
          <w:rFonts w:cs="Times New Roman"/>
          <w:sz w:val="24"/>
          <w:szCs w:val="24"/>
        </w:rPr>
        <w:t xml:space="preserve">wynikające </w:t>
      </w:r>
      <w:r w:rsidR="00601933" w:rsidRPr="00833C88">
        <w:rPr>
          <w:rFonts w:cs="Times New Roman"/>
          <w:sz w:val="24"/>
          <w:szCs w:val="24"/>
        </w:rPr>
        <w:t>z </w:t>
      </w:r>
      <w:r w:rsidRPr="00833C88">
        <w:rPr>
          <w:rFonts w:cs="Times New Roman"/>
          <w:sz w:val="24"/>
          <w:szCs w:val="24"/>
        </w:rPr>
        <w:t>art. 33 ustawy o KSC,</w:t>
      </w:r>
    </w:p>
    <w:p w14:paraId="071AE663" w14:textId="77777777" w:rsidR="007F1D08" w:rsidRPr="00833C88" w:rsidRDefault="007F1D08">
      <w:pPr>
        <w:numPr>
          <w:ilvl w:val="0"/>
          <w:numId w:val="7"/>
        </w:numPr>
        <w:autoSpaceDN w:val="0"/>
        <w:spacing w:line="360" w:lineRule="auto"/>
        <w:jc w:val="both"/>
        <w:rPr>
          <w:rFonts w:cs="Times New Roman"/>
          <w:sz w:val="24"/>
          <w:szCs w:val="24"/>
        </w:rPr>
      </w:pPr>
      <w:r w:rsidRPr="00833C88">
        <w:rPr>
          <w:rFonts w:cs="Times New Roman"/>
          <w:sz w:val="24"/>
          <w:szCs w:val="24"/>
        </w:rPr>
        <w:t>wspierającym – m.in. dotyczące prac nad europejskim programem standaryzacji i certyfikacji cyberbezpieczeństwa.</w:t>
      </w:r>
    </w:p>
    <w:p w14:paraId="026E8372" w14:textId="0EB89B7B" w:rsidR="006539DA" w:rsidRPr="00833C88" w:rsidRDefault="007F1D08" w:rsidP="0029004E">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bCs w:val="0"/>
          <w:szCs w:val="24"/>
        </w:rPr>
        <w:t>Wprowadzenie zmian do ustawy o KSC jest elementem działań na rzecz wdrożenia zaleceń z </w:t>
      </w:r>
      <w:proofErr w:type="spellStart"/>
      <w:r w:rsidRPr="00833C88">
        <w:rPr>
          <w:rFonts w:ascii="Times New Roman" w:hAnsi="Times New Roman" w:cs="Times New Roman"/>
          <w:bCs w:val="0"/>
          <w:szCs w:val="24"/>
        </w:rPr>
        <w:t>5G</w:t>
      </w:r>
      <w:proofErr w:type="spellEnd"/>
      <w:r w:rsidRPr="00833C88">
        <w:rPr>
          <w:rFonts w:ascii="Times New Roman" w:hAnsi="Times New Roman" w:cs="Times New Roman"/>
          <w:bCs w:val="0"/>
          <w:szCs w:val="24"/>
        </w:rPr>
        <w:t xml:space="preserve"> </w:t>
      </w:r>
      <w:proofErr w:type="spellStart"/>
      <w:r w:rsidRPr="00833C88">
        <w:rPr>
          <w:rFonts w:ascii="Times New Roman" w:hAnsi="Times New Roman" w:cs="Times New Roman"/>
          <w:bCs w:val="0"/>
          <w:szCs w:val="24"/>
        </w:rPr>
        <w:t>Toolbox</w:t>
      </w:r>
      <w:proofErr w:type="spellEnd"/>
      <w:r w:rsidRPr="00833C88">
        <w:rPr>
          <w:rFonts w:ascii="Times New Roman" w:hAnsi="Times New Roman" w:cs="Times New Roman"/>
          <w:bCs w:val="0"/>
          <w:szCs w:val="24"/>
        </w:rPr>
        <w:t xml:space="preserve"> w Polsce.</w:t>
      </w:r>
    </w:p>
    <w:p w14:paraId="49F5D896" w14:textId="533A2ACC" w:rsidR="004F5C05" w:rsidRPr="00833C88" w:rsidRDefault="00C24BE3" w:rsidP="006C0A8E">
      <w:pPr>
        <w:pStyle w:val="NIEARTTEKSTtekstnieartykuowanynppodstprawnarozplubpreambua"/>
        <w:spacing w:before="0" w:after="120"/>
        <w:rPr>
          <w:rFonts w:ascii="Times New Roman" w:hAnsi="Times New Roman" w:cs="Times New Roman"/>
          <w:b/>
          <w:bCs w:val="0"/>
          <w:szCs w:val="24"/>
        </w:rPr>
      </w:pPr>
      <w:r w:rsidRPr="00833C88">
        <w:rPr>
          <w:rFonts w:ascii="Times New Roman" w:hAnsi="Times New Roman" w:cs="Times New Roman"/>
          <w:b/>
          <w:bCs w:val="0"/>
          <w:szCs w:val="24"/>
        </w:rPr>
        <w:t>1.</w:t>
      </w:r>
      <w:r w:rsidR="00442F38" w:rsidRPr="00833C88">
        <w:rPr>
          <w:rFonts w:ascii="Times New Roman" w:hAnsi="Times New Roman" w:cs="Times New Roman"/>
          <w:b/>
          <w:bCs w:val="0"/>
          <w:szCs w:val="24"/>
        </w:rPr>
        <w:t>5</w:t>
      </w:r>
      <w:r w:rsidRPr="00833C88">
        <w:rPr>
          <w:rFonts w:ascii="Times New Roman" w:hAnsi="Times New Roman" w:cs="Times New Roman"/>
          <w:b/>
          <w:bCs w:val="0"/>
          <w:szCs w:val="24"/>
        </w:rPr>
        <w:t xml:space="preserve">. </w:t>
      </w:r>
      <w:r w:rsidR="004F5C05" w:rsidRPr="00833C88">
        <w:rPr>
          <w:rFonts w:ascii="Times New Roman" w:hAnsi="Times New Roman" w:cs="Times New Roman"/>
          <w:b/>
          <w:bCs w:val="0"/>
          <w:szCs w:val="24"/>
        </w:rPr>
        <w:t>Skutki gospodarcze</w:t>
      </w:r>
    </w:p>
    <w:p w14:paraId="7782C2AA" w14:textId="13D4E68B" w:rsidR="004F5C05" w:rsidRPr="00833C88" w:rsidRDefault="004F5C05" w:rsidP="006C0A8E">
      <w:pPr>
        <w:pStyle w:val="NIEARTTEKSTtekstnieartykuowanynppodstprawnarozplubpreambua"/>
        <w:spacing w:before="0" w:after="120"/>
        <w:rPr>
          <w:rFonts w:ascii="Times New Roman" w:hAnsi="Times New Roman" w:cs="Times New Roman"/>
          <w:szCs w:val="24"/>
        </w:rPr>
      </w:pPr>
      <w:r w:rsidRPr="00833C88">
        <w:rPr>
          <w:rFonts w:ascii="Times New Roman" w:hAnsi="Times New Roman" w:cs="Times New Roman"/>
          <w:szCs w:val="24"/>
        </w:rPr>
        <w:t xml:space="preserve">Celem projektowanych zmian jest wzmocnienie krajowego systemu cyberbezpieczeństwa. Wprowadzane </w:t>
      </w:r>
      <w:r w:rsidR="00601933" w:rsidRPr="00833C88">
        <w:rPr>
          <w:rFonts w:ascii="Times New Roman" w:hAnsi="Times New Roman" w:cs="Times New Roman"/>
          <w:szCs w:val="24"/>
        </w:rPr>
        <w:t>w </w:t>
      </w:r>
      <w:r w:rsidRPr="00833C88">
        <w:rPr>
          <w:rFonts w:ascii="Times New Roman" w:hAnsi="Times New Roman" w:cs="Times New Roman"/>
          <w:szCs w:val="24"/>
        </w:rPr>
        <w:t>projek</w:t>
      </w:r>
      <w:r w:rsidR="00131F56" w:rsidRPr="00833C88">
        <w:rPr>
          <w:rFonts w:ascii="Times New Roman" w:hAnsi="Times New Roman" w:cs="Times New Roman"/>
          <w:szCs w:val="24"/>
        </w:rPr>
        <w:t>cie</w:t>
      </w:r>
      <w:r w:rsidRPr="00833C88">
        <w:rPr>
          <w:rFonts w:ascii="Times New Roman" w:hAnsi="Times New Roman" w:cs="Times New Roman"/>
          <w:szCs w:val="24"/>
        </w:rPr>
        <w:t xml:space="preserve"> ustawy rozwiązania zobowiązują</w:t>
      </w:r>
      <w:r w:rsidR="00131F56" w:rsidRPr="00833C88">
        <w:rPr>
          <w:rFonts w:ascii="Times New Roman" w:hAnsi="Times New Roman" w:cs="Times New Roman"/>
          <w:szCs w:val="24"/>
        </w:rPr>
        <w:t xml:space="preserve"> </w:t>
      </w:r>
      <w:r w:rsidRPr="00833C88">
        <w:rPr>
          <w:rFonts w:ascii="Times New Roman" w:hAnsi="Times New Roman" w:cs="Times New Roman"/>
          <w:szCs w:val="24"/>
        </w:rPr>
        <w:t xml:space="preserve">m.in. przedsiębiorców </w:t>
      </w:r>
      <w:r w:rsidR="00601933" w:rsidRPr="00833C88">
        <w:rPr>
          <w:rFonts w:ascii="Times New Roman" w:hAnsi="Times New Roman" w:cs="Times New Roman"/>
          <w:szCs w:val="24"/>
        </w:rPr>
        <w:t>w </w:t>
      </w:r>
      <w:r w:rsidR="00F1771A" w:rsidRPr="00833C88">
        <w:rPr>
          <w:rFonts w:ascii="Times New Roman" w:hAnsi="Times New Roman" w:cs="Times New Roman"/>
          <w:szCs w:val="24"/>
        </w:rPr>
        <w:t>poszczególnych sektorach gospodarki</w:t>
      </w:r>
      <w:r w:rsidRPr="00833C88">
        <w:rPr>
          <w:rFonts w:ascii="Times New Roman" w:hAnsi="Times New Roman" w:cs="Times New Roman"/>
          <w:szCs w:val="24"/>
        </w:rPr>
        <w:t xml:space="preserve"> do dbania o cyberbezpieczeństwo. Skutkiem projektowanych przepisów może być konieczność poniesienia dodatkowych kosztów związanych z dostosowaniem się poszczególnych podmiotów krajowego systemu cyberbezpieczeństwa do wymogów wynikających z ustawy</w:t>
      </w:r>
      <w:r w:rsidR="00F828EA" w:rsidRPr="00833C88">
        <w:rPr>
          <w:rFonts w:ascii="Times New Roman" w:hAnsi="Times New Roman" w:cs="Times New Roman"/>
          <w:szCs w:val="24"/>
        </w:rPr>
        <w:t xml:space="preserve"> </w:t>
      </w:r>
      <w:r w:rsidR="00601933" w:rsidRPr="00833C88">
        <w:rPr>
          <w:rFonts w:ascii="Times New Roman" w:hAnsi="Times New Roman" w:cs="Times New Roman"/>
          <w:szCs w:val="24"/>
        </w:rPr>
        <w:t>o </w:t>
      </w:r>
      <w:r w:rsidR="00F828EA" w:rsidRPr="00833C88">
        <w:rPr>
          <w:rFonts w:ascii="Times New Roman" w:hAnsi="Times New Roman" w:cs="Times New Roman"/>
          <w:szCs w:val="24"/>
        </w:rPr>
        <w:t>KSC</w:t>
      </w:r>
      <w:r w:rsidRPr="00833C88">
        <w:rPr>
          <w:rFonts w:ascii="Times New Roman" w:hAnsi="Times New Roman" w:cs="Times New Roman"/>
          <w:szCs w:val="24"/>
        </w:rPr>
        <w:t xml:space="preserve">. </w:t>
      </w:r>
      <w:r w:rsidR="00CE15A2" w:rsidRPr="00833C88">
        <w:rPr>
          <w:rFonts w:ascii="Times New Roman" w:hAnsi="Times New Roman" w:cs="Times New Roman"/>
          <w:szCs w:val="24"/>
        </w:rPr>
        <w:t>N</w:t>
      </w:r>
      <w:r w:rsidRPr="00833C88">
        <w:rPr>
          <w:rFonts w:ascii="Times New Roman" w:hAnsi="Times New Roman" w:cs="Times New Roman"/>
          <w:szCs w:val="24"/>
        </w:rPr>
        <w:t xml:space="preserve">ależy zauważyć, że wielu przedsiębiorców już obecnie posiada </w:t>
      </w:r>
      <w:r w:rsidR="00F1771A" w:rsidRPr="00833C88">
        <w:rPr>
          <w:rFonts w:ascii="Times New Roman" w:hAnsi="Times New Roman" w:cs="Times New Roman"/>
          <w:szCs w:val="24"/>
        </w:rPr>
        <w:t>systemy zarządzania bezpieczeństwem informacji</w:t>
      </w:r>
      <w:r w:rsidRPr="00833C88">
        <w:rPr>
          <w:rFonts w:ascii="Times New Roman" w:hAnsi="Times New Roman" w:cs="Times New Roman"/>
          <w:szCs w:val="24"/>
        </w:rPr>
        <w:t>. Dzięki dalszemu inwestowaniu przez podmiot we</w:t>
      </w:r>
      <w:r w:rsidR="00DB0232" w:rsidRPr="00833C88">
        <w:rPr>
          <w:rFonts w:ascii="Times New Roman" w:hAnsi="Times New Roman" w:cs="Times New Roman"/>
          <w:szCs w:val="24"/>
        </w:rPr>
        <w:t> </w:t>
      </w:r>
      <w:r w:rsidRPr="00833C88">
        <w:rPr>
          <w:rFonts w:ascii="Times New Roman" w:hAnsi="Times New Roman" w:cs="Times New Roman"/>
          <w:szCs w:val="24"/>
        </w:rPr>
        <w:t>własne cyberbezpieczeństwo zyskuje on</w:t>
      </w:r>
      <w:r w:rsidR="00704668" w:rsidRPr="00833C88">
        <w:rPr>
          <w:rFonts w:ascii="Times New Roman" w:hAnsi="Times New Roman" w:cs="Times New Roman"/>
          <w:szCs w:val="24"/>
        </w:rPr>
        <w:t> </w:t>
      </w:r>
      <w:r w:rsidRPr="00833C88">
        <w:rPr>
          <w:rFonts w:ascii="Times New Roman" w:hAnsi="Times New Roman" w:cs="Times New Roman"/>
          <w:szCs w:val="24"/>
        </w:rPr>
        <w:t xml:space="preserve">zaufanie podmiotów, którym świadczy usługi i potencjalnych kontrahentów. </w:t>
      </w:r>
    </w:p>
    <w:p w14:paraId="6E72DB3B" w14:textId="502F678D" w:rsidR="004F5C05" w:rsidRPr="00833C88" w:rsidRDefault="004F5C05" w:rsidP="006C0A8E">
      <w:pPr>
        <w:pStyle w:val="NIEARTTEKSTtekstnieartykuowanynppodstprawnarozplubpreambua"/>
        <w:spacing w:before="0" w:after="120"/>
        <w:rPr>
          <w:rFonts w:ascii="Times New Roman" w:hAnsi="Times New Roman" w:cs="Times New Roman"/>
          <w:szCs w:val="24"/>
        </w:rPr>
      </w:pPr>
      <w:r w:rsidRPr="00833C88">
        <w:rPr>
          <w:rFonts w:ascii="Times New Roman" w:hAnsi="Times New Roman" w:cs="Times New Roman"/>
          <w:szCs w:val="24"/>
        </w:rPr>
        <w:t>Dostosowanie się do nowych wymogów pozwoli przedsiębiorcom zwiększy</w:t>
      </w:r>
      <w:r w:rsidR="002604AF" w:rsidRPr="00833C88">
        <w:rPr>
          <w:rFonts w:ascii="Times New Roman" w:hAnsi="Times New Roman" w:cs="Times New Roman"/>
          <w:szCs w:val="24"/>
        </w:rPr>
        <w:t>ć</w:t>
      </w:r>
      <w:r w:rsidRPr="00833C88">
        <w:rPr>
          <w:rFonts w:ascii="Times New Roman" w:hAnsi="Times New Roman" w:cs="Times New Roman"/>
          <w:szCs w:val="24"/>
        </w:rPr>
        <w:t xml:space="preserve"> skuteczność działań podejmowanych przez przedsiębiorców w zakresie cyberbezpieczeństwa w ich działalności, co przełoży się na bezpieczne prowadzenie biznesu i minimalizację ryzyka strat.</w:t>
      </w:r>
    </w:p>
    <w:p w14:paraId="4CCE6E95" w14:textId="0E5A745D" w:rsidR="00042650" w:rsidRPr="00833C88" w:rsidRDefault="00C24BE3" w:rsidP="006C0A8E">
      <w:pPr>
        <w:pStyle w:val="NIEARTTEKSTtekstnieartykuowanynppodstprawnarozplubpreambua"/>
        <w:spacing w:before="0" w:after="120"/>
        <w:rPr>
          <w:rFonts w:ascii="Times New Roman" w:hAnsi="Times New Roman" w:cs="Times New Roman"/>
          <w:b/>
          <w:bCs w:val="0"/>
          <w:szCs w:val="24"/>
        </w:rPr>
      </w:pPr>
      <w:r w:rsidRPr="00833C88">
        <w:rPr>
          <w:rFonts w:ascii="Times New Roman" w:hAnsi="Times New Roman" w:cs="Times New Roman"/>
          <w:b/>
          <w:bCs w:val="0"/>
          <w:szCs w:val="24"/>
        </w:rPr>
        <w:t>1.</w:t>
      </w:r>
      <w:r w:rsidR="00442F38" w:rsidRPr="00833C88">
        <w:rPr>
          <w:rFonts w:ascii="Times New Roman" w:hAnsi="Times New Roman" w:cs="Times New Roman"/>
          <w:b/>
          <w:bCs w:val="0"/>
          <w:szCs w:val="24"/>
        </w:rPr>
        <w:t>6</w:t>
      </w:r>
      <w:r w:rsidRPr="00833C88">
        <w:rPr>
          <w:rFonts w:ascii="Times New Roman" w:hAnsi="Times New Roman" w:cs="Times New Roman"/>
          <w:b/>
          <w:bCs w:val="0"/>
          <w:szCs w:val="24"/>
        </w:rPr>
        <w:t xml:space="preserve">. </w:t>
      </w:r>
      <w:r w:rsidR="00042650" w:rsidRPr="00833C88">
        <w:rPr>
          <w:rFonts w:ascii="Times New Roman" w:hAnsi="Times New Roman" w:cs="Times New Roman"/>
          <w:b/>
          <w:bCs w:val="0"/>
          <w:szCs w:val="24"/>
        </w:rPr>
        <w:t>Skutki społeczne</w:t>
      </w:r>
    </w:p>
    <w:p w14:paraId="2B4BABED" w14:textId="76B619FF" w:rsidR="00F23C81" w:rsidRPr="00833C88" w:rsidRDefault="00F23C81" w:rsidP="000F7ACE">
      <w:pPr>
        <w:spacing w:line="360" w:lineRule="auto"/>
        <w:ind w:firstLine="510"/>
        <w:jc w:val="both"/>
        <w:rPr>
          <w:rFonts w:eastAsiaTheme="minorEastAsia" w:cs="Times New Roman"/>
          <w:bCs/>
          <w:sz w:val="24"/>
          <w:szCs w:val="24"/>
          <w:lang w:eastAsia="pl-PL"/>
        </w:rPr>
      </w:pPr>
      <w:r w:rsidRPr="00833C88">
        <w:rPr>
          <w:rFonts w:eastAsiaTheme="minorEastAsia" w:cs="Times New Roman"/>
          <w:bCs/>
          <w:sz w:val="24"/>
          <w:szCs w:val="24"/>
          <w:lang w:eastAsia="pl-PL"/>
        </w:rPr>
        <w:t xml:space="preserve">Nałożenie </w:t>
      </w:r>
      <w:r w:rsidR="0076245A" w:rsidRPr="00833C88">
        <w:rPr>
          <w:rFonts w:eastAsiaTheme="minorEastAsia" w:cs="Times New Roman"/>
          <w:bCs/>
          <w:sz w:val="24"/>
          <w:szCs w:val="24"/>
          <w:lang w:eastAsia="pl-PL"/>
        </w:rPr>
        <w:t xml:space="preserve">nowych </w:t>
      </w:r>
      <w:r w:rsidRPr="00833C88">
        <w:rPr>
          <w:rFonts w:eastAsiaTheme="minorEastAsia" w:cs="Times New Roman"/>
          <w:bCs/>
          <w:sz w:val="24"/>
          <w:szCs w:val="24"/>
          <w:lang w:eastAsia="pl-PL"/>
        </w:rPr>
        <w:t xml:space="preserve">obowiązków </w:t>
      </w:r>
      <w:r w:rsidR="00601933" w:rsidRPr="00833C88">
        <w:rPr>
          <w:rFonts w:eastAsiaTheme="minorEastAsia" w:cs="Times New Roman"/>
          <w:bCs/>
          <w:sz w:val="24"/>
          <w:szCs w:val="24"/>
          <w:lang w:eastAsia="pl-PL"/>
        </w:rPr>
        <w:t>z </w:t>
      </w:r>
      <w:r w:rsidRPr="00833C88">
        <w:rPr>
          <w:rFonts w:eastAsiaTheme="minorEastAsia" w:cs="Times New Roman"/>
          <w:bCs/>
          <w:sz w:val="24"/>
          <w:szCs w:val="24"/>
          <w:lang w:eastAsia="pl-PL"/>
        </w:rPr>
        <w:t xml:space="preserve">zakresu cyberbezpieczeństwa na większą liczbę podmiotów </w:t>
      </w:r>
      <w:r w:rsidR="00C449ED" w:rsidRPr="00833C88">
        <w:rPr>
          <w:rFonts w:eastAsiaTheme="minorEastAsia" w:cs="Times New Roman"/>
          <w:bCs/>
          <w:sz w:val="24"/>
          <w:szCs w:val="24"/>
          <w:lang w:eastAsia="pl-PL"/>
        </w:rPr>
        <w:t xml:space="preserve">przyczyni się do zwiększenia bezpieczeństwa usług, </w:t>
      </w:r>
      <w:r w:rsidR="00601933" w:rsidRPr="00833C88">
        <w:rPr>
          <w:rFonts w:eastAsiaTheme="minorEastAsia" w:cs="Times New Roman"/>
          <w:bCs/>
          <w:sz w:val="24"/>
          <w:szCs w:val="24"/>
          <w:lang w:eastAsia="pl-PL"/>
        </w:rPr>
        <w:t>z </w:t>
      </w:r>
      <w:r w:rsidR="00C449ED" w:rsidRPr="00833C88">
        <w:rPr>
          <w:rFonts w:eastAsiaTheme="minorEastAsia" w:cs="Times New Roman"/>
          <w:bCs/>
          <w:sz w:val="24"/>
          <w:szCs w:val="24"/>
          <w:lang w:eastAsia="pl-PL"/>
        </w:rPr>
        <w:t>których korzystają wszyscy obywatele. Zwiększ</w:t>
      </w:r>
      <w:r w:rsidR="0076245A" w:rsidRPr="00833C88">
        <w:rPr>
          <w:rFonts w:eastAsiaTheme="minorEastAsia" w:cs="Times New Roman"/>
          <w:bCs/>
          <w:sz w:val="24"/>
          <w:szCs w:val="24"/>
          <w:lang w:eastAsia="pl-PL"/>
        </w:rPr>
        <w:t xml:space="preserve">y to </w:t>
      </w:r>
      <w:r w:rsidR="00C449ED" w:rsidRPr="00833C88">
        <w:rPr>
          <w:rFonts w:eastAsiaTheme="minorEastAsia" w:cs="Times New Roman"/>
          <w:bCs/>
          <w:sz w:val="24"/>
          <w:szCs w:val="24"/>
          <w:lang w:eastAsia="pl-PL"/>
        </w:rPr>
        <w:t xml:space="preserve">pewność ciągłości usług. Polepszy się ochrona danych osobowych </w:t>
      </w:r>
      <w:r w:rsidR="00C449ED" w:rsidRPr="00833C88">
        <w:rPr>
          <w:rFonts w:eastAsiaTheme="minorEastAsia" w:cs="Times New Roman"/>
          <w:bCs/>
          <w:sz w:val="24"/>
          <w:szCs w:val="24"/>
          <w:lang w:eastAsia="pl-PL"/>
        </w:rPr>
        <w:lastRenderedPageBreak/>
        <w:t xml:space="preserve">przetwarzanych przez podmioty ważne </w:t>
      </w:r>
      <w:r w:rsidR="00601933" w:rsidRPr="00833C88">
        <w:rPr>
          <w:rFonts w:eastAsiaTheme="minorEastAsia" w:cs="Times New Roman"/>
          <w:bCs/>
          <w:sz w:val="24"/>
          <w:szCs w:val="24"/>
          <w:lang w:eastAsia="pl-PL"/>
        </w:rPr>
        <w:t>i </w:t>
      </w:r>
      <w:r w:rsidR="00C449ED" w:rsidRPr="00833C88">
        <w:rPr>
          <w:rFonts w:eastAsiaTheme="minorEastAsia" w:cs="Times New Roman"/>
          <w:bCs/>
          <w:sz w:val="24"/>
          <w:szCs w:val="24"/>
          <w:lang w:eastAsia="pl-PL"/>
        </w:rPr>
        <w:t xml:space="preserve">podmioty kluczowe. Część kosztów wypełnienia obowiązków ustawowych, </w:t>
      </w:r>
      <w:r w:rsidR="00601933" w:rsidRPr="00833C88">
        <w:rPr>
          <w:rFonts w:eastAsiaTheme="minorEastAsia" w:cs="Times New Roman"/>
          <w:bCs/>
          <w:sz w:val="24"/>
          <w:szCs w:val="24"/>
          <w:lang w:eastAsia="pl-PL"/>
        </w:rPr>
        <w:t>w </w:t>
      </w:r>
      <w:r w:rsidR="00C449ED" w:rsidRPr="00833C88">
        <w:rPr>
          <w:rFonts w:eastAsiaTheme="minorEastAsia" w:cs="Times New Roman"/>
          <w:bCs/>
          <w:sz w:val="24"/>
          <w:szCs w:val="24"/>
          <w:lang w:eastAsia="pl-PL"/>
        </w:rPr>
        <w:t>przypadku niektórych sektorów, może przełożyć się na wyższy koszt usługi dla odbiorcy końcowego</w:t>
      </w:r>
      <w:r w:rsidR="00C80268" w:rsidRPr="00833C88">
        <w:rPr>
          <w:rFonts w:eastAsiaTheme="minorEastAsia" w:cs="Times New Roman"/>
          <w:bCs/>
          <w:sz w:val="24"/>
          <w:szCs w:val="24"/>
          <w:lang w:eastAsia="pl-PL"/>
        </w:rPr>
        <w:t>.</w:t>
      </w:r>
    </w:p>
    <w:p w14:paraId="55AD33E6" w14:textId="6434E64C" w:rsidR="00042650" w:rsidRPr="00833C88" w:rsidRDefault="00042650" w:rsidP="0029004E">
      <w:pPr>
        <w:spacing w:line="360" w:lineRule="auto"/>
        <w:jc w:val="both"/>
        <w:rPr>
          <w:rFonts w:eastAsiaTheme="minorEastAsia" w:cs="Times New Roman"/>
          <w:bCs/>
          <w:sz w:val="24"/>
          <w:szCs w:val="24"/>
          <w:lang w:eastAsia="pl-PL"/>
        </w:rPr>
      </w:pPr>
      <w:r w:rsidRPr="00833C88">
        <w:rPr>
          <w:rFonts w:eastAsiaTheme="minorEastAsia" w:cs="Times New Roman"/>
          <w:bCs/>
          <w:sz w:val="24"/>
          <w:szCs w:val="24"/>
          <w:lang w:eastAsia="pl-PL"/>
        </w:rPr>
        <w:t>Powołanie CSIRT sektorowych pozwoli na utworzenie jednostek, dzięki którym usprawnione zostanie funkcjonowanie i zwiększona skuteczność systemu reagowania na incydenty. Ponadto, dzięki powołaniu CSIRT sektorowego</w:t>
      </w:r>
      <w:r w:rsidR="00D21647" w:rsidRPr="00833C88">
        <w:rPr>
          <w:rFonts w:eastAsiaTheme="minorEastAsia" w:cs="Times New Roman"/>
          <w:bCs/>
          <w:sz w:val="24"/>
          <w:szCs w:val="24"/>
          <w:lang w:eastAsia="pl-PL"/>
        </w:rPr>
        <w:t>,</w:t>
      </w:r>
      <w:r w:rsidRPr="00833C88">
        <w:rPr>
          <w:rFonts w:eastAsiaTheme="minorEastAsia" w:cs="Times New Roman"/>
          <w:bCs/>
          <w:sz w:val="24"/>
          <w:szCs w:val="24"/>
          <w:lang w:eastAsia="pl-PL"/>
        </w:rPr>
        <w:t xml:space="preserve"> w każdym sektorze powstanie baza wiedzy o </w:t>
      </w:r>
      <w:proofErr w:type="spellStart"/>
      <w:r w:rsidRPr="00833C88">
        <w:rPr>
          <w:rFonts w:eastAsiaTheme="minorEastAsia" w:cs="Times New Roman"/>
          <w:bCs/>
          <w:sz w:val="24"/>
          <w:szCs w:val="24"/>
          <w:lang w:eastAsia="pl-PL"/>
        </w:rPr>
        <w:t>cyberzagrożeniach</w:t>
      </w:r>
      <w:proofErr w:type="spellEnd"/>
      <w:r w:rsidRPr="00833C88">
        <w:rPr>
          <w:rFonts w:eastAsiaTheme="minorEastAsia" w:cs="Times New Roman"/>
          <w:bCs/>
          <w:sz w:val="24"/>
          <w:szCs w:val="24"/>
          <w:lang w:eastAsia="pl-PL"/>
        </w:rPr>
        <w:t xml:space="preserve"> i podatnościach danego sektora. Funkcjonowanie CSIRT sektorowych wpłynie na skrócenie czasu obsługi incydentów w sektorze, które będą obsługiwane z uwzględnieniem szczególnych uwarunkowań danego sektora.</w:t>
      </w:r>
    </w:p>
    <w:p w14:paraId="16B01642" w14:textId="002C2C30" w:rsidR="004F5C05" w:rsidRPr="00833C88" w:rsidRDefault="00C24BE3" w:rsidP="006C0A8E">
      <w:pPr>
        <w:pStyle w:val="NIEARTTEKSTtekstnieartykuowanynppodstprawnarozplubpreambua"/>
        <w:spacing w:before="0" w:after="120"/>
        <w:rPr>
          <w:rFonts w:ascii="Times New Roman" w:hAnsi="Times New Roman" w:cs="Times New Roman"/>
          <w:b/>
          <w:bCs w:val="0"/>
          <w:szCs w:val="24"/>
        </w:rPr>
      </w:pPr>
      <w:r w:rsidRPr="00833C88">
        <w:rPr>
          <w:rFonts w:ascii="Times New Roman" w:hAnsi="Times New Roman" w:cs="Times New Roman"/>
          <w:b/>
          <w:bCs w:val="0"/>
          <w:szCs w:val="24"/>
        </w:rPr>
        <w:t>1.</w:t>
      </w:r>
      <w:r w:rsidR="00442F38" w:rsidRPr="00833C88">
        <w:rPr>
          <w:rFonts w:ascii="Times New Roman" w:hAnsi="Times New Roman" w:cs="Times New Roman"/>
          <w:b/>
          <w:bCs w:val="0"/>
          <w:szCs w:val="24"/>
        </w:rPr>
        <w:t>7</w:t>
      </w:r>
      <w:r w:rsidRPr="00833C88">
        <w:rPr>
          <w:rFonts w:ascii="Times New Roman" w:hAnsi="Times New Roman" w:cs="Times New Roman"/>
          <w:b/>
          <w:bCs w:val="0"/>
          <w:szCs w:val="24"/>
        </w:rPr>
        <w:t xml:space="preserve">. </w:t>
      </w:r>
      <w:r w:rsidR="004F5C05" w:rsidRPr="00833C88">
        <w:rPr>
          <w:rFonts w:ascii="Times New Roman" w:hAnsi="Times New Roman" w:cs="Times New Roman"/>
          <w:b/>
          <w:bCs w:val="0"/>
          <w:szCs w:val="24"/>
        </w:rPr>
        <w:t>Skutki finansowe</w:t>
      </w:r>
    </w:p>
    <w:p w14:paraId="7C528EDB" w14:textId="3FF0A64E" w:rsidR="004F5C05" w:rsidRPr="00833C88" w:rsidRDefault="004F5C05" w:rsidP="006C0A8E">
      <w:pPr>
        <w:pStyle w:val="NIEARTTEKSTtekstnieartykuowanynppodstprawnarozplubpreambua"/>
        <w:spacing w:before="0" w:after="120"/>
        <w:rPr>
          <w:rFonts w:ascii="Times New Roman" w:hAnsi="Times New Roman" w:cs="Times New Roman"/>
          <w:szCs w:val="24"/>
        </w:rPr>
      </w:pPr>
      <w:r w:rsidRPr="00833C88">
        <w:rPr>
          <w:rFonts w:ascii="Times New Roman" w:hAnsi="Times New Roman" w:cs="Times New Roman"/>
          <w:szCs w:val="24"/>
        </w:rPr>
        <w:t xml:space="preserve">Tworzenie nowych struktur w ramach krajowego systemu cyberbezpieczeństwa będzie wymagało dodatkowych nakładów finansowych. </w:t>
      </w:r>
      <w:r w:rsidR="006B3057" w:rsidRPr="00833C88">
        <w:rPr>
          <w:rFonts w:ascii="Times New Roman" w:hAnsi="Times New Roman" w:cs="Times New Roman"/>
          <w:szCs w:val="24"/>
        </w:rPr>
        <w:t>J</w:t>
      </w:r>
      <w:r w:rsidRPr="00833C88">
        <w:rPr>
          <w:rFonts w:ascii="Times New Roman" w:hAnsi="Times New Roman" w:cs="Times New Roman"/>
          <w:szCs w:val="24"/>
        </w:rPr>
        <w:t xml:space="preserve">est to inwestycja w bezpieczeństwo państwa. Incydenty bezpieczeństwa komputerowego są coraz częstsze i bardziej zaawansowane. </w:t>
      </w:r>
    </w:p>
    <w:p w14:paraId="50D02221" w14:textId="21D8BDC5" w:rsidR="00FA49B8" w:rsidRPr="00833C88" w:rsidRDefault="004F5C05" w:rsidP="00335C09">
      <w:pPr>
        <w:pStyle w:val="NIEARTTEKSTtekstnieartykuowanynppodstprawnarozplubpreambua"/>
        <w:spacing w:before="0" w:after="120"/>
        <w:rPr>
          <w:rStyle w:val="ui-provider"/>
          <w:rFonts w:ascii="Times New Roman" w:hAnsi="Times New Roman" w:cs="Times New Roman"/>
          <w:szCs w:val="24"/>
        </w:rPr>
      </w:pPr>
      <w:r w:rsidRPr="00833C88">
        <w:rPr>
          <w:rFonts w:ascii="Times New Roman" w:hAnsi="Times New Roman" w:cs="Times New Roman"/>
          <w:szCs w:val="24"/>
        </w:rPr>
        <w:t xml:space="preserve">Szkody powstałe wskutek tych działań (np. zaszyfrowanie danych, wykradzenie danych, uniemożliwienie lub utrudnienie świadczenia usług publicznych) są bardzo poważne </w:t>
      </w:r>
      <w:r w:rsidR="00601933" w:rsidRPr="00833C88">
        <w:rPr>
          <w:rFonts w:ascii="Times New Roman" w:hAnsi="Times New Roman" w:cs="Times New Roman"/>
          <w:szCs w:val="24"/>
        </w:rPr>
        <w:t>i </w:t>
      </w:r>
      <w:r w:rsidRPr="00833C88">
        <w:rPr>
          <w:rFonts w:ascii="Times New Roman" w:hAnsi="Times New Roman" w:cs="Times New Roman"/>
          <w:szCs w:val="24"/>
        </w:rPr>
        <w:t xml:space="preserve">często mają również istotny wymiar finansowy. Inwestycja w dostosowanie krajowego systemu cyberbezpieczeństwa do wyzwań wynikających z postępującej gwałtownie cyfryzacji pozwoli ograniczyć prawdopodobieństwo powstania tych szkód, </w:t>
      </w:r>
      <w:r w:rsidR="00601933" w:rsidRPr="00833C88">
        <w:rPr>
          <w:rFonts w:ascii="Times New Roman" w:hAnsi="Times New Roman" w:cs="Times New Roman"/>
          <w:szCs w:val="24"/>
        </w:rPr>
        <w:t>a </w:t>
      </w:r>
      <w:r w:rsidRPr="00833C88">
        <w:rPr>
          <w:rFonts w:ascii="Times New Roman" w:hAnsi="Times New Roman" w:cs="Times New Roman"/>
          <w:szCs w:val="24"/>
        </w:rPr>
        <w:t>w przypadku ataków – znacząco zmniejszyć ich negatywne skutki. Wobec powyższego poniesienie dodatkowych nakładów finansowych jest jak najbardziej zasadne.</w:t>
      </w:r>
      <w:r w:rsidR="00FA49B8" w:rsidRPr="00833C88">
        <w:rPr>
          <w:rFonts w:ascii="Times New Roman" w:hAnsi="Times New Roman" w:cs="Times New Roman"/>
          <w:szCs w:val="24"/>
        </w:rPr>
        <w:t xml:space="preserve"> </w:t>
      </w:r>
    </w:p>
    <w:p w14:paraId="3D21C8DD" w14:textId="12A5DFB7" w:rsidR="000E2EAF" w:rsidRPr="00833C88" w:rsidRDefault="00FA49B8" w:rsidP="00335C09">
      <w:pPr>
        <w:pStyle w:val="NIEARTTEKSTtekstnieartykuowanynppodstprawnarozplubpreambua"/>
        <w:spacing w:before="0" w:after="120"/>
        <w:rPr>
          <w:rFonts w:ascii="Times New Roman" w:hAnsi="Times New Roman" w:cs="Times New Roman"/>
        </w:rPr>
      </w:pPr>
      <w:r w:rsidRPr="00833C88">
        <w:rPr>
          <w:rStyle w:val="ui-provider"/>
          <w:rFonts w:ascii="Times New Roman" w:hAnsi="Times New Roman" w:cs="Times New Roman"/>
          <w:szCs w:val="24"/>
        </w:rPr>
        <w:t xml:space="preserve">Ze względu na odwołania </w:t>
      </w:r>
      <w:r w:rsidR="00601933" w:rsidRPr="00833C88">
        <w:rPr>
          <w:rStyle w:val="ui-provider"/>
          <w:rFonts w:ascii="Times New Roman" w:hAnsi="Times New Roman" w:cs="Times New Roman"/>
          <w:szCs w:val="24"/>
        </w:rPr>
        <w:t>w </w:t>
      </w:r>
      <w:r w:rsidRPr="00833C88">
        <w:rPr>
          <w:rStyle w:val="ui-provider"/>
          <w:rFonts w:ascii="Times New Roman" w:hAnsi="Times New Roman" w:cs="Times New Roman"/>
          <w:szCs w:val="24"/>
        </w:rPr>
        <w:t xml:space="preserve">samej dyrektywie NIS 2 do dyrektywy Parlamentu Europejskiego </w:t>
      </w:r>
      <w:r w:rsidR="00601933" w:rsidRPr="00833C88">
        <w:rPr>
          <w:rStyle w:val="ui-provider"/>
          <w:rFonts w:ascii="Times New Roman" w:hAnsi="Times New Roman" w:cs="Times New Roman"/>
          <w:szCs w:val="24"/>
        </w:rPr>
        <w:t>i </w:t>
      </w:r>
      <w:r w:rsidRPr="00833C88">
        <w:rPr>
          <w:rStyle w:val="ui-provider"/>
          <w:rFonts w:ascii="Times New Roman" w:hAnsi="Times New Roman" w:cs="Times New Roman"/>
          <w:szCs w:val="24"/>
        </w:rPr>
        <w:t xml:space="preserve">Rady (UE) 2022/2557 </w:t>
      </w:r>
      <w:r w:rsidR="00601933" w:rsidRPr="00833C88">
        <w:rPr>
          <w:rStyle w:val="ui-provider"/>
          <w:rFonts w:ascii="Times New Roman" w:hAnsi="Times New Roman" w:cs="Times New Roman"/>
          <w:szCs w:val="24"/>
        </w:rPr>
        <w:t>z </w:t>
      </w:r>
      <w:r w:rsidRPr="00833C88">
        <w:rPr>
          <w:rStyle w:val="ui-provider"/>
          <w:rFonts w:ascii="Times New Roman" w:hAnsi="Times New Roman" w:cs="Times New Roman"/>
          <w:szCs w:val="24"/>
        </w:rPr>
        <w:t xml:space="preserve">dnia 14 grudnia 2022 r. </w:t>
      </w:r>
      <w:r w:rsidR="00601933" w:rsidRPr="00833C88">
        <w:rPr>
          <w:rStyle w:val="ui-provider"/>
          <w:rFonts w:ascii="Times New Roman" w:hAnsi="Times New Roman" w:cs="Times New Roman"/>
          <w:szCs w:val="24"/>
        </w:rPr>
        <w:t>w </w:t>
      </w:r>
      <w:r w:rsidRPr="00833C88">
        <w:rPr>
          <w:rStyle w:val="ui-provider"/>
          <w:rFonts w:ascii="Times New Roman" w:hAnsi="Times New Roman" w:cs="Times New Roman"/>
          <w:szCs w:val="24"/>
        </w:rPr>
        <w:t xml:space="preserve">sprawie odporności podmiotów krytycznych </w:t>
      </w:r>
      <w:r w:rsidR="00601933" w:rsidRPr="00833C88">
        <w:rPr>
          <w:rStyle w:val="ui-provider"/>
          <w:rFonts w:ascii="Times New Roman" w:hAnsi="Times New Roman" w:cs="Times New Roman"/>
          <w:szCs w:val="24"/>
        </w:rPr>
        <w:t>i </w:t>
      </w:r>
      <w:r w:rsidRPr="00833C88">
        <w:rPr>
          <w:rStyle w:val="ui-provider"/>
          <w:rFonts w:ascii="Times New Roman" w:hAnsi="Times New Roman" w:cs="Times New Roman"/>
          <w:szCs w:val="24"/>
        </w:rPr>
        <w:t xml:space="preserve">uchylająca dyrektywę Rady 2008/114/WE (Dz. Urz. UE L 2022/2557 </w:t>
      </w:r>
      <w:r w:rsidR="00601933" w:rsidRPr="00833C88">
        <w:rPr>
          <w:rStyle w:val="ui-provider"/>
          <w:rFonts w:ascii="Times New Roman" w:hAnsi="Times New Roman" w:cs="Times New Roman"/>
          <w:szCs w:val="24"/>
        </w:rPr>
        <w:t>z </w:t>
      </w:r>
      <w:r w:rsidRPr="00833C88">
        <w:rPr>
          <w:rStyle w:val="ui-provider"/>
          <w:rFonts w:ascii="Times New Roman" w:hAnsi="Times New Roman" w:cs="Times New Roman"/>
          <w:szCs w:val="24"/>
        </w:rPr>
        <w:t>27.12.2022)</w:t>
      </w:r>
      <w:r w:rsidR="00672236" w:rsidRPr="00833C88">
        <w:rPr>
          <w:rStyle w:val="ui-provider"/>
          <w:rFonts w:ascii="Times New Roman" w:hAnsi="Times New Roman" w:cs="Times New Roman"/>
          <w:szCs w:val="24"/>
        </w:rPr>
        <w:t xml:space="preserve">, </w:t>
      </w:r>
      <w:r w:rsidRPr="00833C88">
        <w:rPr>
          <w:rStyle w:val="ui-provider"/>
          <w:rFonts w:ascii="Times New Roman" w:hAnsi="Times New Roman" w:cs="Times New Roman"/>
          <w:szCs w:val="24"/>
        </w:rPr>
        <w:t>zwanej dalej „dyrektywą CER”</w:t>
      </w:r>
      <w:r w:rsidR="00672236" w:rsidRPr="00833C88">
        <w:rPr>
          <w:rStyle w:val="ui-provider"/>
          <w:rFonts w:ascii="Times New Roman" w:hAnsi="Times New Roman" w:cs="Times New Roman"/>
          <w:szCs w:val="24"/>
        </w:rPr>
        <w:t>,</w:t>
      </w:r>
      <w:r w:rsidRPr="00833C88">
        <w:rPr>
          <w:rStyle w:val="ui-provider"/>
          <w:rFonts w:ascii="Times New Roman" w:hAnsi="Times New Roman" w:cs="Times New Roman"/>
          <w:szCs w:val="24"/>
        </w:rPr>
        <w:t xml:space="preserve"> oraz rozporządzenia Parlamentu Europejskiego </w:t>
      </w:r>
      <w:r w:rsidR="00601933" w:rsidRPr="00833C88">
        <w:rPr>
          <w:rStyle w:val="ui-provider"/>
          <w:rFonts w:ascii="Times New Roman" w:hAnsi="Times New Roman" w:cs="Times New Roman"/>
          <w:szCs w:val="24"/>
        </w:rPr>
        <w:t>i </w:t>
      </w:r>
      <w:r w:rsidRPr="00833C88">
        <w:rPr>
          <w:rStyle w:val="ui-provider"/>
          <w:rFonts w:ascii="Times New Roman" w:hAnsi="Times New Roman" w:cs="Times New Roman"/>
          <w:szCs w:val="24"/>
        </w:rPr>
        <w:t xml:space="preserve">Rady (UE) 2022/2554 </w:t>
      </w:r>
      <w:r w:rsidR="00601933" w:rsidRPr="00833C88">
        <w:rPr>
          <w:rStyle w:val="ui-provider"/>
          <w:rFonts w:ascii="Times New Roman" w:hAnsi="Times New Roman" w:cs="Times New Roman"/>
          <w:szCs w:val="24"/>
        </w:rPr>
        <w:t>z </w:t>
      </w:r>
      <w:r w:rsidRPr="00833C88">
        <w:rPr>
          <w:rStyle w:val="ui-provider"/>
          <w:rFonts w:ascii="Times New Roman" w:hAnsi="Times New Roman" w:cs="Times New Roman"/>
          <w:szCs w:val="24"/>
        </w:rPr>
        <w:t xml:space="preserve">dnia 14 grudnia 2022 r. </w:t>
      </w:r>
      <w:r w:rsidR="00601933" w:rsidRPr="00833C88">
        <w:rPr>
          <w:rStyle w:val="ui-provider"/>
          <w:rFonts w:ascii="Times New Roman" w:hAnsi="Times New Roman" w:cs="Times New Roman"/>
          <w:szCs w:val="24"/>
        </w:rPr>
        <w:t>w </w:t>
      </w:r>
      <w:r w:rsidRPr="00833C88">
        <w:rPr>
          <w:rStyle w:val="ui-provider"/>
          <w:rFonts w:ascii="Times New Roman" w:hAnsi="Times New Roman" w:cs="Times New Roman"/>
          <w:szCs w:val="24"/>
        </w:rPr>
        <w:t xml:space="preserve">sprawie operacyjnej odporności cyfrowej sektora finansowego </w:t>
      </w:r>
      <w:r w:rsidR="00601933" w:rsidRPr="00833C88">
        <w:rPr>
          <w:rStyle w:val="ui-provider"/>
          <w:rFonts w:ascii="Times New Roman" w:hAnsi="Times New Roman" w:cs="Times New Roman"/>
          <w:szCs w:val="24"/>
        </w:rPr>
        <w:t>i </w:t>
      </w:r>
      <w:r w:rsidRPr="00833C88">
        <w:rPr>
          <w:rStyle w:val="ui-provider"/>
          <w:rFonts w:ascii="Times New Roman" w:hAnsi="Times New Roman" w:cs="Times New Roman"/>
          <w:szCs w:val="24"/>
        </w:rPr>
        <w:t xml:space="preserve">zmieniające rozporządzenia (WE) nr 1060/2009, (UE) nr 648/2012, (UE) nr 600/2014, (UE) nr 909/2014 oraz (UE) 2016/1011 (Dz. Urz. UE L 2022/2554 </w:t>
      </w:r>
      <w:r w:rsidR="00601933" w:rsidRPr="00833C88">
        <w:rPr>
          <w:rStyle w:val="ui-provider"/>
          <w:rFonts w:ascii="Times New Roman" w:hAnsi="Times New Roman" w:cs="Times New Roman"/>
          <w:szCs w:val="24"/>
        </w:rPr>
        <w:t>z </w:t>
      </w:r>
      <w:r w:rsidRPr="00833C88">
        <w:rPr>
          <w:rStyle w:val="ui-provider"/>
          <w:rFonts w:ascii="Times New Roman" w:hAnsi="Times New Roman" w:cs="Times New Roman"/>
          <w:szCs w:val="24"/>
        </w:rPr>
        <w:t>27.12.2022)</w:t>
      </w:r>
      <w:r w:rsidR="00672236" w:rsidRPr="00833C88">
        <w:rPr>
          <w:rStyle w:val="ui-provider"/>
          <w:rFonts w:ascii="Times New Roman" w:hAnsi="Times New Roman" w:cs="Times New Roman"/>
          <w:szCs w:val="24"/>
        </w:rPr>
        <w:t xml:space="preserve">, </w:t>
      </w:r>
      <w:r w:rsidRPr="00833C88">
        <w:rPr>
          <w:rStyle w:val="ui-provider"/>
          <w:rFonts w:ascii="Times New Roman" w:hAnsi="Times New Roman" w:cs="Times New Roman"/>
          <w:szCs w:val="24"/>
        </w:rPr>
        <w:t xml:space="preserve">zwanego dalej „rozporządzeniem DORA” – projekt </w:t>
      </w:r>
      <w:r w:rsidR="00C24BE3" w:rsidRPr="00833C88">
        <w:rPr>
          <w:rStyle w:val="ui-provider"/>
          <w:rFonts w:ascii="Times New Roman" w:hAnsi="Times New Roman" w:cs="Times New Roman"/>
          <w:szCs w:val="24"/>
        </w:rPr>
        <w:t xml:space="preserve">ustawy </w:t>
      </w:r>
      <w:r w:rsidRPr="00833C88">
        <w:rPr>
          <w:rStyle w:val="ui-provider"/>
          <w:rFonts w:ascii="Times New Roman" w:hAnsi="Times New Roman" w:cs="Times New Roman"/>
          <w:szCs w:val="24"/>
        </w:rPr>
        <w:t xml:space="preserve">będzie </w:t>
      </w:r>
      <w:r w:rsidRPr="00833C88">
        <w:rPr>
          <w:rStyle w:val="ui-provider"/>
          <w:rFonts w:ascii="Times New Roman" w:hAnsi="Times New Roman" w:cs="Times New Roman"/>
          <w:szCs w:val="24"/>
        </w:rPr>
        <w:lastRenderedPageBreak/>
        <w:t xml:space="preserve">ulegał zmianom, głównie </w:t>
      </w:r>
      <w:r w:rsidR="00601933" w:rsidRPr="00833C88">
        <w:rPr>
          <w:rStyle w:val="ui-provider"/>
          <w:rFonts w:ascii="Times New Roman" w:hAnsi="Times New Roman" w:cs="Times New Roman"/>
          <w:szCs w:val="24"/>
        </w:rPr>
        <w:t>w </w:t>
      </w:r>
      <w:r w:rsidRPr="00833C88">
        <w:rPr>
          <w:rStyle w:val="ui-provider"/>
          <w:rFonts w:ascii="Times New Roman" w:hAnsi="Times New Roman" w:cs="Times New Roman"/>
          <w:szCs w:val="24"/>
        </w:rPr>
        <w:t>obszarze siatki pojęciowej, mającym na celu dostosowanie projektu do regulacji transponujących rozporządzenie DORA</w:t>
      </w:r>
      <w:r w:rsidRPr="00833C88">
        <w:rPr>
          <w:rStyle w:val="Odwoanieprzypisudolnego"/>
          <w:rFonts w:ascii="Times New Roman" w:hAnsi="Times New Roman" w:cs="Times New Roman"/>
          <w:szCs w:val="24"/>
        </w:rPr>
        <w:footnoteReference w:id="5"/>
      </w:r>
      <w:r w:rsidRPr="00833C88">
        <w:rPr>
          <w:rStyle w:val="ui-provider"/>
          <w:rFonts w:ascii="Times New Roman" w:hAnsi="Times New Roman" w:cs="Times New Roman"/>
          <w:szCs w:val="24"/>
          <w:vertAlign w:val="superscript"/>
        </w:rPr>
        <w:t>)</w:t>
      </w:r>
      <w:r w:rsidR="00D079B3" w:rsidRPr="00833C88">
        <w:rPr>
          <w:rStyle w:val="ui-provider"/>
          <w:rFonts w:ascii="Times New Roman" w:hAnsi="Times New Roman" w:cs="Times New Roman"/>
          <w:szCs w:val="24"/>
        </w:rPr>
        <w:t xml:space="preserve"> oraz dyrektywę CER</w:t>
      </w:r>
      <w:r w:rsidR="00D079B3" w:rsidRPr="00833C88">
        <w:rPr>
          <w:rStyle w:val="Odwoanieprzypisudolnego"/>
          <w:rFonts w:ascii="Times New Roman" w:hAnsi="Times New Roman" w:cs="Times New Roman"/>
          <w:szCs w:val="24"/>
        </w:rPr>
        <w:footnoteReference w:id="6"/>
      </w:r>
      <w:r w:rsidR="007B6B80" w:rsidRPr="00833C88">
        <w:rPr>
          <w:rStyle w:val="ui-provider"/>
          <w:rFonts w:ascii="Times New Roman" w:hAnsi="Times New Roman" w:cs="Times New Roman"/>
          <w:szCs w:val="24"/>
          <w:vertAlign w:val="superscript"/>
        </w:rPr>
        <w:t>)</w:t>
      </w:r>
      <w:r w:rsidR="007B6B80" w:rsidRPr="00833C88">
        <w:rPr>
          <w:rStyle w:val="ui-provider"/>
          <w:rFonts w:ascii="Times New Roman" w:hAnsi="Times New Roman" w:cs="Times New Roman"/>
          <w:szCs w:val="24"/>
        </w:rPr>
        <w:t>.</w:t>
      </w:r>
    </w:p>
    <w:p w14:paraId="0C1ADC38" w14:textId="414CC6BE" w:rsidR="002B5955" w:rsidRPr="00833C88" w:rsidRDefault="002B5955" w:rsidP="00BC7BDE">
      <w:pPr>
        <w:pStyle w:val="Nagwek1"/>
        <w:numPr>
          <w:ilvl w:val="0"/>
          <w:numId w:val="2"/>
        </w:numPr>
        <w:spacing w:before="0" w:after="120" w:line="360" w:lineRule="auto"/>
        <w:jc w:val="both"/>
        <w:rPr>
          <w:rFonts w:cs="Times New Roman"/>
          <w:sz w:val="28"/>
          <w:szCs w:val="28"/>
        </w:rPr>
      </w:pPr>
      <w:r w:rsidRPr="00833C88">
        <w:rPr>
          <w:rFonts w:cs="Times New Roman"/>
          <w:sz w:val="28"/>
          <w:szCs w:val="28"/>
        </w:rPr>
        <w:t>Uzasadnienie</w:t>
      </w:r>
      <w:r w:rsidR="00F56B03" w:rsidRPr="00833C88">
        <w:rPr>
          <w:rFonts w:cs="Times New Roman"/>
          <w:sz w:val="28"/>
          <w:szCs w:val="28"/>
        </w:rPr>
        <w:t xml:space="preserve"> poszczególnych przepisów</w:t>
      </w:r>
    </w:p>
    <w:p w14:paraId="04A4E48D" w14:textId="64DE1EB5" w:rsidR="00B8699A" w:rsidRPr="00833C88" w:rsidRDefault="00B8699A" w:rsidP="00BC7BDE">
      <w:pPr>
        <w:pStyle w:val="Nagwek2"/>
        <w:spacing w:before="0" w:after="120" w:line="360" w:lineRule="auto"/>
        <w:jc w:val="both"/>
        <w:rPr>
          <w:rFonts w:cs="Times New Roman"/>
          <w:b/>
          <w:bCs/>
          <w:sz w:val="24"/>
          <w:szCs w:val="24"/>
        </w:rPr>
      </w:pPr>
      <w:r w:rsidRPr="00833C88">
        <w:rPr>
          <w:rFonts w:cs="Times New Roman"/>
          <w:b/>
          <w:bCs/>
          <w:sz w:val="24"/>
          <w:szCs w:val="24"/>
        </w:rPr>
        <w:t>Zmiany w odnośnikach</w:t>
      </w:r>
    </w:p>
    <w:p w14:paraId="78F5B0F3" w14:textId="75BB233E" w:rsidR="00B8699A" w:rsidRPr="00833C88" w:rsidRDefault="0093590D" w:rsidP="00491607">
      <w:pPr>
        <w:spacing w:line="360" w:lineRule="auto"/>
        <w:jc w:val="both"/>
        <w:rPr>
          <w:rFonts w:cs="Times New Roman"/>
          <w:sz w:val="24"/>
          <w:szCs w:val="24"/>
        </w:rPr>
      </w:pPr>
      <w:r w:rsidRPr="00833C88">
        <w:rPr>
          <w:rFonts w:cs="Times New Roman"/>
          <w:sz w:val="24"/>
          <w:szCs w:val="24"/>
        </w:rPr>
        <w:t>W obowiązującej ustawie o KSC konieczna była korekta odnośnika</w:t>
      </w:r>
      <w:r w:rsidR="000A71DA" w:rsidRPr="00833C88">
        <w:rPr>
          <w:rFonts w:cs="Times New Roman"/>
          <w:sz w:val="24"/>
          <w:szCs w:val="24"/>
        </w:rPr>
        <w:t>. Aktualny odnośnik odwołuje się do dyrektywy NIS, która już nie obowiązuje. Odnośnik ten zosta</w:t>
      </w:r>
      <w:r w:rsidR="006D00D4" w:rsidRPr="00833C88">
        <w:rPr>
          <w:rFonts w:cs="Times New Roman"/>
          <w:sz w:val="24"/>
          <w:szCs w:val="24"/>
        </w:rPr>
        <w:t>ł</w:t>
      </w:r>
      <w:r w:rsidR="000A71DA" w:rsidRPr="00833C88">
        <w:rPr>
          <w:rFonts w:cs="Times New Roman"/>
          <w:sz w:val="24"/>
          <w:szCs w:val="24"/>
        </w:rPr>
        <w:t xml:space="preserve"> zastąpiony nowym odnośnikiem nr 1</w:t>
      </w:r>
      <w:r w:rsidR="009D4CE9" w:rsidRPr="00833C88">
        <w:rPr>
          <w:rFonts w:cs="Times New Roman"/>
          <w:sz w:val="24"/>
          <w:szCs w:val="24"/>
        </w:rPr>
        <w:t xml:space="preserve">, wskazującym, że </w:t>
      </w:r>
      <w:r w:rsidR="00B92CF4" w:rsidRPr="00833C88">
        <w:rPr>
          <w:rFonts w:cs="Times New Roman"/>
          <w:sz w:val="24"/>
          <w:szCs w:val="24"/>
        </w:rPr>
        <w:t>ustawa</w:t>
      </w:r>
      <w:r w:rsidR="006D00D4" w:rsidRPr="00833C88">
        <w:rPr>
          <w:rFonts w:cs="Times New Roman"/>
          <w:sz w:val="24"/>
          <w:szCs w:val="24"/>
        </w:rPr>
        <w:t xml:space="preserve"> o KSC</w:t>
      </w:r>
      <w:r w:rsidR="00B92CF4" w:rsidRPr="00833C88">
        <w:rPr>
          <w:rFonts w:cs="Times New Roman"/>
          <w:sz w:val="24"/>
          <w:szCs w:val="24"/>
        </w:rPr>
        <w:t xml:space="preserve"> wdraża dyrektywę Parlamentu Europejskiego i Rady (UE) 2022/2555 z dnia 14 grudnia 2022 r. w sprawie środków na rzecz wysokiego wspólnego poziomu cyberbezpieczeństwa na terytorium Unii, zmieniającą rozporządzenie (UE) nr 910/2014 i dyrektywę (UE) 2018/1972 oraz uchylającą dyrektywę (UE) 2016/1148 (dyrektywa NIS 2) (Dz. Urz. UE L 333 z 27.12.2022, str. 80). Ponadto zosta</w:t>
      </w:r>
      <w:r w:rsidR="00473C2E" w:rsidRPr="00833C88">
        <w:rPr>
          <w:rFonts w:cs="Times New Roman"/>
          <w:sz w:val="24"/>
          <w:szCs w:val="24"/>
        </w:rPr>
        <w:t>ł</w:t>
      </w:r>
      <w:r w:rsidR="00B92CF4" w:rsidRPr="00833C88">
        <w:rPr>
          <w:rFonts w:cs="Times New Roman"/>
          <w:sz w:val="24"/>
          <w:szCs w:val="24"/>
        </w:rPr>
        <w:t xml:space="preserve"> dodany nowy odnośnik nr 2, zgodnie z którym </w:t>
      </w:r>
      <w:r w:rsidR="009348B0" w:rsidRPr="00833C88">
        <w:rPr>
          <w:rFonts w:cs="Times New Roman"/>
          <w:sz w:val="24"/>
          <w:szCs w:val="24"/>
        </w:rPr>
        <w:t>ustawa</w:t>
      </w:r>
      <w:r w:rsidR="00AA7A2D" w:rsidRPr="00833C88">
        <w:rPr>
          <w:rFonts w:cs="Times New Roman"/>
          <w:sz w:val="24"/>
          <w:szCs w:val="24"/>
        </w:rPr>
        <w:t xml:space="preserve"> o KSC</w:t>
      </w:r>
      <w:r w:rsidR="009348B0" w:rsidRPr="00833C88">
        <w:rPr>
          <w:rFonts w:cs="Times New Roman"/>
          <w:sz w:val="24"/>
          <w:szCs w:val="24"/>
        </w:rPr>
        <w:t xml:space="preserve"> służy częściowemu stosowaniu rozporządzenia delegowanego Komisji (UE) 2024/1366 z dnia 11 marca 2024</w:t>
      </w:r>
      <w:r w:rsidR="00031FDA" w:rsidRPr="00833C88">
        <w:rPr>
          <w:rFonts w:cs="Times New Roman"/>
          <w:sz w:val="24"/>
          <w:szCs w:val="24"/>
        </w:rPr>
        <w:t> </w:t>
      </w:r>
      <w:r w:rsidR="009348B0" w:rsidRPr="00833C88">
        <w:rPr>
          <w:rFonts w:cs="Times New Roman"/>
          <w:sz w:val="24"/>
          <w:szCs w:val="24"/>
        </w:rPr>
        <w:t>r. uzupełniającego rozporządzenie Parlamentu Europejskiego i Rady (UE) 2019/943 poprzez ustanowienie kodeksu sieci dotyczącego zasad sektorowych w zakresie aspektów cyberbezpieczeństwa w transgranicznych przepływach energii elektrycznej (Dz.</w:t>
      </w:r>
      <w:r w:rsidR="00031FDA" w:rsidRPr="00833C88">
        <w:rPr>
          <w:rFonts w:cs="Times New Roman"/>
          <w:sz w:val="24"/>
          <w:szCs w:val="24"/>
        </w:rPr>
        <w:t> </w:t>
      </w:r>
      <w:r w:rsidR="009348B0" w:rsidRPr="00833C88">
        <w:rPr>
          <w:rFonts w:cs="Times New Roman"/>
          <w:sz w:val="24"/>
          <w:szCs w:val="24"/>
        </w:rPr>
        <w:t>Urz.</w:t>
      </w:r>
      <w:r w:rsidR="00031FDA" w:rsidRPr="00833C88">
        <w:rPr>
          <w:rFonts w:cs="Times New Roman"/>
          <w:sz w:val="24"/>
          <w:szCs w:val="24"/>
        </w:rPr>
        <w:t> </w:t>
      </w:r>
      <w:r w:rsidR="009348B0" w:rsidRPr="00833C88">
        <w:rPr>
          <w:rFonts w:cs="Times New Roman"/>
          <w:sz w:val="24"/>
          <w:szCs w:val="24"/>
        </w:rPr>
        <w:t>UE</w:t>
      </w:r>
      <w:r w:rsidR="00031FDA" w:rsidRPr="00833C88">
        <w:rPr>
          <w:rFonts w:cs="Times New Roman"/>
          <w:sz w:val="24"/>
          <w:szCs w:val="24"/>
        </w:rPr>
        <w:t> </w:t>
      </w:r>
      <w:r w:rsidR="009348B0" w:rsidRPr="00833C88">
        <w:rPr>
          <w:rFonts w:cs="Times New Roman"/>
          <w:sz w:val="24"/>
          <w:szCs w:val="24"/>
        </w:rPr>
        <w:t>L</w:t>
      </w:r>
      <w:r w:rsidR="00473C2E" w:rsidRPr="00833C88">
        <w:rPr>
          <w:rFonts w:cs="Times New Roman"/>
          <w:sz w:val="24"/>
          <w:szCs w:val="24"/>
        </w:rPr>
        <w:t> </w:t>
      </w:r>
      <w:r w:rsidR="009348B0" w:rsidRPr="00833C88">
        <w:rPr>
          <w:rFonts w:cs="Times New Roman"/>
          <w:sz w:val="24"/>
          <w:szCs w:val="24"/>
        </w:rPr>
        <w:t>2024/1366 z 24.05.2024)</w:t>
      </w:r>
      <w:r w:rsidR="00473C2E" w:rsidRPr="00833C88">
        <w:rPr>
          <w:rFonts w:cs="Times New Roman"/>
          <w:sz w:val="24"/>
          <w:szCs w:val="24"/>
        </w:rPr>
        <w:t>.</w:t>
      </w:r>
    </w:p>
    <w:p w14:paraId="6FB6AF52" w14:textId="00841B2B" w:rsidR="00F56B03" w:rsidRPr="00833C88" w:rsidRDefault="00BD6943" w:rsidP="00BC7BDE">
      <w:pPr>
        <w:pStyle w:val="Nagwek2"/>
        <w:spacing w:before="0" w:after="120" w:line="360" w:lineRule="auto"/>
        <w:jc w:val="both"/>
        <w:rPr>
          <w:rFonts w:cs="Times New Roman"/>
          <w:b/>
          <w:bCs/>
          <w:sz w:val="24"/>
          <w:szCs w:val="24"/>
        </w:rPr>
      </w:pPr>
      <w:r w:rsidRPr="00833C88">
        <w:rPr>
          <w:rFonts w:cs="Times New Roman"/>
          <w:b/>
          <w:bCs/>
          <w:sz w:val="24"/>
          <w:szCs w:val="24"/>
        </w:rPr>
        <w:t xml:space="preserve">Zmiany </w:t>
      </w:r>
      <w:r w:rsidR="00601933" w:rsidRPr="00833C88">
        <w:rPr>
          <w:rFonts w:cs="Times New Roman"/>
          <w:b/>
          <w:bCs/>
          <w:sz w:val="24"/>
          <w:szCs w:val="24"/>
        </w:rPr>
        <w:t>w </w:t>
      </w:r>
      <w:r w:rsidRPr="00833C88">
        <w:rPr>
          <w:rFonts w:cs="Times New Roman"/>
          <w:b/>
          <w:bCs/>
          <w:sz w:val="24"/>
          <w:szCs w:val="24"/>
        </w:rPr>
        <w:t>przepisach ogólnych</w:t>
      </w:r>
    </w:p>
    <w:p w14:paraId="519DB18B" w14:textId="6EC6F4A7" w:rsidR="000E7A03" w:rsidRPr="00833C88" w:rsidRDefault="000E7A03" w:rsidP="00BC7BDE">
      <w:pPr>
        <w:pStyle w:val="Nagwek3"/>
        <w:spacing w:before="0" w:after="120" w:line="360" w:lineRule="auto"/>
        <w:jc w:val="both"/>
        <w:rPr>
          <w:rFonts w:cs="Times New Roman"/>
          <w:b/>
          <w:bCs/>
          <w:u w:val="none"/>
        </w:rPr>
      </w:pPr>
      <w:r w:rsidRPr="00833C88">
        <w:rPr>
          <w:rFonts w:cs="Times New Roman"/>
          <w:b/>
          <w:bCs/>
          <w:u w:val="none"/>
        </w:rPr>
        <w:t>Zakres przedmiotowy i podmiotowy ustawy</w:t>
      </w:r>
    </w:p>
    <w:p w14:paraId="0B0D1755" w14:textId="208408E7" w:rsidR="000E7A03" w:rsidRPr="00833C88" w:rsidRDefault="00F2240A" w:rsidP="00533D2A">
      <w:pPr>
        <w:spacing w:line="360" w:lineRule="auto"/>
        <w:jc w:val="both"/>
        <w:rPr>
          <w:rFonts w:cs="Times New Roman"/>
        </w:rPr>
      </w:pPr>
      <w:r w:rsidRPr="00833C88">
        <w:rPr>
          <w:rFonts w:cs="Times New Roman"/>
          <w:sz w:val="24"/>
          <w:szCs w:val="24"/>
        </w:rPr>
        <w:t>Aktualny przepis art. 1 u</w:t>
      </w:r>
      <w:r w:rsidR="00241E81" w:rsidRPr="00833C88">
        <w:rPr>
          <w:rFonts w:cs="Times New Roman"/>
          <w:sz w:val="24"/>
          <w:szCs w:val="24"/>
        </w:rPr>
        <w:t xml:space="preserve">stawa o </w:t>
      </w:r>
      <w:r w:rsidRPr="00833C88">
        <w:rPr>
          <w:rFonts w:cs="Times New Roman"/>
          <w:sz w:val="24"/>
          <w:szCs w:val="24"/>
        </w:rPr>
        <w:t>KSC jest napisany w sposób ogólny.</w:t>
      </w:r>
      <w:r w:rsidR="00785A51" w:rsidRPr="00833C88">
        <w:rPr>
          <w:rFonts w:cs="Times New Roman"/>
          <w:sz w:val="24"/>
          <w:szCs w:val="24"/>
        </w:rPr>
        <w:t xml:space="preserve"> Dlatego nie wymaga większych zmian. Do zakresu przedmiotowego dodano kolejny punkt wskazujący, że </w:t>
      </w:r>
      <w:r w:rsidR="009A248A" w:rsidRPr="00833C88">
        <w:rPr>
          <w:rFonts w:cs="Times New Roman"/>
          <w:sz w:val="24"/>
          <w:szCs w:val="24"/>
        </w:rPr>
        <w:t xml:space="preserve">ustawa określa również zakres </w:t>
      </w:r>
      <w:r w:rsidR="005A50C8" w:rsidRPr="00833C88">
        <w:rPr>
          <w:rFonts w:cs="Times New Roman"/>
          <w:sz w:val="24"/>
          <w:szCs w:val="24"/>
        </w:rPr>
        <w:t xml:space="preserve">Krajowego planu reagowania na incydenty i sytuacje kryzysowe w cyberbezpieczeństwie na dużą skalę. Jest to nowy rodzaj dokumentu przewidziany przez dyrektywę NIS 2, stąd też należy uzupełnić zakres przedmiotowy ustawy. </w:t>
      </w:r>
      <w:r w:rsidR="00AB5EE8" w:rsidRPr="00833C88">
        <w:rPr>
          <w:rFonts w:cs="Times New Roman"/>
          <w:sz w:val="24"/>
          <w:szCs w:val="24"/>
        </w:rPr>
        <w:t>Usunięto przepis wyłączający stosowanie ustawy do przedsiębiorców telekomunikacyjnych oraz dostawców usług zaufania. Obydwa rodzaje podmiotów podlegają pod dyrektywę NIS 2 i należy je</w:t>
      </w:r>
      <w:r w:rsidR="00473C2E" w:rsidRPr="00833C88">
        <w:rPr>
          <w:rFonts w:cs="Times New Roman"/>
          <w:sz w:val="24"/>
          <w:szCs w:val="24"/>
        </w:rPr>
        <w:t> </w:t>
      </w:r>
      <w:r w:rsidR="00AB5EE8" w:rsidRPr="00833C88">
        <w:rPr>
          <w:rFonts w:cs="Times New Roman"/>
          <w:sz w:val="24"/>
          <w:szCs w:val="24"/>
        </w:rPr>
        <w:t>również uwzględnić w ustawie.</w:t>
      </w:r>
    </w:p>
    <w:p w14:paraId="275D377B" w14:textId="2C1BBA5C" w:rsidR="00D165A3" w:rsidRPr="00833C88" w:rsidRDefault="002F7ED0" w:rsidP="00C31DDB">
      <w:pPr>
        <w:pStyle w:val="Nagwek3"/>
        <w:spacing w:before="0" w:after="120" w:line="360" w:lineRule="auto"/>
        <w:rPr>
          <w:rFonts w:cs="Times New Roman"/>
          <w:b/>
          <w:bCs/>
          <w:u w:val="none"/>
        </w:rPr>
      </w:pPr>
      <w:r w:rsidRPr="00833C88">
        <w:rPr>
          <w:rFonts w:cs="Times New Roman"/>
          <w:b/>
          <w:bCs/>
          <w:u w:val="none"/>
        </w:rPr>
        <w:lastRenderedPageBreak/>
        <w:t xml:space="preserve">Definicje </w:t>
      </w:r>
    </w:p>
    <w:p w14:paraId="3B60D2F0" w14:textId="57C5B98E" w:rsidR="00075849" w:rsidRPr="00833C88" w:rsidRDefault="00010BB7" w:rsidP="0029004E">
      <w:pPr>
        <w:spacing w:line="360" w:lineRule="auto"/>
        <w:jc w:val="both"/>
        <w:rPr>
          <w:rFonts w:cs="Times New Roman"/>
          <w:sz w:val="24"/>
          <w:szCs w:val="24"/>
        </w:rPr>
      </w:pPr>
      <w:r w:rsidRPr="00833C88">
        <w:rPr>
          <w:rFonts w:cs="Times New Roman"/>
          <w:sz w:val="24"/>
          <w:szCs w:val="24"/>
        </w:rPr>
        <w:t xml:space="preserve">Zmiany </w:t>
      </w:r>
      <w:r w:rsidR="00601933" w:rsidRPr="00833C88">
        <w:rPr>
          <w:rFonts w:cs="Times New Roman"/>
          <w:sz w:val="24"/>
          <w:szCs w:val="24"/>
        </w:rPr>
        <w:t>w </w:t>
      </w:r>
      <w:r w:rsidRPr="00833C88">
        <w:rPr>
          <w:rFonts w:cs="Times New Roman"/>
          <w:sz w:val="24"/>
          <w:szCs w:val="24"/>
        </w:rPr>
        <w:t xml:space="preserve">zakresie definicji </w:t>
      </w:r>
      <w:r w:rsidR="004001CD" w:rsidRPr="00833C88">
        <w:rPr>
          <w:rFonts w:cs="Times New Roman"/>
          <w:sz w:val="24"/>
          <w:szCs w:val="24"/>
        </w:rPr>
        <w:t xml:space="preserve">ustawowych wynikają ze zmian </w:t>
      </w:r>
      <w:r w:rsidR="00601933" w:rsidRPr="00833C88">
        <w:rPr>
          <w:rFonts w:cs="Times New Roman"/>
          <w:sz w:val="24"/>
          <w:szCs w:val="24"/>
        </w:rPr>
        <w:t>w </w:t>
      </w:r>
      <w:r w:rsidR="004001CD" w:rsidRPr="00833C88">
        <w:rPr>
          <w:rFonts w:cs="Times New Roman"/>
          <w:sz w:val="24"/>
          <w:szCs w:val="24"/>
        </w:rPr>
        <w:t xml:space="preserve">siatce pojęciowej jakie wprowadziła </w:t>
      </w:r>
      <w:r w:rsidR="005C77E0" w:rsidRPr="00833C88">
        <w:rPr>
          <w:rFonts w:cs="Times New Roman"/>
          <w:sz w:val="24"/>
          <w:szCs w:val="24"/>
        </w:rPr>
        <w:t>dyrektywa NIS</w:t>
      </w:r>
      <w:r w:rsidR="00E229D7" w:rsidRPr="00833C88">
        <w:rPr>
          <w:rFonts w:cs="Times New Roman"/>
          <w:sz w:val="24"/>
          <w:szCs w:val="24"/>
        </w:rPr>
        <w:t xml:space="preserve"> </w:t>
      </w:r>
      <w:r w:rsidR="005C77E0" w:rsidRPr="00833C88">
        <w:rPr>
          <w:rFonts w:cs="Times New Roman"/>
          <w:sz w:val="24"/>
          <w:szCs w:val="24"/>
        </w:rPr>
        <w:t xml:space="preserve">2. </w:t>
      </w:r>
      <w:r w:rsidR="00601933" w:rsidRPr="00833C88">
        <w:rPr>
          <w:rFonts w:cs="Times New Roman"/>
          <w:sz w:val="24"/>
          <w:szCs w:val="24"/>
        </w:rPr>
        <w:t>W </w:t>
      </w:r>
      <w:r w:rsidR="005C77E0" w:rsidRPr="00833C88">
        <w:rPr>
          <w:rFonts w:cs="Times New Roman"/>
          <w:sz w:val="24"/>
          <w:szCs w:val="24"/>
        </w:rPr>
        <w:t xml:space="preserve">związku </w:t>
      </w:r>
      <w:r w:rsidR="00601933" w:rsidRPr="00833C88">
        <w:rPr>
          <w:rFonts w:cs="Times New Roman"/>
          <w:sz w:val="24"/>
          <w:szCs w:val="24"/>
        </w:rPr>
        <w:t>z </w:t>
      </w:r>
      <w:r w:rsidR="005C77E0" w:rsidRPr="00833C88">
        <w:rPr>
          <w:rFonts w:cs="Times New Roman"/>
          <w:sz w:val="24"/>
          <w:szCs w:val="24"/>
        </w:rPr>
        <w:t>tym konieczn</w:t>
      </w:r>
      <w:r w:rsidR="00BA0FEB" w:rsidRPr="00833C88">
        <w:rPr>
          <w:rFonts w:cs="Times New Roman"/>
          <w:sz w:val="24"/>
          <w:szCs w:val="24"/>
        </w:rPr>
        <w:t>a</w:t>
      </w:r>
      <w:r w:rsidR="005C77E0" w:rsidRPr="00833C88">
        <w:rPr>
          <w:rFonts w:cs="Times New Roman"/>
          <w:sz w:val="24"/>
          <w:szCs w:val="24"/>
        </w:rPr>
        <w:t xml:space="preserve"> była zmiana części definiowanych pojęć, usunięcie przestarzałych termi</w:t>
      </w:r>
      <w:r w:rsidR="00395B03" w:rsidRPr="00833C88">
        <w:rPr>
          <w:rFonts w:cs="Times New Roman"/>
          <w:sz w:val="24"/>
          <w:szCs w:val="24"/>
        </w:rPr>
        <w:t xml:space="preserve">nów oraz dodanie nowych. Wprowadzone zmiany zapewnią spójność </w:t>
      </w:r>
      <w:r w:rsidR="002211A2" w:rsidRPr="00833C88">
        <w:rPr>
          <w:rFonts w:cs="Times New Roman"/>
          <w:sz w:val="24"/>
          <w:szCs w:val="24"/>
        </w:rPr>
        <w:t>siatki pojęciowej wykorzystywan</w:t>
      </w:r>
      <w:r w:rsidR="00D21441" w:rsidRPr="00833C88">
        <w:rPr>
          <w:rFonts w:cs="Times New Roman"/>
          <w:sz w:val="24"/>
          <w:szCs w:val="24"/>
        </w:rPr>
        <w:t>ej</w:t>
      </w:r>
      <w:r w:rsidR="002211A2" w:rsidRPr="00833C88">
        <w:rPr>
          <w:rFonts w:cs="Times New Roman"/>
          <w:sz w:val="24"/>
          <w:szCs w:val="24"/>
        </w:rPr>
        <w:t xml:space="preserve"> we wszystkich krajach Unii Europejskiej. </w:t>
      </w:r>
    </w:p>
    <w:p w14:paraId="0DDB097E" w14:textId="1835C969" w:rsidR="00C31DDB" w:rsidRPr="00833C88" w:rsidRDefault="00241E81" w:rsidP="00491607">
      <w:pPr>
        <w:pStyle w:val="Nagwek4"/>
        <w:numPr>
          <w:ilvl w:val="0"/>
          <w:numId w:val="0"/>
        </w:numPr>
        <w:ind w:left="709"/>
        <w:rPr>
          <w:rFonts w:cs="Times New Roman"/>
          <w:sz w:val="24"/>
          <w:szCs w:val="24"/>
        </w:rPr>
      </w:pPr>
      <w:r w:rsidRPr="00833C88">
        <w:rPr>
          <w:rFonts w:cs="Times New Roman"/>
          <w:sz w:val="24"/>
          <w:szCs w:val="24"/>
        </w:rPr>
        <w:t xml:space="preserve">1) </w:t>
      </w:r>
      <w:r w:rsidR="00C31DDB" w:rsidRPr="00833C88">
        <w:rPr>
          <w:rFonts w:cs="Times New Roman"/>
          <w:sz w:val="24"/>
          <w:szCs w:val="24"/>
        </w:rPr>
        <w:t>CSIRT sektorowy</w:t>
      </w:r>
    </w:p>
    <w:p w14:paraId="298E664F" w14:textId="5B03C284" w:rsidR="00A34440" w:rsidRPr="00833C88" w:rsidRDefault="00A34440" w:rsidP="0029004E">
      <w:pPr>
        <w:spacing w:line="360" w:lineRule="auto"/>
        <w:jc w:val="both"/>
        <w:rPr>
          <w:rFonts w:cs="Times New Roman"/>
          <w:sz w:val="24"/>
          <w:szCs w:val="24"/>
        </w:rPr>
      </w:pPr>
      <w:r w:rsidRPr="00833C88">
        <w:rPr>
          <w:rFonts w:cs="Times New Roman"/>
          <w:sz w:val="24"/>
          <w:szCs w:val="24"/>
        </w:rPr>
        <w:t xml:space="preserve">Wprowadzono definicję CSIRT sektorowego – jest to </w:t>
      </w:r>
      <w:r w:rsidR="00A23305" w:rsidRPr="00833C88">
        <w:rPr>
          <w:rFonts w:cs="Times New Roman"/>
          <w:sz w:val="24"/>
          <w:szCs w:val="24"/>
        </w:rPr>
        <w:t>Z</w:t>
      </w:r>
      <w:r w:rsidRPr="00833C88">
        <w:rPr>
          <w:rFonts w:cs="Times New Roman"/>
          <w:sz w:val="24"/>
          <w:szCs w:val="24"/>
        </w:rPr>
        <w:t xml:space="preserve">espół </w:t>
      </w:r>
      <w:r w:rsidR="00A23305" w:rsidRPr="00833C88">
        <w:rPr>
          <w:rFonts w:cs="Times New Roman"/>
          <w:sz w:val="24"/>
          <w:szCs w:val="24"/>
        </w:rPr>
        <w:t>R</w:t>
      </w:r>
      <w:r w:rsidRPr="00833C88">
        <w:rPr>
          <w:rFonts w:cs="Times New Roman"/>
          <w:sz w:val="24"/>
          <w:szCs w:val="24"/>
        </w:rPr>
        <w:t xml:space="preserve">eagowania na </w:t>
      </w:r>
      <w:r w:rsidR="00A23305" w:rsidRPr="00833C88">
        <w:rPr>
          <w:rFonts w:cs="Times New Roman"/>
          <w:sz w:val="24"/>
          <w:szCs w:val="24"/>
        </w:rPr>
        <w:t>I</w:t>
      </w:r>
      <w:r w:rsidRPr="00833C88">
        <w:rPr>
          <w:rFonts w:cs="Times New Roman"/>
          <w:sz w:val="24"/>
          <w:szCs w:val="24"/>
        </w:rPr>
        <w:t xml:space="preserve">ncydenty </w:t>
      </w:r>
      <w:r w:rsidR="00A23305" w:rsidRPr="00833C88">
        <w:rPr>
          <w:rFonts w:cs="Times New Roman"/>
          <w:sz w:val="24"/>
          <w:szCs w:val="24"/>
        </w:rPr>
        <w:t>B</w:t>
      </w:r>
      <w:r w:rsidRPr="00833C88">
        <w:rPr>
          <w:rFonts w:cs="Times New Roman"/>
          <w:sz w:val="24"/>
          <w:szCs w:val="24"/>
        </w:rPr>
        <w:t xml:space="preserve">ezpieczeństwa </w:t>
      </w:r>
      <w:r w:rsidR="00A23305" w:rsidRPr="00833C88">
        <w:rPr>
          <w:rFonts w:cs="Times New Roman"/>
          <w:sz w:val="24"/>
          <w:szCs w:val="24"/>
        </w:rPr>
        <w:t>K</w:t>
      </w:r>
      <w:r w:rsidRPr="00833C88">
        <w:rPr>
          <w:rFonts w:cs="Times New Roman"/>
          <w:sz w:val="24"/>
          <w:szCs w:val="24"/>
        </w:rPr>
        <w:t xml:space="preserve">omputerowego działający na poziomie sektora lub podsektora, ustanowiony przez organ właściwy do spraw cyberbezpieczeństwa dla danego sektora lub podsektora. </w:t>
      </w:r>
      <w:r w:rsidR="00A23305" w:rsidRPr="00833C88">
        <w:rPr>
          <w:rFonts w:cs="Times New Roman"/>
          <w:sz w:val="24"/>
          <w:szCs w:val="24"/>
        </w:rPr>
        <w:t>Wprowadzenie d</w:t>
      </w:r>
      <w:r w:rsidRPr="00833C88">
        <w:rPr>
          <w:rFonts w:cs="Times New Roman"/>
          <w:sz w:val="24"/>
          <w:szCs w:val="24"/>
        </w:rPr>
        <w:t>efinicj</w:t>
      </w:r>
      <w:r w:rsidR="00A23305" w:rsidRPr="00833C88">
        <w:rPr>
          <w:rFonts w:cs="Times New Roman"/>
          <w:sz w:val="24"/>
          <w:szCs w:val="24"/>
        </w:rPr>
        <w:t>i</w:t>
      </w:r>
      <w:r w:rsidRPr="00833C88">
        <w:rPr>
          <w:rFonts w:cs="Times New Roman"/>
          <w:sz w:val="24"/>
          <w:szCs w:val="24"/>
        </w:rPr>
        <w:t xml:space="preserve"> był</w:t>
      </w:r>
      <w:r w:rsidR="00A23305" w:rsidRPr="00833C88">
        <w:rPr>
          <w:rFonts w:cs="Times New Roman"/>
          <w:sz w:val="24"/>
          <w:szCs w:val="24"/>
        </w:rPr>
        <w:t>o</w:t>
      </w:r>
      <w:r w:rsidRPr="00833C88">
        <w:rPr>
          <w:rFonts w:cs="Times New Roman"/>
          <w:sz w:val="24"/>
          <w:szCs w:val="24"/>
        </w:rPr>
        <w:t xml:space="preserve"> konieczn</w:t>
      </w:r>
      <w:r w:rsidR="00A23305" w:rsidRPr="00833C88">
        <w:rPr>
          <w:rFonts w:cs="Times New Roman"/>
          <w:sz w:val="24"/>
          <w:szCs w:val="24"/>
        </w:rPr>
        <w:t>e</w:t>
      </w:r>
      <w:r w:rsidRPr="00833C88">
        <w:rPr>
          <w:rFonts w:cs="Times New Roman"/>
          <w:sz w:val="24"/>
          <w:szCs w:val="24"/>
        </w:rPr>
        <w:t xml:space="preserve">, ponieważ istnieją już </w:t>
      </w:r>
      <w:r w:rsidR="00601933" w:rsidRPr="00833C88">
        <w:rPr>
          <w:rFonts w:cs="Times New Roman"/>
          <w:sz w:val="24"/>
          <w:szCs w:val="24"/>
        </w:rPr>
        <w:t>w </w:t>
      </w:r>
      <w:r w:rsidRPr="00833C88">
        <w:rPr>
          <w:rFonts w:cs="Times New Roman"/>
          <w:sz w:val="24"/>
          <w:szCs w:val="24"/>
        </w:rPr>
        <w:t>ustawie</w:t>
      </w:r>
      <w:r w:rsidR="00A23305" w:rsidRPr="00833C88">
        <w:rPr>
          <w:rFonts w:cs="Times New Roman"/>
          <w:sz w:val="24"/>
          <w:szCs w:val="24"/>
        </w:rPr>
        <w:t xml:space="preserve"> </w:t>
      </w:r>
      <w:r w:rsidR="00601933" w:rsidRPr="00833C88">
        <w:rPr>
          <w:rFonts w:cs="Times New Roman"/>
          <w:sz w:val="24"/>
          <w:szCs w:val="24"/>
        </w:rPr>
        <w:t>o </w:t>
      </w:r>
      <w:r w:rsidR="00A23305" w:rsidRPr="00833C88">
        <w:rPr>
          <w:rFonts w:cs="Times New Roman"/>
          <w:sz w:val="24"/>
          <w:szCs w:val="24"/>
        </w:rPr>
        <w:t xml:space="preserve">KSC </w:t>
      </w:r>
      <w:r w:rsidRPr="00833C88">
        <w:rPr>
          <w:rFonts w:cs="Times New Roman"/>
          <w:sz w:val="24"/>
          <w:szCs w:val="24"/>
        </w:rPr>
        <w:t>definicje zespołów CSIRT</w:t>
      </w:r>
      <w:r w:rsidR="00A23305" w:rsidRPr="00833C88">
        <w:rPr>
          <w:rFonts w:cs="Times New Roman"/>
          <w:sz w:val="24"/>
          <w:szCs w:val="24"/>
        </w:rPr>
        <w:t xml:space="preserve">. </w:t>
      </w:r>
      <w:r w:rsidR="008B441C" w:rsidRPr="00833C88">
        <w:rPr>
          <w:rFonts w:cs="Times New Roman"/>
          <w:sz w:val="24"/>
          <w:szCs w:val="24"/>
        </w:rPr>
        <w:t>CSIRT sektorowy może być powołany również dla podsektora</w:t>
      </w:r>
      <w:r w:rsidR="00963A8D" w:rsidRPr="00833C88">
        <w:rPr>
          <w:rFonts w:cs="Times New Roman"/>
          <w:sz w:val="24"/>
          <w:szCs w:val="24"/>
        </w:rPr>
        <w:t>,</w:t>
      </w:r>
      <w:r w:rsidR="008B441C" w:rsidRPr="00833C88">
        <w:rPr>
          <w:rFonts w:cs="Times New Roman"/>
          <w:sz w:val="24"/>
          <w:szCs w:val="24"/>
        </w:rPr>
        <w:t xml:space="preserve"> ponieważ </w:t>
      </w:r>
      <w:r w:rsidR="00D43663" w:rsidRPr="00833C88">
        <w:rPr>
          <w:rFonts w:cs="Times New Roman"/>
          <w:sz w:val="24"/>
          <w:szCs w:val="24"/>
        </w:rPr>
        <w:t>mamy podsektory, dla których są odrębne organy właściwe do spraw cyberbezpieczeństwa</w:t>
      </w:r>
      <w:r w:rsidR="00F02ECD" w:rsidRPr="00833C88">
        <w:rPr>
          <w:rFonts w:cs="Times New Roman"/>
          <w:sz w:val="24"/>
          <w:szCs w:val="24"/>
        </w:rPr>
        <w:t>,</w:t>
      </w:r>
      <w:r w:rsidR="00D66E8D" w:rsidRPr="00833C88">
        <w:rPr>
          <w:rFonts w:cs="Times New Roman"/>
          <w:sz w:val="24"/>
          <w:szCs w:val="24"/>
        </w:rPr>
        <w:t xml:space="preserve"> </w:t>
      </w:r>
      <w:r w:rsidR="003D5EC7" w:rsidRPr="00833C88">
        <w:rPr>
          <w:rFonts w:cs="Times New Roman"/>
          <w:sz w:val="24"/>
          <w:szCs w:val="24"/>
        </w:rPr>
        <w:t xml:space="preserve">np. </w:t>
      </w:r>
      <w:r w:rsidR="00D43663" w:rsidRPr="00833C88">
        <w:rPr>
          <w:rFonts w:cs="Times New Roman"/>
          <w:sz w:val="24"/>
          <w:szCs w:val="24"/>
        </w:rPr>
        <w:t>podsektor transportu wodnego.</w:t>
      </w:r>
    </w:p>
    <w:p w14:paraId="563B5EA6" w14:textId="48345315" w:rsidR="00C31DDB" w:rsidRPr="00833C88" w:rsidRDefault="00241E81" w:rsidP="00491607">
      <w:pPr>
        <w:pStyle w:val="Nagwek4"/>
        <w:numPr>
          <w:ilvl w:val="0"/>
          <w:numId w:val="0"/>
        </w:numPr>
        <w:ind w:left="720" w:hanging="11"/>
        <w:rPr>
          <w:rFonts w:cs="Times New Roman"/>
          <w:sz w:val="24"/>
          <w:szCs w:val="24"/>
        </w:rPr>
      </w:pPr>
      <w:r w:rsidRPr="00833C88">
        <w:rPr>
          <w:rFonts w:cs="Times New Roman"/>
          <w:sz w:val="24"/>
          <w:szCs w:val="24"/>
        </w:rPr>
        <w:t xml:space="preserve">2) </w:t>
      </w:r>
      <w:r w:rsidR="00C31DDB" w:rsidRPr="00833C88">
        <w:rPr>
          <w:rFonts w:cs="Times New Roman"/>
          <w:sz w:val="24"/>
          <w:szCs w:val="24"/>
        </w:rPr>
        <w:t>Abonent nazwy domeny</w:t>
      </w:r>
    </w:p>
    <w:p w14:paraId="424ED180" w14:textId="06303F24" w:rsidR="00B21612" w:rsidRPr="00833C88" w:rsidRDefault="00601933" w:rsidP="0029004E">
      <w:pPr>
        <w:spacing w:line="360" w:lineRule="auto"/>
        <w:jc w:val="both"/>
        <w:rPr>
          <w:rFonts w:cs="Times New Roman"/>
          <w:sz w:val="24"/>
          <w:szCs w:val="24"/>
        </w:rPr>
      </w:pPr>
      <w:r w:rsidRPr="00833C88">
        <w:rPr>
          <w:rFonts w:cs="Times New Roman"/>
          <w:sz w:val="24"/>
          <w:szCs w:val="24"/>
        </w:rPr>
        <w:t>Z </w:t>
      </w:r>
      <w:r w:rsidR="00B21612" w:rsidRPr="00833C88">
        <w:rPr>
          <w:rFonts w:cs="Times New Roman"/>
          <w:sz w:val="24"/>
          <w:szCs w:val="24"/>
        </w:rPr>
        <w:t xml:space="preserve">uwagi na uwzględnienie </w:t>
      </w:r>
      <w:r w:rsidRPr="00833C88">
        <w:rPr>
          <w:rFonts w:cs="Times New Roman"/>
          <w:sz w:val="24"/>
          <w:szCs w:val="24"/>
        </w:rPr>
        <w:t>w </w:t>
      </w:r>
      <w:r w:rsidR="00B21612" w:rsidRPr="00833C88">
        <w:rPr>
          <w:rFonts w:cs="Times New Roman"/>
          <w:sz w:val="24"/>
          <w:szCs w:val="24"/>
        </w:rPr>
        <w:t xml:space="preserve">projekcie </w:t>
      </w:r>
      <w:r w:rsidR="00C24BE3" w:rsidRPr="00833C88">
        <w:rPr>
          <w:rFonts w:cs="Times New Roman"/>
          <w:sz w:val="24"/>
          <w:szCs w:val="24"/>
        </w:rPr>
        <w:t xml:space="preserve">ustawy </w:t>
      </w:r>
      <w:r w:rsidR="00B21612" w:rsidRPr="00833C88">
        <w:rPr>
          <w:rFonts w:cs="Times New Roman"/>
          <w:sz w:val="24"/>
          <w:szCs w:val="24"/>
        </w:rPr>
        <w:t xml:space="preserve">kwestii obowiązków </w:t>
      </w:r>
      <w:r w:rsidR="00002F3C" w:rsidRPr="00833C88">
        <w:rPr>
          <w:rFonts w:cs="Times New Roman"/>
          <w:sz w:val="24"/>
          <w:szCs w:val="24"/>
        </w:rPr>
        <w:t xml:space="preserve">rejestrów nazw domen najwyższego poziomu oraz podmiotów świadczących usługi rejestracji nazw domen zaszła konieczność wprowadzenia definicji abonenta nazwy domeny. Tworząc tą definicję </w:t>
      </w:r>
      <w:r w:rsidR="00F01547" w:rsidRPr="00833C88">
        <w:rPr>
          <w:rFonts w:cs="Times New Roman"/>
          <w:sz w:val="24"/>
          <w:szCs w:val="24"/>
        </w:rPr>
        <w:t xml:space="preserve">odwzorowano stosunki prawne, jakie zachodzą przy rejestracji domeny. </w:t>
      </w:r>
      <w:r w:rsidR="009A07A4" w:rsidRPr="00833C88">
        <w:rPr>
          <w:rFonts w:cs="Times New Roman"/>
          <w:sz w:val="24"/>
          <w:szCs w:val="24"/>
        </w:rPr>
        <w:t>Abonentem jest więc podmiot (osoba fizyczna, osoba prawna, ułomna osoba prawna)</w:t>
      </w:r>
      <w:r w:rsidR="002F7474" w:rsidRPr="00833C88">
        <w:rPr>
          <w:rFonts w:cs="Times New Roman"/>
          <w:sz w:val="24"/>
          <w:szCs w:val="24"/>
        </w:rPr>
        <w:t>,</w:t>
      </w:r>
      <w:r w:rsidR="009A07A4" w:rsidRPr="00833C88">
        <w:rPr>
          <w:rFonts w:cs="Times New Roman"/>
          <w:sz w:val="24"/>
          <w:szCs w:val="24"/>
        </w:rPr>
        <w:t xml:space="preserve"> któr</w:t>
      </w:r>
      <w:r w:rsidR="002F7474" w:rsidRPr="00833C88">
        <w:rPr>
          <w:rFonts w:cs="Times New Roman"/>
          <w:sz w:val="24"/>
          <w:szCs w:val="24"/>
        </w:rPr>
        <w:t>y</w:t>
      </w:r>
      <w:r w:rsidR="009A07A4" w:rsidRPr="00833C88">
        <w:rPr>
          <w:rFonts w:cs="Times New Roman"/>
          <w:sz w:val="24"/>
          <w:szCs w:val="24"/>
        </w:rPr>
        <w:t xml:space="preserve"> jest stroną umowy </w:t>
      </w:r>
      <w:r w:rsidRPr="00833C88">
        <w:rPr>
          <w:rFonts w:cs="Times New Roman"/>
          <w:sz w:val="24"/>
          <w:szCs w:val="24"/>
        </w:rPr>
        <w:t>o </w:t>
      </w:r>
      <w:r w:rsidR="009A07A4" w:rsidRPr="00833C88">
        <w:rPr>
          <w:rFonts w:cs="Times New Roman"/>
          <w:sz w:val="24"/>
          <w:szCs w:val="24"/>
        </w:rPr>
        <w:t>utrzymywani</w:t>
      </w:r>
      <w:r w:rsidR="002F7474" w:rsidRPr="00833C88">
        <w:rPr>
          <w:rFonts w:cs="Times New Roman"/>
          <w:sz w:val="24"/>
          <w:szCs w:val="24"/>
        </w:rPr>
        <w:t>e</w:t>
      </w:r>
      <w:r w:rsidR="009A07A4" w:rsidRPr="00833C88">
        <w:rPr>
          <w:rFonts w:cs="Times New Roman"/>
          <w:sz w:val="24"/>
          <w:szCs w:val="24"/>
        </w:rPr>
        <w:t xml:space="preserve"> nazwy domeny (por. </w:t>
      </w:r>
      <w:hyperlink r:id="rId8" w:history="1">
        <w:r w:rsidR="00D5117D" w:rsidRPr="00833C88">
          <w:rPr>
            <w:rStyle w:val="Hipercze"/>
            <w:rFonts w:cs="Times New Roman"/>
            <w:sz w:val="24"/>
            <w:szCs w:val="24"/>
          </w:rPr>
          <w:t>https://www.dns.pl/regulamin_nazw_domeny_pl</w:t>
        </w:r>
      </w:hyperlink>
      <w:r w:rsidR="00D5117D" w:rsidRPr="00833C88">
        <w:rPr>
          <w:rFonts w:cs="Times New Roman"/>
          <w:sz w:val="24"/>
          <w:szCs w:val="24"/>
        </w:rPr>
        <w:t xml:space="preserve">) zawartej </w:t>
      </w:r>
      <w:r w:rsidRPr="00833C88">
        <w:rPr>
          <w:rFonts w:cs="Times New Roman"/>
          <w:sz w:val="24"/>
          <w:szCs w:val="24"/>
        </w:rPr>
        <w:t>z </w:t>
      </w:r>
      <w:r w:rsidR="00D5117D" w:rsidRPr="00833C88">
        <w:rPr>
          <w:rFonts w:cs="Times New Roman"/>
          <w:sz w:val="24"/>
          <w:szCs w:val="24"/>
        </w:rPr>
        <w:t xml:space="preserve">rejestrem nazw domen najwyższego poziomu (TLD) za pośrednictwem podmiotu świadczącego usługi rejestracji nazw domen. </w:t>
      </w:r>
    </w:p>
    <w:p w14:paraId="24E8D0B3" w14:textId="1F193D88" w:rsidR="00C31DDB" w:rsidRPr="00833C88" w:rsidRDefault="00241E81" w:rsidP="00491607">
      <w:pPr>
        <w:pStyle w:val="Nagwek4"/>
        <w:numPr>
          <w:ilvl w:val="0"/>
          <w:numId w:val="0"/>
        </w:numPr>
        <w:ind w:left="720" w:hanging="11"/>
        <w:rPr>
          <w:rFonts w:cs="Times New Roman"/>
          <w:sz w:val="24"/>
          <w:szCs w:val="24"/>
        </w:rPr>
      </w:pPr>
      <w:r w:rsidRPr="00833C88">
        <w:rPr>
          <w:rFonts w:cs="Times New Roman"/>
          <w:sz w:val="24"/>
          <w:szCs w:val="24"/>
        </w:rPr>
        <w:t xml:space="preserve">3) </w:t>
      </w:r>
      <w:r w:rsidR="00C31DDB" w:rsidRPr="00833C88">
        <w:rPr>
          <w:rFonts w:cs="Times New Roman"/>
          <w:sz w:val="24"/>
          <w:szCs w:val="24"/>
        </w:rPr>
        <w:t>Adres do doręczeń elektronicznych</w:t>
      </w:r>
    </w:p>
    <w:p w14:paraId="10D4BA5B" w14:textId="03F2FC28" w:rsidR="00E63B0F" w:rsidRPr="00833C88" w:rsidRDefault="00E63B0F" w:rsidP="0029004E">
      <w:pPr>
        <w:spacing w:line="360" w:lineRule="auto"/>
        <w:jc w:val="both"/>
        <w:rPr>
          <w:rFonts w:cs="Times New Roman"/>
          <w:sz w:val="24"/>
          <w:szCs w:val="24"/>
        </w:rPr>
      </w:pPr>
      <w:r w:rsidRPr="00833C88">
        <w:rPr>
          <w:rFonts w:cs="Times New Roman"/>
          <w:sz w:val="24"/>
          <w:szCs w:val="24"/>
        </w:rPr>
        <w:t xml:space="preserve">Definicja adresu do doręczeń elektronicznych okazała się konieczna, ponieważ pojawia się </w:t>
      </w:r>
      <w:r w:rsidR="00601933" w:rsidRPr="00833C88">
        <w:rPr>
          <w:rFonts w:cs="Times New Roman"/>
          <w:sz w:val="24"/>
          <w:szCs w:val="24"/>
        </w:rPr>
        <w:t>w </w:t>
      </w:r>
      <w:r w:rsidRPr="00833C88">
        <w:rPr>
          <w:rFonts w:cs="Times New Roman"/>
          <w:sz w:val="24"/>
          <w:szCs w:val="24"/>
        </w:rPr>
        <w:t xml:space="preserve">kilku </w:t>
      </w:r>
      <w:r w:rsidR="00C24BE3" w:rsidRPr="00833C88">
        <w:rPr>
          <w:rFonts w:cs="Times New Roman"/>
          <w:sz w:val="24"/>
          <w:szCs w:val="24"/>
        </w:rPr>
        <w:t>przepisach</w:t>
      </w:r>
      <w:r w:rsidRPr="00833C88">
        <w:rPr>
          <w:rFonts w:cs="Times New Roman"/>
          <w:sz w:val="24"/>
          <w:szCs w:val="24"/>
        </w:rPr>
        <w:t xml:space="preserve"> projektu</w:t>
      </w:r>
      <w:r w:rsidR="00C24BE3" w:rsidRPr="00833C88">
        <w:rPr>
          <w:rFonts w:cs="Times New Roman"/>
          <w:sz w:val="24"/>
          <w:szCs w:val="24"/>
        </w:rPr>
        <w:t xml:space="preserve"> ustawy</w:t>
      </w:r>
      <w:r w:rsidRPr="00833C88">
        <w:rPr>
          <w:rFonts w:cs="Times New Roman"/>
          <w:sz w:val="24"/>
          <w:szCs w:val="24"/>
        </w:rPr>
        <w:t xml:space="preserve">. </w:t>
      </w:r>
      <w:r w:rsidR="00B22BCA" w:rsidRPr="00833C88">
        <w:rPr>
          <w:rFonts w:cs="Times New Roman"/>
          <w:sz w:val="24"/>
          <w:szCs w:val="24"/>
        </w:rPr>
        <w:t xml:space="preserve">Tworząc tą definicję </w:t>
      </w:r>
      <w:r w:rsidR="001854D0" w:rsidRPr="00833C88">
        <w:rPr>
          <w:rFonts w:cs="Times New Roman"/>
          <w:sz w:val="24"/>
          <w:szCs w:val="24"/>
        </w:rPr>
        <w:t xml:space="preserve">wprowadzono odesłanie dynamiczne </w:t>
      </w:r>
      <w:r w:rsidR="00B22BCA" w:rsidRPr="00833C88">
        <w:rPr>
          <w:rFonts w:cs="Times New Roman"/>
          <w:sz w:val="24"/>
          <w:szCs w:val="24"/>
        </w:rPr>
        <w:t xml:space="preserve">do ustawy </w:t>
      </w:r>
      <w:r w:rsidR="00601933" w:rsidRPr="00833C88">
        <w:rPr>
          <w:rFonts w:cs="Times New Roman"/>
          <w:sz w:val="24"/>
          <w:szCs w:val="24"/>
        </w:rPr>
        <w:t>z </w:t>
      </w:r>
      <w:r w:rsidR="00D079B3" w:rsidRPr="00833C88">
        <w:rPr>
          <w:rFonts w:cs="Times New Roman"/>
          <w:sz w:val="24"/>
          <w:szCs w:val="24"/>
        </w:rPr>
        <w:t xml:space="preserve">dnia 18 listopada 2020 r. </w:t>
      </w:r>
      <w:r w:rsidR="00601933" w:rsidRPr="00833C88">
        <w:rPr>
          <w:rFonts w:cs="Times New Roman"/>
          <w:sz w:val="24"/>
          <w:szCs w:val="24"/>
        </w:rPr>
        <w:t>o </w:t>
      </w:r>
      <w:r w:rsidR="00B22BCA" w:rsidRPr="00833C88">
        <w:rPr>
          <w:rFonts w:cs="Times New Roman"/>
          <w:sz w:val="24"/>
          <w:szCs w:val="24"/>
        </w:rPr>
        <w:t>doręczeniach elektronicznych</w:t>
      </w:r>
      <w:r w:rsidR="00D079B3" w:rsidRPr="00833C88">
        <w:rPr>
          <w:rFonts w:cs="Times New Roman"/>
          <w:sz w:val="24"/>
          <w:szCs w:val="24"/>
        </w:rPr>
        <w:t xml:space="preserve"> (Dz. U. </w:t>
      </w:r>
      <w:r w:rsidR="00601933" w:rsidRPr="00833C88">
        <w:rPr>
          <w:rFonts w:cs="Times New Roman"/>
          <w:sz w:val="24"/>
          <w:szCs w:val="24"/>
        </w:rPr>
        <w:t>z </w:t>
      </w:r>
      <w:r w:rsidR="00D079B3" w:rsidRPr="00833C88">
        <w:rPr>
          <w:rFonts w:cs="Times New Roman"/>
          <w:sz w:val="24"/>
          <w:szCs w:val="24"/>
        </w:rPr>
        <w:t>2024 r. poz. 1045</w:t>
      </w:r>
      <w:r w:rsidR="00F02ECD" w:rsidRPr="00833C88">
        <w:rPr>
          <w:rFonts w:cs="Times New Roman"/>
          <w:sz w:val="24"/>
          <w:szCs w:val="24"/>
        </w:rPr>
        <w:t xml:space="preserve"> </w:t>
      </w:r>
      <w:r w:rsidR="00601933" w:rsidRPr="00833C88">
        <w:rPr>
          <w:rFonts w:cs="Times New Roman"/>
          <w:sz w:val="24"/>
          <w:szCs w:val="24"/>
        </w:rPr>
        <w:t>i </w:t>
      </w:r>
      <w:r w:rsidR="00F02ECD" w:rsidRPr="00833C88">
        <w:rPr>
          <w:rFonts w:cs="Times New Roman"/>
          <w:sz w:val="24"/>
          <w:szCs w:val="24"/>
        </w:rPr>
        <w:t>1841</w:t>
      </w:r>
      <w:r w:rsidR="00D079B3" w:rsidRPr="00833C88">
        <w:rPr>
          <w:rFonts w:cs="Times New Roman"/>
          <w:sz w:val="24"/>
          <w:szCs w:val="24"/>
        </w:rPr>
        <w:t>)</w:t>
      </w:r>
      <w:r w:rsidR="00B22BCA" w:rsidRPr="00833C88">
        <w:rPr>
          <w:rFonts w:cs="Times New Roman"/>
          <w:sz w:val="24"/>
          <w:szCs w:val="24"/>
        </w:rPr>
        <w:t>.</w:t>
      </w:r>
    </w:p>
    <w:p w14:paraId="35B2982C" w14:textId="53EC238D" w:rsidR="00C31DDB" w:rsidRPr="00833C88" w:rsidRDefault="00241E81" w:rsidP="00491607">
      <w:pPr>
        <w:pStyle w:val="Nagwek4"/>
        <w:numPr>
          <w:ilvl w:val="0"/>
          <w:numId w:val="0"/>
        </w:numPr>
        <w:ind w:left="720" w:hanging="11"/>
        <w:rPr>
          <w:rFonts w:cs="Times New Roman"/>
          <w:sz w:val="24"/>
          <w:szCs w:val="24"/>
        </w:rPr>
      </w:pPr>
      <w:r w:rsidRPr="00833C88">
        <w:rPr>
          <w:rFonts w:cs="Times New Roman"/>
          <w:sz w:val="24"/>
          <w:szCs w:val="24"/>
        </w:rPr>
        <w:t xml:space="preserve">4) </w:t>
      </w:r>
      <w:r w:rsidR="003A6BD2" w:rsidRPr="00833C88">
        <w:rPr>
          <w:rFonts w:cs="Times New Roman"/>
          <w:sz w:val="24"/>
          <w:szCs w:val="24"/>
        </w:rPr>
        <w:t>Bezpieczeństwo systemów informacyjnych</w:t>
      </w:r>
    </w:p>
    <w:p w14:paraId="73F03061" w14:textId="07832939" w:rsidR="003A6BD2" w:rsidRPr="00833C88" w:rsidRDefault="00E34163" w:rsidP="00533D2A">
      <w:pPr>
        <w:spacing w:line="360" w:lineRule="auto"/>
        <w:jc w:val="both"/>
        <w:rPr>
          <w:rFonts w:cs="Times New Roman"/>
          <w:sz w:val="24"/>
          <w:szCs w:val="24"/>
        </w:rPr>
      </w:pPr>
      <w:r w:rsidRPr="00833C88">
        <w:rPr>
          <w:rFonts w:cs="Times New Roman"/>
          <w:sz w:val="24"/>
          <w:szCs w:val="24"/>
        </w:rPr>
        <w:t xml:space="preserve">Dyrektywa NIS 2 odwołuje się do dwóch pojęć – bezpieczeństwa sieci i systemów informatycznych oraz cyberbezpieczeństwa. </w:t>
      </w:r>
      <w:r w:rsidR="00971A7F" w:rsidRPr="00833C88">
        <w:rPr>
          <w:rFonts w:cs="Times New Roman"/>
          <w:sz w:val="24"/>
          <w:szCs w:val="24"/>
        </w:rPr>
        <w:t>Bezpieczeństwo sieci i systemów odnosi się do odporności – jest to:</w:t>
      </w:r>
      <w:r w:rsidR="00C06EDE" w:rsidRPr="00833C88">
        <w:rPr>
          <w:rFonts w:cs="Times New Roman"/>
          <w:sz w:val="24"/>
          <w:szCs w:val="24"/>
        </w:rPr>
        <w:t xml:space="preserve"> odporność sieci i systemów informatycznych, przy danym poziomie zaufania, na wszelkie zdarzenia, które mogą naruszyć dostępność, autentyczność, integralność </w:t>
      </w:r>
      <w:r w:rsidR="00C06EDE" w:rsidRPr="00833C88">
        <w:rPr>
          <w:rFonts w:cs="Times New Roman"/>
          <w:sz w:val="24"/>
          <w:szCs w:val="24"/>
        </w:rPr>
        <w:lastRenderedPageBreak/>
        <w:t xml:space="preserve">lub poufność przechowywanych, przekazywanych lub przetwarzanych danych lub usług oferowanych przez te sieci i systemy informatyczne lub dostępnych za ich pośrednictwem. Ten zakres pojęciowy w obecnej ustawie o KSC był odzwierciedlony w definicji „cyberbezpieczeństwa”. Jednakże </w:t>
      </w:r>
      <w:r w:rsidR="002D05CB" w:rsidRPr="00833C88">
        <w:rPr>
          <w:rFonts w:cs="Times New Roman"/>
          <w:sz w:val="24"/>
          <w:szCs w:val="24"/>
        </w:rPr>
        <w:t xml:space="preserve">dyrektywa NIS 2 odmiennie definiuje cyberbezpieczeństwo – </w:t>
      </w:r>
      <w:r w:rsidR="005A1317" w:rsidRPr="00833C88">
        <w:rPr>
          <w:rFonts w:cs="Times New Roman"/>
          <w:sz w:val="24"/>
          <w:szCs w:val="24"/>
        </w:rPr>
        <w:t xml:space="preserve">odwołuje się przy tym do aktu o cyberbezpieczeństwie, który stanowi, że „cyberbezpieczeństwo” oznacza działania niezbędne do ochrony sieci i systemów informatycznych, użytkowników takich systemów oraz innych osób przed </w:t>
      </w:r>
      <w:proofErr w:type="spellStart"/>
      <w:r w:rsidR="005A1317" w:rsidRPr="00833C88">
        <w:rPr>
          <w:rFonts w:cs="Times New Roman"/>
          <w:sz w:val="24"/>
          <w:szCs w:val="24"/>
        </w:rPr>
        <w:t>cyberzagrożeniami</w:t>
      </w:r>
      <w:proofErr w:type="spellEnd"/>
      <w:r w:rsidR="005A1317" w:rsidRPr="00833C88">
        <w:rPr>
          <w:rFonts w:cs="Times New Roman"/>
          <w:sz w:val="24"/>
          <w:szCs w:val="24"/>
        </w:rPr>
        <w:t>. Jest to podejście od drugiej strony, aktywne podejście</w:t>
      </w:r>
      <w:r w:rsidR="007B0227" w:rsidRPr="00833C88">
        <w:rPr>
          <w:rFonts w:cs="Times New Roman"/>
          <w:sz w:val="24"/>
          <w:szCs w:val="24"/>
        </w:rPr>
        <w:t xml:space="preserve">. </w:t>
      </w:r>
    </w:p>
    <w:p w14:paraId="626A920C" w14:textId="5B867AED" w:rsidR="0060076B" w:rsidRPr="00833C88" w:rsidRDefault="007B0227" w:rsidP="00533D2A">
      <w:pPr>
        <w:spacing w:line="360" w:lineRule="auto"/>
        <w:jc w:val="both"/>
        <w:rPr>
          <w:rFonts w:cs="Times New Roman"/>
          <w:sz w:val="24"/>
          <w:szCs w:val="24"/>
        </w:rPr>
      </w:pPr>
      <w:r w:rsidRPr="00833C88">
        <w:rPr>
          <w:rFonts w:cs="Times New Roman"/>
          <w:sz w:val="24"/>
          <w:szCs w:val="24"/>
        </w:rPr>
        <w:t>Z tych powodów dotychczasową definicję cyberbezpieczeństwa zachowuje się, ale pod nazwą „bezpieczeństwa systemów informacyjnych”</w:t>
      </w:r>
      <w:r w:rsidR="00AC1337" w:rsidRPr="00833C88">
        <w:rPr>
          <w:rFonts w:cs="Times New Roman"/>
          <w:sz w:val="24"/>
          <w:szCs w:val="24"/>
        </w:rPr>
        <w:t>, aby zapewnić zgodność z dyrektywą NIS 2.</w:t>
      </w:r>
    </w:p>
    <w:p w14:paraId="08868597" w14:textId="3741A0F5" w:rsidR="003A6BD2" w:rsidRPr="00833C88" w:rsidRDefault="00241E81" w:rsidP="00491607">
      <w:pPr>
        <w:pStyle w:val="Nagwek4"/>
        <w:numPr>
          <w:ilvl w:val="0"/>
          <w:numId w:val="0"/>
        </w:numPr>
        <w:ind w:left="709"/>
        <w:rPr>
          <w:rFonts w:cs="Times New Roman"/>
          <w:sz w:val="24"/>
          <w:szCs w:val="24"/>
        </w:rPr>
      </w:pPr>
      <w:r w:rsidRPr="00833C88">
        <w:rPr>
          <w:rFonts w:cs="Times New Roman"/>
          <w:sz w:val="24"/>
          <w:szCs w:val="24"/>
        </w:rPr>
        <w:t xml:space="preserve">5) </w:t>
      </w:r>
      <w:r w:rsidR="003A6BD2" w:rsidRPr="00833C88">
        <w:rPr>
          <w:rFonts w:cs="Times New Roman"/>
          <w:sz w:val="24"/>
          <w:szCs w:val="24"/>
        </w:rPr>
        <w:t>Cyberbezpieczeństwo</w:t>
      </w:r>
    </w:p>
    <w:p w14:paraId="0F02C6EF" w14:textId="16202522" w:rsidR="00F1491E" w:rsidRPr="00833C88" w:rsidRDefault="00601933" w:rsidP="0029004E">
      <w:pPr>
        <w:spacing w:line="360" w:lineRule="auto"/>
        <w:jc w:val="both"/>
        <w:rPr>
          <w:rFonts w:cs="Times New Roman"/>
          <w:sz w:val="24"/>
          <w:szCs w:val="24"/>
        </w:rPr>
      </w:pPr>
      <w:r w:rsidRPr="00833C88">
        <w:rPr>
          <w:rFonts w:cs="Times New Roman"/>
          <w:sz w:val="24"/>
          <w:szCs w:val="24"/>
        </w:rPr>
        <w:t>Z </w:t>
      </w:r>
      <w:r w:rsidR="00F1491E" w:rsidRPr="00833C88">
        <w:rPr>
          <w:rFonts w:cs="Times New Roman"/>
          <w:sz w:val="24"/>
          <w:szCs w:val="24"/>
        </w:rPr>
        <w:t xml:space="preserve">uwagi </w:t>
      </w:r>
      <w:r w:rsidR="00F21712" w:rsidRPr="00833C88">
        <w:rPr>
          <w:rFonts w:cs="Times New Roman"/>
          <w:sz w:val="24"/>
          <w:szCs w:val="24"/>
        </w:rPr>
        <w:t xml:space="preserve">na to, </w:t>
      </w:r>
      <w:r w:rsidR="00F1491E" w:rsidRPr="00833C88">
        <w:rPr>
          <w:rFonts w:cs="Times New Roman"/>
          <w:sz w:val="24"/>
          <w:szCs w:val="24"/>
        </w:rPr>
        <w:t>że dotychczasowe pojęcie „cyberbezpieczeństwa” zostaje zastąpione „bezpieczeństwem systemów informacyjnych”</w:t>
      </w:r>
      <w:r w:rsidR="00C24BE3" w:rsidRPr="00833C88">
        <w:rPr>
          <w:rFonts w:cs="Times New Roman"/>
          <w:sz w:val="24"/>
          <w:szCs w:val="24"/>
        </w:rPr>
        <w:t>,</w:t>
      </w:r>
      <w:r w:rsidR="00F1491E" w:rsidRPr="00833C88">
        <w:rPr>
          <w:rFonts w:cs="Times New Roman"/>
          <w:sz w:val="24"/>
          <w:szCs w:val="24"/>
        </w:rPr>
        <w:t xml:space="preserve"> to odpowiednio dostosowuje się definicję incydentu</w:t>
      </w:r>
      <w:r w:rsidR="00DA1966" w:rsidRPr="00833C88">
        <w:rPr>
          <w:rFonts w:cs="Times New Roman"/>
          <w:sz w:val="24"/>
          <w:szCs w:val="24"/>
        </w:rPr>
        <w:t xml:space="preserve"> – jest to </w:t>
      </w:r>
      <w:r w:rsidR="00296B45" w:rsidRPr="00833C88">
        <w:rPr>
          <w:rFonts w:cs="Times New Roman"/>
          <w:sz w:val="24"/>
          <w:szCs w:val="24"/>
        </w:rPr>
        <w:t xml:space="preserve">zdarzenie, które ma lub może mieć niekorzystny wpływ na bezpieczeństwo systemów informacyjnych. </w:t>
      </w:r>
    </w:p>
    <w:p w14:paraId="7D8B071D" w14:textId="1BC0473A" w:rsidR="00C60FCA" w:rsidRPr="00833C88" w:rsidRDefault="004F67DF" w:rsidP="0029004E">
      <w:pPr>
        <w:spacing w:line="360" w:lineRule="auto"/>
        <w:jc w:val="both"/>
        <w:rPr>
          <w:rFonts w:cs="Times New Roman"/>
          <w:sz w:val="24"/>
          <w:szCs w:val="24"/>
        </w:rPr>
      </w:pPr>
      <w:r w:rsidRPr="00833C88">
        <w:rPr>
          <w:rFonts w:cs="Times New Roman"/>
          <w:sz w:val="24"/>
          <w:szCs w:val="24"/>
        </w:rPr>
        <w:t xml:space="preserve">Definicja </w:t>
      </w:r>
      <w:r w:rsidR="007B6B80" w:rsidRPr="00833C88">
        <w:rPr>
          <w:rFonts w:cs="Times New Roman"/>
          <w:sz w:val="24"/>
          <w:szCs w:val="24"/>
        </w:rPr>
        <w:t>c</w:t>
      </w:r>
      <w:r w:rsidRPr="00833C88">
        <w:rPr>
          <w:rFonts w:cs="Times New Roman"/>
          <w:sz w:val="24"/>
          <w:szCs w:val="24"/>
        </w:rPr>
        <w:t xml:space="preserve">yberbezpieczeństwa odnosi się do definicji zawartej </w:t>
      </w:r>
      <w:r w:rsidR="00601933" w:rsidRPr="00833C88">
        <w:rPr>
          <w:rFonts w:cs="Times New Roman"/>
          <w:sz w:val="24"/>
          <w:szCs w:val="24"/>
        </w:rPr>
        <w:t>w </w:t>
      </w:r>
      <w:r w:rsidRPr="00833C88">
        <w:rPr>
          <w:rFonts w:cs="Times New Roman"/>
          <w:sz w:val="24"/>
          <w:szCs w:val="24"/>
        </w:rPr>
        <w:t xml:space="preserve">unijnym akcie </w:t>
      </w:r>
      <w:r w:rsidR="00601933" w:rsidRPr="00833C88">
        <w:rPr>
          <w:rFonts w:cs="Times New Roman"/>
          <w:sz w:val="24"/>
          <w:szCs w:val="24"/>
        </w:rPr>
        <w:t>o </w:t>
      </w:r>
      <w:r w:rsidRPr="00833C88">
        <w:rPr>
          <w:rFonts w:cs="Times New Roman"/>
          <w:sz w:val="24"/>
          <w:szCs w:val="24"/>
        </w:rPr>
        <w:t>cyberbezpieczeństwie.</w:t>
      </w:r>
      <w:r w:rsidR="00447571" w:rsidRPr="00833C88">
        <w:rPr>
          <w:rFonts w:cs="Times New Roman"/>
          <w:sz w:val="24"/>
          <w:szCs w:val="24"/>
        </w:rPr>
        <w:t xml:space="preserve"> </w:t>
      </w:r>
    </w:p>
    <w:p w14:paraId="7E5053BD" w14:textId="0A258C21" w:rsidR="00C60FCA" w:rsidRPr="00833C88" w:rsidRDefault="00241E81" w:rsidP="00491607">
      <w:pPr>
        <w:pStyle w:val="Nagwek4"/>
        <w:numPr>
          <w:ilvl w:val="0"/>
          <w:numId w:val="0"/>
        </w:numPr>
        <w:ind w:left="720" w:hanging="11"/>
        <w:rPr>
          <w:rFonts w:cs="Times New Roman"/>
          <w:sz w:val="24"/>
          <w:szCs w:val="24"/>
        </w:rPr>
      </w:pPr>
      <w:r w:rsidRPr="00833C88">
        <w:rPr>
          <w:rFonts w:cs="Times New Roman"/>
          <w:sz w:val="24"/>
          <w:szCs w:val="24"/>
        </w:rPr>
        <w:t xml:space="preserve">6) </w:t>
      </w:r>
      <w:proofErr w:type="spellStart"/>
      <w:r w:rsidR="00C60FCA" w:rsidRPr="00833C88">
        <w:rPr>
          <w:rFonts w:cs="Times New Roman"/>
          <w:sz w:val="24"/>
          <w:szCs w:val="24"/>
        </w:rPr>
        <w:t>Cyberzagrożenie</w:t>
      </w:r>
      <w:proofErr w:type="spellEnd"/>
    </w:p>
    <w:p w14:paraId="2C35DF0E" w14:textId="3E3B187C" w:rsidR="004F67DF" w:rsidRPr="00833C88" w:rsidRDefault="00652AD6" w:rsidP="0029004E">
      <w:pPr>
        <w:spacing w:line="360" w:lineRule="auto"/>
        <w:jc w:val="both"/>
        <w:rPr>
          <w:rFonts w:cs="Times New Roman"/>
          <w:sz w:val="24"/>
          <w:szCs w:val="24"/>
        </w:rPr>
      </w:pPr>
      <w:r w:rsidRPr="00833C88">
        <w:rPr>
          <w:rFonts w:cs="Times New Roman"/>
          <w:sz w:val="24"/>
          <w:szCs w:val="24"/>
        </w:rPr>
        <w:t xml:space="preserve">Definicja </w:t>
      </w:r>
      <w:proofErr w:type="spellStart"/>
      <w:r w:rsidRPr="00833C88">
        <w:rPr>
          <w:rFonts w:cs="Times New Roman"/>
          <w:sz w:val="24"/>
          <w:szCs w:val="24"/>
        </w:rPr>
        <w:t>cyberzagrożenia</w:t>
      </w:r>
      <w:proofErr w:type="spellEnd"/>
      <w:r w:rsidRPr="00833C88">
        <w:rPr>
          <w:rFonts w:cs="Times New Roman"/>
          <w:sz w:val="24"/>
          <w:szCs w:val="24"/>
        </w:rPr>
        <w:t xml:space="preserve"> odwołuje się do </w:t>
      </w:r>
      <w:r w:rsidR="00312471" w:rsidRPr="00833C88">
        <w:rPr>
          <w:rFonts w:cs="Times New Roman"/>
          <w:sz w:val="24"/>
          <w:szCs w:val="24"/>
        </w:rPr>
        <w:t>definicji zawartej w unijnym akcie o</w:t>
      </w:r>
      <w:r w:rsidR="000F7ACE" w:rsidRPr="00833C88">
        <w:rPr>
          <w:rFonts w:cs="Times New Roman"/>
          <w:sz w:val="24"/>
          <w:szCs w:val="24"/>
        </w:rPr>
        <w:t> </w:t>
      </w:r>
      <w:r w:rsidR="00312471" w:rsidRPr="00833C88">
        <w:rPr>
          <w:rFonts w:cs="Times New Roman"/>
          <w:sz w:val="24"/>
          <w:szCs w:val="24"/>
        </w:rPr>
        <w:t xml:space="preserve">cyberbezpieczeństwie. </w:t>
      </w:r>
      <w:r w:rsidR="00801EA3" w:rsidRPr="00833C88">
        <w:rPr>
          <w:rFonts w:cs="Times New Roman"/>
          <w:sz w:val="24"/>
          <w:szCs w:val="24"/>
        </w:rPr>
        <w:t xml:space="preserve">Brzmi ona następująco: </w:t>
      </w:r>
      <w:r w:rsidR="00801EA3" w:rsidRPr="00833C88">
        <w:rPr>
          <w:rFonts w:cs="Times New Roman"/>
          <w:i/>
          <w:iCs/>
          <w:sz w:val="24"/>
          <w:szCs w:val="24"/>
        </w:rPr>
        <w:t xml:space="preserve">oznacza wszelkie potencjalne okoliczności, zdarzenie lub działanie, które mogą wyrządzić szkodę, spowodować zakłócenia lub w inny sposób niekorzystnie wpłynąć w przypadku sieci i systemów informatycznych, użytkowników takich systemów oraz innych osób. </w:t>
      </w:r>
      <w:r w:rsidR="00801EA3" w:rsidRPr="00833C88">
        <w:rPr>
          <w:rFonts w:cs="Times New Roman"/>
          <w:sz w:val="24"/>
          <w:szCs w:val="24"/>
        </w:rPr>
        <w:t xml:space="preserve">Zauważyć należy, że jest to definicja szeroka, która obejmuje całe spektrum zagrożeń, w tym także </w:t>
      </w:r>
      <w:r w:rsidR="001C1FB1" w:rsidRPr="00833C88">
        <w:rPr>
          <w:rFonts w:cs="Times New Roman"/>
          <w:sz w:val="24"/>
          <w:szCs w:val="24"/>
        </w:rPr>
        <w:t>zagrożenia o charakterze fizycznym i</w:t>
      </w:r>
      <w:r w:rsidR="000F7ACE" w:rsidRPr="00833C88">
        <w:rPr>
          <w:rFonts w:cs="Times New Roman"/>
          <w:sz w:val="24"/>
          <w:szCs w:val="24"/>
        </w:rPr>
        <w:t> </w:t>
      </w:r>
      <w:r w:rsidR="001C1FB1" w:rsidRPr="00833C88">
        <w:rPr>
          <w:rFonts w:cs="Times New Roman"/>
          <w:sz w:val="24"/>
          <w:szCs w:val="24"/>
        </w:rPr>
        <w:t>środowiskowym</w:t>
      </w:r>
      <w:r w:rsidR="00134617" w:rsidRPr="00833C88">
        <w:rPr>
          <w:rFonts w:cs="Times New Roman"/>
          <w:sz w:val="24"/>
          <w:szCs w:val="24"/>
        </w:rPr>
        <w:t>. Pokazując to na całkiem realnym przykładzie – zdarza się czasem</w:t>
      </w:r>
      <w:r w:rsidR="00324464" w:rsidRPr="00833C88">
        <w:rPr>
          <w:rFonts w:cs="Times New Roman"/>
          <w:sz w:val="24"/>
          <w:szCs w:val="24"/>
        </w:rPr>
        <w:t xml:space="preserve">, że serwerownia jest w pomieszczeniu, które nie jest zamknięte i dostęp fizyczny mają do niej wszyscy – pracownicy czy interesariusze podmiotu. </w:t>
      </w:r>
      <w:r w:rsidR="002061FC" w:rsidRPr="00833C88">
        <w:rPr>
          <w:rFonts w:cs="Times New Roman"/>
          <w:sz w:val="24"/>
          <w:szCs w:val="24"/>
        </w:rPr>
        <w:t xml:space="preserve">Jest to niewątpliwe </w:t>
      </w:r>
      <w:proofErr w:type="spellStart"/>
      <w:r w:rsidR="002061FC" w:rsidRPr="00833C88">
        <w:rPr>
          <w:rFonts w:cs="Times New Roman"/>
          <w:sz w:val="24"/>
          <w:szCs w:val="24"/>
        </w:rPr>
        <w:t>cyberzagrożenie</w:t>
      </w:r>
      <w:proofErr w:type="spellEnd"/>
      <w:r w:rsidR="002061FC" w:rsidRPr="00833C88">
        <w:rPr>
          <w:rFonts w:cs="Times New Roman"/>
          <w:sz w:val="24"/>
          <w:szCs w:val="24"/>
        </w:rPr>
        <w:t xml:space="preserve"> – każdy może uzyskać dostęp i chociażby wyjąć okablowanie lub </w:t>
      </w:r>
      <w:r w:rsidR="00C23E3B" w:rsidRPr="00833C88">
        <w:rPr>
          <w:rFonts w:cs="Times New Roman"/>
          <w:sz w:val="24"/>
          <w:szCs w:val="24"/>
        </w:rPr>
        <w:t xml:space="preserve">przeprowadzić atak </w:t>
      </w:r>
      <w:proofErr w:type="spellStart"/>
      <w:r w:rsidR="00C23E3B" w:rsidRPr="00833C88">
        <w:rPr>
          <w:rFonts w:cs="Times New Roman"/>
          <w:sz w:val="24"/>
          <w:szCs w:val="24"/>
        </w:rPr>
        <w:t>man</w:t>
      </w:r>
      <w:proofErr w:type="spellEnd"/>
      <w:r w:rsidR="00C23E3B" w:rsidRPr="00833C88">
        <w:rPr>
          <w:rFonts w:cs="Times New Roman"/>
          <w:sz w:val="24"/>
          <w:szCs w:val="24"/>
        </w:rPr>
        <w:t xml:space="preserve"> in the </w:t>
      </w:r>
      <w:proofErr w:type="spellStart"/>
      <w:r w:rsidR="00C23E3B" w:rsidRPr="00833C88">
        <w:rPr>
          <w:rFonts w:cs="Times New Roman"/>
          <w:sz w:val="24"/>
          <w:szCs w:val="24"/>
        </w:rPr>
        <w:t>middle</w:t>
      </w:r>
      <w:proofErr w:type="spellEnd"/>
      <w:r w:rsidR="00C23E3B" w:rsidRPr="00833C88">
        <w:rPr>
          <w:rFonts w:cs="Times New Roman"/>
          <w:sz w:val="24"/>
          <w:szCs w:val="24"/>
        </w:rPr>
        <w:t>.</w:t>
      </w:r>
    </w:p>
    <w:p w14:paraId="14EBB83A" w14:textId="77777777" w:rsidR="004C47C6" w:rsidRPr="00833C88" w:rsidRDefault="00694731" w:rsidP="0029004E">
      <w:pPr>
        <w:spacing w:line="360" w:lineRule="auto"/>
        <w:jc w:val="both"/>
        <w:rPr>
          <w:rFonts w:cs="Times New Roman"/>
          <w:sz w:val="24"/>
          <w:szCs w:val="24"/>
        </w:rPr>
      </w:pPr>
      <w:r w:rsidRPr="00833C88">
        <w:rPr>
          <w:rFonts w:cs="Times New Roman"/>
          <w:sz w:val="24"/>
          <w:szCs w:val="24"/>
        </w:rPr>
        <w:t xml:space="preserve">Zaszła potrzeba zdefiniowania szeregu rodzajów podmiotów, które funkcjonują </w:t>
      </w:r>
      <w:r w:rsidR="00601933" w:rsidRPr="00833C88">
        <w:rPr>
          <w:rFonts w:cs="Times New Roman"/>
          <w:sz w:val="24"/>
          <w:szCs w:val="24"/>
        </w:rPr>
        <w:t>w </w:t>
      </w:r>
      <w:r w:rsidR="00C20C31" w:rsidRPr="00833C88">
        <w:rPr>
          <w:rFonts w:cs="Times New Roman"/>
          <w:sz w:val="24"/>
          <w:szCs w:val="24"/>
        </w:rPr>
        <w:t>sektorze infrastruktury cyfrowej.</w:t>
      </w:r>
    </w:p>
    <w:p w14:paraId="677F7398" w14:textId="28BA950C" w:rsidR="004C47C6" w:rsidRPr="00833C88" w:rsidRDefault="00241E81" w:rsidP="00533D2A">
      <w:pPr>
        <w:pStyle w:val="Nagwek4"/>
        <w:numPr>
          <w:ilvl w:val="0"/>
          <w:numId w:val="0"/>
        </w:numPr>
        <w:ind w:left="720"/>
        <w:rPr>
          <w:rFonts w:cs="Times New Roman"/>
          <w:sz w:val="24"/>
          <w:szCs w:val="24"/>
        </w:rPr>
      </w:pPr>
      <w:r w:rsidRPr="00833C88">
        <w:rPr>
          <w:rFonts w:cs="Times New Roman"/>
          <w:sz w:val="24"/>
          <w:szCs w:val="24"/>
        </w:rPr>
        <w:lastRenderedPageBreak/>
        <w:t xml:space="preserve">7) </w:t>
      </w:r>
      <w:r w:rsidR="004C47C6" w:rsidRPr="00833C88">
        <w:rPr>
          <w:rFonts w:cs="Times New Roman"/>
          <w:sz w:val="24"/>
          <w:szCs w:val="24"/>
        </w:rPr>
        <w:t>Dostawca sieci dostarczania treści</w:t>
      </w:r>
    </w:p>
    <w:p w14:paraId="42250724" w14:textId="5FD773B9" w:rsidR="00F94D9D" w:rsidRPr="00833C88" w:rsidRDefault="00C20C31" w:rsidP="0029004E">
      <w:pPr>
        <w:spacing w:line="360" w:lineRule="auto"/>
        <w:jc w:val="both"/>
        <w:rPr>
          <w:rFonts w:cs="Times New Roman"/>
          <w:sz w:val="24"/>
          <w:szCs w:val="24"/>
        </w:rPr>
      </w:pPr>
      <w:r w:rsidRPr="00833C88">
        <w:rPr>
          <w:rFonts w:cs="Times New Roman"/>
          <w:sz w:val="24"/>
          <w:szCs w:val="24"/>
        </w:rPr>
        <w:t xml:space="preserve"> Dostawca sieci dostarczania treści jest potocznie znany jako </w:t>
      </w:r>
      <w:proofErr w:type="spellStart"/>
      <w:r w:rsidRPr="00833C88">
        <w:rPr>
          <w:rFonts w:cs="Times New Roman"/>
          <w:sz w:val="24"/>
          <w:szCs w:val="24"/>
        </w:rPr>
        <w:t>CDN</w:t>
      </w:r>
      <w:proofErr w:type="spellEnd"/>
      <w:r w:rsidRPr="00833C88">
        <w:rPr>
          <w:rFonts w:cs="Times New Roman"/>
          <w:sz w:val="24"/>
          <w:szCs w:val="24"/>
        </w:rPr>
        <w:t xml:space="preserve"> – </w:t>
      </w:r>
      <w:proofErr w:type="spellStart"/>
      <w:r w:rsidRPr="00833C88">
        <w:rPr>
          <w:rFonts w:cs="Times New Roman"/>
          <w:sz w:val="24"/>
          <w:szCs w:val="24"/>
        </w:rPr>
        <w:t>content</w:t>
      </w:r>
      <w:proofErr w:type="spellEnd"/>
      <w:r w:rsidRPr="00833C88">
        <w:rPr>
          <w:rFonts w:cs="Times New Roman"/>
          <w:sz w:val="24"/>
          <w:szCs w:val="24"/>
        </w:rPr>
        <w:t xml:space="preserve"> </w:t>
      </w:r>
      <w:proofErr w:type="spellStart"/>
      <w:r w:rsidRPr="00833C88">
        <w:rPr>
          <w:rFonts w:cs="Times New Roman"/>
          <w:sz w:val="24"/>
          <w:szCs w:val="24"/>
        </w:rPr>
        <w:t>delivery</w:t>
      </w:r>
      <w:proofErr w:type="spellEnd"/>
      <w:r w:rsidRPr="00833C88">
        <w:rPr>
          <w:rFonts w:cs="Times New Roman"/>
          <w:sz w:val="24"/>
          <w:szCs w:val="24"/>
        </w:rPr>
        <w:t xml:space="preserve"> network </w:t>
      </w:r>
      <w:proofErr w:type="spellStart"/>
      <w:r w:rsidRPr="00833C88">
        <w:rPr>
          <w:rFonts w:cs="Times New Roman"/>
          <w:sz w:val="24"/>
          <w:szCs w:val="24"/>
        </w:rPr>
        <w:t>provider</w:t>
      </w:r>
      <w:proofErr w:type="spellEnd"/>
      <w:r w:rsidRPr="00833C88">
        <w:rPr>
          <w:rFonts w:cs="Times New Roman"/>
          <w:sz w:val="24"/>
          <w:szCs w:val="24"/>
        </w:rPr>
        <w:t xml:space="preserve">. </w:t>
      </w:r>
      <w:r w:rsidR="00737E83" w:rsidRPr="00833C88">
        <w:rPr>
          <w:rFonts w:cs="Times New Roman"/>
          <w:sz w:val="24"/>
          <w:szCs w:val="24"/>
        </w:rPr>
        <w:t xml:space="preserve">Często użytkownik </w:t>
      </w:r>
      <w:r w:rsidR="00915FEB" w:rsidRPr="00833C88">
        <w:rPr>
          <w:rFonts w:cs="Times New Roman"/>
          <w:sz w:val="24"/>
          <w:szCs w:val="24"/>
        </w:rPr>
        <w:t>i</w:t>
      </w:r>
      <w:r w:rsidR="00737E83" w:rsidRPr="00833C88">
        <w:rPr>
          <w:rFonts w:cs="Times New Roman"/>
          <w:sz w:val="24"/>
          <w:szCs w:val="24"/>
        </w:rPr>
        <w:t xml:space="preserve">nternetu chce skorzystać ze strony internetowej, której serwer znajduje się bardzo daleko od </w:t>
      </w:r>
      <w:r w:rsidR="00FF1162" w:rsidRPr="00833C88">
        <w:rPr>
          <w:rFonts w:cs="Times New Roman"/>
          <w:sz w:val="24"/>
          <w:szCs w:val="24"/>
        </w:rPr>
        <w:t xml:space="preserve">fizycznej lokalizacji </w:t>
      </w:r>
      <w:r w:rsidR="00737E83" w:rsidRPr="00833C88">
        <w:rPr>
          <w:rFonts w:cs="Times New Roman"/>
          <w:sz w:val="24"/>
          <w:szCs w:val="24"/>
        </w:rPr>
        <w:t xml:space="preserve">tego użytkownika. </w:t>
      </w:r>
      <w:r w:rsidR="00372A4F" w:rsidRPr="00833C88">
        <w:rPr>
          <w:rFonts w:cs="Times New Roman"/>
          <w:sz w:val="24"/>
          <w:szCs w:val="24"/>
        </w:rPr>
        <w:t xml:space="preserve">Powoduje to opóźnienia </w:t>
      </w:r>
      <w:r w:rsidR="00601933" w:rsidRPr="00833C88">
        <w:rPr>
          <w:rFonts w:cs="Times New Roman"/>
          <w:sz w:val="24"/>
          <w:szCs w:val="24"/>
        </w:rPr>
        <w:t>w </w:t>
      </w:r>
      <w:r w:rsidR="00372A4F" w:rsidRPr="00833C88">
        <w:rPr>
          <w:rFonts w:cs="Times New Roman"/>
          <w:sz w:val="24"/>
          <w:szCs w:val="24"/>
        </w:rPr>
        <w:t>dostępie do stron internetowych</w:t>
      </w:r>
      <w:r w:rsidR="0044360A" w:rsidRPr="00833C88">
        <w:rPr>
          <w:rFonts w:cs="Times New Roman"/>
          <w:sz w:val="24"/>
          <w:szCs w:val="24"/>
        </w:rPr>
        <w:t xml:space="preserve">. Aby temu zapobiec powstały serwery </w:t>
      </w:r>
      <w:proofErr w:type="spellStart"/>
      <w:r w:rsidR="0044360A" w:rsidRPr="00833C88">
        <w:rPr>
          <w:rFonts w:cs="Times New Roman"/>
          <w:sz w:val="24"/>
          <w:szCs w:val="24"/>
        </w:rPr>
        <w:t>content</w:t>
      </w:r>
      <w:proofErr w:type="spellEnd"/>
      <w:r w:rsidR="0044360A" w:rsidRPr="00833C88">
        <w:rPr>
          <w:rFonts w:cs="Times New Roman"/>
          <w:sz w:val="24"/>
          <w:szCs w:val="24"/>
        </w:rPr>
        <w:t xml:space="preserve"> </w:t>
      </w:r>
      <w:proofErr w:type="spellStart"/>
      <w:r w:rsidR="0044360A" w:rsidRPr="00833C88">
        <w:rPr>
          <w:rFonts w:cs="Times New Roman"/>
          <w:sz w:val="24"/>
          <w:szCs w:val="24"/>
        </w:rPr>
        <w:t>delivery</w:t>
      </w:r>
      <w:proofErr w:type="spellEnd"/>
      <w:r w:rsidR="0044360A" w:rsidRPr="00833C88">
        <w:rPr>
          <w:rFonts w:cs="Times New Roman"/>
          <w:sz w:val="24"/>
          <w:szCs w:val="24"/>
        </w:rPr>
        <w:t xml:space="preserve"> network. </w:t>
      </w:r>
      <w:r w:rsidR="00FF12F1" w:rsidRPr="00833C88">
        <w:rPr>
          <w:rFonts w:cs="Times New Roman"/>
          <w:sz w:val="24"/>
          <w:szCs w:val="24"/>
        </w:rPr>
        <w:t xml:space="preserve">Serwery te są rozmieszczone </w:t>
      </w:r>
      <w:r w:rsidR="00601933" w:rsidRPr="00833C88">
        <w:rPr>
          <w:rFonts w:cs="Times New Roman"/>
          <w:sz w:val="24"/>
          <w:szCs w:val="24"/>
        </w:rPr>
        <w:t>w </w:t>
      </w:r>
      <w:r w:rsidR="00FF12F1" w:rsidRPr="00833C88">
        <w:rPr>
          <w:rFonts w:cs="Times New Roman"/>
          <w:sz w:val="24"/>
          <w:szCs w:val="24"/>
        </w:rPr>
        <w:t>różnych lokalizacjach</w:t>
      </w:r>
      <w:r w:rsidR="00D41522" w:rsidRPr="00833C88">
        <w:rPr>
          <w:rFonts w:cs="Times New Roman"/>
          <w:sz w:val="24"/>
          <w:szCs w:val="24"/>
        </w:rPr>
        <w:t xml:space="preserve"> i z</w:t>
      </w:r>
      <w:r w:rsidR="005D65AC" w:rsidRPr="00833C88">
        <w:rPr>
          <w:rFonts w:cs="Times New Roman"/>
          <w:sz w:val="24"/>
          <w:szCs w:val="24"/>
        </w:rPr>
        <w:t xml:space="preserve">awierają kopię treści </w:t>
      </w:r>
      <w:r w:rsidR="00601933" w:rsidRPr="00833C88">
        <w:rPr>
          <w:rFonts w:cs="Times New Roman"/>
          <w:sz w:val="24"/>
          <w:szCs w:val="24"/>
        </w:rPr>
        <w:t>z </w:t>
      </w:r>
      <w:r w:rsidR="005D65AC" w:rsidRPr="00833C88">
        <w:rPr>
          <w:rFonts w:cs="Times New Roman"/>
          <w:sz w:val="24"/>
          <w:szCs w:val="24"/>
        </w:rPr>
        <w:t xml:space="preserve">oryginalnego serwera. </w:t>
      </w:r>
      <w:r w:rsidR="00552084" w:rsidRPr="00833C88">
        <w:rPr>
          <w:rFonts w:cs="Times New Roman"/>
          <w:sz w:val="24"/>
          <w:szCs w:val="24"/>
        </w:rPr>
        <w:t xml:space="preserve">Użytkownik internetu zamiast łączyć się </w:t>
      </w:r>
      <w:r w:rsidR="00601933" w:rsidRPr="00833C88">
        <w:rPr>
          <w:rFonts w:cs="Times New Roman"/>
          <w:sz w:val="24"/>
          <w:szCs w:val="24"/>
        </w:rPr>
        <w:t>z </w:t>
      </w:r>
      <w:r w:rsidR="00552084" w:rsidRPr="00833C88">
        <w:rPr>
          <w:rFonts w:cs="Times New Roman"/>
          <w:sz w:val="24"/>
          <w:szCs w:val="24"/>
        </w:rPr>
        <w:t xml:space="preserve">oryginalnym serwerem łączy się </w:t>
      </w:r>
      <w:r w:rsidR="00601933" w:rsidRPr="00833C88">
        <w:rPr>
          <w:rFonts w:cs="Times New Roman"/>
          <w:sz w:val="24"/>
          <w:szCs w:val="24"/>
        </w:rPr>
        <w:t>z </w:t>
      </w:r>
      <w:r w:rsidR="00552084" w:rsidRPr="00833C88">
        <w:rPr>
          <w:rFonts w:cs="Times New Roman"/>
          <w:sz w:val="24"/>
          <w:szCs w:val="24"/>
        </w:rPr>
        <w:t xml:space="preserve">serwerem </w:t>
      </w:r>
      <w:r w:rsidR="00775DFB" w:rsidRPr="00833C88">
        <w:rPr>
          <w:rFonts w:cs="Times New Roman"/>
          <w:sz w:val="24"/>
          <w:szCs w:val="24"/>
        </w:rPr>
        <w:t xml:space="preserve">CDN, dostając tą samą treść </w:t>
      </w:r>
      <w:r w:rsidR="00601933" w:rsidRPr="00833C88">
        <w:rPr>
          <w:rFonts w:cs="Times New Roman"/>
          <w:sz w:val="24"/>
          <w:szCs w:val="24"/>
        </w:rPr>
        <w:t>w </w:t>
      </w:r>
      <w:r w:rsidR="00775DFB" w:rsidRPr="00833C88">
        <w:rPr>
          <w:rFonts w:cs="Times New Roman"/>
          <w:sz w:val="24"/>
          <w:szCs w:val="24"/>
        </w:rPr>
        <w:t xml:space="preserve">krótszym czasie aniżeli gdyby łączył się </w:t>
      </w:r>
      <w:r w:rsidR="00601933" w:rsidRPr="00833C88">
        <w:rPr>
          <w:rFonts w:cs="Times New Roman"/>
          <w:sz w:val="24"/>
          <w:szCs w:val="24"/>
        </w:rPr>
        <w:t>z </w:t>
      </w:r>
      <w:r w:rsidR="00775DFB" w:rsidRPr="00833C88">
        <w:rPr>
          <w:rFonts w:cs="Times New Roman"/>
          <w:sz w:val="24"/>
          <w:szCs w:val="24"/>
        </w:rPr>
        <w:t xml:space="preserve">oryginalnym serwerem. Serwery CDN </w:t>
      </w:r>
      <w:r w:rsidR="00F94D9D" w:rsidRPr="00833C88">
        <w:rPr>
          <w:rFonts w:cs="Times New Roman"/>
          <w:sz w:val="24"/>
          <w:szCs w:val="24"/>
        </w:rPr>
        <w:t xml:space="preserve">umożliwiają rozładowanie ruchu </w:t>
      </w:r>
      <w:r w:rsidR="00601933" w:rsidRPr="00833C88">
        <w:rPr>
          <w:rFonts w:cs="Times New Roman"/>
          <w:sz w:val="24"/>
          <w:szCs w:val="24"/>
        </w:rPr>
        <w:t>w </w:t>
      </w:r>
      <w:r w:rsidR="00335C09" w:rsidRPr="00833C88">
        <w:rPr>
          <w:rFonts w:cs="Times New Roman"/>
          <w:sz w:val="24"/>
          <w:szCs w:val="24"/>
        </w:rPr>
        <w:t>i</w:t>
      </w:r>
      <w:r w:rsidR="00F94D9D" w:rsidRPr="00833C88">
        <w:rPr>
          <w:rFonts w:cs="Times New Roman"/>
          <w:sz w:val="24"/>
          <w:szCs w:val="24"/>
        </w:rPr>
        <w:t xml:space="preserve">nternecie. </w:t>
      </w:r>
    </w:p>
    <w:p w14:paraId="7E7A9D48" w14:textId="5604AB22" w:rsidR="00447571" w:rsidRPr="00833C88" w:rsidRDefault="004E4576" w:rsidP="0029004E">
      <w:pPr>
        <w:spacing w:line="360" w:lineRule="auto"/>
        <w:jc w:val="both"/>
        <w:rPr>
          <w:rFonts w:cs="Times New Roman"/>
          <w:sz w:val="24"/>
          <w:szCs w:val="24"/>
        </w:rPr>
      </w:pPr>
      <w:r w:rsidRPr="00833C88">
        <w:rPr>
          <w:rFonts w:cs="Times New Roman"/>
          <w:sz w:val="24"/>
          <w:szCs w:val="24"/>
        </w:rPr>
        <w:t xml:space="preserve">Nawiązując do dyrektywy </w:t>
      </w:r>
      <w:r w:rsidR="00C24BE3" w:rsidRPr="00833C88">
        <w:rPr>
          <w:rFonts w:cs="Times New Roman"/>
          <w:sz w:val="24"/>
          <w:szCs w:val="24"/>
        </w:rPr>
        <w:t xml:space="preserve">NIS 2 </w:t>
      </w:r>
      <w:r w:rsidRPr="00833C88">
        <w:rPr>
          <w:rFonts w:cs="Times New Roman"/>
          <w:sz w:val="24"/>
          <w:szCs w:val="24"/>
        </w:rPr>
        <w:t>wskazano, że</w:t>
      </w:r>
      <w:r w:rsidR="00F94D9D" w:rsidRPr="00833C88">
        <w:rPr>
          <w:rFonts w:cs="Times New Roman"/>
          <w:sz w:val="24"/>
          <w:szCs w:val="24"/>
        </w:rPr>
        <w:t xml:space="preserve"> dostawcą sieci dostarczania treści</w:t>
      </w:r>
      <w:r w:rsidRPr="00833C88">
        <w:rPr>
          <w:rFonts w:cs="Times New Roman"/>
          <w:sz w:val="24"/>
          <w:szCs w:val="24"/>
        </w:rPr>
        <w:t xml:space="preserve"> </w:t>
      </w:r>
      <w:r w:rsidR="00915FEB" w:rsidRPr="00833C88">
        <w:rPr>
          <w:rFonts w:cs="Times New Roman"/>
          <w:sz w:val="24"/>
          <w:szCs w:val="24"/>
        </w:rPr>
        <w:t>jest</w:t>
      </w:r>
      <w:r w:rsidRPr="00833C88">
        <w:rPr>
          <w:rFonts w:cs="Times New Roman"/>
          <w:sz w:val="24"/>
          <w:szCs w:val="24"/>
        </w:rPr>
        <w:t xml:space="preserve"> </w:t>
      </w:r>
      <w:r w:rsidR="009F384E" w:rsidRPr="00833C88">
        <w:rPr>
          <w:rFonts w:cs="Times New Roman"/>
          <w:sz w:val="24"/>
          <w:szCs w:val="24"/>
        </w:rPr>
        <w:t>osob</w:t>
      </w:r>
      <w:r w:rsidR="00672236" w:rsidRPr="00833C88">
        <w:rPr>
          <w:rFonts w:cs="Times New Roman"/>
          <w:sz w:val="24"/>
          <w:szCs w:val="24"/>
        </w:rPr>
        <w:t>a</w:t>
      </w:r>
      <w:r w:rsidR="009F384E" w:rsidRPr="00833C88">
        <w:rPr>
          <w:rFonts w:cs="Times New Roman"/>
          <w:sz w:val="24"/>
          <w:szCs w:val="24"/>
        </w:rPr>
        <w:t xml:space="preserve"> fizyczn</w:t>
      </w:r>
      <w:r w:rsidR="00672236" w:rsidRPr="00833C88">
        <w:rPr>
          <w:rFonts w:cs="Times New Roman"/>
          <w:sz w:val="24"/>
          <w:szCs w:val="24"/>
        </w:rPr>
        <w:t>a</w:t>
      </w:r>
      <w:r w:rsidR="009F384E" w:rsidRPr="00833C88">
        <w:rPr>
          <w:rFonts w:cs="Times New Roman"/>
          <w:sz w:val="24"/>
          <w:szCs w:val="24"/>
        </w:rPr>
        <w:t>, osob</w:t>
      </w:r>
      <w:r w:rsidR="00672236" w:rsidRPr="00833C88">
        <w:rPr>
          <w:rFonts w:cs="Times New Roman"/>
          <w:sz w:val="24"/>
          <w:szCs w:val="24"/>
        </w:rPr>
        <w:t>a</w:t>
      </w:r>
      <w:r w:rsidR="009F384E" w:rsidRPr="00833C88">
        <w:rPr>
          <w:rFonts w:cs="Times New Roman"/>
          <w:sz w:val="24"/>
          <w:szCs w:val="24"/>
        </w:rPr>
        <w:t xml:space="preserve"> prawn</w:t>
      </w:r>
      <w:r w:rsidR="00672236" w:rsidRPr="00833C88">
        <w:rPr>
          <w:rFonts w:cs="Times New Roman"/>
          <w:sz w:val="24"/>
          <w:szCs w:val="24"/>
        </w:rPr>
        <w:t>a</w:t>
      </w:r>
      <w:r w:rsidR="009F384E" w:rsidRPr="00833C88">
        <w:rPr>
          <w:rFonts w:cs="Times New Roman"/>
          <w:sz w:val="24"/>
          <w:szCs w:val="24"/>
        </w:rPr>
        <w:t xml:space="preserve"> albo jednostk</w:t>
      </w:r>
      <w:r w:rsidR="00672236" w:rsidRPr="00833C88">
        <w:rPr>
          <w:rFonts w:cs="Times New Roman"/>
          <w:sz w:val="24"/>
          <w:szCs w:val="24"/>
        </w:rPr>
        <w:t>a</w:t>
      </w:r>
      <w:r w:rsidR="009F384E" w:rsidRPr="00833C88">
        <w:rPr>
          <w:rFonts w:cs="Times New Roman"/>
          <w:sz w:val="24"/>
          <w:szCs w:val="24"/>
        </w:rPr>
        <w:t xml:space="preserve"> organizacyjn</w:t>
      </w:r>
      <w:r w:rsidR="00672236" w:rsidRPr="00833C88">
        <w:rPr>
          <w:rFonts w:cs="Times New Roman"/>
          <w:sz w:val="24"/>
          <w:szCs w:val="24"/>
        </w:rPr>
        <w:t>a</w:t>
      </w:r>
      <w:r w:rsidR="009F384E" w:rsidRPr="00833C88">
        <w:rPr>
          <w:rFonts w:cs="Times New Roman"/>
          <w:sz w:val="24"/>
          <w:szCs w:val="24"/>
        </w:rPr>
        <w:t xml:space="preserve"> nieposiadającą osobowości prawnej, która dostarcza treści </w:t>
      </w:r>
      <w:r w:rsidR="00601933" w:rsidRPr="00833C88">
        <w:rPr>
          <w:rFonts w:cs="Times New Roman"/>
          <w:sz w:val="24"/>
          <w:szCs w:val="24"/>
        </w:rPr>
        <w:t>i </w:t>
      </w:r>
      <w:r w:rsidR="009F384E" w:rsidRPr="00833C88">
        <w:rPr>
          <w:rFonts w:cs="Times New Roman"/>
          <w:sz w:val="24"/>
          <w:szCs w:val="24"/>
        </w:rPr>
        <w:t xml:space="preserve">usługi cyfrowe do sieci rozproszonych geograficznie serwerów służących zapewnieniu wysokiej </w:t>
      </w:r>
      <w:r w:rsidR="00601933" w:rsidRPr="00833C88">
        <w:rPr>
          <w:rFonts w:cs="Times New Roman"/>
          <w:sz w:val="24"/>
          <w:szCs w:val="24"/>
        </w:rPr>
        <w:t>i </w:t>
      </w:r>
      <w:r w:rsidR="009F384E" w:rsidRPr="00833C88">
        <w:rPr>
          <w:rFonts w:cs="Times New Roman"/>
          <w:sz w:val="24"/>
          <w:szCs w:val="24"/>
        </w:rPr>
        <w:t xml:space="preserve">łatwej dostępności tych treści </w:t>
      </w:r>
      <w:r w:rsidR="00601933" w:rsidRPr="00833C88">
        <w:rPr>
          <w:rFonts w:cs="Times New Roman"/>
          <w:sz w:val="24"/>
          <w:szCs w:val="24"/>
        </w:rPr>
        <w:t>i </w:t>
      </w:r>
      <w:r w:rsidR="009F384E" w:rsidRPr="00833C88">
        <w:rPr>
          <w:rFonts w:cs="Times New Roman"/>
          <w:sz w:val="24"/>
          <w:szCs w:val="24"/>
        </w:rPr>
        <w:t xml:space="preserve">usług cyfrowych lub ich szybkiego dostarczania na rzecz użytkowników internetu </w:t>
      </w:r>
      <w:r w:rsidR="00601933" w:rsidRPr="00833C88">
        <w:rPr>
          <w:rFonts w:cs="Times New Roman"/>
          <w:sz w:val="24"/>
          <w:szCs w:val="24"/>
        </w:rPr>
        <w:t>w </w:t>
      </w:r>
      <w:r w:rsidR="009F384E" w:rsidRPr="00833C88">
        <w:rPr>
          <w:rFonts w:cs="Times New Roman"/>
          <w:sz w:val="24"/>
          <w:szCs w:val="24"/>
        </w:rPr>
        <w:t xml:space="preserve">imieniu dostawców treści </w:t>
      </w:r>
      <w:r w:rsidR="00601933" w:rsidRPr="00833C88">
        <w:rPr>
          <w:rFonts w:cs="Times New Roman"/>
          <w:sz w:val="24"/>
          <w:szCs w:val="24"/>
        </w:rPr>
        <w:t>i </w:t>
      </w:r>
      <w:r w:rsidR="009F384E" w:rsidRPr="00833C88">
        <w:rPr>
          <w:rFonts w:cs="Times New Roman"/>
          <w:sz w:val="24"/>
          <w:szCs w:val="24"/>
        </w:rPr>
        <w:t xml:space="preserve">usług, jednakże </w:t>
      </w:r>
      <w:r w:rsidR="00601933" w:rsidRPr="00833C88">
        <w:rPr>
          <w:rFonts w:cs="Times New Roman"/>
          <w:sz w:val="24"/>
          <w:szCs w:val="24"/>
        </w:rPr>
        <w:t>z </w:t>
      </w:r>
      <w:r w:rsidR="009F384E" w:rsidRPr="00833C88">
        <w:rPr>
          <w:rFonts w:cs="Times New Roman"/>
          <w:sz w:val="24"/>
          <w:szCs w:val="24"/>
        </w:rPr>
        <w:t xml:space="preserve">wyłączeniem przedsiębiorców komunikacji elektronicznej. Wielu przedsiębiorców </w:t>
      </w:r>
      <w:r w:rsidR="000A701D" w:rsidRPr="00833C88">
        <w:rPr>
          <w:rFonts w:cs="Times New Roman"/>
          <w:sz w:val="24"/>
          <w:szCs w:val="24"/>
        </w:rPr>
        <w:t xml:space="preserve">komunikacji elektronicznej </w:t>
      </w:r>
      <w:r w:rsidR="009F384E" w:rsidRPr="00833C88">
        <w:rPr>
          <w:rFonts w:cs="Times New Roman"/>
          <w:sz w:val="24"/>
          <w:szCs w:val="24"/>
        </w:rPr>
        <w:t xml:space="preserve">tworzy </w:t>
      </w:r>
      <w:r w:rsidR="000A701D" w:rsidRPr="00833C88">
        <w:rPr>
          <w:rFonts w:cs="Times New Roman"/>
          <w:sz w:val="24"/>
          <w:szCs w:val="24"/>
        </w:rPr>
        <w:t xml:space="preserve">własne CDN, stąd też </w:t>
      </w:r>
      <w:r w:rsidR="000A303F" w:rsidRPr="00833C88">
        <w:rPr>
          <w:rFonts w:cs="Times New Roman"/>
          <w:sz w:val="24"/>
          <w:szCs w:val="24"/>
        </w:rPr>
        <w:t xml:space="preserve">uznano, że warto tutaj rozgraniczyć te definicje. </w:t>
      </w:r>
      <w:r w:rsidR="004402AF" w:rsidRPr="00833C88">
        <w:rPr>
          <w:rFonts w:cs="Times New Roman"/>
          <w:sz w:val="24"/>
          <w:szCs w:val="24"/>
        </w:rPr>
        <w:t>Przedsiębiorcy</w:t>
      </w:r>
      <w:r w:rsidR="000A303F" w:rsidRPr="00833C88">
        <w:rPr>
          <w:rFonts w:cs="Times New Roman"/>
          <w:sz w:val="24"/>
          <w:szCs w:val="24"/>
        </w:rPr>
        <w:t xml:space="preserve"> komunikacji elektronicznej </w:t>
      </w:r>
      <w:r w:rsidR="00601933" w:rsidRPr="00833C88">
        <w:rPr>
          <w:rFonts w:cs="Times New Roman"/>
          <w:sz w:val="24"/>
          <w:szCs w:val="24"/>
        </w:rPr>
        <w:t>i </w:t>
      </w:r>
      <w:r w:rsidR="000A303F" w:rsidRPr="00833C88">
        <w:rPr>
          <w:rFonts w:cs="Times New Roman"/>
          <w:sz w:val="24"/>
          <w:szCs w:val="24"/>
        </w:rPr>
        <w:t xml:space="preserve">świadczone przez nich usługi podlegają </w:t>
      </w:r>
      <w:r w:rsidR="00673FEF" w:rsidRPr="00833C88">
        <w:rPr>
          <w:rFonts w:cs="Times New Roman"/>
          <w:sz w:val="24"/>
          <w:szCs w:val="24"/>
        </w:rPr>
        <w:t xml:space="preserve">reżimowi </w:t>
      </w:r>
      <w:r w:rsidR="000A303F" w:rsidRPr="00833C88">
        <w:rPr>
          <w:rFonts w:cs="Times New Roman"/>
          <w:sz w:val="24"/>
          <w:szCs w:val="24"/>
        </w:rPr>
        <w:t>ustaw</w:t>
      </w:r>
      <w:r w:rsidR="00673FEF" w:rsidRPr="00833C88">
        <w:rPr>
          <w:rFonts w:cs="Times New Roman"/>
          <w:sz w:val="24"/>
          <w:szCs w:val="24"/>
        </w:rPr>
        <w:t>y</w:t>
      </w:r>
      <w:r w:rsidR="00830355" w:rsidRPr="00833C88">
        <w:rPr>
          <w:rFonts w:cs="Times New Roman"/>
          <w:sz w:val="24"/>
          <w:szCs w:val="24"/>
        </w:rPr>
        <w:t xml:space="preserve"> – ich usługi CDN </w:t>
      </w:r>
      <w:r w:rsidR="00673FEF" w:rsidRPr="00833C88">
        <w:rPr>
          <w:rFonts w:cs="Times New Roman"/>
          <w:sz w:val="24"/>
          <w:szCs w:val="24"/>
        </w:rPr>
        <w:t xml:space="preserve">też </w:t>
      </w:r>
      <w:r w:rsidR="00830355" w:rsidRPr="00833C88">
        <w:rPr>
          <w:rFonts w:cs="Times New Roman"/>
          <w:sz w:val="24"/>
          <w:szCs w:val="24"/>
        </w:rPr>
        <w:t xml:space="preserve">będą podlegać pod </w:t>
      </w:r>
      <w:r w:rsidR="00673FEF" w:rsidRPr="00833C88">
        <w:rPr>
          <w:rFonts w:cs="Times New Roman"/>
          <w:sz w:val="24"/>
          <w:szCs w:val="24"/>
        </w:rPr>
        <w:t xml:space="preserve">reżim </w:t>
      </w:r>
      <w:r w:rsidR="00830355" w:rsidRPr="00833C88">
        <w:rPr>
          <w:rFonts w:cs="Times New Roman"/>
          <w:sz w:val="24"/>
          <w:szCs w:val="24"/>
        </w:rPr>
        <w:t>ustaw</w:t>
      </w:r>
      <w:r w:rsidR="00673FEF" w:rsidRPr="00833C88">
        <w:rPr>
          <w:rFonts w:cs="Times New Roman"/>
          <w:sz w:val="24"/>
          <w:szCs w:val="24"/>
        </w:rPr>
        <w:t>y</w:t>
      </w:r>
      <w:r w:rsidR="00830355" w:rsidRPr="00833C88">
        <w:rPr>
          <w:rFonts w:cs="Times New Roman"/>
          <w:sz w:val="24"/>
          <w:szCs w:val="24"/>
        </w:rPr>
        <w:t xml:space="preserve"> jako usługi komunikacji elektronicznej. </w:t>
      </w:r>
    </w:p>
    <w:p w14:paraId="242BB2B0" w14:textId="3FF41A09" w:rsidR="003E6BEB" w:rsidRPr="00833C88" w:rsidRDefault="00241E81" w:rsidP="00491607">
      <w:pPr>
        <w:pStyle w:val="Nagwek4"/>
        <w:numPr>
          <w:ilvl w:val="0"/>
          <w:numId w:val="0"/>
        </w:numPr>
        <w:ind w:left="720" w:hanging="11"/>
        <w:rPr>
          <w:rFonts w:cs="Times New Roman"/>
          <w:sz w:val="24"/>
          <w:szCs w:val="24"/>
        </w:rPr>
      </w:pPr>
      <w:r w:rsidRPr="00833C88">
        <w:rPr>
          <w:rFonts w:cs="Times New Roman"/>
          <w:sz w:val="24"/>
          <w:szCs w:val="24"/>
        </w:rPr>
        <w:t xml:space="preserve">8) </w:t>
      </w:r>
      <w:r w:rsidR="003E6BEB" w:rsidRPr="00833C88">
        <w:rPr>
          <w:rFonts w:cs="Times New Roman"/>
          <w:sz w:val="24"/>
          <w:szCs w:val="24"/>
        </w:rPr>
        <w:t>Dostawca sprzętu lub oprogramowania</w:t>
      </w:r>
    </w:p>
    <w:p w14:paraId="3EF051CB" w14:textId="027E2474" w:rsidR="00237A3A" w:rsidRPr="00833C88" w:rsidRDefault="00237A3A" w:rsidP="00533D2A">
      <w:pPr>
        <w:pStyle w:val="ARTartustawynprozporzdzenia"/>
        <w:spacing w:before="0" w:after="120"/>
        <w:ind w:firstLine="0"/>
        <w:rPr>
          <w:rFonts w:ascii="Times New Roman" w:hAnsi="Times New Roman" w:cs="Times New Roman"/>
        </w:rPr>
      </w:pPr>
      <w:r w:rsidRPr="00833C88">
        <w:rPr>
          <w:rFonts w:ascii="Times New Roman" w:hAnsi="Times New Roman" w:cs="Times New Roman"/>
        </w:rPr>
        <w:t xml:space="preserve">Nowością jest definicja dostawcy </w:t>
      </w:r>
      <w:r w:rsidR="003E6BEB" w:rsidRPr="00833C88">
        <w:rPr>
          <w:rFonts w:ascii="Times New Roman" w:hAnsi="Times New Roman" w:cs="Times New Roman"/>
        </w:rPr>
        <w:t>sprzętu lub oprogramowania</w:t>
      </w:r>
      <w:r w:rsidR="007710FF" w:rsidRPr="00833C88">
        <w:rPr>
          <w:rFonts w:ascii="Times New Roman" w:hAnsi="Times New Roman" w:cs="Times New Roman"/>
        </w:rPr>
        <w:t xml:space="preserve"> </w:t>
      </w:r>
      <w:r w:rsidRPr="00833C88">
        <w:rPr>
          <w:rFonts w:ascii="Times New Roman" w:hAnsi="Times New Roman" w:cs="Times New Roman"/>
        </w:rPr>
        <w:t xml:space="preserve">– tutaj projekt ustawy odwołuje się do art. 2 pkt 3–6 rozporządzenia Parlamentu Europejskiego </w:t>
      </w:r>
      <w:r w:rsidR="00601933" w:rsidRPr="00833C88">
        <w:rPr>
          <w:rFonts w:ascii="Times New Roman" w:hAnsi="Times New Roman" w:cs="Times New Roman"/>
        </w:rPr>
        <w:t>i </w:t>
      </w:r>
      <w:r w:rsidRPr="00833C88">
        <w:rPr>
          <w:rFonts w:ascii="Times New Roman" w:hAnsi="Times New Roman" w:cs="Times New Roman"/>
        </w:rPr>
        <w:t xml:space="preserve">Rady (WE) nr 765/2008 </w:t>
      </w:r>
      <w:r w:rsidR="00601933" w:rsidRPr="00833C88">
        <w:rPr>
          <w:rFonts w:ascii="Times New Roman" w:hAnsi="Times New Roman" w:cs="Times New Roman"/>
        </w:rPr>
        <w:t>z </w:t>
      </w:r>
      <w:r w:rsidRPr="00833C88">
        <w:rPr>
          <w:rFonts w:ascii="Times New Roman" w:hAnsi="Times New Roman" w:cs="Times New Roman"/>
        </w:rPr>
        <w:t xml:space="preserve">dnia 9 lipca 2008 r. ustanawiającego wymagania </w:t>
      </w:r>
      <w:r w:rsidR="00601933" w:rsidRPr="00833C88">
        <w:rPr>
          <w:rFonts w:ascii="Times New Roman" w:hAnsi="Times New Roman" w:cs="Times New Roman"/>
        </w:rPr>
        <w:t>w </w:t>
      </w:r>
      <w:r w:rsidRPr="00833C88">
        <w:rPr>
          <w:rFonts w:ascii="Times New Roman" w:hAnsi="Times New Roman" w:cs="Times New Roman"/>
        </w:rPr>
        <w:t xml:space="preserve">zakresie akredytacji </w:t>
      </w:r>
      <w:r w:rsidR="00601933" w:rsidRPr="00833C88">
        <w:rPr>
          <w:rFonts w:ascii="Times New Roman" w:hAnsi="Times New Roman" w:cs="Times New Roman"/>
        </w:rPr>
        <w:t>i </w:t>
      </w:r>
      <w:r w:rsidRPr="00833C88">
        <w:rPr>
          <w:rFonts w:ascii="Times New Roman" w:hAnsi="Times New Roman" w:cs="Times New Roman"/>
        </w:rPr>
        <w:t>uchylającego rozporządzenie (EWG) nr 339/93 (Dz. Urz. UE L</w:t>
      </w:r>
      <w:r w:rsidR="00337017" w:rsidRPr="00833C88">
        <w:rPr>
          <w:rFonts w:ascii="Times New Roman" w:hAnsi="Times New Roman" w:cs="Times New Roman"/>
        </w:rPr>
        <w:t xml:space="preserve"> 218</w:t>
      </w:r>
      <w:r w:rsidRPr="00833C88">
        <w:rPr>
          <w:rFonts w:ascii="Times New Roman" w:hAnsi="Times New Roman" w:cs="Times New Roman"/>
        </w:rPr>
        <w:t xml:space="preserve"> </w:t>
      </w:r>
      <w:r w:rsidR="00601933" w:rsidRPr="00833C88">
        <w:rPr>
          <w:rFonts w:ascii="Times New Roman" w:hAnsi="Times New Roman" w:cs="Times New Roman"/>
        </w:rPr>
        <w:t>z </w:t>
      </w:r>
      <w:r w:rsidRPr="00833C88">
        <w:rPr>
          <w:rFonts w:ascii="Times New Roman" w:hAnsi="Times New Roman" w:cs="Times New Roman"/>
        </w:rPr>
        <w:t>13.08.2008</w:t>
      </w:r>
      <w:r w:rsidR="00337017" w:rsidRPr="00833C88">
        <w:rPr>
          <w:rFonts w:ascii="Times New Roman" w:hAnsi="Times New Roman" w:cs="Times New Roman"/>
        </w:rPr>
        <w:t>,</w:t>
      </w:r>
      <w:r w:rsidRPr="00833C88">
        <w:rPr>
          <w:rFonts w:ascii="Times New Roman" w:hAnsi="Times New Roman" w:cs="Times New Roman"/>
        </w:rPr>
        <w:t xml:space="preserve"> </w:t>
      </w:r>
      <w:r w:rsidR="00337017" w:rsidRPr="00833C88">
        <w:rPr>
          <w:rFonts w:ascii="Times New Roman" w:hAnsi="Times New Roman" w:cs="Times New Roman"/>
        </w:rPr>
        <w:t>st</w:t>
      </w:r>
      <w:r w:rsidRPr="00833C88">
        <w:rPr>
          <w:rFonts w:ascii="Times New Roman" w:hAnsi="Times New Roman" w:cs="Times New Roman"/>
        </w:rPr>
        <w:t>r.</w:t>
      </w:r>
      <w:r w:rsidR="00337017" w:rsidRPr="00833C88">
        <w:rPr>
          <w:rFonts w:ascii="Times New Roman" w:hAnsi="Times New Roman" w:cs="Times New Roman"/>
        </w:rPr>
        <w:t xml:space="preserve"> 30</w:t>
      </w:r>
      <w:r w:rsidR="007D31CB" w:rsidRPr="00833C88">
        <w:rPr>
          <w:rFonts w:ascii="Times New Roman" w:hAnsi="Times New Roman" w:cs="Times New Roman"/>
        </w:rPr>
        <w:t>,</w:t>
      </w:r>
      <w:r w:rsidR="00337017" w:rsidRPr="00833C88">
        <w:rPr>
          <w:rFonts w:ascii="Times New Roman" w:hAnsi="Times New Roman" w:cs="Times New Roman"/>
        </w:rPr>
        <w:t xml:space="preserve"> </w:t>
      </w:r>
      <w:r w:rsidR="00601933" w:rsidRPr="00833C88">
        <w:rPr>
          <w:rFonts w:ascii="Times New Roman" w:hAnsi="Times New Roman" w:cs="Times New Roman"/>
        </w:rPr>
        <w:t>z </w:t>
      </w:r>
      <w:r w:rsidR="00337017" w:rsidRPr="00833C88">
        <w:rPr>
          <w:rFonts w:ascii="Times New Roman" w:hAnsi="Times New Roman" w:cs="Times New Roman"/>
        </w:rPr>
        <w:t>późn. zm.</w:t>
      </w:r>
      <w:r w:rsidRPr="00833C88">
        <w:rPr>
          <w:rFonts w:ascii="Times New Roman" w:hAnsi="Times New Roman" w:cs="Times New Roman"/>
        </w:rPr>
        <w:t xml:space="preserve">), zwanego dalej „rozporządzeniem 765/2008”. Zgodnie </w:t>
      </w:r>
      <w:r w:rsidR="00601933" w:rsidRPr="00833C88">
        <w:rPr>
          <w:rFonts w:ascii="Times New Roman" w:hAnsi="Times New Roman" w:cs="Times New Roman"/>
        </w:rPr>
        <w:t>z </w:t>
      </w:r>
      <w:r w:rsidRPr="00833C88">
        <w:rPr>
          <w:rFonts w:ascii="Times New Roman" w:hAnsi="Times New Roman" w:cs="Times New Roman"/>
        </w:rPr>
        <w:t>rozporządzeniem 765/2008</w:t>
      </w:r>
      <w:r w:rsidR="00963A8D" w:rsidRPr="00833C88">
        <w:rPr>
          <w:rFonts w:ascii="Times New Roman" w:hAnsi="Times New Roman" w:cs="Times New Roman"/>
        </w:rPr>
        <w:t>,</w:t>
      </w:r>
      <w:r w:rsidRPr="00833C88">
        <w:rPr>
          <w:rFonts w:ascii="Times New Roman" w:hAnsi="Times New Roman" w:cs="Times New Roman"/>
        </w:rPr>
        <w:t xml:space="preserve"> dostawcą jest:</w:t>
      </w:r>
    </w:p>
    <w:p w14:paraId="247EB73C" w14:textId="77777777" w:rsidR="00237A3A" w:rsidRPr="00833C88" w:rsidRDefault="00237A3A" w:rsidP="0092521F">
      <w:pPr>
        <w:pStyle w:val="ARTartustawynprozporzdzenia"/>
        <w:spacing w:before="0" w:after="120"/>
        <w:ind w:left="510" w:firstLine="0"/>
        <w:rPr>
          <w:rFonts w:ascii="Times New Roman" w:hAnsi="Times New Roman" w:cs="Times New Roman"/>
        </w:rPr>
      </w:pPr>
      <w:r w:rsidRPr="00833C88">
        <w:rPr>
          <w:rFonts w:ascii="Times New Roman" w:hAnsi="Times New Roman" w:cs="Times New Roman"/>
        </w:rPr>
        <w:t>– producent – każda osoba fizyczna lub prawna, która wytwarza produkt lub która zleca zaprojektowanie lub wytworzenie produktu i oferuje ten produkt pod własną nazwą lub znakiem towarowym,</w:t>
      </w:r>
    </w:p>
    <w:p w14:paraId="2C482E26" w14:textId="77777777" w:rsidR="00237A3A" w:rsidRPr="00833C88" w:rsidRDefault="00237A3A" w:rsidP="0092521F">
      <w:pPr>
        <w:pStyle w:val="ARTartustawynprozporzdzenia"/>
        <w:spacing w:before="0" w:after="120"/>
        <w:ind w:left="510" w:firstLine="0"/>
        <w:rPr>
          <w:rFonts w:ascii="Times New Roman" w:hAnsi="Times New Roman" w:cs="Times New Roman"/>
        </w:rPr>
      </w:pPr>
      <w:r w:rsidRPr="00833C88">
        <w:rPr>
          <w:rFonts w:ascii="Times New Roman" w:hAnsi="Times New Roman" w:cs="Times New Roman"/>
        </w:rPr>
        <w:t>– upoważniony przedstawiciel – osoba fizyczna lub prawna mająca siedzibę w Unii Europejskiej, posiadająca pisemne pełnomocnictwo od producenta do występowania w jego imieniu w zakresie określonych zadań w odniesieniu do obowiązków producentów wynikających z odpowiedniego prawodawstwa wspólnotowego,</w:t>
      </w:r>
    </w:p>
    <w:p w14:paraId="681F27DE" w14:textId="77777777" w:rsidR="00237A3A" w:rsidRPr="00833C88" w:rsidRDefault="00237A3A" w:rsidP="0092521F">
      <w:pPr>
        <w:pStyle w:val="ARTartustawynprozporzdzenia"/>
        <w:spacing w:before="0" w:after="120"/>
        <w:ind w:left="510" w:firstLine="0"/>
        <w:rPr>
          <w:rFonts w:ascii="Times New Roman" w:hAnsi="Times New Roman" w:cs="Times New Roman"/>
        </w:rPr>
      </w:pPr>
      <w:r w:rsidRPr="00833C88">
        <w:rPr>
          <w:rFonts w:ascii="Times New Roman" w:hAnsi="Times New Roman" w:cs="Times New Roman"/>
        </w:rPr>
        <w:lastRenderedPageBreak/>
        <w:t>– importer – każda osoba fizyczna lub prawna, mająca siedzibę w Unii Europejskiej, wprowadzająca na rynek wspólnotowy produkt z kraju trzeciego</w:t>
      </w:r>
    </w:p>
    <w:p w14:paraId="0E49551B" w14:textId="77777777" w:rsidR="00237A3A" w:rsidRPr="00833C88" w:rsidRDefault="00237A3A" w:rsidP="0092521F">
      <w:pPr>
        <w:pStyle w:val="ARTartustawynprozporzdzenia"/>
        <w:spacing w:before="0" w:after="120"/>
        <w:rPr>
          <w:rFonts w:ascii="Times New Roman" w:hAnsi="Times New Roman" w:cs="Times New Roman"/>
        </w:rPr>
      </w:pPr>
      <w:r w:rsidRPr="00833C88">
        <w:rPr>
          <w:rFonts w:ascii="Times New Roman" w:hAnsi="Times New Roman" w:cs="Times New Roman"/>
        </w:rPr>
        <w:t>lub</w:t>
      </w:r>
    </w:p>
    <w:p w14:paraId="2E529E0A" w14:textId="77777777" w:rsidR="00237A3A" w:rsidRPr="00833C88" w:rsidRDefault="00237A3A" w:rsidP="0092521F">
      <w:pPr>
        <w:pStyle w:val="ARTartustawynprozporzdzenia"/>
        <w:spacing w:before="0" w:after="120"/>
        <w:ind w:left="510" w:firstLine="0"/>
        <w:rPr>
          <w:rFonts w:ascii="Times New Roman" w:hAnsi="Times New Roman" w:cs="Times New Roman"/>
        </w:rPr>
      </w:pPr>
      <w:r w:rsidRPr="00833C88">
        <w:rPr>
          <w:rFonts w:ascii="Times New Roman" w:hAnsi="Times New Roman" w:cs="Times New Roman"/>
        </w:rPr>
        <w:t xml:space="preserve">– dystrybutor – każda osoba fizyczna lub prawna w łańcuchu dostaw, inna niż producent lub importer, która udostępnia produkt na rynku. </w:t>
      </w:r>
    </w:p>
    <w:p w14:paraId="07D3E450" w14:textId="77777777" w:rsidR="00A44A01" w:rsidRPr="00833C88" w:rsidRDefault="00A44A01" w:rsidP="0092521F">
      <w:pPr>
        <w:pStyle w:val="NIEARTTEKSTtekstnieartykuowanynppodstprawnarozplubpreambua"/>
        <w:spacing w:before="0" w:after="120"/>
        <w:ind w:firstLine="0"/>
        <w:rPr>
          <w:rFonts w:ascii="Times New Roman" w:hAnsi="Times New Roman" w:cs="Times New Roman"/>
          <w:szCs w:val="24"/>
        </w:rPr>
      </w:pPr>
      <w:r w:rsidRPr="00833C88">
        <w:rPr>
          <w:rFonts w:ascii="Times New Roman" w:hAnsi="Times New Roman" w:cs="Times New Roman"/>
        </w:rPr>
        <w:t>Definicja jest wprowadzana w związku z przepisami dotyczącymi systemu zarządzania bezpieczeństwem informacji, a także przepisami odnoszącymi się do postępowania w sprawie uznania za dostawcę wysokiego ryzyka.</w:t>
      </w:r>
    </w:p>
    <w:p w14:paraId="422CA2B8" w14:textId="6BD476D4" w:rsidR="009A5E26" w:rsidRPr="00833C88" w:rsidRDefault="001C7623" w:rsidP="00491607">
      <w:pPr>
        <w:pStyle w:val="Nagwek4"/>
        <w:numPr>
          <w:ilvl w:val="0"/>
          <w:numId w:val="0"/>
        </w:numPr>
        <w:ind w:left="720" w:hanging="11"/>
        <w:rPr>
          <w:rFonts w:cs="Times New Roman"/>
          <w:sz w:val="24"/>
          <w:szCs w:val="24"/>
        </w:rPr>
      </w:pPr>
      <w:r w:rsidRPr="00833C88">
        <w:rPr>
          <w:rFonts w:cs="Times New Roman"/>
          <w:sz w:val="24"/>
          <w:szCs w:val="24"/>
        </w:rPr>
        <w:t xml:space="preserve">9) </w:t>
      </w:r>
      <w:r w:rsidR="009A5E26" w:rsidRPr="00833C88">
        <w:rPr>
          <w:rFonts w:cs="Times New Roman"/>
          <w:sz w:val="24"/>
          <w:szCs w:val="24"/>
        </w:rPr>
        <w:t>Dostawca internetowej platformy handlowej</w:t>
      </w:r>
    </w:p>
    <w:p w14:paraId="615D1097" w14:textId="35F171CE" w:rsidR="00B22512" w:rsidRPr="00833C88" w:rsidRDefault="00993E97" w:rsidP="0029004E">
      <w:pPr>
        <w:spacing w:line="360" w:lineRule="auto"/>
        <w:jc w:val="both"/>
        <w:rPr>
          <w:rFonts w:cs="Times New Roman"/>
          <w:sz w:val="24"/>
          <w:szCs w:val="24"/>
        </w:rPr>
      </w:pPr>
      <w:r w:rsidRPr="00833C88">
        <w:rPr>
          <w:rFonts w:cs="Times New Roman"/>
          <w:sz w:val="24"/>
          <w:szCs w:val="24"/>
        </w:rPr>
        <w:t xml:space="preserve">Dostawca internetowej platformy handlowej to </w:t>
      </w:r>
      <w:r w:rsidR="001F1B95" w:rsidRPr="00833C88">
        <w:rPr>
          <w:rFonts w:cs="Times New Roman"/>
          <w:sz w:val="24"/>
          <w:szCs w:val="24"/>
        </w:rPr>
        <w:t>osoba fizyczn</w:t>
      </w:r>
      <w:r w:rsidR="00A952AE" w:rsidRPr="00833C88">
        <w:rPr>
          <w:rFonts w:cs="Times New Roman"/>
          <w:sz w:val="24"/>
          <w:szCs w:val="24"/>
        </w:rPr>
        <w:t>a</w:t>
      </w:r>
      <w:r w:rsidR="001F1B95" w:rsidRPr="00833C88">
        <w:rPr>
          <w:rFonts w:cs="Times New Roman"/>
          <w:sz w:val="24"/>
          <w:szCs w:val="24"/>
        </w:rPr>
        <w:t xml:space="preserve">, osoba prawna albo jednostka organizacyjna nieposiadająca osobowości prawnej, która dostarcza internetową platformę handlową </w:t>
      </w:r>
      <w:r w:rsidR="00601933" w:rsidRPr="00833C88">
        <w:rPr>
          <w:rFonts w:cs="Times New Roman"/>
          <w:sz w:val="24"/>
          <w:szCs w:val="24"/>
        </w:rPr>
        <w:t>w </w:t>
      </w:r>
      <w:r w:rsidR="001F1B95" w:rsidRPr="00833C88">
        <w:rPr>
          <w:rFonts w:cs="Times New Roman"/>
          <w:sz w:val="24"/>
          <w:szCs w:val="24"/>
        </w:rPr>
        <w:t xml:space="preserve">rozumieniu art. 2 pkt 8 ustawy </w:t>
      </w:r>
      <w:r w:rsidR="00601933" w:rsidRPr="00833C88">
        <w:rPr>
          <w:rFonts w:cs="Times New Roman"/>
          <w:sz w:val="24"/>
          <w:szCs w:val="24"/>
        </w:rPr>
        <w:t>z </w:t>
      </w:r>
      <w:r w:rsidR="001F1B95" w:rsidRPr="00833C88">
        <w:rPr>
          <w:rFonts w:cs="Times New Roman"/>
          <w:sz w:val="24"/>
          <w:szCs w:val="24"/>
        </w:rPr>
        <w:t xml:space="preserve">dnia 30 maja 2014 r. </w:t>
      </w:r>
      <w:r w:rsidR="00601933" w:rsidRPr="00833C88">
        <w:rPr>
          <w:rFonts w:cs="Times New Roman"/>
          <w:sz w:val="24"/>
          <w:szCs w:val="24"/>
        </w:rPr>
        <w:t>o </w:t>
      </w:r>
      <w:r w:rsidR="001F1B95" w:rsidRPr="00833C88">
        <w:rPr>
          <w:rFonts w:cs="Times New Roman"/>
          <w:sz w:val="24"/>
          <w:szCs w:val="24"/>
        </w:rPr>
        <w:t>prawach konsumenta</w:t>
      </w:r>
      <w:r w:rsidR="00D303CE" w:rsidRPr="00833C88">
        <w:rPr>
          <w:rFonts w:cs="Times New Roman"/>
          <w:sz w:val="24"/>
          <w:szCs w:val="24"/>
        </w:rPr>
        <w:t xml:space="preserve"> (Dz.</w:t>
      </w:r>
      <w:r w:rsidR="00491607" w:rsidRPr="00833C88">
        <w:rPr>
          <w:rFonts w:cs="Times New Roman"/>
          <w:sz w:val="24"/>
          <w:szCs w:val="24"/>
        </w:rPr>
        <w:t> </w:t>
      </w:r>
      <w:r w:rsidR="00D303CE" w:rsidRPr="00833C88">
        <w:rPr>
          <w:rFonts w:cs="Times New Roman"/>
          <w:sz w:val="24"/>
          <w:szCs w:val="24"/>
        </w:rPr>
        <w:t xml:space="preserve">U. </w:t>
      </w:r>
      <w:r w:rsidR="00601933" w:rsidRPr="00833C88">
        <w:rPr>
          <w:rFonts w:cs="Times New Roman"/>
          <w:sz w:val="24"/>
          <w:szCs w:val="24"/>
        </w:rPr>
        <w:t>z </w:t>
      </w:r>
      <w:r w:rsidR="00D303CE" w:rsidRPr="00833C88">
        <w:rPr>
          <w:rFonts w:cs="Times New Roman"/>
          <w:sz w:val="24"/>
          <w:szCs w:val="24"/>
        </w:rPr>
        <w:t>2024 r. poz. 1</w:t>
      </w:r>
      <w:r w:rsidR="008125AA" w:rsidRPr="00833C88">
        <w:rPr>
          <w:rFonts w:cs="Times New Roman"/>
          <w:sz w:val="24"/>
          <w:szCs w:val="24"/>
        </w:rPr>
        <w:t>796</w:t>
      </w:r>
      <w:r w:rsidR="001C7623" w:rsidRPr="00833C88">
        <w:rPr>
          <w:rFonts w:cs="Times New Roman"/>
          <w:sz w:val="24"/>
          <w:szCs w:val="24"/>
        </w:rPr>
        <w:t xml:space="preserve"> oraz z 2025 r. poz. 1172</w:t>
      </w:r>
      <w:r w:rsidR="00D303CE" w:rsidRPr="00833C88">
        <w:rPr>
          <w:rFonts w:cs="Times New Roman"/>
          <w:sz w:val="24"/>
          <w:szCs w:val="24"/>
        </w:rPr>
        <w:t>).</w:t>
      </w:r>
      <w:r w:rsidR="00254C13" w:rsidRPr="00833C88">
        <w:rPr>
          <w:rFonts w:cs="Times New Roman"/>
          <w:sz w:val="24"/>
          <w:szCs w:val="24"/>
        </w:rPr>
        <w:t xml:space="preserve"> Zgodnie </w:t>
      </w:r>
      <w:r w:rsidR="00601933" w:rsidRPr="00833C88">
        <w:rPr>
          <w:rFonts w:cs="Times New Roman"/>
          <w:sz w:val="24"/>
          <w:szCs w:val="24"/>
        </w:rPr>
        <w:t>z </w:t>
      </w:r>
      <w:r w:rsidR="00254C13" w:rsidRPr="00833C88">
        <w:rPr>
          <w:rFonts w:cs="Times New Roman"/>
          <w:sz w:val="24"/>
          <w:szCs w:val="24"/>
        </w:rPr>
        <w:t>tą ustawą (</w:t>
      </w:r>
      <w:r w:rsidR="00601933" w:rsidRPr="00833C88">
        <w:rPr>
          <w:rFonts w:cs="Times New Roman"/>
          <w:sz w:val="24"/>
          <w:szCs w:val="24"/>
        </w:rPr>
        <w:t>i </w:t>
      </w:r>
      <w:r w:rsidR="00254C13" w:rsidRPr="00833C88">
        <w:rPr>
          <w:rFonts w:cs="Times New Roman"/>
          <w:sz w:val="24"/>
          <w:szCs w:val="24"/>
        </w:rPr>
        <w:t xml:space="preserve">prawodawstwem unijnym) </w:t>
      </w:r>
      <w:r w:rsidR="00B22512" w:rsidRPr="00833C88">
        <w:rPr>
          <w:rFonts w:cs="Times New Roman"/>
          <w:sz w:val="24"/>
          <w:szCs w:val="24"/>
        </w:rPr>
        <w:t xml:space="preserve">internetowa platforma handlowa to usługa korzystającą </w:t>
      </w:r>
      <w:r w:rsidR="00601933" w:rsidRPr="00833C88">
        <w:rPr>
          <w:rFonts w:cs="Times New Roman"/>
          <w:sz w:val="24"/>
          <w:szCs w:val="24"/>
        </w:rPr>
        <w:t>z </w:t>
      </w:r>
      <w:r w:rsidR="00B22512" w:rsidRPr="00833C88">
        <w:rPr>
          <w:rFonts w:cs="Times New Roman"/>
          <w:sz w:val="24"/>
          <w:szCs w:val="24"/>
        </w:rPr>
        <w:t xml:space="preserve">oprogramowania, </w:t>
      </w:r>
      <w:r w:rsidR="00601933" w:rsidRPr="00833C88">
        <w:rPr>
          <w:rFonts w:cs="Times New Roman"/>
          <w:sz w:val="24"/>
          <w:szCs w:val="24"/>
        </w:rPr>
        <w:t>w </w:t>
      </w:r>
      <w:r w:rsidR="00B22512" w:rsidRPr="00833C88">
        <w:rPr>
          <w:rFonts w:cs="Times New Roman"/>
          <w:sz w:val="24"/>
          <w:szCs w:val="24"/>
        </w:rPr>
        <w:t>tym ze</w:t>
      </w:r>
      <w:r w:rsidR="00491607" w:rsidRPr="00833C88">
        <w:rPr>
          <w:rFonts w:cs="Times New Roman"/>
          <w:sz w:val="24"/>
          <w:szCs w:val="24"/>
        </w:rPr>
        <w:t> </w:t>
      </w:r>
      <w:r w:rsidR="00B22512" w:rsidRPr="00833C88">
        <w:rPr>
          <w:rFonts w:cs="Times New Roman"/>
          <w:sz w:val="24"/>
          <w:szCs w:val="24"/>
        </w:rPr>
        <w:t xml:space="preserve">strony internetowej, </w:t>
      </w:r>
      <w:r w:rsidR="00601933" w:rsidRPr="00833C88">
        <w:rPr>
          <w:rFonts w:cs="Times New Roman"/>
          <w:sz w:val="24"/>
          <w:szCs w:val="24"/>
        </w:rPr>
        <w:t>z </w:t>
      </w:r>
      <w:r w:rsidR="00B22512" w:rsidRPr="00833C88">
        <w:rPr>
          <w:rFonts w:cs="Times New Roman"/>
          <w:sz w:val="24"/>
          <w:szCs w:val="24"/>
        </w:rPr>
        <w:t xml:space="preserve">części strony internetowej lub aplikacji, obsługiwanego przez przedsiębiorcę lub </w:t>
      </w:r>
      <w:r w:rsidR="00601933" w:rsidRPr="00833C88">
        <w:rPr>
          <w:rFonts w:cs="Times New Roman"/>
          <w:sz w:val="24"/>
          <w:szCs w:val="24"/>
        </w:rPr>
        <w:t>w </w:t>
      </w:r>
      <w:r w:rsidR="00B22512" w:rsidRPr="00833C88">
        <w:rPr>
          <w:rFonts w:cs="Times New Roman"/>
          <w:sz w:val="24"/>
          <w:szCs w:val="24"/>
        </w:rPr>
        <w:t xml:space="preserve">jego imieniu, </w:t>
      </w:r>
      <w:r w:rsidR="00601933" w:rsidRPr="00833C88">
        <w:rPr>
          <w:rFonts w:cs="Times New Roman"/>
          <w:sz w:val="24"/>
          <w:szCs w:val="24"/>
        </w:rPr>
        <w:t>w </w:t>
      </w:r>
      <w:r w:rsidR="00B22512" w:rsidRPr="00833C88">
        <w:rPr>
          <w:rFonts w:cs="Times New Roman"/>
          <w:sz w:val="24"/>
          <w:szCs w:val="24"/>
        </w:rPr>
        <w:t>ramach której umożliwia się:</w:t>
      </w:r>
    </w:p>
    <w:p w14:paraId="4A5267D7" w14:textId="6B7D74C8" w:rsidR="00B22512" w:rsidRPr="00833C88" w:rsidRDefault="00B22512" w:rsidP="00491607">
      <w:pPr>
        <w:tabs>
          <w:tab w:val="left" w:pos="284"/>
        </w:tabs>
        <w:spacing w:line="360" w:lineRule="auto"/>
        <w:jc w:val="both"/>
        <w:rPr>
          <w:rFonts w:cs="Times New Roman"/>
          <w:sz w:val="24"/>
          <w:szCs w:val="24"/>
        </w:rPr>
      </w:pPr>
      <w:r w:rsidRPr="00833C88">
        <w:rPr>
          <w:rFonts w:cs="Times New Roman"/>
          <w:sz w:val="24"/>
          <w:szCs w:val="24"/>
        </w:rPr>
        <w:t>a)</w:t>
      </w:r>
      <w:r w:rsidR="00491607" w:rsidRPr="00833C88">
        <w:rPr>
          <w:rFonts w:cs="Times New Roman"/>
          <w:sz w:val="24"/>
          <w:szCs w:val="24"/>
        </w:rPr>
        <w:tab/>
      </w:r>
      <w:r w:rsidRPr="00833C88">
        <w:rPr>
          <w:rFonts w:cs="Times New Roman"/>
          <w:sz w:val="24"/>
          <w:szCs w:val="24"/>
        </w:rPr>
        <w:t xml:space="preserve">konsumentom zawieranie </w:t>
      </w:r>
      <w:r w:rsidR="00601933" w:rsidRPr="00833C88">
        <w:rPr>
          <w:rFonts w:cs="Times New Roman"/>
          <w:sz w:val="24"/>
          <w:szCs w:val="24"/>
        </w:rPr>
        <w:t>z </w:t>
      </w:r>
      <w:r w:rsidRPr="00833C88">
        <w:rPr>
          <w:rFonts w:cs="Times New Roman"/>
          <w:sz w:val="24"/>
          <w:szCs w:val="24"/>
        </w:rPr>
        <w:t>innymi przedsiębiorcami umów na odległość lub</w:t>
      </w:r>
    </w:p>
    <w:p w14:paraId="78484B67" w14:textId="7CEFF988" w:rsidR="00663EAE" w:rsidRPr="00833C88" w:rsidRDefault="00B22512" w:rsidP="00491607">
      <w:pPr>
        <w:tabs>
          <w:tab w:val="left" w:pos="284"/>
        </w:tabs>
        <w:spacing w:line="360" w:lineRule="auto"/>
        <w:ind w:left="284" w:hanging="284"/>
        <w:jc w:val="both"/>
        <w:rPr>
          <w:rFonts w:cs="Times New Roman"/>
          <w:sz w:val="24"/>
          <w:szCs w:val="24"/>
        </w:rPr>
      </w:pPr>
      <w:r w:rsidRPr="00833C88">
        <w:rPr>
          <w:rFonts w:cs="Times New Roman"/>
          <w:sz w:val="24"/>
          <w:szCs w:val="24"/>
        </w:rPr>
        <w:t>b)</w:t>
      </w:r>
      <w:r w:rsidR="00491607" w:rsidRPr="00833C88">
        <w:rPr>
          <w:rFonts w:cs="Times New Roman"/>
          <w:sz w:val="24"/>
          <w:szCs w:val="24"/>
        </w:rPr>
        <w:tab/>
      </w:r>
      <w:r w:rsidRPr="00833C88">
        <w:rPr>
          <w:rFonts w:cs="Times New Roman"/>
          <w:sz w:val="24"/>
          <w:szCs w:val="24"/>
        </w:rPr>
        <w:t xml:space="preserve">osobom fizycznym niebędącym przedsiębiorcami zawieranie umów na odległość </w:t>
      </w:r>
      <w:r w:rsidR="00601933" w:rsidRPr="00833C88">
        <w:rPr>
          <w:rFonts w:cs="Times New Roman"/>
          <w:sz w:val="24"/>
          <w:szCs w:val="24"/>
        </w:rPr>
        <w:t>z </w:t>
      </w:r>
      <w:r w:rsidRPr="00833C88">
        <w:rPr>
          <w:rFonts w:cs="Times New Roman"/>
          <w:sz w:val="24"/>
          <w:szCs w:val="24"/>
        </w:rPr>
        <w:t>innymi osobami fizycznymi niebędącymi przedsiębiorcami. Podsumowując</w:t>
      </w:r>
      <w:r w:rsidR="00963A8D" w:rsidRPr="00833C88">
        <w:rPr>
          <w:rFonts w:cs="Times New Roman"/>
          <w:sz w:val="24"/>
          <w:szCs w:val="24"/>
        </w:rPr>
        <w:t>,</w:t>
      </w:r>
      <w:r w:rsidRPr="00833C88">
        <w:rPr>
          <w:rFonts w:cs="Times New Roman"/>
          <w:sz w:val="24"/>
          <w:szCs w:val="24"/>
        </w:rPr>
        <w:t xml:space="preserve"> internetowa platforma handlowa to nie jest tylko „tablica </w:t>
      </w:r>
      <w:r w:rsidR="00601933" w:rsidRPr="00833C88">
        <w:rPr>
          <w:rFonts w:cs="Times New Roman"/>
          <w:sz w:val="24"/>
          <w:szCs w:val="24"/>
        </w:rPr>
        <w:t>z </w:t>
      </w:r>
      <w:r w:rsidRPr="00833C88">
        <w:rPr>
          <w:rFonts w:cs="Times New Roman"/>
          <w:sz w:val="24"/>
          <w:szCs w:val="24"/>
        </w:rPr>
        <w:t>ogłoszeniami” tylko usługa, która pozwala za pomocą internetu zawierać umowy na odległość</w:t>
      </w:r>
      <w:r w:rsidR="00C109AF" w:rsidRPr="00833C88">
        <w:rPr>
          <w:rFonts w:cs="Times New Roman"/>
          <w:sz w:val="24"/>
          <w:szCs w:val="24"/>
        </w:rPr>
        <w:t xml:space="preserve"> między osobami fizycznymi lub między konsumentami </w:t>
      </w:r>
      <w:r w:rsidR="00601933" w:rsidRPr="00833C88">
        <w:rPr>
          <w:rFonts w:cs="Times New Roman"/>
          <w:sz w:val="24"/>
          <w:szCs w:val="24"/>
        </w:rPr>
        <w:t>a </w:t>
      </w:r>
      <w:r w:rsidR="00C109AF" w:rsidRPr="00833C88">
        <w:rPr>
          <w:rFonts w:cs="Times New Roman"/>
          <w:sz w:val="24"/>
          <w:szCs w:val="24"/>
        </w:rPr>
        <w:t>przedsiębiorcami.</w:t>
      </w:r>
    </w:p>
    <w:p w14:paraId="267967DC" w14:textId="1C97E3CB" w:rsidR="00642A72" w:rsidRPr="00833C88" w:rsidRDefault="001C7623" w:rsidP="00491607">
      <w:pPr>
        <w:pStyle w:val="Nagwek4"/>
        <w:numPr>
          <w:ilvl w:val="0"/>
          <w:numId w:val="0"/>
        </w:numPr>
        <w:ind w:left="720" w:hanging="11"/>
        <w:rPr>
          <w:rFonts w:cs="Times New Roman"/>
          <w:sz w:val="24"/>
          <w:szCs w:val="24"/>
        </w:rPr>
      </w:pPr>
      <w:r w:rsidRPr="00833C88">
        <w:rPr>
          <w:rFonts w:cs="Times New Roman"/>
          <w:sz w:val="24"/>
          <w:szCs w:val="24"/>
        </w:rPr>
        <w:t>1</w:t>
      </w:r>
      <w:r w:rsidR="00962428" w:rsidRPr="00833C88">
        <w:rPr>
          <w:rFonts w:cs="Times New Roman"/>
          <w:sz w:val="24"/>
          <w:szCs w:val="24"/>
        </w:rPr>
        <w:t>0</w:t>
      </w:r>
      <w:r w:rsidRPr="00833C88">
        <w:rPr>
          <w:rFonts w:cs="Times New Roman"/>
          <w:sz w:val="24"/>
          <w:szCs w:val="24"/>
        </w:rPr>
        <w:t xml:space="preserve">) </w:t>
      </w:r>
      <w:r w:rsidR="00642A72" w:rsidRPr="00833C88">
        <w:rPr>
          <w:rFonts w:cs="Times New Roman"/>
          <w:sz w:val="24"/>
          <w:szCs w:val="24"/>
        </w:rPr>
        <w:t>Dostawca chmury obliczeniowej</w:t>
      </w:r>
    </w:p>
    <w:p w14:paraId="0AAA0C57" w14:textId="5CBF4090" w:rsidR="008125AA" w:rsidRPr="00833C88" w:rsidRDefault="006F201C" w:rsidP="0029004E">
      <w:pPr>
        <w:spacing w:line="360" w:lineRule="auto"/>
        <w:jc w:val="both"/>
        <w:rPr>
          <w:rFonts w:cs="Times New Roman"/>
          <w:sz w:val="24"/>
          <w:szCs w:val="24"/>
        </w:rPr>
      </w:pPr>
      <w:r w:rsidRPr="00833C88">
        <w:rPr>
          <w:rFonts w:cs="Times New Roman"/>
          <w:sz w:val="24"/>
          <w:szCs w:val="24"/>
        </w:rPr>
        <w:t xml:space="preserve">Definicja dostawcy usług chmurowych obejmuje </w:t>
      </w:r>
      <w:r w:rsidR="00896943" w:rsidRPr="00833C88">
        <w:rPr>
          <w:rFonts w:cs="Times New Roman"/>
          <w:sz w:val="24"/>
          <w:szCs w:val="24"/>
        </w:rPr>
        <w:t xml:space="preserve">m.in. </w:t>
      </w:r>
      <w:r w:rsidR="00902822" w:rsidRPr="00833C88">
        <w:rPr>
          <w:rFonts w:cs="Times New Roman"/>
          <w:sz w:val="24"/>
          <w:szCs w:val="24"/>
        </w:rPr>
        <w:t xml:space="preserve">usługi </w:t>
      </w:r>
      <w:r w:rsidR="00601933" w:rsidRPr="00833C88">
        <w:rPr>
          <w:rFonts w:cs="Times New Roman"/>
          <w:sz w:val="24"/>
          <w:szCs w:val="24"/>
        </w:rPr>
        <w:t>w </w:t>
      </w:r>
      <w:r w:rsidR="00902822" w:rsidRPr="00833C88">
        <w:rPr>
          <w:rFonts w:cs="Times New Roman"/>
          <w:sz w:val="24"/>
          <w:szCs w:val="24"/>
        </w:rPr>
        <w:t xml:space="preserve">modelu </w:t>
      </w:r>
      <w:r w:rsidR="00EE3FE4" w:rsidRPr="00833C88">
        <w:rPr>
          <w:rFonts w:cs="Times New Roman"/>
          <w:sz w:val="24"/>
          <w:szCs w:val="24"/>
        </w:rPr>
        <w:t>infrastruktura jako usługa</w:t>
      </w:r>
      <w:r w:rsidR="00C200EE" w:rsidRPr="00833C88">
        <w:rPr>
          <w:rFonts w:cs="Times New Roman"/>
          <w:sz w:val="24"/>
          <w:szCs w:val="24"/>
        </w:rPr>
        <w:t xml:space="preserve"> (IaaS)</w:t>
      </w:r>
      <w:r w:rsidR="00EE3FE4" w:rsidRPr="00833C88">
        <w:rPr>
          <w:rFonts w:cs="Times New Roman"/>
          <w:sz w:val="24"/>
          <w:szCs w:val="24"/>
        </w:rPr>
        <w:t>, platforma jako usługa</w:t>
      </w:r>
      <w:r w:rsidR="00C200EE" w:rsidRPr="00833C88">
        <w:rPr>
          <w:rFonts w:cs="Times New Roman"/>
          <w:sz w:val="24"/>
          <w:szCs w:val="24"/>
        </w:rPr>
        <w:t xml:space="preserve"> (PaaS)</w:t>
      </w:r>
      <w:r w:rsidR="00EE3FE4" w:rsidRPr="00833C88">
        <w:rPr>
          <w:rFonts w:cs="Times New Roman"/>
          <w:sz w:val="24"/>
          <w:szCs w:val="24"/>
        </w:rPr>
        <w:t>, oprogramowanie jako usługa</w:t>
      </w:r>
      <w:r w:rsidR="00C200EE" w:rsidRPr="00833C88">
        <w:rPr>
          <w:rFonts w:cs="Times New Roman"/>
          <w:sz w:val="24"/>
          <w:szCs w:val="24"/>
        </w:rPr>
        <w:t xml:space="preserve"> (SaaS)</w:t>
      </w:r>
      <w:r w:rsidR="00EE3FE4" w:rsidRPr="00833C88">
        <w:rPr>
          <w:rFonts w:cs="Times New Roman"/>
          <w:sz w:val="24"/>
          <w:szCs w:val="24"/>
        </w:rPr>
        <w:t xml:space="preserve"> oraz sieć jako usługa</w:t>
      </w:r>
      <w:r w:rsidR="00C200EE" w:rsidRPr="00833C88">
        <w:rPr>
          <w:rFonts w:cs="Times New Roman"/>
          <w:sz w:val="24"/>
          <w:szCs w:val="24"/>
        </w:rPr>
        <w:t xml:space="preserve"> (</w:t>
      </w:r>
      <w:proofErr w:type="spellStart"/>
      <w:r w:rsidR="00C200EE" w:rsidRPr="00833C88">
        <w:rPr>
          <w:rFonts w:cs="Times New Roman"/>
          <w:sz w:val="24"/>
          <w:szCs w:val="24"/>
        </w:rPr>
        <w:t>NaaS</w:t>
      </w:r>
      <w:proofErr w:type="spellEnd"/>
      <w:r w:rsidR="00C200EE" w:rsidRPr="00833C88">
        <w:rPr>
          <w:rFonts w:cs="Times New Roman"/>
          <w:sz w:val="24"/>
          <w:szCs w:val="24"/>
        </w:rPr>
        <w:t>)</w:t>
      </w:r>
      <w:r w:rsidR="009B5C17" w:rsidRPr="00833C88">
        <w:rPr>
          <w:rFonts w:cs="Times New Roman"/>
          <w:sz w:val="24"/>
          <w:szCs w:val="24"/>
        </w:rPr>
        <w:t xml:space="preserve"> co jest zgodne z motywem 33 dyrektywy NIS 2</w:t>
      </w:r>
      <w:r w:rsidR="007F18E7" w:rsidRPr="00833C88">
        <w:rPr>
          <w:rFonts w:cs="Times New Roman"/>
          <w:sz w:val="24"/>
          <w:szCs w:val="24"/>
        </w:rPr>
        <w:t>.</w:t>
      </w:r>
      <w:r w:rsidR="00EE3FE4" w:rsidRPr="00833C88">
        <w:rPr>
          <w:rFonts w:cs="Times New Roman"/>
          <w:sz w:val="24"/>
          <w:szCs w:val="24"/>
        </w:rPr>
        <w:t xml:space="preserve"> </w:t>
      </w:r>
      <w:r w:rsidR="00896943" w:rsidRPr="00833C88">
        <w:rPr>
          <w:rFonts w:cs="Times New Roman"/>
          <w:sz w:val="24"/>
          <w:szCs w:val="24"/>
        </w:rPr>
        <w:t xml:space="preserve">Definicja ta jest przy tym na tyle szeroka, aby w sposób </w:t>
      </w:r>
      <w:r w:rsidR="001644B6" w:rsidRPr="00833C88">
        <w:rPr>
          <w:rFonts w:cs="Times New Roman"/>
          <w:sz w:val="24"/>
          <w:szCs w:val="24"/>
        </w:rPr>
        <w:t>adekwatny odpowiadać na rozwój technologii chmurowych</w:t>
      </w:r>
      <w:r w:rsidR="00B04E2C" w:rsidRPr="00833C88">
        <w:rPr>
          <w:rFonts w:cs="Times New Roman"/>
          <w:sz w:val="24"/>
          <w:szCs w:val="24"/>
        </w:rPr>
        <w:t>.</w:t>
      </w:r>
      <w:r w:rsidR="00B36767" w:rsidRPr="00833C88">
        <w:rPr>
          <w:rFonts w:cs="Times New Roman"/>
          <w:sz w:val="24"/>
          <w:szCs w:val="24"/>
        </w:rPr>
        <w:t xml:space="preserve"> Usługi chmurowe mogą być świadczone </w:t>
      </w:r>
      <w:r w:rsidR="003727F8" w:rsidRPr="00833C88">
        <w:rPr>
          <w:rFonts w:cs="Times New Roman"/>
          <w:sz w:val="24"/>
          <w:szCs w:val="24"/>
        </w:rPr>
        <w:t xml:space="preserve">w chmurze prywatnej, </w:t>
      </w:r>
      <w:r w:rsidR="00F761E0" w:rsidRPr="00833C88">
        <w:rPr>
          <w:rFonts w:cs="Times New Roman"/>
          <w:sz w:val="24"/>
          <w:szCs w:val="24"/>
        </w:rPr>
        <w:t xml:space="preserve">publicznej, </w:t>
      </w:r>
      <w:proofErr w:type="gramStart"/>
      <w:r w:rsidR="00F761E0" w:rsidRPr="00833C88">
        <w:rPr>
          <w:rFonts w:cs="Times New Roman"/>
          <w:sz w:val="24"/>
          <w:szCs w:val="24"/>
        </w:rPr>
        <w:t>hybrydowej</w:t>
      </w:r>
      <w:r w:rsidR="007B4A54" w:rsidRPr="00833C88">
        <w:rPr>
          <w:rFonts w:cs="Times New Roman"/>
          <w:sz w:val="24"/>
          <w:szCs w:val="24"/>
        </w:rPr>
        <w:t>,</w:t>
      </w:r>
      <w:proofErr w:type="gramEnd"/>
      <w:r w:rsidR="007B4A54" w:rsidRPr="00833C88">
        <w:rPr>
          <w:rFonts w:cs="Times New Roman"/>
          <w:sz w:val="24"/>
          <w:szCs w:val="24"/>
        </w:rPr>
        <w:t xml:space="preserve"> czy wspólnotowej. </w:t>
      </w:r>
      <w:r w:rsidR="000270AB" w:rsidRPr="00833C88">
        <w:rPr>
          <w:rFonts w:cs="Times New Roman"/>
          <w:sz w:val="24"/>
          <w:szCs w:val="24"/>
        </w:rPr>
        <w:t>Chmura obliczeniowa charakteryzuje się m.in. podzieloną odpowiedzialnością pomiędzy dostawcę i odbiorcę usług, szybkim udostępnianiem zasobów, samoobsługą na żądanie, szerokim dostępem do sieci, dynamicznym gromadzeniem zasobów oraz ich szybkim oraz elastycznym przydzielaniem i zwalnianiem, pomiarem i optymalizacją usług.</w:t>
      </w:r>
    </w:p>
    <w:p w14:paraId="0380FE2A" w14:textId="1CB3EFE3" w:rsidR="00B4093A" w:rsidRPr="00833C88" w:rsidRDefault="001C7623" w:rsidP="00491607">
      <w:pPr>
        <w:pStyle w:val="Nagwek4"/>
        <w:numPr>
          <w:ilvl w:val="0"/>
          <w:numId w:val="0"/>
        </w:numPr>
        <w:ind w:left="720" w:hanging="11"/>
        <w:rPr>
          <w:rFonts w:cs="Times New Roman"/>
          <w:sz w:val="24"/>
          <w:szCs w:val="24"/>
        </w:rPr>
      </w:pPr>
      <w:r w:rsidRPr="00833C88">
        <w:rPr>
          <w:rFonts w:cs="Times New Roman"/>
          <w:sz w:val="24"/>
          <w:szCs w:val="24"/>
        </w:rPr>
        <w:lastRenderedPageBreak/>
        <w:t>1</w:t>
      </w:r>
      <w:r w:rsidR="00962428" w:rsidRPr="00833C88">
        <w:rPr>
          <w:rFonts w:cs="Times New Roman"/>
          <w:sz w:val="24"/>
          <w:szCs w:val="24"/>
        </w:rPr>
        <w:t>1</w:t>
      </w:r>
      <w:r w:rsidRPr="00833C88">
        <w:rPr>
          <w:rFonts w:cs="Times New Roman"/>
          <w:sz w:val="24"/>
          <w:szCs w:val="24"/>
        </w:rPr>
        <w:t xml:space="preserve">) </w:t>
      </w:r>
      <w:r w:rsidR="00B4093A" w:rsidRPr="00833C88">
        <w:rPr>
          <w:rFonts w:cs="Times New Roman"/>
          <w:sz w:val="24"/>
          <w:szCs w:val="24"/>
        </w:rPr>
        <w:t>Dostawca usług DNS</w:t>
      </w:r>
    </w:p>
    <w:p w14:paraId="4265E820" w14:textId="4512B323" w:rsidR="008B4032" w:rsidRPr="00833C88" w:rsidRDefault="008B4032" w:rsidP="0029004E">
      <w:pPr>
        <w:spacing w:line="360" w:lineRule="auto"/>
        <w:jc w:val="both"/>
        <w:rPr>
          <w:rFonts w:cs="Times New Roman"/>
          <w:sz w:val="24"/>
          <w:szCs w:val="24"/>
        </w:rPr>
      </w:pPr>
      <w:r w:rsidRPr="00833C88">
        <w:rPr>
          <w:rFonts w:cs="Times New Roman"/>
          <w:sz w:val="24"/>
          <w:szCs w:val="24"/>
        </w:rPr>
        <w:t xml:space="preserve">Dostawca usług DNS to podmiot, który świadczy dostępne publicznie: rekurencyjne usługi rozpoznawania nazw domen na rzecz ogółu użytkowników końcowych internetu lub autorytatywne usługi rozpoznawania nazw domen </w:t>
      </w:r>
      <w:bookmarkStart w:id="0" w:name="_Hlk207949410"/>
      <w:r w:rsidRPr="00833C88">
        <w:rPr>
          <w:rFonts w:cs="Times New Roman"/>
          <w:sz w:val="24"/>
          <w:szCs w:val="24"/>
        </w:rPr>
        <w:t>do użytku ogółu użytkowników końcowych internetu</w:t>
      </w:r>
      <w:r w:rsidR="006514F3" w:rsidRPr="00833C88">
        <w:rPr>
          <w:rFonts w:cs="Times New Roman"/>
          <w:sz w:val="24"/>
          <w:szCs w:val="24"/>
        </w:rPr>
        <w:t xml:space="preserve"> </w:t>
      </w:r>
      <w:bookmarkEnd w:id="0"/>
      <w:r w:rsidR="006514F3" w:rsidRPr="00833C88">
        <w:rPr>
          <w:rFonts w:cs="Times New Roman"/>
          <w:sz w:val="24"/>
          <w:szCs w:val="24"/>
        </w:rPr>
        <w:t>z wyjątkiem głównych serwerów nazw</w:t>
      </w:r>
      <w:r w:rsidR="00BE1974" w:rsidRPr="00833C88">
        <w:rPr>
          <w:rStyle w:val="Odwoanieprzypisudolnego"/>
          <w:rFonts w:cs="Times New Roman"/>
          <w:sz w:val="24"/>
          <w:szCs w:val="24"/>
        </w:rPr>
        <w:footnoteReference w:id="7"/>
      </w:r>
      <w:r w:rsidR="001C7623" w:rsidRPr="00833C88">
        <w:rPr>
          <w:rFonts w:cs="Times New Roman"/>
          <w:sz w:val="24"/>
          <w:szCs w:val="24"/>
          <w:vertAlign w:val="superscript"/>
        </w:rPr>
        <w:t>)</w:t>
      </w:r>
      <w:r w:rsidR="006514F3" w:rsidRPr="00833C88">
        <w:rPr>
          <w:rFonts w:cs="Times New Roman"/>
          <w:sz w:val="24"/>
          <w:szCs w:val="24"/>
        </w:rPr>
        <w:t>.</w:t>
      </w:r>
    </w:p>
    <w:p w14:paraId="33C9867E" w14:textId="698F9D02" w:rsidR="00CE732C" w:rsidRPr="00833C88" w:rsidRDefault="00415BBB" w:rsidP="0029004E">
      <w:pPr>
        <w:spacing w:line="360" w:lineRule="auto"/>
        <w:jc w:val="both"/>
        <w:rPr>
          <w:rFonts w:cs="Times New Roman"/>
          <w:sz w:val="24"/>
          <w:szCs w:val="24"/>
        </w:rPr>
      </w:pPr>
      <w:r w:rsidRPr="00833C88">
        <w:rPr>
          <w:rFonts w:cs="Times New Roman"/>
          <w:sz w:val="24"/>
          <w:szCs w:val="24"/>
        </w:rPr>
        <w:t xml:space="preserve">System DNS umożliwia zamianę </w:t>
      </w:r>
      <w:r w:rsidR="0099613B" w:rsidRPr="00833C88">
        <w:rPr>
          <w:rFonts w:cs="Times New Roman"/>
          <w:sz w:val="24"/>
          <w:szCs w:val="24"/>
        </w:rPr>
        <w:t xml:space="preserve">adresów IP na nazwę domen, dzięki czemu użytkownicy Internetu mogą </w:t>
      </w:r>
      <w:r w:rsidR="002D7132" w:rsidRPr="00833C88">
        <w:rPr>
          <w:rFonts w:cs="Times New Roman"/>
          <w:sz w:val="24"/>
          <w:szCs w:val="24"/>
        </w:rPr>
        <w:t>żądać dostępu do danej strony internetowej wpisując jej nazwę w przeglądarce zamiast adresu IP.</w:t>
      </w:r>
      <w:r w:rsidR="00227B70" w:rsidRPr="00833C88">
        <w:rPr>
          <w:rFonts w:cs="Times New Roman"/>
          <w:sz w:val="24"/>
          <w:szCs w:val="24"/>
        </w:rPr>
        <w:t xml:space="preserve"> System DNS jest </w:t>
      </w:r>
      <w:r w:rsidR="00565BEE" w:rsidRPr="00833C88">
        <w:rPr>
          <w:rFonts w:cs="Times New Roman"/>
          <w:sz w:val="24"/>
          <w:szCs w:val="24"/>
        </w:rPr>
        <w:t>niezbędny do zapewnienia funkcjonowania internetu.</w:t>
      </w:r>
      <w:r w:rsidR="002D7132" w:rsidRPr="00833C88">
        <w:rPr>
          <w:rFonts w:cs="Times New Roman"/>
          <w:sz w:val="24"/>
          <w:szCs w:val="24"/>
        </w:rPr>
        <w:t xml:space="preserve"> </w:t>
      </w:r>
      <w:r w:rsidR="007C7E0C" w:rsidRPr="00833C88">
        <w:rPr>
          <w:rFonts w:cs="Times New Roman"/>
          <w:sz w:val="24"/>
          <w:szCs w:val="24"/>
        </w:rPr>
        <w:t>Autoryt</w:t>
      </w:r>
      <w:r w:rsidR="00302443" w:rsidRPr="00833C88">
        <w:rPr>
          <w:rFonts w:cs="Times New Roman"/>
          <w:sz w:val="24"/>
          <w:szCs w:val="24"/>
        </w:rPr>
        <w:t xml:space="preserve">atywne serwery DNS przechowują informacje o </w:t>
      </w:r>
      <w:r w:rsidR="00227B70" w:rsidRPr="00833C88">
        <w:rPr>
          <w:rFonts w:cs="Times New Roman"/>
          <w:sz w:val="24"/>
          <w:szCs w:val="24"/>
        </w:rPr>
        <w:t xml:space="preserve">danej domenie. Z kolei rekurencyjne serwery DNS </w:t>
      </w:r>
      <w:r w:rsidR="003D2BDF" w:rsidRPr="00833C88">
        <w:rPr>
          <w:rFonts w:cs="Times New Roman"/>
          <w:sz w:val="24"/>
          <w:szCs w:val="24"/>
        </w:rPr>
        <w:t>obsługują zapytania użytkowników internetu – poszukują prawidłowego adresu IP dla danej domeny</w:t>
      </w:r>
      <w:r w:rsidR="00F94AFF" w:rsidRPr="00833C88">
        <w:rPr>
          <w:rStyle w:val="Odwoanieprzypisudolnego"/>
          <w:rFonts w:cs="Times New Roman"/>
          <w:sz w:val="24"/>
          <w:szCs w:val="24"/>
        </w:rPr>
        <w:footnoteReference w:id="8"/>
      </w:r>
      <w:r w:rsidR="00D6656F" w:rsidRPr="00833C88">
        <w:rPr>
          <w:rFonts w:cs="Times New Roman"/>
          <w:sz w:val="24"/>
          <w:szCs w:val="24"/>
          <w:vertAlign w:val="superscript"/>
        </w:rPr>
        <w:t>)</w:t>
      </w:r>
      <w:r w:rsidR="003D2BDF" w:rsidRPr="00833C88">
        <w:rPr>
          <w:rFonts w:cs="Times New Roman"/>
          <w:sz w:val="24"/>
          <w:szCs w:val="24"/>
        </w:rPr>
        <w:t>.</w:t>
      </w:r>
      <w:r w:rsidR="00C646D8" w:rsidRPr="00833C88">
        <w:rPr>
          <w:rFonts w:cs="Times New Roman"/>
          <w:sz w:val="24"/>
          <w:szCs w:val="24"/>
        </w:rPr>
        <w:t xml:space="preserve"> </w:t>
      </w:r>
      <w:r w:rsidR="009C4004" w:rsidRPr="00833C88">
        <w:rPr>
          <w:rFonts w:cs="Times New Roman"/>
          <w:sz w:val="24"/>
          <w:szCs w:val="24"/>
        </w:rPr>
        <w:t xml:space="preserve">Zakłócenie funkcjonowania serwerów DNS utrudnia lub uniemożliwia korzystanie z internetu przez jego użytkowników. Stąd też </w:t>
      </w:r>
      <w:r w:rsidR="00E379EE" w:rsidRPr="00833C88">
        <w:rPr>
          <w:rFonts w:cs="Times New Roman"/>
          <w:sz w:val="24"/>
          <w:szCs w:val="24"/>
        </w:rPr>
        <w:t xml:space="preserve">dyrektywa NIS 2 uznała wszystkie tego rodzaju podmioty jako podmioty kluczowe. Jednocześnie </w:t>
      </w:r>
      <w:r w:rsidR="00CE656B" w:rsidRPr="00833C88">
        <w:rPr>
          <w:rFonts w:cs="Times New Roman"/>
          <w:sz w:val="24"/>
          <w:szCs w:val="24"/>
        </w:rPr>
        <w:t xml:space="preserve">zauważyć należy, że część przedsiębiorców telekomunikacyjnych, jako dostawcy usługi dostępu do internetu, </w:t>
      </w:r>
      <w:r w:rsidR="008144CB" w:rsidRPr="00833C88">
        <w:rPr>
          <w:rFonts w:cs="Times New Roman"/>
          <w:sz w:val="24"/>
          <w:szCs w:val="24"/>
        </w:rPr>
        <w:t xml:space="preserve">również świadczy usługi </w:t>
      </w:r>
      <w:proofErr w:type="gramStart"/>
      <w:r w:rsidR="008144CB" w:rsidRPr="00833C88">
        <w:rPr>
          <w:rFonts w:cs="Times New Roman"/>
          <w:sz w:val="24"/>
          <w:szCs w:val="24"/>
        </w:rPr>
        <w:t>DNS</w:t>
      </w:r>
      <w:proofErr w:type="gramEnd"/>
      <w:r w:rsidR="008144CB" w:rsidRPr="00833C88">
        <w:rPr>
          <w:rFonts w:cs="Times New Roman"/>
          <w:sz w:val="24"/>
          <w:szCs w:val="24"/>
        </w:rPr>
        <w:t xml:space="preserve"> ale tylko dla swoich klientów. </w:t>
      </w:r>
      <w:r w:rsidR="009A6692" w:rsidRPr="00833C88">
        <w:rPr>
          <w:rFonts w:cs="Times New Roman"/>
          <w:sz w:val="24"/>
          <w:szCs w:val="24"/>
        </w:rPr>
        <w:t>Czyli nie świadczy tych usług generalnie, dla wszystkich. Dlatego też doprecyzowano</w:t>
      </w:r>
      <w:r w:rsidR="00C43821" w:rsidRPr="00833C88">
        <w:rPr>
          <w:rFonts w:cs="Times New Roman"/>
          <w:sz w:val="24"/>
          <w:szCs w:val="24"/>
        </w:rPr>
        <w:t xml:space="preserve"> w definicji, że dostawcą usług DNS jest podmiot, który świadczy te usługi do użytku ogółu użytkowników końcowych internetu</w:t>
      </w:r>
      <w:r w:rsidR="00633528" w:rsidRPr="00833C88">
        <w:rPr>
          <w:rFonts w:cs="Times New Roman"/>
          <w:sz w:val="24"/>
          <w:szCs w:val="24"/>
        </w:rPr>
        <w:t>, co lepiej oddaje sens dyrektywy NIS 2.</w:t>
      </w:r>
    </w:p>
    <w:p w14:paraId="4D193BA1" w14:textId="009A8BAE" w:rsidR="00B4093A" w:rsidRPr="00833C88" w:rsidRDefault="000E077F" w:rsidP="00533D2A">
      <w:pPr>
        <w:pStyle w:val="Nagwek4"/>
        <w:numPr>
          <w:ilvl w:val="0"/>
          <w:numId w:val="0"/>
        </w:numPr>
        <w:ind w:left="720"/>
        <w:rPr>
          <w:rFonts w:cs="Times New Roman"/>
          <w:sz w:val="24"/>
          <w:szCs w:val="24"/>
        </w:rPr>
      </w:pPr>
      <w:r w:rsidRPr="00833C88">
        <w:rPr>
          <w:rFonts w:cs="Times New Roman"/>
          <w:sz w:val="24"/>
          <w:szCs w:val="24"/>
        </w:rPr>
        <w:lastRenderedPageBreak/>
        <w:t>1</w:t>
      </w:r>
      <w:r w:rsidR="00962428" w:rsidRPr="00833C88">
        <w:rPr>
          <w:rFonts w:cs="Times New Roman"/>
          <w:sz w:val="24"/>
          <w:szCs w:val="24"/>
        </w:rPr>
        <w:t>2</w:t>
      </w:r>
      <w:r w:rsidRPr="00833C88">
        <w:rPr>
          <w:rFonts w:cs="Times New Roman"/>
          <w:sz w:val="24"/>
          <w:szCs w:val="24"/>
        </w:rPr>
        <w:t xml:space="preserve">) </w:t>
      </w:r>
      <w:r w:rsidR="006514F3" w:rsidRPr="00833C88">
        <w:rPr>
          <w:rFonts w:cs="Times New Roman"/>
          <w:sz w:val="24"/>
          <w:szCs w:val="24"/>
        </w:rPr>
        <w:t>Dostawca usługi centrum przetwarzania danych</w:t>
      </w:r>
    </w:p>
    <w:p w14:paraId="0FF6220B" w14:textId="7A596B70" w:rsidR="00B4093A" w:rsidRPr="00833C88" w:rsidRDefault="00B4093A" w:rsidP="0029004E">
      <w:pPr>
        <w:spacing w:line="360" w:lineRule="auto"/>
        <w:jc w:val="both"/>
        <w:rPr>
          <w:rFonts w:cs="Times New Roman"/>
          <w:sz w:val="24"/>
          <w:szCs w:val="24"/>
        </w:rPr>
      </w:pPr>
      <w:r w:rsidRPr="00833C88">
        <w:rPr>
          <w:rFonts w:cs="Times New Roman"/>
          <w:sz w:val="24"/>
          <w:szCs w:val="24"/>
        </w:rPr>
        <w:t xml:space="preserve">Dostawca usługi centrum przetwarzania danych obejmuje podmioty świadczące usługę data </w:t>
      </w:r>
      <w:proofErr w:type="spellStart"/>
      <w:r w:rsidRPr="00833C88">
        <w:rPr>
          <w:rFonts w:cs="Times New Roman"/>
          <w:sz w:val="24"/>
          <w:szCs w:val="24"/>
        </w:rPr>
        <w:t>center</w:t>
      </w:r>
      <w:proofErr w:type="spellEnd"/>
      <w:r w:rsidRPr="00833C88">
        <w:rPr>
          <w:rFonts w:cs="Times New Roman"/>
          <w:sz w:val="24"/>
          <w:szCs w:val="24"/>
        </w:rPr>
        <w:t>.</w:t>
      </w:r>
      <w:r w:rsidR="001344F1" w:rsidRPr="00833C88">
        <w:rPr>
          <w:rFonts w:cs="Times New Roman"/>
          <w:sz w:val="24"/>
          <w:szCs w:val="24"/>
        </w:rPr>
        <w:t xml:space="preserve"> Przez </w:t>
      </w:r>
      <w:r w:rsidR="00AF3B14" w:rsidRPr="00833C88">
        <w:rPr>
          <w:rFonts w:cs="Times New Roman"/>
          <w:sz w:val="24"/>
          <w:szCs w:val="24"/>
        </w:rPr>
        <w:t>strukturę lub grupę struktur przeznaczonych do scentralizowanego hostingu, zapewniania wzajemnego połączenia i eksploatacji produktów ICT, usług ICT lub procesów ICT służącego do świadczenia usług przechowywania, przetwarzania i transportu danych wraz ze wszystkimi obiektami i całą infrastrukturą, zapewniającymi dystrybucję energii elektrycznej i kontrolę środowiskową należy</w:t>
      </w:r>
      <w:r w:rsidR="00C342A0" w:rsidRPr="00833C88">
        <w:rPr>
          <w:rFonts w:cs="Times New Roman"/>
          <w:sz w:val="24"/>
          <w:szCs w:val="24"/>
        </w:rPr>
        <w:t xml:space="preserve"> m.in.</w:t>
      </w:r>
      <w:r w:rsidR="00AF3B14" w:rsidRPr="00833C88">
        <w:rPr>
          <w:rFonts w:cs="Times New Roman"/>
          <w:sz w:val="24"/>
          <w:szCs w:val="24"/>
        </w:rPr>
        <w:t xml:space="preserve"> rozumieć </w:t>
      </w:r>
      <w:r w:rsidR="00AA5F61" w:rsidRPr="00833C88">
        <w:rPr>
          <w:rFonts w:cs="Times New Roman"/>
          <w:sz w:val="24"/>
          <w:szCs w:val="24"/>
        </w:rPr>
        <w:t>ośrodki obliczeniowe</w:t>
      </w:r>
      <w:r w:rsidR="00C342A0" w:rsidRPr="00833C88">
        <w:rPr>
          <w:rFonts w:cs="Times New Roman"/>
          <w:sz w:val="24"/>
          <w:szCs w:val="24"/>
        </w:rPr>
        <w:t xml:space="preserve"> będące obiekt</w:t>
      </w:r>
      <w:r w:rsidR="00C61F2E" w:rsidRPr="00833C88">
        <w:rPr>
          <w:rFonts w:cs="Times New Roman"/>
          <w:sz w:val="24"/>
          <w:szCs w:val="24"/>
        </w:rPr>
        <w:t>ami budowlanymi składającymi się z budynków, budowli, obiektów małej architektury, urządzeń budowlanych, wyposażenia</w:t>
      </w:r>
      <w:r w:rsidR="00411437" w:rsidRPr="00833C88">
        <w:rPr>
          <w:rFonts w:cs="Times New Roman"/>
          <w:sz w:val="24"/>
          <w:szCs w:val="24"/>
        </w:rPr>
        <w:t xml:space="preserve"> oraz infrastruktury, którego podstawowym przeznaczeniem jest zgrupowanie pomieszczeń, połączeń i obsługi urządzeń techniki informatycznej oraz sieci telekomunikacyjnych zapewniających usługi przechowywania, przetwarzania i dostarczania danych</w:t>
      </w:r>
      <w:r w:rsidR="000D504F" w:rsidRPr="00833C88">
        <w:rPr>
          <w:rFonts w:cs="Times New Roman"/>
          <w:sz w:val="24"/>
          <w:szCs w:val="24"/>
        </w:rPr>
        <w:t>.</w:t>
      </w:r>
    </w:p>
    <w:p w14:paraId="1245C661" w14:textId="256F0DBD" w:rsidR="00D30EF3" w:rsidRPr="00833C88" w:rsidRDefault="000E077F" w:rsidP="00491607">
      <w:pPr>
        <w:pStyle w:val="Nagwek4"/>
        <w:numPr>
          <w:ilvl w:val="0"/>
          <w:numId w:val="0"/>
        </w:numPr>
        <w:ind w:left="720" w:hanging="11"/>
        <w:rPr>
          <w:rFonts w:cs="Times New Roman"/>
          <w:sz w:val="24"/>
          <w:szCs w:val="24"/>
        </w:rPr>
      </w:pPr>
      <w:r w:rsidRPr="00833C88">
        <w:rPr>
          <w:rFonts w:cs="Times New Roman"/>
          <w:sz w:val="24"/>
          <w:szCs w:val="24"/>
        </w:rPr>
        <w:t>1</w:t>
      </w:r>
      <w:r w:rsidR="00962428" w:rsidRPr="00833C88">
        <w:rPr>
          <w:rFonts w:cs="Times New Roman"/>
          <w:sz w:val="24"/>
          <w:szCs w:val="24"/>
        </w:rPr>
        <w:t>3</w:t>
      </w:r>
      <w:r w:rsidRPr="00833C88">
        <w:rPr>
          <w:rFonts w:cs="Times New Roman"/>
          <w:sz w:val="24"/>
          <w:szCs w:val="24"/>
        </w:rPr>
        <w:t xml:space="preserve">) </w:t>
      </w:r>
      <w:r w:rsidR="00D30EF3" w:rsidRPr="00833C88">
        <w:rPr>
          <w:rFonts w:cs="Times New Roman"/>
          <w:sz w:val="24"/>
          <w:szCs w:val="24"/>
        </w:rPr>
        <w:t>Dostawca usług zarządzanych oraz dostawca usług zarządzanych w zakresie cyberbezpieczeństwa</w:t>
      </w:r>
    </w:p>
    <w:p w14:paraId="2B5A944A" w14:textId="5D03CAF7" w:rsidR="004E19BA" w:rsidRPr="00833C88" w:rsidRDefault="00A6082E" w:rsidP="00533D2A">
      <w:pPr>
        <w:spacing w:before="40" w:line="360" w:lineRule="auto"/>
        <w:jc w:val="both"/>
        <w:rPr>
          <w:rFonts w:cs="Times New Roman"/>
          <w:sz w:val="24"/>
          <w:szCs w:val="24"/>
        </w:rPr>
      </w:pPr>
      <w:r w:rsidRPr="00833C88">
        <w:rPr>
          <w:rFonts w:cs="Times New Roman"/>
          <w:sz w:val="24"/>
          <w:szCs w:val="24"/>
        </w:rPr>
        <w:t xml:space="preserve">Dyrektywa NIS 2 nałożyła wymogi </w:t>
      </w:r>
      <w:r w:rsidR="00601933" w:rsidRPr="00833C88">
        <w:rPr>
          <w:rFonts w:cs="Times New Roman"/>
          <w:sz w:val="24"/>
          <w:szCs w:val="24"/>
        </w:rPr>
        <w:t>z </w:t>
      </w:r>
      <w:r w:rsidRPr="00833C88">
        <w:rPr>
          <w:rFonts w:cs="Times New Roman"/>
          <w:sz w:val="24"/>
          <w:szCs w:val="24"/>
        </w:rPr>
        <w:t>zakresu cyberbezpieczeństwa na podmioty świadczące usługi zarządzane.</w:t>
      </w:r>
      <w:r w:rsidR="00571509" w:rsidRPr="00833C88">
        <w:rPr>
          <w:rFonts w:cs="Times New Roman"/>
          <w:sz w:val="24"/>
          <w:szCs w:val="24"/>
        </w:rPr>
        <w:t xml:space="preserve"> Wyróżniamy tutaj </w:t>
      </w:r>
      <w:r w:rsidR="002771D6" w:rsidRPr="00833C88">
        <w:rPr>
          <w:rFonts w:cs="Times New Roman"/>
          <w:sz w:val="24"/>
          <w:szCs w:val="24"/>
        </w:rPr>
        <w:t>dwie</w:t>
      </w:r>
      <w:r w:rsidR="00571509" w:rsidRPr="00833C88">
        <w:rPr>
          <w:rFonts w:cs="Times New Roman"/>
          <w:sz w:val="24"/>
          <w:szCs w:val="24"/>
        </w:rPr>
        <w:t xml:space="preserve"> definicje</w:t>
      </w:r>
      <w:r w:rsidR="002771D6" w:rsidRPr="00833C88">
        <w:rPr>
          <w:rFonts w:cs="Times New Roman"/>
          <w:sz w:val="24"/>
          <w:szCs w:val="24"/>
        </w:rPr>
        <w:t xml:space="preserve">: dostawca usług zarządzanych </w:t>
      </w:r>
      <w:r w:rsidR="00601933" w:rsidRPr="00833C88">
        <w:rPr>
          <w:rFonts w:cs="Times New Roman"/>
          <w:sz w:val="24"/>
          <w:szCs w:val="24"/>
        </w:rPr>
        <w:t>i </w:t>
      </w:r>
      <w:r w:rsidR="002771D6" w:rsidRPr="00833C88">
        <w:rPr>
          <w:rFonts w:cs="Times New Roman"/>
          <w:sz w:val="24"/>
          <w:szCs w:val="24"/>
        </w:rPr>
        <w:t xml:space="preserve">dostawa usług </w:t>
      </w:r>
      <w:r w:rsidR="00601933" w:rsidRPr="00833C88">
        <w:rPr>
          <w:rFonts w:cs="Times New Roman"/>
          <w:sz w:val="24"/>
          <w:szCs w:val="24"/>
        </w:rPr>
        <w:t>w </w:t>
      </w:r>
      <w:r w:rsidR="002771D6" w:rsidRPr="00833C88">
        <w:rPr>
          <w:rFonts w:cs="Times New Roman"/>
          <w:sz w:val="24"/>
          <w:szCs w:val="24"/>
        </w:rPr>
        <w:t>zakresie cyberbezpieczeństwa.</w:t>
      </w:r>
      <w:r w:rsidR="00571509" w:rsidRPr="00833C88">
        <w:rPr>
          <w:rFonts w:cs="Times New Roman"/>
          <w:sz w:val="24"/>
          <w:szCs w:val="24"/>
        </w:rPr>
        <w:t xml:space="preserve"> </w:t>
      </w:r>
      <w:r w:rsidR="002771D6" w:rsidRPr="00833C88">
        <w:rPr>
          <w:rFonts w:cs="Times New Roman"/>
          <w:sz w:val="24"/>
          <w:szCs w:val="24"/>
        </w:rPr>
        <w:t>Definicj</w:t>
      </w:r>
      <w:r w:rsidR="003507C3" w:rsidRPr="00833C88">
        <w:rPr>
          <w:rFonts w:cs="Times New Roman"/>
          <w:sz w:val="24"/>
          <w:szCs w:val="24"/>
        </w:rPr>
        <w:t>a</w:t>
      </w:r>
      <w:r w:rsidR="002771D6" w:rsidRPr="00833C88">
        <w:rPr>
          <w:rFonts w:cs="Times New Roman"/>
          <w:sz w:val="24"/>
          <w:szCs w:val="24"/>
        </w:rPr>
        <w:t xml:space="preserve"> d</w:t>
      </w:r>
      <w:r w:rsidR="004E19BA" w:rsidRPr="00833C88">
        <w:rPr>
          <w:rFonts w:cs="Times New Roman"/>
          <w:sz w:val="24"/>
          <w:szCs w:val="24"/>
        </w:rPr>
        <w:t>ostawc</w:t>
      </w:r>
      <w:r w:rsidR="002771D6" w:rsidRPr="00833C88">
        <w:rPr>
          <w:rFonts w:cs="Times New Roman"/>
          <w:sz w:val="24"/>
          <w:szCs w:val="24"/>
        </w:rPr>
        <w:t>y</w:t>
      </w:r>
      <w:r w:rsidR="004E19BA" w:rsidRPr="00833C88">
        <w:rPr>
          <w:rFonts w:cs="Times New Roman"/>
          <w:sz w:val="24"/>
          <w:szCs w:val="24"/>
        </w:rPr>
        <w:t xml:space="preserve"> usług zarządzanych</w:t>
      </w:r>
      <w:r w:rsidR="002771D6" w:rsidRPr="00833C88">
        <w:rPr>
          <w:rFonts w:cs="Times New Roman"/>
          <w:sz w:val="24"/>
          <w:szCs w:val="24"/>
        </w:rPr>
        <w:t xml:space="preserve"> </w:t>
      </w:r>
      <w:r w:rsidR="00093CC8" w:rsidRPr="00833C88">
        <w:rPr>
          <w:rFonts w:cs="Times New Roman"/>
          <w:sz w:val="24"/>
          <w:szCs w:val="24"/>
        </w:rPr>
        <w:t xml:space="preserve">obejmuje podmioty, które </w:t>
      </w:r>
      <w:r w:rsidR="004D4582" w:rsidRPr="00833C88">
        <w:rPr>
          <w:rFonts w:cs="Times New Roman"/>
          <w:sz w:val="24"/>
          <w:szCs w:val="24"/>
        </w:rPr>
        <w:t xml:space="preserve">wspierają inne podmioty </w:t>
      </w:r>
      <w:r w:rsidR="00601933" w:rsidRPr="00833C88">
        <w:rPr>
          <w:rFonts w:cs="Times New Roman"/>
          <w:sz w:val="24"/>
          <w:szCs w:val="24"/>
        </w:rPr>
        <w:t>w </w:t>
      </w:r>
      <w:r w:rsidR="004D4582" w:rsidRPr="00833C88">
        <w:rPr>
          <w:rFonts w:cs="Times New Roman"/>
          <w:sz w:val="24"/>
          <w:szCs w:val="24"/>
        </w:rPr>
        <w:t xml:space="preserve">codziennym korzystaniu </w:t>
      </w:r>
      <w:r w:rsidR="00601933" w:rsidRPr="00833C88">
        <w:rPr>
          <w:rFonts w:cs="Times New Roman"/>
          <w:sz w:val="24"/>
          <w:szCs w:val="24"/>
        </w:rPr>
        <w:t>z </w:t>
      </w:r>
      <w:r w:rsidR="004D4582" w:rsidRPr="00833C88">
        <w:rPr>
          <w:rFonts w:cs="Times New Roman"/>
          <w:sz w:val="24"/>
          <w:szCs w:val="24"/>
        </w:rPr>
        <w:t>produktów ICT, usług ICT</w:t>
      </w:r>
      <w:r w:rsidR="00C95BE4" w:rsidRPr="00833C88">
        <w:rPr>
          <w:rFonts w:cs="Times New Roman"/>
          <w:sz w:val="24"/>
          <w:szCs w:val="24"/>
        </w:rPr>
        <w:t>,</w:t>
      </w:r>
      <w:r w:rsidR="004D4582" w:rsidRPr="00833C88">
        <w:rPr>
          <w:rFonts w:cs="Times New Roman"/>
          <w:sz w:val="24"/>
          <w:szCs w:val="24"/>
        </w:rPr>
        <w:t xml:space="preserve"> czy procesów ICT </w:t>
      </w:r>
      <w:r w:rsidR="009A2845" w:rsidRPr="00833C88">
        <w:rPr>
          <w:rFonts w:cs="Times New Roman"/>
          <w:sz w:val="24"/>
          <w:szCs w:val="24"/>
        </w:rPr>
        <w:t>przez pomoc przy ich instalacji, eksploatacji czy konserwacji</w:t>
      </w:r>
      <w:r w:rsidR="00822084" w:rsidRPr="00833C88">
        <w:rPr>
          <w:rFonts w:cs="Times New Roman"/>
          <w:sz w:val="24"/>
          <w:szCs w:val="24"/>
        </w:rPr>
        <w:t xml:space="preserve">. Wsparcie to jest prowadzone na miejscu </w:t>
      </w:r>
      <w:r w:rsidR="00601933" w:rsidRPr="00833C88">
        <w:rPr>
          <w:rFonts w:cs="Times New Roman"/>
          <w:sz w:val="24"/>
          <w:szCs w:val="24"/>
        </w:rPr>
        <w:t>u </w:t>
      </w:r>
      <w:r w:rsidR="00822084" w:rsidRPr="00833C88">
        <w:rPr>
          <w:rFonts w:cs="Times New Roman"/>
          <w:sz w:val="24"/>
          <w:szCs w:val="24"/>
        </w:rPr>
        <w:t xml:space="preserve">klienta lub zdalnie. Często </w:t>
      </w:r>
      <w:r w:rsidR="00C37B9B" w:rsidRPr="00833C88">
        <w:rPr>
          <w:rFonts w:cs="Times New Roman"/>
          <w:sz w:val="24"/>
          <w:szCs w:val="24"/>
        </w:rPr>
        <w:t xml:space="preserve">wiąże się </w:t>
      </w:r>
      <w:r w:rsidR="00601933" w:rsidRPr="00833C88">
        <w:rPr>
          <w:rFonts w:cs="Times New Roman"/>
          <w:sz w:val="24"/>
          <w:szCs w:val="24"/>
        </w:rPr>
        <w:t>z </w:t>
      </w:r>
      <w:r w:rsidR="00C37B9B" w:rsidRPr="00833C88">
        <w:rPr>
          <w:rFonts w:cs="Times New Roman"/>
          <w:sz w:val="24"/>
          <w:szCs w:val="24"/>
        </w:rPr>
        <w:t>tym aktywna administracja tymi zasobami.</w:t>
      </w:r>
    </w:p>
    <w:p w14:paraId="148AB100" w14:textId="7A9AF6F2" w:rsidR="004E19BA" w:rsidRPr="00833C88" w:rsidRDefault="004E19BA" w:rsidP="0029004E">
      <w:pPr>
        <w:spacing w:line="360" w:lineRule="auto"/>
        <w:jc w:val="both"/>
        <w:rPr>
          <w:rFonts w:cs="Times New Roman"/>
          <w:sz w:val="24"/>
          <w:szCs w:val="24"/>
        </w:rPr>
      </w:pPr>
      <w:r w:rsidRPr="00833C88">
        <w:rPr>
          <w:rFonts w:cs="Times New Roman"/>
          <w:sz w:val="24"/>
          <w:szCs w:val="24"/>
        </w:rPr>
        <w:t>D</w:t>
      </w:r>
      <w:r w:rsidR="002771D6" w:rsidRPr="00833C88">
        <w:rPr>
          <w:rFonts w:cs="Times New Roman"/>
          <w:sz w:val="24"/>
          <w:szCs w:val="24"/>
        </w:rPr>
        <w:t>efinicja d</w:t>
      </w:r>
      <w:r w:rsidRPr="00833C88">
        <w:rPr>
          <w:rFonts w:cs="Times New Roman"/>
          <w:sz w:val="24"/>
          <w:szCs w:val="24"/>
        </w:rPr>
        <w:t>ostawc</w:t>
      </w:r>
      <w:r w:rsidR="002771D6" w:rsidRPr="00833C88">
        <w:rPr>
          <w:rFonts w:cs="Times New Roman"/>
          <w:sz w:val="24"/>
          <w:szCs w:val="24"/>
        </w:rPr>
        <w:t>y</w:t>
      </w:r>
      <w:r w:rsidRPr="00833C88">
        <w:rPr>
          <w:rFonts w:cs="Times New Roman"/>
          <w:sz w:val="24"/>
          <w:szCs w:val="24"/>
        </w:rPr>
        <w:t xml:space="preserve"> usług zarządzanych </w:t>
      </w:r>
      <w:r w:rsidR="00601933" w:rsidRPr="00833C88">
        <w:rPr>
          <w:rFonts w:cs="Times New Roman"/>
          <w:sz w:val="24"/>
          <w:szCs w:val="24"/>
        </w:rPr>
        <w:t>w </w:t>
      </w:r>
      <w:r w:rsidRPr="00833C88">
        <w:rPr>
          <w:rFonts w:cs="Times New Roman"/>
          <w:sz w:val="24"/>
          <w:szCs w:val="24"/>
        </w:rPr>
        <w:t>zakresie cyberbezpieczeństwa</w:t>
      </w:r>
      <w:r w:rsidR="00963A8D" w:rsidRPr="00833C88">
        <w:rPr>
          <w:rFonts w:cs="Times New Roman"/>
          <w:sz w:val="24"/>
          <w:szCs w:val="24"/>
        </w:rPr>
        <w:t>,</w:t>
      </w:r>
      <w:r w:rsidR="004757BD" w:rsidRPr="00833C88">
        <w:rPr>
          <w:rFonts w:cs="Times New Roman"/>
          <w:sz w:val="24"/>
          <w:szCs w:val="24"/>
        </w:rPr>
        <w:t xml:space="preserve"> to podmiot zajmujący się testami bezpieczeństwa, audytami, doradztwem </w:t>
      </w:r>
      <w:r w:rsidR="00601933" w:rsidRPr="00833C88">
        <w:rPr>
          <w:rFonts w:cs="Times New Roman"/>
          <w:sz w:val="24"/>
          <w:szCs w:val="24"/>
        </w:rPr>
        <w:t>w </w:t>
      </w:r>
      <w:r w:rsidR="004757BD" w:rsidRPr="00833C88">
        <w:rPr>
          <w:rFonts w:cs="Times New Roman"/>
          <w:sz w:val="24"/>
          <w:szCs w:val="24"/>
        </w:rPr>
        <w:t xml:space="preserve">zakresie cyberbezpieczeństwa </w:t>
      </w:r>
      <w:r w:rsidR="00601933" w:rsidRPr="00833C88">
        <w:rPr>
          <w:rFonts w:cs="Times New Roman"/>
          <w:sz w:val="24"/>
          <w:szCs w:val="24"/>
        </w:rPr>
        <w:t>i </w:t>
      </w:r>
      <w:r w:rsidR="00F63F99" w:rsidRPr="00833C88">
        <w:rPr>
          <w:rFonts w:cs="Times New Roman"/>
          <w:sz w:val="24"/>
          <w:szCs w:val="24"/>
        </w:rPr>
        <w:t>obsługą incydentów. Odno</w:t>
      </w:r>
      <w:r w:rsidR="00963A8D" w:rsidRPr="00833C88">
        <w:rPr>
          <w:rFonts w:cs="Times New Roman"/>
          <w:sz w:val="24"/>
          <w:szCs w:val="24"/>
        </w:rPr>
        <w:t>ś</w:t>
      </w:r>
      <w:r w:rsidR="00F63F99" w:rsidRPr="00833C88">
        <w:rPr>
          <w:rFonts w:cs="Times New Roman"/>
          <w:sz w:val="24"/>
          <w:szCs w:val="24"/>
        </w:rPr>
        <w:t xml:space="preserve">nie </w:t>
      </w:r>
      <w:r w:rsidR="00963A8D" w:rsidRPr="00833C88">
        <w:rPr>
          <w:rFonts w:cs="Times New Roman"/>
          <w:sz w:val="24"/>
          <w:szCs w:val="24"/>
        </w:rPr>
        <w:t xml:space="preserve">do </w:t>
      </w:r>
      <w:r w:rsidR="00F63F99" w:rsidRPr="00833C88">
        <w:rPr>
          <w:rFonts w:cs="Times New Roman"/>
          <w:sz w:val="24"/>
          <w:szCs w:val="24"/>
        </w:rPr>
        <w:t xml:space="preserve">doradztwa to nie należy tutaj obejmować usług </w:t>
      </w:r>
      <w:r w:rsidR="00BD4AA7" w:rsidRPr="00833C88">
        <w:rPr>
          <w:rFonts w:cs="Times New Roman"/>
          <w:sz w:val="24"/>
          <w:szCs w:val="24"/>
        </w:rPr>
        <w:t xml:space="preserve">prawniczych jako takich, ponieważ usługi te </w:t>
      </w:r>
      <w:r w:rsidR="00601933" w:rsidRPr="00833C88">
        <w:rPr>
          <w:rFonts w:cs="Times New Roman"/>
          <w:sz w:val="24"/>
          <w:szCs w:val="24"/>
        </w:rPr>
        <w:t>z </w:t>
      </w:r>
      <w:r w:rsidR="00BD4AA7" w:rsidRPr="00833C88">
        <w:rPr>
          <w:rFonts w:cs="Times New Roman"/>
          <w:sz w:val="24"/>
          <w:szCs w:val="24"/>
        </w:rPr>
        <w:t>reguły nie obejmują pozostałych aspektów zarządzania ryzykiem</w:t>
      </w:r>
      <w:r w:rsidR="00963A8D" w:rsidRPr="00833C88">
        <w:rPr>
          <w:rFonts w:cs="Times New Roman"/>
          <w:sz w:val="24"/>
          <w:szCs w:val="24"/>
        </w:rPr>
        <w:t>.</w:t>
      </w:r>
    </w:p>
    <w:p w14:paraId="647549B1" w14:textId="1DC5F87F" w:rsidR="00925C09" w:rsidRPr="00833C88" w:rsidRDefault="00925C09" w:rsidP="0029004E">
      <w:pPr>
        <w:spacing w:line="360" w:lineRule="auto"/>
        <w:jc w:val="both"/>
        <w:rPr>
          <w:rFonts w:cs="Times New Roman"/>
          <w:sz w:val="24"/>
          <w:szCs w:val="24"/>
        </w:rPr>
      </w:pPr>
      <w:r w:rsidRPr="00833C88">
        <w:rPr>
          <w:rFonts w:cs="Times New Roman"/>
          <w:sz w:val="24"/>
          <w:szCs w:val="24"/>
        </w:rPr>
        <w:t>Raport ENISA</w:t>
      </w:r>
      <w:r w:rsidR="00FC7E03" w:rsidRPr="00833C88">
        <w:rPr>
          <w:rStyle w:val="Odwoanieprzypisudolnego"/>
          <w:rFonts w:cs="Times New Roman"/>
          <w:sz w:val="24"/>
          <w:szCs w:val="24"/>
        </w:rPr>
        <w:footnoteReference w:id="9"/>
      </w:r>
      <w:r w:rsidR="001E0C6A" w:rsidRPr="00833C88">
        <w:rPr>
          <w:rFonts w:cs="Times New Roman"/>
          <w:sz w:val="24"/>
          <w:szCs w:val="24"/>
          <w:vertAlign w:val="superscript"/>
        </w:rPr>
        <w:t>)</w:t>
      </w:r>
      <w:r w:rsidRPr="00833C88">
        <w:rPr>
          <w:rFonts w:cs="Times New Roman"/>
          <w:sz w:val="24"/>
          <w:szCs w:val="24"/>
        </w:rPr>
        <w:t xml:space="preserve"> identyfikuje następujące usługi świadczone przez </w:t>
      </w:r>
      <w:r w:rsidR="00FE7187" w:rsidRPr="00833C88">
        <w:rPr>
          <w:rFonts w:cs="Times New Roman"/>
          <w:sz w:val="24"/>
          <w:szCs w:val="24"/>
        </w:rPr>
        <w:t>dostawców usług zarządzanych w zakresie cyberbezpieczeństwa:</w:t>
      </w:r>
    </w:p>
    <w:p w14:paraId="68526A5D" w14:textId="77777777" w:rsidR="00783C49" w:rsidRPr="00833C88" w:rsidRDefault="00783C49" w:rsidP="00031FDA">
      <w:pPr>
        <w:spacing w:after="0" w:line="360" w:lineRule="auto"/>
        <w:jc w:val="both"/>
        <w:rPr>
          <w:rFonts w:cs="Times New Roman"/>
          <w:sz w:val="24"/>
          <w:szCs w:val="24"/>
        </w:rPr>
      </w:pPr>
      <w:r w:rsidRPr="00833C88">
        <w:rPr>
          <w:rFonts w:cs="Times New Roman"/>
          <w:sz w:val="24"/>
          <w:szCs w:val="24"/>
        </w:rPr>
        <w:t>Rozwiązania bezpieczeństwa i usługi techniczne:</w:t>
      </w:r>
    </w:p>
    <w:p w14:paraId="3CC767CC" w14:textId="27547708" w:rsidR="00783C49" w:rsidRPr="00833C88" w:rsidRDefault="00783C49" w:rsidP="00031FDA">
      <w:pPr>
        <w:spacing w:after="0" w:line="360" w:lineRule="auto"/>
        <w:jc w:val="both"/>
        <w:rPr>
          <w:rFonts w:cs="Times New Roman"/>
          <w:sz w:val="24"/>
          <w:szCs w:val="24"/>
        </w:rPr>
      </w:pPr>
      <w:r w:rsidRPr="00833C88">
        <w:rPr>
          <w:rFonts w:cs="Times New Roman"/>
          <w:sz w:val="24"/>
          <w:szCs w:val="24"/>
        </w:rPr>
        <w:t>• zarządzanie tożsamością i dostępem, w tym zarządzanie uprawnieniami</w:t>
      </w:r>
      <w:r w:rsidR="000F7ACE" w:rsidRPr="00833C88">
        <w:rPr>
          <w:rFonts w:cs="Times New Roman"/>
          <w:sz w:val="24"/>
          <w:szCs w:val="24"/>
        </w:rPr>
        <w:t>,</w:t>
      </w:r>
    </w:p>
    <w:p w14:paraId="48E5DA2C" w14:textId="078F2639" w:rsidR="00783C49" w:rsidRPr="00833C88" w:rsidRDefault="00783C49" w:rsidP="00031FDA">
      <w:pPr>
        <w:spacing w:after="0" w:line="360" w:lineRule="auto"/>
        <w:jc w:val="both"/>
        <w:rPr>
          <w:rFonts w:cs="Times New Roman"/>
          <w:sz w:val="24"/>
          <w:szCs w:val="24"/>
        </w:rPr>
      </w:pPr>
      <w:r w:rsidRPr="00833C88">
        <w:rPr>
          <w:rFonts w:cs="Times New Roman"/>
          <w:sz w:val="24"/>
          <w:szCs w:val="24"/>
        </w:rPr>
        <w:lastRenderedPageBreak/>
        <w:t>• zarządzane bezpieczeństwem danych, w tym zapobieganie utracie danych, zarządzanie tworzenie kopii zapasowych i zarządzanie ciągłością działania</w:t>
      </w:r>
      <w:r w:rsidR="000F7ACE" w:rsidRPr="00833C88">
        <w:rPr>
          <w:rFonts w:cs="Times New Roman"/>
          <w:sz w:val="24"/>
          <w:szCs w:val="24"/>
        </w:rPr>
        <w:t>,</w:t>
      </w:r>
    </w:p>
    <w:p w14:paraId="34EF9464" w14:textId="117DB83B" w:rsidR="00783C49" w:rsidRPr="00833C88" w:rsidRDefault="00783C49" w:rsidP="00031FDA">
      <w:pPr>
        <w:spacing w:after="0" w:line="360" w:lineRule="auto"/>
        <w:jc w:val="both"/>
        <w:rPr>
          <w:rFonts w:cs="Times New Roman"/>
          <w:sz w:val="24"/>
          <w:szCs w:val="24"/>
        </w:rPr>
      </w:pPr>
      <w:r w:rsidRPr="00833C88">
        <w:rPr>
          <w:rFonts w:cs="Times New Roman"/>
          <w:sz w:val="24"/>
          <w:szCs w:val="24"/>
        </w:rPr>
        <w:t xml:space="preserve">• zarządzanie bezpieczeństwem </w:t>
      </w:r>
      <w:r w:rsidR="00F922F5" w:rsidRPr="00833C88">
        <w:rPr>
          <w:rFonts w:cs="Times New Roman"/>
          <w:sz w:val="24"/>
          <w:szCs w:val="24"/>
        </w:rPr>
        <w:t>urządzeń końcowych (</w:t>
      </w:r>
      <w:proofErr w:type="spellStart"/>
      <w:r w:rsidR="00F922F5" w:rsidRPr="00833C88">
        <w:rPr>
          <w:rFonts w:cs="Times New Roman"/>
          <w:sz w:val="24"/>
          <w:szCs w:val="24"/>
        </w:rPr>
        <w:t>endpoint</w:t>
      </w:r>
      <w:proofErr w:type="spellEnd"/>
      <w:r w:rsidR="00F922F5" w:rsidRPr="00833C88">
        <w:rPr>
          <w:rFonts w:cs="Times New Roman"/>
          <w:sz w:val="24"/>
          <w:szCs w:val="24"/>
        </w:rPr>
        <w:t>)</w:t>
      </w:r>
      <w:r w:rsidR="000F7ACE" w:rsidRPr="00833C88">
        <w:rPr>
          <w:rFonts w:cs="Times New Roman"/>
          <w:sz w:val="24"/>
          <w:szCs w:val="24"/>
        </w:rPr>
        <w:t>,</w:t>
      </w:r>
    </w:p>
    <w:p w14:paraId="6EB2BF10" w14:textId="46579CFC" w:rsidR="00783C49" w:rsidRPr="00833C88" w:rsidRDefault="00783C49" w:rsidP="00031FDA">
      <w:pPr>
        <w:spacing w:after="0" w:line="360" w:lineRule="auto"/>
        <w:jc w:val="both"/>
        <w:rPr>
          <w:rFonts w:cs="Times New Roman"/>
          <w:sz w:val="24"/>
          <w:szCs w:val="24"/>
        </w:rPr>
      </w:pPr>
      <w:r w:rsidRPr="00833C88">
        <w:rPr>
          <w:rFonts w:cs="Times New Roman"/>
          <w:sz w:val="24"/>
          <w:szCs w:val="24"/>
        </w:rPr>
        <w:t xml:space="preserve">• bezpieczeństwo </w:t>
      </w:r>
      <w:r w:rsidR="007759C8" w:rsidRPr="00833C88">
        <w:rPr>
          <w:rFonts w:cs="Times New Roman"/>
          <w:i/>
          <w:iCs/>
          <w:sz w:val="24"/>
          <w:szCs w:val="24"/>
        </w:rPr>
        <w:t xml:space="preserve">network </w:t>
      </w:r>
      <w:proofErr w:type="spellStart"/>
      <w:r w:rsidR="007759C8" w:rsidRPr="00833C88">
        <w:rPr>
          <w:rFonts w:cs="Times New Roman"/>
          <w:i/>
          <w:iCs/>
          <w:sz w:val="24"/>
          <w:szCs w:val="24"/>
        </w:rPr>
        <w:t>perimeter</w:t>
      </w:r>
      <w:proofErr w:type="spellEnd"/>
      <w:r w:rsidR="007759C8" w:rsidRPr="00833C88">
        <w:rPr>
          <w:rFonts w:cs="Times New Roman"/>
          <w:sz w:val="24"/>
          <w:szCs w:val="24"/>
        </w:rPr>
        <w:t xml:space="preserve"> </w:t>
      </w:r>
      <w:r w:rsidRPr="00833C88">
        <w:rPr>
          <w:rFonts w:cs="Times New Roman"/>
          <w:sz w:val="24"/>
          <w:szCs w:val="24"/>
        </w:rPr>
        <w:t>i infrastruktury, w tym systemy wykrywania włamań,</w:t>
      </w:r>
    </w:p>
    <w:p w14:paraId="5A58BCF3" w14:textId="19E9A5F1" w:rsidR="00783C49" w:rsidRPr="00833C88" w:rsidRDefault="00783C49" w:rsidP="00031FDA">
      <w:pPr>
        <w:spacing w:after="0" w:line="360" w:lineRule="auto"/>
        <w:jc w:val="both"/>
        <w:rPr>
          <w:rFonts w:cs="Times New Roman"/>
          <w:sz w:val="24"/>
          <w:szCs w:val="24"/>
        </w:rPr>
      </w:pPr>
      <w:r w:rsidRPr="00833C88">
        <w:rPr>
          <w:rFonts w:cs="Times New Roman"/>
          <w:sz w:val="24"/>
          <w:szCs w:val="24"/>
        </w:rPr>
        <w:t>systemy zapobiegania włamaniom, zapory sieciowe i bezpieczne usługi dostępowe</w:t>
      </w:r>
      <w:r w:rsidR="000F7ACE" w:rsidRPr="00833C88">
        <w:rPr>
          <w:rFonts w:cs="Times New Roman"/>
          <w:sz w:val="24"/>
          <w:szCs w:val="24"/>
        </w:rPr>
        <w:t>,</w:t>
      </w:r>
    </w:p>
    <w:p w14:paraId="05AB7C5D" w14:textId="4FEDED9E" w:rsidR="00783C49" w:rsidRPr="00833C88" w:rsidRDefault="00783C49" w:rsidP="00031FDA">
      <w:pPr>
        <w:spacing w:after="0" w:line="360" w:lineRule="auto"/>
        <w:jc w:val="both"/>
        <w:rPr>
          <w:rFonts w:cs="Times New Roman"/>
          <w:sz w:val="24"/>
          <w:szCs w:val="24"/>
        </w:rPr>
      </w:pPr>
      <w:r w:rsidRPr="00833C88">
        <w:rPr>
          <w:rFonts w:cs="Times New Roman"/>
          <w:sz w:val="24"/>
          <w:szCs w:val="24"/>
        </w:rPr>
        <w:t>• zarządzane wykrywanie i reagowanie, w tym zarządzane informacje dotyczące bezpieczeństwa i zdarzeń,</w:t>
      </w:r>
      <w:r w:rsidR="009767F5" w:rsidRPr="00833C88">
        <w:rPr>
          <w:rFonts w:cs="Times New Roman"/>
          <w:sz w:val="24"/>
          <w:szCs w:val="24"/>
        </w:rPr>
        <w:t xml:space="preserve"> </w:t>
      </w:r>
      <w:r w:rsidRPr="00833C88">
        <w:rPr>
          <w:rFonts w:cs="Times New Roman"/>
          <w:sz w:val="24"/>
          <w:szCs w:val="24"/>
        </w:rPr>
        <w:t>wykrywanie zagrożeń i inżynieria odwrotna</w:t>
      </w:r>
      <w:r w:rsidR="009767F5" w:rsidRPr="00833C88">
        <w:rPr>
          <w:rFonts w:cs="Times New Roman"/>
          <w:sz w:val="24"/>
          <w:szCs w:val="24"/>
        </w:rPr>
        <w:t>,</w:t>
      </w:r>
    </w:p>
    <w:p w14:paraId="1ECEABD1" w14:textId="20247639" w:rsidR="00783C49" w:rsidRPr="00833C88" w:rsidRDefault="00783C49" w:rsidP="00031FDA">
      <w:pPr>
        <w:spacing w:after="0" w:line="360" w:lineRule="auto"/>
        <w:jc w:val="both"/>
        <w:rPr>
          <w:rFonts w:cs="Times New Roman"/>
          <w:sz w:val="24"/>
          <w:szCs w:val="24"/>
        </w:rPr>
      </w:pPr>
      <w:r w:rsidRPr="00833C88">
        <w:rPr>
          <w:rFonts w:cs="Times New Roman"/>
          <w:sz w:val="24"/>
          <w:szCs w:val="24"/>
        </w:rPr>
        <w:t>• usługi oceny technicznej, w tym skanowanie podatności i testy penetracyjne</w:t>
      </w:r>
      <w:r w:rsidR="009767F5" w:rsidRPr="00833C88">
        <w:rPr>
          <w:rFonts w:cs="Times New Roman"/>
          <w:sz w:val="24"/>
          <w:szCs w:val="24"/>
        </w:rPr>
        <w:t>,</w:t>
      </w:r>
    </w:p>
    <w:p w14:paraId="79A234F5" w14:textId="4C89F40E" w:rsidR="00783C49" w:rsidRPr="00833C88" w:rsidRDefault="00783C49" w:rsidP="00031FDA">
      <w:pPr>
        <w:spacing w:after="0" w:line="360" w:lineRule="auto"/>
        <w:jc w:val="both"/>
        <w:rPr>
          <w:rFonts w:cs="Times New Roman"/>
          <w:sz w:val="24"/>
          <w:szCs w:val="24"/>
        </w:rPr>
      </w:pPr>
      <w:r w:rsidRPr="00833C88">
        <w:rPr>
          <w:rFonts w:cs="Times New Roman"/>
          <w:sz w:val="24"/>
          <w:szCs w:val="24"/>
        </w:rPr>
        <w:t xml:space="preserve">• usługi zarządzania zagrożeniami, w tym wymiana informacji o </w:t>
      </w:r>
      <w:proofErr w:type="spellStart"/>
      <w:r w:rsidRPr="00833C88">
        <w:rPr>
          <w:rFonts w:cs="Times New Roman"/>
          <w:sz w:val="24"/>
          <w:szCs w:val="24"/>
        </w:rPr>
        <w:t>cyberzagrożeniach</w:t>
      </w:r>
      <w:proofErr w:type="spellEnd"/>
      <w:r w:rsidR="009767F5" w:rsidRPr="00833C88">
        <w:rPr>
          <w:rFonts w:cs="Times New Roman"/>
          <w:sz w:val="24"/>
          <w:szCs w:val="24"/>
        </w:rPr>
        <w:t>,</w:t>
      </w:r>
    </w:p>
    <w:p w14:paraId="5ED69882" w14:textId="164C79D8" w:rsidR="00783C49" w:rsidRPr="00833C88" w:rsidRDefault="00783C49" w:rsidP="00031FDA">
      <w:pPr>
        <w:spacing w:after="0" w:line="360" w:lineRule="auto"/>
        <w:jc w:val="both"/>
        <w:rPr>
          <w:rFonts w:cs="Times New Roman"/>
          <w:sz w:val="24"/>
          <w:szCs w:val="24"/>
        </w:rPr>
      </w:pPr>
      <w:r w:rsidRPr="00833C88">
        <w:rPr>
          <w:rFonts w:cs="Times New Roman"/>
          <w:sz w:val="24"/>
          <w:szCs w:val="24"/>
        </w:rPr>
        <w:t>• zarządzan</w:t>
      </w:r>
      <w:r w:rsidR="00B415EE" w:rsidRPr="00833C88">
        <w:rPr>
          <w:rFonts w:cs="Times New Roman"/>
          <w:sz w:val="24"/>
          <w:szCs w:val="24"/>
        </w:rPr>
        <w:t>i</w:t>
      </w:r>
      <w:r w:rsidRPr="00833C88">
        <w:rPr>
          <w:rFonts w:cs="Times New Roman"/>
          <w:sz w:val="24"/>
          <w:szCs w:val="24"/>
        </w:rPr>
        <w:t>e bezpieczeństw</w:t>
      </w:r>
      <w:r w:rsidR="00B415EE" w:rsidRPr="00833C88">
        <w:rPr>
          <w:rFonts w:cs="Times New Roman"/>
          <w:sz w:val="24"/>
          <w:szCs w:val="24"/>
        </w:rPr>
        <w:t>em chmury</w:t>
      </w:r>
      <w:r w:rsidRPr="00833C88">
        <w:rPr>
          <w:rFonts w:cs="Times New Roman"/>
          <w:sz w:val="24"/>
          <w:szCs w:val="24"/>
        </w:rPr>
        <w:t>.</w:t>
      </w:r>
    </w:p>
    <w:p w14:paraId="69A596A7" w14:textId="77777777" w:rsidR="00783C49" w:rsidRPr="00833C88" w:rsidRDefault="00783C49" w:rsidP="00031FDA">
      <w:pPr>
        <w:spacing w:after="0" w:line="360" w:lineRule="auto"/>
        <w:jc w:val="both"/>
        <w:rPr>
          <w:rFonts w:cs="Times New Roman"/>
          <w:sz w:val="24"/>
          <w:szCs w:val="24"/>
        </w:rPr>
      </w:pPr>
      <w:r w:rsidRPr="00833C88">
        <w:rPr>
          <w:rFonts w:cs="Times New Roman"/>
          <w:sz w:val="24"/>
          <w:szCs w:val="24"/>
        </w:rPr>
        <w:t>Usługi doradcze i wdrożeniowe:</w:t>
      </w:r>
    </w:p>
    <w:p w14:paraId="1091864C" w14:textId="77777777" w:rsidR="00783C49" w:rsidRPr="00833C88" w:rsidRDefault="00783C49" w:rsidP="00031FDA">
      <w:pPr>
        <w:spacing w:after="0" w:line="360" w:lineRule="auto"/>
        <w:jc w:val="both"/>
        <w:rPr>
          <w:rFonts w:cs="Times New Roman"/>
          <w:sz w:val="24"/>
          <w:szCs w:val="24"/>
        </w:rPr>
      </w:pPr>
      <w:r w:rsidRPr="00833C88">
        <w:rPr>
          <w:rFonts w:cs="Times New Roman"/>
          <w:sz w:val="24"/>
          <w:szCs w:val="24"/>
        </w:rPr>
        <w:t>• ocena zgodności;</w:t>
      </w:r>
    </w:p>
    <w:p w14:paraId="39D9CE3A" w14:textId="23D9A0F6" w:rsidR="00783C49" w:rsidRPr="00833C88" w:rsidRDefault="00783C49" w:rsidP="00031FDA">
      <w:pPr>
        <w:spacing w:after="0" w:line="360" w:lineRule="auto"/>
        <w:jc w:val="both"/>
        <w:rPr>
          <w:rFonts w:cs="Times New Roman"/>
          <w:sz w:val="24"/>
          <w:szCs w:val="24"/>
        </w:rPr>
      </w:pPr>
      <w:r w:rsidRPr="00833C88">
        <w:rPr>
          <w:rFonts w:cs="Times New Roman"/>
          <w:sz w:val="24"/>
          <w:szCs w:val="24"/>
        </w:rPr>
        <w:t>• audyt i raportowanie</w:t>
      </w:r>
      <w:r w:rsidR="009767F5" w:rsidRPr="00833C88">
        <w:rPr>
          <w:rFonts w:cs="Times New Roman"/>
          <w:sz w:val="24"/>
          <w:szCs w:val="24"/>
        </w:rPr>
        <w:t>,</w:t>
      </w:r>
    </w:p>
    <w:p w14:paraId="73C95EE2" w14:textId="0DFC618D" w:rsidR="00783C49" w:rsidRPr="00833C88" w:rsidRDefault="00783C49" w:rsidP="00031FDA">
      <w:pPr>
        <w:spacing w:after="0" w:line="360" w:lineRule="auto"/>
        <w:jc w:val="both"/>
        <w:rPr>
          <w:rFonts w:cs="Times New Roman"/>
          <w:sz w:val="24"/>
          <w:szCs w:val="24"/>
        </w:rPr>
      </w:pPr>
      <w:r w:rsidRPr="00833C88">
        <w:rPr>
          <w:rFonts w:cs="Times New Roman"/>
          <w:sz w:val="24"/>
          <w:szCs w:val="24"/>
        </w:rPr>
        <w:t>• zarządzanie ryzykiem</w:t>
      </w:r>
      <w:r w:rsidR="009767F5" w:rsidRPr="00833C88">
        <w:rPr>
          <w:rFonts w:cs="Times New Roman"/>
          <w:sz w:val="24"/>
          <w:szCs w:val="24"/>
        </w:rPr>
        <w:t>,</w:t>
      </w:r>
    </w:p>
    <w:p w14:paraId="24E77DD8" w14:textId="2A00CBB9" w:rsidR="00783C49" w:rsidRPr="00833C88" w:rsidRDefault="00783C49" w:rsidP="00031FDA">
      <w:pPr>
        <w:spacing w:after="0" w:line="360" w:lineRule="auto"/>
        <w:jc w:val="both"/>
        <w:rPr>
          <w:rFonts w:cs="Times New Roman"/>
          <w:sz w:val="24"/>
          <w:szCs w:val="24"/>
        </w:rPr>
      </w:pPr>
      <w:r w:rsidRPr="00833C88">
        <w:rPr>
          <w:rFonts w:cs="Times New Roman"/>
          <w:sz w:val="24"/>
          <w:szCs w:val="24"/>
        </w:rPr>
        <w:t>• opracowywanie symulacji</w:t>
      </w:r>
      <w:r w:rsidR="00B415EE" w:rsidRPr="00833C88">
        <w:rPr>
          <w:rFonts w:cs="Times New Roman"/>
          <w:sz w:val="24"/>
          <w:szCs w:val="24"/>
        </w:rPr>
        <w:t xml:space="preserve"> lub </w:t>
      </w:r>
      <w:r w:rsidRPr="00833C88">
        <w:rPr>
          <w:rFonts w:cs="Times New Roman"/>
          <w:sz w:val="24"/>
          <w:szCs w:val="24"/>
        </w:rPr>
        <w:t>ćwiczeń, w tym tworzenie, testowanie i ulepszanie ćwiczeń</w:t>
      </w:r>
      <w:r w:rsidR="009767F5" w:rsidRPr="00833C88">
        <w:rPr>
          <w:rFonts w:cs="Times New Roman"/>
          <w:sz w:val="24"/>
          <w:szCs w:val="24"/>
        </w:rPr>
        <w:t xml:space="preserve"> </w:t>
      </w:r>
      <w:r w:rsidRPr="00833C88">
        <w:rPr>
          <w:rFonts w:cs="Times New Roman"/>
          <w:sz w:val="24"/>
          <w:szCs w:val="24"/>
        </w:rPr>
        <w:t>w</w:t>
      </w:r>
      <w:r w:rsidR="009767F5" w:rsidRPr="00833C88">
        <w:rPr>
          <w:rFonts w:cs="Times New Roman"/>
          <w:sz w:val="24"/>
          <w:szCs w:val="24"/>
        </w:rPr>
        <w:t> </w:t>
      </w:r>
      <w:r w:rsidRPr="00833C88">
        <w:rPr>
          <w:rFonts w:cs="Times New Roman"/>
          <w:sz w:val="24"/>
          <w:szCs w:val="24"/>
        </w:rPr>
        <w:t>zakresie wykrywania incydentów i reagowania na nie</w:t>
      </w:r>
      <w:r w:rsidR="009767F5" w:rsidRPr="00833C88">
        <w:rPr>
          <w:rFonts w:cs="Times New Roman"/>
          <w:sz w:val="24"/>
          <w:szCs w:val="24"/>
        </w:rPr>
        <w:t>,</w:t>
      </w:r>
    </w:p>
    <w:p w14:paraId="5FD3928C" w14:textId="7F6ADE16" w:rsidR="00783C49" w:rsidRPr="00833C88" w:rsidRDefault="00783C49" w:rsidP="00031FDA">
      <w:pPr>
        <w:spacing w:after="0" w:line="360" w:lineRule="auto"/>
        <w:jc w:val="both"/>
        <w:rPr>
          <w:rFonts w:cs="Times New Roman"/>
          <w:sz w:val="24"/>
          <w:szCs w:val="24"/>
        </w:rPr>
      </w:pPr>
      <w:r w:rsidRPr="00833C88">
        <w:rPr>
          <w:rFonts w:cs="Times New Roman"/>
          <w:sz w:val="24"/>
          <w:szCs w:val="24"/>
        </w:rPr>
        <w:t>• ocena dojrzałości i polityki</w:t>
      </w:r>
      <w:r w:rsidR="009767F5" w:rsidRPr="00833C88">
        <w:rPr>
          <w:rFonts w:cs="Times New Roman"/>
          <w:sz w:val="24"/>
          <w:szCs w:val="24"/>
        </w:rPr>
        <w:t>,</w:t>
      </w:r>
    </w:p>
    <w:p w14:paraId="52A9DED9" w14:textId="07403D9C" w:rsidR="00783C49" w:rsidRPr="00833C88" w:rsidRDefault="00783C49" w:rsidP="00031FDA">
      <w:pPr>
        <w:spacing w:after="0" w:line="360" w:lineRule="auto"/>
        <w:jc w:val="both"/>
        <w:rPr>
          <w:rFonts w:cs="Times New Roman"/>
          <w:sz w:val="24"/>
          <w:szCs w:val="24"/>
        </w:rPr>
      </w:pPr>
      <w:r w:rsidRPr="00833C88">
        <w:rPr>
          <w:rFonts w:cs="Times New Roman"/>
          <w:sz w:val="24"/>
          <w:szCs w:val="24"/>
        </w:rPr>
        <w:t>• wdrożenie</w:t>
      </w:r>
      <w:r w:rsidR="001E0C6A" w:rsidRPr="00833C88">
        <w:rPr>
          <w:rFonts w:cs="Times New Roman"/>
          <w:sz w:val="24"/>
          <w:szCs w:val="24"/>
        </w:rPr>
        <w:t>.</w:t>
      </w:r>
    </w:p>
    <w:p w14:paraId="59D70A70" w14:textId="77777777" w:rsidR="00783C49" w:rsidRPr="00833C88" w:rsidRDefault="00783C49" w:rsidP="00031FDA">
      <w:pPr>
        <w:spacing w:after="0" w:line="360" w:lineRule="auto"/>
        <w:jc w:val="both"/>
        <w:rPr>
          <w:rFonts w:cs="Times New Roman"/>
          <w:sz w:val="24"/>
          <w:szCs w:val="24"/>
        </w:rPr>
      </w:pPr>
      <w:r w:rsidRPr="00833C88">
        <w:rPr>
          <w:rFonts w:cs="Times New Roman"/>
          <w:sz w:val="24"/>
          <w:szCs w:val="24"/>
        </w:rPr>
        <w:t>Usługi szkoleniowe:</w:t>
      </w:r>
    </w:p>
    <w:p w14:paraId="29B86233" w14:textId="6D754127" w:rsidR="00783C49" w:rsidRPr="00833C88" w:rsidRDefault="00783C49" w:rsidP="00031FDA">
      <w:pPr>
        <w:spacing w:after="0" w:line="360" w:lineRule="auto"/>
        <w:jc w:val="both"/>
        <w:rPr>
          <w:rFonts w:cs="Times New Roman"/>
          <w:sz w:val="24"/>
          <w:szCs w:val="24"/>
        </w:rPr>
      </w:pPr>
      <w:r w:rsidRPr="00833C88">
        <w:rPr>
          <w:rFonts w:cs="Times New Roman"/>
          <w:sz w:val="24"/>
          <w:szCs w:val="24"/>
        </w:rPr>
        <w:t>• symulacje</w:t>
      </w:r>
      <w:r w:rsidR="00B415EE" w:rsidRPr="00833C88">
        <w:rPr>
          <w:rFonts w:cs="Times New Roman"/>
          <w:sz w:val="24"/>
          <w:szCs w:val="24"/>
        </w:rPr>
        <w:t xml:space="preserve"> lub </w:t>
      </w:r>
      <w:r w:rsidRPr="00833C88">
        <w:rPr>
          <w:rFonts w:cs="Times New Roman"/>
          <w:sz w:val="24"/>
          <w:szCs w:val="24"/>
        </w:rPr>
        <w:t>ćwiczenia, w tym poprzez udział personelu w ćwiczeniach</w:t>
      </w:r>
      <w:r w:rsidR="009767F5" w:rsidRPr="00833C88">
        <w:rPr>
          <w:rFonts w:cs="Times New Roman"/>
          <w:sz w:val="24"/>
          <w:szCs w:val="24"/>
        </w:rPr>
        <w:t>,</w:t>
      </w:r>
    </w:p>
    <w:p w14:paraId="219C0D81" w14:textId="54DA38FF" w:rsidR="00783C49" w:rsidRPr="00833C88" w:rsidRDefault="00783C49" w:rsidP="00031FDA">
      <w:pPr>
        <w:spacing w:after="0" w:line="360" w:lineRule="auto"/>
        <w:jc w:val="both"/>
        <w:rPr>
          <w:rFonts w:cs="Times New Roman"/>
          <w:sz w:val="24"/>
          <w:szCs w:val="24"/>
        </w:rPr>
      </w:pPr>
      <w:r w:rsidRPr="00833C88">
        <w:rPr>
          <w:rFonts w:cs="Times New Roman"/>
          <w:sz w:val="24"/>
          <w:szCs w:val="24"/>
        </w:rPr>
        <w:t>• podnoszenie świadomości pracowników w zakresie bezpieczeństwa.</w:t>
      </w:r>
    </w:p>
    <w:p w14:paraId="246A38B8" w14:textId="2ED0E39A" w:rsidR="006A25C5" w:rsidRPr="00833C88" w:rsidRDefault="001E0C6A" w:rsidP="00533D2A">
      <w:pPr>
        <w:pStyle w:val="Nagwek4"/>
        <w:numPr>
          <w:ilvl w:val="0"/>
          <w:numId w:val="0"/>
        </w:numPr>
        <w:ind w:left="720"/>
        <w:rPr>
          <w:rFonts w:cs="Times New Roman"/>
          <w:sz w:val="24"/>
          <w:szCs w:val="24"/>
        </w:rPr>
      </w:pPr>
      <w:r w:rsidRPr="00833C88">
        <w:rPr>
          <w:rFonts w:cs="Times New Roman"/>
          <w:sz w:val="24"/>
          <w:szCs w:val="24"/>
        </w:rPr>
        <w:t>1</w:t>
      </w:r>
      <w:r w:rsidR="00962428" w:rsidRPr="00833C88">
        <w:rPr>
          <w:rFonts w:cs="Times New Roman"/>
          <w:sz w:val="24"/>
          <w:szCs w:val="24"/>
        </w:rPr>
        <w:t>4</w:t>
      </w:r>
      <w:r w:rsidRPr="00833C88">
        <w:rPr>
          <w:rFonts w:cs="Times New Roman"/>
          <w:sz w:val="24"/>
          <w:szCs w:val="24"/>
        </w:rPr>
        <w:t xml:space="preserve">) </w:t>
      </w:r>
      <w:r w:rsidR="001D47CA" w:rsidRPr="00833C88">
        <w:rPr>
          <w:rFonts w:cs="Times New Roman"/>
          <w:sz w:val="24"/>
          <w:szCs w:val="24"/>
        </w:rPr>
        <w:t>Dostawca usług zaufania</w:t>
      </w:r>
    </w:p>
    <w:p w14:paraId="1CA5C748" w14:textId="5799FF7B" w:rsidR="004E19BA" w:rsidRPr="00833C88" w:rsidRDefault="00B2791C" w:rsidP="0029004E">
      <w:pPr>
        <w:spacing w:line="360" w:lineRule="auto"/>
        <w:jc w:val="both"/>
        <w:rPr>
          <w:rFonts w:cs="Times New Roman"/>
          <w:sz w:val="24"/>
          <w:szCs w:val="24"/>
        </w:rPr>
      </w:pPr>
      <w:r w:rsidRPr="00833C88">
        <w:rPr>
          <w:rFonts w:cs="Times New Roman"/>
          <w:sz w:val="24"/>
          <w:szCs w:val="24"/>
        </w:rPr>
        <w:t>Definicja d</w:t>
      </w:r>
      <w:r w:rsidR="004E19BA" w:rsidRPr="00833C88">
        <w:rPr>
          <w:rFonts w:cs="Times New Roman"/>
          <w:sz w:val="24"/>
          <w:szCs w:val="24"/>
        </w:rPr>
        <w:t>ostawc</w:t>
      </w:r>
      <w:r w:rsidRPr="00833C88">
        <w:rPr>
          <w:rFonts w:cs="Times New Roman"/>
          <w:sz w:val="24"/>
          <w:szCs w:val="24"/>
        </w:rPr>
        <w:t>y</w:t>
      </w:r>
      <w:r w:rsidR="004E19BA" w:rsidRPr="00833C88">
        <w:rPr>
          <w:rFonts w:cs="Times New Roman"/>
          <w:sz w:val="24"/>
          <w:szCs w:val="24"/>
        </w:rPr>
        <w:t xml:space="preserve"> usług zaufania</w:t>
      </w:r>
      <w:r w:rsidRPr="00833C88">
        <w:rPr>
          <w:rFonts w:cs="Times New Roman"/>
          <w:sz w:val="24"/>
          <w:szCs w:val="24"/>
        </w:rPr>
        <w:t xml:space="preserve"> odwołuje się do rozporządzenia EIDAS. Oznacza ona osobę fizyczną lub prawną, która świadczy przynajmniej jedną usługę zaufania, jako kwalifikowany lub niekwalifikowany dostawca usług zaufania</w:t>
      </w:r>
      <w:r w:rsidR="009E7360" w:rsidRPr="00833C88">
        <w:rPr>
          <w:rFonts w:cs="Times New Roman"/>
          <w:sz w:val="24"/>
          <w:szCs w:val="24"/>
        </w:rPr>
        <w:t>.</w:t>
      </w:r>
      <w:r w:rsidR="00DD0262" w:rsidRPr="00833C88">
        <w:rPr>
          <w:rFonts w:cs="Times New Roman"/>
          <w:sz w:val="24"/>
          <w:szCs w:val="24"/>
        </w:rPr>
        <w:t xml:space="preserve"> Rodzaje usług zaufania zostały wyszczególnione w </w:t>
      </w:r>
      <w:r w:rsidR="00A14B7A" w:rsidRPr="00833C88">
        <w:rPr>
          <w:rFonts w:cs="Times New Roman"/>
          <w:sz w:val="24"/>
          <w:szCs w:val="24"/>
        </w:rPr>
        <w:t>rozporządzeniu EIDAS</w:t>
      </w:r>
      <w:r w:rsidR="00A14B7A" w:rsidRPr="00833C88">
        <w:rPr>
          <w:rStyle w:val="Odwoanieprzypisudolnego"/>
          <w:rFonts w:cs="Times New Roman"/>
          <w:sz w:val="24"/>
          <w:szCs w:val="24"/>
        </w:rPr>
        <w:footnoteReference w:id="10"/>
      </w:r>
      <w:r w:rsidR="001E0C6A" w:rsidRPr="00833C88">
        <w:rPr>
          <w:rFonts w:cs="Times New Roman"/>
          <w:sz w:val="24"/>
          <w:szCs w:val="24"/>
          <w:vertAlign w:val="superscript"/>
        </w:rPr>
        <w:t>)</w:t>
      </w:r>
      <w:r w:rsidR="00A14B7A" w:rsidRPr="00833C88">
        <w:rPr>
          <w:rFonts w:cs="Times New Roman"/>
          <w:sz w:val="24"/>
          <w:szCs w:val="24"/>
        </w:rPr>
        <w:t>.</w:t>
      </w:r>
    </w:p>
    <w:p w14:paraId="6129101B" w14:textId="53D4C607" w:rsidR="00E414DB" w:rsidRPr="00833C88" w:rsidRDefault="001E0C6A" w:rsidP="00533D2A">
      <w:pPr>
        <w:pStyle w:val="Nagwek4"/>
        <w:numPr>
          <w:ilvl w:val="0"/>
          <w:numId w:val="0"/>
        </w:numPr>
        <w:ind w:left="720"/>
        <w:rPr>
          <w:rFonts w:cs="Times New Roman"/>
          <w:sz w:val="24"/>
          <w:szCs w:val="24"/>
        </w:rPr>
      </w:pPr>
      <w:r w:rsidRPr="00833C88">
        <w:rPr>
          <w:rFonts w:cs="Times New Roman"/>
          <w:sz w:val="24"/>
          <w:szCs w:val="24"/>
        </w:rPr>
        <w:lastRenderedPageBreak/>
        <w:t>1</w:t>
      </w:r>
      <w:r w:rsidR="00962428" w:rsidRPr="00833C88">
        <w:rPr>
          <w:rFonts w:cs="Times New Roman"/>
          <w:sz w:val="24"/>
          <w:szCs w:val="24"/>
        </w:rPr>
        <w:t>5</w:t>
      </w:r>
      <w:r w:rsidRPr="00833C88">
        <w:rPr>
          <w:rFonts w:cs="Times New Roman"/>
          <w:sz w:val="24"/>
          <w:szCs w:val="24"/>
        </w:rPr>
        <w:t xml:space="preserve">) </w:t>
      </w:r>
      <w:r w:rsidR="00E414DB" w:rsidRPr="00833C88">
        <w:rPr>
          <w:rFonts w:cs="Times New Roman"/>
          <w:sz w:val="24"/>
          <w:szCs w:val="24"/>
        </w:rPr>
        <w:t>Dostawca wyszukiwarki internetowej</w:t>
      </w:r>
    </w:p>
    <w:p w14:paraId="66F0D4FB" w14:textId="3A79347E" w:rsidR="004E19BA" w:rsidRPr="00833C88" w:rsidRDefault="004E19BA" w:rsidP="0029004E">
      <w:pPr>
        <w:spacing w:line="360" w:lineRule="auto"/>
        <w:jc w:val="both"/>
        <w:rPr>
          <w:rFonts w:cs="Times New Roman"/>
          <w:sz w:val="24"/>
          <w:szCs w:val="24"/>
        </w:rPr>
      </w:pPr>
      <w:r w:rsidRPr="00833C88">
        <w:rPr>
          <w:rFonts w:cs="Times New Roman"/>
          <w:sz w:val="24"/>
          <w:szCs w:val="24"/>
        </w:rPr>
        <w:t>Dostawca wyszukiwarki internetowej</w:t>
      </w:r>
      <w:r w:rsidR="00987905" w:rsidRPr="00833C88">
        <w:rPr>
          <w:rFonts w:cs="Times New Roman"/>
          <w:sz w:val="24"/>
          <w:szCs w:val="24"/>
        </w:rPr>
        <w:t xml:space="preserve"> </w:t>
      </w:r>
      <w:r w:rsidR="00D905F0" w:rsidRPr="00833C88">
        <w:rPr>
          <w:rFonts w:cs="Times New Roman"/>
          <w:sz w:val="24"/>
          <w:szCs w:val="24"/>
        </w:rPr>
        <w:t xml:space="preserve">obejmuje podmiot, który świadczy usługę cyfrową, która umożliwia użytkownikom wprowadzanie zapytań </w:t>
      </w:r>
      <w:r w:rsidR="00601933" w:rsidRPr="00833C88">
        <w:rPr>
          <w:rFonts w:cs="Times New Roman"/>
          <w:sz w:val="24"/>
          <w:szCs w:val="24"/>
        </w:rPr>
        <w:t>w </w:t>
      </w:r>
      <w:r w:rsidR="00D905F0" w:rsidRPr="00833C88">
        <w:rPr>
          <w:rFonts w:cs="Times New Roman"/>
          <w:sz w:val="24"/>
          <w:szCs w:val="24"/>
        </w:rPr>
        <w:t xml:space="preserve">celu wyszukiwania – co do zasady – wszystkich stron internetowych lub wszystkich stron internetowych </w:t>
      </w:r>
      <w:r w:rsidR="00601933" w:rsidRPr="00833C88">
        <w:rPr>
          <w:rFonts w:cs="Times New Roman"/>
          <w:sz w:val="24"/>
          <w:szCs w:val="24"/>
        </w:rPr>
        <w:t>w </w:t>
      </w:r>
      <w:r w:rsidR="00D905F0" w:rsidRPr="00833C88">
        <w:rPr>
          <w:rFonts w:cs="Times New Roman"/>
          <w:sz w:val="24"/>
          <w:szCs w:val="24"/>
        </w:rPr>
        <w:t xml:space="preserve">danym języku za pomocą zapytania na jakikolwiek temat przez podanie słowa kluczowego, zapytania głosowego, wyrażenia lub innej wartości wejściowej </w:t>
      </w:r>
      <w:r w:rsidR="00601933" w:rsidRPr="00833C88">
        <w:rPr>
          <w:rFonts w:cs="Times New Roman"/>
          <w:sz w:val="24"/>
          <w:szCs w:val="24"/>
        </w:rPr>
        <w:t>i </w:t>
      </w:r>
      <w:r w:rsidR="00D905F0" w:rsidRPr="00833C88">
        <w:rPr>
          <w:rFonts w:cs="Times New Roman"/>
          <w:sz w:val="24"/>
          <w:szCs w:val="24"/>
        </w:rPr>
        <w:t xml:space="preserve">która podaje wyniki wyszukiwania </w:t>
      </w:r>
      <w:r w:rsidR="00601933" w:rsidRPr="00833C88">
        <w:rPr>
          <w:rFonts w:cs="Times New Roman"/>
          <w:sz w:val="24"/>
          <w:szCs w:val="24"/>
        </w:rPr>
        <w:t>w </w:t>
      </w:r>
      <w:r w:rsidR="00D905F0" w:rsidRPr="00833C88">
        <w:rPr>
          <w:rFonts w:cs="Times New Roman"/>
          <w:sz w:val="24"/>
          <w:szCs w:val="24"/>
        </w:rPr>
        <w:t xml:space="preserve">dowolnym formacie, </w:t>
      </w:r>
      <w:r w:rsidR="00601933" w:rsidRPr="00833C88">
        <w:rPr>
          <w:rFonts w:cs="Times New Roman"/>
          <w:sz w:val="24"/>
          <w:szCs w:val="24"/>
        </w:rPr>
        <w:t>w </w:t>
      </w:r>
      <w:r w:rsidR="00D905F0" w:rsidRPr="00833C88">
        <w:rPr>
          <w:rFonts w:cs="Times New Roman"/>
          <w:sz w:val="24"/>
          <w:szCs w:val="24"/>
        </w:rPr>
        <w:t xml:space="preserve">którym można znaleźć informacje związane </w:t>
      </w:r>
      <w:r w:rsidR="00601933" w:rsidRPr="00833C88">
        <w:rPr>
          <w:rFonts w:cs="Times New Roman"/>
          <w:sz w:val="24"/>
          <w:szCs w:val="24"/>
        </w:rPr>
        <w:t>z </w:t>
      </w:r>
      <w:r w:rsidR="00D905F0" w:rsidRPr="00833C88">
        <w:rPr>
          <w:rFonts w:cs="Times New Roman"/>
          <w:sz w:val="24"/>
          <w:szCs w:val="24"/>
        </w:rPr>
        <w:t>zadanym zapytaniem.</w:t>
      </w:r>
    </w:p>
    <w:p w14:paraId="273B9814" w14:textId="45CEE358" w:rsidR="00BC5DEB" w:rsidRPr="00833C88" w:rsidRDefault="001E0C6A" w:rsidP="00533D2A">
      <w:pPr>
        <w:pStyle w:val="Nagwek4"/>
        <w:numPr>
          <w:ilvl w:val="0"/>
          <w:numId w:val="0"/>
        </w:numPr>
        <w:ind w:left="720"/>
        <w:rPr>
          <w:rFonts w:cs="Times New Roman"/>
          <w:sz w:val="24"/>
          <w:szCs w:val="24"/>
        </w:rPr>
      </w:pPr>
      <w:r w:rsidRPr="00833C88">
        <w:rPr>
          <w:rFonts w:cs="Times New Roman"/>
          <w:sz w:val="24"/>
          <w:szCs w:val="24"/>
        </w:rPr>
        <w:t>1</w:t>
      </w:r>
      <w:r w:rsidR="00962428" w:rsidRPr="00833C88">
        <w:rPr>
          <w:rFonts w:cs="Times New Roman"/>
          <w:sz w:val="24"/>
          <w:szCs w:val="24"/>
        </w:rPr>
        <w:t>6</w:t>
      </w:r>
      <w:r w:rsidRPr="00833C88">
        <w:rPr>
          <w:rFonts w:cs="Times New Roman"/>
          <w:sz w:val="24"/>
          <w:szCs w:val="24"/>
        </w:rPr>
        <w:t xml:space="preserve">) </w:t>
      </w:r>
      <w:r w:rsidR="00BC5DEB" w:rsidRPr="00833C88">
        <w:rPr>
          <w:rFonts w:cs="Times New Roman"/>
          <w:sz w:val="24"/>
          <w:szCs w:val="24"/>
        </w:rPr>
        <w:t>Incydent</w:t>
      </w:r>
    </w:p>
    <w:p w14:paraId="0E5796C4" w14:textId="66B52E2B" w:rsidR="00A77FB4" w:rsidRPr="00833C88" w:rsidRDefault="00061F66" w:rsidP="00533D2A">
      <w:pPr>
        <w:spacing w:line="360" w:lineRule="auto"/>
        <w:jc w:val="both"/>
        <w:rPr>
          <w:rFonts w:cs="Times New Roman"/>
          <w:sz w:val="24"/>
          <w:szCs w:val="24"/>
        </w:rPr>
      </w:pPr>
      <w:r w:rsidRPr="00833C88">
        <w:rPr>
          <w:rFonts w:cs="Times New Roman"/>
          <w:sz w:val="24"/>
          <w:szCs w:val="24"/>
        </w:rPr>
        <w:t xml:space="preserve">Aktualna definicja incydentu odwołuje się do pojęcia </w:t>
      </w:r>
      <w:r w:rsidR="00894FA2" w:rsidRPr="00833C88">
        <w:rPr>
          <w:rFonts w:cs="Times New Roman"/>
          <w:sz w:val="24"/>
          <w:szCs w:val="24"/>
        </w:rPr>
        <w:t>cyberbezpieczeństwa</w:t>
      </w:r>
      <w:r w:rsidR="00BE7ECB" w:rsidRPr="00833C88">
        <w:rPr>
          <w:rFonts w:cs="Times New Roman"/>
          <w:sz w:val="24"/>
          <w:szCs w:val="24"/>
        </w:rPr>
        <w:t>, które zmienia znaczenie w związku z wyodrębnieniem definicji „cyberbezpieczeństwa” i „bezpieczeństwa s</w:t>
      </w:r>
      <w:r w:rsidR="002C13A1" w:rsidRPr="00833C88">
        <w:rPr>
          <w:rFonts w:cs="Times New Roman"/>
          <w:sz w:val="24"/>
          <w:szCs w:val="24"/>
        </w:rPr>
        <w:t xml:space="preserve">ieci i </w:t>
      </w:r>
      <w:r w:rsidR="00CB7192" w:rsidRPr="00833C88">
        <w:rPr>
          <w:rFonts w:cs="Times New Roman"/>
          <w:sz w:val="24"/>
          <w:szCs w:val="24"/>
        </w:rPr>
        <w:t xml:space="preserve">systemów informatycznych” na gruncie dyrektywy NIS 2. Dlatego też wprowadza się zmianę tej definicji </w:t>
      </w:r>
      <w:r w:rsidR="00A011EF" w:rsidRPr="00833C88">
        <w:rPr>
          <w:rFonts w:cs="Times New Roman"/>
          <w:sz w:val="24"/>
          <w:szCs w:val="24"/>
        </w:rPr>
        <w:t xml:space="preserve">w ten sposób, że </w:t>
      </w:r>
      <w:r w:rsidR="00A3303B" w:rsidRPr="00833C88">
        <w:rPr>
          <w:rFonts w:cs="Times New Roman"/>
          <w:sz w:val="24"/>
          <w:szCs w:val="24"/>
        </w:rPr>
        <w:t>jest to „zdarzenie, które ma lub może mieć niekorzystny wpływ na bezpieczeństwo systemów informacyjnych”.</w:t>
      </w:r>
      <w:r w:rsidR="00A77FB4" w:rsidRPr="00833C88">
        <w:rPr>
          <w:rFonts w:cs="Times New Roman"/>
          <w:sz w:val="24"/>
          <w:szCs w:val="24"/>
        </w:rPr>
        <w:t xml:space="preserve"> Poprzez odwołanie się do bezpieczeństwa systemów informacyjnych</w:t>
      </w:r>
      <w:r w:rsidR="0004364E" w:rsidRPr="00833C88">
        <w:rPr>
          <w:rFonts w:cs="Times New Roman"/>
          <w:sz w:val="24"/>
          <w:szCs w:val="24"/>
        </w:rPr>
        <w:t xml:space="preserve"> odwołujemy się do czterech atrybutów bezpieczeństwa informacji – poufności, integralności, dostępności oraz autentyczności</w:t>
      </w:r>
      <w:r w:rsidR="008B41E4" w:rsidRPr="00833C88">
        <w:rPr>
          <w:rFonts w:cs="Times New Roman"/>
          <w:sz w:val="24"/>
          <w:szCs w:val="24"/>
        </w:rPr>
        <w:t xml:space="preserve"> – które są również obecne w definicji incydentu z dyrektywy NIS</w:t>
      </w:r>
      <w:r w:rsidR="001E0C6A" w:rsidRPr="00833C88">
        <w:rPr>
          <w:rFonts w:cs="Times New Roman"/>
          <w:sz w:val="24"/>
          <w:szCs w:val="24"/>
        </w:rPr>
        <w:t xml:space="preserve"> </w:t>
      </w:r>
      <w:r w:rsidR="008B41E4" w:rsidRPr="00833C88">
        <w:rPr>
          <w:rFonts w:cs="Times New Roman"/>
          <w:sz w:val="24"/>
          <w:szCs w:val="24"/>
        </w:rPr>
        <w:t>2.</w:t>
      </w:r>
    </w:p>
    <w:p w14:paraId="119C6564" w14:textId="4688507B" w:rsidR="00BC5DEB" w:rsidRPr="00833C88" w:rsidRDefault="00A3303B" w:rsidP="00533D2A">
      <w:pPr>
        <w:spacing w:line="360" w:lineRule="auto"/>
        <w:jc w:val="both"/>
        <w:rPr>
          <w:rFonts w:cs="Times New Roman"/>
          <w:sz w:val="24"/>
          <w:szCs w:val="24"/>
        </w:rPr>
      </w:pPr>
      <w:r w:rsidRPr="00833C88">
        <w:rPr>
          <w:rFonts w:cs="Times New Roman"/>
          <w:sz w:val="24"/>
          <w:szCs w:val="24"/>
        </w:rPr>
        <w:t xml:space="preserve">W ten sposób </w:t>
      </w:r>
      <w:r w:rsidR="00DD490C" w:rsidRPr="00833C88">
        <w:rPr>
          <w:rFonts w:cs="Times New Roman"/>
          <w:sz w:val="24"/>
          <w:szCs w:val="24"/>
        </w:rPr>
        <w:t xml:space="preserve">zapewniamy spójność z dyrektywą NIS 2 i jednocześnie zachowujemy ciągłość tej definicji od 2018 r. </w:t>
      </w:r>
      <w:r w:rsidR="008B41E4" w:rsidRPr="00833C88">
        <w:rPr>
          <w:rFonts w:cs="Times New Roman"/>
          <w:sz w:val="24"/>
          <w:szCs w:val="24"/>
        </w:rPr>
        <w:t>Porównanie w tym zakresie przedstawia poniższa tabela:</w:t>
      </w:r>
    </w:p>
    <w:tbl>
      <w:tblPr>
        <w:tblStyle w:val="Tabela-Siatka"/>
        <w:tblW w:w="0" w:type="auto"/>
        <w:tblLook w:val="04A0" w:firstRow="1" w:lastRow="0" w:firstColumn="1" w:lastColumn="0" w:noHBand="0" w:noVBand="1"/>
      </w:tblPr>
      <w:tblGrid>
        <w:gridCol w:w="4508"/>
        <w:gridCol w:w="4508"/>
      </w:tblGrid>
      <w:tr w:rsidR="00353375" w:rsidRPr="00833C88" w14:paraId="7597C33F" w14:textId="77777777" w:rsidTr="0086071A">
        <w:tc>
          <w:tcPr>
            <w:tcW w:w="4508" w:type="dxa"/>
          </w:tcPr>
          <w:p w14:paraId="0DA4E81A" w14:textId="3ACD5C75" w:rsidR="00353375" w:rsidRPr="00833C88" w:rsidRDefault="00353375" w:rsidP="00BC5DEB">
            <w:pPr>
              <w:rPr>
                <w:rFonts w:cs="Times New Roman"/>
              </w:rPr>
            </w:pPr>
            <w:r w:rsidRPr="00833C88">
              <w:rPr>
                <w:rFonts w:cs="Times New Roman"/>
              </w:rPr>
              <w:t>Definicje z projektu ustawy UC32</w:t>
            </w:r>
          </w:p>
        </w:tc>
        <w:tc>
          <w:tcPr>
            <w:tcW w:w="4508" w:type="dxa"/>
          </w:tcPr>
          <w:p w14:paraId="0A68E7F8" w14:textId="7AA489D2" w:rsidR="00353375" w:rsidRPr="00833C88" w:rsidRDefault="00353375" w:rsidP="00BC5DEB">
            <w:pPr>
              <w:rPr>
                <w:rFonts w:cs="Times New Roman"/>
              </w:rPr>
            </w:pPr>
            <w:r w:rsidRPr="00833C88">
              <w:rPr>
                <w:rFonts w:cs="Times New Roman"/>
              </w:rPr>
              <w:t>Definicja z dyrektywy NIS</w:t>
            </w:r>
            <w:r w:rsidR="001E0C6A" w:rsidRPr="00833C88">
              <w:rPr>
                <w:rFonts w:cs="Times New Roman"/>
              </w:rPr>
              <w:t xml:space="preserve"> </w:t>
            </w:r>
            <w:r w:rsidRPr="00833C88">
              <w:rPr>
                <w:rFonts w:cs="Times New Roman"/>
              </w:rPr>
              <w:t>2</w:t>
            </w:r>
          </w:p>
        </w:tc>
      </w:tr>
      <w:tr w:rsidR="00353375" w:rsidRPr="00833C88" w14:paraId="1CB66770" w14:textId="77777777" w:rsidTr="0086071A">
        <w:tc>
          <w:tcPr>
            <w:tcW w:w="4508" w:type="dxa"/>
          </w:tcPr>
          <w:p w14:paraId="4C1629E2" w14:textId="47752214" w:rsidR="00353375" w:rsidRPr="00833C88" w:rsidRDefault="00353375" w:rsidP="009767F5">
            <w:pPr>
              <w:jc w:val="both"/>
              <w:rPr>
                <w:rFonts w:cs="Times New Roman"/>
              </w:rPr>
            </w:pPr>
            <w:r w:rsidRPr="00833C88">
              <w:rPr>
                <w:rFonts w:cs="Times New Roman"/>
              </w:rPr>
              <w:t>incydent – zdarzenie, które ma lub może mieć niekorzystny wpływ na bezpieczeństwo systemów informacyjnych</w:t>
            </w:r>
          </w:p>
        </w:tc>
        <w:tc>
          <w:tcPr>
            <w:tcW w:w="4508" w:type="dxa"/>
            <w:vMerge w:val="restart"/>
          </w:tcPr>
          <w:p w14:paraId="0951A869" w14:textId="3961E543" w:rsidR="00353375" w:rsidRPr="00833C88" w:rsidRDefault="00353375" w:rsidP="009767F5">
            <w:pPr>
              <w:jc w:val="both"/>
              <w:rPr>
                <w:rFonts w:cs="Times New Roman"/>
              </w:rPr>
            </w:pPr>
            <w:r w:rsidRPr="00833C88">
              <w:rPr>
                <w:rFonts w:cs="Times New Roman"/>
              </w:rPr>
              <w:t>„incydent” oznacza zdarzenie naruszające dostępność, autentyczność, integralność lub poufność przechowywanych, przekazywanych lub przetwarzanych danych lub usług oferowanych przez sieci i systemy informatyczne lub dostępnych za ich pośrednictwem</w:t>
            </w:r>
            <w:r w:rsidR="009767F5" w:rsidRPr="00833C88">
              <w:rPr>
                <w:rFonts w:cs="Times New Roman"/>
              </w:rPr>
              <w:t>.</w:t>
            </w:r>
          </w:p>
        </w:tc>
      </w:tr>
      <w:tr w:rsidR="00353375" w:rsidRPr="00833C88" w14:paraId="36DB1DE9" w14:textId="77777777" w:rsidTr="0086071A">
        <w:tc>
          <w:tcPr>
            <w:tcW w:w="4508" w:type="dxa"/>
          </w:tcPr>
          <w:p w14:paraId="1CAAFC5F" w14:textId="0B2581CA" w:rsidR="00353375" w:rsidRPr="00833C88" w:rsidRDefault="00353375" w:rsidP="009767F5">
            <w:pPr>
              <w:jc w:val="both"/>
              <w:rPr>
                <w:rFonts w:cs="Times New Roman"/>
              </w:rPr>
            </w:pPr>
            <w:r w:rsidRPr="00833C88">
              <w:rPr>
                <w:rFonts w:cs="Times New Roman"/>
              </w:rPr>
              <w:t>bezpieczeństwo systemów informacyjnych – odporność systemów informacyjnych, przy danym poziomie pewności, na zdarzenia naruszające poufność, integralność, dostępność i autentyczność przetwarzanych danych lub związanych z nimi usług oferowanych przez te systemy</w:t>
            </w:r>
          </w:p>
        </w:tc>
        <w:tc>
          <w:tcPr>
            <w:tcW w:w="4508" w:type="dxa"/>
            <w:vMerge/>
          </w:tcPr>
          <w:p w14:paraId="66A08354" w14:textId="10C68918" w:rsidR="00353375" w:rsidRPr="00833C88" w:rsidRDefault="00353375" w:rsidP="004024BF">
            <w:pPr>
              <w:rPr>
                <w:rFonts w:cs="Times New Roman"/>
              </w:rPr>
            </w:pPr>
          </w:p>
        </w:tc>
      </w:tr>
    </w:tbl>
    <w:p w14:paraId="6FEC5617" w14:textId="26469A87" w:rsidR="00D659A7" w:rsidRPr="00833C88" w:rsidRDefault="00D659A7" w:rsidP="00BC5DEB">
      <w:pPr>
        <w:rPr>
          <w:rFonts w:cs="Times New Roman"/>
        </w:rPr>
      </w:pPr>
    </w:p>
    <w:p w14:paraId="53B64DB1" w14:textId="7D3D5564" w:rsidR="008B41E4" w:rsidRPr="00833C88" w:rsidRDefault="000A2846" w:rsidP="00533D2A">
      <w:pPr>
        <w:spacing w:line="360" w:lineRule="auto"/>
        <w:jc w:val="both"/>
        <w:rPr>
          <w:rFonts w:cs="Times New Roman"/>
          <w:sz w:val="24"/>
          <w:szCs w:val="24"/>
        </w:rPr>
      </w:pPr>
      <w:r w:rsidRPr="00833C88">
        <w:rPr>
          <w:rFonts w:cs="Times New Roman"/>
          <w:sz w:val="24"/>
          <w:szCs w:val="24"/>
        </w:rPr>
        <w:lastRenderedPageBreak/>
        <w:t xml:space="preserve">Wyjaśnienia wymaga </w:t>
      </w:r>
      <w:r w:rsidR="007B3662" w:rsidRPr="00833C88">
        <w:rPr>
          <w:rFonts w:cs="Times New Roman"/>
          <w:sz w:val="24"/>
          <w:szCs w:val="24"/>
        </w:rPr>
        <w:t xml:space="preserve">wskazanie w definicji, że incydent to zdarzenie „które ma lub może mieć” – ta fakultatywność jest obecna </w:t>
      </w:r>
      <w:r w:rsidR="002A13B1" w:rsidRPr="00833C88">
        <w:rPr>
          <w:rFonts w:cs="Times New Roman"/>
          <w:sz w:val="24"/>
          <w:szCs w:val="24"/>
        </w:rPr>
        <w:t>od 2018 r. i jest związana z zapewnieniem, a</w:t>
      </w:r>
      <w:r w:rsidR="0008683A" w:rsidRPr="00833C88">
        <w:rPr>
          <w:rFonts w:cs="Times New Roman"/>
          <w:sz w:val="24"/>
          <w:szCs w:val="24"/>
        </w:rPr>
        <w:t xml:space="preserve">by zespoły CSIRT albo osoby odpowiedzialne za obsługę incydentów w podmiocie </w:t>
      </w:r>
      <w:r w:rsidR="00135FF5" w:rsidRPr="00833C88">
        <w:rPr>
          <w:rFonts w:cs="Times New Roman"/>
          <w:sz w:val="24"/>
          <w:szCs w:val="24"/>
        </w:rPr>
        <w:t xml:space="preserve">otrzymywały informację o zdarzeniu, które wystąpiło i nie można było mu zapobiec, a </w:t>
      </w:r>
      <w:r w:rsidR="0096235E" w:rsidRPr="00833C88">
        <w:rPr>
          <w:rFonts w:cs="Times New Roman"/>
          <w:sz w:val="24"/>
          <w:szCs w:val="24"/>
        </w:rPr>
        <w:t xml:space="preserve">zagraża bezpieczeństwu systemów. Dzięki temu można już rozpocząć proces zarządzania incydentem i na końcu wyciągnąć wnioski, które </w:t>
      </w:r>
      <w:r w:rsidR="00203F3C" w:rsidRPr="00833C88">
        <w:rPr>
          <w:rFonts w:cs="Times New Roman"/>
          <w:sz w:val="24"/>
          <w:szCs w:val="24"/>
        </w:rPr>
        <w:t xml:space="preserve">zapobiegną poważniejszym zdarzeniom w przyszłości. Takie ukształtowanie przepisu jest zarazem zgodne z </w:t>
      </w:r>
      <w:r w:rsidR="0099213C" w:rsidRPr="00833C88">
        <w:rPr>
          <w:rFonts w:cs="Times New Roman"/>
          <w:sz w:val="24"/>
          <w:szCs w:val="24"/>
        </w:rPr>
        <w:t xml:space="preserve">brzmieniem </w:t>
      </w:r>
      <w:r w:rsidR="0074724F" w:rsidRPr="00833C88">
        <w:rPr>
          <w:rFonts w:cs="Times New Roman"/>
          <w:sz w:val="24"/>
          <w:szCs w:val="24"/>
        </w:rPr>
        <w:t xml:space="preserve">art. 3 </w:t>
      </w:r>
      <w:r w:rsidR="0099213C" w:rsidRPr="00833C88">
        <w:rPr>
          <w:rFonts w:cs="Times New Roman"/>
          <w:sz w:val="24"/>
          <w:szCs w:val="24"/>
        </w:rPr>
        <w:t xml:space="preserve">rozporządzenia wykonawczego </w:t>
      </w:r>
      <w:r w:rsidR="00F22EA9" w:rsidRPr="00833C88">
        <w:rPr>
          <w:rFonts w:cs="Times New Roman"/>
          <w:sz w:val="24"/>
          <w:szCs w:val="24"/>
        </w:rPr>
        <w:t>2024/2690</w:t>
      </w:r>
      <w:r w:rsidR="0074724F" w:rsidRPr="00833C88">
        <w:rPr>
          <w:rFonts w:cs="Times New Roman"/>
          <w:sz w:val="24"/>
          <w:szCs w:val="24"/>
        </w:rPr>
        <w:t>, w którym w kilku miejscach wskazano, że incydent uznaje się za incydent poważny (w przypadku podmiotów z sektora infrastruktury cyfrowej) jeśli „incydent spowodował lub może spowodować …”.</w:t>
      </w:r>
    </w:p>
    <w:p w14:paraId="4E711D77" w14:textId="325CCF06" w:rsidR="00BC5DEB" w:rsidRPr="00833C88" w:rsidRDefault="001E0C6A" w:rsidP="00533D2A">
      <w:pPr>
        <w:pStyle w:val="Nagwek4"/>
        <w:numPr>
          <w:ilvl w:val="0"/>
          <w:numId w:val="0"/>
        </w:numPr>
        <w:ind w:left="720"/>
        <w:rPr>
          <w:rFonts w:cs="Times New Roman"/>
          <w:sz w:val="24"/>
          <w:szCs w:val="24"/>
        </w:rPr>
      </w:pPr>
      <w:r w:rsidRPr="00833C88">
        <w:rPr>
          <w:rFonts w:cs="Times New Roman"/>
          <w:sz w:val="24"/>
          <w:szCs w:val="24"/>
        </w:rPr>
        <w:t>1</w:t>
      </w:r>
      <w:r w:rsidR="00962428" w:rsidRPr="00833C88">
        <w:rPr>
          <w:rFonts w:cs="Times New Roman"/>
          <w:sz w:val="24"/>
          <w:szCs w:val="24"/>
        </w:rPr>
        <w:t>7</w:t>
      </w:r>
      <w:r w:rsidRPr="00833C88">
        <w:rPr>
          <w:rFonts w:cs="Times New Roman"/>
          <w:sz w:val="24"/>
          <w:szCs w:val="24"/>
        </w:rPr>
        <w:t xml:space="preserve">) </w:t>
      </w:r>
      <w:r w:rsidR="00BC5DEB" w:rsidRPr="00833C88">
        <w:rPr>
          <w:rFonts w:cs="Times New Roman"/>
          <w:sz w:val="24"/>
          <w:szCs w:val="24"/>
        </w:rPr>
        <w:t>Incydent poważny</w:t>
      </w:r>
    </w:p>
    <w:p w14:paraId="35B90B88" w14:textId="403C7B33" w:rsidR="003A661B" w:rsidRPr="00833C88" w:rsidRDefault="00601933" w:rsidP="0029004E">
      <w:pPr>
        <w:spacing w:line="360" w:lineRule="auto"/>
        <w:jc w:val="both"/>
        <w:rPr>
          <w:rFonts w:cs="Times New Roman"/>
          <w:sz w:val="24"/>
          <w:szCs w:val="24"/>
        </w:rPr>
      </w:pPr>
      <w:r w:rsidRPr="00833C88">
        <w:rPr>
          <w:rFonts w:cs="Times New Roman"/>
          <w:sz w:val="24"/>
          <w:szCs w:val="24"/>
        </w:rPr>
        <w:t>Z </w:t>
      </w:r>
      <w:r w:rsidR="00BB2B04" w:rsidRPr="00833C88">
        <w:rPr>
          <w:rFonts w:cs="Times New Roman"/>
          <w:sz w:val="24"/>
          <w:szCs w:val="24"/>
        </w:rPr>
        <w:t>uwagi na treść dyrektywy NIS</w:t>
      </w:r>
      <w:r w:rsidR="000305CD" w:rsidRPr="00833C88">
        <w:rPr>
          <w:rFonts w:cs="Times New Roman"/>
          <w:sz w:val="24"/>
          <w:szCs w:val="24"/>
        </w:rPr>
        <w:t xml:space="preserve"> </w:t>
      </w:r>
      <w:r w:rsidR="00BB2B04" w:rsidRPr="00833C88">
        <w:rPr>
          <w:rFonts w:cs="Times New Roman"/>
          <w:sz w:val="24"/>
          <w:szCs w:val="24"/>
        </w:rPr>
        <w:t>2 zaszła konieczność uzupełnienia definicji incydentu poważnego</w:t>
      </w:r>
      <w:r w:rsidR="00552650" w:rsidRPr="00833C88">
        <w:rPr>
          <w:rFonts w:cs="Times New Roman"/>
          <w:sz w:val="24"/>
          <w:szCs w:val="24"/>
        </w:rPr>
        <w:t xml:space="preserve">. </w:t>
      </w:r>
      <w:r w:rsidR="00D303CE" w:rsidRPr="00833C88">
        <w:rPr>
          <w:rFonts w:cs="Times New Roman"/>
          <w:sz w:val="24"/>
          <w:szCs w:val="24"/>
        </w:rPr>
        <w:t>W</w:t>
      </w:r>
      <w:r w:rsidR="00B946E2" w:rsidRPr="00833C88">
        <w:rPr>
          <w:rFonts w:cs="Times New Roman"/>
          <w:sz w:val="24"/>
          <w:szCs w:val="24"/>
        </w:rPr>
        <w:t>skazano, że jest to incydent</w:t>
      </w:r>
      <w:r w:rsidR="00F21712" w:rsidRPr="00833C88">
        <w:rPr>
          <w:rFonts w:cs="Times New Roman"/>
          <w:sz w:val="24"/>
          <w:szCs w:val="24"/>
        </w:rPr>
        <w:t>,</w:t>
      </w:r>
      <w:r w:rsidR="00B946E2" w:rsidRPr="00833C88">
        <w:rPr>
          <w:rFonts w:cs="Times New Roman"/>
          <w:sz w:val="24"/>
          <w:szCs w:val="24"/>
        </w:rPr>
        <w:t xml:space="preserve"> który powoduje lub może spowodować poważne obniżenie jakości lub przerwanie ciągłości świadczenia usługi przez podmiot kluczowy lub podmiot ważny – </w:t>
      </w:r>
      <w:r w:rsidRPr="00833C88">
        <w:rPr>
          <w:rFonts w:cs="Times New Roman"/>
          <w:sz w:val="24"/>
          <w:szCs w:val="24"/>
        </w:rPr>
        <w:t>a </w:t>
      </w:r>
      <w:r w:rsidR="00B946E2" w:rsidRPr="00833C88">
        <w:rPr>
          <w:rFonts w:cs="Times New Roman"/>
          <w:sz w:val="24"/>
          <w:szCs w:val="24"/>
        </w:rPr>
        <w:t xml:space="preserve">nie jak do tej pory </w:t>
      </w:r>
      <w:r w:rsidR="0076246B" w:rsidRPr="00833C88">
        <w:rPr>
          <w:rFonts w:cs="Times New Roman"/>
          <w:sz w:val="24"/>
          <w:szCs w:val="24"/>
        </w:rPr>
        <w:t xml:space="preserve">świadczenia usługi kluczowej przez operatora usługi kluczowej. Ponadto incydentem poważnym będzie też taki, który powoduje straty finansowe dla podmiotu kluczowego </w:t>
      </w:r>
      <w:r w:rsidRPr="00833C88">
        <w:rPr>
          <w:rFonts w:cs="Times New Roman"/>
          <w:sz w:val="24"/>
          <w:szCs w:val="24"/>
        </w:rPr>
        <w:t>i </w:t>
      </w:r>
      <w:r w:rsidR="00D303CE" w:rsidRPr="00833C88">
        <w:rPr>
          <w:rFonts w:cs="Times New Roman"/>
          <w:sz w:val="24"/>
          <w:szCs w:val="24"/>
        </w:rPr>
        <w:t xml:space="preserve">podmiotu </w:t>
      </w:r>
      <w:r w:rsidR="0076246B" w:rsidRPr="00833C88">
        <w:rPr>
          <w:rFonts w:cs="Times New Roman"/>
          <w:sz w:val="24"/>
          <w:szCs w:val="24"/>
        </w:rPr>
        <w:t xml:space="preserve">ważnego albo wpływa na inne podmioty – osoby fizyczne, osoby prawne </w:t>
      </w:r>
      <w:r w:rsidRPr="00833C88">
        <w:rPr>
          <w:rFonts w:cs="Times New Roman"/>
          <w:sz w:val="24"/>
          <w:szCs w:val="24"/>
        </w:rPr>
        <w:t>i </w:t>
      </w:r>
      <w:r w:rsidR="0076246B" w:rsidRPr="00833C88">
        <w:rPr>
          <w:rFonts w:cs="Times New Roman"/>
          <w:sz w:val="24"/>
          <w:szCs w:val="24"/>
        </w:rPr>
        <w:t xml:space="preserve">ułomne osoby prawne – </w:t>
      </w:r>
      <w:r w:rsidRPr="00833C88">
        <w:rPr>
          <w:rFonts w:cs="Times New Roman"/>
          <w:sz w:val="24"/>
          <w:szCs w:val="24"/>
        </w:rPr>
        <w:t>w </w:t>
      </w:r>
      <w:r w:rsidR="0076246B" w:rsidRPr="00833C88">
        <w:rPr>
          <w:rFonts w:cs="Times New Roman"/>
          <w:sz w:val="24"/>
          <w:szCs w:val="24"/>
        </w:rPr>
        <w:t xml:space="preserve">taki sposób, że </w:t>
      </w:r>
      <w:r w:rsidR="00E04AFD" w:rsidRPr="00833C88">
        <w:rPr>
          <w:rFonts w:cs="Times New Roman"/>
          <w:sz w:val="24"/>
          <w:szCs w:val="24"/>
        </w:rPr>
        <w:t>wywołuje szkodę materialną albo niematerialną.</w:t>
      </w:r>
    </w:p>
    <w:p w14:paraId="07C23635" w14:textId="7D0FC572" w:rsidR="006338D8" w:rsidRPr="00833C88" w:rsidRDefault="001E0C6A" w:rsidP="00533D2A">
      <w:pPr>
        <w:pStyle w:val="Nagwek4"/>
        <w:numPr>
          <w:ilvl w:val="0"/>
          <w:numId w:val="0"/>
        </w:numPr>
        <w:ind w:left="720"/>
        <w:rPr>
          <w:rFonts w:cs="Times New Roman"/>
          <w:sz w:val="24"/>
          <w:szCs w:val="24"/>
        </w:rPr>
      </w:pPr>
      <w:r w:rsidRPr="00833C88">
        <w:rPr>
          <w:rFonts w:cs="Times New Roman"/>
          <w:sz w:val="24"/>
          <w:szCs w:val="24"/>
        </w:rPr>
        <w:t>1</w:t>
      </w:r>
      <w:r w:rsidR="00511B4C" w:rsidRPr="00833C88">
        <w:rPr>
          <w:rFonts w:cs="Times New Roman"/>
          <w:sz w:val="24"/>
          <w:szCs w:val="24"/>
        </w:rPr>
        <w:t>8</w:t>
      </w:r>
      <w:r w:rsidRPr="00833C88">
        <w:rPr>
          <w:rFonts w:cs="Times New Roman"/>
          <w:sz w:val="24"/>
          <w:szCs w:val="24"/>
        </w:rPr>
        <w:t xml:space="preserve">) </w:t>
      </w:r>
      <w:r w:rsidR="006338D8" w:rsidRPr="00833C88">
        <w:rPr>
          <w:rFonts w:cs="Times New Roman"/>
          <w:sz w:val="24"/>
          <w:szCs w:val="24"/>
        </w:rPr>
        <w:t>Incydent w cyberbezpieczeństwie na dużą skalę</w:t>
      </w:r>
    </w:p>
    <w:p w14:paraId="1B51FFEF" w14:textId="24DC832B" w:rsidR="00E2052B" w:rsidRPr="00833C88" w:rsidRDefault="00E04AFD" w:rsidP="0029004E">
      <w:pPr>
        <w:spacing w:line="360" w:lineRule="auto"/>
        <w:jc w:val="both"/>
        <w:rPr>
          <w:rFonts w:cs="Times New Roman"/>
          <w:sz w:val="24"/>
          <w:szCs w:val="24"/>
        </w:rPr>
      </w:pPr>
      <w:r w:rsidRPr="00833C88">
        <w:rPr>
          <w:rFonts w:cs="Times New Roman"/>
          <w:sz w:val="24"/>
          <w:szCs w:val="24"/>
        </w:rPr>
        <w:t xml:space="preserve">Zgodnie </w:t>
      </w:r>
      <w:r w:rsidR="00601933" w:rsidRPr="00833C88">
        <w:rPr>
          <w:rFonts w:cs="Times New Roman"/>
          <w:sz w:val="24"/>
          <w:szCs w:val="24"/>
        </w:rPr>
        <w:t>z </w:t>
      </w:r>
      <w:r w:rsidRPr="00833C88">
        <w:rPr>
          <w:rFonts w:cs="Times New Roman"/>
          <w:sz w:val="24"/>
          <w:szCs w:val="24"/>
        </w:rPr>
        <w:t>dyrektywą NIS</w:t>
      </w:r>
      <w:r w:rsidR="000305CD" w:rsidRPr="00833C88">
        <w:rPr>
          <w:rFonts w:cs="Times New Roman"/>
          <w:sz w:val="24"/>
          <w:szCs w:val="24"/>
        </w:rPr>
        <w:t xml:space="preserve"> </w:t>
      </w:r>
      <w:r w:rsidRPr="00833C88">
        <w:rPr>
          <w:rFonts w:cs="Times New Roman"/>
          <w:sz w:val="24"/>
          <w:szCs w:val="24"/>
        </w:rPr>
        <w:t xml:space="preserve">2 dodano także </w:t>
      </w:r>
      <w:r w:rsidR="006944F3" w:rsidRPr="00833C88">
        <w:rPr>
          <w:rFonts w:cs="Times New Roman"/>
          <w:sz w:val="24"/>
          <w:szCs w:val="24"/>
        </w:rPr>
        <w:t xml:space="preserve">definicję incydentu </w:t>
      </w:r>
      <w:r w:rsidR="00601933" w:rsidRPr="00833C88">
        <w:rPr>
          <w:rFonts w:cs="Times New Roman"/>
          <w:sz w:val="24"/>
          <w:szCs w:val="24"/>
        </w:rPr>
        <w:t>w </w:t>
      </w:r>
      <w:r w:rsidR="006944F3" w:rsidRPr="00833C88">
        <w:rPr>
          <w:rFonts w:cs="Times New Roman"/>
          <w:sz w:val="24"/>
          <w:szCs w:val="24"/>
        </w:rPr>
        <w:t xml:space="preserve">cyberbezpieczeństwie na dużą skalę – jest to </w:t>
      </w:r>
      <w:r w:rsidR="00B63C08" w:rsidRPr="00833C88">
        <w:rPr>
          <w:rFonts w:cs="Times New Roman"/>
          <w:sz w:val="24"/>
          <w:szCs w:val="24"/>
        </w:rPr>
        <w:t>incydent, którego skutki przekraczają możliwości reagowania państwa lub ma poważny wpływ na inne państwo członkowskie. Zakres tego pojęcia może krzyżować się z</w:t>
      </w:r>
      <w:r w:rsidR="00EA2394" w:rsidRPr="00833C88">
        <w:rPr>
          <w:rFonts w:cs="Times New Roman"/>
          <w:sz w:val="24"/>
          <w:szCs w:val="24"/>
        </w:rPr>
        <w:t> </w:t>
      </w:r>
      <w:r w:rsidR="00B63C08" w:rsidRPr="00833C88">
        <w:rPr>
          <w:rFonts w:cs="Times New Roman"/>
          <w:sz w:val="24"/>
          <w:szCs w:val="24"/>
        </w:rPr>
        <w:t>definicją incydentu krytycznego</w:t>
      </w:r>
      <w:r w:rsidR="00823AB1" w:rsidRPr="00833C88">
        <w:rPr>
          <w:rFonts w:cs="Times New Roman"/>
          <w:sz w:val="24"/>
          <w:szCs w:val="24"/>
        </w:rPr>
        <w:t>, jednakże jest to celowe działanie.</w:t>
      </w:r>
    </w:p>
    <w:p w14:paraId="435BD380" w14:textId="393BD4FF" w:rsidR="008B64C7" w:rsidRPr="00833C88" w:rsidRDefault="00511B4C" w:rsidP="00533D2A">
      <w:pPr>
        <w:pStyle w:val="Nagwek4"/>
        <w:numPr>
          <w:ilvl w:val="0"/>
          <w:numId w:val="0"/>
        </w:numPr>
        <w:ind w:left="720"/>
        <w:rPr>
          <w:rFonts w:cs="Times New Roman"/>
          <w:sz w:val="24"/>
          <w:szCs w:val="24"/>
        </w:rPr>
      </w:pPr>
      <w:r w:rsidRPr="00833C88">
        <w:rPr>
          <w:rFonts w:cs="Times New Roman"/>
          <w:sz w:val="24"/>
          <w:szCs w:val="24"/>
        </w:rPr>
        <w:t>19</w:t>
      </w:r>
      <w:r w:rsidR="003B0D76" w:rsidRPr="00833C88">
        <w:rPr>
          <w:rFonts w:cs="Times New Roman"/>
          <w:sz w:val="24"/>
          <w:szCs w:val="24"/>
        </w:rPr>
        <w:t xml:space="preserve">) </w:t>
      </w:r>
      <w:r w:rsidR="008B64C7" w:rsidRPr="00833C88">
        <w:rPr>
          <w:rFonts w:cs="Times New Roman"/>
          <w:sz w:val="24"/>
          <w:szCs w:val="24"/>
        </w:rPr>
        <w:t>Uchylenie definicji incydentu istotnego i incydentu w podmiocie publicznym</w:t>
      </w:r>
    </w:p>
    <w:p w14:paraId="793C7947" w14:textId="5E680B75" w:rsidR="00C03734" w:rsidRPr="00833C88" w:rsidRDefault="00C03734" w:rsidP="0029004E">
      <w:pPr>
        <w:spacing w:line="360" w:lineRule="auto"/>
        <w:jc w:val="both"/>
        <w:rPr>
          <w:rFonts w:cs="Times New Roman"/>
          <w:sz w:val="24"/>
          <w:szCs w:val="24"/>
        </w:rPr>
      </w:pPr>
      <w:r w:rsidRPr="00833C88">
        <w:rPr>
          <w:rFonts w:cs="Times New Roman"/>
          <w:sz w:val="24"/>
          <w:szCs w:val="24"/>
        </w:rPr>
        <w:t xml:space="preserve">Uchyla się odrębne definicje incydentu istotnego </w:t>
      </w:r>
      <w:r w:rsidR="00601933" w:rsidRPr="00833C88">
        <w:rPr>
          <w:rFonts w:cs="Times New Roman"/>
          <w:sz w:val="24"/>
          <w:szCs w:val="24"/>
        </w:rPr>
        <w:t>i </w:t>
      </w:r>
      <w:r w:rsidRPr="00833C88">
        <w:rPr>
          <w:rFonts w:cs="Times New Roman"/>
          <w:sz w:val="24"/>
          <w:szCs w:val="24"/>
        </w:rPr>
        <w:t xml:space="preserve">incydentu </w:t>
      </w:r>
      <w:r w:rsidR="00601933" w:rsidRPr="00833C88">
        <w:rPr>
          <w:rFonts w:cs="Times New Roman"/>
          <w:sz w:val="24"/>
          <w:szCs w:val="24"/>
        </w:rPr>
        <w:t>w </w:t>
      </w:r>
      <w:r w:rsidR="00401EAB" w:rsidRPr="00833C88">
        <w:rPr>
          <w:rFonts w:cs="Times New Roman"/>
          <w:sz w:val="24"/>
          <w:szCs w:val="24"/>
        </w:rPr>
        <w:t xml:space="preserve">podmiocie publicznym, ponieważ podmioty kluczowe </w:t>
      </w:r>
      <w:r w:rsidR="00601933" w:rsidRPr="00833C88">
        <w:rPr>
          <w:rFonts w:cs="Times New Roman"/>
          <w:sz w:val="24"/>
          <w:szCs w:val="24"/>
        </w:rPr>
        <w:t>i </w:t>
      </w:r>
      <w:r w:rsidR="00401EAB" w:rsidRPr="00833C88">
        <w:rPr>
          <w:rFonts w:cs="Times New Roman"/>
          <w:sz w:val="24"/>
          <w:szCs w:val="24"/>
        </w:rPr>
        <w:t xml:space="preserve">podmioty ważne będą </w:t>
      </w:r>
      <w:r w:rsidR="00777868" w:rsidRPr="00833C88">
        <w:rPr>
          <w:rFonts w:cs="Times New Roman"/>
          <w:sz w:val="24"/>
          <w:szCs w:val="24"/>
        </w:rPr>
        <w:t xml:space="preserve">zgłaszały incydenty </w:t>
      </w:r>
      <w:r w:rsidR="00B62EA2" w:rsidRPr="00833C88">
        <w:rPr>
          <w:rFonts w:cs="Times New Roman"/>
          <w:sz w:val="24"/>
          <w:szCs w:val="24"/>
        </w:rPr>
        <w:t xml:space="preserve">klasyfikowane jako incydenty </w:t>
      </w:r>
      <w:r w:rsidR="00777868" w:rsidRPr="00833C88">
        <w:rPr>
          <w:rFonts w:cs="Times New Roman"/>
          <w:sz w:val="24"/>
          <w:szCs w:val="24"/>
        </w:rPr>
        <w:t>poważne</w:t>
      </w:r>
      <w:r w:rsidR="00601F3E" w:rsidRPr="00833C88">
        <w:rPr>
          <w:rFonts w:cs="Times New Roman"/>
          <w:sz w:val="24"/>
          <w:szCs w:val="24"/>
        </w:rPr>
        <w:t>.</w:t>
      </w:r>
    </w:p>
    <w:p w14:paraId="39D95060" w14:textId="58ACE09F" w:rsidR="008B64C7" w:rsidRPr="00833C88" w:rsidRDefault="003B0D76" w:rsidP="00533D2A">
      <w:pPr>
        <w:pStyle w:val="Nagwek4"/>
        <w:numPr>
          <w:ilvl w:val="0"/>
          <w:numId w:val="0"/>
        </w:numPr>
        <w:ind w:left="720"/>
        <w:rPr>
          <w:rFonts w:cs="Times New Roman"/>
          <w:sz w:val="24"/>
          <w:szCs w:val="24"/>
        </w:rPr>
      </w:pPr>
      <w:r w:rsidRPr="00833C88">
        <w:rPr>
          <w:rFonts w:cs="Times New Roman"/>
          <w:sz w:val="24"/>
          <w:szCs w:val="24"/>
        </w:rPr>
        <w:t>2</w:t>
      </w:r>
      <w:r w:rsidR="00511B4C" w:rsidRPr="00833C88">
        <w:rPr>
          <w:rFonts w:cs="Times New Roman"/>
          <w:sz w:val="24"/>
          <w:szCs w:val="24"/>
        </w:rPr>
        <w:t>0</w:t>
      </w:r>
      <w:r w:rsidRPr="00833C88">
        <w:rPr>
          <w:rFonts w:cs="Times New Roman"/>
          <w:sz w:val="24"/>
          <w:szCs w:val="24"/>
        </w:rPr>
        <w:t xml:space="preserve">) </w:t>
      </w:r>
      <w:r w:rsidR="00B571E5" w:rsidRPr="00833C88">
        <w:rPr>
          <w:rFonts w:cs="Times New Roman"/>
          <w:sz w:val="24"/>
          <w:szCs w:val="24"/>
        </w:rPr>
        <w:t>Kierownik podmiotu kluczowego lub podmiotu ważnego</w:t>
      </w:r>
    </w:p>
    <w:p w14:paraId="2FF351A7" w14:textId="56DF96FF" w:rsidR="00546160" w:rsidRPr="00833C88" w:rsidRDefault="00546160" w:rsidP="0029004E">
      <w:pPr>
        <w:spacing w:line="360" w:lineRule="auto"/>
        <w:jc w:val="both"/>
        <w:rPr>
          <w:rFonts w:cs="Times New Roman"/>
          <w:sz w:val="24"/>
          <w:szCs w:val="24"/>
        </w:rPr>
      </w:pPr>
      <w:r w:rsidRPr="00833C88">
        <w:rPr>
          <w:rFonts w:cs="Times New Roman"/>
          <w:sz w:val="24"/>
          <w:szCs w:val="24"/>
        </w:rPr>
        <w:t xml:space="preserve">Dyrektywa </w:t>
      </w:r>
      <w:r w:rsidR="00CD084F" w:rsidRPr="00833C88">
        <w:rPr>
          <w:rFonts w:cs="Times New Roman"/>
          <w:sz w:val="24"/>
          <w:szCs w:val="24"/>
        </w:rPr>
        <w:t xml:space="preserve">NIS 2 </w:t>
      </w:r>
      <w:r w:rsidRPr="00833C88">
        <w:rPr>
          <w:rFonts w:cs="Times New Roman"/>
          <w:sz w:val="24"/>
          <w:szCs w:val="24"/>
        </w:rPr>
        <w:t>wyraźnie wskazuje na odpowiedzialność zarządu podmiotu kluczowego i</w:t>
      </w:r>
      <w:r w:rsidR="00CD084F" w:rsidRPr="00833C88">
        <w:rPr>
          <w:rFonts w:cs="Times New Roman"/>
        </w:rPr>
        <w:t> </w:t>
      </w:r>
      <w:r w:rsidRPr="00833C88">
        <w:rPr>
          <w:rFonts w:cs="Times New Roman"/>
          <w:sz w:val="24"/>
          <w:szCs w:val="24"/>
        </w:rPr>
        <w:t xml:space="preserve">podmiotu ważnego </w:t>
      </w:r>
      <w:r w:rsidR="00601933" w:rsidRPr="00833C88">
        <w:rPr>
          <w:rFonts w:cs="Times New Roman"/>
          <w:sz w:val="24"/>
          <w:szCs w:val="24"/>
        </w:rPr>
        <w:t>w </w:t>
      </w:r>
      <w:r w:rsidRPr="00833C88">
        <w:rPr>
          <w:rFonts w:cs="Times New Roman"/>
          <w:sz w:val="24"/>
          <w:szCs w:val="24"/>
        </w:rPr>
        <w:t xml:space="preserve">realizacji obowiązków </w:t>
      </w:r>
      <w:r w:rsidR="00601933" w:rsidRPr="00833C88">
        <w:rPr>
          <w:rFonts w:cs="Times New Roman"/>
          <w:sz w:val="24"/>
          <w:szCs w:val="24"/>
        </w:rPr>
        <w:t>z </w:t>
      </w:r>
      <w:r w:rsidRPr="00833C88">
        <w:rPr>
          <w:rFonts w:cs="Times New Roman"/>
          <w:sz w:val="24"/>
          <w:szCs w:val="24"/>
        </w:rPr>
        <w:t xml:space="preserve">zakresu cyberbezpieczeństwa. </w:t>
      </w:r>
      <w:r w:rsidR="006F08A2" w:rsidRPr="00833C88">
        <w:rPr>
          <w:rFonts w:cs="Times New Roman"/>
          <w:sz w:val="24"/>
          <w:szCs w:val="24"/>
        </w:rPr>
        <w:t xml:space="preserve">Dlatego konieczne jest wyraźne zdefiniowanie kto jest kierownikiem podmiotu kluczowego lub podmiotu ważnego </w:t>
      </w:r>
      <w:r w:rsidR="00601933" w:rsidRPr="00833C88">
        <w:rPr>
          <w:rFonts w:cs="Times New Roman"/>
          <w:sz w:val="24"/>
          <w:szCs w:val="24"/>
        </w:rPr>
        <w:t>w </w:t>
      </w:r>
      <w:r w:rsidR="006F08A2" w:rsidRPr="00833C88">
        <w:rPr>
          <w:rFonts w:cs="Times New Roman"/>
          <w:sz w:val="24"/>
          <w:szCs w:val="24"/>
        </w:rPr>
        <w:t>rozumieniu ustawy</w:t>
      </w:r>
      <w:r w:rsidR="00A952AE" w:rsidRPr="00833C88">
        <w:rPr>
          <w:rFonts w:cs="Times New Roman"/>
          <w:sz w:val="24"/>
          <w:szCs w:val="24"/>
        </w:rPr>
        <w:t xml:space="preserve"> </w:t>
      </w:r>
      <w:r w:rsidR="00601933" w:rsidRPr="00833C88">
        <w:rPr>
          <w:rFonts w:cs="Times New Roman"/>
          <w:sz w:val="24"/>
          <w:szCs w:val="24"/>
        </w:rPr>
        <w:t>o </w:t>
      </w:r>
      <w:r w:rsidR="00A952AE" w:rsidRPr="00833C88">
        <w:rPr>
          <w:rFonts w:cs="Times New Roman"/>
          <w:sz w:val="24"/>
          <w:szCs w:val="24"/>
        </w:rPr>
        <w:t>KSC</w:t>
      </w:r>
      <w:r w:rsidR="006F08A2" w:rsidRPr="00833C88">
        <w:rPr>
          <w:rFonts w:cs="Times New Roman"/>
          <w:sz w:val="24"/>
          <w:szCs w:val="24"/>
        </w:rPr>
        <w:t xml:space="preserve">. </w:t>
      </w:r>
      <w:r w:rsidR="00F83A1D" w:rsidRPr="00833C88">
        <w:rPr>
          <w:rFonts w:cs="Times New Roman"/>
          <w:sz w:val="24"/>
          <w:szCs w:val="24"/>
        </w:rPr>
        <w:t xml:space="preserve">Definicja odsyła więc do </w:t>
      </w:r>
      <w:r w:rsidR="006B02EB" w:rsidRPr="00833C88">
        <w:rPr>
          <w:rFonts w:cs="Times New Roman"/>
          <w:sz w:val="24"/>
          <w:szCs w:val="24"/>
        </w:rPr>
        <w:t xml:space="preserve">pojęcia kierownika jednostki </w:t>
      </w:r>
      <w:r w:rsidR="00601933" w:rsidRPr="00833C88">
        <w:rPr>
          <w:rFonts w:cs="Times New Roman"/>
          <w:sz w:val="24"/>
          <w:szCs w:val="24"/>
        </w:rPr>
        <w:t>w </w:t>
      </w:r>
      <w:r w:rsidR="00194EE0" w:rsidRPr="00833C88">
        <w:rPr>
          <w:rFonts w:cs="Times New Roman"/>
          <w:sz w:val="24"/>
          <w:szCs w:val="24"/>
        </w:rPr>
        <w:t xml:space="preserve">rozumieniu art. 3 </w:t>
      </w:r>
      <w:r w:rsidR="004E18F2" w:rsidRPr="00833C88">
        <w:rPr>
          <w:rFonts w:cs="Times New Roman"/>
          <w:sz w:val="24"/>
          <w:szCs w:val="24"/>
        </w:rPr>
        <w:t xml:space="preserve">ust. 1 </w:t>
      </w:r>
      <w:r w:rsidR="00194EE0" w:rsidRPr="00833C88">
        <w:rPr>
          <w:rFonts w:cs="Times New Roman"/>
          <w:sz w:val="24"/>
          <w:szCs w:val="24"/>
        </w:rPr>
        <w:t xml:space="preserve">pkt 6 ustawy </w:t>
      </w:r>
      <w:r w:rsidR="00601933" w:rsidRPr="00833C88">
        <w:rPr>
          <w:rFonts w:cs="Times New Roman"/>
          <w:sz w:val="24"/>
          <w:szCs w:val="24"/>
        </w:rPr>
        <w:t>z </w:t>
      </w:r>
      <w:r w:rsidR="00194EE0" w:rsidRPr="00833C88">
        <w:rPr>
          <w:rFonts w:cs="Times New Roman"/>
          <w:sz w:val="24"/>
          <w:szCs w:val="24"/>
        </w:rPr>
        <w:t xml:space="preserve">dnia 29 września 1994 r. </w:t>
      </w:r>
      <w:r w:rsidR="00601933" w:rsidRPr="00833C88">
        <w:rPr>
          <w:rFonts w:cs="Times New Roman"/>
          <w:sz w:val="24"/>
          <w:szCs w:val="24"/>
        </w:rPr>
        <w:t>o </w:t>
      </w:r>
      <w:r w:rsidR="00194EE0" w:rsidRPr="00833C88">
        <w:rPr>
          <w:rFonts w:cs="Times New Roman"/>
          <w:sz w:val="24"/>
          <w:szCs w:val="24"/>
        </w:rPr>
        <w:t xml:space="preserve">rachunkowości </w:t>
      </w:r>
      <w:r w:rsidR="00A567A8" w:rsidRPr="00833C88">
        <w:rPr>
          <w:rFonts w:cs="Times New Roman"/>
          <w:sz w:val="24"/>
          <w:szCs w:val="24"/>
        </w:rPr>
        <w:lastRenderedPageBreak/>
        <w:t xml:space="preserve">(Dz. U. </w:t>
      </w:r>
      <w:r w:rsidR="00601933" w:rsidRPr="00833C88">
        <w:rPr>
          <w:rFonts w:cs="Times New Roman"/>
          <w:sz w:val="24"/>
          <w:szCs w:val="24"/>
        </w:rPr>
        <w:t>z </w:t>
      </w:r>
      <w:r w:rsidR="00A567A8" w:rsidRPr="00833C88">
        <w:rPr>
          <w:rFonts w:cs="Times New Roman"/>
          <w:sz w:val="24"/>
          <w:szCs w:val="24"/>
        </w:rPr>
        <w:t>2023 r. poz. 120</w:t>
      </w:r>
      <w:r w:rsidR="00E97A04" w:rsidRPr="00833C88">
        <w:rPr>
          <w:rFonts w:cs="Times New Roman"/>
          <w:sz w:val="24"/>
          <w:szCs w:val="24"/>
        </w:rPr>
        <w:t xml:space="preserve">, </w:t>
      </w:r>
      <w:r w:rsidR="00601933" w:rsidRPr="00833C88">
        <w:rPr>
          <w:rFonts w:cs="Times New Roman"/>
          <w:sz w:val="24"/>
          <w:szCs w:val="24"/>
        </w:rPr>
        <w:t>z </w:t>
      </w:r>
      <w:r w:rsidR="00E97A04" w:rsidRPr="00833C88">
        <w:rPr>
          <w:rFonts w:cs="Times New Roman"/>
          <w:sz w:val="24"/>
          <w:szCs w:val="24"/>
        </w:rPr>
        <w:t>późn. zm.</w:t>
      </w:r>
      <w:r w:rsidR="00A567A8" w:rsidRPr="00833C88">
        <w:rPr>
          <w:rFonts w:cs="Times New Roman"/>
          <w:sz w:val="24"/>
          <w:szCs w:val="24"/>
        </w:rPr>
        <w:t xml:space="preserve">) </w:t>
      </w:r>
      <w:r w:rsidR="00194EE0" w:rsidRPr="00833C88">
        <w:rPr>
          <w:rFonts w:cs="Times New Roman"/>
          <w:sz w:val="24"/>
          <w:szCs w:val="24"/>
        </w:rPr>
        <w:t xml:space="preserve">kierującego podmiotem kluczowym lub podmiotem ważnym. </w:t>
      </w:r>
      <w:r w:rsidR="0099129B" w:rsidRPr="00833C88">
        <w:rPr>
          <w:rFonts w:cs="Times New Roman"/>
          <w:sz w:val="24"/>
          <w:szCs w:val="24"/>
        </w:rPr>
        <w:t xml:space="preserve">Takie odesłanie </w:t>
      </w:r>
      <w:r w:rsidR="00584965" w:rsidRPr="00833C88">
        <w:rPr>
          <w:rFonts w:cs="Times New Roman"/>
          <w:sz w:val="24"/>
          <w:szCs w:val="24"/>
        </w:rPr>
        <w:t xml:space="preserve">zapewni spójność </w:t>
      </w:r>
      <w:r w:rsidR="00601933" w:rsidRPr="00833C88">
        <w:rPr>
          <w:rFonts w:cs="Times New Roman"/>
          <w:sz w:val="24"/>
          <w:szCs w:val="24"/>
        </w:rPr>
        <w:t>w </w:t>
      </w:r>
      <w:r w:rsidR="00584965" w:rsidRPr="00833C88">
        <w:rPr>
          <w:rFonts w:cs="Times New Roman"/>
          <w:sz w:val="24"/>
          <w:szCs w:val="24"/>
        </w:rPr>
        <w:t xml:space="preserve">systemie prawa – pojęcie kierownika jednostki jest znane </w:t>
      </w:r>
      <w:r w:rsidR="00601933" w:rsidRPr="00833C88">
        <w:rPr>
          <w:rFonts w:cs="Times New Roman"/>
          <w:sz w:val="24"/>
          <w:szCs w:val="24"/>
        </w:rPr>
        <w:t>i </w:t>
      </w:r>
      <w:r w:rsidR="00584965" w:rsidRPr="00833C88">
        <w:rPr>
          <w:rFonts w:cs="Times New Roman"/>
          <w:sz w:val="24"/>
          <w:szCs w:val="24"/>
        </w:rPr>
        <w:t>ugruntowane w</w:t>
      </w:r>
      <w:r w:rsidR="00CD084F" w:rsidRPr="00833C88">
        <w:rPr>
          <w:rFonts w:cs="Times New Roman"/>
          <w:sz w:val="24"/>
          <w:szCs w:val="24"/>
        </w:rPr>
        <w:t> </w:t>
      </w:r>
      <w:r w:rsidR="00584965" w:rsidRPr="00833C88">
        <w:rPr>
          <w:rFonts w:cs="Times New Roman"/>
          <w:sz w:val="24"/>
          <w:szCs w:val="24"/>
        </w:rPr>
        <w:t xml:space="preserve">orzecznictwie </w:t>
      </w:r>
      <w:r w:rsidR="00601933" w:rsidRPr="00833C88">
        <w:rPr>
          <w:rFonts w:cs="Times New Roman"/>
          <w:sz w:val="24"/>
          <w:szCs w:val="24"/>
        </w:rPr>
        <w:t>i </w:t>
      </w:r>
      <w:r w:rsidR="00584965" w:rsidRPr="00833C88">
        <w:rPr>
          <w:rFonts w:cs="Times New Roman"/>
          <w:sz w:val="24"/>
          <w:szCs w:val="24"/>
        </w:rPr>
        <w:t>doktrynie</w:t>
      </w:r>
      <w:r w:rsidR="005E68EB" w:rsidRPr="00833C88">
        <w:rPr>
          <w:rFonts w:cs="Times New Roman"/>
          <w:sz w:val="24"/>
          <w:szCs w:val="24"/>
        </w:rPr>
        <w:t xml:space="preserve">. Ponadto na gruncie ustawy </w:t>
      </w:r>
      <w:r w:rsidR="00601933" w:rsidRPr="00833C88">
        <w:rPr>
          <w:rFonts w:cs="Times New Roman"/>
          <w:sz w:val="24"/>
          <w:szCs w:val="24"/>
        </w:rPr>
        <w:t>z </w:t>
      </w:r>
      <w:r w:rsidR="00A567A8" w:rsidRPr="00833C88">
        <w:rPr>
          <w:rFonts w:cs="Times New Roman"/>
          <w:sz w:val="24"/>
          <w:szCs w:val="24"/>
        </w:rPr>
        <w:t xml:space="preserve">dnia 29 września 1994 r. </w:t>
      </w:r>
      <w:r w:rsidR="00601933" w:rsidRPr="00833C88">
        <w:rPr>
          <w:rFonts w:cs="Times New Roman"/>
          <w:sz w:val="24"/>
          <w:szCs w:val="24"/>
        </w:rPr>
        <w:t>o </w:t>
      </w:r>
      <w:r w:rsidR="0044155D" w:rsidRPr="00833C88">
        <w:rPr>
          <w:rFonts w:cs="Times New Roman"/>
          <w:sz w:val="24"/>
          <w:szCs w:val="24"/>
        </w:rPr>
        <w:t>rachunkowości</w:t>
      </w:r>
      <w:r w:rsidR="00EF4862" w:rsidRPr="00833C88">
        <w:rPr>
          <w:rFonts w:cs="Times New Roman"/>
          <w:sz w:val="24"/>
          <w:szCs w:val="24"/>
        </w:rPr>
        <w:t>,</w:t>
      </w:r>
      <w:r w:rsidR="0044155D" w:rsidRPr="00833C88">
        <w:rPr>
          <w:rFonts w:cs="Times New Roman"/>
          <w:sz w:val="24"/>
          <w:szCs w:val="24"/>
        </w:rPr>
        <w:t xml:space="preserve"> </w:t>
      </w:r>
      <w:r w:rsidR="00E953B4" w:rsidRPr="00833C88">
        <w:rPr>
          <w:rFonts w:cs="Times New Roman"/>
          <w:sz w:val="24"/>
          <w:szCs w:val="24"/>
        </w:rPr>
        <w:t xml:space="preserve">kierownik jednostki odpowiada za szereg </w:t>
      </w:r>
      <w:r w:rsidR="00CD7B96" w:rsidRPr="00833C88">
        <w:rPr>
          <w:rFonts w:cs="Times New Roman"/>
          <w:sz w:val="24"/>
          <w:szCs w:val="24"/>
        </w:rPr>
        <w:t xml:space="preserve">obowiązków dotyczących rachunkowości – podobna sytuacja będzie miała miejsce </w:t>
      </w:r>
      <w:r w:rsidR="00601933" w:rsidRPr="00833C88">
        <w:rPr>
          <w:rFonts w:cs="Times New Roman"/>
          <w:sz w:val="24"/>
          <w:szCs w:val="24"/>
        </w:rPr>
        <w:t>w </w:t>
      </w:r>
      <w:r w:rsidR="00CD7B96" w:rsidRPr="00833C88">
        <w:rPr>
          <w:rFonts w:cs="Times New Roman"/>
          <w:sz w:val="24"/>
          <w:szCs w:val="24"/>
        </w:rPr>
        <w:t>przypadku cyberbezpieczeństwa.</w:t>
      </w:r>
      <w:r w:rsidR="00544EB4" w:rsidRPr="00833C88">
        <w:rPr>
          <w:rFonts w:cs="Times New Roman"/>
          <w:sz w:val="24"/>
          <w:szCs w:val="24"/>
        </w:rPr>
        <w:t xml:space="preserve"> </w:t>
      </w:r>
      <w:r w:rsidR="00601933" w:rsidRPr="00833C88">
        <w:rPr>
          <w:rFonts w:cs="Times New Roman"/>
          <w:sz w:val="24"/>
          <w:szCs w:val="24"/>
        </w:rPr>
        <w:t>W </w:t>
      </w:r>
      <w:r w:rsidR="00544EB4" w:rsidRPr="00833C88">
        <w:rPr>
          <w:rFonts w:cs="Times New Roman"/>
          <w:sz w:val="24"/>
          <w:szCs w:val="24"/>
        </w:rPr>
        <w:t xml:space="preserve">przypadku gdy podmiotem kluczowym lub podmiotem ważnym będzie jednostka sektora finansów publicznych, kierownikiem tego podmiotu jest kierownik, </w:t>
      </w:r>
      <w:r w:rsidR="00601933" w:rsidRPr="00833C88">
        <w:rPr>
          <w:rFonts w:cs="Times New Roman"/>
          <w:sz w:val="24"/>
          <w:szCs w:val="24"/>
        </w:rPr>
        <w:t>o </w:t>
      </w:r>
      <w:r w:rsidR="00544EB4" w:rsidRPr="00833C88">
        <w:rPr>
          <w:rFonts w:cs="Times New Roman"/>
          <w:sz w:val="24"/>
          <w:szCs w:val="24"/>
        </w:rPr>
        <w:t xml:space="preserve">którym mowa </w:t>
      </w:r>
      <w:r w:rsidR="00601933" w:rsidRPr="00833C88">
        <w:rPr>
          <w:rFonts w:cs="Times New Roman"/>
          <w:sz w:val="24"/>
          <w:szCs w:val="24"/>
        </w:rPr>
        <w:t>w </w:t>
      </w:r>
      <w:r w:rsidR="00544EB4" w:rsidRPr="00833C88">
        <w:rPr>
          <w:rFonts w:cs="Times New Roman"/>
          <w:sz w:val="24"/>
          <w:szCs w:val="24"/>
        </w:rPr>
        <w:t xml:space="preserve">art. 53 ust. 1 ustawy </w:t>
      </w:r>
      <w:r w:rsidR="003507C3" w:rsidRPr="00833C88">
        <w:rPr>
          <w:rFonts w:cs="Times New Roman"/>
          <w:sz w:val="24"/>
          <w:szCs w:val="24"/>
        </w:rPr>
        <w:t xml:space="preserve">z dnia </w:t>
      </w:r>
      <w:r w:rsidR="00544EB4" w:rsidRPr="00833C88">
        <w:rPr>
          <w:rFonts w:cs="Times New Roman"/>
          <w:sz w:val="24"/>
          <w:szCs w:val="24"/>
        </w:rPr>
        <w:t xml:space="preserve">27 sierpnia 2009 r. </w:t>
      </w:r>
      <w:r w:rsidR="00601933" w:rsidRPr="00833C88">
        <w:rPr>
          <w:rFonts w:cs="Times New Roman"/>
          <w:sz w:val="24"/>
          <w:szCs w:val="24"/>
        </w:rPr>
        <w:t>o </w:t>
      </w:r>
      <w:r w:rsidR="00544EB4" w:rsidRPr="00833C88">
        <w:rPr>
          <w:rFonts w:cs="Times New Roman"/>
          <w:sz w:val="24"/>
          <w:szCs w:val="24"/>
        </w:rPr>
        <w:t>finansach publicznych</w:t>
      </w:r>
      <w:r w:rsidR="00AE3748" w:rsidRPr="00833C88">
        <w:rPr>
          <w:rFonts w:cs="Times New Roman"/>
          <w:sz w:val="24"/>
          <w:szCs w:val="24"/>
        </w:rPr>
        <w:t xml:space="preserve"> (Dz.</w:t>
      </w:r>
      <w:r w:rsidR="0035756F" w:rsidRPr="00833C88">
        <w:rPr>
          <w:rFonts w:cs="Times New Roman"/>
          <w:sz w:val="24"/>
          <w:szCs w:val="24"/>
        </w:rPr>
        <w:t> </w:t>
      </w:r>
      <w:r w:rsidR="00AE3748" w:rsidRPr="00833C88">
        <w:rPr>
          <w:rFonts w:cs="Times New Roman"/>
          <w:sz w:val="24"/>
          <w:szCs w:val="24"/>
        </w:rPr>
        <w:t xml:space="preserve">U. </w:t>
      </w:r>
      <w:r w:rsidR="00601933" w:rsidRPr="00833C88">
        <w:rPr>
          <w:rFonts w:cs="Times New Roman"/>
          <w:sz w:val="24"/>
          <w:szCs w:val="24"/>
        </w:rPr>
        <w:t>z </w:t>
      </w:r>
      <w:r w:rsidR="00AE3748" w:rsidRPr="00833C88">
        <w:rPr>
          <w:rFonts w:cs="Times New Roman"/>
          <w:sz w:val="24"/>
          <w:szCs w:val="24"/>
        </w:rPr>
        <w:t xml:space="preserve">2024 r. poz. 1530, </w:t>
      </w:r>
      <w:r w:rsidR="00601933" w:rsidRPr="00833C88">
        <w:rPr>
          <w:rFonts w:cs="Times New Roman"/>
          <w:sz w:val="24"/>
          <w:szCs w:val="24"/>
        </w:rPr>
        <w:t>z </w:t>
      </w:r>
      <w:r w:rsidR="00AE3748" w:rsidRPr="00833C88">
        <w:rPr>
          <w:rFonts w:cs="Times New Roman"/>
          <w:sz w:val="24"/>
          <w:szCs w:val="24"/>
        </w:rPr>
        <w:t>późn. zm</w:t>
      </w:r>
      <w:r w:rsidR="00544EB4" w:rsidRPr="00833C88">
        <w:rPr>
          <w:rFonts w:cs="Times New Roman"/>
          <w:sz w:val="24"/>
          <w:szCs w:val="24"/>
        </w:rPr>
        <w:t>.</w:t>
      </w:r>
      <w:r w:rsidR="00AE3748" w:rsidRPr="00833C88">
        <w:rPr>
          <w:rFonts w:cs="Times New Roman"/>
          <w:sz w:val="24"/>
          <w:szCs w:val="24"/>
        </w:rPr>
        <w:t>).</w:t>
      </w:r>
      <w:r w:rsidR="00A76474" w:rsidRPr="00833C88">
        <w:rPr>
          <w:rFonts w:cs="Times New Roman"/>
          <w:sz w:val="24"/>
          <w:szCs w:val="24"/>
        </w:rPr>
        <w:t xml:space="preserve"> Zmianę tę wprowadzono na prośbę wyartykułowaną w trakcie prac </w:t>
      </w:r>
      <w:r w:rsidR="00CE4CCB" w:rsidRPr="00833C88">
        <w:rPr>
          <w:rFonts w:cs="Times New Roman"/>
          <w:sz w:val="24"/>
          <w:szCs w:val="24"/>
        </w:rPr>
        <w:t>Komisji Wspólnej Rządu i Samorządu Terytorialnego.</w:t>
      </w:r>
    </w:p>
    <w:p w14:paraId="0F9CF0BE" w14:textId="753AC418" w:rsidR="004E28C5" w:rsidRPr="00833C88" w:rsidRDefault="003B0D76" w:rsidP="00533D2A">
      <w:pPr>
        <w:pStyle w:val="Nagwek4"/>
        <w:numPr>
          <w:ilvl w:val="0"/>
          <w:numId w:val="0"/>
        </w:numPr>
        <w:ind w:left="720"/>
        <w:rPr>
          <w:rFonts w:cs="Times New Roman"/>
          <w:sz w:val="24"/>
          <w:szCs w:val="24"/>
        </w:rPr>
      </w:pPr>
      <w:r w:rsidRPr="00833C88">
        <w:rPr>
          <w:rFonts w:cs="Times New Roman"/>
          <w:sz w:val="24"/>
          <w:szCs w:val="24"/>
        </w:rPr>
        <w:t>2</w:t>
      </w:r>
      <w:r w:rsidR="00D23A47" w:rsidRPr="00833C88">
        <w:rPr>
          <w:rFonts w:cs="Times New Roman"/>
          <w:sz w:val="24"/>
          <w:szCs w:val="24"/>
        </w:rPr>
        <w:t>1</w:t>
      </w:r>
      <w:r w:rsidRPr="00833C88">
        <w:rPr>
          <w:rFonts w:cs="Times New Roman"/>
          <w:sz w:val="24"/>
          <w:szCs w:val="24"/>
        </w:rPr>
        <w:t xml:space="preserve">) </w:t>
      </w:r>
      <w:r w:rsidR="004E28C5" w:rsidRPr="00833C88">
        <w:rPr>
          <w:rFonts w:cs="Times New Roman"/>
          <w:sz w:val="24"/>
          <w:szCs w:val="24"/>
        </w:rPr>
        <w:t>Organizacja badawcza</w:t>
      </w:r>
    </w:p>
    <w:p w14:paraId="08DB4F47" w14:textId="0FB434D6" w:rsidR="005944D1" w:rsidRPr="00833C88" w:rsidRDefault="005944D1" w:rsidP="0029004E">
      <w:pPr>
        <w:spacing w:line="360" w:lineRule="auto"/>
        <w:jc w:val="both"/>
        <w:rPr>
          <w:rFonts w:cs="Times New Roman"/>
          <w:sz w:val="24"/>
          <w:szCs w:val="24"/>
        </w:rPr>
      </w:pPr>
      <w:r w:rsidRPr="00833C88">
        <w:rPr>
          <w:rFonts w:cs="Times New Roman"/>
          <w:sz w:val="24"/>
          <w:szCs w:val="24"/>
        </w:rPr>
        <w:t>Definicja organizacji badawczej odwołuje się do</w:t>
      </w:r>
      <w:r w:rsidR="00EF3556" w:rsidRPr="00833C88">
        <w:rPr>
          <w:rFonts w:cs="Times New Roman"/>
          <w:sz w:val="24"/>
          <w:szCs w:val="24"/>
        </w:rPr>
        <w:t xml:space="preserve"> osoby prawnej albo ułomnej osoby prawnej prowadzącej</w:t>
      </w:r>
      <w:r w:rsidRPr="00833C88">
        <w:rPr>
          <w:rFonts w:cs="Times New Roman"/>
          <w:sz w:val="24"/>
          <w:szCs w:val="24"/>
        </w:rPr>
        <w:t xml:space="preserve"> </w:t>
      </w:r>
      <w:r w:rsidR="003A7133" w:rsidRPr="00833C88">
        <w:rPr>
          <w:rFonts w:cs="Times New Roman"/>
          <w:sz w:val="24"/>
          <w:szCs w:val="24"/>
        </w:rPr>
        <w:t>działalnoś</w:t>
      </w:r>
      <w:r w:rsidR="00EF3556" w:rsidRPr="00833C88">
        <w:rPr>
          <w:rFonts w:cs="Times New Roman"/>
          <w:sz w:val="24"/>
          <w:szCs w:val="24"/>
        </w:rPr>
        <w:t>ć</w:t>
      </w:r>
      <w:r w:rsidR="003A7133" w:rsidRPr="00833C88">
        <w:rPr>
          <w:rFonts w:cs="Times New Roman"/>
          <w:sz w:val="24"/>
          <w:szCs w:val="24"/>
        </w:rPr>
        <w:t xml:space="preserve"> </w:t>
      </w:r>
      <w:r w:rsidR="00096010" w:rsidRPr="00833C88">
        <w:rPr>
          <w:rFonts w:cs="Times New Roman"/>
          <w:sz w:val="24"/>
          <w:szCs w:val="24"/>
        </w:rPr>
        <w:t>wskazan</w:t>
      </w:r>
      <w:r w:rsidR="00EF3556" w:rsidRPr="00833C88">
        <w:rPr>
          <w:rFonts w:cs="Times New Roman"/>
          <w:sz w:val="24"/>
          <w:szCs w:val="24"/>
        </w:rPr>
        <w:t xml:space="preserve">ą </w:t>
      </w:r>
      <w:r w:rsidR="00601933" w:rsidRPr="00833C88">
        <w:rPr>
          <w:rFonts w:cs="Times New Roman"/>
          <w:sz w:val="24"/>
          <w:szCs w:val="24"/>
        </w:rPr>
        <w:t>w </w:t>
      </w:r>
      <w:r w:rsidR="00E229D7" w:rsidRPr="00833C88">
        <w:rPr>
          <w:rFonts w:cs="Times New Roman"/>
          <w:sz w:val="24"/>
          <w:szCs w:val="24"/>
        </w:rPr>
        <w:t xml:space="preserve">ustawie </w:t>
      </w:r>
      <w:r w:rsidR="00601933" w:rsidRPr="00833C88">
        <w:rPr>
          <w:rFonts w:cs="Times New Roman"/>
          <w:sz w:val="24"/>
          <w:szCs w:val="24"/>
        </w:rPr>
        <w:t>z </w:t>
      </w:r>
      <w:r w:rsidR="005C4963" w:rsidRPr="00833C88">
        <w:rPr>
          <w:rFonts w:cs="Times New Roman"/>
          <w:sz w:val="24"/>
          <w:szCs w:val="24"/>
        </w:rPr>
        <w:t xml:space="preserve">dnia 20 lipca 2018 r. </w:t>
      </w:r>
      <w:r w:rsidR="00E229D7" w:rsidRPr="00833C88">
        <w:rPr>
          <w:rFonts w:cs="Times New Roman"/>
          <w:sz w:val="24"/>
          <w:szCs w:val="24"/>
        </w:rPr>
        <w:t xml:space="preserve">– </w:t>
      </w:r>
      <w:r w:rsidR="00096010" w:rsidRPr="00833C88">
        <w:rPr>
          <w:rFonts w:cs="Times New Roman"/>
          <w:sz w:val="24"/>
          <w:szCs w:val="24"/>
        </w:rPr>
        <w:t>Praw</w:t>
      </w:r>
      <w:r w:rsidR="00A952AE" w:rsidRPr="00833C88">
        <w:rPr>
          <w:rFonts w:cs="Times New Roman"/>
          <w:sz w:val="24"/>
          <w:szCs w:val="24"/>
        </w:rPr>
        <w:t>o</w:t>
      </w:r>
      <w:r w:rsidR="00096010" w:rsidRPr="00833C88">
        <w:rPr>
          <w:rFonts w:cs="Times New Roman"/>
          <w:sz w:val="24"/>
          <w:szCs w:val="24"/>
        </w:rPr>
        <w:t xml:space="preserve"> </w:t>
      </w:r>
      <w:r w:rsidR="00601933" w:rsidRPr="00833C88">
        <w:rPr>
          <w:rFonts w:cs="Times New Roman"/>
          <w:sz w:val="24"/>
          <w:szCs w:val="24"/>
        </w:rPr>
        <w:t>o </w:t>
      </w:r>
      <w:r w:rsidR="00096010" w:rsidRPr="00833C88">
        <w:rPr>
          <w:rFonts w:cs="Times New Roman"/>
          <w:sz w:val="24"/>
          <w:szCs w:val="24"/>
        </w:rPr>
        <w:t xml:space="preserve">szkolnictwie wyższym </w:t>
      </w:r>
      <w:r w:rsidR="00601933" w:rsidRPr="00833C88">
        <w:rPr>
          <w:rFonts w:cs="Times New Roman"/>
          <w:sz w:val="24"/>
          <w:szCs w:val="24"/>
        </w:rPr>
        <w:t>i </w:t>
      </w:r>
      <w:r w:rsidR="00096010" w:rsidRPr="00833C88">
        <w:rPr>
          <w:rFonts w:cs="Times New Roman"/>
          <w:sz w:val="24"/>
          <w:szCs w:val="24"/>
        </w:rPr>
        <w:t>nauce</w:t>
      </w:r>
      <w:r w:rsidR="005C4963" w:rsidRPr="00833C88">
        <w:rPr>
          <w:rFonts w:cs="Times New Roman"/>
          <w:sz w:val="24"/>
          <w:szCs w:val="24"/>
        </w:rPr>
        <w:t xml:space="preserve"> (Dz. U. </w:t>
      </w:r>
      <w:r w:rsidR="00601933" w:rsidRPr="00833C88">
        <w:rPr>
          <w:rFonts w:cs="Times New Roman"/>
          <w:sz w:val="24"/>
          <w:szCs w:val="24"/>
        </w:rPr>
        <w:t>z </w:t>
      </w:r>
      <w:r w:rsidR="005C4963" w:rsidRPr="00833C88">
        <w:rPr>
          <w:rFonts w:cs="Times New Roman"/>
          <w:sz w:val="24"/>
          <w:szCs w:val="24"/>
        </w:rPr>
        <w:t>202</w:t>
      </w:r>
      <w:r w:rsidR="001C5447" w:rsidRPr="00833C88">
        <w:rPr>
          <w:rFonts w:cs="Times New Roman"/>
          <w:sz w:val="24"/>
          <w:szCs w:val="24"/>
        </w:rPr>
        <w:t>4</w:t>
      </w:r>
      <w:r w:rsidR="005C4963" w:rsidRPr="00833C88">
        <w:rPr>
          <w:rFonts w:cs="Times New Roman"/>
          <w:sz w:val="24"/>
          <w:szCs w:val="24"/>
        </w:rPr>
        <w:t xml:space="preserve"> r. poz. </w:t>
      </w:r>
      <w:r w:rsidR="001C5447" w:rsidRPr="00833C88">
        <w:rPr>
          <w:rFonts w:cs="Times New Roman"/>
          <w:sz w:val="24"/>
          <w:szCs w:val="24"/>
        </w:rPr>
        <w:t>15</w:t>
      </w:r>
      <w:r w:rsidR="005C4963" w:rsidRPr="00833C88">
        <w:rPr>
          <w:rFonts w:cs="Times New Roman"/>
          <w:sz w:val="24"/>
          <w:szCs w:val="24"/>
        </w:rPr>
        <w:t>7</w:t>
      </w:r>
      <w:r w:rsidR="001C5447" w:rsidRPr="00833C88">
        <w:rPr>
          <w:rFonts w:cs="Times New Roman"/>
          <w:sz w:val="24"/>
          <w:szCs w:val="24"/>
        </w:rPr>
        <w:t>1</w:t>
      </w:r>
      <w:r w:rsidR="00A952AE" w:rsidRPr="00833C88">
        <w:rPr>
          <w:rFonts w:cs="Times New Roman"/>
          <w:sz w:val="24"/>
          <w:szCs w:val="24"/>
        </w:rPr>
        <w:t>,</w:t>
      </w:r>
      <w:r w:rsidR="005C4963" w:rsidRPr="00833C88">
        <w:rPr>
          <w:rFonts w:cs="Times New Roman"/>
          <w:sz w:val="24"/>
          <w:szCs w:val="24"/>
        </w:rPr>
        <w:t xml:space="preserve"> </w:t>
      </w:r>
      <w:r w:rsidR="004862DB" w:rsidRPr="00833C88">
        <w:rPr>
          <w:rFonts w:cs="Times New Roman"/>
          <w:sz w:val="24"/>
          <w:szCs w:val="24"/>
        </w:rPr>
        <w:t>z późn. zm.</w:t>
      </w:r>
      <w:r w:rsidR="00DC5890" w:rsidRPr="00833C88">
        <w:rPr>
          <w:rFonts w:cs="Times New Roman"/>
          <w:sz w:val="24"/>
          <w:szCs w:val="24"/>
        </w:rPr>
        <w:t>)</w:t>
      </w:r>
      <w:r w:rsidR="00C76067" w:rsidRPr="00833C88">
        <w:rPr>
          <w:rFonts w:cs="Times New Roman"/>
          <w:sz w:val="24"/>
          <w:szCs w:val="24"/>
        </w:rPr>
        <w:t>,</w:t>
      </w:r>
      <w:r w:rsidR="00096010" w:rsidRPr="00833C88">
        <w:rPr>
          <w:rFonts w:cs="Times New Roman"/>
          <w:sz w:val="24"/>
          <w:szCs w:val="24"/>
        </w:rPr>
        <w:t xml:space="preserve"> tj. bada</w:t>
      </w:r>
      <w:r w:rsidR="00EF3556" w:rsidRPr="00833C88">
        <w:rPr>
          <w:rFonts w:cs="Times New Roman"/>
          <w:sz w:val="24"/>
          <w:szCs w:val="24"/>
        </w:rPr>
        <w:t>nia</w:t>
      </w:r>
      <w:r w:rsidR="00096010" w:rsidRPr="00833C88">
        <w:rPr>
          <w:rFonts w:cs="Times New Roman"/>
          <w:sz w:val="24"/>
          <w:szCs w:val="24"/>
        </w:rPr>
        <w:t xml:space="preserve"> aplikacyjn</w:t>
      </w:r>
      <w:r w:rsidR="00EF3556" w:rsidRPr="00833C88">
        <w:rPr>
          <w:rFonts w:cs="Times New Roman"/>
          <w:sz w:val="24"/>
          <w:szCs w:val="24"/>
        </w:rPr>
        <w:t>e</w:t>
      </w:r>
      <w:r w:rsidR="00096010" w:rsidRPr="00833C88">
        <w:rPr>
          <w:rFonts w:cs="Times New Roman"/>
          <w:sz w:val="24"/>
          <w:szCs w:val="24"/>
        </w:rPr>
        <w:t xml:space="preserve"> oraz prac</w:t>
      </w:r>
      <w:r w:rsidR="00EF3556" w:rsidRPr="00833C88">
        <w:rPr>
          <w:rFonts w:cs="Times New Roman"/>
          <w:sz w:val="24"/>
          <w:szCs w:val="24"/>
        </w:rPr>
        <w:t>e</w:t>
      </w:r>
      <w:r w:rsidR="00096010" w:rsidRPr="00833C88">
        <w:rPr>
          <w:rFonts w:cs="Times New Roman"/>
          <w:sz w:val="24"/>
          <w:szCs w:val="24"/>
        </w:rPr>
        <w:t xml:space="preserve"> rozwojow</w:t>
      </w:r>
      <w:r w:rsidR="00EF3556" w:rsidRPr="00833C88">
        <w:rPr>
          <w:rFonts w:cs="Times New Roman"/>
          <w:sz w:val="24"/>
          <w:szCs w:val="24"/>
        </w:rPr>
        <w:t>e.</w:t>
      </w:r>
      <w:r w:rsidR="00227D93" w:rsidRPr="00833C88">
        <w:rPr>
          <w:rFonts w:cs="Times New Roman"/>
          <w:sz w:val="24"/>
          <w:szCs w:val="24"/>
        </w:rPr>
        <w:t xml:space="preserve"> Nie włączono w zakres tej definicji badań podstawowych, ponieważ nie mają one celu komercyjnego, a definicja z dyrektywy NIS 2 odnosi się do działalności naukow</w:t>
      </w:r>
      <w:r w:rsidR="00D65DD7" w:rsidRPr="00833C88">
        <w:rPr>
          <w:rFonts w:cs="Times New Roman"/>
          <w:sz w:val="24"/>
          <w:szCs w:val="24"/>
        </w:rPr>
        <w:t xml:space="preserve">ej nastawionej na cele komercyjne. </w:t>
      </w:r>
      <w:r w:rsidR="00E167AD" w:rsidRPr="00833C88">
        <w:rPr>
          <w:rFonts w:cs="Times New Roman"/>
          <w:sz w:val="24"/>
          <w:szCs w:val="24"/>
        </w:rPr>
        <w:t>Zgodnie z definicją organizacji badawczej zawartej w</w:t>
      </w:r>
      <w:r w:rsidR="009767F5" w:rsidRPr="00833C88">
        <w:rPr>
          <w:rFonts w:cs="Times New Roman"/>
          <w:sz w:val="24"/>
          <w:szCs w:val="24"/>
        </w:rPr>
        <w:t> </w:t>
      </w:r>
      <w:r w:rsidR="00E167AD" w:rsidRPr="00833C88">
        <w:rPr>
          <w:rFonts w:cs="Times New Roman"/>
          <w:sz w:val="24"/>
          <w:szCs w:val="24"/>
        </w:rPr>
        <w:t xml:space="preserve">dyrektywie NIS 2 spod zakresu tej definicji wyłączono </w:t>
      </w:r>
      <w:r w:rsidR="00D65DD7" w:rsidRPr="00833C88">
        <w:rPr>
          <w:rFonts w:cs="Times New Roman"/>
          <w:sz w:val="24"/>
          <w:szCs w:val="24"/>
        </w:rPr>
        <w:t>podmioty systemu</w:t>
      </w:r>
      <w:r w:rsidR="002A78DC" w:rsidRPr="00833C88">
        <w:rPr>
          <w:rFonts w:cs="Times New Roman"/>
          <w:sz w:val="24"/>
          <w:szCs w:val="24"/>
        </w:rPr>
        <w:t xml:space="preserve"> szkolnictwa wyższego i nauki</w:t>
      </w:r>
      <w:r w:rsidR="00B33108" w:rsidRPr="00833C88">
        <w:rPr>
          <w:rFonts w:cs="Times New Roman"/>
          <w:sz w:val="24"/>
          <w:szCs w:val="24"/>
        </w:rPr>
        <w:t xml:space="preserve"> jak uczelnie i instytuty badawcze.</w:t>
      </w:r>
    </w:p>
    <w:p w14:paraId="790472D7" w14:textId="76844B1C" w:rsidR="004E28C5" w:rsidRPr="00833C88" w:rsidRDefault="003B0D76" w:rsidP="00533D2A">
      <w:pPr>
        <w:pStyle w:val="Nagwek4"/>
        <w:numPr>
          <w:ilvl w:val="0"/>
          <w:numId w:val="0"/>
        </w:numPr>
        <w:ind w:left="720"/>
        <w:rPr>
          <w:rFonts w:cs="Times New Roman"/>
          <w:sz w:val="24"/>
          <w:szCs w:val="24"/>
        </w:rPr>
      </w:pPr>
      <w:r w:rsidRPr="00833C88">
        <w:rPr>
          <w:rFonts w:cs="Times New Roman"/>
          <w:sz w:val="24"/>
          <w:szCs w:val="24"/>
        </w:rPr>
        <w:t>2</w:t>
      </w:r>
      <w:r w:rsidR="00D23A47" w:rsidRPr="00833C88">
        <w:rPr>
          <w:rFonts w:cs="Times New Roman"/>
          <w:sz w:val="24"/>
          <w:szCs w:val="24"/>
        </w:rPr>
        <w:t>2</w:t>
      </w:r>
      <w:r w:rsidRPr="00833C88">
        <w:rPr>
          <w:rFonts w:cs="Times New Roman"/>
          <w:sz w:val="24"/>
          <w:szCs w:val="24"/>
        </w:rPr>
        <w:t xml:space="preserve">) </w:t>
      </w:r>
      <w:r w:rsidR="007710FF" w:rsidRPr="00833C88">
        <w:rPr>
          <w:rFonts w:cs="Times New Roman"/>
          <w:sz w:val="24"/>
          <w:szCs w:val="24"/>
        </w:rPr>
        <w:t>P</w:t>
      </w:r>
      <w:r w:rsidR="004E28C5" w:rsidRPr="00833C88">
        <w:rPr>
          <w:rFonts w:cs="Times New Roman"/>
          <w:sz w:val="24"/>
          <w:szCs w:val="24"/>
        </w:rPr>
        <w:t>odatność</w:t>
      </w:r>
    </w:p>
    <w:p w14:paraId="1EC93317" w14:textId="518E50F0" w:rsidR="003669BD" w:rsidRPr="00833C88" w:rsidRDefault="003669BD" w:rsidP="0029004E">
      <w:pPr>
        <w:spacing w:line="360" w:lineRule="auto"/>
        <w:jc w:val="both"/>
        <w:rPr>
          <w:rFonts w:cs="Times New Roman"/>
          <w:sz w:val="24"/>
          <w:szCs w:val="24"/>
        </w:rPr>
      </w:pPr>
      <w:r w:rsidRPr="00833C88">
        <w:rPr>
          <w:rFonts w:cs="Times New Roman"/>
          <w:sz w:val="24"/>
          <w:szCs w:val="24"/>
        </w:rPr>
        <w:t xml:space="preserve">Konieczna jest zmiana definicji podatności, która obecnie odwołuje się do pojęcia systemu informacyjnego. </w:t>
      </w:r>
      <w:r w:rsidR="00601933" w:rsidRPr="00833C88">
        <w:rPr>
          <w:rFonts w:cs="Times New Roman"/>
          <w:sz w:val="24"/>
          <w:szCs w:val="24"/>
        </w:rPr>
        <w:t>W </w:t>
      </w:r>
      <w:r w:rsidR="00DC5890" w:rsidRPr="00833C88">
        <w:rPr>
          <w:rFonts w:cs="Times New Roman"/>
          <w:sz w:val="24"/>
          <w:szCs w:val="24"/>
        </w:rPr>
        <w:t>projekcie ustawy</w:t>
      </w:r>
      <w:r w:rsidRPr="00833C88">
        <w:rPr>
          <w:rFonts w:cs="Times New Roman"/>
          <w:sz w:val="24"/>
          <w:szCs w:val="24"/>
        </w:rPr>
        <w:t xml:space="preserve"> będzie to </w:t>
      </w:r>
      <w:r w:rsidR="005B63CE" w:rsidRPr="00833C88">
        <w:rPr>
          <w:rFonts w:cs="Times New Roman"/>
          <w:sz w:val="24"/>
          <w:szCs w:val="24"/>
        </w:rPr>
        <w:t>właściwoś</w:t>
      </w:r>
      <w:r w:rsidR="003B0D76" w:rsidRPr="00833C88">
        <w:rPr>
          <w:rFonts w:cs="Times New Roman"/>
          <w:sz w:val="24"/>
          <w:szCs w:val="24"/>
        </w:rPr>
        <w:t>ć</w:t>
      </w:r>
      <w:r w:rsidR="005B63CE" w:rsidRPr="00833C88">
        <w:rPr>
          <w:rFonts w:cs="Times New Roman"/>
          <w:sz w:val="24"/>
          <w:szCs w:val="24"/>
        </w:rPr>
        <w:t xml:space="preserve"> produktu ICT lub usług ICT, które mogą być wykorzystane przez </w:t>
      </w:r>
      <w:proofErr w:type="spellStart"/>
      <w:r w:rsidR="005B63CE" w:rsidRPr="00833C88">
        <w:rPr>
          <w:rFonts w:cs="Times New Roman"/>
          <w:sz w:val="24"/>
          <w:szCs w:val="24"/>
        </w:rPr>
        <w:t>cyberzagrożenie</w:t>
      </w:r>
      <w:proofErr w:type="spellEnd"/>
      <w:r w:rsidR="005B63CE" w:rsidRPr="00833C88">
        <w:rPr>
          <w:rFonts w:cs="Times New Roman"/>
          <w:sz w:val="24"/>
          <w:szCs w:val="24"/>
        </w:rPr>
        <w:t xml:space="preserve">, co zapewni zgodność </w:t>
      </w:r>
      <w:r w:rsidR="00601933" w:rsidRPr="00833C88">
        <w:rPr>
          <w:rFonts w:cs="Times New Roman"/>
          <w:sz w:val="24"/>
          <w:szCs w:val="24"/>
        </w:rPr>
        <w:t>z </w:t>
      </w:r>
      <w:r w:rsidR="005B63CE" w:rsidRPr="00833C88">
        <w:rPr>
          <w:rFonts w:cs="Times New Roman"/>
          <w:sz w:val="24"/>
          <w:szCs w:val="24"/>
        </w:rPr>
        <w:t>dyrektywą NIS 2</w:t>
      </w:r>
      <w:r w:rsidR="000A143D" w:rsidRPr="00833C88">
        <w:rPr>
          <w:rFonts w:cs="Times New Roman"/>
          <w:sz w:val="24"/>
          <w:szCs w:val="24"/>
        </w:rPr>
        <w:t xml:space="preserve">, zwłaszcza z jej angielską wersją </w:t>
      </w:r>
      <w:r w:rsidR="009A18D2" w:rsidRPr="00833C88">
        <w:rPr>
          <w:rFonts w:cs="Times New Roman"/>
          <w:sz w:val="24"/>
          <w:szCs w:val="24"/>
        </w:rPr>
        <w:t>„(15) ‘</w:t>
      </w:r>
      <w:proofErr w:type="spellStart"/>
      <w:r w:rsidR="009A18D2" w:rsidRPr="00833C88">
        <w:rPr>
          <w:rFonts w:cs="Times New Roman"/>
          <w:sz w:val="24"/>
          <w:szCs w:val="24"/>
        </w:rPr>
        <w:t>vulnerability</w:t>
      </w:r>
      <w:proofErr w:type="spellEnd"/>
      <w:r w:rsidR="009A18D2" w:rsidRPr="00833C88">
        <w:rPr>
          <w:rFonts w:cs="Times New Roman"/>
          <w:sz w:val="24"/>
          <w:szCs w:val="24"/>
        </w:rPr>
        <w:t xml:space="preserve">’ </w:t>
      </w:r>
      <w:proofErr w:type="spellStart"/>
      <w:r w:rsidR="009A18D2" w:rsidRPr="00833C88">
        <w:rPr>
          <w:rFonts w:cs="Times New Roman"/>
          <w:sz w:val="24"/>
          <w:szCs w:val="24"/>
        </w:rPr>
        <w:t>means</w:t>
      </w:r>
      <w:proofErr w:type="spellEnd"/>
      <w:r w:rsidR="009A18D2" w:rsidRPr="00833C88">
        <w:rPr>
          <w:rFonts w:cs="Times New Roman"/>
          <w:sz w:val="24"/>
          <w:szCs w:val="24"/>
        </w:rPr>
        <w:t xml:space="preserve"> a </w:t>
      </w:r>
      <w:proofErr w:type="spellStart"/>
      <w:r w:rsidR="009A18D2" w:rsidRPr="00833C88">
        <w:rPr>
          <w:rFonts w:cs="Times New Roman"/>
          <w:sz w:val="24"/>
          <w:szCs w:val="24"/>
        </w:rPr>
        <w:t>weakness</w:t>
      </w:r>
      <w:proofErr w:type="spellEnd"/>
      <w:r w:rsidR="009A18D2" w:rsidRPr="00833C88">
        <w:rPr>
          <w:rFonts w:cs="Times New Roman"/>
          <w:sz w:val="24"/>
          <w:szCs w:val="24"/>
        </w:rPr>
        <w:t xml:space="preserve">, </w:t>
      </w:r>
      <w:proofErr w:type="spellStart"/>
      <w:r w:rsidR="009A18D2" w:rsidRPr="00833C88">
        <w:rPr>
          <w:rFonts w:cs="Times New Roman"/>
          <w:sz w:val="24"/>
          <w:szCs w:val="24"/>
        </w:rPr>
        <w:t>susceptibility</w:t>
      </w:r>
      <w:proofErr w:type="spellEnd"/>
      <w:r w:rsidR="009A18D2" w:rsidRPr="00833C88">
        <w:rPr>
          <w:rFonts w:cs="Times New Roman"/>
          <w:sz w:val="24"/>
          <w:szCs w:val="24"/>
        </w:rPr>
        <w:t xml:space="preserve"> </w:t>
      </w:r>
      <w:proofErr w:type="spellStart"/>
      <w:r w:rsidR="009A18D2" w:rsidRPr="00833C88">
        <w:rPr>
          <w:rFonts w:cs="Times New Roman"/>
          <w:sz w:val="24"/>
          <w:szCs w:val="24"/>
        </w:rPr>
        <w:t>or</w:t>
      </w:r>
      <w:proofErr w:type="spellEnd"/>
      <w:r w:rsidR="009A18D2" w:rsidRPr="00833C88">
        <w:rPr>
          <w:rFonts w:cs="Times New Roman"/>
          <w:sz w:val="24"/>
          <w:szCs w:val="24"/>
        </w:rPr>
        <w:t xml:space="preserve"> </w:t>
      </w:r>
      <w:proofErr w:type="spellStart"/>
      <w:r w:rsidR="009A18D2" w:rsidRPr="00833C88">
        <w:rPr>
          <w:rFonts w:cs="Times New Roman"/>
          <w:sz w:val="24"/>
          <w:szCs w:val="24"/>
        </w:rPr>
        <w:t>flaw</w:t>
      </w:r>
      <w:proofErr w:type="spellEnd"/>
      <w:r w:rsidR="009A18D2" w:rsidRPr="00833C88">
        <w:rPr>
          <w:rFonts w:cs="Times New Roman"/>
          <w:sz w:val="24"/>
          <w:szCs w:val="24"/>
        </w:rPr>
        <w:t xml:space="preserve"> of </w:t>
      </w:r>
      <w:proofErr w:type="spellStart"/>
      <w:r w:rsidR="009A18D2" w:rsidRPr="00833C88">
        <w:rPr>
          <w:rFonts w:cs="Times New Roman"/>
          <w:sz w:val="24"/>
          <w:szCs w:val="24"/>
        </w:rPr>
        <w:t>ICT</w:t>
      </w:r>
      <w:proofErr w:type="spellEnd"/>
      <w:r w:rsidR="009A18D2" w:rsidRPr="00833C88">
        <w:rPr>
          <w:rFonts w:cs="Times New Roman"/>
          <w:sz w:val="24"/>
          <w:szCs w:val="24"/>
        </w:rPr>
        <w:t xml:space="preserve"> products </w:t>
      </w:r>
      <w:proofErr w:type="spellStart"/>
      <w:r w:rsidR="009A18D2" w:rsidRPr="00833C88">
        <w:rPr>
          <w:rFonts w:cs="Times New Roman"/>
          <w:sz w:val="24"/>
          <w:szCs w:val="24"/>
        </w:rPr>
        <w:t>or</w:t>
      </w:r>
      <w:proofErr w:type="spellEnd"/>
      <w:r w:rsidR="009A18D2" w:rsidRPr="00833C88">
        <w:rPr>
          <w:rFonts w:cs="Times New Roman"/>
          <w:sz w:val="24"/>
          <w:szCs w:val="24"/>
        </w:rPr>
        <w:t xml:space="preserve"> </w:t>
      </w:r>
      <w:proofErr w:type="spellStart"/>
      <w:r w:rsidR="009A18D2" w:rsidRPr="00833C88">
        <w:rPr>
          <w:rFonts w:cs="Times New Roman"/>
          <w:sz w:val="24"/>
          <w:szCs w:val="24"/>
        </w:rPr>
        <w:t>ICT</w:t>
      </w:r>
      <w:proofErr w:type="spellEnd"/>
      <w:r w:rsidR="009A18D2" w:rsidRPr="00833C88">
        <w:rPr>
          <w:rFonts w:cs="Times New Roman"/>
          <w:sz w:val="24"/>
          <w:szCs w:val="24"/>
        </w:rPr>
        <w:t xml:space="preserve"> services </w:t>
      </w:r>
      <w:proofErr w:type="spellStart"/>
      <w:r w:rsidR="009A18D2" w:rsidRPr="00833C88">
        <w:rPr>
          <w:rFonts w:cs="Times New Roman"/>
          <w:b/>
          <w:bCs/>
          <w:sz w:val="24"/>
          <w:szCs w:val="24"/>
        </w:rPr>
        <w:t>that</w:t>
      </w:r>
      <w:proofErr w:type="spellEnd"/>
      <w:r w:rsidR="009A18D2" w:rsidRPr="00833C88">
        <w:rPr>
          <w:rFonts w:cs="Times New Roman"/>
          <w:b/>
          <w:bCs/>
          <w:sz w:val="24"/>
          <w:szCs w:val="24"/>
        </w:rPr>
        <w:t xml:space="preserve"> </w:t>
      </w:r>
      <w:proofErr w:type="spellStart"/>
      <w:r w:rsidR="009A18D2" w:rsidRPr="00833C88">
        <w:rPr>
          <w:rFonts w:cs="Times New Roman"/>
          <w:b/>
          <w:bCs/>
          <w:sz w:val="24"/>
          <w:szCs w:val="24"/>
        </w:rPr>
        <w:t>can</w:t>
      </w:r>
      <w:proofErr w:type="spellEnd"/>
      <w:r w:rsidR="009A18D2" w:rsidRPr="00833C88">
        <w:rPr>
          <w:rFonts w:cs="Times New Roman"/>
          <w:b/>
          <w:bCs/>
          <w:sz w:val="24"/>
          <w:szCs w:val="24"/>
        </w:rPr>
        <w:t xml:space="preserve"> be </w:t>
      </w:r>
      <w:proofErr w:type="spellStart"/>
      <w:r w:rsidR="009A18D2" w:rsidRPr="00833C88">
        <w:rPr>
          <w:rFonts w:cs="Times New Roman"/>
          <w:b/>
          <w:bCs/>
          <w:sz w:val="24"/>
          <w:szCs w:val="24"/>
        </w:rPr>
        <w:t>exploited</w:t>
      </w:r>
      <w:proofErr w:type="spellEnd"/>
      <w:r w:rsidR="009A18D2" w:rsidRPr="00833C88">
        <w:rPr>
          <w:rFonts w:cs="Times New Roman"/>
          <w:b/>
          <w:bCs/>
          <w:sz w:val="24"/>
          <w:szCs w:val="24"/>
        </w:rPr>
        <w:t xml:space="preserve"> by a </w:t>
      </w:r>
      <w:proofErr w:type="spellStart"/>
      <w:r w:rsidR="009A18D2" w:rsidRPr="00833C88">
        <w:rPr>
          <w:rFonts w:cs="Times New Roman"/>
          <w:b/>
          <w:bCs/>
          <w:sz w:val="24"/>
          <w:szCs w:val="24"/>
        </w:rPr>
        <w:t>cyber</w:t>
      </w:r>
      <w:proofErr w:type="spellEnd"/>
      <w:r w:rsidR="009A18D2" w:rsidRPr="00833C88">
        <w:rPr>
          <w:rFonts w:cs="Times New Roman"/>
          <w:b/>
          <w:bCs/>
          <w:sz w:val="24"/>
          <w:szCs w:val="24"/>
        </w:rPr>
        <w:t xml:space="preserve"> </w:t>
      </w:r>
      <w:proofErr w:type="spellStart"/>
      <w:r w:rsidR="009A18D2" w:rsidRPr="00833C88">
        <w:rPr>
          <w:rFonts w:cs="Times New Roman"/>
          <w:b/>
          <w:bCs/>
          <w:sz w:val="24"/>
          <w:szCs w:val="24"/>
        </w:rPr>
        <w:t>threat</w:t>
      </w:r>
      <w:proofErr w:type="spellEnd"/>
      <w:r w:rsidR="009A18D2" w:rsidRPr="00833C88">
        <w:rPr>
          <w:rFonts w:cs="Times New Roman"/>
          <w:sz w:val="24"/>
          <w:szCs w:val="24"/>
        </w:rPr>
        <w:t>;”</w:t>
      </w:r>
      <w:r w:rsidR="003B0D76" w:rsidRPr="00833C88">
        <w:rPr>
          <w:rFonts w:cs="Times New Roman"/>
          <w:sz w:val="24"/>
          <w:szCs w:val="24"/>
        </w:rPr>
        <w:t>.</w:t>
      </w:r>
    </w:p>
    <w:p w14:paraId="6D870783" w14:textId="5BF993C2" w:rsidR="00610C4C" w:rsidRPr="00833C88" w:rsidRDefault="003B0D76" w:rsidP="00533D2A">
      <w:pPr>
        <w:pStyle w:val="Nagwek4"/>
        <w:numPr>
          <w:ilvl w:val="0"/>
          <w:numId w:val="0"/>
        </w:numPr>
        <w:ind w:left="720"/>
        <w:rPr>
          <w:rFonts w:cs="Times New Roman"/>
          <w:sz w:val="24"/>
          <w:szCs w:val="24"/>
        </w:rPr>
      </w:pPr>
      <w:r w:rsidRPr="00833C88">
        <w:rPr>
          <w:rFonts w:cs="Times New Roman"/>
          <w:sz w:val="24"/>
          <w:szCs w:val="24"/>
        </w:rPr>
        <w:t>2</w:t>
      </w:r>
      <w:r w:rsidR="00D23A47" w:rsidRPr="00833C88">
        <w:rPr>
          <w:rFonts w:cs="Times New Roman"/>
          <w:sz w:val="24"/>
          <w:szCs w:val="24"/>
        </w:rPr>
        <w:t>3</w:t>
      </w:r>
      <w:r w:rsidRPr="00833C88">
        <w:rPr>
          <w:rFonts w:cs="Times New Roman"/>
          <w:sz w:val="24"/>
          <w:szCs w:val="24"/>
        </w:rPr>
        <w:t xml:space="preserve">) </w:t>
      </w:r>
      <w:r w:rsidR="00610C4C" w:rsidRPr="00833C88">
        <w:rPr>
          <w:rFonts w:cs="Times New Roman"/>
          <w:sz w:val="24"/>
          <w:szCs w:val="24"/>
        </w:rPr>
        <w:t>Platforma sieci usług społecznościowych</w:t>
      </w:r>
    </w:p>
    <w:p w14:paraId="0279B3DD" w14:textId="6B893FC1" w:rsidR="005B63CE" w:rsidRPr="00833C88" w:rsidRDefault="00601933" w:rsidP="0029004E">
      <w:pPr>
        <w:spacing w:line="360" w:lineRule="auto"/>
        <w:jc w:val="both"/>
        <w:rPr>
          <w:rFonts w:cs="Times New Roman"/>
          <w:sz w:val="24"/>
          <w:szCs w:val="24"/>
        </w:rPr>
      </w:pPr>
      <w:r w:rsidRPr="00833C88">
        <w:rPr>
          <w:rFonts w:cs="Times New Roman"/>
          <w:sz w:val="24"/>
          <w:szCs w:val="24"/>
        </w:rPr>
        <w:t>W </w:t>
      </w:r>
      <w:r w:rsidR="00CD1192" w:rsidRPr="00833C88">
        <w:rPr>
          <w:rFonts w:cs="Times New Roman"/>
          <w:sz w:val="24"/>
          <w:szCs w:val="24"/>
        </w:rPr>
        <w:t>def</w:t>
      </w:r>
      <w:r w:rsidR="00144DBB" w:rsidRPr="00833C88">
        <w:rPr>
          <w:rFonts w:cs="Times New Roman"/>
          <w:sz w:val="24"/>
          <w:szCs w:val="24"/>
        </w:rPr>
        <w:t>i</w:t>
      </w:r>
      <w:r w:rsidR="00CD1192" w:rsidRPr="00833C88">
        <w:rPr>
          <w:rFonts w:cs="Times New Roman"/>
          <w:sz w:val="24"/>
          <w:szCs w:val="24"/>
        </w:rPr>
        <w:t xml:space="preserve">nicji platformy sieci usług społecznościowych wskazano, że jest to usługa </w:t>
      </w:r>
      <w:r w:rsidR="00AB0205" w:rsidRPr="00833C88">
        <w:rPr>
          <w:rFonts w:cs="Times New Roman"/>
          <w:sz w:val="24"/>
          <w:szCs w:val="24"/>
        </w:rPr>
        <w:t>świadczona</w:t>
      </w:r>
      <w:r w:rsidR="00533439" w:rsidRPr="00833C88">
        <w:rPr>
          <w:rFonts w:cs="Times New Roman"/>
          <w:sz w:val="24"/>
          <w:szCs w:val="24"/>
        </w:rPr>
        <w:t xml:space="preserve"> </w:t>
      </w:r>
      <w:r w:rsidR="006362CC" w:rsidRPr="00833C88">
        <w:rPr>
          <w:rFonts w:cs="Times New Roman"/>
          <w:sz w:val="24"/>
          <w:szCs w:val="24"/>
        </w:rPr>
        <w:t>drogą elektroniczną</w:t>
      </w:r>
      <w:r w:rsidR="00CD1192" w:rsidRPr="00833C88">
        <w:rPr>
          <w:rFonts w:cs="Times New Roman"/>
          <w:sz w:val="24"/>
          <w:szCs w:val="24"/>
        </w:rPr>
        <w:t xml:space="preserve">, </w:t>
      </w:r>
      <w:r w:rsidR="00966AFB" w:rsidRPr="00833C88">
        <w:rPr>
          <w:rFonts w:cs="Times New Roman"/>
          <w:sz w:val="24"/>
          <w:szCs w:val="24"/>
        </w:rPr>
        <w:t xml:space="preserve">która umożliwia użytkownikom końcowym łączenie się </w:t>
      </w:r>
      <w:r w:rsidRPr="00833C88">
        <w:rPr>
          <w:rFonts w:cs="Times New Roman"/>
          <w:sz w:val="24"/>
          <w:szCs w:val="24"/>
        </w:rPr>
        <w:t>z </w:t>
      </w:r>
      <w:r w:rsidR="00966AFB" w:rsidRPr="00833C88">
        <w:rPr>
          <w:rFonts w:cs="Times New Roman"/>
          <w:sz w:val="24"/>
          <w:szCs w:val="24"/>
        </w:rPr>
        <w:t xml:space="preserve">innymi osobami oraz komunikowanie się </w:t>
      </w:r>
      <w:r w:rsidRPr="00833C88">
        <w:rPr>
          <w:rFonts w:cs="Times New Roman"/>
          <w:sz w:val="24"/>
          <w:szCs w:val="24"/>
        </w:rPr>
        <w:t>i </w:t>
      </w:r>
      <w:r w:rsidR="00966AFB" w:rsidRPr="00833C88">
        <w:rPr>
          <w:rFonts w:cs="Times New Roman"/>
          <w:sz w:val="24"/>
          <w:szCs w:val="24"/>
        </w:rPr>
        <w:t xml:space="preserve">wymianę, udostępnianie </w:t>
      </w:r>
      <w:r w:rsidRPr="00833C88">
        <w:rPr>
          <w:rFonts w:cs="Times New Roman"/>
          <w:sz w:val="24"/>
          <w:szCs w:val="24"/>
        </w:rPr>
        <w:t>i </w:t>
      </w:r>
      <w:r w:rsidR="00966AFB" w:rsidRPr="00833C88">
        <w:rPr>
          <w:rFonts w:cs="Times New Roman"/>
          <w:sz w:val="24"/>
          <w:szCs w:val="24"/>
        </w:rPr>
        <w:t>odkrywanie treści za pomocą wielu urządzeń</w:t>
      </w:r>
      <w:r w:rsidR="00CD084F" w:rsidRPr="00833C88">
        <w:rPr>
          <w:rFonts w:cs="Times New Roman"/>
          <w:sz w:val="24"/>
          <w:szCs w:val="24"/>
        </w:rPr>
        <w:t>, co oddaje sens</w:t>
      </w:r>
      <w:r w:rsidR="00F411DA" w:rsidRPr="00833C88">
        <w:rPr>
          <w:rFonts w:cs="Times New Roman"/>
          <w:sz w:val="24"/>
          <w:szCs w:val="24"/>
        </w:rPr>
        <w:t xml:space="preserve"> i cel</w:t>
      </w:r>
      <w:r w:rsidR="00CD084F" w:rsidRPr="00833C88">
        <w:rPr>
          <w:rFonts w:cs="Times New Roman"/>
          <w:sz w:val="24"/>
          <w:szCs w:val="24"/>
        </w:rPr>
        <w:t xml:space="preserve"> zawarty </w:t>
      </w:r>
      <w:r w:rsidRPr="00833C88">
        <w:rPr>
          <w:rFonts w:cs="Times New Roman"/>
          <w:sz w:val="24"/>
          <w:szCs w:val="24"/>
        </w:rPr>
        <w:t>w </w:t>
      </w:r>
      <w:r w:rsidR="00966AFB" w:rsidRPr="00833C88">
        <w:rPr>
          <w:rFonts w:cs="Times New Roman"/>
          <w:sz w:val="24"/>
          <w:szCs w:val="24"/>
        </w:rPr>
        <w:t>dyrektyw</w:t>
      </w:r>
      <w:r w:rsidR="00CD084F" w:rsidRPr="00833C88">
        <w:rPr>
          <w:rFonts w:cs="Times New Roman"/>
          <w:sz w:val="24"/>
          <w:szCs w:val="24"/>
        </w:rPr>
        <w:t>ie NIS 2</w:t>
      </w:r>
      <w:r w:rsidR="00966AFB" w:rsidRPr="00833C88">
        <w:rPr>
          <w:rFonts w:cs="Times New Roman"/>
          <w:sz w:val="24"/>
          <w:szCs w:val="24"/>
        </w:rPr>
        <w:t xml:space="preserve">. </w:t>
      </w:r>
      <w:r w:rsidR="00E44618" w:rsidRPr="00833C88">
        <w:rPr>
          <w:rFonts w:cs="Times New Roman"/>
          <w:sz w:val="24"/>
          <w:szCs w:val="24"/>
        </w:rPr>
        <w:t xml:space="preserve">Istotnym dodatkiem jest doprecyzowanie, że jest to usługa świadczona drogą elektroniczną – tego nie ma wprost wskazane w dyrektywie NIS 2, ale każdy portal tego rodzaju jest </w:t>
      </w:r>
      <w:r w:rsidR="002D7B09" w:rsidRPr="00833C88">
        <w:rPr>
          <w:rFonts w:cs="Times New Roman"/>
          <w:sz w:val="24"/>
          <w:szCs w:val="24"/>
        </w:rPr>
        <w:t>tego typu usługą.</w:t>
      </w:r>
    </w:p>
    <w:p w14:paraId="6B741380" w14:textId="3DF256C5" w:rsidR="00610C4C" w:rsidRPr="00833C88" w:rsidRDefault="003B0D76" w:rsidP="00533D2A">
      <w:pPr>
        <w:pStyle w:val="Nagwek4"/>
        <w:numPr>
          <w:ilvl w:val="0"/>
          <w:numId w:val="0"/>
        </w:numPr>
        <w:ind w:left="720"/>
        <w:rPr>
          <w:rFonts w:cs="Times New Roman"/>
          <w:sz w:val="24"/>
          <w:szCs w:val="24"/>
        </w:rPr>
      </w:pPr>
      <w:r w:rsidRPr="00833C88">
        <w:rPr>
          <w:rFonts w:cs="Times New Roman"/>
          <w:sz w:val="24"/>
          <w:szCs w:val="24"/>
        </w:rPr>
        <w:lastRenderedPageBreak/>
        <w:t>2</w:t>
      </w:r>
      <w:r w:rsidR="00D23A47" w:rsidRPr="00833C88">
        <w:rPr>
          <w:rFonts w:cs="Times New Roman"/>
          <w:sz w:val="24"/>
          <w:szCs w:val="24"/>
        </w:rPr>
        <w:t>4</w:t>
      </w:r>
      <w:r w:rsidRPr="00833C88">
        <w:rPr>
          <w:rFonts w:cs="Times New Roman"/>
          <w:sz w:val="24"/>
          <w:szCs w:val="24"/>
        </w:rPr>
        <w:t xml:space="preserve">) </w:t>
      </w:r>
      <w:r w:rsidR="00610C4C" w:rsidRPr="00833C88">
        <w:rPr>
          <w:rFonts w:cs="Times New Roman"/>
          <w:sz w:val="24"/>
          <w:szCs w:val="24"/>
        </w:rPr>
        <w:t>Podmiot finansowy</w:t>
      </w:r>
    </w:p>
    <w:p w14:paraId="383224D8" w14:textId="77777777" w:rsidR="00727DB0" w:rsidRPr="00833C88" w:rsidRDefault="00AF759F" w:rsidP="0029004E">
      <w:pPr>
        <w:spacing w:line="360" w:lineRule="auto"/>
        <w:jc w:val="both"/>
        <w:rPr>
          <w:rFonts w:cs="Times New Roman"/>
          <w:sz w:val="24"/>
          <w:szCs w:val="24"/>
        </w:rPr>
      </w:pPr>
      <w:r w:rsidRPr="00833C88">
        <w:rPr>
          <w:rFonts w:cs="Times New Roman"/>
          <w:sz w:val="24"/>
          <w:szCs w:val="24"/>
        </w:rPr>
        <w:t xml:space="preserve">Należało wprowadzić definicję podmiotu finansowego, ponieważ </w:t>
      </w:r>
      <w:r w:rsidR="00184AD0" w:rsidRPr="00833C88">
        <w:rPr>
          <w:rFonts w:cs="Times New Roman"/>
          <w:sz w:val="24"/>
          <w:szCs w:val="24"/>
        </w:rPr>
        <w:t xml:space="preserve">rozporządzenie Parlamentu Europejskiego </w:t>
      </w:r>
      <w:r w:rsidR="00601933" w:rsidRPr="00833C88">
        <w:rPr>
          <w:rFonts w:cs="Times New Roman"/>
          <w:sz w:val="24"/>
          <w:szCs w:val="24"/>
        </w:rPr>
        <w:t>i </w:t>
      </w:r>
      <w:r w:rsidR="00184AD0" w:rsidRPr="00833C88">
        <w:rPr>
          <w:rFonts w:cs="Times New Roman"/>
          <w:sz w:val="24"/>
          <w:szCs w:val="24"/>
        </w:rPr>
        <w:t xml:space="preserve">Rady (UE) 2022/2554 </w:t>
      </w:r>
      <w:r w:rsidR="00601933" w:rsidRPr="00833C88">
        <w:rPr>
          <w:rFonts w:cs="Times New Roman"/>
          <w:sz w:val="24"/>
          <w:szCs w:val="24"/>
        </w:rPr>
        <w:t>z </w:t>
      </w:r>
      <w:r w:rsidR="00184AD0" w:rsidRPr="00833C88">
        <w:rPr>
          <w:rFonts w:cs="Times New Roman"/>
          <w:sz w:val="24"/>
          <w:szCs w:val="24"/>
        </w:rPr>
        <w:t xml:space="preserve">dnia 14 grudnia 2022 r. </w:t>
      </w:r>
      <w:r w:rsidR="00601933" w:rsidRPr="00833C88">
        <w:rPr>
          <w:rFonts w:cs="Times New Roman"/>
          <w:sz w:val="24"/>
          <w:szCs w:val="24"/>
        </w:rPr>
        <w:t>w </w:t>
      </w:r>
      <w:r w:rsidR="00184AD0" w:rsidRPr="00833C88">
        <w:rPr>
          <w:rFonts w:cs="Times New Roman"/>
          <w:sz w:val="24"/>
          <w:szCs w:val="24"/>
        </w:rPr>
        <w:t xml:space="preserve">sprawie operacyjnej odporności cyfrowej sektora finansowego </w:t>
      </w:r>
      <w:r w:rsidR="00601933" w:rsidRPr="00833C88">
        <w:rPr>
          <w:rFonts w:cs="Times New Roman"/>
          <w:sz w:val="24"/>
          <w:szCs w:val="24"/>
        </w:rPr>
        <w:t>i </w:t>
      </w:r>
      <w:r w:rsidR="00184AD0" w:rsidRPr="00833C88">
        <w:rPr>
          <w:rFonts w:cs="Times New Roman"/>
          <w:sz w:val="24"/>
          <w:szCs w:val="24"/>
        </w:rPr>
        <w:t xml:space="preserve">zmieniające rozporządzenia (WE) nr 1060/2009, (UE) nr 648/2012, (UE) nr 600/2014, (UE) nr 909/2014 oraz (UE) 2016/1011 (Dz. Urz. UE L 333 </w:t>
      </w:r>
      <w:r w:rsidR="00601933" w:rsidRPr="00833C88">
        <w:rPr>
          <w:rFonts w:cs="Times New Roman"/>
          <w:sz w:val="24"/>
          <w:szCs w:val="24"/>
        </w:rPr>
        <w:t>z </w:t>
      </w:r>
      <w:r w:rsidR="00184AD0" w:rsidRPr="00833C88">
        <w:rPr>
          <w:rFonts w:cs="Times New Roman"/>
          <w:sz w:val="24"/>
          <w:szCs w:val="24"/>
        </w:rPr>
        <w:t xml:space="preserve">27.12.2022, str. 1, </w:t>
      </w:r>
      <w:r w:rsidR="00601933" w:rsidRPr="00833C88">
        <w:rPr>
          <w:rFonts w:cs="Times New Roman"/>
          <w:sz w:val="24"/>
          <w:szCs w:val="24"/>
        </w:rPr>
        <w:t>z </w:t>
      </w:r>
      <w:r w:rsidR="00184AD0" w:rsidRPr="00833C88">
        <w:rPr>
          <w:rFonts w:cs="Times New Roman"/>
          <w:sz w:val="24"/>
          <w:szCs w:val="24"/>
        </w:rPr>
        <w:t>późn. zm.</w:t>
      </w:r>
      <w:r w:rsidR="00184AD0" w:rsidRPr="00833C88">
        <w:rPr>
          <w:rStyle w:val="Odwoanieprzypisudolnego"/>
          <w:rFonts w:cs="Times New Roman"/>
          <w:sz w:val="24"/>
          <w:szCs w:val="24"/>
        </w:rPr>
        <w:footnoteReference w:id="11"/>
      </w:r>
      <w:r w:rsidR="00184AD0" w:rsidRPr="00833C88">
        <w:rPr>
          <w:rFonts w:cs="Times New Roman"/>
          <w:sz w:val="24"/>
          <w:szCs w:val="24"/>
          <w:vertAlign w:val="superscript"/>
        </w:rPr>
        <w:t>)</w:t>
      </w:r>
      <w:r w:rsidR="00184AD0" w:rsidRPr="00833C88">
        <w:rPr>
          <w:rFonts w:cs="Times New Roman"/>
          <w:sz w:val="24"/>
          <w:szCs w:val="24"/>
        </w:rPr>
        <w:t>) wskazuje tutaj odrębne wymagania dla tej grupy podmiotów.</w:t>
      </w:r>
      <w:r w:rsidR="00963A8D" w:rsidRPr="00833C88">
        <w:rPr>
          <w:rFonts w:cs="Times New Roman"/>
          <w:sz w:val="24"/>
          <w:szCs w:val="24"/>
        </w:rPr>
        <w:t xml:space="preserve"> </w:t>
      </w:r>
    </w:p>
    <w:p w14:paraId="1D8F548D" w14:textId="10CEED8B" w:rsidR="00727DB0" w:rsidRPr="00833C88" w:rsidRDefault="003B0D76" w:rsidP="00533D2A">
      <w:pPr>
        <w:pStyle w:val="Nagwek4"/>
        <w:numPr>
          <w:ilvl w:val="0"/>
          <w:numId w:val="0"/>
        </w:numPr>
        <w:ind w:left="720"/>
        <w:rPr>
          <w:rFonts w:cs="Times New Roman"/>
          <w:sz w:val="24"/>
          <w:szCs w:val="24"/>
        </w:rPr>
      </w:pPr>
      <w:r w:rsidRPr="00833C88">
        <w:rPr>
          <w:rFonts w:cs="Times New Roman"/>
          <w:sz w:val="24"/>
          <w:szCs w:val="24"/>
        </w:rPr>
        <w:t>2</w:t>
      </w:r>
      <w:r w:rsidR="00D23A47" w:rsidRPr="00833C88">
        <w:rPr>
          <w:rFonts w:cs="Times New Roman"/>
          <w:sz w:val="24"/>
          <w:szCs w:val="24"/>
        </w:rPr>
        <w:t>5</w:t>
      </w:r>
      <w:r w:rsidRPr="00833C88">
        <w:rPr>
          <w:rFonts w:cs="Times New Roman"/>
          <w:sz w:val="24"/>
          <w:szCs w:val="24"/>
        </w:rPr>
        <w:t xml:space="preserve">) </w:t>
      </w:r>
      <w:r w:rsidR="00727DB0" w:rsidRPr="00833C88">
        <w:rPr>
          <w:rFonts w:cs="Times New Roman"/>
          <w:sz w:val="24"/>
          <w:szCs w:val="24"/>
        </w:rPr>
        <w:t>Podmiot publiczny</w:t>
      </w:r>
    </w:p>
    <w:p w14:paraId="15A5261E" w14:textId="13A35361" w:rsidR="00DC48AF" w:rsidRPr="00833C88" w:rsidRDefault="000B4DF2" w:rsidP="0029004E">
      <w:pPr>
        <w:spacing w:line="360" w:lineRule="auto"/>
        <w:jc w:val="both"/>
        <w:rPr>
          <w:rFonts w:cs="Times New Roman"/>
          <w:sz w:val="24"/>
          <w:szCs w:val="24"/>
        </w:rPr>
      </w:pPr>
      <w:r w:rsidRPr="00833C88">
        <w:rPr>
          <w:rFonts w:cs="Times New Roman"/>
          <w:sz w:val="24"/>
          <w:szCs w:val="24"/>
        </w:rPr>
        <w:t xml:space="preserve">Wprowadza się definicję podmiotu publicznego – </w:t>
      </w:r>
      <w:r w:rsidR="00601933" w:rsidRPr="00833C88">
        <w:rPr>
          <w:rFonts w:cs="Times New Roman"/>
          <w:sz w:val="24"/>
          <w:szCs w:val="24"/>
        </w:rPr>
        <w:t>w </w:t>
      </w:r>
      <w:r w:rsidRPr="00833C88">
        <w:rPr>
          <w:rFonts w:cs="Times New Roman"/>
          <w:sz w:val="24"/>
          <w:szCs w:val="24"/>
        </w:rPr>
        <w:t xml:space="preserve">tym zakresie odsyła się do załącznika </w:t>
      </w:r>
      <w:r w:rsidR="00900644" w:rsidRPr="00833C88">
        <w:rPr>
          <w:rFonts w:cs="Times New Roman"/>
          <w:sz w:val="24"/>
          <w:szCs w:val="24"/>
        </w:rPr>
        <w:t>1 oraz 2</w:t>
      </w:r>
      <w:r w:rsidR="00900644" w:rsidRPr="00833C88">
        <w:rPr>
          <w:rStyle w:val="Odwoaniedokomentarza"/>
          <w:rFonts w:cs="Times New Roman"/>
          <w:sz w:val="24"/>
          <w:szCs w:val="24"/>
        </w:rPr>
        <w:t xml:space="preserve"> </w:t>
      </w:r>
      <w:r w:rsidRPr="00833C88">
        <w:rPr>
          <w:rFonts w:cs="Times New Roman"/>
          <w:sz w:val="24"/>
          <w:szCs w:val="24"/>
        </w:rPr>
        <w:t>do</w:t>
      </w:r>
      <w:r w:rsidR="00704668" w:rsidRPr="00833C88">
        <w:rPr>
          <w:rFonts w:cs="Times New Roman"/>
          <w:sz w:val="24"/>
          <w:szCs w:val="24"/>
        </w:rPr>
        <w:t> </w:t>
      </w:r>
      <w:r w:rsidR="001D1B59" w:rsidRPr="00833C88">
        <w:rPr>
          <w:rFonts w:cs="Times New Roman"/>
          <w:sz w:val="24"/>
          <w:szCs w:val="24"/>
        </w:rPr>
        <w:t xml:space="preserve">ustawy </w:t>
      </w:r>
      <w:r w:rsidR="00601933" w:rsidRPr="00833C88">
        <w:rPr>
          <w:rFonts w:cs="Times New Roman"/>
          <w:sz w:val="24"/>
          <w:szCs w:val="24"/>
        </w:rPr>
        <w:t>o </w:t>
      </w:r>
      <w:r w:rsidR="001D1B59" w:rsidRPr="00833C88">
        <w:rPr>
          <w:rFonts w:cs="Times New Roman"/>
          <w:sz w:val="24"/>
          <w:szCs w:val="24"/>
        </w:rPr>
        <w:t>KSC</w:t>
      </w:r>
      <w:r w:rsidRPr="00833C88">
        <w:rPr>
          <w:rFonts w:cs="Times New Roman"/>
          <w:sz w:val="24"/>
          <w:szCs w:val="24"/>
        </w:rPr>
        <w:t xml:space="preserve"> do sektora </w:t>
      </w:r>
      <w:r w:rsidR="004E18F2" w:rsidRPr="00833C88">
        <w:rPr>
          <w:rFonts w:cs="Times New Roman"/>
          <w:sz w:val="24"/>
          <w:szCs w:val="24"/>
        </w:rPr>
        <w:t xml:space="preserve">podmiotów </w:t>
      </w:r>
      <w:r w:rsidRPr="00833C88">
        <w:rPr>
          <w:rFonts w:cs="Times New Roman"/>
          <w:sz w:val="24"/>
          <w:szCs w:val="24"/>
        </w:rPr>
        <w:t>publiczn</w:t>
      </w:r>
      <w:r w:rsidR="004E18F2" w:rsidRPr="00833C88">
        <w:rPr>
          <w:rFonts w:cs="Times New Roman"/>
          <w:sz w:val="24"/>
          <w:szCs w:val="24"/>
        </w:rPr>
        <w:t>ych</w:t>
      </w:r>
      <w:r w:rsidRPr="00833C88">
        <w:rPr>
          <w:rFonts w:cs="Times New Roman"/>
          <w:sz w:val="24"/>
          <w:szCs w:val="24"/>
        </w:rPr>
        <w:t>.</w:t>
      </w:r>
      <w:r w:rsidR="00E77723" w:rsidRPr="00833C88">
        <w:rPr>
          <w:rFonts w:cs="Times New Roman"/>
          <w:sz w:val="24"/>
          <w:szCs w:val="24"/>
        </w:rPr>
        <w:t xml:space="preserve"> Będą to podmioty, które do tej pory były traktowane przez ustawę </w:t>
      </w:r>
      <w:r w:rsidR="00601933" w:rsidRPr="00833C88">
        <w:rPr>
          <w:rFonts w:cs="Times New Roman"/>
          <w:sz w:val="24"/>
          <w:szCs w:val="24"/>
        </w:rPr>
        <w:t>o </w:t>
      </w:r>
      <w:r w:rsidR="00E77723" w:rsidRPr="00833C88">
        <w:rPr>
          <w:rFonts w:cs="Times New Roman"/>
          <w:sz w:val="24"/>
          <w:szCs w:val="24"/>
        </w:rPr>
        <w:t>KSC jako podmioty publiczne</w:t>
      </w:r>
      <w:r w:rsidR="00420BE1" w:rsidRPr="00833C88">
        <w:rPr>
          <w:rFonts w:cs="Times New Roman"/>
          <w:sz w:val="24"/>
          <w:szCs w:val="24"/>
        </w:rPr>
        <w:t>.</w:t>
      </w:r>
      <w:r w:rsidR="00DC48AF" w:rsidRPr="00833C88">
        <w:rPr>
          <w:rFonts w:cs="Times New Roman"/>
          <w:sz w:val="24"/>
          <w:szCs w:val="24"/>
        </w:rPr>
        <w:t xml:space="preserve"> </w:t>
      </w:r>
      <w:r w:rsidR="00297B88" w:rsidRPr="00833C88">
        <w:rPr>
          <w:rFonts w:cs="Times New Roman"/>
          <w:sz w:val="24"/>
          <w:szCs w:val="24"/>
        </w:rPr>
        <w:t xml:space="preserve">W toku prac nad projektem ustawy </w:t>
      </w:r>
      <w:r w:rsidR="00FC1B9C" w:rsidRPr="00833C88">
        <w:rPr>
          <w:rFonts w:cs="Times New Roman"/>
          <w:sz w:val="24"/>
          <w:szCs w:val="24"/>
        </w:rPr>
        <w:t>wyodrębniono kategorię podmiotów publicznych będących podmiotami ważnymi, stąd też definicja ta musi obejmować również załącznik nr 2 do ustawy.</w:t>
      </w:r>
    </w:p>
    <w:p w14:paraId="22D66836" w14:textId="16991F3E" w:rsidR="00297B88" w:rsidRPr="00833C88" w:rsidRDefault="001F02D6" w:rsidP="00533D2A">
      <w:pPr>
        <w:pStyle w:val="Nagwek4"/>
        <w:numPr>
          <w:ilvl w:val="0"/>
          <w:numId w:val="0"/>
        </w:numPr>
        <w:ind w:left="720"/>
        <w:rPr>
          <w:rFonts w:cs="Times New Roman"/>
          <w:sz w:val="24"/>
          <w:szCs w:val="24"/>
        </w:rPr>
      </w:pPr>
      <w:r w:rsidRPr="00833C88">
        <w:rPr>
          <w:rFonts w:cs="Times New Roman"/>
          <w:sz w:val="24"/>
          <w:szCs w:val="24"/>
        </w:rPr>
        <w:t>2</w:t>
      </w:r>
      <w:r w:rsidR="00D23A47" w:rsidRPr="00833C88">
        <w:rPr>
          <w:rFonts w:cs="Times New Roman"/>
          <w:sz w:val="24"/>
          <w:szCs w:val="24"/>
        </w:rPr>
        <w:t>6</w:t>
      </w:r>
      <w:r w:rsidRPr="00833C88">
        <w:rPr>
          <w:rFonts w:cs="Times New Roman"/>
          <w:sz w:val="24"/>
          <w:szCs w:val="24"/>
        </w:rPr>
        <w:t xml:space="preserve">) </w:t>
      </w:r>
      <w:r w:rsidR="00297B88" w:rsidRPr="00833C88">
        <w:rPr>
          <w:rFonts w:cs="Times New Roman"/>
          <w:sz w:val="24"/>
          <w:szCs w:val="24"/>
        </w:rPr>
        <w:t>Podmiot krytyczny</w:t>
      </w:r>
    </w:p>
    <w:p w14:paraId="6AA7750A" w14:textId="77777777" w:rsidR="00D977FF" w:rsidRPr="00833C88" w:rsidRDefault="00DC48AF" w:rsidP="0029004E">
      <w:pPr>
        <w:spacing w:line="360" w:lineRule="auto"/>
        <w:jc w:val="both"/>
        <w:rPr>
          <w:rFonts w:cs="Times New Roman"/>
          <w:sz w:val="24"/>
          <w:szCs w:val="24"/>
        </w:rPr>
      </w:pPr>
      <w:r w:rsidRPr="00833C88">
        <w:rPr>
          <w:rFonts w:cs="Times New Roman"/>
          <w:sz w:val="24"/>
          <w:szCs w:val="24"/>
        </w:rPr>
        <w:t xml:space="preserve">Dyrektywa NIS 2 powołuje się na pojęcie podmiotu krytycznego </w:t>
      </w:r>
      <w:r w:rsidR="00601933" w:rsidRPr="00833C88">
        <w:rPr>
          <w:rFonts w:cs="Times New Roman"/>
          <w:sz w:val="24"/>
          <w:szCs w:val="24"/>
        </w:rPr>
        <w:t>w </w:t>
      </w:r>
      <w:r w:rsidRPr="00833C88">
        <w:rPr>
          <w:rFonts w:cs="Times New Roman"/>
          <w:sz w:val="24"/>
          <w:szCs w:val="24"/>
        </w:rPr>
        <w:t xml:space="preserve">rozumieniu dyrektywy CER, która definiuje to pojęcie </w:t>
      </w:r>
      <w:r w:rsidR="00601933" w:rsidRPr="00833C88">
        <w:rPr>
          <w:rFonts w:cs="Times New Roman"/>
          <w:sz w:val="24"/>
          <w:szCs w:val="24"/>
        </w:rPr>
        <w:t>w </w:t>
      </w:r>
      <w:r w:rsidRPr="00833C88">
        <w:rPr>
          <w:rFonts w:cs="Times New Roman"/>
          <w:sz w:val="24"/>
          <w:szCs w:val="24"/>
        </w:rPr>
        <w:t xml:space="preserve">art. 2 pkt 1. </w:t>
      </w:r>
      <w:r w:rsidR="00601933" w:rsidRPr="00833C88">
        <w:rPr>
          <w:rFonts w:cs="Times New Roman"/>
          <w:sz w:val="24"/>
          <w:szCs w:val="24"/>
        </w:rPr>
        <w:t>W </w:t>
      </w:r>
      <w:r w:rsidRPr="00833C88">
        <w:rPr>
          <w:rFonts w:cs="Times New Roman"/>
          <w:sz w:val="24"/>
          <w:szCs w:val="24"/>
        </w:rPr>
        <w:t xml:space="preserve">związku </w:t>
      </w:r>
      <w:r w:rsidR="00601933" w:rsidRPr="00833C88">
        <w:rPr>
          <w:rFonts w:cs="Times New Roman"/>
          <w:sz w:val="24"/>
          <w:szCs w:val="24"/>
        </w:rPr>
        <w:t>z </w:t>
      </w:r>
      <w:r w:rsidRPr="00833C88">
        <w:rPr>
          <w:rFonts w:cs="Times New Roman"/>
          <w:sz w:val="24"/>
          <w:szCs w:val="24"/>
        </w:rPr>
        <w:t xml:space="preserve">tym należało zdefiniować to pojęcie również </w:t>
      </w:r>
      <w:r w:rsidR="00601933" w:rsidRPr="00833C88">
        <w:rPr>
          <w:rFonts w:cs="Times New Roman"/>
          <w:sz w:val="24"/>
          <w:szCs w:val="24"/>
        </w:rPr>
        <w:t>w </w:t>
      </w:r>
      <w:r w:rsidRPr="00833C88">
        <w:rPr>
          <w:rFonts w:cs="Times New Roman"/>
          <w:sz w:val="24"/>
          <w:szCs w:val="24"/>
        </w:rPr>
        <w:t xml:space="preserve">projekcie ustawy. </w:t>
      </w:r>
      <w:r w:rsidRPr="00833C88">
        <w:rPr>
          <w:rStyle w:val="ui-provider"/>
          <w:rFonts w:cs="Times New Roman"/>
          <w:sz w:val="24"/>
          <w:szCs w:val="24"/>
        </w:rPr>
        <w:t>Dyrektywa CER wciąż nie została wdrożona do polskiego porządku prawnego. Toczy się proces legislacyjny projektu ustawy wdrażającej tę dyrektywę.</w:t>
      </w:r>
      <w:r w:rsidRPr="00833C88" w:rsidDel="00274B3C">
        <w:rPr>
          <w:rFonts w:cs="Times New Roman"/>
          <w:sz w:val="24"/>
          <w:szCs w:val="24"/>
        </w:rPr>
        <w:t xml:space="preserve"> </w:t>
      </w:r>
      <w:r w:rsidRPr="00833C88">
        <w:rPr>
          <w:rFonts w:cs="Times New Roman"/>
          <w:sz w:val="24"/>
          <w:szCs w:val="24"/>
        </w:rPr>
        <w:t xml:space="preserve">Mając świadomość, że nie odwołuje się do przepisów aktów niedających się bezpośrednio stosować zrobiono to wyjątkowo. </w:t>
      </w:r>
      <w:r w:rsidR="00601933" w:rsidRPr="00833C88">
        <w:rPr>
          <w:rFonts w:cs="Times New Roman"/>
          <w:sz w:val="24"/>
          <w:szCs w:val="24"/>
        </w:rPr>
        <w:t>W </w:t>
      </w:r>
      <w:r w:rsidRPr="00833C88">
        <w:rPr>
          <w:rFonts w:cs="Times New Roman"/>
          <w:sz w:val="24"/>
          <w:szCs w:val="24"/>
        </w:rPr>
        <w:t>sytuacji</w:t>
      </w:r>
      <w:r w:rsidR="00963A8D" w:rsidRPr="00833C88">
        <w:rPr>
          <w:rFonts w:cs="Times New Roman"/>
          <w:sz w:val="24"/>
          <w:szCs w:val="24"/>
        </w:rPr>
        <w:t>,</w:t>
      </w:r>
      <w:r w:rsidRPr="00833C88">
        <w:rPr>
          <w:rFonts w:cs="Times New Roman"/>
          <w:sz w:val="24"/>
          <w:szCs w:val="24"/>
        </w:rPr>
        <w:t xml:space="preserve"> gdy będzie możliwość odwołania się do przepisów transponujących dyrektywę CER to definicja ta zostanie niezwłocznie zmieniona.</w:t>
      </w:r>
    </w:p>
    <w:p w14:paraId="70834265" w14:textId="457F4A7F" w:rsidR="00700F07" w:rsidRPr="00833C88" w:rsidRDefault="001F02D6" w:rsidP="00533D2A">
      <w:pPr>
        <w:pStyle w:val="Nagwek4"/>
        <w:numPr>
          <w:ilvl w:val="0"/>
          <w:numId w:val="0"/>
        </w:numPr>
        <w:ind w:left="720"/>
        <w:rPr>
          <w:rFonts w:cs="Times New Roman"/>
          <w:sz w:val="24"/>
          <w:szCs w:val="24"/>
        </w:rPr>
      </w:pPr>
      <w:r w:rsidRPr="00833C88">
        <w:rPr>
          <w:rFonts w:cs="Times New Roman"/>
          <w:sz w:val="24"/>
          <w:szCs w:val="24"/>
        </w:rPr>
        <w:t>2</w:t>
      </w:r>
      <w:r w:rsidR="00D23A47" w:rsidRPr="00833C88">
        <w:rPr>
          <w:rFonts w:cs="Times New Roman"/>
          <w:sz w:val="24"/>
          <w:szCs w:val="24"/>
        </w:rPr>
        <w:t>7</w:t>
      </w:r>
      <w:r w:rsidRPr="00833C88">
        <w:rPr>
          <w:rFonts w:cs="Times New Roman"/>
          <w:sz w:val="24"/>
          <w:szCs w:val="24"/>
        </w:rPr>
        <w:t xml:space="preserve">) </w:t>
      </w:r>
      <w:r w:rsidR="00700F07" w:rsidRPr="00833C88">
        <w:rPr>
          <w:rFonts w:cs="Times New Roman"/>
          <w:sz w:val="24"/>
          <w:szCs w:val="24"/>
        </w:rPr>
        <w:t>Podmiot świadczący usługi rejestracji nazw domen</w:t>
      </w:r>
    </w:p>
    <w:p w14:paraId="6366B68B" w14:textId="29DC8EB5" w:rsidR="00B1041E" w:rsidRPr="00833C88" w:rsidRDefault="00BD2161" w:rsidP="00533D2A">
      <w:pPr>
        <w:spacing w:line="360" w:lineRule="auto"/>
        <w:jc w:val="both"/>
        <w:rPr>
          <w:rFonts w:cs="Times New Roman"/>
          <w:sz w:val="24"/>
          <w:szCs w:val="24"/>
        </w:rPr>
      </w:pPr>
      <w:r w:rsidRPr="00833C88">
        <w:rPr>
          <w:rFonts w:cs="Times New Roman"/>
          <w:sz w:val="24"/>
          <w:szCs w:val="24"/>
        </w:rPr>
        <w:t xml:space="preserve">Aby zarejestrować domenę internetową każdy zainteresowany musi skorzystać z usług </w:t>
      </w:r>
      <w:r w:rsidR="00FF74AC" w:rsidRPr="00833C88">
        <w:rPr>
          <w:rFonts w:cs="Times New Roman"/>
          <w:sz w:val="24"/>
          <w:szCs w:val="24"/>
        </w:rPr>
        <w:t xml:space="preserve">rejestratorów nazw domen, którzy współpracują z rejestrami nazw domen. Nie można bezpośrednio udać się do </w:t>
      </w:r>
      <w:r w:rsidR="004F3085" w:rsidRPr="00833C88">
        <w:rPr>
          <w:rFonts w:cs="Times New Roman"/>
          <w:sz w:val="24"/>
          <w:szCs w:val="24"/>
        </w:rPr>
        <w:t xml:space="preserve">rejestru nazw </w:t>
      </w:r>
      <w:proofErr w:type="gramStart"/>
      <w:r w:rsidR="004F3085" w:rsidRPr="00833C88">
        <w:rPr>
          <w:rFonts w:cs="Times New Roman"/>
          <w:sz w:val="24"/>
          <w:szCs w:val="24"/>
        </w:rPr>
        <w:t>domen</w:t>
      </w:r>
      <w:proofErr w:type="gramEnd"/>
      <w:r w:rsidR="004F3085" w:rsidRPr="00833C88">
        <w:rPr>
          <w:rFonts w:cs="Times New Roman"/>
          <w:sz w:val="24"/>
          <w:szCs w:val="24"/>
        </w:rPr>
        <w:t xml:space="preserve"> aby zarejestrować domenę. Rejestratorzy korzystają często z usług agentów</w:t>
      </w:r>
      <w:r w:rsidR="00B370BE" w:rsidRPr="00833C88">
        <w:rPr>
          <w:rFonts w:cs="Times New Roman"/>
          <w:sz w:val="24"/>
          <w:szCs w:val="24"/>
        </w:rPr>
        <w:t xml:space="preserve">. </w:t>
      </w:r>
    </w:p>
    <w:p w14:paraId="295C6646" w14:textId="7ABAA5A4" w:rsidR="001C09DF" w:rsidRPr="00833C88" w:rsidRDefault="004469A6" w:rsidP="00031FDA">
      <w:pPr>
        <w:spacing w:after="0" w:line="360" w:lineRule="auto"/>
        <w:rPr>
          <w:rFonts w:cs="Times New Roman"/>
          <w:sz w:val="24"/>
          <w:szCs w:val="24"/>
        </w:rPr>
      </w:pPr>
      <w:r w:rsidRPr="00833C88">
        <w:rPr>
          <w:rFonts w:cs="Times New Roman"/>
          <w:sz w:val="24"/>
          <w:szCs w:val="24"/>
        </w:rPr>
        <w:t>Definicja obejmuje także dostawcę lub ods</w:t>
      </w:r>
      <w:r w:rsidR="0026571E" w:rsidRPr="00833C88">
        <w:rPr>
          <w:rFonts w:cs="Times New Roman"/>
          <w:sz w:val="24"/>
          <w:szCs w:val="24"/>
        </w:rPr>
        <w:t>przedawcę usług w zakresie</w:t>
      </w:r>
      <w:r w:rsidR="001F02D6" w:rsidRPr="00833C88">
        <w:rPr>
          <w:rFonts w:cs="Times New Roman"/>
          <w:sz w:val="24"/>
          <w:szCs w:val="24"/>
        </w:rPr>
        <w:t>:</w:t>
      </w:r>
    </w:p>
    <w:p w14:paraId="13101543" w14:textId="4D3AF494" w:rsidR="0026571E" w:rsidRPr="00833C88" w:rsidRDefault="0026571E" w:rsidP="00031FDA">
      <w:pPr>
        <w:pStyle w:val="Akapitzlist"/>
        <w:numPr>
          <w:ilvl w:val="0"/>
          <w:numId w:val="79"/>
        </w:numPr>
        <w:spacing w:after="0" w:line="360" w:lineRule="auto"/>
        <w:rPr>
          <w:rFonts w:cs="Times New Roman"/>
          <w:sz w:val="24"/>
          <w:szCs w:val="24"/>
        </w:rPr>
      </w:pPr>
      <w:r w:rsidRPr="00833C88">
        <w:rPr>
          <w:rFonts w:cs="Times New Roman"/>
          <w:sz w:val="24"/>
          <w:szCs w:val="24"/>
        </w:rPr>
        <w:t>prywatności (</w:t>
      </w:r>
      <w:proofErr w:type="spellStart"/>
      <w:r w:rsidRPr="00833C88">
        <w:rPr>
          <w:rFonts w:cs="Times New Roman"/>
          <w:sz w:val="24"/>
          <w:szCs w:val="24"/>
        </w:rPr>
        <w:t>privacy</w:t>
      </w:r>
      <w:proofErr w:type="spellEnd"/>
      <w:r w:rsidRPr="00833C88">
        <w:rPr>
          <w:rFonts w:cs="Times New Roman"/>
          <w:sz w:val="24"/>
          <w:szCs w:val="24"/>
        </w:rPr>
        <w:t xml:space="preserve"> services) – chodzi o usługę, która umożliwia abonentowi domeny podać</w:t>
      </w:r>
      <w:r w:rsidR="00572D78" w:rsidRPr="00833C88">
        <w:rPr>
          <w:rFonts w:cs="Times New Roman"/>
          <w:sz w:val="24"/>
          <w:szCs w:val="24"/>
        </w:rPr>
        <w:t xml:space="preserve"> alternatywny adres do kontaktu</w:t>
      </w:r>
      <w:r w:rsidR="009767F5" w:rsidRPr="00833C88">
        <w:rPr>
          <w:rFonts w:cs="Times New Roman"/>
          <w:sz w:val="24"/>
          <w:szCs w:val="24"/>
        </w:rPr>
        <w:t>,</w:t>
      </w:r>
    </w:p>
    <w:p w14:paraId="34B8F660" w14:textId="0D5CFAE6" w:rsidR="00700F07" w:rsidRPr="00833C88" w:rsidRDefault="00572D78" w:rsidP="00031FDA">
      <w:pPr>
        <w:pStyle w:val="Akapitzlist"/>
        <w:numPr>
          <w:ilvl w:val="0"/>
          <w:numId w:val="79"/>
        </w:numPr>
        <w:spacing w:after="0" w:line="360" w:lineRule="auto"/>
        <w:rPr>
          <w:rFonts w:cs="Times New Roman"/>
          <w:sz w:val="24"/>
          <w:szCs w:val="24"/>
        </w:rPr>
      </w:pPr>
      <w:r w:rsidRPr="00833C88">
        <w:rPr>
          <w:rFonts w:cs="Times New Roman"/>
          <w:sz w:val="24"/>
          <w:szCs w:val="24"/>
        </w:rPr>
        <w:lastRenderedPageBreak/>
        <w:t>pośrednictwa w rejestracji (</w:t>
      </w:r>
      <w:proofErr w:type="spellStart"/>
      <w:r w:rsidRPr="00833C88">
        <w:rPr>
          <w:rFonts w:cs="Times New Roman"/>
          <w:sz w:val="24"/>
          <w:szCs w:val="24"/>
        </w:rPr>
        <w:t>proxy</w:t>
      </w:r>
      <w:proofErr w:type="spellEnd"/>
      <w:r w:rsidRPr="00833C88">
        <w:rPr>
          <w:rFonts w:cs="Times New Roman"/>
          <w:sz w:val="24"/>
          <w:szCs w:val="24"/>
        </w:rPr>
        <w:t xml:space="preserve"> service) – chodzi o usługę, w której </w:t>
      </w:r>
      <w:r w:rsidR="004722DA" w:rsidRPr="00833C88">
        <w:rPr>
          <w:rFonts w:cs="Times New Roman"/>
          <w:sz w:val="24"/>
          <w:szCs w:val="24"/>
        </w:rPr>
        <w:t xml:space="preserve">niektóre informacje </w:t>
      </w:r>
      <w:r w:rsidR="00170424" w:rsidRPr="00833C88">
        <w:rPr>
          <w:rFonts w:cs="Times New Roman"/>
          <w:sz w:val="24"/>
          <w:szCs w:val="24"/>
        </w:rPr>
        <w:t xml:space="preserve">kontaktowe i identyfikacyjne </w:t>
      </w:r>
      <w:r w:rsidR="004722DA" w:rsidRPr="00833C88">
        <w:rPr>
          <w:rFonts w:cs="Times New Roman"/>
          <w:sz w:val="24"/>
          <w:szCs w:val="24"/>
        </w:rPr>
        <w:t>nie są publikowane w bazie WHO.IS</w:t>
      </w:r>
      <w:r w:rsidR="000A597C" w:rsidRPr="00833C88">
        <w:rPr>
          <w:rFonts w:cs="Times New Roman"/>
          <w:sz w:val="24"/>
          <w:szCs w:val="24"/>
        </w:rPr>
        <w:t xml:space="preserve"> (bazie o domenach)</w:t>
      </w:r>
      <w:r w:rsidR="001E0B07" w:rsidRPr="00833C88">
        <w:rPr>
          <w:rStyle w:val="Odwoanieprzypisudolnego"/>
          <w:rFonts w:cs="Times New Roman"/>
          <w:sz w:val="24"/>
          <w:szCs w:val="24"/>
        </w:rPr>
        <w:footnoteReference w:id="12"/>
      </w:r>
      <w:r w:rsidR="001F02D6" w:rsidRPr="00833C88">
        <w:rPr>
          <w:rFonts w:cs="Times New Roman"/>
          <w:sz w:val="24"/>
          <w:szCs w:val="24"/>
          <w:vertAlign w:val="superscript"/>
        </w:rPr>
        <w:t>)</w:t>
      </w:r>
      <w:r w:rsidR="00F45DEE" w:rsidRPr="00833C88">
        <w:rPr>
          <w:rFonts w:cs="Times New Roman"/>
          <w:sz w:val="24"/>
          <w:szCs w:val="24"/>
        </w:rPr>
        <w:t>.</w:t>
      </w:r>
    </w:p>
    <w:p w14:paraId="6D9004FF" w14:textId="6263C668" w:rsidR="00700F07" w:rsidRPr="00833C88" w:rsidRDefault="001F02D6" w:rsidP="00533D2A">
      <w:pPr>
        <w:pStyle w:val="Nagwek4"/>
        <w:numPr>
          <w:ilvl w:val="0"/>
          <w:numId w:val="0"/>
        </w:numPr>
        <w:ind w:left="720"/>
        <w:rPr>
          <w:rFonts w:cs="Times New Roman"/>
          <w:sz w:val="24"/>
          <w:szCs w:val="24"/>
        </w:rPr>
      </w:pPr>
      <w:r w:rsidRPr="00833C88">
        <w:rPr>
          <w:rFonts w:cs="Times New Roman"/>
          <w:sz w:val="24"/>
          <w:szCs w:val="24"/>
        </w:rPr>
        <w:t>2</w:t>
      </w:r>
      <w:r w:rsidR="00D23A47" w:rsidRPr="00833C88">
        <w:rPr>
          <w:rFonts w:cs="Times New Roman"/>
          <w:sz w:val="24"/>
          <w:szCs w:val="24"/>
        </w:rPr>
        <w:t>8</w:t>
      </w:r>
      <w:r w:rsidRPr="00833C88">
        <w:rPr>
          <w:rFonts w:cs="Times New Roman"/>
          <w:sz w:val="24"/>
          <w:szCs w:val="24"/>
        </w:rPr>
        <w:t xml:space="preserve">) </w:t>
      </w:r>
      <w:r w:rsidR="00700F07" w:rsidRPr="00833C88">
        <w:rPr>
          <w:rFonts w:cs="Times New Roman"/>
          <w:sz w:val="24"/>
          <w:szCs w:val="24"/>
        </w:rPr>
        <w:t>Potencjalne zd</w:t>
      </w:r>
      <w:r w:rsidR="00B1041E" w:rsidRPr="00833C88">
        <w:rPr>
          <w:rFonts w:cs="Times New Roman"/>
          <w:sz w:val="24"/>
          <w:szCs w:val="24"/>
        </w:rPr>
        <w:t>arzenie dla cyberbezpieczeństwa</w:t>
      </w:r>
    </w:p>
    <w:p w14:paraId="43E2C20A" w14:textId="7141214D" w:rsidR="00E77723" w:rsidRPr="00833C88" w:rsidRDefault="0075560C" w:rsidP="0029004E">
      <w:pPr>
        <w:spacing w:line="360" w:lineRule="auto"/>
        <w:jc w:val="both"/>
        <w:rPr>
          <w:rFonts w:cs="Times New Roman"/>
          <w:sz w:val="24"/>
          <w:szCs w:val="24"/>
        </w:rPr>
      </w:pPr>
      <w:r w:rsidRPr="00833C88">
        <w:rPr>
          <w:rFonts w:cs="Times New Roman"/>
          <w:sz w:val="24"/>
          <w:szCs w:val="24"/>
        </w:rPr>
        <w:t xml:space="preserve">Definicja potencjalnego zdarzenia dla cyberbezpieczeństwa </w:t>
      </w:r>
      <w:r w:rsidR="00973434" w:rsidRPr="00833C88">
        <w:rPr>
          <w:rFonts w:cs="Times New Roman"/>
          <w:sz w:val="24"/>
          <w:szCs w:val="24"/>
        </w:rPr>
        <w:t>jest konieczna, ponieważ pojęcie to występuj</w:t>
      </w:r>
      <w:r w:rsidR="004B3DCF" w:rsidRPr="00833C88">
        <w:rPr>
          <w:rFonts w:cs="Times New Roman"/>
          <w:sz w:val="24"/>
          <w:szCs w:val="24"/>
        </w:rPr>
        <w:t>e</w:t>
      </w:r>
      <w:r w:rsidR="00973434" w:rsidRPr="00833C88">
        <w:rPr>
          <w:rFonts w:cs="Times New Roman"/>
          <w:sz w:val="24"/>
          <w:szCs w:val="24"/>
        </w:rPr>
        <w:t xml:space="preserve"> </w:t>
      </w:r>
      <w:r w:rsidR="00601933" w:rsidRPr="00833C88">
        <w:rPr>
          <w:rFonts w:cs="Times New Roman"/>
          <w:sz w:val="24"/>
          <w:szCs w:val="24"/>
        </w:rPr>
        <w:t>w </w:t>
      </w:r>
      <w:r w:rsidR="00973434" w:rsidRPr="00833C88">
        <w:rPr>
          <w:rFonts w:cs="Times New Roman"/>
          <w:sz w:val="24"/>
          <w:szCs w:val="24"/>
        </w:rPr>
        <w:t>dyrektywie NIS</w:t>
      </w:r>
      <w:r w:rsidR="00CD084F" w:rsidRPr="00833C88">
        <w:rPr>
          <w:rFonts w:cs="Times New Roman"/>
          <w:sz w:val="24"/>
          <w:szCs w:val="24"/>
        </w:rPr>
        <w:t xml:space="preserve"> </w:t>
      </w:r>
      <w:r w:rsidR="00973434" w:rsidRPr="00833C88">
        <w:rPr>
          <w:rFonts w:cs="Times New Roman"/>
          <w:sz w:val="24"/>
          <w:szCs w:val="24"/>
        </w:rPr>
        <w:t xml:space="preserve">2. Państwa członkowskie sprawozdają się </w:t>
      </w:r>
      <w:r w:rsidR="00601933" w:rsidRPr="00833C88">
        <w:rPr>
          <w:rFonts w:cs="Times New Roman"/>
          <w:sz w:val="24"/>
          <w:szCs w:val="24"/>
        </w:rPr>
        <w:t>z </w:t>
      </w:r>
      <w:r w:rsidR="00973434" w:rsidRPr="00833C88">
        <w:rPr>
          <w:rFonts w:cs="Times New Roman"/>
          <w:sz w:val="24"/>
          <w:szCs w:val="24"/>
        </w:rPr>
        <w:t xml:space="preserve">liczby zgłoszonych potencjalnych zdarzeń dla cyberbezpieczeństwa. </w:t>
      </w:r>
      <w:r w:rsidR="0024614F" w:rsidRPr="00833C88">
        <w:rPr>
          <w:rFonts w:cs="Times New Roman"/>
          <w:sz w:val="24"/>
          <w:szCs w:val="24"/>
        </w:rPr>
        <w:t>Jest to więc zdarzenie, które może mieć niekorzystny wpływ na bezpieczeństwo systemów informacyjnych. Zgłaszanie takich zdarzeń do zespołów CSIRT jest nieobowiązkowe.</w:t>
      </w:r>
      <w:r w:rsidR="007F40AA" w:rsidRPr="00833C88">
        <w:rPr>
          <w:rFonts w:cs="Times New Roman"/>
          <w:sz w:val="24"/>
          <w:szCs w:val="24"/>
        </w:rPr>
        <w:t xml:space="preserve"> </w:t>
      </w:r>
      <w:r w:rsidR="00601933" w:rsidRPr="00833C88">
        <w:rPr>
          <w:rFonts w:cs="Times New Roman"/>
          <w:sz w:val="24"/>
          <w:szCs w:val="24"/>
        </w:rPr>
        <w:t>W </w:t>
      </w:r>
      <w:r w:rsidR="007F40AA" w:rsidRPr="00833C88">
        <w:rPr>
          <w:rFonts w:cs="Times New Roman"/>
          <w:sz w:val="24"/>
          <w:szCs w:val="24"/>
        </w:rPr>
        <w:t xml:space="preserve">samej możliwości zgłoszeń </w:t>
      </w:r>
      <w:r w:rsidR="00072FB7" w:rsidRPr="00833C88">
        <w:rPr>
          <w:rFonts w:cs="Times New Roman"/>
          <w:sz w:val="24"/>
          <w:szCs w:val="24"/>
        </w:rPr>
        <w:t xml:space="preserve">tego rodzaju zdarzeń chodzi </w:t>
      </w:r>
      <w:r w:rsidR="00601933" w:rsidRPr="00833C88">
        <w:rPr>
          <w:rFonts w:cs="Times New Roman"/>
          <w:sz w:val="24"/>
          <w:szCs w:val="24"/>
        </w:rPr>
        <w:t>o </w:t>
      </w:r>
      <w:r w:rsidR="00072FB7" w:rsidRPr="00833C88">
        <w:rPr>
          <w:rFonts w:cs="Times New Roman"/>
          <w:sz w:val="24"/>
          <w:szCs w:val="24"/>
        </w:rPr>
        <w:t xml:space="preserve">to, aby móc wyciągnąć informacje </w:t>
      </w:r>
      <w:r w:rsidR="00601933" w:rsidRPr="00833C88">
        <w:rPr>
          <w:rFonts w:cs="Times New Roman"/>
          <w:sz w:val="24"/>
          <w:szCs w:val="24"/>
        </w:rPr>
        <w:t>z </w:t>
      </w:r>
      <w:r w:rsidR="00072FB7" w:rsidRPr="00833C88">
        <w:rPr>
          <w:rFonts w:cs="Times New Roman"/>
          <w:sz w:val="24"/>
          <w:szCs w:val="24"/>
        </w:rPr>
        <w:t xml:space="preserve">tego rodzaju sytuacji, które nie doprowadziły do strat, ale </w:t>
      </w:r>
      <w:r w:rsidR="00491255" w:rsidRPr="00833C88">
        <w:rPr>
          <w:rFonts w:cs="Times New Roman"/>
          <w:sz w:val="24"/>
          <w:szCs w:val="24"/>
        </w:rPr>
        <w:t xml:space="preserve">wyciągnięte </w:t>
      </w:r>
      <w:r w:rsidR="00601933" w:rsidRPr="00833C88">
        <w:rPr>
          <w:rFonts w:cs="Times New Roman"/>
          <w:sz w:val="24"/>
          <w:szCs w:val="24"/>
        </w:rPr>
        <w:t>z </w:t>
      </w:r>
      <w:r w:rsidR="00491255" w:rsidRPr="00833C88">
        <w:rPr>
          <w:rFonts w:cs="Times New Roman"/>
          <w:sz w:val="24"/>
          <w:szCs w:val="24"/>
        </w:rPr>
        <w:t xml:space="preserve">nich wnioski mogą pozwolić na zabezpieczenie się przed innymi </w:t>
      </w:r>
      <w:r w:rsidR="002B28F2" w:rsidRPr="00833C88">
        <w:rPr>
          <w:rFonts w:cs="Times New Roman"/>
          <w:sz w:val="24"/>
          <w:szCs w:val="24"/>
        </w:rPr>
        <w:t>incydentami.</w:t>
      </w:r>
    </w:p>
    <w:p w14:paraId="3F40C6D7" w14:textId="37CA61C4" w:rsidR="00A31D4B" w:rsidRPr="00833C88" w:rsidRDefault="00D23A47" w:rsidP="00533D2A">
      <w:pPr>
        <w:pStyle w:val="Nagwek4"/>
        <w:numPr>
          <w:ilvl w:val="0"/>
          <w:numId w:val="0"/>
        </w:numPr>
        <w:ind w:left="720"/>
        <w:rPr>
          <w:rFonts w:cs="Times New Roman"/>
          <w:sz w:val="24"/>
          <w:szCs w:val="24"/>
        </w:rPr>
      </w:pPr>
      <w:r w:rsidRPr="00833C88">
        <w:rPr>
          <w:rFonts w:cs="Times New Roman"/>
          <w:sz w:val="24"/>
          <w:szCs w:val="24"/>
        </w:rPr>
        <w:t>29</w:t>
      </w:r>
      <w:r w:rsidR="001F02D6" w:rsidRPr="00833C88">
        <w:rPr>
          <w:rFonts w:cs="Times New Roman"/>
          <w:sz w:val="24"/>
          <w:szCs w:val="24"/>
        </w:rPr>
        <w:t xml:space="preserve">) </w:t>
      </w:r>
      <w:r w:rsidR="00A31D4B" w:rsidRPr="00833C88">
        <w:rPr>
          <w:rFonts w:cs="Times New Roman"/>
          <w:sz w:val="24"/>
          <w:szCs w:val="24"/>
        </w:rPr>
        <w:t xml:space="preserve">Poważne </w:t>
      </w:r>
      <w:proofErr w:type="spellStart"/>
      <w:r w:rsidR="00A31D4B" w:rsidRPr="00833C88">
        <w:rPr>
          <w:rFonts w:cs="Times New Roman"/>
          <w:sz w:val="24"/>
          <w:szCs w:val="24"/>
        </w:rPr>
        <w:t>cyberzagrożenie</w:t>
      </w:r>
      <w:proofErr w:type="spellEnd"/>
    </w:p>
    <w:p w14:paraId="59982F46" w14:textId="77777777" w:rsidR="00A31D4B" w:rsidRPr="00833C88" w:rsidRDefault="00A31D4B" w:rsidP="00A31D4B">
      <w:pPr>
        <w:spacing w:line="360" w:lineRule="auto"/>
        <w:jc w:val="both"/>
        <w:rPr>
          <w:rFonts w:cs="Times New Roman"/>
          <w:sz w:val="24"/>
          <w:szCs w:val="24"/>
        </w:rPr>
      </w:pPr>
      <w:r w:rsidRPr="00833C88">
        <w:rPr>
          <w:rFonts w:cs="Times New Roman"/>
          <w:sz w:val="24"/>
          <w:szCs w:val="24"/>
        </w:rPr>
        <w:t xml:space="preserve">Wprowadza się definicję poważnego </w:t>
      </w:r>
      <w:proofErr w:type="spellStart"/>
      <w:r w:rsidRPr="00833C88">
        <w:rPr>
          <w:rFonts w:cs="Times New Roman"/>
          <w:sz w:val="24"/>
          <w:szCs w:val="24"/>
        </w:rPr>
        <w:t>cyberzagrożenia</w:t>
      </w:r>
      <w:proofErr w:type="spellEnd"/>
      <w:r w:rsidRPr="00833C88">
        <w:rPr>
          <w:rFonts w:cs="Times New Roman"/>
          <w:sz w:val="24"/>
          <w:szCs w:val="24"/>
        </w:rPr>
        <w:t xml:space="preserve"> – jest to </w:t>
      </w:r>
      <w:proofErr w:type="spellStart"/>
      <w:r w:rsidRPr="00833C88">
        <w:rPr>
          <w:rFonts w:cs="Times New Roman"/>
          <w:sz w:val="24"/>
          <w:szCs w:val="24"/>
        </w:rPr>
        <w:t>cyberzagrożenie</w:t>
      </w:r>
      <w:proofErr w:type="spellEnd"/>
      <w:r w:rsidRPr="00833C88">
        <w:rPr>
          <w:rFonts w:cs="Times New Roman"/>
          <w:sz w:val="24"/>
          <w:szCs w:val="24"/>
        </w:rPr>
        <w:t xml:space="preserve">, które może mieć poważny wpływ na bezpieczeństwo systemów informacyjnych poprzez wywołanie szkody materialnej lub niematerialnej. Jest to więc kwalifikowana postać </w:t>
      </w:r>
      <w:proofErr w:type="spellStart"/>
      <w:r w:rsidRPr="00833C88">
        <w:rPr>
          <w:rFonts w:cs="Times New Roman"/>
          <w:sz w:val="24"/>
          <w:szCs w:val="24"/>
        </w:rPr>
        <w:t>cyberzagrożenia</w:t>
      </w:r>
      <w:proofErr w:type="spellEnd"/>
      <w:r w:rsidRPr="00833C88">
        <w:rPr>
          <w:rFonts w:cs="Times New Roman"/>
          <w:sz w:val="24"/>
          <w:szCs w:val="24"/>
        </w:rPr>
        <w:t xml:space="preserve"> – jego zaistnienie będzie powodowało obowiązek poinformowania o środkach, które mogą podjąć użytkownicy podmiotów kluczowych i podmiotów ważnych celem zabezpieczenia się przed jego skutkami.</w:t>
      </w:r>
    </w:p>
    <w:p w14:paraId="7C8EE71C" w14:textId="34E06743" w:rsidR="00A31D4B" w:rsidRPr="00833C88" w:rsidRDefault="001F02D6" w:rsidP="00533D2A">
      <w:pPr>
        <w:pStyle w:val="Nagwek4"/>
        <w:numPr>
          <w:ilvl w:val="0"/>
          <w:numId w:val="0"/>
        </w:numPr>
        <w:spacing w:line="360" w:lineRule="auto"/>
        <w:ind w:left="720"/>
        <w:rPr>
          <w:rFonts w:cs="Times New Roman"/>
          <w:sz w:val="24"/>
          <w:szCs w:val="24"/>
        </w:rPr>
      </w:pPr>
      <w:r w:rsidRPr="00833C88">
        <w:rPr>
          <w:rFonts w:cs="Times New Roman"/>
          <w:sz w:val="24"/>
          <w:szCs w:val="24"/>
        </w:rPr>
        <w:t>3</w:t>
      </w:r>
      <w:r w:rsidR="00D23A47" w:rsidRPr="00833C88">
        <w:rPr>
          <w:rFonts w:cs="Times New Roman"/>
          <w:sz w:val="24"/>
          <w:szCs w:val="24"/>
        </w:rPr>
        <w:t>0</w:t>
      </w:r>
      <w:r w:rsidRPr="00833C88">
        <w:rPr>
          <w:rFonts w:cs="Times New Roman"/>
          <w:sz w:val="24"/>
          <w:szCs w:val="24"/>
        </w:rPr>
        <w:t xml:space="preserve">) </w:t>
      </w:r>
      <w:r w:rsidR="00A31D4B" w:rsidRPr="00833C88">
        <w:rPr>
          <w:rFonts w:cs="Times New Roman"/>
          <w:sz w:val="24"/>
          <w:szCs w:val="24"/>
        </w:rPr>
        <w:t>Projekt</w:t>
      </w:r>
    </w:p>
    <w:p w14:paraId="2FE6DBDF" w14:textId="50516B31" w:rsidR="00BA027D" w:rsidRPr="00833C88" w:rsidRDefault="00BA027D" w:rsidP="00533D2A">
      <w:pPr>
        <w:spacing w:line="360" w:lineRule="auto"/>
        <w:jc w:val="both"/>
        <w:rPr>
          <w:rFonts w:cs="Times New Roman"/>
          <w:sz w:val="24"/>
          <w:szCs w:val="24"/>
        </w:rPr>
      </w:pPr>
      <w:r w:rsidRPr="00833C88">
        <w:rPr>
          <w:rFonts w:cs="Times New Roman"/>
          <w:sz w:val="24"/>
          <w:szCs w:val="24"/>
        </w:rPr>
        <w:t xml:space="preserve">Na potrzeby przepisów o możliwości udzielania przez ministra właściwego do spraw informatyzacji </w:t>
      </w:r>
      <w:r w:rsidR="0055098F" w:rsidRPr="00833C88">
        <w:rPr>
          <w:rFonts w:cs="Times New Roman"/>
          <w:sz w:val="24"/>
          <w:szCs w:val="24"/>
        </w:rPr>
        <w:t>wsparcia finansowego wprowadza się definicj</w:t>
      </w:r>
      <w:r w:rsidR="001F02D6" w:rsidRPr="00833C88">
        <w:rPr>
          <w:rFonts w:cs="Times New Roman"/>
          <w:sz w:val="24"/>
          <w:szCs w:val="24"/>
        </w:rPr>
        <w:t>ę</w:t>
      </w:r>
      <w:r w:rsidR="0055098F" w:rsidRPr="00833C88">
        <w:rPr>
          <w:rFonts w:cs="Times New Roman"/>
          <w:sz w:val="24"/>
          <w:szCs w:val="24"/>
        </w:rPr>
        <w:t xml:space="preserve"> projektu. </w:t>
      </w:r>
    </w:p>
    <w:p w14:paraId="18783BF7" w14:textId="421CB750" w:rsidR="00226363" w:rsidRPr="00833C88" w:rsidRDefault="001F02D6" w:rsidP="00533D2A">
      <w:pPr>
        <w:pStyle w:val="Nagwek4"/>
        <w:numPr>
          <w:ilvl w:val="0"/>
          <w:numId w:val="0"/>
        </w:numPr>
        <w:spacing w:line="360" w:lineRule="auto"/>
        <w:ind w:left="720"/>
        <w:rPr>
          <w:rFonts w:cs="Times New Roman"/>
          <w:sz w:val="24"/>
          <w:szCs w:val="24"/>
        </w:rPr>
      </w:pPr>
      <w:r w:rsidRPr="00833C88">
        <w:rPr>
          <w:rFonts w:cs="Times New Roman"/>
          <w:sz w:val="24"/>
          <w:szCs w:val="24"/>
        </w:rPr>
        <w:t>3</w:t>
      </w:r>
      <w:r w:rsidR="00D23A47" w:rsidRPr="00833C88">
        <w:rPr>
          <w:rFonts w:cs="Times New Roman"/>
          <w:sz w:val="24"/>
          <w:szCs w:val="24"/>
        </w:rPr>
        <w:t>1</w:t>
      </w:r>
      <w:r w:rsidRPr="00833C88">
        <w:rPr>
          <w:rFonts w:cs="Times New Roman"/>
          <w:sz w:val="24"/>
          <w:szCs w:val="24"/>
        </w:rPr>
        <w:t xml:space="preserve">) </w:t>
      </w:r>
      <w:r w:rsidR="00226363" w:rsidRPr="00833C88">
        <w:rPr>
          <w:rFonts w:cs="Times New Roman"/>
          <w:sz w:val="24"/>
          <w:szCs w:val="24"/>
        </w:rPr>
        <w:t>Poważny incydent związany z ICT</w:t>
      </w:r>
    </w:p>
    <w:p w14:paraId="2702C35C" w14:textId="5D4442C6" w:rsidR="00226363" w:rsidRPr="00833C88" w:rsidRDefault="00C35268" w:rsidP="00533D2A">
      <w:pPr>
        <w:spacing w:line="360" w:lineRule="auto"/>
        <w:jc w:val="both"/>
        <w:rPr>
          <w:rFonts w:cs="Times New Roman"/>
          <w:sz w:val="24"/>
          <w:szCs w:val="24"/>
        </w:rPr>
      </w:pPr>
      <w:r w:rsidRPr="00833C88">
        <w:rPr>
          <w:rFonts w:cs="Times New Roman"/>
          <w:sz w:val="24"/>
          <w:szCs w:val="24"/>
        </w:rPr>
        <w:t>W przepisach projektu przewidziano możliwość reagowania na poważne</w:t>
      </w:r>
      <w:r w:rsidR="007F4B41" w:rsidRPr="00833C88">
        <w:rPr>
          <w:rFonts w:cs="Times New Roman"/>
          <w:sz w:val="24"/>
          <w:szCs w:val="24"/>
        </w:rPr>
        <w:t xml:space="preserve"> incydenty związane z ICT przez zespoły CSIRT poziomu krajowego. Jest to definicja wynikająca z art. </w:t>
      </w:r>
      <w:r w:rsidR="00D35874" w:rsidRPr="00833C88">
        <w:rPr>
          <w:rFonts w:cs="Times New Roman"/>
          <w:sz w:val="24"/>
          <w:szCs w:val="24"/>
        </w:rPr>
        <w:t>3 pkt 10 rozporządzenia DORA – rozporządzenia 2022/2554. Wprowadzono więc definicję w</w:t>
      </w:r>
      <w:r w:rsidR="009767F5" w:rsidRPr="00833C88">
        <w:rPr>
          <w:rFonts w:cs="Times New Roman"/>
          <w:sz w:val="24"/>
          <w:szCs w:val="24"/>
        </w:rPr>
        <w:t> </w:t>
      </w:r>
      <w:r w:rsidR="00D35874" w:rsidRPr="00833C88">
        <w:rPr>
          <w:rFonts w:cs="Times New Roman"/>
          <w:sz w:val="24"/>
          <w:szCs w:val="24"/>
        </w:rPr>
        <w:t>słowniczku.</w:t>
      </w:r>
    </w:p>
    <w:p w14:paraId="2768CC14" w14:textId="7938BF1A" w:rsidR="00D35874" w:rsidRPr="00833C88" w:rsidRDefault="001F02D6" w:rsidP="00533D2A">
      <w:pPr>
        <w:pStyle w:val="Nagwek4"/>
        <w:numPr>
          <w:ilvl w:val="0"/>
          <w:numId w:val="0"/>
        </w:numPr>
        <w:spacing w:line="360" w:lineRule="auto"/>
        <w:ind w:left="720"/>
        <w:rPr>
          <w:rFonts w:cs="Times New Roman"/>
          <w:sz w:val="24"/>
          <w:szCs w:val="24"/>
        </w:rPr>
      </w:pPr>
      <w:r w:rsidRPr="00833C88">
        <w:rPr>
          <w:rFonts w:cs="Times New Roman"/>
          <w:sz w:val="24"/>
          <w:szCs w:val="24"/>
        </w:rPr>
        <w:t>3</w:t>
      </w:r>
      <w:r w:rsidR="00D23A47" w:rsidRPr="00833C88">
        <w:rPr>
          <w:rFonts w:cs="Times New Roman"/>
          <w:sz w:val="24"/>
          <w:szCs w:val="24"/>
        </w:rPr>
        <w:t>2</w:t>
      </w:r>
      <w:r w:rsidRPr="00833C88">
        <w:rPr>
          <w:rFonts w:cs="Times New Roman"/>
          <w:sz w:val="24"/>
          <w:szCs w:val="24"/>
        </w:rPr>
        <w:t xml:space="preserve">) </w:t>
      </w:r>
      <w:r w:rsidR="00AB1B89" w:rsidRPr="00833C88">
        <w:rPr>
          <w:rFonts w:cs="Times New Roman"/>
          <w:sz w:val="24"/>
          <w:szCs w:val="24"/>
        </w:rPr>
        <w:t>Przedsiębiorca komunikacji elektronicznej</w:t>
      </w:r>
      <w:r w:rsidR="00B211DD" w:rsidRPr="00833C88">
        <w:rPr>
          <w:rFonts w:cs="Times New Roman"/>
          <w:sz w:val="24"/>
          <w:szCs w:val="24"/>
        </w:rPr>
        <w:t xml:space="preserve"> i przedsiębiorca telekomunikacyjny</w:t>
      </w:r>
    </w:p>
    <w:p w14:paraId="18337096" w14:textId="1A6F9B63" w:rsidR="00B211DD" w:rsidRPr="00833C88" w:rsidRDefault="00D821A5" w:rsidP="0029004E">
      <w:pPr>
        <w:spacing w:line="360" w:lineRule="auto"/>
        <w:jc w:val="both"/>
        <w:rPr>
          <w:rFonts w:cs="Times New Roman"/>
          <w:sz w:val="24"/>
          <w:szCs w:val="24"/>
        </w:rPr>
      </w:pPr>
      <w:r w:rsidRPr="00833C88">
        <w:rPr>
          <w:rFonts w:cs="Times New Roman"/>
          <w:sz w:val="24"/>
          <w:szCs w:val="24"/>
        </w:rPr>
        <w:t xml:space="preserve">Prawo unijne przewiduje </w:t>
      </w:r>
      <w:r w:rsidR="00195072" w:rsidRPr="00833C88">
        <w:rPr>
          <w:rFonts w:cs="Times New Roman"/>
          <w:sz w:val="24"/>
          <w:szCs w:val="24"/>
        </w:rPr>
        <w:t xml:space="preserve">likwidację odrębnych obowiązków regulacyjnych </w:t>
      </w:r>
      <w:r w:rsidR="00601933" w:rsidRPr="00833C88">
        <w:rPr>
          <w:rFonts w:cs="Times New Roman"/>
          <w:sz w:val="24"/>
          <w:szCs w:val="24"/>
        </w:rPr>
        <w:t>z </w:t>
      </w:r>
      <w:r w:rsidR="00195072" w:rsidRPr="00833C88">
        <w:rPr>
          <w:rFonts w:cs="Times New Roman"/>
          <w:sz w:val="24"/>
          <w:szCs w:val="24"/>
        </w:rPr>
        <w:t xml:space="preserve">zakresu cyberbezpieczeństwa dla sektora telekomunikacji. </w:t>
      </w:r>
      <w:r w:rsidR="003F25D9" w:rsidRPr="00833C88">
        <w:rPr>
          <w:rFonts w:cs="Times New Roman"/>
          <w:sz w:val="24"/>
          <w:szCs w:val="24"/>
        </w:rPr>
        <w:t xml:space="preserve">Dostawcy podlegają takim samym wymogom </w:t>
      </w:r>
      <w:r w:rsidR="00601933" w:rsidRPr="00833C88">
        <w:rPr>
          <w:rFonts w:cs="Times New Roman"/>
          <w:sz w:val="24"/>
          <w:szCs w:val="24"/>
        </w:rPr>
        <w:t>z </w:t>
      </w:r>
      <w:r w:rsidR="003F25D9" w:rsidRPr="00833C88">
        <w:rPr>
          <w:rFonts w:cs="Times New Roman"/>
          <w:sz w:val="24"/>
          <w:szCs w:val="24"/>
        </w:rPr>
        <w:t>zakresu cyberbezpieczeństwa</w:t>
      </w:r>
      <w:r w:rsidR="00A952AE" w:rsidRPr="00833C88">
        <w:rPr>
          <w:rFonts w:cs="Times New Roman"/>
          <w:sz w:val="24"/>
          <w:szCs w:val="24"/>
        </w:rPr>
        <w:t>,</w:t>
      </w:r>
      <w:r w:rsidR="003F25D9" w:rsidRPr="00833C88">
        <w:rPr>
          <w:rFonts w:cs="Times New Roman"/>
          <w:sz w:val="24"/>
          <w:szCs w:val="24"/>
        </w:rPr>
        <w:t xml:space="preserve"> jak inne podmioty kluczowe. Dlatego konieczne </w:t>
      </w:r>
      <w:r w:rsidR="003F25D9" w:rsidRPr="00833C88">
        <w:rPr>
          <w:rFonts w:cs="Times New Roman"/>
          <w:sz w:val="24"/>
          <w:szCs w:val="24"/>
        </w:rPr>
        <w:lastRenderedPageBreak/>
        <w:t xml:space="preserve">jest wprowadzenie definicji do </w:t>
      </w:r>
      <w:r w:rsidR="00CD084F" w:rsidRPr="00833C88">
        <w:rPr>
          <w:rFonts w:cs="Times New Roman"/>
          <w:sz w:val="24"/>
          <w:szCs w:val="24"/>
        </w:rPr>
        <w:t>ustawy</w:t>
      </w:r>
      <w:r w:rsidR="00A952AE" w:rsidRPr="00833C88">
        <w:rPr>
          <w:rFonts w:cs="Times New Roman"/>
          <w:sz w:val="24"/>
          <w:szCs w:val="24"/>
        </w:rPr>
        <w:t xml:space="preserve"> </w:t>
      </w:r>
      <w:r w:rsidR="00601933" w:rsidRPr="00833C88">
        <w:rPr>
          <w:rFonts w:cs="Times New Roman"/>
          <w:sz w:val="24"/>
          <w:szCs w:val="24"/>
        </w:rPr>
        <w:t>o </w:t>
      </w:r>
      <w:r w:rsidR="00CD084F" w:rsidRPr="00833C88">
        <w:rPr>
          <w:rFonts w:cs="Times New Roman"/>
          <w:sz w:val="24"/>
          <w:szCs w:val="24"/>
        </w:rPr>
        <w:t>KSC</w:t>
      </w:r>
      <w:r w:rsidR="003F25D9" w:rsidRPr="00833C88">
        <w:rPr>
          <w:rFonts w:cs="Times New Roman"/>
          <w:sz w:val="24"/>
          <w:szCs w:val="24"/>
        </w:rPr>
        <w:t xml:space="preserve">. </w:t>
      </w:r>
      <w:r w:rsidR="00601933" w:rsidRPr="00833C88">
        <w:rPr>
          <w:rFonts w:cs="Times New Roman"/>
          <w:sz w:val="24"/>
          <w:szCs w:val="24"/>
        </w:rPr>
        <w:t>W </w:t>
      </w:r>
      <w:r w:rsidR="00CD084F" w:rsidRPr="00833C88">
        <w:rPr>
          <w:rFonts w:cs="Times New Roman"/>
          <w:sz w:val="24"/>
          <w:szCs w:val="24"/>
        </w:rPr>
        <w:t xml:space="preserve">projekcie </w:t>
      </w:r>
      <w:r w:rsidR="00A952AE" w:rsidRPr="00833C88">
        <w:rPr>
          <w:rFonts w:cs="Times New Roman"/>
          <w:sz w:val="24"/>
          <w:szCs w:val="24"/>
        </w:rPr>
        <w:t xml:space="preserve">ustawy </w:t>
      </w:r>
      <w:r w:rsidR="00CD084F" w:rsidRPr="00833C88">
        <w:rPr>
          <w:rFonts w:cs="Times New Roman"/>
          <w:sz w:val="24"/>
          <w:szCs w:val="24"/>
        </w:rPr>
        <w:t>w</w:t>
      </w:r>
      <w:r w:rsidR="002B2AE0" w:rsidRPr="00833C88">
        <w:rPr>
          <w:rFonts w:cs="Times New Roman"/>
          <w:sz w:val="24"/>
          <w:szCs w:val="24"/>
        </w:rPr>
        <w:t xml:space="preserve">prowadza się pojęcie przedsiębiorcy komunikacji elektronicznej. Na ten zbiór składają się przedsiębiorcy telekomunikacyjni </w:t>
      </w:r>
      <w:r w:rsidR="005842A6" w:rsidRPr="00833C88">
        <w:rPr>
          <w:rFonts w:cs="Times New Roman"/>
          <w:sz w:val="24"/>
          <w:szCs w:val="24"/>
        </w:rPr>
        <w:t xml:space="preserve">prowadzący działalność regulowaną oraz podmioty świadczące usługę komunikacji interpersonalnej niewykorzystującej numerów – będą to </w:t>
      </w:r>
      <w:r w:rsidR="00823F9D" w:rsidRPr="00833C88">
        <w:rPr>
          <w:rFonts w:cs="Times New Roman"/>
          <w:sz w:val="24"/>
          <w:szCs w:val="24"/>
        </w:rPr>
        <w:t>podmioty świadcząc</w:t>
      </w:r>
      <w:r w:rsidR="009C3C0D" w:rsidRPr="00833C88">
        <w:rPr>
          <w:rFonts w:cs="Times New Roman"/>
          <w:sz w:val="24"/>
          <w:szCs w:val="24"/>
        </w:rPr>
        <w:t>e</w:t>
      </w:r>
      <w:r w:rsidR="00823F9D" w:rsidRPr="00833C88">
        <w:rPr>
          <w:rFonts w:cs="Times New Roman"/>
          <w:sz w:val="24"/>
          <w:szCs w:val="24"/>
        </w:rPr>
        <w:t xml:space="preserve"> swoje usługi </w:t>
      </w:r>
      <w:r w:rsidR="005C0CF4" w:rsidRPr="00833C88">
        <w:rPr>
          <w:rFonts w:cs="Times New Roman"/>
          <w:sz w:val="24"/>
          <w:szCs w:val="24"/>
        </w:rPr>
        <w:t xml:space="preserve">za pośrednictwem internetu, które </w:t>
      </w:r>
      <w:r w:rsidR="00294159" w:rsidRPr="00833C88">
        <w:rPr>
          <w:rFonts w:cs="Times New Roman"/>
          <w:sz w:val="24"/>
          <w:szCs w:val="24"/>
        </w:rPr>
        <w:t xml:space="preserve">mogą konkurować </w:t>
      </w:r>
      <w:r w:rsidR="00601933" w:rsidRPr="00833C88">
        <w:rPr>
          <w:rFonts w:cs="Times New Roman"/>
          <w:sz w:val="24"/>
          <w:szCs w:val="24"/>
        </w:rPr>
        <w:t>z </w:t>
      </w:r>
      <w:r w:rsidR="00294159" w:rsidRPr="00833C88">
        <w:rPr>
          <w:rFonts w:cs="Times New Roman"/>
          <w:sz w:val="24"/>
          <w:szCs w:val="24"/>
        </w:rPr>
        <w:t xml:space="preserve">usługami telekomunikacyjnymi. Przykładami takich usług, </w:t>
      </w:r>
      <w:r w:rsidR="00420BE1" w:rsidRPr="00833C88">
        <w:rPr>
          <w:rFonts w:cs="Times New Roman"/>
          <w:sz w:val="24"/>
          <w:szCs w:val="24"/>
        </w:rPr>
        <w:t>oznaczanych</w:t>
      </w:r>
      <w:r w:rsidR="00F722D2" w:rsidRPr="00833C88">
        <w:rPr>
          <w:rFonts w:cs="Times New Roman"/>
          <w:sz w:val="24"/>
          <w:szCs w:val="24"/>
        </w:rPr>
        <w:t xml:space="preserve"> jako OTT-1</w:t>
      </w:r>
      <w:r w:rsidR="00A952AE" w:rsidRPr="00833C88">
        <w:rPr>
          <w:rFonts w:cs="Times New Roman"/>
          <w:sz w:val="24"/>
          <w:szCs w:val="24"/>
        </w:rPr>
        <w:t>,</w:t>
      </w:r>
      <w:r w:rsidR="00F722D2" w:rsidRPr="00833C88">
        <w:rPr>
          <w:rFonts w:cs="Times New Roman"/>
          <w:sz w:val="24"/>
          <w:szCs w:val="24"/>
        </w:rPr>
        <w:t xml:space="preserve"> są usługi komunikatorów internetowych czy poczty elektronicznej.</w:t>
      </w:r>
      <w:r w:rsidR="00420BE1" w:rsidRPr="00833C88">
        <w:rPr>
          <w:rFonts w:cs="Times New Roman"/>
          <w:sz w:val="24"/>
          <w:szCs w:val="24"/>
        </w:rPr>
        <w:t xml:space="preserve"> </w:t>
      </w:r>
    </w:p>
    <w:p w14:paraId="3A6E49CE" w14:textId="728D64BC" w:rsidR="00E474F3" w:rsidRPr="00833C88" w:rsidRDefault="00E474F3" w:rsidP="0029004E">
      <w:pPr>
        <w:spacing w:line="360" w:lineRule="auto"/>
        <w:jc w:val="both"/>
        <w:rPr>
          <w:rFonts w:cs="Times New Roman"/>
          <w:sz w:val="24"/>
          <w:szCs w:val="24"/>
        </w:rPr>
      </w:pPr>
      <w:r w:rsidRPr="00833C88">
        <w:rPr>
          <w:rFonts w:cs="Times New Roman"/>
          <w:sz w:val="24"/>
          <w:szCs w:val="24"/>
        </w:rPr>
        <w:t xml:space="preserve">Definicje przedsiębiorcy telekomunikacyjnego, przedsiębiorcy komunikacji elektronicznej oraz </w:t>
      </w:r>
      <w:r w:rsidR="00580F71" w:rsidRPr="00833C88">
        <w:rPr>
          <w:rFonts w:cs="Times New Roman"/>
          <w:sz w:val="24"/>
          <w:szCs w:val="24"/>
        </w:rPr>
        <w:t xml:space="preserve">usług komunikacji interpersonalnej niewykorzystującej numerów znajdują się </w:t>
      </w:r>
      <w:r w:rsidR="00601933" w:rsidRPr="00833C88">
        <w:rPr>
          <w:rFonts w:cs="Times New Roman"/>
          <w:sz w:val="24"/>
          <w:szCs w:val="24"/>
        </w:rPr>
        <w:t>w </w:t>
      </w:r>
      <w:r w:rsidR="00CD084F" w:rsidRPr="00833C88">
        <w:rPr>
          <w:rFonts w:cs="Times New Roman"/>
          <w:sz w:val="24"/>
          <w:szCs w:val="24"/>
        </w:rPr>
        <w:t>ustaw</w:t>
      </w:r>
      <w:r w:rsidR="00AF4FEF" w:rsidRPr="00833C88">
        <w:rPr>
          <w:rFonts w:cs="Times New Roman"/>
          <w:sz w:val="24"/>
          <w:szCs w:val="24"/>
        </w:rPr>
        <w:t xml:space="preserve">ie </w:t>
      </w:r>
      <w:r w:rsidR="00601933" w:rsidRPr="00833C88">
        <w:rPr>
          <w:rFonts w:cs="Times New Roman"/>
          <w:sz w:val="24"/>
          <w:szCs w:val="24"/>
        </w:rPr>
        <w:t>z </w:t>
      </w:r>
      <w:r w:rsidR="00AF4FEF" w:rsidRPr="00833C88">
        <w:rPr>
          <w:rFonts w:cs="Times New Roman"/>
          <w:sz w:val="24"/>
          <w:szCs w:val="24"/>
        </w:rPr>
        <w:t>dnia 12 lipca 2024 r.</w:t>
      </w:r>
      <w:r w:rsidR="00CD084F" w:rsidRPr="00833C88">
        <w:rPr>
          <w:rFonts w:cs="Times New Roman"/>
          <w:sz w:val="24"/>
          <w:szCs w:val="24"/>
        </w:rPr>
        <w:t xml:space="preserve"> –</w:t>
      </w:r>
      <w:r w:rsidR="00580F71" w:rsidRPr="00833C88">
        <w:rPr>
          <w:rFonts w:cs="Times New Roman"/>
          <w:sz w:val="24"/>
          <w:szCs w:val="24"/>
        </w:rPr>
        <w:t xml:space="preserve"> Praw</w:t>
      </w:r>
      <w:r w:rsidR="00CD084F" w:rsidRPr="00833C88">
        <w:rPr>
          <w:rFonts w:cs="Times New Roman"/>
          <w:sz w:val="24"/>
          <w:szCs w:val="24"/>
        </w:rPr>
        <w:t>o</w:t>
      </w:r>
      <w:r w:rsidR="00580F71" w:rsidRPr="00833C88">
        <w:rPr>
          <w:rFonts w:cs="Times New Roman"/>
          <w:sz w:val="24"/>
          <w:szCs w:val="24"/>
        </w:rPr>
        <w:t xml:space="preserve"> komunikacji elektronicznej.</w:t>
      </w:r>
    </w:p>
    <w:p w14:paraId="797282BF" w14:textId="75CB59FC" w:rsidR="00C8778F" w:rsidRPr="00833C88" w:rsidRDefault="001F02D6" w:rsidP="00533D2A">
      <w:pPr>
        <w:pStyle w:val="Nagwek4"/>
        <w:numPr>
          <w:ilvl w:val="0"/>
          <w:numId w:val="0"/>
        </w:numPr>
        <w:ind w:left="720"/>
        <w:rPr>
          <w:rFonts w:cs="Times New Roman"/>
          <w:sz w:val="24"/>
          <w:szCs w:val="24"/>
        </w:rPr>
      </w:pPr>
      <w:r w:rsidRPr="00833C88">
        <w:rPr>
          <w:rFonts w:cs="Times New Roman"/>
          <w:sz w:val="24"/>
          <w:szCs w:val="24"/>
        </w:rPr>
        <w:t>3</w:t>
      </w:r>
      <w:r w:rsidR="00D23A47" w:rsidRPr="00833C88">
        <w:rPr>
          <w:rFonts w:cs="Times New Roman"/>
          <w:sz w:val="24"/>
          <w:szCs w:val="24"/>
        </w:rPr>
        <w:t>3</w:t>
      </w:r>
      <w:r w:rsidRPr="00833C88">
        <w:rPr>
          <w:rFonts w:cs="Times New Roman"/>
          <w:sz w:val="24"/>
          <w:szCs w:val="24"/>
        </w:rPr>
        <w:t xml:space="preserve">) </w:t>
      </w:r>
      <w:r w:rsidR="00C8778F" w:rsidRPr="00833C88">
        <w:rPr>
          <w:rFonts w:cs="Times New Roman"/>
          <w:sz w:val="24"/>
          <w:szCs w:val="24"/>
        </w:rPr>
        <w:t>Proces ICT</w:t>
      </w:r>
      <w:r w:rsidR="00174715" w:rsidRPr="00833C88">
        <w:rPr>
          <w:rFonts w:cs="Times New Roman"/>
          <w:sz w:val="24"/>
          <w:szCs w:val="24"/>
        </w:rPr>
        <w:t>, produkt ICT, usługa ICT</w:t>
      </w:r>
    </w:p>
    <w:p w14:paraId="5A569856" w14:textId="683B90B7" w:rsidR="00174715" w:rsidRPr="00833C88" w:rsidRDefault="00174715" w:rsidP="00403E8E">
      <w:pPr>
        <w:spacing w:line="360" w:lineRule="auto"/>
        <w:jc w:val="both"/>
        <w:rPr>
          <w:rFonts w:cs="Times New Roman"/>
          <w:sz w:val="24"/>
          <w:szCs w:val="24"/>
        </w:rPr>
      </w:pPr>
      <w:r w:rsidRPr="00833C88">
        <w:rPr>
          <w:rFonts w:cs="Times New Roman"/>
          <w:sz w:val="24"/>
          <w:szCs w:val="24"/>
        </w:rPr>
        <w:t xml:space="preserve">Wprowadzone zostały pojęcia produktu ICT, usługi ICT oraz procesu ICT. </w:t>
      </w:r>
      <w:r w:rsidR="00322ECA" w:rsidRPr="00833C88">
        <w:rPr>
          <w:rFonts w:cs="Times New Roman"/>
          <w:sz w:val="24"/>
          <w:szCs w:val="24"/>
        </w:rPr>
        <w:t>Projekt w tym zakresie wprowadza odwołanie dynamiczne do definicji tych pojęć zawarty w akcie o</w:t>
      </w:r>
      <w:r w:rsidR="009767F5" w:rsidRPr="00833C88">
        <w:rPr>
          <w:rFonts w:cs="Times New Roman"/>
          <w:sz w:val="24"/>
          <w:szCs w:val="24"/>
        </w:rPr>
        <w:t> </w:t>
      </w:r>
      <w:r w:rsidR="00322ECA" w:rsidRPr="00833C88">
        <w:rPr>
          <w:rFonts w:cs="Times New Roman"/>
          <w:sz w:val="24"/>
          <w:szCs w:val="24"/>
        </w:rPr>
        <w:t>cyberbezpieczeństwie.</w:t>
      </w:r>
      <w:r w:rsidRPr="00833C88">
        <w:rPr>
          <w:rFonts w:cs="Times New Roman"/>
          <w:sz w:val="24"/>
          <w:szCs w:val="24"/>
        </w:rPr>
        <w:t xml:space="preserve"> Produkt oznacza „element lub grupę elementów systemów informacyjnych”. Będzie więc obejmował praktycznie wszystkie przypadki oprogramowania oraz urządzeń. Usługi ICT to wszelkie działania związane z przetwarzaniem informacji za pośrednictwem systemów informacyjnych. Proces ICT oznacza „zestaw czynności wykonywanych w celu projektowania, budowy, rozwijania, dostarczania lub utrzymywania produktów ICT lub usług ICT”. Są to więc wszelkiego rodzaju działania związane z</w:t>
      </w:r>
      <w:r w:rsidR="009767F5" w:rsidRPr="00833C88">
        <w:rPr>
          <w:rFonts w:cs="Times New Roman"/>
          <w:sz w:val="24"/>
          <w:szCs w:val="24"/>
        </w:rPr>
        <w:t> </w:t>
      </w:r>
      <w:r w:rsidRPr="00833C88">
        <w:rPr>
          <w:rFonts w:cs="Times New Roman"/>
          <w:sz w:val="24"/>
          <w:szCs w:val="24"/>
        </w:rPr>
        <w:t>tworzeniem systemów informacyjnych i ich bieżącym utrzymaniem.</w:t>
      </w:r>
    </w:p>
    <w:p w14:paraId="3323355E" w14:textId="7F3DE495" w:rsidR="00C8778F" w:rsidRPr="00833C88" w:rsidRDefault="001F02D6" w:rsidP="00533D2A">
      <w:pPr>
        <w:pStyle w:val="Nagwek4"/>
        <w:numPr>
          <w:ilvl w:val="0"/>
          <w:numId w:val="0"/>
        </w:numPr>
        <w:ind w:left="720"/>
        <w:rPr>
          <w:rFonts w:cs="Times New Roman"/>
          <w:sz w:val="24"/>
          <w:szCs w:val="24"/>
        </w:rPr>
      </w:pPr>
      <w:r w:rsidRPr="00833C88">
        <w:rPr>
          <w:rFonts w:cs="Times New Roman"/>
          <w:sz w:val="24"/>
          <w:szCs w:val="24"/>
        </w:rPr>
        <w:t>3</w:t>
      </w:r>
      <w:r w:rsidR="00D23A47" w:rsidRPr="00833C88">
        <w:rPr>
          <w:rFonts w:cs="Times New Roman"/>
          <w:sz w:val="24"/>
          <w:szCs w:val="24"/>
        </w:rPr>
        <w:t>4</w:t>
      </w:r>
      <w:r w:rsidRPr="00833C88">
        <w:rPr>
          <w:rFonts w:cs="Times New Roman"/>
          <w:sz w:val="24"/>
          <w:szCs w:val="24"/>
        </w:rPr>
        <w:t xml:space="preserve">) </w:t>
      </w:r>
      <w:r w:rsidR="00C8778F" w:rsidRPr="00833C88">
        <w:rPr>
          <w:rFonts w:cs="Times New Roman"/>
          <w:sz w:val="24"/>
          <w:szCs w:val="24"/>
        </w:rPr>
        <w:t>Rejestr nazw domen najwyższego poziomu</w:t>
      </w:r>
      <w:r w:rsidR="00987847" w:rsidRPr="00833C88">
        <w:rPr>
          <w:rFonts w:cs="Times New Roman"/>
          <w:sz w:val="24"/>
          <w:szCs w:val="24"/>
        </w:rPr>
        <w:t xml:space="preserve"> (TLD)</w:t>
      </w:r>
    </w:p>
    <w:p w14:paraId="6F9B7DD1" w14:textId="72738C53" w:rsidR="00A42CE4" w:rsidRPr="00833C88" w:rsidRDefault="003119CB" w:rsidP="0029004E">
      <w:pPr>
        <w:spacing w:line="360" w:lineRule="auto"/>
        <w:jc w:val="both"/>
        <w:rPr>
          <w:rFonts w:cs="Times New Roman"/>
          <w:sz w:val="24"/>
          <w:szCs w:val="24"/>
        </w:rPr>
      </w:pPr>
      <w:r w:rsidRPr="00833C88">
        <w:rPr>
          <w:rFonts w:cs="Times New Roman"/>
          <w:sz w:val="24"/>
          <w:szCs w:val="24"/>
        </w:rPr>
        <w:t>Domeny najwyższego poziomu, czyli takie nad którymi nie ma już wyższej domeny, są tworzone przez amerykańską organizację ICANN</w:t>
      </w:r>
      <w:r w:rsidR="003C5402" w:rsidRPr="00833C88">
        <w:rPr>
          <w:rFonts w:cs="Times New Roman"/>
          <w:sz w:val="24"/>
          <w:szCs w:val="24"/>
        </w:rPr>
        <w:t xml:space="preserve"> (Internet Corporation for </w:t>
      </w:r>
      <w:proofErr w:type="spellStart"/>
      <w:r w:rsidR="003C5402" w:rsidRPr="00833C88">
        <w:rPr>
          <w:rFonts w:cs="Times New Roman"/>
          <w:sz w:val="24"/>
          <w:szCs w:val="24"/>
        </w:rPr>
        <w:t>Assigned</w:t>
      </w:r>
      <w:proofErr w:type="spellEnd"/>
      <w:r w:rsidR="003C5402" w:rsidRPr="00833C88">
        <w:rPr>
          <w:rFonts w:cs="Times New Roman"/>
          <w:sz w:val="24"/>
          <w:szCs w:val="24"/>
        </w:rPr>
        <w:t xml:space="preserve"> </w:t>
      </w:r>
      <w:proofErr w:type="spellStart"/>
      <w:r w:rsidR="003C5402" w:rsidRPr="00833C88">
        <w:rPr>
          <w:rFonts w:cs="Times New Roman"/>
          <w:sz w:val="24"/>
          <w:szCs w:val="24"/>
        </w:rPr>
        <w:t>Names</w:t>
      </w:r>
      <w:proofErr w:type="spellEnd"/>
      <w:r w:rsidR="003C5402" w:rsidRPr="00833C88">
        <w:rPr>
          <w:rFonts w:cs="Times New Roman"/>
          <w:sz w:val="24"/>
          <w:szCs w:val="24"/>
        </w:rPr>
        <w:t xml:space="preserve"> and </w:t>
      </w:r>
      <w:proofErr w:type="spellStart"/>
      <w:r w:rsidR="003C5402" w:rsidRPr="00833C88">
        <w:rPr>
          <w:rFonts w:cs="Times New Roman"/>
          <w:sz w:val="24"/>
          <w:szCs w:val="24"/>
        </w:rPr>
        <w:t>Numbers</w:t>
      </w:r>
      <w:proofErr w:type="spellEnd"/>
      <w:r w:rsidR="003C5402" w:rsidRPr="00833C88">
        <w:rPr>
          <w:rFonts w:cs="Times New Roman"/>
          <w:sz w:val="24"/>
          <w:szCs w:val="24"/>
        </w:rPr>
        <w:t xml:space="preserve">) oraz zależną od niej </w:t>
      </w:r>
      <w:r w:rsidR="007F6942" w:rsidRPr="00833C88">
        <w:rPr>
          <w:rFonts w:cs="Times New Roman"/>
          <w:sz w:val="24"/>
          <w:szCs w:val="24"/>
        </w:rPr>
        <w:t>IANA. Domeną najwyższego poziomu jest np. domena .</w:t>
      </w:r>
      <w:proofErr w:type="spellStart"/>
      <w:r w:rsidR="007F6942" w:rsidRPr="00833C88">
        <w:rPr>
          <w:rFonts w:cs="Times New Roman"/>
          <w:sz w:val="24"/>
          <w:szCs w:val="24"/>
        </w:rPr>
        <w:t>pl</w:t>
      </w:r>
      <w:proofErr w:type="spellEnd"/>
      <w:r w:rsidR="004241E8" w:rsidRPr="00833C88">
        <w:rPr>
          <w:rFonts w:cs="Times New Roman"/>
          <w:sz w:val="24"/>
          <w:szCs w:val="24"/>
        </w:rPr>
        <w:t>, czy .com.</w:t>
      </w:r>
      <w:r w:rsidR="001F75B4" w:rsidRPr="00833C88">
        <w:rPr>
          <w:rFonts w:cs="Times New Roman"/>
          <w:sz w:val="24"/>
          <w:szCs w:val="24"/>
        </w:rPr>
        <w:t xml:space="preserve"> Domenami najwyższego poziomu (</w:t>
      </w:r>
      <w:proofErr w:type="spellStart"/>
      <w:r w:rsidR="001F75B4" w:rsidRPr="00833C88">
        <w:rPr>
          <w:rFonts w:cs="Times New Roman"/>
          <w:sz w:val="24"/>
          <w:szCs w:val="24"/>
        </w:rPr>
        <w:t>TLD</w:t>
      </w:r>
      <w:proofErr w:type="spellEnd"/>
      <w:r w:rsidR="001F75B4" w:rsidRPr="00833C88">
        <w:rPr>
          <w:rFonts w:cs="Times New Roman"/>
          <w:sz w:val="24"/>
          <w:szCs w:val="24"/>
        </w:rPr>
        <w:t xml:space="preserve"> – top </w:t>
      </w:r>
      <w:proofErr w:type="spellStart"/>
      <w:r w:rsidR="001F75B4" w:rsidRPr="00833C88">
        <w:rPr>
          <w:rFonts w:cs="Times New Roman"/>
          <w:sz w:val="24"/>
          <w:szCs w:val="24"/>
        </w:rPr>
        <w:t>level</w:t>
      </w:r>
      <w:proofErr w:type="spellEnd"/>
      <w:r w:rsidR="001F75B4" w:rsidRPr="00833C88">
        <w:rPr>
          <w:rFonts w:cs="Times New Roman"/>
          <w:sz w:val="24"/>
          <w:szCs w:val="24"/>
        </w:rPr>
        <w:t xml:space="preserve"> </w:t>
      </w:r>
      <w:proofErr w:type="spellStart"/>
      <w:r w:rsidR="001F75B4" w:rsidRPr="00833C88">
        <w:rPr>
          <w:rFonts w:cs="Times New Roman"/>
          <w:sz w:val="24"/>
          <w:szCs w:val="24"/>
        </w:rPr>
        <w:t>domain</w:t>
      </w:r>
      <w:proofErr w:type="spellEnd"/>
      <w:r w:rsidR="001F75B4" w:rsidRPr="00833C88">
        <w:rPr>
          <w:rFonts w:cs="Times New Roman"/>
          <w:sz w:val="24"/>
          <w:szCs w:val="24"/>
        </w:rPr>
        <w:t xml:space="preserve">) zarządzają rejestry nazw domen najwyższego poziomu, które podpisały stosowne porozumienie z </w:t>
      </w:r>
      <w:r w:rsidR="007D1BF0" w:rsidRPr="00833C88">
        <w:rPr>
          <w:rFonts w:cs="Times New Roman"/>
          <w:sz w:val="24"/>
          <w:szCs w:val="24"/>
        </w:rPr>
        <w:t xml:space="preserve">ICANN. Podkreślić należy, że </w:t>
      </w:r>
      <w:r w:rsidR="00AE6B1E" w:rsidRPr="00833C88">
        <w:rPr>
          <w:rFonts w:cs="Times New Roman"/>
          <w:sz w:val="24"/>
          <w:szCs w:val="24"/>
        </w:rPr>
        <w:t xml:space="preserve">rejestr nazw domen najwyższego poziomu jest jednostką organizacyjną, nie jest to rejestr publiczny w rozumieniu ustawy o informatyzacji. </w:t>
      </w:r>
      <w:r w:rsidR="00273C97" w:rsidRPr="00833C88">
        <w:rPr>
          <w:rFonts w:cs="Times New Roman"/>
          <w:sz w:val="24"/>
          <w:szCs w:val="24"/>
        </w:rPr>
        <w:t>W Polsce rejestrem nazw domen najwyższego poziomu</w:t>
      </w:r>
      <w:r w:rsidR="00AF1023" w:rsidRPr="00833C88">
        <w:rPr>
          <w:rFonts w:cs="Times New Roman"/>
          <w:sz w:val="24"/>
          <w:szCs w:val="24"/>
        </w:rPr>
        <w:t xml:space="preserve"> dla domeny .</w:t>
      </w:r>
      <w:proofErr w:type="spellStart"/>
      <w:r w:rsidR="00AF1023" w:rsidRPr="00833C88">
        <w:rPr>
          <w:rFonts w:cs="Times New Roman"/>
          <w:sz w:val="24"/>
          <w:szCs w:val="24"/>
        </w:rPr>
        <w:t>pl</w:t>
      </w:r>
      <w:proofErr w:type="spellEnd"/>
      <w:r w:rsidR="00273C97" w:rsidRPr="00833C88">
        <w:rPr>
          <w:rFonts w:cs="Times New Roman"/>
          <w:sz w:val="24"/>
          <w:szCs w:val="24"/>
        </w:rPr>
        <w:t xml:space="preserve"> jest Naukowa i Akademicka Sieć Komputerowa – Państwowy Instytut Badawczy</w:t>
      </w:r>
      <w:r w:rsidR="00F05B5B" w:rsidRPr="00833C88">
        <w:rPr>
          <w:rFonts w:cs="Times New Roman"/>
          <w:sz w:val="24"/>
          <w:szCs w:val="24"/>
        </w:rPr>
        <w:t>.</w:t>
      </w:r>
    </w:p>
    <w:p w14:paraId="12764552" w14:textId="16340034" w:rsidR="00A42CE4" w:rsidRPr="00833C88" w:rsidRDefault="001F02D6" w:rsidP="00533D2A">
      <w:pPr>
        <w:pStyle w:val="Nagwek4"/>
        <w:numPr>
          <w:ilvl w:val="0"/>
          <w:numId w:val="0"/>
        </w:numPr>
        <w:ind w:left="720"/>
        <w:rPr>
          <w:rFonts w:cs="Times New Roman"/>
          <w:sz w:val="24"/>
          <w:szCs w:val="24"/>
        </w:rPr>
      </w:pPr>
      <w:r w:rsidRPr="00833C88">
        <w:rPr>
          <w:rFonts w:cs="Times New Roman"/>
          <w:sz w:val="24"/>
          <w:szCs w:val="24"/>
        </w:rPr>
        <w:t>3</w:t>
      </w:r>
      <w:r w:rsidR="00D23A47" w:rsidRPr="00833C88">
        <w:rPr>
          <w:rFonts w:cs="Times New Roman"/>
          <w:sz w:val="24"/>
          <w:szCs w:val="24"/>
        </w:rPr>
        <w:t>5</w:t>
      </w:r>
      <w:r w:rsidRPr="00833C88">
        <w:rPr>
          <w:rFonts w:cs="Times New Roman"/>
          <w:sz w:val="24"/>
          <w:szCs w:val="24"/>
        </w:rPr>
        <w:t xml:space="preserve">) </w:t>
      </w:r>
      <w:r w:rsidR="00A42CE4" w:rsidRPr="00833C88">
        <w:rPr>
          <w:rFonts w:cs="Times New Roman"/>
          <w:sz w:val="24"/>
          <w:szCs w:val="24"/>
        </w:rPr>
        <w:t>System informacyjny</w:t>
      </w:r>
    </w:p>
    <w:p w14:paraId="3B7098A1" w14:textId="6F57B2E1" w:rsidR="00423977" w:rsidRPr="00833C88" w:rsidRDefault="00423977" w:rsidP="0029004E">
      <w:pPr>
        <w:spacing w:line="360" w:lineRule="auto"/>
        <w:jc w:val="both"/>
        <w:rPr>
          <w:rFonts w:cs="Times New Roman"/>
          <w:sz w:val="24"/>
          <w:szCs w:val="24"/>
        </w:rPr>
      </w:pPr>
      <w:r w:rsidRPr="00833C88">
        <w:rPr>
          <w:rFonts w:cs="Times New Roman"/>
          <w:sz w:val="24"/>
          <w:szCs w:val="24"/>
        </w:rPr>
        <w:t xml:space="preserve">Dotychczasową definicję systemu informacyjnego uzupełnia się </w:t>
      </w:r>
      <w:r w:rsidR="00601933" w:rsidRPr="00833C88">
        <w:rPr>
          <w:rFonts w:cs="Times New Roman"/>
          <w:sz w:val="24"/>
          <w:szCs w:val="24"/>
        </w:rPr>
        <w:t>o </w:t>
      </w:r>
      <w:r w:rsidRPr="00833C88">
        <w:rPr>
          <w:rFonts w:cs="Times New Roman"/>
          <w:sz w:val="24"/>
          <w:szCs w:val="24"/>
        </w:rPr>
        <w:t xml:space="preserve">wskazanie, że może to być </w:t>
      </w:r>
      <w:r w:rsidR="0089362E" w:rsidRPr="00833C88">
        <w:rPr>
          <w:rFonts w:cs="Times New Roman"/>
          <w:sz w:val="24"/>
          <w:szCs w:val="24"/>
        </w:rPr>
        <w:t>również urządzenie lub grup</w:t>
      </w:r>
      <w:r w:rsidR="00D30396" w:rsidRPr="00833C88">
        <w:rPr>
          <w:rFonts w:cs="Times New Roman"/>
          <w:sz w:val="24"/>
          <w:szCs w:val="24"/>
        </w:rPr>
        <w:t>a</w:t>
      </w:r>
      <w:r w:rsidR="0089362E" w:rsidRPr="00833C88">
        <w:rPr>
          <w:rFonts w:cs="Times New Roman"/>
          <w:sz w:val="24"/>
          <w:szCs w:val="24"/>
        </w:rPr>
        <w:t xml:space="preserve"> połączonych urządzeń elektrycznych lub elektronicznych </w:t>
      </w:r>
      <w:r w:rsidR="0089362E" w:rsidRPr="00833C88">
        <w:rPr>
          <w:rFonts w:cs="Times New Roman"/>
          <w:sz w:val="24"/>
          <w:szCs w:val="24"/>
        </w:rPr>
        <w:lastRenderedPageBreak/>
        <w:t>i</w:t>
      </w:r>
      <w:r w:rsidR="00CD084F" w:rsidRPr="00833C88">
        <w:rPr>
          <w:rFonts w:cs="Times New Roman"/>
          <w:sz w:val="24"/>
          <w:szCs w:val="24"/>
        </w:rPr>
        <w:t> </w:t>
      </w:r>
      <w:r w:rsidR="0089362E" w:rsidRPr="00833C88">
        <w:rPr>
          <w:rFonts w:cs="Times New Roman"/>
          <w:sz w:val="24"/>
          <w:szCs w:val="24"/>
        </w:rPr>
        <w:t xml:space="preserve">oprogramowania zaprogramowanych </w:t>
      </w:r>
      <w:r w:rsidR="00601933" w:rsidRPr="00833C88">
        <w:rPr>
          <w:rFonts w:cs="Times New Roman"/>
          <w:sz w:val="24"/>
          <w:szCs w:val="24"/>
        </w:rPr>
        <w:t>w </w:t>
      </w:r>
      <w:r w:rsidR="0089362E" w:rsidRPr="00833C88">
        <w:rPr>
          <w:rFonts w:cs="Times New Roman"/>
          <w:sz w:val="24"/>
          <w:szCs w:val="24"/>
        </w:rPr>
        <w:t xml:space="preserve">celu przetwarzania danych. </w:t>
      </w:r>
      <w:r w:rsidR="00601933" w:rsidRPr="00833C88">
        <w:rPr>
          <w:rFonts w:cs="Times New Roman"/>
          <w:sz w:val="24"/>
          <w:szCs w:val="24"/>
        </w:rPr>
        <w:t>W </w:t>
      </w:r>
      <w:r w:rsidR="0089362E" w:rsidRPr="00833C88">
        <w:rPr>
          <w:rFonts w:cs="Times New Roman"/>
          <w:sz w:val="24"/>
          <w:szCs w:val="24"/>
        </w:rPr>
        <w:t xml:space="preserve">ten sposób projektodawca chce </w:t>
      </w:r>
      <w:r w:rsidR="00A952AE" w:rsidRPr="00833C88">
        <w:rPr>
          <w:rFonts w:cs="Times New Roman"/>
          <w:sz w:val="24"/>
          <w:szCs w:val="24"/>
        </w:rPr>
        <w:t>wyeliminować</w:t>
      </w:r>
      <w:r w:rsidR="0089362E" w:rsidRPr="00833C88">
        <w:rPr>
          <w:rFonts w:cs="Times New Roman"/>
          <w:sz w:val="24"/>
          <w:szCs w:val="24"/>
        </w:rPr>
        <w:t xml:space="preserve"> wątpliwości</w:t>
      </w:r>
      <w:r w:rsidR="00A952AE" w:rsidRPr="00833C88">
        <w:rPr>
          <w:rFonts w:cs="Times New Roman"/>
          <w:sz w:val="24"/>
          <w:szCs w:val="24"/>
        </w:rPr>
        <w:t>,</w:t>
      </w:r>
      <w:r w:rsidR="0089362E" w:rsidRPr="00833C88">
        <w:rPr>
          <w:rFonts w:cs="Times New Roman"/>
          <w:sz w:val="24"/>
          <w:szCs w:val="24"/>
        </w:rPr>
        <w:t xml:space="preserve"> co do tego czy </w:t>
      </w:r>
      <w:r w:rsidR="00BA6B9B" w:rsidRPr="00833C88">
        <w:rPr>
          <w:rFonts w:cs="Times New Roman"/>
          <w:sz w:val="24"/>
          <w:szCs w:val="24"/>
        </w:rPr>
        <w:t>systemy OT mieszczą się w</w:t>
      </w:r>
      <w:r w:rsidR="00704668" w:rsidRPr="00833C88">
        <w:rPr>
          <w:rFonts w:cs="Times New Roman"/>
          <w:sz w:val="24"/>
          <w:szCs w:val="24"/>
        </w:rPr>
        <w:t> </w:t>
      </w:r>
      <w:r w:rsidR="00BA6B9B" w:rsidRPr="00833C88">
        <w:rPr>
          <w:rFonts w:cs="Times New Roman"/>
          <w:sz w:val="24"/>
          <w:szCs w:val="24"/>
        </w:rPr>
        <w:t>ramach obecnej definicji systemu informacyjnego czy nie.</w:t>
      </w:r>
    </w:p>
    <w:p w14:paraId="7BFE7788" w14:textId="2F3DE21C" w:rsidR="00C80877" w:rsidRPr="00833C88" w:rsidRDefault="001F02D6" w:rsidP="00533D2A">
      <w:pPr>
        <w:pStyle w:val="Nagwek4"/>
        <w:numPr>
          <w:ilvl w:val="0"/>
          <w:numId w:val="0"/>
        </w:numPr>
        <w:ind w:left="720"/>
        <w:rPr>
          <w:rFonts w:cs="Times New Roman"/>
          <w:sz w:val="24"/>
          <w:szCs w:val="24"/>
        </w:rPr>
      </w:pPr>
      <w:r w:rsidRPr="00833C88">
        <w:rPr>
          <w:rFonts w:cs="Times New Roman"/>
          <w:sz w:val="24"/>
          <w:szCs w:val="24"/>
        </w:rPr>
        <w:t>3</w:t>
      </w:r>
      <w:r w:rsidR="00D23A47" w:rsidRPr="00833C88">
        <w:rPr>
          <w:rFonts w:cs="Times New Roman"/>
          <w:sz w:val="24"/>
          <w:szCs w:val="24"/>
        </w:rPr>
        <w:t>6</w:t>
      </w:r>
      <w:r w:rsidRPr="00833C88">
        <w:rPr>
          <w:rFonts w:cs="Times New Roman"/>
          <w:sz w:val="24"/>
          <w:szCs w:val="24"/>
        </w:rPr>
        <w:t xml:space="preserve">) </w:t>
      </w:r>
      <w:r w:rsidR="00CA60BE" w:rsidRPr="00833C88">
        <w:rPr>
          <w:rFonts w:cs="Times New Roman"/>
          <w:sz w:val="24"/>
          <w:szCs w:val="24"/>
        </w:rPr>
        <w:t>Właściwy organ w rozumieniu rozporządzenia 2022/2554</w:t>
      </w:r>
    </w:p>
    <w:p w14:paraId="3DFD39CD" w14:textId="3457CC45" w:rsidR="00CA60BE" w:rsidRPr="00833C88" w:rsidRDefault="00CA60BE" w:rsidP="00403E8E">
      <w:pPr>
        <w:spacing w:line="360" w:lineRule="auto"/>
        <w:jc w:val="both"/>
        <w:rPr>
          <w:rFonts w:cs="Times New Roman"/>
          <w:sz w:val="24"/>
          <w:szCs w:val="24"/>
        </w:rPr>
      </w:pPr>
      <w:r w:rsidRPr="00833C88">
        <w:rPr>
          <w:rFonts w:cs="Times New Roman"/>
          <w:sz w:val="24"/>
          <w:szCs w:val="24"/>
        </w:rPr>
        <w:t>Projekt odnosi się do definicji właś</w:t>
      </w:r>
      <w:r w:rsidR="006B093E" w:rsidRPr="00833C88">
        <w:rPr>
          <w:rFonts w:cs="Times New Roman"/>
          <w:sz w:val="24"/>
          <w:szCs w:val="24"/>
        </w:rPr>
        <w:t xml:space="preserve">ciwego organu w rozumieniu rozporządzenia DORA. Zgodnie z ustawą </w:t>
      </w:r>
      <w:r w:rsidR="0009246F" w:rsidRPr="00833C88">
        <w:rPr>
          <w:rFonts w:cs="Times New Roman"/>
          <w:sz w:val="24"/>
          <w:szCs w:val="24"/>
        </w:rPr>
        <w:t>z dnia 25 czerwca 2025 r. o zmianie niektórych ustaw w związku z</w:t>
      </w:r>
      <w:r w:rsidR="009767F5" w:rsidRPr="00833C88">
        <w:rPr>
          <w:rFonts w:cs="Times New Roman"/>
          <w:sz w:val="24"/>
          <w:szCs w:val="24"/>
        </w:rPr>
        <w:t> </w:t>
      </w:r>
      <w:r w:rsidR="0009246F" w:rsidRPr="00833C88">
        <w:rPr>
          <w:rFonts w:cs="Times New Roman"/>
          <w:sz w:val="24"/>
          <w:szCs w:val="24"/>
        </w:rPr>
        <w:t>zapewnieniem operacyjnej odporności cyfrowej sektora finansowego oraz emitowaniem europejskich zielonych obligacji</w:t>
      </w:r>
      <w:r w:rsidR="00962428" w:rsidRPr="00833C88">
        <w:rPr>
          <w:rFonts w:cs="Times New Roman"/>
          <w:sz w:val="24"/>
          <w:szCs w:val="24"/>
        </w:rPr>
        <w:t xml:space="preserve"> (Dz. U. poz. 1069)</w:t>
      </w:r>
      <w:r w:rsidR="001F02D6" w:rsidRPr="00833C88">
        <w:rPr>
          <w:rFonts w:cs="Times New Roman"/>
          <w:sz w:val="24"/>
          <w:szCs w:val="24"/>
        </w:rPr>
        <w:t>,</w:t>
      </w:r>
      <w:r w:rsidR="00752193" w:rsidRPr="00833C88">
        <w:rPr>
          <w:rFonts w:cs="Times New Roman"/>
          <w:sz w:val="24"/>
          <w:szCs w:val="24"/>
        </w:rPr>
        <w:t xml:space="preserve"> która znowelizowała ustawy dotyczące rynku finansowego</w:t>
      </w:r>
      <w:r w:rsidR="0009246F" w:rsidRPr="00833C88">
        <w:rPr>
          <w:rFonts w:cs="Times New Roman"/>
          <w:sz w:val="24"/>
          <w:szCs w:val="24"/>
        </w:rPr>
        <w:t xml:space="preserve"> tym właściwym organem będzie Komisja Nadzoru Finansowego.</w:t>
      </w:r>
    </w:p>
    <w:p w14:paraId="46CA1CFC" w14:textId="276FBDDC" w:rsidR="007C53E2" w:rsidRPr="00833C88" w:rsidRDefault="00962428" w:rsidP="00533D2A">
      <w:pPr>
        <w:pStyle w:val="Nagwek4"/>
        <w:numPr>
          <w:ilvl w:val="0"/>
          <w:numId w:val="0"/>
        </w:numPr>
        <w:ind w:left="720"/>
        <w:rPr>
          <w:rFonts w:cs="Times New Roman"/>
          <w:sz w:val="24"/>
          <w:szCs w:val="24"/>
        </w:rPr>
      </w:pPr>
      <w:r w:rsidRPr="00833C88">
        <w:rPr>
          <w:rFonts w:cs="Times New Roman"/>
          <w:sz w:val="24"/>
          <w:szCs w:val="24"/>
        </w:rPr>
        <w:t>3</w:t>
      </w:r>
      <w:r w:rsidR="00D23A47" w:rsidRPr="00833C88">
        <w:rPr>
          <w:rFonts w:cs="Times New Roman"/>
          <w:sz w:val="24"/>
          <w:szCs w:val="24"/>
        </w:rPr>
        <w:t>7</w:t>
      </w:r>
      <w:r w:rsidRPr="00833C88">
        <w:rPr>
          <w:rFonts w:cs="Times New Roman"/>
          <w:sz w:val="24"/>
          <w:szCs w:val="24"/>
        </w:rPr>
        <w:t xml:space="preserve">) </w:t>
      </w:r>
      <w:r w:rsidR="007C53E2" w:rsidRPr="00833C88">
        <w:rPr>
          <w:rFonts w:cs="Times New Roman"/>
          <w:sz w:val="24"/>
          <w:szCs w:val="24"/>
        </w:rPr>
        <w:t>Uchylenie definicji usługi kluczowej i zagrożenia cyberbezpieczeństwa</w:t>
      </w:r>
    </w:p>
    <w:p w14:paraId="38B07B6F" w14:textId="37655DBE" w:rsidR="00922DE1" w:rsidRPr="00833C88" w:rsidRDefault="00922DE1" w:rsidP="0029004E">
      <w:pPr>
        <w:spacing w:line="360" w:lineRule="auto"/>
        <w:jc w:val="both"/>
        <w:rPr>
          <w:rFonts w:cs="Times New Roman"/>
          <w:sz w:val="24"/>
          <w:szCs w:val="24"/>
        </w:rPr>
      </w:pPr>
      <w:r w:rsidRPr="00833C88">
        <w:rPr>
          <w:rFonts w:cs="Times New Roman"/>
          <w:sz w:val="24"/>
          <w:szCs w:val="24"/>
        </w:rPr>
        <w:t xml:space="preserve">Uchyla się </w:t>
      </w:r>
      <w:r w:rsidR="004B4307" w:rsidRPr="00833C88">
        <w:rPr>
          <w:rFonts w:cs="Times New Roman"/>
          <w:sz w:val="24"/>
          <w:szCs w:val="24"/>
        </w:rPr>
        <w:t>definicję</w:t>
      </w:r>
      <w:r w:rsidRPr="00833C88">
        <w:rPr>
          <w:rFonts w:cs="Times New Roman"/>
          <w:sz w:val="24"/>
          <w:szCs w:val="24"/>
        </w:rPr>
        <w:t xml:space="preserve"> usługi kluczowej</w:t>
      </w:r>
      <w:r w:rsidR="00D30396" w:rsidRPr="00833C88">
        <w:rPr>
          <w:rFonts w:cs="Times New Roman"/>
          <w:sz w:val="24"/>
          <w:szCs w:val="24"/>
        </w:rPr>
        <w:t>,</w:t>
      </w:r>
      <w:r w:rsidRPr="00833C88">
        <w:rPr>
          <w:rFonts w:cs="Times New Roman"/>
          <w:sz w:val="24"/>
          <w:szCs w:val="24"/>
        </w:rPr>
        <w:t xml:space="preserve"> ponieważ na gruncie </w:t>
      </w:r>
      <w:r w:rsidR="00CD084F" w:rsidRPr="00833C88">
        <w:rPr>
          <w:rFonts w:cs="Times New Roman"/>
          <w:sz w:val="24"/>
          <w:szCs w:val="24"/>
        </w:rPr>
        <w:t xml:space="preserve">dyrektywy </w:t>
      </w:r>
      <w:r w:rsidRPr="00833C88">
        <w:rPr>
          <w:rFonts w:cs="Times New Roman"/>
          <w:sz w:val="24"/>
          <w:szCs w:val="24"/>
        </w:rPr>
        <w:t>NIS 2 nie występuje to</w:t>
      </w:r>
      <w:r w:rsidR="00CD084F" w:rsidRPr="00833C88">
        <w:rPr>
          <w:rFonts w:cs="Times New Roman"/>
          <w:sz w:val="24"/>
          <w:szCs w:val="24"/>
        </w:rPr>
        <w:t> </w:t>
      </w:r>
      <w:r w:rsidRPr="00833C88">
        <w:rPr>
          <w:rFonts w:cs="Times New Roman"/>
          <w:sz w:val="24"/>
          <w:szCs w:val="24"/>
        </w:rPr>
        <w:t>pojęcie. Zostało ono bowiem przeniesione do dyrektywy CER.</w:t>
      </w:r>
    </w:p>
    <w:p w14:paraId="42FD744E" w14:textId="600C08BE" w:rsidR="00922DE1" w:rsidRPr="00833C88" w:rsidRDefault="008E7E2D" w:rsidP="0029004E">
      <w:pPr>
        <w:spacing w:line="360" w:lineRule="auto"/>
        <w:jc w:val="both"/>
        <w:rPr>
          <w:rFonts w:cs="Times New Roman"/>
          <w:sz w:val="24"/>
          <w:szCs w:val="24"/>
        </w:rPr>
      </w:pPr>
      <w:r w:rsidRPr="00833C88">
        <w:rPr>
          <w:rFonts w:cs="Times New Roman"/>
          <w:sz w:val="24"/>
          <w:szCs w:val="24"/>
        </w:rPr>
        <w:t xml:space="preserve">Definicja zagrożenia cyberbezpieczeństwa stała się zbędna </w:t>
      </w:r>
      <w:r w:rsidR="00601933" w:rsidRPr="00833C88">
        <w:rPr>
          <w:rFonts w:cs="Times New Roman"/>
          <w:sz w:val="24"/>
          <w:szCs w:val="24"/>
        </w:rPr>
        <w:t>w </w:t>
      </w:r>
      <w:r w:rsidRPr="00833C88">
        <w:rPr>
          <w:rFonts w:cs="Times New Roman"/>
          <w:sz w:val="24"/>
          <w:szCs w:val="24"/>
        </w:rPr>
        <w:t xml:space="preserve">związku </w:t>
      </w:r>
      <w:r w:rsidR="00601933" w:rsidRPr="00833C88">
        <w:rPr>
          <w:rFonts w:cs="Times New Roman"/>
          <w:sz w:val="24"/>
          <w:szCs w:val="24"/>
        </w:rPr>
        <w:t>z </w:t>
      </w:r>
      <w:r w:rsidRPr="00833C88">
        <w:rPr>
          <w:rFonts w:cs="Times New Roman"/>
          <w:sz w:val="24"/>
          <w:szCs w:val="24"/>
        </w:rPr>
        <w:t>dodanie</w:t>
      </w:r>
      <w:r w:rsidR="00AF1733" w:rsidRPr="00833C88">
        <w:rPr>
          <w:rFonts w:cs="Times New Roman"/>
          <w:sz w:val="24"/>
          <w:szCs w:val="24"/>
        </w:rPr>
        <w:t>m</w:t>
      </w:r>
      <w:r w:rsidRPr="00833C88">
        <w:rPr>
          <w:rFonts w:cs="Times New Roman"/>
          <w:sz w:val="24"/>
          <w:szCs w:val="24"/>
        </w:rPr>
        <w:t xml:space="preserve"> definicji </w:t>
      </w:r>
      <w:proofErr w:type="spellStart"/>
      <w:r w:rsidRPr="00833C88">
        <w:rPr>
          <w:rFonts w:cs="Times New Roman"/>
          <w:sz w:val="24"/>
          <w:szCs w:val="24"/>
        </w:rPr>
        <w:t>cyberzagrożenia</w:t>
      </w:r>
      <w:proofErr w:type="spellEnd"/>
      <w:r w:rsidRPr="00833C88">
        <w:rPr>
          <w:rFonts w:cs="Times New Roman"/>
          <w:sz w:val="24"/>
          <w:szCs w:val="24"/>
        </w:rPr>
        <w:t>, stąd należy ją usunąć.</w:t>
      </w:r>
    </w:p>
    <w:p w14:paraId="22107546" w14:textId="5E0516E8" w:rsidR="00975222" w:rsidRPr="00833C88" w:rsidDel="00AD78B2" w:rsidRDefault="00962428" w:rsidP="00533D2A">
      <w:pPr>
        <w:pStyle w:val="Nagwek4"/>
        <w:numPr>
          <w:ilvl w:val="0"/>
          <w:numId w:val="0"/>
        </w:numPr>
        <w:ind w:left="720"/>
        <w:rPr>
          <w:rFonts w:cs="Times New Roman"/>
          <w:sz w:val="24"/>
          <w:szCs w:val="24"/>
        </w:rPr>
      </w:pPr>
      <w:r w:rsidRPr="00833C88">
        <w:rPr>
          <w:rFonts w:cs="Times New Roman"/>
          <w:sz w:val="24"/>
          <w:szCs w:val="24"/>
        </w:rPr>
        <w:t>3</w:t>
      </w:r>
      <w:r w:rsidR="00D23A47" w:rsidRPr="00833C88">
        <w:rPr>
          <w:rFonts w:cs="Times New Roman"/>
          <w:sz w:val="24"/>
          <w:szCs w:val="24"/>
        </w:rPr>
        <w:t>8</w:t>
      </w:r>
      <w:r w:rsidRPr="00833C88">
        <w:rPr>
          <w:rFonts w:cs="Times New Roman"/>
          <w:sz w:val="24"/>
          <w:szCs w:val="24"/>
        </w:rPr>
        <w:t xml:space="preserve">) </w:t>
      </w:r>
      <w:r w:rsidR="00975222" w:rsidRPr="00833C88">
        <w:rPr>
          <w:rFonts w:cs="Times New Roman"/>
          <w:sz w:val="24"/>
          <w:szCs w:val="24"/>
        </w:rPr>
        <w:t>Usługi a zadania publiczne</w:t>
      </w:r>
    </w:p>
    <w:p w14:paraId="00B95F69" w14:textId="2AA6B525" w:rsidR="00321A7B" w:rsidRPr="00833C88" w:rsidRDefault="00321A7B" w:rsidP="0029004E">
      <w:pPr>
        <w:spacing w:line="360" w:lineRule="auto"/>
        <w:jc w:val="both"/>
        <w:rPr>
          <w:rFonts w:cs="Times New Roman"/>
          <w:sz w:val="24"/>
          <w:szCs w:val="24"/>
        </w:rPr>
      </w:pPr>
      <w:r w:rsidRPr="00833C88">
        <w:rPr>
          <w:rFonts w:cs="Times New Roman"/>
          <w:sz w:val="24"/>
          <w:szCs w:val="24"/>
        </w:rPr>
        <w:t>Dyrektywa NIS</w:t>
      </w:r>
      <w:r w:rsidR="00CD084F" w:rsidRPr="00833C88">
        <w:rPr>
          <w:rFonts w:cs="Times New Roman"/>
          <w:sz w:val="24"/>
          <w:szCs w:val="24"/>
        </w:rPr>
        <w:t xml:space="preserve"> </w:t>
      </w:r>
      <w:r w:rsidRPr="00833C88">
        <w:rPr>
          <w:rFonts w:cs="Times New Roman"/>
          <w:sz w:val="24"/>
          <w:szCs w:val="24"/>
        </w:rPr>
        <w:t xml:space="preserve">2 posługuje się pojęciem usług </w:t>
      </w:r>
      <w:r w:rsidR="00601933" w:rsidRPr="00833C88">
        <w:rPr>
          <w:rFonts w:cs="Times New Roman"/>
          <w:sz w:val="24"/>
          <w:szCs w:val="24"/>
        </w:rPr>
        <w:t>w </w:t>
      </w:r>
      <w:r w:rsidRPr="00833C88">
        <w:rPr>
          <w:rFonts w:cs="Times New Roman"/>
          <w:sz w:val="24"/>
          <w:szCs w:val="24"/>
        </w:rPr>
        <w:t xml:space="preserve">szerokim znaczeniu – odnosi się ona także do podmiotów publicznych. </w:t>
      </w:r>
      <w:r w:rsidR="00601933" w:rsidRPr="00833C88">
        <w:rPr>
          <w:rFonts w:cs="Times New Roman"/>
          <w:sz w:val="24"/>
          <w:szCs w:val="24"/>
        </w:rPr>
        <w:t>W </w:t>
      </w:r>
      <w:r w:rsidRPr="00833C88">
        <w:rPr>
          <w:rFonts w:cs="Times New Roman"/>
          <w:sz w:val="24"/>
          <w:szCs w:val="24"/>
        </w:rPr>
        <w:t xml:space="preserve">polskim systemie prawnym podmioty publiczne realizują zadania publiczne. Aby uniknąć wątpliwości </w:t>
      </w:r>
      <w:r w:rsidR="00601933" w:rsidRPr="00833C88">
        <w:rPr>
          <w:rFonts w:cs="Times New Roman"/>
          <w:sz w:val="24"/>
          <w:szCs w:val="24"/>
        </w:rPr>
        <w:t>w </w:t>
      </w:r>
      <w:r w:rsidRPr="00833C88">
        <w:rPr>
          <w:rFonts w:cs="Times New Roman"/>
          <w:sz w:val="24"/>
          <w:szCs w:val="24"/>
        </w:rPr>
        <w:t xml:space="preserve">przepisach ogólnych wskazuje się wprost, że </w:t>
      </w:r>
      <w:r w:rsidR="00601933" w:rsidRPr="00833C88">
        <w:rPr>
          <w:rFonts w:cs="Times New Roman"/>
          <w:sz w:val="24"/>
          <w:szCs w:val="24"/>
        </w:rPr>
        <w:t>w </w:t>
      </w:r>
      <w:r w:rsidR="00C20C12" w:rsidRPr="00833C88">
        <w:rPr>
          <w:rFonts w:cs="Times New Roman"/>
          <w:sz w:val="24"/>
          <w:szCs w:val="24"/>
        </w:rPr>
        <w:t xml:space="preserve">przypadku podmiotu publicznego pod pojęciem usługi rozumie się także zadanie publiczne realizowane przez ten podmiot. Oczywiście </w:t>
      </w:r>
      <w:r w:rsidR="00CD084F" w:rsidRPr="00833C88">
        <w:rPr>
          <w:rFonts w:cs="Times New Roman"/>
          <w:sz w:val="24"/>
          <w:szCs w:val="24"/>
        </w:rPr>
        <w:t>zdarza się</w:t>
      </w:r>
      <w:r w:rsidR="00C20C12" w:rsidRPr="00833C88">
        <w:rPr>
          <w:rFonts w:cs="Times New Roman"/>
          <w:sz w:val="24"/>
          <w:szCs w:val="24"/>
        </w:rPr>
        <w:t>, że podmiot publicz</w:t>
      </w:r>
      <w:r w:rsidR="004641B6" w:rsidRPr="00833C88">
        <w:rPr>
          <w:rFonts w:cs="Times New Roman"/>
          <w:sz w:val="24"/>
          <w:szCs w:val="24"/>
        </w:rPr>
        <w:t>ny</w:t>
      </w:r>
      <w:r w:rsidR="00C20C12" w:rsidRPr="00833C88">
        <w:rPr>
          <w:rFonts w:cs="Times New Roman"/>
          <w:sz w:val="24"/>
          <w:szCs w:val="24"/>
        </w:rPr>
        <w:t>, np. instytucja gospodarki budżetowej</w:t>
      </w:r>
      <w:r w:rsidR="000276D9" w:rsidRPr="00833C88">
        <w:rPr>
          <w:rFonts w:cs="Times New Roman"/>
          <w:sz w:val="24"/>
          <w:szCs w:val="24"/>
        </w:rPr>
        <w:t>,</w:t>
      </w:r>
      <w:r w:rsidR="00C20C12" w:rsidRPr="00833C88">
        <w:rPr>
          <w:rFonts w:cs="Times New Roman"/>
          <w:sz w:val="24"/>
          <w:szCs w:val="24"/>
        </w:rPr>
        <w:t xml:space="preserve"> świadczy komercyjne usługi, które nie są zadaniami publicznymi. Jednakże dla celów ustawy </w:t>
      </w:r>
      <w:r w:rsidR="00601933" w:rsidRPr="00833C88">
        <w:rPr>
          <w:rFonts w:cs="Times New Roman"/>
          <w:sz w:val="24"/>
          <w:szCs w:val="24"/>
        </w:rPr>
        <w:t>o </w:t>
      </w:r>
      <w:r w:rsidR="00A952AE" w:rsidRPr="00833C88">
        <w:rPr>
          <w:rFonts w:cs="Times New Roman"/>
          <w:sz w:val="24"/>
          <w:szCs w:val="24"/>
        </w:rPr>
        <w:t xml:space="preserve">KSC </w:t>
      </w:r>
      <w:r w:rsidR="00C20C12" w:rsidRPr="00833C88">
        <w:rPr>
          <w:rFonts w:cs="Times New Roman"/>
          <w:sz w:val="24"/>
          <w:szCs w:val="24"/>
        </w:rPr>
        <w:t xml:space="preserve">to uogólnienie jest konieczne, </w:t>
      </w:r>
      <w:r w:rsidR="00601933" w:rsidRPr="00833C88">
        <w:rPr>
          <w:rFonts w:cs="Times New Roman"/>
          <w:sz w:val="24"/>
          <w:szCs w:val="24"/>
        </w:rPr>
        <w:t>w </w:t>
      </w:r>
      <w:r w:rsidR="00C20C12" w:rsidRPr="00833C88">
        <w:rPr>
          <w:rFonts w:cs="Times New Roman"/>
          <w:sz w:val="24"/>
          <w:szCs w:val="24"/>
        </w:rPr>
        <w:t xml:space="preserve">przeciwnym razie konieczne byłoby utrzymanie dotychczasowego pojęcia „incydentu </w:t>
      </w:r>
      <w:r w:rsidR="00601933" w:rsidRPr="00833C88">
        <w:rPr>
          <w:rFonts w:cs="Times New Roman"/>
          <w:sz w:val="24"/>
          <w:szCs w:val="24"/>
        </w:rPr>
        <w:t>w </w:t>
      </w:r>
      <w:r w:rsidR="00C20C12" w:rsidRPr="00833C88">
        <w:rPr>
          <w:rFonts w:cs="Times New Roman"/>
          <w:sz w:val="24"/>
          <w:szCs w:val="24"/>
        </w:rPr>
        <w:t xml:space="preserve">podmiocie publicznym” czy też wprowadzenia odrębnych progów dla incydentu związanego </w:t>
      </w:r>
      <w:r w:rsidR="00601933" w:rsidRPr="00833C88">
        <w:rPr>
          <w:rFonts w:cs="Times New Roman"/>
          <w:sz w:val="24"/>
          <w:szCs w:val="24"/>
        </w:rPr>
        <w:t>z </w:t>
      </w:r>
      <w:r w:rsidR="00C20C12" w:rsidRPr="00833C88">
        <w:rPr>
          <w:rFonts w:cs="Times New Roman"/>
          <w:sz w:val="24"/>
          <w:szCs w:val="24"/>
        </w:rPr>
        <w:t>zadaniami publicznymi.</w:t>
      </w:r>
    </w:p>
    <w:p w14:paraId="76EADD77" w14:textId="2A5F9DA9" w:rsidR="00435C88" w:rsidRPr="00833C88" w:rsidRDefault="00435C88" w:rsidP="0029004E">
      <w:pPr>
        <w:spacing w:line="360" w:lineRule="auto"/>
        <w:jc w:val="both"/>
        <w:rPr>
          <w:rFonts w:cs="Times New Roman"/>
          <w:sz w:val="24"/>
          <w:szCs w:val="24"/>
        </w:rPr>
      </w:pPr>
      <w:r w:rsidRPr="00833C88">
        <w:rPr>
          <w:rFonts w:cs="Times New Roman"/>
          <w:sz w:val="24"/>
          <w:szCs w:val="24"/>
        </w:rPr>
        <w:t>System Inwentaryzacji Systemów Teleinformatycznych</w:t>
      </w:r>
      <w:r w:rsidR="0010461C" w:rsidRPr="00833C88">
        <w:rPr>
          <w:rStyle w:val="Odwoanieprzypisudolnego"/>
          <w:rFonts w:cs="Times New Roman"/>
          <w:sz w:val="24"/>
          <w:szCs w:val="24"/>
        </w:rPr>
        <w:footnoteReference w:id="13"/>
      </w:r>
      <w:r w:rsidR="00DA1EF1" w:rsidRPr="00833C88">
        <w:rPr>
          <w:rFonts w:cs="Times New Roman"/>
          <w:sz w:val="24"/>
          <w:szCs w:val="24"/>
          <w:vertAlign w:val="superscript"/>
        </w:rPr>
        <w:t>)</w:t>
      </w:r>
      <w:r w:rsidRPr="00833C88">
        <w:rPr>
          <w:rFonts w:cs="Times New Roman"/>
          <w:sz w:val="24"/>
          <w:szCs w:val="24"/>
        </w:rPr>
        <w:t xml:space="preserve"> wskazuje 651 systemów </w:t>
      </w:r>
      <w:r w:rsidR="00EB18B4" w:rsidRPr="00833C88">
        <w:rPr>
          <w:rFonts w:cs="Times New Roman"/>
          <w:sz w:val="24"/>
          <w:szCs w:val="24"/>
        </w:rPr>
        <w:t>eksploatowanych obecnie</w:t>
      </w:r>
      <w:r w:rsidRPr="00833C88">
        <w:rPr>
          <w:rFonts w:cs="Times New Roman"/>
          <w:sz w:val="24"/>
          <w:szCs w:val="24"/>
        </w:rPr>
        <w:t xml:space="preserve"> przez administrację rządową do realizacji zadań publicznych. Należy przy tym uwzględnić systemy elektronicznego zarządzania dokumentacją obecne w</w:t>
      </w:r>
      <w:r w:rsidR="00D329BA" w:rsidRPr="00833C88">
        <w:rPr>
          <w:rFonts w:cs="Times New Roman"/>
          <w:sz w:val="24"/>
          <w:szCs w:val="24"/>
        </w:rPr>
        <w:t> </w:t>
      </w:r>
      <w:r w:rsidRPr="00833C88">
        <w:rPr>
          <w:rFonts w:cs="Times New Roman"/>
          <w:sz w:val="24"/>
          <w:szCs w:val="24"/>
        </w:rPr>
        <w:t>podmiotach publicznych, sieci wewnętrzne składające się z urządzeń końcowych (komputerów, smartfonów, serwerów itd.).</w:t>
      </w:r>
      <w:r w:rsidR="00484349" w:rsidRPr="00833C88">
        <w:rPr>
          <w:rFonts w:cs="Times New Roman"/>
          <w:sz w:val="24"/>
          <w:szCs w:val="24"/>
        </w:rPr>
        <w:t xml:space="preserve"> Zdaniem projektodawcy systemy te powinny być objęte obowiązkami wynikającymi z proponowanej </w:t>
      </w:r>
      <w:r w:rsidR="007D6136" w:rsidRPr="00833C88">
        <w:rPr>
          <w:rFonts w:cs="Times New Roman"/>
          <w:sz w:val="24"/>
          <w:szCs w:val="24"/>
        </w:rPr>
        <w:t xml:space="preserve">ustawy. Podmioty publiczne świadczą </w:t>
      </w:r>
      <w:r w:rsidR="007D6136" w:rsidRPr="00833C88">
        <w:rPr>
          <w:rFonts w:cs="Times New Roman"/>
          <w:sz w:val="24"/>
          <w:szCs w:val="24"/>
        </w:rPr>
        <w:lastRenderedPageBreak/>
        <w:t xml:space="preserve">zadania publiczne w oparciu o systemy informacyjne. Incydent może doprowadzić do zaprzestania realizacji zadania publicznego – obywatele wtedy nie mogą </w:t>
      </w:r>
      <w:r w:rsidR="00F01F53" w:rsidRPr="00833C88">
        <w:rPr>
          <w:rFonts w:cs="Times New Roman"/>
          <w:sz w:val="24"/>
          <w:szCs w:val="24"/>
        </w:rPr>
        <w:t xml:space="preserve">realizować swoich publicznych praw podmiotowych. Incydenty źle wpływają także na wizerunek administracji – czy to administracji rządowej czy administracji samorządowej, co obniża zaufanie obywatela do państwa. </w:t>
      </w:r>
    </w:p>
    <w:p w14:paraId="70562515" w14:textId="75BE4F2D" w:rsidR="008B4E5A" w:rsidRPr="00833C88" w:rsidRDefault="008B4E5A" w:rsidP="00BC7BDE">
      <w:pPr>
        <w:pStyle w:val="Nagwek3"/>
        <w:spacing w:before="0" w:after="120" w:line="360" w:lineRule="auto"/>
        <w:jc w:val="both"/>
        <w:rPr>
          <w:rFonts w:cs="Times New Roman"/>
          <w:b/>
          <w:bCs/>
          <w:sz w:val="26"/>
          <w:szCs w:val="26"/>
        </w:rPr>
      </w:pPr>
      <w:r w:rsidRPr="00833C88">
        <w:rPr>
          <w:rFonts w:cs="Times New Roman"/>
          <w:b/>
          <w:bCs/>
          <w:sz w:val="26"/>
          <w:szCs w:val="26"/>
          <w:u w:val="none"/>
        </w:rPr>
        <w:t>Przepis o celu funkcjonowania krajowego systemu cyberbezpieczeństwa</w:t>
      </w:r>
    </w:p>
    <w:p w14:paraId="43483C6E" w14:textId="1B304957" w:rsidR="00EF1F7E" w:rsidRPr="00833C88" w:rsidRDefault="00C723DA" w:rsidP="0029004E">
      <w:pPr>
        <w:spacing w:line="360" w:lineRule="auto"/>
        <w:jc w:val="both"/>
        <w:rPr>
          <w:rFonts w:cs="Times New Roman"/>
          <w:sz w:val="24"/>
          <w:szCs w:val="24"/>
        </w:rPr>
      </w:pPr>
      <w:r w:rsidRPr="00833C88">
        <w:rPr>
          <w:rFonts w:cs="Times New Roman"/>
          <w:sz w:val="24"/>
          <w:szCs w:val="24"/>
        </w:rPr>
        <w:t xml:space="preserve">Dostosowuje się obecny przepis art. 3, który wskazuje na cel </w:t>
      </w:r>
      <w:r w:rsidR="00F6309C" w:rsidRPr="00833C88">
        <w:rPr>
          <w:rFonts w:cs="Times New Roman"/>
          <w:sz w:val="24"/>
          <w:szCs w:val="24"/>
        </w:rPr>
        <w:t xml:space="preserve">funkcjonowania krajowego systemu cyberbezpieczeństwa. </w:t>
      </w:r>
      <w:r w:rsidR="003407DA" w:rsidRPr="00833C88">
        <w:rPr>
          <w:rFonts w:cs="Times New Roman"/>
          <w:sz w:val="24"/>
          <w:szCs w:val="24"/>
        </w:rPr>
        <w:t xml:space="preserve">Zmiana polega na odniesieniu się do usług świadczonych przez podmioty kluczowe </w:t>
      </w:r>
      <w:r w:rsidR="001234D0" w:rsidRPr="00833C88">
        <w:rPr>
          <w:rFonts w:cs="Times New Roman"/>
          <w:sz w:val="24"/>
          <w:szCs w:val="24"/>
        </w:rPr>
        <w:t>lub</w:t>
      </w:r>
      <w:r w:rsidR="003407DA" w:rsidRPr="00833C88">
        <w:rPr>
          <w:rFonts w:cs="Times New Roman"/>
          <w:sz w:val="24"/>
          <w:szCs w:val="24"/>
        </w:rPr>
        <w:t xml:space="preserve"> podmioty ważne</w:t>
      </w:r>
      <w:r w:rsidR="008B4E5A" w:rsidRPr="00833C88">
        <w:rPr>
          <w:rFonts w:cs="Times New Roman"/>
          <w:sz w:val="24"/>
          <w:szCs w:val="24"/>
        </w:rPr>
        <w:t xml:space="preserve"> zamiast dotychczasowych usług kluczowych i usług cyfrowych.</w:t>
      </w:r>
      <w:r w:rsidR="003407DA" w:rsidRPr="00833C88">
        <w:rPr>
          <w:rFonts w:cs="Times New Roman"/>
          <w:sz w:val="24"/>
          <w:szCs w:val="24"/>
        </w:rPr>
        <w:t xml:space="preserve"> </w:t>
      </w:r>
    </w:p>
    <w:p w14:paraId="33548D5B" w14:textId="588025FB" w:rsidR="00715D19" w:rsidRPr="00833C88" w:rsidRDefault="00715D19" w:rsidP="00BC7BDE">
      <w:pPr>
        <w:pStyle w:val="Nagwek3"/>
        <w:spacing w:before="0" w:after="120" w:line="360" w:lineRule="auto"/>
        <w:jc w:val="both"/>
        <w:rPr>
          <w:rFonts w:cs="Times New Roman"/>
          <w:b/>
          <w:bCs/>
          <w:sz w:val="26"/>
          <w:szCs w:val="26"/>
          <w:u w:val="none"/>
        </w:rPr>
      </w:pPr>
      <w:r w:rsidRPr="00833C88">
        <w:rPr>
          <w:rFonts w:cs="Times New Roman"/>
          <w:b/>
          <w:bCs/>
          <w:sz w:val="26"/>
          <w:szCs w:val="26"/>
          <w:u w:val="none"/>
        </w:rPr>
        <w:t xml:space="preserve">Działania </w:t>
      </w:r>
      <w:r w:rsidR="00601933" w:rsidRPr="00833C88">
        <w:rPr>
          <w:rFonts w:cs="Times New Roman"/>
          <w:b/>
          <w:bCs/>
          <w:sz w:val="26"/>
          <w:szCs w:val="26"/>
          <w:u w:val="none"/>
        </w:rPr>
        <w:t>w </w:t>
      </w:r>
      <w:r w:rsidRPr="00833C88">
        <w:rPr>
          <w:rFonts w:cs="Times New Roman"/>
          <w:b/>
          <w:bCs/>
          <w:sz w:val="26"/>
          <w:szCs w:val="26"/>
          <w:u w:val="none"/>
        </w:rPr>
        <w:t xml:space="preserve">ramach obsługi incydentów </w:t>
      </w:r>
    </w:p>
    <w:p w14:paraId="454B72CE" w14:textId="35B21A38" w:rsidR="00792319" w:rsidRPr="00833C88" w:rsidRDefault="00FD33A9" w:rsidP="0029004E">
      <w:pPr>
        <w:spacing w:line="360" w:lineRule="auto"/>
        <w:jc w:val="both"/>
        <w:rPr>
          <w:rFonts w:cs="Times New Roman"/>
          <w:sz w:val="24"/>
          <w:szCs w:val="24"/>
        </w:rPr>
      </w:pPr>
      <w:r w:rsidRPr="00833C88">
        <w:rPr>
          <w:rFonts w:cs="Times New Roman"/>
          <w:sz w:val="24"/>
          <w:szCs w:val="24"/>
        </w:rPr>
        <w:t xml:space="preserve">Przepisy </w:t>
      </w:r>
      <w:r w:rsidR="00274B3C" w:rsidRPr="00833C88">
        <w:rPr>
          <w:rFonts w:cs="Times New Roman"/>
          <w:sz w:val="24"/>
          <w:szCs w:val="24"/>
        </w:rPr>
        <w:t xml:space="preserve">projektu </w:t>
      </w:r>
      <w:r w:rsidRPr="00833C88">
        <w:rPr>
          <w:rFonts w:cs="Times New Roman"/>
          <w:sz w:val="24"/>
          <w:szCs w:val="24"/>
        </w:rPr>
        <w:t xml:space="preserve">ustawy przesądzają, że </w:t>
      </w:r>
      <w:r w:rsidR="00601933" w:rsidRPr="00833C88">
        <w:rPr>
          <w:rFonts w:cs="Times New Roman"/>
          <w:sz w:val="24"/>
          <w:szCs w:val="24"/>
        </w:rPr>
        <w:t>w </w:t>
      </w:r>
      <w:r w:rsidRPr="00833C88">
        <w:rPr>
          <w:rFonts w:cs="Times New Roman"/>
          <w:sz w:val="24"/>
          <w:szCs w:val="24"/>
        </w:rPr>
        <w:t xml:space="preserve">ramach </w:t>
      </w:r>
      <w:r w:rsidR="00725EDF" w:rsidRPr="00833C88">
        <w:rPr>
          <w:rFonts w:cs="Times New Roman"/>
          <w:sz w:val="24"/>
          <w:szCs w:val="24"/>
        </w:rPr>
        <w:t xml:space="preserve">obsługi incydentu </w:t>
      </w:r>
      <w:r w:rsidR="00226288" w:rsidRPr="00833C88">
        <w:rPr>
          <w:rFonts w:cs="Times New Roman"/>
          <w:sz w:val="24"/>
          <w:szCs w:val="24"/>
        </w:rPr>
        <w:t xml:space="preserve">dotknięty nim podmiot może </w:t>
      </w:r>
      <w:r w:rsidR="002020B1" w:rsidRPr="00833C88">
        <w:rPr>
          <w:rFonts w:cs="Times New Roman"/>
          <w:sz w:val="24"/>
          <w:szCs w:val="24"/>
        </w:rPr>
        <w:t>wykrywać źródło ataku oraz</w:t>
      </w:r>
      <w:r w:rsidR="001755E0" w:rsidRPr="00833C88">
        <w:rPr>
          <w:rFonts w:cs="Times New Roman"/>
          <w:sz w:val="24"/>
          <w:szCs w:val="24"/>
        </w:rPr>
        <w:t xml:space="preserve"> czasowo</w:t>
      </w:r>
      <w:r w:rsidR="002020B1" w:rsidRPr="00833C88">
        <w:rPr>
          <w:rFonts w:cs="Times New Roman"/>
          <w:sz w:val="24"/>
          <w:szCs w:val="24"/>
        </w:rPr>
        <w:t xml:space="preserve"> </w:t>
      </w:r>
      <w:r w:rsidR="001755E0" w:rsidRPr="00833C88">
        <w:rPr>
          <w:rFonts w:cs="Times New Roman"/>
          <w:sz w:val="24"/>
          <w:szCs w:val="24"/>
        </w:rPr>
        <w:t>ograniczyć ruch sieciowy z adresów IP lub adresów URL. Uprawnienia te są niezbędne dla</w:t>
      </w:r>
      <w:r w:rsidR="0099187E" w:rsidRPr="00833C88">
        <w:rPr>
          <w:rFonts w:cs="Times New Roman"/>
          <w:sz w:val="24"/>
          <w:szCs w:val="24"/>
        </w:rPr>
        <w:t xml:space="preserve"> zapewnienia</w:t>
      </w:r>
      <w:r w:rsidR="001755E0" w:rsidRPr="00833C88">
        <w:rPr>
          <w:rFonts w:cs="Times New Roman"/>
          <w:sz w:val="24"/>
          <w:szCs w:val="24"/>
        </w:rPr>
        <w:t xml:space="preserve"> skutecznej </w:t>
      </w:r>
      <w:r w:rsidR="00ED1CAA" w:rsidRPr="00833C88">
        <w:rPr>
          <w:rFonts w:cs="Times New Roman"/>
          <w:sz w:val="24"/>
          <w:szCs w:val="24"/>
        </w:rPr>
        <w:t>reakcji na incydent</w:t>
      </w:r>
      <w:r w:rsidR="0099187E" w:rsidRPr="00833C88">
        <w:rPr>
          <w:rFonts w:cs="Times New Roman"/>
          <w:sz w:val="24"/>
          <w:szCs w:val="24"/>
        </w:rPr>
        <w:t>, a</w:t>
      </w:r>
      <w:r w:rsidR="009A63A1" w:rsidRPr="00833C88">
        <w:rPr>
          <w:rFonts w:cs="Times New Roman"/>
          <w:sz w:val="24"/>
          <w:szCs w:val="24"/>
        </w:rPr>
        <w:t> </w:t>
      </w:r>
      <w:r w:rsidR="0099187E" w:rsidRPr="00833C88">
        <w:rPr>
          <w:rFonts w:cs="Times New Roman"/>
          <w:sz w:val="24"/>
          <w:szCs w:val="24"/>
        </w:rPr>
        <w:t>w</w:t>
      </w:r>
      <w:r w:rsidR="009A63A1" w:rsidRPr="00833C88">
        <w:rPr>
          <w:rFonts w:cs="Times New Roman"/>
          <w:sz w:val="24"/>
          <w:szCs w:val="24"/>
        </w:rPr>
        <w:t> </w:t>
      </w:r>
      <w:r w:rsidR="0099187E" w:rsidRPr="00833C88">
        <w:rPr>
          <w:rFonts w:cs="Times New Roman"/>
          <w:sz w:val="24"/>
          <w:szCs w:val="24"/>
        </w:rPr>
        <w:t xml:space="preserve">praktyce sprawiają one problemy praktyczne. Wykrycie źródła ataku często jest niezbędne do jego powstrzymania </w:t>
      </w:r>
      <w:r w:rsidR="00601933" w:rsidRPr="00833C88">
        <w:rPr>
          <w:rFonts w:cs="Times New Roman"/>
          <w:sz w:val="24"/>
          <w:szCs w:val="24"/>
        </w:rPr>
        <w:t>i </w:t>
      </w:r>
      <w:r w:rsidR="0099187E" w:rsidRPr="00833C88">
        <w:rPr>
          <w:rFonts w:cs="Times New Roman"/>
          <w:sz w:val="24"/>
          <w:szCs w:val="24"/>
        </w:rPr>
        <w:t xml:space="preserve">przywrócenia normalnego </w:t>
      </w:r>
      <w:r w:rsidR="008F29AC" w:rsidRPr="00833C88">
        <w:rPr>
          <w:rFonts w:cs="Times New Roman"/>
          <w:sz w:val="24"/>
          <w:szCs w:val="24"/>
        </w:rPr>
        <w:t xml:space="preserve">funkcjonowania systemów. Równocześnie te działania </w:t>
      </w:r>
      <w:r w:rsidR="00705274" w:rsidRPr="00833C88">
        <w:rPr>
          <w:rFonts w:cs="Times New Roman"/>
          <w:sz w:val="24"/>
          <w:szCs w:val="24"/>
        </w:rPr>
        <w:t xml:space="preserve">mogą prowadzić do ewentualnego naruszenia uprawnień </w:t>
      </w:r>
      <w:r w:rsidR="002F3ECD" w:rsidRPr="00833C88">
        <w:rPr>
          <w:rFonts w:cs="Times New Roman"/>
          <w:sz w:val="24"/>
          <w:szCs w:val="24"/>
        </w:rPr>
        <w:t>innych podmiotów</w:t>
      </w:r>
      <w:r w:rsidR="00467980" w:rsidRPr="00833C88">
        <w:rPr>
          <w:rFonts w:cs="Times New Roman"/>
          <w:sz w:val="24"/>
          <w:szCs w:val="24"/>
        </w:rPr>
        <w:t xml:space="preserve">. </w:t>
      </w:r>
      <w:r w:rsidR="00B76944" w:rsidRPr="00833C88">
        <w:rPr>
          <w:rFonts w:cs="Times New Roman"/>
          <w:sz w:val="24"/>
          <w:szCs w:val="24"/>
        </w:rPr>
        <w:t>Do</w:t>
      </w:r>
      <w:r w:rsidR="001234D0" w:rsidRPr="00833C88">
        <w:rPr>
          <w:rFonts w:cs="Times New Roman"/>
          <w:sz w:val="24"/>
          <w:szCs w:val="24"/>
        </w:rPr>
        <w:t> </w:t>
      </w:r>
      <w:r w:rsidR="00B76944" w:rsidRPr="00833C88">
        <w:rPr>
          <w:rFonts w:cs="Times New Roman"/>
          <w:sz w:val="24"/>
          <w:szCs w:val="24"/>
        </w:rPr>
        <w:t xml:space="preserve">tej pory istniały wątpliwości na ile takie działania mogą być podejmowane. </w:t>
      </w:r>
      <w:r w:rsidR="00601933" w:rsidRPr="00833C88">
        <w:rPr>
          <w:rFonts w:cs="Times New Roman"/>
          <w:sz w:val="24"/>
          <w:szCs w:val="24"/>
        </w:rPr>
        <w:t>W </w:t>
      </w:r>
      <w:r w:rsidR="00467980" w:rsidRPr="00833C88">
        <w:rPr>
          <w:rFonts w:cs="Times New Roman"/>
          <w:sz w:val="24"/>
          <w:szCs w:val="24"/>
        </w:rPr>
        <w:t xml:space="preserve">związku </w:t>
      </w:r>
      <w:r w:rsidR="00601933" w:rsidRPr="00833C88">
        <w:rPr>
          <w:rFonts w:cs="Times New Roman"/>
          <w:sz w:val="24"/>
          <w:szCs w:val="24"/>
        </w:rPr>
        <w:t>z </w:t>
      </w:r>
      <w:r w:rsidR="00467980" w:rsidRPr="00833C88">
        <w:rPr>
          <w:rFonts w:cs="Times New Roman"/>
          <w:sz w:val="24"/>
          <w:szCs w:val="24"/>
        </w:rPr>
        <w:t xml:space="preserve">tym konieczne jest </w:t>
      </w:r>
      <w:r w:rsidR="00324C64" w:rsidRPr="00833C88">
        <w:rPr>
          <w:rFonts w:cs="Times New Roman"/>
          <w:sz w:val="24"/>
          <w:szCs w:val="24"/>
        </w:rPr>
        <w:t>w</w:t>
      </w:r>
      <w:r w:rsidR="004B6510" w:rsidRPr="00833C88">
        <w:rPr>
          <w:rFonts w:cs="Times New Roman"/>
          <w:sz w:val="24"/>
          <w:szCs w:val="24"/>
        </w:rPr>
        <w:t xml:space="preserve">prowadzenie wyraźnej podstawy prawnej do takich działań. </w:t>
      </w:r>
    </w:p>
    <w:p w14:paraId="59A992DF" w14:textId="13733A0A" w:rsidR="0096381F" w:rsidRPr="00833C88" w:rsidRDefault="00C575B6" w:rsidP="00BC7BDE">
      <w:pPr>
        <w:pStyle w:val="Nagwek2"/>
        <w:spacing w:before="0" w:after="120" w:line="360" w:lineRule="auto"/>
        <w:jc w:val="both"/>
        <w:rPr>
          <w:rFonts w:cs="Times New Roman"/>
          <w:b/>
          <w:bCs/>
        </w:rPr>
      </w:pPr>
      <w:r w:rsidRPr="00833C88">
        <w:rPr>
          <w:rFonts w:cs="Times New Roman"/>
          <w:b/>
          <w:bCs/>
        </w:rPr>
        <w:t xml:space="preserve">Podmioty kluczowe </w:t>
      </w:r>
      <w:r w:rsidR="00601933" w:rsidRPr="00833C88">
        <w:rPr>
          <w:rFonts w:cs="Times New Roman"/>
          <w:b/>
          <w:bCs/>
        </w:rPr>
        <w:t>i </w:t>
      </w:r>
      <w:r w:rsidR="00274B3C" w:rsidRPr="00833C88">
        <w:rPr>
          <w:rFonts w:cs="Times New Roman"/>
          <w:b/>
          <w:bCs/>
        </w:rPr>
        <w:t xml:space="preserve">podmioty </w:t>
      </w:r>
      <w:r w:rsidRPr="00833C88">
        <w:rPr>
          <w:rFonts w:cs="Times New Roman"/>
          <w:b/>
          <w:bCs/>
        </w:rPr>
        <w:t xml:space="preserve">ważne </w:t>
      </w:r>
    </w:p>
    <w:p w14:paraId="072A5E92" w14:textId="322A9626" w:rsidR="00EA744B" w:rsidRPr="00833C88" w:rsidRDefault="00EA744B" w:rsidP="0029004E">
      <w:pPr>
        <w:spacing w:line="360" w:lineRule="auto"/>
        <w:jc w:val="both"/>
        <w:rPr>
          <w:rFonts w:cs="Times New Roman"/>
          <w:sz w:val="24"/>
          <w:szCs w:val="24"/>
        </w:rPr>
      </w:pPr>
      <w:r w:rsidRPr="00833C88">
        <w:rPr>
          <w:rFonts w:cs="Times New Roman"/>
          <w:sz w:val="24"/>
          <w:szCs w:val="24"/>
        </w:rPr>
        <w:t>Dyrektywa NIS</w:t>
      </w:r>
      <w:r w:rsidR="009A63A1" w:rsidRPr="00833C88">
        <w:rPr>
          <w:rFonts w:cs="Times New Roman"/>
          <w:sz w:val="24"/>
          <w:szCs w:val="24"/>
        </w:rPr>
        <w:t xml:space="preserve"> </w:t>
      </w:r>
      <w:r w:rsidRPr="00833C88">
        <w:rPr>
          <w:rFonts w:cs="Times New Roman"/>
          <w:sz w:val="24"/>
          <w:szCs w:val="24"/>
        </w:rPr>
        <w:t xml:space="preserve">2 odeszła </w:t>
      </w:r>
      <w:r w:rsidR="00982D0C" w:rsidRPr="00833C88">
        <w:rPr>
          <w:rFonts w:cs="Times New Roman"/>
          <w:sz w:val="24"/>
          <w:szCs w:val="24"/>
        </w:rPr>
        <w:t xml:space="preserve">od pojęć operatorów usług kluczowych </w:t>
      </w:r>
      <w:r w:rsidR="00601933" w:rsidRPr="00833C88">
        <w:rPr>
          <w:rFonts w:cs="Times New Roman"/>
          <w:sz w:val="24"/>
          <w:szCs w:val="24"/>
        </w:rPr>
        <w:t>i </w:t>
      </w:r>
      <w:r w:rsidR="00982D0C" w:rsidRPr="00833C88">
        <w:rPr>
          <w:rFonts w:cs="Times New Roman"/>
          <w:sz w:val="24"/>
          <w:szCs w:val="24"/>
        </w:rPr>
        <w:t xml:space="preserve">dostawców usług cyfrowych, które były podstawą krajowego systemu cyberbezpieczeństwa. </w:t>
      </w:r>
      <w:r w:rsidR="00612702" w:rsidRPr="00833C88">
        <w:rPr>
          <w:rFonts w:cs="Times New Roman"/>
          <w:sz w:val="24"/>
          <w:szCs w:val="24"/>
        </w:rPr>
        <w:t xml:space="preserve">Obecnie obowiązki </w:t>
      </w:r>
      <w:r w:rsidR="00274B3C" w:rsidRPr="00833C88">
        <w:rPr>
          <w:rFonts w:cs="Times New Roman"/>
          <w:sz w:val="24"/>
          <w:szCs w:val="24"/>
        </w:rPr>
        <w:t xml:space="preserve">wynikające </w:t>
      </w:r>
      <w:r w:rsidR="00601933" w:rsidRPr="00833C88">
        <w:rPr>
          <w:rFonts w:cs="Times New Roman"/>
          <w:sz w:val="24"/>
          <w:szCs w:val="24"/>
        </w:rPr>
        <w:t>z </w:t>
      </w:r>
      <w:r w:rsidR="00612702" w:rsidRPr="00833C88">
        <w:rPr>
          <w:rFonts w:cs="Times New Roman"/>
          <w:sz w:val="24"/>
          <w:szCs w:val="24"/>
        </w:rPr>
        <w:t xml:space="preserve">dyrektywy </w:t>
      </w:r>
      <w:r w:rsidR="009A63A1" w:rsidRPr="00833C88">
        <w:rPr>
          <w:rFonts w:cs="Times New Roman"/>
          <w:sz w:val="24"/>
          <w:szCs w:val="24"/>
        </w:rPr>
        <w:t xml:space="preserve">NIS 2 </w:t>
      </w:r>
      <w:r w:rsidR="00612702" w:rsidRPr="00833C88">
        <w:rPr>
          <w:rFonts w:cs="Times New Roman"/>
          <w:sz w:val="24"/>
          <w:szCs w:val="24"/>
        </w:rPr>
        <w:t>kierowane są do podmiotów kluczowych</w:t>
      </w:r>
      <w:r w:rsidR="000671F0" w:rsidRPr="00833C88">
        <w:rPr>
          <w:rFonts w:cs="Times New Roman"/>
          <w:sz w:val="24"/>
          <w:szCs w:val="24"/>
        </w:rPr>
        <w:t xml:space="preserve"> oraz podmiotów</w:t>
      </w:r>
      <w:r w:rsidR="00275430" w:rsidRPr="00833C88">
        <w:rPr>
          <w:rFonts w:cs="Times New Roman"/>
          <w:sz w:val="24"/>
          <w:szCs w:val="24"/>
        </w:rPr>
        <w:t xml:space="preserve"> ważnych</w:t>
      </w:r>
      <w:r w:rsidR="00B03E94" w:rsidRPr="00833C88">
        <w:rPr>
          <w:rFonts w:cs="Times New Roman"/>
          <w:sz w:val="24"/>
          <w:szCs w:val="24"/>
        </w:rPr>
        <w:t>.</w:t>
      </w:r>
    </w:p>
    <w:p w14:paraId="619F1C9B" w14:textId="17EF34C6" w:rsidR="00052DA0" w:rsidRPr="00833C88" w:rsidRDefault="00601933" w:rsidP="0029004E">
      <w:pPr>
        <w:spacing w:line="360" w:lineRule="auto"/>
        <w:jc w:val="both"/>
        <w:rPr>
          <w:rFonts w:cs="Times New Roman"/>
          <w:sz w:val="24"/>
          <w:szCs w:val="24"/>
        </w:rPr>
      </w:pPr>
      <w:r w:rsidRPr="00833C88">
        <w:rPr>
          <w:rFonts w:cs="Times New Roman"/>
          <w:sz w:val="24"/>
          <w:szCs w:val="24"/>
        </w:rPr>
        <w:t>W </w:t>
      </w:r>
      <w:r w:rsidR="00052DA0" w:rsidRPr="00833C88">
        <w:rPr>
          <w:rFonts w:cs="Times New Roman"/>
          <w:sz w:val="24"/>
          <w:szCs w:val="24"/>
        </w:rPr>
        <w:t xml:space="preserve">związku ze zmianą </w:t>
      </w:r>
      <w:r w:rsidR="0096381F" w:rsidRPr="00833C88">
        <w:rPr>
          <w:rFonts w:cs="Times New Roman"/>
          <w:sz w:val="24"/>
          <w:szCs w:val="24"/>
        </w:rPr>
        <w:t xml:space="preserve">siatki pojęciowej wprowadzonej </w:t>
      </w:r>
      <w:r w:rsidRPr="00833C88">
        <w:rPr>
          <w:rFonts w:cs="Times New Roman"/>
          <w:sz w:val="24"/>
          <w:szCs w:val="24"/>
        </w:rPr>
        <w:t>w </w:t>
      </w:r>
      <w:r w:rsidR="0096381F" w:rsidRPr="00833C88">
        <w:rPr>
          <w:rFonts w:cs="Times New Roman"/>
          <w:sz w:val="24"/>
          <w:szCs w:val="24"/>
        </w:rPr>
        <w:t>dyrektywie NIS</w:t>
      </w:r>
      <w:r w:rsidR="009A63A1" w:rsidRPr="00833C88">
        <w:rPr>
          <w:rFonts w:cs="Times New Roman"/>
          <w:sz w:val="24"/>
          <w:szCs w:val="24"/>
        </w:rPr>
        <w:t xml:space="preserve"> </w:t>
      </w:r>
      <w:r w:rsidR="0096381F" w:rsidRPr="00833C88">
        <w:rPr>
          <w:rFonts w:cs="Times New Roman"/>
          <w:sz w:val="24"/>
          <w:szCs w:val="24"/>
        </w:rPr>
        <w:t xml:space="preserve">2 konieczne było dostosowanie do niej przepisu określającego podmioty krajowego systemu cyberbezpieczeństwa. </w:t>
      </w:r>
      <w:r w:rsidR="00941A07" w:rsidRPr="00833C88">
        <w:rPr>
          <w:rFonts w:cs="Times New Roman"/>
          <w:sz w:val="24"/>
          <w:szCs w:val="24"/>
        </w:rPr>
        <w:t xml:space="preserve">Uzupełniono ten przepis także </w:t>
      </w:r>
      <w:r w:rsidRPr="00833C88">
        <w:rPr>
          <w:rFonts w:cs="Times New Roman"/>
          <w:sz w:val="24"/>
          <w:szCs w:val="24"/>
        </w:rPr>
        <w:t>o </w:t>
      </w:r>
      <w:r w:rsidR="00941A07" w:rsidRPr="00833C88">
        <w:rPr>
          <w:rFonts w:cs="Times New Roman"/>
          <w:sz w:val="24"/>
          <w:szCs w:val="24"/>
        </w:rPr>
        <w:t xml:space="preserve">wskazanie nowych rodzajów podmiotów </w:t>
      </w:r>
      <w:r w:rsidRPr="00833C88">
        <w:rPr>
          <w:rFonts w:cs="Times New Roman"/>
          <w:sz w:val="24"/>
          <w:szCs w:val="24"/>
        </w:rPr>
        <w:t>w </w:t>
      </w:r>
      <w:r w:rsidR="00941A07" w:rsidRPr="00833C88">
        <w:rPr>
          <w:rFonts w:cs="Times New Roman"/>
          <w:sz w:val="24"/>
          <w:szCs w:val="24"/>
        </w:rPr>
        <w:t>krajowym systemie cyberbezpieczeństwa – CSIRT sektorowe</w:t>
      </w:r>
      <w:r w:rsidR="00BB6AE9" w:rsidRPr="00833C88">
        <w:rPr>
          <w:rFonts w:cs="Times New Roman"/>
          <w:sz w:val="24"/>
          <w:szCs w:val="24"/>
        </w:rPr>
        <w:t xml:space="preserve"> oraz Połączone Centrum Operacyjne Cyberbezpieczeństwa.</w:t>
      </w:r>
    </w:p>
    <w:p w14:paraId="26A6E306" w14:textId="4EC84354" w:rsidR="00B03E94" w:rsidRPr="00833C88" w:rsidRDefault="00B03E94" w:rsidP="0029004E">
      <w:pPr>
        <w:spacing w:line="360" w:lineRule="auto"/>
        <w:jc w:val="both"/>
        <w:rPr>
          <w:rFonts w:cs="Times New Roman"/>
          <w:sz w:val="24"/>
          <w:szCs w:val="24"/>
        </w:rPr>
      </w:pPr>
      <w:r w:rsidRPr="00833C88">
        <w:rPr>
          <w:rFonts w:cs="Times New Roman"/>
          <w:sz w:val="24"/>
          <w:szCs w:val="24"/>
        </w:rPr>
        <w:lastRenderedPageBreak/>
        <w:t xml:space="preserve">Przepisy </w:t>
      </w:r>
      <w:r w:rsidR="00F61963" w:rsidRPr="00833C88">
        <w:rPr>
          <w:rFonts w:cs="Times New Roman"/>
          <w:sz w:val="24"/>
          <w:szCs w:val="24"/>
        </w:rPr>
        <w:t xml:space="preserve">definiują też, które podmioty są </w:t>
      </w:r>
      <w:r w:rsidR="00A84231" w:rsidRPr="00833C88">
        <w:rPr>
          <w:rFonts w:cs="Times New Roman"/>
          <w:sz w:val="24"/>
          <w:szCs w:val="24"/>
        </w:rPr>
        <w:t xml:space="preserve">podmiotami </w:t>
      </w:r>
      <w:r w:rsidR="00F61963" w:rsidRPr="00833C88">
        <w:rPr>
          <w:rFonts w:cs="Times New Roman"/>
          <w:sz w:val="24"/>
          <w:szCs w:val="24"/>
        </w:rPr>
        <w:t xml:space="preserve">kluczowymi </w:t>
      </w:r>
      <w:r w:rsidR="00601933" w:rsidRPr="00833C88">
        <w:rPr>
          <w:rFonts w:cs="Times New Roman"/>
          <w:sz w:val="24"/>
          <w:szCs w:val="24"/>
        </w:rPr>
        <w:t>i </w:t>
      </w:r>
      <w:r w:rsidR="00274B3C" w:rsidRPr="00833C88">
        <w:rPr>
          <w:rFonts w:cs="Times New Roman"/>
          <w:sz w:val="24"/>
          <w:szCs w:val="24"/>
        </w:rPr>
        <w:t>p</w:t>
      </w:r>
      <w:r w:rsidR="00A84231" w:rsidRPr="00833C88">
        <w:rPr>
          <w:rFonts w:cs="Times New Roman"/>
          <w:sz w:val="24"/>
          <w:szCs w:val="24"/>
        </w:rPr>
        <w:t xml:space="preserve">odmiotami </w:t>
      </w:r>
      <w:r w:rsidR="00F61963" w:rsidRPr="00833C88">
        <w:rPr>
          <w:rFonts w:cs="Times New Roman"/>
          <w:sz w:val="24"/>
          <w:szCs w:val="24"/>
        </w:rPr>
        <w:t>ważnymi oraz określa</w:t>
      </w:r>
      <w:r w:rsidR="001F7300" w:rsidRPr="00833C88">
        <w:rPr>
          <w:rFonts w:cs="Times New Roman"/>
          <w:sz w:val="24"/>
          <w:szCs w:val="24"/>
        </w:rPr>
        <w:t>ją</w:t>
      </w:r>
      <w:r w:rsidR="00F61963" w:rsidRPr="00833C88">
        <w:rPr>
          <w:rFonts w:cs="Times New Roman"/>
          <w:sz w:val="24"/>
          <w:szCs w:val="24"/>
        </w:rPr>
        <w:t xml:space="preserve"> procedurę ich rejestracji. </w:t>
      </w:r>
    </w:p>
    <w:p w14:paraId="5B2E1CBF" w14:textId="4CF0B363" w:rsidR="00760480" w:rsidRPr="00833C88" w:rsidRDefault="00760480" w:rsidP="0029004E">
      <w:pPr>
        <w:spacing w:line="360" w:lineRule="auto"/>
        <w:jc w:val="both"/>
        <w:rPr>
          <w:rFonts w:cs="Times New Roman"/>
          <w:sz w:val="24"/>
          <w:szCs w:val="24"/>
        </w:rPr>
      </w:pPr>
      <w:r w:rsidRPr="00833C88">
        <w:rPr>
          <w:rFonts w:cs="Times New Roman"/>
          <w:sz w:val="24"/>
          <w:szCs w:val="24"/>
        </w:rPr>
        <w:t>Dyrektywa NIS 2 dotyczy przede wszystki</w:t>
      </w:r>
      <w:r w:rsidR="00B777E2" w:rsidRPr="00833C88">
        <w:rPr>
          <w:rFonts w:cs="Times New Roman"/>
          <w:sz w:val="24"/>
          <w:szCs w:val="24"/>
        </w:rPr>
        <w:t>m</w:t>
      </w:r>
      <w:r w:rsidRPr="00833C88">
        <w:rPr>
          <w:rFonts w:cs="Times New Roman"/>
          <w:sz w:val="24"/>
          <w:szCs w:val="24"/>
        </w:rPr>
        <w:t xml:space="preserve"> średnich przedsiębiorstw </w:t>
      </w:r>
      <w:r w:rsidR="00601933" w:rsidRPr="00833C88">
        <w:rPr>
          <w:rFonts w:cs="Times New Roman"/>
          <w:sz w:val="24"/>
          <w:szCs w:val="24"/>
        </w:rPr>
        <w:t>w </w:t>
      </w:r>
      <w:r w:rsidRPr="00833C88">
        <w:rPr>
          <w:rFonts w:cs="Times New Roman"/>
          <w:sz w:val="24"/>
          <w:szCs w:val="24"/>
        </w:rPr>
        <w:t xml:space="preserve">rozumieniu </w:t>
      </w:r>
      <w:r w:rsidR="0079566B" w:rsidRPr="00833C88">
        <w:rPr>
          <w:rFonts w:cs="Times New Roman"/>
          <w:sz w:val="24"/>
          <w:szCs w:val="24"/>
        </w:rPr>
        <w:t>zalecenia</w:t>
      </w:r>
      <w:r w:rsidR="00D262D5" w:rsidRPr="00833C88">
        <w:rPr>
          <w:rFonts w:cs="Times New Roman"/>
          <w:sz w:val="24"/>
          <w:szCs w:val="24"/>
        </w:rPr>
        <w:t xml:space="preserve"> Komisji 2003/361/WE </w:t>
      </w:r>
      <w:r w:rsidR="00601933" w:rsidRPr="00833C88">
        <w:rPr>
          <w:rFonts w:cs="Times New Roman"/>
          <w:sz w:val="24"/>
          <w:szCs w:val="24"/>
        </w:rPr>
        <w:t>z </w:t>
      </w:r>
      <w:r w:rsidR="00D262D5" w:rsidRPr="00833C88">
        <w:rPr>
          <w:rFonts w:cs="Times New Roman"/>
          <w:sz w:val="24"/>
          <w:szCs w:val="24"/>
        </w:rPr>
        <w:t xml:space="preserve">dnia 6 maja 2003 r. dotyczące definicji mikroprzedsiębiorstw oraz małych </w:t>
      </w:r>
      <w:r w:rsidR="00601933" w:rsidRPr="00833C88">
        <w:rPr>
          <w:rFonts w:cs="Times New Roman"/>
          <w:sz w:val="24"/>
          <w:szCs w:val="24"/>
        </w:rPr>
        <w:t>i </w:t>
      </w:r>
      <w:r w:rsidR="00D262D5" w:rsidRPr="00833C88">
        <w:rPr>
          <w:rFonts w:cs="Times New Roman"/>
          <w:sz w:val="24"/>
          <w:szCs w:val="24"/>
        </w:rPr>
        <w:t>średnich przedsiębiorstw (Dz.</w:t>
      </w:r>
      <w:r w:rsidR="009A63A1" w:rsidRPr="00833C88">
        <w:rPr>
          <w:rFonts w:cs="Times New Roman"/>
          <w:sz w:val="24"/>
          <w:szCs w:val="24"/>
        </w:rPr>
        <w:t xml:space="preserve"> </w:t>
      </w:r>
      <w:r w:rsidR="00D262D5" w:rsidRPr="00833C88">
        <w:rPr>
          <w:rFonts w:cs="Times New Roman"/>
          <w:sz w:val="24"/>
          <w:szCs w:val="24"/>
        </w:rPr>
        <w:t>U</w:t>
      </w:r>
      <w:r w:rsidR="009A63A1" w:rsidRPr="00833C88">
        <w:rPr>
          <w:rFonts w:cs="Times New Roman"/>
          <w:sz w:val="24"/>
          <w:szCs w:val="24"/>
        </w:rPr>
        <w:t>rz</w:t>
      </w:r>
      <w:r w:rsidR="00D262D5" w:rsidRPr="00833C88">
        <w:rPr>
          <w:rFonts w:cs="Times New Roman"/>
          <w:sz w:val="24"/>
          <w:szCs w:val="24"/>
        </w:rPr>
        <w:t xml:space="preserve">. </w:t>
      </w:r>
      <w:r w:rsidR="009C5E1D" w:rsidRPr="00833C88">
        <w:rPr>
          <w:rFonts w:cs="Times New Roman"/>
          <w:sz w:val="24"/>
          <w:szCs w:val="24"/>
        </w:rPr>
        <w:t>UE</w:t>
      </w:r>
      <w:r w:rsidR="00D262D5" w:rsidRPr="00833C88">
        <w:rPr>
          <w:rFonts w:cs="Times New Roman"/>
          <w:sz w:val="24"/>
          <w:szCs w:val="24"/>
        </w:rPr>
        <w:t xml:space="preserve"> L 124 </w:t>
      </w:r>
      <w:r w:rsidR="00601933" w:rsidRPr="00833C88">
        <w:rPr>
          <w:rFonts w:cs="Times New Roman"/>
          <w:sz w:val="24"/>
          <w:szCs w:val="24"/>
        </w:rPr>
        <w:t>z </w:t>
      </w:r>
      <w:r w:rsidR="00D262D5" w:rsidRPr="00833C88">
        <w:rPr>
          <w:rFonts w:cs="Times New Roman"/>
          <w:sz w:val="24"/>
          <w:szCs w:val="24"/>
        </w:rPr>
        <w:t>20.</w:t>
      </w:r>
      <w:r w:rsidR="00D550D5" w:rsidRPr="00833C88">
        <w:rPr>
          <w:rFonts w:cs="Times New Roman"/>
          <w:sz w:val="24"/>
          <w:szCs w:val="24"/>
        </w:rPr>
        <w:t>0</w:t>
      </w:r>
      <w:r w:rsidR="00D262D5" w:rsidRPr="00833C88">
        <w:rPr>
          <w:rFonts w:cs="Times New Roman"/>
          <w:sz w:val="24"/>
          <w:szCs w:val="24"/>
        </w:rPr>
        <w:t>5.2003, s</w:t>
      </w:r>
      <w:r w:rsidR="00A84231" w:rsidRPr="00833C88">
        <w:rPr>
          <w:rFonts w:cs="Times New Roman"/>
          <w:sz w:val="24"/>
          <w:szCs w:val="24"/>
        </w:rPr>
        <w:t>tr</w:t>
      </w:r>
      <w:r w:rsidR="00D262D5" w:rsidRPr="00833C88">
        <w:rPr>
          <w:rFonts w:cs="Times New Roman"/>
          <w:sz w:val="24"/>
          <w:szCs w:val="24"/>
        </w:rPr>
        <w:t>. 36)</w:t>
      </w:r>
      <w:r w:rsidR="0079566B" w:rsidRPr="00833C88">
        <w:rPr>
          <w:rFonts w:cs="Times New Roman"/>
          <w:sz w:val="24"/>
          <w:szCs w:val="24"/>
        </w:rPr>
        <w:t>. Zalecenie</w:t>
      </w:r>
      <w:r w:rsidR="009A63A1" w:rsidRPr="00833C88">
        <w:rPr>
          <w:rFonts w:cs="Times New Roman"/>
          <w:sz w:val="24"/>
          <w:szCs w:val="24"/>
        </w:rPr>
        <w:t xml:space="preserve"> Komisji (UE)</w:t>
      </w:r>
      <w:r w:rsidR="0079566B" w:rsidRPr="00833C88">
        <w:rPr>
          <w:rFonts w:cs="Times New Roman"/>
          <w:sz w:val="24"/>
          <w:szCs w:val="24"/>
        </w:rPr>
        <w:t xml:space="preserve"> jest aktem prawa miękkiego </w:t>
      </w:r>
      <w:r w:rsidR="00601933" w:rsidRPr="00833C88">
        <w:rPr>
          <w:rFonts w:cs="Times New Roman"/>
          <w:sz w:val="24"/>
          <w:szCs w:val="24"/>
        </w:rPr>
        <w:t>i </w:t>
      </w:r>
      <w:r w:rsidR="0079566B" w:rsidRPr="00833C88">
        <w:rPr>
          <w:rFonts w:cs="Times New Roman"/>
          <w:sz w:val="24"/>
          <w:szCs w:val="24"/>
        </w:rPr>
        <w:t xml:space="preserve">zgodnie </w:t>
      </w:r>
      <w:r w:rsidR="00601933" w:rsidRPr="00833C88">
        <w:rPr>
          <w:rFonts w:cs="Times New Roman"/>
          <w:sz w:val="24"/>
          <w:szCs w:val="24"/>
        </w:rPr>
        <w:t>z </w:t>
      </w:r>
      <w:r w:rsidR="0079566B" w:rsidRPr="00833C88">
        <w:rPr>
          <w:rFonts w:cs="Times New Roman"/>
          <w:sz w:val="24"/>
          <w:szCs w:val="24"/>
        </w:rPr>
        <w:t>zasadami techniki prawodawczej nie odwołuj</w:t>
      </w:r>
      <w:r w:rsidR="00581D64" w:rsidRPr="00833C88">
        <w:rPr>
          <w:rFonts w:cs="Times New Roman"/>
          <w:sz w:val="24"/>
          <w:szCs w:val="24"/>
        </w:rPr>
        <w:t>e</w:t>
      </w:r>
      <w:r w:rsidR="0079566B" w:rsidRPr="00833C88">
        <w:rPr>
          <w:rFonts w:cs="Times New Roman"/>
          <w:sz w:val="24"/>
          <w:szCs w:val="24"/>
        </w:rPr>
        <w:t xml:space="preserve"> się </w:t>
      </w:r>
      <w:r w:rsidR="00ED7407" w:rsidRPr="00833C88">
        <w:rPr>
          <w:rFonts w:cs="Times New Roman"/>
          <w:sz w:val="24"/>
          <w:szCs w:val="24"/>
        </w:rPr>
        <w:t xml:space="preserve">do tego rodzaju aktów. Dlatego ustawa </w:t>
      </w:r>
      <w:r w:rsidR="00601933" w:rsidRPr="00833C88">
        <w:rPr>
          <w:rFonts w:cs="Times New Roman"/>
          <w:sz w:val="24"/>
          <w:szCs w:val="24"/>
        </w:rPr>
        <w:t>o </w:t>
      </w:r>
      <w:r w:rsidR="000D1F49" w:rsidRPr="00833C88">
        <w:rPr>
          <w:rFonts w:cs="Times New Roman"/>
          <w:sz w:val="24"/>
          <w:szCs w:val="24"/>
        </w:rPr>
        <w:t xml:space="preserve">KSC </w:t>
      </w:r>
      <w:r w:rsidR="00ED7407" w:rsidRPr="00833C88">
        <w:rPr>
          <w:rFonts w:cs="Times New Roman"/>
          <w:sz w:val="24"/>
          <w:szCs w:val="24"/>
        </w:rPr>
        <w:t>odwołuje się do progów średniego przedsiębiorstwa określonych w</w:t>
      </w:r>
      <w:r w:rsidR="009A63A1" w:rsidRPr="00833C88">
        <w:rPr>
          <w:rFonts w:cs="Times New Roman"/>
          <w:sz w:val="24"/>
          <w:szCs w:val="24"/>
        </w:rPr>
        <w:t> </w:t>
      </w:r>
      <w:r w:rsidR="00CC0074" w:rsidRPr="00833C88">
        <w:rPr>
          <w:rFonts w:cs="Times New Roman"/>
          <w:sz w:val="24"/>
          <w:szCs w:val="24"/>
        </w:rPr>
        <w:t>załącznik</w:t>
      </w:r>
      <w:r w:rsidR="009A63A1" w:rsidRPr="00833C88">
        <w:rPr>
          <w:rFonts w:cs="Times New Roman"/>
          <w:sz w:val="24"/>
          <w:szCs w:val="24"/>
        </w:rPr>
        <w:t>u</w:t>
      </w:r>
      <w:r w:rsidR="00CC0074" w:rsidRPr="00833C88">
        <w:rPr>
          <w:rFonts w:cs="Times New Roman"/>
          <w:sz w:val="24"/>
          <w:szCs w:val="24"/>
        </w:rPr>
        <w:t xml:space="preserve"> </w:t>
      </w:r>
      <w:r w:rsidR="00601933" w:rsidRPr="00833C88">
        <w:rPr>
          <w:rFonts w:cs="Times New Roman"/>
          <w:sz w:val="24"/>
          <w:szCs w:val="24"/>
        </w:rPr>
        <w:t>I </w:t>
      </w:r>
      <w:r w:rsidR="00CC0074" w:rsidRPr="00833C88">
        <w:rPr>
          <w:rFonts w:cs="Times New Roman"/>
          <w:sz w:val="24"/>
          <w:szCs w:val="24"/>
        </w:rPr>
        <w:t xml:space="preserve">do </w:t>
      </w:r>
      <w:r w:rsidR="009A63A1" w:rsidRPr="00833C88">
        <w:rPr>
          <w:rFonts w:cs="Times New Roman"/>
          <w:sz w:val="24"/>
          <w:szCs w:val="24"/>
        </w:rPr>
        <w:t xml:space="preserve">rozporządzenia </w:t>
      </w:r>
      <w:r w:rsidR="00CC0074" w:rsidRPr="00833C88">
        <w:rPr>
          <w:rFonts w:cs="Times New Roman"/>
          <w:sz w:val="24"/>
          <w:szCs w:val="24"/>
        </w:rPr>
        <w:t>Komisji (UE) nr 651/2014 z</w:t>
      </w:r>
      <w:r w:rsidR="009B4C26" w:rsidRPr="00833C88">
        <w:rPr>
          <w:rFonts w:cs="Times New Roman"/>
          <w:sz w:val="24"/>
          <w:szCs w:val="24"/>
        </w:rPr>
        <w:t> </w:t>
      </w:r>
      <w:r w:rsidR="00CC0074" w:rsidRPr="00833C88">
        <w:rPr>
          <w:rFonts w:cs="Times New Roman"/>
          <w:sz w:val="24"/>
          <w:szCs w:val="24"/>
        </w:rPr>
        <w:t xml:space="preserve">dnia 17 czerwca 2014 r. uznającego niektóre rodzaje pomocy za zgodne </w:t>
      </w:r>
      <w:r w:rsidR="00601933" w:rsidRPr="00833C88">
        <w:rPr>
          <w:rFonts w:cs="Times New Roman"/>
          <w:sz w:val="24"/>
          <w:szCs w:val="24"/>
        </w:rPr>
        <w:t>z </w:t>
      </w:r>
      <w:r w:rsidR="00CC0074" w:rsidRPr="00833C88">
        <w:rPr>
          <w:rFonts w:cs="Times New Roman"/>
          <w:sz w:val="24"/>
          <w:szCs w:val="24"/>
        </w:rPr>
        <w:t>rynkiem wewnętrznym w</w:t>
      </w:r>
      <w:r w:rsidR="00BE2629" w:rsidRPr="00833C88">
        <w:rPr>
          <w:rFonts w:cs="Times New Roman"/>
          <w:sz w:val="24"/>
          <w:szCs w:val="24"/>
        </w:rPr>
        <w:t> </w:t>
      </w:r>
      <w:r w:rsidR="00CC0074" w:rsidRPr="00833C88">
        <w:rPr>
          <w:rFonts w:cs="Times New Roman"/>
          <w:sz w:val="24"/>
          <w:szCs w:val="24"/>
        </w:rPr>
        <w:t>zastoso</w:t>
      </w:r>
      <w:r w:rsidR="00BE2629" w:rsidRPr="00833C88">
        <w:rPr>
          <w:rFonts w:cs="Times New Roman"/>
          <w:sz w:val="24"/>
          <w:szCs w:val="24"/>
        </w:rPr>
        <w:t>wan</w:t>
      </w:r>
      <w:r w:rsidR="00CC0074" w:rsidRPr="00833C88">
        <w:rPr>
          <w:rFonts w:cs="Times New Roman"/>
          <w:sz w:val="24"/>
          <w:szCs w:val="24"/>
        </w:rPr>
        <w:t xml:space="preserve">iu art. 107 </w:t>
      </w:r>
      <w:r w:rsidR="00601933" w:rsidRPr="00833C88">
        <w:rPr>
          <w:rFonts w:cs="Times New Roman"/>
          <w:sz w:val="24"/>
          <w:szCs w:val="24"/>
        </w:rPr>
        <w:t>i </w:t>
      </w:r>
      <w:r w:rsidR="00CC0074" w:rsidRPr="00833C88">
        <w:rPr>
          <w:rFonts w:cs="Times New Roman"/>
          <w:sz w:val="24"/>
          <w:szCs w:val="24"/>
        </w:rPr>
        <w:t xml:space="preserve">108 Traktatu (Dz. Urz. UE L </w:t>
      </w:r>
      <w:r w:rsidR="009A63A1" w:rsidRPr="00833C88">
        <w:rPr>
          <w:rFonts w:cs="Times New Roman"/>
          <w:sz w:val="24"/>
          <w:szCs w:val="24"/>
        </w:rPr>
        <w:t>651/2014</w:t>
      </w:r>
      <w:r w:rsidR="00CC0074" w:rsidRPr="00833C88">
        <w:rPr>
          <w:rFonts w:cs="Times New Roman"/>
          <w:sz w:val="24"/>
          <w:szCs w:val="24"/>
        </w:rPr>
        <w:t xml:space="preserve"> </w:t>
      </w:r>
      <w:r w:rsidR="00601933" w:rsidRPr="00833C88">
        <w:rPr>
          <w:rFonts w:cs="Times New Roman"/>
          <w:sz w:val="24"/>
          <w:szCs w:val="24"/>
        </w:rPr>
        <w:t>z </w:t>
      </w:r>
      <w:r w:rsidR="00CC0074" w:rsidRPr="00833C88">
        <w:rPr>
          <w:rFonts w:cs="Times New Roman"/>
          <w:sz w:val="24"/>
          <w:szCs w:val="24"/>
        </w:rPr>
        <w:t>26.06.2014</w:t>
      </w:r>
      <w:r w:rsidR="004734AD" w:rsidRPr="00833C88">
        <w:rPr>
          <w:rFonts w:cs="Times New Roman"/>
          <w:sz w:val="24"/>
          <w:szCs w:val="24"/>
        </w:rPr>
        <w:t> </w:t>
      </w:r>
      <w:r w:rsidR="00902DAB" w:rsidRPr="00833C88">
        <w:rPr>
          <w:rFonts w:cs="Times New Roman"/>
          <w:sz w:val="24"/>
          <w:szCs w:val="24"/>
        </w:rPr>
        <w:t>r.</w:t>
      </w:r>
      <w:r w:rsidR="00CC0074" w:rsidRPr="00833C88">
        <w:rPr>
          <w:rFonts w:cs="Times New Roman"/>
          <w:sz w:val="24"/>
          <w:szCs w:val="24"/>
        </w:rPr>
        <w:t xml:space="preserve">), </w:t>
      </w:r>
      <w:r w:rsidR="009A63A1" w:rsidRPr="00833C88">
        <w:rPr>
          <w:rFonts w:cs="Times New Roman"/>
          <w:sz w:val="24"/>
          <w:szCs w:val="24"/>
        </w:rPr>
        <w:t>zwane dalej „rozporządzeniem 651/2014</w:t>
      </w:r>
      <w:r w:rsidR="00B420C3" w:rsidRPr="00833C88">
        <w:rPr>
          <w:rFonts w:cs="Times New Roman"/>
          <w:sz w:val="24"/>
          <w:szCs w:val="24"/>
        </w:rPr>
        <w:t>/UE</w:t>
      </w:r>
      <w:r w:rsidR="009A63A1" w:rsidRPr="00833C88">
        <w:rPr>
          <w:rFonts w:cs="Times New Roman"/>
          <w:sz w:val="24"/>
          <w:szCs w:val="24"/>
        </w:rPr>
        <w:t xml:space="preserve">”, </w:t>
      </w:r>
      <w:r w:rsidR="00CC0074" w:rsidRPr="00833C88">
        <w:rPr>
          <w:rFonts w:cs="Times New Roman"/>
          <w:sz w:val="24"/>
          <w:szCs w:val="24"/>
        </w:rPr>
        <w:t xml:space="preserve">które jest identyczne </w:t>
      </w:r>
      <w:r w:rsidR="00601933" w:rsidRPr="00833C88">
        <w:rPr>
          <w:rFonts w:cs="Times New Roman"/>
          <w:sz w:val="24"/>
          <w:szCs w:val="24"/>
        </w:rPr>
        <w:t>z </w:t>
      </w:r>
      <w:r w:rsidR="00CC0074" w:rsidRPr="00833C88">
        <w:rPr>
          <w:rFonts w:cs="Times New Roman"/>
          <w:sz w:val="24"/>
          <w:szCs w:val="24"/>
        </w:rPr>
        <w:t>zaleceniem</w:t>
      </w:r>
      <w:r w:rsidR="009A63A1" w:rsidRPr="00833C88">
        <w:rPr>
          <w:rFonts w:cs="Times New Roman"/>
          <w:sz w:val="24"/>
          <w:szCs w:val="24"/>
        </w:rPr>
        <w:t xml:space="preserve"> Komisji (UE)</w:t>
      </w:r>
      <w:r w:rsidR="00CC0074" w:rsidRPr="00833C88">
        <w:rPr>
          <w:rFonts w:cs="Times New Roman"/>
          <w:sz w:val="24"/>
          <w:szCs w:val="24"/>
        </w:rPr>
        <w:t xml:space="preserve">. </w:t>
      </w:r>
      <w:r w:rsidR="00601933" w:rsidRPr="00833C88">
        <w:rPr>
          <w:rFonts w:cs="Times New Roman"/>
          <w:sz w:val="24"/>
          <w:szCs w:val="24"/>
        </w:rPr>
        <w:t>W </w:t>
      </w:r>
      <w:r w:rsidR="009A63A1" w:rsidRPr="00833C88">
        <w:rPr>
          <w:rFonts w:cs="Times New Roman"/>
          <w:sz w:val="24"/>
          <w:szCs w:val="24"/>
        </w:rPr>
        <w:t>tym przypadku n</w:t>
      </w:r>
      <w:r w:rsidR="00913C25" w:rsidRPr="00833C88">
        <w:rPr>
          <w:rFonts w:cs="Times New Roman"/>
          <w:sz w:val="24"/>
          <w:szCs w:val="24"/>
        </w:rPr>
        <w:t>ie</w:t>
      </w:r>
      <w:r w:rsidR="009A63A1" w:rsidRPr="00833C88">
        <w:rPr>
          <w:rFonts w:cs="Times New Roman"/>
          <w:sz w:val="24"/>
          <w:szCs w:val="24"/>
        </w:rPr>
        <w:t> </w:t>
      </w:r>
      <w:r w:rsidR="00913C25" w:rsidRPr="00833C88">
        <w:rPr>
          <w:rFonts w:cs="Times New Roman"/>
          <w:sz w:val="24"/>
          <w:szCs w:val="24"/>
        </w:rPr>
        <w:t xml:space="preserve">jest możliwe odwołanie do </w:t>
      </w:r>
      <w:r w:rsidR="009A63A1" w:rsidRPr="00833C88">
        <w:rPr>
          <w:rFonts w:cs="Times New Roman"/>
          <w:sz w:val="24"/>
          <w:szCs w:val="24"/>
        </w:rPr>
        <w:t xml:space="preserve">ustawy </w:t>
      </w:r>
      <w:r w:rsidR="00601933" w:rsidRPr="00833C88">
        <w:rPr>
          <w:rFonts w:cs="Times New Roman"/>
          <w:sz w:val="24"/>
          <w:szCs w:val="24"/>
        </w:rPr>
        <w:t>z </w:t>
      </w:r>
      <w:r w:rsidR="009A63A1" w:rsidRPr="00833C88">
        <w:rPr>
          <w:rFonts w:cs="Times New Roman"/>
          <w:sz w:val="24"/>
          <w:szCs w:val="24"/>
        </w:rPr>
        <w:t>dnia 6 marca 2018 r. – P</w:t>
      </w:r>
      <w:r w:rsidR="00913C25" w:rsidRPr="00833C88">
        <w:rPr>
          <w:rFonts w:cs="Times New Roman"/>
          <w:sz w:val="24"/>
          <w:szCs w:val="24"/>
        </w:rPr>
        <w:t>raw</w:t>
      </w:r>
      <w:r w:rsidR="009A63A1" w:rsidRPr="00833C88">
        <w:rPr>
          <w:rFonts w:cs="Times New Roman"/>
          <w:sz w:val="24"/>
          <w:szCs w:val="24"/>
        </w:rPr>
        <w:t>o</w:t>
      </w:r>
      <w:r w:rsidR="00913C25" w:rsidRPr="00833C88">
        <w:rPr>
          <w:rFonts w:cs="Times New Roman"/>
          <w:sz w:val="24"/>
          <w:szCs w:val="24"/>
        </w:rPr>
        <w:t xml:space="preserve"> przedsiębiorców</w:t>
      </w:r>
      <w:r w:rsidR="00A84231" w:rsidRPr="00833C88">
        <w:rPr>
          <w:rFonts w:cs="Times New Roman"/>
          <w:sz w:val="24"/>
          <w:szCs w:val="24"/>
        </w:rPr>
        <w:t xml:space="preserve"> (Dz. U. </w:t>
      </w:r>
      <w:r w:rsidR="00601933" w:rsidRPr="00833C88">
        <w:rPr>
          <w:rFonts w:cs="Times New Roman"/>
          <w:sz w:val="24"/>
          <w:szCs w:val="24"/>
        </w:rPr>
        <w:t>z </w:t>
      </w:r>
      <w:r w:rsidR="00A84231" w:rsidRPr="00833C88">
        <w:rPr>
          <w:rFonts w:cs="Times New Roman"/>
          <w:sz w:val="24"/>
          <w:szCs w:val="24"/>
        </w:rPr>
        <w:t xml:space="preserve">2024 r. poz. </w:t>
      </w:r>
      <w:r w:rsidR="00AB03C1" w:rsidRPr="00833C88">
        <w:rPr>
          <w:rFonts w:cs="Times New Roman"/>
          <w:sz w:val="24"/>
          <w:szCs w:val="24"/>
        </w:rPr>
        <w:t>236</w:t>
      </w:r>
      <w:r w:rsidR="00032948" w:rsidRPr="00833C88">
        <w:rPr>
          <w:rFonts w:cs="Times New Roman"/>
          <w:sz w:val="24"/>
          <w:szCs w:val="24"/>
        </w:rPr>
        <w:t>,</w:t>
      </w:r>
      <w:r w:rsidR="00601933" w:rsidRPr="00833C88">
        <w:rPr>
          <w:rFonts w:cs="Times New Roman"/>
          <w:sz w:val="24"/>
          <w:szCs w:val="24"/>
        </w:rPr>
        <w:t> </w:t>
      </w:r>
      <w:r w:rsidR="004862DB" w:rsidRPr="00833C88">
        <w:rPr>
          <w:rFonts w:cs="Times New Roman"/>
          <w:sz w:val="24"/>
          <w:szCs w:val="24"/>
        </w:rPr>
        <w:t>z późn. zm.</w:t>
      </w:r>
      <w:r w:rsidR="00A84231" w:rsidRPr="00833C88">
        <w:rPr>
          <w:rFonts w:cs="Times New Roman"/>
          <w:sz w:val="24"/>
          <w:szCs w:val="24"/>
        </w:rPr>
        <w:t>)</w:t>
      </w:r>
      <w:r w:rsidR="00913C25" w:rsidRPr="00833C88">
        <w:rPr>
          <w:rFonts w:cs="Times New Roman"/>
          <w:sz w:val="24"/>
          <w:szCs w:val="24"/>
        </w:rPr>
        <w:t xml:space="preserve">, ponieważ jego przepisy nie odpowiadają </w:t>
      </w:r>
      <w:r w:rsidR="009A63A1" w:rsidRPr="00833C88">
        <w:rPr>
          <w:rFonts w:cs="Times New Roman"/>
          <w:sz w:val="24"/>
          <w:szCs w:val="24"/>
        </w:rPr>
        <w:t xml:space="preserve">ww. </w:t>
      </w:r>
      <w:r w:rsidR="00783093" w:rsidRPr="00833C88">
        <w:rPr>
          <w:rFonts w:cs="Times New Roman"/>
          <w:sz w:val="24"/>
          <w:szCs w:val="24"/>
        </w:rPr>
        <w:t xml:space="preserve">zaleceniu. </w:t>
      </w:r>
      <w:r w:rsidR="00877888" w:rsidRPr="00833C88">
        <w:rPr>
          <w:rFonts w:cs="Times New Roman"/>
          <w:sz w:val="24"/>
          <w:szCs w:val="24"/>
        </w:rPr>
        <w:t xml:space="preserve">Przy ustalaniu </w:t>
      </w:r>
      <w:r w:rsidR="00404CD9" w:rsidRPr="00833C88">
        <w:rPr>
          <w:rFonts w:cs="Times New Roman"/>
          <w:sz w:val="24"/>
          <w:szCs w:val="24"/>
        </w:rPr>
        <w:t>wielkości przedsiębiorstwa warto skorzystać z</w:t>
      </w:r>
      <w:r w:rsidR="00181C9F" w:rsidRPr="00833C88">
        <w:rPr>
          <w:rFonts w:cs="Times New Roman"/>
          <w:sz w:val="24"/>
          <w:szCs w:val="24"/>
        </w:rPr>
        <w:t> </w:t>
      </w:r>
      <w:r w:rsidR="00404CD9" w:rsidRPr="00833C88">
        <w:rPr>
          <w:rFonts w:cs="Times New Roman"/>
          <w:sz w:val="24"/>
          <w:szCs w:val="24"/>
        </w:rPr>
        <w:t>aktualnej wersji poradnika</w:t>
      </w:r>
      <w:r w:rsidR="00C81828" w:rsidRPr="00833C88">
        <w:rPr>
          <w:rFonts w:cs="Times New Roman"/>
          <w:sz w:val="24"/>
          <w:szCs w:val="24"/>
        </w:rPr>
        <w:t xml:space="preserve"> </w:t>
      </w:r>
      <w:r w:rsidR="00C81828" w:rsidRPr="00833C88">
        <w:rPr>
          <w:rStyle w:val="Odwoanieprzypisudolnego"/>
          <w:rFonts w:cs="Times New Roman"/>
          <w:sz w:val="24"/>
          <w:szCs w:val="24"/>
        </w:rPr>
        <w:footnoteReference w:id="14"/>
      </w:r>
      <w:r w:rsidR="00DA1EF1" w:rsidRPr="00833C88">
        <w:rPr>
          <w:rFonts w:cs="Times New Roman"/>
          <w:sz w:val="24"/>
          <w:szCs w:val="24"/>
          <w:vertAlign w:val="superscript"/>
        </w:rPr>
        <w:t>)</w:t>
      </w:r>
      <w:r w:rsidR="00DA1EF1" w:rsidRPr="00833C88">
        <w:rPr>
          <w:rFonts w:cs="Times New Roman"/>
          <w:sz w:val="24"/>
          <w:szCs w:val="24"/>
        </w:rPr>
        <w:t>.</w:t>
      </w:r>
      <w:r w:rsidR="00C81828" w:rsidRPr="00833C88">
        <w:rPr>
          <w:rFonts w:cs="Times New Roman"/>
          <w:sz w:val="24"/>
          <w:szCs w:val="24"/>
        </w:rPr>
        <w:t xml:space="preserve"> </w:t>
      </w:r>
      <w:r w:rsidR="009477C0" w:rsidRPr="00833C88">
        <w:rPr>
          <w:rFonts w:cs="Times New Roman"/>
          <w:sz w:val="24"/>
          <w:szCs w:val="24"/>
        </w:rPr>
        <w:t xml:space="preserve">Ustalając wielkość podmiotu należy wziąć pod uwagę wszystkie wymogi załącznika </w:t>
      </w:r>
      <w:r w:rsidR="000C43B9" w:rsidRPr="00833C88">
        <w:rPr>
          <w:rFonts w:cs="Times New Roman"/>
          <w:sz w:val="24"/>
          <w:szCs w:val="24"/>
        </w:rPr>
        <w:t>I do rozporządzenia Komisji (UE) nr 651/2014</w:t>
      </w:r>
      <w:r w:rsidR="009477C0" w:rsidRPr="00833C88">
        <w:rPr>
          <w:rFonts w:cs="Times New Roman"/>
          <w:sz w:val="24"/>
          <w:szCs w:val="24"/>
        </w:rPr>
        <w:t>. Przede wszystkim należy odnieść się do pojęcia przedsiębiorstwa, które zostało zdefiniowane w art.</w:t>
      </w:r>
      <w:r w:rsidR="00031FDA" w:rsidRPr="00833C88">
        <w:rPr>
          <w:rFonts w:cs="Times New Roman"/>
          <w:sz w:val="24"/>
          <w:szCs w:val="24"/>
        </w:rPr>
        <w:t> </w:t>
      </w:r>
      <w:r w:rsidR="009477C0" w:rsidRPr="00833C88">
        <w:rPr>
          <w:rFonts w:cs="Times New Roman"/>
          <w:sz w:val="24"/>
          <w:szCs w:val="24"/>
        </w:rPr>
        <w:t xml:space="preserve">1 tego załącznika. Następnie należy wziąć pod uwagę progi mikro, małych i średnich przedsiębiorstw wskazane w art. 2. Przy obliczaniu wielkości przedsiębiorstwa uwzględnia się również przedsiębiorstwa powiązane oraz przedsiębiorstwa </w:t>
      </w:r>
      <w:r w:rsidR="000C43B9" w:rsidRPr="00833C88">
        <w:rPr>
          <w:rFonts w:cs="Times New Roman"/>
          <w:sz w:val="24"/>
          <w:szCs w:val="24"/>
        </w:rPr>
        <w:t>partnerskie</w:t>
      </w:r>
      <w:r w:rsidR="004257B7" w:rsidRPr="00833C88">
        <w:rPr>
          <w:rFonts w:cs="Times New Roman"/>
          <w:sz w:val="24"/>
          <w:szCs w:val="24"/>
        </w:rPr>
        <w:t>, co wskazano w</w:t>
      </w:r>
      <w:r w:rsidR="004734AD" w:rsidRPr="00833C88">
        <w:rPr>
          <w:rFonts w:cs="Times New Roman"/>
          <w:sz w:val="24"/>
          <w:szCs w:val="24"/>
        </w:rPr>
        <w:t> </w:t>
      </w:r>
      <w:r w:rsidR="004257B7" w:rsidRPr="00833C88">
        <w:rPr>
          <w:rFonts w:cs="Times New Roman"/>
          <w:sz w:val="24"/>
          <w:szCs w:val="24"/>
        </w:rPr>
        <w:t>art.</w:t>
      </w:r>
      <w:r w:rsidR="001234D0" w:rsidRPr="00833C88">
        <w:rPr>
          <w:rFonts w:cs="Times New Roman"/>
          <w:sz w:val="24"/>
          <w:szCs w:val="24"/>
        </w:rPr>
        <w:t> </w:t>
      </w:r>
      <w:r w:rsidR="004257B7" w:rsidRPr="00833C88">
        <w:rPr>
          <w:rFonts w:cs="Times New Roman"/>
          <w:sz w:val="24"/>
          <w:szCs w:val="24"/>
        </w:rPr>
        <w:t>3</w:t>
      </w:r>
      <w:r w:rsidR="009923C2" w:rsidRPr="00833C88">
        <w:rPr>
          <w:rStyle w:val="Odwoanieprzypisudolnego"/>
          <w:rFonts w:cs="Times New Roman"/>
          <w:sz w:val="24"/>
          <w:szCs w:val="24"/>
        </w:rPr>
        <w:footnoteReference w:id="15"/>
      </w:r>
      <w:r w:rsidR="001234D0" w:rsidRPr="00833C88">
        <w:rPr>
          <w:rFonts w:cs="Times New Roman"/>
          <w:sz w:val="24"/>
          <w:szCs w:val="24"/>
          <w:vertAlign w:val="superscript"/>
        </w:rPr>
        <w:t>)</w:t>
      </w:r>
      <w:r w:rsidR="009477C0" w:rsidRPr="00833C88">
        <w:rPr>
          <w:rFonts w:cs="Times New Roman"/>
          <w:sz w:val="24"/>
          <w:szCs w:val="24"/>
        </w:rPr>
        <w:t xml:space="preserve">. </w:t>
      </w:r>
      <w:r w:rsidR="001234D0" w:rsidRPr="00833C88">
        <w:rPr>
          <w:rFonts w:cs="Times New Roman"/>
          <w:sz w:val="24"/>
          <w:szCs w:val="24"/>
        </w:rPr>
        <w:t>Art.</w:t>
      </w:r>
      <w:r w:rsidR="009477C0" w:rsidRPr="00833C88">
        <w:rPr>
          <w:rFonts w:cs="Times New Roman"/>
          <w:sz w:val="24"/>
          <w:szCs w:val="24"/>
        </w:rPr>
        <w:t xml:space="preserve"> 4 określa jakie dane finansowe oraz </w:t>
      </w:r>
      <w:r w:rsidR="001234D0" w:rsidRPr="00833C88">
        <w:rPr>
          <w:rFonts w:cs="Times New Roman"/>
          <w:sz w:val="24"/>
          <w:szCs w:val="24"/>
        </w:rPr>
        <w:t xml:space="preserve">które dane </w:t>
      </w:r>
      <w:r w:rsidR="009477C0" w:rsidRPr="00833C88">
        <w:rPr>
          <w:rFonts w:cs="Times New Roman"/>
          <w:sz w:val="24"/>
          <w:szCs w:val="24"/>
        </w:rPr>
        <w:t xml:space="preserve">dotyczące zatrudnienia uwzględnia się przy określaniu wielkości przedsiębiorstwa. Jest tutaj szczególna reguła dotycząca ustalania wielkości przedsiębiorstwa </w:t>
      </w:r>
      <w:r w:rsidR="00F56E60" w:rsidRPr="00833C88">
        <w:rPr>
          <w:rFonts w:cs="Times New Roman"/>
          <w:sz w:val="24"/>
          <w:szCs w:val="24"/>
        </w:rPr>
        <w:t>–</w:t>
      </w:r>
      <w:r w:rsidR="009477C0" w:rsidRPr="00833C88">
        <w:rPr>
          <w:rFonts w:cs="Times New Roman"/>
          <w:sz w:val="24"/>
          <w:szCs w:val="24"/>
        </w:rPr>
        <w:t xml:space="preserve"> zmiana statusu jest </w:t>
      </w:r>
      <w:proofErr w:type="gramStart"/>
      <w:r w:rsidR="009477C0" w:rsidRPr="00833C88">
        <w:rPr>
          <w:rFonts w:cs="Times New Roman"/>
          <w:sz w:val="24"/>
          <w:szCs w:val="24"/>
        </w:rPr>
        <w:t>uznawana</w:t>
      </w:r>
      <w:proofErr w:type="gramEnd"/>
      <w:r w:rsidR="009477C0" w:rsidRPr="00833C88">
        <w:rPr>
          <w:rFonts w:cs="Times New Roman"/>
          <w:sz w:val="24"/>
          <w:szCs w:val="24"/>
        </w:rPr>
        <w:t xml:space="preserve"> jeżeli trwa ona przynajmniej 2 lata obrotowe. Art. 5 określa kogo rozumiemy jako pracowników przy obliczaniu wielkości przedsiębiorstwa.</w:t>
      </w:r>
      <w:r w:rsidR="00355B15" w:rsidRPr="00833C88">
        <w:rPr>
          <w:rFonts w:cs="Times New Roman"/>
          <w:sz w:val="24"/>
          <w:szCs w:val="24"/>
        </w:rPr>
        <w:t xml:space="preserve"> Dodatkowe reguły ustalania danych przedsiębiorstwa zawiera art. 6.</w:t>
      </w:r>
    </w:p>
    <w:p w14:paraId="13F0CA11" w14:textId="2AD40676" w:rsidR="00A919C0" w:rsidRPr="00833C88" w:rsidRDefault="000C3D69" w:rsidP="0029004E">
      <w:pPr>
        <w:spacing w:line="360" w:lineRule="auto"/>
        <w:jc w:val="both"/>
        <w:rPr>
          <w:rFonts w:cs="Times New Roman"/>
          <w:sz w:val="24"/>
          <w:szCs w:val="24"/>
        </w:rPr>
      </w:pPr>
      <w:r w:rsidRPr="00833C88">
        <w:rPr>
          <w:rFonts w:cs="Times New Roman"/>
          <w:sz w:val="24"/>
          <w:szCs w:val="24"/>
        </w:rPr>
        <w:t xml:space="preserve">Podstawowa różnica między podmiotem kluczowym </w:t>
      </w:r>
      <w:r w:rsidR="00601933" w:rsidRPr="00833C88">
        <w:rPr>
          <w:rFonts w:cs="Times New Roman"/>
          <w:sz w:val="24"/>
          <w:szCs w:val="24"/>
        </w:rPr>
        <w:t>a </w:t>
      </w:r>
      <w:r w:rsidRPr="00833C88">
        <w:rPr>
          <w:rFonts w:cs="Times New Roman"/>
          <w:sz w:val="24"/>
          <w:szCs w:val="24"/>
        </w:rPr>
        <w:t>podmiotem ważnym wyraża się w</w:t>
      </w:r>
      <w:r w:rsidR="009A63A1" w:rsidRPr="00833C88">
        <w:rPr>
          <w:rFonts w:cs="Times New Roman"/>
          <w:sz w:val="24"/>
          <w:szCs w:val="24"/>
        </w:rPr>
        <w:t> </w:t>
      </w:r>
      <w:r w:rsidRPr="00833C88">
        <w:rPr>
          <w:rFonts w:cs="Times New Roman"/>
          <w:sz w:val="24"/>
          <w:szCs w:val="24"/>
        </w:rPr>
        <w:t xml:space="preserve">kwestiach nadzorczych. Wobec </w:t>
      </w:r>
      <w:r w:rsidR="0031050C" w:rsidRPr="00833C88">
        <w:rPr>
          <w:rFonts w:cs="Times New Roman"/>
          <w:sz w:val="24"/>
          <w:szCs w:val="24"/>
        </w:rPr>
        <w:t xml:space="preserve">podmiotu kluczowego można prowadzić czynności </w:t>
      </w:r>
      <w:r w:rsidR="0031050C" w:rsidRPr="00833C88">
        <w:rPr>
          <w:rFonts w:cs="Times New Roman"/>
          <w:sz w:val="24"/>
          <w:szCs w:val="24"/>
        </w:rPr>
        <w:lastRenderedPageBreak/>
        <w:t xml:space="preserve">nadzorcze </w:t>
      </w:r>
      <w:r w:rsidR="0031050C" w:rsidRPr="00833C88">
        <w:rPr>
          <w:rFonts w:cs="Times New Roman"/>
          <w:i/>
          <w:iCs/>
          <w:sz w:val="24"/>
          <w:szCs w:val="24"/>
        </w:rPr>
        <w:t xml:space="preserve">ex </w:t>
      </w:r>
      <w:proofErr w:type="spellStart"/>
      <w:r w:rsidR="0031050C" w:rsidRPr="00833C88">
        <w:rPr>
          <w:rFonts w:cs="Times New Roman"/>
          <w:i/>
          <w:iCs/>
          <w:sz w:val="24"/>
          <w:szCs w:val="24"/>
        </w:rPr>
        <w:t>ante</w:t>
      </w:r>
      <w:proofErr w:type="spellEnd"/>
      <w:r w:rsidR="0031050C" w:rsidRPr="00833C88">
        <w:rPr>
          <w:rFonts w:cs="Times New Roman"/>
          <w:sz w:val="24"/>
          <w:szCs w:val="24"/>
        </w:rPr>
        <w:t xml:space="preserve"> </w:t>
      </w:r>
      <w:r w:rsidR="00601933" w:rsidRPr="00833C88">
        <w:rPr>
          <w:rFonts w:cs="Times New Roman"/>
          <w:sz w:val="24"/>
          <w:szCs w:val="24"/>
        </w:rPr>
        <w:t>i </w:t>
      </w:r>
      <w:r w:rsidR="0031050C" w:rsidRPr="00833C88">
        <w:rPr>
          <w:rFonts w:cs="Times New Roman"/>
          <w:i/>
          <w:iCs/>
          <w:sz w:val="24"/>
          <w:szCs w:val="24"/>
        </w:rPr>
        <w:t xml:space="preserve">ex post. </w:t>
      </w:r>
      <w:r w:rsidR="0031050C" w:rsidRPr="00833C88">
        <w:rPr>
          <w:rFonts w:cs="Times New Roman"/>
          <w:sz w:val="24"/>
          <w:szCs w:val="24"/>
        </w:rPr>
        <w:t xml:space="preserve">Wobec podmiotu ważnego czynności nadzorcze można prowadzić tylko </w:t>
      </w:r>
      <w:r w:rsidR="0031050C" w:rsidRPr="00833C88">
        <w:rPr>
          <w:rFonts w:cs="Times New Roman"/>
          <w:i/>
          <w:iCs/>
          <w:sz w:val="24"/>
          <w:szCs w:val="24"/>
        </w:rPr>
        <w:t>ex post.</w:t>
      </w:r>
      <w:r w:rsidR="00CF5579" w:rsidRPr="00833C88">
        <w:rPr>
          <w:rFonts w:cs="Times New Roman"/>
          <w:i/>
          <w:iCs/>
          <w:sz w:val="24"/>
          <w:szCs w:val="24"/>
        </w:rPr>
        <w:t xml:space="preserve"> </w:t>
      </w:r>
      <w:r w:rsidR="00CF5579" w:rsidRPr="00833C88">
        <w:rPr>
          <w:rFonts w:cs="Times New Roman"/>
          <w:sz w:val="24"/>
          <w:szCs w:val="24"/>
        </w:rPr>
        <w:t xml:space="preserve">Pozostałe obowiązki podmiotów kluczowych </w:t>
      </w:r>
      <w:r w:rsidR="00601933" w:rsidRPr="00833C88">
        <w:rPr>
          <w:rFonts w:cs="Times New Roman"/>
          <w:sz w:val="24"/>
          <w:szCs w:val="24"/>
        </w:rPr>
        <w:t>i </w:t>
      </w:r>
      <w:r w:rsidR="00CF5579" w:rsidRPr="00833C88">
        <w:rPr>
          <w:rFonts w:cs="Times New Roman"/>
          <w:sz w:val="24"/>
          <w:szCs w:val="24"/>
        </w:rPr>
        <w:t>podmiotów ważnych są</w:t>
      </w:r>
      <w:r w:rsidR="000305CD" w:rsidRPr="00833C88">
        <w:rPr>
          <w:rFonts w:cs="Times New Roman"/>
          <w:sz w:val="24"/>
          <w:szCs w:val="24"/>
        </w:rPr>
        <w:t> </w:t>
      </w:r>
      <w:r w:rsidR="00CF5579" w:rsidRPr="00833C88">
        <w:rPr>
          <w:rFonts w:cs="Times New Roman"/>
          <w:sz w:val="24"/>
          <w:szCs w:val="24"/>
        </w:rPr>
        <w:t>identyczne</w:t>
      </w:r>
      <w:r w:rsidR="00C60816" w:rsidRPr="00833C88">
        <w:rPr>
          <w:rFonts w:cs="Times New Roman"/>
          <w:sz w:val="24"/>
          <w:szCs w:val="24"/>
        </w:rPr>
        <w:t xml:space="preserve"> </w:t>
      </w:r>
      <w:r w:rsidR="00601933" w:rsidRPr="00833C88">
        <w:rPr>
          <w:rFonts w:cs="Times New Roman"/>
          <w:sz w:val="24"/>
          <w:szCs w:val="24"/>
        </w:rPr>
        <w:t>z </w:t>
      </w:r>
      <w:r w:rsidR="00C60816" w:rsidRPr="00833C88">
        <w:rPr>
          <w:rFonts w:cs="Times New Roman"/>
          <w:sz w:val="24"/>
          <w:szCs w:val="24"/>
        </w:rPr>
        <w:t>wyjątkiem kwestii obowiązkowych audytów.</w:t>
      </w:r>
    </w:p>
    <w:p w14:paraId="0CF780F7" w14:textId="142234DD" w:rsidR="008806F7" w:rsidRPr="00833C88" w:rsidRDefault="008806F7" w:rsidP="00031FDA">
      <w:pPr>
        <w:pStyle w:val="ZARTzmartartykuempunktem"/>
        <w:ind w:left="0" w:firstLine="0"/>
        <w:rPr>
          <w:rFonts w:ascii="Times New Roman" w:hAnsi="Times New Roman" w:cs="Times New Roman"/>
        </w:rPr>
      </w:pPr>
      <w:r w:rsidRPr="00833C88">
        <w:rPr>
          <w:rFonts w:ascii="Times New Roman" w:hAnsi="Times New Roman" w:cs="Times New Roman"/>
        </w:rPr>
        <w:t>Podmiotem kluczowym jest:</w:t>
      </w:r>
    </w:p>
    <w:p w14:paraId="0E1B3629" w14:textId="57659BEE" w:rsidR="008806F7" w:rsidRPr="00833C88" w:rsidRDefault="008806F7" w:rsidP="00031FDA">
      <w:pPr>
        <w:pStyle w:val="ZPKTzmpktartykuempunktem"/>
        <w:rPr>
          <w:rFonts w:ascii="Times New Roman" w:hAnsi="Times New Roman" w:cs="Times New Roman"/>
        </w:rPr>
      </w:pPr>
      <w:r w:rsidRPr="00833C88">
        <w:rPr>
          <w:rFonts w:ascii="Times New Roman" w:hAnsi="Times New Roman" w:cs="Times New Roman"/>
        </w:rPr>
        <w:t>1)</w:t>
      </w:r>
      <w:r w:rsidRPr="00833C88">
        <w:rPr>
          <w:rFonts w:ascii="Times New Roman" w:hAnsi="Times New Roman" w:cs="Times New Roman"/>
        </w:rPr>
        <w:tab/>
        <w:t xml:space="preserve">osoba fizyczna, osoba prawna albo jednostka organizacyjna nieposiadająca osobowości prawnej wskazana </w:t>
      </w:r>
      <w:r w:rsidR="00601933" w:rsidRPr="00833C88">
        <w:rPr>
          <w:rFonts w:ascii="Times New Roman" w:hAnsi="Times New Roman" w:cs="Times New Roman"/>
        </w:rPr>
        <w:t>w </w:t>
      </w:r>
      <w:r w:rsidRPr="00833C88">
        <w:rPr>
          <w:rFonts w:ascii="Times New Roman" w:hAnsi="Times New Roman" w:cs="Times New Roman"/>
        </w:rPr>
        <w:t xml:space="preserve">załączniku nr 1 do </w:t>
      </w:r>
      <w:r w:rsidR="001D1B59" w:rsidRPr="00833C88">
        <w:rPr>
          <w:rFonts w:ascii="Times New Roman" w:hAnsi="Times New Roman" w:cs="Times New Roman"/>
        </w:rPr>
        <w:t xml:space="preserve">ustawy </w:t>
      </w:r>
      <w:r w:rsidR="00601933" w:rsidRPr="00833C88">
        <w:rPr>
          <w:rFonts w:ascii="Times New Roman" w:hAnsi="Times New Roman" w:cs="Times New Roman"/>
        </w:rPr>
        <w:t>o </w:t>
      </w:r>
      <w:r w:rsidR="001D1B59" w:rsidRPr="00833C88">
        <w:rPr>
          <w:rFonts w:ascii="Times New Roman" w:hAnsi="Times New Roman" w:cs="Times New Roman"/>
        </w:rPr>
        <w:t>KSC</w:t>
      </w:r>
      <w:r w:rsidRPr="00833C88">
        <w:rPr>
          <w:rFonts w:ascii="Times New Roman" w:hAnsi="Times New Roman" w:cs="Times New Roman"/>
        </w:rPr>
        <w:t>, która przewyższa</w:t>
      </w:r>
      <w:r w:rsidRPr="00833C88" w:rsidDel="00C21B60">
        <w:rPr>
          <w:rFonts w:ascii="Times New Roman" w:hAnsi="Times New Roman" w:cs="Times New Roman"/>
        </w:rPr>
        <w:t xml:space="preserve"> </w:t>
      </w:r>
      <w:r w:rsidRPr="00833C88">
        <w:rPr>
          <w:rFonts w:ascii="Times New Roman" w:hAnsi="Times New Roman" w:cs="Times New Roman"/>
        </w:rPr>
        <w:t>wymogi dla średniego przedsiębiorstwa ok</w:t>
      </w:r>
      <w:r w:rsidR="0046681C" w:rsidRPr="00833C88">
        <w:rPr>
          <w:rFonts w:ascii="Times New Roman" w:hAnsi="Times New Roman" w:cs="Times New Roman"/>
        </w:rPr>
        <w:t>reśl</w:t>
      </w:r>
      <w:r w:rsidRPr="00833C88">
        <w:rPr>
          <w:rFonts w:ascii="Times New Roman" w:hAnsi="Times New Roman" w:cs="Times New Roman"/>
        </w:rPr>
        <w:t xml:space="preserve">one </w:t>
      </w:r>
      <w:r w:rsidR="00601933" w:rsidRPr="00833C88">
        <w:rPr>
          <w:rFonts w:ascii="Times New Roman" w:hAnsi="Times New Roman" w:cs="Times New Roman"/>
        </w:rPr>
        <w:t>w </w:t>
      </w:r>
      <w:r w:rsidRPr="00833C88">
        <w:rPr>
          <w:rFonts w:ascii="Times New Roman" w:hAnsi="Times New Roman" w:cs="Times New Roman"/>
        </w:rPr>
        <w:t>art. 2 ust.</w:t>
      </w:r>
      <w:r w:rsidR="00846C33" w:rsidRPr="00833C88">
        <w:rPr>
          <w:rFonts w:ascii="Times New Roman" w:hAnsi="Times New Roman" w:cs="Times New Roman"/>
        </w:rPr>
        <w:t> </w:t>
      </w:r>
      <w:r w:rsidRPr="00833C88">
        <w:rPr>
          <w:rFonts w:ascii="Times New Roman" w:hAnsi="Times New Roman" w:cs="Times New Roman"/>
        </w:rPr>
        <w:t xml:space="preserve">1 załącznika </w:t>
      </w:r>
      <w:r w:rsidR="00601933" w:rsidRPr="00833C88">
        <w:rPr>
          <w:rFonts w:ascii="Times New Roman" w:hAnsi="Times New Roman" w:cs="Times New Roman"/>
        </w:rPr>
        <w:t>I </w:t>
      </w:r>
      <w:r w:rsidRPr="00833C88">
        <w:rPr>
          <w:rFonts w:ascii="Times New Roman" w:hAnsi="Times New Roman" w:cs="Times New Roman"/>
        </w:rPr>
        <w:t>do rozporządzenia 651/2014</w:t>
      </w:r>
      <w:r w:rsidR="00B420C3" w:rsidRPr="00833C88">
        <w:rPr>
          <w:rFonts w:ascii="Times New Roman" w:hAnsi="Times New Roman" w:cs="Times New Roman"/>
        </w:rPr>
        <w:t>/UE</w:t>
      </w:r>
      <w:r w:rsidR="00FB7513" w:rsidRPr="00833C88">
        <w:rPr>
          <w:rFonts w:ascii="Times New Roman" w:hAnsi="Times New Roman" w:cs="Times New Roman"/>
        </w:rPr>
        <w:t xml:space="preserve"> </w:t>
      </w:r>
      <w:r w:rsidR="00294313" w:rsidRPr="00833C88">
        <w:rPr>
          <w:rFonts w:ascii="Times New Roman" w:hAnsi="Times New Roman" w:cs="Times New Roman"/>
        </w:rPr>
        <w:t>–</w:t>
      </w:r>
      <w:r w:rsidR="00FB7513" w:rsidRPr="00833C88">
        <w:rPr>
          <w:rFonts w:ascii="Times New Roman" w:hAnsi="Times New Roman" w:cs="Times New Roman"/>
        </w:rPr>
        <w:t xml:space="preserve"> </w:t>
      </w:r>
      <w:r w:rsidR="00294313" w:rsidRPr="00833C88">
        <w:rPr>
          <w:rFonts w:ascii="Times New Roman" w:hAnsi="Times New Roman" w:cs="Times New Roman"/>
        </w:rPr>
        <w:t>chodzi o dużego przedsiębiorcę</w:t>
      </w:r>
      <w:r w:rsidR="00DA1EF1" w:rsidRPr="00833C88">
        <w:rPr>
          <w:rFonts w:ascii="Times New Roman" w:hAnsi="Times New Roman" w:cs="Times New Roman"/>
        </w:rPr>
        <w:t>;</w:t>
      </w:r>
    </w:p>
    <w:p w14:paraId="44F97FBD" w14:textId="78170DBC" w:rsidR="008806F7" w:rsidRPr="00833C88" w:rsidRDefault="008806F7" w:rsidP="00031FDA">
      <w:pPr>
        <w:pStyle w:val="ZPKTzmpktartykuempunktem"/>
        <w:rPr>
          <w:rFonts w:ascii="Times New Roman" w:hAnsi="Times New Roman" w:cs="Times New Roman"/>
        </w:rPr>
      </w:pPr>
      <w:r w:rsidRPr="00833C88">
        <w:rPr>
          <w:rFonts w:ascii="Times New Roman" w:hAnsi="Times New Roman" w:cs="Times New Roman"/>
        </w:rPr>
        <w:t>2)</w:t>
      </w:r>
      <w:r w:rsidRPr="00833C88">
        <w:rPr>
          <w:rFonts w:ascii="Times New Roman" w:hAnsi="Times New Roman" w:cs="Times New Roman"/>
        </w:rPr>
        <w:tab/>
        <w:t xml:space="preserve">przedsiębiorca komunikacji elektronicznej, który co najmniej spełnia wymogi dla średniego przedsiębiorcy określone </w:t>
      </w:r>
      <w:r w:rsidR="00601933" w:rsidRPr="00833C88">
        <w:rPr>
          <w:rFonts w:ascii="Times New Roman" w:hAnsi="Times New Roman" w:cs="Times New Roman"/>
        </w:rPr>
        <w:t>w </w:t>
      </w:r>
      <w:r w:rsidR="00F56E60" w:rsidRPr="00833C88">
        <w:rPr>
          <w:rFonts w:ascii="Times New Roman" w:hAnsi="Times New Roman" w:cs="Times New Roman"/>
        </w:rPr>
        <w:t>art. 2 ust. 1 załącznika I do rozporządzenia</w:t>
      </w:r>
      <w:r w:rsidRPr="00833C88">
        <w:rPr>
          <w:rFonts w:ascii="Times New Roman" w:hAnsi="Times New Roman" w:cs="Times New Roman"/>
        </w:rPr>
        <w:t xml:space="preserve"> 651/2014/UE;</w:t>
      </w:r>
    </w:p>
    <w:p w14:paraId="5137E7D0" w14:textId="3A4C52A6" w:rsidR="00F341E3" w:rsidRPr="00833C88" w:rsidRDefault="00F341E3" w:rsidP="00031FDA">
      <w:pPr>
        <w:pStyle w:val="ZPKTzmpktartykuempunktem"/>
        <w:rPr>
          <w:rFonts w:ascii="Times New Roman" w:hAnsi="Times New Roman" w:cs="Times New Roman"/>
        </w:rPr>
      </w:pPr>
      <w:r w:rsidRPr="00833C88">
        <w:rPr>
          <w:rFonts w:ascii="Times New Roman" w:hAnsi="Times New Roman" w:cs="Times New Roman"/>
        </w:rPr>
        <w:t>3)</w:t>
      </w:r>
      <w:r w:rsidRPr="00833C88">
        <w:rPr>
          <w:rFonts w:ascii="Times New Roman" w:hAnsi="Times New Roman" w:cs="Times New Roman"/>
        </w:rPr>
        <w:tab/>
        <w:t xml:space="preserve">dostawca usług zarządzanych </w:t>
      </w:r>
      <w:r w:rsidR="00601933" w:rsidRPr="00833C88">
        <w:rPr>
          <w:rFonts w:ascii="Times New Roman" w:hAnsi="Times New Roman" w:cs="Times New Roman"/>
        </w:rPr>
        <w:t>w </w:t>
      </w:r>
      <w:r w:rsidRPr="00833C88">
        <w:rPr>
          <w:rFonts w:ascii="Times New Roman" w:hAnsi="Times New Roman" w:cs="Times New Roman"/>
        </w:rPr>
        <w:t xml:space="preserve">zakresie </w:t>
      </w:r>
      <w:r w:rsidR="00F55162" w:rsidRPr="00833C88">
        <w:rPr>
          <w:rFonts w:ascii="Times New Roman" w:hAnsi="Times New Roman" w:cs="Times New Roman"/>
        </w:rPr>
        <w:t>c</w:t>
      </w:r>
      <w:r w:rsidRPr="00833C88">
        <w:rPr>
          <w:rFonts w:ascii="Times New Roman" w:hAnsi="Times New Roman" w:cs="Times New Roman"/>
        </w:rPr>
        <w:t xml:space="preserve">yberbezpieczeństwa, który co najmniej spełnia wymogi dla małego albo średniego przedsiębiorcy </w:t>
      </w:r>
      <w:r w:rsidR="00F56E60" w:rsidRPr="00833C88">
        <w:rPr>
          <w:rFonts w:ascii="Times New Roman" w:hAnsi="Times New Roman" w:cs="Times New Roman"/>
        </w:rPr>
        <w:t xml:space="preserve">określone w art. 2 ust. 1 załącznika I do rozporządzenia 651/2014/UE </w:t>
      </w:r>
      <w:r w:rsidRPr="00833C88">
        <w:rPr>
          <w:rFonts w:ascii="Times New Roman" w:hAnsi="Times New Roman" w:cs="Times New Roman"/>
        </w:rPr>
        <w:t>albo je przewyższa – intencją tutaj jest objęcie mniejszych zespołów typu CSIRT</w:t>
      </w:r>
      <w:r w:rsidR="00294313" w:rsidRPr="00833C88">
        <w:rPr>
          <w:rFonts w:ascii="Times New Roman" w:hAnsi="Times New Roman" w:cs="Times New Roman"/>
        </w:rPr>
        <w:t xml:space="preserve">, </w:t>
      </w:r>
      <w:r w:rsidRPr="00833C88">
        <w:rPr>
          <w:rFonts w:ascii="Times New Roman" w:hAnsi="Times New Roman" w:cs="Times New Roman"/>
        </w:rPr>
        <w:t>SOC</w:t>
      </w:r>
      <w:r w:rsidR="00294313" w:rsidRPr="00833C88">
        <w:rPr>
          <w:rFonts w:ascii="Times New Roman" w:hAnsi="Times New Roman" w:cs="Times New Roman"/>
        </w:rPr>
        <w:t xml:space="preserve"> lub </w:t>
      </w:r>
      <w:r w:rsidRPr="00833C88">
        <w:rPr>
          <w:rFonts w:ascii="Times New Roman" w:hAnsi="Times New Roman" w:cs="Times New Roman"/>
        </w:rPr>
        <w:t xml:space="preserve">CERT wymaganiami </w:t>
      </w:r>
      <w:r w:rsidR="00601933" w:rsidRPr="00833C88">
        <w:rPr>
          <w:rFonts w:ascii="Times New Roman" w:hAnsi="Times New Roman" w:cs="Times New Roman"/>
        </w:rPr>
        <w:t>z </w:t>
      </w:r>
      <w:r w:rsidRPr="00833C88">
        <w:rPr>
          <w:rFonts w:ascii="Times New Roman" w:hAnsi="Times New Roman" w:cs="Times New Roman"/>
        </w:rPr>
        <w:t xml:space="preserve">zakresu </w:t>
      </w:r>
      <w:r w:rsidR="00CF70E1" w:rsidRPr="00833C88">
        <w:rPr>
          <w:rFonts w:ascii="Times New Roman" w:hAnsi="Times New Roman" w:cs="Times New Roman"/>
        </w:rPr>
        <w:t>c</w:t>
      </w:r>
      <w:r w:rsidR="00EB6254" w:rsidRPr="00833C88">
        <w:rPr>
          <w:rFonts w:ascii="Times New Roman" w:hAnsi="Times New Roman" w:cs="Times New Roman"/>
        </w:rPr>
        <w:t>yberbezpieczeństwa;</w:t>
      </w:r>
    </w:p>
    <w:p w14:paraId="32A63C05" w14:textId="4728010D" w:rsidR="008806F7" w:rsidRPr="00833C88" w:rsidRDefault="006E25FC" w:rsidP="00031FDA">
      <w:pPr>
        <w:pStyle w:val="ZPKTzmpktartykuempunktem"/>
        <w:rPr>
          <w:rFonts w:ascii="Times New Roman" w:hAnsi="Times New Roman" w:cs="Times New Roman"/>
        </w:rPr>
      </w:pPr>
      <w:r w:rsidRPr="00833C88">
        <w:rPr>
          <w:rFonts w:ascii="Times New Roman" w:hAnsi="Times New Roman" w:cs="Times New Roman"/>
        </w:rPr>
        <w:t>4</w:t>
      </w:r>
      <w:r w:rsidR="008806F7" w:rsidRPr="00833C88">
        <w:rPr>
          <w:rFonts w:ascii="Times New Roman" w:hAnsi="Times New Roman" w:cs="Times New Roman"/>
        </w:rPr>
        <w:t>)</w:t>
      </w:r>
      <w:r w:rsidR="008806F7" w:rsidRPr="00833C88">
        <w:rPr>
          <w:rFonts w:ascii="Times New Roman" w:hAnsi="Times New Roman" w:cs="Times New Roman"/>
        </w:rPr>
        <w:tab/>
        <w:t>niezależnie od wielkości podmiotu:</w:t>
      </w:r>
    </w:p>
    <w:p w14:paraId="3416ECCD" w14:textId="2684F4DD" w:rsidR="008806F7" w:rsidRPr="00833C88" w:rsidRDefault="008806F7" w:rsidP="00031FDA">
      <w:pPr>
        <w:pStyle w:val="ZLITwPKTzmlitwpktartykuempunktem"/>
        <w:rPr>
          <w:rFonts w:ascii="Times New Roman" w:hAnsi="Times New Roman" w:cs="Times New Roman"/>
        </w:rPr>
      </w:pPr>
      <w:r w:rsidRPr="00833C88">
        <w:rPr>
          <w:rFonts w:ascii="Times New Roman" w:hAnsi="Times New Roman" w:cs="Times New Roman"/>
        </w:rPr>
        <w:t>a)</w:t>
      </w:r>
      <w:r w:rsidRPr="00833C88">
        <w:rPr>
          <w:rFonts w:ascii="Times New Roman" w:hAnsi="Times New Roman" w:cs="Times New Roman"/>
        </w:rPr>
        <w:tab/>
        <w:t>dostawca usług DNS,</w:t>
      </w:r>
    </w:p>
    <w:p w14:paraId="6E875461" w14:textId="4820AB80" w:rsidR="008806F7" w:rsidRPr="00833C88" w:rsidRDefault="00162345" w:rsidP="00031FDA">
      <w:pPr>
        <w:pStyle w:val="ZLITwPKTzmlitwpktartykuempunktem"/>
        <w:rPr>
          <w:rFonts w:ascii="Times New Roman" w:hAnsi="Times New Roman" w:cs="Times New Roman"/>
        </w:rPr>
      </w:pPr>
      <w:r w:rsidRPr="00833C88">
        <w:rPr>
          <w:rFonts w:ascii="Times New Roman" w:hAnsi="Times New Roman" w:cs="Times New Roman"/>
        </w:rPr>
        <w:t>b</w:t>
      </w:r>
      <w:r w:rsidR="008806F7" w:rsidRPr="00833C88">
        <w:rPr>
          <w:rFonts w:ascii="Times New Roman" w:hAnsi="Times New Roman" w:cs="Times New Roman"/>
        </w:rPr>
        <w:t>)</w:t>
      </w:r>
      <w:r w:rsidR="008806F7" w:rsidRPr="00833C88">
        <w:rPr>
          <w:rFonts w:ascii="Times New Roman" w:hAnsi="Times New Roman" w:cs="Times New Roman"/>
        </w:rPr>
        <w:tab/>
        <w:t>kwalifikowany dostawca usług zaufania</w:t>
      </w:r>
      <w:r w:rsidR="0046681C" w:rsidRPr="00833C88">
        <w:rPr>
          <w:rFonts w:ascii="Times New Roman" w:hAnsi="Times New Roman" w:cs="Times New Roman"/>
        </w:rPr>
        <w:t xml:space="preserve"> </w:t>
      </w:r>
      <w:r w:rsidR="00601933" w:rsidRPr="00833C88">
        <w:rPr>
          <w:rFonts w:ascii="Times New Roman" w:hAnsi="Times New Roman" w:cs="Times New Roman"/>
        </w:rPr>
        <w:t>w </w:t>
      </w:r>
      <w:r w:rsidR="008806F7" w:rsidRPr="00833C88">
        <w:rPr>
          <w:rFonts w:ascii="Times New Roman" w:hAnsi="Times New Roman" w:cs="Times New Roman"/>
        </w:rPr>
        <w:t>rozumieniu art. 3 pkt 20 rozporządzenia</w:t>
      </w:r>
      <w:r w:rsidR="009A63A1" w:rsidRPr="00833C88">
        <w:rPr>
          <w:rFonts w:ascii="Times New Roman" w:hAnsi="Times New Roman" w:cs="Times New Roman"/>
        </w:rPr>
        <w:t xml:space="preserve"> nr 910/2014</w:t>
      </w:r>
      <w:r w:rsidR="006E25FC" w:rsidRPr="00833C88">
        <w:rPr>
          <w:rFonts w:ascii="Times New Roman" w:hAnsi="Times New Roman" w:cs="Times New Roman"/>
        </w:rPr>
        <w:t>,</w:t>
      </w:r>
    </w:p>
    <w:p w14:paraId="58BCFA42" w14:textId="28602EE9" w:rsidR="008806F7" w:rsidRPr="00833C88" w:rsidRDefault="00162345" w:rsidP="00031FDA">
      <w:pPr>
        <w:pStyle w:val="ZLITwPKTzmlitwpktartykuempunktem"/>
        <w:rPr>
          <w:rFonts w:ascii="Times New Roman" w:hAnsi="Times New Roman" w:cs="Times New Roman"/>
        </w:rPr>
      </w:pPr>
      <w:r w:rsidRPr="00833C88">
        <w:rPr>
          <w:rFonts w:ascii="Times New Roman" w:hAnsi="Times New Roman" w:cs="Times New Roman"/>
        </w:rPr>
        <w:t>c</w:t>
      </w:r>
      <w:r w:rsidR="008806F7" w:rsidRPr="00833C88">
        <w:rPr>
          <w:rFonts w:ascii="Times New Roman" w:hAnsi="Times New Roman" w:cs="Times New Roman"/>
        </w:rPr>
        <w:t>)</w:t>
      </w:r>
      <w:r w:rsidR="008806F7" w:rsidRPr="00833C88">
        <w:rPr>
          <w:rFonts w:ascii="Times New Roman" w:hAnsi="Times New Roman" w:cs="Times New Roman"/>
        </w:rPr>
        <w:tab/>
        <w:t>podmiot krytyczny</w:t>
      </w:r>
      <w:r w:rsidR="00AD5540" w:rsidRPr="00833C88">
        <w:rPr>
          <w:rFonts w:ascii="Times New Roman" w:hAnsi="Times New Roman" w:cs="Times New Roman"/>
        </w:rPr>
        <w:t xml:space="preserve"> – </w:t>
      </w:r>
      <w:r w:rsidR="00601933" w:rsidRPr="00833C88">
        <w:rPr>
          <w:rFonts w:ascii="Times New Roman" w:hAnsi="Times New Roman" w:cs="Times New Roman"/>
        </w:rPr>
        <w:t>w </w:t>
      </w:r>
      <w:r w:rsidR="00AD5540" w:rsidRPr="00833C88">
        <w:rPr>
          <w:rFonts w:ascii="Times New Roman" w:hAnsi="Times New Roman" w:cs="Times New Roman"/>
        </w:rPr>
        <w:t>rozumieniu dyrektywy CER</w:t>
      </w:r>
      <w:r w:rsidR="008806F7" w:rsidRPr="00833C88">
        <w:rPr>
          <w:rFonts w:ascii="Times New Roman" w:hAnsi="Times New Roman" w:cs="Times New Roman"/>
        </w:rPr>
        <w:t>,</w:t>
      </w:r>
    </w:p>
    <w:p w14:paraId="64D99AE7" w14:textId="3FBEAA19" w:rsidR="008806F7" w:rsidRPr="00833C88" w:rsidRDefault="00162345" w:rsidP="00031FDA">
      <w:pPr>
        <w:pStyle w:val="ZLITwPKTzmlitwpktartykuempunktem"/>
        <w:rPr>
          <w:rFonts w:ascii="Times New Roman" w:hAnsi="Times New Roman" w:cs="Times New Roman"/>
        </w:rPr>
      </w:pPr>
      <w:r w:rsidRPr="00833C88">
        <w:rPr>
          <w:rFonts w:ascii="Times New Roman" w:hAnsi="Times New Roman" w:cs="Times New Roman"/>
        </w:rPr>
        <w:t>d</w:t>
      </w:r>
      <w:r w:rsidR="008806F7" w:rsidRPr="00833C88">
        <w:rPr>
          <w:rFonts w:ascii="Times New Roman" w:hAnsi="Times New Roman" w:cs="Times New Roman"/>
        </w:rPr>
        <w:t>)</w:t>
      </w:r>
      <w:r w:rsidR="008806F7" w:rsidRPr="00833C88">
        <w:rPr>
          <w:rFonts w:ascii="Times New Roman" w:hAnsi="Times New Roman" w:cs="Times New Roman"/>
        </w:rPr>
        <w:tab/>
        <w:t>podmiot publiczny</w:t>
      </w:r>
      <w:r w:rsidR="00266C41" w:rsidRPr="00833C88">
        <w:rPr>
          <w:rFonts w:ascii="Times New Roman" w:hAnsi="Times New Roman" w:cs="Times New Roman"/>
        </w:rPr>
        <w:t xml:space="preserve"> wskazany </w:t>
      </w:r>
      <w:r w:rsidR="00601933" w:rsidRPr="00833C88">
        <w:rPr>
          <w:rFonts w:ascii="Times New Roman" w:hAnsi="Times New Roman" w:cs="Times New Roman"/>
        </w:rPr>
        <w:t>w </w:t>
      </w:r>
      <w:r w:rsidR="00266C41" w:rsidRPr="00833C88">
        <w:rPr>
          <w:rFonts w:ascii="Times New Roman" w:hAnsi="Times New Roman" w:cs="Times New Roman"/>
        </w:rPr>
        <w:t xml:space="preserve">załączniku nr 1 </w:t>
      </w:r>
      <w:r w:rsidR="001D1B59" w:rsidRPr="00833C88">
        <w:rPr>
          <w:rFonts w:ascii="Times New Roman" w:hAnsi="Times New Roman" w:cs="Times New Roman"/>
        </w:rPr>
        <w:t xml:space="preserve">do ustawy </w:t>
      </w:r>
      <w:r w:rsidR="00601933" w:rsidRPr="00833C88">
        <w:rPr>
          <w:rFonts w:ascii="Times New Roman" w:hAnsi="Times New Roman" w:cs="Times New Roman"/>
        </w:rPr>
        <w:t>o </w:t>
      </w:r>
      <w:r w:rsidR="001D1B59" w:rsidRPr="00833C88">
        <w:rPr>
          <w:rFonts w:ascii="Times New Roman" w:hAnsi="Times New Roman" w:cs="Times New Roman"/>
        </w:rPr>
        <w:t xml:space="preserve">KSC </w:t>
      </w:r>
      <w:r w:rsidR="00601933" w:rsidRPr="00833C88">
        <w:rPr>
          <w:rFonts w:ascii="Times New Roman" w:hAnsi="Times New Roman" w:cs="Times New Roman"/>
        </w:rPr>
        <w:t>w </w:t>
      </w:r>
      <w:r w:rsidR="00266C41" w:rsidRPr="00833C88">
        <w:rPr>
          <w:rFonts w:ascii="Times New Roman" w:hAnsi="Times New Roman" w:cs="Times New Roman"/>
        </w:rPr>
        <w:t>sektorze podmioty publiczne,</w:t>
      </w:r>
    </w:p>
    <w:p w14:paraId="0B188376" w14:textId="70B3DD0E" w:rsidR="008806F7" w:rsidRPr="00833C88" w:rsidRDefault="00C33FD7" w:rsidP="00031FDA">
      <w:pPr>
        <w:pStyle w:val="ZLITwPKTzmlitwpktartykuempunktem"/>
        <w:rPr>
          <w:rFonts w:ascii="Times New Roman" w:hAnsi="Times New Roman" w:cs="Times New Roman"/>
        </w:rPr>
      </w:pPr>
      <w:r w:rsidRPr="00833C88">
        <w:rPr>
          <w:rFonts w:ascii="Times New Roman" w:hAnsi="Times New Roman" w:cs="Times New Roman"/>
        </w:rPr>
        <w:t>e</w:t>
      </w:r>
      <w:r w:rsidR="008806F7" w:rsidRPr="00833C88">
        <w:rPr>
          <w:rFonts w:ascii="Times New Roman" w:hAnsi="Times New Roman" w:cs="Times New Roman"/>
        </w:rPr>
        <w:t>)</w:t>
      </w:r>
      <w:r w:rsidR="008806F7" w:rsidRPr="00833C88">
        <w:rPr>
          <w:rFonts w:ascii="Times New Roman" w:hAnsi="Times New Roman" w:cs="Times New Roman"/>
        </w:rPr>
        <w:tab/>
        <w:t xml:space="preserve">podmiot zidentyfikowany jako podmiot kluczowy </w:t>
      </w:r>
      <w:r w:rsidR="00166F21" w:rsidRPr="00833C88">
        <w:rPr>
          <w:rFonts w:ascii="Times New Roman" w:hAnsi="Times New Roman" w:cs="Times New Roman"/>
        </w:rPr>
        <w:t>przez organ właściwy do</w:t>
      </w:r>
      <w:r w:rsidR="009B4C26" w:rsidRPr="00833C88">
        <w:rPr>
          <w:rFonts w:ascii="Times New Roman" w:hAnsi="Times New Roman" w:cs="Times New Roman"/>
        </w:rPr>
        <w:t> </w:t>
      </w:r>
      <w:r w:rsidR="00166F21" w:rsidRPr="00833C88">
        <w:rPr>
          <w:rFonts w:ascii="Times New Roman" w:hAnsi="Times New Roman" w:cs="Times New Roman"/>
        </w:rPr>
        <w:t>spraw cyberbezpieczeństwa</w:t>
      </w:r>
      <w:r w:rsidR="008806F7" w:rsidRPr="00833C88">
        <w:rPr>
          <w:rFonts w:ascii="Times New Roman" w:hAnsi="Times New Roman" w:cs="Times New Roman"/>
        </w:rPr>
        <w:t>,</w:t>
      </w:r>
    </w:p>
    <w:p w14:paraId="781AD934" w14:textId="10905F58" w:rsidR="008C42B9" w:rsidRPr="00833C88" w:rsidRDefault="00C33FD7" w:rsidP="00031FDA">
      <w:pPr>
        <w:pStyle w:val="ZLITwPKTzmlitwpktartykuempunktem"/>
        <w:rPr>
          <w:rFonts w:ascii="Times New Roman" w:hAnsi="Times New Roman" w:cs="Times New Roman"/>
        </w:rPr>
      </w:pPr>
      <w:r w:rsidRPr="00833C88">
        <w:rPr>
          <w:rFonts w:ascii="Times New Roman" w:hAnsi="Times New Roman" w:cs="Times New Roman"/>
        </w:rPr>
        <w:t>f</w:t>
      </w:r>
      <w:r w:rsidR="00F8314C" w:rsidRPr="00833C88">
        <w:rPr>
          <w:rFonts w:ascii="Times New Roman" w:hAnsi="Times New Roman" w:cs="Times New Roman"/>
        </w:rPr>
        <w:t>)</w:t>
      </w:r>
      <w:r w:rsidR="00F8314C" w:rsidRPr="00833C88">
        <w:rPr>
          <w:rFonts w:ascii="Times New Roman" w:hAnsi="Times New Roman" w:cs="Times New Roman"/>
        </w:rPr>
        <w:tab/>
      </w:r>
      <w:r w:rsidR="008C42B9" w:rsidRPr="00833C88">
        <w:rPr>
          <w:rFonts w:ascii="Times New Roman" w:hAnsi="Times New Roman" w:cs="Times New Roman"/>
        </w:rPr>
        <w:t xml:space="preserve">państwowa osoba prawna zidentyfikowana jako podmiot kluczowy </w:t>
      </w:r>
      <w:r w:rsidR="00601933" w:rsidRPr="00833C88">
        <w:rPr>
          <w:rFonts w:ascii="Times New Roman" w:hAnsi="Times New Roman" w:cs="Times New Roman"/>
        </w:rPr>
        <w:t>w </w:t>
      </w:r>
      <w:r w:rsidR="008C42B9" w:rsidRPr="00833C88">
        <w:rPr>
          <w:rFonts w:ascii="Times New Roman" w:hAnsi="Times New Roman" w:cs="Times New Roman"/>
        </w:rPr>
        <w:t>sektorze podmiotów publicznych</w:t>
      </w:r>
      <w:r w:rsidR="00FA0F13" w:rsidRPr="00833C88">
        <w:rPr>
          <w:rFonts w:ascii="Times New Roman" w:hAnsi="Times New Roman" w:cs="Times New Roman"/>
        </w:rPr>
        <w:t>,</w:t>
      </w:r>
    </w:p>
    <w:p w14:paraId="5B47DDF2" w14:textId="27AD84CF" w:rsidR="00F8314C" w:rsidRPr="00833C88" w:rsidRDefault="00C33FD7" w:rsidP="00031FDA">
      <w:pPr>
        <w:pStyle w:val="ZLITwPKTzmlitwpktartykuempunktem"/>
        <w:rPr>
          <w:rFonts w:ascii="Times New Roman" w:hAnsi="Times New Roman" w:cs="Times New Roman"/>
        </w:rPr>
      </w:pPr>
      <w:r w:rsidRPr="00833C88">
        <w:rPr>
          <w:rFonts w:ascii="Times New Roman" w:hAnsi="Times New Roman" w:cs="Times New Roman"/>
        </w:rPr>
        <w:t>g</w:t>
      </w:r>
      <w:r w:rsidR="00F8314C" w:rsidRPr="00833C88">
        <w:rPr>
          <w:rFonts w:ascii="Times New Roman" w:hAnsi="Times New Roman" w:cs="Times New Roman"/>
        </w:rPr>
        <w:t>)</w:t>
      </w:r>
      <w:r w:rsidR="00F8314C" w:rsidRPr="00833C88">
        <w:rPr>
          <w:rFonts w:ascii="Times New Roman" w:hAnsi="Times New Roman" w:cs="Times New Roman"/>
        </w:rPr>
        <w:tab/>
        <w:t xml:space="preserve">podmiot, który nie jest przedsiębiorcą, </w:t>
      </w:r>
      <w:r w:rsidR="00601933" w:rsidRPr="00833C88">
        <w:rPr>
          <w:rFonts w:ascii="Times New Roman" w:hAnsi="Times New Roman" w:cs="Times New Roman"/>
        </w:rPr>
        <w:t>a </w:t>
      </w:r>
      <w:r w:rsidR="00F8314C" w:rsidRPr="00833C88">
        <w:rPr>
          <w:rFonts w:ascii="Times New Roman" w:hAnsi="Times New Roman" w:cs="Times New Roman"/>
        </w:rPr>
        <w:t xml:space="preserve">jest wskazany </w:t>
      </w:r>
      <w:r w:rsidR="00601933" w:rsidRPr="00833C88">
        <w:rPr>
          <w:rFonts w:ascii="Times New Roman" w:hAnsi="Times New Roman" w:cs="Times New Roman"/>
        </w:rPr>
        <w:t>w </w:t>
      </w:r>
      <w:r w:rsidR="00F8314C" w:rsidRPr="00833C88">
        <w:rPr>
          <w:rFonts w:ascii="Times New Roman" w:hAnsi="Times New Roman" w:cs="Times New Roman"/>
        </w:rPr>
        <w:t xml:space="preserve">załączniku nr 1 </w:t>
      </w:r>
      <w:r w:rsidR="006E25FC" w:rsidRPr="00833C88">
        <w:rPr>
          <w:rFonts w:ascii="Times New Roman" w:hAnsi="Times New Roman" w:cs="Times New Roman"/>
        </w:rPr>
        <w:t>do</w:t>
      </w:r>
      <w:r w:rsidR="009B4C26" w:rsidRPr="00833C88">
        <w:rPr>
          <w:rFonts w:ascii="Times New Roman" w:hAnsi="Times New Roman" w:cs="Times New Roman"/>
        </w:rPr>
        <w:t> </w:t>
      </w:r>
      <w:r w:rsidR="001D1B59" w:rsidRPr="00833C88">
        <w:rPr>
          <w:rFonts w:ascii="Times New Roman" w:hAnsi="Times New Roman" w:cs="Times New Roman"/>
        </w:rPr>
        <w:t xml:space="preserve">ustawy </w:t>
      </w:r>
      <w:r w:rsidR="00601933" w:rsidRPr="00833C88">
        <w:rPr>
          <w:rFonts w:ascii="Times New Roman" w:hAnsi="Times New Roman" w:cs="Times New Roman"/>
        </w:rPr>
        <w:t>o </w:t>
      </w:r>
      <w:r w:rsidR="001D1B59" w:rsidRPr="00833C88">
        <w:rPr>
          <w:rFonts w:ascii="Times New Roman" w:hAnsi="Times New Roman" w:cs="Times New Roman"/>
        </w:rPr>
        <w:t>KSC</w:t>
      </w:r>
      <w:r w:rsidR="006E25FC" w:rsidRPr="00833C88">
        <w:rPr>
          <w:rFonts w:ascii="Times New Roman" w:hAnsi="Times New Roman" w:cs="Times New Roman"/>
        </w:rPr>
        <w:t xml:space="preserve"> </w:t>
      </w:r>
      <w:r w:rsidR="00601933" w:rsidRPr="00833C88">
        <w:rPr>
          <w:rFonts w:ascii="Times New Roman" w:hAnsi="Times New Roman" w:cs="Times New Roman"/>
        </w:rPr>
        <w:t>z </w:t>
      </w:r>
      <w:r w:rsidR="00F8314C" w:rsidRPr="00833C88">
        <w:rPr>
          <w:rFonts w:ascii="Times New Roman" w:hAnsi="Times New Roman" w:cs="Times New Roman"/>
        </w:rPr>
        <w:t>nazwy albo poprzez określenie jego rodzaju – jest to</w:t>
      </w:r>
      <w:r w:rsidR="009B4C26" w:rsidRPr="00833C88">
        <w:rPr>
          <w:rFonts w:ascii="Times New Roman" w:hAnsi="Times New Roman" w:cs="Times New Roman"/>
        </w:rPr>
        <w:t> </w:t>
      </w:r>
      <w:r w:rsidR="00F8314C" w:rsidRPr="00833C88">
        <w:rPr>
          <w:rFonts w:ascii="Times New Roman" w:hAnsi="Times New Roman" w:cs="Times New Roman"/>
        </w:rPr>
        <w:t xml:space="preserve">konieczne </w:t>
      </w:r>
      <w:proofErr w:type="gramStart"/>
      <w:r w:rsidR="00F8314C" w:rsidRPr="00833C88">
        <w:rPr>
          <w:rFonts w:ascii="Times New Roman" w:hAnsi="Times New Roman" w:cs="Times New Roman"/>
        </w:rPr>
        <w:t>doprecyzowanie</w:t>
      </w:r>
      <w:proofErr w:type="gramEnd"/>
      <w:r w:rsidR="00F8314C" w:rsidRPr="00833C88">
        <w:rPr>
          <w:rFonts w:ascii="Times New Roman" w:hAnsi="Times New Roman" w:cs="Times New Roman"/>
        </w:rPr>
        <w:t xml:space="preserve"> ponieważ, nie wszystkie rodzaje podmiotów określonych </w:t>
      </w:r>
      <w:r w:rsidR="00601933" w:rsidRPr="00833C88">
        <w:rPr>
          <w:rFonts w:ascii="Times New Roman" w:hAnsi="Times New Roman" w:cs="Times New Roman"/>
        </w:rPr>
        <w:t>w </w:t>
      </w:r>
      <w:r w:rsidR="00F8314C" w:rsidRPr="00833C88">
        <w:rPr>
          <w:rFonts w:ascii="Times New Roman" w:hAnsi="Times New Roman" w:cs="Times New Roman"/>
        </w:rPr>
        <w:t xml:space="preserve">załączniku to przedsiębiorcy </w:t>
      </w:r>
      <w:r w:rsidR="00601933" w:rsidRPr="00833C88">
        <w:rPr>
          <w:rFonts w:ascii="Times New Roman" w:hAnsi="Times New Roman" w:cs="Times New Roman"/>
        </w:rPr>
        <w:t>i </w:t>
      </w:r>
      <w:r w:rsidR="00F8314C" w:rsidRPr="00833C88">
        <w:rPr>
          <w:rFonts w:ascii="Times New Roman" w:hAnsi="Times New Roman" w:cs="Times New Roman"/>
        </w:rPr>
        <w:t xml:space="preserve">wobec tego nie można do nich zastosować </w:t>
      </w:r>
      <w:r w:rsidR="000E398F" w:rsidRPr="00833C88">
        <w:rPr>
          <w:rFonts w:ascii="Times New Roman" w:hAnsi="Times New Roman" w:cs="Times New Roman"/>
        </w:rPr>
        <w:t xml:space="preserve">progów wielkościowych </w:t>
      </w:r>
      <w:r w:rsidR="00601933" w:rsidRPr="00833C88">
        <w:rPr>
          <w:rFonts w:ascii="Times New Roman" w:hAnsi="Times New Roman" w:cs="Times New Roman"/>
        </w:rPr>
        <w:t>z </w:t>
      </w:r>
      <w:r w:rsidR="000E398F" w:rsidRPr="00833C88">
        <w:rPr>
          <w:rFonts w:ascii="Times New Roman" w:hAnsi="Times New Roman" w:cs="Times New Roman"/>
        </w:rPr>
        <w:t>rozporządzenia 651/2014</w:t>
      </w:r>
      <w:r w:rsidR="006E25FC" w:rsidRPr="00833C88">
        <w:rPr>
          <w:rFonts w:ascii="Times New Roman" w:hAnsi="Times New Roman" w:cs="Times New Roman"/>
        </w:rPr>
        <w:t>,</w:t>
      </w:r>
    </w:p>
    <w:p w14:paraId="6F1A7FC7" w14:textId="1A2BB763" w:rsidR="00F8314C" w:rsidRPr="00833C88" w:rsidRDefault="00C33FD7" w:rsidP="00031FDA">
      <w:pPr>
        <w:pStyle w:val="ZLITwPKTzmlitwpktartykuempunktem"/>
        <w:rPr>
          <w:rFonts w:ascii="Times New Roman" w:hAnsi="Times New Roman" w:cs="Times New Roman"/>
        </w:rPr>
      </w:pPr>
      <w:r w:rsidRPr="00833C88">
        <w:rPr>
          <w:rFonts w:ascii="Times New Roman" w:hAnsi="Times New Roman" w:cs="Times New Roman"/>
        </w:rPr>
        <w:lastRenderedPageBreak/>
        <w:t>h</w:t>
      </w:r>
      <w:r w:rsidR="00F8314C" w:rsidRPr="00833C88">
        <w:rPr>
          <w:rFonts w:ascii="Times New Roman" w:hAnsi="Times New Roman" w:cs="Times New Roman"/>
        </w:rPr>
        <w:t>)</w:t>
      </w:r>
      <w:r w:rsidR="00F8314C" w:rsidRPr="00833C88">
        <w:rPr>
          <w:rFonts w:ascii="Times New Roman" w:hAnsi="Times New Roman" w:cs="Times New Roman"/>
        </w:rPr>
        <w:tab/>
        <w:t xml:space="preserve">podmiot będący operatorem obiektu energetyki jądrowej, określonego </w:t>
      </w:r>
      <w:r w:rsidR="00601933" w:rsidRPr="00833C88">
        <w:rPr>
          <w:rFonts w:ascii="Times New Roman" w:hAnsi="Times New Roman" w:cs="Times New Roman"/>
        </w:rPr>
        <w:t>w </w:t>
      </w:r>
      <w:r w:rsidR="00F8314C" w:rsidRPr="00833C88">
        <w:rPr>
          <w:rFonts w:ascii="Times New Roman" w:hAnsi="Times New Roman" w:cs="Times New Roman"/>
        </w:rPr>
        <w:t xml:space="preserve">art. 2 pkt 2 ustawie </w:t>
      </w:r>
      <w:r w:rsidR="00601933" w:rsidRPr="00833C88">
        <w:rPr>
          <w:rFonts w:ascii="Times New Roman" w:hAnsi="Times New Roman" w:cs="Times New Roman"/>
        </w:rPr>
        <w:t>z </w:t>
      </w:r>
      <w:r w:rsidR="00F8314C" w:rsidRPr="00833C88">
        <w:rPr>
          <w:rFonts w:ascii="Times New Roman" w:hAnsi="Times New Roman" w:cs="Times New Roman"/>
        </w:rPr>
        <w:t xml:space="preserve">dnia 29 czerwca 2011 r. </w:t>
      </w:r>
      <w:r w:rsidR="00601933" w:rsidRPr="00833C88">
        <w:rPr>
          <w:rFonts w:ascii="Times New Roman" w:hAnsi="Times New Roman" w:cs="Times New Roman"/>
        </w:rPr>
        <w:t>o </w:t>
      </w:r>
      <w:r w:rsidR="00F8314C" w:rsidRPr="00833C88">
        <w:rPr>
          <w:rFonts w:ascii="Times New Roman" w:hAnsi="Times New Roman" w:cs="Times New Roman"/>
        </w:rPr>
        <w:t xml:space="preserve">przygotowaniu </w:t>
      </w:r>
      <w:r w:rsidR="00601933" w:rsidRPr="00833C88">
        <w:rPr>
          <w:rFonts w:ascii="Times New Roman" w:hAnsi="Times New Roman" w:cs="Times New Roman"/>
        </w:rPr>
        <w:t>i </w:t>
      </w:r>
      <w:r w:rsidR="00F8314C" w:rsidRPr="00833C88">
        <w:rPr>
          <w:rFonts w:ascii="Times New Roman" w:hAnsi="Times New Roman" w:cs="Times New Roman"/>
        </w:rPr>
        <w:t xml:space="preserve">realizacji inwestycji </w:t>
      </w:r>
      <w:r w:rsidR="00601933" w:rsidRPr="00833C88">
        <w:rPr>
          <w:rFonts w:ascii="Times New Roman" w:hAnsi="Times New Roman" w:cs="Times New Roman"/>
        </w:rPr>
        <w:t>w </w:t>
      </w:r>
      <w:r w:rsidR="00F8314C" w:rsidRPr="00833C88">
        <w:rPr>
          <w:rFonts w:ascii="Times New Roman" w:hAnsi="Times New Roman" w:cs="Times New Roman"/>
        </w:rPr>
        <w:t>zakresie obiektów energetyki jądrowej oraz inwestycji towarzyszących (Dz.</w:t>
      </w:r>
      <w:r w:rsidR="00181C9F" w:rsidRPr="00833C88">
        <w:rPr>
          <w:rFonts w:ascii="Times New Roman" w:hAnsi="Times New Roman" w:cs="Times New Roman"/>
        </w:rPr>
        <w:t> </w:t>
      </w:r>
      <w:r w:rsidR="00F8314C" w:rsidRPr="00833C88">
        <w:rPr>
          <w:rFonts w:ascii="Times New Roman" w:hAnsi="Times New Roman" w:cs="Times New Roman"/>
        </w:rPr>
        <w:t xml:space="preserve">U. </w:t>
      </w:r>
      <w:r w:rsidR="00601933" w:rsidRPr="00833C88">
        <w:rPr>
          <w:rFonts w:ascii="Times New Roman" w:hAnsi="Times New Roman" w:cs="Times New Roman"/>
        </w:rPr>
        <w:t>z </w:t>
      </w:r>
      <w:r w:rsidR="00F8314C" w:rsidRPr="00833C88">
        <w:rPr>
          <w:rFonts w:ascii="Times New Roman" w:hAnsi="Times New Roman" w:cs="Times New Roman"/>
        </w:rPr>
        <w:t>202</w:t>
      </w:r>
      <w:r w:rsidR="00181C9F" w:rsidRPr="00833C88">
        <w:rPr>
          <w:rFonts w:ascii="Times New Roman" w:hAnsi="Times New Roman" w:cs="Times New Roman"/>
        </w:rPr>
        <w:t>5</w:t>
      </w:r>
      <w:r w:rsidR="00F8314C" w:rsidRPr="00833C88">
        <w:rPr>
          <w:rFonts w:ascii="Times New Roman" w:hAnsi="Times New Roman" w:cs="Times New Roman"/>
        </w:rPr>
        <w:t xml:space="preserve"> r. poz. </w:t>
      </w:r>
      <w:r w:rsidRPr="00833C88">
        <w:rPr>
          <w:rFonts w:ascii="Times New Roman" w:hAnsi="Times New Roman" w:cs="Times New Roman"/>
        </w:rPr>
        <w:t>1</w:t>
      </w:r>
      <w:r w:rsidR="00181C9F" w:rsidRPr="00833C88">
        <w:rPr>
          <w:rFonts w:ascii="Times New Roman" w:hAnsi="Times New Roman" w:cs="Times New Roman"/>
        </w:rPr>
        <w:t>156</w:t>
      </w:r>
      <w:r w:rsidR="00F8314C" w:rsidRPr="00833C88">
        <w:rPr>
          <w:rFonts w:ascii="Times New Roman" w:hAnsi="Times New Roman" w:cs="Times New Roman"/>
        </w:rPr>
        <w:t>)</w:t>
      </w:r>
      <w:r w:rsidRPr="00833C88">
        <w:rPr>
          <w:rFonts w:ascii="Times New Roman" w:hAnsi="Times New Roman" w:cs="Times New Roman"/>
        </w:rPr>
        <w:t>,</w:t>
      </w:r>
    </w:p>
    <w:p w14:paraId="59172DF1" w14:textId="77777777" w:rsidR="00227C50" w:rsidRPr="00833C88" w:rsidRDefault="00C33FD7" w:rsidP="00031FDA">
      <w:pPr>
        <w:pStyle w:val="ZLITwPKTzmlitwpktartykuempunktem"/>
        <w:rPr>
          <w:rFonts w:ascii="Times New Roman" w:hAnsi="Times New Roman" w:cs="Times New Roman"/>
        </w:rPr>
      </w:pPr>
      <w:r w:rsidRPr="00833C88">
        <w:rPr>
          <w:rFonts w:ascii="Times New Roman" w:hAnsi="Times New Roman" w:cs="Times New Roman"/>
        </w:rPr>
        <w:t>i</w:t>
      </w:r>
      <w:r w:rsidR="008806F7" w:rsidRPr="00833C88">
        <w:rPr>
          <w:rFonts w:ascii="Times New Roman" w:hAnsi="Times New Roman" w:cs="Times New Roman"/>
        </w:rPr>
        <w:t>)</w:t>
      </w:r>
      <w:r w:rsidR="008806F7" w:rsidRPr="00833C88">
        <w:rPr>
          <w:rFonts w:ascii="Times New Roman" w:hAnsi="Times New Roman" w:cs="Times New Roman"/>
        </w:rPr>
        <w:tab/>
        <w:t>rejestr nazw domen najwyższego poziomu (TLD)</w:t>
      </w:r>
      <w:r w:rsidR="00227C50" w:rsidRPr="00833C88">
        <w:rPr>
          <w:rFonts w:ascii="Times New Roman" w:hAnsi="Times New Roman" w:cs="Times New Roman"/>
        </w:rPr>
        <w:t>,</w:t>
      </w:r>
    </w:p>
    <w:p w14:paraId="4677FCCA" w14:textId="5FCDD129" w:rsidR="008806F7" w:rsidRPr="00833C88" w:rsidRDefault="00227C50" w:rsidP="00031FDA">
      <w:pPr>
        <w:pStyle w:val="ZLITwPKTzmlitwpktartykuempunktem"/>
        <w:rPr>
          <w:rFonts w:ascii="Times New Roman" w:hAnsi="Times New Roman" w:cs="Times New Roman"/>
        </w:rPr>
      </w:pPr>
      <w:r w:rsidRPr="00833C88">
        <w:rPr>
          <w:rFonts w:ascii="Times New Roman" w:hAnsi="Times New Roman" w:cs="Times New Roman"/>
        </w:rPr>
        <w:t>j)</w:t>
      </w:r>
      <w:r w:rsidRPr="00833C88">
        <w:rPr>
          <w:rFonts w:ascii="Times New Roman" w:hAnsi="Times New Roman" w:cs="Times New Roman"/>
        </w:rPr>
        <w:tab/>
        <w:t>podmiot świadczący usługi rejestracji nazw domen</w:t>
      </w:r>
      <w:r w:rsidR="008806F7" w:rsidRPr="00833C88">
        <w:rPr>
          <w:rFonts w:ascii="Times New Roman" w:hAnsi="Times New Roman" w:cs="Times New Roman"/>
        </w:rPr>
        <w:t>.</w:t>
      </w:r>
    </w:p>
    <w:p w14:paraId="0429B0B2" w14:textId="556653AF" w:rsidR="008806F7" w:rsidRPr="00833C88" w:rsidRDefault="008806F7" w:rsidP="00031FDA">
      <w:pPr>
        <w:pStyle w:val="ZUSTzmustartykuempunktem"/>
        <w:ind w:left="0" w:firstLine="0"/>
        <w:rPr>
          <w:rFonts w:ascii="Times New Roman" w:hAnsi="Times New Roman" w:cs="Times New Roman"/>
        </w:rPr>
      </w:pPr>
      <w:r w:rsidRPr="00833C88">
        <w:rPr>
          <w:rFonts w:ascii="Times New Roman" w:hAnsi="Times New Roman" w:cs="Times New Roman"/>
        </w:rPr>
        <w:t>Podmiotem ważnym jest:</w:t>
      </w:r>
    </w:p>
    <w:p w14:paraId="4E6C51F0" w14:textId="2775E4F8" w:rsidR="008806F7" w:rsidRPr="00833C88" w:rsidRDefault="008806F7" w:rsidP="00031FDA">
      <w:pPr>
        <w:pStyle w:val="ZPKTzmpktartykuempunktem"/>
        <w:numPr>
          <w:ilvl w:val="0"/>
          <w:numId w:val="69"/>
        </w:numPr>
        <w:rPr>
          <w:rFonts w:ascii="Times New Roman" w:hAnsi="Times New Roman" w:cs="Times New Roman"/>
        </w:rPr>
      </w:pPr>
      <w:r w:rsidRPr="00833C88">
        <w:rPr>
          <w:rFonts w:ascii="Times New Roman" w:hAnsi="Times New Roman" w:cs="Times New Roman"/>
        </w:rPr>
        <w:t xml:space="preserve">osoba fizyczna, osoba prawna albo jednostka organizacyjna nieposiadająca osobowości prawnej wskazana </w:t>
      </w:r>
      <w:r w:rsidR="00601933" w:rsidRPr="00833C88">
        <w:rPr>
          <w:rFonts w:ascii="Times New Roman" w:hAnsi="Times New Roman" w:cs="Times New Roman"/>
        </w:rPr>
        <w:t>w </w:t>
      </w:r>
      <w:r w:rsidRPr="00833C88">
        <w:rPr>
          <w:rFonts w:ascii="Times New Roman" w:hAnsi="Times New Roman" w:cs="Times New Roman"/>
        </w:rPr>
        <w:t xml:space="preserve">załączniku nr 1 do </w:t>
      </w:r>
      <w:r w:rsidR="001D1B59" w:rsidRPr="00833C88">
        <w:rPr>
          <w:rFonts w:ascii="Times New Roman" w:hAnsi="Times New Roman" w:cs="Times New Roman"/>
        </w:rPr>
        <w:t xml:space="preserve">ustawy </w:t>
      </w:r>
      <w:r w:rsidR="00601933" w:rsidRPr="00833C88">
        <w:rPr>
          <w:rFonts w:ascii="Times New Roman" w:hAnsi="Times New Roman" w:cs="Times New Roman"/>
        </w:rPr>
        <w:t>o </w:t>
      </w:r>
      <w:r w:rsidR="001D1B59" w:rsidRPr="00833C88">
        <w:rPr>
          <w:rFonts w:ascii="Times New Roman" w:hAnsi="Times New Roman" w:cs="Times New Roman"/>
        </w:rPr>
        <w:t>KSC</w:t>
      </w:r>
      <w:r w:rsidRPr="00833C88">
        <w:rPr>
          <w:rFonts w:ascii="Times New Roman" w:hAnsi="Times New Roman" w:cs="Times New Roman"/>
        </w:rPr>
        <w:t>, która spełnia wymogi dla średniego przedsiębiorcy określone</w:t>
      </w:r>
      <w:r w:rsidR="00C33FD7" w:rsidRPr="00833C88">
        <w:rPr>
          <w:rFonts w:ascii="Times New Roman" w:hAnsi="Times New Roman" w:cs="Times New Roman"/>
        </w:rPr>
        <w:t xml:space="preserve"> </w:t>
      </w:r>
      <w:r w:rsidR="00601933" w:rsidRPr="00833C88">
        <w:rPr>
          <w:rFonts w:ascii="Times New Roman" w:hAnsi="Times New Roman" w:cs="Times New Roman"/>
        </w:rPr>
        <w:t>w </w:t>
      </w:r>
      <w:r w:rsidR="00C33FD7" w:rsidRPr="00833C88">
        <w:rPr>
          <w:rFonts w:ascii="Times New Roman" w:hAnsi="Times New Roman" w:cs="Times New Roman"/>
        </w:rPr>
        <w:t xml:space="preserve">art. 2 ust. 1 załącznika </w:t>
      </w:r>
      <w:r w:rsidR="00601933" w:rsidRPr="00833C88">
        <w:rPr>
          <w:rFonts w:ascii="Times New Roman" w:hAnsi="Times New Roman" w:cs="Times New Roman"/>
        </w:rPr>
        <w:t>I </w:t>
      </w:r>
      <w:r w:rsidR="00C33FD7" w:rsidRPr="00833C88">
        <w:rPr>
          <w:rFonts w:ascii="Times New Roman" w:hAnsi="Times New Roman" w:cs="Times New Roman"/>
        </w:rPr>
        <w:t xml:space="preserve">do </w:t>
      </w:r>
      <w:r w:rsidRPr="00833C88">
        <w:rPr>
          <w:rFonts w:ascii="Times New Roman" w:hAnsi="Times New Roman" w:cs="Times New Roman"/>
        </w:rPr>
        <w:t>rozporządzeni</w:t>
      </w:r>
      <w:r w:rsidR="00C33FD7" w:rsidRPr="00833C88">
        <w:rPr>
          <w:rFonts w:ascii="Times New Roman" w:hAnsi="Times New Roman" w:cs="Times New Roman"/>
        </w:rPr>
        <w:t>a</w:t>
      </w:r>
      <w:r w:rsidRPr="00833C88">
        <w:rPr>
          <w:rFonts w:ascii="Times New Roman" w:hAnsi="Times New Roman" w:cs="Times New Roman"/>
        </w:rPr>
        <w:t xml:space="preserve"> 651/2014/UE oraz która nie jest podmiotem kluczowym;</w:t>
      </w:r>
    </w:p>
    <w:p w14:paraId="2933AE62" w14:textId="20A63CE9" w:rsidR="005C68BD" w:rsidRPr="00833C88" w:rsidRDefault="005C68BD" w:rsidP="00031FDA">
      <w:pPr>
        <w:pStyle w:val="ZPKTzmpktartykuempunktem"/>
        <w:numPr>
          <w:ilvl w:val="0"/>
          <w:numId w:val="69"/>
        </w:numPr>
        <w:rPr>
          <w:rFonts w:ascii="Times New Roman" w:hAnsi="Times New Roman" w:cs="Times New Roman"/>
        </w:rPr>
      </w:pPr>
      <w:r w:rsidRPr="00833C88">
        <w:rPr>
          <w:rFonts w:ascii="Times New Roman" w:hAnsi="Times New Roman" w:cs="Times New Roman"/>
        </w:rPr>
        <w:t>osoba fizyczna, osoba prawna albo jednostka organizacyjna nieposiadająca osobowości prawnej wskazana w załączniku nr 2 do ustawy o KSC, która spełnia wymogi dla średniego przedsiębiorcy określone w art. 2 ust. 1 załącznika I do rozporządzenia 651/2014/UE albo przewyższa te wymogi oraz która nie jest podmiotem kluczowym;</w:t>
      </w:r>
    </w:p>
    <w:p w14:paraId="2C9043A6" w14:textId="03A3984A" w:rsidR="008806F7" w:rsidRPr="00833C88" w:rsidRDefault="00227C50" w:rsidP="00031FDA">
      <w:pPr>
        <w:pStyle w:val="ZPKTzmpktartykuempunktem"/>
        <w:rPr>
          <w:rFonts w:ascii="Times New Roman" w:hAnsi="Times New Roman" w:cs="Times New Roman"/>
        </w:rPr>
      </w:pPr>
      <w:r w:rsidRPr="00833C88">
        <w:rPr>
          <w:rFonts w:ascii="Times New Roman" w:hAnsi="Times New Roman" w:cs="Times New Roman"/>
        </w:rPr>
        <w:t>3</w:t>
      </w:r>
      <w:r w:rsidR="008806F7" w:rsidRPr="00833C88">
        <w:rPr>
          <w:rFonts w:ascii="Times New Roman" w:hAnsi="Times New Roman" w:cs="Times New Roman"/>
        </w:rPr>
        <w:t>)</w:t>
      </w:r>
      <w:r w:rsidR="008806F7" w:rsidRPr="00833C88">
        <w:rPr>
          <w:rFonts w:ascii="Times New Roman" w:hAnsi="Times New Roman" w:cs="Times New Roman"/>
        </w:rPr>
        <w:tab/>
        <w:t>niekwalifikowany dostawca usług zaufania będący mikro-, małym lub średnim przedsiębiorcą</w:t>
      </w:r>
      <w:r w:rsidR="00C33FD7" w:rsidRPr="00833C88">
        <w:rPr>
          <w:rFonts w:ascii="Times New Roman" w:hAnsi="Times New Roman" w:cs="Times New Roman"/>
        </w:rPr>
        <w:t xml:space="preserve">, </w:t>
      </w:r>
      <w:r w:rsidR="00601933" w:rsidRPr="00833C88">
        <w:rPr>
          <w:rFonts w:ascii="Times New Roman" w:hAnsi="Times New Roman" w:cs="Times New Roman"/>
        </w:rPr>
        <w:t>o </w:t>
      </w:r>
      <w:r w:rsidR="00C33FD7" w:rsidRPr="00833C88">
        <w:rPr>
          <w:rFonts w:ascii="Times New Roman" w:hAnsi="Times New Roman" w:cs="Times New Roman"/>
        </w:rPr>
        <w:t xml:space="preserve">którym mowa </w:t>
      </w:r>
      <w:r w:rsidR="00601933" w:rsidRPr="00833C88">
        <w:rPr>
          <w:rFonts w:ascii="Times New Roman" w:hAnsi="Times New Roman" w:cs="Times New Roman"/>
        </w:rPr>
        <w:t>w </w:t>
      </w:r>
      <w:r w:rsidR="00C33FD7" w:rsidRPr="00833C88">
        <w:rPr>
          <w:rFonts w:ascii="Times New Roman" w:hAnsi="Times New Roman" w:cs="Times New Roman"/>
        </w:rPr>
        <w:t xml:space="preserve">art. 2 ust. 1 załącznika </w:t>
      </w:r>
      <w:r w:rsidR="00601933" w:rsidRPr="00833C88">
        <w:rPr>
          <w:rFonts w:ascii="Times New Roman" w:hAnsi="Times New Roman" w:cs="Times New Roman"/>
        </w:rPr>
        <w:t>I </w:t>
      </w:r>
      <w:r w:rsidR="00C33FD7" w:rsidRPr="00833C88">
        <w:rPr>
          <w:rFonts w:ascii="Times New Roman" w:hAnsi="Times New Roman" w:cs="Times New Roman"/>
        </w:rPr>
        <w:t xml:space="preserve">do </w:t>
      </w:r>
      <w:r w:rsidR="008806F7" w:rsidRPr="00833C88">
        <w:rPr>
          <w:rFonts w:ascii="Times New Roman" w:hAnsi="Times New Roman" w:cs="Times New Roman"/>
        </w:rPr>
        <w:t>rozporządzenia 651/2014/UE;</w:t>
      </w:r>
    </w:p>
    <w:p w14:paraId="09BA712C" w14:textId="091BD525" w:rsidR="008806F7" w:rsidRPr="00833C88" w:rsidRDefault="00227C50" w:rsidP="00031FDA">
      <w:pPr>
        <w:pStyle w:val="ZPKTzmpktartykuempunktem"/>
        <w:rPr>
          <w:rFonts w:ascii="Times New Roman" w:hAnsi="Times New Roman" w:cs="Times New Roman"/>
        </w:rPr>
      </w:pPr>
      <w:r w:rsidRPr="00833C88">
        <w:rPr>
          <w:rFonts w:ascii="Times New Roman" w:hAnsi="Times New Roman" w:cs="Times New Roman"/>
        </w:rPr>
        <w:t>4</w:t>
      </w:r>
      <w:r w:rsidR="008806F7" w:rsidRPr="00833C88">
        <w:rPr>
          <w:rFonts w:ascii="Times New Roman" w:hAnsi="Times New Roman" w:cs="Times New Roman"/>
        </w:rPr>
        <w:t>)</w:t>
      </w:r>
      <w:r w:rsidR="008806F7" w:rsidRPr="00833C88">
        <w:rPr>
          <w:rFonts w:ascii="Times New Roman" w:hAnsi="Times New Roman" w:cs="Times New Roman"/>
        </w:rPr>
        <w:tab/>
        <w:t>przedsiębiorca komunikacji elektronicznej będący mikro-, lub małym przedsiębiorcą</w:t>
      </w:r>
      <w:r w:rsidR="00C33FD7" w:rsidRPr="00833C88">
        <w:rPr>
          <w:rFonts w:ascii="Times New Roman" w:hAnsi="Times New Roman" w:cs="Times New Roman"/>
        </w:rPr>
        <w:t xml:space="preserve">, </w:t>
      </w:r>
      <w:r w:rsidR="00601933" w:rsidRPr="00833C88">
        <w:rPr>
          <w:rFonts w:ascii="Times New Roman" w:hAnsi="Times New Roman" w:cs="Times New Roman"/>
        </w:rPr>
        <w:t>o </w:t>
      </w:r>
      <w:r w:rsidR="00C33FD7" w:rsidRPr="00833C88">
        <w:rPr>
          <w:rFonts w:ascii="Times New Roman" w:hAnsi="Times New Roman" w:cs="Times New Roman"/>
        </w:rPr>
        <w:t xml:space="preserve">którym mowa </w:t>
      </w:r>
      <w:r w:rsidR="00601933" w:rsidRPr="00833C88">
        <w:rPr>
          <w:rFonts w:ascii="Times New Roman" w:hAnsi="Times New Roman" w:cs="Times New Roman"/>
        </w:rPr>
        <w:t>w </w:t>
      </w:r>
      <w:r w:rsidR="00C33FD7" w:rsidRPr="00833C88">
        <w:rPr>
          <w:rFonts w:ascii="Times New Roman" w:hAnsi="Times New Roman" w:cs="Times New Roman"/>
        </w:rPr>
        <w:t xml:space="preserve">art. 2 ust. 2 </w:t>
      </w:r>
      <w:r w:rsidR="00601933" w:rsidRPr="00833C88">
        <w:rPr>
          <w:rFonts w:ascii="Times New Roman" w:hAnsi="Times New Roman" w:cs="Times New Roman"/>
        </w:rPr>
        <w:t>i </w:t>
      </w:r>
      <w:r w:rsidR="00C33FD7" w:rsidRPr="00833C88">
        <w:rPr>
          <w:rFonts w:ascii="Times New Roman" w:hAnsi="Times New Roman" w:cs="Times New Roman"/>
        </w:rPr>
        <w:t xml:space="preserve">3 załącznika </w:t>
      </w:r>
      <w:r w:rsidR="00601933" w:rsidRPr="00833C88">
        <w:rPr>
          <w:rFonts w:ascii="Times New Roman" w:hAnsi="Times New Roman" w:cs="Times New Roman"/>
        </w:rPr>
        <w:t>I </w:t>
      </w:r>
      <w:r w:rsidR="00C33FD7" w:rsidRPr="00833C88">
        <w:rPr>
          <w:rFonts w:ascii="Times New Roman" w:hAnsi="Times New Roman" w:cs="Times New Roman"/>
        </w:rPr>
        <w:t xml:space="preserve">do </w:t>
      </w:r>
      <w:r w:rsidR="008806F7" w:rsidRPr="00833C88">
        <w:rPr>
          <w:rFonts w:ascii="Times New Roman" w:hAnsi="Times New Roman" w:cs="Times New Roman"/>
        </w:rPr>
        <w:t>rozporządzenia 651/2014/UE;</w:t>
      </w:r>
    </w:p>
    <w:p w14:paraId="5B678489" w14:textId="77777777" w:rsidR="00F56E60" w:rsidRPr="00833C88" w:rsidRDefault="00225333" w:rsidP="00031FDA">
      <w:pPr>
        <w:pStyle w:val="ZPKTzmpktartykuempunktem"/>
        <w:rPr>
          <w:rFonts w:ascii="Times New Roman" w:hAnsi="Times New Roman" w:cs="Times New Roman"/>
        </w:rPr>
      </w:pPr>
      <w:r w:rsidRPr="00833C88">
        <w:rPr>
          <w:rFonts w:ascii="Times New Roman" w:hAnsi="Times New Roman" w:cs="Times New Roman"/>
        </w:rPr>
        <w:t>5)</w:t>
      </w:r>
      <w:r w:rsidRPr="00833C88">
        <w:rPr>
          <w:rFonts w:ascii="Times New Roman" w:hAnsi="Times New Roman" w:cs="Times New Roman"/>
        </w:rPr>
        <w:tab/>
      </w:r>
      <w:r w:rsidR="00FE1B00" w:rsidRPr="00833C88">
        <w:rPr>
          <w:rFonts w:ascii="Times New Roman" w:hAnsi="Times New Roman" w:cs="Times New Roman"/>
        </w:rPr>
        <w:t xml:space="preserve">podmiot, będący inwestorem obiektu energetyki jądrowej określonego </w:t>
      </w:r>
      <w:r w:rsidR="00601933" w:rsidRPr="00833C88">
        <w:rPr>
          <w:rFonts w:ascii="Times New Roman" w:hAnsi="Times New Roman" w:cs="Times New Roman"/>
        </w:rPr>
        <w:t>w </w:t>
      </w:r>
      <w:r w:rsidR="00FE1B00" w:rsidRPr="00833C88">
        <w:rPr>
          <w:rFonts w:ascii="Times New Roman" w:hAnsi="Times New Roman" w:cs="Times New Roman"/>
        </w:rPr>
        <w:t xml:space="preserve">art. 2 pkt 2 ustawy </w:t>
      </w:r>
      <w:r w:rsidR="00601933" w:rsidRPr="00833C88">
        <w:rPr>
          <w:rFonts w:ascii="Times New Roman" w:hAnsi="Times New Roman" w:cs="Times New Roman"/>
        </w:rPr>
        <w:t>z </w:t>
      </w:r>
      <w:r w:rsidR="00FE1B00" w:rsidRPr="00833C88">
        <w:rPr>
          <w:rFonts w:ascii="Times New Roman" w:hAnsi="Times New Roman" w:cs="Times New Roman"/>
        </w:rPr>
        <w:t xml:space="preserve">dnia 29 czerwca 2011 r. </w:t>
      </w:r>
      <w:r w:rsidR="00601933" w:rsidRPr="00833C88">
        <w:rPr>
          <w:rFonts w:ascii="Times New Roman" w:hAnsi="Times New Roman" w:cs="Times New Roman"/>
        </w:rPr>
        <w:t>o </w:t>
      </w:r>
      <w:r w:rsidR="00FE1B00" w:rsidRPr="00833C88">
        <w:rPr>
          <w:rFonts w:ascii="Times New Roman" w:hAnsi="Times New Roman" w:cs="Times New Roman"/>
        </w:rPr>
        <w:t xml:space="preserve">przygotowaniu </w:t>
      </w:r>
      <w:r w:rsidR="00601933" w:rsidRPr="00833C88">
        <w:rPr>
          <w:rFonts w:ascii="Times New Roman" w:hAnsi="Times New Roman" w:cs="Times New Roman"/>
        </w:rPr>
        <w:t>i </w:t>
      </w:r>
      <w:r w:rsidR="00FE1B00" w:rsidRPr="00833C88">
        <w:rPr>
          <w:rFonts w:ascii="Times New Roman" w:hAnsi="Times New Roman" w:cs="Times New Roman"/>
        </w:rPr>
        <w:t>realizacji inwestycji w</w:t>
      </w:r>
      <w:r w:rsidR="009B4C26" w:rsidRPr="00833C88">
        <w:rPr>
          <w:rFonts w:ascii="Times New Roman" w:hAnsi="Times New Roman" w:cs="Times New Roman"/>
        </w:rPr>
        <w:t> </w:t>
      </w:r>
      <w:r w:rsidR="00FE1B00" w:rsidRPr="00833C88">
        <w:rPr>
          <w:rFonts w:ascii="Times New Roman" w:hAnsi="Times New Roman" w:cs="Times New Roman"/>
        </w:rPr>
        <w:t>zakresie obiektów energetyki jądrowej oraz inwestycji towarzyszących</w:t>
      </w:r>
      <w:r w:rsidR="00FE34E9" w:rsidRPr="00833C88">
        <w:rPr>
          <w:rFonts w:ascii="Times New Roman" w:hAnsi="Times New Roman" w:cs="Times New Roman"/>
        </w:rPr>
        <w:t xml:space="preserve">, </w:t>
      </w:r>
      <w:r w:rsidR="00FE1B00" w:rsidRPr="00833C88">
        <w:rPr>
          <w:rFonts w:ascii="Times New Roman" w:hAnsi="Times New Roman" w:cs="Times New Roman"/>
        </w:rPr>
        <w:t xml:space="preserve">który uzyskał decyzję zasadniczą, </w:t>
      </w:r>
      <w:r w:rsidR="00601933" w:rsidRPr="00833C88">
        <w:rPr>
          <w:rFonts w:ascii="Times New Roman" w:hAnsi="Times New Roman" w:cs="Times New Roman"/>
        </w:rPr>
        <w:t>o </w:t>
      </w:r>
      <w:r w:rsidR="00FE1B00" w:rsidRPr="00833C88">
        <w:rPr>
          <w:rFonts w:ascii="Times New Roman" w:hAnsi="Times New Roman" w:cs="Times New Roman"/>
        </w:rPr>
        <w:t xml:space="preserve">której mowa </w:t>
      </w:r>
      <w:r w:rsidR="00601933" w:rsidRPr="00833C88">
        <w:rPr>
          <w:rFonts w:ascii="Times New Roman" w:hAnsi="Times New Roman" w:cs="Times New Roman"/>
        </w:rPr>
        <w:t>w </w:t>
      </w:r>
      <w:r w:rsidR="00FE1B00" w:rsidRPr="00833C88">
        <w:rPr>
          <w:rFonts w:ascii="Times New Roman" w:hAnsi="Times New Roman" w:cs="Times New Roman"/>
        </w:rPr>
        <w:t>art. 3a ust. 1 tej ustawy</w:t>
      </w:r>
      <w:r w:rsidR="00F56E60" w:rsidRPr="00833C88">
        <w:rPr>
          <w:rFonts w:ascii="Times New Roman" w:hAnsi="Times New Roman" w:cs="Times New Roman"/>
        </w:rPr>
        <w:t xml:space="preserve"> – niezależnie od jego wielkości;</w:t>
      </w:r>
    </w:p>
    <w:p w14:paraId="382E96F5" w14:textId="77777777" w:rsidR="00227C50" w:rsidRPr="00833C88" w:rsidRDefault="00225333" w:rsidP="00031FDA">
      <w:pPr>
        <w:pStyle w:val="ZPKTzmpktartykuempunktem"/>
        <w:rPr>
          <w:rFonts w:ascii="Times New Roman" w:hAnsi="Times New Roman" w:cs="Times New Roman"/>
        </w:rPr>
      </w:pPr>
      <w:r w:rsidRPr="00833C88">
        <w:rPr>
          <w:rFonts w:ascii="Times New Roman" w:hAnsi="Times New Roman" w:cs="Times New Roman"/>
        </w:rPr>
        <w:t>6)</w:t>
      </w:r>
      <w:r w:rsidRPr="00833C88">
        <w:rPr>
          <w:rFonts w:ascii="Times New Roman" w:hAnsi="Times New Roman" w:cs="Times New Roman"/>
        </w:rPr>
        <w:tab/>
      </w:r>
      <w:r w:rsidR="00227C50" w:rsidRPr="00833C88">
        <w:rPr>
          <w:rFonts w:ascii="Times New Roman" w:hAnsi="Times New Roman" w:cs="Times New Roman"/>
        </w:rPr>
        <w:t>podmiot zidentyfikowany jako podmiot ważny przez organ właściwy do spraw cyberbezpieczeństwa;</w:t>
      </w:r>
    </w:p>
    <w:p w14:paraId="686FE190" w14:textId="49BB957A" w:rsidR="00B34EDF" w:rsidRPr="00833C88" w:rsidRDefault="00227C50" w:rsidP="00031FDA">
      <w:pPr>
        <w:pStyle w:val="ZPKTzmpktartykuempunktem"/>
        <w:rPr>
          <w:rFonts w:ascii="Times New Roman" w:hAnsi="Times New Roman" w:cs="Times New Roman"/>
        </w:rPr>
      </w:pPr>
      <w:r w:rsidRPr="00833C88">
        <w:rPr>
          <w:rFonts w:ascii="Times New Roman" w:hAnsi="Times New Roman" w:cs="Times New Roman"/>
        </w:rPr>
        <w:t>7)</w:t>
      </w:r>
      <w:r w:rsidRPr="00833C88">
        <w:rPr>
          <w:rFonts w:ascii="Times New Roman" w:hAnsi="Times New Roman" w:cs="Times New Roman"/>
        </w:rPr>
        <w:tab/>
      </w:r>
      <w:r w:rsidR="00225333" w:rsidRPr="00833C88">
        <w:rPr>
          <w:rFonts w:ascii="Times New Roman" w:hAnsi="Times New Roman" w:cs="Times New Roman"/>
        </w:rPr>
        <w:t xml:space="preserve">podmiot określony </w:t>
      </w:r>
      <w:r w:rsidR="00601933" w:rsidRPr="00833C88">
        <w:rPr>
          <w:rFonts w:ascii="Times New Roman" w:hAnsi="Times New Roman" w:cs="Times New Roman"/>
        </w:rPr>
        <w:t>w </w:t>
      </w:r>
      <w:r w:rsidR="00225333" w:rsidRPr="00833C88">
        <w:rPr>
          <w:rFonts w:ascii="Times New Roman" w:hAnsi="Times New Roman" w:cs="Times New Roman"/>
        </w:rPr>
        <w:t xml:space="preserve">załączniku nr 2 </w:t>
      </w:r>
      <w:r w:rsidR="00911A22" w:rsidRPr="00833C88">
        <w:rPr>
          <w:rFonts w:ascii="Times New Roman" w:hAnsi="Times New Roman" w:cs="Times New Roman"/>
        </w:rPr>
        <w:t xml:space="preserve">do </w:t>
      </w:r>
      <w:r w:rsidR="001D1B59" w:rsidRPr="00833C88">
        <w:rPr>
          <w:rFonts w:ascii="Times New Roman" w:hAnsi="Times New Roman" w:cs="Times New Roman"/>
        </w:rPr>
        <w:t xml:space="preserve">ustawy </w:t>
      </w:r>
      <w:r w:rsidR="00601933" w:rsidRPr="00833C88">
        <w:rPr>
          <w:rFonts w:ascii="Times New Roman" w:hAnsi="Times New Roman" w:cs="Times New Roman"/>
        </w:rPr>
        <w:t>o </w:t>
      </w:r>
      <w:r w:rsidR="001D1B59" w:rsidRPr="00833C88">
        <w:rPr>
          <w:rFonts w:ascii="Times New Roman" w:hAnsi="Times New Roman" w:cs="Times New Roman"/>
        </w:rPr>
        <w:t>KSC</w:t>
      </w:r>
      <w:r w:rsidR="00911A22" w:rsidRPr="00833C88">
        <w:rPr>
          <w:rFonts w:ascii="Times New Roman" w:hAnsi="Times New Roman" w:cs="Times New Roman"/>
        </w:rPr>
        <w:t xml:space="preserve"> </w:t>
      </w:r>
      <w:r w:rsidR="00225333" w:rsidRPr="00833C88">
        <w:rPr>
          <w:rFonts w:ascii="Times New Roman" w:hAnsi="Times New Roman" w:cs="Times New Roman"/>
        </w:rPr>
        <w:t xml:space="preserve">nazwą rodzajową, </w:t>
      </w:r>
      <w:r w:rsidR="00601933" w:rsidRPr="00833C88">
        <w:rPr>
          <w:rFonts w:ascii="Times New Roman" w:hAnsi="Times New Roman" w:cs="Times New Roman"/>
        </w:rPr>
        <w:t>a </w:t>
      </w:r>
      <w:r w:rsidR="00225333" w:rsidRPr="00833C88">
        <w:rPr>
          <w:rFonts w:ascii="Times New Roman" w:hAnsi="Times New Roman" w:cs="Times New Roman"/>
        </w:rPr>
        <w:t>który nie jest przedsi</w:t>
      </w:r>
      <w:r w:rsidR="00701B81" w:rsidRPr="00833C88">
        <w:rPr>
          <w:rFonts w:ascii="Times New Roman" w:hAnsi="Times New Roman" w:cs="Times New Roman"/>
        </w:rPr>
        <w:t>ę</w:t>
      </w:r>
      <w:r w:rsidR="00225333" w:rsidRPr="00833C88">
        <w:rPr>
          <w:rFonts w:ascii="Times New Roman" w:hAnsi="Times New Roman" w:cs="Times New Roman"/>
        </w:rPr>
        <w:t>biorcą</w:t>
      </w:r>
      <w:r w:rsidR="00032948" w:rsidRPr="00833C88">
        <w:rPr>
          <w:rFonts w:ascii="Times New Roman" w:hAnsi="Times New Roman" w:cs="Times New Roman"/>
        </w:rPr>
        <w:t>;</w:t>
      </w:r>
    </w:p>
    <w:p w14:paraId="33367E14" w14:textId="61FB9826" w:rsidR="00225333" w:rsidRPr="00833C88" w:rsidRDefault="00227C50" w:rsidP="00031FDA">
      <w:pPr>
        <w:pStyle w:val="ZPKTzmpktartykuempunktem"/>
        <w:rPr>
          <w:rFonts w:ascii="Times New Roman" w:hAnsi="Times New Roman" w:cs="Times New Roman"/>
        </w:rPr>
      </w:pPr>
      <w:r w:rsidRPr="00833C88">
        <w:rPr>
          <w:rFonts w:ascii="Times New Roman" w:hAnsi="Times New Roman" w:cs="Times New Roman"/>
        </w:rPr>
        <w:t>8</w:t>
      </w:r>
      <w:r w:rsidR="00B34EDF" w:rsidRPr="00833C88">
        <w:rPr>
          <w:rFonts w:ascii="Times New Roman" w:hAnsi="Times New Roman" w:cs="Times New Roman"/>
        </w:rPr>
        <w:t>)</w:t>
      </w:r>
      <w:r w:rsidR="00B34EDF" w:rsidRPr="00833C88">
        <w:rPr>
          <w:rFonts w:ascii="Times New Roman" w:hAnsi="Times New Roman" w:cs="Times New Roman"/>
        </w:rPr>
        <w:tab/>
        <w:t>podmiot publiczny</w:t>
      </w:r>
      <w:r w:rsidR="00963A8D" w:rsidRPr="00833C88">
        <w:rPr>
          <w:rFonts w:ascii="Times New Roman" w:hAnsi="Times New Roman" w:cs="Times New Roman"/>
        </w:rPr>
        <w:t>,</w:t>
      </w:r>
      <w:r w:rsidR="00B34EDF" w:rsidRPr="00833C88">
        <w:rPr>
          <w:rFonts w:ascii="Times New Roman" w:hAnsi="Times New Roman" w:cs="Times New Roman"/>
        </w:rPr>
        <w:t xml:space="preserve"> który nie jest podmiotem kluczowym oraz jest samorządową jednostką budżetową, samorządowym zakładem budżetowym, samorządową instytucją kultury albo spółką prawa handlowe</w:t>
      </w:r>
      <w:r w:rsidR="00963A8D" w:rsidRPr="00833C88">
        <w:rPr>
          <w:rFonts w:ascii="Times New Roman" w:hAnsi="Times New Roman" w:cs="Times New Roman"/>
        </w:rPr>
        <w:t>go</w:t>
      </w:r>
      <w:r w:rsidR="00B34EDF" w:rsidRPr="00833C88">
        <w:rPr>
          <w:rFonts w:ascii="Times New Roman" w:hAnsi="Times New Roman" w:cs="Times New Roman"/>
        </w:rPr>
        <w:t xml:space="preserve"> wykonującą zadania </w:t>
      </w:r>
      <w:r w:rsidR="00601933" w:rsidRPr="00833C88">
        <w:rPr>
          <w:rFonts w:ascii="Times New Roman" w:hAnsi="Times New Roman" w:cs="Times New Roman"/>
        </w:rPr>
        <w:t>o </w:t>
      </w:r>
      <w:r w:rsidR="00B34EDF" w:rsidRPr="00833C88">
        <w:rPr>
          <w:rFonts w:ascii="Times New Roman" w:hAnsi="Times New Roman" w:cs="Times New Roman"/>
        </w:rPr>
        <w:t xml:space="preserve">charakterze </w:t>
      </w:r>
      <w:r w:rsidR="00B34EDF" w:rsidRPr="00833C88">
        <w:rPr>
          <w:rFonts w:ascii="Times New Roman" w:hAnsi="Times New Roman" w:cs="Times New Roman"/>
        </w:rPr>
        <w:lastRenderedPageBreak/>
        <w:t xml:space="preserve">użyteczności publicznej </w:t>
      </w:r>
      <w:r w:rsidR="00601933" w:rsidRPr="00833C88">
        <w:rPr>
          <w:rFonts w:ascii="Times New Roman" w:hAnsi="Times New Roman" w:cs="Times New Roman"/>
        </w:rPr>
        <w:t>w </w:t>
      </w:r>
      <w:r w:rsidR="00B34EDF" w:rsidRPr="00833C88">
        <w:rPr>
          <w:rFonts w:ascii="Times New Roman" w:hAnsi="Times New Roman" w:cs="Times New Roman"/>
        </w:rPr>
        <w:t xml:space="preserve">rozumieniu art. 1 ust. 2 ustawy </w:t>
      </w:r>
      <w:r w:rsidR="00601933" w:rsidRPr="00833C88">
        <w:rPr>
          <w:rFonts w:ascii="Times New Roman" w:hAnsi="Times New Roman" w:cs="Times New Roman"/>
        </w:rPr>
        <w:t>z </w:t>
      </w:r>
      <w:r w:rsidR="00B34EDF" w:rsidRPr="00833C88">
        <w:rPr>
          <w:rFonts w:ascii="Times New Roman" w:hAnsi="Times New Roman" w:cs="Times New Roman"/>
        </w:rPr>
        <w:t xml:space="preserve">dnia 20 grudnia 1996 r. </w:t>
      </w:r>
      <w:r w:rsidR="00601933" w:rsidRPr="00833C88">
        <w:rPr>
          <w:rFonts w:ascii="Times New Roman" w:hAnsi="Times New Roman" w:cs="Times New Roman"/>
        </w:rPr>
        <w:t>o </w:t>
      </w:r>
      <w:r w:rsidR="00B34EDF" w:rsidRPr="00833C88">
        <w:rPr>
          <w:rFonts w:ascii="Times New Roman" w:hAnsi="Times New Roman" w:cs="Times New Roman"/>
        </w:rPr>
        <w:t xml:space="preserve">gospodarce komunalnej (Dz. U. </w:t>
      </w:r>
      <w:r w:rsidR="00601933" w:rsidRPr="00833C88">
        <w:rPr>
          <w:rFonts w:ascii="Times New Roman" w:hAnsi="Times New Roman" w:cs="Times New Roman"/>
        </w:rPr>
        <w:t>z </w:t>
      </w:r>
      <w:r w:rsidR="00B34EDF" w:rsidRPr="00833C88">
        <w:rPr>
          <w:rFonts w:ascii="Times New Roman" w:hAnsi="Times New Roman" w:cs="Times New Roman"/>
        </w:rPr>
        <w:t xml:space="preserve">2021 </w:t>
      </w:r>
      <w:r w:rsidR="00B54F59" w:rsidRPr="00833C88">
        <w:rPr>
          <w:rFonts w:ascii="Times New Roman" w:hAnsi="Times New Roman" w:cs="Times New Roman"/>
        </w:rPr>
        <w:t xml:space="preserve">r. </w:t>
      </w:r>
      <w:r w:rsidR="00B34EDF" w:rsidRPr="00833C88">
        <w:rPr>
          <w:rFonts w:ascii="Times New Roman" w:hAnsi="Times New Roman" w:cs="Times New Roman"/>
        </w:rPr>
        <w:t xml:space="preserve">poz. 679) jeżeli realizuje zadanie publiczne </w:t>
      </w:r>
      <w:r w:rsidR="00601933" w:rsidRPr="00833C88">
        <w:rPr>
          <w:rFonts w:ascii="Times New Roman" w:hAnsi="Times New Roman" w:cs="Times New Roman"/>
        </w:rPr>
        <w:t>z </w:t>
      </w:r>
      <w:r w:rsidR="00B34EDF" w:rsidRPr="00833C88">
        <w:rPr>
          <w:rFonts w:ascii="Times New Roman" w:hAnsi="Times New Roman" w:cs="Times New Roman"/>
        </w:rPr>
        <w:t>wykorzystaniem systemów informacyjnych.</w:t>
      </w:r>
    </w:p>
    <w:p w14:paraId="379486AA" w14:textId="4990A387" w:rsidR="00620982" w:rsidRPr="00833C88" w:rsidRDefault="00986485" w:rsidP="000C1D4E">
      <w:pPr>
        <w:pStyle w:val="ZPKTzmpktartykuempunktem"/>
        <w:spacing w:after="120"/>
        <w:ind w:left="0" w:firstLine="0"/>
        <w:rPr>
          <w:rFonts w:ascii="Times New Roman" w:hAnsi="Times New Roman" w:cs="Times New Roman"/>
        </w:rPr>
      </w:pPr>
      <w:r w:rsidRPr="00833C88">
        <w:rPr>
          <w:rFonts w:ascii="Times New Roman" w:hAnsi="Times New Roman" w:cs="Times New Roman"/>
        </w:rPr>
        <w:t>Względem dyrektywy NIS</w:t>
      </w:r>
      <w:r w:rsidR="00B420C3" w:rsidRPr="00833C88">
        <w:rPr>
          <w:rFonts w:ascii="Times New Roman" w:hAnsi="Times New Roman" w:cs="Times New Roman"/>
        </w:rPr>
        <w:t xml:space="preserve"> </w:t>
      </w:r>
      <w:r w:rsidRPr="00833C88">
        <w:rPr>
          <w:rFonts w:ascii="Times New Roman" w:hAnsi="Times New Roman" w:cs="Times New Roman"/>
        </w:rPr>
        <w:t xml:space="preserve">2 przesądzono już na poziomie ustawowym, że </w:t>
      </w:r>
      <w:r w:rsidR="006B4267" w:rsidRPr="00833C88">
        <w:rPr>
          <w:rFonts w:ascii="Times New Roman" w:hAnsi="Times New Roman" w:cs="Times New Roman"/>
        </w:rPr>
        <w:t>dostawc</w:t>
      </w:r>
      <w:r w:rsidR="000D1F49" w:rsidRPr="00833C88">
        <w:rPr>
          <w:rFonts w:ascii="Times New Roman" w:hAnsi="Times New Roman" w:cs="Times New Roman"/>
        </w:rPr>
        <w:t>y</w:t>
      </w:r>
      <w:r w:rsidR="006B4267" w:rsidRPr="00833C88">
        <w:rPr>
          <w:rFonts w:ascii="Times New Roman" w:hAnsi="Times New Roman" w:cs="Times New Roman"/>
        </w:rPr>
        <w:t xml:space="preserve"> usług zarządzanych </w:t>
      </w:r>
      <w:r w:rsidR="00601933" w:rsidRPr="00833C88">
        <w:rPr>
          <w:rFonts w:ascii="Times New Roman" w:hAnsi="Times New Roman" w:cs="Times New Roman"/>
        </w:rPr>
        <w:t>w </w:t>
      </w:r>
      <w:r w:rsidR="006B4267" w:rsidRPr="00833C88">
        <w:rPr>
          <w:rFonts w:ascii="Times New Roman" w:hAnsi="Times New Roman" w:cs="Times New Roman"/>
        </w:rPr>
        <w:t xml:space="preserve">zakresie cyberbezpieczeństwa (podmioty typu Security Operations Center, </w:t>
      </w:r>
      <w:proofErr w:type="spellStart"/>
      <w:r w:rsidR="006B4267" w:rsidRPr="00833C88">
        <w:rPr>
          <w:rFonts w:ascii="Times New Roman" w:hAnsi="Times New Roman" w:cs="Times New Roman"/>
        </w:rPr>
        <w:t>Computer</w:t>
      </w:r>
      <w:proofErr w:type="spellEnd"/>
      <w:r w:rsidR="006B4267" w:rsidRPr="00833C88">
        <w:rPr>
          <w:rFonts w:ascii="Times New Roman" w:hAnsi="Times New Roman" w:cs="Times New Roman"/>
        </w:rPr>
        <w:t xml:space="preserve"> Security </w:t>
      </w:r>
      <w:proofErr w:type="spellStart"/>
      <w:r w:rsidR="006B4267" w:rsidRPr="00833C88">
        <w:rPr>
          <w:rFonts w:ascii="Times New Roman" w:hAnsi="Times New Roman" w:cs="Times New Roman"/>
        </w:rPr>
        <w:t>Incident</w:t>
      </w:r>
      <w:proofErr w:type="spellEnd"/>
      <w:r w:rsidR="006B4267" w:rsidRPr="00833C88">
        <w:rPr>
          <w:rFonts w:ascii="Times New Roman" w:hAnsi="Times New Roman" w:cs="Times New Roman"/>
        </w:rPr>
        <w:t xml:space="preserve"> </w:t>
      </w:r>
      <w:proofErr w:type="spellStart"/>
      <w:r w:rsidR="006B4267" w:rsidRPr="00833C88">
        <w:rPr>
          <w:rFonts w:ascii="Times New Roman" w:hAnsi="Times New Roman" w:cs="Times New Roman"/>
        </w:rPr>
        <w:t>Response</w:t>
      </w:r>
      <w:proofErr w:type="spellEnd"/>
      <w:r w:rsidR="006B4267" w:rsidRPr="00833C88">
        <w:rPr>
          <w:rFonts w:ascii="Times New Roman" w:hAnsi="Times New Roman" w:cs="Times New Roman"/>
        </w:rPr>
        <w:t xml:space="preserve"> Team, </w:t>
      </w:r>
      <w:proofErr w:type="spellStart"/>
      <w:r w:rsidR="00951702" w:rsidRPr="00833C88">
        <w:rPr>
          <w:rFonts w:ascii="Times New Roman" w:hAnsi="Times New Roman" w:cs="Times New Roman"/>
        </w:rPr>
        <w:t>Computer</w:t>
      </w:r>
      <w:proofErr w:type="spellEnd"/>
      <w:r w:rsidR="00951702" w:rsidRPr="00833C88">
        <w:rPr>
          <w:rFonts w:ascii="Times New Roman" w:hAnsi="Times New Roman" w:cs="Times New Roman"/>
        </w:rPr>
        <w:t xml:space="preserve"> </w:t>
      </w:r>
      <w:proofErr w:type="spellStart"/>
      <w:r w:rsidR="00951702" w:rsidRPr="00833C88">
        <w:rPr>
          <w:rFonts w:ascii="Times New Roman" w:hAnsi="Times New Roman" w:cs="Times New Roman"/>
        </w:rPr>
        <w:t>Emerge</w:t>
      </w:r>
      <w:r w:rsidR="002F0BF6" w:rsidRPr="00833C88">
        <w:rPr>
          <w:rFonts w:ascii="Times New Roman" w:hAnsi="Times New Roman" w:cs="Times New Roman"/>
        </w:rPr>
        <w:t>ncy</w:t>
      </w:r>
      <w:proofErr w:type="spellEnd"/>
      <w:r w:rsidR="00951702" w:rsidRPr="00833C88">
        <w:rPr>
          <w:rFonts w:ascii="Times New Roman" w:hAnsi="Times New Roman" w:cs="Times New Roman"/>
        </w:rPr>
        <w:t xml:space="preserve"> </w:t>
      </w:r>
      <w:proofErr w:type="spellStart"/>
      <w:r w:rsidR="00951702" w:rsidRPr="00833C88">
        <w:rPr>
          <w:rFonts w:ascii="Times New Roman" w:hAnsi="Times New Roman" w:cs="Times New Roman"/>
        </w:rPr>
        <w:t>Response</w:t>
      </w:r>
      <w:proofErr w:type="spellEnd"/>
      <w:r w:rsidR="00951702" w:rsidRPr="00833C88">
        <w:rPr>
          <w:rFonts w:ascii="Times New Roman" w:hAnsi="Times New Roman" w:cs="Times New Roman"/>
        </w:rPr>
        <w:t xml:space="preserve"> Team itp.) są</w:t>
      </w:r>
      <w:r w:rsidR="00B420C3" w:rsidRPr="00833C88">
        <w:rPr>
          <w:rFonts w:ascii="Times New Roman" w:hAnsi="Times New Roman" w:cs="Times New Roman"/>
        </w:rPr>
        <w:t> </w:t>
      </w:r>
      <w:r w:rsidR="00951702" w:rsidRPr="00833C88">
        <w:rPr>
          <w:rFonts w:ascii="Times New Roman" w:hAnsi="Times New Roman" w:cs="Times New Roman"/>
        </w:rPr>
        <w:t xml:space="preserve">podmiotami kluczowymi. Podmioty te świadczą usługi obsługi incydentów na rzecz innych podmiotów </w:t>
      </w:r>
      <w:r w:rsidR="00601933" w:rsidRPr="00833C88">
        <w:rPr>
          <w:rFonts w:ascii="Times New Roman" w:hAnsi="Times New Roman" w:cs="Times New Roman"/>
        </w:rPr>
        <w:t>i </w:t>
      </w:r>
      <w:r w:rsidR="00951702" w:rsidRPr="00833C88">
        <w:rPr>
          <w:rFonts w:ascii="Times New Roman" w:hAnsi="Times New Roman" w:cs="Times New Roman"/>
        </w:rPr>
        <w:t xml:space="preserve">powinny </w:t>
      </w:r>
      <w:r w:rsidR="007223D8" w:rsidRPr="00833C88">
        <w:rPr>
          <w:rFonts w:ascii="Times New Roman" w:hAnsi="Times New Roman" w:cs="Times New Roman"/>
        </w:rPr>
        <w:t xml:space="preserve">mieć obowiązki </w:t>
      </w:r>
      <w:r w:rsidR="00601933" w:rsidRPr="00833C88">
        <w:rPr>
          <w:rFonts w:ascii="Times New Roman" w:hAnsi="Times New Roman" w:cs="Times New Roman"/>
        </w:rPr>
        <w:t>w </w:t>
      </w:r>
      <w:r w:rsidR="007223D8" w:rsidRPr="00833C88">
        <w:rPr>
          <w:rFonts w:ascii="Times New Roman" w:hAnsi="Times New Roman" w:cs="Times New Roman"/>
        </w:rPr>
        <w:t xml:space="preserve">zakresie zapewnienia własnego cyberbezpieczeństwa, ponieważ </w:t>
      </w:r>
      <w:r w:rsidR="002F2A36" w:rsidRPr="00833C88">
        <w:rPr>
          <w:rFonts w:ascii="Times New Roman" w:hAnsi="Times New Roman" w:cs="Times New Roman"/>
        </w:rPr>
        <w:t>od tego tak naprawdę będzie zależeć cyberbezpieczeństwo ich usługobiorców.</w:t>
      </w:r>
      <w:r w:rsidR="00F9028B" w:rsidRPr="00833C88">
        <w:rPr>
          <w:rFonts w:ascii="Times New Roman" w:hAnsi="Times New Roman" w:cs="Times New Roman"/>
        </w:rPr>
        <w:t xml:space="preserve"> </w:t>
      </w:r>
      <w:r w:rsidR="00601933" w:rsidRPr="00833C88">
        <w:rPr>
          <w:rFonts w:ascii="Times New Roman" w:hAnsi="Times New Roman" w:cs="Times New Roman"/>
        </w:rPr>
        <w:t>Z </w:t>
      </w:r>
      <w:r w:rsidR="00F9028B" w:rsidRPr="00833C88">
        <w:rPr>
          <w:rFonts w:ascii="Times New Roman" w:hAnsi="Times New Roman" w:cs="Times New Roman"/>
        </w:rPr>
        <w:t xml:space="preserve">tego zakresu wyłączono </w:t>
      </w:r>
      <w:proofErr w:type="spellStart"/>
      <w:r w:rsidR="00E41A13" w:rsidRPr="00833C88">
        <w:rPr>
          <w:rFonts w:ascii="Times New Roman" w:hAnsi="Times New Roman" w:cs="Times New Roman"/>
        </w:rPr>
        <w:t>mikroprzedsiębiorców</w:t>
      </w:r>
      <w:proofErr w:type="spellEnd"/>
      <w:r w:rsidR="00665BE9" w:rsidRPr="00833C88">
        <w:rPr>
          <w:rFonts w:ascii="Times New Roman" w:hAnsi="Times New Roman" w:cs="Times New Roman"/>
        </w:rPr>
        <w:t>, dla których te wymagania mogłyby być zbyt uciążliwe.</w:t>
      </w:r>
    </w:p>
    <w:p w14:paraId="6716AD58" w14:textId="4A53F362" w:rsidR="00CF75ED" w:rsidRPr="00833C88" w:rsidRDefault="00601933" w:rsidP="0029004E">
      <w:pPr>
        <w:spacing w:line="360" w:lineRule="auto"/>
        <w:jc w:val="both"/>
        <w:rPr>
          <w:rFonts w:cs="Times New Roman"/>
          <w:sz w:val="24"/>
          <w:szCs w:val="24"/>
        </w:rPr>
      </w:pPr>
      <w:r w:rsidRPr="00833C88">
        <w:rPr>
          <w:rFonts w:cs="Times New Roman"/>
          <w:sz w:val="24"/>
          <w:szCs w:val="24"/>
        </w:rPr>
        <w:t>W </w:t>
      </w:r>
      <w:r w:rsidR="4E9BE554" w:rsidRPr="00833C88">
        <w:rPr>
          <w:rFonts w:cs="Times New Roman"/>
          <w:sz w:val="24"/>
          <w:szCs w:val="24"/>
        </w:rPr>
        <w:t xml:space="preserve">przypadku podmiotów publicznych wyłączono stosowanie </w:t>
      </w:r>
      <w:r w:rsidR="68A9D527" w:rsidRPr="00833C88">
        <w:rPr>
          <w:rFonts w:cs="Times New Roman"/>
          <w:sz w:val="24"/>
          <w:szCs w:val="24"/>
        </w:rPr>
        <w:t xml:space="preserve">progów małych </w:t>
      </w:r>
      <w:r w:rsidRPr="00833C88">
        <w:rPr>
          <w:rFonts w:cs="Times New Roman"/>
          <w:sz w:val="24"/>
          <w:szCs w:val="24"/>
        </w:rPr>
        <w:t>i </w:t>
      </w:r>
      <w:r w:rsidR="68A9D527" w:rsidRPr="00833C88">
        <w:rPr>
          <w:rFonts w:cs="Times New Roman"/>
          <w:sz w:val="24"/>
          <w:szCs w:val="24"/>
        </w:rPr>
        <w:t>średnich przedsiębiorstw. W</w:t>
      </w:r>
      <w:r w:rsidR="35B652B8" w:rsidRPr="00833C88">
        <w:rPr>
          <w:rFonts w:cs="Times New Roman"/>
          <w:sz w:val="24"/>
          <w:szCs w:val="24"/>
        </w:rPr>
        <w:t>iększość</w:t>
      </w:r>
      <w:r w:rsidR="68A9D527" w:rsidRPr="00833C88">
        <w:rPr>
          <w:rFonts w:cs="Times New Roman"/>
          <w:sz w:val="24"/>
          <w:szCs w:val="24"/>
        </w:rPr>
        <w:t xml:space="preserve"> podmiot</w:t>
      </w:r>
      <w:r w:rsidR="2BC5C48A" w:rsidRPr="00833C88">
        <w:rPr>
          <w:rFonts w:cs="Times New Roman"/>
          <w:sz w:val="24"/>
          <w:szCs w:val="24"/>
        </w:rPr>
        <w:t>ów</w:t>
      </w:r>
      <w:r w:rsidR="68A9D527" w:rsidRPr="00833C88">
        <w:rPr>
          <w:rFonts w:cs="Times New Roman"/>
          <w:sz w:val="24"/>
          <w:szCs w:val="24"/>
        </w:rPr>
        <w:t xml:space="preserve"> publiczn</w:t>
      </w:r>
      <w:r w:rsidR="062B6C3B" w:rsidRPr="00833C88">
        <w:rPr>
          <w:rFonts w:cs="Times New Roman"/>
          <w:sz w:val="24"/>
          <w:szCs w:val="24"/>
        </w:rPr>
        <w:t>ych</w:t>
      </w:r>
      <w:r w:rsidR="68A9D527" w:rsidRPr="00833C88">
        <w:rPr>
          <w:rFonts w:cs="Times New Roman"/>
          <w:sz w:val="24"/>
          <w:szCs w:val="24"/>
        </w:rPr>
        <w:t xml:space="preserve"> będ</w:t>
      </w:r>
      <w:r w:rsidR="33C00D82" w:rsidRPr="00833C88">
        <w:rPr>
          <w:rFonts w:cs="Times New Roman"/>
          <w:sz w:val="24"/>
          <w:szCs w:val="24"/>
        </w:rPr>
        <w:t>zie</w:t>
      </w:r>
      <w:r w:rsidR="68A9D527" w:rsidRPr="00833C88">
        <w:rPr>
          <w:rFonts w:cs="Times New Roman"/>
          <w:sz w:val="24"/>
          <w:szCs w:val="24"/>
        </w:rPr>
        <w:t xml:space="preserve"> traktowan</w:t>
      </w:r>
      <w:r w:rsidR="3E7EFE71" w:rsidRPr="00833C88">
        <w:rPr>
          <w:rFonts w:cs="Times New Roman"/>
          <w:sz w:val="24"/>
          <w:szCs w:val="24"/>
        </w:rPr>
        <w:t>ych</w:t>
      </w:r>
      <w:r w:rsidR="68A9D527" w:rsidRPr="00833C88">
        <w:rPr>
          <w:rFonts w:cs="Times New Roman"/>
          <w:sz w:val="24"/>
          <w:szCs w:val="24"/>
        </w:rPr>
        <w:t xml:space="preserve"> jak</w:t>
      </w:r>
      <w:r w:rsidR="4F3F8400" w:rsidRPr="00833C88">
        <w:rPr>
          <w:rFonts w:cs="Times New Roman"/>
          <w:sz w:val="24"/>
          <w:szCs w:val="24"/>
        </w:rPr>
        <w:t>o</w:t>
      </w:r>
      <w:r w:rsidR="68A9D527" w:rsidRPr="00833C88">
        <w:rPr>
          <w:rFonts w:cs="Times New Roman"/>
          <w:sz w:val="24"/>
          <w:szCs w:val="24"/>
        </w:rPr>
        <w:t xml:space="preserve"> podmioty kluczowe. </w:t>
      </w:r>
      <w:r w:rsidR="3FAF4A96" w:rsidRPr="00833C88">
        <w:rPr>
          <w:rFonts w:cs="Times New Roman"/>
          <w:sz w:val="24"/>
          <w:szCs w:val="24"/>
        </w:rPr>
        <w:t xml:space="preserve">Katalog samorządowych podmiotów publicznych będących podmiotami kluczowymi ukształtowano pod wpływem dyskusji na Zespole Społeczeństwa Informacyjnego Komisji Wspólnej Rządu </w:t>
      </w:r>
      <w:r w:rsidRPr="00833C88">
        <w:rPr>
          <w:rFonts w:cs="Times New Roman"/>
          <w:sz w:val="24"/>
          <w:szCs w:val="24"/>
        </w:rPr>
        <w:t>i </w:t>
      </w:r>
      <w:r w:rsidR="6F5BBD82" w:rsidRPr="00833C88">
        <w:rPr>
          <w:rFonts w:cs="Times New Roman"/>
          <w:sz w:val="24"/>
          <w:szCs w:val="24"/>
        </w:rPr>
        <w:t xml:space="preserve">Samorządu Terytorialnego. Wprowadzono także kategorię podmiotów publicznych będącymi podmiotami ważnymi </w:t>
      </w:r>
      <w:r w:rsidR="00DB7EB7" w:rsidRPr="00833C88">
        <w:rPr>
          <w:rFonts w:cs="Times New Roman"/>
          <w:sz w:val="24"/>
          <w:szCs w:val="24"/>
        </w:rPr>
        <w:t>–</w:t>
      </w:r>
      <w:r w:rsidR="6F5BBD82" w:rsidRPr="00833C88">
        <w:rPr>
          <w:rFonts w:cs="Times New Roman"/>
          <w:sz w:val="24"/>
          <w:szCs w:val="24"/>
        </w:rPr>
        <w:t xml:space="preserve"> będą miały one uproszczone wymagania </w:t>
      </w:r>
      <w:r w:rsidRPr="00833C88">
        <w:rPr>
          <w:rFonts w:cs="Times New Roman"/>
          <w:sz w:val="24"/>
          <w:szCs w:val="24"/>
        </w:rPr>
        <w:t>z </w:t>
      </w:r>
      <w:r w:rsidR="6F5BBD82" w:rsidRPr="00833C88">
        <w:rPr>
          <w:rFonts w:cs="Times New Roman"/>
          <w:sz w:val="24"/>
          <w:szCs w:val="24"/>
        </w:rPr>
        <w:t>zakresu cyberbezpieczeństwa.</w:t>
      </w:r>
    </w:p>
    <w:p w14:paraId="5C86741D" w14:textId="47164499" w:rsidR="00ED40D6" w:rsidRPr="00833C88" w:rsidRDefault="00601933" w:rsidP="0029004E">
      <w:pPr>
        <w:spacing w:line="360" w:lineRule="auto"/>
        <w:jc w:val="both"/>
        <w:rPr>
          <w:rFonts w:cs="Times New Roman"/>
          <w:sz w:val="24"/>
          <w:szCs w:val="24"/>
        </w:rPr>
      </w:pPr>
      <w:r w:rsidRPr="00833C88">
        <w:rPr>
          <w:rFonts w:cs="Times New Roman"/>
          <w:sz w:val="24"/>
          <w:szCs w:val="24"/>
        </w:rPr>
        <w:t>Z </w:t>
      </w:r>
      <w:r w:rsidR="00132A64" w:rsidRPr="00833C88">
        <w:rPr>
          <w:rFonts w:cs="Times New Roman"/>
          <w:sz w:val="24"/>
          <w:szCs w:val="24"/>
        </w:rPr>
        <w:t xml:space="preserve">pewnością wystąpi zjawisko </w:t>
      </w:r>
      <w:proofErr w:type="spellStart"/>
      <w:r w:rsidR="00132A64" w:rsidRPr="00833C88">
        <w:rPr>
          <w:rFonts w:cs="Times New Roman"/>
          <w:sz w:val="24"/>
          <w:szCs w:val="24"/>
        </w:rPr>
        <w:t>multisektorowości</w:t>
      </w:r>
      <w:proofErr w:type="spellEnd"/>
      <w:r w:rsidR="00132A64" w:rsidRPr="00833C88">
        <w:rPr>
          <w:rFonts w:cs="Times New Roman"/>
          <w:sz w:val="24"/>
          <w:szCs w:val="24"/>
        </w:rPr>
        <w:t xml:space="preserve"> – podmioty prowadzą zróżnicowaną działalność, która obejmuje wiele sektorów, zarówno sektory ważne</w:t>
      </w:r>
      <w:r w:rsidR="000D1F49" w:rsidRPr="00833C88">
        <w:rPr>
          <w:rFonts w:cs="Times New Roman"/>
          <w:sz w:val="24"/>
          <w:szCs w:val="24"/>
        </w:rPr>
        <w:t>,</w:t>
      </w:r>
      <w:r w:rsidR="00132A64" w:rsidRPr="00833C88">
        <w:rPr>
          <w:rFonts w:cs="Times New Roman"/>
          <w:sz w:val="24"/>
          <w:szCs w:val="24"/>
        </w:rPr>
        <w:t xml:space="preserve"> jak </w:t>
      </w:r>
      <w:r w:rsidRPr="00833C88">
        <w:rPr>
          <w:rFonts w:cs="Times New Roman"/>
          <w:sz w:val="24"/>
          <w:szCs w:val="24"/>
        </w:rPr>
        <w:t>i </w:t>
      </w:r>
      <w:r w:rsidR="00132A64" w:rsidRPr="00833C88">
        <w:rPr>
          <w:rFonts w:cs="Times New Roman"/>
          <w:sz w:val="24"/>
          <w:szCs w:val="24"/>
        </w:rPr>
        <w:t xml:space="preserve">kluczowe. </w:t>
      </w:r>
      <w:r w:rsidR="005F4D8D" w:rsidRPr="00833C88">
        <w:rPr>
          <w:rFonts w:cs="Times New Roman"/>
          <w:sz w:val="24"/>
          <w:szCs w:val="24"/>
        </w:rPr>
        <w:t>Aby uniknąć rozważań, czy podmiot jest podmiotem ważnym czy kluczowym uznano, że</w:t>
      </w:r>
      <w:r w:rsidR="009B4C26" w:rsidRPr="00833C88">
        <w:rPr>
          <w:rFonts w:cs="Times New Roman"/>
          <w:sz w:val="24"/>
          <w:szCs w:val="24"/>
        </w:rPr>
        <w:t> </w:t>
      </w:r>
      <w:r w:rsidR="00926FCC" w:rsidRPr="00833C88">
        <w:rPr>
          <w:rFonts w:cs="Times New Roman"/>
          <w:sz w:val="24"/>
          <w:szCs w:val="24"/>
        </w:rPr>
        <w:t>w</w:t>
      </w:r>
      <w:r w:rsidR="009B4C26" w:rsidRPr="00833C88">
        <w:rPr>
          <w:rFonts w:cs="Times New Roman"/>
          <w:sz w:val="24"/>
          <w:szCs w:val="24"/>
        </w:rPr>
        <w:t> </w:t>
      </w:r>
      <w:proofErr w:type="gramStart"/>
      <w:r w:rsidR="00926FCC" w:rsidRPr="00833C88">
        <w:rPr>
          <w:rFonts w:cs="Times New Roman"/>
          <w:sz w:val="24"/>
          <w:szCs w:val="24"/>
        </w:rPr>
        <w:t>przypadku</w:t>
      </w:r>
      <w:proofErr w:type="gramEnd"/>
      <w:r w:rsidR="00926FCC" w:rsidRPr="00833C88">
        <w:rPr>
          <w:rFonts w:cs="Times New Roman"/>
          <w:sz w:val="24"/>
          <w:szCs w:val="24"/>
        </w:rPr>
        <w:t xml:space="preserve"> </w:t>
      </w:r>
      <w:r w:rsidR="004E6A42" w:rsidRPr="00833C88">
        <w:rPr>
          <w:rFonts w:cs="Times New Roman"/>
          <w:sz w:val="24"/>
          <w:szCs w:val="24"/>
        </w:rPr>
        <w:t xml:space="preserve">gdy spełnia on kryteria podmiotu kluczowego </w:t>
      </w:r>
      <w:r w:rsidRPr="00833C88">
        <w:rPr>
          <w:rFonts w:cs="Times New Roman"/>
          <w:sz w:val="24"/>
          <w:szCs w:val="24"/>
        </w:rPr>
        <w:t>i </w:t>
      </w:r>
      <w:r w:rsidR="004E6A42" w:rsidRPr="00833C88">
        <w:rPr>
          <w:rFonts w:cs="Times New Roman"/>
          <w:sz w:val="24"/>
          <w:szCs w:val="24"/>
        </w:rPr>
        <w:t xml:space="preserve">podmiotu ważnego powinno się wyrównać do góry </w:t>
      </w:r>
      <w:r w:rsidRPr="00833C88">
        <w:rPr>
          <w:rFonts w:cs="Times New Roman"/>
          <w:sz w:val="24"/>
          <w:szCs w:val="24"/>
        </w:rPr>
        <w:t>i </w:t>
      </w:r>
      <w:r w:rsidR="004E6A42" w:rsidRPr="00833C88">
        <w:rPr>
          <w:rFonts w:cs="Times New Roman"/>
          <w:sz w:val="24"/>
          <w:szCs w:val="24"/>
        </w:rPr>
        <w:t>traktować go jako podmiot kluczowy.</w:t>
      </w:r>
      <w:r w:rsidR="00B416C0" w:rsidRPr="00833C88">
        <w:rPr>
          <w:rFonts w:cs="Times New Roman"/>
          <w:sz w:val="24"/>
          <w:szCs w:val="24"/>
        </w:rPr>
        <w:t xml:space="preserve"> Ułatwi to określenie statusu podmiotu.</w:t>
      </w:r>
    </w:p>
    <w:p w14:paraId="78993CA9" w14:textId="23AC4A6D" w:rsidR="0058687A" w:rsidRPr="00833C88" w:rsidRDefault="00593C5D" w:rsidP="0029004E">
      <w:pPr>
        <w:spacing w:line="360" w:lineRule="auto"/>
        <w:jc w:val="both"/>
        <w:rPr>
          <w:rFonts w:cs="Times New Roman"/>
          <w:sz w:val="24"/>
          <w:szCs w:val="24"/>
        </w:rPr>
      </w:pPr>
      <w:r w:rsidRPr="00833C88">
        <w:rPr>
          <w:rFonts w:cs="Times New Roman"/>
          <w:sz w:val="24"/>
          <w:szCs w:val="24"/>
        </w:rPr>
        <w:t xml:space="preserve">Aby ułatwić podmiotom samoidentyfikację – </w:t>
      </w:r>
      <w:r w:rsidR="00601933" w:rsidRPr="00833C88">
        <w:rPr>
          <w:rFonts w:cs="Times New Roman"/>
          <w:sz w:val="24"/>
          <w:szCs w:val="24"/>
        </w:rPr>
        <w:t>i </w:t>
      </w:r>
      <w:r w:rsidRPr="00833C88">
        <w:rPr>
          <w:rFonts w:cs="Times New Roman"/>
          <w:sz w:val="24"/>
          <w:szCs w:val="24"/>
        </w:rPr>
        <w:t>uniknąć obowiązku ciągłego sprawdzania przesłanek</w:t>
      </w:r>
      <w:r w:rsidR="0025259F" w:rsidRPr="00833C88">
        <w:rPr>
          <w:rFonts w:cs="Times New Roman"/>
          <w:sz w:val="24"/>
          <w:szCs w:val="24"/>
        </w:rPr>
        <w:t xml:space="preserve"> uznania za podmiot kluczowy czy podmiot ważny </w:t>
      </w:r>
      <w:r w:rsidR="00601933" w:rsidRPr="00833C88">
        <w:rPr>
          <w:rFonts w:cs="Times New Roman"/>
          <w:sz w:val="24"/>
          <w:szCs w:val="24"/>
        </w:rPr>
        <w:t>w </w:t>
      </w:r>
      <w:r w:rsidR="0025259F" w:rsidRPr="00833C88">
        <w:rPr>
          <w:rFonts w:cs="Times New Roman"/>
          <w:sz w:val="24"/>
          <w:szCs w:val="24"/>
        </w:rPr>
        <w:t>przypadkach, gdy zależy to</w:t>
      </w:r>
      <w:r w:rsidR="009B4C26" w:rsidRPr="00833C88">
        <w:rPr>
          <w:rFonts w:cs="Times New Roman"/>
          <w:sz w:val="24"/>
          <w:szCs w:val="24"/>
        </w:rPr>
        <w:t> </w:t>
      </w:r>
      <w:r w:rsidR="0025259F" w:rsidRPr="00833C88">
        <w:rPr>
          <w:rFonts w:cs="Times New Roman"/>
          <w:sz w:val="24"/>
          <w:szCs w:val="24"/>
        </w:rPr>
        <w:t>od</w:t>
      </w:r>
      <w:r w:rsidR="009B4C26" w:rsidRPr="00833C88">
        <w:rPr>
          <w:rFonts w:cs="Times New Roman"/>
          <w:sz w:val="24"/>
          <w:szCs w:val="24"/>
        </w:rPr>
        <w:t> </w:t>
      </w:r>
      <w:r w:rsidR="0025259F" w:rsidRPr="00833C88">
        <w:rPr>
          <w:rFonts w:cs="Times New Roman"/>
          <w:sz w:val="24"/>
          <w:szCs w:val="24"/>
        </w:rPr>
        <w:t xml:space="preserve">wielkości podmiotu – wskazano, że przesłanki uznania </w:t>
      </w:r>
      <w:r w:rsidR="006B7A8F" w:rsidRPr="00833C88">
        <w:rPr>
          <w:rFonts w:cs="Times New Roman"/>
          <w:sz w:val="24"/>
          <w:szCs w:val="24"/>
        </w:rPr>
        <w:t>za podmiot kluczowy</w:t>
      </w:r>
      <w:r w:rsidR="000D1F49" w:rsidRPr="00833C88">
        <w:rPr>
          <w:rFonts w:cs="Times New Roman"/>
          <w:sz w:val="24"/>
          <w:szCs w:val="24"/>
        </w:rPr>
        <w:t xml:space="preserve">, czy </w:t>
      </w:r>
      <w:r w:rsidR="00911A22" w:rsidRPr="00833C88">
        <w:rPr>
          <w:rFonts w:cs="Times New Roman"/>
          <w:sz w:val="24"/>
          <w:szCs w:val="24"/>
        </w:rPr>
        <w:t xml:space="preserve">podmiot </w:t>
      </w:r>
      <w:r w:rsidR="006B7A8F" w:rsidRPr="00833C88">
        <w:rPr>
          <w:rFonts w:cs="Times New Roman"/>
          <w:sz w:val="24"/>
          <w:szCs w:val="24"/>
        </w:rPr>
        <w:t>ważny bada się według stanu na dzień sporządzenia sprawozdania finansowego.</w:t>
      </w:r>
      <w:r w:rsidR="00D661C3" w:rsidRPr="00833C88">
        <w:rPr>
          <w:rFonts w:cs="Times New Roman"/>
          <w:sz w:val="24"/>
          <w:szCs w:val="24"/>
        </w:rPr>
        <w:t xml:space="preserve"> Czyli </w:t>
      </w:r>
      <w:r w:rsidR="00E24DD0" w:rsidRPr="00833C88">
        <w:rPr>
          <w:rFonts w:cs="Times New Roman"/>
          <w:sz w:val="24"/>
          <w:szCs w:val="24"/>
        </w:rPr>
        <w:t xml:space="preserve">taki </w:t>
      </w:r>
      <w:r w:rsidR="00D661C3" w:rsidRPr="00833C88">
        <w:rPr>
          <w:rFonts w:cs="Times New Roman"/>
          <w:sz w:val="24"/>
          <w:szCs w:val="24"/>
        </w:rPr>
        <w:t xml:space="preserve">podmiot musi raz </w:t>
      </w:r>
      <w:r w:rsidR="00601933" w:rsidRPr="00833C88">
        <w:rPr>
          <w:rFonts w:cs="Times New Roman"/>
          <w:sz w:val="24"/>
          <w:szCs w:val="24"/>
        </w:rPr>
        <w:t>w </w:t>
      </w:r>
      <w:r w:rsidR="00D661C3" w:rsidRPr="00833C88">
        <w:rPr>
          <w:rFonts w:cs="Times New Roman"/>
          <w:sz w:val="24"/>
          <w:szCs w:val="24"/>
        </w:rPr>
        <w:t xml:space="preserve">roku zbadać, czy jest podmiotem ważnym lub </w:t>
      </w:r>
      <w:r w:rsidR="00DB7EB7" w:rsidRPr="00833C88">
        <w:rPr>
          <w:rFonts w:cs="Times New Roman"/>
          <w:sz w:val="24"/>
          <w:szCs w:val="24"/>
        </w:rPr>
        <w:t xml:space="preserve">podmiotem </w:t>
      </w:r>
      <w:r w:rsidR="00D661C3" w:rsidRPr="00833C88">
        <w:rPr>
          <w:rFonts w:cs="Times New Roman"/>
          <w:sz w:val="24"/>
          <w:szCs w:val="24"/>
        </w:rPr>
        <w:t xml:space="preserve">kluczowym. </w:t>
      </w:r>
      <w:r w:rsidR="00E24DD0" w:rsidRPr="00833C88">
        <w:rPr>
          <w:rFonts w:cs="Times New Roman"/>
          <w:sz w:val="24"/>
          <w:szCs w:val="24"/>
        </w:rPr>
        <w:t>Oczywiście d</w:t>
      </w:r>
      <w:r w:rsidR="00E634A8" w:rsidRPr="00833C88">
        <w:rPr>
          <w:rFonts w:cs="Times New Roman"/>
          <w:sz w:val="24"/>
          <w:szCs w:val="24"/>
        </w:rPr>
        <w:t xml:space="preserve">otyczy to wyłącznie przedsiębiorców </w:t>
      </w:r>
      <w:r w:rsidR="00601933" w:rsidRPr="00833C88">
        <w:rPr>
          <w:rFonts w:cs="Times New Roman"/>
          <w:sz w:val="24"/>
          <w:szCs w:val="24"/>
        </w:rPr>
        <w:t>i </w:t>
      </w:r>
      <w:r w:rsidR="00E634A8" w:rsidRPr="00833C88">
        <w:rPr>
          <w:rFonts w:cs="Times New Roman"/>
          <w:sz w:val="24"/>
          <w:szCs w:val="24"/>
        </w:rPr>
        <w:t>to takich, których status podmiotu kluczowego</w:t>
      </w:r>
      <w:r w:rsidR="000D1F49" w:rsidRPr="00833C88">
        <w:rPr>
          <w:rFonts w:cs="Times New Roman"/>
          <w:sz w:val="24"/>
          <w:szCs w:val="24"/>
        </w:rPr>
        <w:t xml:space="preserve">, czy </w:t>
      </w:r>
      <w:r w:rsidR="00911A22" w:rsidRPr="00833C88">
        <w:rPr>
          <w:rFonts w:cs="Times New Roman"/>
          <w:sz w:val="24"/>
          <w:szCs w:val="24"/>
        </w:rPr>
        <w:t xml:space="preserve">podmiotu </w:t>
      </w:r>
      <w:r w:rsidR="00E634A8" w:rsidRPr="00833C88">
        <w:rPr>
          <w:rFonts w:cs="Times New Roman"/>
          <w:sz w:val="24"/>
          <w:szCs w:val="24"/>
        </w:rPr>
        <w:t xml:space="preserve">ważnego zależy od ich wielkości. </w:t>
      </w:r>
    </w:p>
    <w:p w14:paraId="23246D33" w14:textId="5905B10B" w:rsidR="0058687A" w:rsidRPr="00833C88" w:rsidRDefault="00601933" w:rsidP="0029004E">
      <w:pPr>
        <w:spacing w:line="360" w:lineRule="auto"/>
        <w:jc w:val="both"/>
        <w:rPr>
          <w:rFonts w:cs="Times New Roman"/>
          <w:sz w:val="24"/>
          <w:szCs w:val="24"/>
        </w:rPr>
      </w:pPr>
      <w:r w:rsidRPr="00833C88">
        <w:rPr>
          <w:rFonts w:cs="Times New Roman"/>
          <w:sz w:val="24"/>
          <w:szCs w:val="24"/>
        </w:rPr>
        <w:lastRenderedPageBreak/>
        <w:t>W </w:t>
      </w:r>
      <w:r w:rsidR="0058687A" w:rsidRPr="00833C88">
        <w:rPr>
          <w:rFonts w:cs="Times New Roman"/>
          <w:sz w:val="24"/>
          <w:szCs w:val="24"/>
        </w:rPr>
        <w:t>pr</w:t>
      </w:r>
      <w:r w:rsidR="000D1F49" w:rsidRPr="00833C88">
        <w:rPr>
          <w:rFonts w:cs="Times New Roman"/>
          <w:sz w:val="24"/>
          <w:szCs w:val="24"/>
        </w:rPr>
        <w:t>ojektowanych przepisach</w:t>
      </w:r>
      <w:r w:rsidR="0058687A" w:rsidRPr="00833C88">
        <w:rPr>
          <w:rFonts w:cs="Times New Roman"/>
          <w:sz w:val="24"/>
          <w:szCs w:val="24"/>
        </w:rPr>
        <w:t xml:space="preserve"> wdrożono motyw 16 dyrektywy NIS</w:t>
      </w:r>
      <w:r w:rsidR="00911A22" w:rsidRPr="00833C88">
        <w:rPr>
          <w:rFonts w:cs="Times New Roman"/>
          <w:sz w:val="24"/>
          <w:szCs w:val="24"/>
        </w:rPr>
        <w:t xml:space="preserve"> </w:t>
      </w:r>
      <w:r w:rsidR="0058687A" w:rsidRPr="00833C88">
        <w:rPr>
          <w:rFonts w:cs="Times New Roman"/>
          <w:sz w:val="24"/>
          <w:szCs w:val="24"/>
        </w:rPr>
        <w:t>2.</w:t>
      </w:r>
      <w:r w:rsidR="005F52BA" w:rsidRPr="00833C88">
        <w:rPr>
          <w:rFonts w:cs="Times New Roman"/>
          <w:sz w:val="24"/>
          <w:szCs w:val="24"/>
        </w:rPr>
        <w:t xml:space="preserve"> Zgodnie </w:t>
      </w:r>
      <w:r w:rsidRPr="00833C88">
        <w:rPr>
          <w:rFonts w:cs="Times New Roman"/>
          <w:sz w:val="24"/>
          <w:szCs w:val="24"/>
        </w:rPr>
        <w:t>z </w:t>
      </w:r>
      <w:r w:rsidR="005F52BA" w:rsidRPr="00833C88">
        <w:rPr>
          <w:rFonts w:cs="Times New Roman"/>
          <w:sz w:val="24"/>
          <w:szCs w:val="24"/>
        </w:rPr>
        <w:t xml:space="preserve">unijnymi kryteriami przy badaniu statusu mikro-, małych </w:t>
      </w:r>
      <w:r w:rsidRPr="00833C88">
        <w:rPr>
          <w:rFonts w:cs="Times New Roman"/>
          <w:sz w:val="24"/>
          <w:szCs w:val="24"/>
        </w:rPr>
        <w:t>i </w:t>
      </w:r>
      <w:r w:rsidR="005F52BA" w:rsidRPr="00833C88">
        <w:rPr>
          <w:rFonts w:cs="Times New Roman"/>
          <w:sz w:val="24"/>
          <w:szCs w:val="24"/>
        </w:rPr>
        <w:t xml:space="preserve">średnich przedsiębiorstw bierze się pod uwagę przedsiębiorstwa powiązane </w:t>
      </w:r>
      <w:r w:rsidRPr="00833C88">
        <w:rPr>
          <w:rFonts w:cs="Times New Roman"/>
          <w:sz w:val="24"/>
          <w:szCs w:val="24"/>
        </w:rPr>
        <w:t>i </w:t>
      </w:r>
      <w:r w:rsidR="005F52BA" w:rsidRPr="00833C88">
        <w:rPr>
          <w:rFonts w:cs="Times New Roman"/>
          <w:sz w:val="24"/>
          <w:szCs w:val="24"/>
        </w:rPr>
        <w:t xml:space="preserve">przedsiębiorstwa partnerskie – ich przychody, sumę </w:t>
      </w:r>
      <w:r w:rsidR="003C210E" w:rsidRPr="00833C88">
        <w:rPr>
          <w:rFonts w:cs="Times New Roman"/>
          <w:sz w:val="24"/>
          <w:szCs w:val="24"/>
        </w:rPr>
        <w:t>bilansową</w:t>
      </w:r>
      <w:r w:rsidR="005F52BA" w:rsidRPr="00833C88">
        <w:rPr>
          <w:rFonts w:cs="Times New Roman"/>
          <w:sz w:val="24"/>
          <w:szCs w:val="24"/>
        </w:rPr>
        <w:t xml:space="preserve"> </w:t>
      </w:r>
      <w:r w:rsidRPr="00833C88">
        <w:rPr>
          <w:rFonts w:cs="Times New Roman"/>
          <w:sz w:val="24"/>
          <w:szCs w:val="24"/>
        </w:rPr>
        <w:t>i </w:t>
      </w:r>
      <w:r w:rsidR="005F52BA" w:rsidRPr="00833C88">
        <w:rPr>
          <w:rFonts w:cs="Times New Roman"/>
          <w:sz w:val="24"/>
          <w:szCs w:val="24"/>
        </w:rPr>
        <w:t xml:space="preserve">liczbę pracowników dolicza się przy ustalaniu wielkości podmiotu. </w:t>
      </w:r>
      <w:r w:rsidR="0012078D" w:rsidRPr="00833C88">
        <w:rPr>
          <w:rFonts w:cs="Times New Roman"/>
          <w:sz w:val="24"/>
          <w:szCs w:val="24"/>
        </w:rPr>
        <w:t xml:space="preserve">To mogłoby oznaczać, że dany podmiot staje się średnim </w:t>
      </w:r>
      <w:r w:rsidR="004402AF" w:rsidRPr="00833C88">
        <w:rPr>
          <w:rFonts w:cs="Times New Roman"/>
          <w:sz w:val="24"/>
          <w:szCs w:val="24"/>
        </w:rPr>
        <w:t>przedsiębiorcą</w:t>
      </w:r>
      <w:r w:rsidR="00060D33" w:rsidRPr="00833C88">
        <w:rPr>
          <w:rFonts w:cs="Times New Roman"/>
          <w:sz w:val="24"/>
          <w:szCs w:val="24"/>
        </w:rPr>
        <w:t xml:space="preserve">, wliczając jego przedsiębiorstwa powiązane </w:t>
      </w:r>
      <w:r w:rsidRPr="00833C88">
        <w:rPr>
          <w:rFonts w:cs="Times New Roman"/>
          <w:sz w:val="24"/>
          <w:szCs w:val="24"/>
        </w:rPr>
        <w:t>i </w:t>
      </w:r>
      <w:r w:rsidR="00060D33" w:rsidRPr="00833C88">
        <w:rPr>
          <w:rFonts w:cs="Times New Roman"/>
          <w:sz w:val="24"/>
          <w:szCs w:val="24"/>
        </w:rPr>
        <w:t xml:space="preserve">partnerskie – </w:t>
      </w:r>
      <w:r w:rsidRPr="00833C88">
        <w:rPr>
          <w:rFonts w:cs="Times New Roman"/>
          <w:sz w:val="24"/>
          <w:szCs w:val="24"/>
        </w:rPr>
        <w:t>i </w:t>
      </w:r>
      <w:r w:rsidR="00060D33" w:rsidRPr="00833C88">
        <w:rPr>
          <w:rFonts w:cs="Times New Roman"/>
          <w:sz w:val="24"/>
          <w:szCs w:val="24"/>
        </w:rPr>
        <w:t>jest wtedy podmiotem ważnym. Ale jego systemy informacyjne mogą mieć charakter niezależny</w:t>
      </w:r>
      <w:r w:rsidR="006D42E5" w:rsidRPr="00833C88">
        <w:rPr>
          <w:rFonts w:cs="Times New Roman"/>
          <w:sz w:val="24"/>
          <w:szCs w:val="24"/>
        </w:rPr>
        <w:t xml:space="preserve"> od systemów podmiotów partnerskich </w:t>
      </w:r>
      <w:r w:rsidRPr="00833C88">
        <w:rPr>
          <w:rFonts w:cs="Times New Roman"/>
          <w:sz w:val="24"/>
          <w:szCs w:val="24"/>
        </w:rPr>
        <w:t>i </w:t>
      </w:r>
      <w:r w:rsidR="006D42E5" w:rsidRPr="00833C88">
        <w:rPr>
          <w:rFonts w:cs="Times New Roman"/>
          <w:sz w:val="24"/>
          <w:szCs w:val="24"/>
        </w:rPr>
        <w:t>powiązanych. Nie ma</w:t>
      </w:r>
      <w:r w:rsidR="009B4C26" w:rsidRPr="00833C88">
        <w:rPr>
          <w:rFonts w:cs="Times New Roman"/>
          <w:sz w:val="24"/>
          <w:szCs w:val="24"/>
        </w:rPr>
        <w:t> </w:t>
      </w:r>
      <w:r w:rsidR="006D42E5" w:rsidRPr="00833C88">
        <w:rPr>
          <w:rFonts w:cs="Times New Roman"/>
          <w:sz w:val="24"/>
          <w:szCs w:val="24"/>
        </w:rPr>
        <w:t xml:space="preserve">więc powodów, aby uznawać </w:t>
      </w:r>
      <w:r w:rsidR="0024147F" w:rsidRPr="00833C88">
        <w:rPr>
          <w:rFonts w:cs="Times New Roman"/>
          <w:sz w:val="24"/>
          <w:szCs w:val="24"/>
        </w:rPr>
        <w:t>ten podmiot za podmiot ważny.</w:t>
      </w:r>
      <w:r w:rsidR="00515B91" w:rsidRPr="00833C88">
        <w:rPr>
          <w:rFonts w:cs="Times New Roman"/>
          <w:sz w:val="24"/>
          <w:szCs w:val="24"/>
        </w:rPr>
        <w:t xml:space="preserve"> Niezależność systemu informacyjnego zachodzi m.in. wtedy, gdy do świadczenia usług przez podmiot nie jest konieczne działanie podmiotu powiązanego czy partnerskiego. Niezależność może przejawiać się również pod względem zastępowalności sieci i systemów informatycznych, </w:t>
      </w:r>
      <w:proofErr w:type="gramStart"/>
      <w:r w:rsidR="00515B91" w:rsidRPr="00833C88">
        <w:rPr>
          <w:rFonts w:cs="Times New Roman"/>
          <w:sz w:val="24"/>
          <w:szCs w:val="24"/>
        </w:rPr>
        <w:t>tj.</w:t>
      </w:r>
      <w:proofErr w:type="gramEnd"/>
      <w:r w:rsidR="00515B91" w:rsidRPr="00833C88">
        <w:rPr>
          <w:rFonts w:cs="Times New Roman"/>
          <w:sz w:val="24"/>
          <w:szCs w:val="24"/>
        </w:rPr>
        <w:t xml:space="preserve"> jeżeli w</w:t>
      </w:r>
      <w:r w:rsidR="009F15FC" w:rsidRPr="00833C88">
        <w:rPr>
          <w:rFonts w:cs="Times New Roman"/>
          <w:sz w:val="24"/>
          <w:szCs w:val="24"/>
        </w:rPr>
        <w:t> </w:t>
      </w:r>
      <w:r w:rsidR="00515B91" w:rsidRPr="00833C88">
        <w:rPr>
          <w:rFonts w:cs="Times New Roman"/>
          <w:sz w:val="24"/>
          <w:szCs w:val="24"/>
        </w:rPr>
        <w:t>akceptowalnym przez podmiot czasie oraz po akceptowalnych kosztach można zastąpić posiadane rozwiązanie jednego podmiotu rozwiązaniami innych, o nie gorszych właściwościach funkcjonalno-technicznych.</w:t>
      </w:r>
    </w:p>
    <w:p w14:paraId="2DC098B8" w14:textId="40B74828" w:rsidR="00055E9C" w:rsidRPr="00833C88" w:rsidRDefault="00116C61" w:rsidP="003F77A5">
      <w:pPr>
        <w:spacing w:after="0" w:line="360" w:lineRule="auto"/>
        <w:jc w:val="both"/>
        <w:rPr>
          <w:rFonts w:cs="Times New Roman"/>
          <w:sz w:val="24"/>
          <w:szCs w:val="24"/>
        </w:rPr>
      </w:pPr>
      <w:r w:rsidRPr="00833C88">
        <w:rPr>
          <w:rFonts w:cs="Times New Roman"/>
          <w:sz w:val="24"/>
          <w:szCs w:val="24"/>
        </w:rPr>
        <w:t>Wśród podmiotów leczniczych mamy także podmioty niebędące przedsiębiorcami – np.</w:t>
      </w:r>
      <w:r w:rsidR="00031FDA" w:rsidRPr="00833C88">
        <w:rPr>
          <w:rFonts w:cs="Times New Roman"/>
          <w:sz w:val="24"/>
          <w:szCs w:val="24"/>
        </w:rPr>
        <w:t> </w:t>
      </w:r>
      <w:r w:rsidRPr="00833C88">
        <w:rPr>
          <w:rFonts w:cs="Times New Roman"/>
          <w:sz w:val="24"/>
          <w:szCs w:val="24"/>
        </w:rPr>
        <w:t xml:space="preserve">jednostki budżetowe. Trudno wobec nich stosować </w:t>
      </w:r>
      <w:r w:rsidR="006F5888" w:rsidRPr="00833C88">
        <w:rPr>
          <w:rFonts w:cs="Times New Roman"/>
          <w:sz w:val="24"/>
          <w:szCs w:val="24"/>
        </w:rPr>
        <w:t xml:space="preserve">kryteria wielkości przedsiębiorców. Jednocześnie należy tutaj wprowadzić kryterium wielkościowe </w:t>
      </w:r>
      <w:r w:rsidR="00601933" w:rsidRPr="00833C88">
        <w:rPr>
          <w:rFonts w:cs="Times New Roman"/>
          <w:sz w:val="24"/>
          <w:szCs w:val="24"/>
        </w:rPr>
        <w:t>i </w:t>
      </w:r>
      <w:r w:rsidR="00B02EC0" w:rsidRPr="00833C88">
        <w:rPr>
          <w:rFonts w:cs="Times New Roman"/>
          <w:sz w:val="24"/>
          <w:szCs w:val="24"/>
        </w:rPr>
        <w:t xml:space="preserve">zwolnić </w:t>
      </w:r>
      <w:r w:rsidR="00601933" w:rsidRPr="00833C88">
        <w:rPr>
          <w:rFonts w:cs="Times New Roman"/>
          <w:sz w:val="24"/>
          <w:szCs w:val="24"/>
        </w:rPr>
        <w:t>z </w:t>
      </w:r>
      <w:r w:rsidR="00B02EC0" w:rsidRPr="00833C88">
        <w:rPr>
          <w:rFonts w:cs="Times New Roman"/>
          <w:sz w:val="24"/>
          <w:szCs w:val="24"/>
        </w:rPr>
        <w:t xml:space="preserve">obowiązków małe podmioty lecznicze. Wprowadzono więc regułę, że </w:t>
      </w:r>
      <w:r w:rsidR="00911A22" w:rsidRPr="00833C88">
        <w:rPr>
          <w:rFonts w:cs="Times New Roman"/>
          <w:sz w:val="24"/>
          <w:szCs w:val="24"/>
        </w:rPr>
        <w:t>p</w:t>
      </w:r>
      <w:r w:rsidR="00055E9C" w:rsidRPr="00833C88">
        <w:rPr>
          <w:rFonts w:cs="Times New Roman"/>
          <w:sz w:val="24"/>
          <w:szCs w:val="24"/>
        </w:rPr>
        <w:t>odmiot leczniczy, który nie jest przedsiębiorcą:</w:t>
      </w:r>
    </w:p>
    <w:p w14:paraId="50AF9E17" w14:textId="77777777" w:rsidR="00055E9C" w:rsidRPr="00833C88" w:rsidRDefault="00055E9C" w:rsidP="003F77A5">
      <w:pPr>
        <w:spacing w:after="0" w:line="360" w:lineRule="auto"/>
        <w:jc w:val="both"/>
        <w:rPr>
          <w:rFonts w:cs="Times New Roman"/>
          <w:sz w:val="24"/>
          <w:szCs w:val="24"/>
        </w:rPr>
      </w:pPr>
      <w:r w:rsidRPr="00833C88">
        <w:rPr>
          <w:rFonts w:cs="Times New Roman"/>
          <w:sz w:val="24"/>
          <w:szCs w:val="24"/>
        </w:rPr>
        <w:t>1)</w:t>
      </w:r>
      <w:r w:rsidRPr="00833C88">
        <w:rPr>
          <w:rFonts w:cs="Times New Roman"/>
          <w:sz w:val="24"/>
          <w:szCs w:val="24"/>
        </w:rPr>
        <w:tab/>
        <w:t>jest podmiotem ważnym, jeżeli zatrudnia od 50 do 249 osób;</w:t>
      </w:r>
    </w:p>
    <w:p w14:paraId="3D26E76D" w14:textId="0BA2B305" w:rsidR="00116C61" w:rsidRPr="00833C88" w:rsidRDefault="00055E9C" w:rsidP="0029004E">
      <w:pPr>
        <w:spacing w:line="360" w:lineRule="auto"/>
        <w:jc w:val="both"/>
        <w:rPr>
          <w:rFonts w:cs="Times New Roman"/>
          <w:sz w:val="24"/>
          <w:szCs w:val="24"/>
        </w:rPr>
      </w:pPr>
      <w:r w:rsidRPr="00833C88">
        <w:rPr>
          <w:rFonts w:cs="Times New Roman"/>
          <w:sz w:val="24"/>
          <w:szCs w:val="24"/>
        </w:rPr>
        <w:t>2)</w:t>
      </w:r>
      <w:r w:rsidRPr="00833C88">
        <w:rPr>
          <w:rFonts w:cs="Times New Roman"/>
          <w:sz w:val="24"/>
          <w:szCs w:val="24"/>
        </w:rPr>
        <w:tab/>
        <w:t>jest podmiotem kluczowym</w:t>
      </w:r>
      <w:r w:rsidR="001903E7">
        <w:rPr>
          <w:rFonts w:cs="Times New Roman"/>
          <w:sz w:val="24"/>
          <w:szCs w:val="24"/>
        </w:rPr>
        <w:t>,</w:t>
      </w:r>
      <w:r w:rsidRPr="00833C88">
        <w:rPr>
          <w:rFonts w:cs="Times New Roman"/>
          <w:sz w:val="24"/>
          <w:szCs w:val="24"/>
        </w:rPr>
        <w:t xml:space="preserve"> jeżeli zatrudnia co najmniej 250 osób.</w:t>
      </w:r>
    </w:p>
    <w:p w14:paraId="120767C7" w14:textId="35D6162C" w:rsidR="001A1D63" w:rsidRPr="00833C88" w:rsidRDefault="001A1D63" w:rsidP="0029004E">
      <w:pPr>
        <w:spacing w:line="360" w:lineRule="auto"/>
        <w:jc w:val="both"/>
        <w:rPr>
          <w:rFonts w:cs="Times New Roman"/>
          <w:sz w:val="24"/>
          <w:szCs w:val="24"/>
        </w:rPr>
      </w:pPr>
      <w:r w:rsidRPr="00833C88">
        <w:rPr>
          <w:rFonts w:cs="Times New Roman"/>
          <w:sz w:val="24"/>
          <w:szCs w:val="24"/>
        </w:rPr>
        <w:t xml:space="preserve">Wprowadzono uprawnienie dla Ministra Obrony Narodowej do ustalenia, które jednostki </w:t>
      </w:r>
      <w:r w:rsidR="00D53CA5" w:rsidRPr="00833C88">
        <w:rPr>
          <w:rFonts w:cs="Times New Roman"/>
          <w:sz w:val="24"/>
          <w:szCs w:val="24"/>
        </w:rPr>
        <w:t xml:space="preserve">jemu podległe lub przez niego nadzorowane </w:t>
      </w:r>
      <w:r w:rsidR="00607725" w:rsidRPr="00833C88">
        <w:rPr>
          <w:rFonts w:cs="Times New Roman"/>
          <w:sz w:val="24"/>
          <w:szCs w:val="24"/>
        </w:rPr>
        <w:t>będą podmiotami kluczowymi lub podmiotami ważnymi.</w:t>
      </w:r>
    </w:p>
    <w:p w14:paraId="00B3F6FA" w14:textId="5AB08A94" w:rsidR="00303134" w:rsidRPr="00833C88" w:rsidRDefault="00601933" w:rsidP="00303134">
      <w:pPr>
        <w:spacing w:line="360" w:lineRule="auto"/>
        <w:jc w:val="both"/>
        <w:rPr>
          <w:rFonts w:cs="Times New Roman"/>
          <w:sz w:val="24"/>
          <w:szCs w:val="24"/>
        </w:rPr>
      </w:pPr>
      <w:r w:rsidRPr="00833C88">
        <w:rPr>
          <w:rFonts w:cs="Times New Roman"/>
          <w:sz w:val="24"/>
          <w:szCs w:val="24"/>
        </w:rPr>
        <w:t>W </w:t>
      </w:r>
      <w:r w:rsidR="00303134" w:rsidRPr="00833C88">
        <w:rPr>
          <w:rFonts w:cs="Times New Roman"/>
          <w:sz w:val="24"/>
          <w:szCs w:val="24"/>
        </w:rPr>
        <w:t xml:space="preserve">odniesieniu do podmiotów paliwowego cyklu jądrowego moment uzyskania statusu podmiotu kluczowego mógłby zostać powiązany </w:t>
      </w:r>
      <w:r w:rsidRPr="00833C88">
        <w:rPr>
          <w:rFonts w:cs="Times New Roman"/>
          <w:sz w:val="24"/>
          <w:szCs w:val="24"/>
        </w:rPr>
        <w:t>z </w:t>
      </w:r>
      <w:r w:rsidR="00303134" w:rsidRPr="00833C88">
        <w:rPr>
          <w:rFonts w:cs="Times New Roman"/>
          <w:sz w:val="24"/>
          <w:szCs w:val="24"/>
        </w:rPr>
        <w:t xml:space="preserve">uzyskaniem określonego zezwolenia, </w:t>
      </w:r>
      <w:r w:rsidRPr="00833C88">
        <w:rPr>
          <w:rFonts w:cs="Times New Roman"/>
          <w:sz w:val="24"/>
          <w:szCs w:val="24"/>
        </w:rPr>
        <w:t>o </w:t>
      </w:r>
      <w:r w:rsidR="00303134" w:rsidRPr="00833C88">
        <w:rPr>
          <w:rFonts w:cs="Times New Roman"/>
          <w:sz w:val="24"/>
          <w:szCs w:val="24"/>
        </w:rPr>
        <w:t xml:space="preserve">którym mowa </w:t>
      </w:r>
      <w:r w:rsidRPr="00833C88">
        <w:rPr>
          <w:rFonts w:cs="Times New Roman"/>
          <w:sz w:val="24"/>
          <w:szCs w:val="24"/>
        </w:rPr>
        <w:t>w </w:t>
      </w:r>
      <w:r w:rsidR="00303134" w:rsidRPr="00833C88">
        <w:rPr>
          <w:rFonts w:cs="Times New Roman"/>
          <w:sz w:val="24"/>
          <w:szCs w:val="24"/>
        </w:rPr>
        <w:t xml:space="preserve">art. 4 ustawy </w:t>
      </w:r>
      <w:r w:rsidRPr="00833C88">
        <w:rPr>
          <w:rFonts w:cs="Times New Roman"/>
          <w:sz w:val="24"/>
          <w:szCs w:val="24"/>
        </w:rPr>
        <w:t>z </w:t>
      </w:r>
      <w:r w:rsidR="00303134" w:rsidRPr="00833C88">
        <w:rPr>
          <w:rFonts w:cs="Times New Roman"/>
          <w:sz w:val="24"/>
          <w:szCs w:val="24"/>
        </w:rPr>
        <w:t xml:space="preserve">dnia 29 listopada 2000 r. – Prawo atomowe (Dz. U. </w:t>
      </w:r>
      <w:r w:rsidRPr="00833C88">
        <w:rPr>
          <w:rFonts w:cs="Times New Roman"/>
          <w:sz w:val="24"/>
          <w:szCs w:val="24"/>
        </w:rPr>
        <w:t>z </w:t>
      </w:r>
      <w:r w:rsidR="00303134" w:rsidRPr="00833C88">
        <w:rPr>
          <w:rFonts w:cs="Times New Roman"/>
          <w:sz w:val="24"/>
          <w:szCs w:val="24"/>
        </w:rPr>
        <w:t>2024</w:t>
      </w:r>
      <w:r w:rsidR="00846C33" w:rsidRPr="00833C88">
        <w:rPr>
          <w:rFonts w:cs="Times New Roman"/>
          <w:sz w:val="24"/>
          <w:szCs w:val="24"/>
        </w:rPr>
        <w:t> </w:t>
      </w:r>
      <w:r w:rsidR="00303134" w:rsidRPr="00833C88">
        <w:rPr>
          <w:rFonts w:cs="Times New Roman"/>
          <w:sz w:val="24"/>
          <w:szCs w:val="24"/>
        </w:rPr>
        <w:t>r. poz. 1277</w:t>
      </w:r>
      <w:r w:rsidR="00FE651A" w:rsidRPr="00833C88">
        <w:rPr>
          <w:rFonts w:cs="Times New Roman"/>
          <w:sz w:val="24"/>
          <w:szCs w:val="24"/>
        </w:rPr>
        <w:t xml:space="preserve">, 1897 </w:t>
      </w:r>
      <w:r w:rsidRPr="00833C88">
        <w:rPr>
          <w:rFonts w:cs="Times New Roman"/>
          <w:sz w:val="24"/>
          <w:szCs w:val="24"/>
        </w:rPr>
        <w:t>i </w:t>
      </w:r>
      <w:r w:rsidR="00FE651A" w:rsidRPr="00833C88">
        <w:rPr>
          <w:rFonts w:cs="Times New Roman"/>
          <w:sz w:val="24"/>
          <w:szCs w:val="24"/>
        </w:rPr>
        <w:t>1907</w:t>
      </w:r>
      <w:r w:rsidR="00303134" w:rsidRPr="00833C88">
        <w:rPr>
          <w:rFonts w:cs="Times New Roman"/>
          <w:sz w:val="24"/>
          <w:szCs w:val="24"/>
        </w:rPr>
        <w:t xml:space="preserve">), np. zezwolenia na eksploatację – art. 4 ust. 1 pkt odpowiednio 2 lub 3 ustawy </w:t>
      </w:r>
      <w:r w:rsidRPr="00833C88">
        <w:rPr>
          <w:rFonts w:cs="Times New Roman"/>
          <w:sz w:val="24"/>
          <w:szCs w:val="24"/>
        </w:rPr>
        <w:t>z </w:t>
      </w:r>
      <w:r w:rsidR="00303134" w:rsidRPr="00833C88">
        <w:rPr>
          <w:rFonts w:cs="Times New Roman"/>
          <w:sz w:val="24"/>
          <w:szCs w:val="24"/>
        </w:rPr>
        <w:t xml:space="preserve">dnia 29 listopada 2000 r. – Prawo atomowe. </w:t>
      </w:r>
    </w:p>
    <w:p w14:paraId="13167D96" w14:textId="634CB12A" w:rsidR="00303134" w:rsidRPr="00833C88" w:rsidRDefault="00601933" w:rsidP="00303134">
      <w:pPr>
        <w:spacing w:line="360" w:lineRule="auto"/>
        <w:jc w:val="both"/>
        <w:rPr>
          <w:rFonts w:cs="Times New Roman"/>
          <w:sz w:val="24"/>
          <w:szCs w:val="24"/>
        </w:rPr>
      </w:pPr>
      <w:r w:rsidRPr="00833C88">
        <w:rPr>
          <w:rFonts w:cs="Times New Roman"/>
          <w:sz w:val="24"/>
          <w:szCs w:val="24"/>
        </w:rPr>
        <w:t>W </w:t>
      </w:r>
      <w:r w:rsidR="00303134" w:rsidRPr="00833C88">
        <w:rPr>
          <w:rFonts w:cs="Times New Roman"/>
          <w:sz w:val="24"/>
          <w:szCs w:val="24"/>
        </w:rPr>
        <w:t xml:space="preserve">odniesieniu do operatora elektrowni jądrowej moment uzyskania statusu podmiotu kluczowego mógłby stanowić połączenie art. 4 ustawy </w:t>
      </w:r>
      <w:r w:rsidRPr="00833C88">
        <w:rPr>
          <w:rFonts w:cs="Times New Roman"/>
          <w:sz w:val="24"/>
          <w:szCs w:val="24"/>
        </w:rPr>
        <w:t>z </w:t>
      </w:r>
      <w:r w:rsidR="00303134" w:rsidRPr="00833C88">
        <w:rPr>
          <w:rFonts w:cs="Times New Roman"/>
          <w:sz w:val="24"/>
          <w:szCs w:val="24"/>
        </w:rPr>
        <w:t xml:space="preserve">dnia 29 listopada 2000 r. – Prawo atomowe (zezwolenie na eksploatację) </w:t>
      </w:r>
      <w:r w:rsidRPr="00833C88">
        <w:rPr>
          <w:rFonts w:cs="Times New Roman"/>
          <w:sz w:val="24"/>
          <w:szCs w:val="24"/>
        </w:rPr>
        <w:t>z </w:t>
      </w:r>
      <w:r w:rsidR="00303134" w:rsidRPr="00833C88">
        <w:rPr>
          <w:rFonts w:cs="Times New Roman"/>
          <w:sz w:val="24"/>
          <w:szCs w:val="24"/>
        </w:rPr>
        <w:t xml:space="preserve">art. 32 ustawy </w:t>
      </w:r>
      <w:r w:rsidRPr="00833C88">
        <w:rPr>
          <w:rFonts w:cs="Times New Roman"/>
          <w:sz w:val="24"/>
          <w:szCs w:val="24"/>
        </w:rPr>
        <w:t>z </w:t>
      </w:r>
      <w:r w:rsidR="00303134" w:rsidRPr="00833C88">
        <w:rPr>
          <w:rFonts w:cs="Times New Roman"/>
          <w:sz w:val="24"/>
          <w:szCs w:val="24"/>
        </w:rPr>
        <w:t xml:space="preserve">dnia 10 kwietnia 2017 r. – Prawo </w:t>
      </w:r>
      <w:r w:rsidR="00303134" w:rsidRPr="00833C88">
        <w:rPr>
          <w:rFonts w:cs="Times New Roman"/>
          <w:sz w:val="24"/>
          <w:szCs w:val="24"/>
        </w:rPr>
        <w:lastRenderedPageBreak/>
        <w:t xml:space="preserve">energetyczne (Dz. U. </w:t>
      </w:r>
      <w:r w:rsidRPr="00833C88">
        <w:rPr>
          <w:rFonts w:cs="Times New Roman"/>
          <w:sz w:val="24"/>
          <w:szCs w:val="24"/>
        </w:rPr>
        <w:t>z </w:t>
      </w:r>
      <w:r w:rsidR="00303134" w:rsidRPr="00833C88">
        <w:rPr>
          <w:rFonts w:cs="Times New Roman"/>
          <w:sz w:val="24"/>
          <w:szCs w:val="24"/>
        </w:rPr>
        <w:t xml:space="preserve">2024 r. poz. 266, </w:t>
      </w:r>
      <w:r w:rsidR="005C3BEA" w:rsidRPr="00833C88">
        <w:rPr>
          <w:rFonts w:cs="Times New Roman"/>
          <w:sz w:val="24"/>
          <w:szCs w:val="24"/>
        </w:rPr>
        <w:t>z późn. zm.</w:t>
      </w:r>
      <w:r w:rsidR="00303134" w:rsidRPr="00833C88">
        <w:rPr>
          <w:rFonts w:cs="Times New Roman"/>
          <w:sz w:val="24"/>
          <w:szCs w:val="24"/>
        </w:rPr>
        <w:t xml:space="preserve">) – koncesje, </w:t>
      </w:r>
      <w:r w:rsidRPr="00833C88">
        <w:rPr>
          <w:rFonts w:cs="Times New Roman"/>
          <w:sz w:val="24"/>
          <w:szCs w:val="24"/>
        </w:rPr>
        <w:t>w </w:t>
      </w:r>
      <w:r w:rsidR="00303134" w:rsidRPr="00833C88">
        <w:rPr>
          <w:rFonts w:cs="Times New Roman"/>
          <w:sz w:val="24"/>
          <w:szCs w:val="24"/>
        </w:rPr>
        <w:t>zależności od tego, które zostałoby uzyskane jako pierwsze.</w:t>
      </w:r>
    </w:p>
    <w:p w14:paraId="0DD919C7" w14:textId="26A11FF5" w:rsidR="00303134" w:rsidRPr="00833C88" w:rsidRDefault="00601933" w:rsidP="00303134">
      <w:pPr>
        <w:spacing w:line="360" w:lineRule="auto"/>
        <w:jc w:val="both"/>
        <w:rPr>
          <w:rFonts w:cs="Times New Roman"/>
          <w:sz w:val="24"/>
          <w:szCs w:val="24"/>
        </w:rPr>
      </w:pPr>
      <w:r w:rsidRPr="00833C88">
        <w:rPr>
          <w:rFonts w:cs="Times New Roman"/>
          <w:sz w:val="24"/>
          <w:szCs w:val="24"/>
        </w:rPr>
        <w:t>W </w:t>
      </w:r>
      <w:r w:rsidR="00303134" w:rsidRPr="00833C88">
        <w:rPr>
          <w:rFonts w:cs="Times New Roman"/>
          <w:sz w:val="24"/>
          <w:szCs w:val="24"/>
        </w:rPr>
        <w:t xml:space="preserve">przypadku zakładu do wydobywania rud uranu </w:t>
      </w:r>
      <w:r w:rsidRPr="00833C88">
        <w:rPr>
          <w:rFonts w:cs="Times New Roman"/>
          <w:sz w:val="24"/>
          <w:szCs w:val="24"/>
        </w:rPr>
        <w:t>i </w:t>
      </w:r>
      <w:r w:rsidR="00303134" w:rsidRPr="00833C88">
        <w:rPr>
          <w:rFonts w:cs="Times New Roman"/>
          <w:sz w:val="24"/>
          <w:szCs w:val="24"/>
        </w:rPr>
        <w:t xml:space="preserve">toru ze złóż </w:t>
      </w:r>
      <w:r w:rsidRPr="00833C88">
        <w:rPr>
          <w:rFonts w:cs="Times New Roman"/>
          <w:sz w:val="24"/>
          <w:szCs w:val="24"/>
        </w:rPr>
        <w:t>i </w:t>
      </w:r>
      <w:r w:rsidR="00303134" w:rsidRPr="00833C88">
        <w:rPr>
          <w:rFonts w:cs="Times New Roman"/>
          <w:sz w:val="24"/>
          <w:szCs w:val="24"/>
        </w:rPr>
        <w:t xml:space="preserve">ich wstępnego przetwarzania moment uzyskania statusu podmiotu kluczowego mógłby stanowić połączenie art. 4 ustawy </w:t>
      </w:r>
      <w:r w:rsidRPr="00833C88">
        <w:rPr>
          <w:rFonts w:cs="Times New Roman"/>
          <w:sz w:val="24"/>
          <w:szCs w:val="24"/>
        </w:rPr>
        <w:t>z </w:t>
      </w:r>
      <w:r w:rsidR="00303134" w:rsidRPr="00833C88">
        <w:rPr>
          <w:rFonts w:cs="Times New Roman"/>
          <w:sz w:val="24"/>
          <w:szCs w:val="24"/>
        </w:rPr>
        <w:t xml:space="preserve">dnia 29 listopada 2000 r. – Prawo atomowo (zezwolenie na eksploatację) </w:t>
      </w:r>
      <w:r w:rsidRPr="00833C88">
        <w:rPr>
          <w:rFonts w:cs="Times New Roman"/>
          <w:sz w:val="24"/>
          <w:szCs w:val="24"/>
        </w:rPr>
        <w:t>z </w:t>
      </w:r>
      <w:r w:rsidR="00303134" w:rsidRPr="00833C88">
        <w:rPr>
          <w:rFonts w:cs="Times New Roman"/>
          <w:sz w:val="24"/>
          <w:szCs w:val="24"/>
        </w:rPr>
        <w:t xml:space="preserve">art. 22 ustawy </w:t>
      </w:r>
      <w:r w:rsidRPr="00833C88">
        <w:rPr>
          <w:rFonts w:cs="Times New Roman"/>
          <w:sz w:val="24"/>
          <w:szCs w:val="24"/>
        </w:rPr>
        <w:t>z </w:t>
      </w:r>
      <w:r w:rsidR="00303134" w:rsidRPr="00833C88">
        <w:rPr>
          <w:rFonts w:cs="Times New Roman"/>
          <w:sz w:val="24"/>
          <w:szCs w:val="24"/>
        </w:rPr>
        <w:t xml:space="preserve">dnia 9 czerwca 2011 r. – Prawa geologicznego </w:t>
      </w:r>
      <w:r w:rsidRPr="00833C88">
        <w:rPr>
          <w:rFonts w:cs="Times New Roman"/>
          <w:sz w:val="24"/>
          <w:szCs w:val="24"/>
        </w:rPr>
        <w:t>i </w:t>
      </w:r>
      <w:r w:rsidR="00303134" w:rsidRPr="00833C88">
        <w:rPr>
          <w:rFonts w:cs="Times New Roman"/>
          <w:sz w:val="24"/>
          <w:szCs w:val="24"/>
        </w:rPr>
        <w:t xml:space="preserve">górniczego (Dz. U. </w:t>
      </w:r>
      <w:r w:rsidRPr="00833C88">
        <w:rPr>
          <w:rFonts w:cs="Times New Roman"/>
          <w:sz w:val="24"/>
          <w:szCs w:val="24"/>
        </w:rPr>
        <w:t>z </w:t>
      </w:r>
      <w:r w:rsidR="00303134" w:rsidRPr="00833C88">
        <w:rPr>
          <w:rFonts w:cs="Times New Roman"/>
          <w:sz w:val="24"/>
          <w:szCs w:val="24"/>
        </w:rPr>
        <w:t>2024 r. poz. 1290</w:t>
      </w:r>
      <w:r w:rsidR="00AF50B2" w:rsidRPr="00833C88">
        <w:rPr>
          <w:rFonts w:cs="Times New Roman"/>
          <w:sz w:val="24"/>
          <w:szCs w:val="24"/>
        </w:rPr>
        <w:t xml:space="preserve"> oraz z 2025 r. poz. 769 i 1023</w:t>
      </w:r>
      <w:r w:rsidR="00303134" w:rsidRPr="00833C88">
        <w:rPr>
          <w:rFonts w:cs="Times New Roman"/>
          <w:sz w:val="24"/>
          <w:szCs w:val="24"/>
        </w:rPr>
        <w:t xml:space="preserve">) (koncesje na wydobywanie kopalin) – </w:t>
      </w:r>
      <w:r w:rsidRPr="00833C88">
        <w:rPr>
          <w:rFonts w:cs="Times New Roman"/>
          <w:sz w:val="24"/>
          <w:szCs w:val="24"/>
        </w:rPr>
        <w:t>w </w:t>
      </w:r>
      <w:r w:rsidR="00303134" w:rsidRPr="00833C88">
        <w:rPr>
          <w:rFonts w:cs="Times New Roman"/>
          <w:sz w:val="24"/>
          <w:szCs w:val="24"/>
        </w:rPr>
        <w:t>zależności od tego, które zostałoby uzyskane jako pierwsze.</w:t>
      </w:r>
    </w:p>
    <w:p w14:paraId="1E99E477" w14:textId="0AAF517E" w:rsidR="00DB0531" w:rsidRPr="00833C88" w:rsidRDefault="00756879" w:rsidP="0029004E">
      <w:pPr>
        <w:spacing w:line="360" w:lineRule="auto"/>
        <w:jc w:val="both"/>
        <w:rPr>
          <w:rFonts w:cs="Times New Roman"/>
          <w:sz w:val="24"/>
          <w:szCs w:val="24"/>
        </w:rPr>
      </w:pPr>
      <w:r w:rsidRPr="00833C88">
        <w:rPr>
          <w:rFonts w:cs="Times New Roman"/>
          <w:sz w:val="24"/>
          <w:szCs w:val="24"/>
        </w:rPr>
        <w:t xml:space="preserve">Dyrektywa NIS 2 wyłącza spod swojego zakresu podmioty zajmujące się bezpieczeństwem państwa. </w:t>
      </w:r>
      <w:r w:rsidR="00601933" w:rsidRPr="00833C88">
        <w:rPr>
          <w:rFonts w:cs="Times New Roman"/>
          <w:sz w:val="24"/>
          <w:szCs w:val="24"/>
        </w:rPr>
        <w:t>Z </w:t>
      </w:r>
      <w:r w:rsidRPr="00833C88">
        <w:rPr>
          <w:rFonts w:cs="Times New Roman"/>
          <w:sz w:val="24"/>
          <w:szCs w:val="24"/>
        </w:rPr>
        <w:t xml:space="preserve">tego powodu wskazano, że </w:t>
      </w:r>
      <w:r w:rsidR="0002141F" w:rsidRPr="00833C88">
        <w:rPr>
          <w:rFonts w:cs="Times New Roman"/>
          <w:sz w:val="24"/>
          <w:szCs w:val="24"/>
        </w:rPr>
        <w:t xml:space="preserve">do podmiotów kluczowych </w:t>
      </w:r>
      <w:r w:rsidR="00601933" w:rsidRPr="00833C88">
        <w:rPr>
          <w:rFonts w:cs="Times New Roman"/>
          <w:sz w:val="24"/>
          <w:szCs w:val="24"/>
        </w:rPr>
        <w:t>i </w:t>
      </w:r>
      <w:r w:rsidR="0002141F" w:rsidRPr="00833C88">
        <w:rPr>
          <w:rFonts w:cs="Times New Roman"/>
          <w:sz w:val="24"/>
          <w:szCs w:val="24"/>
        </w:rPr>
        <w:t xml:space="preserve">ważnych nie zalicza się służb specjalnych </w:t>
      </w:r>
      <w:r w:rsidR="00601933" w:rsidRPr="00833C88">
        <w:rPr>
          <w:rFonts w:cs="Times New Roman"/>
          <w:sz w:val="24"/>
          <w:szCs w:val="24"/>
        </w:rPr>
        <w:t>w </w:t>
      </w:r>
      <w:r w:rsidR="0002141F" w:rsidRPr="00833C88">
        <w:rPr>
          <w:rFonts w:cs="Times New Roman"/>
          <w:sz w:val="24"/>
          <w:szCs w:val="24"/>
        </w:rPr>
        <w:t xml:space="preserve">rozumieniu art. 11 ustawy </w:t>
      </w:r>
      <w:r w:rsidR="00601933" w:rsidRPr="00833C88">
        <w:rPr>
          <w:rFonts w:cs="Times New Roman"/>
          <w:sz w:val="24"/>
          <w:szCs w:val="24"/>
        </w:rPr>
        <w:t>z </w:t>
      </w:r>
      <w:r w:rsidR="0002141F" w:rsidRPr="00833C88">
        <w:rPr>
          <w:rFonts w:cs="Times New Roman"/>
          <w:sz w:val="24"/>
          <w:szCs w:val="24"/>
        </w:rPr>
        <w:t xml:space="preserve">dnia 24 maja 2022 r. </w:t>
      </w:r>
      <w:r w:rsidR="00601933" w:rsidRPr="00833C88">
        <w:rPr>
          <w:rFonts w:cs="Times New Roman"/>
          <w:sz w:val="24"/>
          <w:szCs w:val="24"/>
        </w:rPr>
        <w:t>o </w:t>
      </w:r>
      <w:r w:rsidR="0002141F" w:rsidRPr="00833C88">
        <w:rPr>
          <w:rFonts w:cs="Times New Roman"/>
          <w:sz w:val="24"/>
          <w:szCs w:val="24"/>
        </w:rPr>
        <w:t>Agencji Bezpieczeństwa Wewnętrznego oraz Agencji Wywiadu</w:t>
      </w:r>
      <w:r w:rsidR="0095688B" w:rsidRPr="00833C88">
        <w:rPr>
          <w:rFonts w:cs="Times New Roman"/>
          <w:sz w:val="24"/>
          <w:szCs w:val="24"/>
        </w:rPr>
        <w:t xml:space="preserve"> (Dz. U. z 202</w:t>
      </w:r>
      <w:r w:rsidR="00321BC0" w:rsidRPr="00833C88">
        <w:rPr>
          <w:rFonts w:cs="Times New Roman"/>
          <w:sz w:val="24"/>
          <w:szCs w:val="24"/>
        </w:rPr>
        <w:t>5</w:t>
      </w:r>
      <w:r w:rsidR="0095688B" w:rsidRPr="00833C88">
        <w:rPr>
          <w:rFonts w:cs="Times New Roman"/>
          <w:sz w:val="24"/>
          <w:szCs w:val="24"/>
        </w:rPr>
        <w:t> r. poz.</w:t>
      </w:r>
      <w:r w:rsidR="00321BC0" w:rsidRPr="00833C88">
        <w:rPr>
          <w:rFonts w:cs="Times New Roman"/>
          <w:sz w:val="24"/>
          <w:szCs w:val="24"/>
        </w:rPr>
        <w:t xml:space="preserve"> 902</w:t>
      </w:r>
      <w:r w:rsidR="0095688B" w:rsidRPr="00833C88">
        <w:rPr>
          <w:rFonts w:cs="Times New Roman"/>
          <w:sz w:val="24"/>
          <w:szCs w:val="24"/>
        </w:rPr>
        <w:t>)</w:t>
      </w:r>
      <w:r w:rsidR="003A3B7D" w:rsidRPr="00833C88">
        <w:rPr>
          <w:rFonts w:cs="Times New Roman"/>
          <w:sz w:val="24"/>
          <w:szCs w:val="24"/>
        </w:rPr>
        <w:t xml:space="preserve">, zwanej dalej „ustawą </w:t>
      </w:r>
      <w:r w:rsidR="00601933" w:rsidRPr="00833C88">
        <w:rPr>
          <w:rFonts w:cs="Times New Roman"/>
          <w:sz w:val="24"/>
          <w:szCs w:val="24"/>
        </w:rPr>
        <w:t>o </w:t>
      </w:r>
      <w:r w:rsidR="003A3B7D" w:rsidRPr="00833C88">
        <w:rPr>
          <w:rFonts w:cs="Times New Roman"/>
          <w:sz w:val="24"/>
          <w:szCs w:val="24"/>
        </w:rPr>
        <w:t xml:space="preserve">ABW </w:t>
      </w:r>
      <w:r w:rsidR="00601933" w:rsidRPr="00833C88">
        <w:rPr>
          <w:rFonts w:cs="Times New Roman"/>
          <w:sz w:val="24"/>
          <w:szCs w:val="24"/>
        </w:rPr>
        <w:t>i </w:t>
      </w:r>
      <w:r w:rsidR="003A3B7D" w:rsidRPr="00833C88">
        <w:rPr>
          <w:rFonts w:cs="Times New Roman"/>
          <w:sz w:val="24"/>
          <w:szCs w:val="24"/>
        </w:rPr>
        <w:t>AW”</w:t>
      </w:r>
      <w:r w:rsidR="0095688B" w:rsidRPr="00833C88">
        <w:rPr>
          <w:rFonts w:cs="Times New Roman"/>
          <w:sz w:val="24"/>
          <w:szCs w:val="24"/>
        </w:rPr>
        <w:t>.</w:t>
      </w:r>
      <w:r w:rsidR="0002141F" w:rsidRPr="00833C88">
        <w:rPr>
          <w:rFonts w:cs="Times New Roman"/>
          <w:sz w:val="24"/>
          <w:szCs w:val="24"/>
        </w:rPr>
        <w:t xml:space="preserve"> Chodzi </w:t>
      </w:r>
      <w:r w:rsidR="00601933" w:rsidRPr="00833C88">
        <w:rPr>
          <w:rFonts w:cs="Times New Roman"/>
          <w:sz w:val="24"/>
          <w:szCs w:val="24"/>
        </w:rPr>
        <w:t>o </w:t>
      </w:r>
      <w:r w:rsidR="0002141F" w:rsidRPr="00833C88">
        <w:rPr>
          <w:rFonts w:cs="Times New Roman"/>
          <w:sz w:val="24"/>
          <w:szCs w:val="24"/>
        </w:rPr>
        <w:t>Agencję Bezpieczeństwa Wewnętrznego, Agencję Wywiadu, Służbę Kontrwywiadu Wojskowego</w:t>
      </w:r>
      <w:r w:rsidR="00E70D3C" w:rsidRPr="00833C88">
        <w:rPr>
          <w:rFonts w:cs="Times New Roman"/>
          <w:sz w:val="24"/>
          <w:szCs w:val="24"/>
        </w:rPr>
        <w:t xml:space="preserve"> </w:t>
      </w:r>
      <w:r w:rsidR="00601933" w:rsidRPr="00833C88">
        <w:rPr>
          <w:rFonts w:cs="Times New Roman"/>
          <w:sz w:val="24"/>
          <w:szCs w:val="24"/>
        </w:rPr>
        <w:t>i </w:t>
      </w:r>
      <w:r w:rsidR="0002141F" w:rsidRPr="00833C88">
        <w:rPr>
          <w:rFonts w:cs="Times New Roman"/>
          <w:sz w:val="24"/>
          <w:szCs w:val="24"/>
        </w:rPr>
        <w:t>Służbę Wywiadu Wojskowego.</w:t>
      </w:r>
    </w:p>
    <w:p w14:paraId="6B20970A" w14:textId="161002CE" w:rsidR="006C73AC" w:rsidRPr="00833C88" w:rsidRDefault="006C73AC" w:rsidP="0029004E">
      <w:pPr>
        <w:spacing w:line="360" w:lineRule="auto"/>
        <w:jc w:val="both"/>
        <w:rPr>
          <w:rFonts w:cs="Times New Roman"/>
          <w:sz w:val="24"/>
          <w:szCs w:val="24"/>
        </w:rPr>
      </w:pPr>
      <w:r w:rsidRPr="00833C88">
        <w:rPr>
          <w:rFonts w:cs="Times New Roman"/>
          <w:sz w:val="24"/>
          <w:szCs w:val="24"/>
        </w:rPr>
        <w:t xml:space="preserve">Takie </w:t>
      </w:r>
      <w:r w:rsidR="00F530AC" w:rsidRPr="00833C88">
        <w:rPr>
          <w:rFonts w:cs="Times New Roman"/>
          <w:sz w:val="24"/>
          <w:szCs w:val="24"/>
        </w:rPr>
        <w:t xml:space="preserve">ujęcie tej kwestii gwarantuje pełną zgodność </w:t>
      </w:r>
      <w:r w:rsidR="00601933" w:rsidRPr="00833C88">
        <w:rPr>
          <w:rFonts w:cs="Times New Roman"/>
          <w:sz w:val="24"/>
          <w:szCs w:val="24"/>
        </w:rPr>
        <w:t>z </w:t>
      </w:r>
      <w:r w:rsidR="00F530AC" w:rsidRPr="00833C88">
        <w:rPr>
          <w:rFonts w:cs="Times New Roman"/>
          <w:sz w:val="24"/>
          <w:szCs w:val="24"/>
        </w:rPr>
        <w:t>postanowieniami d</w:t>
      </w:r>
      <w:r w:rsidR="00DF7388" w:rsidRPr="00833C88">
        <w:rPr>
          <w:rFonts w:cs="Times New Roman"/>
          <w:sz w:val="24"/>
          <w:szCs w:val="24"/>
        </w:rPr>
        <w:t>yrektywy NIS</w:t>
      </w:r>
      <w:r w:rsidR="00031FDA" w:rsidRPr="00833C88">
        <w:rPr>
          <w:rFonts w:cs="Times New Roman"/>
          <w:sz w:val="24"/>
          <w:szCs w:val="24"/>
        </w:rPr>
        <w:t> </w:t>
      </w:r>
      <w:r w:rsidR="00DF7388" w:rsidRPr="00833C88">
        <w:rPr>
          <w:rFonts w:cs="Times New Roman"/>
          <w:sz w:val="24"/>
          <w:szCs w:val="24"/>
        </w:rPr>
        <w:t>2. Szczególnie istotne jest odniesienie</w:t>
      </w:r>
      <w:r w:rsidR="00B420C3" w:rsidRPr="00833C88">
        <w:rPr>
          <w:rFonts w:cs="Times New Roman"/>
          <w:sz w:val="24"/>
          <w:szCs w:val="24"/>
        </w:rPr>
        <w:t xml:space="preserve"> do spełniania wymogów dla średniego przedsiębiorstwa</w:t>
      </w:r>
      <w:r w:rsidR="00C16707" w:rsidRPr="00833C88">
        <w:rPr>
          <w:rFonts w:cs="Times New Roman"/>
          <w:sz w:val="24"/>
          <w:szCs w:val="24"/>
        </w:rPr>
        <w:t>,</w:t>
      </w:r>
      <w:r w:rsidR="00DF7388" w:rsidRPr="00833C88">
        <w:rPr>
          <w:rFonts w:cs="Times New Roman"/>
          <w:sz w:val="24"/>
          <w:szCs w:val="24"/>
        </w:rPr>
        <w:t xml:space="preserve"> </w:t>
      </w:r>
      <w:r w:rsidR="00601933" w:rsidRPr="00833C88">
        <w:rPr>
          <w:rFonts w:cs="Times New Roman"/>
          <w:sz w:val="24"/>
          <w:szCs w:val="24"/>
        </w:rPr>
        <w:t>w </w:t>
      </w:r>
      <w:r w:rsidR="00DF7388" w:rsidRPr="00833C88">
        <w:rPr>
          <w:rFonts w:cs="Times New Roman"/>
          <w:sz w:val="24"/>
          <w:szCs w:val="24"/>
        </w:rPr>
        <w:t>przypadku najbardziej szerokich kategorii przedsiębiorców</w:t>
      </w:r>
      <w:r w:rsidR="00C16707" w:rsidRPr="00833C88">
        <w:rPr>
          <w:rFonts w:cs="Times New Roman"/>
          <w:sz w:val="24"/>
          <w:szCs w:val="24"/>
        </w:rPr>
        <w:t>. Takie rozwiązanie gwarantuje, że nakładane obowiązki będą proporcjonalne do możliwości podmiotów, na które zostaną nałożone.</w:t>
      </w:r>
    </w:p>
    <w:p w14:paraId="7A6EEC74" w14:textId="48E69D0B" w:rsidR="00CE4BAC" w:rsidRPr="00833C88" w:rsidRDefault="00601933" w:rsidP="0029004E">
      <w:pPr>
        <w:spacing w:line="360" w:lineRule="auto"/>
        <w:jc w:val="both"/>
        <w:rPr>
          <w:rFonts w:cs="Times New Roman"/>
          <w:sz w:val="24"/>
          <w:szCs w:val="24"/>
        </w:rPr>
      </w:pPr>
      <w:r w:rsidRPr="00833C88">
        <w:rPr>
          <w:rFonts w:cs="Times New Roman"/>
          <w:sz w:val="24"/>
          <w:szCs w:val="24"/>
        </w:rPr>
        <w:t>W </w:t>
      </w:r>
      <w:r w:rsidR="00CE4BAC" w:rsidRPr="00833C88">
        <w:rPr>
          <w:rFonts w:cs="Times New Roman"/>
          <w:sz w:val="24"/>
          <w:szCs w:val="24"/>
        </w:rPr>
        <w:t xml:space="preserve">przypadku podmiotów publicznych mamy pewną różnorodność statusów prawnych jednostek organizacyjnych. Przykładowo urzędy skarbowe </w:t>
      </w:r>
      <w:r w:rsidRPr="00833C88">
        <w:rPr>
          <w:rFonts w:cs="Times New Roman"/>
          <w:sz w:val="24"/>
          <w:szCs w:val="24"/>
        </w:rPr>
        <w:t>i </w:t>
      </w:r>
      <w:r w:rsidR="00CE4BAC" w:rsidRPr="00833C88">
        <w:rPr>
          <w:rFonts w:cs="Times New Roman"/>
          <w:sz w:val="24"/>
          <w:szCs w:val="24"/>
        </w:rPr>
        <w:t xml:space="preserve">urzędy celno-skarbowe są jednostkami organizacyjnymi podległymi izbie administracji skarbowej. Stąd też to izba administracji skarbowej będzie podmiotem kluczowym. Dyrektor izby administracji skarbowej będzie więc odpowiadał za cyberbezpieczeństwo podległych izbie urzędów skarbowych </w:t>
      </w:r>
      <w:r w:rsidRPr="00833C88">
        <w:rPr>
          <w:rFonts w:cs="Times New Roman"/>
          <w:sz w:val="24"/>
          <w:szCs w:val="24"/>
        </w:rPr>
        <w:t>i </w:t>
      </w:r>
      <w:r w:rsidR="00CE4BAC" w:rsidRPr="00833C88">
        <w:rPr>
          <w:rFonts w:cs="Times New Roman"/>
          <w:sz w:val="24"/>
          <w:szCs w:val="24"/>
        </w:rPr>
        <w:t xml:space="preserve">urzędów celno-skarbowych. Podobna sytuacja nastąpi </w:t>
      </w:r>
      <w:r w:rsidRPr="00833C88">
        <w:rPr>
          <w:rFonts w:cs="Times New Roman"/>
          <w:sz w:val="24"/>
          <w:szCs w:val="24"/>
        </w:rPr>
        <w:t>w </w:t>
      </w:r>
      <w:r w:rsidR="00CE4BAC" w:rsidRPr="00833C88">
        <w:rPr>
          <w:rFonts w:cs="Times New Roman"/>
          <w:sz w:val="24"/>
          <w:szCs w:val="24"/>
        </w:rPr>
        <w:t xml:space="preserve">przypadku prokuratur rejonowych – to prokuratura okręgowa jest dysponentem środków budżetowych </w:t>
      </w:r>
      <w:r w:rsidRPr="00833C88">
        <w:rPr>
          <w:rFonts w:cs="Times New Roman"/>
          <w:sz w:val="24"/>
          <w:szCs w:val="24"/>
        </w:rPr>
        <w:t>i </w:t>
      </w:r>
      <w:r w:rsidR="00CE4BAC" w:rsidRPr="00833C88">
        <w:rPr>
          <w:rFonts w:cs="Times New Roman"/>
          <w:sz w:val="24"/>
          <w:szCs w:val="24"/>
        </w:rPr>
        <w:t>to ona będzie podmiotem kluczowym, odpowiedzialnym za cyberbezpieczeństwo prokuratur rejonowych.</w:t>
      </w:r>
    </w:p>
    <w:p w14:paraId="5D9E850C" w14:textId="5811230C" w:rsidR="00966EB8" w:rsidRPr="00833C88" w:rsidRDefault="00FC767E" w:rsidP="0029004E">
      <w:pPr>
        <w:spacing w:line="360" w:lineRule="auto"/>
        <w:jc w:val="both"/>
        <w:rPr>
          <w:rFonts w:cs="Times New Roman"/>
          <w:sz w:val="24"/>
          <w:szCs w:val="24"/>
        </w:rPr>
      </w:pPr>
      <w:r w:rsidRPr="00833C88">
        <w:rPr>
          <w:rFonts w:cs="Times New Roman"/>
          <w:sz w:val="24"/>
          <w:szCs w:val="24"/>
        </w:rPr>
        <w:t>Podmiot</w:t>
      </w:r>
      <w:r w:rsidR="00B420C3" w:rsidRPr="00833C88">
        <w:rPr>
          <w:rFonts w:cs="Times New Roman"/>
          <w:sz w:val="24"/>
          <w:szCs w:val="24"/>
        </w:rPr>
        <w:t>y</w:t>
      </w:r>
      <w:r w:rsidRPr="00833C88">
        <w:rPr>
          <w:rFonts w:cs="Times New Roman"/>
          <w:sz w:val="24"/>
          <w:szCs w:val="24"/>
        </w:rPr>
        <w:t xml:space="preserve"> świadczące usługi niezbędne dla funkcjonowania współczesnego społeczeństwa informacyjnego mają charakter transgraniczny. </w:t>
      </w:r>
      <w:r w:rsidR="000835A6" w:rsidRPr="00833C88">
        <w:rPr>
          <w:rFonts w:cs="Times New Roman"/>
          <w:sz w:val="24"/>
          <w:szCs w:val="24"/>
        </w:rPr>
        <w:t xml:space="preserve">Należało więc przesądzić, zgodnie </w:t>
      </w:r>
      <w:r w:rsidR="00601933" w:rsidRPr="00833C88">
        <w:rPr>
          <w:rFonts w:cs="Times New Roman"/>
          <w:sz w:val="24"/>
          <w:szCs w:val="24"/>
        </w:rPr>
        <w:t>z </w:t>
      </w:r>
      <w:r w:rsidR="000835A6" w:rsidRPr="00833C88">
        <w:rPr>
          <w:rFonts w:cs="Times New Roman"/>
          <w:sz w:val="24"/>
          <w:szCs w:val="24"/>
        </w:rPr>
        <w:t>dyrektywą NIS 2,</w:t>
      </w:r>
      <w:r w:rsidR="00B420C3" w:rsidRPr="00833C88">
        <w:rPr>
          <w:rFonts w:cs="Times New Roman"/>
          <w:sz w:val="24"/>
          <w:szCs w:val="24"/>
        </w:rPr>
        <w:t xml:space="preserve"> </w:t>
      </w:r>
      <w:r w:rsidR="0082172F" w:rsidRPr="00833C88">
        <w:rPr>
          <w:rFonts w:cs="Times New Roman"/>
          <w:sz w:val="24"/>
          <w:szCs w:val="24"/>
        </w:rPr>
        <w:t xml:space="preserve">jurysdykcję państwa nad podmiotami świadczącymi te usługi. </w:t>
      </w:r>
    </w:p>
    <w:p w14:paraId="0EB31179" w14:textId="16480748" w:rsidR="00B51013" w:rsidRPr="00833C88" w:rsidRDefault="00966EB8" w:rsidP="0029004E">
      <w:pPr>
        <w:spacing w:line="360" w:lineRule="auto"/>
        <w:jc w:val="both"/>
        <w:rPr>
          <w:rFonts w:cs="Times New Roman"/>
          <w:sz w:val="24"/>
          <w:szCs w:val="24"/>
        </w:rPr>
      </w:pPr>
      <w:r w:rsidRPr="00833C88">
        <w:rPr>
          <w:rFonts w:cs="Times New Roman"/>
          <w:sz w:val="24"/>
          <w:szCs w:val="24"/>
        </w:rPr>
        <w:t xml:space="preserve">Co do zasady </w:t>
      </w:r>
      <w:r w:rsidR="00B51013" w:rsidRPr="00833C88">
        <w:rPr>
          <w:rFonts w:cs="Times New Roman"/>
          <w:sz w:val="24"/>
          <w:szCs w:val="24"/>
        </w:rPr>
        <w:t xml:space="preserve">podmiot kluczowy </w:t>
      </w:r>
      <w:r w:rsidR="00601933" w:rsidRPr="00833C88">
        <w:rPr>
          <w:rFonts w:cs="Times New Roman"/>
          <w:sz w:val="24"/>
          <w:szCs w:val="24"/>
        </w:rPr>
        <w:t>i </w:t>
      </w:r>
      <w:r w:rsidR="00B51013" w:rsidRPr="00833C88">
        <w:rPr>
          <w:rFonts w:cs="Times New Roman"/>
          <w:sz w:val="24"/>
          <w:szCs w:val="24"/>
        </w:rPr>
        <w:t xml:space="preserve">podmiot ważny </w:t>
      </w:r>
      <w:proofErr w:type="gramStart"/>
      <w:r w:rsidR="00B51013" w:rsidRPr="00833C88">
        <w:rPr>
          <w:rFonts w:cs="Times New Roman"/>
          <w:sz w:val="24"/>
          <w:szCs w:val="24"/>
        </w:rPr>
        <w:t>podlega</w:t>
      </w:r>
      <w:proofErr w:type="gramEnd"/>
      <w:r w:rsidR="00B51013" w:rsidRPr="00833C88">
        <w:rPr>
          <w:rFonts w:cs="Times New Roman"/>
          <w:sz w:val="24"/>
          <w:szCs w:val="24"/>
        </w:rPr>
        <w:t xml:space="preserve"> obowiązkom wynikającym </w:t>
      </w:r>
      <w:r w:rsidR="00601933" w:rsidRPr="00833C88">
        <w:rPr>
          <w:rFonts w:cs="Times New Roman"/>
          <w:sz w:val="24"/>
          <w:szCs w:val="24"/>
        </w:rPr>
        <w:t>z </w:t>
      </w:r>
      <w:r w:rsidR="00B51013" w:rsidRPr="00833C88">
        <w:rPr>
          <w:rFonts w:cs="Times New Roman"/>
          <w:sz w:val="24"/>
          <w:szCs w:val="24"/>
        </w:rPr>
        <w:t xml:space="preserve">ustawy, jeżeli posiada </w:t>
      </w:r>
      <w:r w:rsidR="00EC5660" w:rsidRPr="00833C88">
        <w:rPr>
          <w:rFonts w:cs="Times New Roman"/>
          <w:sz w:val="24"/>
          <w:szCs w:val="24"/>
        </w:rPr>
        <w:t xml:space="preserve">swoją siedzibę, albo </w:t>
      </w:r>
      <w:r w:rsidR="00601933" w:rsidRPr="00833C88">
        <w:rPr>
          <w:rFonts w:cs="Times New Roman"/>
          <w:sz w:val="24"/>
          <w:szCs w:val="24"/>
        </w:rPr>
        <w:t>w </w:t>
      </w:r>
      <w:r w:rsidR="00EC5660" w:rsidRPr="00833C88">
        <w:rPr>
          <w:rFonts w:cs="Times New Roman"/>
          <w:sz w:val="24"/>
          <w:szCs w:val="24"/>
        </w:rPr>
        <w:t xml:space="preserve">przypadku przedsiębiorców zagranicznych </w:t>
      </w:r>
      <w:r w:rsidR="00EC5660" w:rsidRPr="00833C88">
        <w:rPr>
          <w:rFonts w:cs="Times New Roman"/>
          <w:sz w:val="24"/>
          <w:szCs w:val="24"/>
        </w:rPr>
        <w:lastRenderedPageBreak/>
        <w:t>oddział</w:t>
      </w:r>
      <w:r w:rsidR="00B51013" w:rsidRPr="00833C88">
        <w:rPr>
          <w:rFonts w:cs="Times New Roman"/>
          <w:sz w:val="24"/>
          <w:szCs w:val="24"/>
        </w:rPr>
        <w:t xml:space="preserve"> na terytorium Rzeczypospolitej Polskiej.</w:t>
      </w:r>
      <w:r w:rsidR="009932A6" w:rsidRPr="00833C88">
        <w:rPr>
          <w:rFonts w:cs="Times New Roman"/>
          <w:sz w:val="24"/>
          <w:szCs w:val="24"/>
        </w:rPr>
        <w:t xml:space="preserve"> Dyrektywa NIS 2 posługuje się t</w:t>
      </w:r>
      <w:r w:rsidR="0000412A" w:rsidRPr="00833C88">
        <w:rPr>
          <w:rFonts w:cs="Times New Roman"/>
          <w:sz w:val="24"/>
          <w:szCs w:val="24"/>
        </w:rPr>
        <w:t xml:space="preserve">utaj sformułowaniem „miejsce prowadzenia działalności” </w:t>
      </w:r>
      <w:r w:rsidR="00676DD3" w:rsidRPr="00833C88">
        <w:rPr>
          <w:rFonts w:cs="Times New Roman"/>
          <w:sz w:val="24"/>
          <w:szCs w:val="24"/>
        </w:rPr>
        <w:t>–</w:t>
      </w:r>
      <w:r w:rsidR="0000412A" w:rsidRPr="00833C88">
        <w:rPr>
          <w:rFonts w:cs="Times New Roman"/>
          <w:sz w:val="24"/>
          <w:szCs w:val="24"/>
        </w:rPr>
        <w:t xml:space="preserve"> </w:t>
      </w:r>
      <w:r w:rsidR="00676DD3" w:rsidRPr="00833C88">
        <w:rPr>
          <w:rFonts w:cs="Times New Roman"/>
          <w:sz w:val="24"/>
          <w:szCs w:val="24"/>
        </w:rPr>
        <w:t xml:space="preserve">zgodnie </w:t>
      </w:r>
      <w:r w:rsidR="00601933" w:rsidRPr="00833C88">
        <w:rPr>
          <w:rFonts w:cs="Times New Roman"/>
          <w:sz w:val="24"/>
          <w:szCs w:val="24"/>
        </w:rPr>
        <w:t>z </w:t>
      </w:r>
      <w:r w:rsidR="00676DD3" w:rsidRPr="00833C88">
        <w:rPr>
          <w:rFonts w:cs="Times New Roman"/>
          <w:sz w:val="24"/>
          <w:szCs w:val="24"/>
        </w:rPr>
        <w:t xml:space="preserve">zasadami unijnymi przedsiębiorca może także świadczyć transgranicznie usługi </w:t>
      </w:r>
      <w:r w:rsidR="00807558" w:rsidRPr="00833C88">
        <w:rPr>
          <w:rFonts w:cs="Times New Roman"/>
          <w:sz w:val="24"/>
          <w:szCs w:val="24"/>
        </w:rPr>
        <w:t xml:space="preserve">co uwzględniono </w:t>
      </w:r>
      <w:r w:rsidR="00601933" w:rsidRPr="00833C88">
        <w:rPr>
          <w:rFonts w:cs="Times New Roman"/>
          <w:sz w:val="24"/>
          <w:szCs w:val="24"/>
        </w:rPr>
        <w:t>w </w:t>
      </w:r>
      <w:r w:rsidR="00807558" w:rsidRPr="00833C88">
        <w:rPr>
          <w:rFonts w:cs="Times New Roman"/>
          <w:sz w:val="24"/>
          <w:szCs w:val="24"/>
        </w:rPr>
        <w:t xml:space="preserve">przepisie. Jest to też zgodne </w:t>
      </w:r>
      <w:r w:rsidR="00601933" w:rsidRPr="00833C88">
        <w:rPr>
          <w:rFonts w:cs="Times New Roman"/>
          <w:sz w:val="24"/>
          <w:szCs w:val="24"/>
        </w:rPr>
        <w:t>z </w:t>
      </w:r>
      <w:r w:rsidR="00807558" w:rsidRPr="00833C88">
        <w:rPr>
          <w:rFonts w:cs="Times New Roman"/>
          <w:sz w:val="24"/>
          <w:szCs w:val="24"/>
        </w:rPr>
        <w:t xml:space="preserve">motywem </w:t>
      </w:r>
      <w:r w:rsidR="00B0767D" w:rsidRPr="00833C88">
        <w:rPr>
          <w:rFonts w:cs="Times New Roman"/>
          <w:sz w:val="24"/>
          <w:szCs w:val="24"/>
        </w:rPr>
        <w:t xml:space="preserve">113 dyrektywy NIS 2, zgodnie </w:t>
      </w:r>
      <w:r w:rsidR="00601933" w:rsidRPr="00833C88">
        <w:rPr>
          <w:rFonts w:cs="Times New Roman"/>
          <w:sz w:val="24"/>
          <w:szCs w:val="24"/>
        </w:rPr>
        <w:t>z </w:t>
      </w:r>
      <w:r w:rsidR="00B0767D" w:rsidRPr="00833C88">
        <w:rPr>
          <w:rFonts w:cs="Times New Roman"/>
          <w:sz w:val="24"/>
          <w:szCs w:val="24"/>
        </w:rPr>
        <w:t xml:space="preserve">którym „Jeżeli podmiot świadczy usługi lub ma miejsce prowadzenia działalności </w:t>
      </w:r>
      <w:r w:rsidR="00601933" w:rsidRPr="00833C88">
        <w:rPr>
          <w:rFonts w:cs="Times New Roman"/>
          <w:sz w:val="24"/>
          <w:szCs w:val="24"/>
        </w:rPr>
        <w:t>w </w:t>
      </w:r>
      <w:r w:rsidR="00B0767D" w:rsidRPr="00833C88">
        <w:rPr>
          <w:rFonts w:cs="Times New Roman"/>
          <w:sz w:val="24"/>
          <w:szCs w:val="24"/>
        </w:rPr>
        <w:t xml:space="preserve">więcej niż jednym państwie członkowskim, powinien podlegać odrębnej </w:t>
      </w:r>
      <w:r w:rsidR="00601933" w:rsidRPr="00833C88">
        <w:rPr>
          <w:rFonts w:cs="Times New Roman"/>
          <w:sz w:val="24"/>
          <w:szCs w:val="24"/>
        </w:rPr>
        <w:t>i </w:t>
      </w:r>
      <w:r w:rsidR="00B0767D" w:rsidRPr="00833C88">
        <w:rPr>
          <w:rFonts w:cs="Times New Roman"/>
          <w:sz w:val="24"/>
          <w:szCs w:val="24"/>
        </w:rPr>
        <w:t xml:space="preserve">równoczesnej jurysdykcji każdego </w:t>
      </w:r>
      <w:r w:rsidR="00601933" w:rsidRPr="00833C88">
        <w:rPr>
          <w:rFonts w:cs="Times New Roman"/>
          <w:sz w:val="24"/>
          <w:szCs w:val="24"/>
        </w:rPr>
        <w:t>z </w:t>
      </w:r>
      <w:r w:rsidR="00B0767D" w:rsidRPr="00833C88">
        <w:rPr>
          <w:rFonts w:cs="Times New Roman"/>
          <w:sz w:val="24"/>
          <w:szCs w:val="24"/>
        </w:rPr>
        <w:t>tych państw członkowskich</w:t>
      </w:r>
      <w:r w:rsidR="00222A93" w:rsidRPr="00833C88">
        <w:rPr>
          <w:rFonts w:cs="Times New Roman"/>
          <w:sz w:val="24"/>
          <w:szCs w:val="24"/>
        </w:rPr>
        <w:t xml:space="preserve"> Unii Europejskiej</w:t>
      </w:r>
      <w:r w:rsidR="00B0767D" w:rsidRPr="00833C88">
        <w:rPr>
          <w:rFonts w:cs="Times New Roman"/>
          <w:sz w:val="24"/>
          <w:szCs w:val="24"/>
        </w:rPr>
        <w:t xml:space="preserve">. Właściwe organy tych państw członkowskich </w:t>
      </w:r>
      <w:r w:rsidR="00222A93" w:rsidRPr="00833C88">
        <w:rPr>
          <w:rFonts w:cs="Times New Roman"/>
          <w:sz w:val="24"/>
          <w:szCs w:val="24"/>
        </w:rPr>
        <w:t xml:space="preserve">Unii Europejskiej </w:t>
      </w:r>
      <w:r w:rsidR="00B0767D" w:rsidRPr="00833C88">
        <w:rPr>
          <w:rFonts w:cs="Times New Roman"/>
          <w:sz w:val="24"/>
          <w:szCs w:val="24"/>
        </w:rPr>
        <w:t xml:space="preserve">powinny ze sobą współpracować, zapewniać sobie wzajemną pomoc </w:t>
      </w:r>
      <w:proofErr w:type="gramStart"/>
      <w:r w:rsidR="00B0767D" w:rsidRPr="00833C88">
        <w:rPr>
          <w:rFonts w:cs="Times New Roman"/>
          <w:sz w:val="24"/>
          <w:szCs w:val="24"/>
        </w:rPr>
        <w:t>oraz,</w:t>
      </w:r>
      <w:proofErr w:type="gramEnd"/>
      <w:r w:rsidR="00B0767D" w:rsidRPr="00833C88">
        <w:rPr>
          <w:rFonts w:cs="Times New Roman"/>
          <w:sz w:val="24"/>
          <w:szCs w:val="24"/>
        </w:rPr>
        <w:t xml:space="preserve"> </w:t>
      </w:r>
      <w:r w:rsidR="00601933" w:rsidRPr="00833C88">
        <w:rPr>
          <w:rFonts w:cs="Times New Roman"/>
          <w:sz w:val="24"/>
          <w:szCs w:val="24"/>
        </w:rPr>
        <w:t>w </w:t>
      </w:r>
      <w:r w:rsidR="00B0767D" w:rsidRPr="00833C88">
        <w:rPr>
          <w:rFonts w:cs="Times New Roman"/>
          <w:sz w:val="24"/>
          <w:szCs w:val="24"/>
        </w:rPr>
        <w:t>stosownych przypadkach, prowadzić wspólne działania nadzorcze.”.</w:t>
      </w:r>
    </w:p>
    <w:p w14:paraId="33C75145" w14:textId="1DBF5087" w:rsidR="00966EB8" w:rsidRPr="00833C88" w:rsidRDefault="00B51013" w:rsidP="0029004E">
      <w:pPr>
        <w:spacing w:line="360" w:lineRule="auto"/>
        <w:jc w:val="both"/>
        <w:rPr>
          <w:rFonts w:cs="Times New Roman"/>
          <w:sz w:val="24"/>
          <w:szCs w:val="24"/>
        </w:rPr>
      </w:pPr>
      <w:r w:rsidRPr="00833C88">
        <w:rPr>
          <w:rFonts w:cs="Times New Roman"/>
          <w:sz w:val="24"/>
          <w:szCs w:val="24"/>
        </w:rPr>
        <w:t xml:space="preserve">Przedsiębiorca komunikacji elektronicznej podlega obowiązkom wynikającym </w:t>
      </w:r>
      <w:r w:rsidR="00601933" w:rsidRPr="00833C88">
        <w:rPr>
          <w:rFonts w:cs="Times New Roman"/>
          <w:sz w:val="24"/>
          <w:szCs w:val="24"/>
        </w:rPr>
        <w:t>z </w:t>
      </w:r>
      <w:r w:rsidRPr="00833C88">
        <w:rPr>
          <w:rFonts w:cs="Times New Roman"/>
          <w:sz w:val="24"/>
          <w:szCs w:val="24"/>
        </w:rPr>
        <w:t xml:space="preserve">ustawy, jeżeli świadczy usługi na terytorium Rzeczypospolitej Polskiej. Jest to spójne </w:t>
      </w:r>
      <w:r w:rsidR="00601933" w:rsidRPr="00833C88">
        <w:rPr>
          <w:rFonts w:cs="Times New Roman"/>
          <w:sz w:val="24"/>
          <w:szCs w:val="24"/>
        </w:rPr>
        <w:t>z </w:t>
      </w:r>
      <w:r w:rsidR="00911A22" w:rsidRPr="00833C88">
        <w:rPr>
          <w:rFonts w:cs="Times New Roman"/>
          <w:sz w:val="24"/>
          <w:szCs w:val="24"/>
        </w:rPr>
        <w:t xml:space="preserve">ustawą </w:t>
      </w:r>
      <w:r w:rsidR="00601933" w:rsidRPr="00833C88">
        <w:rPr>
          <w:rFonts w:cs="Times New Roman"/>
          <w:sz w:val="24"/>
          <w:szCs w:val="24"/>
        </w:rPr>
        <w:t>z </w:t>
      </w:r>
      <w:r w:rsidR="00911A22" w:rsidRPr="00833C88">
        <w:rPr>
          <w:rFonts w:cs="Times New Roman"/>
          <w:sz w:val="24"/>
          <w:szCs w:val="24"/>
        </w:rPr>
        <w:t xml:space="preserve">dnia 12 lipca 2024 r. – </w:t>
      </w:r>
      <w:r w:rsidRPr="00833C88">
        <w:rPr>
          <w:rFonts w:cs="Times New Roman"/>
          <w:sz w:val="24"/>
          <w:szCs w:val="24"/>
        </w:rPr>
        <w:t>Praw</w:t>
      </w:r>
      <w:r w:rsidR="000D1F49" w:rsidRPr="00833C88">
        <w:rPr>
          <w:rFonts w:cs="Times New Roman"/>
          <w:sz w:val="24"/>
          <w:szCs w:val="24"/>
        </w:rPr>
        <w:t>o</w:t>
      </w:r>
      <w:r w:rsidRPr="00833C88">
        <w:rPr>
          <w:rFonts w:cs="Times New Roman"/>
          <w:sz w:val="24"/>
          <w:szCs w:val="24"/>
        </w:rPr>
        <w:t xml:space="preserve"> komunikacji elektronicznej.</w:t>
      </w:r>
    </w:p>
    <w:p w14:paraId="45C41ED0" w14:textId="32B8CCF2" w:rsidR="005B0EFC" w:rsidRPr="00833C88" w:rsidRDefault="009D2B23" w:rsidP="0029004E">
      <w:pPr>
        <w:spacing w:line="360" w:lineRule="auto"/>
        <w:jc w:val="both"/>
        <w:rPr>
          <w:rFonts w:cs="Times New Roman"/>
          <w:szCs w:val="24"/>
        </w:rPr>
      </w:pPr>
      <w:r w:rsidRPr="00833C88">
        <w:rPr>
          <w:rFonts w:cs="Times New Roman"/>
          <w:sz w:val="24"/>
          <w:szCs w:val="24"/>
        </w:rPr>
        <w:t>Podmioty</w:t>
      </w:r>
      <w:r w:rsidR="005A7EB7" w:rsidRPr="00833C88">
        <w:rPr>
          <w:rFonts w:cs="Times New Roman"/>
          <w:sz w:val="24"/>
          <w:szCs w:val="24"/>
        </w:rPr>
        <w:t xml:space="preserve"> </w:t>
      </w:r>
      <w:r w:rsidR="00601933" w:rsidRPr="00833C88">
        <w:rPr>
          <w:rFonts w:cs="Times New Roman"/>
          <w:sz w:val="24"/>
          <w:szCs w:val="24"/>
        </w:rPr>
        <w:t>z </w:t>
      </w:r>
      <w:r w:rsidR="005A7EB7" w:rsidRPr="00833C88">
        <w:rPr>
          <w:rFonts w:cs="Times New Roman"/>
          <w:sz w:val="24"/>
          <w:szCs w:val="24"/>
        </w:rPr>
        <w:t>sektora infrastruktury cyfrowej</w:t>
      </w:r>
      <w:r w:rsidRPr="00833C88">
        <w:rPr>
          <w:rFonts w:cs="Times New Roman"/>
          <w:sz w:val="24"/>
          <w:szCs w:val="24"/>
        </w:rPr>
        <w:t xml:space="preserve"> podlegają </w:t>
      </w:r>
      <w:r w:rsidR="00B6724E" w:rsidRPr="00833C88">
        <w:rPr>
          <w:rFonts w:cs="Times New Roman"/>
          <w:sz w:val="24"/>
          <w:szCs w:val="24"/>
        </w:rPr>
        <w:t xml:space="preserve">jurysdykcji </w:t>
      </w:r>
      <w:r w:rsidR="00C13C67" w:rsidRPr="00833C88">
        <w:rPr>
          <w:rFonts w:cs="Times New Roman"/>
          <w:sz w:val="24"/>
          <w:szCs w:val="24"/>
        </w:rPr>
        <w:t>polskie</w:t>
      </w:r>
      <w:r w:rsidR="00B6724E" w:rsidRPr="00833C88">
        <w:rPr>
          <w:rFonts w:cs="Times New Roman"/>
          <w:sz w:val="24"/>
          <w:szCs w:val="24"/>
        </w:rPr>
        <w:t>j</w:t>
      </w:r>
      <w:r w:rsidR="00C13C67" w:rsidRPr="00833C88">
        <w:rPr>
          <w:rFonts w:cs="Times New Roman"/>
          <w:sz w:val="24"/>
          <w:szCs w:val="24"/>
        </w:rPr>
        <w:t>, jeżeli na terytorium R</w:t>
      </w:r>
      <w:r w:rsidR="00B420C3" w:rsidRPr="00833C88">
        <w:rPr>
          <w:rFonts w:cs="Times New Roman"/>
          <w:sz w:val="24"/>
          <w:szCs w:val="24"/>
        </w:rPr>
        <w:t xml:space="preserve">zeczypospolitej </w:t>
      </w:r>
      <w:r w:rsidR="00C13C67" w:rsidRPr="00833C88">
        <w:rPr>
          <w:rFonts w:cs="Times New Roman"/>
          <w:sz w:val="24"/>
          <w:szCs w:val="24"/>
        </w:rPr>
        <w:t>P</w:t>
      </w:r>
      <w:r w:rsidR="00B420C3" w:rsidRPr="00833C88">
        <w:rPr>
          <w:rFonts w:cs="Times New Roman"/>
          <w:sz w:val="24"/>
          <w:szCs w:val="24"/>
        </w:rPr>
        <w:t>olskiej</w:t>
      </w:r>
      <w:r w:rsidR="005B0EFC" w:rsidRPr="00833C88">
        <w:rPr>
          <w:rFonts w:cs="Times New Roman"/>
          <w:sz w:val="24"/>
          <w:szCs w:val="24"/>
        </w:rPr>
        <w:t xml:space="preserve"> ma siedzibę kierownik podmiotu podejmujący decyzje </w:t>
      </w:r>
      <w:r w:rsidR="00601933" w:rsidRPr="00833C88">
        <w:rPr>
          <w:rFonts w:cs="Times New Roman"/>
          <w:sz w:val="24"/>
          <w:szCs w:val="24"/>
        </w:rPr>
        <w:t>w </w:t>
      </w:r>
      <w:r w:rsidR="005B0EFC" w:rsidRPr="00833C88">
        <w:rPr>
          <w:rFonts w:cs="Times New Roman"/>
          <w:sz w:val="24"/>
          <w:szCs w:val="24"/>
        </w:rPr>
        <w:t xml:space="preserve">sprawie systemu zarządzania bezpieczeństwem informacji </w:t>
      </w:r>
      <w:r w:rsidR="00601933" w:rsidRPr="00833C88">
        <w:rPr>
          <w:rFonts w:cs="Times New Roman"/>
          <w:sz w:val="24"/>
          <w:szCs w:val="24"/>
        </w:rPr>
        <w:t>w </w:t>
      </w:r>
      <w:r w:rsidR="005B0EFC" w:rsidRPr="00833C88">
        <w:rPr>
          <w:rFonts w:cs="Times New Roman"/>
          <w:sz w:val="24"/>
          <w:szCs w:val="24"/>
        </w:rPr>
        <w:t xml:space="preserve">podmiocie </w:t>
      </w:r>
      <w:r w:rsidR="003B6614" w:rsidRPr="00833C88">
        <w:rPr>
          <w:rFonts w:cs="Times New Roman"/>
          <w:sz w:val="24"/>
          <w:szCs w:val="24"/>
        </w:rPr>
        <w:t xml:space="preserve">albo </w:t>
      </w:r>
      <w:r w:rsidR="005B0EFC" w:rsidRPr="00833C88">
        <w:rPr>
          <w:rFonts w:cs="Times New Roman"/>
          <w:sz w:val="24"/>
          <w:szCs w:val="24"/>
        </w:rPr>
        <w:t xml:space="preserve">realizowane są zadania związane </w:t>
      </w:r>
      <w:r w:rsidR="00601933" w:rsidRPr="00833C88">
        <w:rPr>
          <w:rFonts w:cs="Times New Roman"/>
          <w:sz w:val="24"/>
          <w:szCs w:val="24"/>
        </w:rPr>
        <w:t>z </w:t>
      </w:r>
      <w:r w:rsidR="005B0EFC" w:rsidRPr="00833C88">
        <w:rPr>
          <w:rFonts w:cs="Times New Roman"/>
          <w:sz w:val="24"/>
          <w:szCs w:val="24"/>
        </w:rPr>
        <w:t xml:space="preserve">systemem zarządzania bezpieczeństwem informacji </w:t>
      </w:r>
      <w:r w:rsidR="00601933" w:rsidRPr="00833C88">
        <w:rPr>
          <w:rFonts w:cs="Times New Roman"/>
          <w:sz w:val="24"/>
          <w:szCs w:val="24"/>
        </w:rPr>
        <w:t>w </w:t>
      </w:r>
      <w:r w:rsidR="005B0EFC" w:rsidRPr="00833C88">
        <w:rPr>
          <w:rFonts w:cs="Times New Roman"/>
          <w:sz w:val="24"/>
          <w:szCs w:val="24"/>
        </w:rPr>
        <w:t xml:space="preserve">podmiocie </w:t>
      </w:r>
      <w:r w:rsidR="003B6614" w:rsidRPr="00833C88">
        <w:rPr>
          <w:rFonts w:cs="Times New Roman"/>
          <w:sz w:val="24"/>
          <w:szCs w:val="24"/>
        </w:rPr>
        <w:t xml:space="preserve">albo </w:t>
      </w:r>
      <w:r w:rsidR="005B0EFC" w:rsidRPr="00833C88">
        <w:rPr>
          <w:rFonts w:cs="Times New Roman"/>
          <w:sz w:val="24"/>
          <w:szCs w:val="24"/>
        </w:rPr>
        <w:t>podmiot ma</w:t>
      </w:r>
      <w:r w:rsidR="009B4C26" w:rsidRPr="00833C88">
        <w:rPr>
          <w:rFonts w:cs="Times New Roman"/>
          <w:sz w:val="24"/>
          <w:szCs w:val="24"/>
        </w:rPr>
        <w:t> </w:t>
      </w:r>
      <w:r w:rsidR="005B0EFC" w:rsidRPr="00833C88">
        <w:rPr>
          <w:rFonts w:cs="Times New Roman"/>
          <w:sz w:val="24"/>
          <w:szCs w:val="24"/>
        </w:rPr>
        <w:t xml:space="preserve">największą liczbę pracowników </w:t>
      </w:r>
      <w:r w:rsidR="00601933" w:rsidRPr="00833C88">
        <w:rPr>
          <w:rFonts w:cs="Times New Roman"/>
          <w:sz w:val="24"/>
          <w:szCs w:val="24"/>
        </w:rPr>
        <w:t>w </w:t>
      </w:r>
      <w:r w:rsidR="005B0EFC" w:rsidRPr="00833C88">
        <w:rPr>
          <w:rFonts w:cs="Times New Roman"/>
          <w:sz w:val="24"/>
          <w:szCs w:val="24"/>
        </w:rPr>
        <w:t>odniesieniu do innych państw członkowskich Unii Europejskiej.</w:t>
      </w:r>
    </w:p>
    <w:p w14:paraId="4943919B" w14:textId="1F64E6FA" w:rsidR="007F1A1D" w:rsidRPr="00833C88" w:rsidRDefault="00C16707" w:rsidP="0029004E">
      <w:pPr>
        <w:spacing w:line="360" w:lineRule="auto"/>
        <w:jc w:val="both"/>
        <w:rPr>
          <w:rFonts w:cs="Times New Roman"/>
          <w:sz w:val="24"/>
          <w:szCs w:val="24"/>
        </w:rPr>
      </w:pPr>
      <w:r w:rsidRPr="00833C88">
        <w:rPr>
          <w:rFonts w:cs="Times New Roman"/>
          <w:sz w:val="24"/>
          <w:szCs w:val="24"/>
        </w:rPr>
        <w:t>Przepisy</w:t>
      </w:r>
      <w:r w:rsidR="007C4DB8" w:rsidRPr="00833C88">
        <w:rPr>
          <w:rFonts w:cs="Times New Roman"/>
          <w:sz w:val="24"/>
          <w:szCs w:val="24"/>
        </w:rPr>
        <w:t xml:space="preserve"> ustawy </w:t>
      </w:r>
      <w:r w:rsidR="00601933" w:rsidRPr="00833C88">
        <w:rPr>
          <w:rFonts w:cs="Times New Roman"/>
          <w:sz w:val="24"/>
          <w:szCs w:val="24"/>
        </w:rPr>
        <w:t>o </w:t>
      </w:r>
      <w:r w:rsidR="000D1F49" w:rsidRPr="00833C88">
        <w:rPr>
          <w:rFonts w:cs="Times New Roman"/>
          <w:sz w:val="24"/>
          <w:szCs w:val="24"/>
        </w:rPr>
        <w:t xml:space="preserve">KSC </w:t>
      </w:r>
      <w:r w:rsidR="007C4DB8" w:rsidRPr="00833C88">
        <w:rPr>
          <w:rFonts w:cs="Times New Roman"/>
          <w:sz w:val="24"/>
          <w:szCs w:val="24"/>
        </w:rPr>
        <w:t xml:space="preserve">nakładają na przedsiębiorców spoza Unii Europejskiej </w:t>
      </w:r>
      <w:r w:rsidR="003F60C0" w:rsidRPr="00833C88">
        <w:rPr>
          <w:rFonts w:cs="Times New Roman"/>
          <w:sz w:val="24"/>
          <w:szCs w:val="24"/>
        </w:rPr>
        <w:t>działających</w:t>
      </w:r>
      <w:r w:rsidR="004A711A" w:rsidRPr="00833C88">
        <w:rPr>
          <w:rFonts w:cs="Times New Roman"/>
          <w:sz w:val="24"/>
          <w:szCs w:val="24"/>
        </w:rPr>
        <w:t xml:space="preserve"> </w:t>
      </w:r>
      <w:r w:rsidR="003F60C0" w:rsidRPr="00833C88">
        <w:rPr>
          <w:rFonts w:cs="Times New Roman"/>
          <w:sz w:val="24"/>
          <w:szCs w:val="24"/>
        </w:rPr>
        <w:t>na</w:t>
      </w:r>
      <w:r w:rsidR="004A711A" w:rsidRPr="00833C88">
        <w:rPr>
          <w:rFonts w:cs="Times New Roman"/>
          <w:sz w:val="24"/>
          <w:szCs w:val="24"/>
        </w:rPr>
        <w:t xml:space="preserve"> jej terenie obowiązek wyznaczenia przedstawiciela. </w:t>
      </w:r>
      <w:r w:rsidR="00601933" w:rsidRPr="00833C88">
        <w:rPr>
          <w:rFonts w:cs="Times New Roman"/>
          <w:sz w:val="24"/>
          <w:szCs w:val="24"/>
        </w:rPr>
        <w:t>W </w:t>
      </w:r>
      <w:r w:rsidR="001031A1" w:rsidRPr="00833C88">
        <w:rPr>
          <w:rFonts w:cs="Times New Roman"/>
          <w:sz w:val="24"/>
          <w:szCs w:val="24"/>
        </w:rPr>
        <w:t xml:space="preserve">sprawach dotyczących cyberbezpieczeństwa </w:t>
      </w:r>
      <w:r w:rsidR="00D54BEE" w:rsidRPr="00833C88">
        <w:rPr>
          <w:rFonts w:cs="Times New Roman"/>
          <w:sz w:val="24"/>
          <w:szCs w:val="24"/>
        </w:rPr>
        <w:t>instytucje krajowego systemu cyberbezpieczeństwa</w:t>
      </w:r>
      <w:r w:rsidR="00D30F49" w:rsidRPr="00833C88">
        <w:rPr>
          <w:rFonts w:cs="Times New Roman"/>
          <w:sz w:val="24"/>
          <w:szCs w:val="24"/>
        </w:rPr>
        <w:t>,</w:t>
      </w:r>
      <w:r w:rsidR="00D54BEE" w:rsidRPr="00833C88">
        <w:rPr>
          <w:rFonts w:cs="Times New Roman"/>
          <w:sz w:val="24"/>
          <w:szCs w:val="24"/>
        </w:rPr>
        <w:t xml:space="preserve"> takie jak zespoły CSIRT</w:t>
      </w:r>
      <w:r w:rsidR="00D30F49" w:rsidRPr="00833C88">
        <w:rPr>
          <w:rFonts w:cs="Times New Roman"/>
          <w:sz w:val="24"/>
          <w:szCs w:val="24"/>
        </w:rPr>
        <w:t>,</w:t>
      </w:r>
      <w:r w:rsidR="00D54BEE" w:rsidRPr="00833C88">
        <w:rPr>
          <w:rFonts w:cs="Times New Roman"/>
          <w:sz w:val="24"/>
          <w:szCs w:val="24"/>
        </w:rPr>
        <w:t xml:space="preserve"> będą mogły kontaktować się </w:t>
      </w:r>
      <w:r w:rsidR="00601933" w:rsidRPr="00833C88">
        <w:rPr>
          <w:rFonts w:cs="Times New Roman"/>
          <w:sz w:val="24"/>
          <w:szCs w:val="24"/>
        </w:rPr>
        <w:t>z </w:t>
      </w:r>
      <w:r w:rsidR="00D54BEE" w:rsidRPr="00833C88">
        <w:rPr>
          <w:rFonts w:cs="Times New Roman"/>
          <w:sz w:val="24"/>
          <w:szCs w:val="24"/>
        </w:rPr>
        <w:t xml:space="preserve">tymi przedstawicielami </w:t>
      </w:r>
      <w:r w:rsidR="00601933" w:rsidRPr="00833C88">
        <w:rPr>
          <w:rFonts w:cs="Times New Roman"/>
          <w:sz w:val="24"/>
          <w:szCs w:val="24"/>
        </w:rPr>
        <w:t>w </w:t>
      </w:r>
      <w:r w:rsidR="00D54BEE" w:rsidRPr="00833C88">
        <w:rPr>
          <w:rFonts w:cs="Times New Roman"/>
          <w:sz w:val="24"/>
          <w:szCs w:val="24"/>
        </w:rPr>
        <w:t xml:space="preserve">sprawach obowiązków spoczywających na tych podmiotach. Gwarantuje to, że </w:t>
      </w:r>
      <w:r w:rsidR="00601933" w:rsidRPr="00833C88">
        <w:rPr>
          <w:rFonts w:cs="Times New Roman"/>
          <w:sz w:val="24"/>
          <w:szCs w:val="24"/>
        </w:rPr>
        <w:t>w </w:t>
      </w:r>
      <w:r w:rsidR="00D54BEE" w:rsidRPr="00833C88">
        <w:rPr>
          <w:rFonts w:cs="Times New Roman"/>
          <w:sz w:val="24"/>
          <w:szCs w:val="24"/>
        </w:rPr>
        <w:t>systemie zost</w:t>
      </w:r>
      <w:r w:rsidR="00C36364" w:rsidRPr="00833C88">
        <w:rPr>
          <w:rFonts w:cs="Times New Roman"/>
          <w:sz w:val="24"/>
          <w:szCs w:val="24"/>
        </w:rPr>
        <w:t>aną ujęte wszystkie podmioty operujące na terenie U</w:t>
      </w:r>
      <w:r w:rsidR="00B54F59" w:rsidRPr="00833C88">
        <w:rPr>
          <w:rFonts w:cs="Times New Roman"/>
          <w:sz w:val="24"/>
          <w:szCs w:val="24"/>
        </w:rPr>
        <w:t>nii Europejskiej</w:t>
      </w:r>
      <w:r w:rsidR="00C36364" w:rsidRPr="00833C88">
        <w:rPr>
          <w:rFonts w:cs="Times New Roman"/>
          <w:sz w:val="24"/>
          <w:szCs w:val="24"/>
        </w:rPr>
        <w:t xml:space="preserve">. </w:t>
      </w:r>
      <w:r w:rsidR="00CD7D57" w:rsidRPr="00833C88">
        <w:rPr>
          <w:rFonts w:cs="Times New Roman"/>
          <w:sz w:val="24"/>
          <w:szCs w:val="24"/>
        </w:rPr>
        <w:t>Kierując się wykładnią językową oraz celowościową wdrażanego przepisu dyrektywy NIS 2 należy uznać, że</w:t>
      </w:r>
      <w:r w:rsidR="007E20C1" w:rsidRPr="00833C88">
        <w:rPr>
          <w:rFonts w:cs="Times New Roman"/>
          <w:sz w:val="24"/>
          <w:szCs w:val="24"/>
        </w:rPr>
        <w:t xml:space="preserve"> przedsiębiorc</w:t>
      </w:r>
      <w:r w:rsidR="00FE25CE" w:rsidRPr="00833C88">
        <w:rPr>
          <w:rFonts w:cs="Times New Roman"/>
          <w:sz w:val="24"/>
          <w:szCs w:val="24"/>
        </w:rPr>
        <w:t>a</w:t>
      </w:r>
      <w:r w:rsidR="003536BC" w:rsidRPr="00833C88">
        <w:rPr>
          <w:rFonts w:cs="Times New Roman"/>
          <w:sz w:val="24"/>
          <w:szCs w:val="24"/>
        </w:rPr>
        <w:t xml:space="preserve"> spoza U</w:t>
      </w:r>
      <w:r w:rsidR="00CE6E91" w:rsidRPr="00833C88">
        <w:rPr>
          <w:rFonts w:cs="Times New Roman"/>
          <w:sz w:val="24"/>
          <w:szCs w:val="24"/>
        </w:rPr>
        <w:t xml:space="preserve">nii </w:t>
      </w:r>
      <w:r w:rsidR="003536BC" w:rsidRPr="00833C88">
        <w:rPr>
          <w:rFonts w:cs="Times New Roman"/>
          <w:sz w:val="24"/>
          <w:szCs w:val="24"/>
        </w:rPr>
        <w:t>E</w:t>
      </w:r>
      <w:r w:rsidR="00CE6E91" w:rsidRPr="00833C88">
        <w:rPr>
          <w:rFonts w:cs="Times New Roman"/>
          <w:sz w:val="24"/>
          <w:szCs w:val="24"/>
        </w:rPr>
        <w:t>uropejskiej</w:t>
      </w:r>
      <w:r w:rsidR="00FE25CE" w:rsidRPr="00833C88">
        <w:rPr>
          <w:rFonts w:cs="Times New Roman"/>
          <w:sz w:val="24"/>
          <w:szCs w:val="24"/>
        </w:rPr>
        <w:t xml:space="preserve">, który </w:t>
      </w:r>
      <w:r w:rsidR="003536BC" w:rsidRPr="00833C88">
        <w:rPr>
          <w:rFonts w:cs="Times New Roman"/>
          <w:sz w:val="24"/>
          <w:szCs w:val="24"/>
        </w:rPr>
        <w:t>świadcz</w:t>
      </w:r>
      <w:r w:rsidR="000F655F" w:rsidRPr="00833C88">
        <w:rPr>
          <w:rFonts w:cs="Times New Roman"/>
          <w:sz w:val="24"/>
          <w:szCs w:val="24"/>
        </w:rPr>
        <w:t>y usługi na terytorium U</w:t>
      </w:r>
      <w:r w:rsidR="00CE6E91" w:rsidRPr="00833C88">
        <w:rPr>
          <w:rFonts w:cs="Times New Roman"/>
          <w:sz w:val="24"/>
          <w:szCs w:val="24"/>
        </w:rPr>
        <w:t xml:space="preserve">nii </w:t>
      </w:r>
      <w:r w:rsidR="000F655F" w:rsidRPr="00833C88">
        <w:rPr>
          <w:rFonts w:cs="Times New Roman"/>
          <w:sz w:val="24"/>
          <w:szCs w:val="24"/>
        </w:rPr>
        <w:t>E</w:t>
      </w:r>
      <w:r w:rsidR="00CE6E91" w:rsidRPr="00833C88">
        <w:rPr>
          <w:rFonts w:cs="Times New Roman"/>
          <w:sz w:val="24"/>
          <w:szCs w:val="24"/>
        </w:rPr>
        <w:t>uropejskiej</w:t>
      </w:r>
      <w:r w:rsidR="000F655F" w:rsidRPr="00833C88">
        <w:rPr>
          <w:rFonts w:cs="Times New Roman"/>
          <w:sz w:val="24"/>
          <w:szCs w:val="24"/>
        </w:rPr>
        <w:t xml:space="preserve"> w różnych państwach członkowskich i </w:t>
      </w:r>
      <w:r w:rsidR="00FE25CE" w:rsidRPr="00833C88">
        <w:rPr>
          <w:rFonts w:cs="Times New Roman"/>
          <w:sz w:val="24"/>
          <w:szCs w:val="24"/>
        </w:rPr>
        <w:t>wyznaczył przedstawiciela</w:t>
      </w:r>
      <w:r w:rsidR="000F655F" w:rsidRPr="00833C88">
        <w:rPr>
          <w:rFonts w:cs="Times New Roman"/>
          <w:sz w:val="24"/>
          <w:szCs w:val="24"/>
        </w:rPr>
        <w:t xml:space="preserve"> w Polsce</w:t>
      </w:r>
      <w:r w:rsidR="00906EAF" w:rsidRPr="00833C88">
        <w:rPr>
          <w:rFonts w:cs="Times New Roman"/>
          <w:sz w:val="24"/>
          <w:szCs w:val="24"/>
        </w:rPr>
        <w:t>, podlegać będzie polskiej jurysdykcji, zastosowanie będą miały do niego przepisy polskiej ustawy wdrażającej, a tym samym zgłoszeń incydentów dotyczących infrastruktury</w:t>
      </w:r>
      <w:r w:rsidR="000F655F" w:rsidRPr="00833C88">
        <w:rPr>
          <w:rFonts w:cs="Times New Roman"/>
          <w:sz w:val="24"/>
          <w:szCs w:val="24"/>
        </w:rPr>
        <w:t xml:space="preserve"> tego przedsiębiorcy, choćby znajdowały się w innym państwie</w:t>
      </w:r>
      <w:r w:rsidR="00CE6E91" w:rsidRPr="00833C88">
        <w:rPr>
          <w:rFonts w:cs="Times New Roman"/>
          <w:sz w:val="24"/>
          <w:szCs w:val="24"/>
        </w:rPr>
        <w:t xml:space="preserve"> członkowskim</w:t>
      </w:r>
      <w:r w:rsidR="000F655F" w:rsidRPr="00833C88">
        <w:rPr>
          <w:rFonts w:cs="Times New Roman"/>
          <w:sz w:val="24"/>
          <w:szCs w:val="24"/>
        </w:rPr>
        <w:t xml:space="preserve"> U</w:t>
      </w:r>
      <w:r w:rsidR="00CE6E91" w:rsidRPr="00833C88">
        <w:rPr>
          <w:rFonts w:cs="Times New Roman"/>
          <w:sz w:val="24"/>
          <w:szCs w:val="24"/>
        </w:rPr>
        <w:t xml:space="preserve">nii </w:t>
      </w:r>
      <w:r w:rsidR="000F655F" w:rsidRPr="00833C88">
        <w:rPr>
          <w:rFonts w:cs="Times New Roman"/>
          <w:sz w:val="24"/>
          <w:szCs w:val="24"/>
        </w:rPr>
        <w:t>E</w:t>
      </w:r>
      <w:r w:rsidR="00CE6E91" w:rsidRPr="00833C88">
        <w:rPr>
          <w:rFonts w:cs="Times New Roman"/>
          <w:sz w:val="24"/>
          <w:szCs w:val="24"/>
        </w:rPr>
        <w:t>uropejskiej</w:t>
      </w:r>
      <w:r w:rsidR="0079538C" w:rsidRPr="00833C88">
        <w:rPr>
          <w:rFonts w:cs="Times New Roman"/>
          <w:sz w:val="24"/>
          <w:szCs w:val="24"/>
        </w:rPr>
        <w:t xml:space="preserve">, będzie należało dokonywać do właściwego CSIRT w Polsce. CSIRT poziomu krajowego będą przy tym tworzyły Sieć CSIRT, do której zadań należy wymiana informacji na temat incydentów, czy pomaganie państwom członkowskich </w:t>
      </w:r>
      <w:r w:rsidR="00CE6E91" w:rsidRPr="00833C88">
        <w:rPr>
          <w:rFonts w:cs="Times New Roman"/>
          <w:sz w:val="24"/>
          <w:szCs w:val="24"/>
        </w:rPr>
        <w:t xml:space="preserve">Unii Europejskiej </w:t>
      </w:r>
      <w:r w:rsidR="0079538C" w:rsidRPr="00833C88">
        <w:rPr>
          <w:rFonts w:cs="Times New Roman"/>
          <w:sz w:val="24"/>
          <w:szCs w:val="24"/>
        </w:rPr>
        <w:t>w reagowaniu na incydenty transgraniczne.</w:t>
      </w:r>
    </w:p>
    <w:p w14:paraId="39389A19" w14:textId="4F23C941" w:rsidR="00F16451" w:rsidRPr="00833C88" w:rsidRDefault="00F16451" w:rsidP="0029004E">
      <w:pPr>
        <w:spacing w:line="360" w:lineRule="auto"/>
        <w:jc w:val="both"/>
        <w:rPr>
          <w:rFonts w:cs="Times New Roman"/>
          <w:sz w:val="24"/>
          <w:szCs w:val="24"/>
        </w:rPr>
      </w:pPr>
      <w:r w:rsidRPr="00833C88">
        <w:rPr>
          <w:rFonts w:cs="Times New Roman"/>
          <w:sz w:val="24"/>
          <w:szCs w:val="24"/>
        </w:rPr>
        <w:lastRenderedPageBreak/>
        <w:t xml:space="preserve">Ponadto wskazano, że ustawę stosuje się do podmiotów publicznych niezależnie od miejsca ich siedziby. Takie sformułowanie obejmie również polskie placówki dyplomatyczne </w:t>
      </w:r>
      <w:r w:rsidR="00601933" w:rsidRPr="00833C88">
        <w:rPr>
          <w:rFonts w:cs="Times New Roman"/>
          <w:sz w:val="24"/>
          <w:szCs w:val="24"/>
        </w:rPr>
        <w:t>i </w:t>
      </w:r>
      <w:r w:rsidR="005A462A" w:rsidRPr="00833C88">
        <w:rPr>
          <w:rFonts w:cs="Times New Roman"/>
          <w:sz w:val="24"/>
          <w:szCs w:val="24"/>
        </w:rPr>
        <w:t>polskie przedstaw</w:t>
      </w:r>
      <w:r w:rsidR="007D31CB" w:rsidRPr="00833C88">
        <w:rPr>
          <w:rFonts w:cs="Times New Roman"/>
          <w:sz w:val="24"/>
          <w:szCs w:val="24"/>
        </w:rPr>
        <w:t>i</w:t>
      </w:r>
      <w:r w:rsidR="005A462A" w:rsidRPr="00833C88">
        <w:rPr>
          <w:rFonts w:cs="Times New Roman"/>
          <w:sz w:val="24"/>
          <w:szCs w:val="24"/>
        </w:rPr>
        <w:t>cielstwa przy organizacjach międzynarodowych.</w:t>
      </w:r>
    </w:p>
    <w:p w14:paraId="1801949B" w14:textId="1AB42681" w:rsidR="00017CAE" w:rsidRPr="00833C88" w:rsidRDefault="00017CAE" w:rsidP="00806A08">
      <w:pPr>
        <w:pStyle w:val="Nagwek2"/>
        <w:spacing w:before="0" w:after="120" w:line="360" w:lineRule="auto"/>
        <w:jc w:val="both"/>
        <w:rPr>
          <w:rFonts w:cs="Times New Roman"/>
          <w:b/>
          <w:bCs/>
        </w:rPr>
      </w:pPr>
      <w:r w:rsidRPr="00833C88">
        <w:rPr>
          <w:rFonts w:cs="Times New Roman"/>
          <w:b/>
          <w:bCs/>
        </w:rPr>
        <w:t>Uchylenie wykazu usług kluczowych</w:t>
      </w:r>
    </w:p>
    <w:p w14:paraId="0AD3157D" w14:textId="16B8074D" w:rsidR="00B85FC3" w:rsidRPr="00833C88" w:rsidRDefault="005B5209" w:rsidP="0029004E">
      <w:pPr>
        <w:spacing w:line="360" w:lineRule="auto"/>
        <w:jc w:val="both"/>
        <w:rPr>
          <w:rFonts w:cs="Times New Roman"/>
          <w:sz w:val="24"/>
          <w:szCs w:val="24"/>
        </w:rPr>
      </w:pPr>
      <w:r w:rsidRPr="00833C88">
        <w:rPr>
          <w:rFonts w:cs="Times New Roman"/>
          <w:sz w:val="24"/>
          <w:szCs w:val="24"/>
        </w:rPr>
        <w:t>Uchyla się podstaw</w:t>
      </w:r>
      <w:r w:rsidR="00267EA3" w:rsidRPr="00833C88">
        <w:rPr>
          <w:rFonts w:cs="Times New Roman"/>
          <w:sz w:val="24"/>
          <w:szCs w:val="24"/>
        </w:rPr>
        <w:t>ę</w:t>
      </w:r>
      <w:r w:rsidRPr="00833C88">
        <w:rPr>
          <w:rFonts w:cs="Times New Roman"/>
          <w:sz w:val="24"/>
          <w:szCs w:val="24"/>
        </w:rPr>
        <w:t xml:space="preserve"> prawną do wydania rozporządzenia Rady Ministrów </w:t>
      </w:r>
      <w:r w:rsidR="00601933" w:rsidRPr="00833C88">
        <w:rPr>
          <w:rFonts w:cs="Times New Roman"/>
          <w:sz w:val="24"/>
          <w:szCs w:val="24"/>
        </w:rPr>
        <w:t>w </w:t>
      </w:r>
      <w:r w:rsidR="00B85FC3" w:rsidRPr="00833C88">
        <w:rPr>
          <w:rFonts w:cs="Times New Roman"/>
          <w:sz w:val="24"/>
          <w:szCs w:val="24"/>
        </w:rPr>
        <w:t xml:space="preserve">sprawie wykazu usług kluczowych. Dyrektywa NIS 2 </w:t>
      </w:r>
      <w:r w:rsidR="005664FE" w:rsidRPr="00833C88">
        <w:rPr>
          <w:rFonts w:cs="Times New Roman"/>
          <w:sz w:val="24"/>
          <w:szCs w:val="24"/>
        </w:rPr>
        <w:t>nak</w:t>
      </w:r>
      <w:r w:rsidR="0059159B" w:rsidRPr="00833C88">
        <w:rPr>
          <w:rFonts w:cs="Times New Roman"/>
          <w:sz w:val="24"/>
          <w:szCs w:val="24"/>
        </w:rPr>
        <w:t xml:space="preserve">azuje </w:t>
      </w:r>
      <w:r w:rsidR="00EE6CFE" w:rsidRPr="00833C88">
        <w:rPr>
          <w:rFonts w:cs="Times New Roman"/>
          <w:sz w:val="24"/>
          <w:szCs w:val="24"/>
        </w:rPr>
        <w:t xml:space="preserve">podmiotom kluczowym </w:t>
      </w:r>
      <w:r w:rsidR="00601933" w:rsidRPr="00833C88">
        <w:rPr>
          <w:rFonts w:cs="Times New Roman"/>
          <w:sz w:val="24"/>
          <w:szCs w:val="24"/>
        </w:rPr>
        <w:t>i </w:t>
      </w:r>
      <w:r w:rsidR="00EE6CFE" w:rsidRPr="00833C88">
        <w:rPr>
          <w:rFonts w:cs="Times New Roman"/>
          <w:sz w:val="24"/>
          <w:szCs w:val="24"/>
        </w:rPr>
        <w:t xml:space="preserve">podmiotom ważnym </w:t>
      </w:r>
      <w:r w:rsidR="005C50CC" w:rsidRPr="00833C88">
        <w:rPr>
          <w:rFonts w:cs="Times New Roman"/>
          <w:sz w:val="24"/>
          <w:szCs w:val="24"/>
        </w:rPr>
        <w:t>wdrożyć środki zarząd</w:t>
      </w:r>
      <w:r w:rsidR="008A064C" w:rsidRPr="00833C88">
        <w:rPr>
          <w:rFonts w:cs="Times New Roman"/>
          <w:sz w:val="24"/>
          <w:szCs w:val="24"/>
        </w:rPr>
        <w:t>z</w:t>
      </w:r>
      <w:r w:rsidR="005C50CC" w:rsidRPr="00833C88">
        <w:rPr>
          <w:rFonts w:cs="Times New Roman"/>
          <w:sz w:val="24"/>
          <w:szCs w:val="24"/>
        </w:rPr>
        <w:t>ania ryz</w:t>
      </w:r>
      <w:r w:rsidR="008A064C" w:rsidRPr="00833C88">
        <w:rPr>
          <w:rFonts w:cs="Times New Roman"/>
          <w:sz w:val="24"/>
          <w:szCs w:val="24"/>
        </w:rPr>
        <w:t>y</w:t>
      </w:r>
      <w:r w:rsidR="005C50CC" w:rsidRPr="00833C88">
        <w:rPr>
          <w:rFonts w:cs="Times New Roman"/>
          <w:sz w:val="24"/>
          <w:szCs w:val="24"/>
        </w:rPr>
        <w:t>kiem dotyczące usług świadczonych przez te podmiot</w:t>
      </w:r>
      <w:r w:rsidR="008A064C" w:rsidRPr="00833C88">
        <w:rPr>
          <w:rFonts w:cs="Times New Roman"/>
          <w:sz w:val="24"/>
          <w:szCs w:val="24"/>
        </w:rPr>
        <w:t>y</w:t>
      </w:r>
      <w:r w:rsidR="005C50CC" w:rsidRPr="00833C88">
        <w:rPr>
          <w:rFonts w:cs="Times New Roman"/>
          <w:sz w:val="24"/>
          <w:szCs w:val="24"/>
        </w:rPr>
        <w:t xml:space="preserve">, </w:t>
      </w:r>
      <w:r w:rsidR="00601933" w:rsidRPr="00833C88">
        <w:rPr>
          <w:rFonts w:cs="Times New Roman"/>
          <w:sz w:val="24"/>
          <w:szCs w:val="24"/>
        </w:rPr>
        <w:t>a </w:t>
      </w:r>
      <w:r w:rsidR="005C50CC" w:rsidRPr="00833C88">
        <w:rPr>
          <w:rFonts w:cs="Times New Roman"/>
          <w:sz w:val="24"/>
          <w:szCs w:val="24"/>
        </w:rPr>
        <w:t>nie</w:t>
      </w:r>
      <w:r w:rsidR="00031FDA" w:rsidRPr="00833C88">
        <w:rPr>
          <w:rFonts w:cs="Times New Roman"/>
          <w:sz w:val="24"/>
          <w:szCs w:val="24"/>
        </w:rPr>
        <w:t> </w:t>
      </w:r>
      <w:r w:rsidR="005C50CC" w:rsidRPr="00833C88">
        <w:rPr>
          <w:rFonts w:cs="Times New Roman"/>
          <w:sz w:val="24"/>
          <w:szCs w:val="24"/>
        </w:rPr>
        <w:t>jednej konkretnej usługi</w:t>
      </w:r>
      <w:r w:rsidR="00267EA3" w:rsidRPr="00833C88">
        <w:rPr>
          <w:rFonts w:cs="Times New Roman"/>
          <w:sz w:val="24"/>
          <w:szCs w:val="24"/>
        </w:rPr>
        <w:t>.</w:t>
      </w:r>
    </w:p>
    <w:p w14:paraId="04A0F7CD" w14:textId="7BD310B8" w:rsidR="004D32DF" w:rsidRPr="00833C88" w:rsidRDefault="00B85FC3" w:rsidP="0029004E">
      <w:pPr>
        <w:spacing w:line="360" w:lineRule="auto"/>
        <w:jc w:val="both"/>
        <w:rPr>
          <w:rFonts w:cs="Times New Roman"/>
          <w:sz w:val="24"/>
          <w:szCs w:val="24"/>
        </w:rPr>
      </w:pPr>
      <w:r w:rsidRPr="00833C88">
        <w:rPr>
          <w:rFonts w:cs="Times New Roman"/>
          <w:sz w:val="24"/>
          <w:szCs w:val="24"/>
        </w:rPr>
        <w:t xml:space="preserve">Usługi kluczowe występują </w:t>
      </w:r>
      <w:r w:rsidR="00601933" w:rsidRPr="00833C88">
        <w:rPr>
          <w:rFonts w:cs="Times New Roman"/>
          <w:sz w:val="24"/>
          <w:szCs w:val="24"/>
        </w:rPr>
        <w:t>w </w:t>
      </w:r>
      <w:r w:rsidRPr="00833C88">
        <w:rPr>
          <w:rFonts w:cs="Times New Roman"/>
          <w:sz w:val="24"/>
          <w:szCs w:val="24"/>
        </w:rPr>
        <w:t xml:space="preserve">przypadku </w:t>
      </w:r>
      <w:r w:rsidR="0059159B" w:rsidRPr="00833C88">
        <w:rPr>
          <w:rFonts w:cs="Times New Roman"/>
          <w:sz w:val="24"/>
          <w:szCs w:val="24"/>
        </w:rPr>
        <w:t>dyrektywy CER – ich wykaz został ustalony w</w:t>
      </w:r>
      <w:r w:rsidR="00B420C3" w:rsidRPr="00833C88">
        <w:rPr>
          <w:rFonts w:cs="Times New Roman"/>
        </w:rPr>
        <w:t> </w:t>
      </w:r>
      <w:r w:rsidR="004404D9" w:rsidRPr="00833C88">
        <w:rPr>
          <w:rFonts w:cs="Times New Roman"/>
          <w:sz w:val="24"/>
          <w:szCs w:val="24"/>
        </w:rPr>
        <w:t xml:space="preserve">rozporządzeniu delegowanym Komisji </w:t>
      </w:r>
      <w:r w:rsidR="00581FCE" w:rsidRPr="00833C88">
        <w:rPr>
          <w:rFonts w:cs="Times New Roman"/>
          <w:sz w:val="24"/>
          <w:szCs w:val="24"/>
        </w:rPr>
        <w:t xml:space="preserve">(UE) 2023/2450 </w:t>
      </w:r>
      <w:r w:rsidR="00601933" w:rsidRPr="00833C88">
        <w:rPr>
          <w:rFonts w:cs="Times New Roman"/>
          <w:sz w:val="24"/>
          <w:szCs w:val="24"/>
        </w:rPr>
        <w:t>z </w:t>
      </w:r>
      <w:r w:rsidR="00581FCE" w:rsidRPr="00833C88">
        <w:rPr>
          <w:rFonts w:cs="Times New Roman"/>
          <w:sz w:val="24"/>
          <w:szCs w:val="24"/>
        </w:rPr>
        <w:t>dnia 25 lipca 2023</w:t>
      </w:r>
      <w:r w:rsidR="00031FDA" w:rsidRPr="00833C88">
        <w:rPr>
          <w:rFonts w:cs="Times New Roman"/>
          <w:sz w:val="24"/>
          <w:szCs w:val="24"/>
        </w:rPr>
        <w:t> </w:t>
      </w:r>
      <w:r w:rsidR="00581FCE" w:rsidRPr="00833C88">
        <w:rPr>
          <w:rFonts w:cs="Times New Roman"/>
          <w:sz w:val="24"/>
          <w:szCs w:val="24"/>
        </w:rPr>
        <w:t>r.</w:t>
      </w:r>
      <w:r w:rsidR="00FD32F1" w:rsidRPr="00833C88">
        <w:rPr>
          <w:rFonts w:cs="Times New Roman"/>
          <w:sz w:val="24"/>
          <w:szCs w:val="24"/>
        </w:rPr>
        <w:t xml:space="preserve"> </w:t>
      </w:r>
      <w:r w:rsidR="00581FCE" w:rsidRPr="00833C88">
        <w:rPr>
          <w:rFonts w:cs="Times New Roman"/>
          <w:sz w:val="24"/>
          <w:szCs w:val="24"/>
        </w:rPr>
        <w:t>uzupełniając</w:t>
      </w:r>
      <w:r w:rsidR="00E13F67" w:rsidRPr="00833C88">
        <w:rPr>
          <w:rFonts w:cs="Times New Roman"/>
          <w:sz w:val="24"/>
          <w:szCs w:val="24"/>
        </w:rPr>
        <w:t>ym</w:t>
      </w:r>
      <w:r w:rsidR="00581FCE" w:rsidRPr="00833C88">
        <w:rPr>
          <w:rFonts w:cs="Times New Roman"/>
          <w:sz w:val="24"/>
          <w:szCs w:val="24"/>
        </w:rPr>
        <w:t xml:space="preserve"> dyrektywę Parlamentu Europejskiego </w:t>
      </w:r>
      <w:r w:rsidR="00601933" w:rsidRPr="00833C88">
        <w:rPr>
          <w:rFonts w:cs="Times New Roman"/>
          <w:sz w:val="24"/>
          <w:szCs w:val="24"/>
        </w:rPr>
        <w:t>i </w:t>
      </w:r>
      <w:r w:rsidR="00581FCE" w:rsidRPr="00833C88">
        <w:rPr>
          <w:rFonts w:cs="Times New Roman"/>
          <w:sz w:val="24"/>
          <w:szCs w:val="24"/>
        </w:rPr>
        <w:t>Rady (UE) 2022/2557 przez ustanowienie wykazu usług kluczowych</w:t>
      </w:r>
      <w:r w:rsidR="00267EA3" w:rsidRPr="00833C88">
        <w:rPr>
          <w:rFonts w:cs="Times New Roman"/>
          <w:sz w:val="24"/>
          <w:szCs w:val="24"/>
        </w:rPr>
        <w:t xml:space="preserve"> </w:t>
      </w:r>
      <w:r w:rsidR="00B420C3" w:rsidRPr="00833C88">
        <w:rPr>
          <w:rFonts w:cs="Times New Roman"/>
          <w:sz w:val="24"/>
          <w:szCs w:val="24"/>
        </w:rPr>
        <w:t xml:space="preserve">(Dz. Urz. UE L 2023/2450 </w:t>
      </w:r>
      <w:r w:rsidR="00601933" w:rsidRPr="00833C88">
        <w:rPr>
          <w:rFonts w:cs="Times New Roman"/>
          <w:sz w:val="24"/>
          <w:szCs w:val="24"/>
        </w:rPr>
        <w:t>z </w:t>
      </w:r>
      <w:r w:rsidR="00B420C3" w:rsidRPr="00833C88">
        <w:rPr>
          <w:rFonts w:cs="Times New Roman"/>
          <w:sz w:val="24"/>
          <w:szCs w:val="24"/>
        </w:rPr>
        <w:t>30.10.2023)</w:t>
      </w:r>
      <w:r w:rsidR="0059159B" w:rsidRPr="00833C88">
        <w:rPr>
          <w:rFonts w:cs="Times New Roman"/>
          <w:sz w:val="24"/>
          <w:szCs w:val="24"/>
        </w:rPr>
        <w:t xml:space="preserve">. Tym bardziej prawodawca krajowy nie może precyzować </w:t>
      </w:r>
      <w:r w:rsidR="00EE6CFE" w:rsidRPr="00833C88">
        <w:rPr>
          <w:rFonts w:cs="Times New Roman"/>
          <w:sz w:val="24"/>
          <w:szCs w:val="24"/>
        </w:rPr>
        <w:t xml:space="preserve">usług kluczowych </w:t>
      </w:r>
      <w:r w:rsidR="00601933" w:rsidRPr="00833C88">
        <w:rPr>
          <w:rFonts w:cs="Times New Roman"/>
          <w:sz w:val="24"/>
          <w:szCs w:val="24"/>
        </w:rPr>
        <w:t>w </w:t>
      </w:r>
      <w:r w:rsidR="00EE6CFE" w:rsidRPr="00833C88">
        <w:rPr>
          <w:rFonts w:cs="Times New Roman"/>
          <w:sz w:val="24"/>
          <w:szCs w:val="24"/>
        </w:rPr>
        <w:t>rozporządzeniu.</w:t>
      </w:r>
    </w:p>
    <w:p w14:paraId="1C39E93E" w14:textId="418F47CB" w:rsidR="0011216F" w:rsidRPr="00833C88" w:rsidRDefault="002A2675" w:rsidP="00806A08">
      <w:pPr>
        <w:pStyle w:val="Nagwek2"/>
        <w:spacing w:before="0" w:after="120" w:line="360" w:lineRule="auto"/>
        <w:jc w:val="both"/>
        <w:rPr>
          <w:rFonts w:cs="Times New Roman"/>
          <w:b/>
          <w:bCs/>
        </w:rPr>
      </w:pPr>
      <w:r w:rsidRPr="00833C88">
        <w:rPr>
          <w:rFonts w:cs="Times New Roman"/>
          <w:b/>
          <w:bCs/>
        </w:rPr>
        <w:t xml:space="preserve">Wykaz podmiotów kluczowych </w:t>
      </w:r>
      <w:r w:rsidR="00601933" w:rsidRPr="00833C88">
        <w:rPr>
          <w:rFonts w:cs="Times New Roman"/>
          <w:b/>
          <w:bCs/>
        </w:rPr>
        <w:t>i </w:t>
      </w:r>
      <w:r w:rsidR="00D30F49" w:rsidRPr="00833C88">
        <w:rPr>
          <w:rFonts w:cs="Times New Roman"/>
          <w:b/>
          <w:bCs/>
        </w:rPr>
        <w:t xml:space="preserve">podmiotów </w:t>
      </w:r>
      <w:r w:rsidRPr="00833C88">
        <w:rPr>
          <w:rFonts w:cs="Times New Roman"/>
          <w:b/>
          <w:bCs/>
        </w:rPr>
        <w:t>ważnych</w:t>
      </w:r>
    </w:p>
    <w:p w14:paraId="77313694" w14:textId="3E43A37A" w:rsidR="00A42275" w:rsidRPr="00833C88" w:rsidRDefault="00B74B7C" w:rsidP="0029004E">
      <w:pPr>
        <w:spacing w:line="360" w:lineRule="auto"/>
        <w:jc w:val="both"/>
        <w:rPr>
          <w:rFonts w:cs="Times New Roman"/>
          <w:sz w:val="24"/>
          <w:szCs w:val="24"/>
        </w:rPr>
      </w:pPr>
      <w:r w:rsidRPr="00833C88">
        <w:rPr>
          <w:rFonts w:cs="Times New Roman"/>
          <w:sz w:val="24"/>
          <w:szCs w:val="24"/>
        </w:rPr>
        <w:t xml:space="preserve">Bardzo duża liczba podmiotów podlegająca obowiązkom </w:t>
      </w:r>
      <w:r w:rsidR="00601933" w:rsidRPr="00833C88">
        <w:rPr>
          <w:rFonts w:cs="Times New Roman"/>
          <w:sz w:val="24"/>
          <w:szCs w:val="24"/>
        </w:rPr>
        <w:t>z </w:t>
      </w:r>
      <w:r w:rsidRPr="00833C88">
        <w:rPr>
          <w:rFonts w:cs="Times New Roman"/>
          <w:sz w:val="24"/>
          <w:szCs w:val="24"/>
        </w:rPr>
        <w:t>dyrektywy NIS</w:t>
      </w:r>
      <w:r w:rsidR="00B420C3" w:rsidRPr="00833C88">
        <w:rPr>
          <w:rFonts w:cs="Times New Roman"/>
          <w:sz w:val="24"/>
          <w:szCs w:val="24"/>
        </w:rPr>
        <w:t xml:space="preserve"> </w:t>
      </w:r>
      <w:r w:rsidRPr="00833C88">
        <w:rPr>
          <w:rFonts w:cs="Times New Roman"/>
          <w:sz w:val="24"/>
          <w:szCs w:val="24"/>
        </w:rPr>
        <w:t xml:space="preserve">2 </w:t>
      </w:r>
      <w:r w:rsidR="00121F06" w:rsidRPr="00833C88">
        <w:rPr>
          <w:rFonts w:cs="Times New Roman"/>
          <w:sz w:val="24"/>
          <w:szCs w:val="24"/>
        </w:rPr>
        <w:t xml:space="preserve">stanowi wyzwanie dla organów nadzorujących wykonywanie obowiązków </w:t>
      </w:r>
      <w:r w:rsidR="00601933" w:rsidRPr="00833C88">
        <w:rPr>
          <w:rFonts w:cs="Times New Roman"/>
          <w:sz w:val="24"/>
          <w:szCs w:val="24"/>
        </w:rPr>
        <w:t>z </w:t>
      </w:r>
      <w:r w:rsidR="00121F06" w:rsidRPr="00833C88">
        <w:rPr>
          <w:rFonts w:cs="Times New Roman"/>
          <w:sz w:val="24"/>
          <w:szCs w:val="24"/>
        </w:rPr>
        <w:t>zakresu cyberbezpieczeństwa – czyli organów właściwych do spraw cyberbezpieczeństwa.</w:t>
      </w:r>
      <w:r w:rsidR="00E87A31" w:rsidRPr="00833C88">
        <w:rPr>
          <w:rFonts w:cs="Times New Roman"/>
          <w:sz w:val="24"/>
          <w:szCs w:val="24"/>
        </w:rPr>
        <w:t xml:space="preserve"> Podstawowa trudność to ich prawidłowe zidentyfikowanie. Do tej pory </w:t>
      </w:r>
      <w:r w:rsidR="001E6459" w:rsidRPr="00833C88">
        <w:rPr>
          <w:rFonts w:cs="Times New Roman"/>
          <w:sz w:val="24"/>
          <w:szCs w:val="24"/>
        </w:rPr>
        <w:t xml:space="preserve">operatorzy usług kluczowych byli wyznaczani </w:t>
      </w:r>
      <w:r w:rsidR="00601933" w:rsidRPr="00833C88">
        <w:rPr>
          <w:rFonts w:cs="Times New Roman"/>
          <w:sz w:val="24"/>
          <w:szCs w:val="24"/>
        </w:rPr>
        <w:t>w </w:t>
      </w:r>
      <w:r w:rsidR="001E6459" w:rsidRPr="00833C88">
        <w:rPr>
          <w:rFonts w:cs="Times New Roman"/>
          <w:sz w:val="24"/>
          <w:szCs w:val="24"/>
        </w:rPr>
        <w:t xml:space="preserve">drodze decyzji administracyjnej organu właściwego do spraw cyberbezpieczeństwa. </w:t>
      </w:r>
      <w:r w:rsidR="00834463" w:rsidRPr="00833C88">
        <w:rPr>
          <w:rFonts w:cs="Times New Roman"/>
          <w:sz w:val="24"/>
          <w:szCs w:val="24"/>
        </w:rPr>
        <w:t xml:space="preserve">Duży problem stanowiła natomiast identyfikacja dostawców usług cyfrowych </w:t>
      </w:r>
      <w:r w:rsidR="00601933" w:rsidRPr="00833C88">
        <w:rPr>
          <w:rFonts w:cs="Times New Roman"/>
          <w:sz w:val="24"/>
          <w:szCs w:val="24"/>
        </w:rPr>
        <w:t>w </w:t>
      </w:r>
      <w:r w:rsidR="00834463" w:rsidRPr="00833C88">
        <w:rPr>
          <w:rFonts w:cs="Times New Roman"/>
          <w:sz w:val="24"/>
          <w:szCs w:val="24"/>
        </w:rPr>
        <w:t>rozumieniu dyrektywy NIS</w:t>
      </w:r>
      <w:r w:rsidR="00321BC0" w:rsidRPr="00833C88">
        <w:rPr>
          <w:rFonts w:cs="Times New Roman"/>
          <w:sz w:val="24"/>
          <w:szCs w:val="24"/>
        </w:rPr>
        <w:t xml:space="preserve"> </w:t>
      </w:r>
      <w:r w:rsidR="00DD4720" w:rsidRPr="00833C88">
        <w:rPr>
          <w:rFonts w:cs="Times New Roman"/>
          <w:sz w:val="24"/>
          <w:szCs w:val="24"/>
        </w:rPr>
        <w:t>–</w:t>
      </w:r>
      <w:r w:rsidR="00834463" w:rsidRPr="00833C88">
        <w:rPr>
          <w:rFonts w:cs="Times New Roman"/>
          <w:sz w:val="24"/>
          <w:szCs w:val="24"/>
        </w:rPr>
        <w:t xml:space="preserve"> </w:t>
      </w:r>
      <w:r w:rsidR="00DD4720" w:rsidRPr="00833C88">
        <w:rPr>
          <w:rFonts w:cs="Times New Roman"/>
          <w:sz w:val="24"/>
          <w:szCs w:val="24"/>
        </w:rPr>
        <w:t xml:space="preserve">nie byli oni identyfikowani </w:t>
      </w:r>
      <w:r w:rsidR="00601933" w:rsidRPr="00833C88">
        <w:rPr>
          <w:rFonts w:cs="Times New Roman"/>
          <w:sz w:val="24"/>
          <w:szCs w:val="24"/>
        </w:rPr>
        <w:t>w </w:t>
      </w:r>
      <w:r w:rsidR="00DD4720" w:rsidRPr="00833C88">
        <w:rPr>
          <w:rFonts w:cs="Times New Roman"/>
          <w:sz w:val="24"/>
          <w:szCs w:val="24"/>
        </w:rPr>
        <w:t xml:space="preserve">drodze decyzji administracyjnej, </w:t>
      </w:r>
      <w:r w:rsidR="00601933" w:rsidRPr="00833C88">
        <w:rPr>
          <w:rFonts w:cs="Times New Roman"/>
          <w:sz w:val="24"/>
          <w:szCs w:val="24"/>
        </w:rPr>
        <w:t>a </w:t>
      </w:r>
      <w:r w:rsidR="00896580" w:rsidRPr="00833C88">
        <w:rPr>
          <w:rFonts w:cs="Times New Roman"/>
          <w:sz w:val="24"/>
          <w:szCs w:val="24"/>
        </w:rPr>
        <w:t xml:space="preserve">dotychczasowe </w:t>
      </w:r>
      <w:r w:rsidR="00DD4720" w:rsidRPr="00833C88">
        <w:rPr>
          <w:rFonts w:cs="Times New Roman"/>
          <w:sz w:val="24"/>
          <w:szCs w:val="24"/>
        </w:rPr>
        <w:t xml:space="preserve">kody Polskiej Klasyfikacji Działalności nie </w:t>
      </w:r>
      <w:r w:rsidR="00DA2850" w:rsidRPr="00833C88">
        <w:rPr>
          <w:rFonts w:cs="Times New Roman"/>
          <w:sz w:val="24"/>
          <w:szCs w:val="24"/>
        </w:rPr>
        <w:t xml:space="preserve">identyfikowały dokładnie działalności podmiotów świadczących usługi przetwarzania </w:t>
      </w:r>
      <w:r w:rsidR="00601933" w:rsidRPr="00833C88">
        <w:rPr>
          <w:rFonts w:cs="Times New Roman"/>
          <w:sz w:val="24"/>
          <w:szCs w:val="24"/>
        </w:rPr>
        <w:t>w </w:t>
      </w:r>
      <w:r w:rsidR="00DA2850" w:rsidRPr="00833C88">
        <w:rPr>
          <w:rFonts w:cs="Times New Roman"/>
          <w:sz w:val="24"/>
          <w:szCs w:val="24"/>
        </w:rPr>
        <w:t>chmurze, wyszukiwarek internetowych oraz internetowych platform handlowych. Ponadto zgodnie z</w:t>
      </w:r>
      <w:r w:rsidR="000C371B" w:rsidRPr="00833C88">
        <w:rPr>
          <w:rFonts w:cs="Times New Roman"/>
          <w:sz w:val="24"/>
          <w:szCs w:val="24"/>
        </w:rPr>
        <w:t> </w:t>
      </w:r>
      <w:r w:rsidR="00DA2850" w:rsidRPr="00833C88">
        <w:rPr>
          <w:rFonts w:cs="Times New Roman"/>
          <w:sz w:val="24"/>
          <w:szCs w:val="24"/>
        </w:rPr>
        <w:t>dyrektywą NIS</w:t>
      </w:r>
      <w:r w:rsidR="000C371B" w:rsidRPr="00833C88">
        <w:rPr>
          <w:rFonts w:cs="Times New Roman"/>
          <w:sz w:val="24"/>
          <w:szCs w:val="24"/>
        </w:rPr>
        <w:t xml:space="preserve"> </w:t>
      </w:r>
      <w:r w:rsidR="00DA2850" w:rsidRPr="00833C88">
        <w:rPr>
          <w:rFonts w:cs="Times New Roman"/>
          <w:sz w:val="24"/>
          <w:szCs w:val="24"/>
        </w:rPr>
        <w:t xml:space="preserve">2 </w:t>
      </w:r>
      <w:r w:rsidR="000C371B" w:rsidRPr="00833C88">
        <w:rPr>
          <w:rFonts w:cs="Times New Roman"/>
          <w:sz w:val="24"/>
          <w:szCs w:val="24"/>
        </w:rPr>
        <w:t>p</w:t>
      </w:r>
      <w:r w:rsidR="00DA2850" w:rsidRPr="00833C88">
        <w:rPr>
          <w:rFonts w:cs="Times New Roman"/>
          <w:sz w:val="24"/>
          <w:szCs w:val="24"/>
        </w:rPr>
        <w:t xml:space="preserve">aństwa członkowskie Unii Europejskiej mają obowiązek przekazać liczbę podmiotów </w:t>
      </w:r>
      <w:r w:rsidR="00601933" w:rsidRPr="00833C88">
        <w:rPr>
          <w:rFonts w:cs="Times New Roman"/>
          <w:sz w:val="24"/>
          <w:szCs w:val="24"/>
        </w:rPr>
        <w:t>w </w:t>
      </w:r>
      <w:r w:rsidR="0076050E" w:rsidRPr="00833C88">
        <w:rPr>
          <w:rFonts w:cs="Times New Roman"/>
          <w:sz w:val="24"/>
          <w:szCs w:val="24"/>
        </w:rPr>
        <w:t xml:space="preserve">poszczególnych sektorach zidentyfikowanych </w:t>
      </w:r>
      <w:r w:rsidR="00601933" w:rsidRPr="00833C88">
        <w:rPr>
          <w:rFonts w:cs="Times New Roman"/>
          <w:sz w:val="24"/>
          <w:szCs w:val="24"/>
        </w:rPr>
        <w:t>w </w:t>
      </w:r>
      <w:r w:rsidR="0076050E" w:rsidRPr="00833C88">
        <w:rPr>
          <w:rFonts w:cs="Times New Roman"/>
          <w:sz w:val="24"/>
          <w:szCs w:val="24"/>
        </w:rPr>
        <w:t xml:space="preserve">danym państwie. Po raz pierwszy państwo członkowskie </w:t>
      </w:r>
      <w:r w:rsidR="00FF17E6" w:rsidRPr="00833C88">
        <w:rPr>
          <w:rFonts w:cs="Times New Roman"/>
          <w:sz w:val="24"/>
          <w:szCs w:val="24"/>
        </w:rPr>
        <w:t xml:space="preserve">Unii Europejskiej </w:t>
      </w:r>
      <w:r w:rsidR="0076050E" w:rsidRPr="00833C88">
        <w:rPr>
          <w:rFonts w:cs="Times New Roman"/>
          <w:sz w:val="24"/>
          <w:szCs w:val="24"/>
        </w:rPr>
        <w:t>musi</w:t>
      </w:r>
      <w:r w:rsidR="004734AD" w:rsidRPr="00833C88">
        <w:rPr>
          <w:rFonts w:cs="Times New Roman"/>
          <w:sz w:val="24"/>
          <w:szCs w:val="24"/>
        </w:rPr>
        <w:t>ało</w:t>
      </w:r>
      <w:r w:rsidR="0076050E" w:rsidRPr="00833C88">
        <w:rPr>
          <w:rFonts w:cs="Times New Roman"/>
          <w:sz w:val="24"/>
          <w:szCs w:val="24"/>
        </w:rPr>
        <w:t xml:space="preserve"> tego dokonać do </w:t>
      </w:r>
      <w:r w:rsidR="000C371B" w:rsidRPr="00833C88">
        <w:rPr>
          <w:rFonts w:cs="Times New Roman"/>
          <w:sz w:val="24"/>
          <w:szCs w:val="24"/>
        </w:rPr>
        <w:t xml:space="preserve">dnia </w:t>
      </w:r>
      <w:r w:rsidR="0076050E" w:rsidRPr="00833C88">
        <w:rPr>
          <w:rFonts w:cs="Times New Roman"/>
          <w:sz w:val="24"/>
          <w:szCs w:val="24"/>
        </w:rPr>
        <w:t xml:space="preserve">17 kwietnia 2025 r. </w:t>
      </w:r>
      <w:r w:rsidR="00601933" w:rsidRPr="00833C88">
        <w:rPr>
          <w:rFonts w:cs="Times New Roman"/>
          <w:sz w:val="24"/>
          <w:szCs w:val="24"/>
        </w:rPr>
        <w:t>W </w:t>
      </w:r>
      <w:r w:rsidR="0076050E" w:rsidRPr="00833C88">
        <w:rPr>
          <w:rFonts w:cs="Times New Roman"/>
          <w:sz w:val="24"/>
          <w:szCs w:val="24"/>
        </w:rPr>
        <w:t xml:space="preserve">przypadku zaś </w:t>
      </w:r>
      <w:r w:rsidR="00FA3352" w:rsidRPr="00833C88">
        <w:rPr>
          <w:rFonts w:cs="Times New Roman"/>
          <w:sz w:val="24"/>
          <w:szCs w:val="24"/>
        </w:rPr>
        <w:t xml:space="preserve">sektora infrastruktury cyfrowej państwa członkowskie mają obowiązek podać konkretne podmioty świadczące usługi. Niezbędny </w:t>
      </w:r>
      <w:r w:rsidR="000C371B" w:rsidRPr="00833C88">
        <w:rPr>
          <w:rFonts w:cs="Times New Roman"/>
          <w:sz w:val="24"/>
          <w:szCs w:val="24"/>
        </w:rPr>
        <w:t xml:space="preserve">jest </w:t>
      </w:r>
      <w:r w:rsidR="00FA3352" w:rsidRPr="00833C88">
        <w:rPr>
          <w:rFonts w:cs="Times New Roman"/>
          <w:sz w:val="24"/>
          <w:szCs w:val="24"/>
        </w:rPr>
        <w:t xml:space="preserve">więc mechanizm umożliwiający sprawną identyfikację podmiotów kluczowych </w:t>
      </w:r>
      <w:r w:rsidR="00601933" w:rsidRPr="00833C88">
        <w:rPr>
          <w:rFonts w:cs="Times New Roman"/>
          <w:sz w:val="24"/>
          <w:szCs w:val="24"/>
        </w:rPr>
        <w:t>i </w:t>
      </w:r>
      <w:r w:rsidR="00FA3352" w:rsidRPr="00833C88">
        <w:rPr>
          <w:rFonts w:cs="Times New Roman"/>
          <w:sz w:val="24"/>
          <w:szCs w:val="24"/>
        </w:rPr>
        <w:t>podmiotów ważnych</w:t>
      </w:r>
      <w:r w:rsidR="0047108B" w:rsidRPr="00833C88">
        <w:rPr>
          <w:rFonts w:cs="Times New Roman"/>
          <w:sz w:val="24"/>
          <w:szCs w:val="24"/>
        </w:rPr>
        <w:t>.</w:t>
      </w:r>
    </w:p>
    <w:p w14:paraId="3FB48055" w14:textId="548137D2" w:rsidR="00F05502" w:rsidRPr="00833C88" w:rsidRDefault="009535F6" w:rsidP="0029004E">
      <w:pPr>
        <w:spacing w:line="360" w:lineRule="auto"/>
        <w:jc w:val="both"/>
        <w:rPr>
          <w:rFonts w:cs="Times New Roman"/>
          <w:sz w:val="24"/>
          <w:szCs w:val="24"/>
        </w:rPr>
      </w:pPr>
      <w:r w:rsidRPr="00833C88">
        <w:rPr>
          <w:rFonts w:cs="Times New Roman"/>
          <w:sz w:val="24"/>
          <w:szCs w:val="24"/>
        </w:rPr>
        <w:t xml:space="preserve">Aby ułatwić identyfikację podmiotów kluczowych </w:t>
      </w:r>
      <w:r w:rsidR="00601933" w:rsidRPr="00833C88">
        <w:rPr>
          <w:rFonts w:cs="Times New Roman"/>
          <w:sz w:val="24"/>
          <w:szCs w:val="24"/>
        </w:rPr>
        <w:t>i </w:t>
      </w:r>
      <w:r w:rsidRPr="00833C88">
        <w:rPr>
          <w:rFonts w:cs="Times New Roman"/>
          <w:sz w:val="24"/>
          <w:szCs w:val="24"/>
        </w:rPr>
        <w:t xml:space="preserve">podmiotów ważnych wprowadzono </w:t>
      </w:r>
      <w:r w:rsidR="00295793" w:rsidRPr="00833C88">
        <w:rPr>
          <w:rFonts w:cs="Times New Roman"/>
          <w:sz w:val="24"/>
          <w:szCs w:val="24"/>
        </w:rPr>
        <w:t xml:space="preserve">obowiązek </w:t>
      </w:r>
      <w:proofErr w:type="spellStart"/>
      <w:r w:rsidR="00295793" w:rsidRPr="00833C88">
        <w:rPr>
          <w:rFonts w:cs="Times New Roman"/>
          <w:sz w:val="24"/>
          <w:szCs w:val="24"/>
        </w:rPr>
        <w:t>samorejestracji</w:t>
      </w:r>
      <w:proofErr w:type="spellEnd"/>
      <w:r w:rsidR="00295793" w:rsidRPr="00833C88">
        <w:rPr>
          <w:rFonts w:cs="Times New Roman"/>
          <w:sz w:val="24"/>
          <w:szCs w:val="24"/>
        </w:rPr>
        <w:t xml:space="preserve"> tych podmiotów. Rejestracja będzie dokonywała się </w:t>
      </w:r>
      <w:r w:rsidR="00601933" w:rsidRPr="00833C88">
        <w:rPr>
          <w:rFonts w:cs="Times New Roman"/>
          <w:sz w:val="24"/>
          <w:szCs w:val="24"/>
        </w:rPr>
        <w:t>w </w:t>
      </w:r>
      <w:r w:rsidR="00327546" w:rsidRPr="00833C88">
        <w:rPr>
          <w:rFonts w:cs="Times New Roman"/>
          <w:sz w:val="24"/>
          <w:szCs w:val="24"/>
        </w:rPr>
        <w:t xml:space="preserve">wykazie </w:t>
      </w:r>
      <w:r w:rsidR="00327546" w:rsidRPr="00833C88">
        <w:rPr>
          <w:rFonts w:cs="Times New Roman"/>
          <w:sz w:val="24"/>
          <w:szCs w:val="24"/>
        </w:rPr>
        <w:lastRenderedPageBreak/>
        <w:t xml:space="preserve">podmiotów kluczowych </w:t>
      </w:r>
      <w:r w:rsidR="00601933" w:rsidRPr="00833C88">
        <w:rPr>
          <w:rFonts w:cs="Times New Roman"/>
          <w:sz w:val="24"/>
          <w:szCs w:val="24"/>
        </w:rPr>
        <w:t>i </w:t>
      </w:r>
      <w:r w:rsidR="00D30F49" w:rsidRPr="00833C88">
        <w:rPr>
          <w:rFonts w:cs="Times New Roman"/>
          <w:sz w:val="24"/>
          <w:szCs w:val="24"/>
        </w:rPr>
        <w:t xml:space="preserve">podmiotów </w:t>
      </w:r>
      <w:r w:rsidR="00327546" w:rsidRPr="00833C88">
        <w:rPr>
          <w:rFonts w:cs="Times New Roman"/>
          <w:sz w:val="24"/>
          <w:szCs w:val="24"/>
        </w:rPr>
        <w:t>ważnych</w:t>
      </w:r>
      <w:r w:rsidR="00C63253" w:rsidRPr="00833C88">
        <w:rPr>
          <w:rFonts w:cs="Times New Roman"/>
          <w:sz w:val="24"/>
          <w:szCs w:val="24"/>
        </w:rPr>
        <w:t>.</w:t>
      </w:r>
      <w:r w:rsidR="00B50A3A" w:rsidRPr="00833C88">
        <w:rPr>
          <w:rFonts w:cs="Times New Roman"/>
          <w:sz w:val="24"/>
          <w:szCs w:val="24"/>
        </w:rPr>
        <w:t xml:space="preserve"> </w:t>
      </w:r>
      <w:r w:rsidR="0013142F" w:rsidRPr="00833C88">
        <w:rPr>
          <w:rFonts w:cs="Times New Roman"/>
          <w:sz w:val="24"/>
          <w:szCs w:val="24"/>
        </w:rPr>
        <w:t xml:space="preserve">Regulacja ta zastąpi dotychczasowe przepisy </w:t>
      </w:r>
      <w:r w:rsidR="00601933" w:rsidRPr="00833C88">
        <w:rPr>
          <w:rFonts w:cs="Times New Roman"/>
          <w:sz w:val="24"/>
          <w:szCs w:val="24"/>
        </w:rPr>
        <w:t>o </w:t>
      </w:r>
      <w:r w:rsidR="0013142F" w:rsidRPr="00833C88">
        <w:rPr>
          <w:rFonts w:cs="Times New Roman"/>
          <w:sz w:val="24"/>
          <w:szCs w:val="24"/>
        </w:rPr>
        <w:t>wykazie operatorów usług kluczowych.</w:t>
      </w:r>
    </w:p>
    <w:p w14:paraId="76C55E87" w14:textId="7728F781" w:rsidR="000E7F0D" w:rsidRPr="00833C88" w:rsidRDefault="00B225C0" w:rsidP="0029004E">
      <w:pPr>
        <w:spacing w:line="360" w:lineRule="auto"/>
        <w:jc w:val="both"/>
        <w:rPr>
          <w:rFonts w:cs="Times New Roman"/>
          <w:sz w:val="24"/>
          <w:szCs w:val="24"/>
        </w:rPr>
      </w:pPr>
      <w:r w:rsidRPr="00833C88">
        <w:rPr>
          <w:rFonts w:cs="Times New Roman"/>
          <w:sz w:val="24"/>
          <w:szCs w:val="24"/>
        </w:rPr>
        <w:t>Wykaz</w:t>
      </w:r>
      <w:r w:rsidR="00293DB0" w:rsidRPr="00833C88">
        <w:rPr>
          <w:rFonts w:cs="Times New Roman"/>
          <w:sz w:val="24"/>
          <w:szCs w:val="24"/>
        </w:rPr>
        <w:t xml:space="preserve"> </w:t>
      </w:r>
      <w:r w:rsidR="00B47887" w:rsidRPr="00833C88">
        <w:rPr>
          <w:rFonts w:cs="Times New Roman"/>
          <w:sz w:val="24"/>
          <w:szCs w:val="24"/>
        </w:rPr>
        <w:t>b</w:t>
      </w:r>
      <w:r w:rsidR="00B50A3A" w:rsidRPr="00833C88">
        <w:rPr>
          <w:rFonts w:cs="Times New Roman"/>
          <w:sz w:val="24"/>
          <w:szCs w:val="24"/>
        </w:rPr>
        <w:t>ędzie zawierał wszystkie informacje niezbędne do skutecznego nadzoru nad tymi</w:t>
      </w:r>
      <w:r w:rsidR="00D06E1A" w:rsidRPr="00833C88">
        <w:rPr>
          <w:rFonts w:cs="Times New Roman"/>
          <w:sz w:val="24"/>
          <w:szCs w:val="24"/>
        </w:rPr>
        <w:t xml:space="preserve"> podmiotami. </w:t>
      </w:r>
      <w:r w:rsidR="000E7F0D" w:rsidRPr="00833C88">
        <w:rPr>
          <w:rFonts w:cs="Times New Roman"/>
          <w:sz w:val="24"/>
          <w:szCs w:val="24"/>
        </w:rPr>
        <w:t>Przede wszystkim będą to dane identyfikujące podmiot – nazwa (firma) podmiotu, sektor</w:t>
      </w:r>
      <w:r w:rsidR="00A81012" w:rsidRPr="00833C88">
        <w:rPr>
          <w:rFonts w:cs="Times New Roman"/>
          <w:sz w:val="24"/>
          <w:szCs w:val="24"/>
        </w:rPr>
        <w:t xml:space="preserve">, podsektor </w:t>
      </w:r>
      <w:r w:rsidR="00601933" w:rsidRPr="00833C88">
        <w:rPr>
          <w:rFonts w:cs="Times New Roman"/>
          <w:sz w:val="24"/>
          <w:szCs w:val="24"/>
        </w:rPr>
        <w:t>i </w:t>
      </w:r>
      <w:r w:rsidR="00A81012" w:rsidRPr="00833C88">
        <w:rPr>
          <w:rFonts w:cs="Times New Roman"/>
          <w:sz w:val="24"/>
          <w:szCs w:val="24"/>
        </w:rPr>
        <w:t xml:space="preserve">rodzaj </w:t>
      </w:r>
      <w:r w:rsidR="00095268" w:rsidRPr="00833C88">
        <w:rPr>
          <w:rFonts w:cs="Times New Roman"/>
          <w:sz w:val="24"/>
          <w:szCs w:val="24"/>
        </w:rPr>
        <w:t>lub rodzaje</w:t>
      </w:r>
      <w:r w:rsidR="00A81012" w:rsidRPr="00833C88">
        <w:rPr>
          <w:rFonts w:cs="Times New Roman"/>
          <w:sz w:val="24"/>
          <w:szCs w:val="24"/>
        </w:rPr>
        <w:t xml:space="preserve"> podmiotu, zgodnie </w:t>
      </w:r>
      <w:r w:rsidR="00601933" w:rsidRPr="00833C88">
        <w:rPr>
          <w:rFonts w:cs="Times New Roman"/>
          <w:sz w:val="24"/>
          <w:szCs w:val="24"/>
        </w:rPr>
        <w:t>z </w:t>
      </w:r>
      <w:r w:rsidR="00A81012" w:rsidRPr="00833C88">
        <w:rPr>
          <w:rFonts w:cs="Times New Roman"/>
          <w:sz w:val="24"/>
          <w:szCs w:val="24"/>
        </w:rPr>
        <w:t>załącznik</w:t>
      </w:r>
      <w:r w:rsidR="00584526" w:rsidRPr="00833C88">
        <w:rPr>
          <w:rFonts w:cs="Times New Roman"/>
          <w:sz w:val="24"/>
          <w:szCs w:val="24"/>
        </w:rPr>
        <w:t>iem nr 1 lub 2</w:t>
      </w:r>
      <w:r w:rsidR="00A81012" w:rsidRPr="00833C88">
        <w:rPr>
          <w:rFonts w:cs="Times New Roman"/>
          <w:sz w:val="24"/>
          <w:szCs w:val="24"/>
        </w:rPr>
        <w:t xml:space="preserve"> do </w:t>
      </w:r>
      <w:r w:rsidR="001D1B59" w:rsidRPr="00833C88">
        <w:rPr>
          <w:rFonts w:cs="Times New Roman"/>
          <w:sz w:val="24"/>
          <w:szCs w:val="24"/>
        </w:rPr>
        <w:t xml:space="preserve">ustawy </w:t>
      </w:r>
      <w:r w:rsidR="00601933" w:rsidRPr="00833C88">
        <w:rPr>
          <w:rFonts w:cs="Times New Roman"/>
          <w:sz w:val="24"/>
          <w:szCs w:val="24"/>
        </w:rPr>
        <w:t>o </w:t>
      </w:r>
      <w:r w:rsidR="001D1B59" w:rsidRPr="00833C88">
        <w:rPr>
          <w:rFonts w:cs="Times New Roman"/>
          <w:sz w:val="24"/>
          <w:szCs w:val="24"/>
        </w:rPr>
        <w:t>KSC</w:t>
      </w:r>
      <w:r w:rsidR="00A81012" w:rsidRPr="00833C88">
        <w:rPr>
          <w:rFonts w:cs="Times New Roman"/>
          <w:sz w:val="24"/>
          <w:szCs w:val="24"/>
        </w:rPr>
        <w:t xml:space="preserve">, siedzibę </w:t>
      </w:r>
      <w:r w:rsidR="00601933" w:rsidRPr="00833C88">
        <w:rPr>
          <w:rFonts w:cs="Times New Roman"/>
          <w:sz w:val="24"/>
          <w:szCs w:val="24"/>
        </w:rPr>
        <w:t>i </w:t>
      </w:r>
      <w:r w:rsidR="00A81012" w:rsidRPr="00833C88">
        <w:rPr>
          <w:rFonts w:cs="Times New Roman"/>
          <w:sz w:val="24"/>
          <w:szCs w:val="24"/>
        </w:rPr>
        <w:t>adres do korespondencji</w:t>
      </w:r>
      <w:r w:rsidR="00B31FA3" w:rsidRPr="00833C88">
        <w:rPr>
          <w:rFonts w:cs="Times New Roman"/>
          <w:sz w:val="24"/>
          <w:szCs w:val="24"/>
        </w:rPr>
        <w:t>, adres do doręczeń elektronicznych, jeżeli został nadany, adres poczty elektronicznej</w:t>
      </w:r>
      <w:r w:rsidR="006214CD" w:rsidRPr="00833C88">
        <w:rPr>
          <w:rFonts w:cs="Times New Roman"/>
          <w:sz w:val="24"/>
          <w:szCs w:val="24"/>
        </w:rPr>
        <w:t>, numer identyfikacji podatkowej</w:t>
      </w:r>
      <w:r w:rsidR="00FF17E6" w:rsidRPr="00833C88">
        <w:rPr>
          <w:rFonts w:cs="Times New Roman"/>
          <w:sz w:val="24"/>
          <w:szCs w:val="24"/>
        </w:rPr>
        <w:t xml:space="preserve"> (NIP)</w:t>
      </w:r>
      <w:r w:rsidR="006214CD" w:rsidRPr="00833C88">
        <w:rPr>
          <w:rFonts w:cs="Times New Roman"/>
          <w:sz w:val="24"/>
          <w:szCs w:val="24"/>
        </w:rPr>
        <w:t xml:space="preserve">, numer </w:t>
      </w:r>
      <w:r w:rsidR="00FF17E6" w:rsidRPr="00833C88">
        <w:rPr>
          <w:rFonts w:cs="Times New Roman"/>
        </w:rPr>
        <w:t>w krajowym rejestrze urzędowym podmiotów gospodarki narodowej (</w:t>
      </w:r>
      <w:r w:rsidR="006214CD" w:rsidRPr="00833C88">
        <w:rPr>
          <w:rFonts w:cs="Times New Roman"/>
          <w:sz w:val="24"/>
          <w:szCs w:val="24"/>
        </w:rPr>
        <w:t>REGON</w:t>
      </w:r>
      <w:r w:rsidR="00FF17E6" w:rsidRPr="00833C88">
        <w:rPr>
          <w:rFonts w:cs="Times New Roman"/>
          <w:sz w:val="24"/>
          <w:szCs w:val="24"/>
        </w:rPr>
        <w:t>)</w:t>
      </w:r>
      <w:r w:rsidR="006214CD" w:rsidRPr="00833C88">
        <w:rPr>
          <w:rFonts w:cs="Times New Roman"/>
          <w:sz w:val="24"/>
          <w:szCs w:val="24"/>
        </w:rPr>
        <w:t xml:space="preserve"> oraz </w:t>
      </w:r>
      <w:r w:rsidR="00CD628C" w:rsidRPr="00833C88">
        <w:rPr>
          <w:rFonts w:cs="Times New Roman"/>
          <w:sz w:val="24"/>
          <w:szCs w:val="24"/>
        </w:rPr>
        <w:t>numer we</w:t>
      </w:r>
      <w:r w:rsidR="00031FDA" w:rsidRPr="00833C88">
        <w:rPr>
          <w:rFonts w:cs="Times New Roman"/>
          <w:sz w:val="24"/>
          <w:szCs w:val="24"/>
        </w:rPr>
        <w:t> </w:t>
      </w:r>
      <w:r w:rsidR="00CD628C" w:rsidRPr="00833C88">
        <w:rPr>
          <w:rFonts w:cs="Times New Roman"/>
          <w:sz w:val="24"/>
          <w:szCs w:val="24"/>
        </w:rPr>
        <w:t xml:space="preserve">właściwym rejestrze działalności regulowanej. </w:t>
      </w:r>
    </w:p>
    <w:p w14:paraId="3E77CBCF" w14:textId="692D57E9" w:rsidR="002A2675" w:rsidRPr="00833C88" w:rsidRDefault="00D06E1A" w:rsidP="00FF17E6">
      <w:pPr>
        <w:spacing w:after="0" w:line="360" w:lineRule="auto"/>
        <w:jc w:val="both"/>
        <w:rPr>
          <w:rFonts w:cs="Times New Roman"/>
          <w:sz w:val="24"/>
          <w:szCs w:val="24"/>
        </w:rPr>
      </w:pPr>
      <w:r w:rsidRPr="00833C88">
        <w:rPr>
          <w:rFonts w:cs="Times New Roman"/>
          <w:sz w:val="24"/>
          <w:szCs w:val="24"/>
        </w:rPr>
        <w:t xml:space="preserve">Oprócz samych danych identyfikujących </w:t>
      </w:r>
      <w:r w:rsidR="00014393" w:rsidRPr="00833C88">
        <w:rPr>
          <w:rFonts w:cs="Times New Roman"/>
          <w:sz w:val="24"/>
          <w:szCs w:val="24"/>
        </w:rPr>
        <w:t xml:space="preserve">będą </w:t>
      </w:r>
      <w:r w:rsidR="00601933" w:rsidRPr="00833C88">
        <w:rPr>
          <w:rFonts w:cs="Times New Roman"/>
          <w:sz w:val="24"/>
          <w:szCs w:val="24"/>
        </w:rPr>
        <w:t>w </w:t>
      </w:r>
      <w:r w:rsidR="00014393" w:rsidRPr="00833C88">
        <w:rPr>
          <w:rFonts w:cs="Times New Roman"/>
          <w:sz w:val="24"/>
          <w:szCs w:val="24"/>
        </w:rPr>
        <w:t>nim zawarte informacje takie jak</w:t>
      </w:r>
      <w:r w:rsidR="00BE6476" w:rsidRPr="00833C88">
        <w:rPr>
          <w:rFonts w:cs="Times New Roman"/>
          <w:sz w:val="24"/>
          <w:szCs w:val="24"/>
        </w:rPr>
        <w:t>:</w:t>
      </w:r>
    </w:p>
    <w:p w14:paraId="72E1C21F" w14:textId="6A8DCA8F" w:rsidR="00372DBC" w:rsidRPr="00833C88" w:rsidRDefault="00806A08" w:rsidP="00FF17E6">
      <w:pPr>
        <w:pStyle w:val="Akapitzlist"/>
        <w:numPr>
          <w:ilvl w:val="0"/>
          <w:numId w:val="8"/>
        </w:numPr>
        <w:spacing w:after="0" w:line="360" w:lineRule="auto"/>
        <w:contextualSpacing w:val="0"/>
        <w:jc w:val="both"/>
        <w:rPr>
          <w:rFonts w:cs="Times New Roman"/>
          <w:sz w:val="24"/>
          <w:szCs w:val="24"/>
        </w:rPr>
      </w:pPr>
      <w:r w:rsidRPr="00833C88">
        <w:rPr>
          <w:rFonts w:cs="Times New Roman"/>
          <w:sz w:val="24"/>
          <w:szCs w:val="24"/>
        </w:rPr>
        <w:t>z</w:t>
      </w:r>
      <w:r w:rsidR="00372DBC" w:rsidRPr="00833C88">
        <w:rPr>
          <w:rFonts w:cs="Times New Roman"/>
          <w:sz w:val="24"/>
          <w:szCs w:val="24"/>
        </w:rPr>
        <w:t>akres</w:t>
      </w:r>
      <w:r w:rsidR="008F2FAB" w:rsidRPr="00833C88">
        <w:rPr>
          <w:rFonts w:cs="Times New Roman"/>
          <w:sz w:val="24"/>
          <w:szCs w:val="24"/>
        </w:rPr>
        <w:t xml:space="preserve"> publicznych</w:t>
      </w:r>
      <w:r w:rsidR="00372DBC" w:rsidRPr="00833C88">
        <w:rPr>
          <w:rFonts w:cs="Times New Roman"/>
          <w:sz w:val="24"/>
          <w:szCs w:val="24"/>
        </w:rPr>
        <w:t xml:space="preserve"> adresów IP wykorzystywanych prze</w:t>
      </w:r>
      <w:r w:rsidR="00641241" w:rsidRPr="00833C88">
        <w:rPr>
          <w:rFonts w:cs="Times New Roman"/>
          <w:sz w:val="24"/>
          <w:szCs w:val="24"/>
        </w:rPr>
        <w:t>z podmiot</w:t>
      </w:r>
      <w:r w:rsidR="00466AAF" w:rsidRPr="00833C88">
        <w:rPr>
          <w:rFonts w:cs="Times New Roman"/>
          <w:sz w:val="24"/>
          <w:szCs w:val="24"/>
        </w:rPr>
        <w:t xml:space="preserve"> wykorzystywanych </w:t>
      </w:r>
      <w:r w:rsidR="00601933" w:rsidRPr="00833C88">
        <w:rPr>
          <w:rFonts w:cs="Times New Roman"/>
          <w:sz w:val="24"/>
          <w:szCs w:val="24"/>
        </w:rPr>
        <w:t>w </w:t>
      </w:r>
      <w:r w:rsidR="00F60AB1" w:rsidRPr="00833C88">
        <w:rPr>
          <w:rFonts w:cs="Times New Roman"/>
          <w:sz w:val="24"/>
          <w:szCs w:val="24"/>
        </w:rPr>
        <w:t>sposób ciągły</w:t>
      </w:r>
      <w:r w:rsidR="000E4931" w:rsidRPr="00833C88">
        <w:rPr>
          <w:rStyle w:val="Odwoanieprzypisudolnego"/>
          <w:rFonts w:cs="Times New Roman"/>
          <w:sz w:val="24"/>
          <w:szCs w:val="24"/>
        </w:rPr>
        <w:footnoteReference w:id="16"/>
      </w:r>
      <w:r w:rsidR="007918A4" w:rsidRPr="00833C88">
        <w:rPr>
          <w:rFonts w:cs="Times New Roman"/>
          <w:sz w:val="24"/>
          <w:szCs w:val="24"/>
          <w:vertAlign w:val="superscript"/>
        </w:rPr>
        <w:t>)</w:t>
      </w:r>
      <w:r w:rsidR="000C371B" w:rsidRPr="00833C88">
        <w:rPr>
          <w:rFonts w:cs="Times New Roman"/>
          <w:sz w:val="24"/>
          <w:szCs w:val="24"/>
        </w:rPr>
        <w:t>;</w:t>
      </w:r>
    </w:p>
    <w:p w14:paraId="73815DE0" w14:textId="5CA0B267" w:rsidR="00D557DA" w:rsidRPr="00833C88" w:rsidRDefault="00D557DA" w:rsidP="00FF17E6">
      <w:pPr>
        <w:pStyle w:val="Akapitzlist"/>
        <w:numPr>
          <w:ilvl w:val="0"/>
          <w:numId w:val="8"/>
        </w:numPr>
        <w:spacing w:after="0" w:line="360" w:lineRule="auto"/>
        <w:contextualSpacing w:val="0"/>
        <w:jc w:val="both"/>
        <w:rPr>
          <w:rFonts w:cs="Times New Roman"/>
          <w:sz w:val="24"/>
          <w:szCs w:val="24"/>
        </w:rPr>
      </w:pPr>
      <w:r w:rsidRPr="00833C88">
        <w:rPr>
          <w:rFonts w:cs="Times New Roman"/>
          <w:sz w:val="24"/>
          <w:szCs w:val="24"/>
        </w:rPr>
        <w:t xml:space="preserve">zakres nazw domen </w:t>
      </w:r>
      <w:r w:rsidR="000E4931" w:rsidRPr="00833C88">
        <w:rPr>
          <w:rFonts w:cs="Times New Roman"/>
          <w:sz w:val="24"/>
          <w:szCs w:val="24"/>
        </w:rPr>
        <w:t xml:space="preserve">wykorzystywane </w:t>
      </w:r>
      <w:r w:rsidRPr="00833C88">
        <w:rPr>
          <w:rFonts w:cs="Times New Roman"/>
          <w:sz w:val="24"/>
          <w:szCs w:val="24"/>
        </w:rPr>
        <w:t>przez ten podmiot</w:t>
      </w:r>
      <w:r w:rsidR="000E4931" w:rsidRPr="00833C88">
        <w:rPr>
          <w:rFonts w:cs="Times New Roman"/>
          <w:sz w:val="24"/>
          <w:szCs w:val="24"/>
        </w:rPr>
        <w:t xml:space="preserve"> </w:t>
      </w:r>
      <w:r w:rsidR="00601933" w:rsidRPr="00833C88">
        <w:rPr>
          <w:rFonts w:cs="Times New Roman"/>
          <w:sz w:val="24"/>
          <w:szCs w:val="24"/>
        </w:rPr>
        <w:t>w </w:t>
      </w:r>
      <w:r w:rsidR="000E4931" w:rsidRPr="00833C88">
        <w:rPr>
          <w:rFonts w:cs="Times New Roman"/>
          <w:sz w:val="24"/>
          <w:szCs w:val="24"/>
        </w:rPr>
        <w:t>sposób ciągły</w:t>
      </w:r>
      <w:r w:rsidRPr="00833C88">
        <w:rPr>
          <w:rFonts w:cs="Times New Roman"/>
          <w:sz w:val="24"/>
          <w:szCs w:val="24"/>
        </w:rPr>
        <w:t>;</w:t>
      </w:r>
    </w:p>
    <w:p w14:paraId="44FB59E7" w14:textId="520CA3C3" w:rsidR="00D557DA" w:rsidRPr="00833C88" w:rsidRDefault="00D557DA" w:rsidP="00FF17E6">
      <w:pPr>
        <w:pStyle w:val="Akapitzlist"/>
        <w:numPr>
          <w:ilvl w:val="0"/>
          <w:numId w:val="8"/>
        </w:numPr>
        <w:spacing w:after="0" w:line="360" w:lineRule="auto"/>
        <w:contextualSpacing w:val="0"/>
        <w:jc w:val="both"/>
        <w:rPr>
          <w:rFonts w:cs="Times New Roman"/>
          <w:sz w:val="24"/>
          <w:szCs w:val="24"/>
        </w:rPr>
      </w:pPr>
      <w:r w:rsidRPr="00833C88">
        <w:rPr>
          <w:rFonts w:cs="Times New Roman"/>
          <w:sz w:val="24"/>
          <w:szCs w:val="24"/>
        </w:rPr>
        <w:t xml:space="preserve">dane osób do kontaktu </w:t>
      </w:r>
      <w:r w:rsidR="00601933" w:rsidRPr="00833C88">
        <w:rPr>
          <w:rFonts w:cs="Times New Roman"/>
          <w:sz w:val="24"/>
          <w:szCs w:val="24"/>
        </w:rPr>
        <w:t>z </w:t>
      </w:r>
      <w:r w:rsidRPr="00833C88">
        <w:rPr>
          <w:rFonts w:cs="Times New Roman"/>
          <w:sz w:val="24"/>
          <w:szCs w:val="24"/>
        </w:rPr>
        <w:t xml:space="preserve">podmiotami krajowego systemu cyberbezpieczeństwa zawierające imię </w:t>
      </w:r>
      <w:r w:rsidR="00601933" w:rsidRPr="00833C88">
        <w:rPr>
          <w:rFonts w:cs="Times New Roman"/>
          <w:sz w:val="24"/>
          <w:szCs w:val="24"/>
        </w:rPr>
        <w:t>i </w:t>
      </w:r>
      <w:r w:rsidRPr="00833C88">
        <w:rPr>
          <w:rFonts w:cs="Times New Roman"/>
          <w:sz w:val="24"/>
          <w:szCs w:val="24"/>
        </w:rPr>
        <w:t xml:space="preserve">nazwisko, numer telefonu </w:t>
      </w:r>
      <w:r w:rsidR="00FF17E6" w:rsidRPr="00833C88">
        <w:rPr>
          <w:rFonts w:cs="Times New Roman"/>
          <w:sz w:val="24"/>
          <w:szCs w:val="24"/>
        </w:rPr>
        <w:t xml:space="preserve">służbowego </w:t>
      </w:r>
      <w:r w:rsidRPr="00833C88">
        <w:rPr>
          <w:rFonts w:cs="Times New Roman"/>
          <w:sz w:val="24"/>
          <w:szCs w:val="24"/>
        </w:rPr>
        <w:t xml:space="preserve">oraz adres </w:t>
      </w:r>
      <w:r w:rsidR="00FF17E6" w:rsidRPr="00833C88">
        <w:rPr>
          <w:rFonts w:cs="Times New Roman"/>
          <w:sz w:val="24"/>
          <w:szCs w:val="24"/>
        </w:rPr>
        <w:t xml:space="preserve">służbowej </w:t>
      </w:r>
      <w:r w:rsidRPr="00833C88">
        <w:rPr>
          <w:rFonts w:cs="Times New Roman"/>
          <w:sz w:val="24"/>
          <w:szCs w:val="24"/>
        </w:rPr>
        <w:t>poczty elektronicznej</w:t>
      </w:r>
      <w:r w:rsidR="00826080" w:rsidRPr="00833C88">
        <w:rPr>
          <w:rFonts w:cs="Times New Roman"/>
          <w:sz w:val="24"/>
          <w:szCs w:val="24"/>
        </w:rPr>
        <w:t xml:space="preserve"> (</w:t>
      </w:r>
      <w:r w:rsidR="00601933" w:rsidRPr="00833C88">
        <w:rPr>
          <w:rFonts w:cs="Times New Roman"/>
          <w:sz w:val="24"/>
          <w:szCs w:val="24"/>
        </w:rPr>
        <w:t>w </w:t>
      </w:r>
      <w:r w:rsidR="00826080" w:rsidRPr="00833C88">
        <w:rPr>
          <w:rFonts w:cs="Times New Roman"/>
          <w:sz w:val="24"/>
          <w:szCs w:val="24"/>
        </w:rPr>
        <w:t xml:space="preserve">przypadku </w:t>
      </w:r>
      <w:r w:rsidR="00E94ABD" w:rsidRPr="00833C88">
        <w:rPr>
          <w:rFonts w:cs="Times New Roman"/>
          <w:sz w:val="24"/>
          <w:szCs w:val="24"/>
        </w:rPr>
        <w:t xml:space="preserve">mikro </w:t>
      </w:r>
      <w:r w:rsidR="00601933" w:rsidRPr="00833C88">
        <w:rPr>
          <w:rFonts w:cs="Times New Roman"/>
          <w:sz w:val="24"/>
          <w:szCs w:val="24"/>
        </w:rPr>
        <w:t>i </w:t>
      </w:r>
      <w:r w:rsidR="00E94ABD" w:rsidRPr="00833C88">
        <w:rPr>
          <w:rFonts w:cs="Times New Roman"/>
          <w:sz w:val="24"/>
          <w:szCs w:val="24"/>
        </w:rPr>
        <w:t>małych przedsiębiorców – jednej osoby)</w:t>
      </w:r>
      <w:r w:rsidR="000D1F49" w:rsidRPr="00833C88">
        <w:rPr>
          <w:rFonts w:cs="Times New Roman"/>
          <w:sz w:val="24"/>
          <w:szCs w:val="24"/>
        </w:rPr>
        <w:t>;</w:t>
      </w:r>
    </w:p>
    <w:p w14:paraId="79B4D2C0" w14:textId="302D08EB" w:rsidR="00D557DA" w:rsidRPr="00833C88" w:rsidRDefault="00D557DA" w:rsidP="00FF17E6">
      <w:pPr>
        <w:pStyle w:val="Akapitzlist"/>
        <w:numPr>
          <w:ilvl w:val="0"/>
          <w:numId w:val="8"/>
        </w:numPr>
        <w:spacing w:after="0" w:line="360" w:lineRule="auto"/>
        <w:contextualSpacing w:val="0"/>
        <w:jc w:val="both"/>
        <w:rPr>
          <w:rFonts w:cs="Times New Roman"/>
          <w:sz w:val="24"/>
          <w:szCs w:val="24"/>
        </w:rPr>
      </w:pPr>
      <w:r w:rsidRPr="00833C88">
        <w:rPr>
          <w:rFonts w:cs="Times New Roman"/>
          <w:sz w:val="24"/>
          <w:szCs w:val="24"/>
        </w:rPr>
        <w:t>numer telefonu przyporządkowany do wykonywanej działalności;</w:t>
      </w:r>
    </w:p>
    <w:p w14:paraId="2905F5CE" w14:textId="4AA1B650" w:rsidR="00D557DA" w:rsidRPr="00833C88" w:rsidRDefault="00D557DA" w:rsidP="00FF17E6">
      <w:pPr>
        <w:pStyle w:val="Akapitzlist"/>
        <w:numPr>
          <w:ilvl w:val="0"/>
          <w:numId w:val="8"/>
        </w:numPr>
        <w:spacing w:after="0" w:line="360" w:lineRule="auto"/>
        <w:contextualSpacing w:val="0"/>
        <w:jc w:val="both"/>
        <w:rPr>
          <w:rFonts w:cs="Times New Roman"/>
          <w:sz w:val="24"/>
          <w:szCs w:val="24"/>
        </w:rPr>
      </w:pPr>
      <w:r w:rsidRPr="00833C88">
        <w:rPr>
          <w:rFonts w:cs="Times New Roman"/>
          <w:sz w:val="24"/>
          <w:szCs w:val="24"/>
        </w:rPr>
        <w:t>deklarację podmiotu</w:t>
      </w:r>
      <w:r w:rsidR="00FF17E6" w:rsidRPr="00833C88">
        <w:rPr>
          <w:rFonts w:cs="Times New Roman"/>
          <w:sz w:val="24"/>
          <w:szCs w:val="24"/>
        </w:rPr>
        <w:t>,</w:t>
      </w:r>
      <w:r w:rsidRPr="00833C88">
        <w:rPr>
          <w:rFonts w:cs="Times New Roman"/>
          <w:sz w:val="24"/>
          <w:szCs w:val="24"/>
        </w:rPr>
        <w:t xml:space="preserve"> czy spełnia kryteria </w:t>
      </w:r>
      <w:proofErr w:type="spellStart"/>
      <w:r w:rsidRPr="00833C88">
        <w:rPr>
          <w:rFonts w:cs="Times New Roman"/>
          <w:sz w:val="24"/>
          <w:szCs w:val="24"/>
        </w:rPr>
        <w:t>mikroprzedsiębiorcy</w:t>
      </w:r>
      <w:proofErr w:type="spellEnd"/>
      <w:r w:rsidRPr="00833C88">
        <w:rPr>
          <w:rFonts w:cs="Times New Roman"/>
          <w:sz w:val="24"/>
          <w:szCs w:val="24"/>
        </w:rPr>
        <w:t>, małego przedsiębiorcy</w:t>
      </w:r>
      <w:r w:rsidR="00D35267" w:rsidRPr="00833C88">
        <w:rPr>
          <w:rFonts w:cs="Times New Roman"/>
          <w:sz w:val="24"/>
          <w:szCs w:val="24"/>
        </w:rPr>
        <w:t>,</w:t>
      </w:r>
      <w:r w:rsidRPr="00833C88">
        <w:rPr>
          <w:rFonts w:cs="Times New Roman"/>
          <w:sz w:val="24"/>
          <w:szCs w:val="24"/>
        </w:rPr>
        <w:t xml:space="preserve"> średniego przedsiębiorcy</w:t>
      </w:r>
      <w:r w:rsidR="00D35267" w:rsidRPr="00833C88">
        <w:rPr>
          <w:rFonts w:cs="Times New Roman"/>
          <w:sz w:val="24"/>
          <w:szCs w:val="24"/>
        </w:rPr>
        <w:t xml:space="preserve"> lub przewyższa te progi</w:t>
      </w:r>
      <w:r w:rsidRPr="00833C88">
        <w:rPr>
          <w:rFonts w:cs="Times New Roman"/>
          <w:sz w:val="24"/>
          <w:szCs w:val="24"/>
        </w:rPr>
        <w:t>;</w:t>
      </w:r>
    </w:p>
    <w:p w14:paraId="64B3A298" w14:textId="5ACAE022" w:rsidR="00D557DA" w:rsidRPr="00833C88" w:rsidRDefault="00D557DA" w:rsidP="00FF17E6">
      <w:pPr>
        <w:pStyle w:val="Akapitzlist"/>
        <w:numPr>
          <w:ilvl w:val="0"/>
          <w:numId w:val="8"/>
        </w:numPr>
        <w:spacing w:after="0" w:line="360" w:lineRule="auto"/>
        <w:contextualSpacing w:val="0"/>
        <w:jc w:val="both"/>
        <w:rPr>
          <w:rFonts w:cs="Times New Roman"/>
          <w:sz w:val="24"/>
          <w:szCs w:val="24"/>
        </w:rPr>
      </w:pPr>
      <w:r w:rsidRPr="00833C88">
        <w:rPr>
          <w:rFonts w:cs="Times New Roman"/>
          <w:sz w:val="24"/>
          <w:szCs w:val="24"/>
        </w:rPr>
        <w:t xml:space="preserve">informację określającą, </w:t>
      </w:r>
      <w:r w:rsidR="00601933" w:rsidRPr="00833C88">
        <w:rPr>
          <w:rFonts w:cs="Times New Roman"/>
          <w:sz w:val="24"/>
          <w:szCs w:val="24"/>
        </w:rPr>
        <w:t>w </w:t>
      </w:r>
      <w:r w:rsidRPr="00833C88">
        <w:rPr>
          <w:rFonts w:cs="Times New Roman"/>
          <w:sz w:val="24"/>
          <w:szCs w:val="24"/>
        </w:rPr>
        <w:t>których państwach członkowskich Unii Europejskiej podmiot wykonuje działalność</w:t>
      </w:r>
      <w:r w:rsidR="00FF17E6" w:rsidRPr="00833C88">
        <w:rPr>
          <w:rFonts w:cs="Times New Roman"/>
          <w:sz w:val="24"/>
          <w:szCs w:val="24"/>
        </w:rPr>
        <w:t>,</w:t>
      </w:r>
      <w:r w:rsidRPr="00833C88">
        <w:rPr>
          <w:rFonts w:cs="Times New Roman"/>
          <w:sz w:val="24"/>
          <w:szCs w:val="24"/>
        </w:rPr>
        <w:t xml:space="preserve"> wraz </w:t>
      </w:r>
      <w:r w:rsidR="00601933" w:rsidRPr="00833C88">
        <w:rPr>
          <w:rFonts w:cs="Times New Roman"/>
          <w:sz w:val="24"/>
          <w:szCs w:val="24"/>
        </w:rPr>
        <w:t>z </w:t>
      </w:r>
      <w:r w:rsidRPr="00833C88">
        <w:rPr>
          <w:rFonts w:cs="Times New Roman"/>
          <w:sz w:val="24"/>
          <w:szCs w:val="24"/>
        </w:rPr>
        <w:t>określeniem wykonywanej działalności;</w:t>
      </w:r>
    </w:p>
    <w:p w14:paraId="45FE9E17" w14:textId="02ACB969" w:rsidR="00FF17E6" w:rsidRPr="00833C88" w:rsidRDefault="00FF17E6" w:rsidP="00FF17E6">
      <w:pPr>
        <w:pStyle w:val="Akapitzlist"/>
        <w:numPr>
          <w:ilvl w:val="0"/>
          <w:numId w:val="8"/>
        </w:numPr>
        <w:spacing w:after="0" w:line="360" w:lineRule="auto"/>
        <w:contextualSpacing w:val="0"/>
        <w:jc w:val="both"/>
        <w:rPr>
          <w:rFonts w:cs="Times New Roman"/>
          <w:sz w:val="24"/>
          <w:szCs w:val="24"/>
        </w:rPr>
      </w:pPr>
      <w:r w:rsidRPr="00833C88">
        <w:rPr>
          <w:rFonts w:cs="Times New Roman"/>
          <w:sz w:val="24"/>
          <w:szCs w:val="24"/>
        </w:rPr>
        <w:t>w przypadku dostawcy usług DNS, rejestru nazw domen najwyższego poziomu (TLD), podmiotu świadczącego usługi rejestracji nazw domen, dostawcy chmury obliczeniowej, dostawcy usługi centrum przetwarzania danych, dostawcy sieci dostarczania treści, dostawcy usług zarządzanych, dostawcy usług zarządzanych w</w:t>
      </w:r>
      <w:r w:rsidR="004734AD" w:rsidRPr="00833C88">
        <w:rPr>
          <w:rFonts w:cs="Times New Roman"/>
          <w:sz w:val="24"/>
          <w:szCs w:val="24"/>
        </w:rPr>
        <w:t> </w:t>
      </w:r>
      <w:r w:rsidRPr="00833C88">
        <w:rPr>
          <w:rFonts w:cs="Times New Roman"/>
          <w:sz w:val="24"/>
          <w:szCs w:val="24"/>
        </w:rPr>
        <w:t>zakresie cyberbezpieczeństwa, dostawcy internetowej platformy handlowej, dostawcy wyszukiwarki internetowej oraz dostawcy platformy usług sieci społecznościowych –główne miejsce prowadzenia działalności ustalone zgodnie z art. 5a ust. 3–6;</w:t>
      </w:r>
    </w:p>
    <w:p w14:paraId="5657D460" w14:textId="5DFD76E7" w:rsidR="00BE6476" w:rsidRPr="00833C88" w:rsidRDefault="00D557DA">
      <w:pPr>
        <w:pStyle w:val="Akapitzlist"/>
        <w:numPr>
          <w:ilvl w:val="0"/>
          <w:numId w:val="8"/>
        </w:numPr>
        <w:spacing w:line="360" w:lineRule="auto"/>
        <w:contextualSpacing w:val="0"/>
        <w:jc w:val="both"/>
        <w:rPr>
          <w:rFonts w:cs="Times New Roman"/>
          <w:sz w:val="24"/>
          <w:szCs w:val="24"/>
        </w:rPr>
      </w:pPr>
      <w:r w:rsidRPr="00833C88">
        <w:rPr>
          <w:rFonts w:cs="Times New Roman"/>
          <w:sz w:val="24"/>
          <w:szCs w:val="24"/>
        </w:rPr>
        <w:lastRenderedPageBreak/>
        <w:t xml:space="preserve">informację </w:t>
      </w:r>
      <w:r w:rsidR="00601933" w:rsidRPr="00833C88">
        <w:rPr>
          <w:rFonts w:cs="Times New Roman"/>
          <w:sz w:val="24"/>
          <w:szCs w:val="24"/>
        </w:rPr>
        <w:t>o </w:t>
      </w:r>
      <w:r w:rsidRPr="00833C88">
        <w:rPr>
          <w:rFonts w:cs="Times New Roman"/>
          <w:sz w:val="24"/>
          <w:szCs w:val="24"/>
        </w:rPr>
        <w:t xml:space="preserve">zawarciu umowy </w:t>
      </w:r>
      <w:r w:rsidR="00601933" w:rsidRPr="00833C88">
        <w:rPr>
          <w:rFonts w:cs="Times New Roman"/>
          <w:sz w:val="24"/>
          <w:szCs w:val="24"/>
        </w:rPr>
        <w:t>z </w:t>
      </w:r>
      <w:r w:rsidRPr="00833C88">
        <w:rPr>
          <w:rFonts w:cs="Times New Roman"/>
          <w:sz w:val="24"/>
          <w:szCs w:val="24"/>
        </w:rPr>
        <w:t xml:space="preserve">dostawcą usług zarządzanych </w:t>
      </w:r>
      <w:r w:rsidR="00601933" w:rsidRPr="00833C88">
        <w:rPr>
          <w:rFonts w:cs="Times New Roman"/>
          <w:sz w:val="24"/>
          <w:szCs w:val="24"/>
        </w:rPr>
        <w:t>w </w:t>
      </w:r>
      <w:r w:rsidRPr="00833C88">
        <w:rPr>
          <w:rFonts w:cs="Times New Roman"/>
          <w:sz w:val="24"/>
          <w:szCs w:val="24"/>
        </w:rPr>
        <w:t xml:space="preserve">zakresie bezpieczeństwa na realizację </w:t>
      </w:r>
      <w:r w:rsidR="00425C27" w:rsidRPr="00833C88">
        <w:rPr>
          <w:rFonts w:cs="Times New Roman"/>
          <w:sz w:val="24"/>
          <w:szCs w:val="24"/>
        </w:rPr>
        <w:t xml:space="preserve">zadań, </w:t>
      </w:r>
      <w:r w:rsidR="00601933" w:rsidRPr="00833C88">
        <w:rPr>
          <w:rFonts w:cs="Times New Roman"/>
          <w:sz w:val="24"/>
          <w:szCs w:val="24"/>
        </w:rPr>
        <w:t>o </w:t>
      </w:r>
      <w:r w:rsidR="00425C27" w:rsidRPr="00833C88">
        <w:rPr>
          <w:rFonts w:cs="Times New Roman"/>
          <w:sz w:val="24"/>
          <w:szCs w:val="24"/>
        </w:rPr>
        <w:t>k</w:t>
      </w:r>
      <w:r w:rsidRPr="00833C88">
        <w:rPr>
          <w:rFonts w:cs="Times New Roman"/>
          <w:sz w:val="24"/>
          <w:szCs w:val="24"/>
        </w:rPr>
        <w:t xml:space="preserve">tórych mowa </w:t>
      </w:r>
      <w:r w:rsidR="00601933" w:rsidRPr="00833C88">
        <w:rPr>
          <w:rFonts w:cs="Times New Roman"/>
          <w:sz w:val="24"/>
          <w:szCs w:val="24"/>
        </w:rPr>
        <w:t>w </w:t>
      </w:r>
      <w:r w:rsidRPr="00833C88">
        <w:rPr>
          <w:rFonts w:cs="Times New Roman"/>
          <w:sz w:val="24"/>
          <w:szCs w:val="24"/>
        </w:rPr>
        <w:t xml:space="preserve">art. 8 </w:t>
      </w:r>
      <w:r w:rsidR="00601933" w:rsidRPr="00833C88">
        <w:rPr>
          <w:rFonts w:cs="Times New Roman"/>
          <w:sz w:val="24"/>
          <w:szCs w:val="24"/>
        </w:rPr>
        <w:t>i </w:t>
      </w:r>
      <w:r w:rsidRPr="00833C88">
        <w:rPr>
          <w:rFonts w:cs="Times New Roman"/>
          <w:sz w:val="24"/>
          <w:szCs w:val="24"/>
        </w:rPr>
        <w:t>art. 11</w:t>
      </w:r>
      <w:r w:rsidR="008E651B" w:rsidRPr="00833C88">
        <w:rPr>
          <w:rFonts w:cs="Times New Roman"/>
          <w:sz w:val="24"/>
          <w:szCs w:val="24"/>
        </w:rPr>
        <w:t xml:space="preserve"> projektu ustawy</w:t>
      </w:r>
      <w:r w:rsidRPr="00833C88">
        <w:rPr>
          <w:rFonts w:cs="Times New Roman"/>
          <w:sz w:val="24"/>
          <w:szCs w:val="24"/>
        </w:rPr>
        <w:t xml:space="preserve"> wraz </w:t>
      </w:r>
      <w:r w:rsidR="00601933" w:rsidRPr="00833C88">
        <w:rPr>
          <w:rFonts w:cs="Times New Roman"/>
          <w:sz w:val="24"/>
          <w:szCs w:val="24"/>
        </w:rPr>
        <w:t>z </w:t>
      </w:r>
      <w:r w:rsidRPr="00833C88">
        <w:rPr>
          <w:rFonts w:cs="Times New Roman"/>
          <w:sz w:val="24"/>
          <w:szCs w:val="24"/>
        </w:rPr>
        <w:t>danymi tego podmiotu</w:t>
      </w:r>
      <w:r w:rsidR="00B37D95" w:rsidRPr="00833C88">
        <w:rPr>
          <w:rFonts w:cs="Times New Roman"/>
          <w:sz w:val="24"/>
          <w:szCs w:val="24"/>
        </w:rPr>
        <w:t>.</w:t>
      </w:r>
    </w:p>
    <w:p w14:paraId="0CE477F2" w14:textId="64FB4A0D" w:rsidR="007C1C69" w:rsidRPr="00833C88" w:rsidRDefault="00D557DA" w:rsidP="0029004E">
      <w:pPr>
        <w:spacing w:line="360" w:lineRule="auto"/>
        <w:jc w:val="both"/>
        <w:rPr>
          <w:rFonts w:cs="Times New Roman"/>
          <w:sz w:val="24"/>
          <w:szCs w:val="24"/>
        </w:rPr>
      </w:pPr>
      <w:r w:rsidRPr="00833C88">
        <w:rPr>
          <w:rFonts w:cs="Times New Roman"/>
          <w:sz w:val="24"/>
          <w:szCs w:val="24"/>
        </w:rPr>
        <w:t>Tego rodzaju informacje są niezbędne CSIRT poziomu krajowego, CSIRT sektorowym i</w:t>
      </w:r>
      <w:r w:rsidR="000C371B" w:rsidRPr="00833C88">
        <w:rPr>
          <w:rFonts w:cs="Times New Roman"/>
          <w:sz w:val="24"/>
          <w:szCs w:val="24"/>
        </w:rPr>
        <w:t> </w:t>
      </w:r>
      <w:r w:rsidRPr="00833C88">
        <w:rPr>
          <w:rFonts w:cs="Times New Roman"/>
          <w:sz w:val="24"/>
          <w:szCs w:val="24"/>
        </w:rPr>
        <w:t>innym organom krajowego systemu cyberbezpieczeństwa</w:t>
      </w:r>
      <w:r w:rsidR="00A038DC" w:rsidRPr="00833C88">
        <w:rPr>
          <w:rFonts w:cs="Times New Roman"/>
          <w:sz w:val="24"/>
          <w:szCs w:val="24"/>
        </w:rPr>
        <w:t xml:space="preserve"> do prawidłowego wykonywania ich ustawowych zadań. Umieszczenie ich </w:t>
      </w:r>
      <w:r w:rsidR="00601933" w:rsidRPr="00833C88">
        <w:rPr>
          <w:rFonts w:cs="Times New Roman"/>
          <w:sz w:val="24"/>
          <w:szCs w:val="24"/>
        </w:rPr>
        <w:t>w </w:t>
      </w:r>
      <w:r w:rsidR="00A038DC" w:rsidRPr="00833C88">
        <w:rPr>
          <w:rFonts w:cs="Times New Roman"/>
          <w:sz w:val="24"/>
          <w:szCs w:val="24"/>
        </w:rPr>
        <w:t xml:space="preserve">jednym rejestrze zapewni </w:t>
      </w:r>
      <w:r w:rsidR="005C5A56" w:rsidRPr="00833C88">
        <w:rPr>
          <w:rFonts w:cs="Times New Roman"/>
          <w:sz w:val="24"/>
          <w:szCs w:val="24"/>
        </w:rPr>
        <w:t>łatwy dostęp do nich upoważnionym organom.</w:t>
      </w:r>
      <w:r w:rsidR="00CD51BF" w:rsidRPr="00833C88">
        <w:rPr>
          <w:rFonts w:cs="Times New Roman"/>
          <w:sz w:val="24"/>
          <w:szCs w:val="24"/>
        </w:rPr>
        <w:t xml:space="preserve"> </w:t>
      </w:r>
      <w:r w:rsidR="00AC3887" w:rsidRPr="00833C88">
        <w:rPr>
          <w:rFonts w:cs="Times New Roman"/>
          <w:sz w:val="24"/>
          <w:szCs w:val="24"/>
        </w:rPr>
        <w:t xml:space="preserve">Dane osób kontaktowych umożliwią szybką komunikację między zespołem CSIRT </w:t>
      </w:r>
      <w:r w:rsidR="00601933" w:rsidRPr="00833C88">
        <w:rPr>
          <w:rFonts w:cs="Times New Roman"/>
          <w:sz w:val="24"/>
          <w:szCs w:val="24"/>
        </w:rPr>
        <w:t>a </w:t>
      </w:r>
      <w:r w:rsidR="00AC3887" w:rsidRPr="00833C88">
        <w:rPr>
          <w:rFonts w:cs="Times New Roman"/>
          <w:sz w:val="24"/>
          <w:szCs w:val="24"/>
        </w:rPr>
        <w:t xml:space="preserve">danym podmiotem </w:t>
      </w:r>
      <w:r w:rsidR="00601933" w:rsidRPr="00833C88">
        <w:rPr>
          <w:rFonts w:cs="Times New Roman"/>
          <w:sz w:val="24"/>
          <w:szCs w:val="24"/>
        </w:rPr>
        <w:t>w </w:t>
      </w:r>
      <w:r w:rsidR="00AC3887" w:rsidRPr="00833C88">
        <w:rPr>
          <w:rFonts w:cs="Times New Roman"/>
          <w:sz w:val="24"/>
          <w:szCs w:val="24"/>
        </w:rPr>
        <w:t xml:space="preserve">przypadku incydentu poważnego lub </w:t>
      </w:r>
      <w:r w:rsidR="00601933" w:rsidRPr="00833C88">
        <w:rPr>
          <w:rFonts w:cs="Times New Roman"/>
          <w:sz w:val="24"/>
          <w:szCs w:val="24"/>
        </w:rPr>
        <w:t>w </w:t>
      </w:r>
      <w:r w:rsidR="00AC3887" w:rsidRPr="00833C88">
        <w:rPr>
          <w:rFonts w:cs="Times New Roman"/>
          <w:sz w:val="24"/>
          <w:szCs w:val="24"/>
        </w:rPr>
        <w:t xml:space="preserve">sytuacji poinformowania </w:t>
      </w:r>
      <w:r w:rsidR="000F1BAD" w:rsidRPr="00833C88">
        <w:rPr>
          <w:rFonts w:cs="Times New Roman"/>
          <w:sz w:val="24"/>
          <w:szCs w:val="24"/>
        </w:rPr>
        <w:t xml:space="preserve">podmiotu </w:t>
      </w:r>
      <w:r w:rsidR="00601933" w:rsidRPr="00833C88">
        <w:rPr>
          <w:rFonts w:cs="Times New Roman"/>
          <w:sz w:val="24"/>
          <w:szCs w:val="24"/>
        </w:rPr>
        <w:t>o </w:t>
      </w:r>
      <w:r w:rsidR="000F1BAD" w:rsidRPr="00833C88">
        <w:rPr>
          <w:rFonts w:cs="Times New Roman"/>
          <w:sz w:val="24"/>
          <w:szCs w:val="24"/>
        </w:rPr>
        <w:t xml:space="preserve">istotnej podatności czy też znaczącym </w:t>
      </w:r>
      <w:proofErr w:type="spellStart"/>
      <w:r w:rsidR="000F1BAD" w:rsidRPr="00833C88">
        <w:rPr>
          <w:rFonts w:cs="Times New Roman"/>
          <w:sz w:val="24"/>
          <w:szCs w:val="24"/>
        </w:rPr>
        <w:t>cyberzagrożeniu</w:t>
      </w:r>
      <w:proofErr w:type="spellEnd"/>
      <w:r w:rsidR="000F1BAD" w:rsidRPr="00833C88">
        <w:rPr>
          <w:rFonts w:cs="Times New Roman"/>
          <w:sz w:val="24"/>
          <w:szCs w:val="24"/>
        </w:rPr>
        <w:t>.</w:t>
      </w:r>
      <w:r w:rsidR="00112AD4" w:rsidRPr="00833C88">
        <w:rPr>
          <w:rFonts w:cs="Times New Roman"/>
          <w:sz w:val="24"/>
          <w:szCs w:val="24"/>
        </w:rPr>
        <w:t xml:space="preserve"> Jedną </w:t>
      </w:r>
      <w:r w:rsidR="00601933" w:rsidRPr="00833C88">
        <w:rPr>
          <w:rFonts w:cs="Times New Roman"/>
          <w:sz w:val="24"/>
          <w:szCs w:val="24"/>
        </w:rPr>
        <w:t>z </w:t>
      </w:r>
      <w:r w:rsidR="00112AD4" w:rsidRPr="00833C88">
        <w:rPr>
          <w:rFonts w:cs="Times New Roman"/>
          <w:sz w:val="24"/>
          <w:szCs w:val="24"/>
        </w:rPr>
        <w:t xml:space="preserve">tych osób kontaktowych powinien być </w:t>
      </w:r>
      <w:r w:rsidR="00B35980" w:rsidRPr="00833C88">
        <w:rPr>
          <w:rFonts w:cs="Times New Roman"/>
          <w:sz w:val="24"/>
          <w:szCs w:val="24"/>
        </w:rPr>
        <w:t xml:space="preserve">administrator konta podmiotu </w:t>
      </w:r>
      <w:r w:rsidR="00601933" w:rsidRPr="00833C88">
        <w:rPr>
          <w:rFonts w:cs="Times New Roman"/>
          <w:sz w:val="24"/>
          <w:szCs w:val="24"/>
        </w:rPr>
        <w:t>w </w:t>
      </w:r>
      <w:r w:rsidR="00B35980" w:rsidRPr="00833C88">
        <w:rPr>
          <w:rFonts w:cs="Times New Roman"/>
          <w:sz w:val="24"/>
          <w:szCs w:val="24"/>
        </w:rPr>
        <w:t xml:space="preserve">systemie </w:t>
      </w:r>
      <w:r w:rsidR="00B54F59" w:rsidRPr="00833C88">
        <w:rPr>
          <w:rFonts w:cs="Times New Roman"/>
          <w:sz w:val="24"/>
          <w:szCs w:val="24"/>
        </w:rPr>
        <w:t xml:space="preserve">teleinformatycznym </w:t>
      </w:r>
      <w:r w:rsidR="00B35980" w:rsidRPr="00833C88">
        <w:rPr>
          <w:rFonts w:cs="Times New Roman"/>
          <w:sz w:val="24"/>
          <w:szCs w:val="24"/>
        </w:rPr>
        <w:t xml:space="preserve">S46. </w:t>
      </w:r>
      <w:r w:rsidR="00601933" w:rsidRPr="00833C88">
        <w:rPr>
          <w:rFonts w:cs="Times New Roman"/>
          <w:sz w:val="24"/>
          <w:szCs w:val="24"/>
        </w:rPr>
        <w:t>Z </w:t>
      </w:r>
      <w:r w:rsidR="00B35980" w:rsidRPr="00833C88">
        <w:rPr>
          <w:rFonts w:cs="Times New Roman"/>
          <w:sz w:val="24"/>
          <w:szCs w:val="24"/>
        </w:rPr>
        <w:t xml:space="preserve">tego powodu należy przekazać również </w:t>
      </w:r>
      <w:r w:rsidR="00BE14A2" w:rsidRPr="00833C88">
        <w:rPr>
          <w:rFonts w:cs="Times New Roman"/>
          <w:sz w:val="24"/>
          <w:szCs w:val="24"/>
        </w:rPr>
        <w:t xml:space="preserve">dodatkowo PESEL tej osoby </w:t>
      </w:r>
      <w:r w:rsidR="007C1C69" w:rsidRPr="00833C88">
        <w:rPr>
          <w:rFonts w:cs="Times New Roman"/>
          <w:sz w:val="24"/>
          <w:szCs w:val="24"/>
        </w:rPr>
        <w:t xml:space="preserve">lub niepowtarzalny identyfikator środka identyfikacji elektronicznej, </w:t>
      </w:r>
      <w:r w:rsidR="00601933" w:rsidRPr="00833C88">
        <w:rPr>
          <w:rFonts w:cs="Times New Roman"/>
          <w:sz w:val="24"/>
          <w:szCs w:val="24"/>
        </w:rPr>
        <w:t>o </w:t>
      </w:r>
      <w:r w:rsidR="007C1C69" w:rsidRPr="00833C88">
        <w:rPr>
          <w:rFonts w:cs="Times New Roman"/>
          <w:sz w:val="24"/>
          <w:szCs w:val="24"/>
        </w:rPr>
        <w:t xml:space="preserve">którym mowa </w:t>
      </w:r>
      <w:r w:rsidR="00601933" w:rsidRPr="00833C88">
        <w:rPr>
          <w:rFonts w:cs="Times New Roman"/>
          <w:sz w:val="24"/>
          <w:szCs w:val="24"/>
        </w:rPr>
        <w:t>w </w:t>
      </w:r>
      <w:r w:rsidR="007C1C69" w:rsidRPr="00833C88">
        <w:rPr>
          <w:rFonts w:cs="Times New Roman"/>
          <w:sz w:val="24"/>
          <w:szCs w:val="24"/>
        </w:rPr>
        <w:t xml:space="preserve">przepisach wydanych na podstawie art. 12 ust. 8 rozporządzenia 910/2014. Identyfikatory te są zawarte </w:t>
      </w:r>
      <w:r w:rsidR="00601933" w:rsidRPr="00833C88">
        <w:rPr>
          <w:rFonts w:cs="Times New Roman"/>
          <w:sz w:val="24"/>
          <w:szCs w:val="24"/>
        </w:rPr>
        <w:t>w </w:t>
      </w:r>
      <w:r w:rsidR="007C1C69" w:rsidRPr="00833C88">
        <w:rPr>
          <w:rFonts w:cs="Times New Roman"/>
          <w:sz w:val="24"/>
          <w:szCs w:val="24"/>
        </w:rPr>
        <w:t>podpisie osobistym, podpisie zaufanym lub</w:t>
      </w:r>
      <w:r w:rsidR="00B02F64" w:rsidRPr="00833C88">
        <w:rPr>
          <w:rFonts w:cs="Times New Roman"/>
          <w:sz w:val="24"/>
          <w:szCs w:val="24"/>
        </w:rPr>
        <w:t xml:space="preserve"> w</w:t>
      </w:r>
      <w:r w:rsidR="007C1C69" w:rsidRPr="00833C88">
        <w:rPr>
          <w:rFonts w:cs="Times New Roman"/>
          <w:sz w:val="24"/>
          <w:szCs w:val="24"/>
        </w:rPr>
        <w:t xml:space="preserve"> kwalifikowan</w:t>
      </w:r>
      <w:r w:rsidR="00B02F64" w:rsidRPr="00833C88">
        <w:rPr>
          <w:rFonts w:cs="Times New Roman"/>
          <w:sz w:val="24"/>
          <w:szCs w:val="24"/>
        </w:rPr>
        <w:t>ym</w:t>
      </w:r>
      <w:r w:rsidR="007C1C69" w:rsidRPr="00833C88">
        <w:rPr>
          <w:rFonts w:cs="Times New Roman"/>
          <w:sz w:val="24"/>
          <w:szCs w:val="24"/>
        </w:rPr>
        <w:t xml:space="preserve"> </w:t>
      </w:r>
      <w:r w:rsidR="00B02F64" w:rsidRPr="00833C88">
        <w:rPr>
          <w:rFonts w:cs="Times New Roman"/>
          <w:sz w:val="24"/>
          <w:szCs w:val="24"/>
        </w:rPr>
        <w:t xml:space="preserve">podpisie </w:t>
      </w:r>
      <w:r w:rsidR="007C1C69" w:rsidRPr="00833C88">
        <w:rPr>
          <w:rFonts w:cs="Times New Roman"/>
          <w:sz w:val="24"/>
          <w:szCs w:val="24"/>
        </w:rPr>
        <w:t>elektroniczn</w:t>
      </w:r>
      <w:r w:rsidR="00B02F64" w:rsidRPr="00833C88">
        <w:rPr>
          <w:rFonts w:cs="Times New Roman"/>
          <w:sz w:val="24"/>
          <w:szCs w:val="24"/>
        </w:rPr>
        <w:t>ym</w:t>
      </w:r>
      <w:r w:rsidR="00016D26" w:rsidRPr="00833C88">
        <w:rPr>
          <w:rFonts w:cs="Times New Roman"/>
          <w:sz w:val="24"/>
          <w:szCs w:val="24"/>
        </w:rPr>
        <w:t xml:space="preserve">, dzięki temu pozwolą administratorowi na uwierzytelnienie się do systemu </w:t>
      </w:r>
      <w:r w:rsidR="00B54F59" w:rsidRPr="00833C88">
        <w:rPr>
          <w:rFonts w:cs="Times New Roman"/>
          <w:sz w:val="24"/>
          <w:szCs w:val="24"/>
        </w:rPr>
        <w:t xml:space="preserve">teleinformatycznego </w:t>
      </w:r>
      <w:r w:rsidR="00016D26" w:rsidRPr="00833C88">
        <w:rPr>
          <w:rFonts w:cs="Times New Roman"/>
          <w:sz w:val="24"/>
          <w:szCs w:val="24"/>
        </w:rPr>
        <w:t>S46.</w:t>
      </w:r>
    </w:p>
    <w:p w14:paraId="6DBE68EB" w14:textId="75F95419" w:rsidR="00112AD4" w:rsidRPr="00833C88" w:rsidRDefault="000F1BAD" w:rsidP="0029004E">
      <w:pPr>
        <w:spacing w:line="360" w:lineRule="auto"/>
        <w:jc w:val="both"/>
        <w:rPr>
          <w:rFonts w:cs="Times New Roman"/>
          <w:sz w:val="24"/>
          <w:szCs w:val="24"/>
        </w:rPr>
      </w:pPr>
      <w:r w:rsidRPr="00833C88">
        <w:rPr>
          <w:rFonts w:cs="Times New Roman"/>
          <w:sz w:val="24"/>
          <w:szCs w:val="24"/>
        </w:rPr>
        <w:t xml:space="preserve">Deklaracja podmiotu </w:t>
      </w:r>
      <w:r w:rsidR="00601933" w:rsidRPr="00833C88">
        <w:rPr>
          <w:rFonts w:cs="Times New Roman"/>
          <w:sz w:val="24"/>
          <w:szCs w:val="24"/>
        </w:rPr>
        <w:t>o </w:t>
      </w:r>
      <w:r w:rsidRPr="00833C88">
        <w:rPr>
          <w:rFonts w:cs="Times New Roman"/>
          <w:sz w:val="24"/>
          <w:szCs w:val="24"/>
        </w:rPr>
        <w:t xml:space="preserve">statusie mikro-, małego </w:t>
      </w:r>
      <w:r w:rsidR="005474B4" w:rsidRPr="00833C88">
        <w:rPr>
          <w:rFonts w:cs="Times New Roman"/>
          <w:sz w:val="24"/>
          <w:szCs w:val="24"/>
        </w:rPr>
        <w:t xml:space="preserve">lub średniego przedsiębiorcy umożliwi </w:t>
      </w:r>
      <w:r w:rsidR="00DC72C5" w:rsidRPr="00833C88">
        <w:rPr>
          <w:rFonts w:cs="Times New Roman"/>
          <w:sz w:val="24"/>
          <w:szCs w:val="24"/>
        </w:rPr>
        <w:t xml:space="preserve">ustalenie statusu podmiotu – czy jest podmiotem ważnym czy </w:t>
      </w:r>
      <w:r w:rsidR="00A93199" w:rsidRPr="00833C88">
        <w:rPr>
          <w:rFonts w:cs="Times New Roman"/>
          <w:sz w:val="24"/>
          <w:szCs w:val="24"/>
        </w:rPr>
        <w:t xml:space="preserve">podmiotem </w:t>
      </w:r>
      <w:r w:rsidR="00DC72C5" w:rsidRPr="00833C88">
        <w:rPr>
          <w:rFonts w:cs="Times New Roman"/>
          <w:sz w:val="24"/>
          <w:szCs w:val="24"/>
        </w:rPr>
        <w:t xml:space="preserve">kluczowym. </w:t>
      </w:r>
    </w:p>
    <w:p w14:paraId="6974F4EF" w14:textId="47F64EED" w:rsidR="005474B4" w:rsidRPr="00833C88" w:rsidRDefault="005474B4" w:rsidP="0029004E">
      <w:pPr>
        <w:spacing w:line="360" w:lineRule="auto"/>
        <w:jc w:val="both"/>
        <w:rPr>
          <w:rFonts w:cs="Times New Roman"/>
          <w:sz w:val="24"/>
          <w:szCs w:val="24"/>
        </w:rPr>
      </w:pPr>
      <w:r w:rsidRPr="00833C88">
        <w:rPr>
          <w:rFonts w:cs="Times New Roman"/>
          <w:sz w:val="24"/>
          <w:szCs w:val="24"/>
        </w:rPr>
        <w:t xml:space="preserve">Informacja </w:t>
      </w:r>
      <w:r w:rsidR="00601933" w:rsidRPr="00833C88">
        <w:rPr>
          <w:rFonts w:cs="Times New Roman"/>
          <w:sz w:val="24"/>
          <w:szCs w:val="24"/>
        </w:rPr>
        <w:t>o </w:t>
      </w:r>
      <w:r w:rsidRPr="00833C88">
        <w:rPr>
          <w:rFonts w:cs="Times New Roman"/>
          <w:sz w:val="24"/>
          <w:szCs w:val="24"/>
        </w:rPr>
        <w:t xml:space="preserve">wykonywaniu działalności </w:t>
      </w:r>
      <w:r w:rsidR="00601933" w:rsidRPr="00833C88">
        <w:rPr>
          <w:rFonts w:cs="Times New Roman"/>
          <w:sz w:val="24"/>
          <w:szCs w:val="24"/>
        </w:rPr>
        <w:t>w </w:t>
      </w:r>
      <w:r w:rsidRPr="00833C88">
        <w:rPr>
          <w:rFonts w:cs="Times New Roman"/>
          <w:sz w:val="24"/>
          <w:szCs w:val="24"/>
        </w:rPr>
        <w:t xml:space="preserve">innych państwach członkowskich Unii </w:t>
      </w:r>
      <w:r w:rsidR="008B3437" w:rsidRPr="00833C88">
        <w:rPr>
          <w:rFonts w:cs="Times New Roman"/>
          <w:sz w:val="24"/>
          <w:szCs w:val="24"/>
        </w:rPr>
        <w:t>Eu</w:t>
      </w:r>
      <w:r w:rsidRPr="00833C88">
        <w:rPr>
          <w:rFonts w:cs="Times New Roman"/>
          <w:sz w:val="24"/>
          <w:szCs w:val="24"/>
        </w:rPr>
        <w:t xml:space="preserve">ropejskiej pozwoli określić np. czy </w:t>
      </w:r>
      <w:r w:rsidR="00953750" w:rsidRPr="00833C88">
        <w:rPr>
          <w:rFonts w:cs="Times New Roman"/>
          <w:sz w:val="24"/>
          <w:szCs w:val="24"/>
        </w:rPr>
        <w:t xml:space="preserve">incydent zgłoszony przez podmiot może mieć charakter transgraniczny. </w:t>
      </w:r>
      <w:r w:rsidR="00A50DCA" w:rsidRPr="00833C88">
        <w:rPr>
          <w:rFonts w:cs="Times New Roman"/>
          <w:sz w:val="24"/>
          <w:szCs w:val="24"/>
        </w:rPr>
        <w:t>Ponadto będzie to przydatna informacja</w:t>
      </w:r>
      <w:r w:rsidR="003C396F" w:rsidRPr="00833C88">
        <w:rPr>
          <w:rFonts w:cs="Times New Roman"/>
          <w:sz w:val="24"/>
          <w:szCs w:val="24"/>
        </w:rPr>
        <w:t xml:space="preserve">, jeżeli konieczna będzie współpraca organów nadzorczych </w:t>
      </w:r>
      <w:r w:rsidR="00601933" w:rsidRPr="00833C88">
        <w:rPr>
          <w:rFonts w:cs="Times New Roman"/>
          <w:sz w:val="24"/>
          <w:szCs w:val="24"/>
        </w:rPr>
        <w:t>z </w:t>
      </w:r>
      <w:r w:rsidR="003C396F" w:rsidRPr="00833C88">
        <w:rPr>
          <w:rFonts w:cs="Times New Roman"/>
          <w:sz w:val="24"/>
          <w:szCs w:val="24"/>
        </w:rPr>
        <w:t xml:space="preserve">innych państw członkowskich Unii </w:t>
      </w:r>
      <w:r w:rsidR="005876FA" w:rsidRPr="00833C88">
        <w:rPr>
          <w:rFonts w:cs="Times New Roman"/>
          <w:sz w:val="24"/>
          <w:szCs w:val="24"/>
        </w:rPr>
        <w:t>Europejskiej</w:t>
      </w:r>
      <w:r w:rsidR="003C396F" w:rsidRPr="00833C88">
        <w:rPr>
          <w:rFonts w:cs="Times New Roman"/>
          <w:sz w:val="24"/>
          <w:szCs w:val="24"/>
        </w:rPr>
        <w:t>.</w:t>
      </w:r>
      <w:r w:rsidR="00611220" w:rsidRPr="00833C88">
        <w:rPr>
          <w:rFonts w:cs="Times New Roman"/>
          <w:sz w:val="24"/>
          <w:szCs w:val="24"/>
        </w:rPr>
        <w:t xml:space="preserve"> Zasadne jest też, żeby podmioty wpisane do wykazu informowały </w:t>
      </w:r>
      <w:r w:rsidR="00601933" w:rsidRPr="00833C88">
        <w:rPr>
          <w:rFonts w:cs="Times New Roman"/>
          <w:sz w:val="24"/>
          <w:szCs w:val="24"/>
        </w:rPr>
        <w:t>o </w:t>
      </w:r>
      <w:r w:rsidR="00611220" w:rsidRPr="00833C88">
        <w:rPr>
          <w:rFonts w:cs="Times New Roman"/>
          <w:sz w:val="24"/>
          <w:szCs w:val="24"/>
        </w:rPr>
        <w:t xml:space="preserve">dostawcy usług zarządzanych </w:t>
      </w:r>
      <w:r w:rsidR="00601933" w:rsidRPr="00833C88">
        <w:rPr>
          <w:rFonts w:cs="Times New Roman"/>
          <w:sz w:val="24"/>
          <w:szCs w:val="24"/>
        </w:rPr>
        <w:t>w </w:t>
      </w:r>
      <w:r w:rsidR="00611220" w:rsidRPr="00833C88">
        <w:rPr>
          <w:rFonts w:cs="Times New Roman"/>
          <w:sz w:val="24"/>
          <w:szCs w:val="24"/>
        </w:rPr>
        <w:t>zakresie cyberbezpieczeństwa</w:t>
      </w:r>
      <w:r w:rsidR="008B3437" w:rsidRPr="00833C88">
        <w:rPr>
          <w:rFonts w:cs="Times New Roman"/>
          <w:sz w:val="24"/>
          <w:szCs w:val="24"/>
        </w:rPr>
        <w:t>,</w:t>
      </w:r>
      <w:r w:rsidR="00611220" w:rsidRPr="00833C88">
        <w:rPr>
          <w:rFonts w:cs="Times New Roman"/>
          <w:sz w:val="24"/>
          <w:szCs w:val="24"/>
        </w:rPr>
        <w:t xml:space="preserve"> </w:t>
      </w:r>
      <w:r w:rsidR="00601933" w:rsidRPr="00833C88">
        <w:rPr>
          <w:rFonts w:cs="Times New Roman"/>
          <w:sz w:val="24"/>
          <w:szCs w:val="24"/>
        </w:rPr>
        <w:t>z </w:t>
      </w:r>
      <w:r w:rsidR="00611220" w:rsidRPr="00833C88">
        <w:rPr>
          <w:rFonts w:cs="Times New Roman"/>
          <w:sz w:val="24"/>
          <w:szCs w:val="24"/>
        </w:rPr>
        <w:t xml:space="preserve">którym zawarły umowę na realizację zadań </w:t>
      </w:r>
      <w:r w:rsidR="00601933" w:rsidRPr="00833C88">
        <w:rPr>
          <w:rFonts w:cs="Times New Roman"/>
          <w:sz w:val="24"/>
          <w:szCs w:val="24"/>
        </w:rPr>
        <w:t>z </w:t>
      </w:r>
      <w:r w:rsidR="00611220" w:rsidRPr="00833C88">
        <w:rPr>
          <w:rFonts w:cs="Times New Roman"/>
          <w:sz w:val="24"/>
          <w:szCs w:val="24"/>
        </w:rPr>
        <w:t xml:space="preserve">zakresu cyberbezpieczeństwa. </w:t>
      </w:r>
      <w:r w:rsidR="00601933" w:rsidRPr="00833C88">
        <w:rPr>
          <w:rFonts w:cs="Times New Roman"/>
          <w:sz w:val="24"/>
          <w:szCs w:val="24"/>
        </w:rPr>
        <w:t>W </w:t>
      </w:r>
      <w:r w:rsidR="005D0D75" w:rsidRPr="00833C88">
        <w:rPr>
          <w:rFonts w:cs="Times New Roman"/>
          <w:sz w:val="24"/>
          <w:szCs w:val="24"/>
        </w:rPr>
        <w:t>przypadku trwającego incydentu poważnego istotne jest dla CSIRT sektorowych lub CSIRT poziomu krajowego kto faktycznie zajmuje się obsługą incydentu w</w:t>
      </w:r>
      <w:r w:rsidR="000C371B" w:rsidRPr="00833C88">
        <w:rPr>
          <w:rFonts w:cs="Times New Roman"/>
          <w:sz w:val="24"/>
          <w:szCs w:val="24"/>
        </w:rPr>
        <w:t> </w:t>
      </w:r>
      <w:r w:rsidR="005D0D75" w:rsidRPr="00833C88">
        <w:rPr>
          <w:rFonts w:cs="Times New Roman"/>
          <w:sz w:val="24"/>
          <w:szCs w:val="24"/>
        </w:rPr>
        <w:t>danym podmiocie</w:t>
      </w:r>
      <w:r w:rsidR="00D55D62" w:rsidRPr="00833C88">
        <w:rPr>
          <w:rFonts w:cs="Times New Roman"/>
          <w:sz w:val="24"/>
          <w:szCs w:val="24"/>
        </w:rPr>
        <w:t>. Umożliwi to szybszą komunikację między zespołami.</w:t>
      </w:r>
      <w:r w:rsidR="00981FCB" w:rsidRPr="00833C88">
        <w:rPr>
          <w:rFonts w:cs="Times New Roman"/>
          <w:sz w:val="24"/>
          <w:szCs w:val="24"/>
        </w:rPr>
        <w:t xml:space="preserve"> Warto podkreślić, że dostawcą usług zarządzanych </w:t>
      </w:r>
      <w:r w:rsidR="00601933" w:rsidRPr="00833C88">
        <w:rPr>
          <w:rFonts w:cs="Times New Roman"/>
          <w:sz w:val="24"/>
          <w:szCs w:val="24"/>
        </w:rPr>
        <w:t>w </w:t>
      </w:r>
      <w:r w:rsidR="00981FCB" w:rsidRPr="00833C88">
        <w:rPr>
          <w:rFonts w:cs="Times New Roman"/>
          <w:sz w:val="24"/>
          <w:szCs w:val="24"/>
        </w:rPr>
        <w:t xml:space="preserve">zakresie cyberbezpieczeństwa może być </w:t>
      </w:r>
      <w:r w:rsidR="008B3437" w:rsidRPr="00833C88">
        <w:rPr>
          <w:rFonts w:cs="Times New Roman"/>
          <w:sz w:val="24"/>
          <w:szCs w:val="24"/>
        </w:rPr>
        <w:t>ta</w:t>
      </w:r>
      <w:r w:rsidR="00981FCB" w:rsidRPr="00833C88">
        <w:rPr>
          <w:rFonts w:cs="Times New Roman"/>
          <w:sz w:val="24"/>
          <w:szCs w:val="24"/>
        </w:rPr>
        <w:t xml:space="preserve">kże jednostka </w:t>
      </w:r>
      <w:r w:rsidR="009025EF" w:rsidRPr="00833C88">
        <w:rPr>
          <w:rFonts w:cs="Times New Roman"/>
          <w:sz w:val="24"/>
          <w:szCs w:val="24"/>
        </w:rPr>
        <w:t xml:space="preserve">utworzona przez np. ministra kierującego danym działem administracji rządowej </w:t>
      </w:r>
      <w:r w:rsidR="00601933" w:rsidRPr="00833C88">
        <w:rPr>
          <w:rFonts w:cs="Times New Roman"/>
          <w:sz w:val="24"/>
          <w:szCs w:val="24"/>
        </w:rPr>
        <w:t>i </w:t>
      </w:r>
      <w:r w:rsidR="009025EF" w:rsidRPr="00833C88">
        <w:rPr>
          <w:rFonts w:cs="Times New Roman"/>
          <w:sz w:val="24"/>
          <w:szCs w:val="24"/>
        </w:rPr>
        <w:t>świadcząca usługi reagowania na incydenty dla podmiotów podległych</w:t>
      </w:r>
      <w:r w:rsidR="000C371B" w:rsidRPr="00833C88">
        <w:rPr>
          <w:rFonts w:cs="Times New Roman"/>
          <w:sz w:val="24"/>
          <w:szCs w:val="24"/>
        </w:rPr>
        <w:t xml:space="preserve"> ministrowi</w:t>
      </w:r>
      <w:r w:rsidR="009025EF" w:rsidRPr="00833C88">
        <w:rPr>
          <w:rFonts w:cs="Times New Roman"/>
          <w:sz w:val="24"/>
          <w:szCs w:val="24"/>
        </w:rPr>
        <w:t xml:space="preserve"> </w:t>
      </w:r>
      <w:r w:rsidR="00601933" w:rsidRPr="00833C88">
        <w:rPr>
          <w:rFonts w:cs="Times New Roman"/>
          <w:sz w:val="24"/>
          <w:szCs w:val="24"/>
        </w:rPr>
        <w:t>i </w:t>
      </w:r>
      <w:r w:rsidR="009025EF" w:rsidRPr="00833C88">
        <w:rPr>
          <w:rFonts w:cs="Times New Roman"/>
          <w:sz w:val="24"/>
          <w:szCs w:val="24"/>
        </w:rPr>
        <w:t xml:space="preserve">nadzorowanych przez tego </w:t>
      </w:r>
      <w:r w:rsidR="008E3F96" w:rsidRPr="00833C88">
        <w:rPr>
          <w:rFonts w:cs="Times New Roman"/>
          <w:sz w:val="24"/>
          <w:szCs w:val="24"/>
        </w:rPr>
        <w:t>ministra.</w:t>
      </w:r>
    </w:p>
    <w:p w14:paraId="62064863" w14:textId="00FB923E" w:rsidR="008E3F96" w:rsidRPr="00833C88" w:rsidRDefault="0052155B" w:rsidP="0029004E">
      <w:pPr>
        <w:spacing w:line="360" w:lineRule="auto"/>
        <w:jc w:val="both"/>
        <w:rPr>
          <w:rFonts w:cs="Times New Roman"/>
          <w:sz w:val="24"/>
          <w:szCs w:val="24"/>
        </w:rPr>
      </w:pPr>
      <w:r w:rsidRPr="00833C88">
        <w:rPr>
          <w:rFonts w:cs="Times New Roman"/>
          <w:sz w:val="24"/>
          <w:szCs w:val="24"/>
        </w:rPr>
        <w:lastRenderedPageBreak/>
        <w:t>Organ właściwy do spraw cyberbezpieczeństwa powinien także wiedzieć</w:t>
      </w:r>
      <w:r w:rsidR="00D15B48" w:rsidRPr="00833C88">
        <w:rPr>
          <w:rFonts w:cs="Times New Roman"/>
          <w:sz w:val="24"/>
          <w:szCs w:val="24"/>
        </w:rPr>
        <w:t xml:space="preserve">, czy podmiot kluczowy albo podmiot ważny zawarł porozumienie </w:t>
      </w:r>
      <w:r w:rsidR="00601933" w:rsidRPr="00833C88">
        <w:rPr>
          <w:rFonts w:cs="Times New Roman"/>
          <w:sz w:val="24"/>
          <w:szCs w:val="24"/>
        </w:rPr>
        <w:t>w </w:t>
      </w:r>
      <w:r w:rsidR="00D15B48" w:rsidRPr="00833C88">
        <w:rPr>
          <w:rFonts w:cs="Times New Roman"/>
          <w:sz w:val="24"/>
          <w:szCs w:val="24"/>
        </w:rPr>
        <w:t>sprawie wymiany informacji o</w:t>
      </w:r>
      <w:r w:rsidR="000C371B" w:rsidRPr="00833C88">
        <w:rPr>
          <w:rFonts w:cs="Times New Roman"/>
          <w:sz w:val="24"/>
          <w:szCs w:val="24"/>
        </w:rPr>
        <w:t> </w:t>
      </w:r>
      <w:r w:rsidR="00D15B48" w:rsidRPr="00833C88">
        <w:rPr>
          <w:rFonts w:cs="Times New Roman"/>
          <w:sz w:val="24"/>
          <w:szCs w:val="24"/>
        </w:rPr>
        <w:t xml:space="preserve">zdarzeniach </w:t>
      </w:r>
      <w:r w:rsidR="00601933" w:rsidRPr="00833C88">
        <w:rPr>
          <w:rFonts w:cs="Times New Roman"/>
          <w:sz w:val="24"/>
          <w:szCs w:val="24"/>
        </w:rPr>
        <w:t>z </w:t>
      </w:r>
      <w:r w:rsidR="00D15B48" w:rsidRPr="00833C88">
        <w:rPr>
          <w:rFonts w:cs="Times New Roman"/>
          <w:sz w:val="24"/>
          <w:szCs w:val="24"/>
        </w:rPr>
        <w:t>zakresu cyberbezpieczeństwa</w:t>
      </w:r>
      <w:r w:rsidR="00F32DF6" w:rsidRPr="00833C88">
        <w:rPr>
          <w:rFonts w:cs="Times New Roman"/>
          <w:sz w:val="24"/>
          <w:szCs w:val="24"/>
        </w:rPr>
        <w:t xml:space="preserve"> (</w:t>
      </w:r>
      <w:r w:rsidR="00601933" w:rsidRPr="00833C88">
        <w:rPr>
          <w:rFonts w:cs="Times New Roman"/>
          <w:sz w:val="24"/>
          <w:szCs w:val="24"/>
        </w:rPr>
        <w:t>w </w:t>
      </w:r>
      <w:r w:rsidR="00F32DF6" w:rsidRPr="00833C88">
        <w:rPr>
          <w:rFonts w:cs="Times New Roman"/>
          <w:sz w:val="24"/>
          <w:szCs w:val="24"/>
        </w:rPr>
        <w:t xml:space="preserve">praktyce to będą porozumienia </w:t>
      </w:r>
      <w:r w:rsidR="00601933" w:rsidRPr="00833C88">
        <w:rPr>
          <w:rFonts w:cs="Times New Roman"/>
          <w:sz w:val="24"/>
          <w:szCs w:val="24"/>
        </w:rPr>
        <w:t>w </w:t>
      </w:r>
      <w:r w:rsidR="00F32DF6" w:rsidRPr="00833C88">
        <w:rPr>
          <w:rFonts w:cs="Times New Roman"/>
          <w:sz w:val="24"/>
          <w:szCs w:val="24"/>
        </w:rPr>
        <w:t>sprawie sektorowych inicjatyw ISAC)</w:t>
      </w:r>
      <w:r w:rsidR="00972AEB" w:rsidRPr="00833C88">
        <w:rPr>
          <w:rFonts w:cs="Times New Roman"/>
          <w:sz w:val="24"/>
          <w:szCs w:val="24"/>
        </w:rPr>
        <w:t xml:space="preserve">. </w:t>
      </w:r>
      <w:r w:rsidR="00EE4F3B" w:rsidRPr="00833C88">
        <w:rPr>
          <w:rFonts w:cs="Times New Roman"/>
          <w:sz w:val="24"/>
          <w:szCs w:val="24"/>
        </w:rPr>
        <w:t xml:space="preserve">Obowiązek poinformowania o </w:t>
      </w:r>
      <w:r w:rsidR="00B336B3" w:rsidRPr="00833C88">
        <w:rPr>
          <w:rFonts w:cs="Times New Roman"/>
          <w:sz w:val="24"/>
          <w:szCs w:val="24"/>
        </w:rPr>
        <w:t xml:space="preserve">zawarciu takiego porozumienia wynika z dyrektywy NIS 2. </w:t>
      </w:r>
      <w:r w:rsidR="00972AEB" w:rsidRPr="00833C88">
        <w:rPr>
          <w:rFonts w:cs="Times New Roman"/>
          <w:sz w:val="24"/>
          <w:szCs w:val="24"/>
        </w:rPr>
        <w:t xml:space="preserve">Bardzo istotna jest informacja czy podmiot jest </w:t>
      </w:r>
      <w:r w:rsidR="00125525" w:rsidRPr="00833C88">
        <w:rPr>
          <w:rFonts w:cs="Times New Roman"/>
          <w:sz w:val="24"/>
          <w:szCs w:val="24"/>
        </w:rPr>
        <w:t xml:space="preserve">podmiotem krytycznym </w:t>
      </w:r>
      <w:r w:rsidR="00601933" w:rsidRPr="00833C88">
        <w:rPr>
          <w:rFonts w:cs="Times New Roman"/>
          <w:sz w:val="24"/>
          <w:szCs w:val="24"/>
        </w:rPr>
        <w:t>w </w:t>
      </w:r>
      <w:r w:rsidR="00125525" w:rsidRPr="00833C88">
        <w:rPr>
          <w:rFonts w:cs="Times New Roman"/>
          <w:sz w:val="24"/>
          <w:szCs w:val="24"/>
        </w:rPr>
        <w:t>rozumieniu dyrektywy CER</w:t>
      </w:r>
      <w:r w:rsidR="00102F8C" w:rsidRPr="00833C88">
        <w:rPr>
          <w:rFonts w:cs="Times New Roman"/>
          <w:sz w:val="24"/>
          <w:szCs w:val="24"/>
        </w:rPr>
        <w:t xml:space="preserve"> </w:t>
      </w:r>
      <w:r w:rsidR="00601933" w:rsidRPr="00833C88">
        <w:rPr>
          <w:rFonts w:cs="Times New Roman"/>
          <w:sz w:val="24"/>
          <w:szCs w:val="24"/>
        </w:rPr>
        <w:t>i </w:t>
      </w:r>
      <w:r w:rsidR="00102F8C" w:rsidRPr="00833C88">
        <w:rPr>
          <w:rFonts w:cs="Times New Roman"/>
          <w:sz w:val="24"/>
          <w:szCs w:val="24"/>
        </w:rPr>
        <w:t xml:space="preserve">podlega obowiązkom </w:t>
      </w:r>
      <w:r w:rsidR="00601933" w:rsidRPr="00833C88">
        <w:rPr>
          <w:rFonts w:cs="Times New Roman"/>
          <w:sz w:val="24"/>
          <w:szCs w:val="24"/>
        </w:rPr>
        <w:t>z </w:t>
      </w:r>
      <w:r w:rsidR="00102F8C" w:rsidRPr="00833C88">
        <w:rPr>
          <w:rFonts w:cs="Times New Roman"/>
          <w:sz w:val="24"/>
          <w:szCs w:val="24"/>
        </w:rPr>
        <w:t>dyrektywy</w:t>
      </w:r>
      <w:r w:rsidR="000C371B" w:rsidRPr="00833C88">
        <w:rPr>
          <w:rFonts w:cs="Times New Roman"/>
          <w:sz w:val="24"/>
          <w:szCs w:val="24"/>
        </w:rPr>
        <w:t xml:space="preserve"> CER</w:t>
      </w:r>
      <w:r w:rsidR="00102F8C" w:rsidRPr="00833C88">
        <w:rPr>
          <w:rFonts w:cs="Times New Roman"/>
          <w:sz w:val="24"/>
          <w:szCs w:val="24"/>
        </w:rPr>
        <w:t>.</w:t>
      </w:r>
    </w:p>
    <w:p w14:paraId="7A620E4E" w14:textId="51F5626F" w:rsidR="00E32857" w:rsidRPr="00833C88" w:rsidRDefault="00F81AA3" w:rsidP="0029004E">
      <w:pPr>
        <w:spacing w:line="360" w:lineRule="auto"/>
        <w:jc w:val="both"/>
        <w:rPr>
          <w:rFonts w:cs="Times New Roman"/>
          <w:sz w:val="24"/>
          <w:szCs w:val="24"/>
        </w:rPr>
      </w:pPr>
      <w:r w:rsidRPr="00833C88">
        <w:rPr>
          <w:rFonts w:cs="Times New Roman"/>
          <w:sz w:val="24"/>
          <w:szCs w:val="24"/>
        </w:rPr>
        <w:t xml:space="preserve">Konieczne jest także zawarcie </w:t>
      </w:r>
      <w:r w:rsidR="00601933" w:rsidRPr="00833C88">
        <w:rPr>
          <w:rFonts w:cs="Times New Roman"/>
          <w:sz w:val="24"/>
          <w:szCs w:val="24"/>
        </w:rPr>
        <w:t>w </w:t>
      </w:r>
      <w:r w:rsidRPr="00833C88">
        <w:rPr>
          <w:rFonts w:cs="Times New Roman"/>
          <w:sz w:val="24"/>
          <w:szCs w:val="24"/>
        </w:rPr>
        <w:t xml:space="preserve">wykazie informacji </w:t>
      </w:r>
      <w:r w:rsidR="00601933" w:rsidRPr="00833C88">
        <w:rPr>
          <w:rFonts w:cs="Times New Roman"/>
          <w:sz w:val="24"/>
          <w:szCs w:val="24"/>
        </w:rPr>
        <w:t>o </w:t>
      </w:r>
      <w:r w:rsidRPr="00833C88">
        <w:rPr>
          <w:rFonts w:cs="Times New Roman"/>
          <w:sz w:val="24"/>
          <w:szCs w:val="24"/>
        </w:rPr>
        <w:t xml:space="preserve">przedstawicielu podmiotów kluczowych lub podmiotów ważnych </w:t>
      </w:r>
      <w:r w:rsidR="00601933" w:rsidRPr="00833C88">
        <w:rPr>
          <w:rFonts w:cs="Times New Roman"/>
          <w:sz w:val="24"/>
          <w:szCs w:val="24"/>
        </w:rPr>
        <w:t>z </w:t>
      </w:r>
      <w:r w:rsidRPr="00833C88">
        <w:rPr>
          <w:rFonts w:cs="Times New Roman"/>
          <w:sz w:val="24"/>
          <w:szCs w:val="24"/>
        </w:rPr>
        <w:t xml:space="preserve">innych państw członkowskich </w:t>
      </w:r>
      <w:r w:rsidR="00222A93" w:rsidRPr="00833C88">
        <w:rPr>
          <w:rFonts w:cs="Times New Roman"/>
          <w:sz w:val="24"/>
          <w:szCs w:val="24"/>
        </w:rPr>
        <w:t xml:space="preserve">Unii Europejskiej </w:t>
      </w:r>
      <w:r w:rsidR="00601933" w:rsidRPr="00833C88">
        <w:rPr>
          <w:rFonts w:cs="Times New Roman"/>
          <w:sz w:val="24"/>
          <w:szCs w:val="24"/>
        </w:rPr>
        <w:t>z </w:t>
      </w:r>
      <w:r w:rsidRPr="00833C88">
        <w:rPr>
          <w:rFonts w:cs="Times New Roman"/>
          <w:sz w:val="24"/>
          <w:szCs w:val="24"/>
        </w:rPr>
        <w:t>sektora infrastruktury cyfrowej, które świadczą usługi na terenie Polski.</w:t>
      </w:r>
      <w:r w:rsidR="003856D3" w:rsidRPr="00833C88">
        <w:rPr>
          <w:rFonts w:cs="Times New Roman"/>
          <w:sz w:val="24"/>
          <w:szCs w:val="24"/>
        </w:rPr>
        <w:t xml:space="preserve"> Zgodnie </w:t>
      </w:r>
      <w:r w:rsidR="00601933" w:rsidRPr="00833C88">
        <w:rPr>
          <w:rFonts w:cs="Times New Roman"/>
          <w:sz w:val="24"/>
          <w:szCs w:val="24"/>
        </w:rPr>
        <w:t>z </w:t>
      </w:r>
      <w:r w:rsidR="003856D3" w:rsidRPr="00833C88">
        <w:rPr>
          <w:rFonts w:cs="Times New Roman"/>
          <w:sz w:val="24"/>
          <w:szCs w:val="24"/>
        </w:rPr>
        <w:t xml:space="preserve">dyrektywą NIS 2 państwo członkowskie </w:t>
      </w:r>
      <w:r w:rsidR="00BB241E" w:rsidRPr="00833C88">
        <w:rPr>
          <w:rFonts w:cs="Times New Roman"/>
          <w:sz w:val="24"/>
          <w:szCs w:val="24"/>
        </w:rPr>
        <w:t xml:space="preserve">Unii Europejskiej </w:t>
      </w:r>
      <w:r w:rsidR="003856D3" w:rsidRPr="00833C88">
        <w:rPr>
          <w:rFonts w:cs="Times New Roman"/>
          <w:sz w:val="24"/>
          <w:szCs w:val="24"/>
        </w:rPr>
        <w:t xml:space="preserve">może </w:t>
      </w:r>
      <w:proofErr w:type="gramStart"/>
      <w:r w:rsidR="003856D3" w:rsidRPr="00833C88">
        <w:rPr>
          <w:rFonts w:cs="Times New Roman"/>
          <w:sz w:val="24"/>
          <w:szCs w:val="24"/>
        </w:rPr>
        <w:t>podejmować</w:t>
      </w:r>
      <w:proofErr w:type="gramEnd"/>
      <w:r w:rsidR="003856D3" w:rsidRPr="00833C88">
        <w:rPr>
          <w:rFonts w:cs="Times New Roman"/>
          <w:sz w:val="24"/>
          <w:szCs w:val="24"/>
        </w:rPr>
        <w:t xml:space="preserve"> wobec tego przedstawiciela kroki prawne </w:t>
      </w:r>
      <w:r w:rsidR="00601933" w:rsidRPr="00833C88">
        <w:rPr>
          <w:rFonts w:cs="Times New Roman"/>
          <w:sz w:val="24"/>
          <w:szCs w:val="24"/>
        </w:rPr>
        <w:t>w </w:t>
      </w:r>
      <w:r w:rsidR="003856D3" w:rsidRPr="00833C88">
        <w:rPr>
          <w:rFonts w:cs="Times New Roman"/>
          <w:sz w:val="24"/>
          <w:szCs w:val="24"/>
        </w:rPr>
        <w:t xml:space="preserve">przypadku naruszenia obowiązków wynikających </w:t>
      </w:r>
      <w:r w:rsidR="00601933" w:rsidRPr="00833C88">
        <w:rPr>
          <w:rFonts w:cs="Times New Roman"/>
          <w:sz w:val="24"/>
          <w:szCs w:val="24"/>
        </w:rPr>
        <w:t>z </w:t>
      </w:r>
      <w:r w:rsidR="003856D3" w:rsidRPr="00833C88">
        <w:rPr>
          <w:rFonts w:cs="Times New Roman"/>
          <w:sz w:val="24"/>
          <w:szCs w:val="24"/>
        </w:rPr>
        <w:t>dyrektywy NIS 2.</w:t>
      </w:r>
      <w:r w:rsidR="007F6483" w:rsidRPr="00833C88">
        <w:rPr>
          <w:rFonts w:cs="Times New Roman"/>
          <w:sz w:val="24"/>
          <w:szCs w:val="24"/>
        </w:rPr>
        <w:t xml:space="preserve"> Należy rozróżnić </w:t>
      </w:r>
      <w:proofErr w:type="gramStart"/>
      <w:r w:rsidR="007F6483" w:rsidRPr="00833C88">
        <w:rPr>
          <w:rFonts w:cs="Times New Roman"/>
          <w:sz w:val="24"/>
          <w:szCs w:val="24"/>
        </w:rPr>
        <w:t>przypadek</w:t>
      </w:r>
      <w:proofErr w:type="gramEnd"/>
      <w:r w:rsidR="007F6483" w:rsidRPr="00833C88">
        <w:rPr>
          <w:rFonts w:cs="Times New Roman"/>
          <w:sz w:val="24"/>
          <w:szCs w:val="24"/>
        </w:rPr>
        <w:t xml:space="preserve"> gdy przedstawicielem tym będzie osoba fizyczna oraz </w:t>
      </w:r>
      <w:r w:rsidR="00C66A95" w:rsidRPr="00833C88">
        <w:rPr>
          <w:rFonts w:cs="Times New Roman"/>
          <w:sz w:val="24"/>
          <w:szCs w:val="24"/>
        </w:rPr>
        <w:t xml:space="preserve">osoba prawna czy jednostka organizacyjna nieposiadająca osobowości prawnej. </w:t>
      </w:r>
      <w:r w:rsidR="00601933" w:rsidRPr="00833C88">
        <w:rPr>
          <w:rFonts w:cs="Times New Roman"/>
          <w:sz w:val="24"/>
          <w:szCs w:val="24"/>
        </w:rPr>
        <w:t>W </w:t>
      </w:r>
      <w:r w:rsidR="00C66A95" w:rsidRPr="00833C88">
        <w:rPr>
          <w:rFonts w:cs="Times New Roman"/>
          <w:sz w:val="24"/>
          <w:szCs w:val="24"/>
        </w:rPr>
        <w:t>przypadku przedstawiciela będąc</w:t>
      </w:r>
      <w:r w:rsidR="00EF6FE7" w:rsidRPr="00833C88">
        <w:rPr>
          <w:rFonts w:cs="Times New Roman"/>
          <w:sz w:val="24"/>
          <w:szCs w:val="24"/>
        </w:rPr>
        <w:t>ego</w:t>
      </w:r>
      <w:r w:rsidR="00C66A95" w:rsidRPr="00833C88">
        <w:rPr>
          <w:rFonts w:cs="Times New Roman"/>
          <w:sz w:val="24"/>
          <w:szCs w:val="24"/>
        </w:rPr>
        <w:t xml:space="preserve"> osobą fizyczną</w:t>
      </w:r>
      <w:r w:rsidR="00EF6FE7" w:rsidRPr="00833C88">
        <w:rPr>
          <w:rFonts w:cs="Times New Roman"/>
          <w:sz w:val="24"/>
          <w:szCs w:val="24"/>
        </w:rPr>
        <w:t>,</w:t>
      </w:r>
      <w:r w:rsidR="00C66A95" w:rsidRPr="00833C88">
        <w:rPr>
          <w:rFonts w:cs="Times New Roman"/>
          <w:sz w:val="24"/>
          <w:szCs w:val="24"/>
        </w:rPr>
        <w:t xml:space="preserve"> mając na uwadze zasadę minimalizacji przetwarzanych danych wynikającą </w:t>
      </w:r>
      <w:r w:rsidR="00601933" w:rsidRPr="00833C88">
        <w:rPr>
          <w:rFonts w:cs="Times New Roman"/>
          <w:sz w:val="24"/>
          <w:szCs w:val="24"/>
        </w:rPr>
        <w:t>z </w:t>
      </w:r>
      <w:r w:rsidR="000A0122" w:rsidRPr="00833C88">
        <w:rPr>
          <w:rFonts w:eastAsia="Times New Roman" w:cs="Times New Roman"/>
          <w:sz w:val="24"/>
          <w:szCs w:val="24"/>
          <w:lang w:eastAsia="pl-PL"/>
        </w:rPr>
        <w:t xml:space="preserve">rozporządzenia Parlamentu Europejskiego </w:t>
      </w:r>
      <w:r w:rsidR="00601933" w:rsidRPr="00833C88">
        <w:rPr>
          <w:rFonts w:eastAsia="Times New Roman" w:cs="Times New Roman"/>
          <w:sz w:val="24"/>
          <w:szCs w:val="24"/>
          <w:lang w:eastAsia="pl-PL"/>
        </w:rPr>
        <w:t>i </w:t>
      </w:r>
      <w:r w:rsidR="000A0122" w:rsidRPr="00833C88">
        <w:rPr>
          <w:rFonts w:eastAsia="Times New Roman" w:cs="Times New Roman"/>
          <w:sz w:val="24"/>
          <w:szCs w:val="24"/>
          <w:lang w:eastAsia="pl-PL"/>
        </w:rPr>
        <w:t xml:space="preserve">Rady (UE) 2016/679 </w:t>
      </w:r>
      <w:r w:rsidR="00601933" w:rsidRPr="00833C88">
        <w:rPr>
          <w:rFonts w:eastAsia="Times New Roman" w:cs="Times New Roman"/>
          <w:sz w:val="24"/>
          <w:szCs w:val="24"/>
          <w:lang w:eastAsia="pl-PL"/>
        </w:rPr>
        <w:t>z </w:t>
      </w:r>
      <w:r w:rsidR="000A0122" w:rsidRPr="00833C88">
        <w:rPr>
          <w:rFonts w:eastAsia="Times New Roman" w:cs="Times New Roman"/>
          <w:sz w:val="24"/>
          <w:szCs w:val="24"/>
          <w:lang w:eastAsia="pl-PL"/>
        </w:rPr>
        <w:t xml:space="preserve">dnia 27 kwietna 2016 r. </w:t>
      </w:r>
      <w:r w:rsidR="00601933" w:rsidRPr="00833C88">
        <w:rPr>
          <w:rFonts w:eastAsia="Times New Roman" w:cs="Times New Roman"/>
          <w:sz w:val="24"/>
          <w:szCs w:val="24"/>
          <w:lang w:eastAsia="pl-PL"/>
        </w:rPr>
        <w:t>w </w:t>
      </w:r>
      <w:r w:rsidR="000A0122" w:rsidRPr="00833C88">
        <w:rPr>
          <w:rFonts w:eastAsia="Times New Roman" w:cs="Times New Roman"/>
          <w:sz w:val="24"/>
          <w:szCs w:val="24"/>
          <w:lang w:eastAsia="pl-PL"/>
        </w:rPr>
        <w:t xml:space="preserve">sprawie ochrony osób fizycznych </w:t>
      </w:r>
      <w:r w:rsidR="00601933" w:rsidRPr="00833C88">
        <w:rPr>
          <w:rFonts w:eastAsia="Times New Roman" w:cs="Times New Roman"/>
          <w:sz w:val="24"/>
          <w:szCs w:val="24"/>
          <w:lang w:eastAsia="pl-PL"/>
        </w:rPr>
        <w:t>w </w:t>
      </w:r>
      <w:r w:rsidR="000A0122"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000A0122" w:rsidRPr="00833C88">
        <w:rPr>
          <w:rFonts w:eastAsia="Times New Roman" w:cs="Times New Roman"/>
          <w:sz w:val="24"/>
          <w:szCs w:val="24"/>
          <w:lang w:eastAsia="pl-PL"/>
        </w:rPr>
        <w:t xml:space="preserve">przetwarzaniem danych osobowych </w:t>
      </w:r>
      <w:r w:rsidR="00601933" w:rsidRPr="00833C88">
        <w:rPr>
          <w:rFonts w:eastAsia="Times New Roman" w:cs="Times New Roman"/>
          <w:sz w:val="24"/>
          <w:szCs w:val="24"/>
          <w:lang w:eastAsia="pl-PL"/>
        </w:rPr>
        <w:t>i w </w:t>
      </w:r>
      <w:r w:rsidR="000A0122" w:rsidRPr="00833C88">
        <w:rPr>
          <w:rFonts w:eastAsia="Times New Roman" w:cs="Times New Roman"/>
          <w:sz w:val="24"/>
          <w:szCs w:val="24"/>
          <w:lang w:eastAsia="pl-PL"/>
        </w:rPr>
        <w:t xml:space="preserve">sprawie swobodnego przepływu takich danych oraz uchylenia dyrektywy 95/46/WE (ogólne rozporządzenie </w:t>
      </w:r>
      <w:r w:rsidR="00601933" w:rsidRPr="00833C88">
        <w:rPr>
          <w:rFonts w:eastAsia="Times New Roman" w:cs="Times New Roman"/>
          <w:sz w:val="24"/>
          <w:szCs w:val="24"/>
          <w:lang w:eastAsia="pl-PL"/>
        </w:rPr>
        <w:t>o </w:t>
      </w:r>
      <w:r w:rsidR="000A0122" w:rsidRPr="00833C88">
        <w:rPr>
          <w:rFonts w:eastAsia="Times New Roman" w:cs="Times New Roman"/>
          <w:sz w:val="24"/>
          <w:szCs w:val="24"/>
          <w:lang w:eastAsia="pl-PL"/>
        </w:rPr>
        <w:t>ochronie danych) (</w:t>
      </w:r>
      <w:r w:rsidR="000A0122" w:rsidRPr="00833C88">
        <w:rPr>
          <w:rFonts w:cs="Times New Roman"/>
          <w:sz w:val="24"/>
          <w:szCs w:val="24"/>
        </w:rPr>
        <w:t xml:space="preserve">Dz. Urz. UE L 119 </w:t>
      </w:r>
      <w:r w:rsidR="00601933" w:rsidRPr="00833C88">
        <w:rPr>
          <w:rFonts w:cs="Times New Roman"/>
          <w:sz w:val="24"/>
          <w:szCs w:val="24"/>
        </w:rPr>
        <w:t>z </w:t>
      </w:r>
      <w:r w:rsidR="008A267D" w:rsidRPr="00833C88">
        <w:rPr>
          <w:rFonts w:cs="Times New Roman"/>
          <w:sz w:val="24"/>
          <w:szCs w:val="24"/>
        </w:rPr>
        <w:t>0</w:t>
      </w:r>
      <w:r w:rsidR="000A0122" w:rsidRPr="00833C88">
        <w:rPr>
          <w:rFonts w:cs="Times New Roman"/>
          <w:sz w:val="24"/>
          <w:szCs w:val="24"/>
        </w:rPr>
        <w:t>4.</w:t>
      </w:r>
      <w:r w:rsidR="008A267D" w:rsidRPr="00833C88">
        <w:rPr>
          <w:rFonts w:cs="Times New Roman"/>
          <w:sz w:val="24"/>
          <w:szCs w:val="24"/>
        </w:rPr>
        <w:t>0</w:t>
      </w:r>
      <w:r w:rsidR="000A0122" w:rsidRPr="00833C88">
        <w:rPr>
          <w:rFonts w:cs="Times New Roman"/>
          <w:sz w:val="24"/>
          <w:szCs w:val="24"/>
        </w:rPr>
        <w:t xml:space="preserve">5.2016, str. 1, </w:t>
      </w:r>
      <w:r w:rsidR="00601933" w:rsidRPr="00833C88">
        <w:rPr>
          <w:rFonts w:cs="Times New Roman"/>
          <w:sz w:val="24"/>
          <w:szCs w:val="24"/>
        </w:rPr>
        <w:t>z </w:t>
      </w:r>
      <w:r w:rsidR="000A0122" w:rsidRPr="00833C88">
        <w:rPr>
          <w:rFonts w:cs="Times New Roman"/>
          <w:sz w:val="24"/>
          <w:szCs w:val="24"/>
        </w:rPr>
        <w:t>późn. zm</w:t>
      </w:r>
      <w:r w:rsidR="000A0122" w:rsidRPr="00833C88">
        <w:rPr>
          <w:rFonts w:eastAsia="Times New Roman" w:cs="Times New Roman"/>
          <w:sz w:val="24"/>
          <w:szCs w:val="24"/>
          <w:lang w:eastAsia="pl-PL"/>
        </w:rPr>
        <w:t>.), zwanego dalej „RODO”</w:t>
      </w:r>
      <w:r w:rsidR="00EF6FE7" w:rsidRPr="00833C88">
        <w:rPr>
          <w:rFonts w:eastAsia="Times New Roman" w:cs="Times New Roman"/>
          <w:sz w:val="24"/>
          <w:szCs w:val="24"/>
          <w:lang w:eastAsia="pl-PL"/>
        </w:rPr>
        <w:t>,</w:t>
      </w:r>
      <w:r w:rsidR="00C66A95" w:rsidRPr="00833C88">
        <w:rPr>
          <w:rFonts w:cs="Times New Roman"/>
          <w:sz w:val="24"/>
          <w:szCs w:val="24"/>
        </w:rPr>
        <w:t xml:space="preserve"> </w:t>
      </w:r>
      <w:r w:rsidR="00EF6FE7" w:rsidRPr="00833C88">
        <w:rPr>
          <w:rFonts w:cs="Times New Roman"/>
          <w:sz w:val="24"/>
          <w:szCs w:val="24"/>
        </w:rPr>
        <w:t>w</w:t>
      </w:r>
      <w:r w:rsidR="00C66A95" w:rsidRPr="00833C88">
        <w:rPr>
          <w:rFonts w:cs="Times New Roman"/>
          <w:sz w:val="24"/>
          <w:szCs w:val="24"/>
        </w:rPr>
        <w:t xml:space="preserve">skazano na konieczność podania imienia </w:t>
      </w:r>
      <w:r w:rsidR="00601933" w:rsidRPr="00833C88">
        <w:rPr>
          <w:rFonts w:cs="Times New Roman"/>
          <w:sz w:val="24"/>
          <w:szCs w:val="24"/>
        </w:rPr>
        <w:t>i </w:t>
      </w:r>
      <w:r w:rsidR="00C66A95" w:rsidRPr="00833C88">
        <w:rPr>
          <w:rFonts w:cs="Times New Roman"/>
          <w:sz w:val="24"/>
          <w:szCs w:val="24"/>
        </w:rPr>
        <w:t>nazwiska, adresu do korespondencji</w:t>
      </w:r>
      <w:r w:rsidR="003B011D" w:rsidRPr="00833C88">
        <w:rPr>
          <w:rFonts w:cs="Times New Roman"/>
          <w:sz w:val="24"/>
          <w:szCs w:val="24"/>
        </w:rPr>
        <w:t xml:space="preserve">, numeru telefonu oraz adresu poczty elektronicznej. Imię </w:t>
      </w:r>
      <w:r w:rsidR="00601933" w:rsidRPr="00833C88">
        <w:rPr>
          <w:rFonts w:cs="Times New Roman"/>
          <w:sz w:val="24"/>
          <w:szCs w:val="24"/>
        </w:rPr>
        <w:t>i </w:t>
      </w:r>
      <w:r w:rsidR="003B011D" w:rsidRPr="00833C88">
        <w:rPr>
          <w:rFonts w:cs="Times New Roman"/>
          <w:sz w:val="24"/>
          <w:szCs w:val="24"/>
        </w:rPr>
        <w:t xml:space="preserve">nazwisko </w:t>
      </w:r>
      <w:proofErr w:type="gramStart"/>
      <w:r w:rsidR="003B011D" w:rsidRPr="00833C88">
        <w:rPr>
          <w:rFonts w:cs="Times New Roman"/>
          <w:sz w:val="24"/>
          <w:szCs w:val="24"/>
        </w:rPr>
        <w:t>jest</w:t>
      </w:r>
      <w:proofErr w:type="gramEnd"/>
      <w:r w:rsidR="003B011D" w:rsidRPr="00833C88">
        <w:rPr>
          <w:rFonts w:cs="Times New Roman"/>
          <w:sz w:val="24"/>
          <w:szCs w:val="24"/>
        </w:rPr>
        <w:t xml:space="preserve"> konieczne do zidentyfikowania przedstawiciela, adres do korespondencji jest niezbędny do przekazywania oficjalnych pism związanych </w:t>
      </w:r>
      <w:r w:rsidR="00601933" w:rsidRPr="00833C88">
        <w:rPr>
          <w:rFonts w:cs="Times New Roman"/>
          <w:sz w:val="24"/>
          <w:szCs w:val="24"/>
        </w:rPr>
        <w:t>z </w:t>
      </w:r>
      <w:r w:rsidR="003B011D" w:rsidRPr="00833C88">
        <w:rPr>
          <w:rFonts w:cs="Times New Roman"/>
          <w:sz w:val="24"/>
          <w:szCs w:val="24"/>
        </w:rPr>
        <w:t xml:space="preserve">czynnościami nadzorczymi, adres poczty elektronicznej oraz numer telefonu są niezbędne do szybkiej komunikacji </w:t>
      </w:r>
      <w:r w:rsidR="00601933" w:rsidRPr="00833C88">
        <w:rPr>
          <w:rFonts w:cs="Times New Roman"/>
          <w:sz w:val="24"/>
          <w:szCs w:val="24"/>
        </w:rPr>
        <w:t>z </w:t>
      </w:r>
      <w:r w:rsidR="003B011D" w:rsidRPr="00833C88">
        <w:rPr>
          <w:rFonts w:cs="Times New Roman"/>
          <w:sz w:val="24"/>
          <w:szCs w:val="24"/>
        </w:rPr>
        <w:t>p</w:t>
      </w:r>
      <w:r w:rsidR="000A495B" w:rsidRPr="00833C88">
        <w:rPr>
          <w:rFonts w:cs="Times New Roman"/>
          <w:sz w:val="24"/>
          <w:szCs w:val="24"/>
        </w:rPr>
        <w:t xml:space="preserve">rzedstawicielem, jeżeli zajdzie taka potrzeba np. </w:t>
      </w:r>
      <w:r w:rsidR="00601933" w:rsidRPr="00833C88">
        <w:rPr>
          <w:rFonts w:cs="Times New Roman"/>
          <w:sz w:val="24"/>
          <w:szCs w:val="24"/>
        </w:rPr>
        <w:t>w </w:t>
      </w:r>
      <w:r w:rsidR="000A495B" w:rsidRPr="00833C88">
        <w:rPr>
          <w:rFonts w:cs="Times New Roman"/>
          <w:sz w:val="24"/>
          <w:szCs w:val="24"/>
        </w:rPr>
        <w:t xml:space="preserve">związku </w:t>
      </w:r>
      <w:r w:rsidR="00601933" w:rsidRPr="00833C88">
        <w:rPr>
          <w:rFonts w:cs="Times New Roman"/>
          <w:sz w:val="24"/>
          <w:szCs w:val="24"/>
        </w:rPr>
        <w:t>z </w:t>
      </w:r>
      <w:r w:rsidR="000A495B" w:rsidRPr="00833C88">
        <w:rPr>
          <w:rFonts w:cs="Times New Roman"/>
          <w:sz w:val="24"/>
          <w:szCs w:val="24"/>
        </w:rPr>
        <w:t xml:space="preserve">incydentem. </w:t>
      </w:r>
      <w:r w:rsidR="00601933" w:rsidRPr="00833C88">
        <w:rPr>
          <w:rFonts w:cs="Times New Roman"/>
          <w:sz w:val="24"/>
          <w:szCs w:val="24"/>
        </w:rPr>
        <w:t>W </w:t>
      </w:r>
      <w:r w:rsidR="000A495B" w:rsidRPr="00833C88">
        <w:rPr>
          <w:rFonts w:cs="Times New Roman"/>
          <w:sz w:val="24"/>
          <w:szCs w:val="24"/>
        </w:rPr>
        <w:t xml:space="preserve">przypadku osób prawnych </w:t>
      </w:r>
      <w:r w:rsidR="00065A26" w:rsidRPr="00833C88">
        <w:rPr>
          <w:rFonts w:cs="Times New Roman"/>
          <w:sz w:val="24"/>
          <w:szCs w:val="24"/>
        </w:rPr>
        <w:t>wskazano na konieczność podania nazwy (firmy) przedstawiciela, siedziby, adresu do korespondencji, numer telefonu oraz adres poczty elektronicznej.</w:t>
      </w:r>
    </w:p>
    <w:p w14:paraId="5C05E0A3" w14:textId="4F2B7BB5" w:rsidR="008B76B8" w:rsidRPr="00833C88" w:rsidRDefault="00601933" w:rsidP="0029004E">
      <w:pPr>
        <w:spacing w:line="360" w:lineRule="auto"/>
        <w:jc w:val="both"/>
        <w:rPr>
          <w:rFonts w:cs="Times New Roman"/>
          <w:sz w:val="24"/>
          <w:szCs w:val="24"/>
        </w:rPr>
      </w:pPr>
      <w:r w:rsidRPr="00833C88">
        <w:rPr>
          <w:rFonts w:cs="Times New Roman"/>
          <w:sz w:val="24"/>
          <w:szCs w:val="24"/>
        </w:rPr>
        <w:t>Z </w:t>
      </w:r>
      <w:r w:rsidR="008B76B8" w:rsidRPr="00833C88">
        <w:rPr>
          <w:rFonts w:cs="Times New Roman"/>
          <w:sz w:val="24"/>
          <w:szCs w:val="24"/>
        </w:rPr>
        <w:t xml:space="preserve">uwagi na to, że podmiot krytyczny </w:t>
      </w:r>
      <w:r w:rsidRPr="00833C88">
        <w:rPr>
          <w:rFonts w:cs="Times New Roman"/>
          <w:sz w:val="24"/>
          <w:szCs w:val="24"/>
        </w:rPr>
        <w:t>w </w:t>
      </w:r>
      <w:r w:rsidR="008B76B8" w:rsidRPr="00833C88">
        <w:rPr>
          <w:rFonts w:cs="Times New Roman"/>
          <w:sz w:val="24"/>
          <w:szCs w:val="24"/>
        </w:rPr>
        <w:t xml:space="preserve">rozumieniu dyrektywy CER staje się automatycznie podmiotem </w:t>
      </w:r>
      <w:r w:rsidR="00797C07" w:rsidRPr="00833C88">
        <w:rPr>
          <w:rFonts w:cs="Times New Roman"/>
          <w:sz w:val="24"/>
          <w:szCs w:val="24"/>
        </w:rPr>
        <w:t xml:space="preserve">kluczowym </w:t>
      </w:r>
      <w:r w:rsidRPr="00833C88">
        <w:rPr>
          <w:rFonts w:cs="Times New Roman"/>
          <w:sz w:val="24"/>
          <w:szCs w:val="24"/>
        </w:rPr>
        <w:t>w </w:t>
      </w:r>
      <w:r w:rsidR="00797C07" w:rsidRPr="00833C88">
        <w:rPr>
          <w:rFonts w:cs="Times New Roman"/>
          <w:sz w:val="24"/>
          <w:szCs w:val="24"/>
        </w:rPr>
        <w:t>rozumieniu dyrektywy NIS 2</w:t>
      </w:r>
      <w:r w:rsidR="003D5EC7" w:rsidRPr="00833C88">
        <w:rPr>
          <w:rFonts w:cs="Times New Roman"/>
          <w:sz w:val="24"/>
          <w:szCs w:val="24"/>
        </w:rPr>
        <w:t>,</w:t>
      </w:r>
      <w:r w:rsidR="00797C07" w:rsidRPr="00833C88">
        <w:rPr>
          <w:rFonts w:cs="Times New Roman"/>
          <w:sz w:val="24"/>
          <w:szCs w:val="24"/>
        </w:rPr>
        <w:t xml:space="preserve"> to </w:t>
      </w:r>
      <w:r w:rsidRPr="00833C88">
        <w:rPr>
          <w:rFonts w:cs="Times New Roman"/>
          <w:sz w:val="24"/>
          <w:szCs w:val="24"/>
        </w:rPr>
        <w:t>w </w:t>
      </w:r>
      <w:r w:rsidR="00797C07" w:rsidRPr="00833C88">
        <w:rPr>
          <w:rFonts w:cs="Times New Roman"/>
          <w:sz w:val="24"/>
          <w:szCs w:val="24"/>
        </w:rPr>
        <w:t xml:space="preserve">wykazie musi być zawarta informacja </w:t>
      </w:r>
      <w:r w:rsidRPr="00833C88">
        <w:rPr>
          <w:rFonts w:cs="Times New Roman"/>
          <w:sz w:val="24"/>
          <w:szCs w:val="24"/>
        </w:rPr>
        <w:t>o </w:t>
      </w:r>
      <w:r w:rsidR="00797C07" w:rsidRPr="00833C88">
        <w:rPr>
          <w:rFonts w:cs="Times New Roman"/>
          <w:sz w:val="24"/>
          <w:szCs w:val="24"/>
        </w:rPr>
        <w:t xml:space="preserve">tym, że podmiot został uznany za podmiot krytyczny. Informację tę przekaże ministrowi właściwemu do spraw cyberbezpieczeństwa </w:t>
      </w:r>
      <w:r w:rsidR="004734AD" w:rsidRPr="00833C88">
        <w:rPr>
          <w:rFonts w:cs="Times New Roman"/>
          <w:sz w:val="24"/>
          <w:szCs w:val="24"/>
        </w:rPr>
        <w:t>d</w:t>
      </w:r>
      <w:r w:rsidR="00797C07" w:rsidRPr="00833C88">
        <w:rPr>
          <w:rFonts w:cs="Times New Roman"/>
          <w:sz w:val="24"/>
          <w:szCs w:val="24"/>
        </w:rPr>
        <w:t>yrektor Rządowego Centrum Bezpieczeństwa.</w:t>
      </w:r>
    </w:p>
    <w:p w14:paraId="40ADE70B" w14:textId="63404E89" w:rsidR="0012579B" w:rsidRPr="00833C88" w:rsidRDefault="0012579B" w:rsidP="0029004E">
      <w:pPr>
        <w:spacing w:line="360" w:lineRule="auto"/>
        <w:jc w:val="both"/>
        <w:rPr>
          <w:rFonts w:cs="Times New Roman"/>
          <w:sz w:val="24"/>
          <w:szCs w:val="24"/>
        </w:rPr>
      </w:pPr>
      <w:r w:rsidRPr="00833C88">
        <w:rPr>
          <w:rFonts w:cs="Times New Roman"/>
          <w:sz w:val="24"/>
          <w:szCs w:val="24"/>
        </w:rPr>
        <w:t xml:space="preserve">Zdecydowana większość informacji </w:t>
      </w:r>
      <w:r w:rsidR="00601933" w:rsidRPr="00833C88">
        <w:rPr>
          <w:rFonts w:cs="Times New Roman"/>
          <w:sz w:val="24"/>
          <w:szCs w:val="24"/>
        </w:rPr>
        <w:t>w </w:t>
      </w:r>
      <w:r w:rsidRPr="00833C88">
        <w:rPr>
          <w:rFonts w:cs="Times New Roman"/>
          <w:sz w:val="24"/>
          <w:szCs w:val="24"/>
        </w:rPr>
        <w:t xml:space="preserve">wykazie będzie pochodziła od </w:t>
      </w:r>
      <w:r w:rsidR="008E6665" w:rsidRPr="00833C88">
        <w:rPr>
          <w:rFonts w:cs="Times New Roman"/>
          <w:sz w:val="24"/>
          <w:szCs w:val="24"/>
        </w:rPr>
        <w:t>samego podmiotu kluczowego</w:t>
      </w:r>
      <w:r w:rsidR="00206D2C" w:rsidRPr="00833C88">
        <w:rPr>
          <w:rFonts w:cs="Times New Roman"/>
          <w:sz w:val="24"/>
          <w:szCs w:val="24"/>
        </w:rPr>
        <w:t xml:space="preserve">, czy </w:t>
      </w:r>
      <w:r w:rsidR="008E6665" w:rsidRPr="00833C88">
        <w:rPr>
          <w:rFonts w:cs="Times New Roman"/>
          <w:sz w:val="24"/>
          <w:szCs w:val="24"/>
        </w:rPr>
        <w:t xml:space="preserve">podmiotu ważnego – zostanie to zawarte we wniosku </w:t>
      </w:r>
      <w:r w:rsidR="00601933" w:rsidRPr="00833C88">
        <w:rPr>
          <w:rFonts w:cs="Times New Roman"/>
          <w:sz w:val="24"/>
          <w:szCs w:val="24"/>
        </w:rPr>
        <w:t>o </w:t>
      </w:r>
      <w:r w:rsidR="008E6665" w:rsidRPr="00833C88">
        <w:rPr>
          <w:rFonts w:cs="Times New Roman"/>
          <w:sz w:val="24"/>
          <w:szCs w:val="24"/>
        </w:rPr>
        <w:t xml:space="preserve">wpis do wykazu. </w:t>
      </w:r>
      <w:r w:rsidR="008E6665" w:rsidRPr="00833C88">
        <w:rPr>
          <w:rFonts w:cs="Times New Roman"/>
          <w:sz w:val="24"/>
          <w:szCs w:val="24"/>
        </w:rPr>
        <w:lastRenderedPageBreak/>
        <w:t xml:space="preserve">Natomiast część informacji będzie uzupełniana </w:t>
      </w:r>
      <w:r w:rsidR="00601933" w:rsidRPr="00833C88">
        <w:rPr>
          <w:rFonts w:cs="Times New Roman"/>
          <w:sz w:val="24"/>
          <w:szCs w:val="24"/>
        </w:rPr>
        <w:t>z </w:t>
      </w:r>
      <w:r w:rsidR="008E6665" w:rsidRPr="00833C88">
        <w:rPr>
          <w:rFonts w:cs="Times New Roman"/>
          <w:sz w:val="24"/>
          <w:szCs w:val="24"/>
        </w:rPr>
        <w:t>urzędu przez ministra właściwego do spraw informatyzacji. Dotyczy to wskazania organu</w:t>
      </w:r>
      <w:r w:rsidR="00015742" w:rsidRPr="00833C88">
        <w:rPr>
          <w:rFonts w:cs="Times New Roman"/>
          <w:sz w:val="24"/>
          <w:szCs w:val="24"/>
        </w:rPr>
        <w:t xml:space="preserve"> właściwego do spraw cyberbezpieczeństwa, właściwych zespołów CSIRT sektorowych </w:t>
      </w:r>
      <w:r w:rsidR="00601933" w:rsidRPr="00833C88">
        <w:rPr>
          <w:rFonts w:cs="Times New Roman"/>
          <w:sz w:val="24"/>
          <w:szCs w:val="24"/>
        </w:rPr>
        <w:t>i </w:t>
      </w:r>
      <w:r w:rsidR="00015742" w:rsidRPr="00833C88">
        <w:rPr>
          <w:rFonts w:cs="Times New Roman"/>
          <w:sz w:val="24"/>
          <w:szCs w:val="24"/>
        </w:rPr>
        <w:t>CSIRT poziomu krajowego oraz tytuł</w:t>
      </w:r>
      <w:r w:rsidR="00206D2C" w:rsidRPr="00833C88">
        <w:rPr>
          <w:rFonts w:cs="Times New Roman"/>
          <w:sz w:val="24"/>
          <w:szCs w:val="24"/>
        </w:rPr>
        <w:t>u</w:t>
      </w:r>
      <w:r w:rsidR="00015742" w:rsidRPr="00833C88">
        <w:rPr>
          <w:rFonts w:cs="Times New Roman"/>
          <w:sz w:val="24"/>
          <w:szCs w:val="24"/>
        </w:rPr>
        <w:t xml:space="preserve"> prawn</w:t>
      </w:r>
      <w:r w:rsidR="00206D2C" w:rsidRPr="00833C88">
        <w:rPr>
          <w:rFonts w:cs="Times New Roman"/>
          <w:sz w:val="24"/>
          <w:szCs w:val="24"/>
        </w:rPr>
        <w:t>ego</w:t>
      </w:r>
      <w:r w:rsidR="00015742" w:rsidRPr="00833C88">
        <w:rPr>
          <w:rFonts w:cs="Times New Roman"/>
          <w:sz w:val="24"/>
          <w:szCs w:val="24"/>
        </w:rPr>
        <w:t xml:space="preserve"> wpisania do wykazu.</w:t>
      </w:r>
      <w:r w:rsidR="00C203E5" w:rsidRPr="00833C88">
        <w:rPr>
          <w:rFonts w:cs="Times New Roman"/>
          <w:sz w:val="24"/>
          <w:szCs w:val="24"/>
        </w:rPr>
        <w:t xml:space="preserve"> Te dane są do ustalenia przez ministra </w:t>
      </w:r>
      <w:r w:rsidR="00601933" w:rsidRPr="00833C88">
        <w:rPr>
          <w:rFonts w:cs="Times New Roman"/>
          <w:sz w:val="24"/>
          <w:szCs w:val="24"/>
        </w:rPr>
        <w:t>w </w:t>
      </w:r>
      <w:r w:rsidR="00C203E5" w:rsidRPr="00833C88">
        <w:rPr>
          <w:rFonts w:cs="Times New Roman"/>
          <w:sz w:val="24"/>
          <w:szCs w:val="24"/>
        </w:rPr>
        <w:t xml:space="preserve">oparciu </w:t>
      </w:r>
      <w:r w:rsidR="00601933" w:rsidRPr="00833C88">
        <w:rPr>
          <w:rFonts w:cs="Times New Roman"/>
          <w:sz w:val="24"/>
          <w:szCs w:val="24"/>
        </w:rPr>
        <w:t>o </w:t>
      </w:r>
      <w:r w:rsidR="00C203E5" w:rsidRPr="00833C88">
        <w:rPr>
          <w:rFonts w:cs="Times New Roman"/>
          <w:sz w:val="24"/>
          <w:szCs w:val="24"/>
        </w:rPr>
        <w:t>przekazane dane z</w:t>
      </w:r>
      <w:r w:rsidR="000C371B" w:rsidRPr="00833C88">
        <w:rPr>
          <w:rFonts w:cs="Times New Roman"/>
          <w:sz w:val="24"/>
          <w:szCs w:val="24"/>
        </w:rPr>
        <w:t> </w:t>
      </w:r>
      <w:r w:rsidR="00C203E5" w:rsidRPr="00833C88">
        <w:rPr>
          <w:rFonts w:cs="Times New Roman"/>
          <w:sz w:val="24"/>
          <w:szCs w:val="24"/>
        </w:rPr>
        <w:t xml:space="preserve">wniosku </w:t>
      </w:r>
      <w:r w:rsidR="00601933" w:rsidRPr="00833C88">
        <w:rPr>
          <w:rFonts w:cs="Times New Roman"/>
          <w:sz w:val="24"/>
          <w:szCs w:val="24"/>
        </w:rPr>
        <w:t>o </w:t>
      </w:r>
      <w:r w:rsidR="00C203E5" w:rsidRPr="00833C88">
        <w:rPr>
          <w:rFonts w:cs="Times New Roman"/>
          <w:sz w:val="24"/>
          <w:szCs w:val="24"/>
        </w:rPr>
        <w:t>wpis do wykazu</w:t>
      </w:r>
      <w:r w:rsidR="0006338B" w:rsidRPr="00833C88">
        <w:rPr>
          <w:rFonts w:cs="Times New Roman"/>
          <w:sz w:val="24"/>
          <w:szCs w:val="24"/>
        </w:rPr>
        <w:t>.</w:t>
      </w:r>
    </w:p>
    <w:p w14:paraId="0B4A6F13" w14:textId="1C4ADCA8" w:rsidR="0006338B" w:rsidRPr="00833C88" w:rsidRDefault="0007735C" w:rsidP="0029004E">
      <w:pPr>
        <w:spacing w:line="360" w:lineRule="auto"/>
        <w:jc w:val="both"/>
        <w:rPr>
          <w:rFonts w:cs="Times New Roman"/>
          <w:sz w:val="24"/>
          <w:szCs w:val="24"/>
        </w:rPr>
      </w:pPr>
      <w:r w:rsidRPr="00833C88">
        <w:rPr>
          <w:rFonts w:cs="Times New Roman"/>
          <w:sz w:val="24"/>
          <w:szCs w:val="24"/>
        </w:rPr>
        <w:t>Wskazano zakres danych</w:t>
      </w:r>
      <w:r w:rsidR="008B3437" w:rsidRPr="00833C88">
        <w:rPr>
          <w:rFonts w:cs="Times New Roman"/>
          <w:sz w:val="24"/>
          <w:szCs w:val="24"/>
        </w:rPr>
        <w:t>,</w:t>
      </w:r>
      <w:r w:rsidRPr="00833C88">
        <w:rPr>
          <w:rFonts w:cs="Times New Roman"/>
          <w:sz w:val="24"/>
          <w:szCs w:val="24"/>
        </w:rPr>
        <w:t xml:space="preserve"> któ</w:t>
      </w:r>
      <w:r w:rsidR="00AD7C80" w:rsidRPr="00833C88">
        <w:rPr>
          <w:rFonts w:cs="Times New Roman"/>
          <w:sz w:val="24"/>
          <w:szCs w:val="24"/>
        </w:rPr>
        <w:t>rych dotycz</w:t>
      </w:r>
      <w:r w:rsidR="006A2E88" w:rsidRPr="00833C88">
        <w:rPr>
          <w:rFonts w:cs="Times New Roman"/>
          <w:sz w:val="24"/>
          <w:szCs w:val="24"/>
        </w:rPr>
        <w:t>y</w:t>
      </w:r>
      <w:r w:rsidR="00AD7C80" w:rsidRPr="00833C88">
        <w:rPr>
          <w:rFonts w:cs="Times New Roman"/>
          <w:sz w:val="24"/>
          <w:szCs w:val="24"/>
        </w:rPr>
        <w:t xml:space="preserve"> wniosek </w:t>
      </w:r>
      <w:r w:rsidR="00601933" w:rsidRPr="00833C88">
        <w:rPr>
          <w:rFonts w:cs="Times New Roman"/>
          <w:sz w:val="24"/>
          <w:szCs w:val="24"/>
        </w:rPr>
        <w:t>o </w:t>
      </w:r>
      <w:r w:rsidR="00AD7C80" w:rsidRPr="00833C88">
        <w:rPr>
          <w:rFonts w:cs="Times New Roman"/>
          <w:sz w:val="24"/>
          <w:szCs w:val="24"/>
        </w:rPr>
        <w:t>wpis do wykazu – są to wszystkie dane z</w:t>
      </w:r>
      <w:r w:rsidR="000C371B" w:rsidRPr="00833C88">
        <w:rPr>
          <w:rFonts w:cs="Times New Roman"/>
          <w:sz w:val="24"/>
          <w:szCs w:val="24"/>
        </w:rPr>
        <w:t> </w:t>
      </w:r>
      <w:r w:rsidR="00AD7C80" w:rsidRPr="00833C88">
        <w:rPr>
          <w:rFonts w:cs="Times New Roman"/>
          <w:sz w:val="24"/>
          <w:szCs w:val="24"/>
        </w:rPr>
        <w:t>wyjątkiem tych</w:t>
      </w:r>
      <w:r w:rsidR="000C371B" w:rsidRPr="00833C88">
        <w:rPr>
          <w:rFonts w:cs="Times New Roman"/>
          <w:sz w:val="24"/>
          <w:szCs w:val="24"/>
        </w:rPr>
        <w:t>,</w:t>
      </w:r>
      <w:r w:rsidR="00AD7C80" w:rsidRPr="00833C88">
        <w:rPr>
          <w:rFonts w:cs="Times New Roman"/>
          <w:sz w:val="24"/>
          <w:szCs w:val="24"/>
        </w:rPr>
        <w:t xml:space="preserve"> które minister właściwy do spraw informatyzacji jest </w:t>
      </w:r>
      <w:r w:rsidR="00601933" w:rsidRPr="00833C88">
        <w:rPr>
          <w:rFonts w:cs="Times New Roman"/>
          <w:sz w:val="24"/>
          <w:szCs w:val="24"/>
        </w:rPr>
        <w:t>w </w:t>
      </w:r>
      <w:r w:rsidR="00AD7C80" w:rsidRPr="00833C88">
        <w:rPr>
          <w:rFonts w:cs="Times New Roman"/>
          <w:sz w:val="24"/>
          <w:szCs w:val="24"/>
        </w:rPr>
        <w:t>stanie ustalić z</w:t>
      </w:r>
      <w:r w:rsidR="000C371B" w:rsidRPr="00833C88">
        <w:rPr>
          <w:rFonts w:cs="Times New Roman"/>
          <w:sz w:val="24"/>
          <w:szCs w:val="24"/>
        </w:rPr>
        <w:t> </w:t>
      </w:r>
      <w:r w:rsidR="00AD7C80" w:rsidRPr="00833C88">
        <w:rPr>
          <w:rFonts w:cs="Times New Roman"/>
          <w:sz w:val="24"/>
          <w:szCs w:val="24"/>
        </w:rPr>
        <w:t>urzędu</w:t>
      </w:r>
      <w:r w:rsidR="00B95F15" w:rsidRPr="00833C88">
        <w:rPr>
          <w:rFonts w:cs="Times New Roman"/>
          <w:sz w:val="24"/>
          <w:szCs w:val="24"/>
        </w:rPr>
        <w:t xml:space="preserve">. Wniosek </w:t>
      </w:r>
      <w:r w:rsidR="00601933" w:rsidRPr="00833C88">
        <w:rPr>
          <w:rFonts w:cs="Times New Roman"/>
          <w:sz w:val="24"/>
          <w:szCs w:val="24"/>
        </w:rPr>
        <w:t>o </w:t>
      </w:r>
      <w:r w:rsidR="00B95F15" w:rsidRPr="00833C88">
        <w:rPr>
          <w:rFonts w:cs="Times New Roman"/>
          <w:sz w:val="24"/>
          <w:szCs w:val="24"/>
        </w:rPr>
        <w:t xml:space="preserve">zmianę wpisu </w:t>
      </w:r>
      <w:r w:rsidR="00601933" w:rsidRPr="00833C88">
        <w:rPr>
          <w:rFonts w:cs="Times New Roman"/>
          <w:sz w:val="24"/>
          <w:szCs w:val="24"/>
        </w:rPr>
        <w:t>w </w:t>
      </w:r>
      <w:r w:rsidR="00B95F15" w:rsidRPr="00833C88">
        <w:rPr>
          <w:rFonts w:cs="Times New Roman"/>
          <w:sz w:val="24"/>
          <w:szCs w:val="24"/>
        </w:rPr>
        <w:t>wykazie będzie zawierał wskazanie danych zmienianych.</w:t>
      </w:r>
    </w:p>
    <w:p w14:paraId="1364AC8E" w14:textId="41C136B8" w:rsidR="00D557DA" w:rsidRPr="00833C88" w:rsidRDefault="00216539" w:rsidP="0029004E">
      <w:pPr>
        <w:spacing w:line="360" w:lineRule="auto"/>
        <w:jc w:val="both"/>
        <w:rPr>
          <w:rFonts w:cs="Times New Roman"/>
          <w:sz w:val="24"/>
          <w:szCs w:val="24"/>
        </w:rPr>
      </w:pPr>
      <w:r w:rsidRPr="00833C88">
        <w:rPr>
          <w:rFonts w:cs="Times New Roman"/>
          <w:sz w:val="24"/>
          <w:szCs w:val="24"/>
        </w:rPr>
        <w:t xml:space="preserve">Równocześnie wiele </w:t>
      </w:r>
      <w:r w:rsidR="00601933" w:rsidRPr="00833C88">
        <w:rPr>
          <w:rFonts w:cs="Times New Roman"/>
          <w:sz w:val="24"/>
          <w:szCs w:val="24"/>
        </w:rPr>
        <w:t>z </w:t>
      </w:r>
      <w:r w:rsidRPr="00833C88">
        <w:rPr>
          <w:rFonts w:cs="Times New Roman"/>
          <w:sz w:val="24"/>
          <w:szCs w:val="24"/>
        </w:rPr>
        <w:t>tych danych będzie wrażliwych</w:t>
      </w:r>
      <w:r w:rsidR="00042CD3" w:rsidRPr="00833C88">
        <w:rPr>
          <w:rFonts w:cs="Times New Roman"/>
          <w:sz w:val="24"/>
          <w:szCs w:val="24"/>
        </w:rPr>
        <w:t xml:space="preserve"> </w:t>
      </w:r>
      <w:r w:rsidR="00601933" w:rsidRPr="00833C88">
        <w:rPr>
          <w:rFonts w:cs="Times New Roman"/>
          <w:sz w:val="24"/>
          <w:szCs w:val="24"/>
        </w:rPr>
        <w:t>a </w:t>
      </w:r>
      <w:r w:rsidR="00042CD3" w:rsidRPr="00833C88">
        <w:rPr>
          <w:rFonts w:cs="Times New Roman"/>
          <w:sz w:val="24"/>
          <w:szCs w:val="24"/>
        </w:rPr>
        <w:t xml:space="preserve">ich podanie do publicznej wiadomości mogłoby negatywnie wpłynąć na bezpieczeństwo tych podmiotów </w:t>
      </w:r>
      <w:r w:rsidR="00601933" w:rsidRPr="00833C88">
        <w:rPr>
          <w:rFonts w:cs="Times New Roman"/>
          <w:sz w:val="24"/>
          <w:szCs w:val="24"/>
        </w:rPr>
        <w:t>i </w:t>
      </w:r>
      <w:r w:rsidR="00042CD3" w:rsidRPr="00833C88">
        <w:rPr>
          <w:rFonts w:cs="Times New Roman"/>
          <w:sz w:val="24"/>
          <w:szCs w:val="24"/>
        </w:rPr>
        <w:t xml:space="preserve">na ich chronione prawem interesy. </w:t>
      </w:r>
      <w:r w:rsidR="00601933" w:rsidRPr="00833C88">
        <w:rPr>
          <w:rFonts w:cs="Times New Roman"/>
          <w:sz w:val="24"/>
          <w:szCs w:val="24"/>
        </w:rPr>
        <w:t>Z </w:t>
      </w:r>
      <w:r w:rsidR="00042CD3" w:rsidRPr="00833C88">
        <w:rPr>
          <w:rFonts w:cs="Times New Roman"/>
          <w:sz w:val="24"/>
          <w:szCs w:val="24"/>
        </w:rPr>
        <w:t xml:space="preserve">tego względu do wykazu nie będą miały zastosowanie przepisy </w:t>
      </w:r>
      <w:r w:rsidR="004420FD" w:rsidRPr="00833C88">
        <w:rPr>
          <w:rFonts w:cs="Times New Roman"/>
          <w:sz w:val="24"/>
          <w:szCs w:val="24"/>
        </w:rPr>
        <w:t xml:space="preserve">ustawy </w:t>
      </w:r>
      <w:r w:rsidR="00601933" w:rsidRPr="00833C88">
        <w:rPr>
          <w:rFonts w:cs="Times New Roman"/>
          <w:sz w:val="24"/>
          <w:szCs w:val="24"/>
        </w:rPr>
        <w:t>z </w:t>
      </w:r>
      <w:r w:rsidR="004420FD" w:rsidRPr="00833C88">
        <w:rPr>
          <w:rFonts w:cs="Times New Roman"/>
          <w:sz w:val="24"/>
          <w:szCs w:val="24"/>
        </w:rPr>
        <w:t>dnia 6</w:t>
      </w:r>
      <w:r w:rsidR="000C371B" w:rsidRPr="00833C88">
        <w:rPr>
          <w:rFonts w:cs="Times New Roman"/>
          <w:sz w:val="24"/>
          <w:szCs w:val="24"/>
        </w:rPr>
        <w:t> </w:t>
      </w:r>
      <w:r w:rsidR="004420FD" w:rsidRPr="00833C88">
        <w:rPr>
          <w:rFonts w:cs="Times New Roman"/>
          <w:sz w:val="24"/>
          <w:szCs w:val="24"/>
        </w:rPr>
        <w:t xml:space="preserve">września 2001 r. </w:t>
      </w:r>
      <w:r w:rsidR="00601933" w:rsidRPr="00833C88">
        <w:rPr>
          <w:rFonts w:cs="Times New Roman"/>
          <w:sz w:val="24"/>
          <w:szCs w:val="24"/>
        </w:rPr>
        <w:t>o </w:t>
      </w:r>
      <w:r w:rsidR="004420FD" w:rsidRPr="00833C88">
        <w:rPr>
          <w:rFonts w:cs="Times New Roman"/>
          <w:sz w:val="24"/>
          <w:szCs w:val="24"/>
        </w:rPr>
        <w:t>dostępie do informacji publicznej (Dz.</w:t>
      </w:r>
      <w:r w:rsidR="000C371B" w:rsidRPr="00833C88">
        <w:rPr>
          <w:rFonts w:cs="Times New Roman"/>
          <w:sz w:val="24"/>
          <w:szCs w:val="24"/>
        </w:rPr>
        <w:t xml:space="preserve"> </w:t>
      </w:r>
      <w:r w:rsidR="004420FD" w:rsidRPr="00833C88">
        <w:rPr>
          <w:rFonts w:cs="Times New Roman"/>
          <w:sz w:val="24"/>
          <w:szCs w:val="24"/>
        </w:rPr>
        <w:t xml:space="preserve">U. </w:t>
      </w:r>
      <w:r w:rsidR="00601933" w:rsidRPr="00833C88">
        <w:rPr>
          <w:rFonts w:cs="Times New Roman"/>
          <w:sz w:val="24"/>
          <w:szCs w:val="24"/>
        </w:rPr>
        <w:t>z </w:t>
      </w:r>
      <w:r w:rsidR="004420FD" w:rsidRPr="00833C88">
        <w:rPr>
          <w:rFonts w:cs="Times New Roman"/>
          <w:sz w:val="24"/>
          <w:szCs w:val="24"/>
        </w:rPr>
        <w:t xml:space="preserve">2022 r. poz. 902) </w:t>
      </w:r>
      <w:r w:rsidR="00601933" w:rsidRPr="00833C88">
        <w:rPr>
          <w:rFonts w:cs="Times New Roman"/>
          <w:sz w:val="24"/>
          <w:szCs w:val="24"/>
        </w:rPr>
        <w:t>i </w:t>
      </w:r>
      <w:r w:rsidR="004420FD" w:rsidRPr="00833C88">
        <w:rPr>
          <w:rFonts w:cs="Times New Roman"/>
          <w:sz w:val="24"/>
          <w:szCs w:val="24"/>
        </w:rPr>
        <w:t>ustawy z</w:t>
      </w:r>
      <w:r w:rsidR="000C371B" w:rsidRPr="00833C88">
        <w:rPr>
          <w:rFonts w:cs="Times New Roman"/>
          <w:sz w:val="24"/>
          <w:szCs w:val="24"/>
        </w:rPr>
        <w:t> </w:t>
      </w:r>
      <w:r w:rsidR="004420FD" w:rsidRPr="00833C88">
        <w:rPr>
          <w:rFonts w:cs="Times New Roman"/>
          <w:sz w:val="24"/>
          <w:szCs w:val="24"/>
        </w:rPr>
        <w:t xml:space="preserve">dnia 11 sierpnia 2021 r. </w:t>
      </w:r>
      <w:r w:rsidR="00601933" w:rsidRPr="00833C88">
        <w:rPr>
          <w:rFonts w:cs="Times New Roman"/>
          <w:sz w:val="24"/>
          <w:szCs w:val="24"/>
        </w:rPr>
        <w:t>o </w:t>
      </w:r>
      <w:r w:rsidR="004420FD" w:rsidRPr="00833C88">
        <w:rPr>
          <w:rFonts w:cs="Times New Roman"/>
          <w:sz w:val="24"/>
          <w:szCs w:val="24"/>
        </w:rPr>
        <w:t xml:space="preserve">otwartych danych </w:t>
      </w:r>
      <w:r w:rsidR="00601933" w:rsidRPr="00833C88">
        <w:rPr>
          <w:rFonts w:cs="Times New Roman"/>
          <w:sz w:val="24"/>
          <w:szCs w:val="24"/>
        </w:rPr>
        <w:t>i </w:t>
      </w:r>
      <w:r w:rsidR="004420FD" w:rsidRPr="00833C88">
        <w:rPr>
          <w:rFonts w:cs="Times New Roman"/>
          <w:sz w:val="24"/>
          <w:szCs w:val="24"/>
        </w:rPr>
        <w:t>ponownym wykorzystywaniu informacji sektora publicznego (Dz.</w:t>
      </w:r>
      <w:r w:rsidR="00144DBB" w:rsidRPr="00833C88">
        <w:rPr>
          <w:rFonts w:cs="Times New Roman"/>
          <w:sz w:val="24"/>
          <w:szCs w:val="24"/>
        </w:rPr>
        <w:t xml:space="preserve"> </w:t>
      </w:r>
      <w:r w:rsidR="004420FD" w:rsidRPr="00833C88">
        <w:rPr>
          <w:rFonts w:cs="Times New Roman"/>
          <w:sz w:val="24"/>
          <w:szCs w:val="24"/>
        </w:rPr>
        <w:t xml:space="preserve">U. </w:t>
      </w:r>
      <w:r w:rsidR="00601933" w:rsidRPr="00833C88">
        <w:rPr>
          <w:rFonts w:cs="Times New Roman"/>
          <w:sz w:val="24"/>
          <w:szCs w:val="24"/>
        </w:rPr>
        <w:t>z </w:t>
      </w:r>
      <w:r w:rsidR="004420FD" w:rsidRPr="00833C88">
        <w:rPr>
          <w:rFonts w:cs="Times New Roman"/>
          <w:sz w:val="24"/>
          <w:szCs w:val="24"/>
        </w:rPr>
        <w:t>2023 r. poz. 1524).</w:t>
      </w:r>
      <w:r w:rsidR="004774E2" w:rsidRPr="00833C88">
        <w:rPr>
          <w:rFonts w:cs="Times New Roman"/>
          <w:sz w:val="24"/>
          <w:szCs w:val="24"/>
        </w:rPr>
        <w:t xml:space="preserve"> Jednocześnie </w:t>
      </w:r>
      <w:r w:rsidR="00547887" w:rsidRPr="00833C88">
        <w:rPr>
          <w:rFonts w:cs="Times New Roman"/>
          <w:sz w:val="24"/>
          <w:szCs w:val="24"/>
        </w:rPr>
        <w:t xml:space="preserve">minister właściwy do spraw informatyzacji będzie miał obowiązek publikowania </w:t>
      </w:r>
      <w:r w:rsidR="00601933" w:rsidRPr="00833C88">
        <w:rPr>
          <w:rFonts w:cs="Times New Roman"/>
          <w:sz w:val="24"/>
          <w:szCs w:val="24"/>
        </w:rPr>
        <w:t>w </w:t>
      </w:r>
      <w:r w:rsidR="00547887" w:rsidRPr="00833C88">
        <w:rPr>
          <w:rFonts w:cs="Times New Roman"/>
          <w:sz w:val="24"/>
          <w:szCs w:val="24"/>
        </w:rPr>
        <w:t xml:space="preserve">serwisie otwartych danych – dane.gov.pl </w:t>
      </w:r>
      <w:r w:rsidR="0095688B" w:rsidRPr="00833C88">
        <w:rPr>
          <w:rFonts w:cs="Times New Roman"/>
          <w:sz w:val="24"/>
          <w:szCs w:val="24"/>
        </w:rPr>
        <w:t>–</w:t>
      </w:r>
      <w:r w:rsidR="00547887" w:rsidRPr="00833C88">
        <w:rPr>
          <w:rFonts w:cs="Times New Roman"/>
          <w:sz w:val="24"/>
          <w:szCs w:val="24"/>
        </w:rPr>
        <w:t xml:space="preserve"> </w:t>
      </w:r>
      <w:r w:rsidR="001D7AC7" w:rsidRPr="00833C88">
        <w:rPr>
          <w:rFonts w:cs="Times New Roman"/>
          <w:sz w:val="24"/>
          <w:szCs w:val="24"/>
        </w:rPr>
        <w:t xml:space="preserve">liczbę podmiotów kluczowych </w:t>
      </w:r>
      <w:r w:rsidR="00601933" w:rsidRPr="00833C88">
        <w:rPr>
          <w:rFonts w:cs="Times New Roman"/>
          <w:sz w:val="24"/>
          <w:szCs w:val="24"/>
        </w:rPr>
        <w:t>i </w:t>
      </w:r>
      <w:r w:rsidR="001D7AC7" w:rsidRPr="00833C88">
        <w:rPr>
          <w:rFonts w:cs="Times New Roman"/>
          <w:sz w:val="24"/>
          <w:szCs w:val="24"/>
        </w:rPr>
        <w:t xml:space="preserve">podmiotów ważnych </w:t>
      </w:r>
      <w:r w:rsidR="00601933" w:rsidRPr="00833C88">
        <w:rPr>
          <w:rFonts w:cs="Times New Roman"/>
          <w:sz w:val="24"/>
          <w:szCs w:val="24"/>
        </w:rPr>
        <w:t>w </w:t>
      </w:r>
      <w:r w:rsidR="001D7AC7" w:rsidRPr="00833C88">
        <w:rPr>
          <w:rFonts w:cs="Times New Roman"/>
          <w:sz w:val="24"/>
          <w:szCs w:val="24"/>
        </w:rPr>
        <w:t xml:space="preserve">podziale na sektory </w:t>
      </w:r>
      <w:r w:rsidR="00601933" w:rsidRPr="00833C88">
        <w:rPr>
          <w:rFonts w:cs="Times New Roman"/>
          <w:sz w:val="24"/>
          <w:szCs w:val="24"/>
        </w:rPr>
        <w:t>i </w:t>
      </w:r>
      <w:r w:rsidR="001D7AC7" w:rsidRPr="00833C88">
        <w:rPr>
          <w:rFonts w:cs="Times New Roman"/>
          <w:sz w:val="24"/>
          <w:szCs w:val="24"/>
        </w:rPr>
        <w:t xml:space="preserve">rodzaj działalności. </w:t>
      </w:r>
      <w:r w:rsidR="00601933" w:rsidRPr="00833C88">
        <w:rPr>
          <w:rFonts w:cs="Times New Roman"/>
          <w:sz w:val="24"/>
          <w:szCs w:val="24"/>
        </w:rPr>
        <w:t>W </w:t>
      </w:r>
      <w:r w:rsidR="001D7AC7" w:rsidRPr="00833C88">
        <w:rPr>
          <w:rFonts w:cs="Times New Roman"/>
          <w:sz w:val="24"/>
          <w:szCs w:val="24"/>
        </w:rPr>
        <w:t xml:space="preserve">niezbędnym zakresie pozwoli to na </w:t>
      </w:r>
      <w:r w:rsidR="006F73A0" w:rsidRPr="00833C88">
        <w:rPr>
          <w:rFonts w:cs="Times New Roman"/>
          <w:sz w:val="24"/>
          <w:szCs w:val="24"/>
        </w:rPr>
        <w:t xml:space="preserve">udostepnienie informacji </w:t>
      </w:r>
      <w:r w:rsidR="00EF62D0" w:rsidRPr="00833C88">
        <w:rPr>
          <w:rFonts w:cs="Times New Roman"/>
          <w:sz w:val="24"/>
          <w:szCs w:val="24"/>
        </w:rPr>
        <w:t xml:space="preserve">publicznej społeczeństwu chroniąc zarazem inne informacje </w:t>
      </w:r>
      <w:r w:rsidR="00601933" w:rsidRPr="00833C88">
        <w:rPr>
          <w:rFonts w:cs="Times New Roman"/>
          <w:sz w:val="24"/>
          <w:szCs w:val="24"/>
        </w:rPr>
        <w:t>o </w:t>
      </w:r>
      <w:r w:rsidR="00EF62D0" w:rsidRPr="00833C88">
        <w:rPr>
          <w:rFonts w:cs="Times New Roman"/>
          <w:sz w:val="24"/>
          <w:szCs w:val="24"/>
        </w:rPr>
        <w:t xml:space="preserve">podmiotach </w:t>
      </w:r>
      <w:r w:rsidR="00601933" w:rsidRPr="00833C88">
        <w:rPr>
          <w:rFonts w:cs="Times New Roman"/>
          <w:sz w:val="24"/>
          <w:szCs w:val="24"/>
        </w:rPr>
        <w:t>w </w:t>
      </w:r>
      <w:r w:rsidR="00EF62D0" w:rsidRPr="00833C88">
        <w:rPr>
          <w:rFonts w:cs="Times New Roman"/>
          <w:sz w:val="24"/>
          <w:szCs w:val="24"/>
        </w:rPr>
        <w:t>wykazie.</w:t>
      </w:r>
    </w:p>
    <w:p w14:paraId="49B1ADB1" w14:textId="41B33AC1" w:rsidR="00CD26B7" w:rsidRPr="00833C88" w:rsidRDefault="00CD26B7" w:rsidP="0029004E">
      <w:pPr>
        <w:spacing w:line="360" w:lineRule="auto"/>
        <w:jc w:val="both"/>
        <w:rPr>
          <w:rFonts w:cs="Times New Roman"/>
          <w:sz w:val="24"/>
          <w:szCs w:val="24"/>
        </w:rPr>
      </w:pPr>
      <w:r w:rsidRPr="00833C88">
        <w:rPr>
          <w:rFonts w:cs="Times New Roman"/>
          <w:sz w:val="24"/>
          <w:szCs w:val="24"/>
        </w:rPr>
        <w:t>W toku prac legislacyjnych rozdzielono role</w:t>
      </w:r>
      <w:r w:rsidR="00BB13C2" w:rsidRPr="00833C88">
        <w:rPr>
          <w:rFonts w:cs="Times New Roman"/>
          <w:sz w:val="24"/>
          <w:szCs w:val="24"/>
        </w:rPr>
        <w:t xml:space="preserve"> organów właściwy do spraw cyberbezpieczeństwa i ministra właściwego do spraw informatyzacji</w:t>
      </w:r>
      <w:r w:rsidR="00A56D1F" w:rsidRPr="00833C88">
        <w:rPr>
          <w:rFonts w:cs="Times New Roman"/>
          <w:sz w:val="24"/>
          <w:szCs w:val="24"/>
        </w:rPr>
        <w:t xml:space="preserve">. </w:t>
      </w:r>
    </w:p>
    <w:p w14:paraId="54F2C239" w14:textId="7582725D" w:rsidR="002550C3" w:rsidRPr="00833C88" w:rsidRDefault="002550C3" w:rsidP="002550C3">
      <w:pPr>
        <w:spacing w:line="360" w:lineRule="auto"/>
        <w:jc w:val="both"/>
        <w:rPr>
          <w:rFonts w:cs="Times New Roman"/>
          <w:sz w:val="24"/>
          <w:szCs w:val="24"/>
        </w:rPr>
      </w:pPr>
      <w:r w:rsidRPr="00833C88">
        <w:rPr>
          <w:rFonts w:cs="Times New Roman"/>
          <w:sz w:val="24"/>
          <w:szCs w:val="24"/>
        </w:rPr>
        <w:t>Administratorem danych w systemie, o którym mowa w art. 46 ust. 1, w którym prowadzony jest wykaz podmiotów kluczowych i podmiotów ważnych, jako gestor tego systemu, jest minister właściwy do spraw informatyzacji.</w:t>
      </w:r>
    </w:p>
    <w:p w14:paraId="0011F9AD" w14:textId="4DCE212D" w:rsidR="002550C3" w:rsidRPr="00833C88" w:rsidRDefault="002550C3" w:rsidP="002550C3">
      <w:pPr>
        <w:spacing w:line="360" w:lineRule="auto"/>
        <w:jc w:val="both"/>
        <w:rPr>
          <w:rFonts w:cs="Times New Roman"/>
          <w:sz w:val="24"/>
          <w:szCs w:val="24"/>
        </w:rPr>
      </w:pPr>
      <w:r w:rsidRPr="00833C88">
        <w:rPr>
          <w:rFonts w:cs="Times New Roman"/>
          <w:sz w:val="24"/>
          <w:szCs w:val="24"/>
        </w:rPr>
        <w:t xml:space="preserve">Minister ten, analogicznie jak wszystkie organy właściwe do spraw cyberbezpieczeństwa, jest również administratorem danych osobowych gromadzonych w wykazie podmiotów kluczowych i podmiotów ważnych w zakresie własnego sektora. Z uwagi na to, że powyższe zakresy administrowania mogą się krzyżować, a także z uwagi na obowiązki ministra właściwego do spraw informatyzacji, m.in. obowiązek udostępnienia danych z wykazu na żądanie organu uprawnionego, niezbędne jest przesądzenie w ustawie, że minister właściwy do spraw informatyzacji jest także </w:t>
      </w:r>
      <w:proofErr w:type="spellStart"/>
      <w:r w:rsidRPr="00833C88">
        <w:rPr>
          <w:rFonts w:cs="Times New Roman"/>
          <w:sz w:val="24"/>
          <w:szCs w:val="24"/>
        </w:rPr>
        <w:t>współadministratorem</w:t>
      </w:r>
      <w:proofErr w:type="spellEnd"/>
      <w:r w:rsidRPr="00833C88">
        <w:rPr>
          <w:rFonts w:cs="Times New Roman"/>
          <w:sz w:val="24"/>
          <w:szCs w:val="24"/>
        </w:rPr>
        <w:t xml:space="preserve"> danych osobowych, które znajdują się w wykazie podmiotów kluczowych i podmiotów ważnych. Minister właściwy do spraw </w:t>
      </w:r>
      <w:r w:rsidRPr="00833C88">
        <w:rPr>
          <w:rFonts w:cs="Times New Roman"/>
          <w:sz w:val="24"/>
          <w:szCs w:val="24"/>
        </w:rPr>
        <w:lastRenderedPageBreak/>
        <w:t xml:space="preserve">informatyzacji będzie zatem łącznie z innym organem właściwym do spraw informatyzacji </w:t>
      </w:r>
      <w:proofErr w:type="spellStart"/>
      <w:r w:rsidRPr="00833C88">
        <w:rPr>
          <w:rFonts w:cs="Times New Roman"/>
          <w:sz w:val="24"/>
          <w:szCs w:val="24"/>
        </w:rPr>
        <w:t>współadministratorem</w:t>
      </w:r>
      <w:proofErr w:type="spellEnd"/>
      <w:r w:rsidRPr="00833C88">
        <w:rPr>
          <w:rFonts w:cs="Times New Roman"/>
          <w:sz w:val="24"/>
          <w:szCs w:val="24"/>
        </w:rPr>
        <w:t xml:space="preserve"> danych osobowych podmiotów kluczowych i podmiotów ważnych spoza sektorów podlegających nadzorowi tego ministra.</w:t>
      </w:r>
    </w:p>
    <w:p w14:paraId="4CA403B7" w14:textId="7BD4BA31" w:rsidR="002550C3" w:rsidRPr="00833C88" w:rsidRDefault="002550C3" w:rsidP="002550C3">
      <w:pPr>
        <w:spacing w:line="360" w:lineRule="auto"/>
        <w:jc w:val="both"/>
        <w:rPr>
          <w:rFonts w:cs="Times New Roman"/>
          <w:sz w:val="24"/>
          <w:szCs w:val="24"/>
        </w:rPr>
      </w:pPr>
      <w:r w:rsidRPr="00833C88">
        <w:rPr>
          <w:rFonts w:cs="Times New Roman"/>
          <w:sz w:val="24"/>
          <w:szCs w:val="24"/>
        </w:rPr>
        <w:t xml:space="preserve">Zjawisko współadministrowania zostało szczegółowo opisane w art. 26 </w:t>
      </w:r>
      <w:r w:rsidR="00A15030" w:rsidRPr="00833C88">
        <w:rPr>
          <w:rFonts w:cs="Times New Roman"/>
          <w:sz w:val="24"/>
          <w:szCs w:val="24"/>
        </w:rPr>
        <w:t>RODO</w:t>
      </w:r>
      <w:r w:rsidRPr="00833C88">
        <w:rPr>
          <w:rFonts w:cs="Times New Roman"/>
          <w:sz w:val="24"/>
          <w:szCs w:val="24"/>
        </w:rPr>
        <w:t xml:space="preserve">. Na tej podstawie minister właściwy do spraw informatyzacji i organy właściwe do spraw cyberbezpieczeństwa ustalą zakresy swojej odpowiedzialności dotyczącej wypełniania obowiązków wynikających z tego rozporządzenia. </w:t>
      </w:r>
      <w:r w:rsidR="008A267D" w:rsidRPr="00833C88">
        <w:rPr>
          <w:rFonts w:cs="Times New Roman"/>
          <w:sz w:val="24"/>
          <w:szCs w:val="24"/>
        </w:rPr>
        <w:t>RODO jest</w:t>
      </w:r>
      <w:r w:rsidRPr="00833C88">
        <w:rPr>
          <w:rFonts w:cs="Times New Roman"/>
          <w:sz w:val="24"/>
          <w:szCs w:val="24"/>
        </w:rPr>
        <w:t xml:space="preserve"> stosowane bezpośrednio, zatem nie ma potrzeby, aby przesądzać o zakresach odpowiedzialności </w:t>
      </w:r>
      <w:proofErr w:type="spellStart"/>
      <w:r w:rsidRPr="00833C88">
        <w:rPr>
          <w:rFonts w:cs="Times New Roman"/>
          <w:sz w:val="24"/>
          <w:szCs w:val="24"/>
        </w:rPr>
        <w:t>współadministratorów</w:t>
      </w:r>
      <w:proofErr w:type="spellEnd"/>
      <w:r w:rsidRPr="00833C88">
        <w:rPr>
          <w:rFonts w:cs="Times New Roman"/>
          <w:sz w:val="24"/>
          <w:szCs w:val="24"/>
        </w:rPr>
        <w:t xml:space="preserve"> w</w:t>
      </w:r>
      <w:r w:rsidR="008A267D" w:rsidRPr="00833C88">
        <w:rPr>
          <w:rFonts w:cs="Times New Roman"/>
          <w:sz w:val="24"/>
          <w:szCs w:val="24"/>
        </w:rPr>
        <w:t> </w:t>
      </w:r>
      <w:r w:rsidRPr="00833C88">
        <w:rPr>
          <w:rFonts w:cs="Times New Roman"/>
          <w:sz w:val="24"/>
          <w:szCs w:val="24"/>
        </w:rPr>
        <w:t>ustawie bądź zobowiązywać te podmioty do tego, aby zakres odpowiedzialności określały.</w:t>
      </w:r>
    </w:p>
    <w:p w14:paraId="12435C64" w14:textId="07D31396" w:rsidR="002550C3" w:rsidRPr="00833C88" w:rsidRDefault="0014677B" w:rsidP="0029004E">
      <w:pPr>
        <w:spacing w:line="360" w:lineRule="auto"/>
        <w:jc w:val="both"/>
        <w:rPr>
          <w:rFonts w:cs="Times New Roman"/>
          <w:sz w:val="24"/>
          <w:szCs w:val="24"/>
        </w:rPr>
      </w:pPr>
      <w:r w:rsidRPr="00833C88">
        <w:rPr>
          <w:rFonts w:cs="Times New Roman"/>
          <w:sz w:val="24"/>
          <w:szCs w:val="24"/>
        </w:rPr>
        <w:t>Organy właściwe do spraw cyberbezpieczeństwa będą miały uprawnienia do wpisania podmiotów do wykazu, wykreślenia błędnie wpisanych podmiotów a także do prowadzenia czynności sprawdzających. Czyli to one na bieżąco będą się zajmowały w zakresie nadzorowanego sektora, dbałością o jego aktualność.</w:t>
      </w:r>
    </w:p>
    <w:p w14:paraId="1041754F" w14:textId="61376252" w:rsidR="00057CB1" w:rsidRPr="00833C88" w:rsidRDefault="00601933" w:rsidP="0029004E">
      <w:pPr>
        <w:spacing w:line="360" w:lineRule="auto"/>
        <w:jc w:val="both"/>
        <w:rPr>
          <w:rFonts w:cs="Times New Roman"/>
          <w:sz w:val="24"/>
          <w:szCs w:val="24"/>
        </w:rPr>
      </w:pPr>
      <w:r w:rsidRPr="00833C88">
        <w:rPr>
          <w:rFonts w:cs="Times New Roman"/>
          <w:sz w:val="24"/>
          <w:szCs w:val="24"/>
        </w:rPr>
        <w:t>W </w:t>
      </w:r>
      <w:r w:rsidR="000C371B" w:rsidRPr="00833C88">
        <w:rPr>
          <w:rFonts w:cs="Times New Roman"/>
          <w:sz w:val="24"/>
          <w:szCs w:val="24"/>
        </w:rPr>
        <w:t xml:space="preserve">przypadkach, </w:t>
      </w:r>
      <w:r w:rsidRPr="00833C88">
        <w:rPr>
          <w:rFonts w:cs="Times New Roman"/>
          <w:sz w:val="24"/>
          <w:szCs w:val="24"/>
        </w:rPr>
        <w:t>w </w:t>
      </w:r>
      <w:r w:rsidR="000C371B" w:rsidRPr="00833C88">
        <w:rPr>
          <w:rFonts w:cs="Times New Roman"/>
          <w:sz w:val="24"/>
          <w:szCs w:val="24"/>
        </w:rPr>
        <w:t xml:space="preserve">których </w:t>
      </w:r>
      <w:r w:rsidR="005671A7" w:rsidRPr="00833C88">
        <w:rPr>
          <w:rFonts w:cs="Times New Roman"/>
          <w:sz w:val="24"/>
          <w:szCs w:val="24"/>
        </w:rPr>
        <w:t>jest to możliwe</w:t>
      </w:r>
      <w:r w:rsidR="00206D2C" w:rsidRPr="00833C88">
        <w:rPr>
          <w:rFonts w:cs="Times New Roman"/>
          <w:sz w:val="24"/>
          <w:szCs w:val="24"/>
        </w:rPr>
        <w:t>,</w:t>
      </w:r>
      <w:r w:rsidR="005671A7" w:rsidRPr="00833C88">
        <w:rPr>
          <w:rFonts w:cs="Times New Roman"/>
          <w:sz w:val="24"/>
          <w:szCs w:val="24"/>
        </w:rPr>
        <w:t xml:space="preserve"> minister</w:t>
      </w:r>
      <w:r w:rsidR="00206D2C" w:rsidRPr="00833C88">
        <w:rPr>
          <w:rFonts w:cs="Times New Roman"/>
          <w:sz w:val="24"/>
          <w:szCs w:val="24"/>
        </w:rPr>
        <w:t xml:space="preserve"> właściwy do spraw informatyzacji</w:t>
      </w:r>
      <w:r w:rsidR="005A7968" w:rsidRPr="00833C88">
        <w:rPr>
          <w:rFonts w:cs="Times New Roman"/>
          <w:sz w:val="24"/>
          <w:szCs w:val="24"/>
        </w:rPr>
        <w:t xml:space="preserve"> sam dokona rejestracji podmiotów </w:t>
      </w:r>
      <w:r w:rsidRPr="00833C88">
        <w:rPr>
          <w:rFonts w:cs="Times New Roman"/>
          <w:sz w:val="24"/>
          <w:szCs w:val="24"/>
        </w:rPr>
        <w:t>z </w:t>
      </w:r>
      <w:r w:rsidR="005A7968" w:rsidRPr="00833C88">
        <w:rPr>
          <w:rFonts w:cs="Times New Roman"/>
          <w:sz w:val="24"/>
          <w:szCs w:val="24"/>
        </w:rPr>
        <w:t>grup</w:t>
      </w:r>
      <w:r w:rsidR="000C371B" w:rsidRPr="00833C88">
        <w:rPr>
          <w:rFonts w:cs="Times New Roman"/>
          <w:sz w:val="24"/>
          <w:szCs w:val="24"/>
        </w:rPr>
        <w:t>,</w:t>
      </w:r>
      <w:r w:rsidR="005A7968" w:rsidRPr="00833C88">
        <w:rPr>
          <w:rFonts w:cs="Times New Roman"/>
          <w:sz w:val="24"/>
          <w:szCs w:val="24"/>
        </w:rPr>
        <w:t xml:space="preserve"> które </w:t>
      </w:r>
      <w:r w:rsidRPr="00833C88">
        <w:rPr>
          <w:rFonts w:cs="Times New Roman"/>
          <w:sz w:val="24"/>
          <w:szCs w:val="24"/>
        </w:rPr>
        <w:t>w </w:t>
      </w:r>
      <w:r w:rsidR="005A7968" w:rsidRPr="00833C88">
        <w:rPr>
          <w:rFonts w:cs="Times New Roman"/>
          <w:sz w:val="24"/>
          <w:szCs w:val="24"/>
        </w:rPr>
        <w:t xml:space="preserve">całości znajdą się </w:t>
      </w:r>
      <w:r w:rsidRPr="00833C88">
        <w:rPr>
          <w:rFonts w:cs="Times New Roman"/>
          <w:sz w:val="24"/>
          <w:szCs w:val="24"/>
        </w:rPr>
        <w:t>w </w:t>
      </w:r>
      <w:r w:rsidR="005A7968" w:rsidRPr="00833C88">
        <w:rPr>
          <w:rFonts w:cs="Times New Roman"/>
          <w:sz w:val="24"/>
          <w:szCs w:val="24"/>
        </w:rPr>
        <w:t>wykazie</w:t>
      </w:r>
      <w:r w:rsidR="008B3437" w:rsidRPr="00833C88">
        <w:rPr>
          <w:rFonts w:cs="Times New Roman"/>
          <w:sz w:val="24"/>
          <w:szCs w:val="24"/>
        </w:rPr>
        <w:t>,</w:t>
      </w:r>
      <w:r w:rsidR="005A7968" w:rsidRPr="00833C88">
        <w:rPr>
          <w:rFonts w:cs="Times New Roman"/>
          <w:sz w:val="24"/>
          <w:szCs w:val="24"/>
        </w:rPr>
        <w:t xml:space="preserve"> </w:t>
      </w:r>
      <w:r w:rsidR="008571E9" w:rsidRPr="00833C88">
        <w:rPr>
          <w:rFonts w:cs="Times New Roman"/>
          <w:sz w:val="24"/>
          <w:szCs w:val="24"/>
        </w:rPr>
        <w:t>czyli</w:t>
      </w:r>
      <w:r w:rsidR="005A7968" w:rsidRPr="00833C88">
        <w:rPr>
          <w:rFonts w:cs="Times New Roman"/>
          <w:sz w:val="24"/>
          <w:szCs w:val="24"/>
        </w:rPr>
        <w:t xml:space="preserve"> przedsiębiorców telekomunikacyjnych</w:t>
      </w:r>
      <w:r w:rsidR="00B0607B" w:rsidRPr="00833C88">
        <w:rPr>
          <w:rFonts w:cs="Times New Roman"/>
          <w:sz w:val="24"/>
          <w:szCs w:val="24"/>
        </w:rPr>
        <w:t>,</w:t>
      </w:r>
      <w:r w:rsidR="005A7968" w:rsidRPr="00833C88">
        <w:rPr>
          <w:rFonts w:cs="Times New Roman"/>
          <w:sz w:val="24"/>
          <w:szCs w:val="24"/>
        </w:rPr>
        <w:t xml:space="preserve"> </w:t>
      </w:r>
      <w:r w:rsidR="00F43FBF" w:rsidRPr="00833C88">
        <w:rPr>
          <w:rFonts w:cs="Times New Roman"/>
          <w:sz w:val="24"/>
          <w:szCs w:val="24"/>
        </w:rPr>
        <w:t xml:space="preserve">podmiotów krytycznych, dostawców usług </w:t>
      </w:r>
      <w:proofErr w:type="gramStart"/>
      <w:r w:rsidR="00F43FBF" w:rsidRPr="00833C88">
        <w:rPr>
          <w:rFonts w:cs="Times New Roman"/>
          <w:sz w:val="24"/>
          <w:szCs w:val="24"/>
        </w:rPr>
        <w:t>zaufania</w:t>
      </w:r>
      <w:r w:rsidR="008B3437" w:rsidRPr="00833C88">
        <w:rPr>
          <w:rFonts w:cs="Times New Roman"/>
          <w:sz w:val="24"/>
          <w:szCs w:val="24"/>
        </w:rPr>
        <w:t>,</w:t>
      </w:r>
      <w:proofErr w:type="gramEnd"/>
      <w:r w:rsidR="00F43FBF" w:rsidRPr="00833C88">
        <w:rPr>
          <w:rFonts w:cs="Times New Roman"/>
          <w:sz w:val="24"/>
          <w:szCs w:val="24"/>
        </w:rPr>
        <w:t xml:space="preserve"> czy podmiotów publicznych</w:t>
      </w:r>
      <w:r w:rsidR="005A7968" w:rsidRPr="00833C88">
        <w:rPr>
          <w:rFonts w:cs="Times New Roman"/>
          <w:sz w:val="24"/>
          <w:szCs w:val="24"/>
        </w:rPr>
        <w:t xml:space="preserve"> wykorzystując dane</w:t>
      </w:r>
      <w:r w:rsidR="000C371B" w:rsidRPr="00833C88">
        <w:rPr>
          <w:rFonts w:cs="Times New Roman"/>
          <w:sz w:val="24"/>
          <w:szCs w:val="24"/>
        </w:rPr>
        <w:t>,</w:t>
      </w:r>
      <w:r w:rsidR="00B0607B" w:rsidRPr="00833C88">
        <w:rPr>
          <w:rFonts w:cs="Times New Roman"/>
          <w:sz w:val="24"/>
          <w:szCs w:val="24"/>
        </w:rPr>
        <w:t xml:space="preserve"> które są już gromadzone </w:t>
      </w:r>
      <w:r w:rsidRPr="00833C88">
        <w:rPr>
          <w:rFonts w:cs="Times New Roman"/>
          <w:sz w:val="24"/>
          <w:szCs w:val="24"/>
        </w:rPr>
        <w:t>w </w:t>
      </w:r>
      <w:r w:rsidR="00B0607B" w:rsidRPr="00833C88">
        <w:rPr>
          <w:rFonts w:cs="Times New Roman"/>
          <w:sz w:val="24"/>
          <w:szCs w:val="24"/>
        </w:rPr>
        <w:t xml:space="preserve">innych rejestrach publicznych. </w:t>
      </w:r>
      <w:r w:rsidR="00A93199" w:rsidRPr="00833C88">
        <w:rPr>
          <w:rFonts w:cs="Times New Roman"/>
          <w:sz w:val="24"/>
          <w:szCs w:val="24"/>
        </w:rPr>
        <w:t xml:space="preserve">Celem projektodawcy jest </w:t>
      </w:r>
      <w:r w:rsidR="00B0607B" w:rsidRPr="00833C88">
        <w:rPr>
          <w:rFonts w:cs="Times New Roman"/>
          <w:sz w:val="24"/>
          <w:szCs w:val="24"/>
        </w:rPr>
        <w:t>wykorzystywan</w:t>
      </w:r>
      <w:r w:rsidR="00A93199" w:rsidRPr="00833C88">
        <w:rPr>
          <w:rFonts w:cs="Times New Roman"/>
          <w:sz w:val="24"/>
          <w:szCs w:val="24"/>
        </w:rPr>
        <w:t>ie</w:t>
      </w:r>
      <w:r w:rsidR="00185514" w:rsidRPr="00833C88">
        <w:rPr>
          <w:rFonts w:cs="Times New Roman"/>
          <w:sz w:val="24"/>
          <w:szCs w:val="24"/>
        </w:rPr>
        <w:t xml:space="preserve"> </w:t>
      </w:r>
      <w:r w:rsidR="00B0607B" w:rsidRPr="00833C88">
        <w:rPr>
          <w:rFonts w:cs="Times New Roman"/>
          <w:sz w:val="24"/>
          <w:szCs w:val="24"/>
        </w:rPr>
        <w:t xml:space="preserve">informacji, </w:t>
      </w:r>
      <w:r w:rsidR="00185514" w:rsidRPr="00833C88">
        <w:rPr>
          <w:rFonts w:cs="Times New Roman"/>
          <w:sz w:val="24"/>
          <w:szCs w:val="24"/>
        </w:rPr>
        <w:t xml:space="preserve">które administracja publiczna już posiada oraz na unikaniu </w:t>
      </w:r>
      <w:r w:rsidR="0085457F" w:rsidRPr="00833C88">
        <w:rPr>
          <w:rFonts w:cs="Times New Roman"/>
          <w:sz w:val="24"/>
          <w:szCs w:val="24"/>
        </w:rPr>
        <w:t xml:space="preserve">nakładania zbędnych obowiązków na </w:t>
      </w:r>
      <w:r w:rsidR="00A15277" w:rsidRPr="00833C88">
        <w:rPr>
          <w:rFonts w:cs="Times New Roman"/>
          <w:sz w:val="24"/>
          <w:szCs w:val="24"/>
        </w:rPr>
        <w:t xml:space="preserve">podmioty prywatne. </w:t>
      </w:r>
      <w:r w:rsidR="00873112" w:rsidRPr="00833C88">
        <w:rPr>
          <w:rFonts w:cs="Times New Roman"/>
          <w:sz w:val="24"/>
          <w:szCs w:val="24"/>
        </w:rPr>
        <w:t xml:space="preserve">Nie wszystkie niezbędne dane są </w:t>
      </w:r>
      <w:r w:rsidRPr="00833C88">
        <w:rPr>
          <w:rFonts w:cs="Times New Roman"/>
          <w:sz w:val="24"/>
          <w:szCs w:val="24"/>
        </w:rPr>
        <w:t>w </w:t>
      </w:r>
      <w:r w:rsidR="00873112" w:rsidRPr="00833C88">
        <w:rPr>
          <w:rFonts w:cs="Times New Roman"/>
          <w:sz w:val="24"/>
          <w:szCs w:val="24"/>
        </w:rPr>
        <w:t>dyspozycji administracji</w:t>
      </w:r>
      <w:r w:rsidR="00186D3D" w:rsidRPr="00833C88">
        <w:rPr>
          <w:rFonts w:cs="Times New Roman"/>
          <w:sz w:val="24"/>
          <w:szCs w:val="24"/>
        </w:rPr>
        <w:t xml:space="preserve">, </w:t>
      </w:r>
      <w:r w:rsidRPr="00833C88">
        <w:rPr>
          <w:rFonts w:cs="Times New Roman"/>
          <w:sz w:val="24"/>
          <w:szCs w:val="24"/>
        </w:rPr>
        <w:t>z </w:t>
      </w:r>
      <w:r w:rsidR="00186D3D" w:rsidRPr="00833C88">
        <w:rPr>
          <w:rFonts w:cs="Times New Roman"/>
          <w:sz w:val="24"/>
          <w:szCs w:val="24"/>
        </w:rPr>
        <w:t xml:space="preserve">tego powodu niezbędne jest wprowadzenie podstawy do </w:t>
      </w:r>
      <w:r w:rsidR="001D544B" w:rsidRPr="00833C88">
        <w:rPr>
          <w:rFonts w:cs="Times New Roman"/>
          <w:sz w:val="24"/>
          <w:szCs w:val="24"/>
        </w:rPr>
        <w:t xml:space="preserve">wezwania do uzupełnienia brakujących danych </w:t>
      </w:r>
      <w:r w:rsidRPr="00833C88">
        <w:rPr>
          <w:rFonts w:cs="Times New Roman"/>
          <w:sz w:val="24"/>
          <w:szCs w:val="24"/>
        </w:rPr>
        <w:t>w </w:t>
      </w:r>
      <w:r w:rsidR="001D544B" w:rsidRPr="00833C88">
        <w:rPr>
          <w:rFonts w:cs="Times New Roman"/>
          <w:sz w:val="24"/>
          <w:szCs w:val="24"/>
        </w:rPr>
        <w:t>wykazie.</w:t>
      </w:r>
      <w:r w:rsidR="00C856E3" w:rsidRPr="00833C88">
        <w:rPr>
          <w:rFonts w:cs="Times New Roman"/>
          <w:sz w:val="24"/>
          <w:szCs w:val="24"/>
        </w:rPr>
        <w:t xml:space="preserve"> Podmioty te zostaną zawiadomione o wpisie do wykazu z urzędu przez mini</w:t>
      </w:r>
      <w:r w:rsidR="000A02A5" w:rsidRPr="00833C88">
        <w:rPr>
          <w:rFonts w:cs="Times New Roman"/>
          <w:sz w:val="24"/>
          <w:szCs w:val="24"/>
        </w:rPr>
        <w:t xml:space="preserve">stra </w:t>
      </w:r>
      <w:r w:rsidR="00376BA7" w:rsidRPr="00833C88">
        <w:rPr>
          <w:rFonts w:cs="Times New Roman"/>
          <w:sz w:val="24"/>
          <w:szCs w:val="24"/>
        </w:rPr>
        <w:t xml:space="preserve">właściwego do spraw informatyzacji. </w:t>
      </w:r>
      <w:r w:rsidR="00527860" w:rsidRPr="00833C88">
        <w:rPr>
          <w:rFonts w:cs="Times New Roman"/>
          <w:sz w:val="24"/>
          <w:szCs w:val="24"/>
        </w:rPr>
        <w:t>Minister również wezwie te podmioty o</w:t>
      </w:r>
      <w:r w:rsidR="00B56486" w:rsidRPr="00833C88">
        <w:rPr>
          <w:rFonts w:cs="Times New Roman"/>
          <w:sz w:val="24"/>
          <w:szCs w:val="24"/>
        </w:rPr>
        <w:t> </w:t>
      </w:r>
      <w:r w:rsidR="00527860" w:rsidRPr="00833C88">
        <w:rPr>
          <w:rFonts w:cs="Times New Roman"/>
          <w:sz w:val="24"/>
          <w:szCs w:val="24"/>
        </w:rPr>
        <w:t>uzupełnienie brakujących danych w wykazie w terminie 2 miesięcy od dnia doręczenia wezwania. Doprecyzowano przy tym</w:t>
      </w:r>
      <w:r w:rsidR="002F5D25" w:rsidRPr="00833C88">
        <w:rPr>
          <w:rFonts w:cs="Times New Roman"/>
          <w:sz w:val="24"/>
          <w:szCs w:val="24"/>
        </w:rPr>
        <w:t>,</w:t>
      </w:r>
      <w:r w:rsidR="00527860" w:rsidRPr="00833C88">
        <w:rPr>
          <w:rFonts w:cs="Times New Roman"/>
          <w:sz w:val="24"/>
          <w:szCs w:val="24"/>
        </w:rPr>
        <w:t xml:space="preserve"> co będzie się znajdować w wezwaniu – podstawa prawna, numer podmiotu w wykazie, dane podmiotu wpisane do </w:t>
      </w:r>
      <w:proofErr w:type="gramStart"/>
      <w:r w:rsidR="00527860" w:rsidRPr="00833C88">
        <w:rPr>
          <w:rFonts w:cs="Times New Roman"/>
          <w:sz w:val="24"/>
          <w:szCs w:val="24"/>
        </w:rPr>
        <w:t>wykazu,</w:t>
      </w:r>
      <w:proofErr w:type="gramEnd"/>
      <w:r w:rsidR="00527860" w:rsidRPr="00833C88">
        <w:rPr>
          <w:rFonts w:cs="Times New Roman"/>
          <w:sz w:val="24"/>
          <w:szCs w:val="24"/>
        </w:rPr>
        <w:t xml:space="preserve"> oraz wskazanie źródła ich pochodzenia oraz wskazanie brakujących danych w wykazie. </w:t>
      </w:r>
      <w:r w:rsidR="00167FDC" w:rsidRPr="00833C88">
        <w:rPr>
          <w:rFonts w:cs="Times New Roman"/>
          <w:sz w:val="24"/>
          <w:szCs w:val="24"/>
        </w:rPr>
        <w:t xml:space="preserve">Dzięki temu podmioty dowiedzą się </w:t>
      </w:r>
      <w:r w:rsidR="00F60D9B" w:rsidRPr="00833C88">
        <w:rPr>
          <w:rFonts w:cs="Times New Roman"/>
          <w:sz w:val="24"/>
          <w:szCs w:val="24"/>
        </w:rPr>
        <w:t>jakie czynności zostały wobec nich dokonane oraz skąd minister właściwy do spraw informatyzacji wziął dane</w:t>
      </w:r>
      <w:r w:rsidR="00356F25" w:rsidRPr="00833C88">
        <w:rPr>
          <w:rFonts w:cs="Times New Roman"/>
          <w:sz w:val="24"/>
          <w:szCs w:val="24"/>
        </w:rPr>
        <w:t xml:space="preserve">. Po otrzymaniu wezwania do uzupełnienia braków formalnych </w:t>
      </w:r>
      <w:r w:rsidR="00AE213C" w:rsidRPr="00833C88">
        <w:rPr>
          <w:rFonts w:cs="Times New Roman"/>
          <w:sz w:val="24"/>
          <w:szCs w:val="24"/>
        </w:rPr>
        <w:t>podmioty, które minister wpisał z urzędu b</w:t>
      </w:r>
      <w:r w:rsidR="00376BA7" w:rsidRPr="00833C88">
        <w:rPr>
          <w:rFonts w:cs="Times New Roman"/>
          <w:sz w:val="24"/>
          <w:szCs w:val="24"/>
        </w:rPr>
        <w:t xml:space="preserve">ędą musiały uzupełnić brakujące dane w wykazie poprzez </w:t>
      </w:r>
      <w:r w:rsidR="00D311BF" w:rsidRPr="00833C88">
        <w:rPr>
          <w:rFonts w:cs="Times New Roman"/>
          <w:sz w:val="24"/>
          <w:szCs w:val="24"/>
        </w:rPr>
        <w:t>złożenie wniosku o zmianę wpisu w wykazie</w:t>
      </w:r>
      <w:r w:rsidR="00734D1E" w:rsidRPr="00833C88">
        <w:rPr>
          <w:rFonts w:cs="Times New Roman"/>
          <w:sz w:val="24"/>
          <w:szCs w:val="24"/>
        </w:rPr>
        <w:t xml:space="preserve"> w terminie 2 miesięcy od </w:t>
      </w:r>
      <w:r w:rsidR="00C11BFF" w:rsidRPr="00833C88">
        <w:rPr>
          <w:rFonts w:cs="Times New Roman"/>
          <w:sz w:val="24"/>
          <w:szCs w:val="24"/>
        </w:rPr>
        <w:t xml:space="preserve">dnia </w:t>
      </w:r>
      <w:r w:rsidR="00734D1E" w:rsidRPr="00833C88">
        <w:rPr>
          <w:rFonts w:cs="Times New Roman"/>
          <w:sz w:val="24"/>
          <w:szCs w:val="24"/>
        </w:rPr>
        <w:t>doręczenia wezwania</w:t>
      </w:r>
      <w:r w:rsidR="00D311BF" w:rsidRPr="00833C88">
        <w:rPr>
          <w:rFonts w:cs="Times New Roman"/>
          <w:sz w:val="24"/>
          <w:szCs w:val="24"/>
        </w:rPr>
        <w:t>.</w:t>
      </w:r>
      <w:r w:rsidR="00EC7E3B" w:rsidRPr="00833C88">
        <w:rPr>
          <w:rFonts w:cs="Times New Roman"/>
          <w:sz w:val="24"/>
          <w:szCs w:val="24"/>
        </w:rPr>
        <w:t xml:space="preserve"> Dodatkowo też uzupełnią wykaz w zakresie działalności, która nie została objęta </w:t>
      </w:r>
      <w:r w:rsidR="00EC7E3B" w:rsidRPr="00833C88">
        <w:rPr>
          <w:rFonts w:cs="Times New Roman"/>
          <w:sz w:val="24"/>
          <w:szCs w:val="24"/>
        </w:rPr>
        <w:lastRenderedPageBreak/>
        <w:t xml:space="preserve">wpisem z </w:t>
      </w:r>
      <w:r w:rsidR="0081276F" w:rsidRPr="00833C88">
        <w:rPr>
          <w:rFonts w:cs="Times New Roman"/>
          <w:sz w:val="24"/>
          <w:szCs w:val="24"/>
        </w:rPr>
        <w:t>urzędu – pamiętać należy, że wiele z tych podmiotów świadczy różne rodzaje działalności.</w:t>
      </w:r>
      <w:r w:rsidR="00D311BF" w:rsidRPr="00833C88">
        <w:rPr>
          <w:rFonts w:cs="Times New Roman"/>
          <w:sz w:val="24"/>
          <w:szCs w:val="24"/>
        </w:rPr>
        <w:t xml:space="preserve"> </w:t>
      </w:r>
    </w:p>
    <w:p w14:paraId="7E868273" w14:textId="6ED63EA5" w:rsidR="00AD1ECF" w:rsidRPr="00833C88" w:rsidRDefault="00AD1ECF" w:rsidP="0029004E">
      <w:pPr>
        <w:spacing w:line="360" w:lineRule="auto"/>
        <w:jc w:val="both"/>
        <w:rPr>
          <w:rFonts w:cs="Times New Roman"/>
          <w:sz w:val="24"/>
          <w:szCs w:val="24"/>
        </w:rPr>
      </w:pPr>
      <w:r w:rsidRPr="00833C88">
        <w:rPr>
          <w:rFonts w:cs="Times New Roman"/>
          <w:sz w:val="24"/>
          <w:szCs w:val="24"/>
        </w:rPr>
        <w:t xml:space="preserve">Z uwagi na to, że nie wszyscy przedsiębiorcy telekomunikacyjni mają jeszcze adres do doręczeń elektronicznych, a z drugiej strony </w:t>
      </w:r>
      <w:r w:rsidR="00E56B3B" w:rsidRPr="00833C88">
        <w:rPr>
          <w:rFonts w:cs="Times New Roman"/>
          <w:sz w:val="24"/>
          <w:szCs w:val="24"/>
        </w:rPr>
        <w:t xml:space="preserve">muszą korzystać z Platformy Usług Elektronicznych Urzędu Komunikacji Elektronicznej wprowadzono możliwość </w:t>
      </w:r>
      <w:r w:rsidR="00C25014" w:rsidRPr="00833C88">
        <w:rPr>
          <w:rFonts w:cs="Times New Roman"/>
          <w:sz w:val="24"/>
          <w:szCs w:val="24"/>
        </w:rPr>
        <w:t xml:space="preserve">– ale nie obowiązek – przekazania zawiadomienia o wpisie w wykazie oraz wezwania do uzupełnienia braków formalnych </w:t>
      </w:r>
      <w:r w:rsidR="00BA79F3" w:rsidRPr="00833C88">
        <w:rPr>
          <w:rFonts w:cs="Times New Roman"/>
          <w:sz w:val="24"/>
          <w:szCs w:val="24"/>
        </w:rPr>
        <w:t>przez tę właśnie Platformę.</w:t>
      </w:r>
    </w:p>
    <w:p w14:paraId="2F60E9A4" w14:textId="2466290B" w:rsidR="00BA79F3" w:rsidRPr="00833C88" w:rsidRDefault="00BA79F3" w:rsidP="0029004E">
      <w:pPr>
        <w:spacing w:line="360" w:lineRule="auto"/>
        <w:jc w:val="both"/>
        <w:rPr>
          <w:rFonts w:cs="Times New Roman"/>
          <w:sz w:val="24"/>
          <w:szCs w:val="24"/>
        </w:rPr>
      </w:pPr>
      <w:r w:rsidRPr="00833C88">
        <w:rPr>
          <w:rFonts w:cs="Times New Roman"/>
          <w:sz w:val="24"/>
          <w:szCs w:val="24"/>
        </w:rPr>
        <w:t>Z uwagi na dużą liczbę podmiotów – zwłaszcza podmiotów publicznych jak i przedsiębiorców telekomunikacyjnych</w:t>
      </w:r>
      <w:r w:rsidR="000E4ACB" w:rsidRPr="00833C88">
        <w:rPr>
          <w:rFonts w:cs="Times New Roman"/>
          <w:sz w:val="24"/>
          <w:szCs w:val="24"/>
        </w:rPr>
        <w:t xml:space="preserve"> – wyraźnie wskazano, że sprawy dotyczące </w:t>
      </w:r>
      <w:r w:rsidR="007B0110" w:rsidRPr="00833C88">
        <w:rPr>
          <w:rFonts w:cs="Times New Roman"/>
          <w:sz w:val="24"/>
          <w:szCs w:val="24"/>
        </w:rPr>
        <w:t xml:space="preserve">przekazania zawiadomienia o wpisie z urzędu oraz </w:t>
      </w:r>
      <w:r w:rsidR="00E5397F" w:rsidRPr="00833C88">
        <w:rPr>
          <w:rFonts w:cs="Times New Roman"/>
          <w:sz w:val="24"/>
          <w:szCs w:val="24"/>
        </w:rPr>
        <w:t>przekazywania wezwania o uzupełnienie braków formalnych mogą być załatwiane w drodze automatycznie generowanych pism</w:t>
      </w:r>
      <w:r w:rsidR="002C020C" w:rsidRPr="00833C88">
        <w:rPr>
          <w:rFonts w:cs="Times New Roman"/>
          <w:sz w:val="24"/>
          <w:szCs w:val="24"/>
        </w:rPr>
        <w:t xml:space="preserve">, zgodnie z przepisem </w:t>
      </w:r>
      <w:r w:rsidR="00CE175D" w:rsidRPr="00833C88">
        <w:rPr>
          <w:rFonts w:cs="Times New Roman"/>
          <w:sz w:val="24"/>
          <w:szCs w:val="24"/>
        </w:rPr>
        <w:t>art. 14 § 1b ustawy z dnia 14 czerwca 1960 r. − Kodeks postępowania administracyjnego</w:t>
      </w:r>
      <w:r w:rsidR="00F31B6E">
        <w:rPr>
          <w:rFonts w:cs="Times New Roman"/>
          <w:sz w:val="24"/>
          <w:szCs w:val="24"/>
        </w:rPr>
        <w:t>, zwanym dalej „Kpa”</w:t>
      </w:r>
      <w:r w:rsidR="00CE175D" w:rsidRPr="00833C88">
        <w:rPr>
          <w:rFonts w:cs="Times New Roman"/>
          <w:sz w:val="24"/>
          <w:szCs w:val="24"/>
        </w:rPr>
        <w:t>.</w:t>
      </w:r>
    </w:p>
    <w:p w14:paraId="7FFD5DDA" w14:textId="0DECBBEB" w:rsidR="00A15277" w:rsidRPr="00833C88" w:rsidRDefault="00585DBA" w:rsidP="0029004E">
      <w:pPr>
        <w:spacing w:line="360" w:lineRule="auto"/>
        <w:jc w:val="both"/>
        <w:rPr>
          <w:rFonts w:cs="Times New Roman"/>
          <w:sz w:val="24"/>
          <w:szCs w:val="24"/>
        </w:rPr>
      </w:pPr>
      <w:r w:rsidRPr="00833C88">
        <w:rPr>
          <w:rFonts w:cs="Times New Roman"/>
          <w:sz w:val="24"/>
          <w:szCs w:val="24"/>
        </w:rPr>
        <w:t>Podmioty spełniające wymogi dla podmiotów kluczowych i podmiotów ważnych będą obowiązane do zarejestrowania się w tym rejestrze w terminie 3 miesięcy od dnia spełnienia przesłanek uznania za podmiot kluczowy albo podmiot ważny.</w:t>
      </w:r>
      <w:r w:rsidR="006942E2" w:rsidRPr="00833C88">
        <w:rPr>
          <w:rFonts w:cs="Times New Roman"/>
          <w:sz w:val="24"/>
          <w:szCs w:val="24"/>
        </w:rPr>
        <w:t xml:space="preserve"> Nie dotyczy to oczywiście podmiotów publicznych, dostawców usług zaufania i przedsiębiorców telekomunikacyjnych, którzy będą wpisywani do wykazu z urzędu, zgodnie z procedurą </w:t>
      </w:r>
      <w:r w:rsidR="0043643D" w:rsidRPr="00833C88">
        <w:rPr>
          <w:rFonts w:cs="Times New Roman"/>
          <w:sz w:val="24"/>
          <w:szCs w:val="24"/>
        </w:rPr>
        <w:t>opisaną powyżej.</w:t>
      </w:r>
      <w:r w:rsidR="00403E8E" w:rsidRPr="00833C88">
        <w:rPr>
          <w:rFonts w:cs="Times New Roman"/>
          <w:sz w:val="24"/>
          <w:szCs w:val="24"/>
        </w:rPr>
        <w:t xml:space="preserve"> </w:t>
      </w:r>
      <w:r w:rsidR="00C90A9F" w:rsidRPr="00833C88">
        <w:rPr>
          <w:rFonts w:cs="Times New Roman"/>
          <w:sz w:val="24"/>
          <w:szCs w:val="24"/>
        </w:rPr>
        <w:t>Wykaz</w:t>
      </w:r>
      <w:r w:rsidR="007A399E" w:rsidRPr="00833C88">
        <w:rPr>
          <w:rFonts w:cs="Times New Roman"/>
          <w:sz w:val="24"/>
          <w:szCs w:val="24"/>
        </w:rPr>
        <w:t xml:space="preserve"> będzie prowadzony </w:t>
      </w:r>
      <w:r w:rsidR="00601933" w:rsidRPr="00833C88">
        <w:rPr>
          <w:rFonts w:cs="Times New Roman"/>
          <w:sz w:val="24"/>
          <w:szCs w:val="24"/>
        </w:rPr>
        <w:t>w </w:t>
      </w:r>
      <w:r w:rsidR="007A399E" w:rsidRPr="00833C88">
        <w:rPr>
          <w:rFonts w:cs="Times New Roman"/>
          <w:sz w:val="24"/>
          <w:szCs w:val="24"/>
        </w:rPr>
        <w:t>systemie teleinformatycznym</w:t>
      </w:r>
      <w:r w:rsidR="00C90A9F" w:rsidRPr="00833C88">
        <w:rPr>
          <w:rFonts w:cs="Times New Roman"/>
          <w:sz w:val="24"/>
          <w:szCs w:val="24"/>
        </w:rPr>
        <w:t xml:space="preserve"> S46</w:t>
      </w:r>
      <w:r w:rsidR="006C4347" w:rsidRPr="00833C88">
        <w:rPr>
          <w:rFonts w:cs="Times New Roman"/>
          <w:sz w:val="24"/>
          <w:szCs w:val="24"/>
        </w:rPr>
        <w:t>,</w:t>
      </w:r>
      <w:r w:rsidR="007A399E" w:rsidRPr="00833C88">
        <w:rPr>
          <w:rFonts w:cs="Times New Roman"/>
          <w:sz w:val="24"/>
          <w:szCs w:val="24"/>
        </w:rPr>
        <w:t xml:space="preserve"> </w:t>
      </w:r>
      <w:r w:rsidR="00601933" w:rsidRPr="00833C88">
        <w:rPr>
          <w:rFonts w:cs="Times New Roman"/>
          <w:sz w:val="24"/>
          <w:szCs w:val="24"/>
        </w:rPr>
        <w:t>a </w:t>
      </w:r>
      <w:r w:rsidR="005A33B3" w:rsidRPr="00833C88">
        <w:rPr>
          <w:rFonts w:cs="Times New Roman"/>
          <w:sz w:val="24"/>
          <w:szCs w:val="24"/>
        </w:rPr>
        <w:t xml:space="preserve">wnioski do niego będą miały </w:t>
      </w:r>
      <w:r w:rsidR="00CF1CED" w:rsidRPr="00833C88">
        <w:rPr>
          <w:rFonts w:cs="Times New Roman"/>
          <w:sz w:val="24"/>
          <w:szCs w:val="24"/>
        </w:rPr>
        <w:t xml:space="preserve">postać </w:t>
      </w:r>
      <w:r w:rsidR="005A33B3" w:rsidRPr="00833C88">
        <w:rPr>
          <w:rFonts w:cs="Times New Roman"/>
          <w:sz w:val="24"/>
          <w:szCs w:val="24"/>
        </w:rPr>
        <w:t>elektroniczną</w:t>
      </w:r>
      <w:r w:rsidR="000C371B" w:rsidRPr="00833C88">
        <w:rPr>
          <w:rFonts w:cs="Times New Roman"/>
          <w:sz w:val="24"/>
          <w:szCs w:val="24"/>
        </w:rPr>
        <w:t>,</w:t>
      </w:r>
      <w:r w:rsidR="005A33B3" w:rsidRPr="00833C88">
        <w:rPr>
          <w:rFonts w:cs="Times New Roman"/>
          <w:sz w:val="24"/>
          <w:szCs w:val="24"/>
        </w:rPr>
        <w:t xml:space="preserve"> co pozwoli na jego efektywną obsługę.</w:t>
      </w:r>
      <w:r w:rsidR="00473530" w:rsidRPr="00833C88">
        <w:rPr>
          <w:rFonts w:cs="Times New Roman"/>
          <w:sz w:val="24"/>
          <w:szCs w:val="24"/>
        </w:rPr>
        <w:t xml:space="preserve"> Wnioski także będą składane </w:t>
      </w:r>
      <w:r w:rsidR="00601933" w:rsidRPr="00833C88">
        <w:rPr>
          <w:rFonts w:cs="Times New Roman"/>
          <w:sz w:val="24"/>
          <w:szCs w:val="24"/>
        </w:rPr>
        <w:t>w </w:t>
      </w:r>
      <w:r w:rsidR="00473530" w:rsidRPr="00833C88">
        <w:rPr>
          <w:rFonts w:cs="Times New Roman"/>
          <w:sz w:val="24"/>
          <w:szCs w:val="24"/>
        </w:rPr>
        <w:t>systemie teleinformatycznym S46.</w:t>
      </w:r>
      <w:r w:rsidR="00331AE7" w:rsidRPr="00833C88">
        <w:rPr>
          <w:rFonts w:cs="Times New Roman"/>
          <w:sz w:val="24"/>
          <w:szCs w:val="24"/>
        </w:rPr>
        <w:t xml:space="preserve"> Wniosek będzie mógł być podpisany kwalifikowanym podpisem elektronicznym, podpisem zaufanym, podpisem osobistym </w:t>
      </w:r>
      <w:r w:rsidR="0072582A" w:rsidRPr="00833C88">
        <w:rPr>
          <w:rFonts w:cs="Times New Roman"/>
          <w:sz w:val="24"/>
          <w:szCs w:val="24"/>
        </w:rPr>
        <w:t>kierownika podmiotu kluczowego lub podmiotu ważnego albo osoby upoważnionej</w:t>
      </w:r>
      <w:r w:rsidR="00EA7D6F" w:rsidRPr="00833C88">
        <w:rPr>
          <w:rFonts w:cs="Times New Roman"/>
          <w:sz w:val="24"/>
          <w:szCs w:val="24"/>
        </w:rPr>
        <w:t xml:space="preserve"> albo kwalifikowaną pieczęcią elektroniczną.</w:t>
      </w:r>
      <w:r w:rsidR="006D4B65" w:rsidRPr="00833C88">
        <w:rPr>
          <w:rFonts w:cs="Times New Roman"/>
          <w:sz w:val="24"/>
          <w:szCs w:val="24"/>
        </w:rPr>
        <w:t xml:space="preserve"> </w:t>
      </w:r>
      <w:r w:rsidR="005A33B3" w:rsidRPr="00833C88">
        <w:rPr>
          <w:rFonts w:cs="Times New Roman"/>
          <w:sz w:val="24"/>
          <w:szCs w:val="24"/>
        </w:rPr>
        <w:t xml:space="preserve">We wniosku powinny znaleźć się wszystkie </w:t>
      </w:r>
      <w:r w:rsidR="00C3367A" w:rsidRPr="00833C88">
        <w:rPr>
          <w:rFonts w:cs="Times New Roman"/>
          <w:sz w:val="24"/>
          <w:szCs w:val="24"/>
        </w:rPr>
        <w:t xml:space="preserve">informacje, które są wymagane </w:t>
      </w:r>
      <w:r w:rsidR="00601933" w:rsidRPr="00833C88">
        <w:rPr>
          <w:rFonts w:cs="Times New Roman"/>
          <w:sz w:val="24"/>
          <w:szCs w:val="24"/>
        </w:rPr>
        <w:t>w </w:t>
      </w:r>
      <w:r w:rsidR="00C3367A" w:rsidRPr="00833C88">
        <w:rPr>
          <w:rFonts w:cs="Times New Roman"/>
          <w:sz w:val="24"/>
          <w:szCs w:val="24"/>
        </w:rPr>
        <w:t xml:space="preserve">rejestrze. </w:t>
      </w:r>
      <w:r w:rsidR="00E22A5B" w:rsidRPr="00833C88">
        <w:rPr>
          <w:rFonts w:cs="Times New Roman"/>
          <w:sz w:val="24"/>
          <w:szCs w:val="24"/>
        </w:rPr>
        <w:t xml:space="preserve">Wnioski mają zawierać również oświadczenia </w:t>
      </w:r>
      <w:r w:rsidR="00601933" w:rsidRPr="00833C88">
        <w:rPr>
          <w:rFonts w:cs="Times New Roman"/>
          <w:sz w:val="24"/>
          <w:szCs w:val="24"/>
        </w:rPr>
        <w:t>o </w:t>
      </w:r>
      <w:r w:rsidR="00043647" w:rsidRPr="00833C88">
        <w:rPr>
          <w:rFonts w:cs="Times New Roman"/>
          <w:sz w:val="24"/>
          <w:szCs w:val="24"/>
        </w:rPr>
        <w:t xml:space="preserve">świadomości odpowiedzialności karnej za złożenie fałszywego oświadczenia wynikającej </w:t>
      </w:r>
      <w:r w:rsidR="00601933" w:rsidRPr="00833C88">
        <w:rPr>
          <w:rFonts w:cs="Times New Roman"/>
          <w:sz w:val="24"/>
          <w:szCs w:val="24"/>
        </w:rPr>
        <w:t>z </w:t>
      </w:r>
      <w:r w:rsidR="00043647" w:rsidRPr="00833C88">
        <w:rPr>
          <w:rFonts w:cs="Times New Roman"/>
          <w:sz w:val="24"/>
          <w:szCs w:val="24"/>
        </w:rPr>
        <w:t xml:space="preserve">art. 233 § 6 </w:t>
      </w:r>
      <w:r w:rsidR="00A93199" w:rsidRPr="00833C88">
        <w:rPr>
          <w:rFonts w:cs="Times New Roman"/>
          <w:sz w:val="24"/>
          <w:szCs w:val="24"/>
        </w:rPr>
        <w:t xml:space="preserve">ustawy </w:t>
      </w:r>
      <w:r w:rsidR="00601933" w:rsidRPr="00833C88">
        <w:rPr>
          <w:rFonts w:cs="Times New Roman"/>
          <w:sz w:val="24"/>
          <w:szCs w:val="24"/>
        </w:rPr>
        <w:t>z </w:t>
      </w:r>
      <w:r w:rsidR="00A93199" w:rsidRPr="00833C88">
        <w:rPr>
          <w:rFonts w:cs="Times New Roman"/>
          <w:sz w:val="24"/>
          <w:szCs w:val="24"/>
        </w:rPr>
        <w:t xml:space="preserve">dnia </w:t>
      </w:r>
      <w:r w:rsidR="006432B3" w:rsidRPr="00833C88">
        <w:rPr>
          <w:rFonts w:cs="Times New Roman"/>
          <w:sz w:val="24"/>
          <w:szCs w:val="24"/>
        </w:rPr>
        <w:t xml:space="preserve">6 czerwca 1997 r. – </w:t>
      </w:r>
      <w:r w:rsidR="00043647" w:rsidRPr="00833C88">
        <w:rPr>
          <w:rFonts w:cs="Times New Roman"/>
          <w:sz w:val="24"/>
          <w:szCs w:val="24"/>
        </w:rPr>
        <w:t>Kodeks karn</w:t>
      </w:r>
      <w:r w:rsidR="00206D2C" w:rsidRPr="00833C88">
        <w:rPr>
          <w:rFonts w:cs="Times New Roman"/>
          <w:sz w:val="24"/>
          <w:szCs w:val="24"/>
        </w:rPr>
        <w:t>y</w:t>
      </w:r>
      <w:r w:rsidR="006432B3" w:rsidRPr="00833C88">
        <w:rPr>
          <w:rFonts w:cs="Times New Roman"/>
          <w:sz w:val="24"/>
          <w:szCs w:val="24"/>
        </w:rPr>
        <w:t xml:space="preserve"> (Dz. U. </w:t>
      </w:r>
      <w:r w:rsidR="00601933" w:rsidRPr="00833C88">
        <w:rPr>
          <w:rFonts w:cs="Times New Roman"/>
          <w:sz w:val="24"/>
          <w:szCs w:val="24"/>
        </w:rPr>
        <w:t>z </w:t>
      </w:r>
      <w:r w:rsidR="006432B3" w:rsidRPr="00833C88">
        <w:rPr>
          <w:rFonts w:cs="Times New Roman"/>
          <w:sz w:val="24"/>
          <w:szCs w:val="24"/>
        </w:rPr>
        <w:t>202</w:t>
      </w:r>
      <w:r w:rsidR="006D5A02" w:rsidRPr="00833C88">
        <w:rPr>
          <w:rFonts w:cs="Times New Roman"/>
          <w:sz w:val="24"/>
          <w:szCs w:val="24"/>
        </w:rPr>
        <w:t>5</w:t>
      </w:r>
      <w:r w:rsidR="006432B3" w:rsidRPr="00833C88">
        <w:rPr>
          <w:rFonts w:cs="Times New Roman"/>
          <w:sz w:val="24"/>
          <w:szCs w:val="24"/>
        </w:rPr>
        <w:t xml:space="preserve"> r. poz. </w:t>
      </w:r>
      <w:r w:rsidR="006D5A02" w:rsidRPr="00833C88">
        <w:rPr>
          <w:rFonts w:cs="Times New Roman"/>
          <w:sz w:val="24"/>
          <w:szCs w:val="24"/>
        </w:rPr>
        <w:t>383</w:t>
      </w:r>
      <w:r w:rsidR="006432B3" w:rsidRPr="00833C88">
        <w:rPr>
          <w:rFonts w:cs="Times New Roman"/>
          <w:sz w:val="24"/>
          <w:szCs w:val="24"/>
        </w:rPr>
        <w:t>), zwanej dalej „Kodeks karny”</w:t>
      </w:r>
      <w:r w:rsidR="00043647" w:rsidRPr="00833C88">
        <w:rPr>
          <w:rFonts w:cs="Times New Roman"/>
          <w:sz w:val="24"/>
          <w:szCs w:val="24"/>
        </w:rPr>
        <w:t>.</w:t>
      </w:r>
      <w:r w:rsidR="00F4006F" w:rsidRPr="00833C88">
        <w:rPr>
          <w:rFonts w:cs="Times New Roman"/>
          <w:sz w:val="24"/>
          <w:szCs w:val="24"/>
        </w:rPr>
        <w:t xml:space="preserve"> Powinno to zapewnić a</w:t>
      </w:r>
      <w:r w:rsidR="005B27DE" w:rsidRPr="00833C88">
        <w:rPr>
          <w:rFonts w:cs="Times New Roman"/>
          <w:sz w:val="24"/>
          <w:szCs w:val="24"/>
        </w:rPr>
        <w:t>ktualność</w:t>
      </w:r>
      <w:r w:rsidR="00075544" w:rsidRPr="00833C88">
        <w:rPr>
          <w:rFonts w:cs="Times New Roman"/>
          <w:sz w:val="24"/>
          <w:szCs w:val="24"/>
        </w:rPr>
        <w:t xml:space="preserve"> oraz prawdziwość</w:t>
      </w:r>
      <w:r w:rsidR="005B27DE" w:rsidRPr="00833C88">
        <w:rPr>
          <w:rFonts w:cs="Times New Roman"/>
          <w:sz w:val="24"/>
          <w:szCs w:val="24"/>
        </w:rPr>
        <w:t xml:space="preserve"> danych </w:t>
      </w:r>
      <w:r w:rsidR="00601933" w:rsidRPr="00833C88">
        <w:rPr>
          <w:rFonts w:cs="Times New Roman"/>
          <w:sz w:val="24"/>
          <w:szCs w:val="24"/>
        </w:rPr>
        <w:t>w </w:t>
      </w:r>
      <w:r w:rsidR="005B27DE" w:rsidRPr="00833C88">
        <w:rPr>
          <w:rFonts w:cs="Times New Roman"/>
          <w:sz w:val="24"/>
          <w:szCs w:val="24"/>
        </w:rPr>
        <w:t>rejestrze.</w:t>
      </w:r>
      <w:r w:rsidR="00043647" w:rsidRPr="00833C88">
        <w:rPr>
          <w:rFonts w:cs="Times New Roman"/>
          <w:sz w:val="24"/>
          <w:szCs w:val="24"/>
        </w:rPr>
        <w:t xml:space="preserve"> Spod tej </w:t>
      </w:r>
      <w:r w:rsidR="00F873BF" w:rsidRPr="00833C88">
        <w:rPr>
          <w:rFonts w:cs="Times New Roman"/>
          <w:sz w:val="24"/>
          <w:szCs w:val="24"/>
        </w:rPr>
        <w:t xml:space="preserve">odpowiedzialności zwolnione są punkty wniosku dotyczące wykorzystywanych adresów IP oraz domen. </w:t>
      </w:r>
      <w:r w:rsidR="006610EE" w:rsidRPr="00833C88">
        <w:rPr>
          <w:rFonts w:cs="Times New Roman"/>
          <w:sz w:val="24"/>
          <w:szCs w:val="24"/>
        </w:rPr>
        <w:t xml:space="preserve">Adresy IP </w:t>
      </w:r>
      <w:r w:rsidR="00601933" w:rsidRPr="00833C88">
        <w:rPr>
          <w:rFonts w:cs="Times New Roman"/>
          <w:sz w:val="24"/>
          <w:szCs w:val="24"/>
        </w:rPr>
        <w:t>i </w:t>
      </w:r>
      <w:r w:rsidR="006610EE" w:rsidRPr="00833C88">
        <w:rPr>
          <w:rFonts w:cs="Times New Roman"/>
          <w:sz w:val="24"/>
          <w:szCs w:val="24"/>
        </w:rPr>
        <w:t>domeny mogą ulegać bardzo szybkim zmianom</w:t>
      </w:r>
      <w:r w:rsidR="000C371B" w:rsidRPr="00833C88">
        <w:rPr>
          <w:rFonts w:cs="Times New Roman"/>
          <w:sz w:val="24"/>
          <w:szCs w:val="24"/>
        </w:rPr>
        <w:t>,</w:t>
      </w:r>
      <w:r w:rsidR="006610EE" w:rsidRPr="00833C88">
        <w:rPr>
          <w:rFonts w:cs="Times New Roman"/>
          <w:sz w:val="24"/>
          <w:szCs w:val="24"/>
        </w:rPr>
        <w:t xml:space="preserve"> </w:t>
      </w:r>
      <w:r w:rsidR="00601933" w:rsidRPr="00833C88">
        <w:rPr>
          <w:rFonts w:cs="Times New Roman"/>
          <w:sz w:val="24"/>
          <w:szCs w:val="24"/>
        </w:rPr>
        <w:t>a </w:t>
      </w:r>
      <w:r w:rsidR="00FD101E" w:rsidRPr="00833C88">
        <w:rPr>
          <w:rFonts w:cs="Times New Roman"/>
          <w:sz w:val="24"/>
          <w:szCs w:val="24"/>
        </w:rPr>
        <w:t xml:space="preserve">także może ich być bardzo wiele. </w:t>
      </w:r>
      <w:r w:rsidR="00601933" w:rsidRPr="00833C88">
        <w:rPr>
          <w:rFonts w:cs="Times New Roman"/>
          <w:sz w:val="24"/>
          <w:szCs w:val="24"/>
        </w:rPr>
        <w:t>Z </w:t>
      </w:r>
      <w:r w:rsidR="00FD101E" w:rsidRPr="00833C88">
        <w:rPr>
          <w:rFonts w:cs="Times New Roman"/>
          <w:sz w:val="24"/>
          <w:szCs w:val="24"/>
        </w:rPr>
        <w:t>tego względu nie byłoby zasadne karanie za</w:t>
      </w:r>
      <w:r w:rsidR="000C371B" w:rsidRPr="00833C88">
        <w:rPr>
          <w:rFonts w:cs="Times New Roman"/>
          <w:sz w:val="24"/>
          <w:szCs w:val="24"/>
        </w:rPr>
        <w:t> </w:t>
      </w:r>
      <w:r w:rsidR="00812304" w:rsidRPr="00833C88">
        <w:rPr>
          <w:rFonts w:cs="Times New Roman"/>
          <w:sz w:val="24"/>
          <w:szCs w:val="24"/>
        </w:rPr>
        <w:t xml:space="preserve">błędne podanie tych informacji. </w:t>
      </w:r>
      <w:r w:rsidR="001F1FF0" w:rsidRPr="00833C88">
        <w:rPr>
          <w:rFonts w:cs="Times New Roman"/>
          <w:sz w:val="24"/>
          <w:szCs w:val="24"/>
        </w:rPr>
        <w:t>Przewidziano możliwość działania przez pełnomocnika</w:t>
      </w:r>
      <w:r w:rsidR="00A61235" w:rsidRPr="00833C88">
        <w:rPr>
          <w:rFonts w:cs="Times New Roman"/>
          <w:sz w:val="24"/>
          <w:szCs w:val="24"/>
        </w:rPr>
        <w:t xml:space="preserve"> – wniosek musi wtedy zawierać także </w:t>
      </w:r>
      <w:r w:rsidR="00A61235" w:rsidRPr="00833C88">
        <w:rPr>
          <w:rFonts w:cs="Times New Roman"/>
          <w:sz w:val="24"/>
          <w:szCs w:val="24"/>
        </w:rPr>
        <w:lastRenderedPageBreak/>
        <w:t xml:space="preserve">pełnomocnictwo </w:t>
      </w:r>
      <w:r w:rsidR="00601933" w:rsidRPr="00833C88">
        <w:rPr>
          <w:rFonts w:cs="Times New Roman"/>
          <w:sz w:val="24"/>
          <w:szCs w:val="24"/>
        </w:rPr>
        <w:t>w </w:t>
      </w:r>
      <w:r w:rsidR="00A61235" w:rsidRPr="00833C88">
        <w:rPr>
          <w:rFonts w:cs="Times New Roman"/>
          <w:sz w:val="24"/>
          <w:szCs w:val="24"/>
        </w:rPr>
        <w:t>postaci elektronicznej podpisane kwalifikowanym podpisem elektronicznym, podpisem zaufanym albo podpisem osobistym.</w:t>
      </w:r>
    </w:p>
    <w:p w14:paraId="580B8996" w14:textId="382938E2" w:rsidR="00A61235" w:rsidRPr="00833C88" w:rsidRDefault="00BB0764" w:rsidP="0029004E">
      <w:pPr>
        <w:spacing w:line="360" w:lineRule="auto"/>
        <w:jc w:val="both"/>
        <w:rPr>
          <w:rFonts w:cs="Times New Roman"/>
          <w:sz w:val="24"/>
          <w:szCs w:val="24"/>
        </w:rPr>
      </w:pPr>
      <w:r w:rsidRPr="00833C88">
        <w:rPr>
          <w:rFonts w:cs="Times New Roman"/>
          <w:sz w:val="24"/>
          <w:szCs w:val="24"/>
        </w:rPr>
        <w:t xml:space="preserve">Odstąpiono od wymogu podawania pełnomocnictwa </w:t>
      </w:r>
      <w:r w:rsidR="00601933" w:rsidRPr="00833C88">
        <w:rPr>
          <w:rFonts w:cs="Times New Roman"/>
          <w:sz w:val="24"/>
          <w:szCs w:val="24"/>
        </w:rPr>
        <w:t>w </w:t>
      </w:r>
      <w:r w:rsidRPr="00833C88">
        <w:rPr>
          <w:rFonts w:cs="Times New Roman"/>
          <w:sz w:val="24"/>
          <w:szCs w:val="24"/>
        </w:rPr>
        <w:t xml:space="preserve">przypadku </w:t>
      </w:r>
      <w:r w:rsidR="00967C0A" w:rsidRPr="00833C88">
        <w:rPr>
          <w:rFonts w:cs="Times New Roman"/>
          <w:sz w:val="24"/>
          <w:szCs w:val="24"/>
        </w:rPr>
        <w:t xml:space="preserve">pełnomocnika lub prokurenta podmiotu, którzy są ujawnieni </w:t>
      </w:r>
      <w:r w:rsidR="00601933" w:rsidRPr="00833C88">
        <w:rPr>
          <w:rFonts w:cs="Times New Roman"/>
          <w:sz w:val="24"/>
          <w:szCs w:val="24"/>
        </w:rPr>
        <w:t>w </w:t>
      </w:r>
      <w:r w:rsidR="00967C0A" w:rsidRPr="00833C88">
        <w:rPr>
          <w:rFonts w:cs="Times New Roman"/>
          <w:sz w:val="24"/>
          <w:szCs w:val="24"/>
        </w:rPr>
        <w:t xml:space="preserve">Centralnej Ewidencji </w:t>
      </w:r>
      <w:r w:rsidR="00601933" w:rsidRPr="00833C88">
        <w:rPr>
          <w:rFonts w:cs="Times New Roman"/>
          <w:sz w:val="24"/>
          <w:szCs w:val="24"/>
        </w:rPr>
        <w:t>i </w:t>
      </w:r>
      <w:r w:rsidR="00967C0A" w:rsidRPr="00833C88">
        <w:rPr>
          <w:rFonts w:cs="Times New Roman"/>
          <w:sz w:val="24"/>
          <w:szCs w:val="24"/>
        </w:rPr>
        <w:t xml:space="preserve">Informacji </w:t>
      </w:r>
      <w:r w:rsidR="00601933" w:rsidRPr="00833C88">
        <w:rPr>
          <w:rFonts w:cs="Times New Roman"/>
          <w:sz w:val="24"/>
          <w:szCs w:val="24"/>
        </w:rPr>
        <w:t>o </w:t>
      </w:r>
      <w:r w:rsidR="00967C0A" w:rsidRPr="00833C88">
        <w:rPr>
          <w:rFonts w:cs="Times New Roman"/>
          <w:sz w:val="24"/>
          <w:szCs w:val="24"/>
        </w:rPr>
        <w:t xml:space="preserve">Działalności Gospodarczej lub </w:t>
      </w:r>
      <w:r w:rsidR="00601933" w:rsidRPr="00833C88">
        <w:rPr>
          <w:rFonts w:cs="Times New Roman"/>
          <w:sz w:val="24"/>
          <w:szCs w:val="24"/>
        </w:rPr>
        <w:t>w </w:t>
      </w:r>
      <w:r w:rsidR="00967C0A" w:rsidRPr="00833C88">
        <w:rPr>
          <w:rFonts w:cs="Times New Roman"/>
          <w:sz w:val="24"/>
          <w:szCs w:val="24"/>
        </w:rPr>
        <w:t xml:space="preserve">Krajowym Rejestrze Sądowym. Administracja już wie </w:t>
      </w:r>
      <w:r w:rsidR="00601933" w:rsidRPr="00833C88">
        <w:rPr>
          <w:rFonts w:cs="Times New Roman"/>
          <w:sz w:val="24"/>
          <w:szCs w:val="24"/>
        </w:rPr>
        <w:t>o </w:t>
      </w:r>
      <w:r w:rsidR="00967C0A" w:rsidRPr="00833C88">
        <w:rPr>
          <w:rFonts w:cs="Times New Roman"/>
          <w:sz w:val="24"/>
          <w:szCs w:val="24"/>
        </w:rPr>
        <w:t xml:space="preserve">pełnomocniku lub prokurencie </w:t>
      </w:r>
      <w:r w:rsidR="00601933" w:rsidRPr="00833C88">
        <w:rPr>
          <w:rFonts w:cs="Times New Roman"/>
          <w:sz w:val="24"/>
          <w:szCs w:val="24"/>
        </w:rPr>
        <w:t>i </w:t>
      </w:r>
      <w:r w:rsidR="00967C0A" w:rsidRPr="00833C88">
        <w:rPr>
          <w:rFonts w:cs="Times New Roman"/>
          <w:sz w:val="24"/>
          <w:szCs w:val="24"/>
        </w:rPr>
        <w:t xml:space="preserve">nie ma powodu, aby dodatkowo prosić podmiot </w:t>
      </w:r>
      <w:r w:rsidR="00601933" w:rsidRPr="00833C88">
        <w:rPr>
          <w:rFonts w:cs="Times New Roman"/>
          <w:sz w:val="24"/>
          <w:szCs w:val="24"/>
        </w:rPr>
        <w:t>o </w:t>
      </w:r>
      <w:r w:rsidR="00967C0A" w:rsidRPr="00833C88">
        <w:rPr>
          <w:rFonts w:cs="Times New Roman"/>
          <w:sz w:val="24"/>
          <w:szCs w:val="24"/>
        </w:rPr>
        <w:t>przedstawienie pełnomocnictwa.</w:t>
      </w:r>
    </w:p>
    <w:p w14:paraId="02F3A10B" w14:textId="14A8631E" w:rsidR="00812304" w:rsidRPr="00833C88" w:rsidRDefault="00034D45" w:rsidP="0029004E">
      <w:pPr>
        <w:spacing w:line="360" w:lineRule="auto"/>
        <w:jc w:val="both"/>
        <w:rPr>
          <w:rFonts w:cs="Times New Roman"/>
          <w:sz w:val="24"/>
          <w:szCs w:val="24"/>
        </w:rPr>
      </w:pPr>
      <w:r w:rsidRPr="00833C88">
        <w:rPr>
          <w:rFonts w:cs="Times New Roman"/>
          <w:sz w:val="24"/>
          <w:szCs w:val="24"/>
        </w:rPr>
        <w:t xml:space="preserve">Wpis do wykazu będzie dokonywał się automatycznie </w:t>
      </w:r>
      <w:r w:rsidR="00601933" w:rsidRPr="00833C88">
        <w:rPr>
          <w:rFonts w:cs="Times New Roman"/>
          <w:sz w:val="24"/>
          <w:szCs w:val="24"/>
        </w:rPr>
        <w:t>z </w:t>
      </w:r>
      <w:r w:rsidRPr="00833C88">
        <w:rPr>
          <w:rFonts w:cs="Times New Roman"/>
          <w:sz w:val="24"/>
          <w:szCs w:val="24"/>
        </w:rPr>
        <w:t xml:space="preserve">chwilą złożenia podpisanego wniosku przez podmiot </w:t>
      </w:r>
      <w:r w:rsidR="00881640" w:rsidRPr="00833C88">
        <w:rPr>
          <w:rFonts w:cs="Times New Roman"/>
          <w:sz w:val="24"/>
          <w:szCs w:val="24"/>
        </w:rPr>
        <w:t xml:space="preserve">kluczowy </w:t>
      </w:r>
      <w:r w:rsidR="00601933" w:rsidRPr="00833C88">
        <w:rPr>
          <w:rFonts w:cs="Times New Roman"/>
          <w:sz w:val="24"/>
          <w:szCs w:val="24"/>
        </w:rPr>
        <w:t>i </w:t>
      </w:r>
      <w:r w:rsidR="00881640" w:rsidRPr="00833C88">
        <w:rPr>
          <w:rFonts w:cs="Times New Roman"/>
          <w:sz w:val="24"/>
          <w:szCs w:val="24"/>
        </w:rPr>
        <w:t xml:space="preserve">podmiot ważny. </w:t>
      </w:r>
      <w:r w:rsidR="00FD740D" w:rsidRPr="00833C88">
        <w:rPr>
          <w:rFonts w:cs="Times New Roman"/>
          <w:sz w:val="24"/>
          <w:szCs w:val="24"/>
        </w:rPr>
        <w:t xml:space="preserve">Organy właściwe do spraw cyberbezpieczeństwa będą mogły weryfikować </w:t>
      </w:r>
      <w:r w:rsidR="00D9028A" w:rsidRPr="00833C88">
        <w:rPr>
          <w:rFonts w:cs="Times New Roman"/>
          <w:sz w:val="24"/>
          <w:szCs w:val="24"/>
        </w:rPr>
        <w:t>czy</w:t>
      </w:r>
      <w:r w:rsidR="00670955" w:rsidRPr="00833C88">
        <w:rPr>
          <w:rFonts w:cs="Times New Roman"/>
          <w:sz w:val="24"/>
          <w:szCs w:val="24"/>
        </w:rPr>
        <w:t xml:space="preserve"> podmioty </w:t>
      </w:r>
      <w:r w:rsidR="0099185A" w:rsidRPr="00833C88">
        <w:rPr>
          <w:rFonts w:cs="Times New Roman"/>
          <w:sz w:val="24"/>
          <w:szCs w:val="24"/>
        </w:rPr>
        <w:t xml:space="preserve">wpisane do wykazu rzeczywiście spełniają odpowiednie kryteria podmiotów kluczowych </w:t>
      </w:r>
      <w:r w:rsidR="00701E15" w:rsidRPr="00833C88">
        <w:rPr>
          <w:rFonts w:cs="Times New Roman"/>
          <w:sz w:val="24"/>
          <w:szCs w:val="24"/>
        </w:rPr>
        <w:t xml:space="preserve">lub </w:t>
      </w:r>
      <w:r w:rsidR="000C371B" w:rsidRPr="00833C88">
        <w:rPr>
          <w:rFonts w:cs="Times New Roman"/>
          <w:sz w:val="24"/>
          <w:szCs w:val="24"/>
        </w:rPr>
        <w:t xml:space="preserve">podmiotów </w:t>
      </w:r>
      <w:r w:rsidR="0099185A" w:rsidRPr="00833C88">
        <w:rPr>
          <w:rFonts w:cs="Times New Roman"/>
          <w:sz w:val="24"/>
          <w:szCs w:val="24"/>
        </w:rPr>
        <w:t>ważnych.</w:t>
      </w:r>
    </w:p>
    <w:p w14:paraId="09D84928" w14:textId="7BBCDA05" w:rsidR="002D14FC" w:rsidRPr="00833C88" w:rsidRDefault="002D14FC" w:rsidP="0029004E">
      <w:pPr>
        <w:spacing w:line="360" w:lineRule="auto"/>
        <w:jc w:val="both"/>
        <w:rPr>
          <w:rFonts w:cs="Times New Roman"/>
          <w:sz w:val="24"/>
          <w:szCs w:val="24"/>
        </w:rPr>
      </w:pPr>
      <w:r w:rsidRPr="00833C88">
        <w:rPr>
          <w:rFonts w:cs="Times New Roman"/>
          <w:sz w:val="24"/>
          <w:szCs w:val="24"/>
        </w:rPr>
        <w:t xml:space="preserve">Może się zdarzyć, że podmiot kluczowy lub podmiot ważny </w:t>
      </w:r>
      <w:r w:rsidR="0074775B" w:rsidRPr="00833C88">
        <w:rPr>
          <w:rFonts w:cs="Times New Roman"/>
          <w:sz w:val="24"/>
          <w:szCs w:val="24"/>
        </w:rPr>
        <w:t xml:space="preserve">prowadzi kilka działalności wskazanych w załącznikach nr 1 i 2 do ustawy. </w:t>
      </w:r>
      <w:r w:rsidR="00405552" w:rsidRPr="00833C88">
        <w:rPr>
          <w:rFonts w:cs="Times New Roman"/>
          <w:sz w:val="24"/>
          <w:szCs w:val="24"/>
        </w:rPr>
        <w:t>Dlatego we wniosku podmiot ma je odrębnie wykazać, co pozwoli na przypisanie właściwych sektorów.</w:t>
      </w:r>
    </w:p>
    <w:p w14:paraId="6A0BA20B" w14:textId="62EB06DE" w:rsidR="00C15F77" w:rsidRPr="00833C88" w:rsidRDefault="00C15F77" w:rsidP="0029004E">
      <w:pPr>
        <w:spacing w:line="360" w:lineRule="auto"/>
        <w:jc w:val="both"/>
        <w:rPr>
          <w:rFonts w:cs="Times New Roman"/>
          <w:sz w:val="24"/>
          <w:szCs w:val="24"/>
        </w:rPr>
      </w:pPr>
      <w:r w:rsidRPr="00833C88">
        <w:rPr>
          <w:rFonts w:cs="Times New Roman"/>
          <w:sz w:val="24"/>
          <w:szCs w:val="24"/>
        </w:rPr>
        <w:t>Wskazano katalog sytuacji</w:t>
      </w:r>
      <w:r w:rsidR="00062670" w:rsidRPr="00833C88">
        <w:rPr>
          <w:rFonts w:cs="Times New Roman"/>
          <w:sz w:val="24"/>
          <w:szCs w:val="24"/>
        </w:rPr>
        <w:t>,</w:t>
      </w:r>
      <w:r w:rsidRPr="00833C88">
        <w:rPr>
          <w:rFonts w:cs="Times New Roman"/>
          <w:sz w:val="24"/>
          <w:szCs w:val="24"/>
        </w:rPr>
        <w:t xml:space="preserve"> w których wpisu do wykazu nie dokonuje się – przede wszystkim </w:t>
      </w:r>
      <w:r w:rsidR="0072770A" w:rsidRPr="00833C88">
        <w:rPr>
          <w:rFonts w:cs="Times New Roman"/>
          <w:sz w:val="24"/>
          <w:szCs w:val="24"/>
        </w:rPr>
        <w:t>nie ma sensu wpisywać wniosk</w:t>
      </w:r>
      <w:r w:rsidR="00701E15" w:rsidRPr="00833C88">
        <w:rPr>
          <w:rFonts w:cs="Times New Roman"/>
          <w:sz w:val="24"/>
          <w:szCs w:val="24"/>
        </w:rPr>
        <w:t>u</w:t>
      </w:r>
      <w:r w:rsidR="0072770A" w:rsidRPr="00833C88">
        <w:rPr>
          <w:rFonts w:cs="Times New Roman"/>
          <w:sz w:val="24"/>
          <w:szCs w:val="24"/>
        </w:rPr>
        <w:t xml:space="preserve">, który nie zawiera wszystkich niezbędnych danych. </w:t>
      </w:r>
      <w:r w:rsidR="00AA3E00" w:rsidRPr="00833C88">
        <w:rPr>
          <w:rFonts w:cs="Times New Roman"/>
          <w:sz w:val="24"/>
          <w:szCs w:val="24"/>
        </w:rPr>
        <w:t xml:space="preserve">Nie powinno się wpisywać podmiotu, który już jest ujęty w wykazie. </w:t>
      </w:r>
      <w:r w:rsidR="00671D59" w:rsidRPr="00833C88">
        <w:rPr>
          <w:rFonts w:cs="Times New Roman"/>
          <w:sz w:val="24"/>
          <w:szCs w:val="24"/>
        </w:rPr>
        <w:t>Wniosek, który nie zawiera oświadczenia</w:t>
      </w:r>
      <w:r w:rsidR="00C55A4C" w:rsidRPr="00833C88">
        <w:rPr>
          <w:rFonts w:cs="Times New Roman"/>
          <w:sz w:val="24"/>
          <w:szCs w:val="24"/>
        </w:rPr>
        <w:t xml:space="preserve"> oraz wniosek nie podpisany nie powinien być podstawą do </w:t>
      </w:r>
      <w:r w:rsidR="00763E06" w:rsidRPr="00833C88">
        <w:rPr>
          <w:rFonts w:cs="Times New Roman"/>
          <w:sz w:val="24"/>
          <w:szCs w:val="24"/>
        </w:rPr>
        <w:t xml:space="preserve">wpisu. Podobnie wskazano </w:t>
      </w:r>
      <w:r w:rsidR="00A453D6" w:rsidRPr="00833C88">
        <w:rPr>
          <w:rFonts w:cs="Times New Roman"/>
          <w:sz w:val="24"/>
          <w:szCs w:val="24"/>
        </w:rPr>
        <w:t xml:space="preserve">podstawy do odmowy zmiany wpisu przy </w:t>
      </w:r>
      <w:r w:rsidR="00B72B05" w:rsidRPr="00833C88">
        <w:rPr>
          <w:rFonts w:cs="Times New Roman"/>
          <w:sz w:val="24"/>
          <w:szCs w:val="24"/>
        </w:rPr>
        <w:t>wniosku o zmianę wpisu.</w:t>
      </w:r>
    </w:p>
    <w:p w14:paraId="54A70FAD" w14:textId="77777777" w:rsidR="00453868" w:rsidRPr="00833C88" w:rsidRDefault="00453868" w:rsidP="00453868">
      <w:pPr>
        <w:spacing w:line="360" w:lineRule="auto"/>
        <w:jc w:val="both"/>
        <w:rPr>
          <w:rFonts w:cs="Times New Roman"/>
          <w:sz w:val="24"/>
          <w:szCs w:val="24"/>
        </w:rPr>
      </w:pPr>
      <w:r w:rsidRPr="00833C88">
        <w:rPr>
          <w:rFonts w:cs="Times New Roman"/>
          <w:sz w:val="24"/>
          <w:szCs w:val="24"/>
        </w:rPr>
        <w:t xml:space="preserve">Podmiot będzie mógł zwrócić się do ministra właściwego do spraw informatyzacji o wydanie zaświadczenia o wpisie podmiotu do wykazu albo o zmianie tego wpisu. Tutaj celem jest </w:t>
      </w:r>
      <w:proofErr w:type="gramStart"/>
      <w:r w:rsidRPr="00833C88">
        <w:rPr>
          <w:rFonts w:cs="Times New Roman"/>
          <w:sz w:val="24"/>
          <w:szCs w:val="24"/>
        </w:rPr>
        <w:t>to</w:t>
      </w:r>
      <w:proofErr w:type="gramEnd"/>
      <w:r w:rsidRPr="00833C88">
        <w:rPr>
          <w:rFonts w:cs="Times New Roman"/>
          <w:sz w:val="24"/>
          <w:szCs w:val="24"/>
        </w:rPr>
        <w:t xml:space="preserve"> aby sam podmiot uzyskał potwierdzenie wykonania obowiązku ustawowego. Przewiduje się, że zaświadczenie to będzie wydawane w systemie teleinformatycznym S46 automatycznie za pomocą kwalifikowanej pieczęci elektronicznej ministra właściwego do spraw informatyzacji.</w:t>
      </w:r>
    </w:p>
    <w:p w14:paraId="2811363E" w14:textId="77777777" w:rsidR="00453868" w:rsidRPr="00833C88" w:rsidRDefault="00453868" w:rsidP="00453868">
      <w:pPr>
        <w:spacing w:line="360" w:lineRule="auto"/>
        <w:jc w:val="both"/>
        <w:rPr>
          <w:rFonts w:cs="Times New Roman"/>
          <w:sz w:val="24"/>
          <w:szCs w:val="24"/>
        </w:rPr>
      </w:pPr>
      <w:r w:rsidRPr="00833C88">
        <w:rPr>
          <w:rFonts w:cs="Times New Roman"/>
          <w:sz w:val="24"/>
          <w:szCs w:val="24"/>
        </w:rPr>
        <w:t xml:space="preserve">Istotne jest </w:t>
      </w:r>
      <w:proofErr w:type="gramStart"/>
      <w:r w:rsidRPr="00833C88">
        <w:rPr>
          <w:rFonts w:cs="Times New Roman"/>
          <w:sz w:val="24"/>
          <w:szCs w:val="24"/>
        </w:rPr>
        <w:t>to</w:t>
      </w:r>
      <w:proofErr w:type="gramEnd"/>
      <w:r w:rsidRPr="00833C88">
        <w:rPr>
          <w:rFonts w:cs="Times New Roman"/>
          <w:sz w:val="24"/>
          <w:szCs w:val="24"/>
        </w:rPr>
        <w:t xml:space="preserve"> żeby wykaz był </w:t>
      </w:r>
      <w:proofErr w:type="gramStart"/>
      <w:r w:rsidRPr="00833C88">
        <w:rPr>
          <w:rFonts w:cs="Times New Roman"/>
          <w:sz w:val="24"/>
          <w:szCs w:val="24"/>
        </w:rPr>
        <w:t>aktualny</w:t>
      </w:r>
      <w:proofErr w:type="gramEnd"/>
      <w:r w:rsidRPr="00833C88">
        <w:rPr>
          <w:rFonts w:cs="Times New Roman"/>
          <w:sz w:val="24"/>
          <w:szCs w:val="24"/>
        </w:rPr>
        <w:t xml:space="preserve"> dlatego minister właściwy do spraw informatyzacji będzie mógł co najmniej raz w roku zaktualizować wykaz na podstawie danych pozyskanych z publicznie dostępnych rejestrów publicznych, czyli takich do których każdy ma dostęp. Przede wszystkim chodzi tutaj o dane zawarte w Krajowym Rejestrze Sądowym, Centralnej Ewidencji i Informacji o Działalności Gospodarczej, rejestrze REGON czy rejestrach działalności regulowanej. W razie uzyskania informacji o wykreśleniu podmiotu z krajowego rejestru urzędowego podmiotów gospodarki narodowej (REGON), Krajowego Rejestru Sądowego lub Centralnej Ewidencji i Informacji o Działalności Gospodarczej podmiot ten </w:t>
      </w:r>
      <w:r w:rsidRPr="00833C88">
        <w:rPr>
          <w:rFonts w:cs="Times New Roman"/>
          <w:sz w:val="24"/>
          <w:szCs w:val="24"/>
        </w:rPr>
        <w:lastRenderedPageBreak/>
        <w:t xml:space="preserve">zostanie wykreślony z wykazu. Taki model pozwoli na wykorzystanie danych dostępnych administracji. </w:t>
      </w:r>
    </w:p>
    <w:p w14:paraId="10F7E93C" w14:textId="77777777" w:rsidR="002555A5" w:rsidRPr="00833C88" w:rsidRDefault="002555A5" w:rsidP="00062670">
      <w:pPr>
        <w:spacing w:after="0" w:line="360" w:lineRule="auto"/>
        <w:jc w:val="both"/>
        <w:rPr>
          <w:rFonts w:cs="Times New Roman"/>
          <w:sz w:val="24"/>
          <w:szCs w:val="24"/>
        </w:rPr>
      </w:pPr>
      <w:r w:rsidRPr="00833C88">
        <w:rPr>
          <w:rFonts w:cs="Times New Roman"/>
          <w:sz w:val="24"/>
          <w:szCs w:val="24"/>
        </w:rPr>
        <w:t xml:space="preserve">Organ właściwy do spraw cyberbezpieczeństwa będzie mógł z urzędu wykreślić podmiot z wykazu podmiotów kluczowych i podmiotów </w:t>
      </w:r>
      <w:proofErr w:type="gramStart"/>
      <w:r w:rsidRPr="00833C88">
        <w:rPr>
          <w:rFonts w:cs="Times New Roman"/>
          <w:sz w:val="24"/>
          <w:szCs w:val="24"/>
        </w:rPr>
        <w:t>ważnych</w:t>
      </w:r>
      <w:proofErr w:type="gramEnd"/>
      <w:r w:rsidRPr="00833C88">
        <w:rPr>
          <w:rFonts w:cs="Times New Roman"/>
          <w:sz w:val="24"/>
          <w:szCs w:val="24"/>
        </w:rPr>
        <w:t xml:space="preserve"> jeżeli: </w:t>
      </w:r>
    </w:p>
    <w:p w14:paraId="11BB6BDB" w14:textId="77777777" w:rsidR="002555A5" w:rsidRPr="00833C88" w:rsidRDefault="002555A5" w:rsidP="00062670">
      <w:pPr>
        <w:pStyle w:val="Akapitzlist"/>
        <w:numPr>
          <w:ilvl w:val="0"/>
          <w:numId w:val="6"/>
        </w:numPr>
        <w:spacing w:after="0" w:line="360" w:lineRule="auto"/>
        <w:ind w:left="709" w:hanging="283"/>
        <w:contextualSpacing w:val="0"/>
        <w:jc w:val="both"/>
        <w:rPr>
          <w:rFonts w:cs="Times New Roman"/>
          <w:sz w:val="24"/>
          <w:szCs w:val="24"/>
        </w:rPr>
      </w:pPr>
      <w:r w:rsidRPr="00833C88">
        <w:rPr>
          <w:rFonts w:cs="Times New Roman"/>
          <w:sz w:val="24"/>
          <w:szCs w:val="24"/>
        </w:rPr>
        <w:t>podmiot wpisany do wykazu nie jest podmiotem kluczowym albo podmiotem ważnym albo</w:t>
      </w:r>
    </w:p>
    <w:p w14:paraId="5E2567DB" w14:textId="77777777" w:rsidR="002555A5" w:rsidRPr="00833C88" w:rsidRDefault="002555A5" w:rsidP="002555A5">
      <w:pPr>
        <w:pStyle w:val="Akapitzlist"/>
        <w:numPr>
          <w:ilvl w:val="0"/>
          <w:numId w:val="6"/>
        </w:numPr>
        <w:spacing w:line="360" w:lineRule="auto"/>
        <w:ind w:left="709" w:hanging="283"/>
        <w:contextualSpacing w:val="0"/>
        <w:jc w:val="both"/>
        <w:rPr>
          <w:rFonts w:cs="Times New Roman"/>
          <w:sz w:val="24"/>
          <w:szCs w:val="24"/>
        </w:rPr>
      </w:pPr>
      <w:r w:rsidRPr="00833C88">
        <w:rPr>
          <w:rFonts w:cs="Times New Roman"/>
          <w:sz w:val="24"/>
          <w:szCs w:val="24"/>
        </w:rPr>
        <w:t>podmiot wpisany do wykazu utracił status podmiotu kluczowego albo podmiotu ważnego po wpisie do wykazu.</w:t>
      </w:r>
    </w:p>
    <w:p w14:paraId="5C0E1858" w14:textId="77777777" w:rsidR="002555A5" w:rsidRPr="00833C88" w:rsidRDefault="002555A5" w:rsidP="002555A5">
      <w:pPr>
        <w:spacing w:line="360" w:lineRule="auto"/>
        <w:jc w:val="both"/>
        <w:rPr>
          <w:rFonts w:cs="Times New Roman"/>
          <w:sz w:val="24"/>
          <w:szCs w:val="24"/>
        </w:rPr>
      </w:pPr>
      <w:r w:rsidRPr="00833C88">
        <w:rPr>
          <w:rFonts w:cs="Times New Roman"/>
          <w:sz w:val="24"/>
          <w:szCs w:val="24"/>
        </w:rPr>
        <w:t xml:space="preserve">Pozwoli to na utrzymanie aktualności tego wykazu. </w:t>
      </w:r>
    </w:p>
    <w:p w14:paraId="1E8F96B8" w14:textId="1AD161B3" w:rsidR="009941DB" w:rsidRPr="00833C88" w:rsidRDefault="00026360" w:rsidP="0029004E">
      <w:pPr>
        <w:spacing w:line="360" w:lineRule="auto"/>
        <w:jc w:val="both"/>
        <w:rPr>
          <w:rFonts w:cs="Times New Roman"/>
          <w:sz w:val="24"/>
          <w:szCs w:val="24"/>
        </w:rPr>
      </w:pPr>
      <w:r w:rsidRPr="00833C88">
        <w:rPr>
          <w:rFonts w:cs="Times New Roman"/>
          <w:sz w:val="24"/>
          <w:szCs w:val="24"/>
        </w:rPr>
        <w:t xml:space="preserve">Wprowadzono również procedurę, w której to </w:t>
      </w:r>
      <w:r w:rsidR="008B36B7" w:rsidRPr="00833C88">
        <w:rPr>
          <w:rFonts w:cs="Times New Roman"/>
          <w:sz w:val="24"/>
          <w:szCs w:val="24"/>
        </w:rPr>
        <w:t xml:space="preserve">podmiot kluczowy i podmiot ważny składa wniosek o wykreślenie </w:t>
      </w:r>
      <w:r w:rsidR="00A918BD" w:rsidRPr="00833C88">
        <w:rPr>
          <w:rFonts w:cs="Times New Roman"/>
          <w:sz w:val="24"/>
          <w:szCs w:val="24"/>
        </w:rPr>
        <w:t xml:space="preserve">z wykazu w zakresie sektora, podsektora lub rodzaju działalności, jeżeli przestał spełniać przesłanki uznania za podmiot kluczowy lub podmiot ważny w tym sektorze lub podsektorze dla określonego rodzaju działalności. Ten wniosek musi być rozpatrzony przez organ właściwy </w:t>
      </w:r>
      <w:r w:rsidR="00123FD4" w:rsidRPr="00833C88">
        <w:rPr>
          <w:rFonts w:cs="Times New Roman"/>
          <w:sz w:val="24"/>
          <w:szCs w:val="24"/>
        </w:rPr>
        <w:t>do spraw cyberbezpieczeństwa w terminie miesiąca.</w:t>
      </w:r>
      <w:r w:rsidR="00A349AA" w:rsidRPr="00833C88">
        <w:rPr>
          <w:rFonts w:cs="Times New Roman"/>
          <w:sz w:val="24"/>
          <w:szCs w:val="24"/>
        </w:rPr>
        <w:t xml:space="preserve"> Chodzi o zabezpieczenie przed sytuacją, w której </w:t>
      </w:r>
      <w:r w:rsidR="003C2246" w:rsidRPr="00833C88">
        <w:rPr>
          <w:rFonts w:cs="Times New Roman"/>
          <w:sz w:val="24"/>
          <w:szCs w:val="24"/>
        </w:rPr>
        <w:t xml:space="preserve">podmiot mógłby samodzielnie wypisać się z wykazu. </w:t>
      </w:r>
      <w:r w:rsidR="004E01A4" w:rsidRPr="00833C88">
        <w:rPr>
          <w:rFonts w:cs="Times New Roman"/>
          <w:sz w:val="24"/>
          <w:szCs w:val="24"/>
        </w:rPr>
        <w:t>Organ właściwy do spraw cyberbezpieczeństwa ma dwie możliwości.</w:t>
      </w:r>
      <w:r w:rsidR="009941DB" w:rsidRPr="00833C88">
        <w:rPr>
          <w:rFonts w:cs="Times New Roman"/>
          <w:sz w:val="24"/>
          <w:szCs w:val="24"/>
        </w:rPr>
        <w:t xml:space="preserve"> Jeśli w terminie miesiąca nie wyraził odmowy to w drodze </w:t>
      </w:r>
      <w:r w:rsidR="00392CF3" w:rsidRPr="00833C88">
        <w:rPr>
          <w:rFonts w:cs="Times New Roman"/>
          <w:sz w:val="24"/>
          <w:szCs w:val="24"/>
        </w:rPr>
        <w:t xml:space="preserve">innej czynności z zakresu administracji publicznej wykreśla podmiot </w:t>
      </w:r>
      <w:r w:rsidR="00392CF3" w:rsidRPr="00833C88">
        <w:rPr>
          <w:rFonts w:cs="Times New Roman"/>
        </w:rPr>
        <w:t>z</w:t>
      </w:r>
      <w:r w:rsidR="00B56486" w:rsidRPr="00833C88">
        <w:rPr>
          <w:rFonts w:cs="Times New Roman"/>
        </w:rPr>
        <w:t> </w:t>
      </w:r>
      <w:r w:rsidR="00392CF3" w:rsidRPr="00833C88">
        <w:rPr>
          <w:rFonts w:cs="Times New Roman"/>
        </w:rPr>
        <w:t>wykazu</w:t>
      </w:r>
      <w:r w:rsidR="00392CF3" w:rsidRPr="00833C88">
        <w:rPr>
          <w:rFonts w:cs="Times New Roman"/>
          <w:sz w:val="24"/>
          <w:szCs w:val="24"/>
        </w:rPr>
        <w:t>. Jeżeli zaś organ wyraził odmowę,</w:t>
      </w:r>
      <w:r w:rsidR="00296B3B" w:rsidRPr="00833C88">
        <w:rPr>
          <w:rFonts w:cs="Times New Roman"/>
          <w:sz w:val="24"/>
          <w:szCs w:val="24"/>
        </w:rPr>
        <w:t xml:space="preserve"> bowiem podmiot nadal spełnia przesłanki uznania za podmiot kluczowy i podmiot ważny,</w:t>
      </w:r>
      <w:r w:rsidR="00392CF3" w:rsidRPr="00833C88">
        <w:rPr>
          <w:rFonts w:cs="Times New Roman"/>
          <w:sz w:val="24"/>
          <w:szCs w:val="24"/>
        </w:rPr>
        <w:t xml:space="preserve"> to w drodze innej czynności z zakresu administracji publicznej </w:t>
      </w:r>
      <w:r w:rsidR="00A6269C" w:rsidRPr="00833C88">
        <w:rPr>
          <w:rFonts w:cs="Times New Roman"/>
          <w:sz w:val="24"/>
          <w:szCs w:val="24"/>
        </w:rPr>
        <w:t>odmawia wykreślenia. Na tę czynność przysługuje skarga do sądu administracyjnego.</w:t>
      </w:r>
    </w:p>
    <w:p w14:paraId="34BB1CFD" w14:textId="05AA0162" w:rsidR="0099185A" w:rsidRPr="00833C88" w:rsidRDefault="0099185A" w:rsidP="0029004E">
      <w:pPr>
        <w:spacing w:line="360" w:lineRule="auto"/>
        <w:jc w:val="both"/>
        <w:rPr>
          <w:rFonts w:cs="Times New Roman"/>
          <w:sz w:val="24"/>
          <w:szCs w:val="24"/>
        </w:rPr>
      </w:pPr>
      <w:r w:rsidRPr="00833C88">
        <w:rPr>
          <w:rFonts w:cs="Times New Roman"/>
          <w:sz w:val="24"/>
          <w:szCs w:val="24"/>
        </w:rPr>
        <w:t xml:space="preserve">Po dokonaniu wpisu </w:t>
      </w:r>
      <w:r w:rsidR="00F54004" w:rsidRPr="00833C88">
        <w:rPr>
          <w:rFonts w:cs="Times New Roman"/>
          <w:sz w:val="24"/>
          <w:szCs w:val="24"/>
        </w:rPr>
        <w:t xml:space="preserve">podmioty będą musiały podłączyć się do systemu </w:t>
      </w:r>
      <w:r w:rsidR="006D5A02" w:rsidRPr="00833C88">
        <w:rPr>
          <w:rFonts w:cs="Times New Roman"/>
          <w:sz w:val="24"/>
          <w:szCs w:val="24"/>
        </w:rPr>
        <w:t xml:space="preserve">teleinformatycznego </w:t>
      </w:r>
      <w:r w:rsidR="00F54004" w:rsidRPr="00833C88">
        <w:rPr>
          <w:rFonts w:cs="Times New Roman"/>
          <w:sz w:val="24"/>
          <w:szCs w:val="24"/>
        </w:rPr>
        <w:t>S46</w:t>
      </w:r>
      <w:r w:rsidR="00103992" w:rsidRPr="00833C88">
        <w:rPr>
          <w:rFonts w:cs="Times New Roman"/>
          <w:sz w:val="24"/>
          <w:szCs w:val="24"/>
        </w:rPr>
        <w:t xml:space="preserve"> </w:t>
      </w:r>
      <w:r w:rsidR="00601933" w:rsidRPr="00833C88">
        <w:rPr>
          <w:rFonts w:cs="Times New Roman"/>
          <w:sz w:val="24"/>
          <w:szCs w:val="24"/>
        </w:rPr>
        <w:t>w </w:t>
      </w:r>
      <w:r w:rsidR="00103992" w:rsidRPr="00833C88">
        <w:rPr>
          <w:rFonts w:cs="Times New Roman"/>
          <w:sz w:val="24"/>
          <w:szCs w:val="24"/>
        </w:rPr>
        <w:t xml:space="preserve">zakresie funkcjonalności umożliwiających </w:t>
      </w:r>
      <w:r w:rsidR="006B51F4" w:rsidRPr="00833C88">
        <w:rPr>
          <w:rFonts w:cs="Times New Roman"/>
          <w:sz w:val="24"/>
          <w:szCs w:val="24"/>
        </w:rPr>
        <w:t xml:space="preserve">szacowanie ryzyka </w:t>
      </w:r>
      <w:r w:rsidR="00601933" w:rsidRPr="00833C88">
        <w:rPr>
          <w:rFonts w:cs="Times New Roman"/>
          <w:sz w:val="24"/>
          <w:szCs w:val="24"/>
        </w:rPr>
        <w:t>i </w:t>
      </w:r>
      <w:r w:rsidR="006B51F4" w:rsidRPr="00833C88">
        <w:rPr>
          <w:rFonts w:cs="Times New Roman"/>
          <w:sz w:val="24"/>
          <w:szCs w:val="24"/>
        </w:rPr>
        <w:t>zgłaszanie incydentów</w:t>
      </w:r>
      <w:r w:rsidR="00F54004" w:rsidRPr="00833C88">
        <w:rPr>
          <w:rFonts w:cs="Times New Roman"/>
          <w:sz w:val="24"/>
          <w:szCs w:val="24"/>
        </w:rPr>
        <w:t>.</w:t>
      </w:r>
      <w:r w:rsidR="001D18B4" w:rsidRPr="00833C88">
        <w:rPr>
          <w:rFonts w:cs="Times New Roman"/>
          <w:sz w:val="24"/>
          <w:szCs w:val="24"/>
        </w:rPr>
        <w:t xml:space="preserve"> Jest to system już obecnie funkcjonujący, wspierający wymianę informacji między podmiotami krajowego systemu cyberbezpieczeństwa. </w:t>
      </w:r>
      <w:r w:rsidR="00257F64" w:rsidRPr="00833C88">
        <w:rPr>
          <w:rFonts w:cs="Times New Roman"/>
          <w:sz w:val="24"/>
          <w:szCs w:val="24"/>
        </w:rPr>
        <w:t xml:space="preserve">Docelowo </w:t>
      </w:r>
      <w:r w:rsidR="00601933" w:rsidRPr="00833C88">
        <w:rPr>
          <w:rFonts w:cs="Times New Roman"/>
          <w:sz w:val="24"/>
          <w:szCs w:val="24"/>
        </w:rPr>
        <w:t>w </w:t>
      </w:r>
      <w:r w:rsidR="00257F64" w:rsidRPr="00833C88">
        <w:rPr>
          <w:rFonts w:cs="Times New Roman"/>
          <w:sz w:val="24"/>
          <w:szCs w:val="24"/>
        </w:rPr>
        <w:t xml:space="preserve">ramach tego systemu będzie przechodziła cała komunikacja </w:t>
      </w:r>
      <w:r w:rsidR="00601933" w:rsidRPr="00833C88">
        <w:rPr>
          <w:rFonts w:cs="Times New Roman"/>
          <w:sz w:val="24"/>
          <w:szCs w:val="24"/>
        </w:rPr>
        <w:t>w </w:t>
      </w:r>
      <w:r w:rsidR="00257F64" w:rsidRPr="00833C88">
        <w:rPr>
          <w:rFonts w:cs="Times New Roman"/>
          <w:sz w:val="24"/>
          <w:szCs w:val="24"/>
        </w:rPr>
        <w:t>sprawach cyberbezpieczeństwa.</w:t>
      </w:r>
      <w:r w:rsidR="00743849" w:rsidRPr="00833C88">
        <w:rPr>
          <w:rFonts w:cs="Times New Roman"/>
          <w:sz w:val="24"/>
          <w:szCs w:val="24"/>
        </w:rPr>
        <w:t xml:space="preserve"> System ten będzie zawierał również narzędzia, które pomogą tym podmiotom m.in. </w:t>
      </w:r>
      <w:r w:rsidR="00601933" w:rsidRPr="00833C88">
        <w:rPr>
          <w:rFonts w:cs="Times New Roman"/>
          <w:sz w:val="24"/>
          <w:szCs w:val="24"/>
        </w:rPr>
        <w:t>w </w:t>
      </w:r>
      <w:r w:rsidR="00743849" w:rsidRPr="00833C88">
        <w:rPr>
          <w:rFonts w:cs="Times New Roman"/>
          <w:sz w:val="24"/>
          <w:szCs w:val="24"/>
        </w:rPr>
        <w:t xml:space="preserve">przygotowaniu oceny ryzyka. Te rozwiązania usprawnią komunikację </w:t>
      </w:r>
      <w:r w:rsidR="00601933" w:rsidRPr="00833C88">
        <w:rPr>
          <w:rFonts w:cs="Times New Roman"/>
          <w:sz w:val="24"/>
          <w:szCs w:val="24"/>
        </w:rPr>
        <w:t>w </w:t>
      </w:r>
      <w:r w:rsidR="00743849" w:rsidRPr="00833C88">
        <w:rPr>
          <w:rFonts w:cs="Times New Roman"/>
          <w:sz w:val="24"/>
          <w:szCs w:val="24"/>
        </w:rPr>
        <w:t>ramach krajowego systemu cyberbezpieczeństwa i</w:t>
      </w:r>
      <w:r w:rsidR="000C371B" w:rsidRPr="00833C88">
        <w:rPr>
          <w:rFonts w:cs="Times New Roman"/>
          <w:sz w:val="24"/>
          <w:szCs w:val="24"/>
        </w:rPr>
        <w:t> </w:t>
      </w:r>
      <w:r w:rsidR="00743849" w:rsidRPr="00833C88">
        <w:rPr>
          <w:rFonts w:cs="Times New Roman"/>
          <w:sz w:val="24"/>
          <w:szCs w:val="24"/>
        </w:rPr>
        <w:t xml:space="preserve">pozwolą skutecznie wspierać jego podmioty </w:t>
      </w:r>
      <w:r w:rsidR="00601933" w:rsidRPr="00833C88">
        <w:rPr>
          <w:rFonts w:cs="Times New Roman"/>
          <w:sz w:val="24"/>
          <w:szCs w:val="24"/>
        </w:rPr>
        <w:t>w </w:t>
      </w:r>
      <w:r w:rsidR="00743849" w:rsidRPr="00833C88">
        <w:rPr>
          <w:rFonts w:cs="Times New Roman"/>
          <w:sz w:val="24"/>
          <w:szCs w:val="24"/>
        </w:rPr>
        <w:t xml:space="preserve">realizacji ich obowiązków. </w:t>
      </w:r>
    </w:p>
    <w:p w14:paraId="000C0F5E" w14:textId="6CF4EC59" w:rsidR="00D90F0E" w:rsidRPr="00833C88" w:rsidRDefault="00D90F0E" w:rsidP="0029004E">
      <w:pPr>
        <w:spacing w:line="360" w:lineRule="auto"/>
        <w:jc w:val="both"/>
        <w:rPr>
          <w:rFonts w:cs="Times New Roman"/>
          <w:sz w:val="24"/>
          <w:szCs w:val="24"/>
        </w:rPr>
      </w:pPr>
      <w:r w:rsidRPr="00833C88">
        <w:rPr>
          <w:rFonts w:cs="Times New Roman"/>
          <w:sz w:val="24"/>
          <w:szCs w:val="24"/>
        </w:rPr>
        <w:t xml:space="preserve">Przewiduje się obowiązkową elektronizację wniosków </w:t>
      </w:r>
      <w:r w:rsidR="00601933" w:rsidRPr="00833C88">
        <w:rPr>
          <w:rFonts w:cs="Times New Roman"/>
          <w:sz w:val="24"/>
          <w:szCs w:val="24"/>
        </w:rPr>
        <w:t>o </w:t>
      </w:r>
      <w:r w:rsidR="00552BA9" w:rsidRPr="00833C88">
        <w:rPr>
          <w:rFonts w:cs="Times New Roman"/>
          <w:sz w:val="24"/>
          <w:szCs w:val="24"/>
        </w:rPr>
        <w:t xml:space="preserve">wpis, zmianę wpisu </w:t>
      </w:r>
      <w:r w:rsidR="00601933" w:rsidRPr="00833C88">
        <w:rPr>
          <w:rFonts w:cs="Times New Roman"/>
          <w:sz w:val="24"/>
          <w:szCs w:val="24"/>
        </w:rPr>
        <w:t>w </w:t>
      </w:r>
      <w:r w:rsidR="00552BA9" w:rsidRPr="00833C88">
        <w:rPr>
          <w:rFonts w:cs="Times New Roman"/>
          <w:sz w:val="24"/>
          <w:szCs w:val="24"/>
        </w:rPr>
        <w:t xml:space="preserve">wykazie albo </w:t>
      </w:r>
      <w:r w:rsidR="00601933" w:rsidRPr="00833C88">
        <w:rPr>
          <w:rFonts w:cs="Times New Roman"/>
          <w:sz w:val="24"/>
          <w:szCs w:val="24"/>
        </w:rPr>
        <w:t>o </w:t>
      </w:r>
      <w:r w:rsidR="00552BA9" w:rsidRPr="00833C88">
        <w:rPr>
          <w:rFonts w:cs="Times New Roman"/>
          <w:sz w:val="24"/>
          <w:szCs w:val="24"/>
        </w:rPr>
        <w:t xml:space="preserve">wykreślenie </w:t>
      </w:r>
      <w:r w:rsidR="00601933" w:rsidRPr="00833C88">
        <w:rPr>
          <w:rFonts w:cs="Times New Roman"/>
          <w:sz w:val="24"/>
          <w:szCs w:val="24"/>
        </w:rPr>
        <w:t>z </w:t>
      </w:r>
      <w:r w:rsidR="00552BA9" w:rsidRPr="00833C88">
        <w:rPr>
          <w:rFonts w:cs="Times New Roman"/>
          <w:sz w:val="24"/>
          <w:szCs w:val="24"/>
        </w:rPr>
        <w:t xml:space="preserve">wykazu. Będą one musiały być opatrzone kwalifikowanym podpisem </w:t>
      </w:r>
      <w:r w:rsidR="00552BA9" w:rsidRPr="00833C88">
        <w:rPr>
          <w:rFonts w:cs="Times New Roman"/>
          <w:sz w:val="24"/>
          <w:szCs w:val="24"/>
        </w:rPr>
        <w:lastRenderedPageBreak/>
        <w:t>elektronicznym, podpisem zaufanym</w:t>
      </w:r>
      <w:r w:rsidR="00B15FF5" w:rsidRPr="00833C88">
        <w:rPr>
          <w:rFonts w:cs="Times New Roman"/>
          <w:sz w:val="24"/>
          <w:szCs w:val="24"/>
        </w:rPr>
        <w:t xml:space="preserve">, podpisem osobistym albo kwalifikowaną pieczęcią elektroniczną. </w:t>
      </w:r>
      <w:r w:rsidR="009B2A3C" w:rsidRPr="00833C88">
        <w:rPr>
          <w:rFonts w:cs="Times New Roman"/>
          <w:sz w:val="24"/>
          <w:szCs w:val="24"/>
        </w:rPr>
        <w:t xml:space="preserve">Wnioski będą </w:t>
      </w:r>
      <w:r w:rsidR="002F14EE" w:rsidRPr="00833C88">
        <w:rPr>
          <w:rFonts w:cs="Times New Roman"/>
          <w:sz w:val="24"/>
          <w:szCs w:val="24"/>
        </w:rPr>
        <w:t>składane</w:t>
      </w:r>
      <w:r w:rsidR="009B2A3C" w:rsidRPr="00833C88">
        <w:rPr>
          <w:rFonts w:cs="Times New Roman"/>
          <w:sz w:val="24"/>
          <w:szCs w:val="24"/>
        </w:rPr>
        <w:t xml:space="preserve"> za pomocą </w:t>
      </w:r>
      <w:r w:rsidR="002F14EE" w:rsidRPr="00833C88">
        <w:rPr>
          <w:rFonts w:cs="Times New Roman"/>
          <w:sz w:val="24"/>
          <w:szCs w:val="24"/>
        </w:rPr>
        <w:t>systemu</w:t>
      </w:r>
      <w:r w:rsidR="009B2A3C" w:rsidRPr="00833C88">
        <w:rPr>
          <w:rFonts w:cs="Times New Roman"/>
          <w:sz w:val="24"/>
          <w:szCs w:val="24"/>
        </w:rPr>
        <w:t xml:space="preserve"> </w:t>
      </w:r>
      <w:r w:rsidR="000A0122" w:rsidRPr="00833C88">
        <w:rPr>
          <w:rFonts w:cs="Times New Roman"/>
          <w:sz w:val="24"/>
          <w:szCs w:val="24"/>
        </w:rPr>
        <w:t xml:space="preserve">teleinformatycznego </w:t>
      </w:r>
      <w:r w:rsidR="009B2A3C" w:rsidRPr="00833C88">
        <w:rPr>
          <w:rFonts w:cs="Times New Roman"/>
          <w:sz w:val="24"/>
          <w:szCs w:val="24"/>
        </w:rPr>
        <w:t>S46</w:t>
      </w:r>
      <w:r w:rsidR="00144DBB" w:rsidRPr="00833C88">
        <w:rPr>
          <w:rFonts w:cs="Times New Roman"/>
          <w:sz w:val="24"/>
          <w:szCs w:val="24"/>
        </w:rPr>
        <w:t>.</w:t>
      </w:r>
    </w:p>
    <w:p w14:paraId="5480421F" w14:textId="7F3DF99C" w:rsidR="00747ED4" w:rsidRPr="00833C88" w:rsidRDefault="0023422C" w:rsidP="0029004E">
      <w:pPr>
        <w:spacing w:line="360" w:lineRule="auto"/>
        <w:jc w:val="both"/>
        <w:rPr>
          <w:rFonts w:cs="Times New Roman"/>
          <w:sz w:val="24"/>
          <w:szCs w:val="24"/>
        </w:rPr>
      </w:pPr>
      <w:r w:rsidRPr="00833C88">
        <w:rPr>
          <w:rFonts w:cs="Times New Roman"/>
          <w:sz w:val="24"/>
          <w:szCs w:val="24"/>
        </w:rPr>
        <w:t xml:space="preserve">Dane </w:t>
      </w:r>
      <w:r w:rsidR="00601933" w:rsidRPr="00833C88">
        <w:rPr>
          <w:rFonts w:cs="Times New Roman"/>
          <w:sz w:val="24"/>
          <w:szCs w:val="24"/>
        </w:rPr>
        <w:t>z </w:t>
      </w:r>
      <w:r w:rsidRPr="00833C88">
        <w:rPr>
          <w:rFonts w:cs="Times New Roman"/>
          <w:sz w:val="24"/>
          <w:szCs w:val="24"/>
        </w:rPr>
        <w:t xml:space="preserve">wykazu minister będzie udostępniał </w:t>
      </w:r>
      <w:r w:rsidR="00B24719" w:rsidRPr="00833C88">
        <w:rPr>
          <w:rFonts w:cs="Times New Roman"/>
          <w:sz w:val="24"/>
          <w:szCs w:val="24"/>
        </w:rPr>
        <w:t xml:space="preserve">CSIRT MON, CSIRT NASK </w:t>
      </w:r>
      <w:r w:rsidR="00601933" w:rsidRPr="00833C88">
        <w:rPr>
          <w:rFonts w:cs="Times New Roman"/>
          <w:sz w:val="24"/>
          <w:szCs w:val="24"/>
        </w:rPr>
        <w:t>i </w:t>
      </w:r>
      <w:r w:rsidR="00B24719" w:rsidRPr="00833C88">
        <w:rPr>
          <w:rFonts w:cs="Times New Roman"/>
          <w:sz w:val="24"/>
          <w:szCs w:val="24"/>
        </w:rPr>
        <w:t xml:space="preserve">CSIRT GOV oraz CSIRT sektorowemu </w:t>
      </w:r>
      <w:r w:rsidR="00601933" w:rsidRPr="00833C88">
        <w:rPr>
          <w:rFonts w:cs="Times New Roman"/>
          <w:sz w:val="24"/>
          <w:szCs w:val="24"/>
        </w:rPr>
        <w:t>w </w:t>
      </w:r>
      <w:r w:rsidR="00B24719" w:rsidRPr="00833C88">
        <w:rPr>
          <w:rFonts w:cs="Times New Roman"/>
          <w:sz w:val="24"/>
          <w:szCs w:val="24"/>
        </w:rPr>
        <w:t xml:space="preserve">zakresie sektora lub podsektora, dla którego został ustanowiony, organowi właściwemu do spraw cyberbezpieczeństwa </w:t>
      </w:r>
      <w:r w:rsidR="00601933" w:rsidRPr="00833C88">
        <w:rPr>
          <w:rFonts w:cs="Times New Roman"/>
          <w:sz w:val="24"/>
          <w:szCs w:val="24"/>
        </w:rPr>
        <w:t>w </w:t>
      </w:r>
      <w:r w:rsidR="00B24719" w:rsidRPr="00833C88">
        <w:rPr>
          <w:rFonts w:cs="Times New Roman"/>
          <w:sz w:val="24"/>
          <w:szCs w:val="24"/>
        </w:rPr>
        <w:t xml:space="preserve">zakresie nadzorowanego sektora lub podsektora, </w:t>
      </w:r>
      <w:r w:rsidR="00601933" w:rsidRPr="00833C88">
        <w:rPr>
          <w:rFonts w:cs="Times New Roman"/>
          <w:sz w:val="24"/>
          <w:szCs w:val="24"/>
        </w:rPr>
        <w:t>a </w:t>
      </w:r>
      <w:r w:rsidR="00B24719" w:rsidRPr="00833C88">
        <w:rPr>
          <w:rFonts w:cs="Times New Roman"/>
          <w:sz w:val="24"/>
          <w:szCs w:val="24"/>
        </w:rPr>
        <w:t xml:space="preserve">także podmiotowi kluczowemu lub </w:t>
      </w:r>
      <w:r w:rsidR="006432B3" w:rsidRPr="00833C88">
        <w:rPr>
          <w:rFonts w:cs="Times New Roman"/>
          <w:sz w:val="24"/>
          <w:szCs w:val="24"/>
        </w:rPr>
        <w:t xml:space="preserve">podmiotowi </w:t>
      </w:r>
      <w:r w:rsidR="00B24719" w:rsidRPr="00833C88">
        <w:rPr>
          <w:rFonts w:cs="Times New Roman"/>
          <w:sz w:val="24"/>
          <w:szCs w:val="24"/>
        </w:rPr>
        <w:t xml:space="preserve">ważnemu </w:t>
      </w:r>
      <w:r w:rsidR="00601933" w:rsidRPr="00833C88">
        <w:rPr>
          <w:rFonts w:cs="Times New Roman"/>
          <w:sz w:val="24"/>
          <w:szCs w:val="24"/>
        </w:rPr>
        <w:t>w </w:t>
      </w:r>
      <w:r w:rsidR="00B24719" w:rsidRPr="00833C88">
        <w:rPr>
          <w:rFonts w:cs="Times New Roman"/>
          <w:sz w:val="24"/>
          <w:szCs w:val="24"/>
        </w:rPr>
        <w:t>zakresie go</w:t>
      </w:r>
      <w:r w:rsidR="009B4C26" w:rsidRPr="00833C88">
        <w:rPr>
          <w:rFonts w:cs="Times New Roman"/>
          <w:sz w:val="24"/>
          <w:szCs w:val="24"/>
        </w:rPr>
        <w:t> </w:t>
      </w:r>
      <w:r w:rsidR="00B24719" w:rsidRPr="00833C88">
        <w:rPr>
          <w:rFonts w:cs="Times New Roman"/>
          <w:sz w:val="24"/>
          <w:szCs w:val="24"/>
        </w:rPr>
        <w:t xml:space="preserve">dotyczącym. Ponadto </w:t>
      </w:r>
      <w:r w:rsidR="00601933" w:rsidRPr="00833C88">
        <w:rPr>
          <w:rFonts w:cs="Times New Roman"/>
          <w:sz w:val="24"/>
          <w:szCs w:val="24"/>
        </w:rPr>
        <w:t>o </w:t>
      </w:r>
      <w:r w:rsidR="00B24719" w:rsidRPr="00833C88">
        <w:rPr>
          <w:rFonts w:cs="Times New Roman"/>
          <w:sz w:val="24"/>
          <w:szCs w:val="24"/>
        </w:rPr>
        <w:t>do</w:t>
      </w:r>
      <w:r w:rsidR="008F176E" w:rsidRPr="00833C88">
        <w:rPr>
          <w:rFonts w:cs="Times New Roman"/>
          <w:sz w:val="24"/>
          <w:szCs w:val="24"/>
        </w:rPr>
        <w:t>s</w:t>
      </w:r>
      <w:r w:rsidR="00B24719" w:rsidRPr="00833C88">
        <w:rPr>
          <w:rFonts w:cs="Times New Roman"/>
          <w:sz w:val="24"/>
          <w:szCs w:val="24"/>
        </w:rPr>
        <w:t xml:space="preserve">tęp do tych danych będą mogły wnioskować inne organy państwa takie jak </w:t>
      </w:r>
      <w:r w:rsidR="008F176E" w:rsidRPr="00833C88">
        <w:rPr>
          <w:rFonts w:cs="Times New Roman"/>
          <w:sz w:val="24"/>
          <w:szCs w:val="24"/>
        </w:rPr>
        <w:t>np.</w:t>
      </w:r>
      <w:r w:rsidR="00872FAF" w:rsidRPr="00833C88">
        <w:rPr>
          <w:rFonts w:cs="Times New Roman"/>
          <w:sz w:val="24"/>
          <w:szCs w:val="24"/>
        </w:rPr>
        <w:t> </w:t>
      </w:r>
      <w:r w:rsidR="008F176E" w:rsidRPr="00833C88">
        <w:rPr>
          <w:rFonts w:cs="Times New Roman"/>
          <w:sz w:val="24"/>
          <w:szCs w:val="24"/>
        </w:rPr>
        <w:t xml:space="preserve">policja, </w:t>
      </w:r>
      <w:r w:rsidR="00A23FC7" w:rsidRPr="00833C88">
        <w:rPr>
          <w:rFonts w:cs="Times New Roman"/>
          <w:sz w:val="24"/>
          <w:szCs w:val="24"/>
        </w:rPr>
        <w:t xml:space="preserve">służby specjalne, </w:t>
      </w:r>
      <w:r w:rsidR="008F176E" w:rsidRPr="00833C88">
        <w:rPr>
          <w:rFonts w:cs="Times New Roman"/>
          <w:sz w:val="24"/>
          <w:szCs w:val="24"/>
        </w:rPr>
        <w:t xml:space="preserve">prokuratura </w:t>
      </w:r>
      <w:r w:rsidR="00601933" w:rsidRPr="00833C88">
        <w:rPr>
          <w:rFonts w:cs="Times New Roman"/>
          <w:sz w:val="24"/>
          <w:szCs w:val="24"/>
        </w:rPr>
        <w:t>i </w:t>
      </w:r>
      <w:r w:rsidR="008F176E" w:rsidRPr="00833C88">
        <w:rPr>
          <w:rFonts w:cs="Times New Roman"/>
          <w:sz w:val="24"/>
          <w:szCs w:val="24"/>
        </w:rPr>
        <w:t>sądy</w:t>
      </w:r>
      <w:r w:rsidR="001B6CCE" w:rsidRPr="00833C88">
        <w:rPr>
          <w:rFonts w:cs="Times New Roman"/>
          <w:sz w:val="24"/>
          <w:szCs w:val="24"/>
        </w:rPr>
        <w:t>,</w:t>
      </w:r>
      <w:r w:rsidR="00DE0D30" w:rsidRPr="00833C88">
        <w:rPr>
          <w:rFonts w:cs="Times New Roman"/>
          <w:sz w:val="24"/>
          <w:szCs w:val="24"/>
        </w:rPr>
        <w:t xml:space="preserve"> w zakresie niezbędnym do realizacji ich ustawowych zadań</w:t>
      </w:r>
      <w:r w:rsidR="00747ED4" w:rsidRPr="00833C88">
        <w:rPr>
          <w:rFonts w:cs="Times New Roman"/>
          <w:sz w:val="24"/>
          <w:szCs w:val="24"/>
        </w:rPr>
        <w:t>.</w:t>
      </w:r>
      <w:r w:rsidR="00562D2E" w:rsidRPr="00833C88">
        <w:rPr>
          <w:rFonts w:cs="Times New Roman"/>
          <w:sz w:val="24"/>
          <w:szCs w:val="24"/>
        </w:rPr>
        <w:t xml:space="preserve"> Ud</w:t>
      </w:r>
      <w:r w:rsidR="00A90840" w:rsidRPr="00833C88">
        <w:rPr>
          <w:rFonts w:cs="Times New Roman"/>
          <w:sz w:val="24"/>
          <w:szCs w:val="24"/>
        </w:rPr>
        <w:t xml:space="preserve">ostępnienie odbywa się za pomocą systemu </w:t>
      </w:r>
      <w:r w:rsidR="00062670" w:rsidRPr="00833C88">
        <w:rPr>
          <w:rFonts w:cs="Times New Roman"/>
          <w:sz w:val="24"/>
          <w:szCs w:val="24"/>
        </w:rPr>
        <w:t xml:space="preserve">teleinformatycznego </w:t>
      </w:r>
      <w:r w:rsidR="00A90840" w:rsidRPr="00833C88">
        <w:rPr>
          <w:rFonts w:cs="Times New Roman"/>
          <w:sz w:val="24"/>
          <w:szCs w:val="24"/>
        </w:rPr>
        <w:t>S46</w:t>
      </w:r>
      <w:r w:rsidR="00656974" w:rsidRPr="00833C88">
        <w:rPr>
          <w:rFonts w:cs="Times New Roman"/>
          <w:sz w:val="24"/>
          <w:szCs w:val="24"/>
        </w:rPr>
        <w:t xml:space="preserve"> dzięki temu ograniczone zostanie przetwarzanie tych danych poza systemem.</w:t>
      </w:r>
    </w:p>
    <w:p w14:paraId="16FA5C07" w14:textId="6AC47A3A" w:rsidR="00375BD4" w:rsidRPr="00833C88" w:rsidRDefault="00BD1A16" w:rsidP="0029004E">
      <w:pPr>
        <w:spacing w:line="360" w:lineRule="auto"/>
        <w:jc w:val="both"/>
        <w:rPr>
          <w:rFonts w:cs="Times New Roman"/>
          <w:sz w:val="24"/>
          <w:szCs w:val="24"/>
        </w:rPr>
      </w:pPr>
      <w:r w:rsidRPr="00833C88">
        <w:rPr>
          <w:rFonts w:cs="Times New Roman"/>
          <w:sz w:val="24"/>
          <w:szCs w:val="24"/>
        </w:rPr>
        <w:t xml:space="preserve">Wprowadzono termin przechowywania </w:t>
      </w:r>
      <w:r w:rsidR="0099496B" w:rsidRPr="00833C88">
        <w:rPr>
          <w:rFonts w:cs="Times New Roman"/>
          <w:sz w:val="24"/>
          <w:szCs w:val="24"/>
        </w:rPr>
        <w:t>informacji o zmianie wpisu w wykazie oraz o</w:t>
      </w:r>
      <w:r w:rsidR="00B56486" w:rsidRPr="00833C88">
        <w:rPr>
          <w:rFonts w:cs="Times New Roman"/>
          <w:sz w:val="24"/>
          <w:szCs w:val="24"/>
        </w:rPr>
        <w:t> w</w:t>
      </w:r>
      <w:r w:rsidR="0099496B" w:rsidRPr="00833C88">
        <w:rPr>
          <w:rFonts w:cs="Times New Roman"/>
          <w:sz w:val="24"/>
          <w:szCs w:val="24"/>
        </w:rPr>
        <w:t xml:space="preserve">ykreśleniu podmiotu z wykazu – jest to termin </w:t>
      </w:r>
      <w:r w:rsidR="00B07A1F" w:rsidRPr="00833C88">
        <w:rPr>
          <w:rFonts w:cs="Times New Roman"/>
          <w:sz w:val="24"/>
          <w:szCs w:val="24"/>
        </w:rPr>
        <w:t xml:space="preserve">5 lat wraz z określeniem </w:t>
      </w:r>
      <w:r w:rsidR="00F83BBB" w:rsidRPr="00833C88">
        <w:rPr>
          <w:rFonts w:cs="Times New Roman"/>
          <w:sz w:val="24"/>
          <w:szCs w:val="24"/>
        </w:rPr>
        <w:t xml:space="preserve">daty i </w:t>
      </w:r>
      <w:r w:rsidR="00B07A1F" w:rsidRPr="00833C88">
        <w:rPr>
          <w:rFonts w:cs="Times New Roman"/>
          <w:sz w:val="24"/>
          <w:szCs w:val="24"/>
        </w:rPr>
        <w:t>czasu dokonania zmiany i wykreślenia</w:t>
      </w:r>
      <w:r w:rsidR="0096297A" w:rsidRPr="00833C88">
        <w:rPr>
          <w:rFonts w:cs="Times New Roman"/>
          <w:sz w:val="24"/>
          <w:szCs w:val="24"/>
        </w:rPr>
        <w:t xml:space="preserve">. Konieczność przechowywania tych informacji </w:t>
      </w:r>
      <w:r w:rsidR="00F74026" w:rsidRPr="00833C88">
        <w:rPr>
          <w:rFonts w:cs="Times New Roman"/>
          <w:sz w:val="24"/>
          <w:szCs w:val="24"/>
        </w:rPr>
        <w:t>wynika z tego, że mogą one być przydatne w postępowaniu w sprawie nałożenia administracyjnej kary pieniężnej</w:t>
      </w:r>
      <w:r w:rsidR="001B5F78" w:rsidRPr="00833C88">
        <w:rPr>
          <w:rFonts w:cs="Times New Roman"/>
          <w:sz w:val="24"/>
          <w:szCs w:val="24"/>
        </w:rPr>
        <w:t xml:space="preserve"> – termin przedawnienia wynosi w tym przypadku 5 lat, zgodnie z art. 189</w:t>
      </w:r>
      <w:r w:rsidR="00C2714F" w:rsidRPr="00833C88">
        <w:rPr>
          <w:rFonts w:cs="Times New Roman"/>
          <w:sz w:val="24"/>
          <w:szCs w:val="24"/>
        </w:rPr>
        <w:t>g §1 Kodeksu postępowania administracyjnego</w:t>
      </w:r>
      <w:r w:rsidR="003D0CD0" w:rsidRPr="00833C88">
        <w:rPr>
          <w:rFonts w:cs="Times New Roman"/>
          <w:sz w:val="24"/>
          <w:szCs w:val="24"/>
        </w:rPr>
        <w:t xml:space="preserve">. Ponadto informacje te mogą być przydatne przy </w:t>
      </w:r>
      <w:r w:rsidR="00375BD4" w:rsidRPr="00833C88">
        <w:rPr>
          <w:rFonts w:cs="Times New Roman"/>
          <w:sz w:val="24"/>
          <w:szCs w:val="24"/>
        </w:rPr>
        <w:t>postępowaniu karnym, jeśli dotyczy ono podania nieprawdziwych informacji we wpisie do wykazu. Stąd dla celów dowodowych zasadne jest zachowanie tych danych przez pewien okres.</w:t>
      </w:r>
    </w:p>
    <w:p w14:paraId="2E47FE22" w14:textId="0F5FAD7D" w:rsidR="0023422C" w:rsidRPr="00833C88" w:rsidRDefault="00375BD4" w:rsidP="0029004E">
      <w:pPr>
        <w:spacing w:line="360" w:lineRule="auto"/>
        <w:jc w:val="both"/>
        <w:rPr>
          <w:rFonts w:cs="Times New Roman"/>
          <w:sz w:val="24"/>
          <w:szCs w:val="24"/>
        </w:rPr>
      </w:pPr>
      <w:r w:rsidRPr="00833C88">
        <w:rPr>
          <w:rFonts w:cs="Times New Roman"/>
          <w:sz w:val="24"/>
          <w:szCs w:val="24"/>
        </w:rPr>
        <w:t xml:space="preserve">W przypadku danych administratora </w:t>
      </w:r>
      <w:r w:rsidR="00793D3F" w:rsidRPr="00833C88">
        <w:rPr>
          <w:rFonts w:cs="Times New Roman"/>
          <w:sz w:val="24"/>
          <w:szCs w:val="24"/>
        </w:rPr>
        <w:t>konta podmiotu w systemie</w:t>
      </w:r>
      <w:r w:rsidR="00062670" w:rsidRPr="00833C88">
        <w:rPr>
          <w:rFonts w:cs="Times New Roman"/>
          <w:sz w:val="24"/>
          <w:szCs w:val="24"/>
        </w:rPr>
        <w:t xml:space="preserve"> teleinformatycznym</w:t>
      </w:r>
      <w:r w:rsidR="00793D3F" w:rsidRPr="00833C88">
        <w:rPr>
          <w:rFonts w:cs="Times New Roman"/>
          <w:sz w:val="24"/>
          <w:szCs w:val="24"/>
        </w:rPr>
        <w:t xml:space="preserve"> S46 to te dane będą dostępne jedynie ministrowi właściwemu do spraw informatyzacji oraz jednostce, której ten minister powierzył realizację zadania rozwoju lub utrzymania systemu. Celem jestem ograniczenie licz</w:t>
      </w:r>
      <w:r w:rsidR="00124249" w:rsidRPr="00833C88">
        <w:rPr>
          <w:rFonts w:cs="Times New Roman"/>
          <w:sz w:val="24"/>
          <w:szCs w:val="24"/>
        </w:rPr>
        <w:t>by podmiot, które mają dostęp do numeru PESEL tego administratora (czy niepowtarzalnego identyfikatora środka identyfikacji elektronicznej</w:t>
      </w:r>
      <w:proofErr w:type="gramStart"/>
      <w:r w:rsidR="00124249" w:rsidRPr="00833C88">
        <w:rPr>
          <w:rFonts w:cs="Times New Roman"/>
          <w:sz w:val="24"/>
          <w:szCs w:val="24"/>
        </w:rPr>
        <w:t>).</w:t>
      </w:r>
      <w:r w:rsidR="00F614EC" w:rsidRPr="00833C88">
        <w:rPr>
          <w:rFonts w:cs="Times New Roman"/>
          <w:sz w:val="24"/>
          <w:szCs w:val="24"/>
        </w:rPr>
        <w:t>Te</w:t>
      </w:r>
      <w:proofErr w:type="gramEnd"/>
      <w:r w:rsidR="00F614EC" w:rsidRPr="00833C88">
        <w:rPr>
          <w:rFonts w:cs="Times New Roman"/>
          <w:sz w:val="24"/>
          <w:szCs w:val="24"/>
        </w:rPr>
        <w:t xml:space="preserve"> dane są tak naprawdę potrzebne jedynie podmiotowi odpowiedzialnego za system</w:t>
      </w:r>
      <w:r w:rsidR="00062670" w:rsidRPr="00833C88">
        <w:rPr>
          <w:rFonts w:cs="Times New Roman"/>
          <w:sz w:val="24"/>
          <w:szCs w:val="24"/>
        </w:rPr>
        <w:t xml:space="preserve"> teleinformatyczny</w:t>
      </w:r>
      <w:r w:rsidR="00F614EC" w:rsidRPr="00833C88">
        <w:rPr>
          <w:rFonts w:cs="Times New Roman"/>
          <w:sz w:val="24"/>
          <w:szCs w:val="24"/>
        </w:rPr>
        <w:t xml:space="preserve"> S46. Przepis nie narusza jednak uprawnień sądu i prokuratora w postępowaniu karnym</w:t>
      </w:r>
      <w:r w:rsidR="00562D2E" w:rsidRPr="00833C88">
        <w:rPr>
          <w:rFonts w:cs="Times New Roman"/>
          <w:sz w:val="24"/>
          <w:szCs w:val="24"/>
        </w:rPr>
        <w:t>.</w:t>
      </w:r>
      <w:r w:rsidR="00C2714F" w:rsidRPr="00833C88">
        <w:rPr>
          <w:rFonts w:cs="Times New Roman"/>
          <w:sz w:val="24"/>
          <w:szCs w:val="24"/>
        </w:rPr>
        <w:t xml:space="preserve"> </w:t>
      </w:r>
    </w:p>
    <w:p w14:paraId="221EF432" w14:textId="77DBA7EA" w:rsidR="00736F5B" w:rsidRPr="00833C88" w:rsidRDefault="00DC4103" w:rsidP="0029004E">
      <w:pPr>
        <w:spacing w:line="360" w:lineRule="auto"/>
        <w:jc w:val="both"/>
        <w:rPr>
          <w:rFonts w:cs="Times New Roman"/>
          <w:sz w:val="24"/>
          <w:szCs w:val="24"/>
        </w:rPr>
      </w:pPr>
      <w:r w:rsidRPr="00833C88">
        <w:rPr>
          <w:rFonts w:cs="Times New Roman"/>
          <w:sz w:val="24"/>
          <w:szCs w:val="24"/>
        </w:rPr>
        <w:t xml:space="preserve">Organ właściwy do spraw cyberbezpieczeństwa będzie mógł również </w:t>
      </w:r>
      <w:r w:rsidR="00601933" w:rsidRPr="00833C88">
        <w:rPr>
          <w:rFonts w:cs="Times New Roman"/>
          <w:sz w:val="24"/>
          <w:szCs w:val="24"/>
        </w:rPr>
        <w:t>z </w:t>
      </w:r>
      <w:r w:rsidRPr="00833C88">
        <w:rPr>
          <w:rFonts w:cs="Times New Roman"/>
          <w:sz w:val="24"/>
          <w:szCs w:val="24"/>
        </w:rPr>
        <w:t xml:space="preserve">urzędu wpisać dany podmiot do wykazu </w:t>
      </w:r>
      <w:r w:rsidR="000A2743" w:rsidRPr="00833C88">
        <w:rPr>
          <w:rFonts w:cs="Times New Roman"/>
          <w:sz w:val="24"/>
          <w:szCs w:val="24"/>
        </w:rPr>
        <w:t xml:space="preserve">podmiotów kluczowych </w:t>
      </w:r>
      <w:r w:rsidR="00601933" w:rsidRPr="00833C88">
        <w:rPr>
          <w:rFonts w:cs="Times New Roman"/>
          <w:sz w:val="24"/>
          <w:szCs w:val="24"/>
        </w:rPr>
        <w:t>i </w:t>
      </w:r>
      <w:r w:rsidR="000A2743" w:rsidRPr="00833C88">
        <w:rPr>
          <w:rFonts w:cs="Times New Roman"/>
          <w:sz w:val="24"/>
          <w:szCs w:val="24"/>
        </w:rPr>
        <w:t>podmiotów ważnych</w:t>
      </w:r>
      <w:r w:rsidRPr="00833C88">
        <w:rPr>
          <w:rFonts w:cs="Times New Roman"/>
          <w:sz w:val="24"/>
          <w:szCs w:val="24"/>
        </w:rPr>
        <w:t xml:space="preserve"> jeśli na podstawie da</w:t>
      </w:r>
      <w:r w:rsidR="000F0A86" w:rsidRPr="00833C88">
        <w:rPr>
          <w:rFonts w:cs="Times New Roman"/>
          <w:sz w:val="24"/>
          <w:szCs w:val="24"/>
        </w:rPr>
        <w:t xml:space="preserve">nych zawartych </w:t>
      </w:r>
      <w:r w:rsidR="00601933" w:rsidRPr="00833C88">
        <w:rPr>
          <w:rFonts w:cs="Times New Roman"/>
          <w:sz w:val="24"/>
          <w:szCs w:val="24"/>
        </w:rPr>
        <w:t>w</w:t>
      </w:r>
      <w:r w:rsidR="00421ADD" w:rsidRPr="00833C88">
        <w:rPr>
          <w:rFonts w:cs="Times New Roman"/>
          <w:sz w:val="24"/>
          <w:szCs w:val="24"/>
        </w:rPr>
        <w:t xml:space="preserve"> publicznie dostępnych</w:t>
      </w:r>
      <w:r w:rsidR="00601933" w:rsidRPr="00833C88">
        <w:rPr>
          <w:rFonts w:cs="Times New Roman"/>
          <w:sz w:val="24"/>
          <w:szCs w:val="24"/>
        </w:rPr>
        <w:t> </w:t>
      </w:r>
      <w:r w:rsidR="000F0A86" w:rsidRPr="00833C88">
        <w:rPr>
          <w:rFonts w:cs="Times New Roman"/>
          <w:sz w:val="24"/>
          <w:szCs w:val="24"/>
        </w:rPr>
        <w:t>rejestrach publicznych</w:t>
      </w:r>
      <w:r w:rsidR="00421ADD" w:rsidRPr="00833C88">
        <w:rPr>
          <w:rFonts w:cs="Times New Roman"/>
          <w:sz w:val="24"/>
          <w:szCs w:val="24"/>
        </w:rPr>
        <w:t>, danych dostępnych organowi na podstawie przepisów odrębnych</w:t>
      </w:r>
      <w:r w:rsidR="000F0A86" w:rsidRPr="00833C88">
        <w:rPr>
          <w:rFonts w:cs="Times New Roman"/>
          <w:sz w:val="24"/>
          <w:szCs w:val="24"/>
        </w:rPr>
        <w:t xml:space="preserve"> </w:t>
      </w:r>
      <w:r w:rsidR="000A2743" w:rsidRPr="00833C88">
        <w:rPr>
          <w:rFonts w:cs="Times New Roman"/>
          <w:sz w:val="24"/>
          <w:szCs w:val="24"/>
        </w:rPr>
        <w:t xml:space="preserve">oraz </w:t>
      </w:r>
      <w:r w:rsidR="00F6111E" w:rsidRPr="00833C88">
        <w:rPr>
          <w:rFonts w:cs="Times New Roman"/>
          <w:sz w:val="24"/>
          <w:szCs w:val="24"/>
        </w:rPr>
        <w:t>danych uzyskanych od samego podmiotu w drodze zapytania z art. 43 ust. 1</w:t>
      </w:r>
      <w:r w:rsidR="00916D56" w:rsidRPr="00833C88">
        <w:rPr>
          <w:rFonts w:cs="Times New Roman"/>
          <w:sz w:val="24"/>
          <w:szCs w:val="24"/>
        </w:rPr>
        <w:t xml:space="preserve"> </w:t>
      </w:r>
      <w:r w:rsidR="000F0A86" w:rsidRPr="00833C88">
        <w:rPr>
          <w:rFonts w:cs="Times New Roman"/>
          <w:sz w:val="24"/>
          <w:szCs w:val="24"/>
        </w:rPr>
        <w:t xml:space="preserve">stwierdzi on, że dany podmiot spełnia kryteria podmiotu kluczowego </w:t>
      </w:r>
      <w:r w:rsidR="000F0A86" w:rsidRPr="00833C88">
        <w:rPr>
          <w:rFonts w:cs="Times New Roman"/>
          <w:sz w:val="24"/>
          <w:szCs w:val="24"/>
        </w:rPr>
        <w:lastRenderedPageBreak/>
        <w:t xml:space="preserve">lub </w:t>
      </w:r>
      <w:r w:rsidR="00340170" w:rsidRPr="00833C88">
        <w:rPr>
          <w:rFonts w:cs="Times New Roman"/>
          <w:sz w:val="24"/>
          <w:szCs w:val="24"/>
        </w:rPr>
        <w:t xml:space="preserve">podmiotu </w:t>
      </w:r>
      <w:r w:rsidR="000F0A86" w:rsidRPr="00833C88">
        <w:rPr>
          <w:rFonts w:cs="Times New Roman"/>
          <w:sz w:val="24"/>
          <w:szCs w:val="24"/>
        </w:rPr>
        <w:t>ważnego</w:t>
      </w:r>
      <w:r w:rsidR="00A90675" w:rsidRPr="00833C88">
        <w:rPr>
          <w:rFonts w:cs="Times New Roman"/>
          <w:sz w:val="24"/>
          <w:szCs w:val="24"/>
        </w:rPr>
        <w:t>, a podmiot ten nie wpisał się do wykazu w terminie 3 miesięcy od spełnienia przesłanek uznania za podmiot kluczowy lub podmiot ważny</w:t>
      </w:r>
      <w:r w:rsidR="000F0A86" w:rsidRPr="00833C88">
        <w:rPr>
          <w:rFonts w:cs="Times New Roman"/>
          <w:sz w:val="24"/>
          <w:szCs w:val="24"/>
        </w:rPr>
        <w:t xml:space="preserve">. To rozwiązanie gwarantuje, że nawet jeśli dany podmiot nie będzie chciał się </w:t>
      </w:r>
      <w:r w:rsidR="000A2743" w:rsidRPr="00833C88">
        <w:rPr>
          <w:rFonts w:cs="Times New Roman"/>
          <w:sz w:val="24"/>
          <w:szCs w:val="24"/>
        </w:rPr>
        <w:t>wpisać do</w:t>
      </w:r>
      <w:r w:rsidR="009B4C26" w:rsidRPr="00833C88">
        <w:rPr>
          <w:rFonts w:cs="Times New Roman"/>
          <w:sz w:val="24"/>
          <w:szCs w:val="24"/>
        </w:rPr>
        <w:t> </w:t>
      </w:r>
      <w:r w:rsidR="000A2743" w:rsidRPr="00833C88">
        <w:rPr>
          <w:rFonts w:cs="Times New Roman"/>
          <w:sz w:val="24"/>
          <w:szCs w:val="24"/>
        </w:rPr>
        <w:t>wykazu</w:t>
      </w:r>
      <w:r w:rsidR="000F0A86" w:rsidRPr="00833C88">
        <w:rPr>
          <w:rFonts w:cs="Times New Roman"/>
          <w:sz w:val="24"/>
          <w:szCs w:val="24"/>
        </w:rPr>
        <w:t xml:space="preserve"> będzie możliwe włączenie go do rejestru.</w:t>
      </w:r>
      <w:r w:rsidR="004B4BDB" w:rsidRPr="00833C88">
        <w:rPr>
          <w:rFonts w:cs="Times New Roman"/>
          <w:sz w:val="24"/>
          <w:szCs w:val="24"/>
        </w:rPr>
        <w:t xml:space="preserve"> </w:t>
      </w:r>
      <w:r w:rsidR="005D52CC" w:rsidRPr="00833C88">
        <w:rPr>
          <w:rFonts w:cs="Times New Roman"/>
          <w:sz w:val="24"/>
          <w:szCs w:val="24"/>
        </w:rPr>
        <w:t xml:space="preserve">Czynność wpisania nie będzie miała charakteru decyzji administracyjnej, </w:t>
      </w:r>
      <w:r w:rsidR="00601933" w:rsidRPr="00833C88">
        <w:rPr>
          <w:rFonts w:cs="Times New Roman"/>
          <w:sz w:val="24"/>
          <w:szCs w:val="24"/>
        </w:rPr>
        <w:t>z </w:t>
      </w:r>
      <w:r w:rsidR="005D52CC" w:rsidRPr="00833C88">
        <w:rPr>
          <w:rFonts w:cs="Times New Roman"/>
          <w:sz w:val="24"/>
          <w:szCs w:val="24"/>
        </w:rPr>
        <w:t>uwagi na potencjalną liczbę podmiotów objętych obowiązkiem wpisu do</w:t>
      </w:r>
      <w:r w:rsidR="00872FAF" w:rsidRPr="00833C88">
        <w:rPr>
          <w:rFonts w:cs="Times New Roman"/>
          <w:sz w:val="24"/>
          <w:szCs w:val="24"/>
        </w:rPr>
        <w:t> </w:t>
      </w:r>
      <w:r w:rsidR="005D52CC" w:rsidRPr="00833C88">
        <w:rPr>
          <w:rFonts w:cs="Times New Roman"/>
          <w:sz w:val="24"/>
          <w:szCs w:val="24"/>
        </w:rPr>
        <w:t xml:space="preserve">wykazu – szacunkowo ponad 10 000. Jeżeli część </w:t>
      </w:r>
      <w:r w:rsidR="00601933" w:rsidRPr="00833C88">
        <w:rPr>
          <w:rFonts w:cs="Times New Roman"/>
          <w:sz w:val="24"/>
          <w:szCs w:val="24"/>
        </w:rPr>
        <w:t>z </w:t>
      </w:r>
      <w:r w:rsidR="005D52CC" w:rsidRPr="00833C88">
        <w:rPr>
          <w:rFonts w:cs="Times New Roman"/>
          <w:sz w:val="24"/>
          <w:szCs w:val="24"/>
        </w:rPr>
        <w:t>tych podmiotów nie wpisze się dobrowolnie do wykazu, to konieczne będzie wydawanie wielu decyzji administracyjnych, co</w:t>
      </w:r>
      <w:r w:rsidR="00872FAF" w:rsidRPr="00833C88">
        <w:rPr>
          <w:rFonts w:cs="Times New Roman"/>
          <w:sz w:val="24"/>
          <w:szCs w:val="24"/>
        </w:rPr>
        <w:t> </w:t>
      </w:r>
      <w:r w:rsidR="005D52CC" w:rsidRPr="00833C88">
        <w:rPr>
          <w:rFonts w:cs="Times New Roman"/>
          <w:sz w:val="24"/>
          <w:szCs w:val="24"/>
        </w:rPr>
        <w:t xml:space="preserve">będzie bardzo dużym obciążeniem dla organów właściwych do spraw cyberbezpieczeństwa. </w:t>
      </w:r>
      <w:r w:rsidR="00601933" w:rsidRPr="00833C88">
        <w:rPr>
          <w:rFonts w:cs="Times New Roman"/>
          <w:sz w:val="24"/>
          <w:szCs w:val="24"/>
        </w:rPr>
        <w:t>Z </w:t>
      </w:r>
      <w:r w:rsidR="005D52CC" w:rsidRPr="00833C88">
        <w:rPr>
          <w:rFonts w:cs="Times New Roman"/>
          <w:sz w:val="24"/>
          <w:szCs w:val="24"/>
        </w:rPr>
        <w:t xml:space="preserve">tego powodu lepsza jest formuła innej czynności </w:t>
      </w:r>
      <w:r w:rsidR="00601933" w:rsidRPr="00833C88">
        <w:rPr>
          <w:rFonts w:cs="Times New Roman"/>
          <w:sz w:val="24"/>
          <w:szCs w:val="24"/>
        </w:rPr>
        <w:t>z </w:t>
      </w:r>
      <w:r w:rsidR="005D52CC" w:rsidRPr="00833C88">
        <w:rPr>
          <w:rFonts w:cs="Times New Roman"/>
          <w:sz w:val="24"/>
          <w:szCs w:val="24"/>
        </w:rPr>
        <w:t xml:space="preserve">zakresu administracji publicznej. </w:t>
      </w:r>
      <w:r w:rsidR="004B4BDB" w:rsidRPr="00833C88">
        <w:rPr>
          <w:rFonts w:cs="Times New Roman"/>
          <w:sz w:val="24"/>
          <w:szCs w:val="24"/>
        </w:rPr>
        <w:t>Podmiot będzie mógł zaskarżyć taką czynność do sądu administracyjnego</w:t>
      </w:r>
      <w:r w:rsidR="00872FAF" w:rsidRPr="00833C88">
        <w:rPr>
          <w:rFonts w:cs="Times New Roman"/>
          <w:sz w:val="24"/>
          <w:szCs w:val="24"/>
        </w:rPr>
        <w:t>,</w:t>
      </w:r>
      <w:r w:rsidR="004B4BDB" w:rsidRPr="00833C88">
        <w:rPr>
          <w:rFonts w:cs="Times New Roman"/>
          <w:sz w:val="24"/>
          <w:szCs w:val="24"/>
        </w:rPr>
        <w:t xml:space="preserve"> co gwarantuje mu skuteczną możliwość ochrony jego praw. </w:t>
      </w:r>
      <w:r w:rsidR="00736F5B" w:rsidRPr="00833C88">
        <w:rPr>
          <w:rFonts w:cs="Times New Roman"/>
          <w:sz w:val="24"/>
          <w:szCs w:val="24"/>
        </w:rPr>
        <w:t>Organ właściwy do spraw cyberbezpieczeństwa zawiadomi podmiot o wpisie do wykazu oraz wezwie ten podmiot do uzupełnienia brakujących danych w</w:t>
      </w:r>
      <w:r w:rsidR="00916D56" w:rsidRPr="00833C88">
        <w:rPr>
          <w:rFonts w:cs="Times New Roman"/>
          <w:sz w:val="24"/>
          <w:szCs w:val="24"/>
        </w:rPr>
        <w:t> </w:t>
      </w:r>
      <w:r w:rsidR="00736F5B" w:rsidRPr="00833C88">
        <w:rPr>
          <w:rFonts w:cs="Times New Roman"/>
          <w:sz w:val="24"/>
          <w:szCs w:val="24"/>
        </w:rPr>
        <w:t>wykazie w terminie 2 miesięcy od dnia otrzymania zawiadomienia.</w:t>
      </w:r>
      <w:r w:rsidR="00054DA6" w:rsidRPr="00833C88">
        <w:rPr>
          <w:rFonts w:cs="Times New Roman"/>
          <w:sz w:val="24"/>
          <w:szCs w:val="24"/>
        </w:rPr>
        <w:t xml:space="preserve"> Jest to konieczne, ponieważ należy podmiot poinformować o dokonanych wobec niego czynnościach.</w:t>
      </w:r>
    </w:p>
    <w:p w14:paraId="74779F3B" w14:textId="6F51C739" w:rsidR="00705682" w:rsidRPr="00833C88" w:rsidRDefault="00705682" w:rsidP="0029004E">
      <w:pPr>
        <w:spacing w:line="360" w:lineRule="auto"/>
        <w:jc w:val="both"/>
        <w:rPr>
          <w:rFonts w:cs="Times New Roman"/>
          <w:sz w:val="24"/>
          <w:szCs w:val="24"/>
        </w:rPr>
      </w:pPr>
      <w:r w:rsidRPr="00833C88">
        <w:rPr>
          <w:rFonts w:cs="Times New Roman"/>
          <w:sz w:val="24"/>
          <w:szCs w:val="24"/>
        </w:rPr>
        <w:t xml:space="preserve">Podmiot będzie mógł złożyć wniosek </w:t>
      </w:r>
      <w:r w:rsidR="00601933" w:rsidRPr="00833C88">
        <w:rPr>
          <w:rFonts w:cs="Times New Roman"/>
          <w:sz w:val="24"/>
          <w:szCs w:val="24"/>
        </w:rPr>
        <w:t>o </w:t>
      </w:r>
      <w:r w:rsidRPr="00833C88">
        <w:rPr>
          <w:rFonts w:cs="Times New Roman"/>
          <w:sz w:val="24"/>
          <w:szCs w:val="24"/>
        </w:rPr>
        <w:t>wykreśl</w:t>
      </w:r>
      <w:r w:rsidR="009C6C88" w:rsidRPr="00833C88">
        <w:rPr>
          <w:rFonts w:cs="Times New Roman"/>
          <w:sz w:val="24"/>
          <w:szCs w:val="24"/>
        </w:rPr>
        <w:t xml:space="preserve">enie </w:t>
      </w:r>
      <w:r w:rsidR="00601933" w:rsidRPr="00833C88">
        <w:rPr>
          <w:rFonts w:cs="Times New Roman"/>
          <w:sz w:val="24"/>
          <w:szCs w:val="24"/>
        </w:rPr>
        <w:t>z </w:t>
      </w:r>
      <w:r w:rsidR="009C6C88" w:rsidRPr="00833C88">
        <w:rPr>
          <w:rFonts w:cs="Times New Roman"/>
          <w:sz w:val="24"/>
          <w:szCs w:val="24"/>
        </w:rPr>
        <w:t xml:space="preserve">wykazu, jeżeli przestanie spełniać wymogi </w:t>
      </w:r>
      <w:r w:rsidR="009B082D" w:rsidRPr="00833C88">
        <w:rPr>
          <w:rFonts w:cs="Times New Roman"/>
          <w:sz w:val="24"/>
          <w:szCs w:val="24"/>
        </w:rPr>
        <w:t>dla po</w:t>
      </w:r>
      <w:r w:rsidR="00392626" w:rsidRPr="00833C88">
        <w:rPr>
          <w:rFonts w:cs="Times New Roman"/>
          <w:sz w:val="24"/>
          <w:szCs w:val="24"/>
        </w:rPr>
        <w:t xml:space="preserve">dmiotu kluczowego </w:t>
      </w:r>
      <w:r w:rsidR="00601933" w:rsidRPr="00833C88">
        <w:rPr>
          <w:rFonts w:cs="Times New Roman"/>
          <w:sz w:val="24"/>
          <w:szCs w:val="24"/>
        </w:rPr>
        <w:t>i </w:t>
      </w:r>
      <w:r w:rsidR="00392626" w:rsidRPr="00833C88">
        <w:rPr>
          <w:rFonts w:cs="Times New Roman"/>
          <w:sz w:val="24"/>
          <w:szCs w:val="24"/>
        </w:rPr>
        <w:t>podmiotu ważnego</w:t>
      </w:r>
      <w:r w:rsidR="006432B3" w:rsidRPr="00833C88">
        <w:rPr>
          <w:rFonts w:cs="Times New Roman"/>
          <w:sz w:val="24"/>
          <w:szCs w:val="24"/>
        </w:rPr>
        <w:t xml:space="preserve">, </w:t>
      </w:r>
      <w:r w:rsidR="00392626" w:rsidRPr="00833C88">
        <w:rPr>
          <w:rFonts w:cs="Times New Roman"/>
          <w:sz w:val="24"/>
          <w:szCs w:val="24"/>
        </w:rPr>
        <w:t>ale będzie to weryfikowane przez organ właściwy do spraw cyberbezpieczeństwa.</w:t>
      </w:r>
    </w:p>
    <w:p w14:paraId="789BDADB" w14:textId="07410838" w:rsidR="00C046A7" w:rsidRPr="00833C88" w:rsidRDefault="00C046A7" w:rsidP="0029004E">
      <w:pPr>
        <w:spacing w:line="360" w:lineRule="auto"/>
        <w:jc w:val="both"/>
        <w:rPr>
          <w:rFonts w:cs="Times New Roman"/>
          <w:sz w:val="24"/>
          <w:szCs w:val="24"/>
        </w:rPr>
      </w:pPr>
      <w:r w:rsidRPr="00833C88">
        <w:rPr>
          <w:rFonts w:cs="Times New Roman"/>
          <w:sz w:val="24"/>
          <w:szCs w:val="24"/>
        </w:rPr>
        <w:t xml:space="preserve">Organ właściwy do spraw cyberbezpieczeństwa będzie mógł </w:t>
      </w:r>
      <w:r w:rsidR="00554426" w:rsidRPr="00833C88">
        <w:rPr>
          <w:rFonts w:cs="Times New Roman"/>
          <w:sz w:val="24"/>
          <w:szCs w:val="24"/>
        </w:rPr>
        <w:t>dokonywać czynności sprawdzających mających na celu weryfikację zgodności ze stanem faktycznym</w:t>
      </w:r>
      <w:r w:rsidR="00FA2D31" w:rsidRPr="00833C88">
        <w:rPr>
          <w:rFonts w:cs="Times New Roman"/>
          <w:sz w:val="24"/>
          <w:szCs w:val="24"/>
        </w:rPr>
        <w:t xml:space="preserve"> danych zawartych w wykazie</w:t>
      </w:r>
      <w:r w:rsidRPr="00833C88">
        <w:rPr>
          <w:rFonts w:cs="Times New Roman"/>
          <w:sz w:val="24"/>
          <w:szCs w:val="24"/>
        </w:rPr>
        <w:t xml:space="preserve"> i w razie potrzeby wzywać podmiot do ich zmiany pod rygorem nałożenia administracyjnej kary pieniężnej. Rozwiązanie to ma zapewnić aktualność danych w wykazie.</w:t>
      </w:r>
      <w:r w:rsidR="00FA2D31" w:rsidRPr="00833C88">
        <w:rPr>
          <w:rFonts w:cs="Times New Roman"/>
          <w:sz w:val="24"/>
          <w:szCs w:val="24"/>
        </w:rPr>
        <w:t xml:space="preserve"> Wprowadzono również podstawę prawną, aby organ właściwy do spraw cyberbezpieczeństwa mógł </w:t>
      </w:r>
      <w:r w:rsidR="000E48B8" w:rsidRPr="00833C88">
        <w:rPr>
          <w:rFonts w:cs="Times New Roman"/>
          <w:sz w:val="24"/>
          <w:szCs w:val="24"/>
        </w:rPr>
        <w:t>z urzędu poprawić oczywiste omyłki</w:t>
      </w:r>
      <w:r w:rsidR="005646B9" w:rsidRPr="00833C88">
        <w:rPr>
          <w:rStyle w:val="Odwoanieprzypisudolnego"/>
          <w:rFonts w:cs="Times New Roman"/>
          <w:sz w:val="24"/>
          <w:szCs w:val="24"/>
        </w:rPr>
        <w:footnoteReference w:id="17"/>
      </w:r>
      <w:r w:rsidR="00916D56" w:rsidRPr="00833C88">
        <w:rPr>
          <w:rFonts w:cs="Times New Roman"/>
          <w:sz w:val="24"/>
          <w:szCs w:val="24"/>
          <w:vertAlign w:val="superscript"/>
        </w:rPr>
        <w:t>)</w:t>
      </w:r>
      <w:r w:rsidR="000E48B8" w:rsidRPr="00833C88">
        <w:rPr>
          <w:rFonts w:cs="Times New Roman"/>
          <w:sz w:val="24"/>
          <w:szCs w:val="24"/>
        </w:rPr>
        <w:t xml:space="preserve"> i błędy</w:t>
      </w:r>
      <w:r w:rsidR="00F82855" w:rsidRPr="00833C88">
        <w:rPr>
          <w:rFonts w:cs="Times New Roman"/>
          <w:sz w:val="24"/>
          <w:szCs w:val="24"/>
        </w:rPr>
        <w:t xml:space="preserve"> zawarte w</w:t>
      </w:r>
      <w:r w:rsidR="00DE38C1" w:rsidRPr="00833C88">
        <w:rPr>
          <w:rFonts w:cs="Times New Roman"/>
          <w:sz w:val="24"/>
          <w:szCs w:val="24"/>
        </w:rPr>
        <w:t> </w:t>
      </w:r>
      <w:r w:rsidR="00F82855" w:rsidRPr="00833C88">
        <w:rPr>
          <w:rFonts w:cs="Times New Roman"/>
          <w:sz w:val="24"/>
          <w:szCs w:val="24"/>
        </w:rPr>
        <w:t>wykaza</w:t>
      </w:r>
      <w:r w:rsidR="00473BB8" w:rsidRPr="00833C88">
        <w:rPr>
          <w:rFonts w:cs="Times New Roman"/>
          <w:sz w:val="24"/>
          <w:szCs w:val="24"/>
        </w:rPr>
        <w:t>ch.</w:t>
      </w:r>
    </w:p>
    <w:p w14:paraId="26A656C0" w14:textId="7402B069" w:rsidR="0047538F" w:rsidRPr="00833C88" w:rsidRDefault="00601933" w:rsidP="00AF1CAC">
      <w:pPr>
        <w:spacing w:after="0" w:line="360" w:lineRule="auto"/>
        <w:jc w:val="both"/>
        <w:rPr>
          <w:rFonts w:cs="Times New Roman"/>
          <w:sz w:val="24"/>
          <w:szCs w:val="24"/>
        </w:rPr>
      </w:pPr>
      <w:r w:rsidRPr="00833C88">
        <w:rPr>
          <w:rFonts w:cs="Times New Roman"/>
          <w:sz w:val="24"/>
          <w:szCs w:val="24"/>
        </w:rPr>
        <w:t>W </w:t>
      </w:r>
      <w:r w:rsidR="00EB7867" w:rsidRPr="00833C88">
        <w:rPr>
          <w:rFonts w:cs="Times New Roman"/>
          <w:sz w:val="24"/>
          <w:szCs w:val="24"/>
        </w:rPr>
        <w:t xml:space="preserve">szczególnie uzasadnionych </w:t>
      </w:r>
      <w:proofErr w:type="gramStart"/>
      <w:r w:rsidR="00EB7867" w:rsidRPr="00833C88">
        <w:rPr>
          <w:rFonts w:cs="Times New Roman"/>
          <w:sz w:val="24"/>
          <w:szCs w:val="24"/>
        </w:rPr>
        <w:t>przypadkach</w:t>
      </w:r>
      <w:proofErr w:type="gramEnd"/>
      <w:r w:rsidR="00EB7867" w:rsidRPr="00833C88">
        <w:rPr>
          <w:rFonts w:cs="Times New Roman"/>
          <w:sz w:val="24"/>
          <w:szCs w:val="24"/>
        </w:rPr>
        <w:t xml:space="preserve"> gdy </w:t>
      </w:r>
      <w:r w:rsidR="0047538F" w:rsidRPr="00833C88">
        <w:rPr>
          <w:rFonts w:cs="Times New Roman"/>
          <w:sz w:val="24"/>
          <w:szCs w:val="24"/>
        </w:rPr>
        <w:t xml:space="preserve">dany podmiot nie spełnia wymogów </w:t>
      </w:r>
      <w:r w:rsidR="00EF48FB" w:rsidRPr="00833C88">
        <w:rPr>
          <w:rFonts w:cs="Times New Roman"/>
          <w:sz w:val="24"/>
          <w:szCs w:val="24"/>
        </w:rPr>
        <w:t xml:space="preserve">uznania za </w:t>
      </w:r>
      <w:r w:rsidR="0047538F" w:rsidRPr="00833C88">
        <w:rPr>
          <w:rFonts w:cs="Times New Roman"/>
          <w:sz w:val="24"/>
          <w:szCs w:val="24"/>
        </w:rPr>
        <w:t>podmiot kluczow</w:t>
      </w:r>
      <w:r w:rsidR="00EF48FB" w:rsidRPr="00833C88">
        <w:rPr>
          <w:rFonts w:cs="Times New Roman"/>
          <w:sz w:val="24"/>
          <w:szCs w:val="24"/>
        </w:rPr>
        <w:t>y</w:t>
      </w:r>
      <w:r w:rsidR="0047538F" w:rsidRPr="00833C88">
        <w:rPr>
          <w:rFonts w:cs="Times New Roman"/>
          <w:sz w:val="24"/>
          <w:szCs w:val="24"/>
        </w:rPr>
        <w:t xml:space="preserve"> lub </w:t>
      </w:r>
      <w:r w:rsidR="00EF48FB" w:rsidRPr="00833C88">
        <w:rPr>
          <w:rFonts w:cs="Times New Roman"/>
          <w:sz w:val="24"/>
          <w:szCs w:val="24"/>
        </w:rPr>
        <w:t>podmiot</w:t>
      </w:r>
      <w:r w:rsidR="0047538F" w:rsidRPr="00833C88">
        <w:rPr>
          <w:rFonts w:cs="Times New Roman"/>
          <w:sz w:val="24"/>
          <w:szCs w:val="24"/>
        </w:rPr>
        <w:t xml:space="preserve"> ważn</w:t>
      </w:r>
      <w:r w:rsidR="00EF48FB" w:rsidRPr="00833C88">
        <w:rPr>
          <w:rFonts w:cs="Times New Roman"/>
          <w:sz w:val="24"/>
          <w:szCs w:val="24"/>
        </w:rPr>
        <w:t>y</w:t>
      </w:r>
      <w:r w:rsidR="0047538F" w:rsidRPr="00833C88">
        <w:rPr>
          <w:rFonts w:cs="Times New Roman"/>
          <w:sz w:val="24"/>
          <w:szCs w:val="24"/>
        </w:rPr>
        <w:t>, ale:</w:t>
      </w:r>
    </w:p>
    <w:p w14:paraId="20CA6130" w14:textId="37BDBD08" w:rsidR="0047538F" w:rsidRPr="00833C88" w:rsidRDefault="0047538F" w:rsidP="00AF1CAC">
      <w:pPr>
        <w:pStyle w:val="Akapitzlist"/>
        <w:numPr>
          <w:ilvl w:val="0"/>
          <w:numId w:val="9"/>
        </w:numPr>
        <w:spacing w:after="0" w:line="360" w:lineRule="auto"/>
        <w:contextualSpacing w:val="0"/>
        <w:jc w:val="both"/>
        <w:rPr>
          <w:rFonts w:cs="Times New Roman"/>
          <w:sz w:val="24"/>
          <w:szCs w:val="24"/>
        </w:rPr>
      </w:pPr>
      <w:r w:rsidRPr="00833C88">
        <w:rPr>
          <w:rFonts w:cs="Times New Roman"/>
          <w:sz w:val="24"/>
          <w:szCs w:val="24"/>
        </w:rPr>
        <w:t>jako jedyny świadczy usługę, która ma kluczowe znaczenie dla krytycznej działalności społecznej lub gospodarczej</w:t>
      </w:r>
      <w:r w:rsidR="001236FE" w:rsidRPr="00833C88">
        <w:rPr>
          <w:rStyle w:val="Odwoanieprzypisudolnego"/>
          <w:rFonts w:cs="Times New Roman"/>
          <w:sz w:val="24"/>
          <w:szCs w:val="24"/>
        </w:rPr>
        <w:footnoteReference w:id="18"/>
      </w:r>
      <w:r w:rsidR="00916D56" w:rsidRPr="00833C88">
        <w:rPr>
          <w:rFonts w:cs="Times New Roman"/>
          <w:sz w:val="24"/>
          <w:szCs w:val="24"/>
          <w:vertAlign w:val="superscript"/>
        </w:rPr>
        <w:t>)</w:t>
      </w:r>
      <w:r w:rsidR="00206D2C" w:rsidRPr="00833C88">
        <w:rPr>
          <w:rFonts w:cs="Times New Roman"/>
          <w:sz w:val="24"/>
          <w:szCs w:val="24"/>
        </w:rPr>
        <w:t>,</w:t>
      </w:r>
    </w:p>
    <w:p w14:paraId="0EFF3EB0" w14:textId="05B9B0EC" w:rsidR="0047538F" w:rsidRPr="00833C88" w:rsidRDefault="0047538F" w:rsidP="00AF1CAC">
      <w:pPr>
        <w:pStyle w:val="Akapitzlist"/>
        <w:numPr>
          <w:ilvl w:val="0"/>
          <w:numId w:val="9"/>
        </w:numPr>
        <w:spacing w:after="0" w:line="360" w:lineRule="auto"/>
        <w:contextualSpacing w:val="0"/>
        <w:jc w:val="both"/>
        <w:rPr>
          <w:rFonts w:cs="Times New Roman"/>
          <w:sz w:val="24"/>
          <w:szCs w:val="24"/>
        </w:rPr>
      </w:pPr>
      <w:r w:rsidRPr="00833C88">
        <w:rPr>
          <w:rFonts w:cs="Times New Roman"/>
          <w:sz w:val="24"/>
          <w:szCs w:val="24"/>
        </w:rPr>
        <w:lastRenderedPageBreak/>
        <w:t xml:space="preserve">zakłócenie świadczenia usługi przez niego spowoduje poważne zagrożenie dla bezpieczeństwa państwa, bezpieczeństwa </w:t>
      </w:r>
      <w:r w:rsidR="00601933" w:rsidRPr="00833C88">
        <w:rPr>
          <w:rFonts w:cs="Times New Roman"/>
          <w:sz w:val="24"/>
          <w:szCs w:val="24"/>
        </w:rPr>
        <w:t>i </w:t>
      </w:r>
      <w:r w:rsidRPr="00833C88">
        <w:rPr>
          <w:rFonts w:cs="Times New Roman"/>
          <w:sz w:val="24"/>
          <w:szCs w:val="24"/>
        </w:rPr>
        <w:t>porządku publicznego lub obronności</w:t>
      </w:r>
      <w:r w:rsidR="00206D2C" w:rsidRPr="00833C88">
        <w:rPr>
          <w:rFonts w:cs="Times New Roman"/>
          <w:sz w:val="24"/>
          <w:szCs w:val="24"/>
        </w:rPr>
        <w:t>,</w:t>
      </w:r>
    </w:p>
    <w:p w14:paraId="7114AE04" w14:textId="209B93A2" w:rsidR="0047538F" w:rsidRPr="00833C88" w:rsidRDefault="0047538F" w:rsidP="00AF1CAC">
      <w:pPr>
        <w:pStyle w:val="Akapitzlist"/>
        <w:numPr>
          <w:ilvl w:val="0"/>
          <w:numId w:val="9"/>
        </w:numPr>
        <w:spacing w:after="0" w:line="360" w:lineRule="auto"/>
        <w:contextualSpacing w:val="0"/>
        <w:jc w:val="both"/>
        <w:rPr>
          <w:rFonts w:cs="Times New Roman"/>
          <w:sz w:val="24"/>
          <w:szCs w:val="24"/>
        </w:rPr>
      </w:pPr>
      <w:r w:rsidRPr="00833C88">
        <w:rPr>
          <w:rFonts w:cs="Times New Roman"/>
          <w:sz w:val="24"/>
          <w:szCs w:val="24"/>
        </w:rPr>
        <w:t>zakłócenie świadczenia usługi przez niego spowoduje ryzyko systemowe</w:t>
      </w:r>
      <w:r w:rsidR="00787770" w:rsidRPr="00833C88">
        <w:rPr>
          <w:rStyle w:val="Odwoanieprzypisudolnego"/>
          <w:rFonts w:cs="Times New Roman"/>
          <w:sz w:val="24"/>
          <w:szCs w:val="24"/>
        </w:rPr>
        <w:footnoteReference w:id="19"/>
      </w:r>
      <w:r w:rsidR="006D5A02" w:rsidRPr="00833C88">
        <w:rPr>
          <w:rFonts w:cs="Times New Roman"/>
          <w:sz w:val="24"/>
          <w:szCs w:val="24"/>
          <w:vertAlign w:val="superscript"/>
        </w:rPr>
        <w:t>)</w:t>
      </w:r>
      <w:r w:rsidRPr="00833C88">
        <w:rPr>
          <w:rFonts w:cs="Times New Roman"/>
          <w:sz w:val="24"/>
          <w:szCs w:val="24"/>
        </w:rPr>
        <w:t xml:space="preserve"> zaprzestania świadczenia usług przez podmioty kluczowe lub podmioty ważne lub</w:t>
      </w:r>
    </w:p>
    <w:p w14:paraId="6529BA18" w14:textId="64E508CF" w:rsidR="00EB7867" w:rsidRPr="00833C88" w:rsidRDefault="0047538F" w:rsidP="00AF1CAC">
      <w:pPr>
        <w:pStyle w:val="Akapitzlist"/>
        <w:numPr>
          <w:ilvl w:val="0"/>
          <w:numId w:val="9"/>
        </w:numPr>
        <w:spacing w:after="0" w:line="360" w:lineRule="auto"/>
        <w:contextualSpacing w:val="0"/>
        <w:jc w:val="both"/>
        <w:rPr>
          <w:rFonts w:cs="Times New Roman"/>
          <w:sz w:val="24"/>
          <w:szCs w:val="24"/>
        </w:rPr>
      </w:pPr>
      <w:r w:rsidRPr="00833C88">
        <w:rPr>
          <w:rFonts w:cs="Times New Roman"/>
          <w:sz w:val="24"/>
          <w:szCs w:val="24"/>
        </w:rPr>
        <w:t>świadczenie przez ni</w:t>
      </w:r>
      <w:r w:rsidR="004E5AF3" w:rsidRPr="00833C88">
        <w:rPr>
          <w:rFonts w:cs="Times New Roman"/>
          <w:sz w:val="24"/>
          <w:szCs w:val="24"/>
        </w:rPr>
        <w:t>ego</w:t>
      </w:r>
      <w:r w:rsidRPr="00833C88">
        <w:rPr>
          <w:rFonts w:cs="Times New Roman"/>
          <w:sz w:val="24"/>
          <w:szCs w:val="24"/>
        </w:rPr>
        <w:t xml:space="preserve"> usług ma istotne znaczenie na poziomie krajowym lub województwa lub ma znaczenie dla dwóch lub więcej sektorów określonych </w:t>
      </w:r>
      <w:r w:rsidR="00601933" w:rsidRPr="00833C88">
        <w:rPr>
          <w:rFonts w:cs="Times New Roman"/>
          <w:sz w:val="24"/>
          <w:szCs w:val="24"/>
        </w:rPr>
        <w:t>w </w:t>
      </w:r>
      <w:r w:rsidRPr="00833C88">
        <w:rPr>
          <w:rFonts w:cs="Times New Roman"/>
          <w:sz w:val="24"/>
          <w:szCs w:val="24"/>
        </w:rPr>
        <w:t>załączniku nr 1 lub</w:t>
      </w:r>
      <w:r w:rsidR="00D44822" w:rsidRPr="00833C88">
        <w:rPr>
          <w:rFonts w:cs="Times New Roman"/>
          <w:sz w:val="24"/>
          <w:szCs w:val="24"/>
        </w:rPr>
        <w:t xml:space="preserve"> </w:t>
      </w:r>
      <w:r w:rsidRPr="00833C88">
        <w:rPr>
          <w:rFonts w:cs="Times New Roman"/>
          <w:sz w:val="24"/>
          <w:szCs w:val="24"/>
        </w:rPr>
        <w:t>2</w:t>
      </w:r>
      <w:r w:rsidR="00872FAF" w:rsidRPr="00833C88">
        <w:rPr>
          <w:rFonts w:cs="Times New Roman"/>
          <w:sz w:val="24"/>
          <w:szCs w:val="24"/>
        </w:rPr>
        <w:t xml:space="preserve"> do </w:t>
      </w:r>
      <w:r w:rsidR="001D1B59" w:rsidRPr="00833C88">
        <w:rPr>
          <w:rFonts w:cs="Times New Roman"/>
          <w:sz w:val="24"/>
          <w:szCs w:val="24"/>
        </w:rPr>
        <w:t xml:space="preserve">ustawy </w:t>
      </w:r>
      <w:r w:rsidR="00601933" w:rsidRPr="00833C88">
        <w:rPr>
          <w:rFonts w:cs="Times New Roman"/>
          <w:sz w:val="24"/>
          <w:szCs w:val="24"/>
        </w:rPr>
        <w:t>o </w:t>
      </w:r>
      <w:r w:rsidR="001D1B59" w:rsidRPr="00833C88">
        <w:rPr>
          <w:rFonts w:cs="Times New Roman"/>
          <w:sz w:val="24"/>
          <w:szCs w:val="24"/>
        </w:rPr>
        <w:t>KSC</w:t>
      </w:r>
    </w:p>
    <w:p w14:paraId="22727556" w14:textId="4B8BF2FE" w:rsidR="004E5AF3" w:rsidRPr="00833C88" w:rsidRDefault="00872FAF" w:rsidP="0029004E">
      <w:pPr>
        <w:spacing w:line="360" w:lineRule="auto"/>
        <w:jc w:val="both"/>
        <w:rPr>
          <w:rFonts w:cs="Times New Roman"/>
          <w:sz w:val="24"/>
          <w:szCs w:val="24"/>
        </w:rPr>
      </w:pPr>
      <w:r w:rsidRPr="00833C88">
        <w:rPr>
          <w:rFonts w:cs="Times New Roman"/>
          <w:sz w:val="24"/>
          <w:szCs w:val="24"/>
        </w:rPr>
        <w:t xml:space="preserve">– </w:t>
      </w:r>
      <w:r w:rsidR="004E5AF3" w:rsidRPr="00833C88">
        <w:rPr>
          <w:rFonts w:cs="Times New Roman"/>
          <w:sz w:val="24"/>
          <w:szCs w:val="24"/>
        </w:rPr>
        <w:t xml:space="preserve">to </w:t>
      </w:r>
      <w:r w:rsidR="00601933" w:rsidRPr="00833C88">
        <w:rPr>
          <w:rFonts w:cs="Times New Roman"/>
          <w:sz w:val="24"/>
          <w:szCs w:val="24"/>
        </w:rPr>
        <w:t>w </w:t>
      </w:r>
      <w:r w:rsidR="004E5AF3" w:rsidRPr="00833C88">
        <w:rPr>
          <w:rFonts w:cs="Times New Roman"/>
          <w:sz w:val="24"/>
          <w:szCs w:val="24"/>
        </w:rPr>
        <w:t xml:space="preserve">drodze decyzji administracyjnej </w:t>
      </w:r>
      <w:r w:rsidR="00F6081D" w:rsidRPr="00833C88">
        <w:rPr>
          <w:rFonts w:cs="Times New Roman"/>
          <w:sz w:val="24"/>
          <w:szCs w:val="24"/>
        </w:rPr>
        <w:t>organu właściwego będzie możliwe uznanie go</w:t>
      </w:r>
      <w:r w:rsidR="009B4C26" w:rsidRPr="00833C88">
        <w:rPr>
          <w:rFonts w:cs="Times New Roman"/>
          <w:sz w:val="24"/>
          <w:szCs w:val="24"/>
        </w:rPr>
        <w:t> </w:t>
      </w:r>
      <w:r w:rsidR="00F6081D" w:rsidRPr="00833C88">
        <w:rPr>
          <w:rFonts w:cs="Times New Roman"/>
          <w:sz w:val="24"/>
          <w:szCs w:val="24"/>
        </w:rPr>
        <w:t>za</w:t>
      </w:r>
      <w:r w:rsidR="009B4C26" w:rsidRPr="00833C88">
        <w:rPr>
          <w:rFonts w:cs="Times New Roman"/>
          <w:sz w:val="24"/>
          <w:szCs w:val="24"/>
        </w:rPr>
        <w:t> </w:t>
      </w:r>
      <w:r w:rsidR="00C03D2B" w:rsidRPr="00833C88">
        <w:rPr>
          <w:rFonts w:cs="Times New Roman"/>
          <w:sz w:val="24"/>
          <w:szCs w:val="24"/>
        </w:rPr>
        <w:t xml:space="preserve">podmiot kluczowy lub </w:t>
      </w:r>
      <w:r w:rsidRPr="00833C88">
        <w:rPr>
          <w:rFonts w:cs="Times New Roman"/>
          <w:sz w:val="24"/>
          <w:szCs w:val="24"/>
        </w:rPr>
        <w:t xml:space="preserve">podmiot </w:t>
      </w:r>
      <w:r w:rsidR="00C03D2B" w:rsidRPr="00833C88">
        <w:rPr>
          <w:rFonts w:cs="Times New Roman"/>
          <w:sz w:val="24"/>
          <w:szCs w:val="24"/>
        </w:rPr>
        <w:t xml:space="preserve">ważny. </w:t>
      </w:r>
      <w:r w:rsidR="00D32B0A" w:rsidRPr="00833C88">
        <w:rPr>
          <w:rFonts w:cs="Times New Roman"/>
          <w:sz w:val="24"/>
          <w:szCs w:val="24"/>
        </w:rPr>
        <w:t xml:space="preserve">Możliwość ta wynika </w:t>
      </w:r>
      <w:r w:rsidR="00601933" w:rsidRPr="00833C88">
        <w:rPr>
          <w:rFonts w:cs="Times New Roman"/>
          <w:sz w:val="24"/>
          <w:szCs w:val="24"/>
        </w:rPr>
        <w:t>z </w:t>
      </w:r>
      <w:r w:rsidR="00D32B0A" w:rsidRPr="00833C88">
        <w:rPr>
          <w:rFonts w:cs="Times New Roman"/>
          <w:sz w:val="24"/>
          <w:szCs w:val="24"/>
        </w:rPr>
        <w:t>przepisów samej dyrektywy NIS</w:t>
      </w:r>
      <w:r w:rsidRPr="00833C88">
        <w:rPr>
          <w:rFonts w:cs="Times New Roman"/>
          <w:sz w:val="24"/>
          <w:szCs w:val="24"/>
        </w:rPr>
        <w:t xml:space="preserve"> </w:t>
      </w:r>
      <w:r w:rsidR="00D32B0A" w:rsidRPr="00833C88">
        <w:rPr>
          <w:rFonts w:cs="Times New Roman"/>
          <w:sz w:val="24"/>
          <w:szCs w:val="24"/>
        </w:rPr>
        <w:t>2.</w:t>
      </w:r>
      <w:r w:rsidR="00C03D2B" w:rsidRPr="00833C88">
        <w:rPr>
          <w:rFonts w:cs="Times New Roman"/>
          <w:sz w:val="24"/>
          <w:szCs w:val="24"/>
        </w:rPr>
        <w:t xml:space="preserve"> Przepis ten ma zagwarantować, że </w:t>
      </w:r>
      <w:r w:rsidR="00601933" w:rsidRPr="00833C88">
        <w:rPr>
          <w:rFonts w:cs="Times New Roman"/>
          <w:sz w:val="24"/>
          <w:szCs w:val="24"/>
        </w:rPr>
        <w:t>w </w:t>
      </w:r>
      <w:r w:rsidR="00CD3BE5" w:rsidRPr="00833C88">
        <w:rPr>
          <w:rFonts w:cs="Times New Roman"/>
          <w:sz w:val="24"/>
          <w:szCs w:val="24"/>
        </w:rPr>
        <w:t xml:space="preserve">krajowym systemie cyberbezpieczeństwa znajdą się wszystkie podmioty prowadzące szczególnie istotną dla państwa </w:t>
      </w:r>
      <w:r w:rsidR="00601933" w:rsidRPr="00833C88">
        <w:rPr>
          <w:rFonts w:cs="Times New Roman"/>
          <w:sz w:val="24"/>
          <w:szCs w:val="24"/>
        </w:rPr>
        <w:t>i </w:t>
      </w:r>
      <w:r w:rsidR="00CD3BE5" w:rsidRPr="00833C88">
        <w:rPr>
          <w:rFonts w:cs="Times New Roman"/>
          <w:sz w:val="24"/>
          <w:szCs w:val="24"/>
        </w:rPr>
        <w:t>społeczeństwa działalność</w:t>
      </w:r>
      <w:r w:rsidR="003E5890" w:rsidRPr="00833C88">
        <w:rPr>
          <w:rFonts w:cs="Times New Roman"/>
          <w:sz w:val="24"/>
          <w:szCs w:val="24"/>
        </w:rPr>
        <w:t xml:space="preserve">. Jak wykazały doświadczenia pandemii </w:t>
      </w:r>
      <w:r w:rsidR="00601933" w:rsidRPr="00833C88">
        <w:rPr>
          <w:rFonts w:cs="Times New Roman"/>
          <w:sz w:val="24"/>
          <w:szCs w:val="24"/>
        </w:rPr>
        <w:t>w </w:t>
      </w:r>
      <w:r w:rsidR="003E5890" w:rsidRPr="00833C88">
        <w:rPr>
          <w:rFonts w:cs="Times New Roman"/>
          <w:sz w:val="24"/>
          <w:szCs w:val="24"/>
        </w:rPr>
        <w:t xml:space="preserve">wielu przypadkach </w:t>
      </w:r>
      <w:r w:rsidR="00997779" w:rsidRPr="00833C88">
        <w:rPr>
          <w:rFonts w:cs="Times New Roman"/>
          <w:sz w:val="24"/>
          <w:szCs w:val="24"/>
        </w:rPr>
        <w:t>zaprzestanie działalności przez stosunkowo mały podmiot może mieć bardzo szerokie skutki dla innej działalności</w:t>
      </w:r>
      <w:r w:rsidRPr="00833C88">
        <w:rPr>
          <w:rFonts w:cs="Times New Roman"/>
          <w:sz w:val="24"/>
          <w:szCs w:val="24"/>
        </w:rPr>
        <w:t>,</w:t>
      </w:r>
      <w:r w:rsidR="00997779" w:rsidRPr="00833C88">
        <w:rPr>
          <w:rFonts w:cs="Times New Roman"/>
          <w:sz w:val="24"/>
          <w:szCs w:val="24"/>
        </w:rPr>
        <w:t xml:space="preserve"> np. </w:t>
      </w:r>
      <w:r w:rsidR="00601933" w:rsidRPr="00833C88">
        <w:rPr>
          <w:rFonts w:cs="Times New Roman"/>
          <w:sz w:val="24"/>
          <w:szCs w:val="24"/>
        </w:rPr>
        <w:t>w </w:t>
      </w:r>
      <w:r w:rsidR="00997779" w:rsidRPr="00833C88">
        <w:rPr>
          <w:rFonts w:cs="Times New Roman"/>
          <w:sz w:val="24"/>
          <w:szCs w:val="24"/>
        </w:rPr>
        <w:t xml:space="preserve">sektorze energetyki czy przemyśle. Tego rodzaju podmioty muszą znaleźć się </w:t>
      </w:r>
      <w:r w:rsidR="00601933" w:rsidRPr="00833C88">
        <w:rPr>
          <w:rFonts w:cs="Times New Roman"/>
          <w:sz w:val="24"/>
          <w:szCs w:val="24"/>
        </w:rPr>
        <w:t>w </w:t>
      </w:r>
      <w:r w:rsidR="00997779" w:rsidRPr="00833C88">
        <w:rPr>
          <w:rFonts w:cs="Times New Roman"/>
          <w:sz w:val="24"/>
          <w:szCs w:val="24"/>
        </w:rPr>
        <w:t xml:space="preserve">krajowym systemie cyberbezpieczeństwa. </w:t>
      </w:r>
    </w:p>
    <w:p w14:paraId="16F6A4EB" w14:textId="5178AC61" w:rsidR="0096381F" w:rsidRPr="00833C88" w:rsidRDefault="00601933" w:rsidP="0029004E">
      <w:pPr>
        <w:spacing w:line="360" w:lineRule="auto"/>
        <w:jc w:val="both"/>
        <w:rPr>
          <w:rFonts w:cs="Times New Roman"/>
          <w:sz w:val="24"/>
          <w:szCs w:val="24"/>
        </w:rPr>
      </w:pPr>
      <w:r w:rsidRPr="00833C88">
        <w:rPr>
          <w:rFonts w:cs="Times New Roman"/>
          <w:sz w:val="24"/>
          <w:szCs w:val="24"/>
        </w:rPr>
        <w:t>O </w:t>
      </w:r>
      <w:r w:rsidR="00997779" w:rsidRPr="00833C88">
        <w:rPr>
          <w:rFonts w:cs="Times New Roman"/>
          <w:sz w:val="24"/>
          <w:szCs w:val="24"/>
        </w:rPr>
        <w:t xml:space="preserve">uznaniu takiego podmiotu za </w:t>
      </w:r>
      <w:r w:rsidR="003466C4" w:rsidRPr="00833C88">
        <w:rPr>
          <w:rFonts w:cs="Times New Roman"/>
          <w:sz w:val="24"/>
          <w:szCs w:val="24"/>
        </w:rPr>
        <w:t xml:space="preserve">podmiot </w:t>
      </w:r>
      <w:r w:rsidR="00997779" w:rsidRPr="00833C88">
        <w:rPr>
          <w:rFonts w:cs="Times New Roman"/>
          <w:sz w:val="24"/>
          <w:szCs w:val="24"/>
        </w:rPr>
        <w:t xml:space="preserve">kluczowy lub </w:t>
      </w:r>
      <w:r w:rsidR="003466C4" w:rsidRPr="00833C88">
        <w:rPr>
          <w:rFonts w:cs="Times New Roman"/>
          <w:sz w:val="24"/>
          <w:szCs w:val="24"/>
        </w:rPr>
        <w:t xml:space="preserve">podmiot </w:t>
      </w:r>
      <w:r w:rsidR="00997779" w:rsidRPr="00833C88">
        <w:rPr>
          <w:rFonts w:cs="Times New Roman"/>
          <w:sz w:val="24"/>
          <w:szCs w:val="24"/>
        </w:rPr>
        <w:t>ważny rozstrzyga decyzja administracyjna. W</w:t>
      </w:r>
      <w:r w:rsidR="006B359B" w:rsidRPr="00833C88">
        <w:rPr>
          <w:rFonts w:cs="Times New Roman"/>
          <w:sz w:val="24"/>
          <w:szCs w:val="24"/>
        </w:rPr>
        <w:t> </w:t>
      </w:r>
      <w:r w:rsidR="00997779" w:rsidRPr="00833C88">
        <w:rPr>
          <w:rFonts w:cs="Times New Roman"/>
          <w:sz w:val="24"/>
          <w:szCs w:val="24"/>
        </w:rPr>
        <w:t>ramach tej procedury podmiot będzie miał</w:t>
      </w:r>
      <w:r w:rsidR="0042306D" w:rsidRPr="00833C88">
        <w:rPr>
          <w:rFonts w:cs="Times New Roman"/>
          <w:sz w:val="24"/>
          <w:szCs w:val="24"/>
        </w:rPr>
        <w:t xml:space="preserve"> możliwość ochrony swoich spraw, przedstawiania dowodów oraz </w:t>
      </w:r>
      <w:r w:rsidR="006B359B" w:rsidRPr="00833C88">
        <w:rPr>
          <w:rFonts w:cs="Times New Roman"/>
          <w:sz w:val="24"/>
          <w:szCs w:val="24"/>
        </w:rPr>
        <w:t>podważania rozstrzygnięć organów.</w:t>
      </w:r>
    </w:p>
    <w:p w14:paraId="0AB31EE0" w14:textId="073DBC83" w:rsidR="00122D7A" w:rsidRPr="00833C88" w:rsidRDefault="00122D7A" w:rsidP="0029004E">
      <w:pPr>
        <w:spacing w:line="360" w:lineRule="auto"/>
        <w:jc w:val="both"/>
        <w:rPr>
          <w:rFonts w:cs="Times New Roman"/>
        </w:rPr>
      </w:pPr>
      <w:r w:rsidRPr="00833C88">
        <w:rPr>
          <w:rFonts w:cs="Times New Roman"/>
          <w:sz w:val="24"/>
          <w:szCs w:val="24"/>
        </w:rPr>
        <w:t>Przewidziano także możliwość, aby można było uznać państwową osobę prawną za podmiot kluczowy.</w:t>
      </w:r>
      <w:r w:rsidR="00EC62A1" w:rsidRPr="00833C88">
        <w:rPr>
          <w:rFonts w:cs="Times New Roman"/>
          <w:sz w:val="24"/>
          <w:szCs w:val="24"/>
        </w:rPr>
        <w:t xml:space="preserve"> Procedura ta </w:t>
      </w:r>
      <w:r w:rsidR="00C67BED" w:rsidRPr="00833C88">
        <w:rPr>
          <w:rFonts w:cs="Times New Roman"/>
          <w:sz w:val="24"/>
          <w:szCs w:val="24"/>
        </w:rPr>
        <w:t xml:space="preserve">ma na celu nałożenie na </w:t>
      </w:r>
      <w:r w:rsidR="00BE7626" w:rsidRPr="00833C88">
        <w:rPr>
          <w:rFonts w:cs="Times New Roman"/>
          <w:sz w:val="24"/>
          <w:szCs w:val="24"/>
        </w:rPr>
        <w:t xml:space="preserve">państwowe osoby prawne, także te które powstaną </w:t>
      </w:r>
      <w:r w:rsidR="00601933" w:rsidRPr="00833C88">
        <w:rPr>
          <w:rFonts w:cs="Times New Roman"/>
          <w:sz w:val="24"/>
          <w:szCs w:val="24"/>
        </w:rPr>
        <w:t>w </w:t>
      </w:r>
      <w:r w:rsidR="00BE7626" w:rsidRPr="00833C88">
        <w:rPr>
          <w:rFonts w:cs="Times New Roman"/>
          <w:sz w:val="24"/>
          <w:szCs w:val="24"/>
        </w:rPr>
        <w:t xml:space="preserve">przyszłości, </w:t>
      </w:r>
      <w:r w:rsidR="00E72136" w:rsidRPr="00833C88">
        <w:rPr>
          <w:rFonts w:cs="Times New Roman"/>
          <w:sz w:val="24"/>
          <w:szCs w:val="24"/>
        </w:rPr>
        <w:t xml:space="preserve">wymagań </w:t>
      </w:r>
      <w:r w:rsidR="00601933" w:rsidRPr="00833C88">
        <w:rPr>
          <w:rFonts w:cs="Times New Roman"/>
          <w:sz w:val="24"/>
          <w:szCs w:val="24"/>
        </w:rPr>
        <w:t>z </w:t>
      </w:r>
      <w:r w:rsidR="00E72136" w:rsidRPr="00833C88">
        <w:rPr>
          <w:rFonts w:cs="Times New Roman"/>
          <w:sz w:val="24"/>
          <w:szCs w:val="24"/>
        </w:rPr>
        <w:t xml:space="preserve">zakresu cyberbezpieczeństwa. </w:t>
      </w:r>
      <w:r w:rsidR="004413E9" w:rsidRPr="00833C88">
        <w:rPr>
          <w:rFonts w:cs="Times New Roman"/>
          <w:sz w:val="24"/>
          <w:szCs w:val="24"/>
        </w:rPr>
        <w:t>Dotyczyć to będzie państwowych osób prawnych</w:t>
      </w:r>
      <w:r w:rsidR="005F14C8" w:rsidRPr="00833C88">
        <w:rPr>
          <w:rFonts w:cs="Times New Roman"/>
          <w:sz w:val="24"/>
          <w:szCs w:val="24"/>
        </w:rPr>
        <w:t>,</w:t>
      </w:r>
      <w:r w:rsidR="004413E9" w:rsidRPr="00833C88">
        <w:rPr>
          <w:rFonts w:cs="Times New Roman"/>
          <w:sz w:val="24"/>
          <w:szCs w:val="24"/>
        </w:rPr>
        <w:t xml:space="preserve"> które realizują za pomocą systemu informacyjnego zadanie publiczne</w:t>
      </w:r>
      <w:r w:rsidR="002548F8" w:rsidRPr="00833C88">
        <w:rPr>
          <w:rFonts w:cs="Times New Roman"/>
          <w:sz w:val="24"/>
          <w:szCs w:val="24"/>
        </w:rPr>
        <w:t xml:space="preserve">, którego </w:t>
      </w:r>
      <w:r w:rsidR="000958E6" w:rsidRPr="00833C88">
        <w:rPr>
          <w:rFonts w:cs="Times New Roman"/>
          <w:sz w:val="24"/>
          <w:szCs w:val="24"/>
        </w:rPr>
        <w:t xml:space="preserve">zakłócenie spowoduje poważne zagrożenie dla bezpieczeństwa państwa, bezpieczeństwa </w:t>
      </w:r>
      <w:r w:rsidR="00601933" w:rsidRPr="00833C88">
        <w:rPr>
          <w:rFonts w:cs="Times New Roman"/>
          <w:sz w:val="24"/>
          <w:szCs w:val="24"/>
        </w:rPr>
        <w:t>i </w:t>
      </w:r>
      <w:r w:rsidR="000958E6" w:rsidRPr="00833C88">
        <w:rPr>
          <w:rFonts w:cs="Times New Roman"/>
          <w:sz w:val="24"/>
          <w:szCs w:val="24"/>
        </w:rPr>
        <w:t xml:space="preserve">porządku publicznego, obronności lub zdrowia publicznego lub które ma istotne znaczenie na poziomie krajowym. Nie wszystkie państwowe osoby prawne </w:t>
      </w:r>
      <w:r w:rsidR="00601933" w:rsidRPr="00833C88">
        <w:rPr>
          <w:rFonts w:cs="Times New Roman"/>
          <w:sz w:val="24"/>
          <w:szCs w:val="24"/>
        </w:rPr>
        <w:t>w </w:t>
      </w:r>
      <w:r w:rsidR="000958E6" w:rsidRPr="00833C88">
        <w:rPr>
          <w:rFonts w:cs="Times New Roman"/>
          <w:sz w:val="24"/>
          <w:szCs w:val="24"/>
        </w:rPr>
        <w:t xml:space="preserve">rozumieniu ustawy </w:t>
      </w:r>
      <w:r w:rsidR="00601933" w:rsidRPr="00833C88">
        <w:rPr>
          <w:rFonts w:cs="Times New Roman"/>
          <w:sz w:val="24"/>
          <w:szCs w:val="24"/>
        </w:rPr>
        <w:t>z </w:t>
      </w:r>
      <w:r w:rsidR="00C9561B" w:rsidRPr="00833C88">
        <w:rPr>
          <w:rFonts w:cs="Times New Roman"/>
          <w:sz w:val="24"/>
          <w:szCs w:val="24"/>
        </w:rPr>
        <w:t xml:space="preserve">16 grudnia 2016 </w:t>
      </w:r>
      <w:r w:rsidR="00601933" w:rsidRPr="00833C88">
        <w:rPr>
          <w:rFonts w:cs="Times New Roman"/>
          <w:sz w:val="24"/>
          <w:szCs w:val="24"/>
        </w:rPr>
        <w:t>o </w:t>
      </w:r>
      <w:r w:rsidR="00C9561B" w:rsidRPr="00833C88">
        <w:rPr>
          <w:rFonts w:cs="Times New Roman"/>
          <w:sz w:val="24"/>
          <w:szCs w:val="24"/>
        </w:rPr>
        <w:t xml:space="preserve">zasadach zarządzania mieniem państwowym będą </w:t>
      </w:r>
      <w:r w:rsidR="00C9561B" w:rsidRPr="00833C88">
        <w:rPr>
          <w:rFonts w:cs="Times New Roman"/>
          <w:sz w:val="24"/>
          <w:szCs w:val="24"/>
        </w:rPr>
        <w:lastRenderedPageBreak/>
        <w:t xml:space="preserve">podlegać pod ustawę </w:t>
      </w:r>
      <w:r w:rsidR="00601933" w:rsidRPr="00833C88">
        <w:rPr>
          <w:rFonts w:cs="Times New Roman"/>
          <w:sz w:val="24"/>
          <w:szCs w:val="24"/>
        </w:rPr>
        <w:t>o </w:t>
      </w:r>
      <w:r w:rsidR="0061116F" w:rsidRPr="00833C88">
        <w:rPr>
          <w:rFonts w:cs="Times New Roman"/>
          <w:sz w:val="24"/>
          <w:szCs w:val="24"/>
        </w:rPr>
        <w:t>KSC</w:t>
      </w:r>
      <w:r w:rsidR="00C9561B" w:rsidRPr="00833C88">
        <w:rPr>
          <w:rFonts w:cs="Times New Roman"/>
          <w:sz w:val="24"/>
          <w:szCs w:val="24"/>
        </w:rPr>
        <w:t>.</w:t>
      </w:r>
      <w:r w:rsidR="001E7628" w:rsidRPr="00833C88">
        <w:rPr>
          <w:rFonts w:cs="Times New Roman"/>
          <w:sz w:val="24"/>
          <w:szCs w:val="24"/>
        </w:rPr>
        <w:t xml:space="preserve"> </w:t>
      </w:r>
      <w:r w:rsidR="00D33CF4" w:rsidRPr="00833C88">
        <w:rPr>
          <w:rFonts w:cs="Times New Roman"/>
          <w:sz w:val="24"/>
          <w:szCs w:val="24"/>
        </w:rPr>
        <w:t>Dlatego wprowadzono tą uznaniową procedurę</w:t>
      </w:r>
      <w:r w:rsidR="00AF4C9B" w:rsidRPr="00833C88">
        <w:rPr>
          <w:rFonts w:cs="Times New Roman"/>
          <w:sz w:val="24"/>
          <w:szCs w:val="24"/>
        </w:rPr>
        <w:t xml:space="preserve">, aby móc </w:t>
      </w:r>
      <w:r w:rsidR="009F3E92" w:rsidRPr="00833C88">
        <w:rPr>
          <w:rFonts w:cs="Times New Roman"/>
          <w:sz w:val="24"/>
          <w:szCs w:val="24"/>
        </w:rPr>
        <w:t xml:space="preserve">uzupełnić katalog podmiotów wchodzących </w:t>
      </w:r>
      <w:r w:rsidR="00601933" w:rsidRPr="00833C88">
        <w:rPr>
          <w:rFonts w:cs="Times New Roman"/>
          <w:sz w:val="24"/>
          <w:szCs w:val="24"/>
        </w:rPr>
        <w:t>w </w:t>
      </w:r>
      <w:r w:rsidR="005F14C8" w:rsidRPr="00833C88">
        <w:rPr>
          <w:rFonts w:cs="Times New Roman"/>
          <w:sz w:val="24"/>
          <w:szCs w:val="24"/>
        </w:rPr>
        <w:t>skład</w:t>
      </w:r>
      <w:r w:rsidR="009F3E92" w:rsidRPr="00833C88">
        <w:rPr>
          <w:rFonts w:cs="Times New Roman"/>
          <w:sz w:val="24"/>
          <w:szCs w:val="24"/>
        </w:rPr>
        <w:t xml:space="preserve"> krajowego systemu cyberbezpieczeństwa.</w:t>
      </w:r>
    </w:p>
    <w:p w14:paraId="740FB9F4" w14:textId="6675ADCD" w:rsidR="00F56800" w:rsidRPr="00833C88" w:rsidRDefault="00F56800" w:rsidP="00BC7BDE">
      <w:pPr>
        <w:pStyle w:val="Nagwek2"/>
        <w:spacing w:before="0" w:after="120" w:line="360" w:lineRule="auto"/>
        <w:jc w:val="both"/>
        <w:rPr>
          <w:rFonts w:cs="Times New Roman"/>
          <w:b/>
          <w:bCs/>
        </w:rPr>
      </w:pPr>
      <w:r w:rsidRPr="00833C88">
        <w:rPr>
          <w:rFonts w:cs="Times New Roman"/>
          <w:b/>
          <w:bCs/>
        </w:rPr>
        <w:t xml:space="preserve">Obowiązki </w:t>
      </w:r>
      <w:r w:rsidR="00D865B2" w:rsidRPr="00833C88">
        <w:rPr>
          <w:rFonts w:cs="Times New Roman"/>
          <w:b/>
          <w:bCs/>
        </w:rPr>
        <w:t xml:space="preserve">podmiotów kluczowych </w:t>
      </w:r>
      <w:r w:rsidR="00601933" w:rsidRPr="00833C88">
        <w:rPr>
          <w:rFonts w:cs="Times New Roman"/>
          <w:b/>
          <w:bCs/>
        </w:rPr>
        <w:t>i </w:t>
      </w:r>
      <w:r w:rsidR="003466C4" w:rsidRPr="00833C88">
        <w:rPr>
          <w:rFonts w:cs="Times New Roman"/>
          <w:b/>
          <w:bCs/>
        </w:rPr>
        <w:t xml:space="preserve">podmiotów </w:t>
      </w:r>
      <w:r w:rsidR="00D865B2" w:rsidRPr="00833C88">
        <w:rPr>
          <w:rFonts w:cs="Times New Roman"/>
          <w:b/>
          <w:bCs/>
        </w:rPr>
        <w:t>ważnych</w:t>
      </w:r>
    </w:p>
    <w:p w14:paraId="306C1010" w14:textId="4B001B8C" w:rsidR="003466C4" w:rsidRPr="00833C88" w:rsidRDefault="00CE2068" w:rsidP="00BC7BDE">
      <w:pPr>
        <w:pStyle w:val="Nagwek3"/>
        <w:spacing w:before="0" w:after="120" w:line="360" w:lineRule="auto"/>
        <w:jc w:val="both"/>
        <w:rPr>
          <w:rFonts w:cs="Times New Roman"/>
        </w:rPr>
      </w:pPr>
      <w:r w:rsidRPr="00833C88">
        <w:rPr>
          <w:rFonts w:cs="Times New Roman"/>
          <w:b/>
          <w:bCs/>
          <w:u w:val="none"/>
        </w:rPr>
        <w:t>System zarządzania bezpieczeństwem informacji</w:t>
      </w:r>
    </w:p>
    <w:p w14:paraId="621E3B85" w14:textId="593C37D1" w:rsidR="00BF0837" w:rsidRPr="00833C88" w:rsidRDefault="00BF0837" w:rsidP="0029004E">
      <w:pPr>
        <w:spacing w:line="360" w:lineRule="auto"/>
        <w:jc w:val="both"/>
        <w:rPr>
          <w:rFonts w:cs="Times New Roman"/>
          <w:sz w:val="24"/>
          <w:szCs w:val="24"/>
        </w:rPr>
      </w:pPr>
      <w:r w:rsidRPr="00833C88">
        <w:rPr>
          <w:rFonts w:cs="Times New Roman"/>
          <w:sz w:val="24"/>
          <w:szCs w:val="24"/>
        </w:rPr>
        <w:t xml:space="preserve">Artykuł 21 dyrektywy NIS 2 nakazuje podmiotom kluczowym </w:t>
      </w:r>
      <w:r w:rsidR="00601933" w:rsidRPr="00833C88">
        <w:rPr>
          <w:rFonts w:cs="Times New Roman"/>
          <w:sz w:val="24"/>
          <w:szCs w:val="24"/>
        </w:rPr>
        <w:t>i </w:t>
      </w:r>
      <w:r w:rsidRPr="00833C88">
        <w:rPr>
          <w:rFonts w:cs="Times New Roman"/>
          <w:sz w:val="24"/>
          <w:szCs w:val="24"/>
        </w:rPr>
        <w:t xml:space="preserve">podmiotom ważnym </w:t>
      </w:r>
      <w:r w:rsidR="00E4291D" w:rsidRPr="00833C88">
        <w:rPr>
          <w:rFonts w:cs="Times New Roman"/>
          <w:sz w:val="24"/>
          <w:szCs w:val="24"/>
        </w:rPr>
        <w:t xml:space="preserve">wprowadzenie odpowiednich </w:t>
      </w:r>
      <w:r w:rsidR="00601933" w:rsidRPr="00833C88">
        <w:rPr>
          <w:rFonts w:cs="Times New Roman"/>
          <w:sz w:val="24"/>
          <w:szCs w:val="24"/>
        </w:rPr>
        <w:t>i </w:t>
      </w:r>
      <w:r w:rsidR="00E4291D" w:rsidRPr="00833C88">
        <w:rPr>
          <w:rFonts w:cs="Times New Roman"/>
          <w:sz w:val="24"/>
          <w:szCs w:val="24"/>
        </w:rPr>
        <w:t>proporcjonalnych środków technicznych, operacyjnych i</w:t>
      </w:r>
      <w:r w:rsidR="00872FAF" w:rsidRPr="00833C88">
        <w:rPr>
          <w:rFonts w:cs="Times New Roman"/>
          <w:sz w:val="24"/>
          <w:szCs w:val="24"/>
        </w:rPr>
        <w:t> </w:t>
      </w:r>
      <w:r w:rsidR="00E4291D" w:rsidRPr="00833C88">
        <w:rPr>
          <w:rFonts w:cs="Times New Roman"/>
          <w:sz w:val="24"/>
          <w:szCs w:val="24"/>
        </w:rPr>
        <w:t xml:space="preserve">organizacyjnych </w:t>
      </w:r>
      <w:r w:rsidR="00601933" w:rsidRPr="00833C88">
        <w:rPr>
          <w:rFonts w:cs="Times New Roman"/>
          <w:sz w:val="24"/>
          <w:szCs w:val="24"/>
        </w:rPr>
        <w:t>w </w:t>
      </w:r>
      <w:r w:rsidR="00E4291D" w:rsidRPr="00833C88">
        <w:rPr>
          <w:rFonts w:cs="Times New Roman"/>
          <w:sz w:val="24"/>
          <w:szCs w:val="24"/>
        </w:rPr>
        <w:t xml:space="preserve">celu zarządzania ryzykiem dla bezpieczeństwa sieci </w:t>
      </w:r>
      <w:r w:rsidR="00601933" w:rsidRPr="00833C88">
        <w:rPr>
          <w:rFonts w:cs="Times New Roman"/>
          <w:sz w:val="24"/>
          <w:szCs w:val="24"/>
        </w:rPr>
        <w:t>i </w:t>
      </w:r>
      <w:r w:rsidR="00E4291D" w:rsidRPr="00833C88">
        <w:rPr>
          <w:rFonts w:cs="Times New Roman"/>
          <w:sz w:val="24"/>
          <w:szCs w:val="24"/>
        </w:rPr>
        <w:t xml:space="preserve">systemów informatycznych wykorzystywanych przez te podmioty do prowadzenia działalności lub świadczenia usług oraz </w:t>
      </w:r>
      <w:r w:rsidR="00601933" w:rsidRPr="00833C88">
        <w:rPr>
          <w:rFonts w:cs="Times New Roman"/>
          <w:sz w:val="24"/>
          <w:szCs w:val="24"/>
        </w:rPr>
        <w:t>w </w:t>
      </w:r>
      <w:r w:rsidR="00E4291D" w:rsidRPr="00833C88">
        <w:rPr>
          <w:rFonts w:cs="Times New Roman"/>
          <w:sz w:val="24"/>
          <w:szCs w:val="24"/>
        </w:rPr>
        <w:t>celu zapobiegania wpływowi incydentów na odbiorców ich usług lub na inne usługi bądź minimalizowania takiego wpływu.</w:t>
      </w:r>
    </w:p>
    <w:p w14:paraId="1A5721A4" w14:textId="05C90732" w:rsidR="00C90046" w:rsidRPr="00833C88" w:rsidRDefault="00C90046" w:rsidP="0029004E">
      <w:pPr>
        <w:spacing w:line="360" w:lineRule="auto"/>
        <w:jc w:val="both"/>
        <w:rPr>
          <w:rFonts w:cs="Times New Roman"/>
          <w:sz w:val="24"/>
          <w:szCs w:val="24"/>
        </w:rPr>
      </w:pPr>
      <w:r w:rsidRPr="00833C88">
        <w:rPr>
          <w:rFonts w:cs="Times New Roman"/>
          <w:sz w:val="24"/>
          <w:szCs w:val="24"/>
        </w:rPr>
        <w:t xml:space="preserve">Dyrektywa </w:t>
      </w:r>
      <w:r w:rsidR="00872FAF" w:rsidRPr="00833C88">
        <w:rPr>
          <w:rFonts w:cs="Times New Roman"/>
          <w:sz w:val="24"/>
          <w:szCs w:val="24"/>
        </w:rPr>
        <w:t xml:space="preserve">NIS 2 </w:t>
      </w:r>
      <w:r w:rsidRPr="00833C88">
        <w:rPr>
          <w:rFonts w:cs="Times New Roman"/>
          <w:sz w:val="24"/>
          <w:szCs w:val="24"/>
        </w:rPr>
        <w:t xml:space="preserve">odeszła od wdrażania środków </w:t>
      </w:r>
      <w:r w:rsidR="00C06089" w:rsidRPr="00833C88">
        <w:rPr>
          <w:rFonts w:cs="Times New Roman"/>
          <w:sz w:val="24"/>
          <w:szCs w:val="24"/>
        </w:rPr>
        <w:t xml:space="preserve">zapewniających bezpieczeństwo systemów informacyjnych tylko </w:t>
      </w:r>
      <w:r w:rsidR="00601933" w:rsidRPr="00833C88">
        <w:rPr>
          <w:rFonts w:cs="Times New Roman"/>
          <w:sz w:val="24"/>
          <w:szCs w:val="24"/>
        </w:rPr>
        <w:t>w </w:t>
      </w:r>
      <w:r w:rsidR="00C06089" w:rsidRPr="00833C88">
        <w:rPr>
          <w:rFonts w:cs="Times New Roman"/>
          <w:sz w:val="24"/>
          <w:szCs w:val="24"/>
        </w:rPr>
        <w:t xml:space="preserve">zakresie świadczonych usług kluczowych. </w:t>
      </w:r>
      <w:r w:rsidR="00A61663" w:rsidRPr="00833C88">
        <w:rPr>
          <w:rFonts w:cs="Times New Roman"/>
          <w:sz w:val="24"/>
          <w:szCs w:val="24"/>
        </w:rPr>
        <w:t>Podmiot ma dbać o</w:t>
      </w:r>
      <w:r w:rsidR="00872FAF" w:rsidRPr="00833C88">
        <w:rPr>
          <w:rFonts w:cs="Times New Roman"/>
          <w:sz w:val="24"/>
          <w:szCs w:val="24"/>
        </w:rPr>
        <w:t> </w:t>
      </w:r>
      <w:r w:rsidR="00A61663" w:rsidRPr="00833C88">
        <w:rPr>
          <w:rFonts w:cs="Times New Roman"/>
          <w:sz w:val="24"/>
          <w:szCs w:val="24"/>
        </w:rPr>
        <w:t>bezpieczeństwo wszystkich swoich systemów wykorzystywanych do prowadzenia swojej działalności. Zauważyć bowiem należy, że podmioty gospodarcze choć działają dla zysku, to</w:t>
      </w:r>
      <w:r w:rsidR="00872FAF" w:rsidRPr="00833C88">
        <w:rPr>
          <w:rFonts w:cs="Times New Roman"/>
          <w:sz w:val="24"/>
          <w:szCs w:val="24"/>
        </w:rPr>
        <w:t> </w:t>
      </w:r>
      <w:r w:rsidR="00A61663" w:rsidRPr="00833C88">
        <w:rPr>
          <w:rFonts w:cs="Times New Roman"/>
          <w:sz w:val="24"/>
          <w:szCs w:val="24"/>
        </w:rPr>
        <w:t xml:space="preserve">nie działają </w:t>
      </w:r>
      <w:r w:rsidR="00601933" w:rsidRPr="00833C88">
        <w:rPr>
          <w:rFonts w:cs="Times New Roman"/>
          <w:sz w:val="24"/>
          <w:szCs w:val="24"/>
        </w:rPr>
        <w:t>w </w:t>
      </w:r>
      <w:r w:rsidR="00A61663" w:rsidRPr="00833C88">
        <w:rPr>
          <w:rFonts w:cs="Times New Roman"/>
          <w:sz w:val="24"/>
          <w:szCs w:val="24"/>
        </w:rPr>
        <w:t xml:space="preserve">próżni – ich działalność ma istotny wpływ </w:t>
      </w:r>
      <w:r w:rsidR="008146A1" w:rsidRPr="00833C88">
        <w:rPr>
          <w:rFonts w:cs="Times New Roman"/>
          <w:sz w:val="24"/>
          <w:szCs w:val="24"/>
        </w:rPr>
        <w:t>na świadczenie usług przez inne podmioty</w:t>
      </w:r>
      <w:r w:rsidR="00B128E4" w:rsidRPr="00833C88">
        <w:rPr>
          <w:rFonts w:cs="Times New Roman"/>
          <w:sz w:val="24"/>
          <w:szCs w:val="24"/>
        </w:rPr>
        <w:t>,</w:t>
      </w:r>
      <w:r w:rsidR="008F4BDC" w:rsidRPr="00833C88">
        <w:rPr>
          <w:rFonts w:cs="Times New Roman"/>
          <w:sz w:val="24"/>
          <w:szCs w:val="24"/>
        </w:rPr>
        <w:t xml:space="preserve"> </w:t>
      </w:r>
      <w:r w:rsidR="00601933" w:rsidRPr="00833C88">
        <w:rPr>
          <w:rFonts w:cs="Times New Roman"/>
          <w:sz w:val="24"/>
          <w:szCs w:val="24"/>
        </w:rPr>
        <w:t>a </w:t>
      </w:r>
      <w:r w:rsidR="008F4BDC" w:rsidRPr="00833C88">
        <w:rPr>
          <w:rFonts w:cs="Times New Roman"/>
          <w:sz w:val="24"/>
          <w:szCs w:val="24"/>
        </w:rPr>
        <w:t xml:space="preserve">także ma wpływ na funkcjonowanie konsumentów. Od </w:t>
      </w:r>
      <w:r w:rsidR="000D21FA" w:rsidRPr="00833C88">
        <w:rPr>
          <w:rFonts w:cs="Times New Roman"/>
          <w:sz w:val="24"/>
          <w:szCs w:val="24"/>
        </w:rPr>
        <w:t xml:space="preserve">zapewnienia </w:t>
      </w:r>
      <w:r w:rsidR="008F4BDC" w:rsidRPr="00833C88">
        <w:rPr>
          <w:rFonts w:cs="Times New Roman"/>
          <w:sz w:val="24"/>
          <w:szCs w:val="24"/>
        </w:rPr>
        <w:t xml:space="preserve">odpowiedniego </w:t>
      </w:r>
      <w:r w:rsidR="000D21FA" w:rsidRPr="00833C88">
        <w:rPr>
          <w:rFonts w:cs="Times New Roman"/>
          <w:sz w:val="24"/>
          <w:szCs w:val="24"/>
        </w:rPr>
        <w:t xml:space="preserve">poziomu bezpieczeństwa systemów informacyjnych przedsiębiorstw energetycznych zależy funkcjonowanie </w:t>
      </w:r>
      <w:r w:rsidR="00E504BF" w:rsidRPr="00833C88">
        <w:rPr>
          <w:rFonts w:cs="Times New Roman"/>
          <w:sz w:val="24"/>
          <w:szCs w:val="24"/>
        </w:rPr>
        <w:t>przedsiębiorców telekomunikacyjnych, przewoźników kolejowych, dostawców usług chmurowych, serwerowni</w:t>
      </w:r>
      <w:r w:rsidR="00B128E4" w:rsidRPr="00833C88">
        <w:rPr>
          <w:rFonts w:cs="Times New Roman"/>
          <w:sz w:val="24"/>
          <w:szCs w:val="24"/>
        </w:rPr>
        <w:t>,</w:t>
      </w:r>
      <w:r w:rsidR="00E504BF" w:rsidRPr="00833C88">
        <w:rPr>
          <w:rFonts w:cs="Times New Roman"/>
          <w:sz w:val="24"/>
          <w:szCs w:val="24"/>
        </w:rPr>
        <w:t xml:space="preserve"> czy wreszcie konsumentów</w:t>
      </w:r>
      <w:r w:rsidR="00832DEC" w:rsidRPr="00833C88">
        <w:rPr>
          <w:rFonts w:cs="Times New Roman"/>
          <w:sz w:val="24"/>
          <w:szCs w:val="24"/>
        </w:rPr>
        <w:t xml:space="preserve">. Podmioty dostarczające wodę pitną </w:t>
      </w:r>
      <w:r w:rsidR="00601933" w:rsidRPr="00833C88">
        <w:rPr>
          <w:rFonts w:cs="Times New Roman"/>
          <w:sz w:val="24"/>
          <w:szCs w:val="24"/>
        </w:rPr>
        <w:t>i </w:t>
      </w:r>
      <w:r w:rsidR="00832DEC" w:rsidRPr="00833C88">
        <w:rPr>
          <w:rFonts w:cs="Times New Roman"/>
          <w:sz w:val="24"/>
          <w:szCs w:val="24"/>
        </w:rPr>
        <w:t xml:space="preserve">odprowadzające ścieki używają </w:t>
      </w:r>
      <w:r w:rsidR="00B31053" w:rsidRPr="00833C88">
        <w:rPr>
          <w:rFonts w:cs="Times New Roman"/>
          <w:sz w:val="24"/>
          <w:szCs w:val="24"/>
        </w:rPr>
        <w:t>systemów automatyki przemysłowej – tutaj incydent mógłby poważnie wpłynąć</w:t>
      </w:r>
      <w:r w:rsidR="00FF6D75" w:rsidRPr="00833C88">
        <w:rPr>
          <w:rFonts w:cs="Times New Roman"/>
          <w:sz w:val="24"/>
          <w:szCs w:val="24"/>
        </w:rPr>
        <w:t xml:space="preserve"> na zdrowie publiczne. Przykłady wzajemnego oddziaływania podmiotów współczesnej gospodarki można mnożyć. </w:t>
      </w:r>
      <w:r w:rsidR="00214621" w:rsidRPr="00833C88">
        <w:rPr>
          <w:rFonts w:cs="Times New Roman"/>
          <w:sz w:val="24"/>
          <w:szCs w:val="24"/>
        </w:rPr>
        <w:t xml:space="preserve">Wszystkie te podmioty używają systemów informacyjnych do świadczenia usług. Incydenty </w:t>
      </w:r>
      <w:r w:rsidR="00601933" w:rsidRPr="00833C88">
        <w:rPr>
          <w:rFonts w:cs="Times New Roman"/>
          <w:sz w:val="24"/>
          <w:szCs w:val="24"/>
        </w:rPr>
        <w:t>w </w:t>
      </w:r>
      <w:r w:rsidR="00214621" w:rsidRPr="00833C88">
        <w:rPr>
          <w:rFonts w:cs="Times New Roman"/>
          <w:sz w:val="24"/>
          <w:szCs w:val="24"/>
        </w:rPr>
        <w:t>jednym sektorze mogą spowodować poważne straty materialne</w:t>
      </w:r>
      <w:r w:rsidR="00996975" w:rsidRPr="00833C88">
        <w:rPr>
          <w:rFonts w:cs="Times New Roman"/>
          <w:sz w:val="24"/>
          <w:szCs w:val="24"/>
        </w:rPr>
        <w:t xml:space="preserve"> oraz istotnie wpłynąć na</w:t>
      </w:r>
      <w:r w:rsidR="009B4C26" w:rsidRPr="00833C88">
        <w:rPr>
          <w:rFonts w:cs="Times New Roman"/>
          <w:sz w:val="24"/>
          <w:szCs w:val="24"/>
        </w:rPr>
        <w:t> </w:t>
      </w:r>
      <w:r w:rsidR="00996975" w:rsidRPr="00833C88">
        <w:rPr>
          <w:rFonts w:cs="Times New Roman"/>
          <w:sz w:val="24"/>
          <w:szCs w:val="24"/>
        </w:rPr>
        <w:t xml:space="preserve">funkcjonowanie społeczeństwa. Dlatego ważne jest nałożenie </w:t>
      </w:r>
      <w:r w:rsidR="00605054" w:rsidRPr="00833C88">
        <w:rPr>
          <w:rFonts w:cs="Times New Roman"/>
          <w:sz w:val="24"/>
          <w:szCs w:val="24"/>
        </w:rPr>
        <w:t xml:space="preserve">obowiązków </w:t>
      </w:r>
      <w:r w:rsidR="00601933" w:rsidRPr="00833C88">
        <w:rPr>
          <w:rFonts w:cs="Times New Roman"/>
          <w:sz w:val="24"/>
          <w:szCs w:val="24"/>
        </w:rPr>
        <w:t>z </w:t>
      </w:r>
      <w:r w:rsidR="00605054" w:rsidRPr="00833C88">
        <w:rPr>
          <w:rFonts w:cs="Times New Roman"/>
          <w:sz w:val="24"/>
          <w:szCs w:val="24"/>
        </w:rPr>
        <w:t xml:space="preserve">zakresu cyberbezpieczeństwa na podmioty kluczowe </w:t>
      </w:r>
      <w:r w:rsidR="00601933" w:rsidRPr="00833C88">
        <w:rPr>
          <w:rFonts w:cs="Times New Roman"/>
          <w:sz w:val="24"/>
          <w:szCs w:val="24"/>
        </w:rPr>
        <w:t>i </w:t>
      </w:r>
      <w:r w:rsidR="00605054" w:rsidRPr="00833C88">
        <w:rPr>
          <w:rFonts w:cs="Times New Roman"/>
          <w:sz w:val="24"/>
          <w:szCs w:val="24"/>
        </w:rPr>
        <w:t>podmioty ważne</w:t>
      </w:r>
      <w:r w:rsidR="0005631F" w:rsidRPr="00833C88">
        <w:rPr>
          <w:rFonts w:cs="Times New Roman"/>
          <w:sz w:val="24"/>
          <w:szCs w:val="24"/>
        </w:rPr>
        <w:t xml:space="preserve">, aby przeciwdziałać negatywnemu wpływowi incydentów na funkcjonowanie społeczeństwa </w:t>
      </w:r>
      <w:r w:rsidR="00601933" w:rsidRPr="00833C88">
        <w:rPr>
          <w:rFonts w:cs="Times New Roman"/>
          <w:sz w:val="24"/>
          <w:szCs w:val="24"/>
        </w:rPr>
        <w:t>i </w:t>
      </w:r>
      <w:r w:rsidR="0005631F" w:rsidRPr="00833C88">
        <w:rPr>
          <w:rFonts w:cs="Times New Roman"/>
          <w:sz w:val="24"/>
          <w:szCs w:val="24"/>
        </w:rPr>
        <w:t>gospodarki.</w:t>
      </w:r>
    </w:p>
    <w:p w14:paraId="0E7B4C1E" w14:textId="40C5C3C7" w:rsidR="003F56F8" w:rsidRPr="00833C88" w:rsidRDefault="003F56F8" w:rsidP="0029004E">
      <w:pPr>
        <w:spacing w:line="360" w:lineRule="auto"/>
        <w:jc w:val="both"/>
        <w:rPr>
          <w:rFonts w:cs="Times New Roman"/>
          <w:sz w:val="24"/>
          <w:szCs w:val="24"/>
        </w:rPr>
      </w:pPr>
      <w:r w:rsidRPr="00833C88">
        <w:rPr>
          <w:rFonts w:cs="Times New Roman"/>
          <w:sz w:val="24"/>
          <w:szCs w:val="24"/>
        </w:rPr>
        <w:t>Dyrektywa NIS</w:t>
      </w:r>
      <w:r w:rsidR="00872FAF" w:rsidRPr="00833C88">
        <w:rPr>
          <w:rFonts w:cs="Times New Roman"/>
          <w:sz w:val="24"/>
          <w:szCs w:val="24"/>
        </w:rPr>
        <w:t xml:space="preserve"> </w:t>
      </w:r>
      <w:r w:rsidRPr="00833C88">
        <w:rPr>
          <w:rFonts w:cs="Times New Roman"/>
          <w:sz w:val="24"/>
          <w:szCs w:val="24"/>
        </w:rPr>
        <w:t xml:space="preserve">2 mówi </w:t>
      </w:r>
      <w:r w:rsidR="00601933" w:rsidRPr="00833C88">
        <w:rPr>
          <w:rFonts w:cs="Times New Roman"/>
          <w:sz w:val="24"/>
          <w:szCs w:val="24"/>
        </w:rPr>
        <w:t>o </w:t>
      </w:r>
      <w:r w:rsidRPr="00833C88">
        <w:rPr>
          <w:rFonts w:cs="Times New Roman"/>
          <w:sz w:val="24"/>
          <w:szCs w:val="24"/>
        </w:rPr>
        <w:t xml:space="preserve">wprowadzeniu środków zarządzania ryzykiem. Jednym </w:t>
      </w:r>
      <w:r w:rsidR="00601933" w:rsidRPr="00833C88">
        <w:rPr>
          <w:rFonts w:cs="Times New Roman"/>
          <w:sz w:val="24"/>
          <w:szCs w:val="24"/>
        </w:rPr>
        <w:t>z </w:t>
      </w:r>
      <w:r w:rsidRPr="00833C88">
        <w:rPr>
          <w:rFonts w:cs="Times New Roman"/>
          <w:sz w:val="24"/>
          <w:szCs w:val="24"/>
        </w:rPr>
        <w:t xml:space="preserve">możliwych sposobów implementacji tych przepisów jest nałożenie obowiązków wdrożenia </w:t>
      </w:r>
      <w:r w:rsidR="00FC43B4" w:rsidRPr="00833C88">
        <w:rPr>
          <w:rFonts w:cs="Times New Roman"/>
          <w:sz w:val="24"/>
          <w:szCs w:val="24"/>
        </w:rPr>
        <w:t xml:space="preserve">systemu zarządzania bezpieczeństwem informacji. Tak jest </w:t>
      </w:r>
      <w:r w:rsidR="00601933" w:rsidRPr="00833C88">
        <w:rPr>
          <w:rFonts w:cs="Times New Roman"/>
          <w:sz w:val="24"/>
          <w:szCs w:val="24"/>
        </w:rPr>
        <w:t>w </w:t>
      </w:r>
      <w:r w:rsidR="00FC43B4" w:rsidRPr="00833C88">
        <w:rPr>
          <w:rFonts w:cs="Times New Roman"/>
          <w:sz w:val="24"/>
          <w:szCs w:val="24"/>
        </w:rPr>
        <w:t>chwili obecnej – operatorzy usług kluczowych mają obowiązek wdrożyć system zarządzania bezpieczeństwem informacji na</w:t>
      </w:r>
      <w:r w:rsidR="009B4C26" w:rsidRPr="00833C88">
        <w:rPr>
          <w:rFonts w:cs="Times New Roman"/>
          <w:sz w:val="24"/>
          <w:szCs w:val="24"/>
        </w:rPr>
        <w:t> </w:t>
      </w:r>
      <w:r w:rsidR="00FC43B4" w:rsidRPr="00833C88">
        <w:rPr>
          <w:rFonts w:cs="Times New Roman"/>
          <w:sz w:val="24"/>
          <w:szCs w:val="24"/>
        </w:rPr>
        <w:t>podstawie aktualnego brzmienia art. 8 ustawy</w:t>
      </w:r>
      <w:r w:rsidR="009461F0" w:rsidRPr="00833C88">
        <w:rPr>
          <w:rFonts w:cs="Times New Roman"/>
          <w:sz w:val="24"/>
          <w:szCs w:val="24"/>
        </w:rPr>
        <w:t xml:space="preserve"> </w:t>
      </w:r>
      <w:r w:rsidR="00601933" w:rsidRPr="00833C88">
        <w:rPr>
          <w:rFonts w:cs="Times New Roman"/>
          <w:sz w:val="24"/>
          <w:szCs w:val="24"/>
        </w:rPr>
        <w:t>o </w:t>
      </w:r>
      <w:r w:rsidR="009461F0" w:rsidRPr="00833C88">
        <w:rPr>
          <w:rFonts w:cs="Times New Roman"/>
          <w:sz w:val="24"/>
          <w:szCs w:val="24"/>
        </w:rPr>
        <w:t>KSC</w:t>
      </w:r>
      <w:r w:rsidR="00FC43B4" w:rsidRPr="00833C88">
        <w:rPr>
          <w:rFonts w:cs="Times New Roman"/>
          <w:sz w:val="24"/>
          <w:szCs w:val="24"/>
        </w:rPr>
        <w:t xml:space="preserve">. </w:t>
      </w:r>
      <w:r w:rsidR="00601933" w:rsidRPr="00833C88">
        <w:rPr>
          <w:rFonts w:cs="Times New Roman"/>
          <w:sz w:val="24"/>
          <w:szCs w:val="24"/>
        </w:rPr>
        <w:t>Z </w:t>
      </w:r>
      <w:r w:rsidR="00FC43B4" w:rsidRPr="00833C88">
        <w:rPr>
          <w:rFonts w:cs="Times New Roman"/>
          <w:sz w:val="24"/>
          <w:szCs w:val="24"/>
        </w:rPr>
        <w:t xml:space="preserve">kolei podmioty publiczne mają </w:t>
      </w:r>
      <w:r w:rsidR="00FC43B4" w:rsidRPr="00833C88">
        <w:rPr>
          <w:rFonts w:cs="Times New Roman"/>
          <w:sz w:val="24"/>
          <w:szCs w:val="24"/>
        </w:rPr>
        <w:lastRenderedPageBreak/>
        <w:t xml:space="preserve">także obowiązek wdrożyć system zarządzania bezpieczeństwem informacji na podstawie </w:t>
      </w:r>
      <w:r w:rsidR="00872FAF" w:rsidRPr="00833C88">
        <w:rPr>
          <w:rFonts w:cs="Times New Roman"/>
          <w:sz w:val="24"/>
          <w:szCs w:val="24"/>
        </w:rPr>
        <w:t>§</w:t>
      </w:r>
      <w:r w:rsidR="00FC43B4" w:rsidRPr="00833C88">
        <w:rPr>
          <w:rFonts w:cs="Times New Roman"/>
          <w:sz w:val="24"/>
          <w:szCs w:val="24"/>
        </w:rPr>
        <w:t xml:space="preserve"> </w:t>
      </w:r>
      <w:r w:rsidR="00C238EB" w:rsidRPr="00833C88">
        <w:rPr>
          <w:rFonts w:cs="Times New Roman"/>
          <w:sz w:val="24"/>
          <w:szCs w:val="24"/>
        </w:rPr>
        <w:t>19</w:t>
      </w:r>
      <w:r w:rsidR="00FC43B4" w:rsidRPr="00833C88">
        <w:rPr>
          <w:rFonts w:cs="Times New Roman"/>
          <w:sz w:val="24"/>
          <w:szCs w:val="24"/>
        </w:rPr>
        <w:t xml:space="preserve"> rozporządzenia Rady Ministrów z</w:t>
      </w:r>
      <w:r w:rsidR="00872FAF" w:rsidRPr="00833C88">
        <w:rPr>
          <w:rFonts w:cs="Times New Roman"/>
          <w:sz w:val="24"/>
          <w:szCs w:val="24"/>
        </w:rPr>
        <w:t> </w:t>
      </w:r>
      <w:r w:rsidR="00FC43B4" w:rsidRPr="00833C88">
        <w:rPr>
          <w:rFonts w:cs="Times New Roman"/>
          <w:sz w:val="24"/>
          <w:szCs w:val="24"/>
        </w:rPr>
        <w:t xml:space="preserve">dnia </w:t>
      </w:r>
      <w:r w:rsidR="005D4E8C" w:rsidRPr="00833C88">
        <w:rPr>
          <w:rFonts w:cs="Times New Roman"/>
          <w:sz w:val="24"/>
          <w:szCs w:val="24"/>
        </w:rPr>
        <w:t>21</w:t>
      </w:r>
      <w:r w:rsidR="00FC43B4" w:rsidRPr="00833C88">
        <w:rPr>
          <w:rFonts w:cs="Times New Roman"/>
          <w:sz w:val="24"/>
          <w:szCs w:val="24"/>
        </w:rPr>
        <w:t xml:space="preserve"> </w:t>
      </w:r>
      <w:r w:rsidR="005D4E8C" w:rsidRPr="00833C88">
        <w:rPr>
          <w:rFonts w:cs="Times New Roman"/>
          <w:sz w:val="24"/>
          <w:szCs w:val="24"/>
        </w:rPr>
        <w:t>maja</w:t>
      </w:r>
      <w:r w:rsidR="00FC43B4" w:rsidRPr="00833C88">
        <w:rPr>
          <w:rFonts w:cs="Times New Roman"/>
          <w:sz w:val="24"/>
          <w:szCs w:val="24"/>
        </w:rPr>
        <w:t xml:space="preserve"> 20</w:t>
      </w:r>
      <w:r w:rsidR="005D4E8C" w:rsidRPr="00833C88">
        <w:rPr>
          <w:rFonts w:cs="Times New Roman"/>
          <w:sz w:val="24"/>
          <w:szCs w:val="24"/>
        </w:rPr>
        <w:t>24</w:t>
      </w:r>
      <w:r w:rsidR="00FC43B4" w:rsidRPr="00833C88">
        <w:rPr>
          <w:rFonts w:cs="Times New Roman"/>
          <w:sz w:val="24"/>
          <w:szCs w:val="24"/>
        </w:rPr>
        <w:t xml:space="preserve"> r. </w:t>
      </w:r>
      <w:r w:rsidR="00601933" w:rsidRPr="00833C88">
        <w:rPr>
          <w:rFonts w:cs="Times New Roman"/>
          <w:sz w:val="24"/>
          <w:szCs w:val="24"/>
        </w:rPr>
        <w:t>w </w:t>
      </w:r>
      <w:r w:rsidR="00FC43B4" w:rsidRPr="00833C88">
        <w:rPr>
          <w:rFonts w:cs="Times New Roman"/>
          <w:sz w:val="24"/>
          <w:szCs w:val="24"/>
        </w:rPr>
        <w:t xml:space="preserve">sprawie Krajowych Ram Interoperacyjności, minimalnych wymagań dla rejestrów publicznych </w:t>
      </w:r>
      <w:r w:rsidR="00601933" w:rsidRPr="00833C88">
        <w:rPr>
          <w:rFonts w:cs="Times New Roman"/>
          <w:sz w:val="24"/>
          <w:szCs w:val="24"/>
        </w:rPr>
        <w:t>i </w:t>
      </w:r>
      <w:r w:rsidR="00FC43B4" w:rsidRPr="00833C88">
        <w:rPr>
          <w:rFonts w:cs="Times New Roman"/>
          <w:sz w:val="24"/>
          <w:szCs w:val="24"/>
        </w:rPr>
        <w:t>wymiany informacji w</w:t>
      </w:r>
      <w:r w:rsidR="009B4C26" w:rsidRPr="00833C88">
        <w:rPr>
          <w:rFonts w:cs="Times New Roman"/>
          <w:sz w:val="24"/>
          <w:szCs w:val="24"/>
        </w:rPr>
        <w:t> </w:t>
      </w:r>
      <w:r w:rsidR="00FC43B4" w:rsidRPr="00833C88">
        <w:rPr>
          <w:rFonts w:cs="Times New Roman"/>
          <w:sz w:val="24"/>
          <w:szCs w:val="24"/>
        </w:rPr>
        <w:t>postaci elektronicznej oraz minimalnych wymagań dla systemów teleinformatycznych</w:t>
      </w:r>
      <w:r w:rsidR="00E464EA" w:rsidRPr="00833C88">
        <w:rPr>
          <w:rFonts w:cs="Times New Roman"/>
          <w:sz w:val="24"/>
          <w:szCs w:val="24"/>
        </w:rPr>
        <w:t xml:space="preserve"> </w:t>
      </w:r>
      <w:r w:rsidR="00E464EA" w:rsidRPr="00833C88">
        <w:rPr>
          <w:rFonts w:eastAsia="Times New Roman" w:cs="Times New Roman"/>
          <w:sz w:val="24"/>
          <w:szCs w:val="24"/>
          <w:lang w:eastAsia="pl-PL"/>
        </w:rPr>
        <w:t>(Dz.</w:t>
      </w:r>
      <w:r w:rsidR="00D3334B" w:rsidRPr="00833C88">
        <w:rPr>
          <w:rFonts w:eastAsia="Times New Roman" w:cs="Times New Roman"/>
          <w:sz w:val="24"/>
          <w:szCs w:val="24"/>
          <w:lang w:eastAsia="pl-PL"/>
        </w:rPr>
        <w:t> </w:t>
      </w:r>
      <w:r w:rsidR="00E464EA" w:rsidRPr="00833C88">
        <w:rPr>
          <w:rFonts w:eastAsia="Times New Roman" w:cs="Times New Roman"/>
          <w:sz w:val="24"/>
          <w:szCs w:val="24"/>
          <w:lang w:eastAsia="pl-PL"/>
        </w:rPr>
        <w:t xml:space="preserve">U. poz. </w:t>
      </w:r>
      <w:r w:rsidR="009D5F3F" w:rsidRPr="00833C88">
        <w:rPr>
          <w:rFonts w:eastAsia="Times New Roman" w:cs="Times New Roman"/>
          <w:sz w:val="24"/>
          <w:szCs w:val="24"/>
          <w:lang w:eastAsia="pl-PL"/>
        </w:rPr>
        <w:t>773</w:t>
      </w:r>
      <w:r w:rsidR="009461F0" w:rsidRPr="00833C88">
        <w:rPr>
          <w:rFonts w:eastAsia="Times New Roman" w:cs="Times New Roman"/>
          <w:sz w:val="24"/>
          <w:szCs w:val="24"/>
          <w:lang w:eastAsia="pl-PL"/>
        </w:rPr>
        <w:t>)</w:t>
      </w:r>
      <w:r w:rsidR="00FC43B4" w:rsidRPr="00833C88">
        <w:rPr>
          <w:rFonts w:cs="Times New Roman"/>
          <w:sz w:val="24"/>
          <w:szCs w:val="24"/>
        </w:rPr>
        <w:t xml:space="preserve">. </w:t>
      </w:r>
      <w:r w:rsidR="00417240" w:rsidRPr="00833C88">
        <w:rPr>
          <w:rFonts w:cs="Times New Roman"/>
          <w:sz w:val="24"/>
          <w:szCs w:val="24"/>
        </w:rPr>
        <w:t>Z</w:t>
      </w:r>
      <w:r w:rsidR="00E464EA" w:rsidRPr="00833C88">
        <w:rPr>
          <w:rFonts w:cs="Times New Roman"/>
          <w:sz w:val="24"/>
          <w:szCs w:val="24"/>
        </w:rPr>
        <w:t> </w:t>
      </w:r>
      <w:r w:rsidR="00417240" w:rsidRPr="00833C88">
        <w:rPr>
          <w:rFonts w:cs="Times New Roman"/>
          <w:sz w:val="24"/>
          <w:szCs w:val="24"/>
        </w:rPr>
        <w:t>tego</w:t>
      </w:r>
      <w:r w:rsidR="00E464EA" w:rsidRPr="00833C88">
        <w:rPr>
          <w:rFonts w:cs="Times New Roman"/>
          <w:sz w:val="24"/>
          <w:szCs w:val="24"/>
        </w:rPr>
        <w:t> </w:t>
      </w:r>
      <w:r w:rsidR="00417240" w:rsidRPr="00833C88">
        <w:rPr>
          <w:rFonts w:cs="Times New Roman"/>
          <w:sz w:val="24"/>
          <w:szCs w:val="24"/>
        </w:rPr>
        <w:t>powodu zdecydowano się wdrożyć art. 21 dyrektywy NIS</w:t>
      </w:r>
      <w:r w:rsidR="00872FAF" w:rsidRPr="00833C88">
        <w:rPr>
          <w:rFonts w:cs="Times New Roman"/>
          <w:sz w:val="24"/>
          <w:szCs w:val="24"/>
        </w:rPr>
        <w:t xml:space="preserve"> </w:t>
      </w:r>
      <w:r w:rsidR="00417240" w:rsidRPr="00833C88">
        <w:rPr>
          <w:rFonts w:cs="Times New Roman"/>
          <w:sz w:val="24"/>
          <w:szCs w:val="24"/>
        </w:rPr>
        <w:t>2 przez ewolucję obecnego art. 8 ustawy</w:t>
      </w:r>
      <w:r w:rsidR="00E464EA" w:rsidRPr="00833C88">
        <w:rPr>
          <w:rFonts w:cs="Times New Roman"/>
          <w:sz w:val="24"/>
          <w:szCs w:val="24"/>
        </w:rPr>
        <w:t xml:space="preserve"> </w:t>
      </w:r>
      <w:r w:rsidR="00601933" w:rsidRPr="00833C88">
        <w:rPr>
          <w:rFonts w:cs="Times New Roman"/>
          <w:sz w:val="24"/>
          <w:szCs w:val="24"/>
        </w:rPr>
        <w:t>o </w:t>
      </w:r>
      <w:r w:rsidR="00E464EA" w:rsidRPr="00833C88">
        <w:rPr>
          <w:rFonts w:cs="Times New Roman"/>
          <w:sz w:val="24"/>
          <w:szCs w:val="24"/>
        </w:rPr>
        <w:t>KSC</w:t>
      </w:r>
      <w:r w:rsidR="00BA744A" w:rsidRPr="00833C88">
        <w:rPr>
          <w:rFonts w:cs="Times New Roman"/>
          <w:sz w:val="24"/>
          <w:szCs w:val="24"/>
        </w:rPr>
        <w:t xml:space="preserve">. Podmioty kluczowe </w:t>
      </w:r>
      <w:r w:rsidR="00601933" w:rsidRPr="00833C88">
        <w:rPr>
          <w:rFonts w:cs="Times New Roman"/>
          <w:sz w:val="24"/>
          <w:szCs w:val="24"/>
        </w:rPr>
        <w:t>i </w:t>
      </w:r>
      <w:r w:rsidR="00BA744A" w:rsidRPr="00833C88">
        <w:rPr>
          <w:rFonts w:cs="Times New Roman"/>
          <w:sz w:val="24"/>
          <w:szCs w:val="24"/>
        </w:rPr>
        <w:t>podmioty ważne będą więc obowiązane wdrożyć system zarządzania bezpieczeństwem informacji, obejmujący elementy wskazane w</w:t>
      </w:r>
      <w:r w:rsidR="00E464EA" w:rsidRPr="00833C88">
        <w:rPr>
          <w:rFonts w:cs="Times New Roman"/>
          <w:sz w:val="24"/>
          <w:szCs w:val="24"/>
        </w:rPr>
        <w:t> </w:t>
      </w:r>
      <w:r w:rsidR="00BA744A" w:rsidRPr="00833C88">
        <w:rPr>
          <w:rFonts w:cs="Times New Roman"/>
          <w:sz w:val="24"/>
          <w:szCs w:val="24"/>
        </w:rPr>
        <w:t>dyrektywie NIS</w:t>
      </w:r>
      <w:r w:rsidR="00872FAF" w:rsidRPr="00833C88">
        <w:rPr>
          <w:rFonts w:cs="Times New Roman"/>
          <w:sz w:val="24"/>
          <w:szCs w:val="24"/>
        </w:rPr>
        <w:t xml:space="preserve"> </w:t>
      </w:r>
      <w:r w:rsidR="00BA744A" w:rsidRPr="00833C88">
        <w:rPr>
          <w:rFonts w:cs="Times New Roman"/>
          <w:sz w:val="24"/>
          <w:szCs w:val="24"/>
        </w:rPr>
        <w:t xml:space="preserve">2. </w:t>
      </w:r>
      <w:r w:rsidR="00CD3180" w:rsidRPr="00833C88">
        <w:rPr>
          <w:rFonts w:cs="Times New Roman"/>
          <w:sz w:val="24"/>
          <w:szCs w:val="24"/>
        </w:rPr>
        <w:t xml:space="preserve">Takie podejście ułatwi dostosowanie się do regulacji podmiotom, które już obecnie są obowiązane na podstawie przepisów prawa posiadać wdrożony taki system – albo zrobiły to dobrowolnie. Podkreślić przy tym należy, że projekt nie wymaga uzyskania certyfikacji zgodności systemu zarządzania bezpieczeństwem informacji </w:t>
      </w:r>
      <w:r w:rsidR="00601933" w:rsidRPr="00833C88">
        <w:rPr>
          <w:rFonts w:cs="Times New Roman"/>
          <w:sz w:val="24"/>
          <w:szCs w:val="24"/>
        </w:rPr>
        <w:t>z </w:t>
      </w:r>
      <w:r w:rsidR="00133E9D" w:rsidRPr="00833C88">
        <w:rPr>
          <w:rFonts w:cs="Times New Roman"/>
          <w:sz w:val="24"/>
          <w:szCs w:val="24"/>
        </w:rPr>
        <w:t xml:space="preserve">jedną </w:t>
      </w:r>
      <w:r w:rsidR="00601933" w:rsidRPr="00833C88">
        <w:rPr>
          <w:rFonts w:cs="Times New Roman"/>
          <w:sz w:val="24"/>
          <w:szCs w:val="24"/>
        </w:rPr>
        <w:t>z </w:t>
      </w:r>
      <w:r w:rsidR="00133E9D" w:rsidRPr="00833C88">
        <w:rPr>
          <w:rFonts w:cs="Times New Roman"/>
          <w:sz w:val="24"/>
          <w:szCs w:val="24"/>
        </w:rPr>
        <w:t>norm technicznych. Wystarczające jest wdrożenie tego systemu zgodnie z</w:t>
      </w:r>
      <w:r w:rsidR="00872FAF" w:rsidRPr="00833C88">
        <w:rPr>
          <w:rFonts w:cs="Times New Roman"/>
          <w:sz w:val="24"/>
          <w:szCs w:val="24"/>
        </w:rPr>
        <w:t> </w:t>
      </w:r>
      <w:r w:rsidR="00133E9D" w:rsidRPr="00833C88">
        <w:rPr>
          <w:rFonts w:cs="Times New Roman"/>
          <w:sz w:val="24"/>
          <w:szCs w:val="24"/>
        </w:rPr>
        <w:t>ustawą</w:t>
      </w:r>
      <w:r w:rsidR="00206D2C" w:rsidRPr="00833C88">
        <w:rPr>
          <w:rFonts w:cs="Times New Roman"/>
          <w:sz w:val="24"/>
          <w:szCs w:val="24"/>
        </w:rPr>
        <w:t xml:space="preserve"> </w:t>
      </w:r>
      <w:r w:rsidR="00601933" w:rsidRPr="00833C88">
        <w:rPr>
          <w:rFonts w:cs="Times New Roman"/>
          <w:sz w:val="24"/>
          <w:szCs w:val="24"/>
        </w:rPr>
        <w:t>o </w:t>
      </w:r>
      <w:r w:rsidR="00206D2C" w:rsidRPr="00833C88">
        <w:rPr>
          <w:rFonts w:cs="Times New Roman"/>
          <w:sz w:val="24"/>
          <w:szCs w:val="24"/>
        </w:rPr>
        <w:t>KSC</w:t>
      </w:r>
      <w:r w:rsidR="00133E9D" w:rsidRPr="00833C88">
        <w:rPr>
          <w:rFonts w:cs="Times New Roman"/>
          <w:sz w:val="24"/>
          <w:szCs w:val="24"/>
        </w:rPr>
        <w:t xml:space="preserve"> oraz odpowiednie udokumentowanie tego faktu.</w:t>
      </w:r>
    </w:p>
    <w:p w14:paraId="5F0E572A" w14:textId="696A63F3" w:rsidR="00BF494F" w:rsidRPr="00833C88" w:rsidRDefault="00BF494F" w:rsidP="0029004E">
      <w:pPr>
        <w:spacing w:line="360" w:lineRule="auto"/>
        <w:jc w:val="both"/>
        <w:rPr>
          <w:rFonts w:cs="Times New Roman"/>
          <w:sz w:val="24"/>
          <w:szCs w:val="24"/>
        </w:rPr>
      </w:pPr>
      <w:r w:rsidRPr="00833C88">
        <w:rPr>
          <w:rFonts w:cs="Times New Roman"/>
          <w:sz w:val="24"/>
          <w:szCs w:val="24"/>
        </w:rPr>
        <w:t xml:space="preserve">Zgodnie </w:t>
      </w:r>
      <w:r w:rsidR="00601933" w:rsidRPr="00833C88">
        <w:rPr>
          <w:rFonts w:cs="Times New Roman"/>
          <w:sz w:val="24"/>
          <w:szCs w:val="24"/>
        </w:rPr>
        <w:t>z </w:t>
      </w:r>
      <w:r w:rsidRPr="00833C88">
        <w:rPr>
          <w:rFonts w:cs="Times New Roman"/>
          <w:sz w:val="24"/>
          <w:szCs w:val="24"/>
        </w:rPr>
        <w:t xml:space="preserve">nowym brzmieniem </w:t>
      </w:r>
      <w:r w:rsidR="00A556FD" w:rsidRPr="00833C88">
        <w:rPr>
          <w:rFonts w:cs="Times New Roman"/>
          <w:sz w:val="24"/>
          <w:szCs w:val="24"/>
        </w:rPr>
        <w:t>system zarządzania bezpieczeństwem informacji</w:t>
      </w:r>
      <w:r w:rsidR="007E5B45" w:rsidRPr="00833C88">
        <w:rPr>
          <w:rFonts w:cs="Times New Roman"/>
          <w:sz w:val="24"/>
          <w:szCs w:val="24"/>
        </w:rPr>
        <w:t xml:space="preserve"> </w:t>
      </w:r>
      <w:r w:rsidR="00601933" w:rsidRPr="00833C88">
        <w:rPr>
          <w:rFonts w:cs="Times New Roman"/>
          <w:sz w:val="24"/>
          <w:szCs w:val="24"/>
        </w:rPr>
        <w:t>i </w:t>
      </w:r>
      <w:r w:rsidR="004402AF" w:rsidRPr="00833C88">
        <w:rPr>
          <w:rFonts w:cs="Times New Roman"/>
          <w:sz w:val="24"/>
          <w:szCs w:val="24"/>
        </w:rPr>
        <w:t>ciągłości</w:t>
      </w:r>
      <w:r w:rsidR="007E5B45" w:rsidRPr="00833C88">
        <w:rPr>
          <w:rFonts w:cs="Times New Roman"/>
          <w:sz w:val="24"/>
          <w:szCs w:val="24"/>
        </w:rPr>
        <w:t xml:space="preserve"> działania</w:t>
      </w:r>
      <w:r w:rsidR="00A556FD" w:rsidRPr="00833C88">
        <w:rPr>
          <w:rFonts w:cs="Times New Roman"/>
          <w:sz w:val="24"/>
          <w:szCs w:val="24"/>
        </w:rPr>
        <w:t xml:space="preserve"> będzie wdrożony </w:t>
      </w:r>
      <w:r w:rsidR="00601933" w:rsidRPr="00833C88">
        <w:rPr>
          <w:rFonts w:cs="Times New Roman"/>
          <w:sz w:val="24"/>
          <w:szCs w:val="24"/>
        </w:rPr>
        <w:t>w </w:t>
      </w:r>
      <w:r w:rsidR="000933AA" w:rsidRPr="00833C88">
        <w:rPr>
          <w:rFonts w:cs="Times New Roman"/>
          <w:sz w:val="24"/>
          <w:szCs w:val="24"/>
        </w:rPr>
        <w:t xml:space="preserve">systemach informacyjnych wykorzystywanych </w:t>
      </w:r>
      <w:r w:rsidR="00601933" w:rsidRPr="00833C88">
        <w:rPr>
          <w:rFonts w:cs="Times New Roman"/>
          <w:sz w:val="24"/>
          <w:szCs w:val="24"/>
        </w:rPr>
        <w:t>w </w:t>
      </w:r>
      <w:r w:rsidR="000933AA" w:rsidRPr="00833C88">
        <w:rPr>
          <w:rFonts w:cs="Times New Roman"/>
          <w:sz w:val="24"/>
          <w:szCs w:val="24"/>
        </w:rPr>
        <w:t>procesach wpływających na świadczenie usług przez podmiot kluczowy lub podmiot ważny.</w:t>
      </w:r>
      <w:r w:rsidR="0043699A" w:rsidRPr="00833C88">
        <w:rPr>
          <w:rFonts w:cs="Times New Roman"/>
          <w:sz w:val="24"/>
          <w:szCs w:val="24"/>
        </w:rPr>
        <w:t xml:space="preserve"> Dzięki takiemu brzmieniu </w:t>
      </w:r>
      <w:r w:rsidR="00601933" w:rsidRPr="00833C88">
        <w:rPr>
          <w:rFonts w:cs="Times New Roman"/>
          <w:sz w:val="24"/>
          <w:szCs w:val="24"/>
        </w:rPr>
        <w:t>z </w:t>
      </w:r>
      <w:r w:rsidR="0043699A" w:rsidRPr="00833C88">
        <w:rPr>
          <w:rFonts w:cs="Times New Roman"/>
          <w:sz w:val="24"/>
          <w:szCs w:val="24"/>
        </w:rPr>
        <w:t>jednej stron</w:t>
      </w:r>
      <w:r w:rsidR="00A90F2B" w:rsidRPr="00833C88">
        <w:rPr>
          <w:rFonts w:cs="Times New Roman"/>
          <w:sz w:val="24"/>
          <w:szCs w:val="24"/>
        </w:rPr>
        <w:t>y zachowamy brzmienie dyrektywy NIS</w:t>
      </w:r>
      <w:r w:rsidR="009461F0" w:rsidRPr="00833C88">
        <w:rPr>
          <w:rFonts w:cs="Times New Roman"/>
          <w:sz w:val="24"/>
          <w:szCs w:val="24"/>
        </w:rPr>
        <w:t xml:space="preserve"> </w:t>
      </w:r>
      <w:r w:rsidR="00A90F2B" w:rsidRPr="00833C88">
        <w:rPr>
          <w:rFonts w:cs="Times New Roman"/>
          <w:sz w:val="24"/>
          <w:szCs w:val="24"/>
        </w:rPr>
        <w:t>2</w:t>
      </w:r>
      <w:r w:rsidR="00206D2C" w:rsidRPr="00833C88">
        <w:rPr>
          <w:rFonts w:cs="Times New Roman"/>
          <w:sz w:val="24"/>
          <w:szCs w:val="24"/>
        </w:rPr>
        <w:t>,</w:t>
      </w:r>
      <w:r w:rsidR="00A90F2B" w:rsidRPr="00833C88">
        <w:rPr>
          <w:rFonts w:cs="Times New Roman"/>
          <w:sz w:val="24"/>
          <w:szCs w:val="24"/>
        </w:rPr>
        <w:t xml:space="preserve"> </w:t>
      </w:r>
      <w:r w:rsidR="00601933" w:rsidRPr="00833C88">
        <w:rPr>
          <w:rFonts w:cs="Times New Roman"/>
          <w:sz w:val="24"/>
          <w:szCs w:val="24"/>
        </w:rPr>
        <w:t>a z </w:t>
      </w:r>
      <w:r w:rsidR="00F04C73" w:rsidRPr="00833C88">
        <w:rPr>
          <w:rFonts w:cs="Times New Roman"/>
          <w:sz w:val="24"/>
          <w:szCs w:val="24"/>
        </w:rPr>
        <w:t xml:space="preserve">drugiej </w:t>
      </w:r>
      <w:r w:rsidR="008B34F6" w:rsidRPr="00833C88">
        <w:rPr>
          <w:rFonts w:cs="Times New Roman"/>
          <w:sz w:val="24"/>
          <w:szCs w:val="24"/>
        </w:rPr>
        <w:t xml:space="preserve">środki zarządzania ryzykiem będą wdrożone rzeczywiście </w:t>
      </w:r>
      <w:r w:rsidR="00601933" w:rsidRPr="00833C88">
        <w:rPr>
          <w:rFonts w:cs="Times New Roman"/>
          <w:sz w:val="24"/>
          <w:szCs w:val="24"/>
        </w:rPr>
        <w:t>w </w:t>
      </w:r>
      <w:r w:rsidR="008B34F6" w:rsidRPr="00833C88">
        <w:rPr>
          <w:rFonts w:cs="Times New Roman"/>
          <w:sz w:val="24"/>
          <w:szCs w:val="24"/>
        </w:rPr>
        <w:t xml:space="preserve">tych systemach, które służą </w:t>
      </w:r>
      <w:r w:rsidR="00557F0B" w:rsidRPr="00833C88">
        <w:rPr>
          <w:rFonts w:cs="Times New Roman"/>
          <w:sz w:val="24"/>
          <w:szCs w:val="24"/>
        </w:rPr>
        <w:t xml:space="preserve">świadczeniu usług. </w:t>
      </w:r>
    </w:p>
    <w:p w14:paraId="771C5A63" w14:textId="6223A669" w:rsidR="003804D2" w:rsidRPr="00833C88" w:rsidRDefault="00987B14" w:rsidP="0029004E">
      <w:pPr>
        <w:spacing w:line="360" w:lineRule="auto"/>
        <w:jc w:val="both"/>
        <w:rPr>
          <w:rFonts w:cs="Times New Roman"/>
          <w:sz w:val="24"/>
          <w:szCs w:val="24"/>
        </w:rPr>
      </w:pPr>
      <w:r w:rsidRPr="00833C88">
        <w:rPr>
          <w:rFonts w:cs="Times New Roman"/>
          <w:sz w:val="24"/>
          <w:szCs w:val="24"/>
        </w:rPr>
        <w:t>Us</w:t>
      </w:r>
      <w:r w:rsidR="00812424" w:rsidRPr="00833C88">
        <w:rPr>
          <w:rFonts w:cs="Times New Roman"/>
          <w:sz w:val="24"/>
          <w:szCs w:val="24"/>
        </w:rPr>
        <w:t xml:space="preserve">ługę należy rozumieć </w:t>
      </w:r>
      <w:proofErr w:type="gramStart"/>
      <w:r w:rsidR="00812424" w:rsidRPr="00833C88">
        <w:rPr>
          <w:rFonts w:cs="Times New Roman"/>
          <w:sz w:val="24"/>
          <w:szCs w:val="24"/>
        </w:rPr>
        <w:t>szeroko,</w:t>
      </w:r>
      <w:proofErr w:type="gramEnd"/>
      <w:r w:rsidR="00812424" w:rsidRPr="00833C88">
        <w:rPr>
          <w:rFonts w:cs="Times New Roman"/>
          <w:sz w:val="24"/>
          <w:szCs w:val="24"/>
        </w:rPr>
        <w:t xml:space="preserve"> jako </w:t>
      </w:r>
      <w:r w:rsidR="00812424" w:rsidRPr="00833C88">
        <w:rPr>
          <w:rFonts w:cs="Times New Roman"/>
          <w:i/>
          <w:iCs/>
          <w:sz w:val="24"/>
          <w:szCs w:val="24"/>
        </w:rPr>
        <w:t>działalność gospodarczą służącą do zaspokajana potrzeb ludzi</w:t>
      </w:r>
      <w:r w:rsidR="00812424" w:rsidRPr="00833C88">
        <w:rPr>
          <w:rStyle w:val="Odwoanieprzypisudolnego"/>
          <w:rFonts w:cs="Times New Roman"/>
          <w:i/>
          <w:iCs/>
          <w:sz w:val="24"/>
          <w:szCs w:val="24"/>
        </w:rPr>
        <w:footnoteReference w:id="20"/>
      </w:r>
      <w:r w:rsidR="00BC0140" w:rsidRPr="00833C88">
        <w:rPr>
          <w:rFonts w:cs="Times New Roman"/>
          <w:sz w:val="24"/>
          <w:szCs w:val="24"/>
          <w:vertAlign w:val="superscript"/>
        </w:rPr>
        <w:t>)</w:t>
      </w:r>
      <w:r w:rsidR="00812424" w:rsidRPr="00833C88">
        <w:rPr>
          <w:rFonts w:cs="Times New Roman"/>
          <w:i/>
          <w:iCs/>
          <w:sz w:val="24"/>
          <w:szCs w:val="24"/>
        </w:rPr>
        <w:t xml:space="preserve">. </w:t>
      </w:r>
      <w:r w:rsidR="00601933" w:rsidRPr="00833C88">
        <w:rPr>
          <w:rFonts w:cs="Times New Roman"/>
          <w:sz w:val="24"/>
          <w:szCs w:val="24"/>
        </w:rPr>
        <w:t>W </w:t>
      </w:r>
      <w:r w:rsidR="00812424" w:rsidRPr="00833C88">
        <w:rPr>
          <w:rFonts w:cs="Times New Roman"/>
          <w:sz w:val="24"/>
          <w:szCs w:val="24"/>
        </w:rPr>
        <w:t>tym znaczeniu usługą będzie również produkcja.</w:t>
      </w:r>
      <w:r w:rsidR="00D11DDC" w:rsidRPr="00833C88">
        <w:rPr>
          <w:rFonts w:cs="Times New Roman"/>
          <w:sz w:val="24"/>
          <w:szCs w:val="24"/>
        </w:rPr>
        <w:t xml:space="preserve"> Zresztą sama dyrektywa NIS 2 tak do tego podchodzi, przykładowo </w:t>
      </w:r>
      <w:r w:rsidR="00601933" w:rsidRPr="00833C88">
        <w:rPr>
          <w:rFonts w:cs="Times New Roman"/>
          <w:sz w:val="24"/>
          <w:szCs w:val="24"/>
        </w:rPr>
        <w:t>w </w:t>
      </w:r>
      <w:r w:rsidR="00D11DDC" w:rsidRPr="00833C88">
        <w:rPr>
          <w:rFonts w:cs="Times New Roman"/>
          <w:sz w:val="24"/>
          <w:szCs w:val="24"/>
        </w:rPr>
        <w:t xml:space="preserve">art. 23 wskazuje </w:t>
      </w:r>
      <w:r w:rsidR="00281730" w:rsidRPr="00833C88">
        <w:rPr>
          <w:rFonts w:cs="Times New Roman"/>
          <w:sz w:val="24"/>
          <w:szCs w:val="24"/>
        </w:rPr>
        <w:t>na obowiązek zgłaszania incydentów</w:t>
      </w:r>
      <w:r w:rsidR="0070555B" w:rsidRPr="00833C88">
        <w:rPr>
          <w:rFonts w:cs="Times New Roman"/>
          <w:sz w:val="24"/>
          <w:szCs w:val="24"/>
        </w:rPr>
        <w:t xml:space="preserve">, które mają poważny wpływ na świadczenie usług przez podmioty – jeśli założyć, że produkcja nie jest usługą </w:t>
      </w:r>
      <w:r w:rsidR="00601933" w:rsidRPr="00833C88">
        <w:rPr>
          <w:rFonts w:cs="Times New Roman"/>
          <w:sz w:val="24"/>
          <w:szCs w:val="24"/>
        </w:rPr>
        <w:t>w </w:t>
      </w:r>
      <w:r w:rsidR="0070555B" w:rsidRPr="00833C88">
        <w:rPr>
          <w:rFonts w:cs="Times New Roman"/>
          <w:sz w:val="24"/>
          <w:szCs w:val="24"/>
        </w:rPr>
        <w:t xml:space="preserve">dyrektywie NIS 2, to wtedy </w:t>
      </w:r>
      <w:r w:rsidR="00CA072A" w:rsidRPr="00833C88">
        <w:rPr>
          <w:rFonts w:cs="Times New Roman"/>
          <w:sz w:val="24"/>
          <w:szCs w:val="24"/>
        </w:rPr>
        <w:t>nigdy żaden podmiot produkujący wyroby nie mógłby zgłosić incydentu poważnego, co prowadzi do absurdu.</w:t>
      </w:r>
      <w:r w:rsidR="00450BDD" w:rsidRPr="00833C88">
        <w:rPr>
          <w:rFonts w:cs="Times New Roman"/>
          <w:sz w:val="24"/>
          <w:szCs w:val="24"/>
        </w:rPr>
        <w:t xml:space="preserve"> Zresztą </w:t>
      </w:r>
      <w:r w:rsidR="00D81BD7" w:rsidRPr="00833C88">
        <w:rPr>
          <w:rFonts w:cs="Times New Roman"/>
          <w:sz w:val="24"/>
          <w:szCs w:val="24"/>
        </w:rPr>
        <w:t xml:space="preserve">przywołane wcześniej </w:t>
      </w:r>
      <w:r w:rsidR="00B56486" w:rsidRPr="00833C88">
        <w:rPr>
          <w:rFonts w:cs="Times New Roman"/>
          <w:sz w:val="24"/>
          <w:szCs w:val="24"/>
        </w:rPr>
        <w:t>r</w:t>
      </w:r>
      <w:r w:rsidR="00D81BD7" w:rsidRPr="00833C88">
        <w:rPr>
          <w:rFonts w:cs="Times New Roman"/>
          <w:sz w:val="24"/>
          <w:szCs w:val="24"/>
        </w:rPr>
        <w:t xml:space="preserve">ozporządzenie delegowane Komisji (UE) 2023/2450 </w:t>
      </w:r>
      <w:r w:rsidR="00601933" w:rsidRPr="00833C88">
        <w:rPr>
          <w:rFonts w:cs="Times New Roman"/>
          <w:sz w:val="24"/>
          <w:szCs w:val="24"/>
        </w:rPr>
        <w:t>z </w:t>
      </w:r>
      <w:r w:rsidR="00D81BD7" w:rsidRPr="00833C88">
        <w:rPr>
          <w:rFonts w:cs="Times New Roman"/>
          <w:sz w:val="24"/>
          <w:szCs w:val="24"/>
        </w:rPr>
        <w:t xml:space="preserve">dnia 25 lipca 2023 r. uzupełniające dyrektywę Parlamentu Europejskiego </w:t>
      </w:r>
      <w:r w:rsidR="00601933" w:rsidRPr="00833C88">
        <w:rPr>
          <w:rFonts w:cs="Times New Roman"/>
          <w:sz w:val="24"/>
          <w:szCs w:val="24"/>
        </w:rPr>
        <w:t>i </w:t>
      </w:r>
      <w:r w:rsidR="00D81BD7" w:rsidRPr="00833C88">
        <w:rPr>
          <w:rFonts w:cs="Times New Roman"/>
          <w:sz w:val="24"/>
          <w:szCs w:val="24"/>
        </w:rPr>
        <w:t>Rady (UE) 2022/2557 przez ustanowienie wykazu usług kluczowych</w:t>
      </w:r>
      <w:r w:rsidR="00DC5083" w:rsidRPr="00833C88">
        <w:rPr>
          <w:rFonts w:cs="Times New Roman"/>
          <w:sz w:val="24"/>
          <w:szCs w:val="24"/>
        </w:rPr>
        <w:t xml:space="preserve"> wskazuje, że usługą kluczową jest np. produkcja przemysłowa </w:t>
      </w:r>
      <w:r w:rsidR="00601933" w:rsidRPr="00833C88">
        <w:rPr>
          <w:rFonts w:cs="Times New Roman"/>
          <w:sz w:val="24"/>
          <w:szCs w:val="24"/>
        </w:rPr>
        <w:t>i </w:t>
      </w:r>
      <w:r w:rsidR="00DC5083" w:rsidRPr="00833C88">
        <w:rPr>
          <w:rFonts w:cs="Times New Roman"/>
          <w:sz w:val="24"/>
          <w:szCs w:val="24"/>
        </w:rPr>
        <w:t>przetwórstwo przemysłowe żywności na dużą skalę.</w:t>
      </w:r>
    </w:p>
    <w:p w14:paraId="3388C0B5" w14:textId="267C2A91" w:rsidR="00B73B55" w:rsidRPr="00833C88" w:rsidRDefault="00D73942" w:rsidP="00BC0140">
      <w:pPr>
        <w:spacing w:line="360" w:lineRule="auto"/>
        <w:jc w:val="both"/>
        <w:rPr>
          <w:rFonts w:cs="Times New Roman"/>
          <w:sz w:val="24"/>
          <w:szCs w:val="24"/>
        </w:rPr>
      </w:pPr>
      <w:r w:rsidRPr="00833C88">
        <w:rPr>
          <w:rFonts w:cs="Times New Roman"/>
          <w:sz w:val="24"/>
          <w:szCs w:val="24"/>
        </w:rPr>
        <w:t>Aby zrealizować obowiązki wynikające ze znowelizowanego art. 8 podmiot kluczowy lub podmiot ważny mus</w:t>
      </w:r>
      <w:r w:rsidR="00B27AF9" w:rsidRPr="00833C88">
        <w:rPr>
          <w:rFonts w:cs="Times New Roman"/>
          <w:sz w:val="24"/>
          <w:szCs w:val="24"/>
        </w:rPr>
        <w:t>i z</w:t>
      </w:r>
      <w:r w:rsidR="00D15E07" w:rsidRPr="00833C88">
        <w:rPr>
          <w:rFonts w:cs="Times New Roman"/>
          <w:sz w:val="24"/>
          <w:szCs w:val="24"/>
        </w:rPr>
        <w:t xml:space="preserve">identyfikować usługi jakie świadczy, zidentyfikować procesy jakie </w:t>
      </w:r>
      <w:r w:rsidR="00D15E07" w:rsidRPr="00833C88">
        <w:rPr>
          <w:rFonts w:cs="Times New Roman"/>
          <w:sz w:val="24"/>
          <w:szCs w:val="24"/>
        </w:rPr>
        <w:lastRenderedPageBreak/>
        <w:t xml:space="preserve">stosuje </w:t>
      </w:r>
      <w:r w:rsidR="00601933" w:rsidRPr="00833C88">
        <w:rPr>
          <w:rFonts w:cs="Times New Roman"/>
          <w:sz w:val="24"/>
          <w:szCs w:val="24"/>
        </w:rPr>
        <w:t>w </w:t>
      </w:r>
      <w:r w:rsidR="00B27AF9" w:rsidRPr="00833C88">
        <w:rPr>
          <w:rFonts w:cs="Times New Roman"/>
          <w:sz w:val="24"/>
          <w:szCs w:val="24"/>
        </w:rPr>
        <w:t xml:space="preserve">celu świadczenia tych usług oraz zidentyfikować systemy informacyjne wykorzystywane </w:t>
      </w:r>
      <w:r w:rsidR="00601933" w:rsidRPr="00833C88">
        <w:rPr>
          <w:rFonts w:cs="Times New Roman"/>
          <w:sz w:val="24"/>
          <w:szCs w:val="24"/>
        </w:rPr>
        <w:t>w </w:t>
      </w:r>
      <w:r w:rsidR="00B27AF9" w:rsidRPr="00833C88">
        <w:rPr>
          <w:rFonts w:cs="Times New Roman"/>
          <w:sz w:val="24"/>
          <w:szCs w:val="24"/>
        </w:rPr>
        <w:t>tych procesach.</w:t>
      </w:r>
    </w:p>
    <w:p w14:paraId="269E9FDD" w14:textId="78518444" w:rsidR="00C913C0" w:rsidRPr="00833C88" w:rsidRDefault="0038514A" w:rsidP="00031FDA">
      <w:pPr>
        <w:spacing w:after="480" w:line="360" w:lineRule="auto"/>
        <w:jc w:val="both"/>
        <w:rPr>
          <w:rFonts w:cs="Times New Roman"/>
          <w:sz w:val="24"/>
          <w:szCs w:val="24"/>
        </w:rPr>
      </w:pPr>
      <w:r w:rsidRPr="00833C88">
        <w:rPr>
          <w:rFonts w:cs="Times New Roman"/>
          <w:sz w:val="24"/>
          <w:szCs w:val="24"/>
        </w:rPr>
        <w:t xml:space="preserve">Wdrażając </w:t>
      </w:r>
      <w:r w:rsidR="008359B8" w:rsidRPr="00833C88">
        <w:rPr>
          <w:rFonts w:cs="Times New Roman"/>
          <w:sz w:val="24"/>
          <w:szCs w:val="24"/>
        </w:rPr>
        <w:t>art. 21 dyrektywy NIS</w:t>
      </w:r>
      <w:r w:rsidR="009461F0" w:rsidRPr="00833C88">
        <w:rPr>
          <w:rFonts w:cs="Times New Roman"/>
          <w:sz w:val="24"/>
          <w:szCs w:val="24"/>
        </w:rPr>
        <w:t xml:space="preserve"> </w:t>
      </w:r>
      <w:r w:rsidR="008359B8" w:rsidRPr="00833C88">
        <w:rPr>
          <w:rFonts w:cs="Times New Roman"/>
          <w:sz w:val="24"/>
          <w:szCs w:val="24"/>
        </w:rPr>
        <w:t xml:space="preserve">2 zachowano dotychczasową systematykę art. 8 ustawy </w:t>
      </w:r>
      <w:r w:rsidR="00601933" w:rsidRPr="00833C88">
        <w:rPr>
          <w:rFonts w:cs="Times New Roman"/>
          <w:sz w:val="24"/>
          <w:szCs w:val="24"/>
        </w:rPr>
        <w:t>o </w:t>
      </w:r>
      <w:r w:rsidR="009461F0" w:rsidRPr="00833C88">
        <w:rPr>
          <w:rFonts w:cs="Times New Roman"/>
          <w:sz w:val="24"/>
          <w:szCs w:val="24"/>
        </w:rPr>
        <w:t>KSC</w:t>
      </w:r>
      <w:r w:rsidR="008359B8" w:rsidRPr="00833C88">
        <w:rPr>
          <w:rFonts w:cs="Times New Roman"/>
          <w:sz w:val="24"/>
          <w:szCs w:val="24"/>
        </w:rPr>
        <w:t>.</w:t>
      </w:r>
    </w:p>
    <w:p w14:paraId="2A5CD183" w14:textId="77777777" w:rsidR="00C15436" w:rsidRPr="00833C88" w:rsidRDefault="00DD66FA" w:rsidP="0029004E">
      <w:pPr>
        <w:keepNext/>
        <w:spacing w:line="360" w:lineRule="auto"/>
        <w:jc w:val="both"/>
        <w:rPr>
          <w:rFonts w:cs="Times New Roman"/>
        </w:rPr>
      </w:pPr>
      <w:r w:rsidRPr="00833C88">
        <w:rPr>
          <w:rFonts w:cs="Times New Roman"/>
          <w:noProof/>
          <w:sz w:val="24"/>
          <w:szCs w:val="24"/>
        </w:rPr>
        <w:drawing>
          <wp:inline distT="0" distB="0" distL="0" distR="0" wp14:anchorId="101CFC35" wp14:editId="0ED60E8C">
            <wp:extent cx="5486400" cy="3200400"/>
            <wp:effectExtent l="0" t="0" r="0" b="19050"/>
            <wp:docPr id="117537328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C0560C9" w14:textId="3B265B2C" w:rsidR="00DD66FA" w:rsidRPr="00833C88" w:rsidRDefault="00C15436" w:rsidP="00BC0140">
      <w:pPr>
        <w:pStyle w:val="Legenda"/>
        <w:spacing w:after="120" w:line="360" w:lineRule="auto"/>
        <w:jc w:val="both"/>
        <w:rPr>
          <w:rFonts w:cs="Times New Roman"/>
          <w:sz w:val="24"/>
          <w:szCs w:val="24"/>
        </w:rPr>
      </w:pPr>
      <w:r w:rsidRPr="00833C88">
        <w:rPr>
          <w:rFonts w:cs="Times New Roman"/>
        </w:rPr>
        <w:t xml:space="preserve">Rysunek </w:t>
      </w:r>
      <w:r w:rsidR="00DE5E15" w:rsidRPr="00833C88">
        <w:rPr>
          <w:rFonts w:cs="Times New Roman"/>
        </w:rPr>
        <w:fldChar w:fldCharType="begin"/>
      </w:r>
      <w:r w:rsidR="00DE5E15" w:rsidRPr="00833C88">
        <w:rPr>
          <w:rFonts w:cs="Times New Roman"/>
        </w:rPr>
        <w:instrText xml:space="preserve"> SEQ Rysunek \* ARABIC </w:instrText>
      </w:r>
      <w:r w:rsidR="00DE5E15" w:rsidRPr="00833C88">
        <w:rPr>
          <w:rFonts w:cs="Times New Roman"/>
        </w:rPr>
        <w:fldChar w:fldCharType="separate"/>
      </w:r>
      <w:r w:rsidR="00322ECA" w:rsidRPr="00833C88">
        <w:rPr>
          <w:rFonts w:cs="Times New Roman"/>
          <w:noProof/>
        </w:rPr>
        <w:t>1</w:t>
      </w:r>
      <w:r w:rsidR="00DE5E15" w:rsidRPr="00833C88">
        <w:rPr>
          <w:rFonts w:cs="Times New Roman"/>
          <w:noProof/>
        </w:rPr>
        <w:fldChar w:fldCharType="end"/>
      </w:r>
      <w:r w:rsidRPr="00833C88">
        <w:rPr>
          <w:rFonts w:cs="Times New Roman"/>
        </w:rPr>
        <w:t xml:space="preserve">. System zarządzania bezpieczeństwem informacji </w:t>
      </w:r>
      <w:r w:rsidR="00601933" w:rsidRPr="00833C88">
        <w:rPr>
          <w:rFonts w:cs="Times New Roman"/>
        </w:rPr>
        <w:t>w </w:t>
      </w:r>
      <w:r w:rsidRPr="00833C88">
        <w:rPr>
          <w:rFonts w:cs="Times New Roman"/>
        </w:rPr>
        <w:t>projekcie nowelizacji ustawy</w:t>
      </w:r>
      <w:r w:rsidR="009461F0" w:rsidRPr="00833C88">
        <w:rPr>
          <w:rFonts w:cs="Times New Roman"/>
        </w:rPr>
        <w:t xml:space="preserve"> </w:t>
      </w:r>
      <w:r w:rsidR="00601933" w:rsidRPr="00833C88">
        <w:rPr>
          <w:rFonts w:cs="Times New Roman"/>
        </w:rPr>
        <w:t>o </w:t>
      </w:r>
      <w:r w:rsidRPr="00833C88">
        <w:rPr>
          <w:rFonts w:cs="Times New Roman"/>
        </w:rPr>
        <w:t>KSC</w:t>
      </w:r>
    </w:p>
    <w:p w14:paraId="4BCDC9F7" w14:textId="2F57302A" w:rsidR="00CC0888" w:rsidRPr="00833C88" w:rsidRDefault="00CC0888" w:rsidP="00031FDA">
      <w:pPr>
        <w:spacing w:before="600" w:after="0" w:line="360" w:lineRule="auto"/>
        <w:jc w:val="both"/>
        <w:rPr>
          <w:rFonts w:cs="Times New Roman"/>
          <w:sz w:val="24"/>
          <w:szCs w:val="24"/>
        </w:rPr>
      </w:pPr>
      <w:r w:rsidRPr="00833C88">
        <w:rPr>
          <w:rFonts w:cs="Times New Roman"/>
          <w:sz w:val="24"/>
          <w:szCs w:val="24"/>
        </w:rPr>
        <w:t xml:space="preserve">Podstawowym obowiązkiem </w:t>
      </w:r>
      <w:r w:rsidR="00D273F5" w:rsidRPr="00833C88">
        <w:rPr>
          <w:rFonts w:cs="Times New Roman"/>
          <w:sz w:val="24"/>
          <w:szCs w:val="24"/>
        </w:rPr>
        <w:t xml:space="preserve">podmiotów kluczowych </w:t>
      </w:r>
      <w:r w:rsidR="00601933" w:rsidRPr="00833C88">
        <w:rPr>
          <w:rFonts w:cs="Times New Roman"/>
          <w:sz w:val="24"/>
          <w:szCs w:val="24"/>
        </w:rPr>
        <w:t>i </w:t>
      </w:r>
      <w:r w:rsidR="00872FAF" w:rsidRPr="00833C88">
        <w:rPr>
          <w:rFonts w:cs="Times New Roman"/>
          <w:sz w:val="24"/>
          <w:szCs w:val="24"/>
        </w:rPr>
        <w:t xml:space="preserve">podmiotów </w:t>
      </w:r>
      <w:r w:rsidR="00D273F5" w:rsidRPr="00833C88">
        <w:rPr>
          <w:rFonts w:cs="Times New Roman"/>
          <w:sz w:val="24"/>
          <w:szCs w:val="24"/>
        </w:rPr>
        <w:t xml:space="preserve">ważnych </w:t>
      </w:r>
      <w:r w:rsidR="001156FD" w:rsidRPr="00833C88">
        <w:rPr>
          <w:rFonts w:cs="Times New Roman"/>
          <w:sz w:val="24"/>
          <w:szCs w:val="24"/>
        </w:rPr>
        <w:t xml:space="preserve">będzie </w:t>
      </w:r>
      <w:r w:rsidR="0075278E" w:rsidRPr="00833C88">
        <w:rPr>
          <w:rFonts w:cs="Times New Roman"/>
          <w:sz w:val="24"/>
          <w:szCs w:val="24"/>
        </w:rPr>
        <w:t>wdrożenie systemu zarządzania bezpieczeństwem informacji obejmującego:</w:t>
      </w:r>
    </w:p>
    <w:p w14:paraId="47EFAFEF" w14:textId="2056C98D" w:rsidR="007713AD" w:rsidRPr="00833C88" w:rsidRDefault="007713AD" w:rsidP="00916D56">
      <w:pPr>
        <w:pStyle w:val="ZPKTzmpktartykuempunktem"/>
        <w:rPr>
          <w:rFonts w:ascii="Times New Roman" w:hAnsi="Times New Roman" w:cs="Times New Roman"/>
        </w:rPr>
      </w:pPr>
      <w:r w:rsidRPr="00833C88">
        <w:rPr>
          <w:rFonts w:ascii="Times New Roman" w:hAnsi="Times New Roman" w:cs="Times New Roman"/>
        </w:rPr>
        <w:t>1)</w:t>
      </w:r>
      <w:r w:rsidRPr="00833C88">
        <w:rPr>
          <w:rFonts w:ascii="Times New Roman" w:hAnsi="Times New Roman" w:cs="Times New Roman"/>
        </w:rPr>
        <w:tab/>
        <w:t>prowadzenie systematycznego szacowania ryzyka wystąpienia incydentu oraz zarządzanie tym ryzykiem</w:t>
      </w:r>
      <w:r w:rsidR="00DE31E8" w:rsidRPr="00833C88">
        <w:rPr>
          <w:rFonts w:ascii="Times New Roman" w:hAnsi="Times New Roman" w:cs="Times New Roman"/>
        </w:rPr>
        <w:t xml:space="preserve"> – należy regularnie</w:t>
      </w:r>
      <w:r w:rsidR="008501B7" w:rsidRPr="00833C88">
        <w:rPr>
          <w:rFonts w:ascii="Times New Roman" w:hAnsi="Times New Roman" w:cs="Times New Roman"/>
        </w:rPr>
        <w:t xml:space="preserve"> szacować ryzyko (</w:t>
      </w:r>
      <w:r w:rsidR="00A91C24" w:rsidRPr="00833C88">
        <w:rPr>
          <w:rFonts w:ascii="Times New Roman" w:hAnsi="Times New Roman" w:cs="Times New Roman"/>
        </w:rPr>
        <w:t>identyfikować, analizować, oceniać)</w:t>
      </w:r>
      <w:r w:rsidR="00206D2C" w:rsidRPr="00833C88">
        <w:rPr>
          <w:rFonts w:ascii="Times New Roman" w:hAnsi="Times New Roman" w:cs="Times New Roman"/>
        </w:rPr>
        <w:t>,</w:t>
      </w:r>
      <w:r w:rsidR="00A91C24" w:rsidRPr="00833C88">
        <w:rPr>
          <w:rFonts w:ascii="Times New Roman" w:hAnsi="Times New Roman" w:cs="Times New Roman"/>
        </w:rPr>
        <w:t xml:space="preserve"> </w:t>
      </w:r>
      <w:r w:rsidR="00601933" w:rsidRPr="00833C88">
        <w:rPr>
          <w:rFonts w:ascii="Times New Roman" w:hAnsi="Times New Roman" w:cs="Times New Roman"/>
        </w:rPr>
        <w:t>a </w:t>
      </w:r>
      <w:r w:rsidR="00A91C24" w:rsidRPr="00833C88">
        <w:rPr>
          <w:rFonts w:ascii="Times New Roman" w:hAnsi="Times New Roman" w:cs="Times New Roman"/>
        </w:rPr>
        <w:t xml:space="preserve">następnie podejmować decyzję </w:t>
      </w:r>
      <w:r w:rsidR="00601933" w:rsidRPr="00833C88">
        <w:rPr>
          <w:rFonts w:ascii="Times New Roman" w:hAnsi="Times New Roman" w:cs="Times New Roman"/>
        </w:rPr>
        <w:t>o </w:t>
      </w:r>
      <w:r w:rsidR="00B844FB" w:rsidRPr="00833C88">
        <w:rPr>
          <w:rFonts w:ascii="Times New Roman" w:hAnsi="Times New Roman" w:cs="Times New Roman"/>
        </w:rPr>
        <w:t>podejściu do tego ryzyka</w:t>
      </w:r>
      <w:r w:rsidR="009461F0" w:rsidRPr="00833C88">
        <w:rPr>
          <w:rFonts w:ascii="Times New Roman" w:hAnsi="Times New Roman" w:cs="Times New Roman"/>
        </w:rPr>
        <w:t>;</w:t>
      </w:r>
    </w:p>
    <w:p w14:paraId="6C003C3F" w14:textId="4E69A3E2" w:rsidR="00031FDA" w:rsidRPr="00833C88" w:rsidRDefault="00031FDA" w:rsidP="00031FDA">
      <w:pPr>
        <w:pStyle w:val="ZPKTzmpktartykuempunktem"/>
        <w:rPr>
          <w:rFonts w:ascii="Times New Roman" w:hAnsi="Times New Roman" w:cs="Times New Roman"/>
        </w:rPr>
      </w:pPr>
      <w:r w:rsidRPr="00833C88">
        <w:rPr>
          <w:rFonts w:ascii="Times New Roman" w:hAnsi="Times New Roman" w:cs="Times New Roman"/>
        </w:rPr>
        <w:t>2)</w:t>
      </w:r>
      <w:r w:rsidRPr="00833C88">
        <w:rPr>
          <w:rFonts w:ascii="Times New Roman" w:hAnsi="Times New Roman" w:cs="Times New Roman"/>
        </w:rPr>
        <w:tab/>
        <w:t>wdrożenie odpowiednich i proporcjonalnych do oszacowanego ryzyka środków technicznych i organizacyjnych, uwzględniających najnowszy stan wiedzy, koszty wdrożenia</w:t>
      </w:r>
      <w:r w:rsidRPr="00833C88">
        <w:rPr>
          <w:rStyle w:val="Odwoanieprzypisudolnego"/>
          <w:rFonts w:ascii="Times New Roman" w:hAnsi="Times New Roman" w:cs="Times New Roman"/>
        </w:rPr>
        <w:footnoteReference w:id="21"/>
      </w:r>
      <w:r w:rsidRPr="00833C88">
        <w:rPr>
          <w:rFonts w:ascii="Times New Roman" w:hAnsi="Times New Roman" w:cs="Times New Roman"/>
          <w:vertAlign w:val="superscript"/>
        </w:rPr>
        <w:t>)</w:t>
      </w:r>
      <w:r w:rsidRPr="00833C88">
        <w:rPr>
          <w:rFonts w:ascii="Times New Roman" w:hAnsi="Times New Roman" w:cs="Times New Roman"/>
        </w:rPr>
        <w:t>, wielkość podmiotu</w:t>
      </w:r>
      <w:r w:rsidRPr="00833C88">
        <w:rPr>
          <w:rStyle w:val="Odwoanieprzypisudolnego"/>
          <w:rFonts w:ascii="Times New Roman" w:hAnsi="Times New Roman" w:cs="Times New Roman"/>
        </w:rPr>
        <w:footnoteReference w:id="22"/>
      </w:r>
      <w:r w:rsidRPr="00833C88">
        <w:rPr>
          <w:rFonts w:ascii="Times New Roman" w:hAnsi="Times New Roman" w:cs="Times New Roman"/>
          <w:vertAlign w:val="superscript"/>
        </w:rPr>
        <w:t>)</w:t>
      </w:r>
      <w:r w:rsidRPr="00833C88">
        <w:rPr>
          <w:rFonts w:ascii="Times New Roman" w:hAnsi="Times New Roman" w:cs="Times New Roman"/>
        </w:rPr>
        <w:t xml:space="preserve">, prawdopodobieństwo wystąpienia </w:t>
      </w:r>
      <w:r w:rsidRPr="00833C88">
        <w:rPr>
          <w:rFonts w:ascii="Times New Roman" w:hAnsi="Times New Roman" w:cs="Times New Roman"/>
        </w:rPr>
        <w:lastRenderedPageBreak/>
        <w:t>incydentów, narażenie podmiotu na ryzyka, skutki społeczne i gospodarcze</w:t>
      </w:r>
      <w:r w:rsidRPr="00833C88">
        <w:rPr>
          <w:rStyle w:val="Odwoanieprzypisudolnego"/>
          <w:rFonts w:ascii="Times New Roman" w:hAnsi="Times New Roman" w:cs="Times New Roman"/>
        </w:rPr>
        <w:footnoteReference w:id="23"/>
      </w:r>
      <w:r w:rsidRPr="00833C88">
        <w:rPr>
          <w:rFonts w:ascii="Times New Roman" w:hAnsi="Times New Roman" w:cs="Times New Roman"/>
          <w:vertAlign w:val="superscript"/>
        </w:rPr>
        <w:t>)</w:t>
      </w:r>
      <w:r w:rsidRPr="00833C88">
        <w:rPr>
          <w:rFonts w:ascii="Times New Roman" w:hAnsi="Times New Roman" w:cs="Times New Roman"/>
        </w:rPr>
        <w:t>, w szczególności:</w:t>
      </w:r>
    </w:p>
    <w:p w14:paraId="353CD6E3" w14:textId="2B3CD1E4"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a)</w:t>
      </w:r>
      <w:r w:rsidRPr="00833C88">
        <w:rPr>
          <w:rFonts w:ascii="Times New Roman" w:hAnsi="Times New Roman" w:cs="Times New Roman"/>
        </w:rPr>
        <w:tab/>
        <w:t>polityki szacowania ryzyka</w:t>
      </w:r>
      <w:r w:rsidR="009F245C" w:rsidRPr="00833C88">
        <w:rPr>
          <w:rStyle w:val="Odwoanieprzypisudolnego"/>
          <w:rFonts w:ascii="Times New Roman" w:hAnsi="Times New Roman" w:cs="Times New Roman"/>
        </w:rPr>
        <w:footnoteReference w:id="24"/>
      </w:r>
      <w:r w:rsidR="000E7E67" w:rsidRPr="00833C88">
        <w:rPr>
          <w:rFonts w:ascii="Times New Roman" w:hAnsi="Times New Roman" w:cs="Times New Roman"/>
          <w:vertAlign w:val="superscript"/>
        </w:rPr>
        <w:t>)</w:t>
      </w:r>
      <w:r w:rsidRPr="00833C88">
        <w:rPr>
          <w:rFonts w:ascii="Times New Roman" w:hAnsi="Times New Roman" w:cs="Times New Roman"/>
        </w:rPr>
        <w:t xml:space="preserve"> oraz bezpieczeństwa systemu informacyjnego</w:t>
      </w:r>
      <w:r w:rsidR="00322670" w:rsidRPr="00833C88">
        <w:rPr>
          <w:rStyle w:val="Odwoanieprzypisudolnego"/>
          <w:rFonts w:ascii="Times New Roman" w:hAnsi="Times New Roman" w:cs="Times New Roman"/>
        </w:rPr>
        <w:footnoteReference w:id="25"/>
      </w:r>
      <w:r w:rsidR="000E7E67" w:rsidRPr="00833C88">
        <w:rPr>
          <w:rFonts w:ascii="Times New Roman" w:hAnsi="Times New Roman" w:cs="Times New Roman"/>
          <w:vertAlign w:val="superscript"/>
        </w:rPr>
        <w:t>)</w:t>
      </w:r>
      <w:r w:rsidRPr="00833C88">
        <w:rPr>
          <w:rFonts w:ascii="Times New Roman" w:hAnsi="Times New Roman" w:cs="Times New Roman"/>
        </w:rPr>
        <w:t>, w tym polityki tematyczne</w:t>
      </w:r>
      <w:r w:rsidR="002F6F10" w:rsidRPr="00833C88">
        <w:rPr>
          <w:rStyle w:val="Odwoanieprzypisudolnego"/>
          <w:rFonts w:ascii="Times New Roman" w:hAnsi="Times New Roman" w:cs="Times New Roman"/>
        </w:rPr>
        <w:footnoteReference w:id="26"/>
      </w:r>
      <w:r w:rsidR="000E7E67" w:rsidRPr="00833C88">
        <w:rPr>
          <w:rFonts w:ascii="Times New Roman" w:hAnsi="Times New Roman" w:cs="Times New Roman"/>
          <w:vertAlign w:val="superscript"/>
        </w:rPr>
        <w:t>)</w:t>
      </w:r>
      <w:r w:rsidRPr="00833C88">
        <w:rPr>
          <w:rFonts w:ascii="Times New Roman" w:hAnsi="Times New Roman" w:cs="Times New Roman"/>
        </w:rPr>
        <w:t>,</w:t>
      </w:r>
    </w:p>
    <w:p w14:paraId="7A0C9D6D" w14:textId="7BACC68C"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b)</w:t>
      </w:r>
      <w:r w:rsidRPr="00833C88">
        <w:rPr>
          <w:rFonts w:ascii="Times New Roman" w:hAnsi="Times New Roman" w:cs="Times New Roman"/>
        </w:rPr>
        <w:tab/>
        <w:t xml:space="preserve">bezpieczeństwo </w:t>
      </w:r>
      <w:r w:rsidR="00601933" w:rsidRPr="00833C88">
        <w:rPr>
          <w:rFonts w:ascii="Times New Roman" w:hAnsi="Times New Roman" w:cs="Times New Roman"/>
        </w:rPr>
        <w:t>w </w:t>
      </w:r>
      <w:r w:rsidRPr="00833C88">
        <w:rPr>
          <w:rFonts w:ascii="Times New Roman" w:hAnsi="Times New Roman" w:cs="Times New Roman"/>
        </w:rPr>
        <w:t xml:space="preserve">procesie nabywania, rozwoju, utrzymania </w:t>
      </w:r>
      <w:r w:rsidR="00601933" w:rsidRPr="00833C88">
        <w:rPr>
          <w:rFonts w:ascii="Times New Roman" w:hAnsi="Times New Roman" w:cs="Times New Roman"/>
        </w:rPr>
        <w:t>i </w:t>
      </w:r>
      <w:r w:rsidRPr="00833C88">
        <w:rPr>
          <w:rFonts w:ascii="Times New Roman" w:hAnsi="Times New Roman" w:cs="Times New Roman"/>
        </w:rPr>
        <w:t xml:space="preserve">eksploatacji systemu informacyjnego, </w:t>
      </w:r>
      <w:r w:rsidR="00601933" w:rsidRPr="00833C88">
        <w:rPr>
          <w:rFonts w:ascii="Times New Roman" w:hAnsi="Times New Roman" w:cs="Times New Roman"/>
        </w:rPr>
        <w:t>w </w:t>
      </w:r>
      <w:r w:rsidRPr="00833C88">
        <w:rPr>
          <w:rFonts w:ascii="Times New Roman" w:hAnsi="Times New Roman" w:cs="Times New Roman"/>
        </w:rPr>
        <w:t>tym testowanie systemu informacyjnego</w:t>
      </w:r>
      <w:r w:rsidR="00FA7B7B" w:rsidRPr="00833C88">
        <w:rPr>
          <w:rStyle w:val="Odwoanieprzypisudolnego"/>
          <w:rFonts w:ascii="Times New Roman" w:hAnsi="Times New Roman" w:cs="Times New Roman"/>
        </w:rPr>
        <w:footnoteReference w:id="27"/>
      </w:r>
      <w:r w:rsidR="000E7E67" w:rsidRPr="00833C88">
        <w:rPr>
          <w:rFonts w:ascii="Times New Roman" w:hAnsi="Times New Roman" w:cs="Times New Roman"/>
          <w:vertAlign w:val="superscript"/>
        </w:rPr>
        <w:t>)</w:t>
      </w:r>
      <w:r w:rsidRPr="00833C88">
        <w:rPr>
          <w:rFonts w:ascii="Times New Roman" w:hAnsi="Times New Roman" w:cs="Times New Roman"/>
        </w:rPr>
        <w:t>,</w:t>
      </w:r>
    </w:p>
    <w:p w14:paraId="51004C11" w14:textId="2E49D9C7"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c)</w:t>
      </w:r>
      <w:r w:rsidRPr="00833C88">
        <w:rPr>
          <w:rFonts w:ascii="Times New Roman" w:hAnsi="Times New Roman" w:cs="Times New Roman"/>
        </w:rPr>
        <w:tab/>
        <w:t xml:space="preserve">bezpieczeństwo fizyczne </w:t>
      </w:r>
      <w:r w:rsidR="00601933" w:rsidRPr="00833C88">
        <w:rPr>
          <w:rFonts w:ascii="Times New Roman" w:hAnsi="Times New Roman" w:cs="Times New Roman"/>
        </w:rPr>
        <w:t>i </w:t>
      </w:r>
      <w:r w:rsidRPr="00833C88">
        <w:rPr>
          <w:rFonts w:ascii="Times New Roman" w:hAnsi="Times New Roman" w:cs="Times New Roman"/>
        </w:rPr>
        <w:t>środowiskowe, uwzględniające kontrolę dostępu</w:t>
      </w:r>
      <w:r w:rsidR="00246555" w:rsidRPr="00833C88">
        <w:rPr>
          <w:rStyle w:val="Odwoanieprzypisudolnego"/>
          <w:rFonts w:ascii="Times New Roman" w:hAnsi="Times New Roman" w:cs="Times New Roman"/>
        </w:rPr>
        <w:footnoteReference w:id="28"/>
      </w:r>
      <w:r w:rsidR="000E7E67" w:rsidRPr="00833C88">
        <w:rPr>
          <w:rFonts w:ascii="Times New Roman" w:hAnsi="Times New Roman" w:cs="Times New Roman"/>
          <w:vertAlign w:val="superscript"/>
        </w:rPr>
        <w:t>)</w:t>
      </w:r>
      <w:r w:rsidRPr="00833C88">
        <w:rPr>
          <w:rFonts w:ascii="Times New Roman" w:hAnsi="Times New Roman" w:cs="Times New Roman"/>
        </w:rPr>
        <w:t>,</w:t>
      </w:r>
    </w:p>
    <w:p w14:paraId="1373108E" w14:textId="086DAA51"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d)</w:t>
      </w:r>
      <w:r w:rsidRPr="00833C88">
        <w:rPr>
          <w:rFonts w:ascii="Times New Roman" w:hAnsi="Times New Roman" w:cs="Times New Roman"/>
        </w:rPr>
        <w:tab/>
        <w:t>bezpieczeństwo zasobów ludzkich</w:t>
      </w:r>
      <w:r w:rsidR="005402DE" w:rsidRPr="00833C88">
        <w:rPr>
          <w:rStyle w:val="Odwoanieprzypisudolnego"/>
          <w:rFonts w:ascii="Times New Roman" w:hAnsi="Times New Roman" w:cs="Times New Roman"/>
        </w:rPr>
        <w:footnoteReference w:id="29"/>
      </w:r>
      <w:r w:rsidR="000E7E67" w:rsidRPr="00833C88">
        <w:rPr>
          <w:rFonts w:ascii="Times New Roman" w:hAnsi="Times New Roman" w:cs="Times New Roman"/>
          <w:vertAlign w:val="superscript"/>
        </w:rPr>
        <w:t>)</w:t>
      </w:r>
      <w:r w:rsidR="000E7E67" w:rsidRPr="00833C88">
        <w:rPr>
          <w:rFonts w:ascii="Times New Roman" w:hAnsi="Times New Roman" w:cs="Times New Roman"/>
        </w:rPr>
        <w:t>,</w:t>
      </w:r>
    </w:p>
    <w:p w14:paraId="404ECC09" w14:textId="2C5CFA5A"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e)</w:t>
      </w:r>
      <w:r w:rsidRPr="00833C88">
        <w:rPr>
          <w:rFonts w:ascii="Times New Roman" w:hAnsi="Times New Roman" w:cs="Times New Roman"/>
        </w:rPr>
        <w:tab/>
        <w:t xml:space="preserve">bezpieczeństwo </w:t>
      </w:r>
      <w:r w:rsidR="00601933" w:rsidRPr="00833C88">
        <w:rPr>
          <w:rFonts w:ascii="Times New Roman" w:hAnsi="Times New Roman" w:cs="Times New Roman"/>
        </w:rPr>
        <w:t>i </w:t>
      </w:r>
      <w:r w:rsidRPr="00833C88">
        <w:rPr>
          <w:rFonts w:ascii="Times New Roman" w:hAnsi="Times New Roman" w:cs="Times New Roman"/>
        </w:rPr>
        <w:t xml:space="preserve">ciągłość łańcucha dostaw produktów ICT, usług ICT i procesów ICT, od których zależy świadczenie usługi </w:t>
      </w:r>
      <w:r w:rsidR="00601933" w:rsidRPr="00833C88">
        <w:rPr>
          <w:rFonts w:ascii="Times New Roman" w:hAnsi="Times New Roman" w:cs="Times New Roman"/>
        </w:rPr>
        <w:t>z </w:t>
      </w:r>
      <w:r w:rsidRPr="00833C88">
        <w:rPr>
          <w:rFonts w:ascii="Times New Roman" w:hAnsi="Times New Roman" w:cs="Times New Roman"/>
        </w:rPr>
        <w:t xml:space="preserve">uwzględnieniem związków pomiędzy bezpośrednim dostawcą sprzętu lub oprogramowania </w:t>
      </w:r>
      <w:r w:rsidR="00601933" w:rsidRPr="00833C88">
        <w:rPr>
          <w:rFonts w:ascii="Times New Roman" w:hAnsi="Times New Roman" w:cs="Times New Roman"/>
        </w:rPr>
        <w:t>a </w:t>
      </w:r>
      <w:r w:rsidRPr="00833C88">
        <w:rPr>
          <w:rFonts w:ascii="Times New Roman" w:hAnsi="Times New Roman" w:cs="Times New Roman"/>
        </w:rPr>
        <w:t>podmiotem kluczowym lub podmiotem ważnym</w:t>
      </w:r>
      <w:r w:rsidR="00B24456" w:rsidRPr="00833C88">
        <w:rPr>
          <w:rStyle w:val="Odwoanieprzypisudolnego"/>
          <w:rFonts w:ascii="Times New Roman" w:hAnsi="Times New Roman" w:cs="Times New Roman"/>
        </w:rPr>
        <w:footnoteReference w:id="30"/>
      </w:r>
      <w:r w:rsidR="000E7E67" w:rsidRPr="00833C88">
        <w:rPr>
          <w:rFonts w:ascii="Times New Roman" w:hAnsi="Times New Roman" w:cs="Times New Roman"/>
          <w:vertAlign w:val="superscript"/>
        </w:rPr>
        <w:t>)</w:t>
      </w:r>
      <w:r w:rsidRPr="00833C88">
        <w:rPr>
          <w:rFonts w:ascii="Times New Roman" w:hAnsi="Times New Roman" w:cs="Times New Roman"/>
        </w:rPr>
        <w:t>,</w:t>
      </w:r>
    </w:p>
    <w:p w14:paraId="675DC1A4" w14:textId="55EA9382" w:rsidR="00A01483"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lastRenderedPageBreak/>
        <w:t>f)</w:t>
      </w:r>
      <w:r w:rsidRPr="00833C88">
        <w:rPr>
          <w:rFonts w:ascii="Times New Roman" w:hAnsi="Times New Roman" w:cs="Times New Roman"/>
        </w:rPr>
        <w:tab/>
        <w:t xml:space="preserve">wdrażanie, dokumentowanie, testowanie </w:t>
      </w:r>
      <w:r w:rsidR="00601933" w:rsidRPr="00833C88">
        <w:rPr>
          <w:rFonts w:ascii="Times New Roman" w:hAnsi="Times New Roman" w:cs="Times New Roman"/>
        </w:rPr>
        <w:t>i </w:t>
      </w:r>
      <w:r w:rsidRPr="00833C88">
        <w:rPr>
          <w:rFonts w:ascii="Times New Roman" w:hAnsi="Times New Roman" w:cs="Times New Roman"/>
        </w:rPr>
        <w:t>utrzymywanie</w:t>
      </w:r>
      <w:r w:rsidR="00A01483" w:rsidRPr="00833C88">
        <w:rPr>
          <w:rFonts w:ascii="Times New Roman" w:hAnsi="Times New Roman" w:cs="Times New Roman"/>
        </w:rPr>
        <w:t>:</w:t>
      </w:r>
    </w:p>
    <w:p w14:paraId="47CCB3CB" w14:textId="50DEB658" w:rsidR="00A01483" w:rsidRPr="00833C88" w:rsidRDefault="007713AD" w:rsidP="00031FDA">
      <w:pPr>
        <w:pStyle w:val="ZLITwPKTzmlitwpktartykuempunktem"/>
        <w:numPr>
          <w:ilvl w:val="0"/>
          <w:numId w:val="66"/>
        </w:numPr>
        <w:rPr>
          <w:rFonts w:ascii="Times New Roman" w:hAnsi="Times New Roman" w:cs="Times New Roman"/>
        </w:rPr>
      </w:pPr>
      <w:r w:rsidRPr="00833C88">
        <w:rPr>
          <w:rFonts w:ascii="Times New Roman" w:hAnsi="Times New Roman" w:cs="Times New Roman"/>
        </w:rPr>
        <w:t>planów ciągłości działania</w:t>
      </w:r>
      <w:r w:rsidR="00A01483" w:rsidRPr="00833C88">
        <w:rPr>
          <w:rFonts w:ascii="Times New Roman" w:hAnsi="Times New Roman" w:cs="Times New Roman"/>
        </w:rPr>
        <w:t xml:space="preserve"> (</w:t>
      </w:r>
      <w:r w:rsidR="00A01483" w:rsidRPr="00833C88">
        <w:rPr>
          <w:rFonts w:ascii="Times New Roman" w:hAnsi="Times New Roman" w:cs="Times New Roman"/>
          <w:i/>
          <w:iCs/>
        </w:rPr>
        <w:t xml:space="preserve">Business </w:t>
      </w:r>
      <w:proofErr w:type="spellStart"/>
      <w:r w:rsidR="00A01483" w:rsidRPr="00833C88">
        <w:rPr>
          <w:rFonts w:ascii="Times New Roman" w:hAnsi="Times New Roman" w:cs="Times New Roman"/>
          <w:i/>
          <w:iCs/>
        </w:rPr>
        <w:t>continuity</w:t>
      </w:r>
      <w:proofErr w:type="spellEnd"/>
      <w:r w:rsidR="00A01483" w:rsidRPr="00833C88">
        <w:rPr>
          <w:rFonts w:ascii="Times New Roman" w:hAnsi="Times New Roman" w:cs="Times New Roman"/>
          <w:i/>
          <w:iCs/>
        </w:rPr>
        <w:t xml:space="preserve"> plan – </w:t>
      </w:r>
      <w:proofErr w:type="spellStart"/>
      <w:r w:rsidR="00A01483" w:rsidRPr="00833C88">
        <w:rPr>
          <w:rFonts w:ascii="Times New Roman" w:hAnsi="Times New Roman" w:cs="Times New Roman"/>
          <w:i/>
          <w:iCs/>
        </w:rPr>
        <w:t>BCP</w:t>
      </w:r>
      <w:proofErr w:type="spellEnd"/>
      <w:r w:rsidR="00A01483" w:rsidRPr="00833C88">
        <w:rPr>
          <w:rFonts w:ascii="Times New Roman" w:hAnsi="Times New Roman" w:cs="Times New Roman"/>
        </w:rPr>
        <w:t>)</w:t>
      </w:r>
      <w:r w:rsidRPr="00833C88">
        <w:rPr>
          <w:rFonts w:ascii="Times New Roman" w:hAnsi="Times New Roman" w:cs="Times New Roman"/>
        </w:rPr>
        <w:t xml:space="preserve"> umożliwiających ciągłe </w:t>
      </w:r>
      <w:r w:rsidR="00601933" w:rsidRPr="00833C88">
        <w:rPr>
          <w:rFonts w:ascii="Times New Roman" w:hAnsi="Times New Roman" w:cs="Times New Roman"/>
        </w:rPr>
        <w:t>i </w:t>
      </w:r>
      <w:r w:rsidRPr="00833C88">
        <w:rPr>
          <w:rFonts w:ascii="Times New Roman" w:hAnsi="Times New Roman" w:cs="Times New Roman"/>
        </w:rPr>
        <w:t xml:space="preserve">niezakłócone świadczenie usługi oraz zapewniających poufność, integralność, dostępność </w:t>
      </w:r>
      <w:r w:rsidR="00601933" w:rsidRPr="00833C88">
        <w:rPr>
          <w:rFonts w:ascii="Times New Roman" w:hAnsi="Times New Roman" w:cs="Times New Roman"/>
        </w:rPr>
        <w:t>i </w:t>
      </w:r>
      <w:r w:rsidRPr="00833C88">
        <w:rPr>
          <w:rFonts w:ascii="Times New Roman" w:hAnsi="Times New Roman" w:cs="Times New Roman"/>
        </w:rPr>
        <w:t xml:space="preserve">autentyczność informacji, </w:t>
      </w:r>
    </w:p>
    <w:p w14:paraId="3E4DCBFC" w14:textId="7A303499" w:rsidR="00A01483" w:rsidRPr="00833C88" w:rsidRDefault="007713AD" w:rsidP="00031FDA">
      <w:pPr>
        <w:pStyle w:val="ZLITwPKTzmlitwpktartykuempunktem"/>
        <w:numPr>
          <w:ilvl w:val="0"/>
          <w:numId w:val="66"/>
        </w:numPr>
        <w:rPr>
          <w:rFonts w:ascii="Times New Roman" w:hAnsi="Times New Roman" w:cs="Times New Roman"/>
        </w:rPr>
      </w:pPr>
      <w:r w:rsidRPr="00833C88">
        <w:rPr>
          <w:rFonts w:ascii="Times New Roman" w:hAnsi="Times New Roman" w:cs="Times New Roman"/>
        </w:rPr>
        <w:t>planów awaryjnych</w:t>
      </w:r>
      <w:r w:rsidR="000731D4" w:rsidRPr="00833C88">
        <w:rPr>
          <w:rFonts w:ascii="Times New Roman" w:hAnsi="Times New Roman" w:cs="Times New Roman"/>
        </w:rPr>
        <w:t xml:space="preserve"> (Information System </w:t>
      </w:r>
      <w:proofErr w:type="spellStart"/>
      <w:r w:rsidR="000731D4" w:rsidRPr="00833C88">
        <w:rPr>
          <w:rFonts w:ascii="Times New Roman" w:hAnsi="Times New Roman" w:cs="Times New Roman"/>
        </w:rPr>
        <w:t>Contingency</w:t>
      </w:r>
      <w:proofErr w:type="spellEnd"/>
      <w:r w:rsidR="000731D4" w:rsidRPr="00833C88">
        <w:rPr>
          <w:rFonts w:ascii="Times New Roman" w:hAnsi="Times New Roman" w:cs="Times New Roman"/>
        </w:rPr>
        <w:t xml:space="preserve"> Plan – </w:t>
      </w:r>
      <w:proofErr w:type="spellStart"/>
      <w:r w:rsidR="000731D4" w:rsidRPr="00833C88">
        <w:rPr>
          <w:rFonts w:ascii="Times New Roman" w:hAnsi="Times New Roman" w:cs="Times New Roman"/>
        </w:rPr>
        <w:t>ISCP</w:t>
      </w:r>
      <w:proofErr w:type="spellEnd"/>
      <w:r w:rsidR="000731D4" w:rsidRPr="00833C88">
        <w:rPr>
          <w:rFonts w:ascii="Times New Roman" w:hAnsi="Times New Roman" w:cs="Times New Roman"/>
        </w:rPr>
        <w:t>)</w:t>
      </w:r>
      <w:r w:rsidRPr="00833C88">
        <w:rPr>
          <w:rFonts w:ascii="Times New Roman" w:hAnsi="Times New Roman" w:cs="Times New Roman"/>
        </w:rPr>
        <w:t xml:space="preserve">, oraz </w:t>
      </w:r>
    </w:p>
    <w:p w14:paraId="29F654CE" w14:textId="3FE0C068" w:rsidR="007713AD" w:rsidRPr="00833C88" w:rsidRDefault="007713AD" w:rsidP="00031FDA">
      <w:pPr>
        <w:pStyle w:val="ZLITwPKTzmlitwpktartykuempunktem"/>
        <w:numPr>
          <w:ilvl w:val="0"/>
          <w:numId w:val="66"/>
        </w:numPr>
        <w:rPr>
          <w:rFonts w:ascii="Times New Roman" w:hAnsi="Times New Roman" w:cs="Times New Roman"/>
        </w:rPr>
      </w:pPr>
      <w:r w:rsidRPr="00833C88">
        <w:rPr>
          <w:rFonts w:ascii="Times New Roman" w:hAnsi="Times New Roman" w:cs="Times New Roman"/>
        </w:rPr>
        <w:t>planów odtworzenia działalności umożliwiających odtworzenie systemu informacyjnego po zdarzeniu, które spowodowało straty przekraczające zdolności podmiotu do odbudowy za pomocą własnych środków</w:t>
      </w:r>
      <w:r w:rsidR="002B06E9" w:rsidRPr="00833C88">
        <w:rPr>
          <w:rFonts w:ascii="Times New Roman" w:hAnsi="Times New Roman" w:cs="Times New Roman"/>
        </w:rPr>
        <w:t xml:space="preserve"> – (</w:t>
      </w:r>
      <w:proofErr w:type="spellStart"/>
      <w:r w:rsidR="002B06E9" w:rsidRPr="00833C88">
        <w:rPr>
          <w:rFonts w:ascii="Times New Roman" w:hAnsi="Times New Roman" w:cs="Times New Roman"/>
        </w:rPr>
        <w:t>Disaster</w:t>
      </w:r>
      <w:proofErr w:type="spellEnd"/>
      <w:r w:rsidR="002B06E9" w:rsidRPr="00833C88">
        <w:rPr>
          <w:rFonts w:ascii="Times New Roman" w:hAnsi="Times New Roman" w:cs="Times New Roman"/>
        </w:rPr>
        <w:t xml:space="preserve"> </w:t>
      </w:r>
      <w:proofErr w:type="spellStart"/>
      <w:r w:rsidR="002B06E9" w:rsidRPr="00833C88">
        <w:rPr>
          <w:rFonts w:ascii="Times New Roman" w:hAnsi="Times New Roman" w:cs="Times New Roman"/>
        </w:rPr>
        <w:t>Recovery</w:t>
      </w:r>
      <w:proofErr w:type="spellEnd"/>
      <w:r w:rsidR="002B06E9" w:rsidRPr="00833C88">
        <w:rPr>
          <w:rFonts w:ascii="Times New Roman" w:hAnsi="Times New Roman" w:cs="Times New Roman"/>
        </w:rPr>
        <w:t xml:space="preserve"> Plan – DRP)</w:t>
      </w:r>
      <w:r w:rsidRPr="00833C88">
        <w:rPr>
          <w:rFonts w:ascii="Times New Roman" w:hAnsi="Times New Roman" w:cs="Times New Roman"/>
        </w:rPr>
        <w:t>,</w:t>
      </w:r>
    </w:p>
    <w:p w14:paraId="6A202D03" w14:textId="0B06209E"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g)</w:t>
      </w:r>
      <w:r w:rsidRPr="00833C88">
        <w:rPr>
          <w:rFonts w:ascii="Times New Roman" w:hAnsi="Times New Roman" w:cs="Times New Roman"/>
        </w:rPr>
        <w:tab/>
        <w:t xml:space="preserve">objęcie systemu informacyjnego wykorzystywanego do świadczenia usługi systemem monitorowania </w:t>
      </w:r>
      <w:r w:rsidR="00601933" w:rsidRPr="00833C88">
        <w:rPr>
          <w:rFonts w:ascii="Times New Roman" w:hAnsi="Times New Roman" w:cs="Times New Roman"/>
        </w:rPr>
        <w:t>w </w:t>
      </w:r>
      <w:r w:rsidRPr="00833C88">
        <w:rPr>
          <w:rFonts w:ascii="Times New Roman" w:hAnsi="Times New Roman" w:cs="Times New Roman"/>
        </w:rPr>
        <w:t>trybie ciągłym</w:t>
      </w:r>
      <w:r w:rsidR="00FF5C7B" w:rsidRPr="00833C88">
        <w:rPr>
          <w:rStyle w:val="Odwoanieprzypisudolnego"/>
          <w:rFonts w:ascii="Times New Roman" w:hAnsi="Times New Roman" w:cs="Times New Roman"/>
        </w:rPr>
        <w:footnoteReference w:id="31"/>
      </w:r>
      <w:r w:rsidR="008763A1" w:rsidRPr="00833C88">
        <w:rPr>
          <w:rFonts w:ascii="Times New Roman" w:hAnsi="Times New Roman" w:cs="Times New Roman"/>
          <w:vertAlign w:val="superscript"/>
        </w:rPr>
        <w:t>)</w:t>
      </w:r>
      <w:r w:rsidRPr="00833C88">
        <w:rPr>
          <w:rFonts w:ascii="Times New Roman" w:hAnsi="Times New Roman" w:cs="Times New Roman"/>
        </w:rPr>
        <w:t>,</w:t>
      </w:r>
    </w:p>
    <w:p w14:paraId="6F6BC58C" w14:textId="42C5E95E"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h)</w:t>
      </w:r>
      <w:r w:rsidRPr="00833C88">
        <w:rPr>
          <w:rFonts w:ascii="Times New Roman" w:hAnsi="Times New Roman" w:cs="Times New Roman"/>
        </w:rPr>
        <w:tab/>
        <w:t xml:space="preserve">polityki </w:t>
      </w:r>
      <w:r w:rsidR="00601933" w:rsidRPr="00833C88">
        <w:rPr>
          <w:rFonts w:ascii="Times New Roman" w:hAnsi="Times New Roman" w:cs="Times New Roman"/>
        </w:rPr>
        <w:t>i </w:t>
      </w:r>
      <w:r w:rsidRPr="00833C88">
        <w:rPr>
          <w:rFonts w:ascii="Times New Roman" w:hAnsi="Times New Roman" w:cs="Times New Roman"/>
        </w:rPr>
        <w:t>procedury oceny skuteczności środków technicznych i organizacyjnych</w:t>
      </w:r>
      <w:r w:rsidR="007D79E9" w:rsidRPr="00833C88">
        <w:rPr>
          <w:rStyle w:val="Odwoanieprzypisudolnego"/>
          <w:rFonts w:ascii="Times New Roman" w:hAnsi="Times New Roman" w:cs="Times New Roman"/>
        </w:rPr>
        <w:footnoteReference w:id="32"/>
      </w:r>
      <w:r w:rsidR="008763A1" w:rsidRPr="00833C88">
        <w:rPr>
          <w:rFonts w:ascii="Times New Roman" w:hAnsi="Times New Roman" w:cs="Times New Roman"/>
          <w:vertAlign w:val="superscript"/>
        </w:rPr>
        <w:t>)</w:t>
      </w:r>
      <w:r w:rsidRPr="00833C88">
        <w:rPr>
          <w:rFonts w:ascii="Times New Roman" w:hAnsi="Times New Roman" w:cs="Times New Roman"/>
        </w:rPr>
        <w:t>,</w:t>
      </w:r>
    </w:p>
    <w:p w14:paraId="1486768F" w14:textId="3D968A0C"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i)</w:t>
      </w:r>
      <w:r w:rsidRPr="00833C88">
        <w:rPr>
          <w:rFonts w:ascii="Times New Roman" w:hAnsi="Times New Roman" w:cs="Times New Roman"/>
        </w:rPr>
        <w:tab/>
        <w:t xml:space="preserve">edukację </w:t>
      </w:r>
      <w:r w:rsidR="00601933" w:rsidRPr="00833C88">
        <w:rPr>
          <w:rFonts w:ascii="Times New Roman" w:hAnsi="Times New Roman" w:cs="Times New Roman"/>
        </w:rPr>
        <w:t>z </w:t>
      </w:r>
      <w:r w:rsidRPr="00833C88">
        <w:rPr>
          <w:rFonts w:ascii="Times New Roman" w:hAnsi="Times New Roman" w:cs="Times New Roman"/>
        </w:rPr>
        <w:t>zakresu cyberbezpieczeństwa dla personelu podmiotu,</w:t>
      </w:r>
    </w:p>
    <w:p w14:paraId="057F189B" w14:textId="0C9AE861"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j)</w:t>
      </w:r>
      <w:r w:rsidRPr="00833C88">
        <w:rPr>
          <w:rFonts w:ascii="Times New Roman" w:hAnsi="Times New Roman" w:cs="Times New Roman"/>
        </w:rPr>
        <w:tab/>
        <w:t xml:space="preserve">podstawowe zasady </w:t>
      </w:r>
      <w:proofErr w:type="spellStart"/>
      <w:r w:rsidRPr="00833C88">
        <w:rPr>
          <w:rFonts w:ascii="Times New Roman" w:hAnsi="Times New Roman" w:cs="Times New Roman"/>
        </w:rPr>
        <w:t>cyberhigieny</w:t>
      </w:r>
      <w:proofErr w:type="spellEnd"/>
      <w:r w:rsidR="005C6A50" w:rsidRPr="00833C88">
        <w:rPr>
          <w:rFonts w:ascii="Times New Roman" w:hAnsi="Times New Roman" w:cs="Times New Roman"/>
        </w:rPr>
        <w:t xml:space="preserve"> – jest to klauzula generalna, zmienna </w:t>
      </w:r>
      <w:r w:rsidR="00601933" w:rsidRPr="00833C88">
        <w:rPr>
          <w:rFonts w:ascii="Times New Roman" w:hAnsi="Times New Roman" w:cs="Times New Roman"/>
        </w:rPr>
        <w:t>z </w:t>
      </w:r>
      <w:r w:rsidR="005C6A50" w:rsidRPr="00833C88">
        <w:rPr>
          <w:rFonts w:ascii="Times New Roman" w:hAnsi="Times New Roman" w:cs="Times New Roman"/>
        </w:rPr>
        <w:t>uwagi na postęp technologiczny</w:t>
      </w:r>
      <w:r w:rsidR="00246998" w:rsidRPr="00833C88">
        <w:rPr>
          <w:rFonts w:ascii="Times New Roman" w:hAnsi="Times New Roman" w:cs="Times New Roman"/>
        </w:rPr>
        <w:t xml:space="preserve">; podmiot kluczowy </w:t>
      </w:r>
      <w:r w:rsidR="00601933" w:rsidRPr="00833C88">
        <w:rPr>
          <w:rFonts w:ascii="Times New Roman" w:hAnsi="Times New Roman" w:cs="Times New Roman"/>
        </w:rPr>
        <w:t>i </w:t>
      </w:r>
      <w:r w:rsidR="00246998" w:rsidRPr="00833C88">
        <w:rPr>
          <w:rFonts w:ascii="Times New Roman" w:hAnsi="Times New Roman" w:cs="Times New Roman"/>
        </w:rPr>
        <w:t xml:space="preserve">podmiot ważny musi identyfikować te zasady </w:t>
      </w:r>
      <w:r w:rsidR="00601933" w:rsidRPr="00833C88">
        <w:rPr>
          <w:rFonts w:ascii="Times New Roman" w:hAnsi="Times New Roman" w:cs="Times New Roman"/>
        </w:rPr>
        <w:t>w </w:t>
      </w:r>
      <w:r w:rsidR="00246998" w:rsidRPr="00833C88">
        <w:rPr>
          <w:rFonts w:ascii="Times New Roman" w:hAnsi="Times New Roman" w:cs="Times New Roman"/>
        </w:rPr>
        <w:t xml:space="preserve">oparciu </w:t>
      </w:r>
      <w:r w:rsidR="00601933" w:rsidRPr="00833C88">
        <w:rPr>
          <w:rFonts w:ascii="Times New Roman" w:hAnsi="Times New Roman" w:cs="Times New Roman"/>
        </w:rPr>
        <w:t>o </w:t>
      </w:r>
      <w:r w:rsidR="00246998" w:rsidRPr="00833C88">
        <w:rPr>
          <w:rFonts w:ascii="Times New Roman" w:hAnsi="Times New Roman" w:cs="Times New Roman"/>
        </w:rPr>
        <w:t>aktualny poziom wiedzy technicznej</w:t>
      </w:r>
      <w:r w:rsidRPr="00833C88">
        <w:rPr>
          <w:rFonts w:ascii="Times New Roman" w:hAnsi="Times New Roman" w:cs="Times New Roman"/>
        </w:rPr>
        <w:t>,</w:t>
      </w:r>
    </w:p>
    <w:p w14:paraId="77DF9ED0" w14:textId="021A4448"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k)</w:t>
      </w:r>
      <w:r w:rsidRPr="00833C88">
        <w:rPr>
          <w:rFonts w:ascii="Times New Roman" w:hAnsi="Times New Roman" w:cs="Times New Roman"/>
        </w:rPr>
        <w:tab/>
        <w:t xml:space="preserve">polityki </w:t>
      </w:r>
      <w:r w:rsidR="00601933" w:rsidRPr="00833C88">
        <w:rPr>
          <w:rFonts w:ascii="Times New Roman" w:hAnsi="Times New Roman" w:cs="Times New Roman"/>
        </w:rPr>
        <w:t>i </w:t>
      </w:r>
      <w:r w:rsidRPr="00833C88">
        <w:rPr>
          <w:rFonts w:ascii="Times New Roman" w:hAnsi="Times New Roman" w:cs="Times New Roman"/>
        </w:rPr>
        <w:t xml:space="preserve">procedury stosowania kryptografii, </w:t>
      </w:r>
      <w:r w:rsidR="00601933" w:rsidRPr="00833C88">
        <w:rPr>
          <w:rFonts w:ascii="Times New Roman" w:hAnsi="Times New Roman" w:cs="Times New Roman"/>
        </w:rPr>
        <w:t>w </w:t>
      </w:r>
      <w:r w:rsidRPr="00833C88">
        <w:rPr>
          <w:rFonts w:ascii="Times New Roman" w:hAnsi="Times New Roman" w:cs="Times New Roman"/>
        </w:rPr>
        <w:t xml:space="preserve">tym </w:t>
      </w:r>
      <w:r w:rsidR="00601933" w:rsidRPr="00833C88">
        <w:rPr>
          <w:rFonts w:ascii="Times New Roman" w:hAnsi="Times New Roman" w:cs="Times New Roman"/>
        </w:rPr>
        <w:t>w </w:t>
      </w:r>
      <w:r w:rsidRPr="00833C88">
        <w:rPr>
          <w:rFonts w:ascii="Times New Roman" w:hAnsi="Times New Roman" w:cs="Times New Roman"/>
        </w:rPr>
        <w:t>stosownych przypadkach szyfrowania</w:t>
      </w:r>
      <w:r w:rsidR="00671B33" w:rsidRPr="00833C88">
        <w:rPr>
          <w:rStyle w:val="Odwoanieprzypisudolnego"/>
          <w:rFonts w:ascii="Times New Roman" w:hAnsi="Times New Roman" w:cs="Times New Roman"/>
        </w:rPr>
        <w:footnoteReference w:id="33"/>
      </w:r>
      <w:r w:rsidR="008763A1" w:rsidRPr="00833C88">
        <w:rPr>
          <w:rFonts w:ascii="Times New Roman" w:hAnsi="Times New Roman" w:cs="Times New Roman"/>
          <w:vertAlign w:val="superscript"/>
        </w:rPr>
        <w:t>)</w:t>
      </w:r>
      <w:r w:rsidRPr="00833C88">
        <w:rPr>
          <w:rFonts w:ascii="Times New Roman" w:hAnsi="Times New Roman" w:cs="Times New Roman"/>
        </w:rPr>
        <w:t xml:space="preserve">, </w:t>
      </w:r>
    </w:p>
    <w:p w14:paraId="58DC8DB8" w14:textId="3600862C"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l)</w:t>
      </w:r>
      <w:r w:rsidRPr="00833C88">
        <w:rPr>
          <w:rFonts w:ascii="Times New Roman" w:hAnsi="Times New Roman" w:cs="Times New Roman"/>
        </w:rPr>
        <w:tab/>
        <w:t xml:space="preserve">stosowanie bezpiecznych środków komunikacji elektronicznej </w:t>
      </w:r>
      <w:r w:rsidR="00601933" w:rsidRPr="00833C88">
        <w:rPr>
          <w:rFonts w:ascii="Times New Roman" w:hAnsi="Times New Roman" w:cs="Times New Roman"/>
        </w:rPr>
        <w:t>w </w:t>
      </w:r>
      <w:r w:rsidRPr="00833C88">
        <w:rPr>
          <w:rFonts w:ascii="Times New Roman" w:hAnsi="Times New Roman" w:cs="Times New Roman"/>
        </w:rPr>
        <w:t xml:space="preserve">ramach krajowego systemu cyberbezpieczeństwa oraz wewnątrz podmiotu, </w:t>
      </w:r>
      <w:r w:rsidRPr="00833C88">
        <w:rPr>
          <w:rFonts w:ascii="Times New Roman" w:hAnsi="Times New Roman" w:cs="Times New Roman"/>
        </w:rPr>
        <w:lastRenderedPageBreak/>
        <w:t>uwzględniających uwierzytelnianie wieloskładnikowe</w:t>
      </w:r>
      <w:r w:rsidRPr="00833C88" w:rsidDel="005E29F7">
        <w:rPr>
          <w:rFonts w:ascii="Times New Roman" w:hAnsi="Times New Roman" w:cs="Times New Roman"/>
        </w:rPr>
        <w:t xml:space="preserve"> </w:t>
      </w:r>
      <w:r w:rsidR="00601933" w:rsidRPr="00833C88">
        <w:rPr>
          <w:rFonts w:ascii="Times New Roman" w:hAnsi="Times New Roman" w:cs="Times New Roman"/>
        </w:rPr>
        <w:t>w </w:t>
      </w:r>
      <w:r w:rsidRPr="00833C88">
        <w:rPr>
          <w:rFonts w:ascii="Times New Roman" w:hAnsi="Times New Roman" w:cs="Times New Roman"/>
        </w:rPr>
        <w:t>stosownych przypadkach</w:t>
      </w:r>
      <w:r w:rsidR="008763A1" w:rsidRPr="00833C88">
        <w:rPr>
          <w:rFonts w:ascii="Times New Roman" w:hAnsi="Times New Roman" w:cs="Times New Roman"/>
        </w:rPr>
        <w:t>,</w:t>
      </w:r>
    </w:p>
    <w:p w14:paraId="2035A4F0" w14:textId="6DA1FC88" w:rsidR="007713AD" w:rsidRPr="00833C88" w:rsidRDefault="007713AD" w:rsidP="00031FDA">
      <w:pPr>
        <w:pStyle w:val="ZLITwPKTzmlitwpktartykuempunktem"/>
        <w:rPr>
          <w:rFonts w:ascii="Times New Roman" w:hAnsi="Times New Roman" w:cs="Times New Roman"/>
        </w:rPr>
      </w:pPr>
      <w:r w:rsidRPr="00833C88">
        <w:rPr>
          <w:rFonts w:ascii="Times New Roman" w:hAnsi="Times New Roman" w:cs="Times New Roman"/>
        </w:rPr>
        <w:t>m)</w:t>
      </w:r>
      <w:r w:rsidR="008763A1" w:rsidRPr="00833C88">
        <w:rPr>
          <w:rFonts w:ascii="Times New Roman" w:hAnsi="Times New Roman" w:cs="Times New Roman"/>
        </w:rPr>
        <w:tab/>
      </w:r>
      <w:r w:rsidRPr="00833C88">
        <w:rPr>
          <w:rFonts w:ascii="Times New Roman" w:hAnsi="Times New Roman" w:cs="Times New Roman"/>
        </w:rPr>
        <w:t>zarządzanie aktywami</w:t>
      </w:r>
      <w:r w:rsidR="00216DEE" w:rsidRPr="00833C88">
        <w:rPr>
          <w:rStyle w:val="Odwoanieprzypisudolnego"/>
          <w:rFonts w:ascii="Times New Roman" w:hAnsi="Times New Roman" w:cs="Times New Roman"/>
        </w:rPr>
        <w:footnoteReference w:id="34"/>
      </w:r>
      <w:r w:rsidR="008763A1" w:rsidRPr="00833C88">
        <w:rPr>
          <w:rFonts w:ascii="Times New Roman" w:hAnsi="Times New Roman" w:cs="Times New Roman"/>
          <w:vertAlign w:val="superscript"/>
        </w:rPr>
        <w:t>)</w:t>
      </w:r>
      <w:r w:rsidRPr="00833C88">
        <w:rPr>
          <w:rFonts w:ascii="Times New Roman" w:hAnsi="Times New Roman" w:cs="Times New Roman"/>
        </w:rPr>
        <w:t>,</w:t>
      </w:r>
    </w:p>
    <w:p w14:paraId="45053D8A" w14:textId="7A61D8DA" w:rsidR="007713AD" w:rsidRPr="00833C88" w:rsidRDefault="007713AD" w:rsidP="00916D56">
      <w:pPr>
        <w:pStyle w:val="ZLITwPKTzmlitwpktartykuempunktem"/>
        <w:rPr>
          <w:rFonts w:ascii="Times New Roman" w:hAnsi="Times New Roman" w:cs="Times New Roman"/>
        </w:rPr>
      </w:pPr>
      <w:r w:rsidRPr="00833C88">
        <w:rPr>
          <w:rFonts w:ascii="Times New Roman" w:hAnsi="Times New Roman" w:cs="Times New Roman"/>
        </w:rPr>
        <w:t>n)</w:t>
      </w:r>
      <w:r w:rsidR="008763A1" w:rsidRPr="00833C88">
        <w:rPr>
          <w:rFonts w:ascii="Times New Roman" w:hAnsi="Times New Roman" w:cs="Times New Roman"/>
        </w:rPr>
        <w:tab/>
      </w:r>
      <w:r w:rsidRPr="00833C88">
        <w:rPr>
          <w:rFonts w:ascii="Times New Roman" w:hAnsi="Times New Roman" w:cs="Times New Roman"/>
        </w:rPr>
        <w:t>polityki kontroli dostępu</w:t>
      </w:r>
      <w:r w:rsidR="004F74E5" w:rsidRPr="00833C88">
        <w:rPr>
          <w:rStyle w:val="Odwoanieprzypisudolnego"/>
          <w:rFonts w:ascii="Times New Roman" w:hAnsi="Times New Roman" w:cs="Times New Roman"/>
        </w:rPr>
        <w:footnoteReference w:id="35"/>
      </w:r>
      <w:r w:rsidR="008763A1" w:rsidRPr="00833C88">
        <w:rPr>
          <w:rFonts w:ascii="Times New Roman" w:hAnsi="Times New Roman" w:cs="Times New Roman"/>
          <w:vertAlign w:val="superscript"/>
        </w:rPr>
        <w:t>)</w:t>
      </w:r>
      <w:r w:rsidRPr="00833C88">
        <w:rPr>
          <w:rFonts w:ascii="Times New Roman" w:hAnsi="Times New Roman" w:cs="Times New Roman"/>
        </w:rPr>
        <w:t>;</w:t>
      </w:r>
    </w:p>
    <w:p w14:paraId="7516B35E" w14:textId="1811AB0D" w:rsidR="007713AD" w:rsidRPr="00833C88" w:rsidRDefault="007713AD" w:rsidP="00916D56">
      <w:pPr>
        <w:pStyle w:val="ZPKTzmpktartykuempunktem"/>
        <w:rPr>
          <w:rFonts w:ascii="Times New Roman" w:hAnsi="Times New Roman" w:cs="Times New Roman"/>
        </w:rPr>
      </w:pPr>
      <w:r w:rsidRPr="00833C88">
        <w:rPr>
          <w:rFonts w:ascii="Times New Roman" w:hAnsi="Times New Roman" w:cs="Times New Roman"/>
        </w:rPr>
        <w:t>3)</w:t>
      </w:r>
      <w:r w:rsidRPr="00833C88">
        <w:rPr>
          <w:rFonts w:ascii="Times New Roman" w:hAnsi="Times New Roman" w:cs="Times New Roman"/>
        </w:rPr>
        <w:tab/>
        <w:t xml:space="preserve">zbieranie informacji </w:t>
      </w:r>
      <w:r w:rsidR="00601933" w:rsidRPr="00833C88">
        <w:rPr>
          <w:rFonts w:ascii="Times New Roman" w:hAnsi="Times New Roman" w:cs="Times New Roman"/>
        </w:rPr>
        <w:t>o </w:t>
      </w:r>
      <w:proofErr w:type="spellStart"/>
      <w:r w:rsidRPr="00833C88">
        <w:rPr>
          <w:rFonts w:ascii="Times New Roman" w:hAnsi="Times New Roman" w:cs="Times New Roman"/>
        </w:rPr>
        <w:t>cyberzagrożeniach</w:t>
      </w:r>
      <w:proofErr w:type="spellEnd"/>
      <w:r w:rsidRPr="00833C88">
        <w:rPr>
          <w:rFonts w:ascii="Times New Roman" w:hAnsi="Times New Roman" w:cs="Times New Roman"/>
        </w:rPr>
        <w:t xml:space="preserve"> </w:t>
      </w:r>
      <w:r w:rsidR="00601933" w:rsidRPr="00833C88">
        <w:rPr>
          <w:rFonts w:ascii="Times New Roman" w:hAnsi="Times New Roman" w:cs="Times New Roman"/>
        </w:rPr>
        <w:t>i </w:t>
      </w:r>
      <w:r w:rsidRPr="00833C88">
        <w:rPr>
          <w:rFonts w:ascii="Times New Roman" w:hAnsi="Times New Roman" w:cs="Times New Roman"/>
        </w:rPr>
        <w:t>podatnościach na incydenty systemu informacyjnego wykorzystywanego do świadczenia usługi</w:t>
      </w:r>
      <w:r w:rsidR="004208BA" w:rsidRPr="00833C88">
        <w:rPr>
          <w:rStyle w:val="Odwoanieprzypisudolnego"/>
          <w:rFonts w:ascii="Times New Roman" w:hAnsi="Times New Roman" w:cs="Times New Roman"/>
        </w:rPr>
        <w:footnoteReference w:id="36"/>
      </w:r>
      <w:r w:rsidR="008763A1" w:rsidRPr="00833C88">
        <w:rPr>
          <w:rFonts w:ascii="Times New Roman" w:hAnsi="Times New Roman" w:cs="Times New Roman"/>
          <w:vertAlign w:val="superscript"/>
        </w:rPr>
        <w:t>)</w:t>
      </w:r>
      <w:r w:rsidRPr="00833C88">
        <w:rPr>
          <w:rFonts w:ascii="Times New Roman" w:hAnsi="Times New Roman" w:cs="Times New Roman"/>
        </w:rPr>
        <w:t>;</w:t>
      </w:r>
    </w:p>
    <w:p w14:paraId="02EC0DFF" w14:textId="62B57E64" w:rsidR="007713AD" w:rsidRPr="00833C88" w:rsidRDefault="007713AD" w:rsidP="00916D56">
      <w:pPr>
        <w:pStyle w:val="ZPKTzmpktartykuempunktem"/>
        <w:rPr>
          <w:rFonts w:ascii="Times New Roman" w:hAnsi="Times New Roman" w:cs="Times New Roman"/>
        </w:rPr>
      </w:pPr>
      <w:r w:rsidRPr="00833C88">
        <w:rPr>
          <w:rFonts w:ascii="Times New Roman" w:hAnsi="Times New Roman" w:cs="Times New Roman"/>
        </w:rPr>
        <w:t>4)</w:t>
      </w:r>
      <w:r w:rsidRPr="00833C88">
        <w:rPr>
          <w:rFonts w:ascii="Times New Roman" w:hAnsi="Times New Roman" w:cs="Times New Roman"/>
        </w:rPr>
        <w:tab/>
        <w:t>zarządzanie incydentami</w:t>
      </w:r>
      <w:r w:rsidR="001F1139" w:rsidRPr="00833C88">
        <w:rPr>
          <w:rStyle w:val="Odwoanieprzypisudolnego"/>
          <w:rFonts w:ascii="Times New Roman" w:hAnsi="Times New Roman" w:cs="Times New Roman"/>
        </w:rPr>
        <w:footnoteReference w:id="37"/>
      </w:r>
      <w:r w:rsidR="008763A1" w:rsidRPr="00833C88">
        <w:rPr>
          <w:rFonts w:ascii="Times New Roman" w:hAnsi="Times New Roman" w:cs="Times New Roman"/>
          <w:vertAlign w:val="superscript"/>
        </w:rPr>
        <w:t>)</w:t>
      </w:r>
      <w:r w:rsidRPr="00833C88">
        <w:rPr>
          <w:rFonts w:ascii="Times New Roman" w:hAnsi="Times New Roman" w:cs="Times New Roman"/>
        </w:rPr>
        <w:t>;</w:t>
      </w:r>
    </w:p>
    <w:p w14:paraId="34E19208" w14:textId="1F6BE1C6" w:rsidR="007713AD" w:rsidRPr="00833C88" w:rsidRDefault="007713AD" w:rsidP="00916D56">
      <w:pPr>
        <w:pStyle w:val="ZPKTzmpktartykuempunktem"/>
        <w:keepNext/>
        <w:rPr>
          <w:rFonts w:ascii="Times New Roman" w:hAnsi="Times New Roman" w:cs="Times New Roman"/>
        </w:rPr>
      </w:pPr>
      <w:r w:rsidRPr="00833C88">
        <w:rPr>
          <w:rFonts w:ascii="Times New Roman" w:hAnsi="Times New Roman" w:cs="Times New Roman"/>
        </w:rPr>
        <w:t>5)</w:t>
      </w:r>
      <w:r w:rsidRPr="00833C88">
        <w:rPr>
          <w:rFonts w:ascii="Times New Roman" w:hAnsi="Times New Roman" w:cs="Times New Roman"/>
        </w:rPr>
        <w:tab/>
        <w:t xml:space="preserve">stosowanie środków zapobiegających </w:t>
      </w:r>
      <w:r w:rsidR="00601933" w:rsidRPr="00833C88">
        <w:rPr>
          <w:rFonts w:ascii="Times New Roman" w:hAnsi="Times New Roman" w:cs="Times New Roman"/>
        </w:rPr>
        <w:t>i </w:t>
      </w:r>
      <w:r w:rsidRPr="00833C88">
        <w:rPr>
          <w:rFonts w:ascii="Times New Roman" w:hAnsi="Times New Roman" w:cs="Times New Roman"/>
        </w:rPr>
        <w:t>ograniczających wpływ incydentów na</w:t>
      </w:r>
      <w:r w:rsidR="009B4C26" w:rsidRPr="00833C88">
        <w:rPr>
          <w:rFonts w:ascii="Times New Roman" w:hAnsi="Times New Roman" w:cs="Times New Roman"/>
        </w:rPr>
        <w:t> </w:t>
      </w:r>
      <w:r w:rsidRPr="00833C88">
        <w:rPr>
          <w:rFonts w:ascii="Times New Roman" w:hAnsi="Times New Roman" w:cs="Times New Roman"/>
        </w:rPr>
        <w:t xml:space="preserve">bezpieczeństwo systemu informacyjnego wykorzystywanego do świadczenia usługi, </w:t>
      </w:r>
      <w:r w:rsidR="00601933" w:rsidRPr="00833C88">
        <w:rPr>
          <w:rFonts w:ascii="Times New Roman" w:hAnsi="Times New Roman" w:cs="Times New Roman"/>
        </w:rPr>
        <w:t>w </w:t>
      </w:r>
      <w:r w:rsidRPr="00833C88">
        <w:rPr>
          <w:rFonts w:ascii="Times New Roman" w:hAnsi="Times New Roman" w:cs="Times New Roman"/>
        </w:rPr>
        <w:t>tym:</w:t>
      </w:r>
    </w:p>
    <w:p w14:paraId="4CABFEB2" w14:textId="08C13A28" w:rsidR="007713AD" w:rsidRPr="00833C88" w:rsidRDefault="007713AD" w:rsidP="00916D56">
      <w:pPr>
        <w:pStyle w:val="ZLITwPKTzmlitwpktartykuempunktem"/>
        <w:rPr>
          <w:rFonts w:ascii="Times New Roman" w:hAnsi="Times New Roman" w:cs="Times New Roman"/>
        </w:rPr>
      </w:pPr>
      <w:r w:rsidRPr="00833C88">
        <w:rPr>
          <w:rFonts w:ascii="Times New Roman" w:hAnsi="Times New Roman" w:cs="Times New Roman"/>
        </w:rPr>
        <w:t>a)</w:t>
      </w:r>
      <w:r w:rsidRPr="00833C88">
        <w:rPr>
          <w:rFonts w:ascii="Times New Roman" w:hAnsi="Times New Roman" w:cs="Times New Roman"/>
        </w:rPr>
        <w:tab/>
        <w:t xml:space="preserve">stosowanie mechanizmów zapewniających poufność, integralność, dostępność i autentyczność danych przetwarzanych </w:t>
      </w:r>
      <w:r w:rsidR="00601933" w:rsidRPr="00833C88">
        <w:rPr>
          <w:rFonts w:ascii="Times New Roman" w:hAnsi="Times New Roman" w:cs="Times New Roman"/>
        </w:rPr>
        <w:t>w </w:t>
      </w:r>
      <w:r w:rsidRPr="00833C88">
        <w:rPr>
          <w:rFonts w:ascii="Times New Roman" w:hAnsi="Times New Roman" w:cs="Times New Roman"/>
        </w:rPr>
        <w:t>systemie informacyjnym,</w:t>
      </w:r>
    </w:p>
    <w:p w14:paraId="7D56CF92" w14:textId="77E0C01C" w:rsidR="007713AD" w:rsidRPr="00833C88" w:rsidRDefault="007713AD" w:rsidP="00916D56">
      <w:pPr>
        <w:pStyle w:val="ZLITwPKTzmlitwpktartykuempunktem"/>
        <w:rPr>
          <w:rFonts w:ascii="Times New Roman" w:hAnsi="Times New Roman" w:cs="Times New Roman"/>
        </w:rPr>
      </w:pPr>
      <w:r w:rsidRPr="00833C88">
        <w:rPr>
          <w:rFonts w:ascii="Times New Roman" w:hAnsi="Times New Roman" w:cs="Times New Roman"/>
        </w:rPr>
        <w:t>b)</w:t>
      </w:r>
      <w:r w:rsidRPr="00833C88">
        <w:rPr>
          <w:rFonts w:ascii="Times New Roman" w:hAnsi="Times New Roman" w:cs="Times New Roman"/>
        </w:rPr>
        <w:tab/>
        <w:t xml:space="preserve">regularne przeprowadzanie aktualizacji oprogramowania, stosownie do zaleceń producenta, </w:t>
      </w:r>
      <w:r w:rsidR="00601933" w:rsidRPr="00833C88">
        <w:rPr>
          <w:rFonts w:ascii="Times New Roman" w:hAnsi="Times New Roman" w:cs="Times New Roman"/>
        </w:rPr>
        <w:t>z </w:t>
      </w:r>
      <w:r w:rsidRPr="00833C88">
        <w:rPr>
          <w:rFonts w:ascii="Times New Roman" w:hAnsi="Times New Roman" w:cs="Times New Roman"/>
        </w:rPr>
        <w:t>uwzględnieniem analizy wpływu aktualizacji na bezpieczeństwo świadczonej usługi oraz poziomu krytyczności poszczególnych aktualizacji,</w:t>
      </w:r>
    </w:p>
    <w:p w14:paraId="06661D3D" w14:textId="0436D921" w:rsidR="007713AD" w:rsidRPr="00833C88" w:rsidRDefault="007713AD" w:rsidP="00916D56">
      <w:pPr>
        <w:pStyle w:val="ZLITwPKTzmlitwpktartykuempunktem"/>
        <w:rPr>
          <w:rFonts w:ascii="Times New Roman" w:hAnsi="Times New Roman" w:cs="Times New Roman"/>
        </w:rPr>
      </w:pPr>
      <w:r w:rsidRPr="00833C88">
        <w:rPr>
          <w:rFonts w:ascii="Times New Roman" w:hAnsi="Times New Roman" w:cs="Times New Roman"/>
        </w:rPr>
        <w:t>c)</w:t>
      </w:r>
      <w:r w:rsidRPr="00833C88">
        <w:rPr>
          <w:rFonts w:ascii="Times New Roman" w:hAnsi="Times New Roman" w:cs="Times New Roman"/>
        </w:rPr>
        <w:tab/>
        <w:t xml:space="preserve">ochronę przed nieuprawnioną modyfikacją </w:t>
      </w:r>
      <w:r w:rsidR="00601933" w:rsidRPr="00833C88">
        <w:rPr>
          <w:rFonts w:ascii="Times New Roman" w:hAnsi="Times New Roman" w:cs="Times New Roman"/>
        </w:rPr>
        <w:t>w </w:t>
      </w:r>
      <w:r w:rsidRPr="00833C88">
        <w:rPr>
          <w:rFonts w:ascii="Times New Roman" w:hAnsi="Times New Roman" w:cs="Times New Roman"/>
        </w:rPr>
        <w:t>systemie informacyjnym,</w:t>
      </w:r>
    </w:p>
    <w:p w14:paraId="24F0780A" w14:textId="22D236ED" w:rsidR="008064D5" w:rsidRPr="00833C88" w:rsidRDefault="007713AD" w:rsidP="00916D56">
      <w:pPr>
        <w:pStyle w:val="ZLITwPKTzmlitwpktartykuempunktem"/>
        <w:rPr>
          <w:rFonts w:ascii="Times New Roman" w:hAnsi="Times New Roman" w:cs="Times New Roman"/>
        </w:rPr>
      </w:pPr>
      <w:r w:rsidRPr="00833C88">
        <w:rPr>
          <w:rFonts w:ascii="Times New Roman" w:hAnsi="Times New Roman" w:cs="Times New Roman"/>
        </w:rPr>
        <w:t>d)</w:t>
      </w:r>
      <w:r w:rsidRPr="00833C88">
        <w:rPr>
          <w:rFonts w:ascii="Times New Roman" w:hAnsi="Times New Roman" w:cs="Times New Roman"/>
        </w:rPr>
        <w:tab/>
        <w:t xml:space="preserve">niezwłoczne podejmowanie działań po dostrzeżeniu podatności lub </w:t>
      </w:r>
      <w:proofErr w:type="spellStart"/>
      <w:r w:rsidRPr="00833C88">
        <w:rPr>
          <w:rFonts w:ascii="Times New Roman" w:hAnsi="Times New Roman" w:cs="Times New Roman"/>
        </w:rPr>
        <w:t>cyberzagrożeń</w:t>
      </w:r>
      <w:proofErr w:type="spellEnd"/>
      <w:r w:rsidRPr="00833C88">
        <w:rPr>
          <w:rFonts w:ascii="Times New Roman" w:hAnsi="Times New Roman" w:cs="Times New Roman"/>
        </w:rPr>
        <w:t xml:space="preserve">, </w:t>
      </w:r>
      <w:r w:rsidR="00601933" w:rsidRPr="00833C88">
        <w:rPr>
          <w:rFonts w:ascii="Times New Roman" w:hAnsi="Times New Roman" w:cs="Times New Roman"/>
        </w:rPr>
        <w:t>w </w:t>
      </w:r>
      <w:r w:rsidRPr="00833C88">
        <w:rPr>
          <w:rFonts w:ascii="Times New Roman" w:hAnsi="Times New Roman" w:cs="Times New Roman"/>
        </w:rPr>
        <w:t xml:space="preserve">tym również czasowe ograniczenie ruchu sieciowego przychodzącego do infrastruktury podmiotu kluczowego lub podmiotu ważnego, które może skutkować zakłóceniem usług świadczonych przez ten podmiot, mając na uwadze konieczność minimalizacji skutków ograniczenia dostępności tych usług, </w:t>
      </w:r>
      <w:r w:rsidR="00601933" w:rsidRPr="00833C88">
        <w:rPr>
          <w:rFonts w:ascii="Times New Roman" w:hAnsi="Times New Roman" w:cs="Times New Roman"/>
        </w:rPr>
        <w:t>z </w:t>
      </w:r>
      <w:r w:rsidRPr="00833C88">
        <w:rPr>
          <w:rFonts w:ascii="Times New Roman" w:hAnsi="Times New Roman" w:cs="Times New Roman"/>
        </w:rPr>
        <w:t>uwagi na podjęte działania.</w:t>
      </w:r>
    </w:p>
    <w:p w14:paraId="3B948745" w14:textId="4698548A" w:rsidR="00D349B9" w:rsidRPr="00833C88" w:rsidRDefault="00D349B9" w:rsidP="0029004E">
      <w:pPr>
        <w:spacing w:line="360" w:lineRule="auto"/>
        <w:jc w:val="both"/>
        <w:rPr>
          <w:rFonts w:eastAsia="MS Mincho" w:cs="Times New Roman"/>
          <w:bCs/>
          <w:sz w:val="24"/>
          <w:szCs w:val="20"/>
          <w:lang w:eastAsia="pl-PL"/>
        </w:rPr>
      </w:pPr>
      <w:r w:rsidRPr="00833C88">
        <w:rPr>
          <w:rFonts w:eastAsia="MS Mincho" w:cs="Times New Roman"/>
          <w:bCs/>
          <w:sz w:val="24"/>
          <w:szCs w:val="20"/>
          <w:lang w:eastAsia="pl-PL"/>
        </w:rPr>
        <w:t xml:space="preserve">Objęcie systemu informacyjnego wykorzystywanego do świadczenia usługi systemem monitorowania </w:t>
      </w:r>
      <w:r w:rsidR="00601933" w:rsidRPr="00833C88">
        <w:rPr>
          <w:rFonts w:eastAsia="MS Mincho" w:cs="Times New Roman"/>
          <w:bCs/>
          <w:sz w:val="24"/>
          <w:szCs w:val="20"/>
          <w:lang w:eastAsia="pl-PL"/>
        </w:rPr>
        <w:t>w </w:t>
      </w:r>
      <w:r w:rsidRPr="00833C88">
        <w:rPr>
          <w:rFonts w:eastAsia="MS Mincho" w:cs="Times New Roman"/>
          <w:bCs/>
          <w:sz w:val="24"/>
          <w:szCs w:val="20"/>
          <w:lang w:eastAsia="pl-PL"/>
        </w:rPr>
        <w:t xml:space="preserve">trybie ciągłym należy rozumieć </w:t>
      </w:r>
      <w:r w:rsidR="00601933" w:rsidRPr="00833C88">
        <w:rPr>
          <w:rFonts w:eastAsia="MS Mincho" w:cs="Times New Roman"/>
          <w:bCs/>
          <w:sz w:val="24"/>
          <w:szCs w:val="20"/>
          <w:lang w:eastAsia="pl-PL"/>
        </w:rPr>
        <w:t>w </w:t>
      </w:r>
      <w:r w:rsidRPr="00833C88">
        <w:rPr>
          <w:rFonts w:eastAsia="MS Mincho" w:cs="Times New Roman"/>
          <w:bCs/>
          <w:sz w:val="24"/>
          <w:szCs w:val="20"/>
          <w:lang w:eastAsia="pl-PL"/>
        </w:rPr>
        <w:t xml:space="preserve">ten sposób, że podmiot powinien monitorować wszelkie zdarzenia, które zaistniały </w:t>
      </w:r>
      <w:r w:rsidR="00601933" w:rsidRPr="00833C88">
        <w:rPr>
          <w:rFonts w:eastAsia="MS Mincho" w:cs="Times New Roman"/>
          <w:bCs/>
          <w:sz w:val="24"/>
          <w:szCs w:val="20"/>
          <w:lang w:eastAsia="pl-PL"/>
        </w:rPr>
        <w:t>w </w:t>
      </w:r>
      <w:r w:rsidRPr="00833C88">
        <w:rPr>
          <w:rFonts w:eastAsia="MS Mincho" w:cs="Times New Roman"/>
          <w:bCs/>
          <w:sz w:val="24"/>
          <w:szCs w:val="20"/>
          <w:lang w:eastAsia="pl-PL"/>
        </w:rPr>
        <w:t>systemie informacyjnym. Celem jest nie tylko zapewnienie rozliczalności</w:t>
      </w:r>
      <w:r w:rsidR="00206D2C" w:rsidRPr="00833C88">
        <w:rPr>
          <w:rFonts w:eastAsia="MS Mincho" w:cs="Times New Roman"/>
          <w:bCs/>
          <w:sz w:val="24"/>
          <w:szCs w:val="20"/>
          <w:lang w:eastAsia="pl-PL"/>
        </w:rPr>
        <w:t>,</w:t>
      </w:r>
      <w:r w:rsidRPr="00833C88">
        <w:rPr>
          <w:rFonts w:eastAsia="MS Mincho" w:cs="Times New Roman"/>
          <w:bCs/>
          <w:sz w:val="24"/>
          <w:szCs w:val="20"/>
          <w:lang w:eastAsia="pl-PL"/>
        </w:rPr>
        <w:t xml:space="preserve"> ale także umożliwienie odtworzenia co się stało </w:t>
      </w:r>
      <w:r w:rsidR="00601933" w:rsidRPr="00833C88">
        <w:rPr>
          <w:rFonts w:eastAsia="MS Mincho" w:cs="Times New Roman"/>
          <w:bCs/>
          <w:sz w:val="24"/>
          <w:szCs w:val="20"/>
          <w:lang w:eastAsia="pl-PL"/>
        </w:rPr>
        <w:t>w </w:t>
      </w:r>
      <w:r w:rsidRPr="00833C88">
        <w:rPr>
          <w:rFonts w:eastAsia="MS Mincho" w:cs="Times New Roman"/>
          <w:bCs/>
          <w:sz w:val="24"/>
          <w:szCs w:val="20"/>
          <w:lang w:eastAsia="pl-PL"/>
        </w:rPr>
        <w:t xml:space="preserve">systemie informacyjnym </w:t>
      </w:r>
      <w:r w:rsidR="00601933" w:rsidRPr="00833C88">
        <w:rPr>
          <w:rFonts w:eastAsia="MS Mincho" w:cs="Times New Roman"/>
          <w:bCs/>
          <w:sz w:val="24"/>
          <w:szCs w:val="20"/>
          <w:lang w:eastAsia="pl-PL"/>
        </w:rPr>
        <w:t>w </w:t>
      </w:r>
      <w:r w:rsidRPr="00833C88">
        <w:rPr>
          <w:rFonts w:eastAsia="MS Mincho" w:cs="Times New Roman"/>
          <w:bCs/>
          <w:sz w:val="24"/>
          <w:szCs w:val="20"/>
          <w:lang w:eastAsia="pl-PL"/>
        </w:rPr>
        <w:t>danym momencie.</w:t>
      </w:r>
    </w:p>
    <w:p w14:paraId="0C18541D" w14:textId="5CF00706" w:rsidR="001F014C" w:rsidRPr="00833C88" w:rsidRDefault="001F014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Podmioty kluczowe oraz podmioty ważne będą obowiązane uwzględnić</w:t>
      </w:r>
      <w:r w:rsidR="00CC1E51" w:rsidRPr="00833C88">
        <w:rPr>
          <w:rFonts w:eastAsia="Times New Roman" w:cs="Times New Roman"/>
          <w:sz w:val="24"/>
          <w:szCs w:val="24"/>
          <w:lang w:eastAsia="pl-PL"/>
        </w:rPr>
        <w:t xml:space="preserve"> wyniki </w:t>
      </w:r>
      <w:r w:rsidR="00F07642" w:rsidRPr="00833C88">
        <w:rPr>
          <w:rFonts w:eastAsia="Times New Roman" w:cs="Times New Roman"/>
          <w:sz w:val="24"/>
          <w:szCs w:val="24"/>
          <w:lang w:eastAsia="pl-PL"/>
        </w:rPr>
        <w:t>skoordynowanych oszacowań ryzyka dla bezpieczeństwa krytycznych łańcuchów dostaw przeprowadzonych przez Grupę Współpracy</w:t>
      </w:r>
      <w:r w:rsidR="00A53B71" w:rsidRPr="00833C88">
        <w:rPr>
          <w:rFonts w:eastAsia="Times New Roman" w:cs="Times New Roman"/>
          <w:sz w:val="24"/>
          <w:szCs w:val="24"/>
          <w:lang w:eastAsia="pl-PL"/>
        </w:rPr>
        <w:t>,</w:t>
      </w:r>
      <w:r w:rsidR="00F0764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F07642" w:rsidRPr="00833C88">
        <w:rPr>
          <w:rFonts w:eastAsia="Times New Roman" w:cs="Times New Roman"/>
          <w:sz w:val="24"/>
          <w:szCs w:val="24"/>
          <w:lang w:eastAsia="pl-PL"/>
        </w:rPr>
        <w:t>której mowa art. 22 dyrektywy NIS</w:t>
      </w:r>
      <w:r w:rsidR="00E464EA" w:rsidRPr="00833C88">
        <w:rPr>
          <w:rFonts w:eastAsia="Times New Roman" w:cs="Times New Roman"/>
          <w:sz w:val="24"/>
          <w:szCs w:val="24"/>
          <w:lang w:eastAsia="pl-PL"/>
        </w:rPr>
        <w:t xml:space="preserve"> </w:t>
      </w:r>
      <w:r w:rsidR="00F07642" w:rsidRPr="00833C88">
        <w:rPr>
          <w:rFonts w:eastAsia="Times New Roman" w:cs="Times New Roman"/>
          <w:sz w:val="24"/>
          <w:szCs w:val="24"/>
          <w:lang w:eastAsia="pl-PL"/>
        </w:rPr>
        <w:t>2.</w:t>
      </w:r>
    </w:p>
    <w:p w14:paraId="3D8F082F" w14:textId="23920891" w:rsidR="00B94D50"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B94D50" w:rsidRPr="00833C88">
        <w:rPr>
          <w:rFonts w:eastAsia="Times New Roman" w:cs="Times New Roman"/>
          <w:sz w:val="24"/>
          <w:szCs w:val="24"/>
          <w:lang w:eastAsia="pl-PL"/>
        </w:rPr>
        <w:t xml:space="preserve">zakresie reagowania na incydenty należy również zwrócić uwagę na kwestię ograniczenia ruchu sieciowego. Jest to jeden ze środków reagowania na </w:t>
      </w:r>
      <w:r w:rsidR="005544F7" w:rsidRPr="00833C88">
        <w:rPr>
          <w:rFonts w:eastAsia="Times New Roman" w:cs="Times New Roman"/>
          <w:sz w:val="24"/>
          <w:szCs w:val="24"/>
          <w:lang w:eastAsia="pl-PL"/>
        </w:rPr>
        <w:t>incydenty</w:t>
      </w:r>
      <w:r w:rsidR="00B94D50" w:rsidRPr="00833C88">
        <w:rPr>
          <w:rFonts w:eastAsia="Times New Roman" w:cs="Times New Roman"/>
          <w:sz w:val="24"/>
          <w:szCs w:val="24"/>
          <w:lang w:eastAsia="pl-PL"/>
        </w:rPr>
        <w:t>. Polega on</w:t>
      </w:r>
      <w:r w:rsidR="009B4C26" w:rsidRPr="00833C88">
        <w:rPr>
          <w:rFonts w:eastAsia="Times New Roman" w:cs="Times New Roman"/>
          <w:sz w:val="24"/>
          <w:szCs w:val="24"/>
          <w:lang w:eastAsia="pl-PL"/>
        </w:rPr>
        <w:t> </w:t>
      </w:r>
      <w:r w:rsidR="00B94D50" w:rsidRPr="00833C88">
        <w:rPr>
          <w:rFonts w:eastAsia="Times New Roman" w:cs="Times New Roman"/>
          <w:sz w:val="24"/>
          <w:szCs w:val="24"/>
          <w:lang w:eastAsia="pl-PL"/>
        </w:rPr>
        <w:t>na</w:t>
      </w:r>
      <w:r w:rsidR="009B4C26" w:rsidRPr="00833C88">
        <w:rPr>
          <w:rFonts w:eastAsia="Times New Roman" w:cs="Times New Roman"/>
          <w:sz w:val="24"/>
          <w:szCs w:val="24"/>
          <w:lang w:eastAsia="pl-PL"/>
        </w:rPr>
        <w:t> </w:t>
      </w:r>
      <w:r w:rsidR="00B94D50" w:rsidRPr="00833C88">
        <w:rPr>
          <w:rFonts w:eastAsia="Times New Roman" w:cs="Times New Roman"/>
          <w:sz w:val="24"/>
          <w:szCs w:val="24"/>
          <w:lang w:eastAsia="pl-PL"/>
        </w:rPr>
        <w:t xml:space="preserve">zaatakowaniu ofiary </w:t>
      </w:r>
      <w:r w:rsidRPr="00833C88">
        <w:rPr>
          <w:rFonts w:eastAsia="Times New Roman" w:cs="Times New Roman"/>
          <w:sz w:val="24"/>
          <w:szCs w:val="24"/>
          <w:lang w:eastAsia="pl-PL"/>
        </w:rPr>
        <w:t>z </w:t>
      </w:r>
      <w:r w:rsidR="00B94D50" w:rsidRPr="00833C88">
        <w:rPr>
          <w:rFonts w:eastAsia="Times New Roman" w:cs="Times New Roman"/>
          <w:sz w:val="24"/>
          <w:szCs w:val="24"/>
          <w:lang w:eastAsia="pl-PL"/>
        </w:rPr>
        <w:t xml:space="preserve">wielu miejsc jednocześnie. Do przeprowadzenia ataku służą najczęściej komputery, nad którymi przejęto kontrolę przy użyciu specjalnego oprogramowania (różnego rodzaju tzw. boty </w:t>
      </w:r>
      <w:r w:rsidRPr="00833C88">
        <w:rPr>
          <w:rFonts w:eastAsia="Times New Roman" w:cs="Times New Roman"/>
          <w:sz w:val="24"/>
          <w:szCs w:val="24"/>
          <w:lang w:eastAsia="pl-PL"/>
        </w:rPr>
        <w:t>i </w:t>
      </w:r>
      <w:proofErr w:type="spellStart"/>
      <w:r w:rsidR="00B94D50" w:rsidRPr="00833C88">
        <w:rPr>
          <w:rFonts w:eastAsia="Times New Roman" w:cs="Times New Roman"/>
          <w:sz w:val="24"/>
          <w:szCs w:val="24"/>
          <w:lang w:eastAsia="pl-PL"/>
        </w:rPr>
        <w:t>trojany</w:t>
      </w:r>
      <w:proofErr w:type="spellEnd"/>
      <w:r w:rsidR="00B94D50" w:rsidRPr="00833C88">
        <w:rPr>
          <w:rFonts w:eastAsia="Times New Roman" w:cs="Times New Roman"/>
          <w:sz w:val="24"/>
          <w:szCs w:val="24"/>
          <w:lang w:eastAsia="pl-PL"/>
        </w:rPr>
        <w:t xml:space="preserve">). Na dany sygnał komputery zaczynają jednocześnie atakować system ofiary, zasypując go fałszywymi próbami skorzystania </w:t>
      </w:r>
      <w:r w:rsidRPr="00833C88">
        <w:rPr>
          <w:rFonts w:eastAsia="Times New Roman" w:cs="Times New Roman"/>
          <w:sz w:val="24"/>
          <w:szCs w:val="24"/>
          <w:lang w:eastAsia="pl-PL"/>
        </w:rPr>
        <w:t>z </w:t>
      </w:r>
      <w:r w:rsidR="00B94D50" w:rsidRPr="00833C88">
        <w:rPr>
          <w:rFonts w:eastAsia="Times New Roman" w:cs="Times New Roman"/>
          <w:sz w:val="24"/>
          <w:szCs w:val="24"/>
          <w:lang w:eastAsia="pl-PL"/>
        </w:rPr>
        <w:t>usług jakie oferuje. Dla</w:t>
      </w:r>
      <w:r w:rsidR="00E464EA" w:rsidRPr="00833C88">
        <w:rPr>
          <w:rFonts w:eastAsia="Times New Roman" w:cs="Times New Roman"/>
          <w:sz w:val="24"/>
          <w:szCs w:val="24"/>
          <w:lang w:eastAsia="pl-PL"/>
        </w:rPr>
        <w:t> </w:t>
      </w:r>
      <w:r w:rsidR="00B94D50" w:rsidRPr="00833C88">
        <w:rPr>
          <w:rFonts w:eastAsia="Times New Roman" w:cs="Times New Roman"/>
          <w:sz w:val="24"/>
          <w:szCs w:val="24"/>
          <w:lang w:eastAsia="pl-PL"/>
        </w:rPr>
        <w:t xml:space="preserve">każdego takiego wywołania atakowany komputer musi przydzielić pewne zasoby (pamięć, czas procesora, pasmo sieciowe), co przy bardzo dużej liczbie żądań prowadzi do wyczerpania dostępnych zasobów, </w:t>
      </w:r>
      <w:r w:rsidRPr="00833C88">
        <w:rPr>
          <w:rFonts w:eastAsia="Times New Roman" w:cs="Times New Roman"/>
          <w:sz w:val="24"/>
          <w:szCs w:val="24"/>
          <w:lang w:eastAsia="pl-PL"/>
        </w:rPr>
        <w:t>a w </w:t>
      </w:r>
      <w:r w:rsidR="00B94D50" w:rsidRPr="00833C88">
        <w:rPr>
          <w:rFonts w:eastAsia="Times New Roman" w:cs="Times New Roman"/>
          <w:sz w:val="24"/>
          <w:szCs w:val="24"/>
          <w:lang w:eastAsia="pl-PL"/>
        </w:rPr>
        <w:t xml:space="preserve">efekcie do przerwy </w:t>
      </w:r>
      <w:r w:rsidRPr="00833C88">
        <w:rPr>
          <w:rFonts w:eastAsia="Times New Roman" w:cs="Times New Roman"/>
          <w:sz w:val="24"/>
          <w:szCs w:val="24"/>
          <w:lang w:eastAsia="pl-PL"/>
        </w:rPr>
        <w:t>w </w:t>
      </w:r>
      <w:r w:rsidR="00B94D50" w:rsidRPr="00833C88">
        <w:rPr>
          <w:rFonts w:eastAsia="Times New Roman" w:cs="Times New Roman"/>
          <w:sz w:val="24"/>
          <w:szCs w:val="24"/>
          <w:lang w:eastAsia="pl-PL"/>
        </w:rPr>
        <w:t xml:space="preserve">działaniu lub nawet zawieszenia systemu. Jest to jeden </w:t>
      </w:r>
      <w:r w:rsidRPr="00833C88">
        <w:rPr>
          <w:rFonts w:eastAsia="Times New Roman" w:cs="Times New Roman"/>
          <w:sz w:val="24"/>
          <w:szCs w:val="24"/>
          <w:lang w:eastAsia="pl-PL"/>
        </w:rPr>
        <w:t>z </w:t>
      </w:r>
      <w:r w:rsidR="00B94D50" w:rsidRPr="00833C88">
        <w:rPr>
          <w:rFonts w:eastAsia="Times New Roman" w:cs="Times New Roman"/>
          <w:sz w:val="24"/>
          <w:szCs w:val="24"/>
          <w:lang w:eastAsia="pl-PL"/>
        </w:rPr>
        <w:t>najczęściej stosowanych typów ataku.</w:t>
      </w:r>
    </w:p>
    <w:p w14:paraId="4771EC3E" w14:textId="6D6BB14F" w:rsidR="00B94D50" w:rsidRPr="00833C88" w:rsidRDefault="40FAEAE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Ograniczenie ruchu sieciowego jest najskuteczniejszą metodą zablokowania takiego ataku. Równocześnie wiel</w:t>
      </w:r>
      <w:r w:rsidR="6B725880" w:rsidRPr="00833C88">
        <w:rPr>
          <w:rFonts w:eastAsia="Times New Roman" w:cs="Times New Roman"/>
          <w:sz w:val="24"/>
          <w:szCs w:val="24"/>
          <w:lang w:eastAsia="pl-PL"/>
        </w:rPr>
        <w:t>e</w:t>
      </w:r>
      <w:r w:rsidRPr="00833C88">
        <w:rPr>
          <w:rFonts w:eastAsia="Times New Roman" w:cs="Times New Roman"/>
          <w:sz w:val="24"/>
          <w:szCs w:val="24"/>
          <w:lang w:eastAsia="pl-PL"/>
        </w:rPr>
        <w:t xml:space="preserve"> podmiotów,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szczególności podmioty publiczne, wskazują, że 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przepisami muszą świadczyć usługi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nie powinny blokować do nich dostępu nikomu. W</w:t>
      </w:r>
      <w:r w:rsidR="27D3944A" w:rsidRPr="00833C88">
        <w:rPr>
          <w:rFonts w:eastAsia="Times New Roman" w:cs="Times New Roman"/>
          <w:sz w:val="24"/>
          <w:szCs w:val="24"/>
          <w:lang w:eastAsia="pl-PL"/>
        </w:rPr>
        <w:t> </w:t>
      </w:r>
      <w:r w:rsidRPr="00833C88">
        <w:rPr>
          <w:rFonts w:eastAsia="Times New Roman" w:cs="Times New Roman"/>
          <w:sz w:val="24"/>
          <w:szCs w:val="24"/>
          <w:lang w:eastAsia="pl-PL"/>
        </w:rPr>
        <w:t xml:space="preserve">dotychczasowym stanie prawnym istniały wątpliwość czy obsługa incydentu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zapewnienia bezpieczeństwa swoim systemom upoważniają do zablokowania takiego ruchu.</w:t>
      </w:r>
    </w:p>
    <w:p w14:paraId="54A00136" w14:textId="5FB768CB" w:rsidR="68BE4552"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68BE4552" w:rsidRPr="00833C88">
        <w:rPr>
          <w:rFonts w:eastAsia="Times New Roman" w:cs="Times New Roman"/>
          <w:sz w:val="24"/>
          <w:szCs w:val="24"/>
          <w:lang w:eastAsia="pl-PL"/>
        </w:rPr>
        <w:t xml:space="preserve">toku dyskusji </w:t>
      </w:r>
      <w:r w:rsidRPr="00833C88">
        <w:rPr>
          <w:rFonts w:eastAsia="Times New Roman" w:cs="Times New Roman"/>
          <w:sz w:val="24"/>
          <w:szCs w:val="24"/>
          <w:lang w:eastAsia="pl-PL"/>
        </w:rPr>
        <w:t>z </w:t>
      </w:r>
      <w:r w:rsidR="68BE4552" w:rsidRPr="00833C88">
        <w:rPr>
          <w:rFonts w:eastAsia="Times New Roman" w:cs="Times New Roman"/>
          <w:sz w:val="24"/>
          <w:szCs w:val="24"/>
          <w:lang w:eastAsia="pl-PL"/>
        </w:rPr>
        <w:t xml:space="preserve">organizacjami zrzeszającymi jednostki samorządu terytorialnego prowadzonej </w:t>
      </w:r>
      <w:r w:rsidRPr="00833C88">
        <w:rPr>
          <w:rFonts w:eastAsia="Times New Roman" w:cs="Times New Roman"/>
          <w:sz w:val="24"/>
          <w:szCs w:val="24"/>
          <w:lang w:eastAsia="pl-PL"/>
        </w:rPr>
        <w:t>w </w:t>
      </w:r>
      <w:r w:rsidR="68BE4552" w:rsidRPr="00833C88">
        <w:rPr>
          <w:rFonts w:eastAsia="Times New Roman" w:cs="Times New Roman"/>
          <w:sz w:val="24"/>
          <w:szCs w:val="24"/>
          <w:lang w:eastAsia="pl-PL"/>
        </w:rPr>
        <w:t xml:space="preserve">trakcie obrad Zespołu Społeczeństwa Informacyjnego Komisji Wspólnej Rządu </w:t>
      </w:r>
      <w:r w:rsidRPr="00833C88">
        <w:rPr>
          <w:rFonts w:eastAsia="Times New Roman" w:cs="Times New Roman"/>
          <w:sz w:val="24"/>
          <w:szCs w:val="24"/>
          <w:lang w:eastAsia="pl-PL"/>
        </w:rPr>
        <w:t>i </w:t>
      </w:r>
      <w:r w:rsidR="68BE4552" w:rsidRPr="00833C88">
        <w:rPr>
          <w:rFonts w:eastAsia="Times New Roman" w:cs="Times New Roman"/>
          <w:sz w:val="24"/>
          <w:szCs w:val="24"/>
          <w:lang w:eastAsia="pl-PL"/>
        </w:rPr>
        <w:t xml:space="preserve">Samorządu Terytorialnego wskazano, że niektóre </w:t>
      </w:r>
      <w:r w:rsidR="11EEA9A2" w:rsidRPr="00833C88">
        <w:rPr>
          <w:rFonts w:eastAsia="Times New Roman" w:cs="Times New Roman"/>
          <w:sz w:val="24"/>
          <w:szCs w:val="24"/>
          <w:lang w:eastAsia="pl-PL"/>
        </w:rPr>
        <w:t xml:space="preserve">samorządowe </w:t>
      </w:r>
      <w:r w:rsidR="68BE4552" w:rsidRPr="00833C88">
        <w:rPr>
          <w:rFonts w:eastAsia="Times New Roman" w:cs="Times New Roman"/>
          <w:sz w:val="24"/>
          <w:szCs w:val="24"/>
          <w:lang w:eastAsia="pl-PL"/>
        </w:rPr>
        <w:t xml:space="preserve">podmioty publiczne </w:t>
      </w:r>
      <w:r w:rsidR="007803B5" w:rsidRPr="00833C88">
        <w:rPr>
          <w:rFonts w:eastAsia="Times New Roman" w:cs="Times New Roman"/>
          <w:sz w:val="24"/>
          <w:szCs w:val="24"/>
          <w:lang w:eastAsia="pl-PL"/>
        </w:rPr>
        <w:t xml:space="preserve">– </w:t>
      </w:r>
      <w:r w:rsidR="367BCF1A" w:rsidRPr="00833C88">
        <w:rPr>
          <w:rFonts w:eastAsia="Times New Roman" w:cs="Times New Roman"/>
          <w:sz w:val="24"/>
          <w:szCs w:val="24"/>
          <w:lang w:eastAsia="pl-PL"/>
        </w:rPr>
        <w:t>będące podmiotami ważnymi</w:t>
      </w:r>
      <w:r w:rsidR="007803B5" w:rsidRPr="00833C88">
        <w:rPr>
          <w:rFonts w:eastAsia="Times New Roman" w:cs="Times New Roman"/>
          <w:sz w:val="24"/>
          <w:szCs w:val="24"/>
          <w:lang w:eastAsia="pl-PL"/>
        </w:rPr>
        <w:t xml:space="preserve"> – </w:t>
      </w:r>
      <w:r w:rsidR="63BC487A" w:rsidRPr="00833C88">
        <w:rPr>
          <w:rFonts w:eastAsia="Times New Roman" w:cs="Times New Roman"/>
          <w:sz w:val="24"/>
          <w:szCs w:val="24"/>
          <w:lang w:eastAsia="pl-PL"/>
        </w:rPr>
        <w:t xml:space="preserve">powinny mieć wymagania </w:t>
      </w:r>
      <w:r w:rsidRPr="00833C88">
        <w:rPr>
          <w:rFonts w:eastAsia="Times New Roman" w:cs="Times New Roman"/>
          <w:sz w:val="24"/>
          <w:szCs w:val="24"/>
          <w:lang w:eastAsia="pl-PL"/>
        </w:rPr>
        <w:t>z </w:t>
      </w:r>
      <w:r w:rsidR="63BC487A" w:rsidRPr="00833C88">
        <w:rPr>
          <w:rFonts w:eastAsia="Times New Roman" w:cs="Times New Roman"/>
          <w:sz w:val="24"/>
          <w:szCs w:val="24"/>
          <w:lang w:eastAsia="pl-PL"/>
        </w:rPr>
        <w:t>zakresu cyberbezpieczeństwa adekwatne do ich możliwości. Dlatego wprowadza się załącznik 4</w:t>
      </w:r>
      <w:r w:rsidR="001D1B59"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1D1B59" w:rsidRPr="00833C88">
        <w:rPr>
          <w:rFonts w:eastAsia="Times New Roman" w:cs="Times New Roman"/>
          <w:sz w:val="24"/>
          <w:szCs w:val="24"/>
          <w:lang w:eastAsia="pl-PL"/>
        </w:rPr>
        <w:t xml:space="preserve">ustawie </w:t>
      </w:r>
      <w:r w:rsidRPr="00833C88">
        <w:rPr>
          <w:rFonts w:eastAsia="Times New Roman" w:cs="Times New Roman"/>
          <w:sz w:val="24"/>
          <w:szCs w:val="24"/>
          <w:lang w:eastAsia="pl-PL"/>
        </w:rPr>
        <w:t>o </w:t>
      </w:r>
      <w:r w:rsidR="001D1B59" w:rsidRPr="00833C88">
        <w:rPr>
          <w:rFonts w:eastAsia="Times New Roman" w:cs="Times New Roman"/>
          <w:sz w:val="24"/>
          <w:szCs w:val="24"/>
          <w:lang w:eastAsia="pl-PL"/>
        </w:rPr>
        <w:t>KSC</w:t>
      </w:r>
      <w:r w:rsidR="63BC487A" w:rsidRPr="00833C88">
        <w:rPr>
          <w:rFonts w:eastAsia="Times New Roman" w:cs="Times New Roman"/>
          <w:sz w:val="24"/>
          <w:szCs w:val="24"/>
          <w:lang w:eastAsia="pl-PL"/>
        </w:rPr>
        <w:t xml:space="preserve">, który zawiera uproszczone wymogi cyberbezpieczeństwa dla tych podmiotów. </w:t>
      </w:r>
      <w:r w:rsidR="00CB27F3" w:rsidRPr="00833C88">
        <w:rPr>
          <w:rFonts w:eastAsia="Times New Roman" w:cs="Times New Roman"/>
          <w:sz w:val="24"/>
          <w:szCs w:val="24"/>
          <w:lang w:eastAsia="pl-PL"/>
        </w:rPr>
        <w:t>Nadal będą to</w:t>
      </w:r>
      <w:r w:rsidR="00DE38C1" w:rsidRPr="00833C88">
        <w:rPr>
          <w:rFonts w:eastAsia="Times New Roman" w:cs="Times New Roman"/>
          <w:sz w:val="24"/>
          <w:szCs w:val="24"/>
          <w:lang w:eastAsia="pl-PL"/>
        </w:rPr>
        <w:t> </w:t>
      </w:r>
      <w:r w:rsidR="00CB27F3" w:rsidRPr="00833C88">
        <w:rPr>
          <w:rFonts w:eastAsia="Times New Roman" w:cs="Times New Roman"/>
          <w:sz w:val="24"/>
          <w:szCs w:val="24"/>
          <w:lang w:eastAsia="pl-PL"/>
        </w:rPr>
        <w:t xml:space="preserve">podmioty ważne – będą więc </w:t>
      </w:r>
      <w:r w:rsidRPr="00833C88">
        <w:rPr>
          <w:rFonts w:eastAsia="Times New Roman" w:cs="Times New Roman"/>
          <w:sz w:val="24"/>
          <w:szCs w:val="24"/>
          <w:lang w:eastAsia="pl-PL"/>
        </w:rPr>
        <w:t>w </w:t>
      </w:r>
      <w:r w:rsidR="00CB27F3" w:rsidRPr="00833C88">
        <w:rPr>
          <w:rFonts w:eastAsia="Times New Roman" w:cs="Times New Roman"/>
          <w:sz w:val="24"/>
          <w:szCs w:val="24"/>
          <w:lang w:eastAsia="pl-PL"/>
        </w:rPr>
        <w:t>krajowym systemie cyberbezpieczeństwa, będą podlegały obowiązkom nadzorczym jak dla podmiotów ważnych, będą podlegały administracyjnym karom pieniężnym, będą mogły być adresatami rekomendacji Pełnomocnika Rządu do Spraw Cyberbezpieczeństwa.</w:t>
      </w:r>
    </w:p>
    <w:p w14:paraId="78A922B8" w14:textId="588E7C8B" w:rsidR="0043536E" w:rsidRPr="00833C88" w:rsidRDefault="0058682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Rada Ministrów będzie mogła ustalać</w:t>
      </w:r>
      <w:r w:rsidR="00DE51C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DE51C7" w:rsidRPr="00833C88">
        <w:rPr>
          <w:rFonts w:eastAsia="Times New Roman" w:cs="Times New Roman"/>
          <w:sz w:val="24"/>
          <w:szCs w:val="24"/>
          <w:lang w:eastAsia="pl-PL"/>
        </w:rPr>
        <w:t>drodze rozporządzenia,</w:t>
      </w:r>
      <w:r w:rsidRPr="00833C88">
        <w:rPr>
          <w:rFonts w:eastAsia="Times New Roman" w:cs="Times New Roman"/>
          <w:sz w:val="24"/>
          <w:szCs w:val="24"/>
          <w:lang w:eastAsia="pl-PL"/>
        </w:rPr>
        <w:t xml:space="preserve"> </w:t>
      </w:r>
      <w:r w:rsidR="00174D45" w:rsidRPr="00833C88">
        <w:rPr>
          <w:rFonts w:eastAsia="Times New Roman" w:cs="Times New Roman"/>
          <w:sz w:val="24"/>
          <w:szCs w:val="24"/>
          <w:lang w:eastAsia="pl-PL"/>
        </w:rPr>
        <w:t>odrębnie dla danego rodzaju działalności wykonywanej przez podmioty kluczowe lub podmioty ważne szczegółowe wymagania dla systemu zarządzania bezpieczeństwem informacji</w:t>
      </w:r>
      <w:r w:rsidR="002A7908" w:rsidRPr="00833C88">
        <w:rPr>
          <w:rFonts w:eastAsia="Times New Roman" w:cs="Times New Roman"/>
          <w:sz w:val="24"/>
          <w:szCs w:val="24"/>
          <w:lang w:eastAsia="pl-PL"/>
        </w:rPr>
        <w:t xml:space="preserve">. Przepis ten pozwoli </w:t>
      </w:r>
      <w:r w:rsidR="002A7908" w:rsidRPr="00833C88">
        <w:rPr>
          <w:rFonts w:eastAsia="Times New Roman" w:cs="Times New Roman"/>
          <w:sz w:val="24"/>
          <w:szCs w:val="24"/>
          <w:lang w:eastAsia="pl-PL"/>
        </w:rPr>
        <w:lastRenderedPageBreak/>
        <w:t xml:space="preserve">uwzględnić specyfikę poszczególnych sektorów </w:t>
      </w:r>
      <w:r w:rsidR="00601933" w:rsidRPr="00833C88">
        <w:rPr>
          <w:rFonts w:eastAsia="Times New Roman" w:cs="Times New Roman"/>
          <w:sz w:val="24"/>
          <w:szCs w:val="24"/>
          <w:lang w:eastAsia="pl-PL"/>
        </w:rPr>
        <w:t>i </w:t>
      </w:r>
      <w:r w:rsidR="002A7908" w:rsidRPr="00833C88">
        <w:rPr>
          <w:rFonts w:eastAsia="Times New Roman" w:cs="Times New Roman"/>
          <w:sz w:val="24"/>
          <w:szCs w:val="24"/>
          <w:lang w:eastAsia="pl-PL"/>
        </w:rPr>
        <w:t xml:space="preserve">przedstawić </w:t>
      </w:r>
      <w:r w:rsidR="00880400" w:rsidRPr="00833C88">
        <w:rPr>
          <w:rFonts w:eastAsia="Times New Roman" w:cs="Times New Roman"/>
          <w:sz w:val="24"/>
          <w:szCs w:val="24"/>
          <w:lang w:eastAsia="pl-PL"/>
        </w:rPr>
        <w:t xml:space="preserve">rozwiązania </w:t>
      </w:r>
      <w:r w:rsidR="00246AAC" w:rsidRPr="00833C88">
        <w:rPr>
          <w:rFonts w:eastAsia="Times New Roman" w:cs="Times New Roman"/>
          <w:sz w:val="24"/>
          <w:szCs w:val="24"/>
          <w:lang w:eastAsia="pl-PL"/>
        </w:rPr>
        <w:t xml:space="preserve">dostosowane do tej specyfiki. </w:t>
      </w:r>
      <w:r w:rsidR="00DE51C7" w:rsidRPr="00833C88">
        <w:rPr>
          <w:rFonts w:eastAsia="Times New Roman" w:cs="Times New Roman"/>
          <w:sz w:val="24"/>
          <w:szCs w:val="24"/>
          <w:lang w:eastAsia="pl-PL"/>
        </w:rPr>
        <w:t>Będzie to fakultaty</w:t>
      </w:r>
      <w:r w:rsidR="00D211A1" w:rsidRPr="00833C88">
        <w:rPr>
          <w:rFonts w:eastAsia="Times New Roman" w:cs="Times New Roman"/>
          <w:sz w:val="24"/>
          <w:szCs w:val="24"/>
          <w:lang w:eastAsia="pl-PL"/>
        </w:rPr>
        <w:t>wne upoważ</w:t>
      </w:r>
      <w:r w:rsidR="00716C05" w:rsidRPr="00833C88">
        <w:rPr>
          <w:rFonts w:eastAsia="Times New Roman" w:cs="Times New Roman"/>
          <w:sz w:val="24"/>
          <w:szCs w:val="24"/>
          <w:lang w:eastAsia="pl-PL"/>
        </w:rPr>
        <w:t>nieni</w:t>
      </w:r>
      <w:r w:rsidR="00E464EA" w:rsidRPr="00833C88">
        <w:rPr>
          <w:rFonts w:eastAsia="Times New Roman" w:cs="Times New Roman"/>
          <w:sz w:val="24"/>
          <w:szCs w:val="24"/>
          <w:lang w:eastAsia="pl-PL"/>
        </w:rPr>
        <w:t>e</w:t>
      </w:r>
      <w:r w:rsidR="00716C05" w:rsidRPr="00833C88">
        <w:rPr>
          <w:rFonts w:eastAsia="Times New Roman" w:cs="Times New Roman"/>
          <w:sz w:val="24"/>
          <w:szCs w:val="24"/>
          <w:lang w:eastAsia="pl-PL"/>
        </w:rPr>
        <w:t xml:space="preserve"> ustawowe.</w:t>
      </w:r>
    </w:p>
    <w:p w14:paraId="16E96B60" w14:textId="544B3278" w:rsidR="008C3750" w:rsidRPr="00833C88" w:rsidRDefault="0043536E"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Podkreślić należy, że </w:t>
      </w:r>
      <w:r w:rsidR="002835EB" w:rsidRPr="00833C88">
        <w:rPr>
          <w:rFonts w:eastAsia="Times New Roman" w:cs="Times New Roman"/>
          <w:sz w:val="24"/>
          <w:szCs w:val="24"/>
          <w:lang w:eastAsia="pl-PL"/>
        </w:rPr>
        <w:t xml:space="preserve">zakłada się możliwość wydawania wielu rozporządzeń na podstawie dodawanego upoważnienia ustawowego. </w:t>
      </w:r>
      <w:r w:rsidR="00335522" w:rsidRPr="00833C88">
        <w:rPr>
          <w:rFonts w:eastAsia="Times New Roman" w:cs="Times New Roman"/>
          <w:sz w:val="24"/>
          <w:szCs w:val="24"/>
          <w:lang w:eastAsia="pl-PL"/>
        </w:rPr>
        <w:t xml:space="preserve">Projekt ustawy wdrażającej </w:t>
      </w:r>
      <w:r w:rsidR="00E464EA" w:rsidRPr="00833C88">
        <w:rPr>
          <w:rFonts w:eastAsia="Times New Roman" w:cs="Times New Roman"/>
          <w:sz w:val="24"/>
          <w:szCs w:val="24"/>
          <w:lang w:eastAsia="pl-PL"/>
        </w:rPr>
        <w:t xml:space="preserve">dyrektywę </w:t>
      </w:r>
      <w:r w:rsidR="00335522" w:rsidRPr="00833C88">
        <w:rPr>
          <w:rFonts w:eastAsia="Times New Roman" w:cs="Times New Roman"/>
          <w:sz w:val="24"/>
          <w:szCs w:val="24"/>
          <w:lang w:eastAsia="pl-PL"/>
        </w:rPr>
        <w:t>NIS</w:t>
      </w:r>
      <w:r w:rsidR="00E464EA" w:rsidRPr="00833C88">
        <w:rPr>
          <w:rFonts w:eastAsia="Times New Roman" w:cs="Times New Roman"/>
          <w:sz w:val="24"/>
          <w:szCs w:val="24"/>
          <w:lang w:eastAsia="pl-PL"/>
        </w:rPr>
        <w:t xml:space="preserve"> </w:t>
      </w:r>
      <w:r w:rsidR="00335522" w:rsidRPr="00833C88">
        <w:rPr>
          <w:rFonts w:eastAsia="Times New Roman" w:cs="Times New Roman"/>
          <w:sz w:val="24"/>
          <w:szCs w:val="24"/>
          <w:lang w:eastAsia="pl-PL"/>
        </w:rPr>
        <w:t xml:space="preserve">2 nakłada obowiązki na bardzo zróżnicowane podmioty </w:t>
      </w:r>
      <w:r w:rsidR="00601933" w:rsidRPr="00833C88">
        <w:rPr>
          <w:rFonts w:eastAsia="Times New Roman" w:cs="Times New Roman"/>
          <w:sz w:val="24"/>
          <w:szCs w:val="24"/>
          <w:lang w:eastAsia="pl-PL"/>
        </w:rPr>
        <w:t>w </w:t>
      </w:r>
      <w:r w:rsidR="00335522" w:rsidRPr="00833C88">
        <w:rPr>
          <w:rFonts w:eastAsia="Times New Roman" w:cs="Times New Roman"/>
          <w:sz w:val="24"/>
          <w:szCs w:val="24"/>
          <w:lang w:eastAsia="pl-PL"/>
        </w:rPr>
        <w:t xml:space="preserve">wielu sektorach gospodarki. </w:t>
      </w:r>
      <w:r w:rsidR="00601933" w:rsidRPr="00833C88">
        <w:rPr>
          <w:rFonts w:eastAsia="Times New Roman" w:cs="Times New Roman"/>
          <w:sz w:val="24"/>
          <w:szCs w:val="24"/>
          <w:lang w:eastAsia="pl-PL"/>
        </w:rPr>
        <w:t>W </w:t>
      </w:r>
      <w:r w:rsidR="00335522" w:rsidRPr="00833C88">
        <w:rPr>
          <w:rFonts w:eastAsia="Times New Roman" w:cs="Times New Roman"/>
          <w:sz w:val="24"/>
          <w:szCs w:val="24"/>
          <w:lang w:eastAsia="pl-PL"/>
        </w:rPr>
        <w:t xml:space="preserve">ramach </w:t>
      </w:r>
      <w:r w:rsidR="00D13824" w:rsidRPr="00833C88">
        <w:rPr>
          <w:rFonts w:eastAsia="Times New Roman" w:cs="Times New Roman"/>
          <w:sz w:val="24"/>
          <w:szCs w:val="24"/>
          <w:lang w:eastAsia="pl-PL"/>
        </w:rPr>
        <w:t xml:space="preserve">poszczególnych rodzajów działalności występuje także wiele podrodzajów. </w:t>
      </w:r>
      <w:r w:rsidR="000550AE" w:rsidRPr="00833C88">
        <w:rPr>
          <w:rFonts w:eastAsia="Times New Roman" w:cs="Times New Roman"/>
          <w:sz w:val="24"/>
          <w:szCs w:val="24"/>
          <w:lang w:eastAsia="pl-PL"/>
        </w:rPr>
        <w:t>Przygotowanie jednego rozporządzenia obejmującego wszystkie te sektory</w:t>
      </w:r>
      <w:r w:rsidR="003D4F92" w:rsidRPr="00833C88">
        <w:rPr>
          <w:rFonts w:eastAsia="Times New Roman" w:cs="Times New Roman"/>
          <w:sz w:val="24"/>
          <w:szCs w:val="24"/>
          <w:lang w:eastAsia="pl-PL"/>
        </w:rPr>
        <w:t xml:space="preserve"> byłoby zadaniem karkołomnym – wprowadzone regulacje musiałyby pozostać na bardzo wysokim poziomie ogólności, co</w:t>
      </w:r>
      <w:r w:rsidR="00E464EA" w:rsidRPr="00833C88">
        <w:rPr>
          <w:rFonts w:eastAsia="Times New Roman" w:cs="Times New Roman"/>
          <w:sz w:val="24"/>
          <w:szCs w:val="24"/>
          <w:lang w:eastAsia="pl-PL"/>
        </w:rPr>
        <w:t> </w:t>
      </w:r>
      <w:r w:rsidR="00EA15D2" w:rsidRPr="00833C88">
        <w:rPr>
          <w:rFonts w:eastAsia="Times New Roman" w:cs="Times New Roman"/>
          <w:sz w:val="24"/>
          <w:szCs w:val="24"/>
          <w:lang w:eastAsia="pl-PL"/>
        </w:rPr>
        <w:t xml:space="preserve">poddawałoby </w:t>
      </w:r>
      <w:r w:rsidR="00601933" w:rsidRPr="00833C88">
        <w:rPr>
          <w:rFonts w:eastAsia="Times New Roman" w:cs="Times New Roman"/>
          <w:sz w:val="24"/>
          <w:szCs w:val="24"/>
          <w:lang w:eastAsia="pl-PL"/>
        </w:rPr>
        <w:t>w </w:t>
      </w:r>
      <w:r w:rsidR="00EA15D2" w:rsidRPr="00833C88">
        <w:rPr>
          <w:rFonts w:eastAsia="Times New Roman" w:cs="Times New Roman"/>
          <w:sz w:val="24"/>
          <w:szCs w:val="24"/>
          <w:lang w:eastAsia="pl-PL"/>
        </w:rPr>
        <w:t xml:space="preserve">wątpliwość celowość uregulowania tej materii </w:t>
      </w:r>
      <w:r w:rsidR="00601933" w:rsidRPr="00833C88">
        <w:rPr>
          <w:rFonts w:eastAsia="Times New Roman" w:cs="Times New Roman"/>
          <w:sz w:val="24"/>
          <w:szCs w:val="24"/>
          <w:lang w:eastAsia="pl-PL"/>
        </w:rPr>
        <w:t>w </w:t>
      </w:r>
      <w:r w:rsidR="00EA15D2" w:rsidRPr="00833C88">
        <w:rPr>
          <w:rFonts w:eastAsia="Times New Roman" w:cs="Times New Roman"/>
          <w:sz w:val="24"/>
          <w:szCs w:val="24"/>
          <w:lang w:eastAsia="pl-PL"/>
        </w:rPr>
        <w:t xml:space="preserve">rozporządzeniu. </w:t>
      </w:r>
      <w:r w:rsidR="00586A06" w:rsidRPr="00833C88">
        <w:rPr>
          <w:rFonts w:eastAsia="Times New Roman" w:cs="Times New Roman"/>
          <w:sz w:val="24"/>
          <w:szCs w:val="24"/>
          <w:lang w:eastAsia="pl-PL"/>
        </w:rPr>
        <w:t xml:space="preserve">Alternatywa </w:t>
      </w:r>
      <w:r w:rsidR="00601933" w:rsidRPr="00833C88">
        <w:rPr>
          <w:rFonts w:eastAsia="Times New Roman" w:cs="Times New Roman"/>
          <w:sz w:val="24"/>
          <w:szCs w:val="24"/>
          <w:lang w:eastAsia="pl-PL"/>
        </w:rPr>
        <w:t>w </w:t>
      </w:r>
      <w:r w:rsidR="00586A06" w:rsidRPr="00833C88">
        <w:rPr>
          <w:rFonts w:eastAsia="Times New Roman" w:cs="Times New Roman"/>
          <w:sz w:val="24"/>
          <w:szCs w:val="24"/>
          <w:lang w:eastAsia="pl-PL"/>
        </w:rPr>
        <w:t xml:space="preserve">postaci wprowadzenia kilkunastu przepisów upoważniających </w:t>
      </w:r>
      <w:r w:rsidR="00117CC9" w:rsidRPr="00833C88">
        <w:rPr>
          <w:rFonts w:eastAsia="Times New Roman" w:cs="Times New Roman"/>
          <w:sz w:val="24"/>
          <w:szCs w:val="24"/>
          <w:lang w:eastAsia="pl-PL"/>
        </w:rPr>
        <w:t>dla określenia minimalnych wymagań dla systemu zarządzania bezpieczeństwem informacji w</w:t>
      </w:r>
      <w:r w:rsidR="00E464EA" w:rsidRPr="00833C88">
        <w:rPr>
          <w:rFonts w:eastAsia="Times New Roman" w:cs="Times New Roman"/>
          <w:sz w:val="24"/>
          <w:szCs w:val="24"/>
          <w:lang w:eastAsia="pl-PL"/>
        </w:rPr>
        <w:t> </w:t>
      </w:r>
      <w:r w:rsidR="00117CC9" w:rsidRPr="00833C88">
        <w:rPr>
          <w:rFonts w:eastAsia="Times New Roman" w:cs="Times New Roman"/>
          <w:sz w:val="24"/>
          <w:szCs w:val="24"/>
          <w:lang w:eastAsia="pl-PL"/>
        </w:rPr>
        <w:t xml:space="preserve">poszczególnych sektorach nie wydaje się słuszna. </w:t>
      </w:r>
      <w:r w:rsidR="00064EBF" w:rsidRPr="00833C88">
        <w:rPr>
          <w:rFonts w:eastAsia="Times New Roman" w:cs="Times New Roman"/>
          <w:sz w:val="24"/>
          <w:szCs w:val="24"/>
          <w:lang w:eastAsia="pl-PL"/>
        </w:rPr>
        <w:t xml:space="preserve">Trudno byłoby </w:t>
      </w:r>
      <w:r w:rsidR="00601933" w:rsidRPr="00833C88">
        <w:rPr>
          <w:rFonts w:eastAsia="Times New Roman" w:cs="Times New Roman"/>
          <w:sz w:val="24"/>
          <w:szCs w:val="24"/>
          <w:lang w:eastAsia="pl-PL"/>
        </w:rPr>
        <w:t>w </w:t>
      </w:r>
      <w:r w:rsidR="00064EBF" w:rsidRPr="00833C88">
        <w:rPr>
          <w:rFonts w:eastAsia="Times New Roman" w:cs="Times New Roman"/>
          <w:sz w:val="24"/>
          <w:szCs w:val="24"/>
          <w:lang w:eastAsia="pl-PL"/>
        </w:rPr>
        <w:t xml:space="preserve">takim przypadku określić organ wydający rozporządzenie – wszakże </w:t>
      </w:r>
      <w:r w:rsidR="008C3750" w:rsidRPr="00833C88">
        <w:rPr>
          <w:rFonts w:eastAsia="Times New Roman" w:cs="Times New Roman"/>
          <w:sz w:val="24"/>
          <w:szCs w:val="24"/>
          <w:lang w:eastAsia="pl-PL"/>
        </w:rPr>
        <w:t>nie wszystkie organy właściwe do spraw cyberbezpieczeństwa mają prawo do wydawania rozporządzeń. Dlatego zdecydowano się na wprowadzenie upoważnienia ustawowego dla Rady Ministrów</w:t>
      </w:r>
      <w:r w:rsidR="00C52DAA" w:rsidRPr="00833C88">
        <w:rPr>
          <w:rFonts w:eastAsia="Times New Roman" w:cs="Times New Roman"/>
          <w:sz w:val="24"/>
          <w:szCs w:val="24"/>
          <w:lang w:eastAsia="pl-PL"/>
        </w:rPr>
        <w:t>.</w:t>
      </w:r>
    </w:p>
    <w:p w14:paraId="7DA3DAC0" w14:textId="0D4A0FD0" w:rsidR="00881656"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780D3B" w:rsidRPr="00833C88">
        <w:rPr>
          <w:rFonts w:eastAsia="Times New Roman" w:cs="Times New Roman"/>
          <w:sz w:val="24"/>
          <w:szCs w:val="24"/>
          <w:lang w:eastAsia="pl-PL"/>
        </w:rPr>
        <w:t>ramach rządowego procesu legislacyjnego w</w:t>
      </w:r>
      <w:r w:rsidR="002B4B1E" w:rsidRPr="00833C88">
        <w:rPr>
          <w:rFonts w:eastAsia="Times New Roman" w:cs="Times New Roman"/>
          <w:sz w:val="24"/>
          <w:szCs w:val="24"/>
          <w:lang w:eastAsia="pl-PL"/>
        </w:rPr>
        <w:t xml:space="preserve">nioskodawcą projektu rozporządzenia </w:t>
      </w:r>
      <w:r w:rsidR="00167F29" w:rsidRPr="00833C88">
        <w:rPr>
          <w:rFonts w:eastAsia="Times New Roman" w:cs="Times New Roman"/>
          <w:sz w:val="24"/>
          <w:szCs w:val="24"/>
          <w:lang w:eastAsia="pl-PL"/>
        </w:rPr>
        <w:t>do</w:t>
      </w:r>
      <w:r w:rsidR="00E464EA" w:rsidRPr="00833C88">
        <w:rPr>
          <w:rFonts w:eastAsia="Times New Roman" w:cs="Times New Roman"/>
          <w:sz w:val="24"/>
          <w:szCs w:val="24"/>
          <w:lang w:eastAsia="pl-PL"/>
        </w:rPr>
        <w:t>tyczącego</w:t>
      </w:r>
      <w:r w:rsidR="00167F29" w:rsidRPr="00833C88">
        <w:rPr>
          <w:rFonts w:eastAsia="Times New Roman" w:cs="Times New Roman"/>
          <w:sz w:val="24"/>
          <w:szCs w:val="24"/>
          <w:lang w:eastAsia="pl-PL"/>
        </w:rPr>
        <w:t xml:space="preserve"> określonej działalności powinien być organ właściwy do spraw cyberbezpieczeństwa </w:t>
      </w:r>
      <w:r w:rsidR="00594CF3" w:rsidRPr="00833C88">
        <w:rPr>
          <w:rFonts w:eastAsia="Times New Roman" w:cs="Times New Roman"/>
          <w:sz w:val="24"/>
          <w:szCs w:val="24"/>
          <w:lang w:eastAsia="pl-PL"/>
        </w:rPr>
        <w:t>nadzorujący daną działalność.</w:t>
      </w:r>
      <w:r w:rsidR="0098618C" w:rsidRPr="00833C88">
        <w:rPr>
          <w:rFonts w:eastAsia="Times New Roman" w:cs="Times New Roman"/>
          <w:sz w:val="24"/>
          <w:szCs w:val="24"/>
          <w:lang w:eastAsia="pl-PL"/>
        </w:rPr>
        <w:t xml:space="preserve"> Jeśli </w:t>
      </w:r>
      <w:r w:rsidR="009D4FA5" w:rsidRPr="00833C88">
        <w:rPr>
          <w:rFonts w:eastAsia="Times New Roman" w:cs="Times New Roman"/>
          <w:sz w:val="24"/>
          <w:szCs w:val="24"/>
          <w:lang w:eastAsia="pl-PL"/>
        </w:rPr>
        <w:t xml:space="preserve">organ właściwy do spraw </w:t>
      </w:r>
      <w:r w:rsidR="00701B81" w:rsidRPr="00833C88">
        <w:rPr>
          <w:rFonts w:eastAsia="Times New Roman" w:cs="Times New Roman"/>
          <w:sz w:val="24"/>
          <w:szCs w:val="24"/>
          <w:lang w:eastAsia="pl-PL"/>
        </w:rPr>
        <w:t>c</w:t>
      </w:r>
      <w:r w:rsidR="009D4FA5" w:rsidRPr="00833C88">
        <w:rPr>
          <w:rFonts w:eastAsia="Times New Roman" w:cs="Times New Roman"/>
          <w:sz w:val="24"/>
          <w:szCs w:val="24"/>
          <w:lang w:eastAsia="pl-PL"/>
        </w:rPr>
        <w:t>yberbezpieczeństwa nie ma uprawnień do procedowania projektu rozporządzenia, to</w:t>
      </w:r>
      <w:r w:rsidR="009B4C26" w:rsidRPr="00833C88">
        <w:rPr>
          <w:rFonts w:eastAsia="Times New Roman" w:cs="Times New Roman"/>
          <w:sz w:val="24"/>
          <w:szCs w:val="24"/>
          <w:lang w:eastAsia="pl-PL"/>
        </w:rPr>
        <w:t> </w:t>
      </w:r>
      <w:r w:rsidR="00EA4C9F" w:rsidRPr="00833C88">
        <w:rPr>
          <w:rFonts w:eastAsia="Times New Roman" w:cs="Times New Roman"/>
          <w:sz w:val="24"/>
          <w:szCs w:val="24"/>
          <w:lang w:eastAsia="pl-PL"/>
        </w:rPr>
        <w:t>wnioskodawcą projektu powinien być minister nadzorujący dany organ.</w:t>
      </w:r>
    </w:p>
    <w:p w14:paraId="01F80C6C" w14:textId="68CD27DA" w:rsidR="006A0BB2" w:rsidRPr="00833C88" w:rsidRDefault="006A0BB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aktów </w:t>
      </w:r>
      <w:proofErr w:type="spellStart"/>
      <w:r w:rsidRPr="00833C88">
        <w:rPr>
          <w:rFonts w:eastAsia="Times New Roman" w:cs="Times New Roman"/>
          <w:sz w:val="24"/>
          <w:szCs w:val="24"/>
          <w:lang w:eastAsia="pl-PL"/>
        </w:rPr>
        <w:t>podustawowych</w:t>
      </w:r>
      <w:proofErr w:type="spellEnd"/>
      <w:r w:rsidRPr="00833C88">
        <w:rPr>
          <w:rFonts w:eastAsia="Times New Roman" w:cs="Times New Roman"/>
          <w:sz w:val="24"/>
          <w:szCs w:val="24"/>
          <w:lang w:eastAsia="pl-PL"/>
        </w:rPr>
        <w:t xml:space="preserve"> muszą być zgodne nie tylko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ustawą</w:t>
      </w:r>
      <w:r w:rsidR="00E464EA" w:rsidRPr="00833C88">
        <w:rPr>
          <w:rFonts w:eastAsia="Times New Roman" w:cs="Times New Roman"/>
          <w:sz w:val="24"/>
          <w:szCs w:val="24"/>
          <w:lang w:eastAsia="pl-PL"/>
        </w:rPr>
        <w:t>,</w:t>
      </w:r>
      <w:r w:rsidRPr="00833C88">
        <w:rPr>
          <w:rFonts w:eastAsia="Times New Roman" w:cs="Times New Roman"/>
          <w:sz w:val="24"/>
          <w:szCs w:val="24"/>
          <w:lang w:eastAsia="pl-PL"/>
        </w:rPr>
        <w:t xml:space="preserve"> na podstawie której zostały wydane, ale także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innymi ustawami. Wynika to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hierarchii systemu źródeł prawa. Przepisy art. 8</w:t>
      </w:r>
      <w:r w:rsidR="00E464EA"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E464EA" w:rsidRPr="00833C88">
        <w:rPr>
          <w:rFonts w:eastAsia="Times New Roman" w:cs="Times New Roman"/>
          <w:sz w:val="24"/>
          <w:szCs w:val="24"/>
          <w:lang w:eastAsia="pl-PL"/>
        </w:rPr>
        <w:t>KSC</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wersji znowelizowanej będą nakładały obowiązek wdrożenia systemu zarządzania bezpieczeństwem informacji na podmioty publiczne. Te podmioty już obecnie mają taki obowiązek – wynika on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 </w:t>
      </w:r>
      <w:r w:rsidR="003B58F3" w:rsidRPr="00833C88">
        <w:rPr>
          <w:rFonts w:eastAsia="Times New Roman" w:cs="Times New Roman"/>
          <w:sz w:val="24"/>
          <w:szCs w:val="24"/>
          <w:lang w:eastAsia="pl-PL"/>
        </w:rPr>
        <w:t>19</w:t>
      </w:r>
      <w:r w:rsidRPr="00833C88">
        <w:rPr>
          <w:rFonts w:eastAsia="Times New Roman" w:cs="Times New Roman"/>
          <w:sz w:val="24"/>
          <w:szCs w:val="24"/>
          <w:lang w:eastAsia="pl-PL"/>
        </w:rPr>
        <w:t xml:space="preserve"> rozporządzenia Rady Ministrów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w:t>
      </w:r>
      <w:r w:rsidR="003B58F3" w:rsidRPr="00833C88">
        <w:rPr>
          <w:rFonts w:eastAsia="Times New Roman" w:cs="Times New Roman"/>
          <w:sz w:val="24"/>
          <w:szCs w:val="24"/>
          <w:lang w:eastAsia="pl-PL"/>
        </w:rPr>
        <w:t>21</w:t>
      </w:r>
      <w:r w:rsidRPr="00833C88">
        <w:rPr>
          <w:rFonts w:eastAsia="Times New Roman" w:cs="Times New Roman"/>
          <w:sz w:val="24"/>
          <w:szCs w:val="24"/>
          <w:lang w:eastAsia="pl-PL"/>
        </w:rPr>
        <w:t xml:space="preserve"> </w:t>
      </w:r>
      <w:r w:rsidR="003B58F3" w:rsidRPr="00833C88">
        <w:rPr>
          <w:rFonts w:eastAsia="Times New Roman" w:cs="Times New Roman"/>
          <w:sz w:val="24"/>
          <w:szCs w:val="24"/>
          <w:lang w:eastAsia="pl-PL"/>
        </w:rPr>
        <w:t>maja</w:t>
      </w:r>
      <w:r w:rsidRPr="00833C88">
        <w:rPr>
          <w:rFonts w:eastAsia="Times New Roman" w:cs="Times New Roman"/>
          <w:sz w:val="24"/>
          <w:szCs w:val="24"/>
          <w:lang w:eastAsia="pl-PL"/>
        </w:rPr>
        <w:t xml:space="preserve"> 20</w:t>
      </w:r>
      <w:r w:rsidR="003B58F3" w:rsidRPr="00833C88">
        <w:rPr>
          <w:rFonts w:eastAsia="Times New Roman" w:cs="Times New Roman"/>
          <w:sz w:val="24"/>
          <w:szCs w:val="24"/>
          <w:lang w:eastAsia="pl-PL"/>
        </w:rPr>
        <w:t>24</w:t>
      </w:r>
      <w:r w:rsidRPr="00833C88">
        <w:rPr>
          <w:rFonts w:eastAsia="Times New Roman" w:cs="Times New Roman"/>
          <w:sz w:val="24"/>
          <w:szCs w:val="24"/>
          <w:lang w:eastAsia="pl-PL"/>
        </w:rPr>
        <w:t xml:space="preserve"> r.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sprawie Krajowych Ram Interoperacyjności, minimalnych wymagań dla rejestrów publicznych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wymiany informacji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postaci elektronicznej oraz minimalnych wymagań dla systemów teleinformatycznych</w:t>
      </w:r>
      <w:r w:rsidR="00E464EA" w:rsidRPr="00833C88">
        <w:rPr>
          <w:rFonts w:eastAsia="Times New Roman" w:cs="Times New Roman"/>
          <w:sz w:val="24"/>
          <w:szCs w:val="24"/>
          <w:lang w:eastAsia="pl-PL"/>
        </w:rPr>
        <w:t>.</w:t>
      </w:r>
      <w:r w:rsidRPr="00833C88">
        <w:rPr>
          <w:rFonts w:eastAsia="Times New Roman" w:cs="Times New Roman"/>
          <w:sz w:val="24"/>
          <w:szCs w:val="24"/>
          <w:lang w:eastAsia="pl-PL"/>
        </w:rPr>
        <w:t xml:space="preserve"> Konieczna będzie nowelizacja tego rozporządzenia, aby uniknąć kolizji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przepisami art. 8</w:t>
      </w:r>
      <w:r w:rsidR="00E464EA"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E464EA" w:rsidRPr="00833C88">
        <w:rPr>
          <w:rFonts w:eastAsia="Times New Roman" w:cs="Times New Roman"/>
          <w:sz w:val="24"/>
          <w:szCs w:val="24"/>
          <w:lang w:eastAsia="pl-PL"/>
        </w:rPr>
        <w:t>KSC</w:t>
      </w:r>
      <w:r w:rsidRPr="00833C88">
        <w:rPr>
          <w:rFonts w:eastAsia="Times New Roman" w:cs="Times New Roman"/>
          <w:sz w:val="24"/>
          <w:szCs w:val="24"/>
          <w:lang w:eastAsia="pl-PL"/>
        </w:rPr>
        <w:t>. Nie</w:t>
      </w:r>
      <w:r w:rsidR="00E464EA" w:rsidRPr="00833C88">
        <w:rPr>
          <w:rFonts w:eastAsia="Times New Roman" w:cs="Times New Roman"/>
          <w:sz w:val="24"/>
          <w:szCs w:val="24"/>
          <w:lang w:eastAsia="pl-PL"/>
        </w:rPr>
        <w:t> </w:t>
      </w:r>
      <w:r w:rsidRPr="00833C88">
        <w:rPr>
          <w:rFonts w:eastAsia="Times New Roman" w:cs="Times New Roman"/>
          <w:sz w:val="24"/>
          <w:szCs w:val="24"/>
          <w:lang w:eastAsia="pl-PL"/>
        </w:rPr>
        <w:t xml:space="preserve">jest </w:t>
      </w:r>
      <w:r w:rsidR="00E464EA" w:rsidRPr="00833C88">
        <w:rPr>
          <w:rFonts w:eastAsia="Times New Roman" w:cs="Times New Roman"/>
          <w:sz w:val="24"/>
          <w:szCs w:val="24"/>
          <w:lang w:eastAsia="pl-PL"/>
        </w:rPr>
        <w:t>również</w:t>
      </w:r>
      <w:r w:rsidRPr="00833C88">
        <w:rPr>
          <w:rFonts w:eastAsia="Times New Roman" w:cs="Times New Roman"/>
          <w:sz w:val="24"/>
          <w:szCs w:val="24"/>
          <w:lang w:eastAsia="pl-PL"/>
        </w:rPr>
        <w:t xml:space="preserve"> wykluczone, że na podstawie art. 8a </w:t>
      </w:r>
      <w:r w:rsidR="00E464EA" w:rsidRPr="00833C88">
        <w:rPr>
          <w:rFonts w:eastAsia="Times New Roman" w:cs="Times New Roman"/>
          <w:sz w:val="24"/>
          <w:szCs w:val="24"/>
          <w:lang w:eastAsia="pl-PL"/>
        </w:rPr>
        <w:t xml:space="preserve">projektu ustawy </w:t>
      </w:r>
      <w:r w:rsidRPr="00833C88">
        <w:rPr>
          <w:rFonts w:eastAsia="Times New Roman" w:cs="Times New Roman"/>
          <w:sz w:val="24"/>
          <w:szCs w:val="24"/>
          <w:lang w:eastAsia="pl-PL"/>
        </w:rPr>
        <w:t xml:space="preserve">zostanie wydane rozporządzenie precyzujące wymagania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cyberbezpieczeństwa dla podmiotów publicznych.</w:t>
      </w:r>
      <w:r w:rsidR="00067E5B" w:rsidRPr="00833C88">
        <w:rPr>
          <w:rFonts w:eastAsia="Times New Roman" w:cs="Times New Roman"/>
          <w:sz w:val="24"/>
          <w:szCs w:val="24"/>
          <w:lang w:eastAsia="pl-PL"/>
        </w:rPr>
        <w:t xml:space="preserve"> </w:t>
      </w:r>
    </w:p>
    <w:p w14:paraId="6B58719C" w14:textId="7ACDE2DA" w:rsidR="00376527" w:rsidRPr="00833C88" w:rsidRDefault="00743A0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Komisja Europejska ma obowiązek wydania aktów wykonawczych do dyrektywy NIS</w:t>
      </w:r>
      <w:r w:rsidR="00067E5B"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2 określających </w:t>
      </w:r>
      <w:r w:rsidR="00E60F8B" w:rsidRPr="00833C88">
        <w:rPr>
          <w:rFonts w:eastAsia="Times New Roman" w:cs="Times New Roman"/>
          <w:sz w:val="24"/>
          <w:szCs w:val="24"/>
          <w:lang w:eastAsia="pl-PL"/>
        </w:rPr>
        <w:t xml:space="preserve">środki zarządzania ryzykiem dla części podmiotów </w:t>
      </w:r>
      <w:r w:rsidR="00601933" w:rsidRPr="00833C88">
        <w:rPr>
          <w:rFonts w:eastAsia="Times New Roman" w:cs="Times New Roman"/>
          <w:sz w:val="24"/>
          <w:szCs w:val="24"/>
          <w:lang w:eastAsia="pl-PL"/>
        </w:rPr>
        <w:t>z </w:t>
      </w:r>
      <w:r w:rsidR="00E60F8B" w:rsidRPr="00833C88">
        <w:rPr>
          <w:rFonts w:eastAsia="Times New Roman" w:cs="Times New Roman"/>
          <w:sz w:val="24"/>
          <w:szCs w:val="24"/>
          <w:lang w:eastAsia="pl-PL"/>
        </w:rPr>
        <w:t xml:space="preserve">sektora infrastruktury cyfrowej. Dla pozostałych podmiotów Komisja może wydać takie akty. Dlatego </w:t>
      </w:r>
      <w:r w:rsidR="00601933" w:rsidRPr="00833C88">
        <w:rPr>
          <w:rFonts w:eastAsia="Times New Roman" w:cs="Times New Roman"/>
          <w:sz w:val="24"/>
          <w:szCs w:val="24"/>
          <w:lang w:eastAsia="pl-PL"/>
        </w:rPr>
        <w:t>w </w:t>
      </w:r>
      <w:r w:rsidR="00E60F8B" w:rsidRPr="00833C88">
        <w:rPr>
          <w:rFonts w:eastAsia="Times New Roman" w:cs="Times New Roman"/>
          <w:sz w:val="24"/>
          <w:szCs w:val="24"/>
          <w:lang w:eastAsia="pl-PL"/>
        </w:rPr>
        <w:t xml:space="preserve">przepisie wskazano, że </w:t>
      </w:r>
      <w:r w:rsidR="00601933" w:rsidRPr="00833C88">
        <w:rPr>
          <w:rFonts w:eastAsia="Times New Roman" w:cs="Times New Roman"/>
          <w:sz w:val="24"/>
          <w:szCs w:val="24"/>
          <w:lang w:eastAsia="pl-PL"/>
        </w:rPr>
        <w:t>w </w:t>
      </w:r>
      <w:r w:rsidR="00901D14" w:rsidRPr="00833C88">
        <w:rPr>
          <w:rFonts w:eastAsia="Times New Roman" w:cs="Times New Roman"/>
          <w:sz w:val="24"/>
          <w:szCs w:val="24"/>
          <w:lang w:eastAsia="pl-PL"/>
        </w:rPr>
        <w:t xml:space="preserve">ramach systemu zarządzania bezpieczeństwem informacji </w:t>
      </w:r>
      <w:r w:rsidR="00601933" w:rsidRPr="00833C88">
        <w:rPr>
          <w:rFonts w:eastAsia="Times New Roman" w:cs="Times New Roman"/>
          <w:sz w:val="24"/>
          <w:szCs w:val="24"/>
          <w:lang w:eastAsia="pl-PL"/>
        </w:rPr>
        <w:t>i </w:t>
      </w:r>
      <w:r w:rsidR="00901D14" w:rsidRPr="00833C88">
        <w:rPr>
          <w:rFonts w:eastAsia="Times New Roman" w:cs="Times New Roman"/>
          <w:sz w:val="24"/>
          <w:szCs w:val="24"/>
          <w:lang w:eastAsia="pl-PL"/>
        </w:rPr>
        <w:t xml:space="preserve">ciągłości działania podmioty stosują środki określone </w:t>
      </w:r>
      <w:r w:rsidR="00601933" w:rsidRPr="00833C88">
        <w:rPr>
          <w:rFonts w:eastAsia="Times New Roman" w:cs="Times New Roman"/>
          <w:sz w:val="24"/>
          <w:szCs w:val="24"/>
          <w:lang w:eastAsia="pl-PL"/>
        </w:rPr>
        <w:t>w </w:t>
      </w:r>
      <w:r w:rsidR="00901D14" w:rsidRPr="00833C88">
        <w:rPr>
          <w:rFonts w:eastAsia="Times New Roman" w:cs="Times New Roman"/>
          <w:sz w:val="24"/>
          <w:szCs w:val="24"/>
          <w:lang w:eastAsia="pl-PL"/>
        </w:rPr>
        <w:t>bezpośrednio stosowalnych aktach wykonawczych Komisji Europejskiej</w:t>
      </w:r>
      <w:r w:rsidR="00376527" w:rsidRPr="00833C88">
        <w:rPr>
          <w:rFonts w:eastAsia="Times New Roman" w:cs="Times New Roman"/>
          <w:sz w:val="24"/>
          <w:szCs w:val="24"/>
          <w:lang w:eastAsia="pl-PL"/>
        </w:rPr>
        <w:t>.</w:t>
      </w:r>
    </w:p>
    <w:p w14:paraId="16D3B38D" w14:textId="1526AC2F" w:rsidR="00376527" w:rsidRPr="00833C88" w:rsidRDefault="0037652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Wskazano również, że </w:t>
      </w:r>
      <w:r w:rsidR="007E03A3" w:rsidRPr="00833C88">
        <w:rPr>
          <w:rFonts w:eastAsia="Times New Roman" w:cs="Times New Roman"/>
          <w:sz w:val="24"/>
          <w:szCs w:val="24"/>
          <w:lang w:eastAsia="pl-PL"/>
        </w:rPr>
        <w:t xml:space="preserve">podmioty kluczowe </w:t>
      </w:r>
      <w:r w:rsidR="00601933" w:rsidRPr="00833C88">
        <w:rPr>
          <w:rFonts w:eastAsia="Times New Roman" w:cs="Times New Roman"/>
          <w:sz w:val="24"/>
          <w:szCs w:val="24"/>
          <w:lang w:eastAsia="pl-PL"/>
        </w:rPr>
        <w:t>z </w:t>
      </w:r>
      <w:r w:rsidR="007E03A3" w:rsidRPr="00833C88">
        <w:rPr>
          <w:rFonts w:eastAsia="Times New Roman" w:cs="Times New Roman"/>
          <w:sz w:val="24"/>
          <w:szCs w:val="24"/>
          <w:lang w:eastAsia="pl-PL"/>
        </w:rPr>
        <w:t xml:space="preserve">podsektora energii elektrycznej stosują, </w:t>
      </w:r>
      <w:r w:rsidR="00601933" w:rsidRPr="00833C88">
        <w:rPr>
          <w:rFonts w:eastAsia="Times New Roman" w:cs="Times New Roman"/>
          <w:sz w:val="24"/>
          <w:szCs w:val="24"/>
          <w:lang w:eastAsia="pl-PL"/>
        </w:rPr>
        <w:t>w </w:t>
      </w:r>
      <w:r w:rsidR="007E03A3" w:rsidRPr="00833C88">
        <w:rPr>
          <w:rFonts w:eastAsia="Times New Roman" w:cs="Times New Roman"/>
          <w:sz w:val="24"/>
          <w:szCs w:val="24"/>
          <w:lang w:eastAsia="pl-PL"/>
        </w:rPr>
        <w:t xml:space="preserve">ramach systemu zarządzania bezpieczeństwem informacji </w:t>
      </w:r>
      <w:r w:rsidR="00601933" w:rsidRPr="00833C88">
        <w:rPr>
          <w:rFonts w:eastAsia="Times New Roman" w:cs="Times New Roman"/>
          <w:sz w:val="24"/>
          <w:szCs w:val="24"/>
          <w:lang w:eastAsia="pl-PL"/>
        </w:rPr>
        <w:t>i </w:t>
      </w:r>
      <w:r w:rsidR="007E03A3" w:rsidRPr="00833C88">
        <w:rPr>
          <w:rFonts w:eastAsia="Times New Roman" w:cs="Times New Roman"/>
          <w:sz w:val="24"/>
          <w:szCs w:val="24"/>
          <w:lang w:eastAsia="pl-PL"/>
        </w:rPr>
        <w:t xml:space="preserve">ciągłości działania środki określone </w:t>
      </w:r>
      <w:r w:rsidR="00601933" w:rsidRPr="00833C88">
        <w:rPr>
          <w:rFonts w:eastAsia="Times New Roman" w:cs="Times New Roman"/>
          <w:sz w:val="24"/>
          <w:szCs w:val="24"/>
          <w:lang w:eastAsia="pl-PL"/>
        </w:rPr>
        <w:t>w </w:t>
      </w:r>
      <w:r w:rsidR="007E03A3" w:rsidRPr="00833C88">
        <w:rPr>
          <w:rFonts w:eastAsia="Times New Roman" w:cs="Times New Roman"/>
          <w:sz w:val="24"/>
          <w:szCs w:val="24"/>
          <w:lang w:eastAsia="pl-PL"/>
        </w:rPr>
        <w:t xml:space="preserve">rozporządzeniu delegowanym Komisji (UE) 2024/1366 </w:t>
      </w:r>
      <w:r w:rsidR="00601933" w:rsidRPr="00833C88">
        <w:rPr>
          <w:rFonts w:eastAsia="Times New Roman" w:cs="Times New Roman"/>
          <w:sz w:val="24"/>
          <w:szCs w:val="24"/>
          <w:lang w:eastAsia="pl-PL"/>
        </w:rPr>
        <w:t>z </w:t>
      </w:r>
      <w:r w:rsidR="007E03A3" w:rsidRPr="00833C88">
        <w:rPr>
          <w:rFonts w:eastAsia="Times New Roman" w:cs="Times New Roman"/>
          <w:sz w:val="24"/>
          <w:szCs w:val="24"/>
          <w:lang w:eastAsia="pl-PL"/>
        </w:rPr>
        <w:t xml:space="preserve">dnia 11 marca 2024 r. uzupełniające rozporządzenie Parlamentu Europejskiego </w:t>
      </w:r>
      <w:r w:rsidR="00601933" w:rsidRPr="00833C88">
        <w:rPr>
          <w:rFonts w:eastAsia="Times New Roman" w:cs="Times New Roman"/>
          <w:sz w:val="24"/>
          <w:szCs w:val="24"/>
          <w:lang w:eastAsia="pl-PL"/>
        </w:rPr>
        <w:t>i </w:t>
      </w:r>
      <w:r w:rsidR="007E03A3" w:rsidRPr="00833C88">
        <w:rPr>
          <w:rFonts w:eastAsia="Times New Roman" w:cs="Times New Roman"/>
          <w:sz w:val="24"/>
          <w:szCs w:val="24"/>
          <w:lang w:eastAsia="pl-PL"/>
        </w:rPr>
        <w:t xml:space="preserve">Rady (UE) 2019/943 poprzez ustanowienie kodeksu sieci dotyczącego zasad sektorowych </w:t>
      </w:r>
      <w:r w:rsidR="00601933" w:rsidRPr="00833C88">
        <w:rPr>
          <w:rFonts w:eastAsia="Times New Roman" w:cs="Times New Roman"/>
          <w:sz w:val="24"/>
          <w:szCs w:val="24"/>
          <w:lang w:eastAsia="pl-PL"/>
        </w:rPr>
        <w:t>w </w:t>
      </w:r>
      <w:r w:rsidR="007E03A3" w:rsidRPr="00833C88">
        <w:rPr>
          <w:rFonts w:eastAsia="Times New Roman" w:cs="Times New Roman"/>
          <w:sz w:val="24"/>
          <w:szCs w:val="24"/>
          <w:lang w:eastAsia="pl-PL"/>
        </w:rPr>
        <w:t xml:space="preserve">zakresie aspektów cyberbezpieczeństwa </w:t>
      </w:r>
      <w:r w:rsidR="00601933" w:rsidRPr="00833C88">
        <w:rPr>
          <w:rFonts w:eastAsia="Times New Roman" w:cs="Times New Roman"/>
          <w:sz w:val="24"/>
          <w:szCs w:val="24"/>
          <w:lang w:eastAsia="pl-PL"/>
        </w:rPr>
        <w:t>w </w:t>
      </w:r>
      <w:r w:rsidR="007E03A3" w:rsidRPr="00833C88">
        <w:rPr>
          <w:rFonts w:eastAsia="Times New Roman" w:cs="Times New Roman"/>
          <w:sz w:val="24"/>
          <w:szCs w:val="24"/>
          <w:lang w:eastAsia="pl-PL"/>
        </w:rPr>
        <w:t>transgranicznych przepływach energii elektrycznej.</w:t>
      </w:r>
    </w:p>
    <w:p w14:paraId="63F1994D" w14:textId="757EEFF1" w:rsidR="00067E5B" w:rsidRPr="00833C88" w:rsidRDefault="000A0122" w:rsidP="00BC7BDE">
      <w:pPr>
        <w:pStyle w:val="Nagwek3"/>
        <w:spacing w:before="0" w:after="120" w:line="360" w:lineRule="auto"/>
        <w:jc w:val="both"/>
        <w:rPr>
          <w:rFonts w:cs="Times New Roman"/>
          <w:lang w:eastAsia="pl-PL"/>
        </w:rPr>
      </w:pPr>
      <w:r w:rsidRPr="00833C88">
        <w:rPr>
          <w:rFonts w:cs="Times New Roman"/>
          <w:b/>
          <w:bCs/>
          <w:u w:val="none"/>
          <w:lang w:eastAsia="pl-PL"/>
        </w:rPr>
        <w:t>Zadania kierownictwa</w:t>
      </w:r>
    </w:p>
    <w:p w14:paraId="0DBCEA6E" w14:textId="0266950D" w:rsidR="0007115D" w:rsidRPr="00833C88" w:rsidRDefault="00B266A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Dyrektywa NIS</w:t>
      </w:r>
      <w:r w:rsidR="00321056"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2 wprowadziła obowiązek wskazania roli kierownictwa poszczególnych podmiotów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zapewnienia ich cyberbezpieczeństwa. </w:t>
      </w:r>
      <w:r w:rsidR="0007115D" w:rsidRPr="00833C88">
        <w:rPr>
          <w:rFonts w:eastAsia="Times New Roman" w:cs="Times New Roman"/>
          <w:sz w:val="24"/>
          <w:szCs w:val="24"/>
          <w:lang w:eastAsia="pl-PL"/>
        </w:rPr>
        <w:t xml:space="preserve">Kierownik podmiotu kluczowego lub podmiotu ważnego </w:t>
      </w:r>
      <w:r w:rsidR="00601933" w:rsidRPr="00833C88">
        <w:rPr>
          <w:rFonts w:eastAsia="Times New Roman" w:cs="Times New Roman"/>
          <w:sz w:val="24"/>
          <w:szCs w:val="24"/>
          <w:lang w:eastAsia="pl-PL"/>
        </w:rPr>
        <w:t>z </w:t>
      </w:r>
      <w:r w:rsidR="0007115D" w:rsidRPr="00833C88">
        <w:rPr>
          <w:rFonts w:eastAsia="Times New Roman" w:cs="Times New Roman"/>
          <w:sz w:val="24"/>
          <w:szCs w:val="24"/>
          <w:lang w:eastAsia="pl-PL"/>
        </w:rPr>
        <w:t xml:space="preserve">mocy ustawy ponosi odpowiedzialność za wykonywanie obowiązków </w:t>
      </w:r>
      <w:r w:rsidR="000E0FA2" w:rsidRPr="00833C88">
        <w:rPr>
          <w:rFonts w:eastAsia="Times New Roman" w:cs="Times New Roman"/>
          <w:sz w:val="24"/>
          <w:szCs w:val="24"/>
          <w:lang w:eastAsia="pl-PL"/>
        </w:rPr>
        <w:t xml:space="preserve">podmiotu </w:t>
      </w:r>
      <w:r w:rsidR="00601933" w:rsidRPr="00833C88">
        <w:rPr>
          <w:rFonts w:eastAsia="Times New Roman" w:cs="Times New Roman"/>
          <w:sz w:val="24"/>
          <w:szCs w:val="24"/>
          <w:lang w:eastAsia="pl-PL"/>
        </w:rPr>
        <w:t>w </w:t>
      </w:r>
      <w:r w:rsidR="000E0FA2" w:rsidRPr="00833C88">
        <w:rPr>
          <w:rFonts w:eastAsia="Times New Roman" w:cs="Times New Roman"/>
          <w:sz w:val="24"/>
          <w:szCs w:val="24"/>
          <w:lang w:eastAsia="pl-PL"/>
        </w:rPr>
        <w:t>zakresie cyberbezpieczeństwa. Jeżeli kierownikiem jest organ wieloosobowy to odpowiedzialność ponoszą wszyscy członkowie tego organu</w:t>
      </w:r>
      <w:r w:rsidR="003E06B2" w:rsidRPr="00833C88">
        <w:rPr>
          <w:rFonts w:eastAsia="Times New Roman" w:cs="Times New Roman"/>
          <w:sz w:val="24"/>
          <w:szCs w:val="24"/>
          <w:lang w:eastAsia="pl-PL"/>
        </w:rPr>
        <w:t>.</w:t>
      </w:r>
      <w:r w:rsidR="009B557B" w:rsidRPr="00833C88">
        <w:rPr>
          <w:rFonts w:eastAsia="Times New Roman" w:cs="Times New Roman"/>
          <w:sz w:val="24"/>
          <w:szCs w:val="24"/>
          <w:lang w:eastAsia="pl-PL"/>
        </w:rPr>
        <w:t xml:space="preserve"> Odpowiedzialność kierownika podmiotu następuje także </w:t>
      </w:r>
      <w:proofErr w:type="gramStart"/>
      <w:r w:rsidR="009B557B" w:rsidRPr="00833C88">
        <w:rPr>
          <w:rFonts w:eastAsia="Times New Roman" w:cs="Times New Roman"/>
          <w:sz w:val="24"/>
          <w:szCs w:val="24"/>
          <w:lang w:eastAsia="pl-PL"/>
        </w:rPr>
        <w:t>wtedy</w:t>
      </w:r>
      <w:proofErr w:type="gramEnd"/>
      <w:r w:rsidR="009B557B" w:rsidRPr="00833C88">
        <w:rPr>
          <w:rFonts w:eastAsia="Times New Roman" w:cs="Times New Roman"/>
          <w:sz w:val="24"/>
          <w:szCs w:val="24"/>
          <w:lang w:eastAsia="pl-PL"/>
        </w:rPr>
        <w:t xml:space="preserve"> </w:t>
      </w:r>
      <w:r w:rsidR="00C76464" w:rsidRPr="00833C88">
        <w:rPr>
          <w:rFonts w:eastAsia="Times New Roman" w:cs="Times New Roman"/>
          <w:sz w:val="24"/>
          <w:szCs w:val="24"/>
          <w:lang w:eastAsia="pl-PL"/>
        </w:rPr>
        <w:t xml:space="preserve">gdy niektóre </w:t>
      </w:r>
      <w:r w:rsidR="00601933" w:rsidRPr="00833C88">
        <w:rPr>
          <w:rFonts w:eastAsia="Times New Roman" w:cs="Times New Roman"/>
          <w:sz w:val="24"/>
          <w:szCs w:val="24"/>
          <w:lang w:eastAsia="pl-PL"/>
        </w:rPr>
        <w:t>z </w:t>
      </w:r>
      <w:r w:rsidR="00C76464" w:rsidRPr="00833C88">
        <w:rPr>
          <w:rFonts w:eastAsia="Times New Roman" w:cs="Times New Roman"/>
          <w:sz w:val="24"/>
          <w:szCs w:val="24"/>
          <w:lang w:eastAsia="pl-PL"/>
        </w:rPr>
        <w:t>obowiązków zostały powierzone innej osobie za jej zgodą. Celem tych rozwiązań jest to, aby kierownictwo podmiotu poważnie podchodziło do zapewnienia cyberbezpieczeństwa podmiotu, ponieważ obecnie bez bezpiecznych systemów informacyjnych nie jest możliwe sprawne świadczenie usług inny</w:t>
      </w:r>
      <w:r w:rsidR="00C575F8" w:rsidRPr="00833C88">
        <w:rPr>
          <w:rFonts w:eastAsia="Times New Roman" w:cs="Times New Roman"/>
          <w:sz w:val="24"/>
          <w:szCs w:val="24"/>
          <w:lang w:eastAsia="pl-PL"/>
        </w:rPr>
        <w:t>m</w:t>
      </w:r>
      <w:r w:rsidR="00C76464" w:rsidRPr="00833C88">
        <w:rPr>
          <w:rFonts w:eastAsia="Times New Roman" w:cs="Times New Roman"/>
          <w:sz w:val="24"/>
          <w:szCs w:val="24"/>
          <w:lang w:eastAsia="pl-PL"/>
        </w:rPr>
        <w:t xml:space="preserve"> podmiotom </w:t>
      </w:r>
      <w:r w:rsidR="00601933" w:rsidRPr="00833C88">
        <w:rPr>
          <w:rFonts w:eastAsia="Times New Roman" w:cs="Times New Roman"/>
          <w:sz w:val="24"/>
          <w:szCs w:val="24"/>
          <w:lang w:eastAsia="pl-PL"/>
        </w:rPr>
        <w:t>i </w:t>
      </w:r>
      <w:r w:rsidR="00C76464" w:rsidRPr="00833C88">
        <w:rPr>
          <w:rFonts w:eastAsia="Times New Roman" w:cs="Times New Roman"/>
          <w:sz w:val="24"/>
          <w:szCs w:val="24"/>
          <w:lang w:eastAsia="pl-PL"/>
        </w:rPr>
        <w:t>konsumentom.</w:t>
      </w:r>
    </w:p>
    <w:p w14:paraId="72832830" w14:textId="78E8B24A" w:rsidR="00C76464" w:rsidRPr="00833C88" w:rsidRDefault="00D17398" w:rsidP="009D435E">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Wskazano zadania kierownika podmiotu kluczowego lub podmiotu ważnego:</w:t>
      </w:r>
    </w:p>
    <w:p w14:paraId="2DD3DA58" w14:textId="161DF581" w:rsidR="00E54D55" w:rsidRPr="00833C88" w:rsidRDefault="00E54D55" w:rsidP="009D435E">
      <w:pPr>
        <w:pStyle w:val="ZPKTzmpktartykuempunktem"/>
        <w:rPr>
          <w:rFonts w:ascii="Times New Roman" w:hAnsi="Times New Roman" w:cs="Times New Roman"/>
        </w:rPr>
      </w:pPr>
      <w:r w:rsidRPr="00833C88">
        <w:rPr>
          <w:rFonts w:ascii="Times New Roman" w:hAnsi="Times New Roman" w:cs="Times New Roman"/>
        </w:rPr>
        <w:t>1)</w:t>
      </w:r>
      <w:r w:rsidRPr="00833C88">
        <w:rPr>
          <w:rFonts w:ascii="Times New Roman" w:hAnsi="Times New Roman" w:cs="Times New Roman"/>
        </w:rPr>
        <w:tab/>
        <w:t xml:space="preserve">podejmuje decyzje </w:t>
      </w:r>
      <w:r w:rsidR="00601933" w:rsidRPr="00833C88">
        <w:rPr>
          <w:rFonts w:ascii="Times New Roman" w:hAnsi="Times New Roman" w:cs="Times New Roman"/>
        </w:rPr>
        <w:t>w </w:t>
      </w:r>
      <w:r w:rsidRPr="00833C88">
        <w:rPr>
          <w:rFonts w:ascii="Times New Roman" w:hAnsi="Times New Roman" w:cs="Times New Roman"/>
        </w:rPr>
        <w:t>zakresie przygotowania, wdrażania, stosowania</w:t>
      </w:r>
      <w:r w:rsidR="000A7B73" w:rsidRPr="00833C88">
        <w:rPr>
          <w:rFonts w:ascii="Times New Roman" w:hAnsi="Times New Roman" w:cs="Times New Roman"/>
        </w:rPr>
        <w:t>,</w:t>
      </w:r>
      <w:r w:rsidRPr="00833C88">
        <w:rPr>
          <w:rFonts w:ascii="Times New Roman" w:hAnsi="Times New Roman" w:cs="Times New Roman"/>
        </w:rPr>
        <w:t xml:space="preserve"> przeglądu </w:t>
      </w:r>
      <w:r w:rsidR="00601933" w:rsidRPr="00833C88">
        <w:rPr>
          <w:rFonts w:ascii="Times New Roman" w:hAnsi="Times New Roman" w:cs="Times New Roman"/>
        </w:rPr>
        <w:t>i </w:t>
      </w:r>
      <w:r w:rsidR="000A7B73" w:rsidRPr="00833C88">
        <w:rPr>
          <w:rFonts w:ascii="Times New Roman" w:hAnsi="Times New Roman" w:cs="Times New Roman"/>
        </w:rPr>
        <w:t xml:space="preserve">nadzoru </w:t>
      </w:r>
      <w:r w:rsidRPr="00833C88">
        <w:rPr>
          <w:rFonts w:ascii="Times New Roman" w:hAnsi="Times New Roman" w:cs="Times New Roman"/>
        </w:rPr>
        <w:t xml:space="preserve">systemu zarządzania bezpieczeństwem informacji </w:t>
      </w:r>
      <w:r w:rsidR="00601933" w:rsidRPr="00833C88">
        <w:rPr>
          <w:rFonts w:ascii="Times New Roman" w:hAnsi="Times New Roman" w:cs="Times New Roman"/>
        </w:rPr>
        <w:t>w </w:t>
      </w:r>
      <w:r w:rsidRPr="00833C88">
        <w:rPr>
          <w:rFonts w:ascii="Times New Roman" w:hAnsi="Times New Roman" w:cs="Times New Roman"/>
        </w:rPr>
        <w:t>podmiocie</w:t>
      </w:r>
      <w:r w:rsidR="00321056" w:rsidRPr="00833C88">
        <w:rPr>
          <w:rFonts w:ascii="Times New Roman" w:hAnsi="Times New Roman" w:cs="Times New Roman"/>
        </w:rPr>
        <w:t xml:space="preserve"> – co</w:t>
      </w:r>
      <w:r w:rsidR="009B4C26" w:rsidRPr="00833C88">
        <w:rPr>
          <w:rFonts w:ascii="Times New Roman" w:hAnsi="Times New Roman" w:cs="Times New Roman"/>
        </w:rPr>
        <w:t> </w:t>
      </w:r>
      <w:r w:rsidR="00321056" w:rsidRPr="00833C88">
        <w:rPr>
          <w:rFonts w:ascii="Times New Roman" w:hAnsi="Times New Roman" w:cs="Times New Roman"/>
        </w:rPr>
        <w:t xml:space="preserve">oznacza, że kierownik odpowiada za system zarządzania bezpieczeństwem informacji </w:t>
      </w:r>
      <w:r w:rsidR="00601933" w:rsidRPr="00833C88">
        <w:rPr>
          <w:rFonts w:ascii="Times New Roman" w:hAnsi="Times New Roman" w:cs="Times New Roman"/>
        </w:rPr>
        <w:t>i </w:t>
      </w:r>
      <w:r w:rsidR="00321056" w:rsidRPr="00833C88">
        <w:rPr>
          <w:rFonts w:ascii="Times New Roman" w:hAnsi="Times New Roman" w:cs="Times New Roman"/>
        </w:rPr>
        <w:t xml:space="preserve">jego rozwój zgodnie </w:t>
      </w:r>
      <w:r w:rsidR="00601933" w:rsidRPr="00833C88">
        <w:rPr>
          <w:rFonts w:ascii="Times New Roman" w:hAnsi="Times New Roman" w:cs="Times New Roman"/>
        </w:rPr>
        <w:t>z </w:t>
      </w:r>
      <w:r w:rsidR="00321056" w:rsidRPr="00833C88">
        <w:rPr>
          <w:rFonts w:ascii="Times New Roman" w:hAnsi="Times New Roman" w:cs="Times New Roman"/>
        </w:rPr>
        <w:t xml:space="preserve">cyklem </w:t>
      </w:r>
      <w:proofErr w:type="spellStart"/>
      <w:r w:rsidR="00321056" w:rsidRPr="00833C88">
        <w:rPr>
          <w:rFonts w:ascii="Times New Roman" w:hAnsi="Times New Roman" w:cs="Times New Roman"/>
        </w:rPr>
        <w:t>Deminga</w:t>
      </w:r>
      <w:proofErr w:type="spellEnd"/>
      <w:r w:rsidR="002545C9" w:rsidRPr="00833C88">
        <w:rPr>
          <w:rFonts w:ascii="Times New Roman" w:hAnsi="Times New Roman" w:cs="Times New Roman"/>
        </w:rPr>
        <w:t>;</w:t>
      </w:r>
    </w:p>
    <w:p w14:paraId="535DC273" w14:textId="0C63F30D" w:rsidR="00E54D55" w:rsidRPr="00833C88" w:rsidRDefault="00E54D55" w:rsidP="009D435E">
      <w:pPr>
        <w:pStyle w:val="ZPKTzmpktartykuempunktem"/>
        <w:rPr>
          <w:rFonts w:ascii="Times New Roman" w:hAnsi="Times New Roman" w:cs="Times New Roman"/>
        </w:rPr>
      </w:pPr>
      <w:r w:rsidRPr="00833C88">
        <w:rPr>
          <w:rFonts w:ascii="Times New Roman" w:hAnsi="Times New Roman" w:cs="Times New Roman"/>
        </w:rPr>
        <w:t>2)</w:t>
      </w:r>
      <w:r w:rsidRPr="00833C88">
        <w:rPr>
          <w:rFonts w:ascii="Times New Roman" w:hAnsi="Times New Roman" w:cs="Times New Roman"/>
        </w:rPr>
        <w:tab/>
        <w:t xml:space="preserve">planuje adekwatne środki finansowe na realizację obowiązków </w:t>
      </w:r>
      <w:r w:rsidR="00601933" w:rsidRPr="00833C88">
        <w:rPr>
          <w:rFonts w:ascii="Times New Roman" w:hAnsi="Times New Roman" w:cs="Times New Roman"/>
        </w:rPr>
        <w:t>z </w:t>
      </w:r>
      <w:r w:rsidRPr="00833C88">
        <w:rPr>
          <w:rFonts w:ascii="Times New Roman" w:hAnsi="Times New Roman" w:cs="Times New Roman"/>
        </w:rPr>
        <w:t>zakresu cyberbezpieczeństwa</w:t>
      </w:r>
      <w:r w:rsidR="00321056" w:rsidRPr="00833C88">
        <w:rPr>
          <w:rFonts w:ascii="Times New Roman" w:hAnsi="Times New Roman" w:cs="Times New Roman"/>
        </w:rPr>
        <w:t xml:space="preserve"> – mając na uwadze, że</w:t>
      </w:r>
      <w:r w:rsidR="00321056" w:rsidRPr="00833C88" w:rsidDel="00321056">
        <w:rPr>
          <w:rFonts w:ascii="Times New Roman" w:hAnsi="Times New Roman" w:cs="Times New Roman"/>
        </w:rPr>
        <w:t xml:space="preserve"> </w:t>
      </w:r>
      <w:r w:rsidR="00321056" w:rsidRPr="00833C88">
        <w:rPr>
          <w:rFonts w:ascii="Times New Roman" w:hAnsi="Times New Roman" w:cs="Times New Roman"/>
        </w:rPr>
        <w:t xml:space="preserve">cyberbezpieczeństwo wymaga nakładów </w:t>
      </w:r>
      <w:r w:rsidR="00601933" w:rsidRPr="00833C88">
        <w:rPr>
          <w:rFonts w:ascii="Times New Roman" w:hAnsi="Times New Roman" w:cs="Times New Roman"/>
        </w:rPr>
        <w:t>i </w:t>
      </w:r>
      <w:r w:rsidR="00321056" w:rsidRPr="00833C88">
        <w:rPr>
          <w:rFonts w:ascii="Times New Roman" w:hAnsi="Times New Roman" w:cs="Times New Roman"/>
        </w:rPr>
        <w:t xml:space="preserve">nie powinny one być pomijane w budżetach podmiotów kluczowych </w:t>
      </w:r>
      <w:r w:rsidR="00321056" w:rsidRPr="00833C88">
        <w:rPr>
          <w:rFonts w:ascii="Times New Roman" w:hAnsi="Times New Roman" w:cs="Times New Roman"/>
        </w:rPr>
        <w:lastRenderedPageBreak/>
        <w:t>i podmiotów ważnych;</w:t>
      </w:r>
      <w:r w:rsidR="00492E8B" w:rsidRPr="00833C88">
        <w:rPr>
          <w:rFonts w:ascii="Times New Roman" w:hAnsi="Times New Roman" w:cs="Times New Roman"/>
        </w:rPr>
        <w:t xml:space="preserve"> z drugiej strony </w:t>
      </w:r>
      <w:r w:rsidR="00573771" w:rsidRPr="00833C88">
        <w:rPr>
          <w:rFonts w:ascii="Times New Roman" w:hAnsi="Times New Roman" w:cs="Times New Roman"/>
        </w:rPr>
        <w:t>muszą być to adekwatne środki, czyli takie, które są też dostosowane do możliwości podmiotu</w:t>
      </w:r>
      <w:r w:rsidR="00992674" w:rsidRPr="00833C88">
        <w:rPr>
          <w:rFonts w:ascii="Times New Roman" w:hAnsi="Times New Roman" w:cs="Times New Roman"/>
        </w:rPr>
        <w:t>;</w:t>
      </w:r>
    </w:p>
    <w:p w14:paraId="197D6590" w14:textId="1E05CB23" w:rsidR="00A03EC1" w:rsidRPr="00833C88" w:rsidRDefault="00E54D55" w:rsidP="009D435E">
      <w:pPr>
        <w:pStyle w:val="ZPKTzmpktartykuempunktem"/>
        <w:rPr>
          <w:rFonts w:ascii="Times New Roman" w:hAnsi="Times New Roman" w:cs="Times New Roman"/>
        </w:rPr>
      </w:pPr>
      <w:r w:rsidRPr="00833C88">
        <w:rPr>
          <w:rFonts w:ascii="Times New Roman" w:hAnsi="Times New Roman" w:cs="Times New Roman"/>
        </w:rPr>
        <w:t>3)</w:t>
      </w:r>
      <w:r w:rsidRPr="00833C88">
        <w:rPr>
          <w:rFonts w:ascii="Times New Roman" w:hAnsi="Times New Roman" w:cs="Times New Roman"/>
        </w:rPr>
        <w:tab/>
        <w:t xml:space="preserve">przydziela zadania </w:t>
      </w:r>
      <w:r w:rsidR="00601933" w:rsidRPr="00833C88">
        <w:rPr>
          <w:rFonts w:ascii="Times New Roman" w:hAnsi="Times New Roman" w:cs="Times New Roman"/>
        </w:rPr>
        <w:t>z </w:t>
      </w:r>
      <w:r w:rsidRPr="00833C88">
        <w:rPr>
          <w:rFonts w:ascii="Times New Roman" w:hAnsi="Times New Roman" w:cs="Times New Roman"/>
        </w:rPr>
        <w:t xml:space="preserve">zakresu cyberbezpieczeństwa </w:t>
      </w:r>
      <w:r w:rsidR="00601933" w:rsidRPr="00833C88">
        <w:rPr>
          <w:rFonts w:ascii="Times New Roman" w:hAnsi="Times New Roman" w:cs="Times New Roman"/>
        </w:rPr>
        <w:t>w </w:t>
      </w:r>
      <w:r w:rsidRPr="00833C88">
        <w:rPr>
          <w:rFonts w:ascii="Times New Roman" w:hAnsi="Times New Roman" w:cs="Times New Roman"/>
        </w:rPr>
        <w:t xml:space="preserve">tym podmiocie </w:t>
      </w:r>
      <w:r w:rsidR="00601933" w:rsidRPr="00833C88">
        <w:rPr>
          <w:rFonts w:ascii="Times New Roman" w:hAnsi="Times New Roman" w:cs="Times New Roman"/>
        </w:rPr>
        <w:t>i </w:t>
      </w:r>
      <w:r w:rsidRPr="00833C88">
        <w:rPr>
          <w:rFonts w:ascii="Times New Roman" w:hAnsi="Times New Roman" w:cs="Times New Roman"/>
        </w:rPr>
        <w:t>nadzoruje ich wykonanie;</w:t>
      </w:r>
    </w:p>
    <w:p w14:paraId="5826E523" w14:textId="71744B52" w:rsidR="00E54D55" w:rsidRPr="00833C88" w:rsidRDefault="00E54D55" w:rsidP="009D435E">
      <w:pPr>
        <w:pStyle w:val="ZPKTzmpktartykuempunktem"/>
        <w:ind w:left="993" w:hanging="426"/>
        <w:rPr>
          <w:rFonts w:ascii="Times New Roman" w:hAnsi="Times New Roman" w:cs="Times New Roman"/>
        </w:rPr>
      </w:pPr>
      <w:r w:rsidRPr="00833C88">
        <w:rPr>
          <w:rFonts w:ascii="Times New Roman" w:hAnsi="Times New Roman" w:cs="Times New Roman"/>
        </w:rPr>
        <w:t>4)</w:t>
      </w:r>
      <w:r w:rsidRPr="00833C88">
        <w:rPr>
          <w:rFonts w:ascii="Times New Roman" w:hAnsi="Times New Roman" w:cs="Times New Roman"/>
        </w:rPr>
        <w:tab/>
        <w:t xml:space="preserve">zapewnia, że personel podmiotu jest świadomy obowiązków </w:t>
      </w:r>
      <w:r w:rsidR="00601933" w:rsidRPr="00833C88">
        <w:rPr>
          <w:rFonts w:ascii="Times New Roman" w:hAnsi="Times New Roman" w:cs="Times New Roman"/>
        </w:rPr>
        <w:t>z </w:t>
      </w:r>
      <w:r w:rsidRPr="00833C88">
        <w:rPr>
          <w:rFonts w:ascii="Times New Roman" w:hAnsi="Times New Roman" w:cs="Times New Roman"/>
        </w:rPr>
        <w:t xml:space="preserve">zakresu cyberbezpieczeństwa </w:t>
      </w:r>
      <w:r w:rsidR="00601933" w:rsidRPr="00833C88">
        <w:rPr>
          <w:rFonts w:ascii="Times New Roman" w:hAnsi="Times New Roman" w:cs="Times New Roman"/>
        </w:rPr>
        <w:t>i </w:t>
      </w:r>
      <w:r w:rsidRPr="00833C88">
        <w:rPr>
          <w:rFonts w:ascii="Times New Roman" w:hAnsi="Times New Roman" w:cs="Times New Roman"/>
        </w:rPr>
        <w:t>zna wewnętrzne regulacje podmiotu w</w:t>
      </w:r>
      <w:r w:rsidR="00321056" w:rsidRPr="00833C88">
        <w:rPr>
          <w:rFonts w:ascii="Times New Roman" w:hAnsi="Times New Roman" w:cs="Times New Roman"/>
        </w:rPr>
        <w:t> </w:t>
      </w:r>
      <w:r w:rsidRPr="00833C88">
        <w:rPr>
          <w:rFonts w:ascii="Times New Roman" w:hAnsi="Times New Roman" w:cs="Times New Roman"/>
        </w:rPr>
        <w:t>tym zakresie</w:t>
      </w:r>
      <w:r w:rsidR="00321056" w:rsidRPr="00833C88">
        <w:rPr>
          <w:rFonts w:ascii="Times New Roman" w:hAnsi="Times New Roman" w:cs="Times New Roman"/>
        </w:rPr>
        <w:t xml:space="preserve">. System zarządzania bezpieczeństwem informacji wymaga, aby każdy pracownik organizacji miał przypisaną role </w:t>
      </w:r>
      <w:r w:rsidR="00601933" w:rsidRPr="00833C88">
        <w:rPr>
          <w:rFonts w:ascii="Times New Roman" w:hAnsi="Times New Roman" w:cs="Times New Roman"/>
        </w:rPr>
        <w:t>i </w:t>
      </w:r>
      <w:r w:rsidR="00321056" w:rsidRPr="00833C88">
        <w:rPr>
          <w:rFonts w:ascii="Times New Roman" w:hAnsi="Times New Roman" w:cs="Times New Roman"/>
        </w:rPr>
        <w:t>zadania do wykonania celem zachowania bezpieczeństwa informacji;</w:t>
      </w:r>
    </w:p>
    <w:p w14:paraId="7EB4A95B" w14:textId="71925023" w:rsidR="00E54D55" w:rsidRPr="00833C88" w:rsidRDefault="00E54D55" w:rsidP="009D435E">
      <w:pPr>
        <w:pStyle w:val="ZPKTzmpktartykuempunktem"/>
        <w:rPr>
          <w:rFonts w:ascii="Times New Roman" w:hAnsi="Times New Roman" w:cs="Times New Roman"/>
        </w:rPr>
      </w:pPr>
      <w:r w:rsidRPr="00833C88">
        <w:rPr>
          <w:rFonts w:ascii="Times New Roman" w:hAnsi="Times New Roman" w:cs="Times New Roman"/>
        </w:rPr>
        <w:t>5)</w:t>
      </w:r>
      <w:r w:rsidRPr="00833C88">
        <w:rPr>
          <w:rFonts w:ascii="Times New Roman" w:hAnsi="Times New Roman" w:cs="Times New Roman"/>
        </w:rPr>
        <w:tab/>
        <w:t xml:space="preserve">zapewnia zgodność działania tego podmiotu </w:t>
      </w:r>
      <w:r w:rsidR="00601933" w:rsidRPr="00833C88">
        <w:rPr>
          <w:rFonts w:ascii="Times New Roman" w:hAnsi="Times New Roman" w:cs="Times New Roman"/>
        </w:rPr>
        <w:t>z </w:t>
      </w:r>
      <w:r w:rsidRPr="00833C88">
        <w:rPr>
          <w:rFonts w:ascii="Times New Roman" w:hAnsi="Times New Roman" w:cs="Times New Roman"/>
        </w:rPr>
        <w:t>przepisami prawa oraz z</w:t>
      </w:r>
      <w:r w:rsidR="00321056" w:rsidRPr="00833C88">
        <w:rPr>
          <w:rFonts w:ascii="Times New Roman" w:hAnsi="Times New Roman" w:cs="Times New Roman"/>
        </w:rPr>
        <w:t> </w:t>
      </w:r>
      <w:r w:rsidRPr="00833C88">
        <w:rPr>
          <w:rFonts w:ascii="Times New Roman" w:hAnsi="Times New Roman" w:cs="Times New Roman"/>
        </w:rPr>
        <w:t>wewnętrznymi regulacjami podmiotu</w:t>
      </w:r>
      <w:r w:rsidR="005552DF" w:rsidRPr="00833C88">
        <w:rPr>
          <w:rFonts w:ascii="Times New Roman" w:hAnsi="Times New Roman" w:cs="Times New Roman"/>
        </w:rPr>
        <w:t xml:space="preserve"> – tu chodzi o zapewnienie stosowalności w</w:t>
      </w:r>
      <w:r w:rsidR="00D31F46" w:rsidRPr="00833C88">
        <w:rPr>
          <w:rFonts w:ascii="Times New Roman" w:hAnsi="Times New Roman" w:cs="Times New Roman"/>
        </w:rPr>
        <w:t> </w:t>
      </w:r>
      <w:r w:rsidR="005552DF" w:rsidRPr="00833C88">
        <w:rPr>
          <w:rFonts w:ascii="Times New Roman" w:hAnsi="Times New Roman" w:cs="Times New Roman"/>
        </w:rPr>
        <w:t>podmiocie nie tylko przepisów prawa powszechnie obowią</w:t>
      </w:r>
      <w:r w:rsidR="009A4456" w:rsidRPr="00833C88">
        <w:rPr>
          <w:rFonts w:ascii="Times New Roman" w:hAnsi="Times New Roman" w:cs="Times New Roman"/>
        </w:rPr>
        <w:t>zującego, ale również własnych regulacji, aby nie były pomijane w codziennej pracy</w:t>
      </w:r>
      <w:r w:rsidRPr="00833C88">
        <w:rPr>
          <w:rFonts w:ascii="Times New Roman" w:hAnsi="Times New Roman" w:cs="Times New Roman"/>
        </w:rPr>
        <w:t>.</w:t>
      </w:r>
    </w:p>
    <w:p w14:paraId="445C3A12" w14:textId="05FD0971" w:rsidR="001D2488" w:rsidRPr="00833C88" w:rsidRDefault="001D2488"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Osoby kierujące podmiotami </w:t>
      </w:r>
      <w:r w:rsidR="00060864" w:rsidRPr="00833C88">
        <w:rPr>
          <w:rFonts w:eastAsia="Times New Roman" w:cs="Times New Roman"/>
          <w:sz w:val="24"/>
          <w:szCs w:val="24"/>
          <w:lang w:eastAsia="pl-PL"/>
        </w:rPr>
        <w:t xml:space="preserve">kluczowymi </w:t>
      </w:r>
      <w:r w:rsidR="00833C88" w:rsidRPr="00833C88">
        <w:rPr>
          <w:rFonts w:eastAsia="Times New Roman" w:cs="Times New Roman"/>
          <w:sz w:val="24"/>
          <w:szCs w:val="24"/>
          <w:lang w:eastAsia="pl-PL"/>
        </w:rPr>
        <w:t xml:space="preserve">lub </w:t>
      </w:r>
      <w:r w:rsidR="00060864" w:rsidRPr="00833C88">
        <w:rPr>
          <w:rFonts w:eastAsia="Times New Roman" w:cs="Times New Roman"/>
          <w:sz w:val="24"/>
          <w:szCs w:val="24"/>
          <w:lang w:eastAsia="pl-PL"/>
        </w:rPr>
        <w:t xml:space="preserve">podmiotami ważnymi </w:t>
      </w:r>
      <w:r w:rsidRPr="00833C88">
        <w:rPr>
          <w:rFonts w:eastAsia="Times New Roman" w:cs="Times New Roman"/>
          <w:sz w:val="24"/>
          <w:szCs w:val="24"/>
          <w:lang w:eastAsia="pl-PL"/>
        </w:rPr>
        <w:t xml:space="preserve">muszą również raz na rok </w:t>
      </w:r>
      <w:r w:rsidR="00F10996" w:rsidRPr="00833C88">
        <w:rPr>
          <w:rFonts w:eastAsia="Times New Roman" w:cs="Times New Roman"/>
          <w:sz w:val="24"/>
          <w:szCs w:val="24"/>
          <w:lang w:eastAsia="pl-PL"/>
        </w:rPr>
        <w:t xml:space="preserve">przejść szkolenie </w:t>
      </w:r>
      <w:r w:rsidR="00601933" w:rsidRPr="00833C88">
        <w:rPr>
          <w:rFonts w:eastAsia="Times New Roman" w:cs="Times New Roman"/>
          <w:sz w:val="24"/>
          <w:szCs w:val="24"/>
          <w:lang w:eastAsia="pl-PL"/>
        </w:rPr>
        <w:t>z </w:t>
      </w:r>
      <w:r w:rsidR="00F10996" w:rsidRPr="00833C88">
        <w:rPr>
          <w:rFonts w:eastAsia="Times New Roman" w:cs="Times New Roman"/>
          <w:sz w:val="24"/>
          <w:szCs w:val="24"/>
          <w:lang w:eastAsia="pl-PL"/>
        </w:rPr>
        <w:t>zakresu</w:t>
      </w:r>
      <w:r w:rsidR="00277522" w:rsidRPr="00833C88">
        <w:rPr>
          <w:rFonts w:eastAsia="Times New Roman" w:cs="Times New Roman"/>
          <w:sz w:val="24"/>
          <w:szCs w:val="24"/>
          <w:lang w:eastAsia="pl-PL"/>
        </w:rPr>
        <w:t xml:space="preserve"> wykonywania zadań</w:t>
      </w:r>
      <w:r w:rsidR="009B5BE5"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9B5BE5" w:rsidRPr="00833C88">
        <w:rPr>
          <w:rFonts w:eastAsia="Times New Roman" w:cs="Times New Roman"/>
          <w:sz w:val="24"/>
          <w:szCs w:val="24"/>
          <w:lang w:eastAsia="pl-PL"/>
        </w:rPr>
        <w:t>zakresu</w:t>
      </w:r>
      <w:r w:rsidR="00F10996" w:rsidRPr="00833C88">
        <w:rPr>
          <w:rFonts w:eastAsia="Times New Roman" w:cs="Times New Roman"/>
          <w:sz w:val="24"/>
          <w:szCs w:val="24"/>
          <w:lang w:eastAsia="pl-PL"/>
        </w:rPr>
        <w:t xml:space="preserve"> cyberbezpieczeństwa.</w:t>
      </w:r>
      <w:r w:rsidR="009B5BE5" w:rsidRPr="00833C88">
        <w:rPr>
          <w:rFonts w:eastAsia="Times New Roman" w:cs="Times New Roman"/>
          <w:sz w:val="24"/>
          <w:szCs w:val="24"/>
          <w:lang w:eastAsia="pl-PL"/>
        </w:rPr>
        <w:t xml:space="preserve"> Dotyczy to</w:t>
      </w:r>
      <w:r w:rsidR="009B4C26" w:rsidRPr="00833C88">
        <w:rPr>
          <w:rFonts w:eastAsia="Times New Roman" w:cs="Times New Roman"/>
          <w:sz w:val="24"/>
          <w:szCs w:val="24"/>
          <w:lang w:eastAsia="pl-PL"/>
        </w:rPr>
        <w:t> </w:t>
      </w:r>
      <w:r w:rsidR="009B5BE5" w:rsidRPr="00833C88">
        <w:rPr>
          <w:rFonts w:eastAsia="Times New Roman" w:cs="Times New Roman"/>
          <w:sz w:val="24"/>
          <w:szCs w:val="24"/>
          <w:lang w:eastAsia="pl-PL"/>
        </w:rPr>
        <w:t xml:space="preserve">zadań związanych </w:t>
      </w:r>
      <w:r w:rsidR="00601933" w:rsidRPr="00833C88">
        <w:rPr>
          <w:rFonts w:eastAsia="Times New Roman" w:cs="Times New Roman"/>
          <w:sz w:val="24"/>
          <w:szCs w:val="24"/>
          <w:lang w:eastAsia="pl-PL"/>
        </w:rPr>
        <w:t>z </w:t>
      </w:r>
      <w:r w:rsidR="009B5BE5" w:rsidRPr="00833C88">
        <w:rPr>
          <w:rFonts w:eastAsia="Times New Roman" w:cs="Times New Roman"/>
          <w:sz w:val="24"/>
          <w:szCs w:val="24"/>
          <w:lang w:eastAsia="pl-PL"/>
        </w:rPr>
        <w:t>opracowaniem systemu zarządzania bezpieczeństwem informacji</w:t>
      </w:r>
      <w:r w:rsidR="00327030" w:rsidRPr="00833C88">
        <w:rPr>
          <w:rFonts w:eastAsia="Times New Roman" w:cs="Times New Roman"/>
          <w:sz w:val="24"/>
          <w:szCs w:val="24"/>
          <w:lang w:eastAsia="pl-PL"/>
        </w:rPr>
        <w:t>, zgłaszania incydentów, dokumentowania SZBI.</w:t>
      </w:r>
      <w:r w:rsidR="00F10996" w:rsidRPr="00833C88">
        <w:rPr>
          <w:rFonts w:eastAsia="Times New Roman" w:cs="Times New Roman"/>
          <w:sz w:val="24"/>
          <w:szCs w:val="24"/>
          <w:lang w:eastAsia="pl-PL"/>
        </w:rPr>
        <w:t xml:space="preserve"> Gwarantuje to, że będą posiadać aktualną wiedzę merytoryczną potrzebną do podejmowania decyzji </w:t>
      </w:r>
      <w:r w:rsidR="00601933" w:rsidRPr="00833C88">
        <w:rPr>
          <w:rFonts w:eastAsia="Times New Roman" w:cs="Times New Roman"/>
          <w:sz w:val="24"/>
          <w:szCs w:val="24"/>
          <w:lang w:eastAsia="pl-PL"/>
        </w:rPr>
        <w:t>w </w:t>
      </w:r>
      <w:r w:rsidR="00F10996" w:rsidRPr="00833C88">
        <w:rPr>
          <w:rFonts w:eastAsia="Times New Roman" w:cs="Times New Roman"/>
          <w:sz w:val="24"/>
          <w:szCs w:val="24"/>
          <w:lang w:eastAsia="pl-PL"/>
        </w:rPr>
        <w:t xml:space="preserve">tym obszarze. </w:t>
      </w:r>
    </w:p>
    <w:p w14:paraId="74EEF82C" w14:textId="009B0274" w:rsidR="00EB63A3" w:rsidRPr="00833C88" w:rsidRDefault="000A0122" w:rsidP="00BC7BDE">
      <w:pPr>
        <w:pStyle w:val="Nagwek3"/>
        <w:spacing w:before="0" w:after="120" w:line="360" w:lineRule="auto"/>
        <w:jc w:val="both"/>
        <w:rPr>
          <w:rFonts w:cs="Times New Roman"/>
          <w:lang w:eastAsia="pl-PL"/>
        </w:rPr>
      </w:pPr>
      <w:r w:rsidRPr="00833C88">
        <w:rPr>
          <w:rFonts w:cs="Times New Roman"/>
          <w:b/>
          <w:bCs/>
          <w:u w:val="none"/>
          <w:lang w:eastAsia="pl-PL"/>
        </w:rPr>
        <w:t>Niekaralność personelu</w:t>
      </w:r>
    </w:p>
    <w:p w14:paraId="52FA703B" w14:textId="751631E9" w:rsidR="00565DED" w:rsidRPr="00833C88" w:rsidRDefault="001761C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Ważn</w:t>
      </w:r>
      <w:r w:rsidR="00B73EE0" w:rsidRPr="00833C88">
        <w:rPr>
          <w:rFonts w:eastAsia="Times New Roman" w:cs="Times New Roman"/>
          <w:sz w:val="24"/>
          <w:szCs w:val="24"/>
          <w:lang w:eastAsia="pl-PL"/>
        </w:rPr>
        <w:t>ą</w:t>
      </w:r>
      <w:r w:rsidRPr="00833C88">
        <w:rPr>
          <w:rFonts w:eastAsia="Times New Roman" w:cs="Times New Roman"/>
          <w:sz w:val="24"/>
          <w:szCs w:val="24"/>
          <w:lang w:eastAsia="pl-PL"/>
        </w:rPr>
        <w:t xml:space="preserve"> gwarancją prawidłowego wykonywania zadań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zakresu cyberbezpieczeństwa </w:t>
      </w:r>
      <w:r w:rsidR="00BA18AB" w:rsidRPr="00833C88">
        <w:rPr>
          <w:rFonts w:eastAsia="Times New Roman" w:cs="Times New Roman"/>
          <w:sz w:val="24"/>
          <w:szCs w:val="24"/>
          <w:lang w:eastAsia="pl-PL"/>
        </w:rPr>
        <w:t>jest wskazanie, że zadań tych nie mogą wykonywać osoby skazane za przestępstwa przeciwko ochronie informacji</w:t>
      </w:r>
      <w:r w:rsidR="00E04D13" w:rsidRPr="00833C88">
        <w:rPr>
          <w:rStyle w:val="Odwoanieprzypisudolnego"/>
          <w:rFonts w:eastAsia="Times New Roman" w:cs="Times New Roman"/>
          <w:sz w:val="24"/>
          <w:szCs w:val="24"/>
          <w:lang w:eastAsia="pl-PL"/>
        </w:rPr>
        <w:footnoteReference w:id="38"/>
      </w:r>
      <w:r w:rsidR="00EB63A3" w:rsidRPr="00833C88">
        <w:rPr>
          <w:rFonts w:eastAsia="Times New Roman" w:cs="Times New Roman"/>
          <w:sz w:val="24"/>
          <w:szCs w:val="24"/>
          <w:vertAlign w:val="superscript"/>
          <w:lang w:eastAsia="pl-PL"/>
        </w:rPr>
        <w:t>)</w:t>
      </w:r>
      <w:r w:rsidR="00BA18AB" w:rsidRPr="00833C88">
        <w:rPr>
          <w:rFonts w:eastAsia="Times New Roman" w:cs="Times New Roman"/>
          <w:sz w:val="24"/>
          <w:szCs w:val="24"/>
          <w:lang w:eastAsia="pl-PL"/>
        </w:rPr>
        <w:t>.</w:t>
      </w:r>
      <w:r w:rsidR="0091107F" w:rsidRPr="00833C88">
        <w:rPr>
          <w:rFonts w:eastAsia="Times New Roman" w:cs="Times New Roman"/>
          <w:sz w:val="24"/>
          <w:szCs w:val="24"/>
          <w:lang w:eastAsia="pl-PL"/>
        </w:rPr>
        <w:t xml:space="preserve"> </w:t>
      </w:r>
      <w:r w:rsidR="00933E50" w:rsidRPr="00833C88">
        <w:rPr>
          <w:rFonts w:eastAsia="Times New Roman" w:cs="Times New Roman"/>
          <w:sz w:val="24"/>
          <w:szCs w:val="24"/>
          <w:lang w:eastAsia="pl-PL"/>
        </w:rPr>
        <w:t>Daje to odpowiedni</w:t>
      </w:r>
      <w:r w:rsidR="00B94FFC" w:rsidRPr="00833C88">
        <w:rPr>
          <w:rFonts w:eastAsia="Times New Roman" w:cs="Times New Roman"/>
          <w:sz w:val="24"/>
          <w:szCs w:val="24"/>
          <w:lang w:eastAsia="pl-PL"/>
        </w:rPr>
        <w:t>ą</w:t>
      </w:r>
      <w:r w:rsidR="00933E50" w:rsidRPr="00833C88">
        <w:rPr>
          <w:rFonts w:eastAsia="Times New Roman" w:cs="Times New Roman"/>
          <w:sz w:val="24"/>
          <w:szCs w:val="24"/>
          <w:lang w:eastAsia="pl-PL"/>
        </w:rPr>
        <w:t xml:space="preserve"> gwarancję, że zadania te będą wykonywały osoby dające rękojmię ich prawidłowej realizacji. </w:t>
      </w:r>
      <w:r w:rsidR="00565DED" w:rsidRPr="00833C88">
        <w:rPr>
          <w:rFonts w:eastAsia="Times New Roman" w:cs="Times New Roman"/>
          <w:sz w:val="24"/>
          <w:szCs w:val="24"/>
          <w:lang w:eastAsia="pl-PL"/>
        </w:rPr>
        <w:t xml:space="preserve">Ograniczono się przy tym do przestępstw przeciwko ochronie informacji, ponieważ są one związane tematycznie </w:t>
      </w:r>
      <w:r w:rsidR="00601933" w:rsidRPr="00833C88">
        <w:rPr>
          <w:rFonts w:eastAsia="Times New Roman" w:cs="Times New Roman"/>
          <w:sz w:val="24"/>
          <w:szCs w:val="24"/>
          <w:lang w:eastAsia="pl-PL"/>
        </w:rPr>
        <w:t>z </w:t>
      </w:r>
      <w:r w:rsidR="00565DED" w:rsidRPr="00833C88">
        <w:rPr>
          <w:rFonts w:eastAsia="Times New Roman" w:cs="Times New Roman"/>
          <w:sz w:val="24"/>
          <w:szCs w:val="24"/>
          <w:lang w:eastAsia="pl-PL"/>
        </w:rPr>
        <w:t>cyberbezpieczeństwem.</w:t>
      </w:r>
    </w:p>
    <w:p w14:paraId="65F06C18" w14:textId="4CBEFBD1" w:rsidR="00134C95" w:rsidRPr="00833C88" w:rsidRDefault="009A5D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Osoba musi przedstawić </w:t>
      </w:r>
      <w:r w:rsidR="007178A5" w:rsidRPr="00833C88">
        <w:rPr>
          <w:rFonts w:eastAsia="Times New Roman" w:cs="Times New Roman"/>
          <w:sz w:val="24"/>
          <w:szCs w:val="24"/>
          <w:lang w:eastAsia="pl-PL"/>
        </w:rPr>
        <w:t xml:space="preserve">zaświadczenie </w:t>
      </w:r>
      <w:r w:rsidR="00601933" w:rsidRPr="00833C88">
        <w:rPr>
          <w:rFonts w:eastAsia="Times New Roman" w:cs="Times New Roman"/>
          <w:sz w:val="24"/>
          <w:szCs w:val="24"/>
          <w:lang w:eastAsia="pl-PL"/>
        </w:rPr>
        <w:t>o </w:t>
      </w:r>
      <w:r w:rsidR="007178A5" w:rsidRPr="00833C88">
        <w:rPr>
          <w:rFonts w:eastAsia="Times New Roman" w:cs="Times New Roman"/>
          <w:sz w:val="24"/>
          <w:szCs w:val="24"/>
          <w:lang w:eastAsia="pl-PL"/>
        </w:rPr>
        <w:t xml:space="preserve">niekaralności za ww. przestępstwa. </w:t>
      </w:r>
      <w:r w:rsidR="001542C7" w:rsidRPr="00833C88">
        <w:rPr>
          <w:rFonts w:eastAsia="Times New Roman" w:cs="Times New Roman"/>
          <w:sz w:val="24"/>
          <w:szCs w:val="24"/>
          <w:lang w:eastAsia="pl-PL"/>
        </w:rPr>
        <w:t xml:space="preserve">Zaświadczenia </w:t>
      </w:r>
      <w:r w:rsidR="00601933" w:rsidRPr="00833C88">
        <w:rPr>
          <w:rFonts w:eastAsia="Times New Roman" w:cs="Times New Roman"/>
          <w:sz w:val="24"/>
          <w:szCs w:val="24"/>
          <w:lang w:eastAsia="pl-PL"/>
        </w:rPr>
        <w:t>w </w:t>
      </w:r>
      <w:r w:rsidR="001542C7" w:rsidRPr="00833C88">
        <w:rPr>
          <w:rFonts w:eastAsia="Times New Roman" w:cs="Times New Roman"/>
          <w:sz w:val="24"/>
          <w:szCs w:val="24"/>
          <w:lang w:eastAsia="pl-PL"/>
        </w:rPr>
        <w:t xml:space="preserve">tym zakresie będą </w:t>
      </w:r>
      <w:r w:rsidR="00DD06C0" w:rsidRPr="00833C88">
        <w:rPr>
          <w:rFonts w:eastAsia="Times New Roman" w:cs="Times New Roman"/>
          <w:sz w:val="24"/>
          <w:szCs w:val="24"/>
          <w:lang w:eastAsia="pl-PL"/>
        </w:rPr>
        <w:t xml:space="preserve">weryfikowane przez ich </w:t>
      </w:r>
      <w:r w:rsidR="007178A5" w:rsidRPr="00833C88">
        <w:rPr>
          <w:rFonts w:eastAsia="Times New Roman" w:cs="Times New Roman"/>
          <w:sz w:val="24"/>
          <w:szCs w:val="24"/>
          <w:lang w:eastAsia="pl-PL"/>
        </w:rPr>
        <w:t xml:space="preserve">kierowników podmiotów kluczowych </w:t>
      </w:r>
      <w:r w:rsidR="00601933" w:rsidRPr="00833C88">
        <w:rPr>
          <w:rFonts w:eastAsia="Times New Roman" w:cs="Times New Roman"/>
          <w:sz w:val="24"/>
          <w:szCs w:val="24"/>
          <w:lang w:eastAsia="pl-PL"/>
        </w:rPr>
        <w:t>i </w:t>
      </w:r>
      <w:r w:rsidR="007178A5" w:rsidRPr="00833C88">
        <w:rPr>
          <w:rFonts w:eastAsia="Times New Roman" w:cs="Times New Roman"/>
          <w:sz w:val="24"/>
          <w:szCs w:val="24"/>
          <w:lang w:eastAsia="pl-PL"/>
        </w:rPr>
        <w:t>podmiotów ważnych</w:t>
      </w:r>
      <w:r w:rsidR="00DD06C0" w:rsidRPr="00833C88">
        <w:rPr>
          <w:rFonts w:eastAsia="Times New Roman" w:cs="Times New Roman"/>
          <w:sz w:val="24"/>
          <w:szCs w:val="24"/>
          <w:lang w:eastAsia="pl-PL"/>
        </w:rPr>
        <w:t xml:space="preserve">. </w:t>
      </w:r>
      <w:r w:rsidR="009553C5" w:rsidRPr="00833C88">
        <w:rPr>
          <w:rFonts w:eastAsia="Times New Roman" w:cs="Times New Roman"/>
          <w:sz w:val="24"/>
          <w:szCs w:val="24"/>
          <w:lang w:eastAsia="pl-PL"/>
        </w:rPr>
        <w:t>Po otrzymaniu zaświadczenia kierownik dopuści taką osobę do</w:t>
      </w:r>
      <w:r w:rsidR="009B4C26" w:rsidRPr="00833C88">
        <w:rPr>
          <w:rFonts w:eastAsia="Times New Roman" w:cs="Times New Roman"/>
          <w:sz w:val="24"/>
          <w:szCs w:val="24"/>
          <w:lang w:eastAsia="pl-PL"/>
        </w:rPr>
        <w:t> </w:t>
      </w:r>
      <w:r w:rsidR="009553C5" w:rsidRPr="00833C88">
        <w:rPr>
          <w:rFonts w:eastAsia="Times New Roman" w:cs="Times New Roman"/>
          <w:sz w:val="24"/>
          <w:szCs w:val="24"/>
          <w:lang w:eastAsia="pl-PL"/>
        </w:rPr>
        <w:t xml:space="preserve">realizacji zadań związanych </w:t>
      </w:r>
      <w:r w:rsidR="00601933" w:rsidRPr="00833C88">
        <w:rPr>
          <w:rFonts w:eastAsia="Times New Roman" w:cs="Times New Roman"/>
          <w:sz w:val="24"/>
          <w:szCs w:val="24"/>
          <w:lang w:eastAsia="pl-PL"/>
        </w:rPr>
        <w:t>z </w:t>
      </w:r>
      <w:r w:rsidR="009553C5" w:rsidRPr="00833C88">
        <w:rPr>
          <w:rFonts w:eastAsia="Times New Roman" w:cs="Times New Roman"/>
          <w:sz w:val="24"/>
          <w:szCs w:val="24"/>
          <w:lang w:eastAsia="pl-PL"/>
        </w:rPr>
        <w:t>systemem zarządzania bezpieczeństwem informacji oraz zgłaszaniem inc</w:t>
      </w:r>
      <w:r w:rsidR="00B71901" w:rsidRPr="00833C88">
        <w:rPr>
          <w:rFonts w:eastAsia="Times New Roman" w:cs="Times New Roman"/>
          <w:sz w:val="24"/>
          <w:szCs w:val="24"/>
          <w:lang w:eastAsia="pl-PL"/>
        </w:rPr>
        <w:t xml:space="preserve">ydentów. </w:t>
      </w:r>
      <w:r w:rsidR="00311A9E" w:rsidRPr="00833C88">
        <w:rPr>
          <w:rFonts w:eastAsia="Times New Roman" w:cs="Times New Roman"/>
          <w:sz w:val="24"/>
          <w:szCs w:val="24"/>
          <w:lang w:eastAsia="pl-PL"/>
        </w:rPr>
        <w:t>Weryfikacj</w:t>
      </w:r>
      <w:r w:rsidR="00C818FA" w:rsidRPr="00833C88">
        <w:rPr>
          <w:rFonts w:eastAsia="Times New Roman" w:cs="Times New Roman"/>
          <w:sz w:val="24"/>
          <w:szCs w:val="24"/>
          <w:lang w:eastAsia="pl-PL"/>
        </w:rPr>
        <w:t>a personelu przed przydzieleniem zadań</w:t>
      </w:r>
      <w:r w:rsidR="0079040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790407" w:rsidRPr="00833C88">
        <w:rPr>
          <w:rFonts w:eastAsia="Times New Roman" w:cs="Times New Roman"/>
          <w:sz w:val="24"/>
          <w:szCs w:val="24"/>
          <w:lang w:eastAsia="pl-PL"/>
        </w:rPr>
        <w:t xml:space="preserve">zakresu </w:t>
      </w:r>
      <w:r w:rsidR="00790407" w:rsidRPr="00833C88">
        <w:rPr>
          <w:rFonts w:eastAsia="Times New Roman" w:cs="Times New Roman"/>
          <w:sz w:val="24"/>
          <w:szCs w:val="24"/>
          <w:lang w:eastAsia="pl-PL"/>
        </w:rPr>
        <w:lastRenderedPageBreak/>
        <w:t>cyberbezpieczeństwa</w:t>
      </w:r>
      <w:r w:rsidR="00C818FA" w:rsidRPr="00833C88">
        <w:rPr>
          <w:rFonts w:eastAsia="Times New Roman" w:cs="Times New Roman"/>
          <w:sz w:val="24"/>
          <w:szCs w:val="24"/>
          <w:lang w:eastAsia="pl-PL"/>
        </w:rPr>
        <w:t xml:space="preserve"> jest przewidywana </w:t>
      </w:r>
      <w:r w:rsidR="00790407" w:rsidRPr="00833C88">
        <w:rPr>
          <w:rFonts w:eastAsia="Times New Roman" w:cs="Times New Roman"/>
          <w:sz w:val="24"/>
          <w:szCs w:val="24"/>
          <w:lang w:eastAsia="pl-PL"/>
        </w:rPr>
        <w:t>przez normy techniczne</w:t>
      </w:r>
      <w:r w:rsidR="00B94FFC" w:rsidRPr="00833C88">
        <w:rPr>
          <w:rFonts w:eastAsia="Times New Roman" w:cs="Times New Roman"/>
          <w:sz w:val="24"/>
          <w:szCs w:val="24"/>
          <w:lang w:eastAsia="pl-PL"/>
        </w:rPr>
        <w:t>,</w:t>
      </w:r>
      <w:r w:rsidR="00790407" w:rsidRPr="00833C88">
        <w:rPr>
          <w:rFonts w:eastAsia="Times New Roman" w:cs="Times New Roman"/>
          <w:sz w:val="24"/>
          <w:szCs w:val="24"/>
          <w:lang w:eastAsia="pl-PL"/>
        </w:rPr>
        <w:t xml:space="preserve"> np. </w:t>
      </w:r>
      <w:r w:rsidR="00F872FA" w:rsidRPr="00833C88">
        <w:rPr>
          <w:rFonts w:eastAsia="Times New Roman" w:cs="Times New Roman"/>
          <w:sz w:val="24"/>
          <w:szCs w:val="24"/>
          <w:lang w:eastAsia="pl-PL"/>
        </w:rPr>
        <w:t xml:space="preserve">normę ISO 27001, </w:t>
      </w:r>
      <w:r w:rsidR="00601933" w:rsidRPr="00833C88">
        <w:rPr>
          <w:rFonts w:eastAsia="Times New Roman" w:cs="Times New Roman"/>
          <w:sz w:val="24"/>
          <w:szCs w:val="24"/>
          <w:lang w:eastAsia="pl-PL"/>
        </w:rPr>
        <w:t>a </w:t>
      </w:r>
      <w:r w:rsidR="00321056" w:rsidRPr="00833C88">
        <w:rPr>
          <w:rFonts w:eastAsia="Times New Roman" w:cs="Times New Roman"/>
          <w:sz w:val="24"/>
          <w:szCs w:val="24"/>
          <w:lang w:eastAsia="pl-PL"/>
        </w:rPr>
        <w:t xml:space="preserve">zatem </w:t>
      </w:r>
      <w:r w:rsidR="00F872FA" w:rsidRPr="00833C88">
        <w:rPr>
          <w:rFonts w:eastAsia="Times New Roman" w:cs="Times New Roman"/>
          <w:sz w:val="24"/>
          <w:szCs w:val="24"/>
          <w:lang w:eastAsia="pl-PL"/>
        </w:rPr>
        <w:t>nie jest to zupełna nowość.</w:t>
      </w:r>
      <w:r w:rsidR="00B71901" w:rsidRPr="00833C88">
        <w:rPr>
          <w:rFonts w:eastAsia="Times New Roman" w:cs="Times New Roman"/>
          <w:sz w:val="24"/>
          <w:szCs w:val="24"/>
          <w:lang w:eastAsia="pl-PL"/>
        </w:rPr>
        <w:t xml:space="preserve"> Podkreślić należy, że mogą tutaj wystąpić </w:t>
      </w:r>
      <w:r w:rsidR="00281852" w:rsidRPr="00833C88">
        <w:rPr>
          <w:rFonts w:eastAsia="Times New Roman" w:cs="Times New Roman"/>
          <w:sz w:val="24"/>
          <w:szCs w:val="24"/>
          <w:lang w:eastAsia="pl-PL"/>
        </w:rPr>
        <w:t>stosunek pracy</w:t>
      </w:r>
      <w:r w:rsidR="005146E6" w:rsidRPr="00833C88">
        <w:rPr>
          <w:rFonts w:eastAsia="Times New Roman" w:cs="Times New Roman"/>
          <w:sz w:val="24"/>
          <w:szCs w:val="24"/>
          <w:lang w:eastAsia="pl-PL"/>
        </w:rPr>
        <w:t>,</w:t>
      </w:r>
      <w:r w:rsidR="0028185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00281852" w:rsidRPr="00833C88">
        <w:rPr>
          <w:rFonts w:eastAsia="Times New Roman" w:cs="Times New Roman"/>
          <w:sz w:val="24"/>
          <w:szCs w:val="24"/>
          <w:lang w:eastAsia="pl-PL"/>
        </w:rPr>
        <w:t>także inne stosunki zatrudnienia</w:t>
      </w:r>
      <w:r w:rsidR="005146E6" w:rsidRPr="00833C88">
        <w:rPr>
          <w:rFonts w:eastAsia="Times New Roman" w:cs="Times New Roman"/>
          <w:sz w:val="24"/>
          <w:szCs w:val="24"/>
          <w:lang w:eastAsia="pl-PL"/>
        </w:rPr>
        <w:t>,</w:t>
      </w:r>
      <w:r w:rsidR="00281852" w:rsidRPr="00833C88">
        <w:rPr>
          <w:rFonts w:eastAsia="Times New Roman" w:cs="Times New Roman"/>
          <w:sz w:val="24"/>
          <w:szCs w:val="24"/>
          <w:lang w:eastAsia="pl-PL"/>
        </w:rPr>
        <w:t xml:space="preserve"> np. umowa </w:t>
      </w:r>
      <w:r w:rsidR="002B1B33" w:rsidRPr="00833C88">
        <w:rPr>
          <w:rFonts w:eastAsia="Times New Roman" w:cs="Times New Roman"/>
          <w:sz w:val="24"/>
          <w:szCs w:val="24"/>
          <w:lang w:eastAsia="pl-PL"/>
        </w:rPr>
        <w:t xml:space="preserve">zlecenia. Jest to istotne </w:t>
      </w:r>
      <w:r w:rsidR="00601933" w:rsidRPr="00833C88">
        <w:rPr>
          <w:rFonts w:eastAsia="Times New Roman" w:cs="Times New Roman"/>
          <w:sz w:val="24"/>
          <w:szCs w:val="24"/>
          <w:lang w:eastAsia="pl-PL"/>
        </w:rPr>
        <w:t>w </w:t>
      </w:r>
      <w:r w:rsidR="002B1B33" w:rsidRPr="00833C88">
        <w:rPr>
          <w:rFonts w:eastAsia="Times New Roman" w:cs="Times New Roman"/>
          <w:sz w:val="24"/>
          <w:szCs w:val="24"/>
          <w:lang w:eastAsia="pl-PL"/>
        </w:rPr>
        <w:t xml:space="preserve">kontekście przetwarzania danych osobowych, jako że dotyczy to danych </w:t>
      </w:r>
      <w:r w:rsidR="00601933" w:rsidRPr="00833C88">
        <w:rPr>
          <w:rFonts w:eastAsia="Times New Roman" w:cs="Times New Roman"/>
          <w:sz w:val="24"/>
          <w:szCs w:val="24"/>
          <w:lang w:eastAsia="pl-PL"/>
        </w:rPr>
        <w:t>o </w:t>
      </w:r>
      <w:r w:rsidR="002B1B33" w:rsidRPr="00833C88">
        <w:rPr>
          <w:rFonts w:eastAsia="Times New Roman" w:cs="Times New Roman"/>
          <w:sz w:val="24"/>
          <w:szCs w:val="24"/>
          <w:lang w:eastAsia="pl-PL"/>
        </w:rPr>
        <w:t xml:space="preserve">karalności </w:t>
      </w:r>
      <w:r w:rsidR="00601933" w:rsidRPr="00833C88">
        <w:rPr>
          <w:rFonts w:eastAsia="Times New Roman" w:cs="Times New Roman"/>
          <w:sz w:val="24"/>
          <w:szCs w:val="24"/>
          <w:lang w:eastAsia="pl-PL"/>
        </w:rPr>
        <w:t>w </w:t>
      </w:r>
      <w:r w:rsidR="002B1B33" w:rsidRPr="00833C88">
        <w:rPr>
          <w:rFonts w:eastAsia="Times New Roman" w:cs="Times New Roman"/>
          <w:sz w:val="24"/>
          <w:szCs w:val="24"/>
          <w:lang w:eastAsia="pl-PL"/>
        </w:rPr>
        <w:t>rozumieniu art.</w:t>
      </w:r>
      <w:r w:rsidR="00337E43" w:rsidRPr="00833C88">
        <w:rPr>
          <w:rFonts w:eastAsia="Times New Roman" w:cs="Times New Roman"/>
          <w:sz w:val="24"/>
          <w:szCs w:val="24"/>
          <w:lang w:eastAsia="pl-PL"/>
        </w:rPr>
        <w:t> </w:t>
      </w:r>
      <w:r w:rsidR="002B1B33" w:rsidRPr="00833C88">
        <w:rPr>
          <w:rFonts w:eastAsia="Times New Roman" w:cs="Times New Roman"/>
          <w:sz w:val="24"/>
          <w:szCs w:val="24"/>
          <w:lang w:eastAsia="pl-PL"/>
        </w:rPr>
        <w:t>10</w:t>
      </w:r>
      <w:r w:rsidR="000A0122" w:rsidRPr="00833C88">
        <w:rPr>
          <w:rFonts w:eastAsia="Times New Roman" w:cs="Times New Roman"/>
          <w:sz w:val="24"/>
          <w:szCs w:val="24"/>
          <w:lang w:eastAsia="pl-PL"/>
        </w:rPr>
        <w:t xml:space="preserve"> RODO</w:t>
      </w:r>
      <w:r w:rsidR="00952EE2" w:rsidRPr="00833C88">
        <w:rPr>
          <w:rFonts w:eastAsia="Times New Roman" w:cs="Times New Roman"/>
          <w:sz w:val="24"/>
          <w:szCs w:val="24"/>
          <w:lang w:eastAsia="pl-PL"/>
        </w:rPr>
        <w:t>. Tak jak wyżej wspomniano</w:t>
      </w:r>
      <w:r w:rsidR="005146E6" w:rsidRPr="00833C88">
        <w:rPr>
          <w:rFonts w:eastAsia="Times New Roman" w:cs="Times New Roman"/>
          <w:sz w:val="24"/>
          <w:szCs w:val="24"/>
          <w:lang w:eastAsia="pl-PL"/>
        </w:rPr>
        <w:t>,</w:t>
      </w:r>
      <w:r w:rsidR="00952EE2" w:rsidRPr="00833C88">
        <w:rPr>
          <w:rFonts w:eastAsia="Times New Roman" w:cs="Times New Roman"/>
          <w:sz w:val="24"/>
          <w:szCs w:val="24"/>
          <w:lang w:eastAsia="pl-PL"/>
        </w:rPr>
        <w:t xml:space="preserve"> weryfikacja</w:t>
      </w:r>
      <w:r w:rsidR="00BE53E7" w:rsidRPr="00833C88">
        <w:rPr>
          <w:rFonts w:eastAsia="Times New Roman" w:cs="Times New Roman"/>
          <w:sz w:val="24"/>
          <w:szCs w:val="24"/>
          <w:lang w:eastAsia="pl-PL"/>
        </w:rPr>
        <w:t xml:space="preserve"> niekaralności</w:t>
      </w:r>
      <w:r w:rsidR="00952EE2" w:rsidRPr="00833C88">
        <w:rPr>
          <w:rFonts w:eastAsia="Times New Roman" w:cs="Times New Roman"/>
          <w:sz w:val="24"/>
          <w:szCs w:val="24"/>
          <w:lang w:eastAsia="pl-PL"/>
        </w:rPr>
        <w:t xml:space="preserve"> personelu przed wykonywaniem zadań </w:t>
      </w:r>
      <w:r w:rsidR="00601933" w:rsidRPr="00833C88">
        <w:rPr>
          <w:rFonts w:eastAsia="Times New Roman" w:cs="Times New Roman"/>
          <w:sz w:val="24"/>
          <w:szCs w:val="24"/>
          <w:lang w:eastAsia="pl-PL"/>
        </w:rPr>
        <w:t>z </w:t>
      </w:r>
      <w:r w:rsidR="00952EE2" w:rsidRPr="00833C88">
        <w:rPr>
          <w:rFonts w:eastAsia="Times New Roman" w:cs="Times New Roman"/>
          <w:sz w:val="24"/>
          <w:szCs w:val="24"/>
          <w:lang w:eastAsia="pl-PL"/>
        </w:rPr>
        <w:t>zakresu cyberbezpieczeństwa jest zasadna</w:t>
      </w:r>
      <w:r w:rsidR="00BE53E7" w:rsidRPr="00833C88">
        <w:rPr>
          <w:rFonts w:eastAsia="Times New Roman" w:cs="Times New Roman"/>
          <w:sz w:val="24"/>
          <w:szCs w:val="24"/>
          <w:lang w:eastAsia="pl-PL"/>
        </w:rPr>
        <w:t xml:space="preserve">. Osoby, które dopuściły się czynów zabronionych przeciwko ochronie informacji nie dają należytej rękojmi prawidłowego </w:t>
      </w:r>
      <w:r w:rsidR="00BD6274" w:rsidRPr="00833C88">
        <w:rPr>
          <w:rFonts w:eastAsia="Times New Roman" w:cs="Times New Roman"/>
          <w:sz w:val="24"/>
          <w:szCs w:val="24"/>
          <w:lang w:eastAsia="pl-PL"/>
        </w:rPr>
        <w:t xml:space="preserve">wykonywania zadań </w:t>
      </w:r>
      <w:r w:rsidR="00601933" w:rsidRPr="00833C88">
        <w:rPr>
          <w:rFonts w:eastAsia="Times New Roman" w:cs="Times New Roman"/>
          <w:sz w:val="24"/>
          <w:szCs w:val="24"/>
          <w:lang w:eastAsia="pl-PL"/>
        </w:rPr>
        <w:t>z </w:t>
      </w:r>
      <w:r w:rsidR="00BD6274" w:rsidRPr="00833C88">
        <w:rPr>
          <w:rFonts w:eastAsia="Times New Roman" w:cs="Times New Roman"/>
          <w:sz w:val="24"/>
          <w:szCs w:val="24"/>
          <w:lang w:eastAsia="pl-PL"/>
        </w:rPr>
        <w:t xml:space="preserve">zakresu </w:t>
      </w:r>
      <w:r w:rsidR="00C06C61" w:rsidRPr="00833C88">
        <w:rPr>
          <w:rFonts w:eastAsia="Times New Roman" w:cs="Times New Roman"/>
          <w:sz w:val="24"/>
          <w:szCs w:val="24"/>
          <w:lang w:eastAsia="pl-PL"/>
        </w:rPr>
        <w:t>c</w:t>
      </w:r>
      <w:r w:rsidR="00BD6274" w:rsidRPr="00833C88">
        <w:rPr>
          <w:rFonts w:eastAsia="Times New Roman" w:cs="Times New Roman"/>
          <w:sz w:val="24"/>
          <w:szCs w:val="24"/>
          <w:lang w:eastAsia="pl-PL"/>
        </w:rPr>
        <w:t xml:space="preserve">yberbezpieczeństwa. </w:t>
      </w:r>
      <w:r w:rsidR="00601933" w:rsidRPr="00833C88">
        <w:rPr>
          <w:rFonts w:eastAsia="Times New Roman" w:cs="Times New Roman"/>
          <w:sz w:val="24"/>
          <w:szCs w:val="24"/>
          <w:lang w:eastAsia="pl-PL"/>
        </w:rPr>
        <w:t>W </w:t>
      </w:r>
      <w:r w:rsidR="00BD6274" w:rsidRPr="00833C88">
        <w:rPr>
          <w:rFonts w:eastAsia="Times New Roman" w:cs="Times New Roman"/>
          <w:sz w:val="24"/>
          <w:szCs w:val="24"/>
          <w:lang w:eastAsia="pl-PL"/>
        </w:rPr>
        <w:t xml:space="preserve">interesie samego podmiotu kluczowego </w:t>
      </w:r>
      <w:r w:rsidR="00601933" w:rsidRPr="00833C88">
        <w:rPr>
          <w:rFonts w:eastAsia="Times New Roman" w:cs="Times New Roman"/>
          <w:sz w:val="24"/>
          <w:szCs w:val="24"/>
          <w:lang w:eastAsia="pl-PL"/>
        </w:rPr>
        <w:t>i </w:t>
      </w:r>
      <w:r w:rsidR="00BD6274" w:rsidRPr="00833C88">
        <w:rPr>
          <w:rFonts w:eastAsia="Times New Roman" w:cs="Times New Roman"/>
          <w:sz w:val="24"/>
          <w:szCs w:val="24"/>
          <w:lang w:eastAsia="pl-PL"/>
        </w:rPr>
        <w:t xml:space="preserve">podmiotu ważnego jest zatrudnienie </w:t>
      </w:r>
      <w:r w:rsidR="002B5368" w:rsidRPr="00833C88">
        <w:rPr>
          <w:rFonts w:eastAsia="Times New Roman" w:cs="Times New Roman"/>
          <w:sz w:val="24"/>
          <w:szCs w:val="24"/>
          <w:lang w:eastAsia="pl-PL"/>
        </w:rPr>
        <w:t>wiarygodnego personelu. Ponadto sama dyrektywa NIS</w:t>
      </w:r>
      <w:r w:rsidR="00A84231" w:rsidRPr="00833C88">
        <w:rPr>
          <w:rFonts w:eastAsia="Times New Roman" w:cs="Times New Roman"/>
          <w:sz w:val="24"/>
          <w:szCs w:val="24"/>
          <w:lang w:eastAsia="pl-PL"/>
        </w:rPr>
        <w:t xml:space="preserve"> </w:t>
      </w:r>
      <w:r w:rsidR="002B5368" w:rsidRPr="00833C88">
        <w:rPr>
          <w:rFonts w:eastAsia="Times New Roman" w:cs="Times New Roman"/>
          <w:sz w:val="24"/>
          <w:szCs w:val="24"/>
          <w:lang w:eastAsia="pl-PL"/>
        </w:rPr>
        <w:t xml:space="preserve">2 wspomina </w:t>
      </w:r>
      <w:r w:rsidR="00601933" w:rsidRPr="00833C88">
        <w:rPr>
          <w:rFonts w:eastAsia="Times New Roman" w:cs="Times New Roman"/>
          <w:sz w:val="24"/>
          <w:szCs w:val="24"/>
          <w:lang w:eastAsia="pl-PL"/>
        </w:rPr>
        <w:t>o </w:t>
      </w:r>
      <w:r w:rsidR="002B5368" w:rsidRPr="00833C88">
        <w:rPr>
          <w:rFonts w:eastAsia="Times New Roman" w:cs="Times New Roman"/>
          <w:sz w:val="24"/>
          <w:szCs w:val="24"/>
          <w:lang w:eastAsia="pl-PL"/>
        </w:rPr>
        <w:t xml:space="preserve">konieczności wdrożenia środków </w:t>
      </w:r>
      <w:r w:rsidR="00601933" w:rsidRPr="00833C88">
        <w:rPr>
          <w:rFonts w:eastAsia="Times New Roman" w:cs="Times New Roman"/>
          <w:sz w:val="24"/>
          <w:szCs w:val="24"/>
          <w:lang w:eastAsia="pl-PL"/>
        </w:rPr>
        <w:t>z </w:t>
      </w:r>
      <w:r w:rsidR="002B5368" w:rsidRPr="00833C88">
        <w:rPr>
          <w:rFonts w:eastAsia="Times New Roman" w:cs="Times New Roman"/>
          <w:sz w:val="24"/>
          <w:szCs w:val="24"/>
          <w:lang w:eastAsia="pl-PL"/>
        </w:rPr>
        <w:t xml:space="preserve">zakresu bezpieczeństwa zasobów ludzkich. </w:t>
      </w:r>
      <w:r w:rsidR="00304900" w:rsidRPr="00833C88">
        <w:rPr>
          <w:rFonts w:eastAsia="Times New Roman" w:cs="Times New Roman"/>
          <w:sz w:val="24"/>
          <w:szCs w:val="24"/>
          <w:lang w:eastAsia="pl-PL"/>
        </w:rPr>
        <w:t xml:space="preserve">Stąd weryfikacja niekaralności personelu jest konieczna. Informacje </w:t>
      </w:r>
      <w:r w:rsidR="00601933" w:rsidRPr="00833C88">
        <w:rPr>
          <w:rFonts w:eastAsia="Times New Roman" w:cs="Times New Roman"/>
          <w:sz w:val="24"/>
          <w:szCs w:val="24"/>
          <w:lang w:eastAsia="pl-PL"/>
        </w:rPr>
        <w:t>o </w:t>
      </w:r>
      <w:r w:rsidR="00304900" w:rsidRPr="00833C88">
        <w:rPr>
          <w:rFonts w:eastAsia="Times New Roman" w:cs="Times New Roman"/>
          <w:sz w:val="24"/>
          <w:szCs w:val="24"/>
          <w:lang w:eastAsia="pl-PL"/>
        </w:rPr>
        <w:t xml:space="preserve">niekaralności będą przechowywane </w:t>
      </w:r>
      <w:r w:rsidR="00601933" w:rsidRPr="00833C88">
        <w:rPr>
          <w:rFonts w:eastAsia="Times New Roman" w:cs="Times New Roman"/>
          <w:sz w:val="24"/>
          <w:szCs w:val="24"/>
          <w:lang w:eastAsia="pl-PL"/>
        </w:rPr>
        <w:t>w </w:t>
      </w:r>
      <w:r w:rsidR="00410F05" w:rsidRPr="00833C88">
        <w:rPr>
          <w:rFonts w:eastAsia="Times New Roman" w:cs="Times New Roman"/>
          <w:sz w:val="24"/>
          <w:szCs w:val="24"/>
          <w:lang w:eastAsia="pl-PL"/>
        </w:rPr>
        <w:t>dokumentacji pracowniczej</w:t>
      </w:r>
      <w:r w:rsidR="00373CFC" w:rsidRPr="00833C88">
        <w:rPr>
          <w:rFonts w:eastAsia="Times New Roman" w:cs="Times New Roman"/>
          <w:sz w:val="24"/>
          <w:szCs w:val="24"/>
          <w:lang w:eastAsia="pl-PL"/>
        </w:rPr>
        <w:t xml:space="preserve"> albo w</w:t>
      </w:r>
      <w:r w:rsidR="009B4C26" w:rsidRPr="00833C88">
        <w:rPr>
          <w:rFonts w:eastAsia="Times New Roman" w:cs="Times New Roman"/>
          <w:sz w:val="24"/>
          <w:szCs w:val="24"/>
          <w:lang w:eastAsia="pl-PL"/>
        </w:rPr>
        <w:t> </w:t>
      </w:r>
      <w:r w:rsidR="00373CFC" w:rsidRPr="00833C88">
        <w:rPr>
          <w:rFonts w:eastAsia="Times New Roman" w:cs="Times New Roman"/>
          <w:sz w:val="24"/>
          <w:szCs w:val="24"/>
          <w:lang w:eastAsia="pl-PL"/>
        </w:rPr>
        <w:t xml:space="preserve">dokumentacji związanej </w:t>
      </w:r>
      <w:r w:rsidR="00601933" w:rsidRPr="00833C88">
        <w:rPr>
          <w:rFonts w:eastAsia="Times New Roman" w:cs="Times New Roman"/>
          <w:sz w:val="24"/>
          <w:szCs w:val="24"/>
          <w:lang w:eastAsia="pl-PL"/>
        </w:rPr>
        <w:t>z </w:t>
      </w:r>
      <w:r w:rsidR="00373CFC" w:rsidRPr="00833C88">
        <w:rPr>
          <w:rFonts w:eastAsia="Times New Roman" w:cs="Times New Roman"/>
          <w:sz w:val="24"/>
          <w:szCs w:val="24"/>
          <w:lang w:eastAsia="pl-PL"/>
        </w:rPr>
        <w:t xml:space="preserve">daną umową </w:t>
      </w:r>
      <w:r w:rsidR="00601933" w:rsidRPr="00833C88">
        <w:rPr>
          <w:rFonts w:eastAsia="Times New Roman" w:cs="Times New Roman"/>
          <w:sz w:val="24"/>
          <w:szCs w:val="24"/>
          <w:lang w:eastAsia="pl-PL"/>
        </w:rPr>
        <w:t>w </w:t>
      </w:r>
      <w:r w:rsidR="00373CFC" w:rsidRPr="00833C88">
        <w:rPr>
          <w:rFonts w:eastAsia="Times New Roman" w:cs="Times New Roman"/>
          <w:sz w:val="24"/>
          <w:szCs w:val="24"/>
          <w:lang w:eastAsia="pl-PL"/>
        </w:rPr>
        <w:t xml:space="preserve">przypadku innych stosunków zatrudnienia. </w:t>
      </w:r>
      <w:r w:rsidR="00253E6D" w:rsidRPr="00833C88">
        <w:rPr>
          <w:rFonts w:eastAsia="Times New Roman" w:cs="Times New Roman"/>
          <w:sz w:val="24"/>
          <w:szCs w:val="24"/>
          <w:lang w:eastAsia="pl-PL"/>
        </w:rPr>
        <w:t>Oczywiście</w:t>
      </w:r>
      <w:r w:rsidR="005146E6" w:rsidRPr="00833C88">
        <w:rPr>
          <w:rFonts w:eastAsia="Times New Roman" w:cs="Times New Roman"/>
          <w:sz w:val="24"/>
          <w:szCs w:val="24"/>
          <w:lang w:eastAsia="pl-PL"/>
        </w:rPr>
        <w:t>,</w:t>
      </w:r>
      <w:r w:rsidR="00253E6D" w:rsidRPr="00833C88">
        <w:rPr>
          <w:rFonts w:eastAsia="Times New Roman" w:cs="Times New Roman"/>
          <w:sz w:val="24"/>
          <w:szCs w:val="24"/>
          <w:lang w:eastAsia="pl-PL"/>
        </w:rPr>
        <w:t xml:space="preserve"> zgodnie </w:t>
      </w:r>
      <w:r w:rsidR="00601933" w:rsidRPr="00833C88">
        <w:rPr>
          <w:rFonts w:eastAsia="Times New Roman" w:cs="Times New Roman"/>
          <w:sz w:val="24"/>
          <w:szCs w:val="24"/>
          <w:lang w:eastAsia="pl-PL"/>
        </w:rPr>
        <w:t>z </w:t>
      </w:r>
      <w:r w:rsidR="0054686C" w:rsidRPr="00833C88">
        <w:rPr>
          <w:rFonts w:eastAsia="Times New Roman" w:cs="Times New Roman"/>
          <w:sz w:val="24"/>
          <w:szCs w:val="24"/>
          <w:lang w:eastAsia="pl-PL"/>
        </w:rPr>
        <w:t>RODO</w:t>
      </w:r>
      <w:r w:rsidR="005146E6" w:rsidRPr="00833C88">
        <w:rPr>
          <w:rFonts w:eastAsia="Times New Roman" w:cs="Times New Roman"/>
          <w:sz w:val="24"/>
          <w:szCs w:val="24"/>
          <w:lang w:eastAsia="pl-PL"/>
        </w:rPr>
        <w:t>,</w:t>
      </w:r>
      <w:r w:rsidR="00253E6D" w:rsidRPr="00833C88">
        <w:rPr>
          <w:rFonts w:eastAsia="Times New Roman" w:cs="Times New Roman"/>
          <w:sz w:val="24"/>
          <w:szCs w:val="24"/>
          <w:lang w:eastAsia="pl-PL"/>
        </w:rPr>
        <w:t xml:space="preserve"> takie informacje będą musiały być należycie chronione. </w:t>
      </w:r>
      <w:r w:rsidR="00244E9A" w:rsidRPr="00833C88">
        <w:rPr>
          <w:rFonts w:eastAsia="Times New Roman" w:cs="Times New Roman"/>
          <w:sz w:val="24"/>
          <w:szCs w:val="24"/>
          <w:lang w:eastAsia="pl-PL"/>
        </w:rPr>
        <w:t xml:space="preserve">Wprowadza się również uprawnienie podmiotu kluczowego </w:t>
      </w:r>
      <w:r w:rsidR="00601933" w:rsidRPr="00833C88">
        <w:rPr>
          <w:rFonts w:eastAsia="Times New Roman" w:cs="Times New Roman"/>
          <w:sz w:val="24"/>
          <w:szCs w:val="24"/>
          <w:lang w:eastAsia="pl-PL"/>
        </w:rPr>
        <w:t>i </w:t>
      </w:r>
      <w:r w:rsidR="00244E9A" w:rsidRPr="00833C88">
        <w:rPr>
          <w:rFonts w:eastAsia="Times New Roman" w:cs="Times New Roman"/>
          <w:sz w:val="24"/>
          <w:szCs w:val="24"/>
          <w:lang w:eastAsia="pl-PL"/>
        </w:rPr>
        <w:t xml:space="preserve">podmiotu ważnego do wezwania </w:t>
      </w:r>
      <w:r w:rsidR="00EC4A0B" w:rsidRPr="00833C88">
        <w:rPr>
          <w:rFonts w:eastAsia="Times New Roman" w:cs="Times New Roman"/>
          <w:sz w:val="24"/>
          <w:szCs w:val="24"/>
          <w:lang w:eastAsia="pl-PL"/>
        </w:rPr>
        <w:t xml:space="preserve">osoby do </w:t>
      </w:r>
      <w:r w:rsidR="00782BD0" w:rsidRPr="00833C88">
        <w:rPr>
          <w:rFonts w:eastAsia="Times New Roman" w:cs="Times New Roman"/>
          <w:sz w:val="24"/>
          <w:szCs w:val="24"/>
          <w:lang w:eastAsia="pl-PL"/>
        </w:rPr>
        <w:t xml:space="preserve">ponownego przedstawienia zaświadczenia </w:t>
      </w:r>
      <w:r w:rsidR="00601933" w:rsidRPr="00833C88">
        <w:rPr>
          <w:rFonts w:eastAsia="Times New Roman" w:cs="Times New Roman"/>
          <w:sz w:val="24"/>
          <w:szCs w:val="24"/>
          <w:lang w:eastAsia="pl-PL"/>
        </w:rPr>
        <w:t>o </w:t>
      </w:r>
      <w:r w:rsidR="00782BD0" w:rsidRPr="00833C88">
        <w:rPr>
          <w:rFonts w:eastAsia="Times New Roman" w:cs="Times New Roman"/>
          <w:sz w:val="24"/>
          <w:szCs w:val="24"/>
          <w:lang w:eastAsia="pl-PL"/>
        </w:rPr>
        <w:t xml:space="preserve">niekaralności za przestępstwa przeciwko ochronie informacji, jeżeli podmiot poweźmie uzasadnione podejrzenie, że osoba ta została skazana za przestępstwo przeciwko ochronie informacji. Podejrzenie to musi być uzasadnione, </w:t>
      </w:r>
      <w:r w:rsidR="00601933" w:rsidRPr="00833C88">
        <w:rPr>
          <w:rFonts w:eastAsia="Times New Roman" w:cs="Times New Roman"/>
          <w:sz w:val="24"/>
          <w:szCs w:val="24"/>
          <w:lang w:eastAsia="pl-PL"/>
        </w:rPr>
        <w:t>w </w:t>
      </w:r>
      <w:r w:rsidR="00782BD0" w:rsidRPr="00833C88">
        <w:rPr>
          <w:rFonts w:eastAsia="Times New Roman" w:cs="Times New Roman"/>
          <w:sz w:val="24"/>
          <w:szCs w:val="24"/>
          <w:lang w:eastAsia="pl-PL"/>
        </w:rPr>
        <w:t xml:space="preserve">jakimś mierze uprawdopodobnione. </w:t>
      </w:r>
      <w:r w:rsidR="00DF27C8" w:rsidRPr="00833C88">
        <w:rPr>
          <w:rFonts w:eastAsia="Times New Roman" w:cs="Times New Roman"/>
          <w:sz w:val="24"/>
          <w:szCs w:val="24"/>
          <w:lang w:eastAsia="pl-PL"/>
        </w:rPr>
        <w:t>Przy czym s</w:t>
      </w:r>
      <w:r w:rsidR="00782BD0" w:rsidRPr="00833C88">
        <w:rPr>
          <w:rFonts w:eastAsia="Times New Roman" w:cs="Times New Roman"/>
          <w:sz w:val="24"/>
          <w:szCs w:val="24"/>
          <w:lang w:eastAsia="pl-PL"/>
        </w:rPr>
        <w:t xml:space="preserve">am anonim </w:t>
      </w:r>
      <w:r w:rsidR="00310CD2" w:rsidRPr="00833C88">
        <w:rPr>
          <w:rFonts w:eastAsia="Times New Roman" w:cs="Times New Roman"/>
          <w:sz w:val="24"/>
          <w:szCs w:val="24"/>
          <w:lang w:eastAsia="pl-PL"/>
        </w:rPr>
        <w:t xml:space="preserve">czy zgłoszenie od sygnalisty może być niewystarczające </w:t>
      </w:r>
      <w:r w:rsidR="00601933" w:rsidRPr="00833C88">
        <w:rPr>
          <w:rFonts w:eastAsia="Times New Roman" w:cs="Times New Roman"/>
          <w:sz w:val="24"/>
          <w:szCs w:val="24"/>
          <w:lang w:eastAsia="pl-PL"/>
        </w:rPr>
        <w:t>w </w:t>
      </w:r>
      <w:r w:rsidR="00310CD2" w:rsidRPr="00833C88">
        <w:rPr>
          <w:rFonts w:eastAsia="Times New Roman" w:cs="Times New Roman"/>
          <w:sz w:val="24"/>
          <w:szCs w:val="24"/>
          <w:lang w:eastAsia="pl-PL"/>
        </w:rPr>
        <w:t xml:space="preserve">tej mierze, </w:t>
      </w:r>
      <w:r w:rsidR="00541A26" w:rsidRPr="00833C88">
        <w:rPr>
          <w:rFonts w:eastAsia="Times New Roman" w:cs="Times New Roman"/>
          <w:sz w:val="24"/>
          <w:szCs w:val="24"/>
          <w:lang w:eastAsia="pl-PL"/>
        </w:rPr>
        <w:t>trzeba wziąć pod uwagę, że takie</w:t>
      </w:r>
      <w:r w:rsidR="00310CD2" w:rsidRPr="00833C88">
        <w:rPr>
          <w:rFonts w:eastAsia="Times New Roman" w:cs="Times New Roman"/>
          <w:sz w:val="24"/>
          <w:szCs w:val="24"/>
          <w:lang w:eastAsia="pl-PL"/>
        </w:rPr>
        <w:t xml:space="preserve"> zgłoszenie może być po prostu aktem </w:t>
      </w:r>
      <w:r w:rsidR="00DF27C8" w:rsidRPr="00833C88">
        <w:rPr>
          <w:rFonts w:eastAsia="Times New Roman" w:cs="Times New Roman"/>
          <w:sz w:val="24"/>
          <w:szCs w:val="24"/>
          <w:lang w:eastAsia="pl-PL"/>
        </w:rPr>
        <w:t>szkalującym inną osobę.</w:t>
      </w:r>
      <w:r w:rsidR="00FD79C8" w:rsidRPr="00833C88">
        <w:rPr>
          <w:rFonts w:eastAsia="Times New Roman" w:cs="Times New Roman"/>
          <w:sz w:val="24"/>
          <w:szCs w:val="24"/>
          <w:lang w:eastAsia="pl-PL"/>
        </w:rPr>
        <w:t xml:space="preserve"> Również </w:t>
      </w:r>
      <w:r w:rsidR="00263168" w:rsidRPr="00833C88">
        <w:rPr>
          <w:rFonts w:eastAsia="Times New Roman" w:cs="Times New Roman"/>
          <w:sz w:val="24"/>
          <w:szCs w:val="24"/>
          <w:lang w:eastAsia="pl-PL"/>
        </w:rPr>
        <w:t xml:space="preserve">uzasadnionym działaniem podmiotu kluczowego </w:t>
      </w:r>
      <w:r w:rsidR="00601933" w:rsidRPr="00833C88">
        <w:rPr>
          <w:rFonts w:eastAsia="Times New Roman" w:cs="Times New Roman"/>
          <w:sz w:val="24"/>
          <w:szCs w:val="24"/>
          <w:lang w:eastAsia="pl-PL"/>
        </w:rPr>
        <w:t>i </w:t>
      </w:r>
      <w:r w:rsidR="00263168" w:rsidRPr="00833C88">
        <w:rPr>
          <w:rFonts w:eastAsia="Times New Roman" w:cs="Times New Roman"/>
          <w:sz w:val="24"/>
          <w:szCs w:val="24"/>
          <w:lang w:eastAsia="pl-PL"/>
        </w:rPr>
        <w:t xml:space="preserve">podmiotu ważnego nie będzie </w:t>
      </w:r>
      <w:r w:rsidR="00134C95" w:rsidRPr="00833C88">
        <w:rPr>
          <w:rFonts w:eastAsia="Times New Roman" w:cs="Times New Roman"/>
          <w:sz w:val="24"/>
          <w:szCs w:val="24"/>
          <w:lang w:eastAsia="pl-PL"/>
        </w:rPr>
        <w:t>cykliczne</w:t>
      </w:r>
      <w:r w:rsidR="00263168" w:rsidRPr="00833C88">
        <w:rPr>
          <w:rFonts w:eastAsia="Times New Roman" w:cs="Times New Roman"/>
          <w:sz w:val="24"/>
          <w:szCs w:val="24"/>
          <w:lang w:eastAsia="pl-PL"/>
        </w:rPr>
        <w:t xml:space="preserve"> wzywanie</w:t>
      </w:r>
      <w:r w:rsidR="00134C95" w:rsidRPr="00833C88">
        <w:rPr>
          <w:rFonts w:eastAsia="Times New Roman" w:cs="Times New Roman"/>
          <w:sz w:val="24"/>
          <w:szCs w:val="24"/>
          <w:lang w:eastAsia="pl-PL"/>
        </w:rPr>
        <w:t xml:space="preserve"> danej osoby do przedstawienia zaświadczenia </w:t>
      </w:r>
      <w:r w:rsidR="00601933" w:rsidRPr="00833C88">
        <w:rPr>
          <w:rFonts w:eastAsia="Times New Roman" w:cs="Times New Roman"/>
          <w:sz w:val="24"/>
          <w:szCs w:val="24"/>
          <w:lang w:eastAsia="pl-PL"/>
        </w:rPr>
        <w:t>o </w:t>
      </w:r>
      <w:r w:rsidR="00134C95" w:rsidRPr="00833C88">
        <w:rPr>
          <w:rFonts w:eastAsia="Times New Roman" w:cs="Times New Roman"/>
          <w:sz w:val="24"/>
          <w:szCs w:val="24"/>
          <w:lang w:eastAsia="pl-PL"/>
        </w:rPr>
        <w:t>niekaralności.</w:t>
      </w:r>
    </w:p>
    <w:p w14:paraId="6AA71BD6" w14:textId="632B9DDD" w:rsidR="00F10996" w:rsidRPr="00833C88" w:rsidRDefault="00AA26B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Koszt uzyskania zaświadczenia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Krajowego Rejestru Karnego wynosi </w:t>
      </w:r>
      <w:r w:rsidR="00FD79C8" w:rsidRPr="00833C88">
        <w:rPr>
          <w:rFonts w:eastAsia="Times New Roman" w:cs="Times New Roman"/>
          <w:sz w:val="24"/>
          <w:szCs w:val="24"/>
          <w:lang w:eastAsia="pl-PL"/>
        </w:rPr>
        <w:t xml:space="preserve">20 zł </w:t>
      </w:r>
      <w:r w:rsidR="00601933" w:rsidRPr="00833C88">
        <w:rPr>
          <w:rFonts w:eastAsia="Times New Roman" w:cs="Times New Roman"/>
          <w:sz w:val="24"/>
          <w:szCs w:val="24"/>
          <w:lang w:eastAsia="pl-PL"/>
        </w:rPr>
        <w:t>w </w:t>
      </w:r>
      <w:r w:rsidR="00FD79C8" w:rsidRPr="00833C88">
        <w:rPr>
          <w:rFonts w:eastAsia="Times New Roman" w:cs="Times New Roman"/>
          <w:sz w:val="24"/>
          <w:szCs w:val="24"/>
          <w:lang w:eastAsia="pl-PL"/>
        </w:rPr>
        <w:t>wersji elektronicznej</w:t>
      </w:r>
      <w:r w:rsidR="00C06C61" w:rsidRPr="00833C88">
        <w:rPr>
          <w:rFonts w:eastAsia="Times New Roman" w:cs="Times New Roman"/>
          <w:sz w:val="24"/>
          <w:szCs w:val="24"/>
          <w:lang w:eastAsia="pl-PL"/>
        </w:rPr>
        <w:t>.</w:t>
      </w:r>
    </w:p>
    <w:p w14:paraId="229AA95E" w14:textId="3BA55793" w:rsidR="00253E6D" w:rsidRPr="00833C88" w:rsidRDefault="00214D5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Wprowadzono wyjątek od obowiązku przedstawiania zaświadczenia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niekaralności – jest to</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sytuacja</w:t>
      </w:r>
      <w:r w:rsidR="00CE2068" w:rsidRPr="00833C88">
        <w:rPr>
          <w:rFonts w:eastAsia="Times New Roman" w:cs="Times New Roman"/>
          <w:sz w:val="24"/>
          <w:szCs w:val="24"/>
          <w:lang w:eastAsia="pl-PL"/>
        </w:rPr>
        <w:t>,</w:t>
      </w:r>
      <w:r w:rsidRPr="00833C88">
        <w:rPr>
          <w:rFonts w:eastAsia="Times New Roman" w:cs="Times New Roman"/>
          <w:sz w:val="24"/>
          <w:szCs w:val="24"/>
          <w:lang w:eastAsia="pl-PL"/>
        </w:rPr>
        <w:t xml:space="preserve"> gdy </w:t>
      </w:r>
      <w:r w:rsidR="00B953FA" w:rsidRPr="00833C88">
        <w:rPr>
          <w:rFonts w:eastAsia="Times New Roman" w:cs="Times New Roman"/>
          <w:sz w:val="24"/>
          <w:szCs w:val="24"/>
          <w:lang w:eastAsia="pl-PL"/>
        </w:rPr>
        <w:t xml:space="preserve">dana osoba posiada </w:t>
      </w:r>
      <w:r w:rsidR="0091040E" w:rsidRPr="00833C88">
        <w:rPr>
          <w:rFonts w:eastAsia="Times New Roman" w:cs="Times New Roman"/>
          <w:sz w:val="24"/>
          <w:szCs w:val="24"/>
          <w:lang w:eastAsia="pl-PL"/>
        </w:rPr>
        <w:t xml:space="preserve">ważne poświadczenie bezpieczeństwa upoważniające </w:t>
      </w:r>
      <w:r w:rsidR="00601933" w:rsidRPr="00833C88">
        <w:rPr>
          <w:rFonts w:eastAsia="Times New Roman" w:cs="Times New Roman"/>
          <w:sz w:val="24"/>
          <w:szCs w:val="24"/>
          <w:lang w:eastAsia="pl-PL"/>
        </w:rPr>
        <w:t>w </w:t>
      </w:r>
      <w:r w:rsidR="0091040E" w:rsidRPr="00833C88">
        <w:rPr>
          <w:rFonts w:eastAsia="Times New Roman" w:cs="Times New Roman"/>
          <w:sz w:val="24"/>
          <w:szCs w:val="24"/>
          <w:lang w:eastAsia="pl-PL"/>
        </w:rPr>
        <w:t xml:space="preserve">zakresie dostępu do informacji niejawnych </w:t>
      </w:r>
      <w:r w:rsidR="00601933" w:rsidRPr="00833C88">
        <w:rPr>
          <w:rFonts w:eastAsia="Times New Roman" w:cs="Times New Roman"/>
          <w:sz w:val="24"/>
          <w:szCs w:val="24"/>
          <w:lang w:eastAsia="pl-PL"/>
        </w:rPr>
        <w:t>o </w:t>
      </w:r>
      <w:r w:rsidR="0091040E" w:rsidRPr="00833C88">
        <w:rPr>
          <w:rFonts w:eastAsia="Times New Roman" w:cs="Times New Roman"/>
          <w:sz w:val="24"/>
          <w:szCs w:val="24"/>
          <w:lang w:eastAsia="pl-PL"/>
        </w:rPr>
        <w:t xml:space="preserve">klauzuli „poufne” lub wyższej. Taka osoba została zweryfikowana </w:t>
      </w:r>
      <w:r w:rsidR="00601933" w:rsidRPr="00833C88">
        <w:rPr>
          <w:rFonts w:eastAsia="Times New Roman" w:cs="Times New Roman"/>
          <w:sz w:val="24"/>
          <w:szCs w:val="24"/>
          <w:lang w:eastAsia="pl-PL"/>
        </w:rPr>
        <w:t>w </w:t>
      </w:r>
      <w:r w:rsidR="0091040E" w:rsidRPr="00833C88">
        <w:rPr>
          <w:rFonts w:eastAsia="Times New Roman" w:cs="Times New Roman"/>
          <w:sz w:val="24"/>
          <w:szCs w:val="24"/>
          <w:lang w:eastAsia="pl-PL"/>
        </w:rPr>
        <w:t>postępowaniu sprawdzającym, dlatego nie ma potrzeby dodatkowej weryfikacji jej niekaralności.</w:t>
      </w:r>
    </w:p>
    <w:p w14:paraId="140B5F0C" w14:textId="39C1E390" w:rsidR="00EB63A3" w:rsidRPr="00833C88" w:rsidRDefault="00CE2068" w:rsidP="00BC7BDE">
      <w:pPr>
        <w:pStyle w:val="Nagwek3"/>
        <w:spacing w:before="0" w:after="120" w:line="360" w:lineRule="auto"/>
        <w:jc w:val="both"/>
        <w:rPr>
          <w:rFonts w:cs="Times New Roman"/>
          <w:lang w:eastAsia="pl-PL"/>
        </w:rPr>
      </w:pPr>
      <w:r w:rsidRPr="00833C88">
        <w:rPr>
          <w:rFonts w:cs="Times New Roman"/>
          <w:b/>
          <w:bCs/>
          <w:u w:val="none"/>
          <w:lang w:eastAsia="pl-PL"/>
        </w:rPr>
        <w:lastRenderedPageBreak/>
        <w:t xml:space="preserve">Obowiązki informacyjne dostawców usług zarządzanych </w:t>
      </w:r>
      <w:r w:rsidR="00601933" w:rsidRPr="00833C88">
        <w:rPr>
          <w:rFonts w:cs="Times New Roman"/>
          <w:b/>
          <w:bCs/>
          <w:u w:val="none"/>
          <w:lang w:eastAsia="pl-PL"/>
        </w:rPr>
        <w:t>z </w:t>
      </w:r>
      <w:r w:rsidRPr="00833C88">
        <w:rPr>
          <w:rFonts w:cs="Times New Roman"/>
          <w:b/>
          <w:bCs/>
          <w:u w:val="none"/>
          <w:lang w:eastAsia="pl-PL"/>
        </w:rPr>
        <w:t>zakresu cyberbezpieczeństwa</w:t>
      </w:r>
    </w:p>
    <w:p w14:paraId="4F5AE336" w14:textId="528C6F48" w:rsidR="00524D1F" w:rsidRPr="00833C88" w:rsidRDefault="00CE3666" w:rsidP="00533D2A">
      <w:pPr>
        <w:pStyle w:val="NIEARTTEKSTtekstnieartykuowanynppodstprawnarozplubpreambua"/>
        <w:spacing w:before="0" w:after="120"/>
        <w:ind w:firstLine="0"/>
        <w:rPr>
          <w:rFonts w:ascii="Times New Roman" w:hAnsi="Times New Roman" w:cs="Times New Roman"/>
        </w:rPr>
      </w:pPr>
      <w:r w:rsidRPr="00833C88">
        <w:rPr>
          <w:rFonts w:ascii="Times New Roman" w:hAnsi="Times New Roman" w:cs="Times New Roman"/>
        </w:rPr>
        <w:t>Nawiązując do powszechnej międzynarodowej praktyki (publikowanie informacji na</w:t>
      </w:r>
      <w:r w:rsidR="009B4C26" w:rsidRPr="00833C88">
        <w:rPr>
          <w:rFonts w:ascii="Times New Roman" w:hAnsi="Times New Roman" w:cs="Times New Roman"/>
        </w:rPr>
        <w:t> </w:t>
      </w:r>
      <w:r w:rsidRPr="00833C88">
        <w:rPr>
          <w:rFonts w:ascii="Times New Roman" w:hAnsi="Times New Roman" w:cs="Times New Roman"/>
        </w:rPr>
        <w:t>podstawie wzoru zawartego w pkt. 3.3 dokumentu RFC 2350</w:t>
      </w:r>
      <w:r w:rsidRPr="00833C88">
        <w:rPr>
          <w:rStyle w:val="Odwoanieprzypisudolnego"/>
          <w:rFonts w:ascii="Times New Roman" w:hAnsi="Times New Roman" w:cs="Times New Roman"/>
        </w:rPr>
        <w:footnoteReference w:id="39"/>
      </w:r>
      <w:r w:rsidRPr="00833C88">
        <w:rPr>
          <w:rFonts w:ascii="Times New Roman" w:hAnsi="Times New Roman" w:cs="Times New Roman"/>
          <w:vertAlign w:val="superscript"/>
        </w:rPr>
        <w:t>)</w:t>
      </w:r>
      <w:r w:rsidRPr="00833C88">
        <w:rPr>
          <w:rFonts w:ascii="Times New Roman" w:hAnsi="Times New Roman" w:cs="Times New Roman"/>
        </w:rPr>
        <w:t>)</w:t>
      </w:r>
      <w:r w:rsidR="00321056" w:rsidRPr="00833C88">
        <w:rPr>
          <w:rFonts w:ascii="Times New Roman" w:hAnsi="Times New Roman" w:cs="Times New Roman"/>
        </w:rPr>
        <w:t>,</w:t>
      </w:r>
      <w:r w:rsidRPr="00833C88">
        <w:rPr>
          <w:rFonts w:ascii="Times New Roman" w:hAnsi="Times New Roman" w:cs="Times New Roman"/>
        </w:rPr>
        <w:t xml:space="preserve"> </w:t>
      </w:r>
      <w:r w:rsidR="00EB63A3" w:rsidRPr="00833C88">
        <w:rPr>
          <w:rFonts w:ascii="Times New Roman" w:hAnsi="Times New Roman" w:cs="Times New Roman"/>
        </w:rPr>
        <w:t>nakłada</w:t>
      </w:r>
      <w:r w:rsidRPr="00833C88">
        <w:rPr>
          <w:rFonts w:ascii="Times New Roman" w:hAnsi="Times New Roman" w:cs="Times New Roman"/>
        </w:rPr>
        <w:t xml:space="preserve"> się </w:t>
      </w:r>
      <w:r w:rsidR="00C06C61" w:rsidRPr="00833C88">
        <w:rPr>
          <w:rFonts w:ascii="Times New Roman" w:hAnsi="Times New Roman" w:cs="Times New Roman"/>
        </w:rPr>
        <w:t>na</w:t>
      </w:r>
      <w:r w:rsidR="00321056" w:rsidRPr="00833C88">
        <w:rPr>
          <w:rFonts w:ascii="Times New Roman" w:hAnsi="Times New Roman" w:cs="Times New Roman"/>
        </w:rPr>
        <w:t xml:space="preserve"> </w:t>
      </w:r>
      <w:r w:rsidR="007405EE" w:rsidRPr="00833C88">
        <w:rPr>
          <w:rFonts w:ascii="Times New Roman" w:hAnsi="Times New Roman" w:cs="Times New Roman"/>
        </w:rPr>
        <w:t>dostawc</w:t>
      </w:r>
      <w:r w:rsidR="00321056" w:rsidRPr="00833C88">
        <w:rPr>
          <w:rFonts w:ascii="Times New Roman" w:hAnsi="Times New Roman" w:cs="Times New Roman"/>
        </w:rPr>
        <w:t>ów</w:t>
      </w:r>
      <w:r w:rsidR="007405EE" w:rsidRPr="00833C88">
        <w:rPr>
          <w:rFonts w:ascii="Times New Roman" w:hAnsi="Times New Roman" w:cs="Times New Roman"/>
        </w:rPr>
        <w:t xml:space="preserve"> usług zarządzanych </w:t>
      </w:r>
      <w:r w:rsidR="00601933" w:rsidRPr="00833C88">
        <w:rPr>
          <w:rFonts w:ascii="Times New Roman" w:hAnsi="Times New Roman" w:cs="Times New Roman"/>
        </w:rPr>
        <w:t>z </w:t>
      </w:r>
      <w:r w:rsidR="007405EE" w:rsidRPr="00833C88">
        <w:rPr>
          <w:rFonts w:ascii="Times New Roman" w:hAnsi="Times New Roman" w:cs="Times New Roman"/>
        </w:rPr>
        <w:t xml:space="preserve">zakresu cyberbezpieczeństwa </w:t>
      </w:r>
      <w:r w:rsidRPr="00833C88">
        <w:rPr>
          <w:rFonts w:ascii="Times New Roman" w:hAnsi="Times New Roman" w:cs="Times New Roman"/>
        </w:rPr>
        <w:t>obowiąz</w:t>
      </w:r>
      <w:r w:rsidR="007405EE" w:rsidRPr="00833C88">
        <w:rPr>
          <w:rFonts w:ascii="Times New Roman" w:hAnsi="Times New Roman" w:cs="Times New Roman"/>
        </w:rPr>
        <w:t>ek</w:t>
      </w:r>
      <w:r w:rsidRPr="00833C88">
        <w:rPr>
          <w:rFonts w:ascii="Times New Roman" w:hAnsi="Times New Roman" w:cs="Times New Roman"/>
        </w:rPr>
        <w:t xml:space="preserve"> udostępnia</w:t>
      </w:r>
      <w:r w:rsidR="00321056" w:rsidRPr="00833C88">
        <w:rPr>
          <w:rFonts w:ascii="Times New Roman" w:hAnsi="Times New Roman" w:cs="Times New Roman"/>
        </w:rPr>
        <w:t>nia</w:t>
      </w:r>
      <w:r w:rsidRPr="00833C88">
        <w:rPr>
          <w:rFonts w:ascii="Times New Roman" w:hAnsi="Times New Roman" w:cs="Times New Roman"/>
        </w:rPr>
        <w:t xml:space="preserve"> na stronie internetowej podstawow</w:t>
      </w:r>
      <w:r w:rsidR="00321056" w:rsidRPr="00833C88">
        <w:rPr>
          <w:rFonts w:ascii="Times New Roman" w:hAnsi="Times New Roman" w:cs="Times New Roman"/>
        </w:rPr>
        <w:t>ych</w:t>
      </w:r>
      <w:r w:rsidRPr="00833C88">
        <w:rPr>
          <w:rFonts w:ascii="Times New Roman" w:hAnsi="Times New Roman" w:cs="Times New Roman"/>
        </w:rPr>
        <w:t xml:space="preserve"> informacj</w:t>
      </w:r>
      <w:r w:rsidR="00321056" w:rsidRPr="00833C88">
        <w:rPr>
          <w:rFonts w:ascii="Times New Roman" w:hAnsi="Times New Roman" w:cs="Times New Roman"/>
        </w:rPr>
        <w:t>i</w:t>
      </w:r>
      <w:r w:rsidRPr="00833C88">
        <w:rPr>
          <w:rFonts w:ascii="Times New Roman" w:hAnsi="Times New Roman" w:cs="Times New Roman"/>
        </w:rPr>
        <w:t xml:space="preserve"> o swojej działalności. W celu zrealizowania tego obowiązku wystarczy zamieścić krótki plik tekstowy na stronie internetowej </w:t>
      </w:r>
      <w:r w:rsidR="007405EE" w:rsidRPr="00833C88">
        <w:rPr>
          <w:rFonts w:ascii="Times New Roman" w:hAnsi="Times New Roman" w:cs="Times New Roman"/>
        </w:rPr>
        <w:t xml:space="preserve">dostawcy usług zarządzanych </w:t>
      </w:r>
      <w:r w:rsidR="00601933" w:rsidRPr="00833C88">
        <w:rPr>
          <w:rFonts w:ascii="Times New Roman" w:hAnsi="Times New Roman" w:cs="Times New Roman"/>
        </w:rPr>
        <w:t>z </w:t>
      </w:r>
      <w:r w:rsidR="007405EE" w:rsidRPr="00833C88">
        <w:rPr>
          <w:rFonts w:ascii="Times New Roman" w:hAnsi="Times New Roman" w:cs="Times New Roman"/>
        </w:rPr>
        <w:t>zakresu cyberbezpieczeństwa</w:t>
      </w:r>
      <w:r w:rsidRPr="00833C88">
        <w:rPr>
          <w:rFonts w:ascii="Times New Roman" w:hAnsi="Times New Roman" w:cs="Times New Roman"/>
        </w:rPr>
        <w:t>.</w:t>
      </w:r>
    </w:p>
    <w:p w14:paraId="00ADCC6F" w14:textId="0029F46B" w:rsidR="00EB63A3" w:rsidRPr="00833C88" w:rsidRDefault="00CE2068" w:rsidP="00BC7BDE">
      <w:pPr>
        <w:pStyle w:val="Nagwek3"/>
        <w:spacing w:before="0" w:after="120" w:line="360" w:lineRule="auto"/>
        <w:jc w:val="both"/>
        <w:rPr>
          <w:rFonts w:cs="Times New Roman"/>
          <w:lang w:eastAsia="pl-PL"/>
        </w:rPr>
      </w:pPr>
      <w:r w:rsidRPr="00833C88">
        <w:rPr>
          <w:rFonts w:cs="Times New Roman"/>
          <w:b/>
          <w:bCs/>
          <w:u w:val="none"/>
          <w:lang w:eastAsia="pl-PL"/>
        </w:rPr>
        <w:t xml:space="preserve">Dobrowolna wymiana informacji </w:t>
      </w:r>
      <w:r w:rsidR="00601933" w:rsidRPr="00833C88">
        <w:rPr>
          <w:rFonts w:cs="Times New Roman"/>
          <w:b/>
          <w:bCs/>
          <w:u w:val="none"/>
          <w:lang w:eastAsia="pl-PL"/>
        </w:rPr>
        <w:t>z </w:t>
      </w:r>
      <w:r w:rsidRPr="00833C88">
        <w:rPr>
          <w:rFonts w:cs="Times New Roman"/>
          <w:b/>
          <w:bCs/>
          <w:u w:val="none"/>
          <w:lang w:eastAsia="pl-PL"/>
        </w:rPr>
        <w:t>zakresu cyberbezpieczeństwa</w:t>
      </w:r>
    </w:p>
    <w:p w14:paraId="67CF2904" w14:textId="3C1B6337" w:rsidR="00531452" w:rsidRPr="00833C88" w:rsidRDefault="00AF07AB"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Przepisy</w:t>
      </w:r>
      <w:r w:rsidR="00D0072B" w:rsidRPr="00833C88">
        <w:rPr>
          <w:rFonts w:eastAsia="Times New Roman" w:cs="Times New Roman"/>
          <w:sz w:val="24"/>
          <w:szCs w:val="24"/>
          <w:lang w:eastAsia="pl-PL"/>
        </w:rPr>
        <w:t xml:space="preserve"> projektu ustawy</w:t>
      </w:r>
      <w:r w:rsidRPr="00833C88">
        <w:rPr>
          <w:rFonts w:eastAsia="Times New Roman" w:cs="Times New Roman"/>
          <w:sz w:val="24"/>
          <w:szCs w:val="24"/>
          <w:lang w:eastAsia="pl-PL"/>
        </w:rPr>
        <w:t xml:space="preserve"> tworzą ramy </w:t>
      </w:r>
      <w:r w:rsidR="004402AF" w:rsidRPr="00833C88">
        <w:rPr>
          <w:rFonts w:eastAsia="Times New Roman" w:cs="Times New Roman"/>
          <w:sz w:val="24"/>
          <w:szCs w:val="24"/>
          <w:lang w:eastAsia="pl-PL"/>
        </w:rPr>
        <w:t>do dobrowolnej</w:t>
      </w:r>
      <w:r w:rsidR="004E5504"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wymiany informacji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zakresu cyberbezpieczeństwa </w:t>
      </w:r>
      <w:r w:rsidR="003D5A07" w:rsidRPr="00833C88">
        <w:rPr>
          <w:rFonts w:eastAsia="Times New Roman" w:cs="Times New Roman"/>
          <w:sz w:val="24"/>
          <w:szCs w:val="24"/>
          <w:lang w:eastAsia="pl-PL"/>
        </w:rPr>
        <w:t xml:space="preserve">pomiędzy </w:t>
      </w:r>
      <w:r w:rsidR="00333E28" w:rsidRPr="00833C88">
        <w:rPr>
          <w:rFonts w:eastAsia="Times New Roman" w:cs="Times New Roman"/>
          <w:sz w:val="24"/>
          <w:szCs w:val="24"/>
          <w:lang w:eastAsia="pl-PL"/>
        </w:rPr>
        <w:t xml:space="preserve">podmiotami kluczowymi </w:t>
      </w:r>
      <w:r w:rsidR="00601933" w:rsidRPr="00833C88">
        <w:rPr>
          <w:rFonts w:eastAsia="Times New Roman" w:cs="Times New Roman"/>
          <w:sz w:val="24"/>
          <w:szCs w:val="24"/>
          <w:lang w:eastAsia="pl-PL"/>
        </w:rPr>
        <w:t>i </w:t>
      </w:r>
      <w:r w:rsidR="00D0072B" w:rsidRPr="00833C88">
        <w:rPr>
          <w:rFonts w:eastAsia="Times New Roman" w:cs="Times New Roman"/>
          <w:sz w:val="24"/>
          <w:szCs w:val="24"/>
          <w:lang w:eastAsia="pl-PL"/>
        </w:rPr>
        <w:t xml:space="preserve">podmiotami </w:t>
      </w:r>
      <w:r w:rsidR="00FD0E12" w:rsidRPr="00833C88">
        <w:rPr>
          <w:rFonts w:eastAsia="Times New Roman" w:cs="Times New Roman"/>
          <w:sz w:val="24"/>
          <w:szCs w:val="24"/>
          <w:lang w:eastAsia="pl-PL"/>
        </w:rPr>
        <w:t xml:space="preserve">ważnymi. </w:t>
      </w:r>
      <w:r w:rsidR="00494639" w:rsidRPr="00833C88">
        <w:rPr>
          <w:rFonts w:eastAsia="Times New Roman" w:cs="Times New Roman"/>
          <w:sz w:val="24"/>
          <w:szCs w:val="24"/>
          <w:lang w:eastAsia="pl-PL"/>
        </w:rPr>
        <w:t>Jest to</w:t>
      </w:r>
      <w:r w:rsidR="009B4C26" w:rsidRPr="00833C88">
        <w:rPr>
          <w:rFonts w:eastAsia="Times New Roman" w:cs="Times New Roman"/>
          <w:sz w:val="24"/>
          <w:szCs w:val="24"/>
          <w:lang w:eastAsia="pl-PL"/>
        </w:rPr>
        <w:t> </w:t>
      </w:r>
      <w:r w:rsidR="00494639" w:rsidRPr="00833C88">
        <w:rPr>
          <w:rFonts w:eastAsia="Times New Roman" w:cs="Times New Roman"/>
          <w:sz w:val="24"/>
          <w:szCs w:val="24"/>
          <w:lang w:eastAsia="pl-PL"/>
        </w:rPr>
        <w:t xml:space="preserve">niezwykle </w:t>
      </w:r>
      <w:proofErr w:type="gramStart"/>
      <w:r w:rsidR="00494639" w:rsidRPr="00833C88">
        <w:rPr>
          <w:rFonts w:eastAsia="Times New Roman" w:cs="Times New Roman"/>
          <w:sz w:val="24"/>
          <w:szCs w:val="24"/>
          <w:lang w:eastAsia="pl-PL"/>
        </w:rPr>
        <w:t>istotne</w:t>
      </w:r>
      <w:proofErr w:type="gramEnd"/>
      <w:r w:rsidR="00494639" w:rsidRPr="00833C88">
        <w:rPr>
          <w:rFonts w:eastAsia="Times New Roman" w:cs="Times New Roman"/>
          <w:sz w:val="24"/>
          <w:szCs w:val="24"/>
          <w:lang w:eastAsia="pl-PL"/>
        </w:rPr>
        <w:t xml:space="preserve"> gdyż przekazanie informacji </w:t>
      </w:r>
      <w:r w:rsidR="00601933" w:rsidRPr="00833C88">
        <w:rPr>
          <w:rFonts w:eastAsia="Times New Roman" w:cs="Times New Roman"/>
          <w:sz w:val="24"/>
          <w:szCs w:val="24"/>
          <w:lang w:eastAsia="pl-PL"/>
        </w:rPr>
        <w:t>o </w:t>
      </w:r>
      <w:r w:rsidR="00494639" w:rsidRPr="00833C88">
        <w:rPr>
          <w:rFonts w:eastAsia="Times New Roman" w:cs="Times New Roman"/>
          <w:sz w:val="24"/>
          <w:szCs w:val="24"/>
          <w:lang w:eastAsia="pl-PL"/>
        </w:rPr>
        <w:t>zagro</w:t>
      </w:r>
      <w:r w:rsidR="00F94E03" w:rsidRPr="00833C88">
        <w:rPr>
          <w:rFonts w:eastAsia="Times New Roman" w:cs="Times New Roman"/>
          <w:sz w:val="24"/>
          <w:szCs w:val="24"/>
          <w:lang w:eastAsia="pl-PL"/>
        </w:rPr>
        <w:t>żeniac</w:t>
      </w:r>
      <w:r w:rsidR="003D7DF1" w:rsidRPr="00833C88">
        <w:rPr>
          <w:rFonts w:eastAsia="Times New Roman" w:cs="Times New Roman"/>
          <w:sz w:val="24"/>
          <w:szCs w:val="24"/>
          <w:lang w:eastAsia="pl-PL"/>
        </w:rPr>
        <w:t xml:space="preserve">h </w:t>
      </w:r>
      <w:r w:rsidR="00601933" w:rsidRPr="00833C88">
        <w:rPr>
          <w:rFonts w:eastAsia="Times New Roman" w:cs="Times New Roman"/>
          <w:sz w:val="24"/>
          <w:szCs w:val="24"/>
          <w:lang w:eastAsia="pl-PL"/>
        </w:rPr>
        <w:t>i </w:t>
      </w:r>
      <w:r w:rsidR="003D7DF1" w:rsidRPr="00833C88">
        <w:rPr>
          <w:rFonts w:eastAsia="Times New Roman" w:cs="Times New Roman"/>
          <w:sz w:val="24"/>
          <w:szCs w:val="24"/>
          <w:lang w:eastAsia="pl-PL"/>
        </w:rPr>
        <w:t>atakach mo</w:t>
      </w:r>
      <w:r w:rsidR="00C75589" w:rsidRPr="00833C88">
        <w:rPr>
          <w:rFonts w:eastAsia="Times New Roman" w:cs="Times New Roman"/>
          <w:sz w:val="24"/>
          <w:szCs w:val="24"/>
          <w:lang w:eastAsia="pl-PL"/>
        </w:rPr>
        <w:t>że</w:t>
      </w:r>
      <w:r w:rsidR="003D7DF1" w:rsidRPr="00833C88">
        <w:rPr>
          <w:rFonts w:eastAsia="Times New Roman" w:cs="Times New Roman"/>
          <w:sz w:val="24"/>
          <w:szCs w:val="24"/>
          <w:lang w:eastAsia="pl-PL"/>
        </w:rPr>
        <w:t xml:space="preserve"> pozwolić </w:t>
      </w:r>
      <w:r w:rsidR="001176C5" w:rsidRPr="00833C88">
        <w:rPr>
          <w:rFonts w:eastAsia="Times New Roman" w:cs="Times New Roman"/>
          <w:sz w:val="24"/>
          <w:szCs w:val="24"/>
          <w:lang w:eastAsia="pl-PL"/>
        </w:rPr>
        <w:t xml:space="preserve">innym podmiotom </w:t>
      </w:r>
      <w:r w:rsidR="00ED4A99" w:rsidRPr="00833C88">
        <w:rPr>
          <w:rFonts w:eastAsia="Times New Roman" w:cs="Times New Roman"/>
          <w:sz w:val="24"/>
          <w:szCs w:val="24"/>
          <w:lang w:eastAsia="pl-PL"/>
        </w:rPr>
        <w:t xml:space="preserve">zabezpieczyć swoje systemy </w:t>
      </w:r>
      <w:r w:rsidR="00601933" w:rsidRPr="00833C88">
        <w:rPr>
          <w:rFonts w:eastAsia="Times New Roman" w:cs="Times New Roman"/>
          <w:sz w:val="24"/>
          <w:szCs w:val="24"/>
          <w:lang w:eastAsia="pl-PL"/>
        </w:rPr>
        <w:t>i </w:t>
      </w:r>
      <w:r w:rsidR="00ED4A99" w:rsidRPr="00833C88">
        <w:rPr>
          <w:rFonts w:eastAsia="Times New Roman" w:cs="Times New Roman"/>
          <w:sz w:val="24"/>
          <w:szCs w:val="24"/>
          <w:lang w:eastAsia="pl-PL"/>
        </w:rPr>
        <w:t xml:space="preserve">uchronić się przed zagrożeniem. </w:t>
      </w:r>
    </w:p>
    <w:p w14:paraId="5872BCF9" w14:textId="7F7360A0" w:rsidR="00531452" w:rsidRPr="00833C88" w:rsidRDefault="00531452" w:rsidP="0029004E">
      <w:pPr>
        <w:spacing w:line="360" w:lineRule="auto"/>
        <w:jc w:val="both"/>
        <w:rPr>
          <w:rFonts w:eastAsia="Times New Roman" w:cs="Times New Roman"/>
          <w:sz w:val="24"/>
          <w:szCs w:val="24"/>
          <w:lang w:eastAsia="pl-PL"/>
        </w:rPr>
      </w:pPr>
    </w:p>
    <w:tbl>
      <w:tblPr>
        <w:tblStyle w:val="Tabela-Siatka"/>
        <w:tblW w:w="0" w:type="auto"/>
        <w:tblLook w:val="04A0" w:firstRow="1" w:lastRow="0" w:firstColumn="1" w:lastColumn="0" w:noHBand="0" w:noVBand="1"/>
      </w:tblPr>
      <w:tblGrid>
        <w:gridCol w:w="4508"/>
        <w:gridCol w:w="4508"/>
      </w:tblGrid>
      <w:tr w:rsidR="00DF1377" w:rsidRPr="00833C88" w14:paraId="147C0055" w14:textId="77777777">
        <w:tc>
          <w:tcPr>
            <w:tcW w:w="9016" w:type="dxa"/>
            <w:gridSpan w:val="2"/>
          </w:tcPr>
          <w:p w14:paraId="62D80671" w14:textId="39AED165" w:rsidR="00DF1377" w:rsidRPr="00833C88" w:rsidRDefault="00DF137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Dopuszczalna wymiana informacji </w:t>
            </w:r>
            <w:r w:rsidR="00FE24FE" w:rsidRPr="00833C88">
              <w:rPr>
                <w:rFonts w:eastAsia="Times New Roman" w:cs="Times New Roman"/>
                <w:sz w:val="24"/>
                <w:szCs w:val="24"/>
                <w:lang w:eastAsia="pl-PL"/>
              </w:rPr>
              <w:t>w zakresie cyberbezpieczeństwa</w:t>
            </w:r>
          </w:p>
        </w:tc>
      </w:tr>
      <w:tr w:rsidR="00DF1377" w:rsidRPr="00833C88" w14:paraId="7F6CE871" w14:textId="77777777">
        <w:tc>
          <w:tcPr>
            <w:tcW w:w="4508" w:type="dxa"/>
          </w:tcPr>
          <w:p w14:paraId="3FDD7790" w14:textId="2EA46926" w:rsidR="00DF1377" w:rsidRPr="00833C88" w:rsidRDefault="00DF137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Rodzaj informacji</w:t>
            </w:r>
          </w:p>
        </w:tc>
        <w:tc>
          <w:tcPr>
            <w:tcW w:w="4508" w:type="dxa"/>
          </w:tcPr>
          <w:p w14:paraId="2E409A51" w14:textId="2659A603" w:rsidR="00DF1377" w:rsidRPr="00833C88" w:rsidRDefault="00DF137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Opis informacji</w:t>
            </w:r>
          </w:p>
        </w:tc>
      </w:tr>
      <w:tr w:rsidR="00B5203D" w:rsidRPr="00833C88" w14:paraId="01F8616A" w14:textId="77777777">
        <w:tc>
          <w:tcPr>
            <w:tcW w:w="4508" w:type="dxa"/>
          </w:tcPr>
          <w:p w14:paraId="13D55935" w14:textId="2BA65228" w:rsidR="00B5203D" w:rsidRPr="00833C88" w:rsidRDefault="004935A3" w:rsidP="0029004E">
            <w:pPr>
              <w:spacing w:line="360" w:lineRule="auto"/>
              <w:jc w:val="both"/>
              <w:rPr>
                <w:rFonts w:eastAsia="Times New Roman" w:cs="Times New Roman"/>
                <w:i/>
                <w:iCs/>
                <w:sz w:val="24"/>
                <w:szCs w:val="24"/>
                <w:lang w:eastAsia="pl-PL"/>
              </w:rPr>
            </w:pPr>
            <w:proofErr w:type="spellStart"/>
            <w:r w:rsidRPr="00833C88">
              <w:rPr>
                <w:rFonts w:eastAsia="Times New Roman" w:cs="Times New Roman"/>
                <w:i/>
                <w:iCs/>
                <w:sz w:val="24"/>
                <w:szCs w:val="24"/>
                <w:lang w:eastAsia="pl-PL"/>
              </w:rPr>
              <w:t>c</w:t>
            </w:r>
            <w:r w:rsidR="00B5203D" w:rsidRPr="00833C88">
              <w:rPr>
                <w:rFonts w:eastAsia="Times New Roman" w:cs="Times New Roman"/>
                <w:i/>
                <w:iCs/>
                <w:sz w:val="24"/>
                <w:szCs w:val="24"/>
                <w:lang w:eastAsia="pl-PL"/>
              </w:rPr>
              <w:t>yberzagrożenia</w:t>
            </w:r>
            <w:proofErr w:type="spellEnd"/>
          </w:p>
        </w:tc>
        <w:tc>
          <w:tcPr>
            <w:tcW w:w="4508" w:type="dxa"/>
          </w:tcPr>
          <w:p w14:paraId="7ACC12C1" w14:textId="111851C7" w:rsidR="00B5203D" w:rsidRPr="00833C88" w:rsidRDefault="007F781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wszelkie potencjalne okoliczności, zdarzenie lub działanie, które mogą wyrządzić szkodę, spowodować zakłócenia lub w inny sposób niekorzystnie wpłynąć w przypadku sieci i systemów informatycznych, użytkowników takich systemów oraz innych osób</w:t>
            </w:r>
          </w:p>
        </w:tc>
      </w:tr>
      <w:tr w:rsidR="00B5203D" w:rsidRPr="00833C88" w14:paraId="350E819D" w14:textId="77777777">
        <w:tc>
          <w:tcPr>
            <w:tcW w:w="4508" w:type="dxa"/>
          </w:tcPr>
          <w:p w14:paraId="30BDD72E" w14:textId="0359CB1D" w:rsidR="00B5203D" w:rsidRPr="00833C88" w:rsidRDefault="00B5203D"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potencjalnych zdarzeniach dla cyberbezpieczeństwa</w:t>
            </w:r>
          </w:p>
        </w:tc>
        <w:tc>
          <w:tcPr>
            <w:tcW w:w="4508" w:type="dxa"/>
          </w:tcPr>
          <w:p w14:paraId="7DF4D7FA" w14:textId="78A94F9E" w:rsidR="00B5203D" w:rsidRPr="00833C88" w:rsidRDefault="007F781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zdarzenie, które mogło mieć niekorzystny wpływ na bezpieczeństwo systemów informacyjnych jednak nie wystąpiło </w:t>
            </w:r>
            <w:proofErr w:type="gramStart"/>
            <w:r w:rsidRPr="00833C88">
              <w:rPr>
                <w:rFonts w:eastAsia="Times New Roman" w:cs="Times New Roman"/>
                <w:sz w:val="24"/>
                <w:szCs w:val="24"/>
                <w:lang w:eastAsia="pl-PL"/>
              </w:rPr>
              <w:t>lub,</w:t>
            </w:r>
            <w:proofErr w:type="gramEnd"/>
            <w:r w:rsidRPr="00833C88">
              <w:rPr>
                <w:rFonts w:eastAsia="Times New Roman" w:cs="Times New Roman"/>
                <w:sz w:val="24"/>
                <w:szCs w:val="24"/>
                <w:lang w:eastAsia="pl-PL"/>
              </w:rPr>
              <w:t xml:space="preserve"> któremu udało się zapobiec</w:t>
            </w:r>
          </w:p>
        </w:tc>
      </w:tr>
      <w:tr w:rsidR="00B5203D" w:rsidRPr="00833C88" w14:paraId="12342951" w14:textId="77777777">
        <w:tc>
          <w:tcPr>
            <w:tcW w:w="4508" w:type="dxa"/>
          </w:tcPr>
          <w:p w14:paraId="088F3E2D" w14:textId="7FA238F8" w:rsidR="00B5203D" w:rsidRPr="00833C88" w:rsidRDefault="00722F7C"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lastRenderedPageBreak/>
              <w:t>p</w:t>
            </w:r>
            <w:r w:rsidR="00B5203D" w:rsidRPr="00833C88">
              <w:rPr>
                <w:rFonts w:eastAsia="Times New Roman" w:cs="Times New Roman"/>
                <w:i/>
                <w:iCs/>
                <w:sz w:val="24"/>
                <w:szCs w:val="24"/>
                <w:lang w:eastAsia="pl-PL"/>
              </w:rPr>
              <w:t>odatno</w:t>
            </w:r>
            <w:r w:rsidRPr="00833C88">
              <w:rPr>
                <w:rFonts w:eastAsia="Times New Roman" w:cs="Times New Roman"/>
                <w:i/>
                <w:iCs/>
                <w:sz w:val="24"/>
                <w:szCs w:val="24"/>
                <w:lang w:eastAsia="pl-PL"/>
              </w:rPr>
              <w:t>ść</w:t>
            </w:r>
          </w:p>
        </w:tc>
        <w:tc>
          <w:tcPr>
            <w:tcW w:w="4508" w:type="dxa"/>
          </w:tcPr>
          <w:p w14:paraId="7A510B87" w14:textId="4DF1B6F6" w:rsidR="00B5203D" w:rsidRPr="00833C88" w:rsidRDefault="007F781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właściwości produktu ICT lub usługi ICT, która mogą być wykorzystane przez </w:t>
            </w:r>
            <w:proofErr w:type="spellStart"/>
            <w:r w:rsidRPr="00833C88">
              <w:rPr>
                <w:rFonts w:eastAsia="Times New Roman" w:cs="Times New Roman"/>
                <w:sz w:val="24"/>
                <w:szCs w:val="24"/>
                <w:lang w:eastAsia="pl-PL"/>
              </w:rPr>
              <w:t>cyberzagrożenie</w:t>
            </w:r>
            <w:proofErr w:type="spellEnd"/>
          </w:p>
        </w:tc>
      </w:tr>
      <w:tr w:rsidR="00B5203D" w:rsidRPr="00833C88" w14:paraId="798832E5" w14:textId="77777777">
        <w:tc>
          <w:tcPr>
            <w:tcW w:w="4508" w:type="dxa"/>
          </w:tcPr>
          <w:p w14:paraId="7621B1DC" w14:textId="23F012FD" w:rsidR="00B5203D" w:rsidRPr="00833C88" w:rsidRDefault="00B5203D"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technik</w:t>
            </w:r>
            <w:r w:rsidR="00722F7C" w:rsidRPr="00833C88">
              <w:rPr>
                <w:rFonts w:eastAsia="Times New Roman" w:cs="Times New Roman"/>
                <w:i/>
                <w:iCs/>
                <w:sz w:val="24"/>
                <w:szCs w:val="24"/>
                <w:lang w:eastAsia="pl-PL"/>
              </w:rPr>
              <w:t>i</w:t>
            </w:r>
          </w:p>
        </w:tc>
        <w:tc>
          <w:tcPr>
            <w:tcW w:w="4508" w:type="dxa"/>
          </w:tcPr>
          <w:p w14:paraId="05B12FEC" w14:textId="648E186F" w:rsidR="00B5203D" w:rsidRPr="00833C88" w:rsidRDefault="007F7810" w:rsidP="0029004E">
            <w:pPr>
              <w:spacing w:line="360" w:lineRule="auto"/>
              <w:jc w:val="both"/>
              <w:rPr>
                <w:rFonts w:eastAsia="Times New Roman" w:cs="Times New Roman"/>
                <w:sz w:val="24"/>
                <w:szCs w:val="24"/>
                <w:vertAlign w:val="superscript"/>
                <w:lang w:eastAsia="pl-PL"/>
              </w:rPr>
            </w:pPr>
            <w:r w:rsidRPr="00833C88">
              <w:rPr>
                <w:rFonts w:eastAsia="Times New Roman" w:cs="Times New Roman"/>
                <w:sz w:val="24"/>
                <w:szCs w:val="24"/>
                <w:lang w:eastAsia="pl-PL"/>
              </w:rPr>
              <w:t xml:space="preserve">w tym kontekście - szczegółowy opis zachowania </w:t>
            </w:r>
            <w:r w:rsidR="00CB3DDF" w:rsidRPr="00833C88">
              <w:rPr>
                <w:rFonts w:eastAsia="Times New Roman" w:cs="Times New Roman"/>
                <w:sz w:val="24"/>
                <w:szCs w:val="24"/>
                <w:lang w:eastAsia="pl-PL"/>
              </w:rPr>
              <w:t>„</w:t>
            </w:r>
            <w:proofErr w:type="spellStart"/>
            <w:r w:rsidRPr="00833C88">
              <w:rPr>
                <w:rFonts w:eastAsia="Times New Roman" w:cs="Times New Roman"/>
                <w:sz w:val="24"/>
                <w:szCs w:val="24"/>
                <w:lang w:eastAsia="pl-PL"/>
              </w:rPr>
              <w:t>actor</w:t>
            </w:r>
            <w:proofErr w:type="spellEnd"/>
            <w:r w:rsidR="00CB3DDF" w:rsidRPr="00833C88">
              <w:rPr>
                <w:rFonts w:eastAsia="Times New Roman" w:cs="Times New Roman"/>
                <w:sz w:val="24"/>
                <w:szCs w:val="24"/>
                <w:lang w:eastAsia="pl-PL"/>
              </w:rPr>
              <w:t>”</w:t>
            </w:r>
            <w:r w:rsidRPr="00833C88">
              <w:rPr>
                <w:rFonts w:eastAsia="Times New Roman" w:cs="Times New Roman"/>
                <w:sz w:val="24"/>
                <w:szCs w:val="24"/>
                <w:lang w:eastAsia="pl-PL"/>
              </w:rPr>
              <w:t xml:space="preserve"> w kontekście jego taktyki </w:t>
            </w:r>
            <w:r w:rsidR="00CB3DDF" w:rsidRPr="00833C88">
              <w:rPr>
                <w:rFonts w:eastAsia="Times New Roman" w:cs="Times New Roman"/>
                <w:sz w:val="24"/>
                <w:szCs w:val="24"/>
                <w:lang w:eastAsia="pl-PL"/>
              </w:rPr>
              <w:t>–</w:t>
            </w:r>
            <w:r w:rsidRPr="00833C88">
              <w:rPr>
                <w:rFonts w:eastAsia="Times New Roman" w:cs="Times New Roman"/>
                <w:sz w:val="24"/>
                <w:szCs w:val="24"/>
                <w:lang w:eastAsia="pl-PL"/>
              </w:rPr>
              <w:t xml:space="preserve"> por. NIST-SP-800-150</w:t>
            </w:r>
            <w:r w:rsidR="006370B4" w:rsidRPr="00833C88">
              <w:rPr>
                <w:rStyle w:val="Odwoanieprzypisudolnego"/>
                <w:rFonts w:eastAsia="Times New Roman" w:cs="Times New Roman"/>
                <w:sz w:val="24"/>
                <w:szCs w:val="24"/>
                <w:lang w:eastAsia="pl-PL"/>
              </w:rPr>
              <w:footnoteReference w:id="40"/>
            </w:r>
            <w:r w:rsidR="00CB3DDF" w:rsidRPr="00833C88">
              <w:rPr>
                <w:rFonts w:eastAsia="Times New Roman" w:cs="Times New Roman"/>
                <w:sz w:val="24"/>
                <w:szCs w:val="24"/>
                <w:vertAlign w:val="superscript"/>
                <w:lang w:eastAsia="pl-PL"/>
              </w:rPr>
              <w:t>)</w:t>
            </w:r>
          </w:p>
        </w:tc>
      </w:tr>
      <w:tr w:rsidR="00B5203D" w:rsidRPr="00833C88" w14:paraId="79154836" w14:textId="77777777">
        <w:tc>
          <w:tcPr>
            <w:tcW w:w="4508" w:type="dxa"/>
          </w:tcPr>
          <w:p w14:paraId="791563F0" w14:textId="138692EE" w:rsidR="00B5203D" w:rsidRPr="00833C88" w:rsidRDefault="00B5203D" w:rsidP="00B5203D">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procedur</w:t>
            </w:r>
            <w:r w:rsidR="00722F7C" w:rsidRPr="00833C88">
              <w:rPr>
                <w:rFonts w:eastAsia="Times New Roman" w:cs="Times New Roman"/>
                <w:i/>
                <w:iCs/>
                <w:sz w:val="24"/>
                <w:szCs w:val="24"/>
                <w:lang w:eastAsia="pl-PL"/>
              </w:rPr>
              <w:t>y</w:t>
            </w:r>
          </w:p>
        </w:tc>
        <w:tc>
          <w:tcPr>
            <w:tcW w:w="4508" w:type="dxa"/>
          </w:tcPr>
          <w:p w14:paraId="44A7EBFE" w14:textId="208B172E" w:rsidR="00B5203D" w:rsidRPr="00833C88" w:rsidRDefault="007F781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drobiazgowy opis działania aktora w</w:t>
            </w:r>
            <w:r w:rsidR="00833C88" w:rsidRPr="00833C88">
              <w:rPr>
                <w:rFonts w:eastAsia="Times New Roman" w:cs="Times New Roman"/>
                <w:sz w:val="24"/>
                <w:szCs w:val="24"/>
                <w:lang w:eastAsia="pl-PL"/>
              </w:rPr>
              <w:t> </w:t>
            </w:r>
            <w:r w:rsidRPr="00833C88">
              <w:rPr>
                <w:rFonts w:eastAsia="Times New Roman" w:cs="Times New Roman"/>
                <w:sz w:val="24"/>
                <w:szCs w:val="24"/>
                <w:lang w:eastAsia="pl-PL"/>
              </w:rPr>
              <w:t xml:space="preserve">kontekście jego techniki </w:t>
            </w:r>
            <w:r w:rsidR="00CB3DDF" w:rsidRPr="00833C88">
              <w:rPr>
                <w:rFonts w:eastAsia="Times New Roman" w:cs="Times New Roman"/>
                <w:sz w:val="24"/>
                <w:szCs w:val="24"/>
                <w:lang w:eastAsia="pl-PL"/>
              </w:rPr>
              <w:t>–</w:t>
            </w:r>
            <w:r w:rsidRPr="00833C88">
              <w:rPr>
                <w:rFonts w:eastAsia="Times New Roman" w:cs="Times New Roman"/>
                <w:sz w:val="24"/>
                <w:szCs w:val="24"/>
                <w:lang w:eastAsia="pl-PL"/>
              </w:rPr>
              <w:t xml:space="preserve"> por. NIST-SP-800-150</w:t>
            </w:r>
          </w:p>
        </w:tc>
      </w:tr>
      <w:tr w:rsidR="00B5203D" w:rsidRPr="00833C88" w14:paraId="4C0F4E79" w14:textId="77777777">
        <w:tc>
          <w:tcPr>
            <w:tcW w:w="4508" w:type="dxa"/>
          </w:tcPr>
          <w:p w14:paraId="408030C2" w14:textId="0F251BDF" w:rsidR="00B5203D" w:rsidRPr="00833C88" w:rsidRDefault="00B5203D"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oznak</w:t>
            </w:r>
            <w:r w:rsidR="00722F7C" w:rsidRPr="00833C88">
              <w:rPr>
                <w:rFonts w:eastAsia="Times New Roman" w:cs="Times New Roman"/>
                <w:i/>
                <w:iCs/>
                <w:sz w:val="24"/>
                <w:szCs w:val="24"/>
                <w:lang w:eastAsia="pl-PL"/>
              </w:rPr>
              <w:t>i</w:t>
            </w:r>
            <w:r w:rsidRPr="00833C88">
              <w:rPr>
                <w:rFonts w:eastAsia="Times New Roman" w:cs="Times New Roman"/>
                <w:i/>
                <w:iCs/>
                <w:sz w:val="24"/>
                <w:szCs w:val="24"/>
                <w:lang w:eastAsia="pl-PL"/>
              </w:rPr>
              <w:t xml:space="preserve"> naruszenia integralności systemu informacyjnego</w:t>
            </w:r>
          </w:p>
        </w:tc>
        <w:tc>
          <w:tcPr>
            <w:tcW w:w="4508" w:type="dxa"/>
          </w:tcPr>
          <w:p w14:paraId="10DB671C" w14:textId="1954771B" w:rsidR="00B5203D" w:rsidRPr="00833C88" w:rsidRDefault="007F781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ang. </w:t>
            </w:r>
            <w:proofErr w:type="spellStart"/>
            <w:r w:rsidRPr="00833C88">
              <w:rPr>
                <w:rFonts w:eastAsia="Times New Roman" w:cs="Times New Roman"/>
                <w:sz w:val="24"/>
                <w:szCs w:val="24"/>
                <w:lang w:eastAsia="pl-PL"/>
              </w:rPr>
              <w:t>indicators</w:t>
            </w:r>
            <w:proofErr w:type="spellEnd"/>
            <w:r w:rsidRPr="00833C88">
              <w:rPr>
                <w:rFonts w:eastAsia="Times New Roman" w:cs="Times New Roman"/>
                <w:sz w:val="24"/>
                <w:szCs w:val="24"/>
                <w:lang w:eastAsia="pl-PL"/>
              </w:rPr>
              <w:t xml:space="preserve"> of </w:t>
            </w:r>
            <w:proofErr w:type="spellStart"/>
            <w:r w:rsidRPr="00833C88">
              <w:rPr>
                <w:rFonts w:eastAsia="Times New Roman" w:cs="Times New Roman"/>
                <w:sz w:val="24"/>
                <w:szCs w:val="24"/>
                <w:lang w:eastAsia="pl-PL"/>
              </w:rPr>
              <w:t>compromise</w:t>
            </w:r>
            <w:proofErr w:type="spellEnd"/>
            <w:r w:rsidRPr="00833C88">
              <w:rPr>
                <w:rFonts w:eastAsia="Times New Roman" w:cs="Times New Roman"/>
                <w:sz w:val="24"/>
                <w:szCs w:val="24"/>
                <w:lang w:eastAsia="pl-PL"/>
              </w:rPr>
              <w:t xml:space="preserve"> - mogą to być artefakty lub zdarzenia wskazujące na naruszenie integralności systemu </w:t>
            </w:r>
            <w:r w:rsidR="00CB3DDF" w:rsidRPr="00833C88">
              <w:rPr>
                <w:rFonts w:eastAsia="Times New Roman" w:cs="Times New Roman"/>
                <w:sz w:val="24"/>
                <w:szCs w:val="24"/>
                <w:lang w:eastAsia="pl-PL"/>
              </w:rPr>
              <w:t>–</w:t>
            </w:r>
            <w:r w:rsidRPr="00833C88">
              <w:rPr>
                <w:rFonts w:eastAsia="Times New Roman" w:cs="Times New Roman"/>
                <w:sz w:val="24"/>
                <w:szCs w:val="24"/>
                <w:lang w:eastAsia="pl-PL"/>
              </w:rPr>
              <w:t xml:space="preserve"> por. NIST-SP-800-150</w:t>
            </w:r>
          </w:p>
        </w:tc>
      </w:tr>
      <w:tr w:rsidR="007F7810" w:rsidRPr="00833C88" w14:paraId="3AB87588" w14:textId="77777777">
        <w:tc>
          <w:tcPr>
            <w:tcW w:w="4508" w:type="dxa"/>
          </w:tcPr>
          <w:p w14:paraId="3A6E646B" w14:textId="158E5DB3" w:rsidR="007F7810" w:rsidRPr="00833C88" w:rsidRDefault="007F7810"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wrogi</w:t>
            </w:r>
            <w:r w:rsidR="00406EA1" w:rsidRPr="00833C88">
              <w:rPr>
                <w:rFonts w:eastAsia="Times New Roman" w:cs="Times New Roman"/>
                <w:i/>
                <w:iCs/>
                <w:sz w:val="24"/>
                <w:szCs w:val="24"/>
                <w:lang w:eastAsia="pl-PL"/>
              </w:rPr>
              <w:t>e</w:t>
            </w:r>
            <w:r w:rsidRPr="00833C88">
              <w:rPr>
                <w:rFonts w:eastAsia="Times New Roman" w:cs="Times New Roman"/>
                <w:i/>
                <w:iCs/>
                <w:sz w:val="24"/>
                <w:szCs w:val="24"/>
                <w:lang w:eastAsia="pl-PL"/>
              </w:rPr>
              <w:t xml:space="preserve"> taktyk</w:t>
            </w:r>
            <w:r w:rsidR="00406EA1" w:rsidRPr="00833C88">
              <w:rPr>
                <w:rFonts w:eastAsia="Times New Roman" w:cs="Times New Roman"/>
                <w:i/>
                <w:iCs/>
                <w:sz w:val="24"/>
                <w:szCs w:val="24"/>
                <w:lang w:eastAsia="pl-PL"/>
              </w:rPr>
              <w:t>i</w:t>
            </w:r>
          </w:p>
        </w:tc>
        <w:tc>
          <w:tcPr>
            <w:tcW w:w="4508" w:type="dxa"/>
          </w:tcPr>
          <w:p w14:paraId="380F36DC" w14:textId="5869F38A" w:rsidR="007F7810" w:rsidRPr="00833C88" w:rsidRDefault="007F781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generalny opis działania </w:t>
            </w:r>
            <w:proofErr w:type="spellStart"/>
            <w:r w:rsidRPr="00833C88">
              <w:rPr>
                <w:rFonts w:eastAsia="Times New Roman" w:cs="Times New Roman"/>
                <w:i/>
                <w:iCs/>
                <w:sz w:val="24"/>
                <w:szCs w:val="24"/>
                <w:lang w:eastAsia="pl-PL"/>
              </w:rPr>
              <w:t>actora</w:t>
            </w:r>
            <w:proofErr w:type="spellEnd"/>
            <w:r w:rsidRPr="00833C88">
              <w:rPr>
                <w:rFonts w:eastAsia="Times New Roman" w:cs="Times New Roman"/>
                <w:sz w:val="24"/>
                <w:szCs w:val="24"/>
                <w:lang w:eastAsia="pl-PL"/>
              </w:rPr>
              <w:t xml:space="preserve"> </w:t>
            </w:r>
            <w:r w:rsidR="00CB3DDF" w:rsidRPr="00833C88">
              <w:rPr>
                <w:rFonts w:eastAsia="Times New Roman" w:cs="Times New Roman"/>
                <w:sz w:val="24"/>
                <w:szCs w:val="24"/>
                <w:lang w:eastAsia="pl-PL"/>
              </w:rPr>
              <w:t>–</w:t>
            </w:r>
            <w:r w:rsidRPr="00833C88">
              <w:rPr>
                <w:rFonts w:eastAsia="Times New Roman" w:cs="Times New Roman"/>
                <w:sz w:val="24"/>
                <w:szCs w:val="24"/>
                <w:lang w:eastAsia="pl-PL"/>
              </w:rPr>
              <w:t xml:space="preserve"> por. NIST-SP-800-150</w:t>
            </w:r>
          </w:p>
        </w:tc>
      </w:tr>
      <w:tr w:rsidR="007F7810" w:rsidRPr="00833C88" w14:paraId="3AB3792D" w14:textId="77777777">
        <w:tc>
          <w:tcPr>
            <w:tcW w:w="4508" w:type="dxa"/>
          </w:tcPr>
          <w:p w14:paraId="7EC078D2" w14:textId="1CDF7ED8" w:rsidR="007F7810" w:rsidRPr="00833C88" w:rsidRDefault="007F7810"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grup</w:t>
            </w:r>
            <w:r w:rsidR="00406EA1" w:rsidRPr="00833C88">
              <w:rPr>
                <w:rFonts w:eastAsia="Times New Roman" w:cs="Times New Roman"/>
                <w:i/>
                <w:iCs/>
                <w:sz w:val="24"/>
                <w:szCs w:val="24"/>
                <w:lang w:eastAsia="pl-PL"/>
              </w:rPr>
              <w:t>y</w:t>
            </w:r>
            <w:r w:rsidRPr="00833C88">
              <w:rPr>
                <w:rFonts w:eastAsia="Times New Roman" w:cs="Times New Roman"/>
                <w:i/>
                <w:iCs/>
                <w:sz w:val="24"/>
                <w:szCs w:val="24"/>
                <w:lang w:eastAsia="pl-PL"/>
              </w:rPr>
              <w:t xml:space="preserve"> przestępcz</w:t>
            </w:r>
            <w:r w:rsidR="00406EA1" w:rsidRPr="00833C88">
              <w:rPr>
                <w:rFonts w:eastAsia="Times New Roman" w:cs="Times New Roman"/>
                <w:i/>
                <w:iCs/>
                <w:sz w:val="24"/>
                <w:szCs w:val="24"/>
                <w:lang w:eastAsia="pl-PL"/>
              </w:rPr>
              <w:t>e</w:t>
            </w:r>
          </w:p>
        </w:tc>
        <w:tc>
          <w:tcPr>
            <w:tcW w:w="4508" w:type="dxa"/>
          </w:tcPr>
          <w:p w14:paraId="7A8698BA" w14:textId="77777777" w:rsidR="00197373" w:rsidRPr="00833C88" w:rsidRDefault="00197373" w:rsidP="00197373">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grupy sponsorowane przez obce państwa działające agresywnie w cyberprzestrzeni</w:t>
            </w:r>
          </w:p>
          <w:p w14:paraId="189E2350" w14:textId="77777777" w:rsidR="00197373" w:rsidRPr="00833C88" w:rsidRDefault="00197373" w:rsidP="00197373">
            <w:pPr>
              <w:spacing w:line="360" w:lineRule="auto"/>
              <w:jc w:val="both"/>
              <w:rPr>
                <w:rFonts w:eastAsia="Times New Roman" w:cs="Times New Roman"/>
                <w:sz w:val="24"/>
                <w:szCs w:val="24"/>
                <w:lang w:val="en-GB" w:eastAsia="pl-PL"/>
              </w:rPr>
            </w:pPr>
            <w:proofErr w:type="spellStart"/>
            <w:r w:rsidRPr="00833C88">
              <w:rPr>
                <w:rFonts w:eastAsia="Times New Roman" w:cs="Times New Roman"/>
                <w:sz w:val="24"/>
                <w:szCs w:val="24"/>
                <w:lang w:val="en-GB" w:eastAsia="pl-PL"/>
              </w:rPr>
              <w:t>grupy</w:t>
            </w:r>
            <w:proofErr w:type="spellEnd"/>
            <w:r w:rsidRPr="00833C88">
              <w:rPr>
                <w:rFonts w:eastAsia="Times New Roman" w:cs="Times New Roman"/>
                <w:sz w:val="24"/>
                <w:szCs w:val="24"/>
                <w:lang w:val="en-GB" w:eastAsia="pl-PL"/>
              </w:rPr>
              <w:t xml:space="preserve"> </w:t>
            </w:r>
            <w:proofErr w:type="spellStart"/>
            <w:r w:rsidRPr="00833C88">
              <w:rPr>
                <w:rFonts w:eastAsia="Times New Roman" w:cs="Times New Roman"/>
                <w:sz w:val="24"/>
                <w:szCs w:val="24"/>
                <w:lang w:val="en-GB" w:eastAsia="pl-PL"/>
              </w:rPr>
              <w:t>typu</w:t>
            </w:r>
            <w:proofErr w:type="spellEnd"/>
            <w:r w:rsidRPr="00833C88">
              <w:rPr>
                <w:rFonts w:eastAsia="Times New Roman" w:cs="Times New Roman"/>
                <w:sz w:val="24"/>
                <w:szCs w:val="24"/>
                <w:lang w:val="en-GB" w:eastAsia="pl-PL"/>
              </w:rPr>
              <w:t xml:space="preserve"> Private Sector Offensive Actors</w:t>
            </w:r>
          </w:p>
          <w:p w14:paraId="05BD84C4" w14:textId="77777777" w:rsidR="00197373" w:rsidRPr="00833C88" w:rsidRDefault="00197373" w:rsidP="00197373">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typowe grupy cyberprzestępców</w:t>
            </w:r>
          </w:p>
          <w:p w14:paraId="38E8167D" w14:textId="529AF85E" w:rsidR="007F7810" w:rsidRPr="00833C88" w:rsidRDefault="00197373" w:rsidP="00197373">
            <w:pPr>
              <w:spacing w:line="360" w:lineRule="auto"/>
              <w:jc w:val="both"/>
              <w:rPr>
                <w:rFonts w:eastAsia="Times New Roman" w:cs="Times New Roman"/>
                <w:sz w:val="24"/>
                <w:szCs w:val="24"/>
                <w:lang w:eastAsia="pl-PL"/>
              </w:rPr>
            </w:pPr>
            <w:proofErr w:type="spellStart"/>
            <w:r w:rsidRPr="00833C88">
              <w:rPr>
                <w:rFonts w:eastAsia="Times New Roman" w:cs="Times New Roman"/>
                <w:sz w:val="24"/>
                <w:szCs w:val="24"/>
                <w:lang w:eastAsia="pl-PL"/>
              </w:rPr>
              <w:t>hacktywiści</w:t>
            </w:r>
            <w:proofErr w:type="spellEnd"/>
          </w:p>
        </w:tc>
      </w:tr>
      <w:tr w:rsidR="007F7810" w:rsidRPr="00833C88" w14:paraId="5CE57C16" w14:textId="77777777">
        <w:tc>
          <w:tcPr>
            <w:tcW w:w="4508" w:type="dxa"/>
          </w:tcPr>
          <w:p w14:paraId="369DE736" w14:textId="13D37924" w:rsidR="007F7810" w:rsidRPr="00833C88" w:rsidRDefault="007F7810"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ostrzeżenia dotycząc</w:t>
            </w:r>
            <w:r w:rsidR="00406EA1" w:rsidRPr="00833C88">
              <w:rPr>
                <w:rFonts w:eastAsia="Times New Roman" w:cs="Times New Roman"/>
                <w:i/>
                <w:iCs/>
                <w:sz w:val="24"/>
                <w:szCs w:val="24"/>
                <w:lang w:eastAsia="pl-PL"/>
              </w:rPr>
              <w:t>e</w:t>
            </w:r>
            <w:r w:rsidRPr="00833C88">
              <w:rPr>
                <w:rFonts w:eastAsia="Times New Roman" w:cs="Times New Roman"/>
                <w:i/>
                <w:iCs/>
                <w:sz w:val="24"/>
                <w:szCs w:val="24"/>
                <w:lang w:eastAsia="pl-PL"/>
              </w:rPr>
              <w:t xml:space="preserve"> cyberbezpieczeństwa</w:t>
            </w:r>
          </w:p>
        </w:tc>
        <w:tc>
          <w:tcPr>
            <w:tcW w:w="4508" w:type="dxa"/>
          </w:tcPr>
          <w:p w14:paraId="14F5EECC" w14:textId="281D1183" w:rsidR="00197373" w:rsidRPr="00833C88" w:rsidRDefault="00197373" w:rsidP="00197373">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porady, biuletyny, informacje o</w:t>
            </w:r>
            <w:r w:rsidR="00337E43" w:rsidRPr="00833C88">
              <w:rPr>
                <w:rFonts w:eastAsia="Times New Roman" w:cs="Times New Roman"/>
                <w:sz w:val="24"/>
                <w:szCs w:val="24"/>
                <w:lang w:eastAsia="pl-PL"/>
              </w:rPr>
              <w:t> </w:t>
            </w:r>
            <w:r w:rsidRPr="00833C88">
              <w:rPr>
                <w:rFonts w:eastAsia="Times New Roman" w:cs="Times New Roman"/>
                <w:sz w:val="24"/>
                <w:szCs w:val="24"/>
                <w:lang w:eastAsia="pl-PL"/>
              </w:rPr>
              <w:t xml:space="preserve">podatnościach, </w:t>
            </w:r>
            <w:proofErr w:type="spellStart"/>
            <w:r w:rsidRPr="00833C88">
              <w:rPr>
                <w:rFonts w:eastAsia="Times New Roman" w:cs="Times New Roman"/>
                <w:sz w:val="24"/>
                <w:szCs w:val="24"/>
                <w:lang w:eastAsia="pl-PL"/>
              </w:rPr>
              <w:t>exploitach</w:t>
            </w:r>
            <w:proofErr w:type="spellEnd"/>
            <w:r w:rsidRPr="00833C88">
              <w:rPr>
                <w:rFonts w:eastAsia="Times New Roman" w:cs="Times New Roman"/>
                <w:sz w:val="24"/>
                <w:szCs w:val="24"/>
                <w:lang w:eastAsia="pl-PL"/>
              </w:rPr>
              <w:t xml:space="preserve"> itd.</w:t>
            </w:r>
          </w:p>
          <w:p w14:paraId="62BBE24C" w14:textId="39D6CD0B" w:rsidR="007F7810" w:rsidRPr="00833C88" w:rsidRDefault="00197373" w:rsidP="00197373">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przykładowo alerty amerykańskiej agencji CISA</w:t>
            </w:r>
          </w:p>
        </w:tc>
      </w:tr>
      <w:tr w:rsidR="007F7810" w:rsidRPr="00833C88" w14:paraId="43E1850D" w14:textId="77777777">
        <w:tc>
          <w:tcPr>
            <w:tcW w:w="4508" w:type="dxa"/>
          </w:tcPr>
          <w:p w14:paraId="40E056BB" w14:textId="35D670F3" w:rsidR="007F7810" w:rsidRPr="00833C88" w:rsidRDefault="007F7810" w:rsidP="0029004E">
            <w:pPr>
              <w:spacing w:line="360" w:lineRule="auto"/>
              <w:jc w:val="both"/>
              <w:rPr>
                <w:rFonts w:eastAsia="Times New Roman" w:cs="Times New Roman"/>
                <w:i/>
                <w:iCs/>
                <w:sz w:val="24"/>
                <w:szCs w:val="24"/>
                <w:lang w:eastAsia="pl-PL"/>
              </w:rPr>
            </w:pPr>
            <w:r w:rsidRPr="00833C88">
              <w:rPr>
                <w:rFonts w:eastAsia="Times New Roman" w:cs="Times New Roman"/>
                <w:i/>
                <w:iCs/>
                <w:sz w:val="24"/>
                <w:szCs w:val="24"/>
                <w:lang w:eastAsia="pl-PL"/>
              </w:rPr>
              <w:t>zalecenia dotyczące konfiguracji narzędzi bezpieczeństwa</w:t>
            </w:r>
          </w:p>
        </w:tc>
        <w:tc>
          <w:tcPr>
            <w:tcW w:w="4508" w:type="dxa"/>
          </w:tcPr>
          <w:p w14:paraId="796C1EAB" w14:textId="5E1F83B0" w:rsidR="007F7810" w:rsidRPr="00833C88" w:rsidRDefault="0019737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informacje o ustawieniu i skonfigurowaniu narzędzi służących automatycznemu zbieraniu, wymianie analizie </w:t>
            </w:r>
            <w:r w:rsidRPr="00833C88">
              <w:rPr>
                <w:rFonts w:eastAsia="Times New Roman" w:cs="Times New Roman"/>
                <w:sz w:val="24"/>
                <w:szCs w:val="24"/>
                <w:lang w:eastAsia="pl-PL"/>
              </w:rPr>
              <w:lastRenderedPageBreak/>
              <w:t>i</w:t>
            </w:r>
            <w:r w:rsidR="00337E43" w:rsidRPr="00833C88">
              <w:rPr>
                <w:rFonts w:eastAsia="Times New Roman" w:cs="Times New Roman"/>
                <w:sz w:val="24"/>
                <w:szCs w:val="24"/>
                <w:lang w:eastAsia="pl-PL"/>
              </w:rPr>
              <w:t> </w:t>
            </w:r>
            <w:r w:rsidRPr="00833C88">
              <w:rPr>
                <w:rFonts w:eastAsia="Times New Roman" w:cs="Times New Roman"/>
                <w:sz w:val="24"/>
                <w:szCs w:val="24"/>
                <w:lang w:eastAsia="pl-PL"/>
              </w:rPr>
              <w:t>wykorzystaniu informacji o</w:t>
            </w:r>
            <w:r w:rsidR="00337E43" w:rsidRPr="00833C88">
              <w:rPr>
                <w:rFonts w:eastAsia="Times New Roman" w:cs="Times New Roman"/>
                <w:sz w:val="24"/>
                <w:szCs w:val="24"/>
                <w:lang w:eastAsia="pl-PL"/>
              </w:rPr>
              <w:t> </w:t>
            </w:r>
            <w:proofErr w:type="spellStart"/>
            <w:r w:rsidRPr="00833C88">
              <w:rPr>
                <w:rFonts w:eastAsia="Times New Roman" w:cs="Times New Roman"/>
                <w:sz w:val="24"/>
                <w:szCs w:val="24"/>
                <w:lang w:eastAsia="pl-PL"/>
              </w:rPr>
              <w:t>cyberzagrożeniach</w:t>
            </w:r>
            <w:proofErr w:type="spellEnd"/>
          </w:p>
        </w:tc>
      </w:tr>
    </w:tbl>
    <w:p w14:paraId="1B697B6C" w14:textId="31F42704" w:rsidR="00266185" w:rsidRPr="00833C88" w:rsidRDefault="00266185" w:rsidP="0029004E">
      <w:pPr>
        <w:spacing w:line="360" w:lineRule="auto"/>
        <w:jc w:val="both"/>
        <w:rPr>
          <w:rFonts w:eastAsia="Times New Roman" w:cs="Times New Roman"/>
          <w:sz w:val="24"/>
          <w:szCs w:val="24"/>
          <w:lang w:eastAsia="pl-PL"/>
        </w:rPr>
      </w:pPr>
    </w:p>
    <w:p w14:paraId="32651483" w14:textId="69FCDF84" w:rsidR="00F06C97" w:rsidRPr="00833C88" w:rsidRDefault="001E7B78" w:rsidP="0029004E">
      <w:pPr>
        <w:spacing w:line="360" w:lineRule="auto"/>
        <w:jc w:val="both"/>
        <w:rPr>
          <w:rFonts w:eastAsia="Times New Roman" w:cs="Times New Roman"/>
          <w:sz w:val="24"/>
          <w:szCs w:val="24"/>
          <w:lang w:eastAsia="pl-PL"/>
        </w:rPr>
      </w:pPr>
      <w:r w:rsidRPr="00833C88">
        <w:rPr>
          <w:rFonts w:eastAsia="Times New Roman" w:cs="Times New Roman"/>
          <w:noProof/>
          <w:sz w:val="24"/>
          <w:szCs w:val="24"/>
          <w:lang w:eastAsia="pl-PL"/>
        </w:rPr>
        <w:drawing>
          <wp:inline distT="0" distB="0" distL="0" distR="0" wp14:anchorId="486BAE74" wp14:editId="3F3F67B3">
            <wp:extent cx="5486400" cy="3200400"/>
            <wp:effectExtent l="38100" t="0" r="19050" b="0"/>
            <wp:docPr id="896573480"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75128FD" w14:textId="4A92BF18" w:rsidR="00EB63A3" w:rsidRPr="00833C88" w:rsidRDefault="00B32CD8"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Komunikacja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tych sprawach ma odbywać się </w:t>
      </w:r>
      <w:r w:rsidR="009D435E" w:rsidRPr="00833C88">
        <w:rPr>
          <w:rFonts w:eastAsia="Times New Roman" w:cs="Times New Roman"/>
          <w:sz w:val="24"/>
          <w:szCs w:val="24"/>
          <w:lang w:eastAsia="pl-PL"/>
        </w:rPr>
        <w:t>za pomocą</w:t>
      </w:r>
      <w:r w:rsidR="00601933" w:rsidRPr="00833C88">
        <w:rPr>
          <w:rFonts w:eastAsia="Times New Roman" w:cs="Times New Roman"/>
          <w:sz w:val="24"/>
          <w:szCs w:val="24"/>
          <w:lang w:eastAsia="pl-PL"/>
        </w:rPr>
        <w:t> </w:t>
      </w:r>
      <w:r w:rsidRPr="00833C88">
        <w:rPr>
          <w:rFonts w:eastAsia="Times New Roman" w:cs="Times New Roman"/>
          <w:sz w:val="24"/>
          <w:szCs w:val="24"/>
          <w:lang w:eastAsia="pl-PL"/>
        </w:rPr>
        <w:t>system</w:t>
      </w:r>
      <w:r w:rsidR="009D435E" w:rsidRPr="00833C88">
        <w:rPr>
          <w:rFonts w:eastAsia="Times New Roman" w:cs="Times New Roman"/>
          <w:sz w:val="24"/>
          <w:szCs w:val="24"/>
          <w:lang w:eastAsia="pl-PL"/>
        </w:rPr>
        <w:t>u</w:t>
      </w:r>
      <w:r w:rsidRPr="00833C88">
        <w:rPr>
          <w:rFonts w:eastAsia="Times New Roman" w:cs="Times New Roman"/>
          <w:sz w:val="24"/>
          <w:szCs w:val="24"/>
          <w:lang w:eastAsia="pl-PL"/>
        </w:rPr>
        <w:t xml:space="preserve"> </w:t>
      </w:r>
      <w:r w:rsidR="0065131D" w:rsidRPr="00833C88">
        <w:rPr>
          <w:rFonts w:eastAsia="Times New Roman" w:cs="Times New Roman"/>
          <w:sz w:val="24"/>
          <w:szCs w:val="24"/>
          <w:lang w:eastAsia="pl-PL"/>
        </w:rPr>
        <w:t>teleinformatyczn</w:t>
      </w:r>
      <w:r w:rsidR="009D435E" w:rsidRPr="00833C88">
        <w:rPr>
          <w:rFonts w:eastAsia="Times New Roman" w:cs="Times New Roman"/>
          <w:sz w:val="24"/>
          <w:szCs w:val="24"/>
          <w:lang w:eastAsia="pl-PL"/>
        </w:rPr>
        <w:t>ego</w:t>
      </w:r>
      <w:r w:rsidR="0065131D" w:rsidRPr="00833C88">
        <w:rPr>
          <w:rFonts w:eastAsia="Times New Roman" w:cs="Times New Roman"/>
          <w:sz w:val="24"/>
          <w:szCs w:val="24"/>
          <w:lang w:eastAsia="pl-PL"/>
        </w:rPr>
        <w:t xml:space="preserve"> </w:t>
      </w:r>
      <w:r w:rsidRPr="00833C88">
        <w:rPr>
          <w:rFonts w:eastAsia="Times New Roman" w:cs="Times New Roman"/>
          <w:sz w:val="24"/>
          <w:szCs w:val="24"/>
          <w:lang w:eastAsia="pl-PL"/>
        </w:rPr>
        <w:t>S46</w:t>
      </w:r>
      <w:r w:rsidR="003C026A" w:rsidRPr="00833C88">
        <w:rPr>
          <w:rFonts w:eastAsia="Times New Roman" w:cs="Times New Roman"/>
          <w:sz w:val="24"/>
          <w:szCs w:val="24"/>
          <w:lang w:eastAsia="pl-PL"/>
        </w:rPr>
        <w:t>, który będzie dedykowanym kanałem komunikacji do kwestii cyberbezpieczeństwa.</w:t>
      </w:r>
      <w:r w:rsidR="003B482B" w:rsidRPr="00833C88">
        <w:rPr>
          <w:rFonts w:eastAsia="Times New Roman" w:cs="Times New Roman"/>
          <w:sz w:val="24"/>
          <w:szCs w:val="24"/>
          <w:lang w:eastAsia="pl-PL"/>
        </w:rPr>
        <w:t xml:space="preserve"> Podmioty krajowego systemu cyberbezpieczeństwa mogą również zawierać porozumienia dotyczące wzajemnej wymiany informacji. </w:t>
      </w:r>
      <w:r w:rsidR="003839F1" w:rsidRPr="00833C88">
        <w:rPr>
          <w:rFonts w:eastAsia="Times New Roman" w:cs="Times New Roman"/>
          <w:sz w:val="24"/>
          <w:szCs w:val="24"/>
          <w:lang w:eastAsia="pl-PL"/>
        </w:rPr>
        <w:t xml:space="preserve">Takie porozumienia </w:t>
      </w:r>
      <w:r w:rsidR="00C816E1" w:rsidRPr="00833C88">
        <w:rPr>
          <w:rFonts w:eastAsia="Times New Roman" w:cs="Times New Roman"/>
          <w:sz w:val="24"/>
          <w:szCs w:val="24"/>
          <w:lang w:eastAsia="pl-PL"/>
        </w:rPr>
        <w:t>m</w:t>
      </w:r>
      <w:r w:rsidR="00BC5BD6" w:rsidRPr="00833C88">
        <w:rPr>
          <w:rFonts w:eastAsia="Times New Roman" w:cs="Times New Roman"/>
          <w:sz w:val="24"/>
          <w:szCs w:val="24"/>
          <w:lang w:eastAsia="pl-PL"/>
        </w:rPr>
        <w:t xml:space="preserve">ogą stać się podstawą </w:t>
      </w:r>
      <w:r w:rsidR="0013711B" w:rsidRPr="00833C88">
        <w:rPr>
          <w:rFonts w:eastAsia="Times New Roman" w:cs="Times New Roman"/>
          <w:sz w:val="24"/>
          <w:szCs w:val="24"/>
          <w:lang w:eastAsia="pl-PL"/>
        </w:rPr>
        <w:t xml:space="preserve">do wymiany informacji </w:t>
      </w:r>
      <w:r w:rsidR="00601933" w:rsidRPr="00833C88">
        <w:rPr>
          <w:rFonts w:eastAsia="Times New Roman" w:cs="Times New Roman"/>
          <w:sz w:val="24"/>
          <w:szCs w:val="24"/>
          <w:lang w:eastAsia="pl-PL"/>
        </w:rPr>
        <w:t>w </w:t>
      </w:r>
      <w:r w:rsidR="0013711B" w:rsidRPr="00833C88">
        <w:rPr>
          <w:rFonts w:eastAsia="Times New Roman" w:cs="Times New Roman"/>
          <w:sz w:val="24"/>
          <w:szCs w:val="24"/>
          <w:lang w:eastAsia="pl-PL"/>
        </w:rPr>
        <w:t xml:space="preserve">danym sektorze </w:t>
      </w:r>
      <w:r w:rsidR="00601933" w:rsidRPr="00833C88">
        <w:rPr>
          <w:rFonts w:eastAsia="Times New Roman" w:cs="Times New Roman"/>
          <w:sz w:val="24"/>
          <w:szCs w:val="24"/>
          <w:lang w:eastAsia="pl-PL"/>
        </w:rPr>
        <w:t>i </w:t>
      </w:r>
      <w:r w:rsidR="0013711B" w:rsidRPr="00833C88">
        <w:rPr>
          <w:rFonts w:eastAsia="Times New Roman" w:cs="Times New Roman"/>
          <w:sz w:val="24"/>
          <w:szCs w:val="24"/>
          <w:lang w:eastAsia="pl-PL"/>
        </w:rPr>
        <w:t>pozwolą usprawnić przepływ informacji tak</w:t>
      </w:r>
      <w:r w:rsidR="00833C88" w:rsidRPr="00833C88">
        <w:rPr>
          <w:rFonts w:eastAsia="Times New Roman" w:cs="Times New Roman"/>
          <w:sz w:val="24"/>
          <w:szCs w:val="24"/>
          <w:lang w:eastAsia="pl-PL"/>
        </w:rPr>
        <w:t>,</w:t>
      </w:r>
      <w:r w:rsidR="0013711B" w:rsidRPr="00833C88">
        <w:rPr>
          <w:rFonts w:eastAsia="Times New Roman" w:cs="Times New Roman"/>
          <w:sz w:val="24"/>
          <w:szCs w:val="24"/>
          <w:lang w:eastAsia="pl-PL"/>
        </w:rPr>
        <w:t xml:space="preserve"> aby </w:t>
      </w:r>
      <w:r w:rsidR="001E2F11" w:rsidRPr="00833C88">
        <w:rPr>
          <w:rFonts w:eastAsia="Times New Roman" w:cs="Times New Roman"/>
          <w:sz w:val="24"/>
          <w:szCs w:val="24"/>
          <w:lang w:eastAsia="pl-PL"/>
        </w:rPr>
        <w:t xml:space="preserve">informacje docierały do podmiotów, które tego najbardziej potrzebują. </w:t>
      </w:r>
      <w:r w:rsidR="00F26DB4" w:rsidRPr="00833C88">
        <w:rPr>
          <w:rFonts w:eastAsia="Times New Roman" w:cs="Times New Roman"/>
          <w:sz w:val="24"/>
          <w:szCs w:val="24"/>
          <w:lang w:eastAsia="pl-PL"/>
        </w:rPr>
        <w:t xml:space="preserve">Porozumienia mogą być zawierane również przez </w:t>
      </w:r>
      <w:r w:rsidR="00B56311" w:rsidRPr="00833C88">
        <w:rPr>
          <w:rFonts w:eastAsia="Times New Roman" w:cs="Times New Roman"/>
          <w:sz w:val="24"/>
          <w:szCs w:val="24"/>
          <w:lang w:eastAsia="pl-PL"/>
        </w:rPr>
        <w:t xml:space="preserve">organizacje społeczne zrzeszające podmioty kluczowe </w:t>
      </w:r>
      <w:r w:rsidR="00601933" w:rsidRPr="00833C88">
        <w:rPr>
          <w:rFonts w:eastAsia="Times New Roman" w:cs="Times New Roman"/>
          <w:sz w:val="24"/>
          <w:szCs w:val="24"/>
          <w:lang w:eastAsia="pl-PL"/>
        </w:rPr>
        <w:t>i </w:t>
      </w:r>
      <w:r w:rsidR="00B56311" w:rsidRPr="00833C88">
        <w:rPr>
          <w:rFonts w:eastAsia="Times New Roman" w:cs="Times New Roman"/>
          <w:sz w:val="24"/>
          <w:szCs w:val="24"/>
          <w:lang w:eastAsia="pl-PL"/>
        </w:rPr>
        <w:t>podmioty ważne – przykładowo izby gospodarcze</w:t>
      </w:r>
      <w:r w:rsidR="00FF3EB4" w:rsidRPr="00833C88">
        <w:rPr>
          <w:rFonts w:eastAsia="Times New Roman" w:cs="Times New Roman"/>
          <w:sz w:val="24"/>
          <w:szCs w:val="24"/>
          <w:lang w:eastAsia="pl-PL"/>
        </w:rPr>
        <w:t xml:space="preserve">. </w:t>
      </w:r>
      <w:r w:rsidR="001E2F11" w:rsidRPr="00833C88">
        <w:rPr>
          <w:rFonts w:eastAsia="Times New Roman" w:cs="Times New Roman"/>
          <w:sz w:val="24"/>
          <w:szCs w:val="24"/>
          <w:lang w:eastAsia="pl-PL"/>
        </w:rPr>
        <w:t xml:space="preserve">Należy podkreślić, że przepis ten umieszcza </w:t>
      </w:r>
      <w:r w:rsidR="00601933" w:rsidRPr="00833C88">
        <w:rPr>
          <w:rFonts w:eastAsia="Times New Roman" w:cs="Times New Roman"/>
          <w:sz w:val="24"/>
          <w:szCs w:val="24"/>
          <w:lang w:eastAsia="pl-PL"/>
        </w:rPr>
        <w:t>w </w:t>
      </w:r>
      <w:r w:rsidR="001E2F11" w:rsidRPr="00833C88">
        <w:rPr>
          <w:rFonts w:eastAsia="Times New Roman" w:cs="Times New Roman"/>
          <w:sz w:val="24"/>
          <w:szCs w:val="24"/>
          <w:lang w:eastAsia="pl-PL"/>
        </w:rPr>
        <w:t>ramach ustawy również już funkcjonujące porozumienia</w:t>
      </w:r>
      <w:r w:rsidR="001A0855" w:rsidRPr="00833C88">
        <w:rPr>
          <w:rFonts w:eastAsia="Times New Roman" w:cs="Times New Roman"/>
          <w:sz w:val="24"/>
          <w:szCs w:val="24"/>
          <w:lang w:eastAsia="pl-PL"/>
        </w:rPr>
        <w:t>,</w:t>
      </w:r>
      <w:r w:rsidR="001E2F11" w:rsidRPr="00833C88">
        <w:rPr>
          <w:rFonts w:eastAsia="Times New Roman" w:cs="Times New Roman"/>
          <w:sz w:val="24"/>
          <w:szCs w:val="24"/>
          <w:lang w:eastAsia="pl-PL"/>
        </w:rPr>
        <w:t xml:space="preserve"> np. </w:t>
      </w:r>
      <w:r w:rsidR="00A221FE" w:rsidRPr="00833C88">
        <w:rPr>
          <w:rFonts w:eastAsia="Times New Roman" w:cs="Times New Roman"/>
          <w:sz w:val="24"/>
          <w:szCs w:val="24"/>
          <w:lang w:eastAsia="pl-PL"/>
        </w:rPr>
        <w:t>ISAC-</w:t>
      </w:r>
      <w:r w:rsidR="001E2F11" w:rsidRPr="00833C88">
        <w:rPr>
          <w:rFonts w:eastAsia="Times New Roman" w:cs="Times New Roman"/>
          <w:sz w:val="24"/>
          <w:szCs w:val="24"/>
          <w:lang w:eastAsia="pl-PL"/>
        </w:rPr>
        <w:t xml:space="preserve">Kolej. </w:t>
      </w:r>
      <w:r w:rsidR="001A7582" w:rsidRPr="00833C88">
        <w:rPr>
          <w:rFonts w:eastAsia="Times New Roman" w:cs="Times New Roman"/>
          <w:sz w:val="24"/>
          <w:szCs w:val="24"/>
          <w:lang w:eastAsia="pl-PL"/>
        </w:rPr>
        <w:t xml:space="preserve">Nie zdecydowano się przy tym na </w:t>
      </w:r>
      <w:r w:rsidR="004919C6" w:rsidRPr="00833C88">
        <w:rPr>
          <w:rFonts w:eastAsia="Times New Roman" w:cs="Times New Roman"/>
          <w:sz w:val="24"/>
          <w:szCs w:val="24"/>
          <w:lang w:eastAsia="pl-PL"/>
        </w:rPr>
        <w:t xml:space="preserve">nadanie osobowości prawnej inicjatywom typu ISAC tudzież nadania im statusu ułomnej osoby prawnej. </w:t>
      </w:r>
      <w:r w:rsidR="00601933" w:rsidRPr="00833C88">
        <w:rPr>
          <w:rFonts w:eastAsia="Times New Roman" w:cs="Times New Roman"/>
          <w:sz w:val="24"/>
          <w:szCs w:val="24"/>
          <w:lang w:eastAsia="pl-PL"/>
        </w:rPr>
        <w:t>W </w:t>
      </w:r>
      <w:r w:rsidR="00D92D2F" w:rsidRPr="00833C88">
        <w:rPr>
          <w:rFonts w:eastAsia="Times New Roman" w:cs="Times New Roman"/>
          <w:sz w:val="24"/>
          <w:szCs w:val="24"/>
          <w:lang w:eastAsia="pl-PL"/>
        </w:rPr>
        <w:t>polskiej praktyce kilka istniejących tego typu inicjatyw ma charakter luźnych porozumień.</w:t>
      </w:r>
      <w:r w:rsidR="009D63FB" w:rsidRPr="00833C88">
        <w:rPr>
          <w:rFonts w:eastAsia="Times New Roman" w:cs="Times New Roman"/>
          <w:sz w:val="24"/>
          <w:szCs w:val="24"/>
          <w:lang w:eastAsia="pl-PL"/>
        </w:rPr>
        <w:t xml:space="preserve"> Postanowiono więc nie zmieniać tego stanu rzeczy</w:t>
      </w:r>
      <w:r w:rsidR="003665A7" w:rsidRPr="00833C88">
        <w:rPr>
          <w:rFonts w:eastAsia="Times New Roman" w:cs="Times New Roman"/>
          <w:sz w:val="24"/>
          <w:szCs w:val="24"/>
          <w:lang w:eastAsia="pl-PL"/>
        </w:rPr>
        <w:t>.</w:t>
      </w:r>
      <w:r w:rsidR="00A221FE" w:rsidRPr="00833C88">
        <w:rPr>
          <w:rFonts w:eastAsia="Times New Roman" w:cs="Times New Roman"/>
          <w:sz w:val="24"/>
          <w:szCs w:val="24"/>
          <w:lang w:eastAsia="pl-PL"/>
        </w:rPr>
        <w:t xml:space="preserve"> Wprowadzenie formy prawnej ISAC jako (ułomnej) osoby prawnej powodowałoby dodatkowe </w:t>
      </w:r>
      <w:r w:rsidR="00C76573" w:rsidRPr="00833C88">
        <w:rPr>
          <w:rFonts w:eastAsia="Times New Roman" w:cs="Times New Roman"/>
          <w:sz w:val="24"/>
          <w:szCs w:val="24"/>
          <w:lang w:eastAsia="pl-PL"/>
        </w:rPr>
        <w:t xml:space="preserve">obowiązki po stronie ISAC np. obowiązek prowadzenia uproszczonej rachunkowości. </w:t>
      </w:r>
      <w:r w:rsidR="00AA420F" w:rsidRPr="00833C88">
        <w:rPr>
          <w:rFonts w:eastAsia="Times New Roman" w:cs="Times New Roman"/>
          <w:sz w:val="24"/>
          <w:szCs w:val="24"/>
          <w:lang w:eastAsia="pl-PL"/>
        </w:rPr>
        <w:t xml:space="preserve">Wprowadzono przy tym przepis względnie obowiązujący, zgodnie </w:t>
      </w:r>
      <w:r w:rsidR="00601933" w:rsidRPr="00833C88">
        <w:rPr>
          <w:rFonts w:eastAsia="Times New Roman" w:cs="Times New Roman"/>
          <w:sz w:val="24"/>
          <w:szCs w:val="24"/>
          <w:lang w:eastAsia="pl-PL"/>
        </w:rPr>
        <w:t>z </w:t>
      </w:r>
      <w:r w:rsidR="00AA420F" w:rsidRPr="00833C88">
        <w:rPr>
          <w:rFonts w:eastAsia="Times New Roman" w:cs="Times New Roman"/>
          <w:sz w:val="24"/>
          <w:szCs w:val="24"/>
          <w:lang w:eastAsia="pl-PL"/>
        </w:rPr>
        <w:t xml:space="preserve">którym </w:t>
      </w:r>
      <w:r w:rsidR="00F8660F" w:rsidRPr="00833C88">
        <w:rPr>
          <w:rFonts w:eastAsia="Times New Roman" w:cs="Times New Roman"/>
          <w:sz w:val="24"/>
          <w:szCs w:val="24"/>
          <w:lang w:eastAsia="pl-PL"/>
        </w:rPr>
        <w:t xml:space="preserve">koszt wykonania porozumień </w:t>
      </w:r>
      <w:r w:rsidR="00601933" w:rsidRPr="00833C88">
        <w:rPr>
          <w:rFonts w:eastAsia="Times New Roman" w:cs="Times New Roman"/>
          <w:sz w:val="24"/>
          <w:szCs w:val="24"/>
          <w:lang w:eastAsia="pl-PL"/>
        </w:rPr>
        <w:t>o </w:t>
      </w:r>
      <w:r w:rsidR="00F8660F" w:rsidRPr="00833C88">
        <w:rPr>
          <w:rFonts w:eastAsia="Times New Roman" w:cs="Times New Roman"/>
          <w:sz w:val="24"/>
          <w:szCs w:val="24"/>
          <w:lang w:eastAsia="pl-PL"/>
        </w:rPr>
        <w:t xml:space="preserve">wymianie informacji ponoszą </w:t>
      </w:r>
      <w:r w:rsidR="00601933" w:rsidRPr="00833C88">
        <w:rPr>
          <w:rFonts w:eastAsia="Times New Roman" w:cs="Times New Roman"/>
          <w:sz w:val="24"/>
          <w:szCs w:val="24"/>
          <w:lang w:eastAsia="pl-PL"/>
        </w:rPr>
        <w:t>w </w:t>
      </w:r>
      <w:r w:rsidR="00F8660F" w:rsidRPr="00833C88">
        <w:rPr>
          <w:rFonts w:eastAsia="Times New Roman" w:cs="Times New Roman"/>
          <w:sz w:val="24"/>
          <w:szCs w:val="24"/>
          <w:lang w:eastAsia="pl-PL"/>
        </w:rPr>
        <w:t xml:space="preserve">równych częściach strony porozumienia, chyba, że </w:t>
      </w:r>
      <w:r w:rsidR="00583F31" w:rsidRPr="00833C88">
        <w:rPr>
          <w:rFonts w:eastAsia="Times New Roman" w:cs="Times New Roman"/>
          <w:sz w:val="24"/>
          <w:szCs w:val="24"/>
          <w:lang w:eastAsia="pl-PL"/>
        </w:rPr>
        <w:lastRenderedPageBreak/>
        <w:t xml:space="preserve">postanowią one inaczej. Przykładowo może zaistnieć </w:t>
      </w:r>
      <w:r w:rsidR="00601933" w:rsidRPr="00833C88">
        <w:rPr>
          <w:rFonts w:eastAsia="Times New Roman" w:cs="Times New Roman"/>
          <w:sz w:val="24"/>
          <w:szCs w:val="24"/>
          <w:lang w:eastAsia="pl-PL"/>
        </w:rPr>
        <w:t>z </w:t>
      </w:r>
      <w:r w:rsidR="00583F31" w:rsidRPr="00833C88">
        <w:rPr>
          <w:rFonts w:eastAsia="Times New Roman" w:cs="Times New Roman"/>
          <w:sz w:val="24"/>
          <w:szCs w:val="24"/>
          <w:lang w:eastAsia="pl-PL"/>
        </w:rPr>
        <w:t xml:space="preserve">pozoru </w:t>
      </w:r>
      <w:r w:rsidR="009D435E" w:rsidRPr="00833C88">
        <w:rPr>
          <w:rFonts w:eastAsia="Times New Roman" w:cs="Times New Roman"/>
          <w:sz w:val="24"/>
          <w:szCs w:val="24"/>
          <w:lang w:eastAsia="pl-PL"/>
        </w:rPr>
        <w:t>błaha</w:t>
      </w:r>
      <w:r w:rsidR="00583F31" w:rsidRPr="00833C88">
        <w:rPr>
          <w:rFonts w:eastAsia="Times New Roman" w:cs="Times New Roman"/>
          <w:sz w:val="24"/>
          <w:szCs w:val="24"/>
          <w:lang w:eastAsia="pl-PL"/>
        </w:rPr>
        <w:t xml:space="preserve"> kwestia </w:t>
      </w:r>
      <w:r w:rsidR="00CD0C23" w:rsidRPr="00833C88">
        <w:rPr>
          <w:rFonts w:eastAsia="Times New Roman" w:cs="Times New Roman"/>
          <w:sz w:val="24"/>
          <w:szCs w:val="24"/>
          <w:lang w:eastAsia="pl-PL"/>
        </w:rPr>
        <w:t>–</w:t>
      </w:r>
      <w:r w:rsidR="00583F31" w:rsidRPr="00833C88">
        <w:rPr>
          <w:rFonts w:eastAsia="Times New Roman" w:cs="Times New Roman"/>
          <w:sz w:val="24"/>
          <w:szCs w:val="24"/>
          <w:lang w:eastAsia="pl-PL"/>
        </w:rPr>
        <w:t xml:space="preserve"> </w:t>
      </w:r>
      <w:r w:rsidR="00CD0C23" w:rsidRPr="00833C88">
        <w:rPr>
          <w:rFonts w:eastAsia="Times New Roman" w:cs="Times New Roman"/>
          <w:sz w:val="24"/>
          <w:szCs w:val="24"/>
          <w:lang w:eastAsia="pl-PL"/>
        </w:rPr>
        <w:t xml:space="preserve">kto ma zapłacić za utrzymanie strony internetowej ISAC. </w:t>
      </w:r>
    </w:p>
    <w:p w14:paraId="650D4DA2" w14:textId="367144A2" w:rsidR="00623846" w:rsidRPr="00833C88" w:rsidRDefault="00F323D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Wskazano przy tym, że wymieniając informacje o cyberbezpieczeństwie podmioty kluczowe i</w:t>
      </w:r>
      <w:r w:rsidR="00337E43" w:rsidRPr="00833C88">
        <w:rPr>
          <w:rFonts w:eastAsia="Times New Roman" w:cs="Times New Roman"/>
          <w:sz w:val="24"/>
          <w:szCs w:val="24"/>
          <w:lang w:eastAsia="pl-PL"/>
        </w:rPr>
        <w:t> </w:t>
      </w:r>
      <w:r w:rsidRPr="00833C88">
        <w:rPr>
          <w:rFonts w:eastAsia="Times New Roman" w:cs="Times New Roman"/>
          <w:sz w:val="24"/>
          <w:szCs w:val="24"/>
          <w:lang w:eastAsia="pl-PL"/>
        </w:rPr>
        <w:t>podmioty ważne oznaczają zakres odbiorców tych informacji. Odbiorca informacji</w:t>
      </w:r>
      <w:r w:rsidR="00806BC4" w:rsidRPr="00833C88">
        <w:rPr>
          <w:rFonts w:eastAsia="Times New Roman" w:cs="Times New Roman"/>
          <w:sz w:val="24"/>
          <w:szCs w:val="24"/>
          <w:lang w:eastAsia="pl-PL"/>
        </w:rPr>
        <w:t xml:space="preserve"> może ją udostępniać w zakresie określonym przez wytwórcę informacji. </w:t>
      </w:r>
      <w:r w:rsidR="005A6FC7" w:rsidRPr="00833C88">
        <w:rPr>
          <w:rFonts w:eastAsia="Times New Roman" w:cs="Times New Roman"/>
          <w:sz w:val="24"/>
          <w:szCs w:val="24"/>
          <w:lang w:eastAsia="pl-PL"/>
        </w:rPr>
        <w:t xml:space="preserve">W praktyce </w:t>
      </w:r>
      <w:r w:rsidR="00DD4E21" w:rsidRPr="00833C88">
        <w:rPr>
          <w:rFonts w:eastAsia="Times New Roman" w:cs="Times New Roman"/>
          <w:sz w:val="24"/>
          <w:szCs w:val="24"/>
          <w:lang w:eastAsia="pl-PL"/>
        </w:rPr>
        <w:t xml:space="preserve">nadawca informacji może </w:t>
      </w:r>
      <w:r w:rsidR="003C7E58" w:rsidRPr="00833C88">
        <w:rPr>
          <w:rFonts w:eastAsia="Times New Roman" w:cs="Times New Roman"/>
          <w:sz w:val="24"/>
          <w:szCs w:val="24"/>
          <w:lang w:eastAsia="pl-PL"/>
        </w:rPr>
        <w:t xml:space="preserve">skorzystać z </w:t>
      </w:r>
      <w:r w:rsidR="00F13F73" w:rsidRPr="00833C88">
        <w:rPr>
          <w:rFonts w:eastAsia="Times New Roman" w:cs="Times New Roman"/>
          <w:sz w:val="24"/>
          <w:szCs w:val="24"/>
          <w:lang w:eastAsia="pl-PL"/>
        </w:rPr>
        <w:t xml:space="preserve">zestawu </w:t>
      </w:r>
      <w:proofErr w:type="spellStart"/>
      <w:r w:rsidR="00F13F73" w:rsidRPr="00833C88">
        <w:rPr>
          <w:rFonts w:eastAsia="Times New Roman" w:cs="Times New Roman"/>
          <w:i/>
          <w:iCs/>
          <w:sz w:val="24"/>
          <w:szCs w:val="24"/>
          <w:lang w:eastAsia="pl-PL"/>
        </w:rPr>
        <w:t>Traffic</w:t>
      </w:r>
      <w:proofErr w:type="spellEnd"/>
      <w:r w:rsidR="00F13F73" w:rsidRPr="00833C88">
        <w:rPr>
          <w:rFonts w:eastAsia="Times New Roman" w:cs="Times New Roman"/>
          <w:i/>
          <w:iCs/>
          <w:sz w:val="24"/>
          <w:szCs w:val="24"/>
          <w:lang w:eastAsia="pl-PL"/>
        </w:rPr>
        <w:t xml:space="preserve"> </w:t>
      </w:r>
      <w:proofErr w:type="spellStart"/>
      <w:r w:rsidR="00F13F73" w:rsidRPr="00833C88">
        <w:rPr>
          <w:rFonts w:eastAsia="Times New Roman" w:cs="Times New Roman"/>
          <w:i/>
          <w:iCs/>
          <w:sz w:val="24"/>
          <w:szCs w:val="24"/>
          <w:lang w:eastAsia="pl-PL"/>
        </w:rPr>
        <w:t>Light</w:t>
      </w:r>
      <w:proofErr w:type="spellEnd"/>
      <w:r w:rsidR="00F13F73" w:rsidRPr="00833C88">
        <w:rPr>
          <w:rFonts w:eastAsia="Times New Roman" w:cs="Times New Roman"/>
          <w:i/>
          <w:iCs/>
          <w:sz w:val="24"/>
          <w:szCs w:val="24"/>
          <w:lang w:eastAsia="pl-PL"/>
        </w:rPr>
        <w:t xml:space="preserve"> </w:t>
      </w:r>
      <w:proofErr w:type="spellStart"/>
      <w:r w:rsidR="00F13F73" w:rsidRPr="00833C88">
        <w:rPr>
          <w:rFonts w:eastAsia="Times New Roman" w:cs="Times New Roman"/>
          <w:i/>
          <w:iCs/>
          <w:sz w:val="24"/>
          <w:szCs w:val="24"/>
          <w:lang w:eastAsia="pl-PL"/>
        </w:rPr>
        <w:t>Protocol</w:t>
      </w:r>
      <w:proofErr w:type="spellEnd"/>
      <w:r w:rsidR="00F13F73" w:rsidRPr="00833C88">
        <w:rPr>
          <w:rFonts w:eastAsia="Times New Roman" w:cs="Times New Roman"/>
          <w:sz w:val="24"/>
          <w:szCs w:val="24"/>
          <w:lang w:eastAsia="pl-PL"/>
        </w:rPr>
        <w:t xml:space="preserve"> ustandaryzowanego przez organizację FIRST</w:t>
      </w:r>
      <w:r w:rsidR="00F13F73" w:rsidRPr="00833C88">
        <w:rPr>
          <w:rStyle w:val="Odwoanieprzypisudolnego"/>
          <w:rFonts w:eastAsia="Times New Roman" w:cs="Times New Roman"/>
          <w:sz w:val="24"/>
          <w:szCs w:val="24"/>
          <w:lang w:eastAsia="pl-PL"/>
        </w:rPr>
        <w:footnoteReference w:id="41"/>
      </w:r>
      <w:r w:rsidR="00CB3DDF" w:rsidRPr="00833C88">
        <w:rPr>
          <w:rFonts w:eastAsia="Times New Roman" w:cs="Times New Roman"/>
          <w:sz w:val="24"/>
          <w:szCs w:val="24"/>
          <w:vertAlign w:val="superscript"/>
          <w:lang w:eastAsia="pl-PL"/>
        </w:rPr>
        <w:t>)</w:t>
      </w:r>
      <w:r w:rsidR="00F13F73" w:rsidRPr="00833C88">
        <w:rPr>
          <w:rFonts w:eastAsia="Times New Roman" w:cs="Times New Roman"/>
          <w:sz w:val="24"/>
          <w:szCs w:val="24"/>
          <w:lang w:eastAsia="pl-PL"/>
        </w:rPr>
        <w:t>.</w:t>
      </w:r>
    </w:p>
    <w:tbl>
      <w:tblPr>
        <w:tblStyle w:val="Tabela-Siatka"/>
        <w:tblW w:w="0" w:type="auto"/>
        <w:tblLook w:val="04A0" w:firstRow="1" w:lastRow="0" w:firstColumn="1" w:lastColumn="0" w:noHBand="0" w:noVBand="1"/>
      </w:tblPr>
      <w:tblGrid>
        <w:gridCol w:w="9016"/>
      </w:tblGrid>
      <w:tr w:rsidR="00141E27" w:rsidRPr="00833C88" w14:paraId="44991F48" w14:textId="77777777" w:rsidTr="002B0927">
        <w:tc>
          <w:tcPr>
            <w:tcW w:w="9016" w:type="dxa"/>
          </w:tcPr>
          <w:p w14:paraId="6044A5CA" w14:textId="4FE7078D" w:rsidR="00141E27" w:rsidRPr="00833C88" w:rsidRDefault="000A37C3" w:rsidP="00A23C68">
            <w:pPr>
              <w:pStyle w:val="NormalnyWeb"/>
              <w:shd w:val="clear" w:color="auto" w:fill="FFFFFF"/>
              <w:rPr>
                <w:color w:val="000000"/>
              </w:rPr>
            </w:pPr>
            <w:r w:rsidRPr="00833C88">
              <w:rPr>
                <w:color w:val="000000"/>
              </w:rPr>
              <w:t>Źró</w:t>
            </w:r>
            <w:r w:rsidR="009C4585" w:rsidRPr="00833C88">
              <w:rPr>
                <w:color w:val="000000"/>
              </w:rPr>
              <w:t xml:space="preserve">dło: </w:t>
            </w:r>
            <w:r w:rsidR="00141E27" w:rsidRPr="00833C88">
              <w:rPr>
                <w:color w:val="000000"/>
              </w:rPr>
              <w:t>https://cert.pl/tlp/</w:t>
            </w:r>
          </w:p>
        </w:tc>
      </w:tr>
      <w:tr w:rsidR="002B0927" w:rsidRPr="00833C88" w14:paraId="52378CBC" w14:textId="77777777" w:rsidTr="002B0927">
        <w:tc>
          <w:tcPr>
            <w:tcW w:w="9016" w:type="dxa"/>
          </w:tcPr>
          <w:p w14:paraId="324B23D8" w14:textId="12A371B4" w:rsidR="00A23C68" w:rsidRPr="00833C88" w:rsidRDefault="00A23C68" w:rsidP="00533D2A">
            <w:pPr>
              <w:pStyle w:val="NormalnyWeb"/>
              <w:shd w:val="clear" w:color="auto" w:fill="FFFFFF"/>
              <w:jc w:val="both"/>
              <w:rPr>
                <w:color w:val="000000"/>
              </w:rPr>
            </w:pPr>
            <w:proofErr w:type="spellStart"/>
            <w:r w:rsidRPr="00833C88">
              <w:rPr>
                <w:color w:val="000000"/>
              </w:rPr>
              <w:t>Traffic</w:t>
            </w:r>
            <w:proofErr w:type="spellEnd"/>
            <w:r w:rsidRPr="00833C88">
              <w:rPr>
                <w:color w:val="000000"/>
              </w:rPr>
              <w:t xml:space="preserve"> </w:t>
            </w:r>
            <w:proofErr w:type="spellStart"/>
            <w:r w:rsidRPr="00833C88">
              <w:rPr>
                <w:color w:val="000000"/>
              </w:rPr>
              <w:t>Light</w:t>
            </w:r>
            <w:proofErr w:type="spellEnd"/>
            <w:r w:rsidRPr="00833C88">
              <w:rPr>
                <w:color w:val="000000"/>
              </w:rPr>
              <w:t xml:space="preserve"> </w:t>
            </w:r>
            <w:proofErr w:type="spellStart"/>
            <w:r w:rsidRPr="00833C88">
              <w:rPr>
                <w:color w:val="000000"/>
              </w:rPr>
              <w:t>Protocol</w:t>
            </w:r>
            <w:proofErr w:type="spellEnd"/>
            <w:r w:rsidRPr="00833C88">
              <w:rPr>
                <w:color w:val="000000"/>
              </w:rPr>
              <w:t xml:space="preserve"> jest to zestaw reguł, pogrupowanych w 4 kategorie, używanych w</w:t>
            </w:r>
            <w:r w:rsidR="00337E43" w:rsidRPr="00833C88">
              <w:rPr>
                <w:color w:val="000000"/>
              </w:rPr>
              <w:t> </w:t>
            </w:r>
            <w:r w:rsidRPr="00833C88">
              <w:rPr>
                <w:color w:val="000000"/>
              </w:rPr>
              <w:t>celu lepszego zdefiniowania grupy odbiorców wrażliwych informacji. Dla ułatwienia kategorie opisywane są czterema kolorami (czerwony, pomarańczowy, zielony oraz biały). Zakwalifikowanie do odpowiedniej kategorii leży po stronie organizacji, z której pochodzą informacje. Jeśli odbiorca chciałby podzielić się uzyskanymi informacjami z szerszym gronem, musi uzyskać odpowiednią akceptację od autora wiadomości.</w:t>
            </w:r>
          </w:p>
          <w:p w14:paraId="07AAE63F" w14:textId="77777777" w:rsidR="00A23C68" w:rsidRPr="00833C88" w:rsidRDefault="00A23C68" w:rsidP="00533D2A">
            <w:pPr>
              <w:pStyle w:val="Nagwek3"/>
              <w:numPr>
                <w:ilvl w:val="0"/>
                <w:numId w:val="0"/>
              </w:numPr>
              <w:shd w:val="clear" w:color="auto" w:fill="FFFFFF"/>
              <w:spacing w:before="0" w:after="150"/>
              <w:ind w:left="1224"/>
              <w:rPr>
                <w:rFonts w:cs="Times New Roman"/>
                <w:color w:val="006400"/>
              </w:rPr>
            </w:pPr>
            <w:r w:rsidRPr="00833C88">
              <w:rPr>
                <w:rFonts w:cs="Times New Roman"/>
                <w:b/>
                <w:bCs/>
                <w:color w:val="006400"/>
              </w:rPr>
              <w:t>Znaczenie kolorów TLP dla odbiorców wiadomości</w:t>
            </w:r>
          </w:p>
          <w:tbl>
            <w:tblPr>
              <w:tblW w:w="8692" w:type="dxa"/>
              <w:shd w:val="clear" w:color="auto" w:fill="FFFFFF"/>
              <w:tblCellMar>
                <w:top w:w="15" w:type="dxa"/>
                <w:left w:w="15" w:type="dxa"/>
                <w:bottom w:w="15" w:type="dxa"/>
                <w:right w:w="15" w:type="dxa"/>
              </w:tblCellMar>
              <w:tblLook w:val="04A0" w:firstRow="1" w:lastRow="0" w:firstColumn="1" w:lastColumn="0" w:noHBand="0" w:noVBand="1"/>
            </w:tblPr>
            <w:tblGrid>
              <w:gridCol w:w="1560"/>
              <w:gridCol w:w="7132"/>
            </w:tblGrid>
            <w:tr w:rsidR="00A23C68" w:rsidRPr="00833C88" w14:paraId="6A84B79B" w14:textId="77777777" w:rsidTr="00533D2A">
              <w:trPr>
                <w:trHeight w:val="415"/>
              </w:trPr>
              <w:tc>
                <w:tcPr>
                  <w:tcW w:w="0" w:type="auto"/>
                  <w:shd w:val="clear" w:color="auto" w:fill="F08080"/>
                  <w:tcMar>
                    <w:top w:w="120" w:type="dxa"/>
                    <w:left w:w="120" w:type="dxa"/>
                    <w:bottom w:w="120" w:type="dxa"/>
                    <w:right w:w="120" w:type="dxa"/>
                  </w:tcMar>
                  <w:vAlign w:val="center"/>
                  <w:hideMark/>
                </w:tcPr>
                <w:p w14:paraId="424FAB05" w14:textId="77777777" w:rsidR="00A23C68" w:rsidRPr="00833C88" w:rsidRDefault="00A23C68" w:rsidP="00337E43">
                  <w:pPr>
                    <w:jc w:val="both"/>
                    <w:rPr>
                      <w:rFonts w:cs="Times New Roman"/>
                      <w:b/>
                      <w:bCs/>
                      <w:color w:val="000000"/>
                    </w:rPr>
                  </w:pPr>
                  <w:proofErr w:type="gramStart"/>
                  <w:r w:rsidRPr="00833C88">
                    <w:rPr>
                      <w:rFonts w:cs="Times New Roman"/>
                      <w:b/>
                      <w:bCs/>
                      <w:color w:val="FF2B2B"/>
                      <w:shd w:val="clear" w:color="auto" w:fill="000000"/>
                    </w:rPr>
                    <w:t>TLP:RED</w:t>
                  </w:r>
                  <w:proofErr w:type="gramEnd"/>
                </w:p>
              </w:tc>
              <w:tc>
                <w:tcPr>
                  <w:tcW w:w="0" w:type="auto"/>
                  <w:shd w:val="clear" w:color="auto" w:fill="F08080"/>
                  <w:tcMar>
                    <w:top w:w="120" w:type="dxa"/>
                    <w:left w:w="120" w:type="dxa"/>
                    <w:bottom w:w="120" w:type="dxa"/>
                    <w:right w:w="120" w:type="dxa"/>
                  </w:tcMar>
                  <w:vAlign w:val="center"/>
                  <w:hideMark/>
                </w:tcPr>
                <w:p w14:paraId="0560B823" w14:textId="781408FD" w:rsidR="00A23C68" w:rsidRPr="00833C88" w:rsidRDefault="00A23C68" w:rsidP="00337E43">
                  <w:pPr>
                    <w:jc w:val="both"/>
                    <w:rPr>
                      <w:rFonts w:cs="Times New Roman"/>
                      <w:color w:val="000000"/>
                    </w:rPr>
                  </w:pPr>
                  <w:r w:rsidRPr="00833C88">
                    <w:rPr>
                      <w:rFonts w:cs="Times New Roman"/>
                      <w:color w:val="000000"/>
                    </w:rPr>
                    <w:t>Odbiorcy nie mogą dzielić się przekazanymi informacjami z nikim, z</w:t>
                  </w:r>
                  <w:r w:rsidR="00337E43" w:rsidRPr="00833C88">
                    <w:rPr>
                      <w:rFonts w:cs="Times New Roman"/>
                      <w:color w:val="000000"/>
                    </w:rPr>
                    <w:t> </w:t>
                  </w:r>
                  <w:r w:rsidRPr="00833C88">
                    <w:rPr>
                      <w:rFonts w:cs="Times New Roman"/>
                      <w:color w:val="000000"/>
                    </w:rPr>
                    <w:t>wyjątkiem innych odbiorców tych wiadomości.</w:t>
                  </w:r>
                </w:p>
              </w:tc>
            </w:tr>
            <w:tr w:rsidR="00A23C68" w:rsidRPr="00833C88" w14:paraId="6930C445" w14:textId="77777777" w:rsidTr="00533D2A">
              <w:trPr>
                <w:trHeight w:val="1304"/>
              </w:trPr>
              <w:tc>
                <w:tcPr>
                  <w:tcW w:w="0" w:type="auto"/>
                  <w:shd w:val="clear" w:color="auto" w:fill="FFFFE0"/>
                  <w:tcMar>
                    <w:top w:w="120" w:type="dxa"/>
                    <w:left w:w="120" w:type="dxa"/>
                    <w:bottom w:w="120" w:type="dxa"/>
                    <w:right w:w="120" w:type="dxa"/>
                  </w:tcMar>
                  <w:vAlign w:val="center"/>
                  <w:hideMark/>
                </w:tcPr>
                <w:p w14:paraId="0084AB8D" w14:textId="77777777" w:rsidR="00A23C68" w:rsidRPr="00833C88" w:rsidRDefault="00A23C68" w:rsidP="00337E43">
                  <w:pPr>
                    <w:jc w:val="both"/>
                    <w:rPr>
                      <w:rFonts w:cs="Times New Roman"/>
                      <w:b/>
                      <w:bCs/>
                      <w:color w:val="000000"/>
                    </w:rPr>
                  </w:pPr>
                  <w:proofErr w:type="gramStart"/>
                  <w:r w:rsidRPr="00833C88">
                    <w:rPr>
                      <w:rFonts w:cs="Times New Roman"/>
                      <w:b/>
                      <w:bCs/>
                      <w:color w:val="FFC000"/>
                      <w:shd w:val="clear" w:color="auto" w:fill="000000"/>
                    </w:rPr>
                    <w:t>TLP:AMBER</w:t>
                  </w:r>
                  <w:proofErr w:type="gramEnd"/>
                </w:p>
              </w:tc>
              <w:tc>
                <w:tcPr>
                  <w:tcW w:w="0" w:type="auto"/>
                  <w:shd w:val="clear" w:color="auto" w:fill="FFFFE0"/>
                  <w:tcMar>
                    <w:top w:w="120" w:type="dxa"/>
                    <w:left w:w="120" w:type="dxa"/>
                    <w:bottom w:w="120" w:type="dxa"/>
                    <w:right w:w="120" w:type="dxa"/>
                  </w:tcMar>
                  <w:vAlign w:val="center"/>
                  <w:hideMark/>
                </w:tcPr>
                <w:p w14:paraId="7CB5E575" w14:textId="153EF0AA" w:rsidR="00A23C68" w:rsidRPr="00833C88" w:rsidRDefault="00A23C68" w:rsidP="00337E43">
                  <w:pPr>
                    <w:jc w:val="both"/>
                    <w:rPr>
                      <w:rFonts w:cs="Times New Roman"/>
                      <w:color w:val="000000"/>
                    </w:rPr>
                  </w:pPr>
                  <w:r w:rsidRPr="00833C88">
                    <w:rPr>
                      <w:rFonts w:cs="Times New Roman"/>
                      <w:color w:val="000000"/>
                    </w:rPr>
                    <w:t xml:space="preserve">Odbiorcy mogą dzielić się informacjami jedynie w obrębie swojej organizacji (a także jej klientów i </w:t>
                  </w:r>
                  <w:proofErr w:type="spellStart"/>
                  <w:r w:rsidRPr="00833C88">
                    <w:rPr>
                      <w:rFonts w:cs="Times New Roman"/>
                      <w:color w:val="000000"/>
                    </w:rPr>
                    <w:t>consituency</w:t>
                  </w:r>
                  <w:proofErr w:type="spellEnd"/>
                  <w:r w:rsidRPr="00833C88">
                    <w:rPr>
                      <w:rFonts w:cs="Times New Roman"/>
                      <w:color w:val="000000"/>
                    </w:rPr>
                    <w:t xml:space="preserve">) z osobami, które muszą poznać wiadomości oraz jedynie w zakresie niezbędnym do podjęcia stosownych działań. Dodatkowe ograniczenia mogą zostać wyspecyfikowane przez nadawcę </w:t>
                  </w:r>
                  <w:r w:rsidRPr="00833C88">
                    <w:rPr>
                      <w:rFonts w:cs="Times New Roman"/>
                    </w:rPr>
                    <w:t>w</w:t>
                  </w:r>
                  <w:r w:rsidR="00337E43" w:rsidRPr="00833C88">
                    <w:rPr>
                      <w:rFonts w:cs="Times New Roman"/>
                    </w:rPr>
                    <w:t> </w:t>
                  </w:r>
                  <w:r w:rsidRPr="00833C88">
                    <w:rPr>
                      <w:rFonts w:cs="Times New Roman"/>
                    </w:rPr>
                    <w:t>dowolnym</w:t>
                  </w:r>
                  <w:r w:rsidRPr="00833C88">
                    <w:rPr>
                      <w:rFonts w:cs="Times New Roman"/>
                      <w:color w:val="000000"/>
                    </w:rPr>
                    <w:t xml:space="preserve"> zakresie i muszą być przestrzegane. Jednym ze standardowych ograniczeń jest oznaczenie </w:t>
                  </w:r>
                  <w:proofErr w:type="gramStart"/>
                  <w:r w:rsidRPr="00833C88">
                    <w:rPr>
                      <w:rFonts w:cs="Times New Roman"/>
                      <w:color w:val="FFC000"/>
                      <w:shd w:val="clear" w:color="auto" w:fill="000000"/>
                    </w:rPr>
                    <w:t>TLP:AMBER</w:t>
                  </w:r>
                  <w:proofErr w:type="gramEnd"/>
                  <w:r w:rsidRPr="00833C88">
                    <w:rPr>
                      <w:rFonts w:cs="Times New Roman"/>
                      <w:color w:val="FFC000"/>
                      <w:shd w:val="clear" w:color="auto" w:fill="000000"/>
                    </w:rPr>
                    <w:t>+</w:t>
                  </w:r>
                  <w:proofErr w:type="gramStart"/>
                  <w:r w:rsidRPr="00833C88">
                    <w:rPr>
                      <w:rFonts w:cs="Times New Roman"/>
                      <w:color w:val="FFC000"/>
                      <w:shd w:val="clear" w:color="auto" w:fill="000000"/>
                    </w:rPr>
                    <w:t>STRICT</w:t>
                  </w:r>
                  <w:r w:rsidRPr="00833C88">
                    <w:rPr>
                      <w:rFonts w:cs="Times New Roman"/>
                      <w:color w:val="000000"/>
                    </w:rPr>
                    <w:t> ,</w:t>
                  </w:r>
                  <w:proofErr w:type="gramEnd"/>
                  <w:r w:rsidRPr="00833C88">
                    <w:rPr>
                      <w:rFonts w:cs="Times New Roman"/>
                      <w:color w:val="000000"/>
                    </w:rPr>
                    <w:t xml:space="preserve"> które pozwala dzielić się informacjami wyłącznie w obrębie organizacji.</w:t>
                  </w:r>
                </w:p>
              </w:tc>
            </w:tr>
            <w:tr w:rsidR="00A23C68" w:rsidRPr="00833C88" w14:paraId="28C923E4" w14:textId="77777777" w:rsidTr="00533D2A">
              <w:trPr>
                <w:trHeight w:val="711"/>
              </w:trPr>
              <w:tc>
                <w:tcPr>
                  <w:tcW w:w="0" w:type="auto"/>
                  <w:shd w:val="clear" w:color="auto" w:fill="90EE90"/>
                  <w:tcMar>
                    <w:top w:w="120" w:type="dxa"/>
                    <w:left w:w="120" w:type="dxa"/>
                    <w:bottom w:w="120" w:type="dxa"/>
                    <w:right w:w="120" w:type="dxa"/>
                  </w:tcMar>
                  <w:vAlign w:val="center"/>
                  <w:hideMark/>
                </w:tcPr>
                <w:p w14:paraId="0EE67FBC" w14:textId="77777777" w:rsidR="00A23C68" w:rsidRPr="00833C88" w:rsidRDefault="00A23C68" w:rsidP="00337E43">
                  <w:pPr>
                    <w:jc w:val="both"/>
                    <w:rPr>
                      <w:rFonts w:cs="Times New Roman"/>
                      <w:b/>
                      <w:bCs/>
                      <w:color w:val="000000"/>
                    </w:rPr>
                  </w:pPr>
                  <w:proofErr w:type="gramStart"/>
                  <w:r w:rsidRPr="00833C88">
                    <w:rPr>
                      <w:rFonts w:cs="Times New Roman"/>
                      <w:b/>
                      <w:bCs/>
                      <w:color w:val="33FF00"/>
                      <w:shd w:val="clear" w:color="auto" w:fill="000000"/>
                    </w:rPr>
                    <w:t>TLP:GREEN</w:t>
                  </w:r>
                  <w:proofErr w:type="gramEnd"/>
                </w:p>
              </w:tc>
              <w:tc>
                <w:tcPr>
                  <w:tcW w:w="0" w:type="auto"/>
                  <w:shd w:val="clear" w:color="auto" w:fill="90EE90"/>
                  <w:tcMar>
                    <w:top w:w="120" w:type="dxa"/>
                    <w:left w:w="120" w:type="dxa"/>
                    <w:bottom w:w="120" w:type="dxa"/>
                    <w:right w:w="120" w:type="dxa"/>
                  </w:tcMar>
                  <w:vAlign w:val="center"/>
                  <w:hideMark/>
                </w:tcPr>
                <w:p w14:paraId="3BBEFBA8" w14:textId="592B2DBC" w:rsidR="00A23C68" w:rsidRPr="00833C88" w:rsidRDefault="00A23C68" w:rsidP="00337E43">
                  <w:pPr>
                    <w:jc w:val="both"/>
                    <w:rPr>
                      <w:rFonts w:cs="Times New Roman"/>
                      <w:color w:val="000000"/>
                    </w:rPr>
                  </w:pPr>
                  <w:r w:rsidRPr="00833C88">
                    <w:rPr>
                      <w:rFonts w:cs="Times New Roman"/>
                      <w:color w:val="000000"/>
                    </w:rPr>
                    <w:t>Odbiorcy mogą dzielić się informacji ze swoimi współpracownikami, w</w:t>
                  </w:r>
                  <w:r w:rsidR="00337E43" w:rsidRPr="00833C88">
                    <w:rPr>
                      <w:rFonts w:cs="Times New Roman"/>
                      <w:color w:val="000000"/>
                    </w:rPr>
                    <w:t> </w:t>
                  </w:r>
                  <w:r w:rsidRPr="00833C88">
                    <w:rPr>
                      <w:rFonts w:cs="Times New Roman"/>
                      <w:color w:val="000000"/>
                    </w:rPr>
                    <w:t>ramach swojej i partnerskich organizacji oraz w swoim środowisku. Nie można jednak udostępniać tych informacji przez publiczne kanały informacyjne.</w:t>
                  </w:r>
                </w:p>
              </w:tc>
            </w:tr>
            <w:tr w:rsidR="00A23C68" w:rsidRPr="00833C88" w14:paraId="1773504B" w14:textId="77777777" w:rsidTr="00533D2A">
              <w:trPr>
                <w:trHeight w:val="415"/>
              </w:trPr>
              <w:tc>
                <w:tcPr>
                  <w:tcW w:w="0" w:type="auto"/>
                  <w:shd w:val="clear" w:color="auto" w:fill="FFFFFF"/>
                  <w:tcMar>
                    <w:top w:w="120" w:type="dxa"/>
                    <w:left w:w="120" w:type="dxa"/>
                    <w:bottom w:w="120" w:type="dxa"/>
                    <w:right w:w="120" w:type="dxa"/>
                  </w:tcMar>
                  <w:vAlign w:val="center"/>
                  <w:hideMark/>
                </w:tcPr>
                <w:p w14:paraId="47729CB9" w14:textId="77777777" w:rsidR="00A23C68" w:rsidRPr="00833C88" w:rsidRDefault="00A23C68" w:rsidP="00337E43">
                  <w:pPr>
                    <w:jc w:val="both"/>
                    <w:rPr>
                      <w:rFonts w:cs="Times New Roman"/>
                      <w:b/>
                      <w:bCs/>
                      <w:color w:val="000000"/>
                    </w:rPr>
                  </w:pPr>
                  <w:proofErr w:type="gramStart"/>
                  <w:r w:rsidRPr="00833C88">
                    <w:rPr>
                      <w:rFonts w:cs="Times New Roman"/>
                      <w:b/>
                      <w:bCs/>
                      <w:color w:val="FFFFFF"/>
                      <w:shd w:val="clear" w:color="auto" w:fill="000000"/>
                    </w:rPr>
                    <w:t>TLP:CLEAR</w:t>
                  </w:r>
                  <w:proofErr w:type="gramEnd"/>
                </w:p>
              </w:tc>
              <w:tc>
                <w:tcPr>
                  <w:tcW w:w="0" w:type="auto"/>
                  <w:shd w:val="clear" w:color="auto" w:fill="FFFFFF"/>
                  <w:tcMar>
                    <w:top w:w="120" w:type="dxa"/>
                    <w:left w:w="120" w:type="dxa"/>
                    <w:bottom w:w="120" w:type="dxa"/>
                    <w:right w:w="120" w:type="dxa"/>
                  </w:tcMar>
                  <w:vAlign w:val="center"/>
                  <w:hideMark/>
                </w:tcPr>
                <w:p w14:paraId="12F33635" w14:textId="77777777" w:rsidR="00A23C68" w:rsidRPr="00833C88" w:rsidRDefault="00A23C68" w:rsidP="00337E43">
                  <w:pPr>
                    <w:jc w:val="both"/>
                    <w:rPr>
                      <w:rFonts w:cs="Times New Roman"/>
                      <w:color w:val="000000"/>
                    </w:rPr>
                  </w:pPr>
                  <w:r w:rsidRPr="00833C88">
                    <w:rPr>
                      <w:rFonts w:cs="Times New Roman"/>
                      <w:color w:val="000000"/>
                    </w:rPr>
                    <w:t>Dystrybucja informacji nie podlega żadnym ograniczeniom (z wyjątkiem praw autorskich).</w:t>
                  </w:r>
                </w:p>
              </w:tc>
            </w:tr>
          </w:tbl>
          <w:p w14:paraId="3DDC1A33" w14:textId="77777777" w:rsidR="00A23C68" w:rsidRPr="00833C88" w:rsidRDefault="00A23C68" w:rsidP="00337E43">
            <w:pPr>
              <w:pStyle w:val="Nagwek3"/>
              <w:numPr>
                <w:ilvl w:val="0"/>
                <w:numId w:val="0"/>
              </w:numPr>
              <w:shd w:val="clear" w:color="auto" w:fill="FFFFFF"/>
              <w:spacing w:before="0" w:after="150"/>
              <w:ind w:left="1224"/>
              <w:jc w:val="both"/>
              <w:rPr>
                <w:rFonts w:cs="Times New Roman"/>
                <w:color w:val="006400"/>
              </w:rPr>
            </w:pPr>
            <w:r w:rsidRPr="00833C88">
              <w:rPr>
                <w:rFonts w:cs="Times New Roman"/>
                <w:b/>
                <w:bCs/>
                <w:color w:val="006400"/>
              </w:rPr>
              <w:t>Znaczenie kolorów TLP dla autorów wiadomości</w:t>
            </w:r>
          </w:p>
          <w:tbl>
            <w:tblPr>
              <w:tblW w:w="8512" w:type="dxa"/>
              <w:shd w:val="clear" w:color="auto" w:fill="FFFFFF"/>
              <w:tblCellMar>
                <w:top w:w="15" w:type="dxa"/>
                <w:left w:w="15" w:type="dxa"/>
                <w:bottom w:w="15" w:type="dxa"/>
                <w:right w:w="15" w:type="dxa"/>
              </w:tblCellMar>
              <w:tblLook w:val="04A0" w:firstRow="1" w:lastRow="0" w:firstColumn="1" w:lastColumn="0" w:noHBand="0" w:noVBand="1"/>
            </w:tblPr>
            <w:tblGrid>
              <w:gridCol w:w="1560"/>
              <w:gridCol w:w="6952"/>
            </w:tblGrid>
            <w:tr w:rsidR="00A23C68" w:rsidRPr="00833C88" w14:paraId="11DF4C28" w14:textId="77777777" w:rsidTr="00533D2A">
              <w:trPr>
                <w:trHeight w:val="1506"/>
              </w:trPr>
              <w:tc>
                <w:tcPr>
                  <w:tcW w:w="0" w:type="auto"/>
                  <w:shd w:val="clear" w:color="auto" w:fill="F08080"/>
                  <w:tcMar>
                    <w:top w:w="120" w:type="dxa"/>
                    <w:left w:w="120" w:type="dxa"/>
                    <w:bottom w:w="120" w:type="dxa"/>
                    <w:right w:w="120" w:type="dxa"/>
                  </w:tcMar>
                  <w:vAlign w:val="center"/>
                  <w:hideMark/>
                </w:tcPr>
                <w:p w14:paraId="3FE5DEE9" w14:textId="77777777" w:rsidR="00A23C68" w:rsidRPr="00833C88" w:rsidRDefault="00A23C68" w:rsidP="00337E43">
                  <w:pPr>
                    <w:jc w:val="both"/>
                    <w:rPr>
                      <w:rFonts w:cs="Times New Roman"/>
                      <w:b/>
                      <w:bCs/>
                      <w:color w:val="000000"/>
                    </w:rPr>
                  </w:pPr>
                  <w:proofErr w:type="gramStart"/>
                  <w:r w:rsidRPr="00833C88">
                    <w:rPr>
                      <w:rFonts w:cs="Times New Roman"/>
                      <w:b/>
                      <w:bCs/>
                      <w:color w:val="FF2B2B"/>
                      <w:shd w:val="clear" w:color="auto" w:fill="000000"/>
                    </w:rPr>
                    <w:t>TLP:RED</w:t>
                  </w:r>
                  <w:proofErr w:type="gramEnd"/>
                </w:p>
              </w:tc>
              <w:tc>
                <w:tcPr>
                  <w:tcW w:w="0" w:type="auto"/>
                  <w:shd w:val="clear" w:color="auto" w:fill="F08080"/>
                  <w:tcMar>
                    <w:top w:w="120" w:type="dxa"/>
                    <w:left w:w="120" w:type="dxa"/>
                    <w:bottom w:w="120" w:type="dxa"/>
                    <w:right w:w="120" w:type="dxa"/>
                  </w:tcMar>
                  <w:vAlign w:val="center"/>
                  <w:hideMark/>
                </w:tcPr>
                <w:p w14:paraId="70A555F3" w14:textId="77777777" w:rsidR="00A23C68" w:rsidRPr="00833C88" w:rsidRDefault="00A23C68" w:rsidP="00337E43">
                  <w:pPr>
                    <w:jc w:val="both"/>
                    <w:rPr>
                      <w:rFonts w:cs="Times New Roman"/>
                      <w:color w:val="000000"/>
                    </w:rPr>
                  </w:pPr>
                  <w:r w:rsidRPr="00833C88">
                    <w:rPr>
                      <w:rFonts w:cs="Times New Roman"/>
                      <w:color w:val="000000"/>
                    </w:rPr>
                    <w:t>Oznaczenie wiadomości, które mogą za sobą nieść poważne zagrożenie ujawnienia wrażliwych danych w wyniku ich nieprawidłowego przetworzenia, jak również, gdy ich wykorzystanie przez innych niż odbiorcy nie ma sensu.</w:t>
                  </w:r>
                </w:p>
              </w:tc>
            </w:tr>
            <w:tr w:rsidR="00A23C68" w:rsidRPr="00833C88" w14:paraId="3A919ED4" w14:textId="77777777" w:rsidTr="00533D2A">
              <w:trPr>
                <w:trHeight w:val="1506"/>
              </w:trPr>
              <w:tc>
                <w:tcPr>
                  <w:tcW w:w="0" w:type="auto"/>
                  <w:shd w:val="clear" w:color="auto" w:fill="FFFFE0"/>
                  <w:tcMar>
                    <w:top w:w="120" w:type="dxa"/>
                    <w:left w:w="120" w:type="dxa"/>
                    <w:bottom w:w="120" w:type="dxa"/>
                    <w:right w:w="120" w:type="dxa"/>
                  </w:tcMar>
                  <w:vAlign w:val="center"/>
                  <w:hideMark/>
                </w:tcPr>
                <w:p w14:paraId="3E795E31" w14:textId="77777777" w:rsidR="00A23C68" w:rsidRPr="00833C88" w:rsidRDefault="00A23C68" w:rsidP="00337E43">
                  <w:pPr>
                    <w:jc w:val="both"/>
                    <w:rPr>
                      <w:rFonts w:cs="Times New Roman"/>
                      <w:b/>
                      <w:bCs/>
                      <w:color w:val="000000"/>
                    </w:rPr>
                  </w:pPr>
                  <w:proofErr w:type="gramStart"/>
                  <w:r w:rsidRPr="00833C88">
                    <w:rPr>
                      <w:rFonts w:cs="Times New Roman"/>
                      <w:b/>
                      <w:bCs/>
                      <w:color w:val="FFC000"/>
                      <w:shd w:val="clear" w:color="auto" w:fill="000000"/>
                    </w:rPr>
                    <w:lastRenderedPageBreak/>
                    <w:t>TLP:AMBER</w:t>
                  </w:r>
                  <w:proofErr w:type="gramEnd"/>
                </w:p>
              </w:tc>
              <w:tc>
                <w:tcPr>
                  <w:tcW w:w="0" w:type="auto"/>
                  <w:shd w:val="clear" w:color="auto" w:fill="FFFFE0"/>
                  <w:tcMar>
                    <w:top w:w="120" w:type="dxa"/>
                    <w:left w:w="120" w:type="dxa"/>
                    <w:bottom w:w="120" w:type="dxa"/>
                    <w:right w:w="120" w:type="dxa"/>
                  </w:tcMar>
                  <w:vAlign w:val="center"/>
                  <w:hideMark/>
                </w:tcPr>
                <w:p w14:paraId="511F5877" w14:textId="77777777" w:rsidR="00A23C68" w:rsidRPr="00833C88" w:rsidRDefault="00A23C68" w:rsidP="00337E43">
                  <w:pPr>
                    <w:jc w:val="both"/>
                    <w:rPr>
                      <w:rFonts w:cs="Times New Roman"/>
                      <w:color w:val="000000"/>
                    </w:rPr>
                  </w:pPr>
                  <w:r w:rsidRPr="00833C88">
                    <w:rPr>
                      <w:rFonts w:cs="Times New Roman"/>
                      <w:color w:val="000000"/>
                    </w:rPr>
                    <w:t>Oznaczenie wiadomości wymagających podjęcia odpowiednich kroków przez dodatkowe osoby. Informacje te niosą ze sobą ryzyko ujawnienia zbyt wielu wrażliwych danych, jeśli zostałyby przekazane podmiotom innym niż bezpośrednio zaangażowanym.</w:t>
                  </w:r>
                </w:p>
              </w:tc>
            </w:tr>
            <w:tr w:rsidR="00A23C68" w:rsidRPr="00833C88" w14:paraId="669718B8" w14:textId="77777777" w:rsidTr="00533D2A">
              <w:trPr>
                <w:trHeight w:val="878"/>
              </w:trPr>
              <w:tc>
                <w:tcPr>
                  <w:tcW w:w="0" w:type="auto"/>
                  <w:shd w:val="clear" w:color="auto" w:fill="90EE90"/>
                  <w:tcMar>
                    <w:top w:w="120" w:type="dxa"/>
                    <w:left w:w="120" w:type="dxa"/>
                    <w:bottom w:w="120" w:type="dxa"/>
                    <w:right w:w="120" w:type="dxa"/>
                  </w:tcMar>
                  <w:vAlign w:val="center"/>
                  <w:hideMark/>
                </w:tcPr>
                <w:p w14:paraId="7F86FD6F" w14:textId="77777777" w:rsidR="00A23C68" w:rsidRPr="00833C88" w:rsidRDefault="00A23C68" w:rsidP="00A23C68">
                  <w:pPr>
                    <w:jc w:val="center"/>
                    <w:rPr>
                      <w:rFonts w:cs="Times New Roman"/>
                      <w:b/>
                      <w:bCs/>
                      <w:color w:val="000000"/>
                    </w:rPr>
                  </w:pPr>
                  <w:proofErr w:type="gramStart"/>
                  <w:r w:rsidRPr="00833C88">
                    <w:rPr>
                      <w:rFonts w:cs="Times New Roman"/>
                      <w:b/>
                      <w:bCs/>
                      <w:color w:val="33FF00"/>
                      <w:shd w:val="clear" w:color="auto" w:fill="000000"/>
                    </w:rPr>
                    <w:t>TLP:GREEN</w:t>
                  </w:r>
                  <w:proofErr w:type="gramEnd"/>
                </w:p>
              </w:tc>
              <w:tc>
                <w:tcPr>
                  <w:tcW w:w="0" w:type="auto"/>
                  <w:shd w:val="clear" w:color="auto" w:fill="90EE90"/>
                  <w:tcMar>
                    <w:top w:w="120" w:type="dxa"/>
                    <w:left w:w="120" w:type="dxa"/>
                    <w:bottom w:w="120" w:type="dxa"/>
                    <w:right w:w="120" w:type="dxa"/>
                  </w:tcMar>
                  <w:vAlign w:val="center"/>
                  <w:hideMark/>
                </w:tcPr>
                <w:p w14:paraId="78B58408" w14:textId="77777777" w:rsidR="00A23C68" w:rsidRPr="00833C88" w:rsidRDefault="00A23C68" w:rsidP="00337E43">
                  <w:pPr>
                    <w:jc w:val="both"/>
                    <w:rPr>
                      <w:rFonts w:cs="Times New Roman"/>
                      <w:color w:val="000000"/>
                    </w:rPr>
                  </w:pPr>
                  <w:r w:rsidRPr="00833C88">
                    <w:rPr>
                      <w:rFonts w:cs="Times New Roman"/>
                      <w:color w:val="000000"/>
                    </w:rPr>
                    <w:t>Oznaczenie wiadomości niosących ze sobą informacje ogólnie przydatne dla wszystkich organizacji partnerskich oraz w obrębie środowiska.</w:t>
                  </w:r>
                </w:p>
              </w:tc>
            </w:tr>
            <w:tr w:rsidR="00A23C68" w:rsidRPr="00833C88" w14:paraId="6ECD221B" w14:textId="77777777" w:rsidTr="00533D2A">
              <w:trPr>
                <w:trHeight w:val="878"/>
              </w:trPr>
              <w:tc>
                <w:tcPr>
                  <w:tcW w:w="0" w:type="auto"/>
                  <w:shd w:val="clear" w:color="auto" w:fill="FFFFFF"/>
                  <w:tcMar>
                    <w:top w:w="120" w:type="dxa"/>
                    <w:left w:w="120" w:type="dxa"/>
                    <w:bottom w:w="120" w:type="dxa"/>
                    <w:right w:w="120" w:type="dxa"/>
                  </w:tcMar>
                  <w:vAlign w:val="center"/>
                  <w:hideMark/>
                </w:tcPr>
                <w:p w14:paraId="4D9C47C0" w14:textId="77777777" w:rsidR="00A23C68" w:rsidRPr="00833C88" w:rsidRDefault="00A23C68" w:rsidP="00A23C68">
                  <w:pPr>
                    <w:jc w:val="center"/>
                    <w:rPr>
                      <w:rFonts w:cs="Times New Roman"/>
                      <w:b/>
                      <w:bCs/>
                      <w:color w:val="000000"/>
                    </w:rPr>
                  </w:pPr>
                  <w:proofErr w:type="gramStart"/>
                  <w:r w:rsidRPr="00833C88">
                    <w:rPr>
                      <w:rFonts w:cs="Times New Roman"/>
                      <w:b/>
                      <w:bCs/>
                      <w:color w:val="FFFFFF"/>
                      <w:shd w:val="clear" w:color="auto" w:fill="000000"/>
                    </w:rPr>
                    <w:t>TLP:CLEAR</w:t>
                  </w:r>
                  <w:proofErr w:type="gramEnd"/>
                </w:p>
              </w:tc>
              <w:tc>
                <w:tcPr>
                  <w:tcW w:w="0" w:type="auto"/>
                  <w:shd w:val="clear" w:color="auto" w:fill="FFFFFF"/>
                  <w:tcMar>
                    <w:top w:w="120" w:type="dxa"/>
                    <w:left w:w="120" w:type="dxa"/>
                    <w:bottom w:w="120" w:type="dxa"/>
                    <w:right w:w="120" w:type="dxa"/>
                  </w:tcMar>
                  <w:vAlign w:val="center"/>
                  <w:hideMark/>
                </w:tcPr>
                <w:p w14:paraId="7F7962B8" w14:textId="0666EE9B" w:rsidR="00A23C68" w:rsidRPr="00833C88" w:rsidRDefault="00A23C68" w:rsidP="00337E43">
                  <w:pPr>
                    <w:jc w:val="both"/>
                    <w:rPr>
                      <w:rFonts w:cs="Times New Roman"/>
                      <w:color w:val="000000"/>
                    </w:rPr>
                  </w:pPr>
                  <w:r w:rsidRPr="00833C88">
                    <w:rPr>
                      <w:rFonts w:cs="Times New Roman"/>
                      <w:color w:val="000000"/>
                    </w:rPr>
                    <w:t>Oznaczenie wiadomości, których wykorzystanie nie powinno wiązać się z</w:t>
                  </w:r>
                  <w:r w:rsidR="00337E43" w:rsidRPr="00833C88">
                    <w:rPr>
                      <w:rFonts w:cs="Times New Roman"/>
                      <w:color w:val="000000"/>
                    </w:rPr>
                    <w:t> </w:t>
                  </w:r>
                  <w:r w:rsidRPr="00833C88">
                    <w:rPr>
                      <w:rFonts w:cs="Times New Roman"/>
                      <w:color w:val="000000"/>
                    </w:rPr>
                    <w:t>żadnym bądź minimalnym ryzykiem niewłaściwego użycia.</w:t>
                  </w:r>
                </w:p>
              </w:tc>
            </w:tr>
          </w:tbl>
          <w:p w14:paraId="59133DD2" w14:textId="131050F9" w:rsidR="002B0927" w:rsidRPr="00833C88" w:rsidRDefault="00A23C68" w:rsidP="00337E43">
            <w:pPr>
              <w:pStyle w:val="NormalnyWeb"/>
              <w:shd w:val="clear" w:color="auto" w:fill="FFFFFF"/>
              <w:jc w:val="both"/>
              <w:rPr>
                <w:color w:val="000000"/>
              </w:rPr>
            </w:pPr>
            <w:r w:rsidRPr="00833C88">
              <w:rPr>
                <w:color w:val="000000"/>
              </w:rPr>
              <w:t>Informację o użytym TLP umieszczamy w nagłówku lub stopce przekazywanej wiadomości, przeważnie stosując zapis w formacie: "</w:t>
            </w:r>
            <w:proofErr w:type="gramStart"/>
            <w:r w:rsidRPr="00833C88">
              <w:rPr>
                <w:color w:val="000000"/>
              </w:rPr>
              <w:t>TLP:[</w:t>
            </w:r>
            <w:proofErr w:type="gramEnd"/>
            <w:r w:rsidRPr="00833C88">
              <w:rPr>
                <w:color w:val="000000"/>
              </w:rPr>
              <w:t xml:space="preserve">Kolor]". Należy mieć na uwadze, że </w:t>
            </w:r>
            <w:proofErr w:type="spellStart"/>
            <w:r w:rsidRPr="00833C88">
              <w:rPr>
                <w:color w:val="000000"/>
              </w:rPr>
              <w:t>Traffic</w:t>
            </w:r>
            <w:proofErr w:type="spellEnd"/>
            <w:r w:rsidRPr="00833C88">
              <w:rPr>
                <w:color w:val="000000"/>
              </w:rPr>
              <w:t xml:space="preserve"> </w:t>
            </w:r>
            <w:proofErr w:type="spellStart"/>
            <w:r w:rsidRPr="00833C88">
              <w:rPr>
                <w:color w:val="000000"/>
              </w:rPr>
              <w:t>Light</w:t>
            </w:r>
            <w:proofErr w:type="spellEnd"/>
            <w:r w:rsidRPr="00833C88">
              <w:rPr>
                <w:color w:val="000000"/>
              </w:rPr>
              <w:t xml:space="preserve"> </w:t>
            </w:r>
            <w:proofErr w:type="spellStart"/>
            <w:r w:rsidRPr="00833C88">
              <w:rPr>
                <w:color w:val="000000"/>
              </w:rPr>
              <w:t>Protocol</w:t>
            </w:r>
            <w:proofErr w:type="spellEnd"/>
            <w:r w:rsidRPr="00833C88">
              <w:rPr>
                <w:color w:val="000000"/>
              </w:rPr>
              <w:t xml:space="preserve"> nie ma zastosowania do informacji niejawnych.</w:t>
            </w:r>
          </w:p>
        </w:tc>
      </w:tr>
    </w:tbl>
    <w:p w14:paraId="166CA47B" w14:textId="77777777" w:rsidR="003C7E58" w:rsidRPr="00833C88" w:rsidRDefault="003C7E58" w:rsidP="0029004E">
      <w:pPr>
        <w:spacing w:line="360" w:lineRule="auto"/>
        <w:jc w:val="both"/>
        <w:rPr>
          <w:rFonts w:eastAsia="Times New Roman" w:cs="Times New Roman"/>
          <w:sz w:val="24"/>
          <w:szCs w:val="24"/>
          <w:lang w:eastAsia="pl-PL"/>
        </w:rPr>
      </w:pPr>
    </w:p>
    <w:p w14:paraId="039C4FFB" w14:textId="03574470" w:rsidR="00163907" w:rsidRPr="00833C88" w:rsidRDefault="0016390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Nie wprowadza się obowiązku korzystania z TLP, ale jest to bardzo popularny standard oznaczania wiadomości.</w:t>
      </w:r>
      <w:r w:rsidR="00316563" w:rsidRPr="00833C88">
        <w:rPr>
          <w:rFonts w:eastAsia="Times New Roman" w:cs="Times New Roman"/>
          <w:sz w:val="24"/>
          <w:szCs w:val="24"/>
          <w:lang w:eastAsia="pl-PL"/>
        </w:rPr>
        <w:t xml:space="preserve"> Nadawca informacji może określić inaczej zakres </w:t>
      </w:r>
      <w:r w:rsidR="005B2F25" w:rsidRPr="00833C88">
        <w:rPr>
          <w:rFonts w:eastAsia="Times New Roman" w:cs="Times New Roman"/>
          <w:sz w:val="24"/>
          <w:szCs w:val="24"/>
          <w:lang w:eastAsia="pl-PL"/>
        </w:rPr>
        <w:t>udostępniania informacji.</w:t>
      </w:r>
    </w:p>
    <w:p w14:paraId="65C8C224" w14:textId="6838A587" w:rsidR="00F810E0" w:rsidRPr="00833C88" w:rsidRDefault="00647D6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Odbiorca </w:t>
      </w:r>
      <w:r w:rsidR="004420C6" w:rsidRPr="00833C88">
        <w:rPr>
          <w:rFonts w:eastAsia="Times New Roman" w:cs="Times New Roman"/>
          <w:sz w:val="24"/>
          <w:szCs w:val="24"/>
          <w:lang w:eastAsia="pl-PL"/>
        </w:rPr>
        <w:t xml:space="preserve">informacji </w:t>
      </w:r>
      <w:r w:rsidR="008F4948" w:rsidRPr="00833C88">
        <w:rPr>
          <w:rFonts w:eastAsia="Times New Roman" w:cs="Times New Roman"/>
          <w:sz w:val="24"/>
          <w:szCs w:val="24"/>
          <w:lang w:eastAsia="pl-PL"/>
        </w:rPr>
        <w:t xml:space="preserve">może odpowiadać cywilnie za wyrządzenie szkody wywołanej </w:t>
      </w:r>
      <w:r w:rsidR="00C72828" w:rsidRPr="00833C88">
        <w:rPr>
          <w:rFonts w:eastAsia="Times New Roman" w:cs="Times New Roman"/>
          <w:sz w:val="24"/>
          <w:szCs w:val="24"/>
          <w:lang w:eastAsia="pl-PL"/>
        </w:rPr>
        <w:t xml:space="preserve">przez ujawnienie informacji niezgodnie z zakresem przedstawionym przez </w:t>
      </w:r>
      <w:r w:rsidR="006C1F51" w:rsidRPr="00833C88">
        <w:rPr>
          <w:rFonts w:eastAsia="Times New Roman" w:cs="Times New Roman"/>
          <w:sz w:val="24"/>
          <w:szCs w:val="24"/>
          <w:lang w:eastAsia="pl-PL"/>
        </w:rPr>
        <w:t>nadawcę informacji.</w:t>
      </w:r>
    </w:p>
    <w:p w14:paraId="562C9DC0" w14:textId="630106C9" w:rsidR="000F7E06" w:rsidRPr="00833C88" w:rsidRDefault="0073537E" w:rsidP="000F7E06">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Należy przy tym traktować przepisy </w:t>
      </w:r>
      <w:r w:rsidR="000F7E06" w:rsidRPr="00833C88">
        <w:rPr>
          <w:rFonts w:eastAsia="Times New Roman" w:cs="Times New Roman"/>
          <w:sz w:val="24"/>
          <w:szCs w:val="24"/>
          <w:lang w:eastAsia="pl-PL"/>
        </w:rPr>
        <w:t>ustawy</w:t>
      </w:r>
      <w:r w:rsidR="00A406CF" w:rsidRPr="00833C88">
        <w:rPr>
          <w:rFonts w:eastAsia="Times New Roman" w:cs="Times New Roman"/>
          <w:sz w:val="24"/>
          <w:szCs w:val="24"/>
          <w:lang w:eastAsia="pl-PL"/>
        </w:rPr>
        <w:t xml:space="preserve"> z dnia 5 sierpnia 2010 r.</w:t>
      </w:r>
      <w:r w:rsidR="000F7E06" w:rsidRPr="00833C88">
        <w:rPr>
          <w:rFonts w:eastAsia="Times New Roman" w:cs="Times New Roman"/>
          <w:sz w:val="24"/>
          <w:szCs w:val="24"/>
          <w:lang w:eastAsia="pl-PL"/>
        </w:rPr>
        <w:t xml:space="preserve"> o ochronie informacji niejawnych</w:t>
      </w:r>
      <w:r w:rsidR="00A406CF" w:rsidRPr="00833C88">
        <w:rPr>
          <w:rFonts w:eastAsia="Times New Roman" w:cs="Times New Roman"/>
          <w:sz w:val="24"/>
          <w:szCs w:val="24"/>
          <w:lang w:eastAsia="pl-PL"/>
        </w:rPr>
        <w:t xml:space="preserve"> jako lex </w:t>
      </w:r>
      <w:proofErr w:type="spellStart"/>
      <w:r w:rsidR="00A406CF" w:rsidRPr="00833C88">
        <w:rPr>
          <w:rFonts w:eastAsia="Times New Roman" w:cs="Times New Roman"/>
          <w:sz w:val="24"/>
          <w:szCs w:val="24"/>
          <w:lang w:eastAsia="pl-PL"/>
        </w:rPr>
        <w:t>specialis</w:t>
      </w:r>
      <w:proofErr w:type="spellEnd"/>
      <w:r w:rsidR="00A406CF" w:rsidRPr="00833C88">
        <w:rPr>
          <w:rFonts w:eastAsia="Times New Roman" w:cs="Times New Roman"/>
          <w:sz w:val="24"/>
          <w:szCs w:val="24"/>
          <w:lang w:eastAsia="pl-PL"/>
        </w:rPr>
        <w:t xml:space="preserve"> względ</w:t>
      </w:r>
      <w:r w:rsidR="00546503" w:rsidRPr="00833C88">
        <w:rPr>
          <w:rFonts w:eastAsia="Times New Roman" w:cs="Times New Roman"/>
          <w:sz w:val="24"/>
          <w:szCs w:val="24"/>
          <w:lang w:eastAsia="pl-PL"/>
        </w:rPr>
        <w:t xml:space="preserve">em proponowanego uprawnienia do wymiany informacji – w szczególności dotyczy do klasyfikacji informacji jako niejawnych </w:t>
      </w:r>
      <w:r w:rsidR="0097746B" w:rsidRPr="00833C88">
        <w:rPr>
          <w:rFonts w:eastAsia="Times New Roman" w:cs="Times New Roman"/>
          <w:sz w:val="24"/>
          <w:szCs w:val="24"/>
          <w:lang w:eastAsia="pl-PL"/>
        </w:rPr>
        <w:t>i udostępnianie ich w</w:t>
      </w:r>
      <w:r w:rsidR="00337E43" w:rsidRPr="00833C88">
        <w:rPr>
          <w:rFonts w:eastAsia="Times New Roman" w:cs="Times New Roman"/>
          <w:sz w:val="24"/>
          <w:szCs w:val="24"/>
          <w:lang w:eastAsia="pl-PL"/>
        </w:rPr>
        <w:t> </w:t>
      </w:r>
      <w:r w:rsidR="0097746B" w:rsidRPr="00833C88">
        <w:rPr>
          <w:rFonts w:eastAsia="Times New Roman" w:cs="Times New Roman"/>
          <w:sz w:val="24"/>
          <w:szCs w:val="24"/>
          <w:lang w:eastAsia="pl-PL"/>
        </w:rPr>
        <w:t>ściśle określonym trybie.</w:t>
      </w:r>
    </w:p>
    <w:p w14:paraId="074B19CD" w14:textId="73691BA8" w:rsidR="00EB63A3" w:rsidRPr="00833C88" w:rsidRDefault="00CE2068" w:rsidP="00BC7BDE">
      <w:pPr>
        <w:pStyle w:val="Nagwek3"/>
        <w:spacing w:before="0" w:after="120" w:line="360" w:lineRule="auto"/>
        <w:jc w:val="both"/>
        <w:rPr>
          <w:rFonts w:cs="Times New Roman"/>
          <w:u w:val="none"/>
          <w:lang w:eastAsia="pl-PL"/>
        </w:rPr>
      </w:pPr>
      <w:r w:rsidRPr="00833C88">
        <w:rPr>
          <w:rFonts w:cs="Times New Roman"/>
          <w:b/>
          <w:bCs/>
          <w:u w:val="none"/>
          <w:lang w:eastAsia="pl-PL"/>
        </w:rPr>
        <w:t xml:space="preserve">Kolizja przepisów ustawy </w:t>
      </w:r>
      <w:r w:rsidR="00601933" w:rsidRPr="00833C88">
        <w:rPr>
          <w:rFonts w:cs="Times New Roman"/>
          <w:b/>
          <w:bCs/>
          <w:u w:val="none"/>
          <w:lang w:eastAsia="pl-PL"/>
        </w:rPr>
        <w:t>i </w:t>
      </w:r>
      <w:r w:rsidRPr="00833C88">
        <w:rPr>
          <w:rFonts w:cs="Times New Roman"/>
          <w:b/>
          <w:bCs/>
          <w:u w:val="none"/>
          <w:lang w:eastAsia="pl-PL"/>
        </w:rPr>
        <w:t>rozporządzenia DORA</w:t>
      </w:r>
    </w:p>
    <w:p w14:paraId="6F0BE6D6" w14:textId="29BD5C16" w:rsidR="00BF5DDB" w:rsidRPr="00833C88" w:rsidRDefault="00601933" w:rsidP="001C46B9">
      <w:pPr>
        <w:spacing w:line="360" w:lineRule="auto"/>
        <w:ind w:firstLine="709"/>
        <w:jc w:val="both"/>
        <w:rPr>
          <w:rFonts w:cs="Times New Roman"/>
          <w:sz w:val="24"/>
          <w:szCs w:val="24"/>
        </w:rPr>
      </w:pPr>
      <w:r w:rsidRPr="00833C88">
        <w:rPr>
          <w:rFonts w:cs="Times New Roman"/>
          <w:sz w:val="24"/>
          <w:szCs w:val="24"/>
          <w:lang w:eastAsia="pl-PL"/>
        </w:rPr>
        <w:t>W </w:t>
      </w:r>
      <w:r w:rsidR="00FD61C7" w:rsidRPr="00833C88">
        <w:rPr>
          <w:rFonts w:cs="Times New Roman"/>
          <w:sz w:val="24"/>
          <w:szCs w:val="24"/>
          <w:lang w:eastAsia="pl-PL"/>
        </w:rPr>
        <w:t>zakresie sektora bankow</w:t>
      </w:r>
      <w:r w:rsidR="00BE7D5A" w:rsidRPr="00833C88">
        <w:rPr>
          <w:rFonts w:cs="Times New Roman"/>
          <w:sz w:val="24"/>
          <w:szCs w:val="24"/>
          <w:lang w:eastAsia="pl-PL"/>
        </w:rPr>
        <w:t>ości</w:t>
      </w:r>
      <w:r w:rsidR="00FD61C7" w:rsidRPr="00833C88">
        <w:rPr>
          <w:rFonts w:cs="Times New Roman"/>
          <w:sz w:val="24"/>
          <w:szCs w:val="24"/>
          <w:lang w:eastAsia="pl-PL"/>
        </w:rPr>
        <w:t xml:space="preserve"> </w:t>
      </w:r>
      <w:r w:rsidRPr="00833C88">
        <w:rPr>
          <w:rFonts w:cs="Times New Roman"/>
          <w:sz w:val="24"/>
          <w:szCs w:val="24"/>
          <w:lang w:eastAsia="pl-PL"/>
        </w:rPr>
        <w:t>i </w:t>
      </w:r>
      <w:r w:rsidR="000171B9" w:rsidRPr="00833C88">
        <w:rPr>
          <w:rFonts w:cs="Times New Roman"/>
          <w:sz w:val="24"/>
          <w:szCs w:val="24"/>
          <w:lang w:eastAsia="pl-PL"/>
        </w:rPr>
        <w:t>infrastruktur</w:t>
      </w:r>
      <w:r w:rsidR="00C06C61" w:rsidRPr="00833C88">
        <w:rPr>
          <w:rFonts w:cs="Times New Roman"/>
          <w:sz w:val="24"/>
          <w:szCs w:val="24"/>
          <w:lang w:eastAsia="pl-PL"/>
        </w:rPr>
        <w:t>y</w:t>
      </w:r>
      <w:r w:rsidR="000171B9" w:rsidRPr="00833C88">
        <w:rPr>
          <w:rFonts w:cs="Times New Roman"/>
          <w:sz w:val="24"/>
          <w:szCs w:val="24"/>
          <w:lang w:eastAsia="pl-PL"/>
        </w:rPr>
        <w:t xml:space="preserve"> rynków finansowych ustawa </w:t>
      </w:r>
      <w:r w:rsidR="00FF6225" w:rsidRPr="00833C88">
        <w:rPr>
          <w:rFonts w:cs="Times New Roman"/>
          <w:sz w:val="24"/>
          <w:szCs w:val="24"/>
          <w:lang w:eastAsia="pl-PL"/>
        </w:rPr>
        <w:t>wskazuje, że pierwszeństwo przed nią mają przepisy</w:t>
      </w:r>
      <w:r w:rsidR="00D0072B" w:rsidRPr="00833C88">
        <w:rPr>
          <w:rFonts w:cs="Times New Roman"/>
          <w:sz w:val="24"/>
          <w:szCs w:val="24"/>
          <w:lang w:eastAsia="pl-PL"/>
        </w:rPr>
        <w:t xml:space="preserve"> rozporządzenia DORA</w:t>
      </w:r>
      <w:r w:rsidR="00F758E3" w:rsidRPr="00833C88">
        <w:rPr>
          <w:rFonts w:cs="Times New Roman"/>
          <w:sz w:val="24"/>
          <w:szCs w:val="24"/>
          <w:lang w:eastAsia="pl-PL"/>
        </w:rPr>
        <w:t xml:space="preserve">. Ma to </w:t>
      </w:r>
      <w:r w:rsidR="00DF3BD2" w:rsidRPr="00833C88">
        <w:rPr>
          <w:rFonts w:cs="Times New Roman"/>
          <w:sz w:val="24"/>
          <w:szCs w:val="24"/>
          <w:lang w:eastAsia="pl-PL"/>
        </w:rPr>
        <w:t xml:space="preserve">wyeliminować wątpliwości wynikające </w:t>
      </w:r>
      <w:r w:rsidRPr="00833C88">
        <w:rPr>
          <w:rFonts w:cs="Times New Roman"/>
          <w:sz w:val="24"/>
          <w:szCs w:val="24"/>
          <w:lang w:eastAsia="pl-PL"/>
        </w:rPr>
        <w:t>z </w:t>
      </w:r>
      <w:r w:rsidR="00F870FA" w:rsidRPr="00833C88">
        <w:rPr>
          <w:rFonts w:cs="Times New Roman"/>
          <w:sz w:val="24"/>
          <w:szCs w:val="24"/>
          <w:lang w:eastAsia="pl-PL"/>
        </w:rPr>
        <w:t xml:space="preserve">funkcjonowania </w:t>
      </w:r>
      <w:r w:rsidRPr="00833C88">
        <w:rPr>
          <w:rFonts w:cs="Times New Roman"/>
          <w:sz w:val="24"/>
          <w:szCs w:val="24"/>
          <w:lang w:eastAsia="pl-PL"/>
        </w:rPr>
        <w:t>w </w:t>
      </w:r>
      <w:r w:rsidR="00F870FA" w:rsidRPr="00833C88">
        <w:rPr>
          <w:rFonts w:cs="Times New Roman"/>
          <w:sz w:val="24"/>
          <w:szCs w:val="24"/>
          <w:lang w:eastAsia="pl-PL"/>
        </w:rPr>
        <w:t>tym obszarze</w:t>
      </w:r>
      <w:r w:rsidR="00995466" w:rsidRPr="00833C88">
        <w:rPr>
          <w:rFonts w:cs="Times New Roman"/>
          <w:sz w:val="24"/>
          <w:szCs w:val="24"/>
          <w:lang w:eastAsia="pl-PL"/>
        </w:rPr>
        <w:t>,</w:t>
      </w:r>
      <w:r w:rsidR="00F870FA" w:rsidRPr="00833C88">
        <w:rPr>
          <w:rFonts w:cs="Times New Roman"/>
          <w:sz w:val="24"/>
          <w:szCs w:val="24"/>
          <w:lang w:eastAsia="pl-PL"/>
        </w:rPr>
        <w:t xml:space="preserve"> tych dwóch aktów prawnych. </w:t>
      </w:r>
      <w:r w:rsidR="00D64470" w:rsidRPr="00833C88">
        <w:rPr>
          <w:rFonts w:cs="Times New Roman"/>
          <w:sz w:val="24"/>
          <w:szCs w:val="24"/>
          <w:lang w:eastAsia="pl-PL"/>
        </w:rPr>
        <w:t xml:space="preserve">Dyrektywa </w:t>
      </w:r>
      <w:r w:rsidR="00584365" w:rsidRPr="00833C88">
        <w:rPr>
          <w:rFonts w:cs="Times New Roman"/>
          <w:sz w:val="24"/>
          <w:szCs w:val="24"/>
          <w:lang w:eastAsia="pl-PL"/>
        </w:rPr>
        <w:t xml:space="preserve">NIS 2 </w:t>
      </w:r>
      <w:r w:rsidRPr="00833C88">
        <w:rPr>
          <w:rFonts w:cs="Times New Roman"/>
          <w:sz w:val="24"/>
          <w:szCs w:val="24"/>
          <w:lang w:eastAsia="pl-PL"/>
        </w:rPr>
        <w:t>w </w:t>
      </w:r>
      <w:r w:rsidR="00584365" w:rsidRPr="00833C88">
        <w:rPr>
          <w:rFonts w:cs="Times New Roman"/>
          <w:sz w:val="24"/>
          <w:szCs w:val="24"/>
          <w:lang w:eastAsia="pl-PL"/>
        </w:rPr>
        <w:t xml:space="preserve">artykule </w:t>
      </w:r>
      <w:r w:rsidR="006B4DBE" w:rsidRPr="00833C88">
        <w:rPr>
          <w:rFonts w:cs="Times New Roman"/>
          <w:sz w:val="24"/>
          <w:szCs w:val="24"/>
          <w:lang w:eastAsia="pl-PL"/>
        </w:rPr>
        <w:t xml:space="preserve">4 wskazuje na pierwszeństwo sektorowych aktów unijnych </w:t>
      </w:r>
      <w:r w:rsidRPr="00833C88">
        <w:rPr>
          <w:rFonts w:cs="Times New Roman"/>
          <w:sz w:val="24"/>
          <w:szCs w:val="24"/>
          <w:lang w:eastAsia="pl-PL"/>
        </w:rPr>
        <w:t>z </w:t>
      </w:r>
      <w:r w:rsidR="006B4DBE" w:rsidRPr="00833C88">
        <w:rPr>
          <w:rFonts w:cs="Times New Roman"/>
          <w:sz w:val="24"/>
          <w:szCs w:val="24"/>
          <w:lang w:eastAsia="pl-PL"/>
        </w:rPr>
        <w:t xml:space="preserve">zakresu </w:t>
      </w:r>
      <w:r w:rsidR="00833C88">
        <w:rPr>
          <w:rFonts w:cs="Times New Roman"/>
          <w:sz w:val="24"/>
          <w:szCs w:val="24"/>
          <w:lang w:eastAsia="pl-PL"/>
        </w:rPr>
        <w:t>c</w:t>
      </w:r>
      <w:r w:rsidR="006B4DBE" w:rsidRPr="00833C88">
        <w:rPr>
          <w:rFonts w:cs="Times New Roman"/>
          <w:sz w:val="24"/>
          <w:szCs w:val="24"/>
          <w:lang w:eastAsia="pl-PL"/>
        </w:rPr>
        <w:t xml:space="preserve">yberbezpieczeństwa </w:t>
      </w:r>
      <w:r w:rsidRPr="00833C88">
        <w:rPr>
          <w:rFonts w:cs="Times New Roman"/>
          <w:sz w:val="24"/>
          <w:szCs w:val="24"/>
          <w:lang w:eastAsia="pl-PL"/>
        </w:rPr>
        <w:t>w </w:t>
      </w:r>
      <w:r w:rsidR="006B4DBE" w:rsidRPr="00833C88">
        <w:rPr>
          <w:rFonts w:cs="Times New Roman"/>
          <w:sz w:val="24"/>
          <w:szCs w:val="24"/>
          <w:lang w:eastAsia="pl-PL"/>
        </w:rPr>
        <w:t>zakresie środków zarządzania ryzykiem oraz zgłaszania incydentów.</w:t>
      </w:r>
      <w:r w:rsidR="003A54FE" w:rsidRPr="00833C88">
        <w:rPr>
          <w:rFonts w:cs="Times New Roman"/>
          <w:sz w:val="24"/>
          <w:szCs w:val="24"/>
          <w:lang w:eastAsia="pl-PL"/>
        </w:rPr>
        <w:t xml:space="preserve"> Komunikat Komisji – Wytyczne Komisji dotyczące stosowania art. 4 ust. 1 </w:t>
      </w:r>
      <w:r w:rsidRPr="00833C88">
        <w:rPr>
          <w:rFonts w:cs="Times New Roman"/>
          <w:sz w:val="24"/>
          <w:szCs w:val="24"/>
          <w:lang w:eastAsia="pl-PL"/>
        </w:rPr>
        <w:t>i </w:t>
      </w:r>
      <w:r w:rsidR="003A54FE" w:rsidRPr="00833C88">
        <w:rPr>
          <w:rFonts w:cs="Times New Roman"/>
          <w:sz w:val="24"/>
          <w:szCs w:val="24"/>
          <w:lang w:eastAsia="pl-PL"/>
        </w:rPr>
        <w:t>2 dyrektywy (UE) 2022/2555 (NIS 2)</w:t>
      </w:r>
      <w:r w:rsidR="00617722" w:rsidRPr="00833C88">
        <w:rPr>
          <w:rFonts w:cs="Times New Roman"/>
          <w:sz w:val="24"/>
          <w:szCs w:val="24"/>
          <w:lang w:eastAsia="pl-PL"/>
        </w:rPr>
        <w:t xml:space="preserve"> 2023/C 328/02 </w:t>
      </w:r>
      <w:r w:rsidR="005146E6" w:rsidRPr="00833C88">
        <w:rPr>
          <w:rFonts w:cs="Times New Roman"/>
          <w:sz w:val="24"/>
          <w:szCs w:val="24"/>
          <w:lang w:eastAsia="pl-PL"/>
        </w:rPr>
        <w:t>(</w:t>
      </w:r>
      <w:r w:rsidR="00617722" w:rsidRPr="00833C88">
        <w:rPr>
          <w:rFonts w:cs="Times New Roman"/>
          <w:sz w:val="24"/>
          <w:szCs w:val="24"/>
          <w:lang w:eastAsia="pl-PL"/>
        </w:rPr>
        <w:t>Dz.</w:t>
      </w:r>
      <w:r w:rsidR="009E73C7" w:rsidRPr="00833C88">
        <w:rPr>
          <w:rFonts w:cs="Times New Roman"/>
          <w:sz w:val="24"/>
          <w:szCs w:val="24"/>
          <w:lang w:eastAsia="pl-PL"/>
        </w:rPr>
        <w:t xml:space="preserve"> </w:t>
      </w:r>
      <w:r w:rsidR="00617722" w:rsidRPr="00833C88">
        <w:rPr>
          <w:rFonts w:cs="Times New Roman"/>
          <w:sz w:val="24"/>
          <w:szCs w:val="24"/>
          <w:lang w:eastAsia="pl-PL"/>
        </w:rPr>
        <w:t xml:space="preserve">Urz. UE C 328 </w:t>
      </w:r>
      <w:r w:rsidRPr="00833C88">
        <w:rPr>
          <w:rFonts w:cs="Times New Roman"/>
          <w:sz w:val="24"/>
          <w:szCs w:val="24"/>
          <w:lang w:eastAsia="pl-PL"/>
        </w:rPr>
        <w:t>z </w:t>
      </w:r>
      <w:proofErr w:type="gramStart"/>
      <w:r w:rsidR="00617722" w:rsidRPr="00833C88">
        <w:rPr>
          <w:rFonts w:cs="Times New Roman"/>
          <w:sz w:val="24"/>
          <w:szCs w:val="24"/>
          <w:lang w:eastAsia="pl-PL"/>
        </w:rPr>
        <w:t>18.9.2023</w:t>
      </w:r>
      <w:proofErr w:type="gramEnd"/>
      <w:r w:rsidR="00617722" w:rsidRPr="00833C88">
        <w:rPr>
          <w:rFonts w:cs="Times New Roman"/>
          <w:sz w:val="24"/>
          <w:szCs w:val="24"/>
          <w:lang w:eastAsia="pl-PL"/>
        </w:rPr>
        <w:t>, str. 2</w:t>
      </w:r>
      <w:r w:rsidR="005146E6" w:rsidRPr="00833C88">
        <w:rPr>
          <w:rFonts w:cs="Times New Roman"/>
          <w:sz w:val="24"/>
          <w:szCs w:val="24"/>
          <w:lang w:eastAsia="pl-PL"/>
        </w:rPr>
        <w:t>)</w:t>
      </w:r>
      <w:r w:rsidR="00617722" w:rsidRPr="00833C88">
        <w:rPr>
          <w:rFonts w:cs="Times New Roman"/>
          <w:sz w:val="24"/>
          <w:szCs w:val="24"/>
          <w:lang w:eastAsia="pl-PL"/>
        </w:rPr>
        <w:t xml:space="preserve"> wskazuje, że </w:t>
      </w:r>
      <w:r w:rsidR="00540791" w:rsidRPr="00833C88">
        <w:rPr>
          <w:rFonts w:cs="Times New Roman"/>
          <w:sz w:val="24"/>
          <w:szCs w:val="24"/>
          <w:lang w:eastAsia="pl-PL"/>
        </w:rPr>
        <w:t xml:space="preserve">rozporządzenie DORA jest takim </w:t>
      </w:r>
      <w:r w:rsidR="0052369F" w:rsidRPr="00833C88">
        <w:rPr>
          <w:rFonts w:cs="Times New Roman"/>
          <w:sz w:val="24"/>
          <w:szCs w:val="24"/>
          <w:lang w:eastAsia="pl-PL"/>
        </w:rPr>
        <w:t xml:space="preserve">aktem </w:t>
      </w:r>
      <w:r w:rsidRPr="00833C88">
        <w:rPr>
          <w:rFonts w:cs="Times New Roman"/>
          <w:sz w:val="24"/>
          <w:szCs w:val="24"/>
          <w:lang w:eastAsia="pl-PL"/>
        </w:rPr>
        <w:t>w </w:t>
      </w:r>
      <w:r w:rsidR="0052369F" w:rsidRPr="00833C88">
        <w:rPr>
          <w:rFonts w:cs="Times New Roman"/>
          <w:sz w:val="24"/>
          <w:szCs w:val="24"/>
          <w:lang w:eastAsia="pl-PL"/>
        </w:rPr>
        <w:t xml:space="preserve">zakresie </w:t>
      </w:r>
      <w:r w:rsidR="00B147E6" w:rsidRPr="00833C88">
        <w:rPr>
          <w:rFonts w:cs="Times New Roman"/>
          <w:sz w:val="24"/>
          <w:szCs w:val="24"/>
          <w:lang w:eastAsia="pl-PL"/>
        </w:rPr>
        <w:t xml:space="preserve">podmiotów kluczowych </w:t>
      </w:r>
      <w:r w:rsidRPr="00833C88">
        <w:rPr>
          <w:rFonts w:cs="Times New Roman"/>
          <w:sz w:val="24"/>
          <w:szCs w:val="24"/>
          <w:lang w:eastAsia="pl-PL"/>
        </w:rPr>
        <w:t>i </w:t>
      </w:r>
      <w:r w:rsidR="00B147E6" w:rsidRPr="00833C88">
        <w:rPr>
          <w:rFonts w:cs="Times New Roman"/>
          <w:sz w:val="24"/>
          <w:szCs w:val="24"/>
          <w:lang w:eastAsia="pl-PL"/>
        </w:rPr>
        <w:t xml:space="preserve">podmiotów ważnych </w:t>
      </w:r>
      <w:r w:rsidRPr="00833C88">
        <w:rPr>
          <w:rFonts w:cs="Times New Roman"/>
          <w:sz w:val="24"/>
          <w:szCs w:val="24"/>
          <w:lang w:eastAsia="pl-PL"/>
        </w:rPr>
        <w:t>z </w:t>
      </w:r>
      <w:r w:rsidR="00B147E6" w:rsidRPr="00833C88">
        <w:rPr>
          <w:rFonts w:cs="Times New Roman"/>
          <w:sz w:val="24"/>
          <w:szCs w:val="24"/>
          <w:lang w:eastAsia="pl-PL"/>
        </w:rPr>
        <w:t>sektora bankow</w:t>
      </w:r>
      <w:r w:rsidR="00BE7D5A" w:rsidRPr="00833C88">
        <w:rPr>
          <w:rFonts w:cs="Times New Roman"/>
          <w:sz w:val="24"/>
          <w:szCs w:val="24"/>
          <w:lang w:eastAsia="pl-PL"/>
        </w:rPr>
        <w:t>ości</w:t>
      </w:r>
      <w:r w:rsidR="00B147E6" w:rsidRPr="00833C88">
        <w:rPr>
          <w:rFonts w:cs="Times New Roman"/>
          <w:sz w:val="24"/>
          <w:szCs w:val="24"/>
          <w:lang w:eastAsia="pl-PL"/>
        </w:rPr>
        <w:t xml:space="preserve"> </w:t>
      </w:r>
      <w:r w:rsidRPr="00833C88">
        <w:rPr>
          <w:rFonts w:cs="Times New Roman"/>
          <w:sz w:val="24"/>
          <w:szCs w:val="24"/>
          <w:lang w:eastAsia="pl-PL"/>
        </w:rPr>
        <w:t>i </w:t>
      </w:r>
      <w:r w:rsidR="00B147E6" w:rsidRPr="00833C88">
        <w:rPr>
          <w:rFonts w:cs="Times New Roman"/>
          <w:sz w:val="24"/>
          <w:szCs w:val="24"/>
          <w:lang w:eastAsia="pl-PL"/>
        </w:rPr>
        <w:t xml:space="preserve">infrastruktury rynków finansowych. Zgodnie </w:t>
      </w:r>
      <w:r w:rsidRPr="00833C88">
        <w:rPr>
          <w:rFonts w:cs="Times New Roman"/>
          <w:sz w:val="24"/>
          <w:szCs w:val="24"/>
          <w:lang w:eastAsia="pl-PL"/>
        </w:rPr>
        <w:lastRenderedPageBreak/>
        <w:t>z </w:t>
      </w:r>
      <w:r w:rsidR="00B147E6" w:rsidRPr="00833C88">
        <w:rPr>
          <w:rFonts w:cs="Times New Roman"/>
          <w:sz w:val="24"/>
          <w:szCs w:val="24"/>
          <w:lang w:eastAsia="pl-PL"/>
        </w:rPr>
        <w:t xml:space="preserve">proponowanym art. 8i </w:t>
      </w:r>
      <w:r w:rsidRPr="00833C88">
        <w:rPr>
          <w:rFonts w:cs="Times New Roman"/>
          <w:sz w:val="24"/>
          <w:szCs w:val="24"/>
          <w:lang w:eastAsia="pl-PL"/>
        </w:rPr>
        <w:t>w </w:t>
      </w:r>
      <w:r w:rsidR="00C3798C" w:rsidRPr="00833C88">
        <w:rPr>
          <w:rFonts w:cs="Times New Roman"/>
          <w:sz w:val="24"/>
          <w:szCs w:val="24"/>
          <w:lang w:eastAsia="pl-PL"/>
        </w:rPr>
        <w:t xml:space="preserve">ustawie </w:t>
      </w:r>
      <w:r w:rsidRPr="00833C88">
        <w:rPr>
          <w:rFonts w:cs="Times New Roman"/>
          <w:sz w:val="24"/>
          <w:szCs w:val="24"/>
          <w:lang w:eastAsia="pl-PL"/>
        </w:rPr>
        <w:t>o </w:t>
      </w:r>
      <w:r w:rsidR="00C3798C" w:rsidRPr="00833C88">
        <w:rPr>
          <w:rFonts w:cs="Times New Roman"/>
          <w:sz w:val="24"/>
          <w:szCs w:val="24"/>
          <w:lang w:eastAsia="pl-PL"/>
        </w:rPr>
        <w:t xml:space="preserve">KSC </w:t>
      </w:r>
      <w:r w:rsidR="00B147E6" w:rsidRPr="00833C88">
        <w:rPr>
          <w:rFonts w:cs="Times New Roman"/>
          <w:sz w:val="24"/>
          <w:szCs w:val="24"/>
          <w:lang w:eastAsia="pl-PL"/>
        </w:rPr>
        <w:t xml:space="preserve">pierwszeństwo nad ustawą </w:t>
      </w:r>
      <w:r w:rsidRPr="00833C88">
        <w:rPr>
          <w:rFonts w:cs="Times New Roman"/>
          <w:sz w:val="24"/>
          <w:szCs w:val="24"/>
          <w:lang w:eastAsia="pl-PL"/>
        </w:rPr>
        <w:t>o </w:t>
      </w:r>
      <w:r w:rsidR="00B147E6" w:rsidRPr="00833C88">
        <w:rPr>
          <w:rFonts w:cs="Times New Roman"/>
          <w:sz w:val="24"/>
          <w:szCs w:val="24"/>
          <w:lang w:eastAsia="pl-PL"/>
        </w:rPr>
        <w:t xml:space="preserve">KSC </w:t>
      </w:r>
      <w:r w:rsidR="00995001" w:rsidRPr="00833C88">
        <w:rPr>
          <w:rFonts w:cs="Times New Roman"/>
          <w:sz w:val="24"/>
          <w:szCs w:val="24"/>
          <w:lang w:eastAsia="pl-PL"/>
        </w:rPr>
        <w:t xml:space="preserve">mają regulacje DORA, </w:t>
      </w:r>
      <w:r w:rsidRPr="00833C88">
        <w:rPr>
          <w:rFonts w:cs="Times New Roman"/>
          <w:sz w:val="24"/>
          <w:szCs w:val="24"/>
          <w:lang w:eastAsia="pl-PL"/>
        </w:rPr>
        <w:t>z </w:t>
      </w:r>
      <w:r w:rsidR="00995001" w:rsidRPr="00833C88">
        <w:rPr>
          <w:rFonts w:cs="Times New Roman"/>
          <w:sz w:val="24"/>
          <w:szCs w:val="24"/>
          <w:lang w:eastAsia="pl-PL"/>
        </w:rPr>
        <w:t>tym że</w:t>
      </w:r>
      <w:r w:rsidR="009B4C26" w:rsidRPr="00833C88">
        <w:rPr>
          <w:rFonts w:cs="Times New Roman"/>
          <w:sz w:val="24"/>
          <w:szCs w:val="24"/>
          <w:lang w:eastAsia="pl-PL"/>
        </w:rPr>
        <w:t> </w:t>
      </w:r>
      <w:r w:rsidR="00995001" w:rsidRPr="00833C88">
        <w:rPr>
          <w:rFonts w:cs="Times New Roman"/>
          <w:sz w:val="24"/>
          <w:szCs w:val="24"/>
          <w:lang w:eastAsia="pl-PL"/>
        </w:rPr>
        <w:t>do</w:t>
      </w:r>
      <w:r w:rsidR="009B4C26" w:rsidRPr="00833C88">
        <w:rPr>
          <w:rFonts w:cs="Times New Roman"/>
          <w:sz w:val="24"/>
          <w:szCs w:val="24"/>
          <w:lang w:eastAsia="pl-PL"/>
        </w:rPr>
        <w:t> </w:t>
      </w:r>
      <w:r w:rsidR="00995001" w:rsidRPr="00833C88">
        <w:rPr>
          <w:rFonts w:cs="Times New Roman"/>
          <w:sz w:val="24"/>
          <w:szCs w:val="24"/>
        </w:rPr>
        <w:t xml:space="preserve">podmiotów kluczowych </w:t>
      </w:r>
      <w:r w:rsidRPr="00833C88">
        <w:rPr>
          <w:rFonts w:cs="Times New Roman"/>
          <w:sz w:val="24"/>
          <w:szCs w:val="24"/>
        </w:rPr>
        <w:t>i </w:t>
      </w:r>
      <w:r w:rsidR="00995001" w:rsidRPr="00833C88">
        <w:rPr>
          <w:rFonts w:cs="Times New Roman"/>
          <w:sz w:val="24"/>
          <w:szCs w:val="24"/>
        </w:rPr>
        <w:t xml:space="preserve">podmiotów ważnych </w:t>
      </w:r>
      <w:r w:rsidRPr="00833C88">
        <w:rPr>
          <w:rFonts w:cs="Times New Roman"/>
          <w:sz w:val="24"/>
          <w:szCs w:val="24"/>
        </w:rPr>
        <w:t>z </w:t>
      </w:r>
      <w:r w:rsidR="00995001" w:rsidRPr="00833C88">
        <w:rPr>
          <w:rFonts w:cs="Times New Roman"/>
          <w:sz w:val="24"/>
          <w:szCs w:val="24"/>
        </w:rPr>
        <w:t>sektora bankow</w:t>
      </w:r>
      <w:r w:rsidR="00BE7D5A" w:rsidRPr="00833C88">
        <w:rPr>
          <w:rFonts w:cs="Times New Roman"/>
          <w:sz w:val="24"/>
          <w:szCs w:val="24"/>
        </w:rPr>
        <w:t>ości</w:t>
      </w:r>
      <w:r w:rsidR="00995001" w:rsidRPr="00833C88">
        <w:rPr>
          <w:rFonts w:cs="Times New Roman"/>
          <w:sz w:val="24"/>
          <w:szCs w:val="24"/>
        </w:rPr>
        <w:t xml:space="preserve"> </w:t>
      </w:r>
      <w:r w:rsidRPr="00833C88">
        <w:rPr>
          <w:rFonts w:cs="Times New Roman"/>
          <w:sz w:val="24"/>
          <w:szCs w:val="24"/>
        </w:rPr>
        <w:t>i </w:t>
      </w:r>
      <w:r w:rsidR="00995001" w:rsidRPr="00833C88">
        <w:rPr>
          <w:rFonts w:cs="Times New Roman"/>
          <w:sz w:val="24"/>
          <w:szCs w:val="24"/>
        </w:rPr>
        <w:t xml:space="preserve">infrastruktury rynków finansowych stosuje się przepisy </w:t>
      </w:r>
      <w:r w:rsidR="00233243" w:rsidRPr="00833C88">
        <w:rPr>
          <w:rFonts w:cs="Times New Roman"/>
          <w:sz w:val="24"/>
          <w:szCs w:val="24"/>
        </w:rPr>
        <w:t xml:space="preserve">art. 3a (czynności dopuszczalne </w:t>
      </w:r>
      <w:r w:rsidRPr="00833C88">
        <w:rPr>
          <w:rFonts w:cs="Times New Roman"/>
          <w:sz w:val="24"/>
          <w:szCs w:val="24"/>
        </w:rPr>
        <w:t>w </w:t>
      </w:r>
      <w:r w:rsidR="00233243" w:rsidRPr="00833C88">
        <w:rPr>
          <w:rFonts w:cs="Times New Roman"/>
          <w:sz w:val="24"/>
          <w:szCs w:val="24"/>
        </w:rPr>
        <w:t>ramach obsługi incydentów), art. 5 ust. 1–3 (</w:t>
      </w:r>
      <w:r w:rsidR="00AC7619" w:rsidRPr="00833C88">
        <w:rPr>
          <w:rFonts w:cs="Times New Roman"/>
          <w:sz w:val="24"/>
          <w:szCs w:val="24"/>
        </w:rPr>
        <w:t xml:space="preserve">kryteria podmiotu kluczowego </w:t>
      </w:r>
      <w:r w:rsidRPr="00833C88">
        <w:rPr>
          <w:rFonts w:cs="Times New Roman"/>
          <w:sz w:val="24"/>
          <w:szCs w:val="24"/>
        </w:rPr>
        <w:t>i </w:t>
      </w:r>
      <w:r w:rsidR="00AC7619" w:rsidRPr="00833C88">
        <w:rPr>
          <w:rFonts w:cs="Times New Roman"/>
          <w:sz w:val="24"/>
          <w:szCs w:val="24"/>
        </w:rPr>
        <w:t>podmiotu ważnego)</w:t>
      </w:r>
      <w:r w:rsidR="00233243" w:rsidRPr="00833C88">
        <w:rPr>
          <w:rFonts w:cs="Times New Roman"/>
          <w:sz w:val="24"/>
          <w:szCs w:val="24"/>
        </w:rPr>
        <w:t>, art. 7–7m</w:t>
      </w:r>
      <w:r w:rsidR="00AC7619" w:rsidRPr="00833C88">
        <w:rPr>
          <w:rFonts w:cs="Times New Roman"/>
          <w:sz w:val="24"/>
          <w:szCs w:val="24"/>
        </w:rPr>
        <w:t xml:space="preserve"> (przepisy </w:t>
      </w:r>
      <w:r w:rsidRPr="00833C88">
        <w:rPr>
          <w:rFonts w:cs="Times New Roman"/>
          <w:sz w:val="24"/>
          <w:szCs w:val="24"/>
        </w:rPr>
        <w:t>o </w:t>
      </w:r>
      <w:r w:rsidR="00AC7619" w:rsidRPr="00833C88">
        <w:rPr>
          <w:rFonts w:cs="Times New Roman"/>
          <w:sz w:val="24"/>
          <w:szCs w:val="24"/>
        </w:rPr>
        <w:t xml:space="preserve">wykazie podmiotów kluczowych </w:t>
      </w:r>
      <w:r w:rsidRPr="00833C88">
        <w:rPr>
          <w:rFonts w:cs="Times New Roman"/>
          <w:sz w:val="24"/>
          <w:szCs w:val="24"/>
        </w:rPr>
        <w:t>i </w:t>
      </w:r>
      <w:r w:rsidR="00EB63A3" w:rsidRPr="00833C88">
        <w:rPr>
          <w:rFonts w:cs="Times New Roman"/>
          <w:sz w:val="24"/>
          <w:szCs w:val="24"/>
        </w:rPr>
        <w:t xml:space="preserve">podmiotów </w:t>
      </w:r>
      <w:r w:rsidR="00AC7619" w:rsidRPr="00833C88">
        <w:rPr>
          <w:rFonts w:cs="Times New Roman"/>
          <w:sz w:val="24"/>
          <w:szCs w:val="24"/>
        </w:rPr>
        <w:t>ważnych)</w:t>
      </w:r>
      <w:r w:rsidR="00233243" w:rsidRPr="00833C88">
        <w:rPr>
          <w:rFonts w:cs="Times New Roman"/>
          <w:sz w:val="24"/>
          <w:szCs w:val="24"/>
        </w:rPr>
        <w:t>, art.</w:t>
      </w:r>
      <w:r w:rsidR="00337E43" w:rsidRPr="00833C88">
        <w:rPr>
          <w:rFonts w:cs="Times New Roman"/>
          <w:sz w:val="24"/>
          <w:szCs w:val="24"/>
        </w:rPr>
        <w:t> </w:t>
      </w:r>
      <w:r w:rsidR="00233243" w:rsidRPr="00833C88">
        <w:rPr>
          <w:rFonts w:cs="Times New Roman"/>
          <w:sz w:val="24"/>
          <w:szCs w:val="24"/>
        </w:rPr>
        <w:t>8 ust. 1 pkt 1</w:t>
      </w:r>
      <w:r w:rsidR="00BB5CAD" w:rsidRPr="00833C88">
        <w:rPr>
          <w:rFonts w:cs="Times New Roman"/>
          <w:sz w:val="24"/>
          <w:szCs w:val="24"/>
        </w:rPr>
        <w:t xml:space="preserve"> (obowiązek prowadzenia systematycznego szacowania ryzyka wystąpienia incydentu)</w:t>
      </w:r>
      <w:r w:rsidR="00233243" w:rsidRPr="00833C88">
        <w:rPr>
          <w:rFonts w:cs="Times New Roman"/>
          <w:sz w:val="24"/>
          <w:szCs w:val="24"/>
        </w:rPr>
        <w:t xml:space="preserve"> </w:t>
      </w:r>
      <w:r w:rsidRPr="00833C88">
        <w:rPr>
          <w:rFonts w:cs="Times New Roman"/>
          <w:sz w:val="24"/>
          <w:szCs w:val="24"/>
        </w:rPr>
        <w:t>i </w:t>
      </w:r>
      <w:r w:rsidR="00233243" w:rsidRPr="00833C88">
        <w:rPr>
          <w:rFonts w:cs="Times New Roman"/>
          <w:sz w:val="24"/>
          <w:szCs w:val="24"/>
        </w:rPr>
        <w:t>pkt 2 lit. j</w:t>
      </w:r>
      <w:r w:rsidR="00BB5CAD" w:rsidRPr="00833C88">
        <w:rPr>
          <w:rFonts w:cs="Times New Roman"/>
          <w:sz w:val="24"/>
          <w:szCs w:val="24"/>
        </w:rPr>
        <w:t xml:space="preserve"> (obowiązek stosowania podstawowych zasad </w:t>
      </w:r>
      <w:proofErr w:type="spellStart"/>
      <w:r w:rsidR="00BB5CAD" w:rsidRPr="00833C88">
        <w:rPr>
          <w:rFonts w:cs="Times New Roman"/>
          <w:sz w:val="24"/>
          <w:szCs w:val="24"/>
        </w:rPr>
        <w:t>cyberhigieny</w:t>
      </w:r>
      <w:proofErr w:type="spellEnd"/>
      <w:r w:rsidR="00BB5CAD" w:rsidRPr="00833C88">
        <w:rPr>
          <w:rFonts w:cs="Times New Roman"/>
          <w:sz w:val="24"/>
          <w:szCs w:val="24"/>
        </w:rPr>
        <w:t>)</w:t>
      </w:r>
      <w:r w:rsidR="00233243" w:rsidRPr="00833C88">
        <w:rPr>
          <w:rFonts w:cs="Times New Roman"/>
          <w:sz w:val="24"/>
          <w:szCs w:val="24"/>
        </w:rPr>
        <w:t>, art. 8h</w:t>
      </w:r>
      <w:r w:rsidR="001847E0" w:rsidRPr="00833C88">
        <w:rPr>
          <w:rFonts w:cs="Times New Roman"/>
          <w:sz w:val="24"/>
          <w:szCs w:val="24"/>
        </w:rPr>
        <w:t xml:space="preserve"> (dopuszczalność wymiany informacji)</w:t>
      </w:r>
      <w:r w:rsidR="00233243" w:rsidRPr="00833C88">
        <w:rPr>
          <w:rFonts w:cs="Times New Roman"/>
          <w:sz w:val="24"/>
          <w:szCs w:val="24"/>
        </w:rPr>
        <w:t>, art. 9</w:t>
      </w:r>
      <w:r w:rsidR="001847E0" w:rsidRPr="00833C88">
        <w:rPr>
          <w:rFonts w:cs="Times New Roman"/>
          <w:sz w:val="24"/>
          <w:szCs w:val="24"/>
        </w:rPr>
        <w:t xml:space="preserve"> (obowiązki </w:t>
      </w:r>
      <w:r w:rsidRPr="00833C88">
        <w:rPr>
          <w:rFonts w:cs="Times New Roman"/>
          <w:sz w:val="24"/>
          <w:szCs w:val="24"/>
        </w:rPr>
        <w:t>w </w:t>
      </w:r>
      <w:r w:rsidR="001847E0" w:rsidRPr="00833C88">
        <w:rPr>
          <w:rFonts w:cs="Times New Roman"/>
          <w:sz w:val="24"/>
          <w:szCs w:val="24"/>
        </w:rPr>
        <w:t>zakresie wyznaczenia osób kontaktowych)</w:t>
      </w:r>
      <w:r w:rsidR="00233243" w:rsidRPr="00833C88">
        <w:rPr>
          <w:rFonts w:cs="Times New Roman"/>
          <w:sz w:val="24"/>
          <w:szCs w:val="24"/>
        </w:rPr>
        <w:t>, art. 11 ust. 1 pkt 5</w:t>
      </w:r>
      <w:r w:rsidR="0080172D" w:rsidRPr="00833C88">
        <w:rPr>
          <w:rFonts w:cs="Times New Roman"/>
          <w:sz w:val="24"/>
          <w:szCs w:val="24"/>
        </w:rPr>
        <w:t xml:space="preserve"> </w:t>
      </w:r>
      <w:r w:rsidR="00073349" w:rsidRPr="00833C88">
        <w:rPr>
          <w:rFonts w:cs="Times New Roman"/>
          <w:sz w:val="24"/>
          <w:szCs w:val="24"/>
        </w:rPr>
        <w:t xml:space="preserve">i 6 </w:t>
      </w:r>
      <w:r w:rsidR="0080172D" w:rsidRPr="00833C88">
        <w:rPr>
          <w:rFonts w:cs="Times New Roman"/>
          <w:sz w:val="24"/>
          <w:szCs w:val="24"/>
        </w:rPr>
        <w:t>(współdziałani</w:t>
      </w:r>
      <w:r w:rsidR="008721C9" w:rsidRPr="00833C88">
        <w:rPr>
          <w:rFonts w:cs="Times New Roman"/>
          <w:sz w:val="24"/>
          <w:szCs w:val="24"/>
        </w:rPr>
        <w:t xml:space="preserve">e </w:t>
      </w:r>
      <w:r w:rsidRPr="00833C88">
        <w:rPr>
          <w:rFonts w:cs="Times New Roman"/>
          <w:sz w:val="24"/>
          <w:szCs w:val="24"/>
        </w:rPr>
        <w:t>z </w:t>
      </w:r>
      <w:r w:rsidR="008721C9" w:rsidRPr="00833C88">
        <w:rPr>
          <w:rFonts w:cs="Times New Roman"/>
          <w:sz w:val="24"/>
          <w:szCs w:val="24"/>
        </w:rPr>
        <w:t>CSIRT podczas zgłoszenia incydentów)</w:t>
      </w:r>
      <w:r w:rsidR="00233243" w:rsidRPr="00833C88">
        <w:rPr>
          <w:rFonts w:cs="Times New Roman"/>
          <w:sz w:val="24"/>
          <w:szCs w:val="24"/>
        </w:rPr>
        <w:t>, art. 13</w:t>
      </w:r>
      <w:r w:rsidR="008721C9" w:rsidRPr="00833C88">
        <w:rPr>
          <w:rFonts w:cs="Times New Roman"/>
          <w:sz w:val="24"/>
          <w:szCs w:val="24"/>
        </w:rPr>
        <w:t xml:space="preserve"> (dobrowolne przekazywanie informacji do CSIRT)</w:t>
      </w:r>
      <w:r w:rsidR="00233243" w:rsidRPr="00833C88">
        <w:rPr>
          <w:rFonts w:cs="Times New Roman"/>
          <w:sz w:val="24"/>
          <w:szCs w:val="24"/>
        </w:rPr>
        <w:t>, art. 15</w:t>
      </w:r>
      <w:r w:rsidR="008721C9" w:rsidRPr="00833C88">
        <w:rPr>
          <w:rFonts w:cs="Times New Roman"/>
          <w:sz w:val="24"/>
          <w:szCs w:val="24"/>
        </w:rPr>
        <w:t xml:space="preserve"> (audyty)</w:t>
      </w:r>
      <w:r w:rsidR="00233243" w:rsidRPr="00833C88">
        <w:rPr>
          <w:rFonts w:cs="Times New Roman"/>
          <w:sz w:val="24"/>
          <w:szCs w:val="24"/>
        </w:rPr>
        <w:t>, art.</w:t>
      </w:r>
      <w:r w:rsidR="00337E43" w:rsidRPr="00833C88">
        <w:rPr>
          <w:rFonts w:cs="Times New Roman"/>
          <w:sz w:val="24"/>
          <w:szCs w:val="24"/>
        </w:rPr>
        <w:t> </w:t>
      </w:r>
      <w:r w:rsidR="00233243" w:rsidRPr="00833C88">
        <w:rPr>
          <w:rFonts w:cs="Times New Roman"/>
          <w:sz w:val="24"/>
          <w:szCs w:val="24"/>
        </w:rPr>
        <w:t>16</w:t>
      </w:r>
      <w:r w:rsidR="008721C9" w:rsidRPr="00833C88">
        <w:rPr>
          <w:rFonts w:cs="Times New Roman"/>
          <w:sz w:val="24"/>
          <w:szCs w:val="24"/>
        </w:rPr>
        <w:t xml:space="preserve"> (stosowanie obowiązków po raz pierwszy)</w:t>
      </w:r>
      <w:r w:rsidR="00233243" w:rsidRPr="00833C88">
        <w:rPr>
          <w:rFonts w:cs="Times New Roman"/>
          <w:sz w:val="24"/>
          <w:szCs w:val="24"/>
        </w:rPr>
        <w:t>, art. 26a ust. 2–4</w:t>
      </w:r>
      <w:r w:rsidR="00065BE9" w:rsidRPr="00833C88">
        <w:rPr>
          <w:rFonts w:cs="Times New Roman"/>
          <w:sz w:val="24"/>
          <w:szCs w:val="24"/>
        </w:rPr>
        <w:t xml:space="preserve"> (zgłoszenia podatności </w:t>
      </w:r>
      <w:r w:rsidRPr="00833C88">
        <w:rPr>
          <w:rFonts w:cs="Times New Roman"/>
          <w:sz w:val="24"/>
          <w:szCs w:val="24"/>
        </w:rPr>
        <w:t>w </w:t>
      </w:r>
      <w:r w:rsidR="00065BE9" w:rsidRPr="00833C88">
        <w:rPr>
          <w:rFonts w:cs="Times New Roman"/>
          <w:sz w:val="24"/>
          <w:szCs w:val="24"/>
        </w:rPr>
        <w:t>ramach skoordynowanego ujawniania podatności)</w:t>
      </w:r>
      <w:r w:rsidR="00233243" w:rsidRPr="00833C88">
        <w:rPr>
          <w:rFonts w:cs="Times New Roman"/>
          <w:sz w:val="24"/>
          <w:szCs w:val="24"/>
        </w:rPr>
        <w:t>, art. 32</w:t>
      </w:r>
      <w:r w:rsidR="005F04C3" w:rsidRPr="00833C88">
        <w:rPr>
          <w:rFonts w:cs="Times New Roman"/>
          <w:sz w:val="24"/>
          <w:szCs w:val="24"/>
        </w:rPr>
        <w:t xml:space="preserve"> (uprawnienie CSIRT do wykonywania niezbędnych działań technicznych)</w:t>
      </w:r>
      <w:r w:rsidR="00233243" w:rsidRPr="00833C88">
        <w:rPr>
          <w:rFonts w:cs="Times New Roman"/>
          <w:sz w:val="24"/>
          <w:szCs w:val="24"/>
        </w:rPr>
        <w:t>, art. 33 ust. 5, 7 oraz 8</w:t>
      </w:r>
      <w:r w:rsidR="00481A56" w:rsidRPr="00833C88">
        <w:rPr>
          <w:rFonts w:cs="Times New Roman"/>
          <w:sz w:val="24"/>
          <w:szCs w:val="24"/>
        </w:rPr>
        <w:t xml:space="preserve"> (rekomendacje Pełnomocnika)</w:t>
      </w:r>
      <w:r w:rsidR="00233243" w:rsidRPr="00833C88">
        <w:rPr>
          <w:rFonts w:cs="Times New Roman"/>
          <w:sz w:val="24"/>
          <w:szCs w:val="24"/>
        </w:rPr>
        <w:t>, art. 36a, art. 36b</w:t>
      </w:r>
      <w:r w:rsidR="00CF6FF1" w:rsidRPr="00833C88">
        <w:rPr>
          <w:rFonts w:cs="Times New Roman"/>
          <w:sz w:val="24"/>
          <w:szCs w:val="24"/>
        </w:rPr>
        <w:t xml:space="preserve"> (ocena bezpieczeństwa)</w:t>
      </w:r>
      <w:r w:rsidR="00233243" w:rsidRPr="00833C88">
        <w:rPr>
          <w:rFonts w:cs="Times New Roman"/>
          <w:sz w:val="24"/>
          <w:szCs w:val="24"/>
        </w:rPr>
        <w:t>, art. 37</w:t>
      </w:r>
      <w:r w:rsidR="00D52D37" w:rsidRPr="00833C88">
        <w:rPr>
          <w:rFonts w:cs="Times New Roman"/>
          <w:sz w:val="24"/>
          <w:szCs w:val="24"/>
        </w:rPr>
        <w:t xml:space="preserve"> (wyłączenie ustawy </w:t>
      </w:r>
      <w:r w:rsidRPr="00833C88">
        <w:rPr>
          <w:rFonts w:cs="Times New Roman"/>
          <w:sz w:val="24"/>
          <w:szCs w:val="24"/>
        </w:rPr>
        <w:t>z </w:t>
      </w:r>
      <w:r w:rsidR="00893E19" w:rsidRPr="00833C88">
        <w:rPr>
          <w:rFonts w:cs="Times New Roman"/>
          <w:sz w:val="24"/>
          <w:szCs w:val="24"/>
        </w:rPr>
        <w:t>dnia 6</w:t>
      </w:r>
      <w:r w:rsidR="009B4C26" w:rsidRPr="00833C88">
        <w:rPr>
          <w:rFonts w:cs="Times New Roman"/>
          <w:sz w:val="24"/>
          <w:szCs w:val="24"/>
        </w:rPr>
        <w:t> </w:t>
      </w:r>
      <w:r w:rsidR="00893E19" w:rsidRPr="00833C88">
        <w:rPr>
          <w:rFonts w:cs="Times New Roman"/>
          <w:sz w:val="24"/>
          <w:szCs w:val="24"/>
        </w:rPr>
        <w:t xml:space="preserve">września 2021 r. </w:t>
      </w:r>
      <w:r w:rsidRPr="00833C88">
        <w:rPr>
          <w:rFonts w:cs="Times New Roman"/>
          <w:sz w:val="24"/>
          <w:szCs w:val="24"/>
        </w:rPr>
        <w:t>o </w:t>
      </w:r>
      <w:r w:rsidR="00D52D37" w:rsidRPr="00833C88">
        <w:rPr>
          <w:rFonts w:cs="Times New Roman"/>
          <w:sz w:val="24"/>
          <w:szCs w:val="24"/>
        </w:rPr>
        <w:t xml:space="preserve">dostępie do informacji publicznej przy informacjach </w:t>
      </w:r>
      <w:r w:rsidRPr="00833C88">
        <w:rPr>
          <w:rFonts w:cs="Times New Roman"/>
          <w:sz w:val="24"/>
          <w:szCs w:val="24"/>
        </w:rPr>
        <w:t>o </w:t>
      </w:r>
      <w:r w:rsidR="00D52D37" w:rsidRPr="00833C88">
        <w:rPr>
          <w:rFonts w:cs="Times New Roman"/>
          <w:sz w:val="24"/>
          <w:szCs w:val="24"/>
        </w:rPr>
        <w:t xml:space="preserve">podatnościach, incydentach </w:t>
      </w:r>
      <w:r w:rsidRPr="00833C88">
        <w:rPr>
          <w:rFonts w:cs="Times New Roman"/>
          <w:sz w:val="24"/>
          <w:szCs w:val="24"/>
        </w:rPr>
        <w:t>i </w:t>
      </w:r>
      <w:proofErr w:type="spellStart"/>
      <w:r w:rsidR="00D52D37" w:rsidRPr="00833C88">
        <w:rPr>
          <w:rFonts w:cs="Times New Roman"/>
          <w:sz w:val="24"/>
          <w:szCs w:val="24"/>
        </w:rPr>
        <w:t>cyberzagrożeniach</w:t>
      </w:r>
      <w:proofErr w:type="spellEnd"/>
      <w:r w:rsidR="00D52D37" w:rsidRPr="00833C88">
        <w:rPr>
          <w:rFonts w:cs="Times New Roman"/>
          <w:sz w:val="24"/>
          <w:szCs w:val="24"/>
        </w:rPr>
        <w:t>)</w:t>
      </w:r>
      <w:r w:rsidR="00233243" w:rsidRPr="00833C88">
        <w:rPr>
          <w:rFonts w:cs="Times New Roman"/>
          <w:sz w:val="24"/>
          <w:szCs w:val="24"/>
        </w:rPr>
        <w:t>, art. 43</w:t>
      </w:r>
      <w:r w:rsidR="00743F76" w:rsidRPr="00833C88">
        <w:rPr>
          <w:rFonts w:cs="Times New Roman"/>
          <w:sz w:val="24"/>
          <w:szCs w:val="24"/>
        </w:rPr>
        <w:t xml:space="preserve"> (uprawnienie organu do żądania informacji)</w:t>
      </w:r>
      <w:r w:rsidR="00233243" w:rsidRPr="00833C88">
        <w:rPr>
          <w:rFonts w:cs="Times New Roman"/>
          <w:sz w:val="24"/>
          <w:szCs w:val="24"/>
        </w:rPr>
        <w:t xml:space="preserve">, art. 45 ust. 3, art. 46 ust. 1 pkt 1, 2, 4–7 </w:t>
      </w:r>
      <w:r w:rsidRPr="00833C88">
        <w:rPr>
          <w:rFonts w:cs="Times New Roman"/>
          <w:sz w:val="24"/>
          <w:szCs w:val="24"/>
        </w:rPr>
        <w:t>i </w:t>
      </w:r>
      <w:r w:rsidR="00233243" w:rsidRPr="00833C88">
        <w:rPr>
          <w:rFonts w:cs="Times New Roman"/>
          <w:sz w:val="24"/>
          <w:szCs w:val="24"/>
        </w:rPr>
        <w:t>oraz ust. 4–6</w:t>
      </w:r>
      <w:r w:rsidR="00F1757E" w:rsidRPr="00833C88">
        <w:rPr>
          <w:rFonts w:cs="Times New Roman"/>
          <w:sz w:val="24"/>
          <w:szCs w:val="24"/>
        </w:rPr>
        <w:t xml:space="preserve"> (obowiązek korzystania </w:t>
      </w:r>
      <w:r w:rsidRPr="00833C88">
        <w:rPr>
          <w:rFonts w:cs="Times New Roman"/>
          <w:sz w:val="24"/>
          <w:szCs w:val="24"/>
        </w:rPr>
        <w:t>z</w:t>
      </w:r>
      <w:r w:rsidR="00062670" w:rsidRPr="00833C88">
        <w:rPr>
          <w:rFonts w:cs="Times New Roman"/>
          <w:sz w:val="24"/>
          <w:szCs w:val="24"/>
        </w:rPr>
        <w:t xml:space="preserve"> systemu teleinformatycznego</w:t>
      </w:r>
      <w:r w:rsidRPr="00833C88">
        <w:rPr>
          <w:rFonts w:cs="Times New Roman"/>
          <w:sz w:val="24"/>
          <w:szCs w:val="24"/>
        </w:rPr>
        <w:t> </w:t>
      </w:r>
      <w:r w:rsidR="00F1757E" w:rsidRPr="00833C88">
        <w:rPr>
          <w:rFonts w:cs="Times New Roman"/>
          <w:sz w:val="24"/>
          <w:szCs w:val="24"/>
        </w:rPr>
        <w:t>S46)</w:t>
      </w:r>
      <w:r w:rsidR="00233243" w:rsidRPr="00833C88">
        <w:rPr>
          <w:rFonts w:cs="Times New Roman"/>
          <w:sz w:val="24"/>
          <w:szCs w:val="24"/>
        </w:rPr>
        <w:t>, art. 67a</w:t>
      </w:r>
      <w:r w:rsidR="00F1757E" w:rsidRPr="00833C88">
        <w:rPr>
          <w:rFonts w:cs="Times New Roman"/>
          <w:sz w:val="24"/>
          <w:szCs w:val="24"/>
        </w:rPr>
        <w:t xml:space="preserve"> (rekomendacje Pełnomocnika)</w:t>
      </w:r>
      <w:r w:rsidR="00233243" w:rsidRPr="00833C88">
        <w:rPr>
          <w:rFonts w:cs="Times New Roman"/>
          <w:sz w:val="24"/>
          <w:szCs w:val="24"/>
        </w:rPr>
        <w:t>, art. 67c, art. 67d oraz, art. 67g, art. 67h oraz art. 67i</w:t>
      </w:r>
      <w:r w:rsidR="00F1757E" w:rsidRPr="00833C88">
        <w:rPr>
          <w:rFonts w:cs="Times New Roman"/>
          <w:sz w:val="24"/>
          <w:szCs w:val="24"/>
        </w:rPr>
        <w:t xml:space="preserve"> (postępowanie </w:t>
      </w:r>
      <w:r w:rsidRPr="00833C88">
        <w:rPr>
          <w:rFonts w:cs="Times New Roman"/>
          <w:sz w:val="24"/>
          <w:szCs w:val="24"/>
        </w:rPr>
        <w:t>w </w:t>
      </w:r>
      <w:r w:rsidR="00F1757E" w:rsidRPr="00833C88">
        <w:rPr>
          <w:rFonts w:cs="Times New Roman"/>
          <w:sz w:val="24"/>
          <w:szCs w:val="24"/>
        </w:rPr>
        <w:t>sprawie uznania za dostawcę wysokiego ryzyka oraz polecenie zabezpieczające</w:t>
      </w:r>
      <w:r w:rsidR="0054686C" w:rsidRPr="00833C88">
        <w:rPr>
          <w:rFonts w:cs="Times New Roman"/>
          <w:sz w:val="24"/>
          <w:szCs w:val="24"/>
        </w:rPr>
        <w:t>)</w:t>
      </w:r>
      <w:r w:rsidR="00C3798C" w:rsidRPr="00833C88">
        <w:rPr>
          <w:rFonts w:cs="Times New Roman"/>
          <w:sz w:val="24"/>
          <w:szCs w:val="24"/>
        </w:rPr>
        <w:t xml:space="preserve"> ustawy </w:t>
      </w:r>
      <w:r w:rsidRPr="00833C88">
        <w:rPr>
          <w:rFonts w:cs="Times New Roman"/>
          <w:sz w:val="24"/>
          <w:szCs w:val="24"/>
        </w:rPr>
        <w:t>o </w:t>
      </w:r>
      <w:r w:rsidR="00C3798C" w:rsidRPr="00833C88">
        <w:rPr>
          <w:rFonts w:cs="Times New Roman"/>
          <w:sz w:val="24"/>
          <w:szCs w:val="24"/>
        </w:rPr>
        <w:t>KSC</w:t>
      </w:r>
      <w:r w:rsidR="00F1757E" w:rsidRPr="00833C88">
        <w:rPr>
          <w:rFonts w:cs="Times New Roman"/>
          <w:sz w:val="24"/>
          <w:szCs w:val="24"/>
        </w:rPr>
        <w:t>.</w:t>
      </w:r>
    </w:p>
    <w:p w14:paraId="08357A48" w14:textId="5273DFBA" w:rsidR="007D6CCA" w:rsidRPr="00833C88" w:rsidRDefault="00C3798C" w:rsidP="00BC7BDE">
      <w:pPr>
        <w:pStyle w:val="Nagwek3"/>
        <w:spacing w:before="0" w:after="120" w:line="360" w:lineRule="auto"/>
        <w:jc w:val="both"/>
        <w:rPr>
          <w:rFonts w:cs="Times New Roman"/>
          <w:u w:val="none"/>
          <w:lang w:eastAsia="pl-PL"/>
        </w:rPr>
      </w:pPr>
      <w:r w:rsidRPr="00833C88">
        <w:rPr>
          <w:rFonts w:cs="Times New Roman"/>
          <w:b/>
          <w:bCs/>
          <w:u w:val="none"/>
          <w:lang w:eastAsia="pl-PL"/>
        </w:rPr>
        <w:t xml:space="preserve">Obowiązki podmiotów kluczowych </w:t>
      </w:r>
      <w:r w:rsidR="00601933" w:rsidRPr="00833C88">
        <w:rPr>
          <w:rFonts w:cs="Times New Roman"/>
          <w:b/>
          <w:bCs/>
          <w:u w:val="none"/>
          <w:lang w:eastAsia="pl-PL"/>
        </w:rPr>
        <w:t>w </w:t>
      </w:r>
      <w:r w:rsidRPr="00833C88">
        <w:rPr>
          <w:rFonts w:cs="Times New Roman"/>
          <w:b/>
          <w:bCs/>
          <w:u w:val="none"/>
          <w:lang w:eastAsia="pl-PL"/>
        </w:rPr>
        <w:t xml:space="preserve">zakresie kontaktów </w:t>
      </w:r>
      <w:r w:rsidR="00601933" w:rsidRPr="00833C88">
        <w:rPr>
          <w:rFonts w:cs="Times New Roman"/>
          <w:b/>
          <w:bCs/>
          <w:u w:val="none"/>
          <w:lang w:eastAsia="pl-PL"/>
        </w:rPr>
        <w:t>z </w:t>
      </w:r>
      <w:r w:rsidRPr="00833C88">
        <w:rPr>
          <w:rFonts w:cs="Times New Roman"/>
          <w:b/>
          <w:bCs/>
          <w:u w:val="none"/>
          <w:lang w:eastAsia="pl-PL"/>
        </w:rPr>
        <w:t xml:space="preserve">innymi podmiotami </w:t>
      </w:r>
      <w:r w:rsidR="00601933" w:rsidRPr="00833C88">
        <w:rPr>
          <w:rFonts w:cs="Times New Roman"/>
          <w:b/>
          <w:bCs/>
          <w:u w:val="none"/>
          <w:lang w:eastAsia="pl-PL"/>
        </w:rPr>
        <w:t>i </w:t>
      </w:r>
      <w:r w:rsidRPr="00833C88">
        <w:rPr>
          <w:rFonts w:cs="Times New Roman"/>
          <w:b/>
          <w:bCs/>
          <w:u w:val="none"/>
          <w:lang w:eastAsia="pl-PL"/>
        </w:rPr>
        <w:t>użytkownikami</w:t>
      </w:r>
    </w:p>
    <w:p w14:paraId="03DECDC8" w14:textId="7BE32C91" w:rsidR="00CA034E" w:rsidRPr="00833C88" w:rsidRDefault="00CA034E"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Podmioty kluczowe </w:t>
      </w:r>
      <w:r w:rsidR="00601933" w:rsidRPr="00833C88">
        <w:rPr>
          <w:rFonts w:eastAsia="Times New Roman" w:cs="Times New Roman"/>
          <w:sz w:val="24"/>
          <w:szCs w:val="24"/>
          <w:lang w:eastAsia="pl-PL"/>
        </w:rPr>
        <w:t>i </w:t>
      </w:r>
      <w:r w:rsidR="00D0072B" w:rsidRPr="00833C88">
        <w:rPr>
          <w:rFonts w:eastAsia="Times New Roman" w:cs="Times New Roman"/>
          <w:sz w:val="24"/>
          <w:szCs w:val="24"/>
          <w:lang w:eastAsia="pl-PL"/>
        </w:rPr>
        <w:t xml:space="preserve">podmioty </w:t>
      </w:r>
      <w:r w:rsidRPr="00833C88">
        <w:rPr>
          <w:rFonts w:eastAsia="Times New Roman" w:cs="Times New Roman"/>
          <w:sz w:val="24"/>
          <w:szCs w:val="24"/>
          <w:lang w:eastAsia="pl-PL"/>
        </w:rPr>
        <w:t>ważne m</w:t>
      </w:r>
      <w:r w:rsidR="003D210E" w:rsidRPr="00833C88">
        <w:rPr>
          <w:rFonts w:eastAsia="Times New Roman" w:cs="Times New Roman"/>
          <w:sz w:val="24"/>
          <w:szCs w:val="24"/>
          <w:lang w:eastAsia="pl-PL"/>
        </w:rPr>
        <w:t xml:space="preserve">uszą również wyznaczyć dwie osoby do kontaktów </w:t>
      </w:r>
      <w:r w:rsidR="00FC4CB9" w:rsidRPr="00833C88">
        <w:rPr>
          <w:rFonts w:eastAsia="Times New Roman" w:cs="Times New Roman"/>
          <w:sz w:val="24"/>
          <w:szCs w:val="24"/>
          <w:lang w:eastAsia="pl-PL"/>
        </w:rPr>
        <w:t>z</w:t>
      </w:r>
      <w:r w:rsidR="00D0072B" w:rsidRPr="00833C88">
        <w:rPr>
          <w:rFonts w:eastAsia="Times New Roman" w:cs="Times New Roman"/>
          <w:sz w:val="24"/>
          <w:szCs w:val="24"/>
          <w:lang w:eastAsia="pl-PL"/>
        </w:rPr>
        <w:t> </w:t>
      </w:r>
      <w:r w:rsidR="00FC4CB9" w:rsidRPr="00833C88">
        <w:rPr>
          <w:rFonts w:eastAsia="Times New Roman" w:cs="Times New Roman"/>
          <w:sz w:val="24"/>
          <w:szCs w:val="24"/>
          <w:lang w:eastAsia="pl-PL"/>
        </w:rPr>
        <w:t xml:space="preserve">innymi podmiotami krajowego systemu cyberbezpieczeństwa. </w:t>
      </w:r>
      <w:r w:rsidR="009F4604" w:rsidRPr="00833C88">
        <w:rPr>
          <w:rFonts w:eastAsia="Times New Roman" w:cs="Times New Roman"/>
          <w:sz w:val="24"/>
          <w:szCs w:val="24"/>
          <w:lang w:eastAsia="pl-PL"/>
        </w:rPr>
        <w:t>To rozwiązanie wynika z</w:t>
      </w:r>
      <w:r w:rsidR="00D0072B" w:rsidRPr="00833C88">
        <w:rPr>
          <w:rFonts w:eastAsia="Times New Roman" w:cs="Times New Roman"/>
          <w:sz w:val="24"/>
          <w:szCs w:val="24"/>
          <w:lang w:eastAsia="pl-PL"/>
        </w:rPr>
        <w:t> </w:t>
      </w:r>
      <w:r w:rsidR="009F4604" w:rsidRPr="00833C88">
        <w:rPr>
          <w:rFonts w:eastAsia="Times New Roman" w:cs="Times New Roman"/>
          <w:sz w:val="24"/>
          <w:szCs w:val="24"/>
          <w:lang w:eastAsia="pl-PL"/>
        </w:rPr>
        <w:t xml:space="preserve">dotychczasowych doświadczeń </w:t>
      </w:r>
      <w:r w:rsidR="00601933" w:rsidRPr="00833C88">
        <w:rPr>
          <w:rFonts w:eastAsia="Times New Roman" w:cs="Times New Roman"/>
          <w:sz w:val="24"/>
          <w:szCs w:val="24"/>
          <w:lang w:eastAsia="pl-PL"/>
        </w:rPr>
        <w:t>w </w:t>
      </w:r>
      <w:r w:rsidR="009F4604" w:rsidRPr="00833C88">
        <w:rPr>
          <w:rFonts w:eastAsia="Times New Roman" w:cs="Times New Roman"/>
          <w:sz w:val="24"/>
          <w:szCs w:val="24"/>
          <w:lang w:eastAsia="pl-PL"/>
        </w:rPr>
        <w:t xml:space="preserve">ramach krajowego systemu cyberbezpieczeństwa. Dotychczasowy obowiązek wyznaczenia jednej osoby do kontaktu sprawiał, że </w:t>
      </w:r>
      <w:r w:rsidR="00601933" w:rsidRPr="00833C88">
        <w:rPr>
          <w:rFonts w:eastAsia="Times New Roman" w:cs="Times New Roman"/>
          <w:sz w:val="24"/>
          <w:szCs w:val="24"/>
          <w:lang w:eastAsia="pl-PL"/>
        </w:rPr>
        <w:t>w </w:t>
      </w:r>
      <w:proofErr w:type="gramStart"/>
      <w:r w:rsidR="009F4604" w:rsidRPr="00833C88">
        <w:rPr>
          <w:rFonts w:eastAsia="Times New Roman" w:cs="Times New Roman"/>
          <w:sz w:val="24"/>
          <w:szCs w:val="24"/>
          <w:lang w:eastAsia="pl-PL"/>
        </w:rPr>
        <w:t>przypadku</w:t>
      </w:r>
      <w:proofErr w:type="gramEnd"/>
      <w:r w:rsidR="009F4604" w:rsidRPr="00833C88">
        <w:rPr>
          <w:rFonts w:eastAsia="Times New Roman" w:cs="Times New Roman"/>
          <w:sz w:val="24"/>
          <w:szCs w:val="24"/>
          <w:lang w:eastAsia="pl-PL"/>
        </w:rPr>
        <w:t xml:space="preserve"> gdy osoba ta przeby</w:t>
      </w:r>
      <w:r w:rsidR="008A3F78" w:rsidRPr="00833C88">
        <w:rPr>
          <w:rFonts w:eastAsia="Times New Roman" w:cs="Times New Roman"/>
          <w:sz w:val="24"/>
          <w:szCs w:val="24"/>
          <w:lang w:eastAsia="pl-PL"/>
        </w:rPr>
        <w:t>wa</w:t>
      </w:r>
      <w:r w:rsidR="009F4604" w:rsidRPr="00833C88">
        <w:rPr>
          <w:rFonts w:eastAsia="Times New Roman" w:cs="Times New Roman"/>
          <w:sz w:val="24"/>
          <w:szCs w:val="24"/>
          <w:lang w:eastAsia="pl-PL"/>
        </w:rPr>
        <w:t>ła na zwol</w:t>
      </w:r>
      <w:r w:rsidR="00F46FEC" w:rsidRPr="00833C88">
        <w:rPr>
          <w:rFonts w:eastAsia="Times New Roman" w:cs="Times New Roman"/>
          <w:sz w:val="24"/>
          <w:szCs w:val="24"/>
          <w:lang w:eastAsia="pl-PL"/>
        </w:rPr>
        <w:t xml:space="preserve">nieniu lekarskim </w:t>
      </w:r>
      <w:r w:rsidR="002A220D" w:rsidRPr="00833C88">
        <w:rPr>
          <w:rFonts w:eastAsia="Times New Roman" w:cs="Times New Roman"/>
          <w:sz w:val="24"/>
          <w:szCs w:val="24"/>
          <w:lang w:eastAsia="pl-PL"/>
        </w:rPr>
        <w:t xml:space="preserve">lub </w:t>
      </w:r>
      <w:r w:rsidR="00601933" w:rsidRPr="00833C88">
        <w:rPr>
          <w:rFonts w:eastAsia="Times New Roman" w:cs="Times New Roman"/>
          <w:sz w:val="24"/>
          <w:szCs w:val="24"/>
          <w:lang w:eastAsia="pl-PL"/>
        </w:rPr>
        <w:t>z </w:t>
      </w:r>
      <w:r w:rsidR="002A220D" w:rsidRPr="00833C88">
        <w:rPr>
          <w:rFonts w:eastAsia="Times New Roman" w:cs="Times New Roman"/>
          <w:sz w:val="24"/>
          <w:szCs w:val="24"/>
          <w:lang w:eastAsia="pl-PL"/>
        </w:rPr>
        <w:t xml:space="preserve">innych powodów była nieobecna </w:t>
      </w:r>
      <w:r w:rsidR="00601933" w:rsidRPr="00833C88">
        <w:rPr>
          <w:rFonts w:eastAsia="Times New Roman" w:cs="Times New Roman"/>
          <w:sz w:val="24"/>
          <w:szCs w:val="24"/>
          <w:lang w:eastAsia="pl-PL"/>
        </w:rPr>
        <w:t>w </w:t>
      </w:r>
      <w:r w:rsidR="002A220D" w:rsidRPr="00833C88">
        <w:rPr>
          <w:rFonts w:eastAsia="Times New Roman" w:cs="Times New Roman"/>
          <w:sz w:val="24"/>
          <w:szCs w:val="24"/>
          <w:lang w:eastAsia="pl-PL"/>
        </w:rPr>
        <w:t>pracy</w:t>
      </w:r>
      <w:r w:rsidR="008A3F78" w:rsidRPr="00833C88">
        <w:rPr>
          <w:rFonts w:eastAsia="Times New Roman" w:cs="Times New Roman"/>
          <w:sz w:val="24"/>
          <w:szCs w:val="24"/>
          <w:lang w:eastAsia="pl-PL"/>
        </w:rPr>
        <w:t>,</w:t>
      </w:r>
      <w:r w:rsidR="002A220D" w:rsidRPr="00833C88">
        <w:rPr>
          <w:rFonts w:eastAsia="Times New Roman" w:cs="Times New Roman"/>
          <w:sz w:val="24"/>
          <w:szCs w:val="24"/>
          <w:lang w:eastAsia="pl-PL"/>
        </w:rPr>
        <w:t xml:space="preserve"> zespoły CSIRT miały trudności </w:t>
      </w:r>
      <w:r w:rsidR="00AA2157" w:rsidRPr="00833C88">
        <w:rPr>
          <w:rFonts w:eastAsia="Times New Roman" w:cs="Times New Roman"/>
          <w:sz w:val="24"/>
          <w:szCs w:val="24"/>
          <w:lang w:eastAsia="pl-PL"/>
        </w:rPr>
        <w:t>z</w:t>
      </w:r>
      <w:r w:rsidR="003350F1" w:rsidRPr="00833C88">
        <w:rPr>
          <w:rFonts w:eastAsia="Times New Roman" w:cs="Times New Roman"/>
          <w:sz w:val="24"/>
          <w:szCs w:val="24"/>
          <w:lang w:eastAsia="pl-PL"/>
        </w:rPr>
        <w:t xml:space="preserve">e skontaktowaniem się </w:t>
      </w:r>
      <w:r w:rsidR="00601933" w:rsidRPr="00833C88">
        <w:rPr>
          <w:rFonts w:eastAsia="Times New Roman" w:cs="Times New Roman"/>
          <w:sz w:val="24"/>
          <w:szCs w:val="24"/>
          <w:lang w:eastAsia="pl-PL"/>
        </w:rPr>
        <w:t>z </w:t>
      </w:r>
      <w:r w:rsidR="004C04CF" w:rsidRPr="00833C88">
        <w:rPr>
          <w:rFonts w:eastAsia="Times New Roman" w:cs="Times New Roman"/>
          <w:sz w:val="24"/>
          <w:szCs w:val="24"/>
          <w:lang w:eastAsia="pl-PL"/>
        </w:rPr>
        <w:t>podmiotami</w:t>
      </w:r>
      <w:r w:rsidR="008A3F78" w:rsidRPr="00833C88">
        <w:rPr>
          <w:rFonts w:eastAsia="Times New Roman" w:cs="Times New Roman"/>
          <w:sz w:val="24"/>
          <w:szCs w:val="24"/>
          <w:lang w:eastAsia="pl-PL"/>
        </w:rPr>
        <w:t>,</w:t>
      </w:r>
      <w:r w:rsidR="004C04CF"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4C04CF" w:rsidRPr="00833C88">
        <w:rPr>
          <w:rFonts w:eastAsia="Times New Roman" w:cs="Times New Roman"/>
          <w:sz w:val="24"/>
          <w:szCs w:val="24"/>
          <w:lang w:eastAsia="pl-PL"/>
        </w:rPr>
        <w:t>których wystąpił incydent. Dwie osoby mają zagwarantować</w:t>
      </w:r>
      <w:r w:rsidR="00B46B64" w:rsidRPr="00833C88">
        <w:rPr>
          <w:rFonts w:eastAsia="Times New Roman" w:cs="Times New Roman"/>
          <w:sz w:val="24"/>
          <w:szCs w:val="24"/>
          <w:lang w:eastAsia="pl-PL"/>
        </w:rPr>
        <w:t xml:space="preserve">, że zawsze będzie można nawiązać kontakt. </w:t>
      </w:r>
      <w:r w:rsidR="00F71398" w:rsidRPr="00833C88">
        <w:rPr>
          <w:rFonts w:eastAsia="Times New Roman" w:cs="Times New Roman"/>
          <w:sz w:val="24"/>
          <w:szCs w:val="24"/>
          <w:lang w:eastAsia="pl-PL"/>
        </w:rPr>
        <w:t xml:space="preserve">Podmiot będący </w:t>
      </w:r>
      <w:proofErr w:type="spellStart"/>
      <w:r w:rsidR="00F71398" w:rsidRPr="00833C88">
        <w:rPr>
          <w:rFonts w:eastAsia="Times New Roman" w:cs="Times New Roman"/>
          <w:sz w:val="24"/>
          <w:szCs w:val="24"/>
          <w:lang w:eastAsia="pl-PL"/>
        </w:rPr>
        <w:t>mikroprzedsiębiorcą</w:t>
      </w:r>
      <w:proofErr w:type="spellEnd"/>
      <w:r w:rsidR="00F71398" w:rsidRPr="00833C88">
        <w:rPr>
          <w:rFonts w:eastAsia="Times New Roman" w:cs="Times New Roman"/>
          <w:sz w:val="24"/>
          <w:szCs w:val="24"/>
          <w:lang w:eastAsia="pl-PL"/>
        </w:rPr>
        <w:t xml:space="preserve"> lub małym przedsiębiorcą wyznaczy jedną osobę, ponieważ</w:t>
      </w:r>
      <w:r w:rsidR="00F13334" w:rsidRPr="00833C88">
        <w:rPr>
          <w:rFonts w:eastAsia="Times New Roman" w:cs="Times New Roman"/>
          <w:sz w:val="24"/>
          <w:szCs w:val="24"/>
          <w:lang w:eastAsia="pl-PL"/>
        </w:rPr>
        <w:t xml:space="preserve"> obowiązek wyznaczenia dwóch osób mógłby być zbyt dużym obciążeniem.</w:t>
      </w:r>
    </w:p>
    <w:p w14:paraId="2936530B" w14:textId="28AFC81F" w:rsidR="00B46B64" w:rsidRPr="00833C88" w:rsidRDefault="00B46B6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Podmioty te mają </w:t>
      </w:r>
      <w:r w:rsidR="009749F7" w:rsidRPr="00833C88">
        <w:rPr>
          <w:rFonts w:eastAsia="Times New Roman" w:cs="Times New Roman"/>
          <w:sz w:val="24"/>
          <w:szCs w:val="24"/>
          <w:lang w:eastAsia="pl-PL"/>
        </w:rPr>
        <w:t xml:space="preserve">również obowiązek zapewniania użytkownikowi usługi dostępu do wiedzy pozwalającej na zrozumienie </w:t>
      </w:r>
      <w:proofErr w:type="spellStart"/>
      <w:r w:rsidR="009749F7" w:rsidRPr="00833C88">
        <w:rPr>
          <w:rFonts w:eastAsia="Times New Roman" w:cs="Times New Roman"/>
          <w:sz w:val="24"/>
          <w:szCs w:val="24"/>
          <w:lang w:eastAsia="pl-PL"/>
        </w:rPr>
        <w:t>cyberzagrożeń</w:t>
      </w:r>
      <w:proofErr w:type="spellEnd"/>
      <w:r w:rsidR="009749F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9749F7" w:rsidRPr="00833C88">
        <w:rPr>
          <w:rFonts w:eastAsia="Times New Roman" w:cs="Times New Roman"/>
          <w:sz w:val="24"/>
          <w:szCs w:val="24"/>
          <w:lang w:eastAsia="pl-PL"/>
        </w:rPr>
        <w:t xml:space="preserve">stosowanie skutecznych sposobów </w:t>
      </w:r>
      <w:r w:rsidR="009749F7" w:rsidRPr="00833C88">
        <w:rPr>
          <w:rFonts w:eastAsia="Times New Roman" w:cs="Times New Roman"/>
          <w:sz w:val="24"/>
          <w:szCs w:val="24"/>
          <w:lang w:eastAsia="pl-PL"/>
        </w:rPr>
        <w:lastRenderedPageBreak/>
        <w:t xml:space="preserve">zabezpieczania się przed tymi zagrożeniami </w:t>
      </w:r>
      <w:r w:rsidR="00601933" w:rsidRPr="00833C88">
        <w:rPr>
          <w:rFonts w:eastAsia="Times New Roman" w:cs="Times New Roman"/>
          <w:sz w:val="24"/>
          <w:szCs w:val="24"/>
          <w:lang w:eastAsia="pl-PL"/>
        </w:rPr>
        <w:t>w </w:t>
      </w:r>
      <w:r w:rsidR="009749F7" w:rsidRPr="00833C88">
        <w:rPr>
          <w:rFonts w:eastAsia="Times New Roman" w:cs="Times New Roman"/>
          <w:sz w:val="24"/>
          <w:szCs w:val="24"/>
          <w:lang w:eastAsia="pl-PL"/>
        </w:rPr>
        <w:t>zakresie związanym ze świadczonymi usługami</w:t>
      </w:r>
      <w:r w:rsidR="002B38E4" w:rsidRPr="00833C88">
        <w:rPr>
          <w:rFonts w:eastAsia="Times New Roman" w:cs="Times New Roman"/>
          <w:sz w:val="24"/>
          <w:szCs w:val="24"/>
          <w:lang w:eastAsia="pl-PL"/>
        </w:rPr>
        <w:t>. Użytkownicy muszą posiadać aktualne informacje</w:t>
      </w:r>
      <w:r w:rsidR="00D0072B" w:rsidRPr="00833C88">
        <w:rPr>
          <w:rFonts w:eastAsia="Times New Roman" w:cs="Times New Roman"/>
          <w:sz w:val="24"/>
          <w:szCs w:val="24"/>
          <w:lang w:eastAsia="pl-PL"/>
        </w:rPr>
        <w:t>,</w:t>
      </w:r>
      <w:r w:rsidR="002B38E4" w:rsidRPr="00833C88">
        <w:rPr>
          <w:rFonts w:eastAsia="Times New Roman" w:cs="Times New Roman"/>
          <w:sz w:val="24"/>
          <w:szCs w:val="24"/>
          <w:lang w:eastAsia="pl-PL"/>
        </w:rPr>
        <w:t xml:space="preserve"> aby być </w:t>
      </w:r>
      <w:r w:rsidR="00601933" w:rsidRPr="00833C88">
        <w:rPr>
          <w:rFonts w:eastAsia="Times New Roman" w:cs="Times New Roman"/>
          <w:sz w:val="24"/>
          <w:szCs w:val="24"/>
          <w:lang w:eastAsia="pl-PL"/>
        </w:rPr>
        <w:t>w </w:t>
      </w:r>
      <w:r w:rsidR="002B38E4" w:rsidRPr="00833C88">
        <w:rPr>
          <w:rFonts w:eastAsia="Times New Roman" w:cs="Times New Roman"/>
          <w:sz w:val="24"/>
          <w:szCs w:val="24"/>
          <w:lang w:eastAsia="pl-PL"/>
        </w:rPr>
        <w:t xml:space="preserve">stanie chronić się przed zagrożeniami. </w:t>
      </w:r>
      <w:r w:rsidR="003930E5" w:rsidRPr="00833C88">
        <w:rPr>
          <w:rFonts w:eastAsia="Times New Roman" w:cs="Times New Roman"/>
          <w:sz w:val="24"/>
          <w:szCs w:val="24"/>
          <w:lang w:eastAsia="pl-PL"/>
        </w:rPr>
        <w:t xml:space="preserve">Wprowadza się przy tym pewne ułatwienie w stosowaniu tego przepisu </w:t>
      </w:r>
      <w:r w:rsidR="008071FC" w:rsidRPr="00833C88">
        <w:rPr>
          <w:rFonts w:eastAsia="Times New Roman" w:cs="Times New Roman"/>
          <w:sz w:val="24"/>
          <w:szCs w:val="24"/>
          <w:lang w:eastAsia="pl-PL"/>
        </w:rPr>
        <w:t>– będzie można wykonać ten obowiązek przez odesłanie do stron internetowy</w:t>
      </w:r>
      <w:r w:rsidR="009519B8" w:rsidRPr="00833C88">
        <w:rPr>
          <w:rFonts w:eastAsia="Times New Roman" w:cs="Times New Roman"/>
          <w:sz w:val="24"/>
          <w:szCs w:val="24"/>
          <w:lang w:eastAsia="pl-PL"/>
        </w:rPr>
        <w:t>ch organu właściwego do spraw cyberbezpieczeństwa, CSIRT MON, CSIRT NASK, CSIRT GOV lub CSIRT sektorowego.</w:t>
      </w:r>
    </w:p>
    <w:p w14:paraId="6D1EAC86" w14:textId="53F060B2" w:rsidR="00E3006D" w:rsidRPr="00833C88" w:rsidRDefault="00E3006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Każdy podmiot </w:t>
      </w:r>
      <w:r w:rsidR="00B21E6E" w:rsidRPr="00833C88">
        <w:rPr>
          <w:rFonts w:eastAsia="Times New Roman" w:cs="Times New Roman"/>
          <w:sz w:val="24"/>
          <w:szCs w:val="24"/>
          <w:lang w:eastAsia="pl-PL"/>
        </w:rPr>
        <w:t xml:space="preserve">kluczowy oraz podmiot ważny powinien zapewnić możliwość </w:t>
      </w:r>
      <w:r w:rsidR="00F3371C" w:rsidRPr="00833C88">
        <w:rPr>
          <w:rFonts w:eastAsia="Times New Roman" w:cs="Times New Roman"/>
          <w:sz w:val="24"/>
          <w:szCs w:val="24"/>
          <w:lang w:eastAsia="pl-PL"/>
        </w:rPr>
        <w:t xml:space="preserve">zgłaszania </w:t>
      </w:r>
      <w:r w:rsidR="007331D3" w:rsidRPr="00833C88">
        <w:rPr>
          <w:rFonts w:eastAsia="Times New Roman" w:cs="Times New Roman"/>
          <w:sz w:val="24"/>
          <w:szCs w:val="24"/>
          <w:lang w:eastAsia="pl-PL"/>
        </w:rPr>
        <w:t xml:space="preserve">przez swoich użytkowników </w:t>
      </w:r>
      <w:proofErr w:type="spellStart"/>
      <w:r w:rsidR="00F3371C" w:rsidRPr="00833C88">
        <w:rPr>
          <w:rFonts w:eastAsia="Times New Roman" w:cs="Times New Roman"/>
          <w:sz w:val="24"/>
          <w:szCs w:val="24"/>
          <w:lang w:eastAsia="pl-PL"/>
        </w:rPr>
        <w:t>cyberzagrożeń</w:t>
      </w:r>
      <w:proofErr w:type="spellEnd"/>
      <w:r w:rsidR="00F3371C" w:rsidRPr="00833C88">
        <w:rPr>
          <w:rFonts w:eastAsia="Times New Roman" w:cs="Times New Roman"/>
          <w:sz w:val="24"/>
          <w:szCs w:val="24"/>
          <w:lang w:eastAsia="pl-PL"/>
        </w:rPr>
        <w:t xml:space="preserve">, podatności czy </w:t>
      </w:r>
      <w:r w:rsidR="00F811B1" w:rsidRPr="00833C88">
        <w:rPr>
          <w:rFonts w:eastAsia="Times New Roman" w:cs="Times New Roman"/>
          <w:sz w:val="24"/>
          <w:szCs w:val="24"/>
          <w:lang w:eastAsia="pl-PL"/>
        </w:rPr>
        <w:t xml:space="preserve">incydentu związanego </w:t>
      </w:r>
      <w:r w:rsidR="00601933" w:rsidRPr="00833C88">
        <w:rPr>
          <w:rFonts w:eastAsia="Times New Roman" w:cs="Times New Roman"/>
          <w:sz w:val="24"/>
          <w:szCs w:val="24"/>
          <w:lang w:eastAsia="pl-PL"/>
        </w:rPr>
        <w:t>z </w:t>
      </w:r>
      <w:r w:rsidR="00F811B1" w:rsidRPr="00833C88">
        <w:rPr>
          <w:rFonts w:eastAsia="Times New Roman" w:cs="Times New Roman"/>
          <w:sz w:val="24"/>
          <w:szCs w:val="24"/>
          <w:lang w:eastAsia="pl-PL"/>
        </w:rPr>
        <w:t xml:space="preserve">usługą świadczoną przez </w:t>
      </w:r>
      <w:r w:rsidR="007331D3" w:rsidRPr="00833C88">
        <w:rPr>
          <w:rFonts w:eastAsia="Times New Roman" w:cs="Times New Roman"/>
          <w:sz w:val="24"/>
          <w:szCs w:val="24"/>
          <w:lang w:eastAsia="pl-PL"/>
        </w:rPr>
        <w:t xml:space="preserve">podmiot. Forma zgłoszenia należy już do podmiotu </w:t>
      </w:r>
      <w:r w:rsidR="00331970" w:rsidRPr="00833C88">
        <w:rPr>
          <w:rFonts w:eastAsia="Times New Roman" w:cs="Times New Roman"/>
          <w:sz w:val="24"/>
          <w:szCs w:val="24"/>
          <w:lang w:eastAsia="pl-PL"/>
        </w:rPr>
        <w:t>–</w:t>
      </w:r>
      <w:r w:rsidR="007331D3" w:rsidRPr="00833C88">
        <w:rPr>
          <w:rFonts w:eastAsia="Times New Roman" w:cs="Times New Roman"/>
          <w:sz w:val="24"/>
          <w:szCs w:val="24"/>
          <w:lang w:eastAsia="pl-PL"/>
        </w:rPr>
        <w:t xml:space="preserve"> cz</w:t>
      </w:r>
      <w:r w:rsidR="00331970" w:rsidRPr="00833C88">
        <w:rPr>
          <w:rFonts w:eastAsia="Times New Roman" w:cs="Times New Roman"/>
          <w:sz w:val="24"/>
          <w:szCs w:val="24"/>
          <w:lang w:eastAsia="pl-PL"/>
        </w:rPr>
        <w:t xml:space="preserve">y to będzie odrębny adres poczty elektronicznej, czat na stronie internetowej, </w:t>
      </w:r>
      <w:r w:rsidR="009E3751" w:rsidRPr="00833C88">
        <w:rPr>
          <w:rFonts w:eastAsia="Times New Roman" w:cs="Times New Roman"/>
          <w:sz w:val="24"/>
          <w:szCs w:val="24"/>
          <w:lang w:eastAsia="pl-PL"/>
        </w:rPr>
        <w:t xml:space="preserve">adres do doręczeń elektronicznych </w:t>
      </w:r>
      <w:r w:rsidR="00601933" w:rsidRPr="00833C88">
        <w:rPr>
          <w:rFonts w:eastAsia="Times New Roman" w:cs="Times New Roman"/>
          <w:sz w:val="24"/>
          <w:szCs w:val="24"/>
          <w:lang w:eastAsia="pl-PL"/>
        </w:rPr>
        <w:t>w </w:t>
      </w:r>
      <w:r w:rsidR="009E3751" w:rsidRPr="00833C88">
        <w:rPr>
          <w:rFonts w:eastAsia="Times New Roman" w:cs="Times New Roman"/>
          <w:sz w:val="24"/>
          <w:szCs w:val="24"/>
          <w:lang w:eastAsia="pl-PL"/>
        </w:rPr>
        <w:t xml:space="preserve">przypadku podmiotów zobowiązanych do </w:t>
      </w:r>
      <w:r w:rsidR="002900B2" w:rsidRPr="00833C88">
        <w:rPr>
          <w:rFonts w:eastAsia="Times New Roman" w:cs="Times New Roman"/>
          <w:sz w:val="24"/>
          <w:szCs w:val="24"/>
          <w:lang w:eastAsia="pl-PL"/>
        </w:rPr>
        <w:t xml:space="preserve">stosowania ustawy </w:t>
      </w:r>
      <w:r w:rsidR="00601933" w:rsidRPr="00833C88">
        <w:rPr>
          <w:rFonts w:eastAsia="Times New Roman" w:cs="Times New Roman"/>
          <w:sz w:val="24"/>
          <w:szCs w:val="24"/>
          <w:lang w:eastAsia="pl-PL"/>
        </w:rPr>
        <w:t>o </w:t>
      </w:r>
      <w:r w:rsidR="002900B2" w:rsidRPr="00833C88">
        <w:rPr>
          <w:rFonts w:eastAsia="Times New Roman" w:cs="Times New Roman"/>
          <w:sz w:val="24"/>
          <w:szCs w:val="24"/>
          <w:lang w:eastAsia="pl-PL"/>
        </w:rPr>
        <w:t>doręczeniach elektronicznych.</w:t>
      </w:r>
    </w:p>
    <w:p w14:paraId="0D91F75F" w14:textId="6C53D0E8" w:rsidR="007D6CCA" w:rsidRPr="00833C88" w:rsidRDefault="00C3798C" w:rsidP="00CD1718">
      <w:pPr>
        <w:pStyle w:val="Nagwek3"/>
        <w:spacing w:before="0" w:after="120" w:line="360" w:lineRule="auto"/>
        <w:rPr>
          <w:rFonts w:cs="Times New Roman"/>
          <w:lang w:eastAsia="pl-PL"/>
        </w:rPr>
      </w:pPr>
      <w:r w:rsidRPr="00833C88">
        <w:rPr>
          <w:rFonts w:cs="Times New Roman"/>
          <w:b/>
          <w:bCs/>
          <w:u w:val="none"/>
          <w:lang w:eastAsia="pl-PL"/>
        </w:rPr>
        <w:t>Dokumentacja SZBI</w:t>
      </w:r>
    </w:p>
    <w:p w14:paraId="3FE30905" w14:textId="124D9951" w:rsidR="00933E50" w:rsidRPr="00833C88" w:rsidRDefault="004A0C56"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Przepisy</w:t>
      </w:r>
      <w:r w:rsidR="0054686C" w:rsidRPr="00833C88">
        <w:rPr>
          <w:rFonts w:eastAsia="Times New Roman" w:cs="Times New Roman"/>
          <w:sz w:val="24"/>
          <w:szCs w:val="24"/>
          <w:lang w:eastAsia="pl-PL"/>
        </w:rPr>
        <w:t xml:space="preserve"> projektu ustawy</w:t>
      </w:r>
      <w:r w:rsidRPr="00833C88">
        <w:rPr>
          <w:rFonts w:eastAsia="Times New Roman" w:cs="Times New Roman"/>
          <w:sz w:val="24"/>
          <w:szCs w:val="24"/>
          <w:lang w:eastAsia="pl-PL"/>
        </w:rPr>
        <w:t xml:space="preserve"> precyzują również </w:t>
      </w:r>
      <w:r w:rsidR="002A72D6" w:rsidRPr="00833C88">
        <w:rPr>
          <w:rFonts w:eastAsia="Times New Roman" w:cs="Times New Roman"/>
          <w:sz w:val="24"/>
          <w:szCs w:val="24"/>
          <w:lang w:eastAsia="pl-PL"/>
        </w:rPr>
        <w:t>kwestię dokumentacji jaką musz</w:t>
      </w:r>
      <w:r w:rsidR="00846C33" w:rsidRPr="00833C88">
        <w:rPr>
          <w:rFonts w:eastAsia="Times New Roman" w:cs="Times New Roman"/>
          <w:sz w:val="24"/>
          <w:szCs w:val="24"/>
          <w:lang w:eastAsia="pl-PL"/>
        </w:rPr>
        <w:t>ą</w:t>
      </w:r>
      <w:r w:rsidR="002A72D6" w:rsidRPr="00833C88">
        <w:rPr>
          <w:rFonts w:eastAsia="Times New Roman" w:cs="Times New Roman"/>
          <w:sz w:val="24"/>
          <w:szCs w:val="24"/>
          <w:lang w:eastAsia="pl-PL"/>
        </w:rPr>
        <w:t xml:space="preserve"> przechowywać podmioty kluczowe </w:t>
      </w:r>
      <w:r w:rsidR="00601933" w:rsidRPr="00833C88">
        <w:rPr>
          <w:rFonts w:eastAsia="Times New Roman" w:cs="Times New Roman"/>
          <w:sz w:val="24"/>
          <w:szCs w:val="24"/>
          <w:lang w:eastAsia="pl-PL"/>
        </w:rPr>
        <w:t>i </w:t>
      </w:r>
      <w:r w:rsidR="00D0072B" w:rsidRPr="00833C88">
        <w:rPr>
          <w:rFonts w:eastAsia="Times New Roman" w:cs="Times New Roman"/>
          <w:sz w:val="24"/>
          <w:szCs w:val="24"/>
          <w:lang w:eastAsia="pl-PL"/>
        </w:rPr>
        <w:t xml:space="preserve">podmioty </w:t>
      </w:r>
      <w:r w:rsidR="002A72D6" w:rsidRPr="00833C88">
        <w:rPr>
          <w:rFonts w:eastAsia="Times New Roman" w:cs="Times New Roman"/>
          <w:sz w:val="24"/>
          <w:szCs w:val="24"/>
          <w:lang w:eastAsia="pl-PL"/>
        </w:rPr>
        <w:t xml:space="preserve">ważne. </w:t>
      </w:r>
      <w:r w:rsidR="00601933" w:rsidRPr="00833C88">
        <w:rPr>
          <w:rFonts w:eastAsia="Times New Roman" w:cs="Times New Roman"/>
          <w:sz w:val="24"/>
          <w:szCs w:val="24"/>
          <w:lang w:eastAsia="pl-PL"/>
        </w:rPr>
        <w:t>W </w:t>
      </w:r>
      <w:r w:rsidR="009504A9" w:rsidRPr="00833C88">
        <w:rPr>
          <w:rFonts w:eastAsia="Times New Roman" w:cs="Times New Roman"/>
          <w:sz w:val="24"/>
          <w:szCs w:val="24"/>
          <w:lang w:eastAsia="pl-PL"/>
        </w:rPr>
        <w:t>tym zakresie przeniesiono dotychczasowe przepisy rozporządzenia i</w:t>
      </w:r>
      <w:r w:rsidR="00D0072B" w:rsidRPr="00833C88">
        <w:rPr>
          <w:rFonts w:eastAsia="Times New Roman" w:cs="Times New Roman"/>
          <w:sz w:val="24"/>
          <w:szCs w:val="24"/>
          <w:lang w:eastAsia="pl-PL"/>
        </w:rPr>
        <w:t> </w:t>
      </w:r>
      <w:r w:rsidR="009504A9" w:rsidRPr="00833C88">
        <w:rPr>
          <w:rFonts w:eastAsia="Times New Roman" w:cs="Times New Roman"/>
          <w:sz w:val="24"/>
          <w:szCs w:val="24"/>
          <w:lang w:eastAsia="pl-PL"/>
        </w:rPr>
        <w:t>nadano im rangę ustawową</w:t>
      </w:r>
      <w:r w:rsidR="00D0072B" w:rsidRPr="00833C88">
        <w:rPr>
          <w:rFonts w:eastAsia="Times New Roman" w:cs="Times New Roman"/>
          <w:sz w:val="24"/>
          <w:szCs w:val="24"/>
          <w:lang w:eastAsia="pl-PL"/>
        </w:rPr>
        <w:t>.</w:t>
      </w:r>
      <w:r w:rsidR="006D75C5" w:rsidRPr="00833C88">
        <w:rPr>
          <w:rFonts w:eastAsia="Times New Roman" w:cs="Times New Roman"/>
          <w:sz w:val="24"/>
          <w:szCs w:val="24"/>
          <w:lang w:eastAsia="pl-PL"/>
        </w:rPr>
        <w:t xml:space="preserve"> Dokumentacja dotyczy </w:t>
      </w:r>
      <w:r w:rsidR="00874D75" w:rsidRPr="00833C88">
        <w:rPr>
          <w:rFonts w:eastAsia="Times New Roman" w:cs="Times New Roman"/>
          <w:sz w:val="24"/>
          <w:szCs w:val="24"/>
          <w:lang w:eastAsia="pl-PL"/>
        </w:rPr>
        <w:t xml:space="preserve">bezpieczeństwa systemu informacyjnego wykorzystywanego </w:t>
      </w:r>
      <w:r w:rsidR="00601933" w:rsidRPr="00833C88">
        <w:rPr>
          <w:rFonts w:eastAsia="Times New Roman" w:cs="Times New Roman"/>
          <w:sz w:val="24"/>
          <w:szCs w:val="24"/>
          <w:lang w:eastAsia="pl-PL"/>
        </w:rPr>
        <w:t>w </w:t>
      </w:r>
      <w:r w:rsidR="00874D75" w:rsidRPr="00833C88">
        <w:rPr>
          <w:rFonts w:eastAsia="Times New Roman" w:cs="Times New Roman"/>
          <w:sz w:val="24"/>
          <w:szCs w:val="24"/>
          <w:lang w:eastAsia="pl-PL"/>
        </w:rPr>
        <w:t>procesie świadczenia usługi</w:t>
      </w:r>
      <w:r w:rsidR="00073349" w:rsidRPr="00833C88">
        <w:rPr>
          <w:rFonts w:eastAsia="Times New Roman" w:cs="Times New Roman"/>
          <w:sz w:val="24"/>
          <w:szCs w:val="24"/>
          <w:lang w:eastAsia="pl-PL"/>
        </w:rPr>
        <w:t xml:space="preserve"> i może być</w:t>
      </w:r>
      <w:r w:rsidR="00874D75" w:rsidRPr="00833C88">
        <w:rPr>
          <w:rFonts w:eastAsia="Times New Roman" w:cs="Times New Roman"/>
          <w:sz w:val="24"/>
          <w:szCs w:val="24"/>
          <w:lang w:eastAsia="pl-PL"/>
        </w:rPr>
        <w:t xml:space="preserve"> </w:t>
      </w:r>
      <w:r w:rsidR="00073349" w:rsidRPr="00833C88">
        <w:rPr>
          <w:rFonts w:eastAsia="Times New Roman" w:cs="Times New Roman"/>
          <w:sz w:val="24"/>
          <w:szCs w:val="24"/>
          <w:lang w:eastAsia="pl-PL"/>
        </w:rPr>
        <w:t>p</w:t>
      </w:r>
      <w:r w:rsidR="00874D75" w:rsidRPr="00833C88">
        <w:rPr>
          <w:rFonts w:eastAsia="Times New Roman" w:cs="Times New Roman"/>
          <w:sz w:val="24"/>
          <w:szCs w:val="24"/>
          <w:lang w:eastAsia="pl-PL"/>
        </w:rPr>
        <w:t xml:space="preserve">rowadzona </w:t>
      </w:r>
      <w:r w:rsidR="00601933" w:rsidRPr="00833C88">
        <w:rPr>
          <w:rFonts w:eastAsia="Times New Roman" w:cs="Times New Roman"/>
          <w:sz w:val="24"/>
          <w:szCs w:val="24"/>
          <w:lang w:eastAsia="pl-PL"/>
        </w:rPr>
        <w:t>w </w:t>
      </w:r>
      <w:r w:rsidR="00874D75" w:rsidRPr="00833C88">
        <w:rPr>
          <w:rFonts w:eastAsia="Times New Roman" w:cs="Times New Roman"/>
          <w:sz w:val="24"/>
          <w:szCs w:val="24"/>
          <w:lang w:eastAsia="pl-PL"/>
        </w:rPr>
        <w:t xml:space="preserve">postaci elektronicznej lub </w:t>
      </w:r>
      <w:r w:rsidR="00073349" w:rsidRPr="00833C88">
        <w:rPr>
          <w:rFonts w:eastAsia="Times New Roman" w:cs="Times New Roman"/>
          <w:sz w:val="24"/>
          <w:szCs w:val="24"/>
          <w:lang w:eastAsia="pl-PL"/>
        </w:rPr>
        <w:t xml:space="preserve">w postaci </w:t>
      </w:r>
      <w:r w:rsidR="00874D75" w:rsidRPr="00833C88">
        <w:rPr>
          <w:rFonts w:eastAsia="Times New Roman" w:cs="Times New Roman"/>
          <w:sz w:val="24"/>
          <w:szCs w:val="24"/>
          <w:lang w:eastAsia="pl-PL"/>
        </w:rPr>
        <w:t>papierowej</w:t>
      </w:r>
      <w:r w:rsidR="005B6F8C" w:rsidRPr="00833C88">
        <w:rPr>
          <w:rFonts w:eastAsia="Times New Roman" w:cs="Times New Roman"/>
          <w:sz w:val="24"/>
          <w:szCs w:val="24"/>
          <w:lang w:eastAsia="pl-PL"/>
        </w:rPr>
        <w:t>.</w:t>
      </w:r>
    </w:p>
    <w:p w14:paraId="023757C5" w14:textId="4AB635BD" w:rsidR="00772A7F" w:rsidRPr="00833C88" w:rsidRDefault="005B6F8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Zakres dokumentacji podzielono na </w:t>
      </w:r>
      <w:r w:rsidR="007221F2" w:rsidRPr="00833C88">
        <w:rPr>
          <w:rFonts w:eastAsia="Times New Roman" w:cs="Times New Roman"/>
          <w:sz w:val="24"/>
          <w:szCs w:val="24"/>
          <w:lang w:eastAsia="pl-PL"/>
        </w:rPr>
        <w:t>2 części. Dokumentacja normatywna to ta część dokumentacji</w:t>
      </w:r>
      <w:r w:rsidR="004768CB" w:rsidRPr="00833C88">
        <w:rPr>
          <w:rFonts w:eastAsia="Times New Roman" w:cs="Times New Roman"/>
          <w:sz w:val="24"/>
          <w:szCs w:val="24"/>
          <w:lang w:eastAsia="pl-PL"/>
        </w:rPr>
        <w:t>, która</w:t>
      </w:r>
      <w:r w:rsidR="00956C2F" w:rsidRPr="00833C88">
        <w:rPr>
          <w:rFonts w:eastAsia="Times New Roman" w:cs="Times New Roman"/>
          <w:sz w:val="24"/>
          <w:szCs w:val="24"/>
          <w:lang w:eastAsia="pl-PL"/>
        </w:rPr>
        <w:t xml:space="preserve"> opisuje świadczoną usługę, systemy, infrastrukturę oraz </w:t>
      </w:r>
      <w:r w:rsidR="00427CF6" w:rsidRPr="00833C88">
        <w:rPr>
          <w:rFonts w:eastAsia="Times New Roman" w:cs="Times New Roman"/>
          <w:sz w:val="24"/>
          <w:szCs w:val="24"/>
          <w:lang w:eastAsia="pl-PL"/>
        </w:rPr>
        <w:t>funkcjonowanie bezpieczeń</w:t>
      </w:r>
      <w:r w:rsidR="000F5C69" w:rsidRPr="00833C88">
        <w:rPr>
          <w:rFonts w:eastAsia="Times New Roman" w:cs="Times New Roman"/>
          <w:sz w:val="24"/>
          <w:szCs w:val="24"/>
          <w:lang w:eastAsia="pl-PL"/>
        </w:rPr>
        <w:t xml:space="preserve">stwa informacji </w:t>
      </w:r>
      <w:r w:rsidR="00601933" w:rsidRPr="00833C88">
        <w:rPr>
          <w:rFonts w:eastAsia="Times New Roman" w:cs="Times New Roman"/>
          <w:sz w:val="24"/>
          <w:szCs w:val="24"/>
          <w:lang w:eastAsia="pl-PL"/>
        </w:rPr>
        <w:t>w </w:t>
      </w:r>
      <w:r w:rsidR="000F5C69" w:rsidRPr="00833C88">
        <w:rPr>
          <w:rFonts w:eastAsia="Times New Roman" w:cs="Times New Roman"/>
          <w:sz w:val="24"/>
          <w:szCs w:val="24"/>
          <w:lang w:eastAsia="pl-PL"/>
        </w:rPr>
        <w:t xml:space="preserve">podmiocie. Dokumentacja operacyjna potwierdza wykonywanie czynności opisanych </w:t>
      </w:r>
      <w:r w:rsidR="00601933" w:rsidRPr="00833C88">
        <w:rPr>
          <w:rFonts w:eastAsia="Times New Roman" w:cs="Times New Roman"/>
          <w:sz w:val="24"/>
          <w:szCs w:val="24"/>
          <w:lang w:eastAsia="pl-PL"/>
        </w:rPr>
        <w:t>w </w:t>
      </w:r>
      <w:r w:rsidR="000F5C69" w:rsidRPr="00833C88">
        <w:rPr>
          <w:rFonts w:eastAsia="Times New Roman" w:cs="Times New Roman"/>
          <w:sz w:val="24"/>
          <w:szCs w:val="24"/>
          <w:lang w:eastAsia="pl-PL"/>
        </w:rPr>
        <w:t>dokumentacji normatywnej.</w:t>
      </w:r>
    </w:p>
    <w:p w14:paraId="0EB419E2" w14:textId="634B53F8" w:rsidR="0006343F" w:rsidRPr="00833C88" w:rsidRDefault="0006343F" w:rsidP="00CD1718">
      <w:pPr>
        <w:pStyle w:val="Legenda"/>
        <w:keepNext/>
        <w:spacing w:after="120" w:line="360" w:lineRule="auto"/>
        <w:jc w:val="both"/>
        <w:rPr>
          <w:rFonts w:cs="Times New Roman"/>
        </w:rPr>
      </w:pPr>
      <w:r w:rsidRPr="00833C88">
        <w:rPr>
          <w:rFonts w:cs="Times New Roman"/>
        </w:rPr>
        <w:lastRenderedPageBreak/>
        <w:t xml:space="preserve">Rysunek </w:t>
      </w:r>
      <w:r w:rsidR="00DE5E15" w:rsidRPr="00833C88">
        <w:rPr>
          <w:rFonts w:cs="Times New Roman"/>
        </w:rPr>
        <w:fldChar w:fldCharType="begin"/>
      </w:r>
      <w:r w:rsidR="00DE5E15" w:rsidRPr="00833C88">
        <w:rPr>
          <w:rFonts w:cs="Times New Roman"/>
        </w:rPr>
        <w:instrText xml:space="preserve"> SEQ Rysunek \* ARABIC </w:instrText>
      </w:r>
      <w:r w:rsidR="00DE5E15" w:rsidRPr="00833C88">
        <w:rPr>
          <w:rFonts w:cs="Times New Roman"/>
        </w:rPr>
        <w:fldChar w:fldCharType="separate"/>
      </w:r>
      <w:r w:rsidR="00322ECA" w:rsidRPr="00833C88">
        <w:rPr>
          <w:rFonts w:cs="Times New Roman"/>
          <w:noProof/>
        </w:rPr>
        <w:t>2</w:t>
      </w:r>
      <w:r w:rsidR="00DE5E15" w:rsidRPr="00833C88">
        <w:rPr>
          <w:rFonts w:cs="Times New Roman"/>
          <w:noProof/>
        </w:rPr>
        <w:fldChar w:fldCharType="end"/>
      </w:r>
      <w:r w:rsidRPr="00833C88">
        <w:rPr>
          <w:rFonts w:cs="Times New Roman"/>
        </w:rPr>
        <w:t xml:space="preserve"> Dokumentacja </w:t>
      </w:r>
      <w:r w:rsidR="00601933" w:rsidRPr="00833C88">
        <w:rPr>
          <w:rFonts w:cs="Times New Roman"/>
        </w:rPr>
        <w:t>w </w:t>
      </w:r>
      <w:r w:rsidRPr="00833C88">
        <w:rPr>
          <w:rFonts w:cs="Times New Roman"/>
        </w:rPr>
        <w:t xml:space="preserve">nowelizacji </w:t>
      </w:r>
      <w:r w:rsidR="007D6CCA" w:rsidRPr="00833C88">
        <w:rPr>
          <w:rFonts w:cs="Times New Roman"/>
        </w:rPr>
        <w:t xml:space="preserve">ustawy </w:t>
      </w:r>
      <w:r w:rsidR="00601933" w:rsidRPr="00833C88">
        <w:rPr>
          <w:rFonts w:cs="Times New Roman"/>
        </w:rPr>
        <w:t>o </w:t>
      </w:r>
      <w:r w:rsidRPr="00833C88">
        <w:rPr>
          <w:rFonts w:cs="Times New Roman"/>
        </w:rPr>
        <w:t>KSC</w:t>
      </w:r>
    </w:p>
    <w:p w14:paraId="5A539BE2" w14:textId="53AF5708" w:rsidR="00EB2DDD" w:rsidRPr="00833C88" w:rsidRDefault="00EB2DDD" w:rsidP="0029004E">
      <w:pPr>
        <w:spacing w:line="360" w:lineRule="auto"/>
        <w:jc w:val="both"/>
        <w:rPr>
          <w:rFonts w:eastAsia="Times New Roman" w:cs="Times New Roman"/>
          <w:sz w:val="24"/>
          <w:szCs w:val="24"/>
          <w:lang w:eastAsia="pl-PL"/>
        </w:rPr>
      </w:pPr>
      <w:r w:rsidRPr="00833C88">
        <w:rPr>
          <w:rFonts w:eastAsia="Times New Roman" w:cs="Times New Roman"/>
          <w:noProof/>
          <w:sz w:val="24"/>
          <w:szCs w:val="24"/>
          <w:lang w:eastAsia="pl-PL"/>
        </w:rPr>
        <w:drawing>
          <wp:inline distT="0" distB="0" distL="0" distR="0" wp14:anchorId="08AAA3A1" wp14:editId="5C01D49E">
            <wp:extent cx="5486400" cy="3200400"/>
            <wp:effectExtent l="0" t="0" r="19050" b="0"/>
            <wp:docPr id="73553044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47A44E4" w14:textId="51312BAC" w:rsidR="00DE5E15" w:rsidRPr="00833C88" w:rsidRDefault="00DE5E15" w:rsidP="00CD1718">
      <w:pPr>
        <w:pStyle w:val="Legenda"/>
        <w:keepNext/>
        <w:spacing w:after="120" w:line="360" w:lineRule="auto"/>
        <w:jc w:val="both"/>
        <w:rPr>
          <w:rFonts w:cs="Times New Roman"/>
        </w:rPr>
      </w:pPr>
      <w:r w:rsidRPr="00833C88">
        <w:rPr>
          <w:rFonts w:cs="Times New Roman"/>
        </w:rPr>
        <w:t xml:space="preserve">Rysunek </w:t>
      </w:r>
      <w:r w:rsidRPr="00833C88">
        <w:rPr>
          <w:rFonts w:cs="Times New Roman"/>
        </w:rPr>
        <w:fldChar w:fldCharType="begin"/>
      </w:r>
      <w:r w:rsidRPr="00833C88">
        <w:rPr>
          <w:rFonts w:cs="Times New Roman"/>
        </w:rPr>
        <w:instrText xml:space="preserve"> SEQ Rysunek \* ARABIC </w:instrText>
      </w:r>
      <w:r w:rsidRPr="00833C88">
        <w:rPr>
          <w:rFonts w:cs="Times New Roman"/>
        </w:rPr>
        <w:fldChar w:fldCharType="separate"/>
      </w:r>
      <w:r w:rsidR="00322ECA" w:rsidRPr="00833C88">
        <w:rPr>
          <w:rFonts w:cs="Times New Roman"/>
          <w:noProof/>
        </w:rPr>
        <w:t>3</w:t>
      </w:r>
      <w:r w:rsidRPr="00833C88">
        <w:rPr>
          <w:rFonts w:cs="Times New Roman"/>
          <w:noProof/>
        </w:rPr>
        <w:fldChar w:fldCharType="end"/>
      </w:r>
      <w:r w:rsidRPr="00833C88">
        <w:rPr>
          <w:rFonts w:cs="Times New Roman"/>
        </w:rPr>
        <w:t xml:space="preserve"> Zakres przedmiotowy dokumentacji ochrony infrastruktury</w:t>
      </w:r>
    </w:p>
    <w:p w14:paraId="34E66BB0" w14:textId="4D489542" w:rsidR="00820E41" w:rsidRPr="00833C88" w:rsidRDefault="00820E41" w:rsidP="0029004E">
      <w:pPr>
        <w:spacing w:line="360" w:lineRule="auto"/>
        <w:jc w:val="both"/>
        <w:rPr>
          <w:rFonts w:eastAsia="Times New Roman" w:cs="Times New Roman"/>
          <w:sz w:val="24"/>
          <w:szCs w:val="24"/>
          <w:lang w:eastAsia="pl-PL"/>
        </w:rPr>
      </w:pPr>
      <w:r w:rsidRPr="00833C88">
        <w:rPr>
          <w:rFonts w:eastAsia="Times New Roman" w:cs="Times New Roman"/>
          <w:noProof/>
          <w:sz w:val="24"/>
          <w:szCs w:val="24"/>
          <w:lang w:eastAsia="pl-PL"/>
        </w:rPr>
        <w:drawing>
          <wp:inline distT="0" distB="0" distL="0" distR="0" wp14:anchorId="7492D48C" wp14:editId="0ABFC862">
            <wp:extent cx="5486400" cy="3200400"/>
            <wp:effectExtent l="38100" t="19050" r="38100" b="0"/>
            <wp:docPr id="189337956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12330BB" w14:textId="037A6ECB" w:rsidR="007956E9" w:rsidRPr="00833C88" w:rsidRDefault="007956E9"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Podkreślić należy, że przepis wskazuje zakres przedmiotowy dokumentacji. </w:t>
      </w:r>
      <w:r w:rsidR="00684918" w:rsidRPr="00833C88">
        <w:rPr>
          <w:rFonts w:eastAsia="Times New Roman" w:cs="Times New Roman"/>
          <w:sz w:val="24"/>
          <w:szCs w:val="24"/>
          <w:lang w:eastAsia="pl-PL"/>
        </w:rPr>
        <w:t xml:space="preserve">Może powstać </w:t>
      </w:r>
      <w:r w:rsidR="00601933" w:rsidRPr="00833C88">
        <w:rPr>
          <w:rFonts w:eastAsia="Times New Roman" w:cs="Times New Roman"/>
          <w:sz w:val="24"/>
          <w:szCs w:val="24"/>
          <w:lang w:eastAsia="pl-PL"/>
        </w:rPr>
        <w:t>z </w:t>
      </w:r>
      <w:r w:rsidR="00684918" w:rsidRPr="00833C88">
        <w:rPr>
          <w:rFonts w:eastAsia="Times New Roman" w:cs="Times New Roman"/>
          <w:sz w:val="24"/>
          <w:szCs w:val="24"/>
          <w:lang w:eastAsia="pl-PL"/>
        </w:rPr>
        <w:t>tego jeden dokument albo kilka.</w:t>
      </w:r>
      <w:r w:rsidR="000D2A02" w:rsidRPr="00833C88">
        <w:rPr>
          <w:rFonts w:eastAsia="Times New Roman" w:cs="Times New Roman"/>
          <w:sz w:val="24"/>
          <w:szCs w:val="24"/>
          <w:lang w:eastAsia="pl-PL"/>
        </w:rPr>
        <w:t xml:space="preserve"> To należy już do decyzji podmiotu kluczowego </w:t>
      </w:r>
      <w:r w:rsidR="00601933" w:rsidRPr="00833C88">
        <w:rPr>
          <w:rFonts w:eastAsia="Times New Roman" w:cs="Times New Roman"/>
          <w:sz w:val="24"/>
          <w:szCs w:val="24"/>
          <w:lang w:eastAsia="pl-PL"/>
        </w:rPr>
        <w:t>i </w:t>
      </w:r>
      <w:r w:rsidR="000D2A02" w:rsidRPr="00833C88">
        <w:rPr>
          <w:rFonts w:eastAsia="Times New Roman" w:cs="Times New Roman"/>
          <w:sz w:val="24"/>
          <w:szCs w:val="24"/>
          <w:lang w:eastAsia="pl-PL"/>
        </w:rPr>
        <w:t>podmiotu ważnego. Istotne jest, aby zakres dokumentacji został zachowany.</w:t>
      </w:r>
    </w:p>
    <w:p w14:paraId="77FE754D" w14:textId="5AF46733" w:rsidR="006461A2" w:rsidRPr="00833C88" w:rsidRDefault="00137E8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w:t>
      </w:r>
      <w:r w:rsidR="006461A2" w:rsidRPr="00833C88">
        <w:rPr>
          <w:rFonts w:eastAsia="Times New Roman" w:cs="Times New Roman"/>
          <w:sz w:val="24"/>
          <w:szCs w:val="24"/>
          <w:lang w:eastAsia="pl-PL"/>
        </w:rPr>
        <w:t xml:space="preserve">ażne jest, aby podmiot </w:t>
      </w:r>
      <w:r w:rsidR="009E41F4" w:rsidRPr="00833C88">
        <w:rPr>
          <w:rFonts w:eastAsia="Times New Roman" w:cs="Times New Roman"/>
          <w:sz w:val="24"/>
          <w:szCs w:val="24"/>
          <w:lang w:eastAsia="pl-PL"/>
        </w:rPr>
        <w:t xml:space="preserve">dbał </w:t>
      </w:r>
      <w:r w:rsidR="00601933" w:rsidRPr="00833C88">
        <w:rPr>
          <w:rFonts w:eastAsia="Times New Roman" w:cs="Times New Roman"/>
          <w:sz w:val="24"/>
          <w:szCs w:val="24"/>
          <w:lang w:eastAsia="pl-PL"/>
        </w:rPr>
        <w:t>o </w:t>
      </w:r>
      <w:r w:rsidR="009E41F4" w:rsidRPr="00833C88">
        <w:rPr>
          <w:rFonts w:eastAsia="Times New Roman" w:cs="Times New Roman"/>
          <w:sz w:val="24"/>
          <w:szCs w:val="24"/>
          <w:lang w:eastAsia="pl-PL"/>
        </w:rPr>
        <w:t xml:space="preserve">bezpieczeństwo dokumentacji. Należy zapewnić dostępność dokumentacji dla uprawnionych osób (zasada </w:t>
      </w:r>
      <w:proofErr w:type="spellStart"/>
      <w:r w:rsidR="009E41F4" w:rsidRPr="00833C88">
        <w:rPr>
          <w:rFonts w:eastAsia="Times New Roman" w:cs="Times New Roman"/>
          <w:sz w:val="24"/>
          <w:szCs w:val="24"/>
          <w:lang w:eastAsia="pl-PL"/>
        </w:rPr>
        <w:t>need</w:t>
      </w:r>
      <w:proofErr w:type="spellEnd"/>
      <w:r w:rsidR="009E41F4" w:rsidRPr="00833C88">
        <w:rPr>
          <w:rFonts w:eastAsia="Times New Roman" w:cs="Times New Roman"/>
          <w:sz w:val="24"/>
          <w:szCs w:val="24"/>
          <w:lang w:eastAsia="pl-PL"/>
        </w:rPr>
        <w:t xml:space="preserve"> to </w:t>
      </w:r>
      <w:proofErr w:type="spellStart"/>
      <w:r w:rsidR="009E41F4" w:rsidRPr="00833C88">
        <w:rPr>
          <w:rFonts w:eastAsia="Times New Roman" w:cs="Times New Roman"/>
          <w:sz w:val="24"/>
          <w:szCs w:val="24"/>
          <w:lang w:eastAsia="pl-PL"/>
        </w:rPr>
        <w:t>know</w:t>
      </w:r>
      <w:proofErr w:type="spellEnd"/>
      <w:r w:rsidR="009E41F4"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F22E81" w:rsidRPr="00833C88">
        <w:rPr>
          <w:rFonts w:eastAsia="Times New Roman" w:cs="Times New Roman"/>
          <w:sz w:val="24"/>
          <w:szCs w:val="24"/>
          <w:lang w:eastAsia="pl-PL"/>
        </w:rPr>
        <w:t>zakresie niezbędnym do</w:t>
      </w:r>
      <w:r w:rsidR="009B4C26" w:rsidRPr="00833C88">
        <w:rPr>
          <w:rFonts w:eastAsia="Times New Roman" w:cs="Times New Roman"/>
          <w:sz w:val="24"/>
          <w:szCs w:val="24"/>
          <w:lang w:eastAsia="pl-PL"/>
        </w:rPr>
        <w:t> </w:t>
      </w:r>
      <w:r w:rsidR="00F22E81" w:rsidRPr="00833C88">
        <w:rPr>
          <w:rFonts w:eastAsia="Times New Roman" w:cs="Times New Roman"/>
          <w:sz w:val="24"/>
          <w:szCs w:val="24"/>
          <w:lang w:eastAsia="pl-PL"/>
        </w:rPr>
        <w:t xml:space="preserve">realizacji zadań. Ograniczy to ryzyko ujawnienia informacji </w:t>
      </w:r>
      <w:r w:rsidR="00601933" w:rsidRPr="00833C88">
        <w:rPr>
          <w:rFonts w:eastAsia="Times New Roman" w:cs="Times New Roman"/>
          <w:sz w:val="24"/>
          <w:szCs w:val="24"/>
          <w:lang w:eastAsia="pl-PL"/>
        </w:rPr>
        <w:t>z </w:t>
      </w:r>
      <w:r w:rsidR="00F22E81" w:rsidRPr="00833C88">
        <w:rPr>
          <w:rFonts w:eastAsia="Times New Roman" w:cs="Times New Roman"/>
          <w:sz w:val="24"/>
          <w:szCs w:val="24"/>
          <w:lang w:eastAsia="pl-PL"/>
        </w:rPr>
        <w:t xml:space="preserve">dokumentacji osobom </w:t>
      </w:r>
      <w:r w:rsidR="00F22E81" w:rsidRPr="00833C88">
        <w:rPr>
          <w:rFonts w:eastAsia="Times New Roman" w:cs="Times New Roman"/>
          <w:sz w:val="24"/>
          <w:szCs w:val="24"/>
          <w:lang w:eastAsia="pl-PL"/>
        </w:rPr>
        <w:lastRenderedPageBreak/>
        <w:t>nieuprawnionym.</w:t>
      </w:r>
      <w:r w:rsidR="00B76768" w:rsidRPr="00833C88">
        <w:rPr>
          <w:rFonts w:eastAsia="Times New Roman" w:cs="Times New Roman"/>
          <w:sz w:val="24"/>
          <w:szCs w:val="24"/>
          <w:lang w:eastAsia="pl-PL"/>
        </w:rPr>
        <w:t xml:space="preserve"> </w:t>
      </w:r>
      <w:r w:rsidR="00FA68EF" w:rsidRPr="00833C88">
        <w:rPr>
          <w:rFonts w:eastAsia="Times New Roman" w:cs="Times New Roman"/>
          <w:sz w:val="24"/>
          <w:szCs w:val="24"/>
          <w:lang w:eastAsia="pl-PL"/>
        </w:rPr>
        <w:t xml:space="preserve">Organizacja powinna ustalić kto i w jakim zakresie ma dostęp do </w:t>
      </w:r>
      <w:r w:rsidR="005A40DB" w:rsidRPr="00833C88">
        <w:rPr>
          <w:rFonts w:eastAsia="Times New Roman" w:cs="Times New Roman"/>
          <w:sz w:val="24"/>
          <w:szCs w:val="24"/>
          <w:lang w:eastAsia="pl-PL"/>
        </w:rPr>
        <w:t>dokumentacji</w:t>
      </w:r>
      <w:r w:rsidR="00290778" w:rsidRPr="00833C88">
        <w:rPr>
          <w:rFonts w:eastAsia="Times New Roman" w:cs="Times New Roman"/>
          <w:sz w:val="24"/>
          <w:szCs w:val="24"/>
          <w:lang w:eastAsia="pl-PL"/>
        </w:rPr>
        <w:t xml:space="preserve"> – na żądanie kontroli należy przedstawić dowód przypisania </w:t>
      </w:r>
      <w:r w:rsidR="00E84539" w:rsidRPr="00833C88">
        <w:rPr>
          <w:rFonts w:eastAsia="Times New Roman" w:cs="Times New Roman"/>
          <w:sz w:val="24"/>
          <w:szCs w:val="24"/>
          <w:lang w:eastAsia="pl-PL"/>
        </w:rPr>
        <w:t>dostępu do dokumentacji.</w:t>
      </w:r>
      <w:r w:rsidR="00F22E81" w:rsidRPr="00833C88">
        <w:rPr>
          <w:rFonts w:eastAsia="Times New Roman" w:cs="Times New Roman"/>
          <w:sz w:val="24"/>
          <w:szCs w:val="24"/>
          <w:lang w:eastAsia="pl-PL"/>
        </w:rPr>
        <w:t xml:space="preserve"> </w:t>
      </w:r>
      <w:r w:rsidR="004402AF" w:rsidRPr="00833C88">
        <w:rPr>
          <w:rFonts w:eastAsia="Times New Roman" w:cs="Times New Roman"/>
          <w:sz w:val="24"/>
          <w:szCs w:val="24"/>
          <w:lang w:eastAsia="pl-PL"/>
        </w:rPr>
        <w:t>Podmiot</w:t>
      </w:r>
      <w:r w:rsidR="000718BD" w:rsidRPr="00833C88">
        <w:rPr>
          <w:rFonts w:eastAsia="Times New Roman" w:cs="Times New Roman"/>
          <w:sz w:val="24"/>
          <w:szCs w:val="24"/>
          <w:lang w:eastAsia="pl-PL"/>
        </w:rPr>
        <w:t xml:space="preserve"> powinien także chronić dokument</w:t>
      </w:r>
      <w:r w:rsidR="00E84D88" w:rsidRPr="00833C88">
        <w:rPr>
          <w:rFonts w:eastAsia="Times New Roman" w:cs="Times New Roman"/>
          <w:sz w:val="24"/>
          <w:szCs w:val="24"/>
          <w:lang w:eastAsia="pl-PL"/>
        </w:rPr>
        <w:t>y pod kątem fizycznym</w:t>
      </w:r>
      <w:r w:rsidR="00877CA9" w:rsidRPr="00833C88">
        <w:rPr>
          <w:rFonts w:eastAsia="Times New Roman" w:cs="Times New Roman"/>
          <w:sz w:val="24"/>
          <w:szCs w:val="24"/>
          <w:lang w:eastAsia="pl-PL"/>
        </w:rPr>
        <w:t xml:space="preserve"> – ochrona przed uszkodzeniem (uszkodzenie papieru czy dysku</w:t>
      </w:r>
      <w:r w:rsidR="00705235" w:rsidRPr="00833C88">
        <w:rPr>
          <w:rFonts w:eastAsia="Times New Roman" w:cs="Times New Roman"/>
          <w:sz w:val="24"/>
          <w:szCs w:val="24"/>
          <w:lang w:eastAsia="pl-PL"/>
        </w:rPr>
        <w:t>), zniszczeniem, utratą, nieuprawnionym dostępem, niewłaściwym użyciem lub utratą integralności.</w:t>
      </w:r>
      <w:r w:rsidR="00E84539" w:rsidRPr="00833C88">
        <w:rPr>
          <w:rFonts w:eastAsia="Times New Roman" w:cs="Times New Roman"/>
          <w:sz w:val="24"/>
          <w:szCs w:val="24"/>
          <w:lang w:eastAsia="pl-PL"/>
        </w:rPr>
        <w:t xml:space="preserve"> Konieczne jest wskazanie kto odpowiada za dokumentację, kto ma ją chronić oraz jakie środki wdrożono, aby chronić dokumentację np. szkolenia, środki fizyczne (przechowywanie papierowej dokumentacji w</w:t>
      </w:r>
      <w:r w:rsidR="00337E43" w:rsidRPr="00833C88">
        <w:rPr>
          <w:rFonts w:eastAsia="Times New Roman" w:cs="Times New Roman"/>
          <w:sz w:val="24"/>
          <w:szCs w:val="24"/>
          <w:lang w:eastAsia="pl-PL"/>
        </w:rPr>
        <w:t> </w:t>
      </w:r>
      <w:r w:rsidR="00E84539" w:rsidRPr="00833C88">
        <w:rPr>
          <w:rFonts w:eastAsia="Times New Roman" w:cs="Times New Roman"/>
          <w:sz w:val="24"/>
          <w:szCs w:val="24"/>
          <w:lang w:eastAsia="pl-PL"/>
        </w:rPr>
        <w:t xml:space="preserve">zamkniętym pomieszczeniu czy szafie), środki </w:t>
      </w:r>
      <w:r w:rsidR="008F656B" w:rsidRPr="00833C88">
        <w:rPr>
          <w:rFonts w:eastAsia="Times New Roman" w:cs="Times New Roman"/>
          <w:sz w:val="24"/>
          <w:szCs w:val="24"/>
          <w:lang w:eastAsia="pl-PL"/>
        </w:rPr>
        <w:t>techniczne np. szyfrowanie plików z</w:t>
      </w:r>
      <w:r w:rsidR="00337E43" w:rsidRPr="00833C88">
        <w:rPr>
          <w:rFonts w:eastAsia="Times New Roman" w:cs="Times New Roman"/>
          <w:sz w:val="24"/>
          <w:szCs w:val="24"/>
          <w:lang w:eastAsia="pl-PL"/>
        </w:rPr>
        <w:t> </w:t>
      </w:r>
      <w:r w:rsidR="008F656B" w:rsidRPr="00833C88">
        <w:rPr>
          <w:rFonts w:eastAsia="Times New Roman" w:cs="Times New Roman"/>
          <w:sz w:val="24"/>
          <w:szCs w:val="24"/>
          <w:lang w:eastAsia="pl-PL"/>
        </w:rPr>
        <w:t>dokumentacją.</w:t>
      </w:r>
      <w:r w:rsidR="00705235" w:rsidRPr="00833C88">
        <w:rPr>
          <w:rFonts w:eastAsia="Times New Roman" w:cs="Times New Roman"/>
          <w:sz w:val="24"/>
          <w:szCs w:val="24"/>
          <w:lang w:eastAsia="pl-PL"/>
        </w:rPr>
        <w:t xml:space="preserve"> Pamiętać także należy </w:t>
      </w:r>
      <w:r w:rsidR="00601933" w:rsidRPr="00833C88">
        <w:rPr>
          <w:rFonts w:eastAsia="Times New Roman" w:cs="Times New Roman"/>
          <w:sz w:val="24"/>
          <w:szCs w:val="24"/>
          <w:lang w:eastAsia="pl-PL"/>
        </w:rPr>
        <w:t>o </w:t>
      </w:r>
      <w:r w:rsidR="00705235" w:rsidRPr="00833C88">
        <w:rPr>
          <w:rFonts w:eastAsia="Times New Roman" w:cs="Times New Roman"/>
          <w:sz w:val="24"/>
          <w:szCs w:val="24"/>
          <w:lang w:eastAsia="pl-PL"/>
        </w:rPr>
        <w:t>oznacz</w:t>
      </w:r>
      <w:r w:rsidR="00DE6BC1" w:rsidRPr="00833C88">
        <w:rPr>
          <w:rFonts w:eastAsia="Times New Roman" w:cs="Times New Roman"/>
          <w:sz w:val="24"/>
          <w:szCs w:val="24"/>
          <w:lang w:eastAsia="pl-PL"/>
        </w:rPr>
        <w:t xml:space="preserve">aniu kolejnych wersji dokumentów – ułatwi to identyfikację zmian </w:t>
      </w:r>
      <w:r w:rsidR="00601933" w:rsidRPr="00833C88">
        <w:rPr>
          <w:rFonts w:eastAsia="Times New Roman" w:cs="Times New Roman"/>
          <w:sz w:val="24"/>
          <w:szCs w:val="24"/>
          <w:lang w:eastAsia="pl-PL"/>
        </w:rPr>
        <w:t>i </w:t>
      </w:r>
      <w:r w:rsidR="00DE6BC1" w:rsidRPr="00833C88">
        <w:rPr>
          <w:rFonts w:eastAsia="Times New Roman" w:cs="Times New Roman"/>
          <w:sz w:val="24"/>
          <w:szCs w:val="24"/>
          <w:lang w:eastAsia="pl-PL"/>
        </w:rPr>
        <w:t>odnalezienie aktualnej wersji.</w:t>
      </w:r>
    </w:p>
    <w:p w14:paraId="002F4F53" w14:textId="422536C0" w:rsidR="0001333A" w:rsidRPr="00833C88" w:rsidRDefault="00C71E8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Dla celów zapewnienia efektywnej kontroli </w:t>
      </w:r>
      <w:r w:rsidR="001D11C0" w:rsidRPr="00833C88">
        <w:rPr>
          <w:rFonts w:eastAsia="Times New Roman" w:cs="Times New Roman"/>
          <w:sz w:val="24"/>
          <w:szCs w:val="24"/>
          <w:lang w:eastAsia="pl-PL"/>
        </w:rPr>
        <w:t>podtrzymuje się dotychczasowy przepis ustawy o</w:t>
      </w:r>
      <w:r w:rsidR="00337E43" w:rsidRPr="00833C88">
        <w:rPr>
          <w:rFonts w:eastAsia="Times New Roman" w:cs="Times New Roman"/>
          <w:sz w:val="24"/>
          <w:szCs w:val="24"/>
          <w:lang w:eastAsia="pl-PL"/>
        </w:rPr>
        <w:t> </w:t>
      </w:r>
      <w:r w:rsidR="001D11C0" w:rsidRPr="00833C88">
        <w:rPr>
          <w:rFonts w:eastAsia="Times New Roman" w:cs="Times New Roman"/>
          <w:sz w:val="24"/>
          <w:szCs w:val="24"/>
          <w:lang w:eastAsia="pl-PL"/>
        </w:rPr>
        <w:t>przechowywaniu dokumentacji</w:t>
      </w:r>
      <w:r w:rsidR="00F06DC1" w:rsidRPr="00833C88">
        <w:rPr>
          <w:rFonts w:eastAsia="Times New Roman" w:cs="Times New Roman"/>
          <w:sz w:val="24"/>
          <w:szCs w:val="24"/>
          <w:lang w:eastAsia="pl-PL"/>
        </w:rPr>
        <w:t>. Dostosowuje się go tylko do zmian terminologicznych i</w:t>
      </w:r>
      <w:r w:rsidR="00337E43" w:rsidRPr="00833C88">
        <w:rPr>
          <w:rFonts w:eastAsia="Times New Roman" w:cs="Times New Roman"/>
          <w:sz w:val="24"/>
          <w:szCs w:val="24"/>
          <w:lang w:eastAsia="pl-PL"/>
        </w:rPr>
        <w:t> </w:t>
      </w:r>
      <w:r w:rsidR="00F06DC1" w:rsidRPr="00833C88">
        <w:rPr>
          <w:rFonts w:eastAsia="Times New Roman" w:cs="Times New Roman"/>
          <w:sz w:val="24"/>
          <w:szCs w:val="24"/>
          <w:lang w:eastAsia="pl-PL"/>
        </w:rPr>
        <w:t xml:space="preserve">wprowadza zmiany redakcyjne. </w:t>
      </w:r>
    </w:p>
    <w:p w14:paraId="171589D0" w14:textId="65EDE756" w:rsidR="00623F42" w:rsidRPr="00833C88" w:rsidRDefault="00623F4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Aby potwierdzić, że zniszczona dokumentacja w ogóle zaistniała </w:t>
      </w:r>
      <w:r w:rsidR="001E376B" w:rsidRPr="00833C88">
        <w:rPr>
          <w:rFonts w:eastAsia="Times New Roman" w:cs="Times New Roman"/>
          <w:sz w:val="24"/>
          <w:szCs w:val="24"/>
          <w:lang w:eastAsia="pl-PL"/>
        </w:rPr>
        <w:t>czynność zniszczenia potwierdza się protokołem brakowania. Te protokoły przechowuje się w sposób trwały, aby były dostępne dla kontrolerów.</w:t>
      </w:r>
    </w:p>
    <w:p w14:paraId="79938C42" w14:textId="0F245AB4" w:rsidR="00A519A7" w:rsidRPr="00833C88" w:rsidRDefault="00A519A7" w:rsidP="00BC7BDE">
      <w:pPr>
        <w:pStyle w:val="Nagwek2"/>
        <w:spacing w:before="0" w:after="120" w:line="360" w:lineRule="auto"/>
        <w:jc w:val="both"/>
        <w:rPr>
          <w:rFonts w:cs="Times New Roman"/>
          <w:b/>
          <w:bCs/>
        </w:rPr>
      </w:pPr>
      <w:r w:rsidRPr="00833C88">
        <w:rPr>
          <w:rFonts w:cs="Times New Roman"/>
          <w:b/>
          <w:bCs/>
        </w:rPr>
        <w:t xml:space="preserve">Zgłaszanie </w:t>
      </w:r>
      <w:r w:rsidR="009504A9" w:rsidRPr="00833C88">
        <w:rPr>
          <w:rFonts w:cs="Times New Roman"/>
          <w:b/>
          <w:bCs/>
        </w:rPr>
        <w:t>i</w:t>
      </w:r>
      <w:r w:rsidRPr="00833C88">
        <w:rPr>
          <w:rFonts w:cs="Times New Roman"/>
          <w:b/>
          <w:bCs/>
        </w:rPr>
        <w:t>ncydentów</w:t>
      </w:r>
    </w:p>
    <w:p w14:paraId="359D3CBB" w14:textId="2ABA6D99" w:rsidR="00FB10ED" w:rsidRPr="00833C88" w:rsidRDefault="00FA45A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Dyrektywa NIS 2 wprowadziła nowe rozwiązania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zgłaszania incydentów </w:t>
      </w:r>
      <w:r w:rsidR="00D014A8" w:rsidRPr="00833C88">
        <w:rPr>
          <w:rFonts w:eastAsia="Times New Roman" w:cs="Times New Roman"/>
          <w:sz w:val="24"/>
          <w:szCs w:val="24"/>
          <w:lang w:eastAsia="pl-PL"/>
        </w:rPr>
        <w:t xml:space="preserve">poważnych. </w:t>
      </w:r>
      <w:r w:rsidR="00231410" w:rsidRPr="00833C88">
        <w:rPr>
          <w:rFonts w:eastAsia="Times New Roman" w:cs="Times New Roman"/>
          <w:sz w:val="24"/>
          <w:szCs w:val="24"/>
          <w:lang w:eastAsia="pl-PL"/>
        </w:rPr>
        <w:t xml:space="preserve">Zgodnie </w:t>
      </w:r>
      <w:r w:rsidR="00601933" w:rsidRPr="00833C88">
        <w:rPr>
          <w:rFonts w:eastAsia="Times New Roman" w:cs="Times New Roman"/>
          <w:sz w:val="24"/>
          <w:szCs w:val="24"/>
          <w:lang w:eastAsia="pl-PL"/>
        </w:rPr>
        <w:t>z </w:t>
      </w:r>
      <w:r w:rsidR="00231410" w:rsidRPr="00833C88">
        <w:rPr>
          <w:rFonts w:eastAsia="Times New Roman" w:cs="Times New Roman"/>
          <w:sz w:val="24"/>
          <w:szCs w:val="24"/>
          <w:lang w:eastAsia="pl-PL"/>
        </w:rPr>
        <w:t xml:space="preserve">proponowanymi rozwiązaniami </w:t>
      </w:r>
      <w:r w:rsidR="005114F0" w:rsidRPr="00833C88">
        <w:rPr>
          <w:rFonts w:eastAsia="Times New Roman" w:cs="Times New Roman"/>
          <w:sz w:val="24"/>
          <w:szCs w:val="24"/>
          <w:lang w:eastAsia="pl-PL"/>
        </w:rPr>
        <w:t>i</w:t>
      </w:r>
      <w:r w:rsidR="00FB10ED" w:rsidRPr="00833C88">
        <w:rPr>
          <w:rFonts w:eastAsia="Times New Roman" w:cs="Times New Roman"/>
          <w:sz w:val="24"/>
          <w:szCs w:val="24"/>
          <w:lang w:eastAsia="pl-PL"/>
        </w:rPr>
        <w:t>ncydent</w:t>
      </w:r>
      <w:r w:rsidR="00ED34F3" w:rsidRPr="00833C88">
        <w:rPr>
          <w:rFonts w:eastAsia="Times New Roman" w:cs="Times New Roman"/>
          <w:sz w:val="24"/>
          <w:szCs w:val="24"/>
          <w:lang w:eastAsia="pl-PL"/>
        </w:rPr>
        <w:t>y</w:t>
      </w:r>
      <w:r w:rsidR="00FB10ED" w:rsidRPr="00833C88">
        <w:rPr>
          <w:rFonts w:eastAsia="Times New Roman" w:cs="Times New Roman"/>
          <w:sz w:val="24"/>
          <w:szCs w:val="24"/>
          <w:lang w:eastAsia="pl-PL"/>
        </w:rPr>
        <w:t xml:space="preserve"> poważn</w:t>
      </w:r>
      <w:r w:rsidR="00ED34F3" w:rsidRPr="00833C88">
        <w:rPr>
          <w:rFonts w:eastAsia="Times New Roman" w:cs="Times New Roman"/>
          <w:sz w:val="24"/>
          <w:szCs w:val="24"/>
          <w:lang w:eastAsia="pl-PL"/>
        </w:rPr>
        <w:t>e</w:t>
      </w:r>
      <w:r w:rsidR="00FB10ED" w:rsidRPr="00833C88">
        <w:rPr>
          <w:rFonts w:eastAsia="Times New Roman" w:cs="Times New Roman"/>
          <w:sz w:val="24"/>
          <w:szCs w:val="24"/>
          <w:lang w:eastAsia="pl-PL"/>
        </w:rPr>
        <w:t xml:space="preserve"> zgłaszane będą do</w:t>
      </w:r>
      <w:r w:rsidR="009B4C26" w:rsidRPr="00833C88">
        <w:rPr>
          <w:rFonts w:eastAsia="Times New Roman" w:cs="Times New Roman"/>
          <w:sz w:val="24"/>
          <w:szCs w:val="24"/>
          <w:lang w:eastAsia="pl-PL"/>
        </w:rPr>
        <w:t> </w:t>
      </w:r>
      <w:r w:rsidR="00FB10ED" w:rsidRPr="00833C88">
        <w:rPr>
          <w:rFonts w:eastAsia="Times New Roman" w:cs="Times New Roman"/>
          <w:sz w:val="24"/>
          <w:szCs w:val="24"/>
          <w:lang w:eastAsia="pl-PL"/>
        </w:rPr>
        <w:t>CSIRT sektorowego.</w:t>
      </w:r>
      <w:r w:rsidR="005114F0" w:rsidRPr="00833C88">
        <w:rPr>
          <w:rFonts w:eastAsia="Times New Roman" w:cs="Times New Roman"/>
          <w:sz w:val="24"/>
          <w:szCs w:val="24"/>
          <w:lang w:eastAsia="pl-PL"/>
        </w:rPr>
        <w:t xml:space="preserve"> </w:t>
      </w:r>
      <w:r w:rsidR="00172B6B" w:rsidRPr="00833C88">
        <w:rPr>
          <w:rFonts w:eastAsia="Times New Roman" w:cs="Times New Roman"/>
          <w:sz w:val="24"/>
          <w:szCs w:val="24"/>
          <w:lang w:eastAsia="pl-PL"/>
        </w:rPr>
        <w:t>Ws</w:t>
      </w:r>
      <w:r w:rsidR="00622F3B" w:rsidRPr="00833C88">
        <w:rPr>
          <w:rFonts w:eastAsia="Times New Roman" w:cs="Times New Roman"/>
          <w:sz w:val="24"/>
          <w:szCs w:val="24"/>
          <w:lang w:eastAsia="pl-PL"/>
        </w:rPr>
        <w:t xml:space="preserve">kazanie CSIRT sektorowego jako </w:t>
      </w:r>
      <w:r w:rsidR="004C335F" w:rsidRPr="00833C88">
        <w:rPr>
          <w:rFonts w:eastAsia="Times New Roman" w:cs="Times New Roman"/>
          <w:sz w:val="24"/>
          <w:szCs w:val="24"/>
          <w:lang w:eastAsia="pl-PL"/>
        </w:rPr>
        <w:t xml:space="preserve">podmiotu przyjmującego zgłoszenie </w:t>
      </w:r>
      <w:r w:rsidR="00601933" w:rsidRPr="00833C88">
        <w:rPr>
          <w:rFonts w:eastAsia="Times New Roman" w:cs="Times New Roman"/>
          <w:sz w:val="24"/>
          <w:szCs w:val="24"/>
          <w:lang w:eastAsia="pl-PL"/>
        </w:rPr>
        <w:t>o </w:t>
      </w:r>
      <w:r w:rsidR="00757993" w:rsidRPr="00833C88">
        <w:rPr>
          <w:rFonts w:eastAsia="Times New Roman" w:cs="Times New Roman"/>
          <w:sz w:val="24"/>
          <w:szCs w:val="24"/>
          <w:lang w:eastAsia="pl-PL"/>
        </w:rPr>
        <w:t>incyden</w:t>
      </w:r>
      <w:r w:rsidR="00956902" w:rsidRPr="00833C88">
        <w:rPr>
          <w:rFonts w:eastAsia="Times New Roman" w:cs="Times New Roman"/>
          <w:sz w:val="24"/>
          <w:szCs w:val="24"/>
          <w:lang w:eastAsia="pl-PL"/>
        </w:rPr>
        <w:t xml:space="preserve">cie </w:t>
      </w:r>
      <w:r w:rsidR="0087117E" w:rsidRPr="00833C88">
        <w:rPr>
          <w:rFonts w:eastAsia="Times New Roman" w:cs="Times New Roman"/>
          <w:sz w:val="24"/>
          <w:szCs w:val="24"/>
          <w:lang w:eastAsia="pl-PL"/>
        </w:rPr>
        <w:t xml:space="preserve">związane jest </w:t>
      </w:r>
      <w:r w:rsidR="00601933" w:rsidRPr="00833C88">
        <w:rPr>
          <w:rFonts w:eastAsia="Times New Roman" w:cs="Times New Roman"/>
          <w:sz w:val="24"/>
          <w:szCs w:val="24"/>
          <w:lang w:eastAsia="pl-PL"/>
        </w:rPr>
        <w:t>z </w:t>
      </w:r>
      <w:r w:rsidR="0087117E" w:rsidRPr="00833C88">
        <w:rPr>
          <w:rFonts w:eastAsia="Times New Roman" w:cs="Times New Roman"/>
          <w:sz w:val="24"/>
          <w:szCs w:val="24"/>
          <w:lang w:eastAsia="pl-PL"/>
        </w:rPr>
        <w:t>zadaniami jakie CSIRT ten będzie realizował, tj.</w:t>
      </w:r>
      <w:r w:rsidR="009B4C26" w:rsidRPr="00833C88">
        <w:rPr>
          <w:rFonts w:eastAsia="Times New Roman" w:cs="Times New Roman"/>
          <w:sz w:val="24"/>
          <w:szCs w:val="24"/>
          <w:lang w:eastAsia="pl-PL"/>
        </w:rPr>
        <w:t> </w:t>
      </w:r>
      <w:r w:rsidR="00D83C05" w:rsidRPr="00833C88">
        <w:rPr>
          <w:rFonts w:eastAsia="Times New Roman" w:cs="Times New Roman"/>
          <w:sz w:val="24"/>
          <w:szCs w:val="24"/>
          <w:lang w:eastAsia="pl-PL"/>
        </w:rPr>
        <w:t>opr</w:t>
      </w:r>
      <w:r w:rsidR="00FF720F" w:rsidRPr="00833C88">
        <w:rPr>
          <w:rFonts w:eastAsia="Times New Roman" w:cs="Times New Roman"/>
          <w:sz w:val="24"/>
          <w:szCs w:val="24"/>
          <w:lang w:eastAsia="pl-PL"/>
        </w:rPr>
        <w:t>ócz reagowania na incydenty</w:t>
      </w:r>
      <w:r w:rsidR="00D51C76" w:rsidRPr="00833C88">
        <w:rPr>
          <w:rFonts w:eastAsia="Times New Roman" w:cs="Times New Roman"/>
          <w:sz w:val="24"/>
          <w:szCs w:val="24"/>
          <w:lang w:eastAsia="pl-PL"/>
        </w:rPr>
        <w:t>,</w:t>
      </w:r>
      <w:r w:rsidR="00FF720F" w:rsidRPr="00833C88">
        <w:rPr>
          <w:rFonts w:eastAsia="Times New Roman" w:cs="Times New Roman"/>
          <w:sz w:val="24"/>
          <w:szCs w:val="24"/>
          <w:lang w:eastAsia="pl-PL"/>
        </w:rPr>
        <w:t xml:space="preserve"> </w:t>
      </w:r>
      <w:r w:rsidR="00CD35C5" w:rsidRPr="00833C88">
        <w:rPr>
          <w:rFonts w:eastAsia="Times New Roman" w:cs="Times New Roman"/>
          <w:sz w:val="24"/>
          <w:szCs w:val="24"/>
          <w:lang w:eastAsia="pl-PL"/>
        </w:rPr>
        <w:t>współpraca</w:t>
      </w:r>
      <w:r w:rsidR="00832714"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832714" w:rsidRPr="00833C88">
        <w:rPr>
          <w:rFonts w:eastAsia="Times New Roman" w:cs="Times New Roman"/>
          <w:sz w:val="24"/>
          <w:szCs w:val="24"/>
          <w:lang w:eastAsia="pl-PL"/>
        </w:rPr>
        <w:t xml:space="preserve">podmiotami kluczowymi </w:t>
      </w:r>
      <w:r w:rsidR="00601933" w:rsidRPr="00833C88">
        <w:rPr>
          <w:rFonts w:eastAsia="Times New Roman" w:cs="Times New Roman"/>
          <w:sz w:val="24"/>
          <w:szCs w:val="24"/>
          <w:lang w:eastAsia="pl-PL"/>
        </w:rPr>
        <w:t>i </w:t>
      </w:r>
      <w:r w:rsidR="00D51C76" w:rsidRPr="00833C88">
        <w:rPr>
          <w:rFonts w:eastAsia="Times New Roman" w:cs="Times New Roman"/>
          <w:sz w:val="24"/>
          <w:szCs w:val="24"/>
          <w:lang w:eastAsia="pl-PL"/>
        </w:rPr>
        <w:t>ważnymi</w:t>
      </w:r>
      <w:r w:rsidR="006B5B68" w:rsidRPr="00833C88">
        <w:rPr>
          <w:rFonts w:eastAsia="Times New Roman" w:cs="Times New Roman"/>
          <w:sz w:val="24"/>
          <w:szCs w:val="24"/>
          <w:lang w:eastAsia="pl-PL"/>
        </w:rPr>
        <w:t xml:space="preserve"> z</w:t>
      </w:r>
      <w:r w:rsidR="009B4C26" w:rsidRPr="00833C88">
        <w:rPr>
          <w:rFonts w:eastAsia="Times New Roman" w:cs="Times New Roman"/>
          <w:sz w:val="24"/>
          <w:szCs w:val="24"/>
          <w:lang w:eastAsia="pl-PL"/>
        </w:rPr>
        <w:t> </w:t>
      </w:r>
      <w:r w:rsidR="006B5B68" w:rsidRPr="00833C88">
        <w:rPr>
          <w:rFonts w:eastAsia="Times New Roman" w:cs="Times New Roman"/>
          <w:sz w:val="24"/>
          <w:szCs w:val="24"/>
          <w:lang w:eastAsia="pl-PL"/>
        </w:rPr>
        <w:t>danego sektora</w:t>
      </w:r>
      <w:r w:rsidR="00047FED" w:rsidRPr="00833C88">
        <w:rPr>
          <w:rFonts w:eastAsia="Times New Roman" w:cs="Times New Roman"/>
          <w:sz w:val="24"/>
          <w:szCs w:val="24"/>
          <w:lang w:eastAsia="pl-PL"/>
        </w:rPr>
        <w:t xml:space="preserve">, dzięki temu CSIRT </w:t>
      </w:r>
      <w:r w:rsidR="002C7C12" w:rsidRPr="00833C88">
        <w:rPr>
          <w:rFonts w:eastAsia="Times New Roman" w:cs="Times New Roman"/>
          <w:sz w:val="24"/>
          <w:szCs w:val="24"/>
          <w:lang w:eastAsia="pl-PL"/>
        </w:rPr>
        <w:t>sektorowy</w:t>
      </w:r>
      <w:r w:rsidR="000A7DF1" w:rsidRPr="00833C88">
        <w:rPr>
          <w:rFonts w:eastAsia="Times New Roman" w:cs="Times New Roman"/>
          <w:sz w:val="24"/>
          <w:szCs w:val="24"/>
          <w:lang w:eastAsia="pl-PL"/>
        </w:rPr>
        <w:t xml:space="preserve"> </w:t>
      </w:r>
      <w:r w:rsidR="002C7C12" w:rsidRPr="00833C88">
        <w:rPr>
          <w:rFonts w:eastAsia="Times New Roman" w:cs="Times New Roman"/>
          <w:sz w:val="24"/>
          <w:szCs w:val="24"/>
          <w:lang w:eastAsia="pl-PL"/>
        </w:rPr>
        <w:t>będzie znał specyfikę danego sektora co</w:t>
      </w:r>
      <w:r w:rsidR="009B4C26" w:rsidRPr="00833C88">
        <w:rPr>
          <w:rFonts w:eastAsia="Times New Roman" w:cs="Times New Roman"/>
          <w:sz w:val="24"/>
          <w:szCs w:val="24"/>
          <w:lang w:eastAsia="pl-PL"/>
        </w:rPr>
        <w:t> </w:t>
      </w:r>
      <w:r w:rsidR="002C7C12" w:rsidRPr="00833C88">
        <w:rPr>
          <w:rFonts w:eastAsia="Times New Roman" w:cs="Times New Roman"/>
          <w:sz w:val="24"/>
          <w:szCs w:val="24"/>
          <w:lang w:eastAsia="pl-PL"/>
        </w:rPr>
        <w:t>umożliwi skuteczną obsługę incydentów.</w:t>
      </w:r>
      <w:r w:rsidR="00832714" w:rsidRPr="00833C88">
        <w:rPr>
          <w:rFonts w:eastAsia="Times New Roman" w:cs="Times New Roman"/>
          <w:sz w:val="24"/>
          <w:szCs w:val="24"/>
          <w:lang w:eastAsia="pl-PL"/>
        </w:rPr>
        <w:t xml:space="preserve"> </w:t>
      </w:r>
      <w:r w:rsidR="001D2DDD" w:rsidRPr="00833C88">
        <w:rPr>
          <w:rFonts w:eastAsia="Times New Roman" w:cs="Times New Roman"/>
          <w:sz w:val="24"/>
          <w:szCs w:val="24"/>
          <w:lang w:eastAsia="pl-PL"/>
        </w:rPr>
        <w:t>Zgłoszenie</w:t>
      </w:r>
      <w:r w:rsidR="00AE316C" w:rsidRPr="00833C88">
        <w:rPr>
          <w:rFonts w:eastAsia="Times New Roman" w:cs="Times New Roman"/>
          <w:sz w:val="24"/>
          <w:szCs w:val="24"/>
          <w:lang w:eastAsia="pl-PL"/>
        </w:rPr>
        <w:t xml:space="preserve"> wczesnego </w:t>
      </w:r>
      <w:r w:rsidR="009735D2" w:rsidRPr="00833C88">
        <w:rPr>
          <w:rFonts w:eastAsia="Times New Roman" w:cs="Times New Roman"/>
          <w:sz w:val="24"/>
          <w:szCs w:val="24"/>
          <w:lang w:eastAsia="pl-PL"/>
        </w:rPr>
        <w:t xml:space="preserve">ostrzeżenia </w:t>
      </w:r>
      <w:r w:rsidR="00601933" w:rsidRPr="00833C88">
        <w:rPr>
          <w:rFonts w:eastAsia="Times New Roman" w:cs="Times New Roman"/>
          <w:sz w:val="24"/>
          <w:szCs w:val="24"/>
          <w:lang w:eastAsia="pl-PL"/>
        </w:rPr>
        <w:t>i </w:t>
      </w:r>
      <w:r w:rsidR="004B6B51" w:rsidRPr="00833C88">
        <w:rPr>
          <w:rFonts w:eastAsia="Times New Roman" w:cs="Times New Roman"/>
          <w:sz w:val="24"/>
          <w:szCs w:val="24"/>
          <w:lang w:eastAsia="pl-PL"/>
        </w:rPr>
        <w:t xml:space="preserve">zgłoszenie </w:t>
      </w:r>
      <w:r w:rsidR="001D2DDD" w:rsidRPr="00833C88">
        <w:rPr>
          <w:rFonts w:eastAsia="Times New Roman" w:cs="Times New Roman"/>
          <w:sz w:val="24"/>
          <w:szCs w:val="24"/>
          <w:lang w:eastAsia="pl-PL"/>
        </w:rPr>
        <w:t>incydentu</w:t>
      </w:r>
      <w:r w:rsidR="004B6B51" w:rsidRPr="00833C88">
        <w:rPr>
          <w:rFonts w:eastAsia="Times New Roman" w:cs="Times New Roman"/>
          <w:sz w:val="24"/>
          <w:szCs w:val="24"/>
          <w:lang w:eastAsia="pl-PL"/>
        </w:rPr>
        <w:t xml:space="preserve"> poważnego</w:t>
      </w:r>
      <w:r w:rsidR="001D2DDD" w:rsidRPr="00833C88">
        <w:rPr>
          <w:rFonts w:eastAsia="Times New Roman" w:cs="Times New Roman"/>
          <w:sz w:val="24"/>
          <w:szCs w:val="24"/>
          <w:lang w:eastAsia="pl-PL"/>
        </w:rPr>
        <w:t xml:space="preserve"> </w:t>
      </w:r>
      <w:proofErr w:type="gramStart"/>
      <w:r w:rsidR="001D2DDD" w:rsidRPr="00833C88">
        <w:rPr>
          <w:rFonts w:eastAsia="Times New Roman" w:cs="Times New Roman"/>
          <w:sz w:val="24"/>
          <w:szCs w:val="24"/>
          <w:lang w:eastAsia="pl-PL"/>
        </w:rPr>
        <w:t>będzie</w:t>
      </w:r>
      <w:proofErr w:type="gramEnd"/>
      <w:r w:rsidR="001D2DDD" w:rsidRPr="00833C88">
        <w:rPr>
          <w:rFonts w:eastAsia="Times New Roman" w:cs="Times New Roman"/>
          <w:sz w:val="24"/>
          <w:szCs w:val="24"/>
          <w:lang w:eastAsia="pl-PL"/>
        </w:rPr>
        <w:t xml:space="preserve"> </w:t>
      </w:r>
      <w:r w:rsidR="00FC1CF3" w:rsidRPr="00833C88">
        <w:rPr>
          <w:rFonts w:eastAsia="Times New Roman" w:cs="Times New Roman"/>
          <w:sz w:val="24"/>
          <w:szCs w:val="24"/>
          <w:lang w:eastAsia="pl-PL"/>
        </w:rPr>
        <w:t xml:space="preserve">dokonywane </w:t>
      </w:r>
      <w:r w:rsidR="009444AA" w:rsidRPr="00833C88">
        <w:rPr>
          <w:rFonts w:eastAsia="Times New Roman" w:cs="Times New Roman"/>
          <w:sz w:val="24"/>
          <w:szCs w:val="24"/>
          <w:lang w:eastAsia="pl-PL"/>
        </w:rPr>
        <w:t xml:space="preserve">za pośrednictwem systemu </w:t>
      </w:r>
      <w:r w:rsidR="00C3798C" w:rsidRPr="00833C88">
        <w:rPr>
          <w:rFonts w:eastAsia="Times New Roman" w:cs="Times New Roman"/>
          <w:sz w:val="24"/>
          <w:szCs w:val="24"/>
          <w:lang w:eastAsia="pl-PL"/>
        </w:rPr>
        <w:t xml:space="preserve">teleinformatycznego </w:t>
      </w:r>
      <w:r w:rsidR="009444AA" w:rsidRPr="00833C88">
        <w:rPr>
          <w:rFonts w:eastAsia="Times New Roman" w:cs="Times New Roman"/>
          <w:sz w:val="24"/>
          <w:szCs w:val="24"/>
          <w:lang w:eastAsia="pl-PL"/>
        </w:rPr>
        <w:t>S46</w:t>
      </w:r>
      <w:r w:rsidR="00C30047" w:rsidRPr="00833C88">
        <w:rPr>
          <w:rFonts w:eastAsia="Times New Roman" w:cs="Times New Roman"/>
          <w:sz w:val="24"/>
          <w:szCs w:val="24"/>
          <w:lang w:eastAsia="pl-PL"/>
        </w:rPr>
        <w:t>, takie ro</w:t>
      </w:r>
      <w:r w:rsidR="00A83A0C" w:rsidRPr="00833C88">
        <w:rPr>
          <w:rFonts w:eastAsia="Times New Roman" w:cs="Times New Roman"/>
          <w:sz w:val="24"/>
          <w:szCs w:val="24"/>
          <w:lang w:eastAsia="pl-PL"/>
        </w:rPr>
        <w:t>związanie spowoduje</w:t>
      </w:r>
      <w:r w:rsidR="008A3F78" w:rsidRPr="00833C88">
        <w:rPr>
          <w:rFonts w:eastAsia="Times New Roman" w:cs="Times New Roman"/>
          <w:sz w:val="24"/>
          <w:szCs w:val="24"/>
          <w:lang w:eastAsia="pl-PL"/>
        </w:rPr>
        <w:t>,</w:t>
      </w:r>
      <w:r w:rsidR="00A83A0C" w:rsidRPr="00833C88">
        <w:rPr>
          <w:rFonts w:eastAsia="Times New Roman" w:cs="Times New Roman"/>
          <w:sz w:val="24"/>
          <w:szCs w:val="24"/>
          <w:lang w:eastAsia="pl-PL"/>
        </w:rPr>
        <w:t xml:space="preserve"> </w:t>
      </w:r>
      <w:r w:rsidR="00A915D3" w:rsidRPr="00833C88">
        <w:rPr>
          <w:rFonts w:eastAsia="Times New Roman" w:cs="Times New Roman"/>
          <w:sz w:val="24"/>
          <w:szCs w:val="24"/>
          <w:lang w:eastAsia="pl-PL"/>
        </w:rPr>
        <w:t xml:space="preserve">iż informacja </w:t>
      </w:r>
      <w:r w:rsidR="00601933" w:rsidRPr="00833C88">
        <w:rPr>
          <w:rFonts w:eastAsia="Times New Roman" w:cs="Times New Roman"/>
          <w:sz w:val="24"/>
          <w:szCs w:val="24"/>
          <w:lang w:eastAsia="pl-PL"/>
        </w:rPr>
        <w:t>o </w:t>
      </w:r>
      <w:r w:rsidR="002572FD" w:rsidRPr="00833C88">
        <w:rPr>
          <w:rFonts w:eastAsia="Times New Roman" w:cs="Times New Roman"/>
          <w:sz w:val="24"/>
          <w:szCs w:val="24"/>
          <w:lang w:eastAsia="pl-PL"/>
        </w:rPr>
        <w:t xml:space="preserve">tych zgłoszeniach będzie </w:t>
      </w:r>
      <w:r w:rsidR="00957E0F" w:rsidRPr="00833C88">
        <w:rPr>
          <w:rFonts w:eastAsia="Times New Roman" w:cs="Times New Roman"/>
          <w:sz w:val="24"/>
          <w:szCs w:val="24"/>
          <w:lang w:eastAsia="pl-PL"/>
        </w:rPr>
        <w:t>dostępna dla pozostały</w:t>
      </w:r>
      <w:r w:rsidR="002471DB" w:rsidRPr="00833C88">
        <w:rPr>
          <w:rFonts w:eastAsia="Times New Roman" w:cs="Times New Roman"/>
          <w:sz w:val="24"/>
          <w:szCs w:val="24"/>
          <w:lang w:eastAsia="pl-PL"/>
        </w:rPr>
        <w:t>ch CSIRT</w:t>
      </w:r>
      <w:r w:rsidR="008A3CC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8A3CC9" w:rsidRPr="00833C88">
        <w:rPr>
          <w:rFonts w:eastAsia="Times New Roman" w:cs="Times New Roman"/>
          <w:sz w:val="24"/>
          <w:szCs w:val="24"/>
          <w:lang w:eastAsia="pl-PL"/>
        </w:rPr>
        <w:t>tym również CSIRT poziomu k</w:t>
      </w:r>
      <w:r w:rsidR="008A3F78" w:rsidRPr="00833C88">
        <w:rPr>
          <w:rFonts w:eastAsia="Times New Roman" w:cs="Times New Roman"/>
          <w:sz w:val="24"/>
          <w:szCs w:val="24"/>
          <w:lang w:eastAsia="pl-PL"/>
        </w:rPr>
        <w:t>ra</w:t>
      </w:r>
      <w:r w:rsidR="008A3CC9" w:rsidRPr="00833C88">
        <w:rPr>
          <w:rFonts w:eastAsia="Times New Roman" w:cs="Times New Roman"/>
          <w:sz w:val="24"/>
          <w:szCs w:val="24"/>
          <w:lang w:eastAsia="pl-PL"/>
        </w:rPr>
        <w:t>jowego.</w:t>
      </w:r>
      <w:r w:rsidR="009444AA"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106D71" w:rsidRPr="00833C88">
        <w:rPr>
          <w:rFonts w:eastAsia="Times New Roman" w:cs="Times New Roman"/>
          <w:sz w:val="24"/>
          <w:szCs w:val="24"/>
          <w:lang w:eastAsia="pl-PL"/>
        </w:rPr>
        <w:t>pierwszej kolejności p</w:t>
      </w:r>
      <w:r w:rsidR="005114F0" w:rsidRPr="00833C88">
        <w:rPr>
          <w:rFonts w:eastAsia="Times New Roman" w:cs="Times New Roman"/>
          <w:sz w:val="24"/>
          <w:szCs w:val="24"/>
          <w:lang w:eastAsia="pl-PL"/>
        </w:rPr>
        <w:t xml:space="preserve">odmiot kluczowy </w:t>
      </w:r>
      <w:r w:rsidR="00601933" w:rsidRPr="00833C88">
        <w:rPr>
          <w:rFonts w:eastAsia="Times New Roman" w:cs="Times New Roman"/>
          <w:sz w:val="24"/>
          <w:szCs w:val="24"/>
          <w:lang w:eastAsia="pl-PL"/>
        </w:rPr>
        <w:t>i </w:t>
      </w:r>
      <w:r w:rsidR="00995466" w:rsidRPr="00833C88">
        <w:rPr>
          <w:rFonts w:eastAsia="Times New Roman" w:cs="Times New Roman"/>
          <w:sz w:val="24"/>
          <w:szCs w:val="24"/>
          <w:lang w:eastAsia="pl-PL"/>
        </w:rPr>
        <w:t xml:space="preserve">podmiot </w:t>
      </w:r>
      <w:r w:rsidR="005114F0" w:rsidRPr="00833C88">
        <w:rPr>
          <w:rFonts w:eastAsia="Times New Roman" w:cs="Times New Roman"/>
          <w:sz w:val="24"/>
          <w:szCs w:val="24"/>
          <w:lang w:eastAsia="pl-PL"/>
        </w:rPr>
        <w:t>ważny</w:t>
      </w:r>
      <w:r w:rsidR="00106D71" w:rsidRPr="00833C88">
        <w:rPr>
          <w:rFonts w:eastAsia="Times New Roman" w:cs="Times New Roman"/>
          <w:sz w:val="24"/>
          <w:szCs w:val="24"/>
          <w:lang w:eastAsia="pl-PL"/>
        </w:rPr>
        <w:t xml:space="preserve"> zobowiązany </w:t>
      </w:r>
      <w:proofErr w:type="gramStart"/>
      <w:r w:rsidR="00962202" w:rsidRPr="00833C88">
        <w:rPr>
          <w:rFonts w:eastAsia="Times New Roman" w:cs="Times New Roman"/>
          <w:sz w:val="24"/>
          <w:szCs w:val="24"/>
          <w:lang w:eastAsia="pl-PL"/>
        </w:rPr>
        <w:t>będzie</w:t>
      </w:r>
      <w:proofErr w:type="gramEnd"/>
      <w:r w:rsidR="00962202" w:rsidRPr="00833C88">
        <w:rPr>
          <w:rFonts w:eastAsia="Times New Roman" w:cs="Times New Roman"/>
          <w:sz w:val="24"/>
          <w:szCs w:val="24"/>
          <w:lang w:eastAsia="pl-PL"/>
        </w:rPr>
        <w:t xml:space="preserve"> do zgłoszenia</w:t>
      </w:r>
      <w:r w:rsidR="002156F8" w:rsidRPr="00833C88">
        <w:rPr>
          <w:rFonts w:eastAsia="Times New Roman" w:cs="Times New Roman"/>
          <w:sz w:val="24"/>
          <w:szCs w:val="24"/>
          <w:lang w:eastAsia="pl-PL"/>
        </w:rPr>
        <w:t xml:space="preserve"> </w:t>
      </w:r>
      <w:r w:rsidR="00207A8B" w:rsidRPr="00833C88">
        <w:rPr>
          <w:rFonts w:eastAsia="Times New Roman" w:cs="Times New Roman"/>
          <w:sz w:val="24"/>
          <w:szCs w:val="24"/>
          <w:lang w:eastAsia="pl-PL"/>
        </w:rPr>
        <w:t xml:space="preserve">wczesnego ostrzeżenia </w:t>
      </w:r>
      <w:r w:rsidR="00601933" w:rsidRPr="00833C88">
        <w:rPr>
          <w:rFonts w:eastAsia="Times New Roman" w:cs="Times New Roman"/>
          <w:sz w:val="24"/>
          <w:szCs w:val="24"/>
          <w:lang w:eastAsia="pl-PL"/>
        </w:rPr>
        <w:t>o </w:t>
      </w:r>
      <w:r w:rsidR="00207A8B" w:rsidRPr="00833C88">
        <w:rPr>
          <w:rFonts w:eastAsia="Times New Roman" w:cs="Times New Roman"/>
          <w:sz w:val="24"/>
          <w:szCs w:val="24"/>
          <w:lang w:eastAsia="pl-PL"/>
        </w:rPr>
        <w:t xml:space="preserve">incydencie poważnym </w:t>
      </w:r>
      <w:r w:rsidR="002156F8" w:rsidRPr="00833C88">
        <w:rPr>
          <w:rFonts w:eastAsia="Times New Roman" w:cs="Times New Roman"/>
          <w:sz w:val="24"/>
          <w:szCs w:val="24"/>
          <w:lang w:eastAsia="pl-PL"/>
        </w:rPr>
        <w:t>niezwłocznie nie później niż w</w:t>
      </w:r>
      <w:r w:rsidR="00D0072B" w:rsidRPr="00833C88">
        <w:rPr>
          <w:rFonts w:eastAsia="Times New Roman" w:cs="Times New Roman"/>
          <w:sz w:val="24"/>
          <w:szCs w:val="24"/>
          <w:lang w:eastAsia="pl-PL"/>
        </w:rPr>
        <w:t> </w:t>
      </w:r>
      <w:r w:rsidR="002156F8" w:rsidRPr="00833C88">
        <w:rPr>
          <w:rFonts w:eastAsia="Times New Roman" w:cs="Times New Roman"/>
          <w:sz w:val="24"/>
          <w:szCs w:val="24"/>
          <w:lang w:eastAsia="pl-PL"/>
        </w:rPr>
        <w:t>ciągu 24 godzin od momentu wykrycia incydentu poważnego</w:t>
      </w:r>
      <w:r w:rsidR="00C52A9B" w:rsidRPr="00833C88">
        <w:rPr>
          <w:rFonts w:eastAsia="Times New Roman" w:cs="Times New Roman"/>
          <w:sz w:val="24"/>
          <w:szCs w:val="24"/>
          <w:lang w:eastAsia="pl-PL"/>
        </w:rPr>
        <w:t xml:space="preserve">. </w:t>
      </w:r>
      <w:r w:rsidR="0084463A" w:rsidRPr="00833C88">
        <w:rPr>
          <w:rFonts w:eastAsia="Times New Roman" w:cs="Times New Roman"/>
          <w:sz w:val="24"/>
          <w:szCs w:val="24"/>
          <w:lang w:eastAsia="pl-PL"/>
        </w:rPr>
        <w:t xml:space="preserve">Zgłoszenie wczesnego ostrzeżenia </w:t>
      </w:r>
      <w:r w:rsidR="00AF74F6" w:rsidRPr="00833C88">
        <w:rPr>
          <w:rFonts w:eastAsia="Times New Roman" w:cs="Times New Roman"/>
          <w:sz w:val="24"/>
          <w:szCs w:val="24"/>
          <w:lang w:eastAsia="pl-PL"/>
        </w:rPr>
        <w:t>może zawierać wni</w:t>
      </w:r>
      <w:r w:rsidR="001C098C" w:rsidRPr="00833C88">
        <w:rPr>
          <w:rFonts w:eastAsia="Times New Roman" w:cs="Times New Roman"/>
          <w:sz w:val="24"/>
          <w:szCs w:val="24"/>
          <w:lang w:eastAsia="pl-PL"/>
        </w:rPr>
        <w:t>osek</w:t>
      </w:r>
      <w:r w:rsidR="003A535A"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C92808" w:rsidRPr="00833C88">
        <w:rPr>
          <w:rFonts w:eastAsia="Times New Roman" w:cs="Times New Roman"/>
          <w:sz w:val="24"/>
          <w:szCs w:val="24"/>
          <w:lang w:eastAsia="pl-PL"/>
        </w:rPr>
        <w:t xml:space="preserve">wskazanie wytycznych dotyczących możliwych do wdrożenia środków ograniczających skutki incydentu poważnego lub </w:t>
      </w:r>
      <w:r w:rsidR="00601933" w:rsidRPr="00833C88">
        <w:rPr>
          <w:rFonts w:eastAsia="Times New Roman" w:cs="Times New Roman"/>
          <w:sz w:val="24"/>
          <w:szCs w:val="24"/>
          <w:lang w:eastAsia="pl-PL"/>
        </w:rPr>
        <w:t>o </w:t>
      </w:r>
      <w:r w:rsidR="00D31AB5" w:rsidRPr="00833C88">
        <w:rPr>
          <w:rFonts w:eastAsia="Times New Roman" w:cs="Times New Roman"/>
          <w:sz w:val="24"/>
          <w:szCs w:val="24"/>
          <w:lang w:eastAsia="pl-PL"/>
        </w:rPr>
        <w:t xml:space="preserve">dodatkowe </w:t>
      </w:r>
      <w:r w:rsidR="00C92808" w:rsidRPr="00833C88">
        <w:rPr>
          <w:rFonts w:eastAsia="Times New Roman" w:cs="Times New Roman"/>
          <w:sz w:val="24"/>
          <w:szCs w:val="24"/>
          <w:lang w:eastAsia="pl-PL"/>
        </w:rPr>
        <w:t xml:space="preserve">wsparcie techniczne przy obsłudze incydentu. </w:t>
      </w:r>
      <w:r w:rsidR="00412577" w:rsidRPr="00833C88">
        <w:rPr>
          <w:rFonts w:eastAsia="Times New Roman" w:cs="Times New Roman"/>
          <w:sz w:val="24"/>
          <w:szCs w:val="24"/>
          <w:lang w:eastAsia="pl-PL"/>
        </w:rPr>
        <w:t xml:space="preserve">Jeżeli </w:t>
      </w:r>
      <w:r w:rsidR="00AC3D30" w:rsidRPr="00833C88">
        <w:rPr>
          <w:rFonts w:eastAsia="Times New Roman" w:cs="Times New Roman"/>
          <w:sz w:val="24"/>
          <w:szCs w:val="24"/>
          <w:lang w:eastAsia="pl-PL"/>
        </w:rPr>
        <w:t>inc</w:t>
      </w:r>
      <w:r w:rsidR="006959B9" w:rsidRPr="00833C88">
        <w:rPr>
          <w:rFonts w:eastAsia="Times New Roman" w:cs="Times New Roman"/>
          <w:sz w:val="24"/>
          <w:szCs w:val="24"/>
          <w:lang w:eastAsia="pl-PL"/>
        </w:rPr>
        <w:t xml:space="preserve">ydent </w:t>
      </w:r>
      <w:r w:rsidR="0083224C" w:rsidRPr="00833C88">
        <w:rPr>
          <w:rFonts w:eastAsia="Times New Roman" w:cs="Times New Roman"/>
          <w:sz w:val="24"/>
          <w:szCs w:val="24"/>
          <w:lang w:eastAsia="pl-PL"/>
        </w:rPr>
        <w:lastRenderedPageBreak/>
        <w:t xml:space="preserve">poważny wyczerpuje znamiona przestępstwa </w:t>
      </w:r>
      <w:r w:rsidR="00B324FB" w:rsidRPr="00833C88">
        <w:rPr>
          <w:rFonts w:eastAsia="Times New Roman" w:cs="Times New Roman"/>
          <w:sz w:val="24"/>
          <w:szCs w:val="24"/>
          <w:lang w:eastAsia="pl-PL"/>
        </w:rPr>
        <w:t xml:space="preserve">CSIRT sektorowy </w:t>
      </w:r>
      <w:r w:rsidR="008D3E07" w:rsidRPr="00833C88">
        <w:rPr>
          <w:rFonts w:eastAsia="Times New Roman" w:cs="Times New Roman"/>
          <w:sz w:val="24"/>
          <w:szCs w:val="24"/>
          <w:lang w:eastAsia="pl-PL"/>
        </w:rPr>
        <w:t xml:space="preserve">przekazuje informacje </w:t>
      </w:r>
      <w:r w:rsidR="00601933" w:rsidRPr="00833C88">
        <w:rPr>
          <w:rFonts w:eastAsia="Times New Roman" w:cs="Times New Roman"/>
          <w:sz w:val="24"/>
          <w:szCs w:val="24"/>
          <w:lang w:eastAsia="pl-PL"/>
        </w:rPr>
        <w:t>o </w:t>
      </w:r>
      <w:r w:rsidR="008D3E07" w:rsidRPr="00833C88">
        <w:rPr>
          <w:rFonts w:eastAsia="Times New Roman" w:cs="Times New Roman"/>
          <w:sz w:val="24"/>
          <w:szCs w:val="24"/>
          <w:lang w:eastAsia="pl-PL"/>
        </w:rPr>
        <w:t>sposo</w:t>
      </w:r>
      <w:r w:rsidR="001E49C7" w:rsidRPr="00833C88">
        <w:rPr>
          <w:rFonts w:eastAsia="Times New Roman" w:cs="Times New Roman"/>
          <w:sz w:val="24"/>
          <w:szCs w:val="24"/>
          <w:lang w:eastAsia="pl-PL"/>
        </w:rPr>
        <w:t>bie z</w:t>
      </w:r>
      <w:r w:rsidR="0098215E" w:rsidRPr="00833C88">
        <w:rPr>
          <w:rFonts w:eastAsia="Times New Roman" w:cs="Times New Roman"/>
          <w:sz w:val="24"/>
          <w:szCs w:val="24"/>
          <w:lang w:eastAsia="pl-PL"/>
        </w:rPr>
        <w:t>głoszenia tego faktu organ</w:t>
      </w:r>
      <w:r w:rsidR="00764781" w:rsidRPr="00833C88">
        <w:rPr>
          <w:rFonts w:eastAsia="Times New Roman" w:cs="Times New Roman"/>
          <w:sz w:val="24"/>
          <w:szCs w:val="24"/>
          <w:lang w:eastAsia="pl-PL"/>
        </w:rPr>
        <w:t>om ścigania.</w:t>
      </w:r>
      <w:r w:rsidR="005B47BA" w:rsidRPr="00833C88">
        <w:rPr>
          <w:rFonts w:eastAsia="Times New Roman" w:cs="Times New Roman"/>
          <w:sz w:val="24"/>
          <w:szCs w:val="24"/>
          <w:lang w:eastAsia="pl-PL"/>
        </w:rPr>
        <w:t xml:space="preserve"> </w:t>
      </w:r>
      <w:r w:rsidR="00E432EF" w:rsidRPr="00833C88">
        <w:rPr>
          <w:rFonts w:eastAsia="Times New Roman" w:cs="Times New Roman"/>
          <w:sz w:val="24"/>
          <w:szCs w:val="24"/>
          <w:lang w:eastAsia="pl-PL"/>
        </w:rPr>
        <w:t xml:space="preserve">CSIRT sektorowy zobowiązany będzie </w:t>
      </w:r>
      <w:r w:rsidR="00601933" w:rsidRPr="00833C88">
        <w:rPr>
          <w:rFonts w:eastAsia="Times New Roman" w:cs="Times New Roman"/>
          <w:sz w:val="24"/>
          <w:szCs w:val="24"/>
          <w:lang w:eastAsia="pl-PL"/>
        </w:rPr>
        <w:t>w </w:t>
      </w:r>
      <w:r w:rsidR="00E432EF" w:rsidRPr="00833C88">
        <w:rPr>
          <w:rFonts w:eastAsia="Times New Roman" w:cs="Times New Roman"/>
          <w:sz w:val="24"/>
          <w:szCs w:val="24"/>
          <w:lang w:eastAsia="pl-PL"/>
        </w:rPr>
        <w:t xml:space="preserve">terminie 24 godzin </w:t>
      </w:r>
      <w:r w:rsidR="00B26153" w:rsidRPr="00833C88">
        <w:rPr>
          <w:rFonts w:eastAsia="Times New Roman" w:cs="Times New Roman"/>
          <w:sz w:val="24"/>
          <w:szCs w:val="24"/>
          <w:lang w:eastAsia="pl-PL"/>
        </w:rPr>
        <w:t xml:space="preserve">udzielić </w:t>
      </w:r>
      <w:r w:rsidR="00DC5CFA" w:rsidRPr="00833C88">
        <w:rPr>
          <w:rFonts w:eastAsia="Times New Roman" w:cs="Times New Roman"/>
          <w:sz w:val="24"/>
          <w:szCs w:val="24"/>
          <w:lang w:eastAsia="pl-PL"/>
        </w:rPr>
        <w:t xml:space="preserve">wsparcia </w:t>
      </w:r>
      <w:r w:rsidR="009C6A24" w:rsidRPr="00833C88">
        <w:rPr>
          <w:rFonts w:eastAsia="Times New Roman" w:cs="Times New Roman"/>
          <w:sz w:val="24"/>
          <w:szCs w:val="24"/>
          <w:lang w:eastAsia="pl-PL"/>
        </w:rPr>
        <w:t xml:space="preserve">zgodnie </w:t>
      </w:r>
      <w:r w:rsidR="00601933" w:rsidRPr="00833C88">
        <w:rPr>
          <w:rFonts w:eastAsia="Times New Roman" w:cs="Times New Roman"/>
          <w:sz w:val="24"/>
          <w:szCs w:val="24"/>
          <w:lang w:eastAsia="pl-PL"/>
        </w:rPr>
        <w:t>z </w:t>
      </w:r>
      <w:r w:rsidR="005176BF" w:rsidRPr="00833C88">
        <w:rPr>
          <w:rFonts w:eastAsia="Times New Roman" w:cs="Times New Roman"/>
          <w:sz w:val="24"/>
          <w:szCs w:val="24"/>
          <w:lang w:eastAsia="pl-PL"/>
        </w:rPr>
        <w:t xml:space="preserve">treścią wniosku. </w:t>
      </w:r>
    </w:p>
    <w:p w14:paraId="599BD8F3" w14:textId="77777777" w:rsidR="00DA125D" w:rsidRPr="00833C88" w:rsidRDefault="00553110" w:rsidP="001A1F90">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Wczesne ostrzeżenie zawiera </w:t>
      </w:r>
      <w:r w:rsidR="00640024" w:rsidRPr="00833C88">
        <w:rPr>
          <w:rFonts w:eastAsia="Times New Roman" w:cs="Times New Roman"/>
          <w:sz w:val="24"/>
          <w:szCs w:val="24"/>
          <w:lang w:eastAsia="pl-PL"/>
        </w:rPr>
        <w:t xml:space="preserve">m.in. </w:t>
      </w:r>
    </w:p>
    <w:p w14:paraId="2C2EA56C" w14:textId="2D23A13C" w:rsidR="00DA125D" w:rsidRPr="00833C88" w:rsidRDefault="00105991" w:rsidP="001A1F90">
      <w:pPr>
        <w:pStyle w:val="Akapitzlist"/>
        <w:numPr>
          <w:ilvl w:val="0"/>
          <w:numId w:val="84"/>
        </w:num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dane podmiotu zgłaszającego</w:t>
      </w:r>
      <w:r w:rsidR="00DA125D" w:rsidRPr="00833C88">
        <w:rPr>
          <w:rFonts w:eastAsia="Times New Roman" w:cs="Times New Roman"/>
          <w:sz w:val="24"/>
          <w:szCs w:val="24"/>
          <w:lang w:eastAsia="pl-PL"/>
        </w:rPr>
        <w:t xml:space="preserve"> – w tym firmę przedsiębiorcy, numer z właściwego rej</w:t>
      </w:r>
      <w:r w:rsidR="005E217D" w:rsidRPr="00833C88">
        <w:rPr>
          <w:rFonts w:eastAsia="Times New Roman" w:cs="Times New Roman"/>
          <w:sz w:val="24"/>
          <w:szCs w:val="24"/>
          <w:lang w:eastAsia="pl-PL"/>
        </w:rPr>
        <w:t xml:space="preserve">estru, siedzibę i adres – chodzi o konieczność zapewnienia identyfikacji </w:t>
      </w:r>
      <w:r w:rsidR="001C4E3E" w:rsidRPr="00833C88">
        <w:rPr>
          <w:rFonts w:eastAsia="Times New Roman" w:cs="Times New Roman"/>
          <w:sz w:val="24"/>
          <w:szCs w:val="24"/>
          <w:lang w:eastAsia="pl-PL"/>
        </w:rPr>
        <w:t>podmiotu zgłaszającego wczesne ostrzeżenie</w:t>
      </w:r>
      <w:r w:rsidR="005B7564" w:rsidRPr="00833C88">
        <w:rPr>
          <w:rFonts w:eastAsia="Times New Roman" w:cs="Times New Roman"/>
          <w:sz w:val="24"/>
          <w:szCs w:val="24"/>
          <w:lang w:eastAsia="pl-PL"/>
        </w:rPr>
        <w:t>;</w:t>
      </w:r>
    </w:p>
    <w:p w14:paraId="456F3EA5" w14:textId="58EFECCC" w:rsidR="00311F07" w:rsidRPr="00833C88" w:rsidRDefault="00311F07" w:rsidP="001A1F90">
      <w:pPr>
        <w:pStyle w:val="Akapitzlist"/>
        <w:numPr>
          <w:ilvl w:val="0"/>
          <w:numId w:val="84"/>
        </w:num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imię i nazwisko, numer telefonu </w:t>
      </w:r>
      <w:r w:rsidR="001A1F90" w:rsidRPr="00833C88">
        <w:rPr>
          <w:rFonts w:eastAsia="Times New Roman" w:cs="Times New Roman"/>
          <w:sz w:val="24"/>
          <w:szCs w:val="24"/>
          <w:lang w:eastAsia="pl-PL"/>
        </w:rPr>
        <w:t xml:space="preserve">służbowego </w:t>
      </w:r>
      <w:r w:rsidRPr="00833C88">
        <w:rPr>
          <w:rFonts w:eastAsia="Times New Roman" w:cs="Times New Roman"/>
          <w:sz w:val="24"/>
          <w:szCs w:val="24"/>
          <w:lang w:eastAsia="pl-PL"/>
        </w:rPr>
        <w:t>oraz służbowy adres poczty elektronicznej osoby dokonującej zgłoszenia</w:t>
      </w:r>
      <w:r w:rsidR="005B7564" w:rsidRPr="00833C88">
        <w:rPr>
          <w:rFonts w:eastAsia="Times New Roman" w:cs="Times New Roman"/>
          <w:sz w:val="24"/>
          <w:szCs w:val="24"/>
          <w:lang w:eastAsia="pl-PL"/>
        </w:rPr>
        <w:t>;</w:t>
      </w:r>
    </w:p>
    <w:p w14:paraId="405215B6" w14:textId="639548D2" w:rsidR="00917519" w:rsidRPr="00833C88" w:rsidRDefault="00311F07" w:rsidP="001A1F90">
      <w:pPr>
        <w:pStyle w:val="Akapitzlist"/>
        <w:numPr>
          <w:ilvl w:val="0"/>
          <w:numId w:val="84"/>
        </w:num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imię i nazwisko, numer telefonu </w:t>
      </w:r>
      <w:r w:rsidR="001A1F90" w:rsidRPr="00833C88">
        <w:rPr>
          <w:rFonts w:eastAsia="Times New Roman" w:cs="Times New Roman"/>
          <w:sz w:val="24"/>
          <w:szCs w:val="24"/>
          <w:lang w:eastAsia="pl-PL"/>
        </w:rPr>
        <w:t xml:space="preserve">służbowego </w:t>
      </w:r>
      <w:r w:rsidRPr="00833C88">
        <w:rPr>
          <w:rFonts w:eastAsia="Times New Roman" w:cs="Times New Roman"/>
          <w:sz w:val="24"/>
          <w:szCs w:val="24"/>
          <w:lang w:eastAsia="pl-PL"/>
        </w:rPr>
        <w:t xml:space="preserve">oraz adres </w:t>
      </w:r>
      <w:r w:rsidR="001A1F90" w:rsidRPr="00833C88">
        <w:rPr>
          <w:rFonts w:eastAsia="Times New Roman" w:cs="Times New Roman"/>
          <w:sz w:val="24"/>
          <w:szCs w:val="24"/>
          <w:lang w:eastAsia="pl-PL"/>
        </w:rPr>
        <w:t xml:space="preserve">służbowej </w:t>
      </w:r>
      <w:r w:rsidRPr="00833C88">
        <w:rPr>
          <w:rFonts w:eastAsia="Times New Roman" w:cs="Times New Roman"/>
          <w:sz w:val="24"/>
          <w:szCs w:val="24"/>
          <w:lang w:eastAsia="pl-PL"/>
        </w:rPr>
        <w:t>poczty elektronicznej osoby uprawnionej do składania wyjaśnień dotyczących zgłaszanych informacji</w:t>
      </w:r>
      <w:r w:rsidR="001A1F90" w:rsidRPr="00833C88">
        <w:rPr>
          <w:rFonts w:eastAsia="Times New Roman" w:cs="Times New Roman"/>
          <w:sz w:val="24"/>
          <w:szCs w:val="24"/>
          <w:lang w:eastAsia="pl-PL"/>
        </w:rPr>
        <w:t>. W</w:t>
      </w:r>
      <w:r w:rsidR="00917519" w:rsidRPr="00833C88">
        <w:rPr>
          <w:rFonts w:eastAsia="Times New Roman" w:cs="Times New Roman"/>
          <w:sz w:val="24"/>
          <w:szCs w:val="24"/>
          <w:lang w:eastAsia="pl-PL"/>
        </w:rPr>
        <w:t xml:space="preserve"> zależności od okoliczności osoba dokonująca zgłoszenia może być jednocześnie osobą uprawnioną do składania wyjaśnień. Może być też inaczej, stąd zasadne jest wyodrębnienie tych kategorii osób</w:t>
      </w:r>
      <w:r w:rsidR="005B7564" w:rsidRPr="00833C88">
        <w:rPr>
          <w:rFonts w:eastAsia="Times New Roman" w:cs="Times New Roman"/>
          <w:sz w:val="24"/>
          <w:szCs w:val="24"/>
          <w:lang w:eastAsia="pl-PL"/>
        </w:rPr>
        <w:t>;</w:t>
      </w:r>
    </w:p>
    <w:p w14:paraId="1117B8BC" w14:textId="70FE9D7D" w:rsidR="003457F1" w:rsidRPr="00833C88" w:rsidRDefault="003457F1" w:rsidP="001A1F90">
      <w:pPr>
        <w:pStyle w:val="Akapitzlist"/>
        <w:numPr>
          <w:ilvl w:val="0"/>
          <w:numId w:val="84"/>
        </w:num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wskazanie momentu wystąpienia i wykrycia incydentu poważnego oraz czas jego trwania</w:t>
      </w:r>
      <w:r w:rsidR="00A100E9" w:rsidRPr="00833C88">
        <w:rPr>
          <w:rFonts w:eastAsia="Times New Roman" w:cs="Times New Roman"/>
          <w:sz w:val="24"/>
          <w:szCs w:val="24"/>
          <w:lang w:eastAsia="pl-PL"/>
        </w:rPr>
        <w:t xml:space="preserve"> </w:t>
      </w:r>
      <w:r w:rsidR="00CB3DDF" w:rsidRPr="00833C88">
        <w:rPr>
          <w:rFonts w:eastAsia="Times New Roman" w:cs="Times New Roman"/>
          <w:sz w:val="24"/>
          <w:szCs w:val="24"/>
          <w:lang w:eastAsia="pl-PL"/>
        </w:rPr>
        <w:t>–</w:t>
      </w:r>
      <w:r w:rsidR="00A100E9" w:rsidRPr="00833C88">
        <w:rPr>
          <w:rFonts w:eastAsia="Times New Roman" w:cs="Times New Roman"/>
          <w:sz w:val="24"/>
          <w:szCs w:val="24"/>
          <w:lang w:eastAsia="pl-PL"/>
        </w:rPr>
        <w:t xml:space="preserve"> jest to istotne dla CSIRT który może również dokonać korelacji tych danych z innymi dostępnymi informacjami o innych incydentach i np. zidentyfikować </w:t>
      </w:r>
      <w:r w:rsidR="00BA6DAC" w:rsidRPr="00833C88">
        <w:rPr>
          <w:rFonts w:eastAsia="Times New Roman" w:cs="Times New Roman"/>
          <w:sz w:val="24"/>
          <w:szCs w:val="24"/>
          <w:lang w:eastAsia="pl-PL"/>
        </w:rPr>
        <w:t>działania grup wrogich aktorów</w:t>
      </w:r>
      <w:r w:rsidR="005B7564" w:rsidRPr="00833C88">
        <w:rPr>
          <w:rFonts w:eastAsia="Times New Roman" w:cs="Times New Roman"/>
          <w:sz w:val="24"/>
          <w:szCs w:val="24"/>
          <w:lang w:eastAsia="pl-PL"/>
        </w:rPr>
        <w:t>;</w:t>
      </w:r>
    </w:p>
    <w:p w14:paraId="5616ACAF" w14:textId="2DC0AE2E" w:rsidR="003457F1" w:rsidRPr="00833C88" w:rsidRDefault="003457F1" w:rsidP="001A1F90">
      <w:pPr>
        <w:pStyle w:val="Akapitzlist"/>
        <w:numPr>
          <w:ilvl w:val="0"/>
          <w:numId w:val="84"/>
        </w:numPr>
        <w:spacing w:after="0" w:line="360" w:lineRule="auto"/>
        <w:jc w:val="both"/>
        <w:rPr>
          <w:rFonts w:eastAsia="Times New Roman" w:cs="Times New Roman"/>
          <w:sz w:val="24"/>
          <w:szCs w:val="24"/>
          <w:lang w:eastAsia="pl-PL"/>
        </w:rPr>
      </w:pPr>
      <w:proofErr w:type="gramStart"/>
      <w:r w:rsidRPr="00833C88">
        <w:rPr>
          <w:rFonts w:eastAsia="Times New Roman" w:cs="Times New Roman"/>
          <w:sz w:val="24"/>
          <w:szCs w:val="24"/>
          <w:lang w:eastAsia="pl-PL"/>
        </w:rPr>
        <w:t>wskazanie</w:t>
      </w:r>
      <w:r w:rsidR="001A1F90" w:rsidRPr="00833C88">
        <w:rPr>
          <w:rFonts w:eastAsia="Times New Roman" w:cs="Times New Roman"/>
          <w:sz w:val="24"/>
          <w:szCs w:val="24"/>
          <w:lang w:eastAsia="pl-PL"/>
        </w:rPr>
        <w:t>,</w:t>
      </w:r>
      <w:proofErr w:type="gramEnd"/>
      <w:r w:rsidRPr="00833C88">
        <w:rPr>
          <w:rFonts w:eastAsia="Times New Roman" w:cs="Times New Roman"/>
          <w:sz w:val="24"/>
          <w:szCs w:val="24"/>
          <w:lang w:eastAsia="pl-PL"/>
        </w:rPr>
        <w:t xml:space="preserve"> czy incydent poważny został wywołany działaniem bezprawnym lub działaniem w złej wierze, jeżeli możliwe jest dokonanie takiej oceny</w:t>
      </w:r>
      <w:r w:rsidR="00E91059" w:rsidRPr="00833C88">
        <w:rPr>
          <w:rFonts w:eastAsia="Times New Roman" w:cs="Times New Roman"/>
          <w:sz w:val="24"/>
          <w:szCs w:val="24"/>
          <w:lang w:eastAsia="pl-PL"/>
        </w:rPr>
        <w:t xml:space="preserve"> – dzięki tej informacji CSIRT będzie wiedział, czy konieczne jest zaangażowanie organów ścigania</w:t>
      </w:r>
      <w:r w:rsidR="005B7564" w:rsidRPr="00833C88">
        <w:rPr>
          <w:rFonts w:eastAsia="Times New Roman" w:cs="Times New Roman"/>
          <w:sz w:val="24"/>
          <w:szCs w:val="24"/>
          <w:lang w:eastAsia="pl-PL"/>
        </w:rPr>
        <w:t>;</w:t>
      </w:r>
    </w:p>
    <w:p w14:paraId="64DD087A" w14:textId="74FD2D17" w:rsidR="00311F07" w:rsidRPr="00833C88" w:rsidRDefault="003457F1" w:rsidP="001A1F90">
      <w:pPr>
        <w:pStyle w:val="Akapitzlist"/>
        <w:numPr>
          <w:ilvl w:val="0"/>
          <w:numId w:val="84"/>
        </w:numPr>
        <w:spacing w:after="0" w:line="360" w:lineRule="auto"/>
        <w:jc w:val="both"/>
        <w:rPr>
          <w:rFonts w:eastAsia="Times New Roman" w:cs="Times New Roman"/>
          <w:sz w:val="24"/>
          <w:szCs w:val="24"/>
          <w:lang w:eastAsia="pl-PL"/>
        </w:rPr>
      </w:pPr>
      <w:proofErr w:type="gramStart"/>
      <w:r w:rsidRPr="00833C88">
        <w:rPr>
          <w:rFonts w:eastAsia="Times New Roman" w:cs="Times New Roman"/>
          <w:sz w:val="24"/>
          <w:szCs w:val="24"/>
          <w:lang w:eastAsia="pl-PL"/>
        </w:rPr>
        <w:t>określenie,</w:t>
      </w:r>
      <w:proofErr w:type="gramEnd"/>
      <w:r w:rsidRPr="00833C88">
        <w:rPr>
          <w:rFonts w:eastAsia="Times New Roman" w:cs="Times New Roman"/>
          <w:sz w:val="24"/>
          <w:szCs w:val="24"/>
          <w:lang w:eastAsia="pl-PL"/>
        </w:rPr>
        <w:t xml:space="preserve"> czy incydent dotyczy innych państw członkowskich Unii Europejskiej – jest to konieczne do określenia ewentualnego wpływu transgranicznego.</w:t>
      </w:r>
    </w:p>
    <w:p w14:paraId="2E22BFA3" w14:textId="7D886844" w:rsidR="00AF351C" w:rsidRPr="00833C88" w:rsidRDefault="0011701D" w:rsidP="001A1F90">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Natomiast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ciągu 72 godzin </w:t>
      </w:r>
      <w:r w:rsidR="001E6F1A" w:rsidRPr="00833C88">
        <w:rPr>
          <w:rFonts w:eastAsia="Times New Roman" w:cs="Times New Roman"/>
          <w:sz w:val="24"/>
          <w:szCs w:val="24"/>
          <w:lang w:eastAsia="pl-PL"/>
        </w:rPr>
        <w:t xml:space="preserve">podmiot </w:t>
      </w:r>
      <w:r w:rsidR="00AC3F23" w:rsidRPr="00833C88">
        <w:rPr>
          <w:rFonts w:eastAsia="Times New Roman" w:cs="Times New Roman"/>
          <w:sz w:val="24"/>
          <w:szCs w:val="24"/>
          <w:lang w:eastAsia="pl-PL"/>
        </w:rPr>
        <w:t>kluczowy</w:t>
      </w:r>
      <w:r w:rsidR="001E6F1A"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995466" w:rsidRPr="00833C88">
        <w:rPr>
          <w:rFonts w:eastAsia="Times New Roman" w:cs="Times New Roman"/>
          <w:sz w:val="24"/>
          <w:szCs w:val="24"/>
          <w:lang w:eastAsia="pl-PL"/>
        </w:rPr>
        <w:t xml:space="preserve">podmiot </w:t>
      </w:r>
      <w:r w:rsidR="00AC3F23" w:rsidRPr="00833C88">
        <w:rPr>
          <w:rFonts w:eastAsia="Times New Roman" w:cs="Times New Roman"/>
          <w:sz w:val="24"/>
          <w:szCs w:val="24"/>
          <w:lang w:eastAsia="pl-PL"/>
        </w:rPr>
        <w:t xml:space="preserve">ważny </w:t>
      </w:r>
      <w:proofErr w:type="gramStart"/>
      <w:r w:rsidR="00B31ECF" w:rsidRPr="00833C88">
        <w:rPr>
          <w:rFonts w:eastAsia="Times New Roman" w:cs="Times New Roman"/>
          <w:sz w:val="24"/>
          <w:szCs w:val="24"/>
          <w:lang w:eastAsia="pl-PL"/>
        </w:rPr>
        <w:t>zgłasza</w:t>
      </w:r>
      <w:proofErr w:type="gramEnd"/>
      <w:r w:rsidR="00B31ECF" w:rsidRPr="00833C88">
        <w:rPr>
          <w:rFonts w:eastAsia="Times New Roman" w:cs="Times New Roman"/>
          <w:sz w:val="24"/>
          <w:szCs w:val="24"/>
          <w:lang w:eastAsia="pl-PL"/>
        </w:rPr>
        <w:t xml:space="preserve"> incydent poważny </w:t>
      </w:r>
      <w:r w:rsidR="0069786E" w:rsidRPr="00833C88">
        <w:rPr>
          <w:rFonts w:eastAsia="Times New Roman" w:cs="Times New Roman"/>
          <w:sz w:val="24"/>
          <w:szCs w:val="24"/>
          <w:lang w:eastAsia="pl-PL"/>
        </w:rPr>
        <w:t xml:space="preserve">wraz </w:t>
      </w:r>
      <w:r w:rsidR="00601933" w:rsidRPr="00833C88">
        <w:rPr>
          <w:rFonts w:eastAsia="Times New Roman" w:cs="Times New Roman"/>
          <w:sz w:val="24"/>
          <w:szCs w:val="24"/>
          <w:lang w:eastAsia="pl-PL"/>
        </w:rPr>
        <w:t>z </w:t>
      </w:r>
      <w:r w:rsidR="0069786E" w:rsidRPr="00833C88">
        <w:rPr>
          <w:rFonts w:eastAsia="Times New Roman" w:cs="Times New Roman"/>
          <w:sz w:val="24"/>
          <w:szCs w:val="24"/>
          <w:lang w:eastAsia="pl-PL"/>
        </w:rPr>
        <w:t>dodatkowymi informacjami</w:t>
      </w:r>
      <w:r w:rsidR="00277D3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3C6960" w:rsidRPr="00833C88">
        <w:rPr>
          <w:rFonts w:eastAsia="Times New Roman" w:cs="Times New Roman"/>
          <w:sz w:val="24"/>
          <w:szCs w:val="24"/>
          <w:lang w:eastAsia="pl-PL"/>
        </w:rPr>
        <w:t>tym inc</w:t>
      </w:r>
      <w:r w:rsidR="00F54096" w:rsidRPr="00833C88">
        <w:rPr>
          <w:rFonts w:eastAsia="Times New Roman" w:cs="Times New Roman"/>
          <w:sz w:val="24"/>
          <w:szCs w:val="24"/>
          <w:lang w:eastAsia="pl-PL"/>
        </w:rPr>
        <w:t>ydencie</w:t>
      </w:r>
      <w:r w:rsidR="003E26F3" w:rsidRPr="00833C88">
        <w:rPr>
          <w:rFonts w:eastAsia="Times New Roman" w:cs="Times New Roman"/>
          <w:sz w:val="24"/>
          <w:szCs w:val="24"/>
          <w:lang w:eastAsia="pl-PL"/>
        </w:rPr>
        <w:t>:</w:t>
      </w:r>
    </w:p>
    <w:p w14:paraId="07D4B18E" w14:textId="77777777" w:rsidR="002A7447" w:rsidRPr="00833C88" w:rsidRDefault="002A7447" w:rsidP="001A1F90">
      <w:pPr>
        <w:pStyle w:val="Nagwek4"/>
        <w:numPr>
          <w:ilvl w:val="0"/>
          <w:numId w:val="83"/>
        </w:numPr>
        <w:spacing w:line="360" w:lineRule="auto"/>
        <w:jc w:val="both"/>
        <w:rPr>
          <w:rFonts w:cs="Times New Roman"/>
          <w:sz w:val="24"/>
          <w:szCs w:val="24"/>
        </w:rPr>
      </w:pPr>
      <w:r w:rsidRPr="00833C88">
        <w:rPr>
          <w:rFonts w:cs="Times New Roman"/>
          <w:i w:val="0"/>
          <w:iCs w:val="0"/>
          <w:sz w:val="24"/>
          <w:szCs w:val="24"/>
        </w:rPr>
        <w:t>opis wpływu incydentu poważnego na świadczenie usługi, w tym:</w:t>
      </w:r>
    </w:p>
    <w:p w14:paraId="05AC515B" w14:textId="022B245B" w:rsidR="002A7447" w:rsidRPr="00833C88" w:rsidRDefault="00DB53CA" w:rsidP="001A1F90">
      <w:pPr>
        <w:pStyle w:val="Nagwek4"/>
        <w:numPr>
          <w:ilvl w:val="0"/>
          <w:numId w:val="0"/>
        </w:numPr>
        <w:spacing w:line="360" w:lineRule="auto"/>
        <w:ind w:left="1080"/>
        <w:jc w:val="both"/>
        <w:rPr>
          <w:rFonts w:cs="Times New Roman"/>
          <w:sz w:val="24"/>
          <w:szCs w:val="24"/>
        </w:rPr>
      </w:pPr>
      <w:r w:rsidRPr="00833C88">
        <w:rPr>
          <w:rFonts w:cs="Times New Roman"/>
          <w:i w:val="0"/>
          <w:iCs w:val="0"/>
          <w:sz w:val="24"/>
          <w:szCs w:val="24"/>
        </w:rPr>
        <w:t>a)</w:t>
      </w:r>
      <w:r w:rsidR="001A1F90" w:rsidRPr="00833C88">
        <w:rPr>
          <w:rFonts w:cs="Times New Roman"/>
          <w:i w:val="0"/>
          <w:iCs w:val="0"/>
          <w:sz w:val="24"/>
          <w:szCs w:val="24"/>
        </w:rPr>
        <w:tab/>
      </w:r>
      <w:r w:rsidR="002A7447" w:rsidRPr="00833C88">
        <w:rPr>
          <w:rFonts w:cs="Times New Roman"/>
          <w:i w:val="0"/>
          <w:iCs w:val="0"/>
          <w:sz w:val="24"/>
          <w:szCs w:val="24"/>
        </w:rPr>
        <w:t>wskazanie usługi zgłaszającego, na które incydent poważny miał wpływ</w:t>
      </w:r>
      <w:r w:rsidR="005B7564" w:rsidRPr="00833C88">
        <w:rPr>
          <w:rFonts w:cs="Times New Roman"/>
          <w:i w:val="0"/>
          <w:iCs w:val="0"/>
          <w:sz w:val="24"/>
          <w:szCs w:val="24"/>
        </w:rPr>
        <w:t>.</w:t>
      </w:r>
    </w:p>
    <w:p w14:paraId="579C711C" w14:textId="4361376E" w:rsidR="00E565B1" w:rsidRPr="00833C88" w:rsidRDefault="00E27B0F" w:rsidP="00DE38C1">
      <w:pPr>
        <w:spacing w:line="360" w:lineRule="auto"/>
        <w:rPr>
          <w:rFonts w:cs="Times New Roman"/>
          <w:sz w:val="24"/>
          <w:szCs w:val="24"/>
        </w:rPr>
      </w:pPr>
      <w:r w:rsidRPr="00833C88">
        <w:rPr>
          <w:rFonts w:cs="Times New Roman"/>
          <w:sz w:val="24"/>
          <w:szCs w:val="24"/>
        </w:rPr>
        <w:t>Ab</w:t>
      </w:r>
      <w:r w:rsidR="00602F9E" w:rsidRPr="00833C88">
        <w:rPr>
          <w:rFonts w:cs="Times New Roman"/>
          <w:sz w:val="24"/>
          <w:szCs w:val="24"/>
        </w:rPr>
        <w:t xml:space="preserve">y pomóc podmiotowi zgłaszającemu incydent CSIRT musi wiedzieć </w:t>
      </w:r>
      <w:r w:rsidR="0039076D" w:rsidRPr="00833C88">
        <w:rPr>
          <w:rFonts w:cs="Times New Roman"/>
          <w:sz w:val="24"/>
          <w:szCs w:val="24"/>
        </w:rPr>
        <w:t xml:space="preserve">na świadczenie jakich usług </w:t>
      </w:r>
      <w:r w:rsidRPr="00833C88">
        <w:rPr>
          <w:rFonts w:cs="Times New Roman"/>
          <w:sz w:val="24"/>
          <w:szCs w:val="24"/>
        </w:rPr>
        <w:t>wpływa incydent</w:t>
      </w:r>
      <w:r w:rsidR="00DB53CA" w:rsidRPr="00833C88">
        <w:rPr>
          <w:rFonts w:cs="Times New Roman"/>
          <w:sz w:val="24"/>
          <w:szCs w:val="24"/>
        </w:rPr>
        <w:t>,</w:t>
      </w:r>
    </w:p>
    <w:p w14:paraId="62E3CB86" w14:textId="3B771B29" w:rsidR="00E565B1" w:rsidRPr="00833C88" w:rsidRDefault="00DB53CA" w:rsidP="001A1F90">
      <w:pPr>
        <w:pStyle w:val="Nagwek4"/>
        <w:numPr>
          <w:ilvl w:val="0"/>
          <w:numId w:val="0"/>
        </w:numPr>
        <w:spacing w:line="360" w:lineRule="auto"/>
        <w:ind w:left="1080"/>
        <w:jc w:val="both"/>
        <w:rPr>
          <w:rFonts w:cs="Times New Roman"/>
          <w:sz w:val="24"/>
          <w:szCs w:val="24"/>
        </w:rPr>
      </w:pPr>
      <w:r w:rsidRPr="00833C88">
        <w:rPr>
          <w:rFonts w:cs="Times New Roman"/>
          <w:i w:val="0"/>
          <w:iCs w:val="0"/>
          <w:sz w:val="24"/>
          <w:szCs w:val="24"/>
        </w:rPr>
        <w:t>b)</w:t>
      </w:r>
      <w:r w:rsidR="001A1F90" w:rsidRPr="00833C88">
        <w:rPr>
          <w:rFonts w:cs="Times New Roman"/>
          <w:i w:val="0"/>
          <w:iCs w:val="0"/>
          <w:sz w:val="24"/>
          <w:szCs w:val="24"/>
        </w:rPr>
        <w:tab/>
      </w:r>
      <w:r w:rsidR="002A7447" w:rsidRPr="00833C88">
        <w:rPr>
          <w:rFonts w:cs="Times New Roman"/>
          <w:i w:val="0"/>
          <w:iCs w:val="0"/>
          <w:sz w:val="24"/>
          <w:szCs w:val="24"/>
        </w:rPr>
        <w:t>liczbę użytkowników usługi, na których incydent poważny miał wpływ</w:t>
      </w:r>
      <w:r w:rsidR="005B7564" w:rsidRPr="00833C88">
        <w:rPr>
          <w:rFonts w:cs="Times New Roman"/>
          <w:i w:val="0"/>
          <w:iCs w:val="0"/>
          <w:sz w:val="24"/>
          <w:szCs w:val="24"/>
        </w:rPr>
        <w:t>.</w:t>
      </w:r>
    </w:p>
    <w:p w14:paraId="67C1F63B" w14:textId="6040AA8D" w:rsidR="00E565B1" w:rsidRPr="00833C88" w:rsidRDefault="00E565B1" w:rsidP="00DE38C1">
      <w:pPr>
        <w:spacing w:line="360" w:lineRule="auto"/>
        <w:rPr>
          <w:rFonts w:cs="Times New Roman"/>
          <w:sz w:val="24"/>
          <w:szCs w:val="24"/>
        </w:rPr>
      </w:pPr>
      <w:r w:rsidRPr="00833C88">
        <w:rPr>
          <w:rFonts w:cs="Times New Roman"/>
          <w:sz w:val="24"/>
          <w:szCs w:val="24"/>
        </w:rPr>
        <w:t xml:space="preserve">Chodzi o szacunkowe określenie liczby </w:t>
      </w:r>
      <w:proofErr w:type="gramStart"/>
      <w:r w:rsidRPr="00833C88">
        <w:rPr>
          <w:rFonts w:cs="Times New Roman"/>
          <w:sz w:val="24"/>
          <w:szCs w:val="24"/>
        </w:rPr>
        <w:t>użytkowników</w:t>
      </w:r>
      <w:proofErr w:type="gramEnd"/>
      <w:r w:rsidRPr="00833C88">
        <w:rPr>
          <w:rFonts w:cs="Times New Roman"/>
          <w:sz w:val="24"/>
          <w:szCs w:val="24"/>
        </w:rPr>
        <w:t xml:space="preserve"> na których </w:t>
      </w:r>
      <w:r w:rsidR="00602F9E" w:rsidRPr="00833C88">
        <w:rPr>
          <w:rFonts w:cs="Times New Roman"/>
          <w:sz w:val="24"/>
          <w:szCs w:val="24"/>
        </w:rPr>
        <w:t>oddziałuje incydent</w:t>
      </w:r>
      <w:r w:rsidR="00DB53CA" w:rsidRPr="00833C88">
        <w:rPr>
          <w:rFonts w:cs="Times New Roman"/>
          <w:sz w:val="24"/>
          <w:szCs w:val="24"/>
        </w:rPr>
        <w:t>,</w:t>
      </w:r>
    </w:p>
    <w:p w14:paraId="79583BE0" w14:textId="6E71EE54" w:rsidR="002A7447" w:rsidRPr="00833C88" w:rsidRDefault="00DB53CA" w:rsidP="001A1F90">
      <w:pPr>
        <w:pStyle w:val="Nagwek4"/>
        <w:numPr>
          <w:ilvl w:val="0"/>
          <w:numId w:val="0"/>
        </w:numPr>
        <w:spacing w:line="360" w:lineRule="auto"/>
        <w:ind w:left="720" w:firstLine="350"/>
        <w:jc w:val="both"/>
        <w:rPr>
          <w:rFonts w:cs="Times New Roman"/>
          <w:sz w:val="24"/>
          <w:szCs w:val="24"/>
        </w:rPr>
      </w:pPr>
      <w:r w:rsidRPr="00833C88">
        <w:rPr>
          <w:rFonts w:cs="Times New Roman"/>
          <w:i w:val="0"/>
          <w:iCs w:val="0"/>
          <w:sz w:val="24"/>
          <w:szCs w:val="24"/>
        </w:rPr>
        <w:lastRenderedPageBreak/>
        <w:t>c)</w:t>
      </w:r>
      <w:r w:rsidR="001A1F90" w:rsidRPr="00833C88">
        <w:rPr>
          <w:rFonts w:cs="Times New Roman"/>
          <w:i w:val="0"/>
          <w:iCs w:val="0"/>
          <w:sz w:val="24"/>
          <w:szCs w:val="24"/>
        </w:rPr>
        <w:tab/>
      </w:r>
      <w:r w:rsidR="00927FCB" w:rsidRPr="00833C88">
        <w:rPr>
          <w:rFonts w:cs="Times New Roman"/>
          <w:i w:val="0"/>
          <w:iCs w:val="0"/>
          <w:sz w:val="24"/>
          <w:szCs w:val="24"/>
        </w:rPr>
        <w:t>z</w:t>
      </w:r>
      <w:r w:rsidR="002A7447" w:rsidRPr="00833C88">
        <w:rPr>
          <w:rFonts w:cs="Times New Roman"/>
          <w:i w:val="0"/>
          <w:iCs w:val="0"/>
          <w:sz w:val="24"/>
          <w:szCs w:val="24"/>
        </w:rPr>
        <w:t>asięg geograficzny obszaru, którego dotyczy incydent poważny</w:t>
      </w:r>
      <w:r w:rsidR="005B7564" w:rsidRPr="00833C88">
        <w:rPr>
          <w:rFonts w:cs="Times New Roman"/>
          <w:i w:val="0"/>
          <w:iCs w:val="0"/>
          <w:sz w:val="24"/>
          <w:szCs w:val="24"/>
        </w:rPr>
        <w:t>.</w:t>
      </w:r>
    </w:p>
    <w:p w14:paraId="61962D0A" w14:textId="421D39E2" w:rsidR="002A7447" w:rsidRPr="00833C88" w:rsidRDefault="00DD7BF5" w:rsidP="00DE38C1">
      <w:pPr>
        <w:spacing w:line="360" w:lineRule="auto"/>
        <w:rPr>
          <w:rFonts w:cs="Times New Roman"/>
          <w:sz w:val="24"/>
          <w:szCs w:val="24"/>
        </w:rPr>
      </w:pPr>
      <w:r w:rsidRPr="00833C88">
        <w:rPr>
          <w:rFonts w:cs="Times New Roman"/>
          <w:sz w:val="24"/>
          <w:szCs w:val="24"/>
        </w:rPr>
        <w:t xml:space="preserve">Chodzi o określenie </w:t>
      </w:r>
      <w:proofErr w:type="gramStart"/>
      <w:r w:rsidRPr="00833C88">
        <w:rPr>
          <w:rFonts w:cs="Times New Roman"/>
          <w:sz w:val="24"/>
          <w:szCs w:val="24"/>
        </w:rPr>
        <w:t>obszaru</w:t>
      </w:r>
      <w:proofErr w:type="gramEnd"/>
      <w:r w:rsidRPr="00833C88">
        <w:rPr>
          <w:rFonts w:cs="Times New Roman"/>
          <w:sz w:val="24"/>
          <w:szCs w:val="24"/>
        </w:rPr>
        <w:t xml:space="preserve"> na który wpływa incydent poważny, przykładowo ten obszar może </w:t>
      </w:r>
      <w:r w:rsidR="009364ED" w:rsidRPr="00833C88">
        <w:rPr>
          <w:rFonts w:cs="Times New Roman"/>
          <w:sz w:val="24"/>
          <w:szCs w:val="24"/>
        </w:rPr>
        <w:t xml:space="preserve">obejmować niedostępność usług telekomunikacyjnych na terenie dwóch powiatów, albo brak prądu </w:t>
      </w:r>
      <w:r w:rsidR="009814C4" w:rsidRPr="00833C88">
        <w:rPr>
          <w:rFonts w:cs="Times New Roman"/>
          <w:sz w:val="24"/>
          <w:szCs w:val="24"/>
        </w:rPr>
        <w:t>w mieście wojewódzkim spowodowany awarią systemów sterowania</w:t>
      </w:r>
      <w:r w:rsidR="001A1F90" w:rsidRPr="00833C88">
        <w:rPr>
          <w:rFonts w:cs="Times New Roman"/>
          <w:sz w:val="24"/>
          <w:szCs w:val="24"/>
        </w:rPr>
        <w:t>,</w:t>
      </w:r>
    </w:p>
    <w:p w14:paraId="48FDFD0E" w14:textId="6F329F8F" w:rsidR="002A7447" w:rsidRPr="00833C88" w:rsidRDefault="001A1F90" w:rsidP="001A1F90">
      <w:pPr>
        <w:pStyle w:val="Nagwek4"/>
        <w:numPr>
          <w:ilvl w:val="0"/>
          <w:numId w:val="0"/>
        </w:numPr>
        <w:spacing w:line="360" w:lineRule="auto"/>
        <w:ind w:left="1070"/>
        <w:jc w:val="both"/>
        <w:rPr>
          <w:rFonts w:cs="Times New Roman"/>
          <w:sz w:val="24"/>
          <w:szCs w:val="24"/>
        </w:rPr>
      </w:pPr>
      <w:r w:rsidRPr="00833C88">
        <w:rPr>
          <w:rFonts w:cs="Times New Roman"/>
          <w:i w:val="0"/>
          <w:iCs w:val="0"/>
          <w:sz w:val="24"/>
          <w:szCs w:val="24"/>
        </w:rPr>
        <w:t>d)</w:t>
      </w:r>
      <w:r w:rsidRPr="00833C88">
        <w:rPr>
          <w:rFonts w:cs="Times New Roman"/>
          <w:i w:val="0"/>
          <w:iCs w:val="0"/>
          <w:sz w:val="24"/>
          <w:szCs w:val="24"/>
        </w:rPr>
        <w:tab/>
      </w:r>
      <w:r w:rsidR="002A7447" w:rsidRPr="00833C88">
        <w:rPr>
          <w:rFonts w:cs="Times New Roman"/>
          <w:i w:val="0"/>
          <w:iCs w:val="0"/>
          <w:sz w:val="24"/>
          <w:szCs w:val="24"/>
        </w:rPr>
        <w:t>wpływ incydentu poważnego na świadczenie usługi przez inne podmioty</w:t>
      </w:r>
      <w:r w:rsidR="005B7564" w:rsidRPr="00833C88">
        <w:rPr>
          <w:rFonts w:cs="Times New Roman"/>
          <w:i w:val="0"/>
          <w:iCs w:val="0"/>
          <w:sz w:val="24"/>
          <w:szCs w:val="24"/>
        </w:rPr>
        <w:t>.</w:t>
      </w:r>
    </w:p>
    <w:p w14:paraId="555F010A" w14:textId="2BDBDB2F" w:rsidR="00BB796D" w:rsidRPr="00833C88" w:rsidRDefault="00BB796D" w:rsidP="00DE38C1">
      <w:pPr>
        <w:spacing w:line="360" w:lineRule="auto"/>
        <w:rPr>
          <w:rFonts w:cs="Times New Roman"/>
          <w:sz w:val="24"/>
          <w:szCs w:val="24"/>
        </w:rPr>
      </w:pPr>
      <w:r w:rsidRPr="00833C88">
        <w:rPr>
          <w:rFonts w:cs="Times New Roman"/>
          <w:sz w:val="24"/>
          <w:szCs w:val="24"/>
        </w:rPr>
        <w:t xml:space="preserve">Podmiot kluczowy i podmiot ważny powinien, w ramach </w:t>
      </w:r>
      <w:r w:rsidR="0067061B" w:rsidRPr="00833C88">
        <w:rPr>
          <w:rFonts w:cs="Times New Roman"/>
          <w:sz w:val="24"/>
          <w:szCs w:val="24"/>
        </w:rPr>
        <w:t>analizy kontekstu organizacji ustalić podmioty z którymi współpracuje i którym świadczy usługi. Będzie więc mógł określić, czy incydent wpływa na te podmioty czy nie</w:t>
      </w:r>
      <w:r w:rsidR="00AE2DE9" w:rsidRPr="00833C88">
        <w:rPr>
          <w:rFonts w:cs="Times New Roman"/>
          <w:sz w:val="24"/>
          <w:szCs w:val="24"/>
        </w:rPr>
        <w:t>;</w:t>
      </w:r>
    </w:p>
    <w:p w14:paraId="1C4D3CF0" w14:textId="77777777" w:rsidR="001A1F90" w:rsidRPr="00833C88" w:rsidRDefault="002A7447" w:rsidP="001A1F90">
      <w:pPr>
        <w:pStyle w:val="Nagwek4"/>
        <w:numPr>
          <w:ilvl w:val="0"/>
          <w:numId w:val="83"/>
        </w:numPr>
        <w:spacing w:line="360" w:lineRule="auto"/>
        <w:jc w:val="both"/>
        <w:rPr>
          <w:rFonts w:cs="Times New Roman"/>
          <w:i w:val="0"/>
          <w:iCs w:val="0"/>
          <w:sz w:val="24"/>
          <w:szCs w:val="24"/>
        </w:rPr>
      </w:pPr>
      <w:r w:rsidRPr="00833C88">
        <w:rPr>
          <w:rFonts w:cs="Times New Roman"/>
          <w:i w:val="0"/>
          <w:iCs w:val="0"/>
          <w:sz w:val="24"/>
          <w:szCs w:val="24"/>
        </w:rPr>
        <w:t>opis przyczyn tego incydentu, sposób jego przebiegu oraz prawdopodobne skutki oddziaływania na systemy informacyjne lub świadczone usługi</w:t>
      </w:r>
      <w:r w:rsidR="00AE2DE9" w:rsidRPr="00833C88">
        <w:rPr>
          <w:rFonts w:cs="Times New Roman"/>
          <w:i w:val="0"/>
          <w:iCs w:val="0"/>
          <w:sz w:val="24"/>
          <w:szCs w:val="24"/>
        </w:rPr>
        <w:t xml:space="preserve">. </w:t>
      </w:r>
    </w:p>
    <w:p w14:paraId="513DF25E" w14:textId="265B6C0F" w:rsidR="00CD6147" w:rsidRPr="00833C88" w:rsidRDefault="00CD6147" w:rsidP="001A1F90">
      <w:pPr>
        <w:pStyle w:val="Nagwek4"/>
        <w:numPr>
          <w:ilvl w:val="0"/>
          <w:numId w:val="0"/>
        </w:numPr>
        <w:spacing w:line="360" w:lineRule="auto"/>
        <w:ind w:left="360"/>
        <w:jc w:val="both"/>
        <w:rPr>
          <w:rFonts w:cs="Times New Roman"/>
          <w:i w:val="0"/>
          <w:iCs w:val="0"/>
          <w:sz w:val="24"/>
          <w:szCs w:val="24"/>
        </w:rPr>
      </w:pPr>
      <w:r w:rsidRPr="00833C88">
        <w:rPr>
          <w:rFonts w:eastAsiaTheme="minorHAnsi" w:cs="Times New Roman"/>
          <w:i w:val="0"/>
          <w:iCs w:val="0"/>
          <w:color w:val="auto"/>
          <w:sz w:val="24"/>
          <w:szCs w:val="24"/>
        </w:rPr>
        <w:t xml:space="preserve">Przykładowo należy wskazać </w:t>
      </w:r>
      <w:r w:rsidR="004C5790" w:rsidRPr="00833C88">
        <w:rPr>
          <w:rFonts w:cs="Times New Roman"/>
          <w:i w:val="0"/>
          <w:iCs w:val="0"/>
          <w:sz w:val="24"/>
          <w:szCs w:val="24"/>
        </w:rPr>
        <w:t>oznaki naruszenia integralności systemu (</w:t>
      </w:r>
      <w:proofErr w:type="spellStart"/>
      <w:r w:rsidR="004C5790" w:rsidRPr="00833C88">
        <w:rPr>
          <w:rFonts w:cs="Times New Roman"/>
          <w:i w:val="0"/>
          <w:iCs w:val="0"/>
          <w:sz w:val="24"/>
          <w:szCs w:val="24"/>
        </w:rPr>
        <w:t>indicators</w:t>
      </w:r>
      <w:proofErr w:type="spellEnd"/>
      <w:r w:rsidR="004C5790" w:rsidRPr="00833C88">
        <w:rPr>
          <w:rFonts w:cs="Times New Roman"/>
          <w:i w:val="0"/>
          <w:iCs w:val="0"/>
          <w:sz w:val="24"/>
          <w:szCs w:val="24"/>
        </w:rPr>
        <w:t xml:space="preserve"> of </w:t>
      </w:r>
      <w:proofErr w:type="spellStart"/>
      <w:r w:rsidR="004C5790" w:rsidRPr="00833C88">
        <w:rPr>
          <w:rFonts w:cs="Times New Roman"/>
          <w:i w:val="0"/>
          <w:iCs w:val="0"/>
          <w:sz w:val="24"/>
          <w:szCs w:val="24"/>
        </w:rPr>
        <w:t>compromise</w:t>
      </w:r>
      <w:proofErr w:type="spellEnd"/>
      <w:r w:rsidR="004C5790" w:rsidRPr="00833C88">
        <w:rPr>
          <w:rFonts w:cs="Times New Roman"/>
          <w:i w:val="0"/>
          <w:iCs w:val="0"/>
          <w:sz w:val="24"/>
          <w:szCs w:val="24"/>
        </w:rPr>
        <w:t>)</w:t>
      </w:r>
      <w:r w:rsidR="00AE2DE9" w:rsidRPr="00833C88">
        <w:rPr>
          <w:rFonts w:cs="Times New Roman"/>
          <w:i w:val="0"/>
          <w:iCs w:val="0"/>
          <w:sz w:val="24"/>
          <w:szCs w:val="24"/>
        </w:rPr>
        <w:t>;</w:t>
      </w:r>
    </w:p>
    <w:p w14:paraId="3F2ED437" w14:textId="33A8D724" w:rsidR="002A7447" w:rsidRPr="00833C88" w:rsidRDefault="002A7447" w:rsidP="00533D2A">
      <w:pPr>
        <w:pStyle w:val="ZPKTzmpktartykuempunktem"/>
        <w:numPr>
          <w:ilvl w:val="0"/>
          <w:numId w:val="83"/>
        </w:numPr>
        <w:rPr>
          <w:rFonts w:ascii="Times New Roman" w:hAnsi="Times New Roman" w:cs="Times New Roman"/>
          <w:szCs w:val="24"/>
        </w:rPr>
      </w:pPr>
      <w:r w:rsidRPr="00833C88">
        <w:rPr>
          <w:rFonts w:ascii="Times New Roman" w:hAnsi="Times New Roman" w:cs="Times New Roman"/>
          <w:szCs w:val="24"/>
        </w:rPr>
        <w:t>informacje o podjętych działaniach zapobiegawczych;</w:t>
      </w:r>
    </w:p>
    <w:p w14:paraId="029024F7" w14:textId="6F5245C2" w:rsidR="002A7447" w:rsidRPr="00833C88" w:rsidRDefault="002A7447" w:rsidP="00533D2A">
      <w:pPr>
        <w:pStyle w:val="ZPKTzmpktartykuempunktem"/>
        <w:numPr>
          <w:ilvl w:val="0"/>
          <w:numId w:val="83"/>
        </w:numPr>
        <w:rPr>
          <w:rFonts w:ascii="Times New Roman" w:hAnsi="Times New Roman" w:cs="Times New Roman"/>
          <w:szCs w:val="24"/>
        </w:rPr>
      </w:pPr>
      <w:r w:rsidRPr="00833C88">
        <w:rPr>
          <w:rFonts w:ascii="Times New Roman" w:hAnsi="Times New Roman" w:cs="Times New Roman"/>
          <w:szCs w:val="24"/>
        </w:rPr>
        <w:t>informacje o podjętych działaniach naprawczych;</w:t>
      </w:r>
    </w:p>
    <w:p w14:paraId="6EE6C92E" w14:textId="424B20D5" w:rsidR="002A7447" w:rsidRPr="00833C88" w:rsidRDefault="002A7447" w:rsidP="00533D2A">
      <w:pPr>
        <w:pStyle w:val="ZPKTzmpktartykuempunktem"/>
        <w:numPr>
          <w:ilvl w:val="0"/>
          <w:numId w:val="83"/>
        </w:numPr>
        <w:rPr>
          <w:rFonts w:ascii="Times New Roman" w:hAnsi="Times New Roman" w:cs="Times New Roman"/>
          <w:szCs w:val="24"/>
        </w:rPr>
      </w:pPr>
      <w:r w:rsidRPr="00833C88">
        <w:rPr>
          <w:rFonts w:ascii="Times New Roman" w:hAnsi="Times New Roman" w:cs="Times New Roman"/>
          <w:szCs w:val="24"/>
        </w:rPr>
        <w:t>aktualizację informacji</w:t>
      </w:r>
      <w:r w:rsidR="00026DD4" w:rsidRPr="00833C88">
        <w:rPr>
          <w:rFonts w:ascii="Times New Roman" w:hAnsi="Times New Roman" w:cs="Times New Roman"/>
          <w:szCs w:val="24"/>
        </w:rPr>
        <w:t xml:space="preserve"> przekazanych we wczesnym ostrzeżeniu</w:t>
      </w:r>
      <w:r w:rsidRPr="00833C88">
        <w:rPr>
          <w:rFonts w:ascii="Times New Roman" w:hAnsi="Times New Roman" w:cs="Times New Roman"/>
          <w:szCs w:val="24"/>
        </w:rPr>
        <w:t>, jeżeli nastąpiła ich zmiana.</w:t>
      </w:r>
    </w:p>
    <w:p w14:paraId="005ECB66" w14:textId="5027DD44" w:rsidR="000937A6" w:rsidRPr="00833C88" w:rsidRDefault="00B23436" w:rsidP="00AE2DE9">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Nie zawsze wszystkie informacje będą dostępne w trakcie zgłaszania incydentu poważnego, dlatego podmiot kluczowy lub podmiot ważny będzie obowiązany </w:t>
      </w:r>
      <w:r w:rsidR="00587FA6" w:rsidRPr="00833C88">
        <w:rPr>
          <w:rFonts w:eastAsia="Times New Roman" w:cs="Times New Roman"/>
          <w:sz w:val="24"/>
          <w:szCs w:val="24"/>
          <w:lang w:eastAsia="pl-PL"/>
        </w:rPr>
        <w:t>zgłosić te informacje, o</w:t>
      </w:r>
      <w:r w:rsidR="001A1F90" w:rsidRPr="00833C88">
        <w:rPr>
          <w:rFonts w:eastAsia="Times New Roman" w:cs="Times New Roman"/>
          <w:sz w:val="24"/>
          <w:szCs w:val="24"/>
          <w:lang w:eastAsia="pl-PL"/>
        </w:rPr>
        <w:t> </w:t>
      </w:r>
      <w:r w:rsidR="00587FA6" w:rsidRPr="00833C88">
        <w:rPr>
          <w:rFonts w:eastAsia="Times New Roman" w:cs="Times New Roman"/>
          <w:sz w:val="24"/>
          <w:szCs w:val="24"/>
          <w:lang w:eastAsia="pl-PL"/>
        </w:rPr>
        <w:t xml:space="preserve">których wie na moment zgłoszenia. </w:t>
      </w:r>
      <w:r w:rsidR="00FF1C1B" w:rsidRPr="00833C88">
        <w:rPr>
          <w:rFonts w:eastAsia="Times New Roman" w:cs="Times New Roman"/>
          <w:sz w:val="24"/>
          <w:szCs w:val="24"/>
          <w:lang w:eastAsia="pl-PL"/>
        </w:rPr>
        <w:t>Będzie przy tym zobligowany uzupełnić te informacje później w trakcie obsługi incydentu.</w:t>
      </w:r>
    </w:p>
    <w:p w14:paraId="7096F7F9" w14:textId="7CB1EF8F" w:rsidR="00026DD4" w:rsidRPr="00833C88" w:rsidRDefault="00026DD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Dostawcy usług zaufania zgodnie z dyrektywą NIS 2 zgłaszają incydenty poważne nie w</w:t>
      </w:r>
      <w:r w:rsidR="005B7564" w:rsidRPr="00833C88">
        <w:rPr>
          <w:rFonts w:eastAsia="Times New Roman" w:cs="Times New Roman"/>
          <w:sz w:val="24"/>
          <w:szCs w:val="24"/>
          <w:lang w:eastAsia="pl-PL"/>
        </w:rPr>
        <w:t> </w:t>
      </w:r>
      <w:r w:rsidRPr="00833C88">
        <w:rPr>
          <w:rFonts w:eastAsia="Times New Roman" w:cs="Times New Roman"/>
          <w:sz w:val="24"/>
          <w:szCs w:val="24"/>
          <w:lang w:eastAsia="pl-PL"/>
        </w:rPr>
        <w:t>terminie 72 godzin od jego wystąpienia, tylko</w:t>
      </w:r>
      <w:r w:rsidR="00E37614" w:rsidRPr="00833C88">
        <w:rPr>
          <w:rFonts w:eastAsia="Times New Roman" w:cs="Times New Roman"/>
          <w:sz w:val="24"/>
          <w:szCs w:val="24"/>
          <w:lang w:eastAsia="pl-PL"/>
        </w:rPr>
        <w:t xml:space="preserve"> w terminie 24 godzin od ich wystąpienia. Odzwierciedlono to w przepisach projektu ustawy.</w:t>
      </w:r>
    </w:p>
    <w:p w14:paraId="39E42A9A" w14:textId="2E0DADB9" w:rsidR="002A4BAC" w:rsidRPr="00833C88" w:rsidRDefault="002A4BA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Dane przekazywane w zgłoszeniu incydentu mogą stanowić tajemnice prawnie chronione w</w:t>
      </w:r>
      <w:r w:rsidR="005B7564" w:rsidRPr="00833C88">
        <w:rPr>
          <w:rFonts w:eastAsia="Times New Roman" w:cs="Times New Roman"/>
          <w:sz w:val="24"/>
          <w:szCs w:val="24"/>
          <w:lang w:eastAsia="pl-PL"/>
        </w:rPr>
        <w:t> </w:t>
      </w:r>
      <w:r w:rsidRPr="00833C88">
        <w:rPr>
          <w:rFonts w:eastAsia="Times New Roman" w:cs="Times New Roman"/>
          <w:sz w:val="24"/>
          <w:szCs w:val="24"/>
          <w:lang w:eastAsia="pl-PL"/>
        </w:rPr>
        <w:t xml:space="preserve">tym tajemnicę przedsiębiorstwa. Jednocześnie są one </w:t>
      </w:r>
      <w:proofErr w:type="gramStart"/>
      <w:r w:rsidRPr="00833C88">
        <w:rPr>
          <w:rFonts w:eastAsia="Times New Roman" w:cs="Times New Roman"/>
          <w:sz w:val="24"/>
          <w:szCs w:val="24"/>
          <w:lang w:eastAsia="pl-PL"/>
        </w:rPr>
        <w:t>potrzebne</w:t>
      </w:r>
      <w:proofErr w:type="gramEnd"/>
      <w:r w:rsidRPr="00833C88">
        <w:rPr>
          <w:rFonts w:eastAsia="Times New Roman" w:cs="Times New Roman"/>
          <w:sz w:val="24"/>
          <w:szCs w:val="24"/>
          <w:lang w:eastAsia="pl-PL"/>
        </w:rPr>
        <w:t xml:space="preserve"> aby zespół CSIRT był w</w:t>
      </w:r>
      <w:r w:rsidR="005B7564" w:rsidRPr="00833C88">
        <w:rPr>
          <w:rFonts w:eastAsia="Times New Roman" w:cs="Times New Roman"/>
          <w:sz w:val="24"/>
          <w:szCs w:val="24"/>
          <w:lang w:eastAsia="pl-PL"/>
        </w:rPr>
        <w:t> </w:t>
      </w:r>
      <w:r w:rsidRPr="00833C88">
        <w:rPr>
          <w:rFonts w:eastAsia="Times New Roman" w:cs="Times New Roman"/>
          <w:sz w:val="24"/>
          <w:szCs w:val="24"/>
          <w:lang w:eastAsia="pl-PL"/>
        </w:rPr>
        <w:t>stanie efektywnie pomóc</w:t>
      </w:r>
      <w:r w:rsidR="00A07869" w:rsidRPr="00833C88">
        <w:rPr>
          <w:rFonts w:eastAsia="Times New Roman" w:cs="Times New Roman"/>
          <w:sz w:val="24"/>
          <w:szCs w:val="24"/>
          <w:lang w:eastAsia="pl-PL"/>
        </w:rPr>
        <w:t xml:space="preserve"> podmiotowi. Dlatego </w:t>
      </w:r>
      <w:r w:rsidR="006E312D" w:rsidRPr="00833C88">
        <w:rPr>
          <w:rFonts w:eastAsia="Times New Roman" w:cs="Times New Roman"/>
          <w:sz w:val="24"/>
          <w:szCs w:val="24"/>
          <w:lang w:eastAsia="pl-PL"/>
        </w:rPr>
        <w:t xml:space="preserve">podmiot kluczowy lub podmiot ważny zgłaszający incydent ma obowiązek przekazać we wczesnym ostrzeżeniu lub w zgłoszeniu incydentu </w:t>
      </w:r>
      <w:r w:rsidR="00550D14" w:rsidRPr="00833C88">
        <w:rPr>
          <w:rFonts w:eastAsia="Times New Roman" w:cs="Times New Roman"/>
          <w:sz w:val="24"/>
          <w:szCs w:val="24"/>
          <w:lang w:eastAsia="pl-PL"/>
        </w:rPr>
        <w:t xml:space="preserve">informacje stanowiące tajemnice prawnie chronione. Jednocześnie zespoły CSIRT są obowiązane zachować te informacje w tajemnicy. </w:t>
      </w:r>
      <w:r w:rsidR="004F6CF3" w:rsidRPr="00833C88">
        <w:rPr>
          <w:rFonts w:eastAsia="Times New Roman" w:cs="Times New Roman"/>
          <w:sz w:val="24"/>
          <w:szCs w:val="24"/>
          <w:lang w:eastAsia="pl-PL"/>
        </w:rPr>
        <w:t xml:space="preserve">Informacje te powinny być stosownie oznaczone we wczesnym ostrzeżeniu lub </w:t>
      </w:r>
      <w:r w:rsidR="00F16B34" w:rsidRPr="00833C88">
        <w:rPr>
          <w:rFonts w:eastAsia="Times New Roman" w:cs="Times New Roman"/>
          <w:sz w:val="24"/>
          <w:szCs w:val="24"/>
          <w:lang w:eastAsia="pl-PL"/>
        </w:rPr>
        <w:t>zgłoszeniu incydentu, aby CSIRT wiedział które informacje w szczególny sposób musi chronić.</w:t>
      </w:r>
    </w:p>
    <w:p w14:paraId="67E8CD5C" w14:textId="1A3C1455" w:rsidR="00295D8B" w:rsidRPr="00833C88" w:rsidRDefault="00295D8B"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Może się okazać, że do realizacji zadań CSIRT – przede wszystkim zadania reagowania na incydenty</w:t>
      </w:r>
      <w:r w:rsidR="00471B1F" w:rsidRPr="00833C88">
        <w:rPr>
          <w:rFonts w:eastAsia="Times New Roman" w:cs="Times New Roman"/>
          <w:sz w:val="24"/>
          <w:szCs w:val="24"/>
          <w:lang w:eastAsia="pl-PL"/>
        </w:rPr>
        <w:t xml:space="preserve"> – przekazane informacje są niewystarczające</w:t>
      </w:r>
      <w:r w:rsidR="000B583C" w:rsidRPr="00833C88">
        <w:rPr>
          <w:rFonts w:eastAsia="Times New Roman" w:cs="Times New Roman"/>
          <w:sz w:val="24"/>
          <w:szCs w:val="24"/>
          <w:lang w:eastAsia="pl-PL"/>
        </w:rPr>
        <w:t>. D</w:t>
      </w:r>
      <w:r w:rsidR="007466A6" w:rsidRPr="00833C88">
        <w:rPr>
          <w:rFonts w:eastAsia="Times New Roman" w:cs="Times New Roman"/>
          <w:sz w:val="24"/>
          <w:szCs w:val="24"/>
          <w:lang w:eastAsia="pl-PL"/>
        </w:rPr>
        <w:t xml:space="preserve">latego zespoły CSIRT są uprawnione do </w:t>
      </w:r>
      <w:r w:rsidR="004B0429" w:rsidRPr="00833C88">
        <w:rPr>
          <w:rFonts w:eastAsia="Times New Roman" w:cs="Times New Roman"/>
          <w:sz w:val="24"/>
          <w:szCs w:val="24"/>
          <w:lang w:eastAsia="pl-PL"/>
        </w:rPr>
        <w:t>zwracania się do podmiotu kluczowego i podmiotu ważnego o uzupełnienie wczesnego ostrzeżenia czy zgłoszenia incydentu.</w:t>
      </w:r>
    </w:p>
    <w:p w14:paraId="29358345" w14:textId="77777777" w:rsidR="00546894" w:rsidRPr="00833C88" w:rsidRDefault="00471B1F" w:rsidP="00AE2DE8">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7C45BA" w:rsidRPr="00833C88">
        <w:rPr>
          <w:rFonts w:eastAsia="Times New Roman" w:cs="Times New Roman"/>
          <w:sz w:val="24"/>
          <w:szCs w:val="24"/>
          <w:lang w:eastAsia="pl-PL"/>
        </w:rPr>
        <w:t xml:space="preserve">trakcie obsługi incydentu </w:t>
      </w:r>
      <w:r w:rsidR="000030A1" w:rsidRPr="00833C88">
        <w:rPr>
          <w:rFonts w:eastAsia="Times New Roman" w:cs="Times New Roman"/>
          <w:sz w:val="24"/>
          <w:szCs w:val="24"/>
          <w:lang w:eastAsia="pl-PL"/>
        </w:rPr>
        <w:t xml:space="preserve">poważnego </w:t>
      </w:r>
      <w:r w:rsidR="007C45BA" w:rsidRPr="00833C88">
        <w:rPr>
          <w:rFonts w:eastAsia="Times New Roman" w:cs="Times New Roman"/>
          <w:sz w:val="24"/>
          <w:szCs w:val="24"/>
          <w:lang w:eastAsia="pl-PL"/>
        </w:rPr>
        <w:t>po</w:t>
      </w:r>
      <w:r w:rsidR="00CB67C9" w:rsidRPr="00833C88">
        <w:rPr>
          <w:rFonts w:eastAsia="Times New Roman" w:cs="Times New Roman"/>
          <w:sz w:val="24"/>
          <w:szCs w:val="24"/>
          <w:lang w:eastAsia="pl-PL"/>
        </w:rPr>
        <w:t xml:space="preserve">dmiot zgłaszający incydent, na wniosek </w:t>
      </w:r>
      <w:r w:rsidR="00C9052E" w:rsidRPr="00833C88">
        <w:rPr>
          <w:rFonts w:eastAsia="Times New Roman" w:cs="Times New Roman"/>
          <w:sz w:val="24"/>
          <w:szCs w:val="24"/>
          <w:lang w:eastAsia="pl-PL"/>
        </w:rPr>
        <w:t xml:space="preserve">CSIRT sektorowego, </w:t>
      </w:r>
      <w:r w:rsidR="001B50F3" w:rsidRPr="00833C88">
        <w:rPr>
          <w:rFonts w:eastAsia="Times New Roman" w:cs="Times New Roman"/>
          <w:sz w:val="24"/>
          <w:szCs w:val="24"/>
          <w:lang w:eastAsia="pl-PL"/>
        </w:rPr>
        <w:t xml:space="preserve">przekazują </w:t>
      </w:r>
      <w:r w:rsidR="00B6407E" w:rsidRPr="00833C88">
        <w:rPr>
          <w:rFonts w:eastAsia="Times New Roman" w:cs="Times New Roman"/>
          <w:sz w:val="24"/>
          <w:szCs w:val="24"/>
          <w:lang w:eastAsia="pl-PL"/>
        </w:rPr>
        <w:t xml:space="preserve">sprawozdanie okresowe </w:t>
      </w:r>
      <w:r w:rsidR="00601933" w:rsidRPr="00833C88">
        <w:rPr>
          <w:rFonts w:eastAsia="Times New Roman" w:cs="Times New Roman"/>
          <w:sz w:val="24"/>
          <w:szCs w:val="24"/>
          <w:lang w:eastAsia="pl-PL"/>
        </w:rPr>
        <w:t>z </w:t>
      </w:r>
      <w:r w:rsidR="00B6407E" w:rsidRPr="00833C88">
        <w:rPr>
          <w:rFonts w:eastAsia="Times New Roman" w:cs="Times New Roman"/>
          <w:sz w:val="24"/>
          <w:szCs w:val="24"/>
          <w:lang w:eastAsia="pl-PL"/>
        </w:rPr>
        <w:t>obsług</w:t>
      </w:r>
      <w:r w:rsidR="000030A1" w:rsidRPr="00833C88">
        <w:rPr>
          <w:rFonts w:eastAsia="Times New Roman" w:cs="Times New Roman"/>
          <w:sz w:val="24"/>
          <w:szCs w:val="24"/>
          <w:lang w:eastAsia="pl-PL"/>
        </w:rPr>
        <w:t xml:space="preserve">i tego incydentu. </w:t>
      </w:r>
      <w:r w:rsidR="00A5179A" w:rsidRPr="00833C88">
        <w:rPr>
          <w:rFonts w:eastAsia="Times New Roman" w:cs="Times New Roman"/>
          <w:sz w:val="24"/>
          <w:szCs w:val="24"/>
          <w:lang w:eastAsia="pl-PL"/>
        </w:rPr>
        <w:t>Nato</w:t>
      </w:r>
      <w:r w:rsidR="00AD3E4D" w:rsidRPr="00833C88">
        <w:rPr>
          <w:rFonts w:eastAsia="Times New Roman" w:cs="Times New Roman"/>
          <w:sz w:val="24"/>
          <w:szCs w:val="24"/>
          <w:lang w:eastAsia="pl-PL"/>
        </w:rPr>
        <w:t xml:space="preserve">miast </w:t>
      </w:r>
      <w:r w:rsidR="00624D83" w:rsidRPr="00833C88">
        <w:rPr>
          <w:rFonts w:eastAsia="Times New Roman" w:cs="Times New Roman"/>
          <w:sz w:val="24"/>
          <w:szCs w:val="24"/>
          <w:lang w:eastAsia="pl-PL"/>
        </w:rPr>
        <w:t xml:space="preserve">sprawozdanie końcowe </w:t>
      </w:r>
      <w:r w:rsidR="00601933" w:rsidRPr="00833C88">
        <w:rPr>
          <w:rFonts w:eastAsia="Times New Roman" w:cs="Times New Roman"/>
          <w:sz w:val="24"/>
          <w:szCs w:val="24"/>
          <w:lang w:eastAsia="pl-PL"/>
        </w:rPr>
        <w:t>z </w:t>
      </w:r>
      <w:r w:rsidR="00624D83" w:rsidRPr="00833C88">
        <w:rPr>
          <w:rFonts w:eastAsia="Times New Roman" w:cs="Times New Roman"/>
          <w:sz w:val="24"/>
          <w:szCs w:val="24"/>
          <w:lang w:eastAsia="pl-PL"/>
        </w:rPr>
        <w:t xml:space="preserve">obsługi </w:t>
      </w:r>
      <w:r w:rsidR="00744AF3" w:rsidRPr="00833C88">
        <w:rPr>
          <w:rFonts w:eastAsia="Times New Roman" w:cs="Times New Roman"/>
          <w:sz w:val="24"/>
          <w:szCs w:val="24"/>
          <w:lang w:eastAsia="pl-PL"/>
        </w:rPr>
        <w:t xml:space="preserve">incydentu poważnego </w:t>
      </w:r>
      <w:r w:rsidR="007317AA" w:rsidRPr="00833C88">
        <w:rPr>
          <w:rFonts w:eastAsia="Times New Roman" w:cs="Times New Roman"/>
          <w:sz w:val="24"/>
          <w:szCs w:val="24"/>
          <w:lang w:eastAsia="pl-PL"/>
        </w:rPr>
        <w:t>przekazywane</w:t>
      </w:r>
      <w:r w:rsidR="00553372" w:rsidRPr="00833C88">
        <w:rPr>
          <w:rFonts w:eastAsia="Times New Roman" w:cs="Times New Roman"/>
          <w:sz w:val="24"/>
          <w:szCs w:val="24"/>
          <w:lang w:eastAsia="pl-PL"/>
        </w:rPr>
        <w:t xml:space="preserve"> </w:t>
      </w:r>
      <w:r w:rsidR="007317AA" w:rsidRPr="00833C88">
        <w:rPr>
          <w:rFonts w:eastAsia="Times New Roman" w:cs="Times New Roman"/>
          <w:sz w:val="24"/>
          <w:szCs w:val="24"/>
          <w:lang w:eastAsia="pl-PL"/>
        </w:rPr>
        <w:t xml:space="preserve">będzie </w:t>
      </w:r>
      <w:r w:rsidR="007E3A49" w:rsidRPr="00833C88">
        <w:rPr>
          <w:rFonts w:eastAsia="Times New Roman" w:cs="Times New Roman"/>
          <w:sz w:val="24"/>
          <w:szCs w:val="24"/>
          <w:lang w:eastAsia="pl-PL"/>
        </w:rPr>
        <w:t>nie</w:t>
      </w:r>
      <w:r w:rsidR="005F092B" w:rsidRPr="00833C88">
        <w:rPr>
          <w:rFonts w:eastAsia="Times New Roman" w:cs="Times New Roman"/>
          <w:sz w:val="24"/>
          <w:szCs w:val="24"/>
          <w:lang w:eastAsia="pl-PL"/>
        </w:rPr>
        <w:t xml:space="preserve"> później niż </w:t>
      </w:r>
      <w:r w:rsidR="00601933" w:rsidRPr="00833C88">
        <w:rPr>
          <w:rFonts w:eastAsia="Times New Roman" w:cs="Times New Roman"/>
          <w:sz w:val="24"/>
          <w:szCs w:val="24"/>
          <w:lang w:eastAsia="pl-PL"/>
        </w:rPr>
        <w:t>w </w:t>
      </w:r>
      <w:r w:rsidR="005F092B" w:rsidRPr="00833C88">
        <w:rPr>
          <w:rFonts w:eastAsia="Times New Roman" w:cs="Times New Roman"/>
          <w:sz w:val="24"/>
          <w:szCs w:val="24"/>
          <w:lang w:eastAsia="pl-PL"/>
        </w:rPr>
        <w:t>ciągu miesiąca od dnia zgłoszenia incydentu.</w:t>
      </w:r>
      <w:r w:rsidR="00C7448E" w:rsidRPr="00833C88">
        <w:rPr>
          <w:rFonts w:eastAsia="Times New Roman" w:cs="Times New Roman"/>
          <w:sz w:val="24"/>
          <w:szCs w:val="24"/>
          <w:lang w:eastAsia="pl-PL"/>
        </w:rPr>
        <w:t xml:space="preserve"> Podsumowuje ono obsługę incydentu poważnego</w:t>
      </w:r>
      <w:r w:rsidR="00546894" w:rsidRPr="00833C88">
        <w:rPr>
          <w:rFonts w:eastAsia="Times New Roman" w:cs="Times New Roman"/>
          <w:sz w:val="24"/>
          <w:szCs w:val="24"/>
          <w:lang w:eastAsia="pl-PL"/>
        </w:rPr>
        <w:t>. Zawiera ono:</w:t>
      </w:r>
    </w:p>
    <w:p w14:paraId="3E64C2FC" w14:textId="77777777" w:rsidR="00617002" w:rsidRPr="00833C88" w:rsidRDefault="00617002" w:rsidP="00AE2DE8">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1)</w:t>
      </w:r>
      <w:r w:rsidRPr="00833C88">
        <w:rPr>
          <w:rFonts w:eastAsia="Times New Roman" w:cs="Times New Roman"/>
          <w:sz w:val="24"/>
          <w:szCs w:val="24"/>
          <w:lang w:eastAsia="pl-PL"/>
        </w:rPr>
        <w:tab/>
        <w:t>szczegółowy opis incydentu poważnego, w tym spowodowane zakłócenia i szkody;</w:t>
      </w:r>
    </w:p>
    <w:p w14:paraId="3A9913B7" w14:textId="77777777" w:rsidR="00617002" w:rsidRPr="00833C88" w:rsidRDefault="00617002" w:rsidP="00AE2DE8">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2)</w:t>
      </w:r>
      <w:r w:rsidRPr="00833C88">
        <w:rPr>
          <w:rFonts w:eastAsia="Times New Roman" w:cs="Times New Roman"/>
          <w:sz w:val="24"/>
          <w:szCs w:val="24"/>
          <w:lang w:eastAsia="pl-PL"/>
        </w:rPr>
        <w:tab/>
        <w:t>rodzaj zagrożenia lub przyczynę, która prawdopodobnie była źródłem incydentu;</w:t>
      </w:r>
    </w:p>
    <w:p w14:paraId="1D9628FA" w14:textId="77777777" w:rsidR="00617002" w:rsidRPr="00833C88" w:rsidRDefault="00617002" w:rsidP="00AE2DE8">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3)</w:t>
      </w:r>
      <w:r w:rsidRPr="00833C88">
        <w:rPr>
          <w:rFonts w:eastAsia="Times New Roman" w:cs="Times New Roman"/>
          <w:sz w:val="24"/>
          <w:szCs w:val="24"/>
          <w:lang w:eastAsia="pl-PL"/>
        </w:rPr>
        <w:tab/>
        <w:t>zastosowane i wdrażane środki ograniczające ryzyko;</w:t>
      </w:r>
    </w:p>
    <w:p w14:paraId="55874B4F" w14:textId="24AEBBF7" w:rsidR="00546894" w:rsidRPr="00833C88" w:rsidRDefault="00617002" w:rsidP="00AE2DE8">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4)</w:t>
      </w:r>
      <w:r w:rsidRPr="00833C88">
        <w:rPr>
          <w:rFonts w:eastAsia="Times New Roman" w:cs="Times New Roman"/>
          <w:sz w:val="24"/>
          <w:szCs w:val="24"/>
          <w:lang w:eastAsia="pl-PL"/>
        </w:rPr>
        <w:tab/>
        <w:t>w odpowiednich przypadkach transgraniczne skutki incydentu.</w:t>
      </w:r>
    </w:p>
    <w:p w14:paraId="48A339B6" w14:textId="3DBAFB10" w:rsidR="00617002" w:rsidRPr="00833C88" w:rsidRDefault="00617002" w:rsidP="00617002">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Podsumowując sprawozdanie końcowe </w:t>
      </w:r>
      <w:r w:rsidR="003D2E51" w:rsidRPr="00833C88">
        <w:rPr>
          <w:rFonts w:eastAsia="Times New Roman" w:cs="Times New Roman"/>
          <w:sz w:val="24"/>
          <w:szCs w:val="24"/>
          <w:lang w:eastAsia="pl-PL"/>
        </w:rPr>
        <w:t>opisuje co się stało, przyczynę, działania następcze oraz transgraniczne skutki incydentu.</w:t>
      </w:r>
      <w:r w:rsidR="00704681" w:rsidRPr="00833C88">
        <w:rPr>
          <w:rFonts w:eastAsia="Times New Roman" w:cs="Times New Roman"/>
          <w:sz w:val="24"/>
          <w:szCs w:val="24"/>
          <w:lang w:eastAsia="pl-PL"/>
        </w:rPr>
        <w:t xml:space="preserve"> Dzięki takiemu sprawozdaniu zarówno podmiot kluczowy i podmiot ważny jak i zespół CSIRT są w stanie wyciągnąć wnioski z incydentu na przyszłość, ewentualnie wrócić do dokumentacji obsługi konkretnego incydentu, jeżeli w</w:t>
      </w:r>
      <w:r w:rsidR="005B7564" w:rsidRPr="00833C88">
        <w:rPr>
          <w:rFonts w:eastAsia="Times New Roman" w:cs="Times New Roman"/>
          <w:sz w:val="24"/>
          <w:szCs w:val="24"/>
          <w:lang w:eastAsia="pl-PL"/>
        </w:rPr>
        <w:t> </w:t>
      </w:r>
      <w:r w:rsidR="00704681" w:rsidRPr="00833C88">
        <w:rPr>
          <w:rFonts w:eastAsia="Times New Roman" w:cs="Times New Roman"/>
          <w:sz w:val="24"/>
          <w:szCs w:val="24"/>
          <w:lang w:eastAsia="pl-PL"/>
        </w:rPr>
        <w:t xml:space="preserve">przyszłości </w:t>
      </w:r>
      <w:r w:rsidR="008A10EF" w:rsidRPr="00833C88">
        <w:rPr>
          <w:rFonts w:eastAsia="Times New Roman" w:cs="Times New Roman"/>
          <w:sz w:val="24"/>
          <w:szCs w:val="24"/>
          <w:lang w:eastAsia="pl-PL"/>
        </w:rPr>
        <w:t xml:space="preserve">pojawi się inny podobny incydent. </w:t>
      </w:r>
      <w:r w:rsidR="0042519E" w:rsidRPr="00833C88">
        <w:rPr>
          <w:rFonts w:eastAsia="Times New Roman" w:cs="Times New Roman"/>
          <w:sz w:val="24"/>
          <w:szCs w:val="24"/>
          <w:lang w:eastAsia="pl-PL"/>
        </w:rPr>
        <w:t>Świadomość</w:t>
      </w:r>
      <w:r w:rsidR="008A10EF" w:rsidRPr="00833C88">
        <w:rPr>
          <w:rFonts w:eastAsia="Times New Roman" w:cs="Times New Roman"/>
          <w:sz w:val="24"/>
          <w:szCs w:val="24"/>
          <w:lang w:eastAsia="pl-PL"/>
        </w:rPr>
        <w:t xml:space="preserve"> tego jak postąpiło się z</w:t>
      </w:r>
      <w:r w:rsidR="005B7564" w:rsidRPr="00833C88">
        <w:rPr>
          <w:rFonts w:eastAsia="Times New Roman" w:cs="Times New Roman"/>
          <w:sz w:val="24"/>
          <w:szCs w:val="24"/>
          <w:lang w:eastAsia="pl-PL"/>
        </w:rPr>
        <w:t> </w:t>
      </w:r>
      <w:r w:rsidR="008A10EF" w:rsidRPr="00833C88">
        <w:rPr>
          <w:rFonts w:eastAsia="Times New Roman" w:cs="Times New Roman"/>
          <w:sz w:val="24"/>
          <w:szCs w:val="24"/>
          <w:lang w:eastAsia="pl-PL"/>
        </w:rPr>
        <w:t>podobnym incydentem pomoże przy obsłudze kolejnych tego typu zdarzeń.</w:t>
      </w:r>
    </w:p>
    <w:p w14:paraId="4E841D95" w14:textId="38A2EA1B" w:rsidR="00B4517B" w:rsidRPr="00833C88" w:rsidRDefault="00DE5B09"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Jeżeli jednak </w:t>
      </w:r>
      <w:r w:rsidR="00BA52D5" w:rsidRPr="00833C88">
        <w:rPr>
          <w:rFonts w:eastAsia="Times New Roman" w:cs="Times New Roman"/>
          <w:sz w:val="24"/>
          <w:szCs w:val="24"/>
          <w:lang w:eastAsia="pl-PL"/>
        </w:rPr>
        <w:t xml:space="preserve">obsługa incydentu poważnego nie zakończyła się </w:t>
      </w:r>
      <w:r w:rsidR="00601933" w:rsidRPr="00833C88">
        <w:rPr>
          <w:rFonts w:eastAsia="Times New Roman" w:cs="Times New Roman"/>
          <w:sz w:val="24"/>
          <w:szCs w:val="24"/>
          <w:lang w:eastAsia="pl-PL"/>
        </w:rPr>
        <w:t>w </w:t>
      </w:r>
      <w:r w:rsidR="00005D25" w:rsidRPr="00833C88">
        <w:rPr>
          <w:rFonts w:eastAsia="Times New Roman" w:cs="Times New Roman"/>
          <w:sz w:val="24"/>
          <w:szCs w:val="24"/>
          <w:lang w:eastAsia="pl-PL"/>
        </w:rPr>
        <w:t xml:space="preserve">terminie miesiąca </w:t>
      </w:r>
      <w:r w:rsidR="00867840" w:rsidRPr="00833C88">
        <w:rPr>
          <w:rFonts w:eastAsia="Times New Roman" w:cs="Times New Roman"/>
          <w:sz w:val="24"/>
          <w:szCs w:val="24"/>
          <w:lang w:eastAsia="pl-PL"/>
        </w:rPr>
        <w:t xml:space="preserve">podmiot zgłaszający incydent </w:t>
      </w:r>
      <w:r w:rsidR="00FE7AC6" w:rsidRPr="00833C88">
        <w:rPr>
          <w:rFonts w:eastAsia="Times New Roman" w:cs="Times New Roman"/>
          <w:sz w:val="24"/>
          <w:szCs w:val="24"/>
          <w:lang w:eastAsia="pl-PL"/>
        </w:rPr>
        <w:t>poważny przesyła</w:t>
      </w:r>
      <w:r w:rsidR="00B37BB6" w:rsidRPr="00833C88">
        <w:rPr>
          <w:rFonts w:eastAsia="Times New Roman" w:cs="Times New Roman"/>
          <w:sz w:val="24"/>
          <w:szCs w:val="24"/>
          <w:lang w:eastAsia="pl-PL"/>
        </w:rPr>
        <w:t xml:space="preserve"> sprawozdanie </w:t>
      </w:r>
      <w:r w:rsidR="00601933" w:rsidRPr="00833C88">
        <w:rPr>
          <w:rFonts w:eastAsia="Times New Roman" w:cs="Times New Roman"/>
          <w:sz w:val="24"/>
          <w:szCs w:val="24"/>
          <w:lang w:eastAsia="pl-PL"/>
        </w:rPr>
        <w:t>z </w:t>
      </w:r>
      <w:r w:rsidR="00847FA0" w:rsidRPr="00833C88">
        <w:rPr>
          <w:rFonts w:eastAsia="Times New Roman" w:cs="Times New Roman"/>
          <w:sz w:val="24"/>
          <w:szCs w:val="24"/>
          <w:lang w:eastAsia="pl-PL"/>
        </w:rPr>
        <w:t xml:space="preserve">postępu obsługi incydentu, </w:t>
      </w:r>
      <w:r w:rsidR="00601933" w:rsidRPr="00833C88">
        <w:rPr>
          <w:rFonts w:eastAsia="Times New Roman" w:cs="Times New Roman"/>
          <w:sz w:val="24"/>
          <w:szCs w:val="24"/>
          <w:lang w:eastAsia="pl-PL"/>
        </w:rPr>
        <w:t>a </w:t>
      </w:r>
      <w:r w:rsidR="00847FA0" w:rsidRPr="00833C88">
        <w:rPr>
          <w:rFonts w:eastAsia="Times New Roman" w:cs="Times New Roman"/>
          <w:sz w:val="24"/>
          <w:szCs w:val="24"/>
          <w:lang w:eastAsia="pl-PL"/>
        </w:rPr>
        <w:t xml:space="preserve">sprawozdanie końcowe </w:t>
      </w:r>
      <w:r w:rsidR="00601933" w:rsidRPr="00833C88">
        <w:rPr>
          <w:rFonts w:eastAsia="Times New Roman" w:cs="Times New Roman"/>
          <w:sz w:val="24"/>
          <w:szCs w:val="24"/>
          <w:lang w:eastAsia="pl-PL"/>
        </w:rPr>
        <w:t>w </w:t>
      </w:r>
      <w:r w:rsidR="00FC308E" w:rsidRPr="00833C88">
        <w:rPr>
          <w:rFonts w:eastAsia="Times New Roman" w:cs="Times New Roman"/>
          <w:sz w:val="24"/>
          <w:szCs w:val="24"/>
          <w:lang w:eastAsia="pl-PL"/>
        </w:rPr>
        <w:t>terminie miesiąca od</w:t>
      </w:r>
      <w:r w:rsidR="009B4C26" w:rsidRPr="00833C88">
        <w:rPr>
          <w:rFonts w:eastAsia="Times New Roman" w:cs="Times New Roman"/>
          <w:sz w:val="24"/>
          <w:szCs w:val="24"/>
          <w:lang w:eastAsia="pl-PL"/>
        </w:rPr>
        <w:t> </w:t>
      </w:r>
      <w:r w:rsidR="00FC308E" w:rsidRPr="00833C88">
        <w:rPr>
          <w:rFonts w:eastAsia="Times New Roman" w:cs="Times New Roman"/>
          <w:sz w:val="24"/>
          <w:szCs w:val="24"/>
          <w:lang w:eastAsia="pl-PL"/>
        </w:rPr>
        <w:t xml:space="preserve">zakończenia obsługi tego incydentu. </w:t>
      </w:r>
    </w:p>
    <w:p w14:paraId="2A8AC462" w14:textId="1C37DB10" w:rsidR="0046014C" w:rsidRPr="00833C88" w:rsidRDefault="0046014C" w:rsidP="0029004E">
      <w:pPr>
        <w:spacing w:line="360" w:lineRule="auto"/>
        <w:jc w:val="both"/>
        <w:rPr>
          <w:rFonts w:eastAsia="Times New Roman" w:cs="Times New Roman"/>
          <w:sz w:val="24"/>
          <w:szCs w:val="24"/>
          <w:lang w:eastAsia="pl-PL"/>
        </w:rPr>
      </w:pPr>
      <w:r w:rsidRPr="00833C88">
        <w:rPr>
          <w:rFonts w:eastAsia="Times New Roman" w:cs="Times New Roman"/>
          <w:noProof/>
          <w:sz w:val="24"/>
          <w:szCs w:val="24"/>
          <w:lang w:eastAsia="pl-PL"/>
        </w:rPr>
        <w:lastRenderedPageBreak/>
        <w:drawing>
          <wp:inline distT="0" distB="0" distL="0" distR="0" wp14:anchorId="25DBBF4B" wp14:editId="71060159">
            <wp:extent cx="5486400" cy="3200400"/>
            <wp:effectExtent l="38100" t="0" r="19050" b="19050"/>
            <wp:docPr id="1146865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C45F4D0" w14:textId="2689DFA1" w:rsidR="00A539E4" w:rsidRPr="00833C88" w:rsidRDefault="00A539E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Progi uznania incydentu za </w:t>
      </w:r>
      <w:r w:rsidR="00D66218" w:rsidRPr="00833C88">
        <w:rPr>
          <w:rFonts w:eastAsia="Times New Roman" w:cs="Times New Roman"/>
          <w:sz w:val="24"/>
          <w:szCs w:val="24"/>
          <w:lang w:eastAsia="pl-PL"/>
        </w:rPr>
        <w:t xml:space="preserve">incydent poważny zostaną określone </w:t>
      </w:r>
      <w:r w:rsidR="00601933" w:rsidRPr="00833C88">
        <w:rPr>
          <w:rFonts w:eastAsia="Times New Roman" w:cs="Times New Roman"/>
          <w:sz w:val="24"/>
          <w:szCs w:val="24"/>
          <w:lang w:eastAsia="pl-PL"/>
        </w:rPr>
        <w:t>w </w:t>
      </w:r>
      <w:r w:rsidR="00355038" w:rsidRPr="00833C88">
        <w:rPr>
          <w:rFonts w:eastAsia="Times New Roman" w:cs="Times New Roman"/>
          <w:sz w:val="24"/>
          <w:szCs w:val="24"/>
          <w:lang w:eastAsia="pl-PL"/>
        </w:rPr>
        <w:t xml:space="preserve">drodze rozporządzenia </w:t>
      </w:r>
      <w:r w:rsidR="00D66218" w:rsidRPr="00833C88">
        <w:rPr>
          <w:rFonts w:eastAsia="Times New Roman" w:cs="Times New Roman"/>
          <w:sz w:val="24"/>
          <w:szCs w:val="24"/>
          <w:lang w:eastAsia="pl-PL"/>
        </w:rPr>
        <w:t>przez Radę Ministr</w:t>
      </w:r>
      <w:r w:rsidR="00355038" w:rsidRPr="00833C88">
        <w:rPr>
          <w:rFonts w:eastAsia="Times New Roman" w:cs="Times New Roman"/>
          <w:sz w:val="24"/>
          <w:szCs w:val="24"/>
          <w:lang w:eastAsia="pl-PL"/>
        </w:rPr>
        <w:t>ów</w:t>
      </w:r>
      <w:r w:rsidR="00F72A9A" w:rsidRPr="00833C88">
        <w:rPr>
          <w:rFonts w:eastAsia="Times New Roman" w:cs="Times New Roman"/>
          <w:sz w:val="24"/>
          <w:szCs w:val="24"/>
          <w:lang w:eastAsia="pl-PL"/>
        </w:rPr>
        <w:t>.</w:t>
      </w:r>
      <w:r w:rsidR="002439FC" w:rsidRPr="00833C88">
        <w:rPr>
          <w:rFonts w:eastAsia="Times New Roman" w:cs="Times New Roman"/>
          <w:sz w:val="24"/>
          <w:szCs w:val="24"/>
          <w:lang w:eastAsia="pl-PL"/>
        </w:rPr>
        <w:t xml:space="preserve"> Przy czym </w:t>
      </w:r>
      <w:r w:rsidR="00601933" w:rsidRPr="00833C88">
        <w:rPr>
          <w:rFonts w:eastAsia="Times New Roman" w:cs="Times New Roman"/>
          <w:sz w:val="24"/>
          <w:szCs w:val="24"/>
          <w:lang w:eastAsia="pl-PL"/>
        </w:rPr>
        <w:t>w </w:t>
      </w:r>
      <w:r w:rsidR="002439FC" w:rsidRPr="00833C88">
        <w:rPr>
          <w:rFonts w:eastAsia="Times New Roman" w:cs="Times New Roman"/>
          <w:sz w:val="24"/>
          <w:szCs w:val="24"/>
          <w:lang w:eastAsia="pl-PL"/>
        </w:rPr>
        <w:t xml:space="preserve">tym rozporządzeniu nie będą określone progi incydentów dla podmiotów, dla których progi te ustaliła Komisja Europejska </w:t>
      </w:r>
      <w:r w:rsidR="00601933" w:rsidRPr="00833C88">
        <w:rPr>
          <w:rFonts w:eastAsia="Times New Roman" w:cs="Times New Roman"/>
          <w:sz w:val="24"/>
          <w:szCs w:val="24"/>
          <w:lang w:eastAsia="pl-PL"/>
        </w:rPr>
        <w:t>w </w:t>
      </w:r>
      <w:r w:rsidR="002439FC" w:rsidRPr="00833C88">
        <w:rPr>
          <w:rFonts w:eastAsia="Times New Roman" w:cs="Times New Roman"/>
          <w:sz w:val="24"/>
          <w:szCs w:val="24"/>
          <w:lang w:eastAsia="pl-PL"/>
        </w:rPr>
        <w:t>bezpośrednio stosowalnym akcie wykonawczym wydanym na podstawie art. 23 ust. 11 dyrektywy NIS 2.</w:t>
      </w:r>
      <w:r w:rsidR="008B6371" w:rsidRPr="00833C88">
        <w:rPr>
          <w:rFonts w:eastAsia="Times New Roman" w:cs="Times New Roman"/>
          <w:sz w:val="24"/>
          <w:szCs w:val="24"/>
          <w:lang w:eastAsia="pl-PL"/>
        </w:rPr>
        <w:t xml:space="preserve"> Prawo krajowe nie może wkraczać </w:t>
      </w:r>
      <w:r w:rsidR="00601933" w:rsidRPr="00833C88">
        <w:rPr>
          <w:rFonts w:eastAsia="Times New Roman" w:cs="Times New Roman"/>
          <w:sz w:val="24"/>
          <w:szCs w:val="24"/>
          <w:lang w:eastAsia="pl-PL"/>
        </w:rPr>
        <w:t>w </w:t>
      </w:r>
      <w:r w:rsidR="008B6371" w:rsidRPr="00833C88">
        <w:rPr>
          <w:rFonts w:eastAsia="Times New Roman" w:cs="Times New Roman"/>
          <w:sz w:val="24"/>
          <w:szCs w:val="24"/>
          <w:lang w:eastAsia="pl-PL"/>
        </w:rPr>
        <w:t>kwestie uregulowane bezpośrednio stosowalnym akcie prawa unijnego.</w:t>
      </w:r>
    </w:p>
    <w:p w14:paraId="6D23A3E6" w14:textId="69968075" w:rsidR="007A2C99" w:rsidRPr="00833C88" w:rsidRDefault="00CD3F1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dyrektywy NIS 2 jak i nowelizacji przewidują także obowiązek </w:t>
      </w:r>
      <w:r w:rsidR="00B719ED" w:rsidRPr="00833C88">
        <w:rPr>
          <w:rFonts w:eastAsia="Times New Roman" w:cs="Times New Roman"/>
          <w:sz w:val="24"/>
          <w:szCs w:val="24"/>
          <w:lang w:eastAsia="pl-PL"/>
        </w:rPr>
        <w:t xml:space="preserve">poinformowania użytkowników podmiotu kluczowego lub podmiotu ważnego o </w:t>
      </w:r>
      <w:r w:rsidR="00B643C0" w:rsidRPr="00833C88">
        <w:rPr>
          <w:rFonts w:eastAsia="Times New Roman" w:cs="Times New Roman"/>
          <w:sz w:val="24"/>
          <w:szCs w:val="24"/>
          <w:lang w:eastAsia="pl-PL"/>
        </w:rPr>
        <w:t xml:space="preserve">możliwych środkach zapobiegawczych przed poważnym </w:t>
      </w:r>
      <w:proofErr w:type="spellStart"/>
      <w:r w:rsidR="00B643C0" w:rsidRPr="00833C88">
        <w:rPr>
          <w:rFonts w:eastAsia="Times New Roman" w:cs="Times New Roman"/>
          <w:sz w:val="24"/>
          <w:szCs w:val="24"/>
          <w:lang w:eastAsia="pl-PL"/>
        </w:rPr>
        <w:t>cyberzagrożeniem</w:t>
      </w:r>
      <w:proofErr w:type="spellEnd"/>
      <w:r w:rsidR="00B643C0" w:rsidRPr="00833C88">
        <w:rPr>
          <w:rFonts w:eastAsia="Times New Roman" w:cs="Times New Roman"/>
          <w:sz w:val="24"/>
          <w:szCs w:val="24"/>
          <w:lang w:eastAsia="pl-PL"/>
        </w:rPr>
        <w:t xml:space="preserve">. </w:t>
      </w:r>
      <w:r w:rsidR="00B50D3E" w:rsidRPr="00833C88">
        <w:rPr>
          <w:rFonts w:eastAsia="Times New Roman" w:cs="Times New Roman"/>
          <w:sz w:val="24"/>
          <w:szCs w:val="24"/>
          <w:lang w:eastAsia="pl-PL"/>
        </w:rPr>
        <w:t>Przydatny do realizacji tego obowiązku może być ten szablon</w:t>
      </w:r>
      <w:r w:rsidR="00AA37B5" w:rsidRPr="00833C88">
        <w:rPr>
          <w:rStyle w:val="Odwoanieprzypisudolnego"/>
          <w:rFonts w:eastAsia="Times New Roman" w:cs="Times New Roman"/>
          <w:sz w:val="24"/>
          <w:szCs w:val="24"/>
          <w:lang w:eastAsia="pl-PL"/>
        </w:rPr>
        <w:footnoteReference w:id="42"/>
      </w:r>
      <w:r w:rsidR="00EB49FB" w:rsidRPr="00833C88">
        <w:rPr>
          <w:rFonts w:eastAsia="Times New Roman" w:cs="Times New Roman"/>
          <w:sz w:val="24"/>
          <w:szCs w:val="24"/>
          <w:vertAlign w:val="superscript"/>
          <w:lang w:eastAsia="pl-PL"/>
        </w:rPr>
        <w:t>)</w:t>
      </w:r>
      <w:r w:rsidR="00B50D3E" w:rsidRPr="00833C88">
        <w:rPr>
          <w:rFonts w:eastAsia="Times New Roman" w:cs="Times New Roman"/>
          <w:sz w:val="24"/>
          <w:szCs w:val="24"/>
          <w:lang w:eastAsia="pl-PL"/>
        </w:rPr>
        <w:t>:</w:t>
      </w:r>
    </w:p>
    <w:tbl>
      <w:tblPr>
        <w:tblStyle w:val="Tabela-Siatka"/>
        <w:tblW w:w="5000" w:type="pct"/>
        <w:tblLook w:val="04A0" w:firstRow="1" w:lastRow="0" w:firstColumn="1" w:lastColumn="0" w:noHBand="0" w:noVBand="1"/>
      </w:tblPr>
      <w:tblGrid>
        <w:gridCol w:w="4742"/>
        <w:gridCol w:w="4274"/>
      </w:tblGrid>
      <w:tr w:rsidR="00B50D3E" w:rsidRPr="00833C88" w14:paraId="44E930AF" w14:textId="77777777">
        <w:tc>
          <w:tcPr>
            <w:tcW w:w="2630" w:type="pct"/>
          </w:tcPr>
          <w:p w14:paraId="3266A5B1" w14:textId="77777777" w:rsidR="00B50D3E" w:rsidRPr="00833C88" w:rsidRDefault="00B50D3E" w:rsidP="00B50D3E">
            <w:pPr>
              <w:pStyle w:val="Akapitzlist"/>
              <w:numPr>
                <w:ilvl w:val="0"/>
                <w:numId w:val="81"/>
              </w:numPr>
              <w:spacing w:after="0"/>
              <w:rPr>
                <w:rFonts w:cs="Times New Roman"/>
              </w:rPr>
            </w:pPr>
            <w:r w:rsidRPr="00833C88">
              <w:rPr>
                <w:rFonts w:cs="Times New Roman"/>
              </w:rPr>
              <w:t xml:space="preserve">Informacja o </w:t>
            </w:r>
            <w:proofErr w:type="spellStart"/>
            <w:r w:rsidRPr="00833C88">
              <w:rPr>
                <w:rFonts w:cs="Times New Roman"/>
              </w:rPr>
              <w:t>cyberzagrożeniu</w:t>
            </w:r>
            <w:proofErr w:type="spellEnd"/>
          </w:p>
        </w:tc>
        <w:tc>
          <w:tcPr>
            <w:tcW w:w="2370" w:type="pct"/>
          </w:tcPr>
          <w:p w14:paraId="26EF49A6" w14:textId="77777777" w:rsidR="00B50D3E" w:rsidRPr="00833C88" w:rsidRDefault="00B50D3E">
            <w:pPr>
              <w:rPr>
                <w:rFonts w:cs="Times New Roman"/>
              </w:rPr>
            </w:pPr>
          </w:p>
        </w:tc>
      </w:tr>
      <w:tr w:rsidR="00B50D3E" w:rsidRPr="00833C88" w14:paraId="3306E831" w14:textId="77777777">
        <w:tc>
          <w:tcPr>
            <w:tcW w:w="2630" w:type="pct"/>
          </w:tcPr>
          <w:p w14:paraId="40FD7913"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Nazwa</w:t>
            </w:r>
          </w:p>
        </w:tc>
        <w:tc>
          <w:tcPr>
            <w:tcW w:w="2370" w:type="pct"/>
          </w:tcPr>
          <w:p w14:paraId="571A9D07" w14:textId="77777777" w:rsidR="00B50D3E" w:rsidRPr="00833C88" w:rsidRDefault="00B50D3E" w:rsidP="005B7564">
            <w:pPr>
              <w:jc w:val="both"/>
              <w:rPr>
                <w:rFonts w:cs="Times New Roman"/>
              </w:rPr>
            </w:pPr>
            <w:r w:rsidRPr="00833C88">
              <w:rPr>
                <w:rFonts w:cs="Times New Roman"/>
              </w:rPr>
              <w:t>Ogólna nazwa zagrożenia</w:t>
            </w:r>
          </w:p>
        </w:tc>
      </w:tr>
      <w:tr w:rsidR="00B50D3E" w:rsidRPr="00833C88" w14:paraId="697C650C" w14:textId="77777777">
        <w:tc>
          <w:tcPr>
            <w:tcW w:w="2630" w:type="pct"/>
          </w:tcPr>
          <w:p w14:paraId="2B0660B1"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Data</w:t>
            </w:r>
          </w:p>
        </w:tc>
        <w:tc>
          <w:tcPr>
            <w:tcW w:w="2370" w:type="pct"/>
          </w:tcPr>
          <w:p w14:paraId="2EB82551" w14:textId="77777777" w:rsidR="00B50D3E" w:rsidRPr="00833C88" w:rsidRDefault="00B50D3E" w:rsidP="005B7564">
            <w:pPr>
              <w:jc w:val="both"/>
              <w:rPr>
                <w:rFonts w:cs="Times New Roman"/>
              </w:rPr>
            </w:pPr>
            <w:r w:rsidRPr="00833C88">
              <w:rPr>
                <w:rFonts w:cs="Times New Roman"/>
              </w:rPr>
              <w:t>data</w:t>
            </w:r>
          </w:p>
        </w:tc>
      </w:tr>
      <w:tr w:rsidR="00B50D3E" w:rsidRPr="00833C88" w14:paraId="1821F9FE" w14:textId="77777777">
        <w:tc>
          <w:tcPr>
            <w:tcW w:w="2630" w:type="pct"/>
          </w:tcPr>
          <w:p w14:paraId="643D6848"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Opis</w:t>
            </w:r>
          </w:p>
        </w:tc>
        <w:tc>
          <w:tcPr>
            <w:tcW w:w="2370" w:type="pct"/>
          </w:tcPr>
          <w:p w14:paraId="22D673B7" w14:textId="77777777" w:rsidR="00B50D3E" w:rsidRPr="00833C88" w:rsidRDefault="00B50D3E" w:rsidP="005B7564">
            <w:pPr>
              <w:jc w:val="both"/>
              <w:rPr>
                <w:rFonts w:cs="Times New Roman"/>
              </w:rPr>
            </w:pPr>
            <w:r w:rsidRPr="00833C88">
              <w:rPr>
                <w:rFonts w:cs="Times New Roman"/>
              </w:rPr>
              <w:t>Krótki opis zagrożenia</w:t>
            </w:r>
          </w:p>
        </w:tc>
      </w:tr>
      <w:tr w:rsidR="00B50D3E" w:rsidRPr="00833C88" w14:paraId="68ECB9E3" w14:textId="77777777">
        <w:tc>
          <w:tcPr>
            <w:tcW w:w="2630" w:type="pct"/>
          </w:tcPr>
          <w:p w14:paraId="6A8035D3"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Źródła</w:t>
            </w:r>
          </w:p>
        </w:tc>
        <w:tc>
          <w:tcPr>
            <w:tcW w:w="2370" w:type="pct"/>
          </w:tcPr>
          <w:p w14:paraId="539DD477" w14:textId="77777777" w:rsidR="00B50D3E" w:rsidRPr="00833C88" w:rsidRDefault="00B50D3E" w:rsidP="005B7564">
            <w:pPr>
              <w:jc w:val="both"/>
              <w:rPr>
                <w:rFonts w:cs="Times New Roman"/>
              </w:rPr>
            </w:pPr>
            <w:r w:rsidRPr="00833C88">
              <w:rPr>
                <w:rFonts w:cs="Times New Roman"/>
              </w:rPr>
              <w:t xml:space="preserve">Źródło pozyskania informacji o </w:t>
            </w:r>
            <w:proofErr w:type="spellStart"/>
            <w:r w:rsidRPr="00833C88">
              <w:rPr>
                <w:rFonts w:cs="Times New Roman"/>
              </w:rPr>
              <w:t>cyberzagrożeniu</w:t>
            </w:r>
            <w:proofErr w:type="spellEnd"/>
          </w:p>
        </w:tc>
      </w:tr>
      <w:tr w:rsidR="00B50D3E" w:rsidRPr="00833C88" w14:paraId="6AA94D67" w14:textId="77777777">
        <w:tc>
          <w:tcPr>
            <w:tcW w:w="2630" w:type="pct"/>
          </w:tcPr>
          <w:p w14:paraId="5CA41F71"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 xml:space="preserve">Charakter </w:t>
            </w:r>
            <w:proofErr w:type="spellStart"/>
            <w:r w:rsidRPr="00833C88">
              <w:rPr>
                <w:rFonts w:cs="Times New Roman"/>
              </w:rPr>
              <w:t>cyberzagrożenia</w:t>
            </w:r>
            <w:proofErr w:type="spellEnd"/>
          </w:p>
        </w:tc>
        <w:tc>
          <w:tcPr>
            <w:tcW w:w="2370" w:type="pct"/>
          </w:tcPr>
          <w:p w14:paraId="1F57140F" w14:textId="77777777" w:rsidR="00B50D3E" w:rsidRPr="00833C88" w:rsidRDefault="00B50D3E" w:rsidP="005B7564">
            <w:pPr>
              <w:jc w:val="both"/>
              <w:rPr>
                <w:rFonts w:cs="Times New Roman"/>
              </w:rPr>
            </w:pPr>
            <w:r w:rsidRPr="00833C88">
              <w:rPr>
                <w:rFonts w:cs="Times New Roman"/>
              </w:rPr>
              <w:t>Np. awaria systemu, błąd ludzki, zjawiska naturalne, złośliwe działanie (</w:t>
            </w:r>
            <w:proofErr w:type="spellStart"/>
            <w:r w:rsidRPr="00833C88">
              <w:rPr>
                <w:rFonts w:cs="Times New Roman"/>
              </w:rPr>
              <w:t>malicious</w:t>
            </w:r>
            <w:proofErr w:type="spellEnd"/>
            <w:r w:rsidRPr="00833C88">
              <w:rPr>
                <w:rFonts w:cs="Times New Roman"/>
              </w:rPr>
              <w:t xml:space="preserve"> </w:t>
            </w:r>
            <w:proofErr w:type="spellStart"/>
            <w:r w:rsidRPr="00833C88">
              <w:rPr>
                <w:rFonts w:cs="Times New Roman"/>
              </w:rPr>
              <w:t>action</w:t>
            </w:r>
            <w:proofErr w:type="spellEnd"/>
            <w:r w:rsidRPr="00833C88">
              <w:rPr>
                <w:rFonts w:cs="Times New Roman"/>
              </w:rPr>
              <w:t>), błędy po stronie osób trzecich</w:t>
            </w:r>
          </w:p>
        </w:tc>
      </w:tr>
      <w:tr w:rsidR="00B50D3E" w:rsidRPr="00833C88" w14:paraId="5D297322" w14:textId="77777777">
        <w:tc>
          <w:tcPr>
            <w:tcW w:w="2630" w:type="pct"/>
          </w:tcPr>
          <w:p w14:paraId="7C0B4CF8" w14:textId="71D7DA85" w:rsidR="00B50D3E" w:rsidRPr="00833C88" w:rsidRDefault="00B50D3E" w:rsidP="005B7564">
            <w:pPr>
              <w:pStyle w:val="Akapitzlist"/>
              <w:numPr>
                <w:ilvl w:val="1"/>
                <w:numId w:val="81"/>
              </w:numPr>
              <w:spacing w:after="0"/>
              <w:jc w:val="both"/>
              <w:rPr>
                <w:rFonts w:cs="Times New Roman"/>
              </w:rPr>
            </w:pPr>
            <w:r w:rsidRPr="00833C88">
              <w:rPr>
                <w:rFonts w:cs="Times New Roman"/>
              </w:rPr>
              <w:lastRenderedPageBreak/>
              <w:t xml:space="preserve">Prawdopodobny wpływ na systemy </w:t>
            </w:r>
            <w:r w:rsidR="00595C98" w:rsidRPr="00833C88">
              <w:rPr>
                <w:rFonts w:cs="Times New Roman"/>
              </w:rPr>
              <w:t xml:space="preserve">informacyjne </w:t>
            </w:r>
            <w:r w:rsidRPr="00833C88">
              <w:rPr>
                <w:rFonts w:cs="Times New Roman"/>
              </w:rPr>
              <w:t>i usługi</w:t>
            </w:r>
          </w:p>
        </w:tc>
        <w:tc>
          <w:tcPr>
            <w:tcW w:w="2370" w:type="pct"/>
          </w:tcPr>
          <w:p w14:paraId="5894BD27" w14:textId="7611F90C" w:rsidR="00B50D3E" w:rsidRPr="00833C88" w:rsidRDefault="00B50D3E" w:rsidP="005B7564">
            <w:pPr>
              <w:jc w:val="both"/>
              <w:rPr>
                <w:rFonts w:cs="Times New Roman"/>
              </w:rPr>
            </w:pPr>
            <w:r w:rsidRPr="00833C88">
              <w:rPr>
                <w:rFonts w:cs="Times New Roman"/>
              </w:rPr>
              <w:t>Opisać prawdopodobny wpływ na systemy i usługi</w:t>
            </w:r>
            <w:r w:rsidR="00B962C9" w:rsidRPr="00833C88">
              <w:rPr>
                <w:rFonts w:cs="Times New Roman"/>
              </w:rPr>
              <w:t xml:space="preserve"> na podstawie dostępnej wiedzy.</w:t>
            </w:r>
          </w:p>
        </w:tc>
      </w:tr>
      <w:tr w:rsidR="00B50D3E" w:rsidRPr="00833C88" w14:paraId="37B873EE" w14:textId="77777777">
        <w:tc>
          <w:tcPr>
            <w:tcW w:w="2630" w:type="pct"/>
          </w:tcPr>
          <w:p w14:paraId="1A32C3C2" w14:textId="77777777" w:rsidR="00B50D3E" w:rsidRPr="00833C88" w:rsidRDefault="00B50D3E" w:rsidP="005B7564">
            <w:pPr>
              <w:pStyle w:val="Akapitzlist"/>
              <w:numPr>
                <w:ilvl w:val="0"/>
                <w:numId w:val="81"/>
              </w:numPr>
              <w:spacing w:after="0"/>
              <w:jc w:val="both"/>
              <w:rPr>
                <w:rFonts w:cs="Times New Roman"/>
              </w:rPr>
            </w:pPr>
            <w:r w:rsidRPr="00833C88">
              <w:rPr>
                <w:rFonts w:cs="Times New Roman"/>
              </w:rPr>
              <w:t>Kiedy komunikować?</w:t>
            </w:r>
          </w:p>
        </w:tc>
        <w:tc>
          <w:tcPr>
            <w:tcW w:w="2370" w:type="pct"/>
          </w:tcPr>
          <w:p w14:paraId="288CAC3D" w14:textId="77777777" w:rsidR="00B50D3E" w:rsidRPr="00833C88" w:rsidRDefault="00B50D3E" w:rsidP="005B7564">
            <w:pPr>
              <w:jc w:val="both"/>
              <w:rPr>
                <w:rFonts w:cs="Times New Roman"/>
              </w:rPr>
            </w:pPr>
          </w:p>
        </w:tc>
      </w:tr>
      <w:tr w:rsidR="00B50D3E" w:rsidRPr="00833C88" w14:paraId="0EF23D2E" w14:textId="77777777">
        <w:tc>
          <w:tcPr>
            <w:tcW w:w="2630" w:type="pct"/>
          </w:tcPr>
          <w:p w14:paraId="3A444E26"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 xml:space="preserve">Właściwości techniczne </w:t>
            </w:r>
            <w:proofErr w:type="spellStart"/>
            <w:r w:rsidRPr="00833C88">
              <w:rPr>
                <w:rFonts w:cs="Times New Roman"/>
              </w:rPr>
              <w:t>cyberzagrożenia</w:t>
            </w:r>
            <w:proofErr w:type="spellEnd"/>
          </w:p>
        </w:tc>
        <w:tc>
          <w:tcPr>
            <w:tcW w:w="2370" w:type="pct"/>
          </w:tcPr>
          <w:p w14:paraId="6976D5BA" w14:textId="77777777" w:rsidR="00B50D3E" w:rsidRPr="00833C88" w:rsidRDefault="00B50D3E" w:rsidP="005B7564">
            <w:pPr>
              <w:jc w:val="both"/>
              <w:rPr>
                <w:rFonts w:cs="Times New Roman"/>
              </w:rPr>
            </w:pPr>
            <w:r w:rsidRPr="00833C88">
              <w:rPr>
                <w:rFonts w:cs="Times New Roman"/>
              </w:rPr>
              <w:t xml:space="preserve">Krótki opis szczegółów technicznych </w:t>
            </w:r>
            <w:proofErr w:type="spellStart"/>
            <w:r w:rsidRPr="00833C88">
              <w:rPr>
                <w:rFonts w:cs="Times New Roman"/>
              </w:rPr>
              <w:t>cyberzagrożenia</w:t>
            </w:r>
            <w:proofErr w:type="spellEnd"/>
          </w:p>
        </w:tc>
      </w:tr>
      <w:tr w:rsidR="00B50D3E" w:rsidRPr="00833C88" w14:paraId="706625CF" w14:textId="77777777">
        <w:tc>
          <w:tcPr>
            <w:tcW w:w="2630" w:type="pct"/>
          </w:tcPr>
          <w:p w14:paraId="7E21C3CE"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 xml:space="preserve">Czy </w:t>
            </w:r>
            <w:proofErr w:type="spellStart"/>
            <w:r w:rsidRPr="00833C88">
              <w:rPr>
                <w:rFonts w:cs="Times New Roman"/>
              </w:rPr>
              <w:t>cyberzagrożenie</w:t>
            </w:r>
            <w:proofErr w:type="spellEnd"/>
            <w:r w:rsidRPr="00833C88">
              <w:rPr>
                <w:rFonts w:cs="Times New Roman"/>
              </w:rPr>
              <w:t xml:space="preserve"> może mieć wpływ na bezpieczeństwo systemów informacyjnych?</w:t>
            </w:r>
          </w:p>
        </w:tc>
        <w:tc>
          <w:tcPr>
            <w:tcW w:w="2370" w:type="pct"/>
          </w:tcPr>
          <w:p w14:paraId="7061BB95" w14:textId="77777777" w:rsidR="00B50D3E" w:rsidRPr="00833C88" w:rsidRDefault="00B50D3E" w:rsidP="005B7564">
            <w:pPr>
              <w:jc w:val="both"/>
              <w:rPr>
                <w:rFonts w:cs="Times New Roman"/>
              </w:rPr>
            </w:pPr>
            <w:r w:rsidRPr="00833C88">
              <w:rPr>
                <w:rFonts w:cs="Times New Roman"/>
              </w:rPr>
              <w:t>Tak lub Nie</w:t>
            </w:r>
          </w:p>
        </w:tc>
      </w:tr>
      <w:tr w:rsidR="00B50D3E" w:rsidRPr="00833C88" w14:paraId="42ABCE22" w14:textId="77777777">
        <w:tc>
          <w:tcPr>
            <w:tcW w:w="2630" w:type="pct"/>
          </w:tcPr>
          <w:p w14:paraId="19C55895" w14:textId="79CA4DC5" w:rsidR="00B50D3E" w:rsidRPr="00833C88" w:rsidRDefault="00B50D3E" w:rsidP="005B7564">
            <w:pPr>
              <w:pStyle w:val="Akapitzlist"/>
              <w:numPr>
                <w:ilvl w:val="1"/>
                <w:numId w:val="81"/>
              </w:numPr>
              <w:spacing w:after="0"/>
              <w:jc w:val="both"/>
              <w:rPr>
                <w:rFonts w:cs="Times New Roman"/>
              </w:rPr>
            </w:pPr>
            <w:r w:rsidRPr="00833C88">
              <w:rPr>
                <w:rFonts w:cs="Times New Roman"/>
              </w:rPr>
              <w:t xml:space="preserve">Czy </w:t>
            </w:r>
            <w:proofErr w:type="spellStart"/>
            <w:r w:rsidRPr="00833C88">
              <w:rPr>
                <w:rFonts w:cs="Times New Roman"/>
              </w:rPr>
              <w:t>cyberzagrożenie</w:t>
            </w:r>
            <w:proofErr w:type="spellEnd"/>
            <w:r w:rsidRPr="00833C88">
              <w:rPr>
                <w:rFonts w:cs="Times New Roman"/>
              </w:rPr>
              <w:t xml:space="preserve"> może </w:t>
            </w:r>
            <w:r w:rsidR="00595C98" w:rsidRPr="00833C88">
              <w:rPr>
                <w:rFonts w:cs="Times New Roman"/>
              </w:rPr>
              <w:t xml:space="preserve">mieć </w:t>
            </w:r>
            <w:r w:rsidRPr="00833C88">
              <w:rPr>
                <w:rFonts w:cs="Times New Roman"/>
              </w:rPr>
              <w:t>wpływ na użytkowników?</w:t>
            </w:r>
          </w:p>
        </w:tc>
        <w:tc>
          <w:tcPr>
            <w:tcW w:w="2370" w:type="pct"/>
          </w:tcPr>
          <w:p w14:paraId="42E412A3" w14:textId="77777777" w:rsidR="00B50D3E" w:rsidRPr="00833C88" w:rsidRDefault="00B50D3E" w:rsidP="005B7564">
            <w:pPr>
              <w:jc w:val="both"/>
              <w:rPr>
                <w:rFonts w:cs="Times New Roman"/>
              </w:rPr>
            </w:pPr>
            <w:r w:rsidRPr="00833C88">
              <w:rPr>
                <w:rFonts w:cs="Times New Roman"/>
              </w:rPr>
              <w:t>Tak lub NIE</w:t>
            </w:r>
          </w:p>
        </w:tc>
      </w:tr>
      <w:tr w:rsidR="00B50D3E" w:rsidRPr="00833C88" w14:paraId="54C508F7" w14:textId="77777777">
        <w:tc>
          <w:tcPr>
            <w:tcW w:w="2630" w:type="pct"/>
          </w:tcPr>
          <w:p w14:paraId="540FBCCD"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Czy ten wpływ jest poważny?</w:t>
            </w:r>
          </w:p>
        </w:tc>
        <w:tc>
          <w:tcPr>
            <w:tcW w:w="2370" w:type="pct"/>
          </w:tcPr>
          <w:p w14:paraId="7ACAE520" w14:textId="71696176" w:rsidR="00B50D3E" w:rsidRPr="00833C88" w:rsidRDefault="00B50D3E" w:rsidP="005B7564">
            <w:pPr>
              <w:jc w:val="both"/>
              <w:rPr>
                <w:rFonts w:cs="Times New Roman"/>
              </w:rPr>
            </w:pPr>
            <w:r w:rsidRPr="00833C88">
              <w:rPr>
                <w:rFonts w:cs="Times New Roman"/>
              </w:rPr>
              <w:t>Należy oszacować wpływ w oparciu o</w:t>
            </w:r>
            <w:r w:rsidR="00662962">
              <w:rPr>
                <w:rFonts w:cs="Times New Roman"/>
              </w:rPr>
              <w:t> </w:t>
            </w:r>
            <w:r w:rsidRPr="00833C88">
              <w:rPr>
                <w:rFonts w:cs="Times New Roman"/>
              </w:rPr>
              <w:t xml:space="preserve">przyjętą w organizacji metodę szacowania ryzyka. Na pewno wpływ </w:t>
            </w:r>
            <w:proofErr w:type="spellStart"/>
            <w:r w:rsidRPr="00833C88">
              <w:rPr>
                <w:rFonts w:cs="Times New Roman"/>
              </w:rPr>
              <w:t>cyberzagrożenia</w:t>
            </w:r>
            <w:proofErr w:type="spellEnd"/>
            <w:r w:rsidRPr="00833C88">
              <w:rPr>
                <w:rFonts w:cs="Times New Roman"/>
              </w:rPr>
              <w:t xml:space="preserve"> będzie większy, jeśli nie jest to typowe lub generalnie występujące </w:t>
            </w:r>
            <w:proofErr w:type="spellStart"/>
            <w:r w:rsidRPr="00833C88">
              <w:rPr>
                <w:rFonts w:cs="Times New Roman"/>
              </w:rPr>
              <w:t>cyberzagrożenie</w:t>
            </w:r>
            <w:proofErr w:type="spellEnd"/>
            <w:r w:rsidRPr="00833C88">
              <w:rPr>
                <w:rFonts w:cs="Times New Roman"/>
              </w:rPr>
              <w:t xml:space="preserve">. Ponadto </w:t>
            </w:r>
          </w:p>
        </w:tc>
      </w:tr>
      <w:tr w:rsidR="00B50D3E" w:rsidRPr="00833C88" w14:paraId="61E5757C" w14:textId="77777777">
        <w:tc>
          <w:tcPr>
            <w:tcW w:w="5000" w:type="pct"/>
            <w:gridSpan w:val="2"/>
          </w:tcPr>
          <w:p w14:paraId="25F5CDD0" w14:textId="77777777" w:rsidR="00B50D3E" w:rsidRPr="00833C88" w:rsidRDefault="00B50D3E">
            <w:pPr>
              <w:jc w:val="center"/>
              <w:rPr>
                <w:rFonts w:cs="Times New Roman"/>
                <w:i/>
                <w:iCs/>
              </w:rPr>
            </w:pPr>
            <w:r w:rsidRPr="00833C88">
              <w:rPr>
                <w:rFonts w:cs="Times New Roman"/>
                <w:i/>
                <w:iCs/>
              </w:rPr>
              <w:t>Jeśli na 2.2 lub 2.3 oraz 2.4 odpowiedź brzmi TAK</w:t>
            </w:r>
          </w:p>
        </w:tc>
      </w:tr>
      <w:tr w:rsidR="00B50D3E" w:rsidRPr="00833C88" w14:paraId="04D4E37D" w14:textId="77777777">
        <w:tc>
          <w:tcPr>
            <w:tcW w:w="2630" w:type="pct"/>
          </w:tcPr>
          <w:p w14:paraId="3AD8F67B"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Czy może wywołać szkodę materialną – jaką?</w:t>
            </w:r>
          </w:p>
        </w:tc>
        <w:tc>
          <w:tcPr>
            <w:tcW w:w="2370" w:type="pct"/>
          </w:tcPr>
          <w:p w14:paraId="30749DC2" w14:textId="38AC15C1" w:rsidR="00B50D3E" w:rsidRPr="00833C88" w:rsidRDefault="00B50D3E" w:rsidP="005B7564">
            <w:pPr>
              <w:jc w:val="both"/>
              <w:rPr>
                <w:rFonts w:cs="Times New Roman"/>
              </w:rPr>
            </w:pPr>
            <w:r w:rsidRPr="00833C88">
              <w:rPr>
                <w:rFonts w:cs="Times New Roman"/>
              </w:rPr>
              <w:t xml:space="preserve">Opisać krótko możliwe szkody materialne, które może wywołać </w:t>
            </w:r>
            <w:proofErr w:type="spellStart"/>
            <w:r w:rsidRPr="00833C88">
              <w:rPr>
                <w:rFonts w:cs="Times New Roman"/>
              </w:rPr>
              <w:t>cyberzagrożenie</w:t>
            </w:r>
            <w:proofErr w:type="spellEnd"/>
            <w:r w:rsidRPr="00833C88">
              <w:rPr>
                <w:rFonts w:cs="Times New Roman"/>
              </w:rPr>
              <w:t xml:space="preserve"> – wedle najlepszej dostępnej wiedzy – nie chodzi o</w:t>
            </w:r>
            <w:r w:rsidR="00662962">
              <w:rPr>
                <w:rFonts w:cs="Times New Roman"/>
              </w:rPr>
              <w:t> </w:t>
            </w:r>
            <w:r w:rsidRPr="00833C88">
              <w:rPr>
                <w:rFonts w:cs="Times New Roman"/>
              </w:rPr>
              <w:t xml:space="preserve">wycenianie potencjalnej szkody materialnej, ale o jej świadomość np. </w:t>
            </w:r>
            <w:proofErr w:type="spellStart"/>
            <w:r w:rsidRPr="00833C88">
              <w:rPr>
                <w:rFonts w:cs="Times New Roman"/>
              </w:rPr>
              <w:t>cyberzagrożenie</w:t>
            </w:r>
            <w:proofErr w:type="spellEnd"/>
            <w:r w:rsidRPr="00833C88">
              <w:rPr>
                <w:rFonts w:cs="Times New Roman"/>
              </w:rPr>
              <w:t xml:space="preserve"> może spowodować przestoje w dostawach prądu, co uniemożliwi prowadzenie działalności gospodarczej.</w:t>
            </w:r>
          </w:p>
        </w:tc>
      </w:tr>
      <w:tr w:rsidR="00B50D3E" w:rsidRPr="00833C88" w14:paraId="3ACDBE00" w14:textId="77777777">
        <w:tc>
          <w:tcPr>
            <w:tcW w:w="2630" w:type="pct"/>
          </w:tcPr>
          <w:p w14:paraId="7627D4E0"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Czy może wywołać szkodę niematerialną – jaką?</w:t>
            </w:r>
          </w:p>
        </w:tc>
        <w:tc>
          <w:tcPr>
            <w:tcW w:w="2370" w:type="pct"/>
          </w:tcPr>
          <w:p w14:paraId="711E847E" w14:textId="77777777" w:rsidR="00B50D3E" w:rsidRPr="00833C88" w:rsidRDefault="00B50D3E" w:rsidP="005B7564">
            <w:pPr>
              <w:jc w:val="both"/>
              <w:rPr>
                <w:rFonts w:cs="Times New Roman"/>
              </w:rPr>
            </w:pPr>
            <w:r w:rsidRPr="00833C88">
              <w:rPr>
                <w:rFonts w:cs="Times New Roman"/>
              </w:rPr>
              <w:t>Opisać krótko możliwe szkody niematerialne, np. szkody wizerunkowe, szkody zdrowotne.</w:t>
            </w:r>
          </w:p>
        </w:tc>
      </w:tr>
      <w:tr w:rsidR="00B50D3E" w:rsidRPr="00833C88" w14:paraId="27EFA306" w14:textId="77777777">
        <w:tc>
          <w:tcPr>
            <w:tcW w:w="5000" w:type="pct"/>
            <w:gridSpan w:val="2"/>
          </w:tcPr>
          <w:p w14:paraId="01FED2F5" w14:textId="77777777" w:rsidR="00B50D3E" w:rsidRPr="00833C88" w:rsidRDefault="00B50D3E" w:rsidP="005B7564">
            <w:pPr>
              <w:jc w:val="both"/>
              <w:rPr>
                <w:rFonts w:cs="Times New Roman"/>
              </w:rPr>
            </w:pPr>
            <w:r w:rsidRPr="00833C88">
              <w:rPr>
                <w:rFonts w:cs="Times New Roman"/>
                <w:i/>
                <w:iCs/>
              </w:rPr>
              <w:t>Jeśli na 2.5 lub 2.6 odpowiedź brzmi TAK</w:t>
            </w:r>
          </w:p>
        </w:tc>
      </w:tr>
      <w:tr w:rsidR="00B50D3E" w:rsidRPr="00833C88" w14:paraId="6B3A530D" w14:textId="77777777">
        <w:tc>
          <w:tcPr>
            <w:tcW w:w="2630" w:type="pct"/>
          </w:tcPr>
          <w:p w14:paraId="2F4DE27E"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Czy szkoda może być poważna?</w:t>
            </w:r>
          </w:p>
        </w:tc>
        <w:tc>
          <w:tcPr>
            <w:tcW w:w="2370" w:type="pct"/>
          </w:tcPr>
          <w:p w14:paraId="59F6C6ED" w14:textId="77777777" w:rsidR="00B50D3E" w:rsidRPr="00833C88" w:rsidRDefault="00B50D3E" w:rsidP="005B7564">
            <w:pPr>
              <w:jc w:val="both"/>
              <w:rPr>
                <w:rFonts w:cs="Times New Roman"/>
              </w:rPr>
            </w:pPr>
            <w:r w:rsidRPr="00833C88">
              <w:rPr>
                <w:rFonts w:cs="Times New Roman"/>
              </w:rPr>
              <w:t>Ocenić potencjalną szkodę.</w:t>
            </w:r>
          </w:p>
        </w:tc>
      </w:tr>
      <w:tr w:rsidR="00B50D3E" w:rsidRPr="00833C88" w14:paraId="09C8DA6D" w14:textId="77777777">
        <w:tc>
          <w:tcPr>
            <w:tcW w:w="2630" w:type="pct"/>
          </w:tcPr>
          <w:p w14:paraId="37911B93"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Czy należy zakomunikować środki zaradcze?</w:t>
            </w:r>
          </w:p>
        </w:tc>
        <w:tc>
          <w:tcPr>
            <w:tcW w:w="2370" w:type="pct"/>
          </w:tcPr>
          <w:p w14:paraId="54DBA800" w14:textId="77777777" w:rsidR="00B50D3E" w:rsidRPr="00833C88" w:rsidRDefault="00B50D3E" w:rsidP="005B7564">
            <w:pPr>
              <w:jc w:val="both"/>
              <w:rPr>
                <w:rFonts w:cs="Times New Roman"/>
              </w:rPr>
            </w:pPr>
            <w:r w:rsidRPr="00833C88">
              <w:rPr>
                <w:rFonts w:cs="Times New Roman"/>
              </w:rPr>
              <w:t xml:space="preserve">Jeśli zidentyfikowano, że </w:t>
            </w:r>
            <w:proofErr w:type="spellStart"/>
            <w:r w:rsidRPr="00833C88">
              <w:rPr>
                <w:rFonts w:cs="Times New Roman"/>
              </w:rPr>
              <w:t>cyberzagrożenie</w:t>
            </w:r>
            <w:proofErr w:type="spellEnd"/>
            <w:r w:rsidRPr="00833C88">
              <w:rPr>
                <w:rFonts w:cs="Times New Roman"/>
              </w:rPr>
              <w:t xml:space="preserve"> może mieć poważny wpływ na bezpieczeństwo systemów informacyjnych lub użytkowników oraz może spowodować poważną szkodę – materialną lub niematerialną – należy zakomunikować środki zapobiegawcze użytkownikom.</w:t>
            </w:r>
          </w:p>
        </w:tc>
      </w:tr>
      <w:tr w:rsidR="00B50D3E" w:rsidRPr="00833C88" w14:paraId="693B98E0" w14:textId="77777777">
        <w:tc>
          <w:tcPr>
            <w:tcW w:w="2630" w:type="pct"/>
          </w:tcPr>
          <w:p w14:paraId="79703394" w14:textId="77777777" w:rsidR="00B50D3E" w:rsidRPr="00833C88" w:rsidRDefault="00B50D3E" w:rsidP="005B7564">
            <w:pPr>
              <w:pStyle w:val="Akapitzlist"/>
              <w:numPr>
                <w:ilvl w:val="0"/>
                <w:numId w:val="81"/>
              </w:numPr>
              <w:spacing w:after="0"/>
              <w:jc w:val="both"/>
              <w:rPr>
                <w:rFonts w:cs="Times New Roman"/>
              </w:rPr>
            </w:pPr>
            <w:r w:rsidRPr="00833C88">
              <w:rPr>
                <w:rFonts w:cs="Times New Roman"/>
              </w:rPr>
              <w:t>Komunikacja</w:t>
            </w:r>
          </w:p>
        </w:tc>
        <w:tc>
          <w:tcPr>
            <w:tcW w:w="2370" w:type="pct"/>
          </w:tcPr>
          <w:p w14:paraId="6077A681" w14:textId="77777777" w:rsidR="00B50D3E" w:rsidRPr="00833C88" w:rsidRDefault="00B50D3E" w:rsidP="005B7564">
            <w:pPr>
              <w:jc w:val="both"/>
              <w:rPr>
                <w:rFonts w:cs="Times New Roman"/>
              </w:rPr>
            </w:pPr>
          </w:p>
        </w:tc>
      </w:tr>
      <w:tr w:rsidR="00B50D3E" w:rsidRPr="00833C88" w14:paraId="6E35175A" w14:textId="77777777">
        <w:tc>
          <w:tcPr>
            <w:tcW w:w="2630" w:type="pct"/>
          </w:tcPr>
          <w:p w14:paraId="2E64A670"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Kanał komunikacji</w:t>
            </w:r>
          </w:p>
        </w:tc>
        <w:tc>
          <w:tcPr>
            <w:tcW w:w="2370" w:type="pct"/>
          </w:tcPr>
          <w:p w14:paraId="6651E117" w14:textId="77777777" w:rsidR="00B50D3E" w:rsidRPr="00833C88" w:rsidRDefault="00B50D3E" w:rsidP="005B7564">
            <w:pPr>
              <w:jc w:val="both"/>
              <w:rPr>
                <w:rFonts w:cs="Times New Roman"/>
              </w:rPr>
            </w:pPr>
            <w:r w:rsidRPr="00833C88">
              <w:rPr>
                <w:rFonts w:cs="Times New Roman"/>
              </w:rPr>
              <w:t>Wybrać kanał komunikacji adekwatny do zagrożenia i użytkowników – wiadomość email, SMS, media społecznościowe, aplikacja mobilna, strona internetowa</w:t>
            </w:r>
          </w:p>
        </w:tc>
      </w:tr>
      <w:tr w:rsidR="00B50D3E" w:rsidRPr="00833C88" w14:paraId="47F58FC5" w14:textId="77777777">
        <w:tc>
          <w:tcPr>
            <w:tcW w:w="2630" w:type="pct"/>
          </w:tcPr>
          <w:p w14:paraId="05CDDC66"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Środki zapobiegawcze</w:t>
            </w:r>
          </w:p>
        </w:tc>
        <w:tc>
          <w:tcPr>
            <w:tcW w:w="2370" w:type="pct"/>
          </w:tcPr>
          <w:p w14:paraId="458CDC8B" w14:textId="3CCB671A" w:rsidR="00B50D3E" w:rsidRPr="00833C88" w:rsidRDefault="00B50D3E" w:rsidP="005B7564">
            <w:pPr>
              <w:jc w:val="both"/>
              <w:rPr>
                <w:rFonts w:cs="Times New Roman"/>
              </w:rPr>
            </w:pPr>
            <w:r w:rsidRPr="00833C88">
              <w:rPr>
                <w:rFonts w:cs="Times New Roman"/>
              </w:rPr>
              <w:t>W komunikacji wskazać środki, które użytkownicy mogą podjąć</w:t>
            </w:r>
            <w:r w:rsidR="00662962">
              <w:rPr>
                <w:rFonts w:cs="Times New Roman"/>
              </w:rPr>
              <w:t>,</w:t>
            </w:r>
            <w:r w:rsidRPr="00833C88">
              <w:rPr>
                <w:rFonts w:cs="Times New Roman"/>
              </w:rPr>
              <w:t xml:space="preserve"> aby zabezpieczyć się lub ograniczyć skutki poważnego </w:t>
            </w:r>
            <w:proofErr w:type="spellStart"/>
            <w:r w:rsidRPr="00833C88">
              <w:rPr>
                <w:rFonts w:cs="Times New Roman"/>
              </w:rPr>
              <w:t>cyberzagrożenia</w:t>
            </w:r>
            <w:proofErr w:type="spellEnd"/>
            <w:r w:rsidRPr="00833C88">
              <w:rPr>
                <w:rFonts w:cs="Times New Roman"/>
              </w:rPr>
              <w:t>, np. rekomendacja instalacji oprogramowania antywirusowego, włączenie wieloskładnikowego uwierzytelnienia, edukacja z zakresu nowych zagrożeń,</w:t>
            </w:r>
          </w:p>
        </w:tc>
      </w:tr>
      <w:tr w:rsidR="00B50D3E" w:rsidRPr="00833C88" w14:paraId="0A6642B1" w14:textId="77777777">
        <w:tc>
          <w:tcPr>
            <w:tcW w:w="2630" w:type="pct"/>
          </w:tcPr>
          <w:p w14:paraId="32995926"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lastRenderedPageBreak/>
              <w:t xml:space="preserve">Czy informować o samym poważnym </w:t>
            </w:r>
            <w:proofErr w:type="spellStart"/>
            <w:r w:rsidRPr="00833C88">
              <w:rPr>
                <w:rFonts w:cs="Times New Roman"/>
              </w:rPr>
              <w:t>cybezagrożeniu</w:t>
            </w:r>
            <w:proofErr w:type="spellEnd"/>
            <w:r w:rsidRPr="00833C88">
              <w:rPr>
                <w:rFonts w:cs="Times New Roman"/>
              </w:rPr>
              <w:t>?</w:t>
            </w:r>
          </w:p>
        </w:tc>
        <w:tc>
          <w:tcPr>
            <w:tcW w:w="2370" w:type="pct"/>
          </w:tcPr>
          <w:p w14:paraId="3FFDE5D0" w14:textId="77777777" w:rsidR="00B50D3E" w:rsidRPr="00833C88" w:rsidRDefault="00B50D3E" w:rsidP="005B7564">
            <w:pPr>
              <w:jc w:val="both"/>
              <w:rPr>
                <w:rFonts w:cs="Times New Roman"/>
              </w:rPr>
            </w:pPr>
            <w:r w:rsidRPr="00833C88">
              <w:rPr>
                <w:rFonts w:cs="Times New Roman"/>
              </w:rPr>
              <w:t xml:space="preserve">Oszacować ryzyko dla komunikacji informacji o samym </w:t>
            </w:r>
            <w:proofErr w:type="spellStart"/>
            <w:r w:rsidRPr="00833C88">
              <w:rPr>
                <w:rFonts w:cs="Times New Roman"/>
              </w:rPr>
              <w:t>cyberzagrożeniu</w:t>
            </w:r>
            <w:proofErr w:type="spellEnd"/>
            <w:r w:rsidRPr="00833C88">
              <w:rPr>
                <w:rFonts w:cs="Times New Roman"/>
              </w:rPr>
              <w:t>.</w:t>
            </w:r>
          </w:p>
        </w:tc>
      </w:tr>
      <w:tr w:rsidR="00B50D3E" w:rsidRPr="00833C88" w14:paraId="2C7524DE" w14:textId="77777777">
        <w:tc>
          <w:tcPr>
            <w:tcW w:w="2630" w:type="pct"/>
          </w:tcPr>
          <w:p w14:paraId="101949E2" w14:textId="4D368622" w:rsidR="00B50D3E" w:rsidRPr="00833C88" w:rsidRDefault="00B50D3E" w:rsidP="005B7564">
            <w:pPr>
              <w:pStyle w:val="Akapitzlist"/>
              <w:numPr>
                <w:ilvl w:val="0"/>
                <w:numId w:val="81"/>
              </w:numPr>
              <w:spacing w:after="0"/>
              <w:jc w:val="both"/>
              <w:rPr>
                <w:rFonts w:cs="Times New Roman"/>
              </w:rPr>
            </w:pPr>
            <w:r w:rsidRPr="00833C88">
              <w:rPr>
                <w:rFonts w:cs="Times New Roman"/>
              </w:rPr>
              <w:t>Ewaluacja</w:t>
            </w:r>
            <w:r w:rsidR="0064023B" w:rsidRPr="00833C88">
              <w:rPr>
                <w:rFonts w:cs="Times New Roman"/>
              </w:rPr>
              <w:t xml:space="preserve"> – czy komunikacja była skuteczna?</w:t>
            </w:r>
          </w:p>
        </w:tc>
        <w:tc>
          <w:tcPr>
            <w:tcW w:w="2370" w:type="pct"/>
          </w:tcPr>
          <w:p w14:paraId="353424D1" w14:textId="77777777" w:rsidR="00B50D3E" w:rsidRPr="00833C88" w:rsidRDefault="00B50D3E" w:rsidP="005B7564">
            <w:pPr>
              <w:jc w:val="both"/>
              <w:rPr>
                <w:rFonts w:cs="Times New Roman"/>
              </w:rPr>
            </w:pPr>
          </w:p>
        </w:tc>
      </w:tr>
      <w:tr w:rsidR="00B50D3E" w:rsidRPr="00833C88" w14:paraId="6CD021A2" w14:textId="77777777">
        <w:tc>
          <w:tcPr>
            <w:tcW w:w="2630" w:type="pct"/>
          </w:tcPr>
          <w:p w14:paraId="2514224E"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Czy komunikacja dotarła do użytkowników?</w:t>
            </w:r>
          </w:p>
        </w:tc>
        <w:tc>
          <w:tcPr>
            <w:tcW w:w="2370" w:type="pct"/>
          </w:tcPr>
          <w:p w14:paraId="1074D305" w14:textId="77777777" w:rsidR="00B50D3E" w:rsidRPr="00833C88" w:rsidRDefault="00B50D3E" w:rsidP="005B7564">
            <w:pPr>
              <w:jc w:val="both"/>
              <w:rPr>
                <w:rFonts w:cs="Times New Roman"/>
              </w:rPr>
            </w:pPr>
            <w:r w:rsidRPr="00833C88">
              <w:rPr>
                <w:rFonts w:cs="Times New Roman"/>
              </w:rPr>
              <w:t xml:space="preserve">Przeanalizować dostępne logi z użytych kanałów komunikacji np. liczba unikalnych wejść na stronę. </w:t>
            </w:r>
          </w:p>
        </w:tc>
      </w:tr>
      <w:tr w:rsidR="00B50D3E" w:rsidRPr="00833C88" w14:paraId="7DD00AEF" w14:textId="77777777">
        <w:tc>
          <w:tcPr>
            <w:tcW w:w="2630" w:type="pct"/>
          </w:tcPr>
          <w:p w14:paraId="07A7343F"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Czy użytkownicy podjęli działania?</w:t>
            </w:r>
          </w:p>
        </w:tc>
        <w:tc>
          <w:tcPr>
            <w:tcW w:w="2370" w:type="pct"/>
          </w:tcPr>
          <w:p w14:paraId="348C1A0C" w14:textId="58BED115" w:rsidR="00B50D3E" w:rsidRPr="00833C88" w:rsidRDefault="00B50D3E" w:rsidP="005B7564">
            <w:pPr>
              <w:jc w:val="both"/>
              <w:rPr>
                <w:rFonts w:cs="Times New Roman"/>
              </w:rPr>
            </w:pPr>
            <w:r w:rsidRPr="00833C88">
              <w:rPr>
                <w:rFonts w:cs="Times New Roman"/>
              </w:rPr>
              <w:t>Przeanalizować dostępne informacje zwrotne od użytkowników np. reakcje w media</w:t>
            </w:r>
            <w:r w:rsidR="00FC13CB" w:rsidRPr="00833C88">
              <w:rPr>
                <w:rFonts w:cs="Times New Roman"/>
              </w:rPr>
              <w:t>ch społecznościowych</w:t>
            </w:r>
            <w:r w:rsidRPr="00833C88">
              <w:rPr>
                <w:rFonts w:cs="Times New Roman"/>
              </w:rPr>
              <w:t>.</w:t>
            </w:r>
          </w:p>
        </w:tc>
      </w:tr>
      <w:tr w:rsidR="00B50D3E" w:rsidRPr="00833C88" w14:paraId="6C6DF893" w14:textId="77777777">
        <w:tc>
          <w:tcPr>
            <w:tcW w:w="2630" w:type="pct"/>
          </w:tcPr>
          <w:p w14:paraId="31406517" w14:textId="77777777" w:rsidR="00B50D3E" w:rsidRPr="00833C88" w:rsidRDefault="00B50D3E" w:rsidP="005B7564">
            <w:pPr>
              <w:pStyle w:val="Akapitzlist"/>
              <w:numPr>
                <w:ilvl w:val="1"/>
                <w:numId w:val="81"/>
              </w:numPr>
              <w:spacing w:after="0"/>
              <w:jc w:val="both"/>
              <w:rPr>
                <w:rFonts w:cs="Times New Roman"/>
              </w:rPr>
            </w:pPr>
            <w:r w:rsidRPr="00833C88">
              <w:rPr>
                <w:rFonts w:cs="Times New Roman"/>
              </w:rPr>
              <w:t>Inne mierniki</w:t>
            </w:r>
          </w:p>
        </w:tc>
        <w:tc>
          <w:tcPr>
            <w:tcW w:w="2370" w:type="pct"/>
          </w:tcPr>
          <w:p w14:paraId="0E72FD59" w14:textId="77777777" w:rsidR="00B50D3E" w:rsidRPr="00833C88" w:rsidRDefault="00B50D3E" w:rsidP="005B7564">
            <w:pPr>
              <w:jc w:val="both"/>
              <w:rPr>
                <w:rFonts w:cs="Times New Roman"/>
              </w:rPr>
            </w:pPr>
            <w:r w:rsidRPr="00833C88">
              <w:rPr>
                <w:rFonts w:cs="Times New Roman"/>
              </w:rPr>
              <w:t>Przeanalizować inne mierniki, jeśli są dostępne.</w:t>
            </w:r>
          </w:p>
        </w:tc>
      </w:tr>
    </w:tbl>
    <w:p w14:paraId="51E616EA" w14:textId="77777777" w:rsidR="00B50D3E" w:rsidRPr="00833C88" w:rsidRDefault="00B50D3E" w:rsidP="00B50D3E">
      <w:pPr>
        <w:rPr>
          <w:rFonts w:cs="Times New Roman"/>
        </w:rPr>
      </w:pPr>
    </w:p>
    <w:p w14:paraId="124C6323" w14:textId="034AB34D" w:rsidR="00F66A7D" w:rsidRPr="00833C88" w:rsidRDefault="00F66A7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Wprowadza się także przepis, zgodnie z którym podmiot kluczowy lub podmiot ważny ma obowiązek poinformować użytkowników swoich usług o incydencie poważnym, jeżeli ma on niekorzystny wpływ na świadczenie usług. Niekorzystny wpływ to taki wpływ, który przynosi straty dla użytkowników, np. tracą czas, pieniądze czy w niektórych przypadkach zdrowie. Stąd też w takich sytuacjach należy ich informować o incydencie poważnym.</w:t>
      </w:r>
    </w:p>
    <w:p w14:paraId="1EE5957B" w14:textId="2625C6E7" w:rsidR="00027739" w:rsidRPr="00833C88" w:rsidRDefault="0025736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Obecny </w:t>
      </w:r>
      <w:r w:rsidR="0054686C" w:rsidRPr="00833C88">
        <w:rPr>
          <w:rFonts w:eastAsia="Times New Roman" w:cs="Times New Roman"/>
          <w:sz w:val="24"/>
          <w:szCs w:val="24"/>
          <w:lang w:eastAsia="pl-PL"/>
        </w:rPr>
        <w:t xml:space="preserve">art. </w:t>
      </w:r>
      <w:r w:rsidRPr="00833C88">
        <w:rPr>
          <w:rFonts w:eastAsia="Times New Roman" w:cs="Times New Roman"/>
          <w:sz w:val="24"/>
          <w:szCs w:val="24"/>
          <w:lang w:eastAsia="pl-PL"/>
        </w:rPr>
        <w:t xml:space="preserve">13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KSC umożliwia dobrowolne zgłaszanie do zespołów CSIRT poziomu krajowego jak również CSIRT sektorowego </w:t>
      </w:r>
      <w:r w:rsidR="007B1BE2" w:rsidRPr="00833C88">
        <w:rPr>
          <w:rFonts w:eastAsia="Times New Roman" w:cs="Times New Roman"/>
          <w:sz w:val="24"/>
          <w:szCs w:val="24"/>
          <w:lang w:eastAsia="pl-PL"/>
        </w:rPr>
        <w:t xml:space="preserve">informacji </w:t>
      </w:r>
      <w:r w:rsidR="00601933" w:rsidRPr="00833C88">
        <w:rPr>
          <w:rFonts w:eastAsia="Times New Roman" w:cs="Times New Roman"/>
          <w:sz w:val="24"/>
          <w:szCs w:val="24"/>
          <w:lang w:eastAsia="pl-PL"/>
        </w:rPr>
        <w:t>o </w:t>
      </w:r>
      <w:r w:rsidR="007B1BE2" w:rsidRPr="00833C88">
        <w:rPr>
          <w:rFonts w:eastAsia="Times New Roman" w:cs="Times New Roman"/>
          <w:sz w:val="24"/>
          <w:szCs w:val="24"/>
          <w:lang w:eastAsia="pl-PL"/>
        </w:rPr>
        <w:t xml:space="preserve">incydentach </w:t>
      </w:r>
      <w:proofErr w:type="gramStart"/>
      <w:r w:rsidR="007B1BE2" w:rsidRPr="00833C88">
        <w:rPr>
          <w:rFonts w:eastAsia="Times New Roman" w:cs="Times New Roman"/>
          <w:sz w:val="24"/>
          <w:szCs w:val="24"/>
          <w:lang w:eastAsia="pl-PL"/>
        </w:rPr>
        <w:t>nie podlegających</w:t>
      </w:r>
      <w:proofErr w:type="gramEnd"/>
      <w:r w:rsidR="007B1BE2" w:rsidRPr="00833C88">
        <w:rPr>
          <w:rFonts w:eastAsia="Times New Roman" w:cs="Times New Roman"/>
          <w:sz w:val="24"/>
          <w:szCs w:val="24"/>
          <w:lang w:eastAsia="pl-PL"/>
        </w:rPr>
        <w:t xml:space="preserve"> obowiązkowemu zgłoszeniu, </w:t>
      </w:r>
      <w:r w:rsidR="00601933" w:rsidRPr="00833C88">
        <w:rPr>
          <w:rFonts w:eastAsia="Times New Roman" w:cs="Times New Roman"/>
          <w:sz w:val="24"/>
          <w:szCs w:val="24"/>
          <w:lang w:eastAsia="pl-PL"/>
        </w:rPr>
        <w:t>o </w:t>
      </w:r>
      <w:proofErr w:type="spellStart"/>
      <w:r w:rsidR="007B1BE2" w:rsidRPr="00833C88">
        <w:rPr>
          <w:rFonts w:eastAsia="Times New Roman" w:cs="Times New Roman"/>
          <w:sz w:val="24"/>
          <w:szCs w:val="24"/>
          <w:lang w:eastAsia="pl-PL"/>
        </w:rPr>
        <w:t>cyberzagrożeniach</w:t>
      </w:r>
      <w:proofErr w:type="spellEnd"/>
      <w:r w:rsidR="007B1BE2" w:rsidRPr="00833C88">
        <w:rPr>
          <w:rFonts w:eastAsia="Times New Roman" w:cs="Times New Roman"/>
          <w:sz w:val="24"/>
          <w:szCs w:val="24"/>
          <w:lang w:eastAsia="pl-PL"/>
        </w:rPr>
        <w:t xml:space="preserve">, wynikach szacowania ryzyka, podatnościach, potencjalnych zdarzeniach dla </w:t>
      </w:r>
      <w:r w:rsidR="00523FBF" w:rsidRPr="00833C88">
        <w:rPr>
          <w:rFonts w:eastAsia="Times New Roman" w:cs="Times New Roman"/>
          <w:sz w:val="24"/>
          <w:szCs w:val="24"/>
          <w:lang w:eastAsia="pl-PL"/>
        </w:rPr>
        <w:t>c</w:t>
      </w:r>
      <w:r w:rsidR="007B1BE2" w:rsidRPr="00833C88">
        <w:rPr>
          <w:rFonts w:eastAsia="Times New Roman" w:cs="Times New Roman"/>
          <w:sz w:val="24"/>
          <w:szCs w:val="24"/>
          <w:lang w:eastAsia="pl-PL"/>
        </w:rPr>
        <w:t>yberbezpieczeństwa czy wykorzystywanych technologiach</w:t>
      </w:r>
      <w:r w:rsidR="00E263CA" w:rsidRPr="00833C88">
        <w:rPr>
          <w:rStyle w:val="Odwoanieprzypisudolnego"/>
          <w:rFonts w:eastAsia="Times New Roman" w:cs="Times New Roman"/>
          <w:sz w:val="24"/>
          <w:szCs w:val="24"/>
          <w:lang w:eastAsia="pl-PL"/>
        </w:rPr>
        <w:footnoteReference w:id="43"/>
      </w:r>
      <w:r w:rsidR="00137E81" w:rsidRPr="00833C88">
        <w:rPr>
          <w:rFonts w:eastAsia="Times New Roman" w:cs="Times New Roman"/>
          <w:sz w:val="24"/>
          <w:szCs w:val="24"/>
          <w:vertAlign w:val="superscript"/>
          <w:lang w:eastAsia="pl-PL"/>
        </w:rPr>
        <w:t>)</w:t>
      </w:r>
      <w:r w:rsidR="007B1BE2" w:rsidRPr="00833C88">
        <w:rPr>
          <w:rFonts w:eastAsia="Times New Roman" w:cs="Times New Roman"/>
          <w:sz w:val="24"/>
          <w:szCs w:val="24"/>
          <w:lang w:eastAsia="pl-PL"/>
        </w:rPr>
        <w:t xml:space="preserve">. </w:t>
      </w:r>
      <w:r w:rsidR="00945EFD" w:rsidRPr="00833C88">
        <w:rPr>
          <w:rFonts w:eastAsia="Times New Roman" w:cs="Times New Roman"/>
          <w:sz w:val="24"/>
          <w:szCs w:val="24"/>
          <w:lang w:eastAsia="pl-PL"/>
        </w:rPr>
        <w:t xml:space="preserve">Przepis ten dostosowano do innych zmian, rozszerzając te uprawnienie na wszystkie podmioty kluczowe </w:t>
      </w:r>
      <w:r w:rsidR="00601933" w:rsidRPr="00833C88">
        <w:rPr>
          <w:rFonts w:eastAsia="Times New Roman" w:cs="Times New Roman"/>
          <w:sz w:val="24"/>
          <w:szCs w:val="24"/>
          <w:lang w:eastAsia="pl-PL"/>
        </w:rPr>
        <w:t>i </w:t>
      </w:r>
      <w:r w:rsidR="00945EFD" w:rsidRPr="00833C88">
        <w:rPr>
          <w:rFonts w:eastAsia="Times New Roman" w:cs="Times New Roman"/>
          <w:sz w:val="24"/>
          <w:szCs w:val="24"/>
          <w:lang w:eastAsia="pl-PL"/>
        </w:rPr>
        <w:t xml:space="preserve">podmioty ważne. Dodatkowo wskazano, że zgłoszenia te są dokonywane za pomocą systemu </w:t>
      </w:r>
      <w:r w:rsidR="00C3798C" w:rsidRPr="00833C88">
        <w:rPr>
          <w:rFonts w:eastAsia="Times New Roman" w:cs="Times New Roman"/>
          <w:sz w:val="24"/>
          <w:szCs w:val="24"/>
          <w:lang w:eastAsia="pl-PL"/>
        </w:rPr>
        <w:t xml:space="preserve">teleinformatycznego </w:t>
      </w:r>
      <w:r w:rsidR="00945EFD" w:rsidRPr="00833C88">
        <w:rPr>
          <w:rFonts w:eastAsia="Times New Roman" w:cs="Times New Roman"/>
          <w:sz w:val="24"/>
          <w:szCs w:val="24"/>
          <w:lang w:eastAsia="pl-PL"/>
        </w:rPr>
        <w:t xml:space="preserve">S46. </w:t>
      </w:r>
      <w:r w:rsidR="006E1800" w:rsidRPr="00833C88">
        <w:rPr>
          <w:rFonts w:eastAsia="Times New Roman" w:cs="Times New Roman"/>
          <w:sz w:val="24"/>
          <w:szCs w:val="24"/>
          <w:lang w:eastAsia="pl-PL"/>
        </w:rPr>
        <w:t xml:space="preserve">Jest to ważny </w:t>
      </w:r>
      <w:proofErr w:type="gramStart"/>
      <w:r w:rsidR="006E1800" w:rsidRPr="00833C88">
        <w:rPr>
          <w:rFonts w:eastAsia="Times New Roman" w:cs="Times New Roman"/>
          <w:sz w:val="24"/>
          <w:szCs w:val="24"/>
          <w:lang w:eastAsia="pl-PL"/>
        </w:rPr>
        <w:t>przepis</w:t>
      </w:r>
      <w:proofErr w:type="gramEnd"/>
      <w:r w:rsidR="006E1800" w:rsidRPr="00833C88">
        <w:rPr>
          <w:rFonts w:eastAsia="Times New Roman" w:cs="Times New Roman"/>
          <w:sz w:val="24"/>
          <w:szCs w:val="24"/>
          <w:lang w:eastAsia="pl-PL"/>
        </w:rPr>
        <w:t xml:space="preserve"> ponieważ umożliwia dzielenie się informacjami </w:t>
      </w:r>
      <w:r w:rsidR="00601933" w:rsidRPr="00833C88">
        <w:rPr>
          <w:rFonts w:eastAsia="Times New Roman" w:cs="Times New Roman"/>
          <w:sz w:val="24"/>
          <w:szCs w:val="24"/>
          <w:lang w:eastAsia="pl-PL"/>
        </w:rPr>
        <w:t>z </w:t>
      </w:r>
      <w:r w:rsidR="006E1800" w:rsidRPr="00833C88">
        <w:rPr>
          <w:rFonts w:eastAsia="Times New Roman" w:cs="Times New Roman"/>
          <w:sz w:val="24"/>
          <w:szCs w:val="24"/>
          <w:lang w:eastAsia="pl-PL"/>
        </w:rPr>
        <w:t xml:space="preserve">zespołami CSIRT, które mogą przeanalizować je </w:t>
      </w:r>
      <w:r w:rsidR="00601933" w:rsidRPr="00833C88">
        <w:rPr>
          <w:rFonts w:eastAsia="Times New Roman" w:cs="Times New Roman"/>
          <w:sz w:val="24"/>
          <w:szCs w:val="24"/>
          <w:lang w:eastAsia="pl-PL"/>
        </w:rPr>
        <w:t>i </w:t>
      </w:r>
      <w:r w:rsidR="006E1800" w:rsidRPr="00833C88">
        <w:rPr>
          <w:rFonts w:eastAsia="Times New Roman" w:cs="Times New Roman"/>
          <w:sz w:val="24"/>
          <w:szCs w:val="24"/>
          <w:lang w:eastAsia="pl-PL"/>
        </w:rPr>
        <w:t xml:space="preserve">wyciągnąć wnioski, które pozwolą na lepsze wspieranie </w:t>
      </w:r>
      <w:r w:rsidR="00866917" w:rsidRPr="00833C88">
        <w:rPr>
          <w:rFonts w:eastAsia="Times New Roman" w:cs="Times New Roman"/>
          <w:sz w:val="24"/>
          <w:szCs w:val="24"/>
          <w:lang w:eastAsia="pl-PL"/>
        </w:rPr>
        <w:t xml:space="preserve">podmiotów kluczowych </w:t>
      </w:r>
      <w:r w:rsidR="00601933" w:rsidRPr="00833C88">
        <w:rPr>
          <w:rFonts w:eastAsia="Times New Roman" w:cs="Times New Roman"/>
          <w:sz w:val="24"/>
          <w:szCs w:val="24"/>
          <w:lang w:eastAsia="pl-PL"/>
        </w:rPr>
        <w:t>i </w:t>
      </w:r>
      <w:r w:rsidR="00866917" w:rsidRPr="00833C88">
        <w:rPr>
          <w:rFonts w:eastAsia="Times New Roman" w:cs="Times New Roman"/>
          <w:sz w:val="24"/>
          <w:szCs w:val="24"/>
          <w:lang w:eastAsia="pl-PL"/>
        </w:rPr>
        <w:t xml:space="preserve">podmiotów ważnych. Przykładowo informacje </w:t>
      </w:r>
      <w:r w:rsidR="00601933" w:rsidRPr="00833C88">
        <w:rPr>
          <w:rFonts w:eastAsia="Times New Roman" w:cs="Times New Roman"/>
          <w:sz w:val="24"/>
          <w:szCs w:val="24"/>
          <w:lang w:eastAsia="pl-PL"/>
        </w:rPr>
        <w:t>o </w:t>
      </w:r>
      <w:r w:rsidR="00866917" w:rsidRPr="00833C88">
        <w:rPr>
          <w:rFonts w:eastAsia="Times New Roman" w:cs="Times New Roman"/>
          <w:sz w:val="24"/>
          <w:szCs w:val="24"/>
          <w:lang w:eastAsia="pl-PL"/>
        </w:rPr>
        <w:t xml:space="preserve">podatnościach pozwolą na opracowanie sposobów ich </w:t>
      </w:r>
      <w:proofErr w:type="spellStart"/>
      <w:r w:rsidR="00866917" w:rsidRPr="00833C88">
        <w:rPr>
          <w:rFonts w:eastAsia="Times New Roman" w:cs="Times New Roman"/>
          <w:sz w:val="24"/>
          <w:szCs w:val="24"/>
          <w:lang w:eastAsia="pl-PL"/>
        </w:rPr>
        <w:t>mitygacji</w:t>
      </w:r>
      <w:proofErr w:type="spellEnd"/>
      <w:r w:rsidR="00866917" w:rsidRPr="00833C88">
        <w:rPr>
          <w:rFonts w:eastAsia="Times New Roman" w:cs="Times New Roman"/>
          <w:sz w:val="24"/>
          <w:szCs w:val="24"/>
          <w:lang w:eastAsia="pl-PL"/>
        </w:rPr>
        <w:t xml:space="preserve">. </w:t>
      </w:r>
      <w:r w:rsidR="00CE74CE" w:rsidRPr="00833C88">
        <w:rPr>
          <w:rFonts w:eastAsia="Times New Roman" w:cs="Times New Roman"/>
          <w:sz w:val="24"/>
          <w:szCs w:val="24"/>
          <w:lang w:eastAsia="pl-PL"/>
        </w:rPr>
        <w:t xml:space="preserve">Zapewniono przy tym możliwość ochrony informacji prawnie chronionych – </w:t>
      </w:r>
      <w:r w:rsidR="00601933" w:rsidRPr="00833C88">
        <w:rPr>
          <w:rFonts w:eastAsia="Times New Roman" w:cs="Times New Roman"/>
          <w:sz w:val="24"/>
          <w:szCs w:val="24"/>
          <w:lang w:eastAsia="pl-PL"/>
        </w:rPr>
        <w:t>w </w:t>
      </w:r>
      <w:r w:rsidR="00CE74CE" w:rsidRPr="00833C88">
        <w:rPr>
          <w:rFonts w:eastAsia="Times New Roman" w:cs="Times New Roman"/>
          <w:sz w:val="24"/>
          <w:szCs w:val="24"/>
          <w:lang w:eastAsia="pl-PL"/>
        </w:rPr>
        <w:t xml:space="preserve">tym celu podmiot kluczowy </w:t>
      </w:r>
      <w:r w:rsidR="00601933" w:rsidRPr="00833C88">
        <w:rPr>
          <w:rFonts w:eastAsia="Times New Roman" w:cs="Times New Roman"/>
          <w:sz w:val="24"/>
          <w:szCs w:val="24"/>
          <w:lang w:eastAsia="pl-PL"/>
        </w:rPr>
        <w:t>i </w:t>
      </w:r>
      <w:r w:rsidR="00CE74CE" w:rsidRPr="00833C88">
        <w:rPr>
          <w:rFonts w:eastAsia="Times New Roman" w:cs="Times New Roman"/>
          <w:sz w:val="24"/>
          <w:szCs w:val="24"/>
          <w:lang w:eastAsia="pl-PL"/>
        </w:rPr>
        <w:t>podmiot ważny ma obowiązek oznaczyć tego rodzaju informacje.</w:t>
      </w:r>
    </w:p>
    <w:p w14:paraId="5C8C33C3" w14:textId="0329890F" w:rsidR="00F3169C" w:rsidRPr="00833C88" w:rsidRDefault="00F3169C" w:rsidP="00BC7BDE">
      <w:pPr>
        <w:pStyle w:val="Nagwek2"/>
        <w:spacing w:before="0" w:after="120" w:line="360" w:lineRule="auto"/>
        <w:jc w:val="both"/>
        <w:rPr>
          <w:rFonts w:cs="Times New Roman"/>
          <w:b/>
          <w:bCs/>
          <w:lang w:eastAsia="pl-PL"/>
        </w:rPr>
      </w:pPr>
      <w:r w:rsidRPr="00833C88">
        <w:rPr>
          <w:rFonts w:cs="Times New Roman"/>
          <w:b/>
          <w:bCs/>
          <w:lang w:eastAsia="pl-PL"/>
        </w:rPr>
        <w:t xml:space="preserve">Realizacja obowiązków </w:t>
      </w:r>
      <w:r w:rsidR="00601933" w:rsidRPr="00833C88">
        <w:rPr>
          <w:rFonts w:cs="Times New Roman"/>
          <w:b/>
          <w:bCs/>
          <w:lang w:eastAsia="pl-PL"/>
        </w:rPr>
        <w:t>z </w:t>
      </w:r>
      <w:r w:rsidRPr="00833C88">
        <w:rPr>
          <w:rFonts w:cs="Times New Roman"/>
          <w:b/>
          <w:bCs/>
          <w:lang w:eastAsia="pl-PL"/>
        </w:rPr>
        <w:t>zakresu cyberbezpieczeństwa</w:t>
      </w:r>
    </w:p>
    <w:p w14:paraId="38554A6F" w14:textId="10D1D2E4" w:rsidR="002250DE" w:rsidRPr="00833C88" w:rsidRDefault="00DE3144" w:rsidP="00CD1718">
      <w:pPr>
        <w:pStyle w:val="ARTartustawynprozporzdzenia"/>
        <w:spacing w:before="0" w:after="120"/>
        <w:ind w:firstLine="0"/>
        <w:rPr>
          <w:rFonts w:ascii="Times New Roman" w:hAnsi="Times New Roman" w:cs="Times New Roman"/>
        </w:rPr>
      </w:pPr>
      <w:r w:rsidRPr="00833C88">
        <w:rPr>
          <w:rFonts w:ascii="Times New Roman" w:hAnsi="Times New Roman" w:cs="Times New Roman"/>
        </w:rPr>
        <w:t xml:space="preserve">Tak jak przy obecnej treści ustawy </w:t>
      </w:r>
      <w:r w:rsidR="00601933" w:rsidRPr="00833C88">
        <w:rPr>
          <w:rFonts w:ascii="Times New Roman" w:hAnsi="Times New Roman" w:cs="Times New Roman"/>
        </w:rPr>
        <w:t>o </w:t>
      </w:r>
      <w:r w:rsidR="0054686C" w:rsidRPr="00833C88">
        <w:rPr>
          <w:rFonts w:ascii="Times New Roman" w:hAnsi="Times New Roman" w:cs="Times New Roman"/>
        </w:rPr>
        <w:t xml:space="preserve">KSC </w:t>
      </w:r>
      <w:r w:rsidRPr="00833C88">
        <w:rPr>
          <w:rFonts w:ascii="Times New Roman" w:hAnsi="Times New Roman" w:cs="Times New Roman"/>
        </w:rPr>
        <w:t>przepisy będą od tej pory wskazywać, że podmiot kluczowy lub podmiot ważny realizuj</w:t>
      </w:r>
      <w:r w:rsidR="0054686C" w:rsidRPr="00833C88">
        <w:rPr>
          <w:rFonts w:ascii="Times New Roman" w:hAnsi="Times New Roman" w:cs="Times New Roman"/>
        </w:rPr>
        <w:t>e</w:t>
      </w:r>
      <w:r w:rsidRPr="00833C88">
        <w:rPr>
          <w:rFonts w:ascii="Times New Roman" w:hAnsi="Times New Roman" w:cs="Times New Roman"/>
        </w:rPr>
        <w:t xml:space="preserve"> zadania za pomocą</w:t>
      </w:r>
      <w:r w:rsidR="002E60C7" w:rsidRPr="00833C88">
        <w:rPr>
          <w:rFonts w:ascii="Times New Roman" w:hAnsi="Times New Roman" w:cs="Times New Roman"/>
        </w:rPr>
        <w:t xml:space="preserve"> wewnętrznych struktur odpowiedzialnych za cyberbezpieczeństwo (np. komórka organizacyjna </w:t>
      </w:r>
      <w:r w:rsidR="00601933" w:rsidRPr="00833C88">
        <w:rPr>
          <w:rFonts w:ascii="Times New Roman" w:hAnsi="Times New Roman" w:cs="Times New Roman"/>
        </w:rPr>
        <w:t>w </w:t>
      </w:r>
      <w:r w:rsidR="002E60C7" w:rsidRPr="00833C88">
        <w:rPr>
          <w:rFonts w:ascii="Times New Roman" w:hAnsi="Times New Roman" w:cs="Times New Roman"/>
        </w:rPr>
        <w:t>danym podmiocie, niezależnie od jej nazwy, ale zajmująca się cyberbezpieczeństwem)</w:t>
      </w:r>
      <w:r w:rsidR="001D2511" w:rsidRPr="00833C88">
        <w:rPr>
          <w:rFonts w:ascii="Times New Roman" w:hAnsi="Times New Roman" w:cs="Times New Roman"/>
        </w:rPr>
        <w:t xml:space="preserve"> </w:t>
      </w:r>
      <w:r w:rsidR="00154F8C" w:rsidRPr="00833C88">
        <w:rPr>
          <w:rFonts w:ascii="Times New Roman" w:hAnsi="Times New Roman" w:cs="Times New Roman"/>
        </w:rPr>
        <w:t xml:space="preserve">lub zawiera umowę </w:t>
      </w:r>
      <w:r w:rsidR="00154F8C" w:rsidRPr="00833C88">
        <w:rPr>
          <w:rFonts w:ascii="Times New Roman" w:hAnsi="Times New Roman" w:cs="Times New Roman"/>
        </w:rPr>
        <w:lastRenderedPageBreak/>
        <w:t>z</w:t>
      </w:r>
      <w:r w:rsidR="009B4C26" w:rsidRPr="00833C88">
        <w:rPr>
          <w:rFonts w:ascii="Times New Roman" w:hAnsi="Times New Roman" w:cs="Times New Roman"/>
        </w:rPr>
        <w:t> </w:t>
      </w:r>
      <w:r w:rsidR="00154F8C" w:rsidRPr="00833C88">
        <w:rPr>
          <w:rFonts w:ascii="Times New Roman" w:hAnsi="Times New Roman" w:cs="Times New Roman"/>
        </w:rPr>
        <w:t xml:space="preserve">dostawcą usług zarządzanych </w:t>
      </w:r>
      <w:r w:rsidR="00601933" w:rsidRPr="00833C88">
        <w:rPr>
          <w:rFonts w:ascii="Times New Roman" w:hAnsi="Times New Roman" w:cs="Times New Roman"/>
        </w:rPr>
        <w:t>w </w:t>
      </w:r>
      <w:r w:rsidR="00154F8C" w:rsidRPr="00833C88">
        <w:rPr>
          <w:rFonts w:ascii="Times New Roman" w:hAnsi="Times New Roman" w:cs="Times New Roman"/>
        </w:rPr>
        <w:t xml:space="preserve">zakresie cyberbezpieczeństwa. Kluczowy jest tutaj spójnik „lub” </w:t>
      </w:r>
      <w:r w:rsidR="00137E81" w:rsidRPr="00833C88">
        <w:rPr>
          <w:rFonts w:ascii="Times New Roman" w:hAnsi="Times New Roman" w:cs="Times New Roman"/>
        </w:rPr>
        <w:t>–</w:t>
      </w:r>
      <w:r w:rsidR="00154F8C" w:rsidRPr="00833C88">
        <w:rPr>
          <w:rFonts w:ascii="Times New Roman" w:hAnsi="Times New Roman" w:cs="Times New Roman"/>
        </w:rPr>
        <w:t xml:space="preserve"> chodzi </w:t>
      </w:r>
      <w:r w:rsidR="00601933" w:rsidRPr="00833C88">
        <w:rPr>
          <w:rFonts w:ascii="Times New Roman" w:hAnsi="Times New Roman" w:cs="Times New Roman"/>
        </w:rPr>
        <w:t>o </w:t>
      </w:r>
      <w:r w:rsidR="00154F8C" w:rsidRPr="00833C88">
        <w:rPr>
          <w:rFonts w:ascii="Times New Roman" w:hAnsi="Times New Roman" w:cs="Times New Roman"/>
        </w:rPr>
        <w:t xml:space="preserve">możliwość outsourcingu </w:t>
      </w:r>
      <w:r w:rsidR="00DB262A" w:rsidRPr="00833C88">
        <w:rPr>
          <w:rFonts w:ascii="Times New Roman" w:hAnsi="Times New Roman" w:cs="Times New Roman"/>
        </w:rPr>
        <w:t xml:space="preserve">tylko niektórych zadań. </w:t>
      </w:r>
      <w:r w:rsidR="00902AAE" w:rsidRPr="00833C88">
        <w:rPr>
          <w:rFonts w:ascii="Times New Roman" w:hAnsi="Times New Roman" w:cs="Times New Roman"/>
        </w:rPr>
        <w:t xml:space="preserve">Decyzja </w:t>
      </w:r>
      <w:r w:rsidR="00601933" w:rsidRPr="00833C88">
        <w:rPr>
          <w:rFonts w:ascii="Times New Roman" w:hAnsi="Times New Roman" w:cs="Times New Roman"/>
        </w:rPr>
        <w:t>o </w:t>
      </w:r>
      <w:r w:rsidR="00902AAE" w:rsidRPr="00833C88">
        <w:rPr>
          <w:rFonts w:ascii="Times New Roman" w:hAnsi="Times New Roman" w:cs="Times New Roman"/>
        </w:rPr>
        <w:t xml:space="preserve">wyborze modelu realizacji zadań należy do podmiotu kluczowego lub podmiotu ważnego. </w:t>
      </w:r>
      <w:r w:rsidR="00480F6E" w:rsidRPr="00833C88">
        <w:rPr>
          <w:rFonts w:ascii="Times New Roman" w:hAnsi="Times New Roman" w:cs="Times New Roman"/>
        </w:rPr>
        <w:t xml:space="preserve">Podkreślić jednak należy, że musi być ona rozsądna. Zadania </w:t>
      </w:r>
      <w:r w:rsidR="00601933" w:rsidRPr="00833C88">
        <w:rPr>
          <w:rFonts w:ascii="Times New Roman" w:hAnsi="Times New Roman" w:cs="Times New Roman"/>
        </w:rPr>
        <w:t>z </w:t>
      </w:r>
      <w:r w:rsidR="00480F6E" w:rsidRPr="00833C88">
        <w:rPr>
          <w:rFonts w:ascii="Times New Roman" w:hAnsi="Times New Roman" w:cs="Times New Roman"/>
        </w:rPr>
        <w:t xml:space="preserve">zakresu </w:t>
      </w:r>
      <w:r w:rsidR="00137E81" w:rsidRPr="00833C88">
        <w:rPr>
          <w:rFonts w:ascii="Times New Roman" w:hAnsi="Times New Roman" w:cs="Times New Roman"/>
        </w:rPr>
        <w:t>c</w:t>
      </w:r>
      <w:r w:rsidR="00480F6E" w:rsidRPr="00833C88">
        <w:rPr>
          <w:rFonts w:ascii="Times New Roman" w:hAnsi="Times New Roman" w:cs="Times New Roman"/>
        </w:rPr>
        <w:t xml:space="preserve">yberbezpieczeństwa nie powinny być powierzane np. przeciążonemu działowi </w:t>
      </w:r>
      <w:proofErr w:type="spellStart"/>
      <w:r w:rsidR="006545E9" w:rsidRPr="00833C88">
        <w:rPr>
          <w:rFonts w:ascii="Times New Roman" w:hAnsi="Times New Roman" w:cs="Times New Roman"/>
        </w:rPr>
        <w:t>help-desk</w:t>
      </w:r>
      <w:proofErr w:type="spellEnd"/>
      <w:r w:rsidR="006545E9" w:rsidRPr="00833C88">
        <w:rPr>
          <w:rFonts w:ascii="Times New Roman" w:hAnsi="Times New Roman" w:cs="Times New Roman"/>
        </w:rPr>
        <w:t>, ponieważ nie będą one realizowane efektywnie.</w:t>
      </w:r>
    </w:p>
    <w:p w14:paraId="0FEBCC8C" w14:textId="19C9ACF5" w:rsidR="00DE3144" w:rsidRPr="00833C88" w:rsidRDefault="00137E81" w:rsidP="00CD1718">
      <w:pPr>
        <w:pStyle w:val="ARTartustawynprozporzdzenia"/>
        <w:spacing w:before="0" w:after="120"/>
        <w:rPr>
          <w:rFonts w:ascii="Times New Roman" w:hAnsi="Times New Roman" w:cs="Times New Roman"/>
        </w:rPr>
      </w:pPr>
      <w:r w:rsidRPr="00833C88">
        <w:rPr>
          <w:rFonts w:ascii="Times New Roman" w:hAnsi="Times New Roman" w:cs="Times New Roman"/>
        </w:rPr>
        <w:t>T</w:t>
      </w:r>
      <w:r w:rsidR="00DE3144" w:rsidRPr="00833C88">
        <w:rPr>
          <w:rFonts w:ascii="Times New Roman" w:hAnsi="Times New Roman" w:cs="Times New Roman"/>
        </w:rPr>
        <w:t xml:space="preserve">raci moc rozporządzenie Ministra Cyfryzacji z dnia 4 grudnia 2019 r. w sprawie warunków organizacyjnych i technicznych dla podmiotów świadczących usługi z zakresu cyberbezpieczeństwa oraz wewnętrznych struktur organizacyjnych operatorów usług kluczowych odpowiedzialnych za </w:t>
      </w:r>
      <w:r w:rsidR="00DE3144" w:rsidRPr="00833C88">
        <w:rPr>
          <w:rFonts w:ascii="Times New Roman" w:hAnsi="Times New Roman" w:cs="Times New Roman"/>
          <w:szCs w:val="24"/>
        </w:rPr>
        <w:t>cyberbezpieczeństwo (Dz. U. poz. 2479)</w:t>
      </w:r>
      <w:r w:rsidR="00DB262A" w:rsidRPr="00833C88">
        <w:rPr>
          <w:rFonts w:ascii="Times New Roman" w:hAnsi="Times New Roman" w:cs="Times New Roman"/>
          <w:szCs w:val="24"/>
        </w:rPr>
        <w:t>, które było wydane na podstawie obecnego art. 14</w:t>
      </w:r>
      <w:r w:rsidR="0054686C" w:rsidRPr="00833C88">
        <w:rPr>
          <w:rFonts w:ascii="Times New Roman" w:hAnsi="Times New Roman" w:cs="Times New Roman"/>
          <w:szCs w:val="24"/>
        </w:rPr>
        <w:t xml:space="preserve"> ustawy </w:t>
      </w:r>
      <w:r w:rsidR="00601933" w:rsidRPr="00833C88">
        <w:rPr>
          <w:rFonts w:ascii="Times New Roman" w:hAnsi="Times New Roman" w:cs="Times New Roman"/>
          <w:szCs w:val="24"/>
        </w:rPr>
        <w:t>o </w:t>
      </w:r>
      <w:r w:rsidR="0054686C" w:rsidRPr="00833C88">
        <w:rPr>
          <w:rFonts w:ascii="Times New Roman" w:hAnsi="Times New Roman" w:cs="Times New Roman"/>
          <w:szCs w:val="24"/>
        </w:rPr>
        <w:t>KSC</w:t>
      </w:r>
      <w:r w:rsidR="00DE3144" w:rsidRPr="00833C88">
        <w:rPr>
          <w:rFonts w:ascii="Times New Roman" w:hAnsi="Times New Roman" w:cs="Times New Roman"/>
          <w:szCs w:val="24"/>
        </w:rPr>
        <w:t>.</w:t>
      </w:r>
      <w:r w:rsidR="00DE3144" w:rsidRPr="00833C88">
        <w:rPr>
          <w:rFonts w:ascii="Times New Roman" w:hAnsi="Times New Roman" w:cs="Times New Roman"/>
        </w:rPr>
        <w:t xml:space="preserve"> Przede wszystkim dotychczasowe podmioty świadczące usługi z zakresu cyberbezpieczeństwa staną się pod rządami znowelizowanej ustawy dostawcami usług zarządzanych </w:t>
      </w:r>
      <w:r w:rsidR="00601933" w:rsidRPr="00833C88">
        <w:rPr>
          <w:rFonts w:ascii="Times New Roman" w:hAnsi="Times New Roman" w:cs="Times New Roman"/>
        </w:rPr>
        <w:t>z </w:t>
      </w:r>
      <w:r w:rsidR="00DE3144" w:rsidRPr="00833C88">
        <w:rPr>
          <w:rFonts w:ascii="Times New Roman" w:hAnsi="Times New Roman" w:cs="Times New Roman"/>
        </w:rPr>
        <w:t>zakresu cyberbezpieczeństwa</w:t>
      </w:r>
      <w:r w:rsidRPr="00833C88">
        <w:rPr>
          <w:rFonts w:ascii="Times New Roman" w:hAnsi="Times New Roman" w:cs="Times New Roman"/>
        </w:rPr>
        <w:t xml:space="preserve"> </w:t>
      </w:r>
      <w:r w:rsidR="00601933" w:rsidRPr="00833C88">
        <w:rPr>
          <w:rFonts w:ascii="Times New Roman" w:hAnsi="Times New Roman" w:cs="Times New Roman"/>
        </w:rPr>
        <w:t>i </w:t>
      </w:r>
      <w:r w:rsidR="00DE3144" w:rsidRPr="00833C88">
        <w:rPr>
          <w:rFonts w:ascii="Times New Roman" w:hAnsi="Times New Roman" w:cs="Times New Roman"/>
        </w:rPr>
        <w:t>będą podlega</w:t>
      </w:r>
      <w:r w:rsidR="007A19C8" w:rsidRPr="00833C88">
        <w:rPr>
          <w:rFonts w:ascii="Times New Roman" w:hAnsi="Times New Roman" w:cs="Times New Roman"/>
        </w:rPr>
        <w:t>ły</w:t>
      </w:r>
      <w:r w:rsidR="00DE3144" w:rsidRPr="00833C88">
        <w:rPr>
          <w:rFonts w:ascii="Times New Roman" w:hAnsi="Times New Roman" w:cs="Times New Roman"/>
        </w:rPr>
        <w:t xml:space="preserve"> wymogom wdrożenia systemu zarządzania bezpieczeństwem informacji. </w:t>
      </w:r>
      <w:r w:rsidR="004402AF" w:rsidRPr="00833C88">
        <w:rPr>
          <w:rFonts w:ascii="Times New Roman" w:hAnsi="Times New Roman" w:cs="Times New Roman"/>
        </w:rPr>
        <w:t>Wprowadzanie odrębnych</w:t>
      </w:r>
      <w:r w:rsidR="00DE3144" w:rsidRPr="00833C88">
        <w:rPr>
          <w:rFonts w:ascii="Times New Roman" w:hAnsi="Times New Roman" w:cs="Times New Roman"/>
        </w:rPr>
        <w:t xml:space="preserve"> wymogów dla nich jest zbędne, wobec tego przepisy ww. rozporządzenia wymagają uchylenia.</w:t>
      </w:r>
    </w:p>
    <w:p w14:paraId="7C97A15A" w14:textId="5688294A" w:rsidR="00F24A79" w:rsidRPr="00833C88" w:rsidRDefault="003F2CF5" w:rsidP="00BC7BDE">
      <w:pPr>
        <w:pStyle w:val="Nagwek2"/>
        <w:spacing w:before="0" w:after="120" w:line="360" w:lineRule="auto"/>
        <w:jc w:val="both"/>
        <w:rPr>
          <w:rFonts w:cs="Times New Roman"/>
          <w:b/>
          <w:bCs/>
        </w:rPr>
      </w:pPr>
      <w:r w:rsidRPr="00833C88">
        <w:rPr>
          <w:rFonts w:cs="Times New Roman"/>
          <w:b/>
          <w:bCs/>
        </w:rPr>
        <w:t xml:space="preserve">Audyt </w:t>
      </w:r>
    </w:p>
    <w:p w14:paraId="3F2D9DA7" w14:textId="469FA36E" w:rsidR="00FB02E7" w:rsidRPr="00833C88" w:rsidRDefault="009E726B"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Podmioty kluczowe </w:t>
      </w:r>
      <w:r w:rsidR="00C82004" w:rsidRPr="00833C88">
        <w:rPr>
          <w:rFonts w:eastAsia="Times New Roman" w:cs="Times New Roman"/>
          <w:sz w:val="24"/>
          <w:szCs w:val="24"/>
          <w:lang w:eastAsia="pl-PL"/>
        </w:rPr>
        <w:t xml:space="preserve">mają obowiązek zapewnić przeprowadzenie, na własny koszt, co najmniej raz na </w:t>
      </w:r>
      <w:r w:rsidR="00CA31C0" w:rsidRPr="00833C88">
        <w:rPr>
          <w:rFonts w:eastAsia="Times New Roman" w:cs="Times New Roman"/>
          <w:sz w:val="24"/>
          <w:szCs w:val="24"/>
          <w:lang w:eastAsia="pl-PL"/>
        </w:rPr>
        <w:t>3</w:t>
      </w:r>
      <w:r w:rsidR="00C82004" w:rsidRPr="00833C88">
        <w:rPr>
          <w:rFonts w:eastAsia="Times New Roman" w:cs="Times New Roman"/>
          <w:sz w:val="24"/>
          <w:szCs w:val="24"/>
          <w:lang w:eastAsia="pl-PL"/>
        </w:rPr>
        <w:t xml:space="preserve"> lata</w:t>
      </w:r>
      <w:r w:rsidR="00A619CF" w:rsidRPr="00833C88">
        <w:rPr>
          <w:rFonts w:eastAsia="Times New Roman" w:cs="Times New Roman"/>
          <w:sz w:val="24"/>
          <w:szCs w:val="24"/>
          <w:lang w:eastAsia="pl-PL"/>
        </w:rPr>
        <w:t xml:space="preserve">, audytu bezpieczeństwa systemu informacyjnego wykorzystywanego </w:t>
      </w:r>
      <w:r w:rsidR="00601933" w:rsidRPr="00833C88">
        <w:rPr>
          <w:rFonts w:eastAsia="Times New Roman" w:cs="Times New Roman"/>
          <w:sz w:val="24"/>
          <w:szCs w:val="24"/>
          <w:lang w:eastAsia="pl-PL"/>
        </w:rPr>
        <w:t>w </w:t>
      </w:r>
      <w:r w:rsidR="00E40B60" w:rsidRPr="00833C88">
        <w:rPr>
          <w:rFonts w:eastAsia="Times New Roman" w:cs="Times New Roman"/>
          <w:sz w:val="24"/>
          <w:szCs w:val="24"/>
          <w:lang w:eastAsia="pl-PL"/>
        </w:rPr>
        <w:t xml:space="preserve">procesie </w:t>
      </w:r>
      <w:r w:rsidR="00A619CF" w:rsidRPr="00833C88">
        <w:rPr>
          <w:rFonts w:eastAsia="Times New Roman" w:cs="Times New Roman"/>
          <w:sz w:val="24"/>
          <w:szCs w:val="24"/>
          <w:lang w:eastAsia="pl-PL"/>
        </w:rPr>
        <w:t>świadczenia usług</w:t>
      </w:r>
      <w:r w:rsidR="00E40B60" w:rsidRPr="00833C88">
        <w:rPr>
          <w:rFonts w:eastAsia="Times New Roman" w:cs="Times New Roman"/>
          <w:sz w:val="24"/>
          <w:szCs w:val="24"/>
          <w:lang w:eastAsia="pl-PL"/>
        </w:rPr>
        <w:t>i</w:t>
      </w:r>
      <w:r w:rsidR="00C82004" w:rsidRPr="00833C88">
        <w:rPr>
          <w:rFonts w:eastAsia="Times New Roman" w:cs="Times New Roman"/>
          <w:sz w:val="24"/>
          <w:szCs w:val="24"/>
          <w:lang w:eastAsia="pl-PL"/>
        </w:rPr>
        <w:t>.</w:t>
      </w:r>
      <w:r w:rsidR="00543F2A" w:rsidRPr="00833C88">
        <w:rPr>
          <w:rFonts w:eastAsia="Times New Roman" w:cs="Times New Roman"/>
          <w:sz w:val="24"/>
          <w:szCs w:val="24"/>
          <w:lang w:eastAsia="pl-PL"/>
        </w:rPr>
        <w:t xml:space="preserve"> Musi on być przeprowadzony przez podmiot posiadający odpowiednią akredytacj</w:t>
      </w:r>
      <w:r w:rsidR="00D81A71" w:rsidRPr="00833C88">
        <w:rPr>
          <w:rFonts w:eastAsia="Times New Roman" w:cs="Times New Roman"/>
          <w:sz w:val="24"/>
          <w:szCs w:val="24"/>
          <w:lang w:eastAsia="pl-PL"/>
        </w:rPr>
        <w:t>ę</w:t>
      </w:r>
      <w:r w:rsidR="00543F2A" w:rsidRPr="00833C88">
        <w:rPr>
          <w:rFonts w:eastAsia="Times New Roman" w:cs="Times New Roman"/>
          <w:sz w:val="24"/>
          <w:szCs w:val="24"/>
          <w:lang w:eastAsia="pl-PL"/>
        </w:rPr>
        <w:t xml:space="preserve">, dwóch audytorów legitymujących się odpowiednimi </w:t>
      </w:r>
      <w:r w:rsidR="00A32EAF" w:rsidRPr="00833C88">
        <w:rPr>
          <w:rFonts w:eastAsia="Times New Roman" w:cs="Times New Roman"/>
          <w:sz w:val="24"/>
          <w:szCs w:val="24"/>
          <w:lang w:eastAsia="pl-PL"/>
        </w:rPr>
        <w:t xml:space="preserve">certyfikatami </w:t>
      </w:r>
      <w:r w:rsidR="00601933" w:rsidRPr="00833C88">
        <w:rPr>
          <w:rFonts w:eastAsia="Times New Roman" w:cs="Times New Roman"/>
          <w:sz w:val="24"/>
          <w:szCs w:val="24"/>
          <w:lang w:eastAsia="pl-PL"/>
        </w:rPr>
        <w:t>i </w:t>
      </w:r>
      <w:r w:rsidR="00A32EAF" w:rsidRPr="00833C88">
        <w:rPr>
          <w:rFonts w:eastAsia="Times New Roman" w:cs="Times New Roman"/>
          <w:sz w:val="24"/>
          <w:szCs w:val="24"/>
          <w:lang w:eastAsia="pl-PL"/>
        </w:rPr>
        <w:t>doświadczeni</w:t>
      </w:r>
      <w:r w:rsidR="008D6E07" w:rsidRPr="00833C88">
        <w:rPr>
          <w:rFonts w:eastAsia="Times New Roman" w:cs="Times New Roman"/>
          <w:sz w:val="24"/>
          <w:szCs w:val="24"/>
          <w:lang w:eastAsia="pl-PL"/>
        </w:rPr>
        <w:t>em</w:t>
      </w:r>
      <w:r w:rsidR="00A32EAF" w:rsidRPr="00833C88">
        <w:rPr>
          <w:rFonts w:eastAsia="Times New Roman" w:cs="Times New Roman"/>
          <w:sz w:val="24"/>
          <w:szCs w:val="24"/>
          <w:lang w:eastAsia="pl-PL"/>
        </w:rPr>
        <w:t xml:space="preserve"> </w:t>
      </w:r>
      <w:r w:rsidR="00440B7D" w:rsidRPr="00833C88">
        <w:rPr>
          <w:rFonts w:eastAsia="Times New Roman" w:cs="Times New Roman"/>
          <w:sz w:val="24"/>
          <w:szCs w:val="24"/>
          <w:lang w:eastAsia="pl-PL"/>
        </w:rPr>
        <w:t>lub przez CSIRT sektorowy.</w:t>
      </w:r>
      <w:r w:rsidR="00C3228C" w:rsidRPr="00833C88">
        <w:rPr>
          <w:rFonts w:eastAsia="Times New Roman" w:cs="Times New Roman"/>
          <w:sz w:val="24"/>
          <w:szCs w:val="24"/>
          <w:lang w:eastAsia="pl-PL"/>
        </w:rPr>
        <w:t xml:space="preserve"> Audyty na zgodność należy rozumieć jako przeprowadzane na zgodność </w:t>
      </w:r>
      <w:r w:rsidR="00601933" w:rsidRPr="00833C88">
        <w:rPr>
          <w:rFonts w:eastAsia="Times New Roman" w:cs="Times New Roman"/>
          <w:sz w:val="24"/>
          <w:szCs w:val="24"/>
          <w:lang w:eastAsia="pl-PL"/>
        </w:rPr>
        <w:t>z </w:t>
      </w:r>
      <w:r w:rsidR="00C3228C" w:rsidRPr="00833C88">
        <w:rPr>
          <w:rFonts w:eastAsia="Times New Roman" w:cs="Times New Roman"/>
          <w:sz w:val="24"/>
          <w:szCs w:val="24"/>
          <w:lang w:eastAsia="pl-PL"/>
        </w:rPr>
        <w:t>przepisami ustawy.</w:t>
      </w:r>
      <w:r w:rsidR="00440B7D" w:rsidRPr="00833C88">
        <w:rPr>
          <w:rFonts w:eastAsia="Times New Roman" w:cs="Times New Roman"/>
          <w:sz w:val="24"/>
          <w:szCs w:val="24"/>
          <w:lang w:eastAsia="pl-PL"/>
        </w:rPr>
        <w:t xml:space="preserve"> </w:t>
      </w:r>
      <w:r w:rsidR="003504D5" w:rsidRPr="00833C88">
        <w:rPr>
          <w:rFonts w:eastAsia="Times New Roman" w:cs="Times New Roman"/>
          <w:sz w:val="24"/>
          <w:szCs w:val="24"/>
          <w:lang w:eastAsia="pl-PL"/>
        </w:rPr>
        <w:t>Audyt</w:t>
      </w:r>
      <w:r w:rsidR="0054686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54686C"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0054686C" w:rsidRPr="00833C88">
        <w:rPr>
          <w:rFonts w:eastAsia="Times New Roman" w:cs="Times New Roman"/>
          <w:sz w:val="24"/>
          <w:szCs w:val="24"/>
          <w:lang w:eastAsia="pl-PL"/>
        </w:rPr>
        <w:t>projektowanym</w:t>
      </w:r>
      <w:r w:rsidR="003504D5" w:rsidRPr="00833C88">
        <w:rPr>
          <w:rFonts w:eastAsia="Times New Roman" w:cs="Times New Roman"/>
          <w:sz w:val="24"/>
          <w:szCs w:val="24"/>
          <w:lang w:eastAsia="pl-PL"/>
        </w:rPr>
        <w:t xml:space="preserve"> art. 15 ust. 1</w:t>
      </w:r>
      <w:r w:rsidR="0054686C" w:rsidRPr="00833C88">
        <w:rPr>
          <w:rFonts w:eastAsia="Times New Roman" w:cs="Times New Roman"/>
          <w:sz w:val="24"/>
          <w:szCs w:val="24"/>
          <w:lang w:eastAsia="pl-PL"/>
        </w:rPr>
        <w:t>,</w:t>
      </w:r>
      <w:r w:rsidR="003504D5" w:rsidRPr="00833C88">
        <w:rPr>
          <w:rFonts w:eastAsia="Times New Roman" w:cs="Times New Roman"/>
          <w:sz w:val="24"/>
          <w:szCs w:val="24"/>
          <w:lang w:eastAsia="pl-PL"/>
        </w:rPr>
        <w:t xml:space="preserve"> może być audytem wewnętrznym lub zewnętrznym. </w:t>
      </w:r>
      <w:r w:rsidR="00440B7D" w:rsidRPr="00833C88">
        <w:rPr>
          <w:rFonts w:eastAsia="Times New Roman" w:cs="Times New Roman"/>
          <w:sz w:val="24"/>
          <w:szCs w:val="24"/>
          <w:lang w:eastAsia="pl-PL"/>
        </w:rPr>
        <w:t xml:space="preserve">Te przepisy </w:t>
      </w:r>
      <w:r w:rsidR="00FB02E7" w:rsidRPr="00833C88">
        <w:rPr>
          <w:rFonts w:eastAsia="Times New Roman" w:cs="Times New Roman"/>
          <w:sz w:val="24"/>
          <w:szCs w:val="24"/>
          <w:lang w:eastAsia="pl-PL"/>
        </w:rPr>
        <w:t xml:space="preserve">są analogiczne do obecnych rozwiązań </w:t>
      </w:r>
      <w:r w:rsidR="00601933" w:rsidRPr="00833C88">
        <w:rPr>
          <w:rFonts w:eastAsia="Times New Roman" w:cs="Times New Roman"/>
          <w:sz w:val="24"/>
          <w:szCs w:val="24"/>
          <w:lang w:eastAsia="pl-PL"/>
        </w:rPr>
        <w:t>w </w:t>
      </w:r>
      <w:r w:rsidR="00FB02E7" w:rsidRPr="00833C88">
        <w:rPr>
          <w:rFonts w:eastAsia="Times New Roman" w:cs="Times New Roman"/>
          <w:sz w:val="24"/>
          <w:szCs w:val="24"/>
          <w:lang w:eastAsia="pl-PL"/>
        </w:rPr>
        <w:t xml:space="preserve">tym zakresie </w:t>
      </w:r>
      <w:r w:rsidR="00601933" w:rsidRPr="00833C88">
        <w:rPr>
          <w:rFonts w:eastAsia="Times New Roman" w:cs="Times New Roman"/>
          <w:sz w:val="24"/>
          <w:szCs w:val="24"/>
          <w:lang w:eastAsia="pl-PL"/>
        </w:rPr>
        <w:t>i </w:t>
      </w:r>
      <w:r w:rsidR="00FB02E7" w:rsidRPr="00833C88">
        <w:rPr>
          <w:rFonts w:eastAsia="Times New Roman" w:cs="Times New Roman"/>
          <w:sz w:val="24"/>
          <w:szCs w:val="24"/>
          <w:lang w:eastAsia="pl-PL"/>
        </w:rPr>
        <w:t>nie wprowadzają istotnych zmian.</w:t>
      </w:r>
      <w:r w:rsidR="00B429CC" w:rsidRPr="00833C88">
        <w:rPr>
          <w:rFonts w:eastAsia="Times New Roman" w:cs="Times New Roman"/>
          <w:sz w:val="24"/>
          <w:szCs w:val="24"/>
          <w:lang w:eastAsia="pl-PL"/>
        </w:rPr>
        <w:t xml:space="preserve"> </w:t>
      </w:r>
      <w:r w:rsidR="008A2860" w:rsidRPr="00833C88">
        <w:rPr>
          <w:rFonts w:eastAsia="Times New Roman" w:cs="Times New Roman"/>
          <w:sz w:val="24"/>
          <w:szCs w:val="24"/>
          <w:lang w:eastAsia="pl-PL"/>
        </w:rPr>
        <w:t xml:space="preserve">Audyt powinien dotyczyć całego </w:t>
      </w:r>
      <w:r w:rsidR="00CE2EFA" w:rsidRPr="00833C88">
        <w:rPr>
          <w:rFonts w:eastAsia="Times New Roman" w:cs="Times New Roman"/>
          <w:sz w:val="24"/>
          <w:szCs w:val="24"/>
          <w:lang w:eastAsia="pl-PL"/>
        </w:rPr>
        <w:t xml:space="preserve">systemu informacyjnego wykorzystywanego przez dany podmiot, </w:t>
      </w:r>
      <w:r w:rsidR="00601933" w:rsidRPr="00833C88">
        <w:rPr>
          <w:rFonts w:eastAsia="Times New Roman" w:cs="Times New Roman"/>
          <w:sz w:val="24"/>
          <w:szCs w:val="24"/>
          <w:lang w:eastAsia="pl-PL"/>
        </w:rPr>
        <w:t>a </w:t>
      </w:r>
      <w:r w:rsidR="00CE2EFA" w:rsidRPr="00833C88">
        <w:rPr>
          <w:rFonts w:eastAsia="Times New Roman" w:cs="Times New Roman"/>
          <w:sz w:val="24"/>
          <w:szCs w:val="24"/>
          <w:lang w:eastAsia="pl-PL"/>
        </w:rPr>
        <w:t xml:space="preserve">nie jedynie </w:t>
      </w:r>
      <w:r w:rsidR="00791F22" w:rsidRPr="00833C88">
        <w:rPr>
          <w:rFonts w:eastAsia="Times New Roman" w:cs="Times New Roman"/>
          <w:sz w:val="24"/>
          <w:szCs w:val="24"/>
          <w:lang w:eastAsia="pl-PL"/>
        </w:rPr>
        <w:t xml:space="preserve">jego części związanych </w:t>
      </w:r>
      <w:r w:rsidR="00601933" w:rsidRPr="00833C88">
        <w:rPr>
          <w:rFonts w:eastAsia="Times New Roman" w:cs="Times New Roman"/>
          <w:sz w:val="24"/>
          <w:szCs w:val="24"/>
          <w:lang w:eastAsia="pl-PL"/>
        </w:rPr>
        <w:t>z </w:t>
      </w:r>
      <w:r w:rsidR="00791F22" w:rsidRPr="00833C88">
        <w:rPr>
          <w:rFonts w:eastAsia="Times New Roman" w:cs="Times New Roman"/>
          <w:sz w:val="24"/>
          <w:szCs w:val="24"/>
          <w:lang w:eastAsia="pl-PL"/>
        </w:rPr>
        <w:t xml:space="preserve">konkretną usługą. Wynika to </w:t>
      </w:r>
      <w:r w:rsidR="00601933" w:rsidRPr="00833C88">
        <w:rPr>
          <w:rFonts w:eastAsia="Times New Roman" w:cs="Times New Roman"/>
          <w:sz w:val="24"/>
          <w:szCs w:val="24"/>
          <w:lang w:eastAsia="pl-PL"/>
        </w:rPr>
        <w:t>z </w:t>
      </w:r>
      <w:r w:rsidR="00791F22" w:rsidRPr="00833C88">
        <w:rPr>
          <w:rFonts w:eastAsia="Times New Roman" w:cs="Times New Roman"/>
          <w:sz w:val="24"/>
          <w:szCs w:val="24"/>
          <w:lang w:eastAsia="pl-PL"/>
        </w:rPr>
        <w:t xml:space="preserve">tego, że </w:t>
      </w:r>
      <w:r w:rsidR="00696F38" w:rsidRPr="00833C88">
        <w:rPr>
          <w:rFonts w:eastAsia="Times New Roman" w:cs="Times New Roman"/>
          <w:sz w:val="24"/>
          <w:szCs w:val="24"/>
          <w:lang w:eastAsia="pl-PL"/>
        </w:rPr>
        <w:t xml:space="preserve">dzięki powiązaniom między poszczególnymi systemami </w:t>
      </w:r>
      <w:r w:rsidR="00405988" w:rsidRPr="00833C88">
        <w:rPr>
          <w:rFonts w:eastAsia="Times New Roman" w:cs="Times New Roman"/>
          <w:sz w:val="24"/>
          <w:szCs w:val="24"/>
          <w:lang w:eastAsia="pl-PL"/>
        </w:rPr>
        <w:t xml:space="preserve">można poprzez inne elementy systemu wpłynąć na kluczową działalność danego podmiotu. </w:t>
      </w:r>
    </w:p>
    <w:p w14:paraId="4A0F46D7" w14:textId="198BAB1C" w:rsidR="009216F0" w:rsidRPr="00833C88" w:rsidRDefault="0098473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R</w:t>
      </w:r>
      <w:r w:rsidR="00560A56" w:rsidRPr="00833C88">
        <w:rPr>
          <w:rFonts w:eastAsia="Times New Roman" w:cs="Times New Roman"/>
          <w:sz w:val="24"/>
          <w:szCs w:val="24"/>
          <w:lang w:eastAsia="pl-PL"/>
        </w:rPr>
        <w:t xml:space="preserve">aportu </w:t>
      </w:r>
      <w:r w:rsidR="00601933" w:rsidRPr="00833C88">
        <w:rPr>
          <w:rFonts w:eastAsia="Times New Roman" w:cs="Times New Roman"/>
          <w:sz w:val="24"/>
          <w:szCs w:val="24"/>
          <w:lang w:eastAsia="pl-PL"/>
        </w:rPr>
        <w:t>z </w:t>
      </w:r>
      <w:r w:rsidR="00560A56" w:rsidRPr="00833C88">
        <w:rPr>
          <w:rFonts w:eastAsia="Times New Roman" w:cs="Times New Roman"/>
          <w:sz w:val="24"/>
          <w:szCs w:val="24"/>
          <w:lang w:eastAsia="pl-PL"/>
        </w:rPr>
        <w:t>audytu</w:t>
      </w:r>
      <w:r w:rsidR="009216F0" w:rsidRPr="00833C88">
        <w:rPr>
          <w:rFonts w:eastAsia="Times New Roman" w:cs="Times New Roman"/>
          <w:sz w:val="24"/>
          <w:szCs w:val="24"/>
          <w:lang w:eastAsia="pl-PL"/>
        </w:rPr>
        <w:t xml:space="preserve"> musi być przekazan</w:t>
      </w:r>
      <w:r w:rsidRPr="00833C88">
        <w:rPr>
          <w:rFonts w:eastAsia="Times New Roman" w:cs="Times New Roman"/>
          <w:sz w:val="24"/>
          <w:szCs w:val="24"/>
          <w:lang w:eastAsia="pl-PL"/>
        </w:rPr>
        <w:t>y</w:t>
      </w:r>
      <w:r w:rsidR="009216F0"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9216F0" w:rsidRPr="00833C88">
        <w:rPr>
          <w:rFonts w:eastAsia="Times New Roman" w:cs="Times New Roman"/>
          <w:sz w:val="24"/>
          <w:szCs w:val="24"/>
          <w:lang w:eastAsia="pl-PL"/>
        </w:rPr>
        <w:t xml:space="preserve">postaci elektronicznej </w:t>
      </w:r>
      <w:r w:rsidR="0043756E" w:rsidRPr="00833C88">
        <w:rPr>
          <w:rFonts w:eastAsia="Times New Roman" w:cs="Times New Roman"/>
          <w:sz w:val="24"/>
          <w:szCs w:val="24"/>
          <w:lang w:eastAsia="pl-PL"/>
        </w:rPr>
        <w:t xml:space="preserve">do </w:t>
      </w:r>
      <w:r w:rsidR="00B350DA" w:rsidRPr="00833C88">
        <w:rPr>
          <w:rFonts w:eastAsia="Times New Roman" w:cs="Times New Roman"/>
          <w:sz w:val="24"/>
          <w:szCs w:val="24"/>
          <w:lang w:eastAsia="pl-PL"/>
        </w:rPr>
        <w:t xml:space="preserve">organu właściwego do spraw cyberbezpieczeństwa </w:t>
      </w:r>
      <w:r w:rsidR="00601933" w:rsidRPr="00833C88">
        <w:rPr>
          <w:rFonts w:eastAsia="Times New Roman" w:cs="Times New Roman"/>
          <w:sz w:val="24"/>
          <w:szCs w:val="24"/>
          <w:lang w:eastAsia="pl-PL"/>
        </w:rPr>
        <w:t>w </w:t>
      </w:r>
      <w:r w:rsidR="00B350DA" w:rsidRPr="00833C88">
        <w:rPr>
          <w:rFonts w:eastAsia="Times New Roman" w:cs="Times New Roman"/>
          <w:sz w:val="24"/>
          <w:szCs w:val="24"/>
          <w:lang w:eastAsia="pl-PL"/>
        </w:rPr>
        <w:t>terminie 3 dni roboczych od otrzymania go od audytorów przez podmiot kluczowy. Jest to niezbędne</w:t>
      </w:r>
      <w:r w:rsidR="0054686C" w:rsidRPr="00833C88">
        <w:rPr>
          <w:rFonts w:eastAsia="Times New Roman" w:cs="Times New Roman"/>
          <w:sz w:val="24"/>
          <w:szCs w:val="24"/>
          <w:lang w:eastAsia="pl-PL"/>
        </w:rPr>
        <w:t>,</w:t>
      </w:r>
      <w:r w:rsidR="00B350DA" w:rsidRPr="00833C88">
        <w:rPr>
          <w:rFonts w:eastAsia="Times New Roman" w:cs="Times New Roman"/>
          <w:sz w:val="24"/>
          <w:szCs w:val="24"/>
          <w:lang w:eastAsia="pl-PL"/>
        </w:rPr>
        <w:t xml:space="preserve"> gdyż </w:t>
      </w:r>
      <w:r w:rsidR="008C0EFF" w:rsidRPr="00833C88">
        <w:rPr>
          <w:rFonts w:eastAsia="Times New Roman" w:cs="Times New Roman"/>
          <w:sz w:val="24"/>
          <w:szCs w:val="24"/>
          <w:lang w:eastAsia="pl-PL"/>
        </w:rPr>
        <w:t xml:space="preserve">analiza </w:t>
      </w:r>
      <w:r w:rsidR="00205BA2" w:rsidRPr="00833C88">
        <w:rPr>
          <w:rFonts w:eastAsia="Times New Roman" w:cs="Times New Roman"/>
          <w:sz w:val="24"/>
          <w:szCs w:val="24"/>
          <w:lang w:eastAsia="pl-PL"/>
        </w:rPr>
        <w:t xml:space="preserve">raportów </w:t>
      </w:r>
      <w:r w:rsidR="008C0EFF" w:rsidRPr="00833C88">
        <w:rPr>
          <w:rFonts w:eastAsia="Times New Roman" w:cs="Times New Roman"/>
          <w:sz w:val="24"/>
          <w:szCs w:val="24"/>
          <w:lang w:eastAsia="pl-PL"/>
        </w:rPr>
        <w:t xml:space="preserve">audytowych będzie jednym ze </w:t>
      </w:r>
      <w:r w:rsidR="008C0EFF" w:rsidRPr="00833C88">
        <w:rPr>
          <w:rFonts w:eastAsia="Times New Roman" w:cs="Times New Roman"/>
          <w:sz w:val="24"/>
          <w:szCs w:val="24"/>
          <w:lang w:eastAsia="pl-PL"/>
        </w:rPr>
        <w:lastRenderedPageBreak/>
        <w:t xml:space="preserve">skuteczniejszych środków nadzorczych </w:t>
      </w:r>
      <w:r w:rsidR="00EF6D87" w:rsidRPr="00833C88">
        <w:rPr>
          <w:rFonts w:eastAsia="Times New Roman" w:cs="Times New Roman"/>
          <w:sz w:val="24"/>
          <w:szCs w:val="24"/>
          <w:lang w:eastAsia="pl-PL"/>
        </w:rPr>
        <w:t xml:space="preserve">przy tak dużej </w:t>
      </w:r>
      <w:r w:rsidR="005A775A" w:rsidRPr="00833C88">
        <w:rPr>
          <w:rFonts w:eastAsia="Times New Roman" w:cs="Times New Roman"/>
          <w:sz w:val="24"/>
          <w:szCs w:val="24"/>
          <w:lang w:eastAsia="pl-PL"/>
        </w:rPr>
        <w:t>liczbie podmiotów podlegających ustawie.</w:t>
      </w:r>
      <w:r w:rsidR="00D81A71" w:rsidRPr="00833C88">
        <w:rPr>
          <w:rFonts w:eastAsia="Times New Roman" w:cs="Times New Roman"/>
          <w:sz w:val="24"/>
          <w:szCs w:val="24"/>
          <w:lang w:eastAsia="pl-PL"/>
        </w:rPr>
        <w:t xml:space="preserve"> Wskazać jednak należy, że przekazanie </w:t>
      </w:r>
      <w:r w:rsidR="0017778E" w:rsidRPr="00833C88">
        <w:rPr>
          <w:rFonts w:eastAsia="Times New Roman" w:cs="Times New Roman"/>
          <w:sz w:val="24"/>
          <w:szCs w:val="24"/>
          <w:lang w:eastAsia="pl-PL"/>
        </w:rPr>
        <w:t xml:space="preserve">raportu </w:t>
      </w:r>
      <w:r w:rsidR="00601933" w:rsidRPr="00833C88">
        <w:rPr>
          <w:rFonts w:eastAsia="Times New Roman" w:cs="Times New Roman"/>
          <w:sz w:val="24"/>
          <w:szCs w:val="24"/>
          <w:lang w:eastAsia="pl-PL"/>
        </w:rPr>
        <w:t>w </w:t>
      </w:r>
      <w:r w:rsidR="00D81A71" w:rsidRPr="00833C88">
        <w:rPr>
          <w:rFonts w:eastAsia="Times New Roman" w:cs="Times New Roman"/>
          <w:sz w:val="24"/>
          <w:szCs w:val="24"/>
          <w:lang w:eastAsia="pl-PL"/>
        </w:rPr>
        <w:t xml:space="preserve">tym terminie odnosi się </w:t>
      </w:r>
      <w:r w:rsidR="00EE5951" w:rsidRPr="00833C88">
        <w:rPr>
          <w:rFonts w:eastAsia="Times New Roman" w:cs="Times New Roman"/>
          <w:sz w:val="24"/>
          <w:szCs w:val="24"/>
          <w:lang w:eastAsia="pl-PL"/>
        </w:rPr>
        <w:t xml:space="preserve">do kopii tego </w:t>
      </w:r>
      <w:r w:rsidR="0017778E" w:rsidRPr="00833C88">
        <w:rPr>
          <w:rFonts w:eastAsia="Times New Roman" w:cs="Times New Roman"/>
          <w:sz w:val="24"/>
          <w:szCs w:val="24"/>
          <w:lang w:eastAsia="pl-PL"/>
        </w:rPr>
        <w:t xml:space="preserve">raportu </w:t>
      </w:r>
      <w:r w:rsidR="00601933" w:rsidRPr="00833C88">
        <w:rPr>
          <w:rFonts w:eastAsia="Times New Roman" w:cs="Times New Roman"/>
          <w:sz w:val="24"/>
          <w:szCs w:val="24"/>
          <w:lang w:eastAsia="pl-PL"/>
        </w:rPr>
        <w:t>i </w:t>
      </w:r>
      <w:r w:rsidR="002A0F47" w:rsidRPr="00833C88">
        <w:rPr>
          <w:rFonts w:eastAsia="Times New Roman" w:cs="Times New Roman"/>
          <w:sz w:val="24"/>
          <w:szCs w:val="24"/>
          <w:lang w:eastAsia="pl-PL"/>
        </w:rPr>
        <w:t>dokonywane jest drogą elektroniczną</w:t>
      </w:r>
      <w:r w:rsidR="005B07DB" w:rsidRPr="00833C88">
        <w:rPr>
          <w:rFonts w:eastAsia="Times New Roman" w:cs="Times New Roman"/>
          <w:sz w:val="24"/>
          <w:szCs w:val="24"/>
          <w:lang w:eastAsia="pl-PL"/>
        </w:rPr>
        <w:t>.</w:t>
      </w:r>
    </w:p>
    <w:p w14:paraId="4DD6179C" w14:textId="0B032716" w:rsidR="005A775A" w:rsidRPr="00833C88" w:rsidRDefault="00AD74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Ponadto wdrożono tutaj postanowienia dyrektywy NIS</w:t>
      </w:r>
      <w:r w:rsidR="00D0072B"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2 </w:t>
      </w:r>
      <w:r w:rsidR="00601933" w:rsidRPr="00833C88">
        <w:rPr>
          <w:rFonts w:eastAsia="Times New Roman" w:cs="Times New Roman"/>
          <w:sz w:val="24"/>
          <w:szCs w:val="24"/>
          <w:lang w:eastAsia="pl-PL"/>
        </w:rPr>
        <w:t>i </w:t>
      </w:r>
      <w:r w:rsidR="00BE39FF" w:rsidRPr="00833C88">
        <w:rPr>
          <w:rFonts w:eastAsia="Times New Roman" w:cs="Times New Roman"/>
          <w:sz w:val="24"/>
          <w:szCs w:val="24"/>
          <w:lang w:eastAsia="pl-PL"/>
        </w:rPr>
        <w:t xml:space="preserve">wskazano, że </w:t>
      </w:r>
      <w:r w:rsidR="006525BA" w:rsidRPr="00833C88">
        <w:rPr>
          <w:rFonts w:eastAsia="Times New Roman" w:cs="Times New Roman"/>
          <w:sz w:val="24"/>
          <w:szCs w:val="24"/>
          <w:lang w:eastAsia="pl-PL"/>
        </w:rPr>
        <w:t>organ właściwy do</w:t>
      </w:r>
      <w:r w:rsidR="009B4C26" w:rsidRPr="00833C88">
        <w:rPr>
          <w:rFonts w:eastAsia="Times New Roman" w:cs="Times New Roman"/>
          <w:sz w:val="24"/>
          <w:szCs w:val="24"/>
          <w:lang w:eastAsia="pl-PL"/>
        </w:rPr>
        <w:t> </w:t>
      </w:r>
      <w:r w:rsidR="006525BA" w:rsidRPr="00833C88">
        <w:rPr>
          <w:rFonts w:eastAsia="Times New Roman" w:cs="Times New Roman"/>
          <w:sz w:val="24"/>
          <w:szCs w:val="24"/>
          <w:lang w:eastAsia="pl-PL"/>
        </w:rPr>
        <w:t xml:space="preserve">spraw cyberbezpieczeństwa będzie mógł nakazać przeprowadzenie </w:t>
      </w:r>
      <w:r w:rsidR="002A0F47" w:rsidRPr="00833C88">
        <w:rPr>
          <w:rFonts w:eastAsia="Times New Roman" w:cs="Times New Roman"/>
          <w:sz w:val="24"/>
          <w:szCs w:val="24"/>
          <w:lang w:eastAsia="pl-PL"/>
        </w:rPr>
        <w:t>audytu doraźnego</w:t>
      </w:r>
      <w:r w:rsidR="0018549B" w:rsidRPr="00833C88">
        <w:rPr>
          <w:rFonts w:eastAsia="Times New Roman" w:cs="Times New Roman"/>
          <w:sz w:val="24"/>
          <w:szCs w:val="24"/>
          <w:lang w:eastAsia="pl-PL"/>
        </w:rPr>
        <w:t xml:space="preserve"> przez podmiot kluczowy lub podmiot ważny.</w:t>
      </w:r>
      <w:r w:rsidR="00944550" w:rsidRPr="00833C88">
        <w:rPr>
          <w:rFonts w:eastAsia="Times New Roman" w:cs="Times New Roman"/>
          <w:sz w:val="24"/>
          <w:szCs w:val="24"/>
          <w:lang w:eastAsia="pl-PL"/>
        </w:rPr>
        <w:t xml:space="preserve"> Audyt ten </w:t>
      </w:r>
      <w:r w:rsidR="00AB3F68" w:rsidRPr="00833C88">
        <w:rPr>
          <w:rFonts w:eastAsia="Times New Roman" w:cs="Times New Roman"/>
          <w:sz w:val="24"/>
          <w:szCs w:val="24"/>
          <w:lang w:eastAsia="pl-PL"/>
        </w:rPr>
        <w:t>jest audytem zewnętrznym.</w:t>
      </w:r>
      <w:r w:rsidR="00A16AA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A16AAE" w:rsidRPr="00833C88">
        <w:rPr>
          <w:rFonts w:eastAsia="Times New Roman" w:cs="Times New Roman"/>
          <w:sz w:val="24"/>
          <w:szCs w:val="24"/>
          <w:lang w:eastAsia="pl-PL"/>
        </w:rPr>
        <w:t>stosunku do podmiotów kluczowych b</w:t>
      </w:r>
      <w:r w:rsidR="00123377" w:rsidRPr="00833C88">
        <w:rPr>
          <w:rFonts w:eastAsia="Times New Roman" w:cs="Times New Roman"/>
          <w:sz w:val="24"/>
          <w:szCs w:val="24"/>
          <w:lang w:eastAsia="pl-PL"/>
        </w:rPr>
        <w:t>ędzie on mógł zostać zlecony</w:t>
      </w:r>
      <w:r w:rsidR="00A16AA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A16AAE" w:rsidRPr="00833C88">
        <w:rPr>
          <w:rFonts w:eastAsia="Times New Roman" w:cs="Times New Roman"/>
          <w:sz w:val="24"/>
          <w:szCs w:val="24"/>
          <w:lang w:eastAsia="pl-PL"/>
        </w:rPr>
        <w:t xml:space="preserve">każdym czasie. Wynika to </w:t>
      </w:r>
      <w:r w:rsidR="00601933" w:rsidRPr="00833C88">
        <w:rPr>
          <w:rFonts w:eastAsia="Times New Roman" w:cs="Times New Roman"/>
          <w:sz w:val="24"/>
          <w:szCs w:val="24"/>
          <w:lang w:eastAsia="pl-PL"/>
        </w:rPr>
        <w:t>z </w:t>
      </w:r>
      <w:r w:rsidR="00A16AAE" w:rsidRPr="00833C88">
        <w:rPr>
          <w:rFonts w:eastAsia="Times New Roman" w:cs="Times New Roman"/>
          <w:sz w:val="24"/>
          <w:szCs w:val="24"/>
          <w:lang w:eastAsia="pl-PL"/>
        </w:rPr>
        <w:t xml:space="preserve">charakteru nadzoru nad podmiotami kluczowymi – prowadzony jest on prewencyjnie </w:t>
      </w:r>
      <w:r w:rsidR="00601933" w:rsidRPr="00833C88">
        <w:rPr>
          <w:rFonts w:eastAsia="Times New Roman" w:cs="Times New Roman"/>
          <w:sz w:val="24"/>
          <w:szCs w:val="24"/>
          <w:lang w:eastAsia="pl-PL"/>
        </w:rPr>
        <w:t>i </w:t>
      </w:r>
      <w:r w:rsidR="00A16AAE" w:rsidRPr="00833C88">
        <w:rPr>
          <w:rFonts w:eastAsia="Times New Roman" w:cs="Times New Roman"/>
          <w:sz w:val="24"/>
          <w:szCs w:val="24"/>
          <w:lang w:eastAsia="pl-PL"/>
        </w:rPr>
        <w:t xml:space="preserve">następczo. </w:t>
      </w:r>
      <w:r w:rsidR="00601933" w:rsidRPr="00833C88">
        <w:rPr>
          <w:rFonts w:eastAsia="Times New Roman" w:cs="Times New Roman"/>
          <w:sz w:val="24"/>
          <w:szCs w:val="24"/>
          <w:lang w:eastAsia="pl-PL"/>
        </w:rPr>
        <w:t>W </w:t>
      </w:r>
      <w:r w:rsidR="00A16AAE" w:rsidRPr="00833C88">
        <w:rPr>
          <w:rFonts w:eastAsia="Times New Roman" w:cs="Times New Roman"/>
          <w:sz w:val="24"/>
          <w:szCs w:val="24"/>
          <w:lang w:eastAsia="pl-PL"/>
        </w:rPr>
        <w:t>stosunku do podmiotów ważnych taki audyt będzie mógł zostać zlecony wyłącznie</w:t>
      </w:r>
      <w:r w:rsidR="0012337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E15A78" w:rsidRPr="00833C88">
        <w:rPr>
          <w:rFonts w:eastAsia="Times New Roman" w:cs="Times New Roman"/>
          <w:sz w:val="24"/>
          <w:szCs w:val="24"/>
          <w:lang w:eastAsia="pl-PL"/>
        </w:rPr>
        <w:t xml:space="preserve">przypadku wystąpienia incydentu poważnego lub innego naruszenia przepisów </w:t>
      </w:r>
      <w:r w:rsidR="00A16AAE" w:rsidRPr="00833C88">
        <w:rPr>
          <w:rFonts w:eastAsia="Times New Roman" w:cs="Times New Roman"/>
          <w:sz w:val="24"/>
          <w:szCs w:val="24"/>
          <w:lang w:eastAsia="pl-PL"/>
        </w:rPr>
        <w:t>ustawy</w:t>
      </w:r>
      <w:r w:rsidR="00E15A78" w:rsidRPr="00833C88">
        <w:rPr>
          <w:rFonts w:eastAsia="Times New Roman" w:cs="Times New Roman"/>
          <w:sz w:val="24"/>
          <w:szCs w:val="24"/>
          <w:lang w:eastAsia="pl-PL"/>
        </w:rPr>
        <w:t>.</w:t>
      </w:r>
      <w:r w:rsidR="008378B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8378B2" w:rsidRPr="00833C88">
        <w:rPr>
          <w:rFonts w:eastAsia="Times New Roman" w:cs="Times New Roman"/>
          <w:sz w:val="24"/>
          <w:szCs w:val="24"/>
          <w:lang w:eastAsia="pl-PL"/>
        </w:rPr>
        <w:t>decyzji nakazującej przeprowadzenie audytu doraźnego</w:t>
      </w:r>
      <w:r w:rsidR="00401B37" w:rsidRPr="00833C88">
        <w:rPr>
          <w:rFonts w:eastAsia="Times New Roman" w:cs="Times New Roman"/>
          <w:sz w:val="24"/>
          <w:szCs w:val="24"/>
          <w:lang w:eastAsia="pl-PL"/>
        </w:rPr>
        <w:t xml:space="preserve"> organ właściwy do spraw cyberbezpieczeństwa określi termin przekazania </w:t>
      </w:r>
      <w:r w:rsidR="00266FC9" w:rsidRPr="00833C88">
        <w:rPr>
          <w:rFonts w:eastAsia="Times New Roman" w:cs="Times New Roman"/>
          <w:sz w:val="24"/>
          <w:szCs w:val="24"/>
          <w:lang w:eastAsia="pl-PL"/>
        </w:rPr>
        <w:t xml:space="preserve">raportu </w:t>
      </w:r>
      <w:r w:rsidR="00601933" w:rsidRPr="00833C88">
        <w:rPr>
          <w:rFonts w:eastAsia="Times New Roman" w:cs="Times New Roman"/>
          <w:sz w:val="24"/>
          <w:szCs w:val="24"/>
          <w:lang w:eastAsia="pl-PL"/>
        </w:rPr>
        <w:t>z </w:t>
      </w:r>
      <w:r w:rsidR="00401B37" w:rsidRPr="00833C88">
        <w:rPr>
          <w:rFonts w:eastAsia="Times New Roman" w:cs="Times New Roman"/>
          <w:sz w:val="24"/>
          <w:szCs w:val="24"/>
          <w:lang w:eastAsia="pl-PL"/>
        </w:rPr>
        <w:t>przeprowadzonego audytu</w:t>
      </w:r>
      <w:r w:rsidR="00E959F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401B37" w:rsidRPr="00833C88">
        <w:rPr>
          <w:rFonts w:eastAsia="Times New Roman" w:cs="Times New Roman"/>
          <w:sz w:val="24"/>
          <w:szCs w:val="24"/>
          <w:lang w:eastAsia="pl-PL"/>
        </w:rPr>
        <w:t>wskaże podmioty uprawnione do jego przeprowadzenia</w:t>
      </w:r>
      <w:r w:rsidR="00E959FC" w:rsidRPr="00833C88">
        <w:rPr>
          <w:rFonts w:eastAsia="Times New Roman" w:cs="Times New Roman"/>
          <w:sz w:val="24"/>
          <w:szCs w:val="24"/>
          <w:lang w:eastAsia="pl-PL"/>
        </w:rPr>
        <w:t xml:space="preserve"> uwzględniając przepisy ustawy. Będzie mógł także określić zakres audytu. Brak określenia zakresu audytu równoważny jest </w:t>
      </w:r>
      <w:r w:rsidR="00601933" w:rsidRPr="00833C88">
        <w:rPr>
          <w:rFonts w:eastAsia="Times New Roman" w:cs="Times New Roman"/>
          <w:sz w:val="24"/>
          <w:szCs w:val="24"/>
          <w:lang w:eastAsia="pl-PL"/>
        </w:rPr>
        <w:t>z </w:t>
      </w:r>
      <w:r w:rsidR="00E959FC" w:rsidRPr="00833C88">
        <w:rPr>
          <w:rFonts w:eastAsia="Times New Roman" w:cs="Times New Roman"/>
          <w:sz w:val="24"/>
          <w:szCs w:val="24"/>
          <w:lang w:eastAsia="pl-PL"/>
        </w:rPr>
        <w:t>obowiązkiem przeprowadzenia</w:t>
      </w:r>
      <w:r w:rsidR="00544EB4" w:rsidRPr="00833C88">
        <w:rPr>
          <w:rFonts w:eastAsia="Times New Roman" w:cs="Times New Roman"/>
          <w:sz w:val="24"/>
          <w:szCs w:val="24"/>
          <w:lang w:eastAsia="pl-PL"/>
        </w:rPr>
        <w:t xml:space="preserve"> </w:t>
      </w:r>
      <w:r w:rsidR="00E959FC" w:rsidRPr="00833C88">
        <w:rPr>
          <w:rFonts w:eastAsia="Times New Roman" w:cs="Times New Roman"/>
          <w:sz w:val="24"/>
          <w:szCs w:val="24"/>
          <w:lang w:eastAsia="pl-PL"/>
        </w:rPr>
        <w:t xml:space="preserve">audytu </w:t>
      </w:r>
      <w:r w:rsidR="00601933" w:rsidRPr="00833C88">
        <w:rPr>
          <w:rFonts w:eastAsia="Times New Roman" w:cs="Times New Roman"/>
          <w:sz w:val="24"/>
          <w:szCs w:val="24"/>
          <w:lang w:eastAsia="pl-PL"/>
        </w:rPr>
        <w:t>w </w:t>
      </w:r>
      <w:r w:rsidR="00E959FC" w:rsidRPr="00833C88">
        <w:rPr>
          <w:rFonts w:eastAsia="Times New Roman" w:cs="Times New Roman"/>
          <w:sz w:val="24"/>
          <w:szCs w:val="24"/>
          <w:lang w:eastAsia="pl-PL"/>
        </w:rPr>
        <w:t>pełnym zakresie.</w:t>
      </w:r>
      <w:r w:rsidR="00544EB4" w:rsidRPr="00833C88">
        <w:rPr>
          <w:rFonts w:eastAsia="Times New Roman" w:cs="Times New Roman"/>
          <w:sz w:val="24"/>
          <w:szCs w:val="24"/>
          <w:lang w:eastAsia="pl-PL"/>
        </w:rPr>
        <w:t xml:space="preserve"> Decyzja nakazująca przeprowadzenie audytu doraźnego podlega natychmiastowemu wykonaniu.</w:t>
      </w:r>
    </w:p>
    <w:p w14:paraId="49FDB84B" w14:textId="1D79B2B7" w:rsidR="00517B60" w:rsidRPr="00833C88" w:rsidRDefault="00023D9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Audyt systemu zarządzania bezpieczeństwem informacji musi być przeprowadzany przez audytorów </w:t>
      </w:r>
      <w:r w:rsidR="0052627B" w:rsidRPr="00833C88">
        <w:rPr>
          <w:rFonts w:eastAsia="Times New Roman" w:cs="Times New Roman"/>
          <w:sz w:val="24"/>
          <w:szCs w:val="24"/>
          <w:lang w:eastAsia="pl-PL"/>
        </w:rPr>
        <w:t>obiektywnych</w:t>
      </w:r>
      <w:r w:rsidR="00C47C09" w:rsidRPr="00833C88">
        <w:rPr>
          <w:rFonts w:eastAsia="Times New Roman" w:cs="Times New Roman"/>
          <w:sz w:val="24"/>
          <w:szCs w:val="24"/>
          <w:lang w:eastAsia="pl-PL"/>
        </w:rPr>
        <w:t xml:space="preserve">, którzy nie będą </w:t>
      </w:r>
      <w:r w:rsidR="00B61416" w:rsidRPr="00833C88">
        <w:rPr>
          <w:rFonts w:eastAsia="Times New Roman" w:cs="Times New Roman"/>
          <w:sz w:val="24"/>
          <w:szCs w:val="24"/>
          <w:lang w:eastAsia="pl-PL"/>
        </w:rPr>
        <w:t>stronniczy</w:t>
      </w:r>
      <w:r w:rsidR="00984FFF" w:rsidRPr="00833C88">
        <w:rPr>
          <w:rFonts w:eastAsia="Times New Roman" w:cs="Times New Roman"/>
          <w:sz w:val="24"/>
          <w:szCs w:val="24"/>
          <w:lang w:eastAsia="pl-PL"/>
        </w:rPr>
        <w:t xml:space="preserve"> wobec podmiotu audytowanego. Dlatego wprowadza się regulację</w:t>
      </w:r>
      <w:r w:rsidR="00C3563A" w:rsidRPr="00833C88">
        <w:rPr>
          <w:rFonts w:eastAsia="Times New Roman" w:cs="Times New Roman"/>
          <w:sz w:val="24"/>
          <w:szCs w:val="24"/>
          <w:lang w:eastAsia="pl-PL"/>
        </w:rPr>
        <w:t>,</w:t>
      </w:r>
      <w:r w:rsidR="00984FFF" w:rsidRPr="00833C88">
        <w:rPr>
          <w:rFonts w:eastAsia="Times New Roman" w:cs="Times New Roman"/>
          <w:sz w:val="24"/>
          <w:szCs w:val="24"/>
          <w:lang w:eastAsia="pl-PL"/>
        </w:rPr>
        <w:t xml:space="preserve"> zgodnie </w:t>
      </w:r>
      <w:r w:rsidR="00601933" w:rsidRPr="00833C88">
        <w:rPr>
          <w:rFonts w:eastAsia="Times New Roman" w:cs="Times New Roman"/>
          <w:sz w:val="24"/>
          <w:szCs w:val="24"/>
          <w:lang w:eastAsia="pl-PL"/>
        </w:rPr>
        <w:t>z </w:t>
      </w:r>
      <w:r w:rsidR="00984FFF" w:rsidRPr="00833C88">
        <w:rPr>
          <w:rFonts w:eastAsia="Times New Roman" w:cs="Times New Roman"/>
          <w:sz w:val="24"/>
          <w:szCs w:val="24"/>
          <w:lang w:eastAsia="pl-PL"/>
        </w:rPr>
        <w:t xml:space="preserve">którą audyt nie może być </w:t>
      </w:r>
      <w:r w:rsidR="00517B60" w:rsidRPr="00833C88">
        <w:rPr>
          <w:rFonts w:eastAsia="Times New Roman" w:cs="Times New Roman"/>
          <w:sz w:val="24"/>
          <w:szCs w:val="24"/>
          <w:lang w:eastAsia="pl-PL"/>
        </w:rPr>
        <w:t>przeprowadzony</w:t>
      </w:r>
      <w:r w:rsidR="00984FFF" w:rsidRPr="00833C88">
        <w:rPr>
          <w:rFonts w:eastAsia="Times New Roman" w:cs="Times New Roman"/>
          <w:sz w:val="24"/>
          <w:szCs w:val="24"/>
          <w:lang w:eastAsia="pl-PL"/>
        </w:rPr>
        <w:t xml:space="preserve"> przez osoby</w:t>
      </w:r>
      <w:r w:rsidR="00524E89" w:rsidRPr="00833C88">
        <w:rPr>
          <w:rFonts w:eastAsia="Times New Roman" w:cs="Times New Roman"/>
          <w:sz w:val="24"/>
          <w:szCs w:val="24"/>
          <w:lang w:eastAsia="pl-PL"/>
        </w:rPr>
        <w:t xml:space="preserve">, które </w:t>
      </w:r>
      <w:r w:rsidR="00601933" w:rsidRPr="00833C88">
        <w:rPr>
          <w:rFonts w:eastAsia="Times New Roman" w:cs="Times New Roman"/>
          <w:sz w:val="24"/>
          <w:szCs w:val="24"/>
          <w:lang w:eastAsia="pl-PL"/>
        </w:rPr>
        <w:t>w </w:t>
      </w:r>
      <w:r w:rsidR="00524E89" w:rsidRPr="00833C88">
        <w:rPr>
          <w:rFonts w:eastAsia="Times New Roman" w:cs="Times New Roman"/>
          <w:sz w:val="24"/>
          <w:szCs w:val="24"/>
          <w:lang w:eastAsia="pl-PL"/>
        </w:rPr>
        <w:t>podmiocie audytowanym przez rok przed rozpoczęciem audytu reali</w:t>
      </w:r>
      <w:r w:rsidR="00DE31CF" w:rsidRPr="00833C88">
        <w:rPr>
          <w:rFonts w:eastAsia="Times New Roman" w:cs="Times New Roman"/>
          <w:sz w:val="24"/>
          <w:szCs w:val="24"/>
          <w:lang w:eastAsia="pl-PL"/>
        </w:rPr>
        <w:t>zowały zadania z</w:t>
      </w:r>
      <w:r w:rsidR="00D0072B" w:rsidRPr="00833C88">
        <w:rPr>
          <w:rFonts w:eastAsia="Times New Roman" w:cs="Times New Roman"/>
          <w:sz w:val="24"/>
          <w:szCs w:val="24"/>
          <w:lang w:eastAsia="pl-PL"/>
        </w:rPr>
        <w:t> </w:t>
      </w:r>
      <w:r w:rsidR="00DE31CF" w:rsidRPr="00833C88">
        <w:rPr>
          <w:rFonts w:eastAsia="Times New Roman" w:cs="Times New Roman"/>
          <w:sz w:val="24"/>
          <w:szCs w:val="24"/>
          <w:lang w:eastAsia="pl-PL"/>
        </w:rPr>
        <w:t xml:space="preserve">zakresu systemu zarządzania bezpieczeństwem informacji oraz zgłaszania </w:t>
      </w:r>
      <w:r w:rsidR="00601933" w:rsidRPr="00833C88">
        <w:rPr>
          <w:rFonts w:eastAsia="Times New Roman" w:cs="Times New Roman"/>
          <w:sz w:val="24"/>
          <w:szCs w:val="24"/>
          <w:lang w:eastAsia="pl-PL"/>
        </w:rPr>
        <w:t>i </w:t>
      </w:r>
      <w:r w:rsidR="00DE31CF" w:rsidRPr="00833C88">
        <w:rPr>
          <w:rFonts w:eastAsia="Times New Roman" w:cs="Times New Roman"/>
          <w:sz w:val="24"/>
          <w:szCs w:val="24"/>
          <w:lang w:eastAsia="pl-PL"/>
        </w:rPr>
        <w:t xml:space="preserve">reagowania na incydenty lub </w:t>
      </w:r>
      <w:r w:rsidR="002C5A67" w:rsidRPr="00833C88">
        <w:rPr>
          <w:rFonts w:eastAsia="Times New Roman" w:cs="Times New Roman"/>
          <w:sz w:val="24"/>
          <w:szCs w:val="24"/>
          <w:lang w:eastAsia="pl-PL"/>
        </w:rPr>
        <w:t xml:space="preserve">realizują </w:t>
      </w:r>
      <w:r w:rsidR="00DE31CF" w:rsidRPr="00833C88">
        <w:rPr>
          <w:rFonts w:eastAsia="Times New Roman" w:cs="Times New Roman"/>
          <w:sz w:val="24"/>
          <w:szCs w:val="24"/>
          <w:lang w:eastAsia="pl-PL"/>
        </w:rPr>
        <w:t>je nadal.</w:t>
      </w:r>
    </w:p>
    <w:p w14:paraId="40B6B75F" w14:textId="160FDA52" w:rsidR="001641DA" w:rsidRPr="00833C88" w:rsidRDefault="00DB72FD" w:rsidP="0029004E">
      <w:pPr>
        <w:spacing w:line="360" w:lineRule="auto"/>
        <w:jc w:val="both"/>
        <w:rPr>
          <w:rFonts w:eastAsia="Times New Roman" w:cs="Times New Roman"/>
          <w:sz w:val="26"/>
          <w:szCs w:val="26"/>
          <w:lang w:eastAsia="pl-PL"/>
        </w:rPr>
      </w:pPr>
      <w:r w:rsidRPr="00833C88">
        <w:rPr>
          <w:rFonts w:eastAsia="Times New Roman" w:cs="Times New Roman"/>
          <w:sz w:val="24"/>
          <w:szCs w:val="24"/>
          <w:lang w:eastAsia="pl-PL"/>
        </w:rPr>
        <w:t xml:space="preserve">Ponadto </w:t>
      </w:r>
      <w:r w:rsidR="00E316D2" w:rsidRPr="00833C88">
        <w:rPr>
          <w:rFonts w:eastAsia="Times New Roman" w:cs="Times New Roman"/>
          <w:sz w:val="24"/>
          <w:szCs w:val="24"/>
          <w:lang w:eastAsia="pl-PL"/>
        </w:rPr>
        <w:t>realizacja obowiązku co do zapewnienia przeprowadzenia audytu bezpieczeństwa systemu informacyjnego wykorzystywanego</w:t>
      </w:r>
      <w:r w:rsidR="0069288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692882" w:rsidRPr="00833C88">
        <w:rPr>
          <w:rFonts w:eastAsia="Times New Roman" w:cs="Times New Roman"/>
          <w:sz w:val="24"/>
          <w:szCs w:val="24"/>
          <w:lang w:eastAsia="pl-PL"/>
        </w:rPr>
        <w:t>procesie świadczenia usługi</w:t>
      </w:r>
      <w:r w:rsidR="002430CF" w:rsidRPr="00833C88">
        <w:rPr>
          <w:rFonts w:eastAsia="Times New Roman" w:cs="Times New Roman"/>
          <w:sz w:val="24"/>
          <w:szCs w:val="24"/>
          <w:lang w:eastAsia="pl-PL"/>
        </w:rPr>
        <w:t xml:space="preserve"> nie zwalnia administratora – wykonawcy obowiązków </w:t>
      </w:r>
      <w:r w:rsidR="00601933" w:rsidRPr="00833C88">
        <w:rPr>
          <w:rFonts w:eastAsia="Times New Roman" w:cs="Times New Roman"/>
          <w:sz w:val="24"/>
          <w:szCs w:val="24"/>
          <w:lang w:eastAsia="pl-PL"/>
        </w:rPr>
        <w:t>z </w:t>
      </w:r>
      <w:r w:rsidR="002430CF" w:rsidRPr="00833C88">
        <w:rPr>
          <w:rFonts w:eastAsia="Times New Roman" w:cs="Times New Roman"/>
          <w:sz w:val="24"/>
          <w:szCs w:val="24"/>
          <w:lang w:eastAsia="pl-PL"/>
        </w:rPr>
        <w:t>ustawy</w:t>
      </w:r>
      <w:r w:rsidR="0054686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54686C" w:rsidRPr="00833C88">
        <w:rPr>
          <w:rFonts w:eastAsia="Times New Roman" w:cs="Times New Roman"/>
          <w:sz w:val="24"/>
          <w:szCs w:val="24"/>
          <w:lang w:eastAsia="pl-PL"/>
        </w:rPr>
        <w:t>KSC</w:t>
      </w:r>
      <w:r w:rsidR="002430CF" w:rsidRPr="00833C88">
        <w:rPr>
          <w:rFonts w:eastAsia="Times New Roman" w:cs="Times New Roman"/>
          <w:sz w:val="24"/>
          <w:szCs w:val="24"/>
          <w:lang w:eastAsia="pl-PL"/>
        </w:rPr>
        <w:t xml:space="preserve"> – </w:t>
      </w:r>
      <w:r w:rsidR="00601933" w:rsidRPr="00833C88">
        <w:rPr>
          <w:rFonts w:eastAsia="Times New Roman" w:cs="Times New Roman"/>
          <w:sz w:val="24"/>
          <w:szCs w:val="24"/>
          <w:lang w:eastAsia="pl-PL"/>
        </w:rPr>
        <w:t>z </w:t>
      </w:r>
      <w:r w:rsidR="002430CF" w:rsidRPr="00833C88">
        <w:rPr>
          <w:rFonts w:eastAsia="Times New Roman" w:cs="Times New Roman"/>
          <w:sz w:val="24"/>
          <w:szCs w:val="24"/>
          <w:lang w:eastAsia="pl-PL"/>
        </w:rPr>
        <w:t xml:space="preserve">obowiązków wynikających </w:t>
      </w:r>
      <w:r w:rsidR="00601933" w:rsidRPr="00833C88">
        <w:rPr>
          <w:rFonts w:eastAsia="Times New Roman" w:cs="Times New Roman"/>
          <w:sz w:val="24"/>
          <w:szCs w:val="24"/>
          <w:lang w:eastAsia="pl-PL"/>
        </w:rPr>
        <w:t>z </w:t>
      </w:r>
      <w:r w:rsidR="0054686C" w:rsidRPr="00833C88">
        <w:rPr>
          <w:rFonts w:eastAsia="Times New Roman" w:cs="Times New Roman"/>
          <w:sz w:val="24"/>
          <w:szCs w:val="24"/>
          <w:lang w:eastAsia="pl-PL"/>
        </w:rPr>
        <w:t>RODO</w:t>
      </w:r>
      <w:r w:rsidR="002430CF"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2430CF" w:rsidRPr="00833C88">
        <w:rPr>
          <w:rFonts w:eastAsia="Times New Roman" w:cs="Times New Roman"/>
          <w:sz w:val="24"/>
          <w:szCs w:val="24"/>
          <w:lang w:eastAsia="pl-PL"/>
        </w:rPr>
        <w:t xml:space="preserve">zakresie realizacji zasady poufności </w:t>
      </w:r>
      <w:r w:rsidR="00601933" w:rsidRPr="00833C88">
        <w:rPr>
          <w:rFonts w:eastAsia="Times New Roman" w:cs="Times New Roman"/>
          <w:sz w:val="24"/>
          <w:szCs w:val="24"/>
          <w:lang w:eastAsia="pl-PL"/>
        </w:rPr>
        <w:t>i </w:t>
      </w:r>
      <w:r w:rsidR="002430CF" w:rsidRPr="00833C88">
        <w:rPr>
          <w:rFonts w:eastAsia="Times New Roman" w:cs="Times New Roman"/>
          <w:sz w:val="24"/>
          <w:szCs w:val="24"/>
          <w:lang w:eastAsia="pl-PL"/>
        </w:rPr>
        <w:t xml:space="preserve">integralności </w:t>
      </w:r>
      <w:r w:rsidR="00601933" w:rsidRPr="00833C88">
        <w:rPr>
          <w:rFonts w:eastAsia="Times New Roman" w:cs="Times New Roman"/>
          <w:sz w:val="24"/>
          <w:szCs w:val="24"/>
          <w:lang w:eastAsia="pl-PL"/>
        </w:rPr>
        <w:t>i </w:t>
      </w:r>
      <w:r w:rsidR="002430CF" w:rsidRPr="00833C88">
        <w:rPr>
          <w:rFonts w:eastAsia="Times New Roman" w:cs="Times New Roman"/>
          <w:sz w:val="24"/>
          <w:szCs w:val="24"/>
          <w:lang w:eastAsia="pl-PL"/>
        </w:rPr>
        <w:t xml:space="preserve">konieczności wdrożenia odpowiednich środków technicznych </w:t>
      </w:r>
      <w:r w:rsidR="00601933" w:rsidRPr="00833C88">
        <w:rPr>
          <w:rFonts w:eastAsia="Times New Roman" w:cs="Times New Roman"/>
          <w:sz w:val="24"/>
          <w:szCs w:val="24"/>
          <w:lang w:eastAsia="pl-PL"/>
        </w:rPr>
        <w:t>i </w:t>
      </w:r>
      <w:r w:rsidR="002430CF" w:rsidRPr="00833C88">
        <w:rPr>
          <w:rFonts w:eastAsia="Times New Roman" w:cs="Times New Roman"/>
          <w:sz w:val="24"/>
          <w:szCs w:val="24"/>
          <w:lang w:eastAsia="pl-PL"/>
        </w:rPr>
        <w:t xml:space="preserve">organizacyjnych </w:t>
      </w:r>
      <w:r w:rsidR="00601933" w:rsidRPr="00833C88">
        <w:rPr>
          <w:rFonts w:eastAsia="Times New Roman" w:cs="Times New Roman"/>
          <w:sz w:val="24"/>
          <w:szCs w:val="24"/>
          <w:lang w:eastAsia="pl-PL"/>
        </w:rPr>
        <w:t>z </w:t>
      </w:r>
      <w:r w:rsidR="002430CF" w:rsidRPr="00833C88">
        <w:rPr>
          <w:rFonts w:eastAsia="Times New Roman" w:cs="Times New Roman"/>
          <w:sz w:val="24"/>
          <w:szCs w:val="24"/>
          <w:lang w:eastAsia="pl-PL"/>
        </w:rPr>
        <w:t>uwzględnieniem analizy ryzyka.</w:t>
      </w:r>
    </w:p>
    <w:p w14:paraId="38C515A0" w14:textId="1C25522C" w:rsidR="00AA0115" w:rsidRPr="00833C88" w:rsidRDefault="001A62B5" w:rsidP="00CD1718">
      <w:pPr>
        <w:pStyle w:val="Nagwek2"/>
        <w:spacing w:before="0" w:after="120" w:line="360" w:lineRule="auto"/>
        <w:ind w:left="856" w:hanging="431"/>
        <w:jc w:val="both"/>
        <w:rPr>
          <w:rFonts w:cs="Times New Roman"/>
          <w:lang w:eastAsia="pl-PL"/>
        </w:rPr>
      </w:pPr>
      <w:r w:rsidRPr="00833C88">
        <w:rPr>
          <w:rFonts w:cs="Times New Roman"/>
          <w:b/>
          <w:bCs/>
          <w:lang w:eastAsia="pl-PL"/>
        </w:rPr>
        <w:t xml:space="preserve">Wdrożenie obowiązków przez podmioty kluczowe </w:t>
      </w:r>
      <w:r w:rsidR="00601933" w:rsidRPr="00833C88">
        <w:rPr>
          <w:rFonts w:cs="Times New Roman"/>
          <w:b/>
          <w:bCs/>
          <w:lang w:eastAsia="pl-PL"/>
        </w:rPr>
        <w:t>i </w:t>
      </w:r>
      <w:r w:rsidRPr="00833C88">
        <w:rPr>
          <w:rFonts w:cs="Times New Roman"/>
          <w:b/>
          <w:bCs/>
          <w:lang w:eastAsia="pl-PL"/>
        </w:rPr>
        <w:t>podmioty ważne po raz pierwszy</w:t>
      </w:r>
    </w:p>
    <w:p w14:paraId="0C472B78" w14:textId="151FAAE5" w:rsidR="00521A56" w:rsidRPr="00833C88" w:rsidRDefault="00521A56"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Należało przesądzić od kiedy podmioty kluczowe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podmioty ważne będą miały obowiązek wdrożenia obowiązków wynikających </w:t>
      </w:r>
      <w:r w:rsidR="00601933" w:rsidRPr="00833C88">
        <w:rPr>
          <w:rFonts w:eastAsia="Times New Roman" w:cs="Times New Roman"/>
          <w:sz w:val="24"/>
          <w:szCs w:val="24"/>
          <w:lang w:eastAsia="pl-PL"/>
        </w:rPr>
        <w:t>z </w:t>
      </w:r>
      <w:r w:rsidR="006C280B" w:rsidRPr="00833C88">
        <w:rPr>
          <w:rFonts w:eastAsia="Times New Roman" w:cs="Times New Roman"/>
          <w:sz w:val="24"/>
          <w:szCs w:val="24"/>
          <w:lang w:eastAsia="pl-PL"/>
        </w:rPr>
        <w:t xml:space="preserve">nowelizacji </w:t>
      </w:r>
      <w:r w:rsidRPr="00833C88">
        <w:rPr>
          <w:rFonts w:eastAsia="Times New Roman" w:cs="Times New Roman"/>
          <w:sz w:val="24"/>
          <w:szCs w:val="24"/>
          <w:lang w:eastAsia="pl-PL"/>
        </w:rPr>
        <w:t>ustawy</w:t>
      </w:r>
      <w:r w:rsidR="006C280B"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6C280B" w:rsidRPr="00833C88">
        <w:rPr>
          <w:rFonts w:eastAsia="Times New Roman" w:cs="Times New Roman"/>
          <w:sz w:val="24"/>
          <w:szCs w:val="24"/>
          <w:lang w:eastAsia="pl-PL"/>
        </w:rPr>
        <w:t>KSC</w:t>
      </w:r>
      <w:r w:rsidRPr="00833C88">
        <w:rPr>
          <w:rFonts w:eastAsia="Times New Roman" w:cs="Times New Roman"/>
          <w:sz w:val="24"/>
          <w:szCs w:val="24"/>
          <w:lang w:eastAsia="pl-PL"/>
        </w:rPr>
        <w:t>. Obecnie momentem</w:t>
      </w:r>
      <w:r w:rsidR="00E725B9" w:rsidRPr="00833C88">
        <w:rPr>
          <w:rFonts w:eastAsia="Times New Roman" w:cs="Times New Roman"/>
          <w:sz w:val="24"/>
          <w:szCs w:val="24"/>
          <w:lang w:eastAsia="pl-PL"/>
        </w:rPr>
        <w:t>,</w:t>
      </w:r>
      <w:r w:rsidRPr="00833C88">
        <w:rPr>
          <w:rFonts w:eastAsia="Times New Roman" w:cs="Times New Roman"/>
          <w:sz w:val="24"/>
          <w:szCs w:val="24"/>
          <w:lang w:eastAsia="pl-PL"/>
        </w:rPr>
        <w:t xml:space="preserve"> od którego liczą się terminy na wdrożenie obowiązków przez operatorów usług kluczowych</w:t>
      </w:r>
      <w:r w:rsidR="00D76265" w:rsidRPr="00833C88">
        <w:rPr>
          <w:rFonts w:eastAsia="Times New Roman" w:cs="Times New Roman"/>
          <w:sz w:val="24"/>
          <w:szCs w:val="24"/>
          <w:lang w:eastAsia="pl-PL"/>
        </w:rPr>
        <w:t>, jest</w:t>
      </w:r>
      <w:r w:rsidRPr="00833C88">
        <w:rPr>
          <w:rFonts w:eastAsia="Times New Roman" w:cs="Times New Roman"/>
          <w:sz w:val="24"/>
          <w:szCs w:val="24"/>
          <w:lang w:eastAsia="pl-PL"/>
        </w:rPr>
        <w:t xml:space="preserve"> </w:t>
      </w:r>
      <w:r w:rsidRPr="00833C88">
        <w:rPr>
          <w:rFonts w:eastAsia="Times New Roman" w:cs="Times New Roman"/>
          <w:sz w:val="24"/>
          <w:szCs w:val="24"/>
          <w:lang w:eastAsia="pl-PL"/>
        </w:rPr>
        <w:lastRenderedPageBreak/>
        <w:t>doręczenie decyzji o</w:t>
      </w:r>
      <w:r w:rsidR="00D0072B" w:rsidRPr="00833C88">
        <w:rPr>
          <w:rFonts w:eastAsia="Times New Roman" w:cs="Times New Roman"/>
          <w:sz w:val="24"/>
          <w:szCs w:val="24"/>
          <w:lang w:eastAsia="pl-PL"/>
        </w:rPr>
        <w:t> </w:t>
      </w:r>
      <w:r w:rsidRPr="00833C88">
        <w:rPr>
          <w:rFonts w:eastAsia="Times New Roman" w:cs="Times New Roman"/>
          <w:sz w:val="24"/>
          <w:szCs w:val="24"/>
          <w:lang w:eastAsia="pl-PL"/>
        </w:rPr>
        <w:t>uznaniu za operatora usługi kluczowej. W</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projektowanych przepisach wskazano, że podmiot kluczowy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podmiot ważny realizuje swoje obowiązki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terminie </w:t>
      </w:r>
      <w:r w:rsidR="003F55BE" w:rsidRPr="00833C88">
        <w:rPr>
          <w:rFonts w:eastAsia="Times New Roman" w:cs="Times New Roman"/>
          <w:sz w:val="24"/>
          <w:szCs w:val="24"/>
          <w:lang w:eastAsia="pl-PL"/>
        </w:rPr>
        <w:t>6</w:t>
      </w:r>
      <w:r w:rsidRPr="00833C88">
        <w:rPr>
          <w:rFonts w:eastAsia="Times New Roman" w:cs="Times New Roman"/>
          <w:sz w:val="24"/>
          <w:szCs w:val="24"/>
          <w:lang w:eastAsia="pl-PL"/>
        </w:rPr>
        <w:t xml:space="preserve"> miesięcy od dnia spełnienia przesłanek uznania za podmiot kluczowy lub podmiot ważny. Audyt systemu będzie realizowany po raz pierwszy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terminie </w:t>
      </w:r>
      <w:r w:rsidR="00AA0115" w:rsidRPr="00833C88">
        <w:rPr>
          <w:rFonts w:eastAsia="Times New Roman" w:cs="Times New Roman"/>
          <w:sz w:val="24"/>
          <w:szCs w:val="24"/>
          <w:lang w:eastAsia="pl-PL"/>
        </w:rPr>
        <w:t>24</w:t>
      </w:r>
      <w:r w:rsidRPr="00833C88">
        <w:rPr>
          <w:rFonts w:eastAsia="Times New Roman" w:cs="Times New Roman"/>
          <w:sz w:val="24"/>
          <w:szCs w:val="24"/>
          <w:lang w:eastAsia="pl-PL"/>
        </w:rPr>
        <w:t xml:space="preserve"> miesięcy </w:t>
      </w:r>
      <w:r w:rsidR="00527199" w:rsidRPr="00833C88">
        <w:rPr>
          <w:rFonts w:eastAsia="Times New Roman" w:cs="Times New Roman"/>
          <w:sz w:val="24"/>
          <w:szCs w:val="24"/>
          <w:lang w:eastAsia="pl-PL"/>
        </w:rPr>
        <w:t>od dnia spełnienia przesłanek uznania za</w:t>
      </w:r>
      <w:r w:rsidR="00D0072B" w:rsidRPr="00833C88">
        <w:rPr>
          <w:rFonts w:eastAsia="Times New Roman" w:cs="Times New Roman"/>
          <w:sz w:val="24"/>
          <w:szCs w:val="24"/>
          <w:lang w:eastAsia="pl-PL"/>
        </w:rPr>
        <w:t> </w:t>
      </w:r>
      <w:r w:rsidR="00527199" w:rsidRPr="00833C88">
        <w:rPr>
          <w:rFonts w:eastAsia="Times New Roman" w:cs="Times New Roman"/>
          <w:sz w:val="24"/>
          <w:szCs w:val="24"/>
          <w:lang w:eastAsia="pl-PL"/>
        </w:rPr>
        <w:t>podmiot kluczowy.</w:t>
      </w:r>
    </w:p>
    <w:p w14:paraId="31136C85" w14:textId="79CC8126" w:rsidR="004460A8" w:rsidRPr="00833C88" w:rsidRDefault="009E726B" w:rsidP="00CD1718">
      <w:pPr>
        <w:pStyle w:val="Nagwek2"/>
        <w:spacing w:before="0" w:after="120" w:line="360" w:lineRule="auto"/>
        <w:jc w:val="both"/>
        <w:rPr>
          <w:rFonts w:cs="Times New Roman"/>
          <w:b/>
          <w:bCs/>
        </w:rPr>
      </w:pPr>
      <w:r w:rsidRPr="00833C88">
        <w:rPr>
          <w:rFonts w:cs="Times New Roman"/>
          <w:b/>
          <w:bCs/>
        </w:rPr>
        <w:t>Zadania i obowiązki rejestrów nazw domen najwyższego poziomu oraz</w:t>
      </w:r>
      <w:r w:rsidR="00D0072B" w:rsidRPr="00833C88">
        <w:rPr>
          <w:rFonts w:cs="Times New Roman"/>
          <w:b/>
          <w:bCs/>
        </w:rPr>
        <w:t xml:space="preserve"> zadania i</w:t>
      </w:r>
      <w:r w:rsidR="00BE2629" w:rsidRPr="00833C88">
        <w:rPr>
          <w:rFonts w:cs="Times New Roman"/>
          <w:b/>
          <w:bCs/>
        </w:rPr>
        <w:t> </w:t>
      </w:r>
      <w:r w:rsidR="00D0072B" w:rsidRPr="00833C88">
        <w:rPr>
          <w:rFonts w:cs="Times New Roman"/>
          <w:b/>
          <w:bCs/>
        </w:rPr>
        <w:t>obowiązki</w:t>
      </w:r>
      <w:r w:rsidRPr="00833C88">
        <w:rPr>
          <w:rFonts w:cs="Times New Roman"/>
          <w:b/>
          <w:bCs/>
        </w:rPr>
        <w:t xml:space="preserve"> podmiotów świadczących usługi rejestracji nazw domen</w:t>
      </w:r>
    </w:p>
    <w:p w14:paraId="2A4E1619" w14:textId="68C05D6F" w:rsidR="00784E76" w:rsidRPr="00833C88" w:rsidRDefault="006C280B"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Projekt ustawy</w:t>
      </w:r>
      <w:r w:rsidR="004460A8" w:rsidRPr="00833C88">
        <w:rPr>
          <w:rFonts w:eastAsia="Times New Roman" w:cs="Times New Roman"/>
          <w:sz w:val="24"/>
          <w:szCs w:val="24"/>
          <w:lang w:eastAsia="pl-PL"/>
        </w:rPr>
        <w:t xml:space="preserve"> nakłada szczególne ob</w:t>
      </w:r>
      <w:r w:rsidR="00EF0690" w:rsidRPr="00833C88">
        <w:rPr>
          <w:rFonts w:eastAsia="Times New Roman" w:cs="Times New Roman"/>
          <w:sz w:val="24"/>
          <w:szCs w:val="24"/>
          <w:lang w:eastAsia="pl-PL"/>
        </w:rPr>
        <w:t>o</w:t>
      </w:r>
      <w:r w:rsidR="004460A8" w:rsidRPr="00833C88">
        <w:rPr>
          <w:rFonts w:eastAsia="Times New Roman" w:cs="Times New Roman"/>
          <w:sz w:val="24"/>
          <w:szCs w:val="24"/>
          <w:lang w:eastAsia="pl-PL"/>
        </w:rPr>
        <w:t>wiązki na rejestr nazw domen najwyższego poziomu</w:t>
      </w:r>
      <w:r w:rsidR="00B62C23" w:rsidRPr="00833C88">
        <w:rPr>
          <w:rFonts w:eastAsia="Times New Roman" w:cs="Times New Roman"/>
          <w:sz w:val="24"/>
          <w:szCs w:val="24"/>
          <w:lang w:eastAsia="pl-PL"/>
        </w:rPr>
        <w:t xml:space="preserve"> (TLD)</w:t>
      </w:r>
      <w:r w:rsidR="004460A8" w:rsidRPr="00833C88">
        <w:rPr>
          <w:rFonts w:eastAsia="Times New Roman" w:cs="Times New Roman"/>
          <w:sz w:val="24"/>
          <w:szCs w:val="24"/>
          <w:lang w:eastAsia="pl-PL"/>
        </w:rPr>
        <w:t xml:space="preserve"> oraz podmioty świadczące usługi rejestracji nazw domen </w:t>
      </w:r>
      <w:r w:rsidR="00601933" w:rsidRPr="00833C88">
        <w:rPr>
          <w:rFonts w:eastAsia="Times New Roman" w:cs="Times New Roman"/>
          <w:sz w:val="24"/>
          <w:szCs w:val="24"/>
          <w:lang w:eastAsia="pl-PL"/>
        </w:rPr>
        <w:t>w </w:t>
      </w:r>
      <w:r w:rsidR="004460A8" w:rsidRPr="00833C88">
        <w:rPr>
          <w:rFonts w:eastAsia="Times New Roman" w:cs="Times New Roman"/>
          <w:sz w:val="24"/>
          <w:szCs w:val="24"/>
          <w:lang w:eastAsia="pl-PL"/>
        </w:rPr>
        <w:t xml:space="preserve">zakresie </w:t>
      </w:r>
      <w:r w:rsidR="00BC13FF" w:rsidRPr="00833C88">
        <w:rPr>
          <w:rFonts w:eastAsia="Times New Roman" w:cs="Times New Roman"/>
          <w:sz w:val="24"/>
          <w:szCs w:val="24"/>
          <w:lang w:eastAsia="pl-PL"/>
        </w:rPr>
        <w:t>gromadzenia i</w:t>
      </w:r>
      <w:r w:rsidR="00B62C23" w:rsidRPr="00833C88">
        <w:rPr>
          <w:rFonts w:eastAsia="Times New Roman" w:cs="Times New Roman"/>
          <w:sz w:val="24"/>
          <w:szCs w:val="24"/>
          <w:lang w:eastAsia="pl-PL"/>
        </w:rPr>
        <w:t> </w:t>
      </w:r>
      <w:r w:rsidR="00BC13FF" w:rsidRPr="00833C88">
        <w:rPr>
          <w:rFonts w:eastAsia="Times New Roman" w:cs="Times New Roman"/>
          <w:sz w:val="24"/>
          <w:szCs w:val="24"/>
          <w:lang w:eastAsia="pl-PL"/>
        </w:rPr>
        <w:t xml:space="preserve">zachowywania </w:t>
      </w:r>
      <w:r w:rsidR="00601933" w:rsidRPr="00833C88">
        <w:rPr>
          <w:rFonts w:eastAsia="Times New Roman" w:cs="Times New Roman"/>
          <w:sz w:val="24"/>
          <w:szCs w:val="24"/>
          <w:lang w:eastAsia="pl-PL"/>
        </w:rPr>
        <w:t>z </w:t>
      </w:r>
      <w:r w:rsidR="00BC13FF" w:rsidRPr="00833C88">
        <w:rPr>
          <w:rFonts w:eastAsia="Times New Roman" w:cs="Times New Roman"/>
          <w:sz w:val="24"/>
          <w:szCs w:val="24"/>
          <w:lang w:eastAsia="pl-PL"/>
        </w:rPr>
        <w:t xml:space="preserve">należytą starannością danych dotyczących rejestracji nazw domen. </w:t>
      </w:r>
      <w:r w:rsidR="00E1043E" w:rsidRPr="00833C88">
        <w:rPr>
          <w:rFonts w:eastAsia="Times New Roman" w:cs="Times New Roman"/>
          <w:sz w:val="24"/>
          <w:szCs w:val="24"/>
          <w:lang w:eastAsia="pl-PL"/>
        </w:rPr>
        <w:t xml:space="preserve">Podmioty te mają </w:t>
      </w:r>
      <w:r w:rsidR="007F35E5" w:rsidRPr="00833C88">
        <w:rPr>
          <w:rFonts w:eastAsia="Times New Roman" w:cs="Times New Roman"/>
          <w:sz w:val="24"/>
          <w:szCs w:val="24"/>
          <w:lang w:eastAsia="pl-PL"/>
        </w:rPr>
        <w:t>wprowadzić</w:t>
      </w:r>
      <w:r w:rsidR="00E1043E" w:rsidRPr="00833C88">
        <w:rPr>
          <w:rFonts w:eastAsia="Times New Roman" w:cs="Times New Roman"/>
          <w:sz w:val="24"/>
          <w:szCs w:val="24"/>
          <w:lang w:eastAsia="pl-PL"/>
        </w:rPr>
        <w:t xml:space="preserve"> polityki </w:t>
      </w:r>
      <w:r w:rsidR="00601933" w:rsidRPr="00833C88">
        <w:rPr>
          <w:rFonts w:eastAsia="Times New Roman" w:cs="Times New Roman"/>
          <w:sz w:val="24"/>
          <w:szCs w:val="24"/>
          <w:lang w:eastAsia="pl-PL"/>
        </w:rPr>
        <w:t>i </w:t>
      </w:r>
      <w:r w:rsidR="00E1043E" w:rsidRPr="00833C88">
        <w:rPr>
          <w:rFonts w:eastAsia="Times New Roman" w:cs="Times New Roman"/>
          <w:sz w:val="24"/>
          <w:szCs w:val="24"/>
          <w:lang w:eastAsia="pl-PL"/>
        </w:rPr>
        <w:t xml:space="preserve">procedury, </w:t>
      </w:r>
      <w:r w:rsidR="00601933" w:rsidRPr="00833C88">
        <w:rPr>
          <w:rFonts w:eastAsia="Times New Roman" w:cs="Times New Roman"/>
          <w:sz w:val="24"/>
          <w:szCs w:val="24"/>
          <w:lang w:eastAsia="pl-PL"/>
        </w:rPr>
        <w:t>w </w:t>
      </w:r>
      <w:r w:rsidR="00E1043E" w:rsidRPr="00833C88">
        <w:rPr>
          <w:rFonts w:eastAsia="Times New Roman" w:cs="Times New Roman"/>
          <w:sz w:val="24"/>
          <w:szCs w:val="24"/>
          <w:lang w:eastAsia="pl-PL"/>
        </w:rPr>
        <w:t>tym procedury weryfikacji, służące zapewnieniu, aby bazy danych</w:t>
      </w:r>
      <w:r w:rsidR="007510A1" w:rsidRPr="00833C88">
        <w:rPr>
          <w:rFonts w:eastAsia="Times New Roman" w:cs="Times New Roman"/>
          <w:sz w:val="24"/>
          <w:szCs w:val="24"/>
          <w:lang w:eastAsia="pl-PL"/>
        </w:rPr>
        <w:t xml:space="preserve"> rejestracji domen </w:t>
      </w:r>
      <w:r w:rsidR="00E1043E" w:rsidRPr="00833C88">
        <w:rPr>
          <w:rFonts w:eastAsia="Times New Roman" w:cs="Times New Roman"/>
          <w:sz w:val="24"/>
          <w:szCs w:val="24"/>
          <w:lang w:eastAsia="pl-PL"/>
        </w:rPr>
        <w:t xml:space="preserve">zawierały dokładne </w:t>
      </w:r>
      <w:r w:rsidR="00601933" w:rsidRPr="00833C88">
        <w:rPr>
          <w:rFonts w:eastAsia="Times New Roman" w:cs="Times New Roman"/>
          <w:sz w:val="24"/>
          <w:szCs w:val="24"/>
          <w:lang w:eastAsia="pl-PL"/>
        </w:rPr>
        <w:t>i </w:t>
      </w:r>
      <w:r w:rsidR="00E1043E" w:rsidRPr="00833C88">
        <w:rPr>
          <w:rFonts w:eastAsia="Times New Roman" w:cs="Times New Roman"/>
          <w:sz w:val="24"/>
          <w:szCs w:val="24"/>
          <w:lang w:eastAsia="pl-PL"/>
        </w:rPr>
        <w:t>kompletne dane.</w:t>
      </w:r>
      <w:r w:rsidR="001B52F2" w:rsidRPr="00833C88">
        <w:rPr>
          <w:rFonts w:eastAsia="Times New Roman" w:cs="Times New Roman"/>
          <w:sz w:val="24"/>
          <w:szCs w:val="24"/>
          <w:lang w:eastAsia="pl-PL"/>
        </w:rPr>
        <w:t xml:space="preserve"> Jest to</w:t>
      </w:r>
      <w:r w:rsidR="009B4C26" w:rsidRPr="00833C88">
        <w:rPr>
          <w:rFonts w:eastAsia="Times New Roman" w:cs="Times New Roman"/>
          <w:sz w:val="24"/>
          <w:szCs w:val="24"/>
          <w:lang w:eastAsia="pl-PL"/>
        </w:rPr>
        <w:t> </w:t>
      </w:r>
      <w:r w:rsidR="001B52F2" w:rsidRPr="00833C88">
        <w:rPr>
          <w:rFonts w:eastAsia="Times New Roman" w:cs="Times New Roman"/>
          <w:sz w:val="24"/>
          <w:szCs w:val="24"/>
          <w:lang w:eastAsia="pl-PL"/>
        </w:rPr>
        <w:t xml:space="preserve">szczególnie </w:t>
      </w:r>
      <w:proofErr w:type="gramStart"/>
      <w:r w:rsidR="003E559E" w:rsidRPr="00833C88">
        <w:rPr>
          <w:rFonts w:eastAsia="Times New Roman" w:cs="Times New Roman"/>
          <w:sz w:val="24"/>
          <w:szCs w:val="24"/>
          <w:lang w:eastAsia="pl-PL"/>
        </w:rPr>
        <w:t>istotne</w:t>
      </w:r>
      <w:proofErr w:type="gramEnd"/>
      <w:r w:rsidR="003E559E" w:rsidRPr="00833C88">
        <w:rPr>
          <w:rFonts w:eastAsia="Times New Roman" w:cs="Times New Roman"/>
          <w:sz w:val="24"/>
          <w:szCs w:val="24"/>
          <w:lang w:eastAsia="pl-PL"/>
        </w:rPr>
        <w:t xml:space="preserve"> gdyż informacje </w:t>
      </w:r>
      <w:r w:rsidR="00601933" w:rsidRPr="00833C88">
        <w:rPr>
          <w:rFonts w:eastAsia="Times New Roman" w:cs="Times New Roman"/>
          <w:sz w:val="24"/>
          <w:szCs w:val="24"/>
          <w:lang w:eastAsia="pl-PL"/>
        </w:rPr>
        <w:t>o </w:t>
      </w:r>
      <w:r w:rsidR="003E559E" w:rsidRPr="00833C88">
        <w:rPr>
          <w:rFonts w:eastAsia="Times New Roman" w:cs="Times New Roman"/>
          <w:sz w:val="24"/>
          <w:szCs w:val="24"/>
          <w:lang w:eastAsia="pl-PL"/>
        </w:rPr>
        <w:t>domenach mogą być szczególnie istotne przy wykrywaniu źródeł c</w:t>
      </w:r>
      <w:r w:rsidR="00280250" w:rsidRPr="00833C88">
        <w:rPr>
          <w:rFonts w:eastAsia="Times New Roman" w:cs="Times New Roman"/>
          <w:sz w:val="24"/>
          <w:szCs w:val="24"/>
          <w:lang w:eastAsia="pl-PL"/>
        </w:rPr>
        <w:t>yberataków oraz</w:t>
      </w:r>
      <w:r w:rsidR="00F5713D" w:rsidRPr="00833C88">
        <w:rPr>
          <w:rFonts w:eastAsia="Times New Roman" w:cs="Times New Roman"/>
          <w:sz w:val="24"/>
          <w:szCs w:val="24"/>
          <w:lang w:eastAsia="pl-PL"/>
        </w:rPr>
        <w:t xml:space="preserve"> </w:t>
      </w:r>
      <w:r w:rsidR="00C75558" w:rsidRPr="00833C88">
        <w:rPr>
          <w:rFonts w:eastAsia="Times New Roman" w:cs="Times New Roman"/>
          <w:sz w:val="24"/>
          <w:szCs w:val="24"/>
          <w:lang w:eastAsia="pl-PL"/>
        </w:rPr>
        <w:t>niebezpiecznego ruchu sieciowego.</w:t>
      </w:r>
    </w:p>
    <w:p w14:paraId="73F85C83" w14:textId="51E5063F" w:rsidR="00784E76" w:rsidRPr="00833C88" w:rsidRDefault="00ED1810" w:rsidP="0029004E">
      <w:pPr>
        <w:spacing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Podmio</w:t>
      </w:r>
      <w:r w:rsidR="006F7DFE" w:rsidRPr="00833C88">
        <w:rPr>
          <w:rFonts w:eastAsia="Times New Roman" w:cs="Times New Roman"/>
          <w:sz w:val="24"/>
          <w:szCs w:val="24"/>
          <w:lang w:eastAsia="pl-PL"/>
        </w:rPr>
        <w:t xml:space="preserve">ty świadczące usługi rejestracji nazw domen muszą współpracować </w:t>
      </w:r>
      <w:r w:rsidR="00601933" w:rsidRPr="00833C88">
        <w:rPr>
          <w:rFonts w:eastAsia="Times New Roman" w:cs="Times New Roman"/>
          <w:sz w:val="24"/>
          <w:szCs w:val="24"/>
          <w:lang w:eastAsia="pl-PL"/>
        </w:rPr>
        <w:t>z </w:t>
      </w:r>
      <w:r w:rsidR="006F7DFE" w:rsidRPr="00833C88">
        <w:rPr>
          <w:rFonts w:eastAsia="Times New Roman" w:cs="Times New Roman"/>
          <w:sz w:val="24"/>
          <w:szCs w:val="24"/>
          <w:lang w:eastAsia="pl-PL"/>
        </w:rPr>
        <w:t>rejestrem nazw domen</w:t>
      </w:r>
      <w:r w:rsidR="006B332B" w:rsidRPr="00833C88">
        <w:rPr>
          <w:rFonts w:eastAsia="Times New Roman" w:cs="Times New Roman"/>
          <w:sz w:val="24"/>
          <w:szCs w:val="24"/>
          <w:lang w:eastAsia="pl-PL"/>
        </w:rPr>
        <w:t xml:space="preserve"> najwyższego poziomu dla danej domeny. Aby uniknąć dublowania obowiązków </w:t>
      </w:r>
      <w:r w:rsidR="00A26E11" w:rsidRPr="00833C88">
        <w:rPr>
          <w:rFonts w:eastAsia="Times New Roman" w:cs="Times New Roman"/>
          <w:sz w:val="24"/>
          <w:szCs w:val="24"/>
          <w:lang w:eastAsia="pl-PL"/>
        </w:rPr>
        <w:t>przepisy przewidują, że rejestr nazw domen najwyższego poziomu może umożliwić</w:t>
      </w:r>
      <w:r w:rsidR="00EF0690" w:rsidRPr="00833C88">
        <w:rPr>
          <w:rFonts w:eastAsia="Times New Roman" w:cs="Times New Roman"/>
          <w:sz w:val="24"/>
          <w:szCs w:val="24"/>
          <w:lang w:eastAsia="pl-PL"/>
        </w:rPr>
        <w:t xml:space="preserve"> podmiotom świadczącym usługi rejestracji nazw domen </w:t>
      </w:r>
      <w:r w:rsidR="00A96B74" w:rsidRPr="00833C88">
        <w:rPr>
          <w:rFonts w:eastAsia="Times New Roman" w:cs="Times New Roman"/>
          <w:sz w:val="24"/>
          <w:szCs w:val="24"/>
          <w:lang w:eastAsia="pl-PL"/>
        </w:rPr>
        <w:t xml:space="preserve">wprowadzanie do bazy danych rejestru aktualnych danych </w:t>
      </w:r>
      <w:r w:rsidR="00601933" w:rsidRPr="00833C88">
        <w:rPr>
          <w:rFonts w:eastAsia="Times New Roman" w:cs="Times New Roman"/>
          <w:sz w:val="24"/>
          <w:szCs w:val="24"/>
          <w:lang w:eastAsia="pl-PL"/>
        </w:rPr>
        <w:t>o </w:t>
      </w:r>
      <w:r w:rsidR="00A96B74" w:rsidRPr="00833C88">
        <w:rPr>
          <w:rFonts w:eastAsia="Times New Roman" w:cs="Times New Roman"/>
          <w:sz w:val="24"/>
          <w:szCs w:val="24"/>
          <w:lang w:eastAsia="pl-PL"/>
        </w:rPr>
        <w:t>domenach.</w:t>
      </w:r>
    </w:p>
    <w:p w14:paraId="2EBC97E4" w14:textId="7E4E9700" w:rsidR="00F47841" w:rsidRPr="00833C88" w:rsidRDefault="00F47841" w:rsidP="0029004E">
      <w:pPr>
        <w:spacing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 xml:space="preserve">Podkreślić należy, że zgodnie z definicją z dyrektywy NIS 2 podmiotem świadczącym usługi rejestracji nazw domen jest nie tylko </w:t>
      </w:r>
      <w:proofErr w:type="gramStart"/>
      <w:r w:rsidRPr="00833C88">
        <w:rPr>
          <w:rFonts w:eastAsia="Times New Roman" w:cs="Times New Roman"/>
          <w:sz w:val="24"/>
          <w:szCs w:val="24"/>
          <w:lang w:eastAsia="pl-PL"/>
        </w:rPr>
        <w:t>rejestrator</w:t>
      </w:r>
      <w:proofErr w:type="gramEnd"/>
      <w:r w:rsidRPr="00833C88">
        <w:rPr>
          <w:rFonts w:eastAsia="Times New Roman" w:cs="Times New Roman"/>
          <w:sz w:val="24"/>
          <w:szCs w:val="24"/>
          <w:lang w:eastAsia="pl-PL"/>
        </w:rPr>
        <w:t xml:space="preserve"> ale również i agent działający w</w:t>
      </w:r>
      <w:r w:rsidR="00846C33" w:rsidRPr="00833C88">
        <w:rPr>
          <w:rFonts w:eastAsia="Times New Roman" w:cs="Times New Roman"/>
          <w:sz w:val="24"/>
          <w:szCs w:val="24"/>
          <w:lang w:eastAsia="pl-PL"/>
        </w:rPr>
        <w:t> </w:t>
      </w:r>
      <w:r w:rsidRPr="00833C88">
        <w:rPr>
          <w:rFonts w:eastAsia="Times New Roman" w:cs="Times New Roman"/>
          <w:sz w:val="24"/>
          <w:szCs w:val="24"/>
          <w:lang w:eastAsia="pl-PL"/>
        </w:rPr>
        <w:t>imieniu rejestratorów. Przy czym działalność poprzez agenta nie zwalnia rejestratora z</w:t>
      </w:r>
      <w:r w:rsidR="00846C33" w:rsidRPr="00833C88">
        <w:rPr>
          <w:rFonts w:eastAsia="Times New Roman" w:cs="Times New Roman"/>
          <w:sz w:val="24"/>
          <w:szCs w:val="24"/>
          <w:lang w:eastAsia="pl-PL"/>
        </w:rPr>
        <w:t> </w:t>
      </w:r>
      <w:r w:rsidRPr="00833C88">
        <w:rPr>
          <w:rFonts w:eastAsia="Times New Roman" w:cs="Times New Roman"/>
          <w:sz w:val="24"/>
          <w:szCs w:val="24"/>
          <w:lang w:eastAsia="pl-PL"/>
        </w:rPr>
        <w:t xml:space="preserve">obowiązków wskazanych w przepisach ustawy o </w:t>
      </w:r>
      <w:r w:rsidR="00523FBF" w:rsidRPr="00833C88">
        <w:rPr>
          <w:rFonts w:eastAsia="Times New Roman" w:cs="Times New Roman"/>
          <w:sz w:val="24"/>
          <w:szCs w:val="24"/>
          <w:lang w:eastAsia="pl-PL"/>
        </w:rPr>
        <w:t>KSC</w:t>
      </w:r>
      <w:r w:rsidRPr="00833C88">
        <w:rPr>
          <w:rFonts w:eastAsia="Times New Roman" w:cs="Times New Roman"/>
          <w:sz w:val="24"/>
          <w:szCs w:val="24"/>
          <w:lang w:eastAsia="pl-PL"/>
        </w:rPr>
        <w:t>.</w:t>
      </w:r>
    </w:p>
    <w:p w14:paraId="66717585" w14:textId="77777777" w:rsidR="007C27D5" w:rsidRPr="00833C88" w:rsidRDefault="007C27D5" w:rsidP="00565F4B">
      <w:pPr>
        <w:spacing w:after="0"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Baza danych dotyczących rejestracji nazw domen zawiera:</w:t>
      </w:r>
    </w:p>
    <w:p w14:paraId="29B6604F" w14:textId="204611A1" w:rsidR="007C27D5" w:rsidRPr="00833C88" w:rsidRDefault="007C27D5" w:rsidP="00565F4B">
      <w:pPr>
        <w:spacing w:after="0"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1)</w:t>
      </w:r>
      <w:r w:rsidRPr="00833C88">
        <w:rPr>
          <w:rFonts w:eastAsia="Times New Roman" w:cs="Times New Roman"/>
          <w:sz w:val="24"/>
          <w:szCs w:val="24"/>
          <w:lang w:eastAsia="pl-PL"/>
        </w:rPr>
        <w:tab/>
        <w:t>nazwę domeny – jest to dosyć oczywiste</w:t>
      </w:r>
      <w:r w:rsidR="00B33250" w:rsidRPr="00833C88">
        <w:rPr>
          <w:rFonts w:eastAsia="Times New Roman" w:cs="Times New Roman"/>
          <w:sz w:val="24"/>
          <w:szCs w:val="24"/>
          <w:lang w:eastAsia="pl-PL"/>
        </w:rPr>
        <w:t>, bez tej informacji ta baza nie ma sensu;</w:t>
      </w:r>
    </w:p>
    <w:p w14:paraId="54998D3E" w14:textId="77777777" w:rsidR="007C27D5" w:rsidRPr="00833C88" w:rsidRDefault="007C27D5" w:rsidP="00565F4B">
      <w:pPr>
        <w:spacing w:after="0"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2)</w:t>
      </w:r>
      <w:r w:rsidRPr="00833C88">
        <w:rPr>
          <w:rFonts w:eastAsia="Times New Roman" w:cs="Times New Roman"/>
          <w:sz w:val="24"/>
          <w:szCs w:val="24"/>
          <w:lang w:eastAsia="pl-PL"/>
        </w:rPr>
        <w:tab/>
        <w:t>datę rejestracji;</w:t>
      </w:r>
    </w:p>
    <w:p w14:paraId="21CC557F" w14:textId="47255CCF" w:rsidR="007C27D5" w:rsidRPr="00833C88" w:rsidRDefault="007C27D5" w:rsidP="00565F4B">
      <w:pPr>
        <w:spacing w:after="0" w:line="360" w:lineRule="auto"/>
        <w:ind w:left="709" w:hanging="283"/>
        <w:jc w:val="both"/>
        <w:rPr>
          <w:rFonts w:eastAsia="Times New Roman" w:cs="Times New Roman"/>
          <w:sz w:val="24"/>
          <w:szCs w:val="24"/>
          <w:lang w:eastAsia="pl-PL"/>
        </w:rPr>
      </w:pPr>
      <w:r w:rsidRPr="00833C88">
        <w:rPr>
          <w:rFonts w:eastAsia="Times New Roman" w:cs="Times New Roman"/>
          <w:sz w:val="24"/>
          <w:szCs w:val="24"/>
          <w:lang w:eastAsia="pl-PL"/>
        </w:rPr>
        <w:t>3)</w:t>
      </w:r>
      <w:r w:rsidRPr="00833C88">
        <w:rPr>
          <w:rFonts w:eastAsia="Times New Roman" w:cs="Times New Roman"/>
          <w:sz w:val="24"/>
          <w:szCs w:val="24"/>
          <w:lang w:eastAsia="pl-PL"/>
        </w:rPr>
        <w:tab/>
        <w:t xml:space="preserve">imię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nazwisko lub nazwę abonenta nazwy domeny oraz adres poczty elektronicznej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numer telefonu;</w:t>
      </w:r>
    </w:p>
    <w:p w14:paraId="071B358E" w14:textId="4800C668" w:rsidR="00A96B74" w:rsidRPr="00833C88" w:rsidRDefault="007C27D5" w:rsidP="00565F4B">
      <w:pPr>
        <w:spacing w:after="0" w:line="360" w:lineRule="auto"/>
        <w:ind w:left="567" w:hanging="141"/>
        <w:jc w:val="both"/>
        <w:rPr>
          <w:rFonts w:eastAsia="Times New Roman" w:cs="Times New Roman"/>
          <w:sz w:val="24"/>
          <w:szCs w:val="24"/>
          <w:lang w:eastAsia="pl-PL"/>
        </w:rPr>
      </w:pPr>
      <w:r w:rsidRPr="00833C88">
        <w:rPr>
          <w:rFonts w:eastAsia="Times New Roman" w:cs="Times New Roman"/>
          <w:sz w:val="24"/>
          <w:szCs w:val="24"/>
          <w:lang w:eastAsia="pl-PL"/>
        </w:rPr>
        <w:t>4)</w:t>
      </w:r>
      <w:r w:rsidRPr="00833C88">
        <w:rPr>
          <w:rFonts w:eastAsia="Times New Roman" w:cs="Times New Roman"/>
          <w:sz w:val="24"/>
          <w:szCs w:val="24"/>
          <w:lang w:eastAsia="pl-PL"/>
        </w:rPr>
        <w:tab/>
        <w:t xml:space="preserve">adres poczty elektronicznej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numer telefonu, pod którymi można skontaktować się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punktem kontaktowym zarządzającym nazwą domeny, </w:t>
      </w:r>
      <w:r w:rsidR="00601933" w:rsidRPr="00833C88">
        <w:rPr>
          <w:rFonts w:eastAsia="Times New Roman" w:cs="Times New Roman"/>
          <w:sz w:val="24"/>
          <w:szCs w:val="24"/>
          <w:lang w:eastAsia="pl-PL"/>
        </w:rPr>
        <w:t>w </w:t>
      </w:r>
      <w:proofErr w:type="gramStart"/>
      <w:r w:rsidRPr="00833C88">
        <w:rPr>
          <w:rFonts w:eastAsia="Times New Roman" w:cs="Times New Roman"/>
          <w:sz w:val="24"/>
          <w:szCs w:val="24"/>
          <w:lang w:eastAsia="pl-PL"/>
        </w:rPr>
        <w:t>przypadku</w:t>
      </w:r>
      <w:proofErr w:type="gramEnd"/>
      <w:r w:rsidRPr="00833C88">
        <w:rPr>
          <w:rFonts w:eastAsia="Times New Roman" w:cs="Times New Roman"/>
          <w:sz w:val="24"/>
          <w:szCs w:val="24"/>
          <w:lang w:eastAsia="pl-PL"/>
        </w:rPr>
        <w:t xml:space="preserve"> gdy różnią się od adresu poczty elektronicznej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numeru telefonu abonenta nazwy domeny, </w:t>
      </w:r>
      <w:r w:rsidR="00601933" w:rsidRPr="00833C88">
        <w:rPr>
          <w:rFonts w:eastAsia="Times New Roman" w:cs="Times New Roman"/>
          <w:sz w:val="24"/>
          <w:szCs w:val="24"/>
          <w:lang w:eastAsia="pl-PL"/>
        </w:rPr>
        <w:t>a w </w:t>
      </w:r>
      <w:proofErr w:type="gramStart"/>
      <w:r w:rsidRPr="00833C88">
        <w:rPr>
          <w:rFonts w:eastAsia="Times New Roman" w:cs="Times New Roman"/>
          <w:sz w:val="24"/>
          <w:szCs w:val="24"/>
          <w:lang w:eastAsia="pl-PL"/>
        </w:rPr>
        <w:t>przypadku</w:t>
      </w:r>
      <w:proofErr w:type="gramEnd"/>
      <w:r w:rsidRPr="00833C88">
        <w:rPr>
          <w:rFonts w:eastAsia="Times New Roman" w:cs="Times New Roman"/>
          <w:sz w:val="24"/>
          <w:szCs w:val="24"/>
          <w:lang w:eastAsia="pl-PL"/>
        </w:rPr>
        <w:t xml:space="preserve"> gdy usługi punktu kontaktowego zarządzającego nazwą domeny nie są dopuszczone dla </w:t>
      </w:r>
      <w:r w:rsidRPr="00833C88">
        <w:rPr>
          <w:rFonts w:eastAsia="Times New Roman" w:cs="Times New Roman"/>
          <w:sz w:val="24"/>
          <w:szCs w:val="24"/>
          <w:lang w:eastAsia="pl-PL"/>
        </w:rPr>
        <w:lastRenderedPageBreak/>
        <w:t>konkretnej domeny najwyższego poziomu (TLD), należy podać co najmniej dane identyfikujące podmiot świadczący usługi rejestracji nazw domen.</w:t>
      </w:r>
    </w:p>
    <w:p w14:paraId="46205404" w14:textId="0FD8E5AB" w:rsidR="00123F1B" w:rsidRPr="00833C88" w:rsidRDefault="00123F1B" w:rsidP="00192AD5">
      <w:pPr>
        <w:spacing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Aby przepisy spełniały swój cel baza danych dotycząca rejestracji nazw domen musi być aktualna. Dlatego</w:t>
      </w:r>
      <w:r w:rsidR="002023FA" w:rsidRPr="00833C88">
        <w:rPr>
          <w:rFonts w:eastAsia="Times New Roman" w:cs="Times New Roman"/>
          <w:sz w:val="24"/>
          <w:szCs w:val="24"/>
          <w:lang w:eastAsia="pl-PL"/>
        </w:rPr>
        <w:t xml:space="preserve"> podmioty świadczące usługi rejestracji nazw domen </w:t>
      </w:r>
      <w:r w:rsidR="00A008B1" w:rsidRPr="00833C88">
        <w:rPr>
          <w:rFonts w:eastAsia="Times New Roman" w:cs="Times New Roman"/>
          <w:sz w:val="24"/>
          <w:szCs w:val="24"/>
          <w:lang w:eastAsia="pl-PL"/>
        </w:rPr>
        <w:t xml:space="preserve">oraz rejestry nazw domen najwyższego poziomu są obowiązane </w:t>
      </w:r>
      <w:r w:rsidR="00565F4B" w:rsidRPr="00833C88">
        <w:rPr>
          <w:rFonts w:eastAsia="Times New Roman" w:cs="Times New Roman"/>
          <w:sz w:val="24"/>
          <w:szCs w:val="24"/>
          <w:lang w:eastAsia="pl-PL"/>
        </w:rPr>
        <w:t>opracować</w:t>
      </w:r>
      <w:r w:rsidR="00A008B1"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A008B1" w:rsidRPr="00833C88">
        <w:rPr>
          <w:rFonts w:eastAsia="Times New Roman" w:cs="Times New Roman"/>
          <w:sz w:val="24"/>
          <w:szCs w:val="24"/>
          <w:lang w:eastAsia="pl-PL"/>
        </w:rPr>
        <w:t xml:space="preserve">wdrożyć polityki </w:t>
      </w:r>
      <w:r w:rsidR="00601933" w:rsidRPr="00833C88">
        <w:rPr>
          <w:rFonts w:eastAsia="Times New Roman" w:cs="Times New Roman"/>
          <w:sz w:val="24"/>
          <w:szCs w:val="24"/>
          <w:lang w:eastAsia="pl-PL"/>
        </w:rPr>
        <w:t>i </w:t>
      </w:r>
      <w:r w:rsidR="00A008B1" w:rsidRPr="00833C88">
        <w:rPr>
          <w:rFonts w:eastAsia="Times New Roman" w:cs="Times New Roman"/>
          <w:sz w:val="24"/>
          <w:szCs w:val="24"/>
          <w:lang w:eastAsia="pl-PL"/>
        </w:rPr>
        <w:t xml:space="preserve">procedury </w:t>
      </w:r>
      <w:r w:rsidR="00A80AA2" w:rsidRPr="00833C88">
        <w:rPr>
          <w:rFonts w:eastAsia="Times New Roman" w:cs="Times New Roman"/>
          <w:sz w:val="24"/>
          <w:szCs w:val="24"/>
          <w:lang w:eastAsia="pl-PL"/>
        </w:rPr>
        <w:t>weryfikacji danych</w:t>
      </w:r>
      <w:r w:rsidR="008B3DDF" w:rsidRPr="00833C88">
        <w:rPr>
          <w:rFonts w:eastAsia="Times New Roman" w:cs="Times New Roman"/>
          <w:sz w:val="24"/>
          <w:szCs w:val="24"/>
          <w:lang w:eastAsia="pl-PL"/>
        </w:rPr>
        <w:t xml:space="preserve">. Muszą one być wzajemnie zgodne. Obejmują możliwość weryfikacji danych na etapie rejestracji domeny jak </w:t>
      </w:r>
      <w:r w:rsidR="00601933" w:rsidRPr="00833C88">
        <w:rPr>
          <w:rFonts w:eastAsia="Times New Roman" w:cs="Times New Roman"/>
          <w:sz w:val="24"/>
          <w:szCs w:val="24"/>
          <w:lang w:eastAsia="pl-PL"/>
        </w:rPr>
        <w:t>i </w:t>
      </w:r>
      <w:r w:rsidR="0092422B" w:rsidRPr="00833C88">
        <w:rPr>
          <w:rFonts w:eastAsia="Times New Roman" w:cs="Times New Roman"/>
          <w:sz w:val="24"/>
          <w:szCs w:val="24"/>
          <w:lang w:eastAsia="pl-PL"/>
        </w:rPr>
        <w:t xml:space="preserve">po rejestracji. </w:t>
      </w:r>
    </w:p>
    <w:p w14:paraId="42B3635C" w14:textId="58B15564" w:rsidR="00F66A7D" w:rsidRPr="00833C88" w:rsidRDefault="00F66A7D" w:rsidP="00192AD5">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Wyjaśnienia wymaga przepis, zgodnie z którym „w </w:t>
      </w:r>
      <w:proofErr w:type="gramStart"/>
      <w:r w:rsidRPr="00833C88">
        <w:rPr>
          <w:rFonts w:eastAsia="Times New Roman" w:cs="Times New Roman"/>
          <w:sz w:val="24"/>
          <w:szCs w:val="24"/>
          <w:lang w:eastAsia="pl-PL"/>
        </w:rPr>
        <w:t>przypadku</w:t>
      </w:r>
      <w:proofErr w:type="gramEnd"/>
      <w:r w:rsidRPr="00833C88">
        <w:rPr>
          <w:rFonts w:eastAsia="Times New Roman" w:cs="Times New Roman"/>
          <w:sz w:val="24"/>
          <w:szCs w:val="24"/>
          <w:lang w:eastAsia="pl-PL"/>
        </w:rPr>
        <w:t xml:space="preserve"> gdy podanie danych, w tym adresu poczty elektronicznej abonenta nazwy domeny, wymaga uzyskania zgody, obowiązek jej uzyskania obciąża podmiot przetwarzający te dane jako pierwszy”. Jest to związane przede wszystkim z tym, że abonent domeny zawiera umowę z rejestrem nazw domen najwyższego poziomu za pośrednictwem podmiotu świadczącego usługi rejestracji nazw domen. To podmiot świadczący usługi rejestracji nazw domen uzyskuje dane od abonenta jako pierwszy. I to ten podmiot powinien uzyskać zgodę, w tym zgodę w rozumieniu art. 7 ust. 1 RODO. </w:t>
      </w:r>
      <w:proofErr w:type="gramStart"/>
      <w:r w:rsidRPr="00833C88">
        <w:rPr>
          <w:rFonts w:eastAsia="Times New Roman" w:cs="Times New Roman"/>
          <w:sz w:val="24"/>
          <w:szCs w:val="24"/>
          <w:lang w:eastAsia="pl-PL"/>
        </w:rPr>
        <w:t>Dane</w:t>
      </w:r>
      <w:proofErr w:type="gramEnd"/>
      <w:r w:rsidRPr="00833C88">
        <w:rPr>
          <w:rFonts w:eastAsia="Times New Roman" w:cs="Times New Roman"/>
          <w:sz w:val="24"/>
          <w:szCs w:val="24"/>
          <w:lang w:eastAsia="pl-PL"/>
        </w:rPr>
        <w:t xml:space="preserve"> wobec których uzyskano zgodę są przekazywane do rejestru nazw domen najwyższego poziomu. Następnie ten rejestr publikuje te dane w ogólnodostępnej światowej bazie domen WHOIS. Zgodnie z informacjami NASK dotyczącymi publikacji informacji o abonentach w bazie WHOIS – „Dane te publikowane są, by zapewnić należyte poszanowanie praw użytkowników Internetu, właścicieli znaków towarowych, praw autorskich i innych dóbr prawnie chronionych. Zgodnie z przepisami prawa o ochronie danych osobowych, nie są publikowane dane abonentów będących osobami fizycznymi.”.</w:t>
      </w:r>
    </w:p>
    <w:p w14:paraId="0606C62E" w14:textId="700C8A09" w:rsidR="004460A8" w:rsidRPr="00833C88" w:rsidRDefault="0048244D" w:rsidP="00565F4B">
      <w:pPr>
        <w:tabs>
          <w:tab w:val="left" w:pos="142"/>
        </w:tabs>
        <w:spacing w:after="0"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 xml:space="preserve">Polityki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zakresie muszą </w:t>
      </w:r>
      <w:r w:rsidR="009B6968" w:rsidRPr="00833C88">
        <w:rPr>
          <w:rFonts w:eastAsia="Times New Roman" w:cs="Times New Roman"/>
          <w:sz w:val="24"/>
          <w:szCs w:val="24"/>
          <w:lang w:eastAsia="pl-PL"/>
        </w:rPr>
        <w:t>też być podane do</w:t>
      </w:r>
      <w:r w:rsidR="00B62C23" w:rsidRPr="00833C88">
        <w:rPr>
          <w:rFonts w:eastAsia="Times New Roman" w:cs="Times New Roman"/>
          <w:sz w:val="24"/>
          <w:szCs w:val="24"/>
          <w:lang w:eastAsia="pl-PL"/>
        </w:rPr>
        <w:t> </w:t>
      </w:r>
      <w:r w:rsidR="009B6968" w:rsidRPr="00833C88">
        <w:rPr>
          <w:rFonts w:eastAsia="Times New Roman" w:cs="Times New Roman"/>
          <w:sz w:val="24"/>
          <w:szCs w:val="24"/>
          <w:lang w:eastAsia="pl-PL"/>
        </w:rPr>
        <w:t xml:space="preserve">publicznej wiadomości co gwarantuje transparentność tego procesu. </w:t>
      </w:r>
      <w:r w:rsidR="00A7543D" w:rsidRPr="00833C88">
        <w:rPr>
          <w:rFonts w:eastAsia="Times New Roman" w:cs="Times New Roman"/>
          <w:sz w:val="24"/>
          <w:szCs w:val="24"/>
          <w:lang w:eastAsia="pl-PL"/>
        </w:rPr>
        <w:t xml:space="preserve">Dane </w:t>
      </w:r>
      <w:r w:rsidR="00601933" w:rsidRPr="00833C88">
        <w:rPr>
          <w:rFonts w:eastAsia="Times New Roman" w:cs="Times New Roman"/>
          <w:sz w:val="24"/>
          <w:szCs w:val="24"/>
          <w:lang w:eastAsia="pl-PL"/>
        </w:rPr>
        <w:t>z </w:t>
      </w:r>
      <w:r w:rsidR="00A7543D" w:rsidRPr="00833C88">
        <w:rPr>
          <w:rFonts w:eastAsia="Times New Roman" w:cs="Times New Roman"/>
          <w:sz w:val="24"/>
          <w:szCs w:val="24"/>
          <w:lang w:eastAsia="pl-PL"/>
        </w:rPr>
        <w:t>rejestru będą również udostępniane na wniosek:</w:t>
      </w:r>
    </w:p>
    <w:p w14:paraId="34E7B79C" w14:textId="7F09D7CC" w:rsidR="00C11C64" w:rsidRPr="00833C88" w:rsidRDefault="00C11C64" w:rsidP="00565F4B">
      <w:pPr>
        <w:spacing w:after="0" w:line="360" w:lineRule="auto"/>
        <w:ind w:left="426" w:hanging="284"/>
        <w:jc w:val="both"/>
        <w:rPr>
          <w:rFonts w:eastAsia="Times New Roman" w:cs="Times New Roman"/>
          <w:sz w:val="24"/>
          <w:szCs w:val="24"/>
          <w:lang w:eastAsia="pl-PL"/>
        </w:rPr>
      </w:pPr>
      <w:r w:rsidRPr="00833C88">
        <w:rPr>
          <w:rFonts w:eastAsia="Times New Roman" w:cs="Times New Roman"/>
          <w:sz w:val="24"/>
          <w:szCs w:val="24"/>
          <w:lang w:eastAsia="pl-PL"/>
        </w:rPr>
        <w:t>1)</w:t>
      </w:r>
      <w:r w:rsidRPr="00833C88">
        <w:rPr>
          <w:rFonts w:eastAsia="Times New Roman" w:cs="Times New Roman"/>
          <w:sz w:val="24"/>
          <w:szCs w:val="24"/>
          <w:lang w:eastAsia="pl-PL"/>
        </w:rPr>
        <w:tab/>
        <w:t xml:space="preserve">sądu –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celu przeprowadzenia dowodu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postępowaniu karnym, postępowaniu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sprawach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wykroczenia lub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postępowaniu cywilnym</w:t>
      </w:r>
      <w:r w:rsidR="001641DA" w:rsidRPr="00833C88">
        <w:rPr>
          <w:rFonts w:eastAsia="Times New Roman" w:cs="Times New Roman"/>
          <w:sz w:val="24"/>
          <w:szCs w:val="24"/>
          <w:lang w:eastAsia="pl-PL"/>
        </w:rPr>
        <w:t>;</w:t>
      </w:r>
    </w:p>
    <w:p w14:paraId="387BB031" w14:textId="7414C359" w:rsidR="00C11C64" w:rsidRPr="00833C88" w:rsidRDefault="00C11C64" w:rsidP="00565F4B">
      <w:pPr>
        <w:spacing w:after="0" w:line="360" w:lineRule="auto"/>
        <w:ind w:left="426" w:hanging="284"/>
        <w:jc w:val="both"/>
        <w:rPr>
          <w:rFonts w:eastAsia="Times New Roman" w:cs="Times New Roman"/>
          <w:sz w:val="24"/>
          <w:szCs w:val="24"/>
          <w:lang w:eastAsia="pl-PL"/>
        </w:rPr>
      </w:pPr>
      <w:r w:rsidRPr="00833C88">
        <w:rPr>
          <w:rFonts w:eastAsia="Times New Roman" w:cs="Times New Roman"/>
          <w:sz w:val="24"/>
          <w:szCs w:val="24"/>
          <w:lang w:eastAsia="pl-PL"/>
        </w:rPr>
        <w:t>2)</w:t>
      </w:r>
      <w:r w:rsidRPr="00833C88">
        <w:rPr>
          <w:rFonts w:eastAsia="Times New Roman" w:cs="Times New Roman"/>
          <w:sz w:val="24"/>
          <w:szCs w:val="24"/>
          <w:lang w:eastAsia="pl-PL"/>
        </w:rPr>
        <w:tab/>
        <w:t xml:space="preserve">prokuratora </w:t>
      </w:r>
      <w:r w:rsidR="001641DA" w:rsidRPr="00833C88">
        <w:rPr>
          <w:rFonts w:eastAsia="Times New Roman" w:cs="Times New Roman"/>
          <w:sz w:val="24"/>
          <w:szCs w:val="24"/>
          <w:lang w:eastAsia="pl-PL"/>
        </w:rPr>
        <w: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celu przeprowadzenia dowodu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postępowaniu karnym lub postępowaniu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sprawach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wykroczenia</w:t>
      </w:r>
      <w:r w:rsidR="001641DA" w:rsidRPr="00833C88">
        <w:rPr>
          <w:rFonts w:eastAsia="Times New Roman" w:cs="Times New Roman"/>
          <w:sz w:val="24"/>
          <w:szCs w:val="24"/>
          <w:lang w:eastAsia="pl-PL"/>
        </w:rPr>
        <w:t>;</w:t>
      </w:r>
    </w:p>
    <w:p w14:paraId="451A28B8" w14:textId="3B764C02" w:rsidR="00C35025" w:rsidRPr="00833C88" w:rsidRDefault="001641DA" w:rsidP="00565F4B">
      <w:pPr>
        <w:spacing w:after="0" w:line="360" w:lineRule="auto"/>
        <w:ind w:left="426" w:hanging="284"/>
        <w:jc w:val="both"/>
        <w:rPr>
          <w:rFonts w:eastAsia="Times New Roman" w:cs="Times New Roman"/>
          <w:sz w:val="24"/>
          <w:szCs w:val="24"/>
          <w:lang w:eastAsia="pl-PL"/>
        </w:rPr>
      </w:pPr>
      <w:r w:rsidRPr="00833C88">
        <w:rPr>
          <w:rFonts w:eastAsia="Times New Roman" w:cs="Times New Roman"/>
          <w:sz w:val="24"/>
          <w:szCs w:val="24"/>
          <w:lang w:eastAsia="pl-PL"/>
        </w:rPr>
        <w:t>3</w:t>
      </w:r>
      <w:r w:rsidR="00C11C64" w:rsidRPr="00833C88">
        <w:rPr>
          <w:rFonts w:eastAsia="Times New Roman" w:cs="Times New Roman"/>
          <w:sz w:val="24"/>
          <w:szCs w:val="24"/>
          <w:lang w:eastAsia="pl-PL"/>
        </w:rPr>
        <w:t>)</w:t>
      </w:r>
      <w:r w:rsidR="00C11C64" w:rsidRPr="00833C88">
        <w:rPr>
          <w:rFonts w:eastAsia="Times New Roman" w:cs="Times New Roman"/>
          <w:sz w:val="24"/>
          <w:szCs w:val="24"/>
          <w:lang w:eastAsia="pl-PL"/>
        </w:rPr>
        <w:tab/>
        <w:t xml:space="preserve">Policji oraz innych upoważnionych organów </w:t>
      </w:r>
      <w:r w:rsidR="00601933" w:rsidRPr="00833C88">
        <w:rPr>
          <w:rFonts w:eastAsia="Times New Roman" w:cs="Times New Roman"/>
          <w:sz w:val="24"/>
          <w:szCs w:val="24"/>
          <w:lang w:eastAsia="pl-PL"/>
        </w:rPr>
        <w:t>w </w:t>
      </w:r>
      <w:r w:rsidR="00C11C64" w:rsidRPr="00833C88">
        <w:rPr>
          <w:rFonts w:eastAsia="Times New Roman" w:cs="Times New Roman"/>
          <w:sz w:val="24"/>
          <w:szCs w:val="24"/>
          <w:lang w:eastAsia="pl-PL"/>
        </w:rPr>
        <w:t xml:space="preserve">postępowaniu karnym </w:t>
      </w:r>
      <w:r w:rsidR="00601933" w:rsidRPr="00833C88">
        <w:rPr>
          <w:rFonts w:eastAsia="Times New Roman" w:cs="Times New Roman"/>
          <w:sz w:val="24"/>
          <w:szCs w:val="24"/>
          <w:lang w:eastAsia="pl-PL"/>
        </w:rPr>
        <w:t>i </w:t>
      </w:r>
      <w:r w:rsidR="00C11C64" w:rsidRPr="00833C88">
        <w:rPr>
          <w:rFonts w:eastAsia="Times New Roman" w:cs="Times New Roman"/>
          <w:sz w:val="24"/>
          <w:szCs w:val="24"/>
          <w:lang w:eastAsia="pl-PL"/>
        </w:rPr>
        <w:t xml:space="preserve">postępowaniu </w:t>
      </w:r>
      <w:r w:rsidR="00601933" w:rsidRPr="00833C88">
        <w:rPr>
          <w:rFonts w:eastAsia="Times New Roman" w:cs="Times New Roman"/>
          <w:sz w:val="24"/>
          <w:szCs w:val="24"/>
          <w:lang w:eastAsia="pl-PL"/>
        </w:rPr>
        <w:t>w </w:t>
      </w:r>
      <w:r w:rsidR="00C11C64" w:rsidRPr="00833C88">
        <w:rPr>
          <w:rFonts w:eastAsia="Times New Roman" w:cs="Times New Roman"/>
          <w:sz w:val="24"/>
          <w:szCs w:val="24"/>
          <w:lang w:eastAsia="pl-PL"/>
        </w:rPr>
        <w:t xml:space="preserve">sprawach </w:t>
      </w:r>
      <w:r w:rsidR="00601933" w:rsidRPr="00833C88">
        <w:rPr>
          <w:rFonts w:eastAsia="Times New Roman" w:cs="Times New Roman"/>
          <w:sz w:val="24"/>
          <w:szCs w:val="24"/>
          <w:lang w:eastAsia="pl-PL"/>
        </w:rPr>
        <w:t>o </w:t>
      </w:r>
      <w:r w:rsidR="00C11C64" w:rsidRPr="00833C88">
        <w:rPr>
          <w:rFonts w:eastAsia="Times New Roman" w:cs="Times New Roman"/>
          <w:sz w:val="24"/>
          <w:szCs w:val="24"/>
          <w:lang w:eastAsia="pl-PL"/>
        </w:rPr>
        <w:t xml:space="preserve">wykroczenia, </w:t>
      </w:r>
      <w:r w:rsidR="00601933" w:rsidRPr="00833C88">
        <w:rPr>
          <w:rFonts w:eastAsia="Times New Roman" w:cs="Times New Roman"/>
          <w:sz w:val="24"/>
          <w:szCs w:val="24"/>
          <w:lang w:eastAsia="pl-PL"/>
        </w:rPr>
        <w:t>w </w:t>
      </w:r>
      <w:r w:rsidR="00C11C64" w:rsidRPr="00833C88">
        <w:rPr>
          <w:rFonts w:eastAsia="Times New Roman" w:cs="Times New Roman"/>
          <w:sz w:val="24"/>
          <w:szCs w:val="24"/>
          <w:lang w:eastAsia="pl-PL"/>
        </w:rPr>
        <w:t xml:space="preserve">celu przeprowadzenia dowodu </w:t>
      </w:r>
      <w:r w:rsidR="00601933" w:rsidRPr="00833C88">
        <w:rPr>
          <w:rFonts w:eastAsia="Times New Roman" w:cs="Times New Roman"/>
          <w:sz w:val="24"/>
          <w:szCs w:val="24"/>
          <w:lang w:eastAsia="pl-PL"/>
        </w:rPr>
        <w:t>w </w:t>
      </w:r>
      <w:r w:rsidR="00C11C64" w:rsidRPr="00833C88">
        <w:rPr>
          <w:rFonts w:eastAsia="Times New Roman" w:cs="Times New Roman"/>
          <w:sz w:val="24"/>
          <w:szCs w:val="24"/>
          <w:lang w:eastAsia="pl-PL"/>
        </w:rPr>
        <w:t xml:space="preserve">postępowaniu karnym, postępowaniu </w:t>
      </w:r>
      <w:r w:rsidR="00601933" w:rsidRPr="00833C88">
        <w:rPr>
          <w:rFonts w:eastAsia="Times New Roman" w:cs="Times New Roman"/>
          <w:sz w:val="24"/>
          <w:szCs w:val="24"/>
          <w:lang w:eastAsia="pl-PL"/>
        </w:rPr>
        <w:t>w </w:t>
      </w:r>
      <w:r w:rsidR="00C11C64" w:rsidRPr="00833C88">
        <w:rPr>
          <w:rFonts w:eastAsia="Times New Roman" w:cs="Times New Roman"/>
          <w:sz w:val="24"/>
          <w:szCs w:val="24"/>
          <w:lang w:eastAsia="pl-PL"/>
        </w:rPr>
        <w:t xml:space="preserve">sprawach </w:t>
      </w:r>
      <w:r w:rsidR="00601933" w:rsidRPr="00833C88">
        <w:rPr>
          <w:rFonts w:eastAsia="Times New Roman" w:cs="Times New Roman"/>
          <w:sz w:val="24"/>
          <w:szCs w:val="24"/>
          <w:lang w:eastAsia="pl-PL"/>
        </w:rPr>
        <w:t>o </w:t>
      </w:r>
      <w:r w:rsidR="00C11C64" w:rsidRPr="00833C88">
        <w:rPr>
          <w:rFonts w:eastAsia="Times New Roman" w:cs="Times New Roman"/>
          <w:sz w:val="24"/>
          <w:szCs w:val="24"/>
          <w:lang w:eastAsia="pl-PL"/>
        </w:rPr>
        <w:t>wykroczenia</w:t>
      </w:r>
      <w:r w:rsidR="00810185" w:rsidRPr="00833C88">
        <w:rPr>
          <w:rFonts w:eastAsia="Times New Roman" w:cs="Times New Roman"/>
          <w:sz w:val="24"/>
          <w:szCs w:val="24"/>
          <w:lang w:eastAsia="pl-PL"/>
        </w:rPr>
        <w:t xml:space="preserve"> oraz czynności w ramach postępowaniu o</w:t>
      </w:r>
      <w:r w:rsidR="00846C33" w:rsidRPr="00833C88">
        <w:rPr>
          <w:rFonts w:eastAsia="Times New Roman" w:cs="Times New Roman"/>
          <w:sz w:val="24"/>
          <w:szCs w:val="24"/>
          <w:lang w:eastAsia="pl-PL"/>
        </w:rPr>
        <w:t> </w:t>
      </w:r>
      <w:r w:rsidR="00810185" w:rsidRPr="00833C88">
        <w:rPr>
          <w:rFonts w:eastAsia="Times New Roman" w:cs="Times New Roman"/>
          <w:sz w:val="24"/>
          <w:szCs w:val="24"/>
          <w:lang w:eastAsia="pl-PL"/>
        </w:rPr>
        <w:t>wykroczenia</w:t>
      </w:r>
      <w:r w:rsidR="00802D2B" w:rsidRPr="00833C88">
        <w:rPr>
          <w:rFonts w:eastAsia="Times New Roman" w:cs="Times New Roman"/>
          <w:sz w:val="24"/>
          <w:szCs w:val="24"/>
          <w:lang w:eastAsia="pl-PL"/>
        </w:rPr>
        <w:t>;</w:t>
      </w:r>
    </w:p>
    <w:p w14:paraId="4B5715FC" w14:textId="24D30604" w:rsidR="00B53A4B" w:rsidRPr="00833C88" w:rsidRDefault="00B53A4B" w:rsidP="00565F4B">
      <w:pPr>
        <w:spacing w:after="0" w:line="360" w:lineRule="auto"/>
        <w:ind w:left="426" w:hanging="284"/>
        <w:jc w:val="both"/>
        <w:rPr>
          <w:rFonts w:eastAsia="Times New Roman" w:cs="Times New Roman"/>
          <w:sz w:val="24"/>
          <w:szCs w:val="24"/>
          <w:lang w:eastAsia="pl-PL"/>
        </w:rPr>
      </w:pPr>
      <w:r w:rsidRPr="00833C88">
        <w:rPr>
          <w:rFonts w:eastAsia="Times New Roman" w:cs="Times New Roman"/>
          <w:sz w:val="24"/>
          <w:szCs w:val="24"/>
          <w:lang w:eastAsia="pl-PL"/>
        </w:rPr>
        <w:t>4)</w:t>
      </w:r>
      <w:r w:rsidRPr="00833C88">
        <w:rPr>
          <w:rFonts w:eastAsia="Times New Roman" w:cs="Times New Roman"/>
          <w:sz w:val="24"/>
          <w:szCs w:val="24"/>
          <w:lang w:eastAsia="pl-PL"/>
        </w:rPr>
        <w:tab/>
        <w:t xml:space="preserve">CSIRT sektorowego –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celu przeprowadzenia obsługi incydentu poważnego przez CSIRT sektorowy związanego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daną domeną</w:t>
      </w:r>
      <w:r w:rsidR="00802D2B" w:rsidRPr="00833C88">
        <w:rPr>
          <w:rFonts w:eastAsia="Times New Roman" w:cs="Times New Roman"/>
          <w:sz w:val="24"/>
          <w:szCs w:val="24"/>
          <w:lang w:eastAsia="pl-PL"/>
        </w:rPr>
        <w:t>;</w:t>
      </w:r>
    </w:p>
    <w:p w14:paraId="66F33A43" w14:textId="1C906F21" w:rsidR="00B53A4B" w:rsidRPr="00833C88" w:rsidRDefault="00B53A4B" w:rsidP="00565F4B">
      <w:pPr>
        <w:spacing w:after="0" w:line="360" w:lineRule="auto"/>
        <w:ind w:left="426" w:hanging="284"/>
        <w:jc w:val="both"/>
        <w:rPr>
          <w:rFonts w:eastAsia="Times New Roman" w:cs="Times New Roman"/>
          <w:sz w:val="24"/>
          <w:szCs w:val="24"/>
          <w:lang w:eastAsia="pl-PL"/>
        </w:rPr>
      </w:pPr>
      <w:r w:rsidRPr="00833C88">
        <w:rPr>
          <w:rFonts w:eastAsia="Times New Roman" w:cs="Times New Roman"/>
          <w:sz w:val="24"/>
          <w:szCs w:val="24"/>
          <w:lang w:eastAsia="pl-PL"/>
        </w:rPr>
        <w:lastRenderedPageBreak/>
        <w:t>5)</w:t>
      </w:r>
      <w:r w:rsidRPr="00833C88">
        <w:rPr>
          <w:rFonts w:eastAsia="Times New Roman" w:cs="Times New Roman"/>
          <w:sz w:val="24"/>
          <w:szCs w:val="24"/>
          <w:lang w:eastAsia="pl-PL"/>
        </w:rPr>
        <w:tab/>
        <w:t>CSIRT MON</w:t>
      </w:r>
      <w:r w:rsidR="00F70A2C"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CSIRT NASK </w:t>
      </w:r>
      <w:r w:rsidR="00F70A2C" w:rsidRPr="00833C88">
        <w:rPr>
          <w:rFonts w:eastAsia="Times New Roman" w:cs="Times New Roman"/>
          <w:sz w:val="24"/>
          <w:szCs w:val="24"/>
          <w:lang w:eastAsia="pl-PL"/>
        </w:rPr>
        <w:t xml:space="preserve">lub CSIRT GOV </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celu przeprowadzenia obsługi incydentu poważnego lub incydentu krytycznego związanego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daną domeną</w:t>
      </w:r>
      <w:r w:rsidR="00802D2B" w:rsidRPr="00833C88">
        <w:rPr>
          <w:rFonts w:eastAsia="Times New Roman" w:cs="Times New Roman"/>
          <w:sz w:val="24"/>
          <w:szCs w:val="24"/>
          <w:lang w:eastAsia="pl-PL"/>
        </w:rPr>
        <w:t>;</w:t>
      </w:r>
    </w:p>
    <w:p w14:paraId="3F4ADF0A" w14:textId="50C5BB82" w:rsidR="003E7A0C" w:rsidRPr="00833C88" w:rsidRDefault="00B53A4B" w:rsidP="00565F4B">
      <w:pPr>
        <w:spacing w:after="0" w:line="360" w:lineRule="auto"/>
        <w:ind w:left="426" w:hanging="284"/>
        <w:jc w:val="both"/>
        <w:rPr>
          <w:rFonts w:eastAsia="Times New Roman" w:cs="Times New Roman"/>
          <w:sz w:val="24"/>
          <w:szCs w:val="24"/>
          <w:lang w:eastAsia="pl-PL"/>
        </w:rPr>
      </w:pPr>
      <w:r w:rsidRPr="00833C88">
        <w:rPr>
          <w:rFonts w:eastAsia="Times New Roman" w:cs="Times New Roman"/>
          <w:sz w:val="24"/>
          <w:szCs w:val="24"/>
          <w:lang w:eastAsia="pl-PL"/>
        </w:rPr>
        <w:t>6)</w:t>
      </w:r>
      <w:r w:rsidRPr="00833C88">
        <w:rPr>
          <w:rFonts w:eastAsia="Times New Roman" w:cs="Times New Roman"/>
          <w:sz w:val="24"/>
          <w:szCs w:val="24"/>
          <w:lang w:eastAsia="pl-PL"/>
        </w:rPr>
        <w:tab/>
        <w:t xml:space="preserve">podmiotowi wykonującemu postanowienie sądu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przedmiocie zabezpieczenia środka dowodowego,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art. 479</w:t>
      </w:r>
      <w:r w:rsidRPr="00833C88">
        <w:rPr>
          <w:rFonts w:eastAsia="Times New Roman" w:cs="Times New Roman"/>
          <w:sz w:val="24"/>
          <w:szCs w:val="24"/>
          <w:vertAlign w:val="superscript"/>
          <w:lang w:eastAsia="pl-PL"/>
        </w:rPr>
        <w:t>100</w:t>
      </w:r>
      <w:r w:rsidRPr="00833C88">
        <w:rPr>
          <w:rFonts w:eastAsia="Times New Roman" w:cs="Times New Roman"/>
          <w:sz w:val="24"/>
          <w:szCs w:val="24"/>
          <w:lang w:eastAsia="pl-PL"/>
        </w:rPr>
        <w:t xml:space="preserve"> §1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dnia 17 listopada 1964 r. – Kodeks postępowania cywilnego (Dz.</w:t>
      </w:r>
      <w:r w:rsidR="009E73C7"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2024 r. poz. 1568</w:t>
      </w:r>
      <w:r w:rsidR="009E73C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9E73C7" w:rsidRPr="00833C88">
        <w:rPr>
          <w:rFonts w:eastAsia="Times New Roman" w:cs="Times New Roman"/>
          <w:sz w:val="24"/>
          <w:szCs w:val="24"/>
          <w:lang w:eastAsia="pl-PL"/>
        </w:rPr>
        <w:t>1841</w:t>
      </w:r>
      <w:r w:rsidR="009E6E8E" w:rsidRPr="00833C88">
        <w:rPr>
          <w:rFonts w:eastAsia="Times New Roman" w:cs="Times New Roman"/>
          <w:sz w:val="24"/>
          <w:szCs w:val="24"/>
          <w:lang w:eastAsia="pl-PL"/>
        </w:rPr>
        <w:t xml:space="preserve"> oraz z 2025 r. poz. 620</w:t>
      </w:r>
      <w:r w:rsidR="00565F4B" w:rsidRPr="00833C88">
        <w:rPr>
          <w:rFonts w:eastAsia="Times New Roman" w:cs="Times New Roman"/>
          <w:sz w:val="24"/>
          <w:szCs w:val="24"/>
          <w:lang w:eastAsia="pl-PL"/>
        </w:rPr>
        <w:t>,</w:t>
      </w:r>
      <w:r w:rsidR="00050A58" w:rsidRPr="00833C88">
        <w:rPr>
          <w:rFonts w:eastAsia="Times New Roman" w:cs="Times New Roman"/>
          <w:sz w:val="24"/>
          <w:szCs w:val="24"/>
          <w:lang w:eastAsia="pl-PL"/>
        </w:rPr>
        <w:t xml:space="preserve"> 1172</w:t>
      </w:r>
      <w:r w:rsidR="00565F4B" w:rsidRPr="00833C88">
        <w:rPr>
          <w:rFonts w:eastAsia="Times New Roman" w:cs="Times New Roman"/>
          <w:sz w:val="24"/>
          <w:szCs w:val="24"/>
          <w:lang w:eastAsia="pl-PL"/>
        </w:rPr>
        <w:t xml:space="preserve"> i 1302</w:t>
      </w:r>
      <w:r w:rsidRPr="00833C88">
        <w:rPr>
          <w:rFonts w:eastAsia="Times New Roman" w:cs="Times New Roman"/>
          <w:sz w:val="24"/>
          <w:szCs w:val="24"/>
          <w:lang w:eastAsia="pl-PL"/>
        </w:rPr>
        <w:t>)</w:t>
      </w:r>
      <w:r w:rsidR="00802D2B" w:rsidRPr="00833C88">
        <w:rPr>
          <w:rFonts w:eastAsia="Times New Roman" w:cs="Times New Roman"/>
          <w:sz w:val="24"/>
          <w:szCs w:val="24"/>
          <w:lang w:eastAsia="pl-PL"/>
        </w:rPr>
        <w:t>.</w:t>
      </w:r>
      <w:r w:rsidR="00565F4B" w:rsidRPr="00833C88">
        <w:rPr>
          <w:rFonts w:eastAsia="Times New Roman" w:cs="Times New Roman"/>
          <w:sz w:val="24"/>
          <w:szCs w:val="24"/>
          <w:lang w:eastAsia="pl-PL"/>
        </w:rPr>
        <w:t xml:space="preserve"> </w:t>
      </w:r>
      <w:r w:rsidR="003E7A0C" w:rsidRPr="00833C88">
        <w:rPr>
          <w:rFonts w:eastAsia="Times New Roman" w:cs="Times New Roman"/>
          <w:sz w:val="24"/>
          <w:szCs w:val="24"/>
          <w:lang w:eastAsia="pl-PL"/>
        </w:rPr>
        <w:t xml:space="preserve">Postanowienie to wydaje sąd </w:t>
      </w:r>
      <w:r w:rsidR="00601933" w:rsidRPr="00833C88">
        <w:rPr>
          <w:rFonts w:eastAsia="Times New Roman" w:cs="Times New Roman"/>
          <w:sz w:val="24"/>
          <w:szCs w:val="24"/>
          <w:lang w:eastAsia="pl-PL"/>
        </w:rPr>
        <w:t>w </w:t>
      </w:r>
      <w:r w:rsidR="003E7A0C" w:rsidRPr="00833C88">
        <w:rPr>
          <w:rFonts w:eastAsia="Times New Roman" w:cs="Times New Roman"/>
          <w:sz w:val="24"/>
          <w:szCs w:val="24"/>
          <w:lang w:eastAsia="pl-PL"/>
        </w:rPr>
        <w:t xml:space="preserve">sprawach </w:t>
      </w:r>
      <w:r w:rsidR="00EB242E" w:rsidRPr="00833C88">
        <w:rPr>
          <w:rFonts w:eastAsia="Times New Roman" w:cs="Times New Roman"/>
          <w:sz w:val="24"/>
          <w:szCs w:val="24"/>
          <w:lang w:eastAsia="pl-PL"/>
        </w:rPr>
        <w:t>własności intelektualnej</w:t>
      </w:r>
      <w:r w:rsidR="00811A26" w:rsidRPr="00833C88">
        <w:rPr>
          <w:rFonts w:eastAsia="Times New Roman" w:cs="Times New Roman"/>
          <w:sz w:val="24"/>
          <w:szCs w:val="24"/>
          <w:lang w:eastAsia="pl-PL"/>
        </w:rPr>
        <w:t xml:space="preserve"> na wniosek uprawnionego, który uprawdopodobnił roszczenie, jak również interes prawny </w:t>
      </w:r>
      <w:r w:rsidR="00601933" w:rsidRPr="00833C88">
        <w:rPr>
          <w:rFonts w:eastAsia="Times New Roman" w:cs="Times New Roman"/>
          <w:sz w:val="24"/>
          <w:szCs w:val="24"/>
          <w:lang w:eastAsia="pl-PL"/>
        </w:rPr>
        <w:t>w </w:t>
      </w:r>
      <w:r w:rsidR="00811A26" w:rsidRPr="00833C88">
        <w:rPr>
          <w:rFonts w:eastAsia="Times New Roman" w:cs="Times New Roman"/>
          <w:sz w:val="24"/>
          <w:szCs w:val="24"/>
          <w:lang w:eastAsia="pl-PL"/>
        </w:rPr>
        <w:t>zabezpieczeniu.</w:t>
      </w:r>
      <w:r w:rsidR="00EB242E" w:rsidRPr="00833C88">
        <w:rPr>
          <w:rFonts w:eastAsia="Times New Roman" w:cs="Times New Roman"/>
          <w:sz w:val="24"/>
          <w:szCs w:val="24"/>
          <w:lang w:eastAsia="pl-PL"/>
        </w:rPr>
        <w:t xml:space="preserve"> Czyli sąd już zbadał interes prawny uprawnionego</w:t>
      </w:r>
      <w:r w:rsidR="006B42A5" w:rsidRPr="00833C88">
        <w:rPr>
          <w:rFonts w:eastAsia="Times New Roman" w:cs="Times New Roman"/>
          <w:sz w:val="24"/>
          <w:szCs w:val="24"/>
          <w:lang w:eastAsia="pl-PL"/>
        </w:rPr>
        <w:t xml:space="preserve">. Zwykle podmiotem wykonującym to postanowienie będzie komornik. Rozwiązanie to dodano </w:t>
      </w:r>
      <w:r w:rsidR="00601933" w:rsidRPr="00833C88">
        <w:rPr>
          <w:rFonts w:eastAsia="Times New Roman" w:cs="Times New Roman"/>
          <w:sz w:val="24"/>
          <w:szCs w:val="24"/>
          <w:lang w:eastAsia="pl-PL"/>
        </w:rPr>
        <w:t>z </w:t>
      </w:r>
      <w:r w:rsidR="006B42A5" w:rsidRPr="00833C88">
        <w:rPr>
          <w:rFonts w:eastAsia="Times New Roman" w:cs="Times New Roman"/>
          <w:sz w:val="24"/>
          <w:szCs w:val="24"/>
          <w:lang w:eastAsia="pl-PL"/>
        </w:rPr>
        <w:t xml:space="preserve">uwagi na to, że </w:t>
      </w:r>
      <w:r w:rsidR="00412D01" w:rsidRPr="00833C88">
        <w:rPr>
          <w:rFonts w:eastAsia="Times New Roman" w:cs="Times New Roman"/>
          <w:sz w:val="24"/>
          <w:szCs w:val="24"/>
          <w:lang w:eastAsia="pl-PL"/>
        </w:rPr>
        <w:t xml:space="preserve">dyrektywa NIS 2 dopuszcza dostęp do danych dla osób </w:t>
      </w:r>
      <w:r w:rsidR="00601933" w:rsidRPr="00833C88">
        <w:rPr>
          <w:rFonts w:eastAsia="Times New Roman" w:cs="Times New Roman"/>
          <w:sz w:val="24"/>
          <w:szCs w:val="24"/>
          <w:lang w:eastAsia="pl-PL"/>
        </w:rPr>
        <w:t>z </w:t>
      </w:r>
      <w:r w:rsidR="00366988" w:rsidRPr="00833C88">
        <w:rPr>
          <w:rFonts w:eastAsia="Times New Roman" w:cs="Times New Roman"/>
          <w:sz w:val="24"/>
          <w:szCs w:val="24"/>
          <w:lang w:eastAsia="pl-PL"/>
        </w:rPr>
        <w:t>interesem prawnym</w:t>
      </w:r>
      <w:r w:rsidR="00050A58" w:rsidRPr="00833C88">
        <w:rPr>
          <w:rFonts w:eastAsia="Times New Roman" w:cs="Times New Roman"/>
          <w:sz w:val="24"/>
          <w:szCs w:val="24"/>
          <w:lang w:eastAsia="pl-PL"/>
        </w:rPr>
        <w:t>,</w:t>
      </w:r>
      <w:r w:rsidR="000939B9" w:rsidRPr="00833C88">
        <w:rPr>
          <w:rFonts w:eastAsia="Times New Roman" w:cs="Times New Roman"/>
          <w:sz w:val="24"/>
          <w:szCs w:val="24"/>
          <w:lang w:eastAsia="pl-PL"/>
        </w:rPr>
        <w:t xml:space="preserve"> które</w:t>
      </w:r>
      <w:r w:rsidR="00366988" w:rsidRPr="00833C88">
        <w:rPr>
          <w:rFonts w:eastAsia="Times New Roman" w:cs="Times New Roman"/>
          <w:sz w:val="24"/>
          <w:szCs w:val="24"/>
          <w:lang w:eastAsia="pl-PL"/>
        </w:rPr>
        <w:t xml:space="preserve"> np. chcą pozwać osobę dysponującą tytułem prawnym do domeny</w:t>
      </w:r>
      <w:r w:rsidR="00E80CCD" w:rsidRPr="00833C88">
        <w:rPr>
          <w:rFonts w:eastAsia="Times New Roman" w:cs="Times New Roman"/>
          <w:sz w:val="24"/>
          <w:szCs w:val="24"/>
          <w:lang w:eastAsia="pl-PL"/>
        </w:rPr>
        <w:t>, na której naruszono prawa własności intelektualnej</w:t>
      </w:r>
      <w:r w:rsidR="00802D2B" w:rsidRPr="00833C88">
        <w:rPr>
          <w:rFonts w:eastAsia="Times New Roman" w:cs="Times New Roman"/>
          <w:sz w:val="24"/>
          <w:szCs w:val="24"/>
          <w:lang w:eastAsia="pl-PL"/>
        </w:rPr>
        <w:t>;</w:t>
      </w:r>
    </w:p>
    <w:p w14:paraId="37C4A26A" w14:textId="234D5873" w:rsidR="00C11C64" w:rsidRPr="00833C88" w:rsidRDefault="00B53A4B" w:rsidP="00565F4B">
      <w:pPr>
        <w:spacing w:after="0" w:line="360" w:lineRule="auto"/>
        <w:ind w:left="426" w:hanging="284"/>
        <w:jc w:val="both"/>
        <w:rPr>
          <w:rFonts w:eastAsia="Times New Roman" w:cs="Times New Roman"/>
          <w:sz w:val="24"/>
          <w:szCs w:val="24"/>
          <w:lang w:eastAsia="pl-PL"/>
        </w:rPr>
      </w:pPr>
      <w:r w:rsidRPr="00833C88">
        <w:rPr>
          <w:rFonts w:eastAsia="Times New Roman" w:cs="Times New Roman"/>
          <w:sz w:val="24"/>
          <w:szCs w:val="24"/>
          <w:lang w:eastAsia="pl-PL"/>
        </w:rPr>
        <w:t>7)</w:t>
      </w:r>
      <w:r w:rsidRPr="00833C88">
        <w:rPr>
          <w:rFonts w:eastAsia="Times New Roman" w:cs="Times New Roman"/>
          <w:sz w:val="24"/>
          <w:szCs w:val="24"/>
          <w:lang w:eastAsia="pl-PL"/>
        </w:rPr>
        <w:tab/>
        <w:t xml:space="preserve">Prezesa Urzędu Komunikacji Elektronicznej – celu weryfikacji czy podmiot składający sprzeciw wobec wpisania domeny na listę ostrzeżeń,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21 ust. 1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28 lipca 2023 r.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zwalczaniu nadużyć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komunikacji elektronicznej (Dz.</w:t>
      </w:r>
      <w:r w:rsidR="00565F4B" w:rsidRPr="00833C88">
        <w:rPr>
          <w:rFonts w:eastAsia="Times New Roman" w:cs="Times New Roman"/>
          <w:sz w:val="24"/>
          <w:szCs w:val="24"/>
          <w:lang w:eastAsia="pl-PL"/>
        </w:rPr>
        <w:t> </w:t>
      </w:r>
      <w:r w:rsidRPr="00833C88">
        <w:rPr>
          <w:rFonts w:eastAsia="Times New Roman" w:cs="Times New Roman"/>
          <w:sz w:val="24"/>
          <w:szCs w:val="24"/>
          <w:lang w:eastAsia="pl-PL"/>
        </w:rPr>
        <w:t xml:space="preserve">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2024 r. poz.</w:t>
      </w:r>
      <w:r w:rsidR="009E73C7" w:rsidRPr="00833C88">
        <w:rPr>
          <w:rFonts w:eastAsia="Times New Roman" w:cs="Times New Roman"/>
          <w:sz w:val="24"/>
          <w:szCs w:val="24"/>
          <w:lang w:eastAsia="pl-PL"/>
        </w:rPr>
        <w:t xml:space="preserve"> 1803</w:t>
      </w:r>
      <w:r w:rsidRPr="00833C88">
        <w:rPr>
          <w:rFonts w:eastAsia="Times New Roman" w:cs="Times New Roman"/>
          <w:sz w:val="24"/>
          <w:szCs w:val="24"/>
          <w:lang w:eastAsia="pl-PL"/>
        </w:rPr>
        <w:t>) dysponuje do tej domeny tytułem prawnym</w:t>
      </w:r>
      <w:r w:rsidRPr="00833C88" w:rsidDel="0008522E">
        <w:rPr>
          <w:rFonts w:eastAsia="Times New Roman" w:cs="Times New Roman"/>
          <w:sz w:val="24"/>
          <w:szCs w:val="24"/>
          <w:lang w:eastAsia="pl-PL"/>
        </w:rPr>
        <w:t xml:space="preserve"> </w:t>
      </w:r>
      <w:r w:rsidR="007C7D68" w:rsidRPr="00833C88">
        <w:rPr>
          <w:rFonts w:eastAsia="Times New Roman" w:cs="Times New Roman"/>
          <w:sz w:val="24"/>
          <w:szCs w:val="24"/>
          <w:lang w:eastAsia="pl-PL"/>
        </w:rPr>
        <w:t>Prezes Urzędu Komunikacji</w:t>
      </w:r>
      <w:r w:rsidR="00FF75D3" w:rsidRPr="00833C88">
        <w:rPr>
          <w:rFonts w:eastAsia="Times New Roman" w:cs="Times New Roman"/>
          <w:sz w:val="24"/>
          <w:szCs w:val="24"/>
          <w:lang w:eastAsia="pl-PL"/>
        </w:rPr>
        <w:t xml:space="preserve"> Elektronicznej rozpatruje sprzeciwy wobec wpisania domeny na listę ostrzeżeń prowadzoną przez CSIRT NASK. Aby móc zweryfikować, czy</w:t>
      </w:r>
      <w:r w:rsidR="002B5812" w:rsidRPr="00833C88">
        <w:rPr>
          <w:rFonts w:eastAsia="Times New Roman" w:cs="Times New Roman"/>
          <w:sz w:val="24"/>
          <w:szCs w:val="24"/>
          <w:lang w:eastAsia="pl-PL"/>
        </w:rPr>
        <w:t xml:space="preserve"> sprzeciw złożyła osoba uprawniona do danej domeny potrzebny jest dostęp do danych </w:t>
      </w:r>
      <w:r w:rsidR="00601933" w:rsidRPr="00833C88">
        <w:rPr>
          <w:rFonts w:eastAsia="Times New Roman" w:cs="Times New Roman"/>
          <w:sz w:val="24"/>
          <w:szCs w:val="24"/>
          <w:lang w:eastAsia="pl-PL"/>
        </w:rPr>
        <w:t>z </w:t>
      </w:r>
      <w:r w:rsidR="002B5812" w:rsidRPr="00833C88">
        <w:rPr>
          <w:rFonts w:eastAsia="Times New Roman" w:cs="Times New Roman"/>
          <w:sz w:val="24"/>
          <w:szCs w:val="24"/>
          <w:lang w:eastAsia="pl-PL"/>
        </w:rPr>
        <w:t xml:space="preserve">bazy </w:t>
      </w:r>
      <w:r w:rsidR="00934392" w:rsidRPr="00833C88">
        <w:rPr>
          <w:rFonts w:eastAsia="Times New Roman" w:cs="Times New Roman"/>
          <w:sz w:val="24"/>
          <w:szCs w:val="24"/>
          <w:lang w:eastAsia="pl-PL"/>
        </w:rPr>
        <w:t>rejestracji nazw domen.</w:t>
      </w:r>
    </w:p>
    <w:p w14:paraId="4E32D4C1" w14:textId="5BE1213C" w:rsidR="00517B60" w:rsidRPr="00833C88" w:rsidRDefault="00A7543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Pozwoli to na zwiększ</w:t>
      </w:r>
      <w:r w:rsidR="007A4EEC" w:rsidRPr="00833C88">
        <w:rPr>
          <w:rFonts w:eastAsia="Times New Roman" w:cs="Times New Roman"/>
          <w:sz w:val="24"/>
          <w:szCs w:val="24"/>
          <w:lang w:eastAsia="pl-PL"/>
        </w:rPr>
        <w:t xml:space="preserve">enie skuteczności walki </w:t>
      </w:r>
      <w:r w:rsidR="00601933" w:rsidRPr="00833C88">
        <w:rPr>
          <w:rFonts w:eastAsia="Times New Roman" w:cs="Times New Roman"/>
          <w:sz w:val="24"/>
          <w:szCs w:val="24"/>
          <w:lang w:eastAsia="pl-PL"/>
        </w:rPr>
        <w:t>z </w:t>
      </w:r>
      <w:r w:rsidR="007A4EEC" w:rsidRPr="00833C88">
        <w:rPr>
          <w:rFonts w:eastAsia="Times New Roman" w:cs="Times New Roman"/>
          <w:sz w:val="24"/>
          <w:szCs w:val="24"/>
          <w:lang w:eastAsia="pl-PL"/>
        </w:rPr>
        <w:t xml:space="preserve">przestępczością </w:t>
      </w:r>
      <w:r w:rsidR="00601933" w:rsidRPr="00833C88">
        <w:rPr>
          <w:rFonts w:eastAsia="Times New Roman" w:cs="Times New Roman"/>
          <w:sz w:val="24"/>
          <w:szCs w:val="24"/>
          <w:lang w:eastAsia="pl-PL"/>
        </w:rPr>
        <w:t>w </w:t>
      </w:r>
      <w:r w:rsidR="007A4EEC" w:rsidRPr="00833C88">
        <w:rPr>
          <w:rFonts w:eastAsia="Times New Roman" w:cs="Times New Roman"/>
          <w:sz w:val="24"/>
          <w:szCs w:val="24"/>
          <w:lang w:eastAsia="pl-PL"/>
        </w:rPr>
        <w:t>internecie, a</w:t>
      </w:r>
      <w:r w:rsidR="00B62C23" w:rsidRPr="00833C88">
        <w:rPr>
          <w:rFonts w:eastAsia="Times New Roman" w:cs="Times New Roman"/>
          <w:sz w:val="24"/>
          <w:szCs w:val="24"/>
          <w:lang w:eastAsia="pl-PL"/>
        </w:rPr>
        <w:t> </w:t>
      </w:r>
      <w:r w:rsidR="007A4EEC" w:rsidRPr="00833C88">
        <w:rPr>
          <w:rFonts w:eastAsia="Times New Roman" w:cs="Times New Roman"/>
          <w:sz w:val="24"/>
          <w:szCs w:val="24"/>
          <w:lang w:eastAsia="pl-PL"/>
        </w:rPr>
        <w:t>w</w:t>
      </w:r>
      <w:r w:rsidR="00B62C23" w:rsidRPr="00833C88">
        <w:rPr>
          <w:rFonts w:eastAsia="Times New Roman" w:cs="Times New Roman"/>
          <w:sz w:val="24"/>
          <w:szCs w:val="24"/>
          <w:lang w:eastAsia="pl-PL"/>
        </w:rPr>
        <w:t> </w:t>
      </w:r>
      <w:r w:rsidR="007A4EEC" w:rsidRPr="00833C88">
        <w:rPr>
          <w:rFonts w:eastAsia="Times New Roman" w:cs="Times New Roman"/>
          <w:sz w:val="24"/>
          <w:szCs w:val="24"/>
          <w:lang w:eastAsia="pl-PL"/>
        </w:rPr>
        <w:t>szczególności ze stronami internetowymi służącymi podszywaniu się pod inne podmioty.</w:t>
      </w:r>
    </w:p>
    <w:p w14:paraId="3CB8131D" w14:textId="4D6025E8" w:rsidR="0084188A" w:rsidRPr="00833C88" w:rsidRDefault="00A6198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Żądanie o udostępnienie danych będzie składane w postaci elektronicznej i opatrywane kwalifikowanym podpisem elektronicznym, podpisem zaufanym, podpisem osobistym albo kwalifikowaną pieczęcią elektroniczną.</w:t>
      </w:r>
    </w:p>
    <w:p w14:paraId="2D0AEBAD" w14:textId="6946FD81" w:rsidR="00134313" w:rsidRPr="00833C88" w:rsidRDefault="00C541C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Rejestry nazw domen najwyższego poziomu oraz podmioty świadczące usługi rejestracji nazw domen będą obowiązane</w:t>
      </w:r>
      <w:r w:rsidR="008C25FD" w:rsidRPr="00833C88">
        <w:rPr>
          <w:rFonts w:eastAsia="Times New Roman" w:cs="Times New Roman"/>
          <w:sz w:val="24"/>
          <w:szCs w:val="24"/>
          <w:lang w:eastAsia="pl-PL"/>
        </w:rPr>
        <w:t xml:space="preserve"> do udzielenia odpowiedzi nie później niż w ciągu 72 godzin od dnia otrzymania żądania udostępnienia danych. </w:t>
      </w:r>
      <w:r w:rsidR="00180A20" w:rsidRPr="00833C88">
        <w:rPr>
          <w:rFonts w:eastAsia="Times New Roman" w:cs="Times New Roman"/>
          <w:sz w:val="24"/>
          <w:szCs w:val="24"/>
          <w:lang w:eastAsia="pl-PL"/>
        </w:rPr>
        <w:t xml:space="preserve">Dyrektywa NIS 2 dała dużo swobody tym podmiotom, gdyż zgodnie z dyrektywą to rejestratorzy </w:t>
      </w:r>
      <w:r w:rsidR="00E212E3" w:rsidRPr="00833C88">
        <w:rPr>
          <w:rFonts w:eastAsia="Times New Roman" w:cs="Times New Roman"/>
          <w:sz w:val="24"/>
          <w:szCs w:val="24"/>
          <w:lang w:eastAsia="pl-PL"/>
        </w:rPr>
        <w:t>określają politykę i procedurę ujawniania danych dotyczących rejestracji domen.</w:t>
      </w:r>
    </w:p>
    <w:p w14:paraId="3E393872" w14:textId="049324F3" w:rsidR="00517B60" w:rsidRPr="00833C88" w:rsidRDefault="00B42ABA" w:rsidP="003356E7">
      <w:pPr>
        <w:pStyle w:val="Nagwek2"/>
        <w:spacing w:before="0" w:after="120" w:line="360" w:lineRule="auto"/>
        <w:jc w:val="both"/>
        <w:rPr>
          <w:rFonts w:cs="Times New Roman"/>
          <w:b/>
          <w:bCs/>
          <w:lang w:eastAsia="pl-PL"/>
        </w:rPr>
      </w:pPr>
      <w:r w:rsidRPr="00833C88">
        <w:rPr>
          <w:rFonts w:cs="Times New Roman"/>
          <w:b/>
          <w:bCs/>
          <w:lang w:eastAsia="pl-PL"/>
        </w:rPr>
        <w:lastRenderedPageBreak/>
        <w:t>Uchylenie rozdział</w:t>
      </w:r>
      <w:r w:rsidR="006526CF" w:rsidRPr="00833C88">
        <w:rPr>
          <w:rFonts w:cs="Times New Roman"/>
          <w:b/>
          <w:bCs/>
          <w:lang w:eastAsia="pl-PL"/>
        </w:rPr>
        <w:t>u</w:t>
      </w:r>
      <w:r w:rsidRPr="00833C88">
        <w:rPr>
          <w:rFonts w:cs="Times New Roman"/>
          <w:b/>
          <w:bCs/>
          <w:lang w:eastAsia="pl-PL"/>
        </w:rPr>
        <w:t xml:space="preserve"> </w:t>
      </w:r>
      <w:r w:rsidR="00601933" w:rsidRPr="00833C88">
        <w:rPr>
          <w:rFonts w:cs="Times New Roman"/>
          <w:b/>
          <w:bCs/>
          <w:lang w:eastAsia="pl-PL"/>
        </w:rPr>
        <w:t>o </w:t>
      </w:r>
      <w:r w:rsidR="005E1C78" w:rsidRPr="00833C88">
        <w:rPr>
          <w:rFonts w:cs="Times New Roman"/>
          <w:b/>
          <w:bCs/>
          <w:lang w:eastAsia="pl-PL"/>
        </w:rPr>
        <w:t xml:space="preserve">obowiązkach </w:t>
      </w:r>
      <w:r w:rsidRPr="00833C88">
        <w:rPr>
          <w:rFonts w:cs="Times New Roman"/>
          <w:b/>
          <w:bCs/>
          <w:lang w:eastAsia="pl-PL"/>
        </w:rPr>
        <w:t>dostawcach usług cyfrowych</w:t>
      </w:r>
      <w:r w:rsidR="005E1C78" w:rsidRPr="00833C88">
        <w:rPr>
          <w:rFonts w:cs="Times New Roman"/>
          <w:b/>
          <w:bCs/>
          <w:lang w:eastAsia="pl-PL"/>
        </w:rPr>
        <w:t xml:space="preserve"> i</w:t>
      </w:r>
      <w:r w:rsidR="009B4C26" w:rsidRPr="00833C88">
        <w:rPr>
          <w:rFonts w:cs="Times New Roman"/>
          <w:b/>
          <w:bCs/>
          <w:lang w:eastAsia="pl-PL"/>
        </w:rPr>
        <w:t> </w:t>
      </w:r>
      <w:r w:rsidR="005E1C78" w:rsidRPr="00833C88">
        <w:rPr>
          <w:rFonts w:cs="Times New Roman"/>
          <w:b/>
          <w:bCs/>
          <w:lang w:eastAsia="pl-PL"/>
        </w:rPr>
        <w:t>podmiotów publicznych</w:t>
      </w:r>
    </w:p>
    <w:p w14:paraId="5599AD10" w14:textId="3795F5AA" w:rsidR="00B42ABA" w:rsidRPr="00833C88" w:rsidRDefault="00B42ABA" w:rsidP="0029004E">
      <w:pPr>
        <w:spacing w:line="360" w:lineRule="auto"/>
        <w:ind w:firstLine="426"/>
        <w:jc w:val="both"/>
        <w:rPr>
          <w:rFonts w:cs="Times New Roman"/>
          <w:sz w:val="24"/>
          <w:szCs w:val="24"/>
          <w:lang w:eastAsia="pl-PL"/>
        </w:rPr>
      </w:pPr>
      <w:r w:rsidRPr="00833C88">
        <w:rPr>
          <w:rFonts w:cs="Times New Roman"/>
          <w:sz w:val="24"/>
          <w:szCs w:val="24"/>
          <w:lang w:eastAsia="pl-PL"/>
        </w:rPr>
        <w:t xml:space="preserve">Ze względu na zmiany </w:t>
      </w:r>
      <w:r w:rsidR="00601933" w:rsidRPr="00833C88">
        <w:rPr>
          <w:rFonts w:cs="Times New Roman"/>
          <w:sz w:val="24"/>
          <w:szCs w:val="24"/>
          <w:lang w:eastAsia="pl-PL"/>
        </w:rPr>
        <w:t>w </w:t>
      </w:r>
      <w:r w:rsidRPr="00833C88">
        <w:rPr>
          <w:rFonts w:cs="Times New Roman"/>
          <w:sz w:val="24"/>
          <w:szCs w:val="24"/>
          <w:lang w:eastAsia="pl-PL"/>
        </w:rPr>
        <w:t>strukturze krajowego systemu cyberbezpieczeństwa uchyla się rozdział</w:t>
      </w:r>
      <w:r w:rsidR="00E96CA7" w:rsidRPr="00833C88">
        <w:rPr>
          <w:rFonts w:cs="Times New Roman"/>
          <w:sz w:val="24"/>
          <w:szCs w:val="24"/>
          <w:lang w:eastAsia="pl-PL"/>
        </w:rPr>
        <w:t>y</w:t>
      </w:r>
      <w:r w:rsidRPr="00833C88">
        <w:rPr>
          <w:rFonts w:cs="Times New Roman"/>
          <w:sz w:val="24"/>
          <w:szCs w:val="24"/>
          <w:lang w:eastAsia="pl-PL"/>
        </w:rPr>
        <w:t xml:space="preserve"> 4 </w:t>
      </w:r>
      <w:r w:rsidR="00601933" w:rsidRPr="00833C88">
        <w:rPr>
          <w:rFonts w:cs="Times New Roman"/>
          <w:sz w:val="24"/>
          <w:szCs w:val="24"/>
          <w:lang w:eastAsia="pl-PL"/>
        </w:rPr>
        <w:t>i </w:t>
      </w:r>
      <w:r w:rsidR="00E96CA7" w:rsidRPr="00833C88">
        <w:rPr>
          <w:rFonts w:cs="Times New Roman"/>
          <w:sz w:val="24"/>
          <w:szCs w:val="24"/>
          <w:lang w:eastAsia="pl-PL"/>
        </w:rPr>
        <w:t xml:space="preserve">5 </w:t>
      </w:r>
      <w:r w:rsidRPr="00833C88">
        <w:rPr>
          <w:rFonts w:cs="Times New Roman"/>
          <w:sz w:val="24"/>
          <w:szCs w:val="24"/>
          <w:lang w:eastAsia="pl-PL"/>
        </w:rPr>
        <w:t xml:space="preserve">ustawy </w:t>
      </w:r>
      <w:r w:rsidR="00601933" w:rsidRPr="00833C88">
        <w:rPr>
          <w:rFonts w:cs="Times New Roman"/>
          <w:sz w:val="24"/>
          <w:szCs w:val="24"/>
          <w:lang w:eastAsia="pl-PL"/>
        </w:rPr>
        <w:t>o </w:t>
      </w:r>
      <w:r w:rsidR="00B62C23" w:rsidRPr="00833C88">
        <w:rPr>
          <w:rFonts w:cs="Times New Roman"/>
          <w:sz w:val="24"/>
          <w:szCs w:val="24"/>
          <w:lang w:eastAsia="pl-PL"/>
        </w:rPr>
        <w:t>KSC</w:t>
      </w:r>
      <w:r w:rsidRPr="00833C88">
        <w:rPr>
          <w:rFonts w:cs="Times New Roman"/>
          <w:sz w:val="24"/>
          <w:szCs w:val="24"/>
          <w:lang w:eastAsia="pl-PL"/>
        </w:rPr>
        <w:t xml:space="preserve"> dotycząc</w:t>
      </w:r>
      <w:r w:rsidR="00E96CA7" w:rsidRPr="00833C88">
        <w:rPr>
          <w:rFonts w:cs="Times New Roman"/>
          <w:sz w:val="24"/>
          <w:szCs w:val="24"/>
          <w:lang w:eastAsia="pl-PL"/>
        </w:rPr>
        <w:t>e obowiązków</w:t>
      </w:r>
      <w:r w:rsidRPr="00833C88">
        <w:rPr>
          <w:rFonts w:cs="Times New Roman"/>
          <w:sz w:val="24"/>
          <w:szCs w:val="24"/>
          <w:lang w:eastAsia="pl-PL"/>
        </w:rPr>
        <w:t xml:space="preserve"> dostawców usług cyfrowych</w:t>
      </w:r>
      <w:r w:rsidR="00E96CA7" w:rsidRPr="00833C88">
        <w:rPr>
          <w:rFonts w:cs="Times New Roman"/>
          <w:sz w:val="24"/>
          <w:szCs w:val="24"/>
          <w:lang w:eastAsia="pl-PL"/>
        </w:rPr>
        <w:t xml:space="preserve"> </w:t>
      </w:r>
      <w:r w:rsidR="00601933" w:rsidRPr="00833C88">
        <w:rPr>
          <w:rFonts w:cs="Times New Roman"/>
          <w:sz w:val="24"/>
          <w:szCs w:val="24"/>
          <w:lang w:eastAsia="pl-PL"/>
        </w:rPr>
        <w:t>i </w:t>
      </w:r>
      <w:r w:rsidR="00E96CA7" w:rsidRPr="00833C88">
        <w:rPr>
          <w:rFonts w:cs="Times New Roman"/>
          <w:sz w:val="24"/>
          <w:szCs w:val="24"/>
          <w:lang w:eastAsia="pl-PL"/>
        </w:rPr>
        <w:t>podmiotów publicznych</w:t>
      </w:r>
      <w:r w:rsidR="006526CF" w:rsidRPr="00833C88">
        <w:rPr>
          <w:rFonts w:cs="Times New Roman"/>
          <w:sz w:val="24"/>
          <w:szCs w:val="24"/>
          <w:lang w:eastAsia="pl-PL"/>
        </w:rPr>
        <w:t xml:space="preserve">. </w:t>
      </w:r>
      <w:r w:rsidRPr="00833C88">
        <w:rPr>
          <w:rFonts w:cs="Times New Roman"/>
          <w:sz w:val="24"/>
          <w:szCs w:val="24"/>
          <w:lang w:eastAsia="pl-PL"/>
        </w:rPr>
        <w:t xml:space="preserve">Te podmioty, zgodnie </w:t>
      </w:r>
      <w:r w:rsidR="00601933" w:rsidRPr="00833C88">
        <w:rPr>
          <w:rFonts w:cs="Times New Roman"/>
          <w:sz w:val="24"/>
          <w:szCs w:val="24"/>
          <w:lang w:eastAsia="pl-PL"/>
        </w:rPr>
        <w:t>z </w:t>
      </w:r>
      <w:r w:rsidRPr="00833C88">
        <w:rPr>
          <w:rFonts w:cs="Times New Roman"/>
          <w:sz w:val="24"/>
          <w:szCs w:val="24"/>
          <w:lang w:eastAsia="pl-PL"/>
        </w:rPr>
        <w:t>dyrektywą NIS</w:t>
      </w:r>
      <w:r w:rsidR="00B62C23" w:rsidRPr="00833C88">
        <w:rPr>
          <w:rFonts w:cs="Times New Roman"/>
          <w:sz w:val="24"/>
          <w:szCs w:val="24"/>
          <w:lang w:eastAsia="pl-PL"/>
        </w:rPr>
        <w:t xml:space="preserve"> </w:t>
      </w:r>
      <w:r w:rsidRPr="00833C88">
        <w:rPr>
          <w:rFonts w:cs="Times New Roman"/>
          <w:sz w:val="24"/>
          <w:szCs w:val="24"/>
          <w:lang w:eastAsia="pl-PL"/>
        </w:rPr>
        <w:t>2, staną się podmiotami kluczowymi i</w:t>
      </w:r>
      <w:r w:rsidR="00BE2629" w:rsidRPr="00833C88">
        <w:rPr>
          <w:rFonts w:cs="Times New Roman"/>
          <w:sz w:val="24"/>
          <w:szCs w:val="24"/>
          <w:lang w:eastAsia="pl-PL"/>
        </w:rPr>
        <w:t> </w:t>
      </w:r>
      <w:r w:rsidR="00B62C23" w:rsidRPr="00833C88">
        <w:rPr>
          <w:rFonts w:cs="Times New Roman"/>
          <w:sz w:val="24"/>
          <w:szCs w:val="24"/>
          <w:lang w:eastAsia="pl-PL"/>
        </w:rPr>
        <w:t xml:space="preserve">podmiotami </w:t>
      </w:r>
      <w:r w:rsidRPr="00833C88">
        <w:rPr>
          <w:rFonts w:cs="Times New Roman"/>
          <w:sz w:val="24"/>
          <w:szCs w:val="24"/>
          <w:lang w:eastAsia="pl-PL"/>
        </w:rPr>
        <w:t>ważnymi</w:t>
      </w:r>
      <w:r w:rsidR="00B62C23" w:rsidRPr="00833C88">
        <w:rPr>
          <w:rFonts w:cs="Times New Roman"/>
          <w:sz w:val="24"/>
          <w:szCs w:val="24"/>
          <w:lang w:eastAsia="pl-PL"/>
        </w:rPr>
        <w:t>,</w:t>
      </w:r>
      <w:r w:rsidRPr="00833C88">
        <w:rPr>
          <w:rFonts w:cs="Times New Roman"/>
          <w:sz w:val="24"/>
          <w:szCs w:val="24"/>
          <w:lang w:eastAsia="pl-PL"/>
        </w:rPr>
        <w:t xml:space="preserve"> </w:t>
      </w:r>
      <w:r w:rsidR="00601933" w:rsidRPr="00833C88">
        <w:rPr>
          <w:rFonts w:cs="Times New Roman"/>
          <w:sz w:val="24"/>
          <w:szCs w:val="24"/>
          <w:lang w:eastAsia="pl-PL"/>
        </w:rPr>
        <w:t>w </w:t>
      </w:r>
      <w:r w:rsidRPr="00833C88">
        <w:rPr>
          <w:rFonts w:cs="Times New Roman"/>
          <w:sz w:val="24"/>
          <w:szCs w:val="24"/>
          <w:lang w:eastAsia="pl-PL"/>
        </w:rPr>
        <w:t xml:space="preserve">związku </w:t>
      </w:r>
      <w:r w:rsidR="00601933" w:rsidRPr="00833C88">
        <w:rPr>
          <w:rFonts w:cs="Times New Roman"/>
          <w:sz w:val="24"/>
          <w:szCs w:val="24"/>
          <w:lang w:eastAsia="pl-PL"/>
        </w:rPr>
        <w:t>z </w:t>
      </w:r>
      <w:r w:rsidRPr="00833C88">
        <w:rPr>
          <w:rFonts w:cs="Times New Roman"/>
          <w:sz w:val="24"/>
          <w:szCs w:val="24"/>
          <w:lang w:eastAsia="pl-PL"/>
        </w:rPr>
        <w:t>czym nie jest zasadne utrzymywanie dla nich osobnych regulacji.</w:t>
      </w:r>
    </w:p>
    <w:p w14:paraId="6439702A" w14:textId="47B60120" w:rsidR="001641DA" w:rsidRPr="00833C88" w:rsidRDefault="00C80AAD" w:rsidP="00846C33">
      <w:pPr>
        <w:pStyle w:val="Nagwek2"/>
        <w:spacing w:before="0" w:after="120" w:line="360" w:lineRule="auto"/>
        <w:jc w:val="both"/>
        <w:rPr>
          <w:rFonts w:cs="Times New Roman"/>
          <w:lang w:eastAsia="pl-PL"/>
        </w:rPr>
      </w:pPr>
      <w:proofErr w:type="spellStart"/>
      <w:r w:rsidRPr="00833C88">
        <w:rPr>
          <w:rFonts w:cs="Times New Roman"/>
          <w:b/>
          <w:bCs/>
          <w:lang w:eastAsia="pl-PL"/>
        </w:rPr>
        <w:t>Uwspólnienie</w:t>
      </w:r>
      <w:proofErr w:type="spellEnd"/>
      <w:r w:rsidRPr="00833C88">
        <w:rPr>
          <w:rFonts w:cs="Times New Roman"/>
          <w:b/>
          <w:bCs/>
          <w:lang w:eastAsia="pl-PL"/>
        </w:rPr>
        <w:t xml:space="preserve"> zadań </w:t>
      </w:r>
      <w:r w:rsidR="00601933" w:rsidRPr="00833C88">
        <w:rPr>
          <w:rFonts w:cs="Times New Roman"/>
          <w:b/>
          <w:bCs/>
          <w:lang w:eastAsia="pl-PL"/>
        </w:rPr>
        <w:t>z </w:t>
      </w:r>
      <w:r w:rsidRPr="00833C88">
        <w:rPr>
          <w:rFonts w:cs="Times New Roman"/>
          <w:b/>
          <w:bCs/>
          <w:lang w:eastAsia="pl-PL"/>
        </w:rPr>
        <w:t xml:space="preserve">zakresu </w:t>
      </w:r>
      <w:proofErr w:type="spellStart"/>
      <w:r w:rsidRPr="00833C88">
        <w:rPr>
          <w:rFonts w:cs="Times New Roman"/>
          <w:b/>
          <w:bCs/>
          <w:lang w:eastAsia="pl-PL"/>
        </w:rPr>
        <w:t>cyberbezpieczeństwa</w:t>
      </w:r>
      <w:proofErr w:type="spellEnd"/>
      <w:r w:rsidRPr="00833C88">
        <w:rPr>
          <w:rFonts w:cs="Times New Roman"/>
          <w:b/>
          <w:bCs/>
          <w:lang w:eastAsia="pl-PL"/>
        </w:rPr>
        <w:t xml:space="preserve"> </w:t>
      </w:r>
      <w:r w:rsidR="00601933" w:rsidRPr="00833C88">
        <w:rPr>
          <w:rFonts w:cs="Times New Roman"/>
          <w:b/>
          <w:bCs/>
          <w:lang w:eastAsia="pl-PL"/>
        </w:rPr>
        <w:t>w </w:t>
      </w:r>
      <w:r w:rsidRPr="00833C88">
        <w:rPr>
          <w:rFonts w:cs="Times New Roman"/>
          <w:b/>
          <w:bCs/>
          <w:lang w:eastAsia="pl-PL"/>
        </w:rPr>
        <w:t>podmiotach publicznych</w:t>
      </w:r>
    </w:p>
    <w:p w14:paraId="4622902B" w14:textId="575FF71C" w:rsidR="00E55F1C" w:rsidRPr="00833C88" w:rsidRDefault="00B85236" w:rsidP="00533D2A">
      <w:pPr>
        <w:spacing w:line="360" w:lineRule="auto"/>
        <w:jc w:val="both"/>
        <w:rPr>
          <w:rFonts w:cs="Times New Roman"/>
          <w:sz w:val="24"/>
          <w:szCs w:val="24"/>
          <w:lang w:eastAsia="pl-PL"/>
        </w:rPr>
      </w:pPr>
      <w:r w:rsidRPr="00833C88">
        <w:rPr>
          <w:rFonts w:cs="Times New Roman"/>
          <w:sz w:val="24"/>
          <w:szCs w:val="24"/>
          <w:lang w:eastAsia="pl-PL"/>
        </w:rPr>
        <w:t>Przepisy</w:t>
      </w:r>
      <w:r w:rsidR="00E96CA7" w:rsidRPr="00833C88">
        <w:rPr>
          <w:rFonts w:cs="Times New Roman"/>
          <w:sz w:val="24"/>
          <w:szCs w:val="24"/>
          <w:lang w:eastAsia="pl-PL"/>
        </w:rPr>
        <w:t xml:space="preserve"> projektu ustawy</w:t>
      </w:r>
      <w:r w:rsidRPr="00833C88">
        <w:rPr>
          <w:rFonts w:cs="Times New Roman"/>
          <w:sz w:val="24"/>
          <w:szCs w:val="24"/>
          <w:lang w:eastAsia="pl-PL"/>
        </w:rPr>
        <w:t xml:space="preserve"> umożliwiają ministrowi kierującemu działem administracji publicznej</w:t>
      </w:r>
      <w:r w:rsidR="002A6C88" w:rsidRPr="00833C88">
        <w:rPr>
          <w:rFonts w:cs="Times New Roman"/>
          <w:sz w:val="24"/>
          <w:szCs w:val="24"/>
          <w:lang w:eastAsia="pl-PL"/>
        </w:rPr>
        <w:t xml:space="preserve">, kierownikowi urzędu centralnego, wojewodzie oraz jednostce samorządu terytorialnego wyznaczenie jednostki, która będzie </w:t>
      </w:r>
      <w:r w:rsidR="00FF765C" w:rsidRPr="00833C88">
        <w:rPr>
          <w:rFonts w:cs="Times New Roman"/>
          <w:sz w:val="24"/>
          <w:szCs w:val="24"/>
          <w:lang w:eastAsia="pl-PL"/>
        </w:rPr>
        <w:t xml:space="preserve">realizowała zadania </w:t>
      </w:r>
      <w:r w:rsidR="00601933" w:rsidRPr="00833C88">
        <w:rPr>
          <w:rFonts w:cs="Times New Roman"/>
          <w:sz w:val="24"/>
          <w:szCs w:val="24"/>
          <w:lang w:eastAsia="pl-PL"/>
        </w:rPr>
        <w:t>z </w:t>
      </w:r>
      <w:r w:rsidR="00FF765C" w:rsidRPr="00833C88">
        <w:rPr>
          <w:rFonts w:cs="Times New Roman"/>
          <w:sz w:val="24"/>
          <w:szCs w:val="24"/>
          <w:lang w:eastAsia="pl-PL"/>
        </w:rPr>
        <w:t xml:space="preserve">zakresu </w:t>
      </w:r>
      <w:r w:rsidR="00861392" w:rsidRPr="00833C88">
        <w:rPr>
          <w:rFonts w:cs="Times New Roman"/>
          <w:sz w:val="24"/>
          <w:szCs w:val="24"/>
          <w:lang w:eastAsia="pl-PL"/>
        </w:rPr>
        <w:t>c</w:t>
      </w:r>
      <w:r w:rsidR="00FF765C" w:rsidRPr="00833C88">
        <w:rPr>
          <w:rFonts w:cs="Times New Roman"/>
          <w:sz w:val="24"/>
          <w:szCs w:val="24"/>
          <w:lang w:eastAsia="pl-PL"/>
        </w:rPr>
        <w:t xml:space="preserve">yberbezpieczeństwa </w:t>
      </w:r>
      <w:r w:rsidR="00601933" w:rsidRPr="00833C88">
        <w:rPr>
          <w:rFonts w:cs="Times New Roman"/>
          <w:sz w:val="24"/>
          <w:szCs w:val="24"/>
          <w:lang w:eastAsia="pl-PL"/>
        </w:rPr>
        <w:t>w </w:t>
      </w:r>
      <w:r w:rsidR="00FF765C" w:rsidRPr="00833C88">
        <w:rPr>
          <w:rFonts w:cs="Times New Roman"/>
          <w:sz w:val="24"/>
          <w:szCs w:val="24"/>
          <w:lang w:eastAsia="pl-PL"/>
        </w:rPr>
        <w:t xml:space="preserve">pozostałych jednostkach podległych danemu organowi. Rozwiązanie </w:t>
      </w:r>
      <w:r w:rsidR="001641DA" w:rsidRPr="00833C88">
        <w:rPr>
          <w:rFonts w:cs="Times New Roman"/>
          <w:sz w:val="24"/>
          <w:szCs w:val="24"/>
          <w:lang w:eastAsia="pl-PL"/>
        </w:rPr>
        <w:t xml:space="preserve">to </w:t>
      </w:r>
      <w:r w:rsidR="00FF765C" w:rsidRPr="00833C88">
        <w:rPr>
          <w:rFonts w:cs="Times New Roman"/>
          <w:sz w:val="24"/>
          <w:szCs w:val="24"/>
          <w:lang w:eastAsia="pl-PL"/>
        </w:rPr>
        <w:t xml:space="preserve">ma być elastyczne </w:t>
      </w:r>
      <w:r w:rsidR="00601933" w:rsidRPr="00833C88">
        <w:rPr>
          <w:rFonts w:cs="Times New Roman"/>
          <w:sz w:val="24"/>
          <w:szCs w:val="24"/>
          <w:lang w:eastAsia="pl-PL"/>
        </w:rPr>
        <w:t>i z </w:t>
      </w:r>
      <w:r w:rsidR="00FF765C" w:rsidRPr="00833C88">
        <w:rPr>
          <w:rFonts w:cs="Times New Roman"/>
          <w:sz w:val="24"/>
          <w:szCs w:val="24"/>
          <w:lang w:eastAsia="pl-PL"/>
        </w:rPr>
        <w:t xml:space="preserve">jednej strony zapewnić, że nawet najmniejsze jednostki budżetowe będą </w:t>
      </w:r>
      <w:r w:rsidR="00601933" w:rsidRPr="00833C88">
        <w:rPr>
          <w:rFonts w:cs="Times New Roman"/>
          <w:sz w:val="24"/>
          <w:szCs w:val="24"/>
          <w:lang w:eastAsia="pl-PL"/>
        </w:rPr>
        <w:t>w </w:t>
      </w:r>
      <w:r w:rsidR="00FF765C" w:rsidRPr="00833C88">
        <w:rPr>
          <w:rFonts w:cs="Times New Roman"/>
          <w:sz w:val="24"/>
          <w:szCs w:val="24"/>
          <w:lang w:eastAsia="pl-PL"/>
        </w:rPr>
        <w:t xml:space="preserve">krajowym systemie </w:t>
      </w:r>
      <w:r w:rsidR="00861392" w:rsidRPr="00833C88">
        <w:rPr>
          <w:rFonts w:cs="Times New Roman"/>
          <w:sz w:val="24"/>
          <w:szCs w:val="24"/>
          <w:lang w:eastAsia="pl-PL"/>
        </w:rPr>
        <w:t>c</w:t>
      </w:r>
      <w:r w:rsidR="00FF765C" w:rsidRPr="00833C88">
        <w:rPr>
          <w:rFonts w:cs="Times New Roman"/>
          <w:sz w:val="24"/>
          <w:szCs w:val="24"/>
          <w:lang w:eastAsia="pl-PL"/>
        </w:rPr>
        <w:t xml:space="preserve">yberbezpieczeństwa, </w:t>
      </w:r>
      <w:r w:rsidR="00601933" w:rsidRPr="00833C88">
        <w:rPr>
          <w:rFonts w:cs="Times New Roman"/>
          <w:sz w:val="24"/>
          <w:szCs w:val="24"/>
          <w:lang w:eastAsia="pl-PL"/>
        </w:rPr>
        <w:t>z </w:t>
      </w:r>
      <w:r w:rsidR="00FF765C" w:rsidRPr="00833C88">
        <w:rPr>
          <w:rFonts w:cs="Times New Roman"/>
          <w:sz w:val="24"/>
          <w:szCs w:val="24"/>
          <w:lang w:eastAsia="pl-PL"/>
        </w:rPr>
        <w:t>drugiej strony, że obowiązki te będą realizowane przez wyspecjalizowany podmiot działaj</w:t>
      </w:r>
      <w:r w:rsidR="00861392" w:rsidRPr="00833C88">
        <w:rPr>
          <w:rFonts w:cs="Times New Roman"/>
          <w:sz w:val="24"/>
          <w:szCs w:val="24"/>
          <w:lang w:eastAsia="pl-PL"/>
        </w:rPr>
        <w:t>ą</w:t>
      </w:r>
      <w:r w:rsidR="00FF765C" w:rsidRPr="00833C88">
        <w:rPr>
          <w:rFonts w:cs="Times New Roman"/>
          <w:sz w:val="24"/>
          <w:szCs w:val="24"/>
          <w:lang w:eastAsia="pl-PL"/>
        </w:rPr>
        <w:t>cy</w:t>
      </w:r>
      <w:r w:rsidR="004B3E9B" w:rsidRPr="00833C88">
        <w:rPr>
          <w:rFonts w:cs="Times New Roman"/>
          <w:sz w:val="24"/>
          <w:szCs w:val="24"/>
          <w:lang w:eastAsia="pl-PL"/>
        </w:rPr>
        <w:t xml:space="preserve"> na rzecz wielu podmiotów publicznych. </w:t>
      </w:r>
      <w:r w:rsidR="00C66C15" w:rsidRPr="00833C88">
        <w:rPr>
          <w:rFonts w:cs="Times New Roman"/>
          <w:sz w:val="24"/>
          <w:szCs w:val="24"/>
          <w:lang w:eastAsia="pl-PL"/>
        </w:rPr>
        <w:t xml:space="preserve">Przepisy wprowadzają obowiązek współpracy </w:t>
      </w:r>
      <w:r w:rsidR="006D1FE3" w:rsidRPr="00833C88">
        <w:rPr>
          <w:rFonts w:cs="Times New Roman"/>
          <w:sz w:val="24"/>
          <w:szCs w:val="24"/>
          <w:lang w:eastAsia="pl-PL"/>
        </w:rPr>
        <w:t xml:space="preserve">podmiotów publicznych </w:t>
      </w:r>
      <w:r w:rsidR="00601933" w:rsidRPr="00833C88">
        <w:rPr>
          <w:rFonts w:cs="Times New Roman"/>
          <w:sz w:val="24"/>
          <w:szCs w:val="24"/>
          <w:lang w:eastAsia="pl-PL"/>
        </w:rPr>
        <w:t>z </w:t>
      </w:r>
      <w:r w:rsidR="006D1FE3" w:rsidRPr="00833C88">
        <w:rPr>
          <w:rFonts w:cs="Times New Roman"/>
          <w:sz w:val="24"/>
          <w:szCs w:val="24"/>
          <w:lang w:eastAsia="pl-PL"/>
        </w:rPr>
        <w:t xml:space="preserve">jednostką, która realizuje tym podmiotom zadania </w:t>
      </w:r>
      <w:r w:rsidR="00601933" w:rsidRPr="00833C88">
        <w:rPr>
          <w:rFonts w:cs="Times New Roman"/>
          <w:sz w:val="24"/>
          <w:szCs w:val="24"/>
          <w:lang w:eastAsia="pl-PL"/>
        </w:rPr>
        <w:t>z </w:t>
      </w:r>
      <w:r w:rsidR="006D1FE3" w:rsidRPr="00833C88">
        <w:rPr>
          <w:rFonts w:cs="Times New Roman"/>
          <w:sz w:val="24"/>
          <w:szCs w:val="24"/>
          <w:lang w:eastAsia="pl-PL"/>
        </w:rPr>
        <w:t xml:space="preserve">zakresu cyberbezpieczeństwa. Katalog ten wskazano </w:t>
      </w:r>
      <w:r w:rsidR="00601933" w:rsidRPr="00833C88">
        <w:rPr>
          <w:rFonts w:cs="Times New Roman"/>
          <w:sz w:val="24"/>
          <w:szCs w:val="24"/>
          <w:lang w:eastAsia="pl-PL"/>
        </w:rPr>
        <w:t>w </w:t>
      </w:r>
      <w:r w:rsidR="006D1FE3" w:rsidRPr="00833C88">
        <w:rPr>
          <w:rFonts w:cs="Times New Roman"/>
          <w:sz w:val="24"/>
          <w:szCs w:val="24"/>
          <w:lang w:eastAsia="pl-PL"/>
        </w:rPr>
        <w:t>sposób otwarty</w:t>
      </w:r>
      <w:r w:rsidR="00980757" w:rsidRPr="00833C88">
        <w:rPr>
          <w:rFonts w:cs="Times New Roman"/>
          <w:sz w:val="24"/>
          <w:szCs w:val="24"/>
          <w:lang w:eastAsia="pl-PL"/>
        </w:rPr>
        <w:t xml:space="preserve"> celowo</w:t>
      </w:r>
      <w:r w:rsidR="00F94BC5" w:rsidRPr="00833C88">
        <w:rPr>
          <w:rFonts w:cs="Times New Roman"/>
          <w:sz w:val="24"/>
          <w:szCs w:val="24"/>
          <w:lang w:eastAsia="pl-PL"/>
        </w:rPr>
        <w:t>.</w:t>
      </w:r>
      <w:r w:rsidR="00BB5EE9" w:rsidRPr="00833C88">
        <w:rPr>
          <w:rFonts w:cs="Times New Roman"/>
          <w:sz w:val="24"/>
          <w:szCs w:val="24"/>
          <w:lang w:eastAsia="pl-PL"/>
        </w:rPr>
        <w:t xml:space="preserve"> W przypadku jednostek samorządu terytorialnego odwołano się do </w:t>
      </w:r>
      <w:r w:rsidR="004E5826" w:rsidRPr="00833C88">
        <w:rPr>
          <w:rFonts w:cs="Times New Roman"/>
          <w:sz w:val="24"/>
          <w:szCs w:val="24"/>
          <w:lang w:eastAsia="pl-PL"/>
        </w:rPr>
        <w:t>już</w:t>
      </w:r>
      <w:r w:rsidR="00583D87" w:rsidRPr="00833C88">
        <w:rPr>
          <w:rFonts w:cs="Times New Roman"/>
          <w:sz w:val="24"/>
          <w:szCs w:val="24"/>
          <w:lang w:eastAsia="pl-PL"/>
        </w:rPr>
        <w:t xml:space="preserve"> obecnych</w:t>
      </w:r>
      <w:r w:rsidR="004E5826" w:rsidRPr="00833C88">
        <w:rPr>
          <w:rFonts w:cs="Times New Roman"/>
          <w:sz w:val="24"/>
          <w:szCs w:val="24"/>
          <w:lang w:eastAsia="pl-PL"/>
        </w:rPr>
        <w:t xml:space="preserve"> </w:t>
      </w:r>
      <w:r w:rsidR="00583D87" w:rsidRPr="00833C88">
        <w:rPr>
          <w:rFonts w:cs="Times New Roman"/>
          <w:sz w:val="24"/>
          <w:szCs w:val="24"/>
          <w:lang w:eastAsia="pl-PL"/>
        </w:rPr>
        <w:t>systemowych rozwiązań zawartych w już obecnych przepisach odpowiednio art. 10a–10d ustawy z dnia 8 marca 1990 r. o samorządzie gminnym (Dz. U. z</w:t>
      </w:r>
      <w:r w:rsidR="005B7564" w:rsidRPr="00833C88">
        <w:rPr>
          <w:rFonts w:cs="Times New Roman"/>
          <w:sz w:val="24"/>
          <w:szCs w:val="24"/>
          <w:lang w:eastAsia="pl-PL"/>
        </w:rPr>
        <w:t> </w:t>
      </w:r>
      <w:r w:rsidR="00583D87" w:rsidRPr="00833C88">
        <w:rPr>
          <w:rFonts w:cs="Times New Roman"/>
          <w:sz w:val="24"/>
          <w:szCs w:val="24"/>
          <w:lang w:eastAsia="pl-PL"/>
        </w:rPr>
        <w:t>202</w:t>
      </w:r>
      <w:r w:rsidR="007534B8" w:rsidRPr="00833C88">
        <w:rPr>
          <w:rFonts w:cs="Times New Roman"/>
          <w:sz w:val="24"/>
          <w:szCs w:val="24"/>
          <w:lang w:eastAsia="pl-PL"/>
        </w:rPr>
        <w:t>5</w:t>
      </w:r>
      <w:r w:rsidR="00583D87" w:rsidRPr="00833C88">
        <w:rPr>
          <w:rFonts w:cs="Times New Roman"/>
          <w:sz w:val="24"/>
          <w:szCs w:val="24"/>
          <w:lang w:eastAsia="pl-PL"/>
        </w:rPr>
        <w:t xml:space="preserve"> r. poz. </w:t>
      </w:r>
      <w:r w:rsidR="007534B8" w:rsidRPr="00833C88">
        <w:rPr>
          <w:rFonts w:cs="Times New Roman"/>
          <w:sz w:val="24"/>
          <w:szCs w:val="24"/>
          <w:lang w:eastAsia="pl-PL"/>
        </w:rPr>
        <w:t>1153</w:t>
      </w:r>
      <w:r w:rsidR="00583D87" w:rsidRPr="00833C88">
        <w:rPr>
          <w:rFonts w:cs="Times New Roman"/>
          <w:sz w:val="24"/>
          <w:szCs w:val="24"/>
          <w:lang w:eastAsia="pl-PL"/>
        </w:rPr>
        <w:t>), art. 6a–6d ustawy z dnia 5 czerwca 1998 r. o samorządzie powiatowym (Dz. U. z 2024 r. poz. 107 i 1907) oraz art. 8c–8f ustawy z dnia 5 czerwca 1998 r. o samorządzie województwa (Dz. U. z 2025 r. poz. 581). Zgodnie z tymi przepisami organ stanowiący jednostki samorządu terytorialnego określa w drodze uchwały jednostki obsługujące, jednostki obsługiwane oraz zakres obowiązków powierzonych jednostkom obsługującym w ramach wspólnej obsługi.</w:t>
      </w:r>
      <w:r w:rsidR="00455474" w:rsidRPr="00833C88">
        <w:rPr>
          <w:rFonts w:cs="Times New Roman"/>
          <w:sz w:val="24"/>
          <w:szCs w:val="24"/>
          <w:lang w:eastAsia="pl-PL"/>
        </w:rPr>
        <w:t xml:space="preserve"> </w:t>
      </w:r>
    </w:p>
    <w:p w14:paraId="2E6AD1C6" w14:textId="4AB78CAA" w:rsidR="00B85236" w:rsidRPr="00833C88" w:rsidRDefault="00455474" w:rsidP="003356E7">
      <w:pPr>
        <w:spacing w:line="360" w:lineRule="auto"/>
        <w:ind w:firstLine="425"/>
        <w:jc w:val="both"/>
        <w:rPr>
          <w:rFonts w:cs="Times New Roman"/>
          <w:sz w:val="24"/>
          <w:szCs w:val="24"/>
          <w:lang w:eastAsia="pl-PL"/>
        </w:rPr>
      </w:pPr>
      <w:r w:rsidRPr="00833C88">
        <w:rPr>
          <w:rFonts w:cs="Times New Roman"/>
          <w:sz w:val="24"/>
          <w:szCs w:val="24"/>
          <w:lang w:eastAsia="pl-PL"/>
        </w:rPr>
        <w:t xml:space="preserve">Wprowadza się także </w:t>
      </w:r>
      <w:proofErr w:type="gramStart"/>
      <w:r w:rsidRPr="00833C88">
        <w:rPr>
          <w:rFonts w:cs="Times New Roman"/>
          <w:sz w:val="24"/>
          <w:szCs w:val="24"/>
          <w:lang w:eastAsia="pl-PL"/>
        </w:rPr>
        <w:t>możliwość</w:t>
      </w:r>
      <w:proofErr w:type="gramEnd"/>
      <w:r w:rsidRPr="00833C88">
        <w:rPr>
          <w:rFonts w:cs="Times New Roman"/>
          <w:sz w:val="24"/>
          <w:szCs w:val="24"/>
          <w:lang w:eastAsia="pl-PL"/>
        </w:rPr>
        <w:t xml:space="preserve"> aby </w:t>
      </w:r>
      <w:r w:rsidR="005B7564" w:rsidRPr="00833C88">
        <w:rPr>
          <w:rFonts w:cs="Times New Roman"/>
          <w:sz w:val="24"/>
          <w:szCs w:val="24"/>
          <w:lang w:eastAsia="pl-PL"/>
        </w:rPr>
        <w:t>dwie</w:t>
      </w:r>
      <w:r w:rsidRPr="00833C88">
        <w:rPr>
          <w:rFonts w:cs="Times New Roman"/>
          <w:sz w:val="24"/>
          <w:szCs w:val="24"/>
          <w:lang w:eastAsia="pl-PL"/>
        </w:rPr>
        <w:t xml:space="preserve"> lub więcej jednostek samorządu terytorialnego </w:t>
      </w:r>
      <w:r w:rsidR="002A4F4B" w:rsidRPr="00833C88">
        <w:rPr>
          <w:rFonts w:cs="Times New Roman"/>
          <w:sz w:val="24"/>
          <w:szCs w:val="24"/>
          <w:lang w:eastAsia="pl-PL"/>
        </w:rPr>
        <w:t xml:space="preserve">mogło zawrzeć porozumienie i </w:t>
      </w:r>
      <w:r w:rsidR="0015593F" w:rsidRPr="00833C88">
        <w:rPr>
          <w:rFonts w:cs="Times New Roman"/>
          <w:sz w:val="24"/>
          <w:szCs w:val="24"/>
          <w:lang w:eastAsia="pl-PL"/>
        </w:rPr>
        <w:t>powierzyć jednej z nich zadanie wspólnej realizacji obow</w:t>
      </w:r>
      <w:r w:rsidR="00961B49" w:rsidRPr="00833C88">
        <w:rPr>
          <w:rFonts w:cs="Times New Roman"/>
          <w:sz w:val="24"/>
          <w:szCs w:val="24"/>
          <w:lang w:eastAsia="pl-PL"/>
        </w:rPr>
        <w:t>iązków z zakresu cyberbezpieczeństwa. W takim porozumieniu trzeba będzie wskazać</w:t>
      </w:r>
      <w:r w:rsidR="00A015B6" w:rsidRPr="00833C88">
        <w:rPr>
          <w:rFonts w:cs="Times New Roman"/>
          <w:sz w:val="24"/>
          <w:szCs w:val="24"/>
          <w:lang w:eastAsia="pl-PL"/>
        </w:rPr>
        <w:t xml:space="preserve"> </w:t>
      </w:r>
      <w:r w:rsidR="00432A0E" w:rsidRPr="00833C88">
        <w:rPr>
          <w:rFonts w:cs="Times New Roman"/>
          <w:sz w:val="24"/>
          <w:szCs w:val="24"/>
          <w:lang w:eastAsia="pl-PL"/>
        </w:rPr>
        <w:t>jednostki organizacyjne, samorządowe osoby prawne lub spółki komunalne objęte porozumieniem</w:t>
      </w:r>
      <w:r w:rsidR="0083560A">
        <w:rPr>
          <w:rFonts w:cs="Times New Roman"/>
          <w:sz w:val="24"/>
          <w:szCs w:val="24"/>
          <w:lang w:eastAsia="pl-PL"/>
        </w:rPr>
        <w:t>,</w:t>
      </w:r>
      <w:r w:rsidR="00432A0E" w:rsidRPr="00833C88">
        <w:rPr>
          <w:rFonts w:cs="Times New Roman"/>
          <w:sz w:val="24"/>
          <w:szCs w:val="24"/>
          <w:lang w:eastAsia="pl-PL"/>
        </w:rPr>
        <w:t xml:space="preserve"> czyli tym</w:t>
      </w:r>
      <w:r w:rsidR="0083560A">
        <w:rPr>
          <w:rFonts w:cs="Times New Roman"/>
          <w:sz w:val="24"/>
          <w:szCs w:val="24"/>
          <w:lang w:eastAsia="pl-PL"/>
        </w:rPr>
        <w:t>,</w:t>
      </w:r>
      <w:r w:rsidR="00432A0E" w:rsidRPr="00833C88">
        <w:rPr>
          <w:rFonts w:cs="Times New Roman"/>
          <w:sz w:val="24"/>
          <w:szCs w:val="24"/>
          <w:lang w:eastAsia="pl-PL"/>
        </w:rPr>
        <w:t xml:space="preserve"> którym będzie świadczona wspólna obsługa. </w:t>
      </w:r>
      <w:r w:rsidR="00E55F1C" w:rsidRPr="00833C88">
        <w:rPr>
          <w:rFonts w:cs="Times New Roman"/>
          <w:sz w:val="24"/>
          <w:szCs w:val="24"/>
          <w:lang w:eastAsia="pl-PL"/>
        </w:rPr>
        <w:t xml:space="preserve">Jednostka samorządu </w:t>
      </w:r>
      <w:r w:rsidR="00E55F1C" w:rsidRPr="00833C88">
        <w:rPr>
          <w:rFonts w:cs="Times New Roman"/>
          <w:sz w:val="24"/>
          <w:szCs w:val="24"/>
          <w:lang w:eastAsia="pl-PL"/>
        </w:rPr>
        <w:lastRenderedPageBreak/>
        <w:t xml:space="preserve">terytorialnego, której powierzono wspólną obsługę </w:t>
      </w:r>
      <w:r w:rsidR="00CE32F3" w:rsidRPr="00833C88">
        <w:rPr>
          <w:rFonts w:cs="Times New Roman"/>
          <w:sz w:val="24"/>
          <w:szCs w:val="24"/>
          <w:lang w:eastAsia="pl-PL"/>
        </w:rPr>
        <w:t>wyznaczy do realizacji tego zadania własną jednostkę organizacyjną, samorządową osobę prawną lub spółkę komunalną.</w:t>
      </w:r>
      <w:r w:rsidR="00AA2168" w:rsidRPr="00833C88">
        <w:rPr>
          <w:rFonts w:cs="Times New Roman"/>
          <w:sz w:val="24"/>
          <w:szCs w:val="24"/>
          <w:lang w:eastAsia="pl-PL"/>
        </w:rPr>
        <w:t xml:space="preserve"> </w:t>
      </w:r>
      <w:r w:rsidR="00B34942" w:rsidRPr="00833C88">
        <w:rPr>
          <w:rFonts w:cs="Times New Roman"/>
          <w:sz w:val="24"/>
          <w:szCs w:val="24"/>
          <w:lang w:eastAsia="pl-PL"/>
        </w:rPr>
        <w:t xml:space="preserve">Aby osadzić tę regulację w systemie prawa samorządowego wskazano, </w:t>
      </w:r>
      <w:proofErr w:type="gramStart"/>
      <w:r w:rsidR="00B34942" w:rsidRPr="00833C88">
        <w:rPr>
          <w:rFonts w:cs="Times New Roman"/>
          <w:sz w:val="24"/>
          <w:szCs w:val="24"/>
          <w:lang w:eastAsia="pl-PL"/>
        </w:rPr>
        <w:t>ze</w:t>
      </w:r>
      <w:proofErr w:type="gramEnd"/>
      <w:r w:rsidR="00B34942" w:rsidRPr="00833C88">
        <w:rPr>
          <w:rFonts w:cs="Times New Roman"/>
          <w:sz w:val="24"/>
          <w:szCs w:val="24"/>
          <w:lang w:eastAsia="pl-PL"/>
        </w:rPr>
        <w:t xml:space="preserve"> do tych porozumień stosuje się odpowiednio art. 74 </w:t>
      </w:r>
      <w:r w:rsidR="000B3058" w:rsidRPr="00833C88">
        <w:rPr>
          <w:rFonts w:cs="Times New Roman"/>
          <w:sz w:val="24"/>
          <w:szCs w:val="24"/>
          <w:lang w:eastAsia="pl-PL"/>
        </w:rPr>
        <w:t xml:space="preserve">ustawy z dnia 8 marca 1990 r. o samorządzie </w:t>
      </w:r>
      <w:proofErr w:type="gramStart"/>
      <w:r w:rsidR="000B3058" w:rsidRPr="00833C88">
        <w:rPr>
          <w:rFonts w:cs="Times New Roman"/>
          <w:sz w:val="24"/>
          <w:szCs w:val="24"/>
          <w:lang w:eastAsia="pl-PL"/>
        </w:rPr>
        <w:t>gminnym</w:t>
      </w:r>
      <w:proofErr w:type="gramEnd"/>
      <w:r w:rsidR="000B3058" w:rsidRPr="00833C88">
        <w:rPr>
          <w:rFonts w:cs="Times New Roman"/>
          <w:sz w:val="24"/>
          <w:szCs w:val="24"/>
          <w:lang w:eastAsia="pl-PL"/>
        </w:rPr>
        <w:t xml:space="preserve"> czyli przepis</w:t>
      </w:r>
      <w:r w:rsidR="007534B8" w:rsidRPr="00833C88">
        <w:rPr>
          <w:rFonts w:cs="Times New Roman"/>
          <w:sz w:val="24"/>
          <w:szCs w:val="24"/>
          <w:lang w:eastAsia="pl-PL"/>
        </w:rPr>
        <w:t>,</w:t>
      </w:r>
      <w:r w:rsidR="000B3058" w:rsidRPr="00833C88">
        <w:rPr>
          <w:rFonts w:cs="Times New Roman"/>
          <w:sz w:val="24"/>
          <w:szCs w:val="24"/>
          <w:lang w:eastAsia="pl-PL"/>
        </w:rPr>
        <w:t xml:space="preserve"> który reguluje zawieranie porozumień międzygminnych.</w:t>
      </w:r>
    </w:p>
    <w:p w14:paraId="73A4B488" w14:textId="7AD034B7" w:rsidR="00FE36B8" w:rsidRPr="00833C88" w:rsidRDefault="00F94BC5" w:rsidP="0029004E">
      <w:pPr>
        <w:spacing w:line="360" w:lineRule="auto"/>
        <w:ind w:firstLine="426"/>
        <w:jc w:val="both"/>
        <w:rPr>
          <w:rFonts w:cs="Times New Roman"/>
          <w:sz w:val="24"/>
          <w:szCs w:val="24"/>
          <w:lang w:eastAsia="pl-PL"/>
        </w:rPr>
      </w:pPr>
      <w:r w:rsidRPr="00833C88">
        <w:rPr>
          <w:rFonts w:cs="Times New Roman"/>
          <w:sz w:val="24"/>
          <w:szCs w:val="24"/>
          <w:lang w:eastAsia="pl-PL"/>
        </w:rPr>
        <w:t xml:space="preserve">Istotą koncepcji jest to, że </w:t>
      </w:r>
      <w:r w:rsidR="00986F66" w:rsidRPr="00833C88">
        <w:rPr>
          <w:rFonts w:cs="Times New Roman"/>
          <w:sz w:val="24"/>
          <w:szCs w:val="24"/>
          <w:lang w:eastAsia="pl-PL"/>
        </w:rPr>
        <w:t xml:space="preserve">zadania </w:t>
      </w:r>
      <w:r w:rsidR="00601933" w:rsidRPr="00833C88">
        <w:rPr>
          <w:rFonts w:cs="Times New Roman"/>
          <w:sz w:val="24"/>
          <w:szCs w:val="24"/>
          <w:lang w:eastAsia="pl-PL"/>
        </w:rPr>
        <w:t>z </w:t>
      </w:r>
      <w:r w:rsidR="00986F66" w:rsidRPr="00833C88">
        <w:rPr>
          <w:rFonts w:cs="Times New Roman"/>
          <w:sz w:val="24"/>
          <w:szCs w:val="24"/>
          <w:lang w:eastAsia="pl-PL"/>
        </w:rPr>
        <w:t xml:space="preserve">zakresu cyberbezpieczeństwa oraz odpowiedzialność za ich wykonywanie jest przenoszona na </w:t>
      </w:r>
      <w:r w:rsidR="004E5808" w:rsidRPr="00833C88">
        <w:rPr>
          <w:rFonts w:cs="Times New Roman"/>
          <w:sz w:val="24"/>
          <w:szCs w:val="24"/>
          <w:lang w:eastAsia="pl-PL"/>
        </w:rPr>
        <w:t>jednostkę wyznaczoną do realizacji tych zadań. Podmiot publiczny, któremu te zadania są realizowane</w:t>
      </w:r>
      <w:r w:rsidR="00A263ED" w:rsidRPr="00833C88">
        <w:rPr>
          <w:rFonts w:cs="Times New Roman"/>
          <w:sz w:val="24"/>
          <w:szCs w:val="24"/>
          <w:lang w:eastAsia="pl-PL"/>
        </w:rPr>
        <w:t>, nadal jest przy tym podmiotem kluczowym</w:t>
      </w:r>
      <w:r w:rsidR="004E37DD" w:rsidRPr="00833C88">
        <w:rPr>
          <w:rFonts w:cs="Times New Roman"/>
          <w:sz w:val="24"/>
          <w:szCs w:val="24"/>
          <w:lang w:eastAsia="pl-PL"/>
        </w:rPr>
        <w:t xml:space="preserve"> i podmiotem ważnym</w:t>
      </w:r>
      <w:r w:rsidR="00A263ED" w:rsidRPr="00833C88">
        <w:rPr>
          <w:rFonts w:cs="Times New Roman"/>
          <w:sz w:val="24"/>
          <w:szCs w:val="24"/>
          <w:lang w:eastAsia="pl-PL"/>
        </w:rPr>
        <w:t xml:space="preserve">, który będzie wykazany </w:t>
      </w:r>
      <w:r w:rsidR="00601933" w:rsidRPr="00833C88">
        <w:rPr>
          <w:rFonts w:cs="Times New Roman"/>
          <w:sz w:val="24"/>
          <w:szCs w:val="24"/>
          <w:lang w:eastAsia="pl-PL"/>
        </w:rPr>
        <w:t>w </w:t>
      </w:r>
      <w:r w:rsidR="00A263ED" w:rsidRPr="00833C88">
        <w:rPr>
          <w:rFonts w:cs="Times New Roman"/>
          <w:sz w:val="24"/>
          <w:szCs w:val="24"/>
          <w:lang w:eastAsia="pl-PL"/>
        </w:rPr>
        <w:t xml:space="preserve">wykazie podmiotów kluczowych </w:t>
      </w:r>
      <w:r w:rsidR="00601933" w:rsidRPr="00833C88">
        <w:rPr>
          <w:rFonts w:cs="Times New Roman"/>
          <w:sz w:val="24"/>
          <w:szCs w:val="24"/>
          <w:lang w:eastAsia="pl-PL"/>
        </w:rPr>
        <w:t>i </w:t>
      </w:r>
      <w:r w:rsidR="00A263ED" w:rsidRPr="00833C88">
        <w:rPr>
          <w:rFonts w:cs="Times New Roman"/>
          <w:sz w:val="24"/>
          <w:szCs w:val="24"/>
          <w:lang w:eastAsia="pl-PL"/>
        </w:rPr>
        <w:t>podmiotów ważnych.</w:t>
      </w:r>
      <w:r w:rsidR="00CA763D" w:rsidRPr="00833C88">
        <w:rPr>
          <w:rFonts w:cs="Times New Roman"/>
          <w:sz w:val="24"/>
          <w:szCs w:val="24"/>
          <w:lang w:eastAsia="pl-PL"/>
        </w:rPr>
        <w:t xml:space="preserve"> To jednostka wyznaczona będzie odpowiadała za wdrożenie systemu zarządzania bezpieczeństwem informacji </w:t>
      </w:r>
      <w:r w:rsidR="00601933" w:rsidRPr="00833C88">
        <w:rPr>
          <w:rFonts w:cs="Times New Roman"/>
          <w:sz w:val="24"/>
          <w:szCs w:val="24"/>
          <w:lang w:eastAsia="pl-PL"/>
        </w:rPr>
        <w:t>w </w:t>
      </w:r>
      <w:r w:rsidR="00CA763D" w:rsidRPr="00833C88">
        <w:rPr>
          <w:rFonts w:cs="Times New Roman"/>
          <w:sz w:val="24"/>
          <w:szCs w:val="24"/>
          <w:lang w:eastAsia="pl-PL"/>
        </w:rPr>
        <w:t>podmiotach publicznych</w:t>
      </w:r>
      <w:r w:rsidR="00E3097B" w:rsidRPr="00833C88">
        <w:rPr>
          <w:rFonts w:cs="Times New Roman"/>
          <w:sz w:val="24"/>
          <w:szCs w:val="24"/>
          <w:lang w:eastAsia="pl-PL"/>
        </w:rPr>
        <w:t>, stworzenie niezbędnej dokumentacji, zgłaszanie incydentów</w:t>
      </w:r>
      <w:r w:rsidR="002F3135" w:rsidRPr="00833C88">
        <w:rPr>
          <w:rFonts w:cs="Times New Roman"/>
          <w:sz w:val="24"/>
          <w:szCs w:val="24"/>
          <w:lang w:eastAsia="pl-PL"/>
        </w:rPr>
        <w:t>, przekazanie sprawozdań okresowych oraz sprawozdań końcowych do właściwego CSIRT sektorowego, weryfikację personelu</w:t>
      </w:r>
      <w:r w:rsidR="004F05D1" w:rsidRPr="00833C88">
        <w:rPr>
          <w:rFonts w:cs="Times New Roman"/>
          <w:sz w:val="24"/>
          <w:szCs w:val="24"/>
          <w:lang w:eastAsia="pl-PL"/>
        </w:rPr>
        <w:t xml:space="preserve">, wskazanie osoby kontaktowej. Kierownik </w:t>
      </w:r>
      <w:r w:rsidR="00DC04CE" w:rsidRPr="00833C88">
        <w:rPr>
          <w:rFonts w:cs="Times New Roman"/>
          <w:sz w:val="24"/>
          <w:szCs w:val="24"/>
          <w:lang w:eastAsia="pl-PL"/>
        </w:rPr>
        <w:t xml:space="preserve">tej jednostki będzie odpowiadał za niewykonanie obowiązków wynikających </w:t>
      </w:r>
      <w:r w:rsidR="00601933" w:rsidRPr="00833C88">
        <w:rPr>
          <w:rFonts w:cs="Times New Roman"/>
          <w:sz w:val="24"/>
          <w:szCs w:val="24"/>
          <w:lang w:eastAsia="pl-PL"/>
        </w:rPr>
        <w:t>z </w:t>
      </w:r>
      <w:r w:rsidR="00DC04CE" w:rsidRPr="00833C88">
        <w:rPr>
          <w:rFonts w:cs="Times New Roman"/>
          <w:sz w:val="24"/>
          <w:szCs w:val="24"/>
          <w:lang w:eastAsia="pl-PL"/>
        </w:rPr>
        <w:t>ustawy</w:t>
      </w:r>
      <w:r w:rsidR="00045F72" w:rsidRPr="00833C88">
        <w:rPr>
          <w:rFonts w:cs="Times New Roman"/>
          <w:sz w:val="24"/>
          <w:szCs w:val="24"/>
          <w:lang w:eastAsia="pl-PL"/>
        </w:rPr>
        <w:t xml:space="preserve"> – dlatego też uzyskał prawo do podejmowania decyzji </w:t>
      </w:r>
      <w:r w:rsidR="00601933" w:rsidRPr="00833C88">
        <w:rPr>
          <w:rFonts w:cs="Times New Roman"/>
          <w:sz w:val="24"/>
          <w:szCs w:val="24"/>
          <w:lang w:eastAsia="pl-PL"/>
        </w:rPr>
        <w:t>w </w:t>
      </w:r>
      <w:r w:rsidR="00045F72" w:rsidRPr="00833C88">
        <w:rPr>
          <w:rFonts w:cs="Times New Roman"/>
          <w:sz w:val="24"/>
          <w:szCs w:val="24"/>
          <w:lang w:eastAsia="pl-PL"/>
        </w:rPr>
        <w:t xml:space="preserve">sprawie systemu zarządzania bezpieczeństwem informacji </w:t>
      </w:r>
      <w:r w:rsidR="00601933" w:rsidRPr="00833C88">
        <w:rPr>
          <w:rFonts w:cs="Times New Roman"/>
          <w:sz w:val="24"/>
          <w:szCs w:val="24"/>
          <w:lang w:eastAsia="pl-PL"/>
        </w:rPr>
        <w:t>w </w:t>
      </w:r>
      <w:r w:rsidR="00045F72" w:rsidRPr="00833C88">
        <w:rPr>
          <w:rFonts w:cs="Times New Roman"/>
          <w:sz w:val="24"/>
          <w:szCs w:val="24"/>
          <w:lang w:eastAsia="pl-PL"/>
        </w:rPr>
        <w:t xml:space="preserve">podmiotach, którym realizuje zadania </w:t>
      </w:r>
      <w:r w:rsidR="00601933" w:rsidRPr="00833C88">
        <w:rPr>
          <w:rFonts w:cs="Times New Roman"/>
          <w:sz w:val="24"/>
          <w:szCs w:val="24"/>
          <w:lang w:eastAsia="pl-PL"/>
        </w:rPr>
        <w:t>z </w:t>
      </w:r>
      <w:r w:rsidR="00045F72" w:rsidRPr="00833C88">
        <w:rPr>
          <w:rFonts w:cs="Times New Roman"/>
          <w:sz w:val="24"/>
          <w:szCs w:val="24"/>
          <w:lang w:eastAsia="pl-PL"/>
        </w:rPr>
        <w:t>zakresu cyberbezpieczeństwa</w:t>
      </w:r>
      <w:r w:rsidR="0061406C" w:rsidRPr="00833C88">
        <w:rPr>
          <w:rFonts w:cs="Times New Roman"/>
          <w:sz w:val="24"/>
          <w:szCs w:val="24"/>
          <w:lang w:eastAsia="pl-PL"/>
        </w:rPr>
        <w:t xml:space="preserve"> – </w:t>
      </w:r>
      <w:r w:rsidR="00601933" w:rsidRPr="00833C88">
        <w:rPr>
          <w:rFonts w:cs="Times New Roman"/>
          <w:sz w:val="24"/>
          <w:szCs w:val="24"/>
          <w:lang w:eastAsia="pl-PL"/>
        </w:rPr>
        <w:t>z </w:t>
      </w:r>
      <w:r w:rsidR="0061406C" w:rsidRPr="00833C88">
        <w:rPr>
          <w:rFonts w:cs="Times New Roman"/>
          <w:sz w:val="24"/>
          <w:szCs w:val="24"/>
          <w:lang w:eastAsia="pl-PL"/>
        </w:rPr>
        <w:t xml:space="preserve">drugiej strony jednostka ma obowiązek wykonać te </w:t>
      </w:r>
      <w:r w:rsidR="004C71D0" w:rsidRPr="00833C88">
        <w:rPr>
          <w:rFonts w:cs="Times New Roman"/>
          <w:sz w:val="24"/>
          <w:szCs w:val="24"/>
          <w:lang w:eastAsia="pl-PL"/>
        </w:rPr>
        <w:t xml:space="preserve">decyzje. </w:t>
      </w:r>
      <w:r w:rsidR="004A6AEE" w:rsidRPr="00833C88">
        <w:rPr>
          <w:rFonts w:cs="Times New Roman"/>
          <w:sz w:val="24"/>
          <w:szCs w:val="24"/>
          <w:lang w:eastAsia="pl-PL"/>
        </w:rPr>
        <w:t xml:space="preserve">Wprowadza się także </w:t>
      </w:r>
      <w:r w:rsidR="002848EF" w:rsidRPr="00833C88">
        <w:rPr>
          <w:rFonts w:cs="Times New Roman"/>
          <w:sz w:val="24"/>
          <w:szCs w:val="24"/>
          <w:lang w:eastAsia="pl-PL"/>
        </w:rPr>
        <w:t xml:space="preserve">uprawnienie dla kierownika jednostki </w:t>
      </w:r>
      <w:proofErr w:type="gramStart"/>
      <w:r w:rsidR="002848EF" w:rsidRPr="00833C88">
        <w:rPr>
          <w:rFonts w:cs="Times New Roman"/>
          <w:sz w:val="24"/>
          <w:szCs w:val="24"/>
          <w:lang w:eastAsia="pl-PL"/>
        </w:rPr>
        <w:t>wyznaczonej</w:t>
      </w:r>
      <w:proofErr w:type="gramEnd"/>
      <w:r w:rsidR="002848EF" w:rsidRPr="00833C88">
        <w:rPr>
          <w:rFonts w:cs="Times New Roman"/>
          <w:sz w:val="24"/>
          <w:szCs w:val="24"/>
          <w:lang w:eastAsia="pl-PL"/>
        </w:rPr>
        <w:t xml:space="preserve"> aby mógł wyznaczyć </w:t>
      </w:r>
      <w:r w:rsidR="00811629" w:rsidRPr="00833C88">
        <w:rPr>
          <w:rFonts w:cs="Times New Roman"/>
          <w:sz w:val="24"/>
          <w:szCs w:val="24"/>
          <w:lang w:eastAsia="pl-PL"/>
        </w:rPr>
        <w:t xml:space="preserve">podmiotom publicznym terminy na przekazanie informacji </w:t>
      </w:r>
      <w:r w:rsidR="00601933" w:rsidRPr="00833C88">
        <w:rPr>
          <w:rFonts w:cs="Times New Roman"/>
          <w:sz w:val="24"/>
          <w:szCs w:val="24"/>
          <w:lang w:eastAsia="pl-PL"/>
        </w:rPr>
        <w:t>o </w:t>
      </w:r>
      <w:r w:rsidR="00811629" w:rsidRPr="00833C88">
        <w:rPr>
          <w:rFonts w:cs="Times New Roman"/>
          <w:sz w:val="24"/>
          <w:szCs w:val="24"/>
          <w:lang w:eastAsia="pl-PL"/>
        </w:rPr>
        <w:t>incydentach. Kierownik jednostki wyznaczonej będzie ponosił odpowiedzialność karnoadministracyjną za niewykonanie obowiązków</w:t>
      </w:r>
      <w:r w:rsidR="001035C6" w:rsidRPr="00833C88">
        <w:rPr>
          <w:rFonts w:cs="Times New Roman"/>
          <w:sz w:val="24"/>
          <w:szCs w:val="24"/>
          <w:lang w:eastAsia="pl-PL"/>
        </w:rPr>
        <w:t xml:space="preserve">. Co jednak </w:t>
      </w:r>
      <w:r w:rsidR="00601933" w:rsidRPr="00833C88">
        <w:rPr>
          <w:rFonts w:cs="Times New Roman"/>
          <w:sz w:val="24"/>
          <w:szCs w:val="24"/>
          <w:lang w:eastAsia="pl-PL"/>
        </w:rPr>
        <w:t>w </w:t>
      </w:r>
      <w:r w:rsidR="001035C6" w:rsidRPr="00833C88">
        <w:rPr>
          <w:rFonts w:cs="Times New Roman"/>
          <w:sz w:val="24"/>
          <w:szCs w:val="24"/>
          <w:lang w:eastAsia="pl-PL"/>
        </w:rPr>
        <w:t xml:space="preserve">sytuacji, gdy nie wykonał on obowiązku, ponieważ to podmiot publiczny, któremu </w:t>
      </w:r>
      <w:r w:rsidR="00314317" w:rsidRPr="00833C88">
        <w:rPr>
          <w:rFonts w:cs="Times New Roman"/>
          <w:sz w:val="24"/>
          <w:szCs w:val="24"/>
          <w:lang w:eastAsia="pl-PL"/>
        </w:rPr>
        <w:t>jednostka wyznaczona realizuje zadania, nie współpracował</w:t>
      </w:r>
      <w:r w:rsidR="00E36B70" w:rsidRPr="00833C88">
        <w:rPr>
          <w:rFonts w:cs="Times New Roman"/>
          <w:sz w:val="24"/>
          <w:szCs w:val="24"/>
          <w:lang w:eastAsia="pl-PL"/>
        </w:rPr>
        <w:t xml:space="preserve">? Kierownik jednostki wyznaczonej będzie mógł uchronić się od odpowiedzialności </w:t>
      </w:r>
      <w:r w:rsidR="00BC143B" w:rsidRPr="00833C88">
        <w:rPr>
          <w:rFonts w:cs="Times New Roman"/>
          <w:sz w:val="24"/>
          <w:szCs w:val="24"/>
          <w:lang w:eastAsia="pl-PL"/>
        </w:rPr>
        <w:t xml:space="preserve">wykazując, że nie przyczynił się do tego stanu rzeczy. </w:t>
      </w:r>
    </w:p>
    <w:p w14:paraId="7542C7AD" w14:textId="1AC9D11E" w:rsidR="00142AFC" w:rsidRPr="00833C88" w:rsidRDefault="00142AFC" w:rsidP="0029004E">
      <w:pPr>
        <w:spacing w:line="360" w:lineRule="auto"/>
        <w:ind w:firstLine="426"/>
        <w:jc w:val="both"/>
        <w:rPr>
          <w:rFonts w:cs="Times New Roman"/>
          <w:sz w:val="24"/>
          <w:szCs w:val="24"/>
          <w:lang w:eastAsia="pl-PL"/>
        </w:rPr>
      </w:pPr>
      <w:r w:rsidRPr="00833C88">
        <w:rPr>
          <w:rFonts w:cs="Times New Roman"/>
          <w:sz w:val="24"/>
          <w:szCs w:val="24"/>
          <w:lang w:eastAsia="pl-PL"/>
        </w:rPr>
        <w:t xml:space="preserve">Wskazać przy tym należy, że </w:t>
      </w:r>
      <w:r w:rsidR="00D46357" w:rsidRPr="00833C88">
        <w:rPr>
          <w:rFonts w:cs="Times New Roman"/>
          <w:sz w:val="24"/>
          <w:szCs w:val="24"/>
          <w:lang w:eastAsia="pl-PL"/>
        </w:rPr>
        <w:t xml:space="preserve">przepisy dotyczące </w:t>
      </w:r>
      <w:proofErr w:type="spellStart"/>
      <w:r w:rsidR="00D46357" w:rsidRPr="00833C88">
        <w:rPr>
          <w:rFonts w:cs="Times New Roman"/>
          <w:sz w:val="24"/>
          <w:szCs w:val="24"/>
          <w:lang w:eastAsia="pl-PL"/>
        </w:rPr>
        <w:t>uwspólnienia</w:t>
      </w:r>
      <w:proofErr w:type="spellEnd"/>
      <w:r w:rsidR="00D46357" w:rsidRPr="00833C88">
        <w:rPr>
          <w:rFonts w:cs="Times New Roman"/>
          <w:sz w:val="24"/>
          <w:szCs w:val="24"/>
          <w:lang w:eastAsia="pl-PL"/>
        </w:rPr>
        <w:t xml:space="preserve"> zadań </w:t>
      </w:r>
      <w:r w:rsidR="00601933" w:rsidRPr="00833C88">
        <w:rPr>
          <w:rFonts w:cs="Times New Roman"/>
          <w:sz w:val="24"/>
          <w:szCs w:val="24"/>
          <w:lang w:eastAsia="pl-PL"/>
        </w:rPr>
        <w:t>z </w:t>
      </w:r>
      <w:r w:rsidR="00D46357" w:rsidRPr="00833C88">
        <w:rPr>
          <w:rFonts w:cs="Times New Roman"/>
          <w:sz w:val="24"/>
          <w:szCs w:val="24"/>
          <w:lang w:eastAsia="pl-PL"/>
        </w:rPr>
        <w:t xml:space="preserve">zakresu </w:t>
      </w:r>
      <w:proofErr w:type="spellStart"/>
      <w:r w:rsidR="00D46357" w:rsidRPr="00833C88">
        <w:rPr>
          <w:rFonts w:cs="Times New Roman"/>
          <w:sz w:val="24"/>
          <w:szCs w:val="24"/>
          <w:lang w:eastAsia="pl-PL"/>
        </w:rPr>
        <w:t>cyberbezpieczeństwa</w:t>
      </w:r>
      <w:proofErr w:type="spellEnd"/>
      <w:r w:rsidR="00D46357" w:rsidRPr="00833C88">
        <w:rPr>
          <w:rFonts w:cs="Times New Roman"/>
          <w:sz w:val="24"/>
          <w:szCs w:val="24"/>
          <w:lang w:eastAsia="pl-PL"/>
        </w:rPr>
        <w:t xml:space="preserve"> umożliwiają na powołanie </w:t>
      </w:r>
      <w:r w:rsidR="00273D10" w:rsidRPr="00833C88">
        <w:rPr>
          <w:rFonts w:cs="Times New Roman"/>
          <w:sz w:val="24"/>
          <w:szCs w:val="24"/>
          <w:lang w:eastAsia="pl-PL"/>
        </w:rPr>
        <w:t xml:space="preserve">bądź wyznaczenie </w:t>
      </w:r>
      <w:r w:rsidR="00D46357" w:rsidRPr="00833C88">
        <w:rPr>
          <w:rFonts w:cs="Times New Roman"/>
          <w:sz w:val="24"/>
          <w:szCs w:val="24"/>
          <w:lang w:eastAsia="pl-PL"/>
        </w:rPr>
        <w:t xml:space="preserve">zarówno jednej jednostki jak </w:t>
      </w:r>
      <w:r w:rsidR="00601933" w:rsidRPr="00833C88">
        <w:rPr>
          <w:rFonts w:cs="Times New Roman"/>
          <w:sz w:val="24"/>
          <w:szCs w:val="24"/>
          <w:lang w:eastAsia="pl-PL"/>
        </w:rPr>
        <w:t>i </w:t>
      </w:r>
      <w:r w:rsidR="00D46357" w:rsidRPr="00833C88">
        <w:rPr>
          <w:rFonts w:cs="Times New Roman"/>
          <w:sz w:val="24"/>
          <w:szCs w:val="24"/>
          <w:lang w:eastAsia="pl-PL"/>
        </w:rPr>
        <w:t>kilku jednostek</w:t>
      </w:r>
      <w:r w:rsidR="00273D10" w:rsidRPr="00833C88">
        <w:rPr>
          <w:rFonts w:cs="Times New Roman"/>
          <w:sz w:val="24"/>
          <w:szCs w:val="24"/>
          <w:lang w:eastAsia="pl-PL"/>
        </w:rPr>
        <w:t xml:space="preserve"> realizujących zadania </w:t>
      </w:r>
      <w:r w:rsidR="00601933" w:rsidRPr="00833C88">
        <w:rPr>
          <w:rFonts w:cs="Times New Roman"/>
          <w:sz w:val="24"/>
          <w:szCs w:val="24"/>
          <w:lang w:eastAsia="pl-PL"/>
        </w:rPr>
        <w:t>z </w:t>
      </w:r>
      <w:r w:rsidR="00273D10" w:rsidRPr="00833C88">
        <w:rPr>
          <w:rFonts w:cs="Times New Roman"/>
          <w:sz w:val="24"/>
          <w:szCs w:val="24"/>
          <w:lang w:eastAsia="pl-PL"/>
        </w:rPr>
        <w:t>zakresu cyberbezpieczeństwa.</w:t>
      </w:r>
    </w:p>
    <w:p w14:paraId="756A3F69" w14:textId="54B988D6" w:rsidR="00745526" w:rsidRPr="00833C88" w:rsidRDefault="00745526" w:rsidP="00BC7BDE">
      <w:pPr>
        <w:pStyle w:val="Nagwek2"/>
        <w:spacing w:before="0" w:after="120" w:line="360" w:lineRule="auto"/>
        <w:jc w:val="both"/>
        <w:rPr>
          <w:rFonts w:cs="Times New Roman"/>
          <w:b/>
          <w:bCs/>
        </w:rPr>
      </w:pPr>
      <w:r w:rsidRPr="00833C88">
        <w:rPr>
          <w:rFonts w:cs="Times New Roman"/>
          <w:b/>
          <w:bCs/>
        </w:rPr>
        <w:t xml:space="preserve">Zadania zespołów CSIRT </w:t>
      </w:r>
    </w:p>
    <w:p w14:paraId="14E862A3" w14:textId="366F251C" w:rsidR="001C0FAC" w:rsidRPr="00833C88" w:rsidRDefault="001641DA" w:rsidP="00BC7BDE">
      <w:pPr>
        <w:pStyle w:val="Nagwek3"/>
        <w:spacing w:before="0" w:after="120" w:line="360" w:lineRule="auto"/>
        <w:jc w:val="both"/>
        <w:rPr>
          <w:rFonts w:cs="Times New Roman"/>
          <w:b/>
          <w:bCs/>
          <w:u w:val="none"/>
        </w:rPr>
      </w:pPr>
      <w:r w:rsidRPr="00833C88">
        <w:rPr>
          <w:rFonts w:cs="Times New Roman"/>
          <w:u w:val="none"/>
        </w:rPr>
        <w:t xml:space="preserve"> </w:t>
      </w:r>
      <w:r w:rsidR="001C0FAC" w:rsidRPr="00833C88">
        <w:rPr>
          <w:rFonts w:cs="Times New Roman"/>
          <w:b/>
          <w:bCs/>
          <w:u w:val="none"/>
        </w:rPr>
        <w:t xml:space="preserve">Zadania CSIRT </w:t>
      </w:r>
    </w:p>
    <w:p w14:paraId="03C37384" w14:textId="6339E06B" w:rsidR="001C0FAC" w:rsidRPr="00833C88" w:rsidRDefault="001C0FAC"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Zadania CSIRT zostały rozszerzone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doprecyzowane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dyrektywie NIS</w:t>
      </w:r>
      <w:r w:rsidR="00B62C23"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2 co znalazło odzwierciedlenie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ich nowym katalogu. Należy podkreślić, że część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tych zadań</w:t>
      </w:r>
      <w:r w:rsidR="006108A4" w:rsidRPr="00833C88">
        <w:rPr>
          <w:rFonts w:eastAsia="Times New Roman" w:cs="Times New Roman"/>
          <w:sz w:val="24"/>
          <w:szCs w:val="24"/>
          <w:lang w:eastAsia="pl-PL"/>
        </w:rPr>
        <w:t>,</w:t>
      </w:r>
      <w:r w:rsidRPr="00833C88">
        <w:rPr>
          <w:rFonts w:eastAsia="Times New Roman" w:cs="Times New Roman"/>
          <w:sz w:val="24"/>
          <w:szCs w:val="24"/>
          <w:lang w:eastAsia="pl-PL"/>
        </w:rPr>
        <w:t xml:space="preserve"> np.</w:t>
      </w:r>
      <w:r w:rsidR="00DE38C1" w:rsidRPr="00833C88">
        <w:rPr>
          <w:rFonts w:eastAsia="Times New Roman" w:cs="Times New Roman"/>
          <w:sz w:val="24"/>
          <w:szCs w:val="24"/>
          <w:lang w:eastAsia="pl-PL"/>
        </w:rPr>
        <w:t> </w:t>
      </w:r>
      <w:r w:rsidRPr="00833C88">
        <w:rPr>
          <w:rFonts w:eastAsia="Times New Roman" w:cs="Times New Roman"/>
          <w:sz w:val="24"/>
          <w:szCs w:val="24"/>
          <w:lang w:eastAsia="pl-PL"/>
        </w:rPr>
        <w:t>przetwarzanie danych kryminalistycznych</w:t>
      </w:r>
      <w:r w:rsidR="00E96CA7" w:rsidRPr="00833C88">
        <w:rPr>
          <w:rFonts w:eastAsia="Times New Roman" w:cs="Times New Roman"/>
          <w:sz w:val="24"/>
          <w:szCs w:val="24"/>
          <w:lang w:eastAsia="pl-PL"/>
        </w:rPr>
        <w:t>,</w:t>
      </w:r>
      <w:r w:rsidRPr="00833C88">
        <w:rPr>
          <w:rFonts w:eastAsia="Times New Roman" w:cs="Times New Roman"/>
          <w:sz w:val="24"/>
          <w:szCs w:val="24"/>
          <w:lang w:eastAsia="pl-PL"/>
        </w:rPr>
        <w:t xml:space="preserve"> było już realizowane przez zespoły CSIRT </w:t>
      </w:r>
      <w:r w:rsidRPr="00833C88">
        <w:rPr>
          <w:rFonts w:eastAsia="Times New Roman" w:cs="Times New Roman"/>
          <w:sz w:val="24"/>
          <w:szCs w:val="24"/>
          <w:lang w:eastAsia="pl-PL"/>
        </w:rPr>
        <w:lastRenderedPageBreak/>
        <w:t>na</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podstawie obecnych przepisów. </w:t>
      </w:r>
      <w:r w:rsidR="00E96CA7" w:rsidRPr="00833C88">
        <w:rPr>
          <w:rFonts w:eastAsia="Times New Roman" w:cs="Times New Roman"/>
          <w:sz w:val="24"/>
          <w:szCs w:val="24"/>
          <w:lang w:eastAsia="pl-PL"/>
        </w:rPr>
        <w:t>Projektowane przepisy</w:t>
      </w:r>
      <w:r w:rsidRPr="00833C88">
        <w:rPr>
          <w:rFonts w:eastAsia="Times New Roman" w:cs="Times New Roman"/>
          <w:sz w:val="24"/>
          <w:szCs w:val="24"/>
          <w:lang w:eastAsia="pl-PL"/>
        </w:rPr>
        <w:t xml:space="preserve"> pozwol</w:t>
      </w:r>
      <w:r w:rsidR="00E96CA7" w:rsidRPr="00833C88">
        <w:rPr>
          <w:rFonts w:eastAsia="Times New Roman" w:cs="Times New Roman"/>
          <w:sz w:val="24"/>
          <w:szCs w:val="24"/>
          <w:lang w:eastAsia="pl-PL"/>
        </w:rPr>
        <w:t xml:space="preserve">ą </w:t>
      </w:r>
      <w:r w:rsidRPr="00833C88">
        <w:rPr>
          <w:rFonts w:eastAsia="Times New Roman" w:cs="Times New Roman"/>
          <w:sz w:val="24"/>
          <w:szCs w:val="24"/>
          <w:lang w:eastAsia="pl-PL"/>
        </w:rPr>
        <w:t xml:space="preserve">uporządkować te zadania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zwiększyć spójność krajowego systemu cyberbezpieczeństwa.</w:t>
      </w:r>
    </w:p>
    <w:p w14:paraId="78C5AB8C" w14:textId="07E309E6" w:rsidR="002C64D0"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2C64D0" w:rsidRPr="00833C88">
        <w:rPr>
          <w:rFonts w:eastAsia="Times New Roman" w:cs="Times New Roman"/>
          <w:sz w:val="24"/>
          <w:szCs w:val="24"/>
          <w:lang w:eastAsia="pl-PL"/>
        </w:rPr>
        <w:t xml:space="preserve">związku </w:t>
      </w:r>
      <w:r w:rsidRPr="00833C88">
        <w:rPr>
          <w:rFonts w:eastAsia="Times New Roman" w:cs="Times New Roman"/>
          <w:sz w:val="24"/>
          <w:szCs w:val="24"/>
          <w:lang w:eastAsia="pl-PL"/>
        </w:rPr>
        <w:t>z </w:t>
      </w:r>
      <w:r w:rsidR="002C64D0" w:rsidRPr="00833C88">
        <w:rPr>
          <w:rFonts w:eastAsia="Times New Roman" w:cs="Times New Roman"/>
          <w:sz w:val="24"/>
          <w:szCs w:val="24"/>
          <w:lang w:eastAsia="pl-PL"/>
        </w:rPr>
        <w:t>nową rolą CSIRT sektorowych wskazano, że udzielając wsparcia podmio</w:t>
      </w:r>
      <w:r w:rsidR="003223AC" w:rsidRPr="00833C88">
        <w:rPr>
          <w:rFonts w:eastAsia="Times New Roman" w:cs="Times New Roman"/>
          <w:sz w:val="24"/>
          <w:szCs w:val="24"/>
          <w:lang w:eastAsia="pl-PL"/>
        </w:rPr>
        <w:t xml:space="preserve">tom krajowego systemu cyberbezpieczeństwa informuje </w:t>
      </w:r>
      <w:r w:rsidRPr="00833C88">
        <w:rPr>
          <w:rFonts w:eastAsia="Times New Roman" w:cs="Times New Roman"/>
          <w:sz w:val="24"/>
          <w:szCs w:val="24"/>
          <w:lang w:eastAsia="pl-PL"/>
        </w:rPr>
        <w:t>o </w:t>
      </w:r>
      <w:r w:rsidR="003223AC" w:rsidRPr="00833C88">
        <w:rPr>
          <w:rFonts w:eastAsia="Times New Roman" w:cs="Times New Roman"/>
          <w:sz w:val="24"/>
          <w:szCs w:val="24"/>
          <w:lang w:eastAsia="pl-PL"/>
        </w:rPr>
        <w:t>tym odpowiedni CSIRT sektorowy. Pozwoli to uniknąć dublowania działań przez te podmioty.</w:t>
      </w:r>
    </w:p>
    <w:p w14:paraId="15AE5BBB" w14:textId="6F5E0FD0" w:rsidR="007D58E3" w:rsidRPr="00833C88" w:rsidRDefault="00E96CA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Projektowane przepisy</w:t>
      </w:r>
      <w:r w:rsidR="007D58E3" w:rsidRPr="00833C88">
        <w:rPr>
          <w:rFonts w:eastAsia="Times New Roman" w:cs="Times New Roman"/>
          <w:sz w:val="24"/>
          <w:szCs w:val="24"/>
          <w:lang w:eastAsia="pl-PL"/>
        </w:rPr>
        <w:t xml:space="preserve"> </w:t>
      </w:r>
      <w:r w:rsidRPr="00833C88">
        <w:rPr>
          <w:rFonts w:eastAsia="Times New Roman" w:cs="Times New Roman"/>
          <w:sz w:val="24"/>
          <w:szCs w:val="24"/>
          <w:lang w:eastAsia="pl-PL"/>
        </w:rPr>
        <w:t>dają</w:t>
      </w:r>
      <w:r w:rsidR="007D58E3" w:rsidRPr="00833C88">
        <w:rPr>
          <w:rFonts w:eastAsia="Times New Roman" w:cs="Times New Roman"/>
          <w:sz w:val="24"/>
          <w:szCs w:val="24"/>
          <w:lang w:eastAsia="pl-PL"/>
        </w:rPr>
        <w:t xml:space="preserve"> też możliwość</w:t>
      </w:r>
      <w:r w:rsidR="00712319" w:rsidRPr="00833C88">
        <w:rPr>
          <w:rFonts w:eastAsia="Times New Roman" w:cs="Times New Roman"/>
          <w:sz w:val="24"/>
          <w:szCs w:val="24"/>
          <w:lang w:eastAsia="pl-PL"/>
        </w:rPr>
        <w:t xml:space="preserve"> Pełnomocnikowi </w:t>
      </w:r>
      <w:r w:rsidR="0008401C" w:rsidRPr="00833C88">
        <w:rPr>
          <w:rFonts w:eastAsia="Times New Roman" w:cs="Times New Roman"/>
          <w:sz w:val="24"/>
          <w:szCs w:val="24"/>
          <w:lang w:eastAsia="pl-PL"/>
        </w:rPr>
        <w:t xml:space="preserve">zlecenia udzielenia wsparcia przez CSIRT poziomu krajowego innemu podmiotowi krajowego systemu cyberbezpieczeństwa. </w:t>
      </w:r>
      <w:r w:rsidR="00601933" w:rsidRPr="00833C88">
        <w:rPr>
          <w:rFonts w:eastAsia="Times New Roman" w:cs="Times New Roman"/>
          <w:sz w:val="24"/>
          <w:szCs w:val="24"/>
          <w:lang w:eastAsia="pl-PL"/>
        </w:rPr>
        <w:t>W </w:t>
      </w:r>
      <w:r w:rsidR="0008401C" w:rsidRPr="00833C88">
        <w:rPr>
          <w:rFonts w:eastAsia="Times New Roman" w:cs="Times New Roman"/>
          <w:sz w:val="24"/>
          <w:szCs w:val="24"/>
          <w:lang w:eastAsia="pl-PL"/>
        </w:rPr>
        <w:t xml:space="preserve">przypadku CSIRT </w:t>
      </w:r>
      <w:r w:rsidR="003356E7" w:rsidRPr="00833C88">
        <w:rPr>
          <w:rFonts w:eastAsia="Times New Roman" w:cs="Times New Roman"/>
          <w:sz w:val="24"/>
          <w:szCs w:val="24"/>
          <w:lang w:eastAsia="pl-PL"/>
        </w:rPr>
        <w:t>MON</w:t>
      </w:r>
      <w:r w:rsidR="0008401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08401C" w:rsidRPr="00833C88">
        <w:rPr>
          <w:rFonts w:eastAsia="Times New Roman" w:cs="Times New Roman"/>
          <w:sz w:val="24"/>
          <w:szCs w:val="24"/>
          <w:lang w:eastAsia="pl-PL"/>
        </w:rPr>
        <w:t xml:space="preserve">CSIRT </w:t>
      </w:r>
      <w:r w:rsidR="003356E7" w:rsidRPr="00833C88">
        <w:rPr>
          <w:rFonts w:eastAsia="Times New Roman" w:cs="Times New Roman"/>
          <w:sz w:val="24"/>
          <w:szCs w:val="24"/>
          <w:lang w:eastAsia="pl-PL"/>
        </w:rPr>
        <w:t>GOV</w:t>
      </w:r>
      <w:r w:rsidR="0008401C" w:rsidRPr="00833C88">
        <w:rPr>
          <w:rFonts w:eastAsia="Times New Roman" w:cs="Times New Roman"/>
          <w:sz w:val="24"/>
          <w:szCs w:val="24"/>
          <w:lang w:eastAsia="pl-PL"/>
        </w:rPr>
        <w:t xml:space="preserve"> na takie zlecenie muszą wyrazić zgodę organy prowadzące taki CSIRT. To uprawnienie pozwoli Pełnomocnikowi skutecznie </w:t>
      </w:r>
      <w:r w:rsidR="001C20EC" w:rsidRPr="00833C88">
        <w:rPr>
          <w:rFonts w:eastAsia="Times New Roman" w:cs="Times New Roman"/>
          <w:sz w:val="24"/>
          <w:szCs w:val="24"/>
          <w:lang w:eastAsia="pl-PL"/>
        </w:rPr>
        <w:t>reagować na</w:t>
      </w:r>
      <w:r w:rsidR="009B4C26" w:rsidRPr="00833C88">
        <w:rPr>
          <w:rFonts w:eastAsia="Times New Roman" w:cs="Times New Roman"/>
          <w:sz w:val="24"/>
          <w:szCs w:val="24"/>
          <w:lang w:eastAsia="pl-PL"/>
        </w:rPr>
        <w:t> </w:t>
      </w:r>
      <w:r w:rsidR="001C20EC" w:rsidRPr="00833C88">
        <w:rPr>
          <w:rFonts w:eastAsia="Times New Roman" w:cs="Times New Roman"/>
          <w:sz w:val="24"/>
          <w:szCs w:val="24"/>
          <w:lang w:eastAsia="pl-PL"/>
        </w:rPr>
        <w:t>zagro</w:t>
      </w:r>
      <w:r w:rsidR="00F61728" w:rsidRPr="00833C88">
        <w:rPr>
          <w:rFonts w:eastAsia="Times New Roman" w:cs="Times New Roman"/>
          <w:sz w:val="24"/>
          <w:szCs w:val="24"/>
          <w:lang w:eastAsia="pl-PL"/>
        </w:rPr>
        <w:t xml:space="preserve">żenia </w:t>
      </w:r>
      <w:r w:rsidR="00601933" w:rsidRPr="00833C88">
        <w:rPr>
          <w:rFonts w:eastAsia="Times New Roman" w:cs="Times New Roman"/>
          <w:sz w:val="24"/>
          <w:szCs w:val="24"/>
          <w:lang w:eastAsia="pl-PL"/>
        </w:rPr>
        <w:t>i </w:t>
      </w:r>
      <w:r w:rsidR="007D4EE0" w:rsidRPr="00833C88">
        <w:rPr>
          <w:rFonts w:eastAsia="Times New Roman" w:cs="Times New Roman"/>
          <w:sz w:val="24"/>
          <w:szCs w:val="24"/>
          <w:lang w:eastAsia="pl-PL"/>
        </w:rPr>
        <w:t>szybko zapewnić niezbędne wsparci</w:t>
      </w:r>
      <w:r w:rsidR="00FD4F0D" w:rsidRPr="00833C88">
        <w:rPr>
          <w:rFonts w:eastAsia="Times New Roman" w:cs="Times New Roman"/>
          <w:sz w:val="24"/>
          <w:szCs w:val="24"/>
          <w:lang w:eastAsia="pl-PL"/>
        </w:rPr>
        <w:t>e</w:t>
      </w:r>
      <w:r w:rsidR="007D4EE0" w:rsidRPr="00833C88">
        <w:rPr>
          <w:rFonts w:eastAsia="Times New Roman" w:cs="Times New Roman"/>
          <w:sz w:val="24"/>
          <w:szCs w:val="24"/>
          <w:lang w:eastAsia="pl-PL"/>
        </w:rPr>
        <w:t xml:space="preserve"> podmiotom dotkniętym incydentami. </w:t>
      </w:r>
      <w:r w:rsidR="001951AE" w:rsidRPr="00833C88">
        <w:rPr>
          <w:rFonts w:eastAsia="Times New Roman" w:cs="Times New Roman"/>
          <w:sz w:val="24"/>
          <w:szCs w:val="24"/>
          <w:lang w:eastAsia="pl-PL"/>
        </w:rPr>
        <w:t xml:space="preserve">Przepisy </w:t>
      </w:r>
      <w:r w:rsidR="008925AD" w:rsidRPr="00833C88">
        <w:rPr>
          <w:rFonts w:eastAsia="Times New Roman" w:cs="Times New Roman"/>
          <w:sz w:val="24"/>
          <w:szCs w:val="24"/>
          <w:lang w:eastAsia="pl-PL"/>
        </w:rPr>
        <w:t>dopuszczają wyrażenie zgody na udziel</w:t>
      </w:r>
      <w:r w:rsidR="00CD47D2" w:rsidRPr="00833C88">
        <w:rPr>
          <w:rFonts w:eastAsia="Times New Roman" w:cs="Times New Roman"/>
          <w:sz w:val="24"/>
          <w:szCs w:val="24"/>
          <w:lang w:eastAsia="pl-PL"/>
        </w:rPr>
        <w:t xml:space="preserve">enie zgody ustnie oraz </w:t>
      </w:r>
      <w:r w:rsidR="00601933" w:rsidRPr="00833C88">
        <w:rPr>
          <w:rFonts w:eastAsia="Times New Roman" w:cs="Times New Roman"/>
          <w:sz w:val="24"/>
          <w:szCs w:val="24"/>
          <w:lang w:eastAsia="pl-PL"/>
        </w:rPr>
        <w:t>z </w:t>
      </w:r>
      <w:r w:rsidR="00CD47D2" w:rsidRPr="00833C88">
        <w:rPr>
          <w:rFonts w:eastAsia="Times New Roman" w:cs="Times New Roman"/>
          <w:sz w:val="24"/>
          <w:szCs w:val="24"/>
          <w:lang w:eastAsia="pl-PL"/>
        </w:rPr>
        <w:t xml:space="preserve">wykorzystaniem środków porozumiewania się na odległość. </w:t>
      </w:r>
      <w:r w:rsidR="008C7992" w:rsidRPr="00833C88">
        <w:rPr>
          <w:rFonts w:eastAsia="Times New Roman" w:cs="Times New Roman"/>
          <w:sz w:val="24"/>
          <w:szCs w:val="24"/>
          <w:lang w:eastAsia="pl-PL"/>
        </w:rPr>
        <w:t>Jest to konieczne</w:t>
      </w:r>
      <w:r w:rsidR="00FD4F0D" w:rsidRPr="00833C88">
        <w:rPr>
          <w:rFonts w:eastAsia="Times New Roman" w:cs="Times New Roman"/>
          <w:sz w:val="24"/>
          <w:szCs w:val="24"/>
          <w:lang w:eastAsia="pl-PL"/>
        </w:rPr>
        <w:t>,</w:t>
      </w:r>
      <w:r w:rsidR="008C7992" w:rsidRPr="00833C88">
        <w:rPr>
          <w:rFonts w:eastAsia="Times New Roman" w:cs="Times New Roman"/>
          <w:sz w:val="24"/>
          <w:szCs w:val="24"/>
          <w:lang w:eastAsia="pl-PL"/>
        </w:rPr>
        <w:t xml:space="preserve"> </w:t>
      </w:r>
      <w:r w:rsidR="004F277B" w:rsidRPr="00833C88">
        <w:rPr>
          <w:rFonts w:eastAsia="Times New Roman" w:cs="Times New Roman"/>
          <w:sz w:val="24"/>
          <w:szCs w:val="24"/>
          <w:lang w:eastAsia="pl-PL"/>
        </w:rPr>
        <w:t xml:space="preserve">aby reakcja była odpowiednio szybka </w:t>
      </w:r>
      <w:r w:rsidR="00601933" w:rsidRPr="00833C88">
        <w:rPr>
          <w:rFonts w:eastAsia="Times New Roman" w:cs="Times New Roman"/>
          <w:sz w:val="24"/>
          <w:szCs w:val="24"/>
          <w:lang w:eastAsia="pl-PL"/>
        </w:rPr>
        <w:t>w </w:t>
      </w:r>
      <w:r w:rsidR="004F277B" w:rsidRPr="00833C88">
        <w:rPr>
          <w:rFonts w:eastAsia="Times New Roman" w:cs="Times New Roman"/>
          <w:sz w:val="24"/>
          <w:szCs w:val="24"/>
          <w:lang w:eastAsia="pl-PL"/>
        </w:rPr>
        <w:t xml:space="preserve">sytuacji incydentu. </w:t>
      </w:r>
    </w:p>
    <w:p w14:paraId="44005746" w14:textId="0BBA7027" w:rsidR="00395107" w:rsidRPr="00833C88" w:rsidRDefault="0039510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dotyczące zadań </w:t>
      </w:r>
      <w:r w:rsidR="009E6913" w:rsidRPr="00833C88">
        <w:rPr>
          <w:rFonts w:eastAsia="Times New Roman" w:cs="Times New Roman"/>
          <w:sz w:val="24"/>
          <w:szCs w:val="24"/>
          <w:lang w:eastAsia="pl-PL"/>
        </w:rPr>
        <w:t>CSIRT MON, CSIRT NASK</w:t>
      </w:r>
      <w:r w:rsidR="00F70A2C" w:rsidRPr="00833C88">
        <w:rPr>
          <w:rFonts w:eastAsia="Times New Roman" w:cs="Times New Roman"/>
          <w:sz w:val="24"/>
          <w:szCs w:val="24"/>
          <w:lang w:eastAsia="pl-PL"/>
        </w:rPr>
        <w:t xml:space="preserve">, CSIRT GOV </w:t>
      </w:r>
      <w:r w:rsidR="009E6913" w:rsidRPr="00833C88">
        <w:rPr>
          <w:rFonts w:eastAsia="Times New Roman" w:cs="Times New Roman"/>
          <w:sz w:val="24"/>
          <w:szCs w:val="24"/>
          <w:lang w:eastAsia="pl-PL"/>
        </w:rPr>
        <w:t xml:space="preserve">zostały dostosowane </w:t>
      </w:r>
      <w:r w:rsidR="00601933" w:rsidRPr="00833C88">
        <w:rPr>
          <w:rFonts w:eastAsia="Times New Roman" w:cs="Times New Roman"/>
          <w:sz w:val="24"/>
          <w:szCs w:val="24"/>
          <w:lang w:eastAsia="pl-PL"/>
        </w:rPr>
        <w:t>w </w:t>
      </w:r>
      <w:r w:rsidR="009E6913" w:rsidRPr="00833C88">
        <w:rPr>
          <w:rFonts w:eastAsia="Times New Roman" w:cs="Times New Roman"/>
          <w:sz w:val="24"/>
          <w:szCs w:val="24"/>
          <w:lang w:eastAsia="pl-PL"/>
        </w:rPr>
        <w:t xml:space="preserve">zakresie zmian terminologicznych – czyli zamiast „sektorowy zespół cyberbezpieczeństwa” wprowadzono „CSIRT sektorowy” </w:t>
      </w:r>
      <w:r w:rsidR="00601933" w:rsidRPr="00833C88">
        <w:rPr>
          <w:rFonts w:eastAsia="Times New Roman" w:cs="Times New Roman"/>
          <w:sz w:val="24"/>
          <w:szCs w:val="24"/>
          <w:lang w:eastAsia="pl-PL"/>
        </w:rPr>
        <w:t>a </w:t>
      </w:r>
      <w:r w:rsidR="009E6913" w:rsidRPr="00833C88">
        <w:rPr>
          <w:rFonts w:eastAsia="Times New Roman" w:cs="Times New Roman"/>
          <w:sz w:val="24"/>
          <w:szCs w:val="24"/>
          <w:lang w:eastAsia="pl-PL"/>
        </w:rPr>
        <w:t xml:space="preserve">zamiast </w:t>
      </w:r>
      <w:r w:rsidR="002A173D" w:rsidRPr="00833C88">
        <w:rPr>
          <w:rFonts w:eastAsia="Times New Roman" w:cs="Times New Roman"/>
          <w:sz w:val="24"/>
          <w:szCs w:val="24"/>
          <w:lang w:eastAsia="pl-PL"/>
        </w:rPr>
        <w:t xml:space="preserve">„zagrożenie </w:t>
      </w:r>
      <w:proofErr w:type="spellStart"/>
      <w:r w:rsidR="002A173D" w:rsidRPr="00833C88">
        <w:rPr>
          <w:rFonts w:eastAsia="Times New Roman" w:cs="Times New Roman"/>
          <w:sz w:val="24"/>
          <w:szCs w:val="24"/>
          <w:lang w:eastAsia="pl-PL"/>
        </w:rPr>
        <w:t>cyberbezpieczeństwa</w:t>
      </w:r>
      <w:proofErr w:type="spellEnd"/>
      <w:r w:rsidR="002A173D" w:rsidRPr="00833C88">
        <w:rPr>
          <w:rFonts w:eastAsia="Times New Roman" w:cs="Times New Roman"/>
          <w:sz w:val="24"/>
          <w:szCs w:val="24"/>
          <w:lang w:eastAsia="pl-PL"/>
        </w:rPr>
        <w:t>” wprowadzono „</w:t>
      </w:r>
      <w:proofErr w:type="spellStart"/>
      <w:r w:rsidR="002A173D" w:rsidRPr="00833C88">
        <w:rPr>
          <w:rFonts w:eastAsia="Times New Roman" w:cs="Times New Roman"/>
          <w:sz w:val="24"/>
          <w:szCs w:val="24"/>
          <w:lang w:eastAsia="pl-PL"/>
        </w:rPr>
        <w:t>cyberzagrożenie</w:t>
      </w:r>
      <w:proofErr w:type="spellEnd"/>
      <w:r w:rsidR="002A173D" w:rsidRPr="00833C88">
        <w:rPr>
          <w:rFonts w:eastAsia="Times New Roman" w:cs="Times New Roman"/>
          <w:sz w:val="24"/>
          <w:szCs w:val="24"/>
          <w:lang w:eastAsia="pl-PL"/>
        </w:rPr>
        <w:t>”.</w:t>
      </w:r>
      <w:r w:rsidR="00FF726D" w:rsidRPr="00833C88">
        <w:rPr>
          <w:rFonts w:eastAsia="Times New Roman" w:cs="Times New Roman"/>
          <w:sz w:val="24"/>
          <w:szCs w:val="24"/>
          <w:lang w:eastAsia="pl-PL"/>
        </w:rPr>
        <w:t xml:space="preserve"> Dostosowano również przepisy </w:t>
      </w:r>
      <w:r w:rsidR="00601933" w:rsidRPr="00833C88">
        <w:rPr>
          <w:rFonts w:eastAsia="Times New Roman" w:cs="Times New Roman"/>
          <w:sz w:val="24"/>
          <w:szCs w:val="24"/>
          <w:lang w:eastAsia="pl-PL"/>
        </w:rPr>
        <w:t>o </w:t>
      </w:r>
      <w:r w:rsidR="00FF726D" w:rsidRPr="00833C88">
        <w:rPr>
          <w:rFonts w:eastAsia="Times New Roman" w:cs="Times New Roman"/>
          <w:sz w:val="24"/>
          <w:szCs w:val="24"/>
          <w:lang w:eastAsia="pl-PL"/>
        </w:rPr>
        <w:t xml:space="preserve">przekazywaniu </w:t>
      </w:r>
      <w:r w:rsidR="0085736E" w:rsidRPr="00833C88">
        <w:rPr>
          <w:rFonts w:eastAsia="Times New Roman" w:cs="Times New Roman"/>
          <w:sz w:val="24"/>
          <w:szCs w:val="24"/>
          <w:lang w:eastAsia="pl-PL"/>
        </w:rPr>
        <w:t>informacji do</w:t>
      </w:r>
      <w:r w:rsidR="00AE7A61" w:rsidRPr="00833C88">
        <w:rPr>
          <w:rFonts w:eastAsia="Times New Roman" w:cs="Times New Roman"/>
          <w:sz w:val="24"/>
          <w:szCs w:val="24"/>
          <w:lang w:eastAsia="pl-PL"/>
        </w:rPr>
        <w:t xml:space="preserve"> innych państw członkowskich</w:t>
      </w:r>
      <w:r w:rsidR="00222A93" w:rsidRPr="00833C88">
        <w:rPr>
          <w:rFonts w:eastAsia="Times New Roman" w:cs="Times New Roman"/>
          <w:sz w:val="24"/>
          <w:szCs w:val="24"/>
          <w:lang w:eastAsia="pl-PL"/>
        </w:rPr>
        <w:t xml:space="preserve"> </w:t>
      </w:r>
      <w:r w:rsidR="00222A93" w:rsidRPr="00833C88">
        <w:rPr>
          <w:rFonts w:cs="Times New Roman"/>
          <w:sz w:val="24"/>
          <w:szCs w:val="24"/>
        </w:rPr>
        <w:t>Unii Europejskiej</w:t>
      </w:r>
      <w:r w:rsidR="00AE7A61" w:rsidRPr="00833C88">
        <w:rPr>
          <w:rFonts w:eastAsia="Times New Roman" w:cs="Times New Roman"/>
          <w:sz w:val="24"/>
          <w:szCs w:val="24"/>
          <w:lang w:eastAsia="pl-PL"/>
        </w:rPr>
        <w:t xml:space="preserve"> </w:t>
      </w:r>
      <w:r w:rsidR="00066DE6" w:rsidRPr="00833C88">
        <w:rPr>
          <w:rFonts w:eastAsia="Times New Roman" w:cs="Times New Roman"/>
          <w:sz w:val="24"/>
          <w:szCs w:val="24"/>
          <w:lang w:eastAsia="pl-PL"/>
        </w:rPr>
        <w:t xml:space="preserve">informacji </w:t>
      </w:r>
      <w:r w:rsidR="00601933" w:rsidRPr="00833C88">
        <w:rPr>
          <w:rFonts w:eastAsia="Times New Roman" w:cs="Times New Roman"/>
          <w:sz w:val="24"/>
          <w:szCs w:val="24"/>
          <w:lang w:eastAsia="pl-PL"/>
        </w:rPr>
        <w:t>o </w:t>
      </w:r>
      <w:r w:rsidR="00066DE6" w:rsidRPr="00833C88">
        <w:rPr>
          <w:rFonts w:eastAsia="Times New Roman" w:cs="Times New Roman"/>
          <w:sz w:val="24"/>
          <w:szCs w:val="24"/>
          <w:lang w:eastAsia="pl-PL"/>
        </w:rPr>
        <w:t>incydentach poważnych dotyczących dwóch lub większej liczby państw</w:t>
      </w:r>
      <w:r w:rsidR="008936AF"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008936AF" w:rsidRPr="00833C88">
        <w:rPr>
          <w:rFonts w:eastAsia="Times New Roman" w:cs="Times New Roman"/>
          <w:sz w:val="24"/>
          <w:szCs w:val="24"/>
          <w:lang w:eastAsia="pl-PL"/>
        </w:rPr>
        <w:t xml:space="preserve">także uzupełniono katalog </w:t>
      </w:r>
      <w:r w:rsidR="00CF5E72" w:rsidRPr="00833C88">
        <w:rPr>
          <w:rFonts w:eastAsia="Times New Roman" w:cs="Times New Roman"/>
          <w:sz w:val="24"/>
          <w:szCs w:val="24"/>
          <w:lang w:eastAsia="pl-PL"/>
        </w:rPr>
        <w:t>informacji przekazywanych do Pojedynczego Punktu Kontak</w:t>
      </w:r>
      <w:r w:rsidR="00D325B0" w:rsidRPr="00833C88">
        <w:rPr>
          <w:rFonts w:eastAsia="Times New Roman" w:cs="Times New Roman"/>
          <w:sz w:val="24"/>
          <w:szCs w:val="24"/>
          <w:lang w:eastAsia="pl-PL"/>
        </w:rPr>
        <w:t>t</w:t>
      </w:r>
      <w:r w:rsidR="00CF5E72" w:rsidRPr="00833C88">
        <w:rPr>
          <w:rFonts w:eastAsia="Times New Roman" w:cs="Times New Roman"/>
          <w:sz w:val="24"/>
          <w:szCs w:val="24"/>
          <w:lang w:eastAsia="pl-PL"/>
        </w:rPr>
        <w:t>owego.</w:t>
      </w:r>
    </w:p>
    <w:p w14:paraId="744FDEFD" w14:textId="4795A5BA" w:rsidR="002B5433" w:rsidRPr="00833C88" w:rsidRDefault="002B5433" w:rsidP="00D10F90">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Wprowadzono również nowe zadania wynikające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dyrektywy NIS 2</w:t>
      </w:r>
      <w:r w:rsidR="009D3CBB" w:rsidRPr="00833C88">
        <w:rPr>
          <w:rFonts w:eastAsia="Times New Roman" w:cs="Times New Roman"/>
          <w:sz w:val="24"/>
          <w:szCs w:val="24"/>
          <w:lang w:eastAsia="pl-PL"/>
        </w:rPr>
        <w:t>:</w:t>
      </w:r>
    </w:p>
    <w:p w14:paraId="4448EE2C" w14:textId="44E424F8" w:rsidR="00E703E5" w:rsidRPr="00833C88" w:rsidRDefault="00601933" w:rsidP="00D10F90">
      <w:pPr>
        <w:pStyle w:val="Akapitzlist"/>
        <w:numPr>
          <w:ilvl w:val="0"/>
          <w:numId w:val="38"/>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w </w:t>
      </w:r>
      <w:r w:rsidR="00E703E5" w:rsidRPr="00833C88">
        <w:rPr>
          <w:rFonts w:eastAsia="Times New Roman" w:cs="Times New Roman"/>
          <w:sz w:val="24"/>
          <w:szCs w:val="24"/>
          <w:lang w:eastAsia="pl-PL"/>
        </w:rPr>
        <w:t xml:space="preserve">odpowiednich przypadkach gromadzenie </w:t>
      </w:r>
      <w:r w:rsidRPr="00833C88">
        <w:rPr>
          <w:rFonts w:eastAsia="Times New Roman" w:cs="Times New Roman"/>
          <w:sz w:val="24"/>
          <w:szCs w:val="24"/>
          <w:lang w:eastAsia="pl-PL"/>
        </w:rPr>
        <w:t>i </w:t>
      </w:r>
      <w:r w:rsidR="00E703E5" w:rsidRPr="00833C88">
        <w:rPr>
          <w:rFonts w:eastAsia="Times New Roman" w:cs="Times New Roman"/>
          <w:sz w:val="24"/>
          <w:szCs w:val="24"/>
          <w:lang w:eastAsia="pl-PL"/>
        </w:rPr>
        <w:t>zabezpieczanie danych na potrzeby postępowań karnych</w:t>
      </w:r>
      <w:r w:rsidR="005B7564" w:rsidRPr="00833C88">
        <w:rPr>
          <w:rFonts w:eastAsia="Times New Roman" w:cs="Times New Roman"/>
          <w:sz w:val="24"/>
          <w:szCs w:val="24"/>
          <w:lang w:eastAsia="pl-PL"/>
        </w:rPr>
        <w:t>,</w:t>
      </w:r>
    </w:p>
    <w:p w14:paraId="3CE5E8A6" w14:textId="44A791B0" w:rsidR="00E703E5" w:rsidRPr="00833C88" w:rsidRDefault="00E703E5" w:rsidP="00D10F90">
      <w:pPr>
        <w:pStyle w:val="Akapitzlist"/>
        <w:numPr>
          <w:ilvl w:val="0"/>
          <w:numId w:val="38"/>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współpraca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sektorowymi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międzysektorowymi społecznościami podmiotów kluczowych </w:t>
      </w:r>
      <w:r w:rsidR="00D10F90" w:rsidRPr="00833C88">
        <w:rPr>
          <w:rFonts w:eastAsia="Times New Roman" w:cs="Times New Roman"/>
          <w:sz w:val="24"/>
          <w:szCs w:val="24"/>
          <w:lang w:eastAsia="pl-PL"/>
        </w:rPr>
        <w:t>lub</w:t>
      </w:r>
      <w:r w:rsidR="00601933" w:rsidRPr="00833C88">
        <w:rPr>
          <w:rFonts w:eastAsia="Times New Roman" w:cs="Times New Roman"/>
          <w:sz w:val="24"/>
          <w:szCs w:val="24"/>
          <w:lang w:eastAsia="pl-PL"/>
        </w:rPr>
        <w:t> </w:t>
      </w:r>
      <w:r w:rsidRPr="00833C88">
        <w:rPr>
          <w:rFonts w:eastAsia="Times New Roman" w:cs="Times New Roman"/>
          <w:sz w:val="24"/>
          <w:szCs w:val="24"/>
          <w:lang w:eastAsia="pl-PL"/>
        </w:rPr>
        <w:t xml:space="preserve">podmiotów ważnych </w:t>
      </w:r>
      <w:proofErr w:type="gramStart"/>
      <w:r w:rsidRPr="00833C88">
        <w:rPr>
          <w:rFonts w:eastAsia="Times New Roman" w:cs="Times New Roman"/>
          <w:sz w:val="24"/>
          <w:szCs w:val="24"/>
          <w:lang w:eastAsia="pl-PL"/>
        </w:rPr>
        <w:t>oraz,</w:t>
      </w:r>
      <w:proofErr w:type="gramEnd"/>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odpowiednich przypadkach, wymieniają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nimi informacje</w:t>
      </w:r>
      <w:r w:rsidR="005B7564" w:rsidRPr="00833C88">
        <w:rPr>
          <w:rFonts w:eastAsia="Times New Roman" w:cs="Times New Roman"/>
          <w:sz w:val="24"/>
          <w:szCs w:val="24"/>
          <w:lang w:eastAsia="pl-PL"/>
        </w:rPr>
        <w:t>,</w:t>
      </w:r>
    </w:p>
    <w:p w14:paraId="5B1AF9E6" w14:textId="69EB6AC0" w:rsidR="00E703E5" w:rsidRPr="00833C88" w:rsidRDefault="00E703E5" w:rsidP="00D10F90">
      <w:pPr>
        <w:pStyle w:val="Akapitzlist"/>
        <w:numPr>
          <w:ilvl w:val="0"/>
          <w:numId w:val="38"/>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współpraca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krajowymi zespołami reagowania na incydenty bezpieczeństwa komputerowego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państw trzecich</w:t>
      </w:r>
      <w:r w:rsidR="005B7564" w:rsidRPr="00833C88">
        <w:rPr>
          <w:rFonts w:eastAsia="Times New Roman" w:cs="Times New Roman"/>
          <w:sz w:val="24"/>
          <w:szCs w:val="24"/>
          <w:lang w:eastAsia="pl-PL"/>
        </w:rPr>
        <w:t>,</w:t>
      </w:r>
    </w:p>
    <w:p w14:paraId="34F1E557" w14:textId="36951144" w:rsidR="00E703E5" w:rsidRPr="00833C88" w:rsidRDefault="00E703E5" w:rsidP="00D10F90">
      <w:pPr>
        <w:pStyle w:val="Akapitzlist"/>
        <w:numPr>
          <w:ilvl w:val="0"/>
          <w:numId w:val="38"/>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udział we wdrażaniu bezpiecznych narzędzi wymiany informacji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podmiotami kluczowymi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podmiotami ważnymi oraz innymi podmiotami</w:t>
      </w:r>
      <w:r w:rsidR="005B7564" w:rsidRPr="00833C88">
        <w:rPr>
          <w:rFonts w:eastAsia="Times New Roman" w:cs="Times New Roman"/>
          <w:sz w:val="24"/>
          <w:szCs w:val="24"/>
          <w:lang w:eastAsia="pl-PL"/>
        </w:rPr>
        <w:t>,</w:t>
      </w:r>
    </w:p>
    <w:p w14:paraId="3EF80CF4" w14:textId="5ACA5BEC" w:rsidR="00E703E5" w:rsidRPr="00833C88" w:rsidRDefault="00E703E5" w:rsidP="00D10F90">
      <w:pPr>
        <w:pStyle w:val="Akapitzlist"/>
        <w:numPr>
          <w:ilvl w:val="0"/>
          <w:numId w:val="38"/>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prowadzenie działań na rzecz podnoszenia poziomu bezpieczeństwa systemów informacyjnych podmiotów krajowego systemu cyberbezpieczeństwa przez:</w:t>
      </w:r>
    </w:p>
    <w:p w14:paraId="4D15B805" w14:textId="357FD26A" w:rsidR="00E703E5" w:rsidRPr="00833C88" w:rsidRDefault="00A47078" w:rsidP="00D10F90">
      <w:pPr>
        <w:spacing w:after="0" w:line="360" w:lineRule="auto"/>
        <w:ind w:left="1135"/>
        <w:jc w:val="both"/>
        <w:rPr>
          <w:rFonts w:eastAsia="Times New Roman" w:cs="Times New Roman"/>
          <w:sz w:val="24"/>
          <w:szCs w:val="24"/>
          <w:lang w:eastAsia="pl-PL"/>
        </w:rPr>
      </w:pPr>
      <w:r w:rsidRPr="00833C88">
        <w:rPr>
          <w:rFonts w:eastAsia="Times New Roman" w:cs="Times New Roman"/>
          <w:sz w:val="24"/>
          <w:szCs w:val="24"/>
          <w:lang w:eastAsia="pl-PL"/>
        </w:rPr>
        <w:lastRenderedPageBreak/>
        <w:t>–</w:t>
      </w:r>
      <w:r w:rsidRPr="00833C88">
        <w:rPr>
          <w:rFonts w:eastAsia="Times New Roman" w:cs="Times New Roman"/>
          <w:sz w:val="24"/>
          <w:szCs w:val="24"/>
          <w:lang w:eastAsia="pl-PL"/>
        </w:rPr>
        <w:tab/>
      </w:r>
      <w:r w:rsidR="00E703E5" w:rsidRPr="00833C88">
        <w:rPr>
          <w:rFonts w:eastAsia="Times New Roman" w:cs="Times New Roman"/>
          <w:sz w:val="24"/>
          <w:szCs w:val="24"/>
          <w:lang w:eastAsia="pl-PL"/>
        </w:rPr>
        <w:t>wykonywanie oceny bezpieczeństwa,</w:t>
      </w:r>
    </w:p>
    <w:p w14:paraId="55416750" w14:textId="3E634170" w:rsidR="00E703E5" w:rsidRPr="00833C88" w:rsidRDefault="00A47078" w:rsidP="00D10F90">
      <w:pPr>
        <w:spacing w:after="0" w:line="360" w:lineRule="auto"/>
        <w:ind w:left="1135"/>
        <w:jc w:val="both"/>
        <w:rPr>
          <w:rFonts w:eastAsia="Times New Roman" w:cs="Times New Roman"/>
          <w:sz w:val="24"/>
          <w:szCs w:val="24"/>
          <w:lang w:eastAsia="pl-PL"/>
        </w:rPr>
      </w:pPr>
      <w:r w:rsidRPr="00833C88">
        <w:rPr>
          <w:rFonts w:eastAsia="Times New Roman" w:cs="Times New Roman"/>
          <w:sz w:val="24"/>
          <w:szCs w:val="24"/>
          <w:lang w:eastAsia="pl-PL"/>
        </w:rPr>
        <w:t>–</w:t>
      </w:r>
      <w:r w:rsidRPr="00833C88">
        <w:rPr>
          <w:rFonts w:eastAsia="Times New Roman" w:cs="Times New Roman"/>
          <w:sz w:val="24"/>
          <w:szCs w:val="24"/>
          <w:lang w:eastAsia="pl-PL"/>
        </w:rPr>
        <w:tab/>
      </w:r>
      <w:r w:rsidR="00E703E5" w:rsidRPr="00833C88">
        <w:rPr>
          <w:rFonts w:eastAsia="Times New Roman" w:cs="Times New Roman"/>
          <w:sz w:val="24"/>
          <w:szCs w:val="24"/>
          <w:lang w:eastAsia="pl-PL"/>
        </w:rPr>
        <w:t xml:space="preserve">identyfikowanie podatności systemów dostępnych </w:t>
      </w:r>
      <w:r w:rsidR="00601933" w:rsidRPr="00833C88">
        <w:rPr>
          <w:rFonts w:eastAsia="Times New Roman" w:cs="Times New Roman"/>
          <w:sz w:val="24"/>
          <w:szCs w:val="24"/>
          <w:lang w:eastAsia="pl-PL"/>
        </w:rPr>
        <w:t>w </w:t>
      </w:r>
      <w:r w:rsidR="00E703E5" w:rsidRPr="00833C88">
        <w:rPr>
          <w:rFonts w:eastAsia="Times New Roman" w:cs="Times New Roman"/>
          <w:sz w:val="24"/>
          <w:szCs w:val="24"/>
          <w:lang w:eastAsia="pl-PL"/>
        </w:rPr>
        <w:t xml:space="preserve">otwartych sieciach teleinformatycznych, </w:t>
      </w:r>
      <w:r w:rsidR="00601933" w:rsidRPr="00833C88">
        <w:rPr>
          <w:rFonts w:eastAsia="Times New Roman" w:cs="Times New Roman"/>
          <w:sz w:val="24"/>
          <w:szCs w:val="24"/>
          <w:lang w:eastAsia="pl-PL"/>
        </w:rPr>
        <w:t>a </w:t>
      </w:r>
      <w:r w:rsidR="00E703E5" w:rsidRPr="00833C88">
        <w:rPr>
          <w:rFonts w:eastAsia="Times New Roman" w:cs="Times New Roman"/>
          <w:sz w:val="24"/>
          <w:szCs w:val="24"/>
          <w:lang w:eastAsia="pl-PL"/>
        </w:rPr>
        <w:t xml:space="preserve">także powiadamianie właścicieli tych systemów </w:t>
      </w:r>
      <w:r w:rsidR="00601933" w:rsidRPr="00833C88">
        <w:rPr>
          <w:rFonts w:eastAsia="Times New Roman" w:cs="Times New Roman"/>
          <w:sz w:val="24"/>
          <w:szCs w:val="24"/>
          <w:lang w:eastAsia="pl-PL"/>
        </w:rPr>
        <w:t>o </w:t>
      </w:r>
      <w:r w:rsidR="00E703E5" w:rsidRPr="00833C88">
        <w:rPr>
          <w:rFonts w:eastAsia="Times New Roman" w:cs="Times New Roman"/>
          <w:sz w:val="24"/>
          <w:szCs w:val="24"/>
          <w:lang w:eastAsia="pl-PL"/>
        </w:rPr>
        <w:t xml:space="preserve">wykrytych podatnościach oraz </w:t>
      </w:r>
      <w:proofErr w:type="spellStart"/>
      <w:r w:rsidR="00E703E5" w:rsidRPr="00833C88">
        <w:rPr>
          <w:rFonts w:eastAsia="Times New Roman" w:cs="Times New Roman"/>
          <w:sz w:val="24"/>
          <w:szCs w:val="24"/>
          <w:lang w:eastAsia="pl-PL"/>
        </w:rPr>
        <w:t>cyberzagrożeniach</w:t>
      </w:r>
      <w:proofErr w:type="spellEnd"/>
      <w:r w:rsidR="005B7564" w:rsidRPr="00833C88">
        <w:rPr>
          <w:rFonts w:eastAsia="Times New Roman" w:cs="Times New Roman"/>
          <w:sz w:val="24"/>
          <w:szCs w:val="24"/>
          <w:lang w:eastAsia="pl-PL"/>
        </w:rPr>
        <w:t>,</w:t>
      </w:r>
    </w:p>
    <w:p w14:paraId="49255D8D" w14:textId="0D9D033D" w:rsidR="00E703E5" w:rsidRPr="00833C88" w:rsidRDefault="00E703E5" w:rsidP="00D10F90">
      <w:pPr>
        <w:pStyle w:val="Akapitzlist"/>
        <w:numPr>
          <w:ilvl w:val="0"/>
          <w:numId w:val="38"/>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promowanie, przyjmowanie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stosowanie wspólnych lub znormalizowanych praktyk, systemów klasyfikacji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systematyki związanych z:</w:t>
      </w:r>
    </w:p>
    <w:p w14:paraId="5E5171BF" w14:textId="0B306CEE" w:rsidR="00A47078" w:rsidRPr="00833C88" w:rsidRDefault="00A47078" w:rsidP="00D10F90">
      <w:pPr>
        <w:pStyle w:val="Akapitzlist"/>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w:t>
      </w:r>
      <w:r w:rsidRPr="00833C88">
        <w:rPr>
          <w:rFonts w:eastAsia="Times New Roman" w:cs="Times New Roman"/>
          <w:sz w:val="24"/>
          <w:szCs w:val="24"/>
          <w:lang w:eastAsia="pl-PL"/>
        </w:rPr>
        <w:tab/>
      </w:r>
      <w:r w:rsidR="00E703E5" w:rsidRPr="00833C88">
        <w:rPr>
          <w:rFonts w:eastAsia="Times New Roman" w:cs="Times New Roman"/>
          <w:sz w:val="24"/>
          <w:szCs w:val="24"/>
          <w:lang w:eastAsia="pl-PL"/>
        </w:rPr>
        <w:t>procedurami obsługi incydentu,</w:t>
      </w:r>
    </w:p>
    <w:p w14:paraId="6D2116CE" w14:textId="77777777" w:rsidR="00D10F90" w:rsidRPr="00833C88" w:rsidRDefault="00A47078" w:rsidP="00D10F90">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r>
      <w:r w:rsidR="00E703E5" w:rsidRPr="00833C88">
        <w:rPr>
          <w:rFonts w:cs="Times New Roman"/>
          <w:sz w:val="24"/>
          <w:szCs w:val="24"/>
          <w:lang w:eastAsia="pl-PL"/>
        </w:rPr>
        <w:t xml:space="preserve">zarządzaniem kryzysowym </w:t>
      </w:r>
      <w:r w:rsidR="00601933" w:rsidRPr="00833C88">
        <w:rPr>
          <w:rFonts w:cs="Times New Roman"/>
          <w:sz w:val="24"/>
          <w:szCs w:val="24"/>
          <w:lang w:eastAsia="pl-PL"/>
        </w:rPr>
        <w:t>w </w:t>
      </w:r>
      <w:r w:rsidR="00E703E5" w:rsidRPr="00833C88">
        <w:rPr>
          <w:rFonts w:cs="Times New Roman"/>
          <w:sz w:val="24"/>
          <w:szCs w:val="24"/>
          <w:lang w:eastAsia="pl-PL"/>
        </w:rPr>
        <w:t>obszarze cyberbezpieczeństwa</w:t>
      </w:r>
      <w:r w:rsidR="005B7564" w:rsidRPr="00833C88">
        <w:rPr>
          <w:rFonts w:cs="Times New Roman"/>
          <w:sz w:val="24"/>
          <w:szCs w:val="24"/>
          <w:lang w:eastAsia="pl-PL"/>
        </w:rPr>
        <w:t>,</w:t>
      </w:r>
    </w:p>
    <w:p w14:paraId="2D57B00C" w14:textId="4A423952" w:rsidR="009D3CBB" w:rsidRPr="00833C88" w:rsidRDefault="00D10F90" w:rsidP="00D10F90">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r>
      <w:r w:rsidR="00E703E5" w:rsidRPr="00833C88">
        <w:rPr>
          <w:rFonts w:eastAsia="Times New Roman" w:cs="Times New Roman"/>
          <w:sz w:val="24"/>
          <w:szCs w:val="24"/>
          <w:lang w:eastAsia="pl-PL"/>
        </w:rPr>
        <w:t>ujawnianiem podatności</w:t>
      </w:r>
      <w:r w:rsidR="005B7564" w:rsidRPr="00833C88">
        <w:rPr>
          <w:rFonts w:eastAsia="Times New Roman" w:cs="Times New Roman"/>
          <w:sz w:val="24"/>
          <w:szCs w:val="24"/>
          <w:lang w:eastAsia="pl-PL"/>
        </w:rPr>
        <w:t>,</w:t>
      </w:r>
    </w:p>
    <w:p w14:paraId="0BD89C95" w14:textId="276ACFA9" w:rsidR="00C23EB4" w:rsidRPr="00833C88" w:rsidRDefault="00E703E5" w:rsidP="00D10F90">
      <w:pPr>
        <w:pStyle w:val="Akapitzlist"/>
        <w:numPr>
          <w:ilvl w:val="0"/>
          <w:numId w:val="38"/>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przekazywanie Pełnomocnikowi sprawozdania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wykonywania swoich zadań ustawowych zawierającego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szczególności informacje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zgłoszonych do CSIRT incydent</w:t>
      </w:r>
      <w:r w:rsidR="00D10F90" w:rsidRPr="00833C88">
        <w:rPr>
          <w:rFonts w:eastAsia="Times New Roman" w:cs="Times New Roman"/>
          <w:sz w:val="24"/>
          <w:szCs w:val="24"/>
          <w:lang w:eastAsia="pl-PL"/>
        </w:rPr>
        <w:t>ach</w:t>
      </w:r>
      <w:r w:rsidRPr="00833C88">
        <w:rPr>
          <w:rFonts w:eastAsia="Times New Roman" w:cs="Times New Roman"/>
          <w:sz w:val="24"/>
          <w:szCs w:val="24"/>
          <w:lang w:eastAsia="pl-PL"/>
        </w:rPr>
        <w:t xml:space="preserve"> krytycznych, incydent</w:t>
      </w:r>
      <w:r w:rsidR="00D10F90" w:rsidRPr="00833C88">
        <w:rPr>
          <w:rFonts w:eastAsia="Times New Roman" w:cs="Times New Roman"/>
          <w:sz w:val="24"/>
          <w:szCs w:val="24"/>
          <w:lang w:eastAsia="pl-PL"/>
        </w:rPr>
        <w:t>ach</w:t>
      </w:r>
      <w:r w:rsidRPr="00833C88">
        <w:rPr>
          <w:rFonts w:eastAsia="Times New Roman" w:cs="Times New Roman"/>
          <w:sz w:val="24"/>
          <w:szCs w:val="24"/>
          <w:lang w:eastAsia="pl-PL"/>
        </w:rPr>
        <w:t xml:space="preserve"> poważnych, incydent</w:t>
      </w:r>
      <w:r w:rsidR="00D10F90" w:rsidRPr="00833C88">
        <w:rPr>
          <w:rFonts w:eastAsia="Times New Roman" w:cs="Times New Roman"/>
          <w:sz w:val="24"/>
          <w:szCs w:val="24"/>
          <w:lang w:eastAsia="pl-PL"/>
        </w:rPr>
        <w:t>ach</w:t>
      </w:r>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cyberzagroże</w:t>
      </w:r>
      <w:r w:rsidR="00D10F90" w:rsidRPr="00833C88">
        <w:rPr>
          <w:rFonts w:eastAsia="Times New Roman" w:cs="Times New Roman"/>
          <w:sz w:val="24"/>
          <w:szCs w:val="24"/>
          <w:lang w:eastAsia="pl-PL"/>
        </w:rPr>
        <w:t>niach</w:t>
      </w:r>
      <w:proofErr w:type="spellEnd"/>
      <w:r w:rsidRPr="00833C88">
        <w:rPr>
          <w:rFonts w:eastAsia="Times New Roman" w:cs="Times New Roman"/>
          <w:sz w:val="24"/>
          <w:szCs w:val="24"/>
          <w:lang w:eastAsia="pl-PL"/>
        </w:rPr>
        <w:t xml:space="preserve"> oraz</w:t>
      </w:r>
      <w:r w:rsidR="009D3CBB" w:rsidRPr="00833C88">
        <w:rPr>
          <w:rFonts w:eastAsia="Times New Roman" w:cs="Times New Roman"/>
          <w:sz w:val="24"/>
          <w:szCs w:val="24"/>
          <w:lang w:eastAsia="pl-PL"/>
        </w:rPr>
        <w:t xml:space="preserve"> </w:t>
      </w:r>
      <w:r w:rsidRPr="00833C88">
        <w:rPr>
          <w:rFonts w:eastAsia="Times New Roman" w:cs="Times New Roman"/>
          <w:sz w:val="24"/>
          <w:szCs w:val="24"/>
          <w:lang w:eastAsia="pl-PL"/>
        </w:rPr>
        <w:t>potencjalnych zdarzeniach dla cyberbezpieczeństwa</w:t>
      </w:r>
      <w:r w:rsidR="00C23EB4" w:rsidRPr="00833C88">
        <w:rPr>
          <w:rFonts w:eastAsia="Times New Roman" w:cs="Times New Roman"/>
          <w:sz w:val="24"/>
          <w:szCs w:val="24"/>
          <w:lang w:eastAsia="pl-PL"/>
        </w:rPr>
        <w:t>.</w:t>
      </w:r>
    </w:p>
    <w:p w14:paraId="033DD13F" w14:textId="00D233FE" w:rsidR="00E703E5" w:rsidRPr="00833C88" w:rsidRDefault="00C23EB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Należy podkreślić, że CSIRT przy udzielaniu wsparcia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obsłudze incydentu nie staje się administratorem danych osobowych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rozumieniu</w:t>
      </w:r>
      <w:r w:rsidR="00A15030" w:rsidRPr="00833C88">
        <w:rPr>
          <w:rFonts w:eastAsia="Times New Roman" w:cs="Times New Roman"/>
          <w:sz w:val="24"/>
          <w:szCs w:val="24"/>
          <w:lang w:eastAsia="pl-PL"/>
        </w:rPr>
        <w:t xml:space="preserve"> RODO</w:t>
      </w:r>
      <w:r w:rsidR="00654BE2" w:rsidRPr="00833C88">
        <w:rPr>
          <w:rFonts w:eastAsia="Times New Roman" w:cs="Times New Roman"/>
          <w:sz w:val="24"/>
          <w:szCs w:val="24"/>
          <w:lang w:eastAsia="pl-PL"/>
        </w:rPr>
        <w:t>,</w:t>
      </w:r>
      <w:r w:rsidRPr="00833C88">
        <w:rPr>
          <w:rFonts w:eastAsia="Times New Roman" w:cs="Times New Roman"/>
          <w:sz w:val="24"/>
          <w:szCs w:val="24"/>
          <w:lang w:eastAsia="pl-PL"/>
        </w:rPr>
        <w:t xml:space="preserve"> gdyż nie ma on wpływu na cel przetwarzania danych osobowych, którymi dysponuje podmiot</w:t>
      </w:r>
      <w:r w:rsidR="00654BE2" w:rsidRPr="00833C88">
        <w:rPr>
          <w:rFonts w:eastAsia="Times New Roman" w:cs="Times New Roman"/>
          <w:sz w:val="24"/>
          <w:szCs w:val="24"/>
          <w:lang w:eastAsia="pl-PL"/>
        </w:rPr>
        <w: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u </w:t>
      </w:r>
      <w:r w:rsidRPr="00833C88">
        <w:rPr>
          <w:rFonts w:eastAsia="Times New Roman" w:cs="Times New Roman"/>
          <w:sz w:val="24"/>
          <w:szCs w:val="24"/>
          <w:lang w:eastAsia="pl-PL"/>
        </w:rPr>
        <w:t>którego wystąpił incydent.</w:t>
      </w:r>
    </w:p>
    <w:p w14:paraId="44DD0329" w14:textId="1171672B" w:rsidR="0009110E" w:rsidRPr="00833C88" w:rsidRDefault="0009110E"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zakresie właściwości zespołów CSIRT</w:t>
      </w:r>
      <w:r w:rsidR="006514D0" w:rsidRPr="00833C88">
        <w:rPr>
          <w:rFonts w:eastAsia="Times New Roman" w:cs="Times New Roman"/>
          <w:sz w:val="24"/>
          <w:szCs w:val="24"/>
          <w:lang w:eastAsia="pl-PL"/>
        </w:rPr>
        <w:t>.</w:t>
      </w:r>
    </w:p>
    <w:p w14:paraId="6C9FD0D2" w14:textId="3756141A" w:rsidR="00595163"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595163" w:rsidRPr="00833C88">
        <w:rPr>
          <w:rFonts w:eastAsia="Times New Roman" w:cs="Times New Roman"/>
          <w:sz w:val="24"/>
          <w:szCs w:val="24"/>
          <w:lang w:eastAsia="pl-PL"/>
        </w:rPr>
        <w:t xml:space="preserve">przypadku CSIRT MON </w:t>
      </w:r>
      <w:r w:rsidR="00CC2E65" w:rsidRPr="00833C88">
        <w:rPr>
          <w:rFonts w:eastAsia="Times New Roman" w:cs="Times New Roman"/>
          <w:sz w:val="24"/>
          <w:szCs w:val="24"/>
          <w:lang w:eastAsia="pl-PL"/>
        </w:rPr>
        <w:t>precyzuje się</w:t>
      </w:r>
      <w:r w:rsidR="00C91C62" w:rsidRPr="00833C88">
        <w:rPr>
          <w:rFonts w:eastAsia="Times New Roman" w:cs="Times New Roman"/>
          <w:sz w:val="24"/>
          <w:szCs w:val="24"/>
          <w:lang w:eastAsia="pl-PL"/>
        </w:rPr>
        <w:t>, że</w:t>
      </w:r>
      <w:r w:rsidR="00CC2E65" w:rsidRPr="00833C88">
        <w:rPr>
          <w:rFonts w:eastAsia="Times New Roman" w:cs="Times New Roman"/>
          <w:sz w:val="24"/>
          <w:szCs w:val="24"/>
          <w:lang w:eastAsia="pl-PL"/>
        </w:rPr>
        <w:t xml:space="preserve"> </w:t>
      </w:r>
      <w:r w:rsidR="008B0181" w:rsidRPr="00833C88">
        <w:rPr>
          <w:rFonts w:eastAsia="Times New Roman" w:cs="Times New Roman"/>
          <w:sz w:val="24"/>
          <w:szCs w:val="24"/>
          <w:lang w:eastAsia="pl-PL"/>
        </w:rPr>
        <w:t>do jego właściwości należ</w:t>
      </w:r>
      <w:r w:rsidR="007038BF" w:rsidRPr="00833C88">
        <w:rPr>
          <w:rFonts w:eastAsia="Times New Roman" w:cs="Times New Roman"/>
          <w:sz w:val="24"/>
          <w:szCs w:val="24"/>
          <w:lang w:eastAsia="pl-PL"/>
        </w:rPr>
        <w:t>ą incydenty zgłaszane przez Ministra Obrony Narodowej.</w:t>
      </w:r>
    </w:p>
    <w:p w14:paraId="03B0D8FD" w14:textId="7C4DEEAD" w:rsidR="007038BF" w:rsidRPr="00833C88" w:rsidRDefault="00601933" w:rsidP="00D10F90">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F6739F" w:rsidRPr="00833C88">
        <w:rPr>
          <w:rFonts w:eastAsia="Times New Roman" w:cs="Times New Roman"/>
          <w:sz w:val="24"/>
          <w:szCs w:val="24"/>
          <w:lang w:eastAsia="pl-PL"/>
        </w:rPr>
        <w:t>przypadku CSIRT NASK precyzuje się, że do jego właściwości należą incydenty zgłaszane prze</w:t>
      </w:r>
      <w:r w:rsidR="002829F0" w:rsidRPr="00833C88">
        <w:rPr>
          <w:rFonts w:eastAsia="Times New Roman" w:cs="Times New Roman"/>
          <w:sz w:val="24"/>
          <w:szCs w:val="24"/>
          <w:lang w:eastAsia="pl-PL"/>
        </w:rPr>
        <w:t>z</w:t>
      </w:r>
      <w:r w:rsidR="002576B1" w:rsidRPr="00833C88">
        <w:rPr>
          <w:rFonts w:eastAsia="Times New Roman" w:cs="Times New Roman"/>
          <w:sz w:val="24"/>
          <w:szCs w:val="24"/>
          <w:lang w:eastAsia="pl-PL"/>
        </w:rPr>
        <w:t>:</w:t>
      </w:r>
    </w:p>
    <w:p w14:paraId="6E3BE13A" w14:textId="348D2361" w:rsidR="002576B1" w:rsidRPr="00833C88" w:rsidRDefault="002576B1" w:rsidP="00D10F90">
      <w:pPr>
        <w:pStyle w:val="Akapitzlist"/>
        <w:numPr>
          <w:ilvl w:val="0"/>
          <w:numId w:val="25"/>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międzynarodowe instytuty badawcze</w:t>
      </w:r>
      <w:r w:rsidR="00180974" w:rsidRPr="00833C88">
        <w:rPr>
          <w:rFonts w:eastAsia="Times New Roman" w:cs="Times New Roman"/>
          <w:sz w:val="24"/>
          <w:szCs w:val="24"/>
          <w:lang w:eastAsia="pl-PL"/>
        </w:rPr>
        <w:t>;</w:t>
      </w:r>
    </w:p>
    <w:p w14:paraId="153D5106" w14:textId="0D99A815" w:rsidR="002576B1" w:rsidRPr="00833C88" w:rsidRDefault="002576B1" w:rsidP="00D10F90">
      <w:pPr>
        <w:pStyle w:val="Akapitzlist"/>
        <w:numPr>
          <w:ilvl w:val="0"/>
          <w:numId w:val="25"/>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Centrum Łukasiewicz</w:t>
      </w:r>
      <w:r w:rsidR="00180974" w:rsidRPr="00833C88">
        <w:rPr>
          <w:rFonts w:eastAsia="Times New Roman" w:cs="Times New Roman"/>
          <w:sz w:val="24"/>
          <w:szCs w:val="24"/>
          <w:lang w:eastAsia="pl-PL"/>
        </w:rPr>
        <w:t>;</w:t>
      </w:r>
    </w:p>
    <w:p w14:paraId="29261F70" w14:textId="36EF1266" w:rsidR="002576B1" w:rsidRPr="00833C88" w:rsidRDefault="00D10F90" w:rsidP="00D10F90">
      <w:pPr>
        <w:pStyle w:val="Akapitzlist"/>
        <w:numPr>
          <w:ilvl w:val="0"/>
          <w:numId w:val="25"/>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i</w:t>
      </w:r>
      <w:r w:rsidR="002576B1" w:rsidRPr="00833C88">
        <w:rPr>
          <w:rFonts w:eastAsia="Times New Roman" w:cs="Times New Roman"/>
          <w:sz w:val="24"/>
          <w:szCs w:val="24"/>
          <w:lang w:eastAsia="pl-PL"/>
        </w:rPr>
        <w:t xml:space="preserve">nstytuty działające </w:t>
      </w:r>
      <w:r w:rsidR="00601933" w:rsidRPr="00833C88">
        <w:rPr>
          <w:rFonts w:eastAsia="Times New Roman" w:cs="Times New Roman"/>
          <w:sz w:val="24"/>
          <w:szCs w:val="24"/>
          <w:lang w:eastAsia="pl-PL"/>
        </w:rPr>
        <w:t>w </w:t>
      </w:r>
      <w:r w:rsidR="002576B1" w:rsidRPr="00833C88">
        <w:rPr>
          <w:rFonts w:eastAsia="Times New Roman" w:cs="Times New Roman"/>
          <w:sz w:val="24"/>
          <w:szCs w:val="24"/>
          <w:lang w:eastAsia="pl-PL"/>
        </w:rPr>
        <w:t>ramach Sieci Badawczej Łukasiewicz</w:t>
      </w:r>
      <w:r w:rsidR="00180974" w:rsidRPr="00833C88">
        <w:rPr>
          <w:rFonts w:eastAsia="Times New Roman" w:cs="Times New Roman"/>
          <w:sz w:val="24"/>
          <w:szCs w:val="24"/>
          <w:lang w:eastAsia="pl-PL"/>
        </w:rPr>
        <w:t>.</w:t>
      </w:r>
    </w:p>
    <w:p w14:paraId="65DEA393" w14:textId="5AC3D851" w:rsidR="002C7241" w:rsidRPr="00833C88" w:rsidRDefault="002C72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Podmioty kluczowe oraz podmioty ważne,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wyjątkiem tych, które wchodzą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zakres właściwości CSIRT MON albo CSIRT GOV.</w:t>
      </w:r>
    </w:p>
    <w:p w14:paraId="41F90EB4" w14:textId="31BCBC03" w:rsidR="000B7414" w:rsidRPr="00833C88" w:rsidRDefault="000B741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Ponadto wprowadza się dosyć istotną zmianę – pierwotnie było wskazane, że CSIRT NASK odpowiada za przyjmowanie zgłoszeń incydentów od jednostek samorządu terytorialnego</w:t>
      </w:r>
      <w:r w:rsidR="003B0659" w:rsidRPr="00833C88">
        <w:rPr>
          <w:rFonts w:eastAsia="Times New Roman" w:cs="Times New Roman"/>
          <w:sz w:val="24"/>
          <w:szCs w:val="24"/>
          <w:lang w:eastAsia="pl-PL"/>
        </w:rPr>
        <w:t>, zwanych dalej „</w:t>
      </w:r>
      <w:r w:rsidR="00C94F1C" w:rsidRPr="00833C88">
        <w:rPr>
          <w:rFonts w:eastAsia="Times New Roman" w:cs="Times New Roman"/>
          <w:sz w:val="24"/>
          <w:szCs w:val="24"/>
          <w:lang w:eastAsia="pl-PL"/>
        </w:rPr>
        <w:t>JST</w:t>
      </w:r>
      <w:r w:rsidR="003B0659" w:rsidRPr="00833C88">
        <w:rPr>
          <w:rFonts w:eastAsia="Times New Roman" w:cs="Times New Roman"/>
          <w:sz w:val="24"/>
          <w:szCs w:val="24"/>
          <w:lang w:eastAsia="pl-PL"/>
        </w:rPr>
        <w:t>”</w:t>
      </w:r>
      <w:r w:rsidRPr="00833C88">
        <w:rPr>
          <w:rFonts w:eastAsia="Times New Roman" w:cs="Times New Roman"/>
          <w:sz w:val="24"/>
          <w:szCs w:val="24"/>
          <w:lang w:eastAsia="pl-PL"/>
        </w:rPr>
        <w:t>. Tymczasem JST to są wspólnoty</w:t>
      </w:r>
      <w:r w:rsidR="00C94F1C" w:rsidRPr="00833C88">
        <w:rPr>
          <w:rFonts w:eastAsia="Times New Roman" w:cs="Times New Roman"/>
          <w:sz w:val="24"/>
          <w:szCs w:val="24"/>
          <w:lang w:eastAsia="pl-PL"/>
        </w:rPr>
        <w:t xml:space="preserve"> samorządowe </w:t>
      </w:r>
      <w:r w:rsidR="00601933" w:rsidRPr="00833C88">
        <w:rPr>
          <w:rFonts w:eastAsia="Times New Roman" w:cs="Times New Roman"/>
          <w:sz w:val="24"/>
          <w:szCs w:val="24"/>
          <w:lang w:eastAsia="pl-PL"/>
        </w:rPr>
        <w:t>z </w:t>
      </w:r>
      <w:r w:rsidR="00C94F1C" w:rsidRPr="00833C88">
        <w:rPr>
          <w:rFonts w:eastAsia="Times New Roman" w:cs="Times New Roman"/>
          <w:sz w:val="24"/>
          <w:szCs w:val="24"/>
          <w:lang w:eastAsia="pl-PL"/>
        </w:rPr>
        <w:t>odrębnym numerem REGON. Tak naprawdę istotne są incydenty zgłaszane nie przez JST tylko przez urzędy obsługujące JST.</w:t>
      </w:r>
    </w:p>
    <w:p w14:paraId="634334BB" w14:textId="308595B5" w:rsidR="00981D80" w:rsidRPr="00833C88" w:rsidRDefault="00601933" w:rsidP="00D10F90">
      <w:pPr>
        <w:spacing w:after="0"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W </w:t>
      </w:r>
      <w:r w:rsidR="00981D80" w:rsidRPr="00833C88">
        <w:rPr>
          <w:rFonts w:eastAsia="Times New Roman" w:cs="Times New Roman"/>
          <w:sz w:val="24"/>
          <w:szCs w:val="24"/>
          <w:lang w:eastAsia="pl-PL"/>
        </w:rPr>
        <w:t xml:space="preserve">przypadku CSIRT GOV precyzuje się, że </w:t>
      </w:r>
      <w:r w:rsidR="006114E3" w:rsidRPr="00833C88">
        <w:rPr>
          <w:rFonts w:eastAsia="Times New Roman" w:cs="Times New Roman"/>
          <w:sz w:val="24"/>
          <w:szCs w:val="24"/>
          <w:lang w:eastAsia="pl-PL"/>
        </w:rPr>
        <w:t xml:space="preserve">zespół ten </w:t>
      </w:r>
      <w:r w:rsidR="00DA594E" w:rsidRPr="00833C88">
        <w:rPr>
          <w:rFonts w:eastAsia="Times New Roman" w:cs="Times New Roman"/>
          <w:sz w:val="24"/>
          <w:szCs w:val="24"/>
          <w:lang w:eastAsia="pl-PL"/>
        </w:rPr>
        <w:t>odpowiada za reagowanie na incydent zgłaszane przez:</w:t>
      </w:r>
    </w:p>
    <w:p w14:paraId="459400EE" w14:textId="7BF27239" w:rsidR="00DA594E" w:rsidRPr="00833C88" w:rsidRDefault="00DA594E" w:rsidP="00D10F90">
      <w:pPr>
        <w:pStyle w:val="Akapitzlist"/>
        <w:numPr>
          <w:ilvl w:val="0"/>
          <w:numId w:val="23"/>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organy władzy publicznej,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organy administracji rządowej, organy kontroli państwowej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ochrony prawa oraz sądy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trybunały</w:t>
      </w:r>
      <w:r w:rsidR="005B7564" w:rsidRPr="00833C88">
        <w:rPr>
          <w:rFonts w:eastAsia="Times New Roman" w:cs="Times New Roman"/>
          <w:sz w:val="24"/>
          <w:szCs w:val="24"/>
          <w:lang w:eastAsia="pl-PL"/>
        </w:rPr>
        <w:t>,</w:t>
      </w:r>
    </w:p>
    <w:p w14:paraId="21620EC1" w14:textId="7E5B4A8C" w:rsidR="005E362F" w:rsidRPr="00833C88" w:rsidRDefault="005E362F" w:rsidP="00D10F90">
      <w:pPr>
        <w:pStyle w:val="Akapitzlist"/>
        <w:numPr>
          <w:ilvl w:val="0"/>
          <w:numId w:val="23"/>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Zakład Ubezpieczeń Społecznych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zarządzane przez niego fundusze oraz Kasa Rolniczego Ubezpieczenia Społecznego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fundusze zarządzane przez Prezesa Kasy Rolniczego Ubezpieczenia Społecznego</w:t>
      </w:r>
      <w:r w:rsidR="005B7564" w:rsidRPr="00833C88">
        <w:rPr>
          <w:rFonts w:eastAsia="Times New Roman" w:cs="Times New Roman"/>
          <w:sz w:val="24"/>
          <w:szCs w:val="24"/>
          <w:lang w:eastAsia="pl-PL"/>
        </w:rPr>
        <w:t>,</w:t>
      </w:r>
    </w:p>
    <w:p w14:paraId="1A7DC45B" w14:textId="71F47C71" w:rsidR="005E362F" w:rsidRPr="00833C88" w:rsidRDefault="005E362F" w:rsidP="00D10F90">
      <w:pPr>
        <w:pStyle w:val="Akapitzlist"/>
        <w:numPr>
          <w:ilvl w:val="0"/>
          <w:numId w:val="23"/>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Narodowy Fundusz Zdrowia</w:t>
      </w:r>
      <w:r w:rsidR="005E5B96" w:rsidRPr="00833C88">
        <w:rPr>
          <w:rFonts w:eastAsia="Times New Roman" w:cs="Times New Roman"/>
          <w:sz w:val="24"/>
          <w:szCs w:val="24"/>
          <w:lang w:eastAsia="pl-PL"/>
        </w:rPr>
        <w:t xml:space="preserve"> oraz</w:t>
      </w:r>
    </w:p>
    <w:p w14:paraId="25E16EA2" w14:textId="644A10D8" w:rsidR="005E5B96" w:rsidRPr="00833C88" w:rsidRDefault="00790828" w:rsidP="00D10F90">
      <w:pPr>
        <w:pStyle w:val="Akapitzlist"/>
        <w:numPr>
          <w:ilvl w:val="0"/>
          <w:numId w:val="23"/>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u</w:t>
      </w:r>
      <w:r w:rsidR="005E5B96" w:rsidRPr="00833C88">
        <w:rPr>
          <w:rFonts w:eastAsia="Times New Roman" w:cs="Times New Roman"/>
          <w:sz w:val="24"/>
          <w:szCs w:val="24"/>
          <w:lang w:eastAsia="pl-PL"/>
        </w:rPr>
        <w:t>rzędy obsługujące ww. podmioty.</w:t>
      </w:r>
    </w:p>
    <w:p w14:paraId="32C184A8" w14:textId="6189F758" w:rsidR="005E5B96"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5E5B96" w:rsidRPr="00833C88">
        <w:rPr>
          <w:rFonts w:eastAsia="Times New Roman" w:cs="Times New Roman"/>
          <w:sz w:val="24"/>
          <w:szCs w:val="24"/>
          <w:lang w:eastAsia="pl-PL"/>
        </w:rPr>
        <w:t>obecnym brzmieniu interpretując dosłownie</w:t>
      </w:r>
      <w:r w:rsidR="00C52E3B" w:rsidRPr="00833C88">
        <w:rPr>
          <w:rFonts w:eastAsia="Times New Roman" w:cs="Times New Roman"/>
          <w:sz w:val="24"/>
          <w:szCs w:val="24"/>
          <w:lang w:eastAsia="pl-PL"/>
        </w:rPr>
        <w:t xml:space="preserve"> przepisy</w:t>
      </w:r>
      <w:r w:rsidR="005E5B96" w:rsidRPr="00833C88">
        <w:rPr>
          <w:rFonts w:eastAsia="Times New Roman" w:cs="Times New Roman"/>
          <w:sz w:val="24"/>
          <w:szCs w:val="24"/>
          <w:lang w:eastAsia="pl-PL"/>
        </w:rPr>
        <w:t xml:space="preserve"> organ</w:t>
      </w:r>
      <w:r w:rsidR="00C52E3B" w:rsidRPr="00833C88">
        <w:rPr>
          <w:rFonts w:eastAsia="Times New Roman" w:cs="Times New Roman"/>
          <w:sz w:val="24"/>
          <w:szCs w:val="24"/>
          <w:lang w:eastAsia="pl-PL"/>
        </w:rPr>
        <w:t xml:space="preserve"> władzy publicznej – np. minister kierujący działem administracji rządowej zgłasza</w:t>
      </w:r>
      <w:r w:rsidR="00FA6686" w:rsidRPr="00833C88">
        <w:rPr>
          <w:rFonts w:eastAsia="Times New Roman" w:cs="Times New Roman"/>
          <w:sz w:val="24"/>
          <w:szCs w:val="24"/>
          <w:lang w:eastAsia="pl-PL"/>
        </w:rPr>
        <w:t xml:space="preserve"> incydenty do CSIRT GOV, ale</w:t>
      </w:r>
      <w:r w:rsidR="00D550D5" w:rsidRPr="00833C88">
        <w:rPr>
          <w:rFonts w:eastAsia="Times New Roman" w:cs="Times New Roman"/>
          <w:sz w:val="24"/>
          <w:szCs w:val="24"/>
          <w:lang w:eastAsia="pl-PL"/>
        </w:rPr>
        <w:t> </w:t>
      </w:r>
      <w:r w:rsidR="00FA6686" w:rsidRPr="00833C88">
        <w:rPr>
          <w:rFonts w:eastAsia="Times New Roman" w:cs="Times New Roman"/>
          <w:sz w:val="24"/>
          <w:szCs w:val="24"/>
          <w:lang w:eastAsia="pl-PL"/>
        </w:rPr>
        <w:t xml:space="preserve">jednostka budżetowa go obsługująca zgłasza do CSIRT NASK. Aby przeciąć ten absurd </w:t>
      </w:r>
      <w:r w:rsidR="009960C9" w:rsidRPr="00833C88">
        <w:rPr>
          <w:rFonts w:eastAsia="Times New Roman" w:cs="Times New Roman"/>
          <w:sz w:val="24"/>
          <w:szCs w:val="24"/>
          <w:lang w:eastAsia="pl-PL"/>
        </w:rPr>
        <w:t xml:space="preserve">doprecyzowano przepis, uwzględniając też wieloletnią, rozsądną, praktykę </w:t>
      </w:r>
      <w:r w:rsidRPr="00833C88">
        <w:rPr>
          <w:rFonts w:eastAsia="Times New Roman" w:cs="Times New Roman"/>
          <w:sz w:val="24"/>
          <w:szCs w:val="24"/>
          <w:lang w:eastAsia="pl-PL"/>
        </w:rPr>
        <w:t>w </w:t>
      </w:r>
      <w:r w:rsidR="009960C9" w:rsidRPr="00833C88">
        <w:rPr>
          <w:rFonts w:eastAsia="Times New Roman" w:cs="Times New Roman"/>
          <w:sz w:val="24"/>
          <w:szCs w:val="24"/>
          <w:lang w:eastAsia="pl-PL"/>
        </w:rPr>
        <w:t>przepisach.</w:t>
      </w:r>
      <w:r w:rsidR="004A4B57" w:rsidRPr="00833C88">
        <w:rPr>
          <w:rFonts w:eastAsia="Times New Roman" w:cs="Times New Roman"/>
          <w:sz w:val="24"/>
          <w:szCs w:val="24"/>
          <w:lang w:eastAsia="pl-PL"/>
        </w:rPr>
        <w:t xml:space="preserve"> Ponadto uwzględnia się </w:t>
      </w:r>
      <w:r w:rsidRPr="00833C88">
        <w:rPr>
          <w:rFonts w:eastAsia="Times New Roman" w:cs="Times New Roman"/>
          <w:sz w:val="24"/>
          <w:szCs w:val="24"/>
          <w:lang w:eastAsia="pl-PL"/>
        </w:rPr>
        <w:t>w </w:t>
      </w:r>
      <w:r w:rsidR="004A4B57" w:rsidRPr="00833C88">
        <w:rPr>
          <w:rFonts w:eastAsia="Times New Roman" w:cs="Times New Roman"/>
          <w:sz w:val="24"/>
          <w:szCs w:val="24"/>
          <w:lang w:eastAsia="pl-PL"/>
        </w:rPr>
        <w:t>zakresie właściwości CSIRT GOV:</w:t>
      </w:r>
    </w:p>
    <w:p w14:paraId="49DF9236" w14:textId="17AD7385" w:rsidR="004A4B57" w:rsidRPr="00833C88" w:rsidRDefault="004A4B57" w:rsidP="00CE36D9">
      <w:pPr>
        <w:pStyle w:val="Akapitzlist"/>
        <w:numPr>
          <w:ilvl w:val="0"/>
          <w:numId w:val="24"/>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Polską Agencję Żeglugi Powietrznej</w:t>
      </w:r>
      <w:r w:rsidR="00721076" w:rsidRPr="00833C88">
        <w:rPr>
          <w:rFonts w:eastAsia="Times New Roman" w:cs="Times New Roman"/>
          <w:sz w:val="24"/>
          <w:szCs w:val="24"/>
          <w:lang w:eastAsia="pl-PL"/>
        </w:rPr>
        <w:t>,</w:t>
      </w:r>
    </w:p>
    <w:p w14:paraId="58A46550" w14:textId="4038A2F6" w:rsidR="004A4B57" w:rsidRPr="00833C88" w:rsidRDefault="004A4B57" w:rsidP="00CE36D9">
      <w:pPr>
        <w:pStyle w:val="Akapitzlist"/>
        <w:numPr>
          <w:ilvl w:val="0"/>
          <w:numId w:val="24"/>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Polską Agencję Prasową</w:t>
      </w:r>
      <w:r w:rsidR="00721076" w:rsidRPr="00833C88">
        <w:rPr>
          <w:rFonts w:eastAsia="Times New Roman" w:cs="Times New Roman"/>
          <w:sz w:val="24"/>
          <w:szCs w:val="24"/>
          <w:lang w:eastAsia="pl-PL"/>
        </w:rPr>
        <w:t>,</w:t>
      </w:r>
    </w:p>
    <w:p w14:paraId="10366202" w14:textId="7714B349" w:rsidR="004A4B57" w:rsidRPr="00833C88" w:rsidRDefault="000772D3" w:rsidP="00CE36D9">
      <w:pPr>
        <w:pStyle w:val="Akapitzlist"/>
        <w:numPr>
          <w:ilvl w:val="0"/>
          <w:numId w:val="24"/>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Państwowe Gospodarstwo Wodne Wody Polskie</w:t>
      </w:r>
      <w:r w:rsidR="00721076" w:rsidRPr="00833C88">
        <w:rPr>
          <w:rFonts w:eastAsia="Times New Roman" w:cs="Times New Roman"/>
          <w:sz w:val="24"/>
          <w:szCs w:val="24"/>
          <w:lang w:eastAsia="pl-PL"/>
        </w:rPr>
        <w:t>,</w:t>
      </w:r>
    </w:p>
    <w:p w14:paraId="794E9C29" w14:textId="627FBA9A" w:rsidR="00046AEA" w:rsidRPr="00833C88" w:rsidRDefault="00046AEA" w:rsidP="00CE36D9">
      <w:pPr>
        <w:pStyle w:val="Akapitzlist"/>
        <w:numPr>
          <w:ilvl w:val="0"/>
          <w:numId w:val="24"/>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Polski Fundusz Rozwoju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inne instytucje rozwoju,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art. 2 ust. 1 pkt</w:t>
      </w:r>
      <w:r w:rsidR="00846C33" w:rsidRPr="00833C88">
        <w:rPr>
          <w:rFonts w:eastAsia="Times New Roman" w:cs="Times New Roman"/>
          <w:sz w:val="24"/>
          <w:szCs w:val="24"/>
          <w:lang w:eastAsia="pl-PL"/>
        </w:rPr>
        <w:t> </w:t>
      </w:r>
      <w:r w:rsidRPr="00833C88">
        <w:rPr>
          <w:rFonts w:eastAsia="Times New Roman" w:cs="Times New Roman"/>
          <w:sz w:val="24"/>
          <w:szCs w:val="24"/>
          <w:lang w:eastAsia="pl-PL"/>
        </w:rPr>
        <w:t xml:space="preserve">3–6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4 lipca 2019 r.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systemie instytucji rozwoju</w:t>
      </w:r>
      <w:r w:rsidR="00CE36D9" w:rsidRPr="00833C88">
        <w:rPr>
          <w:rFonts w:eastAsia="Times New Roman" w:cs="Times New Roman"/>
          <w:sz w:val="24"/>
          <w:szCs w:val="24"/>
          <w:lang w:eastAsia="pl-PL"/>
        </w:rPr>
        <w:t xml:space="preserve"> </w:t>
      </w:r>
      <w:r w:rsidR="00CE36D9" w:rsidRPr="00833C88">
        <w:rPr>
          <w:rFonts w:cs="Times New Roman"/>
          <w:sz w:val="24"/>
          <w:szCs w:val="24"/>
        </w:rPr>
        <w:t>(Dz. U. z 2024 r. poz. 923 oraz z 2025 r. poz. 352, 769 i 1216)</w:t>
      </w:r>
      <w:r w:rsidR="00721076" w:rsidRPr="00833C88">
        <w:rPr>
          <w:rFonts w:eastAsia="Times New Roman" w:cs="Times New Roman"/>
          <w:sz w:val="24"/>
          <w:szCs w:val="24"/>
          <w:lang w:eastAsia="pl-PL"/>
        </w:rPr>
        <w:t>,</w:t>
      </w:r>
    </w:p>
    <w:p w14:paraId="52F8BA33" w14:textId="57261C98" w:rsidR="00E959F8" w:rsidRPr="00833C88" w:rsidRDefault="00E959F8" w:rsidP="00CE36D9">
      <w:pPr>
        <w:pStyle w:val="Akapitzlist"/>
        <w:numPr>
          <w:ilvl w:val="0"/>
          <w:numId w:val="24"/>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Urząd Komisji Nadzoru Finansowego.</w:t>
      </w:r>
    </w:p>
    <w:p w14:paraId="779BDC39" w14:textId="6A77C100" w:rsidR="00E252F7" w:rsidRPr="00833C88" w:rsidRDefault="002D3A1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Wprowadza się </w:t>
      </w:r>
      <w:r w:rsidR="00CD6CEC" w:rsidRPr="00833C88">
        <w:rPr>
          <w:rFonts w:eastAsia="Times New Roman" w:cs="Times New Roman"/>
          <w:sz w:val="24"/>
          <w:szCs w:val="24"/>
          <w:lang w:eastAsia="pl-PL"/>
        </w:rPr>
        <w:t xml:space="preserve">możliwość udzielenia dotacji celowej przez ministra właściwego do spraw informatyzacji </w:t>
      </w:r>
      <w:r w:rsidR="00E252F7" w:rsidRPr="00833C88">
        <w:rPr>
          <w:rFonts w:eastAsia="Times New Roman" w:cs="Times New Roman"/>
          <w:sz w:val="24"/>
          <w:szCs w:val="24"/>
          <w:lang w:eastAsia="pl-PL"/>
        </w:rPr>
        <w:t xml:space="preserve">dla CSIRT NASK na zakup, utrzymanie </w:t>
      </w:r>
      <w:r w:rsidR="00601933" w:rsidRPr="00833C88">
        <w:rPr>
          <w:rFonts w:eastAsia="Times New Roman" w:cs="Times New Roman"/>
          <w:sz w:val="24"/>
          <w:szCs w:val="24"/>
          <w:lang w:eastAsia="pl-PL"/>
        </w:rPr>
        <w:t>i </w:t>
      </w:r>
      <w:r w:rsidR="00C97850" w:rsidRPr="00833C88">
        <w:rPr>
          <w:rFonts w:eastAsia="Times New Roman" w:cs="Times New Roman"/>
          <w:sz w:val="24"/>
          <w:szCs w:val="24"/>
          <w:lang w:eastAsia="pl-PL"/>
        </w:rPr>
        <w:t xml:space="preserve">rozbudowę infrastruktury teleinformatycznej niezbędnej do wykonywania zadań CSIRT NASK. Działalność CSIRT NASK jest finansowana rokrocznie </w:t>
      </w:r>
      <w:r w:rsidR="00601933" w:rsidRPr="00833C88">
        <w:rPr>
          <w:rFonts w:eastAsia="Times New Roman" w:cs="Times New Roman"/>
          <w:sz w:val="24"/>
          <w:szCs w:val="24"/>
          <w:lang w:eastAsia="pl-PL"/>
        </w:rPr>
        <w:t>w </w:t>
      </w:r>
      <w:r w:rsidR="00C97850" w:rsidRPr="00833C88">
        <w:rPr>
          <w:rFonts w:eastAsia="Times New Roman" w:cs="Times New Roman"/>
          <w:sz w:val="24"/>
          <w:szCs w:val="24"/>
          <w:lang w:eastAsia="pl-PL"/>
        </w:rPr>
        <w:t>drodze dot</w:t>
      </w:r>
      <w:r w:rsidR="00332D89" w:rsidRPr="00833C88">
        <w:rPr>
          <w:rFonts w:eastAsia="Times New Roman" w:cs="Times New Roman"/>
          <w:sz w:val="24"/>
          <w:szCs w:val="24"/>
          <w:lang w:eastAsia="pl-PL"/>
        </w:rPr>
        <w:t xml:space="preserve">acji podmiotowej </w:t>
      </w:r>
      <w:r w:rsidR="00601933" w:rsidRPr="00833C88">
        <w:rPr>
          <w:rFonts w:eastAsia="Times New Roman" w:cs="Times New Roman"/>
          <w:sz w:val="24"/>
          <w:szCs w:val="24"/>
          <w:lang w:eastAsia="pl-PL"/>
        </w:rPr>
        <w:t>z </w:t>
      </w:r>
      <w:r w:rsidR="00332D89" w:rsidRPr="00833C88">
        <w:rPr>
          <w:rFonts w:eastAsia="Times New Roman" w:cs="Times New Roman"/>
          <w:sz w:val="24"/>
          <w:szCs w:val="24"/>
          <w:lang w:eastAsia="pl-PL"/>
        </w:rPr>
        <w:t>cz. 27 budżetu państwa – informatyzacja. Dotacja podmiotowa nie umożliwia jednak dokonywanie zakupów inwestycyjnych</w:t>
      </w:r>
      <w:r w:rsidR="00403B8B" w:rsidRPr="00833C88">
        <w:rPr>
          <w:rFonts w:eastAsia="Times New Roman" w:cs="Times New Roman"/>
          <w:sz w:val="24"/>
          <w:szCs w:val="24"/>
          <w:lang w:eastAsia="pl-PL"/>
        </w:rPr>
        <w:t xml:space="preserve">. Stąd też dla zapewnienia prawidłowej realizacji zadań przez zespół CSIRT NASK wprowadza się możliwość </w:t>
      </w:r>
      <w:r w:rsidR="008D16A9" w:rsidRPr="00833C88">
        <w:rPr>
          <w:rFonts w:eastAsia="Times New Roman" w:cs="Times New Roman"/>
          <w:sz w:val="24"/>
          <w:szCs w:val="24"/>
          <w:lang w:eastAsia="pl-PL"/>
        </w:rPr>
        <w:t xml:space="preserve">udzielenia dotacji celowej na zakup inwestycyjny związany </w:t>
      </w:r>
      <w:r w:rsidR="00601933" w:rsidRPr="00833C88">
        <w:rPr>
          <w:rFonts w:eastAsia="Times New Roman" w:cs="Times New Roman"/>
          <w:sz w:val="24"/>
          <w:szCs w:val="24"/>
          <w:lang w:eastAsia="pl-PL"/>
        </w:rPr>
        <w:t>z </w:t>
      </w:r>
      <w:r w:rsidR="008D16A9" w:rsidRPr="00833C88">
        <w:rPr>
          <w:rFonts w:eastAsia="Times New Roman" w:cs="Times New Roman"/>
          <w:sz w:val="24"/>
          <w:szCs w:val="24"/>
          <w:lang w:eastAsia="pl-PL"/>
        </w:rPr>
        <w:t>infrastrukturą teleinformatyczną</w:t>
      </w:r>
      <w:r w:rsidR="00331C66" w:rsidRPr="00833C88">
        <w:rPr>
          <w:rFonts w:eastAsia="Times New Roman" w:cs="Times New Roman"/>
          <w:sz w:val="24"/>
          <w:szCs w:val="24"/>
          <w:lang w:eastAsia="pl-PL"/>
        </w:rPr>
        <w:t>.</w:t>
      </w:r>
    </w:p>
    <w:p w14:paraId="2DD54795" w14:textId="2DBA0F25" w:rsidR="00331C66" w:rsidRPr="00833C88" w:rsidRDefault="00331C6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Wprowadza się przepis umożliwiający zespołom CSIRT poziomu krajowego udział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procesie oceny wzajemnej,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której mowa </w:t>
      </w:r>
      <w:r w:rsidR="00601933" w:rsidRPr="00833C88">
        <w:rPr>
          <w:rFonts w:eastAsia="Times New Roman" w:cs="Times New Roman"/>
          <w:sz w:val="24"/>
          <w:szCs w:val="24"/>
          <w:lang w:eastAsia="pl-PL"/>
        </w:rPr>
        <w:t>w </w:t>
      </w:r>
      <w:r w:rsidR="00B83BED" w:rsidRPr="00833C88">
        <w:rPr>
          <w:rFonts w:eastAsia="Times New Roman" w:cs="Times New Roman"/>
          <w:sz w:val="24"/>
          <w:szCs w:val="24"/>
          <w:lang w:eastAsia="pl-PL"/>
        </w:rPr>
        <w:t xml:space="preserve">art. 19 dyrektywy NIS 2. Szczegóły dotyczącej tej oceny są zawarte </w:t>
      </w:r>
      <w:r w:rsidR="00601933" w:rsidRPr="00833C88">
        <w:rPr>
          <w:rFonts w:eastAsia="Times New Roman" w:cs="Times New Roman"/>
          <w:sz w:val="24"/>
          <w:szCs w:val="24"/>
          <w:lang w:eastAsia="pl-PL"/>
        </w:rPr>
        <w:t>w </w:t>
      </w:r>
      <w:r w:rsidR="00B83BED" w:rsidRPr="00833C88">
        <w:rPr>
          <w:rFonts w:eastAsia="Times New Roman" w:cs="Times New Roman"/>
          <w:sz w:val="24"/>
          <w:szCs w:val="24"/>
          <w:lang w:eastAsia="pl-PL"/>
        </w:rPr>
        <w:t>art. 40a.</w:t>
      </w:r>
    </w:p>
    <w:p w14:paraId="7B805552" w14:textId="55E3C360" w:rsidR="008F4CE2" w:rsidRPr="00833C88" w:rsidRDefault="00302AAA" w:rsidP="006514D0">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 xml:space="preserve">Wprowadza się także przepisy dotyczące realizacji zadań zespołów CSIRT NASK lub CSIRT GOV wobec podmiotów finansowych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rozumieniu rozporządzenia DORA.</w:t>
      </w:r>
    </w:p>
    <w:p w14:paraId="7913227C" w14:textId="17C8A40A" w:rsidR="00391E56" w:rsidRPr="00833C88" w:rsidRDefault="00D90067" w:rsidP="00BC7BDE">
      <w:pPr>
        <w:pStyle w:val="Nagwek3"/>
        <w:spacing w:before="0" w:after="120" w:line="360" w:lineRule="auto"/>
        <w:jc w:val="both"/>
        <w:rPr>
          <w:rFonts w:cs="Times New Roman"/>
          <w:b/>
          <w:bCs/>
          <w:u w:val="none"/>
        </w:rPr>
      </w:pPr>
      <w:r w:rsidRPr="00833C88">
        <w:rPr>
          <w:rFonts w:cs="Times New Roman"/>
          <w:b/>
          <w:bCs/>
          <w:u w:val="none"/>
        </w:rPr>
        <w:t xml:space="preserve">Ujawnianie podatności </w:t>
      </w:r>
    </w:p>
    <w:p w14:paraId="1033B242" w14:textId="48F550F9" w:rsidR="00D90067" w:rsidRPr="00833C88" w:rsidRDefault="00D90067"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CSIRT NASK będzie realizował zadania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skoordynowanego ujawniania podatności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Unii Europejskiej.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tym zakresie będzie on przyjmował zgłoszenia</w:t>
      </w:r>
      <w:r w:rsidR="006C3B8F" w:rsidRPr="00833C88">
        <w:rPr>
          <w:rFonts w:eastAsia="Times New Roman" w:cs="Times New Roman"/>
          <w:sz w:val="24"/>
          <w:szCs w:val="24"/>
          <w:lang w:eastAsia="pl-PL"/>
        </w:rPr>
        <w:t>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wystąpieniu podatności,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następnie kontaktował się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producentami lub dostawcami danych produktów i</w:t>
      </w:r>
      <w:r w:rsidR="00B62C23" w:rsidRPr="00833C88">
        <w:rPr>
          <w:rFonts w:eastAsia="Times New Roman" w:cs="Times New Roman"/>
          <w:sz w:val="24"/>
          <w:szCs w:val="24"/>
          <w:lang w:eastAsia="pl-PL"/>
        </w:rPr>
        <w:t> </w:t>
      </w:r>
      <w:r w:rsidRPr="00833C88">
        <w:rPr>
          <w:rFonts w:eastAsia="Times New Roman" w:cs="Times New Roman"/>
          <w:sz w:val="24"/>
          <w:szCs w:val="24"/>
          <w:lang w:eastAsia="pl-PL"/>
        </w:rPr>
        <w:t xml:space="preserve">usług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celu ustalenia sposobu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harmonogramu likwidacji podatności. Należy podkreślić, że CSIRT nie będzie posiadał kompetencji władczych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tym zakresie</w:t>
      </w:r>
      <w:r w:rsidR="00B62C23" w:rsidRPr="00833C88">
        <w:rPr>
          <w:rFonts w:eastAsia="Times New Roman" w:cs="Times New Roman"/>
          <w:sz w:val="24"/>
          <w:szCs w:val="24"/>
          <w:lang w:eastAsia="pl-PL"/>
        </w:rPr>
        <w: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czym eliminacja podatności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jej sposób pozostaną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gestii właściciela danego produktu lub usługi. Równocześnie przepisy ustawy pozwalają CSIRT wydać ostrzeżenie lub zwrócić się do</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Pełnomocnika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wydanie rekomendacji dotyczących niekorzystania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określonego sprzętu.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tym</w:t>
      </w:r>
      <w:r w:rsidR="00B62C23" w:rsidRPr="00833C88">
        <w:rPr>
          <w:rFonts w:eastAsia="Times New Roman" w:cs="Times New Roman"/>
          <w:sz w:val="24"/>
          <w:szCs w:val="24"/>
          <w:lang w:eastAsia="pl-PL"/>
        </w:rPr>
        <w:t>,</w:t>
      </w:r>
      <w:r w:rsidRPr="00833C88">
        <w:rPr>
          <w:rFonts w:eastAsia="Times New Roman" w:cs="Times New Roman"/>
          <w:sz w:val="24"/>
          <w:szCs w:val="24"/>
          <w:lang w:eastAsia="pl-PL"/>
        </w:rPr>
        <w:t xml:space="preserve"> posiada on narzędzia, którymi może wpływać na te podmioty. Pozwoli to zwiększyć bezpieczeństwo produktów</w:t>
      </w:r>
      <w:r w:rsidR="00B62C23" w:rsidRPr="00833C88">
        <w:rPr>
          <w:rFonts w:eastAsia="Times New Roman" w:cs="Times New Roman"/>
          <w:sz w:val="24"/>
          <w:szCs w:val="24"/>
          <w:lang w:eastAsia="pl-PL"/>
        </w:rPr>
        <w:t xml:space="preserve"> ICT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usług ICT dostępnych dla konsumentów.</w:t>
      </w:r>
    </w:p>
    <w:p w14:paraId="418C3447" w14:textId="3AFBC602" w:rsidR="008851ED" w:rsidRPr="00833C88" w:rsidRDefault="008851ED" w:rsidP="0029004E">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Podatność może zgłosić każdy – przepis wskazuje, że mogą to być osob</w:t>
      </w:r>
      <w:r w:rsidR="000E1B82" w:rsidRPr="00833C88">
        <w:rPr>
          <w:rFonts w:eastAsia="Times New Roman" w:cs="Times New Roman"/>
          <w:sz w:val="24"/>
          <w:szCs w:val="24"/>
          <w:lang w:eastAsia="pl-PL"/>
        </w:rPr>
        <w:t xml:space="preserve">y fizyczne, osoby prawne </w:t>
      </w:r>
      <w:r w:rsidR="00C33A10">
        <w:rPr>
          <w:rFonts w:eastAsia="Times New Roman" w:cs="Times New Roman"/>
          <w:sz w:val="24"/>
          <w:szCs w:val="24"/>
          <w:lang w:eastAsia="pl-PL"/>
        </w:rPr>
        <w:t>albo</w:t>
      </w:r>
      <w:r w:rsidR="000E1B82" w:rsidRPr="00833C88">
        <w:rPr>
          <w:rFonts w:eastAsia="Times New Roman" w:cs="Times New Roman"/>
          <w:sz w:val="24"/>
          <w:szCs w:val="24"/>
          <w:lang w:eastAsia="pl-PL"/>
        </w:rPr>
        <w:t xml:space="preserve"> jednostki organizacyjne nieposiadające osobowości prawnej. Zgłaszanie będzie się odbywało </w:t>
      </w:r>
      <w:r w:rsidR="00E80FDB" w:rsidRPr="00833C88">
        <w:rPr>
          <w:rFonts w:eastAsia="Times New Roman" w:cs="Times New Roman"/>
          <w:sz w:val="24"/>
          <w:szCs w:val="24"/>
          <w:lang w:eastAsia="pl-PL"/>
        </w:rPr>
        <w:t>w postaci elektronicznej za pomocą formularza</w:t>
      </w:r>
      <w:r w:rsidR="00993F9F" w:rsidRPr="00833C88">
        <w:rPr>
          <w:rFonts w:eastAsia="Times New Roman" w:cs="Times New Roman"/>
          <w:sz w:val="24"/>
          <w:szCs w:val="24"/>
          <w:lang w:eastAsia="pl-PL"/>
        </w:rPr>
        <w:t xml:space="preserve"> przygotowanego przez CSIRT NASK. Formularz ten powinien umożliwiać </w:t>
      </w:r>
      <w:r w:rsidR="003C5761" w:rsidRPr="00833C88">
        <w:rPr>
          <w:rFonts w:eastAsia="Times New Roman" w:cs="Times New Roman"/>
          <w:sz w:val="24"/>
          <w:szCs w:val="24"/>
          <w:lang w:eastAsia="pl-PL"/>
        </w:rPr>
        <w:t xml:space="preserve">zgłoszenie podatności z możliwością zachowania anonimowości przez </w:t>
      </w:r>
      <w:r w:rsidR="00A5363D" w:rsidRPr="00833C88">
        <w:rPr>
          <w:rFonts w:eastAsia="Times New Roman" w:cs="Times New Roman"/>
          <w:sz w:val="24"/>
          <w:szCs w:val="24"/>
          <w:lang w:eastAsia="pl-PL"/>
        </w:rPr>
        <w:t>zgłaszających.</w:t>
      </w:r>
      <w:r w:rsidR="001434F2" w:rsidRPr="00833C88">
        <w:rPr>
          <w:rFonts w:eastAsia="Times New Roman" w:cs="Times New Roman"/>
          <w:sz w:val="24"/>
          <w:szCs w:val="24"/>
          <w:lang w:eastAsia="pl-PL"/>
        </w:rPr>
        <w:t xml:space="preserve"> Wprowadza się również podstawę prawną dla CSIRT NASK do przetwarzania danych osobowych </w:t>
      </w:r>
      <w:r w:rsidR="0030232F" w:rsidRPr="00833C88">
        <w:rPr>
          <w:rFonts w:eastAsia="Times New Roman" w:cs="Times New Roman"/>
          <w:sz w:val="24"/>
          <w:szCs w:val="24"/>
          <w:lang w:eastAsia="pl-PL"/>
        </w:rPr>
        <w:t>zawartych w zgłoszeniach podatności.</w:t>
      </w:r>
    </w:p>
    <w:p w14:paraId="5E0A7FD5" w14:textId="0DC386D0" w:rsidR="00D90067"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D90067" w:rsidRPr="00833C88">
        <w:rPr>
          <w:rFonts w:eastAsia="Times New Roman" w:cs="Times New Roman"/>
          <w:sz w:val="24"/>
          <w:szCs w:val="24"/>
          <w:lang w:eastAsia="pl-PL"/>
        </w:rPr>
        <w:t xml:space="preserve">ramach tych zadań informacje </w:t>
      </w:r>
      <w:r w:rsidRPr="00833C88">
        <w:rPr>
          <w:rFonts w:eastAsia="Times New Roman" w:cs="Times New Roman"/>
          <w:sz w:val="24"/>
          <w:szCs w:val="24"/>
          <w:lang w:eastAsia="pl-PL"/>
        </w:rPr>
        <w:t>o </w:t>
      </w:r>
      <w:r w:rsidR="00D90067" w:rsidRPr="00833C88">
        <w:rPr>
          <w:rFonts w:eastAsia="Times New Roman" w:cs="Times New Roman"/>
          <w:sz w:val="24"/>
          <w:szCs w:val="24"/>
          <w:lang w:eastAsia="pl-PL"/>
        </w:rPr>
        <w:t xml:space="preserve">podatnościach będą przesyłane do </w:t>
      </w:r>
      <w:r w:rsidR="00B62C23" w:rsidRPr="00833C88">
        <w:rPr>
          <w:rFonts w:cs="Times New Roman"/>
          <w:sz w:val="24"/>
          <w:szCs w:val="24"/>
        </w:rPr>
        <w:t xml:space="preserve">Agencji Unii Europejskiej do spraw Bezpieczeństwa Sieci </w:t>
      </w:r>
      <w:r w:rsidRPr="00833C88">
        <w:rPr>
          <w:rFonts w:cs="Times New Roman"/>
          <w:sz w:val="24"/>
          <w:szCs w:val="24"/>
        </w:rPr>
        <w:t>i </w:t>
      </w:r>
      <w:r w:rsidR="00B62C23" w:rsidRPr="00833C88">
        <w:rPr>
          <w:rFonts w:cs="Times New Roman"/>
          <w:sz w:val="24"/>
          <w:szCs w:val="24"/>
        </w:rPr>
        <w:t>Informacji, zwanej dalej „</w:t>
      </w:r>
      <w:r w:rsidR="00D90067" w:rsidRPr="00833C88">
        <w:rPr>
          <w:rFonts w:eastAsia="Times New Roman" w:cs="Times New Roman"/>
          <w:sz w:val="24"/>
          <w:szCs w:val="24"/>
          <w:lang w:eastAsia="pl-PL"/>
        </w:rPr>
        <w:t>ENISA</w:t>
      </w:r>
      <w:r w:rsidR="00B62C23" w:rsidRPr="00833C88">
        <w:rPr>
          <w:rFonts w:eastAsia="Times New Roman" w:cs="Times New Roman"/>
          <w:sz w:val="24"/>
          <w:szCs w:val="24"/>
          <w:lang w:eastAsia="pl-PL"/>
        </w:rPr>
        <w:t>”</w:t>
      </w:r>
      <w:r w:rsidR="00D90067" w:rsidRPr="00833C88">
        <w:rPr>
          <w:rFonts w:eastAsia="Times New Roman" w:cs="Times New Roman"/>
          <w:sz w:val="24"/>
          <w:szCs w:val="24"/>
          <w:lang w:eastAsia="pl-PL"/>
        </w:rPr>
        <w:t xml:space="preserve">, tak aby chronić konsumentów </w:t>
      </w:r>
      <w:r w:rsidRPr="00833C88">
        <w:rPr>
          <w:rFonts w:eastAsia="Times New Roman" w:cs="Times New Roman"/>
          <w:sz w:val="24"/>
          <w:szCs w:val="24"/>
          <w:lang w:eastAsia="pl-PL"/>
        </w:rPr>
        <w:t>w </w:t>
      </w:r>
      <w:r w:rsidR="00D90067" w:rsidRPr="00833C88">
        <w:rPr>
          <w:rFonts w:eastAsia="Times New Roman" w:cs="Times New Roman"/>
          <w:sz w:val="24"/>
          <w:szCs w:val="24"/>
          <w:lang w:eastAsia="pl-PL"/>
        </w:rPr>
        <w:t>całej Unii Europejskiej.</w:t>
      </w:r>
    </w:p>
    <w:p w14:paraId="72C7A8B3" w14:textId="395160D6" w:rsidR="00DF1108" w:rsidRPr="00833C88" w:rsidRDefault="00F61D09" w:rsidP="00321BC0">
      <w:pPr>
        <w:pStyle w:val="Nagwek3"/>
        <w:spacing w:before="0" w:after="120" w:line="360" w:lineRule="auto"/>
        <w:ind w:left="709" w:firstLine="11"/>
        <w:jc w:val="both"/>
        <w:rPr>
          <w:rFonts w:cs="Times New Roman"/>
          <w:b/>
          <w:bCs/>
        </w:rPr>
      </w:pPr>
      <w:r w:rsidRPr="00833C88">
        <w:rPr>
          <w:rFonts w:cs="Times New Roman"/>
          <w:b/>
          <w:bCs/>
          <w:u w:val="none"/>
        </w:rPr>
        <w:t>Obowiązki Ministra Obrony Narodowej w zakresie udostępniania listy przedsiębiorców, wobec których nałożono obowiązki realizacji zadań na rzecz Sił Zbrojnych</w:t>
      </w:r>
    </w:p>
    <w:p w14:paraId="606CF7AC" w14:textId="0F01CD45" w:rsidR="00694C3B" w:rsidRPr="00833C88" w:rsidRDefault="00A9606B"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CSIRT MON jest właściwy jako CSIRT dla przedsiębiorców</w:t>
      </w:r>
      <w:r w:rsidR="00801529" w:rsidRPr="00833C88">
        <w:rPr>
          <w:rFonts w:eastAsia="Times New Roman" w:cs="Times New Roman"/>
          <w:sz w:val="24"/>
          <w:szCs w:val="24"/>
          <w:lang w:eastAsia="pl-PL"/>
        </w:rPr>
        <w:t xml:space="preserve">, wobec których wydano decyzję administracyjną na podstawie art. 648 ustawy </w:t>
      </w:r>
      <w:r w:rsidR="00601933" w:rsidRPr="00833C88">
        <w:rPr>
          <w:rFonts w:eastAsia="Times New Roman" w:cs="Times New Roman"/>
          <w:sz w:val="24"/>
          <w:szCs w:val="24"/>
          <w:lang w:eastAsia="pl-PL"/>
        </w:rPr>
        <w:t>z </w:t>
      </w:r>
      <w:r w:rsidR="00801529" w:rsidRPr="00833C88">
        <w:rPr>
          <w:rFonts w:eastAsia="Times New Roman" w:cs="Times New Roman"/>
          <w:sz w:val="24"/>
          <w:szCs w:val="24"/>
          <w:lang w:eastAsia="pl-PL"/>
        </w:rPr>
        <w:t>dnia</w:t>
      </w:r>
      <w:r w:rsidR="00C23EB4" w:rsidRPr="00833C88">
        <w:rPr>
          <w:rFonts w:eastAsia="Times New Roman" w:cs="Times New Roman"/>
          <w:sz w:val="24"/>
          <w:szCs w:val="24"/>
          <w:lang w:eastAsia="pl-PL"/>
        </w:rPr>
        <w:t xml:space="preserve"> 11 marca 2022 r. </w:t>
      </w:r>
      <w:r w:rsidR="00601933" w:rsidRPr="00833C88">
        <w:rPr>
          <w:rFonts w:eastAsia="Times New Roman" w:cs="Times New Roman"/>
          <w:sz w:val="24"/>
          <w:szCs w:val="24"/>
          <w:lang w:eastAsia="pl-PL"/>
        </w:rPr>
        <w:t>o </w:t>
      </w:r>
      <w:r w:rsidR="00AA642D" w:rsidRPr="00833C88">
        <w:rPr>
          <w:rFonts w:eastAsia="Times New Roman" w:cs="Times New Roman"/>
          <w:sz w:val="24"/>
          <w:szCs w:val="24"/>
          <w:lang w:eastAsia="pl-PL"/>
        </w:rPr>
        <w:t>o</w:t>
      </w:r>
      <w:r w:rsidR="00C23EB4" w:rsidRPr="00833C88">
        <w:rPr>
          <w:rFonts w:eastAsia="Times New Roman" w:cs="Times New Roman"/>
          <w:sz w:val="24"/>
          <w:szCs w:val="24"/>
          <w:lang w:eastAsia="pl-PL"/>
        </w:rPr>
        <w:t>bronie Ojczyzny</w:t>
      </w:r>
      <w:r w:rsidR="00AA642D" w:rsidRPr="00833C88">
        <w:rPr>
          <w:rFonts w:eastAsia="Times New Roman" w:cs="Times New Roman"/>
          <w:sz w:val="24"/>
          <w:szCs w:val="24"/>
          <w:lang w:eastAsia="pl-PL"/>
        </w:rPr>
        <w:t xml:space="preserve"> </w:t>
      </w:r>
      <w:r w:rsidR="00AA642D" w:rsidRPr="00833C88">
        <w:rPr>
          <w:rFonts w:cs="Times New Roman"/>
          <w:sz w:val="24"/>
          <w:szCs w:val="24"/>
        </w:rPr>
        <w:t>(Dz.</w:t>
      </w:r>
      <w:r w:rsidR="00721076" w:rsidRPr="00833C88">
        <w:rPr>
          <w:rFonts w:cs="Times New Roman"/>
          <w:sz w:val="24"/>
          <w:szCs w:val="24"/>
        </w:rPr>
        <w:t> </w:t>
      </w:r>
      <w:r w:rsidR="00AA642D" w:rsidRPr="00833C88">
        <w:rPr>
          <w:rFonts w:cs="Times New Roman"/>
          <w:sz w:val="24"/>
          <w:szCs w:val="24"/>
        </w:rPr>
        <w:t xml:space="preserve">U. </w:t>
      </w:r>
      <w:r w:rsidR="00601933" w:rsidRPr="00833C88">
        <w:rPr>
          <w:rFonts w:cs="Times New Roman"/>
          <w:sz w:val="24"/>
          <w:szCs w:val="24"/>
        </w:rPr>
        <w:t>z </w:t>
      </w:r>
      <w:r w:rsidR="00AA642D" w:rsidRPr="00833C88">
        <w:rPr>
          <w:rFonts w:cs="Times New Roman"/>
          <w:sz w:val="24"/>
          <w:szCs w:val="24"/>
        </w:rPr>
        <w:t>202</w:t>
      </w:r>
      <w:r w:rsidR="00D9105C" w:rsidRPr="00833C88">
        <w:rPr>
          <w:rFonts w:cs="Times New Roman"/>
          <w:sz w:val="24"/>
          <w:szCs w:val="24"/>
        </w:rPr>
        <w:t>5 r. poz. 825, 1014 i 1080</w:t>
      </w:r>
      <w:r w:rsidR="00AA642D" w:rsidRPr="00833C88">
        <w:rPr>
          <w:rFonts w:cs="Times New Roman"/>
          <w:sz w:val="24"/>
          <w:szCs w:val="24"/>
        </w:rPr>
        <w:t>)</w:t>
      </w:r>
      <w:r w:rsidR="00CA2EBD" w:rsidRPr="00833C88">
        <w:rPr>
          <w:rFonts w:eastAsia="Times New Roman" w:cs="Times New Roman"/>
          <w:sz w:val="24"/>
          <w:szCs w:val="24"/>
          <w:lang w:eastAsia="pl-PL"/>
        </w:rPr>
        <w:t xml:space="preserve">, czyli decyzje </w:t>
      </w:r>
      <w:r w:rsidR="00601933" w:rsidRPr="00833C88">
        <w:rPr>
          <w:rFonts w:eastAsia="Times New Roman" w:cs="Times New Roman"/>
          <w:sz w:val="24"/>
          <w:szCs w:val="24"/>
          <w:lang w:eastAsia="pl-PL"/>
        </w:rPr>
        <w:t>o </w:t>
      </w:r>
      <w:r w:rsidR="00CA2EBD" w:rsidRPr="00833C88">
        <w:rPr>
          <w:rFonts w:eastAsia="Times New Roman" w:cs="Times New Roman"/>
          <w:sz w:val="24"/>
          <w:szCs w:val="24"/>
          <w:lang w:eastAsia="pl-PL"/>
        </w:rPr>
        <w:t>nałożeniu obowiązku realizacji zadań na rzecz Sił Zbrojnych.</w:t>
      </w:r>
      <w:r w:rsidR="00801529" w:rsidRPr="00833C88">
        <w:rPr>
          <w:rFonts w:eastAsia="Times New Roman" w:cs="Times New Roman"/>
          <w:sz w:val="24"/>
          <w:szCs w:val="24"/>
          <w:lang w:eastAsia="pl-PL"/>
        </w:rPr>
        <w:t xml:space="preserve"> </w:t>
      </w:r>
      <w:r w:rsidR="00546065" w:rsidRPr="00833C88">
        <w:rPr>
          <w:rFonts w:eastAsia="Times New Roman" w:cs="Times New Roman"/>
          <w:sz w:val="24"/>
          <w:szCs w:val="24"/>
          <w:lang w:eastAsia="pl-PL"/>
        </w:rPr>
        <w:t>Aby więc ustalić za</w:t>
      </w:r>
      <w:r w:rsidR="00A96A60" w:rsidRPr="00833C88">
        <w:rPr>
          <w:rFonts w:eastAsia="Times New Roman" w:cs="Times New Roman"/>
          <w:sz w:val="24"/>
          <w:szCs w:val="24"/>
          <w:lang w:eastAsia="pl-PL"/>
        </w:rPr>
        <w:t>kres właściwości zespołów CSIRT – i skutecznie rozgraniczyć właściwość zespołów CSIRT – Minister Obrony Narodowej będzie miał obowiązek udostępnienia</w:t>
      </w:r>
      <w:r w:rsidR="003C32DA" w:rsidRPr="00833C88">
        <w:rPr>
          <w:rFonts w:eastAsia="Times New Roman" w:cs="Times New Roman"/>
          <w:sz w:val="24"/>
          <w:szCs w:val="24"/>
          <w:lang w:eastAsia="pl-PL"/>
        </w:rPr>
        <w:t xml:space="preserve"> zespołowi CSIRT NASK</w:t>
      </w:r>
      <w:r w:rsidR="00A96A60" w:rsidRPr="00833C88">
        <w:rPr>
          <w:rFonts w:eastAsia="Times New Roman" w:cs="Times New Roman"/>
          <w:sz w:val="24"/>
          <w:szCs w:val="24"/>
          <w:lang w:eastAsia="pl-PL"/>
        </w:rPr>
        <w:t xml:space="preserve"> listy </w:t>
      </w:r>
      <w:proofErr w:type="gramStart"/>
      <w:r w:rsidR="00DF1108" w:rsidRPr="00833C88">
        <w:rPr>
          <w:rFonts w:eastAsia="Times New Roman" w:cs="Times New Roman"/>
          <w:sz w:val="24"/>
          <w:szCs w:val="24"/>
          <w:lang w:eastAsia="pl-PL"/>
        </w:rPr>
        <w:t>przedsiębiorców</w:t>
      </w:r>
      <w:proofErr w:type="gramEnd"/>
      <w:r w:rsidR="00DF1108" w:rsidRPr="00833C88">
        <w:rPr>
          <w:rFonts w:eastAsia="Times New Roman" w:cs="Times New Roman"/>
          <w:sz w:val="24"/>
          <w:szCs w:val="24"/>
          <w:lang w:eastAsia="pl-PL"/>
        </w:rPr>
        <w:t xml:space="preserve"> wobec których nałożono obowiązki realizacji zadań na rzecz Sił Zbrojnych.</w:t>
      </w:r>
    </w:p>
    <w:p w14:paraId="2405BEBF" w14:textId="6CA14D11" w:rsidR="00FF7CB9" w:rsidRPr="00833C88" w:rsidRDefault="00FF7CB9" w:rsidP="00321BC0">
      <w:pPr>
        <w:pStyle w:val="Nagwek3"/>
        <w:spacing w:before="0" w:after="120" w:line="360" w:lineRule="auto"/>
        <w:jc w:val="both"/>
        <w:rPr>
          <w:rFonts w:cs="Times New Roman"/>
          <w:b/>
          <w:bCs/>
        </w:rPr>
      </w:pPr>
      <w:r w:rsidRPr="00833C88">
        <w:rPr>
          <w:rFonts w:cs="Times New Roman"/>
          <w:b/>
          <w:bCs/>
          <w:u w:val="none"/>
        </w:rPr>
        <w:lastRenderedPageBreak/>
        <w:t>Weryfikacja personelu w CSIRT MON, CSIRT NASK, CSIRT GOV</w:t>
      </w:r>
    </w:p>
    <w:p w14:paraId="7C975581" w14:textId="379AA2EF" w:rsidR="00C642CF" w:rsidRPr="00833C88" w:rsidRDefault="00F1478A" w:rsidP="0029004E">
      <w:pPr>
        <w:spacing w:line="360" w:lineRule="auto"/>
        <w:jc w:val="both"/>
        <w:rPr>
          <w:rFonts w:eastAsiaTheme="majorEastAsia" w:cs="Times New Roman"/>
          <w:b/>
          <w:bCs/>
          <w:sz w:val="24"/>
          <w:szCs w:val="24"/>
          <w:lang w:eastAsia="pl-PL"/>
        </w:rPr>
      </w:pPr>
      <w:r w:rsidRPr="00833C88">
        <w:rPr>
          <w:rFonts w:eastAsia="Times New Roman" w:cs="Times New Roman"/>
          <w:sz w:val="24"/>
          <w:szCs w:val="24"/>
          <w:lang w:eastAsia="pl-PL"/>
        </w:rPr>
        <w:t xml:space="preserve">Podobnie jak w przypadku podmiotów kluczowych i podmiotów ważnych również osoby </w:t>
      </w:r>
      <w:r w:rsidR="00FF7CB9" w:rsidRPr="00833C88">
        <w:rPr>
          <w:rFonts w:eastAsia="Times New Roman" w:cs="Times New Roman"/>
          <w:sz w:val="24"/>
          <w:szCs w:val="24"/>
          <w:lang w:eastAsia="pl-PL"/>
        </w:rPr>
        <w:t xml:space="preserve">skazane prawomocnym wyrokiem sądu za przestępstwa przeciwko ochronie informacji nie będą mogły realizować zadań CSIRT MON, CSIRT NASK lub CSIRT GOV. Jest to konieczne, aby zapewnić bezpieczeństwo osobowe w tych podmiotach oraz uniknąć sabotażu czy wycieku informacji. </w:t>
      </w:r>
    </w:p>
    <w:p w14:paraId="41B96888" w14:textId="66F5EB59" w:rsidR="00AE23AC" w:rsidRPr="00833C88" w:rsidRDefault="00AE23AC" w:rsidP="00BC7BDE">
      <w:pPr>
        <w:pStyle w:val="Nagwek3"/>
        <w:spacing w:before="0" w:after="120" w:line="360" w:lineRule="auto"/>
        <w:ind w:left="993" w:hanging="273"/>
        <w:jc w:val="both"/>
        <w:rPr>
          <w:rFonts w:cs="Times New Roman"/>
          <w:b/>
          <w:bCs/>
          <w:u w:val="none"/>
          <w:lang w:eastAsia="pl-PL"/>
        </w:rPr>
      </w:pPr>
      <w:r w:rsidRPr="00833C88">
        <w:rPr>
          <w:rFonts w:cs="Times New Roman"/>
          <w:b/>
          <w:bCs/>
          <w:u w:val="none"/>
          <w:lang w:eastAsia="pl-PL"/>
        </w:rPr>
        <w:t xml:space="preserve">Przepisy dotyczące współpracy </w:t>
      </w:r>
      <w:r w:rsidR="00601933" w:rsidRPr="00833C88">
        <w:rPr>
          <w:rFonts w:cs="Times New Roman"/>
          <w:b/>
          <w:bCs/>
          <w:u w:val="none"/>
          <w:lang w:eastAsia="pl-PL"/>
        </w:rPr>
        <w:t>z </w:t>
      </w:r>
      <w:r w:rsidRPr="00833C88">
        <w:rPr>
          <w:rFonts w:cs="Times New Roman"/>
          <w:b/>
          <w:bCs/>
          <w:u w:val="none"/>
          <w:lang w:eastAsia="pl-PL"/>
        </w:rPr>
        <w:t>Pojedynczym Punktem Kontaktowym</w:t>
      </w:r>
    </w:p>
    <w:p w14:paraId="28B0A823" w14:textId="3B446509" w:rsidR="00AE23AC" w:rsidRPr="00833C88" w:rsidRDefault="00BA51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tym zakresie mają na celu zastąpienie wyrazów „operator usługi kluczowej” na „podmiot kluczowy lub podmiot ważny”. Uchyla się przy tym przepis dotycz</w:t>
      </w:r>
      <w:r w:rsidR="00AA642D" w:rsidRPr="00833C88">
        <w:rPr>
          <w:rFonts w:eastAsia="Times New Roman" w:cs="Times New Roman"/>
          <w:sz w:val="24"/>
          <w:szCs w:val="24"/>
          <w:lang w:eastAsia="pl-PL"/>
        </w:rPr>
        <w:t>ą</w:t>
      </w:r>
      <w:r w:rsidRPr="00833C88">
        <w:rPr>
          <w:rFonts w:eastAsia="Times New Roman" w:cs="Times New Roman"/>
          <w:sz w:val="24"/>
          <w:szCs w:val="24"/>
          <w:lang w:eastAsia="pl-PL"/>
        </w:rPr>
        <w:t>c</w:t>
      </w:r>
      <w:r w:rsidR="00AA642D" w:rsidRPr="00833C88">
        <w:rPr>
          <w:rFonts w:eastAsia="Times New Roman" w:cs="Times New Roman"/>
          <w:sz w:val="24"/>
          <w:szCs w:val="24"/>
          <w:lang w:eastAsia="pl-PL"/>
        </w:rPr>
        <w:t>y</w:t>
      </w:r>
      <w:r w:rsidRPr="00833C88">
        <w:rPr>
          <w:rFonts w:eastAsia="Times New Roman" w:cs="Times New Roman"/>
          <w:sz w:val="24"/>
          <w:szCs w:val="24"/>
          <w:lang w:eastAsia="pl-PL"/>
        </w:rPr>
        <w:t xml:space="preserve"> informowania za pomocą Pojedynczego Punktu Kontaktowego innych państw </w:t>
      </w:r>
      <w:r w:rsidR="00222A93" w:rsidRPr="00833C88">
        <w:rPr>
          <w:rFonts w:eastAsia="Times New Roman" w:cs="Times New Roman"/>
          <w:sz w:val="24"/>
          <w:szCs w:val="24"/>
          <w:lang w:eastAsia="pl-PL"/>
        </w:rPr>
        <w:t xml:space="preserve">członkowskich </w:t>
      </w:r>
      <w:r w:rsidRPr="00833C88">
        <w:rPr>
          <w:rFonts w:eastAsia="Times New Roman" w:cs="Times New Roman"/>
          <w:sz w:val="24"/>
          <w:szCs w:val="24"/>
          <w:lang w:eastAsia="pl-PL"/>
        </w:rPr>
        <w:t xml:space="preserve">Unii Europejskiej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incydentach istotnych, ponieważ nie będzie już takiego pojęcia</w:t>
      </w:r>
      <w:r w:rsidR="00E700FD" w:rsidRPr="00833C88">
        <w:rPr>
          <w:rFonts w:eastAsia="Times New Roman" w:cs="Times New Roman"/>
          <w:sz w:val="24"/>
          <w:szCs w:val="24"/>
          <w:lang w:eastAsia="pl-PL"/>
        </w:rPr>
        <w:t xml:space="preserve"> jak „incydent istotny” – dyrektywa NIS 2 nie odróżnia takiego incydentu</w:t>
      </w:r>
      <w:r w:rsidRPr="00833C88">
        <w:rPr>
          <w:rFonts w:eastAsia="Times New Roman" w:cs="Times New Roman"/>
          <w:sz w:val="24"/>
          <w:szCs w:val="24"/>
          <w:lang w:eastAsia="pl-PL"/>
        </w:rPr>
        <w:t>.</w:t>
      </w:r>
    </w:p>
    <w:p w14:paraId="0A2E8E2C" w14:textId="0AF51EB1" w:rsidR="002954D9" w:rsidRPr="00833C88" w:rsidRDefault="002954D9" w:rsidP="00BC7BDE">
      <w:pPr>
        <w:pStyle w:val="Nagwek3"/>
        <w:spacing w:before="0" w:after="120" w:line="360" w:lineRule="auto"/>
        <w:ind w:left="993" w:hanging="273"/>
        <w:jc w:val="both"/>
        <w:rPr>
          <w:rFonts w:cs="Times New Roman"/>
          <w:b/>
          <w:bCs/>
          <w:lang w:eastAsia="pl-PL"/>
        </w:rPr>
      </w:pPr>
      <w:r w:rsidRPr="00833C88">
        <w:rPr>
          <w:rFonts w:cs="Times New Roman"/>
          <w:b/>
          <w:bCs/>
          <w:u w:val="none"/>
          <w:lang w:eastAsia="pl-PL"/>
        </w:rPr>
        <w:t>Przepisy dotyczące zgłaszania incydentów przez podmioty spoza krajowego systemu cyberbezpieczeństwa</w:t>
      </w:r>
    </w:p>
    <w:p w14:paraId="34167151" w14:textId="208339E8" w:rsidR="00997B61" w:rsidRPr="00833C88" w:rsidRDefault="002954D9" w:rsidP="00653C0C">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 art. 30 </w:t>
      </w:r>
      <w:r w:rsidR="00575E69" w:rsidRPr="00833C88">
        <w:rPr>
          <w:rFonts w:eastAsia="Times New Roman" w:cs="Times New Roman"/>
          <w:sz w:val="24"/>
          <w:szCs w:val="24"/>
          <w:lang w:eastAsia="pl-PL"/>
        </w:rPr>
        <w:t>ustawy KSC</w:t>
      </w:r>
      <w:r w:rsidRPr="00833C88">
        <w:rPr>
          <w:rFonts w:eastAsia="Times New Roman" w:cs="Times New Roman"/>
          <w:sz w:val="24"/>
          <w:szCs w:val="24"/>
          <w:lang w:eastAsia="pl-PL"/>
        </w:rPr>
        <w:t xml:space="preserve"> umożliwia każdemu podmiotowi, który nie jest podmiotem krajowego systemu cyberbezpieczeństwa na zgłoszenie incydentu do CSIRT NASK. Przepis ten wymaga dostosowania do nowej terminologii ustawy </w:t>
      </w:r>
      <w:r w:rsidR="00D24B4F" w:rsidRPr="00833C88">
        <w:rPr>
          <w:rFonts w:eastAsia="Times New Roman" w:cs="Times New Roman"/>
          <w:sz w:val="24"/>
          <w:szCs w:val="24"/>
          <w:lang w:eastAsia="pl-PL"/>
        </w:rPr>
        <w:t>–</w:t>
      </w:r>
      <w:r w:rsidRPr="00833C88">
        <w:rPr>
          <w:rFonts w:eastAsia="Times New Roman" w:cs="Times New Roman"/>
          <w:sz w:val="24"/>
          <w:szCs w:val="24"/>
          <w:lang w:eastAsia="pl-PL"/>
        </w:rPr>
        <w:t xml:space="preserve"> zmiany w tym zakresie mają na celu zastąpienie wyrazów „operator usługi kluczowej” na „podmiot kluczowy lub podmiot ważny”.</w:t>
      </w:r>
    </w:p>
    <w:p w14:paraId="492F57FD" w14:textId="79A38334" w:rsidR="009564B3" w:rsidRPr="00833C88" w:rsidRDefault="009564B3" w:rsidP="00BC7BDE">
      <w:pPr>
        <w:pStyle w:val="Nagwek3"/>
        <w:spacing w:before="0" w:after="120" w:line="360" w:lineRule="auto"/>
        <w:jc w:val="both"/>
        <w:rPr>
          <w:rFonts w:cs="Times New Roman"/>
          <w:b/>
          <w:bCs/>
          <w:u w:val="none"/>
          <w:lang w:eastAsia="pl-PL"/>
        </w:rPr>
      </w:pPr>
      <w:r w:rsidRPr="00833C88">
        <w:rPr>
          <w:rFonts w:cs="Times New Roman"/>
          <w:b/>
          <w:bCs/>
          <w:u w:val="none"/>
          <w:lang w:eastAsia="pl-PL"/>
        </w:rPr>
        <w:t>Określenie sposobu zgłoszenia incydentu</w:t>
      </w:r>
    </w:p>
    <w:p w14:paraId="0F2A2E8F" w14:textId="516BE26C" w:rsidR="00024E05" w:rsidRPr="00833C88" w:rsidRDefault="00024E0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Do tej pory zespoły </w:t>
      </w:r>
      <w:r w:rsidR="00F70A2C" w:rsidRPr="00833C88">
        <w:rPr>
          <w:rFonts w:eastAsia="Times New Roman" w:cs="Times New Roman"/>
          <w:sz w:val="24"/>
          <w:szCs w:val="24"/>
          <w:lang w:eastAsia="pl-PL"/>
        </w:rPr>
        <w:t xml:space="preserve">CSIRT MON, </w:t>
      </w:r>
      <w:r w:rsidRPr="00833C88">
        <w:rPr>
          <w:rFonts w:eastAsia="Times New Roman" w:cs="Times New Roman"/>
          <w:sz w:val="24"/>
          <w:szCs w:val="24"/>
          <w:lang w:eastAsia="pl-PL"/>
        </w:rPr>
        <w:t xml:space="preserve">CSIRT NASK, CSIRT GOV, określały sposób przekazywania zgłoszeń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incydencie poważnym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udostępniały informację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tym na swoich stronach internetowych. Co do zasady pozostawiono to rozwiązanie,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tą różnicą, że chodzi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określenie sposobu zgłoszenia incydentu poważnego</w:t>
      </w:r>
      <w:r w:rsidR="009564B3"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9564B3" w:rsidRPr="00833C88">
        <w:rPr>
          <w:rFonts w:eastAsia="Times New Roman" w:cs="Times New Roman"/>
          <w:sz w:val="24"/>
          <w:szCs w:val="24"/>
          <w:lang w:eastAsia="pl-PL"/>
        </w:rPr>
        <w:t>przypadku</w:t>
      </w:r>
      <w:r w:rsidR="00D61687" w:rsidRPr="00833C88">
        <w:rPr>
          <w:rFonts w:eastAsia="Times New Roman" w:cs="Times New Roman"/>
          <w:sz w:val="24"/>
          <w:szCs w:val="24"/>
          <w:lang w:eastAsia="pl-PL"/>
        </w:rPr>
        <w:t>,</w:t>
      </w:r>
      <w:r w:rsidR="009564B3" w:rsidRPr="00833C88">
        <w:rPr>
          <w:rFonts w:eastAsia="Times New Roman" w:cs="Times New Roman"/>
          <w:sz w:val="24"/>
          <w:szCs w:val="24"/>
          <w:lang w:eastAsia="pl-PL"/>
        </w:rPr>
        <w:t xml:space="preserve"> gdy system</w:t>
      </w:r>
      <w:r w:rsidR="00D61687" w:rsidRPr="00833C88">
        <w:rPr>
          <w:rFonts w:eastAsia="Times New Roman" w:cs="Times New Roman"/>
          <w:sz w:val="24"/>
          <w:szCs w:val="24"/>
          <w:lang w:eastAsia="pl-PL"/>
        </w:rPr>
        <w:t xml:space="preserve"> teleinformatyczny</w:t>
      </w:r>
      <w:r w:rsidR="009564B3" w:rsidRPr="00833C88">
        <w:rPr>
          <w:rFonts w:eastAsia="Times New Roman" w:cs="Times New Roman"/>
          <w:sz w:val="24"/>
          <w:szCs w:val="24"/>
          <w:lang w:eastAsia="pl-PL"/>
        </w:rPr>
        <w:t xml:space="preserve"> S46 będzie czasowo niedostępny.</w:t>
      </w:r>
    </w:p>
    <w:p w14:paraId="037BAF61" w14:textId="1DDFD610" w:rsidR="00205F64" w:rsidRPr="00833C88" w:rsidRDefault="006E2E1B" w:rsidP="00533D2A">
      <w:pPr>
        <w:pStyle w:val="Nagwek3"/>
        <w:spacing w:before="0" w:after="120" w:line="360" w:lineRule="auto"/>
        <w:ind w:left="993" w:hanging="273"/>
        <w:rPr>
          <w:rFonts w:cs="Times New Roman"/>
          <w:b/>
          <w:bCs/>
          <w:u w:val="none"/>
          <w:lang w:eastAsia="pl-PL"/>
        </w:rPr>
      </w:pPr>
      <w:r w:rsidRPr="00833C88">
        <w:rPr>
          <w:rFonts w:cs="Times New Roman"/>
          <w:b/>
          <w:bCs/>
          <w:u w:val="none"/>
          <w:lang w:eastAsia="pl-PL"/>
        </w:rPr>
        <w:t xml:space="preserve">Działania </w:t>
      </w:r>
      <w:r w:rsidR="00601933" w:rsidRPr="00833C88">
        <w:rPr>
          <w:rFonts w:cs="Times New Roman"/>
          <w:b/>
          <w:bCs/>
          <w:u w:val="none"/>
          <w:lang w:eastAsia="pl-PL"/>
        </w:rPr>
        <w:t>w </w:t>
      </w:r>
      <w:r w:rsidRPr="00833C88">
        <w:rPr>
          <w:rFonts w:cs="Times New Roman"/>
          <w:b/>
          <w:bCs/>
          <w:u w:val="none"/>
          <w:lang w:eastAsia="pl-PL"/>
        </w:rPr>
        <w:t xml:space="preserve">zakresie obsługi incydentu </w:t>
      </w:r>
    </w:p>
    <w:p w14:paraId="7CE99447" w14:textId="44FFDC7D" w:rsidR="007F1DAD" w:rsidRPr="00833C88" w:rsidRDefault="00205F64" w:rsidP="00321BC0">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w:t>
      </w:r>
      <w:r w:rsidR="001641DA" w:rsidRPr="00833C88">
        <w:rPr>
          <w:rFonts w:eastAsia="Times New Roman" w:cs="Times New Roman"/>
          <w:sz w:val="24"/>
          <w:szCs w:val="24"/>
          <w:lang w:eastAsia="pl-PL"/>
        </w:rPr>
        <w:t xml:space="preserve">projektu </w:t>
      </w:r>
      <w:r w:rsidRPr="00833C88">
        <w:rPr>
          <w:rFonts w:eastAsia="Times New Roman" w:cs="Times New Roman"/>
          <w:sz w:val="24"/>
          <w:szCs w:val="24"/>
          <w:lang w:eastAsia="pl-PL"/>
        </w:rPr>
        <w:t xml:space="preserve">ustawy doprecyzowują </w:t>
      </w:r>
      <w:r w:rsidR="007F1DAD" w:rsidRPr="00833C88">
        <w:rPr>
          <w:rFonts w:eastAsia="Times New Roman" w:cs="Times New Roman"/>
          <w:sz w:val="24"/>
          <w:szCs w:val="24"/>
          <w:lang w:eastAsia="pl-PL"/>
        </w:rPr>
        <w:t xml:space="preserve">działania zespołów CSIRT </w:t>
      </w:r>
      <w:r w:rsidR="00601933" w:rsidRPr="00833C88">
        <w:rPr>
          <w:rFonts w:eastAsia="Times New Roman" w:cs="Times New Roman"/>
          <w:sz w:val="24"/>
          <w:szCs w:val="24"/>
          <w:lang w:eastAsia="pl-PL"/>
        </w:rPr>
        <w:t>w </w:t>
      </w:r>
      <w:r w:rsidR="007F1DAD" w:rsidRPr="00833C88">
        <w:rPr>
          <w:rFonts w:eastAsia="Times New Roman" w:cs="Times New Roman"/>
          <w:sz w:val="24"/>
          <w:szCs w:val="24"/>
          <w:lang w:eastAsia="pl-PL"/>
        </w:rPr>
        <w:t>zakresie</w:t>
      </w:r>
      <w:r w:rsidR="006A0518" w:rsidRPr="00833C88">
        <w:rPr>
          <w:rFonts w:eastAsia="Times New Roman" w:cs="Times New Roman"/>
          <w:sz w:val="24"/>
          <w:szCs w:val="24"/>
          <w:lang w:eastAsia="pl-PL"/>
        </w:rPr>
        <w:t xml:space="preserve"> </w:t>
      </w:r>
      <w:r w:rsidR="00455BC9" w:rsidRPr="00833C88">
        <w:rPr>
          <w:rFonts w:eastAsia="Times New Roman" w:cs="Times New Roman"/>
          <w:sz w:val="24"/>
          <w:szCs w:val="24"/>
          <w:lang w:eastAsia="pl-PL"/>
        </w:rPr>
        <w:t xml:space="preserve">koordynacji obsługi incydentu. </w:t>
      </w:r>
      <w:r w:rsidR="00601933" w:rsidRPr="00833C88">
        <w:rPr>
          <w:rFonts w:eastAsia="Times New Roman" w:cs="Times New Roman"/>
          <w:sz w:val="24"/>
          <w:szCs w:val="24"/>
          <w:lang w:eastAsia="pl-PL"/>
        </w:rPr>
        <w:t>W </w:t>
      </w:r>
      <w:r w:rsidR="00455BC9" w:rsidRPr="00833C88">
        <w:rPr>
          <w:rFonts w:eastAsia="Times New Roman" w:cs="Times New Roman"/>
          <w:sz w:val="24"/>
          <w:szCs w:val="24"/>
          <w:lang w:eastAsia="pl-PL"/>
        </w:rPr>
        <w:t xml:space="preserve">trakcie koordynacji obsługi incydentu poważnego lub krytycznego CSIRT MON, CSIRT NASK lub CSIRT GOV mogą wystąpić do organu właściwego do spraw cyberbezpieczeństwa </w:t>
      </w:r>
      <w:r w:rsidR="00601933" w:rsidRPr="00833C88">
        <w:rPr>
          <w:rFonts w:eastAsia="Times New Roman" w:cs="Times New Roman"/>
          <w:sz w:val="24"/>
          <w:szCs w:val="24"/>
          <w:lang w:eastAsia="pl-PL"/>
        </w:rPr>
        <w:t>z </w:t>
      </w:r>
      <w:r w:rsidR="00455BC9" w:rsidRPr="00833C88">
        <w:rPr>
          <w:rFonts w:eastAsia="Times New Roman" w:cs="Times New Roman"/>
          <w:sz w:val="24"/>
          <w:szCs w:val="24"/>
          <w:lang w:eastAsia="pl-PL"/>
        </w:rPr>
        <w:t xml:space="preserve">wnioskiem, aby </w:t>
      </w:r>
      <w:r w:rsidR="00601933" w:rsidRPr="00833C88">
        <w:rPr>
          <w:rFonts w:eastAsia="Times New Roman" w:cs="Times New Roman"/>
          <w:sz w:val="24"/>
          <w:szCs w:val="24"/>
          <w:lang w:eastAsia="pl-PL"/>
        </w:rPr>
        <w:t>w </w:t>
      </w:r>
      <w:r w:rsidR="00455BC9" w:rsidRPr="00833C88">
        <w:rPr>
          <w:rFonts w:eastAsia="Times New Roman" w:cs="Times New Roman"/>
          <w:sz w:val="24"/>
          <w:szCs w:val="24"/>
          <w:lang w:eastAsia="pl-PL"/>
        </w:rPr>
        <w:t>wyznaczonym terminie usunął podatności lub o</w:t>
      </w:r>
      <w:r w:rsidR="00B62C23" w:rsidRPr="00833C88">
        <w:rPr>
          <w:rFonts w:eastAsia="Times New Roman" w:cs="Times New Roman"/>
          <w:sz w:val="24"/>
          <w:szCs w:val="24"/>
          <w:lang w:eastAsia="pl-PL"/>
        </w:rPr>
        <w:t> </w:t>
      </w:r>
      <w:r w:rsidR="00455BC9" w:rsidRPr="00833C88">
        <w:rPr>
          <w:rFonts w:eastAsia="Times New Roman" w:cs="Times New Roman"/>
          <w:sz w:val="24"/>
          <w:szCs w:val="24"/>
          <w:lang w:eastAsia="pl-PL"/>
        </w:rPr>
        <w:t>udzielenie informacji niezbędnych do koordynacji tego procesu. Daje</w:t>
      </w:r>
      <w:r w:rsidR="008A1F97" w:rsidRPr="00833C88">
        <w:rPr>
          <w:rFonts w:eastAsia="Times New Roman" w:cs="Times New Roman"/>
          <w:sz w:val="24"/>
          <w:szCs w:val="24"/>
          <w:lang w:eastAsia="pl-PL"/>
        </w:rPr>
        <w:t> </w:t>
      </w:r>
      <w:r w:rsidR="00455BC9" w:rsidRPr="00833C88">
        <w:rPr>
          <w:rFonts w:eastAsia="Times New Roman" w:cs="Times New Roman"/>
          <w:sz w:val="24"/>
          <w:szCs w:val="24"/>
          <w:lang w:eastAsia="pl-PL"/>
        </w:rPr>
        <w:t>to</w:t>
      </w:r>
      <w:r w:rsidR="00532D37" w:rsidRPr="00833C88">
        <w:rPr>
          <w:rFonts w:eastAsia="Times New Roman" w:cs="Times New Roman"/>
          <w:sz w:val="24"/>
          <w:szCs w:val="24"/>
          <w:lang w:eastAsia="pl-PL"/>
        </w:rPr>
        <w:t> </w:t>
      </w:r>
      <w:r w:rsidR="00455BC9" w:rsidRPr="00833C88">
        <w:rPr>
          <w:rFonts w:eastAsia="Times New Roman" w:cs="Times New Roman"/>
          <w:sz w:val="24"/>
          <w:szCs w:val="24"/>
          <w:lang w:eastAsia="pl-PL"/>
        </w:rPr>
        <w:t xml:space="preserve">gwarancje, </w:t>
      </w:r>
      <w:r w:rsidR="00455BC9" w:rsidRPr="00833C88">
        <w:rPr>
          <w:rFonts w:eastAsia="Times New Roman" w:cs="Times New Roman"/>
          <w:sz w:val="24"/>
          <w:szCs w:val="24"/>
          <w:lang w:eastAsia="pl-PL"/>
        </w:rPr>
        <w:lastRenderedPageBreak/>
        <w:t>że</w:t>
      </w:r>
      <w:r w:rsidR="00257D40" w:rsidRPr="00833C88">
        <w:rPr>
          <w:rFonts w:eastAsia="Times New Roman" w:cs="Times New Roman"/>
          <w:sz w:val="24"/>
          <w:szCs w:val="24"/>
          <w:lang w:eastAsia="pl-PL"/>
        </w:rPr>
        <w:t> </w:t>
      </w:r>
      <w:r w:rsidR="00CC4807" w:rsidRPr="00833C88">
        <w:rPr>
          <w:rFonts w:eastAsia="Times New Roman" w:cs="Times New Roman"/>
          <w:sz w:val="24"/>
          <w:szCs w:val="24"/>
          <w:lang w:eastAsia="pl-PL"/>
        </w:rPr>
        <w:t xml:space="preserve">zespoły CSIRT będą </w:t>
      </w:r>
      <w:r w:rsidR="00601933" w:rsidRPr="00833C88">
        <w:rPr>
          <w:rFonts w:eastAsia="Times New Roman" w:cs="Times New Roman"/>
          <w:sz w:val="24"/>
          <w:szCs w:val="24"/>
          <w:lang w:eastAsia="pl-PL"/>
        </w:rPr>
        <w:t>w </w:t>
      </w:r>
      <w:r w:rsidR="00CC4807" w:rsidRPr="00833C88">
        <w:rPr>
          <w:rFonts w:eastAsia="Times New Roman" w:cs="Times New Roman"/>
          <w:sz w:val="24"/>
          <w:szCs w:val="24"/>
          <w:lang w:eastAsia="pl-PL"/>
        </w:rPr>
        <w:t xml:space="preserve">stanie szybko </w:t>
      </w:r>
      <w:r w:rsidR="007109D7" w:rsidRPr="00833C88">
        <w:rPr>
          <w:rFonts w:eastAsia="Times New Roman" w:cs="Times New Roman"/>
          <w:sz w:val="24"/>
          <w:szCs w:val="24"/>
          <w:lang w:eastAsia="pl-PL"/>
        </w:rPr>
        <w:t xml:space="preserve">wprowadzić środki naprawcze przy obsłudze incydentu. Jest to szczególnie istotne </w:t>
      </w:r>
      <w:r w:rsidR="00601933" w:rsidRPr="00833C88">
        <w:rPr>
          <w:rFonts w:eastAsia="Times New Roman" w:cs="Times New Roman"/>
          <w:sz w:val="24"/>
          <w:szCs w:val="24"/>
          <w:lang w:eastAsia="pl-PL"/>
        </w:rPr>
        <w:t>w </w:t>
      </w:r>
      <w:r w:rsidR="007109D7" w:rsidRPr="00833C88">
        <w:rPr>
          <w:rFonts w:eastAsia="Times New Roman" w:cs="Times New Roman"/>
          <w:sz w:val="24"/>
          <w:szCs w:val="24"/>
          <w:lang w:eastAsia="pl-PL"/>
        </w:rPr>
        <w:t xml:space="preserve">przypadku incydentów, które </w:t>
      </w:r>
      <w:r w:rsidR="004402AF" w:rsidRPr="00833C88">
        <w:rPr>
          <w:rFonts w:eastAsia="Times New Roman" w:cs="Times New Roman"/>
          <w:sz w:val="24"/>
          <w:szCs w:val="24"/>
          <w:lang w:eastAsia="pl-PL"/>
        </w:rPr>
        <w:t>mają</w:t>
      </w:r>
      <w:r w:rsidR="007109D7" w:rsidRPr="00833C88">
        <w:rPr>
          <w:rFonts w:eastAsia="Times New Roman" w:cs="Times New Roman"/>
          <w:sz w:val="24"/>
          <w:szCs w:val="24"/>
          <w:lang w:eastAsia="pl-PL"/>
        </w:rPr>
        <w:t xml:space="preserve"> skutki dla wielu podmiotów, gdzie współpraca podmiotu dotkniętego incydentem jest szczególnie istotna. </w:t>
      </w:r>
      <w:r w:rsidR="009D7590" w:rsidRPr="00833C88">
        <w:rPr>
          <w:rFonts w:eastAsia="Times New Roman" w:cs="Times New Roman"/>
          <w:sz w:val="24"/>
          <w:szCs w:val="24"/>
          <w:lang w:eastAsia="pl-PL"/>
        </w:rPr>
        <w:t xml:space="preserve">Dzięki pozyskiwanym informacjom zespoły CSIRT poziomu krajowego oraz CSIRT sektorowe będą również </w:t>
      </w:r>
      <w:r w:rsidR="00601933" w:rsidRPr="00833C88">
        <w:rPr>
          <w:rFonts w:eastAsia="Times New Roman" w:cs="Times New Roman"/>
          <w:sz w:val="24"/>
          <w:szCs w:val="24"/>
          <w:lang w:eastAsia="pl-PL"/>
        </w:rPr>
        <w:t>w </w:t>
      </w:r>
      <w:r w:rsidR="003458AF" w:rsidRPr="00833C88">
        <w:rPr>
          <w:rFonts w:eastAsia="Times New Roman" w:cs="Times New Roman"/>
          <w:sz w:val="24"/>
          <w:szCs w:val="24"/>
          <w:lang w:eastAsia="pl-PL"/>
        </w:rPr>
        <w:t xml:space="preserve">stanie skutecznie informować inne podmioty </w:t>
      </w:r>
      <w:r w:rsidR="00601933" w:rsidRPr="00833C88">
        <w:rPr>
          <w:rFonts w:eastAsia="Times New Roman" w:cs="Times New Roman"/>
          <w:sz w:val="24"/>
          <w:szCs w:val="24"/>
          <w:lang w:eastAsia="pl-PL"/>
        </w:rPr>
        <w:t>o </w:t>
      </w:r>
      <w:r w:rsidR="003458AF" w:rsidRPr="00833C88">
        <w:rPr>
          <w:rFonts w:eastAsia="Times New Roman" w:cs="Times New Roman"/>
          <w:sz w:val="24"/>
          <w:szCs w:val="24"/>
          <w:lang w:eastAsia="pl-PL"/>
        </w:rPr>
        <w:t xml:space="preserve">wykrytych podatnościach, zwiększając ich bezpieczeństwo. </w:t>
      </w:r>
    </w:p>
    <w:p w14:paraId="37C677C0" w14:textId="7F059C38" w:rsidR="00216A24" w:rsidRPr="00833C88" w:rsidRDefault="00216A24" w:rsidP="00BC7BDE">
      <w:pPr>
        <w:pStyle w:val="Nagwek3"/>
        <w:spacing w:before="0" w:after="120" w:line="360" w:lineRule="auto"/>
        <w:jc w:val="both"/>
        <w:rPr>
          <w:rFonts w:cs="Times New Roman"/>
          <w:b/>
          <w:bCs/>
          <w:u w:val="none"/>
        </w:rPr>
      </w:pPr>
      <w:r w:rsidRPr="00833C88">
        <w:rPr>
          <w:rFonts w:cs="Times New Roman"/>
          <w:b/>
          <w:bCs/>
          <w:u w:val="none"/>
        </w:rPr>
        <w:t xml:space="preserve">Badanie produktów </w:t>
      </w:r>
      <w:r w:rsidR="00A70741" w:rsidRPr="00833C88">
        <w:rPr>
          <w:rFonts w:cs="Times New Roman"/>
          <w:b/>
          <w:bCs/>
          <w:u w:val="none"/>
        </w:rPr>
        <w:t>ICT</w:t>
      </w:r>
    </w:p>
    <w:p w14:paraId="6FDF750C" w14:textId="77358D09" w:rsidR="00C84E26" w:rsidRPr="00833C88" w:rsidRDefault="00C84E26" w:rsidP="00321BC0">
      <w:pPr>
        <w:pStyle w:val="ARTartustawynprozporzdzenia"/>
        <w:spacing w:before="0" w:after="120"/>
        <w:ind w:firstLine="0"/>
        <w:rPr>
          <w:rFonts w:ascii="Times New Roman" w:hAnsi="Times New Roman" w:cs="Times New Roman"/>
        </w:rPr>
      </w:pPr>
      <w:r w:rsidRPr="00833C88">
        <w:rPr>
          <w:rFonts w:ascii="Times New Roman" w:hAnsi="Times New Roman" w:cs="Times New Roman"/>
        </w:rPr>
        <w:t xml:space="preserve">Od 2018 r. </w:t>
      </w:r>
      <w:r w:rsidR="0063775E" w:rsidRPr="00833C88">
        <w:rPr>
          <w:rFonts w:ascii="Times New Roman" w:hAnsi="Times New Roman" w:cs="Times New Roman"/>
        </w:rPr>
        <w:t xml:space="preserve">zespoły CSIRT poziomu krajowego są uprawnione do prowadzenia badań </w:t>
      </w:r>
      <w:r w:rsidR="008635EE" w:rsidRPr="00833C88">
        <w:rPr>
          <w:rFonts w:ascii="Times New Roman" w:hAnsi="Times New Roman" w:cs="Times New Roman"/>
        </w:rPr>
        <w:t xml:space="preserve">urządzenia informatycznego lub oprogramowania </w:t>
      </w:r>
      <w:r w:rsidR="00601933" w:rsidRPr="00833C88">
        <w:rPr>
          <w:rFonts w:ascii="Times New Roman" w:hAnsi="Times New Roman" w:cs="Times New Roman"/>
        </w:rPr>
        <w:t>w </w:t>
      </w:r>
      <w:r w:rsidR="008635EE" w:rsidRPr="00833C88">
        <w:rPr>
          <w:rFonts w:ascii="Times New Roman" w:hAnsi="Times New Roman" w:cs="Times New Roman"/>
        </w:rPr>
        <w:t xml:space="preserve">celu identyfikacji podatności, której wykorzystanie może zagrozić </w:t>
      </w:r>
      <w:r w:rsidR="00601933" w:rsidRPr="00833C88">
        <w:rPr>
          <w:rFonts w:ascii="Times New Roman" w:hAnsi="Times New Roman" w:cs="Times New Roman"/>
        </w:rPr>
        <w:t>w </w:t>
      </w:r>
      <w:r w:rsidR="008635EE" w:rsidRPr="00833C88">
        <w:rPr>
          <w:rFonts w:ascii="Times New Roman" w:hAnsi="Times New Roman" w:cs="Times New Roman"/>
        </w:rPr>
        <w:t>szczególności integralności, poufności, rozliczalności, autentyczności lub dostępności przetwarzanych danych, które może mieć wpływ na bezpieczeństwo publiczne lub istotny interes bezpieczeństwa państwa.</w:t>
      </w:r>
    </w:p>
    <w:p w14:paraId="4F6E3F25" w14:textId="56EA6523" w:rsidR="008A457D" w:rsidRPr="00833C88" w:rsidRDefault="00601933" w:rsidP="006514D0">
      <w:pPr>
        <w:pStyle w:val="ARTartustawynprozporzdzenia"/>
        <w:spacing w:before="0" w:after="120"/>
        <w:rPr>
          <w:rFonts w:ascii="Times New Roman" w:hAnsi="Times New Roman" w:cs="Times New Roman"/>
        </w:rPr>
      </w:pPr>
      <w:r w:rsidRPr="00833C88">
        <w:rPr>
          <w:rFonts w:ascii="Times New Roman" w:hAnsi="Times New Roman" w:cs="Times New Roman"/>
        </w:rPr>
        <w:t>W </w:t>
      </w:r>
      <w:r w:rsidR="008A457D" w:rsidRPr="00833C88">
        <w:rPr>
          <w:rFonts w:ascii="Times New Roman" w:hAnsi="Times New Roman" w:cs="Times New Roman"/>
        </w:rPr>
        <w:t xml:space="preserve">chwili obecnej badanie to jest przeprowadzane </w:t>
      </w:r>
      <w:r w:rsidRPr="00833C88">
        <w:rPr>
          <w:rFonts w:ascii="Times New Roman" w:hAnsi="Times New Roman" w:cs="Times New Roman"/>
        </w:rPr>
        <w:t>z </w:t>
      </w:r>
      <w:r w:rsidR="0027530B" w:rsidRPr="00833C88">
        <w:rPr>
          <w:rFonts w:ascii="Times New Roman" w:hAnsi="Times New Roman" w:cs="Times New Roman"/>
        </w:rPr>
        <w:t xml:space="preserve">inicjatywy jednego </w:t>
      </w:r>
      <w:r w:rsidRPr="00833C88">
        <w:rPr>
          <w:rFonts w:ascii="Times New Roman" w:hAnsi="Times New Roman" w:cs="Times New Roman"/>
        </w:rPr>
        <w:t>z </w:t>
      </w:r>
      <w:r w:rsidR="0027530B" w:rsidRPr="00833C88">
        <w:rPr>
          <w:rFonts w:ascii="Times New Roman" w:hAnsi="Times New Roman" w:cs="Times New Roman"/>
        </w:rPr>
        <w:t xml:space="preserve">CSIRT prowadzącego badanie. Wprowadza się zmianę zgodnie </w:t>
      </w:r>
      <w:r w:rsidRPr="00833C88">
        <w:rPr>
          <w:rFonts w:ascii="Times New Roman" w:hAnsi="Times New Roman" w:cs="Times New Roman"/>
        </w:rPr>
        <w:t>z </w:t>
      </w:r>
      <w:r w:rsidR="0027530B" w:rsidRPr="00833C88">
        <w:rPr>
          <w:rFonts w:ascii="Times New Roman" w:hAnsi="Times New Roman" w:cs="Times New Roman"/>
        </w:rPr>
        <w:t xml:space="preserve">którą </w:t>
      </w:r>
      <w:r w:rsidR="00127137" w:rsidRPr="00833C88">
        <w:rPr>
          <w:rFonts w:ascii="Times New Roman" w:hAnsi="Times New Roman" w:cs="Times New Roman"/>
        </w:rPr>
        <w:t xml:space="preserve">badanie przeprowadza się również na wniosek </w:t>
      </w:r>
      <w:r w:rsidR="009F0EBE" w:rsidRPr="00833C88">
        <w:rPr>
          <w:rFonts w:ascii="Times New Roman" w:hAnsi="Times New Roman" w:cs="Times New Roman"/>
        </w:rPr>
        <w:t xml:space="preserve">Pełnomocnika lub przewodniczącego Kolegium – który to wniosek jest kierowany do organu prowadzącego lub nadzorującego zespół CSIRT. Ten wniosek ma zapoczątkować działania </w:t>
      </w:r>
      <w:r w:rsidR="000723F7" w:rsidRPr="00833C88">
        <w:rPr>
          <w:rFonts w:ascii="Times New Roman" w:hAnsi="Times New Roman" w:cs="Times New Roman"/>
        </w:rPr>
        <w:t xml:space="preserve">zespołów </w:t>
      </w:r>
      <w:r w:rsidRPr="00833C88">
        <w:rPr>
          <w:rFonts w:ascii="Times New Roman" w:hAnsi="Times New Roman" w:cs="Times New Roman"/>
        </w:rPr>
        <w:t>w </w:t>
      </w:r>
      <w:r w:rsidR="000723F7" w:rsidRPr="00833C88">
        <w:rPr>
          <w:rFonts w:ascii="Times New Roman" w:hAnsi="Times New Roman" w:cs="Times New Roman"/>
        </w:rPr>
        <w:t>celu przeprowadzenia badania.</w:t>
      </w:r>
    </w:p>
    <w:p w14:paraId="23399A66" w14:textId="532C7C7F" w:rsidR="000723F7" w:rsidRPr="00833C88" w:rsidRDefault="000723F7" w:rsidP="006514D0">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Dodano także inną kwestię, która jest istotna dla podmiotów kluczowych </w:t>
      </w:r>
      <w:r w:rsidR="00601933" w:rsidRPr="00833C88">
        <w:rPr>
          <w:rFonts w:ascii="Times New Roman" w:hAnsi="Times New Roman" w:cs="Times New Roman"/>
        </w:rPr>
        <w:t>i </w:t>
      </w:r>
      <w:r w:rsidRPr="00833C88">
        <w:rPr>
          <w:rFonts w:ascii="Times New Roman" w:hAnsi="Times New Roman" w:cs="Times New Roman"/>
        </w:rPr>
        <w:t xml:space="preserve">podmiotów ważnych. Mianowicie to badanie musi być przeprowadzone </w:t>
      </w:r>
      <w:r w:rsidR="00601933" w:rsidRPr="00833C88">
        <w:rPr>
          <w:rFonts w:ascii="Times New Roman" w:hAnsi="Times New Roman" w:cs="Times New Roman"/>
        </w:rPr>
        <w:t>w </w:t>
      </w:r>
      <w:r w:rsidRPr="00833C88">
        <w:rPr>
          <w:rFonts w:ascii="Times New Roman" w:hAnsi="Times New Roman" w:cs="Times New Roman"/>
        </w:rPr>
        <w:t xml:space="preserve">środowisku testowym – czyli nie może być przeprowadzane na produktach ICT </w:t>
      </w:r>
      <w:r w:rsidR="00601933" w:rsidRPr="00833C88">
        <w:rPr>
          <w:rFonts w:ascii="Times New Roman" w:hAnsi="Times New Roman" w:cs="Times New Roman"/>
        </w:rPr>
        <w:t>i </w:t>
      </w:r>
      <w:r w:rsidRPr="00833C88">
        <w:rPr>
          <w:rFonts w:ascii="Times New Roman" w:hAnsi="Times New Roman" w:cs="Times New Roman"/>
        </w:rPr>
        <w:t xml:space="preserve">usługach ICT, które funkcjonują </w:t>
      </w:r>
      <w:r w:rsidR="00601933" w:rsidRPr="00833C88">
        <w:rPr>
          <w:rFonts w:ascii="Times New Roman" w:hAnsi="Times New Roman" w:cs="Times New Roman"/>
        </w:rPr>
        <w:t>w </w:t>
      </w:r>
      <w:r w:rsidRPr="00833C88">
        <w:rPr>
          <w:rFonts w:ascii="Times New Roman" w:hAnsi="Times New Roman" w:cs="Times New Roman"/>
        </w:rPr>
        <w:t>celu świadczenia usługi</w:t>
      </w:r>
      <w:r w:rsidR="00871CF2" w:rsidRPr="00833C88">
        <w:rPr>
          <w:rFonts w:ascii="Times New Roman" w:hAnsi="Times New Roman" w:cs="Times New Roman"/>
        </w:rPr>
        <w:t xml:space="preserve"> tzw. „na produkcji”</w:t>
      </w:r>
      <w:r w:rsidRPr="00833C88">
        <w:rPr>
          <w:rFonts w:ascii="Times New Roman" w:hAnsi="Times New Roman" w:cs="Times New Roman"/>
        </w:rPr>
        <w:t>. Ponadto badanie nie może wpłynąć na ciągłość świadczenia usług przez podmioty kluczowe oraz podmioty ważne.</w:t>
      </w:r>
      <w:r w:rsidR="00871CF2" w:rsidRPr="00833C88">
        <w:rPr>
          <w:rFonts w:ascii="Times New Roman" w:hAnsi="Times New Roman" w:cs="Times New Roman"/>
        </w:rPr>
        <w:t xml:space="preserve"> Jeżeli wskutek badania dojdzie do </w:t>
      </w:r>
      <w:r w:rsidR="00F22B15" w:rsidRPr="00833C88">
        <w:rPr>
          <w:rFonts w:ascii="Times New Roman" w:hAnsi="Times New Roman" w:cs="Times New Roman"/>
        </w:rPr>
        <w:t xml:space="preserve">naruszenia ciągłości świadczenia usług oraz powstanie wtedy szkoda, to podmiot może domagać się odszkodowania </w:t>
      </w:r>
      <w:r w:rsidR="002D3778" w:rsidRPr="00833C88">
        <w:rPr>
          <w:rFonts w:ascii="Times New Roman" w:hAnsi="Times New Roman" w:cs="Times New Roman"/>
        </w:rPr>
        <w:t>na podstawie art. 417 §1</w:t>
      </w:r>
      <w:r w:rsidR="001B4E3B" w:rsidRPr="00833C88">
        <w:rPr>
          <w:rFonts w:ascii="Times New Roman" w:hAnsi="Times New Roman" w:cs="Times New Roman"/>
        </w:rPr>
        <w:t xml:space="preserve"> ustawy </w:t>
      </w:r>
      <w:r w:rsidR="00601933" w:rsidRPr="00833C88">
        <w:rPr>
          <w:rFonts w:ascii="Times New Roman" w:hAnsi="Times New Roman" w:cs="Times New Roman"/>
        </w:rPr>
        <w:t>z </w:t>
      </w:r>
      <w:r w:rsidR="001B4E3B" w:rsidRPr="00833C88">
        <w:rPr>
          <w:rFonts w:ascii="Times New Roman" w:hAnsi="Times New Roman" w:cs="Times New Roman"/>
        </w:rPr>
        <w:t>dnia 23 kwietnia 1964 r. – Kodeks cywilny</w:t>
      </w:r>
      <w:r w:rsidR="002525F3" w:rsidRPr="00833C88">
        <w:rPr>
          <w:rFonts w:ascii="Times New Roman" w:hAnsi="Times New Roman" w:cs="Times New Roman"/>
        </w:rPr>
        <w:t xml:space="preserve"> (Dz. U. </w:t>
      </w:r>
      <w:r w:rsidR="00601933" w:rsidRPr="00833C88">
        <w:rPr>
          <w:rFonts w:ascii="Times New Roman" w:hAnsi="Times New Roman" w:cs="Times New Roman"/>
        </w:rPr>
        <w:t>z </w:t>
      </w:r>
      <w:r w:rsidR="002525F3" w:rsidRPr="00833C88">
        <w:rPr>
          <w:rFonts w:ascii="Times New Roman" w:hAnsi="Times New Roman" w:cs="Times New Roman"/>
        </w:rPr>
        <w:t>202</w:t>
      </w:r>
      <w:r w:rsidR="004F3CB3" w:rsidRPr="00833C88">
        <w:rPr>
          <w:rFonts w:ascii="Times New Roman" w:hAnsi="Times New Roman" w:cs="Times New Roman"/>
        </w:rPr>
        <w:t>5 r. 1071</w:t>
      </w:r>
      <w:r w:rsidR="00D24B4F" w:rsidRPr="00833C88">
        <w:rPr>
          <w:rFonts w:ascii="Times New Roman" w:hAnsi="Times New Roman" w:cs="Times New Roman"/>
        </w:rPr>
        <w:t xml:space="preserve"> i 1172</w:t>
      </w:r>
      <w:r w:rsidR="002525F3" w:rsidRPr="00833C88">
        <w:rPr>
          <w:rFonts w:ascii="Times New Roman" w:hAnsi="Times New Roman" w:cs="Times New Roman"/>
        </w:rPr>
        <w:t>)</w:t>
      </w:r>
      <w:r w:rsidR="00531D99" w:rsidRPr="00833C88">
        <w:rPr>
          <w:rStyle w:val="Odwoanieprzypisudolnego"/>
          <w:rFonts w:ascii="Times New Roman" w:hAnsi="Times New Roman" w:cs="Times New Roman"/>
        </w:rPr>
        <w:footnoteReference w:id="44"/>
      </w:r>
      <w:r w:rsidR="00721076" w:rsidRPr="00833C88">
        <w:rPr>
          <w:rFonts w:ascii="Times New Roman" w:hAnsi="Times New Roman" w:cs="Times New Roman"/>
          <w:vertAlign w:val="superscript"/>
        </w:rPr>
        <w:t>)</w:t>
      </w:r>
      <w:r w:rsidR="00716087" w:rsidRPr="00833C88">
        <w:rPr>
          <w:rFonts w:ascii="Times New Roman" w:hAnsi="Times New Roman" w:cs="Times New Roman"/>
        </w:rPr>
        <w:t>.</w:t>
      </w:r>
    </w:p>
    <w:p w14:paraId="5DB1CEF5" w14:textId="71B7A9AA" w:rsidR="00DF035F" w:rsidRPr="00833C88" w:rsidRDefault="002E11E1" w:rsidP="00CE36D9">
      <w:pPr>
        <w:pStyle w:val="ARTartustawynprozporzdzenia"/>
        <w:spacing w:before="0"/>
        <w:rPr>
          <w:rFonts w:ascii="Times New Roman" w:hAnsi="Times New Roman" w:cs="Times New Roman"/>
        </w:rPr>
      </w:pPr>
      <w:r w:rsidRPr="00833C88">
        <w:rPr>
          <w:rFonts w:ascii="Times New Roman" w:hAnsi="Times New Roman" w:cs="Times New Roman"/>
        </w:rPr>
        <w:t xml:space="preserve">Dalej </w:t>
      </w:r>
      <w:r w:rsidR="00601933" w:rsidRPr="00833C88">
        <w:rPr>
          <w:rFonts w:ascii="Times New Roman" w:hAnsi="Times New Roman" w:cs="Times New Roman"/>
        </w:rPr>
        <w:t>w </w:t>
      </w:r>
      <w:r w:rsidRPr="00833C88">
        <w:rPr>
          <w:rFonts w:ascii="Times New Roman" w:hAnsi="Times New Roman" w:cs="Times New Roman"/>
        </w:rPr>
        <w:t>przepisie dodano również licencję ustawową do prowadzenia technik mających na celu</w:t>
      </w:r>
      <w:r w:rsidR="002525F3" w:rsidRPr="00833C88">
        <w:rPr>
          <w:rFonts w:ascii="Times New Roman" w:hAnsi="Times New Roman" w:cs="Times New Roman"/>
        </w:rPr>
        <w:t>:</w:t>
      </w:r>
      <w:r w:rsidRPr="00833C88">
        <w:rPr>
          <w:rFonts w:ascii="Times New Roman" w:hAnsi="Times New Roman" w:cs="Times New Roman"/>
        </w:rPr>
        <w:t xml:space="preserve"> </w:t>
      </w:r>
    </w:p>
    <w:p w14:paraId="1D96B84B" w14:textId="5EBF9249" w:rsidR="0081296D" w:rsidRPr="00833C88" w:rsidRDefault="0081296D"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t xml:space="preserve">obserwację </w:t>
      </w:r>
      <w:r w:rsidR="00601933" w:rsidRPr="00833C88">
        <w:rPr>
          <w:rFonts w:ascii="Times New Roman" w:hAnsi="Times New Roman" w:cs="Times New Roman"/>
        </w:rPr>
        <w:t>i </w:t>
      </w:r>
      <w:r w:rsidRPr="00833C88">
        <w:rPr>
          <w:rFonts w:ascii="Times New Roman" w:hAnsi="Times New Roman" w:cs="Times New Roman"/>
        </w:rPr>
        <w:t>analizę pracy produktu ICT lub usługi ICT</w:t>
      </w:r>
      <w:r w:rsidR="00721076" w:rsidRPr="00833C88">
        <w:rPr>
          <w:rFonts w:ascii="Times New Roman" w:hAnsi="Times New Roman" w:cs="Times New Roman"/>
        </w:rPr>
        <w:t>,</w:t>
      </w:r>
    </w:p>
    <w:p w14:paraId="3A28DE01" w14:textId="406C6B5D" w:rsidR="0081296D" w:rsidRPr="00833C88" w:rsidRDefault="0081296D"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t>uzyskanie dostępu do przetwarzanych danych</w:t>
      </w:r>
      <w:r w:rsidR="00721076" w:rsidRPr="00833C88">
        <w:rPr>
          <w:rFonts w:ascii="Times New Roman" w:hAnsi="Times New Roman" w:cs="Times New Roman"/>
        </w:rPr>
        <w:t>,</w:t>
      </w:r>
    </w:p>
    <w:p w14:paraId="7572AEAB" w14:textId="62F7523E" w:rsidR="0081296D" w:rsidRPr="00833C88" w:rsidRDefault="0081296D"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lastRenderedPageBreak/>
        <w:t>odtworzenie postaci źródłowej produktu ICT lub usługi ICT</w:t>
      </w:r>
      <w:r w:rsidR="00721076" w:rsidRPr="00833C88">
        <w:rPr>
          <w:rFonts w:ascii="Times New Roman" w:hAnsi="Times New Roman" w:cs="Times New Roman"/>
        </w:rPr>
        <w:t>,</w:t>
      </w:r>
    </w:p>
    <w:p w14:paraId="0872FD58" w14:textId="393C4929" w:rsidR="00DF035F" w:rsidRPr="00833C88" w:rsidRDefault="00DF035F"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t>zwielokrotnienie (powielenie) kodu programowego oraz tłumaczenie (translacja) jego formy</w:t>
      </w:r>
      <w:r w:rsidR="00721076" w:rsidRPr="00833C88">
        <w:rPr>
          <w:rFonts w:ascii="Times New Roman" w:hAnsi="Times New Roman" w:cs="Times New Roman"/>
        </w:rPr>
        <w:t>,</w:t>
      </w:r>
    </w:p>
    <w:p w14:paraId="3E6DCF4B" w14:textId="294BB402" w:rsidR="00DF035F" w:rsidRPr="00833C88" w:rsidRDefault="00DF035F"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t>odtworzenie algorytmu przetwarzania danych</w:t>
      </w:r>
      <w:r w:rsidR="00721076" w:rsidRPr="00833C88">
        <w:rPr>
          <w:rFonts w:ascii="Times New Roman" w:hAnsi="Times New Roman" w:cs="Times New Roman"/>
        </w:rPr>
        <w:t>,</w:t>
      </w:r>
    </w:p>
    <w:p w14:paraId="15B63E2D" w14:textId="5E75969F" w:rsidR="00DF035F" w:rsidRPr="00833C88" w:rsidRDefault="00DF035F"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t>identyfikację realizowanych funkcji</w:t>
      </w:r>
      <w:r w:rsidR="00721076" w:rsidRPr="00833C88">
        <w:rPr>
          <w:rFonts w:ascii="Times New Roman" w:hAnsi="Times New Roman" w:cs="Times New Roman"/>
        </w:rPr>
        <w:t>,</w:t>
      </w:r>
    </w:p>
    <w:p w14:paraId="0B7BF43B" w14:textId="505A6068" w:rsidR="00DF035F" w:rsidRPr="00833C88" w:rsidRDefault="00DF035F"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t>usunięcie lub przełamanie zabezpieczeń przed badaniem</w:t>
      </w:r>
      <w:r w:rsidR="00721076" w:rsidRPr="00833C88">
        <w:rPr>
          <w:rFonts w:ascii="Times New Roman" w:hAnsi="Times New Roman" w:cs="Times New Roman"/>
        </w:rPr>
        <w:t>,</w:t>
      </w:r>
    </w:p>
    <w:p w14:paraId="0B2F0AC6" w14:textId="7AA29DEB" w:rsidR="008A6DDD" w:rsidRPr="00833C88" w:rsidRDefault="00DF035F" w:rsidP="00CE36D9">
      <w:pPr>
        <w:pStyle w:val="ARTartustawynprozporzdzenia"/>
        <w:numPr>
          <w:ilvl w:val="0"/>
          <w:numId w:val="39"/>
        </w:numPr>
        <w:spacing w:before="0"/>
        <w:rPr>
          <w:rFonts w:ascii="Times New Roman" w:hAnsi="Times New Roman" w:cs="Times New Roman"/>
        </w:rPr>
      </w:pPr>
      <w:r w:rsidRPr="00833C88">
        <w:rPr>
          <w:rFonts w:ascii="Times New Roman" w:hAnsi="Times New Roman" w:cs="Times New Roman"/>
        </w:rPr>
        <w:t>identyfikację podatności lub identyfikację nieudokumentowanych funkcji realizowanych przez produkt ICT lub usługę ICT.</w:t>
      </w:r>
    </w:p>
    <w:p w14:paraId="2EA602F8" w14:textId="1C441E63" w:rsidR="00162D87" w:rsidRPr="00833C88" w:rsidRDefault="00162D87" w:rsidP="00F70A2C">
      <w:pPr>
        <w:pStyle w:val="ARTartustawynprozporzdzenia"/>
        <w:spacing w:after="120"/>
        <w:rPr>
          <w:rFonts w:ascii="Times New Roman" w:hAnsi="Times New Roman" w:cs="Times New Roman"/>
        </w:rPr>
      </w:pPr>
      <w:r w:rsidRPr="00833C88">
        <w:rPr>
          <w:rFonts w:ascii="Times New Roman" w:hAnsi="Times New Roman" w:cs="Times New Roman"/>
        </w:rPr>
        <w:t>Głównym powodem wprowadzenia tego przepisu jest fakt, że zgodnie z art. 77 ust. 1 w</w:t>
      </w:r>
      <w:r w:rsidR="00721076" w:rsidRPr="00833C88">
        <w:rPr>
          <w:rFonts w:ascii="Times New Roman" w:hAnsi="Times New Roman" w:cs="Times New Roman"/>
        </w:rPr>
        <w:t> </w:t>
      </w:r>
      <w:r w:rsidRPr="00833C88">
        <w:rPr>
          <w:rFonts w:ascii="Times New Roman" w:hAnsi="Times New Roman" w:cs="Times New Roman"/>
        </w:rPr>
        <w:t>zw. z art. 33</w:t>
      </w:r>
      <w:r w:rsidRPr="00833C88">
        <w:rPr>
          <w:rFonts w:ascii="Times New Roman" w:hAnsi="Times New Roman" w:cs="Times New Roman"/>
          <w:vertAlign w:val="superscript"/>
        </w:rPr>
        <w:t>2</w:t>
      </w:r>
      <w:r w:rsidRPr="00833C88">
        <w:rPr>
          <w:rFonts w:ascii="Times New Roman" w:hAnsi="Times New Roman" w:cs="Times New Roman"/>
        </w:rPr>
        <w:t xml:space="preserve"> </w:t>
      </w:r>
      <w:r w:rsidR="00B952C2" w:rsidRPr="00833C88">
        <w:rPr>
          <w:rFonts w:ascii="Times New Roman" w:hAnsi="Times New Roman" w:cs="Times New Roman"/>
        </w:rPr>
        <w:t>u</w:t>
      </w:r>
      <w:r w:rsidRPr="00833C88">
        <w:rPr>
          <w:rFonts w:ascii="Times New Roman" w:hAnsi="Times New Roman" w:cs="Times New Roman"/>
        </w:rPr>
        <w:t>staw</w:t>
      </w:r>
      <w:r w:rsidR="00B952C2" w:rsidRPr="00833C88">
        <w:rPr>
          <w:rFonts w:ascii="Times New Roman" w:hAnsi="Times New Roman" w:cs="Times New Roman"/>
        </w:rPr>
        <w:t>y</w:t>
      </w:r>
      <w:r w:rsidR="00D54F46" w:rsidRPr="00833C88">
        <w:rPr>
          <w:rFonts w:ascii="Times New Roman" w:hAnsi="Times New Roman" w:cs="Times New Roman"/>
        </w:rPr>
        <w:t xml:space="preserve"> z dnia 4 lutego 1994 r.</w:t>
      </w:r>
      <w:r w:rsidRPr="00833C88">
        <w:rPr>
          <w:rFonts w:ascii="Times New Roman" w:hAnsi="Times New Roman" w:cs="Times New Roman"/>
        </w:rPr>
        <w:t xml:space="preserve"> o prawie autorskim i prawach pokrewnych nie wolno korzystać z utworu będącego programem komputerowym dla celów bezpieczeństwa publicznego.</w:t>
      </w:r>
    </w:p>
    <w:p w14:paraId="26CB6DDF" w14:textId="589CFDB7" w:rsidR="004D66EE" w:rsidRPr="00833C88" w:rsidRDefault="00A70741" w:rsidP="00F70A2C">
      <w:pPr>
        <w:pStyle w:val="ARTartustawynprozporzdzenia"/>
        <w:spacing w:after="120"/>
        <w:rPr>
          <w:rFonts w:ascii="Times New Roman" w:hAnsi="Times New Roman" w:cs="Times New Roman"/>
        </w:rPr>
      </w:pPr>
      <w:r w:rsidRPr="00833C88">
        <w:rPr>
          <w:rFonts w:ascii="Times New Roman" w:hAnsi="Times New Roman" w:cs="Times New Roman"/>
        </w:rPr>
        <w:t xml:space="preserve">Doprecyzowano </w:t>
      </w:r>
      <w:r w:rsidR="007C4853" w:rsidRPr="00833C88">
        <w:rPr>
          <w:rFonts w:ascii="Times New Roman" w:hAnsi="Times New Roman" w:cs="Times New Roman"/>
        </w:rPr>
        <w:t xml:space="preserve">kwestie związane </w:t>
      </w:r>
      <w:r w:rsidR="00601933" w:rsidRPr="00833C88">
        <w:rPr>
          <w:rFonts w:ascii="Times New Roman" w:hAnsi="Times New Roman" w:cs="Times New Roman"/>
        </w:rPr>
        <w:t>z </w:t>
      </w:r>
      <w:r w:rsidR="007C4853" w:rsidRPr="00833C88">
        <w:rPr>
          <w:rFonts w:ascii="Times New Roman" w:hAnsi="Times New Roman" w:cs="Times New Roman"/>
        </w:rPr>
        <w:t>prowadzeniem badań pr</w:t>
      </w:r>
      <w:r w:rsidR="00044409" w:rsidRPr="00833C88">
        <w:rPr>
          <w:rFonts w:ascii="Times New Roman" w:hAnsi="Times New Roman" w:cs="Times New Roman"/>
        </w:rPr>
        <w:t xml:space="preserve">zez zespół CSIRT. </w:t>
      </w:r>
      <w:r w:rsidR="004D66EE" w:rsidRPr="00833C88">
        <w:rPr>
          <w:rFonts w:ascii="Times New Roman" w:hAnsi="Times New Roman" w:cs="Times New Roman"/>
        </w:rPr>
        <w:t xml:space="preserve">CSIRT MON, CSIRT NASK i CSIRT GOV w czasie prowadzenia badania, nie będą związane postanowieniami umów licencyjnych badanych urządzeń i oprogramowania, które ograniczają możliwość przeprowadzenia badania. </w:t>
      </w:r>
      <w:r w:rsidR="0049152D" w:rsidRPr="00833C88">
        <w:rPr>
          <w:rFonts w:ascii="Times New Roman" w:hAnsi="Times New Roman" w:cs="Times New Roman"/>
        </w:rPr>
        <w:t xml:space="preserve">Ponadto wyraźnie wskazano, że badanie </w:t>
      </w:r>
      <w:r w:rsidR="002E7AC0" w:rsidRPr="00833C88">
        <w:rPr>
          <w:rFonts w:ascii="Times New Roman" w:hAnsi="Times New Roman" w:cs="Times New Roman"/>
        </w:rPr>
        <w:t>nie narusza autorskich praw majątkowych i osobistych oraz nie wymaga zgody licencjodawcy lub dysponenta produktu ICT lub usługi ICT.</w:t>
      </w:r>
    </w:p>
    <w:p w14:paraId="6542D96E" w14:textId="2A8BEEBA" w:rsidR="004D66EE" w:rsidRPr="00833C88" w:rsidRDefault="004D66EE" w:rsidP="006514D0">
      <w:pPr>
        <w:pStyle w:val="ARTartustawynprozporzdzenia"/>
        <w:spacing w:before="0" w:after="120"/>
        <w:rPr>
          <w:rFonts w:ascii="Times New Roman" w:hAnsi="Times New Roman" w:cs="Times New Roman"/>
          <w:bCs/>
        </w:rPr>
      </w:pPr>
      <w:r w:rsidRPr="00833C88">
        <w:rPr>
          <w:rFonts w:ascii="Times New Roman" w:hAnsi="Times New Roman" w:cs="Times New Roman"/>
        </w:rPr>
        <w:t>Wskazane wyżej uprawnienia zespołu prowadzącego badanie są konieczne do</w:t>
      </w:r>
      <w:r w:rsidR="00257D40" w:rsidRPr="00833C88">
        <w:rPr>
          <w:rFonts w:ascii="Times New Roman" w:hAnsi="Times New Roman" w:cs="Times New Roman"/>
        </w:rPr>
        <w:t> </w:t>
      </w:r>
      <w:r w:rsidRPr="00833C88">
        <w:rPr>
          <w:rFonts w:ascii="Times New Roman" w:hAnsi="Times New Roman" w:cs="Times New Roman"/>
        </w:rPr>
        <w:t>zapewnienia ochrony bezpieczeństwa państwa. Niektóre postanowienia umów licencyjnych mogłyby uniemożliwić realizację tego zadania. Zespół CSIRT prowadzący badanie nie</w:t>
      </w:r>
      <w:r w:rsidR="00257D40" w:rsidRPr="00833C88">
        <w:rPr>
          <w:rFonts w:ascii="Times New Roman" w:hAnsi="Times New Roman" w:cs="Times New Roman"/>
        </w:rPr>
        <w:t> </w:t>
      </w:r>
      <w:r w:rsidRPr="00833C88">
        <w:rPr>
          <w:rFonts w:ascii="Times New Roman" w:hAnsi="Times New Roman" w:cs="Times New Roman"/>
        </w:rPr>
        <w:t>powinien być ograniczony licencją twórcy złośliwego oprogramowania, którego wykorzystanie zagraża bezpieczeństwu państwa</w:t>
      </w:r>
      <w:r w:rsidR="00A110B9" w:rsidRPr="00833C88">
        <w:rPr>
          <w:rFonts w:ascii="Times New Roman" w:hAnsi="Times New Roman" w:cs="Times New Roman"/>
        </w:rPr>
        <w:t>,</w:t>
      </w:r>
      <w:r w:rsidRPr="00833C88">
        <w:rPr>
          <w:rFonts w:ascii="Times New Roman" w:hAnsi="Times New Roman" w:cs="Times New Roman"/>
        </w:rPr>
        <w:t xml:space="preserve"> w tym np. bezpieczeństwu infrastruktury krytycznej. W </w:t>
      </w:r>
      <w:r w:rsidRPr="00833C88">
        <w:rPr>
          <w:rFonts w:ascii="Times New Roman" w:hAnsi="Times New Roman" w:cs="Times New Roman"/>
          <w:bCs/>
        </w:rPr>
        <w:t>zakresie badania sprzętu lub oprogramowania należy zwrócić uwagę, że</w:t>
      </w:r>
      <w:r w:rsidR="00257D40" w:rsidRPr="00833C88">
        <w:rPr>
          <w:rFonts w:ascii="Times New Roman" w:hAnsi="Times New Roman" w:cs="Times New Roman"/>
          <w:bCs/>
        </w:rPr>
        <w:t> </w:t>
      </w:r>
      <w:r w:rsidRPr="00833C88">
        <w:rPr>
          <w:rFonts w:ascii="Times New Roman" w:hAnsi="Times New Roman" w:cs="Times New Roman"/>
          <w:bCs/>
        </w:rPr>
        <w:t xml:space="preserve">standardowe umowy licencyjne nie przewidują możliwości dokonywania badania sprzętu pod kątem jego bezpieczeństwa ani też testowania konkretnych rozwiązań zastosowanych w danym produkcie. Konieczność uzyskania zgody właściciela licencji na takie działania często jest niemożliwa do uzyskania w drodze umowy zawieranej na ogólnych zasadach. Producenci nie mają bowiem interesu w umożliwianiu podmiotom zewnętrznym takich działań. Równocześnie rosnąca liczba </w:t>
      </w:r>
      <w:proofErr w:type="spellStart"/>
      <w:r w:rsidRPr="00833C88">
        <w:rPr>
          <w:rFonts w:ascii="Times New Roman" w:hAnsi="Times New Roman" w:cs="Times New Roman"/>
          <w:bCs/>
        </w:rPr>
        <w:t>cyberzagrożeń</w:t>
      </w:r>
      <w:proofErr w:type="spellEnd"/>
      <w:r w:rsidRPr="00833C88">
        <w:rPr>
          <w:rFonts w:ascii="Times New Roman" w:hAnsi="Times New Roman" w:cs="Times New Roman"/>
          <w:bCs/>
        </w:rPr>
        <w:t xml:space="preserve"> oraz zależność kluczowych usług od</w:t>
      </w:r>
      <w:r w:rsidR="00257D40" w:rsidRPr="00833C88">
        <w:rPr>
          <w:rFonts w:ascii="Times New Roman" w:hAnsi="Times New Roman" w:cs="Times New Roman"/>
          <w:bCs/>
        </w:rPr>
        <w:t> </w:t>
      </w:r>
      <w:r w:rsidRPr="00833C88">
        <w:rPr>
          <w:rFonts w:ascii="Times New Roman" w:hAnsi="Times New Roman" w:cs="Times New Roman"/>
          <w:bCs/>
        </w:rPr>
        <w:t>systemów teleinformatycznych sprawia, że konieczne jest</w:t>
      </w:r>
      <w:r w:rsidR="00346BE8" w:rsidRPr="00833C88">
        <w:rPr>
          <w:rFonts w:ascii="Times New Roman" w:hAnsi="Times New Roman" w:cs="Times New Roman"/>
          <w:bCs/>
        </w:rPr>
        <w:t>,</w:t>
      </w:r>
      <w:r w:rsidRPr="00833C88">
        <w:rPr>
          <w:rFonts w:ascii="Times New Roman" w:hAnsi="Times New Roman" w:cs="Times New Roman"/>
          <w:bCs/>
        </w:rPr>
        <w:t xml:space="preserve"> by administracja publiczna dysponowała narzędziem, które pozwoli jej przeprowadzić takie badanie. Brak tych przepisów </w:t>
      </w:r>
      <w:r w:rsidRPr="00833C88">
        <w:rPr>
          <w:rFonts w:ascii="Times New Roman" w:hAnsi="Times New Roman" w:cs="Times New Roman"/>
          <w:bCs/>
        </w:rPr>
        <w:lastRenderedPageBreak/>
        <w:t>mógłby prowadzić do powstania sytuacji</w:t>
      </w:r>
      <w:r w:rsidR="00860368" w:rsidRPr="00833C88">
        <w:rPr>
          <w:rFonts w:ascii="Times New Roman" w:hAnsi="Times New Roman" w:cs="Times New Roman"/>
          <w:bCs/>
        </w:rPr>
        <w:t>,</w:t>
      </w:r>
      <w:r w:rsidRPr="00833C88">
        <w:rPr>
          <w:rFonts w:ascii="Times New Roman" w:hAnsi="Times New Roman" w:cs="Times New Roman"/>
          <w:bCs/>
        </w:rPr>
        <w:t xml:space="preserve"> w której CSIRT poziomu krajowego musiałby uzyskać zgodę dostawcy potencjalnie niebezpiecznego sprzętu na przeprowadzenie jego badania, nawet w </w:t>
      </w:r>
      <w:proofErr w:type="gramStart"/>
      <w:r w:rsidRPr="00833C88">
        <w:rPr>
          <w:rFonts w:ascii="Times New Roman" w:hAnsi="Times New Roman" w:cs="Times New Roman"/>
          <w:bCs/>
        </w:rPr>
        <w:t>wypadku</w:t>
      </w:r>
      <w:proofErr w:type="gramEnd"/>
      <w:r w:rsidRPr="00833C88">
        <w:rPr>
          <w:rFonts w:ascii="Times New Roman" w:hAnsi="Times New Roman" w:cs="Times New Roman"/>
          <w:bCs/>
        </w:rPr>
        <w:t xml:space="preserve"> gdyby powstało uzasadnione podejrzenie, że dany produkt może być wykorzystany do wywołania incydentu. W związku z powyższym</w:t>
      </w:r>
      <w:r w:rsidR="00E96CA7" w:rsidRPr="00833C88">
        <w:rPr>
          <w:rFonts w:ascii="Times New Roman" w:hAnsi="Times New Roman" w:cs="Times New Roman"/>
          <w:bCs/>
        </w:rPr>
        <w:t>,</w:t>
      </w:r>
      <w:r w:rsidRPr="00833C88">
        <w:rPr>
          <w:rFonts w:ascii="Times New Roman" w:hAnsi="Times New Roman" w:cs="Times New Roman"/>
          <w:bCs/>
        </w:rPr>
        <w:t xml:space="preserve"> przepis</w:t>
      </w:r>
      <w:r w:rsidR="00E96CA7" w:rsidRPr="00833C88">
        <w:rPr>
          <w:rFonts w:ascii="Times New Roman" w:hAnsi="Times New Roman" w:cs="Times New Roman"/>
          <w:bCs/>
        </w:rPr>
        <w:t>y</w:t>
      </w:r>
      <w:r w:rsidRPr="00833C88">
        <w:rPr>
          <w:rFonts w:ascii="Times New Roman" w:hAnsi="Times New Roman" w:cs="Times New Roman"/>
          <w:bCs/>
        </w:rPr>
        <w:t xml:space="preserve"> te</w:t>
      </w:r>
      <w:r w:rsidR="009B4C26" w:rsidRPr="00833C88">
        <w:rPr>
          <w:rFonts w:ascii="Times New Roman" w:hAnsi="Times New Roman" w:cs="Times New Roman"/>
          <w:bCs/>
        </w:rPr>
        <w:t> </w:t>
      </w:r>
      <w:r w:rsidR="00E96CA7" w:rsidRPr="00833C88">
        <w:rPr>
          <w:rFonts w:ascii="Times New Roman" w:hAnsi="Times New Roman" w:cs="Times New Roman"/>
          <w:bCs/>
        </w:rPr>
        <w:t>są</w:t>
      </w:r>
      <w:r w:rsidR="009B4C26" w:rsidRPr="00833C88">
        <w:rPr>
          <w:rFonts w:ascii="Times New Roman" w:hAnsi="Times New Roman" w:cs="Times New Roman"/>
          <w:bCs/>
        </w:rPr>
        <w:t> </w:t>
      </w:r>
      <w:r w:rsidRPr="00833C88">
        <w:rPr>
          <w:rFonts w:ascii="Times New Roman" w:hAnsi="Times New Roman" w:cs="Times New Roman"/>
          <w:bCs/>
        </w:rPr>
        <w:t>niezbędn</w:t>
      </w:r>
      <w:r w:rsidR="00E96CA7" w:rsidRPr="00833C88">
        <w:rPr>
          <w:rFonts w:ascii="Times New Roman" w:hAnsi="Times New Roman" w:cs="Times New Roman"/>
          <w:bCs/>
        </w:rPr>
        <w:t>e</w:t>
      </w:r>
      <w:r w:rsidRPr="00833C88">
        <w:rPr>
          <w:rFonts w:ascii="Times New Roman" w:hAnsi="Times New Roman" w:cs="Times New Roman"/>
          <w:bCs/>
        </w:rPr>
        <w:t xml:space="preserve"> dla zapewnienia bezpieczeństwa podmiotom krajowego systemu cyberbezpieczeństwa.</w:t>
      </w:r>
    </w:p>
    <w:p w14:paraId="17AD87D6" w14:textId="78CFD0CD" w:rsidR="009D2D1A" w:rsidRPr="00833C88" w:rsidRDefault="009D2D1A" w:rsidP="006514D0">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Celem regulacji jest umożliwienie zespołom CSIRT poziomu krajowego skuteczne badanie produktów ICT </w:t>
      </w:r>
      <w:r w:rsidR="00601933" w:rsidRPr="00833C88">
        <w:rPr>
          <w:rFonts w:ascii="Times New Roman" w:hAnsi="Times New Roman" w:cs="Times New Roman"/>
        </w:rPr>
        <w:t>i </w:t>
      </w:r>
      <w:r w:rsidRPr="00833C88">
        <w:rPr>
          <w:rFonts w:ascii="Times New Roman" w:hAnsi="Times New Roman" w:cs="Times New Roman"/>
        </w:rPr>
        <w:t>usług ICT pod kątem zagrożeń dla bezpieczeństwa narodowego.</w:t>
      </w:r>
    </w:p>
    <w:p w14:paraId="441921D4" w14:textId="76885672" w:rsidR="00200BF5" w:rsidRPr="00833C88" w:rsidRDefault="009D2D1A" w:rsidP="006514D0">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Zaproponowana regulacja jest </w:t>
      </w:r>
      <w:r w:rsidR="00601933" w:rsidRPr="00833C88">
        <w:rPr>
          <w:rFonts w:ascii="Times New Roman" w:hAnsi="Times New Roman" w:cs="Times New Roman"/>
        </w:rPr>
        <w:t>w </w:t>
      </w:r>
      <w:r w:rsidRPr="00833C88">
        <w:rPr>
          <w:rFonts w:ascii="Times New Roman" w:hAnsi="Times New Roman" w:cs="Times New Roman"/>
        </w:rPr>
        <w:t xml:space="preserve">stanie doprowadzić do realizacji tego celu </w:t>
      </w:r>
      <w:r w:rsidR="00C36157" w:rsidRPr="00833C88">
        <w:rPr>
          <w:rFonts w:ascii="Times New Roman" w:hAnsi="Times New Roman" w:cs="Times New Roman"/>
        </w:rPr>
        <w:t>–</w:t>
      </w:r>
      <w:r w:rsidRPr="00833C88">
        <w:rPr>
          <w:rFonts w:ascii="Times New Roman" w:hAnsi="Times New Roman" w:cs="Times New Roman"/>
        </w:rPr>
        <w:t xml:space="preserve"> wprowadza bowiem licencję ustawową na badanie tych produktów </w:t>
      </w:r>
      <w:r w:rsidR="00601933" w:rsidRPr="00833C88">
        <w:rPr>
          <w:rFonts w:ascii="Times New Roman" w:hAnsi="Times New Roman" w:cs="Times New Roman"/>
        </w:rPr>
        <w:t>i </w:t>
      </w:r>
      <w:r w:rsidRPr="00833C88">
        <w:rPr>
          <w:rFonts w:ascii="Times New Roman" w:hAnsi="Times New Roman" w:cs="Times New Roman"/>
        </w:rPr>
        <w:t xml:space="preserve">usług. Ta licencja ustawowa jest niezbędna do ochrony bezpieczeństwa państwa </w:t>
      </w:r>
      <w:r w:rsidR="00C36157" w:rsidRPr="00833C88">
        <w:rPr>
          <w:rFonts w:ascii="Times New Roman" w:hAnsi="Times New Roman" w:cs="Times New Roman"/>
        </w:rPr>
        <w:t>–</w:t>
      </w:r>
      <w:r w:rsidRPr="00833C88">
        <w:rPr>
          <w:rFonts w:ascii="Times New Roman" w:hAnsi="Times New Roman" w:cs="Times New Roman"/>
        </w:rPr>
        <w:t xml:space="preserve"> wykorzystywanie produktów ICT </w:t>
      </w:r>
      <w:r w:rsidR="00601933" w:rsidRPr="00833C88">
        <w:rPr>
          <w:rFonts w:ascii="Times New Roman" w:hAnsi="Times New Roman" w:cs="Times New Roman"/>
        </w:rPr>
        <w:t>i </w:t>
      </w:r>
      <w:r w:rsidRPr="00833C88">
        <w:rPr>
          <w:rFonts w:ascii="Times New Roman" w:hAnsi="Times New Roman" w:cs="Times New Roman"/>
        </w:rPr>
        <w:t>usług ICT zawierających podatności umożliwiając</w:t>
      </w:r>
      <w:r w:rsidR="00E96CA7" w:rsidRPr="00833C88">
        <w:rPr>
          <w:rFonts w:ascii="Times New Roman" w:hAnsi="Times New Roman" w:cs="Times New Roman"/>
        </w:rPr>
        <w:t>e</w:t>
      </w:r>
      <w:r w:rsidRPr="00833C88">
        <w:rPr>
          <w:rFonts w:ascii="Times New Roman" w:hAnsi="Times New Roman" w:cs="Times New Roman"/>
        </w:rPr>
        <w:t xml:space="preserve"> np. zaprzestanie działania systemów automatyki przemysłowej elektrowni, uniemożliwienie dostaw paliw czy znaczne zwiększenie chloru </w:t>
      </w:r>
      <w:r w:rsidR="00601933" w:rsidRPr="00833C88">
        <w:rPr>
          <w:rFonts w:ascii="Times New Roman" w:hAnsi="Times New Roman" w:cs="Times New Roman"/>
        </w:rPr>
        <w:t>w </w:t>
      </w:r>
      <w:r w:rsidRPr="00833C88">
        <w:rPr>
          <w:rFonts w:ascii="Times New Roman" w:hAnsi="Times New Roman" w:cs="Times New Roman"/>
        </w:rPr>
        <w:t xml:space="preserve">zakładzie wodociągowych grozi zagrożeniem dla funkcjonowania państwa </w:t>
      </w:r>
      <w:r w:rsidR="00601933" w:rsidRPr="00833C88">
        <w:rPr>
          <w:rFonts w:ascii="Times New Roman" w:hAnsi="Times New Roman" w:cs="Times New Roman"/>
        </w:rPr>
        <w:t>i </w:t>
      </w:r>
      <w:r w:rsidRPr="00833C88">
        <w:rPr>
          <w:rFonts w:ascii="Times New Roman" w:hAnsi="Times New Roman" w:cs="Times New Roman"/>
        </w:rPr>
        <w:t xml:space="preserve">jego obywateli. Proponowane rozwiązania są proporcjonalne </w:t>
      </w:r>
      <w:r w:rsidR="00C36157" w:rsidRPr="00833C88">
        <w:rPr>
          <w:rFonts w:ascii="Times New Roman" w:hAnsi="Times New Roman" w:cs="Times New Roman"/>
        </w:rPr>
        <w:t xml:space="preserve">– </w:t>
      </w:r>
      <w:r w:rsidRPr="00833C88">
        <w:rPr>
          <w:rFonts w:ascii="Times New Roman" w:hAnsi="Times New Roman" w:cs="Times New Roman"/>
        </w:rPr>
        <w:t xml:space="preserve">korzyści dla państwa </w:t>
      </w:r>
      <w:r w:rsidR="00601933" w:rsidRPr="00833C88">
        <w:rPr>
          <w:rFonts w:ascii="Times New Roman" w:hAnsi="Times New Roman" w:cs="Times New Roman"/>
        </w:rPr>
        <w:t>i </w:t>
      </w:r>
      <w:r w:rsidRPr="00833C88">
        <w:rPr>
          <w:rFonts w:ascii="Times New Roman" w:hAnsi="Times New Roman" w:cs="Times New Roman"/>
        </w:rPr>
        <w:t xml:space="preserve">obywateli </w:t>
      </w:r>
      <w:r w:rsidR="00601933" w:rsidRPr="00833C88">
        <w:rPr>
          <w:rFonts w:ascii="Times New Roman" w:hAnsi="Times New Roman" w:cs="Times New Roman"/>
        </w:rPr>
        <w:t>z </w:t>
      </w:r>
      <w:r w:rsidRPr="00833C88">
        <w:rPr>
          <w:rFonts w:ascii="Times New Roman" w:hAnsi="Times New Roman" w:cs="Times New Roman"/>
        </w:rPr>
        <w:t xml:space="preserve">identyfikacji niebezpiecznych produktów </w:t>
      </w:r>
      <w:r w:rsidR="00601933" w:rsidRPr="00833C88">
        <w:rPr>
          <w:rFonts w:ascii="Times New Roman" w:hAnsi="Times New Roman" w:cs="Times New Roman"/>
        </w:rPr>
        <w:t>i </w:t>
      </w:r>
      <w:r w:rsidRPr="00833C88">
        <w:rPr>
          <w:rFonts w:ascii="Times New Roman" w:hAnsi="Times New Roman" w:cs="Times New Roman"/>
        </w:rPr>
        <w:t xml:space="preserve">usług przewyższają obciążenia dla producentów oprogramowania. </w:t>
      </w:r>
      <w:r w:rsidR="00C36157" w:rsidRPr="00833C88">
        <w:rPr>
          <w:rFonts w:ascii="Times New Roman" w:hAnsi="Times New Roman" w:cs="Times New Roman"/>
        </w:rPr>
        <w:t>L</w:t>
      </w:r>
      <w:r w:rsidRPr="00833C88">
        <w:rPr>
          <w:rFonts w:ascii="Times New Roman" w:hAnsi="Times New Roman" w:cs="Times New Roman"/>
        </w:rPr>
        <w:t xml:space="preserve">icencja jest powiązana tylko </w:t>
      </w:r>
      <w:r w:rsidR="00601933" w:rsidRPr="00833C88">
        <w:rPr>
          <w:rFonts w:ascii="Times New Roman" w:hAnsi="Times New Roman" w:cs="Times New Roman"/>
        </w:rPr>
        <w:t>z </w:t>
      </w:r>
      <w:r w:rsidRPr="00833C88">
        <w:rPr>
          <w:rFonts w:ascii="Times New Roman" w:hAnsi="Times New Roman" w:cs="Times New Roman"/>
        </w:rPr>
        <w:t>badaniem</w:t>
      </w:r>
      <w:r w:rsidR="00E96CA7" w:rsidRPr="00833C88">
        <w:rPr>
          <w:rFonts w:ascii="Times New Roman" w:hAnsi="Times New Roman" w:cs="Times New Roman"/>
        </w:rPr>
        <w:t xml:space="preserve">, </w:t>
      </w:r>
      <w:r w:rsidR="00601933" w:rsidRPr="00833C88">
        <w:rPr>
          <w:rFonts w:ascii="Times New Roman" w:hAnsi="Times New Roman" w:cs="Times New Roman"/>
        </w:rPr>
        <w:t>o </w:t>
      </w:r>
      <w:r w:rsidR="00E96CA7" w:rsidRPr="00833C88">
        <w:rPr>
          <w:rFonts w:ascii="Times New Roman" w:hAnsi="Times New Roman" w:cs="Times New Roman"/>
        </w:rPr>
        <w:t>którym mowa w</w:t>
      </w:r>
      <w:r w:rsidR="009B4C26" w:rsidRPr="00833C88">
        <w:rPr>
          <w:rFonts w:ascii="Times New Roman" w:hAnsi="Times New Roman" w:cs="Times New Roman"/>
        </w:rPr>
        <w:t> </w:t>
      </w:r>
      <w:r w:rsidR="00E96CA7" w:rsidRPr="00833C88">
        <w:rPr>
          <w:rFonts w:ascii="Times New Roman" w:hAnsi="Times New Roman" w:cs="Times New Roman"/>
        </w:rPr>
        <w:t>projektowanym</w:t>
      </w:r>
      <w:r w:rsidRPr="00833C88">
        <w:rPr>
          <w:rFonts w:ascii="Times New Roman" w:hAnsi="Times New Roman" w:cs="Times New Roman"/>
        </w:rPr>
        <w:t xml:space="preserve"> art. 33 </w:t>
      </w:r>
      <w:r w:rsidR="00E96CA7" w:rsidRPr="00833C88">
        <w:rPr>
          <w:rFonts w:ascii="Times New Roman" w:hAnsi="Times New Roman" w:cs="Times New Roman"/>
        </w:rPr>
        <w:t xml:space="preserve">ustawy </w:t>
      </w:r>
      <w:r w:rsidR="00601933" w:rsidRPr="00833C88">
        <w:rPr>
          <w:rFonts w:ascii="Times New Roman" w:hAnsi="Times New Roman" w:cs="Times New Roman"/>
        </w:rPr>
        <w:t>o </w:t>
      </w:r>
      <w:r w:rsidR="00E96CA7" w:rsidRPr="00833C88">
        <w:rPr>
          <w:rFonts w:ascii="Times New Roman" w:hAnsi="Times New Roman" w:cs="Times New Roman"/>
        </w:rPr>
        <w:t>KSC</w:t>
      </w:r>
      <w:r w:rsidRPr="00833C88">
        <w:rPr>
          <w:rFonts w:ascii="Times New Roman" w:hAnsi="Times New Roman" w:cs="Times New Roman"/>
        </w:rPr>
        <w:t>. Licencja nie może służyć np. uzyskaniu oprogramowania do bieżącej działalności zespołów CSIRT. Stąd też należy uznać, że przepisy te spełniają wymóg testu proporcjonalności.</w:t>
      </w:r>
    </w:p>
    <w:p w14:paraId="39756FD2" w14:textId="0FD9028F" w:rsidR="00EC5C3F" w:rsidRPr="00833C88" w:rsidRDefault="00601933" w:rsidP="006514D0">
      <w:pPr>
        <w:pStyle w:val="ARTartustawynprozporzdzenia"/>
        <w:spacing w:before="0" w:after="120"/>
        <w:rPr>
          <w:rFonts w:ascii="Times New Roman" w:hAnsi="Times New Roman" w:cs="Times New Roman"/>
        </w:rPr>
      </w:pPr>
      <w:r w:rsidRPr="00833C88">
        <w:rPr>
          <w:rFonts w:ascii="Times New Roman" w:hAnsi="Times New Roman" w:cs="Times New Roman"/>
        </w:rPr>
        <w:t>W </w:t>
      </w:r>
      <w:r w:rsidR="00EC5C3F" w:rsidRPr="00833C88">
        <w:rPr>
          <w:rFonts w:ascii="Times New Roman" w:hAnsi="Times New Roman" w:cs="Times New Roman"/>
        </w:rPr>
        <w:t>obecnym art. 33 u</w:t>
      </w:r>
      <w:r w:rsidR="009E73C7" w:rsidRPr="00833C88">
        <w:rPr>
          <w:rFonts w:ascii="Times New Roman" w:hAnsi="Times New Roman" w:cs="Times New Roman"/>
        </w:rPr>
        <w:t xml:space="preserve">stawy </w:t>
      </w:r>
      <w:r w:rsidRPr="00833C88">
        <w:rPr>
          <w:rFonts w:ascii="Times New Roman" w:hAnsi="Times New Roman" w:cs="Times New Roman"/>
        </w:rPr>
        <w:t>o </w:t>
      </w:r>
      <w:r w:rsidR="00EC5C3F" w:rsidRPr="00833C88">
        <w:rPr>
          <w:rFonts w:ascii="Times New Roman" w:hAnsi="Times New Roman" w:cs="Times New Roman"/>
        </w:rPr>
        <w:t xml:space="preserve">KSC nie zostało wskazane </w:t>
      </w:r>
      <w:r w:rsidRPr="00833C88">
        <w:rPr>
          <w:rFonts w:ascii="Times New Roman" w:hAnsi="Times New Roman" w:cs="Times New Roman"/>
        </w:rPr>
        <w:t>w </w:t>
      </w:r>
      <w:r w:rsidR="00EC5C3F" w:rsidRPr="00833C88">
        <w:rPr>
          <w:rFonts w:ascii="Times New Roman" w:hAnsi="Times New Roman" w:cs="Times New Roman"/>
        </w:rPr>
        <w:t xml:space="preserve">jaki sposób powinny być publikowane rekomendacje Pełnomocnika dotyczące stosowania urządzeń informatycznych lub oprogramowania. Dlatego proponuje się, aby były one publikowane </w:t>
      </w:r>
      <w:r w:rsidRPr="00833C88">
        <w:rPr>
          <w:rFonts w:ascii="Times New Roman" w:hAnsi="Times New Roman" w:cs="Times New Roman"/>
        </w:rPr>
        <w:t>w </w:t>
      </w:r>
      <w:r w:rsidR="00EC5C3F" w:rsidRPr="00833C88">
        <w:rPr>
          <w:rFonts w:ascii="Times New Roman" w:hAnsi="Times New Roman" w:cs="Times New Roman"/>
        </w:rPr>
        <w:t>Biuletynie Informacji Publicznej</w:t>
      </w:r>
      <w:r w:rsidR="00F34453" w:rsidRPr="00833C88">
        <w:rPr>
          <w:rFonts w:ascii="Times New Roman" w:hAnsi="Times New Roman" w:cs="Times New Roman"/>
        </w:rPr>
        <w:t>, zwanym dalej „</w:t>
      </w:r>
      <w:r w:rsidR="00EC5C3F" w:rsidRPr="00833C88">
        <w:rPr>
          <w:rFonts w:ascii="Times New Roman" w:hAnsi="Times New Roman" w:cs="Times New Roman"/>
        </w:rPr>
        <w:t>BIP</w:t>
      </w:r>
      <w:r w:rsidR="00F34453" w:rsidRPr="00833C88">
        <w:rPr>
          <w:rFonts w:ascii="Times New Roman" w:hAnsi="Times New Roman" w:cs="Times New Roman"/>
        </w:rPr>
        <w:t>”,</w:t>
      </w:r>
      <w:r w:rsidR="00EC5C3F" w:rsidRPr="00833C88">
        <w:rPr>
          <w:rFonts w:ascii="Times New Roman" w:hAnsi="Times New Roman" w:cs="Times New Roman"/>
        </w:rPr>
        <w:t xml:space="preserve"> na stronie podmiotowej Pełnomocnika (nowy ust.</w:t>
      </w:r>
      <w:r w:rsidR="00ED2326" w:rsidRPr="00833C88">
        <w:rPr>
          <w:rFonts w:ascii="Times New Roman" w:hAnsi="Times New Roman" w:cs="Times New Roman"/>
        </w:rPr>
        <w:t> </w:t>
      </w:r>
      <w:r w:rsidR="00EC5C3F" w:rsidRPr="00833C88">
        <w:rPr>
          <w:rFonts w:ascii="Times New Roman" w:hAnsi="Times New Roman" w:cs="Times New Roman"/>
        </w:rPr>
        <w:t xml:space="preserve">4c). </w:t>
      </w:r>
      <w:r w:rsidRPr="00833C88">
        <w:rPr>
          <w:rFonts w:ascii="Times New Roman" w:hAnsi="Times New Roman" w:cs="Times New Roman"/>
        </w:rPr>
        <w:t>W </w:t>
      </w:r>
      <w:r w:rsidR="00EC5C3F" w:rsidRPr="00833C88">
        <w:rPr>
          <w:rFonts w:ascii="Times New Roman" w:hAnsi="Times New Roman" w:cs="Times New Roman"/>
        </w:rPr>
        <w:t xml:space="preserve">ślad za tą zmianą proponuje się zmianę </w:t>
      </w:r>
      <w:r w:rsidRPr="00833C88">
        <w:rPr>
          <w:rFonts w:ascii="Times New Roman" w:hAnsi="Times New Roman" w:cs="Times New Roman"/>
        </w:rPr>
        <w:t>w </w:t>
      </w:r>
      <w:r w:rsidR="00EC5C3F" w:rsidRPr="00833C88">
        <w:rPr>
          <w:rFonts w:ascii="Times New Roman" w:hAnsi="Times New Roman" w:cs="Times New Roman"/>
        </w:rPr>
        <w:t xml:space="preserve">ust. 5 – termin </w:t>
      </w:r>
      <w:r w:rsidR="00465A60" w:rsidRPr="00833C88">
        <w:rPr>
          <w:rFonts w:ascii="Times New Roman" w:hAnsi="Times New Roman" w:cs="Times New Roman"/>
        </w:rPr>
        <w:t>14</w:t>
      </w:r>
      <w:r w:rsidR="00EC5C3F" w:rsidRPr="00833C88">
        <w:rPr>
          <w:rFonts w:ascii="Times New Roman" w:hAnsi="Times New Roman" w:cs="Times New Roman"/>
        </w:rPr>
        <w:t xml:space="preserve"> dni na złożenie przez podmiot krajowego systemu cyberbezpieczeństwa zastrzeżenia do rekomendacji będzie liczony od momentu opublikowania rekomendacji </w:t>
      </w:r>
      <w:r w:rsidRPr="00833C88">
        <w:rPr>
          <w:rFonts w:ascii="Times New Roman" w:hAnsi="Times New Roman" w:cs="Times New Roman"/>
        </w:rPr>
        <w:t>w </w:t>
      </w:r>
      <w:r w:rsidR="00EC5C3F" w:rsidRPr="00833C88">
        <w:rPr>
          <w:rFonts w:ascii="Times New Roman" w:hAnsi="Times New Roman" w:cs="Times New Roman"/>
        </w:rPr>
        <w:t xml:space="preserve">BIP, </w:t>
      </w:r>
      <w:r w:rsidRPr="00833C88">
        <w:rPr>
          <w:rFonts w:ascii="Times New Roman" w:hAnsi="Times New Roman" w:cs="Times New Roman"/>
        </w:rPr>
        <w:t>a </w:t>
      </w:r>
      <w:r w:rsidR="00EC5C3F" w:rsidRPr="00833C88">
        <w:rPr>
          <w:rFonts w:ascii="Times New Roman" w:hAnsi="Times New Roman" w:cs="Times New Roman"/>
        </w:rPr>
        <w:t>nie od momentu otrzymania przez podmiot tych rekomendacji.</w:t>
      </w:r>
    </w:p>
    <w:p w14:paraId="688E6A5E" w14:textId="5046BD83" w:rsidR="007C07B8" w:rsidRPr="00833C88" w:rsidRDefault="007C07B8" w:rsidP="00F70A2C">
      <w:pPr>
        <w:pStyle w:val="ARTartustawynprozporzdzenia"/>
        <w:spacing w:after="120"/>
        <w:rPr>
          <w:rFonts w:ascii="Times New Roman" w:hAnsi="Times New Roman" w:cs="Times New Roman"/>
          <w:bCs/>
        </w:rPr>
      </w:pPr>
      <w:r w:rsidRPr="00833C88">
        <w:rPr>
          <w:rFonts w:ascii="Times New Roman" w:hAnsi="Times New Roman" w:cs="Times New Roman"/>
          <w:bCs/>
        </w:rPr>
        <w:t xml:space="preserve">Wprowadza się także uprawnienie dla CSIRT MON, CSIRT NASK </w:t>
      </w:r>
      <w:r w:rsidR="00601933" w:rsidRPr="00833C88">
        <w:rPr>
          <w:rFonts w:ascii="Times New Roman" w:hAnsi="Times New Roman" w:cs="Times New Roman"/>
          <w:bCs/>
        </w:rPr>
        <w:t>i </w:t>
      </w:r>
      <w:r w:rsidRPr="00833C88">
        <w:rPr>
          <w:rFonts w:ascii="Times New Roman" w:hAnsi="Times New Roman" w:cs="Times New Roman"/>
          <w:bCs/>
        </w:rPr>
        <w:t xml:space="preserve">CSIRT GOV zażądania od dostawcy badanego produktu ICT, usługi ICT lub procesu ICT </w:t>
      </w:r>
      <w:r w:rsidR="0037279B" w:rsidRPr="00833C88">
        <w:rPr>
          <w:rFonts w:ascii="Times New Roman" w:hAnsi="Times New Roman" w:cs="Times New Roman"/>
          <w:bCs/>
        </w:rPr>
        <w:t>dokumentacji, co</w:t>
      </w:r>
      <w:r w:rsidR="00DE38C1" w:rsidRPr="00833C88">
        <w:rPr>
          <w:rFonts w:ascii="Times New Roman" w:hAnsi="Times New Roman" w:cs="Times New Roman"/>
          <w:bCs/>
        </w:rPr>
        <w:t> </w:t>
      </w:r>
      <w:r w:rsidR="0037279B" w:rsidRPr="00833C88">
        <w:rPr>
          <w:rFonts w:ascii="Times New Roman" w:hAnsi="Times New Roman" w:cs="Times New Roman"/>
          <w:bCs/>
        </w:rPr>
        <w:t>pozwoli na skuteczne przeprowadzeni</w:t>
      </w:r>
      <w:r w:rsidR="00346BE8" w:rsidRPr="00833C88">
        <w:rPr>
          <w:rFonts w:ascii="Times New Roman" w:hAnsi="Times New Roman" w:cs="Times New Roman"/>
          <w:bCs/>
        </w:rPr>
        <w:t>e</w:t>
      </w:r>
      <w:r w:rsidR="0037279B" w:rsidRPr="00833C88">
        <w:rPr>
          <w:rFonts w:ascii="Times New Roman" w:hAnsi="Times New Roman" w:cs="Times New Roman"/>
          <w:bCs/>
        </w:rPr>
        <w:t xml:space="preserve"> badania. Doświadczenia </w:t>
      </w:r>
      <w:r w:rsidR="00601933" w:rsidRPr="00833C88">
        <w:rPr>
          <w:rFonts w:ascii="Times New Roman" w:hAnsi="Times New Roman" w:cs="Times New Roman"/>
          <w:bCs/>
        </w:rPr>
        <w:t>z </w:t>
      </w:r>
      <w:r w:rsidR="0037279B" w:rsidRPr="00833C88">
        <w:rPr>
          <w:rFonts w:ascii="Times New Roman" w:hAnsi="Times New Roman" w:cs="Times New Roman"/>
          <w:bCs/>
        </w:rPr>
        <w:t xml:space="preserve">dotychczasowych badań </w:t>
      </w:r>
      <w:r w:rsidR="0037279B" w:rsidRPr="00833C88">
        <w:rPr>
          <w:rFonts w:ascii="Times New Roman" w:hAnsi="Times New Roman" w:cs="Times New Roman"/>
          <w:bCs/>
        </w:rPr>
        <w:lastRenderedPageBreak/>
        <w:t xml:space="preserve">wykazały niechęć </w:t>
      </w:r>
      <w:r w:rsidR="00441DA6" w:rsidRPr="00833C88">
        <w:rPr>
          <w:rFonts w:ascii="Times New Roman" w:hAnsi="Times New Roman" w:cs="Times New Roman"/>
          <w:bCs/>
        </w:rPr>
        <w:t>do przekazywania informacji przez producentów sprzętu lub oprogramowania, co utrudniało przeprowadzenie badania.</w:t>
      </w:r>
    </w:p>
    <w:p w14:paraId="249EBD92" w14:textId="66968229" w:rsidR="000A35CF" w:rsidRPr="00833C88" w:rsidRDefault="000A35CF" w:rsidP="00BC7BDE">
      <w:pPr>
        <w:pStyle w:val="Nagwek3"/>
        <w:spacing w:before="0" w:after="120" w:line="360" w:lineRule="auto"/>
        <w:jc w:val="both"/>
        <w:rPr>
          <w:rFonts w:cs="Times New Roman"/>
          <w:b/>
          <w:bCs/>
          <w:u w:val="none"/>
        </w:rPr>
      </w:pPr>
      <w:r w:rsidRPr="00833C88">
        <w:rPr>
          <w:rFonts w:cs="Times New Roman"/>
          <w:b/>
          <w:bCs/>
          <w:u w:val="none"/>
        </w:rPr>
        <w:t xml:space="preserve">Współpraca CSIRT </w:t>
      </w:r>
      <w:r w:rsidR="00601933" w:rsidRPr="00833C88">
        <w:rPr>
          <w:rFonts w:cs="Times New Roman"/>
          <w:b/>
          <w:bCs/>
          <w:u w:val="none"/>
        </w:rPr>
        <w:t>z </w:t>
      </w:r>
      <w:r w:rsidRPr="00833C88">
        <w:rPr>
          <w:rFonts w:cs="Times New Roman"/>
          <w:b/>
          <w:bCs/>
          <w:u w:val="none"/>
        </w:rPr>
        <w:t>innymi podmiotami</w:t>
      </w:r>
    </w:p>
    <w:p w14:paraId="011C9ABB" w14:textId="0D1CB7AE" w:rsidR="007D794D" w:rsidRPr="00833C88" w:rsidRDefault="00A24E90" w:rsidP="006514D0">
      <w:pPr>
        <w:pStyle w:val="ARTartustawynprozporzdzenia"/>
        <w:spacing w:before="0" w:after="120"/>
        <w:rPr>
          <w:rFonts w:ascii="Times New Roman" w:hAnsi="Times New Roman" w:cs="Times New Roman"/>
          <w:bCs/>
        </w:rPr>
      </w:pPr>
      <w:r w:rsidRPr="00833C88">
        <w:rPr>
          <w:rFonts w:ascii="Times New Roman" w:hAnsi="Times New Roman" w:cs="Times New Roman"/>
          <w:bCs/>
        </w:rPr>
        <w:t xml:space="preserve">Modyfikuje się przepisy </w:t>
      </w:r>
      <w:r w:rsidR="00601933" w:rsidRPr="00833C88">
        <w:rPr>
          <w:rFonts w:ascii="Times New Roman" w:hAnsi="Times New Roman" w:cs="Times New Roman"/>
          <w:bCs/>
        </w:rPr>
        <w:t>o </w:t>
      </w:r>
      <w:r w:rsidRPr="00833C88">
        <w:rPr>
          <w:rFonts w:ascii="Times New Roman" w:hAnsi="Times New Roman" w:cs="Times New Roman"/>
          <w:bCs/>
        </w:rPr>
        <w:t xml:space="preserve">współpracy zespołów CSIRT </w:t>
      </w:r>
      <w:r w:rsidR="00601933" w:rsidRPr="00833C88">
        <w:rPr>
          <w:rFonts w:ascii="Times New Roman" w:hAnsi="Times New Roman" w:cs="Times New Roman"/>
          <w:bCs/>
        </w:rPr>
        <w:t>z </w:t>
      </w:r>
      <w:r w:rsidRPr="00833C88">
        <w:rPr>
          <w:rFonts w:ascii="Times New Roman" w:hAnsi="Times New Roman" w:cs="Times New Roman"/>
          <w:bCs/>
        </w:rPr>
        <w:t xml:space="preserve">innymi rodzajami podmiotów. Uzupełnia się, że także zespoły CSIRT sektorowe mają współpracować </w:t>
      </w:r>
      <w:r w:rsidR="00601933" w:rsidRPr="00833C88">
        <w:rPr>
          <w:rFonts w:ascii="Times New Roman" w:hAnsi="Times New Roman" w:cs="Times New Roman"/>
          <w:bCs/>
        </w:rPr>
        <w:t>z </w:t>
      </w:r>
      <w:r w:rsidR="004D0A80" w:rsidRPr="00833C88">
        <w:rPr>
          <w:rFonts w:ascii="Times New Roman" w:hAnsi="Times New Roman" w:cs="Times New Roman"/>
          <w:bCs/>
        </w:rPr>
        <w:t>organami ścigania</w:t>
      </w:r>
      <w:r w:rsidR="00CE36D9" w:rsidRPr="00833C88">
        <w:rPr>
          <w:rFonts w:ascii="Times New Roman" w:hAnsi="Times New Roman" w:cs="Times New Roman"/>
          <w:bCs/>
        </w:rPr>
        <w:t> </w:t>
      </w:r>
      <w:r w:rsidR="00601933" w:rsidRPr="00833C88">
        <w:rPr>
          <w:rFonts w:ascii="Times New Roman" w:hAnsi="Times New Roman" w:cs="Times New Roman"/>
          <w:bCs/>
        </w:rPr>
        <w:t>i </w:t>
      </w:r>
      <w:r w:rsidR="004D0A80" w:rsidRPr="00833C88">
        <w:rPr>
          <w:rFonts w:ascii="Times New Roman" w:hAnsi="Times New Roman" w:cs="Times New Roman"/>
          <w:bCs/>
        </w:rPr>
        <w:t xml:space="preserve">wymiaru sprawiedliwości oraz służbami specjalnymi przy realizacji ich ustawowych zadań. Pojęcie podmiotów świadczących usługi </w:t>
      </w:r>
      <w:r w:rsidR="00601933" w:rsidRPr="00833C88">
        <w:rPr>
          <w:rFonts w:ascii="Times New Roman" w:hAnsi="Times New Roman" w:cs="Times New Roman"/>
          <w:bCs/>
        </w:rPr>
        <w:t>z </w:t>
      </w:r>
      <w:r w:rsidR="004D0A80" w:rsidRPr="00833C88">
        <w:rPr>
          <w:rFonts w:ascii="Times New Roman" w:hAnsi="Times New Roman" w:cs="Times New Roman"/>
          <w:bCs/>
        </w:rPr>
        <w:t xml:space="preserve">zakresu cyberbezpieczeństwa zastępuje się wyrażeniem </w:t>
      </w:r>
      <w:r w:rsidR="00F1605E" w:rsidRPr="00833C88">
        <w:rPr>
          <w:rFonts w:ascii="Times New Roman" w:hAnsi="Times New Roman" w:cs="Times New Roman"/>
          <w:bCs/>
        </w:rPr>
        <w:t xml:space="preserve">„dostawcy usług zarządzanych </w:t>
      </w:r>
      <w:r w:rsidR="00601933" w:rsidRPr="00833C88">
        <w:rPr>
          <w:rFonts w:ascii="Times New Roman" w:hAnsi="Times New Roman" w:cs="Times New Roman"/>
          <w:bCs/>
        </w:rPr>
        <w:t>w </w:t>
      </w:r>
      <w:r w:rsidR="00F1605E" w:rsidRPr="00833C88">
        <w:rPr>
          <w:rFonts w:ascii="Times New Roman" w:hAnsi="Times New Roman" w:cs="Times New Roman"/>
          <w:bCs/>
        </w:rPr>
        <w:t xml:space="preserve">zakresie cyberbezpieczeństwa” – ten rodzaj podmiotu także będzie współpracował </w:t>
      </w:r>
      <w:r w:rsidR="00601933" w:rsidRPr="00833C88">
        <w:rPr>
          <w:rFonts w:ascii="Times New Roman" w:hAnsi="Times New Roman" w:cs="Times New Roman"/>
          <w:bCs/>
        </w:rPr>
        <w:t>z </w:t>
      </w:r>
      <w:r w:rsidR="00F1605E" w:rsidRPr="00833C88">
        <w:rPr>
          <w:rFonts w:ascii="Times New Roman" w:hAnsi="Times New Roman" w:cs="Times New Roman"/>
          <w:bCs/>
        </w:rPr>
        <w:t xml:space="preserve">organami ścigania </w:t>
      </w:r>
      <w:r w:rsidR="00601933" w:rsidRPr="00833C88">
        <w:rPr>
          <w:rFonts w:ascii="Times New Roman" w:hAnsi="Times New Roman" w:cs="Times New Roman"/>
          <w:bCs/>
        </w:rPr>
        <w:t>i </w:t>
      </w:r>
      <w:r w:rsidR="00F1605E" w:rsidRPr="00833C88">
        <w:rPr>
          <w:rFonts w:ascii="Times New Roman" w:hAnsi="Times New Roman" w:cs="Times New Roman"/>
          <w:bCs/>
        </w:rPr>
        <w:t>wymiaru sprawiedliwości oraz służbami specjalnymi przy realizacji ich ustawowych zadań.</w:t>
      </w:r>
      <w:r w:rsidR="00536F51" w:rsidRPr="00833C88">
        <w:rPr>
          <w:rFonts w:ascii="Times New Roman" w:hAnsi="Times New Roman" w:cs="Times New Roman"/>
          <w:bCs/>
        </w:rPr>
        <w:t xml:space="preserve"> Ponadto dodaje się, że zespoły CSIRT sektorowe będą współpracować również </w:t>
      </w:r>
      <w:r w:rsidR="00601933" w:rsidRPr="00833C88">
        <w:rPr>
          <w:rFonts w:ascii="Times New Roman" w:hAnsi="Times New Roman" w:cs="Times New Roman"/>
          <w:bCs/>
        </w:rPr>
        <w:t>z </w:t>
      </w:r>
      <w:r w:rsidR="007B0413" w:rsidRPr="00833C88">
        <w:rPr>
          <w:rFonts w:ascii="Times New Roman" w:hAnsi="Times New Roman" w:cs="Times New Roman"/>
          <w:bCs/>
        </w:rPr>
        <w:t>organem właściwym do spraw ochrony danych osobowych.</w:t>
      </w:r>
      <w:r w:rsidR="00A13338" w:rsidRPr="00833C88">
        <w:rPr>
          <w:rFonts w:ascii="Times New Roman" w:hAnsi="Times New Roman" w:cs="Times New Roman"/>
          <w:bCs/>
        </w:rPr>
        <w:t xml:space="preserve"> Mając na uwadze brzmienie </w:t>
      </w:r>
      <w:r w:rsidR="00A304F8" w:rsidRPr="00833C88">
        <w:rPr>
          <w:rFonts w:ascii="Times New Roman" w:hAnsi="Times New Roman" w:cs="Times New Roman"/>
          <w:bCs/>
        </w:rPr>
        <w:t>art. 13 ust. 4 dyrektywy NIS 2 wskazano, że</w:t>
      </w:r>
      <w:r w:rsidR="00DE38C1" w:rsidRPr="00833C88">
        <w:rPr>
          <w:rFonts w:ascii="Times New Roman" w:hAnsi="Times New Roman" w:cs="Times New Roman"/>
          <w:bCs/>
        </w:rPr>
        <w:t> </w:t>
      </w:r>
      <w:r w:rsidR="00A304F8" w:rsidRPr="00833C88">
        <w:rPr>
          <w:rFonts w:ascii="Times New Roman" w:hAnsi="Times New Roman" w:cs="Times New Roman"/>
          <w:bCs/>
        </w:rPr>
        <w:t xml:space="preserve">zespoły CSIRT poziomu krajowego oraz CSIRT sektorowe będą współpracowały również </w:t>
      </w:r>
      <w:r w:rsidR="00601933" w:rsidRPr="00833C88">
        <w:rPr>
          <w:rFonts w:ascii="Times New Roman" w:hAnsi="Times New Roman" w:cs="Times New Roman"/>
          <w:bCs/>
        </w:rPr>
        <w:t>z </w:t>
      </w:r>
      <w:r w:rsidR="00483DEB" w:rsidRPr="00833C88">
        <w:rPr>
          <w:rFonts w:ascii="Times New Roman" w:hAnsi="Times New Roman" w:cs="Times New Roman"/>
          <w:bCs/>
        </w:rPr>
        <w:t>Prezesem Urzędu Lotnictwa Cywilnego, Prezesem Urzędu Komunikacji Elektronicznej oraz Komisją Nadzoru Finansowego</w:t>
      </w:r>
      <w:r w:rsidR="00654BE2" w:rsidRPr="00833C88">
        <w:rPr>
          <w:rFonts w:ascii="Times New Roman" w:hAnsi="Times New Roman" w:cs="Times New Roman"/>
          <w:bCs/>
        </w:rPr>
        <w:t>.</w:t>
      </w:r>
    </w:p>
    <w:p w14:paraId="72A3A5F3" w14:textId="5A6E1104" w:rsidR="00E3455E" w:rsidRPr="00833C88" w:rsidRDefault="00E3455E" w:rsidP="006514D0">
      <w:pPr>
        <w:pStyle w:val="ARTartustawynprozporzdzenia"/>
        <w:spacing w:before="0" w:after="120"/>
        <w:rPr>
          <w:rFonts w:ascii="Times New Roman" w:hAnsi="Times New Roman" w:cs="Times New Roman"/>
        </w:rPr>
      </w:pPr>
      <w:r w:rsidRPr="00833C88">
        <w:rPr>
          <w:rFonts w:ascii="Times New Roman" w:hAnsi="Times New Roman" w:cs="Times New Roman"/>
          <w:bCs/>
        </w:rPr>
        <w:t xml:space="preserve">W swojej opinii Europejski Bank Centralny </w:t>
      </w:r>
      <w:r w:rsidR="00F91A1E" w:rsidRPr="00833C88">
        <w:rPr>
          <w:rFonts w:ascii="Times New Roman" w:hAnsi="Times New Roman" w:cs="Times New Roman"/>
          <w:bCs/>
        </w:rPr>
        <w:t>wskazał na konieczność współpracy zespołów CSIRT z Narodowym Bankiem Polskim, który odpowiada za bezpieczeństw</w:t>
      </w:r>
      <w:r w:rsidR="00F06B2A" w:rsidRPr="00833C88">
        <w:rPr>
          <w:rFonts w:ascii="Times New Roman" w:hAnsi="Times New Roman" w:cs="Times New Roman"/>
          <w:bCs/>
        </w:rPr>
        <w:t>o systemów płatności. Stąd też dodano odpowiedni przepis, który daje podstawę do takiej współpracy.</w:t>
      </w:r>
    </w:p>
    <w:p w14:paraId="0D1F02BE" w14:textId="77777777" w:rsidR="00255891" w:rsidRPr="00833C88" w:rsidRDefault="00255891" w:rsidP="00BC7BDE">
      <w:pPr>
        <w:pStyle w:val="Nagwek2"/>
        <w:spacing w:before="0" w:after="120" w:line="360" w:lineRule="auto"/>
        <w:jc w:val="both"/>
        <w:rPr>
          <w:rFonts w:cs="Times New Roman"/>
          <w:b/>
          <w:bCs/>
          <w:sz w:val="24"/>
          <w:szCs w:val="24"/>
        </w:rPr>
      </w:pPr>
      <w:r w:rsidRPr="00833C88">
        <w:rPr>
          <w:rFonts w:cs="Times New Roman"/>
          <w:b/>
          <w:bCs/>
          <w:sz w:val="24"/>
          <w:szCs w:val="24"/>
        </w:rPr>
        <w:t>Zespół Incydentów Krytycznych</w:t>
      </w:r>
    </w:p>
    <w:p w14:paraId="6B654CDB" w14:textId="69CCD774" w:rsidR="00F74746" w:rsidRPr="00833C88" w:rsidRDefault="006C038F" w:rsidP="00533D2A">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 xml:space="preserve">Przepisy dotyczące działań związanych </w:t>
      </w:r>
      <w:r w:rsidR="00601933" w:rsidRPr="00833C88">
        <w:rPr>
          <w:rFonts w:eastAsiaTheme="minorEastAsia" w:cs="Times New Roman"/>
          <w:bCs/>
          <w:sz w:val="24"/>
          <w:szCs w:val="20"/>
          <w:lang w:eastAsia="pl-PL"/>
        </w:rPr>
        <w:t>z </w:t>
      </w:r>
      <w:r w:rsidRPr="00833C88">
        <w:rPr>
          <w:rFonts w:eastAsiaTheme="minorEastAsia" w:cs="Times New Roman"/>
          <w:bCs/>
          <w:sz w:val="24"/>
          <w:szCs w:val="20"/>
          <w:lang w:eastAsia="pl-PL"/>
        </w:rPr>
        <w:t xml:space="preserve">reagowaniem na incydenty krytyczne dostosowuje się </w:t>
      </w:r>
      <w:r w:rsidR="00601933" w:rsidRPr="00833C88">
        <w:rPr>
          <w:rFonts w:eastAsiaTheme="minorEastAsia" w:cs="Times New Roman"/>
          <w:bCs/>
          <w:sz w:val="24"/>
          <w:szCs w:val="20"/>
          <w:lang w:eastAsia="pl-PL"/>
        </w:rPr>
        <w:t>i </w:t>
      </w:r>
      <w:r w:rsidR="00873A8C" w:rsidRPr="00833C88">
        <w:rPr>
          <w:rFonts w:eastAsiaTheme="minorEastAsia" w:cs="Times New Roman"/>
          <w:bCs/>
          <w:sz w:val="24"/>
          <w:szCs w:val="20"/>
          <w:lang w:eastAsia="pl-PL"/>
        </w:rPr>
        <w:t xml:space="preserve">uwzględnia się udział CSIRT sektorowego </w:t>
      </w:r>
      <w:r w:rsidR="00601933" w:rsidRPr="00833C88">
        <w:rPr>
          <w:rFonts w:eastAsiaTheme="minorEastAsia" w:cs="Times New Roman"/>
          <w:bCs/>
          <w:sz w:val="24"/>
          <w:szCs w:val="20"/>
          <w:lang w:eastAsia="pl-PL"/>
        </w:rPr>
        <w:t>w </w:t>
      </w:r>
      <w:r w:rsidR="00873A8C" w:rsidRPr="00833C88">
        <w:rPr>
          <w:rFonts w:eastAsiaTheme="minorEastAsia" w:cs="Times New Roman"/>
          <w:bCs/>
          <w:sz w:val="24"/>
          <w:szCs w:val="20"/>
          <w:lang w:eastAsia="pl-PL"/>
        </w:rPr>
        <w:t xml:space="preserve">wymianie informacji </w:t>
      </w:r>
      <w:r w:rsidR="00601933" w:rsidRPr="00833C88">
        <w:rPr>
          <w:rFonts w:eastAsiaTheme="minorEastAsia" w:cs="Times New Roman"/>
          <w:bCs/>
          <w:sz w:val="24"/>
          <w:szCs w:val="20"/>
          <w:lang w:eastAsia="pl-PL"/>
        </w:rPr>
        <w:t>o </w:t>
      </w:r>
      <w:r w:rsidR="00873A8C" w:rsidRPr="00833C88">
        <w:rPr>
          <w:rFonts w:eastAsiaTheme="minorEastAsia" w:cs="Times New Roman"/>
          <w:bCs/>
          <w:sz w:val="24"/>
          <w:szCs w:val="20"/>
          <w:lang w:eastAsia="pl-PL"/>
        </w:rPr>
        <w:t xml:space="preserve">incydentach krytycznych. Ponadto dodaje się zadanie związane </w:t>
      </w:r>
      <w:r w:rsidR="00601933" w:rsidRPr="00833C88">
        <w:rPr>
          <w:rFonts w:eastAsiaTheme="minorEastAsia" w:cs="Times New Roman"/>
          <w:bCs/>
          <w:sz w:val="24"/>
          <w:szCs w:val="20"/>
          <w:lang w:eastAsia="pl-PL"/>
        </w:rPr>
        <w:t>z </w:t>
      </w:r>
      <w:r w:rsidR="00873A8C" w:rsidRPr="00833C88">
        <w:rPr>
          <w:rFonts w:eastAsiaTheme="minorEastAsia" w:cs="Times New Roman"/>
          <w:bCs/>
          <w:sz w:val="24"/>
          <w:szCs w:val="20"/>
          <w:lang w:eastAsia="pl-PL"/>
        </w:rPr>
        <w:t xml:space="preserve">wymianą informacji </w:t>
      </w:r>
      <w:r w:rsidR="00601933" w:rsidRPr="00833C88">
        <w:rPr>
          <w:rFonts w:eastAsiaTheme="minorEastAsia" w:cs="Times New Roman"/>
          <w:bCs/>
          <w:sz w:val="24"/>
          <w:szCs w:val="20"/>
          <w:lang w:eastAsia="pl-PL"/>
        </w:rPr>
        <w:t>o </w:t>
      </w:r>
      <w:r w:rsidR="00873A8C" w:rsidRPr="00833C88">
        <w:rPr>
          <w:rFonts w:eastAsiaTheme="minorEastAsia" w:cs="Times New Roman"/>
          <w:bCs/>
          <w:sz w:val="24"/>
          <w:szCs w:val="20"/>
          <w:lang w:eastAsia="pl-PL"/>
        </w:rPr>
        <w:t xml:space="preserve">incydentach </w:t>
      </w:r>
      <w:r w:rsidR="00601933" w:rsidRPr="00833C88">
        <w:rPr>
          <w:rFonts w:eastAsiaTheme="minorEastAsia" w:cs="Times New Roman"/>
          <w:bCs/>
          <w:sz w:val="24"/>
          <w:szCs w:val="20"/>
          <w:lang w:eastAsia="pl-PL"/>
        </w:rPr>
        <w:t>w </w:t>
      </w:r>
      <w:r w:rsidR="00873A8C" w:rsidRPr="00833C88">
        <w:rPr>
          <w:rFonts w:eastAsiaTheme="minorEastAsia" w:cs="Times New Roman"/>
          <w:bCs/>
          <w:sz w:val="24"/>
          <w:szCs w:val="20"/>
          <w:lang w:eastAsia="pl-PL"/>
        </w:rPr>
        <w:t>cyberbezpieczeństwie na dużą skalę.</w:t>
      </w:r>
      <w:r w:rsidR="003E7DBB" w:rsidRPr="00833C88">
        <w:rPr>
          <w:rFonts w:eastAsiaTheme="minorEastAsia" w:cs="Times New Roman"/>
          <w:bCs/>
          <w:sz w:val="24"/>
          <w:szCs w:val="20"/>
          <w:lang w:eastAsia="pl-PL"/>
        </w:rPr>
        <w:t xml:space="preserve"> Przepisy dostosowuje się także do zmian terminologicznych np. zamienia się wyrażenie „zagrożenie </w:t>
      </w:r>
      <w:proofErr w:type="spellStart"/>
      <w:r w:rsidR="003E7DBB" w:rsidRPr="00833C88">
        <w:rPr>
          <w:rFonts w:eastAsiaTheme="minorEastAsia" w:cs="Times New Roman"/>
          <w:bCs/>
          <w:sz w:val="24"/>
          <w:szCs w:val="20"/>
          <w:lang w:eastAsia="pl-PL"/>
        </w:rPr>
        <w:t>cyberbezpieczeństwa</w:t>
      </w:r>
      <w:proofErr w:type="spellEnd"/>
      <w:r w:rsidR="003E7DBB" w:rsidRPr="00833C88">
        <w:rPr>
          <w:rFonts w:eastAsiaTheme="minorEastAsia" w:cs="Times New Roman"/>
          <w:bCs/>
          <w:sz w:val="24"/>
          <w:szCs w:val="20"/>
          <w:lang w:eastAsia="pl-PL"/>
        </w:rPr>
        <w:t xml:space="preserve">” na </w:t>
      </w:r>
      <w:r w:rsidR="005F4BD6" w:rsidRPr="00833C88">
        <w:rPr>
          <w:rFonts w:eastAsiaTheme="minorEastAsia" w:cs="Times New Roman"/>
          <w:bCs/>
          <w:sz w:val="24"/>
          <w:szCs w:val="20"/>
          <w:lang w:eastAsia="pl-PL"/>
        </w:rPr>
        <w:t>„</w:t>
      </w:r>
      <w:proofErr w:type="spellStart"/>
      <w:r w:rsidR="003E7DBB" w:rsidRPr="00833C88">
        <w:rPr>
          <w:rFonts w:eastAsiaTheme="minorEastAsia" w:cs="Times New Roman"/>
          <w:bCs/>
          <w:sz w:val="24"/>
          <w:szCs w:val="20"/>
          <w:lang w:eastAsia="pl-PL"/>
        </w:rPr>
        <w:t>cyberzagrożenie</w:t>
      </w:r>
      <w:proofErr w:type="spellEnd"/>
      <w:r w:rsidR="00D24B4F" w:rsidRPr="00833C88">
        <w:rPr>
          <w:rFonts w:eastAsiaTheme="minorEastAsia" w:cs="Times New Roman"/>
          <w:bCs/>
          <w:sz w:val="24"/>
          <w:szCs w:val="20"/>
          <w:lang w:eastAsia="pl-PL"/>
        </w:rPr>
        <w:t>”</w:t>
      </w:r>
      <w:r w:rsidR="003E7DBB" w:rsidRPr="00833C88">
        <w:rPr>
          <w:rFonts w:eastAsiaTheme="minorEastAsia" w:cs="Times New Roman"/>
          <w:bCs/>
          <w:sz w:val="24"/>
          <w:szCs w:val="20"/>
          <w:lang w:eastAsia="pl-PL"/>
        </w:rPr>
        <w:t>.</w:t>
      </w:r>
      <w:r w:rsidR="00B91F1B" w:rsidRPr="00833C88">
        <w:rPr>
          <w:rFonts w:eastAsiaTheme="minorEastAsia" w:cs="Times New Roman"/>
          <w:bCs/>
          <w:sz w:val="24"/>
          <w:szCs w:val="20"/>
          <w:lang w:eastAsia="pl-PL"/>
        </w:rPr>
        <w:t xml:space="preserve"> Ponadto wskazuje się, że informacja </w:t>
      </w:r>
      <w:r w:rsidR="00601933" w:rsidRPr="00833C88">
        <w:rPr>
          <w:rFonts w:eastAsiaTheme="minorEastAsia" w:cs="Times New Roman"/>
          <w:bCs/>
          <w:sz w:val="24"/>
          <w:szCs w:val="20"/>
          <w:lang w:eastAsia="pl-PL"/>
        </w:rPr>
        <w:t>o </w:t>
      </w:r>
      <w:r w:rsidR="00B91F1B" w:rsidRPr="00833C88">
        <w:rPr>
          <w:rFonts w:eastAsiaTheme="minorEastAsia" w:cs="Times New Roman"/>
          <w:bCs/>
          <w:sz w:val="24"/>
          <w:szCs w:val="20"/>
          <w:lang w:eastAsia="pl-PL"/>
        </w:rPr>
        <w:t xml:space="preserve">incydencie krytycznym lub incydencie </w:t>
      </w:r>
      <w:r w:rsidR="00601933" w:rsidRPr="00833C88">
        <w:rPr>
          <w:rFonts w:eastAsiaTheme="minorEastAsia" w:cs="Times New Roman"/>
          <w:bCs/>
          <w:sz w:val="24"/>
          <w:szCs w:val="20"/>
          <w:lang w:eastAsia="pl-PL"/>
        </w:rPr>
        <w:t>w </w:t>
      </w:r>
      <w:r w:rsidR="00B91F1B" w:rsidRPr="00833C88">
        <w:rPr>
          <w:rFonts w:eastAsiaTheme="minorEastAsia" w:cs="Times New Roman"/>
          <w:bCs/>
          <w:sz w:val="24"/>
          <w:szCs w:val="20"/>
          <w:lang w:eastAsia="pl-PL"/>
        </w:rPr>
        <w:t xml:space="preserve">cyberbezpieczeństwie na dużą </w:t>
      </w:r>
      <w:r w:rsidR="001A1CA7" w:rsidRPr="00833C88">
        <w:rPr>
          <w:rFonts w:eastAsiaTheme="minorEastAsia" w:cs="Times New Roman"/>
          <w:bCs/>
          <w:sz w:val="24"/>
          <w:szCs w:val="20"/>
          <w:lang w:eastAsia="pl-PL"/>
        </w:rPr>
        <w:t xml:space="preserve">skalę, wymieniana </w:t>
      </w:r>
      <w:proofErr w:type="gramStart"/>
      <w:r w:rsidR="001A1CA7" w:rsidRPr="00833C88">
        <w:rPr>
          <w:rFonts w:eastAsiaTheme="minorEastAsia" w:cs="Times New Roman"/>
          <w:bCs/>
          <w:sz w:val="24"/>
          <w:szCs w:val="20"/>
          <w:lang w:eastAsia="pl-PL"/>
        </w:rPr>
        <w:t>miedzy</w:t>
      </w:r>
      <w:proofErr w:type="gramEnd"/>
      <w:r w:rsidR="001A1CA7" w:rsidRPr="00833C88">
        <w:rPr>
          <w:rFonts w:eastAsiaTheme="minorEastAsia" w:cs="Times New Roman"/>
          <w:bCs/>
          <w:sz w:val="24"/>
          <w:szCs w:val="20"/>
          <w:lang w:eastAsia="pl-PL"/>
        </w:rPr>
        <w:t xml:space="preserve"> zespołami CSIRT, może zawierać dane osobowe, gdy jest to niezbędne dla ochrony podmiotów krajowego systemu cyberbezpieczeństwa przed incydentami. </w:t>
      </w:r>
      <w:r w:rsidR="007E2E8B" w:rsidRPr="00833C88">
        <w:rPr>
          <w:rFonts w:eastAsiaTheme="minorEastAsia" w:cs="Times New Roman"/>
          <w:bCs/>
          <w:sz w:val="24"/>
          <w:szCs w:val="20"/>
          <w:lang w:eastAsia="pl-PL"/>
        </w:rPr>
        <w:t>K</w:t>
      </w:r>
      <w:r w:rsidR="00B44BE8" w:rsidRPr="00833C88">
        <w:rPr>
          <w:rFonts w:eastAsiaTheme="minorEastAsia" w:cs="Times New Roman"/>
          <w:bCs/>
          <w:sz w:val="24"/>
          <w:szCs w:val="20"/>
          <w:lang w:eastAsia="pl-PL"/>
        </w:rPr>
        <w:t>onieczn</w:t>
      </w:r>
      <w:r w:rsidR="007E2E8B" w:rsidRPr="00833C88">
        <w:rPr>
          <w:rFonts w:eastAsiaTheme="minorEastAsia" w:cs="Times New Roman"/>
          <w:bCs/>
          <w:sz w:val="24"/>
          <w:szCs w:val="20"/>
          <w:lang w:eastAsia="pl-PL"/>
        </w:rPr>
        <w:t>e jest tutaj</w:t>
      </w:r>
      <w:r w:rsidR="00B44BE8" w:rsidRPr="00833C88">
        <w:rPr>
          <w:rFonts w:eastAsiaTheme="minorEastAsia" w:cs="Times New Roman"/>
          <w:bCs/>
          <w:sz w:val="24"/>
          <w:szCs w:val="20"/>
          <w:lang w:eastAsia="pl-PL"/>
        </w:rPr>
        <w:t xml:space="preserve"> zachowani</w:t>
      </w:r>
      <w:r w:rsidR="007E2E8B" w:rsidRPr="00833C88">
        <w:rPr>
          <w:rFonts w:eastAsiaTheme="minorEastAsia" w:cs="Times New Roman"/>
          <w:bCs/>
          <w:sz w:val="24"/>
          <w:szCs w:val="20"/>
          <w:lang w:eastAsia="pl-PL"/>
        </w:rPr>
        <w:t>e</w:t>
      </w:r>
      <w:r w:rsidR="00B44BE8" w:rsidRPr="00833C88">
        <w:rPr>
          <w:rFonts w:eastAsiaTheme="minorEastAsia" w:cs="Times New Roman"/>
          <w:bCs/>
          <w:sz w:val="24"/>
          <w:szCs w:val="20"/>
          <w:lang w:eastAsia="pl-PL"/>
        </w:rPr>
        <w:t xml:space="preserve"> zasady minimalizacji przetwarzanych danych.</w:t>
      </w:r>
    </w:p>
    <w:p w14:paraId="7E8F10DA" w14:textId="637833E0" w:rsidR="007E2E8B" w:rsidRPr="00833C88" w:rsidRDefault="007E2E8B" w:rsidP="0029004E">
      <w:pPr>
        <w:spacing w:line="360" w:lineRule="auto"/>
        <w:ind w:firstLine="426"/>
        <w:jc w:val="both"/>
        <w:rPr>
          <w:rFonts w:eastAsiaTheme="minorEastAsia" w:cs="Times New Roman"/>
          <w:bCs/>
          <w:sz w:val="24"/>
          <w:szCs w:val="20"/>
          <w:lang w:eastAsia="pl-PL"/>
        </w:rPr>
      </w:pPr>
      <w:r w:rsidRPr="00833C88">
        <w:rPr>
          <w:rFonts w:eastAsiaTheme="minorEastAsia" w:cs="Times New Roman"/>
          <w:bCs/>
          <w:sz w:val="24"/>
          <w:szCs w:val="20"/>
          <w:lang w:eastAsia="pl-PL"/>
        </w:rPr>
        <w:t>Do członków Zespołu Incydentów Krytycznych dołączy przedstaw</w:t>
      </w:r>
      <w:r w:rsidR="008D0B85" w:rsidRPr="00833C88">
        <w:rPr>
          <w:rFonts w:eastAsiaTheme="minorEastAsia" w:cs="Times New Roman"/>
          <w:bCs/>
          <w:sz w:val="24"/>
          <w:szCs w:val="20"/>
          <w:lang w:eastAsia="pl-PL"/>
        </w:rPr>
        <w:t>iciel ministra właściwego do spraw zagranicznych, ponieważ incydent krytyczny to taki incydent, który</w:t>
      </w:r>
      <w:r w:rsidR="00F916AE" w:rsidRPr="00833C88">
        <w:rPr>
          <w:rFonts w:eastAsiaTheme="minorEastAsia" w:cs="Times New Roman"/>
          <w:bCs/>
          <w:sz w:val="24"/>
          <w:szCs w:val="20"/>
          <w:lang w:eastAsia="pl-PL"/>
        </w:rPr>
        <w:t xml:space="preserve"> </w:t>
      </w:r>
      <w:r w:rsidR="00F916AE" w:rsidRPr="00833C88">
        <w:rPr>
          <w:rFonts w:eastAsiaTheme="minorEastAsia" w:cs="Times New Roman"/>
          <w:bCs/>
          <w:sz w:val="24"/>
          <w:szCs w:val="20"/>
          <w:lang w:eastAsia="pl-PL"/>
        </w:rPr>
        <w:lastRenderedPageBreak/>
        <w:t>skutkuje znaczną szkodą dla m. in. dla interesów międzynarodowych – stąd zasadne</w:t>
      </w:r>
      <w:r w:rsidR="0065131D" w:rsidRPr="00833C88">
        <w:rPr>
          <w:rFonts w:eastAsiaTheme="minorEastAsia" w:cs="Times New Roman"/>
          <w:bCs/>
          <w:sz w:val="24"/>
          <w:szCs w:val="20"/>
          <w:lang w:eastAsia="pl-PL"/>
        </w:rPr>
        <w:t>,</w:t>
      </w:r>
      <w:r w:rsidR="00F916AE" w:rsidRPr="00833C88">
        <w:rPr>
          <w:rFonts w:eastAsiaTheme="minorEastAsia" w:cs="Times New Roman"/>
          <w:bCs/>
          <w:sz w:val="24"/>
          <w:szCs w:val="20"/>
          <w:lang w:eastAsia="pl-PL"/>
        </w:rPr>
        <w:t xml:space="preserve"> aby </w:t>
      </w:r>
      <w:r w:rsidR="00601933" w:rsidRPr="00833C88">
        <w:rPr>
          <w:rFonts w:eastAsiaTheme="minorEastAsia" w:cs="Times New Roman"/>
          <w:bCs/>
          <w:sz w:val="24"/>
          <w:szCs w:val="20"/>
          <w:lang w:eastAsia="pl-PL"/>
        </w:rPr>
        <w:t>w </w:t>
      </w:r>
      <w:r w:rsidR="0065131D" w:rsidRPr="00833C88">
        <w:rPr>
          <w:rFonts w:eastAsiaTheme="minorEastAsia" w:cs="Times New Roman"/>
          <w:bCs/>
          <w:sz w:val="24"/>
          <w:szCs w:val="20"/>
          <w:lang w:eastAsia="pl-PL"/>
        </w:rPr>
        <w:t>Zespole Incydentów Krytycznych</w:t>
      </w:r>
      <w:r w:rsidR="002C0F25" w:rsidRPr="00833C88">
        <w:rPr>
          <w:rFonts w:eastAsiaTheme="minorEastAsia" w:cs="Times New Roman"/>
          <w:bCs/>
          <w:sz w:val="24"/>
          <w:szCs w:val="20"/>
          <w:lang w:eastAsia="pl-PL"/>
        </w:rPr>
        <w:t xml:space="preserve"> był przedstawiciel </w:t>
      </w:r>
      <w:r w:rsidR="0065131D" w:rsidRPr="00833C88">
        <w:rPr>
          <w:rFonts w:eastAsiaTheme="minorEastAsia" w:cs="Times New Roman"/>
          <w:bCs/>
          <w:sz w:val="24"/>
          <w:szCs w:val="20"/>
          <w:lang w:eastAsia="pl-PL"/>
        </w:rPr>
        <w:t>ministra właściwego do spraw zagranicznych</w:t>
      </w:r>
      <w:r w:rsidR="002C0F25" w:rsidRPr="00833C88">
        <w:rPr>
          <w:rFonts w:eastAsiaTheme="minorEastAsia" w:cs="Times New Roman"/>
          <w:bCs/>
          <w:sz w:val="24"/>
          <w:szCs w:val="20"/>
          <w:lang w:eastAsia="pl-PL"/>
        </w:rPr>
        <w:t>.</w:t>
      </w:r>
    </w:p>
    <w:p w14:paraId="15375EA3" w14:textId="4ADA6DD5" w:rsidR="00216A24" w:rsidRPr="00833C88" w:rsidRDefault="00255891" w:rsidP="0029004E">
      <w:pPr>
        <w:spacing w:line="360" w:lineRule="auto"/>
        <w:ind w:firstLine="426"/>
        <w:jc w:val="both"/>
        <w:rPr>
          <w:rFonts w:eastAsiaTheme="minorEastAsia" w:cs="Times New Roman"/>
          <w:bCs/>
          <w:sz w:val="24"/>
          <w:szCs w:val="20"/>
          <w:lang w:eastAsia="pl-PL"/>
        </w:rPr>
      </w:pPr>
      <w:r w:rsidRPr="00833C88">
        <w:rPr>
          <w:rFonts w:eastAsiaTheme="minorEastAsia" w:cs="Times New Roman"/>
          <w:bCs/>
          <w:sz w:val="24"/>
          <w:szCs w:val="20"/>
          <w:lang w:eastAsia="pl-PL"/>
        </w:rPr>
        <w:t xml:space="preserve">Projekt </w:t>
      </w:r>
      <w:r w:rsidR="00E96CA7" w:rsidRPr="00833C88">
        <w:rPr>
          <w:rFonts w:eastAsiaTheme="minorEastAsia" w:cs="Times New Roman"/>
          <w:bCs/>
          <w:sz w:val="24"/>
          <w:szCs w:val="20"/>
          <w:lang w:eastAsia="pl-PL"/>
        </w:rPr>
        <w:t xml:space="preserve">ustawy </w:t>
      </w:r>
      <w:r w:rsidRPr="00833C88">
        <w:rPr>
          <w:rFonts w:eastAsiaTheme="minorEastAsia" w:cs="Times New Roman"/>
          <w:bCs/>
          <w:sz w:val="24"/>
          <w:szCs w:val="20"/>
          <w:lang w:eastAsia="pl-PL"/>
        </w:rPr>
        <w:t xml:space="preserve">zakłada, że </w:t>
      </w:r>
      <w:r w:rsidR="00E01A99" w:rsidRPr="00833C88">
        <w:rPr>
          <w:rFonts w:eastAsiaTheme="minorEastAsia" w:cs="Times New Roman"/>
          <w:bCs/>
          <w:sz w:val="24"/>
          <w:szCs w:val="20"/>
          <w:lang w:eastAsia="pl-PL"/>
        </w:rPr>
        <w:t>prowadzenie Z</w:t>
      </w:r>
      <w:r w:rsidR="00542B70" w:rsidRPr="00833C88">
        <w:rPr>
          <w:rFonts w:eastAsiaTheme="minorEastAsia" w:cs="Times New Roman"/>
          <w:bCs/>
          <w:sz w:val="24"/>
          <w:szCs w:val="20"/>
          <w:lang w:eastAsia="pl-PL"/>
        </w:rPr>
        <w:t xml:space="preserve">espołu </w:t>
      </w:r>
      <w:r w:rsidR="0065131D" w:rsidRPr="00833C88">
        <w:rPr>
          <w:rFonts w:eastAsiaTheme="minorEastAsia" w:cs="Times New Roman"/>
          <w:bCs/>
          <w:sz w:val="24"/>
          <w:szCs w:val="20"/>
          <w:lang w:eastAsia="pl-PL"/>
        </w:rPr>
        <w:t xml:space="preserve">Incydentów Krytycznych </w:t>
      </w:r>
      <w:r w:rsidR="00542B70" w:rsidRPr="00833C88">
        <w:rPr>
          <w:rFonts w:eastAsiaTheme="minorEastAsia" w:cs="Times New Roman"/>
          <w:bCs/>
          <w:sz w:val="24"/>
          <w:szCs w:val="20"/>
          <w:lang w:eastAsia="pl-PL"/>
        </w:rPr>
        <w:t xml:space="preserve">przejmie od </w:t>
      </w:r>
      <w:r w:rsidR="00C33A10">
        <w:rPr>
          <w:rFonts w:eastAsiaTheme="minorEastAsia" w:cs="Times New Roman"/>
          <w:bCs/>
          <w:sz w:val="24"/>
          <w:szCs w:val="20"/>
          <w:lang w:eastAsia="pl-PL"/>
        </w:rPr>
        <w:t>d</w:t>
      </w:r>
      <w:r w:rsidR="00542B70" w:rsidRPr="00833C88">
        <w:rPr>
          <w:rFonts w:eastAsiaTheme="minorEastAsia" w:cs="Times New Roman"/>
          <w:bCs/>
          <w:sz w:val="24"/>
          <w:szCs w:val="20"/>
          <w:lang w:eastAsia="pl-PL"/>
        </w:rPr>
        <w:t xml:space="preserve">yrektora Rządowego Centrum </w:t>
      </w:r>
      <w:r w:rsidR="005E7A69" w:rsidRPr="00833C88">
        <w:rPr>
          <w:rFonts w:eastAsiaTheme="minorEastAsia" w:cs="Times New Roman"/>
          <w:bCs/>
          <w:sz w:val="24"/>
          <w:szCs w:val="20"/>
          <w:lang w:eastAsia="pl-PL"/>
        </w:rPr>
        <w:t xml:space="preserve">Bezpieczeństwa Pełnomocnik. </w:t>
      </w:r>
      <w:r w:rsidR="009E1894" w:rsidRPr="00833C88">
        <w:rPr>
          <w:rFonts w:eastAsiaTheme="minorEastAsia" w:cs="Times New Roman"/>
          <w:bCs/>
          <w:sz w:val="24"/>
          <w:szCs w:val="20"/>
          <w:lang w:eastAsia="pl-PL"/>
        </w:rPr>
        <w:t xml:space="preserve">Dotychczasowa praktyka prac Zespołu </w:t>
      </w:r>
      <w:r w:rsidR="0065131D" w:rsidRPr="00833C88">
        <w:rPr>
          <w:rFonts w:eastAsiaTheme="minorEastAsia" w:cs="Times New Roman"/>
          <w:bCs/>
          <w:sz w:val="24"/>
          <w:szCs w:val="20"/>
          <w:lang w:eastAsia="pl-PL"/>
        </w:rPr>
        <w:t xml:space="preserve">Incydentów Krytycznych </w:t>
      </w:r>
      <w:r w:rsidR="009E1894" w:rsidRPr="00833C88">
        <w:rPr>
          <w:rFonts w:eastAsiaTheme="minorEastAsia" w:cs="Times New Roman"/>
          <w:bCs/>
          <w:sz w:val="24"/>
          <w:szCs w:val="20"/>
          <w:lang w:eastAsia="pl-PL"/>
        </w:rPr>
        <w:t xml:space="preserve">pokazała, że </w:t>
      </w:r>
      <w:r w:rsidR="003551E6" w:rsidRPr="00833C88">
        <w:rPr>
          <w:rFonts w:eastAsiaTheme="minorEastAsia" w:cs="Times New Roman"/>
          <w:bCs/>
          <w:sz w:val="24"/>
          <w:szCs w:val="20"/>
          <w:lang w:eastAsia="pl-PL"/>
        </w:rPr>
        <w:t>takie rozwiązanie będzie bardziej efektywne.</w:t>
      </w:r>
    </w:p>
    <w:p w14:paraId="3AA49064" w14:textId="7D527C33" w:rsidR="00FB0216" w:rsidRPr="00833C88" w:rsidRDefault="00AC5C9F" w:rsidP="00721076">
      <w:pPr>
        <w:spacing w:line="360" w:lineRule="auto"/>
        <w:ind w:firstLine="426"/>
        <w:jc w:val="both"/>
        <w:rPr>
          <w:rFonts w:eastAsiaTheme="minorEastAsia" w:cs="Times New Roman"/>
          <w:sz w:val="24"/>
          <w:szCs w:val="20"/>
          <w:lang w:eastAsia="pl-PL"/>
        </w:rPr>
      </w:pPr>
      <w:r w:rsidRPr="00833C88">
        <w:rPr>
          <w:rFonts w:eastAsiaTheme="minorEastAsia" w:cs="Times New Roman"/>
          <w:sz w:val="24"/>
          <w:szCs w:val="20"/>
          <w:lang w:eastAsia="pl-PL"/>
        </w:rPr>
        <w:t>Wprowadza się nowy przepis art. 35a, który</w:t>
      </w:r>
      <w:r w:rsidR="00FB0216" w:rsidRPr="00833C88">
        <w:rPr>
          <w:rFonts w:eastAsiaTheme="minorEastAsia" w:cs="Times New Roman"/>
          <w:sz w:val="24"/>
          <w:szCs w:val="20"/>
          <w:lang w:eastAsia="pl-PL"/>
        </w:rPr>
        <w:t xml:space="preserve"> umożliwia Prezesowi Rady Ministrów zobowiązanie, na podstawie </w:t>
      </w:r>
      <w:r w:rsidR="008232CC" w:rsidRPr="00833C88">
        <w:rPr>
          <w:rFonts w:eastAsiaTheme="minorEastAsia" w:cs="Times New Roman"/>
          <w:sz w:val="24"/>
          <w:szCs w:val="20"/>
          <w:lang w:eastAsia="pl-PL"/>
        </w:rPr>
        <w:t>propozycji użycia sił i środków niezbędnych do opanowania sytuacji kryzysowych</w:t>
      </w:r>
      <w:r w:rsidR="00BC4AE0" w:rsidRPr="00833C88">
        <w:rPr>
          <w:rFonts w:eastAsiaTheme="minorEastAsia" w:cs="Times New Roman"/>
          <w:sz w:val="24"/>
          <w:szCs w:val="20"/>
          <w:lang w:eastAsia="pl-PL"/>
        </w:rPr>
        <w:t xml:space="preserve"> przedstawioną przez </w:t>
      </w:r>
      <w:r w:rsidR="00FB0216" w:rsidRPr="00833C88">
        <w:rPr>
          <w:rFonts w:eastAsiaTheme="minorEastAsia" w:cs="Times New Roman"/>
          <w:sz w:val="24"/>
          <w:szCs w:val="20"/>
          <w:lang w:eastAsia="pl-PL"/>
        </w:rPr>
        <w:t>Rządow</w:t>
      </w:r>
      <w:r w:rsidR="00BC4AE0" w:rsidRPr="00833C88">
        <w:rPr>
          <w:rFonts w:eastAsiaTheme="minorEastAsia" w:cs="Times New Roman"/>
          <w:sz w:val="24"/>
          <w:szCs w:val="20"/>
          <w:lang w:eastAsia="pl-PL"/>
        </w:rPr>
        <w:t>y</w:t>
      </w:r>
      <w:r w:rsidR="00FB0216" w:rsidRPr="00833C88">
        <w:rPr>
          <w:rFonts w:eastAsiaTheme="minorEastAsia" w:cs="Times New Roman"/>
          <w:sz w:val="24"/>
          <w:szCs w:val="20"/>
          <w:lang w:eastAsia="pl-PL"/>
        </w:rPr>
        <w:t xml:space="preserve"> Zesp</w:t>
      </w:r>
      <w:r w:rsidR="00BC4AE0" w:rsidRPr="00833C88">
        <w:rPr>
          <w:rFonts w:eastAsiaTheme="minorEastAsia" w:cs="Times New Roman"/>
          <w:sz w:val="24"/>
          <w:szCs w:val="20"/>
          <w:lang w:eastAsia="pl-PL"/>
        </w:rPr>
        <w:t>ół</w:t>
      </w:r>
      <w:r w:rsidR="00FB0216" w:rsidRPr="00833C88">
        <w:rPr>
          <w:rFonts w:eastAsiaTheme="minorEastAsia" w:cs="Times New Roman"/>
          <w:sz w:val="24"/>
          <w:szCs w:val="20"/>
          <w:lang w:eastAsia="pl-PL"/>
        </w:rPr>
        <w:t xml:space="preserve"> Zarządzania Kryzysowego (RZZK), Ministra Obrony Narodowej do udzielenia wsparcia zespołowi CSIRT poziomu krajowego koordynującemu obsługę incydentu krytycznego, przez jednostki podległe lub nadzorowane przez Ministra Obrony Narodowej. Obecne przepisy przewidują, że </w:t>
      </w:r>
      <w:r w:rsidR="00C33A10">
        <w:rPr>
          <w:rFonts w:eastAsiaTheme="minorEastAsia" w:cs="Times New Roman"/>
          <w:sz w:val="24"/>
          <w:szCs w:val="20"/>
          <w:lang w:eastAsia="pl-PL"/>
        </w:rPr>
        <w:t>d</w:t>
      </w:r>
      <w:r w:rsidR="00FB0216" w:rsidRPr="00833C88">
        <w:rPr>
          <w:rFonts w:eastAsiaTheme="minorEastAsia" w:cs="Times New Roman"/>
          <w:sz w:val="24"/>
          <w:szCs w:val="20"/>
          <w:lang w:eastAsia="pl-PL"/>
        </w:rPr>
        <w:t>yrektor Rządowego Centrum Bezpieczeństwa, działając na podstawie decyzji Zespołu</w:t>
      </w:r>
      <w:r w:rsidR="007863C7" w:rsidRPr="00833C88">
        <w:rPr>
          <w:rFonts w:eastAsiaTheme="minorEastAsia" w:cs="Times New Roman"/>
          <w:sz w:val="24"/>
          <w:szCs w:val="20"/>
          <w:lang w:eastAsia="pl-PL"/>
        </w:rPr>
        <w:t xml:space="preserve"> ds. Incydentów Krytycznych</w:t>
      </w:r>
      <w:r w:rsidR="00FB0216" w:rsidRPr="00833C88">
        <w:rPr>
          <w:rFonts w:eastAsiaTheme="minorEastAsia" w:cs="Times New Roman"/>
          <w:sz w:val="24"/>
          <w:szCs w:val="20"/>
          <w:lang w:eastAsia="pl-PL"/>
        </w:rPr>
        <w:t>, może zwrócić się do Prezesa Rady Ministrów o zwołanie RZZK. Może się tak wydarzyć, jeżeli incydent krytyczny jest sytuacją kryzysową, wymagającą działania na</w:t>
      </w:r>
      <w:r w:rsidR="00DE38C1" w:rsidRPr="00833C88">
        <w:rPr>
          <w:rFonts w:eastAsiaTheme="minorEastAsia" w:cs="Times New Roman"/>
          <w:sz w:val="24"/>
          <w:szCs w:val="20"/>
          <w:lang w:eastAsia="pl-PL"/>
        </w:rPr>
        <w:t> </w:t>
      </w:r>
      <w:r w:rsidR="00FB0216" w:rsidRPr="00833C88">
        <w:rPr>
          <w:rFonts w:eastAsiaTheme="minorEastAsia" w:cs="Times New Roman"/>
          <w:sz w:val="24"/>
          <w:szCs w:val="20"/>
          <w:lang w:eastAsia="pl-PL"/>
        </w:rPr>
        <w:t>poziomie rządowym. Proponowany artykuł wpisuje się w ten model działania, umożliwiając udzielenie wsparcia zespołowi CSIRT przez wyspecjalizowane w zakresie cyberbezpieczeństwa jednostki podległe lub nadzorowane przez Ministra Obrony Narodowej. Decydującą rolę będzie miał tutaj Prezes Rady Ministrów, działający w oparciu o </w:t>
      </w:r>
      <w:r w:rsidR="007863C7" w:rsidRPr="00833C88">
        <w:rPr>
          <w:rFonts w:eastAsiaTheme="minorEastAsia" w:cs="Times New Roman"/>
          <w:sz w:val="24"/>
          <w:szCs w:val="20"/>
          <w:lang w:eastAsia="pl-PL"/>
        </w:rPr>
        <w:t>propozycję</w:t>
      </w:r>
      <w:r w:rsidR="00FB0216" w:rsidRPr="00833C88">
        <w:rPr>
          <w:rFonts w:eastAsiaTheme="minorEastAsia" w:cs="Times New Roman"/>
          <w:sz w:val="24"/>
          <w:szCs w:val="20"/>
          <w:lang w:eastAsia="pl-PL"/>
        </w:rPr>
        <w:t xml:space="preserve"> RZZK. Podkreślić należy, że dotychczasowa praktyka wskazuje, że zarówno Zespół do spraw Incydentów Krytycznych jak i RZZK są ciałami, które w sytuacjach nagłych są w stanie zebrać się szybko. Zaproponowane rozwiązanie jest zatem adekwatne.</w:t>
      </w:r>
    </w:p>
    <w:p w14:paraId="219ED034" w14:textId="08FC97F7" w:rsidR="00216A24" w:rsidRPr="00833C88" w:rsidRDefault="00216A24" w:rsidP="00BC7BDE">
      <w:pPr>
        <w:pStyle w:val="Nagwek2"/>
        <w:spacing w:before="0" w:after="120" w:line="360" w:lineRule="auto"/>
        <w:jc w:val="both"/>
        <w:rPr>
          <w:rFonts w:cs="Times New Roman"/>
          <w:b/>
          <w:bCs/>
          <w:sz w:val="24"/>
          <w:szCs w:val="24"/>
        </w:rPr>
      </w:pPr>
      <w:r w:rsidRPr="00833C88">
        <w:rPr>
          <w:rFonts w:cs="Times New Roman"/>
          <w:b/>
          <w:bCs/>
          <w:sz w:val="24"/>
          <w:szCs w:val="24"/>
        </w:rPr>
        <w:t xml:space="preserve">Ocena bezpieczeństwa </w:t>
      </w:r>
    </w:p>
    <w:p w14:paraId="38783E14" w14:textId="03506211" w:rsidR="009D0B8B" w:rsidRPr="00833C88" w:rsidRDefault="009D0B8B" w:rsidP="00533D2A">
      <w:pPr>
        <w:pStyle w:val="NIEARTTEKSTtekstnieartykuowanynppodstprawnarozplubpreambua"/>
        <w:spacing w:before="0" w:after="120"/>
        <w:ind w:firstLine="0"/>
        <w:rPr>
          <w:rFonts w:ascii="Times New Roman" w:hAnsi="Times New Roman" w:cs="Times New Roman"/>
        </w:rPr>
      </w:pPr>
      <w:r w:rsidRPr="00833C88">
        <w:rPr>
          <w:rFonts w:ascii="Times New Roman" w:hAnsi="Times New Roman" w:cs="Times New Roman"/>
        </w:rPr>
        <w:t>Wprowadz</w:t>
      </w:r>
      <w:r w:rsidR="00804DBB" w:rsidRPr="00833C88">
        <w:rPr>
          <w:rFonts w:ascii="Times New Roman" w:hAnsi="Times New Roman" w:cs="Times New Roman"/>
        </w:rPr>
        <w:t xml:space="preserve">a się </w:t>
      </w:r>
      <w:r w:rsidRPr="00833C88">
        <w:rPr>
          <w:rFonts w:ascii="Times New Roman" w:hAnsi="Times New Roman" w:cs="Times New Roman"/>
        </w:rPr>
        <w:t>możliwoś</w:t>
      </w:r>
      <w:r w:rsidR="00804DBB" w:rsidRPr="00833C88">
        <w:rPr>
          <w:rFonts w:ascii="Times New Roman" w:hAnsi="Times New Roman" w:cs="Times New Roman"/>
        </w:rPr>
        <w:t>ć</w:t>
      </w:r>
      <w:r w:rsidRPr="00833C88">
        <w:rPr>
          <w:rFonts w:ascii="Times New Roman" w:hAnsi="Times New Roman" w:cs="Times New Roman"/>
        </w:rPr>
        <w:t xml:space="preserve"> przeprowadzania przez CSIRT MON, CSIRT NASK</w:t>
      </w:r>
      <w:r w:rsidR="00F70A2C" w:rsidRPr="00833C88">
        <w:rPr>
          <w:rFonts w:ascii="Times New Roman" w:hAnsi="Times New Roman" w:cs="Times New Roman"/>
        </w:rPr>
        <w:t>, CSIRT GOV</w:t>
      </w:r>
      <w:r w:rsidR="0008478B" w:rsidRPr="00833C88">
        <w:rPr>
          <w:rFonts w:ascii="Times New Roman" w:hAnsi="Times New Roman" w:cs="Times New Roman"/>
        </w:rPr>
        <w:t xml:space="preserve"> </w:t>
      </w:r>
      <w:r w:rsidR="00601933" w:rsidRPr="00833C88">
        <w:rPr>
          <w:rFonts w:ascii="Times New Roman" w:hAnsi="Times New Roman" w:cs="Times New Roman"/>
        </w:rPr>
        <w:t>i </w:t>
      </w:r>
      <w:r w:rsidRPr="00833C88">
        <w:rPr>
          <w:rFonts w:ascii="Times New Roman" w:hAnsi="Times New Roman" w:cs="Times New Roman"/>
        </w:rPr>
        <w:t>CSIRT sektorowe, oceny bezpieczeństwa systemów informacyjnych wykorzystywanych przez podmioty krajowego systemu cyberbezpieczeństwa. Przepisy tego rozdziału były wzorowane na art. 32a ustawy</w:t>
      </w:r>
      <w:r w:rsidR="003A3B7D" w:rsidRPr="00833C88">
        <w:rPr>
          <w:rFonts w:ascii="Times New Roman" w:hAnsi="Times New Roman" w:cs="Times New Roman"/>
        </w:rPr>
        <w:t xml:space="preserve"> </w:t>
      </w:r>
      <w:r w:rsidR="00601933" w:rsidRPr="00833C88">
        <w:rPr>
          <w:rFonts w:ascii="Times New Roman" w:hAnsi="Times New Roman" w:cs="Times New Roman"/>
        </w:rPr>
        <w:t>o </w:t>
      </w:r>
      <w:r w:rsidR="003A3B7D" w:rsidRPr="00833C88">
        <w:rPr>
          <w:rFonts w:ascii="Times New Roman" w:hAnsi="Times New Roman" w:cs="Times New Roman"/>
        </w:rPr>
        <w:t xml:space="preserve">ABW </w:t>
      </w:r>
      <w:r w:rsidR="00601933" w:rsidRPr="00833C88">
        <w:rPr>
          <w:rFonts w:ascii="Times New Roman" w:hAnsi="Times New Roman" w:cs="Times New Roman"/>
        </w:rPr>
        <w:t>i </w:t>
      </w:r>
      <w:r w:rsidR="003A3B7D" w:rsidRPr="00833C88">
        <w:rPr>
          <w:rFonts w:ascii="Times New Roman" w:hAnsi="Times New Roman" w:cs="Times New Roman"/>
        </w:rPr>
        <w:t>AW</w:t>
      </w:r>
      <w:r w:rsidRPr="00833C88">
        <w:rPr>
          <w:rStyle w:val="Odwoanieprzypisudolnego"/>
          <w:rFonts w:ascii="Times New Roman" w:hAnsi="Times New Roman" w:cs="Times New Roman"/>
        </w:rPr>
        <w:footnoteReference w:id="45"/>
      </w:r>
      <w:r w:rsidRPr="00833C88">
        <w:rPr>
          <w:rFonts w:ascii="Times New Roman" w:hAnsi="Times New Roman" w:cs="Times New Roman"/>
          <w:vertAlign w:val="superscript"/>
        </w:rPr>
        <w:t>)</w:t>
      </w:r>
      <w:r w:rsidRPr="00833C88">
        <w:rPr>
          <w:rFonts w:ascii="Times New Roman" w:hAnsi="Times New Roman" w:cs="Times New Roman"/>
        </w:rPr>
        <w:t>. Wprowadzono jednak kilka istotnych zmian w stosunku do</w:t>
      </w:r>
      <w:r w:rsidR="00257D40" w:rsidRPr="00833C88">
        <w:rPr>
          <w:rFonts w:ascii="Times New Roman" w:hAnsi="Times New Roman" w:cs="Times New Roman"/>
        </w:rPr>
        <w:t> </w:t>
      </w:r>
      <w:r w:rsidRPr="00833C88">
        <w:rPr>
          <w:rFonts w:ascii="Times New Roman" w:hAnsi="Times New Roman" w:cs="Times New Roman"/>
        </w:rPr>
        <w:t xml:space="preserve">pierwowzoru. Przede wszystkim wyłącza się stosowanie tego przepisu do ocen bezpieczeństwa systemów teleinformatycznych podmiotów krajowego systemu </w:t>
      </w:r>
      <w:r w:rsidRPr="00833C88">
        <w:rPr>
          <w:rFonts w:ascii="Times New Roman" w:hAnsi="Times New Roman" w:cs="Times New Roman"/>
        </w:rPr>
        <w:lastRenderedPageBreak/>
        <w:t>cyberbezpieczeństwa, które znajdują się w zbiorze organów i podmiotów wymienionych w</w:t>
      </w:r>
      <w:r w:rsidR="00257D40" w:rsidRPr="00833C88">
        <w:rPr>
          <w:rFonts w:ascii="Times New Roman" w:hAnsi="Times New Roman" w:cs="Times New Roman"/>
        </w:rPr>
        <w:t> </w:t>
      </w:r>
      <w:r w:rsidRPr="00833C88">
        <w:rPr>
          <w:rFonts w:ascii="Times New Roman" w:hAnsi="Times New Roman" w:cs="Times New Roman"/>
        </w:rPr>
        <w:t>art. 32a ustawy o ABW i AW. Bez tego wyłączenia powstałyby dwie podstawy prawne do</w:t>
      </w:r>
      <w:r w:rsidR="00257D40" w:rsidRPr="00833C88">
        <w:rPr>
          <w:rFonts w:ascii="Times New Roman" w:hAnsi="Times New Roman" w:cs="Times New Roman"/>
        </w:rPr>
        <w:t> </w:t>
      </w:r>
      <w:r w:rsidRPr="00833C88">
        <w:rPr>
          <w:rFonts w:ascii="Times New Roman" w:hAnsi="Times New Roman" w:cs="Times New Roman"/>
        </w:rPr>
        <w:t>przeprowadzania ocen bezpieczeństwa wobec podmiotów krajowego systemu cyberbezpieczeństwa, które są jednocześnie operatorami infrastruktury krytycznej. Nie jest to</w:t>
      </w:r>
      <w:r w:rsidR="00257D40" w:rsidRPr="00833C88">
        <w:rPr>
          <w:rFonts w:ascii="Times New Roman" w:hAnsi="Times New Roman" w:cs="Times New Roman"/>
        </w:rPr>
        <w:t> </w:t>
      </w:r>
      <w:r w:rsidRPr="00833C88">
        <w:rPr>
          <w:rFonts w:ascii="Times New Roman" w:hAnsi="Times New Roman" w:cs="Times New Roman"/>
        </w:rPr>
        <w:t xml:space="preserve">sytuacja pożądana. </w:t>
      </w:r>
    </w:p>
    <w:p w14:paraId="77F2500A" w14:textId="43AFBA0C"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Ponadto wyłącza się stosowanie rozdziału 6b do systemów teleinformatycznych akredytowanych na podstawie art. 48 ustawy z dnia 5</w:t>
      </w:r>
      <w:r w:rsidR="00257D40" w:rsidRPr="00833C88">
        <w:rPr>
          <w:rFonts w:ascii="Times New Roman" w:hAnsi="Times New Roman" w:cs="Times New Roman"/>
        </w:rPr>
        <w:t xml:space="preserve"> sierpnia</w:t>
      </w:r>
      <w:r w:rsidRPr="00833C88">
        <w:rPr>
          <w:rFonts w:ascii="Times New Roman" w:hAnsi="Times New Roman" w:cs="Times New Roman"/>
        </w:rPr>
        <w:t xml:space="preserve"> 2010 r. o ochronie informacji niejawnych</w:t>
      </w:r>
      <w:r w:rsidR="00257D40" w:rsidRPr="00833C88">
        <w:rPr>
          <w:rFonts w:ascii="Times New Roman" w:hAnsi="Times New Roman" w:cs="Times New Roman"/>
        </w:rPr>
        <w:t xml:space="preserve"> (Dz. U. z 202</w:t>
      </w:r>
      <w:r w:rsidR="00D24B4F" w:rsidRPr="00833C88">
        <w:rPr>
          <w:rFonts w:ascii="Times New Roman" w:hAnsi="Times New Roman" w:cs="Times New Roman"/>
        </w:rPr>
        <w:t>5</w:t>
      </w:r>
      <w:r w:rsidR="00257D40" w:rsidRPr="00833C88">
        <w:rPr>
          <w:rFonts w:ascii="Times New Roman" w:hAnsi="Times New Roman" w:cs="Times New Roman"/>
        </w:rPr>
        <w:t xml:space="preserve"> r. poz. </w:t>
      </w:r>
      <w:r w:rsidR="00D24B4F" w:rsidRPr="00833C88">
        <w:rPr>
          <w:rFonts w:ascii="Times New Roman" w:hAnsi="Times New Roman" w:cs="Times New Roman"/>
        </w:rPr>
        <w:t>1209</w:t>
      </w:r>
      <w:r w:rsidR="00257D40" w:rsidRPr="00833C88">
        <w:rPr>
          <w:rFonts w:ascii="Times New Roman" w:hAnsi="Times New Roman" w:cs="Times New Roman"/>
        </w:rPr>
        <w:t>)</w:t>
      </w:r>
      <w:r w:rsidRPr="00833C88">
        <w:rPr>
          <w:rFonts w:ascii="Times New Roman" w:hAnsi="Times New Roman" w:cs="Times New Roman"/>
        </w:rPr>
        <w:t xml:space="preserve">. Są to systemy służące przetwarzaniu informacji niejawnych i tutaj pierwszeństwo powinny mieć przepisy ustawy </w:t>
      </w:r>
      <w:r w:rsidR="00257D40" w:rsidRPr="00833C88">
        <w:rPr>
          <w:rFonts w:ascii="Times New Roman" w:hAnsi="Times New Roman" w:cs="Times New Roman"/>
        </w:rPr>
        <w:t>z</w:t>
      </w:r>
      <w:r w:rsidR="00E465BF" w:rsidRPr="00833C88">
        <w:rPr>
          <w:rFonts w:ascii="Times New Roman" w:hAnsi="Times New Roman" w:cs="Times New Roman"/>
        </w:rPr>
        <w:t> </w:t>
      </w:r>
      <w:r w:rsidR="00257D40" w:rsidRPr="00833C88">
        <w:rPr>
          <w:rFonts w:ascii="Times New Roman" w:hAnsi="Times New Roman" w:cs="Times New Roman"/>
        </w:rPr>
        <w:t xml:space="preserve">dnia 5 sierpnia 2010 r. </w:t>
      </w:r>
      <w:r w:rsidRPr="00833C88">
        <w:rPr>
          <w:rFonts w:ascii="Times New Roman" w:hAnsi="Times New Roman" w:cs="Times New Roman"/>
        </w:rPr>
        <w:t>o ochronie informacji niejawnych.</w:t>
      </w:r>
    </w:p>
    <w:p w14:paraId="25F59A7A" w14:textId="2A2BE5DF"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Wprowadzono jasne określenie właściwości CSIRT poziomu krajowego do</w:t>
      </w:r>
      <w:r w:rsidR="00E465BF" w:rsidRPr="00833C88">
        <w:rPr>
          <w:rFonts w:ascii="Times New Roman" w:hAnsi="Times New Roman" w:cs="Times New Roman"/>
        </w:rPr>
        <w:t> </w:t>
      </w:r>
      <w:r w:rsidRPr="00833C88">
        <w:rPr>
          <w:rFonts w:ascii="Times New Roman" w:hAnsi="Times New Roman" w:cs="Times New Roman"/>
        </w:rPr>
        <w:t xml:space="preserve">przeprowadzania ocen bezpieczeństwa – nawiązuje ono do ogólnej właściwości zespołów CSIRT określonej </w:t>
      </w:r>
      <w:r w:rsidR="00601933" w:rsidRPr="00833C88">
        <w:rPr>
          <w:rFonts w:ascii="Times New Roman" w:hAnsi="Times New Roman" w:cs="Times New Roman"/>
        </w:rPr>
        <w:t>w </w:t>
      </w:r>
      <w:r w:rsidRPr="00833C88">
        <w:rPr>
          <w:rFonts w:ascii="Times New Roman" w:hAnsi="Times New Roman" w:cs="Times New Roman"/>
        </w:rPr>
        <w:t xml:space="preserve">art. 26 ust. 5–7. CSIRT sektorowe będą mogły przeprowadzać ocenę bezpieczeństwa wobec operatorów usług kluczowych w danym sektorze. </w:t>
      </w:r>
    </w:p>
    <w:p w14:paraId="5A340420" w14:textId="6C0839E3"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Wprowadza się również regułę, że przeprowadzanie oceny bezpieczeństwa powinno być uzgodnione z właściwym CSIRT poziomu krajowego. Jest to po to, aby w tym samym czasie nie były prowadzone oceny bezpieczeństwa przez kilka zespołów. Jednocześnie wprowadza się obowiązek poinformowania odpowiednio organu właściwego do spraw cyberbezpieczeństwa czy Prezesa U</w:t>
      </w:r>
      <w:r w:rsidR="00E53172" w:rsidRPr="00833C88">
        <w:rPr>
          <w:rFonts w:ascii="Times New Roman" w:hAnsi="Times New Roman" w:cs="Times New Roman"/>
        </w:rPr>
        <w:t>rzędu Komunikacji Elektronicznej</w:t>
      </w:r>
      <w:r w:rsidRPr="00833C88">
        <w:rPr>
          <w:rFonts w:ascii="Times New Roman" w:hAnsi="Times New Roman" w:cs="Times New Roman"/>
        </w:rPr>
        <w:t xml:space="preserve"> o zamiarze wykonania oceny bezpieczeństwa.</w:t>
      </w:r>
    </w:p>
    <w:p w14:paraId="44552177" w14:textId="5D6E51DB"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Ocena bezpieczeństwa będzie mogła być przeprowadzona wyłącznie za zgodą podmiotu krajowego systemu cyberbezpieczeństwa wyrażoną w postaci pisemnej lub elektronicznej pod rygorem nieważności. Jest to duża różnica względem art. 32a ustawy o ABW i AW, </w:t>
      </w:r>
      <w:r w:rsidR="00E465BF" w:rsidRPr="00833C88">
        <w:rPr>
          <w:rFonts w:ascii="Times New Roman" w:hAnsi="Times New Roman" w:cs="Times New Roman"/>
        </w:rPr>
        <w:t>zgodnie z</w:t>
      </w:r>
      <w:r w:rsidR="00BE2629" w:rsidRPr="00833C88">
        <w:rPr>
          <w:rFonts w:ascii="Times New Roman" w:hAnsi="Times New Roman" w:cs="Times New Roman"/>
        </w:rPr>
        <w:t> </w:t>
      </w:r>
      <w:r w:rsidR="00E465BF" w:rsidRPr="00833C88">
        <w:rPr>
          <w:rFonts w:ascii="Times New Roman" w:hAnsi="Times New Roman" w:cs="Times New Roman"/>
        </w:rPr>
        <w:t>którym</w:t>
      </w:r>
      <w:r w:rsidRPr="00833C88">
        <w:rPr>
          <w:rFonts w:ascii="Times New Roman" w:hAnsi="Times New Roman" w:cs="Times New Roman"/>
        </w:rPr>
        <w:t xml:space="preserve"> Szef ABW decyduje o włączeniu systemu teleinformatycznego operatora infrastruktury krytycznej do rocznego planu przeprowadzania ocen bezpieczeństwa.</w:t>
      </w:r>
      <w:r w:rsidR="00E437C7" w:rsidRPr="00833C88">
        <w:rPr>
          <w:rFonts w:ascii="Times New Roman" w:hAnsi="Times New Roman" w:cs="Times New Roman"/>
        </w:rPr>
        <w:t xml:space="preserve"> Jednakże dyrektywa NIS</w:t>
      </w:r>
      <w:r w:rsidR="000305CD" w:rsidRPr="00833C88">
        <w:rPr>
          <w:rFonts w:ascii="Times New Roman" w:hAnsi="Times New Roman" w:cs="Times New Roman"/>
        </w:rPr>
        <w:t> </w:t>
      </w:r>
      <w:r w:rsidR="00E437C7" w:rsidRPr="00833C88">
        <w:rPr>
          <w:rFonts w:ascii="Times New Roman" w:hAnsi="Times New Roman" w:cs="Times New Roman"/>
        </w:rPr>
        <w:t xml:space="preserve">2 przewiduje także przeprowadzanie </w:t>
      </w:r>
      <w:proofErr w:type="spellStart"/>
      <w:r w:rsidR="00E437C7" w:rsidRPr="00833C88">
        <w:rPr>
          <w:rFonts w:ascii="Times New Roman" w:hAnsi="Times New Roman" w:cs="Times New Roman"/>
          <w:i/>
          <w:iCs/>
        </w:rPr>
        <w:t>security</w:t>
      </w:r>
      <w:proofErr w:type="spellEnd"/>
      <w:r w:rsidR="00E437C7" w:rsidRPr="00833C88">
        <w:rPr>
          <w:rFonts w:ascii="Times New Roman" w:hAnsi="Times New Roman" w:cs="Times New Roman"/>
          <w:i/>
          <w:iCs/>
        </w:rPr>
        <w:t xml:space="preserve"> </w:t>
      </w:r>
      <w:proofErr w:type="spellStart"/>
      <w:r w:rsidR="00E437C7" w:rsidRPr="00833C88">
        <w:rPr>
          <w:rFonts w:ascii="Times New Roman" w:hAnsi="Times New Roman" w:cs="Times New Roman"/>
          <w:i/>
          <w:iCs/>
        </w:rPr>
        <w:t>scans</w:t>
      </w:r>
      <w:proofErr w:type="spellEnd"/>
      <w:r w:rsidR="00E437C7" w:rsidRPr="00833C88">
        <w:rPr>
          <w:rFonts w:ascii="Times New Roman" w:hAnsi="Times New Roman" w:cs="Times New Roman"/>
        </w:rPr>
        <w:t xml:space="preserve"> wobec podmiotu kluczowego lub podmiotu ważnego. Dlatego wprowadza się możliwość przeprowadzenia </w:t>
      </w:r>
      <w:r w:rsidR="00D765C9" w:rsidRPr="00833C88">
        <w:rPr>
          <w:rFonts w:ascii="Times New Roman" w:hAnsi="Times New Roman" w:cs="Times New Roman"/>
        </w:rPr>
        <w:t>oceny bezpieczeństwa na zlecenie organu właściwego do spraw cyberbezpieczeństwa.</w:t>
      </w:r>
    </w:p>
    <w:p w14:paraId="62DB1A8D" w14:textId="3DD8F439" w:rsidR="00D620F7" w:rsidRPr="00833C88" w:rsidRDefault="00D620F7" w:rsidP="00533D2A">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Część urzędów administracji publicznej ma zagwarantowaną niezależność. Dlatego wprowadza się zasadę, że </w:t>
      </w:r>
      <w:r w:rsidR="00F93DC0" w:rsidRPr="00833C88">
        <w:rPr>
          <w:rFonts w:ascii="Times New Roman" w:hAnsi="Times New Roman" w:cs="Times New Roman"/>
        </w:rPr>
        <w:t xml:space="preserve">ocenę bezpieczeństwa systemów informacyjnych Kancelarii Sejmu, Kancelarii Senatu, Kancelarii Prezydenta Rzeczypospolitej Polskiej, Narodowego Banku Polskiego, Biura Rzecznika Praw Obywatelskich, Biura Rzecznika Praw Dziecka, Instytutu </w:t>
      </w:r>
      <w:r w:rsidR="00F93DC0" w:rsidRPr="00833C88">
        <w:rPr>
          <w:rFonts w:ascii="Times New Roman" w:hAnsi="Times New Roman" w:cs="Times New Roman"/>
        </w:rPr>
        <w:lastRenderedPageBreak/>
        <w:t>Pamięci Narodowej – Komisji Ścigania Zbrodni przeciwko Narodowi Polskiemu, Państwowej Inspekcji Pracy, Trybunału Konstytucyjnego, Sądu Najwyższego, sądów administracyjnych, Najwyższej Izby Kontroli, Krajowej Rady Radiofonii i Telewizji, Krajowego Biura Wyborczego, Urzędu Ochrony Danych Osobowych przeprowadza się wyłącznie po uzyskaniu zgody tych podmiotów.</w:t>
      </w:r>
    </w:p>
    <w:p w14:paraId="581F2793" w14:textId="4B8EB7CF" w:rsidR="00F93DC0" w:rsidRPr="00833C88" w:rsidRDefault="0045150E" w:rsidP="00653C0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Aby ograniczyć arbitralność </w:t>
      </w:r>
      <w:r w:rsidR="00932191" w:rsidRPr="00833C88">
        <w:rPr>
          <w:rFonts w:ascii="Times New Roman" w:hAnsi="Times New Roman" w:cs="Times New Roman"/>
        </w:rPr>
        <w:t xml:space="preserve">organu właściwego do spraw cyberbezpieczeństwa przy </w:t>
      </w:r>
      <w:r w:rsidRPr="00833C88">
        <w:rPr>
          <w:rFonts w:ascii="Times New Roman" w:hAnsi="Times New Roman" w:cs="Times New Roman"/>
        </w:rPr>
        <w:t>wybor</w:t>
      </w:r>
      <w:r w:rsidR="00932191" w:rsidRPr="00833C88">
        <w:rPr>
          <w:rFonts w:ascii="Times New Roman" w:hAnsi="Times New Roman" w:cs="Times New Roman"/>
        </w:rPr>
        <w:t>ze</w:t>
      </w:r>
      <w:r w:rsidRPr="00833C88">
        <w:rPr>
          <w:rFonts w:ascii="Times New Roman" w:hAnsi="Times New Roman" w:cs="Times New Roman"/>
        </w:rPr>
        <w:t xml:space="preserve"> podmiotu, którego </w:t>
      </w:r>
      <w:r w:rsidR="009B6543" w:rsidRPr="00833C88">
        <w:rPr>
          <w:rFonts w:ascii="Times New Roman" w:hAnsi="Times New Roman" w:cs="Times New Roman"/>
        </w:rPr>
        <w:t xml:space="preserve">system informacyjny </w:t>
      </w:r>
      <w:r w:rsidR="00932191" w:rsidRPr="00833C88">
        <w:rPr>
          <w:rFonts w:ascii="Times New Roman" w:hAnsi="Times New Roman" w:cs="Times New Roman"/>
        </w:rPr>
        <w:t>będzie podlegał ocenie bezpieczeństwa wprowadza się obowiązek przeprowadzenia wcześniej przez organ analizy</w:t>
      </w:r>
      <w:r w:rsidR="00582B11" w:rsidRPr="00833C88">
        <w:rPr>
          <w:rFonts w:ascii="Times New Roman" w:hAnsi="Times New Roman" w:cs="Times New Roman"/>
        </w:rPr>
        <w:t xml:space="preserve"> ryzyka. Wyniki analizy ryzyka stanowić będą podstawę do wyboru podmiotu do przeprowadzenia oceny bezpieczeństwa. </w:t>
      </w:r>
    </w:p>
    <w:p w14:paraId="0B348F2A" w14:textId="6E1EF9E3" w:rsidR="0086072B" w:rsidRPr="00833C88" w:rsidRDefault="009D0B8B" w:rsidP="00746132">
      <w:pPr>
        <w:pStyle w:val="NIEARTTEKSTtekstnieartykuowanynppodstprawnarozplubpreambua"/>
        <w:tabs>
          <w:tab w:val="left" w:pos="142"/>
        </w:tabs>
        <w:spacing w:before="0"/>
        <w:rPr>
          <w:rFonts w:ascii="Times New Roman" w:hAnsi="Times New Roman" w:cs="Times New Roman"/>
        </w:rPr>
      </w:pPr>
      <w:r w:rsidRPr="00833C88">
        <w:rPr>
          <w:rFonts w:ascii="Times New Roman" w:hAnsi="Times New Roman" w:cs="Times New Roman"/>
        </w:rPr>
        <w:t>Celem oceny bezpieczeństwa jest pomoc w identyfikacji podatności. Ma ona charakter prewencyjny. Jednakże prowadzenie tej oceny nie może zaszkodzić systemowi informacyjnemu, a szerzej podmiotowi, który korzysta z tego systemu i świadczy usługi dla swoich klientów. Dlatego wprowadza się zasadę, zgodnie z którą czynności przeprowadzane w ramach oceny bezpieczeństwa powinny w jak najmniejszym stopniu zakłócać funkcjonowanie tego systemu lub ograniczać jego dostępność. Tym</w:t>
      </w:r>
      <w:r w:rsidR="003C1CD6" w:rsidRPr="00833C88">
        <w:rPr>
          <w:rFonts w:ascii="Times New Roman" w:hAnsi="Times New Roman" w:cs="Times New Roman"/>
        </w:rPr>
        <w:t> </w:t>
      </w:r>
      <w:r w:rsidRPr="00833C88">
        <w:rPr>
          <w:rFonts w:ascii="Times New Roman" w:hAnsi="Times New Roman" w:cs="Times New Roman"/>
        </w:rPr>
        <w:t xml:space="preserve">bardziej nie jest dopuszczalne, aby działania te doprowadziły do nieodwracalnego zniszczenia danych w systemie poddanym ocenie. Przepis ten </w:t>
      </w:r>
      <w:r w:rsidR="006E00AD" w:rsidRPr="00833C88">
        <w:rPr>
          <w:rFonts w:ascii="Times New Roman" w:hAnsi="Times New Roman" w:cs="Times New Roman"/>
        </w:rPr>
        <w:t xml:space="preserve">ma </w:t>
      </w:r>
      <w:r w:rsidRPr="00833C88">
        <w:rPr>
          <w:rFonts w:ascii="Times New Roman" w:hAnsi="Times New Roman" w:cs="Times New Roman"/>
        </w:rPr>
        <w:t>stanowi</w:t>
      </w:r>
      <w:r w:rsidR="00B316B4" w:rsidRPr="00833C88">
        <w:rPr>
          <w:rFonts w:ascii="Times New Roman" w:hAnsi="Times New Roman" w:cs="Times New Roman"/>
        </w:rPr>
        <w:t>ć</w:t>
      </w:r>
      <w:r w:rsidRPr="00833C88">
        <w:rPr>
          <w:rFonts w:ascii="Times New Roman" w:hAnsi="Times New Roman" w:cs="Times New Roman"/>
        </w:rPr>
        <w:t xml:space="preserve"> ogólną </w:t>
      </w:r>
      <w:r w:rsidR="003C1CD6" w:rsidRPr="00833C88">
        <w:rPr>
          <w:rFonts w:ascii="Times New Roman" w:hAnsi="Times New Roman" w:cs="Times New Roman"/>
        </w:rPr>
        <w:t xml:space="preserve">zasadę </w:t>
      </w:r>
      <w:r w:rsidRPr="00833C88">
        <w:rPr>
          <w:rFonts w:ascii="Times New Roman" w:hAnsi="Times New Roman" w:cs="Times New Roman"/>
        </w:rPr>
        <w:t>dla osób przeprowadzających ocenę bezpieczeństwa i stanowi gwarancję dla podmiotu krajowego systemu cyberbezpieczeństwa</w:t>
      </w:r>
      <w:r w:rsidR="003C1CD6" w:rsidRPr="00833C88">
        <w:rPr>
          <w:rFonts w:ascii="Times New Roman" w:hAnsi="Times New Roman" w:cs="Times New Roman"/>
        </w:rPr>
        <w:t>,</w:t>
      </w:r>
      <w:r w:rsidRPr="00833C88">
        <w:rPr>
          <w:rFonts w:ascii="Times New Roman" w:hAnsi="Times New Roman" w:cs="Times New Roman"/>
        </w:rPr>
        <w:t xml:space="preserve"> wobec którego prowadzona jest ocena bezpieczeństwa.</w:t>
      </w:r>
      <w:r w:rsidR="00B371C8" w:rsidRPr="00833C88">
        <w:rPr>
          <w:rFonts w:ascii="Times New Roman" w:hAnsi="Times New Roman" w:cs="Times New Roman"/>
        </w:rPr>
        <w:t xml:space="preserve"> D</w:t>
      </w:r>
      <w:r w:rsidR="007F2DD1" w:rsidRPr="00833C88">
        <w:rPr>
          <w:rFonts w:ascii="Times New Roman" w:hAnsi="Times New Roman" w:cs="Times New Roman"/>
        </w:rPr>
        <w:t xml:space="preserve">odatkowo wprowadzono katalog sytuacji w których </w:t>
      </w:r>
      <w:r w:rsidR="0086072B" w:rsidRPr="00833C88">
        <w:rPr>
          <w:rFonts w:ascii="Times New Roman" w:hAnsi="Times New Roman" w:cs="Times New Roman"/>
        </w:rPr>
        <w:t>ocena bezpieczeństwa nie może być przeprowadzona, a rozpoczętą przerywa się. Są to sytuacje, gdy:</w:t>
      </w:r>
    </w:p>
    <w:p w14:paraId="7A64E24C" w14:textId="1631343A" w:rsidR="0086072B" w:rsidRPr="00833C88" w:rsidRDefault="0086072B" w:rsidP="00746132">
      <w:pPr>
        <w:pStyle w:val="NIEARTTEKSTtekstnieartykuowanynppodstprawnarozplubpreambua"/>
        <w:spacing w:before="0"/>
        <w:ind w:left="567" w:hanging="425"/>
        <w:rPr>
          <w:rFonts w:ascii="Times New Roman" w:hAnsi="Times New Roman" w:cs="Times New Roman"/>
        </w:rPr>
      </w:pPr>
      <w:r w:rsidRPr="00833C88">
        <w:rPr>
          <w:rFonts w:ascii="Times New Roman" w:hAnsi="Times New Roman" w:cs="Times New Roman"/>
        </w:rPr>
        <w:t>1)</w:t>
      </w:r>
      <w:r w:rsidR="00E805F1" w:rsidRPr="00833C88">
        <w:rPr>
          <w:rFonts w:ascii="Times New Roman" w:hAnsi="Times New Roman" w:cs="Times New Roman"/>
        </w:rPr>
        <w:tab/>
      </w:r>
      <w:r w:rsidRPr="00833C88">
        <w:rPr>
          <w:rFonts w:ascii="Times New Roman" w:hAnsi="Times New Roman" w:cs="Times New Roman"/>
        </w:rPr>
        <w:t>podmiot krajowego systemu cyberbezpieczeństwa nie posiada kopii bezpieczeństwa badanego systemu</w:t>
      </w:r>
      <w:r w:rsidR="00046C41" w:rsidRPr="00833C88">
        <w:rPr>
          <w:rStyle w:val="Odwoanieprzypisudolnego"/>
          <w:rFonts w:ascii="Times New Roman" w:hAnsi="Times New Roman" w:cs="Times New Roman"/>
        </w:rPr>
        <w:footnoteReference w:id="46"/>
      </w:r>
      <w:r w:rsidR="00D24B4F" w:rsidRPr="00833C88">
        <w:rPr>
          <w:rFonts w:ascii="Times New Roman" w:hAnsi="Times New Roman" w:cs="Times New Roman"/>
          <w:vertAlign w:val="superscript"/>
        </w:rPr>
        <w:t>)</w:t>
      </w:r>
      <w:r w:rsidRPr="00833C88">
        <w:rPr>
          <w:rFonts w:ascii="Times New Roman" w:hAnsi="Times New Roman" w:cs="Times New Roman"/>
        </w:rPr>
        <w:t>;</w:t>
      </w:r>
    </w:p>
    <w:p w14:paraId="0B4A659D" w14:textId="005D88DB" w:rsidR="0086072B" w:rsidRPr="00833C88" w:rsidRDefault="0086072B" w:rsidP="00746132">
      <w:pPr>
        <w:pStyle w:val="NIEARTTEKSTtekstnieartykuowanynppodstprawnarozplubpreambua"/>
        <w:spacing w:before="0"/>
        <w:ind w:left="567" w:hanging="425"/>
        <w:rPr>
          <w:rFonts w:ascii="Times New Roman" w:hAnsi="Times New Roman" w:cs="Times New Roman"/>
        </w:rPr>
      </w:pPr>
      <w:r w:rsidRPr="00833C88">
        <w:rPr>
          <w:rFonts w:ascii="Times New Roman" w:hAnsi="Times New Roman" w:cs="Times New Roman"/>
        </w:rPr>
        <w:t>2)</w:t>
      </w:r>
      <w:r w:rsidRPr="00833C88">
        <w:rPr>
          <w:rFonts w:ascii="Times New Roman" w:hAnsi="Times New Roman" w:cs="Times New Roman"/>
        </w:rPr>
        <w:tab/>
        <w:t>istnieje zagrożenie nieodwracalnego zniszczenia danych przetwarzanych w</w:t>
      </w:r>
      <w:r w:rsidR="00242BED" w:rsidRPr="00833C88">
        <w:rPr>
          <w:rFonts w:ascii="Times New Roman" w:hAnsi="Times New Roman" w:cs="Times New Roman"/>
        </w:rPr>
        <w:t> </w:t>
      </w:r>
      <w:r w:rsidRPr="00833C88">
        <w:rPr>
          <w:rFonts w:ascii="Times New Roman" w:hAnsi="Times New Roman" w:cs="Times New Roman"/>
        </w:rPr>
        <w:t>systemie;</w:t>
      </w:r>
    </w:p>
    <w:p w14:paraId="4028F002" w14:textId="77777777" w:rsidR="0086072B" w:rsidRPr="00833C88" w:rsidRDefault="0086072B" w:rsidP="00746132">
      <w:pPr>
        <w:pStyle w:val="NIEARTTEKSTtekstnieartykuowanynppodstprawnarozplubpreambua"/>
        <w:spacing w:before="0"/>
        <w:ind w:left="567" w:hanging="425"/>
        <w:rPr>
          <w:rFonts w:ascii="Times New Roman" w:hAnsi="Times New Roman" w:cs="Times New Roman"/>
        </w:rPr>
      </w:pPr>
      <w:r w:rsidRPr="00833C88">
        <w:rPr>
          <w:rFonts w:ascii="Times New Roman" w:hAnsi="Times New Roman" w:cs="Times New Roman"/>
        </w:rPr>
        <w:t>3)</w:t>
      </w:r>
      <w:r w:rsidRPr="00833C88">
        <w:rPr>
          <w:rFonts w:ascii="Times New Roman" w:hAnsi="Times New Roman" w:cs="Times New Roman"/>
        </w:rPr>
        <w:tab/>
        <w:t>czas potrzebny na przywrócenie systemu z kopii bezpieczeństwa może w istotny sposób zakłócić pracę systemu lub ograniczyć jego dostępność;</w:t>
      </w:r>
    </w:p>
    <w:p w14:paraId="7D8C4A80" w14:textId="77777777" w:rsidR="0086072B" w:rsidRPr="00833C88" w:rsidRDefault="0086072B" w:rsidP="00746132">
      <w:pPr>
        <w:pStyle w:val="NIEARTTEKSTtekstnieartykuowanynppodstprawnarozplubpreambua"/>
        <w:spacing w:before="0"/>
        <w:ind w:left="567" w:hanging="425"/>
        <w:rPr>
          <w:rFonts w:ascii="Times New Roman" w:hAnsi="Times New Roman" w:cs="Times New Roman"/>
        </w:rPr>
      </w:pPr>
      <w:r w:rsidRPr="00833C88">
        <w:rPr>
          <w:rFonts w:ascii="Times New Roman" w:hAnsi="Times New Roman" w:cs="Times New Roman"/>
        </w:rPr>
        <w:lastRenderedPageBreak/>
        <w:t>4)</w:t>
      </w:r>
      <w:r w:rsidRPr="00833C88">
        <w:rPr>
          <w:rFonts w:ascii="Times New Roman" w:hAnsi="Times New Roman" w:cs="Times New Roman"/>
        </w:rPr>
        <w:tab/>
        <w:t>czynności podejmowane podczas oceny bezpieczeństwa mogą doprowadzić do uszkodzenia produktów ICT wchodzących w skład tego systemu oraz innych systemów informacyjnych podmiotu kluczowego;</w:t>
      </w:r>
    </w:p>
    <w:p w14:paraId="10F19D03" w14:textId="0A12FF2C" w:rsidR="009D0B8B" w:rsidRPr="00833C88" w:rsidRDefault="0086072B" w:rsidP="00746132">
      <w:pPr>
        <w:pStyle w:val="NIEARTTEKSTtekstnieartykuowanynppodstprawnarozplubpreambua"/>
        <w:spacing w:before="0"/>
        <w:ind w:left="567" w:hanging="425"/>
        <w:rPr>
          <w:rFonts w:ascii="Times New Roman" w:hAnsi="Times New Roman" w:cs="Times New Roman"/>
        </w:rPr>
      </w:pPr>
      <w:r w:rsidRPr="00833C88">
        <w:rPr>
          <w:rFonts w:ascii="Times New Roman" w:hAnsi="Times New Roman" w:cs="Times New Roman"/>
        </w:rPr>
        <w:t>5)</w:t>
      </w:r>
      <w:r w:rsidRPr="00833C88">
        <w:rPr>
          <w:rFonts w:ascii="Times New Roman" w:hAnsi="Times New Roman" w:cs="Times New Roman"/>
        </w:rPr>
        <w:tab/>
        <w:t>istnieje zagrożenie ograniczenia dostępności usług świadczonych przez podmiot krajowego systemu cyberbezpieczeństwa.</w:t>
      </w:r>
    </w:p>
    <w:p w14:paraId="20213A35" w14:textId="0494A2A6"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Po uzyskaniu zgody od podmiotu krajowego systemu cyberbezpieczeństwa</w:t>
      </w:r>
      <w:r w:rsidR="00D765C9" w:rsidRPr="00833C88">
        <w:rPr>
          <w:rFonts w:ascii="Times New Roman" w:hAnsi="Times New Roman" w:cs="Times New Roman"/>
        </w:rPr>
        <w:t xml:space="preserve"> albo po</w:t>
      </w:r>
      <w:r w:rsidR="003C1CD6" w:rsidRPr="00833C88">
        <w:rPr>
          <w:rFonts w:ascii="Times New Roman" w:hAnsi="Times New Roman" w:cs="Times New Roman"/>
        </w:rPr>
        <w:t> </w:t>
      </w:r>
      <w:r w:rsidR="00D765C9" w:rsidRPr="00833C88">
        <w:rPr>
          <w:rFonts w:ascii="Times New Roman" w:hAnsi="Times New Roman" w:cs="Times New Roman"/>
        </w:rPr>
        <w:t>otrzymaniu zlecenia od organu właściwego do spraw cyberbezpieczeństwa</w:t>
      </w:r>
      <w:r w:rsidR="006E00AD" w:rsidRPr="00833C88">
        <w:rPr>
          <w:rFonts w:ascii="Times New Roman" w:hAnsi="Times New Roman" w:cs="Times New Roman"/>
        </w:rPr>
        <w:t>,</w:t>
      </w:r>
      <w:r w:rsidRPr="00833C88">
        <w:rPr>
          <w:rFonts w:ascii="Times New Roman" w:hAnsi="Times New Roman" w:cs="Times New Roman"/>
        </w:rPr>
        <w:t xml:space="preserve"> CSIRT przeprowadzający ocenę bezpieczeństwa będzie obowiązany uzgodnić tryb i ramowe warunki przeprowadzania tej oceny, w szczególności datę rozpoczęcia, harmonogram oraz zakres i rodzaj przeprowadzanych w ramach oceny bezpieczeństwa testów bezpieczeństwa. </w:t>
      </w:r>
      <w:r w:rsidR="00DE45FC" w:rsidRPr="00833C88">
        <w:rPr>
          <w:rFonts w:ascii="Times New Roman" w:hAnsi="Times New Roman" w:cs="Times New Roman"/>
        </w:rPr>
        <w:t>Aby</w:t>
      </w:r>
      <w:r w:rsidR="00DE38C1" w:rsidRPr="00833C88">
        <w:rPr>
          <w:rFonts w:ascii="Times New Roman" w:hAnsi="Times New Roman" w:cs="Times New Roman"/>
        </w:rPr>
        <w:t> </w:t>
      </w:r>
      <w:r w:rsidR="00DE45FC" w:rsidRPr="00833C88">
        <w:rPr>
          <w:rFonts w:ascii="Times New Roman" w:hAnsi="Times New Roman" w:cs="Times New Roman"/>
        </w:rPr>
        <w:t>przeprowadzić taką ocenę zespół CSIRT musi otrzymać niezbędne informacje</w:t>
      </w:r>
      <w:r w:rsidR="004D6873" w:rsidRPr="00833C88">
        <w:rPr>
          <w:rFonts w:ascii="Times New Roman" w:hAnsi="Times New Roman" w:cs="Times New Roman"/>
        </w:rPr>
        <w:t xml:space="preserve"> techniczne i</w:t>
      </w:r>
      <w:r w:rsidR="00721076" w:rsidRPr="00833C88">
        <w:rPr>
          <w:rFonts w:ascii="Times New Roman" w:hAnsi="Times New Roman" w:cs="Times New Roman"/>
        </w:rPr>
        <w:t> </w:t>
      </w:r>
      <w:r w:rsidR="004D6873" w:rsidRPr="00833C88">
        <w:rPr>
          <w:rFonts w:ascii="Times New Roman" w:hAnsi="Times New Roman" w:cs="Times New Roman"/>
        </w:rPr>
        <w:t>organizacyjne dotyczące systemu. Dlatego podmiot, którego system podlega ocenie będzie przekazywał te informacje do zespołu CSIRT. Dodatkowo wskaże on</w:t>
      </w:r>
      <w:r w:rsidR="00142192" w:rsidRPr="00833C88">
        <w:rPr>
          <w:rFonts w:ascii="Times New Roman" w:hAnsi="Times New Roman" w:cs="Times New Roman"/>
        </w:rPr>
        <w:t>: imię i nazwisko, służbowy adres poczty elektronicznej oraz służbowy numer telefonu osoby upoważnionej do</w:t>
      </w:r>
      <w:r w:rsidR="00DE38C1" w:rsidRPr="00833C88">
        <w:rPr>
          <w:rFonts w:ascii="Times New Roman" w:hAnsi="Times New Roman" w:cs="Times New Roman"/>
        </w:rPr>
        <w:t> </w:t>
      </w:r>
      <w:r w:rsidR="00142192" w:rsidRPr="00833C88">
        <w:rPr>
          <w:rFonts w:ascii="Times New Roman" w:hAnsi="Times New Roman" w:cs="Times New Roman"/>
        </w:rPr>
        <w:t>reprezentacji podmiotu a także osoby upoważnionej do udzielania wyjaśnień CSIRT w</w:t>
      </w:r>
      <w:r w:rsidR="00DE38C1" w:rsidRPr="00833C88">
        <w:rPr>
          <w:rFonts w:ascii="Times New Roman" w:hAnsi="Times New Roman" w:cs="Times New Roman"/>
        </w:rPr>
        <w:t> </w:t>
      </w:r>
      <w:r w:rsidR="00142192" w:rsidRPr="00833C88">
        <w:rPr>
          <w:rFonts w:ascii="Times New Roman" w:hAnsi="Times New Roman" w:cs="Times New Roman"/>
        </w:rPr>
        <w:t xml:space="preserve">trakcie przeprowadzania oceny bezpieczeństwa. </w:t>
      </w:r>
      <w:r w:rsidR="00253CE5" w:rsidRPr="00833C88">
        <w:rPr>
          <w:rFonts w:ascii="Times New Roman" w:hAnsi="Times New Roman" w:cs="Times New Roman"/>
        </w:rPr>
        <w:t>Dzięki temu zespół CSIRT będzie wiedział, z kim skontaktować się celem ustalenia szczegółów dotyczących przeprowadzania oceny bezpieczeństwa.</w:t>
      </w:r>
    </w:p>
    <w:p w14:paraId="35C2CCFC" w14:textId="34F1B85C"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Zespół CSIRT przeprowadzający ocenę bezpieczeństwa otrzyma dwa ważne uprawnienia, które są niezbędne do skutecznego przeprowadzenia takiej oceny.</w:t>
      </w:r>
    </w:p>
    <w:p w14:paraId="0D3EAF33" w14:textId="1B3ACEBF"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Po pierwsze</w:t>
      </w:r>
      <w:r w:rsidR="00E53172" w:rsidRPr="00833C88">
        <w:rPr>
          <w:rFonts w:ascii="Times New Roman" w:hAnsi="Times New Roman" w:cs="Times New Roman"/>
        </w:rPr>
        <w:t>,</w:t>
      </w:r>
      <w:r w:rsidRPr="00833C88">
        <w:rPr>
          <w:rFonts w:ascii="Times New Roman" w:hAnsi="Times New Roman" w:cs="Times New Roman"/>
        </w:rPr>
        <w:t xml:space="preserve"> będzie uprawniony do wytworzenia lub pozyskania urządzeń lub oprogramowania przystosowanych do popełnienia przestępstw określonych </w:t>
      </w:r>
      <w:r w:rsidR="00601933" w:rsidRPr="00833C88">
        <w:rPr>
          <w:rFonts w:ascii="Times New Roman" w:hAnsi="Times New Roman" w:cs="Times New Roman"/>
        </w:rPr>
        <w:t>w </w:t>
      </w:r>
      <w:r w:rsidRPr="00833C88">
        <w:rPr>
          <w:rFonts w:ascii="Times New Roman" w:hAnsi="Times New Roman" w:cs="Times New Roman"/>
        </w:rPr>
        <w:t>art. 165 § 1 pkt 4</w:t>
      </w:r>
      <w:r w:rsidRPr="00833C88">
        <w:rPr>
          <w:rStyle w:val="Odwoanieprzypisudolnego"/>
          <w:rFonts w:ascii="Times New Roman" w:hAnsi="Times New Roman" w:cs="Times New Roman"/>
        </w:rPr>
        <w:footnoteReference w:id="47"/>
      </w:r>
      <w:r w:rsidRPr="00833C88">
        <w:rPr>
          <w:rFonts w:ascii="Times New Roman" w:hAnsi="Times New Roman" w:cs="Times New Roman"/>
          <w:vertAlign w:val="superscript"/>
        </w:rPr>
        <w:t>)</w:t>
      </w:r>
      <w:r w:rsidRPr="00833C88">
        <w:rPr>
          <w:rFonts w:ascii="Times New Roman" w:hAnsi="Times New Roman" w:cs="Times New Roman"/>
        </w:rPr>
        <w:t>, art. 267 § 3</w:t>
      </w:r>
      <w:r w:rsidRPr="00833C88">
        <w:rPr>
          <w:rStyle w:val="Odwoanieprzypisudolnego"/>
          <w:rFonts w:ascii="Times New Roman" w:hAnsi="Times New Roman" w:cs="Times New Roman"/>
        </w:rPr>
        <w:footnoteReference w:id="48"/>
      </w:r>
      <w:r w:rsidRPr="00833C88">
        <w:rPr>
          <w:rFonts w:ascii="Times New Roman" w:hAnsi="Times New Roman" w:cs="Times New Roman"/>
          <w:vertAlign w:val="superscript"/>
        </w:rPr>
        <w:t>)</w:t>
      </w:r>
      <w:r w:rsidRPr="00833C88">
        <w:rPr>
          <w:rFonts w:ascii="Times New Roman" w:hAnsi="Times New Roman" w:cs="Times New Roman"/>
        </w:rPr>
        <w:t>, art. 268a</w:t>
      </w:r>
      <w:r w:rsidRPr="00833C88">
        <w:rPr>
          <w:rStyle w:val="Odwoanieprzypisudolnego"/>
          <w:rFonts w:ascii="Times New Roman" w:hAnsi="Times New Roman" w:cs="Times New Roman"/>
        </w:rPr>
        <w:footnoteReference w:id="49"/>
      </w:r>
      <w:r w:rsidRPr="00833C88">
        <w:rPr>
          <w:rFonts w:ascii="Times New Roman" w:hAnsi="Times New Roman" w:cs="Times New Roman"/>
          <w:vertAlign w:val="superscript"/>
        </w:rPr>
        <w:t>)</w:t>
      </w:r>
      <w:r w:rsidRPr="00833C88">
        <w:rPr>
          <w:rFonts w:ascii="Times New Roman" w:hAnsi="Times New Roman" w:cs="Times New Roman"/>
        </w:rPr>
        <w:t xml:space="preserve"> § 1 albo § 2 w związku z § 1, art. 269 § 1</w:t>
      </w:r>
      <w:r w:rsidRPr="00833C88">
        <w:rPr>
          <w:rStyle w:val="Odwoanieprzypisudolnego"/>
          <w:rFonts w:ascii="Times New Roman" w:hAnsi="Times New Roman" w:cs="Times New Roman"/>
        </w:rPr>
        <w:footnoteReference w:id="50"/>
      </w:r>
      <w:r w:rsidRPr="00833C88">
        <w:rPr>
          <w:rFonts w:ascii="Times New Roman" w:hAnsi="Times New Roman" w:cs="Times New Roman"/>
          <w:vertAlign w:val="superscript"/>
        </w:rPr>
        <w:t>)</w:t>
      </w:r>
      <w:r w:rsidRPr="00833C88">
        <w:rPr>
          <w:rFonts w:ascii="Times New Roman" w:hAnsi="Times New Roman" w:cs="Times New Roman"/>
        </w:rPr>
        <w:t xml:space="preserve"> lub 2 albo art. 269a</w:t>
      </w:r>
      <w:r w:rsidRPr="00833C88">
        <w:rPr>
          <w:rStyle w:val="Odwoanieprzypisudolnego"/>
          <w:rFonts w:ascii="Times New Roman" w:hAnsi="Times New Roman" w:cs="Times New Roman"/>
        </w:rPr>
        <w:footnoteReference w:id="51"/>
      </w:r>
      <w:r w:rsidRPr="00833C88">
        <w:rPr>
          <w:rFonts w:ascii="Times New Roman" w:hAnsi="Times New Roman" w:cs="Times New Roman"/>
          <w:vertAlign w:val="superscript"/>
        </w:rPr>
        <w:t>)</w:t>
      </w:r>
      <w:r w:rsidRPr="00833C88">
        <w:rPr>
          <w:rFonts w:ascii="Times New Roman" w:hAnsi="Times New Roman" w:cs="Times New Roman"/>
        </w:rPr>
        <w:t xml:space="preserve"> </w:t>
      </w:r>
      <w:r w:rsidRPr="00833C88">
        <w:rPr>
          <w:rFonts w:ascii="Times New Roman" w:hAnsi="Times New Roman" w:cs="Times New Roman"/>
        </w:rPr>
        <w:lastRenderedPageBreak/>
        <w:t>Kodeks</w:t>
      </w:r>
      <w:r w:rsidR="00C36157" w:rsidRPr="00833C88">
        <w:rPr>
          <w:rFonts w:ascii="Times New Roman" w:hAnsi="Times New Roman" w:cs="Times New Roman"/>
        </w:rPr>
        <w:t>u</w:t>
      </w:r>
      <w:r w:rsidRPr="00833C88">
        <w:rPr>
          <w:rFonts w:ascii="Times New Roman" w:hAnsi="Times New Roman" w:cs="Times New Roman"/>
        </w:rPr>
        <w:t xml:space="preserve"> karn</w:t>
      </w:r>
      <w:r w:rsidR="00C36157" w:rsidRPr="00833C88">
        <w:rPr>
          <w:rFonts w:ascii="Times New Roman" w:hAnsi="Times New Roman" w:cs="Times New Roman"/>
        </w:rPr>
        <w:t>ego</w:t>
      </w:r>
      <w:r w:rsidR="00394108" w:rsidRPr="00833C88">
        <w:rPr>
          <w:rFonts w:ascii="Times New Roman" w:hAnsi="Times New Roman" w:cs="Times New Roman"/>
        </w:rPr>
        <w:t>,</w:t>
      </w:r>
      <w:r w:rsidRPr="00833C88">
        <w:rPr>
          <w:rFonts w:ascii="Times New Roman" w:hAnsi="Times New Roman" w:cs="Times New Roman"/>
        </w:rPr>
        <w:t xml:space="preserve"> aby móc sprawdzić, czy oceniany system jest podatny na tego rodzaju oprogramowanie. </w:t>
      </w:r>
    </w:p>
    <w:p w14:paraId="38D3EE3A" w14:textId="7B8D8576"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Po drugie</w:t>
      </w:r>
      <w:r w:rsidR="00E53172" w:rsidRPr="00833C88">
        <w:rPr>
          <w:rFonts w:ascii="Times New Roman" w:hAnsi="Times New Roman" w:cs="Times New Roman"/>
        </w:rPr>
        <w:t>,</w:t>
      </w:r>
      <w:r w:rsidRPr="00833C88">
        <w:rPr>
          <w:rFonts w:ascii="Times New Roman" w:hAnsi="Times New Roman" w:cs="Times New Roman"/>
        </w:rPr>
        <w:t xml:space="preserve"> używając ww. urządzeń lub programów zespół CSIRT będzie uprawniony do</w:t>
      </w:r>
      <w:r w:rsidR="00394108" w:rsidRPr="00833C88">
        <w:rPr>
          <w:rFonts w:ascii="Times New Roman" w:hAnsi="Times New Roman" w:cs="Times New Roman"/>
        </w:rPr>
        <w:t> </w:t>
      </w:r>
      <w:r w:rsidRPr="00833C88">
        <w:rPr>
          <w:rFonts w:ascii="Times New Roman" w:hAnsi="Times New Roman" w:cs="Times New Roman"/>
        </w:rPr>
        <w:t>dostępu do informacji dla niego nieprzeznaczonej, przełamując albo omijając elektroniczne, magnetyczne, informatyczne lub inne szczególne jej zabezpieczenie. Będzie mógł uzyskać dostęp do całości lub części ocenianego systemu. Wprowadza się przy tym kontratyp</w:t>
      </w:r>
      <w:r w:rsidR="00394108" w:rsidRPr="00833C88">
        <w:rPr>
          <w:rFonts w:ascii="Times New Roman" w:hAnsi="Times New Roman" w:cs="Times New Roman"/>
        </w:rPr>
        <w:t>,</w:t>
      </w:r>
      <w:r w:rsidRPr="00833C88">
        <w:rPr>
          <w:rFonts w:ascii="Times New Roman" w:hAnsi="Times New Roman" w:cs="Times New Roman"/>
        </w:rPr>
        <w:t xml:space="preserve"> zgodnie </w:t>
      </w:r>
      <w:r w:rsidR="00601933" w:rsidRPr="00833C88">
        <w:rPr>
          <w:rFonts w:ascii="Times New Roman" w:hAnsi="Times New Roman" w:cs="Times New Roman"/>
        </w:rPr>
        <w:t>z </w:t>
      </w:r>
      <w:r w:rsidRPr="00833C88">
        <w:rPr>
          <w:rFonts w:ascii="Times New Roman" w:hAnsi="Times New Roman" w:cs="Times New Roman"/>
        </w:rPr>
        <w:t xml:space="preserve">którym osoba wykonująca te czynności nie popełnia przestępstwa, </w:t>
      </w:r>
      <w:r w:rsidR="00601933" w:rsidRPr="00833C88">
        <w:rPr>
          <w:rFonts w:ascii="Times New Roman" w:hAnsi="Times New Roman" w:cs="Times New Roman"/>
        </w:rPr>
        <w:t>o </w:t>
      </w:r>
      <w:r w:rsidRPr="00833C88">
        <w:rPr>
          <w:rFonts w:ascii="Times New Roman" w:hAnsi="Times New Roman" w:cs="Times New Roman"/>
        </w:rPr>
        <w:t xml:space="preserve">którym mowa </w:t>
      </w:r>
      <w:r w:rsidR="00601933" w:rsidRPr="00833C88">
        <w:rPr>
          <w:rFonts w:ascii="Times New Roman" w:hAnsi="Times New Roman" w:cs="Times New Roman"/>
        </w:rPr>
        <w:t>w </w:t>
      </w:r>
      <w:r w:rsidRPr="00833C88">
        <w:rPr>
          <w:rFonts w:ascii="Times New Roman" w:hAnsi="Times New Roman" w:cs="Times New Roman"/>
        </w:rPr>
        <w:t>art. 267 § 1 Kodeks</w:t>
      </w:r>
      <w:r w:rsidR="00C36157" w:rsidRPr="00833C88">
        <w:rPr>
          <w:rFonts w:ascii="Times New Roman" w:hAnsi="Times New Roman" w:cs="Times New Roman"/>
        </w:rPr>
        <w:t>u</w:t>
      </w:r>
      <w:r w:rsidRPr="00833C88">
        <w:rPr>
          <w:rFonts w:ascii="Times New Roman" w:hAnsi="Times New Roman" w:cs="Times New Roman"/>
        </w:rPr>
        <w:t xml:space="preserve"> karn</w:t>
      </w:r>
      <w:r w:rsidR="00C36157" w:rsidRPr="00833C88">
        <w:rPr>
          <w:rFonts w:ascii="Times New Roman" w:hAnsi="Times New Roman" w:cs="Times New Roman"/>
        </w:rPr>
        <w:t>ego</w:t>
      </w:r>
      <w:r w:rsidRPr="00833C88">
        <w:rPr>
          <w:rFonts w:ascii="Times New Roman" w:hAnsi="Times New Roman" w:cs="Times New Roman"/>
        </w:rPr>
        <w:t>.</w:t>
      </w:r>
    </w:p>
    <w:p w14:paraId="3566F17A" w14:textId="77777777"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Bez tego rodzaju szczególnych uprawnień zespół CSIRT nie będzie w stanie zidentyfikować podatności, które mogą być wykorzystane przez przestępców komputerowych do zaatakowania podmiotu krajowego systemu cyberbezpieczeństwa.</w:t>
      </w:r>
    </w:p>
    <w:p w14:paraId="494A96F5" w14:textId="21075918"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Aby zapewnić gwarancje dla podmiotu</w:t>
      </w:r>
      <w:r w:rsidR="00394108" w:rsidRPr="00833C88">
        <w:rPr>
          <w:rFonts w:ascii="Times New Roman" w:hAnsi="Times New Roman" w:cs="Times New Roman"/>
        </w:rPr>
        <w:t>,</w:t>
      </w:r>
      <w:r w:rsidRPr="00833C88">
        <w:rPr>
          <w:rFonts w:ascii="Times New Roman" w:hAnsi="Times New Roman" w:cs="Times New Roman"/>
        </w:rPr>
        <w:t xml:space="preserve"> </w:t>
      </w:r>
      <w:r w:rsidR="00601933" w:rsidRPr="00833C88">
        <w:rPr>
          <w:rFonts w:ascii="Times New Roman" w:hAnsi="Times New Roman" w:cs="Times New Roman"/>
        </w:rPr>
        <w:t>u </w:t>
      </w:r>
      <w:r w:rsidRPr="00833C88">
        <w:rPr>
          <w:rFonts w:ascii="Times New Roman" w:hAnsi="Times New Roman" w:cs="Times New Roman"/>
        </w:rPr>
        <w:t>którego jest przeprowadzana ocena</w:t>
      </w:r>
      <w:r w:rsidR="00394108" w:rsidRPr="00833C88">
        <w:rPr>
          <w:rFonts w:ascii="Times New Roman" w:hAnsi="Times New Roman" w:cs="Times New Roman"/>
        </w:rPr>
        <w:t>,</w:t>
      </w:r>
      <w:r w:rsidR="00A62F96" w:rsidRPr="00833C88">
        <w:rPr>
          <w:rFonts w:ascii="Times New Roman" w:hAnsi="Times New Roman" w:cs="Times New Roman"/>
        </w:rPr>
        <w:t xml:space="preserve"> </w:t>
      </w:r>
      <w:r w:rsidRPr="00833C88">
        <w:rPr>
          <w:rFonts w:ascii="Times New Roman" w:hAnsi="Times New Roman" w:cs="Times New Roman"/>
        </w:rPr>
        <w:t>wprowadza się przepis</w:t>
      </w:r>
      <w:r w:rsidR="00394108" w:rsidRPr="00833C88">
        <w:rPr>
          <w:rFonts w:ascii="Times New Roman" w:hAnsi="Times New Roman" w:cs="Times New Roman"/>
        </w:rPr>
        <w:t>,</w:t>
      </w:r>
      <w:r w:rsidRPr="00833C88">
        <w:rPr>
          <w:rFonts w:ascii="Times New Roman" w:hAnsi="Times New Roman" w:cs="Times New Roman"/>
        </w:rPr>
        <w:t xml:space="preserve"> na mocy którego informacje uzyskane w wyniku oceny stanowią tajemnicę prawnie chronioną. Zespół CSIRT nie będzie mógł wykorzystać ich do realizacji innych zadań ustawowych. Informacje te będą podlegały niezwłocznemu, komisyjnemu i protokolarnemu zniszczeniu. </w:t>
      </w:r>
      <w:r w:rsidR="003C435D" w:rsidRPr="00833C88">
        <w:rPr>
          <w:rFonts w:ascii="Times New Roman" w:hAnsi="Times New Roman" w:cs="Times New Roman"/>
        </w:rPr>
        <w:t>Zniszczeniu nie podlegają informacje o czynnościach przeprowadzanych w ramach oceny bezpieczeństwa oraz o wykrytych podatnościach systemu informacyjnego.</w:t>
      </w:r>
    </w:p>
    <w:p w14:paraId="4D8E1357" w14:textId="5FC4D5E8" w:rsidR="009D0B8B" w:rsidRPr="00833C88" w:rsidRDefault="009D0B8B"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Końcowym etapem oceny bezpieczeństwa będzie sporządzenie przez CSIRT raportu, który będzie zawierał podsumowanie przeprowadzonych w ramach oceny bezpieczeństwa czynności oraz wskazanie wykrytych podatności systemu informacyjnego. Raport będzie przekazany do podmiotu, którego system był poddany ocenie bezpieczeństwa. Dzięki temu podmiot będzie mógł przeanalizować np. jak jego personel, odpowiedzialny za bezpieczeństwo systemu, zachowywał się podczas oceny </w:t>
      </w:r>
      <w:proofErr w:type="gramStart"/>
      <w:r w:rsidRPr="00833C88">
        <w:rPr>
          <w:rFonts w:ascii="Times New Roman" w:hAnsi="Times New Roman" w:cs="Times New Roman"/>
        </w:rPr>
        <w:t>bezpieczeństwa</w:t>
      </w:r>
      <w:r w:rsidR="006958C2" w:rsidRPr="00833C88">
        <w:rPr>
          <w:rFonts w:ascii="Times New Roman" w:hAnsi="Times New Roman" w:cs="Times New Roman"/>
        </w:rPr>
        <w:t>,</w:t>
      </w:r>
      <w:proofErr w:type="gramEnd"/>
      <w:r w:rsidRPr="00833C88">
        <w:rPr>
          <w:rFonts w:ascii="Times New Roman" w:hAnsi="Times New Roman" w:cs="Times New Roman"/>
        </w:rPr>
        <w:t xml:space="preserve"> czy procedury bezpieczeństwa zadziałały prawidłowo, a także czy i jakie podatności zostały wykryte podczas oceny bezpieczeństwa.</w:t>
      </w:r>
    </w:p>
    <w:p w14:paraId="3EFC7DE8" w14:textId="4A1924DA" w:rsidR="009D0B8B" w:rsidRPr="00833C88" w:rsidRDefault="00601933"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W </w:t>
      </w:r>
      <w:r w:rsidR="009D0B8B" w:rsidRPr="00833C88">
        <w:rPr>
          <w:rFonts w:ascii="Times New Roman" w:hAnsi="Times New Roman" w:cs="Times New Roman"/>
        </w:rPr>
        <w:t>wyniku prowadzonej przez zespół CSIRT oceny bezpieczeństwa może zostać zidentyfikowana podatność, która może występować w innych systemach informacyjnych, które np. wykorzystują to samo oprogramowanie zawierające podatność. W takiej sytuacji zasadne jest, aby zespół CSIRT był obowiązany poinformować o tym:</w:t>
      </w:r>
    </w:p>
    <w:p w14:paraId="777711FB" w14:textId="63F0DC9F" w:rsidR="009D0B8B" w:rsidRPr="00833C88" w:rsidRDefault="009D0B8B">
      <w:pPr>
        <w:pStyle w:val="NIEARTTEKSTtekstnieartykuowanynppodstprawnarozplubpreambua"/>
        <w:numPr>
          <w:ilvl w:val="0"/>
          <w:numId w:val="11"/>
        </w:numPr>
        <w:spacing w:before="0" w:after="120"/>
        <w:rPr>
          <w:rFonts w:ascii="Times New Roman" w:hAnsi="Times New Roman" w:cs="Times New Roman"/>
        </w:rPr>
      </w:pPr>
      <w:r w:rsidRPr="00833C88">
        <w:rPr>
          <w:rFonts w:ascii="Times New Roman" w:hAnsi="Times New Roman" w:cs="Times New Roman"/>
        </w:rPr>
        <w:lastRenderedPageBreak/>
        <w:t>ministra właściwego do spraw informatyzacji – z uwagi na to, że minister jest właściwy w sprawach systemów i sieci teleinformatycznych administracji publicznej</w:t>
      </w:r>
      <w:r w:rsidRPr="00833C88">
        <w:rPr>
          <w:rStyle w:val="Odwoanieprzypisudolnego"/>
          <w:rFonts w:ascii="Times New Roman" w:hAnsi="Times New Roman" w:cs="Times New Roman"/>
        </w:rPr>
        <w:footnoteReference w:id="52"/>
      </w:r>
      <w:r w:rsidRPr="00833C88">
        <w:rPr>
          <w:rFonts w:ascii="Times New Roman" w:hAnsi="Times New Roman" w:cs="Times New Roman"/>
          <w:vertAlign w:val="superscript"/>
        </w:rPr>
        <w:t>)</w:t>
      </w:r>
      <w:r w:rsidR="00B0128D" w:rsidRPr="00833C88">
        <w:rPr>
          <w:rFonts w:ascii="Times New Roman" w:hAnsi="Times New Roman" w:cs="Times New Roman"/>
        </w:rPr>
        <w:t>;</w:t>
      </w:r>
    </w:p>
    <w:p w14:paraId="2DF9CF2F" w14:textId="1C749D02" w:rsidR="009D0B8B" w:rsidRPr="00833C88" w:rsidRDefault="009D0B8B">
      <w:pPr>
        <w:pStyle w:val="NIEARTTEKSTtekstnieartykuowanynppodstprawnarozplubpreambua"/>
        <w:numPr>
          <w:ilvl w:val="0"/>
          <w:numId w:val="11"/>
        </w:numPr>
        <w:spacing w:before="0" w:after="120"/>
        <w:rPr>
          <w:rFonts w:ascii="Times New Roman" w:hAnsi="Times New Roman" w:cs="Times New Roman"/>
        </w:rPr>
      </w:pPr>
      <w:r w:rsidRPr="00833C88">
        <w:rPr>
          <w:rFonts w:ascii="Times New Roman" w:hAnsi="Times New Roman" w:cs="Times New Roman"/>
        </w:rPr>
        <w:t>Pełnomocnika</w:t>
      </w:r>
      <w:r w:rsidR="00ED2326" w:rsidRPr="00833C88">
        <w:rPr>
          <w:rFonts w:ascii="Times New Roman" w:hAnsi="Times New Roman" w:cs="Times New Roman"/>
        </w:rPr>
        <w:t xml:space="preserve"> </w:t>
      </w:r>
      <w:r w:rsidRPr="00833C88">
        <w:rPr>
          <w:rFonts w:ascii="Times New Roman" w:hAnsi="Times New Roman" w:cs="Times New Roman"/>
        </w:rPr>
        <w:t>– z uwagi na to, że do zadań Pełnomocnika należy ocena funkcjonowania krajowego systemu cyberbezpieczeństwa, a także może on przekazywać Radzie Ministrów wnioski oraz rekomendacje dotyczące działań, które powinny podejmować podmioty krajowego systemu cyberbezpieczeństwa w celu zapewnienia cyberbezpieczeństwa na poziomie krajowym i przeciwdziałania zagrożeniom</w:t>
      </w:r>
      <w:r w:rsidR="003A3B10" w:rsidRPr="00833C88">
        <w:rPr>
          <w:rFonts w:ascii="Times New Roman" w:hAnsi="Times New Roman" w:cs="Times New Roman"/>
        </w:rPr>
        <w:t>,</w:t>
      </w:r>
      <w:r w:rsidRPr="00833C88">
        <w:rPr>
          <w:rFonts w:ascii="Times New Roman" w:hAnsi="Times New Roman" w:cs="Times New Roman"/>
        </w:rPr>
        <w:t xml:space="preserve"> w tym zakresie (art. 63 ustawy o KSC).</w:t>
      </w:r>
    </w:p>
    <w:p w14:paraId="0792F928" w14:textId="2F4B0DE5" w:rsidR="00E844EB" w:rsidRPr="00833C88" w:rsidRDefault="00067E04" w:rsidP="00E41AE4">
      <w:pPr>
        <w:pStyle w:val="NIEARTTEKSTtekstnieartykuowanynppodstprawnarozplubpreambua"/>
        <w:spacing w:before="0"/>
        <w:ind w:firstLine="0"/>
        <w:rPr>
          <w:rFonts w:ascii="Times New Roman" w:hAnsi="Times New Roman" w:cs="Times New Roman"/>
        </w:rPr>
      </w:pPr>
      <w:r w:rsidRPr="00833C88">
        <w:rPr>
          <w:rFonts w:ascii="Times New Roman" w:hAnsi="Times New Roman" w:cs="Times New Roman"/>
        </w:rPr>
        <w:t>Dodano także</w:t>
      </w:r>
      <w:r w:rsidR="009D0B8B" w:rsidRPr="00833C88">
        <w:rPr>
          <w:rFonts w:ascii="Times New Roman" w:hAnsi="Times New Roman" w:cs="Times New Roman"/>
        </w:rPr>
        <w:t xml:space="preserve"> upoważnienie ustawowe dla Rady Ministrów do określenia</w:t>
      </w:r>
      <w:r w:rsidR="00E53172" w:rsidRPr="00833C88">
        <w:rPr>
          <w:rFonts w:ascii="Times New Roman" w:hAnsi="Times New Roman" w:cs="Times New Roman"/>
        </w:rPr>
        <w:t>,</w:t>
      </w:r>
      <w:r w:rsidR="009D0B8B" w:rsidRPr="00833C88">
        <w:rPr>
          <w:rFonts w:ascii="Times New Roman" w:hAnsi="Times New Roman" w:cs="Times New Roman"/>
        </w:rPr>
        <w:t xml:space="preserve"> w drodze rozporządzenia</w:t>
      </w:r>
      <w:r w:rsidR="00E41AE4" w:rsidRPr="00833C88">
        <w:rPr>
          <w:rFonts w:ascii="Times New Roman" w:hAnsi="Times New Roman" w:cs="Times New Roman"/>
        </w:rPr>
        <w:t>:</w:t>
      </w:r>
    </w:p>
    <w:p w14:paraId="7FCCCA83" w14:textId="5AD03CAC" w:rsidR="00B45708" w:rsidRPr="00833C88" w:rsidRDefault="00B45708" w:rsidP="00B45708">
      <w:pPr>
        <w:pStyle w:val="ZPKTzmpktartykuempunktem"/>
        <w:numPr>
          <w:ilvl w:val="0"/>
          <w:numId w:val="85"/>
        </w:numPr>
        <w:rPr>
          <w:rFonts w:ascii="Times New Roman" w:hAnsi="Times New Roman" w:cs="Times New Roman"/>
        </w:rPr>
      </w:pPr>
      <w:r w:rsidRPr="00833C88">
        <w:rPr>
          <w:rFonts w:ascii="Times New Roman" w:hAnsi="Times New Roman" w:cs="Times New Roman"/>
        </w:rPr>
        <w:t>tryb</w:t>
      </w:r>
      <w:r w:rsidR="00015B54" w:rsidRPr="00833C88">
        <w:rPr>
          <w:rFonts w:ascii="Times New Roman" w:hAnsi="Times New Roman" w:cs="Times New Roman"/>
        </w:rPr>
        <w:t>u</w:t>
      </w:r>
      <w:r w:rsidRPr="00833C88">
        <w:rPr>
          <w:rFonts w:ascii="Times New Roman" w:hAnsi="Times New Roman" w:cs="Times New Roman"/>
        </w:rPr>
        <w:t xml:space="preserve"> przeprowadzania oceny bezpieczeństwa,</w:t>
      </w:r>
    </w:p>
    <w:p w14:paraId="6E82067D" w14:textId="169EA77B" w:rsidR="00B45708" w:rsidRPr="00833C88" w:rsidRDefault="00B45708" w:rsidP="00B45708">
      <w:pPr>
        <w:pStyle w:val="ZPKTzmpktartykuempunktem"/>
        <w:rPr>
          <w:rFonts w:ascii="Times New Roman" w:hAnsi="Times New Roman" w:cs="Times New Roman"/>
          <w:szCs w:val="24"/>
        </w:rPr>
      </w:pPr>
      <w:r w:rsidRPr="00833C88">
        <w:rPr>
          <w:rFonts w:ascii="Times New Roman" w:hAnsi="Times New Roman" w:cs="Times New Roman"/>
        </w:rPr>
        <w:t>2)</w:t>
      </w:r>
      <w:r w:rsidRPr="00833C88">
        <w:rPr>
          <w:rFonts w:ascii="Times New Roman" w:hAnsi="Times New Roman" w:cs="Times New Roman"/>
        </w:rPr>
        <w:tab/>
        <w:t>szczegółow</w:t>
      </w:r>
      <w:r w:rsidR="00015B54" w:rsidRPr="00833C88">
        <w:rPr>
          <w:rFonts w:ascii="Times New Roman" w:hAnsi="Times New Roman" w:cs="Times New Roman"/>
        </w:rPr>
        <w:t>ych</w:t>
      </w:r>
      <w:r w:rsidRPr="00833C88">
        <w:rPr>
          <w:rFonts w:ascii="Times New Roman" w:hAnsi="Times New Roman" w:cs="Times New Roman"/>
        </w:rPr>
        <w:t xml:space="preserve"> informac</w:t>
      </w:r>
      <w:r w:rsidR="00E41AE4" w:rsidRPr="00833C88">
        <w:rPr>
          <w:rFonts w:ascii="Times New Roman" w:hAnsi="Times New Roman" w:cs="Times New Roman"/>
        </w:rPr>
        <w:t>j</w:t>
      </w:r>
      <w:r w:rsidR="00015B54" w:rsidRPr="00833C88">
        <w:rPr>
          <w:rFonts w:ascii="Times New Roman" w:hAnsi="Times New Roman" w:cs="Times New Roman"/>
        </w:rPr>
        <w:t>i</w:t>
      </w:r>
      <w:r w:rsidRPr="00833C88">
        <w:rPr>
          <w:rFonts w:ascii="Times New Roman" w:hAnsi="Times New Roman" w:cs="Times New Roman"/>
        </w:rPr>
        <w:t xml:space="preserve"> przekazywan</w:t>
      </w:r>
      <w:r w:rsidR="00015B54" w:rsidRPr="00833C88">
        <w:rPr>
          <w:rFonts w:ascii="Times New Roman" w:hAnsi="Times New Roman" w:cs="Times New Roman"/>
        </w:rPr>
        <w:t>ych</w:t>
      </w:r>
      <w:r w:rsidRPr="00833C88">
        <w:rPr>
          <w:rFonts w:ascii="Times New Roman" w:hAnsi="Times New Roman" w:cs="Times New Roman"/>
        </w:rPr>
        <w:t xml:space="preserve"> do CSIRT niezbędn</w:t>
      </w:r>
      <w:r w:rsidR="00015B54" w:rsidRPr="00833C88">
        <w:rPr>
          <w:rFonts w:ascii="Times New Roman" w:hAnsi="Times New Roman" w:cs="Times New Roman"/>
        </w:rPr>
        <w:t>ych</w:t>
      </w:r>
      <w:r w:rsidRPr="00833C88">
        <w:rPr>
          <w:rFonts w:ascii="Times New Roman" w:hAnsi="Times New Roman" w:cs="Times New Roman"/>
        </w:rPr>
        <w:t xml:space="preserve"> do </w:t>
      </w:r>
      <w:r w:rsidRPr="00833C88">
        <w:rPr>
          <w:rFonts w:ascii="Times New Roman" w:hAnsi="Times New Roman" w:cs="Times New Roman"/>
          <w:szCs w:val="24"/>
        </w:rPr>
        <w:t>przeprowadzenia oceny bezpieczeństwa;</w:t>
      </w:r>
    </w:p>
    <w:p w14:paraId="0D3FCFD7" w14:textId="57938C14" w:rsidR="00B45708" w:rsidRPr="00833C88" w:rsidRDefault="00B45708" w:rsidP="00B45708">
      <w:pPr>
        <w:pStyle w:val="ZPKTzmpktartykuempunktem"/>
        <w:rPr>
          <w:rFonts w:ascii="Times New Roman" w:hAnsi="Times New Roman" w:cs="Times New Roman"/>
          <w:szCs w:val="24"/>
        </w:rPr>
      </w:pPr>
      <w:r w:rsidRPr="00833C88">
        <w:rPr>
          <w:rFonts w:ascii="Times New Roman" w:hAnsi="Times New Roman" w:cs="Times New Roman"/>
          <w:szCs w:val="24"/>
        </w:rPr>
        <w:t>3)</w:t>
      </w:r>
      <w:r w:rsidRPr="00833C88">
        <w:rPr>
          <w:rFonts w:ascii="Times New Roman" w:hAnsi="Times New Roman" w:cs="Times New Roman"/>
          <w:szCs w:val="24"/>
        </w:rPr>
        <w:tab/>
        <w:t xml:space="preserve">rodzaje przeprowadzanych testów bezpieczeństwa w ramach oceny bezpieczeństwa, </w:t>
      </w:r>
    </w:p>
    <w:p w14:paraId="64152A45" w14:textId="4FC21117" w:rsidR="00B45708" w:rsidRPr="00833C88" w:rsidRDefault="00B45708" w:rsidP="00B45708">
      <w:pPr>
        <w:pStyle w:val="ZPKTzmpktartykuempunktem"/>
        <w:rPr>
          <w:rFonts w:ascii="Times New Roman" w:hAnsi="Times New Roman" w:cs="Times New Roman"/>
          <w:szCs w:val="24"/>
        </w:rPr>
      </w:pPr>
      <w:r w:rsidRPr="00833C88">
        <w:rPr>
          <w:rFonts w:ascii="Times New Roman" w:hAnsi="Times New Roman" w:cs="Times New Roman"/>
          <w:szCs w:val="24"/>
        </w:rPr>
        <w:t>4)</w:t>
      </w:r>
      <w:r w:rsidRPr="00833C88">
        <w:rPr>
          <w:rFonts w:ascii="Times New Roman" w:hAnsi="Times New Roman" w:cs="Times New Roman"/>
          <w:szCs w:val="24"/>
        </w:rPr>
        <w:tab/>
        <w:t>spos</w:t>
      </w:r>
      <w:r w:rsidR="00015B54" w:rsidRPr="00833C88">
        <w:rPr>
          <w:rFonts w:ascii="Times New Roman" w:hAnsi="Times New Roman" w:cs="Times New Roman"/>
          <w:szCs w:val="24"/>
        </w:rPr>
        <w:t>obu</w:t>
      </w:r>
      <w:r w:rsidRPr="00833C88">
        <w:rPr>
          <w:rFonts w:ascii="Times New Roman" w:hAnsi="Times New Roman" w:cs="Times New Roman"/>
          <w:szCs w:val="24"/>
        </w:rPr>
        <w:t xml:space="preserve"> niszczenia materiałów zawierających informacje</w:t>
      </w:r>
      <w:r w:rsidR="00015B54" w:rsidRPr="00833C88">
        <w:rPr>
          <w:rFonts w:ascii="Times New Roman" w:hAnsi="Times New Roman" w:cs="Times New Roman"/>
          <w:szCs w:val="24"/>
        </w:rPr>
        <w:t>, które zespół CSIRT uzyskał w trakcie przeprowadzania oceny bezpieczeństwa</w:t>
      </w:r>
      <w:r w:rsidRPr="00833C88">
        <w:rPr>
          <w:rFonts w:ascii="Times New Roman" w:hAnsi="Times New Roman" w:cs="Times New Roman"/>
          <w:szCs w:val="24"/>
        </w:rPr>
        <w:t xml:space="preserve">, </w:t>
      </w:r>
    </w:p>
    <w:p w14:paraId="1B0377A1" w14:textId="0736FD84" w:rsidR="00B45708" w:rsidRPr="00833C88" w:rsidRDefault="00B45708" w:rsidP="00B45708">
      <w:pPr>
        <w:pStyle w:val="ZPKTzmpktartykuempunktem"/>
        <w:rPr>
          <w:rFonts w:ascii="Times New Roman" w:hAnsi="Times New Roman" w:cs="Times New Roman"/>
          <w:szCs w:val="24"/>
        </w:rPr>
      </w:pPr>
      <w:r w:rsidRPr="00833C88">
        <w:rPr>
          <w:rFonts w:ascii="Times New Roman" w:hAnsi="Times New Roman" w:cs="Times New Roman"/>
          <w:szCs w:val="24"/>
        </w:rPr>
        <w:t>5)</w:t>
      </w:r>
      <w:r w:rsidRPr="00833C88">
        <w:rPr>
          <w:rFonts w:ascii="Times New Roman" w:hAnsi="Times New Roman" w:cs="Times New Roman"/>
          <w:szCs w:val="24"/>
        </w:rPr>
        <w:tab/>
        <w:t>tryb</w:t>
      </w:r>
      <w:r w:rsidR="00015B54" w:rsidRPr="00833C88">
        <w:rPr>
          <w:rFonts w:ascii="Times New Roman" w:hAnsi="Times New Roman" w:cs="Times New Roman"/>
          <w:szCs w:val="24"/>
        </w:rPr>
        <w:t>u</w:t>
      </w:r>
      <w:r w:rsidRPr="00833C88">
        <w:rPr>
          <w:rFonts w:ascii="Times New Roman" w:hAnsi="Times New Roman" w:cs="Times New Roman"/>
          <w:szCs w:val="24"/>
        </w:rPr>
        <w:t xml:space="preserve"> działania komisji</w:t>
      </w:r>
      <w:r w:rsidR="00015B54" w:rsidRPr="00833C88">
        <w:rPr>
          <w:rFonts w:ascii="Times New Roman" w:hAnsi="Times New Roman" w:cs="Times New Roman"/>
          <w:szCs w:val="24"/>
        </w:rPr>
        <w:t>,</w:t>
      </w:r>
    </w:p>
    <w:p w14:paraId="6F1117CE" w14:textId="22DD696D" w:rsidR="00B45708" w:rsidRPr="00833C88" w:rsidRDefault="00B45708" w:rsidP="00015B54">
      <w:pPr>
        <w:pStyle w:val="ZPKTzmpktartykuempunktem"/>
        <w:rPr>
          <w:rFonts w:ascii="Times New Roman" w:hAnsi="Times New Roman" w:cs="Times New Roman"/>
          <w:szCs w:val="24"/>
        </w:rPr>
      </w:pPr>
      <w:r w:rsidRPr="00833C88">
        <w:rPr>
          <w:rFonts w:ascii="Times New Roman" w:hAnsi="Times New Roman" w:cs="Times New Roman"/>
          <w:szCs w:val="24"/>
        </w:rPr>
        <w:t>6)</w:t>
      </w:r>
      <w:r w:rsidRPr="00833C88">
        <w:rPr>
          <w:rFonts w:ascii="Times New Roman" w:hAnsi="Times New Roman" w:cs="Times New Roman"/>
          <w:szCs w:val="24"/>
        </w:rPr>
        <w:tab/>
        <w:t>wz</w:t>
      </w:r>
      <w:r w:rsidR="00015B54" w:rsidRPr="00833C88">
        <w:rPr>
          <w:rFonts w:ascii="Times New Roman" w:hAnsi="Times New Roman" w:cs="Times New Roman"/>
          <w:szCs w:val="24"/>
        </w:rPr>
        <w:t>oru</w:t>
      </w:r>
      <w:r w:rsidRPr="00833C88">
        <w:rPr>
          <w:rFonts w:ascii="Times New Roman" w:hAnsi="Times New Roman" w:cs="Times New Roman"/>
          <w:szCs w:val="24"/>
        </w:rPr>
        <w:t xml:space="preserve"> protokołu zniszczenia materiałów</w:t>
      </w:r>
      <w:r w:rsidR="00E41AE4" w:rsidRPr="00833C88">
        <w:rPr>
          <w:rFonts w:ascii="Times New Roman" w:hAnsi="Times New Roman" w:cs="Times New Roman"/>
          <w:szCs w:val="24"/>
        </w:rPr>
        <w:t xml:space="preserve"> zawierających informacje</w:t>
      </w:r>
    </w:p>
    <w:p w14:paraId="00976969" w14:textId="00336FBE" w:rsidR="00B45708" w:rsidRPr="00833C88" w:rsidRDefault="00B45708" w:rsidP="00E41AE4">
      <w:pPr>
        <w:spacing w:line="360" w:lineRule="auto"/>
        <w:jc w:val="both"/>
        <w:rPr>
          <w:rFonts w:cs="Times New Roman"/>
          <w:sz w:val="24"/>
          <w:szCs w:val="24"/>
        </w:rPr>
      </w:pPr>
      <w:r w:rsidRPr="00833C88">
        <w:rPr>
          <w:rFonts w:cs="Times New Roman"/>
          <w:sz w:val="24"/>
          <w:szCs w:val="24"/>
        </w:rPr>
        <w:t>– mając na uwadze konieczność zapewnienia sprawnego przeprowadzenia oceny bezpieczeństwa, bezpieczeństwo systemów informacyjnych podlegających ocenie, rodzaj materiałów podlegających zniszczeniu i konieczność zapewnienia efektywności i</w:t>
      </w:r>
      <w:r w:rsidR="00E41AE4" w:rsidRPr="00833C88">
        <w:rPr>
          <w:rFonts w:cs="Times New Roman"/>
          <w:sz w:val="24"/>
          <w:szCs w:val="24"/>
        </w:rPr>
        <w:t> </w:t>
      </w:r>
      <w:r w:rsidRPr="00833C88">
        <w:rPr>
          <w:rFonts w:cs="Times New Roman"/>
          <w:sz w:val="24"/>
          <w:szCs w:val="24"/>
        </w:rPr>
        <w:t>przejrzystości prowadzonych działań komisji</w:t>
      </w:r>
      <w:r w:rsidR="00015B54" w:rsidRPr="00833C88">
        <w:rPr>
          <w:rFonts w:cs="Times New Roman"/>
          <w:sz w:val="24"/>
          <w:szCs w:val="24"/>
        </w:rPr>
        <w:t>.</w:t>
      </w:r>
    </w:p>
    <w:p w14:paraId="01340019" w14:textId="57566E16" w:rsidR="4D6C5439" w:rsidRPr="00833C88" w:rsidRDefault="4D6C5439" w:rsidP="00BC7BDE">
      <w:pPr>
        <w:pStyle w:val="Nagwek2"/>
        <w:spacing w:before="0" w:after="120" w:line="360" w:lineRule="auto"/>
        <w:jc w:val="both"/>
        <w:rPr>
          <w:rFonts w:cs="Times New Roman"/>
          <w:b/>
          <w:bCs/>
        </w:rPr>
      </w:pPr>
      <w:r w:rsidRPr="00833C88">
        <w:rPr>
          <w:rFonts w:cs="Times New Roman"/>
          <w:b/>
          <w:bCs/>
        </w:rPr>
        <w:t xml:space="preserve">Zasady udostępniania informacji </w:t>
      </w:r>
      <w:r w:rsidR="00601933" w:rsidRPr="00833C88">
        <w:rPr>
          <w:rFonts w:cs="Times New Roman"/>
          <w:b/>
          <w:bCs/>
        </w:rPr>
        <w:t>i </w:t>
      </w:r>
      <w:r w:rsidRPr="00833C88">
        <w:rPr>
          <w:rFonts w:cs="Times New Roman"/>
          <w:b/>
          <w:bCs/>
        </w:rPr>
        <w:t>przetwarzania danych osobowych</w:t>
      </w:r>
    </w:p>
    <w:p w14:paraId="7C4B75F6" w14:textId="494635BA" w:rsidR="001F3CF8" w:rsidRPr="00833C88" w:rsidRDefault="001F3CF8" w:rsidP="00BC7BDE">
      <w:pPr>
        <w:pStyle w:val="Nagwek3"/>
        <w:spacing w:before="0" w:after="120" w:line="360" w:lineRule="auto"/>
        <w:jc w:val="both"/>
        <w:rPr>
          <w:rFonts w:cs="Times New Roman"/>
          <w:b/>
          <w:bCs/>
          <w:u w:val="none"/>
        </w:rPr>
      </w:pPr>
      <w:r w:rsidRPr="00833C88">
        <w:rPr>
          <w:rFonts w:cs="Times New Roman"/>
          <w:b/>
          <w:bCs/>
          <w:u w:val="none"/>
        </w:rPr>
        <w:t xml:space="preserve">Zmiany </w:t>
      </w:r>
      <w:r w:rsidR="00601933" w:rsidRPr="00833C88">
        <w:rPr>
          <w:rFonts w:cs="Times New Roman"/>
          <w:b/>
          <w:bCs/>
          <w:u w:val="none"/>
        </w:rPr>
        <w:t>w </w:t>
      </w:r>
      <w:r w:rsidRPr="00833C88">
        <w:rPr>
          <w:rFonts w:cs="Times New Roman"/>
          <w:b/>
          <w:bCs/>
          <w:u w:val="none"/>
        </w:rPr>
        <w:t xml:space="preserve">zakresie przepisów </w:t>
      </w:r>
      <w:r w:rsidR="00601933" w:rsidRPr="00833C88">
        <w:rPr>
          <w:rFonts w:cs="Times New Roman"/>
          <w:b/>
          <w:bCs/>
          <w:u w:val="none"/>
        </w:rPr>
        <w:t>o </w:t>
      </w:r>
      <w:r w:rsidRPr="00833C88">
        <w:rPr>
          <w:rFonts w:cs="Times New Roman"/>
          <w:b/>
          <w:bCs/>
          <w:u w:val="none"/>
        </w:rPr>
        <w:t>przetwarzaniu danych osobowych</w:t>
      </w:r>
    </w:p>
    <w:p w14:paraId="1FC92C75" w14:textId="228F103D" w:rsidR="001F3CF8" w:rsidRPr="00833C88" w:rsidRDefault="00A818BB" w:rsidP="00533D2A">
      <w:pPr>
        <w:spacing w:line="360" w:lineRule="auto"/>
        <w:jc w:val="both"/>
        <w:rPr>
          <w:rFonts w:cs="Times New Roman"/>
          <w:sz w:val="24"/>
          <w:szCs w:val="24"/>
        </w:rPr>
      </w:pPr>
      <w:r w:rsidRPr="00833C88">
        <w:rPr>
          <w:rFonts w:cs="Times New Roman"/>
          <w:sz w:val="24"/>
          <w:szCs w:val="24"/>
        </w:rPr>
        <w:t xml:space="preserve">Obecne </w:t>
      </w:r>
      <w:r w:rsidR="001F3CF8" w:rsidRPr="00833C88">
        <w:rPr>
          <w:rFonts w:cs="Times New Roman"/>
          <w:sz w:val="24"/>
          <w:szCs w:val="24"/>
        </w:rPr>
        <w:t>przepis</w:t>
      </w:r>
      <w:r w:rsidRPr="00833C88">
        <w:rPr>
          <w:rFonts w:cs="Times New Roman"/>
          <w:sz w:val="24"/>
          <w:szCs w:val="24"/>
        </w:rPr>
        <w:t>y</w:t>
      </w:r>
      <w:r w:rsidR="001F3CF8" w:rsidRPr="00833C88">
        <w:rPr>
          <w:rFonts w:cs="Times New Roman"/>
          <w:sz w:val="24"/>
          <w:szCs w:val="24"/>
        </w:rPr>
        <w:t xml:space="preserve"> </w:t>
      </w:r>
      <w:r w:rsidR="00601933" w:rsidRPr="00833C88">
        <w:rPr>
          <w:rFonts w:cs="Times New Roman"/>
          <w:sz w:val="24"/>
          <w:szCs w:val="24"/>
        </w:rPr>
        <w:t>o </w:t>
      </w:r>
      <w:r w:rsidR="001F3CF8" w:rsidRPr="00833C88">
        <w:rPr>
          <w:rFonts w:cs="Times New Roman"/>
          <w:sz w:val="24"/>
          <w:szCs w:val="24"/>
        </w:rPr>
        <w:t>przetwarzaniu danych osobowych dostosowano do zmian</w:t>
      </w:r>
      <w:r w:rsidR="00443354" w:rsidRPr="00833C88">
        <w:rPr>
          <w:rFonts w:cs="Times New Roman"/>
          <w:sz w:val="24"/>
          <w:szCs w:val="24"/>
        </w:rPr>
        <w:t xml:space="preserve"> wprowadzonych </w:t>
      </w:r>
      <w:r w:rsidR="00601933" w:rsidRPr="00833C88">
        <w:rPr>
          <w:rFonts w:cs="Times New Roman"/>
          <w:sz w:val="24"/>
          <w:szCs w:val="24"/>
        </w:rPr>
        <w:t>w </w:t>
      </w:r>
      <w:r w:rsidR="00443354" w:rsidRPr="00833C88">
        <w:rPr>
          <w:rFonts w:cs="Times New Roman"/>
          <w:sz w:val="24"/>
          <w:szCs w:val="24"/>
        </w:rPr>
        <w:t>pozostałej części ustawy. Przyznano uprawnienia zespołom CSIRT sektorowym do przetwarzania danych osobowych co jest koniecz</w:t>
      </w:r>
      <w:r w:rsidR="003142F7" w:rsidRPr="00833C88">
        <w:rPr>
          <w:rFonts w:cs="Times New Roman"/>
          <w:sz w:val="24"/>
          <w:szCs w:val="24"/>
        </w:rPr>
        <w:t>ne do realizacji ich zadań.</w:t>
      </w:r>
    </w:p>
    <w:p w14:paraId="6CAEDC74" w14:textId="3F21159F" w:rsidR="00157227" w:rsidRPr="00833C88" w:rsidRDefault="00157227" w:rsidP="006514D0">
      <w:pPr>
        <w:pStyle w:val="Tekstprzypisudolnego"/>
        <w:spacing w:after="120"/>
        <w:jc w:val="both"/>
        <w:rPr>
          <w:rFonts w:ascii="Times New Roman" w:hAnsi="Times New Roman" w:cs="Times New Roman"/>
          <w:sz w:val="24"/>
          <w:szCs w:val="24"/>
        </w:rPr>
      </w:pPr>
      <w:r w:rsidRPr="00833C88">
        <w:rPr>
          <w:rFonts w:ascii="Times New Roman" w:hAnsi="Times New Roman" w:cs="Times New Roman"/>
          <w:sz w:val="24"/>
          <w:szCs w:val="24"/>
        </w:rPr>
        <w:t xml:space="preserve">Dodano wyłączenie stosowania ustawy z dnia 11 sierpnia 2021 r. o otwartych danych i ponownym wykorzystywaniu informacji sektora publicznego, do udostępniania informacji </w:t>
      </w:r>
      <w:r w:rsidRPr="00833C88">
        <w:rPr>
          <w:rFonts w:ascii="Times New Roman" w:hAnsi="Times New Roman" w:cs="Times New Roman"/>
          <w:sz w:val="24"/>
          <w:szCs w:val="24"/>
        </w:rPr>
        <w:lastRenderedPageBreak/>
        <w:t>o podatnościach, incydentach i </w:t>
      </w:r>
      <w:proofErr w:type="spellStart"/>
      <w:r w:rsidRPr="00833C88">
        <w:rPr>
          <w:rFonts w:ascii="Times New Roman" w:hAnsi="Times New Roman" w:cs="Times New Roman"/>
          <w:sz w:val="24"/>
          <w:szCs w:val="24"/>
        </w:rPr>
        <w:t>cyberzagrożeniach</w:t>
      </w:r>
      <w:proofErr w:type="spellEnd"/>
      <w:r w:rsidRPr="00833C88">
        <w:rPr>
          <w:rFonts w:ascii="Times New Roman" w:hAnsi="Times New Roman" w:cs="Times New Roman"/>
          <w:sz w:val="24"/>
          <w:szCs w:val="24"/>
        </w:rPr>
        <w:t xml:space="preserve"> oraz o ryzyku wystąpienia incydentów. Wskazać należy, że zgłoszenie incydentu może zawierać wrażliwe dane dot</w:t>
      </w:r>
      <w:r w:rsidR="00A818BB" w:rsidRPr="00833C88">
        <w:rPr>
          <w:rFonts w:ascii="Times New Roman" w:hAnsi="Times New Roman" w:cs="Times New Roman"/>
          <w:sz w:val="24"/>
          <w:szCs w:val="24"/>
        </w:rPr>
        <w:t>yczące</w:t>
      </w:r>
      <w:r w:rsidRPr="00833C88">
        <w:rPr>
          <w:rFonts w:ascii="Times New Roman" w:hAnsi="Times New Roman" w:cs="Times New Roman"/>
          <w:sz w:val="24"/>
          <w:szCs w:val="24"/>
        </w:rPr>
        <w:t xml:space="preserve"> kluczowych dla państwa podmiotów gospodarczych, takich właśnie jak podmioty kluczowe </w:t>
      </w:r>
      <w:r w:rsidR="00601933" w:rsidRPr="00833C88">
        <w:rPr>
          <w:rFonts w:ascii="Times New Roman" w:hAnsi="Times New Roman" w:cs="Times New Roman"/>
          <w:sz w:val="24"/>
          <w:szCs w:val="24"/>
        </w:rPr>
        <w:t>i </w:t>
      </w:r>
      <w:r w:rsidRPr="00833C88">
        <w:rPr>
          <w:rFonts w:ascii="Times New Roman" w:hAnsi="Times New Roman" w:cs="Times New Roman"/>
          <w:sz w:val="24"/>
          <w:szCs w:val="24"/>
        </w:rPr>
        <w:t xml:space="preserve">podmioty ważne. Udostępnienie informacji o tym, że </w:t>
      </w:r>
      <w:r w:rsidR="00601933" w:rsidRPr="00833C88">
        <w:rPr>
          <w:rFonts w:ascii="Times New Roman" w:hAnsi="Times New Roman" w:cs="Times New Roman"/>
          <w:sz w:val="24"/>
          <w:szCs w:val="24"/>
        </w:rPr>
        <w:t>u </w:t>
      </w:r>
      <w:r w:rsidRPr="00833C88">
        <w:rPr>
          <w:rFonts w:ascii="Times New Roman" w:hAnsi="Times New Roman" w:cs="Times New Roman"/>
          <w:sz w:val="24"/>
          <w:szCs w:val="24"/>
        </w:rPr>
        <w:t>konkretnego operatora usługi kluczowej, np.</w:t>
      </w:r>
      <w:r w:rsidR="00DE38C1" w:rsidRPr="00833C88">
        <w:rPr>
          <w:rFonts w:ascii="Times New Roman" w:hAnsi="Times New Roman" w:cs="Times New Roman"/>
          <w:sz w:val="24"/>
          <w:szCs w:val="24"/>
        </w:rPr>
        <w:t> </w:t>
      </w:r>
      <w:r w:rsidRPr="00833C88">
        <w:rPr>
          <w:rFonts w:ascii="Times New Roman" w:hAnsi="Times New Roman" w:cs="Times New Roman"/>
          <w:sz w:val="24"/>
          <w:szCs w:val="24"/>
        </w:rPr>
        <w:t>elektrociepłowni, szpitalu czy kopalni, wystąpiły podatności w systemach informacyjnych czy incydenty poważne</w:t>
      </w:r>
      <w:r w:rsidR="00526F72" w:rsidRPr="00833C88">
        <w:rPr>
          <w:rFonts w:ascii="Times New Roman" w:hAnsi="Times New Roman" w:cs="Times New Roman"/>
          <w:sz w:val="24"/>
          <w:szCs w:val="24"/>
        </w:rPr>
        <w:t>,</w:t>
      </w:r>
      <w:r w:rsidRPr="00833C88">
        <w:rPr>
          <w:rFonts w:ascii="Times New Roman" w:hAnsi="Times New Roman" w:cs="Times New Roman"/>
          <w:sz w:val="24"/>
          <w:szCs w:val="24"/>
        </w:rPr>
        <w:t xml:space="preserve"> może zachęcić przestępców lub podmioty nieprzychylne Państwu do</w:t>
      </w:r>
      <w:r w:rsidR="009B4C26" w:rsidRPr="00833C88">
        <w:rPr>
          <w:rFonts w:ascii="Times New Roman" w:hAnsi="Times New Roman" w:cs="Times New Roman"/>
          <w:sz w:val="24"/>
          <w:szCs w:val="24"/>
        </w:rPr>
        <w:t> </w:t>
      </w:r>
      <w:r w:rsidRPr="00833C88">
        <w:rPr>
          <w:rFonts w:ascii="Times New Roman" w:hAnsi="Times New Roman" w:cs="Times New Roman"/>
          <w:sz w:val="24"/>
          <w:szCs w:val="24"/>
        </w:rPr>
        <w:t xml:space="preserve">dokonania cyberataku na te podmioty. </w:t>
      </w:r>
      <w:r w:rsidR="00601933" w:rsidRPr="00833C88">
        <w:rPr>
          <w:rFonts w:ascii="Times New Roman" w:hAnsi="Times New Roman" w:cs="Times New Roman"/>
          <w:sz w:val="24"/>
          <w:szCs w:val="24"/>
        </w:rPr>
        <w:t>Z </w:t>
      </w:r>
      <w:r w:rsidRPr="00833C88">
        <w:rPr>
          <w:rFonts w:ascii="Times New Roman" w:hAnsi="Times New Roman" w:cs="Times New Roman"/>
          <w:sz w:val="24"/>
          <w:szCs w:val="24"/>
        </w:rPr>
        <w:t xml:space="preserve">tego też powodu projektodawca uważa, że znajdzie zastosowanie artykuł 1 ust. 2 </w:t>
      </w:r>
      <w:r w:rsidR="00E53172" w:rsidRPr="00833C88">
        <w:rPr>
          <w:rFonts w:ascii="Times New Roman" w:hAnsi="Times New Roman" w:cs="Times New Roman"/>
          <w:sz w:val="24"/>
          <w:szCs w:val="24"/>
        </w:rPr>
        <w:t xml:space="preserve">dyrektywy Parlamentu Europejskiego i Rady (UE) 2019/1024 z dnia 20 czerwca 2019 r. w sprawie otwartych danych i ponownego wykorzystywania informacji sektora publicznego (Dz. Urz. UE L 2019/1024 </w:t>
      </w:r>
      <w:r w:rsidR="00601933" w:rsidRPr="00833C88">
        <w:rPr>
          <w:rFonts w:ascii="Times New Roman" w:hAnsi="Times New Roman" w:cs="Times New Roman"/>
          <w:sz w:val="24"/>
          <w:szCs w:val="24"/>
        </w:rPr>
        <w:t>z </w:t>
      </w:r>
      <w:r w:rsidR="00E53172" w:rsidRPr="00833C88">
        <w:rPr>
          <w:rFonts w:ascii="Times New Roman" w:hAnsi="Times New Roman" w:cs="Times New Roman"/>
          <w:sz w:val="24"/>
          <w:szCs w:val="24"/>
        </w:rPr>
        <w:t xml:space="preserve">26.06.2019) </w:t>
      </w:r>
      <w:r w:rsidRPr="00833C88">
        <w:rPr>
          <w:rFonts w:ascii="Times New Roman" w:hAnsi="Times New Roman" w:cs="Times New Roman"/>
          <w:sz w:val="24"/>
          <w:szCs w:val="24"/>
        </w:rPr>
        <w:t>ze</w:t>
      </w:r>
      <w:r w:rsidR="00B0128D" w:rsidRPr="00833C88">
        <w:rPr>
          <w:rFonts w:ascii="Times New Roman" w:hAnsi="Times New Roman" w:cs="Times New Roman"/>
          <w:sz w:val="24"/>
          <w:szCs w:val="24"/>
        </w:rPr>
        <w:t> </w:t>
      </w:r>
      <w:r w:rsidRPr="00833C88">
        <w:rPr>
          <w:rFonts w:ascii="Times New Roman" w:hAnsi="Times New Roman" w:cs="Times New Roman"/>
          <w:sz w:val="24"/>
          <w:szCs w:val="24"/>
        </w:rPr>
        <w:t>względu na</w:t>
      </w:r>
      <w:r w:rsidR="009B4C26" w:rsidRPr="00833C88">
        <w:rPr>
          <w:rFonts w:ascii="Times New Roman" w:hAnsi="Times New Roman" w:cs="Times New Roman"/>
          <w:sz w:val="24"/>
          <w:szCs w:val="24"/>
        </w:rPr>
        <w:t> </w:t>
      </w:r>
      <w:r w:rsidRPr="00833C88">
        <w:rPr>
          <w:rFonts w:ascii="Times New Roman" w:hAnsi="Times New Roman" w:cs="Times New Roman"/>
          <w:sz w:val="24"/>
          <w:szCs w:val="24"/>
        </w:rPr>
        <w:t>konieczność ochrony bezpieczeństwa narodowego.</w:t>
      </w:r>
      <w:r w:rsidR="00D135C2" w:rsidRPr="00833C88">
        <w:rPr>
          <w:rFonts w:ascii="Times New Roman" w:hAnsi="Times New Roman" w:cs="Times New Roman"/>
          <w:sz w:val="24"/>
          <w:szCs w:val="24"/>
        </w:rPr>
        <w:t xml:space="preserve"> Natomiast wprowadzono </w:t>
      </w:r>
      <w:r w:rsidR="00F76B82" w:rsidRPr="00833C88">
        <w:rPr>
          <w:rFonts w:ascii="Times New Roman" w:hAnsi="Times New Roman" w:cs="Times New Roman"/>
          <w:sz w:val="24"/>
          <w:szCs w:val="24"/>
        </w:rPr>
        <w:t xml:space="preserve">dopisek, zgodnie </w:t>
      </w:r>
      <w:r w:rsidR="00601933" w:rsidRPr="00833C88">
        <w:rPr>
          <w:rFonts w:ascii="Times New Roman" w:hAnsi="Times New Roman" w:cs="Times New Roman"/>
          <w:sz w:val="24"/>
          <w:szCs w:val="24"/>
        </w:rPr>
        <w:t>z </w:t>
      </w:r>
      <w:r w:rsidR="00F76B82" w:rsidRPr="00833C88">
        <w:rPr>
          <w:rFonts w:ascii="Times New Roman" w:hAnsi="Times New Roman" w:cs="Times New Roman"/>
          <w:sz w:val="24"/>
          <w:szCs w:val="24"/>
        </w:rPr>
        <w:t xml:space="preserve">którym </w:t>
      </w:r>
      <w:r w:rsidR="00B428B5" w:rsidRPr="00833C88">
        <w:rPr>
          <w:rFonts w:ascii="Times New Roman" w:hAnsi="Times New Roman" w:cs="Times New Roman"/>
          <w:sz w:val="24"/>
          <w:szCs w:val="24"/>
        </w:rPr>
        <w:t xml:space="preserve">podlegają udostępnieniu informacje </w:t>
      </w:r>
      <w:r w:rsidR="00601933" w:rsidRPr="00833C88">
        <w:rPr>
          <w:rFonts w:ascii="Times New Roman" w:hAnsi="Times New Roman" w:cs="Times New Roman"/>
          <w:sz w:val="24"/>
          <w:szCs w:val="24"/>
        </w:rPr>
        <w:t>o </w:t>
      </w:r>
      <w:r w:rsidR="00B428B5" w:rsidRPr="00833C88">
        <w:rPr>
          <w:rFonts w:ascii="Times New Roman" w:hAnsi="Times New Roman" w:cs="Times New Roman"/>
          <w:sz w:val="24"/>
          <w:szCs w:val="24"/>
        </w:rPr>
        <w:t xml:space="preserve">incydentach, podatnościach </w:t>
      </w:r>
      <w:r w:rsidR="00601933" w:rsidRPr="00833C88">
        <w:rPr>
          <w:rFonts w:ascii="Times New Roman" w:hAnsi="Times New Roman" w:cs="Times New Roman"/>
          <w:sz w:val="24"/>
          <w:szCs w:val="24"/>
        </w:rPr>
        <w:t>i </w:t>
      </w:r>
      <w:proofErr w:type="spellStart"/>
      <w:r w:rsidR="00B428B5" w:rsidRPr="00833C88">
        <w:rPr>
          <w:rFonts w:ascii="Times New Roman" w:hAnsi="Times New Roman" w:cs="Times New Roman"/>
          <w:sz w:val="24"/>
          <w:szCs w:val="24"/>
        </w:rPr>
        <w:t>cyberzagrożeniach</w:t>
      </w:r>
      <w:proofErr w:type="spellEnd"/>
      <w:r w:rsidR="00DC423A" w:rsidRPr="00833C88">
        <w:rPr>
          <w:rFonts w:ascii="Times New Roman" w:hAnsi="Times New Roman" w:cs="Times New Roman"/>
          <w:sz w:val="24"/>
          <w:szCs w:val="24"/>
        </w:rPr>
        <w:t>, których udostępnienie nie zagrażałoby bezpieczeństwu państwa lub bezpieczeństwu publicznemu.</w:t>
      </w:r>
    </w:p>
    <w:p w14:paraId="0CB77AF5" w14:textId="7860235A" w:rsidR="0056610F" w:rsidRPr="00833C88" w:rsidRDefault="0056610F"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Incydenty mogą być związane z różnego rodzajami dany</w:t>
      </w:r>
      <w:r w:rsidR="00E53172" w:rsidRPr="00833C88">
        <w:rPr>
          <w:rFonts w:ascii="Times New Roman" w:hAnsi="Times New Roman" w:cs="Times New Roman"/>
        </w:rPr>
        <w:t>mi</w:t>
      </w:r>
      <w:r w:rsidRPr="00833C88">
        <w:rPr>
          <w:rFonts w:ascii="Times New Roman" w:hAnsi="Times New Roman" w:cs="Times New Roman"/>
        </w:rPr>
        <w:t>, w tym z danymi osobowymi. Jak</w:t>
      </w:r>
      <w:r w:rsidR="004716A4" w:rsidRPr="00833C88">
        <w:rPr>
          <w:rFonts w:ascii="Times New Roman" w:hAnsi="Times New Roman" w:cs="Times New Roman"/>
        </w:rPr>
        <w:t>o</w:t>
      </w:r>
      <w:r w:rsidRPr="00833C88">
        <w:rPr>
          <w:rFonts w:ascii="Times New Roman" w:hAnsi="Times New Roman" w:cs="Times New Roman"/>
        </w:rPr>
        <w:t xml:space="preserve"> przykład można wskazać zdarzenie, w którym dzienniki połączeń konsumentów zostały wykradzione lub numery telefonów użytkowników końcowych oraz numery IMSI zostały upublicznione. Atak na sieć, z której korzysta podmiot świadczący usługi OTT może spowodować utratę poufności i dostęp do wiadomości o użytkownikach</w:t>
      </w:r>
      <w:r w:rsidR="00F76759" w:rsidRPr="00833C88">
        <w:rPr>
          <w:rFonts w:ascii="Times New Roman" w:hAnsi="Times New Roman" w:cs="Times New Roman"/>
        </w:rPr>
        <w:t>,</w:t>
      </w:r>
      <w:r w:rsidRPr="00833C88">
        <w:rPr>
          <w:rFonts w:ascii="Times New Roman" w:hAnsi="Times New Roman" w:cs="Times New Roman"/>
        </w:rPr>
        <w:t xml:space="preserve"> np. komunikatorów internetowych. </w:t>
      </w:r>
      <w:r w:rsidR="00601933" w:rsidRPr="00833C88">
        <w:rPr>
          <w:rFonts w:ascii="Times New Roman" w:hAnsi="Times New Roman" w:cs="Times New Roman"/>
        </w:rPr>
        <w:t>Z </w:t>
      </w:r>
      <w:r w:rsidRPr="00833C88">
        <w:rPr>
          <w:rFonts w:ascii="Times New Roman" w:hAnsi="Times New Roman" w:cs="Times New Roman"/>
        </w:rPr>
        <w:t>kolei wskutek ataku mogłaby zostać zaszyfrowana baza abonentów przedsiębiorcy komunikacji elektronicznej, wskutek czego tymczasowo niemożliwe lub utrudnione może być świadczenie usług komunikacji elektronicznej.</w:t>
      </w:r>
    </w:p>
    <w:p w14:paraId="75F4B3C9" w14:textId="35F47DB0" w:rsidR="0056610F" w:rsidRPr="00833C88" w:rsidRDefault="0056610F"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Aby skutecznie zareagować na tego rodzaju zdarzenia, zespoły CSIRT poziomu krajowego </w:t>
      </w:r>
      <w:r w:rsidR="00C93F86" w:rsidRPr="00833C88">
        <w:rPr>
          <w:rFonts w:ascii="Times New Roman" w:hAnsi="Times New Roman" w:cs="Times New Roman"/>
        </w:rPr>
        <w:t xml:space="preserve">oraz CSIRT sektorowe </w:t>
      </w:r>
      <w:r w:rsidRPr="00833C88">
        <w:rPr>
          <w:rFonts w:ascii="Times New Roman" w:hAnsi="Times New Roman" w:cs="Times New Roman"/>
        </w:rPr>
        <w:t xml:space="preserve">muszą otrzymać niezbędne dane m.in. po to, aby dokonać czynności z zakresu informatyki śledczej. Niezbędne będzie przekazanie dzienników zdarzeń (logów), które mogą zawierać informacje kto, kiedy, jakiej czynności dokonał. Innym przykładem będzie przekazanie zaszyfrowanej bazy danych abonentów. Wśród tych danych często będą znajdować się dane osobowe, jak wskazano wyżej. Może być też tak, że w skład tych danych będą znajdować się informacje umożliwiające identyfikację osób, które przyczyniły się do powstania incydentu. W tej sytuacji niezbędne jest zapewnienie możliwości przetwarzania przez ww. zespoły CSIRT danych osobowych. </w:t>
      </w:r>
      <w:r w:rsidR="0097763B" w:rsidRPr="00833C88">
        <w:rPr>
          <w:rFonts w:ascii="Times New Roman" w:hAnsi="Times New Roman" w:cs="Times New Roman"/>
        </w:rPr>
        <w:t>Z</w:t>
      </w:r>
      <w:r w:rsidRPr="00833C88">
        <w:rPr>
          <w:rFonts w:ascii="Times New Roman" w:hAnsi="Times New Roman" w:cs="Times New Roman"/>
        </w:rPr>
        <w:t xml:space="preserve">espoły CSIRT będą przetwarzać dane osobowe pozyskane dopiero przy zaistnieniu szczególnego rodzaju zdarzenia, jakim będzie </w:t>
      </w:r>
      <w:r w:rsidR="00834B0B" w:rsidRPr="00833C88">
        <w:rPr>
          <w:rFonts w:ascii="Times New Roman" w:hAnsi="Times New Roman" w:cs="Times New Roman"/>
        </w:rPr>
        <w:t xml:space="preserve">incydent </w:t>
      </w:r>
      <w:r w:rsidR="0007494C" w:rsidRPr="00833C88">
        <w:rPr>
          <w:rFonts w:ascii="Times New Roman" w:hAnsi="Times New Roman" w:cs="Times New Roman"/>
        </w:rPr>
        <w:t>poważny</w:t>
      </w:r>
      <w:r w:rsidRPr="00833C88">
        <w:rPr>
          <w:rFonts w:ascii="Times New Roman" w:hAnsi="Times New Roman" w:cs="Times New Roman"/>
        </w:rPr>
        <w:t>.</w:t>
      </w:r>
    </w:p>
    <w:p w14:paraId="41B16EC1" w14:textId="7E2CD313" w:rsidR="00D413DD" w:rsidRPr="00833C88" w:rsidRDefault="00D413DD"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lastRenderedPageBreak/>
        <w:t xml:space="preserve">Wprowadza się </w:t>
      </w:r>
      <w:proofErr w:type="gramStart"/>
      <w:r w:rsidRPr="00833C88">
        <w:rPr>
          <w:rFonts w:ascii="Times New Roman" w:hAnsi="Times New Roman" w:cs="Times New Roman"/>
        </w:rPr>
        <w:t>jeszcze dodatkowy</w:t>
      </w:r>
      <w:proofErr w:type="gramEnd"/>
      <w:r w:rsidRPr="00833C88">
        <w:rPr>
          <w:rFonts w:ascii="Times New Roman" w:hAnsi="Times New Roman" w:cs="Times New Roman"/>
        </w:rPr>
        <w:t xml:space="preserve"> przepis regulujący zasady usuwania danych osobowych pozyskanych przez ministra właściwego do spraw informatyzacji, Pełnomocnika, Dyrektora Rządowego Centrum Bezpieczeństwa, Prezesa U</w:t>
      </w:r>
      <w:r w:rsidR="0065131D" w:rsidRPr="00833C88">
        <w:rPr>
          <w:rFonts w:ascii="Times New Roman" w:hAnsi="Times New Roman" w:cs="Times New Roman"/>
        </w:rPr>
        <w:t>rzędu Komunikacji Elektronicznej</w:t>
      </w:r>
      <w:r w:rsidRPr="00833C88">
        <w:rPr>
          <w:rFonts w:ascii="Times New Roman" w:hAnsi="Times New Roman" w:cs="Times New Roman"/>
        </w:rPr>
        <w:t xml:space="preserve"> w związku z wykonywaniem zadań wynikających z ustawy o KSC. Przepis wypełnia lukę prawną, która obecnie występuje w ustawie o KSC.</w:t>
      </w:r>
    </w:p>
    <w:p w14:paraId="292C9142" w14:textId="2C1DEAFD" w:rsidR="000665D0" w:rsidRPr="00833C88" w:rsidRDefault="00601933" w:rsidP="006514D0">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W </w:t>
      </w:r>
      <w:r w:rsidR="000665D0" w:rsidRPr="00833C88">
        <w:rPr>
          <w:rFonts w:eastAsiaTheme="minorEastAsia" w:cs="Times New Roman"/>
          <w:bCs/>
          <w:sz w:val="24"/>
          <w:szCs w:val="20"/>
          <w:lang w:eastAsia="pl-PL"/>
        </w:rPr>
        <w:t xml:space="preserve">dotychczasowych przepisach </w:t>
      </w:r>
      <w:r w:rsidRPr="00833C88">
        <w:rPr>
          <w:rFonts w:eastAsiaTheme="minorEastAsia" w:cs="Times New Roman"/>
          <w:bCs/>
          <w:sz w:val="24"/>
          <w:szCs w:val="20"/>
          <w:lang w:eastAsia="pl-PL"/>
        </w:rPr>
        <w:t>o </w:t>
      </w:r>
      <w:r w:rsidR="000665D0" w:rsidRPr="00833C88">
        <w:rPr>
          <w:rFonts w:eastAsiaTheme="minorEastAsia" w:cs="Times New Roman"/>
          <w:bCs/>
          <w:sz w:val="24"/>
          <w:szCs w:val="20"/>
          <w:lang w:eastAsia="pl-PL"/>
        </w:rPr>
        <w:t>przetwarzaniu danych osobowych przez zespoły CSIRT poziomu krajowego oraz CSIRT sektorowe</w:t>
      </w:r>
      <w:r w:rsidR="000710C5" w:rsidRPr="00833C88">
        <w:rPr>
          <w:rFonts w:eastAsiaTheme="minorEastAsia" w:cs="Times New Roman"/>
          <w:bCs/>
          <w:sz w:val="24"/>
          <w:szCs w:val="20"/>
          <w:lang w:eastAsia="pl-PL"/>
        </w:rPr>
        <w:t xml:space="preserve"> wprowadzono możliwość przetwarzania danych nie tylko określonych </w:t>
      </w:r>
      <w:r w:rsidRPr="00833C88">
        <w:rPr>
          <w:rFonts w:eastAsiaTheme="minorEastAsia" w:cs="Times New Roman"/>
          <w:bCs/>
          <w:sz w:val="24"/>
          <w:szCs w:val="20"/>
          <w:lang w:eastAsia="pl-PL"/>
        </w:rPr>
        <w:t>w </w:t>
      </w:r>
      <w:r w:rsidR="000710C5" w:rsidRPr="00833C88">
        <w:rPr>
          <w:rFonts w:eastAsiaTheme="minorEastAsia" w:cs="Times New Roman"/>
          <w:bCs/>
          <w:sz w:val="24"/>
          <w:szCs w:val="20"/>
          <w:lang w:eastAsia="pl-PL"/>
        </w:rPr>
        <w:t xml:space="preserve">art. 9 </w:t>
      </w:r>
      <w:proofErr w:type="gramStart"/>
      <w:r w:rsidR="000710C5" w:rsidRPr="00833C88">
        <w:rPr>
          <w:rFonts w:eastAsiaTheme="minorEastAsia" w:cs="Times New Roman"/>
          <w:bCs/>
          <w:sz w:val="24"/>
          <w:szCs w:val="20"/>
          <w:lang w:eastAsia="pl-PL"/>
        </w:rPr>
        <w:t>RODO</w:t>
      </w:r>
      <w:proofErr w:type="gramEnd"/>
      <w:r w:rsidR="00AA06C0" w:rsidRPr="00833C88">
        <w:rPr>
          <w:rFonts w:eastAsiaTheme="minorEastAsia" w:cs="Times New Roman"/>
          <w:bCs/>
          <w:sz w:val="24"/>
          <w:szCs w:val="20"/>
          <w:lang w:eastAsia="pl-PL"/>
        </w:rPr>
        <w:t xml:space="preserve"> ale także dotyczące </w:t>
      </w:r>
      <w:r w:rsidR="002B60EF" w:rsidRPr="00833C88">
        <w:rPr>
          <w:rFonts w:eastAsiaTheme="minorEastAsia" w:cs="Times New Roman"/>
          <w:bCs/>
          <w:sz w:val="24"/>
          <w:szCs w:val="20"/>
          <w:lang w:eastAsia="pl-PL"/>
        </w:rPr>
        <w:t xml:space="preserve">danych osobowych dotyczących wyroków skazujących </w:t>
      </w:r>
      <w:r w:rsidRPr="00833C88">
        <w:rPr>
          <w:rFonts w:eastAsiaTheme="minorEastAsia" w:cs="Times New Roman"/>
          <w:bCs/>
          <w:sz w:val="24"/>
          <w:szCs w:val="20"/>
          <w:lang w:eastAsia="pl-PL"/>
        </w:rPr>
        <w:t>i </w:t>
      </w:r>
      <w:r w:rsidR="002B60EF" w:rsidRPr="00833C88">
        <w:rPr>
          <w:rFonts w:eastAsiaTheme="minorEastAsia" w:cs="Times New Roman"/>
          <w:bCs/>
          <w:sz w:val="24"/>
          <w:szCs w:val="20"/>
          <w:lang w:eastAsia="pl-PL"/>
        </w:rPr>
        <w:t>czynów zabronionych</w:t>
      </w:r>
      <w:r w:rsidR="00AB5AD6" w:rsidRPr="00833C88">
        <w:rPr>
          <w:rFonts w:eastAsiaTheme="minorEastAsia" w:cs="Times New Roman"/>
          <w:bCs/>
          <w:sz w:val="24"/>
          <w:szCs w:val="20"/>
          <w:lang w:eastAsia="pl-PL"/>
        </w:rPr>
        <w:t xml:space="preserve"> (art. 10 RODO)</w:t>
      </w:r>
      <w:r w:rsidR="002B60EF" w:rsidRPr="00833C88">
        <w:rPr>
          <w:rFonts w:eastAsiaTheme="minorEastAsia" w:cs="Times New Roman"/>
          <w:bCs/>
          <w:sz w:val="24"/>
          <w:szCs w:val="20"/>
          <w:lang w:eastAsia="pl-PL"/>
        </w:rPr>
        <w:t xml:space="preserve">. Jest to związane </w:t>
      </w:r>
      <w:r w:rsidRPr="00833C88">
        <w:rPr>
          <w:rFonts w:eastAsiaTheme="minorEastAsia" w:cs="Times New Roman"/>
          <w:bCs/>
          <w:sz w:val="24"/>
          <w:szCs w:val="20"/>
          <w:lang w:eastAsia="pl-PL"/>
        </w:rPr>
        <w:t>z </w:t>
      </w:r>
      <w:r w:rsidR="002B60EF" w:rsidRPr="00833C88">
        <w:rPr>
          <w:rFonts w:eastAsiaTheme="minorEastAsia" w:cs="Times New Roman"/>
          <w:bCs/>
          <w:sz w:val="24"/>
          <w:szCs w:val="20"/>
          <w:lang w:eastAsia="pl-PL"/>
        </w:rPr>
        <w:t>tym, że</w:t>
      </w:r>
      <w:r w:rsidR="00DE38C1" w:rsidRPr="00833C88">
        <w:rPr>
          <w:rFonts w:eastAsiaTheme="minorEastAsia" w:cs="Times New Roman"/>
          <w:bCs/>
          <w:sz w:val="24"/>
          <w:szCs w:val="20"/>
          <w:lang w:eastAsia="pl-PL"/>
        </w:rPr>
        <w:t> </w:t>
      </w:r>
      <w:r w:rsidR="00FD099F" w:rsidRPr="00833C88">
        <w:rPr>
          <w:rFonts w:eastAsiaTheme="minorEastAsia" w:cs="Times New Roman"/>
          <w:bCs/>
          <w:sz w:val="24"/>
          <w:szCs w:val="20"/>
          <w:lang w:eastAsia="pl-PL"/>
        </w:rPr>
        <w:t xml:space="preserve">incydent polegający np. na naruszeniu poufności danych </w:t>
      </w:r>
      <w:r w:rsidRPr="00833C88">
        <w:rPr>
          <w:rFonts w:eastAsiaTheme="minorEastAsia" w:cs="Times New Roman"/>
          <w:bCs/>
          <w:sz w:val="24"/>
          <w:szCs w:val="20"/>
          <w:lang w:eastAsia="pl-PL"/>
        </w:rPr>
        <w:t>w </w:t>
      </w:r>
      <w:r w:rsidR="00FD099F" w:rsidRPr="00833C88">
        <w:rPr>
          <w:rFonts w:eastAsiaTheme="minorEastAsia" w:cs="Times New Roman"/>
          <w:bCs/>
          <w:sz w:val="24"/>
          <w:szCs w:val="20"/>
          <w:lang w:eastAsia="pl-PL"/>
        </w:rPr>
        <w:t xml:space="preserve">danym podmiocie (np. sądzie, jednostce penitencjarnej, czy ośrodku zdrowia) </w:t>
      </w:r>
      <w:r w:rsidR="00710D6E" w:rsidRPr="00833C88">
        <w:rPr>
          <w:rFonts w:eastAsiaTheme="minorEastAsia" w:cs="Times New Roman"/>
          <w:bCs/>
          <w:sz w:val="24"/>
          <w:szCs w:val="20"/>
          <w:lang w:eastAsia="pl-PL"/>
        </w:rPr>
        <w:t xml:space="preserve">może naruszać te szczególne kategorie danych osobowych. Specjaliści </w:t>
      </w:r>
      <w:r w:rsidRPr="00833C88">
        <w:rPr>
          <w:rFonts w:eastAsiaTheme="minorEastAsia" w:cs="Times New Roman"/>
          <w:bCs/>
          <w:sz w:val="24"/>
          <w:szCs w:val="20"/>
          <w:lang w:eastAsia="pl-PL"/>
        </w:rPr>
        <w:t>z </w:t>
      </w:r>
      <w:r w:rsidR="00710D6E" w:rsidRPr="00833C88">
        <w:rPr>
          <w:rFonts w:eastAsiaTheme="minorEastAsia" w:cs="Times New Roman"/>
          <w:bCs/>
          <w:sz w:val="24"/>
          <w:szCs w:val="20"/>
          <w:lang w:eastAsia="pl-PL"/>
        </w:rPr>
        <w:t>zespołu CSIRT, analizujący incydent muszą zorientować się jakich danych dotyczy incydent, aby móc go obsłużyć. Są oczywiście związani przy tym tajemnicą</w:t>
      </w:r>
      <w:r w:rsidR="00AB5AD6" w:rsidRPr="00833C88">
        <w:rPr>
          <w:rFonts w:eastAsiaTheme="minorEastAsia" w:cs="Times New Roman"/>
          <w:bCs/>
          <w:sz w:val="24"/>
          <w:szCs w:val="20"/>
          <w:lang w:eastAsia="pl-PL"/>
        </w:rPr>
        <w:t>.</w:t>
      </w:r>
    </w:p>
    <w:p w14:paraId="13CFAFE1" w14:textId="1D92401A" w:rsidR="00F4694E" w:rsidRPr="00833C88" w:rsidRDefault="00CC4420" w:rsidP="006514D0">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Tak jak jest to w obecnej ustawie o KSC nie uregulowano kwestii przetwarzania danych osobowych przez CSIRT GOV</w:t>
      </w:r>
      <w:r w:rsidR="00894977" w:rsidRPr="00833C88">
        <w:rPr>
          <w:rFonts w:eastAsiaTheme="minorEastAsia" w:cs="Times New Roman"/>
          <w:bCs/>
          <w:sz w:val="24"/>
          <w:szCs w:val="20"/>
          <w:lang w:eastAsia="pl-PL"/>
        </w:rPr>
        <w:t xml:space="preserve"> działający w Agencji Bezpieczeństwa Wewnętrznego.</w:t>
      </w:r>
      <w:r w:rsidR="001115B1" w:rsidRPr="00833C88">
        <w:rPr>
          <w:rFonts w:eastAsiaTheme="minorEastAsia" w:cs="Times New Roman"/>
          <w:bCs/>
          <w:sz w:val="24"/>
          <w:szCs w:val="20"/>
          <w:lang w:eastAsia="pl-PL"/>
        </w:rPr>
        <w:t xml:space="preserve"> </w:t>
      </w:r>
      <w:r w:rsidR="00806044" w:rsidRPr="00833C88">
        <w:rPr>
          <w:rFonts w:eastAsiaTheme="minorEastAsia" w:cs="Times New Roman"/>
          <w:bCs/>
          <w:sz w:val="24"/>
          <w:szCs w:val="20"/>
          <w:lang w:eastAsia="pl-PL"/>
        </w:rPr>
        <w:t>Kwestia ta była omawiana w trakcie procesu legislacyjnego projektu ustawy o krajowym systemie cyberbezpieczeństwa w 2018 r.</w:t>
      </w:r>
      <w:r w:rsidR="00285E47" w:rsidRPr="00833C88">
        <w:rPr>
          <w:rStyle w:val="Odwoanieprzypisudolnego"/>
          <w:rFonts w:eastAsiaTheme="minorEastAsia" w:cs="Times New Roman"/>
          <w:bCs/>
          <w:sz w:val="24"/>
          <w:szCs w:val="20"/>
          <w:lang w:eastAsia="pl-PL"/>
        </w:rPr>
        <w:footnoteReference w:id="53"/>
      </w:r>
      <w:r w:rsidR="00062670" w:rsidRPr="00833C88">
        <w:rPr>
          <w:rFonts w:eastAsiaTheme="minorEastAsia" w:cs="Times New Roman"/>
          <w:bCs/>
          <w:sz w:val="24"/>
          <w:szCs w:val="20"/>
          <w:vertAlign w:val="superscript"/>
          <w:lang w:eastAsia="pl-PL"/>
        </w:rPr>
        <w:t>)</w:t>
      </w:r>
      <w:r w:rsidR="00960B11" w:rsidRPr="00833C88">
        <w:rPr>
          <w:rFonts w:eastAsiaTheme="minorEastAsia" w:cs="Times New Roman"/>
          <w:bCs/>
          <w:sz w:val="24"/>
          <w:szCs w:val="20"/>
          <w:lang w:eastAsia="pl-PL"/>
        </w:rPr>
        <w:t xml:space="preserve">. Ostatecznie zostało przesądzone, że ustawie o KSC nie będą regulowane </w:t>
      </w:r>
      <w:r w:rsidR="00C60C82" w:rsidRPr="00833C88">
        <w:rPr>
          <w:rFonts w:eastAsiaTheme="minorEastAsia" w:cs="Times New Roman"/>
          <w:bCs/>
          <w:sz w:val="24"/>
          <w:szCs w:val="20"/>
          <w:lang w:eastAsia="pl-PL"/>
        </w:rPr>
        <w:t xml:space="preserve">kwestie przetwarzania danych osobowych przez CSIRT GOV, ponieważ zastosowanie znajdzie tutaj </w:t>
      </w:r>
      <w:r w:rsidR="00B40040" w:rsidRPr="00833C88">
        <w:rPr>
          <w:rFonts w:eastAsiaTheme="minorEastAsia" w:cs="Times New Roman"/>
          <w:bCs/>
          <w:sz w:val="24"/>
          <w:szCs w:val="20"/>
          <w:lang w:eastAsia="pl-PL"/>
        </w:rPr>
        <w:t xml:space="preserve">art. 34 </w:t>
      </w:r>
      <w:r w:rsidR="00B40040" w:rsidRPr="00833C88">
        <w:rPr>
          <w:rFonts w:cs="Times New Roman"/>
          <w:sz w:val="24"/>
          <w:szCs w:val="24"/>
        </w:rPr>
        <w:t>ustawy z dnia 24 maja 2022 r. o Agencji Bezpieczeństwa Wewnętrznego oraz Agencji Wywiadu</w:t>
      </w:r>
      <w:r w:rsidR="00262BBF" w:rsidRPr="00833C88">
        <w:rPr>
          <w:rFonts w:cs="Times New Roman"/>
          <w:sz w:val="24"/>
          <w:szCs w:val="24"/>
        </w:rPr>
        <w:t>, który reguluje kwestie przetwarzania danych osobowych przez Agencję Bezpieczeństwa Wewnętrznego.</w:t>
      </w:r>
    </w:p>
    <w:p w14:paraId="612E1F1E" w14:textId="01925D54" w:rsidR="0050636F" w:rsidRPr="00833C88" w:rsidRDefault="0050636F" w:rsidP="006514D0">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 xml:space="preserve">Wprowadza się uprawnienie ministra właściwego do spraw informatyzacji do przetwarzania danych osobowych </w:t>
      </w:r>
      <w:r w:rsidR="00621761" w:rsidRPr="00833C88">
        <w:rPr>
          <w:rFonts w:eastAsiaTheme="minorEastAsia" w:cs="Times New Roman"/>
          <w:bCs/>
          <w:sz w:val="24"/>
          <w:szCs w:val="20"/>
          <w:lang w:eastAsia="pl-PL"/>
        </w:rPr>
        <w:t xml:space="preserve">– imienia </w:t>
      </w:r>
      <w:r w:rsidR="00601933" w:rsidRPr="00833C88">
        <w:rPr>
          <w:rFonts w:eastAsiaTheme="minorEastAsia" w:cs="Times New Roman"/>
          <w:bCs/>
          <w:sz w:val="24"/>
          <w:szCs w:val="20"/>
          <w:lang w:eastAsia="pl-PL"/>
        </w:rPr>
        <w:t>i </w:t>
      </w:r>
      <w:r w:rsidR="00621761" w:rsidRPr="00833C88">
        <w:rPr>
          <w:rFonts w:eastAsiaTheme="minorEastAsia" w:cs="Times New Roman"/>
          <w:bCs/>
          <w:sz w:val="24"/>
          <w:szCs w:val="20"/>
          <w:lang w:eastAsia="pl-PL"/>
        </w:rPr>
        <w:t xml:space="preserve">nazwiska oraz numeru PESEL osób fizycznych, które </w:t>
      </w:r>
      <w:r w:rsidR="00601933" w:rsidRPr="00833C88">
        <w:rPr>
          <w:rFonts w:eastAsiaTheme="minorEastAsia" w:cs="Times New Roman"/>
          <w:bCs/>
          <w:sz w:val="24"/>
          <w:szCs w:val="20"/>
          <w:lang w:eastAsia="pl-PL"/>
        </w:rPr>
        <w:t>w </w:t>
      </w:r>
      <w:r w:rsidR="00621761" w:rsidRPr="00833C88">
        <w:rPr>
          <w:rFonts w:eastAsiaTheme="minorEastAsia" w:cs="Times New Roman"/>
          <w:bCs/>
          <w:sz w:val="24"/>
          <w:szCs w:val="20"/>
          <w:lang w:eastAsia="pl-PL"/>
        </w:rPr>
        <w:t xml:space="preserve">imieniu podmiotu kluczowego lub podmiotu ważnego </w:t>
      </w:r>
      <w:r w:rsidR="007122D2" w:rsidRPr="00833C88">
        <w:rPr>
          <w:rFonts w:eastAsiaTheme="minorEastAsia" w:cs="Times New Roman"/>
          <w:bCs/>
          <w:sz w:val="24"/>
          <w:szCs w:val="20"/>
          <w:lang w:eastAsia="pl-PL"/>
        </w:rPr>
        <w:t>korzystają</w:t>
      </w:r>
      <w:r w:rsidR="00621761" w:rsidRPr="00833C88">
        <w:rPr>
          <w:rFonts w:eastAsiaTheme="minorEastAsia" w:cs="Times New Roman"/>
          <w:bCs/>
          <w:sz w:val="24"/>
          <w:szCs w:val="20"/>
          <w:lang w:eastAsia="pl-PL"/>
        </w:rPr>
        <w:t xml:space="preserve"> </w:t>
      </w:r>
      <w:r w:rsidR="00601933" w:rsidRPr="00833C88">
        <w:rPr>
          <w:rFonts w:eastAsiaTheme="minorEastAsia" w:cs="Times New Roman"/>
          <w:bCs/>
          <w:sz w:val="24"/>
          <w:szCs w:val="20"/>
          <w:lang w:eastAsia="pl-PL"/>
        </w:rPr>
        <w:t>z </w:t>
      </w:r>
      <w:r w:rsidR="00621761" w:rsidRPr="00833C88">
        <w:rPr>
          <w:rFonts w:eastAsiaTheme="minorEastAsia" w:cs="Times New Roman"/>
          <w:bCs/>
          <w:sz w:val="24"/>
          <w:szCs w:val="20"/>
          <w:lang w:eastAsia="pl-PL"/>
        </w:rPr>
        <w:t xml:space="preserve">systemu </w:t>
      </w:r>
      <w:r w:rsidR="0065131D" w:rsidRPr="00833C88">
        <w:rPr>
          <w:rFonts w:eastAsiaTheme="minorEastAsia" w:cs="Times New Roman"/>
          <w:bCs/>
          <w:sz w:val="24"/>
          <w:szCs w:val="20"/>
          <w:lang w:eastAsia="pl-PL"/>
        </w:rPr>
        <w:t xml:space="preserve">teleinformatycznego </w:t>
      </w:r>
      <w:r w:rsidR="00621761" w:rsidRPr="00833C88">
        <w:rPr>
          <w:rFonts w:eastAsiaTheme="minorEastAsia" w:cs="Times New Roman"/>
          <w:bCs/>
          <w:sz w:val="24"/>
          <w:szCs w:val="20"/>
          <w:lang w:eastAsia="pl-PL"/>
        </w:rPr>
        <w:t xml:space="preserve">S46 </w:t>
      </w:r>
      <w:r w:rsidR="00601933" w:rsidRPr="00833C88">
        <w:rPr>
          <w:rFonts w:eastAsiaTheme="minorEastAsia" w:cs="Times New Roman"/>
          <w:bCs/>
          <w:sz w:val="24"/>
          <w:szCs w:val="20"/>
          <w:lang w:eastAsia="pl-PL"/>
        </w:rPr>
        <w:t>w </w:t>
      </w:r>
      <w:r w:rsidR="00621761" w:rsidRPr="00833C88">
        <w:rPr>
          <w:rFonts w:eastAsiaTheme="minorEastAsia" w:cs="Times New Roman"/>
          <w:bCs/>
          <w:sz w:val="24"/>
          <w:szCs w:val="20"/>
          <w:lang w:eastAsia="pl-PL"/>
        </w:rPr>
        <w:t xml:space="preserve">celu uwierzytelnienia tych osób </w:t>
      </w:r>
      <w:r w:rsidR="00601933" w:rsidRPr="00833C88">
        <w:rPr>
          <w:rFonts w:eastAsiaTheme="minorEastAsia" w:cs="Times New Roman"/>
          <w:bCs/>
          <w:sz w:val="24"/>
          <w:szCs w:val="20"/>
          <w:lang w:eastAsia="pl-PL"/>
        </w:rPr>
        <w:t>w </w:t>
      </w:r>
      <w:r w:rsidR="00621761" w:rsidRPr="00833C88">
        <w:rPr>
          <w:rFonts w:eastAsiaTheme="minorEastAsia" w:cs="Times New Roman"/>
          <w:bCs/>
          <w:sz w:val="24"/>
          <w:szCs w:val="20"/>
          <w:lang w:eastAsia="pl-PL"/>
        </w:rPr>
        <w:t>systemie. Uwierzytelnienie będzie odbywać się za pomocą Węzła krajowego</w:t>
      </w:r>
      <w:r w:rsidR="007A7F73" w:rsidRPr="00833C88">
        <w:rPr>
          <w:rFonts w:eastAsiaTheme="minorEastAsia" w:cs="Times New Roman"/>
          <w:bCs/>
          <w:sz w:val="24"/>
          <w:szCs w:val="20"/>
          <w:lang w:eastAsia="pl-PL"/>
        </w:rPr>
        <w:t xml:space="preserve">, który dopuszcza uwierzytelnianie za pomocą nr PESEL lub niepowtarzalnego identyfikatora środka identyfikacji elektronicznej, </w:t>
      </w:r>
      <w:r w:rsidR="00601933" w:rsidRPr="00833C88">
        <w:rPr>
          <w:rFonts w:eastAsiaTheme="minorEastAsia" w:cs="Times New Roman"/>
          <w:bCs/>
          <w:sz w:val="24"/>
          <w:szCs w:val="20"/>
          <w:lang w:eastAsia="pl-PL"/>
        </w:rPr>
        <w:t>o </w:t>
      </w:r>
      <w:r w:rsidR="007A7F73" w:rsidRPr="00833C88">
        <w:rPr>
          <w:rFonts w:eastAsiaTheme="minorEastAsia" w:cs="Times New Roman"/>
          <w:bCs/>
          <w:sz w:val="24"/>
          <w:szCs w:val="20"/>
          <w:lang w:eastAsia="pl-PL"/>
        </w:rPr>
        <w:t xml:space="preserve">którym mowa </w:t>
      </w:r>
      <w:r w:rsidR="00601933" w:rsidRPr="00833C88">
        <w:rPr>
          <w:rFonts w:eastAsiaTheme="minorEastAsia" w:cs="Times New Roman"/>
          <w:bCs/>
          <w:sz w:val="24"/>
          <w:szCs w:val="20"/>
          <w:lang w:eastAsia="pl-PL"/>
        </w:rPr>
        <w:t>w </w:t>
      </w:r>
      <w:r w:rsidR="007A7F73" w:rsidRPr="00833C88">
        <w:rPr>
          <w:rFonts w:eastAsiaTheme="minorEastAsia" w:cs="Times New Roman"/>
          <w:bCs/>
          <w:sz w:val="24"/>
          <w:szCs w:val="20"/>
          <w:lang w:eastAsia="pl-PL"/>
        </w:rPr>
        <w:t>przepisach wydanych na podstawie art. 12 ust. 8 rozporządzenia 910/2014.</w:t>
      </w:r>
    </w:p>
    <w:p w14:paraId="1F53C2E8" w14:textId="0DE4B987" w:rsidR="005317A3" w:rsidRPr="00833C88" w:rsidRDefault="00601933" w:rsidP="006514D0">
      <w:pPr>
        <w:spacing w:line="360" w:lineRule="auto"/>
        <w:jc w:val="both"/>
        <w:rPr>
          <w:rFonts w:eastAsiaTheme="minorEastAsia" w:cs="Times New Roman"/>
          <w:bCs/>
          <w:sz w:val="24"/>
          <w:szCs w:val="20"/>
          <w:lang w:eastAsia="pl-PL"/>
        </w:rPr>
      </w:pPr>
      <w:r w:rsidRPr="00833C88">
        <w:rPr>
          <w:rFonts w:eastAsiaTheme="minorEastAsia" w:cs="Times New Roman"/>
          <w:bCs/>
          <w:sz w:val="24"/>
          <w:szCs w:val="20"/>
          <w:lang w:eastAsia="pl-PL"/>
        </w:rPr>
        <w:t>W </w:t>
      </w:r>
      <w:r w:rsidR="005317A3" w:rsidRPr="00833C88">
        <w:rPr>
          <w:rFonts w:eastAsiaTheme="minorEastAsia" w:cs="Times New Roman"/>
          <w:bCs/>
          <w:sz w:val="24"/>
          <w:szCs w:val="20"/>
          <w:lang w:eastAsia="pl-PL"/>
        </w:rPr>
        <w:t xml:space="preserve">chwili obecnej </w:t>
      </w:r>
      <w:r w:rsidR="00FD59C1" w:rsidRPr="00833C88">
        <w:rPr>
          <w:rFonts w:eastAsiaTheme="minorEastAsia" w:cs="Times New Roman"/>
          <w:bCs/>
          <w:sz w:val="24"/>
          <w:szCs w:val="20"/>
          <w:lang w:eastAsia="pl-PL"/>
        </w:rPr>
        <w:t xml:space="preserve">ustawa </w:t>
      </w:r>
      <w:r w:rsidRPr="00833C88">
        <w:rPr>
          <w:rFonts w:eastAsiaTheme="minorEastAsia" w:cs="Times New Roman"/>
          <w:bCs/>
          <w:sz w:val="24"/>
          <w:szCs w:val="20"/>
          <w:lang w:eastAsia="pl-PL"/>
        </w:rPr>
        <w:t>o </w:t>
      </w:r>
      <w:r w:rsidR="00FD59C1" w:rsidRPr="00833C88">
        <w:rPr>
          <w:rFonts w:eastAsiaTheme="minorEastAsia" w:cs="Times New Roman"/>
          <w:bCs/>
          <w:sz w:val="24"/>
          <w:szCs w:val="20"/>
          <w:lang w:eastAsia="pl-PL"/>
        </w:rPr>
        <w:t xml:space="preserve">KSC wyłącza stosowanie </w:t>
      </w:r>
      <w:r w:rsidR="00F17F1F" w:rsidRPr="00833C88">
        <w:rPr>
          <w:rFonts w:eastAsiaTheme="minorEastAsia" w:cs="Times New Roman"/>
          <w:bCs/>
          <w:sz w:val="24"/>
          <w:szCs w:val="20"/>
          <w:lang w:eastAsia="pl-PL"/>
        </w:rPr>
        <w:t xml:space="preserve">art. 15, art. 16, art. 18 ust. 1 lit. </w:t>
      </w:r>
      <w:r w:rsidRPr="00833C88">
        <w:rPr>
          <w:rFonts w:eastAsiaTheme="minorEastAsia" w:cs="Times New Roman"/>
          <w:bCs/>
          <w:sz w:val="24"/>
          <w:szCs w:val="20"/>
          <w:lang w:eastAsia="pl-PL"/>
        </w:rPr>
        <w:t>a i </w:t>
      </w:r>
      <w:r w:rsidR="00F17F1F" w:rsidRPr="00833C88">
        <w:rPr>
          <w:rFonts w:eastAsiaTheme="minorEastAsia" w:cs="Times New Roman"/>
          <w:bCs/>
          <w:sz w:val="24"/>
          <w:szCs w:val="20"/>
          <w:lang w:eastAsia="pl-PL"/>
        </w:rPr>
        <w:t xml:space="preserve">d oraz art. 19 zdanie drugie </w:t>
      </w:r>
      <w:r w:rsidR="00A15030" w:rsidRPr="00833C88">
        <w:rPr>
          <w:rFonts w:eastAsiaTheme="minorEastAsia" w:cs="Times New Roman"/>
          <w:bCs/>
          <w:sz w:val="24"/>
          <w:szCs w:val="20"/>
          <w:lang w:eastAsia="pl-PL"/>
        </w:rPr>
        <w:t>RODO</w:t>
      </w:r>
      <w:r w:rsidR="00F17F1F" w:rsidRPr="00833C88">
        <w:rPr>
          <w:rFonts w:eastAsiaTheme="minorEastAsia" w:cs="Times New Roman"/>
          <w:bCs/>
          <w:sz w:val="24"/>
          <w:szCs w:val="20"/>
          <w:lang w:eastAsia="pl-PL"/>
        </w:rPr>
        <w:t xml:space="preserve"> </w:t>
      </w:r>
      <w:r w:rsidRPr="00833C88">
        <w:rPr>
          <w:rFonts w:eastAsiaTheme="minorEastAsia" w:cs="Times New Roman"/>
          <w:bCs/>
          <w:sz w:val="24"/>
          <w:szCs w:val="20"/>
          <w:lang w:eastAsia="pl-PL"/>
        </w:rPr>
        <w:t>w </w:t>
      </w:r>
      <w:r w:rsidR="00F17F1F" w:rsidRPr="00833C88">
        <w:rPr>
          <w:rFonts w:eastAsiaTheme="minorEastAsia" w:cs="Times New Roman"/>
          <w:bCs/>
          <w:sz w:val="24"/>
          <w:szCs w:val="20"/>
          <w:lang w:eastAsia="pl-PL"/>
        </w:rPr>
        <w:t xml:space="preserve">zakresie danych pozyskanych przez CSIRT poziomu </w:t>
      </w:r>
      <w:r w:rsidR="00F17F1F" w:rsidRPr="00833C88">
        <w:rPr>
          <w:rFonts w:eastAsiaTheme="minorEastAsia" w:cs="Times New Roman"/>
          <w:bCs/>
          <w:sz w:val="24"/>
          <w:szCs w:val="20"/>
          <w:lang w:eastAsia="pl-PL"/>
        </w:rPr>
        <w:lastRenderedPageBreak/>
        <w:t xml:space="preserve">krajowego. </w:t>
      </w:r>
      <w:r w:rsidR="00A15030" w:rsidRPr="00833C88">
        <w:rPr>
          <w:rFonts w:eastAsiaTheme="minorEastAsia" w:cs="Times New Roman"/>
          <w:bCs/>
          <w:sz w:val="24"/>
          <w:szCs w:val="20"/>
          <w:lang w:eastAsia="pl-PL"/>
        </w:rPr>
        <w:t>RODO</w:t>
      </w:r>
      <w:r w:rsidR="00F17F1F" w:rsidRPr="00833C88">
        <w:rPr>
          <w:rFonts w:eastAsiaTheme="minorEastAsia" w:cs="Times New Roman"/>
          <w:bCs/>
          <w:sz w:val="24"/>
          <w:szCs w:val="20"/>
          <w:lang w:eastAsia="pl-PL"/>
        </w:rPr>
        <w:t xml:space="preserve"> wskazuje jednak, że prawa zawarte </w:t>
      </w:r>
      <w:r w:rsidRPr="00833C88">
        <w:rPr>
          <w:rFonts w:eastAsiaTheme="minorEastAsia" w:cs="Times New Roman"/>
          <w:bCs/>
          <w:sz w:val="24"/>
          <w:szCs w:val="20"/>
          <w:lang w:eastAsia="pl-PL"/>
        </w:rPr>
        <w:t>w </w:t>
      </w:r>
      <w:r w:rsidR="00F17F1F" w:rsidRPr="00833C88">
        <w:rPr>
          <w:rFonts w:eastAsiaTheme="minorEastAsia" w:cs="Times New Roman"/>
          <w:bCs/>
          <w:sz w:val="24"/>
          <w:szCs w:val="20"/>
          <w:lang w:eastAsia="pl-PL"/>
        </w:rPr>
        <w:t xml:space="preserve">ww. artykułach można ograniczyć </w:t>
      </w:r>
      <w:r w:rsidRPr="00833C88">
        <w:rPr>
          <w:rFonts w:eastAsiaTheme="minorEastAsia" w:cs="Times New Roman"/>
          <w:bCs/>
          <w:sz w:val="24"/>
          <w:szCs w:val="20"/>
          <w:lang w:eastAsia="pl-PL"/>
        </w:rPr>
        <w:t>a </w:t>
      </w:r>
      <w:r w:rsidR="00F17F1F" w:rsidRPr="00833C88">
        <w:rPr>
          <w:rFonts w:eastAsiaTheme="minorEastAsia" w:cs="Times New Roman"/>
          <w:bCs/>
          <w:sz w:val="24"/>
          <w:szCs w:val="20"/>
          <w:lang w:eastAsia="pl-PL"/>
        </w:rPr>
        <w:t>nie całkiem wyłączyć</w:t>
      </w:r>
      <w:r w:rsidR="008A6669" w:rsidRPr="00833C88">
        <w:rPr>
          <w:rFonts w:eastAsiaTheme="minorEastAsia" w:cs="Times New Roman"/>
          <w:bCs/>
          <w:sz w:val="24"/>
          <w:szCs w:val="20"/>
          <w:lang w:eastAsia="pl-PL"/>
        </w:rPr>
        <w:t xml:space="preserve">. </w:t>
      </w:r>
      <w:r w:rsidRPr="00833C88">
        <w:rPr>
          <w:rFonts w:eastAsiaTheme="minorEastAsia" w:cs="Times New Roman"/>
          <w:bCs/>
          <w:sz w:val="24"/>
          <w:szCs w:val="20"/>
          <w:lang w:eastAsia="pl-PL"/>
        </w:rPr>
        <w:t>Z </w:t>
      </w:r>
      <w:r w:rsidR="008A6669" w:rsidRPr="00833C88">
        <w:rPr>
          <w:rFonts w:eastAsiaTheme="minorEastAsia" w:cs="Times New Roman"/>
          <w:bCs/>
          <w:sz w:val="24"/>
          <w:szCs w:val="20"/>
          <w:lang w:eastAsia="pl-PL"/>
        </w:rPr>
        <w:t xml:space="preserve">tego powodu zrezygnowano </w:t>
      </w:r>
      <w:r w:rsidRPr="00833C88">
        <w:rPr>
          <w:rFonts w:eastAsiaTheme="minorEastAsia" w:cs="Times New Roman"/>
          <w:bCs/>
          <w:sz w:val="24"/>
          <w:szCs w:val="20"/>
          <w:lang w:eastAsia="pl-PL"/>
        </w:rPr>
        <w:t>z </w:t>
      </w:r>
      <w:r w:rsidR="008A6669" w:rsidRPr="00833C88">
        <w:rPr>
          <w:rFonts w:eastAsiaTheme="minorEastAsia" w:cs="Times New Roman"/>
          <w:bCs/>
          <w:sz w:val="24"/>
          <w:szCs w:val="20"/>
          <w:lang w:eastAsia="pl-PL"/>
        </w:rPr>
        <w:t>formuły wyłączania stosowania tych artykułów tylko zaproponowano</w:t>
      </w:r>
      <w:r w:rsidR="00F478FC" w:rsidRPr="00833C88">
        <w:rPr>
          <w:rFonts w:eastAsiaTheme="minorEastAsia" w:cs="Times New Roman"/>
          <w:bCs/>
          <w:sz w:val="24"/>
          <w:szCs w:val="20"/>
          <w:lang w:eastAsia="pl-PL"/>
        </w:rPr>
        <w:t xml:space="preserve">, że realizacja uprawnień wynikających </w:t>
      </w:r>
      <w:r w:rsidRPr="00833C88">
        <w:rPr>
          <w:rFonts w:eastAsiaTheme="minorEastAsia" w:cs="Times New Roman"/>
          <w:bCs/>
          <w:sz w:val="24"/>
          <w:szCs w:val="20"/>
          <w:lang w:eastAsia="pl-PL"/>
        </w:rPr>
        <w:t>z </w:t>
      </w:r>
      <w:r w:rsidR="00F478FC" w:rsidRPr="00833C88">
        <w:rPr>
          <w:rFonts w:eastAsiaTheme="minorEastAsia" w:cs="Times New Roman"/>
          <w:bCs/>
          <w:sz w:val="24"/>
          <w:szCs w:val="20"/>
          <w:lang w:eastAsia="pl-PL"/>
        </w:rPr>
        <w:t xml:space="preserve">tych artykułów RODO jest możliwa </w:t>
      </w:r>
      <w:r w:rsidR="00063BD2" w:rsidRPr="00833C88">
        <w:rPr>
          <w:rFonts w:eastAsiaTheme="minorEastAsia" w:cs="Times New Roman"/>
          <w:bCs/>
          <w:sz w:val="24"/>
          <w:szCs w:val="20"/>
          <w:lang w:eastAsia="pl-PL"/>
        </w:rPr>
        <w:t xml:space="preserve">po zakończeniu obsługi incydentu, </w:t>
      </w:r>
      <w:r w:rsidRPr="00833C88">
        <w:rPr>
          <w:rFonts w:eastAsiaTheme="minorEastAsia" w:cs="Times New Roman"/>
          <w:bCs/>
          <w:sz w:val="24"/>
          <w:szCs w:val="20"/>
          <w:lang w:eastAsia="pl-PL"/>
        </w:rPr>
        <w:t>w </w:t>
      </w:r>
      <w:proofErr w:type="gramStart"/>
      <w:r w:rsidR="00063BD2" w:rsidRPr="00833C88">
        <w:rPr>
          <w:rFonts w:eastAsiaTheme="minorEastAsia" w:cs="Times New Roman"/>
          <w:bCs/>
          <w:sz w:val="24"/>
          <w:szCs w:val="20"/>
          <w:lang w:eastAsia="pl-PL"/>
        </w:rPr>
        <w:t>związku</w:t>
      </w:r>
      <w:proofErr w:type="gramEnd"/>
      <w:r w:rsidR="00063BD2" w:rsidRPr="00833C88">
        <w:rPr>
          <w:rFonts w:eastAsiaTheme="minorEastAsia" w:cs="Times New Roman"/>
          <w:bCs/>
          <w:sz w:val="24"/>
          <w:szCs w:val="20"/>
          <w:lang w:eastAsia="pl-PL"/>
        </w:rPr>
        <w:t xml:space="preserve"> </w:t>
      </w:r>
      <w:r w:rsidRPr="00833C88">
        <w:rPr>
          <w:rFonts w:eastAsiaTheme="minorEastAsia" w:cs="Times New Roman"/>
          <w:bCs/>
          <w:sz w:val="24"/>
          <w:szCs w:val="20"/>
          <w:lang w:eastAsia="pl-PL"/>
        </w:rPr>
        <w:t>z </w:t>
      </w:r>
      <w:r w:rsidR="00063BD2" w:rsidRPr="00833C88">
        <w:rPr>
          <w:rFonts w:eastAsiaTheme="minorEastAsia" w:cs="Times New Roman"/>
          <w:bCs/>
          <w:sz w:val="24"/>
          <w:szCs w:val="20"/>
          <w:lang w:eastAsia="pl-PL"/>
        </w:rPr>
        <w:t xml:space="preserve">którym dane zostały pozyskane lub po zakończeniu obsługi incydentu, do którego obsługi te dane są niezbędne. Ograniczenie tych uprawnień np. prawa do sprostowania ma na celu </w:t>
      </w:r>
      <w:r w:rsidR="00D53F74" w:rsidRPr="00833C88">
        <w:rPr>
          <w:rFonts w:eastAsiaTheme="minorEastAsia" w:cs="Times New Roman"/>
          <w:bCs/>
          <w:sz w:val="24"/>
          <w:szCs w:val="20"/>
          <w:lang w:eastAsia="pl-PL"/>
        </w:rPr>
        <w:t xml:space="preserve">zachowanie danych </w:t>
      </w:r>
      <w:r w:rsidRPr="00833C88">
        <w:rPr>
          <w:rFonts w:eastAsiaTheme="minorEastAsia" w:cs="Times New Roman"/>
          <w:bCs/>
          <w:sz w:val="24"/>
          <w:szCs w:val="20"/>
          <w:lang w:eastAsia="pl-PL"/>
        </w:rPr>
        <w:t>w </w:t>
      </w:r>
      <w:r w:rsidR="00D53F74" w:rsidRPr="00833C88">
        <w:rPr>
          <w:rFonts w:eastAsiaTheme="minorEastAsia" w:cs="Times New Roman"/>
          <w:bCs/>
          <w:sz w:val="24"/>
          <w:szCs w:val="20"/>
          <w:lang w:eastAsia="pl-PL"/>
        </w:rPr>
        <w:t>takiej postaci, jakie zostały pozyskane – jest to niezbędne do przeprowadzenia analizy próbek, każda modyfikacja pliku spowoduje błędne wnioski.</w:t>
      </w:r>
    </w:p>
    <w:p w14:paraId="152968F0" w14:textId="1AFC6E37" w:rsidR="00687270" w:rsidRPr="00833C88" w:rsidRDefault="00711900" w:rsidP="006514D0">
      <w:pPr>
        <w:spacing w:line="360" w:lineRule="auto"/>
        <w:jc w:val="both"/>
        <w:rPr>
          <w:rFonts w:cs="Times New Roman"/>
        </w:rPr>
      </w:pPr>
      <w:r w:rsidRPr="00833C88">
        <w:rPr>
          <w:rFonts w:eastAsiaTheme="minorEastAsia" w:cs="Times New Roman"/>
          <w:bCs/>
          <w:sz w:val="24"/>
          <w:szCs w:val="20"/>
          <w:lang w:eastAsia="pl-PL"/>
        </w:rPr>
        <w:t xml:space="preserve">W przepisach dotyczących zadań ministra właściwego do spraw informatyzacji wprowadzono możliwość opublikowania przez niego zestawienia wymogów dokumentów normalizacyjnych, których spełnienie oznacza spełnienie </w:t>
      </w:r>
      <w:r w:rsidR="00C65681" w:rsidRPr="00833C88">
        <w:rPr>
          <w:rFonts w:eastAsiaTheme="minorEastAsia" w:cs="Times New Roman"/>
          <w:bCs/>
          <w:sz w:val="24"/>
          <w:szCs w:val="20"/>
          <w:lang w:eastAsia="pl-PL"/>
        </w:rPr>
        <w:t xml:space="preserve">wymogów </w:t>
      </w:r>
      <w:r w:rsidR="007238A1" w:rsidRPr="00833C88">
        <w:rPr>
          <w:rFonts w:eastAsiaTheme="minorEastAsia" w:cs="Times New Roman"/>
          <w:bCs/>
          <w:sz w:val="24"/>
          <w:szCs w:val="20"/>
          <w:lang w:eastAsia="pl-PL"/>
        </w:rPr>
        <w:t>ustawy. Dokument ten będzie obowiązkowo podlegał konsultacjom publicznym. W związku z tym wprowadzono podstawę prawną do</w:t>
      </w:r>
      <w:r w:rsidR="00DE38C1" w:rsidRPr="00833C88">
        <w:rPr>
          <w:rFonts w:eastAsiaTheme="minorEastAsia" w:cs="Times New Roman"/>
          <w:bCs/>
          <w:sz w:val="24"/>
          <w:szCs w:val="20"/>
          <w:lang w:eastAsia="pl-PL"/>
        </w:rPr>
        <w:t> </w:t>
      </w:r>
      <w:r w:rsidR="007238A1" w:rsidRPr="00833C88">
        <w:rPr>
          <w:rFonts w:eastAsiaTheme="minorEastAsia" w:cs="Times New Roman"/>
          <w:bCs/>
          <w:sz w:val="24"/>
          <w:szCs w:val="20"/>
          <w:lang w:eastAsia="pl-PL"/>
        </w:rPr>
        <w:t xml:space="preserve">przetwarzania danych osobowych przez ministra </w:t>
      </w:r>
      <w:r w:rsidR="00B84942" w:rsidRPr="00833C88">
        <w:rPr>
          <w:rFonts w:eastAsiaTheme="minorEastAsia" w:cs="Times New Roman"/>
          <w:bCs/>
          <w:sz w:val="24"/>
          <w:szCs w:val="20"/>
          <w:lang w:eastAsia="pl-PL"/>
        </w:rPr>
        <w:t xml:space="preserve">pozyskanych w trakcie konsultacji publicznych. Przetwarzanie dotyczy </w:t>
      </w:r>
      <w:r w:rsidR="006F2B06" w:rsidRPr="00833C88">
        <w:rPr>
          <w:rFonts w:eastAsiaTheme="minorEastAsia" w:cs="Times New Roman"/>
          <w:bCs/>
          <w:sz w:val="24"/>
          <w:szCs w:val="20"/>
          <w:lang w:eastAsia="pl-PL"/>
        </w:rPr>
        <w:t>danych osobowych zawartych w stanowiskach do</w:t>
      </w:r>
      <w:r w:rsidR="00DE38C1" w:rsidRPr="00833C88">
        <w:rPr>
          <w:rFonts w:eastAsiaTheme="minorEastAsia" w:cs="Times New Roman"/>
          <w:bCs/>
          <w:sz w:val="24"/>
          <w:szCs w:val="20"/>
          <w:lang w:eastAsia="pl-PL"/>
        </w:rPr>
        <w:t> </w:t>
      </w:r>
      <w:r w:rsidR="006F2B06" w:rsidRPr="00833C88">
        <w:rPr>
          <w:rFonts w:eastAsiaTheme="minorEastAsia" w:cs="Times New Roman"/>
          <w:bCs/>
          <w:sz w:val="24"/>
          <w:szCs w:val="20"/>
          <w:lang w:eastAsia="pl-PL"/>
        </w:rPr>
        <w:t>projektu dokumentu. Może to obejmować także dane szczególnie chronione, o których mowa w art. 9 ust. 1</w:t>
      </w:r>
      <w:r w:rsidR="00A15030" w:rsidRPr="00833C88">
        <w:rPr>
          <w:rFonts w:eastAsiaTheme="minorEastAsia" w:cs="Times New Roman"/>
          <w:bCs/>
          <w:sz w:val="24"/>
          <w:szCs w:val="20"/>
          <w:lang w:eastAsia="pl-PL"/>
        </w:rPr>
        <w:t xml:space="preserve"> RODO </w:t>
      </w:r>
      <w:r w:rsidR="00193CF9" w:rsidRPr="00833C88">
        <w:rPr>
          <w:rFonts w:eastAsiaTheme="minorEastAsia" w:cs="Times New Roman"/>
          <w:bCs/>
          <w:sz w:val="24"/>
          <w:szCs w:val="20"/>
          <w:lang w:eastAsia="pl-PL"/>
        </w:rPr>
        <w:t>– przykładowo – danymi szczególnie chronionymi są dane o</w:t>
      </w:r>
      <w:r w:rsidR="00686B0B" w:rsidRPr="00833C88">
        <w:rPr>
          <w:rFonts w:eastAsiaTheme="minorEastAsia" w:cs="Times New Roman"/>
          <w:bCs/>
          <w:sz w:val="24"/>
          <w:szCs w:val="20"/>
          <w:lang w:eastAsia="pl-PL"/>
        </w:rPr>
        <w:t> </w:t>
      </w:r>
      <w:r w:rsidR="00193CF9" w:rsidRPr="00833C88">
        <w:rPr>
          <w:rFonts w:eastAsiaTheme="minorEastAsia" w:cs="Times New Roman"/>
          <w:bCs/>
          <w:sz w:val="24"/>
          <w:szCs w:val="20"/>
          <w:lang w:eastAsia="pl-PL"/>
        </w:rPr>
        <w:t>przynależności do związków zawodowych</w:t>
      </w:r>
      <w:r w:rsidR="007D63A8" w:rsidRPr="00833C88">
        <w:rPr>
          <w:rFonts w:eastAsiaTheme="minorEastAsia" w:cs="Times New Roman"/>
          <w:bCs/>
          <w:sz w:val="24"/>
          <w:szCs w:val="20"/>
          <w:lang w:eastAsia="pl-PL"/>
        </w:rPr>
        <w:t>, a przecież uwagi w trakcie konsultacji publicznych mogą zgłosić przedstawiciele związków zawodowych.</w:t>
      </w:r>
    </w:p>
    <w:p w14:paraId="3A003D06" w14:textId="2FD1F53E" w:rsidR="4D6C5439" w:rsidRPr="00833C88" w:rsidRDefault="4D6C5439" w:rsidP="00E805F1">
      <w:pPr>
        <w:pStyle w:val="Nagwek3"/>
        <w:spacing w:before="0" w:after="120" w:line="360" w:lineRule="auto"/>
        <w:ind w:left="709" w:firstLine="11"/>
        <w:jc w:val="both"/>
        <w:rPr>
          <w:rFonts w:cs="Times New Roman"/>
          <w:b/>
          <w:bCs/>
          <w:u w:val="none"/>
        </w:rPr>
      </w:pPr>
      <w:r w:rsidRPr="00833C88">
        <w:rPr>
          <w:rFonts w:cs="Times New Roman"/>
          <w:b/>
          <w:bCs/>
          <w:u w:val="none"/>
        </w:rPr>
        <w:t xml:space="preserve">Przetwarzanie danych przez </w:t>
      </w:r>
      <w:r w:rsidR="00F94E74" w:rsidRPr="00833C88">
        <w:rPr>
          <w:rFonts w:cs="Times New Roman"/>
          <w:b/>
          <w:bCs/>
          <w:u w:val="none"/>
        </w:rPr>
        <w:t>CSIRT NASK</w:t>
      </w:r>
      <w:r w:rsidRPr="00833C88">
        <w:rPr>
          <w:rFonts w:cs="Times New Roman"/>
          <w:b/>
          <w:bCs/>
          <w:u w:val="none"/>
        </w:rPr>
        <w:t xml:space="preserve"> w</w:t>
      </w:r>
      <w:r w:rsidR="00B0128D" w:rsidRPr="00833C88">
        <w:rPr>
          <w:rFonts w:cs="Times New Roman"/>
          <w:b/>
          <w:bCs/>
          <w:u w:val="none"/>
        </w:rPr>
        <w:t> </w:t>
      </w:r>
      <w:r w:rsidRPr="00833C88">
        <w:rPr>
          <w:rFonts w:cs="Times New Roman"/>
          <w:b/>
          <w:bCs/>
          <w:u w:val="none"/>
        </w:rPr>
        <w:t xml:space="preserve">celu tworzenia usługi online (art. </w:t>
      </w:r>
      <w:r w:rsidR="00F15C59" w:rsidRPr="00833C88">
        <w:rPr>
          <w:rFonts w:cs="Times New Roman"/>
          <w:b/>
          <w:bCs/>
          <w:u w:val="none"/>
        </w:rPr>
        <w:t xml:space="preserve">26c </w:t>
      </w:r>
      <w:r w:rsidR="00601933" w:rsidRPr="00833C88">
        <w:rPr>
          <w:rFonts w:cs="Times New Roman"/>
          <w:b/>
          <w:bCs/>
          <w:u w:val="none"/>
        </w:rPr>
        <w:t>i </w:t>
      </w:r>
      <w:r w:rsidR="00862DE0" w:rsidRPr="00833C88">
        <w:rPr>
          <w:rFonts w:cs="Times New Roman"/>
          <w:b/>
          <w:bCs/>
          <w:u w:val="none"/>
        </w:rPr>
        <w:t xml:space="preserve">zmiany </w:t>
      </w:r>
      <w:r w:rsidR="00601933" w:rsidRPr="00833C88">
        <w:rPr>
          <w:rFonts w:cs="Times New Roman"/>
          <w:b/>
          <w:bCs/>
          <w:u w:val="none"/>
        </w:rPr>
        <w:t>w </w:t>
      </w:r>
      <w:r w:rsidR="00862DE0" w:rsidRPr="00833C88">
        <w:rPr>
          <w:rFonts w:cs="Times New Roman"/>
          <w:b/>
          <w:bCs/>
          <w:u w:val="none"/>
        </w:rPr>
        <w:t>art. 39</w:t>
      </w:r>
      <w:r w:rsidR="00D61687" w:rsidRPr="00833C88">
        <w:rPr>
          <w:rFonts w:cs="Times New Roman"/>
          <w:b/>
          <w:bCs/>
          <w:u w:val="none"/>
        </w:rPr>
        <w:t xml:space="preserve"> ustawy </w:t>
      </w:r>
      <w:r w:rsidR="00601933" w:rsidRPr="00833C88">
        <w:rPr>
          <w:rFonts w:cs="Times New Roman"/>
          <w:b/>
          <w:bCs/>
          <w:u w:val="none"/>
        </w:rPr>
        <w:t>o </w:t>
      </w:r>
      <w:r w:rsidR="00D61687" w:rsidRPr="00833C88">
        <w:rPr>
          <w:rFonts w:cs="Times New Roman"/>
          <w:b/>
          <w:bCs/>
          <w:u w:val="none"/>
        </w:rPr>
        <w:t>KSC</w:t>
      </w:r>
      <w:r w:rsidRPr="00833C88">
        <w:rPr>
          <w:rFonts w:cs="Times New Roman"/>
          <w:b/>
          <w:bCs/>
          <w:u w:val="none"/>
        </w:rPr>
        <w:t>)</w:t>
      </w:r>
    </w:p>
    <w:p w14:paraId="2A4A3D68" w14:textId="4703D261" w:rsidR="4D6C5439" w:rsidRPr="00833C88" w:rsidRDefault="4D6C5439"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Wycieki danych na przestrzeni lat stają się coraz powszechniejsze co często wiąże się z</w:t>
      </w:r>
      <w:r w:rsidR="00B0128D" w:rsidRPr="00833C88">
        <w:rPr>
          <w:rFonts w:eastAsia="Times New Roman" w:cs="Times New Roman"/>
          <w:sz w:val="24"/>
          <w:szCs w:val="24"/>
          <w:lang w:eastAsia="pl-PL"/>
        </w:rPr>
        <w:t> </w:t>
      </w:r>
      <w:r w:rsidRPr="00833C88">
        <w:rPr>
          <w:rFonts w:eastAsia="Times New Roman" w:cs="Times New Roman"/>
          <w:sz w:val="24"/>
          <w:szCs w:val="24"/>
          <w:lang w:eastAsia="pl-PL"/>
        </w:rPr>
        <w:t>poważnymi konsekwencjami takimi jak utrata prywatności, kradzież tożsamości</w:t>
      </w:r>
      <w:r w:rsidR="00F062CF" w:rsidRPr="00833C88">
        <w:rPr>
          <w:rFonts w:eastAsia="Times New Roman" w:cs="Times New Roman"/>
          <w:sz w:val="24"/>
          <w:szCs w:val="24"/>
          <w:lang w:eastAsia="pl-PL"/>
        </w:rPr>
        <w:t>,</w:t>
      </w:r>
      <w:r w:rsidRPr="00833C88">
        <w:rPr>
          <w:rFonts w:eastAsia="Times New Roman" w:cs="Times New Roman"/>
          <w:sz w:val="24"/>
          <w:szCs w:val="24"/>
          <w:lang w:eastAsia="pl-PL"/>
        </w:rPr>
        <w:t xml:space="preserve"> czy</w:t>
      </w:r>
      <w:r w:rsidR="00B0128D" w:rsidRPr="00833C88">
        <w:rPr>
          <w:rFonts w:eastAsia="Times New Roman" w:cs="Times New Roman"/>
          <w:sz w:val="24"/>
          <w:szCs w:val="24"/>
          <w:lang w:eastAsia="pl-PL"/>
        </w:rPr>
        <w:t> </w:t>
      </w:r>
      <w:r w:rsidRPr="00833C88">
        <w:rPr>
          <w:rFonts w:eastAsia="Times New Roman" w:cs="Times New Roman"/>
          <w:sz w:val="24"/>
          <w:szCs w:val="24"/>
          <w:lang w:eastAsia="pl-PL"/>
        </w:rPr>
        <w:t xml:space="preserve">negatywnymi skutkami finansowymi.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tego względu, dla zapewnienia </w:t>
      </w:r>
      <w:r w:rsidR="00B164E8" w:rsidRPr="00833C88">
        <w:rPr>
          <w:rFonts w:eastAsia="Times New Roman" w:cs="Times New Roman"/>
          <w:sz w:val="24"/>
          <w:szCs w:val="24"/>
          <w:lang w:eastAsia="pl-PL"/>
        </w:rPr>
        <w:t>bardziej efektywnej</w:t>
      </w:r>
      <w:r w:rsidRPr="00833C88">
        <w:rPr>
          <w:rFonts w:eastAsia="Times New Roman" w:cs="Times New Roman"/>
          <w:sz w:val="24"/>
          <w:szCs w:val="24"/>
          <w:lang w:eastAsia="pl-PL"/>
        </w:rPr>
        <w:t xml:space="preserve"> ochrony użytkowników</w:t>
      </w:r>
      <w:r w:rsidR="003B1F66"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 </w:t>
      </w:r>
      <w:r w:rsidR="002455B6" w:rsidRPr="00833C88">
        <w:rPr>
          <w:rFonts w:eastAsia="Times New Roman" w:cs="Times New Roman"/>
          <w:sz w:val="24"/>
          <w:szCs w:val="24"/>
          <w:lang w:eastAsia="pl-PL"/>
        </w:rPr>
        <w:t xml:space="preserve">celu minimalizacji ryzyka powstania szkód materialnych </w:t>
      </w:r>
      <w:r w:rsidR="00601933" w:rsidRPr="00833C88">
        <w:rPr>
          <w:rFonts w:eastAsia="Times New Roman" w:cs="Times New Roman"/>
          <w:sz w:val="24"/>
          <w:szCs w:val="24"/>
          <w:lang w:eastAsia="pl-PL"/>
        </w:rPr>
        <w:t>i </w:t>
      </w:r>
      <w:r w:rsidR="002455B6" w:rsidRPr="00833C88">
        <w:rPr>
          <w:rFonts w:eastAsia="Times New Roman" w:cs="Times New Roman"/>
          <w:sz w:val="24"/>
          <w:szCs w:val="24"/>
          <w:lang w:eastAsia="pl-PL"/>
        </w:rPr>
        <w:t xml:space="preserve">niematerialnych związanych </w:t>
      </w:r>
      <w:r w:rsidR="00601933" w:rsidRPr="00833C88">
        <w:rPr>
          <w:rFonts w:eastAsia="Times New Roman" w:cs="Times New Roman"/>
          <w:sz w:val="24"/>
          <w:szCs w:val="24"/>
          <w:lang w:eastAsia="pl-PL"/>
        </w:rPr>
        <w:t>z </w:t>
      </w:r>
      <w:r w:rsidR="002455B6" w:rsidRPr="00833C88">
        <w:rPr>
          <w:rFonts w:eastAsia="Times New Roman" w:cs="Times New Roman"/>
          <w:sz w:val="24"/>
          <w:szCs w:val="24"/>
          <w:lang w:eastAsia="pl-PL"/>
        </w:rPr>
        <w:t xml:space="preserve">nieuprawnionym upublicznieniem danych </w:t>
      </w:r>
      <w:r w:rsidR="00556C5E" w:rsidRPr="00833C88">
        <w:rPr>
          <w:rFonts w:eastAsia="Times New Roman" w:cs="Times New Roman"/>
          <w:sz w:val="24"/>
          <w:szCs w:val="24"/>
          <w:lang w:eastAsia="pl-PL"/>
        </w:rPr>
        <w:t xml:space="preserve">osobowych </w:t>
      </w:r>
      <w:r w:rsidR="00601933" w:rsidRPr="00833C88">
        <w:rPr>
          <w:rFonts w:eastAsia="Times New Roman" w:cs="Times New Roman"/>
          <w:sz w:val="24"/>
          <w:szCs w:val="24"/>
          <w:lang w:eastAsia="pl-PL"/>
        </w:rPr>
        <w:t>w </w:t>
      </w:r>
      <w:r w:rsidR="00556C5E" w:rsidRPr="00833C88">
        <w:rPr>
          <w:rFonts w:eastAsia="Times New Roman" w:cs="Times New Roman"/>
          <w:sz w:val="24"/>
          <w:szCs w:val="24"/>
          <w:lang w:eastAsia="pl-PL"/>
        </w:rPr>
        <w:t xml:space="preserve">sieci </w:t>
      </w:r>
      <w:proofErr w:type="spellStart"/>
      <w:r w:rsidR="003D396F" w:rsidRPr="00833C88">
        <w:rPr>
          <w:rFonts w:eastAsia="Times New Roman" w:cs="Times New Roman"/>
          <w:sz w:val="24"/>
          <w:szCs w:val="24"/>
          <w:lang w:eastAsia="pl-PL"/>
        </w:rPr>
        <w:t>i</w:t>
      </w:r>
      <w:r w:rsidR="00556C5E" w:rsidRPr="00833C88">
        <w:rPr>
          <w:rFonts w:eastAsia="Times New Roman" w:cs="Times New Roman"/>
          <w:sz w:val="24"/>
          <w:szCs w:val="24"/>
          <w:lang w:eastAsia="pl-PL"/>
        </w:rPr>
        <w:t>nternet</w:t>
      </w:r>
      <w:proofErr w:type="spellEnd"/>
      <w:r w:rsidR="001C616B" w:rsidRPr="00833C88">
        <w:rPr>
          <w:rFonts w:eastAsia="Times New Roman" w:cs="Times New Roman"/>
          <w:sz w:val="24"/>
          <w:szCs w:val="24"/>
          <w:lang w:eastAsia="pl-PL"/>
        </w:rPr>
        <w:t>,</w:t>
      </w:r>
      <w:r w:rsidR="00556C5E" w:rsidRPr="00833C88">
        <w:rPr>
          <w:rFonts w:eastAsia="Times New Roman" w:cs="Times New Roman"/>
          <w:sz w:val="24"/>
          <w:szCs w:val="24"/>
          <w:lang w:eastAsia="pl-PL"/>
        </w:rPr>
        <w:t xml:space="preserve"> </w:t>
      </w:r>
      <w:proofErr w:type="spellStart"/>
      <w:r w:rsidR="003B1F66" w:rsidRPr="00833C88">
        <w:rPr>
          <w:rFonts w:eastAsia="Times New Roman" w:cs="Times New Roman"/>
          <w:sz w:val="24"/>
          <w:szCs w:val="24"/>
          <w:lang w:eastAsia="pl-PL"/>
        </w:rPr>
        <w:t>CSIRT</w:t>
      </w:r>
      <w:proofErr w:type="spellEnd"/>
      <w:r w:rsidR="003B1F66" w:rsidRPr="00833C88">
        <w:rPr>
          <w:rFonts w:eastAsia="Times New Roman" w:cs="Times New Roman"/>
          <w:sz w:val="24"/>
          <w:szCs w:val="24"/>
          <w:lang w:eastAsia="pl-PL"/>
        </w:rPr>
        <w:t xml:space="preserve"> </w:t>
      </w:r>
      <w:proofErr w:type="spellStart"/>
      <w:r w:rsidR="003B1F66" w:rsidRPr="00833C88">
        <w:rPr>
          <w:rFonts w:eastAsia="Times New Roman" w:cs="Times New Roman"/>
          <w:sz w:val="24"/>
          <w:szCs w:val="24"/>
          <w:lang w:eastAsia="pl-PL"/>
        </w:rPr>
        <w:t>NASK</w:t>
      </w:r>
      <w:proofErr w:type="spellEnd"/>
      <w:r w:rsidR="003B1F66" w:rsidRPr="00833C88">
        <w:rPr>
          <w:rFonts w:eastAsia="Times New Roman" w:cs="Times New Roman"/>
          <w:sz w:val="24"/>
          <w:szCs w:val="24"/>
          <w:lang w:eastAsia="pl-PL"/>
        </w:rPr>
        <w:t xml:space="preserve"> </w:t>
      </w:r>
      <w:r w:rsidR="00DA0886" w:rsidRPr="00833C88">
        <w:rPr>
          <w:rFonts w:eastAsia="Times New Roman" w:cs="Times New Roman"/>
          <w:sz w:val="24"/>
          <w:szCs w:val="24"/>
          <w:lang w:eastAsia="pl-PL"/>
        </w:rPr>
        <w:t xml:space="preserve">będzie tworzył </w:t>
      </w:r>
      <w:r w:rsidR="00601933" w:rsidRPr="00833C88">
        <w:rPr>
          <w:rFonts w:eastAsia="Times New Roman" w:cs="Times New Roman"/>
          <w:sz w:val="24"/>
          <w:szCs w:val="24"/>
          <w:lang w:eastAsia="pl-PL"/>
        </w:rPr>
        <w:t>i </w:t>
      </w:r>
      <w:r w:rsidR="00DA0886" w:rsidRPr="00833C88">
        <w:rPr>
          <w:rFonts w:eastAsia="Times New Roman" w:cs="Times New Roman"/>
          <w:sz w:val="24"/>
          <w:szCs w:val="24"/>
          <w:lang w:eastAsia="pl-PL"/>
        </w:rPr>
        <w:t xml:space="preserve">udostępniał usługę online umożliwiającą </w:t>
      </w:r>
      <w:r w:rsidR="00145E8A" w:rsidRPr="00833C88">
        <w:rPr>
          <w:rFonts w:eastAsia="Times New Roman" w:cs="Times New Roman"/>
          <w:sz w:val="24"/>
          <w:szCs w:val="24"/>
          <w:lang w:eastAsia="pl-PL"/>
        </w:rPr>
        <w:t>sprawdzenie</w:t>
      </w:r>
      <w:r w:rsidR="00CB6B1F" w:rsidRPr="00833C88">
        <w:rPr>
          <w:rFonts w:eastAsia="Times New Roman" w:cs="Times New Roman"/>
          <w:sz w:val="24"/>
          <w:szCs w:val="24"/>
          <w:lang w:eastAsia="pl-PL"/>
        </w:rPr>
        <w:t xml:space="preserve"> przez osobę </w:t>
      </w:r>
      <w:proofErr w:type="gramStart"/>
      <w:r w:rsidR="00CB6B1F" w:rsidRPr="00833C88">
        <w:rPr>
          <w:rFonts w:eastAsia="Times New Roman" w:cs="Times New Roman"/>
          <w:sz w:val="24"/>
          <w:szCs w:val="24"/>
          <w:lang w:eastAsia="pl-PL"/>
        </w:rPr>
        <w:t>fizyczną,</w:t>
      </w:r>
      <w:proofErr w:type="gramEnd"/>
      <w:r w:rsidR="00CB6B1F" w:rsidRPr="00833C88">
        <w:rPr>
          <w:rFonts w:eastAsia="Times New Roman" w:cs="Times New Roman"/>
          <w:sz w:val="24"/>
          <w:szCs w:val="24"/>
          <w:lang w:eastAsia="pl-PL"/>
        </w:rPr>
        <w:t xml:space="preserve"> czy jej dane osobowe nie zostały ujawnione </w:t>
      </w:r>
      <w:r w:rsidR="00601933" w:rsidRPr="00833C88">
        <w:rPr>
          <w:rFonts w:eastAsia="Times New Roman" w:cs="Times New Roman"/>
          <w:sz w:val="24"/>
          <w:szCs w:val="24"/>
          <w:lang w:eastAsia="pl-PL"/>
        </w:rPr>
        <w:t>w </w:t>
      </w:r>
      <w:r w:rsidR="00CB6B1F" w:rsidRPr="00833C88">
        <w:rPr>
          <w:rFonts w:eastAsia="Times New Roman" w:cs="Times New Roman"/>
          <w:sz w:val="24"/>
          <w:szCs w:val="24"/>
          <w:lang w:eastAsia="pl-PL"/>
        </w:rPr>
        <w:t xml:space="preserve">sieci </w:t>
      </w:r>
      <w:proofErr w:type="spellStart"/>
      <w:r w:rsidR="000C142E" w:rsidRPr="00833C88">
        <w:rPr>
          <w:rFonts w:eastAsia="Times New Roman" w:cs="Times New Roman"/>
          <w:sz w:val="24"/>
          <w:szCs w:val="24"/>
          <w:lang w:eastAsia="pl-PL"/>
        </w:rPr>
        <w:t>i</w:t>
      </w:r>
      <w:r w:rsidR="00CB6B1F" w:rsidRPr="00833C88">
        <w:rPr>
          <w:rFonts w:eastAsia="Times New Roman" w:cs="Times New Roman"/>
          <w:sz w:val="24"/>
          <w:szCs w:val="24"/>
          <w:lang w:eastAsia="pl-PL"/>
        </w:rPr>
        <w:t>nternet</w:t>
      </w:r>
      <w:proofErr w:type="spellEnd"/>
      <w:r w:rsidR="0063110A"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63110A" w:rsidRPr="00833C88">
        <w:rPr>
          <w:rFonts w:eastAsia="Times New Roman" w:cs="Times New Roman"/>
          <w:sz w:val="24"/>
          <w:szCs w:val="24"/>
          <w:lang w:eastAsia="pl-PL"/>
        </w:rPr>
        <w:t xml:space="preserve">sposób nieuprawniony, na skutek incydentu lub </w:t>
      </w:r>
      <w:proofErr w:type="spellStart"/>
      <w:r w:rsidR="0063110A" w:rsidRPr="00833C88">
        <w:rPr>
          <w:rFonts w:eastAsia="Times New Roman" w:cs="Times New Roman"/>
          <w:sz w:val="24"/>
          <w:szCs w:val="24"/>
          <w:lang w:eastAsia="pl-PL"/>
        </w:rPr>
        <w:t>cyberzagrożenia</w:t>
      </w:r>
      <w:proofErr w:type="spellEnd"/>
      <w:r w:rsidR="0063110A" w:rsidRPr="00833C88">
        <w:rPr>
          <w:rFonts w:eastAsia="Times New Roman" w:cs="Times New Roman"/>
          <w:sz w:val="24"/>
          <w:szCs w:val="24"/>
          <w:lang w:eastAsia="pl-PL"/>
        </w:rPr>
        <w:t>.</w:t>
      </w:r>
    </w:p>
    <w:p w14:paraId="7D2297CB" w14:textId="564D111A" w:rsidR="4D6C5439" w:rsidRPr="00833C88" w:rsidRDefault="0063110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w:t>
      </w:r>
      <w:r w:rsidR="00E53172" w:rsidRPr="00833C88">
        <w:rPr>
          <w:rFonts w:eastAsia="Times New Roman" w:cs="Times New Roman"/>
          <w:sz w:val="24"/>
          <w:szCs w:val="24"/>
          <w:lang w:eastAsia="pl-PL"/>
        </w:rPr>
        <w:t>ojektowane</w:t>
      </w:r>
      <w:r w:rsidR="006B5130" w:rsidRPr="00833C88">
        <w:rPr>
          <w:rFonts w:eastAsia="Times New Roman" w:cs="Times New Roman"/>
          <w:sz w:val="24"/>
          <w:szCs w:val="24"/>
          <w:lang w:eastAsia="pl-PL"/>
        </w:rPr>
        <w:t xml:space="preserve"> </w:t>
      </w:r>
      <w:r w:rsidR="00E53172" w:rsidRPr="00833C88">
        <w:rPr>
          <w:rFonts w:eastAsia="Times New Roman" w:cs="Times New Roman"/>
          <w:sz w:val="24"/>
          <w:szCs w:val="24"/>
          <w:lang w:eastAsia="pl-PL"/>
        </w:rPr>
        <w:t xml:space="preserve">przepisy </w:t>
      </w:r>
      <w:r w:rsidR="006B5130" w:rsidRPr="00833C88">
        <w:rPr>
          <w:rFonts w:eastAsia="Times New Roman" w:cs="Times New Roman"/>
          <w:sz w:val="24"/>
          <w:szCs w:val="24"/>
          <w:lang w:eastAsia="pl-PL"/>
        </w:rPr>
        <w:t>art. 26c</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EB2EF8" w:rsidRPr="00833C88">
        <w:rPr>
          <w:rFonts w:eastAsia="Times New Roman" w:cs="Times New Roman"/>
          <w:sz w:val="24"/>
          <w:szCs w:val="24"/>
          <w:lang w:eastAsia="pl-PL"/>
        </w:rPr>
        <w:t>art. 39</w:t>
      </w:r>
      <w:r w:rsidRPr="00833C88">
        <w:rPr>
          <w:rFonts w:eastAsia="Times New Roman" w:cs="Times New Roman"/>
          <w:sz w:val="24"/>
          <w:szCs w:val="24"/>
          <w:lang w:eastAsia="pl-PL"/>
        </w:rPr>
        <w:t xml:space="preserve"> </w:t>
      </w:r>
      <w:r w:rsidR="00E53172"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E53172" w:rsidRPr="00833C88">
        <w:rPr>
          <w:rFonts w:eastAsia="Times New Roman" w:cs="Times New Roman"/>
          <w:sz w:val="24"/>
          <w:szCs w:val="24"/>
          <w:lang w:eastAsia="pl-PL"/>
        </w:rPr>
        <w:t xml:space="preserve">KSC </w:t>
      </w:r>
      <w:r w:rsidRPr="00833C88">
        <w:rPr>
          <w:rFonts w:eastAsia="Times New Roman" w:cs="Times New Roman"/>
          <w:sz w:val="24"/>
          <w:szCs w:val="24"/>
          <w:lang w:eastAsia="pl-PL"/>
        </w:rPr>
        <w:t>określa</w:t>
      </w:r>
      <w:r w:rsidR="00EB2EF8" w:rsidRPr="00833C88">
        <w:rPr>
          <w:rFonts w:eastAsia="Times New Roman" w:cs="Times New Roman"/>
          <w:sz w:val="24"/>
          <w:szCs w:val="24"/>
          <w:lang w:eastAsia="pl-PL"/>
        </w:rPr>
        <w:t>ją</w:t>
      </w:r>
      <w:r w:rsidR="005E5D02" w:rsidRPr="00833C88">
        <w:rPr>
          <w:rFonts w:eastAsia="Times New Roman" w:cs="Times New Roman"/>
          <w:sz w:val="24"/>
          <w:szCs w:val="24"/>
          <w:lang w:eastAsia="pl-PL"/>
        </w:rPr>
        <w:t xml:space="preserve"> </w:t>
      </w:r>
      <w:r w:rsidR="00750542" w:rsidRPr="00833C88">
        <w:rPr>
          <w:rFonts w:eastAsia="Times New Roman" w:cs="Times New Roman"/>
          <w:sz w:val="24"/>
          <w:szCs w:val="24"/>
          <w:lang w:eastAsia="pl-PL"/>
        </w:rPr>
        <w:t xml:space="preserve">wyraźne </w:t>
      </w:r>
      <w:r w:rsidR="005E5D02" w:rsidRPr="00833C88">
        <w:rPr>
          <w:rFonts w:eastAsia="Times New Roman" w:cs="Times New Roman"/>
          <w:sz w:val="24"/>
          <w:szCs w:val="24"/>
          <w:lang w:eastAsia="pl-PL"/>
        </w:rPr>
        <w:t>podstawy do</w:t>
      </w:r>
      <w:r w:rsidR="009B4C26" w:rsidRPr="00833C88">
        <w:rPr>
          <w:rFonts w:eastAsia="Times New Roman" w:cs="Times New Roman"/>
          <w:sz w:val="24"/>
          <w:szCs w:val="24"/>
          <w:lang w:eastAsia="pl-PL"/>
        </w:rPr>
        <w:t> </w:t>
      </w:r>
      <w:r w:rsidR="005E5D02" w:rsidRPr="00833C88">
        <w:rPr>
          <w:rFonts w:eastAsia="Times New Roman" w:cs="Times New Roman"/>
          <w:sz w:val="24"/>
          <w:szCs w:val="24"/>
          <w:lang w:eastAsia="pl-PL"/>
        </w:rPr>
        <w:t xml:space="preserve">gromadzenia </w:t>
      </w:r>
      <w:r w:rsidR="00601933" w:rsidRPr="00833C88">
        <w:rPr>
          <w:rFonts w:eastAsia="Times New Roman" w:cs="Times New Roman"/>
          <w:sz w:val="24"/>
          <w:szCs w:val="24"/>
          <w:lang w:eastAsia="pl-PL"/>
        </w:rPr>
        <w:t>i </w:t>
      </w:r>
      <w:r w:rsidR="005E5D02" w:rsidRPr="00833C88">
        <w:rPr>
          <w:rFonts w:eastAsia="Times New Roman" w:cs="Times New Roman"/>
          <w:sz w:val="24"/>
          <w:szCs w:val="24"/>
          <w:lang w:eastAsia="pl-PL"/>
        </w:rPr>
        <w:t xml:space="preserve">przetwarzania danych pozyskanych </w:t>
      </w:r>
      <w:r w:rsidR="00601933" w:rsidRPr="00833C88">
        <w:rPr>
          <w:rFonts w:eastAsia="Times New Roman" w:cs="Times New Roman"/>
          <w:sz w:val="24"/>
          <w:szCs w:val="24"/>
          <w:lang w:eastAsia="pl-PL"/>
        </w:rPr>
        <w:t>w </w:t>
      </w:r>
      <w:r w:rsidR="005E5D02"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005E5D02" w:rsidRPr="00833C88">
        <w:rPr>
          <w:rFonts w:eastAsia="Times New Roman" w:cs="Times New Roman"/>
          <w:sz w:val="24"/>
          <w:szCs w:val="24"/>
          <w:lang w:eastAsia="pl-PL"/>
        </w:rPr>
        <w:t>incydentami i</w:t>
      </w:r>
      <w:r w:rsidR="009B4C26" w:rsidRPr="00833C88">
        <w:rPr>
          <w:rFonts w:eastAsia="Times New Roman" w:cs="Times New Roman"/>
          <w:sz w:val="24"/>
          <w:szCs w:val="24"/>
          <w:lang w:eastAsia="pl-PL"/>
        </w:rPr>
        <w:t> </w:t>
      </w:r>
      <w:proofErr w:type="spellStart"/>
      <w:r w:rsidR="00EB2EF8" w:rsidRPr="00833C88">
        <w:rPr>
          <w:rFonts w:eastAsia="Times New Roman" w:cs="Times New Roman"/>
          <w:sz w:val="24"/>
          <w:szCs w:val="24"/>
          <w:lang w:eastAsia="pl-PL"/>
        </w:rPr>
        <w:t>cyberzagrożeniami</w:t>
      </w:r>
      <w:proofErr w:type="spellEnd"/>
      <w:r w:rsidR="00B01AD6" w:rsidRPr="00833C88">
        <w:rPr>
          <w:rFonts w:eastAsia="Times New Roman" w:cs="Times New Roman"/>
          <w:sz w:val="24"/>
          <w:szCs w:val="24"/>
          <w:lang w:eastAsia="pl-PL"/>
        </w:rPr>
        <w:t xml:space="preserve">. Tym samym CSIRT NASK może gromadzić </w:t>
      </w:r>
      <w:r w:rsidR="00601933" w:rsidRPr="00833C88">
        <w:rPr>
          <w:rFonts w:eastAsia="Times New Roman" w:cs="Times New Roman"/>
          <w:sz w:val="24"/>
          <w:szCs w:val="24"/>
          <w:lang w:eastAsia="pl-PL"/>
        </w:rPr>
        <w:t>i </w:t>
      </w:r>
      <w:r w:rsidR="00B01AD6" w:rsidRPr="00833C88">
        <w:rPr>
          <w:rFonts w:eastAsia="Times New Roman" w:cs="Times New Roman"/>
          <w:sz w:val="24"/>
          <w:szCs w:val="24"/>
          <w:lang w:eastAsia="pl-PL"/>
        </w:rPr>
        <w:t xml:space="preserve">przetwarzać dane pozyskane m.in. przy obsłudze incydentów lub przy prowadzeniu czynności operacyjnych </w:t>
      </w:r>
      <w:r w:rsidR="00B01AD6" w:rsidRPr="00833C88">
        <w:rPr>
          <w:rFonts w:eastAsia="Times New Roman" w:cs="Times New Roman"/>
          <w:sz w:val="24"/>
          <w:szCs w:val="24"/>
          <w:lang w:eastAsia="pl-PL"/>
        </w:rPr>
        <w:lastRenderedPageBreak/>
        <w:t>i</w:t>
      </w:r>
      <w:r w:rsidR="009B4C26" w:rsidRPr="00833C88">
        <w:rPr>
          <w:rFonts w:eastAsia="Times New Roman" w:cs="Times New Roman"/>
          <w:sz w:val="24"/>
          <w:szCs w:val="24"/>
          <w:lang w:eastAsia="pl-PL"/>
        </w:rPr>
        <w:t> </w:t>
      </w:r>
      <w:r w:rsidR="00DD22BE" w:rsidRPr="00833C88">
        <w:rPr>
          <w:rFonts w:eastAsia="Times New Roman" w:cs="Times New Roman"/>
          <w:sz w:val="24"/>
          <w:szCs w:val="24"/>
          <w:lang w:eastAsia="pl-PL"/>
        </w:rPr>
        <w:t>wykorzystywać je do świadczenia usługi online</w:t>
      </w:r>
      <w:r w:rsidR="0075054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750542" w:rsidRPr="00833C88">
        <w:rPr>
          <w:rFonts w:eastAsia="Times New Roman" w:cs="Times New Roman"/>
          <w:sz w:val="24"/>
          <w:szCs w:val="24"/>
          <w:lang w:eastAsia="pl-PL"/>
        </w:rPr>
        <w:t xml:space="preserve">której mowa </w:t>
      </w:r>
      <w:r w:rsidR="00601933" w:rsidRPr="00833C88">
        <w:rPr>
          <w:rFonts w:eastAsia="Times New Roman" w:cs="Times New Roman"/>
          <w:sz w:val="24"/>
          <w:szCs w:val="24"/>
          <w:lang w:eastAsia="pl-PL"/>
        </w:rPr>
        <w:t>w </w:t>
      </w:r>
      <w:r w:rsidR="00750542" w:rsidRPr="00833C88">
        <w:rPr>
          <w:rFonts w:eastAsia="Times New Roman" w:cs="Times New Roman"/>
          <w:sz w:val="24"/>
          <w:szCs w:val="24"/>
          <w:lang w:eastAsia="pl-PL"/>
        </w:rPr>
        <w:t>przepis</w:t>
      </w:r>
      <w:r w:rsidR="00E53172" w:rsidRPr="00833C88">
        <w:rPr>
          <w:rFonts w:eastAsia="Times New Roman" w:cs="Times New Roman"/>
          <w:sz w:val="24"/>
          <w:szCs w:val="24"/>
          <w:lang w:eastAsia="pl-PL"/>
        </w:rPr>
        <w:t>ach</w:t>
      </w:r>
      <w:r w:rsidR="00DD22BE" w:rsidRPr="00833C88">
        <w:rPr>
          <w:rFonts w:eastAsia="Times New Roman" w:cs="Times New Roman"/>
          <w:sz w:val="24"/>
          <w:szCs w:val="24"/>
          <w:lang w:eastAsia="pl-PL"/>
        </w:rPr>
        <w:t>.</w:t>
      </w:r>
      <w:r w:rsidR="00D8302B" w:rsidRPr="00833C88">
        <w:rPr>
          <w:rFonts w:eastAsia="Times New Roman" w:cs="Times New Roman"/>
          <w:sz w:val="24"/>
          <w:szCs w:val="24"/>
          <w:lang w:eastAsia="pl-PL"/>
        </w:rPr>
        <w:t xml:space="preserve"> </w:t>
      </w:r>
      <w:r w:rsidR="00E53172" w:rsidRPr="00833C88">
        <w:rPr>
          <w:rFonts w:eastAsia="Times New Roman" w:cs="Times New Roman"/>
          <w:sz w:val="24"/>
          <w:szCs w:val="24"/>
          <w:lang w:eastAsia="pl-PL"/>
        </w:rPr>
        <w:t>Projektowany a</w:t>
      </w:r>
      <w:r w:rsidR="00D8302B" w:rsidRPr="00833C88">
        <w:rPr>
          <w:rFonts w:eastAsia="Times New Roman" w:cs="Times New Roman"/>
          <w:sz w:val="24"/>
          <w:szCs w:val="24"/>
          <w:lang w:eastAsia="pl-PL"/>
        </w:rPr>
        <w:t xml:space="preserve">rt. 26c ust. 2 </w:t>
      </w:r>
      <w:r w:rsidR="00E53172"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E53172" w:rsidRPr="00833C88">
        <w:rPr>
          <w:rFonts w:eastAsia="Times New Roman" w:cs="Times New Roman"/>
          <w:sz w:val="24"/>
          <w:szCs w:val="24"/>
          <w:lang w:eastAsia="pl-PL"/>
        </w:rPr>
        <w:t xml:space="preserve">KSC </w:t>
      </w:r>
      <w:r w:rsidR="00D8302B" w:rsidRPr="00833C88">
        <w:rPr>
          <w:rFonts w:eastAsia="Times New Roman" w:cs="Times New Roman"/>
          <w:sz w:val="24"/>
          <w:szCs w:val="24"/>
          <w:lang w:eastAsia="pl-PL"/>
        </w:rPr>
        <w:t xml:space="preserve">wskazuje ponadto zakres danych, które mogą być przetwarzane przy realizacji tej usługi. Katalog ten wydaje </w:t>
      </w:r>
      <w:proofErr w:type="gramStart"/>
      <w:r w:rsidR="00D8302B" w:rsidRPr="00833C88">
        <w:rPr>
          <w:rFonts w:eastAsia="Times New Roman" w:cs="Times New Roman"/>
          <w:sz w:val="24"/>
          <w:szCs w:val="24"/>
          <w:lang w:eastAsia="pl-PL"/>
        </w:rPr>
        <w:t>się być</w:t>
      </w:r>
      <w:proofErr w:type="gramEnd"/>
      <w:r w:rsidR="00D8302B" w:rsidRPr="00833C88">
        <w:rPr>
          <w:rFonts w:eastAsia="Times New Roman" w:cs="Times New Roman"/>
          <w:sz w:val="24"/>
          <w:szCs w:val="24"/>
          <w:lang w:eastAsia="pl-PL"/>
        </w:rPr>
        <w:t xml:space="preserve"> szeroki, natomiast CSIRT NASK na</w:t>
      </w:r>
      <w:r w:rsidR="009B4C26" w:rsidRPr="00833C88">
        <w:rPr>
          <w:rFonts w:eastAsia="Times New Roman" w:cs="Times New Roman"/>
          <w:sz w:val="24"/>
          <w:szCs w:val="24"/>
          <w:lang w:eastAsia="pl-PL"/>
        </w:rPr>
        <w:t> </w:t>
      </w:r>
      <w:r w:rsidR="00D8302B" w:rsidRPr="00833C88">
        <w:rPr>
          <w:rFonts w:eastAsia="Times New Roman" w:cs="Times New Roman"/>
          <w:sz w:val="24"/>
          <w:szCs w:val="24"/>
          <w:lang w:eastAsia="pl-PL"/>
        </w:rPr>
        <w:t xml:space="preserve">podstawie przepisów odrębnych zobowiązany jest do </w:t>
      </w:r>
      <w:r w:rsidR="009E0A37" w:rsidRPr="00833C88">
        <w:rPr>
          <w:rFonts w:eastAsia="Times New Roman" w:cs="Times New Roman"/>
          <w:sz w:val="24"/>
          <w:szCs w:val="24"/>
          <w:lang w:eastAsia="pl-PL"/>
        </w:rPr>
        <w:t>minimalizacji przetwarzanych danych</w:t>
      </w:r>
      <w:r w:rsidR="00D8591C" w:rsidRPr="00833C88">
        <w:rPr>
          <w:rFonts w:eastAsia="Times New Roman" w:cs="Times New Roman"/>
          <w:sz w:val="24"/>
          <w:szCs w:val="24"/>
          <w:lang w:eastAsia="pl-PL"/>
        </w:rPr>
        <w:t>, co będzie miało miejsce także przy realizacji usługi online</w:t>
      </w:r>
      <w:r w:rsidR="00F83E81" w:rsidRPr="00833C88">
        <w:rPr>
          <w:rFonts w:eastAsia="Times New Roman" w:cs="Times New Roman"/>
          <w:sz w:val="24"/>
          <w:szCs w:val="24"/>
          <w:lang w:eastAsia="pl-PL"/>
        </w:rPr>
        <w:t xml:space="preserve">. Szeroki zakres wynika przede wszystkim </w:t>
      </w:r>
      <w:r w:rsidR="00601933" w:rsidRPr="00833C88">
        <w:rPr>
          <w:rFonts w:eastAsia="Times New Roman" w:cs="Times New Roman"/>
          <w:sz w:val="24"/>
          <w:szCs w:val="24"/>
          <w:lang w:eastAsia="pl-PL"/>
        </w:rPr>
        <w:t>z </w:t>
      </w:r>
      <w:r w:rsidR="001123AF" w:rsidRPr="00833C88">
        <w:rPr>
          <w:rFonts w:eastAsia="Times New Roman" w:cs="Times New Roman"/>
          <w:sz w:val="24"/>
          <w:szCs w:val="24"/>
          <w:lang w:eastAsia="pl-PL"/>
        </w:rPr>
        <w:t>technicznych uwarunkowań</w:t>
      </w:r>
      <w:r w:rsidR="003D396F" w:rsidRPr="00833C88">
        <w:rPr>
          <w:rFonts w:eastAsia="Times New Roman" w:cs="Times New Roman"/>
          <w:sz w:val="24"/>
          <w:szCs w:val="24"/>
          <w:lang w:eastAsia="pl-PL"/>
        </w:rPr>
        <w:t xml:space="preserve"> p</w:t>
      </w:r>
      <w:r w:rsidR="001123AF" w:rsidRPr="00833C88">
        <w:rPr>
          <w:rFonts w:eastAsia="Times New Roman" w:cs="Times New Roman"/>
          <w:sz w:val="24"/>
          <w:szCs w:val="24"/>
          <w:lang w:eastAsia="pl-PL"/>
        </w:rPr>
        <w:t xml:space="preserve">rofilu </w:t>
      </w:r>
      <w:r w:rsidR="003D396F" w:rsidRPr="00833C88">
        <w:rPr>
          <w:rFonts w:eastAsia="Times New Roman" w:cs="Times New Roman"/>
          <w:sz w:val="24"/>
          <w:szCs w:val="24"/>
          <w:lang w:eastAsia="pl-PL"/>
        </w:rPr>
        <w:t>z</w:t>
      </w:r>
      <w:r w:rsidR="001123AF" w:rsidRPr="00833C88">
        <w:rPr>
          <w:rFonts w:eastAsia="Times New Roman" w:cs="Times New Roman"/>
          <w:sz w:val="24"/>
          <w:szCs w:val="24"/>
          <w:lang w:eastAsia="pl-PL"/>
        </w:rPr>
        <w:t xml:space="preserve">aufanego, </w:t>
      </w:r>
      <w:r w:rsidR="00601933" w:rsidRPr="00833C88">
        <w:rPr>
          <w:rFonts w:eastAsia="Times New Roman" w:cs="Times New Roman"/>
          <w:sz w:val="24"/>
          <w:szCs w:val="24"/>
          <w:lang w:eastAsia="pl-PL"/>
        </w:rPr>
        <w:t>a </w:t>
      </w:r>
      <w:r w:rsidR="001123AF" w:rsidRPr="00833C88">
        <w:rPr>
          <w:rFonts w:eastAsia="Times New Roman" w:cs="Times New Roman"/>
          <w:sz w:val="24"/>
          <w:szCs w:val="24"/>
          <w:lang w:eastAsia="pl-PL"/>
        </w:rPr>
        <w:t xml:space="preserve">dokładniej </w:t>
      </w:r>
      <w:r w:rsidR="003D396F" w:rsidRPr="00833C88">
        <w:rPr>
          <w:rFonts w:eastAsia="Times New Roman" w:cs="Times New Roman"/>
          <w:sz w:val="24"/>
          <w:szCs w:val="24"/>
          <w:lang w:eastAsia="pl-PL"/>
        </w:rPr>
        <w:t>w</w:t>
      </w:r>
      <w:r w:rsidR="001123AF" w:rsidRPr="00833C88">
        <w:rPr>
          <w:rFonts w:eastAsia="Times New Roman" w:cs="Times New Roman"/>
          <w:sz w:val="24"/>
          <w:szCs w:val="24"/>
          <w:lang w:eastAsia="pl-PL"/>
        </w:rPr>
        <w:t xml:space="preserve">ęzła </w:t>
      </w:r>
      <w:r w:rsidR="003D396F" w:rsidRPr="00833C88">
        <w:rPr>
          <w:rFonts w:eastAsia="Times New Roman" w:cs="Times New Roman"/>
          <w:sz w:val="24"/>
          <w:szCs w:val="24"/>
          <w:lang w:eastAsia="pl-PL"/>
        </w:rPr>
        <w:t>k</w:t>
      </w:r>
      <w:r w:rsidR="001123AF" w:rsidRPr="00833C88">
        <w:rPr>
          <w:rFonts w:eastAsia="Times New Roman" w:cs="Times New Roman"/>
          <w:sz w:val="24"/>
          <w:szCs w:val="24"/>
          <w:lang w:eastAsia="pl-PL"/>
        </w:rPr>
        <w:t xml:space="preserve">rajowego, </w:t>
      </w:r>
      <w:r w:rsidR="00601933" w:rsidRPr="00833C88">
        <w:rPr>
          <w:rFonts w:eastAsia="Times New Roman" w:cs="Times New Roman"/>
          <w:sz w:val="24"/>
          <w:szCs w:val="24"/>
          <w:lang w:eastAsia="pl-PL"/>
        </w:rPr>
        <w:t>w </w:t>
      </w:r>
      <w:r w:rsidR="001123AF" w:rsidRPr="00833C88">
        <w:rPr>
          <w:rFonts w:eastAsia="Times New Roman" w:cs="Times New Roman"/>
          <w:sz w:val="24"/>
          <w:szCs w:val="24"/>
          <w:lang w:eastAsia="pl-PL"/>
        </w:rPr>
        <w:t>którym przetwarzane są wszystkie te dane</w:t>
      </w:r>
      <w:r w:rsidR="00B3440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B3440C" w:rsidRPr="00833C88">
        <w:rPr>
          <w:rFonts w:eastAsia="Times New Roman" w:cs="Times New Roman"/>
          <w:sz w:val="24"/>
          <w:szCs w:val="24"/>
          <w:lang w:eastAsia="pl-PL"/>
        </w:rPr>
        <w:t xml:space="preserve">przekazywane </w:t>
      </w:r>
      <w:r w:rsidR="00601933" w:rsidRPr="00833C88">
        <w:rPr>
          <w:rFonts w:eastAsia="Times New Roman" w:cs="Times New Roman"/>
          <w:sz w:val="24"/>
          <w:szCs w:val="24"/>
          <w:lang w:eastAsia="pl-PL"/>
        </w:rPr>
        <w:t>w </w:t>
      </w:r>
      <w:r w:rsidR="00B3440C" w:rsidRPr="00833C88">
        <w:rPr>
          <w:rFonts w:eastAsia="Times New Roman" w:cs="Times New Roman"/>
          <w:sz w:val="24"/>
          <w:szCs w:val="24"/>
          <w:lang w:eastAsia="pl-PL"/>
        </w:rPr>
        <w:t>momencie logowania użytkownika</w:t>
      </w:r>
      <w:r w:rsidR="009717D0" w:rsidRPr="00833C88">
        <w:rPr>
          <w:rFonts w:eastAsia="Times New Roman" w:cs="Times New Roman"/>
          <w:sz w:val="24"/>
          <w:szCs w:val="24"/>
          <w:lang w:eastAsia="pl-PL"/>
        </w:rPr>
        <w:t xml:space="preserve">. </w:t>
      </w:r>
      <w:r w:rsidR="00B67F9B" w:rsidRPr="00833C88">
        <w:rPr>
          <w:rFonts w:eastAsia="Times New Roman" w:cs="Times New Roman"/>
          <w:sz w:val="24"/>
          <w:szCs w:val="24"/>
          <w:lang w:eastAsia="pl-PL"/>
        </w:rPr>
        <w:t xml:space="preserve">CSIRT NASK musi być zatem uprawniony do przetwarzania danych, które uzyska </w:t>
      </w:r>
      <w:r w:rsidR="00601933" w:rsidRPr="00833C88">
        <w:rPr>
          <w:rFonts w:eastAsia="Times New Roman" w:cs="Times New Roman"/>
          <w:sz w:val="24"/>
          <w:szCs w:val="24"/>
          <w:lang w:eastAsia="pl-PL"/>
        </w:rPr>
        <w:t>w </w:t>
      </w:r>
      <w:r w:rsidR="00B67F9B" w:rsidRPr="00833C88">
        <w:rPr>
          <w:rFonts w:eastAsia="Times New Roman" w:cs="Times New Roman"/>
          <w:sz w:val="24"/>
          <w:szCs w:val="24"/>
          <w:lang w:eastAsia="pl-PL"/>
        </w:rPr>
        <w:t>momencie logowania się przez użytkownika.</w:t>
      </w:r>
    </w:p>
    <w:p w14:paraId="6E7B25FF" w14:textId="7459C350" w:rsidR="005360D1" w:rsidRPr="00833C88" w:rsidRDefault="005360D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Jednocześnie nie sposób przewidzieć zakresu danych, jakie zostaną upublicznione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sposób nieuprawniony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sieci </w:t>
      </w:r>
      <w:proofErr w:type="spellStart"/>
      <w:r w:rsidR="003D396F" w:rsidRPr="00833C88">
        <w:rPr>
          <w:rFonts w:eastAsia="Times New Roman" w:cs="Times New Roman"/>
          <w:sz w:val="24"/>
          <w:szCs w:val="24"/>
          <w:lang w:eastAsia="pl-PL"/>
        </w:rPr>
        <w:t>i</w:t>
      </w:r>
      <w:r w:rsidRPr="00833C88">
        <w:rPr>
          <w:rFonts w:eastAsia="Times New Roman" w:cs="Times New Roman"/>
          <w:sz w:val="24"/>
          <w:szCs w:val="24"/>
          <w:lang w:eastAsia="pl-PL"/>
        </w:rPr>
        <w:t>nternet</w:t>
      </w:r>
      <w:proofErr w:type="spellEnd"/>
      <w:r w:rsidRPr="00833C88">
        <w:rPr>
          <w:rFonts w:eastAsia="Times New Roman" w:cs="Times New Roman"/>
          <w:sz w:val="24"/>
          <w:szCs w:val="24"/>
          <w:lang w:eastAsia="pl-PL"/>
        </w:rPr>
        <w:t xml:space="preserve">. Katalog możliwych do gromadzenia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przetwarzania danych musi zatem być na tyle szeroki, aby umożliwiać prawidłowe funkcjonowanie usługi online, pozwalające na realizację założonego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ustawie celu.</w:t>
      </w:r>
    </w:p>
    <w:p w14:paraId="44B588CB" w14:textId="232A73FF" w:rsidR="00F81D1C" w:rsidRPr="00833C88" w:rsidRDefault="00F81D1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Realizacja usługi online przez CSIRT NASK </w:t>
      </w:r>
      <w:r w:rsidR="006F2247" w:rsidRPr="00833C88">
        <w:rPr>
          <w:rFonts w:eastAsia="Times New Roman" w:cs="Times New Roman"/>
          <w:sz w:val="24"/>
          <w:szCs w:val="24"/>
          <w:lang w:eastAsia="pl-PL"/>
        </w:rPr>
        <w:t xml:space="preserve">przy pomocy gromadzonych przez ten podmiot danych oznacza, że CSIRT NASK będzie administratorem danych zgromadzonych </w:t>
      </w:r>
      <w:r w:rsidR="00601933" w:rsidRPr="00833C88">
        <w:rPr>
          <w:rFonts w:eastAsia="Times New Roman" w:cs="Times New Roman"/>
          <w:sz w:val="24"/>
          <w:szCs w:val="24"/>
          <w:lang w:eastAsia="pl-PL"/>
        </w:rPr>
        <w:t>i </w:t>
      </w:r>
      <w:r w:rsidR="006F2247" w:rsidRPr="00833C88">
        <w:rPr>
          <w:rFonts w:eastAsia="Times New Roman" w:cs="Times New Roman"/>
          <w:sz w:val="24"/>
          <w:szCs w:val="24"/>
          <w:lang w:eastAsia="pl-PL"/>
        </w:rPr>
        <w:t xml:space="preserve">przetwarzanych </w:t>
      </w:r>
      <w:r w:rsidR="00601933" w:rsidRPr="00833C88">
        <w:rPr>
          <w:rFonts w:eastAsia="Times New Roman" w:cs="Times New Roman"/>
          <w:sz w:val="24"/>
          <w:szCs w:val="24"/>
          <w:lang w:eastAsia="pl-PL"/>
        </w:rPr>
        <w:t>w </w:t>
      </w:r>
      <w:r w:rsidR="006F2247" w:rsidRPr="00833C88">
        <w:rPr>
          <w:rFonts w:eastAsia="Times New Roman" w:cs="Times New Roman"/>
          <w:sz w:val="24"/>
          <w:szCs w:val="24"/>
          <w:lang w:eastAsia="pl-PL"/>
        </w:rPr>
        <w:t>tej usłudze.</w:t>
      </w:r>
      <w:r w:rsidR="00463A33" w:rsidRPr="00833C88">
        <w:rPr>
          <w:rFonts w:eastAsia="Times New Roman" w:cs="Times New Roman"/>
          <w:sz w:val="24"/>
          <w:szCs w:val="24"/>
          <w:lang w:eastAsia="pl-PL"/>
        </w:rPr>
        <w:t xml:space="preserve"> </w:t>
      </w:r>
      <w:r w:rsidR="00EA3386" w:rsidRPr="00833C88">
        <w:rPr>
          <w:rFonts w:eastAsia="Times New Roman" w:cs="Times New Roman"/>
          <w:sz w:val="24"/>
          <w:szCs w:val="24"/>
          <w:lang w:eastAsia="pl-PL"/>
        </w:rPr>
        <w:t>Usługa</w:t>
      </w:r>
      <w:r w:rsidR="00C6259C" w:rsidRPr="00833C88">
        <w:rPr>
          <w:rFonts w:eastAsia="Times New Roman" w:cs="Times New Roman"/>
          <w:sz w:val="24"/>
          <w:szCs w:val="24"/>
          <w:lang w:eastAsia="pl-PL"/>
        </w:rPr>
        <w:t xml:space="preserve"> ta </w:t>
      </w:r>
      <w:r w:rsidR="00EA3386" w:rsidRPr="00833C88">
        <w:rPr>
          <w:rFonts w:eastAsia="Times New Roman" w:cs="Times New Roman"/>
          <w:sz w:val="24"/>
          <w:szCs w:val="24"/>
          <w:lang w:eastAsia="pl-PL"/>
        </w:rPr>
        <w:t xml:space="preserve">– co wynika </w:t>
      </w:r>
      <w:r w:rsidR="00601933" w:rsidRPr="00833C88">
        <w:rPr>
          <w:rFonts w:eastAsia="Times New Roman" w:cs="Times New Roman"/>
          <w:sz w:val="24"/>
          <w:szCs w:val="24"/>
          <w:lang w:eastAsia="pl-PL"/>
        </w:rPr>
        <w:t>z </w:t>
      </w:r>
      <w:r w:rsidR="00EA3386" w:rsidRPr="00833C88">
        <w:rPr>
          <w:rFonts w:eastAsia="Times New Roman" w:cs="Times New Roman"/>
          <w:sz w:val="24"/>
          <w:szCs w:val="24"/>
          <w:lang w:eastAsia="pl-PL"/>
        </w:rPr>
        <w:t xml:space="preserve">przepisów odrębnych – </w:t>
      </w:r>
      <w:r w:rsidR="00C6259C" w:rsidRPr="00833C88">
        <w:rPr>
          <w:rFonts w:eastAsia="Times New Roman" w:cs="Times New Roman"/>
          <w:sz w:val="24"/>
          <w:szCs w:val="24"/>
          <w:lang w:eastAsia="pl-PL"/>
        </w:rPr>
        <w:t xml:space="preserve">musi być zgodna </w:t>
      </w:r>
      <w:r w:rsidR="00601933" w:rsidRPr="00833C88">
        <w:rPr>
          <w:rFonts w:eastAsia="Times New Roman" w:cs="Times New Roman"/>
          <w:sz w:val="24"/>
          <w:szCs w:val="24"/>
          <w:lang w:eastAsia="pl-PL"/>
        </w:rPr>
        <w:t>z </w:t>
      </w:r>
      <w:r w:rsidR="00E53172" w:rsidRPr="00833C88">
        <w:rPr>
          <w:rFonts w:eastAsia="Times New Roman" w:cs="Times New Roman"/>
          <w:sz w:val="24"/>
          <w:szCs w:val="24"/>
          <w:lang w:eastAsia="pl-PL"/>
        </w:rPr>
        <w:t>RODO</w:t>
      </w:r>
      <w:r w:rsidR="00C6259C" w:rsidRPr="00833C88">
        <w:rPr>
          <w:rFonts w:eastAsia="Times New Roman" w:cs="Times New Roman"/>
          <w:sz w:val="24"/>
          <w:szCs w:val="24"/>
          <w:lang w:eastAsia="pl-PL"/>
        </w:rPr>
        <w:t xml:space="preserve"> oraz </w:t>
      </w:r>
      <w:r w:rsidR="00601933" w:rsidRPr="00833C88">
        <w:rPr>
          <w:rFonts w:eastAsia="Times New Roman" w:cs="Times New Roman"/>
          <w:sz w:val="24"/>
          <w:szCs w:val="24"/>
          <w:lang w:eastAsia="pl-PL"/>
        </w:rPr>
        <w:t>z </w:t>
      </w:r>
      <w:r w:rsidR="003F2FFC" w:rsidRPr="00833C88">
        <w:rPr>
          <w:rFonts w:eastAsia="Times New Roman" w:cs="Times New Roman"/>
          <w:sz w:val="24"/>
          <w:szCs w:val="24"/>
          <w:lang w:eastAsia="pl-PL"/>
        </w:rPr>
        <w:t>minimalnymi wymaganiami dla systemów teleinformatycznych</w:t>
      </w:r>
      <w:r w:rsidR="00012D3E" w:rsidRPr="00833C88">
        <w:rPr>
          <w:rFonts w:eastAsia="Times New Roman" w:cs="Times New Roman"/>
          <w:sz w:val="24"/>
          <w:szCs w:val="24"/>
          <w:lang w:eastAsia="pl-PL"/>
        </w:rPr>
        <w:t xml:space="preserve"> wydanych na podstawie art. 18 </w:t>
      </w:r>
      <w:r w:rsidR="003F70DF"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z </w:t>
      </w:r>
      <w:r w:rsidR="003F70DF" w:rsidRPr="00833C88">
        <w:rPr>
          <w:rFonts w:eastAsia="Times New Roman" w:cs="Times New Roman"/>
          <w:sz w:val="24"/>
          <w:szCs w:val="24"/>
          <w:lang w:eastAsia="pl-PL"/>
        </w:rPr>
        <w:t xml:space="preserve">dnia 17 lutego 2005 r. </w:t>
      </w:r>
      <w:r w:rsidR="00601933" w:rsidRPr="00833C88">
        <w:rPr>
          <w:rFonts w:eastAsia="Times New Roman" w:cs="Times New Roman"/>
          <w:sz w:val="24"/>
          <w:szCs w:val="24"/>
          <w:lang w:eastAsia="pl-PL"/>
        </w:rPr>
        <w:t>o </w:t>
      </w:r>
      <w:r w:rsidR="003F70DF" w:rsidRPr="00833C88">
        <w:rPr>
          <w:rFonts w:eastAsia="Times New Roman" w:cs="Times New Roman"/>
          <w:sz w:val="24"/>
          <w:szCs w:val="24"/>
          <w:lang w:eastAsia="pl-PL"/>
        </w:rPr>
        <w:t>informatyzacji działalności podmiotów realizujących zadania publiczne</w:t>
      </w:r>
      <w:r w:rsidR="000C142E" w:rsidRPr="00833C88">
        <w:rPr>
          <w:rFonts w:eastAsia="Times New Roman" w:cs="Times New Roman"/>
          <w:sz w:val="24"/>
          <w:szCs w:val="24"/>
          <w:lang w:eastAsia="pl-PL"/>
        </w:rPr>
        <w:t xml:space="preserve"> (Dz. U</w:t>
      </w:r>
      <w:r w:rsidR="003F70DF" w:rsidRPr="00833C88">
        <w:rPr>
          <w:rFonts w:eastAsia="Times New Roman" w:cs="Times New Roman"/>
          <w:sz w:val="24"/>
          <w:szCs w:val="24"/>
          <w:lang w:eastAsia="pl-PL"/>
        </w:rPr>
        <w:t>.</w:t>
      </w:r>
      <w:r w:rsidR="000C142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0C142E" w:rsidRPr="00833C88">
        <w:rPr>
          <w:rFonts w:eastAsia="Times New Roman" w:cs="Times New Roman"/>
          <w:sz w:val="24"/>
          <w:szCs w:val="24"/>
          <w:lang w:eastAsia="pl-PL"/>
        </w:rPr>
        <w:t xml:space="preserve">2024 r. poz. 1557 </w:t>
      </w:r>
      <w:r w:rsidR="00601933" w:rsidRPr="00833C88">
        <w:rPr>
          <w:rFonts w:eastAsia="Times New Roman" w:cs="Times New Roman"/>
          <w:sz w:val="24"/>
          <w:szCs w:val="24"/>
          <w:lang w:eastAsia="pl-PL"/>
        </w:rPr>
        <w:t>i </w:t>
      </w:r>
      <w:r w:rsidR="000C142E" w:rsidRPr="00833C88">
        <w:rPr>
          <w:rFonts w:eastAsia="Times New Roman" w:cs="Times New Roman"/>
          <w:sz w:val="24"/>
          <w:szCs w:val="24"/>
          <w:lang w:eastAsia="pl-PL"/>
        </w:rPr>
        <w:t>1717</w:t>
      </w:r>
      <w:r w:rsidR="00E805F1" w:rsidRPr="00833C88">
        <w:rPr>
          <w:rFonts w:eastAsia="Times New Roman" w:cs="Times New Roman"/>
          <w:sz w:val="24"/>
          <w:szCs w:val="24"/>
          <w:lang w:eastAsia="pl-PL"/>
        </w:rPr>
        <w:t xml:space="preserve"> oraz z 2025 r. poz. 1006</w:t>
      </w:r>
      <w:r w:rsidR="00FC0038" w:rsidRPr="00833C88">
        <w:rPr>
          <w:rFonts w:eastAsia="Times New Roman" w:cs="Times New Roman"/>
          <w:sz w:val="24"/>
          <w:szCs w:val="24"/>
          <w:lang w:eastAsia="pl-PL"/>
        </w:rPr>
        <w:t xml:space="preserve">, </w:t>
      </w:r>
      <w:r w:rsidR="00E805F1" w:rsidRPr="00833C88">
        <w:rPr>
          <w:rFonts w:eastAsia="Times New Roman" w:cs="Times New Roman"/>
          <w:sz w:val="24"/>
          <w:szCs w:val="24"/>
          <w:lang w:eastAsia="pl-PL"/>
        </w:rPr>
        <w:t>1019</w:t>
      </w:r>
      <w:r w:rsidR="00FC0038" w:rsidRPr="00833C88">
        <w:rPr>
          <w:rFonts w:eastAsia="Times New Roman" w:cs="Times New Roman"/>
          <w:sz w:val="24"/>
          <w:szCs w:val="24"/>
          <w:lang w:eastAsia="pl-PL"/>
        </w:rPr>
        <w:t xml:space="preserve"> i 1158</w:t>
      </w:r>
      <w:r w:rsidR="006514D0" w:rsidRPr="00833C88">
        <w:rPr>
          <w:rFonts w:eastAsia="Times New Roman" w:cs="Times New Roman"/>
          <w:sz w:val="24"/>
          <w:szCs w:val="24"/>
          <w:lang w:eastAsia="pl-PL"/>
        </w:rPr>
        <w:t>)</w:t>
      </w:r>
      <w:r w:rsidR="000C142E" w:rsidRPr="00833C88">
        <w:rPr>
          <w:rFonts w:eastAsia="Times New Roman" w:cs="Times New Roman"/>
          <w:sz w:val="24"/>
          <w:szCs w:val="24"/>
          <w:lang w:eastAsia="pl-PL"/>
        </w:rPr>
        <w:t>.</w:t>
      </w:r>
    </w:p>
    <w:p w14:paraId="01E1E3A5" w14:textId="061D1AD5" w:rsidR="00A577EA" w:rsidRPr="00833C88" w:rsidRDefault="00A577E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Wszelkie techniczne aspekty tworzenia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udostępniania usługi online,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której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art. 26c ust. 1</w:t>
      </w:r>
      <w:r w:rsidR="00C3798C"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C3798C" w:rsidRPr="00833C88">
        <w:rPr>
          <w:rFonts w:eastAsia="Times New Roman" w:cs="Times New Roman"/>
          <w:sz w:val="24"/>
          <w:szCs w:val="24"/>
          <w:lang w:eastAsia="pl-PL"/>
        </w:rPr>
        <w:t>KSC,</w:t>
      </w:r>
      <w:r w:rsidRPr="00833C88">
        <w:rPr>
          <w:rFonts w:eastAsia="Times New Roman" w:cs="Times New Roman"/>
          <w:sz w:val="24"/>
          <w:szCs w:val="24"/>
          <w:lang w:eastAsia="pl-PL"/>
        </w:rPr>
        <w:t xml:space="preserve"> </w:t>
      </w:r>
      <w:r w:rsidR="00B7478F" w:rsidRPr="00833C88">
        <w:rPr>
          <w:rFonts w:eastAsia="Times New Roman" w:cs="Times New Roman"/>
          <w:sz w:val="24"/>
          <w:szCs w:val="24"/>
          <w:lang w:eastAsia="pl-PL"/>
        </w:rPr>
        <w:t xml:space="preserve">zostaną opracowane </w:t>
      </w:r>
      <w:r w:rsidR="00601933" w:rsidRPr="00833C88">
        <w:rPr>
          <w:rFonts w:eastAsia="Times New Roman" w:cs="Times New Roman"/>
          <w:sz w:val="24"/>
          <w:szCs w:val="24"/>
          <w:lang w:eastAsia="pl-PL"/>
        </w:rPr>
        <w:t>w </w:t>
      </w:r>
      <w:r w:rsidR="00B7478F" w:rsidRPr="00833C88">
        <w:rPr>
          <w:rFonts w:eastAsia="Times New Roman" w:cs="Times New Roman"/>
          <w:sz w:val="24"/>
          <w:szCs w:val="24"/>
          <w:lang w:eastAsia="pl-PL"/>
        </w:rPr>
        <w:t>dokumentacji technicznej</w:t>
      </w:r>
      <w:r w:rsidR="002D4516" w:rsidRPr="00833C88">
        <w:rPr>
          <w:rFonts w:eastAsia="Times New Roman" w:cs="Times New Roman"/>
          <w:sz w:val="24"/>
          <w:szCs w:val="24"/>
          <w:lang w:eastAsia="pl-PL"/>
        </w:rPr>
        <w:t>.</w:t>
      </w:r>
    </w:p>
    <w:p w14:paraId="577B785D" w14:textId="41DB9886" w:rsidR="00816298" w:rsidRPr="00833C88" w:rsidRDefault="00816298"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Zgromadzone dane będą przez </w:t>
      </w:r>
      <w:proofErr w:type="spellStart"/>
      <w:r w:rsidRPr="00833C88">
        <w:rPr>
          <w:rFonts w:eastAsia="Times New Roman" w:cs="Times New Roman"/>
          <w:sz w:val="24"/>
          <w:szCs w:val="24"/>
          <w:lang w:eastAsia="pl-PL"/>
        </w:rPr>
        <w:t>CSIRT</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NASK</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anonimizowane</w:t>
      </w:r>
      <w:proofErr w:type="spellEnd"/>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BF33E3" w:rsidRPr="00833C88">
        <w:rPr>
          <w:rFonts w:eastAsia="Times New Roman" w:cs="Times New Roman"/>
          <w:sz w:val="24"/>
          <w:szCs w:val="24"/>
          <w:lang w:eastAsia="pl-PL"/>
        </w:rPr>
        <w:t xml:space="preserve">terminie 5 lat od dnia ich zgromadzenia co pozostaje </w:t>
      </w:r>
      <w:r w:rsidR="00601933" w:rsidRPr="00833C88">
        <w:rPr>
          <w:rFonts w:eastAsia="Times New Roman" w:cs="Times New Roman"/>
          <w:sz w:val="24"/>
          <w:szCs w:val="24"/>
          <w:lang w:eastAsia="pl-PL"/>
        </w:rPr>
        <w:t>w </w:t>
      </w:r>
      <w:r w:rsidR="00BF33E3" w:rsidRPr="00833C88">
        <w:rPr>
          <w:rFonts w:eastAsia="Times New Roman" w:cs="Times New Roman"/>
          <w:sz w:val="24"/>
          <w:szCs w:val="24"/>
          <w:lang w:eastAsia="pl-PL"/>
        </w:rPr>
        <w:t xml:space="preserve">zgodzie </w:t>
      </w:r>
      <w:r w:rsidR="00601933" w:rsidRPr="00833C88">
        <w:rPr>
          <w:rFonts w:eastAsia="Times New Roman" w:cs="Times New Roman"/>
          <w:sz w:val="24"/>
          <w:szCs w:val="24"/>
          <w:lang w:eastAsia="pl-PL"/>
        </w:rPr>
        <w:t>z </w:t>
      </w:r>
      <w:r w:rsidR="00BF33E3" w:rsidRPr="00833C88">
        <w:rPr>
          <w:rFonts w:eastAsia="Times New Roman" w:cs="Times New Roman"/>
          <w:sz w:val="24"/>
          <w:szCs w:val="24"/>
          <w:lang w:eastAsia="pl-PL"/>
        </w:rPr>
        <w:t xml:space="preserve">terminem na </w:t>
      </w:r>
      <w:proofErr w:type="spellStart"/>
      <w:r w:rsidR="00BF33E3" w:rsidRPr="00833C88">
        <w:rPr>
          <w:rFonts w:eastAsia="Times New Roman" w:cs="Times New Roman"/>
          <w:sz w:val="24"/>
          <w:szCs w:val="24"/>
          <w:lang w:eastAsia="pl-PL"/>
        </w:rPr>
        <w:t>anonimizację</w:t>
      </w:r>
      <w:proofErr w:type="spellEnd"/>
      <w:r w:rsidR="00BF33E3" w:rsidRPr="00833C88">
        <w:rPr>
          <w:rFonts w:eastAsia="Times New Roman" w:cs="Times New Roman"/>
          <w:sz w:val="24"/>
          <w:szCs w:val="24"/>
          <w:lang w:eastAsia="pl-PL"/>
        </w:rPr>
        <w:t xml:space="preserve"> danych pozyskanych </w:t>
      </w:r>
      <w:r w:rsidR="009D6B97" w:rsidRPr="00833C88">
        <w:rPr>
          <w:rFonts w:eastAsia="Times New Roman" w:cs="Times New Roman"/>
          <w:sz w:val="24"/>
          <w:szCs w:val="24"/>
          <w:lang w:eastAsia="pl-PL"/>
        </w:rPr>
        <w:t>do</w:t>
      </w:r>
      <w:r w:rsidR="009B4C26" w:rsidRPr="00833C88">
        <w:rPr>
          <w:rFonts w:eastAsia="Times New Roman" w:cs="Times New Roman"/>
          <w:sz w:val="24"/>
          <w:szCs w:val="24"/>
          <w:lang w:eastAsia="pl-PL"/>
        </w:rPr>
        <w:t> </w:t>
      </w:r>
      <w:r w:rsidR="009D6B97" w:rsidRPr="00833C88">
        <w:rPr>
          <w:rFonts w:eastAsia="Times New Roman" w:cs="Times New Roman"/>
          <w:sz w:val="24"/>
          <w:szCs w:val="24"/>
          <w:lang w:eastAsia="pl-PL"/>
        </w:rPr>
        <w:t xml:space="preserve">realizacji pozostałych zadań wynikających </w:t>
      </w:r>
      <w:r w:rsidR="00601933" w:rsidRPr="00833C88">
        <w:rPr>
          <w:rFonts w:eastAsia="Times New Roman" w:cs="Times New Roman"/>
          <w:sz w:val="24"/>
          <w:szCs w:val="24"/>
          <w:lang w:eastAsia="pl-PL"/>
        </w:rPr>
        <w:t>z </w:t>
      </w:r>
      <w:r w:rsidR="009D6B97" w:rsidRPr="00833C88">
        <w:rPr>
          <w:rFonts w:eastAsia="Times New Roman" w:cs="Times New Roman"/>
          <w:sz w:val="24"/>
          <w:szCs w:val="24"/>
          <w:lang w:eastAsia="pl-PL"/>
        </w:rPr>
        <w:t xml:space="preserve">ustawy. </w:t>
      </w:r>
      <w:r w:rsidR="004A7187" w:rsidRPr="00833C88">
        <w:rPr>
          <w:rFonts w:eastAsia="Times New Roman" w:cs="Times New Roman"/>
          <w:sz w:val="24"/>
          <w:szCs w:val="24"/>
          <w:lang w:eastAsia="pl-PL"/>
        </w:rPr>
        <w:t xml:space="preserve">Termin ten jest adekwatny </w:t>
      </w:r>
      <w:r w:rsidR="00601933" w:rsidRPr="00833C88">
        <w:rPr>
          <w:rFonts w:eastAsia="Times New Roman" w:cs="Times New Roman"/>
          <w:sz w:val="24"/>
          <w:szCs w:val="24"/>
          <w:lang w:eastAsia="pl-PL"/>
        </w:rPr>
        <w:t>z </w:t>
      </w:r>
      <w:r w:rsidR="004A7187" w:rsidRPr="00833C88">
        <w:rPr>
          <w:rFonts w:eastAsia="Times New Roman" w:cs="Times New Roman"/>
          <w:sz w:val="24"/>
          <w:szCs w:val="24"/>
          <w:lang w:eastAsia="pl-PL"/>
        </w:rPr>
        <w:t>punktu widzenia realizacji samej usługi</w:t>
      </w:r>
      <w:r w:rsidR="00F2359E" w:rsidRPr="00833C88">
        <w:rPr>
          <w:rFonts w:eastAsia="Times New Roman" w:cs="Times New Roman"/>
          <w:sz w:val="24"/>
          <w:szCs w:val="24"/>
          <w:lang w:eastAsia="pl-PL"/>
        </w:rPr>
        <w:t xml:space="preserve"> – użytkownik musi mieć możliwość sprawdzenia historycznych wycieków, których skutki mogą być widoczne po kilku latach</w:t>
      </w:r>
      <w:r w:rsidR="00DA7057" w:rsidRPr="00833C88">
        <w:rPr>
          <w:rFonts w:eastAsia="Times New Roman" w:cs="Times New Roman"/>
          <w:sz w:val="24"/>
          <w:szCs w:val="24"/>
          <w:lang w:eastAsia="pl-PL"/>
        </w:rPr>
        <w:t xml:space="preserve">. Nie można wykluczyć sytuacji, że użytkownik skorzysta </w:t>
      </w:r>
      <w:r w:rsidR="00601933" w:rsidRPr="00833C88">
        <w:rPr>
          <w:rFonts w:eastAsia="Times New Roman" w:cs="Times New Roman"/>
          <w:sz w:val="24"/>
          <w:szCs w:val="24"/>
          <w:lang w:eastAsia="pl-PL"/>
        </w:rPr>
        <w:t>z </w:t>
      </w:r>
      <w:r w:rsidR="00DA7057" w:rsidRPr="00833C88">
        <w:rPr>
          <w:rFonts w:eastAsia="Times New Roman" w:cs="Times New Roman"/>
          <w:sz w:val="24"/>
          <w:szCs w:val="24"/>
          <w:lang w:eastAsia="pl-PL"/>
        </w:rPr>
        <w:t xml:space="preserve">funkcjonalności usługi nie od razu po wycieku, </w:t>
      </w:r>
      <w:r w:rsidR="00601933" w:rsidRPr="00833C88">
        <w:rPr>
          <w:rFonts w:eastAsia="Times New Roman" w:cs="Times New Roman"/>
          <w:sz w:val="24"/>
          <w:szCs w:val="24"/>
          <w:lang w:eastAsia="pl-PL"/>
        </w:rPr>
        <w:t>a </w:t>
      </w:r>
      <w:r w:rsidR="00DA7057" w:rsidRPr="00833C88">
        <w:rPr>
          <w:rFonts w:eastAsia="Times New Roman" w:cs="Times New Roman"/>
          <w:sz w:val="24"/>
          <w:szCs w:val="24"/>
          <w:lang w:eastAsia="pl-PL"/>
        </w:rPr>
        <w:t xml:space="preserve">dopiero po roku, 2 czy </w:t>
      </w:r>
      <w:r w:rsidR="00E96E57" w:rsidRPr="00833C88">
        <w:rPr>
          <w:rFonts w:eastAsia="Times New Roman" w:cs="Times New Roman"/>
          <w:sz w:val="24"/>
          <w:szCs w:val="24"/>
          <w:lang w:eastAsia="pl-PL"/>
        </w:rPr>
        <w:t>nawet</w:t>
      </w:r>
      <w:r w:rsidR="00C52777" w:rsidRPr="00833C88">
        <w:rPr>
          <w:rFonts w:eastAsia="Times New Roman" w:cs="Times New Roman"/>
          <w:sz w:val="24"/>
          <w:szCs w:val="24"/>
          <w:lang w:eastAsia="pl-PL"/>
        </w:rPr>
        <w:t xml:space="preserve"> </w:t>
      </w:r>
      <w:r w:rsidR="00C14EF1" w:rsidRPr="00833C88">
        <w:rPr>
          <w:rFonts w:eastAsia="Times New Roman" w:cs="Times New Roman"/>
          <w:sz w:val="24"/>
          <w:szCs w:val="24"/>
          <w:lang w:eastAsia="pl-PL"/>
        </w:rPr>
        <w:t>4</w:t>
      </w:r>
      <w:r w:rsidR="00C52777" w:rsidRPr="00833C88">
        <w:rPr>
          <w:rFonts w:eastAsia="Times New Roman" w:cs="Times New Roman"/>
          <w:sz w:val="24"/>
          <w:szCs w:val="24"/>
          <w:lang w:eastAsia="pl-PL"/>
        </w:rPr>
        <w:t xml:space="preserve"> latach.</w:t>
      </w:r>
    </w:p>
    <w:p w14:paraId="35F62A3A" w14:textId="43612A9C" w:rsidR="00481F9F"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481F9F" w:rsidRPr="00833C88">
        <w:rPr>
          <w:rFonts w:eastAsia="Times New Roman" w:cs="Times New Roman"/>
          <w:sz w:val="24"/>
          <w:szCs w:val="24"/>
          <w:lang w:eastAsia="pl-PL"/>
        </w:rPr>
        <w:t xml:space="preserve">związku </w:t>
      </w:r>
      <w:r w:rsidRPr="00833C88">
        <w:rPr>
          <w:rFonts w:eastAsia="Times New Roman" w:cs="Times New Roman"/>
          <w:sz w:val="24"/>
          <w:szCs w:val="24"/>
          <w:lang w:eastAsia="pl-PL"/>
        </w:rPr>
        <w:t>z </w:t>
      </w:r>
      <w:r w:rsidR="00481F9F" w:rsidRPr="00833C88">
        <w:rPr>
          <w:rFonts w:eastAsia="Times New Roman" w:cs="Times New Roman"/>
          <w:sz w:val="24"/>
          <w:szCs w:val="24"/>
          <w:lang w:eastAsia="pl-PL"/>
        </w:rPr>
        <w:t>tym, że zadanie to będzie ustawowym zadaniem CSIRT NASK, finansowane będzie przez ministra właściwego do spraw informatyzacji na zasadzie dotacji podmiotowej.</w:t>
      </w:r>
    </w:p>
    <w:p w14:paraId="15DFA4A0" w14:textId="6DE90E4D" w:rsidR="0010680E" w:rsidRPr="00833C88" w:rsidRDefault="0010680E" w:rsidP="006514D0">
      <w:pPr>
        <w:pStyle w:val="Nagwek3"/>
        <w:spacing w:before="0" w:after="120" w:line="360" w:lineRule="auto"/>
        <w:jc w:val="both"/>
        <w:rPr>
          <w:rFonts w:cs="Times New Roman"/>
          <w:b/>
          <w:bCs/>
          <w:u w:val="none"/>
          <w:lang w:eastAsia="pl-PL"/>
        </w:rPr>
      </w:pPr>
      <w:r w:rsidRPr="00833C88">
        <w:rPr>
          <w:rFonts w:cs="Times New Roman"/>
          <w:b/>
          <w:bCs/>
          <w:u w:val="none"/>
          <w:lang w:eastAsia="pl-PL"/>
        </w:rPr>
        <w:lastRenderedPageBreak/>
        <w:t>Ocena wzajemna</w:t>
      </w:r>
    </w:p>
    <w:p w14:paraId="1D20B345" w14:textId="26CD6219" w:rsidR="00E209C0" w:rsidRPr="00833C88" w:rsidRDefault="008C6D4B"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CISRT MON, </w:t>
      </w:r>
      <w:r w:rsidR="00B061E2" w:rsidRPr="00833C88">
        <w:rPr>
          <w:rFonts w:eastAsia="Times New Roman" w:cs="Times New Roman"/>
          <w:sz w:val="24"/>
          <w:szCs w:val="24"/>
          <w:lang w:eastAsia="pl-PL"/>
        </w:rPr>
        <w:t>CISRT</w:t>
      </w:r>
      <w:r w:rsidRPr="00833C88">
        <w:rPr>
          <w:rFonts w:eastAsia="Times New Roman" w:cs="Times New Roman"/>
          <w:sz w:val="24"/>
          <w:szCs w:val="24"/>
          <w:lang w:eastAsia="pl-PL"/>
        </w:rPr>
        <w:t xml:space="preserve"> NASK, CSIRT GOV, CSIRT sektorowe oraz </w:t>
      </w:r>
      <w:r w:rsidR="00A53140" w:rsidRPr="00833C88">
        <w:rPr>
          <w:rFonts w:eastAsia="Times New Roman" w:cs="Times New Roman"/>
          <w:sz w:val="24"/>
          <w:szCs w:val="24"/>
          <w:lang w:eastAsia="pl-PL"/>
        </w:rPr>
        <w:t xml:space="preserve">organy właściwe do spraw cyberbezpieczeństwa </w:t>
      </w:r>
      <w:r w:rsidR="004E2D60" w:rsidRPr="00833C88">
        <w:rPr>
          <w:rFonts w:eastAsia="Times New Roman" w:cs="Times New Roman"/>
          <w:sz w:val="24"/>
          <w:szCs w:val="24"/>
          <w:lang w:eastAsia="pl-PL"/>
        </w:rPr>
        <w:t xml:space="preserve">będą mogły również uczestniczyć </w:t>
      </w:r>
      <w:r w:rsidR="00601933" w:rsidRPr="00833C88">
        <w:rPr>
          <w:rFonts w:eastAsia="Times New Roman" w:cs="Times New Roman"/>
          <w:sz w:val="24"/>
          <w:szCs w:val="24"/>
          <w:lang w:eastAsia="pl-PL"/>
        </w:rPr>
        <w:t>w </w:t>
      </w:r>
      <w:r w:rsidR="004E2D60" w:rsidRPr="00833C88">
        <w:rPr>
          <w:rFonts w:eastAsia="Times New Roman" w:cs="Times New Roman"/>
          <w:sz w:val="24"/>
          <w:szCs w:val="24"/>
          <w:lang w:eastAsia="pl-PL"/>
        </w:rPr>
        <w:t xml:space="preserve">ocenie wzajemnej organów </w:t>
      </w:r>
      <w:r w:rsidR="00601933" w:rsidRPr="00833C88">
        <w:rPr>
          <w:rFonts w:eastAsia="Times New Roman" w:cs="Times New Roman"/>
          <w:sz w:val="24"/>
          <w:szCs w:val="24"/>
          <w:lang w:eastAsia="pl-PL"/>
        </w:rPr>
        <w:t>z </w:t>
      </w:r>
      <w:r w:rsidR="004E2D60" w:rsidRPr="00833C88">
        <w:rPr>
          <w:rFonts w:eastAsia="Times New Roman" w:cs="Times New Roman"/>
          <w:sz w:val="24"/>
          <w:szCs w:val="24"/>
          <w:lang w:eastAsia="pl-PL"/>
        </w:rPr>
        <w:t>państw członkowskich U</w:t>
      </w:r>
      <w:r w:rsidR="00E53172" w:rsidRPr="00833C88">
        <w:rPr>
          <w:rFonts w:eastAsia="Times New Roman" w:cs="Times New Roman"/>
          <w:sz w:val="24"/>
          <w:szCs w:val="24"/>
          <w:lang w:eastAsia="pl-PL"/>
        </w:rPr>
        <w:t>nii Europejskiej</w:t>
      </w:r>
      <w:r w:rsidR="004E2D60" w:rsidRPr="00833C88">
        <w:rPr>
          <w:rFonts w:eastAsia="Times New Roman" w:cs="Times New Roman"/>
          <w:sz w:val="24"/>
          <w:szCs w:val="24"/>
          <w:lang w:eastAsia="pl-PL"/>
        </w:rPr>
        <w:t>. Jest to pro</w:t>
      </w:r>
      <w:r w:rsidR="00136432" w:rsidRPr="00833C88">
        <w:rPr>
          <w:rFonts w:eastAsia="Times New Roman" w:cs="Times New Roman"/>
          <w:sz w:val="24"/>
          <w:szCs w:val="24"/>
          <w:lang w:eastAsia="pl-PL"/>
        </w:rPr>
        <w:t>ces</w:t>
      </w:r>
      <w:r w:rsidR="008A7EDE" w:rsidRPr="00833C88">
        <w:rPr>
          <w:rFonts w:eastAsia="Times New Roman" w:cs="Times New Roman"/>
          <w:sz w:val="24"/>
          <w:szCs w:val="24"/>
          <w:lang w:eastAsia="pl-PL"/>
        </w:rPr>
        <w:t>,</w:t>
      </w:r>
      <w:r w:rsidR="0013643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136432" w:rsidRPr="00833C88">
        <w:rPr>
          <w:rFonts w:eastAsia="Times New Roman" w:cs="Times New Roman"/>
          <w:sz w:val="24"/>
          <w:szCs w:val="24"/>
          <w:lang w:eastAsia="pl-PL"/>
        </w:rPr>
        <w:t xml:space="preserve">ramach którego </w:t>
      </w:r>
      <w:r w:rsidR="00A068A5" w:rsidRPr="00833C88">
        <w:rPr>
          <w:rFonts w:eastAsia="Times New Roman" w:cs="Times New Roman"/>
          <w:sz w:val="24"/>
          <w:szCs w:val="24"/>
          <w:lang w:eastAsia="pl-PL"/>
        </w:rPr>
        <w:t xml:space="preserve">podmioty </w:t>
      </w:r>
      <w:r w:rsidR="00601933" w:rsidRPr="00833C88">
        <w:rPr>
          <w:rFonts w:eastAsia="Times New Roman" w:cs="Times New Roman"/>
          <w:sz w:val="24"/>
          <w:szCs w:val="24"/>
          <w:lang w:eastAsia="pl-PL"/>
        </w:rPr>
        <w:t>z </w:t>
      </w:r>
      <w:r w:rsidR="00A068A5" w:rsidRPr="00833C88">
        <w:rPr>
          <w:rFonts w:eastAsia="Times New Roman" w:cs="Times New Roman"/>
          <w:sz w:val="24"/>
          <w:szCs w:val="24"/>
          <w:lang w:eastAsia="pl-PL"/>
        </w:rPr>
        <w:t xml:space="preserve">poszczególnych </w:t>
      </w:r>
      <w:r w:rsidR="00E53172" w:rsidRPr="00833C88">
        <w:rPr>
          <w:rFonts w:eastAsia="Times New Roman" w:cs="Times New Roman"/>
          <w:sz w:val="24"/>
          <w:szCs w:val="24"/>
          <w:lang w:eastAsia="pl-PL"/>
        </w:rPr>
        <w:t>państw człon</w:t>
      </w:r>
      <w:r w:rsidR="00256ED5" w:rsidRPr="00833C88">
        <w:rPr>
          <w:rFonts w:eastAsia="Times New Roman" w:cs="Times New Roman"/>
          <w:sz w:val="24"/>
          <w:szCs w:val="24"/>
          <w:lang w:eastAsia="pl-PL"/>
        </w:rPr>
        <w:t>kowskich</w:t>
      </w:r>
      <w:r w:rsidR="00A068A5" w:rsidRPr="00833C88">
        <w:rPr>
          <w:rFonts w:eastAsia="Times New Roman" w:cs="Times New Roman"/>
          <w:sz w:val="24"/>
          <w:szCs w:val="24"/>
          <w:lang w:eastAsia="pl-PL"/>
        </w:rPr>
        <w:t xml:space="preserve"> Unii Europejskiej </w:t>
      </w:r>
      <w:r w:rsidR="00A3632D" w:rsidRPr="00833C88">
        <w:rPr>
          <w:rFonts w:eastAsia="Times New Roman" w:cs="Times New Roman"/>
          <w:sz w:val="24"/>
          <w:szCs w:val="24"/>
          <w:lang w:eastAsia="pl-PL"/>
        </w:rPr>
        <w:t xml:space="preserve">badają nawzajem </w:t>
      </w:r>
      <w:r w:rsidR="00EF48CD" w:rsidRPr="00833C88">
        <w:rPr>
          <w:rFonts w:eastAsia="Times New Roman" w:cs="Times New Roman"/>
          <w:sz w:val="24"/>
          <w:szCs w:val="24"/>
          <w:lang w:eastAsia="pl-PL"/>
        </w:rPr>
        <w:t xml:space="preserve">funkcjonowanie swoich zespołów CSIRT oraz </w:t>
      </w:r>
      <w:r w:rsidR="0019109F" w:rsidRPr="00833C88">
        <w:rPr>
          <w:rFonts w:eastAsia="Times New Roman" w:cs="Times New Roman"/>
          <w:sz w:val="24"/>
          <w:szCs w:val="24"/>
          <w:lang w:eastAsia="pl-PL"/>
        </w:rPr>
        <w:t xml:space="preserve">procedur postępowania </w:t>
      </w:r>
      <w:r w:rsidR="00601933" w:rsidRPr="00833C88">
        <w:rPr>
          <w:rFonts w:eastAsia="Times New Roman" w:cs="Times New Roman"/>
          <w:sz w:val="24"/>
          <w:szCs w:val="24"/>
          <w:lang w:eastAsia="pl-PL"/>
        </w:rPr>
        <w:t>w </w:t>
      </w:r>
      <w:r w:rsidR="0019109F" w:rsidRPr="00833C88">
        <w:rPr>
          <w:rFonts w:eastAsia="Times New Roman" w:cs="Times New Roman"/>
          <w:sz w:val="24"/>
          <w:szCs w:val="24"/>
          <w:lang w:eastAsia="pl-PL"/>
        </w:rPr>
        <w:t xml:space="preserve">przypadku wystąpienia incydentu. </w:t>
      </w:r>
      <w:r w:rsidR="001E1E4C" w:rsidRPr="00833C88">
        <w:rPr>
          <w:rFonts w:eastAsia="Times New Roman" w:cs="Times New Roman"/>
          <w:sz w:val="24"/>
          <w:szCs w:val="24"/>
          <w:lang w:eastAsia="pl-PL"/>
        </w:rPr>
        <w:t xml:space="preserve">Metodyka przeprowadzania tych ocen zostanie ustalona </w:t>
      </w:r>
      <w:r w:rsidR="00FF7FF3" w:rsidRPr="00833C88">
        <w:rPr>
          <w:rFonts w:eastAsia="Times New Roman" w:cs="Times New Roman"/>
          <w:sz w:val="24"/>
          <w:szCs w:val="24"/>
          <w:lang w:eastAsia="pl-PL"/>
        </w:rPr>
        <w:t>przez państwa członkowskie</w:t>
      </w:r>
      <w:r w:rsidR="00256ED5" w:rsidRPr="00833C88">
        <w:rPr>
          <w:rFonts w:eastAsia="Times New Roman" w:cs="Times New Roman"/>
          <w:sz w:val="24"/>
          <w:szCs w:val="24"/>
          <w:lang w:eastAsia="pl-PL"/>
        </w:rPr>
        <w:t xml:space="preserve"> Unii Europejskiej</w:t>
      </w:r>
      <w:r w:rsidR="00FF7FF3" w:rsidRPr="00833C88">
        <w:rPr>
          <w:rFonts w:eastAsia="Times New Roman" w:cs="Times New Roman"/>
          <w:sz w:val="24"/>
          <w:szCs w:val="24"/>
          <w:lang w:eastAsia="pl-PL"/>
        </w:rPr>
        <w:t xml:space="preserve"> przy współudziale Komisji Europejskiej oraz ENISA. </w:t>
      </w:r>
      <w:r w:rsidR="00830CE2" w:rsidRPr="00833C88">
        <w:rPr>
          <w:rFonts w:eastAsia="Times New Roman" w:cs="Times New Roman"/>
          <w:sz w:val="24"/>
          <w:szCs w:val="24"/>
          <w:lang w:eastAsia="pl-PL"/>
        </w:rPr>
        <w:t xml:space="preserve">Udział </w:t>
      </w:r>
      <w:r w:rsidR="00601933" w:rsidRPr="00833C88">
        <w:rPr>
          <w:rFonts w:eastAsia="Times New Roman" w:cs="Times New Roman"/>
          <w:sz w:val="24"/>
          <w:szCs w:val="24"/>
          <w:lang w:eastAsia="pl-PL"/>
        </w:rPr>
        <w:t>w </w:t>
      </w:r>
      <w:r w:rsidR="00830CE2" w:rsidRPr="00833C88">
        <w:rPr>
          <w:rFonts w:eastAsia="Times New Roman" w:cs="Times New Roman"/>
          <w:sz w:val="24"/>
          <w:szCs w:val="24"/>
          <w:lang w:eastAsia="pl-PL"/>
        </w:rPr>
        <w:t xml:space="preserve">ocenie wzajemnej jest dobrowolny </w:t>
      </w:r>
      <w:r w:rsidR="00601933" w:rsidRPr="00833C88">
        <w:rPr>
          <w:rFonts w:eastAsia="Times New Roman" w:cs="Times New Roman"/>
          <w:sz w:val="24"/>
          <w:szCs w:val="24"/>
          <w:lang w:eastAsia="pl-PL"/>
        </w:rPr>
        <w:t>i </w:t>
      </w:r>
      <w:r w:rsidR="00830CE2" w:rsidRPr="00833C88">
        <w:rPr>
          <w:rFonts w:eastAsia="Times New Roman" w:cs="Times New Roman"/>
          <w:sz w:val="24"/>
          <w:szCs w:val="24"/>
          <w:lang w:eastAsia="pl-PL"/>
        </w:rPr>
        <w:t xml:space="preserve">każdy </w:t>
      </w:r>
      <w:r w:rsidR="00601933" w:rsidRPr="00833C88">
        <w:rPr>
          <w:rFonts w:eastAsia="Times New Roman" w:cs="Times New Roman"/>
          <w:sz w:val="24"/>
          <w:szCs w:val="24"/>
          <w:lang w:eastAsia="pl-PL"/>
        </w:rPr>
        <w:t>z </w:t>
      </w:r>
      <w:r w:rsidR="00830CE2" w:rsidRPr="00833C88">
        <w:rPr>
          <w:rFonts w:eastAsia="Times New Roman" w:cs="Times New Roman"/>
          <w:sz w:val="24"/>
          <w:szCs w:val="24"/>
          <w:lang w:eastAsia="pl-PL"/>
        </w:rPr>
        <w:t>podmiotów mogących wziąć w</w:t>
      </w:r>
      <w:r w:rsidR="00B0128D" w:rsidRPr="00833C88">
        <w:rPr>
          <w:rFonts w:cs="Times New Roman"/>
        </w:rPr>
        <w:t> </w:t>
      </w:r>
      <w:r w:rsidR="00830CE2" w:rsidRPr="00833C88">
        <w:rPr>
          <w:rFonts w:eastAsia="Times New Roman" w:cs="Times New Roman"/>
          <w:sz w:val="24"/>
          <w:szCs w:val="24"/>
          <w:lang w:eastAsia="pl-PL"/>
        </w:rPr>
        <w:t xml:space="preserve">nim udział będzie </w:t>
      </w:r>
      <w:r w:rsidR="00EB2298" w:rsidRPr="00833C88">
        <w:rPr>
          <w:rFonts w:eastAsia="Times New Roman" w:cs="Times New Roman"/>
          <w:sz w:val="24"/>
          <w:szCs w:val="24"/>
          <w:lang w:eastAsia="pl-PL"/>
        </w:rPr>
        <w:t xml:space="preserve">mógł </w:t>
      </w:r>
      <w:proofErr w:type="gramStart"/>
      <w:r w:rsidR="00EB2298" w:rsidRPr="00833C88">
        <w:rPr>
          <w:rFonts w:eastAsia="Times New Roman" w:cs="Times New Roman"/>
          <w:sz w:val="24"/>
          <w:szCs w:val="24"/>
          <w:lang w:eastAsia="pl-PL"/>
        </w:rPr>
        <w:t>zadecydować</w:t>
      </w:r>
      <w:proofErr w:type="gramEnd"/>
      <w:r w:rsidR="00EB2298" w:rsidRPr="00833C88">
        <w:rPr>
          <w:rFonts w:eastAsia="Times New Roman" w:cs="Times New Roman"/>
          <w:sz w:val="24"/>
          <w:szCs w:val="24"/>
          <w:lang w:eastAsia="pl-PL"/>
        </w:rPr>
        <w:t xml:space="preserve"> czy chce brać </w:t>
      </w:r>
      <w:r w:rsidR="00601933" w:rsidRPr="00833C88">
        <w:rPr>
          <w:rFonts w:eastAsia="Times New Roman" w:cs="Times New Roman"/>
          <w:sz w:val="24"/>
          <w:szCs w:val="24"/>
          <w:lang w:eastAsia="pl-PL"/>
        </w:rPr>
        <w:t>w </w:t>
      </w:r>
      <w:r w:rsidR="00EB2298" w:rsidRPr="00833C88">
        <w:rPr>
          <w:rFonts w:eastAsia="Times New Roman" w:cs="Times New Roman"/>
          <w:sz w:val="24"/>
          <w:szCs w:val="24"/>
          <w:lang w:eastAsia="pl-PL"/>
        </w:rPr>
        <w:t>nim udział.</w:t>
      </w:r>
    </w:p>
    <w:p w14:paraId="08DE4ECE" w14:textId="6FB6D71F" w:rsidR="00AB55C9" w:rsidRPr="00833C88" w:rsidRDefault="00AB55C9"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Aby umożliwić</w:t>
      </w:r>
      <w:r w:rsidR="00296419" w:rsidRPr="00833C88">
        <w:rPr>
          <w:rFonts w:eastAsia="Times New Roman" w:cs="Times New Roman"/>
          <w:sz w:val="24"/>
          <w:szCs w:val="24"/>
          <w:lang w:eastAsia="pl-PL"/>
        </w:rPr>
        <w:t xml:space="preserve"> realizację tych procesów niezbędne jest również </w:t>
      </w:r>
      <w:r w:rsidR="00003447" w:rsidRPr="00833C88">
        <w:rPr>
          <w:rFonts w:eastAsia="Times New Roman" w:cs="Times New Roman"/>
          <w:sz w:val="24"/>
          <w:szCs w:val="24"/>
          <w:lang w:eastAsia="pl-PL"/>
        </w:rPr>
        <w:t xml:space="preserve">stworzenie podstawy prawnej do przekazywania informacji ekspertom biorącym udział </w:t>
      </w:r>
      <w:r w:rsidR="00601933" w:rsidRPr="00833C88">
        <w:rPr>
          <w:rFonts w:eastAsia="Times New Roman" w:cs="Times New Roman"/>
          <w:sz w:val="24"/>
          <w:szCs w:val="24"/>
          <w:lang w:eastAsia="pl-PL"/>
        </w:rPr>
        <w:t>w </w:t>
      </w:r>
      <w:r w:rsidR="00003447" w:rsidRPr="00833C88">
        <w:rPr>
          <w:rFonts w:eastAsia="Times New Roman" w:cs="Times New Roman"/>
          <w:sz w:val="24"/>
          <w:szCs w:val="24"/>
          <w:lang w:eastAsia="pl-PL"/>
        </w:rPr>
        <w:t xml:space="preserve">tym procesie, tak aby mogli </w:t>
      </w:r>
      <w:r w:rsidR="00282764" w:rsidRPr="00833C88">
        <w:rPr>
          <w:rFonts w:eastAsia="Times New Roman" w:cs="Times New Roman"/>
          <w:sz w:val="24"/>
          <w:szCs w:val="24"/>
          <w:lang w:eastAsia="pl-PL"/>
        </w:rPr>
        <w:t xml:space="preserve">zapoznać się ze </w:t>
      </w:r>
      <w:r w:rsidR="00830CE2" w:rsidRPr="00833C88">
        <w:rPr>
          <w:rFonts w:eastAsia="Times New Roman" w:cs="Times New Roman"/>
          <w:sz w:val="24"/>
          <w:szCs w:val="24"/>
          <w:lang w:eastAsia="pl-PL"/>
        </w:rPr>
        <w:t>szczegółami spraw jakimi zajmowały się zespoły CSIRT.</w:t>
      </w:r>
    </w:p>
    <w:p w14:paraId="46A875BC" w14:textId="42677250" w:rsidR="000F0CDF" w:rsidRPr="00833C88" w:rsidRDefault="00421454" w:rsidP="00AF10F4">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Udział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procesie pozwoli krajowym ekspertom zapoznać się </w:t>
      </w:r>
      <w:r w:rsidR="00601933" w:rsidRPr="00833C88">
        <w:rPr>
          <w:rFonts w:eastAsia="Times New Roman" w:cs="Times New Roman"/>
          <w:sz w:val="24"/>
          <w:szCs w:val="24"/>
          <w:lang w:eastAsia="pl-PL"/>
        </w:rPr>
        <w:t>z </w:t>
      </w:r>
      <w:r w:rsidR="00512BC5" w:rsidRPr="00833C88">
        <w:rPr>
          <w:rFonts w:eastAsia="Times New Roman" w:cs="Times New Roman"/>
          <w:sz w:val="24"/>
          <w:szCs w:val="24"/>
          <w:lang w:eastAsia="pl-PL"/>
        </w:rPr>
        <w:t xml:space="preserve">metodami postępowania wypracowanymi </w:t>
      </w:r>
      <w:r w:rsidR="00601933" w:rsidRPr="00833C88">
        <w:rPr>
          <w:rFonts w:eastAsia="Times New Roman" w:cs="Times New Roman"/>
          <w:sz w:val="24"/>
          <w:szCs w:val="24"/>
          <w:lang w:eastAsia="pl-PL"/>
        </w:rPr>
        <w:t>w </w:t>
      </w:r>
      <w:r w:rsidR="00512BC5" w:rsidRPr="00833C88">
        <w:rPr>
          <w:rFonts w:eastAsia="Times New Roman" w:cs="Times New Roman"/>
          <w:sz w:val="24"/>
          <w:szCs w:val="24"/>
          <w:lang w:eastAsia="pl-PL"/>
        </w:rPr>
        <w:t>innych krajach</w:t>
      </w:r>
      <w:r w:rsidR="00556462" w:rsidRPr="00833C88">
        <w:rPr>
          <w:rFonts w:eastAsia="Times New Roman" w:cs="Times New Roman"/>
          <w:sz w:val="24"/>
          <w:szCs w:val="24"/>
          <w:lang w:eastAsia="pl-PL"/>
        </w:rPr>
        <w:t>,</w:t>
      </w:r>
      <w:r w:rsidR="00512BC5"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00512BC5" w:rsidRPr="00833C88">
        <w:rPr>
          <w:rFonts w:eastAsia="Times New Roman" w:cs="Times New Roman"/>
          <w:sz w:val="24"/>
          <w:szCs w:val="24"/>
          <w:lang w:eastAsia="pl-PL"/>
        </w:rPr>
        <w:t>następnie</w:t>
      </w:r>
      <w:r w:rsidR="0045069D" w:rsidRPr="00833C88">
        <w:rPr>
          <w:rFonts w:eastAsia="Times New Roman" w:cs="Times New Roman"/>
          <w:sz w:val="24"/>
          <w:szCs w:val="24"/>
          <w:lang w:eastAsia="pl-PL"/>
        </w:rPr>
        <w:t xml:space="preserve"> wykorzystać je </w:t>
      </w:r>
      <w:r w:rsidR="00601933" w:rsidRPr="00833C88">
        <w:rPr>
          <w:rFonts w:eastAsia="Times New Roman" w:cs="Times New Roman"/>
          <w:sz w:val="24"/>
          <w:szCs w:val="24"/>
          <w:lang w:eastAsia="pl-PL"/>
        </w:rPr>
        <w:t>w </w:t>
      </w:r>
      <w:r w:rsidR="00622DAE" w:rsidRPr="00833C88">
        <w:rPr>
          <w:rFonts w:eastAsia="Times New Roman" w:cs="Times New Roman"/>
          <w:sz w:val="24"/>
          <w:szCs w:val="24"/>
          <w:lang w:eastAsia="pl-PL"/>
        </w:rPr>
        <w:t>ramach swojej pracy. Udział w</w:t>
      </w:r>
      <w:r w:rsidR="00B0128D" w:rsidRPr="00833C88">
        <w:rPr>
          <w:rFonts w:eastAsia="Times New Roman" w:cs="Times New Roman"/>
          <w:sz w:val="24"/>
          <w:szCs w:val="24"/>
          <w:lang w:eastAsia="pl-PL"/>
        </w:rPr>
        <w:t> </w:t>
      </w:r>
      <w:r w:rsidR="00622DAE" w:rsidRPr="00833C88">
        <w:rPr>
          <w:rFonts w:eastAsia="Times New Roman" w:cs="Times New Roman"/>
          <w:sz w:val="24"/>
          <w:szCs w:val="24"/>
          <w:lang w:eastAsia="pl-PL"/>
        </w:rPr>
        <w:t xml:space="preserve">ocenie wzajemnej pozwoli również </w:t>
      </w:r>
      <w:r w:rsidR="00434CC5" w:rsidRPr="00833C88">
        <w:rPr>
          <w:rFonts w:eastAsia="Times New Roman" w:cs="Times New Roman"/>
          <w:sz w:val="24"/>
          <w:szCs w:val="24"/>
          <w:lang w:eastAsia="pl-PL"/>
        </w:rPr>
        <w:t xml:space="preserve">wykorzystać wiedzę ekspertów </w:t>
      </w:r>
      <w:r w:rsidR="00601933" w:rsidRPr="00833C88">
        <w:rPr>
          <w:rFonts w:eastAsia="Times New Roman" w:cs="Times New Roman"/>
          <w:sz w:val="24"/>
          <w:szCs w:val="24"/>
          <w:lang w:eastAsia="pl-PL"/>
        </w:rPr>
        <w:t>z </w:t>
      </w:r>
      <w:r w:rsidR="00434CC5" w:rsidRPr="00833C88">
        <w:rPr>
          <w:rFonts w:eastAsia="Times New Roman" w:cs="Times New Roman"/>
          <w:sz w:val="24"/>
          <w:szCs w:val="24"/>
          <w:lang w:eastAsia="pl-PL"/>
        </w:rPr>
        <w:t>innych krajów do</w:t>
      </w:r>
      <w:r w:rsidR="009B4C26" w:rsidRPr="00833C88">
        <w:rPr>
          <w:rFonts w:eastAsia="Times New Roman" w:cs="Times New Roman"/>
          <w:sz w:val="24"/>
          <w:szCs w:val="24"/>
          <w:lang w:eastAsia="pl-PL"/>
        </w:rPr>
        <w:t> </w:t>
      </w:r>
      <w:r w:rsidR="00434CC5" w:rsidRPr="00833C88">
        <w:rPr>
          <w:rFonts w:eastAsia="Times New Roman" w:cs="Times New Roman"/>
          <w:sz w:val="24"/>
          <w:szCs w:val="24"/>
          <w:lang w:eastAsia="pl-PL"/>
        </w:rPr>
        <w:t xml:space="preserve">usprawnienia funkcjonowania </w:t>
      </w:r>
      <w:r w:rsidR="004A1BD6" w:rsidRPr="00833C88">
        <w:rPr>
          <w:rFonts w:eastAsia="Times New Roman" w:cs="Times New Roman"/>
          <w:sz w:val="24"/>
          <w:szCs w:val="24"/>
          <w:lang w:eastAsia="pl-PL"/>
        </w:rPr>
        <w:t>krajowych in</w:t>
      </w:r>
      <w:r w:rsidR="006768EA" w:rsidRPr="00833C88">
        <w:rPr>
          <w:rFonts w:eastAsia="Times New Roman" w:cs="Times New Roman"/>
          <w:sz w:val="24"/>
          <w:szCs w:val="24"/>
          <w:lang w:eastAsia="pl-PL"/>
        </w:rPr>
        <w:t>stytucji zajmujących się</w:t>
      </w:r>
      <w:r w:rsidR="00AF10F4" w:rsidRPr="00833C88">
        <w:rPr>
          <w:rFonts w:eastAsia="Times New Roman" w:cs="Times New Roman"/>
          <w:sz w:val="24"/>
          <w:szCs w:val="24"/>
          <w:lang w:eastAsia="pl-PL"/>
        </w:rPr>
        <w:t xml:space="preserve"> </w:t>
      </w:r>
      <w:r w:rsidR="006768EA" w:rsidRPr="00833C88">
        <w:rPr>
          <w:rFonts w:eastAsia="Times New Roman" w:cs="Times New Roman"/>
          <w:sz w:val="24"/>
          <w:szCs w:val="24"/>
          <w:lang w:eastAsia="pl-PL"/>
        </w:rPr>
        <w:t>cyberbezpieczeństwem.</w:t>
      </w:r>
    </w:p>
    <w:p w14:paraId="241B3A72" w14:textId="340072AD" w:rsidR="000F0CDF" w:rsidRPr="00833C88" w:rsidRDefault="00D778CC" w:rsidP="006514D0">
      <w:pPr>
        <w:pStyle w:val="Nagwek2"/>
        <w:spacing w:before="0" w:after="120" w:line="360" w:lineRule="auto"/>
        <w:jc w:val="both"/>
        <w:rPr>
          <w:rFonts w:cs="Times New Roman"/>
          <w:b/>
          <w:bCs/>
          <w:lang w:eastAsia="pl-PL"/>
        </w:rPr>
      </w:pPr>
      <w:r w:rsidRPr="00833C88">
        <w:rPr>
          <w:rFonts w:cs="Times New Roman"/>
          <w:b/>
          <w:bCs/>
          <w:lang w:eastAsia="pl-PL"/>
        </w:rPr>
        <w:t xml:space="preserve">Zmiany </w:t>
      </w:r>
      <w:r w:rsidR="00601933" w:rsidRPr="00833C88">
        <w:rPr>
          <w:rFonts w:cs="Times New Roman"/>
          <w:b/>
          <w:bCs/>
          <w:lang w:eastAsia="pl-PL"/>
        </w:rPr>
        <w:t>w </w:t>
      </w:r>
      <w:r w:rsidRPr="00833C88">
        <w:rPr>
          <w:rFonts w:cs="Times New Roman"/>
          <w:b/>
          <w:bCs/>
          <w:lang w:eastAsia="pl-PL"/>
        </w:rPr>
        <w:t>obszarze organów właściwych do spraw cyberbezpieczeństwa</w:t>
      </w:r>
    </w:p>
    <w:p w14:paraId="5BDA6A63" w14:textId="0CE618B6" w:rsidR="002B48E3" w:rsidRPr="00833C88" w:rsidRDefault="00601933" w:rsidP="001F5CC4">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2B48E3" w:rsidRPr="00833C88">
        <w:rPr>
          <w:rFonts w:eastAsia="Times New Roman" w:cs="Times New Roman"/>
          <w:sz w:val="24"/>
          <w:szCs w:val="24"/>
          <w:lang w:eastAsia="pl-PL"/>
        </w:rPr>
        <w:t xml:space="preserve">przepisach </w:t>
      </w:r>
      <w:r w:rsidRPr="00833C88">
        <w:rPr>
          <w:rFonts w:eastAsia="Times New Roman" w:cs="Times New Roman"/>
          <w:sz w:val="24"/>
          <w:szCs w:val="24"/>
          <w:lang w:eastAsia="pl-PL"/>
        </w:rPr>
        <w:t>o </w:t>
      </w:r>
      <w:r w:rsidR="002B48E3" w:rsidRPr="00833C88">
        <w:rPr>
          <w:rFonts w:eastAsia="Times New Roman" w:cs="Times New Roman"/>
          <w:sz w:val="24"/>
          <w:szCs w:val="24"/>
          <w:lang w:eastAsia="pl-PL"/>
        </w:rPr>
        <w:t>właściwości organów właściwych do spraw cyberbezpieczeństwa pozostawiono właściwość dotychczasowy</w:t>
      </w:r>
      <w:r w:rsidR="00645912" w:rsidRPr="00833C88">
        <w:rPr>
          <w:rFonts w:eastAsia="Times New Roman" w:cs="Times New Roman"/>
          <w:sz w:val="24"/>
          <w:szCs w:val="24"/>
          <w:lang w:eastAsia="pl-PL"/>
        </w:rPr>
        <w:t>ch</w:t>
      </w:r>
      <w:r w:rsidR="002B48E3" w:rsidRPr="00833C88">
        <w:rPr>
          <w:rFonts w:eastAsia="Times New Roman" w:cs="Times New Roman"/>
          <w:sz w:val="24"/>
          <w:szCs w:val="24"/>
          <w:lang w:eastAsia="pl-PL"/>
        </w:rPr>
        <w:t xml:space="preserve"> organów właściwych do spraw cyberbezpieczeństwa. Uzupełniono ją </w:t>
      </w:r>
      <w:r w:rsidRPr="00833C88">
        <w:rPr>
          <w:rFonts w:eastAsia="Times New Roman" w:cs="Times New Roman"/>
          <w:sz w:val="24"/>
          <w:szCs w:val="24"/>
          <w:lang w:eastAsia="pl-PL"/>
        </w:rPr>
        <w:t>w </w:t>
      </w:r>
      <w:r w:rsidR="002B48E3" w:rsidRPr="00833C88">
        <w:rPr>
          <w:rFonts w:eastAsia="Times New Roman" w:cs="Times New Roman"/>
          <w:sz w:val="24"/>
          <w:szCs w:val="24"/>
          <w:lang w:eastAsia="pl-PL"/>
        </w:rPr>
        <w:t>przypadku nowych sektorów</w:t>
      </w:r>
      <w:r w:rsidR="0003743F" w:rsidRPr="00833C88">
        <w:rPr>
          <w:rFonts w:eastAsia="Times New Roman" w:cs="Times New Roman"/>
          <w:sz w:val="24"/>
          <w:szCs w:val="24"/>
          <w:lang w:eastAsia="pl-PL"/>
        </w:rPr>
        <w:t>.</w:t>
      </w:r>
      <w:r w:rsidR="00436D17" w:rsidRPr="00833C88">
        <w:rPr>
          <w:rFonts w:eastAsia="Times New Roman" w:cs="Times New Roman"/>
          <w:sz w:val="24"/>
          <w:szCs w:val="24"/>
          <w:lang w:eastAsia="pl-PL"/>
        </w:rPr>
        <w:t xml:space="preserve"> </w:t>
      </w:r>
    </w:p>
    <w:p w14:paraId="4B13B86D" w14:textId="74A1BD28" w:rsidR="009C3B44" w:rsidRPr="00833C88" w:rsidRDefault="009C3B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Nowe organy właściwe do spraw cyberbezpieczeństwa dla sektor</w:t>
      </w:r>
      <w:r w:rsidR="0003743F" w:rsidRPr="00833C88">
        <w:rPr>
          <w:rFonts w:eastAsia="Times New Roman" w:cs="Times New Roman"/>
          <w:sz w:val="24"/>
          <w:szCs w:val="24"/>
          <w:lang w:eastAsia="pl-PL"/>
        </w:rPr>
        <w:t>ów</w:t>
      </w:r>
      <w:r w:rsidRPr="00833C88">
        <w:rPr>
          <w:rFonts w:eastAsia="Times New Roman" w:cs="Times New Roman"/>
          <w:sz w:val="24"/>
          <w:szCs w:val="24"/>
          <w:lang w:eastAsia="pl-PL"/>
        </w:rPr>
        <w:t xml:space="preserve"> kluczowych:</w:t>
      </w:r>
    </w:p>
    <w:p w14:paraId="60EB5DC4" w14:textId="57979204"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podsektora komunikacji elektronicznej – Prezes Urzędu Komunikacji Elektronicznej</w:t>
      </w:r>
      <w:r w:rsidR="00EF4FA3"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EF4FA3" w:rsidRPr="00833C88">
        <w:rPr>
          <w:rFonts w:eastAsia="Times New Roman" w:cs="Times New Roman"/>
          <w:sz w:val="24"/>
          <w:szCs w:val="24"/>
          <w:lang w:eastAsia="pl-PL"/>
        </w:rPr>
        <w:t>ustaw</w:t>
      </w:r>
      <w:r w:rsidR="00637774" w:rsidRPr="00833C88">
        <w:rPr>
          <w:rFonts w:eastAsia="Times New Roman" w:cs="Times New Roman"/>
          <w:sz w:val="24"/>
          <w:szCs w:val="24"/>
          <w:lang w:eastAsia="pl-PL"/>
        </w:rPr>
        <w:t>ą</w:t>
      </w:r>
      <w:r w:rsidR="00EF4FA3"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EF4FA3" w:rsidRPr="00833C88">
        <w:rPr>
          <w:rFonts w:eastAsia="Times New Roman" w:cs="Times New Roman"/>
          <w:sz w:val="24"/>
          <w:szCs w:val="24"/>
          <w:lang w:eastAsia="pl-PL"/>
        </w:rPr>
        <w:t>dnia 12 lipca 2024 r. – Prawo komunikacji elektronicznej</w:t>
      </w:r>
      <w:r w:rsidR="00637774" w:rsidRPr="00833C88">
        <w:rPr>
          <w:rFonts w:eastAsia="Times New Roman" w:cs="Times New Roman"/>
          <w:sz w:val="24"/>
          <w:szCs w:val="24"/>
          <w:lang w:eastAsia="pl-PL"/>
        </w:rPr>
        <w:t xml:space="preserve"> Prezes U</w:t>
      </w:r>
      <w:r w:rsidR="0065131D" w:rsidRPr="00833C88">
        <w:rPr>
          <w:rFonts w:eastAsia="Times New Roman" w:cs="Times New Roman"/>
          <w:sz w:val="24"/>
          <w:szCs w:val="24"/>
          <w:lang w:eastAsia="pl-PL"/>
        </w:rPr>
        <w:t>rzędu Komunikacji Elektronicznej</w:t>
      </w:r>
      <w:r w:rsidR="00637774" w:rsidRPr="00833C88">
        <w:rPr>
          <w:rFonts w:eastAsia="Times New Roman" w:cs="Times New Roman"/>
          <w:sz w:val="24"/>
          <w:szCs w:val="24"/>
          <w:lang w:eastAsia="pl-PL"/>
        </w:rPr>
        <w:t xml:space="preserve"> nadzoruje przedsiębiorców komunikacji elektronicznej, więc rozsądne </w:t>
      </w:r>
      <w:proofErr w:type="gramStart"/>
      <w:r w:rsidR="00637774" w:rsidRPr="00833C88">
        <w:rPr>
          <w:rFonts w:eastAsia="Times New Roman" w:cs="Times New Roman"/>
          <w:sz w:val="24"/>
          <w:szCs w:val="24"/>
          <w:lang w:eastAsia="pl-PL"/>
        </w:rPr>
        <w:t>jest</w:t>
      </w:r>
      <w:proofErr w:type="gramEnd"/>
      <w:r w:rsidR="00637774" w:rsidRPr="00833C88">
        <w:rPr>
          <w:rFonts w:eastAsia="Times New Roman" w:cs="Times New Roman"/>
          <w:sz w:val="24"/>
          <w:szCs w:val="24"/>
          <w:lang w:eastAsia="pl-PL"/>
        </w:rPr>
        <w:t xml:space="preserve"> aby nadzorował ich także pod kątem cyberbezpieczeństwa świadczonych usług komunikacji elektronicznej</w:t>
      </w:r>
      <w:r w:rsidRPr="00833C88">
        <w:rPr>
          <w:rFonts w:eastAsia="Times New Roman" w:cs="Times New Roman"/>
          <w:sz w:val="24"/>
          <w:szCs w:val="24"/>
          <w:lang w:eastAsia="pl-PL"/>
        </w:rPr>
        <w:t>;</w:t>
      </w:r>
    </w:p>
    <w:p w14:paraId="1E44150A" w14:textId="38E2B3DC"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ścieków – minister właściwy do spraw gospodarki wodnej</w:t>
      </w:r>
      <w:r w:rsidR="0025785E"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436D17" w:rsidRPr="00833C88">
        <w:rPr>
          <w:rFonts w:eastAsia="Times New Roman" w:cs="Times New Roman"/>
          <w:sz w:val="24"/>
          <w:szCs w:val="24"/>
          <w:lang w:eastAsia="pl-PL"/>
        </w:rPr>
        <w:t xml:space="preserve">art. 11 ust. 1 pkt 7 ustawy </w:t>
      </w:r>
      <w:r w:rsidR="00601933" w:rsidRPr="00833C88">
        <w:rPr>
          <w:rFonts w:eastAsia="Times New Roman" w:cs="Times New Roman"/>
          <w:sz w:val="24"/>
          <w:szCs w:val="24"/>
          <w:lang w:eastAsia="pl-PL"/>
        </w:rPr>
        <w:t>z </w:t>
      </w:r>
      <w:r w:rsidR="00436D17"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436D17" w:rsidRPr="00833C88">
        <w:rPr>
          <w:rFonts w:eastAsia="Times New Roman" w:cs="Times New Roman"/>
          <w:sz w:val="24"/>
          <w:szCs w:val="24"/>
          <w:lang w:eastAsia="pl-PL"/>
        </w:rPr>
        <w:t>działach administracji rządowej (Dz.</w:t>
      </w:r>
      <w:r w:rsidR="00721076" w:rsidRPr="00833C88">
        <w:rPr>
          <w:rFonts w:eastAsia="Times New Roman" w:cs="Times New Roman"/>
          <w:sz w:val="24"/>
          <w:szCs w:val="24"/>
          <w:lang w:eastAsia="pl-PL"/>
        </w:rPr>
        <w:t> </w:t>
      </w:r>
      <w:r w:rsidR="00436D17" w:rsidRPr="00833C88">
        <w:rPr>
          <w:rFonts w:eastAsia="Times New Roman" w:cs="Times New Roman"/>
          <w:sz w:val="24"/>
          <w:szCs w:val="24"/>
          <w:lang w:eastAsia="pl-PL"/>
        </w:rPr>
        <w:t xml:space="preserve">U. </w:t>
      </w:r>
      <w:r w:rsidR="00601933" w:rsidRPr="00833C88">
        <w:rPr>
          <w:rFonts w:eastAsia="Times New Roman" w:cs="Times New Roman"/>
          <w:sz w:val="24"/>
          <w:szCs w:val="24"/>
          <w:lang w:eastAsia="pl-PL"/>
        </w:rPr>
        <w:lastRenderedPageBreak/>
        <w:t>z </w:t>
      </w:r>
      <w:r w:rsidR="009E73C7" w:rsidRPr="00833C88">
        <w:rPr>
          <w:rFonts w:eastAsia="Times New Roman" w:cs="Times New Roman"/>
          <w:sz w:val="24"/>
          <w:szCs w:val="24"/>
          <w:lang w:eastAsia="pl-PL"/>
        </w:rPr>
        <w:t>202</w:t>
      </w:r>
      <w:r w:rsidR="00686B0B" w:rsidRPr="00833C88">
        <w:rPr>
          <w:rFonts w:eastAsia="Times New Roman" w:cs="Times New Roman"/>
          <w:sz w:val="24"/>
          <w:szCs w:val="24"/>
          <w:lang w:eastAsia="pl-PL"/>
        </w:rPr>
        <w:t>5</w:t>
      </w:r>
      <w:r w:rsidR="009E73C7" w:rsidRPr="00833C88">
        <w:rPr>
          <w:rFonts w:eastAsia="Times New Roman" w:cs="Times New Roman"/>
          <w:sz w:val="24"/>
          <w:szCs w:val="24"/>
          <w:lang w:eastAsia="pl-PL"/>
        </w:rPr>
        <w:t xml:space="preserve"> r. poz. </w:t>
      </w:r>
      <w:r w:rsidR="004415FF" w:rsidRPr="00833C88">
        <w:rPr>
          <w:rFonts w:eastAsia="Times New Roman" w:cs="Times New Roman"/>
          <w:sz w:val="24"/>
          <w:szCs w:val="24"/>
          <w:lang w:eastAsia="pl-PL"/>
        </w:rPr>
        <w:t>1</w:t>
      </w:r>
      <w:r w:rsidR="00686B0B" w:rsidRPr="00833C88">
        <w:rPr>
          <w:rFonts w:eastAsia="Times New Roman" w:cs="Times New Roman"/>
          <w:sz w:val="24"/>
          <w:szCs w:val="24"/>
          <w:lang w:eastAsia="pl-PL"/>
        </w:rPr>
        <w:t>275</w:t>
      </w:r>
      <w:r w:rsidR="00436D17" w:rsidRPr="00833C88">
        <w:rPr>
          <w:rFonts w:eastAsia="Times New Roman" w:cs="Times New Roman"/>
          <w:sz w:val="24"/>
          <w:szCs w:val="24"/>
          <w:lang w:eastAsia="pl-PL"/>
        </w:rPr>
        <w:t xml:space="preserve">) dział gospodarka wodna obejmuje sprawy </w:t>
      </w:r>
      <w:r w:rsidR="004877AA" w:rsidRPr="00833C88">
        <w:rPr>
          <w:rFonts w:eastAsia="Times New Roman" w:cs="Times New Roman"/>
          <w:sz w:val="24"/>
          <w:szCs w:val="24"/>
          <w:lang w:eastAsia="pl-PL"/>
        </w:rPr>
        <w:t xml:space="preserve">określenia zasad </w:t>
      </w:r>
      <w:r w:rsidR="00601933" w:rsidRPr="00833C88">
        <w:rPr>
          <w:rFonts w:eastAsia="Times New Roman" w:cs="Times New Roman"/>
          <w:sz w:val="24"/>
          <w:szCs w:val="24"/>
          <w:lang w:eastAsia="pl-PL"/>
        </w:rPr>
        <w:t>i </w:t>
      </w:r>
      <w:r w:rsidR="004877AA" w:rsidRPr="00833C88">
        <w:rPr>
          <w:rFonts w:eastAsia="Times New Roman" w:cs="Times New Roman"/>
          <w:sz w:val="24"/>
          <w:szCs w:val="24"/>
          <w:lang w:eastAsia="pl-PL"/>
        </w:rPr>
        <w:t>warunków zbiorowego odprowadzania ścieków</w:t>
      </w:r>
      <w:r w:rsidRPr="00833C88">
        <w:rPr>
          <w:rFonts w:eastAsia="Times New Roman" w:cs="Times New Roman"/>
          <w:sz w:val="24"/>
          <w:szCs w:val="24"/>
          <w:lang w:eastAsia="pl-PL"/>
        </w:rPr>
        <w:t>;</w:t>
      </w:r>
    </w:p>
    <w:p w14:paraId="34E7E1AC" w14:textId="34ACDDD8"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zarządzania usług ICT – minister właściwy do spraw informatyzacji</w:t>
      </w:r>
      <w:r w:rsidR="00F72B79"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F72B79" w:rsidRPr="00833C88">
        <w:rPr>
          <w:rFonts w:eastAsia="Times New Roman" w:cs="Times New Roman"/>
          <w:sz w:val="24"/>
          <w:szCs w:val="24"/>
          <w:lang w:eastAsia="pl-PL"/>
        </w:rPr>
        <w:t xml:space="preserve">art. 12a ust. 1 pkt 7 ustawy </w:t>
      </w:r>
      <w:r w:rsidR="00601933" w:rsidRPr="00833C88">
        <w:rPr>
          <w:rFonts w:eastAsia="Times New Roman" w:cs="Times New Roman"/>
          <w:sz w:val="24"/>
          <w:szCs w:val="24"/>
          <w:lang w:eastAsia="pl-PL"/>
        </w:rPr>
        <w:t>z </w:t>
      </w:r>
      <w:r w:rsidR="00F72B79"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F72B79" w:rsidRPr="00833C88">
        <w:rPr>
          <w:rFonts w:eastAsia="Times New Roman" w:cs="Times New Roman"/>
          <w:sz w:val="24"/>
          <w:szCs w:val="24"/>
          <w:lang w:eastAsia="pl-PL"/>
        </w:rPr>
        <w:t xml:space="preserve">działach administracji rządowej dział informatyzacja obejmuje sprawy </w:t>
      </w:r>
      <w:r w:rsidR="00112244" w:rsidRPr="00833C88">
        <w:rPr>
          <w:rFonts w:eastAsia="Times New Roman" w:cs="Times New Roman"/>
          <w:sz w:val="24"/>
          <w:szCs w:val="24"/>
          <w:lang w:eastAsia="pl-PL"/>
        </w:rPr>
        <w:t>rozwoju usług świadczonych drogą elektroniczną</w:t>
      </w:r>
      <w:r w:rsidRPr="00833C88">
        <w:rPr>
          <w:rFonts w:eastAsia="Times New Roman" w:cs="Times New Roman"/>
          <w:sz w:val="24"/>
          <w:szCs w:val="24"/>
          <w:lang w:eastAsia="pl-PL"/>
        </w:rPr>
        <w:t>;</w:t>
      </w:r>
    </w:p>
    <w:p w14:paraId="3EC95070" w14:textId="29F2BAAB"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przestrzeni kosmicznej – minister właściwy do spraw gospodarki</w:t>
      </w:r>
      <w:r w:rsidR="00112244"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112244" w:rsidRPr="00833C88">
        <w:rPr>
          <w:rFonts w:eastAsia="Times New Roman" w:cs="Times New Roman"/>
          <w:sz w:val="24"/>
          <w:szCs w:val="24"/>
          <w:lang w:eastAsia="pl-PL"/>
        </w:rPr>
        <w:t>art. 9 ust. 2 pk</w:t>
      </w:r>
      <w:r w:rsidR="008902EF" w:rsidRPr="00833C88">
        <w:rPr>
          <w:rFonts w:eastAsia="Times New Roman" w:cs="Times New Roman"/>
          <w:sz w:val="24"/>
          <w:szCs w:val="24"/>
          <w:lang w:eastAsia="pl-PL"/>
        </w:rPr>
        <w:t xml:space="preserve">t 14 </w:t>
      </w:r>
      <w:r w:rsidR="00FB3C0B" w:rsidRPr="00833C88">
        <w:rPr>
          <w:rFonts w:eastAsia="Times New Roman" w:cs="Times New Roman"/>
          <w:sz w:val="24"/>
          <w:szCs w:val="24"/>
          <w:lang w:eastAsia="pl-PL"/>
        </w:rPr>
        <w:t xml:space="preserve">stawy </w:t>
      </w:r>
      <w:r w:rsidR="00601933" w:rsidRPr="00833C88">
        <w:rPr>
          <w:rFonts w:eastAsia="Times New Roman" w:cs="Times New Roman"/>
          <w:sz w:val="24"/>
          <w:szCs w:val="24"/>
          <w:lang w:eastAsia="pl-PL"/>
        </w:rPr>
        <w:t>z </w:t>
      </w:r>
      <w:r w:rsidR="00FB3C0B"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FB3C0B" w:rsidRPr="00833C88">
        <w:rPr>
          <w:rFonts w:eastAsia="Times New Roman" w:cs="Times New Roman"/>
          <w:sz w:val="24"/>
          <w:szCs w:val="24"/>
          <w:lang w:eastAsia="pl-PL"/>
        </w:rPr>
        <w:t xml:space="preserve">działach administracji rządowej </w:t>
      </w:r>
      <w:r w:rsidR="008902EF" w:rsidRPr="00833C88">
        <w:rPr>
          <w:rFonts w:eastAsia="Times New Roman" w:cs="Times New Roman"/>
          <w:sz w:val="24"/>
          <w:szCs w:val="24"/>
          <w:lang w:eastAsia="pl-PL"/>
        </w:rPr>
        <w:t>do zadań tego ministra</w:t>
      </w:r>
      <w:r w:rsidR="00FB3C0B" w:rsidRPr="00833C88">
        <w:rPr>
          <w:rFonts w:eastAsia="Times New Roman" w:cs="Times New Roman"/>
          <w:sz w:val="24"/>
          <w:szCs w:val="24"/>
          <w:lang w:eastAsia="pl-PL"/>
        </w:rPr>
        <w:t xml:space="preserve"> należy kształtowanie </w:t>
      </w:r>
      <w:r w:rsidR="00601933" w:rsidRPr="00833C88">
        <w:rPr>
          <w:rFonts w:eastAsia="Times New Roman" w:cs="Times New Roman"/>
          <w:sz w:val="24"/>
          <w:szCs w:val="24"/>
          <w:lang w:eastAsia="pl-PL"/>
        </w:rPr>
        <w:t>i </w:t>
      </w:r>
      <w:r w:rsidR="00FB3C0B" w:rsidRPr="00833C88">
        <w:rPr>
          <w:rFonts w:eastAsia="Times New Roman" w:cs="Times New Roman"/>
          <w:sz w:val="24"/>
          <w:szCs w:val="24"/>
          <w:lang w:eastAsia="pl-PL"/>
        </w:rPr>
        <w:t>prowadzenie polityki kosmicznej</w:t>
      </w:r>
      <w:r w:rsidRPr="00833C88">
        <w:rPr>
          <w:rFonts w:eastAsia="Times New Roman" w:cs="Times New Roman"/>
          <w:sz w:val="24"/>
          <w:szCs w:val="24"/>
          <w:lang w:eastAsia="pl-PL"/>
        </w:rPr>
        <w:t>;</w:t>
      </w:r>
    </w:p>
    <w:p w14:paraId="4C1FA111" w14:textId="343C7446"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dla sektora produkcji, wytwarzania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dystrybucji chemikaliów – minister właściwy do</w:t>
      </w:r>
      <w:r w:rsidR="00B0128D" w:rsidRPr="00833C88">
        <w:rPr>
          <w:rFonts w:eastAsia="Times New Roman" w:cs="Times New Roman"/>
          <w:sz w:val="24"/>
          <w:szCs w:val="24"/>
          <w:lang w:eastAsia="pl-PL"/>
        </w:rPr>
        <w:t> </w:t>
      </w:r>
      <w:r w:rsidRPr="00833C88">
        <w:rPr>
          <w:rFonts w:eastAsia="Times New Roman" w:cs="Times New Roman"/>
          <w:sz w:val="24"/>
          <w:szCs w:val="24"/>
          <w:lang w:eastAsia="pl-PL"/>
        </w:rPr>
        <w:t xml:space="preserve">spraw </w:t>
      </w:r>
      <w:r w:rsidR="00933A6B" w:rsidRPr="00833C88">
        <w:rPr>
          <w:rFonts w:eastAsia="Times New Roman" w:cs="Times New Roman"/>
          <w:sz w:val="24"/>
          <w:szCs w:val="24"/>
          <w:lang w:eastAsia="pl-PL"/>
        </w:rPr>
        <w:t>gospodarki</w:t>
      </w:r>
      <w:r w:rsidR="00AF274B"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4852A0" w:rsidRPr="00833C88">
        <w:rPr>
          <w:rFonts w:eastAsia="Times New Roman" w:cs="Times New Roman"/>
          <w:sz w:val="24"/>
          <w:szCs w:val="24"/>
          <w:lang w:eastAsia="pl-PL"/>
        </w:rPr>
        <w:t xml:space="preserve">art. 9 ust. 1 ustawy </w:t>
      </w:r>
      <w:r w:rsidR="00601933" w:rsidRPr="00833C88">
        <w:rPr>
          <w:rFonts w:eastAsia="Times New Roman" w:cs="Times New Roman"/>
          <w:sz w:val="24"/>
          <w:szCs w:val="24"/>
          <w:lang w:eastAsia="pl-PL"/>
        </w:rPr>
        <w:t>z </w:t>
      </w:r>
      <w:r w:rsidR="004852A0"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4852A0" w:rsidRPr="00833C88">
        <w:rPr>
          <w:rFonts w:eastAsia="Times New Roman" w:cs="Times New Roman"/>
          <w:sz w:val="24"/>
          <w:szCs w:val="24"/>
          <w:lang w:eastAsia="pl-PL"/>
        </w:rPr>
        <w:t>działach administracji rządowej</w:t>
      </w:r>
      <w:r w:rsidR="00AF274B" w:rsidRPr="00833C88">
        <w:rPr>
          <w:rFonts w:eastAsia="Times New Roman" w:cs="Times New Roman"/>
          <w:sz w:val="24"/>
          <w:szCs w:val="24"/>
          <w:lang w:eastAsia="pl-PL"/>
        </w:rPr>
        <w:t xml:space="preserve"> </w:t>
      </w:r>
      <w:r w:rsidR="004852A0" w:rsidRPr="00833C88">
        <w:rPr>
          <w:rFonts w:eastAsia="Times New Roman" w:cs="Times New Roman"/>
          <w:sz w:val="24"/>
          <w:szCs w:val="24"/>
          <w:lang w:eastAsia="pl-PL"/>
        </w:rPr>
        <w:t>dział gospodarka obejmuje sprawy gospodarki</w:t>
      </w:r>
      <w:r w:rsidR="00FF3077" w:rsidRPr="00833C88">
        <w:rPr>
          <w:rFonts w:eastAsia="Times New Roman" w:cs="Times New Roman"/>
          <w:sz w:val="24"/>
          <w:szCs w:val="24"/>
          <w:lang w:eastAsia="pl-PL"/>
        </w:rPr>
        <w:t>,</w:t>
      </w:r>
      <w:r w:rsidR="004852A0"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4852A0" w:rsidRPr="00833C88">
        <w:rPr>
          <w:rFonts w:eastAsia="Times New Roman" w:cs="Times New Roman"/>
          <w:sz w:val="24"/>
          <w:szCs w:val="24"/>
          <w:lang w:eastAsia="pl-PL"/>
        </w:rPr>
        <w:t>tym przemysłu</w:t>
      </w:r>
      <w:r w:rsidRPr="00833C88">
        <w:rPr>
          <w:rFonts w:eastAsia="Times New Roman" w:cs="Times New Roman"/>
          <w:sz w:val="24"/>
          <w:szCs w:val="24"/>
          <w:lang w:eastAsia="pl-PL"/>
        </w:rPr>
        <w:t>;</w:t>
      </w:r>
    </w:p>
    <w:p w14:paraId="7472F4D8" w14:textId="1CA3763D"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dla sektora produkcji, przetwarzania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dystrybucji żywności </w:t>
      </w:r>
      <w:r w:rsidR="007C1E41" w:rsidRPr="00833C88">
        <w:rPr>
          <w:rFonts w:eastAsia="Times New Roman" w:cs="Times New Roman"/>
          <w:sz w:val="24"/>
          <w:szCs w:val="24"/>
          <w:lang w:eastAsia="pl-PL"/>
        </w:rPr>
        <w:t>–</w:t>
      </w:r>
      <w:r w:rsidRPr="00833C88">
        <w:rPr>
          <w:rFonts w:eastAsia="Times New Roman" w:cs="Times New Roman"/>
          <w:sz w:val="24"/>
          <w:szCs w:val="24"/>
          <w:lang w:eastAsia="pl-PL"/>
        </w:rPr>
        <w:t xml:space="preserve"> minister właściwy do</w:t>
      </w:r>
      <w:r w:rsidR="00B0128D" w:rsidRPr="00833C88">
        <w:rPr>
          <w:rFonts w:eastAsia="Times New Roman" w:cs="Times New Roman"/>
          <w:sz w:val="24"/>
          <w:szCs w:val="24"/>
          <w:lang w:eastAsia="pl-PL"/>
        </w:rPr>
        <w:t> </w:t>
      </w:r>
      <w:r w:rsidRPr="00833C88">
        <w:rPr>
          <w:rFonts w:eastAsia="Times New Roman" w:cs="Times New Roman"/>
          <w:sz w:val="24"/>
          <w:szCs w:val="24"/>
          <w:lang w:eastAsia="pl-PL"/>
        </w:rPr>
        <w:t>spraw rolnictwa</w:t>
      </w:r>
      <w:r w:rsidR="009C5614"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9C5614" w:rsidRPr="00833C88">
        <w:rPr>
          <w:rFonts w:eastAsia="Times New Roman" w:cs="Times New Roman"/>
          <w:sz w:val="24"/>
          <w:szCs w:val="24"/>
          <w:lang w:eastAsia="pl-PL"/>
        </w:rPr>
        <w:t xml:space="preserve">art. 22 ust. 1 pkt </w:t>
      </w:r>
      <w:r w:rsidR="00ED47C4" w:rsidRPr="00833C88">
        <w:rPr>
          <w:rFonts w:eastAsia="Times New Roman" w:cs="Times New Roman"/>
          <w:sz w:val="24"/>
          <w:szCs w:val="24"/>
          <w:lang w:eastAsia="pl-PL"/>
        </w:rPr>
        <w:t xml:space="preserve">1 </w:t>
      </w:r>
      <w:r w:rsidR="00601933" w:rsidRPr="00833C88">
        <w:rPr>
          <w:rFonts w:eastAsia="Times New Roman" w:cs="Times New Roman"/>
          <w:sz w:val="24"/>
          <w:szCs w:val="24"/>
          <w:lang w:eastAsia="pl-PL"/>
        </w:rPr>
        <w:t>i </w:t>
      </w:r>
      <w:r w:rsidR="00ED47C4" w:rsidRPr="00833C88">
        <w:rPr>
          <w:rFonts w:eastAsia="Times New Roman" w:cs="Times New Roman"/>
          <w:sz w:val="24"/>
          <w:szCs w:val="24"/>
          <w:lang w:eastAsia="pl-PL"/>
        </w:rPr>
        <w:t xml:space="preserve">3 </w:t>
      </w:r>
      <w:r w:rsidR="00B41706"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z </w:t>
      </w:r>
      <w:r w:rsidR="00B41706"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B41706" w:rsidRPr="00833C88">
        <w:rPr>
          <w:rFonts w:eastAsia="Times New Roman" w:cs="Times New Roman"/>
          <w:sz w:val="24"/>
          <w:szCs w:val="24"/>
          <w:lang w:eastAsia="pl-PL"/>
        </w:rPr>
        <w:t xml:space="preserve">działach administracji rządowej dział rolnictwo obejmuje sprawy produkcji roślinnej </w:t>
      </w:r>
      <w:r w:rsidR="00601933" w:rsidRPr="00833C88">
        <w:rPr>
          <w:rFonts w:eastAsia="Times New Roman" w:cs="Times New Roman"/>
          <w:sz w:val="24"/>
          <w:szCs w:val="24"/>
          <w:lang w:eastAsia="pl-PL"/>
        </w:rPr>
        <w:t>i </w:t>
      </w:r>
      <w:r w:rsidR="00485FC2" w:rsidRPr="00833C88">
        <w:rPr>
          <w:rFonts w:eastAsia="Times New Roman" w:cs="Times New Roman"/>
          <w:sz w:val="24"/>
          <w:szCs w:val="24"/>
          <w:lang w:eastAsia="pl-PL"/>
        </w:rPr>
        <w:t>zwierzęcej</w:t>
      </w:r>
      <w:r w:rsidR="00B41706" w:rsidRPr="00833C88">
        <w:rPr>
          <w:rFonts w:eastAsia="Times New Roman" w:cs="Times New Roman"/>
          <w:sz w:val="24"/>
          <w:szCs w:val="24"/>
          <w:lang w:eastAsia="pl-PL"/>
        </w:rPr>
        <w:t>;</w:t>
      </w:r>
    </w:p>
    <w:p w14:paraId="79280358" w14:textId="41DDAEC5"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dla sektora produkcji,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wyłączeniem podsektora produkcja wyrobów medycznych i</w:t>
      </w:r>
      <w:r w:rsidR="00B0128D" w:rsidRPr="00833C88">
        <w:rPr>
          <w:rFonts w:eastAsia="Times New Roman" w:cs="Times New Roman"/>
          <w:sz w:val="24"/>
          <w:szCs w:val="24"/>
          <w:lang w:eastAsia="pl-PL"/>
        </w:rPr>
        <w:t> </w:t>
      </w:r>
      <w:r w:rsidRPr="00833C88">
        <w:rPr>
          <w:rFonts w:eastAsia="Times New Roman" w:cs="Times New Roman"/>
          <w:sz w:val="24"/>
          <w:szCs w:val="24"/>
          <w:lang w:eastAsia="pl-PL"/>
        </w:rPr>
        <w:t>wyrobów medycznych do diagnostyki in vitro – minister właściwy do spraw gospodarki</w:t>
      </w:r>
      <w:r w:rsidR="00FF3077" w:rsidRPr="00833C88">
        <w:rPr>
          <w:rFonts w:eastAsia="Times New Roman" w:cs="Times New Roman"/>
          <w:sz w:val="24"/>
          <w:szCs w:val="24"/>
          <w:lang w:eastAsia="pl-PL"/>
        </w:rPr>
        <w:t xml:space="preserve"> </w:t>
      </w:r>
      <w:r w:rsidR="000E0648" w:rsidRPr="00833C88">
        <w:rPr>
          <w:rFonts w:eastAsia="Times New Roman" w:cs="Times New Roman"/>
          <w:sz w:val="24"/>
          <w:szCs w:val="24"/>
          <w:lang w:eastAsia="pl-PL"/>
        </w:rPr>
        <w:t xml:space="preserve">– zgodnie </w:t>
      </w:r>
      <w:r w:rsidR="00601933" w:rsidRPr="00833C88">
        <w:rPr>
          <w:rFonts w:eastAsia="Times New Roman" w:cs="Times New Roman"/>
          <w:sz w:val="24"/>
          <w:szCs w:val="24"/>
          <w:lang w:eastAsia="pl-PL"/>
        </w:rPr>
        <w:t>z </w:t>
      </w:r>
      <w:r w:rsidR="000E0648" w:rsidRPr="00833C88">
        <w:rPr>
          <w:rFonts w:eastAsia="Times New Roman" w:cs="Times New Roman"/>
          <w:sz w:val="24"/>
          <w:szCs w:val="24"/>
          <w:lang w:eastAsia="pl-PL"/>
        </w:rPr>
        <w:t xml:space="preserve">art. 9 ust. 1 ustawy </w:t>
      </w:r>
      <w:r w:rsidR="00601933" w:rsidRPr="00833C88">
        <w:rPr>
          <w:rFonts w:eastAsia="Times New Roman" w:cs="Times New Roman"/>
          <w:sz w:val="24"/>
          <w:szCs w:val="24"/>
          <w:lang w:eastAsia="pl-PL"/>
        </w:rPr>
        <w:t>z </w:t>
      </w:r>
      <w:r w:rsidR="000E0648"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0E0648" w:rsidRPr="00833C88">
        <w:rPr>
          <w:rFonts w:eastAsia="Times New Roman" w:cs="Times New Roman"/>
          <w:sz w:val="24"/>
          <w:szCs w:val="24"/>
          <w:lang w:eastAsia="pl-PL"/>
        </w:rPr>
        <w:t>działach administracji rządowej dział gospodarka obejmuje sprawy gospodarki</w:t>
      </w:r>
      <w:r w:rsidR="00FF3077" w:rsidRPr="00833C88">
        <w:rPr>
          <w:rFonts w:eastAsia="Times New Roman" w:cs="Times New Roman"/>
          <w:sz w:val="24"/>
          <w:szCs w:val="24"/>
          <w:lang w:eastAsia="pl-PL"/>
        </w:rPr>
        <w:t>,</w:t>
      </w:r>
      <w:r w:rsidR="000E0648"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0E0648" w:rsidRPr="00833C88">
        <w:rPr>
          <w:rFonts w:eastAsia="Times New Roman" w:cs="Times New Roman"/>
          <w:sz w:val="24"/>
          <w:szCs w:val="24"/>
          <w:lang w:eastAsia="pl-PL"/>
        </w:rPr>
        <w:t>tym przemysłu;</w:t>
      </w:r>
    </w:p>
    <w:p w14:paraId="0F1530FF" w14:textId="320BED62" w:rsidR="008E5ABD" w:rsidRPr="00833C88" w:rsidRDefault="008E5ABD">
      <w:pPr>
        <w:pStyle w:val="Akapitzlist"/>
        <w:numPr>
          <w:ilvl w:val="0"/>
          <w:numId w:val="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dla podsektora produkcji wyrobów medycznych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wyrobów medycznych do</w:t>
      </w:r>
      <w:r w:rsidR="00B0128D" w:rsidRPr="00833C88">
        <w:rPr>
          <w:rFonts w:eastAsia="Times New Roman" w:cs="Times New Roman"/>
          <w:sz w:val="24"/>
          <w:szCs w:val="24"/>
          <w:lang w:eastAsia="pl-PL"/>
        </w:rPr>
        <w:t> </w:t>
      </w:r>
      <w:r w:rsidRPr="00833C88">
        <w:rPr>
          <w:rFonts w:eastAsia="Times New Roman" w:cs="Times New Roman"/>
          <w:sz w:val="24"/>
          <w:szCs w:val="24"/>
          <w:lang w:eastAsia="pl-PL"/>
        </w:rPr>
        <w:t xml:space="preserve">diagnostyki in vitro </w:t>
      </w:r>
      <w:r w:rsidR="007C1E41" w:rsidRPr="00833C88">
        <w:rPr>
          <w:rFonts w:eastAsia="Times New Roman" w:cs="Times New Roman"/>
          <w:sz w:val="24"/>
          <w:szCs w:val="24"/>
          <w:lang w:eastAsia="pl-PL"/>
        </w:rPr>
        <w:t>–</w:t>
      </w:r>
      <w:r w:rsidRPr="00833C88">
        <w:rPr>
          <w:rFonts w:eastAsia="Times New Roman" w:cs="Times New Roman"/>
          <w:sz w:val="24"/>
          <w:szCs w:val="24"/>
          <w:lang w:eastAsia="pl-PL"/>
        </w:rPr>
        <w:t xml:space="preserve"> minister właściwy do spraw zdrowia</w:t>
      </w:r>
      <w:r w:rsidR="00485FC2"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4C7155" w:rsidRPr="00833C88">
        <w:rPr>
          <w:rFonts w:eastAsia="Times New Roman" w:cs="Times New Roman"/>
          <w:sz w:val="24"/>
          <w:szCs w:val="24"/>
          <w:lang w:eastAsia="pl-PL"/>
        </w:rPr>
        <w:t xml:space="preserve">art. 33 ust. 1 pkt 2 </w:t>
      </w:r>
      <w:r w:rsidR="005C4930" w:rsidRPr="00833C88">
        <w:rPr>
          <w:rFonts w:eastAsia="Times New Roman" w:cs="Times New Roman"/>
          <w:sz w:val="24"/>
          <w:szCs w:val="24"/>
          <w:lang w:eastAsia="pl-PL"/>
        </w:rPr>
        <w:t xml:space="preserve">1 ustawy </w:t>
      </w:r>
      <w:r w:rsidR="00601933" w:rsidRPr="00833C88">
        <w:rPr>
          <w:rFonts w:eastAsia="Times New Roman" w:cs="Times New Roman"/>
          <w:sz w:val="24"/>
          <w:szCs w:val="24"/>
          <w:lang w:eastAsia="pl-PL"/>
        </w:rPr>
        <w:t>z </w:t>
      </w:r>
      <w:r w:rsidR="005C4930"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5C4930" w:rsidRPr="00833C88">
        <w:rPr>
          <w:rFonts w:eastAsia="Times New Roman" w:cs="Times New Roman"/>
          <w:sz w:val="24"/>
          <w:szCs w:val="24"/>
          <w:lang w:eastAsia="pl-PL"/>
        </w:rPr>
        <w:t xml:space="preserve">działach administracji rządowej </w:t>
      </w:r>
      <w:r w:rsidR="004C7155" w:rsidRPr="00833C88">
        <w:rPr>
          <w:rFonts w:eastAsia="Times New Roman" w:cs="Times New Roman"/>
          <w:sz w:val="24"/>
          <w:szCs w:val="24"/>
          <w:lang w:eastAsia="pl-PL"/>
        </w:rPr>
        <w:t>dział zdrowie obejmuje sprawy</w:t>
      </w:r>
      <w:r w:rsidR="005C4930" w:rsidRPr="00833C88">
        <w:rPr>
          <w:rFonts w:eastAsia="Times New Roman" w:cs="Times New Roman"/>
          <w:sz w:val="24"/>
          <w:szCs w:val="24"/>
          <w:lang w:eastAsia="pl-PL"/>
        </w:rPr>
        <w:t xml:space="preserve"> nadzoru nad wyrobami medycznymi, wyrobami medycznymi do diagnostyki in vitro</w:t>
      </w:r>
      <w:r w:rsidR="009C3B44" w:rsidRPr="00833C88">
        <w:rPr>
          <w:rFonts w:eastAsia="Times New Roman" w:cs="Times New Roman"/>
          <w:sz w:val="24"/>
          <w:szCs w:val="24"/>
          <w:lang w:eastAsia="pl-PL"/>
        </w:rPr>
        <w:t>.</w:t>
      </w:r>
    </w:p>
    <w:p w14:paraId="187FAD56" w14:textId="2F0B3291" w:rsidR="008E5ABD" w:rsidRPr="00833C88" w:rsidRDefault="008E5AB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Organami właściwymi do spraw cyberbezpieczeństwa dla podmiotów ważnych są:</w:t>
      </w:r>
    </w:p>
    <w:p w14:paraId="75296899" w14:textId="3A136375" w:rsidR="008E5ABD" w:rsidRPr="00833C88" w:rsidRDefault="008E5ABD">
      <w:pPr>
        <w:pStyle w:val="Akapitzlist"/>
        <w:numPr>
          <w:ilvl w:val="0"/>
          <w:numId w:val="10"/>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usług pocztowych – Prezes Urzędu Komunikacji Elektronicznej</w:t>
      </w:r>
      <w:r w:rsidR="00E375C7"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864220" w:rsidRPr="00833C88">
        <w:rPr>
          <w:rFonts w:eastAsia="Times New Roman" w:cs="Times New Roman"/>
          <w:bCs/>
          <w:sz w:val="24"/>
          <w:szCs w:val="24"/>
          <w:lang w:eastAsia="pl-PL"/>
        </w:rPr>
        <w:t xml:space="preserve">ustawą </w:t>
      </w:r>
      <w:r w:rsidR="00601933" w:rsidRPr="00833C88">
        <w:rPr>
          <w:rFonts w:eastAsia="Times New Roman" w:cs="Times New Roman"/>
          <w:bCs/>
          <w:sz w:val="24"/>
          <w:szCs w:val="24"/>
          <w:lang w:eastAsia="pl-PL"/>
        </w:rPr>
        <w:t>z </w:t>
      </w:r>
      <w:r w:rsidR="00864220" w:rsidRPr="00833C88">
        <w:rPr>
          <w:rFonts w:eastAsia="Times New Roman" w:cs="Times New Roman"/>
          <w:bCs/>
          <w:sz w:val="24"/>
          <w:szCs w:val="24"/>
          <w:lang w:eastAsia="pl-PL"/>
        </w:rPr>
        <w:t xml:space="preserve">dnia 23 listopada 2012 r. – Prawo pocztowe (Dz. U. </w:t>
      </w:r>
      <w:r w:rsidR="00601933" w:rsidRPr="00833C88">
        <w:rPr>
          <w:rFonts w:eastAsia="Times New Roman" w:cs="Times New Roman"/>
          <w:bCs/>
          <w:sz w:val="24"/>
          <w:szCs w:val="24"/>
          <w:lang w:eastAsia="pl-PL"/>
        </w:rPr>
        <w:t>z </w:t>
      </w:r>
      <w:r w:rsidR="00864220" w:rsidRPr="00833C88">
        <w:rPr>
          <w:rFonts w:eastAsia="Times New Roman" w:cs="Times New Roman"/>
          <w:bCs/>
          <w:sz w:val="24"/>
          <w:szCs w:val="24"/>
          <w:lang w:eastAsia="pl-PL"/>
        </w:rPr>
        <w:t>202</w:t>
      </w:r>
      <w:r w:rsidR="006514D0" w:rsidRPr="00833C88">
        <w:rPr>
          <w:rFonts w:eastAsia="Times New Roman" w:cs="Times New Roman"/>
          <w:bCs/>
          <w:sz w:val="24"/>
          <w:szCs w:val="24"/>
          <w:lang w:eastAsia="pl-PL"/>
        </w:rPr>
        <w:t>5</w:t>
      </w:r>
      <w:r w:rsidR="00864220" w:rsidRPr="00833C88">
        <w:rPr>
          <w:rFonts w:eastAsia="Times New Roman" w:cs="Times New Roman"/>
          <w:bCs/>
          <w:sz w:val="24"/>
          <w:szCs w:val="24"/>
          <w:lang w:eastAsia="pl-PL"/>
        </w:rPr>
        <w:t xml:space="preserve"> r. poz. </w:t>
      </w:r>
      <w:r w:rsidR="006514D0" w:rsidRPr="00833C88">
        <w:rPr>
          <w:rFonts w:eastAsia="Times New Roman" w:cs="Times New Roman"/>
          <w:bCs/>
          <w:sz w:val="24"/>
          <w:szCs w:val="24"/>
          <w:lang w:eastAsia="pl-PL"/>
        </w:rPr>
        <w:t>366</w:t>
      </w:r>
      <w:r w:rsidR="00E805F1" w:rsidRPr="00833C88">
        <w:rPr>
          <w:rFonts w:eastAsia="Times New Roman" w:cs="Times New Roman"/>
          <w:bCs/>
          <w:sz w:val="24"/>
          <w:szCs w:val="24"/>
          <w:lang w:eastAsia="pl-PL"/>
        </w:rPr>
        <w:t xml:space="preserve"> i</w:t>
      </w:r>
      <w:r w:rsidR="00721076" w:rsidRPr="00833C88">
        <w:rPr>
          <w:rFonts w:eastAsia="Times New Roman" w:cs="Times New Roman"/>
          <w:bCs/>
          <w:sz w:val="24"/>
          <w:szCs w:val="24"/>
          <w:lang w:eastAsia="pl-PL"/>
        </w:rPr>
        <w:t> </w:t>
      </w:r>
      <w:r w:rsidR="00E805F1" w:rsidRPr="00833C88">
        <w:rPr>
          <w:rFonts w:eastAsia="Times New Roman" w:cs="Times New Roman"/>
          <w:bCs/>
          <w:sz w:val="24"/>
          <w:szCs w:val="24"/>
          <w:lang w:eastAsia="pl-PL"/>
        </w:rPr>
        <w:t>820</w:t>
      </w:r>
      <w:r w:rsidR="00864220" w:rsidRPr="00833C88">
        <w:rPr>
          <w:rFonts w:eastAsia="Times New Roman" w:cs="Times New Roman"/>
          <w:bCs/>
          <w:sz w:val="24"/>
          <w:szCs w:val="24"/>
          <w:lang w:eastAsia="pl-PL"/>
        </w:rPr>
        <w:t xml:space="preserve">), </w:t>
      </w:r>
      <w:r w:rsidR="00E375C7" w:rsidRPr="00833C88">
        <w:rPr>
          <w:rFonts w:eastAsia="Times New Roman" w:cs="Times New Roman"/>
          <w:sz w:val="24"/>
          <w:szCs w:val="24"/>
          <w:lang w:eastAsia="pl-PL"/>
        </w:rPr>
        <w:t>Prezes Urzędu Komunikacji Elektronicznej jest regulatorem rynku pocztowego</w:t>
      </w:r>
      <w:r w:rsidRPr="00833C88">
        <w:rPr>
          <w:rFonts w:eastAsia="Times New Roman" w:cs="Times New Roman"/>
          <w:sz w:val="24"/>
          <w:szCs w:val="24"/>
          <w:lang w:eastAsia="pl-PL"/>
        </w:rPr>
        <w:t>;</w:t>
      </w:r>
    </w:p>
    <w:p w14:paraId="509EA3CD" w14:textId="5D3A42DB" w:rsidR="008E5ABD" w:rsidRPr="00833C88" w:rsidRDefault="008E5ABD">
      <w:pPr>
        <w:pStyle w:val="Akapitzlist"/>
        <w:numPr>
          <w:ilvl w:val="0"/>
          <w:numId w:val="10"/>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gospodarowania odpadami – minister właściwy do spraw klimatu</w:t>
      </w:r>
      <w:r w:rsidR="00190C8E"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190C8E" w:rsidRPr="00833C88">
        <w:rPr>
          <w:rFonts w:eastAsia="Times New Roman" w:cs="Times New Roman"/>
          <w:sz w:val="24"/>
          <w:szCs w:val="24"/>
          <w:lang w:eastAsia="pl-PL"/>
        </w:rPr>
        <w:t>art. 13a ust. 1 pkt 7</w:t>
      </w:r>
      <w:r w:rsidR="00ED758E"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z </w:t>
      </w:r>
      <w:r w:rsidR="00ED758E"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ED758E" w:rsidRPr="00833C88">
        <w:rPr>
          <w:rFonts w:eastAsia="Times New Roman" w:cs="Times New Roman"/>
          <w:sz w:val="24"/>
          <w:szCs w:val="24"/>
          <w:lang w:eastAsia="pl-PL"/>
        </w:rPr>
        <w:t>działach administracji rządowej</w:t>
      </w:r>
      <w:r w:rsidR="00190C8E" w:rsidRPr="00833C88">
        <w:rPr>
          <w:rFonts w:eastAsia="Times New Roman" w:cs="Times New Roman"/>
          <w:sz w:val="24"/>
          <w:szCs w:val="24"/>
          <w:lang w:eastAsia="pl-PL"/>
        </w:rPr>
        <w:t xml:space="preserve"> dział klimat obejmuje sprawy gospodarki </w:t>
      </w:r>
      <w:r w:rsidR="00ED758E" w:rsidRPr="00833C88">
        <w:rPr>
          <w:rFonts w:eastAsia="Times New Roman" w:cs="Times New Roman"/>
          <w:sz w:val="24"/>
          <w:szCs w:val="24"/>
          <w:lang w:eastAsia="pl-PL"/>
        </w:rPr>
        <w:t>odpadami</w:t>
      </w:r>
      <w:r w:rsidRPr="00833C88">
        <w:rPr>
          <w:rFonts w:eastAsia="Times New Roman" w:cs="Times New Roman"/>
          <w:sz w:val="24"/>
          <w:szCs w:val="24"/>
          <w:lang w:eastAsia="pl-PL"/>
        </w:rPr>
        <w:t>;</w:t>
      </w:r>
    </w:p>
    <w:p w14:paraId="70FED0CD" w14:textId="7615271F" w:rsidR="008E5ABD" w:rsidRPr="00833C88" w:rsidRDefault="008E5ABD">
      <w:pPr>
        <w:pStyle w:val="Akapitzlist"/>
        <w:numPr>
          <w:ilvl w:val="0"/>
          <w:numId w:val="10"/>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dostawców usług cyfrowych – minister właściwy do spraw informatyzacji</w:t>
      </w:r>
      <w:r w:rsidR="00D1529C" w:rsidRPr="00833C88">
        <w:rPr>
          <w:rFonts w:eastAsia="Times New Roman" w:cs="Times New Roman"/>
          <w:sz w:val="24"/>
          <w:szCs w:val="24"/>
          <w:lang w:eastAsia="pl-PL"/>
        </w:rPr>
        <w:t xml:space="preserve"> </w:t>
      </w:r>
      <w:r w:rsidR="00FF3077" w:rsidRPr="00833C88">
        <w:rPr>
          <w:rFonts w:eastAsia="Times New Roman" w:cs="Times New Roman"/>
          <w:sz w:val="24"/>
          <w:szCs w:val="24"/>
          <w:lang w:eastAsia="pl-PL"/>
        </w:rPr>
        <w:t>–</w:t>
      </w:r>
      <w:r w:rsidR="00D1529C" w:rsidRPr="00833C88">
        <w:rPr>
          <w:rFonts w:eastAsia="Times New Roman" w:cs="Times New Roman"/>
          <w:sz w:val="24"/>
          <w:szCs w:val="24"/>
          <w:lang w:eastAsia="pl-PL"/>
        </w:rPr>
        <w:t xml:space="preserve"> zgodnie </w:t>
      </w:r>
      <w:r w:rsidR="00601933" w:rsidRPr="00833C88">
        <w:rPr>
          <w:rFonts w:eastAsia="Times New Roman" w:cs="Times New Roman"/>
          <w:sz w:val="24"/>
          <w:szCs w:val="24"/>
          <w:lang w:eastAsia="pl-PL"/>
        </w:rPr>
        <w:t>z </w:t>
      </w:r>
      <w:r w:rsidR="00D1529C" w:rsidRPr="00833C88">
        <w:rPr>
          <w:rFonts w:eastAsia="Times New Roman" w:cs="Times New Roman"/>
          <w:sz w:val="24"/>
          <w:szCs w:val="24"/>
          <w:lang w:eastAsia="pl-PL"/>
        </w:rPr>
        <w:t xml:space="preserve">art. 12a ust. 1 pkt 7 ustawy </w:t>
      </w:r>
      <w:r w:rsidR="00601933" w:rsidRPr="00833C88">
        <w:rPr>
          <w:rFonts w:eastAsia="Times New Roman" w:cs="Times New Roman"/>
          <w:sz w:val="24"/>
          <w:szCs w:val="24"/>
          <w:lang w:eastAsia="pl-PL"/>
        </w:rPr>
        <w:t>z </w:t>
      </w:r>
      <w:r w:rsidR="00D1529C"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D1529C" w:rsidRPr="00833C88">
        <w:rPr>
          <w:rFonts w:eastAsia="Times New Roman" w:cs="Times New Roman"/>
          <w:sz w:val="24"/>
          <w:szCs w:val="24"/>
          <w:lang w:eastAsia="pl-PL"/>
        </w:rPr>
        <w:t xml:space="preserve">działach administracji </w:t>
      </w:r>
      <w:r w:rsidR="00D1529C" w:rsidRPr="00833C88">
        <w:rPr>
          <w:rFonts w:eastAsia="Times New Roman" w:cs="Times New Roman"/>
          <w:sz w:val="24"/>
          <w:szCs w:val="24"/>
          <w:lang w:eastAsia="pl-PL"/>
        </w:rPr>
        <w:lastRenderedPageBreak/>
        <w:t>rządowej dział informatyzacja obejmuje sprawy rozwoju usług świadczonych drogą elektroniczną</w:t>
      </w:r>
      <w:r w:rsidRPr="00833C88">
        <w:rPr>
          <w:rFonts w:eastAsia="Times New Roman" w:cs="Times New Roman"/>
          <w:sz w:val="24"/>
          <w:szCs w:val="24"/>
          <w:lang w:eastAsia="pl-PL"/>
        </w:rPr>
        <w:t>;</w:t>
      </w:r>
    </w:p>
    <w:p w14:paraId="199F5993" w14:textId="46E2D032" w:rsidR="008E5ABD" w:rsidRPr="00833C88" w:rsidRDefault="008E5ABD">
      <w:pPr>
        <w:pStyle w:val="Akapitzlist"/>
        <w:numPr>
          <w:ilvl w:val="0"/>
          <w:numId w:val="10"/>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dla sektora badań naukowych – minister właściwy do spraw nauki</w:t>
      </w:r>
      <w:r w:rsidR="000B235E" w:rsidRPr="00833C88">
        <w:rPr>
          <w:rFonts w:eastAsia="Times New Roman" w:cs="Times New Roman"/>
          <w:sz w:val="24"/>
          <w:szCs w:val="24"/>
          <w:lang w:eastAsia="pl-PL"/>
        </w:rPr>
        <w:t xml:space="preserve"> – zgodnie </w:t>
      </w:r>
      <w:r w:rsidR="00601933" w:rsidRPr="00833C88">
        <w:rPr>
          <w:rFonts w:eastAsia="Times New Roman" w:cs="Times New Roman"/>
          <w:sz w:val="24"/>
          <w:szCs w:val="24"/>
          <w:lang w:eastAsia="pl-PL"/>
        </w:rPr>
        <w:t>z </w:t>
      </w:r>
      <w:r w:rsidR="000B235E" w:rsidRPr="00833C88">
        <w:rPr>
          <w:rFonts w:eastAsia="Times New Roman" w:cs="Times New Roman"/>
          <w:sz w:val="24"/>
          <w:szCs w:val="24"/>
          <w:lang w:eastAsia="pl-PL"/>
        </w:rPr>
        <w:t>art. 26 ust.</w:t>
      </w:r>
      <w:r w:rsidR="00543F49">
        <w:rPr>
          <w:rFonts w:eastAsia="Times New Roman" w:cs="Times New Roman"/>
          <w:sz w:val="24"/>
          <w:szCs w:val="24"/>
          <w:lang w:eastAsia="pl-PL"/>
        </w:rPr>
        <w:t> </w:t>
      </w:r>
      <w:r w:rsidR="000B235E" w:rsidRPr="00833C88">
        <w:rPr>
          <w:rFonts w:eastAsia="Times New Roman" w:cs="Times New Roman"/>
          <w:sz w:val="24"/>
          <w:szCs w:val="24"/>
          <w:lang w:eastAsia="pl-PL"/>
        </w:rPr>
        <w:t xml:space="preserve">1 </w:t>
      </w:r>
      <w:r w:rsidR="0031745C"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z </w:t>
      </w:r>
      <w:r w:rsidR="0031745C"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31745C" w:rsidRPr="00833C88">
        <w:rPr>
          <w:rFonts w:eastAsia="Times New Roman" w:cs="Times New Roman"/>
          <w:sz w:val="24"/>
          <w:szCs w:val="24"/>
          <w:lang w:eastAsia="pl-PL"/>
        </w:rPr>
        <w:t xml:space="preserve">działach administracji rządowej </w:t>
      </w:r>
      <w:r w:rsidR="000B235E" w:rsidRPr="00833C88">
        <w:rPr>
          <w:rFonts w:eastAsia="Times New Roman" w:cs="Times New Roman"/>
          <w:sz w:val="24"/>
          <w:szCs w:val="24"/>
          <w:lang w:eastAsia="pl-PL"/>
        </w:rPr>
        <w:t xml:space="preserve">dział szkolnictwo wyższe </w:t>
      </w:r>
      <w:r w:rsidR="00601933" w:rsidRPr="00833C88">
        <w:rPr>
          <w:rFonts w:eastAsia="Times New Roman" w:cs="Times New Roman"/>
          <w:sz w:val="24"/>
          <w:szCs w:val="24"/>
          <w:lang w:eastAsia="pl-PL"/>
        </w:rPr>
        <w:t>i </w:t>
      </w:r>
      <w:r w:rsidR="000B235E" w:rsidRPr="00833C88">
        <w:rPr>
          <w:rFonts w:eastAsia="Times New Roman" w:cs="Times New Roman"/>
          <w:sz w:val="24"/>
          <w:szCs w:val="24"/>
          <w:lang w:eastAsia="pl-PL"/>
        </w:rPr>
        <w:t xml:space="preserve">nauka </w:t>
      </w:r>
      <w:proofErr w:type="gramStart"/>
      <w:r w:rsidR="000B235E" w:rsidRPr="00833C88">
        <w:rPr>
          <w:rFonts w:eastAsia="Times New Roman" w:cs="Times New Roman"/>
          <w:sz w:val="24"/>
          <w:szCs w:val="24"/>
          <w:lang w:eastAsia="pl-PL"/>
        </w:rPr>
        <w:t>obejmuje</w:t>
      </w:r>
      <w:proofErr w:type="gramEnd"/>
      <w:r w:rsidR="000B235E" w:rsidRPr="00833C88">
        <w:rPr>
          <w:rFonts w:eastAsia="Times New Roman" w:cs="Times New Roman"/>
          <w:sz w:val="24"/>
          <w:szCs w:val="24"/>
          <w:lang w:eastAsia="pl-PL"/>
        </w:rPr>
        <w:t xml:space="preserve"> sprawy działalności naukowej</w:t>
      </w:r>
      <w:r w:rsidRPr="00833C88">
        <w:rPr>
          <w:rFonts w:eastAsia="Times New Roman" w:cs="Times New Roman"/>
          <w:sz w:val="24"/>
          <w:szCs w:val="24"/>
          <w:lang w:eastAsia="pl-PL"/>
        </w:rPr>
        <w:t>.</w:t>
      </w:r>
    </w:p>
    <w:p w14:paraId="0FDBCFA2" w14:textId="7253C38B" w:rsidR="0003743F" w:rsidRPr="00833C88" w:rsidRDefault="0003743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Przypisując właściwość </w:t>
      </w:r>
      <w:r w:rsidR="004F045A" w:rsidRPr="00833C88">
        <w:rPr>
          <w:rFonts w:eastAsia="Times New Roman" w:cs="Times New Roman"/>
          <w:sz w:val="24"/>
          <w:szCs w:val="24"/>
          <w:lang w:eastAsia="pl-PL"/>
        </w:rPr>
        <w:t xml:space="preserve">organów właściwych do spraw cyberbezpieczeństwa kierowano się właściwością wynikającą </w:t>
      </w:r>
      <w:r w:rsidR="00601933" w:rsidRPr="00833C88">
        <w:rPr>
          <w:rFonts w:eastAsia="Times New Roman" w:cs="Times New Roman"/>
          <w:sz w:val="24"/>
          <w:szCs w:val="24"/>
          <w:lang w:eastAsia="pl-PL"/>
        </w:rPr>
        <w:t>z </w:t>
      </w:r>
      <w:r w:rsidR="004F045A" w:rsidRPr="00833C88">
        <w:rPr>
          <w:rFonts w:eastAsia="Times New Roman" w:cs="Times New Roman"/>
          <w:sz w:val="24"/>
          <w:szCs w:val="24"/>
          <w:lang w:eastAsia="pl-PL"/>
        </w:rPr>
        <w:t xml:space="preserve">ustawy </w:t>
      </w:r>
      <w:r w:rsidR="00C50454" w:rsidRPr="00833C88">
        <w:rPr>
          <w:rFonts w:eastAsia="Times New Roman" w:cs="Times New Roman"/>
          <w:sz w:val="24"/>
          <w:szCs w:val="24"/>
          <w:lang w:eastAsia="pl-PL"/>
        </w:rPr>
        <w:t xml:space="preserve">z dnia 4 września 1997 r. </w:t>
      </w:r>
      <w:r w:rsidR="00601933" w:rsidRPr="00833C88">
        <w:rPr>
          <w:rFonts w:eastAsia="Times New Roman" w:cs="Times New Roman"/>
          <w:sz w:val="24"/>
          <w:szCs w:val="24"/>
          <w:lang w:eastAsia="pl-PL"/>
        </w:rPr>
        <w:t>o </w:t>
      </w:r>
      <w:r w:rsidR="004F045A" w:rsidRPr="00833C88">
        <w:rPr>
          <w:rFonts w:eastAsia="Times New Roman" w:cs="Times New Roman"/>
          <w:sz w:val="24"/>
          <w:szCs w:val="24"/>
          <w:lang w:eastAsia="pl-PL"/>
        </w:rPr>
        <w:t xml:space="preserve">działach administracji rządowej </w:t>
      </w:r>
      <w:r w:rsidR="006906F1" w:rsidRPr="00833C88">
        <w:rPr>
          <w:rFonts w:eastAsia="Times New Roman" w:cs="Times New Roman"/>
          <w:sz w:val="24"/>
          <w:szCs w:val="24"/>
          <w:lang w:eastAsia="pl-PL"/>
        </w:rPr>
        <w:t>albo ustawami regulującymi poszczególne sektory gospodarki.</w:t>
      </w:r>
    </w:p>
    <w:p w14:paraId="3E4DA4EB" w14:textId="23F2F49C" w:rsidR="00B36D1F"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B36D1F" w:rsidRPr="00833C88">
        <w:rPr>
          <w:rFonts w:eastAsia="Times New Roman" w:cs="Times New Roman"/>
          <w:sz w:val="24"/>
          <w:szCs w:val="24"/>
          <w:lang w:eastAsia="pl-PL"/>
        </w:rPr>
        <w:t xml:space="preserve">przypadku sektora </w:t>
      </w:r>
      <w:r w:rsidR="0031745C" w:rsidRPr="00833C88">
        <w:rPr>
          <w:rFonts w:eastAsia="Times New Roman" w:cs="Times New Roman"/>
          <w:sz w:val="24"/>
          <w:szCs w:val="24"/>
          <w:lang w:eastAsia="pl-PL"/>
        </w:rPr>
        <w:t xml:space="preserve">podmiotów publicznych </w:t>
      </w:r>
      <w:r w:rsidR="00B36D1F" w:rsidRPr="00833C88">
        <w:rPr>
          <w:rFonts w:eastAsia="Times New Roman" w:cs="Times New Roman"/>
          <w:sz w:val="24"/>
          <w:szCs w:val="24"/>
          <w:lang w:eastAsia="pl-PL"/>
        </w:rPr>
        <w:t>organami właściwymi do spraw cyberbezpieczeństwa będą:</w:t>
      </w:r>
    </w:p>
    <w:p w14:paraId="3728BED2" w14:textId="30C8FA3A" w:rsidR="00B36D1F" w:rsidRPr="00833C88" w:rsidRDefault="00601933">
      <w:pPr>
        <w:pStyle w:val="Akapitzlist"/>
        <w:numPr>
          <w:ilvl w:val="0"/>
          <w:numId w:val="12"/>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w </w:t>
      </w:r>
      <w:r w:rsidR="00B36D1F" w:rsidRPr="00833C88">
        <w:rPr>
          <w:rFonts w:eastAsia="Times New Roman" w:cs="Times New Roman"/>
          <w:sz w:val="24"/>
          <w:szCs w:val="24"/>
          <w:lang w:eastAsia="pl-PL"/>
        </w:rPr>
        <w:t xml:space="preserve">zakresie podmiotów zgłaszających incydenty do CSIRT NASK – </w:t>
      </w:r>
      <w:r w:rsidR="00645912" w:rsidRPr="00833C88">
        <w:rPr>
          <w:rFonts w:eastAsia="Times New Roman" w:cs="Times New Roman"/>
          <w:sz w:val="24"/>
          <w:szCs w:val="24"/>
          <w:lang w:eastAsia="pl-PL"/>
        </w:rPr>
        <w:t>m</w:t>
      </w:r>
      <w:r w:rsidR="00B36D1F" w:rsidRPr="00833C88">
        <w:rPr>
          <w:rFonts w:eastAsia="Times New Roman" w:cs="Times New Roman"/>
          <w:sz w:val="24"/>
          <w:szCs w:val="24"/>
          <w:lang w:eastAsia="pl-PL"/>
        </w:rPr>
        <w:t xml:space="preserve">inister właściwy do spraw informatyzacji, przy czym zadania nadzorcze </w:t>
      </w:r>
      <w:r w:rsidRPr="00833C88">
        <w:rPr>
          <w:rFonts w:eastAsia="Times New Roman" w:cs="Times New Roman"/>
          <w:sz w:val="24"/>
          <w:szCs w:val="24"/>
          <w:lang w:eastAsia="pl-PL"/>
        </w:rPr>
        <w:t>z </w:t>
      </w:r>
      <w:r w:rsidR="00B36D1F" w:rsidRPr="00833C88">
        <w:rPr>
          <w:rFonts w:eastAsia="Times New Roman" w:cs="Times New Roman"/>
          <w:sz w:val="24"/>
          <w:szCs w:val="24"/>
          <w:lang w:eastAsia="pl-PL"/>
        </w:rPr>
        <w:t>wyjątkiem wydawania decyzji administracyjnych będą mogły być powierzone CSIRT NASK</w:t>
      </w:r>
      <w:r w:rsidR="00B0128D" w:rsidRPr="00833C88">
        <w:rPr>
          <w:rFonts w:eastAsia="Times New Roman" w:cs="Times New Roman"/>
          <w:sz w:val="24"/>
          <w:szCs w:val="24"/>
          <w:lang w:eastAsia="pl-PL"/>
        </w:rPr>
        <w:t>;</w:t>
      </w:r>
    </w:p>
    <w:p w14:paraId="3B6C9C0A" w14:textId="1E0109FE" w:rsidR="00B36D1F" w:rsidRPr="00833C88" w:rsidRDefault="00601933">
      <w:pPr>
        <w:pStyle w:val="Akapitzlist"/>
        <w:numPr>
          <w:ilvl w:val="0"/>
          <w:numId w:val="12"/>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w </w:t>
      </w:r>
      <w:r w:rsidR="00B36D1F" w:rsidRPr="00833C88">
        <w:rPr>
          <w:rFonts w:eastAsia="Times New Roman" w:cs="Times New Roman"/>
          <w:sz w:val="24"/>
          <w:szCs w:val="24"/>
          <w:lang w:eastAsia="pl-PL"/>
        </w:rPr>
        <w:t xml:space="preserve">zakresie podmiotów </w:t>
      </w:r>
      <w:r w:rsidR="00B5652D" w:rsidRPr="00833C88">
        <w:rPr>
          <w:rFonts w:eastAsia="Times New Roman" w:cs="Times New Roman"/>
          <w:sz w:val="24"/>
          <w:szCs w:val="24"/>
          <w:lang w:eastAsia="pl-PL"/>
        </w:rPr>
        <w:t>podległych Ministrowi Obrony Narodowej lub przez niego nadzorowanych</w:t>
      </w:r>
      <w:r w:rsidR="00B36D1F" w:rsidRPr="00833C88">
        <w:rPr>
          <w:rFonts w:eastAsia="Times New Roman" w:cs="Times New Roman"/>
          <w:sz w:val="24"/>
          <w:szCs w:val="24"/>
          <w:lang w:eastAsia="pl-PL"/>
        </w:rPr>
        <w:t xml:space="preserve"> – Minister Obrony Narodowej</w:t>
      </w:r>
      <w:r w:rsidR="00FC0038" w:rsidRPr="00833C88">
        <w:rPr>
          <w:rFonts w:eastAsia="Times New Roman" w:cs="Times New Roman"/>
          <w:sz w:val="24"/>
          <w:szCs w:val="24"/>
          <w:lang w:eastAsia="pl-PL"/>
        </w:rPr>
        <w:t>;</w:t>
      </w:r>
    </w:p>
    <w:p w14:paraId="1B9E4596" w14:textId="1AAE2FCF" w:rsidR="00DD107F" w:rsidRPr="00833C88" w:rsidRDefault="00DD107F">
      <w:pPr>
        <w:pStyle w:val="Akapitzlist"/>
        <w:numPr>
          <w:ilvl w:val="0"/>
          <w:numId w:val="12"/>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w zakresie </w:t>
      </w:r>
      <w:r w:rsidR="00D57D59" w:rsidRPr="00833C88">
        <w:rPr>
          <w:rFonts w:eastAsia="Times New Roman" w:cs="Times New Roman"/>
          <w:sz w:val="24"/>
          <w:szCs w:val="24"/>
          <w:lang w:eastAsia="pl-PL"/>
        </w:rPr>
        <w:t>jednostek organizacyjnych podległych ministrowi właściwemu do spraw finansów publicznych lub przez niego nadzorowanych, urzędu obsługującego tego ministra oraz spółki, o której mowa w art. 2 ust. 1 ustawy o szczególnych zasadach wykonywania niektórych zadań dotyczących informatyzacji w zakresie działów administracji rządowej budżet i finanse publiczne – minister właściwy do spraw finansów publicznych.</w:t>
      </w:r>
    </w:p>
    <w:p w14:paraId="12EA71FF" w14:textId="156FF6F0" w:rsidR="00B36D1F" w:rsidRPr="00833C88" w:rsidRDefault="00B36D1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Podział ten jest konieczny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uwagi na bardzo dużą liczbę podmiotów publicznych.</w:t>
      </w:r>
      <w:r w:rsidR="00775C2D" w:rsidRPr="00833C88">
        <w:rPr>
          <w:rFonts w:eastAsia="Times New Roman" w:cs="Times New Roman"/>
          <w:sz w:val="24"/>
          <w:szCs w:val="24"/>
          <w:lang w:eastAsia="pl-PL"/>
        </w:rPr>
        <w:t xml:space="preserve"> Co</w:t>
      </w:r>
      <w:r w:rsidR="00DE38C1" w:rsidRPr="00833C88">
        <w:rPr>
          <w:rFonts w:eastAsia="Times New Roman" w:cs="Times New Roman"/>
          <w:sz w:val="24"/>
          <w:szCs w:val="24"/>
          <w:lang w:eastAsia="pl-PL"/>
        </w:rPr>
        <w:t> </w:t>
      </w:r>
      <w:r w:rsidR="00775C2D" w:rsidRPr="00833C88">
        <w:rPr>
          <w:rFonts w:eastAsia="Times New Roman" w:cs="Times New Roman"/>
          <w:sz w:val="24"/>
          <w:szCs w:val="24"/>
          <w:lang w:eastAsia="pl-PL"/>
        </w:rPr>
        <w:t>do</w:t>
      </w:r>
      <w:r w:rsidR="00DE38C1" w:rsidRPr="00833C88">
        <w:rPr>
          <w:rFonts w:eastAsia="Times New Roman" w:cs="Times New Roman"/>
          <w:sz w:val="24"/>
          <w:szCs w:val="24"/>
          <w:lang w:eastAsia="pl-PL"/>
        </w:rPr>
        <w:t> </w:t>
      </w:r>
      <w:r w:rsidR="00775C2D" w:rsidRPr="00833C88">
        <w:rPr>
          <w:rFonts w:eastAsia="Times New Roman" w:cs="Times New Roman"/>
          <w:sz w:val="24"/>
          <w:szCs w:val="24"/>
          <w:lang w:eastAsia="pl-PL"/>
        </w:rPr>
        <w:t xml:space="preserve">zasady </w:t>
      </w:r>
      <w:r w:rsidR="00C80BD3" w:rsidRPr="00833C88">
        <w:rPr>
          <w:rFonts w:eastAsia="Times New Roman" w:cs="Times New Roman"/>
          <w:sz w:val="24"/>
          <w:szCs w:val="24"/>
          <w:lang w:eastAsia="pl-PL"/>
        </w:rPr>
        <w:t>minister właściwy do spraw informatyzacji jest odpowiedzialny za</w:t>
      </w:r>
      <w:r w:rsidR="00DE38C1" w:rsidRPr="00833C88">
        <w:rPr>
          <w:rFonts w:eastAsia="Times New Roman" w:cs="Times New Roman"/>
          <w:sz w:val="24"/>
          <w:szCs w:val="24"/>
          <w:lang w:eastAsia="pl-PL"/>
        </w:rPr>
        <w:t> </w:t>
      </w:r>
      <w:r w:rsidR="00C80BD3" w:rsidRPr="00833C88">
        <w:rPr>
          <w:rFonts w:eastAsia="Times New Roman" w:cs="Times New Roman"/>
          <w:sz w:val="24"/>
          <w:szCs w:val="24"/>
          <w:lang w:eastAsia="pl-PL"/>
        </w:rPr>
        <w:t xml:space="preserve">bezpieczeństwo </w:t>
      </w:r>
      <w:r w:rsidR="00601933" w:rsidRPr="00833C88">
        <w:rPr>
          <w:rFonts w:eastAsia="Times New Roman" w:cs="Times New Roman"/>
          <w:sz w:val="24"/>
          <w:szCs w:val="24"/>
          <w:lang w:eastAsia="pl-PL"/>
        </w:rPr>
        <w:t>w </w:t>
      </w:r>
      <w:r w:rsidR="00C80BD3" w:rsidRPr="00833C88">
        <w:rPr>
          <w:rFonts w:eastAsia="Times New Roman" w:cs="Times New Roman"/>
          <w:sz w:val="24"/>
          <w:szCs w:val="24"/>
          <w:lang w:eastAsia="pl-PL"/>
        </w:rPr>
        <w:t xml:space="preserve">cyberprzestrzeni </w:t>
      </w:r>
      <w:r w:rsidR="00601933" w:rsidRPr="00833C88">
        <w:rPr>
          <w:rFonts w:eastAsia="Times New Roman" w:cs="Times New Roman"/>
          <w:sz w:val="24"/>
          <w:szCs w:val="24"/>
          <w:lang w:eastAsia="pl-PL"/>
        </w:rPr>
        <w:t>w </w:t>
      </w:r>
      <w:r w:rsidR="00C80BD3" w:rsidRPr="00833C88">
        <w:rPr>
          <w:rFonts w:eastAsia="Times New Roman" w:cs="Times New Roman"/>
          <w:sz w:val="24"/>
          <w:szCs w:val="24"/>
          <w:lang w:eastAsia="pl-PL"/>
        </w:rPr>
        <w:t xml:space="preserve">wymiarze cywilnym (art. 12a ust. 1 pkt 10 ustawy </w:t>
      </w:r>
      <w:r w:rsidR="00601933" w:rsidRPr="00833C88">
        <w:rPr>
          <w:rFonts w:eastAsia="Times New Roman" w:cs="Times New Roman"/>
          <w:sz w:val="24"/>
          <w:szCs w:val="24"/>
          <w:lang w:eastAsia="pl-PL"/>
        </w:rPr>
        <w:t>z </w:t>
      </w:r>
      <w:r w:rsidR="00C80BD3" w:rsidRPr="00833C88">
        <w:rPr>
          <w:rFonts w:eastAsia="Times New Roman" w:cs="Times New Roman"/>
          <w:sz w:val="24"/>
          <w:szCs w:val="24"/>
          <w:lang w:eastAsia="pl-PL"/>
        </w:rPr>
        <w:t>dnia 4 września 1997</w:t>
      </w:r>
      <w:r w:rsidR="00ED2326" w:rsidRPr="00833C88">
        <w:rPr>
          <w:rFonts w:eastAsia="Times New Roman" w:cs="Times New Roman"/>
          <w:sz w:val="24"/>
          <w:szCs w:val="24"/>
          <w:lang w:eastAsia="pl-PL"/>
        </w:rPr>
        <w:t> </w:t>
      </w:r>
      <w:r w:rsidR="00C80BD3" w:rsidRPr="00833C88">
        <w:rPr>
          <w:rFonts w:eastAsia="Times New Roman" w:cs="Times New Roman"/>
          <w:sz w:val="24"/>
          <w:szCs w:val="24"/>
          <w:lang w:eastAsia="pl-PL"/>
        </w:rPr>
        <w:t xml:space="preserve">r. </w:t>
      </w:r>
      <w:r w:rsidR="00601933" w:rsidRPr="00833C88">
        <w:rPr>
          <w:rFonts w:eastAsia="Times New Roman" w:cs="Times New Roman"/>
          <w:sz w:val="24"/>
          <w:szCs w:val="24"/>
          <w:lang w:eastAsia="pl-PL"/>
        </w:rPr>
        <w:t>o </w:t>
      </w:r>
      <w:r w:rsidR="00C80BD3" w:rsidRPr="00833C88">
        <w:rPr>
          <w:rFonts w:eastAsia="Times New Roman" w:cs="Times New Roman"/>
          <w:sz w:val="24"/>
          <w:szCs w:val="24"/>
          <w:lang w:eastAsia="pl-PL"/>
        </w:rPr>
        <w:t>działach administracji rządowej). Stąd co do zasady to on będzie organem właściwym do spraw cyberbezpieczeństwa dla podmi</w:t>
      </w:r>
      <w:r w:rsidR="0077734A" w:rsidRPr="00833C88">
        <w:rPr>
          <w:rFonts w:eastAsia="Times New Roman" w:cs="Times New Roman"/>
          <w:sz w:val="24"/>
          <w:szCs w:val="24"/>
          <w:lang w:eastAsia="pl-PL"/>
        </w:rPr>
        <w:t>otów publicznych.</w:t>
      </w:r>
      <w:r w:rsidR="00F16C9F" w:rsidRPr="00833C88">
        <w:rPr>
          <w:rFonts w:eastAsia="Times New Roman" w:cs="Times New Roman"/>
          <w:sz w:val="24"/>
          <w:szCs w:val="24"/>
          <w:lang w:eastAsia="pl-PL"/>
        </w:rPr>
        <w:t xml:space="preserve"> Minister Obrony Narodowej jest </w:t>
      </w:r>
      <w:r w:rsidR="00601933" w:rsidRPr="00833C88">
        <w:rPr>
          <w:rFonts w:eastAsia="Times New Roman" w:cs="Times New Roman"/>
          <w:sz w:val="24"/>
          <w:szCs w:val="24"/>
          <w:lang w:eastAsia="pl-PL"/>
        </w:rPr>
        <w:t>z </w:t>
      </w:r>
      <w:r w:rsidR="00F16C9F" w:rsidRPr="00833C88">
        <w:rPr>
          <w:rFonts w:eastAsia="Times New Roman" w:cs="Times New Roman"/>
          <w:sz w:val="24"/>
          <w:szCs w:val="24"/>
          <w:lang w:eastAsia="pl-PL"/>
        </w:rPr>
        <w:t xml:space="preserve">kolei odpowiedzialny za </w:t>
      </w:r>
      <w:r w:rsidR="005420E4" w:rsidRPr="00833C88">
        <w:rPr>
          <w:rFonts w:eastAsia="Times New Roman" w:cs="Times New Roman"/>
          <w:sz w:val="24"/>
          <w:szCs w:val="24"/>
          <w:lang w:eastAsia="pl-PL"/>
        </w:rPr>
        <w:t xml:space="preserve">bezpieczeństwo cyberprzestrzeni </w:t>
      </w:r>
      <w:r w:rsidR="00601933" w:rsidRPr="00833C88">
        <w:rPr>
          <w:rFonts w:eastAsia="Times New Roman" w:cs="Times New Roman"/>
          <w:sz w:val="24"/>
          <w:szCs w:val="24"/>
          <w:lang w:eastAsia="pl-PL"/>
        </w:rPr>
        <w:t>w </w:t>
      </w:r>
      <w:r w:rsidR="005420E4" w:rsidRPr="00833C88">
        <w:rPr>
          <w:rFonts w:eastAsia="Times New Roman" w:cs="Times New Roman"/>
          <w:sz w:val="24"/>
          <w:szCs w:val="24"/>
          <w:lang w:eastAsia="pl-PL"/>
        </w:rPr>
        <w:t>wymiarze militarnym</w:t>
      </w:r>
      <w:r w:rsidR="008A2E0E" w:rsidRPr="00833C88">
        <w:rPr>
          <w:rFonts w:eastAsia="Times New Roman" w:cs="Times New Roman"/>
          <w:sz w:val="24"/>
          <w:szCs w:val="24"/>
          <w:lang w:eastAsia="pl-PL"/>
        </w:rPr>
        <w:t xml:space="preserve"> (art. 19 ust. 1 pkt 1a ustawy </w:t>
      </w:r>
      <w:r w:rsidR="00601933" w:rsidRPr="00833C88">
        <w:rPr>
          <w:rFonts w:eastAsia="Times New Roman" w:cs="Times New Roman"/>
          <w:sz w:val="24"/>
          <w:szCs w:val="24"/>
          <w:lang w:eastAsia="pl-PL"/>
        </w:rPr>
        <w:t>z </w:t>
      </w:r>
      <w:r w:rsidR="008A2E0E" w:rsidRPr="00833C88">
        <w:rPr>
          <w:rFonts w:eastAsia="Times New Roman" w:cs="Times New Roman"/>
          <w:sz w:val="24"/>
          <w:szCs w:val="24"/>
          <w:lang w:eastAsia="pl-PL"/>
        </w:rPr>
        <w:t xml:space="preserve">dnia 4 września 1997 r. </w:t>
      </w:r>
      <w:r w:rsidR="00601933" w:rsidRPr="00833C88">
        <w:rPr>
          <w:rFonts w:eastAsia="Times New Roman" w:cs="Times New Roman"/>
          <w:sz w:val="24"/>
          <w:szCs w:val="24"/>
          <w:lang w:eastAsia="pl-PL"/>
        </w:rPr>
        <w:t>o </w:t>
      </w:r>
      <w:r w:rsidR="008A2E0E" w:rsidRPr="00833C88">
        <w:rPr>
          <w:rFonts w:eastAsia="Times New Roman" w:cs="Times New Roman"/>
          <w:sz w:val="24"/>
          <w:szCs w:val="24"/>
          <w:lang w:eastAsia="pl-PL"/>
        </w:rPr>
        <w:t xml:space="preserve">działach administracji rządowej). Stąd też </w:t>
      </w:r>
      <w:r w:rsidR="00A273B0" w:rsidRPr="00833C88">
        <w:rPr>
          <w:rFonts w:eastAsia="Times New Roman" w:cs="Times New Roman"/>
          <w:sz w:val="24"/>
          <w:szCs w:val="24"/>
          <w:lang w:eastAsia="pl-PL"/>
        </w:rPr>
        <w:t>to</w:t>
      </w:r>
      <w:r w:rsidR="00DE38C1" w:rsidRPr="00833C88">
        <w:rPr>
          <w:rFonts w:eastAsia="Times New Roman" w:cs="Times New Roman"/>
          <w:sz w:val="24"/>
          <w:szCs w:val="24"/>
          <w:lang w:eastAsia="pl-PL"/>
        </w:rPr>
        <w:t> </w:t>
      </w:r>
      <w:r w:rsidR="00A273B0" w:rsidRPr="00833C88">
        <w:rPr>
          <w:rFonts w:eastAsia="Times New Roman" w:cs="Times New Roman"/>
          <w:sz w:val="24"/>
          <w:szCs w:val="24"/>
          <w:lang w:eastAsia="pl-PL"/>
        </w:rPr>
        <w:t>on powinien nadzorować podmioty publiczne jemu podległe albo przez niego nadzorowane.</w:t>
      </w:r>
    </w:p>
    <w:p w14:paraId="3022EF53" w14:textId="7E0E5575" w:rsidR="005C68BD" w:rsidRPr="00833C88" w:rsidRDefault="005C68B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Wprowadzono przy tym regułę, że jeśli podmiot publiczny znajduje się również w innym sektorze niż sektor podmioty publiczne, to wtedy organem właściwym </w:t>
      </w:r>
      <w:r w:rsidRPr="00833C88">
        <w:rPr>
          <w:rFonts w:eastAsia="Times New Roman" w:cs="Times New Roman"/>
          <w:sz w:val="24"/>
          <w:szCs w:val="24"/>
          <w:lang w:eastAsia="pl-PL"/>
        </w:rPr>
        <w:lastRenderedPageBreak/>
        <w:t>d</w:t>
      </w:r>
      <w:r w:rsidR="00DE38C1" w:rsidRPr="00833C88">
        <w:rPr>
          <w:rFonts w:eastAsia="Times New Roman" w:cs="Times New Roman"/>
          <w:sz w:val="24"/>
          <w:szCs w:val="24"/>
          <w:lang w:eastAsia="pl-PL"/>
        </w:rPr>
        <w:t>o </w:t>
      </w:r>
      <w:r w:rsidRPr="00833C88">
        <w:rPr>
          <w:rFonts w:eastAsia="Times New Roman" w:cs="Times New Roman"/>
          <w:sz w:val="24"/>
          <w:szCs w:val="24"/>
          <w:lang w:eastAsia="pl-PL"/>
        </w:rPr>
        <w:t>s</w:t>
      </w:r>
      <w:r w:rsidR="00DE38C1" w:rsidRPr="00833C88">
        <w:rPr>
          <w:rFonts w:eastAsia="Times New Roman" w:cs="Times New Roman"/>
          <w:sz w:val="24"/>
          <w:szCs w:val="24"/>
          <w:lang w:eastAsia="pl-PL"/>
        </w:rPr>
        <w:t>praw </w:t>
      </w:r>
      <w:r w:rsidRPr="00833C88">
        <w:rPr>
          <w:rFonts w:eastAsia="Times New Roman" w:cs="Times New Roman"/>
          <w:sz w:val="24"/>
          <w:szCs w:val="24"/>
          <w:lang w:eastAsia="pl-PL"/>
        </w:rPr>
        <w:t>cyberbezpieczeństwa dla niego</w:t>
      </w:r>
      <w:r w:rsidR="00914EA2" w:rsidRPr="00833C88">
        <w:rPr>
          <w:rFonts w:eastAsia="Times New Roman" w:cs="Times New Roman"/>
          <w:sz w:val="24"/>
          <w:szCs w:val="24"/>
          <w:lang w:eastAsia="pl-PL"/>
        </w:rPr>
        <w:t xml:space="preserve"> nie będzie minister właściwy do spraw informatyzacji tylko</w:t>
      </w:r>
      <w:r w:rsidRPr="00833C88">
        <w:rPr>
          <w:rFonts w:eastAsia="Times New Roman" w:cs="Times New Roman"/>
          <w:sz w:val="24"/>
          <w:szCs w:val="24"/>
          <w:lang w:eastAsia="pl-PL"/>
        </w:rPr>
        <w:t xml:space="preserve"> będzie </w:t>
      </w:r>
      <w:r w:rsidR="00914EA2" w:rsidRPr="00833C88">
        <w:rPr>
          <w:rFonts w:eastAsia="Times New Roman" w:cs="Times New Roman"/>
          <w:sz w:val="24"/>
          <w:szCs w:val="24"/>
          <w:lang w:eastAsia="pl-PL"/>
        </w:rPr>
        <w:t>organ z innego sektora – przykładowo dla Polskiej Agencji Kosmicznej będzie to</w:t>
      </w:r>
      <w:r w:rsidR="00DE38C1" w:rsidRPr="00833C88">
        <w:rPr>
          <w:rFonts w:eastAsia="Times New Roman" w:cs="Times New Roman"/>
          <w:sz w:val="24"/>
          <w:szCs w:val="24"/>
          <w:lang w:eastAsia="pl-PL"/>
        </w:rPr>
        <w:t> </w:t>
      </w:r>
      <w:r w:rsidR="00914EA2" w:rsidRPr="00833C88">
        <w:rPr>
          <w:rFonts w:eastAsia="Times New Roman" w:cs="Times New Roman"/>
          <w:sz w:val="24"/>
          <w:szCs w:val="24"/>
          <w:lang w:eastAsia="pl-PL"/>
        </w:rPr>
        <w:t>minister właściwy do spraw gospodarki. Rozwiązanie ma na celu uprościć właściwość organów. Nie będzie się go jednak stosować przy samorządowych podmiotach publicznych, ponieważ mogą one potencjalnie znajdować się w wielu sektora</w:t>
      </w:r>
      <w:r w:rsidR="00374B4B" w:rsidRPr="00833C88">
        <w:rPr>
          <w:rFonts w:eastAsia="Times New Roman" w:cs="Times New Roman"/>
          <w:sz w:val="24"/>
          <w:szCs w:val="24"/>
          <w:lang w:eastAsia="pl-PL"/>
        </w:rPr>
        <w:t>ch</w:t>
      </w:r>
      <w:r w:rsidR="00914EA2" w:rsidRPr="00833C88">
        <w:rPr>
          <w:rFonts w:eastAsia="Times New Roman" w:cs="Times New Roman"/>
          <w:sz w:val="24"/>
          <w:szCs w:val="24"/>
          <w:lang w:eastAsia="pl-PL"/>
        </w:rPr>
        <w:t xml:space="preserve">, np. prowadząc działalność telekomunikacyjną, zaopatrując w wodę mieszkańców itd. – proponowana regulacja </w:t>
      </w:r>
      <w:r w:rsidR="00374B4B" w:rsidRPr="00833C88">
        <w:rPr>
          <w:rFonts w:eastAsia="Times New Roman" w:cs="Times New Roman"/>
          <w:sz w:val="24"/>
          <w:szCs w:val="24"/>
          <w:lang w:eastAsia="pl-PL"/>
        </w:rPr>
        <w:t xml:space="preserve">uniemożliwiałaby </w:t>
      </w:r>
      <w:r w:rsidR="00914EA2" w:rsidRPr="00833C88">
        <w:rPr>
          <w:rFonts w:eastAsia="Times New Roman" w:cs="Times New Roman"/>
          <w:sz w:val="24"/>
          <w:szCs w:val="24"/>
          <w:lang w:eastAsia="pl-PL"/>
        </w:rPr>
        <w:t xml:space="preserve">wtedy </w:t>
      </w:r>
      <w:r w:rsidR="00374B4B" w:rsidRPr="00833C88">
        <w:rPr>
          <w:rFonts w:eastAsia="Times New Roman" w:cs="Times New Roman"/>
          <w:sz w:val="24"/>
          <w:szCs w:val="24"/>
          <w:lang w:eastAsia="pl-PL"/>
        </w:rPr>
        <w:t xml:space="preserve">ustalenie </w:t>
      </w:r>
      <w:r w:rsidR="00914EA2" w:rsidRPr="00833C88">
        <w:rPr>
          <w:rFonts w:eastAsia="Times New Roman" w:cs="Times New Roman"/>
          <w:sz w:val="24"/>
          <w:szCs w:val="24"/>
          <w:lang w:eastAsia="pl-PL"/>
        </w:rPr>
        <w:t>właściwoś</w:t>
      </w:r>
      <w:r w:rsidR="00374B4B" w:rsidRPr="00833C88">
        <w:rPr>
          <w:rFonts w:eastAsia="Times New Roman" w:cs="Times New Roman"/>
          <w:sz w:val="24"/>
          <w:szCs w:val="24"/>
          <w:lang w:eastAsia="pl-PL"/>
        </w:rPr>
        <w:t>ci</w:t>
      </w:r>
      <w:r w:rsidR="00914EA2" w:rsidRPr="00833C88">
        <w:rPr>
          <w:rFonts w:eastAsia="Times New Roman" w:cs="Times New Roman"/>
          <w:sz w:val="24"/>
          <w:szCs w:val="24"/>
          <w:lang w:eastAsia="pl-PL"/>
        </w:rPr>
        <w:t xml:space="preserve"> organów.</w:t>
      </w:r>
    </w:p>
    <w:p w14:paraId="0A915C4D" w14:textId="4E15D4F5" w:rsidR="000B1C4F" w:rsidRPr="00833C88" w:rsidRDefault="00551A3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Katalog zadań organów właściwych do spraw cyberbezpieczeństwa został uzupełniony zgodnie </w:t>
      </w:r>
      <w:r w:rsidR="00601933" w:rsidRPr="00833C88">
        <w:rPr>
          <w:rFonts w:eastAsia="Times New Roman" w:cs="Times New Roman"/>
          <w:sz w:val="24"/>
          <w:szCs w:val="24"/>
          <w:lang w:eastAsia="pl-PL"/>
        </w:rPr>
        <w:t>z </w:t>
      </w:r>
      <w:r w:rsidR="00D9549B" w:rsidRPr="00833C88">
        <w:rPr>
          <w:rFonts w:eastAsia="Times New Roman" w:cs="Times New Roman"/>
          <w:sz w:val="24"/>
          <w:szCs w:val="24"/>
          <w:lang w:eastAsia="pl-PL"/>
        </w:rPr>
        <w:t>innymi przepisami ustawy</w:t>
      </w:r>
      <w:r w:rsidR="003A7ECD" w:rsidRPr="00833C88">
        <w:rPr>
          <w:rFonts w:eastAsia="Times New Roman" w:cs="Times New Roman"/>
          <w:sz w:val="24"/>
          <w:szCs w:val="24"/>
          <w:lang w:eastAsia="pl-PL"/>
        </w:rPr>
        <w:t>, wskazano na kompetencje do bieżącej analizy podmi</w:t>
      </w:r>
      <w:r w:rsidR="000777A2" w:rsidRPr="00833C88">
        <w:rPr>
          <w:rFonts w:eastAsia="Times New Roman" w:cs="Times New Roman"/>
          <w:sz w:val="24"/>
          <w:szCs w:val="24"/>
          <w:lang w:eastAsia="pl-PL"/>
        </w:rPr>
        <w:t xml:space="preserve">otów spełniających kryteria podmiotu kluczowego lub podmiotu ważnego, zadania związane </w:t>
      </w:r>
      <w:r w:rsidR="00601933" w:rsidRPr="00833C88">
        <w:rPr>
          <w:rFonts w:eastAsia="Times New Roman" w:cs="Times New Roman"/>
          <w:sz w:val="24"/>
          <w:szCs w:val="24"/>
          <w:lang w:eastAsia="pl-PL"/>
        </w:rPr>
        <w:t>z </w:t>
      </w:r>
      <w:r w:rsidR="000777A2" w:rsidRPr="00833C88">
        <w:rPr>
          <w:rFonts w:eastAsia="Times New Roman" w:cs="Times New Roman"/>
          <w:sz w:val="24"/>
          <w:szCs w:val="24"/>
          <w:lang w:eastAsia="pl-PL"/>
        </w:rPr>
        <w:t>wykazem podmiotów kluczowych lub podmiotów wa</w:t>
      </w:r>
      <w:r w:rsidR="00654BE2" w:rsidRPr="00833C88">
        <w:rPr>
          <w:rFonts w:eastAsia="Times New Roman" w:cs="Times New Roman"/>
          <w:sz w:val="24"/>
          <w:szCs w:val="24"/>
          <w:lang w:eastAsia="pl-PL"/>
        </w:rPr>
        <w:t>ż</w:t>
      </w:r>
      <w:r w:rsidR="000777A2" w:rsidRPr="00833C88">
        <w:rPr>
          <w:rFonts w:eastAsia="Times New Roman" w:cs="Times New Roman"/>
          <w:sz w:val="24"/>
          <w:szCs w:val="24"/>
          <w:lang w:eastAsia="pl-PL"/>
        </w:rPr>
        <w:t>nych</w:t>
      </w:r>
      <w:r w:rsidR="00ED2326" w:rsidRPr="00833C88">
        <w:rPr>
          <w:rFonts w:eastAsia="Times New Roman" w:cs="Times New Roman"/>
          <w:sz w:val="24"/>
          <w:szCs w:val="24"/>
          <w:lang w:eastAsia="pl-PL"/>
        </w:rPr>
        <w:t>.</w:t>
      </w:r>
    </w:p>
    <w:p w14:paraId="33C97A25" w14:textId="2DCCB9F3" w:rsidR="00551A3A" w:rsidRPr="00833C88" w:rsidRDefault="00D9549B"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Dodatkowo dodaje się także uprawnienie do</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odpytywania podmiotów</w:t>
      </w:r>
      <w:r w:rsidR="00D2714E" w:rsidRPr="00833C88">
        <w:rPr>
          <w:rFonts w:eastAsia="Times New Roman" w:cs="Times New Roman"/>
          <w:sz w:val="24"/>
          <w:szCs w:val="24"/>
          <w:lang w:eastAsia="pl-PL"/>
        </w:rPr>
        <w:t>,</w:t>
      </w:r>
      <w:r w:rsidR="00955DD0" w:rsidRPr="00833C88">
        <w:rPr>
          <w:rFonts w:eastAsia="Times New Roman" w:cs="Times New Roman"/>
          <w:sz w:val="24"/>
          <w:szCs w:val="24"/>
          <w:lang w:eastAsia="pl-PL"/>
        </w:rPr>
        <w:t xml:space="preserve"> np. przedsiębiorców</w:t>
      </w:r>
      <w:r w:rsidR="00D2714E" w:rsidRPr="00833C88">
        <w:rPr>
          <w:rFonts w:eastAsia="Times New Roman" w:cs="Times New Roman"/>
          <w:sz w:val="24"/>
          <w:szCs w:val="24"/>
          <w:lang w:eastAsia="pl-PL"/>
        </w:rPr>
        <w:t>,</w:t>
      </w:r>
      <w:r w:rsidR="00955DD0"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955DD0" w:rsidRPr="00833C88">
        <w:rPr>
          <w:rFonts w:eastAsia="Times New Roman" w:cs="Times New Roman"/>
          <w:sz w:val="24"/>
          <w:szCs w:val="24"/>
          <w:lang w:eastAsia="pl-PL"/>
        </w:rPr>
        <w:t>przekazanie informacji umożliwiających stwierdzenie, czy są one podmiotami kluczowymi czy podmiotami ważnymi. To uprawnienie jest konieczne, aby zapewnić skuteczność ustawy.</w:t>
      </w:r>
    </w:p>
    <w:p w14:paraId="6FD24EBA" w14:textId="74F679F2" w:rsidR="00792C35" w:rsidRPr="00833C88" w:rsidRDefault="00792C3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Nowym zadaniem, związanym ze sprawowaniem nadzoru, jest prowadzenie przez organ właściwy do spraw cyberbezpieczeństwa wykazu osób wobec których wydana została decyzja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zastosowaniu środka nadzorczego,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art. 53 ust. 9 pkt 6</w:t>
      </w:r>
      <w:r w:rsidR="00C3798C"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C3798C" w:rsidRPr="00833C88">
        <w:rPr>
          <w:rFonts w:eastAsia="Times New Roman" w:cs="Times New Roman"/>
          <w:sz w:val="24"/>
          <w:szCs w:val="24"/>
          <w:lang w:eastAsia="pl-PL"/>
        </w:rPr>
        <w:t>KSC</w:t>
      </w:r>
      <w:r w:rsidRPr="00833C88">
        <w:rPr>
          <w:rFonts w:eastAsia="Times New Roman" w:cs="Times New Roman"/>
          <w:sz w:val="24"/>
          <w:szCs w:val="24"/>
          <w:lang w:eastAsia="pl-PL"/>
        </w:rPr>
        <w:t xml:space="preserve">. Środek ten dotyczy tymczasowego zakazu </w:t>
      </w:r>
      <w:r w:rsidR="00236E40" w:rsidRPr="00833C88">
        <w:rPr>
          <w:rFonts w:eastAsia="Times New Roman" w:cs="Times New Roman"/>
          <w:sz w:val="24"/>
          <w:szCs w:val="24"/>
          <w:lang w:eastAsia="pl-PL"/>
        </w:rPr>
        <w:t>pełnienia funkcji zarządczych</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podmiocie kluczowym</w:t>
      </w:r>
      <w:r w:rsidR="00236E40" w:rsidRPr="00833C88">
        <w:rPr>
          <w:rFonts w:eastAsia="Times New Roman" w:cs="Times New Roman"/>
          <w:sz w:val="24"/>
          <w:szCs w:val="24"/>
          <w:lang w:eastAsia="pl-PL"/>
        </w:rPr>
        <w:t xml:space="preserve"> przez kierownika podmiotu</w:t>
      </w:r>
      <w:r w:rsidRPr="00833C88">
        <w:rPr>
          <w:rFonts w:eastAsia="Times New Roman" w:cs="Times New Roman"/>
          <w:sz w:val="24"/>
          <w:szCs w:val="24"/>
          <w:lang w:eastAsia="pl-PL"/>
        </w:rPr>
        <w:t xml:space="preserve">. Prowadzenie wykazu związane jest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obowiązkiem przekazywania informacji na temat stosowania tego środka celem ujawnienia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Krajowym Rejestrze Sądowym. 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art. 21 ust.</w:t>
      </w:r>
      <w:r w:rsidR="000F44DA"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1 </w:t>
      </w:r>
      <w:r w:rsidR="00C3798C" w:rsidRPr="00833C88">
        <w:rPr>
          <w:rFonts w:cs="Times New Roman"/>
          <w:sz w:val="24"/>
          <w:szCs w:val="24"/>
        </w:rPr>
        <w:t xml:space="preserve">ustawy </w:t>
      </w:r>
      <w:r w:rsidR="00601933" w:rsidRPr="00833C88">
        <w:rPr>
          <w:rFonts w:cs="Times New Roman"/>
          <w:sz w:val="24"/>
          <w:szCs w:val="24"/>
        </w:rPr>
        <w:t>z </w:t>
      </w:r>
      <w:r w:rsidR="00C3798C" w:rsidRPr="00833C88">
        <w:rPr>
          <w:rFonts w:cs="Times New Roman"/>
          <w:sz w:val="24"/>
          <w:szCs w:val="24"/>
        </w:rPr>
        <w:t xml:space="preserve">dnia 20 sierpnia 1997 r. </w:t>
      </w:r>
      <w:r w:rsidR="00601933" w:rsidRPr="00833C88">
        <w:rPr>
          <w:rFonts w:cs="Times New Roman"/>
          <w:sz w:val="24"/>
          <w:szCs w:val="24"/>
        </w:rPr>
        <w:t>o </w:t>
      </w:r>
      <w:r w:rsidR="00C3798C" w:rsidRPr="00833C88">
        <w:rPr>
          <w:rFonts w:cs="Times New Roman"/>
          <w:sz w:val="24"/>
          <w:szCs w:val="24"/>
        </w:rPr>
        <w:t xml:space="preserve">Krajowym Rejestrze Sądowym (Dz. U. </w:t>
      </w:r>
      <w:r w:rsidR="00601933" w:rsidRPr="00833C88">
        <w:rPr>
          <w:rFonts w:cs="Times New Roman"/>
          <w:sz w:val="24"/>
          <w:szCs w:val="24"/>
        </w:rPr>
        <w:t>z </w:t>
      </w:r>
      <w:r w:rsidR="00C3798C" w:rsidRPr="00833C88">
        <w:rPr>
          <w:rFonts w:cs="Times New Roman"/>
          <w:sz w:val="24"/>
          <w:szCs w:val="24"/>
        </w:rPr>
        <w:t>202</w:t>
      </w:r>
      <w:r w:rsidR="00B611A5" w:rsidRPr="00833C88">
        <w:rPr>
          <w:rFonts w:cs="Times New Roman"/>
          <w:sz w:val="24"/>
          <w:szCs w:val="24"/>
        </w:rPr>
        <w:t>5 r. poz. 869</w:t>
      </w:r>
      <w:r w:rsidR="00C3798C" w:rsidRPr="00833C88">
        <w:rPr>
          <w:rFonts w:cs="Times New Roman"/>
          <w:sz w:val="24"/>
          <w:szCs w:val="24"/>
        </w:rPr>
        <w:t xml:space="preserve">), zwanej dalej „ustawą </w:t>
      </w:r>
      <w:r w:rsidR="00601933" w:rsidRPr="00833C88">
        <w:rPr>
          <w:rFonts w:cs="Times New Roman"/>
          <w:sz w:val="24"/>
          <w:szCs w:val="24"/>
        </w:rPr>
        <w:t>o </w:t>
      </w:r>
      <w:r w:rsidR="00C3798C" w:rsidRPr="00833C88">
        <w:rPr>
          <w:rFonts w:cs="Times New Roman"/>
          <w:sz w:val="24"/>
          <w:szCs w:val="24"/>
        </w:rPr>
        <w:t xml:space="preserve">KRS”, </w:t>
      </w:r>
      <w:r w:rsidRPr="00833C88">
        <w:rPr>
          <w:rFonts w:eastAsia="Times New Roman" w:cs="Times New Roman"/>
          <w:sz w:val="24"/>
          <w:szCs w:val="24"/>
          <w:lang w:eastAsia="pl-PL"/>
        </w:rPr>
        <w:t xml:space="preserve">organy administracji rządowej są obowiązane niezwłocznie informować właściwy sąd rejestrowy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zdarzeniach, które podlegają obowiązkowi wpisu do K</w:t>
      </w:r>
      <w:r w:rsidR="000D4C87" w:rsidRPr="00833C88">
        <w:rPr>
          <w:rFonts w:eastAsia="Times New Roman" w:cs="Times New Roman"/>
          <w:sz w:val="24"/>
          <w:szCs w:val="24"/>
          <w:lang w:eastAsia="pl-PL"/>
        </w:rPr>
        <w:t>rajowego Rejestru Sądowego</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urzędu. Wskutek objęcia osoby takim zakazem,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K</w:t>
      </w:r>
      <w:r w:rsidR="000D4C87" w:rsidRPr="00833C88">
        <w:rPr>
          <w:rFonts w:eastAsia="Times New Roman" w:cs="Times New Roman"/>
          <w:sz w:val="24"/>
          <w:szCs w:val="24"/>
          <w:lang w:eastAsia="pl-PL"/>
        </w:rPr>
        <w:t>rajowym Rejestrze Sądowym</w:t>
      </w:r>
      <w:r w:rsidRPr="00833C88">
        <w:rPr>
          <w:rFonts w:eastAsia="Times New Roman" w:cs="Times New Roman"/>
          <w:sz w:val="24"/>
          <w:szCs w:val="24"/>
          <w:lang w:eastAsia="pl-PL"/>
        </w:rPr>
        <w:t xml:space="preserve"> prowadzonym dla danego podmiotu kluczowego należy dokonać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urzędu wykreślenia takiej osoby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rejestru (art. 24 ust, 6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KRS). Osoba ta </w:t>
      </w:r>
      <w:r w:rsidR="009B1886" w:rsidRPr="00833C88">
        <w:rPr>
          <w:rFonts w:eastAsia="Times New Roman" w:cs="Times New Roman"/>
          <w:sz w:val="24"/>
          <w:szCs w:val="24"/>
          <w:lang w:eastAsia="pl-PL"/>
        </w:rPr>
        <w:t xml:space="preserve">może zostać wpisana ponownie na ogólnych zasadach, jeżeli </w:t>
      </w:r>
      <w:r w:rsidRPr="00833C88">
        <w:rPr>
          <w:rFonts w:eastAsia="Times New Roman" w:cs="Times New Roman"/>
          <w:sz w:val="24"/>
          <w:szCs w:val="24"/>
          <w:lang w:eastAsia="pl-PL"/>
        </w:rPr>
        <w:t xml:space="preserve">zostanie </w:t>
      </w:r>
      <w:r w:rsidR="009B1886" w:rsidRPr="00833C88">
        <w:rPr>
          <w:rFonts w:eastAsia="Times New Roman" w:cs="Times New Roman"/>
          <w:sz w:val="24"/>
          <w:szCs w:val="24"/>
          <w:lang w:eastAsia="pl-PL"/>
        </w:rPr>
        <w:t xml:space="preserve">złożony stosowny wniosek </w:t>
      </w:r>
      <w:r w:rsidR="00601933" w:rsidRPr="00833C88">
        <w:rPr>
          <w:rFonts w:eastAsia="Times New Roman" w:cs="Times New Roman"/>
          <w:sz w:val="24"/>
          <w:szCs w:val="24"/>
          <w:lang w:eastAsia="pl-PL"/>
        </w:rPr>
        <w:t>w </w:t>
      </w:r>
      <w:r w:rsidR="009B1886" w:rsidRPr="00833C88">
        <w:rPr>
          <w:rFonts w:eastAsia="Times New Roman" w:cs="Times New Roman"/>
          <w:sz w:val="24"/>
          <w:szCs w:val="24"/>
          <w:lang w:eastAsia="pl-PL"/>
        </w:rPr>
        <w:t>tym przedmiocie</w:t>
      </w:r>
      <w:r w:rsidRPr="00833C88">
        <w:rPr>
          <w:rFonts w:eastAsia="Times New Roman" w:cs="Times New Roman"/>
          <w:sz w:val="24"/>
          <w:szCs w:val="24"/>
          <w:lang w:eastAsia="pl-PL"/>
        </w:rPr>
        <w:t>.</w:t>
      </w:r>
      <w:r w:rsidR="00D85C76" w:rsidRPr="00833C88">
        <w:rPr>
          <w:rFonts w:eastAsia="Times New Roman" w:cs="Times New Roman"/>
          <w:sz w:val="24"/>
          <w:szCs w:val="24"/>
          <w:lang w:eastAsia="pl-PL"/>
        </w:rPr>
        <w:t xml:space="preserve"> Organy właściwe do spraw cyberbezpieczeństwa obowiązane będą także do regularnego aktualizowania wykazu</w:t>
      </w:r>
      <w:r w:rsidR="005A57C8" w:rsidRPr="00833C88">
        <w:rPr>
          <w:rFonts w:eastAsia="Times New Roman" w:cs="Times New Roman"/>
          <w:sz w:val="24"/>
          <w:szCs w:val="24"/>
          <w:lang w:eastAsia="pl-PL"/>
        </w:rPr>
        <w:t xml:space="preserve">. Oznacza to, że w przypadku uchylenia decyzji, o zastosowaniu środka nadzorczego, o którym mowa w art. 53 ust. 9 pkt 6, dane </w:t>
      </w:r>
      <w:r w:rsidR="000B1414" w:rsidRPr="00833C88">
        <w:rPr>
          <w:rFonts w:eastAsia="Times New Roman" w:cs="Times New Roman"/>
          <w:sz w:val="24"/>
          <w:szCs w:val="24"/>
          <w:lang w:eastAsia="pl-PL"/>
        </w:rPr>
        <w:t>dotyczące tego kierownika podmiotu</w:t>
      </w:r>
      <w:r w:rsidR="00A9782A" w:rsidRPr="00833C88">
        <w:rPr>
          <w:rFonts w:eastAsia="Times New Roman" w:cs="Times New Roman"/>
          <w:sz w:val="24"/>
          <w:szCs w:val="24"/>
          <w:lang w:eastAsia="pl-PL"/>
        </w:rPr>
        <w:t xml:space="preserve"> kluczowego zostaną usunięte z wykazu.</w:t>
      </w:r>
    </w:p>
    <w:p w14:paraId="6A1655B0" w14:textId="66705C41" w:rsidR="00F81372" w:rsidRPr="00833C88" w:rsidRDefault="00F81372" w:rsidP="005B6736">
      <w:pPr>
        <w:pStyle w:val="Nagwek2"/>
        <w:spacing w:before="0" w:after="120" w:line="360" w:lineRule="auto"/>
        <w:jc w:val="both"/>
        <w:rPr>
          <w:rFonts w:cs="Times New Roman"/>
          <w:b/>
          <w:bCs/>
        </w:rPr>
      </w:pPr>
      <w:r w:rsidRPr="00833C88">
        <w:rPr>
          <w:rFonts w:cs="Times New Roman"/>
          <w:b/>
          <w:bCs/>
        </w:rPr>
        <w:lastRenderedPageBreak/>
        <w:t>CSIRT sektorowe</w:t>
      </w:r>
    </w:p>
    <w:p w14:paraId="52C3208F" w14:textId="5879B723" w:rsidR="00F81372" w:rsidRPr="00833C88" w:rsidRDefault="006D75B8" w:rsidP="00533D2A">
      <w:pPr>
        <w:pStyle w:val="NIEARTTEKSTtekstnieartykuowanynppodstprawnarozplubpreambua"/>
        <w:spacing w:before="0" w:after="120"/>
        <w:ind w:firstLine="0"/>
        <w:rPr>
          <w:rFonts w:ascii="Times New Roman" w:hAnsi="Times New Roman" w:cs="Times New Roman"/>
        </w:rPr>
      </w:pPr>
      <w:r w:rsidRPr="00833C88">
        <w:rPr>
          <w:rFonts w:ascii="Times New Roman" w:hAnsi="Times New Roman" w:cs="Times New Roman"/>
        </w:rPr>
        <w:t>Wprowadza się obowiązek</w:t>
      </w:r>
      <w:r w:rsidR="00F81372" w:rsidRPr="00833C88">
        <w:rPr>
          <w:rFonts w:ascii="Times New Roman" w:hAnsi="Times New Roman" w:cs="Times New Roman"/>
        </w:rPr>
        <w:t xml:space="preserve"> powołania przez organ właściwy do spraw cyberbezpieczeństwa CSIRT sektorowego właściwego dla danego sektora lub podsektora, który będzie wspierał </w:t>
      </w:r>
      <w:r w:rsidRPr="00833C88">
        <w:rPr>
          <w:rFonts w:ascii="Times New Roman" w:hAnsi="Times New Roman" w:cs="Times New Roman"/>
        </w:rPr>
        <w:t xml:space="preserve">podmioty kluczowe </w:t>
      </w:r>
      <w:r w:rsidR="00601933" w:rsidRPr="00833C88">
        <w:rPr>
          <w:rFonts w:ascii="Times New Roman" w:hAnsi="Times New Roman" w:cs="Times New Roman"/>
        </w:rPr>
        <w:t>i </w:t>
      </w:r>
      <w:r w:rsidRPr="00833C88">
        <w:rPr>
          <w:rFonts w:ascii="Times New Roman" w:hAnsi="Times New Roman" w:cs="Times New Roman"/>
        </w:rPr>
        <w:t>podmioty ważne</w:t>
      </w:r>
      <w:r w:rsidR="00F81372" w:rsidRPr="00833C88">
        <w:rPr>
          <w:rFonts w:ascii="Times New Roman" w:hAnsi="Times New Roman" w:cs="Times New Roman"/>
        </w:rPr>
        <w:t xml:space="preserve"> tego sektora w obszarze reagowania na incydenty</w:t>
      </w:r>
      <w:r w:rsidR="00B0128D" w:rsidRPr="00833C88">
        <w:rPr>
          <w:rFonts w:ascii="Times New Roman" w:hAnsi="Times New Roman" w:cs="Times New Roman"/>
        </w:rPr>
        <w:t>.</w:t>
      </w:r>
    </w:p>
    <w:p w14:paraId="22C4F9D9" w14:textId="7CA2E3BF" w:rsidR="00F81372" w:rsidRPr="00833C88" w:rsidRDefault="00F81372"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Do obligatoryjnych zadań CSIRT sektorowego będzie należało przyjmowanie zgłoszeń o incydentach oraz reagowanie na incydenty. Dotychczas sektorowe zespoły cyberbezpieczeństwa miały za zadanie przyjmować zgłoszenia o incydentach poważnych i reagować na nie. Zmiana ta pozwoli CSIRT sektorowemu uzyskiwać więcej zgłoszeń o incydentach, dzięki czemu zespół będzie mógł szybciej zdobywać doświadczenie i wiedzę w ciągle zmieniającej się sytuacji w cyberprzestrzeni. Przełoży się to na skuteczną pomoc dla </w:t>
      </w:r>
      <w:r w:rsidR="006104AF" w:rsidRPr="00833C88">
        <w:rPr>
          <w:rFonts w:ascii="Times New Roman" w:hAnsi="Times New Roman" w:cs="Times New Roman"/>
        </w:rPr>
        <w:t xml:space="preserve">podmiotów kluczowych </w:t>
      </w:r>
      <w:r w:rsidR="00601933" w:rsidRPr="00833C88">
        <w:rPr>
          <w:rFonts w:ascii="Times New Roman" w:hAnsi="Times New Roman" w:cs="Times New Roman"/>
        </w:rPr>
        <w:t>i </w:t>
      </w:r>
      <w:r w:rsidR="006104AF" w:rsidRPr="00833C88">
        <w:rPr>
          <w:rFonts w:ascii="Times New Roman" w:hAnsi="Times New Roman" w:cs="Times New Roman"/>
        </w:rPr>
        <w:t>podmiotów ważnych</w:t>
      </w:r>
      <w:r w:rsidRPr="00833C88">
        <w:rPr>
          <w:rFonts w:ascii="Times New Roman" w:hAnsi="Times New Roman" w:cs="Times New Roman"/>
        </w:rPr>
        <w:t xml:space="preserve"> zmagających się z incydentami. Podkreślić przy tym należy, że nadal </w:t>
      </w:r>
      <w:r w:rsidR="006104AF" w:rsidRPr="00833C88">
        <w:rPr>
          <w:rFonts w:ascii="Times New Roman" w:hAnsi="Times New Roman" w:cs="Times New Roman"/>
        </w:rPr>
        <w:t>podmio</w:t>
      </w:r>
      <w:r w:rsidR="00FA3DBD" w:rsidRPr="00833C88">
        <w:rPr>
          <w:rFonts w:ascii="Times New Roman" w:hAnsi="Times New Roman" w:cs="Times New Roman"/>
        </w:rPr>
        <w:t>ty</w:t>
      </w:r>
      <w:r w:rsidR="006104AF" w:rsidRPr="00833C88">
        <w:rPr>
          <w:rFonts w:ascii="Times New Roman" w:hAnsi="Times New Roman" w:cs="Times New Roman"/>
        </w:rPr>
        <w:t xml:space="preserve"> kluczow</w:t>
      </w:r>
      <w:r w:rsidR="00FA3DBD" w:rsidRPr="00833C88">
        <w:rPr>
          <w:rFonts w:ascii="Times New Roman" w:hAnsi="Times New Roman" w:cs="Times New Roman"/>
        </w:rPr>
        <w:t>e</w:t>
      </w:r>
      <w:r w:rsidR="006104AF" w:rsidRPr="00833C88">
        <w:rPr>
          <w:rFonts w:ascii="Times New Roman" w:hAnsi="Times New Roman" w:cs="Times New Roman"/>
        </w:rPr>
        <w:t xml:space="preserve"> </w:t>
      </w:r>
      <w:r w:rsidR="00601933" w:rsidRPr="00833C88">
        <w:rPr>
          <w:rFonts w:ascii="Times New Roman" w:hAnsi="Times New Roman" w:cs="Times New Roman"/>
        </w:rPr>
        <w:t>i </w:t>
      </w:r>
      <w:r w:rsidR="006104AF" w:rsidRPr="00833C88">
        <w:rPr>
          <w:rFonts w:ascii="Times New Roman" w:hAnsi="Times New Roman" w:cs="Times New Roman"/>
        </w:rPr>
        <w:t>podmio</w:t>
      </w:r>
      <w:r w:rsidR="00FA3DBD" w:rsidRPr="00833C88">
        <w:rPr>
          <w:rFonts w:ascii="Times New Roman" w:hAnsi="Times New Roman" w:cs="Times New Roman"/>
        </w:rPr>
        <w:t>ty</w:t>
      </w:r>
      <w:r w:rsidR="006104AF" w:rsidRPr="00833C88">
        <w:rPr>
          <w:rFonts w:ascii="Times New Roman" w:hAnsi="Times New Roman" w:cs="Times New Roman"/>
        </w:rPr>
        <w:t xml:space="preserve"> ważn</w:t>
      </w:r>
      <w:r w:rsidR="00FA3DBD" w:rsidRPr="00833C88">
        <w:rPr>
          <w:rFonts w:ascii="Times New Roman" w:hAnsi="Times New Roman" w:cs="Times New Roman"/>
        </w:rPr>
        <w:t>e</w:t>
      </w:r>
      <w:r w:rsidR="006104AF" w:rsidRPr="00833C88">
        <w:rPr>
          <w:rFonts w:ascii="Times New Roman" w:hAnsi="Times New Roman" w:cs="Times New Roman"/>
        </w:rPr>
        <w:t xml:space="preserve"> </w:t>
      </w:r>
      <w:r w:rsidRPr="00833C88">
        <w:rPr>
          <w:rFonts w:ascii="Times New Roman" w:hAnsi="Times New Roman" w:cs="Times New Roman"/>
        </w:rPr>
        <w:t>będą prawnie obowiązani zgłaszać tylko incydenty poważne do CSIRT sektorowego. Dobrowolnie będą mogli zgłosić każdy incydent, nawet ten który nie spełnia progów incydentu poważnego.</w:t>
      </w:r>
    </w:p>
    <w:p w14:paraId="79B1C2E2" w14:textId="77777777" w:rsidR="00F81372" w:rsidRPr="00833C88" w:rsidRDefault="00F81372" w:rsidP="00AC76FC">
      <w:pPr>
        <w:pStyle w:val="NIEARTTEKSTtekstnieartykuowanynppodstprawnarozplubpreambua"/>
        <w:spacing w:before="0"/>
        <w:rPr>
          <w:rFonts w:ascii="Times New Roman" w:hAnsi="Times New Roman" w:cs="Times New Roman"/>
        </w:rPr>
      </w:pPr>
      <w:r w:rsidRPr="00833C88">
        <w:rPr>
          <w:rFonts w:ascii="Times New Roman" w:hAnsi="Times New Roman" w:cs="Times New Roman"/>
        </w:rPr>
        <w:t xml:space="preserve">Innymi zadaniami CSIRT sektorowego będzie: </w:t>
      </w:r>
    </w:p>
    <w:p w14:paraId="338E5C20" w14:textId="59D9A131" w:rsidR="00F81372" w:rsidRPr="00833C88" w:rsidRDefault="00F81372" w:rsidP="00AC76FC">
      <w:pPr>
        <w:pStyle w:val="NIEARTTEKSTtekstnieartykuowanynppodstprawnarozplubpreambua"/>
        <w:numPr>
          <w:ilvl w:val="0"/>
          <w:numId w:val="13"/>
        </w:numPr>
        <w:spacing w:before="0"/>
        <w:ind w:left="851" w:hanging="425"/>
        <w:rPr>
          <w:rFonts w:ascii="Times New Roman" w:hAnsi="Times New Roman" w:cs="Times New Roman"/>
        </w:rPr>
      </w:pPr>
      <w:r w:rsidRPr="00833C88">
        <w:rPr>
          <w:rFonts w:ascii="Times New Roman" w:hAnsi="Times New Roman" w:cs="Times New Roman"/>
        </w:rPr>
        <w:t>gromadzenie informacji o podatnościach i </w:t>
      </w:r>
      <w:proofErr w:type="spellStart"/>
      <w:r w:rsidRPr="00833C88">
        <w:rPr>
          <w:rFonts w:ascii="Times New Roman" w:hAnsi="Times New Roman" w:cs="Times New Roman"/>
        </w:rPr>
        <w:t>cyberzagrożeniach</w:t>
      </w:r>
      <w:proofErr w:type="spellEnd"/>
      <w:r w:rsidRPr="00833C88">
        <w:rPr>
          <w:rFonts w:ascii="Times New Roman" w:hAnsi="Times New Roman" w:cs="Times New Roman"/>
        </w:rPr>
        <w:t>;</w:t>
      </w:r>
    </w:p>
    <w:p w14:paraId="7771138F" w14:textId="10081252" w:rsidR="00F81372" w:rsidRPr="00833C88" w:rsidRDefault="00F81372" w:rsidP="00AC76FC">
      <w:pPr>
        <w:pStyle w:val="NIEARTTEKSTtekstnieartykuowanynppodstprawnarozplubpreambua"/>
        <w:numPr>
          <w:ilvl w:val="0"/>
          <w:numId w:val="13"/>
        </w:numPr>
        <w:spacing w:before="0"/>
        <w:ind w:left="851" w:hanging="425"/>
        <w:rPr>
          <w:rFonts w:ascii="Times New Roman" w:hAnsi="Times New Roman" w:cs="Times New Roman"/>
        </w:rPr>
      </w:pPr>
      <w:r w:rsidRPr="00833C88">
        <w:rPr>
          <w:rFonts w:ascii="Times New Roman" w:hAnsi="Times New Roman" w:cs="Times New Roman"/>
        </w:rPr>
        <w:t>współpraca z </w:t>
      </w:r>
      <w:r w:rsidR="00FA3DBD" w:rsidRPr="00833C88">
        <w:rPr>
          <w:rFonts w:ascii="Times New Roman" w:hAnsi="Times New Roman" w:cs="Times New Roman"/>
        </w:rPr>
        <w:t xml:space="preserve">podmiotami kluczowymi </w:t>
      </w:r>
      <w:r w:rsidR="00601933" w:rsidRPr="00833C88">
        <w:rPr>
          <w:rFonts w:ascii="Times New Roman" w:hAnsi="Times New Roman" w:cs="Times New Roman"/>
        </w:rPr>
        <w:t>i </w:t>
      </w:r>
      <w:r w:rsidR="00894398" w:rsidRPr="00833C88">
        <w:rPr>
          <w:rFonts w:ascii="Times New Roman" w:hAnsi="Times New Roman" w:cs="Times New Roman"/>
        </w:rPr>
        <w:t xml:space="preserve">podmiotami </w:t>
      </w:r>
      <w:r w:rsidR="00FA3DBD" w:rsidRPr="00833C88">
        <w:rPr>
          <w:rFonts w:ascii="Times New Roman" w:hAnsi="Times New Roman" w:cs="Times New Roman"/>
        </w:rPr>
        <w:t>ważnymi</w:t>
      </w:r>
      <w:r w:rsidRPr="00833C88">
        <w:rPr>
          <w:rFonts w:ascii="Times New Roman" w:hAnsi="Times New Roman" w:cs="Times New Roman"/>
        </w:rPr>
        <w:t xml:space="preserve"> w zakresie wymiany dobrych praktyk oraz informacji o podatnościach i </w:t>
      </w:r>
      <w:proofErr w:type="spellStart"/>
      <w:r w:rsidRPr="00833C88">
        <w:rPr>
          <w:rFonts w:ascii="Times New Roman" w:hAnsi="Times New Roman" w:cs="Times New Roman"/>
        </w:rPr>
        <w:t>cyberzagrożeniach</w:t>
      </w:r>
      <w:proofErr w:type="spellEnd"/>
      <w:r w:rsidRPr="00833C88">
        <w:rPr>
          <w:rFonts w:ascii="Times New Roman" w:hAnsi="Times New Roman" w:cs="Times New Roman"/>
        </w:rPr>
        <w:t>, organizacja i uczestniczenie w ćwiczeniach oraz wspieranie inicjatyw szkoleniowych;</w:t>
      </w:r>
    </w:p>
    <w:p w14:paraId="48085048" w14:textId="77777777" w:rsidR="00F81372" w:rsidRPr="00833C88" w:rsidRDefault="00F81372" w:rsidP="00AC76FC">
      <w:pPr>
        <w:pStyle w:val="NIEARTTEKSTtekstnieartykuowanynppodstprawnarozplubpreambua"/>
        <w:numPr>
          <w:ilvl w:val="0"/>
          <w:numId w:val="13"/>
        </w:numPr>
        <w:spacing w:before="0"/>
        <w:ind w:left="851" w:hanging="425"/>
        <w:rPr>
          <w:rFonts w:ascii="Times New Roman" w:hAnsi="Times New Roman" w:cs="Times New Roman"/>
        </w:rPr>
      </w:pPr>
      <w:r w:rsidRPr="00833C88">
        <w:rPr>
          <w:rFonts w:ascii="Times New Roman" w:hAnsi="Times New Roman" w:cs="Times New Roman"/>
        </w:rPr>
        <w:t>współpraca z CSIRT MON, CSIRT NASK i CSIRT GOV w koordynowanym przez nie reagowaniu na incydenty, w szczególności w zakresie wymiany informacji o </w:t>
      </w:r>
      <w:proofErr w:type="spellStart"/>
      <w:r w:rsidRPr="00833C88">
        <w:rPr>
          <w:rFonts w:ascii="Times New Roman" w:hAnsi="Times New Roman" w:cs="Times New Roman"/>
        </w:rPr>
        <w:t>cyberzagrożeniach</w:t>
      </w:r>
      <w:proofErr w:type="spellEnd"/>
      <w:r w:rsidRPr="00833C88">
        <w:rPr>
          <w:rFonts w:ascii="Times New Roman" w:hAnsi="Times New Roman" w:cs="Times New Roman"/>
        </w:rPr>
        <w:t xml:space="preserve"> oraz stosowanych środkach zapobiegających i ograniczających wpływ incydentów; przepis podkreśla nadrzędną rolę zespołów CSIRT poziomu krajowego;</w:t>
      </w:r>
    </w:p>
    <w:p w14:paraId="01FCB366" w14:textId="20B3980D" w:rsidR="00F81372" w:rsidRPr="00833C88" w:rsidRDefault="00F81372" w:rsidP="00AC76FC">
      <w:pPr>
        <w:pStyle w:val="NIEARTTEKSTtekstnieartykuowanynppodstprawnarozplubpreambua"/>
        <w:numPr>
          <w:ilvl w:val="0"/>
          <w:numId w:val="13"/>
        </w:numPr>
        <w:spacing w:before="0"/>
        <w:ind w:left="851" w:hanging="425"/>
        <w:rPr>
          <w:rFonts w:ascii="Times New Roman" w:hAnsi="Times New Roman" w:cs="Times New Roman"/>
        </w:rPr>
      </w:pPr>
      <w:r w:rsidRPr="00833C88">
        <w:rPr>
          <w:rFonts w:ascii="Times New Roman" w:hAnsi="Times New Roman" w:cs="Times New Roman"/>
        </w:rPr>
        <w:t xml:space="preserve">współpraca </w:t>
      </w:r>
      <w:r w:rsidR="00601933" w:rsidRPr="00833C88">
        <w:rPr>
          <w:rFonts w:ascii="Times New Roman" w:hAnsi="Times New Roman" w:cs="Times New Roman"/>
        </w:rPr>
        <w:t>z </w:t>
      </w:r>
      <w:r w:rsidRPr="00833C88">
        <w:rPr>
          <w:rFonts w:ascii="Times New Roman" w:hAnsi="Times New Roman" w:cs="Times New Roman"/>
        </w:rPr>
        <w:t>innymi CSIRT sektorowymi w zakresie wymiany informacji o podatnościach i </w:t>
      </w:r>
      <w:proofErr w:type="spellStart"/>
      <w:r w:rsidRPr="00833C88">
        <w:rPr>
          <w:rFonts w:ascii="Times New Roman" w:hAnsi="Times New Roman" w:cs="Times New Roman"/>
        </w:rPr>
        <w:t>cyberzagrożeniach</w:t>
      </w:r>
      <w:proofErr w:type="spellEnd"/>
      <w:r w:rsidRPr="00833C88">
        <w:rPr>
          <w:rFonts w:ascii="Times New Roman" w:hAnsi="Times New Roman" w:cs="Times New Roman"/>
        </w:rPr>
        <w:t>.</w:t>
      </w:r>
    </w:p>
    <w:p w14:paraId="567B1058" w14:textId="027BD020" w:rsidR="00F81372" w:rsidRPr="00833C88" w:rsidRDefault="00F81372"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Otrzymają również fakultatywną kompetencję zapewniania dynamicznej analizy ryzyka i incydentów oraz koordynacji incydentów w sektorze</w:t>
      </w:r>
      <w:r w:rsidR="00CB7551" w:rsidRPr="00833C88">
        <w:rPr>
          <w:rFonts w:ascii="Times New Roman" w:hAnsi="Times New Roman" w:cs="Times New Roman"/>
        </w:rPr>
        <w:t>,</w:t>
      </w:r>
      <w:r w:rsidRPr="00833C88">
        <w:rPr>
          <w:rFonts w:ascii="Times New Roman" w:hAnsi="Times New Roman" w:cs="Times New Roman"/>
        </w:rPr>
        <w:t xml:space="preserve"> a także będą mogły, w uzgodnieniu z </w:t>
      </w:r>
      <w:r w:rsidR="009F6E89" w:rsidRPr="00833C88">
        <w:rPr>
          <w:rFonts w:ascii="Times New Roman" w:hAnsi="Times New Roman" w:cs="Times New Roman"/>
        </w:rPr>
        <w:t>podmiotem kluczowym lub podmiotem ważnym</w:t>
      </w:r>
      <w:r w:rsidRPr="00833C88">
        <w:rPr>
          <w:rFonts w:ascii="Times New Roman" w:hAnsi="Times New Roman" w:cs="Times New Roman"/>
        </w:rPr>
        <w:t>, wspierać go w wykonywaniu jego obowiązków określonych w</w:t>
      </w:r>
      <w:r w:rsidR="00B0128D" w:rsidRPr="00833C88">
        <w:rPr>
          <w:rFonts w:ascii="Times New Roman" w:hAnsi="Times New Roman" w:cs="Times New Roman"/>
        </w:rPr>
        <w:t> </w:t>
      </w:r>
      <w:r w:rsidR="008F38D6" w:rsidRPr="00833C88">
        <w:rPr>
          <w:rFonts w:ascii="Times New Roman" w:hAnsi="Times New Roman" w:cs="Times New Roman"/>
        </w:rPr>
        <w:t>ustawie</w:t>
      </w:r>
      <w:r w:rsidR="00B0128D" w:rsidRPr="00833C88">
        <w:rPr>
          <w:rFonts w:ascii="Times New Roman" w:hAnsi="Times New Roman" w:cs="Times New Roman"/>
        </w:rPr>
        <w:t xml:space="preserve"> </w:t>
      </w:r>
      <w:r w:rsidR="00601933" w:rsidRPr="00833C88">
        <w:rPr>
          <w:rFonts w:ascii="Times New Roman" w:hAnsi="Times New Roman" w:cs="Times New Roman"/>
        </w:rPr>
        <w:t>o </w:t>
      </w:r>
      <w:r w:rsidR="00B0128D" w:rsidRPr="00833C88">
        <w:rPr>
          <w:rFonts w:ascii="Times New Roman" w:hAnsi="Times New Roman" w:cs="Times New Roman"/>
        </w:rPr>
        <w:t>KSC</w:t>
      </w:r>
      <w:r w:rsidRPr="00833C88">
        <w:rPr>
          <w:rFonts w:ascii="Times New Roman" w:hAnsi="Times New Roman" w:cs="Times New Roman"/>
        </w:rPr>
        <w:t>. Będą one również uprawnione do</w:t>
      </w:r>
      <w:r w:rsidR="00DE38C1" w:rsidRPr="00833C88">
        <w:rPr>
          <w:rFonts w:ascii="Times New Roman" w:hAnsi="Times New Roman" w:cs="Times New Roman"/>
        </w:rPr>
        <w:t> </w:t>
      </w:r>
      <w:r w:rsidRPr="00833C88">
        <w:rPr>
          <w:rFonts w:ascii="Times New Roman" w:hAnsi="Times New Roman" w:cs="Times New Roman"/>
        </w:rPr>
        <w:t>przeprowadzania</w:t>
      </w:r>
      <w:r w:rsidR="00CB7551" w:rsidRPr="00833C88">
        <w:rPr>
          <w:rFonts w:ascii="Times New Roman" w:hAnsi="Times New Roman" w:cs="Times New Roman"/>
        </w:rPr>
        <w:t>,</w:t>
      </w:r>
      <w:r w:rsidRPr="00833C88">
        <w:rPr>
          <w:rFonts w:ascii="Times New Roman" w:hAnsi="Times New Roman" w:cs="Times New Roman"/>
        </w:rPr>
        <w:t xml:space="preserve"> w określonych sytuacjach</w:t>
      </w:r>
      <w:r w:rsidR="00CB7551" w:rsidRPr="00833C88">
        <w:rPr>
          <w:rFonts w:ascii="Times New Roman" w:hAnsi="Times New Roman" w:cs="Times New Roman"/>
        </w:rPr>
        <w:t>,</w:t>
      </w:r>
      <w:r w:rsidRPr="00833C88">
        <w:rPr>
          <w:rFonts w:ascii="Times New Roman" w:hAnsi="Times New Roman" w:cs="Times New Roman"/>
        </w:rPr>
        <w:t xml:space="preserve"> testów bezpieczeństwa. </w:t>
      </w:r>
      <w:r w:rsidR="00BA6C1E" w:rsidRPr="00833C88">
        <w:rPr>
          <w:rFonts w:ascii="Times New Roman" w:hAnsi="Times New Roman" w:cs="Times New Roman"/>
        </w:rPr>
        <w:t>K</w:t>
      </w:r>
      <w:r w:rsidRPr="00833C88">
        <w:rPr>
          <w:rFonts w:ascii="Times New Roman" w:hAnsi="Times New Roman" w:cs="Times New Roman"/>
        </w:rPr>
        <w:t>atalog zadań CSIRT sektorowego jest katalogiem otwartym</w:t>
      </w:r>
      <w:r w:rsidR="00BA6C1E" w:rsidRPr="00833C88">
        <w:rPr>
          <w:rFonts w:ascii="Times New Roman" w:hAnsi="Times New Roman" w:cs="Times New Roman"/>
        </w:rPr>
        <w:t>, mając na względzie, że</w:t>
      </w:r>
      <w:r w:rsidRPr="00833C88">
        <w:rPr>
          <w:rFonts w:ascii="Times New Roman" w:hAnsi="Times New Roman" w:cs="Times New Roman"/>
        </w:rPr>
        <w:t xml:space="preserve"> CSIRT sektorowy powinien być dostosowany do sektora, do podmiotów</w:t>
      </w:r>
      <w:r w:rsidR="00BA6C1E" w:rsidRPr="00833C88">
        <w:rPr>
          <w:rFonts w:ascii="Times New Roman" w:hAnsi="Times New Roman" w:cs="Times New Roman"/>
        </w:rPr>
        <w:t>,</w:t>
      </w:r>
      <w:r w:rsidRPr="00833C88">
        <w:rPr>
          <w:rFonts w:ascii="Times New Roman" w:hAnsi="Times New Roman" w:cs="Times New Roman"/>
        </w:rPr>
        <w:t xml:space="preserve"> które wspiera. Zależnie od oceny organu </w:t>
      </w:r>
      <w:r w:rsidRPr="00833C88">
        <w:rPr>
          <w:rFonts w:ascii="Times New Roman" w:hAnsi="Times New Roman" w:cs="Times New Roman"/>
        </w:rPr>
        <w:lastRenderedPageBreak/>
        <w:t xml:space="preserve">właściwego do spraw cyberbezpieczeństwa ustawowe zadania CSIRT sektorowego mogłyby być uzupełnione </w:t>
      </w:r>
      <w:r w:rsidR="00601933" w:rsidRPr="00833C88">
        <w:rPr>
          <w:rFonts w:ascii="Times New Roman" w:hAnsi="Times New Roman" w:cs="Times New Roman"/>
        </w:rPr>
        <w:t>o </w:t>
      </w:r>
      <w:r w:rsidRPr="00833C88">
        <w:rPr>
          <w:rFonts w:ascii="Times New Roman" w:hAnsi="Times New Roman" w:cs="Times New Roman"/>
        </w:rPr>
        <w:t xml:space="preserve">inne np. </w:t>
      </w:r>
      <w:r w:rsidR="00601933" w:rsidRPr="00833C88">
        <w:rPr>
          <w:rFonts w:ascii="Times New Roman" w:hAnsi="Times New Roman" w:cs="Times New Roman"/>
        </w:rPr>
        <w:t>o </w:t>
      </w:r>
      <w:r w:rsidRPr="00833C88">
        <w:rPr>
          <w:rFonts w:ascii="Times New Roman" w:hAnsi="Times New Roman" w:cs="Times New Roman"/>
        </w:rPr>
        <w:t xml:space="preserve">wsparcie operatorów usług kluczowych </w:t>
      </w:r>
      <w:r w:rsidR="00601933" w:rsidRPr="00833C88">
        <w:rPr>
          <w:rFonts w:ascii="Times New Roman" w:hAnsi="Times New Roman" w:cs="Times New Roman"/>
        </w:rPr>
        <w:t>w </w:t>
      </w:r>
      <w:r w:rsidRPr="00833C88">
        <w:rPr>
          <w:rFonts w:ascii="Times New Roman" w:hAnsi="Times New Roman" w:cs="Times New Roman"/>
        </w:rPr>
        <w:t>zakresie zarządzania ciągłością działania, czy</w:t>
      </w:r>
      <w:r w:rsidR="00BA6C1E" w:rsidRPr="00833C88">
        <w:rPr>
          <w:rFonts w:ascii="Times New Roman" w:hAnsi="Times New Roman" w:cs="Times New Roman"/>
        </w:rPr>
        <w:t> </w:t>
      </w:r>
      <w:r w:rsidRPr="00833C88">
        <w:rPr>
          <w:rFonts w:ascii="Times New Roman" w:hAnsi="Times New Roman" w:cs="Times New Roman"/>
        </w:rPr>
        <w:t>o</w:t>
      </w:r>
      <w:r w:rsidR="00BA6C1E" w:rsidRPr="00833C88">
        <w:rPr>
          <w:rFonts w:ascii="Times New Roman" w:hAnsi="Times New Roman" w:cs="Times New Roman"/>
        </w:rPr>
        <w:t> </w:t>
      </w:r>
      <w:r w:rsidRPr="00833C88">
        <w:rPr>
          <w:rFonts w:ascii="Times New Roman" w:hAnsi="Times New Roman" w:cs="Times New Roman"/>
        </w:rPr>
        <w:t xml:space="preserve">zadania związane </w:t>
      </w:r>
      <w:r w:rsidR="00601933" w:rsidRPr="00833C88">
        <w:rPr>
          <w:rFonts w:ascii="Times New Roman" w:hAnsi="Times New Roman" w:cs="Times New Roman"/>
        </w:rPr>
        <w:t>z </w:t>
      </w:r>
      <w:r w:rsidRPr="00833C88">
        <w:rPr>
          <w:rFonts w:ascii="Times New Roman" w:hAnsi="Times New Roman" w:cs="Times New Roman"/>
        </w:rPr>
        <w:t>proaktywnym przeciwdziałaniem incydentom, tworzeniem oprogramowania bezpieczeństwa</w:t>
      </w:r>
      <w:r w:rsidR="00CB7551" w:rsidRPr="00833C88">
        <w:rPr>
          <w:rFonts w:ascii="Times New Roman" w:hAnsi="Times New Roman" w:cs="Times New Roman"/>
        </w:rPr>
        <w:t>,</w:t>
      </w:r>
      <w:r w:rsidRPr="00833C88">
        <w:rPr>
          <w:rFonts w:ascii="Times New Roman" w:hAnsi="Times New Roman" w:cs="Times New Roman"/>
        </w:rPr>
        <w:t xml:space="preserve"> czy monitoring technologii</w:t>
      </w:r>
      <w:r w:rsidRPr="00833C88">
        <w:rPr>
          <w:rStyle w:val="Odwoanieprzypisudolnego"/>
          <w:rFonts w:ascii="Times New Roman" w:hAnsi="Times New Roman" w:cs="Times New Roman"/>
        </w:rPr>
        <w:footnoteReference w:id="54"/>
      </w:r>
      <w:r w:rsidR="00BA6C1E" w:rsidRPr="00833C88">
        <w:rPr>
          <w:rFonts w:ascii="Times New Roman" w:hAnsi="Times New Roman" w:cs="Times New Roman"/>
          <w:vertAlign w:val="superscript"/>
        </w:rPr>
        <w:t>)</w:t>
      </w:r>
      <w:r w:rsidRPr="00833C88">
        <w:rPr>
          <w:rFonts w:ascii="Times New Roman" w:hAnsi="Times New Roman" w:cs="Times New Roman"/>
        </w:rPr>
        <w:t>. Otwartość katalogu jest spowodowana także tym, że nie ma CSIRT, który zapewniałby wszystkie usługi zawarte w</w:t>
      </w:r>
      <w:r w:rsidR="00BA6C1E" w:rsidRPr="00833C88">
        <w:rPr>
          <w:rFonts w:ascii="Times New Roman" w:hAnsi="Times New Roman" w:cs="Times New Roman"/>
        </w:rPr>
        <w:t> </w:t>
      </w:r>
      <w:r w:rsidRPr="00833C88">
        <w:rPr>
          <w:rFonts w:ascii="Times New Roman" w:hAnsi="Times New Roman" w:cs="Times New Roman"/>
        </w:rPr>
        <w:t>metodykach</w:t>
      </w:r>
      <w:r w:rsidRPr="00833C88">
        <w:rPr>
          <w:rStyle w:val="Odwoanieprzypisudolnego"/>
          <w:rFonts w:ascii="Times New Roman" w:hAnsi="Times New Roman" w:cs="Times New Roman"/>
        </w:rPr>
        <w:footnoteReference w:id="55"/>
      </w:r>
      <w:r w:rsidRPr="00833C88">
        <w:rPr>
          <w:rFonts w:ascii="Times New Roman" w:hAnsi="Times New Roman" w:cs="Times New Roman"/>
          <w:vertAlign w:val="superscript"/>
        </w:rPr>
        <w:t>)</w:t>
      </w:r>
      <w:r w:rsidRPr="00833C88">
        <w:rPr>
          <w:rFonts w:ascii="Times New Roman" w:hAnsi="Times New Roman" w:cs="Times New Roman"/>
        </w:rPr>
        <w:t xml:space="preserve">, dlatego niezbędna jest tutaj zdrowa elastyczność. Projekt zakłada, że część zadań CSIRT sektorowego może być ustalona </w:t>
      </w:r>
      <w:r w:rsidR="00601933" w:rsidRPr="00833C88">
        <w:rPr>
          <w:rFonts w:ascii="Times New Roman" w:hAnsi="Times New Roman" w:cs="Times New Roman"/>
        </w:rPr>
        <w:t>w </w:t>
      </w:r>
      <w:r w:rsidRPr="00833C88">
        <w:rPr>
          <w:rFonts w:ascii="Times New Roman" w:hAnsi="Times New Roman" w:cs="Times New Roman"/>
        </w:rPr>
        <w:t>akcie tworzącym CSIRT (np.</w:t>
      </w:r>
      <w:r w:rsidR="00DE38C1" w:rsidRPr="00833C88">
        <w:rPr>
          <w:rFonts w:ascii="Times New Roman" w:hAnsi="Times New Roman" w:cs="Times New Roman"/>
        </w:rPr>
        <w:t> </w:t>
      </w:r>
      <w:r w:rsidR="00601933" w:rsidRPr="00833C88">
        <w:rPr>
          <w:rFonts w:ascii="Times New Roman" w:hAnsi="Times New Roman" w:cs="Times New Roman"/>
        </w:rPr>
        <w:t>w </w:t>
      </w:r>
      <w:r w:rsidRPr="00833C88">
        <w:rPr>
          <w:rFonts w:ascii="Times New Roman" w:hAnsi="Times New Roman" w:cs="Times New Roman"/>
        </w:rPr>
        <w:t xml:space="preserve">statucie jednostki budżetowej działającej jako CSIRT). Oczywiście te fakultatywne zadania nie mogą prowadzić do nałożenia pozaustawowych obowiązków na </w:t>
      </w:r>
      <w:r w:rsidR="00A55808" w:rsidRPr="00833C88">
        <w:rPr>
          <w:rFonts w:ascii="Times New Roman" w:hAnsi="Times New Roman" w:cs="Times New Roman"/>
        </w:rPr>
        <w:t>podmioty kluczowe lub podmioty ważne</w:t>
      </w:r>
      <w:r w:rsidRPr="00833C88">
        <w:rPr>
          <w:rFonts w:ascii="Times New Roman" w:hAnsi="Times New Roman" w:cs="Times New Roman"/>
        </w:rPr>
        <w:t>. Organ właściwy do spraw cyberbezpieczeństwa ustanawiając te zadania powinien się kierować uznanymi metodykami tworzenia takich zespołów oraz koniecznością zapewnienia jak najlepszego wsparcia operatorom usług kluczowych.</w:t>
      </w:r>
    </w:p>
    <w:p w14:paraId="4A2ED3F7" w14:textId="36AC1D6A" w:rsidR="00F81372" w:rsidRPr="00833C88" w:rsidRDefault="00F81372"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CSIRT sektorowy będzie niezwłocznie (maksymalnie w ciągu 8 godzin) przekazywał zgłoszenie o incydencie poważnym do właściwego CSIRT </w:t>
      </w:r>
      <w:r w:rsidR="00013B2C" w:rsidRPr="00833C88">
        <w:rPr>
          <w:rFonts w:ascii="Times New Roman" w:hAnsi="Times New Roman" w:cs="Times New Roman"/>
        </w:rPr>
        <w:t>MON</w:t>
      </w:r>
      <w:r w:rsidRPr="00833C88">
        <w:rPr>
          <w:rFonts w:ascii="Times New Roman" w:hAnsi="Times New Roman" w:cs="Times New Roman"/>
        </w:rPr>
        <w:t xml:space="preserve">, CSIRT </w:t>
      </w:r>
      <w:r w:rsidR="00013B2C" w:rsidRPr="00833C88">
        <w:rPr>
          <w:rFonts w:ascii="Times New Roman" w:hAnsi="Times New Roman" w:cs="Times New Roman"/>
        </w:rPr>
        <w:t>NASK</w:t>
      </w:r>
      <w:r w:rsidRPr="00833C88">
        <w:rPr>
          <w:rFonts w:ascii="Times New Roman" w:hAnsi="Times New Roman" w:cs="Times New Roman"/>
        </w:rPr>
        <w:t xml:space="preserve"> albo CSIRT </w:t>
      </w:r>
      <w:r w:rsidR="00013B2C" w:rsidRPr="00833C88">
        <w:rPr>
          <w:rFonts w:ascii="Times New Roman" w:hAnsi="Times New Roman" w:cs="Times New Roman"/>
        </w:rPr>
        <w:t>GOV</w:t>
      </w:r>
      <w:r w:rsidRPr="00833C88">
        <w:rPr>
          <w:rFonts w:ascii="Times New Roman" w:hAnsi="Times New Roman" w:cs="Times New Roman"/>
        </w:rPr>
        <w:t xml:space="preserve">. Takie rozwiązanie gwarantuje, że zespoły CSIRT poziomu krajowego będą posiadały aktualną wiedzę o występowaniu incydentów w systemie. </w:t>
      </w:r>
    </w:p>
    <w:p w14:paraId="566E46A8" w14:textId="147F6DBB" w:rsidR="00721257" w:rsidRPr="00833C88" w:rsidRDefault="00721257" w:rsidP="006514D0">
      <w:pPr>
        <w:spacing w:line="360" w:lineRule="auto"/>
        <w:jc w:val="both"/>
        <w:rPr>
          <w:rFonts w:cs="Times New Roman"/>
          <w:szCs w:val="24"/>
        </w:rPr>
      </w:pPr>
      <w:r w:rsidRPr="00833C88">
        <w:rPr>
          <w:rFonts w:cs="Times New Roman"/>
          <w:sz w:val="24"/>
          <w:szCs w:val="24"/>
          <w:lang w:eastAsia="pl-PL"/>
        </w:rPr>
        <w:t xml:space="preserve">Wprowadzono również regułę kolizyjną – CSIRT sektorowy, który omyłkowo otrzymał zgłoszenie </w:t>
      </w:r>
      <w:proofErr w:type="gramStart"/>
      <w:r w:rsidRPr="00833C88">
        <w:rPr>
          <w:rFonts w:cs="Times New Roman"/>
          <w:sz w:val="24"/>
          <w:szCs w:val="24"/>
          <w:lang w:eastAsia="pl-PL"/>
        </w:rPr>
        <w:t>incydentu</w:t>
      </w:r>
      <w:proofErr w:type="gramEnd"/>
      <w:r w:rsidRPr="00833C88">
        <w:rPr>
          <w:rFonts w:cs="Times New Roman"/>
          <w:sz w:val="24"/>
          <w:szCs w:val="24"/>
          <w:lang w:eastAsia="pl-PL"/>
        </w:rPr>
        <w:t xml:space="preserve"> do którego obsługi nie jest właściwy ma obowiązek niezwłocznie przekazać go do właściwego CSIRT sektorowego.</w:t>
      </w:r>
    </w:p>
    <w:p w14:paraId="19968772" w14:textId="0C1C9B1B" w:rsidR="00721257" w:rsidRPr="00833C88" w:rsidRDefault="00601933" w:rsidP="006514D0">
      <w:pPr>
        <w:spacing w:line="360" w:lineRule="auto"/>
        <w:jc w:val="both"/>
        <w:rPr>
          <w:rFonts w:cs="Times New Roman"/>
          <w:szCs w:val="24"/>
        </w:rPr>
      </w:pPr>
      <w:r w:rsidRPr="00833C88">
        <w:rPr>
          <w:rFonts w:cs="Times New Roman"/>
          <w:sz w:val="24"/>
          <w:szCs w:val="24"/>
          <w:lang w:eastAsia="pl-PL"/>
        </w:rPr>
        <w:t>W </w:t>
      </w:r>
      <w:r w:rsidR="00721257" w:rsidRPr="00833C88">
        <w:rPr>
          <w:rFonts w:cs="Times New Roman"/>
          <w:sz w:val="24"/>
          <w:szCs w:val="24"/>
          <w:lang w:eastAsia="pl-PL"/>
        </w:rPr>
        <w:t xml:space="preserve">przepisach podkreślono, że CSIRT sektorowy </w:t>
      </w:r>
      <w:r w:rsidRPr="00833C88">
        <w:rPr>
          <w:rFonts w:cs="Times New Roman"/>
          <w:sz w:val="24"/>
          <w:szCs w:val="24"/>
          <w:lang w:eastAsia="pl-PL"/>
        </w:rPr>
        <w:t>w </w:t>
      </w:r>
      <w:r w:rsidR="00721257" w:rsidRPr="00833C88">
        <w:rPr>
          <w:rFonts w:cs="Times New Roman"/>
          <w:sz w:val="24"/>
          <w:szCs w:val="24"/>
          <w:lang w:eastAsia="pl-PL"/>
        </w:rPr>
        <w:t xml:space="preserve">sektorze bankowości </w:t>
      </w:r>
      <w:r w:rsidRPr="00833C88">
        <w:rPr>
          <w:rFonts w:cs="Times New Roman"/>
          <w:sz w:val="24"/>
          <w:szCs w:val="24"/>
          <w:lang w:eastAsia="pl-PL"/>
        </w:rPr>
        <w:t>i </w:t>
      </w:r>
      <w:r w:rsidR="00721257" w:rsidRPr="00833C88">
        <w:rPr>
          <w:rFonts w:cs="Times New Roman"/>
          <w:sz w:val="24"/>
          <w:szCs w:val="24"/>
          <w:lang w:eastAsia="pl-PL"/>
        </w:rPr>
        <w:t xml:space="preserve">infrastruktury rynków finansowych może realizować swoje zadania także </w:t>
      </w:r>
      <w:r w:rsidRPr="00833C88">
        <w:rPr>
          <w:rFonts w:cs="Times New Roman"/>
          <w:sz w:val="24"/>
          <w:szCs w:val="24"/>
          <w:lang w:eastAsia="pl-PL"/>
        </w:rPr>
        <w:t>w </w:t>
      </w:r>
      <w:r w:rsidR="00721257" w:rsidRPr="00833C88">
        <w:rPr>
          <w:rFonts w:cs="Times New Roman"/>
          <w:sz w:val="24"/>
          <w:szCs w:val="24"/>
          <w:lang w:eastAsia="pl-PL"/>
        </w:rPr>
        <w:t xml:space="preserve">zakresie poważnych incydentów związanych </w:t>
      </w:r>
      <w:r w:rsidRPr="00833C88">
        <w:rPr>
          <w:rFonts w:cs="Times New Roman"/>
          <w:sz w:val="24"/>
          <w:szCs w:val="24"/>
          <w:lang w:eastAsia="pl-PL"/>
        </w:rPr>
        <w:t>z </w:t>
      </w:r>
      <w:r w:rsidR="00721257" w:rsidRPr="00833C88">
        <w:rPr>
          <w:rFonts w:cs="Times New Roman"/>
          <w:sz w:val="24"/>
          <w:szCs w:val="24"/>
          <w:lang w:eastAsia="pl-PL"/>
        </w:rPr>
        <w:t xml:space="preserve">ICT zgłaszanych przez podmioty kluczowe </w:t>
      </w:r>
      <w:r w:rsidRPr="00833C88">
        <w:rPr>
          <w:rFonts w:cs="Times New Roman"/>
          <w:sz w:val="24"/>
          <w:szCs w:val="24"/>
          <w:lang w:eastAsia="pl-PL"/>
        </w:rPr>
        <w:t>i </w:t>
      </w:r>
      <w:r w:rsidR="00721257" w:rsidRPr="00833C88">
        <w:rPr>
          <w:rFonts w:cs="Times New Roman"/>
          <w:sz w:val="24"/>
          <w:szCs w:val="24"/>
          <w:lang w:eastAsia="pl-PL"/>
        </w:rPr>
        <w:t xml:space="preserve">podmioty ważne oraz podmioty finansowe. Jest to konieczne ze względu na styk regulacji NIS 2 </w:t>
      </w:r>
      <w:r w:rsidRPr="00833C88">
        <w:rPr>
          <w:rFonts w:cs="Times New Roman"/>
          <w:sz w:val="24"/>
          <w:szCs w:val="24"/>
          <w:lang w:eastAsia="pl-PL"/>
        </w:rPr>
        <w:t>z </w:t>
      </w:r>
      <w:r w:rsidR="00721257" w:rsidRPr="00833C88">
        <w:rPr>
          <w:rFonts w:cs="Times New Roman"/>
          <w:sz w:val="24"/>
          <w:szCs w:val="24"/>
          <w:lang w:eastAsia="pl-PL"/>
        </w:rPr>
        <w:t xml:space="preserve">rozporządzeniem DORA oraz </w:t>
      </w:r>
      <w:r w:rsidRPr="00833C88">
        <w:rPr>
          <w:rFonts w:cs="Times New Roman"/>
          <w:sz w:val="24"/>
          <w:szCs w:val="24"/>
          <w:lang w:eastAsia="pl-PL"/>
        </w:rPr>
        <w:t>w </w:t>
      </w:r>
      <w:r w:rsidR="00721257" w:rsidRPr="00833C88">
        <w:rPr>
          <w:rFonts w:cs="Times New Roman"/>
          <w:sz w:val="24"/>
          <w:szCs w:val="24"/>
          <w:lang w:eastAsia="pl-PL"/>
        </w:rPr>
        <w:t xml:space="preserve">związku </w:t>
      </w:r>
      <w:r w:rsidRPr="00833C88">
        <w:rPr>
          <w:rFonts w:cs="Times New Roman"/>
          <w:sz w:val="24"/>
          <w:szCs w:val="24"/>
          <w:lang w:eastAsia="pl-PL"/>
        </w:rPr>
        <w:t>z </w:t>
      </w:r>
      <w:r w:rsidR="00721257" w:rsidRPr="00833C88">
        <w:rPr>
          <w:rFonts w:cs="Times New Roman"/>
          <w:sz w:val="24"/>
          <w:szCs w:val="24"/>
          <w:lang w:eastAsia="pl-PL"/>
        </w:rPr>
        <w:t xml:space="preserve">tym, że rozporządzenie DORA posługuje się własną definicja incydentu – poważny incydent związany </w:t>
      </w:r>
      <w:r w:rsidRPr="00833C88">
        <w:rPr>
          <w:rFonts w:cs="Times New Roman"/>
          <w:sz w:val="24"/>
          <w:szCs w:val="24"/>
          <w:lang w:eastAsia="pl-PL"/>
        </w:rPr>
        <w:t>z </w:t>
      </w:r>
      <w:r w:rsidR="00721257" w:rsidRPr="00833C88">
        <w:rPr>
          <w:rFonts w:cs="Times New Roman"/>
          <w:sz w:val="24"/>
          <w:szCs w:val="24"/>
          <w:lang w:eastAsia="pl-PL"/>
        </w:rPr>
        <w:t xml:space="preserve">ICT. Ta definicja jest bardzo podobna do definicji </w:t>
      </w:r>
      <w:r w:rsidRPr="00833C88">
        <w:rPr>
          <w:rFonts w:cs="Times New Roman"/>
          <w:sz w:val="24"/>
          <w:szCs w:val="24"/>
          <w:lang w:eastAsia="pl-PL"/>
        </w:rPr>
        <w:t>z </w:t>
      </w:r>
      <w:r w:rsidR="00721257" w:rsidRPr="00833C88">
        <w:rPr>
          <w:rFonts w:cs="Times New Roman"/>
          <w:sz w:val="24"/>
          <w:szCs w:val="24"/>
          <w:lang w:eastAsia="pl-PL"/>
        </w:rPr>
        <w:t xml:space="preserve">dyrektywy NIS 2, ale żeby przeciąć wątpliwości wskazano wyraźnie </w:t>
      </w:r>
      <w:r w:rsidRPr="00833C88">
        <w:rPr>
          <w:rFonts w:cs="Times New Roman"/>
          <w:sz w:val="24"/>
          <w:szCs w:val="24"/>
          <w:lang w:eastAsia="pl-PL"/>
        </w:rPr>
        <w:t>w </w:t>
      </w:r>
      <w:r w:rsidR="00721257" w:rsidRPr="00833C88">
        <w:rPr>
          <w:rFonts w:cs="Times New Roman"/>
          <w:sz w:val="24"/>
          <w:szCs w:val="24"/>
          <w:lang w:eastAsia="pl-PL"/>
        </w:rPr>
        <w:t>przepisie, że ten CSIRT sektorowy może również obsługiwać tego rodzaju incydenty.</w:t>
      </w:r>
    </w:p>
    <w:p w14:paraId="01868CF7" w14:textId="40770059" w:rsidR="00F81372" w:rsidRPr="00833C88" w:rsidRDefault="00F81372"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Dzięki wprowadzonym zmianom </w:t>
      </w:r>
      <w:r w:rsidR="001D57BA" w:rsidRPr="00833C88">
        <w:rPr>
          <w:rFonts w:ascii="Times New Roman" w:hAnsi="Times New Roman" w:cs="Times New Roman"/>
        </w:rPr>
        <w:t>podmiot</w:t>
      </w:r>
      <w:r w:rsidR="002E4B93" w:rsidRPr="00833C88">
        <w:rPr>
          <w:rFonts w:ascii="Times New Roman" w:hAnsi="Times New Roman" w:cs="Times New Roman"/>
        </w:rPr>
        <w:t xml:space="preserve">om kluczowym </w:t>
      </w:r>
      <w:r w:rsidR="00601933" w:rsidRPr="00833C88">
        <w:rPr>
          <w:rFonts w:ascii="Times New Roman" w:hAnsi="Times New Roman" w:cs="Times New Roman"/>
        </w:rPr>
        <w:t>i </w:t>
      </w:r>
      <w:r w:rsidR="002E4B93" w:rsidRPr="00833C88">
        <w:rPr>
          <w:rFonts w:ascii="Times New Roman" w:hAnsi="Times New Roman" w:cs="Times New Roman"/>
        </w:rPr>
        <w:t>podmiotom ważnym</w:t>
      </w:r>
      <w:r w:rsidRPr="00833C88">
        <w:rPr>
          <w:rFonts w:ascii="Times New Roman" w:hAnsi="Times New Roman" w:cs="Times New Roman"/>
        </w:rPr>
        <w:t xml:space="preserve"> zostanie zapewnione najlepsze możliwe wsparcie przy obsłudze incydentów. Ponadto nowy system </w:t>
      </w:r>
      <w:r w:rsidRPr="00833C88">
        <w:rPr>
          <w:rFonts w:ascii="Times New Roman" w:hAnsi="Times New Roman" w:cs="Times New Roman"/>
        </w:rPr>
        <w:lastRenderedPageBreak/>
        <w:t>zgłaszania incydentów zmniejsza obciążenia administracyjne ciążące na operatorach usług kluczowych.</w:t>
      </w:r>
    </w:p>
    <w:p w14:paraId="21DA983B" w14:textId="62EC12EC" w:rsidR="00F81372" w:rsidRPr="00833C88" w:rsidRDefault="00F81372" w:rsidP="006514D0">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Należy przy tym wskazać na doświadczenia płynące </w:t>
      </w:r>
      <w:r w:rsidR="00601933" w:rsidRPr="00833C88">
        <w:rPr>
          <w:rFonts w:ascii="Times New Roman" w:hAnsi="Times New Roman" w:cs="Times New Roman"/>
        </w:rPr>
        <w:t>z </w:t>
      </w:r>
      <w:r w:rsidRPr="00833C88">
        <w:rPr>
          <w:rFonts w:ascii="Times New Roman" w:hAnsi="Times New Roman" w:cs="Times New Roman"/>
        </w:rPr>
        <w:t xml:space="preserve">funkcjonowania CSIRT KNF – jedynego obecnie sektorowego zespołu cyberbezpieczeństwa. </w:t>
      </w:r>
      <w:r w:rsidR="00601933" w:rsidRPr="00833C88">
        <w:rPr>
          <w:rFonts w:ascii="Times New Roman" w:hAnsi="Times New Roman" w:cs="Times New Roman"/>
        </w:rPr>
        <w:t>W </w:t>
      </w:r>
      <w:r w:rsidRPr="00833C88">
        <w:rPr>
          <w:rFonts w:ascii="Times New Roman" w:hAnsi="Times New Roman" w:cs="Times New Roman"/>
        </w:rPr>
        <w:t xml:space="preserve">2021 r. CSIRT KNF przekazał podmiotom rynku finansowego 22 ostrzeżenia </w:t>
      </w:r>
      <w:r w:rsidR="00601933" w:rsidRPr="00833C88">
        <w:rPr>
          <w:rFonts w:ascii="Times New Roman" w:hAnsi="Times New Roman" w:cs="Times New Roman"/>
        </w:rPr>
        <w:t>o </w:t>
      </w:r>
      <w:r w:rsidRPr="00833C88">
        <w:rPr>
          <w:rFonts w:ascii="Times New Roman" w:hAnsi="Times New Roman" w:cs="Times New Roman"/>
        </w:rPr>
        <w:t xml:space="preserve">zagrożeniach cyberbezpieczeństwa wraz </w:t>
      </w:r>
      <w:r w:rsidR="00601933" w:rsidRPr="00833C88">
        <w:rPr>
          <w:rFonts w:ascii="Times New Roman" w:hAnsi="Times New Roman" w:cs="Times New Roman"/>
        </w:rPr>
        <w:t>z </w:t>
      </w:r>
      <w:r w:rsidRPr="00833C88">
        <w:rPr>
          <w:rFonts w:ascii="Times New Roman" w:hAnsi="Times New Roman" w:cs="Times New Roman"/>
        </w:rPr>
        <w:t xml:space="preserve">sugerowanymi działaniami mitygującymi te zagrożenia. Zespół ten systematycznie monitoruje kampanie złośliwego oprogramowania ukierunkowane na instytucje </w:t>
      </w:r>
      <w:r w:rsidR="00601933" w:rsidRPr="00833C88">
        <w:rPr>
          <w:rFonts w:ascii="Times New Roman" w:hAnsi="Times New Roman" w:cs="Times New Roman"/>
        </w:rPr>
        <w:t>i </w:t>
      </w:r>
      <w:r w:rsidRPr="00833C88">
        <w:rPr>
          <w:rFonts w:ascii="Times New Roman" w:hAnsi="Times New Roman" w:cs="Times New Roman"/>
        </w:rPr>
        <w:t xml:space="preserve">klientów polskiego rynku finansowego. Prowadzi działalność edukacyjną poprzez szkolenia dla podmiotów nadzorowanych, publikowanie artykułów </w:t>
      </w:r>
      <w:r w:rsidR="00601933" w:rsidRPr="00833C88">
        <w:rPr>
          <w:rFonts w:ascii="Times New Roman" w:hAnsi="Times New Roman" w:cs="Times New Roman"/>
        </w:rPr>
        <w:t>w </w:t>
      </w:r>
      <w:r w:rsidRPr="00833C88">
        <w:rPr>
          <w:rFonts w:ascii="Times New Roman" w:hAnsi="Times New Roman" w:cs="Times New Roman"/>
        </w:rPr>
        <w:t xml:space="preserve">prasie czy </w:t>
      </w:r>
      <w:r w:rsidR="00601933" w:rsidRPr="00833C88">
        <w:rPr>
          <w:rFonts w:ascii="Times New Roman" w:hAnsi="Times New Roman" w:cs="Times New Roman"/>
        </w:rPr>
        <w:t>w </w:t>
      </w:r>
      <w:r w:rsidRPr="00833C88">
        <w:rPr>
          <w:rFonts w:ascii="Times New Roman" w:hAnsi="Times New Roman" w:cs="Times New Roman"/>
        </w:rPr>
        <w:t>mediach społecznościowych</w:t>
      </w:r>
      <w:r w:rsidRPr="00833C88">
        <w:rPr>
          <w:rStyle w:val="Odwoanieprzypisudolnego"/>
          <w:rFonts w:ascii="Times New Roman" w:hAnsi="Times New Roman" w:cs="Times New Roman"/>
        </w:rPr>
        <w:footnoteReference w:id="56"/>
      </w:r>
      <w:r w:rsidRPr="00833C88">
        <w:rPr>
          <w:rFonts w:ascii="Times New Roman" w:hAnsi="Times New Roman" w:cs="Times New Roman"/>
          <w:vertAlign w:val="superscript"/>
        </w:rPr>
        <w:t>)</w:t>
      </w:r>
      <w:r w:rsidRPr="00833C88">
        <w:rPr>
          <w:rFonts w:ascii="Times New Roman" w:hAnsi="Times New Roman" w:cs="Times New Roman"/>
        </w:rPr>
        <w:t xml:space="preserve">. Niezależnie od tego zespół ten wspiera 20 operatorów usług kluczowych </w:t>
      </w:r>
      <w:r w:rsidR="00601933" w:rsidRPr="00833C88">
        <w:rPr>
          <w:rFonts w:ascii="Times New Roman" w:hAnsi="Times New Roman" w:cs="Times New Roman"/>
        </w:rPr>
        <w:t>w </w:t>
      </w:r>
      <w:r w:rsidRPr="00833C88">
        <w:rPr>
          <w:rFonts w:ascii="Times New Roman" w:hAnsi="Times New Roman" w:cs="Times New Roman"/>
        </w:rPr>
        <w:t xml:space="preserve">sektorze bankowości i infrastrukturze rynków finansowych </w:t>
      </w:r>
      <w:r w:rsidR="00601933" w:rsidRPr="00833C88">
        <w:rPr>
          <w:rFonts w:ascii="Times New Roman" w:hAnsi="Times New Roman" w:cs="Times New Roman"/>
        </w:rPr>
        <w:t>w </w:t>
      </w:r>
      <w:r w:rsidRPr="00833C88">
        <w:rPr>
          <w:rFonts w:ascii="Times New Roman" w:hAnsi="Times New Roman" w:cs="Times New Roman"/>
        </w:rPr>
        <w:t xml:space="preserve">obsłudze incydentów poważnych. </w:t>
      </w:r>
      <w:r w:rsidR="00601933" w:rsidRPr="00833C88">
        <w:rPr>
          <w:rFonts w:ascii="Times New Roman" w:hAnsi="Times New Roman" w:cs="Times New Roman"/>
        </w:rPr>
        <w:t>W </w:t>
      </w:r>
      <w:r w:rsidRPr="00833C88">
        <w:rPr>
          <w:rFonts w:ascii="Times New Roman" w:hAnsi="Times New Roman" w:cs="Times New Roman"/>
        </w:rPr>
        <w:t xml:space="preserve">2021 r. </w:t>
      </w:r>
      <w:r w:rsidR="00601933" w:rsidRPr="00833C88">
        <w:rPr>
          <w:rFonts w:ascii="Times New Roman" w:hAnsi="Times New Roman" w:cs="Times New Roman"/>
        </w:rPr>
        <w:t>w </w:t>
      </w:r>
      <w:r w:rsidRPr="00833C88">
        <w:rPr>
          <w:rFonts w:ascii="Times New Roman" w:hAnsi="Times New Roman" w:cs="Times New Roman"/>
        </w:rPr>
        <w:t>tym sektorze doszło do 30 incydentów poważnych</w:t>
      </w:r>
      <w:r w:rsidRPr="00833C88">
        <w:rPr>
          <w:rStyle w:val="Odwoanieprzypisudolnego"/>
          <w:rFonts w:ascii="Times New Roman" w:hAnsi="Times New Roman" w:cs="Times New Roman"/>
        </w:rPr>
        <w:footnoteReference w:id="57"/>
      </w:r>
      <w:r w:rsidRPr="00833C88">
        <w:rPr>
          <w:rFonts w:ascii="Times New Roman" w:hAnsi="Times New Roman" w:cs="Times New Roman"/>
          <w:vertAlign w:val="superscript"/>
        </w:rPr>
        <w:t>)</w:t>
      </w:r>
      <w:r w:rsidRPr="00833C88">
        <w:rPr>
          <w:rFonts w:ascii="Times New Roman" w:hAnsi="Times New Roman" w:cs="Times New Roman"/>
        </w:rPr>
        <w:t xml:space="preserve">, </w:t>
      </w:r>
      <w:r w:rsidR="00601933" w:rsidRPr="00833C88">
        <w:rPr>
          <w:rFonts w:ascii="Times New Roman" w:hAnsi="Times New Roman" w:cs="Times New Roman"/>
        </w:rPr>
        <w:t>a </w:t>
      </w:r>
      <w:r w:rsidRPr="00833C88">
        <w:rPr>
          <w:rFonts w:ascii="Times New Roman" w:hAnsi="Times New Roman" w:cs="Times New Roman"/>
        </w:rPr>
        <w:t xml:space="preserve">od </w:t>
      </w:r>
      <w:r w:rsidR="00B92F62" w:rsidRPr="00833C88">
        <w:rPr>
          <w:rFonts w:ascii="Times New Roman" w:hAnsi="Times New Roman" w:cs="Times New Roman"/>
        </w:rPr>
        <w:t xml:space="preserve">dnia </w:t>
      </w:r>
      <w:r w:rsidRPr="00833C88">
        <w:rPr>
          <w:rFonts w:ascii="Times New Roman" w:hAnsi="Times New Roman" w:cs="Times New Roman"/>
        </w:rPr>
        <w:t xml:space="preserve">1 stycznia do </w:t>
      </w:r>
      <w:r w:rsidR="00B92F62" w:rsidRPr="00833C88">
        <w:rPr>
          <w:rFonts w:ascii="Times New Roman" w:hAnsi="Times New Roman" w:cs="Times New Roman"/>
        </w:rPr>
        <w:t xml:space="preserve">dnia </w:t>
      </w:r>
      <w:r w:rsidRPr="00833C88">
        <w:rPr>
          <w:rFonts w:ascii="Times New Roman" w:hAnsi="Times New Roman" w:cs="Times New Roman"/>
        </w:rPr>
        <w:t>8 grudnia 2022 r. do 21 incydentów poważnych</w:t>
      </w:r>
      <w:r w:rsidRPr="00833C88">
        <w:rPr>
          <w:rStyle w:val="Odwoanieprzypisudolnego"/>
          <w:rFonts w:ascii="Times New Roman" w:hAnsi="Times New Roman" w:cs="Times New Roman"/>
        </w:rPr>
        <w:footnoteReference w:id="58"/>
      </w:r>
      <w:r w:rsidRPr="00833C88">
        <w:rPr>
          <w:rFonts w:ascii="Times New Roman" w:hAnsi="Times New Roman" w:cs="Times New Roman"/>
          <w:vertAlign w:val="superscript"/>
        </w:rPr>
        <w:t>)</w:t>
      </w:r>
      <w:r w:rsidRPr="00833C88">
        <w:rPr>
          <w:rFonts w:ascii="Times New Roman" w:hAnsi="Times New Roman" w:cs="Times New Roman"/>
        </w:rPr>
        <w:t xml:space="preserve">. Dzięki istnieniu wyspecjalizowanego dla tego sektora zespołu CSIRT podmioty rynku finansowego mogły liczyć na szybką </w:t>
      </w:r>
      <w:r w:rsidR="00601933" w:rsidRPr="00833C88">
        <w:rPr>
          <w:rFonts w:ascii="Times New Roman" w:hAnsi="Times New Roman" w:cs="Times New Roman"/>
        </w:rPr>
        <w:t>i </w:t>
      </w:r>
      <w:r w:rsidRPr="00833C88">
        <w:rPr>
          <w:rFonts w:ascii="Times New Roman" w:hAnsi="Times New Roman" w:cs="Times New Roman"/>
        </w:rPr>
        <w:t>konkretną pomoc przy incydentach poważnych związanych ze świadczeniem usług bankowości elektronicznej.</w:t>
      </w:r>
    </w:p>
    <w:p w14:paraId="5A0EC143" w14:textId="6F8C6DC8" w:rsidR="00F81372" w:rsidRPr="00833C88" w:rsidRDefault="00F81372"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Opierając się na tych doświadczeniach projektodawca jest zdania, że powołanie analogicznych zespołów </w:t>
      </w:r>
      <w:r w:rsidR="00601933" w:rsidRPr="00833C88">
        <w:rPr>
          <w:rFonts w:ascii="Times New Roman" w:hAnsi="Times New Roman" w:cs="Times New Roman"/>
        </w:rPr>
        <w:t>w </w:t>
      </w:r>
      <w:r w:rsidRPr="00833C88">
        <w:rPr>
          <w:rFonts w:ascii="Times New Roman" w:hAnsi="Times New Roman" w:cs="Times New Roman"/>
        </w:rPr>
        <w:t xml:space="preserve">innych sektorach gospodarki pozytywnie wpłynie na zdolności operatorów usług kluczowych </w:t>
      </w:r>
      <w:r w:rsidR="00601933" w:rsidRPr="00833C88">
        <w:rPr>
          <w:rFonts w:ascii="Times New Roman" w:hAnsi="Times New Roman" w:cs="Times New Roman"/>
        </w:rPr>
        <w:t>w </w:t>
      </w:r>
      <w:r w:rsidRPr="00833C88">
        <w:rPr>
          <w:rFonts w:ascii="Times New Roman" w:hAnsi="Times New Roman" w:cs="Times New Roman"/>
        </w:rPr>
        <w:t>zakresie cyberbezpieczeństwa.</w:t>
      </w:r>
    </w:p>
    <w:p w14:paraId="31B9A4FC" w14:textId="627F263A" w:rsidR="00F81372" w:rsidRPr="00833C88" w:rsidRDefault="00F81372"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Organ właściwy do spraw cyberbezpieczeństwa będzie mógł powierzyć realizację zadań CSIRT sektorowego jednostkom podległym lub nadzorowanym</w:t>
      </w:r>
      <w:r w:rsidRPr="00833C88">
        <w:rPr>
          <w:rStyle w:val="Odwoanieprzypisudolnego"/>
          <w:rFonts w:ascii="Times New Roman" w:hAnsi="Times New Roman" w:cs="Times New Roman"/>
        </w:rPr>
        <w:footnoteReference w:id="59"/>
      </w:r>
      <w:r w:rsidR="00BA6C1E" w:rsidRPr="00833C88">
        <w:rPr>
          <w:rFonts w:ascii="Times New Roman" w:hAnsi="Times New Roman" w:cs="Times New Roman"/>
          <w:vertAlign w:val="superscript"/>
        </w:rPr>
        <w:t>)</w:t>
      </w:r>
      <w:r w:rsidRPr="00833C88">
        <w:rPr>
          <w:rFonts w:ascii="Times New Roman" w:hAnsi="Times New Roman" w:cs="Times New Roman"/>
        </w:rPr>
        <w:t xml:space="preserve"> albo organowi przez niego nadzorowanemu</w:t>
      </w:r>
      <w:r w:rsidR="00810185" w:rsidRPr="00833C88">
        <w:rPr>
          <w:rFonts w:ascii="Times New Roman" w:hAnsi="Times New Roman" w:cs="Times New Roman"/>
        </w:rPr>
        <w:t xml:space="preserve"> jak również urzędowi, który obsługuje organ właściwy do spraw cyberbezpieczeństwa.</w:t>
      </w:r>
    </w:p>
    <w:p w14:paraId="39FB361B" w14:textId="3E6FE1B5" w:rsidR="00F81372" w:rsidRPr="00833C88" w:rsidRDefault="00F81372"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Przykładowo zadania CSIRT sektorowego będą mogły być powierzone jednostce budżetowej podległej danemu organowi właściwemu do spraw cyberbezpieczeństwa. Finansowanie CSIRT sektorowego odbędzie się co do zasady </w:t>
      </w:r>
      <w:r w:rsidR="00601933" w:rsidRPr="00833C88">
        <w:rPr>
          <w:rFonts w:ascii="Times New Roman" w:hAnsi="Times New Roman" w:cs="Times New Roman"/>
        </w:rPr>
        <w:t>z </w:t>
      </w:r>
      <w:r w:rsidRPr="00833C88">
        <w:rPr>
          <w:rFonts w:ascii="Times New Roman" w:hAnsi="Times New Roman" w:cs="Times New Roman"/>
        </w:rPr>
        <w:t xml:space="preserve">budżetu państwa – jednostka </w:t>
      </w:r>
      <w:r w:rsidRPr="00833C88">
        <w:rPr>
          <w:rFonts w:ascii="Times New Roman" w:hAnsi="Times New Roman" w:cs="Times New Roman"/>
        </w:rPr>
        <w:lastRenderedPageBreak/>
        <w:t>budżetowa będąca CSIRT sektorowym powinna być ustanowiona dysponentem</w:t>
      </w:r>
      <w:r w:rsidRPr="00833C88">
        <w:rPr>
          <w:rStyle w:val="Odwoanieprzypisudolnego"/>
          <w:rFonts w:ascii="Times New Roman" w:hAnsi="Times New Roman" w:cs="Times New Roman"/>
        </w:rPr>
        <w:footnoteReference w:id="60"/>
      </w:r>
      <w:r w:rsidRPr="00833C88">
        <w:rPr>
          <w:rFonts w:ascii="Times New Roman" w:hAnsi="Times New Roman" w:cs="Times New Roman"/>
          <w:vertAlign w:val="superscript"/>
        </w:rPr>
        <w:t>)</w:t>
      </w:r>
      <w:r w:rsidRPr="00833C88">
        <w:rPr>
          <w:rFonts w:ascii="Times New Roman" w:hAnsi="Times New Roman" w:cs="Times New Roman"/>
        </w:rPr>
        <w:t xml:space="preserve"> środków budżetu państwa drugiego lub trzeciego stopnia </w:t>
      </w:r>
      <w:r w:rsidR="00601933" w:rsidRPr="00833C88">
        <w:rPr>
          <w:rFonts w:ascii="Times New Roman" w:hAnsi="Times New Roman" w:cs="Times New Roman"/>
        </w:rPr>
        <w:t>z </w:t>
      </w:r>
      <w:r w:rsidRPr="00833C88">
        <w:rPr>
          <w:rFonts w:ascii="Times New Roman" w:hAnsi="Times New Roman" w:cs="Times New Roman"/>
        </w:rPr>
        <w:t xml:space="preserve">części budżetowej, której dysponentem jest organ właściwy do spraw cyberbezpieczeństwa. Do decyzji organu właściwego do spraw cyberbezpieczeństwa należeć będzie czy zadania CSIRT sektorowego zostaną powierzone istniejącej jednostce budżetowej czy też zostanie </w:t>
      </w:r>
      <w:r w:rsidR="00601933" w:rsidRPr="00833C88">
        <w:rPr>
          <w:rFonts w:ascii="Times New Roman" w:hAnsi="Times New Roman" w:cs="Times New Roman"/>
        </w:rPr>
        <w:t>w </w:t>
      </w:r>
      <w:r w:rsidRPr="00833C88">
        <w:rPr>
          <w:rFonts w:ascii="Times New Roman" w:hAnsi="Times New Roman" w:cs="Times New Roman"/>
        </w:rPr>
        <w:t xml:space="preserve">tym celu utworzona nowa jednostka budżetowa zgodnie </w:t>
      </w:r>
      <w:r w:rsidR="00601933" w:rsidRPr="00833C88">
        <w:rPr>
          <w:rFonts w:ascii="Times New Roman" w:hAnsi="Times New Roman" w:cs="Times New Roman"/>
        </w:rPr>
        <w:t>z </w:t>
      </w:r>
      <w:r w:rsidRPr="00833C88">
        <w:rPr>
          <w:rFonts w:ascii="Times New Roman" w:hAnsi="Times New Roman" w:cs="Times New Roman"/>
        </w:rPr>
        <w:t xml:space="preserve">art. 12 lub 13 ustawy </w:t>
      </w:r>
      <w:r w:rsidR="00601933" w:rsidRPr="00833C88">
        <w:rPr>
          <w:rFonts w:ascii="Times New Roman" w:hAnsi="Times New Roman" w:cs="Times New Roman"/>
        </w:rPr>
        <w:t>z </w:t>
      </w:r>
      <w:r w:rsidRPr="00833C88">
        <w:rPr>
          <w:rFonts w:ascii="Times New Roman" w:hAnsi="Times New Roman" w:cs="Times New Roman"/>
        </w:rPr>
        <w:t xml:space="preserve">dnia 27 sierpnia 2009 r. </w:t>
      </w:r>
      <w:r w:rsidR="00601933" w:rsidRPr="00833C88">
        <w:rPr>
          <w:rFonts w:ascii="Times New Roman" w:hAnsi="Times New Roman" w:cs="Times New Roman"/>
        </w:rPr>
        <w:t>o </w:t>
      </w:r>
      <w:r w:rsidRPr="00833C88">
        <w:rPr>
          <w:rFonts w:ascii="Times New Roman" w:hAnsi="Times New Roman" w:cs="Times New Roman"/>
        </w:rPr>
        <w:t>finansach publicznych</w:t>
      </w:r>
      <w:r w:rsidR="00DA11FC" w:rsidRPr="00833C88">
        <w:rPr>
          <w:rFonts w:ascii="Times New Roman" w:hAnsi="Times New Roman" w:cs="Times New Roman"/>
        </w:rPr>
        <w:t>.</w:t>
      </w:r>
    </w:p>
    <w:p w14:paraId="75578C7C" w14:textId="1D406B37" w:rsidR="00F81372" w:rsidRPr="00833C88" w:rsidRDefault="00F81372"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Projekt przewiduje możliwość powierzenia zadań także jednostce nadzorowanej przez organ właściwy do spraw cyberbezpieczeństwa. </w:t>
      </w:r>
      <w:r w:rsidR="00601933" w:rsidRPr="00833C88">
        <w:rPr>
          <w:rFonts w:ascii="Times New Roman" w:hAnsi="Times New Roman" w:cs="Times New Roman"/>
        </w:rPr>
        <w:t>W </w:t>
      </w:r>
      <w:r w:rsidRPr="00833C88">
        <w:rPr>
          <w:rFonts w:ascii="Times New Roman" w:hAnsi="Times New Roman" w:cs="Times New Roman"/>
        </w:rPr>
        <w:t xml:space="preserve">szczególności CSIRT sektorowy mógłby zostać utworzony </w:t>
      </w:r>
      <w:r w:rsidR="00601933" w:rsidRPr="00833C88">
        <w:rPr>
          <w:rFonts w:ascii="Times New Roman" w:hAnsi="Times New Roman" w:cs="Times New Roman"/>
        </w:rPr>
        <w:t>w </w:t>
      </w:r>
      <w:r w:rsidRPr="00833C88">
        <w:rPr>
          <w:rFonts w:ascii="Times New Roman" w:hAnsi="Times New Roman" w:cs="Times New Roman"/>
        </w:rPr>
        <w:t xml:space="preserve">państwowym instytucie badawczym. Zgodnie </w:t>
      </w:r>
      <w:r w:rsidR="00601933" w:rsidRPr="00833C88">
        <w:rPr>
          <w:rFonts w:ascii="Times New Roman" w:hAnsi="Times New Roman" w:cs="Times New Roman"/>
        </w:rPr>
        <w:t>z </w:t>
      </w:r>
      <w:r w:rsidRPr="00833C88">
        <w:rPr>
          <w:rFonts w:ascii="Times New Roman" w:hAnsi="Times New Roman" w:cs="Times New Roman"/>
        </w:rPr>
        <w:t xml:space="preserve">art. 22 pkt 2 lit b ustawy </w:t>
      </w:r>
      <w:r w:rsidR="00601933" w:rsidRPr="00833C88">
        <w:rPr>
          <w:rFonts w:ascii="Times New Roman" w:hAnsi="Times New Roman" w:cs="Times New Roman"/>
        </w:rPr>
        <w:t>z </w:t>
      </w:r>
      <w:r w:rsidR="00721076" w:rsidRPr="00833C88">
        <w:rPr>
          <w:rFonts w:ascii="Times New Roman" w:hAnsi="Times New Roman" w:cs="Times New Roman"/>
        </w:rPr>
        <w:t xml:space="preserve">dnia </w:t>
      </w:r>
      <w:r w:rsidRPr="00833C88">
        <w:rPr>
          <w:rFonts w:ascii="Times New Roman" w:hAnsi="Times New Roman" w:cs="Times New Roman"/>
        </w:rPr>
        <w:t xml:space="preserve">30 kwietnia 2010 r. </w:t>
      </w:r>
      <w:r w:rsidR="00601933" w:rsidRPr="00833C88">
        <w:rPr>
          <w:rFonts w:ascii="Times New Roman" w:hAnsi="Times New Roman" w:cs="Times New Roman"/>
        </w:rPr>
        <w:t>o </w:t>
      </w:r>
      <w:r w:rsidRPr="00833C88">
        <w:rPr>
          <w:rFonts w:ascii="Times New Roman" w:hAnsi="Times New Roman" w:cs="Times New Roman"/>
        </w:rPr>
        <w:t xml:space="preserve">instytutach badawczych </w:t>
      </w:r>
      <w:r w:rsidR="00BA6C1E" w:rsidRPr="00833C88">
        <w:rPr>
          <w:rFonts w:ascii="Times New Roman" w:hAnsi="Times New Roman" w:cs="Times New Roman"/>
        </w:rPr>
        <w:t xml:space="preserve">(Dz. U. </w:t>
      </w:r>
      <w:r w:rsidR="00601933" w:rsidRPr="00833C88">
        <w:rPr>
          <w:rFonts w:ascii="Times New Roman" w:hAnsi="Times New Roman" w:cs="Times New Roman"/>
        </w:rPr>
        <w:t>z </w:t>
      </w:r>
      <w:r w:rsidR="00BA6C1E" w:rsidRPr="00833C88">
        <w:rPr>
          <w:rFonts w:ascii="Times New Roman" w:hAnsi="Times New Roman" w:cs="Times New Roman"/>
        </w:rPr>
        <w:t>2024 r. poz. 534</w:t>
      </w:r>
      <w:r w:rsidR="00B611A5" w:rsidRPr="00833C88">
        <w:rPr>
          <w:rFonts w:ascii="Times New Roman" w:hAnsi="Times New Roman" w:cs="Times New Roman"/>
        </w:rPr>
        <w:t xml:space="preserve"> oraz z 2025 r. poz. 1017 i 1080</w:t>
      </w:r>
      <w:r w:rsidR="00BA6C1E" w:rsidRPr="00833C88">
        <w:rPr>
          <w:rFonts w:ascii="Times New Roman" w:hAnsi="Times New Roman" w:cs="Times New Roman"/>
        </w:rPr>
        <w:t>)</w:t>
      </w:r>
      <w:r w:rsidR="00D0464F" w:rsidRPr="00833C88">
        <w:rPr>
          <w:rFonts w:ascii="Times New Roman" w:hAnsi="Times New Roman" w:cs="Times New Roman"/>
        </w:rPr>
        <w:t>,</w:t>
      </w:r>
      <w:r w:rsidR="00BA6C1E" w:rsidRPr="00833C88">
        <w:rPr>
          <w:rFonts w:ascii="Times New Roman" w:hAnsi="Times New Roman" w:cs="Times New Roman"/>
        </w:rPr>
        <w:t xml:space="preserve"> </w:t>
      </w:r>
      <w:r w:rsidRPr="00833C88">
        <w:rPr>
          <w:rFonts w:ascii="Times New Roman" w:hAnsi="Times New Roman" w:cs="Times New Roman"/>
        </w:rPr>
        <w:t xml:space="preserve">do zadań państwowego instytutu badawczego należy wykonywanie m.in. zadań szczególnie ważnych dla planowania </w:t>
      </w:r>
      <w:r w:rsidR="00601933" w:rsidRPr="00833C88">
        <w:rPr>
          <w:rFonts w:ascii="Times New Roman" w:hAnsi="Times New Roman" w:cs="Times New Roman"/>
        </w:rPr>
        <w:t>i </w:t>
      </w:r>
      <w:r w:rsidRPr="00833C88">
        <w:rPr>
          <w:rFonts w:ascii="Times New Roman" w:hAnsi="Times New Roman" w:cs="Times New Roman"/>
        </w:rPr>
        <w:t xml:space="preserve">realizacji polityki państwa, których wykonanie jest niezbędne dla zapewnienia obronności </w:t>
      </w:r>
      <w:r w:rsidR="00601933" w:rsidRPr="00833C88">
        <w:rPr>
          <w:rFonts w:ascii="Times New Roman" w:hAnsi="Times New Roman" w:cs="Times New Roman"/>
        </w:rPr>
        <w:t>i </w:t>
      </w:r>
      <w:r w:rsidRPr="00833C88">
        <w:rPr>
          <w:rFonts w:ascii="Times New Roman" w:hAnsi="Times New Roman" w:cs="Times New Roman"/>
        </w:rPr>
        <w:t>bezpieczeństwa publicznego</w:t>
      </w:r>
      <w:r w:rsidR="00BA6C1E" w:rsidRPr="00833C88">
        <w:rPr>
          <w:rFonts w:ascii="Times New Roman" w:hAnsi="Times New Roman" w:cs="Times New Roman"/>
        </w:rPr>
        <w:t>,</w:t>
      </w:r>
      <w:r w:rsidRPr="00833C88">
        <w:rPr>
          <w:rFonts w:ascii="Times New Roman" w:hAnsi="Times New Roman" w:cs="Times New Roman"/>
        </w:rPr>
        <w:t xml:space="preserve"> które dotyczą monitoringu </w:t>
      </w:r>
      <w:r w:rsidR="00601933" w:rsidRPr="00833C88">
        <w:rPr>
          <w:rFonts w:ascii="Times New Roman" w:hAnsi="Times New Roman" w:cs="Times New Roman"/>
        </w:rPr>
        <w:t>i </w:t>
      </w:r>
      <w:r w:rsidRPr="00833C88">
        <w:rPr>
          <w:rFonts w:ascii="Times New Roman" w:hAnsi="Times New Roman" w:cs="Times New Roman"/>
        </w:rPr>
        <w:t xml:space="preserve">zapobiegania skutkom zjawisk </w:t>
      </w:r>
      <w:r w:rsidR="00601933" w:rsidRPr="00833C88">
        <w:rPr>
          <w:rFonts w:ascii="Times New Roman" w:hAnsi="Times New Roman" w:cs="Times New Roman"/>
        </w:rPr>
        <w:t>i </w:t>
      </w:r>
      <w:r w:rsidRPr="00833C88">
        <w:rPr>
          <w:rFonts w:ascii="Times New Roman" w:hAnsi="Times New Roman" w:cs="Times New Roman"/>
        </w:rPr>
        <w:t>wydarzeń mogących stwarzać zagrożenie publiczne. Niewątpliwie zapobieganie i</w:t>
      </w:r>
      <w:r w:rsidR="00BA6C1E" w:rsidRPr="00833C88">
        <w:rPr>
          <w:rFonts w:ascii="Times New Roman" w:hAnsi="Times New Roman" w:cs="Times New Roman"/>
        </w:rPr>
        <w:t> </w:t>
      </w:r>
      <w:r w:rsidRPr="00833C88">
        <w:rPr>
          <w:rFonts w:ascii="Times New Roman" w:hAnsi="Times New Roman" w:cs="Times New Roman"/>
        </w:rPr>
        <w:t xml:space="preserve">reagowanie na incydenty poważne stanowi materię bezpieczeństwa publicznego. </w:t>
      </w:r>
      <w:r w:rsidR="00601933" w:rsidRPr="00833C88">
        <w:rPr>
          <w:rFonts w:ascii="Times New Roman" w:hAnsi="Times New Roman" w:cs="Times New Roman"/>
        </w:rPr>
        <w:t>Z </w:t>
      </w:r>
      <w:r w:rsidRPr="00833C88">
        <w:rPr>
          <w:rFonts w:ascii="Times New Roman" w:hAnsi="Times New Roman" w:cs="Times New Roman"/>
        </w:rPr>
        <w:t>tego powodu zasadne jest powierzenie zadań CSIRT sektorowego państwowemu instytutowi badawczemu.</w:t>
      </w:r>
    </w:p>
    <w:p w14:paraId="320A73CC" w14:textId="43794A70" w:rsidR="00E56FA2" w:rsidRPr="00833C88" w:rsidRDefault="00E56FA2" w:rsidP="0029004E">
      <w:pPr>
        <w:spacing w:line="360" w:lineRule="auto"/>
        <w:jc w:val="both"/>
        <w:rPr>
          <w:rFonts w:eastAsiaTheme="minorEastAsia" w:cs="Times New Roman"/>
          <w:sz w:val="24"/>
          <w:szCs w:val="20"/>
          <w:lang w:eastAsia="pl-PL"/>
        </w:rPr>
      </w:pPr>
      <w:proofErr w:type="gramStart"/>
      <w:r w:rsidRPr="00833C88">
        <w:rPr>
          <w:rFonts w:eastAsiaTheme="minorEastAsia" w:cs="Times New Roman"/>
          <w:sz w:val="24"/>
          <w:szCs w:val="20"/>
          <w:lang w:eastAsia="pl-PL"/>
        </w:rPr>
        <w:t>Jednostka</w:t>
      </w:r>
      <w:proofErr w:type="gramEnd"/>
      <w:r w:rsidRPr="00833C88">
        <w:rPr>
          <w:rFonts w:eastAsiaTheme="minorEastAsia" w:cs="Times New Roman"/>
          <w:sz w:val="24"/>
          <w:szCs w:val="20"/>
          <w:lang w:eastAsia="pl-PL"/>
        </w:rPr>
        <w:t xml:space="preserve"> której powierzono zadania CSIRT sektorowego będzie mogła otrzymać na ten cel dotację celową</w:t>
      </w:r>
      <w:r w:rsidR="00541969" w:rsidRPr="00833C88">
        <w:rPr>
          <w:rFonts w:eastAsiaTheme="minorEastAsia" w:cs="Times New Roman"/>
          <w:sz w:val="24"/>
          <w:szCs w:val="20"/>
          <w:lang w:eastAsia="pl-PL"/>
        </w:rPr>
        <w:t xml:space="preserve">. Chodzi oczywiście </w:t>
      </w:r>
      <w:r w:rsidR="00601933" w:rsidRPr="00833C88">
        <w:rPr>
          <w:rFonts w:eastAsiaTheme="minorEastAsia" w:cs="Times New Roman"/>
          <w:sz w:val="24"/>
          <w:szCs w:val="20"/>
          <w:lang w:eastAsia="pl-PL"/>
        </w:rPr>
        <w:t>o </w:t>
      </w:r>
      <w:r w:rsidR="00541969" w:rsidRPr="00833C88">
        <w:rPr>
          <w:rFonts w:eastAsiaTheme="minorEastAsia" w:cs="Times New Roman"/>
          <w:sz w:val="24"/>
          <w:szCs w:val="20"/>
          <w:lang w:eastAsia="pl-PL"/>
        </w:rPr>
        <w:t>jednostki, które nie są jednostkami budżetowymi.</w:t>
      </w:r>
    </w:p>
    <w:p w14:paraId="5FDC8B9C" w14:textId="74D4D308" w:rsidR="00B51D24" w:rsidRPr="00833C88" w:rsidRDefault="00B51D24" w:rsidP="0029004E">
      <w:pPr>
        <w:spacing w:line="360" w:lineRule="auto"/>
        <w:jc w:val="both"/>
        <w:rPr>
          <w:rFonts w:cs="Times New Roman"/>
        </w:rPr>
      </w:pPr>
      <w:r w:rsidRPr="00833C88">
        <w:rPr>
          <w:rFonts w:eastAsiaTheme="minorEastAsia" w:cs="Times New Roman"/>
          <w:sz w:val="24"/>
          <w:szCs w:val="20"/>
          <w:lang w:eastAsia="pl-PL"/>
        </w:rPr>
        <w:t xml:space="preserve">Przewiduje się także możliwość powierzenia zadania CSIRT sektorowego państwowej osobie prawnej – chodzi </w:t>
      </w:r>
      <w:r w:rsidR="00601933" w:rsidRPr="00833C88">
        <w:rPr>
          <w:rFonts w:eastAsiaTheme="minorEastAsia" w:cs="Times New Roman"/>
          <w:sz w:val="24"/>
          <w:szCs w:val="20"/>
          <w:lang w:eastAsia="pl-PL"/>
        </w:rPr>
        <w:t>o </w:t>
      </w:r>
      <w:r w:rsidRPr="00833C88">
        <w:rPr>
          <w:rFonts w:eastAsiaTheme="minorEastAsia" w:cs="Times New Roman"/>
          <w:sz w:val="24"/>
          <w:szCs w:val="20"/>
          <w:lang w:eastAsia="pl-PL"/>
        </w:rPr>
        <w:t xml:space="preserve">możliwość wykorzystania </w:t>
      </w:r>
      <w:r w:rsidR="00A663C9" w:rsidRPr="00833C88">
        <w:rPr>
          <w:rFonts w:eastAsiaTheme="minorEastAsia" w:cs="Times New Roman"/>
          <w:sz w:val="24"/>
          <w:szCs w:val="20"/>
          <w:lang w:eastAsia="pl-PL"/>
        </w:rPr>
        <w:t xml:space="preserve">już istniejących zasobów </w:t>
      </w:r>
      <w:r w:rsidR="00601933" w:rsidRPr="00833C88">
        <w:rPr>
          <w:rFonts w:eastAsiaTheme="minorEastAsia" w:cs="Times New Roman"/>
          <w:sz w:val="24"/>
          <w:szCs w:val="20"/>
          <w:lang w:eastAsia="pl-PL"/>
        </w:rPr>
        <w:t>w </w:t>
      </w:r>
      <w:r w:rsidR="00A663C9" w:rsidRPr="00833C88">
        <w:rPr>
          <w:rFonts w:eastAsiaTheme="minorEastAsia" w:cs="Times New Roman"/>
          <w:sz w:val="24"/>
          <w:szCs w:val="20"/>
          <w:lang w:eastAsia="pl-PL"/>
        </w:rPr>
        <w:t>podmiotach, które są kontrolowane przez Skarb Państwa.</w:t>
      </w:r>
      <w:r w:rsidR="00FD7DAC" w:rsidRPr="00833C88">
        <w:rPr>
          <w:rFonts w:eastAsiaTheme="minorEastAsia" w:cs="Times New Roman"/>
          <w:sz w:val="24"/>
          <w:szCs w:val="20"/>
          <w:lang w:eastAsia="pl-PL"/>
        </w:rPr>
        <w:t xml:space="preserve"> </w:t>
      </w:r>
      <w:r w:rsidR="00FC49AE" w:rsidRPr="00833C88">
        <w:rPr>
          <w:rFonts w:eastAsiaTheme="minorEastAsia" w:cs="Times New Roman"/>
          <w:sz w:val="24"/>
          <w:szCs w:val="20"/>
          <w:lang w:eastAsia="pl-PL"/>
        </w:rPr>
        <w:t>D</w:t>
      </w:r>
      <w:r w:rsidR="00FD7DAC" w:rsidRPr="00833C88">
        <w:rPr>
          <w:rFonts w:eastAsiaTheme="minorEastAsia" w:cs="Times New Roman"/>
          <w:sz w:val="24"/>
          <w:szCs w:val="20"/>
          <w:lang w:eastAsia="pl-PL"/>
        </w:rPr>
        <w:t xml:space="preserve">odatkowym warunkiem jest dysponowanie przez taką </w:t>
      </w:r>
      <w:r w:rsidR="0046356B" w:rsidRPr="00833C88">
        <w:rPr>
          <w:rFonts w:eastAsiaTheme="minorEastAsia" w:cs="Times New Roman"/>
          <w:sz w:val="24"/>
          <w:szCs w:val="20"/>
          <w:lang w:eastAsia="pl-PL"/>
        </w:rPr>
        <w:t xml:space="preserve">osobę prawną zdolnościami technicznymi i organizacyjnymi niezbędnymi do wypełniania zadań CSIRT sektorowego w danym sektorze lub podsektorze. Warunek ten zabezpiecza przed powierzeniem realizacji zadania CSIRT państwowym osobom prawnym, które nie mają </w:t>
      </w:r>
      <w:r w:rsidR="00AB43C9" w:rsidRPr="00833C88">
        <w:rPr>
          <w:rFonts w:eastAsiaTheme="minorEastAsia" w:cs="Times New Roman"/>
          <w:sz w:val="24"/>
          <w:szCs w:val="20"/>
          <w:lang w:eastAsia="pl-PL"/>
        </w:rPr>
        <w:t>odpowiedniej dojrzałości, aby realizować zadania CSIRT.</w:t>
      </w:r>
    </w:p>
    <w:p w14:paraId="64F6B52D" w14:textId="5F8E7E2E" w:rsidR="001E2280" w:rsidRPr="00833C88" w:rsidRDefault="00F81372" w:rsidP="00653C0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Wprowadza się także możliwość porozumienia się organów właściwych ds.</w:t>
      </w:r>
      <w:r w:rsidR="00BA6C1E" w:rsidRPr="00833C88">
        <w:rPr>
          <w:rFonts w:ascii="Times New Roman" w:hAnsi="Times New Roman" w:cs="Times New Roman"/>
        </w:rPr>
        <w:t> </w:t>
      </w:r>
      <w:r w:rsidRPr="00833C88">
        <w:rPr>
          <w:rFonts w:ascii="Times New Roman" w:hAnsi="Times New Roman" w:cs="Times New Roman"/>
        </w:rPr>
        <w:t xml:space="preserve">cyberbezpieczeństwa i wyznaczenia wspólnego CSIRT sektorowego dla kilku sektorów. </w:t>
      </w:r>
      <w:r w:rsidR="009B65CB" w:rsidRPr="00833C88">
        <w:rPr>
          <w:rFonts w:ascii="Times New Roman" w:hAnsi="Times New Roman" w:cs="Times New Roman"/>
        </w:rPr>
        <w:t>Takie rozwiązanie pozwoli na efektywne wykorzystanie dostępnych zasobów przez administrację. W tym przypadku konieczne będzie zawarcie porozumienia</w:t>
      </w:r>
      <w:r w:rsidR="00627479" w:rsidRPr="00833C88">
        <w:rPr>
          <w:rFonts w:ascii="Times New Roman" w:hAnsi="Times New Roman" w:cs="Times New Roman"/>
        </w:rPr>
        <w:t xml:space="preserve"> pomiędzy organami </w:t>
      </w:r>
      <w:r w:rsidR="00627479" w:rsidRPr="00833C88">
        <w:rPr>
          <w:rFonts w:ascii="Times New Roman" w:hAnsi="Times New Roman" w:cs="Times New Roman"/>
        </w:rPr>
        <w:lastRenderedPageBreak/>
        <w:t xml:space="preserve">właściwymi do spraw cyberbezpieczeństwa jak również jednostką, której powierza się zadania CSIRT sektorowego. </w:t>
      </w:r>
      <w:r w:rsidR="005D1B71" w:rsidRPr="00833C88">
        <w:rPr>
          <w:rFonts w:ascii="Times New Roman" w:hAnsi="Times New Roman" w:cs="Times New Roman"/>
        </w:rPr>
        <w:t>Porozumienie musi objąć zakres powierzonych zadań</w:t>
      </w:r>
      <w:r w:rsidR="006D5F81" w:rsidRPr="00833C88">
        <w:rPr>
          <w:rFonts w:ascii="Times New Roman" w:hAnsi="Times New Roman" w:cs="Times New Roman"/>
        </w:rPr>
        <w:t xml:space="preserve"> (czy wszystkie zadania CSIRT czy może tylko niektóre)</w:t>
      </w:r>
      <w:r w:rsidR="005D1B71" w:rsidRPr="00833C88">
        <w:rPr>
          <w:rFonts w:ascii="Times New Roman" w:hAnsi="Times New Roman" w:cs="Times New Roman"/>
        </w:rPr>
        <w:t>, zasady sprawowania kontroli nad prawidłowym wykonywaniem powierzonych zadań</w:t>
      </w:r>
      <w:r w:rsidR="006D5F81" w:rsidRPr="00833C88">
        <w:rPr>
          <w:rFonts w:ascii="Times New Roman" w:hAnsi="Times New Roman" w:cs="Times New Roman"/>
        </w:rPr>
        <w:t xml:space="preserve"> (np. możliwość żądania informacji od CSIRT przez organ właściwy ds. cyberbezpieczeństw</w:t>
      </w:r>
      <w:r w:rsidR="00DD1758" w:rsidRPr="00833C88">
        <w:rPr>
          <w:rFonts w:ascii="Times New Roman" w:hAnsi="Times New Roman" w:cs="Times New Roman"/>
        </w:rPr>
        <w:t>a</w:t>
      </w:r>
      <w:r w:rsidR="006D5F81" w:rsidRPr="00833C88">
        <w:rPr>
          <w:rFonts w:ascii="Times New Roman" w:hAnsi="Times New Roman" w:cs="Times New Roman"/>
        </w:rPr>
        <w:t>)</w:t>
      </w:r>
      <w:r w:rsidR="008E6901" w:rsidRPr="00833C88">
        <w:rPr>
          <w:rFonts w:ascii="Times New Roman" w:hAnsi="Times New Roman" w:cs="Times New Roman"/>
        </w:rPr>
        <w:t xml:space="preserve"> a także określać sposób finansowania zadań</w:t>
      </w:r>
      <w:r w:rsidR="0056089F" w:rsidRPr="00833C88">
        <w:rPr>
          <w:rFonts w:ascii="Times New Roman" w:hAnsi="Times New Roman" w:cs="Times New Roman"/>
        </w:rPr>
        <w:t xml:space="preserve"> – czy będzie to dotacja celowa (w przypadku jednostek organizacyjnych, które nie są jednostkami budżetowymi) </w:t>
      </w:r>
      <w:r w:rsidR="00DD1758" w:rsidRPr="00833C88">
        <w:rPr>
          <w:rFonts w:ascii="Times New Roman" w:hAnsi="Times New Roman" w:cs="Times New Roman"/>
        </w:rPr>
        <w:t>czy też jednostka budżetowa realizująca zadania CSIRT sektorowego zostanie ustanowiona dysponentem środków budżetu państwa drugiego lub trzeciego stopnia z części budżetowej, której dysponentem jest organ właściwy do spraw cyberbezpieczeństwa</w:t>
      </w:r>
      <w:r w:rsidR="008E6901" w:rsidRPr="00833C88">
        <w:rPr>
          <w:rFonts w:ascii="Times New Roman" w:hAnsi="Times New Roman" w:cs="Times New Roman"/>
        </w:rPr>
        <w:t>.</w:t>
      </w:r>
    </w:p>
    <w:p w14:paraId="38987964" w14:textId="06BFC9B8" w:rsidR="00B85C60" w:rsidRPr="00833C88" w:rsidRDefault="006C74E3"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Przewidziano także sytuację, gdy </w:t>
      </w:r>
      <w:r w:rsidR="00633521" w:rsidRPr="00833C88">
        <w:rPr>
          <w:rFonts w:ascii="Times New Roman" w:hAnsi="Times New Roman" w:cs="Times New Roman"/>
        </w:rPr>
        <w:t xml:space="preserve">minister jest organem właściwym do spraw cyberbezpieczeństwa dla kilku sektorów, ponieważ kieruje kilkoma działami administracji rządowej. Będzie mógł wtedy wydać decyzję </w:t>
      </w:r>
      <w:r w:rsidR="00601933" w:rsidRPr="00833C88">
        <w:rPr>
          <w:rFonts w:ascii="Times New Roman" w:hAnsi="Times New Roman" w:cs="Times New Roman"/>
        </w:rPr>
        <w:t>o </w:t>
      </w:r>
      <w:r w:rsidR="00633521" w:rsidRPr="00833C88">
        <w:rPr>
          <w:rFonts w:ascii="Times New Roman" w:hAnsi="Times New Roman" w:cs="Times New Roman"/>
        </w:rPr>
        <w:t xml:space="preserve">wyznaczeniu </w:t>
      </w:r>
      <w:r w:rsidR="00D1679E" w:rsidRPr="00833C88">
        <w:rPr>
          <w:rFonts w:ascii="Times New Roman" w:hAnsi="Times New Roman" w:cs="Times New Roman"/>
        </w:rPr>
        <w:t xml:space="preserve">jednego CSIRT sektorowego dla wszystkich nadzorowanych podmiotów – </w:t>
      </w:r>
      <w:r w:rsidR="00601933" w:rsidRPr="00833C88">
        <w:rPr>
          <w:rFonts w:ascii="Times New Roman" w:hAnsi="Times New Roman" w:cs="Times New Roman"/>
        </w:rPr>
        <w:t>a </w:t>
      </w:r>
      <w:r w:rsidR="00D1679E" w:rsidRPr="00833C88">
        <w:rPr>
          <w:rFonts w:ascii="Times New Roman" w:hAnsi="Times New Roman" w:cs="Times New Roman"/>
        </w:rPr>
        <w:t>następcy prawni ministra</w:t>
      </w:r>
      <w:r w:rsidR="00A30BB1" w:rsidRPr="00833C88">
        <w:rPr>
          <w:rFonts w:ascii="Times New Roman" w:hAnsi="Times New Roman" w:cs="Times New Roman"/>
        </w:rPr>
        <w:t xml:space="preserve"> będą mogli zawrzeć</w:t>
      </w:r>
      <w:r w:rsidR="009D04E1" w:rsidRPr="00833C88">
        <w:rPr>
          <w:rFonts w:ascii="Times New Roman" w:hAnsi="Times New Roman" w:cs="Times New Roman"/>
        </w:rPr>
        <w:t xml:space="preserve"> porozumienie</w:t>
      </w:r>
      <w:r w:rsidR="00BA6C1E" w:rsidRPr="00833C88">
        <w:rPr>
          <w:rFonts w:ascii="Times New Roman" w:hAnsi="Times New Roman" w:cs="Times New Roman"/>
        </w:rPr>
        <w:t xml:space="preserve">, </w:t>
      </w:r>
      <w:r w:rsidR="00A30BB1" w:rsidRPr="00833C88">
        <w:rPr>
          <w:rFonts w:ascii="Times New Roman" w:hAnsi="Times New Roman" w:cs="Times New Roman"/>
        </w:rPr>
        <w:t>w</w:t>
      </w:r>
      <w:r w:rsidR="00BA6C1E" w:rsidRPr="00833C88">
        <w:rPr>
          <w:rFonts w:ascii="Times New Roman" w:hAnsi="Times New Roman" w:cs="Times New Roman"/>
        </w:rPr>
        <w:t> </w:t>
      </w:r>
      <w:r w:rsidR="00A30BB1" w:rsidRPr="00833C88">
        <w:rPr>
          <w:rFonts w:ascii="Times New Roman" w:hAnsi="Times New Roman" w:cs="Times New Roman"/>
        </w:rPr>
        <w:t>którym zdecydują jaka jednostka dalej będzie pełniła funkcje CSIRT sektorowego dla</w:t>
      </w:r>
      <w:r w:rsidR="00BA6C1E" w:rsidRPr="00833C88">
        <w:rPr>
          <w:rFonts w:ascii="Times New Roman" w:hAnsi="Times New Roman" w:cs="Times New Roman"/>
        </w:rPr>
        <w:t> </w:t>
      </w:r>
      <w:r w:rsidR="00F17D16" w:rsidRPr="00833C88">
        <w:rPr>
          <w:rFonts w:ascii="Times New Roman" w:hAnsi="Times New Roman" w:cs="Times New Roman"/>
        </w:rPr>
        <w:t>nadzorowanych przez nich sektorów.</w:t>
      </w:r>
      <w:r w:rsidR="00F81372" w:rsidRPr="00833C88">
        <w:rPr>
          <w:rFonts w:ascii="Times New Roman" w:hAnsi="Times New Roman" w:cs="Times New Roman"/>
        </w:rPr>
        <w:t xml:space="preserve"> </w:t>
      </w:r>
      <w:r w:rsidR="00B85C60" w:rsidRPr="00833C88">
        <w:rPr>
          <w:rFonts w:ascii="Times New Roman" w:hAnsi="Times New Roman" w:cs="Times New Roman"/>
        </w:rPr>
        <w:t xml:space="preserve">Ta decyzja nie będzie </w:t>
      </w:r>
      <w:r w:rsidR="0097567A" w:rsidRPr="00833C88">
        <w:rPr>
          <w:rFonts w:ascii="Times New Roman" w:hAnsi="Times New Roman" w:cs="Times New Roman"/>
        </w:rPr>
        <w:t>decyzją w</w:t>
      </w:r>
      <w:r w:rsidR="00721076" w:rsidRPr="00833C88">
        <w:rPr>
          <w:rFonts w:ascii="Times New Roman" w:hAnsi="Times New Roman" w:cs="Times New Roman"/>
        </w:rPr>
        <w:t> </w:t>
      </w:r>
      <w:r w:rsidR="0097567A" w:rsidRPr="00833C88">
        <w:rPr>
          <w:rFonts w:ascii="Times New Roman" w:hAnsi="Times New Roman" w:cs="Times New Roman"/>
        </w:rPr>
        <w:t>rozumieniu Kodeksu postępowania administracyjnego, ponieważ minister będzie ją</w:t>
      </w:r>
      <w:r w:rsidR="00DE38C1" w:rsidRPr="00833C88">
        <w:rPr>
          <w:rFonts w:ascii="Times New Roman" w:hAnsi="Times New Roman" w:cs="Times New Roman"/>
        </w:rPr>
        <w:t> </w:t>
      </w:r>
      <w:r w:rsidR="0097567A" w:rsidRPr="00833C88">
        <w:rPr>
          <w:rFonts w:ascii="Times New Roman" w:hAnsi="Times New Roman" w:cs="Times New Roman"/>
        </w:rPr>
        <w:t xml:space="preserve">wydawał wobec podmiotów, wobec których posiada władczość. </w:t>
      </w:r>
      <w:r w:rsidR="00E02DC8" w:rsidRPr="00833C88">
        <w:rPr>
          <w:rFonts w:ascii="Times New Roman" w:hAnsi="Times New Roman" w:cs="Times New Roman"/>
        </w:rPr>
        <w:t xml:space="preserve">Wprowadza się przy tym obowiązek publikacji decyzji w dzienniku urzędowym organu właściwego do spraw cyberbezpieczeństwa, co umożliwi poinformowanie </w:t>
      </w:r>
      <w:r w:rsidR="00B224E7" w:rsidRPr="00833C88">
        <w:rPr>
          <w:rFonts w:ascii="Times New Roman" w:hAnsi="Times New Roman" w:cs="Times New Roman"/>
        </w:rPr>
        <w:t>wszystkich zainteresowanych o</w:t>
      </w:r>
      <w:r w:rsidR="00721076" w:rsidRPr="00833C88">
        <w:rPr>
          <w:rFonts w:ascii="Times New Roman" w:hAnsi="Times New Roman" w:cs="Times New Roman"/>
        </w:rPr>
        <w:t> </w:t>
      </w:r>
      <w:r w:rsidR="00B224E7" w:rsidRPr="00833C88">
        <w:rPr>
          <w:rFonts w:ascii="Times New Roman" w:hAnsi="Times New Roman" w:cs="Times New Roman"/>
        </w:rPr>
        <w:t xml:space="preserve">powierzeniu zadań CSIRT sektorowego. </w:t>
      </w:r>
    </w:p>
    <w:p w14:paraId="4724D6DC" w14:textId="1870584E" w:rsidR="00B85C60" w:rsidRPr="00833C88" w:rsidRDefault="00B224E7"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Organ właściwy będzie mógł także, alternatywnie, porozumieć się z organami prowadzącymi CSIRT MON, CSIRT NASK, CSIRT GOV i powierzyć im realizację zadań CSIRT sektorowego.</w:t>
      </w:r>
    </w:p>
    <w:p w14:paraId="1B882C17" w14:textId="4DDBFD2D" w:rsidR="005347DF" w:rsidRPr="00833C88" w:rsidRDefault="005347DF" w:rsidP="00653C0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Szczególną regulację zastosowano wobec powierzenia zespołowi CSIRT MON zadań CSIRT sektorowego – tutaj Minister Obrony Narodowej będzie mógł wydać decyzję o</w:t>
      </w:r>
      <w:r w:rsidR="00721076" w:rsidRPr="00833C88">
        <w:rPr>
          <w:rFonts w:ascii="Times New Roman" w:hAnsi="Times New Roman" w:cs="Times New Roman"/>
        </w:rPr>
        <w:t> </w:t>
      </w:r>
      <w:r w:rsidRPr="00833C88">
        <w:rPr>
          <w:rFonts w:ascii="Times New Roman" w:hAnsi="Times New Roman" w:cs="Times New Roman"/>
        </w:rPr>
        <w:t xml:space="preserve">powierzeniu zadań zespołowi CSIRT MON. </w:t>
      </w:r>
      <w:r w:rsidR="00716A57" w:rsidRPr="00833C88">
        <w:rPr>
          <w:rFonts w:ascii="Times New Roman" w:hAnsi="Times New Roman" w:cs="Times New Roman"/>
        </w:rPr>
        <w:t>Z uwagi na charakter militarny ta decyzja nie</w:t>
      </w:r>
      <w:r w:rsidR="00DE38C1" w:rsidRPr="00833C88">
        <w:rPr>
          <w:rFonts w:ascii="Times New Roman" w:hAnsi="Times New Roman" w:cs="Times New Roman"/>
        </w:rPr>
        <w:t> </w:t>
      </w:r>
      <w:r w:rsidR="00716A57" w:rsidRPr="00833C88">
        <w:rPr>
          <w:rFonts w:ascii="Times New Roman" w:hAnsi="Times New Roman" w:cs="Times New Roman"/>
        </w:rPr>
        <w:t>będzie podlegała ogłoszeniu</w:t>
      </w:r>
      <w:r w:rsidR="007A00E7" w:rsidRPr="00833C88">
        <w:rPr>
          <w:rFonts w:ascii="Times New Roman" w:hAnsi="Times New Roman" w:cs="Times New Roman"/>
        </w:rPr>
        <w:t>.</w:t>
      </w:r>
    </w:p>
    <w:p w14:paraId="78C7BAB6" w14:textId="7529295D" w:rsidR="004844B3" w:rsidRPr="00833C88" w:rsidRDefault="00F81372"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Tego rodzaju przepisy zapewnią elastyczność i efektywne wykorzystanie zasobów przy powoływaniu zespołów CSIRT sektorowych. </w:t>
      </w:r>
    </w:p>
    <w:p w14:paraId="1E4F2545" w14:textId="75C168D4" w:rsidR="00570BB6" w:rsidRPr="00833C88" w:rsidRDefault="008B18D7" w:rsidP="00570BB6">
      <w:pPr>
        <w:pStyle w:val="NIEARTTEKSTtekstnieartykuowanynppodstprawnarozplubpreambua"/>
        <w:rPr>
          <w:rFonts w:ascii="Times New Roman" w:hAnsi="Times New Roman" w:cs="Times New Roman"/>
        </w:rPr>
      </w:pPr>
      <w:r w:rsidRPr="00833C88">
        <w:rPr>
          <w:rFonts w:ascii="Times New Roman" w:hAnsi="Times New Roman" w:cs="Times New Roman"/>
        </w:rPr>
        <w:t xml:space="preserve">Konieczne jest określenie przepisów dotyczących finansowania zadań CSIRT sektorowego. Oczywiste jest, że zadania te są finansowane przede wszystkim z budżetu państwa </w:t>
      </w:r>
      <w:r w:rsidR="00E32B22" w:rsidRPr="00833C88">
        <w:rPr>
          <w:rFonts w:ascii="Times New Roman" w:hAnsi="Times New Roman" w:cs="Times New Roman"/>
        </w:rPr>
        <w:t>–</w:t>
      </w:r>
      <w:r w:rsidRPr="00833C88">
        <w:rPr>
          <w:rFonts w:ascii="Times New Roman" w:hAnsi="Times New Roman" w:cs="Times New Roman"/>
        </w:rPr>
        <w:t xml:space="preserve"> </w:t>
      </w:r>
      <w:r w:rsidR="00E32B22" w:rsidRPr="00833C88">
        <w:rPr>
          <w:rFonts w:ascii="Times New Roman" w:hAnsi="Times New Roman" w:cs="Times New Roman"/>
        </w:rPr>
        <w:t xml:space="preserve">z części budżetu państwa, </w:t>
      </w:r>
      <w:r w:rsidR="001C38AC" w:rsidRPr="00833C88">
        <w:rPr>
          <w:rFonts w:ascii="Times New Roman" w:hAnsi="Times New Roman" w:cs="Times New Roman"/>
        </w:rPr>
        <w:t xml:space="preserve">której dysponentem jest minister albo centralny organ </w:t>
      </w:r>
      <w:r w:rsidR="001C38AC" w:rsidRPr="00833C88">
        <w:rPr>
          <w:rFonts w:ascii="Times New Roman" w:hAnsi="Times New Roman" w:cs="Times New Roman"/>
        </w:rPr>
        <w:lastRenderedPageBreak/>
        <w:t>administracji rządowej</w:t>
      </w:r>
      <w:r w:rsidR="001C38AC" w:rsidRPr="00833C88">
        <w:rPr>
          <w:rStyle w:val="Odwoanieprzypisudolnego"/>
          <w:rFonts w:ascii="Times New Roman" w:hAnsi="Times New Roman" w:cs="Times New Roman"/>
        </w:rPr>
        <w:footnoteReference w:id="61"/>
      </w:r>
      <w:r w:rsidR="00FC49AE" w:rsidRPr="00833C88">
        <w:rPr>
          <w:rFonts w:ascii="Times New Roman" w:hAnsi="Times New Roman" w:cs="Times New Roman"/>
          <w:vertAlign w:val="superscript"/>
        </w:rPr>
        <w:t>)</w:t>
      </w:r>
      <w:r w:rsidR="001C38AC" w:rsidRPr="00833C88">
        <w:rPr>
          <w:rFonts w:ascii="Times New Roman" w:hAnsi="Times New Roman" w:cs="Times New Roman"/>
        </w:rPr>
        <w:t xml:space="preserve">, będący organem właściwym do spraw cyberbezpieczeństwa. </w:t>
      </w:r>
      <w:r w:rsidR="00453646" w:rsidRPr="00833C88">
        <w:rPr>
          <w:rFonts w:ascii="Times New Roman" w:hAnsi="Times New Roman" w:cs="Times New Roman"/>
        </w:rPr>
        <w:t>Należało przy tym dodać, że zadania te mogą być dofinansowywane</w:t>
      </w:r>
      <w:r w:rsidR="00570BB6" w:rsidRPr="00833C88">
        <w:rPr>
          <w:rFonts w:ascii="Times New Roman" w:hAnsi="Times New Roman" w:cs="Times New Roman"/>
        </w:rPr>
        <w:t>:</w:t>
      </w:r>
    </w:p>
    <w:p w14:paraId="62708C21" w14:textId="3382C1BE" w:rsidR="00570BB6" w:rsidRPr="00833C88" w:rsidRDefault="00570BB6" w:rsidP="00533D2A">
      <w:pPr>
        <w:pStyle w:val="NIEARTTEKSTtekstnieartykuowanynppodstprawnarozplubpreambua"/>
        <w:numPr>
          <w:ilvl w:val="0"/>
          <w:numId w:val="72"/>
        </w:numPr>
        <w:rPr>
          <w:rFonts w:ascii="Times New Roman" w:hAnsi="Times New Roman" w:cs="Times New Roman"/>
        </w:rPr>
      </w:pPr>
      <w:r w:rsidRPr="00833C88">
        <w:rPr>
          <w:rFonts w:ascii="Times New Roman" w:hAnsi="Times New Roman" w:cs="Times New Roman"/>
        </w:rPr>
        <w:t>ze środków pochodzących z budżetu Unii Europejskiej,</w:t>
      </w:r>
    </w:p>
    <w:p w14:paraId="4A376640" w14:textId="3E6B4054" w:rsidR="004844B3" w:rsidRPr="00833C88" w:rsidRDefault="00570BB6" w:rsidP="00570BB6">
      <w:pPr>
        <w:pStyle w:val="NIEARTTEKSTtekstnieartykuowanynppodstprawnarozplubpreambua"/>
        <w:numPr>
          <w:ilvl w:val="0"/>
          <w:numId w:val="72"/>
        </w:numPr>
        <w:spacing w:before="0" w:after="120"/>
        <w:rPr>
          <w:rFonts w:ascii="Times New Roman" w:hAnsi="Times New Roman" w:cs="Times New Roman"/>
        </w:rPr>
      </w:pPr>
      <w:r w:rsidRPr="00833C88">
        <w:rPr>
          <w:rFonts w:ascii="Times New Roman" w:hAnsi="Times New Roman" w:cs="Times New Roman"/>
        </w:rPr>
        <w:t>ze środków przeznaczonych na realizację programów finansowanych z udziałem środków pochodzących z budżetu Unii Europejskiej.</w:t>
      </w:r>
    </w:p>
    <w:p w14:paraId="02A07E74" w14:textId="15826D83" w:rsidR="00A56FB1" w:rsidRPr="00833C88" w:rsidRDefault="007060A0" w:rsidP="00533D2A">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Zespołem CSIRT sektorowym może być jednostka organizacyjna (instytucja gospodarki budżetowej, państwowa osoba prawna</w:t>
      </w:r>
      <w:r w:rsidR="002D3721" w:rsidRPr="00833C88">
        <w:rPr>
          <w:rFonts w:ascii="Times New Roman" w:hAnsi="Times New Roman" w:cs="Times New Roman"/>
        </w:rPr>
        <w:t xml:space="preserve"> itd.), która nie jest jednostką budżetową.</w:t>
      </w:r>
      <w:r w:rsidR="008C49F6" w:rsidRPr="00833C88">
        <w:rPr>
          <w:rFonts w:ascii="Times New Roman" w:hAnsi="Times New Roman" w:cs="Times New Roman"/>
        </w:rPr>
        <w:t xml:space="preserve"> Taka jednostka nie </w:t>
      </w:r>
      <w:proofErr w:type="gramStart"/>
      <w:r w:rsidR="008C49F6" w:rsidRPr="00833C88">
        <w:rPr>
          <w:rFonts w:ascii="Times New Roman" w:hAnsi="Times New Roman" w:cs="Times New Roman"/>
        </w:rPr>
        <w:t>mogła by</w:t>
      </w:r>
      <w:proofErr w:type="gramEnd"/>
      <w:r w:rsidR="008C49F6" w:rsidRPr="00833C88">
        <w:rPr>
          <w:rFonts w:ascii="Times New Roman" w:hAnsi="Times New Roman" w:cs="Times New Roman"/>
        </w:rPr>
        <w:t xml:space="preserve"> otrzymać bezpośrednio środków z budżetu państwa na realizację zadań CSIRT sektorowego.</w:t>
      </w:r>
      <w:r w:rsidR="002D3721" w:rsidRPr="00833C88">
        <w:rPr>
          <w:rFonts w:ascii="Times New Roman" w:hAnsi="Times New Roman" w:cs="Times New Roman"/>
        </w:rPr>
        <w:t xml:space="preserve"> Dlatego więc przewidziano możliwość</w:t>
      </w:r>
      <w:r w:rsidR="00C756A0" w:rsidRPr="00833C88">
        <w:rPr>
          <w:rFonts w:ascii="Times New Roman" w:hAnsi="Times New Roman" w:cs="Times New Roman"/>
        </w:rPr>
        <w:t xml:space="preserve"> udzielania dotacji celowej na realizację zadań CSIRT sektorowego z części budżetowej </w:t>
      </w:r>
      <w:r w:rsidR="006D2F82" w:rsidRPr="00833C88">
        <w:rPr>
          <w:rFonts w:ascii="Times New Roman" w:hAnsi="Times New Roman" w:cs="Times New Roman"/>
        </w:rPr>
        <w:t xml:space="preserve">której dysponentem jest minister będący organem właściwym do spraw cyberbezpieczeństwa dla danego sektora lub podsektora. </w:t>
      </w:r>
      <w:r w:rsidR="008E0825" w:rsidRPr="00833C88">
        <w:rPr>
          <w:rFonts w:ascii="Times New Roman" w:hAnsi="Times New Roman" w:cs="Times New Roman"/>
        </w:rPr>
        <w:t xml:space="preserve">Zapewni to możliwość finansowania zadań. W tym miejscu warto podkreślić </w:t>
      </w:r>
      <w:r w:rsidR="000C5766" w:rsidRPr="00833C88">
        <w:rPr>
          <w:rFonts w:ascii="Times New Roman" w:hAnsi="Times New Roman" w:cs="Times New Roman"/>
        </w:rPr>
        <w:t>oczywisty fakt – jednostka budżetowa nie może otrzymać dotacji z budżetu państwa, gdyż jest to sprzeczne z</w:t>
      </w:r>
      <w:r w:rsidR="00721076" w:rsidRPr="00833C88">
        <w:rPr>
          <w:rFonts w:ascii="Times New Roman" w:hAnsi="Times New Roman" w:cs="Times New Roman"/>
        </w:rPr>
        <w:t> </w:t>
      </w:r>
      <w:r w:rsidR="000C5766" w:rsidRPr="00833C88">
        <w:rPr>
          <w:rFonts w:ascii="Times New Roman" w:hAnsi="Times New Roman" w:cs="Times New Roman"/>
        </w:rPr>
        <w:t>istotą jednostki budżetowej i przepisami ustawy z dnia 27 sierpnia 2009 r. o finansach publicznych (Dz.</w:t>
      </w:r>
      <w:r w:rsidR="00965D30" w:rsidRPr="00833C88">
        <w:rPr>
          <w:rFonts w:ascii="Times New Roman" w:hAnsi="Times New Roman" w:cs="Times New Roman"/>
        </w:rPr>
        <w:t xml:space="preserve"> </w:t>
      </w:r>
      <w:r w:rsidR="000C5766" w:rsidRPr="00833C88">
        <w:rPr>
          <w:rFonts w:ascii="Times New Roman" w:hAnsi="Times New Roman" w:cs="Times New Roman"/>
        </w:rPr>
        <w:t>U. z 2024 r. poz. 1530</w:t>
      </w:r>
      <w:r w:rsidR="00965D30" w:rsidRPr="00833C88">
        <w:rPr>
          <w:rFonts w:ascii="Times New Roman" w:hAnsi="Times New Roman" w:cs="Times New Roman"/>
        </w:rPr>
        <w:t>,</w:t>
      </w:r>
      <w:r w:rsidR="000C5766" w:rsidRPr="00833C88">
        <w:rPr>
          <w:rFonts w:ascii="Times New Roman" w:hAnsi="Times New Roman" w:cs="Times New Roman"/>
        </w:rPr>
        <w:t xml:space="preserve"> z późn. zm.).</w:t>
      </w:r>
    </w:p>
    <w:p w14:paraId="472EEEBC" w14:textId="420AE255" w:rsidR="00835D9A" w:rsidRPr="00833C88" w:rsidRDefault="00835D9A" w:rsidP="0044648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Konieczne jest uregulowanie </w:t>
      </w:r>
      <w:r w:rsidR="00B73E3F" w:rsidRPr="00833C88">
        <w:rPr>
          <w:rFonts w:ascii="Times New Roman" w:hAnsi="Times New Roman" w:cs="Times New Roman"/>
        </w:rPr>
        <w:t>sytuacji zespołu CSIRT sektorowego</w:t>
      </w:r>
      <w:r w:rsidR="00CE41EA" w:rsidRPr="00833C88">
        <w:rPr>
          <w:rFonts w:ascii="Times New Roman" w:hAnsi="Times New Roman" w:cs="Times New Roman"/>
        </w:rPr>
        <w:t xml:space="preserve"> dla kilku sektorów</w:t>
      </w:r>
      <w:r w:rsidR="00B73E3F" w:rsidRPr="00833C88">
        <w:rPr>
          <w:rFonts w:ascii="Times New Roman" w:hAnsi="Times New Roman" w:cs="Times New Roman"/>
        </w:rPr>
        <w:t>, który funkcjonuje w jednostce budżetowej</w:t>
      </w:r>
      <w:r w:rsidR="00CE41EA" w:rsidRPr="00833C88">
        <w:rPr>
          <w:rFonts w:ascii="Times New Roman" w:hAnsi="Times New Roman" w:cs="Times New Roman"/>
        </w:rPr>
        <w:t>. Przepisy ustawy z dnia 27 sierpnia 2009 r. o</w:t>
      </w:r>
      <w:r w:rsidR="00721076" w:rsidRPr="00833C88">
        <w:rPr>
          <w:rFonts w:ascii="Times New Roman" w:hAnsi="Times New Roman" w:cs="Times New Roman"/>
        </w:rPr>
        <w:t> </w:t>
      </w:r>
      <w:r w:rsidR="00CE41EA" w:rsidRPr="00833C88">
        <w:rPr>
          <w:rFonts w:ascii="Times New Roman" w:hAnsi="Times New Roman" w:cs="Times New Roman"/>
        </w:rPr>
        <w:t xml:space="preserve">finansach publicznych pozwalają na przenoszenie </w:t>
      </w:r>
      <w:r w:rsidR="00D91FD6" w:rsidRPr="00833C88">
        <w:rPr>
          <w:rFonts w:ascii="Times New Roman" w:hAnsi="Times New Roman" w:cs="Times New Roman"/>
        </w:rPr>
        <w:t xml:space="preserve">środków pomiędzy częściami budżetowymi tylko w rzadkich sytuacjach. Co do zasady nie jest to jednak możliwe. Dlatego </w:t>
      </w:r>
      <w:r w:rsidR="00B33D36" w:rsidRPr="00833C88">
        <w:rPr>
          <w:rFonts w:ascii="Times New Roman" w:hAnsi="Times New Roman" w:cs="Times New Roman"/>
        </w:rPr>
        <w:t xml:space="preserve">wprowadza się </w:t>
      </w:r>
      <w:r w:rsidR="00CC0A6B" w:rsidRPr="00833C88">
        <w:rPr>
          <w:rFonts w:ascii="Times New Roman" w:hAnsi="Times New Roman" w:cs="Times New Roman"/>
        </w:rPr>
        <w:t>regułę, że tak</w:t>
      </w:r>
      <w:r w:rsidR="008C7E31" w:rsidRPr="00833C88">
        <w:rPr>
          <w:rFonts w:ascii="Times New Roman" w:hAnsi="Times New Roman" w:cs="Times New Roman"/>
        </w:rPr>
        <w:t>a</w:t>
      </w:r>
      <w:r w:rsidR="00CC0A6B" w:rsidRPr="00833C88">
        <w:rPr>
          <w:rFonts w:ascii="Times New Roman" w:hAnsi="Times New Roman" w:cs="Times New Roman"/>
        </w:rPr>
        <w:t xml:space="preserve"> jednostka budżetowa otrzymuje </w:t>
      </w:r>
      <w:r w:rsidR="006870DA" w:rsidRPr="00833C88">
        <w:rPr>
          <w:rFonts w:ascii="Times New Roman" w:hAnsi="Times New Roman" w:cs="Times New Roman"/>
        </w:rPr>
        <w:t xml:space="preserve">środki z części budżetowych, których dysponentami są organy właściwe do spraw cyberbezpieczeństwa dla danego sektora lub podsektora, które zawarły porozumienie o powierzeniu tej </w:t>
      </w:r>
      <w:r w:rsidR="008C7E31" w:rsidRPr="00833C88">
        <w:rPr>
          <w:rFonts w:ascii="Times New Roman" w:hAnsi="Times New Roman" w:cs="Times New Roman"/>
        </w:rPr>
        <w:t>jednostce zadań CSIRT sektorowego.</w:t>
      </w:r>
      <w:r w:rsidR="003775F2" w:rsidRPr="00833C88">
        <w:rPr>
          <w:rFonts w:ascii="Times New Roman" w:hAnsi="Times New Roman" w:cs="Times New Roman"/>
        </w:rPr>
        <w:t xml:space="preserve"> Czyli taka jednostka budżetowa będzie z mocy prawa finansowana z 2 (ew. więcej) części budżetowych. </w:t>
      </w:r>
      <w:r w:rsidR="005452AD" w:rsidRPr="00833C88">
        <w:rPr>
          <w:rFonts w:ascii="Times New Roman" w:hAnsi="Times New Roman" w:cs="Times New Roman"/>
        </w:rPr>
        <w:t>Bez tego rozwiązania nie byłoby prawnych możliwości przekazania środków finansowych na zespół CSIRT realizujący zadania dla kilku sektorów.</w:t>
      </w:r>
    </w:p>
    <w:p w14:paraId="3AB579B7" w14:textId="1A4445B5" w:rsidR="00F81372" w:rsidRPr="00833C88" w:rsidRDefault="00F81372"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Komunikaty o porozumieniach</w:t>
      </w:r>
      <w:r w:rsidR="00D33D06" w:rsidRPr="00833C88">
        <w:rPr>
          <w:rFonts w:ascii="Times New Roman" w:hAnsi="Times New Roman" w:cs="Times New Roman"/>
        </w:rPr>
        <w:t xml:space="preserve"> w sprawie powierzenia realizacji zadań CSIRT sektorowego</w:t>
      </w:r>
      <w:r w:rsidRPr="00833C88">
        <w:rPr>
          <w:rFonts w:ascii="Times New Roman" w:hAnsi="Times New Roman" w:cs="Times New Roman"/>
        </w:rPr>
        <w:t xml:space="preserve"> będą </w:t>
      </w:r>
      <w:r w:rsidR="002E7492" w:rsidRPr="00833C88">
        <w:rPr>
          <w:rFonts w:ascii="Times New Roman" w:hAnsi="Times New Roman" w:cs="Times New Roman"/>
        </w:rPr>
        <w:t xml:space="preserve">ogłaszane </w:t>
      </w:r>
      <w:r w:rsidRPr="00833C88">
        <w:rPr>
          <w:rFonts w:ascii="Times New Roman" w:hAnsi="Times New Roman" w:cs="Times New Roman"/>
        </w:rPr>
        <w:t>w dzienniku urzędowym organu właściwego do spraw cyberbezpieczeństwa oraz w </w:t>
      </w:r>
      <w:r w:rsidR="00F34453" w:rsidRPr="00833C88">
        <w:rPr>
          <w:rFonts w:ascii="Times New Roman" w:hAnsi="Times New Roman" w:cs="Times New Roman"/>
        </w:rPr>
        <w:t>BIP</w:t>
      </w:r>
      <w:r w:rsidRPr="00833C88">
        <w:rPr>
          <w:rFonts w:ascii="Times New Roman" w:hAnsi="Times New Roman" w:cs="Times New Roman"/>
        </w:rPr>
        <w:t xml:space="preserve"> Pełnomocnika.</w:t>
      </w:r>
      <w:r w:rsidR="002E7492" w:rsidRPr="00833C88">
        <w:rPr>
          <w:rFonts w:ascii="Times New Roman" w:hAnsi="Times New Roman" w:cs="Times New Roman"/>
        </w:rPr>
        <w:t xml:space="preserve"> Zapewni to wszystkim zainteresowanym dostęp do informacji o jednostkach realizujących zadania CSIRT sektorowych.</w:t>
      </w:r>
    </w:p>
    <w:p w14:paraId="06FDC6FD" w14:textId="4832E235" w:rsidR="005A27FC" w:rsidRPr="00833C88" w:rsidRDefault="005A27FC" w:rsidP="00FA2408">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lastRenderedPageBreak/>
        <w:t xml:space="preserve">Jednostka organizacyjna, której organ właściwy do spraw </w:t>
      </w:r>
      <w:r w:rsidR="00FE5640" w:rsidRPr="00833C88">
        <w:rPr>
          <w:rFonts w:ascii="Times New Roman" w:hAnsi="Times New Roman" w:cs="Times New Roman"/>
        </w:rPr>
        <w:t>cyberbezpieczeństwa</w:t>
      </w:r>
      <w:r w:rsidRPr="00833C88">
        <w:rPr>
          <w:rFonts w:ascii="Times New Roman" w:hAnsi="Times New Roman" w:cs="Times New Roman"/>
        </w:rPr>
        <w:t xml:space="preserve"> powierzył rolę CSIRT sektorowego</w:t>
      </w:r>
      <w:r w:rsidR="009613A5" w:rsidRPr="00833C88">
        <w:rPr>
          <w:rFonts w:ascii="Times New Roman" w:hAnsi="Times New Roman" w:cs="Times New Roman"/>
        </w:rPr>
        <w:t xml:space="preserve"> stanie się oczywiście administratorem danych osobowych przetwarzanych </w:t>
      </w:r>
      <w:r w:rsidR="00601933" w:rsidRPr="00833C88">
        <w:rPr>
          <w:rFonts w:ascii="Times New Roman" w:hAnsi="Times New Roman" w:cs="Times New Roman"/>
        </w:rPr>
        <w:t>w </w:t>
      </w:r>
      <w:r w:rsidR="009613A5" w:rsidRPr="00833C88">
        <w:rPr>
          <w:rFonts w:ascii="Times New Roman" w:hAnsi="Times New Roman" w:cs="Times New Roman"/>
        </w:rPr>
        <w:t>ramach obsługi incydentów.</w:t>
      </w:r>
    </w:p>
    <w:p w14:paraId="34AB3B5C" w14:textId="7687F6BD" w:rsidR="00F81372" w:rsidRPr="00833C88" w:rsidRDefault="00F81372" w:rsidP="001F5CC4">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Organy właściwe do spraw cyberbezpieczeństwa będą raz w roku, do </w:t>
      </w:r>
      <w:r w:rsidR="004979CC" w:rsidRPr="00833C88">
        <w:rPr>
          <w:rFonts w:ascii="Times New Roman" w:hAnsi="Times New Roman" w:cs="Times New Roman"/>
        </w:rPr>
        <w:t xml:space="preserve">dnia </w:t>
      </w:r>
      <w:r w:rsidRPr="00833C88">
        <w:rPr>
          <w:rFonts w:ascii="Times New Roman" w:hAnsi="Times New Roman" w:cs="Times New Roman"/>
        </w:rPr>
        <w:t>31 stycznia</w:t>
      </w:r>
      <w:r w:rsidR="00366CEE" w:rsidRPr="00833C88">
        <w:rPr>
          <w:rFonts w:ascii="Times New Roman" w:hAnsi="Times New Roman" w:cs="Times New Roman"/>
        </w:rPr>
        <w:t>,</w:t>
      </w:r>
      <w:r w:rsidRPr="00833C88">
        <w:rPr>
          <w:rFonts w:ascii="Times New Roman" w:hAnsi="Times New Roman" w:cs="Times New Roman"/>
        </w:rPr>
        <w:t xml:space="preserve"> przedkładać </w:t>
      </w:r>
      <w:r w:rsidR="00A626FE" w:rsidRPr="00833C88">
        <w:rPr>
          <w:rFonts w:ascii="Times New Roman" w:hAnsi="Times New Roman" w:cs="Times New Roman"/>
        </w:rPr>
        <w:t>Pełnomocnikowi Rządu do Sp</w:t>
      </w:r>
      <w:r w:rsidR="005432F7" w:rsidRPr="00833C88">
        <w:rPr>
          <w:rFonts w:ascii="Times New Roman" w:hAnsi="Times New Roman" w:cs="Times New Roman"/>
        </w:rPr>
        <w:t>r</w:t>
      </w:r>
      <w:r w:rsidR="00A626FE" w:rsidRPr="00833C88">
        <w:rPr>
          <w:rFonts w:ascii="Times New Roman" w:hAnsi="Times New Roman" w:cs="Times New Roman"/>
        </w:rPr>
        <w:t xml:space="preserve">aw Cyberbezpieczeństwa </w:t>
      </w:r>
      <w:r w:rsidRPr="00833C88">
        <w:rPr>
          <w:rFonts w:ascii="Times New Roman" w:hAnsi="Times New Roman" w:cs="Times New Roman"/>
        </w:rPr>
        <w:t>sprawozdania z funkcjonowania CSIRT sektorowych</w:t>
      </w:r>
      <w:r w:rsidR="00A626FE" w:rsidRPr="00833C88">
        <w:rPr>
          <w:rFonts w:ascii="Times New Roman" w:hAnsi="Times New Roman" w:cs="Times New Roman"/>
        </w:rPr>
        <w:t>, które</w:t>
      </w:r>
      <w:r w:rsidRPr="00833C88">
        <w:rPr>
          <w:rFonts w:ascii="Times New Roman" w:hAnsi="Times New Roman" w:cs="Times New Roman"/>
        </w:rPr>
        <w:t xml:space="preserve"> </w:t>
      </w:r>
      <w:r w:rsidR="00A626FE" w:rsidRPr="00833C88">
        <w:rPr>
          <w:rFonts w:ascii="Times New Roman" w:hAnsi="Times New Roman" w:cs="Times New Roman"/>
        </w:rPr>
        <w:t>z</w:t>
      </w:r>
      <w:r w:rsidRPr="00833C88">
        <w:rPr>
          <w:rFonts w:ascii="Times New Roman" w:hAnsi="Times New Roman" w:cs="Times New Roman"/>
        </w:rPr>
        <w:t xml:space="preserve">apewni niezbędne informacje do prowadzenia oceny funkcjonowania krajowego systemu cyberbezpieczeństwa zgodnie </w:t>
      </w:r>
      <w:r w:rsidR="00601933" w:rsidRPr="00833C88">
        <w:rPr>
          <w:rFonts w:ascii="Times New Roman" w:hAnsi="Times New Roman" w:cs="Times New Roman"/>
        </w:rPr>
        <w:t>z </w:t>
      </w:r>
      <w:r w:rsidRPr="00833C88">
        <w:rPr>
          <w:rFonts w:ascii="Times New Roman" w:hAnsi="Times New Roman" w:cs="Times New Roman"/>
        </w:rPr>
        <w:t xml:space="preserve">art. 62 ust. 1 pkt 1 ustawy </w:t>
      </w:r>
      <w:r w:rsidR="00601933" w:rsidRPr="00833C88">
        <w:rPr>
          <w:rFonts w:ascii="Times New Roman" w:hAnsi="Times New Roman" w:cs="Times New Roman"/>
        </w:rPr>
        <w:t>o </w:t>
      </w:r>
      <w:r w:rsidRPr="00833C88">
        <w:rPr>
          <w:rFonts w:ascii="Times New Roman" w:hAnsi="Times New Roman" w:cs="Times New Roman"/>
        </w:rPr>
        <w:t>KSC.</w:t>
      </w:r>
    </w:p>
    <w:p w14:paraId="3E2714AA" w14:textId="138F17EC" w:rsidR="0029390A" w:rsidRPr="00833C88" w:rsidRDefault="006A1E05" w:rsidP="00FA2408">
      <w:pPr>
        <w:pStyle w:val="Nagwek2"/>
        <w:spacing w:before="0" w:after="120" w:line="360" w:lineRule="auto"/>
        <w:jc w:val="both"/>
        <w:rPr>
          <w:rFonts w:cs="Times New Roman"/>
          <w:b/>
          <w:bCs/>
        </w:rPr>
      </w:pPr>
      <w:r w:rsidRPr="00833C88">
        <w:rPr>
          <w:rFonts w:cs="Times New Roman"/>
          <w:b/>
          <w:bCs/>
        </w:rPr>
        <w:t xml:space="preserve">Kompetencje ministra właściwego do spraw informatyzacji </w:t>
      </w:r>
    </w:p>
    <w:p w14:paraId="5CBD06C5" w14:textId="6B90C9E6" w:rsidR="00260727" w:rsidRPr="00833C88" w:rsidRDefault="00260727" w:rsidP="00FA2408">
      <w:pPr>
        <w:pStyle w:val="Nagwek3"/>
        <w:spacing w:before="0" w:after="120" w:line="360" w:lineRule="auto"/>
        <w:rPr>
          <w:rFonts w:cs="Times New Roman"/>
          <w:b/>
          <w:bCs/>
          <w:u w:val="none"/>
        </w:rPr>
      </w:pPr>
      <w:r w:rsidRPr="00833C88">
        <w:rPr>
          <w:rFonts w:cs="Times New Roman"/>
          <w:b/>
          <w:bCs/>
          <w:u w:val="none"/>
        </w:rPr>
        <w:t xml:space="preserve">Kompetencje ministra </w:t>
      </w:r>
    </w:p>
    <w:p w14:paraId="2A84C02A" w14:textId="15DD79C0" w:rsidR="00260727" w:rsidRPr="00833C88" w:rsidRDefault="001101B9"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kompetencji ministra </w:t>
      </w:r>
      <w:r w:rsidR="00256ED5" w:rsidRPr="00833C88">
        <w:rPr>
          <w:rFonts w:eastAsia="Times New Roman" w:cs="Times New Roman"/>
          <w:sz w:val="24"/>
          <w:szCs w:val="24"/>
          <w:lang w:eastAsia="pl-PL"/>
        </w:rPr>
        <w:t xml:space="preserve">właściwego do spraw informatyzacji </w:t>
      </w:r>
      <w:r w:rsidRPr="00833C88">
        <w:rPr>
          <w:rFonts w:eastAsia="Times New Roman" w:cs="Times New Roman"/>
          <w:sz w:val="24"/>
          <w:szCs w:val="24"/>
          <w:lang w:eastAsia="pl-PL"/>
        </w:rPr>
        <w:t>wynikają ze</w:t>
      </w:r>
      <w:r w:rsidR="00DE38C1" w:rsidRPr="00833C88">
        <w:rPr>
          <w:rFonts w:eastAsia="Times New Roman" w:cs="Times New Roman"/>
          <w:sz w:val="24"/>
          <w:szCs w:val="24"/>
          <w:lang w:eastAsia="pl-PL"/>
        </w:rPr>
        <w:t> </w:t>
      </w:r>
      <w:r w:rsidRPr="00833C88">
        <w:rPr>
          <w:rFonts w:eastAsia="Times New Roman" w:cs="Times New Roman"/>
          <w:sz w:val="24"/>
          <w:szCs w:val="24"/>
          <w:lang w:eastAsia="pl-PL"/>
        </w:rPr>
        <w:t xml:space="preserve">zmian </w:t>
      </w:r>
      <w:r w:rsidR="00601933" w:rsidRPr="00833C88">
        <w:rPr>
          <w:rFonts w:eastAsia="Times New Roman" w:cs="Times New Roman"/>
          <w:sz w:val="24"/>
          <w:szCs w:val="24"/>
          <w:lang w:eastAsia="pl-PL"/>
        </w:rPr>
        <w:t>w </w:t>
      </w:r>
      <w:r w:rsidR="009E2AC9" w:rsidRPr="00833C88">
        <w:rPr>
          <w:rFonts w:eastAsia="Times New Roman" w:cs="Times New Roman"/>
          <w:sz w:val="24"/>
          <w:szCs w:val="24"/>
          <w:lang w:eastAsia="pl-PL"/>
        </w:rPr>
        <w:t>zakresie struktury k</w:t>
      </w:r>
      <w:r w:rsidR="00A626FE" w:rsidRPr="00833C88">
        <w:rPr>
          <w:rFonts w:eastAsia="Times New Roman" w:cs="Times New Roman"/>
          <w:sz w:val="24"/>
          <w:szCs w:val="24"/>
          <w:lang w:eastAsia="pl-PL"/>
        </w:rPr>
        <w:t xml:space="preserve">rajowego </w:t>
      </w:r>
      <w:r w:rsidR="009E2AC9" w:rsidRPr="00833C88">
        <w:rPr>
          <w:rFonts w:eastAsia="Times New Roman" w:cs="Times New Roman"/>
          <w:sz w:val="24"/>
          <w:szCs w:val="24"/>
          <w:lang w:eastAsia="pl-PL"/>
        </w:rPr>
        <w:t>s</w:t>
      </w:r>
      <w:r w:rsidR="00A626FE" w:rsidRPr="00833C88">
        <w:rPr>
          <w:rFonts w:eastAsia="Times New Roman" w:cs="Times New Roman"/>
          <w:sz w:val="24"/>
          <w:szCs w:val="24"/>
          <w:lang w:eastAsia="pl-PL"/>
        </w:rPr>
        <w:t xml:space="preserve">ystemu </w:t>
      </w:r>
      <w:r w:rsidR="009E2AC9" w:rsidRPr="00833C88">
        <w:rPr>
          <w:rFonts w:eastAsia="Times New Roman" w:cs="Times New Roman"/>
          <w:sz w:val="24"/>
          <w:szCs w:val="24"/>
          <w:lang w:eastAsia="pl-PL"/>
        </w:rPr>
        <w:t>c</w:t>
      </w:r>
      <w:r w:rsidR="00A626FE" w:rsidRPr="00833C88">
        <w:rPr>
          <w:rFonts w:eastAsia="Times New Roman" w:cs="Times New Roman"/>
          <w:sz w:val="24"/>
          <w:szCs w:val="24"/>
          <w:lang w:eastAsia="pl-PL"/>
        </w:rPr>
        <w:t>yberbezpieczeństwa</w:t>
      </w:r>
      <w:r w:rsidR="009E2AC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9E2AC9" w:rsidRPr="00833C88">
        <w:rPr>
          <w:rFonts w:eastAsia="Times New Roman" w:cs="Times New Roman"/>
          <w:sz w:val="24"/>
          <w:szCs w:val="24"/>
          <w:lang w:eastAsia="pl-PL"/>
        </w:rPr>
        <w:t xml:space="preserve">nowych definicji </w:t>
      </w:r>
      <w:r w:rsidR="00A626FE" w:rsidRPr="00833C88">
        <w:rPr>
          <w:rFonts w:eastAsia="Times New Roman" w:cs="Times New Roman"/>
          <w:sz w:val="24"/>
          <w:szCs w:val="24"/>
          <w:lang w:eastAsia="pl-PL"/>
        </w:rPr>
        <w:t xml:space="preserve">oraz </w:t>
      </w:r>
      <w:r w:rsidR="009E2AC9" w:rsidRPr="00833C88">
        <w:rPr>
          <w:rFonts w:eastAsia="Times New Roman" w:cs="Times New Roman"/>
          <w:sz w:val="24"/>
          <w:szCs w:val="24"/>
          <w:lang w:eastAsia="pl-PL"/>
        </w:rPr>
        <w:t>dostosowują je do t</w:t>
      </w:r>
      <w:r w:rsidR="007F7E7F" w:rsidRPr="00833C88">
        <w:rPr>
          <w:rFonts w:eastAsia="Times New Roman" w:cs="Times New Roman"/>
          <w:sz w:val="24"/>
          <w:szCs w:val="24"/>
          <w:lang w:eastAsia="pl-PL"/>
        </w:rPr>
        <w:t xml:space="preserve">ych zmian. Wskazano, że minister </w:t>
      </w:r>
      <w:r w:rsidR="00256ED5" w:rsidRPr="00833C88">
        <w:rPr>
          <w:rFonts w:eastAsia="Times New Roman" w:cs="Times New Roman"/>
          <w:sz w:val="24"/>
          <w:szCs w:val="24"/>
          <w:lang w:eastAsia="pl-PL"/>
        </w:rPr>
        <w:t xml:space="preserve">ten </w:t>
      </w:r>
      <w:r w:rsidR="007F7E7F" w:rsidRPr="00833C88">
        <w:rPr>
          <w:rFonts w:eastAsia="Times New Roman" w:cs="Times New Roman"/>
          <w:sz w:val="24"/>
          <w:szCs w:val="24"/>
          <w:lang w:eastAsia="pl-PL"/>
        </w:rPr>
        <w:t xml:space="preserve">będzie prowadził wykaz podmiotów kluczowych </w:t>
      </w:r>
      <w:r w:rsidR="00601933" w:rsidRPr="00833C88">
        <w:rPr>
          <w:rFonts w:eastAsia="Times New Roman" w:cs="Times New Roman"/>
          <w:sz w:val="24"/>
          <w:szCs w:val="24"/>
          <w:lang w:eastAsia="pl-PL"/>
        </w:rPr>
        <w:t>i </w:t>
      </w:r>
      <w:r w:rsidR="00A626FE" w:rsidRPr="00833C88">
        <w:rPr>
          <w:rFonts w:eastAsia="Times New Roman" w:cs="Times New Roman"/>
          <w:sz w:val="24"/>
          <w:szCs w:val="24"/>
          <w:lang w:eastAsia="pl-PL"/>
        </w:rPr>
        <w:t xml:space="preserve">podmiotów </w:t>
      </w:r>
      <w:r w:rsidR="007F7E7F" w:rsidRPr="00833C88">
        <w:rPr>
          <w:rFonts w:eastAsia="Times New Roman" w:cs="Times New Roman"/>
          <w:sz w:val="24"/>
          <w:szCs w:val="24"/>
          <w:lang w:eastAsia="pl-PL"/>
        </w:rPr>
        <w:t xml:space="preserve">ważnych. </w:t>
      </w:r>
      <w:r w:rsidR="00D80433" w:rsidRPr="00833C88">
        <w:rPr>
          <w:rFonts w:eastAsia="Times New Roman" w:cs="Times New Roman"/>
          <w:sz w:val="24"/>
          <w:szCs w:val="24"/>
          <w:lang w:eastAsia="pl-PL"/>
        </w:rPr>
        <w:t xml:space="preserve">Nowym zadaniem ministra </w:t>
      </w:r>
      <w:r w:rsidR="00256ED5" w:rsidRPr="00833C88">
        <w:rPr>
          <w:rFonts w:eastAsia="Times New Roman" w:cs="Times New Roman"/>
          <w:sz w:val="24"/>
          <w:szCs w:val="24"/>
          <w:lang w:eastAsia="pl-PL"/>
        </w:rPr>
        <w:t>właściwego do</w:t>
      </w:r>
      <w:r w:rsidR="00DE38C1" w:rsidRPr="00833C88">
        <w:rPr>
          <w:rFonts w:eastAsia="Times New Roman" w:cs="Times New Roman"/>
          <w:sz w:val="24"/>
          <w:szCs w:val="24"/>
          <w:lang w:eastAsia="pl-PL"/>
        </w:rPr>
        <w:t> </w:t>
      </w:r>
      <w:r w:rsidR="00256ED5" w:rsidRPr="00833C88">
        <w:rPr>
          <w:rFonts w:eastAsia="Times New Roman" w:cs="Times New Roman"/>
          <w:sz w:val="24"/>
          <w:szCs w:val="24"/>
          <w:lang w:eastAsia="pl-PL"/>
        </w:rPr>
        <w:t xml:space="preserve">spraw informatyzacji, </w:t>
      </w:r>
      <w:r w:rsidR="00D80433" w:rsidRPr="00833C88">
        <w:rPr>
          <w:rFonts w:eastAsia="Times New Roman" w:cs="Times New Roman"/>
          <w:sz w:val="24"/>
          <w:szCs w:val="24"/>
          <w:lang w:eastAsia="pl-PL"/>
        </w:rPr>
        <w:t xml:space="preserve">wynikającym </w:t>
      </w:r>
      <w:r w:rsidR="00601933" w:rsidRPr="00833C88">
        <w:rPr>
          <w:rFonts w:eastAsia="Times New Roman" w:cs="Times New Roman"/>
          <w:sz w:val="24"/>
          <w:szCs w:val="24"/>
          <w:lang w:eastAsia="pl-PL"/>
        </w:rPr>
        <w:t>z </w:t>
      </w:r>
      <w:r w:rsidR="00D80433" w:rsidRPr="00833C88">
        <w:rPr>
          <w:rFonts w:eastAsia="Times New Roman" w:cs="Times New Roman"/>
          <w:sz w:val="24"/>
          <w:szCs w:val="24"/>
          <w:lang w:eastAsia="pl-PL"/>
        </w:rPr>
        <w:t>dyrektywy NIS</w:t>
      </w:r>
      <w:r w:rsidR="006F6740" w:rsidRPr="00833C88">
        <w:rPr>
          <w:rFonts w:eastAsia="Times New Roman" w:cs="Times New Roman"/>
          <w:sz w:val="24"/>
          <w:szCs w:val="24"/>
          <w:lang w:eastAsia="pl-PL"/>
        </w:rPr>
        <w:t xml:space="preserve"> </w:t>
      </w:r>
      <w:r w:rsidR="0048552E" w:rsidRPr="00833C88">
        <w:rPr>
          <w:rFonts w:eastAsia="Times New Roman" w:cs="Times New Roman"/>
          <w:sz w:val="24"/>
          <w:szCs w:val="24"/>
          <w:lang w:eastAsia="pl-PL"/>
        </w:rPr>
        <w:t>2</w:t>
      </w:r>
      <w:r w:rsidR="00256ED5" w:rsidRPr="00833C88">
        <w:rPr>
          <w:rFonts w:eastAsia="Times New Roman" w:cs="Times New Roman"/>
          <w:sz w:val="24"/>
          <w:szCs w:val="24"/>
          <w:lang w:eastAsia="pl-PL"/>
        </w:rPr>
        <w:t>,</w:t>
      </w:r>
      <w:r w:rsidR="00D80433" w:rsidRPr="00833C88">
        <w:rPr>
          <w:rFonts w:eastAsia="Times New Roman" w:cs="Times New Roman"/>
          <w:sz w:val="24"/>
          <w:szCs w:val="24"/>
          <w:lang w:eastAsia="pl-PL"/>
        </w:rPr>
        <w:t xml:space="preserve"> będzie przygotowanie</w:t>
      </w:r>
      <w:r w:rsidR="00812411" w:rsidRPr="00833C88">
        <w:rPr>
          <w:rFonts w:eastAsia="Times New Roman" w:cs="Times New Roman"/>
          <w:sz w:val="24"/>
          <w:szCs w:val="24"/>
          <w:lang w:eastAsia="pl-PL"/>
        </w:rPr>
        <w:t xml:space="preserve"> i</w:t>
      </w:r>
      <w:r w:rsidR="00A626FE" w:rsidRPr="00833C88">
        <w:rPr>
          <w:rFonts w:eastAsia="Times New Roman" w:cs="Times New Roman"/>
          <w:sz w:val="24"/>
          <w:szCs w:val="24"/>
          <w:lang w:eastAsia="pl-PL"/>
        </w:rPr>
        <w:t> </w:t>
      </w:r>
      <w:r w:rsidR="00812411" w:rsidRPr="00833C88">
        <w:rPr>
          <w:rFonts w:eastAsia="Times New Roman" w:cs="Times New Roman"/>
          <w:sz w:val="24"/>
          <w:szCs w:val="24"/>
          <w:lang w:eastAsia="pl-PL"/>
        </w:rPr>
        <w:t>monitorowanie wykonani</w:t>
      </w:r>
      <w:r w:rsidR="00992026" w:rsidRPr="00833C88">
        <w:rPr>
          <w:rFonts w:eastAsia="Times New Roman" w:cs="Times New Roman"/>
          <w:sz w:val="24"/>
          <w:szCs w:val="24"/>
          <w:lang w:eastAsia="pl-PL"/>
        </w:rPr>
        <w:t>a</w:t>
      </w:r>
      <w:r w:rsidR="00D80433" w:rsidRPr="00833C88">
        <w:rPr>
          <w:rFonts w:eastAsia="Times New Roman" w:cs="Times New Roman"/>
          <w:sz w:val="24"/>
          <w:szCs w:val="24"/>
          <w:lang w:eastAsia="pl-PL"/>
        </w:rPr>
        <w:t xml:space="preserve"> Krajowego Planu</w:t>
      </w:r>
      <w:r w:rsidR="0048552E" w:rsidRPr="00833C88">
        <w:rPr>
          <w:rFonts w:eastAsia="Times New Roman" w:cs="Times New Roman"/>
          <w:sz w:val="24"/>
          <w:szCs w:val="24"/>
          <w:lang w:eastAsia="pl-PL"/>
        </w:rPr>
        <w:t xml:space="preserve"> reagowania na incydenty i</w:t>
      </w:r>
      <w:r w:rsidR="00A626FE" w:rsidRPr="00833C88">
        <w:rPr>
          <w:rFonts w:eastAsia="Times New Roman" w:cs="Times New Roman"/>
          <w:sz w:val="24"/>
          <w:szCs w:val="24"/>
          <w:lang w:eastAsia="pl-PL"/>
        </w:rPr>
        <w:t> </w:t>
      </w:r>
      <w:r w:rsidR="0048552E" w:rsidRPr="00833C88">
        <w:rPr>
          <w:rFonts w:eastAsia="Times New Roman" w:cs="Times New Roman"/>
          <w:sz w:val="24"/>
          <w:szCs w:val="24"/>
          <w:lang w:eastAsia="pl-PL"/>
        </w:rPr>
        <w:t>sytuacje kryzysowe w</w:t>
      </w:r>
      <w:r w:rsidR="009B4C26" w:rsidRPr="00833C88">
        <w:rPr>
          <w:rFonts w:eastAsia="Times New Roman" w:cs="Times New Roman"/>
          <w:sz w:val="24"/>
          <w:szCs w:val="24"/>
          <w:lang w:eastAsia="pl-PL"/>
        </w:rPr>
        <w:t> </w:t>
      </w:r>
      <w:r w:rsidR="0048552E" w:rsidRPr="00833C88">
        <w:rPr>
          <w:rFonts w:eastAsia="Times New Roman" w:cs="Times New Roman"/>
          <w:sz w:val="24"/>
          <w:szCs w:val="24"/>
          <w:lang w:eastAsia="pl-PL"/>
        </w:rPr>
        <w:t xml:space="preserve">cyberbezpieczeństwie na dużą skalę </w:t>
      </w:r>
      <w:r w:rsidR="00601933" w:rsidRPr="00833C88">
        <w:rPr>
          <w:rFonts w:eastAsia="Times New Roman" w:cs="Times New Roman"/>
          <w:sz w:val="24"/>
          <w:szCs w:val="24"/>
          <w:lang w:eastAsia="pl-PL"/>
        </w:rPr>
        <w:t>i </w:t>
      </w:r>
      <w:r w:rsidR="0048552E" w:rsidRPr="00833C88">
        <w:rPr>
          <w:rFonts w:eastAsia="Times New Roman" w:cs="Times New Roman"/>
          <w:sz w:val="24"/>
          <w:szCs w:val="24"/>
          <w:lang w:eastAsia="pl-PL"/>
        </w:rPr>
        <w:t xml:space="preserve">monitorowania jego wykonania. </w:t>
      </w:r>
      <w:r w:rsidR="00D81233" w:rsidRPr="00833C88">
        <w:rPr>
          <w:rFonts w:eastAsia="Times New Roman" w:cs="Times New Roman"/>
          <w:sz w:val="24"/>
          <w:szCs w:val="24"/>
          <w:lang w:eastAsia="pl-PL"/>
        </w:rPr>
        <w:t xml:space="preserve">Minister </w:t>
      </w:r>
      <w:r w:rsidR="00256ED5" w:rsidRPr="00833C88">
        <w:rPr>
          <w:rFonts w:eastAsia="Times New Roman" w:cs="Times New Roman"/>
          <w:sz w:val="24"/>
          <w:szCs w:val="24"/>
          <w:lang w:eastAsia="pl-PL"/>
        </w:rPr>
        <w:t>właściwy do</w:t>
      </w:r>
      <w:r w:rsidR="00DE38C1" w:rsidRPr="00833C88">
        <w:rPr>
          <w:rFonts w:eastAsia="Times New Roman" w:cs="Times New Roman"/>
          <w:sz w:val="24"/>
          <w:szCs w:val="24"/>
          <w:lang w:eastAsia="pl-PL"/>
        </w:rPr>
        <w:t> </w:t>
      </w:r>
      <w:r w:rsidR="00256ED5" w:rsidRPr="00833C88">
        <w:rPr>
          <w:rFonts w:eastAsia="Times New Roman" w:cs="Times New Roman"/>
          <w:sz w:val="24"/>
          <w:szCs w:val="24"/>
          <w:lang w:eastAsia="pl-PL"/>
        </w:rPr>
        <w:t xml:space="preserve">spraw informatyzacji </w:t>
      </w:r>
      <w:r w:rsidR="00D55A32" w:rsidRPr="00833C88">
        <w:rPr>
          <w:rFonts w:eastAsia="Times New Roman" w:cs="Times New Roman"/>
          <w:sz w:val="24"/>
          <w:szCs w:val="24"/>
          <w:lang w:eastAsia="pl-PL"/>
        </w:rPr>
        <w:t xml:space="preserve">będzie pełnił rolę </w:t>
      </w:r>
      <w:r w:rsidR="00D20768" w:rsidRPr="00833C88">
        <w:rPr>
          <w:rFonts w:eastAsia="Times New Roman" w:cs="Times New Roman"/>
          <w:sz w:val="24"/>
          <w:szCs w:val="24"/>
          <w:lang w:eastAsia="pl-PL"/>
        </w:rPr>
        <w:t>organu odpowiedzialnego za zarządzanie incydentami i</w:t>
      </w:r>
      <w:r w:rsidR="00A626FE" w:rsidRPr="00833C88">
        <w:rPr>
          <w:rFonts w:eastAsia="Times New Roman" w:cs="Times New Roman"/>
          <w:sz w:val="24"/>
          <w:szCs w:val="24"/>
          <w:lang w:eastAsia="pl-PL"/>
        </w:rPr>
        <w:t> </w:t>
      </w:r>
      <w:r w:rsidR="00D20768" w:rsidRPr="00833C88">
        <w:rPr>
          <w:rFonts w:eastAsia="Times New Roman" w:cs="Times New Roman"/>
          <w:sz w:val="24"/>
          <w:szCs w:val="24"/>
          <w:lang w:eastAsia="pl-PL"/>
        </w:rPr>
        <w:t xml:space="preserve">zarządzanie kryzysowe </w:t>
      </w:r>
      <w:r w:rsidR="00601933" w:rsidRPr="00833C88">
        <w:rPr>
          <w:rFonts w:eastAsia="Times New Roman" w:cs="Times New Roman"/>
          <w:sz w:val="24"/>
          <w:szCs w:val="24"/>
          <w:lang w:eastAsia="pl-PL"/>
        </w:rPr>
        <w:t>w </w:t>
      </w:r>
      <w:r w:rsidR="00D20768" w:rsidRPr="00833C88">
        <w:rPr>
          <w:rFonts w:eastAsia="Times New Roman" w:cs="Times New Roman"/>
          <w:sz w:val="24"/>
          <w:szCs w:val="24"/>
          <w:lang w:eastAsia="pl-PL"/>
        </w:rPr>
        <w:t xml:space="preserve">cyberbezpieczeństwie na dużą skalę </w:t>
      </w:r>
      <w:r w:rsidR="00601933" w:rsidRPr="00833C88">
        <w:rPr>
          <w:rFonts w:eastAsia="Times New Roman" w:cs="Times New Roman"/>
          <w:sz w:val="24"/>
          <w:szCs w:val="24"/>
          <w:lang w:eastAsia="pl-PL"/>
        </w:rPr>
        <w:t>w </w:t>
      </w:r>
      <w:r w:rsidR="00D20768" w:rsidRPr="00833C88">
        <w:rPr>
          <w:rFonts w:eastAsia="Times New Roman" w:cs="Times New Roman"/>
          <w:sz w:val="24"/>
          <w:szCs w:val="24"/>
          <w:lang w:eastAsia="pl-PL"/>
        </w:rPr>
        <w:t>wymiarze cywilnym. Pozwoli to zbliżyć reżim krajowego systemu cyberbezpieczeństwa</w:t>
      </w:r>
      <w:r w:rsidR="00593BBF" w:rsidRPr="00833C88">
        <w:rPr>
          <w:rFonts w:eastAsia="Times New Roman" w:cs="Times New Roman"/>
          <w:sz w:val="24"/>
          <w:szCs w:val="24"/>
          <w:lang w:eastAsia="pl-PL"/>
        </w:rPr>
        <w:t xml:space="preserve"> oraz zarządzania kryzysowego zapewniając przepływ niezbędnych informacji </w:t>
      </w:r>
      <w:r w:rsidR="00601933" w:rsidRPr="00833C88">
        <w:rPr>
          <w:rFonts w:eastAsia="Times New Roman" w:cs="Times New Roman"/>
          <w:sz w:val="24"/>
          <w:szCs w:val="24"/>
          <w:lang w:eastAsia="pl-PL"/>
        </w:rPr>
        <w:t>i </w:t>
      </w:r>
      <w:r w:rsidR="00593BBF" w:rsidRPr="00833C88">
        <w:rPr>
          <w:rFonts w:eastAsia="Times New Roman" w:cs="Times New Roman"/>
          <w:sz w:val="24"/>
          <w:szCs w:val="24"/>
          <w:lang w:eastAsia="pl-PL"/>
        </w:rPr>
        <w:t>synergię działań.</w:t>
      </w:r>
      <w:r w:rsidR="0039074F" w:rsidRPr="00833C88">
        <w:rPr>
          <w:rFonts w:eastAsia="Times New Roman" w:cs="Times New Roman"/>
          <w:sz w:val="24"/>
          <w:szCs w:val="24"/>
          <w:lang w:eastAsia="pl-PL"/>
        </w:rPr>
        <w:t xml:space="preserve"> </w:t>
      </w:r>
    </w:p>
    <w:p w14:paraId="20003BD9" w14:textId="16FC05BC" w:rsidR="00EA6CB6" w:rsidRPr="00833C88" w:rsidRDefault="00601933" w:rsidP="00FA2408">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W </w:t>
      </w:r>
      <w:r w:rsidR="00EF5197" w:rsidRPr="00833C88">
        <w:rPr>
          <w:rFonts w:eastAsia="Times New Roman" w:cs="Times New Roman"/>
          <w:sz w:val="24"/>
          <w:szCs w:val="24"/>
          <w:lang w:eastAsia="pl-PL"/>
        </w:rPr>
        <w:t xml:space="preserve">wymiarze międzynarodowym minister właściwy do spraw informatyzacji będzie współpracował </w:t>
      </w:r>
      <w:r w:rsidRPr="00833C88">
        <w:rPr>
          <w:rFonts w:eastAsia="Times New Roman" w:cs="Times New Roman"/>
          <w:sz w:val="24"/>
          <w:szCs w:val="24"/>
          <w:lang w:eastAsia="pl-PL"/>
        </w:rPr>
        <w:t>w </w:t>
      </w:r>
      <w:r w:rsidR="00EF5197" w:rsidRPr="00833C88">
        <w:rPr>
          <w:rFonts w:eastAsia="Times New Roman" w:cs="Times New Roman"/>
          <w:sz w:val="24"/>
          <w:szCs w:val="24"/>
          <w:lang w:eastAsia="pl-PL"/>
        </w:rPr>
        <w:t xml:space="preserve">obszarze cyberbezpieczeństwa </w:t>
      </w:r>
      <w:r w:rsidRPr="00833C88">
        <w:rPr>
          <w:rFonts w:eastAsia="Times New Roman" w:cs="Times New Roman"/>
          <w:sz w:val="24"/>
          <w:szCs w:val="24"/>
          <w:lang w:eastAsia="pl-PL"/>
        </w:rPr>
        <w:t>z </w:t>
      </w:r>
      <w:r w:rsidR="00EF5197" w:rsidRPr="00833C88">
        <w:rPr>
          <w:rFonts w:eastAsia="Times New Roman" w:cs="Times New Roman"/>
          <w:sz w:val="24"/>
          <w:szCs w:val="24"/>
          <w:lang w:eastAsia="pl-PL"/>
        </w:rPr>
        <w:t>państwami trzecimi – obejmuje to</w:t>
      </w:r>
      <w:r w:rsidR="00DE38C1" w:rsidRPr="00833C88">
        <w:rPr>
          <w:rFonts w:eastAsia="Times New Roman" w:cs="Times New Roman"/>
          <w:sz w:val="24"/>
          <w:szCs w:val="24"/>
          <w:lang w:eastAsia="pl-PL"/>
        </w:rPr>
        <w:t> </w:t>
      </w:r>
      <w:r w:rsidR="00EF5197" w:rsidRPr="00833C88">
        <w:rPr>
          <w:rFonts w:eastAsia="Times New Roman" w:cs="Times New Roman"/>
          <w:sz w:val="24"/>
          <w:szCs w:val="24"/>
          <w:lang w:eastAsia="pl-PL"/>
        </w:rPr>
        <w:t>działa</w:t>
      </w:r>
      <w:r w:rsidR="002C2CD9" w:rsidRPr="00833C88">
        <w:rPr>
          <w:rFonts w:eastAsia="Times New Roman" w:cs="Times New Roman"/>
          <w:sz w:val="24"/>
          <w:szCs w:val="24"/>
          <w:lang w:eastAsia="pl-PL"/>
        </w:rPr>
        <w:t xml:space="preserve">lność nie tylko </w:t>
      </w:r>
      <w:r w:rsidRPr="00833C88">
        <w:rPr>
          <w:rFonts w:eastAsia="Times New Roman" w:cs="Times New Roman"/>
          <w:sz w:val="24"/>
          <w:szCs w:val="24"/>
          <w:lang w:eastAsia="pl-PL"/>
        </w:rPr>
        <w:t>w </w:t>
      </w:r>
      <w:r w:rsidR="002C2CD9" w:rsidRPr="00833C88">
        <w:rPr>
          <w:rFonts w:eastAsia="Times New Roman" w:cs="Times New Roman"/>
          <w:sz w:val="24"/>
          <w:szCs w:val="24"/>
          <w:lang w:eastAsia="pl-PL"/>
        </w:rPr>
        <w:t xml:space="preserve">ramach Unii </w:t>
      </w:r>
      <w:proofErr w:type="gramStart"/>
      <w:r w:rsidR="000154C1" w:rsidRPr="00833C88">
        <w:rPr>
          <w:rFonts w:eastAsia="Times New Roman" w:cs="Times New Roman"/>
          <w:sz w:val="24"/>
          <w:szCs w:val="24"/>
          <w:lang w:eastAsia="pl-PL"/>
        </w:rPr>
        <w:t>Europejskiej</w:t>
      </w:r>
      <w:proofErr w:type="gramEnd"/>
      <w:r w:rsidR="000154C1" w:rsidRPr="00833C88">
        <w:rPr>
          <w:rFonts w:eastAsia="Times New Roman" w:cs="Times New Roman"/>
          <w:sz w:val="24"/>
          <w:szCs w:val="24"/>
          <w:lang w:eastAsia="pl-PL"/>
        </w:rPr>
        <w:t xml:space="preserve"> ale także poza nią</w:t>
      </w:r>
      <w:r w:rsidR="00B54007" w:rsidRPr="00833C88">
        <w:rPr>
          <w:rFonts w:eastAsia="Times New Roman" w:cs="Times New Roman"/>
          <w:sz w:val="24"/>
          <w:szCs w:val="24"/>
          <w:lang w:eastAsia="pl-PL"/>
        </w:rPr>
        <w:t xml:space="preserve">, np. uczestnictwo </w:t>
      </w:r>
      <w:r w:rsidRPr="00833C88">
        <w:rPr>
          <w:rFonts w:eastAsia="Times New Roman" w:cs="Times New Roman"/>
          <w:sz w:val="24"/>
          <w:szCs w:val="24"/>
          <w:lang w:eastAsia="pl-PL"/>
        </w:rPr>
        <w:t>w </w:t>
      </w:r>
      <w:r w:rsidR="00B54007" w:rsidRPr="00833C88">
        <w:rPr>
          <w:rFonts w:eastAsia="Times New Roman" w:cs="Times New Roman"/>
          <w:sz w:val="24"/>
          <w:szCs w:val="24"/>
          <w:lang w:eastAsia="pl-PL"/>
        </w:rPr>
        <w:t xml:space="preserve">konferencjach </w:t>
      </w:r>
      <w:r w:rsidR="0079491A" w:rsidRPr="00833C88">
        <w:rPr>
          <w:rFonts w:eastAsia="Times New Roman" w:cs="Times New Roman"/>
          <w:sz w:val="24"/>
          <w:szCs w:val="24"/>
          <w:lang w:eastAsia="pl-PL"/>
        </w:rPr>
        <w:t>dyplomatycznych, współpraca bilateralna, przygotowywanie wspólnych deklaracji</w:t>
      </w:r>
      <w:r w:rsidR="00AC727B" w:rsidRPr="00833C88">
        <w:rPr>
          <w:rFonts w:eastAsia="Times New Roman" w:cs="Times New Roman"/>
          <w:sz w:val="24"/>
          <w:szCs w:val="24"/>
          <w:lang w:eastAsia="pl-PL"/>
        </w:rPr>
        <w:t xml:space="preserve">. Te działania oczywiście będą wykonywane we współpracy </w:t>
      </w:r>
      <w:r w:rsidRPr="00833C88">
        <w:rPr>
          <w:rFonts w:eastAsia="Times New Roman" w:cs="Times New Roman"/>
          <w:sz w:val="24"/>
          <w:szCs w:val="24"/>
          <w:lang w:eastAsia="pl-PL"/>
        </w:rPr>
        <w:t>z </w:t>
      </w:r>
      <w:r w:rsidR="00AC727B" w:rsidRPr="00833C88">
        <w:rPr>
          <w:rFonts w:eastAsia="Times New Roman" w:cs="Times New Roman"/>
          <w:sz w:val="24"/>
          <w:szCs w:val="24"/>
          <w:lang w:eastAsia="pl-PL"/>
        </w:rPr>
        <w:t xml:space="preserve">ministrem właściwym do spraw zagranicznych. </w:t>
      </w:r>
    </w:p>
    <w:p w14:paraId="442348ED" w14:textId="5FF90998" w:rsidR="00140871" w:rsidRPr="00833C88" w:rsidRDefault="00466105" w:rsidP="0029004E">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 xml:space="preserve">Wprowadza się także możliwość aby minister właściwy do spraw informatyzacji opublikował </w:t>
      </w:r>
      <w:r w:rsidR="00465D82" w:rsidRPr="00833C88">
        <w:rPr>
          <w:rFonts w:eastAsia="Times New Roman" w:cs="Times New Roman"/>
          <w:sz w:val="24"/>
          <w:szCs w:val="24"/>
          <w:lang w:eastAsia="pl-PL"/>
        </w:rPr>
        <w:t xml:space="preserve">zestawienie wymogów dokumentów normalizacyjnych, </w:t>
      </w:r>
      <w:r w:rsidR="00601933" w:rsidRPr="00833C88">
        <w:rPr>
          <w:rFonts w:eastAsia="Times New Roman" w:cs="Times New Roman"/>
          <w:sz w:val="24"/>
          <w:szCs w:val="24"/>
          <w:lang w:eastAsia="pl-PL"/>
        </w:rPr>
        <w:t>o </w:t>
      </w:r>
      <w:r w:rsidR="00465D82"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00465D82" w:rsidRPr="00833C88">
        <w:rPr>
          <w:rFonts w:eastAsia="Times New Roman" w:cs="Times New Roman"/>
          <w:sz w:val="24"/>
          <w:szCs w:val="24"/>
          <w:lang w:eastAsia="pl-PL"/>
        </w:rPr>
        <w:t xml:space="preserve">art. 2 pkt 3 ustawy </w:t>
      </w:r>
      <w:r w:rsidR="00601933" w:rsidRPr="00833C88">
        <w:rPr>
          <w:rFonts w:eastAsia="Times New Roman" w:cs="Times New Roman"/>
          <w:sz w:val="24"/>
          <w:szCs w:val="24"/>
          <w:lang w:eastAsia="pl-PL"/>
        </w:rPr>
        <w:t>z </w:t>
      </w:r>
      <w:r w:rsidR="00465D82" w:rsidRPr="00833C88">
        <w:rPr>
          <w:rFonts w:eastAsia="Times New Roman" w:cs="Times New Roman"/>
          <w:sz w:val="24"/>
          <w:szCs w:val="24"/>
          <w:lang w:eastAsia="pl-PL"/>
        </w:rPr>
        <w:t xml:space="preserve">dnia 12 września 2002 r. </w:t>
      </w:r>
      <w:r w:rsidR="00601933" w:rsidRPr="00833C88">
        <w:rPr>
          <w:rFonts w:eastAsia="Times New Roman" w:cs="Times New Roman"/>
          <w:sz w:val="24"/>
          <w:szCs w:val="24"/>
          <w:lang w:eastAsia="pl-PL"/>
        </w:rPr>
        <w:t>o </w:t>
      </w:r>
      <w:r w:rsidR="00465D82" w:rsidRPr="00833C88">
        <w:rPr>
          <w:rFonts w:eastAsia="Times New Roman" w:cs="Times New Roman"/>
          <w:sz w:val="24"/>
          <w:szCs w:val="24"/>
          <w:lang w:eastAsia="pl-PL"/>
        </w:rPr>
        <w:t xml:space="preserve">normalizacji (Dz. U. </w:t>
      </w:r>
      <w:r w:rsidR="00601933" w:rsidRPr="00833C88">
        <w:rPr>
          <w:rFonts w:eastAsia="Times New Roman" w:cs="Times New Roman"/>
          <w:sz w:val="24"/>
          <w:szCs w:val="24"/>
          <w:lang w:eastAsia="pl-PL"/>
        </w:rPr>
        <w:t>z </w:t>
      </w:r>
      <w:r w:rsidR="00465D82" w:rsidRPr="00833C88">
        <w:rPr>
          <w:rFonts w:eastAsia="Times New Roman" w:cs="Times New Roman"/>
          <w:sz w:val="24"/>
          <w:szCs w:val="24"/>
          <w:lang w:eastAsia="pl-PL"/>
        </w:rPr>
        <w:t xml:space="preserve">2015 r. poz. 1483), których wykonywanie realizuje obowiązki wynikające </w:t>
      </w:r>
      <w:r w:rsidR="00601933" w:rsidRPr="00833C88">
        <w:rPr>
          <w:rFonts w:eastAsia="Times New Roman" w:cs="Times New Roman"/>
          <w:sz w:val="24"/>
          <w:szCs w:val="24"/>
          <w:lang w:eastAsia="pl-PL"/>
        </w:rPr>
        <w:t>z </w:t>
      </w:r>
      <w:r w:rsidR="00465D82" w:rsidRPr="00833C88">
        <w:rPr>
          <w:rFonts w:eastAsia="Times New Roman" w:cs="Times New Roman"/>
          <w:sz w:val="24"/>
          <w:szCs w:val="24"/>
          <w:lang w:eastAsia="pl-PL"/>
        </w:rPr>
        <w:t xml:space="preserve">przepisów ustawy oraz </w:t>
      </w:r>
      <w:r w:rsidR="00601933" w:rsidRPr="00833C88">
        <w:rPr>
          <w:rFonts w:eastAsia="Times New Roman" w:cs="Times New Roman"/>
          <w:sz w:val="24"/>
          <w:szCs w:val="24"/>
          <w:lang w:eastAsia="pl-PL"/>
        </w:rPr>
        <w:t>z </w:t>
      </w:r>
      <w:r w:rsidR="00465D82" w:rsidRPr="00833C88">
        <w:rPr>
          <w:rFonts w:eastAsia="Times New Roman" w:cs="Times New Roman"/>
          <w:sz w:val="24"/>
          <w:szCs w:val="24"/>
          <w:lang w:eastAsia="pl-PL"/>
        </w:rPr>
        <w:t xml:space="preserve">przepisów wydanych na podstawie art. 8a. Celem tego rozwiązania jest ułatwienie funkcjonowania podmiotom </w:t>
      </w:r>
      <w:r w:rsidR="00465D82" w:rsidRPr="00833C88">
        <w:rPr>
          <w:rFonts w:eastAsia="Times New Roman" w:cs="Times New Roman"/>
          <w:sz w:val="24"/>
          <w:szCs w:val="24"/>
          <w:lang w:eastAsia="pl-PL"/>
        </w:rPr>
        <w:lastRenderedPageBreak/>
        <w:t xml:space="preserve">kluczowym </w:t>
      </w:r>
      <w:r w:rsidR="00601933" w:rsidRPr="00833C88">
        <w:rPr>
          <w:rFonts w:eastAsia="Times New Roman" w:cs="Times New Roman"/>
          <w:sz w:val="24"/>
          <w:szCs w:val="24"/>
          <w:lang w:eastAsia="pl-PL"/>
        </w:rPr>
        <w:t>i </w:t>
      </w:r>
      <w:r w:rsidR="00465D82" w:rsidRPr="00833C88">
        <w:rPr>
          <w:rFonts w:eastAsia="Times New Roman" w:cs="Times New Roman"/>
          <w:sz w:val="24"/>
          <w:szCs w:val="24"/>
          <w:lang w:eastAsia="pl-PL"/>
        </w:rPr>
        <w:t xml:space="preserve">podmiotom ważnym </w:t>
      </w:r>
      <w:r w:rsidR="00601933" w:rsidRPr="00833C88">
        <w:rPr>
          <w:rFonts w:eastAsia="Times New Roman" w:cs="Times New Roman"/>
          <w:sz w:val="24"/>
          <w:szCs w:val="24"/>
          <w:lang w:eastAsia="pl-PL"/>
        </w:rPr>
        <w:t>i </w:t>
      </w:r>
      <w:r w:rsidR="00465D82" w:rsidRPr="00833C88">
        <w:rPr>
          <w:rFonts w:eastAsia="Times New Roman" w:cs="Times New Roman"/>
          <w:sz w:val="24"/>
          <w:szCs w:val="24"/>
          <w:lang w:eastAsia="pl-PL"/>
        </w:rPr>
        <w:t xml:space="preserve">wskazanie różnych norm, standardów </w:t>
      </w:r>
      <w:r w:rsidR="00601933" w:rsidRPr="00833C88">
        <w:rPr>
          <w:rFonts w:eastAsia="Times New Roman" w:cs="Times New Roman"/>
          <w:sz w:val="24"/>
          <w:szCs w:val="24"/>
          <w:lang w:eastAsia="pl-PL"/>
        </w:rPr>
        <w:t>i </w:t>
      </w:r>
      <w:r w:rsidR="00465D82" w:rsidRPr="00833C88">
        <w:rPr>
          <w:rFonts w:eastAsia="Times New Roman" w:cs="Times New Roman"/>
          <w:sz w:val="24"/>
          <w:szCs w:val="24"/>
          <w:lang w:eastAsia="pl-PL"/>
        </w:rPr>
        <w:t xml:space="preserve">innych dokumentów, które </w:t>
      </w:r>
      <w:r w:rsidR="00587D1A" w:rsidRPr="00833C88">
        <w:rPr>
          <w:rFonts w:eastAsia="Times New Roman" w:cs="Times New Roman"/>
          <w:sz w:val="24"/>
          <w:szCs w:val="24"/>
          <w:lang w:eastAsia="pl-PL"/>
        </w:rPr>
        <w:t xml:space="preserve">spełniają wymogi ustawy. To zestawienia będzie miało charakter tzw. prawa miękkiego. </w:t>
      </w:r>
      <w:r w:rsidR="00601933" w:rsidRPr="00833C88">
        <w:rPr>
          <w:rFonts w:eastAsia="Times New Roman" w:cs="Times New Roman"/>
          <w:sz w:val="24"/>
          <w:szCs w:val="24"/>
          <w:lang w:eastAsia="pl-PL"/>
        </w:rPr>
        <w:t>W </w:t>
      </w:r>
      <w:r w:rsidR="00587D1A" w:rsidRPr="00833C88">
        <w:rPr>
          <w:rFonts w:eastAsia="Times New Roman" w:cs="Times New Roman"/>
          <w:sz w:val="24"/>
          <w:szCs w:val="24"/>
          <w:lang w:eastAsia="pl-PL"/>
        </w:rPr>
        <w:t xml:space="preserve">razie jakichkolwiek wątpliwości zawsze wiążące będą </w:t>
      </w:r>
      <w:r w:rsidR="00B51D7A" w:rsidRPr="00833C88">
        <w:rPr>
          <w:rFonts w:eastAsia="Times New Roman" w:cs="Times New Roman"/>
          <w:sz w:val="24"/>
          <w:szCs w:val="24"/>
          <w:lang w:eastAsia="pl-PL"/>
        </w:rPr>
        <w:t xml:space="preserve">przepisy ustawy. Jeżeli podmiot wykona przepisy ustawy </w:t>
      </w:r>
      <w:r w:rsidR="00601933" w:rsidRPr="00833C88">
        <w:rPr>
          <w:rFonts w:eastAsia="Times New Roman" w:cs="Times New Roman"/>
          <w:sz w:val="24"/>
          <w:szCs w:val="24"/>
          <w:lang w:eastAsia="pl-PL"/>
        </w:rPr>
        <w:t>w </w:t>
      </w:r>
      <w:r w:rsidR="00B51D7A" w:rsidRPr="00833C88">
        <w:rPr>
          <w:rFonts w:eastAsia="Times New Roman" w:cs="Times New Roman"/>
          <w:sz w:val="24"/>
          <w:szCs w:val="24"/>
          <w:lang w:eastAsia="pl-PL"/>
        </w:rPr>
        <w:t xml:space="preserve">oparciu </w:t>
      </w:r>
      <w:r w:rsidR="00601933" w:rsidRPr="00833C88">
        <w:rPr>
          <w:rFonts w:eastAsia="Times New Roman" w:cs="Times New Roman"/>
          <w:sz w:val="24"/>
          <w:szCs w:val="24"/>
          <w:lang w:eastAsia="pl-PL"/>
        </w:rPr>
        <w:t>o </w:t>
      </w:r>
      <w:r w:rsidR="00B51D7A" w:rsidRPr="00833C88">
        <w:rPr>
          <w:rFonts w:eastAsia="Times New Roman" w:cs="Times New Roman"/>
          <w:sz w:val="24"/>
          <w:szCs w:val="24"/>
          <w:lang w:eastAsia="pl-PL"/>
        </w:rPr>
        <w:t xml:space="preserve">normę nie znajdującą się </w:t>
      </w:r>
      <w:r w:rsidR="00601933" w:rsidRPr="00833C88">
        <w:rPr>
          <w:rFonts w:eastAsia="Times New Roman" w:cs="Times New Roman"/>
          <w:sz w:val="24"/>
          <w:szCs w:val="24"/>
          <w:lang w:eastAsia="pl-PL"/>
        </w:rPr>
        <w:t>w </w:t>
      </w:r>
      <w:r w:rsidR="00B51D7A" w:rsidRPr="00833C88">
        <w:rPr>
          <w:rFonts w:eastAsia="Times New Roman" w:cs="Times New Roman"/>
          <w:sz w:val="24"/>
          <w:szCs w:val="24"/>
          <w:lang w:eastAsia="pl-PL"/>
        </w:rPr>
        <w:t xml:space="preserve">tym zestawieniu </w:t>
      </w:r>
      <w:r w:rsidR="00601933" w:rsidRPr="00833C88">
        <w:rPr>
          <w:rFonts w:eastAsia="Times New Roman" w:cs="Times New Roman"/>
          <w:sz w:val="24"/>
          <w:szCs w:val="24"/>
          <w:lang w:eastAsia="pl-PL"/>
        </w:rPr>
        <w:t>i </w:t>
      </w:r>
      <w:r w:rsidR="00B51D7A" w:rsidRPr="00833C88">
        <w:rPr>
          <w:rFonts w:eastAsia="Times New Roman" w:cs="Times New Roman"/>
          <w:sz w:val="24"/>
          <w:szCs w:val="24"/>
          <w:lang w:eastAsia="pl-PL"/>
        </w:rPr>
        <w:t xml:space="preserve">wykaże ponad wszelką wątpliwość zgodność </w:t>
      </w:r>
      <w:r w:rsidR="00601933" w:rsidRPr="00833C88">
        <w:rPr>
          <w:rFonts w:eastAsia="Times New Roman" w:cs="Times New Roman"/>
          <w:sz w:val="24"/>
          <w:szCs w:val="24"/>
          <w:lang w:eastAsia="pl-PL"/>
        </w:rPr>
        <w:t>z </w:t>
      </w:r>
      <w:r w:rsidR="00B51D7A" w:rsidRPr="00833C88">
        <w:rPr>
          <w:rFonts w:eastAsia="Times New Roman" w:cs="Times New Roman"/>
          <w:sz w:val="24"/>
          <w:szCs w:val="24"/>
          <w:lang w:eastAsia="pl-PL"/>
        </w:rPr>
        <w:t xml:space="preserve">ustawą, to takie działanie nie będzie </w:t>
      </w:r>
      <w:r w:rsidR="00601933" w:rsidRPr="00833C88">
        <w:rPr>
          <w:rFonts w:eastAsia="Times New Roman" w:cs="Times New Roman"/>
          <w:sz w:val="24"/>
          <w:szCs w:val="24"/>
          <w:lang w:eastAsia="pl-PL"/>
        </w:rPr>
        <w:t>z </w:t>
      </w:r>
      <w:r w:rsidR="00B51D7A" w:rsidRPr="00833C88">
        <w:rPr>
          <w:rFonts w:eastAsia="Times New Roman" w:cs="Times New Roman"/>
          <w:sz w:val="24"/>
          <w:szCs w:val="24"/>
          <w:lang w:eastAsia="pl-PL"/>
        </w:rPr>
        <w:t xml:space="preserve">ustawą sprzeczne. </w:t>
      </w:r>
      <w:r w:rsidR="00D72068" w:rsidRPr="00833C88">
        <w:rPr>
          <w:rFonts w:eastAsia="Times New Roman" w:cs="Times New Roman"/>
          <w:sz w:val="24"/>
          <w:szCs w:val="24"/>
          <w:lang w:eastAsia="pl-PL"/>
        </w:rPr>
        <w:t xml:space="preserve">Zestawienie to powinno być skutkiem dialogu między administracją </w:t>
      </w:r>
      <w:r w:rsidR="00601933" w:rsidRPr="00833C88">
        <w:rPr>
          <w:rFonts w:eastAsia="Times New Roman" w:cs="Times New Roman"/>
          <w:sz w:val="24"/>
          <w:szCs w:val="24"/>
          <w:lang w:eastAsia="pl-PL"/>
        </w:rPr>
        <w:t>a </w:t>
      </w:r>
      <w:r w:rsidR="00D72068" w:rsidRPr="00833C88">
        <w:rPr>
          <w:rFonts w:eastAsia="Times New Roman" w:cs="Times New Roman"/>
          <w:sz w:val="24"/>
          <w:szCs w:val="24"/>
          <w:lang w:eastAsia="pl-PL"/>
        </w:rPr>
        <w:t xml:space="preserve">przedsiębiorcami </w:t>
      </w:r>
      <w:r w:rsidR="00601933" w:rsidRPr="00833C88">
        <w:rPr>
          <w:rFonts w:eastAsia="Times New Roman" w:cs="Times New Roman"/>
          <w:sz w:val="24"/>
          <w:szCs w:val="24"/>
          <w:lang w:eastAsia="pl-PL"/>
        </w:rPr>
        <w:t>i </w:t>
      </w:r>
      <w:r w:rsidR="00D72068" w:rsidRPr="00833C88">
        <w:rPr>
          <w:rFonts w:eastAsia="Times New Roman" w:cs="Times New Roman"/>
          <w:sz w:val="24"/>
          <w:szCs w:val="24"/>
          <w:lang w:eastAsia="pl-PL"/>
        </w:rPr>
        <w:t xml:space="preserve">organizacjami społecznymi. Dlatego przed jego wydaniem minister właściwy do spraw informatyzacji przeprowadzi </w:t>
      </w:r>
      <w:r w:rsidR="008054BF" w:rsidRPr="00833C88">
        <w:rPr>
          <w:rFonts w:eastAsia="Times New Roman" w:cs="Times New Roman"/>
          <w:sz w:val="24"/>
          <w:szCs w:val="24"/>
          <w:lang w:eastAsia="pl-PL"/>
        </w:rPr>
        <w:t>30</w:t>
      </w:r>
      <w:r w:rsidR="00654BE2" w:rsidRPr="00833C88">
        <w:rPr>
          <w:rFonts w:eastAsia="Times New Roman" w:cs="Times New Roman"/>
          <w:sz w:val="24"/>
          <w:szCs w:val="24"/>
          <w:lang w:eastAsia="pl-PL"/>
        </w:rPr>
        <w:t>-</w:t>
      </w:r>
      <w:r w:rsidR="008054BF" w:rsidRPr="00833C88">
        <w:rPr>
          <w:rFonts w:eastAsia="Times New Roman" w:cs="Times New Roman"/>
          <w:sz w:val="24"/>
          <w:szCs w:val="24"/>
          <w:lang w:eastAsia="pl-PL"/>
        </w:rPr>
        <w:t xml:space="preserve">dniowe konsultacje publiczne </w:t>
      </w:r>
      <w:r w:rsidR="00DA11FC" w:rsidRPr="00833C88">
        <w:rPr>
          <w:rFonts w:eastAsia="Times New Roman" w:cs="Times New Roman"/>
          <w:sz w:val="24"/>
          <w:szCs w:val="24"/>
          <w:lang w:eastAsia="pl-PL"/>
        </w:rPr>
        <w:t>–</w:t>
      </w:r>
      <w:r w:rsidR="008054BF" w:rsidRPr="00833C88">
        <w:rPr>
          <w:rFonts w:eastAsia="Times New Roman" w:cs="Times New Roman"/>
          <w:sz w:val="24"/>
          <w:szCs w:val="24"/>
          <w:lang w:eastAsia="pl-PL"/>
        </w:rPr>
        <w:t xml:space="preserve"> które też powinny objąć organy właściwe do spraw cyberbezpieczeństwa. </w:t>
      </w:r>
      <w:r w:rsidR="000540ED" w:rsidRPr="00833C88">
        <w:rPr>
          <w:rFonts w:eastAsia="Times New Roman" w:cs="Times New Roman"/>
          <w:sz w:val="24"/>
          <w:szCs w:val="24"/>
          <w:lang w:eastAsia="pl-PL"/>
        </w:rPr>
        <w:t xml:space="preserve">Skutkiem konsultacji powinien być raport zawierający główne tezy zawarte </w:t>
      </w:r>
      <w:r w:rsidR="00601933" w:rsidRPr="00833C88">
        <w:rPr>
          <w:rFonts w:eastAsia="Times New Roman" w:cs="Times New Roman"/>
          <w:sz w:val="24"/>
          <w:szCs w:val="24"/>
          <w:lang w:eastAsia="pl-PL"/>
        </w:rPr>
        <w:t>w </w:t>
      </w:r>
      <w:r w:rsidR="000540ED" w:rsidRPr="00833C88">
        <w:rPr>
          <w:rFonts w:eastAsia="Times New Roman" w:cs="Times New Roman"/>
          <w:sz w:val="24"/>
          <w:szCs w:val="24"/>
          <w:lang w:eastAsia="pl-PL"/>
        </w:rPr>
        <w:t>stanowiskach zgłosz</w:t>
      </w:r>
      <w:r w:rsidR="00D61687" w:rsidRPr="00833C88">
        <w:rPr>
          <w:rFonts w:eastAsia="Times New Roman" w:cs="Times New Roman"/>
          <w:sz w:val="24"/>
          <w:szCs w:val="24"/>
          <w:lang w:eastAsia="pl-PL"/>
        </w:rPr>
        <w:t>o</w:t>
      </w:r>
      <w:r w:rsidR="000540ED" w:rsidRPr="00833C88">
        <w:rPr>
          <w:rFonts w:eastAsia="Times New Roman" w:cs="Times New Roman"/>
          <w:sz w:val="24"/>
          <w:szCs w:val="24"/>
          <w:lang w:eastAsia="pl-PL"/>
        </w:rPr>
        <w:t>nych do projektu zestawienia</w:t>
      </w:r>
      <w:r w:rsidR="00775BD9" w:rsidRPr="00833C88">
        <w:rPr>
          <w:rFonts w:eastAsia="Times New Roman" w:cs="Times New Roman"/>
          <w:sz w:val="24"/>
          <w:szCs w:val="24"/>
          <w:lang w:eastAsia="pl-PL"/>
        </w:rPr>
        <w:t xml:space="preserve"> oraz odniesienie się do tych stanowisk. Ma to wymiar praktyczny – nie tylko będzie taki raport prostszy do sporządzenia względem długiej tabeli </w:t>
      </w:r>
      <w:proofErr w:type="gramStart"/>
      <w:r w:rsidR="00775BD9" w:rsidRPr="00833C88">
        <w:rPr>
          <w:rFonts w:eastAsia="Times New Roman" w:cs="Times New Roman"/>
          <w:sz w:val="24"/>
          <w:szCs w:val="24"/>
          <w:lang w:eastAsia="pl-PL"/>
        </w:rPr>
        <w:t>uwag</w:t>
      </w:r>
      <w:proofErr w:type="gramEnd"/>
      <w:r w:rsidR="00775BD9" w:rsidRPr="00833C88">
        <w:rPr>
          <w:rFonts w:eastAsia="Times New Roman" w:cs="Times New Roman"/>
          <w:sz w:val="24"/>
          <w:szCs w:val="24"/>
          <w:lang w:eastAsia="pl-PL"/>
        </w:rPr>
        <w:t xml:space="preserve"> ale również łatwiej będzie się zapoznać z</w:t>
      </w:r>
      <w:r w:rsidR="008716C9" w:rsidRPr="00833C88">
        <w:rPr>
          <w:rFonts w:eastAsia="Times New Roman" w:cs="Times New Roman"/>
          <w:sz w:val="24"/>
          <w:szCs w:val="24"/>
          <w:lang w:eastAsia="pl-PL"/>
        </w:rPr>
        <w:t xml:space="preserve">e stanowiskami </w:t>
      </w:r>
      <w:r w:rsidR="00601933" w:rsidRPr="00833C88">
        <w:rPr>
          <w:rFonts w:eastAsia="Times New Roman" w:cs="Times New Roman"/>
          <w:sz w:val="24"/>
          <w:szCs w:val="24"/>
          <w:lang w:eastAsia="pl-PL"/>
        </w:rPr>
        <w:t>i </w:t>
      </w:r>
      <w:r w:rsidR="008716C9" w:rsidRPr="00833C88">
        <w:rPr>
          <w:rFonts w:eastAsia="Times New Roman" w:cs="Times New Roman"/>
          <w:sz w:val="24"/>
          <w:szCs w:val="24"/>
          <w:lang w:eastAsia="pl-PL"/>
        </w:rPr>
        <w:t xml:space="preserve">odpowiedzią na nie. </w:t>
      </w:r>
      <w:r w:rsidR="00601933" w:rsidRPr="00833C88">
        <w:rPr>
          <w:rFonts w:eastAsia="Times New Roman" w:cs="Times New Roman"/>
          <w:sz w:val="24"/>
          <w:szCs w:val="24"/>
          <w:lang w:eastAsia="pl-PL"/>
        </w:rPr>
        <w:t>W </w:t>
      </w:r>
      <w:r w:rsidR="008716C9" w:rsidRPr="00833C88">
        <w:rPr>
          <w:rFonts w:eastAsia="Times New Roman" w:cs="Times New Roman"/>
          <w:sz w:val="24"/>
          <w:szCs w:val="24"/>
          <w:lang w:eastAsia="pl-PL"/>
        </w:rPr>
        <w:t>ramach jawności życia publicznego projekt zestawienia, uwagi</w:t>
      </w:r>
      <w:r w:rsidR="002A53B3" w:rsidRPr="00833C88">
        <w:rPr>
          <w:rFonts w:eastAsia="Times New Roman" w:cs="Times New Roman"/>
          <w:sz w:val="24"/>
          <w:szCs w:val="24"/>
          <w:lang w:eastAsia="pl-PL"/>
        </w:rPr>
        <w:t xml:space="preserve">, raport będą opublikowane </w:t>
      </w:r>
      <w:r w:rsidR="00601933" w:rsidRPr="00833C88">
        <w:rPr>
          <w:rFonts w:eastAsia="Times New Roman" w:cs="Times New Roman"/>
          <w:sz w:val="24"/>
          <w:szCs w:val="24"/>
          <w:lang w:eastAsia="pl-PL"/>
        </w:rPr>
        <w:t>w </w:t>
      </w:r>
      <w:r w:rsidR="00F34453" w:rsidRPr="00833C88">
        <w:rPr>
          <w:rFonts w:eastAsia="Times New Roman" w:cs="Times New Roman"/>
          <w:sz w:val="24"/>
          <w:szCs w:val="24"/>
          <w:lang w:eastAsia="pl-PL"/>
        </w:rPr>
        <w:t xml:space="preserve">BIP </w:t>
      </w:r>
      <w:r w:rsidR="002A53B3" w:rsidRPr="00833C88">
        <w:rPr>
          <w:rFonts w:eastAsia="Times New Roman" w:cs="Times New Roman"/>
          <w:sz w:val="24"/>
          <w:szCs w:val="24"/>
          <w:lang w:eastAsia="pl-PL"/>
        </w:rPr>
        <w:t>ministra właściwego do spraw informatyzacji</w:t>
      </w:r>
      <w:r w:rsidR="00B4693E" w:rsidRPr="00833C88">
        <w:rPr>
          <w:rFonts w:eastAsia="Times New Roman" w:cs="Times New Roman"/>
          <w:sz w:val="24"/>
          <w:szCs w:val="24"/>
          <w:lang w:eastAsia="pl-PL"/>
        </w:rPr>
        <w:t xml:space="preserve">. Nie będzie to dotyczyło oczywiście danych osobowych osób fizycznych biorących udział </w:t>
      </w:r>
      <w:r w:rsidR="00601933" w:rsidRPr="00833C88">
        <w:rPr>
          <w:rFonts w:eastAsia="Times New Roman" w:cs="Times New Roman"/>
          <w:sz w:val="24"/>
          <w:szCs w:val="24"/>
          <w:lang w:eastAsia="pl-PL"/>
        </w:rPr>
        <w:t>w </w:t>
      </w:r>
      <w:r w:rsidR="00B4693E" w:rsidRPr="00833C88">
        <w:rPr>
          <w:rFonts w:eastAsia="Times New Roman" w:cs="Times New Roman"/>
          <w:sz w:val="24"/>
          <w:szCs w:val="24"/>
          <w:lang w:eastAsia="pl-PL"/>
        </w:rPr>
        <w:t xml:space="preserve">konsultacjach publicznych. </w:t>
      </w:r>
      <w:r w:rsidR="00601933" w:rsidRPr="00833C88">
        <w:rPr>
          <w:rFonts w:eastAsia="Times New Roman" w:cs="Times New Roman"/>
          <w:sz w:val="24"/>
          <w:szCs w:val="24"/>
          <w:lang w:eastAsia="pl-PL"/>
        </w:rPr>
        <w:t>W </w:t>
      </w:r>
      <w:r w:rsidR="00B4693E" w:rsidRPr="00833C88">
        <w:rPr>
          <w:rFonts w:eastAsia="Times New Roman" w:cs="Times New Roman"/>
          <w:sz w:val="24"/>
          <w:szCs w:val="24"/>
          <w:lang w:eastAsia="pl-PL"/>
        </w:rPr>
        <w:t xml:space="preserve">przepisach </w:t>
      </w:r>
      <w:r w:rsidR="00601933" w:rsidRPr="00833C88">
        <w:rPr>
          <w:rFonts w:eastAsia="Times New Roman" w:cs="Times New Roman"/>
          <w:sz w:val="24"/>
          <w:szCs w:val="24"/>
          <w:lang w:eastAsia="pl-PL"/>
        </w:rPr>
        <w:t>o </w:t>
      </w:r>
      <w:r w:rsidR="00B4693E" w:rsidRPr="00833C88">
        <w:rPr>
          <w:rFonts w:eastAsia="Times New Roman" w:cs="Times New Roman"/>
          <w:sz w:val="24"/>
          <w:szCs w:val="24"/>
          <w:lang w:eastAsia="pl-PL"/>
        </w:rPr>
        <w:t xml:space="preserve">przetwarzaniu danych osobowych zawarto uprawnienie dla ministra do przetwarzania danych osobowych osób uczestniczących </w:t>
      </w:r>
      <w:r w:rsidR="00601933" w:rsidRPr="00833C88">
        <w:rPr>
          <w:rFonts w:eastAsia="Times New Roman" w:cs="Times New Roman"/>
          <w:sz w:val="24"/>
          <w:szCs w:val="24"/>
          <w:lang w:eastAsia="pl-PL"/>
        </w:rPr>
        <w:t>w </w:t>
      </w:r>
      <w:r w:rsidR="00B4693E" w:rsidRPr="00833C88">
        <w:rPr>
          <w:rFonts w:eastAsia="Times New Roman" w:cs="Times New Roman"/>
          <w:sz w:val="24"/>
          <w:szCs w:val="24"/>
          <w:lang w:eastAsia="pl-PL"/>
        </w:rPr>
        <w:t xml:space="preserve">tych konsultacjach, </w:t>
      </w:r>
      <w:r w:rsidR="00601933" w:rsidRPr="00833C88">
        <w:rPr>
          <w:rFonts w:eastAsia="Times New Roman" w:cs="Times New Roman"/>
          <w:sz w:val="24"/>
          <w:szCs w:val="24"/>
          <w:lang w:eastAsia="pl-PL"/>
        </w:rPr>
        <w:t>w </w:t>
      </w:r>
      <w:r w:rsidR="00B4693E" w:rsidRPr="00833C88">
        <w:rPr>
          <w:rFonts w:eastAsia="Times New Roman" w:cs="Times New Roman"/>
          <w:sz w:val="24"/>
          <w:szCs w:val="24"/>
          <w:lang w:eastAsia="pl-PL"/>
        </w:rPr>
        <w:t xml:space="preserve">tym także </w:t>
      </w:r>
      <w:r w:rsidR="009919D4" w:rsidRPr="00833C88">
        <w:rPr>
          <w:rFonts w:eastAsia="Times New Roman" w:cs="Times New Roman"/>
          <w:sz w:val="24"/>
          <w:szCs w:val="24"/>
          <w:lang w:eastAsia="pl-PL"/>
        </w:rPr>
        <w:t xml:space="preserve">danych szczególnych </w:t>
      </w:r>
      <w:r w:rsidR="00601933" w:rsidRPr="00833C88">
        <w:rPr>
          <w:rFonts w:eastAsia="Times New Roman" w:cs="Times New Roman"/>
          <w:sz w:val="24"/>
          <w:szCs w:val="24"/>
          <w:lang w:eastAsia="pl-PL"/>
        </w:rPr>
        <w:t>z </w:t>
      </w:r>
      <w:r w:rsidR="009919D4" w:rsidRPr="00833C88">
        <w:rPr>
          <w:rFonts w:eastAsia="Times New Roman" w:cs="Times New Roman"/>
          <w:sz w:val="24"/>
          <w:szCs w:val="24"/>
          <w:lang w:eastAsia="pl-PL"/>
        </w:rPr>
        <w:t xml:space="preserve">art. 9 RODO – są ku temu 2 argumenty: 1. Podobnie jest tak unormowane </w:t>
      </w:r>
      <w:r w:rsidR="00601933" w:rsidRPr="00833C88">
        <w:rPr>
          <w:rFonts w:eastAsia="Times New Roman" w:cs="Times New Roman"/>
          <w:sz w:val="24"/>
          <w:szCs w:val="24"/>
          <w:lang w:eastAsia="pl-PL"/>
        </w:rPr>
        <w:t>w </w:t>
      </w:r>
      <w:r w:rsidR="009919D4" w:rsidRPr="00833C88">
        <w:rPr>
          <w:rFonts w:eastAsia="Times New Roman" w:cs="Times New Roman"/>
          <w:sz w:val="24"/>
          <w:szCs w:val="24"/>
          <w:lang w:eastAsia="pl-PL"/>
        </w:rPr>
        <w:t xml:space="preserve">ustawie </w:t>
      </w:r>
      <w:r w:rsidR="00601933" w:rsidRPr="00833C88">
        <w:rPr>
          <w:rFonts w:eastAsia="Times New Roman" w:cs="Times New Roman"/>
          <w:sz w:val="24"/>
          <w:szCs w:val="24"/>
          <w:lang w:eastAsia="pl-PL"/>
        </w:rPr>
        <w:t>o </w:t>
      </w:r>
      <w:r w:rsidR="009919D4" w:rsidRPr="00833C88">
        <w:rPr>
          <w:rFonts w:eastAsia="Times New Roman" w:cs="Times New Roman"/>
          <w:sz w:val="24"/>
          <w:szCs w:val="24"/>
          <w:lang w:eastAsia="pl-PL"/>
        </w:rPr>
        <w:t>Radzie Ministrów, 2.</w:t>
      </w:r>
      <w:r w:rsidR="00FA2B5A" w:rsidRPr="00833C88">
        <w:rPr>
          <w:rFonts w:eastAsia="Times New Roman" w:cs="Times New Roman"/>
          <w:sz w:val="24"/>
          <w:szCs w:val="24"/>
          <w:lang w:eastAsia="pl-PL"/>
        </w:rPr>
        <w:t xml:space="preserve"> Dane szczególne </w:t>
      </w:r>
      <w:r w:rsidR="00601933" w:rsidRPr="00833C88">
        <w:rPr>
          <w:rFonts w:eastAsia="Times New Roman" w:cs="Times New Roman"/>
          <w:sz w:val="24"/>
          <w:szCs w:val="24"/>
          <w:lang w:eastAsia="pl-PL"/>
        </w:rPr>
        <w:t>z </w:t>
      </w:r>
      <w:r w:rsidR="00FA2B5A" w:rsidRPr="00833C88">
        <w:rPr>
          <w:rFonts w:eastAsia="Times New Roman" w:cs="Times New Roman"/>
          <w:sz w:val="24"/>
          <w:szCs w:val="24"/>
          <w:lang w:eastAsia="pl-PL"/>
        </w:rPr>
        <w:t xml:space="preserve">art. 9 RODO to także dane </w:t>
      </w:r>
      <w:r w:rsidR="00601933" w:rsidRPr="00833C88">
        <w:rPr>
          <w:rFonts w:eastAsia="Times New Roman" w:cs="Times New Roman"/>
          <w:sz w:val="24"/>
          <w:szCs w:val="24"/>
          <w:lang w:eastAsia="pl-PL"/>
        </w:rPr>
        <w:t>o </w:t>
      </w:r>
      <w:r w:rsidR="00FA2B5A" w:rsidRPr="00833C88">
        <w:rPr>
          <w:rFonts w:eastAsia="Times New Roman" w:cs="Times New Roman"/>
          <w:sz w:val="24"/>
          <w:szCs w:val="24"/>
          <w:lang w:eastAsia="pl-PL"/>
        </w:rPr>
        <w:t xml:space="preserve">przynależności związkowej – nie jest </w:t>
      </w:r>
      <w:proofErr w:type="gramStart"/>
      <w:r w:rsidR="00FA2B5A" w:rsidRPr="00833C88">
        <w:rPr>
          <w:rFonts w:eastAsia="Times New Roman" w:cs="Times New Roman"/>
          <w:sz w:val="24"/>
          <w:szCs w:val="24"/>
          <w:lang w:eastAsia="pl-PL"/>
        </w:rPr>
        <w:t>wykluczone</w:t>
      </w:r>
      <w:proofErr w:type="gramEnd"/>
      <w:r w:rsidR="00FA2B5A" w:rsidRPr="00833C88">
        <w:rPr>
          <w:rFonts w:eastAsia="Times New Roman" w:cs="Times New Roman"/>
          <w:sz w:val="24"/>
          <w:szCs w:val="24"/>
          <w:lang w:eastAsia="pl-PL"/>
        </w:rPr>
        <w:t xml:space="preserve"> że uwagi zgłoszą przedstawiciele związków zawodowych.</w:t>
      </w:r>
    </w:p>
    <w:p w14:paraId="40EE0B54" w14:textId="19545687" w:rsidR="001230F9" w:rsidRPr="00833C88" w:rsidRDefault="00EB413B" w:rsidP="0029004E">
      <w:pPr>
        <w:spacing w:line="360" w:lineRule="auto"/>
        <w:ind w:firstLine="708"/>
        <w:jc w:val="both"/>
        <w:rPr>
          <w:rFonts w:eastAsia="Times New Roman" w:cs="Times New Roman"/>
          <w:sz w:val="24"/>
          <w:szCs w:val="24"/>
          <w:lang w:eastAsia="pl-PL"/>
        </w:rPr>
      </w:pPr>
      <w:bookmarkStart w:id="1" w:name="_Hlk193260126"/>
      <w:r w:rsidRPr="00833C88">
        <w:rPr>
          <w:rFonts w:eastAsia="Times New Roman" w:cs="Times New Roman"/>
          <w:sz w:val="24"/>
          <w:szCs w:val="24"/>
          <w:lang w:eastAsia="pl-PL"/>
        </w:rPr>
        <w:t xml:space="preserve">Rozbudowuje się obecną kompetencję ministra właściwego do spraw informatyzacji </w:t>
      </w:r>
      <w:r w:rsidR="00707F82" w:rsidRPr="00833C88">
        <w:rPr>
          <w:rFonts w:eastAsia="Times New Roman" w:cs="Times New Roman"/>
          <w:sz w:val="24"/>
          <w:szCs w:val="24"/>
          <w:lang w:eastAsia="pl-PL"/>
        </w:rPr>
        <w:t xml:space="preserve">do udzielania wsparcia finansowego </w:t>
      </w:r>
      <w:r w:rsidR="00601933" w:rsidRPr="00833C88">
        <w:rPr>
          <w:rFonts w:eastAsia="Times New Roman" w:cs="Times New Roman"/>
          <w:sz w:val="24"/>
          <w:szCs w:val="24"/>
          <w:lang w:eastAsia="pl-PL"/>
        </w:rPr>
        <w:t>w </w:t>
      </w:r>
      <w:r w:rsidR="00707F82" w:rsidRPr="00833C88">
        <w:rPr>
          <w:rFonts w:eastAsia="Times New Roman" w:cs="Times New Roman"/>
          <w:sz w:val="24"/>
          <w:szCs w:val="24"/>
          <w:lang w:eastAsia="pl-PL"/>
        </w:rPr>
        <w:t xml:space="preserve">ramach programów rządowych </w:t>
      </w:r>
      <w:r w:rsidR="00A7597E" w:rsidRPr="00833C88">
        <w:rPr>
          <w:rFonts w:eastAsia="Times New Roman" w:cs="Times New Roman"/>
          <w:sz w:val="24"/>
          <w:szCs w:val="24"/>
          <w:lang w:eastAsia="pl-PL"/>
        </w:rPr>
        <w:t xml:space="preserve">lub innych programów np. unijnych. </w:t>
      </w:r>
      <w:r w:rsidR="001230F9" w:rsidRPr="00833C88">
        <w:rPr>
          <w:rFonts w:eastAsia="Times New Roman" w:cs="Times New Roman"/>
          <w:sz w:val="24"/>
          <w:szCs w:val="24"/>
          <w:lang w:eastAsia="pl-PL"/>
        </w:rPr>
        <w:t xml:space="preserve">Obecnie brzmienie jest szczątkowe </w:t>
      </w:r>
      <w:r w:rsidR="00601933" w:rsidRPr="00833C88">
        <w:rPr>
          <w:rFonts w:eastAsia="Times New Roman" w:cs="Times New Roman"/>
          <w:sz w:val="24"/>
          <w:szCs w:val="24"/>
          <w:lang w:eastAsia="pl-PL"/>
        </w:rPr>
        <w:t>i </w:t>
      </w:r>
      <w:r w:rsidR="001230F9" w:rsidRPr="00833C88">
        <w:rPr>
          <w:rFonts w:eastAsia="Times New Roman" w:cs="Times New Roman"/>
          <w:sz w:val="24"/>
          <w:szCs w:val="24"/>
          <w:lang w:eastAsia="pl-PL"/>
        </w:rPr>
        <w:t xml:space="preserve">należy je uzupełnić </w:t>
      </w:r>
      <w:r w:rsidR="001D7299" w:rsidRPr="00833C88">
        <w:rPr>
          <w:rFonts w:eastAsia="Times New Roman" w:cs="Times New Roman"/>
          <w:sz w:val="24"/>
          <w:szCs w:val="24"/>
          <w:lang w:eastAsia="pl-PL"/>
        </w:rPr>
        <w:t xml:space="preserve">przynajmniej </w:t>
      </w:r>
      <w:r w:rsidR="00601933" w:rsidRPr="00833C88">
        <w:rPr>
          <w:rFonts w:eastAsia="Times New Roman" w:cs="Times New Roman"/>
          <w:sz w:val="24"/>
          <w:szCs w:val="24"/>
          <w:lang w:eastAsia="pl-PL"/>
        </w:rPr>
        <w:t>o </w:t>
      </w:r>
      <w:r w:rsidR="001D7299" w:rsidRPr="00833C88">
        <w:rPr>
          <w:rFonts w:eastAsia="Times New Roman" w:cs="Times New Roman"/>
          <w:sz w:val="24"/>
          <w:szCs w:val="24"/>
          <w:lang w:eastAsia="pl-PL"/>
        </w:rPr>
        <w:t xml:space="preserve">rodzaje projektów, na które można </w:t>
      </w:r>
      <w:r w:rsidR="000A27C2" w:rsidRPr="00833C88">
        <w:rPr>
          <w:rFonts w:eastAsia="Times New Roman" w:cs="Times New Roman"/>
          <w:sz w:val="24"/>
          <w:szCs w:val="24"/>
          <w:lang w:eastAsia="pl-PL"/>
        </w:rPr>
        <w:t>udzielić tego wsparcia.</w:t>
      </w:r>
    </w:p>
    <w:bookmarkEnd w:id="1"/>
    <w:p w14:paraId="3D85A8B9" w14:textId="1FD17123" w:rsidR="00CB5584" w:rsidRPr="00833C88" w:rsidRDefault="00A7597E" w:rsidP="00ED2326">
      <w:pPr>
        <w:spacing w:after="0" w:line="360" w:lineRule="auto"/>
        <w:ind w:firstLine="709"/>
        <w:jc w:val="both"/>
        <w:rPr>
          <w:rFonts w:eastAsia="Times New Roman" w:cs="Times New Roman"/>
          <w:sz w:val="24"/>
          <w:szCs w:val="24"/>
          <w:lang w:eastAsia="pl-PL"/>
        </w:rPr>
      </w:pPr>
      <w:r w:rsidRPr="00833C88">
        <w:rPr>
          <w:rFonts w:eastAsia="Times New Roman" w:cs="Times New Roman"/>
          <w:sz w:val="24"/>
          <w:szCs w:val="24"/>
          <w:lang w:eastAsia="pl-PL"/>
        </w:rPr>
        <w:t>Wsparcia udziela się na realizację projektów, których celem jest</w:t>
      </w:r>
      <w:r w:rsidR="00CB5584" w:rsidRPr="00833C88">
        <w:rPr>
          <w:rFonts w:eastAsia="Times New Roman" w:cs="Times New Roman"/>
          <w:sz w:val="24"/>
          <w:szCs w:val="24"/>
          <w:lang w:eastAsia="pl-PL"/>
        </w:rPr>
        <w:t>:</w:t>
      </w:r>
    </w:p>
    <w:p w14:paraId="752C5FB8" w14:textId="63721119"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1)</w:t>
      </w:r>
      <w:r w:rsidRPr="00833C88">
        <w:rPr>
          <w:rFonts w:eastAsia="Times New Roman" w:cs="Times New Roman"/>
          <w:sz w:val="24"/>
          <w:szCs w:val="24"/>
          <w:lang w:eastAsia="pl-PL"/>
        </w:rPr>
        <w:tab/>
        <w:t xml:space="preserve">tworzenie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rozwój produktów ICT, usług ICT oraz procesów ICT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cyberbezpieczeństwa;</w:t>
      </w:r>
    </w:p>
    <w:p w14:paraId="426108C9" w14:textId="1F53D356"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2)</w:t>
      </w:r>
      <w:r w:rsidRPr="00833C88">
        <w:rPr>
          <w:rFonts w:eastAsia="Times New Roman" w:cs="Times New Roman"/>
          <w:sz w:val="24"/>
          <w:szCs w:val="24"/>
          <w:lang w:eastAsia="pl-PL"/>
        </w:rPr>
        <w:tab/>
        <w:t xml:space="preserve">rozwój kompetencji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obszarze cyberbezpieczeństwa;</w:t>
      </w:r>
    </w:p>
    <w:p w14:paraId="1F9AD313" w14:textId="57ABAAB0"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3)</w:t>
      </w:r>
      <w:r w:rsidRPr="00833C88">
        <w:rPr>
          <w:rFonts w:eastAsia="Times New Roman" w:cs="Times New Roman"/>
          <w:sz w:val="24"/>
          <w:szCs w:val="24"/>
          <w:lang w:eastAsia="pl-PL"/>
        </w:rPr>
        <w:tab/>
        <w:t xml:space="preserve">zapewnianie cyberbezpieczeństwa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danej jednostce organizacyjnej;</w:t>
      </w:r>
    </w:p>
    <w:p w14:paraId="11A04165" w14:textId="01D8E41E"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4)</w:t>
      </w:r>
      <w:r w:rsidRPr="00833C88">
        <w:rPr>
          <w:rFonts w:eastAsia="Times New Roman" w:cs="Times New Roman"/>
          <w:sz w:val="24"/>
          <w:szCs w:val="24"/>
          <w:lang w:eastAsia="pl-PL"/>
        </w:rPr>
        <w:tab/>
        <w:t xml:space="preserve">promocja dobrych praktyk, programów edukacyjnych, kampanii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szkoleń na rzecz poszerzania wiedzy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budowania świadomości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cyberbezpieczeństwa;</w:t>
      </w:r>
    </w:p>
    <w:p w14:paraId="4BF969BA" w14:textId="29F7BFA9"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5)</w:t>
      </w:r>
      <w:r w:rsidRPr="00833C88">
        <w:rPr>
          <w:rFonts w:eastAsia="Times New Roman" w:cs="Times New Roman"/>
          <w:sz w:val="24"/>
          <w:szCs w:val="24"/>
          <w:lang w:eastAsia="pl-PL"/>
        </w:rPr>
        <w:tab/>
        <w:t xml:space="preserve">wsparcie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obszarze standaryzacji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certyfikacji cyberbezpieczeństwa;</w:t>
      </w:r>
    </w:p>
    <w:p w14:paraId="3A59DA97" w14:textId="4B9ED676"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lastRenderedPageBreak/>
        <w:t>6)</w:t>
      </w:r>
      <w:r w:rsidRPr="00833C88">
        <w:rPr>
          <w:rFonts w:eastAsia="Times New Roman" w:cs="Times New Roman"/>
          <w:sz w:val="24"/>
          <w:szCs w:val="24"/>
          <w:lang w:eastAsia="pl-PL"/>
        </w:rPr>
        <w:tab/>
        <w:t>rozwój infrastruktury służącej zapewnianiu cyberbezpieczeństwa;</w:t>
      </w:r>
    </w:p>
    <w:p w14:paraId="24239A6A" w14:textId="1C642EB7"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7)</w:t>
      </w:r>
      <w:r w:rsidRPr="00833C88">
        <w:rPr>
          <w:rFonts w:eastAsia="Times New Roman" w:cs="Times New Roman"/>
          <w:sz w:val="24"/>
          <w:szCs w:val="24"/>
          <w:lang w:eastAsia="pl-PL"/>
        </w:rPr>
        <w:tab/>
        <w:t xml:space="preserve">wsparcie badań naukowych, rozwoju technologicznego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projektów pilotażowych związanych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cyberbezpieczeństwem;</w:t>
      </w:r>
    </w:p>
    <w:p w14:paraId="04E799E5" w14:textId="4A819D04"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8)</w:t>
      </w:r>
      <w:r w:rsidRPr="00833C88">
        <w:rPr>
          <w:rFonts w:eastAsia="Times New Roman" w:cs="Times New Roman"/>
          <w:sz w:val="24"/>
          <w:szCs w:val="24"/>
          <w:lang w:eastAsia="pl-PL"/>
        </w:rPr>
        <w:tab/>
        <w:t xml:space="preserve">wsparcie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obsłudze incydentów;</w:t>
      </w:r>
    </w:p>
    <w:p w14:paraId="4407A14F" w14:textId="64312176"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9)</w:t>
      </w:r>
      <w:r w:rsidRPr="00833C88">
        <w:rPr>
          <w:rFonts w:eastAsia="Times New Roman" w:cs="Times New Roman"/>
          <w:sz w:val="24"/>
          <w:szCs w:val="24"/>
          <w:lang w:eastAsia="pl-PL"/>
        </w:rPr>
        <w:tab/>
        <w:t xml:space="preserve">identyfikacja </w:t>
      </w:r>
      <w:r w:rsidR="00601933" w:rsidRPr="00833C88">
        <w:rPr>
          <w:rFonts w:eastAsia="Times New Roman" w:cs="Times New Roman"/>
          <w:sz w:val="24"/>
          <w:szCs w:val="24"/>
          <w:lang w:eastAsia="pl-PL"/>
        </w:rPr>
        <w:t>i </w:t>
      </w:r>
      <w:proofErr w:type="spellStart"/>
      <w:r w:rsidRPr="00833C88">
        <w:rPr>
          <w:rFonts w:eastAsia="Times New Roman" w:cs="Times New Roman"/>
          <w:sz w:val="24"/>
          <w:szCs w:val="24"/>
          <w:lang w:eastAsia="pl-PL"/>
        </w:rPr>
        <w:t>mitygacja</w:t>
      </w:r>
      <w:proofErr w:type="spellEnd"/>
      <w:r w:rsidRPr="00833C88">
        <w:rPr>
          <w:rFonts w:eastAsia="Times New Roman" w:cs="Times New Roman"/>
          <w:sz w:val="24"/>
          <w:szCs w:val="24"/>
          <w:lang w:eastAsia="pl-PL"/>
        </w:rPr>
        <w:t xml:space="preserve"> podatności produktów </w:t>
      </w:r>
      <w:proofErr w:type="spellStart"/>
      <w:r w:rsidRPr="00833C88">
        <w:rPr>
          <w:rFonts w:eastAsia="Times New Roman" w:cs="Times New Roman"/>
          <w:sz w:val="24"/>
          <w:szCs w:val="24"/>
          <w:lang w:eastAsia="pl-PL"/>
        </w:rPr>
        <w:t>ICT</w:t>
      </w:r>
      <w:proofErr w:type="spellEnd"/>
      <w:r w:rsidRPr="00833C88">
        <w:rPr>
          <w:rFonts w:eastAsia="Times New Roman" w:cs="Times New Roman"/>
          <w:sz w:val="24"/>
          <w:szCs w:val="24"/>
          <w:lang w:eastAsia="pl-PL"/>
        </w:rPr>
        <w:t xml:space="preserve">, usług ICT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procesów ICT</w:t>
      </w:r>
      <w:r w:rsidR="00381E43" w:rsidRPr="00833C88">
        <w:rPr>
          <w:rFonts w:eastAsia="Times New Roman" w:cs="Times New Roman"/>
          <w:sz w:val="24"/>
          <w:szCs w:val="24"/>
          <w:lang w:eastAsia="pl-PL"/>
        </w:rPr>
        <w:t>;</w:t>
      </w:r>
    </w:p>
    <w:p w14:paraId="73C43999" w14:textId="1F55E264" w:rsidR="00CB5584"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10)</w:t>
      </w:r>
      <w:r w:rsidRPr="00833C88">
        <w:rPr>
          <w:rFonts w:eastAsia="Times New Roman" w:cs="Times New Roman"/>
          <w:sz w:val="24"/>
          <w:szCs w:val="24"/>
          <w:lang w:eastAsia="pl-PL"/>
        </w:rPr>
        <w:tab/>
        <w:t xml:space="preserve">zwiększenie rozpoznawalności produktów lub usług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cyberbezpieczeństwa;</w:t>
      </w:r>
    </w:p>
    <w:p w14:paraId="7C155DEF" w14:textId="47384927" w:rsidR="00EB413B" w:rsidRPr="00833C88" w:rsidRDefault="00CB5584" w:rsidP="00EE5628">
      <w:pPr>
        <w:spacing w:after="0" w:line="360" w:lineRule="auto"/>
        <w:ind w:left="993" w:hanging="567"/>
        <w:jc w:val="both"/>
        <w:rPr>
          <w:rFonts w:eastAsia="Times New Roman" w:cs="Times New Roman"/>
          <w:sz w:val="24"/>
          <w:szCs w:val="24"/>
          <w:lang w:eastAsia="pl-PL"/>
        </w:rPr>
      </w:pPr>
      <w:r w:rsidRPr="00833C88">
        <w:rPr>
          <w:rFonts w:eastAsia="Times New Roman" w:cs="Times New Roman"/>
          <w:sz w:val="24"/>
          <w:szCs w:val="24"/>
          <w:lang w:eastAsia="pl-PL"/>
        </w:rPr>
        <w:t>11)</w:t>
      </w:r>
      <w:r w:rsidRPr="00833C88">
        <w:rPr>
          <w:rFonts w:eastAsia="Times New Roman" w:cs="Times New Roman"/>
          <w:sz w:val="24"/>
          <w:szCs w:val="24"/>
          <w:lang w:eastAsia="pl-PL"/>
        </w:rPr>
        <w:tab/>
        <w:t>inne działania służące rozwojowi cyberbezpieczeństwa.</w:t>
      </w:r>
    </w:p>
    <w:p w14:paraId="0B2427A4" w14:textId="7C129B37" w:rsidR="00DE0C7D" w:rsidRPr="00833C88" w:rsidRDefault="00DE0C7D" w:rsidP="00CB5584">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 xml:space="preserve">Cele opisano szeroko, aby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jak największy sposób umożliwić udzielanie </w:t>
      </w:r>
      <w:r w:rsidR="002417F7" w:rsidRPr="00833C88">
        <w:rPr>
          <w:rFonts w:eastAsia="Times New Roman" w:cs="Times New Roman"/>
          <w:sz w:val="24"/>
          <w:szCs w:val="24"/>
          <w:lang w:eastAsia="pl-PL"/>
        </w:rPr>
        <w:t>wsparcia.</w:t>
      </w:r>
    </w:p>
    <w:p w14:paraId="69A483DC" w14:textId="4C2AA0E8" w:rsidR="00590593" w:rsidRPr="00833C88" w:rsidRDefault="00590593" w:rsidP="00CB5584">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 xml:space="preserve">Wsparcie finansowe może być udzielone tylko podmiotom, które mają zdolności </w:t>
      </w:r>
      <w:r w:rsidR="00115580" w:rsidRPr="00833C88">
        <w:rPr>
          <w:rFonts w:eastAsia="Times New Roman" w:cs="Times New Roman"/>
          <w:sz w:val="24"/>
          <w:szCs w:val="24"/>
          <w:lang w:eastAsia="pl-PL"/>
        </w:rPr>
        <w:t xml:space="preserve">do realizacji wyżej wskazanych projektów. Takie rozwiązanie uniemożliwia wydawanie pieniędzy unijnych </w:t>
      </w:r>
      <w:r w:rsidR="0047309B" w:rsidRPr="00833C88">
        <w:rPr>
          <w:rFonts w:eastAsia="Times New Roman" w:cs="Times New Roman"/>
          <w:sz w:val="24"/>
          <w:szCs w:val="24"/>
          <w:lang w:eastAsia="pl-PL"/>
        </w:rPr>
        <w:t>dla podmiotów, które nie są w stanie zrealizować projektów, na które otrzymają wsparcie.</w:t>
      </w:r>
    </w:p>
    <w:p w14:paraId="72B62AE0" w14:textId="276CE1C8" w:rsidR="00391970" w:rsidRPr="00833C88" w:rsidRDefault="00391970" w:rsidP="00CB5584">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Wsparcie finansowe może mieć charakter pomocy publicznej dla podmiotów prywatnych</w:t>
      </w:r>
      <w:r w:rsidR="00041005" w:rsidRPr="00833C88">
        <w:rPr>
          <w:rFonts w:eastAsia="Times New Roman" w:cs="Times New Roman"/>
          <w:sz w:val="24"/>
          <w:szCs w:val="24"/>
          <w:lang w:eastAsia="pl-PL"/>
        </w:rPr>
        <w:t xml:space="preserve"> czy pomocy de </w:t>
      </w:r>
      <w:proofErr w:type="spellStart"/>
      <w:r w:rsidR="00041005" w:rsidRPr="00833C88">
        <w:rPr>
          <w:rFonts w:eastAsia="Times New Roman" w:cs="Times New Roman"/>
          <w:sz w:val="24"/>
          <w:szCs w:val="24"/>
          <w:lang w:eastAsia="pl-PL"/>
        </w:rPr>
        <w:t>minimis</w:t>
      </w:r>
      <w:proofErr w:type="spellEnd"/>
      <w:r w:rsidR="00041005" w:rsidRPr="00833C88">
        <w:rPr>
          <w:rFonts w:eastAsia="Times New Roman" w:cs="Times New Roman"/>
          <w:sz w:val="24"/>
          <w:szCs w:val="24"/>
          <w:lang w:eastAsia="pl-PL"/>
        </w:rPr>
        <w:t xml:space="preserve"> oraz dofinansowania dla podmiotów publicznych.</w:t>
      </w:r>
    </w:p>
    <w:p w14:paraId="5432C223" w14:textId="62F3C9CB" w:rsidR="002D12C3" w:rsidRPr="00833C88" w:rsidRDefault="002D12C3" w:rsidP="00CB5584">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 xml:space="preserve">Projekty będą wybierane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trybie konkursowym albo pozakonkursowym</w:t>
      </w:r>
      <w:r w:rsidR="000C3ED1" w:rsidRPr="00833C88">
        <w:rPr>
          <w:rFonts w:eastAsia="Times New Roman" w:cs="Times New Roman"/>
          <w:sz w:val="24"/>
          <w:szCs w:val="24"/>
          <w:lang w:eastAsia="pl-PL"/>
        </w:rPr>
        <w:t>. Ten drugi typ może być przydatny przy udzielaniu wsparcia dla konkretnego rodzaju podmiotów jak np. CSIRT sektorowe czy organy właściwe do spraw cyberbezpieczeństwa</w:t>
      </w:r>
      <w:r w:rsidR="005A35B0" w:rsidRPr="00833C88">
        <w:rPr>
          <w:rFonts w:eastAsia="Times New Roman" w:cs="Times New Roman"/>
          <w:sz w:val="24"/>
          <w:szCs w:val="24"/>
          <w:lang w:eastAsia="pl-PL"/>
        </w:rPr>
        <w:t xml:space="preserve"> </w:t>
      </w:r>
      <w:r w:rsidR="000C3ED1" w:rsidRPr="00833C88">
        <w:rPr>
          <w:rFonts w:eastAsia="Times New Roman" w:cs="Times New Roman"/>
          <w:sz w:val="24"/>
          <w:szCs w:val="24"/>
          <w:lang w:eastAsia="pl-PL"/>
        </w:rPr>
        <w:t xml:space="preserve">albo wąska grupa podmiotów kluczowych lub podmiotów ważnych </w:t>
      </w:r>
      <w:r w:rsidR="00601933" w:rsidRPr="00833C88">
        <w:rPr>
          <w:rFonts w:eastAsia="Times New Roman" w:cs="Times New Roman"/>
          <w:sz w:val="24"/>
          <w:szCs w:val="24"/>
          <w:lang w:eastAsia="pl-PL"/>
        </w:rPr>
        <w:t>w </w:t>
      </w:r>
      <w:r w:rsidR="000C3ED1" w:rsidRPr="00833C88">
        <w:rPr>
          <w:rFonts w:eastAsia="Times New Roman" w:cs="Times New Roman"/>
          <w:sz w:val="24"/>
          <w:szCs w:val="24"/>
          <w:lang w:eastAsia="pl-PL"/>
        </w:rPr>
        <w:t>ramach konkretnego sektora.</w:t>
      </w:r>
    </w:p>
    <w:p w14:paraId="318E2865" w14:textId="61D3A069" w:rsidR="000E4581" w:rsidRPr="00833C88" w:rsidRDefault="00115580" w:rsidP="00CB5584">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 xml:space="preserve">Wsparcie finansowe będzie udzielane na podstawie rozporządzenia ministra właściwego do spraw informatyzacji. </w:t>
      </w:r>
      <w:r w:rsidR="009722E1" w:rsidRPr="00833C88">
        <w:rPr>
          <w:rFonts w:eastAsia="Times New Roman" w:cs="Times New Roman"/>
          <w:sz w:val="24"/>
          <w:szCs w:val="24"/>
          <w:lang w:eastAsia="pl-PL"/>
        </w:rPr>
        <w:t>Dotychczasowe u</w:t>
      </w:r>
      <w:r w:rsidR="00C51553" w:rsidRPr="00833C88">
        <w:rPr>
          <w:rFonts w:eastAsia="Times New Roman" w:cs="Times New Roman"/>
          <w:sz w:val="24"/>
          <w:szCs w:val="24"/>
          <w:lang w:eastAsia="pl-PL"/>
        </w:rPr>
        <w:t xml:space="preserve">poważnienie ustawowe do wydania rozporządzenia </w:t>
      </w:r>
      <w:r w:rsidR="009722E1" w:rsidRPr="00833C88">
        <w:rPr>
          <w:rFonts w:eastAsia="Times New Roman" w:cs="Times New Roman"/>
          <w:sz w:val="24"/>
          <w:szCs w:val="24"/>
          <w:lang w:eastAsia="pl-PL"/>
        </w:rPr>
        <w:t>zostało dosto</w:t>
      </w:r>
      <w:r w:rsidR="00ED2326" w:rsidRPr="00833C88">
        <w:rPr>
          <w:rFonts w:eastAsia="Times New Roman" w:cs="Times New Roman"/>
          <w:sz w:val="24"/>
          <w:szCs w:val="24"/>
          <w:lang w:eastAsia="pl-PL"/>
        </w:rPr>
        <w:t>so</w:t>
      </w:r>
      <w:r w:rsidR="009722E1" w:rsidRPr="00833C88">
        <w:rPr>
          <w:rFonts w:eastAsia="Times New Roman" w:cs="Times New Roman"/>
          <w:sz w:val="24"/>
          <w:szCs w:val="24"/>
          <w:lang w:eastAsia="pl-PL"/>
        </w:rPr>
        <w:t xml:space="preserve">wane do nowej treści przepisów. </w:t>
      </w:r>
      <w:r w:rsidR="00867481" w:rsidRPr="00833C88">
        <w:rPr>
          <w:rFonts w:eastAsia="Times New Roman" w:cs="Times New Roman"/>
          <w:sz w:val="24"/>
          <w:szCs w:val="24"/>
          <w:lang w:eastAsia="pl-PL"/>
        </w:rPr>
        <w:t xml:space="preserve">Określi ono szczegółowe warunki </w:t>
      </w:r>
      <w:r w:rsidR="00B70FDF" w:rsidRPr="00833C88">
        <w:rPr>
          <w:rFonts w:eastAsia="Times New Roman" w:cs="Times New Roman"/>
          <w:sz w:val="24"/>
          <w:szCs w:val="24"/>
          <w:lang w:eastAsia="pl-PL"/>
        </w:rPr>
        <w:t>udzielania te</w:t>
      </w:r>
      <w:r w:rsidR="00242BED" w:rsidRPr="00833C88">
        <w:rPr>
          <w:rFonts w:eastAsia="Times New Roman" w:cs="Times New Roman"/>
          <w:sz w:val="24"/>
          <w:szCs w:val="24"/>
          <w:lang w:eastAsia="pl-PL"/>
        </w:rPr>
        <w:t>go</w:t>
      </w:r>
      <w:r w:rsidR="00B70FDF" w:rsidRPr="00833C88">
        <w:rPr>
          <w:rFonts w:eastAsia="Times New Roman" w:cs="Times New Roman"/>
          <w:sz w:val="24"/>
          <w:szCs w:val="24"/>
          <w:lang w:eastAsia="pl-PL"/>
        </w:rPr>
        <w:t xml:space="preserve"> </w:t>
      </w:r>
      <w:r w:rsidR="00D31A76" w:rsidRPr="00833C88">
        <w:rPr>
          <w:rFonts w:eastAsia="Times New Roman" w:cs="Times New Roman"/>
          <w:sz w:val="24"/>
          <w:szCs w:val="24"/>
          <w:lang w:eastAsia="pl-PL"/>
        </w:rPr>
        <w:t>wsparcia finansowego</w:t>
      </w:r>
      <w:r w:rsidR="00B70FDF" w:rsidRPr="00833C88">
        <w:rPr>
          <w:rFonts w:eastAsia="Times New Roman" w:cs="Times New Roman"/>
          <w:sz w:val="24"/>
          <w:szCs w:val="24"/>
          <w:lang w:eastAsia="pl-PL"/>
        </w:rPr>
        <w:t xml:space="preserve"> – czyli jakie przesłanki musi spełnić dany </w:t>
      </w:r>
      <w:proofErr w:type="gramStart"/>
      <w:r w:rsidR="00B70FDF" w:rsidRPr="00833C88">
        <w:rPr>
          <w:rFonts w:eastAsia="Times New Roman" w:cs="Times New Roman"/>
          <w:sz w:val="24"/>
          <w:szCs w:val="24"/>
          <w:lang w:eastAsia="pl-PL"/>
        </w:rPr>
        <w:t>podmiot</w:t>
      </w:r>
      <w:proofErr w:type="gramEnd"/>
      <w:r w:rsidR="00B70FDF" w:rsidRPr="00833C88">
        <w:rPr>
          <w:rFonts w:eastAsia="Times New Roman" w:cs="Times New Roman"/>
          <w:sz w:val="24"/>
          <w:szCs w:val="24"/>
          <w:lang w:eastAsia="pl-PL"/>
        </w:rPr>
        <w:t xml:space="preserve"> aby otrzymać pomoc</w:t>
      </w:r>
      <w:r w:rsidR="00FB1BB4" w:rsidRPr="00833C88">
        <w:rPr>
          <w:rFonts w:eastAsia="Times New Roman" w:cs="Times New Roman"/>
          <w:sz w:val="24"/>
          <w:szCs w:val="24"/>
          <w:lang w:eastAsia="pl-PL"/>
        </w:rPr>
        <w:t xml:space="preserve"> – </w:t>
      </w:r>
      <w:r w:rsidR="00601933" w:rsidRPr="00833C88">
        <w:rPr>
          <w:rFonts w:eastAsia="Times New Roman" w:cs="Times New Roman"/>
          <w:sz w:val="24"/>
          <w:szCs w:val="24"/>
          <w:lang w:eastAsia="pl-PL"/>
        </w:rPr>
        <w:t>w </w:t>
      </w:r>
      <w:r w:rsidR="00FB1BB4" w:rsidRPr="00833C88">
        <w:rPr>
          <w:rFonts w:eastAsia="Times New Roman" w:cs="Times New Roman"/>
          <w:sz w:val="24"/>
          <w:szCs w:val="24"/>
          <w:lang w:eastAsia="pl-PL"/>
        </w:rPr>
        <w:t>tym także kryteria oceny projektu</w:t>
      </w:r>
      <w:r w:rsidR="00B70FDF" w:rsidRPr="00833C88">
        <w:rPr>
          <w:rFonts w:eastAsia="Times New Roman" w:cs="Times New Roman"/>
          <w:sz w:val="24"/>
          <w:szCs w:val="24"/>
          <w:lang w:eastAsia="pl-PL"/>
        </w:rPr>
        <w:t xml:space="preserve">, formę udzielania </w:t>
      </w:r>
      <w:r w:rsidR="00D31A76" w:rsidRPr="00833C88">
        <w:rPr>
          <w:rFonts w:eastAsia="Times New Roman" w:cs="Times New Roman"/>
          <w:sz w:val="24"/>
          <w:szCs w:val="24"/>
          <w:lang w:eastAsia="pl-PL"/>
        </w:rPr>
        <w:t xml:space="preserve">wsparcia finansowego – czy jest to pomoc publiczna, pomoc de </w:t>
      </w:r>
      <w:proofErr w:type="spellStart"/>
      <w:r w:rsidR="00D31A76" w:rsidRPr="00833C88">
        <w:rPr>
          <w:rFonts w:eastAsia="Times New Roman" w:cs="Times New Roman"/>
          <w:sz w:val="24"/>
          <w:szCs w:val="24"/>
          <w:lang w:eastAsia="pl-PL"/>
        </w:rPr>
        <w:t>minimis</w:t>
      </w:r>
      <w:proofErr w:type="spellEnd"/>
      <w:r w:rsidR="00D31A76" w:rsidRPr="00833C88">
        <w:rPr>
          <w:rFonts w:eastAsia="Times New Roman" w:cs="Times New Roman"/>
          <w:sz w:val="24"/>
          <w:szCs w:val="24"/>
          <w:lang w:eastAsia="pl-PL"/>
        </w:rPr>
        <w:t xml:space="preserve"> albo dofinansowanie dla podmiotów publicznych</w:t>
      </w:r>
      <w:r w:rsidR="00DE4911"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00DE4911" w:rsidRPr="00833C88">
        <w:rPr>
          <w:rFonts w:eastAsia="Times New Roman" w:cs="Times New Roman"/>
          <w:sz w:val="24"/>
          <w:szCs w:val="24"/>
          <w:lang w:eastAsia="pl-PL"/>
        </w:rPr>
        <w:t xml:space="preserve">także tryb </w:t>
      </w:r>
      <w:r w:rsidR="00AF4DB7" w:rsidRPr="00833C88">
        <w:rPr>
          <w:rFonts w:eastAsia="Times New Roman" w:cs="Times New Roman"/>
          <w:sz w:val="24"/>
          <w:szCs w:val="24"/>
          <w:lang w:eastAsia="pl-PL"/>
        </w:rPr>
        <w:t>udzielania</w:t>
      </w:r>
      <w:r w:rsidR="00DE4911" w:rsidRPr="00833C88">
        <w:rPr>
          <w:rFonts w:eastAsia="Times New Roman" w:cs="Times New Roman"/>
          <w:sz w:val="24"/>
          <w:szCs w:val="24"/>
          <w:lang w:eastAsia="pl-PL"/>
        </w:rPr>
        <w:t xml:space="preserve"> wsparcia – konkursowy albo pozakonkursowy. Przewiduje się, że na podstawie tego upoważnienia ustawowego </w:t>
      </w:r>
      <w:r w:rsidR="00446C2E" w:rsidRPr="00833C88">
        <w:rPr>
          <w:rFonts w:eastAsia="Times New Roman" w:cs="Times New Roman"/>
          <w:sz w:val="24"/>
          <w:szCs w:val="24"/>
          <w:lang w:eastAsia="pl-PL"/>
        </w:rPr>
        <w:t xml:space="preserve">będzie wydawanych wiele rozporządzeń, które będą musiały być spójne </w:t>
      </w:r>
      <w:r w:rsidR="00601933" w:rsidRPr="00833C88">
        <w:rPr>
          <w:rFonts w:eastAsia="Times New Roman" w:cs="Times New Roman"/>
          <w:sz w:val="24"/>
          <w:szCs w:val="24"/>
          <w:lang w:eastAsia="pl-PL"/>
        </w:rPr>
        <w:t>z </w:t>
      </w:r>
      <w:r w:rsidR="00446C2E" w:rsidRPr="00833C88">
        <w:rPr>
          <w:rFonts w:eastAsia="Times New Roman" w:cs="Times New Roman"/>
          <w:sz w:val="24"/>
          <w:szCs w:val="24"/>
          <w:lang w:eastAsia="pl-PL"/>
        </w:rPr>
        <w:t xml:space="preserve">programami finansowymi oraz </w:t>
      </w:r>
      <w:r w:rsidR="00601933" w:rsidRPr="00833C88">
        <w:rPr>
          <w:rFonts w:eastAsia="Times New Roman" w:cs="Times New Roman"/>
          <w:sz w:val="24"/>
          <w:szCs w:val="24"/>
          <w:lang w:eastAsia="pl-PL"/>
        </w:rPr>
        <w:t>z </w:t>
      </w:r>
      <w:r w:rsidR="00446C2E" w:rsidRPr="00833C88">
        <w:rPr>
          <w:rFonts w:eastAsia="Times New Roman" w:cs="Times New Roman"/>
          <w:sz w:val="24"/>
          <w:szCs w:val="24"/>
          <w:lang w:eastAsia="pl-PL"/>
        </w:rPr>
        <w:t xml:space="preserve">przepisami krajowymi jak </w:t>
      </w:r>
      <w:r w:rsidR="00601933" w:rsidRPr="00833C88">
        <w:rPr>
          <w:rFonts w:eastAsia="Times New Roman" w:cs="Times New Roman"/>
          <w:sz w:val="24"/>
          <w:szCs w:val="24"/>
          <w:lang w:eastAsia="pl-PL"/>
        </w:rPr>
        <w:t>i </w:t>
      </w:r>
      <w:r w:rsidR="00446C2E" w:rsidRPr="00833C88">
        <w:rPr>
          <w:rFonts w:eastAsia="Times New Roman" w:cs="Times New Roman"/>
          <w:sz w:val="24"/>
          <w:szCs w:val="24"/>
          <w:lang w:eastAsia="pl-PL"/>
        </w:rPr>
        <w:t>unijnymi regulującymi dany rodzaj udzielania pomocy.</w:t>
      </w:r>
    </w:p>
    <w:p w14:paraId="6D8A241D" w14:textId="7A010BC8" w:rsidR="009937FE" w:rsidRPr="00833C88" w:rsidRDefault="009937FE" w:rsidP="00CB5584">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 xml:space="preserve">Obecnie istnieje wyspecjalizowana jednostka budżetowa, podległa ministrowi właściwemu do spraw informatyzacji, która </w:t>
      </w:r>
      <w:r w:rsidR="005A213C" w:rsidRPr="00833C88">
        <w:rPr>
          <w:rFonts w:eastAsia="Times New Roman" w:cs="Times New Roman"/>
          <w:sz w:val="24"/>
          <w:szCs w:val="24"/>
          <w:lang w:eastAsia="pl-PL"/>
        </w:rPr>
        <w:t xml:space="preserve">posiada wieloletnie doświadczenie, wiedzę </w:t>
      </w:r>
      <w:r w:rsidR="00601933" w:rsidRPr="00833C88">
        <w:rPr>
          <w:rFonts w:eastAsia="Times New Roman" w:cs="Times New Roman"/>
          <w:sz w:val="24"/>
          <w:szCs w:val="24"/>
          <w:lang w:eastAsia="pl-PL"/>
        </w:rPr>
        <w:t>i </w:t>
      </w:r>
      <w:r w:rsidR="005A213C" w:rsidRPr="00833C88">
        <w:rPr>
          <w:rFonts w:eastAsia="Times New Roman" w:cs="Times New Roman"/>
          <w:sz w:val="24"/>
          <w:szCs w:val="24"/>
          <w:lang w:eastAsia="pl-PL"/>
        </w:rPr>
        <w:t xml:space="preserve">kompetencje </w:t>
      </w:r>
      <w:r w:rsidR="00601933" w:rsidRPr="00833C88">
        <w:rPr>
          <w:rFonts w:eastAsia="Times New Roman" w:cs="Times New Roman"/>
          <w:sz w:val="24"/>
          <w:szCs w:val="24"/>
          <w:lang w:eastAsia="pl-PL"/>
        </w:rPr>
        <w:t>w </w:t>
      </w:r>
      <w:r w:rsidR="005A213C" w:rsidRPr="00833C88">
        <w:rPr>
          <w:rFonts w:eastAsia="Times New Roman" w:cs="Times New Roman"/>
          <w:sz w:val="24"/>
          <w:szCs w:val="24"/>
          <w:lang w:eastAsia="pl-PL"/>
        </w:rPr>
        <w:t xml:space="preserve">zakresie udzielania różnego rodzaju wsparcia finansowego. Jest to Centrum </w:t>
      </w:r>
      <w:r w:rsidR="005A213C" w:rsidRPr="00833C88">
        <w:rPr>
          <w:rFonts w:eastAsia="Times New Roman" w:cs="Times New Roman"/>
          <w:sz w:val="24"/>
          <w:szCs w:val="24"/>
          <w:lang w:eastAsia="pl-PL"/>
        </w:rPr>
        <w:lastRenderedPageBreak/>
        <w:t xml:space="preserve">Projektów Polska Cyfrowa. </w:t>
      </w:r>
      <w:r w:rsidR="005904A9" w:rsidRPr="00833C88">
        <w:rPr>
          <w:rFonts w:eastAsia="Times New Roman" w:cs="Times New Roman"/>
          <w:sz w:val="24"/>
          <w:szCs w:val="24"/>
          <w:lang w:eastAsia="pl-PL"/>
        </w:rPr>
        <w:t xml:space="preserve">Aby wykorzystać efektywnie ten zasób </w:t>
      </w:r>
      <w:r w:rsidR="00E018EE" w:rsidRPr="00833C88">
        <w:rPr>
          <w:rFonts w:eastAsia="Times New Roman" w:cs="Times New Roman"/>
          <w:sz w:val="24"/>
          <w:szCs w:val="24"/>
          <w:lang w:eastAsia="pl-PL"/>
        </w:rPr>
        <w:t>wprowadza się możliwość udzielenia wsparcia finansowego przez podmiot podległy ministrowi właściwemu do spraw informatyzacji lub przez niego nadzorowany.</w:t>
      </w:r>
    </w:p>
    <w:p w14:paraId="141128A3" w14:textId="70D4FB67" w:rsidR="00E018EE" w:rsidRPr="00833C88" w:rsidRDefault="00E1043C" w:rsidP="00653C0C">
      <w:pPr>
        <w:spacing w:line="360" w:lineRule="auto"/>
        <w:ind w:firstLine="708"/>
        <w:jc w:val="both"/>
        <w:rPr>
          <w:rFonts w:eastAsia="Times New Roman" w:cs="Times New Roman"/>
          <w:sz w:val="24"/>
          <w:szCs w:val="24"/>
          <w:lang w:eastAsia="pl-PL"/>
        </w:rPr>
      </w:pPr>
      <w:r w:rsidRPr="00833C88">
        <w:rPr>
          <w:rFonts w:eastAsia="Times New Roman" w:cs="Times New Roman"/>
          <w:sz w:val="24"/>
          <w:szCs w:val="24"/>
          <w:lang w:eastAsia="pl-PL"/>
        </w:rPr>
        <w:t xml:space="preserve">Dodano także zasady wyboru projektów do wsparcia finansowego – wybór ma być dokonany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sposób </w:t>
      </w:r>
      <w:r w:rsidR="00AC30C2" w:rsidRPr="00833C88">
        <w:rPr>
          <w:rFonts w:eastAsia="Times New Roman" w:cs="Times New Roman"/>
          <w:sz w:val="24"/>
          <w:szCs w:val="24"/>
          <w:lang w:eastAsia="pl-PL"/>
        </w:rPr>
        <w:t xml:space="preserve">przejrzysty, rzetelny </w:t>
      </w:r>
      <w:r w:rsidR="00601933" w:rsidRPr="00833C88">
        <w:rPr>
          <w:rFonts w:eastAsia="Times New Roman" w:cs="Times New Roman"/>
          <w:sz w:val="24"/>
          <w:szCs w:val="24"/>
          <w:lang w:eastAsia="pl-PL"/>
        </w:rPr>
        <w:t>i </w:t>
      </w:r>
      <w:r w:rsidR="00AC30C2" w:rsidRPr="00833C88">
        <w:rPr>
          <w:rFonts w:eastAsia="Times New Roman" w:cs="Times New Roman"/>
          <w:sz w:val="24"/>
          <w:szCs w:val="24"/>
          <w:lang w:eastAsia="pl-PL"/>
        </w:rPr>
        <w:t>bezstronny na podstawie obiektywnych kryteriów oceny. Pozwoli to na sprawiedliw</w:t>
      </w:r>
      <w:r w:rsidR="005301C0" w:rsidRPr="00833C88">
        <w:rPr>
          <w:rFonts w:eastAsia="Times New Roman" w:cs="Times New Roman"/>
          <w:sz w:val="24"/>
          <w:szCs w:val="24"/>
          <w:lang w:eastAsia="pl-PL"/>
        </w:rPr>
        <w:t xml:space="preserve">e udzielenie wsparcia finansowego podmiotom, które rzeczywiście go potrzebują </w:t>
      </w:r>
      <w:r w:rsidR="00601933" w:rsidRPr="00833C88">
        <w:rPr>
          <w:rFonts w:eastAsia="Times New Roman" w:cs="Times New Roman"/>
          <w:sz w:val="24"/>
          <w:szCs w:val="24"/>
          <w:lang w:eastAsia="pl-PL"/>
        </w:rPr>
        <w:t>i </w:t>
      </w:r>
      <w:r w:rsidR="005301C0" w:rsidRPr="00833C88">
        <w:rPr>
          <w:rFonts w:eastAsia="Times New Roman" w:cs="Times New Roman"/>
          <w:sz w:val="24"/>
          <w:szCs w:val="24"/>
          <w:lang w:eastAsia="pl-PL"/>
        </w:rPr>
        <w:t>przy zachowaniu neutralności.</w:t>
      </w:r>
      <w:r w:rsidR="002907BA" w:rsidRPr="00833C88">
        <w:rPr>
          <w:rFonts w:eastAsia="Times New Roman" w:cs="Times New Roman"/>
          <w:sz w:val="24"/>
          <w:szCs w:val="24"/>
          <w:lang w:eastAsia="pl-PL"/>
        </w:rPr>
        <w:t xml:space="preserve"> </w:t>
      </w:r>
      <w:r w:rsidR="00427F97" w:rsidRPr="00833C88">
        <w:rPr>
          <w:rFonts w:eastAsia="Times New Roman" w:cs="Times New Roman"/>
          <w:sz w:val="24"/>
          <w:szCs w:val="24"/>
          <w:lang w:eastAsia="pl-PL"/>
        </w:rPr>
        <w:t>Podstawą dofinansowania projekt</w:t>
      </w:r>
      <w:r w:rsidR="00965D30" w:rsidRPr="00833C88">
        <w:rPr>
          <w:rFonts w:eastAsia="Times New Roman" w:cs="Times New Roman"/>
          <w:sz w:val="24"/>
          <w:szCs w:val="24"/>
          <w:lang w:eastAsia="pl-PL"/>
        </w:rPr>
        <w:t>u</w:t>
      </w:r>
      <w:r w:rsidR="00427F97" w:rsidRPr="00833C88">
        <w:rPr>
          <w:rFonts w:eastAsia="Times New Roman" w:cs="Times New Roman"/>
          <w:sz w:val="24"/>
          <w:szCs w:val="24"/>
          <w:lang w:eastAsia="pl-PL"/>
        </w:rPr>
        <w:t xml:space="preserve"> będzie umowa o dofinansowanie zawarta </w:t>
      </w:r>
      <w:r w:rsidR="00CA7E63" w:rsidRPr="00833C88">
        <w:rPr>
          <w:rFonts w:eastAsia="Times New Roman" w:cs="Times New Roman"/>
          <w:sz w:val="24"/>
          <w:szCs w:val="24"/>
          <w:lang w:eastAsia="pl-PL"/>
        </w:rPr>
        <w:t xml:space="preserve">między beneficjentem a podmiotem, który udziela dofinansowania – z reguły będzie to Centrum Projektów Polska Cyfrowa. </w:t>
      </w:r>
      <w:r w:rsidR="008E6FA6" w:rsidRPr="00833C88">
        <w:rPr>
          <w:rFonts w:eastAsia="Times New Roman" w:cs="Times New Roman"/>
          <w:sz w:val="24"/>
          <w:szCs w:val="24"/>
          <w:lang w:eastAsia="pl-PL"/>
        </w:rPr>
        <w:t xml:space="preserve">Beneficjent może wykorzystywać wsparcie </w:t>
      </w:r>
      <w:r w:rsidR="008B3F90" w:rsidRPr="00833C88">
        <w:rPr>
          <w:rFonts w:eastAsia="Times New Roman" w:cs="Times New Roman"/>
          <w:sz w:val="24"/>
          <w:szCs w:val="24"/>
          <w:lang w:eastAsia="pl-PL"/>
        </w:rPr>
        <w:t xml:space="preserve">tylko na wydatki służące realizacji wcześniej wymienionych celów związanych z </w:t>
      </w:r>
      <w:proofErr w:type="spellStart"/>
      <w:r w:rsidR="008B3F90" w:rsidRPr="00833C88">
        <w:rPr>
          <w:rFonts w:eastAsia="Times New Roman" w:cs="Times New Roman"/>
          <w:sz w:val="24"/>
          <w:szCs w:val="24"/>
          <w:lang w:eastAsia="pl-PL"/>
        </w:rPr>
        <w:t>cyberbezpeiczeństwem</w:t>
      </w:r>
      <w:proofErr w:type="spellEnd"/>
      <w:r w:rsidR="008B3F90" w:rsidRPr="00833C88">
        <w:rPr>
          <w:rFonts w:eastAsia="Times New Roman" w:cs="Times New Roman"/>
          <w:sz w:val="24"/>
          <w:szCs w:val="24"/>
          <w:lang w:eastAsia="pl-PL"/>
        </w:rPr>
        <w:t xml:space="preserve">. Jeżeli wyda na inne wydatki, </w:t>
      </w:r>
      <w:r w:rsidR="00955F55" w:rsidRPr="00833C88">
        <w:rPr>
          <w:rFonts w:eastAsia="Times New Roman" w:cs="Times New Roman"/>
          <w:sz w:val="24"/>
          <w:szCs w:val="24"/>
          <w:lang w:eastAsia="pl-PL"/>
        </w:rPr>
        <w:t xml:space="preserve">to środki te musi zwrócić w terminie nie </w:t>
      </w:r>
      <w:r w:rsidR="008138C1" w:rsidRPr="00833C88">
        <w:rPr>
          <w:rFonts w:eastAsia="Times New Roman" w:cs="Times New Roman"/>
          <w:sz w:val="24"/>
          <w:szCs w:val="24"/>
          <w:lang w:eastAsia="pl-PL"/>
        </w:rPr>
        <w:t xml:space="preserve">dłuższym niż 15 dni od określonego w umowie dnia wykonania zadania. Beneficjent musi </w:t>
      </w:r>
      <w:r w:rsidR="00623EB1" w:rsidRPr="00833C88">
        <w:rPr>
          <w:rFonts w:eastAsia="Times New Roman" w:cs="Times New Roman"/>
          <w:sz w:val="24"/>
          <w:szCs w:val="24"/>
          <w:lang w:eastAsia="pl-PL"/>
        </w:rPr>
        <w:t>informować podmiot udzielający wsparcie o postępach w realizacji projektu w terminach wskazanych w umowie.</w:t>
      </w:r>
      <w:r w:rsidR="00A44116" w:rsidRPr="00833C88">
        <w:rPr>
          <w:rFonts w:eastAsia="Times New Roman" w:cs="Times New Roman"/>
          <w:sz w:val="24"/>
          <w:szCs w:val="24"/>
          <w:lang w:eastAsia="pl-PL"/>
        </w:rPr>
        <w:t xml:space="preserve"> </w:t>
      </w:r>
    </w:p>
    <w:p w14:paraId="3B5CE54A" w14:textId="631CE098" w:rsidR="006D01F0" w:rsidRPr="00833C88" w:rsidRDefault="006D01F0" w:rsidP="00EE5628">
      <w:pPr>
        <w:spacing w:after="0" w:line="360" w:lineRule="auto"/>
        <w:jc w:val="both"/>
        <w:rPr>
          <w:rFonts w:cs="Times New Roman"/>
          <w:sz w:val="24"/>
          <w:szCs w:val="24"/>
        </w:rPr>
      </w:pPr>
      <w:r w:rsidRPr="00833C88">
        <w:rPr>
          <w:rFonts w:eastAsia="Times New Roman" w:cs="Times New Roman"/>
          <w:sz w:val="24"/>
          <w:szCs w:val="24"/>
          <w:lang w:eastAsia="pl-PL"/>
        </w:rPr>
        <w:t xml:space="preserve">Do umowy o dofinansowanie stosować się będzie odpowiednio art. 150 </w:t>
      </w:r>
      <w:r w:rsidR="00EB02C0" w:rsidRPr="00833C88">
        <w:rPr>
          <w:rFonts w:cs="Times New Roman"/>
          <w:sz w:val="24"/>
          <w:szCs w:val="24"/>
        </w:rPr>
        <w:t>u</w:t>
      </w:r>
      <w:r w:rsidRPr="00833C88">
        <w:rPr>
          <w:rFonts w:cs="Times New Roman"/>
          <w:sz w:val="24"/>
          <w:szCs w:val="24"/>
        </w:rPr>
        <w:t>staw</w:t>
      </w:r>
      <w:r w:rsidR="00EB02C0" w:rsidRPr="00833C88">
        <w:rPr>
          <w:rFonts w:cs="Times New Roman"/>
          <w:sz w:val="24"/>
          <w:szCs w:val="24"/>
        </w:rPr>
        <w:t>y</w:t>
      </w:r>
      <w:r w:rsidRPr="00833C88">
        <w:rPr>
          <w:rFonts w:cs="Times New Roman"/>
          <w:sz w:val="24"/>
          <w:szCs w:val="24"/>
        </w:rPr>
        <w:t xml:space="preserve"> z dnia 27 sierpnia 2009 r. o finansach publicznych w ten sposób, że</w:t>
      </w:r>
      <w:r w:rsidR="006748FE" w:rsidRPr="00833C88">
        <w:rPr>
          <w:rFonts w:cs="Times New Roman"/>
          <w:sz w:val="24"/>
          <w:szCs w:val="24"/>
        </w:rPr>
        <w:t xml:space="preserve"> w umowie</w:t>
      </w:r>
      <w:r w:rsidR="00653C0C" w:rsidRPr="00833C88">
        <w:rPr>
          <w:rFonts w:cs="Times New Roman"/>
          <w:sz w:val="24"/>
          <w:szCs w:val="24"/>
        </w:rPr>
        <w:t xml:space="preserve"> zostanie określony:</w:t>
      </w:r>
    </w:p>
    <w:p w14:paraId="204B2E08" w14:textId="0201BDC9" w:rsidR="006D01F0" w:rsidRPr="00833C88" w:rsidRDefault="006D01F0" w:rsidP="00EE5628">
      <w:pPr>
        <w:spacing w:after="0" w:line="360" w:lineRule="auto"/>
        <w:ind w:left="426" w:hanging="426"/>
        <w:jc w:val="both"/>
        <w:rPr>
          <w:rFonts w:cs="Times New Roman"/>
          <w:sz w:val="24"/>
          <w:szCs w:val="24"/>
        </w:rPr>
      </w:pPr>
      <w:r w:rsidRPr="00833C88">
        <w:rPr>
          <w:rFonts w:cs="Times New Roman"/>
          <w:sz w:val="24"/>
          <w:szCs w:val="24"/>
        </w:rPr>
        <w:t>1)</w:t>
      </w:r>
      <w:r w:rsidR="00381E43" w:rsidRPr="00833C88">
        <w:rPr>
          <w:rFonts w:cs="Times New Roman"/>
          <w:sz w:val="24"/>
          <w:szCs w:val="24"/>
        </w:rPr>
        <w:tab/>
      </w:r>
      <w:r w:rsidRPr="00833C88">
        <w:rPr>
          <w:rFonts w:cs="Times New Roman"/>
          <w:sz w:val="24"/>
          <w:szCs w:val="24"/>
        </w:rPr>
        <w:t xml:space="preserve">szczegółowy opis </w:t>
      </w:r>
      <w:r w:rsidR="00E60A2D" w:rsidRPr="00833C88">
        <w:rPr>
          <w:rFonts w:cs="Times New Roman"/>
          <w:sz w:val="24"/>
          <w:szCs w:val="24"/>
        </w:rPr>
        <w:t>projektu</w:t>
      </w:r>
      <w:r w:rsidRPr="00833C88">
        <w:rPr>
          <w:rFonts w:cs="Times New Roman"/>
          <w:sz w:val="24"/>
          <w:szCs w:val="24"/>
        </w:rPr>
        <w:t xml:space="preserve">, w tym cel, na jaki </w:t>
      </w:r>
      <w:r w:rsidR="006748FE" w:rsidRPr="00833C88">
        <w:rPr>
          <w:rFonts w:cs="Times New Roman"/>
          <w:sz w:val="24"/>
          <w:szCs w:val="24"/>
        </w:rPr>
        <w:t>dofinansowanie</w:t>
      </w:r>
      <w:r w:rsidRPr="00833C88">
        <w:rPr>
          <w:rFonts w:cs="Times New Roman"/>
          <w:sz w:val="24"/>
          <w:szCs w:val="24"/>
        </w:rPr>
        <w:t xml:space="preserve"> został</w:t>
      </w:r>
      <w:r w:rsidR="006748FE" w:rsidRPr="00833C88">
        <w:rPr>
          <w:rFonts w:cs="Times New Roman"/>
          <w:sz w:val="24"/>
          <w:szCs w:val="24"/>
        </w:rPr>
        <w:t>o</w:t>
      </w:r>
      <w:r w:rsidRPr="00833C88">
        <w:rPr>
          <w:rFonts w:cs="Times New Roman"/>
          <w:sz w:val="24"/>
          <w:szCs w:val="24"/>
        </w:rPr>
        <w:t xml:space="preserve"> </w:t>
      </w:r>
      <w:proofErr w:type="gramStart"/>
      <w:r w:rsidRPr="00833C88">
        <w:rPr>
          <w:rFonts w:cs="Times New Roman"/>
          <w:sz w:val="24"/>
          <w:szCs w:val="24"/>
        </w:rPr>
        <w:t>przyznana,</w:t>
      </w:r>
      <w:proofErr w:type="gramEnd"/>
      <w:r w:rsidRPr="00833C88">
        <w:rPr>
          <w:rFonts w:cs="Times New Roman"/>
          <w:sz w:val="24"/>
          <w:szCs w:val="24"/>
        </w:rPr>
        <w:t xml:space="preserve"> i</w:t>
      </w:r>
      <w:r w:rsidR="005B6736" w:rsidRPr="00833C88">
        <w:rPr>
          <w:rFonts w:cs="Times New Roman"/>
          <w:sz w:val="24"/>
          <w:szCs w:val="24"/>
        </w:rPr>
        <w:t> </w:t>
      </w:r>
      <w:r w:rsidRPr="00833C88">
        <w:rPr>
          <w:rFonts w:cs="Times New Roman"/>
          <w:sz w:val="24"/>
          <w:szCs w:val="24"/>
        </w:rPr>
        <w:t>termin jego wykonania;</w:t>
      </w:r>
    </w:p>
    <w:p w14:paraId="2FEF8EC1" w14:textId="26CE44B9" w:rsidR="006D01F0" w:rsidRPr="00833C88" w:rsidRDefault="006D01F0" w:rsidP="00EE5628">
      <w:pPr>
        <w:spacing w:after="0" w:line="360" w:lineRule="auto"/>
        <w:ind w:left="426" w:hanging="426"/>
        <w:jc w:val="both"/>
        <w:rPr>
          <w:rFonts w:cs="Times New Roman"/>
          <w:sz w:val="24"/>
          <w:szCs w:val="24"/>
        </w:rPr>
      </w:pPr>
      <w:r w:rsidRPr="00833C88">
        <w:rPr>
          <w:rFonts w:cs="Times New Roman"/>
          <w:sz w:val="24"/>
          <w:szCs w:val="24"/>
        </w:rPr>
        <w:t>2)</w:t>
      </w:r>
      <w:r w:rsidR="00381E43" w:rsidRPr="00833C88">
        <w:rPr>
          <w:rFonts w:cs="Times New Roman"/>
          <w:sz w:val="24"/>
          <w:szCs w:val="24"/>
        </w:rPr>
        <w:tab/>
      </w:r>
      <w:r w:rsidRPr="00833C88">
        <w:rPr>
          <w:rFonts w:cs="Times New Roman"/>
          <w:sz w:val="24"/>
          <w:szCs w:val="24"/>
        </w:rPr>
        <w:t>wysokość udzielone</w:t>
      </w:r>
      <w:r w:rsidR="006748FE" w:rsidRPr="00833C88">
        <w:rPr>
          <w:rFonts w:cs="Times New Roman"/>
          <w:sz w:val="24"/>
          <w:szCs w:val="24"/>
        </w:rPr>
        <w:t>go dofinansowania</w:t>
      </w:r>
      <w:r w:rsidRPr="00833C88">
        <w:rPr>
          <w:rFonts w:cs="Times New Roman"/>
          <w:sz w:val="24"/>
          <w:szCs w:val="24"/>
        </w:rPr>
        <w:t>;</w:t>
      </w:r>
    </w:p>
    <w:p w14:paraId="1B77891C" w14:textId="77E86A02" w:rsidR="006D01F0" w:rsidRPr="00833C88" w:rsidRDefault="006D01F0" w:rsidP="00EE5628">
      <w:pPr>
        <w:spacing w:after="0" w:line="360" w:lineRule="auto"/>
        <w:ind w:left="426" w:hanging="426"/>
        <w:jc w:val="both"/>
        <w:rPr>
          <w:rFonts w:cs="Times New Roman"/>
          <w:sz w:val="24"/>
          <w:szCs w:val="24"/>
        </w:rPr>
      </w:pPr>
      <w:r w:rsidRPr="00833C88">
        <w:rPr>
          <w:rFonts w:cs="Times New Roman"/>
          <w:sz w:val="24"/>
          <w:szCs w:val="24"/>
        </w:rPr>
        <w:t>3)</w:t>
      </w:r>
      <w:r w:rsidR="00381E43" w:rsidRPr="00833C88">
        <w:rPr>
          <w:rFonts w:cs="Times New Roman"/>
          <w:sz w:val="24"/>
          <w:szCs w:val="24"/>
        </w:rPr>
        <w:tab/>
      </w:r>
      <w:r w:rsidRPr="00833C88">
        <w:rPr>
          <w:rFonts w:cs="Times New Roman"/>
          <w:sz w:val="24"/>
          <w:szCs w:val="24"/>
        </w:rPr>
        <w:t xml:space="preserve">termin wykorzystania </w:t>
      </w:r>
      <w:r w:rsidR="00E60A2D" w:rsidRPr="00833C88">
        <w:rPr>
          <w:rFonts w:cs="Times New Roman"/>
          <w:sz w:val="24"/>
          <w:szCs w:val="24"/>
        </w:rPr>
        <w:t>dofinansowania</w:t>
      </w:r>
      <w:r w:rsidRPr="00833C88">
        <w:rPr>
          <w:rFonts w:cs="Times New Roman"/>
          <w:sz w:val="24"/>
          <w:szCs w:val="24"/>
        </w:rPr>
        <w:t>, nie dłuższy niż do dnia 31 grudnia danego roku budżetowego;</w:t>
      </w:r>
    </w:p>
    <w:p w14:paraId="7E9C020E" w14:textId="367B1B48" w:rsidR="006D01F0" w:rsidRPr="00833C88" w:rsidRDefault="006D01F0" w:rsidP="00EE5628">
      <w:pPr>
        <w:spacing w:after="0" w:line="360" w:lineRule="auto"/>
        <w:ind w:left="426" w:hanging="426"/>
        <w:jc w:val="both"/>
        <w:rPr>
          <w:rFonts w:cs="Times New Roman"/>
          <w:sz w:val="24"/>
          <w:szCs w:val="24"/>
        </w:rPr>
      </w:pPr>
      <w:r w:rsidRPr="00833C88">
        <w:rPr>
          <w:rFonts w:cs="Times New Roman"/>
          <w:sz w:val="24"/>
          <w:szCs w:val="24"/>
        </w:rPr>
        <w:t>4)</w:t>
      </w:r>
      <w:r w:rsidR="00381E43" w:rsidRPr="00833C88">
        <w:rPr>
          <w:rFonts w:cs="Times New Roman"/>
          <w:sz w:val="24"/>
          <w:szCs w:val="24"/>
        </w:rPr>
        <w:tab/>
      </w:r>
      <w:r w:rsidRPr="00833C88">
        <w:rPr>
          <w:rFonts w:cs="Times New Roman"/>
          <w:sz w:val="24"/>
          <w:szCs w:val="24"/>
        </w:rPr>
        <w:t>termin i sposób rozliczenia udzielone</w:t>
      </w:r>
      <w:r w:rsidR="00E60A2D" w:rsidRPr="00833C88">
        <w:rPr>
          <w:rFonts w:cs="Times New Roman"/>
          <w:sz w:val="24"/>
          <w:szCs w:val="24"/>
        </w:rPr>
        <w:t>go</w:t>
      </w:r>
      <w:r w:rsidRPr="00833C88">
        <w:rPr>
          <w:rFonts w:cs="Times New Roman"/>
          <w:sz w:val="24"/>
          <w:szCs w:val="24"/>
        </w:rPr>
        <w:t xml:space="preserve"> </w:t>
      </w:r>
      <w:r w:rsidR="00E60A2D" w:rsidRPr="00833C88">
        <w:rPr>
          <w:rFonts w:cs="Times New Roman"/>
          <w:sz w:val="24"/>
          <w:szCs w:val="24"/>
        </w:rPr>
        <w:t>dofinansowania</w:t>
      </w:r>
      <w:r w:rsidRPr="00833C88">
        <w:rPr>
          <w:rFonts w:cs="Times New Roman"/>
          <w:sz w:val="24"/>
          <w:szCs w:val="24"/>
        </w:rPr>
        <w:t>;</w:t>
      </w:r>
    </w:p>
    <w:p w14:paraId="4207C102" w14:textId="4025B9C1" w:rsidR="006D01F0" w:rsidRPr="00833C88" w:rsidRDefault="006D01F0" w:rsidP="00EE5628">
      <w:pPr>
        <w:spacing w:after="0" w:line="360" w:lineRule="auto"/>
        <w:ind w:left="426" w:hanging="426"/>
        <w:jc w:val="both"/>
        <w:rPr>
          <w:rFonts w:cs="Times New Roman"/>
          <w:sz w:val="24"/>
          <w:szCs w:val="24"/>
        </w:rPr>
      </w:pPr>
      <w:r w:rsidRPr="00833C88">
        <w:rPr>
          <w:rFonts w:cs="Times New Roman"/>
          <w:sz w:val="24"/>
          <w:szCs w:val="24"/>
        </w:rPr>
        <w:t>5)</w:t>
      </w:r>
      <w:r w:rsidR="00381E43" w:rsidRPr="00833C88">
        <w:rPr>
          <w:rFonts w:cs="Times New Roman"/>
          <w:sz w:val="24"/>
          <w:szCs w:val="24"/>
        </w:rPr>
        <w:tab/>
      </w:r>
      <w:r w:rsidRPr="00833C88">
        <w:rPr>
          <w:rFonts w:cs="Times New Roman"/>
          <w:sz w:val="24"/>
          <w:szCs w:val="24"/>
        </w:rPr>
        <w:t xml:space="preserve">termin zwrotu niewykorzystanej części </w:t>
      </w:r>
      <w:r w:rsidR="00E60A2D" w:rsidRPr="00833C88">
        <w:rPr>
          <w:rFonts w:cs="Times New Roman"/>
          <w:sz w:val="24"/>
          <w:szCs w:val="24"/>
        </w:rPr>
        <w:t>dofinansowania</w:t>
      </w:r>
      <w:r w:rsidRPr="00833C88">
        <w:rPr>
          <w:rFonts w:cs="Times New Roman"/>
          <w:sz w:val="24"/>
          <w:szCs w:val="24"/>
        </w:rPr>
        <w:t>, nie dłuższy niż 15 dni od określonego w umowie dnia wykonania zadania, a w przypadku zadania realizowanego za granicą - 30 dni od określonego w umowie dnia jego wykonania;</w:t>
      </w:r>
    </w:p>
    <w:p w14:paraId="3A4C7824" w14:textId="696224BC" w:rsidR="006D01F0" w:rsidRPr="00833C88" w:rsidRDefault="006D01F0" w:rsidP="00EE5628">
      <w:pPr>
        <w:spacing w:after="0" w:line="360" w:lineRule="auto"/>
        <w:ind w:left="426" w:hanging="426"/>
        <w:jc w:val="both"/>
        <w:rPr>
          <w:rFonts w:cs="Times New Roman"/>
          <w:sz w:val="24"/>
          <w:szCs w:val="24"/>
        </w:rPr>
      </w:pPr>
      <w:r w:rsidRPr="00833C88">
        <w:rPr>
          <w:rFonts w:cs="Times New Roman"/>
          <w:sz w:val="24"/>
          <w:szCs w:val="24"/>
        </w:rPr>
        <w:t>6)</w:t>
      </w:r>
      <w:r w:rsidR="00381E43" w:rsidRPr="00833C88">
        <w:rPr>
          <w:rFonts w:cs="Times New Roman"/>
          <w:sz w:val="24"/>
          <w:szCs w:val="24"/>
        </w:rPr>
        <w:tab/>
      </w:r>
      <w:r w:rsidRPr="00833C88">
        <w:rPr>
          <w:rFonts w:cs="Times New Roman"/>
          <w:sz w:val="24"/>
          <w:szCs w:val="24"/>
        </w:rPr>
        <w:t xml:space="preserve">tryb kontroli wykonania </w:t>
      </w:r>
      <w:r w:rsidR="00E60A2D" w:rsidRPr="00833C88">
        <w:rPr>
          <w:rFonts w:cs="Times New Roman"/>
          <w:sz w:val="24"/>
          <w:szCs w:val="24"/>
        </w:rPr>
        <w:t>projektu</w:t>
      </w:r>
      <w:r w:rsidRPr="00833C88">
        <w:rPr>
          <w:rFonts w:cs="Times New Roman"/>
          <w:sz w:val="24"/>
          <w:szCs w:val="24"/>
        </w:rPr>
        <w:t>.</w:t>
      </w:r>
    </w:p>
    <w:p w14:paraId="0169A26B" w14:textId="2B32D416" w:rsidR="00BD41F7" w:rsidRPr="00833C88" w:rsidRDefault="00BD41F7" w:rsidP="005B6736">
      <w:pPr>
        <w:pStyle w:val="Nagwek3"/>
        <w:spacing w:before="0" w:after="120" w:line="360" w:lineRule="auto"/>
        <w:jc w:val="both"/>
        <w:rPr>
          <w:rFonts w:cs="Times New Roman"/>
          <w:b/>
          <w:bCs/>
          <w:u w:val="none"/>
        </w:rPr>
      </w:pPr>
      <w:r w:rsidRPr="00833C88">
        <w:rPr>
          <w:rFonts w:cs="Times New Roman"/>
          <w:b/>
          <w:bCs/>
          <w:u w:val="none"/>
        </w:rPr>
        <w:t xml:space="preserve">System </w:t>
      </w:r>
      <w:r w:rsidR="000D4C87" w:rsidRPr="00833C88">
        <w:rPr>
          <w:rFonts w:cs="Times New Roman"/>
          <w:b/>
          <w:bCs/>
          <w:u w:val="none"/>
        </w:rPr>
        <w:t xml:space="preserve">teleinformatyczny </w:t>
      </w:r>
      <w:r w:rsidRPr="00833C88">
        <w:rPr>
          <w:rFonts w:cs="Times New Roman"/>
          <w:b/>
          <w:bCs/>
          <w:u w:val="none"/>
        </w:rPr>
        <w:t>S46</w:t>
      </w:r>
    </w:p>
    <w:p w14:paraId="681D8F30" w14:textId="553F29D1" w:rsidR="004002C4" w:rsidRPr="00833C88" w:rsidRDefault="008A3E19"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Obecnie funkcjonujący </w:t>
      </w:r>
      <w:r w:rsidR="000E0405" w:rsidRPr="00833C88">
        <w:rPr>
          <w:rFonts w:eastAsia="Times New Roman" w:cs="Times New Roman"/>
          <w:sz w:val="24"/>
          <w:szCs w:val="24"/>
          <w:lang w:eastAsia="pl-PL"/>
        </w:rPr>
        <w:t>s</w:t>
      </w:r>
      <w:r w:rsidR="00BD41F7" w:rsidRPr="00833C88">
        <w:rPr>
          <w:rFonts w:eastAsia="Times New Roman" w:cs="Times New Roman"/>
          <w:sz w:val="24"/>
          <w:szCs w:val="24"/>
          <w:lang w:eastAsia="pl-PL"/>
        </w:rPr>
        <w:t xml:space="preserve">ystem </w:t>
      </w:r>
      <w:r w:rsidR="000D4C87" w:rsidRPr="00833C88">
        <w:rPr>
          <w:rFonts w:eastAsia="Times New Roman" w:cs="Times New Roman"/>
          <w:sz w:val="24"/>
          <w:szCs w:val="24"/>
          <w:lang w:eastAsia="pl-PL"/>
        </w:rPr>
        <w:t xml:space="preserve">teleinformatyczny </w:t>
      </w:r>
      <w:r w:rsidR="00BD41F7" w:rsidRPr="00833C88">
        <w:rPr>
          <w:rFonts w:eastAsia="Times New Roman" w:cs="Times New Roman"/>
          <w:sz w:val="24"/>
          <w:szCs w:val="24"/>
          <w:lang w:eastAsia="pl-PL"/>
        </w:rPr>
        <w:t>S46 zostanie dostosowany do tego</w:t>
      </w:r>
      <w:r w:rsidR="004C406F" w:rsidRPr="00833C88">
        <w:rPr>
          <w:rFonts w:eastAsia="Times New Roman" w:cs="Times New Roman"/>
          <w:sz w:val="24"/>
          <w:szCs w:val="24"/>
          <w:lang w:eastAsia="pl-PL"/>
        </w:rPr>
        <w:t>,</w:t>
      </w:r>
      <w:r w:rsidR="00BD41F7" w:rsidRPr="00833C88">
        <w:rPr>
          <w:rFonts w:eastAsia="Times New Roman" w:cs="Times New Roman"/>
          <w:sz w:val="24"/>
          <w:szCs w:val="24"/>
          <w:lang w:eastAsia="pl-PL"/>
        </w:rPr>
        <w:t xml:space="preserve"> </w:t>
      </w:r>
      <w:r w:rsidR="00A626FE" w:rsidRPr="00833C88">
        <w:rPr>
          <w:rFonts w:eastAsia="Times New Roman" w:cs="Times New Roman"/>
          <w:sz w:val="24"/>
          <w:szCs w:val="24"/>
          <w:lang w:eastAsia="pl-PL"/>
        </w:rPr>
        <w:t>a</w:t>
      </w:r>
      <w:r w:rsidR="00BD41F7" w:rsidRPr="00833C88">
        <w:rPr>
          <w:rFonts w:eastAsia="Times New Roman" w:cs="Times New Roman"/>
          <w:sz w:val="24"/>
          <w:szCs w:val="24"/>
          <w:lang w:eastAsia="pl-PL"/>
        </w:rPr>
        <w:t xml:space="preserve">by stać się </w:t>
      </w:r>
      <w:r w:rsidR="009B6075" w:rsidRPr="00833C88">
        <w:rPr>
          <w:rFonts w:eastAsia="Times New Roman" w:cs="Times New Roman"/>
          <w:sz w:val="24"/>
          <w:szCs w:val="24"/>
          <w:lang w:eastAsia="pl-PL"/>
        </w:rPr>
        <w:t xml:space="preserve">głównym środkiem komunikacji pomiędzy podmiotami krajowego systemu cyberbezpieczeństwa. </w:t>
      </w:r>
      <w:r w:rsidR="00601933" w:rsidRPr="00833C88">
        <w:rPr>
          <w:rFonts w:eastAsia="Times New Roman" w:cs="Times New Roman"/>
          <w:sz w:val="24"/>
          <w:szCs w:val="24"/>
          <w:lang w:eastAsia="pl-PL"/>
        </w:rPr>
        <w:t>W </w:t>
      </w:r>
      <w:r w:rsidR="009B6075"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009B6075" w:rsidRPr="00833C88">
        <w:rPr>
          <w:rFonts w:eastAsia="Times New Roman" w:cs="Times New Roman"/>
          <w:sz w:val="24"/>
          <w:szCs w:val="24"/>
          <w:lang w:eastAsia="pl-PL"/>
        </w:rPr>
        <w:t xml:space="preserve">koniecznością dodania do tego systemu bardzo dużej liczby podmiotów zrezygnowano </w:t>
      </w:r>
      <w:r w:rsidR="00601933" w:rsidRPr="00833C88">
        <w:rPr>
          <w:rFonts w:eastAsia="Times New Roman" w:cs="Times New Roman"/>
          <w:sz w:val="24"/>
          <w:szCs w:val="24"/>
          <w:lang w:eastAsia="pl-PL"/>
        </w:rPr>
        <w:t>z </w:t>
      </w:r>
      <w:r w:rsidR="009B6075" w:rsidRPr="00833C88">
        <w:rPr>
          <w:rFonts w:eastAsia="Times New Roman" w:cs="Times New Roman"/>
          <w:sz w:val="24"/>
          <w:szCs w:val="24"/>
          <w:lang w:eastAsia="pl-PL"/>
        </w:rPr>
        <w:t xml:space="preserve">zawierania porozumienia </w:t>
      </w:r>
      <w:r w:rsidR="00601933" w:rsidRPr="00833C88">
        <w:rPr>
          <w:rFonts w:eastAsia="Times New Roman" w:cs="Times New Roman"/>
          <w:sz w:val="24"/>
          <w:szCs w:val="24"/>
          <w:lang w:eastAsia="pl-PL"/>
        </w:rPr>
        <w:t>o </w:t>
      </w:r>
      <w:r w:rsidR="009B6075" w:rsidRPr="00833C88">
        <w:rPr>
          <w:rFonts w:eastAsia="Times New Roman" w:cs="Times New Roman"/>
          <w:sz w:val="24"/>
          <w:szCs w:val="24"/>
          <w:lang w:eastAsia="pl-PL"/>
        </w:rPr>
        <w:t>dołącz</w:t>
      </w:r>
      <w:r w:rsidR="002B699B" w:rsidRPr="00833C88">
        <w:rPr>
          <w:rFonts w:eastAsia="Times New Roman" w:cs="Times New Roman"/>
          <w:sz w:val="24"/>
          <w:szCs w:val="24"/>
          <w:lang w:eastAsia="pl-PL"/>
        </w:rPr>
        <w:t>e</w:t>
      </w:r>
      <w:r w:rsidR="009B6075" w:rsidRPr="00833C88">
        <w:rPr>
          <w:rFonts w:eastAsia="Times New Roman" w:cs="Times New Roman"/>
          <w:sz w:val="24"/>
          <w:szCs w:val="24"/>
          <w:lang w:eastAsia="pl-PL"/>
        </w:rPr>
        <w:t xml:space="preserve">niu do systemu. </w:t>
      </w:r>
      <w:r w:rsidR="002B699B" w:rsidRPr="00833C88">
        <w:rPr>
          <w:rFonts w:eastAsia="Times New Roman" w:cs="Times New Roman"/>
          <w:sz w:val="24"/>
          <w:szCs w:val="24"/>
          <w:lang w:eastAsia="pl-PL"/>
        </w:rPr>
        <w:t>Ponadto dołączenie do systemu nie będzie już wymagało zakupu specjalnych urządzeń, ale będzie odbywało się z</w:t>
      </w:r>
      <w:r w:rsidR="009813DA" w:rsidRPr="00833C88">
        <w:rPr>
          <w:rFonts w:eastAsia="Times New Roman" w:cs="Times New Roman"/>
          <w:sz w:val="24"/>
          <w:szCs w:val="24"/>
          <w:lang w:eastAsia="pl-PL"/>
        </w:rPr>
        <w:t xml:space="preserve">a pomocą rozwiązań chmurowych. </w:t>
      </w:r>
      <w:r w:rsidR="003D7538" w:rsidRPr="00833C88">
        <w:rPr>
          <w:rFonts w:eastAsia="Times New Roman" w:cs="Times New Roman"/>
          <w:sz w:val="24"/>
          <w:szCs w:val="24"/>
          <w:lang w:eastAsia="pl-PL"/>
        </w:rPr>
        <w:t xml:space="preserve">Podmioty kluczowe </w:t>
      </w:r>
      <w:r w:rsidR="00601933" w:rsidRPr="00833C88">
        <w:rPr>
          <w:rFonts w:eastAsia="Times New Roman" w:cs="Times New Roman"/>
          <w:sz w:val="24"/>
          <w:szCs w:val="24"/>
          <w:lang w:eastAsia="pl-PL"/>
        </w:rPr>
        <w:t>i </w:t>
      </w:r>
      <w:r w:rsidR="003D7538" w:rsidRPr="00833C88">
        <w:rPr>
          <w:rFonts w:eastAsia="Times New Roman" w:cs="Times New Roman"/>
          <w:sz w:val="24"/>
          <w:szCs w:val="24"/>
          <w:lang w:eastAsia="pl-PL"/>
        </w:rPr>
        <w:t xml:space="preserve">podmioty </w:t>
      </w:r>
      <w:r w:rsidR="003D7538" w:rsidRPr="00833C88">
        <w:rPr>
          <w:rFonts w:eastAsia="Times New Roman" w:cs="Times New Roman"/>
          <w:sz w:val="24"/>
          <w:szCs w:val="24"/>
          <w:lang w:eastAsia="pl-PL"/>
        </w:rPr>
        <w:lastRenderedPageBreak/>
        <w:t xml:space="preserve">ważne </w:t>
      </w:r>
      <w:r w:rsidR="000E0405" w:rsidRPr="00833C88">
        <w:rPr>
          <w:rFonts w:eastAsia="Times New Roman" w:cs="Times New Roman"/>
          <w:sz w:val="24"/>
          <w:szCs w:val="24"/>
          <w:lang w:eastAsia="pl-PL"/>
        </w:rPr>
        <w:t xml:space="preserve">będą </w:t>
      </w:r>
      <w:r w:rsidR="003D7538" w:rsidRPr="00833C88">
        <w:rPr>
          <w:rFonts w:eastAsia="Times New Roman" w:cs="Times New Roman"/>
          <w:sz w:val="24"/>
          <w:szCs w:val="24"/>
          <w:lang w:eastAsia="pl-PL"/>
        </w:rPr>
        <w:t xml:space="preserve">obowiązane zapewnić zgodność swoich systemów informacyjnych </w:t>
      </w:r>
      <w:r w:rsidR="00601933" w:rsidRPr="00833C88">
        <w:rPr>
          <w:rFonts w:eastAsia="Times New Roman" w:cs="Times New Roman"/>
          <w:sz w:val="24"/>
          <w:szCs w:val="24"/>
          <w:lang w:eastAsia="pl-PL"/>
        </w:rPr>
        <w:t>z </w:t>
      </w:r>
      <w:r w:rsidR="003D7538" w:rsidRPr="00833C88">
        <w:rPr>
          <w:rFonts w:eastAsia="Times New Roman" w:cs="Times New Roman"/>
          <w:sz w:val="24"/>
          <w:szCs w:val="24"/>
          <w:lang w:eastAsia="pl-PL"/>
        </w:rPr>
        <w:t xml:space="preserve">minimalnymi wymaganiami technicznymi </w:t>
      </w:r>
      <w:r w:rsidR="003D7538" w:rsidRPr="00833C88">
        <w:rPr>
          <w:rFonts w:cs="Times New Roman"/>
          <w:sz w:val="24"/>
          <w:szCs w:val="24"/>
        </w:rPr>
        <w:t>i</w:t>
      </w:r>
      <w:r w:rsidR="00BE2629" w:rsidRPr="00833C88">
        <w:rPr>
          <w:rFonts w:cs="Times New Roman"/>
          <w:sz w:val="24"/>
          <w:szCs w:val="24"/>
        </w:rPr>
        <w:t> </w:t>
      </w:r>
      <w:r w:rsidR="003D7538" w:rsidRPr="00833C88">
        <w:rPr>
          <w:rFonts w:cs="Times New Roman"/>
          <w:sz w:val="24"/>
          <w:szCs w:val="24"/>
        </w:rPr>
        <w:t>funkcjonalnymi</w:t>
      </w:r>
      <w:r w:rsidR="003D7538" w:rsidRPr="00833C88">
        <w:rPr>
          <w:rFonts w:eastAsia="Times New Roman" w:cs="Times New Roman"/>
          <w:sz w:val="24"/>
          <w:szCs w:val="24"/>
          <w:lang w:eastAsia="pl-PL"/>
        </w:rPr>
        <w:t xml:space="preserve"> podłączenia do systemu</w:t>
      </w:r>
      <w:r w:rsidR="000E0405" w:rsidRPr="00833C88">
        <w:rPr>
          <w:rFonts w:eastAsia="Times New Roman" w:cs="Times New Roman"/>
          <w:sz w:val="24"/>
          <w:szCs w:val="24"/>
          <w:lang w:eastAsia="pl-PL"/>
        </w:rPr>
        <w:t xml:space="preserve"> </w:t>
      </w:r>
      <w:r w:rsidR="00062670" w:rsidRPr="00833C88">
        <w:rPr>
          <w:rFonts w:eastAsia="Times New Roman" w:cs="Times New Roman"/>
          <w:sz w:val="24"/>
          <w:szCs w:val="24"/>
          <w:lang w:eastAsia="pl-PL"/>
        </w:rPr>
        <w:t xml:space="preserve">teleinformatycznego </w:t>
      </w:r>
      <w:r w:rsidR="000E0405" w:rsidRPr="00833C88">
        <w:rPr>
          <w:rFonts w:eastAsia="Times New Roman" w:cs="Times New Roman"/>
          <w:sz w:val="24"/>
          <w:szCs w:val="24"/>
          <w:lang w:eastAsia="pl-PL"/>
        </w:rPr>
        <w:t>S46</w:t>
      </w:r>
      <w:r w:rsidR="003D7538"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3D7538" w:rsidRPr="00833C88">
        <w:rPr>
          <w:rFonts w:eastAsia="Times New Roman" w:cs="Times New Roman"/>
          <w:sz w:val="24"/>
          <w:szCs w:val="24"/>
          <w:lang w:eastAsia="pl-PL"/>
        </w:rPr>
        <w:t>terminie 3 miesięcy od</w:t>
      </w:r>
      <w:r w:rsidR="009B4C26" w:rsidRPr="00833C88">
        <w:rPr>
          <w:rFonts w:eastAsia="Times New Roman" w:cs="Times New Roman"/>
          <w:sz w:val="24"/>
          <w:szCs w:val="24"/>
          <w:lang w:eastAsia="pl-PL"/>
        </w:rPr>
        <w:t> </w:t>
      </w:r>
      <w:r w:rsidR="003D7538" w:rsidRPr="00833C88">
        <w:rPr>
          <w:rFonts w:eastAsia="Times New Roman" w:cs="Times New Roman"/>
          <w:sz w:val="24"/>
          <w:szCs w:val="24"/>
          <w:lang w:eastAsia="pl-PL"/>
        </w:rPr>
        <w:t>ich udostępnienia.</w:t>
      </w:r>
      <w:r w:rsidR="00057F21" w:rsidRPr="00833C88">
        <w:rPr>
          <w:rFonts w:eastAsia="Times New Roman" w:cs="Times New Roman"/>
          <w:sz w:val="24"/>
          <w:szCs w:val="24"/>
          <w:lang w:eastAsia="pl-PL"/>
        </w:rPr>
        <w:t xml:space="preserve"> Podmioty te będą więc </w:t>
      </w:r>
      <w:r w:rsidR="0015795F" w:rsidRPr="00833C88">
        <w:rPr>
          <w:rFonts w:eastAsia="Times New Roman" w:cs="Times New Roman"/>
          <w:sz w:val="24"/>
          <w:szCs w:val="24"/>
          <w:lang w:eastAsia="pl-PL"/>
        </w:rPr>
        <w:t xml:space="preserve">miały odpowiedni czas na dostosowanie swoich systemów. </w:t>
      </w:r>
    </w:p>
    <w:p w14:paraId="409CB359" w14:textId="69A38FEA" w:rsidR="007B743B" w:rsidRPr="00833C88" w:rsidRDefault="0086162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Wskazano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przepisie, że zespoły CSIRT MON, CSIRT NASK, CSIRT GOV, CSIRT sektorowe, organy właściwe do spraw cyberbezpieczeństwa oraz Prezes Urzędu Ochrony Danych Osobowych </w:t>
      </w:r>
      <w:r w:rsidR="00E03AE7" w:rsidRPr="00833C88">
        <w:rPr>
          <w:rFonts w:eastAsia="Times New Roman" w:cs="Times New Roman"/>
          <w:sz w:val="24"/>
          <w:szCs w:val="24"/>
          <w:lang w:eastAsia="pl-PL"/>
        </w:rPr>
        <w:t xml:space="preserve">korzystają </w:t>
      </w:r>
      <w:r w:rsidR="00601933" w:rsidRPr="00833C88">
        <w:rPr>
          <w:rFonts w:eastAsia="Times New Roman" w:cs="Times New Roman"/>
          <w:sz w:val="24"/>
          <w:szCs w:val="24"/>
          <w:lang w:eastAsia="pl-PL"/>
        </w:rPr>
        <w:t>z </w:t>
      </w:r>
      <w:r w:rsidR="00E03AE7" w:rsidRPr="00833C88">
        <w:rPr>
          <w:rFonts w:eastAsia="Times New Roman" w:cs="Times New Roman"/>
          <w:sz w:val="24"/>
          <w:szCs w:val="24"/>
          <w:lang w:eastAsia="pl-PL"/>
        </w:rPr>
        <w:t xml:space="preserve">systemu </w:t>
      </w:r>
      <w:r w:rsidR="00601933" w:rsidRPr="00833C88">
        <w:rPr>
          <w:rFonts w:eastAsia="Times New Roman" w:cs="Times New Roman"/>
          <w:sz w:val="24"/>
          <w:szCs w:val="24"/>
          <w:lang w:eastAsia="pl-PL"/>
        </w:rPr>
        <w:t>w </w:t>
      </w:r>
      <w:r w:rsidR="00E03AE7" w:rsidRPr="00833C88">
        <w:rPr>
          <w:rFonts w:eastAsia="Times New Roman" w:cs="Times New Roman"/>
          <w:sz w:val="24"/>
          <w:szCs w:val="24"/>
          <w:lang w:eastAsia="pl-PL"/>
        </w:rPr>
        <w:t>celu realizacji swoich zadań ustawowych</w:t>
      </w:r>
      <w:r w:rsidR="00CE7D31" w:rsidRPr="00833C88">
        <w:rPr>
          <w:rFonts w:eastAsia="Times New Roman" w:cs="Times New Roman"/>
          <w:sz w:val="24"/>
          <w:szCs w:val="24"/>
          <w:lang w:eastAsia="pl-PL"/>
        </w:rPr>
        <w:t xml:space="preserve">. Głównie chodzi </w:t>
      </w:r>
      <w:r w:rsidR="00601933" w:rsidRPr="00833C88">
        <w:rPr>
          <w:rFonts w:eastAsia="Times New Roman" w:cs="Times New Roman"/>
          <w:sz w:val="24"/>
          <w:szCs w:val="24"/>
          <w:lang w:eastAsia="pl-PL"/>
        </w:rPr>
        <w:t>o </w:t>
      </w:r>
      <w:r w:rsidR="00CE7D31" w:rsidRPr="00833C88">
        <w:rPr>
          <w:rFonts w:eastAsia="Times New Roman" w:cs="Times New Roman"/>
          <w:sz w:val="24"/>
          <w:szCs w:val="24"/>
          <w:lang w:eastAsia="pl-PL"/>
        </w:rPr>
        <w:t xml:space="preserve">sprawowanie nadzoru nad podmiotami kluczowymi </w:t>
      </w:r>
      <w:r w:rsidR="00601933" w:rsidRPr="00833C88">
        <w:rPr>
          <w:rFonts w:eastAsia="Times New Roman" w:cs="Times New Roman"/>
          <w:sz w:val="24"/>
          <w:szCs w:val="24"/>
          <w:lang w:eastAsia="pl-PL"/>
        </w:rPr>
        <w:t>i </w:t>
      </w:r>
      <w:r w:rsidR="00CE7D31" w:rsidRPr="00833C88">
        <w:rPr>
          <w:rFonts w:eastAsia="Times New Roman" w:cs="Times New Roman"/>
          <w:sz w:val="24"/>
          <w:szCs w:val="24"/>
          <w:lang w:eastAsia="pl-PL"/>
        </w:rPr>
        <w:t xml:space="preserve">podmiotami ważnymi oraz </w:t>
      </w:r>
      <w:r w:rsidR="007B743B" w:rsidRPr="00833C88">
        <w:rPr>
          <w:rFonts w:eastAsia="Times New Roman" w:cs="Times New Roman"/>
          <w:sz w:val="24"/>
          <w:szCs w:val="24"/>
          <w:lang w:eastAsia="pl-PL"/>
        </w:rPr>
        <w:t xml:space="preserve">przyjmowanie zgłoszeń incydentów </w:t>
      </w:r>
      <w:r w:rsidR="00601933" w:rsidRPr="00833C88">
        <w:rPr>
          <w:rFonts w:eastAsia="Times New Roman" w:cs="Times New Roman"/>
          <w:sz w:val="24"/>
          <w:szCs w:val="24"/>
          <w:lang w:eastAsia="pl-PL"/>
        </w:rPr>
        <w:t>a </w:t>
      </w:r>
      <w:r w:rsidR="007B743B" w:rsidRPr="00833C88">
        <w:rPr>
          <w:rFonts w:eastAsia="Times New Roman" w:cs="Times New Roman"/>
          <w:sz w:val="24"/>
          <w:szCs w:val="24"/>
          <w:lang w:eastAsia="pl-PL"/>
        </w:rPr>
        <w:t xml:space="preserve">także reagowanie na incydenty jak </w:t>
      </w:r>
      <w:r w:rsidR="00601933" w:rsidRPr="00833C88">
        <w:rPr>
          <w:rFonts w:eastAsia="Times New Roman" w:cs="Times New Roman"/>
          <w:sz w:val="24"/>
          <w:szCs w:val="24"/>
          <w:lang w:eastAsia="pl-PL"/>
        </w:rPr>
        <w:t>i </w:t>
      </w:r>
      <w:r w:rsidR="007B743B" w:rsidRPr="00833C88">
        <w:rPr>
          <w:rFonts w:eastAsia="Times New Roman" w:cs="Times New Roman"/>
          <w:sz w:val="24"/>
          <w:szCs w:val="24"/>
          <w:lang w:eastAsia="pl-PL"/>
        </w:rPr>
        <w:t xml:space="preserve">wymiana informacji </w:t>
      </w:r>
      <w:r w:rsidR="00601933" w:rsidRPr="00833C88">
        <w:rPr>
          <w:rFonts w:eastAsia="Times New Roman" w:cs="Times New Roman"/>
          <w:sz w:val="24"/>
          <w:szCs w:val="24"/>
          <w:lang w:eastAsia="pl-PL"/>
        </w:rPr>
        <w:t>o </w:t>
      </w:r>
      <w:r w:rsidR="007B743B" w:rsidRPr="00833C88">
        <w:rPr>
          <w:rFonts w:eastAsia="Times New Roman" w:cs="Times New Roman"/>
          <w:sz w:val="24"/>
          <w:szCs w:val="24"/>
          <w:lang w:eastAsia="pl-PL"/>
        </w:rPr>
        <w:t>cyberbezpieczeństwie.</w:t>
      </w:r>
      <w:r w:rsidR="00455F04" w:rsidRPr="00833C88">
        <w:rPr>
          <w:rFonts w:eastAsia="Times New Roman" w:cs="Times New Roman"/>
          <w:sz w:val="24"/>
          <w:szCs w:val="24"/>
          <w:lang w:eastAsia="pl-PL"/>
        </w:rPr>
        <w:t xml:space="preserve"> Przepisy te nie naruszają uprawnień Prezesa Urzędu Ochrony Danych Osobowych wynikających z RODO.</w:t>
      </w:r>
    </w:p>
    <w:p w14:paraId="2D173FC8" w14:textId="79476DCD" w:rsidR="00676503" w:rsidRPr="00833C88" w:rsidRDefault="00163A49"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Dla podmiotów kluczowych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podmiotów ważnych </w:t>
      </w:r>
      <w:r w:rsidR="00DD7439" w:rsidRPr="00833C88">
        <w:rPr>
          <w:rFonts w:eastAsia="Times New Roman" w:cs="Times New Roman"/>
          <w:sz w:val="24"/>
          <w:szCs w:val="24"/>
          <w:lang w:eastAsia="pl-PL"/>
        </w:rPr>
        <w:t>wprowadzono obligatoryj</w:t>
      </w:r>
      <w:r w:rsidR="00E146CA" w:rsidRPr="00833C88">
        <w:rPr>
          <w:rFonts w:eastAsia="Times New Roman" w:cs="Times New Roman"/>
          <w:sz w:val="24"/>
          <w:szCs w:val="24"/>
          <w:lang w:eastAsia="pl-PL"/>
        </w:rPr>
        <w:t>no</w:t>
      </w:r>
      <w:r w:rsidR="00DD7439" w:rsidRPr="00833C88">
        <w:rPr>
          <w:rFonts w:eastAsia="Times New Roman" w:cs="Times New Roman"/>
          <w:sz w:val="24"/>
          <w:szCs w:val="24"/>
          <w:lang w:eastAsia="pl-PL"/>
        </w:rPr>
        <w:t xml:space="preserve">ść korzystania </w:t>
      </w:r>
      <w:r w:rsidR="00601933" w:rsidRPr="00833C88">
        <w:rPr>
          <w:rFonts w:eastAsia="Times New Roman" w:cs="Times New Roman"/>
          <w:sz w:val="24"/>
          <w:szCs w:val="24"/>
          <w:lang w:eastAsia="pl-PL"/>
        </w:rPr>
        <w:t>z </w:t>
      </w:r>
      <w:r w:rsidR="00DD7439" w:rsidRPr="00833C88">
        <w:rPr>
          <w:rFonts w:eastAsia="Times New Roman" w:cs="Times New Roman"/>
          <w:sz w:val="24"/>
          <w:szCs w:val="24"/>
          <w:lang w:eastAsia="pl-PL"/>
        </w:rPr>
        <w:t xml:space="preserve">systemu teleinformatycznego S46 </w:t>
      </w:r>
      <w:r w:rsidR="003C0431" w:rsidRPr="00833C88">
        <w:rPr>
          <w:rFonts w:eastAsia="Times New Roman" w:cs="Times New Roman"/>
          <w:sz w:val="24"/>
          <w:szCs w:val="24"/>
          <w:lang w:eastAsia="pl-PL"/>
        </w:rPr>
        <w:t xml:space="preserve">– na to podmioty będą miały czas 6 miesięcy od spełnienia </w:t>
      </w:r>
      <w:r w:rsidR="00B11723" w:rsidRPr="00833C88">
        <w:rPr>
          <w:rFonts w:eastAsia="Times New Roman" w:cs="Times New Roman"/>
          <w:sz w:val="24"/>
          <w:szCs w:val="24"/>
          <w:lang w:eastAsia="pl-PL"/>
        </w:rPr>
        <w:t xml:space="preserve">przesłanek uznania za podmiot kluczowy lub podmiot ważny. </w:t>
      </w:r>
      <w:r w:rsidR="00F76D24" w:rsidRPr="00833C88">
        <w:rPr>
          <w:rFonts w:eastAsia="Times New Roman" w:cs="Times New Roman"/>
          <w:sz w:val="24"/>
          <w:szCs w:val="24"/>
          <w:lang w:eastAsia="pl-PL"/>
        </w:rPr>
        <w:t xml:space="preserve">Za pomocą tego systemu podmioty kluczowe oraz podmioty ważne będą zgłaszały </w:t>
      </w:r>
      <w:r w:rsidR="00EE38A0" w:rsidRPr="00833C88">
        <w:rPr>
          <w:rFonts w:eastAsia="Times New Roman" w:cs="Times New Roman"/>
          <w:sz w:val="24"/>
          <w:szCs w:val="24"/>
          <w:lang w:eastAsia="pl-PL"/>
        </w:rPr>
        <w:t xml:space="preserve">incydenty do zespołów CSIRT sektorowych, ale również zwrotnie będą otrzymywały informacje </w:t>
      </w:r>
      <w:r w:rsidR="00601933" w:rsidRPr="00833C88">
        <w:rPr>
          <w:rFonts w:eastAsia="Times New Roman" w:cs="Times New Roman"/>
          <w:sz w:val="24"/>
          <w:szCs w:val="24"/>
          <w:lang w:eastAsia="pl-PL"/>
        </w:rPr>
        <w:t>o </w:t>
      </w:r>
      <w:proofErr w:type="spellStart"/>
      <w:r w:rsidR="00005FB7" w:rsidRPr="00833C88">
        <w:rPr>
          <w:rFonts w:eastAsia="Times New Roman" w:cs="Times New Roman"/>
          <w:sz w:val="24"/>
          <w:szCs w:val="24"/>
          <w:lang w:eastAsia="pl-PL"/>
        </w:rPr>
        <w:t>cyberzagrożeniach</w:t>
      </w:r>
      <w:proofErr w:type="spellEnd"/>
      <w:r w:rsidR="00005FB7" w:rsidRPr="00833C88">
        <w:rPr>
          <w:rFonts w:eastAsia="Times New Roman" w:cs="Times New Roman"/>
          <w:sz w:val="24"/>
          <w:szCs w:val="24"/>
          <w:lang w:eastAsia="pl-PL"/>
        </w:rPr>
        <w:t xml:space="preserve">, podatnościach </w:t>
      </w:r>
      <w:r w:rsidR="00601933" w:rsidRPr="00833C88">
        <w:rPr>
          <w:rFonts w:eastAsia="Times New Roman" w:cs="Times New Roman"/>
          <w:sz w:val="24"/>
          <w:szCs w:val="24"/>
          <w:lang w:eastAsia="pl-PL"/>
        </w:rPr>
        <w:t>i </w:t>
      </w:r>
      <w:r w:rsidR="00005FB7" w:rsidRPr="00833C88">
        <w:rPr>
          <w:rFonts w:eastAsia="Times New Roman" w:cs="Times New Roman"/>
          <w:sz w:val="24"/>
          <w:szCs w:val="24"/>
          <w:lang w:eastAsia="pl-PL"/>
        </w:rPr>
        <w:t>innych incydentach, aby mogły rozwijać się pod kątem cyberbezpieczeństwa.</w:t>
      </w:r>
    </w:p>
    <w:p w14:paraId="2DD5B99F" w14:textId="5987ACC4" w:rsidR="007063FA"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4002C4" w:rsidRPr="00833C88">
        <w:rPr>
          <w:rFonts w:eastAsia="Times New Roman" w:cs="Times New Roman"/>
          <w:sz w:val="24"/>
          <w:szCs w:val="24"/>
          <w:lang w:eastAsia="pl-PL"/>
        </w:rPr>
        <w:t xml:space="preserve">systemie tym będzie prowadzony również wykaz podmiotów kluczowych </w:t>
      </w:r>
      <w:r w:rsidRPr="00833C88">
        <w:rPr>
          <w:rFonts w:eastAsia="Times New Roman" w:cs="Times New Roman"/>
          <w:sz w:val="24"/>
          <w:szCs w:val="24"/>
          <w:lang w:eastAsia="pl-PL"/>
        </w:rPr>
        <w:t>i </w:t>
      </w:r>
      <w:r w:rsidR="004002C4" w:rsidRPr="00833C88">
        <w:rPr>
          <w:rFonts w:eastAsia="Times New Roman" w:cs="Times New Roman"/>
          <w:sz w:val="24"/>
          <w:szCs w:val="24"/>
          <w:lang w:eastAsia="pl-PL"/>
        </w:rPr>
        <w:t>podmiotów ważnych</w:t>
      </w:r>
      <w:r w:rsidR="00D35840" w:rsidRPr="00833C88">
        <w:rPr>
          <w:rFonts w:eastAsia="Times New Roman" w:cs="Times New Roman"/>
          <w:sz w:val="24"/>
          <w:szCs w:val="24"/>
          <w:lang w:eastAsia="pl-PL"/>
        </w:rPr>
        <w:t>.</w:t>
      </w:r>
      <w:r w:rsidR="00370842" w:rsidRPr="00833C88">
        <w:rPr>
          <w:rFonts w:eastAsia="Times New Roman" w:cs="Times New Roman"/>
          <w:sz w:val="24"/>
          <w:szCs w:val="24"/>
          <w:lang w:eastAsia="pl-PL"/>
        </w:rPr>
        <w:t xml:space="preserve"> Oprócz tego system będzie wspierał wykonywanie zadań nadzorczych organów właściwych do spraw cyberbezpieczeństwa – np. będzie mógł ułatwić analizę sprawozdań </w:t>
      </w:r>
      <w:r w:rsidR="0045686E" w:rsidRPr="00833C88">
        <w:rPr>
          <w:rFonts w:eastAsia="Times New Roman" w:cs="Times New Roman"/>
          <w:sz w:val="24"/>
          <w:szCs w:val="24"/>
          <w:lang w:eastAsia="pl-PL"/>
        </w:rPr>
        <w:t>audytowych</w:t>
      </w:r>
      <w:r w:rsidR="00370842" w:rsidRPr="00833C88">
        <w:rPr>
          <w:rFonts w:eastAsia="Times New Roman" w:cs="Times New Roman"/>
          <w:sz w:val="24"/>
          <w:szCs w:val="24"/>
          <w:lang w:eastAsia="pl-PL"/>
        </w:rPr>
        <w:t xml:space="preserve"> </w:t>
      </w:r>
      <w:r w:rsidR="0045686E" w:rsidRPr="00833C88">
        <w:rPr>
          <w:rFonts w:eastAsia="Times New Roman" w:cs="Times New Roman"/>
          <w:sz w:val="24"/>
          <w:szCs w:val="24"/>
          <w:lang w:eastAsia="pl-PL"/>
        </w:rPr>
        <w:t>poprzez zastosowanie sztucznej inteligencji.</w:t>
      </w:r>
      <w:r w:rsidR="00D35840" w:rsidRPr="00833C88">
        <w:rPr>
          <w:rFonts w:eastAsia="Times New Roman" w:cs="Times New Roman"/>
          <w:sz w:val="24"/>
          <w:szCs w:val="24"/>
          <w:lang w:eastAsia="pl-PL"/>
        </w:rPr>
        <w:t xml:space="preserve"> </w:t>
      </w:r>
      <w:r w:rsidR="00F21A57" w:rsidRPr="00833C88">
        <w:rPr>
          <w:rFonts w:eastAsia="Times New Roman" w:cs="Times New Roman"/>
          <w:sz w:val="24"/>
          <w:szCs w:val="24"/>
          <w:lang w:eastAsia="pl-PL"/>
        </w:rPr>
        <w:t xml:space="preserve">Innym nowym zadaniem będzie wymiana informacji </w:t>
      </w:r>
      <w:r w:rsidR="00673B72" w:rsidRPr="00833C88">
        <w:rPr>
          <w:rFonts w:eastAsia="Times New Roman" w:cs="Times New Roman"/>
          <w:sz w:val="24"/>
          <w:szCs w:val="24"/>
          <w:lang w:eastAsia="pl-PL"/>
        </w:rPr>
        <w:t xml:space="preserve">ministra właściwego do spraw informatyzacji, Pełnomocnika </w:t>
      </w:r>
      <w:r w:rsidRPr="00833C88">
        <w:rPr>
          <w:rFonts w:eastAsia="Times New Roman" w:cs="Times New Roman"/>
          <w:sz w:val="24"/>
          <w:szCs w:val="24"/>
          <w:lang w:eastAsia="pl-PL"/>
        </w:rPr>
        <w:t>i </w:t>
      </w:r>
      <w:r w:rsidR="00673B72" w:rsidRPr="00833C88">
        <w:rPr>
          <w:rFonts w:eastAsia="Times New Roman" w:cs="Times New Roman"/>
          <w:sz w:val="24"/>
          <w:szCs w:val="24"/>
          <w:lang w:eastAsia="pl-PL"/>
        </w:rPr>
        <w:t>organów właściwych do spraw cyberbezpieczeństwa mających charakter generalny – są</w:t>
      </w:r>
      <w:r w:rsidR="00DE38C1" w:rsidRPr="00833C88">
        <w:rPr>
          <w:rFonts w:eastAsia="Times New Roman" w:cs="Times New Roman"/>
          <w:sz w:val="24"/>
          <w:szCs w:val="24"/>
          <w:lang w:eastAsia="pl-PL"/>
        </w:rPr>
        <w:t> </w:t>
      </w:r>
      <w:r w:rsidR="00673B72" w:rsidRPr="00833C88">
        <w:rPr>
          <w:rFonts w:eastAsia="Times New Roman" w:cs="Times New Roman"/>
          <w:sz w:val="24"/>
          <w:szCs w:val="24"/>
          <w:lang w:eastAsia="pl-PL"/>
        </w:rPr>
        <w:t>to</w:t>
      </w:r>
      <w:r w:rsidR="00DE38C1" w:rsidRPr="00833C88">
        <w:rPr>
          <w:rFonts w:eastAsia="Times New Roman" w:cs="Times New Roman"/>
          <w:sz w:val="24"/>
          <w:szCs w:val="24"/>
          <w:lang w:eastAsia="pl-PL"/>
        </w:rPr>
        <w:t> </w:t>
      </w:r>
      <w:r w:rsidRPr="00833C88">
        <w:rPr>
          <w:rFonts w:eastAsia="Times New Roman" w:cs="Times New Roman"/>
          <w:sz w:val="24"/>
          <w:szCs w:val="24"/>
          <w:lang w:eastAsia="pl-PL"/>
        </w:rPr>
        <w:t>w </w:t>
      </w:r>
      <w:r w:rsidR="00673B72" w:rsidRPr="00833C88">
        <w:rPr>
          <w:rFonts w:eastAsia="Times New Roman" w:cs="Times New Roman"/>
          <w:sz w:val="24"/>
          <w:szCs w:val="24"/>
          <w:lang w:eastAsia="pl-PL"/>
        </w:rPr>
        <w:t xml:space="preserve">szczególności rekomendacje Pełnomocnika </w:t>
      </w:r>
      <w:r w:rsidRPr="00833C88">
        <w:rPr>
          <w:rFonts w:eastAsia="Times New Roman" w:cs="Times New Roman"/>
          <w:sz w:val="24"/>
          <w:szCs w:val="24"/>
          <w:lang w:eastAsia="pl-PL"/>
        </w:rPr>
        <w:t>z </w:t>
      </w:r>
      <w:r w:rsidR="00673B72" w:rsidRPr="00833C88">
        <w:rPr>
          <w:rFonts w:eastAsia="Times New Roman" w:cs="Times New Roman"/>
          <w:sz w:val="24"/>
          <w:szCs w:val="24"/>
          <w:lang w:eastAsia="pl-PL"/>
        </w:rPr>
        <w:t xml:space="preserve">art. 33 oraz </w:t>
      </w:r>
      <w:r w:rsidRPr="00833C88">
        <w:rPr>
          <w:rFonts w:eastAsia="Times New Roman" w:cs="Times New Roman"/>
          <w:sz w:val="24"/>
          <w:szCs w:val="24"/>
          <w:lang w:eastAsia="pl-PL"/>
        </w:rPr>
        <w:t>z </w:t>
      </w:r>
      <w:r w:rsidR="00673B72" w:rsidRPr="00833C88">
        <w:rPr>
          <w:rFonts w:eastAsia="Times New Roman" w:cs="Times New Roman"/>
          <w:sz w:val="24"/>
          <w:szCs w:val="24"/>
          <w:lang w:eastAsia="pl-PL"/>
        </w:rPr>
        <w:t>art. 67a</w:t>
      </w:r>
      <w:r w:rsidR="00E93ACD" w:rsidRPr="00833C88">
        <w:rPr>
          <w:rFonts w:eastAsia="Times New Roman" w:cs="Times New Roman"/>
          <w:sz w:val="24"/>
          <w:szCs w:val="24"/>
          <w:lang w:eastAsia="pl-PL"/>
        </w:rPr>
        <w:t>, zestawienie dokumentów normalizacyjnych ministra właściwego do spraw informatyzacji</w:t>
      </w:r>
      <w:r w:rsidR="00403CF7" w:rsidRPr="00833C88">
        <w:rPr>
          <w:rFonts w:eastAsia="Times New Roman" w:cs="Times New Roman"/>
          <w:sz w:val="24"/>
          <w:szCs w:val="24"/>
          <w:lang w:eastAsia="pl-PL"/>
        </w:rPr>
        <w:t>.</w:t>
      </w:r>
    </w:p>
    <w:p w14:paraId="7C607BFE" w14:textId="3BAE4CF2" w:rsidR="00D62E00" w:rsidRPr="00833C88" w:rsidRDefault="007063F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O</w:t>
      </w:r>
      <w:r w:rsidR="00D62E00" w:rsidRPr="00833C88">
        <w:rPr>
          <w:rFonts w:eastAsia="Times New Roman" w:cs="Times New Roman"/>
          <w:sz w:val="24"/>
          <w:szCs w:val="24"/>
          <w:lang w:eastAsia="pl-PL"/>
        </w:rPr>
        <w:t xml:space="preserve">bowiązki </w:t>
      </w:r>
      <w:r w:rsidR="00601933" w:rsidRPr="00833C88">
        <w:rPr>
          <w:rFonts w:eastAsia="Times New Roman" w:cs="Times New Roman"/>
          <w:sz w:val="24"/>
          <w:szCs w:val="24"/>
          <w:lang w:eastAsia="pl-PL"/>
        </w:rPr>
        <w:t>z </w:t>
      </w:r>
      <w:r w:rsidR="00D62E00" w:rsidRPr="00833C88">
        <w:rPr>
          <w:rFonts w:eastAsia="Times New Roman" w:cs="Times New Roman"/>
          <w:sz w:val="24"/>
          <w:szCs w:val="24"/>
          <w:lang w:eastAsia="pl-PL"/>
        </w:rPr>
        <w:t xml:space="preserve">zakresu cyberbezpieczeństwa oraz ochrona danych osobowych często wzajemnie się przenikają. </w:t>
      </w:r>
      <w:r w:rsidR="00601933" w:rsidRPr="00833C88">
        <w:rPr>
          <w:rFonts w:eastAsia="Times New Roman" w:cs="Times New Roman"/>
          <w:sz w:val="24"/>
          <w:szCs w:val="24"/>
          <w:lang w:eastAsia="pl-PL"/>
        </w:rPr>
        <w:t>W </w:t>
      </w:r>
      <w:r w:rsidR="00D62E00" w:rsidRPr="00833C88">
        <w:rPr>
          <w:rFonts w:eastAsia="Times New Roman" w:cs="Times New Roman"/>
          <w:sz w:val="24"/>
          <w:szCs w:val="24"/>
          <w:lang w:eastAsia="pl-PL"/>
        </w:rPr>
        <w:t>obydwu przypadkach należy wdrożyć proporcjonalne środki techniczne i</w:t>
      </w:r>
      <w:r w:rsidR="00BE2629" w:rsidRPr="00833C88">
        <w:rPr>
          <w:rFonts w:eastAsia="Times New Roman" w:cs="Times New Roman"/>
          <w:sz w:val="24"/>
          <w:szCs w:val="24"/>
          <w:lang w:eastAsia="pl-PL"/>
        </w:rPr>
        <w:t> </w:t>
      </w:r>
      <w:r w:rsidR="00D62E00" w:rsidRPr="00833C88">
        <w:rPr>
          <w:rFonts w:eastAsia="Times New Roman" w:cs="Times New Roman"/>
          <w:sz w:val="24"/>
          <w:szCs w:val="24"/>
          <w:lang w:eastAsia="pl-PL"/>
        </w:rPr>
        <w:t>organizacyjne zapewniające ochronę przetwarzanych danych. Bardzo często incydent w</w:t>
      </w:r>
      <w:r w:rsidR="00A626FE" w:rsidRPr="00833C88">
        <w:rPr>
          <w:rFonts w:eastAsia="Times New Roman" w:cs="Times New Roman"/>
          <w:sz w:val="24"/>
          <w:szCs w:val="24"/>
          <w:lang w:eastAsia="pl-PL"/>
        </w:rPr>
        <w:t> </w:t>
      </w:r>
      <w:r w:rsidR="00D62E00" w:rsidRPr="00833C88">
        <w:rPr>
          <w:rFonts w:eastAsia="Times New Roman" w:cs="Times New Roman"/>
          <w:sz w:val="24"/>
          <w:szCs w:val="24"/>
          <w:lang w:eastAsia="pl-PL"/>
        </w:rPr>
        <w:t xml:space="preserve">rozumieniu ustawy </w:t>
      </w:r>
      <w:r w:rsidR="00601933" w:rsidRPr="00833C88">
        <w:rPr>
          <w:rFonts w:eastAsia="Times New Roman" w:cs="Times New Roman"/>
          <w:sz w:val="24"/>
          <w:szCs w:val="24"/>
          <w:lang w:eastAsia="pl-PL"/>
        </w:rPr>
        <w:t>o </w:t>
      </w:r>
      <w:r w:rsidR="00A626FE" w:rsidRPr="00833C88">
        <w:rPr>
          <w:rFonts w:eastAsia="Times New Roman" w:cs="Times New Roman"/>
          <w:sz w:val="24"/>
          <w:szCs w:val="24"/>
          <w:lang w:eastAsia="pl-PL"/>
        </w:rPr>
        <w:t>KSC</w:t>
      </w:r>
      <w:r w:rsidR="00D62E00" w:rsidRPr="00833C88">
        <w:rPr>
          <w:rFonts w:eastAsia="Times New Roman" w:cs="Times New Roman"/>
          <w:sz w:val="24"/>
          <w:szCs w:val="24"/>
          <w:lang w:eastAsia="pl-PL"/>
        </w:rPr>
        <w:t xml:space="preserve"> stanowi jednocześnie naruszenie ochrony danych osobowych. Przepisy prawa przewidują także obowiązek notyfikacji tych zdarzeń. </w:t>
      </w:r>
      <w:r w:rsidR="00601933" w:rsidRPr="00833C88">
        <w:rPr>
          <w:rFonts w:eastAsia="Times New Roman" w:cs="Times New Roman"/>
          <w:sz w:val="24"/>
          <w:szCs w:val="24"/>
          <w:lang w:eastAsia="pl-PL"/>
        </w:rPr>
        <w:t>W </w:t>
      </w:r>
      <w:r w:rsidR="00D62E00" w:rsidRPr="00833C88">
        <w:rPr>
          <w:rFonts w:eastAsia="Times New Roman" w:cs="Times New Roman"/>
          <w:sz w:val="24"/>
          <w:szCs w:val="24"/>
          <w:lang w:eastAsia="pl-PL"/>
        </w:rPr>
        <w:t xml:space="preserve">przypadku incydentów cyberbezpieczeństwa podmioty krajowego systemu cyberbezpieczeństwa </w:t>
      </w:r>
      <w:r w:rsidR="00D62E00" w:rsidRPr="00833C88">
        <w:rPr>
          <w:rFonts w:eastAsia="Times New Roman" w:cs="Times New Roman"/>
          <w:sz w:val="24"/>
          <w:szCs w:val="24"/>
          <w:lang w:eastAsia="pl-PL"/>
        </w:rPr>
        <w:lastRenderedPageBreak/>
        <w:t xml:space="preserve">zgłaszają incydenty do jednego z zespołów CSIRT poziomu krajowego, </w:t>
      </w:r>
      <w:r w:rsidR="00601933" w:rsidRPr="00833C88">
        <w:rPr>
          <w:rFonts w:eastAsia="Times New Roman" w:cs="Times New Roman"/>
          <w:sz w:val="24"/>
          <w:szCs w:val="24"/>
          <w:lang w:eastAsia="pl-PL"/>
        </w:rPr>
        <w:t>a w </w:t>
      </w:r>
      <w:r w:rsidR="00D62E00" w:rsidRPr="00833C88">
        <w:rPr>
          <w:rFonts w:eastAsia="Times New Roman" w:cs="Times New Roman"/>
          <w:sz w:val="24"/>
          <w:szCs w:val="24"/>
          <w:lang w:eastAsia="pl-PL"/>
        </w:rPr>
        <w:t>przypadku naruszeń – do Prezesa Urzędu Ochrony Danych Osobowych.</w:t>
      </w:r>
    </w:p>
    <w:p w14:paraId="1C81C194" w14:textId="05DA408E" w:rsidR="00D62E00" w:rsidRPr="00833C88" w:rsidRDefault="00D62E0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Mnogość obowiązków informacyjnych może utrudnić ich realizację. Tymczasem art. 67 pkt 2 oraz 3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6 marca 2018 r. – Prawo przedsiębiorców, nakazuje przy projektowaniu aktów normatywnych dążenie do ograniczenia obowiązków informacyjnych oraz umożliwienie ich realizacji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postaci elektronicznej.</w:t>
      </w:r>
    </w:p>
    <w:p w14:paraId="499E55BA" w14:textId="55C93B4B" w:rsidR="004002C4"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Z </w:t>
      </w:r>
      <w:r w:rsidR="00D62E00" w:rsidRPr="00833C88">
        <w:rPr>
          <w:rFonts w:eastAsia="Times New Roman" w:cs="Times New Roman"/>
          <w:sz w:val="24"/>
          <w:szCs w:val="24"/>
          <w:lang w:eastAsia="pl-PL"/>
        </w:rPr>
        <w:t xml:space="preserve">tego powodu </w:t>
      </w:r>
      <w:r w:rsidR="007063FA" w:rsidRPr="00833C88">
        <w:rPr>
          <w:rFonts w:eastAsia="Times New Roman" w:cs="Times New Roman"/>
          <w:sz w:val="24"/>
          <w:szCs w:val="24"/>
          <w:lang w:eastAsia="pl-PL"/>
        </w:rPr>
        <w:t>wprowadza się</w:t>
      </w:r>
      <w:r w:rsidR="00D62E00" w:rsidRPr="00833C88">
        <w:rPr>
          <w:rFonts w:eastAsia="Times New Roman" w:cs="Times New Roman"/>
          <w:sz w:val="24"/>
          <w:szCs w:val="24"/>
          <w:lang w:eastAsia="pl-PL"/>
        </w:rPr>
        <w:t xml:space="preserve"> możliwość zgłaszania naruszeń ochrony danych osobowych za</w:t>
      </w:r>
      <w:r w:rsidR="009B4C26" w:rsidRPr="00833C88">
        <w:rPr>
          <w:rFonts w:eastAsia="Times New Roman" w:cs="Times New Roman"/>
          <w:sz w:val="24"/>
          <w:szCs w:val="24"/>
          <w:lang w:eastAsia="pl-PL"/>
        </w:rPr>
        <w:t> </w:t>
      </w:r>
      <w:r w:rsidR="00D62E00" w:rsidRPr="00833C88">
        <w:rPr>
          <w:rFonts w:eastAsia="Times New Roman" w:cs="Times New Roman"/>
          <w:sz w:val="24"/>
          <w:szCs w:val="24"/>
          <w:lang w:eastAsia="pl-PL"/>
        </w:rPr>
        <w:t xml:space="preserve">pomocą systemu </w:t>
      </w:r>
      <w:r w:rsidR="000D4C87" w:rsidRPr="00833C88">
        <w:rPr>
          <w:rFonts w:eastAsia="Times New Roman" w:cs="Times New Roman"/>
          <w:sz w:val="24"/>
          <w:szCs w:val="24"/>
          <w:lang w:eastAsia="pl-PL"/>
        </w:rPr>
        <w:t xml:space="preserve">teleinformatycznego </w:t>
      </w:r>
      <w:r w:rsidR="00D62E00" w:rsidRPr="00833C88">
        <w:rPr>
          <w:rFonts w:eastAsia="Times New Roman" w:cs="Times New Roman"/>
          <w:sz w:val="24"/>
          <w:szCs w:val="24"/>
          <w:lang w:eastAsia="pl-PL"/>
        </w:rPr>
        <w:t>S46</w:t>
      </w:r>
      <w:r w:rsidR="007063FA" w:rsidRPr="00833C88">
        <w:rPr>
          <w:rFonts w:eastAsia="Times New Roman" w:cs="Times New Roman"/>
          <w:sz w:val="24"/>
          <w:szCs w:val="24"/>
          <w:lang w:eastAsia="pl-PL"/>
        </w:rPr>
        <w:t>.</w:t>
      </w:r>
      <w:r w:rsidR="00D62E00" w:rsidRPr="00833C88">
        <w:rPr>
          <w:rFonts w:eastAsia="Times New Roman" w:cs="Times New Roman"/>
          <w:sz w:val="24"/>
          <w:szCs w:val="24"/>
          <w:lang w:eastAsia="pl-PL"/>
        </w:rPr>
        <w:t xml:space="preserve"> Takie rozwiązanie </w:t>
      </w:r>
      <w:r w:rsidRPr="00833C88">
        <w:rPr>
          <w:rFonts w:eastAsia="Times New Roman" w:cs="Times New Roman"/>
          <w:sz w:val="24"/>
          <w:szCs w:val="24"/>
          <w:lang w:eastAsia="pl-PL"/>
        </w:rPr>
        <w:t>z </w:t>
      </w:r>
      <w:r w:rsidR="00D62E00" w:rsidRPr="00833C88">
        <w:rPr>
          <w:rFonts w:eastAsia="Times New Roman" w:cs="Times New Roman"/>
          <w:sz w:val="24"/>
          <w:szCs w:val="24"/>
          <w:lang w:eastAsia="pl-PL"/>
        </w:rPr>
        <w:t xml:space="preserve">pewnością ułatwi zgłaszanie zdarzeń, będących zarówno incydentami jak </w:t>
      </w:r>
      <w:r w:rsidRPr="00833C88">
        <w:rPr>
          <w:rFonts w:eastAsia="Times New Roman" w:cs="Times New Roman"/>
          <w:sz w:val="24"/>
          <w:szCs w:val="24"/>
          <w:lang w:eastAsia="pl-PL"/>
        </w:rPr>
        <w:t>i </w:t>
      </w:r>
      <w:r w:rsidR="00D62E00" w:rsidRPr="00833C88">
        <w:rPr>
          <w:rFonts w:eastAsia="Times New Roman" w:cs="Times New Roman"/>
          <w:sz w:val="24"/>
          <w:szCs w:val="24"/>
          <w:lang w:eastAsia="pl-PL"/>
        </w:rPr>
        <w:t>naruszeniami ochrony danych osobowych.</w:t>
      </w:r>
    </w:p>
    <w:p w14:paraId="5C23F697" w14:textId="3379510D" w:rsidR="003665D4" w:rsidRPr="00833C88" w:rsidRDefault="00A13F4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Uwierzytelnienie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systemie teleinformatycznym S46 będzie się odbywać </w:t>
      </w:r>
      <w:r w:rsidR="008F1149" w:rsidRPr="00833C88">
        <w:rPr>
          <w:rFonts w:eastAsia="Times New Roman" w:cs="Times New Roman"/>
          <w:sz w:val="24"/>
          <w:szCs w:val="24"/>
          <w:lang w:eastAsia="pl-PL"/>
        </w:rPr>
        <w:t>tak</w:t>
      </w:r>
      <w:r w:rsidR="001A275A" w:rsidRPr="00833C88">
        <w:rPr>
          <w:rFonts w:eastAsia="Times New Roman" w:cs="Times New Roman"/>
          <w:sz w:val="24"/>
          <w:szCs w:val="24"/>
          <w:lang w:eastAsia="pl-PL"/>
        </w:rPr>
        <w:t>,</w:t>
      </w:r>
      <w:r w:rsidR="008F1149" w:rsidRPr="00833C88">
        <w:rPr>
          <w:rFonts w:eastAsia="Times New Roman" w:cs="Times New Roman"/>
          <w:sz w:val="24"/>
          <w:szCs w:val="24"/>
          <w:lang w:eastAsia="pl-PL"/>
        </w:rPr>
        <w:t xml:space="preserve"> jak to</w:t>
      </w:r>
      <w:r w:rsidR="00DE38C1" w:rsidRPr="00833C88">
        <w:rPr>
          <w:rFonts w:eastAsia="Times New Roman" w:cs="Times New Roman"/>
          <w:sz w:val="24"/>
          <w:szCs w:val="24"/>
          <w:lang w:eastAsia="pl-PL"/>
        </w:rPr>
        <w:t> </w:t>
      </w:r>
      <w:r w:rsidR="008F1149" w:rsidRPr="00833C88">
        <w:rPr>
          <w:rFonts w:eastAsia="Times New Roman" w:cs="Times New Roman"/>
          <w:sz w:val="24"/>
          <w:szCs w:val="24"/>
          <w:lang w:eastAsia="pl-PL"/>
        </w:rPr>
        <w:t xml:space="preserve">przewiduje ustawa </w:t>
      </w:r>
      <w:r w:rsidR="00601933" w:rsidRPr="00833C88">
        <w:rPr>
          <w:rFonts w:eastAsia="Times New Roman" w:cs="Times New Roman"/>
          <w:sz w:val="24"/>
          <w:szCs w:val="24"/>
          <w:lang w:eastAsia="pl-PL"/>
        </w:rPr>
        <w:t>z </w:t>
      </w:r>
      <w:r w:rsidR="008F1149" w:rsidRPr="00833C88">
        <w:rPr>
          <w:rFonts w:eastAsia="Times New Roman" w:cs="Times New Roman"/>
          <w:sz w:val="24"/>
          <w:szCs w:val="24"/>
          <w:lang w:eastAsia="pl-PL"/>
        </w:rPr>
        <w:t xml:space="preserve">dnia 17 lutego 2005 r. </w:t>
      </w:r>
      <w:r w:rsidR="00601933" w:rsidRPr="00833C88">
        <w:rPr>
          <w:rFonts w:eastAsia="Times New Roman" w:cs="Times New Roman"/>
          <w:sz w:val="24"/>
          <w:szCs w:val="24"/>
          <w:lang w:eastAsia="pl-PL"/>
        </w:rPr>
        <w:t>o </w:t>
      </w:r>
      <w:r w:rsidR="008F1149" w:rsidRPr="00833C88">
        <w:rPr>
          <w:rFonts w:eastAsia="Times New Roman" w:cs="Times New Roman"/>
          <w:sz w:val="24"/>
          <w:szCs w:val="24"/>
          <w:lang w:eastAsia="pl-PL"/>
        </w:rPr>
        <w:t xml:space="preserve">informatyzacji działalności podmiotów realizujących zadania publiczne. </w:t>
      </w:r>
      <w:r w:rsidR="00141B1C" w:rsidRPr="00833C88">
        <w:rPr>
          <w:rFonts w:eastAsia="Times New Roman" w:cs="Times New Roman"/>
          <w:sz w:val="24"/>
          <w:szCs w:val="24"/>
          <w:lang w:eastAsia="pl-PL"/>
        </w:rPr>
        <w:t xml:space="preserve">Jest to ogólny sposób uwierzytelniania </w:t>
      </w:r>
      <w:r w:rsidR="00601933" w:rsidRPr="00833C88">
        <w:rPr>
          <w:rFonts w:eastAsia="Times New Roman" w:cs="Times New Roman"/>
          <w:sz w:val="24"/>
          <w:szCs w:val="24"/>
          <w:lang w:eastAsia="pl-PL"/>
        </w:rPr>
        <w:t>w </w:t>
      </w:r>
      <w:r w:rsidR="00920139" w:rsidRPr="00833C88">
        <w:rPr>
          <w:rFonts w:eastAsia="Times New Roman" w:cs="Times New Roman"/>
          <w:sz w:val="24"/>
          <w:szCs w:val="24"/>
          <w:lang w:eastAsia="pl-PL"/>
        </w:rPr>
        <w:t>systemach podmiotów realizujących zadania publiczne, dobrze też znany</w:t>
      </w:r>
      <w:r w:rsidR="00396222" w:rsidRPr="00833C88">
        <w:rPr>
          <w:rFonts w:eastAsia="Times New Roman" w:cs="Times New Roman"/>
          <w:sz w:val="24"/>
          <w:szCs w:val="24"/>
          <w:lang w:eastAsia="pl-PL"/>
        </w:rPr>
        <w:t>.</w:t>
      </w:r>
    </w:p>
    <w:p w14:paraId="585C6982" w14:textId="4E6BA5A5" w:rsidR="00A13F40" w:rsidRPr="00833C88" w:rsidRDefault="003665D4" w:rsidP="0078477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Uwierzytelnienie użytkownika będzie więc dostępne za </w:t>
      </w:r>
      <w:r w:rsidR="003C08F4" w:rsidRPr="00833C88">
        <w:rPr>
          <w:rFonts w:eastAsia="Times New Roman" w:cs="Times New Roman"/>
          <w:sz w:val="24"/>
          <w:szCs w:val="24"/>
          <w:lang w:eastAsia="pl-PL"/>
        </w:rPr>
        <w:t>pomocą</w:t>
      </w:r>
      <w:r w:rsidR="0078477E" w:rsidRPr="00833C88">
        <w:rPr>
          <w:rFonts w:eastAsia="Times New Roman" w:cs="Times New Roman"/>
          <w:sz w:val="24"/>
          <w:szCs w:val="24"/>
          <w:lang w:eastAsia="pl-PL"/>
        </w:rPr>
        <w:t xml:space="preserve"> bezpłatnych profilu zaufanego oraz profilu osobistego, </w:t>
      </w:r>
      <w:r w:rsidR="00601933" w:rsidRPr="00833C88">
        <w:rPr>
          <w:rFonts w:eastAsia="Times New Roman" w:cs="Times New Roman"/>
          <w:sz w:val="24"/>
          <w:szCs w:val="24"/>
          <w:lang w:eastAsia="pl-PL"/>
        </w:rPr>
        <w:t>a </w:t>
      </w:r>
      <w:r w:rsidR="001366A8" w:rsidRPr="00833C88">
        <w:rPr>
          <w:rFonts w:eastAsia="Times New Roman" w:cs="Times New Roman"/>
          <w:sz w:val="24"/>
          <w:szCs w:val="24"/>
          <w:lang w:eastAsia="pl-PL"/>
        </w:rPr>
        <w:t xml:space="preserve">także środków identyfikacji elektronicznej dostarczanych przez banki jak również </w:t>
      </w:r>
      <w:r w:rsidR="00200EEA" w:rsidRPr="00833C88">
        <w:rPr>
          <w:rFonts w:eastAsia="Times New Roman" w:cs="Times New Roman"/>
          <w:sz w:val="24"/>
          <w:szCs w:val="24"/>
          <w:lang w:eastAsia="pl-PL"/>
        </w:rPr>
        <w:t>za pomocą</w:t>
      </w:r>
      <w:r w:rsidR="001366A8" w:rsidRPr="00833C88">
        <w:rPr>
          <w:rFonts w:eastAsia="Times New Roman" w:cs="Times New Roman"/>
          <w:sz w:val="24"/>
          <w:szCs w:val="24"/>
          <w:lang w:eastAsia="pl-PL"/>
        </w:rPr>
        <w:t xml:space="preserve"> </w:t>
      </w:r>
      <w:r w:rsidR="00200EEA" w:rsidRPr="00833C88">
        <w:rPr>
          <w:rFonts w:eastAsia="Times New Roman" w:cs="Times New Roman"/>
          <w:sz w:val="24"/>
          <w:szCs w:val="24"/>
          <w:lang w:eastAsia="pl-PL"/>
        </w:rPr>
        <w:t xml:space="preserve">danych weryfikowanych za pomocą kwalifikowanego certyfikatu podpisu elektronicznego, jeżeli te dane pozwalają na identyfikację </w:t>
      </w:r>
      <w:r w:rsidR="00601933" w:rsidRPr="00833C88">
        <w:rPr>
          <w:rFonts w:eastAsia="Times New Roman" w:cs="Times New Roman"/>
          <w:sz w:val="24"/>
          <w:szCs w:val="24"/>
          <w:lang w:eastAsia="pl-PL"/>
        </w:rPr>
        <w:t>i </w:t>
      </w:r>
      <w:r w:rsidR="00200EEA" w:rsidRPr="00833C88">
        <w:rPr>
          <w:rFonts w:eastAsia="Times New Roman" w:cs="Times New Roman"/>
          <w:sz w:val="24"/>
          <w:szCs w:val="24"/>
          <w:lang w:eastAsia="pl-PL"/>
        </w:rPr>
        <w:t>uwierzytelnienie.</w:t>
      </w:r>
    </w:p>
    <w:p w14:paraId="4FEA100D" w14:textId="12BE8874" w:rsidR="00285C7F" w:rsidRPr="00833C88" w:rsidRDefault="00285C7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 prośbę Ministra Obrony Narodowej dodano możliwość, aby zespoły CSIRT poziomu krajowego </w:t>
      </w:r>
      <w:r w:rsidR="000309F3" w:rsidRPr="00833C88">
        <w:rPr>
          <w:rFonts w:eastAsia="Times New Roman" w:cs="Times New Roman"/>
          <w:sz w:val="24"/>
          <w:szCs w:val="24"/>
          <w:lang w:eastAsia="pl-PL"/>
        </w:rPr>
        <w:t>mogły otrzymywać informacje</w:t>
      </w:r>
      <w:r w:rsidR="00DE55D8" w:rsidRPr="00833C88">
        <w:rPr>
          <w:rFonts w:eastAsia="Times New Roman" w:cs="Times New Roman"/>
          <w:sz w:val="24"/>
          <w:szCs w:val="24"/>
          <w:lang w:eastAsia="pl-PL"/>
        </w:rPr>
        <w:t xml:space="preserve"> przetwarzanych </w:t>
      </w:r>
      <w:r w:rsidR="00601933" w:rsidRPr="00833C88">
        <w:rPr>
          <w:rFonts w:eastAsia="Times New Roman" w:cs="Times New Roman"/>
          <w:sz w:val="24"/>
          <w:szCs w:val="24"/>
          <w:lang w:eastAsia="pl-PL"/>
        </w:rPr>
        <w:t>w </w:t>
      </w:r>
      <w:r w:rsidR="00DE55D8" w:rsidRPr="00833C88">
        <w:rPr>
          <w:rFonts w:eastAsia="Times New Roman" w:cs="Times New Roman"/>
          <w:sz w:val="24"/>
          <w:szCs w:val="24"/>
          <w:lang w:eastAsia="pl-PL"/>
        </w:rPr>
        <w:t>systemie teleinformatycznym S46 dotyczących danego podmiotu kluczowego lub podmiotu ważnego.</w:t>
      </w:r>
      <w:r w:rsidR="00A41B75" w:rsidRPr="00833C88">
        <w:rPr>
          <w:rFonts w:eastAsia="Times New Roman" w:cs="Times New Roman"/>
          <w:sz w:val="24"/>
          <w:szCs w:val="24"/>
          <w:lang w:eastAsia="pl-PL"/>
        </w:rPr>
        <w:t xml:space="preserve"> Informacje te będą przydatne zespołom CSIRT, które </w:t>
      </w:r>
      <w:r w:rsidR="001B3295" w:rsidRPr="00833C88">
        <w:rPr>
          <w:rFonts w:eastAsia="Times New Roman" w:cs="Times New Roman"/>
          <w:sz w:val="24"/>
          <w:szCs w:val="24"/>
          <w:lang w:eastAsia="pl-PL"/>
        </w:rPr>
        <w:t>prowadzą szacowanie ryzyka na poziomie krajowym.</w:t>
      </w:r>
    </w:p>
    <w:p w14:paraId="7F4722D9" w14:textId="56B73892" w:rsidR="00B952C2" w:rsidRPr="00833C88" w:rsidRDefault="00B952C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Dopuszcza się korzystanie przez podmioty resortu obrony narodowej z własnych odrębnych środków komunikacji elektronicznej do zgłaszania incydentów do CSIRT MON i CSIRT sektorowych.</w:t>
      </w:r>
    </w:p>
    <w:p w14:paraId="1C0289F4" w14:textId="6689010E" w:rsidR="00B952C2" w:rsidRPr="00833C88" w:rsidRDefault="00B952C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Wprowadza się również przepisy regulujące kwestie doręczania dokumentów w postaci elektronicznej w systemie </w:t>
      </w:r>
      <w:r w:rsidR="00062670" w:rsidRPr="00833C88">
        <w:rPr>
          <w:rFonts w:eastAsia="Times New Roman" w:cs="Times New Roman"/>
          <w:sz w:val="24"/>
          <w:szCs w:val="24"/>
          <w:lang w:eastAsia="pl-PL"/>
        </w:rPr>
        <w:t xml:space="preserve">teleinformatycznym </w:t>
      </w:r>
      <w:r w:rsidRPr="00833C88">
        <w:rPr>
          <w:rFonts w:eastAsia="Times New Roman" w:cs="Times New Roman"/>
          <w:sz w:val="24"/>
          <w:szCs w:val="24"/>
          <w:lang w:eastAsia="pl-PL"/>
        </w:rPr>
        <w:t>S46.</w:t>
      </w:r>
      <w:r w:rsidR="00A827D7" w:rsidRPr="00833C88">
        <w:rPr>
          <w:rFonts w:eastAsia="Times New Roman" w:cs="Times New Roman"/>
          <w:sz w:val="24"/>
          <w:szCs w:val="24"/>
          <w:lang w:eastAsia="pl-PL"/>
        </w:rPr>
        <w:t xml:space="preserve"> </w:t>
      </w:r>
      <w:r w:rsidR="00C624DE" w:rsidRPr="00833C88">
        <w:rPr>
          <w:rFonts w:eastAsia="Times New Roman" w:cs="Times New Roman"/>
          <w:sz w:val="24"/>
          <w:szCs w:val="24"/>
          <w:lang w:eastAsia="pl-PL"/>
        </w:rPr>
        <w:t xml:space="preserve">Co do zasady doręczenie jest skuteczne, jeżeli adresat potwierdzi odbiór pisma w systemie. Aby jednak przeciwdziałać </w:t>
      </w:r>
      <w:r w:rsidR="005A0728" w:rsidRPr="00833C88">
        <w:rPr>
          <w:rFonts w:eastAsia="Times New Roman" w:cs="Times New Roman"/>
          <w:sz w:val="24"/>
          <w:szCs w:val="24"/>
          <w:lang w:eastAsia="pl-PL"/>
        </w:rPr>
        <w:t>próbom unikania doręczenia organ</w:t>
      </w:r>
      <w:r w:rsidR="00A178EB" w:rsidRPr="00833C88">
        <w:rPr>
          <w:rFonts w:eastAsia="Times New Roman" w:cs="Times New Roman"/>
          <w:sz w:val="24"/>
          <w:szCs w:val="24"/>
          <w:lang w:eastAsia="pl-PL"/>
        </w:rPr>
        <w:t xml:space="preserve"> po upływie 7 dni,</w:t>
      </w:r>
      <w:r w:rsidR="00B94091" w:rsidRPr="00833C88">
        <w:rPr>
          <w:rFonts w:eastAsia="Times New Roman" w:cs="Times New Roman"/>
          <w:sz w:val="24"/>
          <w:szCs w:val="24"/>
          <w:lang w:eastAsia="pl-PL"/>
        </w:rPr>
        <w:t xml:space="preserve"> licząc od dnia wysłania </w:t>
      </w:r>
      <w:r w:rsidR="00DF1846" w:rsidRPr="00833C88">
        <w:rPr>
          <w:rFonts w:eastAsia="Times New Roman" w:cs="Times New Roman"/>
          <w:sz w:val="24"/>
          <w:szCs w:val="24"/>
          <w:lang w:eastAsia="pl-PL"/>
        </w:rPr>
        <w:t>pisma</w:t>
      </w:r>
      <w:r w:rsidR="00B94091" w:rsidRPr="00833C88">
        <w:rPr>
          <w:rFonts w:eastAsia="Times New Roman" w:cs="Times New Roman"/>
          <w:sz w:val="24"/>
          <w:szCs w:val="24"/>
          <w:lang w:eastAsia="pl-PL"/>
        </w:rPr>
        <w:t xml:space="preserve">, przesyła zawiadomienie o możliwości odebrania tego pisma. Po 14 dniach od </w:t>
      </w:r>
      <w:r w:rsidR="006E6F3B" w:rsidRPr="00833C88">
        <w:rPr>
          <w:rFonts w:eastAsia="Times New Roman" w:cs="Times New Roman"/>
          <w:sz w:val="24"/>
          <w:szCs w:val="24"/>
          <w:lang w:eastAsia="pl-PL"/>
        </w:rPr>
        <w:t>dnia wysłania pisma</w:t>
      </w:r>
      <w:r w:rsidR="00475EB7" w:rsidRPr="00833C88">
        <w:rPr>
          <w:rFonts w:eastAsia="Times New Roman" w:cs="Times New Roman"/>
          <w:sz w:val="24"/>
          <w:szCs w:val="24"/>
          <w:lang w:eastAsia="pl-PL"/>
        </w:rPr>
        <w:t xml:space="preserve"> doręczenie uważa się za dokonane – jest to tzw. fikcja doręczenia. </w:t>
      </w:r>
    </w:p>
    <w:p w14:paraId="7C946B24" w14:textId="09E96E39" w:rsidR="00772D34" w:rsidRPr="00833C88" w:rsidRDefault="00772D34" w:rsidP="00BC7BDE">
      <w:pPr>
        <w:pStyle w:val="Nagwek3"/>
        <w:spacing w:before="0" w:after="120" w:line="360" w:lineRule="auto"/>
        <w:jc w:val="both"/>
        <w:rPr>
          <w:rFonts w:cs="Times New Roman"/>
          <w:b/>
          <w:bCs/>
        </w:rPr>
      </w:pPr>
      <w:r w:rsidRPr="00833C88">
        <w:rPr>
          <w:rFonts w:cs="Times New Roman"/>
          <w:b/>
          <w:bCs/>
          <w:u w:val="none"/>
        </w:rPr>
        <w:lastRenderedPageBreak/>
        <w:t>Powierzanie realizacji zadań ministra właściwego do spraw informatyzacji</w:t>
      </w:r>
    </w:p>
    <w:p w14:paraId="14CAFDBA" w14:textId="1E9F826E" w:rsidR="00E805F1" w:rsidRPr="00833C88" w:rsidRDefault="004137D0" w:rsidP="00E805F1">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Dostosowano przepis</w:t>
      </w:r>
      <w:r w:rsidR="008F29F2" w:rsidRPr="00833C88">
        <w:rPr>
          <w:rFonts w:eastAsia="Times New Roman" w:cs="Times New Roman"/>
          <w:sz w:val="24"/>
          <w:szCs w:val="24"/>
          <w:lang w:eastAsia="pl-PL"/>
        </w:rPr>
        <w:t xml:space="preserve">, który obecnie umożliwia powierzenie realizacji zadań ministra właściwego do spraw informatyzacji jego jednostkom podległym lub przez niego nadzorowanych. </w:t>
      </w:r>
      <w:r w:rsidR="007E3618" w:rsidRPr="00833C88">
        <w:rPr>
          <w:rFonts w:eastAsia="Times New Roman" w:cs="Times New Roman"/>
          <w:sz w:val="24"/>
          <w:szCs w:val="24"/>
          <w:lang w:eastAsia="pl-PL"/>
        </w:rPr>
        <w:t xml:space="preserve">Uzupełniono katalog zadań, które mogą być powierzone – są to zadania </w:t>
      </w:r>
      <w:r w:rsidR="00EE38FD" w:rsidRPr="00833C88">
        <w:rPr>
          <w:rFonts w:eastAsia="Times New Roman" w:cs="Times New Roman"/>
          <w:sz w:val="24"/>
          <w:szCs w:val="24"/>
          <w:lang w:eastAsia="pl-PL"/>
        </w:rPr>
        <w:t xml:space="preserve">własne </w:t>
      </w:r>
      <w:r w:rsidR="007E3618" w:rsidRPr="00833C88">
        <w:rPr>
          <w:rFonts w:eastAsia="Times New Roman" w:cs="Times New Roman"/>
          <w:sz w:val="24"/>
          <w:szCs w:val="24"/>
          <w:lang w:eastAsia="pl-PL"/>
        </w:rPr>
        <w:t>mi</w:t>
      </w:r>
      <w:r w:rsidR="00EE38FD" w:rsidRPr="00833C88">
        <w:rPr>
          <w:rFonts w:eastAsia="Times New Roman" w:cs="Times New Roman"/>
          <w:sz w:val="24"/>
          <w:szCs w:val="24"/>
          <w:lang w:eastAsia="pl-PL"/>
        </w:rPr>
        <w:t xml:space="preserve">nistra takie jak monitorowanie wdrożenia Strategii, prowadzenie systemu </w:t>
      </w:r>
      <w:r w:rsidR="00F5639C" w:rsidRPr="00833C88">
        <w:rPr>
          <w:rFonts w:eastAsia="Times New Roman" w:cs="Times New Roman"/>
          <w:sz w:val="24"/>
          <w:szCs w:val="24"/>
          <w:lang w:eastAsia="pl-PL"/>
        </w:rPr>
        <w:t xml:space="preserve">teleinformatycznego S46 jak również udzielanie wsparcia finansowego na projektu </w:t>
      </w:r>
      <w:r w:rsidR="00601933" w:rsidRPr="00833C88">
        <w:rPr>
          <w:rFonts w:eastAsia="Times New Roman" w:cs="Times New Roman"/>
          <w:sz w:val="24"/>
          <w:szCs w:val="24"/>
          <w:lang w:eastAsia="pl-PL"/>
        </w:rPr>
        <w:t>z </w:t>
      </w:r>
      <w:r w:rsidR="00F5639C" w:rsidRPr="00833C88">
        <w:rPr>
          <w:rFonts w:eastAsia="Times New Roman" w:cs="Times New Roman"/>
          <w:sz w:val="24"/>
          <w:szCs w:val="24"/>
          <w:lang w:eastAsia="pl-PL"/>
        </w:rPr>
        <w:t xml:space="preserve">zakresu cyberbezpieczeństwa. </w:t>
      </w:r>
    </w:p>
    <w:p w14:paraId="1E349B9C" w14:textId="155DEB13" w:rsidR="00E87031" w:rsidRPr="00833C88" w:rsidRDefault="00157E80" w:rsidP="00E805F1">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Wskazano przy tym, że minister właściwy do spraw informatyzacji może udostępniać jednostkom, którym powierzył realizację zadań</w:t>
      </w:r>
      <w:r w:rsidR="00396B01" w:rsidRPr="00833C88">
        <w:rPr>
          <w:rFonts w:eastAsia="Times New Roman" w:cs="Times New Roman"/>
          <w:sz w:val="24"/>
          <w:szCs w:val="24"/>
          <w:lang w:eastAsia="pl-PL"/>
        </w:rPr>
        <w:t xml:space="preserve"> dane z wykazu podmiotów kluczowych i</w:t>
      </w:r>
      <w:r w:rsidR="00EE5628" w:rsidRPr="00833C88">
        <w:rPr>
          <w:rFonts w:eastAsia="Times New Roman" w:cs="Times New Roman"/>
          <w:sz w:val="24"/>
          <w:szCs w:val="24"/>
          <w:lang w:eastAsia="pl-PL"/>
        </w:rPr>
        <w:t> </w:t>
      </w:r>
      <w:r w:rsidR="00396B01" w:rsidRPr="00833C88">
        <w:rPr>
          <w:rFonts w:eastAsia="Times New Roman" w:cs="Times New Roman"/>
          <w:sz w:val="24"/>
          <w:szCs w:val="24"/>
          <w:lang w:eastAsia="pl-PL"/>
        </w:rPr>
        <w:t>podmiotów ważnych w zakres</w:t>
      </w:r>
      <w:r w:rsidR="00204ED1" w:rsidRPr="00833C88">
        <w:rPr>
          <w:rFonts w:eastAsia="Times New Roman" w:cs="Times New Roman"/>
          <w:sz w:val="24"/>
          <w:szCs w:val="24"/>
          <w:lang w:eastAsia="pl-PL"/>
        </w:rPr>
        <w:t>ie i w celu realizacji zadań im powierzonych. Udostępnianie to</w:t>
      </w:r>
      <w:r w:rsidR="001A275A" w:rsidRPr="00833C88">
        <w:rPr>
          <w:rFonts w:eastAsia="Times New Roman" w:cs="Times New Roman"/>
          <w:sz w:val="24"/>
          <w:szCs w:val="24"/>
          <w:lang w:eastAsia="pl-PL"/>
        </w:rPr>
        <w:t> </w:t>
      </w:r>
      <w:r w:rsidR="00204ED1" w:rsidRPr="00833C88">
        <w:rPr>
          <w:rFonts w:eastAsia="Times New Roman" w:cs="Times New Roman"/>
          <w:sz w:val="24"/>
          <w:szCs w:val="24"/>
          <w:lang w:eastAsia="pl-PL"/>
        </w:rPr>
        <w:t>musi być zgodne z RODO i uwzględniać poufność, integralność, dostępność i autentyczność danych.</w:t>
      </w:r>
      <w:r w:rsidR="00192AD5" w:rsidRPr="00833C88">
        <w:rPr>
          <w:rFonts w:eastAsia="Times New Roman" w:cs="Times New Roman"/>
          <w:sz w:val="24"/>
          <w:szCs w:val="24"/>
          <w:lang w:eastAsia="pl-PL"/>
        </w:rPr>
        <w:t xml:space="preserve"> Przepis ten ma pełnić funkcję gwarancyjną.</w:t>
      </w:r>
    </w:p>
    <w:p w14:paraId="6D7CA175" w14:textId="2F88239D" w:rsidR="00260727" w:rsidRPr="00833C88" w:rsidRDefault="00260727" w:rsidP="005B6736">
      <w:pPr>
        <w:pStyle w:val="Nagwek3"/>
        <w:spacing w:before="0" w:after="120" w:line="360" w:lineRule="auto"/>
        <w:jc w:val="both"/>
        <w:rPr>
          <w:rFonts w:cs="Times New Roman"/>
          <w:b/>
          <w:bCs/>
        </w:rPr>
      </w:pPr>
      <w:r w:rsidRPr="00833C88">
        <w:rPr>
          <w:rFonts w:cs="Times New Roman"/>
          <w:b/>
          <w:bCs/>
          <w:u w:val="none"/>
        </w:rPr>
        <w:t xml:space="preserve">Pojedynczy punkt kontaktowy </w:t>
      </w:r>
    </w:p>
    <w:p w14:paraId="61202F23" w14:textId="2BA32B8D" w:rsidR="000E402D" w:rsidRPr="00833C88" w:rsidRDefault="00260727"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w:t>
      </w:r>
      <w:r w:rsidR="00256ED5"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256ED5" w:rsidRPr="00833C88">
        <w:rPr>
          <w:rFonts w:eastAsia="Times New Roman" w:cs="Times New Roman"/>
          <w:sz w:val="24"/>
          <w:szCs w:val="24"/>
          <w:lang w:eastAsia="pl-PL"/>
        </w:rPr>
        <w:t xml:space="preserve">KSC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zakresie pojedynczego punktu kontaktowego zostały dostosowane do nowej struktury pojęciowej oraz do zmian jakie zostały wprowadzone</w:t>
      </w:r>
      <w:r w:rsidR="005E46E4" w:rsidRPr="00833C88">
        <w:rPr>
          <w:rFonts w:eastAsia="Times New Roman" w:cs="Times New Roman"/>
          <w:sz w:val="24"/>
          <w:szCs w:val="24"/>
          <w:lang w:eastAsia="pl-PL"/>
        </w:rPr>
        <w: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wśród instytucji unijnych. Zapewni to sprawną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efektywną wymianę informacji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obszarze cyberbezpieczeństwa.</w:t>
      </w:r>
      <w:r w:rsidR="00237FB0" w:rsidRPr="00833C88">
        <w:rPr>
          <w:rFonts w:eastAsia="Times New Roman" w:cs="Times New Roman"/>
          <w:sz w:val="24"/>
          <w:szCs w:val="24"/>
          <w:lang w:eastAsia="pl-PL"/>
        </w:rPr>
        <w:t xml:space="preserve"> Pojedynczy punkt kontaktowy będzie </w:t>
      </w:r>
      <w:r w:rsidR="0003066F" w:rsidRPr="00833C88">
        <w:rPr>
          <w:rFonts w:eastAsia="Times New Roman" w:cs="Times New Roman"/>
          <w:sz w:val="24"/>
          <w:szCs w:val="24"/>
          <w:lang w:eastAsia="pl-PL"/>
        </w:rPr>
        <w:t>przekazywał Agencji Unii Europejskiej do Spraw Cyberbezpieczeństwa</w:t>
      </w:r>
      <w:r w:rsidR="00730DBC" w:rsidRPr="00833C88">
        <w:rPr>
          <w:rFonts w:eastAsia="Times New Roman" w:cs="Times New Roman"/>
          <w:sz w:val="24"/>
          <w:szCs w:val="24"/>
          <w:lang w:eastAsia="pl-PL"/>
        </w:rPr>
        <w:t xml:space="preserve"> (ENISA)</w:t>
      </w:r>
      <w:r w:rsidR="0003066F" w:rsidRPr="00833C88">
        <w:rPr>
          <w:rFonts w:eastAsia="Times New Roman" w:cs="Times New Roman"/>
          <w:sz w:val="24"/>
          <w:szCs w:val="24"/>
          <w:lang w:eastAsia="pl-PL"/>
        </w:rPr>
        <w:t xml:space="preserve"> </w:t>
      </w:r>
      <w:r w:rsidR="00D930F8" w:rsidRPr="00833C88">
        <w:rPr>
          <w:rFonts w:eastAsia="Times New Roman" w:cs="Times New Roman"/>
          <w:sz w:val="24"/>
          <w:szCs w:val="24"/>
          <w:lang w:eastAsia="pl-PL"/>
        </w:rPr>
        <w:t xml:space="preserve">aktualne </w:t>
      </w:r>
      <w:r w:rsidR="00195E4D" w:rsidRPr="00833C88">
        <w:rPr>
          <w:rFonts w:eastAsia="Times New Roman" w:cs="Times New Roman"/>
          <w:sz w:val="24"/>
          <w:szCs w:val="24"/>
          <w:lang w:eastAsia="pl-PL"/>
        </w:rPr>
        <w:t xml:space="preserve">dane </w:t>
      </w:r>
      <w:r w:rsidR="00601933" w:rsidRPr="00833C88">
        <w:rPr>
          <w:rFonts w:eastAsia="Times New Roman" w:cs="Times New Roman"/>
          <w:sz w:val="24"/>
          <w:szCs w:val="24"/>
          <w:lang w:eastAsia="pl-PL"/>
        </w:rPr>
        <w:t>o </w:t>
      </w:r>
      <w:r w:rsidR="00195E4D" w:rsidRPr="00833C88">
        <w:rPr>
          <w:rFonts w:eastAsia="Times New Roman" w:cs="Times New Roman"/>
          <w:sz w:val="24"/>
          <w:szCs w:val="24"/>
          <w:lang w:eastAsia="pl-PL"/>
        </w:rPr>
        <w:t xml:space="preserve">podmiotach </w:t>
      </w:r>
      <w:r w:rsidR="00601933" w:rsidRPr="00833C88">
        <w:rPr>
          <w:rFonts w:eastAsia="Times New Roman" w:cs="Times New Roman"/>
          <w:sz w:val="24"/>
          <w:szCs w:val="24"/>
          <w:lang w:eastAsia="pl-PL"/>
        </w:rPr>
        <w:t>z </w:t>
      </w:r>
      <w:r w:rsidR="00195E4D" w:rsidRPr="00833C88">
        <w:rPr>
          <w:rFonts w:eastAsia="Times New Roman" w:cs="Times New Roman"/>
          <w:sz w:val="24"/>
          <w:szCs w:val="24"/>
          <w:lang w:eastAsia="pl-PL"/>
        </w:rPr>
        <w:t xml:space="preserve">sektorów infrastruktury cyfrowej, zarządzania ICT </w:t>
      </w:r>
      <w:r w:rsidR="00601933" w:rsidRPr="00833C88">
        <w:rPr>
          <w:rFonts w:eastAsia="Times New Roman" w:cs="Times New Roman"/>
          <w:sz w:val="24"/>
          <w:szCs w:val="24"/>
          <w:lang w:eastAsia="pl-PL"/>
        </w:rPr>
        <w:t>i </w:t>
      </w:r>
      <w:r w:rsidR="00195E4D" w:rsidRPr="00833C88">
        <w:rPr>
          <w:rFonts w:eastAsia="Times New Roman" w:cs="Times New Roman"/>
          <w:sz w:val="24"/>
          <w:szCs w:val="24"/>
          <w:lang w:eastAsia="pl-PL"/>
        </w:rPr>
        <w:t>dostawców usług cyfrowych</w:t>
      </w:r>
      <w:r w:rsidR="000447B3"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000447B3" w:rsidRPr="00833C88">
        <w:rPr>
          <w:rFonts w:eastAsia="Times New Roman" w:cs="Times New Roman"/>
          <w:sz w:val="24"/>
          <w:szCs w:val="24"/>
          <w:lang w:eastAsia="pl-PL"/>
        </w:rPr>
        <w:t xml:space="preserve">także Komisji Europejskiej </w:t>
      </w:r>
      <w:r w:rsidR="008C528C" w:rsidRPr="00833C88">
        <w:rPr>
          <w:rFonts w:eastAsia="Times New Roman" w:cs="Times New Roman"/>
          <w:sz w:val="24"/>
          <w:szCs w:val="24"/>
          <w:lang w:eastAsia="pl-PL"/>
        </w:rPr>
        <w:t xml:space="preserve">oraz Grupie Współpracy </w:t>
      </w:r>
      <w:r w:rsidR="000447B3" w:rsidRPr="00833C88">
        <w:rPr>
          <w:rFonts w:eastAsia="Times New Roman" w:cs="Times New Roman"/>
          <w:sz w:val="24"/>
          <w:szCs w:val="24"/>
          <w:lang w:eastAsia="pl-PL"/>
        </w:rPr>
        <w:t xml:space="preserve">informacje </w:t>
      </w:r>
      <w:r w:rsidR="00601933" w:rsidRPr="00833C88">
        <w:rPr>
          <w:rFonts w:eastAsia="Times New Roman" w:cs="Times New Roman"/>
          <w:sz w:val="24"/>
          <w:szCs w:val="24"/>
          <w:lang w:eastAsia="pl-PL"/>
        </w:rPr>
        <w:t>o </w:t>
      </w:r>
      <w:r w:rsidR="008C528C" w:rsidRPr="00833C88">
        <w:rPr>
          <w:rFonts w:eastAsia="Times New Roman" w:cs="Times New Roman"/>
          <w:sz w:val="24"/>
          <w:szCs w:val="24"/>
          <w:lang w:eastAsia="pl-PL"/>
        </w:rPr>
        <w:t xml:space="preserve">podmiotach znajdujących się </w:t>
      </w:r>
      <w:r w:rsidR="00601933" w:rsidRPr="00833C88">
        <w:rPr>
          <w:rFonts w:eastAsia="Times New Roman" w:cs="Times New Roman"/>
          <w:sz w:val="24"/>
          <w:szCs w:val="24"/>
          <w:lang w:eastAsia="pl-PL"/>
        </w:rPr>
        <w:t>w </w:t>
      </w:r>
      <w:r w:rsidR="008C528C" w:rsidRPr="00833C88">
        <w:rPr>
          <w:rFonts w:eastAsia="Times New Roman" w:cs="Times New Roman"/>
          <w:sz w:val="24"/>
          <w:szCs w:val="24"/>
          <w:lang w:eastAsia="pl-PL"/>
        </w:rPr>
        <w:t xml:space="preserve">wykazie podmiotów kluczowych </w:t>
      </w:r>
      <w:r w:rsidR="00601933" w:rsidRPr="00833C88">
        <w:rPr>
          <w:rFonts w:eastAsia="Times New Roman" w:cs="Times New Roman"/>
          <w:sz w:val="24"/>
          <w:szCs w:val="24"/>
          <w:lang w:eastAsia="pl-PL"/>
        </w:rPr>
        <w:t>i </w:t>
      </w:r>
      <w:r w:rsidR="008C528C" w:rsidRPr="00833C88">
        <w:rPr>
          <w:rFonts w:eastAsia="Times New Roman" w:cs="Times New Roman"/>
          <w:sz w:val="24"/>
          <w:szCs w:val="24"/>
          <w:lang w:eastAsia="pl-PL"/>
        </w:rPr>
        <w:t>podmiotów ważn</w:t>
      </w:r>
      <w:r w:rsidR="001A5968" w:rsidRPr="00833C88">
        <w:rPr>
          <w:rFonts w:eastAsia="Times New Roman" w:cs="Times New Roman"/>
          <w:sz w:val="24"/>
          <w:szCs w:val="24"/>
          <w:lang w:eastAsia="pl-PL"/>
        </w:rPr>
        <w:t>ych</w:t>
      </w:r>
      <w:r w:rsidR="001F19BF" w:rsidRPr="00833C88">
        <w:rPr>
          <w:rFonts w:eastAsia="Times New Roman" w:cs="Times New Roman"/>
          <w:sz w:val="24"/>
          <w:szCs w:val="24"/>
          <w:lang w:eastAsia="pl-PL"/>
        </w:rPr>
        <w:t xml:space="preserve"> – konieczność ta wynika wprost </w:t>
      </w:r>
      <w:r w:rsidR="00601933" w:rsidRPr="00833C88">
        <w:rPr>
          <w:rFonts w:eastAsia="Times New Roman" w:cs="Times New Roman"/>
          <w:sz w:val="24"/>
          <w:szCs w:val="24"/>
          <w:lang w:eastAsia="pl-PL"/>
        </w:rPr>
        <w:t>z </w:t>
      </w:r>
      <w:r w:rsidR="001F19BF" w:rsidRPr="00833C88">
        <w:rPr>
          <w:rFonts w:eastAsia="Times New Roman" w:cs="Times New Roman"/>
          <w:sz w:val="24"/>
          <w:szCs w:val="24"/>
          <w:lang w:eastAsia="pl-PL"/>
        </w:rPr>
        <w:t>przepisów dyrektywy NIS 2.</w:t>
      </w:r>
      <w:r w:rsidR="00730DBC" w:rsidRPr="00833C88">
        <w:rPr>
          <w:rFonts w:eastAsia="Times New Roman" w:cs="Times New Roman"/>
          <w:sz w:val="24"/>
          <w:szCs w:val="24"/>
          <w:lang w:eastAsia="pl-PL"/>
        </w:rPr>
        <w:t xml:space="preserve"> Wskazano przy tym katalog danych przekazywanych do ENISA</w:t>
      </w:r>
      <w:r w:rsidR="00ED2326" w:rsidRPr="00833C88">
        <w:rPr>
          <w:rFonts w:eastAsia="Times New Roman" w:cs="Times New Roman"/>
          <w:sz w:val="24"/>
          <w:szCs w:val="24"/>
          <w:lang w:eastAsia="pl-PL"/>
        </w:rPr>
        <w:t>.</w:t>
      </w:r>
      <w:r w:rsidR="006E7E2E" w:rsidRPr="00833C88">
        <w:rPr>
          <w:rFonts w:eastAsia="Times New Roman" w:cs="Times New Roman"/>
          <w:sz w:val="24"/>
          <w:szCs w:val="24"/>
          <w:lang w:eastAsia="pl-PL"/>
        </w:rPr>
        <w:t xml:space="preserve"> </w:t>
      </w:r>
    </w:p>
    <w:p w14:paraId="3520D3FA" w14:textId="4C78534D" w:rsidR="0041061A" w:rsidRPr="00833C88" w:rsidRDefault="000E402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dyrektywą NIS 2 </w:t>
      </w:r>
      <w:r w:rsidR="00070A7D" w:rsidRPr="00833C88">
        <w:rPr>
          <w:rFonts w:eastAsia="Times New Roman" w:cs="Times New Roman"/>
          <w:sz w:val="24"/>
          <w:szCs w:val="24"/>
          <w:lang w:eastAsia="pl-PL"/>
        </w:rPr>
        <w:t xml:space="preserve">Pojedynczy Punkt Kontaktowy </w:t>
      </w:r>
      <w:r w:rsidR="00563DB4" w:rsidRPr="00833C88">
        <w:rPr>
          <w:rFonts w:eastAsia="Times New Roman" w:cs="Times New Roman"/>
          <w:sz w:val="24"/>
          <w:szCs w:val="24"/>
          <w:lang w:eastAsia="pl-PL"/>
        </w:rPr>
        <w:t>przekazywać będzie</w:t>
      </w:r>
      <w:r w:rsidR="0041061A" w:rsidRPr="00833C88">
        <w:rPr>
          <w:rFonts w:eastAsia="Times New Roman" w:cs="Times New Roman"/>
          <w:sz w:val="24"/>
          <w:szCs w:val="24"/>
          <w:lang w:eastAsia="pl-PL"/>
        </w:rPr>
        <w:t xml:space="preserve"> do ENISA</w:t>
      </w:r>
      <w:r w:rsidR="00563DB4" w:rsidRPr="00833C88">
        <w:rPr>
          <w:rFonts w:eastAsia="Times New Roman" w:cs="Times New Roman"/>
          <w:sz w:val="24"/>
          <w:szCs w:val="24"/>
          <w:lang w:eastAsia="pl-PL"/>
        </w:rPr>
        <w:t xml:space="preserve"> sprawozdanie </w:t>
      </w:r>
      <w:r w:rsidR="00601933" w:rsidRPr="00833C88">
        <w:rPr>
          <w:rFonts w:eastAsia="Times New Roman" w:cs="Times New Roman"/>
          <w:sz w:val="24"/>
          <w:szCs w:val="24"/>
          <w:lang w:eastAsia="pl-PL"/>
        </w:rPr>
        <w:t>o </w:t>
      </w:r>
      <w:r w:rsidR="00563DB4" w:rsidRPr="00833C88">
        <w:rPr>
          <w:rFonts w:eastAsia="Times New Roman" w:cs="Times New Roman"/>
          <w:sz w:val="24"/>
          <w:szCs w:val="24"/>
          <w:lang w:eastAsia="pl-PL"/>
        </w:rPr>
        <w:t xml:space="preserve">zgłoszonych </w:t>
      </w:r>
      <w:r w:rsidR="0041061A" w:rsidRPr="00833C88">
        <w:rPr>
          <w:rFonts w:eastAsia="Times New Roman" w:cs="Times New Roman"/>
          <w:sz w:val="24"/>
          <w:szCs w:val="24"/>
          <w:lang w:eastAsia="pl-PL"/>
        </w:rPr>
        <w:t xml:space="preserve">incydentach poważnych, incydentach, </w:t>
      </w:r>
      <w:proofErr w:type="spellStart"/>
      <w:r w:rsidR="0041061A" w:rsidRPr="00833C88">
        <w:rPr>
          <w:rFonts w:eastAsia="Times New Roman" w:cs="Times New Roman"/>
          <w:sz w:val="24"/>
          <w:szCs w:val="24"/>
          <w:lang w:eastAsia="pl-PL"/>
        </w:rPr>
        <w:t>cyberzagrożeniach</w:t>
      </w:r>
      <w:proofErr w:type="spellEnd"/>
      <w:r w:rsidR="0041061A" w:rsidRPr="00833C88">
        <w:rPr>
          <w:rFonts w:eastAsia="Times New Roman" w:cs="Times New Roman"/>
          <w:sz w:val="24"/>
          <w:szCs w:val="24"/>
          <w:lang w:eastAsia="pl-PL"/>
        </w:rPr>
        <w:t xml:space="preserve"> oraz potencjalnych zdarzeniach dla cyberbezpieczeństwa.</w:t>
      </w:r>
    </w:p>
    <w:p w14:paraId="2EAC7726" w14:textId="20AF5CD9" w:rsidR="00180987"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Z </w:t>
      </w:r>
      <w:r w:rsidR="0041061A" w:rsidRPr="00833C88">
        <w:rPr>
          <w:rFonts w:eastAsia="Times New Roman" w:cs="Times New Roman"/>
          <w:sz w:val="24"/>
          <w:szCs w:val="24"/>
          <w:lang w:eastAsia="pl-PL"/>
        </w:rPr>
        <w:t xml:space="preserve">uwagi na transgraniczną działalność </w:t>
      </w:r>
      <w:r w:rsidR="00D834A7" w:rsidRPr="00833C88">
        <w:rPr>
          <w:rFonts w:eastAsia="Times New Roman" w:cs="Times New Roman"/>
          <w:sz w:val="24"/>
          <w:szCs w:val="24"/>
          <w:lang w:eastAsia="pl-PL"/>
        </w:rPr>
        <w:t xml:space="preserve">podmiotów </w:t>
      </w:r>
      <w:r w:rsidRPr="00833C88">
        <w:rPr>
          <w:rFonts w:eastAsia="Times New Roman" w:cs="Times New Roman"/>
          <w:sz w:val="24"/>
          <w:szCs w:val="24"/>
          <w:lang w:eastAsia="pl-PL"/>
        </w:rPr>
        <w:t>z </w:t>
      </w:r>
      <w:r w:rsidR="00D834A7" w:rsidRPr="00833C88">
        <w:rPr>
          <w:rFonts w:eastAsia="Times New Roman" w:cs="Times New Roman"/>
          <w:sz w:val="24"/>
          <w:szCs w:val="24"/>
          <w:lang w:eastAsia="pl-PL"/>
        </w:rPr>
        <w:t>sektorów infrastruktury cyfrowej</w:t>
      </w:r>
      <w:r w:rsidR="008C1740" w:rsidRPr="00833C88">
        <w:rPr>
          <w:rFonts w:eastAsia="Times New Roman" w:cs="Times New Roman"/>
          <w:sz w:val="24"/>
          <w:szCs w:val="24"/>
          <w:lang w:eastAsia="pl-PL"/>
        </w:rPr>
        <w:t xml:space="preserve">, zarządzania ICT </w:t>
      </w:r>
      <w:r w:rsidRPr="00833C88">
        <w:rPr>
          <w:rFonts w:eastAsia="Times New Roman" w:cs="Times New Roman"/>
          <w:sz w:val="24"/>
          <w:szCs w:val="24"/>
          <w:lang w:eastAsia="pl-PL"/>
        </w:rPr>
        <w:t>i </w:t>
      </w:r>
      <w:r w:rsidR="008C1740" w:rsidRPr="00833C88">
        <w:rPr>
          <w:rFonts w:eastAsia="Times New Roman" w:cs="Times New Roman"/>
          <w:sz w:val="24"/>
          <w:szCs w:val="24"/>
          <w:lang w:eastAsia="pl-PL"/>
        </w:rPr>
        <w:t xml:space="preserve">dostawców usług cyfrowych dyrektywa NIS 2 </w:t>
      </w:r>
      <w:r w:rsidR="003C3953" w:rsidRPr="00833C88">
        <w:rPr>
          <w:rFonts w:eastAsia="Times New Roman" w:cs="Times New Roman"/>
          <w:sz w:val="24"/>
          <w:szCs w:val="24"/>
          <w:lang w:eastAsia="pl-PL"/>
        </w:rPr>
        <w:t xml:space="preserve">wprowadziła zadanie dla ENISA </w:t>
      </w:r>
      <w:r w:rsidRPr="00833C88">
        <w:rPr>
          <w:rFonts w:eastAsia="Times New Roman" w:cs="Times New Roman"/>
          <w:sz w:val="24"/>
          <w:szCs w:val="24"/>
          <w:lang w:eastAsia="pl-PL"/>
        </w:rPr>
        <w:t>w </w:t>
      </w:r>
      <w:r w:rsidR="003C3953" w:rsidRPr="00833C88">
        <w:rPr>
          <w:rFonts w:eastAsia="Times New Roman" w:cs="Times New Roman"/>
          <w:sz w:val="24"/>
          <w:szCs w:val="24"/>
          <w:lang w:eastAsia="pl-PL"/>
        </w:rPr>
        <w:t xml:space="preserve">postaci prowadzenia rejestru tych podmiotów. Dane </w:t>
      </w:r>
      <w:r w:rsidRPr="00833C88">
        <w:rPr>
          <w:rFonts w:eastAsia="Times New Roman" w:cs="Times New Roman"/>
          <w:sz w:val="24"/>
          <w:szCs w:val="24"/>
          <w:lang w:eastAsia="pl-PL"/>
        </w:rPr>
        <w:t>o </w:t>
      </w:r>
      <w:r w:rsidR="003C3953" w:rsidRPr="00833C88">
        <w:rPr>
          <w:rFonts w:eastAsia="Times New Roman" w:cs="Times New Roman"/>
          <w:sz w:val="24"/>
          <w:szCs w:val="24"/>
          <w:lang w:eastAsia="pl-PL"/>
        </w:rPr>
        <w:t>tych podmiotach będą szczególnie przydatne przy obsłudze incydentów</w:t>
      </w:r>
      <w:r w:rsidR="00864C0D" w:rsidRPr="00833C88">
        <w:rPr>
          <w:rFonts w:eastAsia="Times New Roman" w:cs="Times New Roman"/>
          <w:sz w:val="24"/>
          <w:szCs w:val="24"/>
          <w:lang w:eastAsia="pl-PL"/>
        </w:rPr>
        <w:t xml:space="preserve">. Dlatego oprócz obowiązku dostarczania danych do rejestru ENISA dyrektywa NIS 2 nadała państwom członkowskim uprawnienie do żądania udostępnienie danych </w:t>
      </w:r>
      <w:r w:rsidRPr="00833C88">
        <w:rPr>
          <w:rFonts w:eastAsia="Times New Roman" w:cs="Times New Roman"/>
          <w:sz w:val="24"/>
          <w:szCs w:val="24"/>
          <w:lang w:eastAsia="pl-PL"/>
        </w:rPr>
        <w:t>z </w:t>
      </w:r>
      <w:r w:rsidR="00864C0D" w:rsidRPr="00833C88">
        <w:rPr>
          <w:rFonts w:eastAsia="Times New Roman" w:cs="Times New Roman"/>
          <w:sz w:val="24"/>
          <w:szCs w:val="24"/>
          <w:lang w:eastAsia="pl-PL"/>
        </w:rPr>
        <w:t xml:space="preserve">tego rejestru – np. podmiotów </w:t>
      </w:r>
      <w:r w:rsidRPr="00833C88">
        <w:rPr>
          <w:rFonts w:eastAsia="Times New Roman" w:cs="Times New Roman"/>
          <w:sz w:val="24"/>
          <w:szCs w:val="24"/>
          <w:lang w:eastAsia="pl-PL"/>
        </w:rPr>
        <w:t>z </w:t>
      </w:r>
      <w:r w:rsidR="00864C0D" w:rsidRPr="00833C88">
        <w:rPr>
          <w:rFonts w:eastAsia="Times New Roman" w:cs="Times New Roman"/>
          <w:sz w:val="24"/>
          <w:szCs w:val="24"/>
          <w:lang w:eastAsia="pl-PL"/>
        </w:rPr>
        <w:t>innych państw</w:t>
      </w:r>
      <w:r w:rsidR="000E6057" w:rsidRPr="00833C88">
        <w:rPr>
          <w:rFonts w:eastAsia="Times New Roman" w:cs="Times New Roman"/>
          <w:sz w:val="24"/>
          <w:szCs w:val="24"/>
          <w:lang w:eastAsia="pl-PL"/>
        </w:rPr>
        <w:t xml:space="preserve">, które to dane są istotne do obsługi incydentu. </w:t>
      </w:r>
      <w:r w:rsidRPr="00833C88">
        <w:rPr>
          <w:rFonts w:eastAsia="Times New Roman" w:cs="Times New Roman"/>
          <w:sz w:val="24"/>
          <w:szCs w:val="24"/>
          <w:lang w:eastAsia="pl-PL"/>
        </w:rPr>
        <w:t>W </w:t>
      </w:r>
      <w:r w:rsidR="000E6057" w:rsidRPr="00833C88">
        <w:rPr>
          <w:rFonts w:eastAsia="Times New Roman" w:cs="Times New Roman"/>
          <w:sz w:val="24"/>
          <w:szCs w:val="24"/>
          <w:lang w:eastAsia="pl-PL"/>
        </w:rPr>
        <w:t xml:space="preserve">projektowanej ustawie uprawnienie do przysługuje </w:t>
      </w:r>
      <w:r w:rsidR="000E6057" w:rsidRPr="00833C88">
        <w:rPr>
          <w:rFonts w:eastAsia="Times New Roman" w:cs="Times New Roman"/>
          <w:sz w:val="24"/>
          <w:szCs w:val="24"/>
          <w:lang w:eastAsia="pl-PL"/>
        </w:rPr>
        <w:lastRenderedPageBreak/>
        <w:t xml:space="preserve">organom właściwym do spraw cyberbezpieczeństwa, CSIRT sektorowym oraz CSIRT poziomu krajowego. Wniosek będzie składany do ENISA za pośrednictwem Pojedynczego Punktu Kontaktowego. </w:t>
      </w:r>
      <w:r w:rsidR="00180987" w:rsidRPr="00833C88">
        <w:rPr>
          <w:rFonts w:eastAsia="Times New Roman" w:cs="Times New Roman"/>
          <w:sz w:val="24"/>
          <w:szCs w:val="24"/>
          <w:lang w:eastAsia="pl-PL"/>
        </w:rPr>
        <w:t>Wniosek będzie zawierał zakres żądanych danych.</w:t>
      </w:r>
    </w:p>
    <w:p w14:paraId="2C2D7517" w14:textId="3F5E58F0" w:rsidR="005E29BE" w:rsidRPr="00833C88" w:rsidRDefault="00A61084" w:rsidP="005E29B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Polska </w:t>
      </w:r>
      <w:r w:rsidR="00E56B79" w:rsidRPr="00833C88">
        <w:rPr>
          <w:rFonts w:eastAsia="Times New Roman" w:cs="Times New Roman"/>
          <w:sz w:val="24"/>
          <w:szCs w:val="24"/>
          <w:lang w:eastAsia="pl-PL"/>
        </w:rPr>
        <w:t>jako państwo członkowskie U</w:t>
      </w:r>
      <w:r w:rsidR="00D930F8" w:rsidRPr="00833C88">
        <w:rPr>
          <w:rFonts w:eastAsia="Times New Roman" w:cs="Times New Roman"/>
          <w:sz w:val="24"/>
          <w:szCs w:val="24"/>
          <w:lang w:eastAsia="pl-PL"/>
        </w:rPr>
        <w:t xml:space="preserve">nii </w:t>
      </w:r>
      <w:r w:rsidR="00E56B79" w:rsidRPr="00833C88">
        <w:rPr>
          <w:rFonts w:eastAsia="Times New Roman" w:cs="Times New Roman"/>
          <w:sz w:val="24"/>
          <w:szCs w:val="24"/>
          <w:lang w:eastAsia="pl-PL"/>
        </w:rPr>
        <w:t>E</w:t>
      </w:r>
      <w:r w:rsidR="00D930F8" w:rsidRPr="00833C88">
        <w:rPr>
          <w:rFonts w:eastAsia="Times New Roman" w:cs="Times New Roman"/>
          <w:sz w:val="24"/>
          <w:szCs w:val="24"/>
          <w:lang w:eastAsia="pl-PL"/>
        </w:rPr>
        <w:t>uropejskiej</w:t>
      </w:r>
      <w:r w:rsidR="00E56B79" w:rsidRPr="00833C88">
        <w:rPr>
          <w:rFonts w:eastAsia="Times New Roman" w:cs="Times New Roman"/>
          <w:sz w:val="24"/>
          <w:szCs w:val="24"/>
          <w:lang w:eastAsia="pl-PL"/>
        </w:rPr>
        <w:t xml:space="preserve"> jest obowiązana przekazywać Komisji Europejskiej informacje liczbie podmiotów kluczowych </w:t>
      </w:r>
      <w:r w:rsidR="00601933" w:rsidRPr="00833C88">
        <w:rPr>
          <w:rFonts w:eastAsia="Times New Roman" w:cs="Times New Roman"/>
          <w:sz w:val="24"/>
          <w:szCs w:val="24"/>
          <w:lang w:eastAsia="pl-PL"/>
        </w:rPr>
        <w:t>i </w:t>
      </w:r>
      <w:r w:rsidR="00E56B79" w:rsidRPr="00833C88">
        <w:rPr>
          <w:rFonts w:eastAsia="Times New Roman" w:cs="Times New Roman"/>
          <w:sz w:val="24"/>
          <w:szCs w:val="24"/>
          <w:lang w:eastAsia="pl-PL"/>
        </w:rPr>
        <w:t xml:space="preserve">podmiotów ważnych </w:t>
      </w:r>
      <w:r w:rsidR="00601933" w:rsidRPr="00833C88">
        <w:rPr>
          <w:rFonts w:eastAsia="Times New Roman" w:cs="Times New Roman"/>
          <w:sz w:val="24"/>
          <w:szCs w:val="24"/>
          <w:lang w:eastAsia="pl-PL"/>
        </w:rPr>
        <w:t>w </w:t>
      </w:r>
      <w:r w:rsidR="00E56B79" w:rsidRPr="00833C88">
        <w:rPr>
          <w:rFonts w:eastAsia="Times New Roman" w:cs="Times New Roman"/>
          <w:sz w:val="24"/>
          <w:szCs w:val="24"/>
          <w:lang w:eastAsia="pl-PL"/>
        </w:rPr>
        <w:t>podziale na</w:t>
      </w:r>
      <w:r w:rsidR="001A275A" w:rsidRPr="00833C88">
        <w:rPr>
          <w:rFonts w:eastAsia="Times New Roman" w:cs="Times New Roman"/>
          <w:sz w:val="24"/>
          <w:szCs w:val="24"/>
          <w:lang w:eastAsia="pl-PL"/>
        </w:rPr>
        <w:t> </w:t>
      </w:r>
      <w:r w:rsidR="00E56B79" w:rsidRPr="00833C88">
        <w:rPr>
          <w:rFonts w:eastAsia="Times New Roman" w:cs="Times New Roman"/>
          <w:sz w:val="24"/>
          <w:szCs w:val="24"/>
          <w:lang w:eastAsia="pl-PL"/>
        </w:rPr>
        <w:t xml:space="preserve">sektory, oraz wskazane jakie usługi świadczą te podmioty jak również podstawę prawną </w:t>
      </w:r>
      <w:r w:rsidR="000D10AE" w:rsidRPr="00833C88">
        <w:rPr>
          <w:rFonts w:eastAsia="Times New Roman" w:cs="Times New Roman"/>
          <w:sz w:val="24"/>
          <w:szCs w:val="24"/>
          <w:lang w:eastAsia="pl-PL"/>
        </w:rPr>
        <w:t>wskazania tych podmiotów. Te informacje są potrzebne Komisji Europejskiej do analizy funkcjonowania dyrektywy NIS 2.</w:t>
      </w:r>
    </w:p>
    <w:p w14:paraId="1DA68549" w14:textId="54C75ECD" w:rsidR="00A61084" w:rsidRPr="00833C88" w:rsidRDefault="005E29BE"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ENISA dysponuje wiedzą teoretyczną i praktyczną w zakresie budowy i funkcjonowania zespołów CSIRT. Z tego powodu, zgodnie z dyrektywą NIS2, wprowadza się uprawnienie dla podmiotów odpowiedzialnych za utworzenie CSIRT do zwrócenie do ENISA o pomoc w rozwijaniu tych zespołów. Tak jak w innych przypadkach uprawnienie to jest realizowane za pomocą Pojedynczego Punktu Kontaktowego.</w:t>
      </w:r>
    </w:p>
    <w:p w14:paraId="783B0F1C" w14:textId="39D0B930" w:rsidR="00E71D36" w:rsidRPr="00833C88" w:rsidRDefault="00E71D36" w:rsidP="00FA2408">
      <w:pPr>
        <w:pStyle w:val="Nagwek2"/>
        <w:spacing w:before="0" w:after="120" w:line="360" w:lineRule="auto"/>
        <w:jc w:val="both"/>
        <w:rPr>
          <w:rFonts w:cs="Times New Roman"/>
          <w:b/>
          <w:bCs/>
          <w:sz w:val="24"/>
          <w:szCs w:val="24"/>
        </w:rPr>
      </w:pPr>
      <w:r w:rsidRPr="00833C88">
        <w:rPr>
          <w:rFonts w:cs="Times New Roman"/>
          <w:b/>
          <w:bCs/>
          <w:sz w:val="24"/>
          <w:szCs w:val="24"/>
        </w:rPr>
        <w:t xml:space="preserve">Zadania Ministra Obrony Narodowej </w:t>
      </w:r>
    </w:p>
    <w:p w14:paraId="6ADAED68" w14:textId="186C1832" w:rsidR="000745B7" w:rsidRPr="00833C88" w:rsidRDefault="000745B7"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Katalog zadań Ministra Obrony Narodowej został dostosowany do nowej struktury krajowego systemu cyberbezpieczeństwa. </w:t>
      </w:r>
      <w:r w:rsidR="006470EF" w:rsidRPr="00833C88">
        <w:rPr>
          <w:rFonts w:eastAsia="Times New Roman" w:cs="Times New Roman"/>
          <w:sz w:val="24"/>
          <w:szCs w:val="24"/>
          <w:lang w:eastAsia="pl-PL"/>
        </w:rPr>
        <w:t xml:space="preserve">Nowymi </w:t>
      </w:r>
      <w:r w:rsidR="00F305DB" w:rsidRPr="00833C88">
        <w:rPr>
          <w:rFonts w:eastAsia="Times New Roman" w:cs="Times New Roman"/>
          <w:sz w:val="24"/>
          <w:szCs w:val="24"/>
          <w:lang w:eastAsia="pl-PL"/>
        </w:rPr>
        <w:t>zadania</w:t>
      </w:r>
      <w:r w:rsidR="006470EF" w:rsidRPr="00833C88">
        <w:rPr>
          <w:rFonts w:eastAsia="Times New Roman" w:cs="Times New Roman"/>
          <w:sz w:val="24"/>
          <w:szCs w:val="24"/>
          <w:lang w:eastAsia="pl-PL"/>
        </w:rPr>
        <w:t>mi</w:t>
      </w:r>
      <w:r w:rsidR="00F305DB"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F305DB" w:rsidRPr="00833C88">
        <w:rPr>
          <w:rFonts w:eastAsia="Times New Roman" w:cs="Times New Roman"/>
          <w:sz w:val="24"/>
          <w:szCs w:val="24"/>
          <w:lang w:eastAsia="pl-PL"/>
        </w:rPr>
        <w:t xml:space="preserve">zakresie cyberbezpieczeństwa </w:t>
      </w:r>
      <w:r w:rsidR="006470EF" w:rsidRPr="00833C88">
        <w:rPr>
          <w:rFonts w:eastAsia="Times New Roman" w:cs="Times New Roman"/>
          <w:sz w:val="24"/>
          <w:szCs w:val="24"/>
          <w:lang w:eastAsia="pl-PL"/>
        </w:rPr>
        <w:t>są</w:t>
      </w:r>
      <w:r w:rsidR="00F305DB" w:rsidRPr="00833C88">
        <w:rPr>
          <w:rFonts w:eastAsia="Times New Roman" w:cs="Times New Roman"/>
          <w:sz w:val="24"/>
          <w:szCs w:val="24"/>
          <w:lang w:eastAsia="pl-PL"/>
        </w:rPr>
        <w:t>:</w:t>
      </w:r>
    </w:p>
    <w:p w14:paraId="053C679F" w14:textId="6697C4C9" w:rsidR="00F305DB" w:rsidRPr="00833C88" w:rsidRDefault="00F305DB" w:rsidP="00D7077E">
      <w:pPr>
        <w:pStyle w:val="Akapitzlist"/>
        <w:numPr>
          <w:ilvl w:val="0"/>
          <w:numId w:val="14"/>
        </w:numPr>
        <w:spacing w:after="0" w:line="360" w:lineRule="auto"/>
        <w:ind w:right="-20"/>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kierowanie, za pośrednictwem CSIRT MON, działaniami związanymi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obsługą incydentów,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także koordynowanie działań CSIRT NASK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CSIRT GOV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czasie stanu wojennego oraz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czasie wojny;</w:t>
      </w:r>
    </w:p>
    <w:p w14:paraId="1CF2D592" w14:textId="67654030" w:rsidR="00446B8F" w:rsidRPr="00833C88" w:rsidRDefault="00446B8F" w:rsidP="00D7077E">
      <w:pPr>
        <w:pStyle w:val="Akapitzlist"/>
        <w:numPr>
          <w:ilvl w:val="0"/>
          <w:numId w:val="14"/>
        </w:numPr>
        <w:spacing w:after="0" w:line="360" w:lineRule="auto"/>
        <w:ind w:right="-20"/>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ocenę </w:t>
      </w:r>
      <w:proofErr w:type="spellStart"/>
      <w:r w:rsidRPr="00833C88">
        <w:rPr>
          <w:rFonts w:eastAsia="Times New Roman" w:cs="Times New Roman"/>
          <w:sz w:val="24"/>
          <w:szCs w:val="24"/>
          <w:lang w:eastAsia="pl-PL"/>
        </w:rPr>
        <w:t>cyberzagrożeń</w:t>
      </w:r>
      <w:proofErr w:type="spellEnd"/>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każdym ze stanów gotowości obronnej państwa oraz przedstawianie właściwym organom propozycji dotyczących działań obronnych</w:t>
      </w:r>
      <w:r w:rsidR="002078CE" w:rsidRPr="00833C88">
        <w:rPr>
          <w:rFonts w:eastAsia="Times New Roman" w:cs="Times New Roman"/>
          <w:sz w:val="24"/>
          <w:szCs w:val="24"/>
          <w:lang w:eastAsia="pl-PL"/>
        </w:rPr>
        <w:t>;</w:t>
      </w:r>
    </w:p>
    <w:p w14:paraId="2F0476DF" w14:textId="316A27A4" w:rsidR="00227E23" w:rsidRPr="00833C88" w:rsidRDefault="002078CE" w:rsidP="00D7077E">
      <w:pPr>
        <w:pStyle w:val="Akapitzlist"/>
        <w:numPr>
          <w:ilvl w:val="0"/>
          <w:numId w:val="14"/>
        </w:numPr>
        <w:spacing w:after="0" w:line="360" w:lineRule="auto"/>
        <w:ind w:right="-20"/>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koordynację, we współpracy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ministrem właściwym do spraw wewnętrznych i</w:t>
      </w:r>
      <w:r w:rsidR="00C84AD5" w:rsidRPr="00833C88">
        <w:rPr>
          <w:rFonts w:eastAsia="Times New Roman" w:cs="Times New Roman"/>
          <w:sz w:val="24"/>
          <w:szCs w:val="24"/>
          <w:lang w:eastAsia="pl-PL"/>
        </w:rPr>
        <w:t> </w:t>
      </w:r>
      <w:r w:rsidRPr="00833C88">
        <w:rPr>
          <w:rFonts w:eastAsia="Times New Roman" w:cs="Times New Roman"/>
          <w:sz w:val="24"/>
          <w:szCs w:val="24"/>
          <w:lang w:eastAsia="pl-PL"/>
        </w:rPr>
        <w:t xml:space="preserve">ministrem właściwym do spraw informatyzacji, realizacji zadań organów administracji rządowej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jednostek samorządu terytorialnego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czasie stanu wojennego </w:t>
      </w:r>
      <w:r w:rsidR="00810185" w:rsidRPr="00833C88">
        <w:rPr>
          <w:rFonts w:eastAsia="Times New Roman" w:cs="Times New Roman"/>
          <w:sz w:val="24"/>
          <w:szCs w:val="24"/>
          <w:lang w:eastAsia="pl-PL"/>
        </w:rPr>
        <w:t>lub</w:t>
      </w:r>
      <w:r w:rsidR="00601933" w:rsidRPr="00833C88">
        <w:rPr>
          <w:rFonts w:eastAsia="Times New Roman" w:cs="Times New Roman"/>
          <w:sz w:val="24"/>
          <w:szCs w:val="24"/>
          <w:lang w:eastAsia="pl-PL"/>
        </w:rPr>
        <w:t> w </w:t>
      </w:r>
      <w:r w:rsidRPr="00833C88">
        <w:rPr>
          <w:rFonts w:eastAsia="Times New Roman" w:cs="Times New Roman"/>
          <w:sz w:val="24"/>
          <w:szCs w:val="24"/>
          <w:lang w:eastAsia="pl-PL"/>
        </w:rPr>
        <w:t xml:space="preserve">czasie wojny dotyczących działań obronnych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przypadku </w:t>
      </w:r>
      <w:proofErr w:type="spellStart"/>
      <w:r w:rsidRPr="00833C88">
        <w:rPr>
          <w:rFonts w:eastAsia="Times New Roman" w:cs="Times New Roman"/>
          <w:sz w:val="24"/>
          <w:szCs w:val="24"/>
          <w:lang w:eastAsia="pl-PL"/>
        </w:rPr>
        <w:t>cyberzagrożenia</w:t>
      </w:r>
      <w:proofErr w:type="spellEnd"/>
      <w:r w:rsidR="00227E23" w:rsidRPr="00833C88">
        <w:rPr>
          <w:rFonts w:eastAsia="Times New Roman" w:cs="Times New Roman"/>
          <w:sz w:val="24"/>
          <w:szCs w:val="24"/>
          <w:lang w:eastAsia="pl-PL"/>
        </w:rPr>
        <w:t>;</w:t>
      </w:r>
    </w:p>
    <w:p w14:paraId="5374AC6C" w14:textId="5B122F0E" w:rsidR="002078CE" w:rsidRPr="00833C88" w:rsidRDefault="0034756E" w:rsidP="00D7077E">
      <w:pPr>
        <w:pStyle w:val="Akapitzlist"/>
        <w:numPr>
          <w:ilvl w:val="0"/>
          <w:numId w:val="14"/>
        </w:numPr>
        <w:spacing w:after="0" w:line="360" w:lineRule="auto"/>
        <w:ind w:right="-20"/>
        <w:contextualSpacing w:val="0"/>
        <w:jc w:val="both"/>
        <w:rPr>
          <w:rFonts w:eastAsia="Times New Roman" w:cs="Times New Roman"/>
          <w:sz w:val="24"/>
          <w:szCs w:val="24"/>
          <w:lang w:eastAsia="pl-PL"/>
        </w:rPr>
      </w:pPr>
      <w:r w:rsidRPr="00833C88">
        <w:rPr>
          <w:rFonts w:eastAsia="Times New Roman" w:cs="Times New Roman"/>
          <w:sz w:val="24"/>
          <w:szCs w:val="24"/>
          <w:lang w:eastAsia="pl-PL"/>
        </w:rPr>
        <w:t>k</w:t>
      </w:r>
      <w:r w:rsidR="00227E23" w:rsidRPr="00833C88">
        <w:rPr>
          <w:rFonts w:eastAsia="Times New Roman" w:cs="Times New Roman"/>
          <w:sz w:val="24"/>
          <w:szCs w:val="24"/>
          <w:lang w:eastAsia="pl-PL"/>
        </w:rPr>
        <w:t xml:space="preserve">oordynację działania organów państwa </w:t>
      </w:r>
      <w:r w:rsidR="00601933" w:rsidRPr="00833C88">
        <w:rPr>
          <w:rFonts w:eastAsia="Times New Roman" w:cs="Times New Roman"/>
          <w:sz w:val="24"/>
          <w:szCs w:val="24"/>
          <w:lang w:eastAsia="pl-PL"/>
        </w:rPr>
        <w:t>w </w:t>
      </w:r>
      <w:r w:rsidR="00227E23" w:rsidRPr="00833C88">
        <w:rPr>
          <w:rFonts w:eastAsia="Times New Roman" w:cs="Times New Roman"/>
          <w:sz w:val="24"/>
          <w:szCs w:val="24"/>
          <w:lang w:eastAsia="pl-PL"/>
        </w:rPr>
        <w:t xml:space="preserve">przypadku wystąpienia sytuacji kryzysowej </w:t>
      </w:r>
      <w:r w:rsidR="00601933" w:rsidRPr="00833C88">
        <w:rPr>
          <w:rFonts w:eastAsia="Times New Roman" w:cs="Times New Roman"/>
          <w:sz w:val="24"/>
          <w:szCs w:val="24"/>
          <w:lang w:eastAsia="pl-PL"/>
        </w:rPr>
        <w:t>w </w:t>
      </w:r>
      <w:r w:rsidR="00227E23" w:rsidRPr="00833C88">
        <w:rPr>
          <w:rFonts w:eastAsia="Times New Roman" w:cs="Times New Roman"/>
          <w:sz w:val="24"/>
          <w:szCs w:val="24"/>
          <w:lang w:eastAsia="pl-PL"/>
        </w:rPr>
        <w:t>cyberbezpieczeństwie dotyczącej obrony Państwa oraz Sił Zbrojnych Rzeczpospolitej Polskiej.</w:t>
      </w:r>
    </w:p>
    <w:p w14:paraId="42E51C78" w14:textId="4E1ADFCE" w:rsidR="00932F48" w:rsidRPr="00833C88" w:rsidRDefault="00A82649" w:rsidP="00FA2408">
      <w:pPr>
        <w:spacing w:line="360" w:lineRule="auto"/>
        <w:jc w:val="both"/>
        <w:rPr>
          <w:rFonts w:cs="Times New Roman"/>
          <w:sz w:val="24"/>
          <w:szCs w:val="24"/>
          <w:lang w:eastAsia="pl-PL"/>
        </w:rPr>
      </w:pPr>
      <w:r w:rsidRPr="00833C88">
        <w:rPr>
          <w:rFonts w:cs="Times New Roman"/>
          <w:sz w:val="24"/>
          <w:szCs w:val="24"/>
          <w:lang w:eastAsia="pl-PL"/>
        </w:rPr>
        <w:t>Zadani</w:t>
      </w:r>
      <w:r w:rsidR="00EA7D43" w:rsidRPr="00833C88">
        <w:rPr>
          <w:rFonts w:cs="Times New Roman"/>
          <w:sz w:val="24"/>
          <w:szCs w:val="24"/>
          <w:lang w:eastAsia="pl-PL"/>
        </w:rPr>
        <w:t>a</w:t>
      </w:r>
      <w:r w:rsidRPr="00833C88">
        <w:rPr>
          <w:rFonts w:cs="Times New Roman"/>
          <w:sz w:val="24"/>
          <w:szCs w:val="24"/>
          <w:lang w:eastAsia="pl-PL"/>
        </w:rPr>
        <w:t xml:space="preserve"> te </w:t>
      </w:r>
      <w:r w:rsidR="003532DA" w:rsidRPr="00833C88">
        <w:rPr>
          <w:rFonts w:cs="Times New Roman"/>
          <w:sz w:val="24"/>
          <w:szCs w:val="24"/>
          <w:lang w:eastAsia="pl-PL"/>
        </w:rPr>
        <w:t xml:space="preserve">podkreślają kluczową role Ministra Obrony Narodowej </w:t>
      </w:r>
      <w:r w:rsidR="00601933" w:rsidRPr="00833C88">
        <w:rPr>
          <w:rFonts w:cs="Times New Roman"/>
          <w:sz w:val="24"/>
          <w:szCs w:val="24"/>
          <w:lang w:eastAsia="pl-PL"/>
        </w:rPr>
        <w:t>w </w:t>
      </w:r>
      <w:r w:rsidR="003532DA" w:rsidRPr="00833C88">
        <w:rPr>
          <w:rFonts w:cs="Times New Roman"/>
          <w:sz w:val="24"/>
          <w:szCs w:val="24"/>
          <w:lang w:eastAsia="pl-PL"/>
        </w:rPr>
        <w:t xml:space="preserve">przypadku wprowadzenia stanu wojennego oraz przy przygotowywaniu rozwiązań związanych </w:t>
      </w:r>
      <w:r w:rsidR="00601933" w:rsidRPr="00833C88">
        <w:rPr>
          <w:rFonts w:cs="Times New Roman"/>
          <w:sz w:val="24"/>
          <w:szCs w:val="24"/>
          <w:lang w:eastAsia="pl-PL"/>
        </w:rPr>
        <w:t>z </w:t>
      </w:r>
      <w:r w:rsidR="00BC0410" w:rsidRPr="00833C88">
        <w:rPr>
          <w:rFonts w:cs="Times New Roman"/>
          <w:sz w:val="24"/>
          <w:szCs w:val="24"/>
          <w:lang w:eastAsia="pl-PL"/>
        </w:rPr>
        <w:t>obroną państwa. Ponadto przepis</w:t>
      </w:r>
      <w:r w:rsidR="00227E23" w:rsidRPr="00833C88">
        <w:rPr>
          <w:rFonts w:cs="Times New Roman"/>
          <w:sz w:val="24"/>
          <w:szCs w:val="24"/>
          <w:lang w:eastAsia="pl-PL"/>
        </w:rPr>
        <w:t xml:space="preserve">y powierzają </w:t>
      </w:r>
      <w:r w:rsidR="007228DA" w:rsidRPr="00833C88">
        <w:rPr>
          <w:rFonts w:cs="Times New Roman"/>
          <w:sz w:val="24"/>
          <w:szCs w:val="24"/>
          <w:lang w:eastAsia="pl-PL"/>
        </w:rPr>
        <w:t>Ministrowi Obrony Narodowej</w:t>
      </w:r>
      <w:r w:rsidR="00227E23" w:rsidRPr="00833C88">
        <w:rPr>
          <w:rFonts w:cs="Times New Roman"/>
          <w:sz w:val="24"/>
          <w:szCs w:val="24"/>
          <w:lang w:eastAsia="pl-PL"/>
        </w:rPr>
        <w:t xml:space="preserve"> zadania związane </w:t>
      </w:r>
      <w:r w:rsidR="00601933" w:rsidRPr="00833C88">
        <w:rPr>
          <w:rFonts w:cs="Times New Roman"/>
          <w:sz w:val="24"/>
          <w:szCs w:val="24"/>
          <w:lang w:eastAsia="pl-PL"/>
        </w:rPr>
        <w:t>z </w:t>
      </w:r>
      <w:r w:rsidR="00227E23" w:rsidRPr="00833C88">
        <w:rPr>
          <w:rFonts w:cs="Times New Roman"/>
          <w:sz w:val="24"/>
          <w:szCs w:val="24"/>
          <w:lang w:eastAsia="pl-PL"/>
        </w:rPr>
        <w:t>zarządzaniem kryzysowym w</w:t>
      </w:r>
      <w:r w:rsidR="00C84AD5" w:rsidRPr="00833C88">
        <w:rPr>
          <w:rFonts w:cs="Times New Roman"/>
          <w:sz w:val="24"/>
          <w:szCs w:val="24"/>
          <w:lang w:eastAsia="pl-PL"/>
        </w:rPr>
        <w:t> </w:t>
      </w:r>
      <w:r w:rsidR="00227E23" w:rsidRPr="00833C88">
        <w:rPr>
          <w:rFonts w:cs="Times New Roman"/>
          <w:sz w:val="24"/>
          <w:szCs w:val="24"/>
          <w:lang w:eastAsia="pl-PL"/>
        </w:rPr>
        <w:t xml:space="preserve">cyberbezpieczeństwie </w:t>
      </w:r>
      <w:r w:rsidR="00601933" w:rsidRPr="00833C88">
        <w:rPr>
          <w:rFonts w:cs="Times New Roman"/>
          <w:sz w:val="24"/>
          <w:szCs w:val="24"/>
          <w:lang w:eastAsia="pl-PL"/>
        </w:rPr>
        <w:t>w </w:t>
      </w:r>
      <w:r w:rsidR="00227E23" w:rsidRPr="00833C88">
        <w:rPr>
          <w:rFonts w:cs="Times New Roman"/>
          <w:sz w:val="24"/>
          <w:szCs w:val="24"/>
          <w:lang w:eastAsia="pl-PL"/>
        </w:rPr>
        <w:t xml:space="preserve">zakresie </w:t>
      </w:r>
      <w:r w:rsidR="00601933" w:rsidRPr="00833C88">
        <w:rPr>
          <w:rFonts w:cs="Times New Roman"/>
          <w:sz w:val="24"/>
          <w:szCs w:val="24"/>
          <w:lang w:eastAsia="pl-PL"/>
        </w:rPr>
        <w:t>w </w:t>
      </w:r>
      <w:r w:rsidR="00227E23" w:rsidRPr="00833C88">
        <w:rPr>
          <w:rFonts w:cs="Times New Roman"/>
          <w:sz w:val="24"/>
          <w:szCs w:val="24"/>
          <w:lang w:eastAsia="pl-PL"/>
        </w:rPr>
        <w:t xml:space="preserve">jakim dotyczy to obrony państwa oraz Sił </w:t>
      </w:r>
      <w:r w:rsidR="00227E23" w:rsidRPr="00833C88">
        <w:rPr>
          <w:rFonts w:cs="Times New Roman"/>
          <w:sz w:val="24"/>
          <w:szCs w:val="24"/>
          <w:lang w:eastAsia="pl-PL"/>
        </w:rPr>
        <w:lastRenderedPageBreak/>
        <w:t>Zbrojnych Rzecz</w:t>
      </w:r>
      <w:r w:rsidR="001727B4" w:rsidRPr="00833C88">
        <w:rPr>
          <w:rFonts w:cs="Times New Roman"/>
          <w:sz w:val="24"/>
          <w:szCs w:val="24"/>
          <w:lang w:eastAsia="pl-PL"/>
        </w:rPr>
        <w:t>y</w:t>
      </w:r>
      <w:r w:rsidR="00227E23" w:rsidRPr="00833C88">
        <w:rPr>
          <w:rFonts w:cs="Times New Roman"/>
          <w:sz w:val="24"/>
          <w:szCs w:val="24"/>
          <w:lang w:eastAsia="pl-PL"/>
        </w:rPr>
        <w:t xml:space="preserve">pospolitej Polskiej. Takie rozwiązanie gwarantuje, że </w:t>
      </w:r>
      <w:r w:rsidR="00601933" w:rsidRPr="00833C88">
        <w:rPr>
          <w:rFonts w:cs="Times New Roman"/>
          <w:sz w:val="24"/>
          <w:szCs w:val="24"/>
          <w:lang w:eastAsia="pl-PL"/>
        </w:rPr>
        <w:t>w </w:t>
      </w:r>
      <w:r w:rsidR="00B27519" w:rsidRPr="00833C88">
        <w:rPr>
          <w:rFonts w:cs="Times New Roman"/>
          <w:sz w:val="24"/>
          <w:szCs w:val="24"/>
          <w:lang w:eastAsia="pl-PL"/>
        </w:rPr>
        <w:t xml:space="preserve">zakresie Sił Zbrojnych </w:t>
      </w:r>
      <w:r w:rsidR="00601933" w:rsidRPr="00833C88">
        <w:rPr>
          <w:rFonts w:cs="Times New Roman"/>
          <w:sz w:val="24"/>
          <w:szCs w:val="24"/>
          <w:lang w:eastAsia="pl-PL"/>
        </w:rPr>
        <w:t>i </w:t>
      </w:r>
      <w:r w:rsidR="00B27519" w:rsidRPr="00833C88">
        <w:rPr>
          <w:rFonts w:cs="Times New Roman"/>
          <w:sz w:val="24"/>
          <w:szCs w:val="24"/>
          <w:lang w:eastAsia="pl-PL"/>
        </w:rPr>
        <w:t xml:space="preserve">obrony państwa Minister Obrony Narodowej będzie miał kluczową rolę. </w:t>
      </w:r>
    </w:p>
    <w:p w14:paraId="4DC519DC" w14:textId="3E2B774C" w:rsidR="00601933" w:rsidRPr="00833C88" w:rsidRDefault="00601933" w:rsidP="00FA2408">
      <w:pPr>
        <w:pStyle w:val="Nagwek2"/>
        <w:spacing w:before="0" w:after="120" w:line="360" w:lineRule="auto"/>
        <w:jc w:val="both"/>
        <w:rPr>
          <w:rFonts w:cs="Times New Roman"/>
          <w:b/>
          <w:bCs/>
          <w:sz w:val="24"/>
          <w:szCs w:val="24"/>
        </w:rPr>
      </w:pPr>
      <w:r w:rsidRPr="00833C88">
        <w:rPr>
          <w:rFonts w:cs="Times New Roman"/>
          <w:b/>
          <w:bCs/>
          <w:sz w:val="24"/>
          <w:szCs w:val="24"/>
        </w:rPr>
        <w:t xml:space="preserve">Zadania </w:t>
      </w:r>
      <w:r w:rsidR="00315726">
        <w:rPr>
          <w:rFonts w:cs="Times New Roman"/>
          <w:b/>
          <w:bCs/>
          <w:sz w:val="24"/>
          <w:szCs w:val="24"/>
        </w:rPr>
        <w:t>m</w:t>
      </w:r>
      <w:r w:rsidRPr="00833C88">
        <w:rPr>
          <w:rFonts w:cs="Times New Roman"/>
          <w:b/>
          <w:bCs/>
          <w:sz w:val="24"/>
          <w:szCs w:val="24"/>
        </w:rPr>
        <w:t>inistra właściwego do spraw energii</w:t>
      </w:r>
    </w:p>
    <w:p w14:paraId="12C98BEE" w14:textId="3D915FCA" w:rsidR="00E9285E" w:rsidRPr="00833C88" w:rsidRDefault="00A17CFB" w:rsidP="00FA2408">
      <w:pPr>
        <w:spacing w:line="360" w:lineRule="auto"/>
        <w:jc w:val="both"/>
        <w:rPr>
          <w:rFonts w:cs="Times New Roman"/>
          <w:sz w:val="24"/>
          <w:szCs w:val="24"/>
          <w:lang w:eastAsia="pl-PL"/>
        </w:rPr>
      </w:pPr>
      <w:r w:rsidRPr="00833C88">
        <w:rPr>
          <w:rFonts w:cs="Times New Roman"/>
          <w:sz w:val="24"/>
          <w:szCs w:val="24"/>
          <w:lang w:eastAsia="pl-PL"/>
        </w:rPr>
        <w:t xml:space="preserve">Procedowany projekt </w:t>
      </w:r>
      <w:r w:rsidR="00A671CB" w:rsidRPr="00833C88">
        <w:rPr>
          <w:rFonts w:cs="Times New Roman"/>
          <w:sz w:val="24"/>
          <w:szCs w:val="24"/>
          <w:lang w:eastAsia="pl-PL"/>
        </w:rPr>
        <w:t>służy nie tylko wdrożeniu dyrektywy NIS 2</w:t>
      </w:r>
      <w:r w:rsidR="006E606B" w:rsidRPr="00833C88">
        <w:rPr>
          <w:rFonts w:cs="Times New Roman"/>
          <w:sz w:val="24"/>
          <w:szCs w:val="24"/>
          <w:lang w:eastAsia="pl-PL"/>
        </w:rPr>
        <w:t>,</w:t>
      </w:r>
      <w:r w:rsidR="00A671CB" w:rsidRPr="00833C88">
        <w:rPr>
          <w:rFonts w:cs="Times New Roman"/>
          <w:sz w:val="24"/>
          <w:szCs w:val="24"/>
          <w:lang w:eastAsia="pl-PL"/>
        </w:rPr>
        <w:t xml:space="preserve"> ale także </w:t>
      </w:r>
      <w:r w:rsidR="0062417A" w:rsidRPr="00833C88">
        <w:rPr>
          <w:rFonts w:cs="Times New Roman"/>
          <w:sz w:val="24"/>
          <w:szCs w:val="24"/>
          <w:lang w:eastAsia="pl-PL"/>
        </w:rPr>
        <w:t xml:space="preserve">rozporządzenia delegowanego Komisji (UE) 2024/1366 </w:t>
      </w:r>
      <w:r w:rsidR="00601933" w:rsidRPr="00833C88">
        <w:rPr>
          <w:rFonts w:cs="Times New Roman"/>
          <w:sz w:val="24"/>
          <w:szCs w:val="24"/>
          <w:lang w:eastAsia="pl-PL"/>
        </w:rPr>
        <w:t>z </w:t>
      </w:r>
      <w:r w:rsidR="0062417A" w:rsidRPr="00833C88">
        <w:rPr>
          <w:rFonts w:cs="Times New Roman"/>
          <w:sz w:val="24"/>
          <w:szCs w:val="24"/>
          <w:lang w:eastAsia="pl-PL"/>
        </w:rPr>
        <w:t xml:space="preserve">dnia 11 marca 2024 r. uzupełniającego rozporządzenie Parlamentu Europejskiego </w:t>
      </w:r>
      <w:r w:rsidR="00601933" w:rsidRPr="00833C88">
        <w:rPr>
          <w:rFonts w:cs="Times New Roman"/>
          <w:sz w:val="24"/>
          <w:szCs w:val="24"/>
          <w:lang w:eastAsia="pl-PL"/>
        </w:rPr>
        <w:t>i </w:t>
      </w:r>
      <w:r w:rsidR="0062417A" w:rsidRPr="00833C88">
        <w:rPr>
          <w:rFonts w:cs="Times New Roman"/>
          <w:sz w:val="24"/>
          <w:szCs w:val="24"/>
          <w:lang w:eastAsia="pl-PL"/>
        </w:rPr>
        <w:t xml:space="preserve">Rady (UE) 2019/943 poprzez ustanowienie kodeksu sieci dotyczącego zasad sektorowych </w:t>
      </w:r>
      <w:r w:rsidR="00601933" w:rsidRPr="00833C88">
        <w:rPr>
          <w:rFonts w:cs="Times New Roman"/>
          <w:sz w:val="24"/>
          <w:szCs w:val="24"/>
          <w:lang w:eastAsia="pl-PL"/>
        </w:rPr>
        <w:t>w </w:t>
      </w:r>
      <w:r w:rsidR="0062417A" w:rsidRPr="00833C88">
        <w:rPr>
          <w:rFonts w:cs="Times New Roman"/>
          <w:sz w:val="24"/>
          <w:szCs w:val="24"/>
          <w:lang w:eastAsia="pl-PL"/>
        </w:rPr>
        <w:t xml:space="preserve">zakresie aspektów cyberbezpieczeństwa </w:t>
      </w:r>
      <w:r w:rsidR="00601933" w:rsidRPr="00833C88">
        <w:rPr>
          <w:rFonts w:cs="Times New Roman"/>
          <w:sz w:val="24"/>
          <w:szCs w:val="24"/>
          <w:lang w:eastAsia="pl-PL"/>
        </w:rPr>
        <w:t>w </w:t>
      </w:r>
      <w:r w:rsidR="0062417A" w:rsidRPr="00833C88">
        <w:rPr>
          <w:rFonts w:cs="Times New Roman"/>
          <w:sz w:val="24"/>
          <w:szCs w:val="24"/>
          <w:lang w:eastAsia="pl-PL"/>
        </w:rPr>
        <w:t>transgranicznych przepływach energii elektrycznej. Rozporządzenie to jest bezpośrednio stosowa</w:t>
      </w:r>
      <w:r w:rsidR="00ED2326" w:rsidRPr="00833C88">
        <w:rPr>
          <w:rFonts w:cs="Times New Roman"/>
          <w:sz w:val="24"/>
          <w:szCs w:val="24"/>
          <w:lang w:eastAsia="pl-PL"/>
        </w:rPr>
        <w:t>ne</w:t>
      </w:r>
      <w:r w:rsidR="0062417A" w:rsidRPr="00833C88">
        <w:rPr>
          <w:rFonts w:cs="Times New Roman"/>
          <w:sz w:val="24"/>
          <w:szCs w:val="24"/>
          <w:lang w:eastAsia="pl-PL"/>
        </w:rPr>
        <w:t xml:space="preserve">. Do państw członkowskich </w:t>
      </w:r>
      <w:r w:rsidR="00222A93" w:rsidRPr="00833C88">
        <w:rPr>
          <w:rFonts w:cs="Times New Roman"/>
          <w:sz w:val="24"/>
          <w:szCs w:val="24"/>
        </w:rPr>
        <w:t>Unii Europejskiej</w:t>
      </w:r>
      <w:r w:rsidR="00222A93" w:rsidRPr="00833C88">
        <w:rPr>
          <w:rFonts w:cs="Times New Roman"/>
          <w:sz w:val="24"/>
          <w:szCs w:val="24"/>
          <w:lang w:eastAsia="pl-PL"/>
        </w:rPr>
        <w:t xml:space="preserve"> </w:t>
      </w:r>
      <w:r w:rsidR="0062417A" w:rsidRPr="00833C88">
        <w:rPr>
          <w:rFonts w:cs="Times New Roman"/>
          <w:sz w:val="24"/>
          <w:szCs w:val="24"/>
          <w:lang w:eastAsia="pl-PL"/>
        </w:rPr>
        <w:t xml:space="preserve">należy wyznaczenie organu </w:t>
      </w:r>
      <w:r w:rsidR="00E70651" w:rsidRPr="00833C88">
        <w:rPr>
          <w:rFonts w:cs="Times New Roman"/>
          <w:sz w:val="24"/>
          <w:szCs w:val="24"/>
          <w:lang w:eastAsia="pl-PL"/>
        </w:rPr>
        <w:t xml:space="preserve">właściwego, który będzie wykonywał obowiązki wynikające </w:t>
      </w:r>
      <w:r w:rsidR="00601933" w:rsidRPr="00833C88">
        <w:rPr>
          <w:rFonts w:cs="Times New Roman"/>
          <w:sz w:val="24"/>
          <w:szCs w:val="24"/>
          <w:lang w:eastAsia="pl-PL"/>
        </w:rPr>
        <w:t>z </w:t>
      </w:r>
      <w:r w:rsidR="00E70651" w:rsidRPr="00833C88">
        <w:rPr>
          <w:rFonts w:cs="Times New Roman"/>
          <w:sz w:val="24"/>
          <w:szCs w:val="24"/>
          <w:lang w:eastAsia="pl-PL"/>
        </w:rPr>
        <w:t xml:space="preserve">tego rozporządzenia. Kierując się przepisami </w:t>
      </w:r>
      <w:r w:rsidR="00CA6B28" w:rsidRPr="00833C88">
        <w:rPr>
          <w:rFonts w:cs="Times New Roman"/>
          <w:sz w:val="24"/>
          <w:szCs w:val="24"/>
          <w:lang w:eastAsia="pl-PL"/>
        </w:rPr>
        <w:t>art. 7a ust.</w:t>
      </w:r>
      <w:r w:rsidR="00ED2326" w:rsidRPr="00833C88">
        <w:rPr>
          <w:rFonts w:cs="Times New Roman"/>
          <w:sz w:val="24"/>
          <w:szCs w:val="24"/>
          <w:lang w:eastAsia="pl-PL"/>
        </w:rPr>
        <w:t> </w:t>
      </w:r>
      <w:r w:rsidR="00CA6B28" w:rsidRPr="00833C88">
        <w:rPr>
          <w:rFonts w:cs="Times New Roman"/>
          <w:sz w:val="24"/>
          <w:szCs w:val="24"/>
          <w:lang w:eastAsia="pl-PL"/>
        </w:rPr>
        <w:t>2 pkt 3 ustaw</w:t>
      </w:r>
      <w:r w:rsidR="00CF5EF6" w:rsidRPr="00833C88">
        <w:rPr>
          <w:rFonts w:cs="Times New Roman"/>
          <w:sz w:val="24"/>
          <w:szCs w:val="24"/>
          <w:lang w:eastAsia="pl-PL"/>
        </w:rPr>
        <w:t>y</w:t>
      </w:r>
      <w:r w:rsidR="00CA6B28" w:rsidRPr="00833C88">
        <w:rPr>
          <w:rFonts w:cs="Times New Roman"/>
          <w:sz w:val="24"/>
          <w:szCs w:val="24"/>
          <w:lang w:eastAsia="pl-PL"/>
        </w:rPr>
        <w:t xml:space="preserve"> </w:t>
      </w:r>
      <w:r w:rsidR="00601933" w:rsidRPr="00833C88">
        <w:rPr>
          <w:rFonts w:cs="Times New Roman"/>
          <w:sz w:val="24"/>
          <w:szCs w:val="24"/>
          <w:lang w:eastAsia="pl-PL"/>
        </w:rPr>
        <w:t>z </w:t>
      </w:r>
      <w:r w:rsidR="00CA6B28" w:rsidRPr="00833C88">
        <w:rPr>
          <w:rFonts w:cs="Times New Roman"/>
          <w:sz w:val="24"/>
          <w:szCs w:val="24"/>
          <w:lang w:eastAsia="pl-PL"/>
        </w:rPr>
        <w:t xml:space="preserve">dnia 4 września 1997 r. </w:t>
      </w:r>
      <w:r w:rsidR="00601933" w:rsidRPr="00833C88">
        <w:rPr>
          <w:rFonts w:cs="Times New Roman"/>
          <w:sz w:val="24"/>
          <w:szCs w:val="24"/>
          <w:lang w:eastAsia="pl-PL"/>
        </w:rPr>
        <w:t>o </w:t>
      </w:r>
      <w:r w:rsidR="00CA6B28" w:rsidRPr="00833C88">
        <w:rPr>
          <w:rFonts w:cs="Times New Roman"/>
          <w:sz w:val="24"/>
          <w:szCs w:val="24"/>
          <w:lang w:eastAsia="pl-PL"/>
        </w:rPr>
        <w:t xml:space="preserve">działach administracji rządowej </w:t>
      </w:r>
      <w:r w:rsidR="00601933" w:rsidRPr="00833C88">
        <w:rPr>
          <w:rFonts w:cs="Times New Roman"/>
          <w:sz w:val="24"/>
          <w:szCs w:val="24"/>
          <w:lang w:eastAsia="pl-PL"/>
        </w:rPr>
        <w:t>p</w:t>
      </w:r>
      <w:r w:rsidR="00C05ADA" w:rsidRPr="00833C88">
        <w:rPr>
          <w:rFonts w:cs="Times New Roman"/>
          <w:sz w:val="24"/>
          <w:szCs w:val="24"/>
          <w:lang w:eastAsia="pl-PL"/>
        </w:rPr>
        <w:t xml:space="preserve">rzypisano te zadania </w:t>
      </w:r>
      <w:r w:rsidR="007D56A2" w:rsidRPr="00833C88">
        <w:rPr>
          <w:rFonts w:cs="Times New Roman"/>
          <w:sz w:val="24"/>
          <w:szCs w:val="24"/>
          <w:lang w:eastAsia="pl-PL"/>
        </w:rPr>
        <w:t xml:space="preserve">ministrowi właściwemu do spraw energii. </w:t>
      </w:r>
      <w:r w:rsidR="00601933" w:rsidRPr="00833C88">
        <w:rPr>
          <w:rFonts w:cs="Times New Roman"/>
          <w:sz w:val="24"/>
          <w:szCs w:val="24"/>
          <w:lang w:eastAsia="pl-PL"/>
        </w:rPr>
        <w:t>W </w:t>
      </w:r>
      <w:r w:rsidR="007D56A2" w:rsidRPr="00833C88">
        <w:rPr>
          <w:rFonts w:cs="Times New Roman"/>
          <w:sz w:val="24"/>
          <w:szCs w:val="24"/>
          <w:lang w:eastAsia="pl-PL"/>
        </w:rPr>
        <w:t xml:space="preserve">szczególności wskazano, że ten minister identyfikuje podmioty </w:t>
      </w:r>
      <w:r w:rsidR="00601933" w:rsidRPr="00833C88">
        <w:rPr>
          <w:rFonts w:cs="Times New Roman"/>
          <w:sz w:val="24"/>
          <w:szCs w:val="24"/>
          <w:lang w:eastAsia="pl-PL"/>
        </w:rPr>
        <w:t>o </w:t>
      </w:r>
      <w:r w:rsidR="007D56A2" w:rsidRPr="00833C88">
        <w:rPr>
          <w:rFonts w:cs="Times New Roman"/>
          <w:sz w:val="24"/>
          <w:szCs w:val="24"/>
          <w:lang w:eastAsia="pl-PL"/>
        </w:rPr>
        <w:t xml:space="preserve">dużym wpływie </w:t>
      </w:r>
      <w:r w:rsidR="00601933" w:rsidRPr="00833C88">
        <w:rPr>
          <w:rFonts w:cs="Times New Roman"/>
          <w:sz w:val="24"/>
          <w:szCs w:val="24"/>
          <w:lang w:eastAsia="pl-PL"/>
        </w:rPr>
        <w:t>i </w:t>
      </w:r>
      <w:r w:rsidR="007D56A2" w:rsidRPr="00833C88">
        <w:rPr>
          <w:rFonts w:cs="Times New Roman"/>
          <w:sz w:val="24"/>
          <w:szCs w:val="24"/>
          <w:lang w:eastAsia="pl-PL"/>
        </w:rPr>
        <w:t xml:space="preserve">podmioty </w:t>
      </w:r>
      <w:r w:rsidR="00601933" w:rsidRPr="00833C88">
        <w:rPr>
          <w:rFonts w:cs="Times New Roman"/>
          <w:sz w:val="24"/>
          <w:szCs w:val="24"/>
          <w:lang w:eastAsia="pl-PL"/>
        </w:rPr>
        <w:t>o </w:t>
      </w:r>
      <w:r w:rsidR="007D56A2" w:rsidRPr="00833C88">
        <w:rPr>
          <w:rFonts w:cs="Times New Roman"/>
          <w:sz w:val="24"/>
          <w:szCs w:val="24"/>
          <w:lang w:eastAsia="pl-PL"/>
        </w:rPr>
        <w:t>krytycznym wpływie</w:t>
      </w:r>
      <w:r w:rsidR="00103159" w:rsidRPr="00833C88">
        <w:rPr>
          <w:rFonts w:cs="Times New Roman"/>
          <w:sz w:val="24"/>
          <w:szCs w:val="24"/>
          <w:lang w:eastAsia="pl-PL"/>
        </w:rPr>
        <w:t xml:space="preserve">. </w:t>
      </w:r>
      <w:r w:rsidR="00FA7680" w:rsidRPr="00833C88">
        <w:rPr>
          <w:rFonts w:cs="Times New Roman"/>
          <w:sz w:val="24"/>
          <w:szCs w:val="24"/>
          <w:lang w:eastAsia="pl-PL"/>
        </w:rPr>
        <w:t xml:space="preserve">Identyfikacja ta jest inną czynnością </w:t>
      </w:r>
      <w:r w:rsidR="00601933" w:rsidRPr="00833C88">
        <w:rPr>
          <w:rFonts w:cs="Times New Roman"/>
          <w:sz w:val="24"/>
          <w:szCs w:val="24"/>
          <w:lang w:eastAsia="pl-PL"/>
        </w:rPr>
        <w:t>z </w:t>
      </w:r>
      <w:r w:rsidR="00FA7680" w:rsidRPr="00833C88">
        <w:rPr>
          <w:rFonts w:cs="Times New Roman"/>
          <w:sz w:val="24"/>
          <w:szCs w:val="24"/>
          <w:lang w:eastAsia="pl-PL"/>
        </w:rPr>
        <w:t>zakresu administracji publicznej</w:t>
      </w:r>
      <w:r w:rsidR="00387FA8" w:rsidRPr="00833C88">
        <w:rPr>
          <w:rFonts w:cs="Times New Roman"/>
          <w:sz w:val="24"/>
          <w:szCs w:val="24"/>
          <w:lang w:eastAsia="pl-PL"/>
        </w:rPr>
        <w:t xml:space="preserve"> – uproszczono więc znacznie postępowanie </w:t>
      </w:r>
      <w:r w:rsidR="00601933" w:rsidRPr="00833C88">
        <w:rPr>
          <w:rFonts w:cs="Times New Roman"/>
          <w:sz w:val="24"/>
          <w:szCs w:val="24"/>
          <w:lang w:eastAsia="pl-PL"/>
        </w:rPr>
        <w:t>w </w:t>
      </w:r>
      <w:r w:rsidR="00387FA8" w:rsidRPr="00833C88">
        <w:rPr>
          <w:rFonts w:cs="Times New Roman"/>
          <w:sz w:val="24"/>
          <w:szCs w:val="24"/>
          <w:lang w:eastAsia="pl-PL"/>
        </w:rPr>
        <w:t xml:space="preserve">sprawie identyfikacji, ale zapewniono możliwość </w:t>
      </w:r>
      <w:r w:rsidR="00E9285E" w:rsidRPr="00833C88">
        <w:rPr>
          <w:rFonts w:cs="Times New Roman"/>
          <w:sz w:val="24"/>
          <w:szCs w:val="24"/>
          <w:lang w:eastAsia="pl-PL"/>
        </w:rPr>
        <w:t>złożenia skargi do sądu administracyjnego na tą czynność.</w:t>
      </w:r>
      <w:r w:rsidR="00DC4458" w:rsidRPr="00833C88">
        <w:rPr>
          <w:rFonts w:cs="Times New Roman"/>
          <w:sz w:val="24"/>
          <w:szCs w:val="24"/>
          <w:lang w:eastAsia="pl-PL"/>
        </w:rPr>
        <w:t xml:space="preserve"> Zgodnie </w:t>
      </w:r>
      <w:r w:rsidR="00601933" w:rsidRPr="00833C88">
        <w:rPr>
          <w:rFonts w:cs="Times New Roman"/>
          <w:sz w:val="24"/>
          <w:szCs w:val="24"/>
          <w:lang w:eastAsia="pl-PL"/>
        </w:rPr>
        <w:t>z </w:t>
      </w:r>
      <w:r w:rsidR="00DC4458" w:rsidRPr="00833C88">
        <w:rPr>
          <w:rFonts w:cs="Times New Roman"/>
          <w:sz w:val="24"/>
          <w:szCs w:val="24"/>
          <w:lang w:eastAsia="pl-PL"/>
        </w:rPr>
        <w:t xml:space="preserve">art. 24 ust. 6 rozporządzenia 2024/1366 </w:t>
      </w:r>
      <w:r w:rsidR="00F339FC" w:rsidRPr="00833C88">
        <w:rPr>
          <w:rFonts w:cs="Times New Roman"/>
          <w:sz w:val="24"/>
          <w:szCs w:val="24"/>
          <w:lang w:eastAsia="pl-PL"/>
        </w:rPr>
        <w:t xml:space="preserve">minister </w:t>
      </w:r>
      <w:r w:rsidR="0086615E" w:rsidRPr="00833C88">
        <w:rPr>
          <w:rFonts w:cs="Times New Roman"/>
          <w:sz w:val="24"/>
          <w:szCs w:val="24"/>
          <w:lang w:eastAsia="pl-PL"/>
        </w:rPr>
        <w:t xml:space="preserve">właściwy do spraw </w:t>
      </w:r>
      <w:r w:rsidR="00F339FC" w:rsidRPr="00833C88">
        <w:rPr>
          <w:rFonts w:cs="Times New Roman"/>
          <w:sz w:val="24"/>
          <w:szCs w:val="24"/>
          <w:lang w:eastAsia="pl-PL"/>
        </w:rPr>
        <w:t xml:space="preserve">energii musi powiadomić </w:t>
      </w:r>
      <w:r w:rsidR="00601933" w:rsidRPr="00833C88">
        <w:rPr>
          <w:rFonts w:cs="Times New Roman"/>
          <w:sz w:val="24"/>
          <w:szCs w:val="24"/>
          <w:lang w:eastAsia="pl-PL"/>
        </w:rPr>
        <w:t>o </w:t>
      </w:r>
      <w:r w:rsidR="00F339FC" w:rsidRPr="00833C88">
        <w:rPr>
          <w:rFonts w:cs="Times New Roman"/>
          <w:sz w:val="24"/>
          <w:szCs w:val="24"/>
          <w:lang w:eastAsia="pl-PL"/>
        </w:rPr>
        <w:t xml:space="preserve">identyfikacji </w:t>
      </w:r>
      <w:r w:rsidR="003144F8" w:rsidRPr="00833C88">
        <w:rPr>
          <w:rFonts w:cs="Times New Roman"/>
          <w:sz w:val="24"/>
          <w:szCs w:val="24"/>
          <w:lang w:eastAsia="pl-PL"/>
        </w:rPr>
        <w:t xml:space="preserve">podmiot </w:t>
      </w:r>
      <w:r w:rsidR="00601933" w:rsidRPr="00833C88">
        <w:rPr>
          <w:rFonts w:cs="Times New Roman"/>
          <w:sz w:val="24"/>
          <w:szCs w:val="24"/>
          <w:lang w:eastAsia="pl-PL"/>
        </w:rPr>
        <w:t>w </w:t>
      </w:r>
      <w:r w:rsidR="003144F8" w:rsidRPr="00833C88">
        <w:rPr>
          <w:rFonts w:cs="Times New Roman"/>
          <w:sz w:val="24"/>
          <w:szCs w:val="24"/>
          <w:lang w:eastAsia="pl-PL"/>
        </w:rPr>
        <w:t xml:space="preserve">terminie 9 miesięcy od otrzymania powiadomienia </w:t>
      </w:r>
      <w:r w:rsidR="00601933" w:rsidRPr="00833C88">
        <w:rPr>
          <w:rFonts w:cs="Times New Roman"/>
          <w:sz w:val="24"/>
          <w:szCs w:val="24"/>
          <w:lang w:eastAsia="pl-PL"/>
        </w:rPr>
        <w:t>o </w:t>
      </w:r>
      <w:proofErr w:type="spellStart"/>
      <w:r w:rsidR="003144F8" w:rsidRPr="00833C88">
        <w:rPr>
          <w:rFonts w:cs="Times New Roman"/>
          <w:sz w:val="24"/>
          <w:szCs w:val="24"/>
          <w:lang w:eastAsia="pl-PL"/>
        </w:rPr>
        <w:t>ogólnounijnym</w:t>
      </w:r>
      <w:proofErr w:type="spellEnd"/>
      <w:r w:rsidR="003144F8" w:rsidRPr="00833C88">
        <w:rPr>
          <w:rFonts w:cs="Times New Roman"/>
          <w:sz w:val="24"/>
          <w:szCs w:val="24"/>
          <w:lang w:eastAsia="pl-PL"/>
        </w:rPr>
        <w:t xml:space="preserve"> sprawozdaniu </w:t>
      </w:r>
      <w:r w:rsidR="00601933" w:rsidRPr="00833C88">
        <w:rPr>
          <w:rFonts w:cs="Times New Roman"/>
          <w:sz w:val="24"/>
          <w:szCs w:val="24"/>
          <w:lang w:eastAsia="pl-PL"/>
        </w:rPr>
        <w:t>z </w:t>
      </w:r>
      <w:r w:rsidR="003144F8" w:rsidRPr="00833C88">
        <w:rPr>
          <w:rFonts w:cs="Times New Roman"/>
          <w:sz w:val="24"/>
          <w:szCs w:val="24"/>
          <w:lang w:eastAsia="pl-PL"/>
        </w:rPr>
        <w:t xml:space="preserve">oceny ryzyka </w:t>
      </w:r>
      <w:r w:rsidR="00601933" w:rsidRPr="00833C88">
        <w:rPr>
          <w:rFonts w:cs="Times New Roman"/>
          <w:sz w:val="24"/>
          <w:szCs w:val="24"/>
          <w:lang w:eastAsia="pl-PL"/>
        </w:rPr>
        <w:t>w </w:t>
      </w:r>
      <w:r w:rsidR="003144F8" w:rsidRPr="00833C88">
        <w:rPr>
          <w:rFonts w:cs="Times New Roman"/>
          <w:sz w:val="24"/>
          <w:szCs w:val="24"/>
          <w:lang w:eastAsia="pl-PL"/>
        </w:rPr>
        <w:t>cyberprzestrzeni</w:t>
      </w:r>
      <w:r w:rsidR="0086615E" w:rsidRPr="00833C88">
        <w:rPr>
          <w:rFonts w:cs="Times New Roman"/>
          <w:sz w:val="24"/>
          <w:szCs w:val="24"/>
          <w:lang w:eastAsia="pl-PL"/>
        </w:rPr>
        <w:t>, stąd też nie dodawano kolejnego przepisu, który powtarzałby tę normę.</w:t>
      </w:r>
    </w:p>
    <w:p w14:paraId="09A4960F" w14:textId="3E27EAD3" w:rsidR="00A17CFB" w:rsidRPr="00833C88" w:rsidRDefault="001F0937" w:rsidP="00FA2408">
      <w:pPr>
        <w:spacing w:line="360" w:lineRule="auto"/>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Kryteria identyfikacji tych podmiotów </w:t>
      </w:r>
      <w:r w:rsidR="00A126A5" w:rsidRPr="00833C88">
        <w:rPr>
          <w:rFonts w:eastAsia="Times New Roman" w:cs="Times New Roman"/>
          <w:bCs/>
          <w:sz w:val="24"/>
          <w:szCs w:val="24"/>
          <w:lang w:eastAsia="pl-PL"/>
        </w:rPr>
        <w:t xml:space="preserve">są zawarte </w:t>
      </w:r>
      <w:r w:rsidR="00601933" w:rsidRPr="00833C88">
        <w:rPr>
          <w:rFonts w:eastAsia="Times New Roman" w:cs="Times New Roman"/>
          <w:bCs/>
          <w:sz w:val="24"/>
          <w:szCs w:val="24"/>
          <w:lang w:eastAsia="pl-PL"/>
        </w:rPr>
        <w:t>w </w:t>
      </w:r>
      <w:r w:rsidR="00A126A5" w:rsidRPr="00833C88">
        <w:rPr>
          <w:rFonts w:eastAsia="Times New Roman" w:cs="Times New Roman"/>
          <w:bCs/>
          <w:sz w:val="24"/>
          <w:szCs w:val="24"/>
          <w:lang w:eastAsia="pl-PL"/>
        </w:rPr>
        <w:t xml:space="preserve">dokumentach unijnych </w:t>
      </w:r>
      <w:r w:rsidR="00491B72" w:rsidRPr="00833C88">
        <w:rPr>
          <w:rFonts w:eastAsia="Times New Roman" w:cs="Times New Roman"/>
          <w:bCs/>
          <w:sz w:val="24"/>
          <w:szCs w:val="24"/>
          <w:lang w:eastAsia="pl-PL"/>
        </w:rPr>
        <w:t>–</w:t>
      </w:r>
      <w:r w:rsidR="00A126A5" w:rsidRPr="00833C88">
        <w:rPr>
          <w:rFonts w:eastAsia="Times New Roman" w:cs="Times New Roman"/>
          <w:bCs/>
          <w:sz w:val="24"/>
          <w:szCs w:val="24"/>
          <w:lang w:eastAsia="pl-PL"/>
        </w:rPr>
        <w:t xml:space="preserve"> </w:t>
      </w:r>
      <w:r w:rsidR="00DC4458" w:rsidRPr="00833C88">
        <w:rPr>
          <w:rFonts w:eastAsia="Times New Roman" w:cs="Times New Roman"/>
          <w:bCs/>
          <w:sz w:val="24"/>
          <w:szCs w:val="24"/>
          <w:lang w:eastAsia="pl-PL"/>
        </w:rPr>
        <w:t>istotny będzie tutaj wskaźnik wpływu na cyberbezpieczeństwo w odniesieniu do energii elektrycznej</w:t>
      </w:r>
      <w:r w:rsidR="00DC4458" w:rsidRPr="00833C88" w:rsidDel="00DC4458">
        <w:rPr>
          <w:rFonts w:eastAsia="Times New Roman" w:cs="Times New Roman"/>
          <w:bCs/>
          <w:sz w:val="24"/>
          <w:szCs w:val="24"/>
          <w:lang w:eastAsia="pl-PL"/>
        </w:rPr>
        <w:t xml:space="preserve"> </w:t>
      </w:r>
      <w:r w:rsidR="00DC4458" w:rsidRPr="00833C88">
        <w:rPr>
          <w:rFonts w:eastAsia="Times New Roman" w:cs="Times New Roman"/>
          <w:bCs/>
          <w:sz w:val="24"/>
          <w:szCs w:val="24"/>
          <w:lang w:eastAsia="pl-PL"/>
        </w:rPr>
        <w:t>oraz progi dużego wpływu i progów krytycznego wpływu zawarte w </w:t>
      </w:r>
      <w:proofErr w:type="spellStart"/>
      <w:r w:rsidR="00DC4458" w:rsidRPr="00833C88">
        <w:rPr>
          <w:rFonts w:eastAsia="Times New Roman" w:cs="Times New Roman"/>
          <w:bCs/>
          <w:sz w:val="24"/>
          <w:szCs w:val="24"/>
          <w:lang w:eastAsia="pl-PL"/>
        </w:rPr>
        <w:t>ogólnounijnym</w:t>
      </w:r>
      <w:proofErr w:type="spellEnd"/>
      <w:r w:rsidR="00DC4458" w:rsidRPr="00833C88">
        <w:rPr>
          <w:rFonts w:eastAsia="Times New Roman" w:cs="Times New Roman"/>
          <w:bCs/>
          <w:sz w:val="24"/>
          <w:szCs w:val="24"/>
          <w:lang w:eastAsia="pl-PL"/>
        </w:rPr>
        <w:t xml:space="preserve"> sprawozdaniu z oceny ryzyka w cyberprzestrzeni zgodnie z art. 19 ust. 3 lit. b</w:t>
      </w:r>
      <w:r w:rsidR="00DC4458" w:rsidRPr="00833C88" w:rsidDel="00DC4458">
        <w:rPr>
          <w:rFonts w:eastAsia="Times New Roman" w:cs="Times New Roman"/>
          <w:bCs/>
          <w:sz w:val="24"/>
          <w:szCs w:val="24"/>
          <w:lang w:eastAsia="pl-PL"/>
        </w:rPr>
        <w:t xml:space="preserve"> </w:t>
      </w:r>
      <w:r w:rsidR="00DC4458" w:rsidRPr="00833C88">
        <w:rPr>
          <w:rFonts w:eastAsia="Times New Roman" w:cs="Times New Roman"/>
          <w:bCs/>
          <w:sz w:val="24"/>
          <w:szCs w:val="24"/>
          <w:lang w:eastAsia="pl-PL"/>
        </w:rPr>
        <w:t>rozporządzenia 2024/1366</w:t>
      </w:r>
      <w:r w:rsidR="00DA32A6" w:rsidRPr="00833C88">
        <w:rPr>
          <w:rFonts w:eastAsia="Times New Roman" w:cs="Times New Roman"/>
          <w:bCs/>
          <w:sz w:val="24"/>
          <w:szCs w:val="24"/>
          <w:lang w:eastAsia="pl-PL"/>
        </w:rPr>
        <w:t>.</w:t>
      </w:r>
    </w:p>
    <w:p w14:paraId="557DB584" w14:textId="1AC5F176" w:rsidR="00AC39DC" w:rsidRPr="00833C88" w:rsidRDefault="00AC39DC" w:rsidP="00FA2408">
      <w:pPr>
        <w:spacing w:line="360" w:lineRule="auto"/>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Celem wykonania przepisów rozporządzenia 2024/1366 </w:t>
      </w:r>
      <w:r w:rsidR="009334DE" w:rsidRPr="00833C88">
        <w:rPr>
          <w:rFonts w:eastAsia="Times New Roman" w:cs="Times New Roman"/>
          <w:bCs/>
          <w:sz w:val="24"/>
          <w:szCs w:val="24"/>
          <w:lang w:eastAsia="pl-PL"/>
        </w:rPr>
        <w:t xml:space="preserve">wprowadzono podstawę prawną dla ministra </w:t>
      </w:r>
      <w:r w:rsidR="00377DB5" w:rsidRPr="00833C88">
        <w:rPr>
          <w:rFonts w:eastAsia="Times New Roman" w:cs="Times New Roman"/>
          <w:bCs/>
          <w:sz w:val="24"/>
          <w:szCs w:val="24"/>
          <w:lang w:eastAsia="pl-PL"/>
        </w:rPr>
        <w:t xml:space="preserve">właściwego do spraw energii do </w:t>
      </w:r>
      <w:r w:rsidR="00A057B8" w:rsidRPr="00833C88">
        <w:rPr>
          <w:rFonts w:eastAsia="Times New Roman" w:cs="Times New Roman"/>
          <w:bCs/>
          <w:sz w:val="24"/>
          <w:szCs w:val="24"/>
          <w:lang w:eastAsia="pl-PL"/>
        </w:rPr>
        <w:t xml:space="preserve">wystąpienia do podmiotu kluczowego lub podmiotu </w:t>
      </w:r>
      <w:r w:rsidR="00282CC8" w:rsidRPr="00833C88">
        <w:rPr>
          <w:rFonts w:eastAsia="Times New Roman" w:cs="Times New Roman"/>
          <w:bCs/>
          <w:sz w:val="24"/>
          <w:szCs w:val="24"/>
          <w:lang w:eastAsia="pl-PL"/>
        </w:rPr>
        <w:t>ważnego</w:t>
      </w:r>
      <w:r w:rsidR="00A057B8" w:rsidRPr="00833C88">
        <w:rPr>
          <w:rFonts w:eastAsia="Times New Roman" w:cs="Times New Roman"/>
          <w:bCs/>
          <w:sz w:val="24"/>
          <w:szCs w:val="24"/>
          <w:lang w:eastAsia="pl-PL"/>
        </w:rPr>
        <w:t xml:space="preserve"> z podsektora energii o udzielenie informacji</w:t>
      </w:r>
      <w:r w:rsidR="00582953" w:rsidRPr="00833C88">
        <w:rPr>
          <w:rFonts w:eastAsia="Times New Roman" w:cs="Times New Roman"/>
          <w:bCs/>
          <w:sz w:val="24"/>
          <w:szCs w:val="24"/>
          <w:lang w:eastAsia="pl-PL"/>
        </w:rPr>
        <w:t xml:space="preserve">, które pozwolą na wstępną ocenę, czy </w:t>
      </w:r>
      <w:r w:rsidR="003F1ECD" w:rsidRPr="00833C88">
        <w:rPr>
          <w:rFonts w:eastAsia="Times New Roman" w:cs="Times New Roman"/>
          <w:bCs/>
          <w:sz w:val="24"/>
          <w:szCs w:val="24"/>
          <w:lang w:eastAsia="pl-PL"/>
        </w:rPr>
        <w:t>dany podmiot należy uznać za podmiot o dużym wpływie lub podmiot o krytycznym wpływie zgodnie z art. 24 rozporządzenia 2024/1366. Wprowadzono przy tym od</w:t>
      </w:r>
      <w:r w:rsidR="006300B2" w:rsidRPr="00833C88">
        <w:rPr>
          <w:rFonts w:eastAsia="Times New Roman" w:cs="Times New Roman"/>
          <w:bCs/>
          <w:sz w:val="24"/>
          <w:szCs w:val="24"/>
          <w:lang w:eastAsia="pl-PL"/>
        </w:rPr>
        <w:t>esłanie do odpowiedniego stosowania art. 53c ust. 1</w:t>
      </w:r>
      <w:r w:rsidR="00D67A28" w:rsidRPr="00833C88">
        <w:rPr>
          <w:rFonts w:eastAsia="Times New Roman" w:cs="Times New Roman"/>
          <w:bCs/>
          <w:sz w:val="24"/>
          <w:szCs w:val="24"/>
          <w:lang w:eastAsia="pl-PL"/>
        </w:rPr>
        <w:t>–</w:t>
      </w:r>
      <w:r w:rsidR="006300B2" w:rsidRPr="00833C88">
        <w:rPr>
          <w:rFonts w:eastAsia="Times New Roman" w:cs="Times New Roman"/>
          <w:bCs/>
          <w:sz w:val="24"/>
          <w:szCs w:val="24"/>
          <w:lang w:eastAsia="pl-PL"/>
        </w:rPr>
        <w:t>3 – jest to przepis o żądaniu informacji przez organ właściwy do spraw cyberbezpieczeństwa.</w:t>
      </w:r>
      <w:r w:rsidR="0053010A" w:rsidRPr="00833C88">
        <w:rPr>
          <w:rFonts w:eastAsia="Times New Roman" w:cs="Times New Roman"/>
          <w:bCs/>
          <w:sz w:val="24"/>
          <w:szCs w:val="24"/>
          <w:lang w:eastAsia="pl-PL"/>
        </w:rPr>
        <w:t xml:space="preserve"> Odpowiednie stosowanie tego przepisu polega na tym, że uprawnienie w nim zawarte przysługuje ministrowi właściwemu do spraw energii</w:t>
      </w:r>
      <w:r w:rsidR="00AB67E7" w:rsidRPr="00833C88">
        <w:rPr>
          <w:rFonts w:eastAsia="Times New Roman" w:cs="Times New Roman"/>
          <w:bCs/>
          <w:sz w:val="24"/>
          <w:szCs w:val="24"/>
          <w:lang w:eastAsia="pl-PL"/>
        </w:rPr>
        <w:t xml:space="preserve">. </w:t>
      </w:r>
      <w:r w:rsidR="00AB67E7" w:rsidRPr="00833C88">
        <w:rPr>
          <w:rFonts w:eastAsia="Times New Roman" w:cs="Times New Roman"/>
          <w:bCs/>
          <w:sz w:val="24"/>
          <w:szCs w:val="24"/>
          <w:lang w:eastAsia="pl-PL"/>
        </w:rPr>
        <w:lastRenderedPageBreak/>
        <w:t xml:space="preserve">Obowiązanym do udzielenia informacji </w:t>
      </w:r>
      <w:r w:rsidR="00633E6E" w:rsidRPr="00833C88">
        <w:rPr>
          <w:rFonts w:eastAsia="Times New Roman" w:cs="Times New Roman"/>
          <w:bCs/>
          <w:sz w:val="24"/>
          <w:szCs w:val="24"/>
          <w:lang w:eastAsia="pl-PL"/>
        </w:rPr>
        <w:t>będzie podmiot kluczowy lub podmiot ważny z</w:t>
      </w:r>
      <w:r w:rsidR="005B6736" w:rsidRPr="00833C88">
        <w:rPr>
          <w:rFonts w:eastAsia="Times New Roman" w:cs="Times New Roman"/>
          <w:bCs/>
          <w:sz w:val="24"/>
          <w:szCs w:val="24"/>
          <w:lang w:eastAsia="pl-PL"/>
        </w:rPr>
        <w:t> </w:t>
      </w:r>
      <w:r w:rsidR="00633E6E" w:rsidRPr="00833C88">
        <w:rPr>
          <w:rFonts w:eastAsia="Times New Roman" w:cs="Times New Roman"/>
          <w:bCs/>
          <w:sz w:val="24"/>
          <w:szCs w:val="24"/>
          <w:lang w:eastAsia="pl-PL"/>
        </w:rPr>
        <w:t xml:space="preserve">podsektora energii elektrycznej, do którego zostało skierowane </w:t>
      </w:r>
      <w:r w:rsidR="00B51A90" w:rsidRPr="00833C88">
        <w:rPr>
          <w:rFonts w:eastAsia="Times New Roman" w:cs="Times New Roman"/>
          <w:bCs/>
          <w:sz w:val="24"/>
          <w:szCs w:val="24"/>
          <w:lang w:eastAsia="pl-PL"/>
        </w:rPr>
        <w:t>wystąpienie.</w:t>
      </w:r>
    </w:p>
    <w:p w14:paraId="121F880D" w14:textId="6851C143" w:rsidR="003F1ECD" w:rsidRPr="00833C88" w:rsidRDefault="00DF6293" w:rsidP="00FA2408">
      <w:pPr>
        <w:spacing w:line="360" w:lineRule="auto"/>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Minister właściwy do spraw energii otrzyma także uprawnienie do prowadzenia kontroli </w:t>
      </w:r>
      <w:r w:rsidR="00535243" w:rsidRPr="00833C88">
        <w:rPr>
          <w:rFonts w:eastAsia="Times New Roman" w:cs="Times New Roman"/>
          <w:bCs/>
          <w:sz w:val="24"/>
          <w:szCs w:val="24"/>
          <w:lang w:eastAsia="pl-PL"/>
        </w:rPr>
        <w:t>podmiotów zidentyfikowanych jako podmioty o krytycznym wpływie, o których mowa w</w:t>
      </w:r>
      <w:r w:rsidR="005B6736" w:rsidRPr="00833C88">
        <w:rPr>
          <w:rFonts w:eastAsia="Times New Roman" w:cs="Times New Roman"/>
          <w:bCs/>
          <w:sz w:val="24"/>
          <w:szCs w:val="24"/>
          <w:lang w:eastAsia="pl-PL"/>
        </w:rPr>
        <w:t> </w:t>
      </w:r>
      <w:r w:rsidR="00535243" w:rsidRPr="00833C88">
        <w:rPr>
          <w:rFonts w:eastAsia="Times New Roman" w:cs="Times New Roman"/>
          <w:bCs/>
          <w:sz w:val="24"/>
          <w:szCs w:val="24"/>
          <w:lang w:eastAsia="pl-PL"/>
        </w:rPr>
        <w:t xml:space="preserve">rozporządzeniu 2024/1366. </w:t>
      </w:r>
      <w:r w:rsidR="00677D8C" w:rsidRPr="00833C88">
        <w:rPr>
          <w:rFonts w:eastAsia="Times New Roman" w:cs="Times New Roman"/>
          <w:bCs/>
          <w:sz w:val="24"/>
          <w:szCs w:val="24"/>
          <w:lang w:eastAsia="pl-PL"/>
        </w:rPr>
        <w:t xml:space="preserve">Zgodnie z tym rozporządzeniem mogą być prowadzone kontrole tych podmiotów. Nie nakłada się jednak administracyjnych kar pieniężnych. </w:t>
      </w:r>
    </w:p>
    <w:p w14:paraId="548E3137" w14:textId="3D9392D4" w:rsidR="00601933" w:rsidRPr="00833C88" w:rsidRDefault="00601933" w:rsidP="00FA2408">
      <w:pPr>
        <w:pStyle w:val="Nagwek2"/>
        <w:spacing w:before="0" w:after="120" w:line="360" w:lineRule="auto"/>
        <w:jc w:val="both"/>
        <w:rPr>
          <w:rFonts w:eastAsia="Times New Roman" w:cs="Times New Roman"/>
          <w:bCs/>
          <w:sz w:val="24"/>
          <w:szCs w:val="24"/>
          <w:lang w:eastAsia="pl-PL"/>
        </w:rPr>
      </w:pPr>
      <w:r w:rsidRPr="00833C88">
        <w:rPr>
          <w:rFonts w:cs="Times New Roman"/>
          <w:b/>
          <w:bCs/>
          <w:sz w:val="24"/>
          <w:szCs w:val="24"/>
        </w:rPr>
        <w:t xml:space="preserve">Zadania </w:t>
      </w:r>
      <w:r w:rsidR="00315726">
        <w:rPr>
          <w:rFonts w:cs="Times New Roman"/>
          <w:b/>
          <w:bCs/>
          <w:sz w:val="24"/>
          <w:szCs w:val="24"/>
        </w:rPr>
        <w:t>m</w:t>
      </w:r>
      <w:r w:rsidRPr="00833C88">
        <w:rPr>
          <w:rFonts w:cs="Times New Roman"/>
          <w:b/>
          <w:bCs/>
          <w:sz w:val="24"/>
          <w:szCs w:val="24"/>
        </w:rPr>
        <w:t>inistra właściwego do spraw zagranicznych</w:t>
      </w:r>
    </w:p>
    <w:p w14:paraId="64119C89" w14:textId="0FF2D0C5" w:rsidR="00EF4E9E" w:rsidRPr="00833C88" w:rsidRDefault="00601933"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W </w:t>
      </w:r>
      <w:r w:rsidR="00E84A11" w:rsidRPr="00833C88">
        <w:rPr>
          <w:rFonts w:eastAsia="Times New Roman" w:cs="Times New Roman"/>
          <w:bCs/>
          <w:sz w:val="24"/>
          <w:szCs w:val="24"/>
          <w:lang w:eastAsia="pl-PL"/>
        </w:rPr>
        <w:t xml:space="preserve">nowelizacji podkreślono wiodącą rolę ministra właściwego do spraw zagranicznych </w:t>
      </w:r>
      <w:r w:rsidRPr="00833C88">
        <w:rPr>
          <w:rFonts w:eastAsia="Times New Roman" w:cs="Times New Roman"/>
          <w:bCs/>
          <w:sz w:val="24"/>
          <w:szCs w:val="24"/>
          <w:lang w:eastAsia="pl-PL"/>
        </w:rPr>
        <w:t>w </w:t>
      </w:r>
      <w:r w:rsidR="00E84A11" w:rsidRPr="00833C88">
        <w:rPr>
          <w:rFonts w:eastAsia="Times New Roman" w:cs="Times New Roman"/>
          <w:bCs/>
          <w:sz w:val="24"/>
          <w:szCs w:val="24"/>
          <w:lang w:eastAsia="pl-PL"/>
        </w:rPr>
        <w:t xml:space="preserve">obszarze </w:t>
      </w:r>
      <w:proofErr w:type="spellStart"/>
      <w:r w:rsidR="00E84A11" w:rsidRPr="00833C88">
        <w:rPr>
          <w:rFonts w:eastAsia="Times New Roman" w:cs="Times New Roman"/>
          <w:bCs/>
          <w:sz w:val="24"/>
          <w:szCs w:val="24"/>
          <w:lang w:eastAsia="pl-PL"/>
        </w:rPr>
        <w:t>cyberdyplomacji</w:t>
      </w:r>
      <w:proofErr w:type="spellEnd"/>
      <w:r w:rsidR="00E84A11" w:rsidRPr="00833C88">
        <w:rPr>
          <w:rFonts w:eastAsia="Times New Roman" w:cs="Times New Roman"/>
          <w:bCs/>
          <w:sz w:val="24"/>
          <w:szCs w:val="24"/>
          <w:lang w:eastAsia="pl-PL"/>
        </w:rPr>
        <w:t>. Wskazano</w:t>
      </w:r>
      <w:r w:rsidR="00CF08E2" w:rsidRPr="00833C88">
        <w:rPr>
          <w:rFonts w:eastAsia="Times New Roman" w:cs="Times New Roman"/>
          <w:bCs/>
          <w:sz w:val="24"/>
          <w:szCs w:val="24"/>
          <w:lang w:eastAsia="pl-PL"/>
        </w:rPr>
        <w:t xml:space="preserve">, że prowadzi działalność dyplomatyczną </w:t>
      </w:r>
      <w:r w:rsidRPr="00833C88">
        <w:rPr>
          <w:rFonts w:eastAsia="Times New Roman" w:cs="Times New Roman"/>
          <w:bCs/>
          <w:sz w:val="24"/>
          <w:szCs w:val="24"/>
          <w:lang w:eastAsia="pl-PL"/>
        </w:rPr>
        <w:t>w </w:t>
      </w:r>
      <w:r w:rsidR="00A151BA" w:rsidRPr="00833C88">
        <w:rPr>
          <w:rFonts w:eastAsia="Times New Roman" w:cs="Times New Roman"/>
          <w:bCs/>
          <w:sz w:val="24"/>
          <w:szCs w:val="24"/>
          <w:lang w:eastAsia="pl-PL"/>
        </w:rPr>
        <w:t>obszarze cyberbezpieczeństwa</w:t>
      </w:r>
      <w:r w:rsidR="00A02541" w:rsidRPr="00833C88">
        <w:rPr>
          <w:rFonts w:eastAsia="Times New Roman" w:cs="Times New Roman"/>
          <w:bCs/>
          <w:sz w:val="24"/>
          <w:szCs w:val="24"/>
          <w:lang w:eastAsia="pl-PL"/>
        </w:rPr>
        <w:t xml:space="preserve"> </w:t>
      </w:r>
      <w:r w:rsidRPr="00833C88">
        <w:rPr>
          <w:rFonts w:eastAsia="Times New Roman" w:cs="Times New Roman"/>
          <w:bCs/>
          <w:sz w:val="24"/>
          <w:szCs w:val="24"/>
          <w:lang w:eastAsia="pl-PL"/>
        </w:rPr>
        <w:t>w </w:t>
      </w:r>
      <w:r w:rsidR="00A02541" w:rsidRPr="00833C88">
        <w:rPr>
          <w:rFonts w:eastAsia="Times New Roman" w:cs="Times New Roman"/>
          <w:bCs/>
          <w:sz w:val="24"/>
          <w:szCs w:val="24"/>
          <w:lang w:eastAsia="pl-PL"/>
        </w:rPr>
        <w:t xml:space="preserve">stosunkach </w:t>
      </w:r>
      <w:r w:rsidRPr="00833C88">
        <w:rPr>
          <w:rFonts w:eastAsia="Times New Roman" w:cs="Times New Roman"/>
          <w:bCs/>
          <w:sz w:val="24"/>
          <w:szCs w:val="24"/>
          <w:lang w:eastAsia="pl-PL"/>
        </w:rPr>
        <w:t>z </w:t>
      </w:r>
      <w:r w:rsidR="00A02541" w:rsidRPr="00833C88">
        <w:rPr>
          <w:rFonts w:eastAsia="Times New Roman" w:cs="Times New Roman"/>
          <w:bCs/>
          <w:sz w:val="24"/>
          <w:szCs w:val="24"/>
          <w:lang w:eastAsia="pl-PL"/>
        </w:rPr>
        <w:t xml:space="preserve">państwami trzecimi </w:t>
      </w:r>
      <w:r w:rsidRPr="00833C88">
        <w:rPr>
          <w:rFonts w:eastAsia="Times New Roman" w:cs="Times New Roman"/>
          <w:bCs/>
          <w:sz w:val="24"/>
          <w:szCs w:val="24"/>
          <w:lang w:eastAsia="pl-PL"/>
        </w:rPr>
        <w:t>i </w:t>
      </w:r>
      <w:r w:rsidR="00A02541" w:rsidRPr="00833C88">
        <w:rPr>
          <w:rFonts w:eastAsia="Times New Roman" w:cs="Times New Roman"/>
          <w:bCs/>
          <w:sz w:val="24"/>
          <w:szCs w:val="24"/>
          <w:lang w:eastAsia="pl-PL"/>
        </w:rPr>
        <w:t xml:space="preserve">organizacjami międzynarodowymi oraz </w:t>
      </w:r>
      <w:r w:rsidR="003E451C" w:rsidRPr="00833C88">
        <w:rPr>
          <w:rFonts w:eastAsia="Times New Roman" w:cs="Times New Roman"/>
          <w:bCs/>
          <w:sz w:val="24"/>
          <w:szCs w:val="24"/>
          <w:lang w:eastAsia="pl-PL"/>
        </w:rPr>
        <w:t>koordynuje</w:t>
      </w:r>
      <w:r w:rsidR="00A02541" w:rsidRPr="00833C88">
        <w:rPr>
          <w:rFonts w:eastAsia="Times New Roman" w:cs="Times New Roman"/>
          <w:bCs/>
          <w:sz w:val="24"/>
          <w:szCs w:val="24"/>
          <w:lang w:eastAsia="pl-PL"/>
        </w:rPr>
        <w:t xml:space="preserve"> tę współpracę. </w:t>
      </w:r>
      <w:r w:rsidR="003E451C" w:rsidRPr="00833C88">
        <w:rPr>
          <w:rFonts w:eastAsia="Times New Roman" w:cs="Times New Roman"/>
          <w:bCs/>
          <w:sz w:val="24"/>
          <w:szCs w:val="24"/>
          <w:lang w:eastAsia="pl-PL"/>
        </w:rPr>
        <w:t>Podkreślenie</w:t>
      </w:r>
      <w:r w:rsidR="00A02541" w:rsidRPr="00833C88">
        <w:rPr>
          <w:rFonts w:eastAsia="Times New Roman" w:cs="Times New Roman"/>
          <w:bCs/>
          <w:sz w:val="24"/>
          <w:szCs w:val="24"/>
          <w:lang w:eastAsia="pl-PL"/>
        </w:rPr>
        <w:t xml:space="preserve"> „prowadzenia tej działalności</w:t>
      </w:r>
      <w:r w:rsidR="00774270" w:rsidRPr="00833C88">
        <w:rPr>
          <w:rFonts w:eastAsia="Times New Roman" w:cs="Times New Roman"/>
          <w:bCs/>
          <w:sz w:val="24"/>
          <w:szCs w:val="24"/>
          <w:lang w:eastAsia="pl-PL"/>
        </w:rPr>
        <w:t>”</w:t>
      </w:r>
      <w:r w:rsidR="00A02541" w:rsidRPr="00833C88">
        <w:rPr>
          <w:rFonts w:eastAsia="Times New Roman" w:cs="Times New Roman"/>
          <w:bCs/>
          <w:sz w:val="24"/>
          <w:szCs w:val="24"/>
          <w:lang w:eastAsia="pl-PL"/>
        </w:rPr>
        <w:t xml:space="preserve"> ma na celu umożliwienie podejmowania </w:t>
      </w:r>
      <w:r w:rsidR="00E53557" w:rsidRPr="00833C88">
        <w:rPr>
          <w:rFonts w:eastAsia="Times New Roman" w:cs="Times New Roman"/>
          <w:bCs/>
          <w:sz w:val="24"/>
          <w:szCs w:val="24"/>
          <w:lang w:eastAsia="pl-PL"/>
        </w:rPr>
        <w:t xml:space="preserve">samodzielnych działań </w:t>
      </w:r>
      <w:r w:rsidRPr="00833C88">
        <w:rPr>
          <w:rFonts w:eastAsia="Times New Roman" w:cs="Times New Roman"/>
          <w:bCs/>
          <w:sz w:val="24"/>
          <w:szCs w:val="24"/>
          <w:lang w:eastAsia="pl-PL"/>
        </w:rPr>
        <w:t>w </w:t>
      </w:r>
      <w:r w:rsidR="00E53557" w:rsidRPr="00833C88">
        <w:rPr>
          <w:rFonts w:eastAsia="Times New Roman" w:cs="Times New Roman"/>
          <w:bCs/>
          <w:sz w:val="24"/>
          <w:szCs w:val="24"/>
          <w:lang w:eastAsia="pl-PL"/>
        </w:rPr>
        <w:t>tym obszarze. Minister właściwy do spraw zagranicznych będzie też otrzymywał</w:t>
      </w:r>
      <w:r w:rsidR="00F37077" w:rsidRPr="00833C88">
        <w:rPr>
          <w:rFonts w:eastAsia="Times New Roman" w:cs="Times New Roman"/>
          <w:bCs/>
          <w:sz w:val="24"/>
          <w:szCs w:val="24"/>
          <w:lang w:eastAsia="pl-PL"/>
        </w:rPr>
        <w:t xml:space="preserve"> od ministra właściwego do spraw </w:t>
      </w:r>
      <w:r w:rsidR="00282CC8" w:rsidRPr="00833C88">
        <w:rPr>
          <w:rFonts w:eastAsia="Times New Roman" w:cs="Times New Roman"/>
          <w:bCs/>
          <w:sz w:val="24"/>
          <w:szCs w:val="24"/>
          <w:lang w:eastAsia="pl-PL"/>
        </w:rPr>
        <w:t>informatyzacji</w:t>
      </w:r>
      <w:r w:rsidR="00E53557" w:rsidRPr="00833C88">
        <w:rPr>
          <w:rFonts w:eastAsia="Times New Roman" w:cs="Times New Roman"/>
          <w:bCs/>
          <w:sz w:val="24"/>
          <w:szCs w:val="24"/>
          <w:lang w:eastAsia="pl-PL"/>
        </w:rPr>
        <w:t xml:space="preserve"> wszelkie </w:t>
      </w:r>
      <w:proofErr w:type="gramStart"/>
      <w:r w:rsidR="00E53557" w:rsidRPr="00833C88">
        <w:rPr>
          <w:rFonts w:eastAsia="Times New Roman" w:cs="Times New Roman"/>
          <w:bCs/>
          <w:sz w:val="24"/>
          <w:szCs w:val="24"/>
          <w:lang w:eastAsia="pl-PL"/>
        </w:rPr>
        <w:t>informacje</w:t>
      </w:r>
      <w:proofErr w:type="gramEnd"/>
      <w:r w:rsidR="00E53557" w:rsidRPr="00833C88">
        <w:rPr>
          <w:rFonts w:eastAsia="Times New Roman" w:cs="Times New Roman"/>
          <w:bCs/>
          <w:sz w:val="24"/>
          <w:szCs w:val="24"/>
          <w:lang w:eastAsia="pl-PL"/>
        </w:rPr>
        <w:t xml:space="preserve"> które przechodzą przez </w:t>
      </w:r>
      <w:r w:rsidR="00315726">
        <w:rPr>
          <w:rFonts w:eastAsia="Times New Roman" w:cs="Times New Roman"/>
          <w:bCs/>
          <w:sz w:val="24"/>
          <w:szCs w:val="24"/>
          <w:lang w:eastAsia="pl-PL"/>
        </w:rPr>
        <w:t>P</w:t>
      </w:r>
      <w:r w:rsidR="00E53557" w:rsidRPr="00833C88">
        <w:rPr>
          <w:rFonts w:eastAsia="Times New Roman" w:cs="Times New Roman"/>
          <w:bCs/>
          <w:sz w:val="24"/>
          <w:szCs w:val="24"/>
          <w:lang w:eastAsia="pl-PL"/>
        </w:rPr>
        <w:t xml:space="preserve">ojedynczy </w:t>
      </w:r>
      <w:r w:rsidR="00315726">
        <w:rPr>
          <w:rFonts w:eastAsia="Times New Roman" w:cs="Times New Roman"/>
          <w:bCs/>
          <w:sz w:val="24"/>
          <w:szCs w:val="24"/>
          <w:lang w:eastAsia="pl-PL"/>
        </w:rPr>
        <w:t>P</w:t>
      </w:r>
      <w:r w:rsidR="00E53557" w:rsidRPr="00833C88">
        <w:rPr>
          <w:rFonts w:eastAsia="Times New Roman" w:cs="Times New Roman"/>
          <w:bCs/>
          <w:sz w:val="24"/>
          <w:szCs w:val="24"/>
          <w:lang w:eastAsia="pl-PL"/>
        </w:rPr>
        <w:t>unk</w:t>
      </w:r>
      <w:r w:rsidR="00810185" w:rsidRPr="00833C88">
        <w:rPr>
          <w:rFonts w:eastAsia="Times New Roman" w:cs="Times New Roman"/>
          <w:bCs/>
          <w:sz w:val="24"/>
          <w:szCs w:val="24"/>
          <w:lang w:eastAsia="pl-PL"/>
        </w:rPr>
        <w:t>t</w:t>
      </w:r>
      <w:r w:rsidR="00E53557" w:rsidRPr="00833C88">
        <w:rPr>
          <w:rFonts w:eastAsia="Times New Roman" w:cs="Times New Roman"/>
          <w:bCs/>
          <w:sz w:val="24"/>
          <w:szCs w:val="24"/>
          <w:lang w:eastAsia="pl-PL"/>
        </w:rPr>
        <w:t xml:space="preserve"> </w:t>
      </w:r>
      <w:r w:rsidR="00315726">
        <w:rPr>
          <w:rFonts w:eastAsia="Times New Roman" w:cs="Times New Roman"/>
          <w:bCs/>
          <w:sz w:val="24"/>
          <w:szCs w:val="24"/>
          <w:lang w:eastAsia="pl-PL"/>
        </w:rPr>
        <w:t>K</w:t>
      </w:r>
      <w:r w:rsidR="003E451C" w:rsidRPr="00833C88">
        <w:rPr>
          <w:rFonts w:eastAsia="Times New Roman" w:cs="Times New Roman"/>
          <w:bCs/>
          <w:sz w:val="24"/>
          <w:szCs w:val="24"/>
          <w:lang w:eastAsia="pl-PL"/>
        </w:rPr>
        <w:t>ontaktowy</w:t>
      </w:r>
      <w:r w:rsidR="00E53557" w:rsidRPr="00833C88">
        <w:rPr>
          <w:rFonts w:eastAsia="Times New Roman" w:cs="Times New Roman"/>
          <w:bCs/>
          <w:sz w:val="24"/>
          <w:szCs w:val="24"/>
          <w:lang w:eastAsia="pl-PL"/>
        </w:rPr>
        <w:t xml:space="preserve">, </w:t>
      </w:r>
      <w:r w:rsidRPr="00833C88">
        <w:rPr>
          <w:rFonts w:eastAsia="Times New Roman" w:cs="Times New Roman"/>
          <w:bCs/>
          <w:sz w:val="24"/>
          <w:szCs w:val="24"/>
          <w:lang w:eastAsia="pl-PL"/>
        </w:rPr>
        <w:t>a </w:t>
      </w:r>
      <w:r w:rsidR="00E53557" w:rsidRPr="00833C88">
        <w:rPr>
          <w:rFonts w:eastAsia="Times New Roman" w:cs="Times New Roman"/>
          <w:bCs/>
          <w:sz w:val="24"/>
          <w:szCs w:val="24"/>
          <w:lang w:eastAsia="pl-PL"/>
        </w:rPr>
        <w:t>dotyczą relacji międzynarodowych.</w:t>
      </w:r>
      <w:r w:rsidR="00F37077" w:rsidRPr="00833C88">
        <w:rPr>
          <w:rFonts w:eastAsia="Times New Roman" w:cs="Times New Roman"/>
          <w:bCs/>
          <w:sz w:val="24"/>
          <w:szCs w:val="24"/>
          <w:lang w:eastAsia="pl-PL"/>
        </w:rPr>
        <w:t xml:space="preserve"> Zgodnie z zasadą minimalizacji danych nie będzie otrzymywał danych osobowych zawartych w przekazywanych </w:t>
      </w:r>
      <w:r w:rsidR="00961998" w:rsidRPr="00833C88">
        <w:rPr>
          <w:rFonts w:eastAsia="Times New Roman" w:cs="Times New Roman"/>
          <w:bCs/>
          <w:sz w:val="24"/>
          <w:szCs w:val="24"/>
          <w:lang w:eastAsia="pl-PL"/>
        </w:rPr>
        <w:t>dokumentach i informacjach.</w:t>
      </w:r>
    </w:p>
    <w:p w14:paraId="76A43352" w14:textId="22A0A641" w:rsidR="00601933" w:rsidRPr="00833C88" w:rsidRDefault="00601933" w:rsidP="00FA2408">
      <w:pPr>
        <w:pStyle w:val="Nagwek2"/>
        <w:spacing w:before="0" w:after="120" w:line="360" w:lineRule="auto"/>
        <w:jc w:val="both"/>
        <w:rPr>
          <w:rFonts w:cs="Times New Roman"/>
          <w:b/>
          <w:bCs/>
          <w:sz w:val="24"/>
          <w:szCs w:val="24"/>
        </w:rPr>
      </w:pPr>
      <w:r w:rsidRPr="00833C88">
        <w:rPr>
          <w:rFonts w:cs="Times New Roman"/>
          <w:b/>
          <w:bCs/>
          <w:sz w:val="24"/>
          <w:szCs w:val="24"/>
        </w:rPr>
        <w:t>Organy odpowiedzialne za zarządzanie incydentami i zarządzanie kryzysowe w cyberbezpieczeństwie na dużą skalę</w:t>
      </w:r>
    </w:p>
    <w:p w14:paraId="1AD63374" w14:textId="4A598909" w:rsidR="00AF33AA" w:rsidRPr="00833C88" w:rsidRDefault="000C3A1C"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Zgodnie </w:t>
      </w:r>
      <w:r w:rsidR="00601933" w:rsidRPr="00833C88">
        <w:rPr>
          <w:rFonts w:eastAsia="Times New Roman" w:cs="Times New Roman"/>
          <w:bCs/>
          <w:sz w:val="24"/>
          <w:szCs w:val="24"/>
          <w:lang w:eastAsia="pl-PL"/>
        </w:rPr>
        <w:t>z </w:t>
      </w:r>
      <w:r w:rsidRPr="00833C88">
        <w:rPr>
          <w:rFonts w:eastAsia="Times New Roman" w:cs="Times New Roman"/>
          <w:bCs/>
          <w:sz w:val="24"/>
          <w:szCs w:val="24"/>
          <w:lang w:eastAsia="pl-PL"/>
        </w:rPr>
        <w:t xml:space="preserve">dyrektywą NIS 2 należało wyznaczyć </w:t>
      </w:r>
      <w:r w:rsidR="00480B9D" w:rsidRPr="00833C88">
        <w:rPr>
          <w:rFonts w:eastAsia="Times New Roman" w:cs="Times New Roman"/>
          <w:bCs/>
          <w:sz w:val="24"/>
          <w:szCs w:val="24"/>
          <w:lang w:eastAsia="pl-PL"/>
        </w:rPr>
        <w:t xml:space="preserve">organy odpowiedzialne za zarządzanie incydentami </w:t>
      </w:r>
      <w:r w:rsidR="00601933" w:rsidRPr="00833C88">
        <w:rPr>
          <w:rFonts w:eastAsia="Times New Roman" w:cs="Times New Roman"/>
          <w:bCs/>
          <w:sz w:val="24"/>
          <w:szCs w:val="24"/>
          <w:lang w:eastAsia="pl-PL"/>
        </w:rPr>
        <w:t>i </w:t>
      </w:r>
      <w:r w:rsidR="00480B9D" w:rsidRPr="00833C88">
        <w:rPr>
          <w:rFonts w:eastAsia="Times New Roman" w:cs="Times New Roman"/>
          <w:bCs/>
          <w:sz w:val="24"/>
          <w:szCs w:val="24"/>
          <w:lang w:eastAsia="pl-PL"/>
        </w:rPr>
        <w:t xml:space="preserve">zarządzanie kryzysowe </w:t>
      </w:r>
      <w:r w:rsidR="00601933" w:rsidRPr="00833C88">
        <w:rPr>
          <w:rFonts w:eastAsia="Times New Roman" w:cs="Times New Roman"/>
          <w:bCs/>
          <w:sz w:val="24"/>
          <w:szCs w:val="24"/>
          <w:lang w:eastAsia="pl-PL"/>
        </w:rPr>
        <w:t>w </w:t>
      </w:r>
      <w:r w:rsidR="00480B9D" w:rsidRPr="00833C88">
        <w:rPr>
          <w:rFonts w:eastAsia="Times New Roman" w:cs="Times New Roman"/>
          <w:bCs/>
          <w:sz w:val="24"/>
          <w:szCs w:val="24"/>
          <w:lang w:eastAsia="pl-PL"/>
        </w:rPr>
        <w:t xml:space="preserve">cyberbezpieczeństwie na dużą skalę. </w:t>
      </w:r>
      <w:r w:rsidR="00601933" w:rsidRPr="00833C88">
        <w:rPr>
          <w:rFonts w:eastAsia="Times New Roman" w:cs="Times New Roman"/>
          <w:bCs/>
          <w:sz w:val="24"/>
          <w:szCs w:val="24"/>
          <w:lang w:eastAsia="pl-PL"/>
        </w:rPr>
        <w:t>W </w:t>
      </w:r>
      <w:r w:rsidR="00480B9D" w:rsidRPr="00833C88">
        <w:rPr>
          <w:rFonts w:eastAsia="Times New Roman" w:cs="Times New Roman"/>
          <w:bCs/>
          <w:sz w:val="24"/>
          <w:szCs w:val="24"/>
          <w:lang w:eastAsia="pl-PL"/>
        </w:rPr>
        <w:t xml:space="preserve">wymiarze cywilnym będzie to minister właściwy do spraw informatyzacji – ponieważ zgodnie </w:t>
      </w:r>
      <w:r w:rsidR="00601933" w:rsidRPr="00833C88">
        <w:rPr>
          <w:rFonts w:eastAsia="Times New Roman" w:cs="Times New Roman"/>
          <w:bCs/>
          <w:sz w:val="24"/>
          <w:szCs w:val="24"/>
          <w:lang w:eastAsia="pl-PL"/>
        </w:rPr>
        <w:t>z </w:t>
      </w:r>
      <w:r w:rsidR="00480B9D" w:rsidRPr="00833C88">
        <w:rPr>
          <w:rFonts w:eastAsia="Times New Roman" w:cs="Times New Roman"/>
          <w:bCs/>
          <w:sz w:val="24"/>
          <w:szCs w:val="24"/>
          <w:lang w:eastAsia="pl-PL"/>
        </w:rPr>
        <w:t xml:space="preserve">ustawą </w:t>
      </w:r>
      <w:r w:rsidR="00C50454" w:rsidRPr="00833C88">
        <w:rPr>
          <w:rFonts w:eastAsia="Times New Roman" w:cs="Times New Roman"/>
          <w:sz w:val="24"/>
          <w:szCs w:val="24"/>
          <w:lang w:eastAsia="pl-PL"/>
        </w:rPr>
        <w:t xml:space="preserve">z dnia 4 września 1997 r. </w:t>
      </w:r>
      <w:r w:rsidR="00601933" w:rsidRPr="00833C88">
        <w:rPr>
          <w:rFonts w:eastAsia="Times New Roman" w:cs="Times New Roman"/>
          <w:bCs/>
          <w:sz w:val="24"/>
          <w:szCs w:val="24"/>
          <w:lang w:eastAsia="pl-PL"/>
        </w:rPr>
        <w:t>o </w:t>
      </w:r>
      <w:r w:rsidR="00480B9D" w:rsidRPr="00833C88">
        <w:rPr>
          <w:rFonts w:eastAsia="Times New Roman" w:cs="Times New Roman"/>
          <w:bCs/>
          <w:sz w:val="24"/>
          <w:szCs w:val="24"/>
          <w:lang w:eastAsia="pl-PL"/>
        </w:rPr>
        <w:t xml:space="preserve">działach administracji rządowej </w:t>
      </w:r>
      <w:r w:rsidR="00943FCB" w:rsidRPr="00833C88">
        <w:rPr>
          <w:rFonts w:eastAsia="Times New Roman" w:cs="Times New Roman"/>
          <w:bCs/>
          <w:sz w:val="24"/>
          <w:szCs w:val="24"/>
          <w:lang w:eastAsia="pl-PL"/>
        </w:rPr>
        <w:t>jest on odpowiedzialny za</w:t>
      </w:r>
      <w:r w:rsidR="001A275A" w:rsidRPr="00833C88">
        <w:rPr>
          <w:rFonts w:eastAsia="Times New Roman" w:cs="Times New Roman"/>
          <w:bCs/>
          <w:sz w:val="24"/>
          <w:szCs w:val="24"/>
          <w:lang w:eastAsia="pl-PL"/>
        </w:rPr>
        <w:t> </w:t>
      </w:r>
      <w:r w:rsidR="00943FCB" w:rsidRPr="00833C88">
        <w:rPr>
          <w:rFonts w:eastAsia="Times New Roman" w:cs="Times New Roman"/>
          <w:bCs/>
          <w:sz w:val="24"/>
          <w:szCs w:val="24"/>
          <w:lang w:eastAsia="pl-PL"/>
        </w:rPr>
        <w:t xml:space="preserve">bezpieczeństwo </w:t>
      </w:r>
      <w:r w:rsidR="00601933" w:rsidRPr="00833C88">
        <w:rPr>
          <w:rFonts w:eastAsia="Times New Roman" w:cs="Times New Roman"/>
          <w:bCs/>
          <w:sz w:val="24"/>
          <w:szCs w:val="24"/>
          <w:lang w:eastAsia="pl-PL"/>
        </w:rPr>
        <w:t>w </w:t>
      </w:r>
      <w:r w:rsidR="00943FCB" w:rsidRPr="00833C88">
        <w:rPr>
          <w:rFonts w:eastAsia="Times New Roman" w:cs="Times New Roman"/>
          <w:bCs/>
          <w:sz w:val="24"/>
          <w:szCs w:val="24"/>
          <w:lang w:eastAsia="pl-PL"/>
        </w:rPr>
        <w:t xml:space="preserve">cyberprzestrzeni </w:t>
      </w:r>
      <w:r w:rsidR="00601933" w:rsidRPr="00833C88">
        <w:rPr>
          <w:rFonts w:eastAsia="Times New Roman" w:cs="Times New Roman"/>
          <w:bCs/>
          <w:sz w:val="24"/>
          <w:szCs w:val="24"/>
          <w:lang w:eastAsia="pl-PL"/>
        </w:rPr>
        <w:t>w </w:t>
      </w:r>
      <w:r w:rsidR="00943FCB" w:rsidRPr="00833C88">
        <w:rPr>
          <w:rFonts w:eastAsia="Times New Roman" w:cs="Times New Roman"/>
          <w:bCs/>
          <w:sz w:val="24"/>
          <w:szCs w:val="24"/>
          <w:lang w:eastAsia="pl-PL"/>
        </w:rPr>
        <w:t xml:space="preserve">wymiarze cywilnym. </w:t>
      </w:r>
      <w:r w:rsidR="00933B12" w:rsidRPr="00833C88">
        <w:rPr>
          <w:rFonts w:eastAsia="Times New Roman" w:cs="Times New Roman"/>
          <w:bCs/>
          <w:sz w:val="24"/>
          <w:szCs w:val="24"/>
          <w:lang w:eastAsia="pl-PL"/>
        </w:rPr>
        <w:t xml:space="preserve">Jednakże </w:t>
      </w:r>
      <w:r w:rsidR="00601933" w:rsidRPr="00833C88">
        <w:rPr>
          <w:rFonts w:eastAsia="Times New Roman" w:cs="Times New Roman"/>
          <w:bCs/>
          <w:sz w:val="24"/>
          <w:szCs w:val="24"/>
          <w:lang w:eastAsia="pl-PL"/>
        </w:rPr>
        <w:t>w </w:t>
      </w:r>
      <w:r w:rsidR="00933B12" w:rsidRPr="00833C88">
        <w:rPr>
          <w:rFonts w:eastAsia="Times New Roman" w:cs="Times New Roman"/>
          <w:bCs/>
          <w:sz w:val="24"/>
          <w:szCs w:val="24"/>
          <w:lang w:eastAsia="pl-PL"/>
        </w:rPr>
        <w:t xml:space="preserve">sprawach dotyczących </w:t>
      </w:r>
      <w:r w:rsidR="00222F30" w:rsidRPr="00833C88">
        <w:rPr>
          <w:rFonts w:eastAsia="Times New Roman" w:cs="Times New Roman"/>
          <w:bCs/>
          <w:sz w:val="24"/>
          <w:szCs w:val="24"/>
          <w:lang w:eastAsia="pl-PL"/>
        </w:rPr>
        <w:t xml:space="preserve">zagrożeń terrorystycznych oraz zagrożeń związanych ze szpiegostwem organem odpowiedzialnym za </w:t>
      </w:r>
      <w:r w:rsidR="002D31A2" w:rsidRPr="00833C88">
        <w:rPr>
          <w:rFonts w:eastAsia="Times New Roman" w:cs="Times New Roman"/>
          <w:bCs/>
          <w:sz w:val="24"/>
          <w:szCs w:val="24"/>
          <w:lang w:eastAsia="pl-PL"/>
        </w:rPr>
        <w:t xml:space="preserve">zarządzanie incydentami </w:t>
      </w:r>
      <w:r w:rsidR="00601933" w:rsidRPr="00833C88">
        <w:rPr>
          <w:rFonts w:eastAsia="Times New Roman" w:cs="Times New Roman"/>
          <w:bCs/>
          <w:sz w:val="24"/>
          <w:szCs w:val="24"/>
          <w:lang w:eastAsia="pl-PL"/>
        </w:rPr>
        <w:t>i </w:t>
      </w:r>
      <w:r w:rsidR="002D31A2" w:rsidRPr="00833C88">
        <w:rPr>
          <w:rFonts w:eastAsia="Times New Roman" w:cs="Times New Roman"/>
          <w:bCs/>
          <w:sz w:val="24"/>
          <w:szCs w:val="24"/>
          <w:lang w:eastAsia="pl-PL"/>
        </w:rPr>
        <w:t xml:space="preserve">zarządzanie kryzysowe </w:t>
      </w:r>
      <w:r w:rsidR="00601933" w:rsidRPr="00833C88">
        <w:rPr>
          <w:rFonts w:eastAsia="Times New Roman" w:cs="Times New Roman"/>
          <w:bCs/>
          <w:sz w:val="24"/>
          <w:szCs w:val="24"/>
          <w:lang w:eastAsia="pl-PL"/>
        </w:rPr>
        <w:t>w </w:t>
      </w:r>
      <w:r w:rsidR="002D31A2" w:rsidRPr="00833C88">
        <w:rPr>
          <w:rFonts w:eastAsia="Times New Roman" w:cs="Times New Roman"/>
          <w:bCs/>
          <w:sz w:val="24"/>
          <w:szCs w:val="24"/>
          <w:lang w:eastAsia="pl-PL"/>
        </w:rPr>
        <w:t xml:space="preserve">cyberbezpieczeństwie będzie Szef Agencji Bezpieczeństwa Wewnętrznego, co wpisuje się </w:t>
      </w:r>
      <w:r w:rsidR="00601933" w:rsidRPr="00833C88">
        <w:rPr>
          <w:rFonts w:eastAsia="Times New Roman" w:cs="Times New Roman"/>
          <w:bCs/>
          <w:sz w:val="24"/>
          <w:szCs w:val="24"/>
          <w:lang w:eastAsia="pl-PL"/>
        </w:rPr>
        <w:t>w </w:t>
      </w:r>
      <w:r w:rsidR="002D31A2" w:rsidRPr="00833C88">
        <w:rPr>
          <w:rFonts w:eastAsia="Times New Roman" w:cs="Times New Roman"/>
          <w:bCs/>
          <w:sz w:val="24"/>
          <w:szCs w:val="24"/>
          <w:lang w:eastAsia="pl-PL"/>
        </w:rPr>
        <w:t xml:space="preserve">zadania Agencji Bezpieczeństwa Wewnętrznego. </w:t>
      </w:r>
      <w:r w:rsidR="00BE50C2" w:rsidRPr="00833C88">
        <w:rPr>
          <w:rFonts w:eastAsia="Times New Roman" w:cs="Times New Roman"/>
          <w:bCs/>
          <w:sz w:val="24"/>
          <w:szCs w:val="24"/>
          <w:lang w:eastAsia="pl-PL"/>
        </w:rPr>
        <w:t xml:space="preserve">Minister Obrony Narodowej </w:t>
      </w:r>
      <w:r w:rsidR="00601933" w:rsidRPr="00833C88">
        <w:rPr>
          <w:rFonts w:eastAsia="Times New Roman" w:cs="Times New Roman"/>
          <w:bCs/>
          <w:sz w:val="24"/>
          <w:szCs w:val="24"/>
          <w:lang w:eastAsia="pl-PL"/>
        </w:rPr>
        <w:t>z </w:t>
      </w:r>
      <w:r w:rsidR="00BE50C2" w:rsidRPr="00833C88">
        <w:rPr>
          <w:rFonts w:eastAsia="Times New Roman" w:cs="Times New Roman"/>
          <w:bCs/>
          <w:sz w:val="24"/>
          <w:szCs w:val="24"/>
          <w:lang w:eastAsia="pl-PL"/>
        </w:rPr>
        <w:t xml:space="preserve">kolei będzie pełnił rolę </w:t>
      </w:r>
      <w:r w:rsidR="00F60A71" w:rsidRPr="00833C88">
        <w:rPr>
          <w:rFonts w:eastAsia="Times New Roman" w:cs="Times New Roman"/>
          <w:bCs/>
          <w:sz w:val="24"/>
          <w:szCs w:val="24"/>
          <w:lang w:eastAsia="pl-PL"/>
        </w:rPr>
        <w:t xml:space="preserve">organu odpowiedzialnego za zarządzanie incydentami </w:t>
      </w:r>
      <w:r w:rsidR="00601933" w:rsidRPr="00833C88">
        <w:rPr>
          <w:rFonts w:eastAsia="Times New Roman" w:cs="Times New Roman"/>
          <w:bCs/>
          <w:sz w:val="24"/>
          <w:szCs w:val="24"/>
          <w:lang w:eastAsia="pl-PL"/>
        </w:rPr>
        <w:t>i </w:t>
      </w:r>
      <w:r w:rsidR="00F60A71" w:rsidRPr="00833C88">
        <w:rPr>
          <w:rFonts w:eastAsia="Times New Roman" w:cs="Times New Roman"/>
          <w:bCs/>
          <w:sz w:val="24"/>
          <w:szCs w:val="24"/>
          <w:lang w:eastAsia="pl-PL"/>
        </w:rPr>
        <w:t xml:space="preserve">zarządzanie kryzysowe </w:t>
      </w:r>
      <w:r w:rsidR="00601933" w:rsidRPr="00833C88">
        <w:rPr>
          <w:rFonts w:eastAsia="Times New Roman" w:cs="Times New Roman"/>
          <w:bCs/>
          <w:sz w:val="24"/>
          <w:szCs w:val="24"/>
          <w:lang w:eastAsia="pl-PL"/>
        </w:rPr>
        <w:t>w </w:t>
      </w:r>
      <w:r w:rsidR="00F60A71" w:rsidRPr="00833C88">
        <w:rPr>
          <w:rFonts w:eastAsia="Times New Roman" w:cs="Times New Roman"/>
          <w:bCs/>
          <w:sz w:val="24"/>
          <w:szCs w:val="24"/>
          <w:lang w:eastAsia="pl-PL"/>
        </w:rPr>
        <w:t xml:space="preserve">cyberbezpieczeństwie na dużą skalę </w:t>
      </w:r>
      <w:r w:rsidR="00601933" w:rsidRPr="00833C88">
        <w:rPr>
          <w:rFonts w:eastAsia="Times New Roman" w:cs="Times New Roman"/>
          <w:bCs/>
          <w:sz w:val="24"/>
          <w:szCs w:val="24"/>
          <w:lang w:eastAsia="pl-PL"/>
        </w:rPr>
        <w:t>w </w:t>
      </w:r>
      <w:r w:rsidR="00F60A71" w:rsidRPr="00833C88">
        <w:rPr>
          <w:rFonts w:eastAsia="Times New Roman" w:cs="Times New Roman"/>
          <w:bCs/>
          <w:sz w:val="24"/>
          <w:szCs w:val="24"/>
          <w:lang w:eastAsia="pl-PL"/>
        </w:rPr>
        <w:t xml:space="preserve">wymiarze militarnym, co również jest zgodne </w:t>
      </w:r>
      <w:r w:rsidR="00601933" w:rsidRPr="00833C88">
        <w:rPr>
          <w:rFonts w:eastAsia="Times New Roman" w:cs="Times New Roman"/>
          <w:bCs/>
          <w:sz w:val="24"/>
          <w:szCs w:val="24"/>
          <w:lang w:eastAsia="pl-PL"/>
        </w:rPr>
        <w:t>z </w:t>
      </w:r>
      <w:r w:rsidR="00F60A71" w:rsidRPr="00833C88">
        <w:rPr>
          <w:rFonts w:eastAsia="Times New Roman" w:cs="Times New Roman"/>
          <w:bCs/>
          <w:sz w:val="24"/>
          <w:szCs w:val="24"/>
          <w:lang w:eastAsia="pl-PL"/>
        </w:rPr>
        <w:t xml:space="preserve">ustawą </w:t>
      </w:r>
      <w:r w:rsidR="00C50454" w:rsidRPr="00833C88">
        <w:rPr>
          <w:rFonts w:eastAsia="Times New Roman" w:cs="Times New Roman"/>
          <w:sz w:val="24"/>
          <w:szCs w:val="24"/>
          <w:lang w:eastAsia="pl-PL"/>
        </w:rPr>
        <w:t xml:space="preserve">z dnia 4 września 1997 r. </w:t>
      </w:r>
      <w:r w:rsidR="00601933" w:rsidRPr="00833C88">
        <w:rPr>
          <w:rFonts w:eastAsia="Times New Roman" w:cs="Times New Roman"/>
          <w:bCs/>
          <w:sz w:val="24"/>
          <w:szCs w:val="24"/>
          <w:lang w:eastAsia="pl-PL"/>
        </w:rPr>
        <w:t>o </w:t>
      </w:r>
      <w:r w:rsidR="00F60A71" w:rsidRPr="00833C88">
        <w:rPr>
          <w:rFonts w:eastAsia="Times New Roman" w:cs="Times New Roman"/>
          <w:bCs/>
          <w:sz w:val="24"/>
          <w:szCs w:val="24"/>
          <w:lang w:eastAsia="pl-PL"/>
        </w:rPr>
        <w:t>działach administracji rządowej.</w:t>
      </w:r>
    </w:p>
    <w:p w14:paraId="4BD9CAB4" w14:textId="223C056B" w:rsidR="00810185" w:rsidRPr="00833C88" w:rsidDel="00621AE6" w:rsidRDefault="00810185"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Wprowadzono również przepis zgodnie z którym organy odpowiedzialne za zarządzanie incydentami i zarządzanie kryzysowe w cyberbezpieczeństwie na dużą skalę koordynują </w:t>
      </w:r>
      <w:r w:rsidRPr="00833C88">
        <w:rPr>
          <w:rFonts w:eastAsia="Times New Roman" w:cs="Times New Roman"/>
          <w:bCs/>
          <w:sz w:val="24"/>
          <w:szCs w:val="24"/>
          <w:lang w:eastAsia="pl-PL"/>
        </w:rPr>
        <w:lastRenderedPageBreak/>
        <w:t>działania organów państwa zgodnie z Krajowym planem reagowania na incydenty i sytuacje kryzysowe.</w:t>
      </w:r>
    </w:p>
    <w:p w14:paraId="3B1CD878" w14:textId="7EA70855" w:rsidR="00281641" w:rsidRPr="00833C88" w:rsidRDefault="00281641" w:rsidP="005B6736">
      <w:pPr>
        <w:pStyle w:val="Nagwek2"/>
        <w:spacing w:before="0" w:after="120" w:line="360" w:lineRule="auto"/>
        <w:jc w:val="both"/>
        <w:rPr>
          <w:rFonts w:cs="Times New Roman"/>
          <w:b/>
          <w:bCs/>
          <w:lang w:eastAsia="pl-PL"/>
        </w:rPr>
      </w:pPr>
      <w:r w:rsidRPr="00833C88">
        <w:rPr>
          <w:rFonts w:cs="Times New Roman"/>
          <w:b/>
          <w:bCs/>
          <w:lang w:eastAsia="pl-PL"/>
        </w:rPr>
        <w:t xml:space="preserve">Nadzór </w:t>
      </w:r>
      <w:r w:rsidR="00601933" w:rsidRPr="00833C88">
        <w:rPr>
          <w:rFonts w:cs="Times New Roman"/>
          <w:b/>
          <w:bCs/>
          <w:lang w:eastAsia="pl-PL"/>
        </w:rPr>
        <w:t>i </w:t>
      </w:r>
      <w:r w:rsidRPr="00833C88">
        <w:rPr>
          <w:rFonts w:cs="Times New Roman"/>
          <w:b/>
          <w:bCs/>
          <w:lang w:eastAsia="pl-PL"/>
        </w:rPr>
        <w:t>środki egzekwowania przepisów</w:t>
      </w:r>
    </w:p>
    <w:p w14:paraId="466C41C8" w14:textId="68F7927F" w:rsidR="00281641" w:rsidRPr="00833C88" w:rsidRDefault="00281641" w:rsidP="005B6736">
      <w:pPr>
        <w:pStyle w:val="Nagwek3"/>
        <w:spacing w:before="0" w:after="120" w:line="360" w:lineRule="auto"/>
        <w:jc w:val="both"/>
        <w:rPr>
          <w:rFonts w:cs="Times New Roman"/>
          <w:b/>
          <w:bCs/>
          <w:u w:val="none"/>
          <w:lang w:eastAsia="pl-PL"/>
        </w:rPr>
      </w:pPr>
      <w:r w:rsidRPr="00833C88">
        <w:rPr>
          <w:rFonts w:cs="Times New Roman"/>
          <w:b/>
          <w:bCs/>
          <w:u w:val="none"/>
          <w:lang w:eastAsia="pl-PL"/>
        </w:rPr>
        <w:t xml:space="preserve">Organy nadzoru, środki nadzoru </w:t>
      </w:r>
      <w:r w:rsidR="00601933" w:rsidRPr="00833C88">
        <w:rPr>
          <w:rFonts w:cs="Times New Roman"/>
          <w:b/>
          <w:bCs/>
          <w:u w:val="none"/>
          <w:lang w:eastAsia="pl-PL"/>
        </w:rPr>
        <w:t>i </w:t>
      </w:r>
      <w:r w:rsidRPr="00833C88">
        <w:rPr>
          <w:rFonts w:cs="Times New Roman"/>
          <w:b/>
          <w:bCs/>
          <w:u w:val="none"/>
          <w:lang w:eastAsia="pl-PL"/>
        </w:rPr>
        <w:t xml:space="preserve">egzekwowania przepisów </w:t>
      </w:r>
    </w:p>
    <w:p w14:paraId="42246A07" w14:textId="549CF659"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art. 53 </w:t>
      </w:r>
      <w:r w:rsidR="00256ED5"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256ED5" w:rsidRPr="00833C88">
        <w:rPr>
          <w:rFonts w:eastAsia="Times New Roman" w:cs="Times New Roman"/>
          <w:sz w:val="24"/>
          <w:szCs w:val="24"/>
          <w:lang w:eastAsia="pl-PL"/>
        </w:rPr>
        <w:t xml:space="preserve">KSC </w:t>
      </w:r>
      <w:r w:rsidRPr="00833C88">
        <w:rPr>
          <w:rFonts w:eastAsia="Times New Roman" w:cs="Times New Roman"/>
          <w:sz w:val="24"/>
          <w:szCs w:val="24"/>
          <w:lang w:eastAsia="pl-PL"/>
        </w:rPr>
        <w:t xml:space="preserve">wynikają przede wszystkim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obowiązku implementacji postanowień art. 31 i</w:t>
      </w:r>
      <w:r w:rsidR="00C84AD5" w:rsidRPr="00833C88">
        <w:rPr>
          <w:rFonts w:eastAsia="Times New Roman" w:cs="Times New Roman"/>
          <w:sz w:val="24"/>
          <w:szCs w:val="24"/>
          <w:lang w:eastAsia="pl-PL"/>
        </w:rPr>
        <w:t> </w:t>
      </w:r>
      <w:r w:rsidR="000D4C87" w:rsidRPr="00833C88">
        <w:rPr>
          <w:rFonts w:eastAsia="Times New Roman" w:cs="Times New Roman"/>
          <w:sz w:val="24"/>
          <w:szCs w:val="24"/>
          <w:lang w:eastAsia="pl-PL"/>
        </w:rPr>
        <w:t xml:space="preserve">art. </w:t>
      </w:r>
      <w:r w:rsidRPr="00833C88">
        <w:rPr>
          <w:rFonts w:eastAsia="Times New Roman" w:cs="Times New Roman"/>
          <w:sz w:val="24"/>
          <w:szCs w:val="24"/>
          <w:lang w:eastAsia="pl-PL"/>
        </w:rPr>
        <w:t xml:space="preserve">32 dyrektywy NIS 2. </w:t>
      </w:r>
    </w:p>
    <w:p w14:paraId="0A045641" w14:textId="378BB1E9"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Nadzór sprawować będą organy właściwe do spraw cyberbezpieczeństwa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wykonywania przez podmioty kluczowe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podmioty ważne wynikających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ustawy obowiązków.</w:t>
      </w:r>
      <w:r w:rsidR="000A2162" w:rsidRPr="00833C88">
        <w:rPr>
          <w:rFonts w:eastAsia="Times New Roman" w:cs="Times New Roman"/>
          <w:sz w:val="24"/>
          <w:szCs w:val="24"/>
          <w:lang w:eastAsia="pl-PL"/>
        </w:rPr>
        <w:t xml:space="preserve"> Wskazać należy, że może dojść do sytuacji zbiegu </w:t>
      </w:r>
      <w:proofErr w:type="gramStart"/>
      <w:r w:rsidR="000A2162" w:rsidRPr="00833C88">
        <w:rPr>
          <w:rFonts w:eastAsia="Times New Roman" w:cs="Times New Roman"/>
          <w:sz w:val="24"/>
          <w:szCs w:val="24"/>
          <w:lang w:eastAsia="pl-PL"/>
        </w:rPr>
        <w:t>nadzoru</w:t>
      </w:r>
      <w:proofErr w:type="gramEnd"/>
      <w:r w:rsidR="000A2162" w:rsidRPr="00833C88">
        <w:rPr>
          <w:rFonts w:eastAsia="Times New Roman" w:cs="Times New Roman"/>
          <w:sz w:val="24"/>
          <w:szCs w:val="24"/>
          <w:lang w:eastAsia="pl-PL"/>
        </w:rPr>
        <w:t xml:space="preserve"> kiedy podmiot kluczowy lub podmiot ważny będzie </w:t>
      </w:r>
      <w:r w:rsidR="006327C8" w:rsidRPr="00833C88">
        <w:rPr>
          <w:rFonts w:eastAsia="Times New Roman" w:cs="Times New Roman"/>
          <w:sz w:val="24"/>
          <w:szCs w:val="24"/>
          <w:lang w:eastAsia="pl-PL"/>
        </w:rPr>
        <w:t xml:space="preserve">tym podmiotem </w:t>
      </w:r>
      <w:r w:rsidR="00601933" w:rsidRPr="00833C88">
        <w:rPr>
          <w:rFonts w:eastAsia="Times New Roman" w:cs="Times New Roman"/>
          <w:sz w:val="24"/>
          <w:szCs w:val="24"/>
          <w:lang w:eastAsia="pl-PL"/>
        </w:rPr>
        <w:t>w </w:t>
      </w:r>
      <w:r w:rsidR="006327C8" w:rsidRPr="00833C88">
        <w:rPr>
          <w:rFonts w:eastAsia="Times New Roman" w:cs="Times New Roman"/>
          <w:sz w:val="24"/>
          <w:szCs w:val="24"/>
          <w:lang w:eastAsia="pl-PL"/>
        </w:rPr>
        <w:t>kilku sektorach</w:t>
      </w:r>
      <w:r w:rsidR="00050F06" w:rsidRPr="00833C88">
        <w:rPr>
          <w:rFonts w:eastAsia="Times New Roman" w:cs="Times New Roman"/>
          <w:sz w:val="24"/>
          <w:szCs w:val="24"/>
          <w:lang w:eastAsia="pl-PL"/>
        </w:rPr>
        <w:t>,</w:t>
      </w:r>
      <w:r w:rsidR="006327C8" w:rsidRPr="00833C88">
        <w:rPr>
          <w:rFonts w:eastAsia="Times New Roman" w:cs="Times New Roman"/>
          <w:sz w:val="24"/>
          <w:szCs w:val="24"/>
          <w:lang w:eastAsia="pl-PL"/>
        </w:rPr>
        <w:t xml:space="preserve"> dla których różny jest organ nadzorczy. </w:t>
      </w:r>
      <w:r w:rsidR="00601933" w:rsidRPr="00833C88">
        <w:rPr>
          <w:rFonts w:eastAsia="Times New Roman" w:cs="Times New Roman"/>
          <w:sz w:val="24"/>
          <w:szCs w:val="24"/>
          <w:lang w:eastAsia="pl-PL"/>
        </w:rPr>
        <w:t>W </w:t>
      </w:r>
      <w:r w:rsidR="006327C8" w:rsidRPr="00833C88">
        <w:rPr>
          <w:rFonts w:eastAsia="Times New Roman" w:cs="Times New Roman"/>
          <w:sz w:val="24"/>
          <w:szCs w:val="24"/>
          <w:lang w:eastAsia="pl-PL"/>
        </w:rPr>
        <w:t>takiej sytuacji</w:t>
      </w:r>
      <w:r w:rsidR="009F272C" w:rsidRPr="00833C88">
        <w:rPr>
          <w:rFonts w:eastAsia="Times New Roman" w:cs="Times New Roman"/>
          <w:sz w:val="24"/>
          <w:szCs w:val="24"/>
          <w:lang w:eastAsia="pl-PL"/>
        </w:rPr>
        <w:t xml:space="preserve"> nadzór nad tym podmiotem sprawuje kilka organów właściwych do spraw cyberbezpieczeństwa jednak wyłącznie we właściwym dla tego organu sektorze. </w:t>
      </w:r>
      <w:r w:rsidR="007268FC" w:rsidRPr="00833C88">
        <w:rPr>
          <w:rFonts w:eastAsia="Times New Roman" w:cs="Times New Roman"/>
          <w:sz w:val="24"/>
          <w:szCs w:val="24"/>
          <w:lang w:eastAsia="pl-PL"/>
        </w:rPr>
        <w:t>Tym samym organ nadzorczy właściwy dla danego sektora uprawniony jest do</w:t>
      </w:r>
      <w:r w:rsidR="009B4C26" w:rsidRPr="00833C88">
        <w:rPr>
          <w:rFonts w:eastAsia="Times New Roman" w:cs="Times New Roman"/>
          <w:sz w:val="24"/>
          <w:szCs w:val="24"/>
          <w:lang w:eastAsia="pl-PL"/>
        </w:rPr>
        <w:t> </w:t>
      </w:r>
      <w:r w:rsidR="007268FC" w:rsidRPr="00833C88">
        <w:rPr>
          <w:rFonts w:eastAsia="Times New Roman" w:cs="Times New Roman"/>
          <w:sz w:val="24"/>
          <w:szCs w:val="24"/>
          <w:lang w:eastAsia="pl-PL"/>
        </w:rPr>
        <w:t xml:space="preserve">stosowania środków nadzorczych tylko </w:t>
      </w:r>
      <w:r w:rsidR="00601933" w:rsidRPr="00833C88">
        <w:rPr>
          <w:rFonts w:eastAsia="Times New Roman" w:cs="Times New Roman"/>
          <w:sz w:val="24"/>
          <w:szCs w:val="24"/>
          <w:lang w:eastAsia="pl-PL"/>
        </w:rPr>
        <w:t>w </w:t>
      </w:r>
      <w:r w:rsidR="00A700CB" w:rsidRPr="00833C88">
        <w:rPr>
          <w:rFonts w:eastAsia="Times New Roman" w:cs="Times New Roman"/>
          <w:sz w:val="24"/>
          <w:szCs w:val="24"/>
          <w:lang w:eastAsia="pl-PL"/>
        </w:rPr>
        <w:t xml:space="preserve">zakresie obejmującym sektor, który został mu przypisany. </w:t>
      </w:r>
      <w:r w:rsidR="00601933" w:rsidRPr="00833C88">
        <w:rPr>
          <w:rFonts w:eastAsia="Times New Roman" w:cs="Times New Roman"/>
          <w:sz w:val="24"/>
          <w:szCs w:val="24"/>
          <w:lang w:eastAsia="pl-PL"/>
        </w:rPr>
        <w:t>W </w:t>
      </w:r>
      <w:r w:rsidR="00A700CB" w:rsidRPr="00833C88">
        <w:rPr>
          <w:rFonts w:eastAsia="Times New Roman" w:cs="Times New Roman"/>
          <w:sz w:val="24"/>
          <w:szCs w:val="24"/>
          <w:lang w:eastAsia="pl-PL"/>
        </w:rPr>
        <w:t>pozostałym zakresie (dotyczącym innego sektora) nie wykonuje środków nadzorczych</w:t>
      </w:r>
      <w:r w:rsidR="00050F06" w:rsidRPr="00833C88">
        <w:rPr>
          <w:rFonts w:eastAsia="Times New Roman" w:cs="Times New Roman"/>
          <w:sz w:val="24"/>
          <w:szCs w:val="24"/>
          <w:lang w:eastAsia="pl-PL"/>
        </w:rPr>
        <w:t>,</w:t>
      </w:r>
      <w:r w:rsidR="00A700CB" w:rsidRPr="00833C88">
        <w:rPr>
          <w:rFonts w:eastAsia="Times New Roman" w:cs="Times New Roman"/>
          <w:sz w:val="24"/>
          <w:szCs w:val="24"/>
          <w:lang w:eastAsia="pl-PL"/>
        </w:rPr>
        <w:t xml:space="preserve"> gdyż robi to inny</w:t>
      </w:r>
      <w:r w:rsidR="00B02DB2" w:rsidRPr="00833C88">
        <w:rPr>
          <w:rFonts w:eastAsia="Times New Roman" w:cs="Times New Roman"/>
          <w:sz w:val="24"/>
          <w:szCs w:val="24"/>
          <w:lang w:eastAsia="pl-PL"/>
        </w:rPr>
        <w:t xml:space="preserve"> organ właściwy.</w:t>
      </w:r>
      <w:r w:rsidR="009C421D"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9C421D" w:rsidRPr="00833C88">
        <w:rPr>
          <w:rFonts w:eastAsia="Times New Roman" w:cs="Times New Roman"/>
          <w:sz w:val="24"/>
          <w:szCs w:val="24"/>
          <w:lang w:eastAsia="pl-PL"/>
        </w:rPr>
        <w:t xml:space="preserve">sytuacji zbiegu nadzoru oraz niemożliwości rozdzielenia właściwości </w:t>
      </w:r>
      <w:r w:rsidR="00F9243F" w:rsidRPr="00833C88">
        <w:rPr>
          <w:rFonts w:eastAsia="Times New Roman" w:cs="Times New Roman"/>
          <w:sz w:val="24"/>
          <w:szCs w:val="24"/>
          <w:lang w:eastAsia="pl-PL"/>
        </w:rPr>
        <w:t xml:space="preserve">rozwiązaniem będzie stworzenie przez organy właściwe </w:t>
      </w:r>
      <w:r w:rsidR="003E4A0F" w:rsidRPr="00833C88">
        <w:rPr>
          <w:rFonts w:eastAsia="Times New Roman" w:cs="Times New Roman"/>
          <w:sz w:val="24"/>
          <w:szCs w:val="24"/>
          <w:lang w:eastAsia="pl-PL"/>
        </w:rPr>
        <w:t>do spraw cyberbezpieczeństwa</w:t>
      </w:r>
      <w:r w:rsidR="005F7F46" w:rsidRPr="00833C88">
        <w:rPr>
          <w:rFonts w:eastAsia="Times New Roman" w:cs="Times New Roman"/>
          <w:sz w:val="24"/>
          <w:szCs w:val="24"/>
          <w:lang w:eastAsia="pl-PL"/>
        </w:rPr>
        <w:t xml:space="preserve"> wspólnych</w:t>
      </w:r>
      <w:r w:rsidR="003E4A0F" w:rsidRPr="00833C88">
        <w:rPr>
          <w:rFonts w:eastAsia="Times New Roman" w:cs="Times New Roman"/>
          <w:sz w:val="24"/>
          <w:szCs w:val="24"/>
          <w:lang w:eastAsia="pl-PL"/>
        </w:rPr>
        <w:t xml:space="preserve"> metodyk nadzoru</w:t>
      </w:r>
      <w:r w:rsidR="00050F06" w:rsidRPr="00833C88">
        <w:rPr>
          <w:rFonts w:eastAsia="Times New Roman" w:cs="Times New Roman"/>
          <w:sz w:val="24"/>
          <w:szCs w:val="24"/>
          <w:lang w:eastAsia="pl-PL"/>
        </w:rPr>
        <w:t>,</w:t>
      </w:r>
      <w:r w:rsidR="005F7F46"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5F7F46" w:rsidRPr="00833C88">
        <w:rPr>
          <w:rFonts w:eastAsia="Times New Roman" w:cs="Times New Roman"/>
          <w:sz w:val="24"/>
          <w:szCs w:val="24"/>
          <w:lang w:eastAsia="pl-PL"/>
        </w:rPr>
        <w:t>których zostaną określone te kwestie.</w:t>
      </w:r>
      <w:r w:rsidR="00882234" w:rsidRPr="00833C88">
        <w:rPr>
          <w:rFonts w:eastAsia="Times New Roman" w:cs="Times New Roman"/>
          <w:sz w:val="24"/>
          <w:szCs w:val="24"/>
          <w:lang w:eastAsia="pl-PL"/>
        </w:rPr>
        <w:t xml:space="preserve"> Ponadto możliwe będzie </w:t>
      </w:r>
      <w:r w:rsidR="001308AE" w:rsidRPr="00833C88">
        <w:rPr>
          <w:rFonts w:eastAsia="Times New Roman" w:cs="Times New Roman"/>
          <w:sz w:val="24"/>
          <w:szCs w:val="24"/>
          <w:lang w:eastAsia="pl-PL"/>
        </w:rPr>
        <w:t xml:space="preserve">wspólne prowadzenie nadzoru, </w:t>
      </w:r>
      <w:r w:rsidR="00601933" w:rsidRPr="00833C88">
        <w:rPr>
          <w:rFonts w:eastAsia="Times New Roman" w:cs="Times New Roman"/>
          <w:sz w:val="24"/>
          <w:szCs w:val="24"/>
          <w:lang w:eastAsia="pl-PL"/>
        </w:rPr>
        <w:t>w </w:t>
      </w:r>
      <w:r w:rsidR="001308AE" w:rsidRPr="00833C88">
        <w:rPr>
          <w:rFonts w:eastAsia="Times New Roman" w:cs="Times New Roman"/>
          <w:sz w:val="24"/>
          <w:szCs w:val="24"/>
          <w:lang w:eastAsia="pl-PL"/>
        </w:rPr>
        <w:t>tym kontroli</w:t>
      </w:r>
      <w:r w:rsidR="00F57E7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00F57E79" w:rsidRPr="00833C88">
        <w:rPr>
          <w:rFonts w:eastAsia="Times New Roman" w:cs="Times New Roman"/>
          <w:sz w:val="24"/>
          <w:szCs w:val="24"/>
          <w:lang w:eastAsia="pl-PL"/>
        </w:rPr>
        <w:t>także wyznaczenie</w:t>
      </w:r>
      <w:r w:rsidR="00EA63CC" w:rsidRPr="00833C88">
        <w:rPr>
          <w:rFonts w:eastAsia="Times New Roman" w:cs="Times New Roman"/>
          <w:sz w:val="24"/>
          <w:szCs w:val="24"/>
          <w:lang w:eastAsia="pl-PL"/>
        </w:rPr>
        <w:t xml:space="preserve"> organu wiodącego </w:t>
      </w:r>
      <w:r w:rsidR="00601933" w:rsidRPr="00833C88">
        <w:rPr>
          <w:rFonts w:eastAsia="Times New Roman" w:cs="Times New Roman"/>
          <w:sz w:val="24"/>
          <w:szCs w:val="24"/>
          <w:lang w:eastAsia="pl-PL"/>
        </w:rPr>
        <w:t>w </w:t>
      </w:r>
      <w:r w:rsidR="00EA63CC" w:rsidRPr="00833C88">
        <w:rPr>
          <w:rFonts w:eastAsia="Times New Roman" w:cs="Times New Roman"/>
          <w:sz w:val="24"/>
          <w:szCs w:val="24"/>
          <w:lang w:eastAsia="pl-PL"/>
        </w:rPr>
        <w:t xml:space="preserve">tym zakresie. Organy właściwe do spraw cyberbezpieczeństwa </w:t>
      </w:r>
      <w:r w:rsidR="00466655" w:rsidRPr="00833C88">
        <w:rPr>
          <w:rFonts w:eastAsia="Times New Roman" w:cs="Times New Roman"/>
          <w:sz w:val="24"/>
          <w:szCs w:val="24"/>
          <w:lang w:eastAsia="pl-PL"/>
        </w:rPr>
        <w:t xml:space="preserve">obowiązane będą do informowania się wzajemnie </w:t>
      </w:r>
      <w:r w:rsidR="00601933" w:rsidRPr="00833C88">
        <w:rPr>
          <w:rFonts w:eastAsia="Times New Roman" w:cs="Times New Roman"/>
          <w:sz w:val="24"/>
          <w:szCs w:val="24"/>
          <w:lang w:eastAsia="pl-PL"/>
        </w:rPr>
        <w:t>o </w:t>
      </w:r>
      <w:r w:rsidR="00466655" w:rsidRPr="00833C88">
        <w:rPr>
          <w:rFonts w:eastAsia="Times New Roman" w:cs="Times New Roman"/>
          <w:sz w:val="24"/>
          <w:szCs w:val="24"/>
          <w:lang w:eastAsia="pl-PL"/>
        </w:rPr>
        <w:t>zamiarze wszczęcia kontroli, co pozwoli</w:t>
      </w:r>
      <w:r w:rsidR="00DA0C13" w:rsidRPr="00833C88">
        <w:rPr>
          <w:rFonts w:eastAsia="Times New Roman" w:cs="Times New Roman"/>
          <w:sz w:val="24"/>
          <w:szCs w:val="24"/>
          <w:lang w:eastAsia="pl-PL"/>
        </w:rPr>
        <w:t xml:space="preserve"> na sprawne </w:t>
      </w:r>
      <w:r w:rsidR="00601933" w:rsidRPr="00833C88">
        <w:rPr>
          <w:rFonts w:eastAsia="Times New Roman" w:cs="Times New Roman"/>
          <w:sz w:val="24"/>
          <w:szCs w:val="24"/>
          <w:lang w:eastAsia="pl-PL"/>
        </w:rPr>
        <w:t>i </w:t>
      </w:r>
      <w:r w:rsidR="00DA0C13" w:rsidRPr="00833C88">
        <w:rPr>
          <w:rFonts w:eastAsia="Times New Roman" w:cs="Times New Roman"/>
          <w:sz w:val="24"/>
          <w:szCs w:val="24"/>
          <w:lang w:eastAsia="pl-PL"/>
        </w:rPr>
        <w:t xml:space="preserve">efektywne </w:t>
      </w:r>
      <w:r w:rsidR="00EC1C01" w:rsidRPr="00833C88">
        <w:rPr>
          <w:rFonts w:eastAsia="Times New Roman" w:cs="Times New Roman"/>
          <w:sz w:val="24"/>
          <w:szCs w:val="24"/>
          <w:lang w:eastAsia="pl-PL"/>
        </w:rPr>
        <w:t>zarządzanie nadzorem</w:t>
      </w:r>
      <w:r w:rsidR="008029F2" w:rsidRPr="00833C88">
        <w:rPr>
          <w:rFonts w:eastAsia="Times New Roman" w:cs="Times New Roman"/>
          <w:sz w:val="24"/>
          <w:szCs w:val="24"/>
          <w:lang w:eastAsia="pl-PL"/>
        </w:rPr>
        <w:t xml:space="preserve"> bez ryzyka podwójnej kontroli </w:t>
      </w:r>
      <w:r w:rsidR="00601933" w:rsidRPr="00833C88">
        <w:rPr>
          <w:rFonts w:eastAsia="Times New Roman" w:cs="Times New Roman"/>
          <w:sz w:val="24"/>
          <w:szCs w:val="24"/>
          <w:lang w:eastAsia="pl-PL"/>
        </w:rPr>
        <w:t>i </w:t>
      </w:r>
      <w:r w:rsidR="00617CFF" w:rsidRPr="00833C88">
        <w:rPr>
          <w:rFonts w:eastAsia="Times New Roman" w:cs="Times New Roman"/>
          <w:sz w:val="24"/>
          <w:szCs w:val="24"/>
          <w:lang w:eastAsia="pl-PL"/>
        </w:rPr>
        <w:t>zbiegu kompetencji</w:t>
      </w:r>
      <w:r w:rsidR="0006772C" w:rsidRPr="00833C88">
        <w:rPr>
          <w:rFonts w:eastAsia="Times New Roman" w:cs="Times New Roman"/>
          <w:sz w:val="24"/>
          <w:szCs w:val="24"/>
          <w:lang w:eastAsia="pl-PL"/>
        </w:rPr>
        <w:t>.</w:t>
      </w:r>
      <w:r w:rsidR="006A62C4">
        <w:rPr>
          <w:rFonts w:eastAsia="Times New Roman" w:cs="Times New Roman"/>
          <w:sz w:val="24"/>
          <w:szCs w:val="24"/>
          <w:lang w:eastAsia="pl-PL"/>
        </w:rPr>
        <w:t xml:space="preserve"> </w:t>
      </w:r>
    </w:p>
    <w:p w14:paraId="636DA892" w14:textId="5884D973"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Określone zostały również środki nadzoru,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więc uprawnienia organu nadzoru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stosunku do</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podmiotów kluczowych </w:t>
      </w:r>
      <w:r w:rsidR="00601933" w:rsidRPr="00833C88">
        <w:rPr>
          <w:rFonts w:eastAsia="Times New Roman" w:cs="Times New Roman"/>
          <w:sz w:val="24"/>
          <w:szCs w:val="24"/>
          <w:lang w:eastAsia="pl-PL"/>
        </w:rPr>
        <w:t>i </w:t>
      </w:r>
      <w:r w:rsidR="00C84AD5" w:rsidRPr="00833C88">
        <w:rPr>
          <w:rFonts w:eastAsia="Times New Roman" w:cs="Times New Roman"/>
          <w:sz w:val="24"/>
          <w:szCs w:val="24"/>
          <w:lang w:eastAsia="pl-PL"/>
        </w:rPr>
        <w:t xml:space="preserve">podmiotów </w:t>
      </w:r>
      <w:r w:rsidRPr="00833C88">
        <w:rPr>
          <w:rFonts w:eastAsia="Times New Roman" w:cs="Times New Roman"/>
          <w:sz w:val="24"/>
          <w:szCs w:val="24"/>
          <w:lang w:eastAsia="pl-PL"/>
        </w:rPr>
        <w:t>ważnych. Do takich środków nadzoru należą m.in.</w:t>
      </w:r>
      <w:r w:rsidR="002300D1" w:rsidRPr="00833C88">
        <w:rPr>
          <w:rFonts w:eastAsia="Times New Roman" w:cs="Times New Roman"/>
          <w:sz w:val="24"/>
          <w:szCs w:val="24"/>
          <w:lang w:eastAsia="pl-PL"/>
        </w:rPr>
        <w:t> </w:t>
      </w:r>
      <w:r w:rsidRPr="00833C88">
        <w:rPr>
          <w:rFonts w:eastAsia="Times New Roman" w:cs="Times New Roman"/>
          <w:sz w:val="24"/>
          <w:szCs w:val="24"/>
          <w:lang w:eastAsia="pl-PL"/>
        </w:rPr>
        <w:t xml:space="preserve">kontrole prowadzone na miejscu lub zdalnie, występowanie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wnioskami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udzielenie informacji, dostępu do danych, dokumentów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informacji. Organ właściwy do spraw cyberbezpieczeństwa będzie mógł zobowiązać podmiot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drodze decyzji do przeprowadzenia audytu bezpieczeństwa. Takie zobowiązanie znajdzie zastosowanie</w:t>
      </w:r>
      <w:r w:rsidR="004C34D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4C34D9" w:rsidRPr="00833C88">
        <w:rPr>
          <w:rFonts w:eastAsia="Times New Roman" w:cs="Times New Roman"/>
          <w:sz w:val="24"/>
          <w:szCs w:val="24"/>
          <w:lang w:eastAsia="pl-PL"/>
        </w:rPr>
        <w:t xml:space="preserve">stosunku do podmiotów kluczowych </w:t>
      </w:r>
      <w:r w:rsidR="00601933" w:rsidRPr="00833C88">
        <w:rPr>
          <w:rFonts w:eastAsia="Times New Roman" w:cs="Times New Roman"/>
          <w:sz w:val="24"/>
          <w:szCs w:val="24"/>
          <w:lang w:eastAsia="pl-PL"/>
        </w:rPr>
        <w:t>w </w:t>
      </w:r>
      <w:r w:rsidR="004C34D9" w:rsidRPr="00833C88">
        <w:rPr>
          <w:rFonts w:eastAsia="Times New Roman" w:cs="Times New Roman"/>
          <w:sz w:val="24"/>
          <w:szCs w:val="24"/>
          <w:lang w:eastAsia="pl-PL"/>
        </w:rPr>
        <w:t>każdym czasie (</w:t>
      </w:r>
      <w:r w:rsidR="00601933" w:rsidRPr="00833C88">
        <w:rPr>
          <w:rFonts w:eastAsia="Times New Roman" w:cs="Times New Roman"/>
          <w:sz w:val="24"/>
          <w:szCs w:val="24"/>
          <w:lang w:eastAsia="pl-PL"/>
        </w:rPr>
        <w:t>z </w:t>
      </w:r>
      <w:r w:rsidR="004C34D9" w:rsidRPr="00833C88">
        <w:rPr>
          <w:rFonts w:eastAsia="Times New Roman" w:cs="Times New Roman"/>
          <w:sz w:val="24"/>
          <w:szCs w:val="24"/>
          <w:lang w:eastAsia="pl-PL"/>
        </w:rPr>
        <w:t xml:space="preserve">uwagi na prewencyjny </w:t>
      </w:r>
      <w:r w:rsidR="00601933" w:rsidRPr="00833C88">
        <w:rPr>
          <w:rFonts w:eastAsia="Times New Roman" w:cs="Times New Roman"/>
          <w:sz w:val="24"/>
          <w:szCs w:val="24"/>
          <w:lang w:eastAsia="pl-PL"/>
        </w:rPr>
        <w:t>i </w:t>
      </w:r>
      <w:r w:rsidR="004C34D9" w:rsidRPr="00833C88">
        <w:rPr>
          <w:rFonts w:eastAsia="Times New Roman" w:cs="Times New Roman"/>
          <w:sz w:val="24"/>
          <w:szCs w:val="24"/>
          <w:lang w:eastAsia="pl-PL"/>
        </w:rPr>
        <w:t xml:space="preserve">następczy charakter nadzoru), </w:t>
      </w:r>
      <w:r w:rsidR="00601933" w:rsidRPr="00833C88">
        <w:rPr>
          <w:rFonts w:eastAsia="Times New Roman" w:cs="Times New Roman"/>
          <w:sz w:val="24"/>
          <w:szCs w:val="24"/>
          <w:lang w:eastAsia="pl-PL"/>
        </w:rPr>
        <w:t>a w </w:t>
      </w:r>
      <w:r w:rsidR="004C34D9" w:rsidRPr="00833C88">
        <w:rPr>
          <w:rFonts w:eastAsia="Times New Roman" w:cs="Times New Roman"/>
          <w:sz w:val="24"/>
          <w:szCs w:val="24"/>
          <w:lang w:eastAsia="pl-PL"/>
        </w:rPr>
        <w:t xml:space="preserve">stosunku do podmiotów ważnych wyłącznie </w:t>
      </w:r>
      <w:proofErr w:type="gramStart"/>
      <w:r w:rsidR="004C34D9" w:rsidRPr="00833C88">
        <w:rPr>
          <w:rFonts w:eastAsia="Times New Roman" w:cs="Times New Roman"/>
          <w:sz w:val="24"/>
          <w:szCs w:val="24"/>
          <w:lang w:eastAsia="pl-PL"/>
        </w:rPr>
        <w:t>wtedy</w:t>
      </w:r>
      <w:proofErr w:type="gramEnd"/>
      <w:r w:rsidRPr="00833C88">
        <w:rPr>
          <w:rFonts w:eastAsia="Times New Roman" w:cs="Times New Roman"/>
          <w:sz w:val="24"/>
          <w:szCs w:val="24"/>
          <w:lang w:eastAsia="pl-PL"/>
        </w:rPr>
        <w:t xml:space="preserve"> gdy wystąpi poważny incydent lub sytuacja naruszenia przepisów ustawy. Realizacja uprawnień nadzorczych będzie mogła </w:t>
      </w:r>
      <w:r w:rsidRPr="00833C88">
        <w:rPr>
          <w:rFonts w:eastAsia="Times New Roman" w:cs="Times New Roman"/>
          <w:sz w:val="24"/>
          <w:szCs w:val="24"/>
          <w:lang w:eastAsia="pl-PL"/>
        </w:rPr>
        <w:lastRenderedPageBreak/>
        <w:t xml:space="preserve">przyjąć postać zlecenia CSIRT MON, CSIRT NASK, CSIRT GOV lub CSIRT </w:t>
      </w:r>
      <w:proofErr w:type="gramStart"/>
      <w:r w:rsidRPr="00833C88">
        <w:rPr>
          <w:rFonts w:eastAsia="Times New Roman" w:cs="Times New Roman"/>
          <w:sz w:val="24"/>
          <w:szCs w:val="24"/>
          <w:lang w:eastAsia="pl-PL"/>
        </w:rPr>
        <w:t>sektorowemu dokonania</w:t>
      </w:r>
      <w:proofErr w:type="gramEnd"/>
      <w:r w:rsidRPr="00833C88">
        <w:rPr>
          <w:rFonts w:eastAsia="Times New Roman" w:cs="Times New Roman"/>
          <w:sz w:val="24"/>
          <w:szCs w:val="24"/>
          <w:lang w:eastAsia="pl-PL"/>
        </w:rPr>
        <w:t xml:space="preserve"> oceny bezpieczeństwa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podmiocie.</w:t>
      </w:r>
    </w:p>
    <w:p w14:paraId="00E8C248" w14:textId="248887DD" w:rsidR="00281641"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sytuacji uzasadnionego podejrzenia, że działania lub zaniechania podmiotu kluczowego mogą naruszać przepisy niniejszej ustawy, organ właściwy do spraw cyberbezpieczeństwa będzie </w:t>
      </w:r>
      <w:r w:rsidR="00600C70" w:rsidRPr="00833C88">
        <w:rPr>
          <w:rFonts w:eastAsia="Times New Roman" w:cs="Times New Roman"/>
          <w:sz w:val="24"/>
          <w:szCs w:val="24"/>
          <w:lang w:eastAsia="pl-PL"/>
        </w:rPr>
        <w:t xml:space="preserve">kierował pismo </w:t>
      </w:r>
      <w:r w:rsidRPr="00833C88">
        <w:rPr>
          <w:rFonts w:eastAsia="Times New Roman" w:cs="Times New Roman"/>
          <w:sz w:val="24"/>
          <w:szCs w:val="24"/>
          <w:lang w:eastAsia="pl-PL"/>
        </w:rPr>
        <w:t>z </w:t>
      </w:r>
      <w:r w:rsidR="00281641" w:rsidRPr="00833C88">
        <w:rPr>
          <w:rFonts w:eastAsia="Times New Roman" w:cs="Times New Roman"/>
          <w:sz w:val="24"/>
          <w:szCs w:val="24"/>
          <w:lang w:eastAsia="pl-PL"/>
        </w:rPr>
        <w:t>ostrzeżenie</w:t>
      </w:r>
      <w:r w:rsidR="00600C70" w:rsidRPr="00833C88">
        <w:rPr>
          <w:rFonts w:eastAsia="Times New Roman" w:cs="Times New Roman"/>
          <w:sz w:val="24"/>
          <w:szCs w:val="24"/>
          <w:lang w:eastAsia="pl-PL"/>
        </w:rPr>
        <w:t>m</w:t>
      </w:r>
      <w:r w:rsidR="00865A84" w:rsidRPr="00833C88">
        <w:rPr>
          <w:rFonts w:eastAsia="Times New Roman" w:cs="Times New Roman"/>
          <w:sz w:val="24"/>
          <w:szCs w:val="24"/>
          <w:lang w:eastAsia="pl-PL"/>
        </w:rPr>
        <w:t>,</w:t>
      </w:r>
      <w:r w:rsidR="00281641"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którym wskaże te działania lub zaniechania oraz czynności, </w:t>
      </w:r>
      <w:r w:rsidR="00865A84" w:rsidRPr="00833C88">
        <w:rPr>
          <w:rFonts w:eastAsia="Times New Roman" w:cs="Times New Roman"/>
          <w:sz w:val="24"/>
          <w:szCs w:val="24"/>
          <w:lang w:eastAsia="pl-PL"/>
        </w:rPr>
        <w:t>jakie</w:t>
      </w:r>
      <w:r w:rsidR="00281641" w:rsidRPr="00833C88">
        <w:rPr>
          <w:rFonts w:eastAsia="Times New Roman" w:cs="Times New Roman"/>
          <w:sz w:val="24"/>
          <w:szCs w:val="24"/>
          <w:lang w:eastAsia="pl-PL"/>
        </w:rPr>
        <w:t xml:space="preserve"> należy podjąć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celu zapobiegnięcia lub zaprzestania przepisów ustawy. Przez uzasadnione podejrzenie należy rozumieć wszelkie wiarygodne informacje, które organ uzyskał.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szczególności dowody, wskazówki, informacje podane przez inne organy właściwe </w:t>
      </w:r>
      <w:r w:rsidRPr="00833C88">
        <w:rPr>
          <w:rFonts w:eastAsia="Times New Roman" w:cs="Times New Roman"/>
          <w:sz w:val="24"/>
          <w:szCs w:val="24"/>
          <w:lang w:eastAsia="pl-PL"/>
        </w:rPr>
        <w:t>i </w:t>
      </w:r>
      <w:r w:rsidR="00281641" w:rsidRPr="00833C88">
        <w:rPr>
          <w:rFonts w:eastAsia="Times New Roman" w:cs="Times New Roman"/>
          <w:sz w:val="24"/>
          <w:szCs w:val="24"/>
          <w:lang w:eastAsia="pl-PL"/>
        </w:rPr>
        <w:t xml:space="preserve">pozostałe podmioty krajowego systemu cyberbezpieczeństwa, obywateli, media lub </w:t>
      </w:r>
      <w:r w:rsidRPr="00833C88">
        <w:rPr>
          <w:rFonts w:eastAsia="Times New Roman" w:cs="Times New Roman"/>
          <w:sz w:val="24"/>
          <w:szCs w:val="24"/>
          <w:lang w:eastAsia="pl-PL"/>
        </w:rPr>
        <w:t>z </w:t>
      </w:r>
      <w:r w:rsidR="00281641" w:rsidRPr="00833C88">
        <w:rPr>
          <w:rFonts w:eastAsia="Times New Roman" w:cs="Times New Roman"/>
          <w:sz w:val="24"/>
          <w:szCs w:val="24"/>
          <w:lang w:eastAsia="pl-PL"/>
        </w:rPr>
        <w:t xml:space="preserve">innych źródeł. Mogą być to informacje dostępne publicznie lub mogą one wynikać </w:t>
      </w:r>
      <w:r w:rsidRPr="00833C88">
        <w:rPr>
          <w:rFonts w:eastAsia="Times New Roman" w:cs="Times New Roman"/>
          <w:sz w:val="24"/>
          <w:szCs w:val="24"/>
          <w:lang w:eastAsia="pl-PL"/>
        </w:rPr>
        <w:t>z </w:t>
      </w:r>
      <w:r w:rsidR="00281641" w:rsidRPr="00833C88">
        <w:rPr>
          <w:rFonts w:eastAsia="Times New Roman" w:cs="Times New Roman"/>
          <w:sz w:val="24"/>
          <w:szCs w:val="24"/>
          <w:lang w:eastAsia="pl-PL"/>
        </w:rPr>
        <w:t xml:space="preserve">innych działań prowadzonych przez właściwe organy podczas wykonywania ich zadań,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tym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ramach czynności operacyjnych.</w:t>
      </w:r>
    </w:p>
    <w:p w14:paraId="7C720471" w14:textId="1AB689C8"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Organ właściwy do spraw cyberbezpieczeństwa zyska uprawnienie do nakazania podmiotom podjęcia określonych czynności dotyczących obsługi incydentu,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także nakazania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drodze decyzji administracyjnej zaprzestania naruszania przepisów ustawy, zapewnienia zgodności środków zarządzania ryzykiem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cyberbezpieczeństwie czy wdrożenia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określonym terminie zaleceń wydanych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wyniku audyt</w:t>
      </w:r>
      <w:r w:rsidR="00DE2F10" w:rsidRPr="00833C88">
        <w:rPr>
          <w:rFonts w:eastAsia="Times New Roman" w:cs="Times New Roman"/>
          <w:sz w:val="24"/>
          <w:szCs w:val="24"/>
          <w:lang w:eastAsia="pl-PL"/>
        </w:rPr>
        <w:t>u</w:t>
      </w:r>
      <w:r w:rsidRPr="00833C88">
        <w:rPr>
          <w:rFonts w:eastAsia="Times New Roman" w:cs="Times New Roman"/>
          <w:sz w:val="24"/>
          <w:szCs w:val="24"/>
          <w:lang w:eastAsia="pl-PL"/>
        </w:rPr>
        <w:t xml:space="preserve"> bezpieczeństwa systemu informacyjnego. Może także wyznaczyć na określony czas</w:t>
      </w:r>
      <w:r w:rsidR="005A500F" w:rsidRPr="00833C88">
        <w:rPr>
          <w:rFonts w:eastAsia="Times New Roman" w:cs="Times New Roman"/>
          <w:sz w:val="24"/>
          <w:szCs w:val="24"/>
          <w:lang w:eastAsia="pl-PL"/>
        </w:rPr>
        <w:t xml:space="preserve"> (nie dłuższy jednak niż miesiąc),</w:t>
      </w:r>
      <w:r w:rsidRPr="00833C88">
        <w:rPr>
          <w:rFonts w:eastAsia="Times New Roman" w:cs="Times New Roman"/>
          <w:sz w:val="24"/>
          <w:szCs w:val="24"/>
          <w:lang w:eastAsia="pl-PL"/>
        </w:rPr>
        <w:t xml:space="preserve"> spośród osób zatrudnionych w</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urzędzie obsługującym ten organ, urzędnika monitorującego do nadzorowania wykonywania obowiązków,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których mowa w</w:t>
      </w:r>
      <w:r w:rsidR="00C84AD5" w:rsidRPr="00833C88">
        <w:rPr>
          <w:rFonts w:eastAsia="Times New Roman" w:cs="Times New Roman"/>
          <w:sz w:val="24"/>
          <w:szCs w:val="24"/>
          <w:lang w:eastAsia="pl-PL"/>
        </w:rPr>
        <w:t> </w:t>
      </w:r>
      <w:r w:rsidRPr="00833C88">
        <w:rPr>
          <w:rFonts w:eastAsia="Times New Roman" w:cs="Times New Roman"/>
          <w:sz w:val="24"/>
          <w:szCs w:val="24"/>
          <w:lang w:eastAsia="pl-PL"/>
        </w:rPr>
        <w:t>rozdziale 3 ustawy</w:t>
      </w:r>
      <w:r w:rsidR="00C84AD5"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C84AD5" w:rsidRPr="00833C88">
        <w:rPr>
          <w:rFonts w:eastAsia="Times New Roman" w:cs="Times New Roman"/>
          <w:sz w:val="24"/>
          <w:szCs w:val="24"/>
          <w:lang w:eastAsia="pl-PL"/>
        </w:rPr>
        <w:t>KSC</w:t>
      </w:r>
      <w:r w:rsidRPr="00833C88">
        <w:rPr>
          <w:rFonts w:eastAsia="Times New Roman" w:cs="Times New Roman"/>
          <w:sz w:val="24"/>
          <w:szCs w:val="24"/>
          <w:lang w:eastAsia="pl-PL"/>
        </w:rPr>
        <w:t>.</w:t>
      </w:r>
      <w:r w:rsidR="00B868D0" w:rsidRPr="00833C88">
        <w:rPr>
          <w:rFonts w:eastAsia="Times New Roman" w:cs="Times New Roman"/>
          <w:sz w:val="24"/>
          <w:szCs w:val="24"/>
          <w:lang w:eastAsia="pl-PL"/>
        </w:rPr>
        <w:t xml:space="preserve"> Organ właściwy do</w:t>
      </w:r>
      <w:r w:rsidR="009B4C26" w:rsidRPr="00833C88">
        <w:rPr>
          <w:rFonts w:eastAsia="Times New Roman" w:cs="Times New Roman"/>
          <w:sz w:val="24"/>
          <w:szCs w:val="24"/>
          <w:lang w:eastAsia="pl-PL"/>
        </w:rPr>
        <w:t> </w:t>
      </w:r>
      <w:r w:rsidR="00B868D0" w:rsidRPr="00833C88">
        <w:rPr>
          <w:rFonts w:eastAsia="Times New Roman" w:cs="Times New Roman"/>
          <w:sz w:val="24"/>
          <w:szCs w:val="24"/>
          <w:lang w:eastAsia="pl-PL"/>
        </w:rPr>
        <w:t xml:space="preserve">spraw cyberbezpieczeństwa będzie musiał wskazać ściśle określone zadania, które urzędnik powinien realizować </w:t>
      </w:r>
      <w:r w:rsidR="00601933" w:rsidRPr="00833C88">
        <w:rPr>
          <w:rFonts w:eastAsia="Times New Roman" w:cs="Times New Roman"/>
          <w:sz w:val="24"/>
          <w:szCs w:val="24"/>
          <w:lang w:eastAsia="pl-PL"/>
        </w:rPr>
        <w:t>w </w:t>
      </w:r>
      <w:r w:rsidR="00B868D0" w:rsidRPr="00833C88">
        <w:rPr>
          <w:rFonts w:eastAsia="Times New Roman" w:cs="Times New Roman"/>
          <w:sz w:val="24"/>
          <w:szCs w:val="24"/>
          <w:lang w:eastAsia="pl-PL"/>
        </w:rPr>
        <w:t>tym czasie.</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przypadku nakazu dotyczącego podjęci</w:t>
      </w:r>
      <w:r w:rsidR="00DE2F10" w:rsidRPr="00833C88">
        <w:rPr>
          <w:rFonts w:eastAsia="Times New Roman" w:cs="Times New Roman"/>
          <w:sz w:val="24"/>
          <w:szCs w:val="24"/>
          <w:lang w:eastAsia="pl-PL"/>
        </w:rPr>
        <w:t>a</w:t>
      </w:r>
      <w:r w:rsidRPr="00833C88">
        <w:rPr>
          <w:rFonts w:eastAsia="Times New Roman" w:cs="Times New Roman"/>
          <w:sz w:val="24"/>
          <w:szCs w:val="24"/>
          <w:lang w:eastAsia="pl-PL"/>
        </w:rPr>
        <w:t xml:space="preserve"> określonych czynności dotyczących obsługi incydentu zdecydowano się wyłączyć decyzję administracyjną. Incydent wymaga podejmowania zdecydowanych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szybkich działań</w:t>
      </w:r>
      <w:r w:rsidR="00DE2F10" w:rsidRPr="00833C88">
        <w:rPr>
          <w:rFonts w:eastAsia="Times New Roman" w:cs="Times New Roman"/>
          <w:sz w:val="24"/>
          <w:szCs w:val="24"/>
          <w:lang w:eastAsia="pl-PL"/>
        </w:rPr>
        <w:t>,</w:t>
      </w:r>
      <w:r w:rsidRPr="00833C88">
        <w:rPr>
          <w:rFonts w:eastAsia="Times New Roman" w:cs="Times New Roman"/>
          <w:sz w:val="24"/>
          <w:szCs w:val="24"/>
          <w:lang w:eastAsia="pl-PL"/>
        </w:rPr>
        <w:t xml:space="preserve"> aby zapobiec lub zminimalizować negatywne skutki. Nakaz podjęcia określonych czynności powinien być zatem wydany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jak najkrótszym czasie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mieć jak najprostszą formę, która zapewni maksymalną efektywność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sytuacji wystąpienia incydent</w:t>
      </w:r>
      <w:r w:rsidR="00631E7C" w:rsidRPr="00833C88">
        <w:rPr>
          <w:rFonts w:eastAsia="Times New Roman" w:cs="Times New Roman"/>
          <w:sz w:val="24"/>
          <w:szCs w:val="24"/>
          <w:lang w:eastAsia="pl-PL"/>
        </w:rPr>
        <w:t>.</w:t>
      </w:r>
    </w:p>
    <w:p w14:paraId="3D215D69" w14:textId="3B37879D"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Postępowanie prowadzone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powyższym zakresie jest jednoinstancyjne,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na decyzję organu właściwego do spraw cyberbezpieczeństwa przysługiwać będzie skarga do sądu administracyjnego.</w:t>
      </w:r>
      <w:r w:rsidR="00B61458" w:rsidRPr="00833C88">
        <w:rPr>
          <w:rFonts w:eastAsia="Times New Roman" w:cs="Times New Roman"/>
          <w:sz w:val="24"/>
          <w:szCs w:val="24"/>
          <w:lang w:eastAsia="pl-PL"/>
        </w:rPr>
        <w:t xml:space="preserve"> Również </w:t>
      </w:r>
      <w:r w:rsidR="00601933" w:rsidRPr="00833C88">
        <w:rPr>
          <w:rFonts w:eastAsia="Times New Roman" w:cs="Times New Roman"/>
          <w:sz w:val="24"/>
          <w:szCs w:val="24"/>
          <w:lang w:eastAsia="pl-PL"/>
        </w:rPr>
        <w:t>w </w:t>
      </w:r>
      <w:r w:rsidR="00B61458" w:rsidRPr="00833C88">
        <w:rPr>
          <w:rFonts w:eastAsia="Times New Roman" w:cs="Times New Roman"/>
          <w:sz w:val="24"/>
          <w:szCs w:val="24"/>
          <w:lang w:eastAsia="pl-PL"/>
        </w:rPr>
        <w:t xml:space="preserve">przypadku nakazu, </w:t>
      </w:r>
      <w:r w:rsidR="00601933" w:rsidRPr="00833C88">
        <w:rPr>
          <w:rFonts w:eastAsia="Times New Roman" w:cs="Times New Roman"/>
          <w:sz w:val="24"/>
          <w:szCs w:val="24"/>
          <w:lang w:eastAsia="pl-PL"/>
        </w:rPr>
        <w:t>o </w:t>
      </w:r>
      <w:r w:rsidR="00B61458"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009124B5" w:rsidRPr="00833C88">
        <w:rPr>
          <w:rFonts w:eastAsia="Times New Roman" w:cs="Times New Roman"/>
          <w:sz w:val="24"/>
          <w:szCs w:val="24"/>
          <w:lang w:eastAsia="pl-PL"/>
        </w:rPr>
        <w:t xml:space="preserve">projektowanym </w:t>
      </w:r>
      <w:r w:rsidR="00B61458" w:rsidRPr="00833C88">
        <w:rPr>
          <w:rFonts w:eastAsia="Times New Roman" w:cs="Times New Roman"/>
          <w:sz w:val="24"/>
          <w:szCs w:val="24"/>
          <w:lang w:eastAsia="pl-PL"/>
        </w:rPr>
        <w:t>art. 53 ust. 5 pkt 1</w:t>
      </w:r>
      <w:r w:rsidR="00256ED5"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256ED5" w:rsidRPr="00833C88">
        <w:rPr>
          <w:rFonts w:eastAsia="Times New Roman" w:cs="Times New Roman"/>
          <w:sz w:val="24"/>
          <w:szCs w:val="24"/>
          <w:lang w:eastAsia="pl-PL"/>
        </w:rPr>
        <w:t>KSC</w:t>
      </w:r>
      <w:r w:rsidR="00B61458" w:rsidRPr="00833C88">
        <w:rPr>
          <w:rFonts w:eastAsia="Times New Roman" w:cs="Times New Roman"/>
          <w:sz w:val="24"/>
          <w:szCs w:val="24"/>
          <w:lang w:eastAsia="pl-PL"/>
        </w:rPr>
        <w:t xml:space="preserve">, który jest inną czynnością </w:t>
      </w:r>
      <w:r w:rsidR="00601933" w:rsidRPr="00833C88">
        <w:rPr>
          <w:rFonts w:eastAsia="Times New Roman" w:cs="Times New Roman"/>
          <w:sz w:val="24"/>
          <w:szCs w:val="24"/>
          <w:lang w:eastAsia="pl-PL"/>
        </w:rPr>
        <w:t>z </w:t>
      </w:r>
      <w:r w:rsidR="00B61458" w:rsidRPr="00833C88">
        <w:rPr>
          <w:rFonts w:eastAsia="Times New Roman" w:cs="Times New Roman"/>
          <w:sz w:val="24"/>
          <w:szCs w:val="24"/>
          <w:lang w:eastAsia="pl-PL"/>
        </w:rPr>
        <w:t>zakresu administracji publicznej</w:t>
      </w:r>
      <w:r w:rsidR="00016251" w:rsidRPr="00833C88">
        <w:rPr>
          <w:rFonts w:eastAsia="Times New Roman" w:cs="Times New Roman"/>
          <w:sz w:val="24"/>
          <w:szCs w:val="24"/>
          <w:lang w:eastAsia="pl-PL"/>
        </w:rPr>
        <w:t>, podmiotowi przysługuje skarga do sądu administracyjnego.</w:t>
      </w:r>
      <w:r w:rsidR="0076548E" w:rsidRPr="00833C88">
        <w:rPr>
          <w:rFonts w:eastAsia="Times New Roman" w:cs="Times New Roman"/>
          <w:sz w:val="24"/>
          <w:szCs w:val="24"/>
          <w:lang w:eastAsia="pl-PL"/>
        </w:rPr>
        <w:t xml:space="preserve"> Wskazać nadto należy, że oznacza to, że </w:t>
      </w:r>
      <w:r w:rsidR="00601933" w:rsidRPr="00833C88">
        <w:rPr>
          <w:rFonts w:eastAsia="Times New Roman" w:cs="Times New Roman"/>
          <w:sz w:val="24"/>
          <w:szCs w:val="24"/>
          <w:lang w:eastAsia="pl-PL"/>
        </w:rPr>
        <w:t>w </w:t>
      </w:r>
      <w:r w:rsidR="0076548E" w:rsidRPr="00833C88">
        <w:rPr>
          <w:rFonts w:eastAsia="Times New Roman" w:cs="Times New Roman"/>
          <w:sz w:val="24"/>
          <w:szCs w:val="24"/>
          <w:lang w:eastAsia="pl-PL"/>
        </w:rPr>
        <w:t xml:space="preserve">przypadku wniesienia skargi do sądu administracyjnego, właściwe zastosowanie </w:t>
      </w:r>
      <w:r w:rsidR="0076548E" w:rsidRPr="00833C88">
        <w:rPr>
          <w:rFonts w:eastAsia="Times New Roman" w:cs="Times New Roman"/>
          <w:sz w:val="24"/>
          <w:szCs w:val="24"/>
          <w:lang w:eastAsia="pl-PL"/>
        </w:rPr>
        <w:lastRenderedPageBreak/>
        <w:t xml:space="preserve">znajdą przepisy </w:t>
      </w:r>
      <w:r w:rsidR="00FF6669" w:rsidRPr="00833C88">
        <w:rPr>
          <w:rFonts w:eastAsia="Times New Roman" w:cs="Times New Roman"/>
          <w:sz w:val="24"/>
          <w:szCs w:val="24"/>
          <w:lang w:eastAsia="pl-PL"/>
        </w:rPr>
        <w:t>dotyczące postępowania sądowo</w:t>
      </w:r>
      <w:r w:rsidR="00F70A2C" w:rsidRPr="00833C88">
        <w:rPr>
          <w:rFonts w:eastAsia="Times New Roman" w:cs="Times New Roman"/>
          <w:sz w:val="24"/>
          <w:szCs w:val="24"/>
          <w:lang w:eastAsia="pl-PL"/>
        </w:rPr>
        <w:t>-</w:t>
      </w:r>
      <w:r w:rsidR="00FF6669" w:rsidRPr="00833C88">
        <w:rPr>
          <w:rFonts w:eastAsia="Times New Roman" w:cs="Times New Roman"/>
          <w:sz w:val="24"/>
          <w:szCs w:val="24"/>
          <w:lang w:eastAsia="pl-PL"/>
        </w:rPr>
        <w:t>administracyjnego</w:t>
      </w:r>
      <w:r w:rsidR="00B91920" w:rsidRPr="00833C88">
        <w:rPr>
          <w:rFonts w:eastAsia="Times New Roman" w:cs="Times New Roman"/>
          <w:sz w:val="24"/>
          <w:szCs w:val="24"/>
          <w:lang w:eastAsia="pl-PL"/>
        </w:rPr>
        <w:t>. Tym samym podmiotom będzie przysługiwało uprawnienie</w:t>
      </w:r>
      <w:r w:rsidR="00FE32B4" w:rsidRPr="00833C88">
        <w:rPr>
          <w:rFonts w:eastAsia="Times New Roman" w:cs="Times New Roman"/>
          <w:sz w:val="24"/>
          <w:szCs w:val="24"/>
          <w:lang w:eastAsia="pl-PL"/>
        </w:rPr>
        <w:t>,</w:t>
      </w:r>
      <w:r w:rsidR="00B91920"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B91920"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00B91920" w:rsidRPr="00833C88">
        <w:rPr>
          <w:rFonts w:eastAsia="Times New Roman" w:cs="Times New Roman"/>
          <w:sz w:val="24"/>
          <w:szCs w:val="24"/>
          <w:lang w:eastAsia="pl-PL"/>
        </w:rPr>
        <w:t>art. 61 u</w:t>
      </w:r>
      <w:r w:rsidR="0072330B" w:rsidRPr="00833C88">
        <w:rPr>
          <w:rFonts w:eastAsia="Times New Roman" w:cs="Times New Roman"/>
          <w:sz w:val="24"/>
          <w:szCs w:val="24"/>
          <w:lang w:eastAsia="pl-PL"/>
        </w:rPr>
        <w:t>st 2 u</w:t>
      </w:r>
      <w:r w:rsidR="00B91920" w:rsidRPr="00833C88">
        <w:rPr>
          <w:rFonts w:eastAsia="Times New Roman" w:cs="Times New Roman"/>
          <w:sz w:val="24"/>
          <w:szCs w:val="24"/>
          <w:lang w:eastAsia="pl-PL"/>
        </w:rPr>
        <w:t xml:space="preserve">stawy </w:t>
      </w:r>
      <w:r w:rsidR="00601933" w:rsidRPr="00833C88">
        <w:rPr>
          <w:rFonts w:eastAsia="Times New Roman" w:cs="Times New Roman"/>
          <w:sz w:val="24"/>
          <w:szCs w:val="24"/>
          <w:lang w:eastAsia="pl-PL"/>
        </w:rPr>
        <w:t>z </w:t>
      </w:r>
      <w:r w:rsidR="0072330B" w:rsidRPr="00833C88">
        <w:rPr>
          <w:rFonts w:eastAsia="Times New Roman" w:cs="Times New Roman"/>
          <w:sz w:val="24"/>
          <w:szCs w:val="24"/>
          <w:lang w:eastAsia="pl-PL"/>
        </w:rPr>
        <w:t xml:space="preserve">dnia 30 sierpnia 2002 r. – Prawo </w:t>
      </w:r>
      <w:r w:rsidR="00601933" w:rsidRPr="00833C88">
        <w:rPr>
          <w:rFonts w:eastAsia="Times New Roman" w:cs="Times New Roman"/>
          <w:sz w:val="24"/>
          <w:szCs w:val="24"/>
          <w:lang w:eastAsia="pl-PL"/>
        </w:rPr>
        <w:t>o </w:t>
      </w:r>
      <w:r w:rsidR="0072330B" w:rsidRPr="00833C88">
        <w:rPr>
          <w:rFonts w:eastAsia="Times New Roman" w:cs="Times New Roman"/>
          <w:sz w:val="24"/>
          <w:szCs w:val="24"/>
          <w:lang w:eastAsia="pl-PL"/>
        </w:rPr>
        <w:t xml:space="preserve">postępowaniu przed sądami administracyjnymi (Dz. U. </w:t>
      </w:r>
      <w:r w:rsidR="00601933" w:rsidRPr="00833C88">
        <w:rPr>
          <w:rFonts w:eastAsia="Times New Roman" w:cs="Times New Roman"/>
          <w:sz w:val="24"/>
          <w:szCs w:val="24"/>
          <w:lang w:eastAsia="pl-PL"/>
        </w:rPr>
        <w:t>z </w:t>
      </w:r>
      <w:r w:rsidR="0072330B" w:rsidRPr="00833C88">
        <w:rPr>
          <w:rFonts w:eastAsia="Times New Roman" w:cs="Times New Roman"/>
          <w:sz w:val="24"/>
          <w:szCs w:val="24"/>
          <w:lang w:eastAsia="pl-PL"/>
        </w:rPr>
        <w:t>2024 r. poz. 935</w:t>
      </w:r>
      <w:r w:rsidR="00F70A2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F70A2C" w:rsidRPr="00833C88">
        <w:rPr>
          <w:rFonts w:eastAsia="Times New Roman" w:cs="Times New Roman"/>
          <w:sz w:val="24"/>
          <w:szCs w:val="24"/>
          <w:lang w:eastAsia="pl-PL"/>
        </w:rPr>
        <w:t>1685</w:t>
      </w:r>
      <w:r w:rsidR="00B611A5" w:rsidRPr="00833C88">
        <w:rPr>
          <w:rFonts w:eastAsia="Times New Roman" w:cs="Times New Roman"/>
          <w:sz w:val="24"/>
          <w:szCs w:val="24"/>
          <w:lang w:eastAsia="pl-PL"/>
        </w:rPr>
        <w:t xml:space="preserve"> oraz z 2025 r. poz. 769</w:t>
      </w:r>
      <w:r w:rsidR="00B611A5" w:rsidRPr="00833C88">
        <w:rPr>
          <w:rFonts w:cs="Times New Roman"/>
          <w:sz w:val="24"/>
          <w:szCs w:val="24"/>
        </w:rPr>
        <w:t xml:space="preserve">), zwanej dalej „PPSA”, </w:t>
      </w:r>
      <w:r w:rsidR="006479B8" w:rsidRPr="00833C88">
        <w:rPr>
          <w:rFonts w:eastAsia="Times New Roman" w:cs="Times New Roman"/>
          <w:sz w:val="24"/>
          <w:szCs w:val="24"/>
          <w:lang w:eastAsia="pl-PL"/>
        </w:rPr>
        <w:t>tzn. możliwe będzie wstrzymanie wykonania decyzji lub</w:t>
      </w:r>
      <w:r w:rsidR="00FE42B1" w:rsidRPr="00833C88">
        <w:rPr>
          <w:rFonts w:eastAsia="Times New Roman" w:cs="Times New Roman"/>
          <w:sz w:val="24"/>
          <w:szCs w:val="24"/>
          <w:lang w:eastAsia="pl-PL"/>
        </w:rPr>
        <w:t xml:space="preserve"> czynności </w:t>
      </w:r>
      <w:r w:rsidR="00601933" w:rsidRPr="00833C88">
        <w:rPr>
          <w:rFonts w:eastAsia="Times New Roman" w:cs="Times New Roman"/>
          <w:sz w:val="24"/>
          <w:szCs w:val="24"/>
          <w:lang w:eastAsia="pl-PL"/>
        </w:rPr>
        <w:t>z </w:t>
      </w:r>
      <w:r w:rsidR="00FE42B1" w:rsidRPr="00833C88">
        <w:rPr>
          <w:rFonts w:eastAsia="Times New Roman" w:cs="Times New Roman"/>
          <w:sz w:val="24"/>
          <w:szCs w:val="24"/>
          <w:lang w:eastAsia="pl-PL"/>
        </w:rPr>
        <w:t>zakresu administracji publicznej do czasu rozpatrzenia sprawy przez sąd.</w:t>
      </w:r>
      <w:r w:rsidR="00706BA6" w:rsidRPr="00833C88">
        <w:rPr>
          <w:rFonts w:eastAsia="Times New Roman" w:cs="Times New Roman"/>
          <w:sz w:val="24"/>
          <w:szCs w:val="24"/>
          <w:lang w:eastAsia="pl-PL"/>
        </w:rPr>
        <w:t xml:space="preserve"> Wprowadza się jednak miesięczny termin instrukcyjny dla sądu do</w:t>
      </w:r>
      <w:r w:rsidR="001A275A" w:rsidRPr="00833C88">
        <w:rPr>
          <w:rFonts w:eastAsia="Times New Roman" w:cs="Times New Roman"/>
          <w:sz w:val="24"/>
          <w:szCs w:val="24"/>
          <w:lang w:eastAsia="pl-PL"/>
        </w:rPr>
        <w:t> </w:t>
      </w:r>
      <w:r w:rsidR="00706BA6" w:rsidRPr="00833C88">
        <w:rPr>
          <w:rFonts w:eastAsia="Times New Roman" w:cs="Times New Roman"/>
          <w:sz w:val="24"/>
          <w:szCs w:val="24"/>
          <w:lang w:eastAsia="pl-PL"/>
        </w:rPr>
        <w:t xml:space="preserve">rozpatrzenia skargi na ww. środki nadzoru </w:t>
      </w:r>
      <w:r w:rsidR="00601933" w:rsidRPr="00833C88">
        <w:rPr>
          <w:rFonts w:eastAsia="Times New Roman" w:cs="Times New Roman"/>
          <w:sz w:val="24"/>
          <w:szCs w:val="24"/>
          <w:lang w:eastAsia="pl-PL"/>
        </w:rPr>
        <w:t>i </w:t>
      </w:r>
      <w:r w:rsidR="00706BA6" w:rsidRPr="00833C88">
        <w:rPr>
          <w:rFonts w:eastAsia="Times New Roman" w:cs="Times New Roman"/>
          <w:sz w:val="24"/>
          <w:szCs w:val="24"/>
          <w:lang w:eastAsia="pl-PL"/>
        </w:rPr>
        <w:t xml:space="preserve">egzekwowania przepisów. Zabieg ten jest konieczny </w:t>
      </w:r>
      <w:r w:rsidR="00601933" w:rsidRPr="00833C88">
        <w:rPr>
          <w:rFonts w:eastAsia="Times New Roman" w:cs="Times New Roman"/>
          <w:sz w:val="24"/>
          <w:szCs w:val="24"/>
          <w:lang w:eastAsia="pl-PL"/>
        </w:rPr>
        <w:t>z </w:t>
      </w:r>
      <w:r w:rsidR="00706BA6" w:rsidRPr="00833C88">
        <w:rPr>
          <w:rFonts w:eastAsia="Times New Roman" w:cs="Times New Roman"/>
          <w:sz w:val="24"/>
          <w:szCs w:val="24"/>
          <w:lang w:eastAsia="pl-PL"/>
        </w:rPr>
        <w:t xml:space="preserve">punktu widzenia zgodności </w:t>
      </w:r>
      <w:r w:rsidR="00601933" w:rsidRPr="00833C88">
        <w:rPr>
          <w:rFonts w:eastAsia="Times New Roman" w:cs="Times New Roman"/>
          <w:sz w:val="24"/>
          <w:szCs w:val="24"/>
          <w:lang w:eastAsia="pl-PL"/>
        </w:rPr>
        <w:t>z </w:t>
      </w:r>
      <w:r w:rsidR="00706BA6" w:rsidRPr="00833C88">
        <w:rPr>
          <w:rFonts w:eastAsia="Times New Roman" w:cs="Times New Roman"/>
          <w:sz w:val="24"/>
          <w:szCs w:val="24"/>
          <w:lang w:eastAsia="pl-PL"/>
        </w:rPr>
        <w:t xml:space="preserve">prawem europejskim </w:t>
      </w:r>
      <w:r w:rsidR="00601933" w:rsidRPr="00833C88">
        <w:rPr>
          <w:rFonts w:eastAsia="Times New Roman" w:cs="Times New Roman"/>
          <w:sz w:val="24"/>
          <w:szCs w:val="24"/>
          <w:lang w:eastAsia="pl-PL"/>
        </w:rPr>
        <w:t>i </w:t>
      </w:r>
      <w:r w:rsidR="00706BA6" w:rsidRPr="00833C88">
        <w:rPr>
          <w:rFonts w:eastAsia="Times New Roman" w:cs="Times New Roman"/>
          <w:sz w:val="24"/>
          <w:szCs w:val="24"/>
          <w:lang w:eastAsia="pl-PL"/>
        </w:rPr>
        <w:t>obowiązkiem nałożonym na państwa członkowskie U</w:t>
      </w:r>
      <w:r w:rsidR="000D4C87" w:rsidRPr="00833C88">
        <w:rPr>
          <w:rFonts w:eastAsia="Times New Roman" w:cs="Times New Roman"/>
          <w:sz w:val="24"/>
          <w:szCs w:val="24"/>
          <w:lang w:eastAsia="pl-PL"/>
        </w:rPr>
        <w:t>nii Europejskiej,</w:t>
      </w:r>
      <w:r w:rsidR="00706BA6" w:rsidRPr="00833C88">
        <w:rPr>
          <w:rFonts w:eastAsia="Times New Roman" w:cs="Times New Roman"/>
          <w:sz w:val="24"/>
          <w:szCs w:val="24"/>
          <w:lang w:eastAsia="pl-PL"/>
        </w:rPr>
        <w:t xml:space="preserve"> aby zapewnić, że środki nadzoru będą skuteczne. Zawieszenie możliwości stosowania dalej idących środków nadzoru przy braku określenia terminu instrukcyjnego na rozpatrzenie skargi przez sąd administracyjny skutkowałoby nieprawidłowym wdrożeniem dyrektywy NIS 2. Jednocześnie wprowadzenie takiego instrukcyjnego terminu polepsza sytuację podmiotu, który wniósł skargę. Długie rozpatrywanie skargi na środek nadzorczy, który został zastosowany </w:t>
      </w:r>
      <w:r w:rsidR="00601933" w:rsidRPr="00833C88">
        <w:rPr>
          <w:rFonts w:eastAsia="Times New Roman" w:cs="Times New Roman"/>
          <w:sz w:val="24"/>
          <w:szCs w:val="24"/>
          <w:lang w:eastAsia="pl-PL"/>
        </w:rPr>
        <w:t>w </w:t>
      </w:r>
      <w:r w:rsidR="00706BA6" w:rsidRPr="00833C88">
        <w:rPr>
          <w:rFonts w:eastAsia="Times New Roman" w:cs="Times New Roman"/>
          <w:sz w:val="24"/>
          <w:szCs w:val="24"/>
          <w:lang w:eastAsia="pl-PL"/>
        </w:rPr>
        <w:t xml:space="preserve">sposób nieprawidłowy może bowiem negatywnie wpływać na prowadzenie działalności przez ten podmiot, zarówno pod względem finansowym jak </w:t>
      </w:r>
      <w:r w:rsidR="00601933" w:rsidRPr="00833C88">
        <w:rPr>
          <w:rFonts w:eastAsia="Times New Roman" w:cs="Times New Roman"/>
          <w:sz w:val="24"/>
          <w:szCs w:val="24"/>
          <w:lang w:eastAsia="pl-PL"/>
        </w:rPr>
        <w:t>i </w:t>
      </w:r>
      <w:r w:rsidR="00706BA6" w:rsidRPr="00833C88">
        <w:rPr>
          <w:rFonts w:eastAsia="Times New Roman" w:cs="Times New Roman"/>
          <w:sz w:val="24"/>
          <w:szCs w:val="24"/>
          <w:lang w:eastAsia="pl-PL"/>
        </w:rPr>
        <w:t>wizerunkowym.</w:t>
      </w:r>
    </w:p>
    <w:p w14:paraId="44095BFD" w14:textId="491EA88F"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Projekt</w:t>
      </w:r>
      <w:r w:rsidR="00256ED5" w:rsidRPr="00833C88">
        <w:rPr>
          <w:rFonts w:eastAsia="Times New Roman" w:cs="Times New Roman"/>
          <w:sz w:val="24"/>
          <w:szCs w:val="24"/>
          <w:lang w:eastAsia="pl-PL"/>
        </w:rPr>
        <w:t xml:space="preserve"> ustawy</w:t>
      </w:r>
      <w:r w:rsidRPr="00833C88">
        <w:rPr>
          <w:rFonts w:eastAsia="Times New Roman" w:cs="Times New Roman"/>
          <w:sz w:val="24"/>
          <w:szCs w:val="24"/>
          <w:lang w:eastAsia="pl-PL"/>
        </w:rPr>
        <w:t xml:space="preserve"> przewiduje ponadto dalej idące uprawnienia organu nadzoru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sytuacji</w:t>
      </w:r>
      <w:r w:rsidR="00F33D4F" w:rsidRPr="00833C88">
        <w:rPr>
          <w:rFonts w:eastAsia="Times New Roman" w:cs="Times New Roman"/>
          <w:sz w:val="24"/>
          <w:szCs w:val="24"/>
          <w:lang w:eastAsia="pl-PL"/>
        </w:rPr>
        <w:t>,</w:t>
      </w:r>
      <w:r w:rsidRPr="00833C88">
        <w:rPr>
          <w:rFonts w:eastAsia="Times New Roman" w:cs="Times New Roman"/>
          <w:sz w:val="24"/>
          <w:szCs w:val="24"/>
          <w:lang w:eastAsia="pl-PL"/>
        </w:rPr>
        <w:t xml:space="preserve"> w</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której dany podmiot nie zastosował się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określonym terminie</w:t>
      </w:r>
      <w:r w:rsidR="009267CB" w:rsidRPr="00833C88">
        <w:rPr>
          <w:rFonts w:eastAsia="Times New Roman" w:cs="Times New Roman"/>
          <w:sz w:val="24"/>
          <w:szCs w:val="24"/>
          <w:lang w:eastAsia="pl-PL"/>
        </w:rPr>
        <w:t>,</w:t>
      </w:r>
      <w:r w:rsidRPr="00833C88">
        <w:rPr>
          <w:rFonts w:eastAsia="Times New Roman" w:cs="Times New Roman"/>
          <w:sz w:val="24"/>
          <w:szCs w:val="24"/>
          <w:lang w:eastAsia="pl-PL"/>
        </w:rPr>
        <w:t xml:space="preserve"> do postanowień decyzji administracyjnej. Przed realizacją tych uprawnień oraz przed wydaniem decyzji administracyjnej organ zobowiązany jest poinformować podmiot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wstępnych ustaleniach</w:t>
      </w:r>
      <w:r w:rsidR="008A7F5A" w:rsidRPr="00833C88">
        <w:rPr>
          <w:rFonts w:eastAsia="Times New Roman" w:cs="Times New Roman"/>
          <w:sz w:val="24"/>
          <w:szCs w:val="24"/>
          <w:lang w:eastAsia="pl-PL"/>
        </w:rPr>
        <w:t xml:space="preserve"> wraz ze szczegółowym uzasadnieniem</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podmiot ten uprawniony jest do przedstawienia stanowiska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sprawie niezwłocznie, nie później niż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terminie 7 dni od</w:t>
      </w:r>
      <w:r w:rsidR="00C84AD5" w:rsidRPr="00833C88">
        <w:rPr>
          <w:rFonts w:eastAsia="Times New Roman" w:cs="Times New Roman"/>
          <w:sz w:val="24"/>
          <w:szCs w:val="24"/>
          <w:lang w:eastAsia="pl-PL"/>
        </w:rPr>
        <w:t> </w:t>
      </w:r>
      <w:r w:rsidRPr="00833C88">
        <w:rPr>
          <w:rFonts w:eastAsia="Times New Roman" w:cs="Times New Roman"/>
          <w:sz w:val="24"/>
          <w:szCs w:val="24"/>
          <w:lang w:eastAsia="pl-PL"/>
        </w:rPr>
        <w:t>poinformowania o</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wstępnych ustaleniach. Określono także zamknięty katalog wyjątków od obowiązku informowania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wstępnych ustaleniach.</w:t>
      </w:r>
      <w:r w:rsidR="006E5F37" w:rsidRPr="00833C88">
        <w:rPr>
          <w:rFonts w:eastAsia="Times New Roman" w:cs="Times New Roman"/>
          <w:sz w:val="24"/>
          <w:szCs w:val="24"/>
          <w:lang w:eastAsia="pl-PL"/>
        </w:rPr>
        <w:t xml:space="preserve"> Środków</w:t>
      </w:r>
      <w:r w:rsidR="009267CB" w:rsidRPr="00833C88">
        <w:rPr>
          <w:rFonts w:eastAsia="Times New Roman" w:cs="Times New Roman"/>
          <w:sz w:val="24"/>
          <w:szCs w:val="24"/>
          <w:lang w:eastAsia="pl-PL"/>
        </w:rPr>
        <w:t>,</w:t>
      </w:r>
      <w:r w:rsidR="006E5F3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6E5F37"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009124B5" w:rsidRPr="00833C88">
        <w:rPr>
          <w:rFonts w:eastAsia="Times New Roman" w:cs="Times New Roman"/>
          <w:sz w:val="24"/>
          <w:szCs w:val="24"/>
          <w:lang w:eastAsia="pl-PL"/>
        </w:rPr>
        <w:t xml:space="preserve">projektowanym </w:t>
      </w:r>
      <w:r w:rsidR="006E5F37" w:rsidRPr="00833C88">
        <w:rPr>
          <w:rFonts w:eastAsia="Times New Roman" w:cs="Times New Roman"/>
          <w:sz w:val="24"/>
          <w:szCs w:val="24"/>
          <w:lang w:eastAsia="pl-PL"/>
        </w:rPr>
        <w:t xml:space="preserve">art. 53 ust. </w:t>
      </w:r>
      <w:r w:rsidR="001271A4" w:rsidRPr="00833C88">
        <w:rPr>
          <w:rFonts w:eastAsia="Times New Roman" w:cs="Times New Roman"/>
          <w:sz w:val="24"/>
          <w:szCs w:val="24"/>
          <w:lang w:eastAsia="pl-PL"/>
        </w:rPr>
        <w:t>9</w:t>
      </w:r>
      <w:r w:rsidR="009124B5"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9124B5" w:rsidRPr="00833C88">
        <w:rPr>
          <w:rFonts w:eastAsia="Times New Roman" w:cs="Times New Roman"/>
          <w:sz w:val="24"/>
          <w:szCs w:val="24"/>
          <w:lang w:eastAsia="pl-PL"/>
        </w:rPr>
        <w:t>KSC</w:t>
      </w:r>
      <w:r w:rsidR="009267CB" w:rsidRPr="00833C88">
        <w:rPr>
          <w:rFonts w:eastAsia="Times New Roman" w:cs="Times New Roman"/>
          <w:sz w:val="24"/>
          <w:szCs w:val="24"/>
          <w:lang w:eastAsia="pl-PL"/>
        </w:rPr>
        <w:t>,</w:t>
      </w:r>
      <w:r w:rsidR="006E5F37" w:rsidRPr="00833C88">
        <w:rPr>
          <w:rFonts w:eastAsia="Times New Roman" w:cs="Times New Roman"/>
          <w:sz w:val="24"/>
          <w:szCs w:val="24"/>
          <w:lang w:eastAsia="pl-PL"/>
        </w:rPr>
        <w:t xml:space="preserve"> nie </w:t>
      </w:r>
      <w:r w:rsidR="000E5D9E" w:rsidRPr="00833C88">
        <w:rPr>
          <w:rFonts w:eastAsia="Times New Roman" w:cs="Times New Roman"/>
          <w:sz w:val="24"/>
          <w:szCs w:val="24"/>
          <w:lang w:eastAsia="pl-PL"/>
        </w:rPr>
        <w:t>stosuje się do czasu rozstrzygnięcia sprawy przez sąd, jeśli podmiot kluczowy wniósł skargę do sądu administracyjnego. Środków tych nie stosuje się także do</w:t>
      </w:r>
      <w:r w:rsidR="009B4C26" w:rsidRPr="00833C88">
        <w:rPr>
          <w:rFonts w:eastAsia="Times New Roman" w:cs="Times New Roman"/>
          <w:sz w:val="24"/>
          <w:szCs w:val="24"/>
          <w:lang w:eastAsia="pl-PL"/>
        </w:rPr>
        <w:t> </w:t>
      </w:r>
      <w:r w:rsidR="000E5D9E" w:rsidRPr="00833C88">
        <w:rPr>
          <w:rFonts w:eastAsia="Times New Roman" w:cs="Times New Roman"/>
          <w:sz w:val="24"/>
          <w:szCs w:val="24"/>
          <w:lang w:eastAsia="pl-PL"/>
        </w:rPr>
        <w:t>podmiotów publicznych.</w:t>
      </w:r>
      <w:r w:rsidR="005627BA" w:rsidRPr="00833C88">
        <w:rPr>
          <w:rFonts w:eastAsia="Times New Roman" w:cs="Times New Roman"/>
          <w:sz w:val="24"/>
          <w:szCs w:val="24"/>
          <w:lang w:eastAsia="pl-PL"/>
        </w:rPr>
        <w:t xml:space="preserve"> Środki nadzorcze określone </w:t>
      </w:r>
      <w:r w:rsidR="00601933" w:rsidRPr="00833C88">
        <w:rPr>
          <w:rFonts w:eastAsia="Times New Roman" w:cs="Times New Roman"/>
          <w:sz w:val="24"/>
          <w:szCs w:val="24"/>
          <w:lang w:eastAsia="pl-PL"/>
        </w:rPr>
        <w:t>w </w:t>
      </w:r>
      <w:r w:rsidR="005627BA" w:rsidRPr="00833C88">
        <w:rPr>
          <w:rFonts w:eastAsia="Times New Roman" w:cs="Times New Roman"/>
          <w:sz w:val="24"/>
          <w:szCs w:val="24"/>
          <w:lang w:eastAsia="pl-PL"/>
        </w:rPr>
        <w:t>art. 53 ust. 9 mają charakter tymczasowy</w:t>
      </w:r>
      <w:r w:rsidR="002E036F"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 </w:t>
      </w:r>
      <w:r w:rsidR="00B16FB1" w:rsidRPr="00833C88">
        <w:rPr>
          <w:rFonts w:eastAsia="Times New Roman" w:cs="Times New Roman"/>
          <w:sz w:val="24"/>
          <w:szCs w:val="24"/>
          <w:lang w:eastAsia="pl-PL"/>
        </w:rPr>
        <w:t>stosunku do kierownika podmiotu kluczow</w:t>
      </w:r>
      <w:r w:rsidR="001B7BBD" w:rsidRPr="00833C88">
        <w:rPr>
          <w:rFonts w:eastAsia="Times New Roman" w:cs="Times New Roman"/>
          <w:sz w:val="24"/>
          <w:szCs w:val="24"/>
          <w:lang w:eastAsia="pl-PL"/>
        </w:rPr>
        <w:t>ego</w:t>
      </w:r>
      <w:r w:rsidR="00B16FB1" w:rsidRPr="00833C88">
        <w:rPr>
          <w:rFonts w:eastAsia="Times New Roman" w:cs="Times New Roman"/>
          <w:sz w:val="24"/>
          <w:szCs w:val="24"/>
          <w:lang w:eastAsia="pl-PL"/>
        </w:rPr>
        <w:t xml:space="preserve"> mogą być stosowane </w:t>
      </w:r>
      <w:r w:rsidR="00A53F4D" w:rsidRPr="00833C88">
        <w:rPr>
          <w:rFonts w:eastAsia="Times New Roman" w:cs="Times New Roman"/>
          <w:sz w:val="24"/>
          <w:szCs w:val="24"/>
          <w:lang w:eastAsia="pl-PL"/>
        </w:rPr>
        <w:t xml:space="preserve">wyłącznie </w:t>
      </w:r>
      <w:r w:rsidR="00601933" w:rsidRPr="00833C88">
        <w:rPr>
          <w:rFonts w:eastAsia="Times New Roman" w:cs="Times New Roman"/>
          <w:sz w:val="24"/>
          <w:szCs w:val="24"/>
          <w:lang w:eastAsia="pl-PL"/>
        </w:rPr>
        <w:t>o </w:t>
      </w:r>
      <w:r w:rsidR="00A53F4D" w:rsidRPr="00833C88">
        <w:rPr>
          <w:rFonts w:eastAsia="Times New Roman" w:cs="Times New Roman"/>
          <w:sz w:val="24"/>
          <w:szCs w:val="24"/>
          <w:lang w:eastAsia="pl-PL"/>
        </w:rPr>
        <w:t xml:space="preserve">ile nie doprowadzi to do uniemożliwienia funkcjonowania podmiotu </w:t>
      </w:r>
      <w:r w:rsidR="00601933" w:rsidRPr="00833C88">
        <w:rPr>
          <w:rFonts w:eastAsia="Times New Roman" w:cs="Times New Roman"/>
          <w:sz w:val="24"/>
          <w:szCs w:val="24"/>
          <w:lang w:eastAsia="pl-PL"/>
        </w:rPr>
        <w:t>w </w:t>
      </w:r>
      <w:r w:rsidR="00A53F4D" w:rsidRPr="00833C88">
        <w:rPr>
          <w:rFonts w:eastAsia="Times New Roman" w:cs="Times New Roman"/>
          <w:sz w:val="24"/>
          <w:szCs w:val="24"/>
          <w:lang w:eastAsia="pl-PL"/>
        </w:rPr>
        <w:t>zakresie jaki jest niezbędny do naprawienia naruszeń</w:t>
      </w:r>
      <w:r w:rsidR="005627BA" w:rsidRPr="00833C88">
        <w:rPr>
          <w:rFonts w:eastAsia="Times New Roman" w:cs="Times New Roman"/>
          <w:sz w:val="24"/>
          <w:szCs w:val="24"/>
          <w:lang w:eastAsia="pl-PL"/>
        </w:rPr>
        <w:t>.</w:t>
      </w:r>
      <w:r w:rsidR="00A53F4D" w:rsidRPr="00833C88">
        <w:rPr>
          <w:rFonts w:eastAsia="Times New Roman" w:cs="Times New Roman"/>
          <w:sz w:val="24"/>
          <w:szCs w:val="24"/>
          <w:lang w:eastAsia="pl-PL"/>
        </w:rPr>
        <w:t xml:space="preserve"> Oznacza to, że</w:t>
      </w:r>
      <w:r w:rsidR="002874C3" w:rsidRPr="00833C88">
        <w:rPr>
          <w:rFonts w:eastAsia="Times New Roman" w:cs="Times New Roman"/>
          <w:sz w:val="24"/>
          <w:szCs w:val="24"/>
          <w:lang w:eastAsia="pl-PL"/>
        </w:rPr>
        <w:t xml:space="preserve"> zastosowanie wobec kierownika </w:t>
      </w:r>
      <w:r w:rsidR="001C12B9" w:rsidRPr="00833C88">
        <w:rPr>
          <w:rFonts w:eastAsia="Times New Roman" w:cs="Times New Roman"/>
          <w:sz w:val="24"/>
          <w:szCs w:val="24"/>
          <w:lang w:eastAsia="pl-PL"/>
        </w:rPr>
        <w:t>podmiotu</w:t>
      </w:r>
      <w:r w:rsidR="002874C3" w:rsidRPr="00833C88">
        <w:rPr>
          <w:rFonts w:eastAsia="Times New Roman" w:cs="Times New Roman"/>
          <w:sz w:val="24"/>
          <w:szCs w:val="24"/>
          <w:lang w:eastAsia="pl-PL"/>
        </w:rPr>
        <w:t xml:space="preserve"> środka polegającego na zakazie pełnienia funkcji</w:t>
      </w:r>
      <w:r w:rsidR="008D5541" w:rsidRPr="00833C88">
        <w:rPr>
          <w:rFonts w:eastAsia="Times New Roman" w:cs="Times New Roman"/>
          <w:sz w:val="24"/>
          <w:szCs w:val="24"/>
          <w:lang w:eastAsia="pl-PL"/>
        </w:rPr>
        <w:t xml:space="preserve"> </w:t>
      </w:r>
      <w:r w:rsidR="001C12B9" w:rsidRPr="00833C88">
        <w:rPr>
          <w:rFonts w:eastAsia="Times New Roman" w:cs="Times New Roman"/>
          <w:sz w:val="24"/>
          <w:szCs w:val="24"/>
          <w:lang w:eastAsia="pl-PL"/>
        </w:rPr>
        <w:t xml:space="preserve">zarządczych </w:t>
      </w:r>
      <w:r w:rsidR="00601933" w:rsidRPr="00833C88">
        <w:rPr>
          <w:rFonts w:eastAsia="Times New Roman" w:cs="Times New Roman"/>
          <w:sz w:val="24"/>
          <w:szCs w:val="24"/>
          <w:lang w:eastAsia="pl-PL"/>
        </w:rPr>
        <w:t>w </w:t>
      </w:r>
      <w:r w:rsidR="001C12B9" w:rsidRPr="00833C88">
        <w:rPr>
          <w:rFonts w:eastAsia="Times New Roman" w:cs="Times New Roman"/>
          <w:sz w:val="24"/>
          <w:szCs w:val="24"/>
          <w:lang w:eastAsia="pl-PL"/>
        </w:rPr>
        <w:t xml:space="preserve">podmiocie kluczowym </w:t>
      </w:r>
      <w:r w:rsidR="008D5541" w:rsidRPr="00833C88">
        <w:rPr>
          <w:rFonts w:eastAsia="Times New Roman" w:cs="Times New Roman"/>
          <w:sz w:val="24"/>
          <w:szCs w:val="24"/>
          <w:lang w:eastAsia="pl-PL"/>
        </w:rPr>
        <w:t xml:space="preserve">nie może uniemożliwić realizacji celu tego środka tj. </w:t>
      </w:r>
      <w:r w:rsidR="004B6FA0" w:rsidRPr="00833C88">
        <w:rPr>
          <w:rFonts w:eastAsia="Times New Roman" w:cs="Times New Roman"/>
          <w:sz w:val="24"/>
          <w:szCs w:val="24"/>
          <w:lang w:eastAsia="pl-PL"/>
        </w:rPr>
        <w:t xml:space="preserve">usunięcia uchybień lub </w:t>
      </w:r>
      <w:r w:rsidR="004B6FA0" w:rsidRPr="00833C88">
        <w:rPr>
          <w:rFonts w:eastAsia="Times New Roman" w:cs="Times New Roman"/>
          <w:sz w:val="24"/>
          <w:szCs w:val="24"/>
          <w:lang w:eastAsia="pl-PL"/>
        </w:rPr>
        <w:lastRenderedPageBreak/>
        <w:t>zaprzestania naruszeniom.</w:t>
      </w:r>
      <w:r w:rsidR="007D0EDE" w:rsidRPr="00833C88">
        <w:rPr>
          <w:rFonts w:eastAsia="Times New Roman" w:cs="Times New Roman"/>
          <w:sz w:val="24"/>
          <w:szCs w:val="24"/>
          <w:lang w:eastAsia="pl-PL"/>
        </w:rPr>
        <w:t xml:space="preserve"> Zakaz pełnienia funkcji</w:t>
      </w:r>
      <w:r w:rsidR="001C12B9" w:rsidRPr="00833C88">
        <w:rPr>
          <w:rFonts w:eastAsia="Times New Roman" w:cs="Times New Roman"/>
          <w:sz w:val="24"/>
          <w:szCs w:val="24"/>
          <w:lang w:eastAsia="pl-PL"/>
        </w:rPr>
        <w:t xml:space="preserve"> zarządczych</w:t>
      </w:r>
      <w:r w:rsidR="007D0EDE" w:rsidRPr="00833C88">
        <w:rPr>
          <w:rFonts w:eastAsia="Times New Roman" w:cs="Times New Roman"/>
          <w:sz w:val="24"/>
          <w:szCs w:val="24"/>
          <w:lang w:eastAsia="pl-PL"/>
        </w:rPr>
        <w:t xml:space="preserve"> </w:t>
      </w:r>
      <w:r w:rsidR="006766FA" w:rsidRPr="00833C88">
        <w:rPr>
          <w:rFonts w:eastAsia="Times New Roman" w:cs="Times New Roman"/>
          <w:sz w:val="24"/>
          <w:szCs w:val="24"/>
          <w:lang w:eastAsia="pl-PL"/>
        </w:rPr>
        <w:t>nie może zatem obejmować tych uprawnień</w:t>
      </w:r>
      <w:r w:rsidR="00D73793" w:rsidRPr="00833C88">
        <w:rPr>
          <w:rFonts w:eastAsia="Times New Roman" w:cs="Times New Roman"/>
          <w:sz w:val="24"/>
          <w:szCs w:val="24"/>
          <w:lang w:eastAsia="pl-PL"/>
        </w:rPr>
        <w:t>, których wykonywanie jest niezbędne do realizacji ww. celu.</w:t>
      </w:r>
    </w:p>
    <w:p w14:paraId="0558EC3B" w14:textId="44D93B48" w:rsidR="00B71BB5"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9124B5" w:rsidRPr="00833C88">
        <w:rPr>
          <w:rFonts w:eastAsia="Times New Roman" w:cs="Times New Roman"/>
          <w:sz w:val="24"/>
          <w:szCs w:val="24"/>
          <w:lang w:eastAsia="pl-PL"/>
        </w:rPr>
        <w:t>projektowanym</w:t>
      </w:r>
      <w:r w:rsidR="00F71E0C" w:rsidRPr="00833C88">
        <w:rPr>
          <w:rFonts w:eastAsia="Times New Roman" w:cs="Times New Roman"/>
          <w:sz w:val="24"/>
          <w:szCs w:val="24"/>
          <w:lang w:eastAsia="pl-PL"/>
        </w:rPr>
        <w:t xml:space="preserve"> art. 53e </w:t>
      </w:r>
      <w:r w:rsidR="009124B5" w:rsidRPr="00833C88">
        <w:rPr>
          <w:rFonts w:eastAsia="Times New Roman" w:cs="Times New Roman"/>
          <w:sz w:val="24"/>
          <w:szCs w:val="24"/>
          <w:lang w:eastAsia="pl-PL"/>
        </w:rPr>
        <w:t xml:space="preserve">ustawy </w:t>
      </w:r>
      <w:r w:rsidRPr="00833C88">
        <w:rPr>
          <w:rFonts w:eastAsia="Times New Roman" w:cs="Times New Roman"/>
          <w:sz w:val="24"/>
          <w:szCs w:val="24"/>
          <w:lang w:eastAsia="pl-PL"/>
        </w:rPr>
        <w:t>o </w:t>
      </w:r>
      <w:r w:rsidR="009124B5" w:rsidRPr="00833C88">
        <w:rPr>
          <w:rFonts w:eastAsia="Times New Roman" w:cs="Times New Roman"/>
          <w:sz w:val="24"/>
          <w:szCs w:val="24"/>
          <w:lang w:eastAsia="pl-PL"/>
        </w:rPr>
        <w:t xml:space="preserve">KSC </w:t>
      </w:r>
      <w:r w:rsidR="00F71E0C" w:rsidRPr="00833C88">
        <w:rPr>
          <w:rFonts w:eastAsia="Times New Roman" w:cs="Times New Roman"/>
          <w:sz w:val="24"/>
          <w:szCs w:val="24"/>
          <w:lang w:eastAsia="pl-PL"/>
        </w:rPr>
        <w:t xml:space="preserve">wskazano procedurę związaną </w:t>
      </w:r>
      <w:r w:rsidRPr="00833C88">
        <w:rPr>
          <w:rFonts w:eastAsia="Times New Roman" w:cs="Times New Roman"/>
          <w:sz w:val="24"/>
          <w:szCs w:val="24"/>
          <w:lang w:eastAsia="pl-PL"/>
        </w:rPr>
        <w:t>z </w:t>
      </w:r>
      <w:r w:rsidR="00F71E0C" w:rsidRPr="00833C88">
        <w:rPr>
          <w:rFonts w:eastAsia="Times New Roman" w:cs="Times New Roman"/>
          <w:sz w:val="24"/>
          <w:szCs w:val="24"/>
          <w:lang w:eastAsia="pl-PL"/>
        </w:rPr>
        <w:t xml:space="preserve">realizacją środków nadzorczych określonych </w:t>
      </w:r>
      <w:r w:rsidRPr="00833C88">
        <w:rPr>
          <w:rFonts w:eastAsia="Times New Roman" w:cs="Times New Roman"/>
          <w:sz w:val="24"/>
          <w:szCs w:val="24"/>
          <w:lang w:eastAsia="pl-PL"/>
        </w:rPr>
        <w:t>w </w:t>
      </w:r>
      <w:r w:rsidR="009124B5" w:rsidRPr="00833C88">
        <w:rPr>
          <w:rFonts w:eastAsia="Times New Roman" w:cs="Times New Roman"/>
          <w:sz w:val="24"/>
          <w:szCs w:val="24"/>
          <w:lang w:eastAsia="pl-PL"/>
        </w:rPr>
        <w:t>proj</w:t>
      </w:r>
      <w:r w:rsidR="00591CFC" w:rsidRPr="00833C88">
        <w:rPr>
          <w:rFonts w:eastAsia="Times New Roman" w:cs="Times New Roman"/>
          <w:sz w:val="24"/>
          <w:szCs w:val="24"/>
          <w:lang w:eastAsia="pl-PL"/>
        </w:rPr>
        <w:t xml:space="preserve">ektowanym </w:t>
      </w:r>
      <w:r w:rsidR="00F71E0C" w:rsidRPr="00833C88">
        <w:rPr>
          <w:rFonts w:eastAsia="Times New Roman" w:cs="Times New Roman"/>
          <w:sz w:val="24"/>
          <w:szCs w:val="24"/>
          <w:lang w:eastAsia="pl-PL"/>
        </w:rPr>
        <w:t xml:space="preserve">art. 53 ust. </w:t>
      </w:r>
      <w:r w:rsidR="000936C0" w:rsidRPr="00833C88">
        <w:rPr>
          <w:rFonts w:eastAsia="Times New Roman" w:cs="Times New Roman"/>
          <w:sz w:val="24"/>
          <w:szCs w:val="24"/>
          <w:lang w:eastAsia="pl-PL"/>
        </w:rPr>
        <w:t>9</w:t>
      </w:r>
      <w:r w:rsidR="00591CFC" w:rsidRPr="00833C88">
        <w:rPr>
          <w:rFonts w:eastAsia="Times New Roman" w:cs="Times New Roman"/>
          <w:sz w:val="24"/>
          <w:szCs w:val="24"/>
          <w:lang w:eastAsia="pl-PL"/>
        </w:rPr>
        <w:t xml:space="preserve"> ustawy </w:t>
      </w:r>
      <w:r w:rsidRPr="00833C88">
        <w:rPr>
          <w:rFonts w:eastAsia="Times New Roman" w:cs="Times New Roman"/>
          <w:sz w:val="24"/>
          <w:szCs w:val="24"/>
          <w:lang w:eastAsia="pl-PL"/>
        </w:rPr>
        <w:t>o </w:t>
      </w:r>
      <w:r w:rsidR="00591CFC" w:rsidRPr="00833C88">
        <w:rPr>
          <w:rFonts w:eastAsia="Times New Roman" w:cs="Times New Roman"/>
          <w:sz w:val="24"/>
          <w:szCs w:val="24"/>
          <w:lang w:eastAsia="pl-PL"/>
        </w:rPr>
        <w:t>KSC</w:t>
      </w:r>
      <w:r w:rsidR="00F71E0C" w:rsidRPr="00833C88">
        <w:rPr>
          <w:rFonts w:eastAsia="Times New Roman" w:cs="Times New Roman"/>
          <w:sz w:val="24"/>
          <w:szCs w:val="24"/>
          <w:lang w:eastAsia="pl-PL"/>
        </w:rPr>
        <w:t xml:space="preserve">. </w:t>
      </w:r>
      <w:r w:rsidR="00AB7514" w:rsidRPr="00833C88">
        <w:rPr>
          <w:rFonts w:eastAsia="Times New Roman" w:cs="Times New Roman"/>
          <w:sz w:val="24"/>
          <w:szCs w:val="24"/>
          <w:lang w:eastAsia="pl-PL"/>
        </w:rPr>
        <w:t>Przepis ten reguluje sposób postępowania organu właściwego do spraw cyberbezpieczeństwa</w:t>
      </w:r>
      <w:r w:rsidR="00C61E05"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C61E05" w:rsidRPr="00833C88">
        <w:rPr>
          <w:rFonts w:eastAsia="Times New Roman" w:cs="Times New Roman"/>
          <w:sz w:val="24"/>
          <w:szCs w:val="24"/>
          <w:lang w:eastAsia="pl-PL"/>
        </w:rPr>
        <w:t>związku</w:t>
      </w:r>
      <w:r w:rsidR="001A275A" w:rsidRPr="00833C88">
        <w:rPr>
          <w:rFonts w:eastAsia="Times New Roman" w:cs="Times New Roman"/>
          <w:sz w:val="24"/>
          <w:szCs w:val="24"/>
          <w:lang w:eastAsia="pl-PL"/>
        </w:rPr>
        <w:t xml:space="preserve"> </w:t>
      </w:r>
      <w:r w:rsidRPr="00833C88">
        <w:rPr>
          <w:rFonts w:eastAsia="Times New Roman" w:cs="Times New Roman"/>
          <w:sz w:val="24"/>
          <w:szCs w:val="24"/>
          <w:lang w:eastAsia="pl-PL"/>
        </w:rPr>
        <w:t>z </w:t>
      </w:r>
      <w:r w:rsidR="00C61E05" w:rsidRPr="00833C88">
        <w:rPr>
          <w:rFonts w:eastAsia="Times New Roman" w:cs="Times New Roman"/>
          <w:sz w:val="24"/>
          <w:szCs w:val="24"/>
          <w:lang w:eastAsia="pl-PL"/>
        </w:rPr>
        <w:t xml:space="preserve">wydaniem decyzji </w:t>
      </w:r>
      <w:r w:rsidRPr="00833C88">
        <w:rPr>
          <w:rFonts w:eastAsia="Times New Roman" w:cs="Times New Roman"/>
          <w:sz w:val="24"/>
          <w:szCs w:val="24"/>
          <w:lang w:eastAsia="pl-PL"/>
        </w:rPr>
        <w:t>o </w:t>
      </w:r>
      <w:r w:rsidR="00C61E05" w:rsidRPr="00833C88">
        <w:rPr>
          <w:rFonts w:eastAsia="Times New Roman" w:cs="Times New Roman"/>
          <w:sz w:val="24"/>
          <w:szCs w:val="24"/>
          <w:lang w:eastAsia="pl-PL"/>
        </w:rPr>
        <w:t>zastosowaniu środk</w:t>
      </w:r>
      <w:r w:rsidR="000101C2" w:rsidRPr="00833C88">
        <w:rPr>
          <w:rFonts w:eastAsia="Times New Roman" w:cs="Times New Roman"/>
          <w:sz w:val="24"/>
          <w:szCs w:val="24"/>
          <w:lang w:eastAsia="pl-PL"/>
        </w:rPr>
        <w:t>ów nadzorczych</w:t>
      </w:r>
      <w:r w:rsidR="006E1391" w:rsidRPr="00833C88">
        <w:rPr>
          <w:rFonts w:eastAsia="Times New Roman" w:cs="Times New Roman"/>
          <w:sz w:val="24"/>
          <w:szCs w:val="24"/>
          <w:lang w:eastAsia="pl-PL"/>
        </w:rPr>
        <w:t xml:space="preserve"> </w:t>
      </w:r>
      <w:r w:rsidR="00AB7514" w:rsidRPr="00833C88">
        <w:rPr>
          <w:rFonts w:eastAsia="Times New Roman" w:cs="Times New Roman"/>
          <w:sz w:val="24"/>
          <w:szCs w:val="24"/>
          <w:lang w:eastAsia="pl-PL"/>
        </w:rPr>
        <w:t xml:space="preserve">oraz uprawnienia podmiotu kluczowego </w:t>
      </w:r>
      <w:r w:rsidRPr="00833C88">
        <w:rPr>
          <w:rFonts w:eastAsia="Times New Roman" w:cs="Times New Roman"/>
          <w:sz w:val="24"/>
          <w:szCs w:val="24"/>
          <w:lang w:eastAsia="pl-PL"/>
        </w:rPr>
        <w:t>i </w:t>
      </w:r>
      <w:r w:rsidR="00AB7514" w:rsidRPr="00833C88">
        <w:rPr>
          <w:rFonts w:eastAsia="Times New Roman" w:cs="Times New Roman"/>
          <w:sz w:val="24"/>
          <w:szCs w:val="24"/>
          <w:lang w:eastAsia="pl-PL"/>
        </w:rPr>
        <w:t xml:space="preserve">organu właściwego do spraw cyberbezpieczeństwa zmierzające do </w:t>
      </w:r>
      <w:r w:rsidR="006F1C90" w:rsidRPr="00833C88">
        <w:rPr>
          <w:rFonts w:eastAsia="Times New Roman" w:cs="Times New Roman"/>
          <w:sz w:val="24"/>
          <w:szCs w:val="24"/>
          <w:lang w:eastAsia="pl-PL"/>
        </w:rPr>
        <w:t xml:space="preserve">przywrócenia stanu sprzed zastosowania </w:t>
      </w:r>
      <w:r w:rsidR="000101C2" w:rsidRPr="00833C88">
        <w:rPr>
          <w:rFonts w:eastAsia="Times New Roman" w:cs="Times New Roman"/>
          <w:sz w:val="24"/>
          <w:szCs w:val="24"/>
          <w:lang w:eastAsia="pl-PL"/>
        </w:rPr>
        <w:t>tych środków</w:t>
      </w:r>
      <w:r w:rsidR="006F1C90" w:rsidRPr="00833C88">
        <w:rPr>
          <w:rFonts w:eastAsia="Times New Roman" w:cs="Times New Roman"/>
          <w:sz w:val="24"/>
          <w:szCs w:val="24"/>
          <w:lang w:eastAsia="pl-PL"/>
        </w:rPr>
        <w:t xml:space="preserve">. </w:t>
      </w:r>
      <w:r w:rsidR="000101C2" w:rsidRPr="00833C88">
        <w:rPr>
          <w:rFonts w:eastAsia="Times New Roman" w:cs="Times New Roman"/>
          <w:sz w:val="24"/>
          <w:szCs w:val="24"/>
          <w:lang w:eastAsia="pl-PL"/>
        </w:rPr>
        <w:t xml:space="preserve">Przepisy określają jakie informacje powinna zawierać decyzja, jaki jest maksymalny termin </w:t>
      </w:r>
      <w:r w:rsidR="00D81605" w:rsidRPr="00833C88">
        <w:rPr>
          <w:rFonts w:eastAsia="Times New Roman" w:cs="Times New Roman"/>
          <w:sz w:val="24"/>
          <w:szCs w:val="24"/>
          <w:lang w:eastAsia="pl-PL"/>
        </w:rPr>
        <w:t xml:space="preserve">stosowania tych środków, </w:t>
      </w:r>
      <w:r w:rsidRPr="00833C88">
        <w:rPr>
          <w:rFonts w:eastAsia="Times New Roman" w:cs="Times New Roman"/>
          <w:sz w:val="24"/>
          <w:szCs w:val="24"/>
          <w:lang w:eastAsia="pl-PL"/>
        </w:rPr>
        <w:t>a </w:t>
      </w:r>
      <w:r w:rsidR="00532664" w:rsidRPr="00833C88">
        <w:rPr>
          <w:rFonts w:eastAsia="Times New Roman" w:cs="Times New Roman"/>
          <w:sz w:val="24"/>
          <w:szCs w:val="24"/>
          <w:lang w:eastAsia="pl-PL"/>
        </w:rPr>
        <w:t xml:space="preserve">także procedurę </w:t>
      </w:r>
      <w:r w:rsidR="00236E40" w:rsidRPr="00833C88">
        <w:rPr>
          <w:rFonts w:eastAsia="Times New Roman" w:cs="Times New Roman"/>
          <w:sz w:val="24"/>
          <w:szCs w:val="24"/>
          <w:lang w:eastAsia="pl-PL"/>
        </w:rPr>
        <w:t xml:space="preserve">wydawania decyzji </w:t>
      </w:r>
      <w:r w:rsidRPr="00833C88">
        <w:rPr>
          <w:rFonts w:eastAsia="Times New Roman" w:cs="Times New Roman"/>
          <w:sz w:val="24"/>
          <w:szCs w:val="24"/>
          <w:lang w:eastAsia="pl-PL"/>
        </w:rPr>
        <w:t>o </w:t>
      </w:r>
      <w:r w:rsidR="00236E40" w:rsidRPr="00833C88">
        <w:rPr>
          <w:rFonts w:eastAsia="Times New Roman" w:cs="Times New Roman"/>
          <w:sz w:val="24"/>
          <w:szCs w:val="24"/>
          <w:lang w:eastAsia="pl-PL"/>
        </w:rPr>
        <w:t xml:space="preserve">stosowaniu </w:t>
      </w:r>
      <w:r w:rsidR="00532664" w:rsidRPr="00833C88">
        <w:rPr>
          <w:rFonts w:eastAsia="Times New Roman" w:cs="Times New Roman"/>
          <w:sz w:val="24"/>
          <w:szCs w:val="24"/>
          <w:lang w:eastAsia="pl-PL"/>
        </w:rPr>
        <w:t>tych środków</w:t>
      </w:r>
      <w:r w:rsidR="00236E40" w:rsidRPr="00833C88">
        <w:rPr>
          <w:rFonts w:eastAsia="Times New Roman" w:cs="Times New Roman"/>
          <w:sz w:val="24"/>
          <w:szCs w:val="24"/>
          <w:lang w:eastAsia="pl-PL"/>
        </w:rPr>
        <w:t xml:space="preserve"> na dalszy okres</w:t>
      </w:r>
      <w:r w:rsidR="00660767" w:rsidRPr="00833C88">
        <w:rPr>
          <w:rFonts w:eastAsia="Times New Roman" w:cs="Times New Roman"/>
          <w:sz w:val="24"/>
          <w:szCs w:val="24"/>
          <w:lang w:eastAsia="pl-PL"/>
        </w:rPr>
        <w:t>,</w:t>
      </w:r>
      <w:r w:rsidR="00E92202"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proofErr w:type="gramStart"/>
      <w:r w:rsidR="00E92202" w:rsidRPr="00833C88">
        <w:rPr>
          <w:rFonts w:eastAsia="Times New Roman" w:cs="Times New Roman"/>
          <w:sz w:val="24"/>
          <w:szCs w:val="24"/>
          <w:lang w:eastAsia="pl-PL"/>
        </w:rPr>
        <w:t>przypadku</w:t>
      </w:r>
      <w:proofErr w:type="gramEnd"/>
      <w:r w:rsidR="00E92202" w:rsidRPr="00833C88">
        <w:rPr>
          <w:rFonts w:eastAsia="Times New Roman" w:cs="Times New Roman"/>
          <w:sz w:val="24"/>
          <w:szCs w:val="24"/>
          <w:lang w:eastAsia="pl-PL"/>
        </w:rPr>
        <w:t xml:space="preserve"> gdy uchybienia nie zostały usunięte </w:t>
      </w:r>
      <w:r w:rsidRPr="00833C88">
        <w:rPr>
          <w:rFonts w:eastAsia="Times New Roman" w:cs="Times New Roman"/>
          <w:sz w:val="24"/>
          <w:szCs w:val="24"/>
          <w:lang w:eastAsia="pl-PL"/>
        </w:rPr>
        <w:t>w </w:t>
      </w:r>
      <w:r w:rsidR="00E92202" w:rsidRPr="00833C88">
        <w:rPr>
          <w:rFonts w:eastAsia="Times New Roman" w:cs="Times New Roman"/>
          <w:sz w:val="24"/>
          <w:szCs w:val="24"/>
          <w:lang w:eastAsia="pl-PL"/>
        </w:rPr>
        <w:t>pierwotnym terminie.</w:t>
      </w:r>
      <w:r w:rsidR="002E5527"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2E5527" w:rsidRPr="00833C88">
        <w:rPr>
          <w:rFonts w:eastAsia="Times New Roman" w:cs="Times New Roman"/>
          <w:sz w:val="24"/>
          <w:szCs w:val="24"/>
          <w:lang w:eastAsia="pl-PL"/>
        </w:rPr>
        <w:t xml:space="preserve">takiej sytuacji będzie wydawana ponowna decyzja </w:t>
      </w:r>
      <w:r w:rsidRPr="00833C88">
        <w:rPr>
          <w:rFonts w:eastAsia="Times New Roman" w:cs="Times New Roman"/>
          <w:sz w:val="24"/>
          <w:szCs w:val="24"/>
          <w:lang w:eastAsia="pl-PL"/>
        </w:rPr>
        <w:t>o </w:t>
      </w:r>
      <w:r w:rsidR="002E5527" w:rsidRPr="00833C88">
        <w:rPr>
          <w:rFonts w:eastAsia="Times New Roman" w:cs="Times New Roman"/>
          <w:sz w:val="24"/>
          <w:szCs w:val="24"/>
          <w:lang w:eastAsia="pl-PL"/>
        </w:rPr>
        <w:t xml:space="preserve">zastosowaniu środka, </w:t>
      </w:r>
      <w:r w:rsidRPr="00833C88">
        <w:rPr>
          <w:rFonts w:eastAsia="Times New Roman" w:cs="Times New Roman"/>
          <w:sz w:val="24"/>
          <w:szCs w:val="24"/>
          <w:lang w:eastAsia="pl-PL"/>
        </w:rPr>
        <w:t>z </w:t>
      </w:r>
      <w:r w:rsidR="002E5527" w:rsidRPr="00833C88">
        <w:rPr>
          <w:rFonts w:eastAsia="Times New Roman" w:cs="Times New Roman"/>
          <w:sz w:val="24"/>
          <w:szCs w:val="24"/>
          <w:lang w:eastAsia="pl-PL"/>
        </w:rPr>
        <w:t xml:space="preserve">tym zastrzeżeniem, że nie będą miały zastosowania </w:t>
      </w:r>
      <w:r w:rsidR="00F10F4E" w:rsidRPr="00833C88">
        <w:rPr>
          <w:rFonts w:eastAsia="Times New Roman" w:cs="Times New Roman"/>
          <w:sz w:val="24"/>
          <w:szCs w:val="24"/>
          <w:lang w:eastAsia="pl-PL"/>
        </w:rPr>
        <w:t>przepisy art. 53 ust. 13</w:t>
      </w:r>
      <w:r w:rsidR="004415FF" w:rsidRPr="00833C88">
        <w:rPr>
          <w:rFonts w:eastAsia="Times New Roman" w:cs="Times New Roman"/>
          <w:sz w:val="24"/>
          <w:szCs w:val="24"/>
          <w:lang w:eastAsia="pl-PL"/>
        </w:rPr>
        <w:t>–</w:t>
      </w:r>
      <w:r w:rsidR="00F10F4E" w:rsidRPr="00833C88">
        <w:rPr>
          <w:rFonts w:eastAsia="Times New Roman" w:cs="Times New Roman"/>
          <w:sz w:val="24"/>
          <w:szCs w:val="24"/>
          <w:lang w:eastAsia="pl-PL"/>
        </w:rPr>
        <w:t>16</w:t>
      </w:r>
      <w:r w:rsidR="000D4C87" w:rsidRPr="00833C88">
        <w:rPr>
          <w:rFonts w:eastAsia="Times New Roman" w:cs="Times New Roman"/>
          <w:sz w:val="24"/>
          <w:szCs w:val="24"/>
          <w:lang w:eastAsia="pl-PL"/>
        </w:rPr>
        <w:t xml:space="preserve"> ustawy </w:t>
      </w:r>
      <w:r w:rsidRPr="00833C88">
        <w:rPr>
          <w:rFonts w:eastAsia="Times New Roman" w:cs="Times New Roman"/>
          <w:sz w:val="24"/>
          <w:szCs w:val="24"/>
          <w:lang w:eastAsia="pl-PL"/>
        </w:rPr>
        <w:t>o </w:t>
      </w:r>
      <w:r w:rsidR="000D4C87" w:rsidRPr="00833C88">
        <w:rPr>
          <w:rFonts w:eastAsia="Times New Roman" w:cs="Times New Roman"/>
          <w:sz w:val="24"/>
          <w:szCs w:val="24"/>
          <w:lang w:eastAsia="pl-PL"/>
        </w:rPr>
        <w:t>KSC</w:t>
      </w:r>
      <w:r w:rsidR="00F10F4E" w:rsidRPr="00833C88">
        <w:rPr>
          <w:rFonts w:eastAsia="Times New Roman" w:cs="Times New Roman"/>
          <w:sz w:val="24"/>
          <w:szCs w:val="24"/>
          <w:lang w:eastAsia="pl-PL"/>
        </w:rPr>
        <w:t xml:space="preserve">. Wynika to </w:t>
      </w:r>
      <w:r w:rsidRPr="00833C88">
        <w:rPr>
          <w:rFonts w:eastAsia="Times New Roman" w:cs="Times New Roman"/>
          <w:sz w:val="24"/>
          <w:szCs w:val="24"/>
          <w:lang w:eastAsia="pl-PL"/>
        </w:rPr>
        <w:t>z </w:t>
      </w:r>
      <w:r w:rsidR="00F10F4E" w:rsidRPr="00833C88">
        <w:rPr>
          <w:rFonts w:eastAsia="Times New Roman" w:cs="Times New Roman"/>
          <w:sz w:val="24"/>
          <w:szCs w:val="24"/>
          <w:lang w:eastAsia="pl-PL"/>
        </w:rPr>
        <w:t xml:space="preserve">faktu, że nie jest to inne </w:t>
      </w:r>
      <w:proofErr w:type="gramStart"/>
      <w:r w:rsidR="00F10F4E" w:rsidRPr="00833C88">
        <w:rPr>
          <w:rFonts w:eastAsia="Times New Roman" w:cs="Times New Roman"/>
          <w:sz w:val="24"/>
          <w:szCs w:val="24"/>
          <w:lang w:eastAsia="pl-PL"/>
        </w:rPr>
        <w:t>naruszenie</w:t>
      </w:r>
      <w:proofErr w:type="gramEnd"/>
      <w:r w:rsidR="00F10F4E" w:rsidRPr="00833C88">
        <w:rPr>
          <w:rFonts w:eastAsia="Times New Roman" w:cs="Times New Roman"/>
          <w:sz w:val="24"/>
          <w:szCs w:val="24"/>
          <w:lang w:eastAsia="pl-PL"/>
        </w:rPr>
        <w:t xml:space="preserve"> wobec którego konieczne jest przeprowadzenie całej procedury związanej </w:t>
      </w:r>
      <w:r w:rsidRPr="00833C88">
        <w:rPr>
          <w:rFonts w:eastAsia="Times New Roman" w:cs="Times New Roman"/>
          <w:sz w:val="24"/>
          <w:szCs w:val="24"/>
          <w:lang w:eastAsia="pl-PL"/>
        </w:rPr>
        <w:t>z </w:t>
      </w:r>
      <w:r w:rsidR="00F10F4E" w:rsidRPr="00833C88">
        <w:rPr>
          <w:rFonts w:eastAsia="Times New Roman" w:cs="Times New Roman"/>
          <w:sz w:val="24"/>
          <w:szCs w:val="24"/>
          <w:lang w:eastAsia="pl-PL"/>
        </w:rPr>
        <w:t xml:space="preserve">nadzorem od początku. </w:t>
      </w:r>
      <w:r w:rsidR="007220B3" w:rsidRPr="00833C88">
        <w:rPr>
          <w:rFonts w:eastAsia="Times New Roman" w:cs="Times New Roman"/>
          <w:sz w:val="24"/>
          <w:szCs w:val="24"/>
          <w:lang w:eastAsia="pl-PL"/>
        </w:rPr>
        <w:t xml:space="preserve">Procedura </w:t>
      </w:r>
      <w:r w:rsidR="00D76011" w:rsidRPr="00833C88">
        <w:rPr>
          <w:rFonts w:eastAsia="Times New Roman" w:cs="Times New Roman"/>
          <w:sz w:val="24"/>
          <w:szCs w:val="24"/>
          <w:lang w:eastAsia="pl-PL"/>
        </w:rPr>
        <w:t>wydawania ponownej decyzji</w:t>
      </w:r>
      <w:r w:rsidR="00500D35" w:rsidRPr="00833C88">
        <w:rPr>
          <w:rFonts w:eastAsia="Times New Roman" w:cs="Times New Roman"/>
          <w:sz w:val="24"/>
          <w:szCs w:val="24"/>
          <w:lang w:eastAsia="pl-PL"/>
        </w:rPr>
        <w:t>,</w:t>
      </w:r>
      <w:r w:rsidR="00D76011" w:rsidRPr="00833C88">
        <w:rPr>
          <w:rFonts w:eastAsia="Times New Roman" w:cs="Times New Roman"/>
          <w:sz w:val="24"/>
          <w:szCs w:val="24"/>
          <w:lang w:eastAsia="pl-PL"/>
        </w:rPr>
        <w:t xml:space="preserve"> </w:t>
      </w:r>
      <w:r w:rsidR="00500D35" w:rsidRPr="00833C88">
        <w:rPr>
          <w:rFonts w:eastAsia="Times New Roman" w:cs="Times New Roman"/>
          <w:sz w:val="24"/>
          <w:szCs w:val="24"/>
          <w:lang w:eastAsia="pl-PL"/>
        </w:rPr>
        <w:t xml:space="preserve">po zrealizowaniu się właściwych przesłanek, </w:t>
      </w:r>
      <w:r w:rsidR="00D76011" w:rsidRPr="00833C88">
        <w:rPr>
          <w:rFonts w:eastAsia="Times New Roman" w:cs="Times New Roman"/>
          <w:sz w:val="24"/>
          <w:szCs w:val="24"/>
          <w:lang w:eastAsia="pl-PL"/>
        </w:rPr>
        <w:t>ma</w:t>
      </w:r>
      <w:r w:rsidR="001A275A" w:rsidRPr="00833C88">
        <w:rPr>
          <w:rFonts w:eastAsia="Times New Roman" w:cs="Times New Roman"/>
          <w:sz w:val="24"/>
          <w:szCs w:val="24"/>
          <w:lang w:eastAsia="pl-PL"/>
        </w:rPr>
        <w:t> </w:t>
      </w:r>
      <w:r w:rsidR="00D76011" w:rsidRPr="00833C88">
        <w:rPr>
          <w:rFonts w:eastAsia="Times New Roman" w:cs="Times New Roman"/>
          <w:sz w:val="24"/>
          <w:szCs w:val="24"/>
          <w:lang w:eastAsia="pl-PL"/>
        </w:rPr>
        <w:t>mieć charakter uproszczony, niemal automatyczny</w:t>
      </w:r>
      <w:r w:rsidR="007B262F" w:rsidRPr="00833C88">
        <w:rPr>
          <w:rFonts w:eastAsia="Times New Roman" w:cs="Times New Roman"/>
          <w:sz w:val="24"/>
          <w:szCs w:val="24"/>
          <w:lang w:eastAsia="pl-PL"/>
        </w:rPr>
        <w:t>.</w:t>
      </w:r>
      <w:r w:rsidR="00D76011"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D76011" w:rsidRPr="00833C88">
        <w:rPr>
          <w:rFonts w:eastAsia="Times New Roman" w:cs="Times New Roman"/>
          <w:sz w:val="24"/>
          <w:szCs w:val="24"/>
          <w:lang w:eastAsia="pl-PL"/>
        </w:rPr>
        <w:t>praktyce ma być to przedłużenie czasu trwania zastosowanych środków nadzorczych wobec podmiotu kluczowego bądź kierownika podmiotu</w:t>
      </w:r>
      <w:r w:rsidR="000C09C2" w:rsidRPr="00833C88">
        <w:rPr>
          <w:rFonts w:eastAsia="Times New Roman" w:cs="Times New Roman"/>
          <w:sz w:val="24"/>
          <w:szCs w:val="24"/>
          <w:lang w:eastAsia="pl-PL"/>
        </w:rPr>
        <w:t xml:space="preserve">. </w:t>
      </w:r>
      <w:r w:rsidR="00E31165" w:rsidRPr="00833C88">
        <w:rPr>
          <w:rFonts w:eastAsia="Times New Roman" w:cs="Times New Roman"/>
          <w:sz w:val="24"/>
          <w:szCs w:val="24"/>
          <w:lang w:eastAsia="pl-PL"/>
        </w:rPr>
        <w:t>Należy</w:t>
      </w:r>
      <w:r w:rsidR="000C09C2" w:rsidRPr="00833C88">
        <w:rPr>
          <w:rFonts w:eastAsia="Times New Roman" w:cs="Times New Roman"/>
          <w:sz w:val="24"/>
          <w:szCs w:val="24"/>
          <w:lang w:eastAsia="pl-PL"/>
        </w:rPr>
        <w:t xml:space="preserve"> jednak</w:t>
      </w:r>
      <w:r w:rsidR="00E31165" w:rsidRPr="00833C88">
        <w:rPr>
          <w:rFonts w:eastAsia="Times New Roman" w:cs="Times New Roman"/>
          <w:sz w:val="24"/>
          <w:szCs w:val="24"/>
          <w:lang w:eastAsia="pl-PL"/>
        </w:rPr>
        <w:t xml:space="preserve"> podkreślić, że organ będzie obowiązany do uchylenia </w:t>
      </w:r>
      <w:r w:rsidR="000C09C2" w:rsidRPr="00833C88">
        <w:rPr>
          <w:rFonts w:eastAsia="Times New Roman" w:cs="Times New Roman"/>
          <w:sz w:val="24"/>
          <w:szCs w:val="24"/>
          <w:lang w:eastAsia="pl-PL"/>
        </w:rPr>
        <w:t xml:space="preserve">decyzji </w:t>
      </w:r>
      <w:r w:rsidRPr="00833C88">
        <w:rPr>
          <w:rFonts w:eastAsia="Times New Roman" w:cs="Times New Roman"/>
          <w:sz w:val="24"/>
          <w:szCs w:val="24"/>
          <w:lang w:eastAsia="pl-PL"/>
        </w:rPr>
        <w:t>o </w:t>
      </w:r>
      <w:r w:rsidR="000C09C2" w:rsidRPr="00833C88">
        <w:rPr>
          <w:rFonts w:eastAsia="Times New Roman" w:cs="Times New Roman"/>
          <w:sz w:val="24"/>
          <w:szCs w:val="24"/>
          <w:lang w:eastAsia="pl-PL"/>
        </w:rPr>
        <w:t>zastosowaniu środka</w:t>
      </w:r>
      <w:r w:rsidR="00E31165"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E31165" w:rsidRPr="00833C88">
        <w:rPr>
          <w:rFonts w:eastAsia="Times New Roman" w:cs="Times New Roman"/>
          <w:sz w:val="24"/>
          <w:szCs w:val="24"/>
          <w:lang w:eastAsia="pl-PL"/>
        </w:rPr>
        <w:t>przypadku</w:t>
      </w:r>
      <w:r w:rsidR="0079346A" w:rsidRPr="00833C88">
        <w:rPr>
          <w:rFonts w:eastAsia="Times New Roman" w:cs="Times New Roman"/>
          <w:sz w:val="24"/>
          <w:szCs w:val="24"/>
          <w:lang w:eastAsia="pl-PL"/>
        </w:rPr>
        <w:t>,</w:t>
      </w:r>
      <w:r w:rsidR="00D81605"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D81605" w:rsidRPr="00833C88">
        <w:rPr>
          <w:rFonts w:eastAsia="Times New Roman" w:cs="Times New Roman"/>
          <w:sz w:val="24"/>
          <w:szCs w:val="24"/>
          <w:lang w:eastAsia="pl-PL"/>
        </w:rPr>
        <w:t xml:space="preserve">którym </w:t>
      </w:r>
      <w:r w:rsidR="00147C6F" w:rsidRPr="00833C88">
        <w:rPr>
          <w:rFonts w:eastAsia="Times New Roman" w:cs="Times New Roman"/>
          <w:sz w:val="24"/>
          <w:szCs w:val="24"/>
          <w:lang w:eastAsia="pl-PL"/>
        </w:rPr>
        <w:t>usunięcie uchybień lub zaprzestanie narusze</w:t>
      </w:r>
      <w:r w:rsidR="00E31165" w:rsidRPr="00833C88">
        <w:rPr>
          <w:rFonts w:eastAsia="Times New Roman" w:cs="Times New Roman"/>
          <w:sz w:val="24"/>
          <w:szCs w:val="24"/>
          <w:lang w:eastAsia="pl-PL"/>
        </w:rPr>
        <w:t>ń</w:t>
      </w:r>
      <w:r w:rsidR="00147C6F" w:rsidRPr="00833C88">
        <w:rPr>
          <w:rFonts w:eastAsia="Times New Roman" w:cs="Times New Roman"/>
          <w:sz w:val="24"/>
          <w:szCs w:val="24"/>
          <w:lang w:eastAsia="pl-PL"/>
        </w:rPr>
        <w:t xml:space="preserve"> będzie miało miejsce szybciej niż upływ terminu</w:t>
      </w:r>
      <w:r w:rsidR="00A36ADE" w:rsidRPr="00833C88">
        <w:rPr>
          <w:rFonts w:eastAsia="Times New Roman" w:cs="Times New Roman"/>
          <w:sz w:val="24"/>
          <w:szCs w:val="24"/>
          <w:lang w:eastAsia="pl-PL"/>
        </w:rPr>
        <w:t>,</w:t>
      </w:r>
      <w:r w:rsidR="00147C6F" w:rsidRPr="00833C88">
        <w:rPr>
          <w:rFonts w:eastAsia="Times New Roman" w:cs="Times New Roman"/>
          <w:sz w:val="24"/>
          <w:szCs w:val="24"/>
          <w:lang w:eastAsia="pl-PL"/>
        </w:rPr>
        <w:t xml:space="preserve"> na który został </w:t>
      </w:r>
      <w:r w:rsidR="00BF7D4C" w:rsidRPr="00833C88">
        <w:rPr>
          <w:rFonts w:eastAsia="Times New Roman" w:cs="Times New Roman"/>
          <w:sz w:val="24"/>
          <w:szCs w:val="24"/>
          <w:lang w:eastAsia="pl-PL"/>
        </w:rPr>
        <w:t>orzeczony środek.</w:t>
      </w:r>
      <w:r w:rsidR="006742BF" w:rsidRPr="00833C88">
        <w:rPr>
          <w:rFonts w:eastAsia="Times New Roman" w:cs="Times New Roman"/>
          <w:sz w:val="24"/>
          <w:szCs w:val="24"/>
          <w:lang w:eastAsia="pl-PL"/>
        </w:rPr>
        <w:t xml:space="preserve"> </w:t>
      </w:r>
      <w:r w:rsidR="002C12E1" w:rsidRPr="00833C88">
        <w:rPr>
          <w:rFonts w:eastAsia="Times New Roman" w:cs="Times New Roman"/>
          <w:sz w:val="24"/>
          <w:szCs w:val="24"/>
          <w:lang w:eastAsia="pl-PL"/>
        </w:rPr>
        <w:t xml:space="preserve">Środki określone </w:t>
      </w:r>
      <w:r w:rsidRPr="00833C88">
        <w:rPr>
          <w:rFonts w:eastAsia="Times New Roman" w:cs="Times New Roman"/>
          <w:sz w:val="24"/>
          <w:szCs w:val="24"/>
          <w:lang w:eastAsia="pl-PL"/>
        </w:rPr>
        <w:t>w </w:t>
      </w:r>
      <w:r w:rsidR="006742BF" w:rsidRPr="00833C88">
        <w:rPr>
          <w:rFonts w:eastAsia="Times New Roman" w:cs="Times New Roman"/>
          <w:sz w:val="24"/>
          <w:szCs w:val="24"/>
          <w:lang w:eastAsia="pl-PL"/>
        </w:rPr>
        <w:t xml:space="preserve">art. 53 ust. 9 </w:t>
      </w:r>
      <w:r w:rsidR="000D4C87" w:rsidRPr="00833C88">
        <w:rPr>
          <w:rFonts w:eastAsia="Times New Roman" w:cs="Times New Roman"/>
          <w:sz w:val="24"/>
          <w:szCs w:val="24"/>
          <w:lang w:eastAsia="pl-PL"/>
        </w:rPr>
        <w:t xml:space="preserve">ustawy </w:t>
      </w:r>
      <w:r w:rsidRPr="00833C88">
        <w:rPr>
          <w:rFonts w:eastAsia="Times New Roman" w:cs="Times New Roman"/>
          <w:sz w:val="24"/>
          <w:szCs w:val="24"/>
          <w:lang w:eastAsia="pl-PL"/>
        </w:rPr>
        <w:t>o </w:t>
      </w:r>
      <w:r w:rsidR="000D4C87" w:rsidRPr="00833C88">
        <w:rPr>
          <w:rFonts w:eastAsia="Times New Roman" w:cs="Times New Roman"/>
          <w:sz w:val="24"/>
          <w:szCs w:val="24"/>
          <w:lang w:eastAsia="pl-PL"/>
        </w:rPr>
        <w:t xml:space="preserve">KSC </w:t>
      </w:r>
      <w:r w:rsidR="006742BF" w:rsidRPr="00833C88">
        <w:rPr>
          <w:rFonts w:eastAsia="Times New Roman" w:cs="Times New Roman"/>
          <w:sz w:val="24"/>
          <w:szCs w:val="24"/>
          <w:lang w:eastAsia="pl-PL"/>
        </w:rPr>
        <w:t>mogą być stosowane wielokrotnie do czasu usunięcia uchybień lub zaprzestania naruszeń</w:t>
      </w:r>
      <w:r w:rsidR="002C12E1" w:rsidRPr="00833C88">
        <w:rPr>
          <w:rFonts w:eastAsia="Times New Roman" w:cs="Times New Roman"/>
          <w:sz w:val="24"/>
          <w:szCs w:val="24"/>
          <w:lang w:eastAsia="pl-PL"/>
        </w:rPr>
        <w:t xml:space="preserve"> na zasadach określonych </w:t>
      </w:r>
      <w:r w:rsidRPr="00833C88">
        <w:rPr>
          <w:rFonts w:eastAsia="Times New Roman" w:cs="Times New Roman"/>
          <w:sz w:val="24"/>
          <w:szCs w:val="24"/>
          <w:lang w:eastAsia="pl-PL"/>
        </w:rPr>
        <w:t>w </w:t>
      </w:r>
      <w:r w:rsidR="002C12E1" w:rsidRPr="00833C88">
        <w:rPr>
          <w:rFonts w:eastAsia="Times New Roman" w:cs="Times New Roman"/>
          <w:sz w:val="24"/>
          <w:szCs w:val="24"/>
          <w:lang w:eastAsia="pl-PL"/>
        </w:rPr>
        <w:t xml:space="preserve">przepisach określających sposób </w:t>
      </w:r>
      <w:r w:rsidRPr="00833C88">
        <w:rPr>
          <w:rFonts w:eastAsia="Times New Roman" w:cs="Times New Roman"/>
          <w:sz w:val="24"/>
          <w:szCs w:val="24"/>
          <w:lang w:eastAsia="pl-PL"/>
        </w:rPr>
        <w:t>i </w:t>
      </w:r>
      <w:r w:rsidR="002C12E1" w:rsidRPr="00833C88">
        <w:rPr>
          <w:rFonts w:eastAsia="Times New Roman" w:cs="Times New Roman"/>
          <w:sz w:val="24"/>
          <w:szCs w:val="24"/>
          <w:lang w:eastAsia="pl-PL"/>
        </w:rPr>
        <w:t>termin ich ponownego zastosowania.</w:t>
      </w:r>
    </w:p>
    <w:p w14:paraId="2EE40108" w14:textId="0724264F" w:rsidR="006742BF" w:rsidRPr="00833C88" w:rsidRDefault="00C972D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art. 59e ust. 5 </w:t>
      </w:r>
      <w:r w:rsidR="000D4C87"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0D4C87" w:rsidRPr="00833C88">
        <w:rPr>
          <w:rFonts w:eastAsia="Times New Roman" w:cs="Times New Roman"/>
          <w:sz w:val="24"/>
          <w:szCs w:val="24"/>
          <w:lang w:eastAsia="pl-PL"/>
        </w:rPr>
        <w:t xml:space="preserve">KSC </w:t>
      </w:r>
      <w:r w:rsidRPr="00833C88">
        <w:rPr>
          <w:rFonts w:eastAsia="Times New Roman" w:cs="Times New Roman"/>
          <w:sz w:val="24"/>
          <w:szCs w:val="24"/>
          <w:lang w:eastAsia="pl-PL"/>
        </w:rPr>
        <w:t xml:space="preserve">organ </w:t>
      </w:r>
      <w:r w:rsidR="00601933" w:rsidRPr="00833C88">
        <w:rPr>
          <w:rFonts w:eastAsia="Times New Roman" w:cs="Times New Roman"/>
          <w:sz w:val="24"/>
          <w:szCs w:val="24"/>
          <w:lang w:eastAsia="pl-PL"/>
        </w:rPr>
        <w:t>z </w:t>
      </w:r>
      <w:r w:rsidR="00FF1E73" w:rsidRPr="00833C88">
        <w:rPr>
          <w:rFonts w:eastAsia="Times New Roman" w:cs="Times New Roman"/>
          <w:sz w:val="24"/>
          <w:szCs w:val="24"/>
          <w:lang w:eastAsia="pl-PL"/>
        </w:rPr>
        <w:t xml:space="preserve">urzędu </w:t>
      </w:r>
      <w:r w:rsidR="00DE02EB" w:rsidRPr="00833C88">
        <w:rPr>
          <w:rFonts w:eastAsia="Times New Roman" w:cs="Times New Roman"/>
          <w:sz w:val="24"/>
          <w:szCs w:val="24"/>
          <w:lang w:eastAsia="pl-PL"/>
        </w:rPr>
        <w:t xml:space="preserve">uchyla decyzję </w:t>
      </w:r>
      <w:r w:rsidR="00601933" w:rsidRPr="00833C88">
        <w:rPr>
          <w:rFonts w:eastAsia="Times New Roman" w:cs="Times New Roman"/>
          <w:sz w:val="24"/>
          <w:szCs w:val="24"/>
          <w:lang w:eastAsia="pl-PL"/>
        </w:rPr>
        <w:t>o </w:t>
      </w:r>
      <w:r w:rsidR="00DE02EB" w:rsidRPr="00833C88">
        <w:rPr>
          <w:rFonts w:eastAsia="Times New Roman" w:cs="Times New Roman"/>
          <w:sz w:val="24"/>
          <w:szCs w:val="24"/>
          <w:lang w:eastAsia="pl-PL"/>
        </w:rPr>
        <w:t xml:space="preserve">zastosowaniu tych </w:t>
      </w:r>
      <w:proofErr w:type="gramStart"/>
      <w:r w:rsidR="00DE02EB" w:rsidRPr="00833C88">
        <w:rPr>
          <w:rFonts w:eastAsia="Times New Roman" w:cs="Times New Roman"/>
          <w:sz w:val="24"/>
          <w:szCs w:val="24"/>
          <w:lang w:eastAsia="pl-PL"/>
        </w:rPr>
        <w:t>środków</w:t>
      </w:r>
      <w:proofErr w:type="gramEnd"/>
      <w:r w:rsidR="00181970" w:rsidRPr="00833C88">
        <w:rPr>
          <w:rFonts w:eastAsia="Times New Roman" w:cs="Times New Roman"/>
          <w:sz w:val="24"/>
          <w:szCs w:val="24"/>
          <w:lang w:eastAsia="pl-PL"/>
        </w:rPr>
        <w:t xml:space="preserve"> </w:t>
      </w:r>
      <w:r w:rsidR="00E4150F" w:rsidRPr="00833C88">
        <w:rPr>
          <w:rFonts w:eastAsia="Times New Roman" w:cs="Times New Roman"/>
          <w:sz w:val="24"/>
          <w:szCs w:val="24"/>
          <w:lang w:eastAsia="pl-PL"/>
        </w:rPr>
        <w:t>jeśli</w:t>
      </w:r>
      <w:r w:rsidR="00FF1E73" w:rsidRPr="00833C88">
        <w:rPr>
          <w:rFonts w:eastAsia="Times New Roman" w:cs="Times New Roman"/>
          <w:sz w:val="24"/>
          <w:szCs w:val="24"/>
          <w:lang w:eastAsia="pl-PL"/>
        </w:rPr>
        <w:t xml:space="preserve"> poweźmie informację</w:t>
      </w:r>
      <w:r w:rsidR="00E23310"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E23310" w:rsidRPr="00833C88">
        <w:rPr>
          <w:rFonts w:eastAsia="Times New Roman" w:cs="Times New Roman"/>
          <w:sz w:val="24"/>
          <w:szCs w:val="24"/>
          <w:lang w:eastAsia="pl-PL"/>
        </w:rPr>
        <w:t>usunięciu uchybień lub zaprzestaniu dokonywania naruszeń przez podmiot kluczowy</w:t>
      </w:r>
      <w:r w:rsidR="00A619B0" w:rsidRPr="00833C88">
        <w:rPr>
          <w:rFonts w:eastAsia="Times New Roman" w:cs="Times New Roman"/>
          <w:sz w:val="24"/>
          <w:szCs w:val="24"/>
          <w:lang w:eastAsia="pl-PL"/>
        </w:rPr>
        <w:t xml:space="preserve"> na skutek</w:t>
      </w:r>
      <w:r w:rsidR="007A74D0" w:rsidRPr="00833C88">
        <w:rPr>
          <w:rFonts w:eastAsia="Times New Roman" w:cs="Times New Roman"/>
          <w:sz w:val="24"/>
          <w:szCs w:val="24"/>
          <w:lang w:eastAsia="pl-PL"/>
        </w:rPr>
        <w:t xml:space="preserve"> np.</w:t>
      </w:r>
      <w:r w:rsidR="00A619B0" w:rsidRPr="00833C88">
        <w:rPr>
          <w:rFonts w:eastAsia="Times New Roman" w:cs="Times New Roman"/>
          <w:sz w:val="24"/>
          <w:szCs w:val="24"/>
          <w:lang w:eastAsia="pl-PL"/>
        </w:rPr>
        <w:t xml:space="preserve"> stosowania innych środków nadzorczych, określonych </w:t>
      </w:r>
      <w:r w:rsidR="00601933" w:rsidRPr="00833C88">
        <w:rPr>
          <w:rFonts w:eastAsia="Times New Roman" w:cs="Times New Roman"/>
          <w:sz w:val="24"/>
          <w:szCs w:val="24"/>
          <w:lang w:eastAsia="pl-PL"/>
        </w:rPr>
        <w:t>w </w:t>
      </w:r>
      <w:r w:rsidR="00A619B0" w:rsidRPr="00833C88">
        <w:rPr>
          <w:rFonts w:eastAsia="Times New Roman" w:cs="Times New Roman"/>
          <w:sz w:val="24"/>
          <w:szCs w:val="24"/>
          <w:lang w:eastAsia="pl-PL"/>
        </w:rPr>
        <w:t xml:space="preserve">art. 53 ust. 1, 4 </w:t>
      </w:r>
      <w:r w:rsidR="00601933" w:rsidRPr="00833C88">
        <w:rPr>
          <w:rFonts w:eastAsia="Times New Roman" w:cs="Times New Roman"/>
          <w:sz w:val="24"/>
          <w:szCs w:val="24"/>
          <w:lang w:eastAsia="pl-PL"/>
        </w:rPr>
        <w:t>i </w:t>
      </w:r>
      <w:r w:rsidR="00A619B0" w:rsidRPr="00833C88">
        <w:rPr>
          <w:rFonts w:eastAsia="Times New Roman" w:cs="Times New Roman"/>
          <w:sz w:val="24"/>
          <w:szCs w:val="24"/>
          <w:lang w:eastAsia="pl-PL"/>
        </w:rPr>
        <w:t>5</w:t>
      </w:r>
      <w:r w:rsidR="000D4C87"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0D4C87" w:rsidRPr="00833C88">
        <w:rPr>
          <w:rFonts w:eastAsia="Times New Roman" w:cs="Times New Roman"/>
          <w:sz w:val="24"/>
          <w:szCs w:val="24"/>
          <w:lang w:eastAsia="pl-PL"/>
        </w:rPr>
        <w:t>KSC</w:t>
      </w:r>
      <w:r w:rsidR="00A619B0" w:rsidRPr="00833C88">
        <w:rPr>
          <w:rFonts w:eastAsia="Times New Roman" w:cs="Times New Roman"/>
          <w:sz w:val="24"/>
          <w:szCs w:val="24"/>
          <w:lang w:eastAsia="pl-PL"/>
        </w:rPr>
        <w:t xml:space="preserve">. Może to nastąpić zatem </w:t>
      </w:r>
      <w:r w:rsidR="00601933" w:rsidRPr="00833C88">
        <w:rPr>
          <w:rFonts w:eastAsia="Times New Roman" w:cs="Times New Roman"/>
          <w:sz w:val="24"/>
          <w:szCs w:val="24"/>
          <w:lang w:eastAsia="pl-PL"/>
        </w:rPr>
        <w:t>w </w:t>
      </w:r>
      <w:r w:rsidR="00A619B0" w:rsidRPr="00833C88">
        <w:rPr>
          <w:rFonts w:eastAsia="Times New Roman" w:cs="Times New Roman"/>
          <w:sz w:val="24"/>
          <w:szCs w:val="24"/>
          <w:lang w:eastAsia="pl-PL"/>
        </w:rPr>
        <w:t xml:space="preserve">szczególności </w:t>
      </w:r>
      <w:r w:rsidR="00601933" w:rsidRPr="00833C88">
        <w:rPr>
          <w:rFonts w:eastAsia="Times New Roman" w:cs="Times New Roman"/>
          <w:sz w:val="24"/>
          <w:szCs w:val="24"/>
          <w:lang w:eastAsia="pl-PL"/>
        </w:rPr>
        <w:t>w </w:t>
      </w:r>
      <w:r w:rsidR="00A619B0" w:rsidRPr="00833C88">
        <w:rPr>
          <w:rFonts w:eastAsia="Times New Roman" w:cs="Times New Roman"/>
          <w:sz w:val="24"/>
          <w:szCs w:val="24"/>
          <w:lang w:eastAsia="pl-PL"/>
        </w:rPr>
        <w:t>wyniku kontroli doraźnej lub kontroli na zasadach ogólnych.</w:t>
      </w:r>
    </w:p>
    <w:p w14:paraId="0D83183A" w14:textId="334789EA" w:rsidR="00A619B0"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Z </w:t>
      </w:r>
      <w:r w:rsidR="007A53E1" w:rsidRPr="00833C88">
        <w:rPr>
          <w:rFonts w:eastAsia="Times New Roman" w:cs="Times New Roman"/>
          <w:sz w:val="24"/>
          <w:szCs w:val="24"/>
          <w:lang w:eastAsia="pl-PL"/>
        </w:rPr>
        <w:t>uwagi na tymczasowość tych środków oraz określenie procedury weryfikacji</w:t>
      </w:r>
      <w:r w:rsidR="00B96676" w:rsidRPr="00833C88">
        <w:rPr>
          <w:rFonts w:eastAsia="Times New Roman" w:cs="Times New Roman"/>
          <w:sz w:val="24"/>
          <w:szCs w:val="24"/>
          <w:lang w:eastAsia="pl-PL"/>
        </w:rPr>
        <w:t xml:space="preserve"> zasadności </w:t>
      </w:r>
      <w:r w:rsidR="00BE2964" w:rsidRPr="00833C88">
        <w:rPr>
          <w:rFonts w:eastAsia="Times New Roman" w:cs="Times New Roman"/>
          <w:sz w:val="24"/>
          <w:szCs w:val="24"/>
          <w:lang w:eastAsia="pl-PL"/>
        </w:rPr>
        <w:t>ich</w:t>
      </w:r>
      <w:r w:rsidR="00B96676" w:rsidRPr="00833C88">
        <w:rPr>
          <w:rFonts w:eastAsia="Times New Roman" w:cs="Times New Roman"/>
          <w:sz w:val="24"/>
          <w:szCs w:val="24"/>
          <w:lang w:eastAsia="pl-PL"/>
        </w:rPr>
        <w:t xml:space="preserve"> dalszego stosowania, możliwości uchylenia</w:t>
      </w:r>
      <w:r w:rsidR="00CC4D8E" w:rsidRPr="00833C88">
        <w:rPr>
          <w:rFonts w:eastAsia="Times New Roman" w:cs="Times New Roman"/>
          <w:sz w:val="24"/>
          <w:szCs w:val="24"/>
          <w:lang w:eastAsia="pl-PL"/>
        </w:rPr>
        <w:t>,</w:t>
      </w:r>
      <w:r w:rsidR="00B96676" w:rsidRPr="00833C88">
        <w:rPr>
          <w:rFonts w:eastAsia="Times New Roman" w:cs="Times New Roman"/>
          <w:sz w:val="24"/>
          <w:szCs w:val="24"/>
          <w:lang w:eastAsia="pl-PL"/>
        </w:rPr>
        <w:t xml:space="preserve"> zarówno </w:t>
      </w:r>
      <w:r w:rsidRPr="00833C88">
        <w:rPr>
          <w:rFonts w:eastAsia="Times New Roman" w:cs="Times New Roman"/>
          <w:sz w:val="24"/>
          <w:szCs w:val="24"/>
          <w:lang w:eastAsia="pl-PL"/>
        </w:rPr>
        <w:t>z </w:t>
      </w:r>
      <w:r w:rsidR="00B96676" w:rsidRPr="00833C88">
        <w:rPr>
          <w:rFonts w:eastAsia="Times New Roman" w:cs="Times New Roman"/>
          <w:sz w:val="24"/>
          <w:szCs w:val="24"/>
          <w:lang w:eastAsia="pl-PL"/>
        </w:rPr>
        <w:t xml:space="preserve">urzędu jak </w:t>
      </w:r>
      <w:r w:rsidRPr="00833C88">
        <w:rPr>
          <w:rFonts w:eastAsia="Times New Roman" w:cs="Times New Roman"/>
          <w:sz w:val="24"/>
          <w:szCs w:val="24"/>
          <w:lang w:eastAsia="pl-PL"/>
        </w:rPr>
        <w:t>i </w:t>
      </w:r>
      <w:r w:rsidR="00B96676" w:rsidRPr="00833C88">
        <w:rPr>
          <w:rFonts w:eastAsia="Times New Roman" w:cs="Times New Roman"/>
          <w:sz w:val="24"/>
          <w:szCs w:val="24"/>
          <w:lang w:eastAsia="pl-PL"/>
        </w:rPr>
        <w:t>na wniosek</w:t>
      </w:r>
      <w:r w:rsidR="00CC4D8E" w:rsidRPr="00833C88">
        <w:rPr>
          <w:rFonts w:eastAsia="Times New Roman" w:cs="Times New Roman"/>
          <w:sz w:val="24"/>
          <w:szCs w:val="24"/>
          <w:lang w:eastAsia="pl-PL"/>
        </w:rPr>
        <w:t>,</w:t>
      </w:r>
      <w:r w:rsidR="00E805F1" w:rsidRPr="00833C88">
        <w:rPr>
          <w:rFonts w:eastAsia="Times New Roman" w:cs="Times New Roman"/>
          <w:sz w:val="24"/>
          <w:szCs w:val="24"/>
          <w:lang w:eastAsia="pl-PL"/>
        </w:rPr>
        <w:t xml:space="preserve"> </w:t>
      </w:r>
      <w:r w:rsidR="00192550" w:rsidRPr="00833C88">
        <w:rPr>
          <w:rFonts w:eastAsia="Times New Roman" w:cs="Times New Roman"/>
          <w:sz w:val="24"/>
          <w:szCs w:val="24"/>
          <w:lang w:eastAsia="pl-PL"/>
        </w:rPr>
        <w:t>postępowanie ma charakter jednoinstancyjny. Od decyzji przysługiwać będzie natomiast skarga do sądu administracyjnego.</w:t>
      </w:r>
      <w:r w:rsidR="00D55684" w:rsidRPr="00833C88">
        <w:rPr>
          <w:rFonts w:eastAsia="Times New Roman" w:cs="Times New Roman"/>
          <w:sz w:val="24"/>
          <w:szCs w:val="24"/>
          <w:lang w:eastAsia="pl-PL"/>
        </w:rPr>
        <w:t xml:space="preserve"> </w:t>
      </w:r>
    </w:p>
    <w:p w14:paraId="26D42A83" w14:textId="69EB68DE" w:rsidR="003A2710" w:rsidRPr="00833C88" w:rsidRDefault="00630E9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 xml:space="preserve">Organy właściwe do spraw cyberbezpieczeństwa obowiązane będą do publikowania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swoim </w:t>
      </w:r>
      <w:r w:rsidR="00F34453" w:rsidRPr="00833C88">
        <w:rPr>
          <w:rFonts w:eastAsia="Times New Roman" w:cs="Times New Roman"/>
          <w:sz w:val="24"/>
          <w:szCs w:val="24"/>
          <w:lang w:eastAsia="pl-PL"/>
        </w:rPr>
        <w:t>BIP</w:t>
      </w:r>
      <w:r w:rsidRPr="00833C88">
        <w:rPr>
          <w:rFonts w:eastAsia="Times New Roman" w:cs="Times New Roman"/>
          <w:sz w:val="24"/>
          <w:szCs w:val="24"/>
          <w:lang w:eastAsia="pl-PL"/>
        </w:rPr>
        <w:t xml:space="preserve"> informacji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zastosowaniu wobec podmiotu kluczowego</w:t>
      </w:r>
      <w:r w:rsidR="001B7BBD" w:rsidRPr="00833C88">
        <w:rPr>
          <w:rFonts w:eastAsia="Times New Roman" w:cs="Times New Roman"/>
          <w:sz w:val="24"/>
          <w:szCs w:val="24"/>
          <w:lang w:eastAsia="pl-PL"/>
        </w:rPr>
        <w:t xml:space="preserve"> lub</w:t>
      </w:r>
      <w:r w:rsidRPr="00833C88">
        <w:rPr>
          <w:rFonts w:eastAsia="Times New Roman" w:cs="Times New Roman"/>
          <w:sz w:val="24"/>
          <w:szCs w:val="24"/>
          <w:lang w:eastAsia="pl-PL"/>
        </w:rPr>
        <w:t xml:space="preserve"> kierownika podmiotu kluczowego </w:t>
      </w:r>
      <w:r w:rsidR="00BD6DA6" w:rsidRPr="00833C88">
        <w:rPr>
          <w:rFonts w:eastAsia="Times New Roman" w:cs="Times New Roman"/>
          <w:sz w:val="24"/>
          <w:szCs w:val="24"/>
          <w:lang w:eastAsia="pl-PL"/>
        </w:rPr>
        <w:t xml:space="preserve">środków określonych </w:t>
      </w:r>
      <w:r w:rsidR="00601933" w:rsidRPr="00833C88">
        <w:rPr>
          <w:rFonts w:eastAsia="Times New Roman" w:cs="Times New Roman"/>
          <w:sz w:val="24"/>
          <w:szCs w:val="24"/>
          <w:lang w:eastAsia="pl-PL"/>
        </w:rPr>
        <w:t>w </w:t>
      </w:r>
      <w:r w:rsidR="00BD6DA6" w:rsidRPr="00833C88">
        <w:rPr>
          <w:rFonts w:eastAsia="Times New Roman" w:cs="Times New Roman"/>
          <w:sz w:val="24"/>
          <w:szCs w:val="24"/>
          <w:lang w:eastAsia="pl-PL"/>
        </w:rPr>
        <w:t>art. 53 ust. 9</w:t>
      </w:r>
      <w:r w:rsidR="000D4C87"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0D4C87" w:rsidRPr="00833C88">
        <w:rPr>
          <w:rFonts w:eastAsia="Times New Roman" w:cs="Times New Roman"/>
          <w:sz w:val="24"/>
          <w:szCs w:val="24"/>
          <w:lang w:eastAsia="pl-PL"/>
        </w:rPr>
        <w:t>KSC</w:t>
      </w:r>
      <w:r w:rsidR="00BD6DA6"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BD6DA6" w:rsidRPr="00833C88">
        <w:rPr>
          <w:rFonts w:eastAsia="Times New Roman" w:cs="Times New Roman"/>
          <w:sz w:val="24"/>
          <w:szCs w:val="24"/>
          <w:lang w:eastAsia="pl-PL"/>
        </w:rPr>
        <w:t>zastrzeżeniem, że</w:t>
      </w:r>
      <w:r w:rsidR="001A275A" w:rsidRPr="00833C88">
        <w:rPr>
          <w:rFonts w:eastAsia="Times New Roman" w:cs="Times New Roman"/>
          <w:sz w:val="24"/>
          <w:szCs w:val="24"/>
          <w:lang w:eastAsia="pl-PL"/>
        </w:rPr>
        <w:t> </w:t>
      </w:r>
      <w:r w:rsidR="007A1DC7" w:rsidRPr="00833C88">
        <w:rPr>
          <w:rFonts w:eastAsia="Times New Roman" w:cs="Times New Roman"/>
          <w:sz w:val="24"/>
          <w:szCs w:val="24"/>
          <w:lang w:eastAsia="pl-PL"/>
        </w:rPr>
        <w:t>publikacja nie obejmuje tajemnicy przedsiębiorstwa, jak również innych informacji podlegających ochronie na podstawie odrębnych przepisów.</w:t>
      </w:r>
      <w:r w:rsidR="0082464C" w:rsidRPr="00833C88">
        <w:rPr>
          <w:rFonts w:eastAsia="Times New Roman" w:cs="Times New Roman"/>
          <w:sz w:val="24"/>
          <w:szCs w:val="24"/>
          <w:lang w:eastAsia="pl-PL"/>
        </w:rPr>
        <w:t xml:space="preserve"> Rozumieć przez to należy</w:t>
      </w:r>
      <w:r w:rsidR="004C1B66" w:rsidRPr="00833C88">
        <w:rPr>
          <w:rFonts w:eastAsia="Times New Roman" w:cs="Times New Roman"/>
          <w:sz w:val="24"/>
          <w:szCs w:val="24"/>
          <w:lang w:eastAsia="pl-PL"/>
        </w:rPr>
        <w:t xml:space="preserve"> przede wszystkim</w:t>
      </w:r>
      <w:r w:rsidR="0082464C" w:rsidRPr="00833C88">
        <w:rPr>
          <w:rFonts w:eastAsia="Times New Roman" w:cs="Times New Roman"/>
          <w:sz w:val="24"/>
          <w:szCs w:val="24"/>
          <w:lang w:eastAsia="pl-PL"/>
        </w:rPr>
        <w:t xml:space="preserve"> inne rodzaje tajemnic, takie jak tajemnice państwowe i służbo</w:t>
      </w:r>
      <w:r w:rsidR="004C1B66" w:rsidRPr="00833C88">
        <w:rPr>
          <w:rFonts w:eastAsia="Times New Roman" w:cs="Times New Roman"/>
          <w:sz w:val="24"/>
          <w:szCs w:val="24"/>
          <w:lang w:eastAsia="pl-PL"/>
        </w:rPr>
        <w:t>we, tajemnice zawodowe czy techniczne.</w:t>
      </w:r>
      <w:r w:rsidR="004F36B2" w:rsidRPr="00833C88">
        <w:rPr>
          <w:rFonts w:eastAsia="Times New Roman" w:cs="Times New Roman"/>
          <w:sz w:val="24"/>
          <w:szCs w:val="24"/>
          <w:lang w:eastAsia="pl-PL"/>
        </w:rPr>
        <w:t xml:space="preserve"> </w:t>
      </w:r>
      <w:r w:rsidR="00EF1977" w:rsidRPr="00833C88">
        <w:rPr>
          <w:rFonts w:eastAsia="Times New Roman" w:cs="Times New Roman"/>
          <w:sz w:val="24"/>
          <w:szCs w:val="24"/>
          <w:lang w:eastAsia="pl-PL"/>
        </w:rPr>
        <w:t xml:space="preserve">Publikowana będzie także informacja </w:t>
      </w:r>
      <w:r w:rsidR="00601933" w:rsidRPr="00833C88">
        <w:rPr>
          <w:rFonts w:eastAsia="Times New Roman" w:cs="Times New Roman"/>
          <w:sz w:val="24"/>
          <w:szCs w:val="24"/>
          <w:lang w:eastAsia="pl-PL"/>
        </w:rPr>
        <w:t>o </w:t>
      </w:r>
      <w:r w:rsidR="00EF1977" w:rsidRPr="00833C88">
        <w:rPr>
          <w:rFonts w:eastAsia="Times New Roman" w:cs="Times New Roman"/>
          <w:sz w:val="24"/>
          <w:szCs w:val="24"/>
          <w:lang w:eastAsia="pl-PL"/>
        </w:rPr>
        <w:t xml:space="preserve">uchyleniu </w:t>
      </w:r>
      <w:r w:rsidR="001460FD" w:rsidRPr="00833C88">
        <w:rPr>
          <w:rFonts w:eastAsia="Times New Roman" w:cs="Times New Roman"/>
          <w:sz w:val="24"/>
          <w:szCs w:val="24"/>
          <w:lang w:eastAsia="pl-PL"/>
        </w:rPr>
        <w:t xml:space="preserve">decyzji </w:t>
      </w:r>
      <w:r w:rsidR="00601933" w:rsidRPr="00833C88">
        <w:rPr>
          <w:rFonts w:eastAsia="Times New Roman" w:cs="Times New Roman"/>
          <w:sz w:val="24"/>
          <w:szCs w:val="24"/>
          <w:lang w:eastAsia="pl-PL"/>
        </w:rPr>
        <w:t>w </w:t>
      </w:r>
      <w:r w:rsidR="001460FD" w:rsidRPr="00833C88">
        <w:rPr>
          <w:rFonts w:eastAsia="Times New Roman" w:cs="Times New Roman"/>
          <w:sz w:val="24"/>
          <w:szCs w:val="24"/>
          <w:lang w:eastAsia="pl-PL"/>
        </w:rPr>
        <w:t xml:space="preserve">przedmiocie </w:t>
      </w:r>
      <w:r w:rsidR="00EF1977" w:rsidRPr="00833C88">
        <w:rPr>
          <w:rFonts w:eastAsia="Times New Roman" w:cs="Times New Roman"/>
          <w:sz w:val="24"/>
          <w:szCs w:val="24"/>
          <w:lang w:eastAsia="pl-PL"/>
        </w:rPr>
        <w:t xml:space="preserve">stosowania środka. </w:t>
      </w:r>
      <w:r w:rsidR="008A064E" w:rsidRPr="00833C88">
        <w:rPr>
          <w:rFonts w:eastAsia="Times New Roman" w:cs="Times New Roman"/>
          <w:sz w:val="24"/>
          <w:szCs w:val="24"/>
          <w:lang w:eastAsia="pl-PL"/>
        </w:rPr>
        <w:t xml:space="preserve">Celem publikowania informacji </w:t>
      </w:r>
      <w:r w:rsidR="00601933" w:rsidRPr="00833C88">
        <w:rPr>
          <w:rFonts w:eastAsia="Times New Roman" w:cs="Times New Roman"/>
          <w:sz w:val="24"/>
          <w:szCs w:val="24"/>
          <w:lang w:eastAsia="pl-PL"/>
        </w:rPr>
        <w:t>w </w:t>
      </w:r>
      <w:r w:rsidR="008A064E" w:rsidRPr="00833C88">
        <w:rPr>
          <w:rFonts w:eastAsia="Times New Roman" w:cs="Times New Roman"/>
          <w:sz w:val="24"/>
          <w:szCs w:val="24"/>
          <w:lang w:eastAsia="pl-PL"/>
        </w:rPr>
        <w:t xml:space="preserve">BIP jest zapewnienie transparentności </w:t>
      </w:r>
      <w:r w:rsidR="00601933" w:rsidRPr="00833C88">
        <w:rPr>
          <w:rFonts w:eastAsia="Times New Roman" w:cs="Times New Roman"/>
          <w:sz w:val="24"/>
          <w:szCs w:val="24"/>
          <w:lang w:eastAsia="pl-PL"/>
        </w:rPr>
        <w:t>i </w:t>
      </w:r>
      <w:r w:rsidR="003A4B5F" w:rsidRPr="00833C88">
        <w:rPr>
          <w:rFonts w:eastAsia="Times New Roman" w:cs="Times New Roman"/>
          <w:sz w:val="24"/>
          <w:szCs w:val="24"/>
          <w:lang w:eastAsia="pl-PL"/>
        </w:rPr>
        <w:t>pewności obrotu.</w:t>
      </w:r>
    </w:p>
    <w:p w14:paraId="73329939" w14:textId="2E42AA49" w:rsidR="001460FD" w:rsidRPr="00833C88" w:rsidRDefault="000A490F" w:rsidP="000D43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Podkreślenia wymaga, że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okresie stosowania środka,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art. 53</w:t>
      </w:r>
      <w:r w:rsidR="00FB3C12" w:rsidRPr="00833C88">
        <w:rPr>
          <w:rFonts w:eastAsia="Times New Roman" w:cs="Times New Roman"/>
          <w:sz w:val="24"/>
          <w:szCs w:val="24"/>
          <w:lang w:eastAsia="pl-PL"/>
        </w:rPr>
        <w:t xml:space="preserve"> ust. 9</w:t>
      </w:r>
      <w:r w:rsidR="000D4C87"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0D4C87" w:rsidRPr="00833C88">
        <w:rPr>
          <w:rFonts w:eastAsia="Times New Roman" w:cs="Times New Roman"/>
          <w:sz w:val="24"/>
          <w:szCs w:val="24"/>
          <w:lang w:eastAsia="pl-PL"/>
        </w:rPr>
        <w:t>KSC,</w:t>
      </w:r>
      <w:r w:rsidR="00FB3C12" w:rsidRPr="00833C88">
        <w:rPr>
          <w:rFonts w:eastAsia="Times New Roman" w:cs="Times New Roman"/>
          <w:sz w:val="24"/>
          <w:szCs w:val="24"/>
          <w:lang w:eastAsia="pl-PL"/>
        </w:rPr>
        <w:t xml:space="preserve"> podmiot kluczowy</w:t>
      </w:r>
      <w:r w:rsidR="002F0AAE" w:rsidRPr="00833C88">
        <w:rPr>
          <w:rFonts w:eastAsia="Times New Roman" w:cs="Times New Roman"/>
          <w:sz w:val="24"/>
          <w:szCs w:val="24"/>
          <w:lang w:eastAsia="pl-PL"/>
        </w:rPr>
        <w:t xml:space="preserve"> nie może wykonywać żadnej działalności</w:t>
      </w:r>
      <w:r w:rsidR="00BA4921" w:rsidRPr="00833C88">
        <w:rPr>
          <w:rFonts w:eastAsia="Times New Roman" w:cs="Times New Roman"/>
          <w:sz w:val="24"/>
          <w:szCs w:val="24"/>
          <w:lang w:eastAsia="pl-PL"/>
        </w:rPr>
        <w:t xml:space="preserve">, której środek dotyczy. Przykładowo – jeśli zastosowany wobec podmiotu kluczowego środek dotyczy tymczasowego wstrzymania koncesji, oznacza to, że podmiot kluczowy nie może wykonywać działalności, której ta koncesja dotyczy. </w:t>
      </w:r>
      <w:r w:rsidR="00401CE0" w:rsidRPr="00833C88">
        <w:rPr>
          <w:rFonts w:eastAsia="Times New Roman" w:cs="Times New Roman"/>
          <w:sz w:val="24"/>
          <w:szCs w:val="24"/>
          <w:lang w:eastAsia="pl-PL"/>
        </w:rPr>
        <w:t>Należy traktować podmiot tak, jak by tej koncesji nie miał. Tym</w:t>
      </w:r>
      <w:r w:rsidR="002300D1" w:rsidRPr="00833C88">
        <w:rPr>
          <w:rFonts w:eastAsia="Times New Roman" w:cs="Times New Roman"/>
          <w:sz w:val="24"/>
          <w:szCs w:val="24"/>
          <w:lang w:eastAsia="pl-PL"/>
        </w:rPr>
        <w:t> </w:t>
      </w:r>
      <w:r w:rsidR="00401CE0" w:rsidRPr="00833C88">
        <w:rPr>
          <w:rFonts w:eastAsia="Times New Roman" w:cs="Times New Roman"/>
          <w:sz w:val="24"/>
          <w:szCs w:val="24"/>
          <w:lang w:eastAsia="pl-PL"/>
        </w:rPr>
        <w:t>samym każda działalność podmiotu wykonywana podczas obowiązywania środka</w:t>
      </w:r>
      <w:r w:rsidR="008A21B2" w:rsidRPr="00833C88">
        <w:rPr>
          <w:rFonts w:eastAsia="Times New Roman" w:cs="Times New Roman"/>
          <w:sz w:val="24"/>
          <w:szCs w:val="24"/>
          <w:lang w:eastAsia="pl-PL"/>
        </w:rPr>
        <w:t xml:space="preserve"> i</w:t>
      </w:r>
      <w:r w:rsidR="002300D1" w:rsidRPr="00833C88">
        <w:rPr>
          <w:rFonts w:eastAsia="Times New Roman" w:cs="Times New Roman"/>
          <w:sz w:val="24"/>
          <w:szCs w:val="24"/>
          <w:lang w:eastAsia="pl-PL"/>
        </w:rPr>
        <w:t> </w:t>
      </w:r>
      <w:r w:rsidR="008A21B2" w:rsidRPr="00833C88">
        <w:rPr>
          <w:rFonts w:eastAsia="Times New Roman" w:cs="Times New Roman"/>
          <w:sz w:val="24"/>
          <w:szCs w:val="24"/>
          <w:lang w:eastAsia="pl-PL"/>
        </w:rPr>
        <w:t>wbrew temu środkowi będzie uznawana za prowadzenie działalności bez koncesji. Jednocześnie podmiot kluczowy</w:t>
      </w:r>
      <w:r w:rsidR="00321D17" w:rsidRPr="00833C88">
        <w:rPr>
          <w:rFonts w:eastAsia="Times New Roman" w:cs="Times New Roman"/>
          <w:sz w:val="24"/>
          <w:szCs w:val="24"/>
          <w:lang w:eastAsia="pl-PL"/>
        </w:rPr>
        <w:t xml:space="preserve"> </w:t>
      </w:r>
      <w:r w:rsidR="00FB3C12" w:rsidRPr="00833C88">
        <w:rPr>
          <w:rFonts w:eastAsia="Times New Roman" w:cs="Times New Roman"/>
          <w:sz w:val="24"/>
          <w:szCs w:val="24"/>
          <w:lang w:eastAsia="pl-PL"/>
        </w:rPr>
        <w:t>ma obowiązek niezwłocznie podjąć działania zmierzające</w:t>
      </w:r>
      <w:r w:rsidR="008A21B2" w:rsidRPr="00833C88">
        <w:rPr>
          <w:rFonts w:eastAsia="Times New Roman" w:cs="Times New Roman"/>
          <w:sz w:val="24"/>
          <w:szCs w:val="24"/>
          <w:lang w:eastAsia="pl-PL"/>
        </w:rPr>
        <w:t xml:space="preserve"> jedynie</w:t>
      </w:r>
      <w:r w:rsidR="00FB3C12" w:rsidRPr="00833C88">
        <w:rPr>
          <w:rFonts w:eastAsia="Times New Roman" w:cs="Times New Roman"/>
          <w:sz w:val="24"/>
          <w:szCs w:val="24"/>
          <w:lang w:eastAsia="pl-PL"/>
        </w:rPr>
        <w:t xml:space="preserve"> do</w:t>
      </w:r>
      <w:r w:rsidR="002300D1" w:rsidRPr="00833C88">
        <w:rPr>
          <w:rFonts w:eastAsia="Times New Roman" w:cs="Times New Roman"/>
          <w:sz w:val="24"/>
          <w:szCs w:val="24"/>
          <w:lang w:eastAsia="pl-PL"/>
        </w:rPr>
        <w:t> </w:t>
      </w:r>
      <w:r w:rsidR="00FB3C12" w:rsidRPr="00833C88">
        <w:rPr>
          <w:rFonts w:eastAsia="Times New Roman" w:cs="Times New Roman"/>
          <w:sz w:val="24"/>
          <w:szCs w:val="24"/>
          <w:lang w:eastAsia="pl-PL"/>
        </w:rPr>
        <w:t xml:space="preserve">usunięcia uchybień bądź zaprzestania naruszeń. </w:t>
      </w:r>
      <w:r w:rsidR="00601933" w:rsidRPr="00833C88">
        <w:rPr>
          <w:rFonts w:eastAsia="Times New Roman" w:cs="Times New Roman"/>
          <w:sz w:val="24"/>
          <w:szCs w:val="24"/>
          <w:lang w:eastAsia="pl-PL"/>
        </w:rPr>
        <w:t>W </w:t>
      </w:r>
      <w:r w:rsidR="00FE4BD3" w:rsidRPr="00833C88">
        <w:rPr>
          <w:rFonts w:eastAsia="Times New Roman" w:cs="Times New Roman"/>
          <w:sz w:val="24"/>
          <w:szCs w:val="24"/>
          <w:lang w:eastAsia="pl-PL"/>
        </w:rPr>
        <w:t xml:space="preserve">tym celu może </w:t>
      </w:r>
      <w:r w:rsidR="00601933" w:rsidRPr="00833C88">
        <w:rPr>
          <w:rFonts w:eastAsia="Times New Roman" w:cs="Times New Roman"/>
          <w:sz w:val="24"/>
          <w:szCs w:val="24"/>
          <w:lang w:eastAsia="pl-PL"/>
        </w:rPr>
        <w:t>w </w:t>
      </w:r>
      <w:r w:rsidR="00FE4BD3" w:rsidRPr="00833C88">
        <w:rPr>
          <w:rFonts w:eastAsia="Times New Roman" w:cs="Times New Roman"/>
          <w:sz w:val="24"/>
          <w:szCs w:val="24"/>
          <w:lang w:eastAsia="pl-PL"/>
        </w:rPr>
        <w:t xml:space="preserve">szczególności </w:t>
      </w:r>
      <w:r w:rsidR="001B7BBD" w:rsidRPr="00833C88">
        <w:rPr>
          <w:rFonts w:eastAsia="Times New Roman" w:cs="Times New Roman"/>
          <w:sz w:val="24"/>
          <w:szCs w:val="24"/>
          <w:lang w:eastAsia="pl-PL"/>
        </w:rPr>
        <w:t xml:space="preserve">składać oświadczenia woli </w:t>
      </w:r>
      <w:r w:rsidR="00601933" w:rsidRPr="00833C88">
        <w:rPr>
          <w:rFonts w:eastAsia="Times New Roman" w:cs="Times New Roman"/>
          <w:sz w:val="24"/>
          <w:szCs w:val="24"/>
          <w:lang w:eastAsia="pl-PL"/>
        </w:rPr>
        <w:t>i </w:t>
      </w:r>
      <w:r w:rsidR="001B7BBD" w:rsidRPr="00833C88">
        <w:rPr>
          <w:rFonts w:eastAsia="Times New Roman" w:cs="Times New Roman"/>
          <w:sz w:val="24"/>
          <w:szCs w:val="24"/>
          <w:lang w:eastAsia="pl-PL"/>
        </w:rPr>
        <w:t xml:space="preserve">wiedzy, podejmować czynności procesowe </w:t>
      </w:r>
      <w:r w:rsidR="00601933" w:rsidRPr="00833C88">
        <w:rPr>
          <w:rFonts w:eastAsia="Times New Roman" w:cs="Times New Roman"/>
          <w:sz w:val="24"/>
          <w:szCs w:val="24"/>
          <w:lang w:eastAsia="pl-PL"/>
        </w:rPr>
        <w:t>w </w:t>
      </w:r>
      <w:r w:rsidR="001B7BBD" w:rsidRPr="00833C88">
        <w:rPr>
          <w:rFonts w:eastAsia="Times New Roman" w:cs="Times New Roman"/>
          <w:sz w:val="24"/>
          <w:szCs w:val="24"/>
          <w:lang w:eastAsia="pl-PL"/>
        </w:rPr>
        <w:t>postępowaniach, przedsiębrać czynności faktyczne</w:t>
      </w:r>
      <w:r w:rsidR="00FE4BD3" w:rsidRPr="00833C88">
        <w:rPr>
          <w:rFonts w:eastAsia="Times New Roman" w:cs="Times New Roman"/>
          <w:sz w:val="24"/>
          <w:szCs w:val="24"/>
          <w:lang w:eastAsia="pl-PL"/>
        </w:rPr>
        <w:t xml:space="preserve">, jeżeli nie stoją one </w:t>
      </w:r>
      <w:r w:rsidR="00601933" w:rsidRPr="00833C88">
        <w:rPr>
          <w:rFonts w:eastAsia="Times New Roman" w:cs="Times New Roman"/>
          <w:sz w:val="24"/>
          <w:szCs w:val="24"/>
          <w:lang w:eastAsia="pl-PL"/>
        </w:rPr>
        <w:t>w </w:t>
      </w:r>
      <w:r w:rsidR="00FE4BD3" w:rsidRPr="00833C88">
        <w:rPr>
          <w:rFonts w:eastAsia="Times New Roman" w:cs="Times New Roman"/>
          <w:sz w:val="24"/>
          <w:szCs w:val="24"/>
          <w:lang w:eastAsia="pl-PL"/>
        </w:rPr>
        <w:t xml:space="preserve">sprzeczności </w:t>
      </w:r>
      <w:r w:rsidR="00601933" w:rsidRPr="00833C88">
        <w:rPr>
          <w:rFonts w:eastAsia="Times New Roman" w:cs="Times New Roman"/>
          <w:sz w:val="24"/>
          <w:szCs w:val="24"/>
          <w:lang w:eastAsia="pl-PL"/>
        </w:rPr>
        <w:t>z </w:t>
      </w:r>
      <w:r w:rsidR="00FE4BD3" w:rsidRPr="00833C88">
        <w:rPr>
          <w:rFonts w:eastAsia="Times New Roman" w:cs="Times New Roman"/>
          <w:sz w:val="24"/>
          <w:szCs w:val="24"/>
          <w:lang w:eastAsia="pl-PL"/>
        </w:rPr>
        <w:t>celem stosowanego środka lub nie zmierzają do jego obejścia.</w:t>
      </w:r>
      <w:r w:rsidR="00EB69B8" w:rsidRPr="00833C88">
        <w:rPr>
          <w:rFonts w:eastAsia="Times New Roman" w:cs="Times New Roman"/>
          <w:sz w:val="24"/>
          <w:szCs w:val="24"/>
          <w:lang w:eastAsia="pl-PL"/>
        </w:rPr>
        <w:t xml:space="preserve"> Związane jest to </w:t>
      </w:r>
      <w:r w:rsidR="00601933" w:rsidRPr="00833C88">
        <w:rPr>
          <w:rFonts w:eastAsia="Times New Roman" w:cs="Times New Roman"/>
          <w:sz w:val="24"/>
          <w:szCs w:val="24"/>
          <w:lang w:eastAsia="pl-PL"/>
        </w:rPr>
        <w:t>z </w:t>
      </w:r>
      <w:r w:rsidR="00EB69B8" w:rsidRPr="00833C88">
        <w:rPr>
          <w:rFonts w:eastAsia="Times New Roman" w:cs="Times New Roman"/>
          <w:sz w:val="24"/>
          <w:szCs w:val="24"/>
          <w:lang w:eastAsia="pl-PL"/>
        </w:rPr>
        <w:t xml:space="preserve">faktem, że wstrzymanie działalności gospodarczej </w:t>
      </w:r>
      <w:r w:rsidR="00601933" w:rsidRPr="00833C88">
        <w:rPr>
          <w:rFonts w:eastAsia="Times New Roman" w:cs="Times New Roman"/>
          <w:sz w:val="24"/>
          <w:szCs w:val="24"/>
          <w:lang w:eastAsia="pl-PL"/>
        </w:rPr>
        <w:t>w </w:t>
      </w:r>
      <w:r w:rsidR="00EB69B8" w:rsidRPr="00833C88">
        <w:rPr>
          <w:rFonts w:eastAsia="Times New Roman" w:cs="Times New Roman"/>
          <w:sz w:val="24"/>
          <w:szCs w:val="24"/>
          <w:lang w:eastAsia="pl-PL"/>
        </w:rPr>
        <w:t xml:space="preserve">rozumieniu ustawy </w:t>
      </w:r>
      <w:r w:rsidR="00601933" w:rsidRPr="00833C88">
        <w:rPr>
          <w:rFonts w:eastAsia="Times New Roman" w:cs="Times New Roman"/>
          <w:sz w:val="24"/>
          <w:szCs w:val="24"/>
          <w:lang w:eastAsia="pl-PL"/>
        </w:rPr>
        <w:t>o </w:t>
      </w:r>
      <w:r w:rsidR="00354FB3" w:rsidRPr="00833C88">
        <w:rPr>
          <w:rFonts w:eastAsia="Times New Roman" w:cs="Times New Roman"/>
          <w:sz w:val="24"/>
          <w:szCs w:val="24"/>
          <w:lang w:eastAsia="pl-PL"/>
        </w:rPr>
        <w:t>KSC</w:t>
      </w:r>
      <w:r w:rsidR="00EB69B8" w:rsidRPr="00833C88">
        <w:rPr>
          <w:rFonts w:eastAsia="Times New Roman" w:cs="Times New Roman"/>
          <w:sz w:val="24"/>
          <w:szCs w:val="24"/>
          <w:lang w:eastAsia="pl-PL"/>
        </w:rPr>
        <w:t xml:space="preserve"> nie jest równoznaczne </w:t>
      </w:r>
      <w:r w:rsidR="00601933" w:rsidRPr="00833C88">
        <w:rPr>
          <w:rFonts w:eastAsia="Times New Roman" w:cs="Times New Roman"/>
          <w:sz w:val="24"/>
          <w:szCs w:val="24"/>
          <w:lang w:eastAsia="pl-PL"/>
        </w:rPr>
        <w:t>w </w:t>
      </w:r>
      <w:r w:rsidR="00EB69B8" w:rsidRPr="00833C88">
        <w:rPr>
          <w:rFonts w:eastAsia="Times New Roman" w:cs="Times New Roman"/>
          <w:sz w:val="24"/>
          <w:szCs w:val="24"/>
          <w:lang w:eastAsia="pl-PL"/>
        </w:rPr>
        <w:t xml:space="preserve">skutkach </w:t>
      </w:r>
      <w:r w:rsidR="00601933" w:rsidRPr="00833C88">
        <w:rPr>
          <w:rFonts w:eastAsia="Times New Roman" w:cs="Times New Roman"/>
          <w:sz w:val="24"/>
          <w:szCs w:val="24"/>
          <w:lang w:eastAsia="pl-PL"/>
        </w:rPr>
        <w:t>z </w:t>
      </w:r>
      <w:r w:rsidR="00EB69B8" w:rsidRPr="00833C88">
        <w:rPr>
          <w:rFonts w:eastAsia="Times New Roman" w:cs="Times New Roman"/>
          <w:sz w:val="24"/>
          <w:szCs w:val="24"/>
          <w:lang w:eastAsia="pl-PL"/>
        </w:rPr>
        <w:t>zawieszeniem działalności gospodarczej</w:t>
      </w:r>
      <w:r w:rsidR="00BA5BE4" w:rsidRPr="00833C88">
        <w:rPr>
          <w:rFonts w:eastAsia="Times New Roman" w:cs="Times New Roman"/>
          <w:sz w:val="24"/>
          <w:szCs w:val="24"/>
          <w:lang w:eastAsia="pl-PL"/>
        </w:rPr>
        <w:t>, która dokonywana może być na wniosek przedsiębiorcy na podstawie ustawy</w:t>
      </w:r>
      <w:r w:rsidR="000D434E" w:rsidRPr="00833C88">
        <w:rPr>
          <w:rFonts w:eastAsia="Times New Roman" w:cs="Times New Roman"/>
          <w:sz w:val="24"/>
          <w:szCs w:val="24"/>
          <w:lang w:eastAsia="pl-PL"/>
        </w:rPr>
        <w:t xml:space="preserve"> z dnia 6 marca 2018 r. </w:t>
      </w:r>
      <w:r w:rsidR="00BA5BE4" w:rsidRPr="00833C88">
        <w:rPr>
          <w:rFonts w:eastAsia="Times New Roman" w:cs="Times New Roman"/>
          <w:sz w:val="24"/>
          <w:szCs w:val="24"/>
          <w:lang w:eastAsia="pl-PL"/>
        </w:rPr>
        <w:t xml:space="preserve">– Prawo </w:t>
      </w:r>
      <w:r w:rsidR="00354FB3" w:rsidRPr="00833C88">
        <w:rPr>
          <w:rFonts w:eastAsia="Times New Roman" w:cs="Times New Roman"/>
          <w:sz w:val="24"/>
          <w:szCs w:val="24"/>
          <w:lang w:eastAsia="pl-PL"/>
        </w:rPr>
        <w:t>p</w:t>
      </w:r>
      <w:r w:rsidR="00BD00E2" w:rsidRPr="00833C88">
        <w:rPr>
          <w:rFonts w:eastAsia="Times New Roman" w:cs="Times New Roman"/>
          <w:sz w:val="24"/>
          <w:szCs w:val="24"/>
          <w:lang w:eastAsia="pl-PL"/>
        </w:rPr>
        <w:t>rzedsiębiorców</w:t>
      </w:r>
      <w:r w:rsidR="00181970" w:rsidRPr="00833C88">
        <w:rPr>
          <w:rFonts w:eastAsia="Times New Roman" w:cs="Times New Roman"/>
          <w:sz w:val="24"/>
          <w:szCs w:val="24"/>
          <w:lang w:eastAsia="pl-PL"/>
        </w:rPr>
        <w:t>.</w:t>
      </w:r>
      <w:r w:rsidR="00321D17" w:rsidRPr="00833C88" w:rsidDel="00321D17">
        <w:rPr>
          <w:rFonts w:eastAsia="Times New Roman" w:cs="Times New Roman"/>
          <w:sz w:val="24"/>
          <w:szCs w:val="24"/>
          <w:lang w:eastAsia="pl-PL"/>
        </w:rPr>
        <w:t xml:space="preserve"> </w:t>
      </w:r>
      <w:r w:rsidR="000B6592" w:rsidRPr="00833C88">
        <w:rPr>
          <w:rFonts w:eastAsia="Times New Roman" w:cs="Times New Roman"/>
          <w:sz w:val="24"/>
          <w:szCs w:val="24"/>
          <w:lang w:eastAsia="pl-PL"/>
        </w:rPr>
        <w:t xml:space="preserve">Wstrzymanie działalności nie oznacza, że podmiot kluczowy nie może podejmować żadnych działań związanych </w:t>
      </w:r>
      <w:r w:rsidR="00601933" w:rsidRPr="00833C88">
        <w:rPr>
          <w:rFonts w:eastAsia="Times New Roman" w:cs="Times New Roman"/>
          <w:sz w:val="24"/>
          <w:szCs w:val="24"/>
          <w:lang w:eastAsia="pl-PL"/>
        </w:rPr>
        <w:t>z </w:t>
      </w:r>
      <w:r w:rsidR="000B6592" w:rsidRPr="00833C88">
        <w:rPr>
          <w:rFonts w:eastAsia="Times New Roman" w:cs="Times New Roman"/>
          <w:sz w:val="24"/>
          <w:szCs w:val="24"/>
          <w:lang w:eastAsia="pl-PL"/>
        </w:rPr>
        <w:t>działalnością.</w:t>
      </w:r>
      <w:r w:rsidR="00A22AC7" w:rsidRPr="00833C88">
        <w:rPr>
          <w:rFonts w:eastAsia="Times New Roman" w:cs="Times New Roman"/>
          <w:sz w:val="24"/>
          <w:szCs w:val="24"/>
          <w:lang w:eastAsia="pl-PL"/>
        </w:rPr>
        <w:t xml:space="preserve"> Niekiedy do naprawienia naruszeń czy zaprzestania </w:t>
      </w:r>
      <w:r w:rsidR="0073478F" w:rsidRPr="00833C88">
        <w:rPr>
          <w:rFonts w:eastAsia="Times New Roman" w:cs="Times New Roman"/>
          <w:sz w:val="24"/>
          <w:szCs w:val="24"/>
          <w:lang w:eastAsia="pl-PL"/>
        </w:rPr>
        <w:t xml:space="preserve">dopuszczania się </w:t>
      </w:r>
      <w:r w:rsidR="00A22AC7" w:rsidRPr="00833C88">
        <w:rPr>
          <w:rFonts w:eastAsia="Times New Roman" w:cs="Times New Roman"/>
          <w:sz w:val="24"/>
          <w:szCs w:val="24"/>
          <w:lang w:eastAsia="pl-PL"/>
        </w:rPr>
        <w:t>uchybień konieczne będzie np. zawarcie bądź rozwiązanie jakiejś umowy.</w:t>
      </w:r>
      <w:r w:rsidR="000B6592" w:rsidRPr="00833C88">
        <w:rPr>
          <w:rFonts w:eastAsia="Times New Roman" w:cs="Times New Roman"/>
          <w:sz w:val="24"/>
          <w:szCs w:val="24"/>
          <w:lang w:eastAsia="pl-PL"/>
        </w:rPr>
        <w:t xml:space="preserve"> </w:t>
      </w:r>
      <w:r w:rsidR="00F03CD9" w:rsidRPr="00833C88">
        <w:rPr>
          <w:rFonts w:eastAsia="Times New Roman" w:cs="Times New Roman"/>
          <w:sz w:val="24"/>
          <w:szCs w:val="24"/>
          <w:lang w:eastAsia="pl-PL"/>
        </w:rPr>
        <w:t>Przyjęcie odmiennego stanowiska skutkowałoby brakiem realizacji celu stosowania środka nadzorczego or</w:t>
      </w:r>
      <w:r w:rsidR="00806751" w:rsidRPr="00833C88">
        <w:rPr>
          <w:rFonts w:eastAsia="Times New Roman" w:cs="Times New Roman"/>
          <w:sz w:val="24"/>
          <w:szCs w:val="24"/>
          <w:lang w:eastAsia="pl-PL"/>
        </w:rPr>
        <w:t>az nadrzędnego celu dyrektyw</w:t>
      </w:r>
      <w:r w:rsidR="006160D9" w:rsidRPr="00833C88">
        <w:rPr>
          <w:rFonts w:eastAsia="Times New Roman" w:cs="Times New Roman"/>
          <w:sz w:val="24"/>
          <w:szCs w:val="24"/>
          <w:lang w:eastAsia="pl-PL"/>
        </w:rPr>
        <w:t>y</w:t>
      </w:r>
      <w:r w:rsidR="00806751" w:rsidRPr="00833C88">
        <w:rPr>
          <w:rFonts w:eastAsia="Times New Roman" w:cs="Times New Roman"/>
          <w:sz w:val="24"/>
          <w:szCs w:val="24"/>
          <w:lang w:eastAsia="pl-PL"/>
        </w:rPr>
        <w:t xml:space="preserve"> NIS 2 </w:t>
      </w:r>
      <w:r w:rsidR="00601933" w:rsidRPr="00833C88">
        <w:rPr>
          <w:rFonts w:eastAsia="Times New Roman" w:cs="Times New Roman"/>
          <w:sz w:val="24"/>
          <w:szCs w:val="24"/>
          <w:lang w:eastAsia="pl-PL"/>
        </w:rPr>
        <w:t>i </w:t>
      </w:r>
      <w:r w:rsidR="00806751" w:rsidRPr="00833C88">
        <w:rPr>
          <w:rFonts w:eastAsia="Times New Roman" w:cs="Times New Roman"/>
          <w:sz w:val="24"/>
          <w:szCs w:val="24"/>
          <w:lang w:eastAsia="pl-PL"/>
        </w:rPr>
        <w:t>ustaw</w:t>
      </w:r>
      <w:r w:rsidR="006160D9" w:rsidRPr="00833C88">
        <w:rPr>
          <w:rFonts w:eastAsia="Times New Roman" w:cs="Times New Roman"/>
          <w:sz w:val="24"/>
          <w:szCs w:val="24"/>
          <w:lang w:eastAsia="pl-PL"/>
        </w:rPr>
        <w:t>y</w:t>
      </w:r>
      <w:r w:rsidR="00806751"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61116F" w:rsidRPr="00833C88">
        <w:rPr>
          <w:rFonts w:eastAsia="Times New Roman" w:cs="Times New Roman"/>
          <w:sz w:val="24"/>
          <w:szCs w:val="24"/>
          <w:lang w:eastAsia="pl-PL"/>
        </w:rPr>
        <w:t>KSC</w:t>
      </w:r>
      <w:r w:rsidR="00806751" w:rsidRPr="00833C88">
        <w:rPr>
          <w:rFonts w:eastAsia="Times New Roman" w:cs="Times New Roman"/>
          <w:sz w:val="24"/>
          <w:szCs w:val="24"/>
          <w:lang w:eastAsia="pl-PL"/>
        </w:rPr>
        <w:t>. Możliwe będzie zatem podejmowanie działań</w:t>
      </w:r>
      <w:r w:rsidR="000C711E" w:rsidRPr="00833C88">
        <w:rPr>
          <w:rFonts w:eastAsia="Times New Roman" w:cs="Times New Roman"/>
          <w:sz w:val="24"/>
          <w:szCs w:val="24"/>
          <w:lang w:eastAsia="pl-PL"/>
        </w:rPr>
        <w:t xml:space="preserve">, które mają doprowadzić do </w:t>
      </w:r>
      <w:r w:rsidR="00C829CF" w:rsidRPr="00833C88">
        <w:rPr>
          <w:rFonts w:eastAsia="Times New Roman" w:cs="Times New Roman"/>
          <w:sz w:val="24"/>
          <w:szCs w:val="24"/>
          <w:lang w:eastAsia="pl-PL"/>
        </w:rPr>
        <w:t>usunięcia uchybień bądź zaprzestania naruszeń</w:t>
      </w:r>
      <w:r w:rsidR="001A6FC0" w:rsidRPr="00833C88">
        <w:rPr>
          <w:rFonts w:eastAsia="Times New Roman" w:cs="Times New Roman"/>
          <w:sz w:val="24"/>
          <w:szCs w:val="24"/>
          <w:lang w:eastAsia="pl-PL"/>
        </w:rPr>
        <w:t xml:space="preserve">. </w:t>
      </w:r>
      <w:r w:rsidR="002D7790" w:rsidRPr="00833C88">
        <w:rPr>
          <w:rFonts w:eastAsia="Times New Roman" w:cs="Times New Roman"/>
          <w:sz w:val="24"/>
          <w:szCs w:val="24"/>
          <w:lang w:eastAsia="pl-PL"/>
        </w:rPr>
        <w:t>Podejmowanie tych działań</w:t>
      </w:r>
      <w:r w:rsidR="006B708E" w:rsidRPr="00833C88">
        <w:rPr>
          <w:rFonts w:eastAsia="Times New Roman" w:cs="Times New Roman"/>
          <w:sz w:val="24"/>
          <w:szCs w:val="24"/>
          <w:lang w:eastAsia="pl-PL"/>
        </w:rPr>
        <w:t xml:space="preserve"> będzie jednak możliw</w:t>
      </w:r>
      <w:r w:rsidR="001C12B9" w:rsidRPr="00833C88">
        <w:rPr>
          <w:rFonts w:eastAsia="Times New Roman" w:cs="Times New Roman"/>
          <w:sz w:val="24"/>
          <w:szCs w:val="24"/>
          <w:lang w:eastAsia="pl-PL"/>
        </w:rPr>
        <w:t>e</w:t>
      </w:r>
      <w:r w:rsidR="006B708E" w:rsidRPr="00833C88">
        <w:rPr>
          <w:rFonts w:eastAsia="Times New Roman" w:cs="Times New Roman"/>
          <w:sz w:val="24"/>
          <w:szCs w:val="24"/>
          <w:lang w:eastAsia="pl-PL"/>
        </w:rPr>
        <w:t xml:space="preserve"> wyłącznie wtedy, jeżeli nie stoi </w:t>
      </w:r>
      <w:r w:rsidR="00601933" w:rsidRPr="00833C88">
        <w:rPr>
          <w:rFonts w:eastAsia="Times New Roman" w:cs="Times New Roman"/>
          <w:sz w:val="24"/>
          <w:szCs w:val="24"/>
          <w:lang w:eastAsia="pl-PL"/>
        </w:rPr>
        <w:t>w </w:t>
      </w:r>
      <w:r w:rsidR="006B708E" w:rsidRPr="00833C88">
        <w:rPr>
          <w:rFonts w:eastAsia="Times New Roman" w:cs="Times New Roman"/>
          <w:sz w:val="24"/>
          <w:szCs w:val="24"/>
          <w:lang w:eastAsia="pl-PL"/>
        </w:rPr>
        <w:t xml:space="preserve">sprzeczności </w:t>
      </w:r>
      <w:r w:rsidR="00601933" w:rsidRPr="00833C88">
        <w:rPr>
          <w:rFonts w:eastAsia="Times New Roman" w:cs="Times New Roman"/>
          <w:sz w:val="24"/>
          <w:szCs w:val="24"/>
          <w:lang w:eastAsia="pl-PL"/>
        </w:rPr>
        <w:t>z </w:t>
      </w:r>
      <w:r w:rsidR="006B708E" w:rsidRPr="00833C88">
        <w:rPr>
          <w:rFonts w:eastAsia="Times New Roman" w:cs="Times New Roman"/>
          <w:sz w:val="24"/>
          <w:szCs w:val="24"/>
          <w:lang w:eastAsia="pl-PL"/>
        </w:rPr>
        <w:t xml:space="preserve">celem stosowanego środka lub nie zmierza do jego obejścia. To zastrzeżenie </w:t>
      </w:r>
      <w:r w:rsidR="00CF36D6" w:rsidRPr="00833C88">
        <w:rPr>
          <w:rFonts w:eastAsia="Times New Roman" w:cs="Times New Roman"/>
          <w:sz w:val="24"/>
          <w:szCs w:val="24"/>
          <w:lang w:eastAsia="pl-PL"/>
        </w:rPr>
        <w:t xml:space="preserve">gwarantuje, że podmiot kluczowy nie będzie świadczył usług (wynikających </w:t>
      </w:r>
      <w:r w:rsidR="00601933" w:rsidRPr="00833C88">
        <w:rPr>
          <w:rFonts w:eastAsia="Times New Roman" w:cs="Times New Roman"/>
          <w:sz w:val="24"/>
          <w:szCs w:val="24"/>
          <w:lang w:eastAsia="pl-PL"/>
        </w:rPr>
        <w:t>z </w:t>
      </w:r>
      <w:r w:rsidR="00CF36D6" w:rsidRPr="00833C88">
        <w:rPr>
          <w:rFonts w:eastAsia="Times New Roman" w:cs="Times New Roman"/>
          <w:sz w:val="24"/>
          <w:szCs w:val="24"/>
          <w:lang w:eastAsia="pl-PL"/>
        </w:rPr>
        <w:t xml:space="preserve">zobowiązania </w:t>
      </w:r>
      <w:r w:rsidR="00CF36D6" w:rsidRPr="00833C88">
        <w:rPr>
          <w:rFonts w:eastAsia="Times New Roman" w:cs="Times New Roman"/>
          <w:sz w:val="24"/>
          <w:szCs w:val="24"/>
          <w:lang w:eastAsia="pl-PL"/>
        </w:rPr>
        <w:lastRenderedPageBreak/>
        <w:t>podmiotu)</w:t>
      </w:r>
      <w:r w:rsidR="00483B2F" w:rsidRPr="00833C88">
        <w:rPr>
          <w:rFonts w:eastAsia="Times New Roman" w:cs="Times New Roman"/>
          <w:sz w:val="24"/>
          <w:szCs w:val="24"/>
          <w:lang w:eastAsia="pl-PL"/>
        </w:rPr>
        <w:t xml:space="preserve"> pomimo zastosowanego środka nadzorczego </w:t>
      </w:r>
      <w:r w:rsidR="00601933" w:rsidRPr="00833C88">
        <w:rPr>
          <w:rFonts w:eastAsia="Times New Roman" w:cs="Times New Roman"/>
          <w:sz w:val="24"/>
          <w:szCs w:val="24"/>
          <w:lang w:eastAsia="pl-PL"/>
        </w:rPr>
        <w:t>w </w:t>
      </w:r>
      <w:r w:rsidR="00483B2F" w:rsidRPr="00833C88">
        <w:rPr>
          <w:rFonts w:eastAsia="Times New Roman" w:cs="Times New Roman"/>
          <w:sz w:val="24"/>
          <w:szCs w:val="24"/>
          <w:lang w:eastAsia="pl-PL"/>
        </w:rPr>
        <w:t>postaci wstrzymania działalności gospodarczej</w:t>
      </w:r>
      <w:r w:rsidR="002D690F" w:rsidRPr="00833C88">
        <w:rPr>
          <w:rFonts w:eastAsia="Times New Roman" w:cs="Times New Roman"/>
          <w:sz w:val="24"/>
          <w:szCs w:val="24"/>
          <w:lang w:eastAsia="pl-PL"/>
        </w:rPr>
        <w:t xml:space="preserve">, </w:t>
      </w:r>
      <w:proofErr w:type="gramStart"/>
      <w:r w:rsidR="002D690F" w:rsidRPr="00833C88">
        <w:rPr>
          <w:rFonts w:eastAsia="Times New Roman" w:cs="Times New Roman"/>
          <w:sz w:val="24"/>
          <w:szCs w:val="24"/>
          <w:lang w:eastAsia="pl-PL"/>
        </w:rPr>
        <w:t>koncesji</w:t>
      </w:r>
      <w:r w:rsidR="005C28EE" w:rsidRPr="00833C88">
        <w:rPr>
          <w:rFonts w:eastAsia="Times New Roman" w:cs="Times New Roman"/>
          <w:sz w:val="24"/>
          <w:szCs w:val="24"/>
          <w:lang w:eastAsia="pl-PL"/>
        </w:rPr>
        <w:t>,</w:t>
      </w:r>
      <w:proofErr w:type="gramEnd"/>
      <w:r w:rsidR="005C28EE" w:rsidRPr="00833C88">
        <w:rPr>
          <w:rFonts w:eastAsia="Times New Roman" w:cs="Times New Roman"/>
          <w:sz w:val="24"/>
          <w:szCs w:val="24"/>
          <w:lang w:eastAsia="pl-PL"/>
        </w:rPr>
        <w:t xml:space="preserve"> czy zezwolenia</w:t>
      </w:r>
      <w:r w:rsidR="00483B2F" w:rsidRPr="00833C88">
        <w:rPr>
          <w:rFonts w:eastAsia="Times New Roman" w:cs="Times New Roman"/>
          <w:sz w:val="24"/>
          <w:szCs w:val="24"/>
          <w:lang w:eastAsia="pl-PL"/>
        </w:rPr>
        <w:t>.</w:t>
      </w:r>
    </w:p>
    <w:p w14:paraId="13201FB9" w14:textId="756167C3" w:rsidR="00F71E0C"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6F1C90" w:rsidRPr="00833C88">
        <w:rPr>
          <w:rFonts w:eastAsia="Times New Roman" w:cs="Times New Roman"/>
          <w:sz w:val="24"/>
          <w:szCs w:val="24"/>
          <w:lang w:eastAsia="pl-PL"/>
        </w:rPr>
        <w:t xml:space="preserve">zakresie nieuregulowanym zastosowanie mają przepisy odrębne, </w:t>
      </w:r>
      <w:r w:rsidR="00942930" w:rsidRPr="00833C88">
        <w:rPr>
          <w:rFonts w:eastAsia="Times New Roman" w:cs="Times New Roman"/>
          <w:sz w:val="24"/>
          <w:szCs w:val="24"/>
          <w:lang w:eastAsia="pl-PL"/>
        </w:rPr>
        <w:t xml:space="preserve">właściwe dla danego rodzaju koncesji, </w:t>
      </w:r>
      <w:proofErr w:type="gramStart"/>
      <w:r w:rsidR="00942930" w:rsidRPr="00833C88">
        <w:rPr>
          <w:rFonts w:eastAsia="Times New Roman" w:cs="Times New Roman"/>
          <w:sz w:val="24"/>
          <w:szCs w:val="24"/>
          <w:lang w:eastAsia="pl-PL"/>
        </w:rPr>
        <w:t>zezwolenia</w:t>
      </w:r>
      <w:r w:rsidR="009267CB" w:rsidRPr="00833C88">
        <w:rPr>
          <w:rFonts w:eastAsia="Times New Roman" w:cs="Times New Roman"/>
          <w:sz w:val="24"/>
          <w:szCs w:val="24"/>
          <w:lang w:eastAsia="pl-PL"/>
        </w:rPr>
        <w:t>,</w:t>
      </w:r>
      <w:proofErr w:type="gramEnd"/>
      <w:r w:rsidR="00942930" w:rsidRPr="00833C88">
        <w:rPr>
          <w:rFonts w:eastAsia="Times New Roman" w:cs="Times New Roman"/>
          <w:sz w:val="24"/>
          <w:szCs w:val="24"/>
          <w:lang w:eastAsia="pl-PL"/>
        </w:rPr>
        <w:t xml:space="preserve"> czy rodzaju działalności gospodarczej.</w:t>
      </w:r>
      <w:r w:rsidR="003B4597" w:rsidRPr="00833C88">
        <w:rPr>
          <w:rFonts w:eastAsia="Times New Roman" w:cs="Times New Roman"/>
          <w:sz w:val="24"/>
          <w:szCs w:val="24"/>
          <w:lang w:eastAsia="pl-PL"/>
        </w:rPr>
        <w:t xml:space="preserve"> Związane jest to z </w:t>
      </w:r>
      <w:r w:rsidR="00445F65" w:rsidRPr="00833C88">
        <w:rPr>
          <w:rFonts w:eastAsia="Times New Roman" w:cs="Times New Roman"/>
          <w:sz w:val="24"/>
          <w:szCs w:val="24"/>
          <w:lang w:eastAsia="pl-PL"/>
        </w:rPr>
        <w:t xml:space="preserve">liczbą i zróżnicowaniem sektorów, które podlegać mogą pod </w:t>
      </w:r>
      <w:r w:rsidR="00D57DEF" w:rsidRPr="00833C88">
        <w:rPr>
          <w:rFonts w:eastAsia="Times New Roman" w:cs="Times New Roman"/>
          <w:sz w:val="24"/>
          <w:szCs w:val="24"/>
          <w:lang w:eastAsia="pl-PL"/>
        </w:rPr>
        <w:t xml:space="preserve">odrębne przepisy związane z koncesjami bądź zezwoleniami. </w:t>
      </w:r>
      <w:r w:rsidR="0042083B" w:rsidRPr="00833C88">
        <w:rPr>
          <w:rFonts w:eastAsia="Times New Roman" w:cs="Times New Roman"/>
          <w:sz w:val="24"/>
          <w:szCs w:val="24"/>
          <w:lang w:eastAsia="pl-PL"/>
        </w:rPr>
        <w:t xml:space="preserve">Koncesje mogą być </w:t>
      </w:r>
      <w:r w:rsidR="00F443E8" w:rsidRPr="00833C88">
        <w:rPr>
          <w:rFonts w:eastAsia="Times New Roman" w:cs="Times New Roman"/>
          <w:sz w:val="24"/>
          <w:szCs w:val="24"/>
          <w:lang w:eastAsia="pl-PL"/>
        </w:rPr>
        <w:t>związane np. z działalnością energetyczną (dystrybucja energii elektrycznej, obrót energią elektryczną, dystrybucja paliw gazowych, wytwarzanie ciepła itp.)</w:t>
      </w:r>
      <w:r w:rsidR="00700424" w:rsidRPr="00833C88">
        <w:rPr>
          <w:rFonts w:eastAsia="Times New Roman" w:cs="Times New Roman"/>
          <w:sz w:val="24"/>
          <w:szCs w:val="24"/>
          <w:lang w:eastAsia="pl-PL"/>
        </w:rPr>
        <w:t xml:space="preserve">, czy działalnością górniczą. W tym zakresie należy odpowiednio stosować np. </w:t>
      </w:r>
      <w:r w:rsidR="007C683A" w:rsidRPr="00833C88">
        <w:rPr>
          <w:rFonts w:eastAsia="Times New Roman" w:cs="Times New Roman"/>
          <w:sz w:val="24"/>
          <w:szCs w:val="24"/>
          <w:lang w:eastAsia="pl-PL"/>
        </w:rPr>
        <w:t>ustawę z dnia 9 czerwca 2011 r. – Prawo geologiczne i górnicze</w:t>
      </w:r>
      <w:r w:rsidR="00A416AD" w:rsidRPr="00833C88">
        <w:rPr>
          <w:rFonts w:eastAsia="Times New Roman" w:cs="Times New Roman"/>
          <w:sz w:val="24"/>
          <w:szCs w:val="24"/>
          <w:lang w:eastAsia="pl-PL"/>
        </w:rPr>
        <w:t xml:space="preserve"> lub ustawę z dnia 10 kwietnia 1997 r. – Prawo energetyczne.</w:t>
      </w:r>
    </w:p>
    <w:p w14:paraId="38750CA7" w14:textId="45380D49" w:rsidR="00181970" w:rsidRPr="00833C88" w:rsidRDefault="0018197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Podkreślenia wymaga również, że wstrzymanie całości albo części działalności obejmuje swoim zakresem usługi świadczone przez podmiot. Na podstawie art. 53 ust. 9</w:t>
      </w:r>
      <w:r w:rsidR="000D4C87"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0D4C87" w:rsidRPr="00833C88">
        <w:rPr>
          <w:rFonts w:eastAsia="Times New Roman" w:cs="Times New Roman"/>
          <w:sz w:val="24"/>
          <w:szCs w:val="24"/>
          <w:lang w:eastAsia="pl-PL"/>
        </w:rPr>
        <w:t>KSC</w:t>
      </w:r>
      <w:r w:rsidRPr="00833C88">
        <w:rPr>
          <w:rFonts w:eastAsia="Times New Roman" w:cs="Times New Roman"/>
          <w:sz w:val="24"/>
          <w:szCs w:val="24"/>
          <w:lang w:eastAsia="pl-PL"/>
        </w:rPr>
        <w:t xml:space="preserve"> organ właściwy do spraw cyberbezpieczeństwa może zatem wstrzymać część usług podmiotu kluczowego, np. tylko jedną – jeśli uzna to za uzasadnione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wystarczające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konkretnym przypadku.</w:t>
      </w:r>
    </w:p>
    <w:p w14:paraId="361AC065" w14:textId="28D1680D"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Organ nie wybiera środka egzekwowania przepisów czy środka nadzoru na zasadzie dobrowolności.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tego względu proponuje się, aby organ właściwy do spraw cyberbezpieczeństwa</w:t>
      </w:r>
      <w:r w:rsidR="00591CFC" w:rsidRPr="00833C88">
        <w:rPr>
          <w:rFonts w:eastAsia="Times New Roman" w:cs="Times New Roman"/>
          <w:sz w:val="24"/>
          <w:szCs w:val="24"/>
          <w:lang w:eastAsia="pl-PL"/>
        </w:rPr>
        <w:t>,</w:t>
      </w:r>
      <w:r w:rsidRPr="00833C88">
        <w:rPr>
          <w:rFonts w:eastAsia="Times New Roman" w:cs="Times New Roman"/>
          <w:sz w:val="24"/>
          <w:szCs w:val="24"/>
          <w:lang w:eastAsia="pl-PL"/>
        </w:rPr>
        <w:t xml:space="preserve"> dokonując wyboru określonego środka</w:t>
      </w:r>
      <w:r w:rsidR="00591CFC" w:rsidRPr="00833C88">
        <w:rPr>
          <w:rFonts w:eastAsia="Times New Roman" w:cs="Times New Roman"/>
          <w:sz w:val="24"/>
          <w:szCs w:val="24"/>
          <w:lang w:eastAsia="pl-PL"/>
        </w:rPr>
        <w:t>,</w:t>
      </w:r>
      <w:r w:rsidRPr="00833C88">
        <w:rPr>
          <w:rFonts w:eastAsia="Times New Roman" w:cs="Times New Roman"/>
          <w:sz w:val="24"/>
          <w:szCs w:val="24"/>
          <w:lang w:eastAsia="pl-PL"/>
        </w:rPr>
        <w:t xml:space="preserve"> brał pod uwagę m.in. wagę naruszenia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znaczenie naruszonych przepisów, czas trwania naruszenia, istotne wcześniejsze naruszenia, spowodowane szkody majątkowe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niemajątkowe, umyślny lub nieumyślny charakter czynu, środki zastosowane przez podmiot</w:t>
      </w:r>
      <w:r w:rsidR="00170B74" w:rsidRPr="00833C88">
        <w:rPr>
          <w:rFonts w:eastAsia="Times New Roman" w:cs="Times New Roman"/>
          <w:sz w:val="24"/>
          <w:szCs w:val="24"/>
          <w:lang w:eastAsia="pl-PL"/>
        </w:rPr>
        <w:t>,</w:t>
      </w:r>
      <w:r w:rsidRPr="00833C88">
        <w:rPr>
          <w:rFonts w:eastAsia="Times New Roman" w:cs="Times New Roman"/>
          <w:sz w:val="24"/>
          <w:szCs w:val="24"/>
          <w:lang w:eastAsia="pl-PL"/>
        </w:rPr>
        <w:t xml:space="preserve"> aby zapobiec szkodom majątkowym i</w:t>
      </w:r>
      <w:r w:rsidR="00BE2629" w:rsidRPr="00833C88">
        <w:rPr>
          <w:rFonts w:eastAsia="Times New Roman" w:cs="Times New Roman"/>
          <w:sz w:val="24"/>
          <w:szCs w:val="24"/>
          <w:lang w:eastAsia="pl-PL"/>
        </w:rPr>
        <w:t> </w:t>
      </w:r>
      <w:r w:rsidRPr="00833C88">
        <w:rPr>
          <w:rFonts w:eastAsia="Times New Roman" w:cs="Times New Roman"/>
          <w:sz w:val="24"/>
          <w:szCs w:val="24"/>
          <w:lang w:eastAsia="pl-PL"/>
        </w:rPr>
        <w:t xml:space="preserve">niemajątkowym lub je ograniczyć, stopień współpracy podmiotu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organami właściwymi do</w:t>
      </w:r>
      <w:r w:rsidR="00C84AD5" w:rsidRPr="00833C88">
        <w:rPr>
          <w:rFonts w:eastAsia="Times New Roman" w:cs="Times New Roman"/>
          <w:sz w:val="24"/>
          <w:szCs w:val="24"/>
          <w:lang w:eastAsia="pl-PL"/>
        </w:rPr>
        <w:t> </w:t>
      </w:r>
      <w:r w:rsidRPr="00833C88">
        <w:rPr>
          <w:rFonts w:eastAsia="Times New Roman" w:cs="Times New Roman"/>
          <w:sz w:val="24"/>
          <w:szCs w:val="24"/>
          <w:lang w:eastAsia="pl-PL"/>
        </w:rPr>
        <w:t>spraw cyberbezpieczeństwa.</w:t>
      </w:r>
    </w:p>
    <w:p w14:paraId="3B53A11B" w14:textId="2E12CBED"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Wskazać również należy, że podmioty kluczowe objęte są kompleksowym systemem nadzoru </w:t>
      </w:r>
      <w:r w:rsidRPr="00833C88">
        <w:rPr>
          <w:rFonts w:eastAsia="Times New Roman" w:cs="Times New Roman"/>
          <w:i/>
          <w:iCs/>
          <w:sz w:val="24"/>
          <w:szCs w:val="24"/>
          <w:lang w:eastAsia="pl-PL"/>
        </w:rPr>
        <w:t xml:space="preserve">ex </w:t>
      </w:r>
      <w:proofErr w:type="spellStart"/>
      <w:r w:rsidRPr="00833C88">
        <w:rPr>
          <w:rFonts w:eastAsia="Times New Roman" w:cs="Times New Roman"/>
          <w:i/>
          <w:iCs/>
          <w:sz w:val="24"/>
          <w:szCs w:val="24"/>
          <w:lang w:eastAsia="pl-PL"/>
        </w:rPr>
        <w:t>ante</w:t>
      </w:r>
      <w:proofErr w:type="spellEnd"/>
      <w:r w:rsidRPr="00833C88">
        <w:rPr>
          <w:rFonts w:eastAsia="Times New Roman" w:cs="Times New Roman"/>
          <w:sz w:val="24"/>
          <w:szCs w:val="24"/>
          <w:lang w:eastAsia="pl-PL"/>
        </w:rPr>
        <w:t xml:space="preserve"> (prewencyjnym)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e</w:t>
      </w:r>
      <w:r w:rsidRPr="00833C88">
        <w:rPr>
          <w:rFonts w:eastAsia="Times New Roman" w:cs="Times New Roman"/>
          <w:i/>
          <w:iCs/>
          <w:sz w:val="24"/>
          <w:szCs w:val="24"/>
          <w:lang w:eastAsia="pl-PL"/>
        </w:rPr>
        <w:t xml:space="preserve">x post </w:t>
      </w:r>
      <w:r w:rsidRPr="00833C88">
        <w:rPr>
          <w:rFonts w:eastAsia="Times New Roman" w:cs="Times New Roman"/>
          <w:sz w:val="24"/>
          <w:szCs w:val="24"/>
          <w:lang w:eastAsia="pl-PL"/>
        </w:rPr>
        <w:t xml:space="preserve">(następczym),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podmioty ważne uproszczonym systemem nadzoru – </w:t>
      </w:r>
      <w:r w:rsidRPr="00833C88">
        <w:rPr>
          <w:rFonts w:eastAsia="Times New Roman" w:cs="Times New Roman"/>
          <w:i/>
          <w:iCs/>
          <w:sz w:val="24"/>
          <w:szCs w:val="24"/>
          <w:lang w:eastAsia="pl-PL"/>
        </w:rPr>
        <w:t xml:space="preserve">ex post </w:t>
      </w:r>
      <w:r w:rsidRPr="00833C88">
        <w:rPr>
          <w:rFonts w:eastAsia="Times New Roman" w:cs="Times New Roman"/>
          <w:sz w:val="24"/>
          <w:szCs w:val="24"/>
          <w:lang w:eastAsia="pl-PL"/>
        </w:rPr>
        <w:t xml:space="preserve">– co wynika przede wszystkim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odmiennej roli jaką pełnią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systemie cyberbezpieczeństwa. Oznacza to zatem, że podmioty kluczowe podlegają nadzorowi prewencyjnemu </w:t>
      </w:r>
      <w:r w:rsidR="00601933" w:rsidRPr="00833C88">
        <w:rPr>
          <w:rFonts w:eastAsia="Times New Roman" w:cs="Times New Roman"/>
          <w:sz w:val="24"/>
          <w:szCs w:val="24"/>
          <w:lang w:eastAsia="pl-PL"/>
        </w:rPr>
        <w:t>i </w:t>
      </w:r>
      <w:proofErr w:type="gramStart"/>
      <w:r w:rsidRPr="00833C88">
        <w:rPr>
          <w:rFonts w:eastAsia="Times New Roman" w:cs="Times New Roman"/>
          <w:sz w:val="24"/>
          <w:szCs w:val="24"/>
          <w:lang w:eastAsia="pl-PL"/>
        </w:rPr>
        <w:t>następczemu</w:t>
      </w:r>
      <w:proofErr w:type="gramEnd"/>
      <w:r w:rsidRPr="00833C88">
        <w:rPr>
          <w:rFonts w:eastAsia="Times New Roman" w:cs="Times New Roman"/>
          <w:sz w:val="24"/>
          <w:szCs w:val="24"/>
          <w:lang w:eastAsia="pl-PL"/>
        </w:rPr>
        <w:t xml:space="preserve"> aby zapewnić, że podmioty kluczowe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świadczone przez nich usługi spełniają wymogi określone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niniejszej ustawie.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przypadku podmiotów ważnych nadzór został zawężony do nadzoru następczego,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oparciu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podejście reaktywne. Może być on uruchamiany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przypadku podejrzenia, że zachodzi możliwość naruszenia przepisów niniejszej ustawy. Jak wskazano wyżej, takie podejrzenie może być wynikiem uzyskania przez </w:t>
      </w:r>
      <w:r w:rsidRPr="00833C88">
        <w:rPr>
          <w:rFonts w:eastAsia="Times New Roman" w:cs="Times New Roman"/>
          <w:sz w:val="24"/>
          <w:szCs w:val="24"/>
          <w:lang w:eastAsia="pl-PL"/>
        </w:rPr>
        <w:lastRenderedPageBreak/>
        <w:t xml:space="preserve">organ właściwy do spraw cyberbezpieczeństwa dowodów, wskazówek, informacji podanych przez inne organy właściwe, pozostałe podmioty krajowego systemu cyberbezpieczeństwa, obywateli, media lub inne źródła. Mogą być to informacje dostępne publicznie lub mogą one wynikać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innych działań prowadzonych przez właściwe organy podczas wykonywania ich zadań,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ramach czynności operacyjnych. Podkreślić należy, że przepisy nadzorcze i</w:t>
      </w:r>
      <w:r w:rsidR="00C84AD5" w:rsidRPr="00833C88">
        <w:rPr>
          <w:rFonts w:eastAsia="Times New Roman" w:cs="Times New Roman"/>
          <w:sz w:val="24"/>
          <w:szCs w:val="24"/>
          <w:lang w:eastAsia="pl-PL"/>
        </w:rPr>
        <w:t> </w:t>
      </w:r>
      <w:r w:rsidRPr="00833C88">
        <w:rPr>
          <w:rFonts w:eastAsia="Times New Roman" w:cs="Times New Roman"/>
          <w:sz w:val="24"/>
          <w:szCs w:val="24"/>
          <w:lang w:eastAsia="pl-PL"/>
        </w:rPr>
        <w:t>egzekwowania przepisów odnoszące się do podmiotów kluczowych mają zastosowanie również do podmiotów ważnych</w:t>
      </w:r>
      <w:r w:rsidR="00E96B03" w:rsidRPr="00833C88">
        <w:rPr>
          <w:rFonts w:eastAsia="Times New Roman" w:cs="Times New Roman"/>
          <w:sz w:val="24"/>
          <w:szCs w:val="24"/>
          <w:lang w:eastAsia="pl-PL"/>
        </w:rPr>
        <w:t>,</w:t>
      </w:r>
      <w:r w:rsidRPr="00833C88">
        <w:rPr>
          <w:rFonts w:eastAsia="Times New Roman" w:cs="Times New Roman"/>
          <w:sz w:val="24"/>
          <w:szCs w:val="24"/>
          <w:lang w:eastAsia="pl-PL"/>
        </w:rPr>
        <w:t xml:space="preserve"> ale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tym zastrzeżeniem, że stosuje się do nich tylko te środki, które mogą być zastosowane </w:t>
      </w:r>
      <w:r w:rsidRPr="00833C88">
        <w:rPr>
          <w:rFonts w:eastAsia="Times New Roman" w:cs="Times New Roman"/>
          <w:i/>
          <w:iCs/>
          <w:sz w:val="24"/>
          <w:szCs w:val="24"/>
          <w:lang w:eastAsia="pl-PL"/>
        </w:rPr>
        <w:t>ex post</w:t>
      </w:r>
      <w:r w:rsidRPr="00833C88">
        <w:rPr>
          <w:rFonts w:eastAsia="Times New Roman" w:cs="Times New Roman"/>
          <w:sz w:val="24"/>
          <w:szCs w:val="24"/>
          <w:lang w:eastAsia="pl-PL"/>
        </w:rPr>
        <w:t>. Oznacza to, że organ właściwy do spraw cyberbezpieczeństwa wykonując swoje uprawnienia wobec podmiotów ważnych będzie musiał podjąć adekwatne środki uwzględniając, że mogą mieć one wyłącznie charakter następczy.</w:t>
      </w:r>
    </w:p>
    <w:p w14:paraId="0AEEF14D" w14:textId="5D841BF9" w:rsidR="008D0C14"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C84AD5" w:rsidRPr="00833C88">
        <w:rPr>
          <w:rFonts w:eastAsia="Times New Roman" w:cs="Times New Roman"/>
          <w:sz w:val="24"/>
          <w:szCs w:val="24"/>
          <w:lang w:eastAsia="pl-PL"/>
        </w:rPr>
        <w:t>dodawanym</w:t>
      </w:r>
      <w:r w:rsidR="00281641"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591CFC" w:rsidRPr="00833C88">
        <w:rPr>
          <w:rFonts w:eastAsia="Times New Roman" w:cs="Times New Roman"/>
          <w:sz w:val="24"/>
          <w:szCs w:val="24"/>
          <w:lang w:eastAsia="pl-PL"/>
        </w:rPr>
        <w:t xml:space="preserve">ustawie </w:t>
      </w:r>
      <w:r w:rsidRPr="00833C88">
        <w:rPr>
          <w:rFonts w:eastAsia="Times New Roman" w:cs="Times New Roman"/>
          <w:sz w:val="24"/>
          <w:szCs w:val="24"/>
          <w:lang w:eastAsia="pl-PL"/>
        </w:rPr>
        <w:t>o </w:t>
      </w:r>
      <w:r w:rsidR="00591CFC" w:rsidRPr="00833C88">
        <w:rPr>
          <w:rFonts w:eastAsia="Times New Roman" w:cs="Times New Roman"/>
          <w:sz w:val="24"/>
          <w:szCs w:val="24"/>
          <w:lang w:eastAsia="pl-PL"/>
        </w:rPr>
        <w:t xml:space="preserve">KSC </w:t>
      </w:r>
      <w:r w:rsidR="00281641" w:rsidRPr="00833C88">
        <w:rPr>
          <w:rFonts w:eastAsia="Times New Roman" w:cs="Times New Roman"/>
          <w:sz w:val="24"/>
          <w:szCs w:val="24"/>
          <w:lang w:eastAsia="pl-PL"/>
        </w:rPr>
        <w:t>art. 53d</w:t>
      </w:r>
      <w:r w:rsidR="00591CFC" w:rsidRPr="00833C88">
        <w:rPr>
          <w:rFonts w:eastAsia="Times New Roman" w:cs="Times New Roman"/>
          <w:sz w:val="24"/>
          <w:szCs w:val="24"/>
          <w:lang w:eastAsia="pl-PL"/>
        </w:rPr>
        <w:t xml:space="preserve"> </w:t>
      </w:r>
      <w:r w:rsidR="00281641" w:rsidRPr="00833C88">
        <w:rPr>
          <w:rFonts w:eastAsia="Times New Roman" w:cs="Times New Roman"/>
          <w:sz w:val="24"/>
          <w:szCs w:val="24"/>
          <w:lang w:eastAsia="pl-PL"/>
        </w:rPr>
        <w:t xml:space="preserve">określono ponadto uprawnienia jakie przysługują urzędnikowi monitorującemu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ramach nadzoru realizacj</w:t>
      </w:r>
      <w:r w:rsidR="00C46623" w:rsidRPr="00833C88">
        <w:rPr>
          <w:rFonts w:eastAsia="Times New Roman" w:cs="Times New Roman"/>
          <w:sz w:val="24"/>
          <w:szCs w:val="24"/>
          <w:lang w:eastAsia="pl-PL"/>
        </w:rPr>
        <w:t>i</w:t>
      </w:r>
      <w:r w:rsidR="00281641" w:rsidRPr="00833C88">
        <w:rPr>
          <w:rFonts w:eastAsia="Times New Roman" w:cs="Times New Roman"/>
          <w:sz w:val="24"/>
          <w:szCs w:val="24"/>
          <w:lang w:eastAsia="pl-PL"/>
        </w:rPr>
        <w:t xml:space="preserve"> przez podmiot kluczowy obowiązków określonych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rozdziale 3</w:t>
      </w:r>
      <w:r w:rsidR="00C84AD5" w:rsidRPr="00833C88">
        <w:rPr>
          <w:rFonts w:eastAsia="Times New Roman" w:cs="Times New Roman"/>
          <w:sz w:val="24"/>
          <w:szCs w:val="24"/>
          <w:lang w:eastAsia="pl-PL"/>
        </w:rPr>
        <w:t xml:space="preserve"> ustawy </w:t>
      </w:r>
      <w:r w:rsidRPr="00833C88">
        <w:rPr>
          <w:rFonts w:eastAsia="Times New Roman" w:cs="Times New Roman"/>
          <w:sz w:val="24"/>
          <w:szCs w:val="24"/>
          <w:lang w:eastAsia="pl-PL"/>
        </w:rPr>
        <w:t>o </w:t>
      </w:r>
      <w:r w:rsidR="00C84AD5" w:rsidRPr="00833C88">
        <w:rPr>
          <w:rFonts w:eastAsia="Times New Roman" w:cs="Times New Roman"/>
          <w:sz w:val="24"/>
          <w:szCs w:val="24"/>
          <w:lang w:eastAsia="pl-PL"/>
        </w:rPr>
        <w:t>KSC</w:t>
      </w:r>
      <w:r w:rsidR="00281641" w:rsidRPr="00833C88">
        <w:rPr>
          <w:rFonts w:eastAsia="Times New Roman" w:cs="Times New Roman"/>
          <w:sz w:val="24"/>
          <w:szCs w:val="24"/>
          <w:lang w:eastAsia="pl-PL"/>
        </w:rPr>
        <w:t xml:space="preserve">. Zaproponowany zakres uprawnień pozwoli na skuteczne wykonywanie przez niego zadań, </w:t>
      </w:r>
      <w:r w:rsidRPr="00833C88">
        <w:rPr>
          <w:rFonts w:eastAsia="Times New Roman" w:cs="Times New Roman"/>
          <w:sz w:val="24"/>
          <w:szCs w:val="24"/>
          <w:lang w:eastAsia="pl-PL"/>
        </w:rPr>
        <w:t>a </w:t>
      </w:r>
      <w:r w:rsidR="00281641" w:rsidRPr="00833C88">
        <w:rPr>
          <w:rFonts w:eastAsia="Times New Roman" w:cs="Times New Roman"/>
          <w:sz w:val="24"/>
          <w:szCs w:val="24"/>
          <w:lang w:eastAsia="pl-PL"/>
        </w:rPr>
        <w:t xml:space="preserve">informacje pozyskane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toku monitorowania będą mogły stanowić podstawę do podjęcia przez organ właściwy do spraw cyberbezpieczeństwa innych, koniecznych środków nadzoru</w:t>
      </w:r>
      <w:r w:rsidR="0027549A"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27549A" w:rsidRPr="00833C88">
        <w:rPr>
          <w:rFonts w:eastAsia="Times New Roman" w:cs="Times New Roman"/>
          <w:sz w:val="24"/>
          <w:szCs w:val="24"/>
          <w:lang w:eastAsia="pl-PL"/>
        </w:rPr>
        <w:t>tym wszcząć kontrolę doraźną</w:t>
      </w:r>
      <w:r w:rsidR="00281641" w:rsidRPr="00833C88">
        <w:rPr>
          <w:rFonts w:eastAsia="Times New Roman" w:cs="Times New Roman"/>
          <w:sz w:val="24"/>
          <w:szCs w:val="24"/>
          <w:lang w:eastAsia="pl-PL"/>
        </w:rPr>
        <w:t>.</w:t>
      </w:r>
      <w:r w:rsidR="00B55DDC" w:rsidRPr="00833C88">
        <w:rPr>
          <w:rFonts w:eastAsia="Times New Roman" w:cs="Times New Roman"/>
          <w:sz w:val="24"/>
          <w:szCs w:val="24"/>
          <w:lang w:eastAsia="pl-PL"/>
        </w:rPr>
        <w:t xml:space="preserve"> </w:t>
      </w:r>
      <w:r w:rsidR="00D70A2A" w:rsidRPr="00833C88">
        <w:rPr>
          <w:rFonts w:eastAsia="Times New Roman" w:cs="Times New Roman"/>
          <w:sz w:val="24"/>
          <w:szCs w:val="24"/>
          <w:lang w:eastAsia="pl-PL"/>
        </w:rPr>
        <w:t>Wyraźnie należy podkreślić, że instytucja urzędnika monitorującego jest</w:t>
      </w:r>
      <w:r w:rsidR="00144280" w:rsidRPr="00833C88">
        <w:rPr>
          <w:rFonts w:eastAsia="Times New Roman" w:cs="Times New Roman"/>
          <w:sz w:val="24"/>
          <w:szCs w:val="24"/>
          <w:lang w:eastAsia="pl-PL"/>
        </w:rPr>
        <w:t xml:space="preserve"> środkiem nadzoru </w:t>
      </w:r>
      <w:r w:rsidRPr="00833C88">
        <w:rPr>
          <w:rFonts w:eastAsia="Times New Roman" w:cs="Times New Roman"/>
          <w:sz w:val="24"/>
          <w:szCs w:val="24"/>
          <w:lang w:eastAsia="pl-PL"/>
        </w:rPr>
        <w:t>i </w:t>
      </w:r>
      <w:r w:rsidR="00144280" w:rsidRPr="00833C88">
        <w:rPr>
          <w:rFonts w:eastAsia="Times New Roman" w:cs="Times New Roman"/>
          <w:sz w:val="24"/>
          <w:szCs w:val="24"/>
          <w:lang w:eastAsia="pl-PL"/>
        </w:rPr>
        <w:t xml:space="preserve">instytucją </w:t>
      </w:r>
      <w:r w:rsidR="00D71B83" w:rsidRPr="00833C88">
        <w:rPr>
          <w:rFonts w:eastAsia="Times New Roman" w:cs="Times New Roman"/>
          <w:sz w:val="24"/>
          <w:szCs w:val="24"/>
          <w:lang w:eastAsia="pl-PL"/>
        </w:rPr>
        <w:t>odrębn</w:t>
      </w:r>
      <w:r w:rsidR="00144280" w:rsidRPr="00833C88">
        <w:rPr>
          <w:rFonts w:eastAsia="Times New Roman" w:cs="Times New Roman"/>
          <w:sz w:val="24"/>
          <w:szCs w:val="24"/>
          <w:lang w:eastAsia="pl-PL"/>
        </w:rPr>
        <w:t>ą</w:t>
      </w:r>
      <w:r w:rsidR="00D71B83" w:rsidRPr="00833C88">
        <w:rPr>
          <w:rFonts w:eastAsia="Times New Roman" w:cs="Times New Roman"/>
          <w:sz w:val="24"/>
          <w:szCs w:val="24"/>
          <w:lang w:eastAsia="pl-PL"/>
        </w:rPr>
        <w:t xml:space="preserve"> od kontroli. </w:t>
      </w:r>
      <w:r w:rsidR="00B55DDC" w:rsidRPr="00833C88">
        <w:rPr>
          <w:rFonts w:eastAsia="Times New Roman" w:cs="Times New Roman"/>
          <w:sz w:val="24"/>
          <w:szCs w:val="24"/>
          <w:lang w:eastAsia="pl-PL"/>
        </w:rPr>
        <w:t xml:space="preserve">Do nadzorowania przez urzędnika monitorującego wykonywania przez podmiot kluczowy obowiązków stosuje się </w:t>
      </w:r>
      <w:r w:rsidR="00FE2892" w:rsidRPr="00833C88">
        <w:rPr>
          <w:rFonts w:eastAsia="Times New Roman" w:cs="Times New Roman"/>
          <w:sz w:val="24"/>
          <w:szCs w:val="24"/>
          <w:lang w:eastAsia="pl-PL"/>
        </w:rPr>
        <w:t xml:space="preserve">jedynie </w:t>
      </w:r>
      <w:r w:rsidR="00B55DDC" w:rsidRPr="00833C88">
        <w:rPr>
          <w:rFonts w:eastAsia="Times New Roman" w:cs="Times New Roman"/>
          <w:sz w:val="24"/>
          <w:szCs w:val="24"/>
          <w:lang w:eastAsia="pl-PL"/>
        </w:rPr>
        <w:t>odpowiednio art. 58 ustawy</w:t>
      </w:r>
      <w:r w:rsidR="00591CFC" w:rsidRPr="00833C88">
        <w:rPr>
          <w:rFonts w:eastAsia="Times New Roman" w:cs="Times New Roman"/>
          <w:sz w:val="24"/>
          <w:szCs w:val="24"/>
          <w:lang w:eastAsia="pl-PL"/>
        </w:rPr>
        <w:t xml:space="preserve"> </w:t>
      </w:r>
      <w:r w:rsidRPr="00833C88">
        <w:rPr>
          <w:rFonts w:eastAsia="Times New Roman" w:cs="Times New Roman"/>
          <w:sz w:val="24"/>
          <w:szCs w:val="24"/>
          <w:lang w:eastAsia="pl-PL"/>
        </w:rPr>
        <w:t>o </w:t>
      </w:r>
      <w:r w:rsidR="00591CFC" w:rsidRPr="00833C88">
        <w:rPr>
          <w:rFonts w:eastAsia="Times New Roman" w:cs="Times New Roman"/>
          <w:sz w:val="24"/>
          <w:szCs w:val="24"/>
          <w:lang w:eastAsia="pl-PL"/>
        </w:rPr>
        <w:t>KSC</w:t>
      </w:r>
      <w:r w:rsidR="0097115F" w:rsidRPr="00833C88">
        <w:rPr>
          <w:rFonts w:eastAsia="Times New Roman" w:cs="Times New Roman"/>
          <w:sz w:val="24"/>
          <w:szCs w:val="24"/>
          <w:lang w:eastAsia="pl-PL"/>
        </w:rPr>
        <w:t xml:space="preserve">, </w:t>
      </w:r>
      <w:r w:rsidRPr="00833C88">
        <w:rPr>
          <w:rFonts w:eastAsia="Times New Roman" w:cs="Times New Roman"/>
          <w:sz w:val="24"/>
          <w:szCs w:val="24"/>
          <w:lang w:eastAsia="pl-PL"/>
        </w:rPr>
        <w:t>a </w:t>
      </w:r>
      <w:r w:rsidR="0097115F" w:rsidRPr="00833C88">
        <w:rPr>
          <w:rFonts w:eastAsia="Times New Roman" w:cs="Times New Roman"/>
          <w:sz w:val="24"/>
          <w:szCs w:val="24"/>
          <w:lang w:eastAsia="pl-PL"/>
        </w:rPr>
        <w:t xml:space="preserve">więc przepis stanowiący </w:t>
      </w:r>
      <w:r w:rsidRPr="00833C88">
        <w:rPr>
          <w:rFonts w:eastAsia="Times New Roman" w:cs="Times New Roman"/>
          <w:sz w:val="24"/>
          <w:szCs w:val="24"/>
          <w:lang w:eastAsia="pl-PL"/>
        </w:rPr>
        <w:t>o </w:t>
      </w:r>
      <w:r w:rsidR="0097115F" w:rsidRPr="00833C88">
        <w:rPr>
          <w:rFonts w:eastAsia="Times New Roman" w:cs="Times New Roman"/>
          <w:sz w:val="24"/>
          <w:szCs w:val="24"/>
          <w:lang w:eastAsia="pl-PL"/>
        </w:rPr>
        <w:t xml:space="preserve">sporządzeniu protokołu </w:t>
      </w:r>
      <w:r w:rsidRPr="00833C88">
        <w:rPr>
          <w:rFonts w:eastAsia="Times New Roman" w:cs="Times New Roman"/>
          <w:sz w:val="24"/>
          <w:szCs w:val="24"/>
          <w:lang w:eastAsia="pl-PL"/>
        </w:rPr>
        <w:t>z </w:t>
      </w:r>
      <w:r w:rsidR="0097115F" w:rsidRPr="00833C88">
        <w:rPr>
          <w:rFonts w:eastAsia="Times New Roman" w:cs="Times New Roman"/>
          <w:sz w:val="24"/>
          <w:szCs w:val="24"/>
          <w:lang w:eastAsia="pl-PL"/>
        </w:rPr>
        <w:t xml:space="preserve">kontroli – </w:t>
      </w:r>
      <w:r w:rsidRPr="00833C88">
        <w:rPr>
          <w:rFonts w:eastAsia="Times New Roman" w:cs="Times New Roman"/>
          <w:sz w:val="24"/>
          <w:szCs w:val="24"/>
          <w:lang w:eastAsia="pl-PL"/>
        </w:rPr>
        <w:t>w </w:t>
      </w:r>
      <w:r w:rsidR="0097115F" w:rsidRPr="00833C88">
        <w:rPr>
          <w:rFonts w:eastAsia="Times New Roman" w:cs="Times New Roman"/>
          <w:sz w:val="24"/>
          <w:szCs w:val="24"/>
          <w:lang w:eastAsia="pl-PL"/>
        </w:rPr>
        <w:t>tym wypadku</w:t>
      </w:r>
      <w:r w:rsidR="008C3D8B" w:rsidRPr="00833C88">
        <w:rPr>
          <w:rFonts w:eastAsia="Times New Roman" w:cs="Times New Roman"/>
          <w:sz w:val="24"/>
          <w:szCs w:val="24"/>
          <w:lang w:eastAsia="pl-PL"/>
        </w:rPr>
        <w:t xml:space="preserve"> </w:t>
      </w:r>
      <w:r w:rsidRPr="00833C88">
        <w:rPr>
          <w:rFonts w:eastAsia="Times New Roman" w:cs="Times New Roman"/>
          <w:sz w:val="24"/>
          <w:szCs w:val="24"/>
          <w:lang w:eastAsia="pl-PL"/>
        </w:rPr>
        <w:t>z </w:t>
      </w:r>
      <w:r w:rsidR="00376839" w:rsidRPr="00833C88">
        <w:rPr>
          <w:rFonts w:eastAsia="Times New Roman" w:cs="Times New Roman"/>
          <w:sz w:val="24"/>
          <w:szCs w:val="24"/>
          <w:lang w:eastAsia="pl-PL"/>
        </w:rPr>
        <w:t>prowadzonego monitoringu</w:t>
      </w:r>
      <w:r w:rsidR="00B55DDC" w:rsidRPr="00833C88">
        <w:rPr>
          <w:rFonts w:eastAsia="Times New Roman" w:cs="Times New Roman"/>
          <w:sz w:val="24"/>
          <w:szCs w:val="24"/>
          <w:lang w:eastAsia="pl-PL"/>
        </w:rPr>
        <w:t>.</w:t>
      </w:r>
      <w:r w:rsidR="009A5B62" w:rsidRPr="00833C88">
        <w:rPr>
          <w:rFonts w:eastAsia="Times New Roman" w:cs="Times New Roman"/>
          <w:sz w:val="24"/>
          <w:szCs w:val="24"/>
          <w:lang w:eastAsia="pl-PL"/>
        </w:rPr>
        <w:t xml:space="preserve"> Jednym </w:t>
      </w:r>
      <w:r w:rsidRPr="00833C88">
        <w:rPr>
          <w:rFonts w:eastAsia="Times New Roman" w:cs="Times New Roman"/>
          <w:sz w:val="24"/>
          <w:szCs w:val="24"/>
          <w:lang w:eastAsia="pl-PL"/>
        </w:rPr>
        <w:t>z </w:t>
      </w:r>
      <w:r w:rsidR="009A5B62" w:rsidRPr="00833C88">
        <w:rPr>
          <w:rFonts w:eastAsia="Times New Roman" w:cs="Times New Roman"/>
          <w:sz w:val="24"/>
          <w:szCs w:val="24"/>
          <w:lang w:eastAsia="pl-PL"/>
        </w:rPr>
        <w:t>elementów protokołu jest wyszczególnienie</w:t>
      </w:r>
      <w:r w:rsidR="00F45E1E" w:rsidRPr="00833C88">
        <w:rPr>
          <w:rFonts w:eastAsia="Times New Roman" w:cs="Times New Roman"/>
          <w:sz w:val="24"/>
          <w:szCs w:val="24"/>
          <w:lang w:eastAsia="pl-PL"/>
        </w:rPr>
        <w:t xml:space="preserve"> wniosków. Podmiot nadzorowany będzie miał zatem wiedzę na temat tego</w:t>
      </w:r>
      <w:r w:rsidR="00EF0C02" w:rsidRPr="00833C88">
        <w:rPr>
          <w:rFonts w:eastAsia="Times New Roman" w:cs="Times New Roman"/>
          <w:sz w:val="24"/>
          <w:szCs w:val="24"/>
          <w:lang w:eastAsia="pl-PL"/>
        </w:rPr>
        <w:t xml:space="preserve"> czy należy coś poprawić </w:t>
      </w:r>
      <w:r w:rsidRPr="00833C88">
        <w:rPr>
          <w:rFonts w:eastAsia="Times New Roman" w:cs="Times New Roman"/>
          <w:sz w:val="24"/>
          <w:szCs w:val="24"/>
          <w:lang w:eastAsia="pl-PL"/>
        </w:rPr>
        <w:t>i w </w:t>
      </w:r>
      <w:r w:rsidR="00EF0C02" w:rsidRPr="00833C88">
        <w:rPr>
          <w:rFonts w:eastAsia="Times New Roman" w:cs="Times New Roman"/>
          <w:sz w:val="24"/>
          <w:szCs w:val="24"/>
          <w:lang w:eastAsia="pl-PL"/>
        </w:rPr>
        <w:t xml:space="preserve">jakim obszarze. </w:t>
      </w:r>
      <w:r w:rsidR="001E176C" w:rsidRPr="00833C88">
        <w:rPr>
          <w:rFonts w:eastAsia="Times New Roman" w:cs="Times New Roman"/>
          <w:sz w:val="24"/>
          <w:szCs w:val="24"/>
          <w:lang w:eastAsia="pl-PL"/>
        </w:rPr>
        <w:t>Celem instytucji urzędnika monitorującego jest bowiem</w:t>
      </w:r>
      <w:r w:rsidR="00E333B0" w:rsidRPr="00833C88">
        <w:rPr>
          <w:rFonts w:eastAsia="Times New Roman" w:cs="Times New Roman"/>
          <w:sz w:val="24"/>
          <w:szCs w:val="24"/>
          <w:lang w:eastAsia="pl-PL"/>
        </w:rPr>
        <w:t xml:space="preserve"> realizacja nadzoru prewencyjnego, czyli </w:t>
      </w:r>
      <w:r w:rsidR="006F4A06" w:rsidRPr="00833C88">
        <w:rPr>
          <w:rFonts w:eastAsia="Times New Roman" w:cs="Times New Roman"/>
          <w:sz w:val="24"/>
          <w:szCs w:val="24"/>
          <w:lang w:eastAsia="pl-PL"/>
        </w:rPr>
        <w:t xml:space="preserve">sprawdzenie czy podmiot kluczowy </w:t>
      </w:r>
      <w:r w:rsidR="00D92537" w:rsidRPr="00833C88">
        <w:rPr>
          <w:rFonts w:eastAsia="Times New Roman" w:cs="Times New Roman"/>
          <w:sz w:val="24"/>
          <w:szCs w:val="24"/>
          <w:lang w:eastAsia="pl-PL"/>
        </w:rPr>
        <w:t xml:space="preserve">na bieżąco </w:t>
      </w:r>
      <w:r w:rsidR="006F4A06" w:rsidRPr="00833C88">
        <w:rPr>
          <w:rFonts w:eastAsia="Times New Roman" w:cs="Times New Roman"/>
          <w:sz w:val="24"/>
          <w:szCs w:val="24"/>
          <w:lang w:eastAsia="pl-PL"/>
        </w:rPr>
        <w:t xml:space="preserve">prawidłowo realizuje obowiązki wynikające </w:t>
      </w:r>
      <w:r w:rsidRPr="00833C88">
        <w:rPr>
          <w:rFonts w:eastAsia="Times New Roman" w:cs="Times New Roman"/>
          <w:sz w:val="24"/>
          <w:szCs w:val="24"/>
          <w:lang w:eastAsia="pl-PL"/>
        </w:rPr>
        <w:t>z </w:t>
      </w:r>
      <w:r w:rsidR="006F4A06" w:rsidRPr="00833C88">
        <w:rPr>
          <w:rFonts w:eastAsia="Times New Roman" w:cs="Times New Roman"/>
          <w:sz w:val="24"/>
          <w:szCs w:val="24"/>
          <w:lang w:eastAsia="pl-PL"/>
        </w:rPr>
        <w:t>ustawy</w:t>
      </w:r>
      <w:r w:rsidR="00D92537" w:rsidRPr="00833C88">
        <w:rPr>
          <w:rFonts w:eastAsia="Times New Roman" w:cs="Times New Roman"/>
          <w:sz w:val="24"/>
          <w:szCs w:val="24"/>
          <w:lang w:eastAsia="pl-PL"/>
        </w:rPr>
        <w:t xml:space="preserve">, </w:t>
      </w:r>
      <w:r w:rsidRPr="00833C88">
        <w:rPr>
          <w:rFonts w:eastAsia="Times New Roman" w:cs="Times New Roman"/>
          <w:sz w:val="24"/>
          <w:szCs w:val="24"/>
          <w:lang w:eastAsia="pl-PL"/>
        </w:rPr>
        <w:t>a </w:t>
      </w:r>
      <w:r w:rsidR="00D92537" w:rsidRPr="00833C88">
        <w:rPr>
          <w:rFonts w:eastAsia="Times New Roman" w:cs="Times New Roman"/>
          <w:sz w:val="24"/>
          <w:szCs w:val="24"/>
          <w:lang w:eastAsia="pl-PL"/>
        </w:rPr>
        <w:t>także zasygnalizowanie podmiotowi kluczowemu</w:t>
      </w:r>
      <w:r w:rsidR="008E656B" w:rsidRPr="00833C88">
        <w:rPr>
          <w:rFonts w:eastAsia="Times New Roman" w:cs="Times New Roman"/>
          <w:sz w:val="24"/>
          <w:szCs w:val="24"/>
          <w:lang w:eastAsia="pl-PL"/>
        </w:rPr>
        <w:t xml:space="preserve"> obszarów wymagających poprawy</w:t>
      </w:r>
      <w:r w:rsidR="00174394" w:rsidRPr="00833C88">
        <w:rPr>
          <w:rFonts w:eastAsia="Times New Roman" w:cs="Times New Roman"/>
          <w:sz w:val="24"/>
          <w:szCs w:val="24"/>
          <w:lang w:eastAsia="pl-PL"/>
        </w:rPr>
        <w:t xml:space="preserve"> zanim dojdzie do incydentu</w:t>
      </w:r>
      <w:r w:rsidR="008E656B" w:rsidRPr="00833C88">
        <w:rPr>
          <w:rFonts w:eastAsia="Times New Roman" w:cs="Times New Roman"/>
          <w:sz w:val="24"/>
          <w:szCs w:val="24"/>
          <w:lang w:eastAsia="pl-PL"/>
        </w:rPr>
        <w:t>.</w:t>
      </w:r>
      <w:r w:rsidR="00BD00E2" w:rsidRPr="00833C88">
        <w:rPr>
          <w:rFonts w:eastAsia="Times New Roman" w:cs="Times New Roman"/>
          <w:sz w:val="24"/>
          <w:szCs w:val="24"/>
          <w:lang w:eastAsia="pl-PL"/>
        </w:rPr>
        <w:t xml:space="preserve"> </w:t>
      </w:r>
      <w:r w:rsidR="0080197D" w:rsidRPr="00833C88">
        <w:rPr>
          <w:rFonts w:eastAsia="Times New Roman" w:cs="Times New Roman"/>
          <w:sz w:val="24"/>
          <w:szCs w:val="24"/>
          <w:lang w:eastAsia="pl-PL"/>
        </w:rPr>
        <w:t xml:space="preserve">Jednocześnie wskazać należy, </w:t>
      </w:r>
      <w:r w:rsidR="001F11DA" w:rsidRPr="00833C88">
        <w:rPr>
          <w:rFonts w:eastAsia="Times New Roman" w:cs="Times New Roman"/>
          <w:sz w:val="24"/>
          <w:szCs w:val="24"/>
          <w:lang w:eastAsia="pl-PL"/>
        </w:rPr>
        <w:t>że</w:t>
      </w:r>
      <w:r w:rsidR="009B4C26" w:rsidRPr="00833C88">
        <w:rPr>
          <w:rFonts w:eastAsia="Times New Roman" w:cs="Times New Roman"/>
          <w:sz w:val="24"/>
          <w:szCs w:val="24"/>
          <w:lang w:eastAsia="pl-PL"/>
        </w:rPr>
        <w:t> </w:t>
      </w:r>
      <w:r w:rsidR="003051F6" w:rsidRPr="00833C88">
        <w:rPr>
          <w:rFonts w:eastAsia="Times New Roman" w:cs="Times New Roman"/>
          <w:sz w:val="24"/>
          <w:szCs w:val="24"/>
          <w:lang w:eastAsia="pl-PL"/>
        </w:rPr>
        <w:t>realizując swoje obowiązki urzędnik monitorujący obowiązany jest do poszanowania tajemnicy prawnie chronionej na podstawie odrębnych przepisów. Przykładowo dostęp do</w:t>
      </w:r>
      <w:r w:rsidR="009B4C26" w:rsidRPr="00833C88">
        <w:rPr>
          <w:rFonts w:eastAsia="Times New Roman" w:cs="Times New Roman"/>
          <w:sz w:val="24"/>
          <w:szCs w:val="24"/>
          <w:lang w:eastAsia="pl-PL"/>
        </w:rPr>
        <w:t> </w:t>
      </w:r>
      <w:r w:rsidR="003051F6" w:rsidRPr="00833C88">
        <w:rPr>
          <w:rFonts w:eastAsia="Times New Roman" w:cs="Times New Roman"/>
          <w:sz w:val="24"/>
          <w:szCs w:val="24"/>
          <w:lang w:eastAsia="pl-PL"/>
        </w:rPr>
        <w:t>informacji niejawnych będzie zależny od tego</w:t>
      </w:r>
      <w:r w:rsidR="00036CD0" w:rsidRPr="00833C88">
        <w:rPr>
          <w:rFonts w:eastAsia="Times New Roman" w:cs="Times New Roman"/>
          <w:sz w:val="24"/>
          <w:szCs w:val="24"/>
          <w:lang w:eastAsia="pl-PL"/>
        </w:rPr>
        <w:t xml:space="preserve"> czy wyznaczony urzędnik posiada dostęp do</w:t>
      </w:r>
      <w:r w:rsidR="009B4C26" w:rsidRPr="00833C88">
        <w:rPr>
          <w:rFonts w:eastAsia="Times New Roman" w:cs="Times New Roman"/>
          <w:sz w:val="24"/>
          <w:szCs w:val="24"/>
          <w:lang w:eastAsia="pl-PL"/>
        </w:rPr>
        <w:t> </w:t>
      </w:r>
      <w:r w:rsidR="00036CD0" w:rsidRPr="00833C88">
        <w:rPr>
          <w:rFonts w:eastAsia="Times New Roman" w:cs="Times New Roman"/>
          <w:sz w:val="24"/>
          <w:szCs w:val="24"/>
          <w:lang w:eastAsia="pl-PL"/>
        </w:rPr>
        <w:t xml:space="preserve">informacji klauzulowanych. Jeśli nie posiada takiego dostępu, to nie będzie on mógł zapoznawać się </w:t>
      </w:r>
      <w:r w:rsidRPr="00833C88">
        <w:rPr>
          <w:rFonts w:eastAsia="Times New Roman" w:cs="Times New Roman"/>
          <w:sz w:val="24"/>
          <w:szCs w:val="24"/>
          <w:lang w:eastAsia="pl-PL"/>
        </w:rPr>
        <w:t>z </w:t>
      </w:r>
      <w:r w:rsidR="00036CD0" w:rsidRPr="00833C88">
        <w:rPr>
          <w:rFonts w:eastAsia="Times New Roman" w:cs="Times New Roman"/>
          <w:sz w:val="24"/>
          <w:szCs w:val="24"/>
          <w:lang w:eastAsia="pl-PL"/>
        </w:rPr>
        <w:t>takimi dokumentami.</w:t>
      </w:r>
      <w:r w:rsidR="00491204" w:rsidRPr="00833C88">
        <w:rPr>
          <w:rFonts w:eastAsia="Times New Roman" w:cs="Times New Roman"/>
          <w:sz w:val="24"/>
          <w:szCs w:val="24"/>
          <w:lang w:eastAsia="pl-PL"/>
        </w:rPr>
        <w:t xml:space="preserve"> </w:t>
      </w:r>
      <w:r w:rsidR="00352E1F" w:rsidRPr="00833C88">
        <w:rPr>
          <w:rFonts w:eastAsia="Times New Roman" w:cs="Times New Roman"/>
          <w:sz w:val="24"/>
          <w:szCs w:val="24"/>
          <w:lang w:eastAsia="pl-PL"/>
        </w:rPr>
        <w:t xml:space="preserve">Wyznaczona osoba będzie pełniła </w:t>
      </w:r>
      <w:r w:rsidRPr="00833C88">
        <w:rPr>
          <w:rFonts w:eastAsia="Times New Roman" w:cs="Times New Roman"/>
          <w:sz w:val="24"/>
          <w:szCs w:val="24"/>
          <w:lang w:eastAsia="pl-PL"/>
        </w:rPr>
        <w:t>w </w:t>
      </w:r>
      <w:r w:rsidR="00352E1F" w:rsidRPr="00833C88">
        <w:rPr>
          <w:rFonts w:eastAsia="Times New Roman" w:cs="Times New Roman"/>
          <w:sz w:val="24"/>
          <w:szCs w:val="24"/>
          <w:lang w:eastAsia="pl-PL"/>
        </w:rPr>
        <w:t xml:space="preserve">podmiocie wyłącznie funkcję monitorującą realizację obowiązków. </w:t>
      </w:r>
      <w:r w:rsidR="00B902D6" w:rsidRPr="00833C88">
        <w:rPr>
          <w:rFonts w:eastAsia="Times New Roman" w:cs="Times New Roman"/>
          <w:sz w:val="24"/>
          <w:szCs w:val="24"/>
          <w:lang w:eastAsia="pl-PL"/>
        </w:rPr>
        <w:t xml:space="preserve">Urzędnik monitorujący nie </w:t>
      </w:r>
      <w:r w:rsidR="00DE1059" w:rsidRPr="00833C88">
        <w:rPr>
          <w:rFonts w:eastAsia="Times New Roman" w:cs="Times New Roman"/>
          <w:sz w:val="24"/>
          <w:szCs w:val="24"/>
          <w:lang w:eastAsia="pl-PL"/>
        </w:rPr>
        <w:t xml:space="preserve">może </w:t>
      </w:r>
      <w:r w:rsidR="00DE1059" w:rsidRPr="00833C88">
        <w:rPr>
          <w:rFonts w:eastAsia="Times New Roman" w:cs="Times New Roman"/>
          <w:sz w:val="24"/>
          <w:szCs w:val="24"/>
          <w:lang w:eastAsia="pl-PL"/>
        </w:rPr>
        <w:lastRenderedPageBreak/>
        <w:t xml:space="preserve">naruszać polityk bezpieczeństwa, nie będzie dokonywał żadnych zmian </w:t>
      </w:r>
      <w:r w:rsidRPr="00833C88">
        <w:rPr>
          <w:rFonts w:eastAsia="Times New Roman" w:cs="Times New Roman"/>
          <w:sz w:val="24"/>
          <w:szCs w:val="24"/>
          <w:lang w:eastAsia="pl-PL"/>
        </w:rPr>
        <w:t>w </w:t>
      </w:r>
      <w:r w:rsidR="00DE1059" w:rsidRPr="00833C88">
        <w:rPr>
          <w:rFonts w:eastAsia="Times New Roman" w:cs="Times New Roman"/>
          <w:sz w:val="24"/>
          <w:szCs w:val="24"/>
          <w:lang w:eastAsia="pl-PL"/>
        </w:rPr>
        <w:t xml:space="preserve">stosowanej </w:t>
      </w:r>
      <w:r w:rsidRPr="00833C88">
        <w:rPr>
          <w:rFonts w:eastAsia="Times New Roman" w:cs="Times New Roman"/>
          <w:sz w:val="24"/>
          <w:szCs w:val="24"/>
          <w:lang w:eastAsia="pl-PL"/>
        </w:rPr>
        <w:t>w </w:t>
      </w:r>
      <w:r w:rsidR="00DE1059" w:rsidRPr="00833C88">
        <w:rPr>
          <w:rFonts w:eastAsia="Times New Roman" w:cs="Times New Roman"/>
          <w:sz w:val="24"/>
          <w:szCs w:val="24"/>
          <w:lang w:eastAsia="pl-PL"/>
        </w:rPr>
        <w:t>podmiocie technologii, infrastrukturze, urządzeniach, sieciach czy systemach operacyjnych.</w:t>
      </w:r>
      <w:r w:rsidR="00A21118" w:rsidRPr="00833C88">
        <w:rPr>
          <w:rFonts w:eastAsia="Times New Roman" w:cs="Times New Roman"/>
          <w:sz w:val="24"/>
          <w:szCs w:val="24"/>
          <w:lang w:eastAsia="pl-PL"/>
        </w:rPr>
        <w:t xml:space="preserve"> Takie działanie stanowiłoby wykroczenie poza obowiązki urzędnika monitorującego</w:t>
      </w:r>
      <w:r w:rsidR="00AD325D" w:rsidRPr="00833C88">
        <w:rPr>
          <w:rFonts w:eastAsia="Times New Roman" w:cs="Times New Roman"/>
          <w:sz w:val="24"/>
          <w:szCs w:val="24"/>
          <w:lang w:eastAsia="pl-PL"/>
        </w:rPr>
        <w:t xml:space="preserve">. </w:t>
      </w:r>
      <w:r w:rsidR="00CE46A3" w:rsidRPr="00833C88">
        <w:rPr>
          <w:rFonts w:eastAsia="Times New Roman" w:cs="Times New Roman"/>
          <w:sz w:val="24"/>
          <w:szCs w:val="24"/>
          <w:lang w:eastAsia="pl-PL"/>
        </w:rPr>
        <w:t xml:space="preserve">Urzędnik monitorujący będzie każdorazowo wyznaczany przez organ właściwy do spraw </w:t>
      </w:r>
      <w:r w:rsidR="00D321BC" w:rsidRPr="00833C88">
        <w:rPr>
          <w:rFonts w:eastAsia="Times New Roman" w:cs="Times New Roman"/>
          <w:sz w:val="24"/>
          <w:szCs w:val="24"/>
          <w:lang w:eastAsia="pl-PL"/>
        </w:rPr>
        <w:t>c</w:t>
      </w:r>
      <w:r w:rsidR="00CE46A3" w:rsidRPr="00833C88">
        <w:rPr>
          <w:rFonts w:eastAsia="Times New Roman" w:cs="Times New Roman"/>
          <w:sz w:val="24"/>
          <w:szCs w:val="24"/>
          <w:lang w:eastAsia="pl-PL"/>
        </w:rPr>
        <w:t xml:space="preserve">yberbezpieczeństwa </w:t>
      </w:r>
      <w:r w:rsidRPr="00833C88">
        <w:rPr>
          <w:rFonts w:eastAsia="Times New Roman" w:cs="Times New Roman"/>
          <w:sz w:val="24"/>
          <w:szCs w:val="24"/>
          <w:lang w:eastAsia="pl-PL"/>
        </w:rPr>
        <w:t>z </w:t>
      </w:r>
      <w:r w:rsidR="00CE46A3" w:rsidRPr="00833C88">
        <w:rPr>
          <w:rFonts w:eastAsia="Times New Roman" w:cs="Times New Roman"/>
          <w:sz w:val="24"/>
          <w:szCs w:val="24"/>
          <w:lang w:eastAsia="pl-PL"/>
        </w:rPr>
        <w:t xml:space="preserve">konkretnie wskazanymi zadaniami do realizacji </w:t>
      </w:r>
      <w:r w:rsidRPr="00833C88">
        <w:rPr>
          <w:rFonts w:eastAsia="Times New Roman" w:cs="Times New Roman"/>
          <w:sz w:val="24"/>
          <w:szCs w:val="24"/>
          <w:lang w:eastAsia="pl-PL"/>
        </w:rPr>
        <w:t>i </w:t>
      </w:r>
      <w:r w:rsidR="00CE46A3" w:rsidRPr="00833C88">
        <w:rPr>
          <w:rFonts w:eastAsia="Times New Roman" w:cs="Times New Roman"/>
          <w:sz w:val="24"/>
          <w:szCs w:val="24"/>
          <w:lang w:eastAsia="pl-PL"/>
        </w:rPr>
        <w:t>na określony czas. Dobór właściwej osoby będzie uzależniony m.in. od rodzaju podmiotu</w:t>
      </w:r>
      <w:r w:rsidR="00EB754B" w:rsidRPr="00833C88">
        <w:rPr>
          <w:rFonts w:eastAsia="Times New Roman" w:cs="Times New Roman"/>
          <w:sz w:val="24"/>
          <w:szCs w:val="24"/>
          <w:lang w:eastAsia="pl-PL"/>
        </w:rPr>
        <w:t xml:space="preserve"> </w:t>
      </w:r>
      <w:r w:rsidRPr="00833C88">
        <w:rPr>
          <w:rFonts w:eastAsia="Times New Roman" w:cs="Times New Roman"/>
          <w:sz w:val="24"/>
          <w:szCs w:val="24"/>
          <w:lang w:eastAsia="pl-PL"/>
        </w:rPr>
        <w:t>i </w:t>
      </w:r>
      <w:r w:rsidR="00EB754B" w:rsidRPr="00833C88">
        <w:rPr>
          <w:rFonts w:eastAsia="Times New Roman" w:cs="Times New Roman"/>
          <w:sz w:val="24"/>
          <w:szCs w:val="24"/>
          <w:lang w:eastAsia="pl-PL"/>
        </w:rPr>
        <w:t>rodzaju tych zadań</w:t>
      </w:r>
      <w:r w:rsidR="003D3642" w:rsidRPr="00833C88">
        <w:rPr>
          <w:rFonts w:eastAsia="Times New Roman" w:cs="Times New Roman"/>
          <w:sz w:val="24"/>
          <w:szCs w:val="24"/>
          <w:lang w:eastAsia="pl-PL"/>
        </w:rPr>
        <w:t xml:space="preserve">, tak aby zapewnić skuteczność środka nadzoru przez odpowiednie umiejętności osoby wyznaczonej. </w:t>
      </w:r>
      <w:r w:rsidR="00357512" w:rsidRPr="00833C88">
        <w:rPr>
          <w:rFonts w:eastAsia="Times New Roman" w:cs="Times New Roman"/>
          <w:sz w:val="24"/>
          <w:szCs w:val="24"/>
          <w:lang w:eastAsia="pl-PL"/>
        </w:rPr>
        <w:t>Organ obowiązany jest zatem wyznaczać osoby do sprawowania tej funkcji</w:t>
      </w:r>
      <w:r w:rsidR="0000713F" w:rsidRPr="00833C88">
        <w:rPr>
          <w:rFonts w:eastAsia="Times New Roman" w:cs="Times New Roman"/>
          <w:sz w:val="24"/>
          <w:szCs w:val="24"/>
          <w:lang w:eastAsia="pl-PL"/>
        </w:rPr>
        <w:t xml:space="preserve"> według zarówno zaplecza kadrowego jak </w:t>
      </w:r>
      <w:r w:rsidRPr="00833C88">
        <w:rPr>
          <w:rFonts w:eastAsia="Times New Roman" w:cs="Times New Roman"/>
          <w:sz w:val="24"/>
          <w:szCs w:val="24"/>
          <w:lang w:eastAsia="pl-PL"/>
        </w:rPr>
        <w:t>i </w:t>
      </w:r>
      <w:r w:rsidR="0000713F" w:rsidRPr="00833C88">
        <w:rPr>
          <w:rFonts w:eastAsia="Times New Roman" w:cs="Times New Roman"/>
          <w:sz w:val="24"/>
          <w:szCs w:val="24"/>
          <w:lang w:eastAsia="pl-PL"/>
        </w:rPr>
        <w:t>potrzeb nadzorczych.</w:t>
      </w:r>
    </w:p>
    <w:p w14:paraId="6B46D525" w14:textId="3E309680" w:rsidR="00023AAA" w:rsidRPr="00833C88" w:rsidRDefault="00023AA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Urzędnik monitorujący</w:t>
      </w:r>
      <w:r w:rsidR="00C210B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C210BE" w:rsidRPr="00833C88">
        <w:rPr>
          <w:rFonts w:eastAsia="Times New Roman" w:cs="Times New Roman"/>
          <w:sz w:val="24"/>
          <w:szCs w:val="24"/>
          <w:lang w:eastAsia="pl-PL"/>
        </w:rPr>
        <w:t xml:space="preserve">zakresie przetwarzania przez niego danych osobowych będzie związany przepisami </w:t>
      </w:r>
      <w:r w:rsidR="00B27733" w:rsidRPr="00833C88">
        <w:rPr>
          <w:rFonts w:eastAsia="Times New Roman" w:cs="Times New Roman"/>
          <w:sz w:val="24"/>
          <w:szCs w:val="24"/>
          <w:lang w:eastAsia="pl-PL"/>
        </w:rPr>
        <w:t>RODO</w:t>
      </w:r>
      <w:r w:rsidR="00C210BE" w:rsidRPr="00833C88">
        <w:rPr>
          <w:rFonts w:eastAsia="Times New Roman" w:cs="Times New Roman"/>
          <w:sz w:val="24"/>
          <w:szCs w:val="24"/>
          <w:lang w:eastAsia="pl-PL"/>
        </w:rPr>
        <w:t xml:space="preserve"> jako osoba realizująca </w:t>
      </w:r>
      <w:r w:rsidR="003653E8" w:rsidRPr="00833C88">
        <w:rPr>
          <w:rFonts w:eastAsia="Times New Roman" w:cs="Times New Roman"/>
          <w:sz w:val="24"/>
          <w:szCs w:val="24"/>
          <w:lang w:eastAsia="pl-PL"/>
        </w:rPr>
        <w:t xml:space="preserve">zadania </w:t>
      </w:r>
      <w:r w:rsidR="00601933" w:rsidRPr="00833C88">
        <w:rPr>
          <w:rFonts w:eastAsia="Times New Roman" w:cs="Times New Roman"/>
          <w:sz w:val="24"/>
          <w:szCs w:val="24"/>
          <w:lang w:eastAsia="pl-PL"/>
        </w:rPr>
        <w:t>w </w:t>
      </w:r>
      <w:r w:rsidR="003653E8" w:rsidRPr="00833C88">
        <w:rPr>
          <w:rFonts w:eastAsia="Times New Roman" w:cs="Times New Roman"/>
          <w:sz w:val="24"/>
          <w:szCs w:val="24"/>
          <w:lang w:eastAsia="pl-PL"/>
        </w:rPr>
        <w:t xml:space="preserve">imieniu </w:t>
      </w:r>
      <w:r w:rsidR="00601933" w:rsidRPr="00833C88">
        <w:rPr>
          <w:rFonts w:eastAsia="Times New Roman" w:cs="Times New Roman"/>
          <w:sz w:val="24"/>
          <w:szCs w:val="24"/>
          <w:lang w:eastAsia="pl-PL"/>
        </w:rPr>
        <w:t>i </w:t>
      </w:r>
      <w:r w:rsidR="003653E8" w:rsidRPr="00833C88">
        <w:rPr>
          <w:rFonts w:eastAsia="Times New Roman" w:cs="Times New Roman"/>
          <w:sz w:val="24"/>
          <w:szCs w:val="24"/>
          <w:lang w:eastAsia="pl-PL"/>
        </w:rPr>
        <w:t>na rzecz administratora.</w:t>
      </w:r>
    </w:p>
    <w:p w14:paraId="46238AFE" w14:textId="67F9C7A2" w:rsidR="00A54A6E" w:rsidRPr="00833C88" w:rsidRDefault="00C97CC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Wskazane jest, żeby urzędnik monitorujący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podmiot kluczowy współpracowali ze sobą</w:t>
      </w:r>
      <w:r w:rsidR="002D0945" w:rsidRPr="00833C88">
        <w:rPr>
          <w:rFonts w:eastAsia="Times New Roman" w:cs="Times New Roman"/>
          <w:sz w:val="24"/>
          <w:szCs w:val="24"/>
          <w:lang w:eastAsia="pl-PL"/>
        </w:rPr>
        <w:t xml:space="preserve">. Jest to </w:t>
      </w:r>
      <w:r w:rsidR="00601933" w:rsidRPr="00833C88">
        <w:rPr>
          <w:rFonts w:eastAsia="Times New Roman" w:cs="Times New Roman"/>
          <w:sz w:val="24"/>
          <w:szCs w:val="24"/>
          <w:lang w:eastAsia="pl-PL"/>
        </w:rPr>
        <w:t>w </w:t>
      </w:r>
      <w:r w:rsidR="002D0945" w:rsidRPr="00833C88">
        <w:rPr>
          <w:rFonts w:eastAsia="Times New Roman" w:cs="Times New Roman"/>
          <w:sz w:val="24"/>
          <w:szCs w:val="24"/>
          <w:lang w:eastAsia="pl-PL"/>
        </w:rPr>
        <w:t>interesie podmiotu kluczow</w:t>
      </w:r>
      <w:r w:rsidR="0090359A" w:rsidRPr="00833C88">
        <w:rPr>
          <w:rFonts w:eastAsia="Times New Roman" w:cs="Times New Roman"/>
          <w:sz w:val="24"/>
          <w:szCs w:val="24"/>
          <w:lang w:eastAsia="pl-PL"/>
        </w:rPr>
        <w:t>e</w:t>
      </w:r>
      <w:r w:rsidR="002D0945" w:rsidRPr="00833C88">
        <w:rPr>
          <w:rFonts w:eastAsia="Times New Roman" w:cs="Times New Roman"/>
          <w:sz w:val="24"/>
          <w:szCs w:val="24"/>
          <w:lang w:eastAsia="pl-PL"/>
        </w:rPr>
        <w:t xml:space="preserve">go m.in. </w:t>
      </w:r>
      <w:r w:rsidR="00601933" w:rsidRPr="00833C88">
        <w:rPr>
          <w:rFonts w:eastAsia="Times New Roman" w:cs="Times New Roman"/>
          <w:sz w:val="24"/>
          <w:szCs w:val="24"/>
          <w:lang w:eastAsia="pl-PL"/>
        </w:rPr>
        <w:t>z </w:t>
      </w:r>
      <w:r w:rsidR="002D0945" w:rsidRPr="00833C88">
        <w:rPr>
          <w:rFonts w:eastAsia="Times New Roman" w:cs="Times New Roman"/>
          <w:sz w:val="24"/>
          <w:szCs w:val="24"/>
          <w:lang w:eastAsia="pl-PL"/>
        </w:rPr>
        <w:t xml:space="preserve">tego względu, że ten środek nadzorczy ma charakter prewencyjny, </w:t>
      </w:r>
      <w:r w:rsidR="00601933" w:rsidRPr="00833C88">
        <w:rPr>
          <w:rFonts w:eastAsia="Times New Roman" w:cs="Times New Roman"/>
          <w:sz w:val="24"/>
          <w:szCs w:val="24"/>
          <w:lang w:eastAsia="pl-PL"/>
        </w:rPr>
        <w:t>a </w:t>
      </w:r>
      <w:r w:rsidR="002D0945" w:rsidRPr="00833C88">
        <w:rPr>
          <w:rFonts w:eastAsia="Times New Roman" w:cs="Times New Roman"/>
          <w:sz w:val="24"/>
          <w:szCs w:val="24"/>
          <w:lang w:eastAsia="pl-PL"/>
        </w:rPr>
        <w:t xml:space="preserve">więc co do zasady ma </w:t>
      </w:r>
      <w:r w:rsidR="00FE5D18" w:rsidRPr="00833C88">
        <w:rPr>
          <w:rFonts w:eastAsia="Times New Roman" w:cs="Times New Roman"/>
          <w:sz w:val="24"/>
          <w:szCs w:val="24"/>
          <w:lang w:eastAsia="pl-PL"/>
        </w:rPr>
        <w:t>d</w:t>
      </w:r>
      <w:r w:rsidR="00FD2CE0" w:rsidRPr="00833C88">
        <w:rPr>
          <w:rFonts w:eastAsia="Times New Roman" w:cs="Times New Roman"/>
          <w:sz w:val="24"/>
          <w:szCs w:val="24"/>
          <w:lang w:eastAsia="pl-PL"/>
        </w:rPr>
        <w:t>ążyć do zapobiegania naruszeniom ustawy</w:t>
      </w:r>
      <w:r w:rsidR="005856B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5856B2" w:rsidRPr="00833C88">
        <w:rPr>
          <w:rFonts w:eastAsia="Times New Roman" w:cs="Times New Roman"/>
          <w:sz w:val="24"/>
          <w:szCs w:val="24"/>
          <w:lang w:eastAsia="pl-PL"/>
        </w:rPr>
        <w:t xml:space="preserve">wystąpieniu incydentu. </w:t>
      </w:r>
      <w:r w:rsidR="00E0342A" w:rsidRPr="00833C88">
        <w:rPr>
          <w:rFonts w:eastAsia="Times New Roman" w:cs="Times New Roman"/>
          <w:sz w:val="24"/>
          <w:szCs w:val="24"/>
          <w:lang w:eastAsia="pl-PL"/>
        </w:rPr>
        <w:t>Za uniemożliwianie bądź utrudnianie urzędnikowi monitorującemu realizacj</w:t>
      </w:r>
      <w:r w:rsidR="00B27733" w:rsidRPr="00833C88">
        <w:rPr>
          <w:rFonts w:eastAsia="Times New Roman" w:cs="Times New Roman"/>
          <w:sz w:val="24"/>
          <w:szCs w:val="24"/>
          <w:lang w:eastAsia="pl-PL"/>
        </w:rPr>
        <w:t>i</w:t>
      </w:r>
      <w:r w:rsidR="00DA3BD7" w:rsidRPr="00833C88">
        <w:rPr>
          <w:rFonts w:eastAsia="Times New Roman" w:cs="Times New Roman"/>
          <w:sz w:val="24"/>
          <w:szCs w:val="24"/>
          <w:lang w:eastAsia="pl-PL"/>
        </w:rPr>
        <w:t xml:space="preserve"> jego zadań bądź uprawnień</w:t>
      </w:r>
      <w:r w:rsidR="00B27733" w:rsidRPr="00833C88">
        <w:rPr>
          <w:rFonts w:eastAsia="Times New Roman" w:cs="Times New Roman"/>
          <w:sz w:val="24"/>
          <w:szCs w:val="24"/>
          <w:lang w:eastAsia="pl-PL"/>
        </w:rPr>
        <w:t>,</w:t>
      </w:r>
      <w:r w:rsidR="00DA3BD7" w:rsidRPr="00833C88">
        <w:rPr>
          <w:rFonts w:eastAsia="Times New Roman" w:cs="Times New Roman"/>
          <w:sz w:val="24"/>
          <w:szCs w:val="24"/>
          <w:lang w:eastAsia="pl-PL"/>
        </w:rPr>
        <w:t xml:space="preserve"> przewidzianych </w:t>
      </w:r>
      <w:r w:rsidR="00601933" w:rsidRPr="00833C88">
        <w:rPr>
          <w:rFonts w:eastAsia="Times New Roman" w:cs="Times New Roman"/>
          <w:sz w:val="24"/>
          <w:szCs w:val="24"/>
          <w:lang w:eastAsia="pl-PL"/>
        </w:rPr>
        <w:t>w </w:t>
      </w:r>
      <w:r w:rsidR="00B27733" w:rsidRPr="00833C88">
        <w:rPr>
          <w:rFonts w:eastAsia="Times New Roman" w:cs="Times New Roman"/>
          <w:sz w:val="24"/>
          <w:szCs w:val="24"/>
          <w:lang w:eastAsia="pl-PL"/>
        </w:rPr>
        <w:t xml:space="preserve">projektowanym </w:t>
      </w:r>
      <w:r w:rsidR="00DA3BD7" w:rsidRPr="00833C88">
        <w:rPr>
          <w:rFonts w:eastAsia="Times New Roman" w:cs="Times New Roman"/>
          <w:sz w:val="24"/>
          <w:szCs w:val="24"/>
          <w:lang w:eastAsia="pl-PL"/>
        </w:rPr>
        <w:t>art. 53d ust. 1</w:t>
      </w:r>
      <w:r w:rsidR="00FF277C" w:rsidRPr="00833C88">
        <w:rPr>
          <w:rFonts w:eastAsia="Times New Roman" w:cs="Times New Roman"/>
          <w:sz w:val="24"/>
          <w:szCs w:val="24"/>
          <w:lang w:eastAsia="pl-PL"/>
        </w:rPr>
        <w:t xml:space="preserve"> </w:t>
      </w:r>
      <w:r w:rsidR="00B27733"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B27733" w:rsidRPr="00833C88">
        <w:rPr>
          <w:rFonts w:eastAsia="Times New Roman" w:cs="Times New Roman"/>
          <w:sz w:val="24"/>
          <w:szCs w:val="24"/>
          <w:lang w:eastAsia="pl-PL"/>
        </w:rPr>
        <w:t xml:space="preserve">KSC, </w:t>
      </w:r>
      <w:r w:rsidR="00FF277C" w:rsidRPr="00833C88">
        <w:rPr>
          <w:rFonts w:eastAsia="Times New Roman" w:cs="Times New Roman"/>
          <w:sz w:val="24"/>
          <w:szCs w:val="24"/>
          <w:lang w:eastAsia="pl-PL"/>
        </w:rPr>
        <w:t xml:space="preserve">podmiot kluczowy będzie podlegał karze pieniężnej. </w:t>
      </w:r>
      <w:r w:rsidR="00243C69" w:rsidRPr="00833C88">
        <w:rPr>
          <w:rFonts w:eastAsia="Times New Roman" w:cs="Times New Roman"/>
          <w:sz w:val="24"/>
          <w:szCs w:val="24"/>
          <w:lang w:eastAsia="pl-PL"/>
        </w:rPr>
        <w:t>Przez uniemożliwianie lub utrudnianie należy rozumieć w</w:t>
      </w:r>
      <w:r w:rsidR="009B4C26" w:rsidRPr="00833C88">
        <w:rPr>
          <w:rFonts w:eastAsia="Times New Roman" w:cs="Times New Roman"/>
          <w:sz w:val="24"/>
          <w:szCs w:val="24"/>
          <w:lang w:eastAsia="pl-PL"/>
        </w:rPr>
        <w:t> </w:t>
      </w:r>
      <w:r w:rsidR="00243C69" w:rsidRPr="00833C88">
        <w:rPr>
          <w:rFonts w:eastAsia="Times New Roman" w:cs="Times New Roman"/>
          <w:sz w:val="24"/>
          <w:szCs w:val="24"/>
          <w:lang w:eastAsia="pl-PL"/>
        </w:rPr>
        <w:t>szczególności niewydanie urzędnikowi monitorującemu przepustki</w:t>
      </w:r>
      <w:r w:rsidR="006D4ED3" w:rsidRPr="00833C88">
        <w:rPr>
          <w:rFonts w:eastAsia="Times New Roman" w:cs="Times New Roman"/>
          <w:sz w:val="24"/>
          <w:szCs w:val="24"/>
          <w:lang w:eastAsia="pl-PL"/>
        </w:rPr>
        <w:t>.</w:t>
      </w:r>
    </w:p>
    <w:p w14:paraId="659097AC" w14:textId="422DEBCD"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Ze względu na zróżnicowanie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zakresie prowadzenia nadzoru nad podmiotami kluczowymi i</w:t>
      </w:r>
      <w:r w:rsidR="00C84AD5" w:rsidRPr="00833C88">
        <w:rPr>
          <w:rFonts w:eastAsia="Times New Roman" w:cs="Times New Roman"/>
          <w:sz w:val="24"/>
          <w:szCs w:val="24"/>
          <w:lang w:eastAsia="pl-PL"/>
        </w:rPr>
        <w:t> podmiotami</w:t>
      </w:r>
      <w:r w:rsidR="00586A64" w:rsidRPr="00833C88">
        <w:rPr>
          <w:rFonts w:eastAsia="Times New Roman" w:cs="Times New Roman"/>
          <w:sz w:val="24"/>
          <w:szCs w:val="24"/>
          <w:lang w:eastAsia="pl-PL"/>
        </w:rPr>
        <w:t xml:space="preserve"> </w:t>
      </w:r>
      <w:r w:rsidRPr="00833C88">
        <w:rPr>
          <w:rFonts w:eastAsia="Times New Roman" w:cs="Times New Roman"/>
          <w:sz w:val="24"/>
          <w:szCs w:val="24"/>
          <w:lang w:eastAsia="pl-PL"/>
        </w:rPr>
        <w:t>ważnymi, przepisy dotyczące nadzoru nad podmiotami kluczowymi stosuje się odpowiednio do nadzoru nad podmiotami ważnymi.</w:t>
      </w:r>
    </w:p>
    <w:p w14:paraId="7717800A" w14:textId="27CA9903"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wprowadzane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53 </w:t>
      </w:r>
      <w:r w:rsidR="00B27733"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B27733" w:rsidRPr="00833C88">
        <w:rPr>
          <w:rFonts w:eastAsia="Times New Roman" w:cs="Times New Roman"/>
          <w:sz w:val="24"/>
          <w:szCs w:val="24"/>
          <w:lang w:eastAsia="pl-PL"/>
        </w:rPr>
        <w:t xml:space="preserve">KSC </w:t>
      </w:r>
      <w:r w:rsidR="00601933" w:rsidRPr="00833C88">
        <w:rPr>
          <w:rFonts w:eastAsia="Times New Roman" w:cs="Times New Roman"/>
          <w:sz w:val="24"/>
          <w:szCs w:val="24"/>
          <w:lang w:eastAsia="pl-PL"/>
        </w:rPr>
        <w:t>i w </w:t>
      </w:r>
      <w:r w:rsidR="00C84AD5" w:rsidRPr="00833C88">
        <w:rPr>
          <w:rFonts w:eastAsia="Times New Roman" w:cs="Times New Roman"/>
          <w:sz w:val="24"/>
          <w:szCs w:val="24"/>
          <w:lang w:eastAsia="pl-PL"/>
        </w:rPr>
        <w:t xml:space="preserve">dodawanym </w:t>
      </w:r>
      <w:r w:rsidR="00601933" w:rsidRPr="00833C88">
        <w:rPr>
          <w:rFonts w:eastAsia="Times New Roman" w:cs="Times New Roman"/>
          <w:sz w:val="24"/>
          <w:szCs w:val="24"/>
          <w:lang w:eastAsia="pl-PL"/>
        </w:rPr>
        <w:t>w </w:t>
      </w:r>
      <w:r w:rsidR="00B27733" w:rsidRPr="00833C88">
        <w:rPr>
          <w:rFonts w:eastAsia="Times New Roman" w:cs="Times New Roman"/>
          <w:sz w:val="24"/>
          <w:szCs w:val="24"/>
          <w:lang w:eastAsia="pl-PL"/>
        </w:rPr>
        <w:t xml:space="preserve">tej ustawie </w:t>
      </w:r>
      <w:r w:rsidR="00C84AD5" w:rsidRPr="00833C88">
        <w:rPr>
          <w:rFonts w:eastAsia="Times New Roman" w:cs="Times New Roman"/>
          <w:sz w:val="24"/>
          <w:szCs w:val="24"/>
          <w:lang w:eastAsia="pl-PL"/>
        </w:rPr>
        <w:t xml:space="preserve">art. </w:t>
      </w:r>
      <w:r w:rsidRPr="00833C88">
        <w:rPr>
          <w:rFonts w:eastAsia="Times New Roman" w:cs="Times New Roman"/>
          <w:sz w:val="24"/>
          <w:szCs w:val="24"/>
          <w:lang w:eastAsia="pl-PL"/>
        </w:rPr>
        <w:t xml:space="preserve">53d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jasny sposób określają zarówno organy nadzoru, ich uprawnienia nadzorcze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zmierzające do</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egzekwowania przepisów w</w:t>
      </w:r>
      <w:r w:rsidR="00C84AD5" w:rsidRPr="00833C88">
        <w:rPr>
          <w:rFonts w:eastAsia="Times New Roman" w:cs="Times New Roman"/>
          <w:sz w:val="24"/>
          <w:szCs w:val="24"/>
          <w:lang w:eastAsia="pl-PL"/>
        </w:rPr>
        <w:t> </w:t>
      </w:r>
      <w:r w:rsidRPr="00833C88">
        <w:rPr>
          <w:rFonts w:eastAsia="Times New Roman" w:cs="Times New Roman"/>
          <w:sz w:val="24"/>
          <w:szCs w:val="24"/>
          <w:lang w:eastAsia="pl-PL"/>
        </w:rPr>
        <w:t xml:space="preserve">stosunku do podmiotów kluczowych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podmiotów ważnych, co przekładać się będzie na wysoki poziom bezpieczeństwa usług.</w:t>
      </w:r>
    </w:p>
    <w:p w14:paraId="5B9808AD" w14:textId="225CDEDC" w:rsidR="00281641" w:rsidRPr="00833C88" w:rsidRDefault="00281641" w:rsidP="005B6736">
      <w:pPr>
        <w:pStyle w:val="Nagwek3"/>
        <w:spacing w:before="0" w:after="120" w:line="360" w:lineRule="auto"/>
        <w:jc w:val="both"/>
        <w:rPr>
          <w:rFonts w:cs="Times New Roman"/>
          <w:b/>
          <w:bCs/>
          <w:u w:val="none"/>
          <w:lang w:eastAsia="pl-PL"/>
        </w:rPr>
      </w:pPr>
      <w:r w:rsidRPr="00833C88">
        <w:rPr>
          <w:rFonts w:cs="Times New Roman"/>
          <w:b/>
          <w:bCs/>
          <w:u w:val="none"/>
          <w:lang w:eastAsia="pl-PL"/>
        </w:rPr>
        <w:t xml:space="preserve"> Metodyki nadzoru </w:t>
      </w:r>
      <w:r w:rsidR="00601933" w:rsidRPr="00833C88">
        <w:rPr>
          <w:rFonts w:cs="Times New Roman"/>
          <w:b/>
          <w:bCs/>
          <w:u w:val="none"/>
          <w:lang w:eastAsia="pl-PL"/>
        </w:rPr>
        <w:t>i </w:t>
      </w:r>
      <w:r w:rsidRPr="00833C88">
        <w:rPr>
          <w:rFonts w:cs="Times New Roman"/>
          <w:b/>
          <w:bCs/>
          <w:u w:val="none"/>
          <w:lang w:eastAsia="pl-PL"/>
        </w:rPr>
        <w:t xml:space="preserve">hierarchia priorytetów zadań nadzorczych </w:t>
      </w:r>
    </w:p>
    <w:p w14:paraId="7291B73A" w14:textId="6A70BCEF"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określające możliwość tworzenia metodyk nadzoru oraz ustanawiania hierarchii priorytetów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odniesieniu do zadań nadzorczych mają na celu zapewnienie skutecznego nadzoru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stosowania przepisów ustawy przez podmioty kluczowe </w:t>
      </w:r>
      <w:r w:rsidR="00601933" w:rsidRPr="00833C88">
        <w:rPr>
          <w:rFonts w:eastAsia="Times New Roman" w:cs="Times New Roman"/>
          <w:sz w:val="24"/>
          <w:szCs w:val="24"/>
          <w:lang w:eastAsia="pl-PL"/>
        </w:rPr>
        <w:t>i </w:t>
      </w:r>
      <w:r w:rsidR="001611C2" w:rsidRPr="00833C88">
        <w:rPr>
          <w:rFonts w:eastAsia="Times New Roman" w:cs="Times New Roman"/>
          <w:sz w:val="24"/>
          <w:szCs w:val="24"/>
          <w:lang w:eastAsia="pl-PL"/>
        </w:rPr>
        <w:t xml:space="preserve">podmioty </w:t>
      </w:r>
      <w:r w:rsidRPr="00833C88">
        <w:rPr>
          <w:rFonts w:eastAsia="Times New Roman" w:cs="Times New Roman"/>
          <w:sz w:val="24"/>
          <w:szCs w:val="24"/>
          <w:lang w:eastAsia="pl-PL"/>
        </w:rPr>
        <w:t>ważne.</w:t>
      </w:r>
    </w:p>
    <w:p w14:paraId="5B2F18DD" w14:textId="734C2CDA"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Celem utworzenia metodyk nadzor</w:t>
      </w:r>
      <w:r w:rsidR="00B27733" w:rsidRPr="00833C88">
        <w:rPr>
          <w:rFonts w:eastAsia="Times New Roman" w:cs="Times New Roman"/>
          <w:sz w:val="24"/>
          <w:szCs w:val="24"/>
          <w:lang w:eastAsia="pl-PL"/>
        </w:rPr>
        <w:t>u</w:t>
      </w:r>
      <w:r w:rsidRPr="00833C88">
        <w:rPr>
          <w:rFonts w:eastAsia="Times New Roman" w:cs="Times New Roman"/>
          <w:sz w:val="24"/>
          <w:szCs w:val="24"/>
          <w:lang w:eastAsia="pl-PL"/>
        </w:rPr>
        <w:t xml:space="preserve"> jest dostosowanie metod nadzoru do określonego sektora oraz podmiotu nadzorowanego co pozwoli na usystematyzowanie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ujednolicenie sposobu przeprowadzania nadzoru, lepsze wykorzystanie dostępnych zasobów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zwiększenie efektywności działań nadzorczych. Metodyki nadzoru powinny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szczególności określać zakres nadzoru,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więc m.in. rodzaje czynności nadzorczych, sposób przeprowadzania nadzoru obejmujący np. etapy nadzoru, stosowane narzędzia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techniki oraz kryteria oceny, które pozwolą na wyprowadzenie odpowiednich wniosków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tego, czy dany podmiot prawidłowo realizuje nałożone na niego obowiązki. Należy mieć na uwadze, że każdy organ właściwy do spraw cyberbezpieczeństwa będzie określał adekwatne dla swojego sektora zakres nadzoru, sposób jego przeprowadzenia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kryteria oceny.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tego względu nie zdecydowano się na precyzyjne wskazanie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przepisie co należy rozumieć jako zakres, sposób oraz kryteria. Metodyka </w:t>
      </w:r>
      <w:r w:rsidR="00B27733" w:rsidRPr="00833C88">
        <w:rPr>
          <w:rFonts w:eastAsia="Times New Roman" w:cs="Times New Roman"/>
          <w:sz w:val="24"/>
          <w:szCs w:val="24"/>
          <w:lang w:eastAsia="pl-PL"/>
        </w:rPr>
        <w:t xml:space="preserve">nadzoru </w:t>
      </w:r>
      <w:r w:rsidRPr="00833C88">
        <w:rPr>
          <w:rFonts w:eastAsia="Times New Roman" w:cs="Times New Roman"/>
          <w:sz w:val="24"/>
          <w:szCs w:val="24"/>
          <w:lang w:eastAsia="pl-PL"/>
        </w:rPr>
        <w:t xml:space="preserve">powinna być dobrana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taki sposób, aby zapewnić skuteczność oraz zgodność z</w:t>
      </w:r>
      <w:r w:rsidR="00C84AD5" w:rsidRPr="00833C88">
        <w:rPr>
          <w:rFonts w:eastAsia="Times New Roman" w:cs="Times New Roman"/>
          <w:sz w:val="24"/>
          <w:szCs w:val="24"/>
          <w:lang w:eastAsia="pl-PL"/>
        </w:rPr>
        <w:t> </w:t>
      </w:r>
      <w:r w:rsidRPr="00833C88">
        <w:rPr>
          <w:rFonts w:eastAsia="Times New Roman" w:cs="Times New Roman"/>
          <w:sz w:val="24"/>
          <w:szCs w:val="24"/>
          <w:lang w:eastAsia="pl-PL"/>
        </w:rPr>
        <w:t xml:space="preserve">przepisami prawa,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także właściwą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pełną realizację zarówno obowiązków nałożonych na podmioty nadzorowane jak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zadań organów sprawujących nadzór. Dodatkowo organy nadzoru mogą określać inne elementy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metodykach </w:t>
      </w:r>
      <w:proofErr w:type="gramStart"/>
      <w:r w:rsidRPr="00833C88">
        <w:rPr>
          <w:rFonts w:eastAsia="Times New Roman" w:cs="Times New Roman"/>
          <w:sz w:val="24"/>
          <w:szCs w:val="24"/>
          <w:lang w:eastAsia="pl-PL"/>
        </w:rPr>
        <w:t>nadzoru</w:t>
      </w:r>
      <w:proofErr w:type="gramEnd"/>
      <w:r w:rsidRPr="00833C88">
        <w:rPr>
          <w:rFonts w:eastAsia="Times New Roman" w:cs="Times New Roman"/>
          <w:sz w:val="24"/>
          <w:szCs w:val="24"/>
          <w:lang w:eastAsia="pl-PL"/>
        </w:rPr>
        <w:t xml:space="preserve"> jeśli uznają to</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za</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stosowne.</w:t>
      </w:r>
      <w:r w:rsidR="000D3717" w:rsidRPr="00833C88">
        <w:rPr>
          <w:rFonts w:eastAsia="Times New Roman" w:cs="Times New Roman"/>
          <w:sz w:val="24"/>
          <w:szCs w:val="24"/>
          <w:lang w:eastAsia="pl-PL"/>
        </w:rPr>
        <w:t xml:space="preserve"> Metodyki nadzoru będą także rozwiązaniem problemu </w:t>
      </w:r>
      <w:proofErr w:type="spellStart"/>
      <w:r w:rsidR="000D3717" w:rsidRPr="00833C88">
        <w:rPr>
          <w:rFonts w:eastAsia="Times New Roman" w:cs="Times New Roman"/>
          <w:sz w:val="24"/>
          <w:szCs w:val="24"/>
          <w:lang w:eastAsia="pl-PL"/>
        </w:rPr>
        <w:t>wielosektorowości</w:t>
      </w:r>
      <w:proofErr w:type="spellEnd"/>
      <w:r w:rsidR="000D3717" w:rsidRPr="00833C88">
        <w:rPr>
          <w:rFonts w:eastAsia="Times New Roman" w:cs="Times New Roman"/>
          <w:sz w:val="24"/>
          <w:szCs w:val="24"/>
          <w:lang w:eastAsia="pl-PL"/>
        </w:rPr>
        <w:t xml:space="preserve"> danego podmiotu to znaczy sytuacji, </w:t>
      </w:r>
      <w:r w:rsidR="00601933" w:rsidRPr="00833C88">
        <w:rPr>
          <w:rFonts w:eastAsia="Times New Roman" w:cs="Times New Roman"/>
          <w:sz w:val="24"/>
          <w:szCs w:val="24"/>
          <w:lang w:eastAsia="pl-PL"/>
        </w:rPr>
        <w:t>w </w:t>
      </w:r>
      <w:r w:rsidR="000D3717" w:rsidRPr="00833C88">
        <w:rPr>
          <w:rFonts w:eastAsia="Times New Roman" w:cs="Times New Roman"/>
          <w:sz w:val="24"/>
          <w:szCs w:val="24"/>
          <w:lang w:eastAsia="pl-PL"/>
        </w:rPr>
        <w:t xml:space="preserve">której dany podmiot kluczowy lub podmiot ważny jest nadzorowany przez różne organy właściwe do spraw cyberbezpieczeństwa. </w:t>
      </w:r>
      <w:r w:rsidR="00601933" w:rsidRPr="00833C88">
        <w:rPr>
          <w:rFonts w:eastAsia="Times New Roman" w:cs="Times New Roman"/>
          <w:sz w:val="24"/>
          <w:szCs w:val="24"/>
          <w:lang w:eastAsia="pl-PL"/>
        </w:rPr>
        <w:t>W </w:t>
      </w:r>
      <w:r w:rsidR="000D3717" w:rsidRPr="00833C88">
        <w:rPr>
          <w:rFonts w:eastAsia="Times New Roman" w:cs="Times New Roman"/>
          <w:sz w:val="24"/>
          <w:szCs w:val="24"/>
          <w:lang w:eastAsia="pl-PL"/>
        </w:rPr>
        <w:t xml:space="preserve">sytuacji braku </w:t>
      </w:r>
      <w:r w:rsidR="00147866" w:rsidRPr="00833C88">
        <w:rPr>
          <w:rFonts w:eastAsia="Times New Roman" w:cs="Times New Roman"/>
          <w:sz w:val="24"/>
          <w:szCs w:val="24"/>
          <w:lang w:eastAsia="pl-PL"/>
        </w:rPr>
        <w:t xml:space="preserve">możliwości rozdzielenia działań nadzorczych </w:t>
      </w:r>
      <w:r w:rsidR="00601933" w:rsidRPr="00833C88">
        <w:rPr>
          <w:rFonts w:eastAsia="Times New Roman" w:cs="Times New Roman"/>
          <w:sz w:val="24"/>
          <w:szCs w:val="24"/>
          <w:lang w:eastAsia="pl-PL"/>
        </w:rPr>
        <w:t>z </w:t>
      </w:r>
      <w:r w:rsidR="00147866" w:rsidRPr="00833C88">
        <w:rPr>
          <w:rFonts w:eastAsia="Times New Roman" w:cs="Times New Roman"/>
          <w:sz w:val="24"/>
          <w:szCs w:val="24"/>
          <w:lang w:eastAsia="pl-PL"/>
        </w:rPr>
        <w:t>uwagi na niemożliwość wyodrębnienia sektorów</w:t>
      </w:r>
      <w:r w:rsidR="009C077F" w:rsidRPr="00833C88">
        <w:rPr>
          <w:rFonts w:eastAsia="Times New Roman" w:cs="Times New Roman"/>
          <w:sz w:val="24"/>
          <w:szCs w:val="24"/>
          <w:lang w:eastAsia="pl-PL"/>
        </w:rPr>
        <w:t>,</w:t>
      </w:r>
      <w:r w:rsidR="00E263DD" w:rsidRPr="00833C88">
        <w:rPr>
          <w:rFonts w:eastAsia="Times New Roman" w:cs="Times New Roman"/>
          <w:sz w:val="24"/>
          <w:szCs w:val="24"/>
          <w:lang w:eastAsia="pl-PL"/>
        </w:rPr>
        <w:t xml:space="preserve"> sporządzenie przez organy właściwe do spraw cyberbezpieczeństwa wspólnych metodyk nadzoru </w:t>
      </w:r>
      <w:r w:rsidR="00603B1A" w:rsidRPr="00833C88">
        <w:rPr>
          <w:rFonts w:eastAsia="Times New Roman" w:cs="Times New Roman"/>
          <w:sz w:val="24"/>
          <w:szCs w:val="24"/>
          <w:lang w:eastAsia="pl-PL"/>
        </w:rPr>
        <w:t>pozwoli na porozumienie organów właściwych do spraw cyberbezpieczeństwa</w:t>
      </w:r>
      <w:r w:rsidR="009C077F" w:rsidRPr="00833C88">
        <w:rPr>
          <w:rFonts w:eastAsia="Times New Roman" w:cs="Times New Roman"/>
          <w:sz w:val="24"/>
          <w:szCs w:val="24"/>
          <w:lang w:eastAsia="pl-PL"/>
        </w:rPr>
        <w:t>,</w:t>
      </w:r>
      <w:r w:rsidR="00055D1E" w:rsidRPr="00833C88">
        <w:rPr>
          <w:rFonts w:eastAsia="Times New Roman" w:cs="Times New Roman"/>
          <w:sz w:val="24"/>
          <w:szCs w:val="24"/>
          <w:lang w:eastAsia="pl-PL"/>
        </w:rPr>
        <w:t xml:space="preserve"> np.</w:t>
      </w:r>
      <w:r w:rsidR="00603B1A" w:rsidRPr="00833C88">
        <w:rPr>
          <w:rFonts w:eastAsia="Times New Roman" w:cs="Times New Roman"/>
          <w:sz w:val="24"/>
          <w:szCs w:val="24"/>
          <w:lang w:eastAsia="pl-PL"/>
        </w:rPr>
        <w:t xml:space="preserve"> co do zakresu sprawowanego przez nich nadzoru</w:t>
      </w:r>
      <w:r w:rsidR="00055D1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055D1E" w:rsidRPr="00833C88">
        <w:rPr>
          <w:rFonts w:eastAsia="Times New Roman" w:cs="Times New Roman"/>
          <w:sz w:val="24"/>
          <w:szCs w:val="24"/>
          <w:lang w:eastAsia="pl-PL"/>
        </w:rPr>
        <w:t xml:space="preserve">pozwoli uniknąć sporów kompetencyjnych. Metodyki nadzoru można uznać </w:t>
      </w:r>
      <w:r w:rsidR="00601933" w:rsidRPr="00833C88">
        <w:rPr>
          <w:rFonts w:eastAsia="Times New Roman" w:cs="Times New Roman"/>
          <w:sz w:val="24"/>
          <w:szCs w:val="24"/>
          <w:lang w:eastAsia="pl-PL"/>
        </w:rPr>
        <w:t>w </w:t>
      </w:r>
      <w:r w:rsidR="00055D1E" w:rsidRPr="00833C88">
        <w:rPr>
          <w:rFonts w:eastAsia="Times New Roman" w:cs="Times New Roman"/>
          <w:sz w:val="24"/>
          <w:szCs w:val="24"/>
          <w:lang w:eastAsia="pl-PL"/>
        </w:rPr>
        <w:t>tym przypadku za porozumienia pomiędzy organami właściwymi do spraw cyberbezpieczeństwa.</w:t>
      </w:r>
    </w:p>
    <w:p w14:paraId="38D9CC99" w14:textId="5B66DB4B"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Ponadto ustanowienie hierarchii priorytetów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odniesieniu do zadań nadzorczych, które oparte będzie na analizie ryzyka</w:t>
      </w:r>
      <w:r w:rsidR="00696728" w:rsidRPr="00833C88">
        <w:rPr>
          <w:rFonts w:eastAsia="Times New Roman" w:cs="Times New Roman"/>
          <w:sz w:val="24"/>
          <w:szCs w:val="24"/>
          <w:lang w:eastAsia="pl-PL"/>
        </w:rPr>
        <w:t xml:space="preserve"> przeprowadzanej przez organ właściwy do spraw cyberbezpieczeństwa</w:t>
      </w:r>
      <w:r w:rsidRPr="00833C88">
        <w:rPr>
          <w:rFonts w:eastAsia="Times New Roman" w:cs="Times New Roman"/>
          <w:sz w:val="24"/>
          <w:szCs w:val="24"/>
          <w:lang w:eastAsia="pl-PL"/>
        </w:rPr>
        <w:t xml:space="preserve">, pozwoli na dobór efektywnej formy nadzoru dostosowanej do sytuacji nadzorowanego podmiotu.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celu zapewnienia maksymalnej efektywności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sytuacji</w:t>
      </w:r>
      <w:r w:rsidR="009C077F" w:rsidRPr="00833C88">
        <w:rPr>
          <w:rFonts w:eastAsia="Times New Roman" w:cs="Times New Roman"/>
          <w:sz w:val="24"/>
          <w:szCs w:val="24"/>
          <w:lang w:eastAsia="pl-PL"/>
        </w:rPr>
        <w:t>,</w:t>
      </w:r>
      <w:r w:rsidRPr="00833C88">
        <w:rPr>
          <w:rFonts w:eastAsia="Times New Roman" w:cs="Times New Roman"/>
          <w:sz w:val="24"/>
          <w:szCs w:val="24"/>
          <w:lang w:eastAsia="pl-PL"/>
        </w:rPr>
        <w:t xml:space="preserve"> w</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 xml:space="preserve">której organy zdecydują się wprowadzić metodykę nadzoru zobowiązane będą do jej przeglądu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oceny co 2 lata.</w:t>
      </w:r>
    </w:p>
    <w:p w14:paraId="4B018732" w14:textId="2F5FD30E" w:rsidR="00D23D2D"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D23D2D" w:rsidRPr="00833C88">
        <w:rPr>
          <w:rFonts w:eastAsia="Times New Roman" w:cs="Times New Roman"/>
          <w:sz w:val="24"/>
          <w:szCs w:val="24"/>
          <w:lang w:eastAsia="pl-PL"/>
        </w:rPr>
        <w:t xml:space="preserve">celu przeprowadzenia analizy ryzyka organ właściwy do spraw cyberbezpieczeństwa będzie mógł skorzystać </w:t>
      </w:r>
      <w:r w:rsidRPr="00833C88">
        <w:rPr>
          <w:rFonts w:eastAsia="Times New Roman" w:cs="Times New Roman"/>
          <w:sz w:val="24"/>
          <w:szCs w:val="24"/>
          <w:lang w:eastAsia="pl-PL"/>
        </w:rPr>
        <w:t>z </w:t>
      </w:r>
      <w:r w:rsidR="00D23D2D" w:rsidRPr="00833C88">
        <w:rPr>
          <w:rFonts w:eastAsia="Times New Roman" w:cs="Times New Roman"/>
          <w:sz w:val="24"/>
          <w:szCs w:val="24"/>
          <w:lang w:eastAsia="pl-PL"/>
        </w:rPr>
        <w:t>kompetencji</w:t>
      </w:r>
      <w:r w:rsidR="00E371E3" w:rsidRPr="00833C88">
        <w:rPr>
          <w:rFonts w:eastAsia="Times New Roman" w:cs="Times New Roman"/>
          <w:sz w:val="24"/>
          <w:szCs w:val="24"/>
          <w:lang w:eastAsia="pl-PL"/>
        </w:rPr>
        <w:t xml:space="preserve"> określonej </w:t>
      </w:r>
      <w:r w:rsidRPr="00833C88">
        <w:rPr>
          <w:rFonts w:eastAsia="Times New Roman" w:cs="Times New Roman"/>
          <w:sz w:val="24"/>
          <w:szCs w:val="24"/>
          <w:lang w:eastAsia="pl-PL"/>
        </w:rPr>
        <w:t>w </w:t>
      </w:r>
      <w:r w:rsidR="00B27733" w:rsidRPr="00833C88">
        <w:rPr>
          <w:rFonts w:eastAsia="Times New Roman" w:cs="Times New Roman"/>
          <w:sz w:val="24"/>
          <w:szCs w:val="24"/>
          <w:lang w:eastAsia="pl-PL"/>
        </w:rPr>
        <w:t xml:space="preserve">projektowanym </w:t>
      </w:r>
      <w:r w:rsidR="00617770" w:rsidRPr="00833C88">
        <w:rPr>
          <w:rFonts w:eastAsia="Times New Roman" w:cs="Times New Roman"/>
          <w:sz w:val="24"/>
          <w:szCs w:val="24"/>
          <w:lang w:eastAsia="pl-PL"/>
        </w:rPr>
        <w:t>art. 53c ust. 1 ustawy</w:t>
      </w:r>
      <w:r w:rsidR="00B27733" w:rsidRPr="00833C88">
        <w:rPr>
          <w:rFonts w:eastAsia="Times New Roman" w:cs="Times New Roman"/>
          <w:sz w:val="24"/>
          <w:szCs w:val="24"/>
          <w:lang w:eastAsia="pl-PL"/>
        </w:rPr>
        <w:t xml:space="preserve"> </w:t>
      </w:r>
      <w:r w:rsidRPr="00833C88">
        <w:rPr>
          <w:rFonts w:eastAsia="Times New Roman" w:cs="Times New Roman"/>
          <w:sz w:val="24"/>
          <w:szCs w:val="24"/>
          <w:lang w:eastAsia="pl-PL"/>
        </w:rPr>
        <w:t>o </w:t>
      </w:r>
      <w:r w:rsidR="00B27733" w:rsidRPr="00833C88">
        <w:rPr>
          <w:rFonts w:eastAsia="Times New Roman" w:cs="Times New Roman"/>
          <w:sz w:val="24"/>
          <w:szCs w:val="24"/>
          <w:lang w:eastAsia="pl-PL"/>
        </w:rPr>
        <w:t>KSC</w:t>
      </w:r>
      <w:r w:rsidR="00617770" w:rsidRPr="00833C88">
        <w:rPr>
          <w:rFonts w:eastAsia="Times New Roman" w:cs="Times New Roman"/>
          <w:sz w:val="24"/>
          <w:szCs w:val="24"/>
          <w:lang w:eastAsia="pl-PL"/>
        </w:rPr>
        <w:t>.</w:t>
      </w:r>
    </w:p>
    <w:p w14:paraId="168ADC28" w14:textId="0A308DF1" w:rsidR="00281641" w:rsidRPr="00833C88" w:rsidRDefault="00281641" w:rsidP="005B6736">
      <w:pPr>
        <w:pStyle w:val="Nagwek3"/>
        <w:spacing w:before="0" w:after="120" w:line="360" w:lineRule="auto"/>
        <w:jc w:val="both"/>
        <w:rPr>
          <w:rFonts w:cs="Times New Roman"/>
          <w:b/>
          <w:bCs/>
          <w:u w:val="none"/>
          <w:lang w:eastAsia="pl-PL"/>
        </w:rPr>
      </w:pPr>
      <w:r w:rsidRPr="00833C88">
        <w:rPr>
          <w:rFonts w:cs="Times New Roman"/>
          <w:b/>
          <w:bCs/>
          <w:u w:val="none"/>
          <w:lang w:eastAsia="pl-PL"/>
        </w:rPr>
        <w:lastRenderedPageBreak/>
        <w:t xml:space="preserve">Obowiązek przekazywania danych, informacji </w:t>
      </w:r>
      <w:r w:rsidR="00601933" w:rsidRPr="00833C88">
        <w:rPr>
          <w:rFonts w:cs="Times New Roman"/>
          <w:b/>
          <w:bCs/>
          <w:u w:val="none"/>
          <w:lang w:eastAsia="pl-PL"/>
        </w:rPr>
        <w:t>i </w:t>
      </w:r>
      <w:r w:rsidRPr="00833C88">
        <w:rPr>
          <w:rFonts w:cs="Times New Roman"/>
          <w:b/>
          <w:bCs/>
          <w:u w:val="none"/>
          <w:lang w:eastAsia="pl-PL"/>
        </w:rPr>
        <w:t>dokumentów</w:t>
      </w:r>
    </w:p>
    <w:p w14:paraId="682CA473" w14:textId="5B5256B4" w:rsidR="00281641"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celu zagwarantowania prawidłowego realizowania kompetencji nadzorczych, </w:t>
      </w:r>
      <w:r w:rsidRPr="00833C88">
        <w:rPr>
          <w:rFonts w:eastAsia="Times New Roman" w:cs="Times New Roman"/>
          <w:sz w:val="24"/>
          <w:szCs w:val="24"/>
          <w:lang w:eastAsia="pl-PL"/>
        </w:rPr>
        <w:t>a </w:t>
      </w:r>
      <w:r w:rsidR="00281641" w:rsidRPr="00833C88">
        <w:rPr>
          <w:rFonts w:eastAsia="Times New Roman" w:cs="Times New Roman"/>
          <w:sz w:val="24"/>
          <w:szCs w:val="24"/>
          <w:lang w:eastAsia="pl-PL"/>
        </w:rPr>
        <w:t xml:space="preserve">tym samym podjęcia adekwatnych </w:t>
      </w:r>
      <w:r w:rsidRPr="00833C88">
        <w:rPr>
          <w:rFonts w:eastAsia="Times New Roman" w:cs="Times New Roman"/>
          <w:sz w:val="24"/>
          <w:szCs w:val="24"/>
          <w:lang w:eastAsia="pl-PL"/>
        </w:rPr>
        <w:t>i </w:t>
      </w:r>
      <w:r w:rsidR="00281641" w:rsidRPr="00833C88">
        <w:rPr>
          <w:rFonts w:eastAsia="Times New Roman" w:cs="Times New Roman"/>
          <w:sz w:val="24"/>
          <w:szCs w:val="24"/>
          <w:lang w:eastAsia="pl-PL"/>
        </w:rPr>
        <w:t xml:space="preserve">efektywnych działań, wprowadza się </w:t>
      </w:r>
      <w:r w:rsidRPr="00833C88">
        <w:rPr>
          <w:rFonts w:eastAsia="Times New Roman" w:cs="Times New Roman"/>
          <w:sz w:val="24"/>
          <w:szCs w:val="24"/>
          <w:lang w:eastAsia="pl-PL"/>
        </w:rPr>
        <w:t>w </w:t>
      </w:r>
      <w:r w:rsidR="00B27733" w:rsidRPr="00833C88">
        <w:rPr>
          <w:rFonts w:eastAsia="Times New Roman" w:cs="Times New Roman"/>
          <w:sz w:val="24"/>
          <w:szCs w:val="24"/>
          <w:lang w:eastAsia="pl-PL"/>
        </w:rPr>
        <w:t xml:space="preserve">ustawie </w:t>
      </w:r>
      <w:r w:rsidRPr="00833C88">
        <w:rPr>
          <w:rFonts w:eastAsia="Times New Roman" w:cs="Times New Roman"/>
          <w:sz w:val="24"/>
          <w:szCs w:val="24"/>
          <w:lang w:eastAsia="pl-PL"/>
        </w:rPr>
        <w:t>o </w:t>
      </w:r>
      <w:r w:rsidR="00B27733" w:rsidRPr="00833C88">
        <w:rPr>
          <w:rFonts w:eastAsia="Times New Roman" w:cs="Times New Roman"/>
          <w:sz w:val="24"/>
          <w:szCs w:val="24"/>
          <w:lang w:eastAsia="pl-PL"/>
        </w:rPr>
        <w:t xml:space="preserve">KSC </w:t>
      </w:r>
      <w:r w:rsidR="00281641" w:rsidRPr="00833C88">
        <w:rPr>
          <w:rFonts w:eastAsia="Times New Roman" w:cs="Times New Roman"/>
          <w:sz w:val="24"/>
          <w:szCs w:val="24"/>
          <w:lang w:eastAsia="pl-PL"/>
        </w:rPr>
        <w:t xml:space="preserve">art. 53c, który nakłada na podmioty kluczowe </w:t>
      </w:r>
      <w:r w:rsidRPr="00833C88">
        <w:rPr>
          <w:rFonts w:eastAsia="Times New Roman" w:cs="Times New Roman"/>
          <w:sz w:val="24"/>
          <w:szCs w:val="24"/>
          <w:lang w:eastAsia="pl-PL"/>
        </w:rPr>
        <w:t>i </w:t>
      </w:r>
      <w:r w:rsidR="001611C2" w:rsidRPr="00833C88">
        <w:rPr>
          <w:rFonts w:eastAsia="Times New Roman" w:cs="Times New Roman"/>
          <w:sz w:val="24"/>
          <w:szCs w:val="24"/>
          <w:lang w:eastAsia="pl-PL"/>
        </w:rPr>
        <w:t xml:space="preserve">podmioty </w:t>
      </w:r>
      <w:r w:rsidR="00281641" w:rsidRPr="00833C88">
        <w:rPr>
          <w:rFonts w:eastAsia="Times New Roman" w:cs="Times New Roman"/>
          <w:sz w:val="24"/>
          <w:szCs w:val="24"/>
          <w:lang w:eastAsia="pl-PL"/>
        </w:rPr>
        <w:t>ważne obowiązek dostarczenia organom właściwym do spraw cyberbezpieczeństwa na ich żądanie wszelkich danych, informacji i</w:t>
      </w:r>
      <w:r w:rsidR="009B4C26" w:rsidRPr="00833C88">
        <w:rPr>
          <w:rFonts w:eastAsia="Times New Roman" w:cs="Times New Roman"/>
          <w:sz w:val="24"/>
          <w:szCs w:val="24"/>
          <w:lang w:eastAsia="pl-PL"/>
        </w:rPr>
        <w:t> </w:t>
      </w:r>
      <w:r w:rsidR="00281641" w:rsidRPr="00833C88">
        <w:rPr>
          <w:rFonts w:eastAsia="Times New Roman" w:cs="Times New Roman"/>
          <w:sz w:val="24"/>
          <w:szCs w:val="24"/>
          <w:lang w:eastAsia="pl-PL"/>
        </w:rPr>
        <w:t xml:space="preserve">dokumentów niezbędnych do wykonywania przez te organy ich uprawnień </w:t>
      </w:r>
      <w:r w:rsidRPr="00833C88">
        <w:rPr>
          <w:rFonts w:eastAsia="Times New Roman" w:cs="Times New Roman"/>
          <w:sz w:val="24"/>
          <w:szCs w:val="24"/>
          <w:lang w:eastAsia="pl-PL"/>
        </w:rPr>
        <w:t>i </w:t>
      </w:r>
      <w:r w:rsidR="00281641" w:rsidRPr="00833C88">
        <w:rPr>
          <w:rFonts w:eastAsia="Times New Roman" w:cs="Times New Roman"/>
          <w:sz w:val="24"/>
          <w:szCs w:val="24"/>
          <w:lang w:eastAsia="pl-PL"/>
        </w:rPr>
        <w:t xml:space="preserve">obowiązków określonych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ustawie.</w:t>
      </w:r>
    </w:p>
    <w:p w14:paraId="13ADB948" w14:textId="62765A0C"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Określono również elementy</w:t>
      </w:r>
      <w:r w:rsidR="00377DD9">
        <w:rPr>
          <w:rFonts w:eastAsia="Times New Roman" w:cs="Times New Roman"/>
          <w:sz w:val="24"/>
          <w:szCs w:val="24"/>
          <w:lang w:eastAsia="pl-PL"/>
        </w:rPr>
        <w:t>, które</w:t>
      </w:r>
      <w:r w:rsidRPr="00833C88">
        <w:rPr>
          <w:rFonts w:eastAsia="Times New Roman" w:cs="Times New Roman"/>
          <w:sz w:val="24"/>
          <w:szCs w:val="24"/>
          <w:lang w:eastAsia="pl-PL"/>
        </w:rPr>
        <w:t xml:space="preserve"> żądanie organu właściwego do spraw cyberbezpieczeństwa powinno zawierać. Istotnym obwarowaniem jest również określenie, iż żądanie powinno być proporcjonalne do celu jakiemu ma służyć. Oznacza to, że nie jest możliwe żądanie udostępnienia takich informacji, dokumentów czy danych, które nie są konieczne, adekwatne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proporcjonalne do wykonywania przez organ jego obowiązków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uprawnień. </w:t>
      </w:r>
    </w:p>
    <w:p w14:paraId="0AA9A90B" w14:textId="7A649DD1" w:rsidR="00281641" w:rsidRPr="00833C88" w:rsidRDefault="00281641" w:rsidP="005B6736">
      <w:pPr>
        <w:pStyle w:val="Nagwek3"/>
        <w:spacing w:before="0" w:after="120" w:line="360" w:lineRule="auto"/>
        <w:jc w:val="both"/>
        <w:rPr>
          <w:rFonts w:cs="Times New Roman"/>
          <w:b/>
          <w:bCs/>
          <w:u w:val="none"/>
        </w:rPr>
      </w:pPr>
      <w:r w:rsidRPr="00833C88">
        <w:rPr>
          <w:rFonts w:cs="Times New Roman"/>
          <w:b/>
          <w:bCs/>
          <w:u w:val="none"/>
        </w:rPr>
        <w:t xml:space="preserve">Czynności kontrolne </w:t>
      </w:r>
    </w:p>
    <w:p w14:paraId="29C6D314" w14:textId="64A1BB63" w:rsidR="00281641"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toku przeglądu przepisów ustawy </w:t>
      </w:r>
      <w:r w:rsidRPr="00833C88">
        <w:rPr>
          <w:rFonts w:eastAsia="Times New Roman" w:cs="Times New Roman"/>
          <w:sz w:val="24"/>
          <w:szCs w:val="24"/>
          <w:lang w:eastAsia="pl-PL"/>
        </w:rPr>
        <w:t>o </w:t>
      </w:r>
      <w:r w:rsidR="00B27733" w:rsidRPr="00833C88">
        <w:rPr>
          <w:rFonts w:eastAsia="Times New Roman" w:cs="Times New Roman"/>
          <w:sz w:val="24"/>
          <w:szCs w:val="24"/>
          <w:lang w:eastAsia="pl-PL"/>
        </w:rPr>
        <w:t xml:space="preserve">KSC </w:t>
      </w:r>
      <w:r w:rsidR="00281641" w:rsidRPr="00833C88">
        <w:rPr>
          <w:rFonts w:eastAsia="Times New Roman" w:cs="Times New Roman"/>
          <w:sz w:val="24"/>
          <w:szCs w:val="24"/>
          <w:lang w:eastAsia="pl-PL"/>
        </w:rPr>
        <w:t>oraz na podstawie doświadczeń z</w:t>
      </w:r>
      <w:r w:rsidR="001611C2" w:rsidRPr="00833C88">
        <w:rPr>
          <w:rFonts w:eastAsia="Times New Roman" w:cs="Times New Roman"/>
          <w:sz w:val="24"/>
          <w:szCs w:val="24"/>
          <w:lang w:eastAsia="pl-PL"/>
        </w:rPr>
        <w:t> </w:t>
      </w:r>
      <w:r w:rsidR="00281641" w:rsidRPr="00833C88">
        <w:rPr>
          <w:rFonts w:eastAsia="Times New Roman" w:cs="Times New Roman"/>
          <w:sz w:val="24"/>
          <w:szCs w:val="24"/>
          <w:lang w:eastAsia="pl-PL"/>
        </w:rPr>
        <w:t xml:space="preserve">przeprowadzonych na podstawie tych przepisów czynności kontrolnych, zidentyfikowano problemy znacznie utrudniające prawidłowe realizowanie tych czynności. </w:t>
      </w:r>
      <w:r w:rsidRPr="00833C88">
        <w:rPr>
          <w:rFonts w:eastAsia="Times New Roman" w:cs="Times New Roman"/>
          <w:sz w:val="24"/>
          <w:szCs w:val="24"/>
          <w:lang w:eastAsia="pl-PL"/>
        </w:rPr>
        <w:t>Z </w:t>
      </w:r>
      <w:r w:rsidR="00281641" w:rsidRPr="00833C88">
        <w:rPr>
          <w:rFonts w:eastAsia="Times New Roman" w:cs="Times New Roman"/>
          <w:sz w:val="24"/>
          <w:szCs w:val="24"/>
          <w:lang w:eastAsia="pl-PL"/>
        </w:rPr>
        <w:t xml:space="preserve">tego względu zdecydowano się na wprowadzenie zmian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art. 54 </w:t>
      </w:r>
      <w:r w:rsidRPr="00833C88">
        <w:rPr>
          <w:rFonts w:eastAsia="Times New Roman" w:cs="Times New Roman"/>
          <w:sz w:val="24"/>
          <w:szCs w:val="24"/>
          <w:lang w:eastAsia="pl-PL"/>
        </w:rPr>
        <w:t>i </w:t>
      </w:r>
      <w:r w:rsidR="001611C2" w:rsidRPr="00833C88">
        <w:rPr>
          <w:rFonts w:eastAsia="Times New Roman" w:cs="Times New Roman"/>
          <w:sz w:val="24"/>
          <w:szCs w:val="24"/>
          <w:lang w:eastAsia="pl-PL"/>
        </w:rPr>
        <w:t xml:space="preserve">art. </w:t>
      </w:r>
      <w:r w:rsidR="00281641" w:rsidRPr="00833C88">
        <w:rPr>
          <w:rFonts w:eastAsia="Times New Roman" w:cs="Times New Roman"/>
          <w:sz w:val="24"/>
          <w:szCs w:val="24"/>
          <w:lang w:eastAsia="pl-PL"/>
        </w:rPr>
        <w:t>58</w:t>
      </w:r>
      <w:r w:rsidR="00B27733" w:rsidRPr="00833C88">
        <w:rPr>
          <w:rFonts w:eastAsia="Times New Roman" w:cs="Times New Roman"/>
          <w:sz w:val="24"/>
          <w:szCs w:val="24"/>
          <w:lang w:eastAsia="pl-PL"/>
        </w:rPr>
        <w:t xml:space="preserve"> ustawy </w:t>
      </w:r>
      <w:r w:rsidRPr="00833C88">
        <w:rPr>
          <w:rFonts w:eastAsia="Times New Roman" w:cs="Times New Roman"/>
          <w:sz w:val="24"/>
          <w:szCs w:val="24"/>
          <w:lang w:eastAsia="pl-PL"/>
        </w:rPr>
        <w:t>o </w:t>
      </w:r>
      <w:r w:rsidR="00B27733" w:rsidRPr="00833C88">
        <w:rPr>
          <w:rFonts w:eastAsia="Times New Roman" w:cs="Times New Roman"/>
          <w:sz w:val="24"/>
          <w:szCs w:val="24"/>
          <w:lang w:eastAsia="pl-PL"/>
        </w:rPr>
        <w:t>KSC</w:t>
      </w:r>
      <w:r w:rsidR="00281641" w:rsidRPr="00833C88">
        <w:rPr>
          <w:rFonts w:eastAsia="Times New Roman" w:cs="Times New Roman"/>
          <w:sz w:val="24"/>
          <w:szCs w:val="24"/>
          <w:lang w:eastAsia="pl-PL"/>
        </w:rPr>
        <w:t>.</w:t>
      </w:r>
    </w:p>
    <w:p w14:paraId="4B9C7610" w14:textId="627B0074"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54 </w:t>
      </w:r>
      <w:r w:rsidR="00B27733"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B27733" w:rsidRPr="00833C88">
        <w:rPr>
          <w:rFonts w:eastAsia="Times New Roman" w:cs="Times New Roman"/>
          <w:sz w:val="24"/>
          <w:szCs w:val="24"/>
          <w:lang w:eastAsia="pl-PL"/>
        </w:rPr>
        <w:t xml:space="preserve">KSC </w:t>
      </w:r>
      <w:r w:rsidRPr="00833C88">
        <w:rPr>
          <w:rFonts w:eastAsia="Times New Roman" w:cs="Times New Roman"/>
          <w:sz w:val="24"/>
          <w:szCs w:val="24"/>
          <w:lang w:eastAsia="pl-PL"/>
        </w:rPr>
        <w:t xml:space="preserve">mają charakter dostosowujący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są konsekwencją zmian poczynionych w</w:t>
      </w:r>
      <w:r w:rsidR="001611C2" w:rsidRPr="00833C88">
        <w:rPr>
          <w:rFonts w:eastAsia="Times New Roman" w:cs="Times New Roman"/>
          <w:sz w:val="24"/>
          <w:szCs w:val="24"/>
          <w:lang w:eastAsia="pl-PL"/>
        </w:rPr>
        <w:t> </w:t>
      </w:r>
      <w:r w:rsidRPr="00833C88">
        <w:rPr>
          <w:rFonts w:eastAsia="Times New Roman" w:cs="Times New Roman"/>
          <w:sz w:val="24"/>
          <w:szCs w:val="24"/>
          <w:lang w:eastAsia="pl-PL"/>
        </w:rPr>
        <w:t xml:space="preserve">pozostałych przepisach. </w:t>
      </w:r>
    </w:p>
    <w:p w14:paraId="4C6A2ECF" w14:textId="3AC3ED6A" w:rsidR="00281641"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nowym brzmieniu art. 58 </w:t>
      </w:r>
      <w:r w:rsidR="00B27733" w:rsidRPr="00833C88">
        <w:rPr>
          <w:rFonts w:eastAsia="Times New Roman" w:cs="Times New Roman"/>
          <w:sz w:val="24"/>
          <w:szCs w:val="24"/>
          <w:lang w:eastAsia="pl-PL"/>
        </w:rPr>
        <w:t xml:space="preserve">ustawy </w:t>
      </w:r>
      <w:r w:rsidRPr="00833C88">
        <w:rPr>
          <w:rFonts w:eastAsia="Times New Roman" w:cs="Times New Roman"/>
          <w:sz w:val="24"/>
          <w:szCs w:val="24"/>
          <w:lang w:eastAsia="pl-PL"/>
        </w:rPr>
        <w:t>o </w:t>
      </w:r>
      <w:r w:rsidR="00B27733" w:rsidRPr="00833C88">
        <w:rPr>
          <w:rFonts w:eastAsia="Times New Roman" w:cs="Times New Roman"/>
          <w:sz w:val="24"/>
          <w:szCs w:val="24"/>
          <w:lang w:eastAsia="pl-PL"/>
        </w:rPr>
        <w:t xml:space="preserve">KSC </w:t>
      </w:r>
      <w:r w:rsidR="00281641" w:rsidRPr="00833C88">
        <w:rPr>
          <w:rFonts w:eastAsia="Times New Roman" w:cs="Times New Roman"/>
          <w:sz w:val="24"/>
          <w:szCs w:val="24"/>
          <w:lang w:eastAsia="pl-PL"/>
        </w:rPr>
        <w:t xml:space="preserve">wskazano wyraźnie, że kontrolowany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przypadku zastrzeżeń co</w:t>
      </w:r>
      <w:r w:rsidR="001611C2" w:rsidRPr="00833C88">
        <w:rPr>
          <w:rFonts w:eastAsia="Times New Roman" w:cs="Times New Roman"/>
          <w:sz w:val="24"/>
          <w:szCs w:val="24"/>
          <w:lang w:eastAsia="pl-PL"/>
        </w:rPr>
        <w:t> </w:t>
      </w:r>
      <w:r w:rsidR="00281641" w:rsidRPr="00833C88">
        <w:rPr>
          <w:rFonts w:eastAsia="Times New Roman" w:cs="Times New Roman"/>
          <w:sz w:val="24"/>
          <w:szCs w:val="24"/>
          <w:lang w:eastAsia="pl-PL"/>
        </w:rPr>
        <w:t xml:space="preserve">do ustaleń zawartych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protokole kontroli ma prawo odmówić jego podpisania, </w:t>
      </w:r>
      <w:r w:rsidRPr="00833C88">
        <w:rPr>
          <w:rFonts w:eastAsia="Times New Roman" w:cs="Times New Roman"/>
          <w:sz w:val="24"/>
          <w:szCs w:val="24"/>
          <w:lang w:eastAsia="pl-PL"/>
        </w:rPr>
        <w:t>a </w:t>
      </w:r>
      <w:r w:rsidR="00281641" w:rsidRPr="00833C88">
        <w:rPr>
          <w:rFonts w:eastAsia="Times New Roman" w:cs="Times New Roman"/>
          <w:sz w:val="24"/>
          <w:szCs w:val="24"/>
          <w:lang w:eastAsia="pl-PL"/>
        </w:rPr>
        <w:t xml:space="preserve">także złożyć umotywowane pisemne zastrzeżenia do tego protokołu </w:t>
      </w:r>
      <w:r w:rsidRPr="00833C88">
        <w:rPr>
          <w:rFonts w:eastAsia="Times New Roman" w:cs="Times New Roman"/>
          <w:sz w:val="24"/>
          <w:szCs w:val="24"/>
          <w:lang w:eastAsia="pl-PL"/>
        </w:rPr>
        <w:t>w </w:t>
      </w:r>
      <w:r w:rsidR="00281641" w:rsidRPr="00833C88">
        <w:rPr>
          <w:rFonts w:eastAsia="Times New Roman" w:cs="Times New Roman"/>
          <w:sz w:val="24"/>
          <w:szCs w:val="24"/>
          <w:lang w:eastAsia="pl-PL"/>
        </w:rPr>
        <w:t xml:space="preserve">terminie 7 dni od dnia przedstawienia mu protokołu kontroli do podpisu. Nie tylko podkreślono zatem uprawnienie kontrolowanego do odmowy podpisania </w:t>
      </w:r>
      <w:proofErr w:type="gramStart"/>
      <w:r w:rsidR="00281641" w:rsidRPr="00833C88">
        <w:rPr>
          <w:rFonts w:eastAsia="Times New Roman" w:cs="Times New Roman"/>
          <w:sz w:val="24"/>
          <w:szCs w:val="24"/>
          <w:lang w:eastAsia="pl-PL"/>
        </w:rPr>
        <w:t>protokołu</w:t>
      </w:r>
      <w:proofErr w:type="gramEnd"/>
      <w:r w:rsidR="00281641" w:rsidRPr="00833C88">
        <w:rPr>
          <w:rFonts w:eastAsia="Times New Roman" w:cs="Times New Roman"/>
          <w:sz w:val="24"/>
          <w:szCs w:val="24"/>
          <w:lang w:eastAsia="pl-PL"/>
        </w:rPr>
        <w:t xml:space="preserve"> ale </w:t>
      </w:r>
      <w:r w:rsidRPr="00833C88">
        <w:rPr>
          <w:rFonts w:eastAsia="Times New Roman" w:cs="Times New Roman"/>
          <w:sz w:val="24"/>
          <w:szCs w:val="24"/>
          <w:lang w:eastAsia="pl-PL"/>
        </w:rPr>
        <w:t>i </w:t>
      </w:r>
      <w:r w:rsidR="00281641" w:rsidRPr="00833C88">
        <w:rPr>
          <w:rFonts w:eastAsia="Times New Roman" w:cs="Times New Roman"/>
          <w:sz w:val="24"/>
          <w:szCs w:val="24"/>
          <w:lang w:eastAsia="pl-PL"/>
        </w:rPr>
        <w:t>postanowiono, że pisemne zastrzeżenia powinny być umotywowane.</w:t>
      </w:r>
    </w:p>
    <w:p w14:paraId="2092A3BA" w14:textId="1F4BA205"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Obowiązek analizy zastrzeżeń przekazano na kierownika komórki do spraw kontroli jednocześnie zdejmując ten obowiązek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osoby prowadzącej czynności kontrolne. Kierownik komórki do spraw kontroli po analizie odrzuca zastrzeżenia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informuje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tym fakcie podmiot kontrolowany albo uwzględnia zastrzeżenia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całości lub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części lub je oddala. Kierownik komórki obowiązany jest również do sporządzenia stanowiska wobec złożonych zastrzeżeń.</w:t>
      </w:r>
      <w:r w:rsidR="00DB428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DB4289" w:rsidRPr="00833C88">
        <w:rPr>
          <w:rFonts w:eastAsia="Times New Roman" w:cs="Times New Roman"/>
          <w:sz w:val="24"/>
          <w:szCs w:val="24"/>
          <w:lang w:eastAsia="pl-PL"/>
        </w:rPr>
        <w:t xml:space="preserve">tym miejscu należy wskazać, że kierownik komórki do spraw kontroli nie oznacza, że organ właściwy do spraw cyberbezpieczeństwa obowiązany jest posiadać specjalnie wyodrębnioną </w:t>
      </w:r>
      <w:r w:rsidR="00DB4289" w:rsidRPr="00833C88">
        <w:rPr>
          <w:rFonts w:eastAsia="Times New Roman" w:cs="Times New Roman"/>
          <w:sz w:val="24"/>
          <w:szCs w:val="24"/>
          <w:lang w:eastAsia="pl-PL"/>
        </w:rPr>
        <w:lastRenderedPageBreak/>
        <w:t>komórkę do spraw kontroli.</w:t>
      </w:r>
      <w:r w:rsidR="00E67168" w:rsidRPr="00833C88">
        <w:rPr>
          <w:rFonts w:eastAsia="Times New Roman" w:cs="Times New Roman"/>
          <w:sz w:val="24"/>
          <w:szCs w:val="24"/>
          <w:lang w:eastAsia="pl-PL"/>
        </w:rPr>
        <w:t xml:space="preserve"> Przez komórkę do spraw kontroli należy rozumieć </w:t>
      </w:r>
      <w:r w:rsidR="002D28E5" w:rsidRPr="00833C88">
        <w:rPr>
          <w:rFonts w:eastAsia="Times New Roman" w:cs="Times New Roman"/>
          <w:sz w:val="24"/>
          <w:szCs w:val="24"/>
          <w:lang w:eastAsia="pl-PL"/>
        </w:rPr>
        <w:t xml:space="preserve">komórkę organizacyjną, która </w:t>
      </w:r>
      <w:r w:rsidR="00601933" w:rsidRPr="00833C88">
        <w:rPr>
          <w:rFonts w:eastAsia="Times New Roman" w:cs="Times New Roman"/>
          <w:sz w:val="24"/>
          <w:szCs w:val="24"/>
          <w:lang w:eastAsia="pl-PL"/>
        </w:rPr>
        <w:t>w </w:t>
      </w:r>
      <w:r w:rsidR="002D28E5" w:rsidRPr="00833C88">
        <w:rPr>
          <w:rFonts w:eastAsia="Times New Roman" w:cs="Times New Roman"/>
          <w:sz w:val="24"/>
          <w:szCs w:val="24"/>
          <w:lang w:eastAsia="pl-PL"/>
        </w:rPr>
        <w:t>ramach swoich zadań zajmuje się kontrolą</w:t>
      </w:r>
      <w:r w:rsidR="00B23A57" w:rsidRPr="00833C88">
        <w:rPr>
          <w:rFonts w:eastAsia="Times New Roman" w:cs="Times New Roman"/>
          <w:sz w:val="24"/>
          <w:szCs w:val="24"/>
          <w:lang w:eastAsia="pl-PL"/>
        </w:rPr>
        <w:t xml:space="preserve">. Kontrola może być zatem jednym </w:t>
      </w:r>
      <w:r w:rsidR="00601933" w:rsidRPr="00833C88">
        <w:rPr>
          <w:rFonts w:eastAsia="Times New Roman" w:cs="Times New Roman"/>
          <w:sz w:val="24"/>
          <w:szCs w:val="24"/>
          <w:lang w:eastAsia="pl-PL"/>
        </w:rPr>
        <w:t>z </w:t>
      </w:r>
      <w:r w:rsidR="00B23A57" w:rsidRPr="00833C88">
        <w:rPr>
          <w:rFonts w:eastAsia="Times New Roman" w:cs="Times New Roman"/>
          <w:sz w:val="24"/>
          <w:szCs w:val="24"/>
          <w:lang w:eastAsia="pl-PL"/>
        </w:rPr>
        <w:t xml:space="preserve">wielu zadań realizowanych </w:t>
      </w:r>
      <w:r w:rsidR="00601933" w:rsidRPr="00833C88">
        <w:rPr>
          <w:rFonts w:eastAsia="Times New Roman" w:cs="Times New Roman"/>
          <w:sz w:val="24"/>
          <w:szCs w:val="24"/>
          <w:lang w:eastAsia="pl-PL"/>
        </w:rPr>
        <w:t>w </w:t>
      </w:r>
      <w:r w:rsidR="00B23A57" w:rsidRPr="00833C88">
        <w:rPr>
          <w:rFonts w:eastAsia="Times New Roman" w:cs="Times New Roman"/>
          <w:sz w:val="24"/>
          <w:szCs w:val="24"/>
          <w:lang w:eastAsia="pl-PL"/>
        </w:rPr>
        <w:t>tej komórce</w:t>
      </w:r>
      <w:r w:rsidR="00CE7D27" w:rsidRPr="00833C88">
        <w:rPr>
          <w:rFonts w:eastAsia="Times New Roman" w:cs="Times New Roman"/>
          <w:sz w:val="24"/>
          <w:szCs w:val="24"/>
          <w:lang w:eastAsia="pl-PL"/>
        </w:rPr>
        <w:t>.</w:t>
      </w:r>
    </w:p>
    <w:p w14:paraId="349FD8F5" w14:textId="04F57984"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Osoba prowadząca czynności kontrole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razie potrzeby</w:t>
      </w:r>
      <w:r w:rsidR="00A70714"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A70714" w:rsidRPr="00833C88">
        <w:rPr>
          <w:rFonts w:eastAsia="Times New Roman" w:cs="Times New Roman"/>
          <w:sz w:val="24"/>
          <w:szCs w:val="24"/>
          <w:lang w:eastAsia="pl-PL"/>
        </w:rPr>
        <w:t>związku ze zgłoszonymi zastrzeżeniami,</w:t>
      </w:r>
      <w:r w:rsidRPr="00833C88">
        <w:rPr>
          <w:rFonts w:eastAsia="Times New Roman" w:cs="Times New Roman"/>
          <w:sz w:val="24"/>
          <w:szCs w:val="24"/>
          <w:lang w:eastAsia="pl-PL"/>
        </w:rPr>
        <w:t xml:space="preserve"> podejmuje dodatkowe czynności kontrolne, </w:t>
      </w:r>
      <w:r w:rsidR="00601933" w:rsidRPr="00833C88">
        <w:rPr>
          <w:rFonts w:eastAsia="Times New Roman" w:cs="Times New Roman"/>
          <w:sz w:val="24"/>
          <w:szCs w:val="24"/>
          <w:lang w:eastAsia="pl-PL"/>
        </w:rPr>
        <w:t>a w </w:t>
      </w:r>
      <w:r w:rsidRPr="00833C88">
        <w:rPr>
          <w:rFonts w:eastAsia="Times New Roman" w:cs="Times New Roman"/>
          <w:sz w:val="24"/>
          <w:szCs w:val="24"/>
          <w:lang w:eastAsia="pl-PL"/>
        </w:rPr>
        <w:t xml:space="preserve">przypadku stwierdzenia przez kierownika komórki do spraw kontroli zasadności zastrzeżeń zmienia lub uzupełnia odpowiednią część protokołu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formie aneksu.</w:t>
      </w:r>
    </w:p>
    <w:p w14:paraId="7353064B" w14:textId="3FCD6405"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Zmiana procedury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przypadku zastrzeżeń do protokołu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zaproponowanym brzmieniu pozwoli na zapewnienie większej efektywności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obiektywności.</w:t>
      </w:r>
    </w:p>
    <w:p w14:paraId="53255C89" w14:textId="33C890AF"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NIS</w:t>
      </w:r>
      <w:r w:rsidR="001611C2"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2 wprowadzono także regulację dotyczącą współpracy nadzorczej organów właściwych do spraw cyberbezpieczeństwa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organami innych państw członkowskich Unii Europejskiej. Współpraca ta dotyczy nadzoru nad podmiotami, które świadczą usługi na</w:t>
      </w:r>
      <w:r w:rsidR="009B4C26" w:rsidRPr="00833C88">
        <w:rPr>
          <w:rFonts w:eastAsia="Times New Roman" w:cs="Times New Roman"/>
          <w:sz w:val="24"/>
          <w:szCs w:val="24"/>
          <w:lang w:eastAsia="pl-PL"/>
        </w:rPr>
        <w:t> </w:t>
      </w:r>
      <w:r w:rsidRPr="00833C88">
        <w:rPr>
          <w:rFonts w:eastAsia="Times New Roman" w:cs="Times New Roman"/>
          <w:sz w:val="24"/>
          <w:szCs w:val="24"/>
          <w:lang w:eastAsia="pl-PL"/>
        </w:rPr>
        <w:t>terytorium R</w:t>
      </w:r>
      <w:r w:rsidR="00B27733" w:rsidRPr="00833C88">
        <w:rPr>
          <w:rFonts w:eastAsia="Times New Roman" w:cs="Times New Roman"/>
          <w:sz w:val="24"/>
          <w:szCs w:val="24"/>
          <w:lang w:eastAsia="pl-PL"/>
        </w:rPr>
        <w:t>zeczypospolitej Polskiej</w:t>
      </w:r>
      <w:r w:rsidRPr="00833C88">
        <w:rPr>
          <w:rFonts w:eastAsia="Times New Roman" w:cs="Times New Roman"/>
          <w:sz w:val="24"/>
          <w:szCs w:val="24"/>
          <w:lang w:eastAsia="pl-PL"/>
        </w:rPr>
        <w:t xml:space="preserve">, ale ich siedziba znajduje się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innym państwie – albo sytuacji odwrotnej.</w:t>
      </w:r>
      <w:r w:rsidR="006753F1" w:rsidRPr="00833C88">
        <w:rPr>
          <w:rFonts w:eastAsia="Times New Roman" w:cs="Times New Roman"/>
          <w:sz w:val="24"/>
          <w:szCs w:val="24"/>
          <w:lang w:eastAsia="pl-PL"/>
        </w:rPr>
        <w:t xml:space="preserve"> Należy tą współpracę rozumieć szeroko</w:t>
      </w:r>
      <w:r w:rsidR="00266965" w:rsidRPr="00833C88">
        <w:rPr>
          <w:rFonts w:eastAsia="Times New Roman" w:cs="Times New Roman"/>
          <w:sz w:val="24"/>
          <w:szCs w:val="24"/>
          <w:lang w:eastAsia="pl-PL"/>
        </w:rPr>
        <w:t xml:space="preserve">, w ramach tej współpracy organy właściwe do spraw cyberbezpieczeństwa będą mogły </w:t>
      </w:r>
      <w:r w:rsidR="00724E78" w:rsidRPr="00833C88">
        <w:rPr>
          <w:rFonts w:eastAsia="Times New Roman" w:cs="Times New Roman"/>
          <w:sz w:val="24"/>
          <w:szCs w:val="24"/>
          <w:lang w:eastAsia="pl-PL"/>
        </w:rPr>
        <w:t>konsultować się w ramach nadzoru nad podmiotem, który świadczy usługi na terytorium Polski.</w:t>
      </w:r>
      <w:r w:rsidR="00B2709E" w:rsidRPr="00833C88">
        <w:rPr>
          <w:rFonts w:eastAsia="Times New Roman" w:cs="Times New Roman"/>
          <w:sz w:val="24"/>
          <w:szCs w:val="24"/>
          <w:lang w:eastAsia="pl-PL"/>
        </w:rPr>
        <w:t xml:space="preserve"> Polski organ właściwy do spraw cyberbezpieczeństwa będzie zobligowany do udzielenia wsparcia </w:t>
      </w:r>
      <w:r w:rsidR="002C3DDE" w:rsidRPr="00833C88">
        <w:rPr>
          <w:rFonts w:eastAsia="Times New Roman" w:cs="Times New Roman"/>
          <w:sz w:val="24"/>
          <w:szCs w:val="24"/>
          <w:lang w:eastAsia="pl-PL"/>
        </w:rPr>
        <w:t>w sprawowaniu nadzoru nad podmiotami kluczowymi lub podmiotami ważnymi, których systemy informacyjne znajdują się na terytorium Rzeczypospolitej Polskiej</w:t>
      </w:r>
      <w:r w:rsidR="00B06A43" w:rsidRPr="00833C88">
        <w:rPr>
          <w:rFonts w:eastAsia="Times New Roman" w:cs="Times New Roman"/>
          <w:sz w:val="24"/>
          <w:szCs w:val="24"/>
          <w:lang w:eastAsia="pl-PL"/>
        </w:rPr>
        <w:t xml:space="preserve">. Odmowa udzielenia tej pomocy będzie możliwa, gdy </w:t>
      </w:r>
      <w:r w:rsidR="0066654F" w:rsidRPr="00833C88">
        <w:rPr>
          <w:rFonts w:eastAsia="Times New Roman" w:cs="Times New Roman"/>
          <w:sz w:val="24"/>
          <w:szCs w:val="24"/>
          <w:lang w:eastAsia="pl-PL"/>
        </w:rPr>
        <w:t xml:space="preserve">polski organ właściwy do spraw cyberbezpieczeństwa nie jest właściwy w sprawie, </w:t>
      </w:r>
      <w:r w:rsidR="00392BC0" w:rsidRPr="00833C88">
        <w:rPr>
          <w:rFonts w:eastAsia="Times New Roman" w:cs="Times New Roman"/>
          <w:sz w:val="24"/>
          <w:szCs w:val="24"/>
          <w:lang w:eastAsia="pl-PL"/>
        </w:rPr>
        <w:t xml:space="preserve">żądana pomoc jest nieproporcjonalna do realizowanych przez organ zadań z zakresu nadzoru lub organ </w:t>
      </w:r>
      <w:r w:rsidR="00607170" w:rsidRPr="00833C88">
        <w:rPr>
          <w:rFonts w:eastAsia="Times New Roman" w:cs="Times New Roman"/>
          <w:sz w:val="24"/>
          <w:szCs w:val="24"/>
          <w:lang w:eastAsia="pl-PL"/>
        </w:rPr>
        <w:t>innego państwa członkowskiego Unii Europejskiej żąda udostępnienia informacji lub dokumentów, których udostępnienie narusza podstawowy interes bezpieczeństwa państwa, bezpieczeństwa i porządku publicznego lub obronności.</w:t>
      </w:r>
    </w:p>
    <w:p w14:paraId="7F74E6F1" w14:textId="0A4FE341" w:rsidR="009D6ED1" w:rsidRPr="00833C88" w:rsidRDefault="009D6ED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Wprowadzono także możli</w:t>
      </w:r>
      <w:r w:rsidR="00BD21E1" w:rsidRPr="00833C88">
        <w:rPr>
          <w:rFonts w:eastAsia="Times New Roman" w:cs="Times New Roman"/>
          <w:sz w:val="24"/>
          <w:szCs w:val="24"/>
          <w:lang w:eastAsia="pl-PL"/>
        </w:rPr>
        <w:t xml:space="preserve">wość prowadzenia wspólnych czynności nadzorczych z organem innego państwa członkowskiego Unii Europejskiej. </w:t>
      </w:r>
      <w:r w:rsidR="00EE6AC0" w:rsidRPr="00833C88">
        <w:rPr>
          <w:rFonts w:eastAsia="Times New Roman" w:cs="Times New Roman"/>
          <w:sz w:val="24"/>
          <w:szCs w:val="24"/>
          <w:lang w:eastAsia="pl-PL"/>
        </w:rPr>
        <w:t>Wprowadzono także przepisy o</w:t>
      </w:r>
      <w:r w:rsidR="001A275A" w:rsidRPr="00833C88">
        <w:rPr>
          <w:rFonts w:eastAsia="Times New Roman" w:cs="Times New Roman"/>
          <w:sz w:val="24"/>
          <w:szCs w:val="24"/>
          <w:lang w:eastAsia="pl-PL"/>
        </w:rPr>
        <w:t> </w:t>
      </w:r>
      <w:r w:rsidR="00EE6AC0" w:rsidRPr="00833C88">
        <w:rPr>
          <w:rFonts w:eastAsia="Times New Roman" w:cs="Times New Roman"/>
          <w:sz w:val="24"/>
          <w:szCs w:val="24"/>
          <w:lang w:eastAsia="pl-PL"/>
        </w:rPr>
        <w:t>współpracy z organami innych państwa członkowskich U</w:t>
      </w:r>
      <w:r w:rsidR="00AF7F17" w:rsidRPr="00833C88">
        <w:rPr>
          <w:rFonts w:eastAsia="Times New Roman" w:cs="Times New Roman"/>
          <w:sz w:val="24"/>
          <w:szCs w:val="24"/>
          <w:lang w:eastAsia="pl-PL"/>
        </w:rPr>
        <w:t xml:space="preserve">nii </w:t>
      </w:r>
      <w:r w:rsidR="00EE6AC0" w:rsidRPr="00833C88">
        <w:rPr>
          <w:rFonts w:eastAsia="Times New Roman" w:cs="Times New Roman"/>
          <w:sz w:val="24"/>
          <w:szCs w:val="24"/>
          <w:lang w:eastAsia="pl-PL"/>
        </w:rPr>
        <w:t>E</w:t>
      </w:r>
      <w:r w:rsidR="00AF7F17" w:rsidRPr="00833C88">
        <w:rPr>
          <w:rFonts w:eastAsia="Times New Roman" w:cs="Times New Roman"/>
          <w:sz w:val="24"/>
          <w:szCs w:val="24"/>
          <w:lang w:eastAsia="pl-PL"/>
        </w:rPr>
        <w:t>uropejskiej</w:t>
      </w:r>
      <w:r w:rsidR="00EE6AC0" w:rsidRPr="00833C88">
        <w:rPr>
          <w:rFonts w:eastAsia="Times New Roman" w:cs="Times New Roman"/>
          <w:sz w:val="24"/>
          <w:szCs w:val="24"/>
          <w:lang w:eastAsia="pl-PL"/>
        </w:rPr>
        <w:t xml:space="preserve"> właściwych do</w:t>
      </w:r>
      <w:r w:rsidR="001A275A" w:rsidRPr="00833C88">
        <w:rPr>
          <w:rFonts w:eastAsia="Times New Roman" w:cs="Times New Roman"/>
          <w:sz w:val="24"/>
          <w:szCs w:val="24"/>
          <w:lang w:eastAsia="pl-PL"/>
        </w:rPr>
        <w:t> </w:t>
      </w:r>
      <w:r w:rsidR="00EE6AC0" w:rsidRPr="00833C88">
        <w:rPr>
          <w:rFonts w:eastAsia="Times New Roman" w:cs="Times New Roman"/>
          <w:sz w:val="24"/>
          <w:szCs w:val="24"/>
          <w:lang w:eastAsia="pl-PL"/>
        </w:rPr>
        <w:t>st</w:t>
      </w:r>
      <w:r w:rsidR="003E191D" w:rsidRPr="00833C88">
        <w:rPr>
          <w:rFonts w:eastAsia="Times New Roman" w:cs="Times New Roman"/>
          <w:sz w:val="24"/>
          <w:szCs w:val="24"/>
          <w:lang w:eastAsia="pl-PL"/>
        </w:rPr>
        <w:t>osowania rozporządzenia DORA.</w:t>
      </w:r>
    </w:p>
    <w:p w14:paraId="76C3C097" w14:textId="6AF2FAA2" w:rsidR="00281641" w:rsidRPr="00833C88" w:rsidRDefault="0028164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Dodano także przepisy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informowaniu Prezesa Urzędu Ochrony Danych Osobowych o</w:t>
      </w:r>
      <w:r w:rsidR="001611C2" w:rsidRPr="00833C88">
        <w:rPr>
          <w:rFonts w:eastAsia="Times New Roman" w:cs="Times New Roman"/>
          <w:sz w:val="24"/>
          <w:szCs w:val="24"/>
          <w:lang w:eastAsia="pl-PL"/>
        </w:rPr>
        <w:t> </w:t>
      </w:r>
      <w:r w:rsidRPr="00833C88">
        <w:rPr>
          <w:rFonts w:eastAsia="Times New Roman" w:cs="Times New Roman"/>
          <w:sz w:val="24"/>
          <w:szCs w:val="24"/>
          <w:lang w:eastAsia="pl-PL"/>
        </w:rPr>
        <w:t>podejrzeniu nadużycia ochrony danych osobowych.</w:t>
      </w:r>
    </w:p>
    <w:p w14:paraId="59C43A9A" w14:textId="1797DCD1" w:rsidR="00F66A7D" w:rsidRPr="00833C88" w:rsidRDefault="00F66A7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Nadzór nad przetwarzaniem danych osobowych przez sądy powszechne sprawuje prezes sądu wyższego rzędu, a w przypadku Sądu Najwyższego – Krajowa Rada Sądownictwa. </w:t>
      </w:r>
      <w:r w:rsidRPr="00833C88">
        <w:rPr>
          <w:rFonts w:eastAsia="Times New Roman" w:cs="Times New Roman"/>
          <w:sz w:val="24"/>
          <w:szCs w:val="24"/>
          <w:lang w:eastAsia="pl-PL"/>
        </w:rPr>
        <w:lastRenderedPageBreak/>
        <w:t>W przypadku prokuratur rejonowych ten rodzaj nadzoru sprawuje prokurator okręgowy, prokuratury okręgowej – prokurator regionalny, a w przypadku prokuratur regionalnych i Prokuratury Krajowej – Prokurator Krajowy. Z tego względu ustawa przewiduje, że to te podmioty będą informowane przez organ właściwy do spraw cyberbezpieczeństwa, jeśli w toku czynności nadzorczych stwierdzone zostanie podejrzenie naruszenia danych osobowych odpowiednio w sądach powszechnych lub prokuraturach.</w:t>
      </w:r>
    </w:p>
    <w:p w14:paraId="08894E71" w14:textId="7951A218" w:rsidR="00CA3692" w:rsidRPr="00833C88" w:rsidRDefault="005C716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Wprowadza się także instytucję kontroli doraźnej (</w:t>
      </w:r>
      <w:r w:rsidR="00B27733" w:rsidRPr="00833C88">
        <w:rPr>
          <w:rFonts w:eastAsia="Times New Roman" w:cs="Times New Roman"/>
          <w:sz w:val="24"/>
          <w:szCs w:val="24"/>
          <w:lang w:eastAsia="pl-PL"/>
        </w:rPr>
        <w:t xml:space="preserve">projektowany </w:t>
      </w:r>
      <w:r w:rsidRPr="00833C88">
        <w:rPr>
          <w:rFonts w:eastAsia="Times New Roman" w:cs="Times New Roman"/>
          <w:sz w:val="24"/>
          <w:szCs w:val="24"/>
          <w:lang w:eastAsia="pl-PL"/>
        </w:rPr>
        <w:t>art. 59c</w:t>
      </w:r>
      <w:r w:rsidR="00B27733"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B27733" w:rsidRPr="00833C88">
        <w:rPr>
          <w:rFonts w:eastAsia="Times New Roman" w:cs="Times New Roman"/>
          <w:sz w:val="24"/>
          <w:szCs w:val="24"/>
          <w:lang w:eastAsia="pl-PL"/>
        </w:rPr>
        <w:t>KSC</w:t>
      </w:r>
      <w:r w:rsidRPr="00833C88">
        <w:rPr>
          <w:rFonts w:eastAsia="Times New Roman" w:cs="Times New Roman"/>
          <w:sz w:val="24"/>
          <w:szCs w:val="24"/>
          <w:lang w:eastAsia="pl-PL"/>
        </w:rPr>
        <w:t>), która jest jednym ze środków nadzorczych</w:t>
      </w:r>
      <w:r w:rsidR="00A2453F" w:rsidRPr="00833C88">
        <w:rPr>
          <w:rFonts w:eastAsia="Times New Roman" w:cs="Times New Roman"/>
          <w:sz w:val="24"/>
          <w:szCs w:val="24"/>
          <w:lang w:eastAsia="pl-PL"/>
        </w:rPr>
        <w:t xml:space="preserve">. Kontrola doraźna może zostać wszczęta </w:t>
      </w:r>
      <w:r w:rsidR="00601933" w:rsidRPr="00833C88">
        <w:rPr>
          <w:rFonts w:eastAsia="Times New Roman" w:cs="Times New Roman"/>
          <w:sz w:val="24"/>
          <w:szCs w:val="24"/>
          <w:lang w:eastAsia="pl-PL"/>
        </w:rPr>
        <w:t>w </w:t>
      </w:r>
      <w:r w:rsidR="00043EDA" w:rsidRPr="00833C88">
        <w:rPr>
          <w:rFonts w:eastAsia="Times New Roman" w:cs="Times New Roman"/>
          <w:sz w:val="24"/>
          <w:szCs w:val="24"/>
          <w:lang w:eastAsia="pl-PL"/>
        </w:rPr>
        <w:t>przypadkach uzasadnionych charakterem sprawy lub pilnością przeprowadzenia czynności kontrolnych</w:t>
      </w:r>
      <w:r w:rsidR="006A291B" w:rsidRPr="00833C88">
        <w:rPr>
          <w:rFonts w:eastAsia="Times New Roman" w:cs="Times New Roman"/>
          <w:sz w:val="24"/>
          <w:szCs w:val="24"/>
          <w:lang w:eastAsia="pl-PL"/>
        </w:rPr>
        <w:t xml:space="preserve"> wynikających z ochrony bezpieczeństwa państwa lub bezpieczeństwa i porządku publicznego lub w przypadku potrzeby realizacji wzajemnej pomocy, o której mowa w art. 59b ust. 1 lub</w:t>
      </w:r>
      <w:r w:rsidR="001A275A" w:rsidRPr="00833C88">
        <w:rPr>
          <w:rFonts w:eastAsia="Times New Roman" w:cs="Times New Roman"/>
          <w:sz w:val="24"/>
          <w:szCs w:val="24"/>
          <w:lang w:eastAsia="pl-PL"/>
        </w:rPr>
        <w:t> </w:t>
      </w:r>
      <w:r w:rsidR="006A291B" w:rsidRPr="00833C88">
        <w:rPr>
          <w:rFonts w:eastAsia="Times New Roman" w:cs="Times New Roman"/>
          <w:sz w:val="24"/>
          <w:szCs w:val="24"/>
          <w:lang w:eastAsia="pl-PL"/>
        </w:rPr>
        <w:t xml:space="preserve">potrzeby </w:t>
      </w:r>
      <w:proofErr w:type="gramStart"/>
      <w:r w:rsidR="006A291B" w:rsidRPr="00833C88">
        <w:rPr>
          <w:rFonts w:eastAsia="Times New Roman" w:cs="Times New Roman"/>
          <w:sz w:val="24"/>
          <w:szCs w:val="24"/>
          <w:lang w:eastAsia="pl-PL"/>
        </w:rPr>
        <w:t>sprawdzenia,</w:t>
      </w:r>
      <w:proofErr w:type="gramEnd"/>
      <w:r w:rsidR="006A291B" w:rsidRPr="00833C88">
        <w:rPr>
          <w:rFonts w:eastAsia="Times New Roman" w:cs="Times New Roman"/>
          <w:sz w:val="24"/>
          <w:szCs w:val="24"/>
          <w:lang w:eastAsia="pl-PL"/>
        </w:rPr>
        <w:t xml:space="preserve"> czy podmiot kluczowy usunął uchybienia lub zaprzestał dokonywania naruszeń</w:t>
      </w:r>
      <w:r w:rsidR="00043EDA" w:rsidRPr="00833C88">
        <w:rPr>
          <w:rFonts w:eastAsia="Times New Roman" w:cs="Times New Roman"/>
          <w:sz w:val="24"/>
          <w:szCs w:val="24"/>
          <w:lang w:eastAsia="pl-PL"/>
        </w:rPr>
        <w:t xml:space="preserve">. </w:t>
      </w:r>
      <w:r w:rsidR="007534B6" w:rsidRPr="00833C88">
        <w:rPr>
          <w:rFonts w:eastAsia="Times New Roman" w:cs="Times New Roman"/>
          <w:sz w:val="24"/>
          <w:szCs w:val="24"/>
          <w:lang w:eastAsia="pl-PL"/>
        </w:rPr>
        <w:t xml:space="preserve">Wskazano przykładowe sytuacje, </w:t>
      </w:r>
      <w:r w:rsidR="00601933" w:rsidRPr="00833C88">
        <w:rPr>
          <w:rFonts w:eastAsia="Times New Roman" w:cs="Times New Roman"/>
          <w:sz w:val="24"/>
          <w:szCs w:val="24"/>
          <w:lang w:eastAsia="pl-PL"/>
        </w:rPr>
        <w:t>w </w:t>
      </w:r>
      <w:r w:rsidR="007534B6" w:rsidRPr="00833C88">
        <w:rPr>
          <w:rFonts w:eastAsia="Times New Roman" w:cs="Times New Roman"/>
          <w:sz w:val="24"/>
          <w:szCs w:val="24"/>
          <w:lang w:eastAsia="pl-PL"/>
        </w:rPr>
        <w:t xml:space="preserve">których wszczęcie jest możliwe – będzie to m.in. kontrola wszczynana </w:t>
      </w:r>
      <w:r w:rsidR="00601933" w:rsidRPr="00833C88">
        <w:rPr>
          <w:rFonts w:eastAsia="Times New Roman" w:cs="Times New Roman"/>
          <w:sz w:val="24"/>
          <w:szCs w:val="24"/>
          <w:lang w:eastAsia="pl-PL"/>
        </w:rPr>
        <w:t>w </w:t>
      </w:r>
      <w:r w:rsidR="007534B6" w:rsidRPr="00833C88">
        <w:rPr>
          <w:rFonts w:eastAsia="Times New Roman" w:cs="Times New Roman"/>
          <w:sz w:val="24"/>
          <w:szCs w:val="24"/>
          <w:lang w:eastAsia="pl-PL"/>
        </w:rPr>
        <w:t>razie potrzeby sprawdzenia informacji uzyskanej od urzędnika monitorującego, że podmiot kluczowy może naruszać przepisy ustawy</w:t>
      </w:r>
      <w:r w:rsidR="00FB3314" w:rsidRPr="00833C88">
        <w:rPr>
          <w:rFonts w:eastAsia="Times New Roman" w:cs="Times New Roman"/>
          <w:sz w:val="24"/>
          <w:szCs w:val="24"/>
          <w:lang w:eastAsia="pl-PL"/>
        </w:rPr>
        <w:t xml:space="preserve"> albo </w:t>
      </w:r>
      <w:r w:rsidR="009230D3" w:rsidRPr="00833C88">
        <w:rPr>
          <w:rFonts w:eastAsia="Times New Roman" w:cs="Times New Roman"/>
          <w:sz w:val="24"/>
          <w:szCs w:val="24"/>
          <w:lang w:eastAsia="pl-PL"/>
        </w:rPr>
        <w:t xml:space="preserve">sprawdzenia, </w:t>
      </w:r>
      <w:r w:rsidR="00601933" w:rsidRPr="00833C88">
        <w:rPr>
          <w:rFonts w:eastAsia="Times New Roman" w:cs="Times New Roman"/>
          <w:sz w:val="24"/>
          <w:szCs w:val="24"/>
          <w:lang w:eastAsia="pl-PL"/>
        </w:rPr>
        <w:t>w </w:t>
      </w:r>
      <w:r w:rsidR="009230D3" w:rsidRPr="00833C88">
        <w:rPr>
          <w:rFonts w:eastAsia="Times New Roman" w:cs="Times New Roman"/>
          <w:sz w:val="24"/>
          <w:szCs w:val="24"/>
          <w:lang w:eastAsia="pl-PL"/>
        </w:rPr>
        <w:t xml:space="preserve">celu podjęcia działań na podstawie art. 53e ust. 4 </w:t>
      </w:r>
      <w:r w:rsidR="00601933" w:rsidRPr="00833C88">
        <w:rPr>
          <w:rFonts w:eastAsia="Times New Roman" w:cs="Times New Roman"/>
          <w:sz w:val="24"/>
          <w:szCs w:val="24"/>
          <w:lang w:eastAsia="pl-PL"/>
        </w:rPr>
        <w:t>i </w:t>
      </w:r>
      <w:r w:rsidR="009230D3" w:rsidRPr="00833C88">
        <w:rPr>
          <w:rFonts w:eastAsia="Times New Roman" w:cs="Times New Roman"/>
          <w:sz w:val="24"/>
          <w:szCs w:val="24"/>
          <w:lang w:eastAsia="pl-PL"/>
        </w:rPr>
        <w:t>5, czy podmiot kluczowy usunął uchybienia lub zaprzestał dokonywania naruszeń</w:t>
      </w:r>
      <w:r w:rsidR="007534B6" w:rsidRPr="00833C88">
        <w:rPr>
          <w:rFonts w:eastAsia="Times New Roman" w:cs="Times New Roman"/>
          <w:sz w:val="24"/>
          <w:szCs w:val="24"/>
          <w:lang w:eastAsia="pl-PL"/>
        </w:rPr>
        <w:t>.</w:t>
      </w:r>
      <w:r w:rsidR="006A291B" w:rsidRPr="00833C88">
        <w:rPr>
          <w:rFonts w:eastAsia="Times New Roman" w:cs="Times New Roman"/>
          <w:sz w:val="24"/>
          <w:szCs w:val="24"/>
          <w:lang w:eastAsia="pl-PL"/>
        </w:rPr>
        <w:t xml:space="preserve"> Z racji otwartego katalogu przesłanek wszczęcia kontroli doraźnej możliwe będzie również jej wszczęcie w celu sprawdzenia informacji zawartych w skargach i wnioskach, jeśli będzie to uzasadnione kwestiami bezpieczeństwa państwa, porządku publicznego czy będzie wynikało z potrzeby realizacji wzajemnej pomocy. </w:t>
      </w:r>
      <w:r w:rsidR="00693E0C" w:rsidRPr="00833C88">
        <w:rPr>
          <w:rFonts w:eastAsia="Times New Roman" w:cs="Times New Roman"/>
          <w:sz w:val="24"/>
          <w:szCs w:val="24"/>
          <w:lang w:eastAsia="pl-PL"/>
        </w:rPr>
        <w:t xml:space="preserve">Kontrola ta jest </w:t>
      </w:r>
      <w:r w:rsidR="00601933" w:rsidRPr="00833C88">
        <w:rPr>
          <w:rFonts w:eastAsia="Times New Roman" w:cs="Times New Roman"/>
          <w:sz w:val="24"/>
          <w:szCs w:val="24"/>
          <w:lang w:eastAsia="pl-PL"/>
        </w:rPr>
        <w:t>z </w:t>
      </w:r>
      <w:r w:rsidR="00693E0C" w:rsidRPr="00833C88">
        <w:rPr>
          <w:rFonts w:eastAsia="Times New Roman" w:cs="Times New Roman"/>
          <w:sz w:val="24"/>
          <w:szCs w:val="24"/>
          <w:lang w:eastAsia="pl-PL"/>
        </w:rPr>
        <w:t>reguły szybsza i</w:t>
      </w:r>
      <w:r w:rsidR="009B4C26" w:rsidRPr="00833C88">
        <w:rPr>
          <w:rFonts w:eastAsia="Times New Roman" w:cs="Times New Roman"/>
          <w:sz w:val="24"/>
          <w:szCs w:val="24"/>
          <w:lang w:eastAsia="pl-PL"/>
        </w:rPr>
        <w:t> </w:t>
      </w:r>
      <w:r w:rsidR="00693E0C" w:rsidRPr="00833C88">
        <w:rPr>
          <w:rFonts w:eastAsia="Times New Roman" w:cs="Times New Roman"/>
          <w:sz w:val="24"/>
          <w:szCs w:val="24"/>
          <w:lang w:eastAsia="pl-PL"/>
        </w:rPr>
        <w:t xml:space="preserve">prostsza, </w:t>
      </w:r>
      <w:r w:rsidR="00601933" w:rsidRPr="00833C88">
        <w:rPr>
          <w:rFonts w:eastAsia="Times New Roman" w:cs="Times New Roman"/>
          <w:sz w:val="24"/>
          <w:szCs w:val="24"/>
          <w:lang w:eastAsia="pl-PL"/>
        </w:rPr>
        <w:t>w </w:t>
      </w:r>
      <w:r w:rsidR="00693E0C"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00693E0C" w:rsidRPr="00833C88">
        <w:rPr>
          <w:rFonts w:eastAsia="Times New Roman" w:cs="Times New Roman"/>
          <w:sz w:val="24"/>
          <w:szCs w:val="24"/>
          <w:lang w:eastAsia="pl-PL"/>
        </w:rPr>
        <w:t xml:space="preserve">tym wyłącza się </w:t>
      </w:r>
      <w:r w:rsidR="00601933" w:rsidRPr="00833C88">
        <w:rPr>
          <w:rFonts w:eastAsia="Times New Roman" w:cs="Times New Roman"/>
          <w:sz w:val="24"/>
          <w:szCs w:val="24"/>
          <w:lang w:eastAsia="pl-PL"/>
        </w:rPr>
        <w:t>w </w:t>
      </w:r>
      <w:r w:rsidR="00693E0C" w:rsidRPr="00833C88">
        <w:rPr>
          <w:rFonts w:eastAsia="Times New Roman" w:cs="Times New Roman"/>
          <w:sz w:val="24"/>
          <w:szCs w:val="24"/>
          <w:lang w:eastAsia="pl-PL"/>
        </w:rPr>
        <w:t xml:space="preserve">stosunku do niej niektóre </w:t>
      </w:r>
      <w:r w:rsidR="00AD3196" w:rsidRPr="00833C88">
        <w:rPr>
          <w:rFonts w:eastAsia="Times New Roman" w:cs="Times New Roman"/>
          <w:sz w:val="24"/>
          <w:szCs w:val="24"/>
          <w:lang w:eastAsia="pl-PL"/>
        </w:rPr>
        <w:t>czynności, które mają miejsce przy kontroli przeprowadzanej na zasadach ogólnych.</w:t>
      </w:r>
      <w:r w:rsidR="00882FD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0A38E0" w:rsidRPr="00833C88">
        <w:rPr>
          <w:rFonts w:eastAsia="Times New Roman" w:cs="Times New Roman"/>
          <w:sz w:val="24"/>
          <w:szCs w:val="24"/>
          <w:lang w:eastAsia="pl-PL"/>
        </w:rPr>
        <w:t xml:space="preserve">nieuregulowanym zakresie stosuje się odpowiednio przepisy dotyczące kontroli sprawowanej na zasadach ogólnych, </w:t>
      </w:r>
      <w:r w:rsidR="00601933" w:rsidRPr="00833C88">
        <w:rPr>
          <w:rFonts w:eastAsia="Times New Roman" w:cs="Times New Roman"/>
          <w:sz w:val="24"/>
          <w:szCs w:val="24"/>
          <w:lang w:eastAsia="pl-PL"/>
        </w:rPr>
        <w:t>a </w:t>
      </w:r>
      <w:r w:rsidR="000A38E0" w:rsidRPr="00833C88">
        <w:rPr>
          <w:rFonts w:eastAsia="Times New Roman" w:cs="Times New Roman"/>
          <w:sz w:val="24"/>
          <w:szCs w:val="24"/>
          <w:lang w:eastAsia="pl-PL"/>
        </w:rPr>
        <w:t xml:space="preserve">zatem tych określonych m.in. </w:t>
      </w:r>
      <w:r w:rsidR="00601933" w:rsidRPr="00833C88">
        <w:rPr>
          <w:rFonts w:eastAsia="Times New Roman" w:cs="Times New Roman"/>
          <w:sz w:val="24"/>
          <w:szCs w:val="24"/>
          <w:lang w:eastAsia="pl-PL"/>
        </w:rPr>
        <w:t>w </w:t>
      </w:r>
      <w:r w:rsidR="000A38E0" w:rsidRPr="00833C88">
        <w:rPr>
          <w:rFonts w:eastAsia="Times New Roman" w:cs="Times New Roman"/>
          <w:sz w:val="24"/>
          <w:szCs w:val="24"/>
          <w:lang w:eastAsia="pl-PL"/>
        </w:rPr>
        <w:t xml:space="preserve">ustawie </w:t>
      </w:r>
      <w:r w:rsidR="00601933" w:rsidRPr="00833C88">
        <w:rPr>
          <w:rFonts w:eastAsia="Times New Roman" w:cs="Times New Roman"/>
          <w:sz w:val="24"/>
          <w:szCs w:val="24"/>
          <w:lang w:eastAsia="pl-PL"/>
        </w:rPr>
        <w:t>o </w:t>
      </w:r>
      <w:r w:rsidR="00B061E2" w:rsidRPr="00833C88">
        <w:rPr>
          <w:rFonts w:eastAsia="Times New Roman" w:cs="Times New Roman"/>
          <w:sz w:val="24"/>
          <w:szCs w:val="24"/>
          <w:lang w:eastAsia="pl-PL"/>
        </w:rPr>
        <w:t>KSC</w:t>
      </w:r>
      <w:r w:rsidR="000A38E0" w:rsidRPr="00833C88">
        <w:rPr>
          <w:rFonts w:eastAsia="Times New Roman" w:cs="Times New Roman"/>
          <w:sz w:val="24"/>
          <w:szCs w:val="24"/>
          <w:lang w:eastAsia="pl-PL"/>
        </w:rPr>
        <w:t xml:space="preserve">, ustawie </w:t>
      </w:r>
      <w:r w:rsidR="008400F1" w:rsidRPr="00833C88">
        <w:rPr>
          <w:rFonts w:cs="Times New Roman"/>
        </w:rPr>
        <w:t xml:space="preserve">z dnia 15 lipca 2011 r. </w:t>
      </w:r>
      <w:r w:rsidR="00601933" w:rsidRPr="00833C88">
        <w:rPr>
          <w:rFonts w:eastAsia="Times New Roman" w:cs="Times New Roman"/>
          <w:sz w:val="24"/>
          <w:szCs w:val="24"/>
          <w:lang w:eastAsia="pl-PL"/>
        </w:rPr>
        <w:t>o </w:t>
      </w:r>
      <w:r w:rsidR="000A38E0" w:rsidRPr="00833C88">
        <w:rPr>
          <w:rFonts w:eastAsia="Times New Roman" w:cs="Times New Roman"/>
          <w:sz w:val="24"/>
          <w:szCs w:val="24"/>
          <w:lang w:eastAsia="pl-PL"/>
        </w:rPr>
        <w:t xml:space="preserve">kontroli </w:t>
      </w:r>
      <w:r w:rsidR="00601933" w:rsidRPr="00833C88">
        <w:rPr>
          <w:rFonts w:eastAsia="Times New Roman" w:cs="Times New Roman"/>
          <w:sz w:val="24"/>
          <w:szCs w:val="24"/>
          <w:lang w:eastAsia="pl-PL"/>
        </w:rPr>
        <w:t>w </w:t>
      </w:r>
      <w:r w:rsidR="000A38E0" w:rsidRPr="00833C88">
        <w:rPr>
          <w:rFonts w:eastAsia="Times New Roman" w:cs="Times New Roman"/>
          <w:sz w:val="24"/>
          <w:szCs w:val="24"/>
          <w:lang w:eastAsia="pl-PL"/>
        </w:rPr>
        <w:t xml:space="preserve">administracji rządowej, czy ustawie </w:t>
      </w:r>
      <w:r w:rsidR="007B2722" w:rsidRPr="00833C88">
        <w:rPr>
          <w:rFonts w:cs="Times New Roman"/>
          <w:sz w:val="24"/>
          <w:szCs w:val="24"/>
        </w:rPr>
        <w:t xml:space="preserve">z dnia 6 marca 2018 r. </w:t>
      </w:r>
      <w:r w:rsidR="000A38E0" w:rsidRPr="00833C88">
        <w:rPr>
          <w:rFonts w:eastAsia="Times New Roman" w:cs="Times New Roman"/>
          <w:sz w:val="24"/>
          <w:szCs w:val="24"/>
          <w:lang w:eastAsia="pl-PL"/>
        </w:rPr>
        <w:t xml:space="preserve">– Prawo </w:t>
      </w:r>
      <w:r w:rsidR="00B061E2" w:rsidRPr="00833C88">
        <w:rPr>
          <w:rFonts w:eastAsia="Times New Roman" w:cs="Times New Roman"/>
          <w:sz w:val="24"/>
          <w:szCs w:val="24"/>
          <w:lang w:eastAsia="pl-PL"/>
        </w:rPr>
        <w:t>p</w:t>
      </w:r>
      <w:r w:rsidR="000A38E0" w:rsidRPr="00833C88">
        <w:rPr>
          <w:rFonts w:eastAsia="Times New Roman" w:cs="Times New Roman"/>
          <w:sz w:val="24"/>
          <w:szCs w:val="24"/>
          <w:lang w:eastAsia="pl-PL"/>
        </w:rPr>
        <w:t>rzedsiębiorców.</w:t>
      </w:r>
      <w:r w:rsidR="00035DBD" w:rsidRPr="00833C88">
        <w:rPr>
          <w:rFonts w:eastAsia="Times New Roman" w:cs="Times New Roman"/>
          <w:sz w:val="24"/>
          <w:szCs w:val="24"/>
          <w:lang w:eastAsia="pl-PL"/>
        </w:rPr>
        <w:t xml:space="preserve"> </w:t>
      </w:r>
      <w:r w:rsidR="006A291B" w:rsidRPr="00833C88">
        <w:rPr>
          <w:rFonts w:eastAsia="Times New Roman" w:cs="Times New Roman"/>
          <w:sz w:val="24"/>
          <w:szCs w:val="24"/>
          <w:lang w:eastAsia="pl-PL"/>
        </w:rPr>
        <w:t>Z kontroli doraźnej sporządzane będzie sprawozdanie bądź protokół kontroli, w zależności od rodzaju podmiotu kontrolowanego. Wyłączone są w</w:t>
      </w:r>
      <w:r w:rsidR="00242BED" w:rsidRPr="00833C88">
        <w:rPr>
          <w:rFonts w:eastAsia="Times New Roman" w:cs="Times New Roman"/>
          <w:sz w:val="24"/>
          <w:szCs w:val="24"/>
          <w:lang w:eastAsia="pl-PL"/>
        </w:rPr>
        <w:t> </w:t>
      </w:r>
      <w:r w:rsidR="006A291B" w:rsidRPr="00833C88">
        <w:rPr>
          <w:rFonts w:eastAsia="Times New Roman" w:cs="Times New Roman"/>
          <w:sz w:val="24"/>
          <w:szCs w:val="24"/>
          <w:lang w:eastAsia="pl-PL"/>
        </w:rPr>
        <w:t>stosunku do kontroli doraźnej art. 47 ust 1 i 2 oraz art. 54 ust. 1 ustawy z dnia 6 marca 2018</w:t>
      </w:r>
      <w:r w:rsidR="00242BED" w:rsidRPr="00833C88">
        <w:rPr>
          <w:rFonts w:eastAsia="Times New Roman" w:cs="Times New Roman"/>
          <w:sz w:val="24"/>
          <w:szCs w:val="24"/>
          <w:lang w:eastAsia="pl-PL"/>
        </w:rPr>
        <w:t> </w:t>
      </w:r>
      <w:r w:rsidR="006A291B" w:rsidRPr="00833C88">
        <w:rPr>
          <w:rFonts w:eastAsia="Times New Roman" w:cs="Times New Roman"/>
          <w:sz w:val="24"/>
          <w:szCs w:val="24"/>
          <w:lang w:eastAsia="pl-PL"/>
        </w:rPr>
        <w:t xml:space="preserve">r. – Prawo </w:t>
      </w:r>
      <w:r w:rsidR="00242BED" w:rsidRPr="00833C88">
        <w:rPr>
          <w:rFonts w:eastAsia="Times New Roman" w:cs="Times New Roman"/>
          <w:sz w:val="24"/>
          <w:szCs w:val="24"/>
          <w:lang w:eastAsia="pl-PL"/>
        </w:rPr>
        <w:t>p</w:t>
      </w:r>
      <w:r w:rsidR="006A291B" w:rsidRPr="00833C88">
        <w:rPr>
          <w:rFonts w:eastAsia="Times New Roman" w:cs="Times New Roman"/>
          <w:sz w:val="24"/>
          <w:szCs w:val="24"/>
          <w:lang w:eastAsia="pl-PL"/>
        </w:rPr>
        <w:t>rzedsiębiorców. Jest to podyktowane w szczególności potrzebą zapobiegnięcia sytuacji, w</w:t>
      </w:r>
      <w:r w:rsidR="00AF7F17" w:rsidRPr="00833C88">
        <w:rPr>
          <w:rFonts w:eastAsia="Times New Roman" w:cs="Times New Roman"/>
          <w:sz w:val="24"/>
          <w:szCs w:val="24"/>
          <w:lang w:eastAsia="pl-PL"/>
        </w:rPr>
        <w:t> </w:t>
      </w:r>
      <w:r w:rsidR="006A291B" w:rsidRPr="00833C88">
        <w:rPr>
          <w:rFonts w:eastAsia="Times New Roman" w:cs="Times New Roman"/>
          <w:sz w:val="24"/>
          <w:szCs w:val="24"/>
          <w:lang w:eastAsia="pl-PL"/>
        </w:rPr>
        <w:t xml:space="preserve">której zajdzie zbieg nadzoru. Podmiot kluczowy lub podmiot ważny może naruszać przepisy ustawy w różny sposób w kilku sektorach. Brak powyższego wyłączenia skutkowałby tym, że co najmniej jeden z organów właściwych do spraw cyberbezpieczeństwa sprawujących nadzór nad podmiotem kluczowym lub podmiotem ważnym nie mógłby realizować swoich </w:t>
      </w:r>
      <w:r w:rsidR="006A291B" w:rsidRPr="00833C88">
        <w:rPr>
          <w:rFonts w:eastAsia="Times New Roman" w:cs="Times New Roman"/>
          <w:sz w:val="24"/>
          <w:szCs w:val="24"/>
          <w:lang w:eastAsia="pl-PL"/>
        </w:rPr>
        <w:lastRenderedPageBreak/>
        <w:t>obowiązków i kompetencji. Zachodzi to również w sytuacji, w której kontrola dokonywana jest przez organ spoza ustawy o KSC, na podstawie przepisów odrębnych. W przypadku cyberbezpieczeństwa istotny jest czas, a czynności kontrolne powinny być realizowane bez żadnych przeszkód. Nie można zatem dopuścić do sytuacji, w której organ właściwy do spraw cyberbezpieczeństwa nie mógłby przeprowadzić kontroli niezwłocznie z uwagi na to, że</w:t>
      </w:r>
      <w:r w:rsidR="001A275A" w:rsidRPr="00833C88">
        <w:rPr>
          <w:rFonts w:eastAsia="Times New Roman" w:cs="Times New Roman"/>
          <w:sz w:val="24"/>
          <w:szCs w:val="24"/>
          <w:lang w:eastAsia="pl-PL"/>
        </w:rPr>
        <w:t> </w:t>
      </w:r>
      <w:r w:rsidR="006A291B" w:rsidRPr="00833C88">
        <w:rPr>
          <w:rFonts w:eastAsia="Times New Roman" w:cs="Times New Roman"/>
          <w:sz w:val="24"/>
          <w:szCs w:val="24"/>
          <w:lang w:eastAsia="pl-PL"/>
        </w:rPr>
        <w:t xml:space="preserve">prowadzi ją w podmiocie inny organ na podstawie przepisów niezwiązanych z krajowym systemem cyberbezpieczeństwa. W takiej sytuacji bowiem nie zachodzi możliwość </w:t>
      </w:r>
      <w:proofErr w:type="spellStart"/>
      <w:r w:rsidR="006A291B" w:rsidRPr="00833C88">
        <w:rPr>
          <w:rFonts w:eastAsia="Times New Roman" w:cs="Times New Roman"/>
          <w:sz w:val="24"/>
          <w:szCs w:val="24"/>
          <w:lang w:eastAsia="pl-PL"/>
        </w:rPr>
        <w:t>uwspólnienia</w:t>
      </w:r>
      <w:proofErr w:type="spellEnd"/>
      <w:r w:rsidR="006A291B" w:rsidRPr="00833C88">
        <w:rPr>
          <w:rFonts w:eastAsia="Times New Roman" w:cs="Times New Roman"/>
          <w:sz w:val="24"/>
          <w:szCs w:val="24"/>
          <w:lang w:eastAsia="pl-PL"/>
        </w:rPr>
        <w:t xml:space="preserve"> zadań z zakresu nadzoru, gdyż podstawą kontroli są różne podstawy prawne. Wyłączenie art. 47 </w:t>
      </w:r>
      <w:r w:rsidR="00B611A5" w:rsidRPr="00833C88">
        <w:rPr>
          <w:rFonts w:cs="Times New Roman"/>
          <w:sz w:val="24"/>
          <w:szCs w:val="24"/>
        </w:rPr>
        <w:t xml:space="preserve">ustawy z dnia 6 marca 2018 r. – Prawo przedsiębiorców </w:t>
      </w:r>
      <w:r w:rsidR="006A291B" w:rsidRPr="00833C88">
        <w:rPr>
          <w:rFonts w:eastAsia="Times New Roman" w:cs="Times New Roman"/>
          <w:sz w:val="24"/>
          <w:szCs w:val="24"/>
          <w:lang w:eastAsia="pl-PL"/>
        </w:rPr>
        <w:t xml:space="preserve">ma natomiast na celu </w:t>
      </w:r>
      <w:r w:rsidR="00E80AA6" w:rsidRPr="00833C88">
        <w:rPr>
          <w:rFonts w:eastAsia="Times New Roman" w:cs="Times New Roman"/>
          <w:sz w:val="24"/>
          <w:szCs w:val="24"/>
          <w:lang w:eastAsia="pl-PL"/>
        </w:rPr>
        <w:t>wyłączenie obowiązku przeprowadzania analizy prawdopodobieństwa naruszenia prawa przez podmiot kontrolowany, a także kolizji jaka może zajść pomiędzy przesłankami z</w:t>
      </w:r>
      <w:r w:rsidR="00242BED" w:rsidRPr="00833C88">
        <w:rPr>
          <w:rFonts w:eastAsia="Times New Roman" w:cs="Times New Roman"/>
          <w:sz w:val="24"/>
          <w:szCs w:val="24"/>
          <w:lang w:eastAsia="pl-PL"/>
        </w:rPr>
        <w:t> </w:t>
      </w:r>
      <w:r w:rsidR="00E80AA6" w:rsidRPr="00833C88">
        <w:rPr>
          <w:rFonts w:eastAsia="Times New Roman" w:cs="Times New Roman"/>
          <w:sz w:val="24"/>
          <w:szCs w:val="24"/>
          <w:lang w:eastAsia="pl-PL"/>
        </w:rPr>
        <w:t>niniejszej ustawy i z art. 47. Pozostawienie obowiązku przeprowadzania analizy prawdopodobieństwa naruszenia prawa w przypadku kontroli doraźnej, która ma być z zasady szybka i uproszczona byłoby niecelowe i sprzeczne z założeniami tego środka nadzorczego.</w:t>
      </w:r>
    </w:p>
    <w:p w14:paraId="07E905F0" w14:textId="59D8804B" w:rsidR="0040203D" w:rsidRPr="00833C88" w:rsidRDefault="0040203D" w:rsidP="00EA7658">
      <w:pPr>
        <w:pStyle w:val="Nagwek2"/>
        <w:spacing w:before="0" w:after="120" w:line="360" w:lineRule="auto"/>
        <w:jc w:val="both"/>
        <w:rPr>
          <w:rFonts w:cs="Times New Roman"/>
          <w:b/>
          <w:bCs/>
        </w:rPr>
      </w:pPr>
      <w:r w:rsidRPr="00833C88">
        <w:rPr>
          <w:rFonts w:cs="Times New Roman"/>
          <w:b/>
          <w:bCs/>
        </w:rPr>
        <w:t xml:space="preserve">Pełnomocnik </w:t>
      </w:r>
      <w:r w:rsidR="007D0906" w:rsidRPr="00833C88">
        <w:rPr>
          <w:rFonts w:cs="Times New Roman"/>
          <w:b/>
          <w:bCs/>
        </w:rPr>
        <w:t>R</w:t>
      </w:r>
      <w:r w:rsidRPr="00833C88">
        <w:rPr>
          <w:rFonts w:cs="Times New Roman"/>
          <w:b/>
          <w:bCs/>
        </w:rPr>
        <w:t xml:space="preserve">ządu do </w:t>
      </w:r>
      <w:r w:rsidR="001611C2" w:rsidRPr="00833C88">
        <w:rPr>
          <w:rFonts w:cs="Times New Roman"/>
          <w:b/>
          <w:bCs/>
        </w:rPr>
        <w:t>S</w:t>
      </w:r>
      <w:r w:rsidRPr="00833C88">
        <w:rPr>
          <w:rFonts w:cs="Times New Roman"/>
          <w:b/>
          <w:bCs/>
        </w:rPr>
        <w:t xml:space="preserve">praw </w:t>
      </w:r>
      <w:r w:rsidR="007D0906" w:rsidRPr="00833C88">
        <w:rPr>
          <w:rFonts w:cs="Times New Roman"/>
          <w:b/>
          <w:bCs/>
        </w:rPr>
        <w:t>C</w:t>
      </w:r>
      <w:r w:rsidRPr="00833C88">
        <w:rPr>
          <w:rFonts w:cs="Times New Roman"/>
          <w:b/>
          <w:bCs/>
        </w:rPr>
        <w:t>yberbezpieczeństwa</w:t>
      </w:r>
    </w:p>
    <w:p w14:paraId="0D1DAC13" w14:textId="35919B02" w:rsidR="00487735" w:rsidRPr="00833C88" w:rsidRDefault="006E78B2"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Nowe przepisy przewidują, że Pełnomocnikiem</w:t>
      </w:r>
      <w:r w:rsidR="001611C2" w:rsidRPr="00833C88">
        <w:rPr>
          <w:rFonts w:eastAsia="Times New Roman" w:cs="Times New Roman"/>
          <w:bCs/>
          <w:sz w:val="24"/>
          <w:szCs w:val="24"/>
          <w:lang w:eastAsia="pl-PL"/>
        </w:rPr>
        <w:t xml:space="preserve"> </w:t>
      </w:r>
      <w:r w:rsidR="00487735" w:rsidRPr="00833C88">
        <w:rPr>
          <w:rFonts w:eastAsia="Times New Roman" w:cs="Times New Roman"/>
          <w:bCs/>
          <w:sz w:val="24"/>
          <w:szCs w:val="24"/>
          <w:lang w:eastAsia="pl-PL"/>
        </w:rPr>
        <w:t>może być minister właściwy do spraw informatyzacji, sekretarz stanu albo podsekretarz stanu w</w:t>
      </w:r>
      <w:r w:rsidR="001611C2" w:rsidRPr="00833C88">
        <w:rPr>
          <w:rFonts w:eastAsia="Times New Roman" w:cs="Times New Roman"/>
          <w:bCs/>
          <w:sz w:val="24"/>
          <w:szCs w:val="24"/>
          <w:lang w:eastAsia="pl-PL"/>
        </w:rPr>
        <w:t> </w:t>
      </w:r>
      <w:r w:rsidR="00487735" w:rsidRPr="00833C88">
        <w:rPr>
          <w:rFonts w:eastAsia="Times New Roman" w:cs="Times New Roman"/>
          <w:bCs/>
          <w:sz w:val="24"/>
          <w:szCs w:val="24"/>
          <w:lang w:eastAsia="pl-PL"/>
        </w:rPr>
        <w:t xml:space="preserve">urzędzie obsługującym ministra właściwego do spraw informatyzacji. Takie </w:t>
      </w:r>
      <w:r w:rsidR="00A61E76" w:rsidRPr="00833C88">
        <w:rPr>
          <w:rFonts w:eastAsia="Times New Roman" w:cs="Times New Roman"/>
          <w:bCs/>
          <w:sz w:val="24"/>
          <w:szCs w:val="24"/>
          <w:lang w:eastAsia="pl-PL"/>
        </w:rPr>
        <w:t xml:space="preserve">rozwiązanie zapewni stabilność </w:t>
      </w:r>
      <w:r w:rsidR="00601933" w:rsidRPr="00833C88">
        <w:rPr>
          <w:rFonts w:eastAsia="Times New Roman" w:cs="Times New Roman"/>
          <w:bCs/>
          <w:sz w:val="24"/>
          <w:szCs w:val="24"/>
          <w:lang w:eastAsia="pl-PL"/>
        </w:rPr>
        <w:t>w </w:t>
      </w:r>
      <w:r w:rsidR="00A61E76" w:rsidRPr="00833C88">
        <w:rPr>
          <w:rFonts w:eastAsia="Times New Roman" w:cs="Times New Roman"/>
          <w:bCs/>
          <w:sz w:val="24"/>
          <w:szCs w:val="24"/>
          <w:lang w:eastAsia="pl-PL"/>
        </w:rPr>
        <w:t>zakresie obsługi</w:t>
      </w:r>
      <w:r w:rsidR="001611C2" w:rsidRPr="00833C88">
        <w:rPr>
          <w:rFonts w:eastAsia="Times New Roman" w:cs="Times New Roman"/>
          <w:bCs/>
          <w:sz w:val="24"/>
          <w:szCs w:val="24"/>
          <w:lang w:eastAsia="pl-PL"/>
        </w:rPr>
        <w:t xml:space="preserve"> tego</w:t>
      </w:r>
      <w:r w:rsidR="00A61E76" w:rsidRPr="00833C88">
        <w:rPr>
          <w:rFonts w:eastAsia="Times New Roman" w:cs="Times New Roman"/>
          <w:bCs/>
          <w:sz w:val="24"/>
          <w:szCs w:val="24"/>
          <w:lang w:eastAsia="pl-PL"/>
        </w:rPr>
        <w:t xml:space="preserve"> </w:t>
      </w:r>
      <w:r w:rsidR="001611C2" w:rsidRPr="00833C88">
        <w:rPr>
          <w:rFonts w:eastAsia="Times New Roman" w:cs="Times New Roman"/>
          <w:bCs/>
          <w:sz w:val="24"/>
          <w:szCs w:val="24"/>
          <w:lang w:eastAsia="pl-PL"/>
        </w:rPr>
        <w:t>P</w:t>
      </w:r>
      <w:r w:rsidR="00A61E76" w:rsidRPr="00833C88">
        <w:rPr>
          <w:rFonts w:eastAsia="Times New Roman" w:cs="Times New Roman"/>
          <w:bCs/>
          <w:sz w:val="24"/>
          <w:szCs w:val="24"/>
          <w:lang w:eastAsia="pl-PL"/>
        </w:rPr>
        <w:t xml:space="preserve">ełnomocnika oraz </w:t>
      </w:r>
      <w:r w:rsidR="001611C2" w:rsidRPr="00833C88">
        <w:rPr>
          <w:rFonts w:eastAsia="Times New Roman" w:cs="Times New Roman"/>
          <w:bCs/>
          <w:sz w:val="24"/>
          <w:szCs w:val="24"/>
          <w:lang w:eastAsia="pl-PL"/>
        </w:rPr>
        <w:t xml:space="preserve">jego </w:t>
      </w:r>
      <w:r w:rsidR="00A61E76" w:rsidRPr="00833C88">
        <w:rPr>
          <w:rFonts w:eastAsia="Times New Roman" w:cs="Times New Roman"/>
          <w:bCs/>
          <w:sz w:val="24"/>
          <w:szCs w:val="24"/>
          <w:lang w:eastAsia="pl-PL"/>
        </w:rPr>
        <w:t xml:space="preserve">odpowiednią rangę. Należy podkreślić, </w:t>
      </w:r>
      <w:r w:rsidR="004402AF" w:rsidRPr="00833C88">
        <w:rPr>
          <w:rFonts w:eastAsia="Times New Roman" w:cs="Times New Roman"/>
          <w:bCs/>
          <w:sz w:val="24"/>
          <w:szCs w:val="24"/>
          <w:lang w:eastAsia="pl-PL"/>
        </w:rPr>
        <w:t>że</w:t>
      </w:r>
      <w:r w:rsidR="00A61E76" w:rsidRPr="00833C88">
        <w:rPr>
          <w:rFonts w:eastAsia="Times New Roman" w:cs="Times New Roman"/>
          <w:bCs/>
          <w:sz w:val="24"/>
          <w:szCs w:val="24"/>
          <w:lang w:eastAsia="pl-PL"/>
        </w:rPr>
        <w:t xml:space="preserve"> minister właściwy do spraw informatyzacji nadzoruje </w:t>
      </w:r>
      <w:r w:rsidR="00B611A5" w:rsidRPr="00833C88">
        <w:rPr>
          <w:rFonts w:eastAsia="Times New Roman" w:cs="Times New Roman"/>
          <w:bCs/>
          <w:sz w:val="24"/>
          <w:szCs w:val="24"/>
          <w:lang w:eastAsia="pl-PL"/>
        </w:rPr>
        <w:t>NASK-PIB</w:t>
      </w:r>
      <w:r w:rsidR="001611C2" w:rsidRPr="00833C88">
        <w:rPr>
          <w:rFonts w:eastAsia="Times New Roman" w:cs="Times New Roman"/>
          <w:bCs/>
          <w:sz w:val="24"/>
          <w:szCs w:val="24"/>
          <w:lang w:eastAsia="pl-PL"/>
        </w:rPr>
        <w:t>,</w:t>
      </w:r>
      <w:r w:rsidR="00A61E76" w:rsidRPr="00833C88">
        <w:rPr>
          <w:rFonts w:eastAsia="Times New Roman" w:cs="Times New Roman"/>
          <w:bCs/>
          <w:sz w:val="24"/>
          <w:szCs w:val="24"/>
          <w:lang w:eastAsia="pl-PL"/>
        </w:rPr>
        <w:t xml:space="preserve"> </w:t>
      </w:r>
      <w:r w:rsidR="00601933" w:rsidRPr="00833C88">
        <w:rPr>
          <w:rFonts w:eastAsia="Times New Roman" w:cs="Times New Roman"/>
          <w:bCs/>
          <w:sz w:val="24"/>
          <w:szCs w:val="24"/>
          <w:lang w:eastAsia="pl-PL"/>
        </w:rPr>
        <w:t>w </w:t>
      </w:r>
      <w:r w:rsidR="005D255C" w:rsidRPr="00833C88">
        <w:rPr>
          <w:rFonts w:eastAsia="Times New Roman" w:cs="Times New Roman"/>
          <w:bCs/>
          <w:sz w:val="24"/>
          <w:szCs w:val="24"/>
          <w:lang w:eastAsia="pl-PL"/>
        </w:rPr>
        <w:t xml:space="preserve">której </w:t>
      </w:r>
      <w:r w:rsidR="001611C2" w:rsidRPr="00833C88">
        <w:rPr>
          <w:rFonts w:eastAsia="Times New Roman" w:cs="Times New Roman"/>
          <w:bCs/>
          <w:sz w:val="24"/>
          <w:szCs w:val="24"/>
          <w:lang w:eastAsia="pl-PL"/>
        </w:rPr>
        <w:t>zlokalizowany</w:t>
      </w:r>
      <w:r w:rsidR="005D255C" w:rsidRPr="00833C88">
        <w:rPr>
          <w:rFonts w:eastAsia="Times New Roman" w:cs="Times New Roman"/>
          <w:bCs/>
          <w:sz w:val="24"/>
          <w:szCs w:val="24"/>
          <w:lang w:eastAsia="pl-PL"/>
        </w:rPr>
        <w:t xml:space="preserve"> jest CSIRT NASK. Dzięki temu </w:t>
      </w:r>
      <w:r w:rsidR="001611C2" w:rsidRPr="00833C88">
        <w:rPr>
          <w:rFonts w:eastAsia="Times New Roman" w:cs="Times New Roman"/>
          <w:bCs/>
          <w:sz w:val="24"/>
          <w:szCs w:val="24"/>
          <w:lang w:eastAsia="pl-PL"/>
        </w:rPr>
        <w:t>P</w:t>
      </w:r>
      <w:r w:rsidR="005D255C" w:rsidRPr="00833C88">
        <w:rPr>
          <w:rFonts w:eastAsia="Times New Roman" w:cs="Times New Roman"/>
          <w:bCs/>
          <w:sz w:val="24"/>
          <w:szCs w:val="24"/>
          <w:lang w:eastAsia="pl-PL"/>
        </w:rPr>
        <w:t>ełnomocnik</w:t>
      </w:r>
      <w:r w:rsidR="001611C2" w:rsidRPr="00833C88">
        <w:rPr>
          <w:rFonts w:eastAsia="Times New Roman" w:cs="Times New Roman"/>
          <w:bCs/>
          <w:sz w:val="24"/>
          <w:szCs w:val="24"/>
          <w:lang w:eastAsia="pl-PL"/>
        </w:rPr>
        <w:t xml:space="preserve"> </w:t>
      </w:r>
      <w:r w:rsidR="005D255C" w:rsidRPr="00833C88">
        <w:rPr>
          <w:rFonts w:eastAsia="Times New Roman" w:cs="Times New Roman"/>
          <w:bCs/>
          <w:sz w:val="24"/>
          <w:szCs w:val="24"/>
          <w:lang w:eastAsia="pl-PL"/>
        </w:rPr>
        <w:t xml:space="preserve">ma łatwy dostęp do dodatkowej wiedzy eksperckiej </w:t>
      </w:r>
      <w:r w:rsidR="00601933" w:rsidRPr="00833C88">
        <w:rPr>
          <w:rFonts w:eastAsia="Times New Roman" w:cs="Times New Roman"/>
          <w:bCs/>
          <w:sz w:val="24"/>
          <w:szCs w:val="24"/>
          <w:lang w:eastAsia="pl-PL"/>
        </w:rPr>
        <w:t>i </w:t>
      </w:r>
      <w:r w:rsidR="005D255C" w:rsidRPr="00833C88">
        <w:rPr>
          <w:rFonts w:eastAsia="Times New Roman" w:cs="Times New Roman"/>
          <w:bCs/>
          <w:sz w:val="24"/>
          <w:szCs w:val="24"/>
          <w:lang w:eastAsia="pl-PL"/>
        </w:rPr>
        <w:t>kompetencji z</w:t>
      </w:r>
      <w:r w:rsidR="001611C2" w:rsidRPr="00833C88">
        <w:rPr>
          <w:rFonts w:eastAsia="Times New Roman" w:cs="Times New Roman"/>
          <w:bCs/>
          <w:sz w:val="24"/>
          <w:szCs w:val="24"/>
          <w:lang w:eastAsia="pl-PL"/>
        </w:rPr>
        <w:t> </w:t>
      </w:r>
      <w:r w:rsidR="005D255C" w:rsidRPr="00833C88">
        <w:rPr>
          <w:rFonts w:eastAsia="Times New Roman" w:cs="Times New Roman"/>
          <w:bCs/>
          <w:sz w:val="24"/>
          <w:szCs w:val="24"/>
          <w:lang w:eastAsia="pl-PL"/>
        </w:rPr>
        <w:t>zakresu cyberbezpieczeństwa.</w:t>
      </w:r>
    </w:p>
    <w:p w14:paraId="1A25C7F1" w14:textId="0029C2EE" w:rsidR="005D255C" w:rsidRPr="00833C88" w:rsidRDefault="00487735"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Dotychczasowa praktyka pokazała, że </w:t>
      </w:r>
      <w:r w:rsidR="005336E3" w:rsidRPr="00833C88">
        <w:rPr>
          <w:rFonts w:eastAsia="Times New Roman" w:cs="Times New Roman"/>
          <w:bCs/>
          <w:sz w:val="24"/>
          <w:szCs w:val="24"/>
          <w:lang w:eastAsia="pl-PL"/>
        </w:rPr>
        <w:t xml:space="preserve">takie rozwiązanie jest </w:t>
      </w:r>
      <w:proofErr w:type="gramStart"/>
      <w:r w:rsidR="005336E3" w:rsidRPr="00833C88">
        <w:rPr>
          <w:rFonts w:eastAsia="Times New Roman" w:cs="Times New Roman"/>
          <w:bCs/>
          <w:sz w:val="24"/>
          <w:szCs w:val="24"/>
          <w:lang w:eastAsia="pl-PL"/>
        </w:rPr>
        <w:t>korzystne</w:t>
      </w:r>
      <w:proofErr w:type="gramEnd"/>
      <w:r w:rsidR="005336E3" w:rsidRPr="00833C88">
        <w:rPr>
          <w:rFonts w:eastAsia="Times New Roman" w:cs="Times New Roman"/>
          <w:bCs/>
          <w:sz w:val="24"/>
          <w:szCs w:val="24"/>
          <w:lang w:eastAsia="pl-PL"/>
        </w:rPr>
        <w:t xml:space="preserve"> gdyż zapewnia </w:t>
      </w:r>
      <w:r w:rsidR="00183404" w:rsidRPr="00833C88">
        <w:rPr>
          <w:rFonts w:eastAsia="Times New Roman" w:cs="Times New Roman"/>
          <w:bCs/>
          <w:sz w:val="24"/>
          <w:szCs w:val="24"/>
          <w:lang w:eastAsia="pl-PL"/>
        </w:rPr>
        <w:t>P</w:t>
      </w:r>
      <w:r w:rsidR="005336E3" w:rsidRPr="00833C88">
        <w:rPr>
          <w:rFonts w:eastAsia="Times New Roman" w:cs="Times New Roman"/>
          <w:bCs/>
          <w:sz w:val="24"/>
          <w:szCs w:val="24"/>
          <w:lang w:eastAsia="pl-PL"/>
        </w:rPr>
        <w:t xml:space="preserve">ełnomocnikowi dodatkowe informacje </w:t>
      </w:r>
      <w:r w:rsidR="00601933" w:rsidRPr="00833C88">
        <w:rPr>
          <w:rFonts w:eastAsia="Times New Roman" w:cs="Times New Roman"/>
          <w:bCs/>
          <w:sz w:val="24"/>
          <w:szCs w:val="24"/>
          <w:lang w:eastAsia="pl-PL"/>
        </w:rPr>
        <w:t>i </w:t>
      </w:r>
      <w:r w:rsidR="005336E3" w:rsidRPr="00833C88">
        <w:rPr>
          <w:rFonts w:eastAsia="Times New Roman" w:cs="Times New Roman"/>
          <w:bCs/>
          <w:sz w:val="24"/>
          <w:szCs w:val="24"/>
          <w:lang w:eastAsia="pl-PL"/>
        </w:rPr>
        <w:t xml:space="preserve">zasoby niezbędne do realizacji jego zadań. </w:t>
      </w:r>
      <w:r w:rsidR="006C4754" w:rsidRPr="00833C88">
        <w:rPr>
          <w:rFonts w:eastAsia="Times New Roman" w:cs="Times New Roman"/>
          <w:bCs/>
          <w:sz w:val="24"/>
          <w:szCs w:val="24"/>
          <w:lang w:eastAsia="pl-PL"/>
        </w:rPr>
        <w:t xml:space="preserve">Przepisy te zapewnią również stabilizację funduszy </w:t>
      </w:r>
      <w:r w:rsidR="001611C2" w:rsidRPr="00833C88">
        <w:rPr>
          <w:rFonts w:eastAsia="Times New Roman" w:cs="Times New Roman"/>
          <w:bCs/>
          <w:sz w:val="24"/>
          <w:szCs w:val="24"/>
          <w:lang w:eastAsia="pl-PL"/>
        </w:rPr>
        <w:t>P</w:t>
      </w:r>
      <w:r w:rsidR="006C4754" w:rsidRPr="00833C88">
        <w:rPr>
          <w:rFonts w:eastAsia="Times New Roman" w:cs="Times New Roman"/>
          <w:bCs/>
          <w:sz w:val="24"/>
          <w:szCs w:val="24"/>
          <w:lang w:eastAsia="pl-PL"/>
        </w:rPr>
        <w:t>ełnomocnika</w:t>
      </w:r>
      <w:r w:rsidR="001611C2" w:rsidRPr="00833C88">
        <w:rPr>
          <w:rFonts w:eastAsia="Times New Roman" w:cs="Times New Roman"/>
          <w:bCs/>
          <w:sz w:val="24"/>
          <w:szCs w:val="24"/>
          <w:lang w:eastAsia="pl-PL"/>
        </w:rPr>
        <w:t xml:space="preserve">, </w:t>
      </w:r>
      <w:r w:rsidR="006C4754" w:rsidRPr="00833C88">
        <w:rPr>
          <w:rFonts w:eastAsia="Times New Roman" w:cs="Times New Roman"/>
          <w:bCs/>
          <w:sz w:val="24"/>
          <w:szCs w:val="24"/>
          <w:lang w:eastAsia="pl-PL"/>
        </w:rPr>
        <w:t xml:space="preserve">wskazując </w:t>
      </w:r>
      <w:r w:rsidR="00601933" w:rsidRPr="00833C88">
        <w:rPr>
          <w:rFonts w:eastAsia="Times New Roman" w:cs="Times New Roman"/>
          <w:bCs/>
          <w:sz w:val="24"/>
          <w:szCs w:val="24"/>
          <w:lang w:eastAsia="pl-PL"/>
        </w:rPr>
        <w:t>z </w:t>
      </w:r>
      <w:r w:rsidR="006C4754" w:rsidRPr="00833C88">
        <w:rPr>
          <w:rFonts w:eastAsia="Times New Roman" w:cs="Times New Roman"/>
          <w:bCs/>
          <w:sz w:val="24"/>
          <w:szCs w:val="24"/>
          <w:lang w:eastAsia="pl-PL"/>
        </w:rPr>
        <w:t xml:space="preserve">której części budżetowej jest finansowany. </w:t>
      </w:r>
    </w:p>
    <w:p w14:paraId="313BA29C" w14:textId="5F4FC654" w:rsidR="005D255C" w:rsidRPr="00833C88" w:rsidRDefault="005D255C"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Pełnomocnik będzie również mógł </w:t>
      </w:r>
      <w:r w:rsidR="004525BE" w:rsidRPr="00833C88">
        <w:rPr>
          <w:rFonts w:eastAsia="Times New Roman" w:cs="Times New Roman"/>
          <w:bCs/>
          <w:sz w:val="24"/>
          <w:szCs w:val="24"/>
          <w:lang w:eastAsia="pl-PL"/>
        </w:rPr>
        <w:t xml:space="preserve">zlecać przeprowadzanie badań </w:t>
      </w:r>
      <w:r w:rsidR="00601933" w:rsidRPr="00833C88">
        <w:rPr>
          <w:rFonts w:eastAsia="Times New Roman" w:cs="Times New Roman"/>
          <w:bCs/>
          <w:sz w:val="24"/>
          <w:szCs w:val="24"/>
          <w:lang w:eastAsia="pl-PL"/>
        </w:rPr>
        <w:t>i </w:t>
      </w:r>
      <w:r w:rsidR="004525BE" w:rsidRPr="00833C88">
        <w:rPr>
          <w:rFonts w:eastAsia="Times New Roman" w:cs="Times New Roman"/>
          <w:bCs/>
          <w:sz w:val="24"/>
          <w:szCs w:val="24"/>
          <w:lang w:eastAsia="pl-PL"/>
        </w:rPr>
        <w:t xml:space="preserve">ekspertyz oraz tworzyć zespoły robocze. Te kompetencje </w:t>
      </w:r>
      <w:r w:rsidR="00BD363E" w:rsidRPr="00833C88">
        <w:rPr>
          <w:rFonts w:eastAsia="Times New Roman" w:cs="Times New Roman"/>
          <w:bCs/>
          <w:sz w:val="24"/>
          <w:szCs w:val="24"/>
          <w:lang w:eastAsia="pl-PL"/>
        </w:rPr>
        <w:t xml:space="preserve">zapewnią mu </w:t>
      </w:r>
      <w:r w:rsidR="00314371" w:rsidRPr="00833C88">
        <w:rPr>
          <w:rFonts w:eastAsia="Times New Roman" w:cs="Times New Roman"/>
          <w:bCs/>
          <w:sz w:val="24"/>
          <w:szCs w:val="24"/>
          <w:lang w:eastAsia="pl-PL"/>
        </w:rPr>
        <w:t xml:space="preserve">dodatkowe narzędzia </w:t>
      </w:r>
      <w:r w:rsidR="00AF1D73" w:rsidRPr="00833C88">
        <w:rPr>
          <w:rFonts w:eastAsia="Times New Roman" w:cs="Times New Roman"/>
          <w:bCs/>
          <w:sz w:val="24"/>
          <w:szCs w:val="24"/>
          <w:lang w:eastAsia="pl-PL"/>
        </w:rPr>
        <w:t xml:space="preserve">do realizacji jego zadań. </w:t>
      </w:r>
      <w:r w:rsidR="001611C2" w:rsidRPr="00833C88">
        <w:rPr>
          <w:rFonts w:eastAsia="Times New Roman" w:cs="Times New Roman"/>
          <w:bCs/>
          <w:sz w:val="24"/>
          <w:szCs w:val="24"/>
          <w:lang w:eastAsia="pl-PL"/>
        </w:rPr>
        <w:t xml:space="preserve">Wprowadzono </w:t>
      </w:r>
      <w:r w:rsidR="006C4754" w:rsidRPr="00833C88">
        <w:rPr>
          <w:rFonts w:eastAsia="Times New Roman" w:cs="Times New Roman"/>
          <w:bCs/>
          <w:sz w:val="24"/>
          <w:szCs w:val="24"/>
          <w:lang w:eastAsia="pl-PL"/>
        </w:rPr>
        <w:t>również</w:t>
      </w:r>
      <w:r w:rsidR="001611C2" w:rsidRPr="00833C88">
        <w:rPr>
          <w:rFonts w:eastAsia="Times New Roman" w:cs="Times New Roman"/>
          <w:bCs/>
          <w:sz w:val="24"/>
          <w:szCs w:val="24"/>
          <w:lang w:eastAsia="pl-PL"/>
        </w:rPr>
        <w:t xml:space="preserve"> regulację</w:t>
      </w:r>
      <w:r w:rsidR="006C4754" w:rsidRPr="00833C88">
        <w:rPr>
          <w:rFonts w:eastAsia="Times New Roman" w:cs="Times New Roman"/>
          <w:bCs/>
          <w:sz w:val="24"/>
          <w:szCs w:val="24"/>
          <w:lang w:eastAsia="pl-PL"/>
        </w:rPr>
        <w:t>, że inne organy państwa mają obowiązek udzielania wsparcia Pełnomocnikowi</w:t>
      </w:r>
      <w:r w:rsidR="001611C2" w:rsidRPr="00833C88">
        <w:rPr>
          <w:rFonts w:eastAsia="Times New Roman" w:cs="Times New Roman"/>
          <w:bCs/>
          <w:sz w:val="24"/>
          <w:szCs w:val="24"/>
          <w:lang w:eastAsia="pl-PL"/>
        </w:rPr>
        <w:t xml:space="preserve">, </w:t>
      </w:r>
      <w:r w:rsidR="00E927C7" w:rsidRPr="00833C88">
        <w:rPr>
          <w:rFonts w:eastAsia="Times New Roman" w:cs="Times New Roman"/>
          <w:bCs/>
          <w:sz w:val="24"/>
          <w:szCs w:val="24"/>
          <w:lang w:eastAsia="pl-PL"/>
        </w:rPr>
        <w:t xml:space="preserve">tak aby </w:t>
      </w:r>
      <w:r w:rsidR="00601933" w:rsidRPr="00833C88">
        <w:rPr>
          <w:rFonts w:eastAsia="Times New Roman" w:cs="Times New Roman"/>
          <w:bCs/>
          <w:sz w:val="24"/>
          <w:szCs w:val="24"/>
          <w:lang w:eastAsia="pl-PL"/>
        </w:rPr>
        <w:t>w </w:t>
      </w:r>
      <w:proofErr w:type="gramStart"/>
      <w:r w:rsidR="00E927C7" w:rsidRPr="00833C88">
        <w:rPr>
          <w:rFonts w:eastAsia="Times New Roman" w:cs="Times New Roman"/>
          <w:bCs/>
          <w:sz w:val="24"/>
          <w:szCs w:val="24"/>
          <w:lang w:eastAsia="pl-PL"/>
        </w:rPr>
        <w:t>sytuacji</w:t>
      </w:r>
      <w:proofErr w:type="gramEnd"/>
      <w:r w:rsidR="00E927C7" w:rsidRPr="00833C88">
        <w:rPr>
          <w:rFonts w:eastAsia="Times New Roman" w:cs="Times New Roman"/>
          <w:bCs/>
          <w:sz w:val="24"/>
          <w:szCs w:val="24"/>
          <w:lang w:eastAsia="pl-PL"/>
        </w:rPr>
        <w:t xml:space="preserve"> gdy dane zagadnienie dotyczy</w:t>
      </w:r>
      <w:r w:rsidR="00670BF4" w:rsidRPr="00833C88">
        <w:rPr>
          <w:rFonts w:eastAsia="Times New Roman" w:cs="Times New Roman"/>
          <w:bCs/>
          <w:sz w:val="24"/>
          <w:szCs w:val="24"/>
          <w:lang w:eastAsia="pl-PL"/>
        </w:rPr>
        <w:t xml:space="preserve"> ich właściwości otrzymał </w:t>
      </w:r>
      <w:r w:rsidR="001611C2" w:rsidRPr="00833C88">
        <w:rPr>
          <w:rFonts w:eastAsia="Times New Roman" w:cs="Times New Roman"/>
          <w:bCs/>
          <w:sz w:val="24"/>
          <w:szCs w:val="24"/>
          <w:lang w:eastAsia="pl-PL"/>
        </w:rPr>
        <w:t xml:space="preserve">on </w:t>
      </w:r>
      <w:r w:rsidR="00670BF4" w:rsidRPr="00833C88">
        <w:rPr>
          <w:rFonts w:eastAsia="Times New Roman" w:cs="Times New Roman"/>
          <w:bCs/>
          <w:sz w:val="24"/>
          <w:szCs w:val="24"/>
          <w:lang w:eastAsia="pl-PL"/>
        </w:rPr>
        <w:t>niezbędne wsparcie.</w:t>
      </w:r>
    </w:p>
    <w:p w14:paraId="0467D4FD" w14:textId="3D0F3A9E" w:rsidR="00246EB7" w:rsidRPr="00833C88" w:rsidRDefault="00246EB7"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lastRenderedPageBreak/>
        <w:t>Przy Pełnomocniku zostanie utworzone Połączone Centrum Operacyjne Cyberbezpieczeństwa</w:t>
      </w:r>
      <w:r w:rsidR="001611C2" w:rsidRPr="00833C88">
        <w:rPr>
          <w:rFonts w:eastAsia="Times New Roman" w:cs="Times New Roman"/>
          <w:bCs/>
          <w:sz w:val="24"/>
          <w:szCs w:val="24"/>
          <w:lang w:eastAsia="pl-PL"/>
        </w:rPr>
        <w:t>, zwane dalej „PCOC”,</w:t>
      </w:r>
      <w:r w:rsidR="00CC1281" w:rsidRPr="00833C88">
        <w:rPr>
          <w:rFonts w:eastAsia="Times New Roman" w:cs="Times New Roman"/>
          <w:bCs/>
          <w:sz w:val="24"/>
          <w:szCs w:val="24"/>
          <w:lang w:eastAsia="pl-PL"/>
        </w:rPr>
        <w:t xml:space="preserve"> będące </w:t>
      </w:r>
      <w:r w:rsidRPr="00833C88">
        <w:rPr>
          <w:rFonts w:eastAsia="Times New Roman" w:cs="Times New Roman"/>
          <w:bCs/>
          <w:sz w:val="24"/>
          <w:szCs w:val="24"/>
          <w:lang w:eastAsia="pl-PL"/>
        </w:rPr>
        <w:t xml:space="preserve">organem pomocniczym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sprawach koordynowania działań </w:t>
      </w:r>
      <w:r w:rsidR="00601933" w:rsidRPr="00833C88">
        <w:rPr>
          <w:rFonts w:eastAsia="Times New Roman" w:cs="Times New Roman"/>
          <w:bCs/>
          <w:sz w:val="24"/>
          <w:szCs w:val="24"/>
          <w:lang w:eastAsia="pl-PL"/>
        </w:rPr>
        <w:t>i </w:t>
      </w:r>
      <w:r w:rsidRPr="00833C88">
        <w:rPr>
          <w:rFonts w:eastAsia="Times New Roman" w:cs="Times New Roman"/>
          <w:bCs/>
          <w:sz w:val="24"/>
          <w:szCs w:val="24"/>
          <w:lang w:eastAsia="pl-PL"/>
        </w:rPr>
        <w:t xml:space="preserve">realizowania polityki rządu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zakresie zapewnienia cyberbezpieczeństwa.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jego skład będą wchodzili przedstawiciele najważniejszych instytucji rządowych zapewniających cyberbezpieczeństwo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kraju. Do zadań PCOC należeć będzie:</w:t>
      </w:r>
    </w:p>
    <w:p w14:paraId="20E3B703" w14:textId="0C488157" w:rsidR="00246EB7" w:rsidRPr="00833C88" w:rsidRDefault="00246EB7" w:rsidP="00B35C80">
      <w:pPr>
        <w:spacing w:after="0" w:line="360" w:lineRule="auto"/>
        <w:ind w:left="426" w:right="-20" w:hanging="446"/>
        <w:jc w:val="both"/>
        <w:rPr>
          <w:rFonts w:eastAsia="Times New Roman" w:cs="Times New Roman"/>
          <w:bCs/>
          <w:sz w:val="24"/>
          <w:szCs w:val="24"/>
          <w:lang w:eastAsia="pl-PL"/>
        </w:rPr>
      </w:pPr>
      <w:r w:rsidRPr="00833C88">
        <w:rPr>
          <w:rFonts w:eastAsia="Times New Roman" w:cs="Times New Roman"/>
          <w:bCs/>
          <w:sz w:val="24"/>
          <w:szCs w:val="24"/>
          <w:lang w:eastAsia="pl-PL"/>
        </w:rPr>
        <w:t>1)</w:t>
      </w:r>
      <w:r w:rsidRPr="00833C88">
        <w:rPr>
          <w:rFonts w:eastAsia="Times New Roman" w:cs="Times New Roman"/>
          <w:bCs/>
          <w:sz w:val="24"/>
          <w:szCs w:val="24"/>
          <w:lang w:eastAsia="pl-PL"/>
        </w:rPr>
        <w:tab/>
        <w:t xml:space="preserve">wymiana informacji na temat </w:t>
      </w:r>
      <w:proofErr w:type="spellStart"/>
      <w:r w:rsidRPr="00833C88">
        <w:rPr>
          <w:rFonts w:eastAsia="Times New Roman" w:cs="Times New Roman"/>
          <w:bCs/>
          <w:sz w:val="24"/>
          <w:szCs w:val="24"/>
          <w:lang w:eastAsia="pl-PL"/>
        </w:rPr>
        <w:t>cyberzagrożeń</w:t>
      </w:r>
      <w:proofErr w:type="spellEnd"/>
      <w:r w:rsidRPr="00833C88">
        <w:rPr>
          <w:rFonts w:eastAsia="Times New Roman" w:cs="Times New Roman"/>
          <w:bCs/>
          <w:sz w:val="24"/>
          <w:szCs w:val="24"/>
          <w:lang w:eastAsia="pl-PL"/>
        </w:rPr>
        <w:t xml:space="preserve">, incydentów </w:t>
      </w:r>
      <w:r w:rsidR="00601933" w:rsidRPr="00833C88">
        <w:rPr>
          <w:rFonts w:eastAsia="Times New Roman" w:cs="Times New Roman"/>
          <w:bCs/>
          <w:sz w:val="24"/>
          <w:szCs w:val="24"/>
          <w:lang w:eastAsia="pl-PL"/>
        </w:rPr>
        <w:t>i </w:t>
      </w:r>
      <w:r w:rsidRPr="00833C88">
        <w:rPr>
          <w:rFonts w:eastAsia="Times New Roman" w:cs="Times New Roman"/>
          <w:bCs/>
          <w:sz w:val="24"/>
          <w:szCs w:val="24"/>
          <w:lang w:eastAsia="pl-PL"/>
        </w:rPr>
        <w:t>podatności na poziomie krajowym;</w:t>
      </w:r>
    </w:p>
    <w:p w14:paraId="5AF0AE3A" w14:textId="2FBBF3A6" w:rsidR="00246EB7" w:rsidRPr="00833C88" w:rsidRDefault="00246EB7" w:rsidP="00B35C80">
      <w:pPr>
        <w:spacing w:after="0" w:line="360" w:lineRule="auto"/>
        <w:ind w:left="426" w:right="-20" w:hanging="446"/>
        <w:jc w:val="both"/>
        <w:rPr>
          <w:rFonts w:eastAsia="Times New Roman" w:cs="Times New Roman"/>
          <w:bCs/>
          <w:sz w:val="24"/>
          <w:szCs w:val="24"/>
          <w:lang w:eastAsia="pl-PL"/>
        </w:rPr>
      </w:pPr>
      <w:r w:rsidRPr="00833C88">
        <w:rPr>
          <w:rFonts w:eastAsia="Times New Roman" w:cs="Times New Roman"/>
          <w:bCs/>
          <w:sz w:val="24"/>
          <w:szCs w:val="24"/>
          <w:lang w:eastAsia="pl-PL"/>
        </w:rPr>
        <w:t>2)</w:t>
      </w:r>
      <w:r w:rsidRPr="00833C88">
        <w:rPr>
          <w:rFonts w:eastAsia="Times New Roman" w:cs="Times New Roman"/>
          <w:bCs/>
          <w:sz w:val="24"/>
          <w:szCs w:val="24"/>
          <w:lang w:eastAsia="pl-PL"/>
        </w:rPr>
        <w:tab/>
        <w:t xml:space="preserve">wymiana informacji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 xml:space="preserve">wynikach szacowania ryzyka związanego </w:t>
      </w:r>
      <w:r w:rsidR="00601933" w:rsidRPr="00833C88">
        <w:rPr>
          <w:rFonts w:eastAsia="Times New Roman" w:cs="Times New Roman"/>
          <w:bCs/>
          <w:sz w:val="24"/>
          <w:szCs w:val="24"/>
          <w:lang w:eastAsia="pl-PL"/>
        </w:rPr>
        <w:t>z </w:t>
      </w:r>
      <w:r w:rsidRPr="00833C88">
        <w:rPr>
          <w:rFonts w:eastAsia="Times New Roman" w:cs="Times New Roman"/>
          <w:bCs/>
          <w:sz w:val="24"/>
          <w:szCs w:val="24"/>
          <w:lang w:eastAsia="pl-PL"/>
        </w:rPr>
        <w:t>ujawnionym</w:t>
      </w:r>
      <w:r w:rsidR="005A4AC0" w:rsidRPr="00833C88">
        <w:rPr>
          <w:rFonts w:eastAsia="Times New Roman" w:cs="Times New Roman"/>
          <w:bCs/>
          <w:sz w:val="24"/>
          <w:szCs w:val="24"/>
          <w:lang w:eastAsia="pl-PL"/>
        </w:rPr>
        <w:t>i</w:t>
      </w:r>
      <w:r w:rsidRPr="00833C88">
        <w:rPr>
          <w:rFonts w:eastAsia="Times New Roman" w:cs="Times New Roman"/>
          <w:bCs/>
          <w:sz w:val="24"/>
          <w:szCs w:val="24"/>
          <w:lang w:eastAsia="pl-PL"/>
        </w:rPr>
        <w:t xml:space="preserve"> </w:t>
      </w:r>
      <w:proofErr w:type="spellStart"/>
      <w:r w:rsidRPr="00833C88">
        <w:rPr>
          <w:rFonts w:eastAsia="Times New Roman" w:cs="Times New Roman"/>
          <w:bCs/>
          <w:sz w:val="24"/>
          <w:szCs w:val="24"/>
          <w:lang w:eastAsia="pl-PL"/>
        </w:rPr>
        <w:t>cyberzagrożeniami</w:t>
      </w:r>
      <w:proofErr w:type="spellEnd"/>
      <w:r w:rsidRPr="00833C88">
        <w:rPr>
          <w:rFonts w:eastAsia="Times New Roman" w:cs="Times New Roman"/>
          <w:bCs/>
          <w:sz w:val="24"/>
          <w:szCs w:val="24"/>
          <w:lang w:eastAsia="pl-PL"/>
        </w:rPr>
        <w:t xml:space="preserve"> oraz zaistniałymi incydentami;</w:t>
      </w:r>
    </w:p>
    <w:p w14:paraId="5E58D37D" w14:textId="35411DEF" w:rsidR="00246EB7" w:rsidRPr="00833C88" w:rsidRDefault="00246EB7" w:rsidP="00B35C80">
      <w:pPr>
        <w:spacing w:after="0" w:line="360" w:lineRule="auto"/>
        <w:ind w:left="426" w:right="-20" w:hanging="446"/>
        <w:jc w:val="both"/>
        <w:rPr>
          <w:rFonts w:eastAsia="Times New Roman" w:cs="Times New Roman"/>
          <w:bCs/>
          <w:sz w:val="24"/>
          <w:szCs w:val="24"/>
          <w:lang w:eastAsia="pl-PL"/>
        </w:rPr>
      </w:pPr>
      <w:r w:rsidRPr="00833C88">
        <w:rPr>
          <w:rFonts w:eastAsia="Times New Roman" w:cs="Times New Roman"/>
          <w:bCs/>
          <w:sz w:val="24"/>
          <w:szCs w:val="24"/>
          <w:lang w:eastAsia="pl-PL"/>
        </w:rPr>
        <w:t>3)</w:t>
      </w:r>
      <w:r w:rsidRPr="00833C88">
        <w:rPr>
          <w:rFonts w:eastAsia="Times New Roman" w:cs="Times New Roman"/>
          <w:bCs/>
          <w:sz w:val="24"/>
          <w:szCs w:val="24"/>
          <w:lang w:eastAsia="pl-PL"/>
        </w:rPr>
        <w:tab/>
        <w:t xml:space="preserve">wymiana informacji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 xml:space="preserve">przeprowadzanych badaniach,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 xml:space="preserve">których mowa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art. 33 ust. 1</w:t>
      </w:r>
      <w:r w:rsidR="00B27733" w:rsidRPr="00833C88">
        <w:rPr>
          <w:rFonts w:eastAsia="Times New Roman" w:cs="Times New Roman"/>
          <w:bCs/>
          <w:sz w:val="24"/>
          <w:szCs w:val="24"/>
          <w:lang w:eastAsia="pl-PL"/>
        </w:rPr>
        <w:t xml:space="preserve"> ustawy </w:t>
      </w:r>
      <w:r w:rsidR="00601933" w:rsidRPr="00833C88">
        <w:rPr>
          <w:rFonts w:eastAsia="Times New Roman" w:cs="Times New Roman"/>
          <w:bCs/>
          <w:sz w:val="24"/>
          <w:szCs w:val="24"/>
          <w:lang w:eastAsia="pl-PL"/>
        </w:rPr>
        <w:t>o </w:t>
      </w:r>
      <w:r w:rsidR="00B27733" w:rsidRPr="00833C88">
        <w:rPr>
          <w:rFonts w:eastAsia="Times New Roman" w:cs="Times New Roman"/>
          <w:bCs/>
          <w:sz w:val="24"/>
          <w:szCs w:val="24"/>
          <w:lang w:eastAsia="pl-PL"/>
        </w:rPr>
        <w:t>KSC</w:t>
      </w:r>
      <w:r w:rsidRPr="00833C88">
        <w:rPr>
          <w:rFonts w:eastAsia="Times New Roman" w:cs="Times New Roman"/>
          <w:bCs/>
          <w:sz w:val="24"/>
          <w:szCs w:val="24"/>
          <w:lang w:eastAsia="pl-PL"/>
        </w:rPr>
        <w:t>;</w:t>
      </w:r>
    </w:p>
    <w:p w14:paraId="3EFD9DB3" w14:textId="3AF6D3BC" w:rsidR="00246EB7" w:rsidRPr="00833C88" w:rsidRDefault="00B35C80" w:rsidP="00B35C80">
      <w:pPr>
        <w:spacing w:after="0" w:line="360" w:lineRule="auto"/>
        <w:ind w:left="426" w:right="-20" w:hanging="446"/>
        <w:jc w:val="both"/>
        <w:rPr>
          <w:rFonts w:eastAsia="Times New Roman" w:cs="Times New Roman"/>
          <w:bCs/>
          <w:sz w:val="24"/>
          <w:szCs w:val="24"/>
          <w:lang w:eastAsia="pl-PL"/>
        </w:rPr>
      </w:pPr>
      <w:r w:rsidRPr="00833C88">
        <w:rPr>
          <w:rFonts w:eastAsia="Times New Roman" w:cs="Times New Roman"/>
          <w:bCs/>
          <w:sz w:val="24"/>
          <w:szCs w:val="24"/>
          <w:lang w:eastAsia="pl-PL"/>
        </w:rPr>
        <w:t>4</w:t>
      </w:r>
      <w:r w:rsidR="00246EB7" w:rsidRPr="00833C88">
        <w:rPr>
          <w:rFonts w:eastAsia="Times New Roman" w:cs="Times New Roman"/>
          <w:bCs/>
          <w:sz w:val="24"/>
          <w:szCs w:val="24"/>
          <w:lang w:eastAsia="pl-PL"/>
        </w:rPr>
        <w:t>)</w:t>
      </w:r>
      <w:r w:rsidR="00246EB7" w:rsidRPr="00833C88">
        <w:rPr>
          <w:rFonts w:eastAsia="Times New Roman" w:cs="Times New Roman"/>
          <w:bCs/>
          <w:sz w:val="24"/>
          <w:szCs w:val="24"/>
          <w:lang w:eastAsia="pl-PL"/>
        </w:rPr>
        <w:tab/>
        <w:t xml:space="preserve">wymiana informacji dotyczących sytuacji kryzysowych </w:t>
      </w:r>
      <w:r w:rsidR="00601933" w:rsidRPr="00833C88">
        <w:rPr>
          <w:rFonts w:eastAsia="Times New Roman" w:cs="Times New Roman"/>
          <w:bCs/>
          <w:sz w:val="24"/>
          <w:szCs w:val="24"/>
          <w:lang w:eastAsia="pl-PL"/>
        </w:rPr>
        <w:t>w </w:t>
      </w:r>
      <w:r w:rsidR="00246EB7" w:rsidRPr="00833C88">
        <w:rPr>
          <w:rFonts w:eastAsia="Times New Roman" w:cs="Times New Roman"/>
          <w:bCs/>
          <w:sz w:val="24"/>
          <w:szCs w:val="24"/>
          <w:lang w:eastAsia="pl-PL"/>
        </w:rPr>
        <w:t>cyberprzestrzeni;</w:t>
      </w:r>
    </w:p>
    <w:p w14:paraId="44EFE591" w14:textId="77777777" w:rsidR="00B35C80" w:rsidRPr="00833C88" w:rsidRDefault="00B35C80" w:rsidP="00B35C80">
      <w:pPr>
        <w:spacing w:after="0" w:line="360" w:lineRule="auto"/>
        <w:ind w:left="426" w:right="-20" w:hanging="446"/>
        <w:jc w:val="both"/>
        <w:rPr>
          <w:rFonts w:eastAsia="Times New Roman" w:cs="Times New Roman"/>
          <w:bCs/>
          <w:sz w:val="24"/>
          <w:szCs w:val="24"/>
          <w:lang w:eastAsia="pl-PL"/>
        </w:rPr>
      </w:pPr>
      <w:r w:rsidRPr="00833C88">
        <w:rPr>
          <w:rFonts w:eastAsia="Times New Roman" w:cs="Times New Roman"/>
          <w:bCs/>
          <w:sz w:val="24"/>
          <w:szCs w:val="24"/>
          <w:lang w:eastAsia="pl-PL"/>
        </w:rPr>
        <w:t>5</w:t>
      </w:r>
      <w:r w:rsidR="00246EB7" w:rsidRPr="00833C88">
        <w:rPr>
          <w:rFonts w:eastAsia="Times New Roman" w:cs="Times New Roman"/>
          <w:bCs/>
          <w:sz w:val="24"/>
          <w:szCs w:val="24"/>
          <w:lang w:eastAsia="pl-PL"/>
        </w:rPr>
        <w:t>)</w:t>
      </w:r>
      <w:r w:rsidR="00246EB7" w:rsidRPr="00833C88">
        <w:rPr>
          <w:rFonts w:eastAsia="Times New Roman" w:cs="Times New Roman"/>
          <w:bCs/>
          <w:sz w:val="24"/>
          <w:szCs w:val="24"/>
          <w:lang w:eastAsia="pl-PL"/>
        </w:rPr>
        <w:tab/>
        <w:t xml:space="preserve">przygotowywanie bieżących informacji na temat sytuacji </w:t>
      </w:r>
      <w:r w:rsidR="00601933" w:rsidRPr="00833C88">
        <w:rPr>
          <w:rFonts w:eastAsia="Times New Roman" w:cs="Times New Roman"/>
          <w:bCs/>
          <w:sz w:val="24"/>
          <w:szCs w:val="24"/>
          <w:lang w:eastAsia="pl-PL"/>
        </w:rPr>
        <w:t>w </w:t>
      </w:r>
      <w:r w:rsidR="00246EB7" w:rsidRPr="00833C88">
        <w:rPr>
          <w:rFonts w:eastAsia="Times New Roman" w:cs="Times New Roman"/>
          <w:bCs/>
          <w:sz w:val="24"/>
          <w:szCs w:val="24"/>
          <w:lang w:eastAsia="pl-PL"/>
        </w:rPr>
        <w:t>cyberprzestrzeni dla Pełnomocnika</w:t>
      </w:r>
      <w:r w:rsidRPr="00833C88">
        <w:rPr>
          <w:rFonts w:eastAsia="Times New Roman" w:cs="Times New Roman"/>
          <w:bCs/>
          <w:sz w:val="24"/>
          <w:szCs w:val="24"/>
          <w:lang w:eastAsia="pl-PL"/>
        </w:rPr>
        <w:t>;</w:t>
      </w:r>
    </w:p>
    <w:p w14:paraId="3528CF2C" w14:textId="0305C920" w:rsidR="00B35C80" w:rsidRPr="00833C88" w:rsidRDefault="00B35C80" w:rsidP="00B35C80">
      <w:pPr>
        <w:spacing w:after="0" w:line="360" w:lineRule="auto"/>
        <w:ind w:left="426" w:right="-20" w:hanging="446"/>
        <w:jc w:val="both"/>
        <w:rPr>
          <w:rFonts w:eastAsia="Times New Roman" w:cs="Times New Roman"/>
          <w:bCs/>
          <w:sz w:val="24"/>
          <w:szCs w:val="24"/>
          <w:lang w:eastAsia="pl-PL"/>
        </w:rPr>
      </w:pPr>
      <w:r w:rsidRPr="00833C88">
        <w:rPr>
          <w:rFonts w:eastAsia="Times New Roman" w:cs="Times New Roman"/>
          <w:bCs/>
          <w:sz w:val="24"/>
          <w:szCs w:val="24"/>
          <w:lang w:eastAsia="pl-PL"/>
        </w:rPr>
        <w:t>6)</w:t>
      </w:r>
      <w:r w:rsidRPr="00833C88">
        <w:rPr>
          <w:rFonts w:eastAsia="Times New Roman" w:cs="Times New Roman"/>
          <w:bCs/>
          <w:sz w:val="24"/>
          <w:szCs w:val="24"/>
          <w:lang w:eastAsia="pl-PL"/>
        </w:rPr>
        <w:tab/>
      </w:r>
      <w:r w:rsidRPr="00833C88">
        <w:rPr>
          <w:rFonts w:cs="Times New Roman"/>
          <w:sz w:val="24"/>
          <w:szCs w:val="24"/>
        </w:rPr>
        <w:t>wymiana informacji dotycząca procesów i współpracy międzynarodowej w zakresie bezpieczeństwa w cyberprzestrzeni.</w:t>
      </w:r>
    </w:p>
    <w:p w14:paraId="4DA07982" w14:textId="093673D2" w:rsidR="00246EB7" w:rsidRPr="00833C88" w:rsidRDefault="00CC1281"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Dotychczasowa inicjatywa spotkań koordynujących cyberbezpieczeństwo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Polsce b</w:t>
      </w:r>
      <w:r w:rsidR="00246EB7" w:rsidRPr="00833C88">
        <w:rPr>
          <w:rFonts w:eastAsia="Times New Roman" w:cs="Times New Roman"/>
          <w:bCs/>
          <w:sz w:val="24"/>
          <w:szCs w:val="24"/>
          <w:lang w:eastAsia="pl-PL"/>
        </w:rPr>
        <w:t>ędzie unormowan</w:t>
      </w:r>
      <w:r w:rsidRPr="00833C88">
        <w:rPr>
          <w:rFonts w:eastAsia="Times New Roman" w:cs="Times New Roman"/>
          <w:bCs/>
          <w:sz w:val="24"/>
          <w:szCs w:val="24"/>
          <w:lang w:eastAsia="pl-PL"/>
        </w:rPr>
        <w:t>a</w:t>
      </w:r>
      <w:r w:rsidR="00246EB7" w:rsidRPr="00833C88">
        <w:rPr>
          <w:rFonts w:eastAsia="Times New Roman" w:cs="Times New Roman"/>
          <w:bCs/>
          <w:sz w:val="24"/>
          <w:szCs w:val="24"/>
          <w:lang w:eastAsia="pl-PL"/>
        </w:rPr>
        <w:t xml:space="preserve"> na poziomie ustawowym</w:t>
      </w:r>
      <w:r w:rsidRPr="00833C88">
        <w:rPr>
          <w:rFonts w:eastAsia="Times New Roman" w:cs="Times New Roman"/>
          <w:bCs/>
          <w:sz w:val="24"/>
          <w:szCs w:val="24"/>
          <w:lang w:eastAsia="pl-PL"/>
        </w:rPr>
        <w:t>.</w:t>
      </w:r>
      <w:r w:rsidR="00246EB7" w:rsidRPr="00833C88">
        <w:rPr>
          <w:rFonts w:eastAsia="Times New Roman" w:cs="Times New Roman"/>
          <w:bCs/>
          <w:sz w:val="24"/>
          <w:szCs w:val="24"/>
          <w:lang w:eastAsia="pl-PL"/>
        </w:rPr>
        <w:t xml:space="preserve"> Formuła ta sprawdza się przy intensywnej sytuacji w</w:t>
      </w:r>
      <w:r w:rsidRPr="00833C88">
        <w:rPr>
          <w:rFonts w:eastAsia="Times New Roman" w:cs="Times New Roman"/>
          <w:bCs/>
          <w:sz w:val="24"/>
          <w:szCs w:val="24"/>
          <w:lang w:eastAsia="pl-PL"/>
        </w:rPr>
        <w:t> </w:t>
      </w:r>
      <w:r w:rsidR="00246EB7" w:rsidRPr="00833C88">
        <w:rPr>
          <w:rFonts w:eastAsia="Times New Roman" w:cs="Times New Roman"/>
          <w:bCs/>
          <w:sz w:val="24"/>
          <w:szCs w:val="24"/>
          <w:lang w:eastAsia="pl-PL"/>
        </w:rPr>
        <w:t>cyberprzestrzeni.</w:t>
      </w:r>
    </w:p>
    <w:p w14:paraId="40FEE61F" w14:textId="61BDA25B" w:rsidR="00CA7E71" w:rsidRPr="00833C88" w:rsidRDefault="00CA7E71"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Wprowadza się również </w:t>
      </w:r>
      <w:r w:rsidR="005B3B93" w:rsidRPr="00833C88">
        <w:rPr>
          <w:rFonts w:eastAsia="Times New Roman" w:cs="Times New Roman"/>
          <w:bCs/>
          <w:sz w:val="24"/>
          <w:szCs w:val="24"/>
          <w:lang w:eastAsia="pl-PL"/>
        </w:rPr>
        <w:t>stanowisk</w:t>
      </w:r>
      <w:r w:rsidR="00B67D19" w:rsidRPr="00833C88">
        <w:rPr>
          <w:rFonts w:eastAsia="Times New Roman" w:cs="Times New Roman"/>
          <w:bCs/>
          <w:sz w:val="24"/>
          <w:szCs w:val="24"/>
          <w:lang w:eastAsia="pl-PL"/>
        </w:rPr>
        <w:t>o</w:t>
      </w:r>
      <w:r w:rsidR="005B3B93" w:rsidRPr="00833C88">
        <w:rPr>
          <w:rFonts w:eastAsia="Times New Roman" w:cs="Times New Roman"/>
          <w:bCs/>
          <w:sz w:val="24"/>
          <w:szCs w:val="24"/>
          <w:lang w:eastAsia="pl-PL"/>
        </w:rPr>
        <w:t xml:space="preserve"> sekretarza PCOC, analogicznie jak przy Kolegium. Sekretarz organizuje pracę PCOC </w:t>
      </w:r>
      <w:r w:rsidR="00601933" w:rsidRPr="00833C88">
        <w:rPr>
          <w:rFonts w:eastAsia="Times New Roman" w:cs="Times New Roman"/>
          <w:bCs/>
          <w:sz w:val="24"/>
          <w:szCs w:val="24"/>
          <w:lang w:eastAsia="pl-PL"/>
        </w:rPr>
        <w:t>i </w:t>
      </w:r>
      <w:r w:rsidR="00516193" w:rsidRPr="00833C88">
        <w:rPr>
          <w:rFonts w:eastAsia="Times New Roman" w:cs="Times New Roman"/>
          <w:bCs/>
          <w:sz w:val="24"/>
          <w:szCs w:val="24"/>
          <w:lang w:eastAsia="pl-PL"/>
        </w:rPr>
        <w:t xml:space="preserve">może żądać od organów administracji rządowej </w:t>
      </w:r>
      <w:r w:rsidR="00EC1A3F" w:rsidRPr="00833C88">
        <w:rPr>
          <w:rFonts w:eastAsia="Times New Roman" w:cs="Times New Roman"/>
          <w:bCs/>
          <w:sz w:val="24"/>
          <w:szCs w:val="24"/>
          <w:lang w:eastAsia="pl-PL"/>
        </w:rPr>
        <w:t>informacji niezbędnych do organizacji posiedzenie PCOC.</w:t>
      </w:r>
    </w:p>
    <w:p w14:paraId="37FE5147" w14:textId="2111D415" w:rsidR="00246EB7" w:rsidRPr="00833C88" w:rsidRDefault="00CC1281"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Dodatkowo </w:t>
      </w:r>
      <w:r w:rsidR="00246EB7" w:rsidRPr="00833C88">
        <w:rPr>
          <w:rFonts w:eastAsia="Times New Roman" w:cs="Times New Roman"/>
          <w:bCs/>
          <w:sz w:val="24"/>
          <w:szCs w:val="24"/>
          <w:lang w:eastAsia="pl-PL"/>
        </w:rPr>
        <w:t xml:space="preserve">Pełnomocnikowi </w:t>
      </w:r>
      <w:r w:rsidRPr="00833C88">
        <w:rPr>
          <w:rFonts w:eastAsia="Times New Roman" w:cs="Times New Roman"/>
          <w:bCs/>
          <w:sz w:val="24"/>
          <w:szCs w:val="24"/>
          <w:lang w:eastAsia="pl-PL"/>
        </w:rPr>
        <w:t xml:space="preserve">umożliwia się </w:t>
      </w:r>
      <w:r w:rsidR="00246EB7" w:rsidRPr="00833C88">
        <w:rPr>
          <w:rFonts w:eastAsia="Times New Roman" w:cs="Times New Roman"/>
          <w:bCs/>
          <w:sz w:val="24"/>
          <w:szCs w:val="24"/>
          <w:lang w:eastAsia="pl-PL"/>
        </w:rPr>
        <w:t xml:space="preserve">wydanie zarządzenia określającego sposób działania PCOC. Zdaniem projektodawcy </w:t>
      </w:r>
      <w:r w:rsidRPr="00833C88">
        <w:rPr>
          <w:rFonts w:eastAsia="Times New Roman" w:cs="Times New Roman"/>
          <w:bCs/>
          <w:sz w:val="24"/>
          <w:szCs w:val="24"/>
          <w:lang w:eastAsia="pl-PL"/>
        </w:rPr>
        <w:t xml:space="preserve">wydanie aktu prawa wewnętrznego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tym zakresie jest </w:t>
      </w:r>
      <w:r w:rsidR="00246EB7" w:rsidRPr="00833C88">
        <w:rPr>
          <w:rFonts w:eastAsia="Times New Roman" w:cs="Times New Roman"/>
          <w:bCs/>
          <w:sz w:val="24"/>
          <w:szCs w:val="24"/>
          <w:lang w:eastAsia="pl-PL"/>
        </w:rPr>
        <w:t>możliwe</w:t>
      </w:r>
      <w:r w:rsidRPr="00833C88">
        <w:rPr>
          <w:rFonts w:eastAsia="Times New Roman" w:cs="Times New Roman"/>
          <w:bCs/>
          <w:sz w:val="24"/>
          <w:szCs w:val="24"/>
          <w:lang w:eastAsia="pl-PL"/>
        </w:rPr>
        <w:t xml:space="preserve">, mając na względzie, że PCOC będzie działał przy Pełnomocniku </w:t>
      </w:r>
      <w:r w:rsidR="00601933" w:rsidRPr="00833C88">
        <w:rPr>
          <w:rFonts w:eastAsia="Times New Roman" w:cs="Times New Roman"/>
          <w:bCs/>
          <w:sz w:val="24"/>
          <w:szCs w:val="24"/>
          <w:lang w:eastAsia="pl-PL"/>
        </w:rPr>
        <w:t>i </w:t>
      </w:r>
      <w:r w:rsidRPr="00833C88">
        <w:rPr>
          <w:rFonts w:eastAsia="Times New Roman" w:cs="Times New Roman"/>
          <w:bCs/>
          <w:sz w:val="24"/>
          <w:szCs w:val="24"/>
          <w:lang w:eastAsia="pl-PL"/>
        </w:rPr>
        <w:t xml:space="preserve">na jego rzecz, </w:t>
      </w:r>
      <w:r w:rsidR="00601933" w:rsidRPr="00833C88">
        <w:rPr>
          <w:rFonts w:eastAsia="Times New Roman" w:cs="Times New Roman"/>
          <w:bCs/>
          <w:sz w:val="24"/>
          <w:szCs w:val="24"/>
          <w:lang w:eastAsia="pl-PL"/>
        </w:rPr>
        <w:t>a </w:t>
      </w:r>
      <w:r w:rsidRPr="00833C88">
        <w:rPr>
          <w:rFonts w:eastAsia="Times New Roman" w:cs="Times New Roman"/>
          <w:bCs/>
          <w:sz w:val="24"/>
          <w:szCs w:val="24"/>
          <w:lang w:eastAsia="pl-PL"/>
        </w:rPr>
        <w:t>Pełnomocnik przewodniczy PCOC</w:t>
      </w:r>
      <w:r w:rsidR="00246EB7" w:rsidRPr="00833C88">
        <w:rPr>
          <w:rFonts w:eastAsia="Times New Roman" w:cs="Times New Roman"/>
          <w:bCs/>
          <w:sz w:val="24"/>
          <w:szCs w:val="24"/>
          <w:lang w:eastAsia="pl-PL"/>
        </w:rPr>
        <w:t>.</w:t>
      </w:r>
      <w:r w:rsidRPr="00833C88">
        <w:rPr>
          <w:rFonts w:eastAsia="Times New Roman" w:cs="Times New Roman"/>
          <w:bCs/>
          <w:sz w:val="24"/>
          <w:szCs w:val="24"/>
          <w:lang w:eastAsia="pl-PL"/>
        </w:rPr>
        <w:t xml:space="preserve"> </w:t>
      </w:r>
      <w:r w:rsidR="00246EB7" w:rsidRPr="00833C88">
        <w:rPr>
          <w:rFonts w:eastAsia="Times New Roman" w:cs="Times New Roman"/>
          <w:bCs/>
          <w:sz w:val="24"/>
          <w:szCs w:val="24"/>
          <w:lang w:eastAsia="pl-PL"/>
        </w:rPr>
        <w:t>Podobna sytuacja ma miejsce przy Rządowym Zespole Zarządzania Kryzysowego – tryb działania jest określany w</w:t>
      </w:r>
      <w:r w:rsidRPr="00833C88">
        <w:rPr>
          <w:rFonts w:eastAsia="Times New Roman" w:cs="Times New Roman"/>
          <w:bCs/>
          <w:sz w:val="24"/>
          <w:szCs w:val="24"/>
          <w:lang w:eastAsia="pl-PL"/>
        </w:rPr>
        <w:t> </w:t>
      </w:r>
      <w:r w:rsidR="00246EB7" w:rsidRPr="00833C88">
        <w:rPr>
          <w:rFonts w:eastAsia="Times New Roman" w:cs="Times New Roman"/>
          <w:bCs/>
          <w:sz w:val="24"/>
          <w:szCs w:val="24"/>
          <w:lang w:eastAsia="pl-PL"/>
        </w:rPr>
        <w:t xml:space="preserve">zarządzeniu Prezesa Rady Ministrów, który przewodniczy temu </w:t>
      </w:r>
      <w:r w:rsidR="004200A6">
        <w:rPr>
          <w:rFonts w:eastAsia="Times New Roman" w:cs="Times New Roman"/>
          <w:bCs/>
          <w:sz w:val="24"/>
          <w:szCs w:val="24"/>
          <w:lang w:eastAsia="pl-PL"/>
        </w:rPr>
        <w:t>Z</w:t>
      </w:r>
      <w:r w:rsidR="00246EB7" w:rsidRPr="00833C88">
        <w:rPr>
          <w:rFonts w:eastAsia="Times New Roman" w:cs="Times New Roman"/>
          <w:bCs/>
          <w:sz w:val="24"/>
          <w:szCs w:val="24"/>
          <w:lang w:eastAsia="pl-PL"/>
        </w:rPr>
        <w:t>espołowi.</w:t>
      </w:r>
    </w:p>
    <w:p w14:paraId="71BE99CC" w14:textId="2DB1FDD7" w:rsidR="00BA3D7F" w:rsidRPr="00833C88" w:rsidRDefault="00BA3D7F"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Pełnomocnik będzie mógł dokonywać zakupów sprzętu</w:t>
      </w:r>
      <w:r w:rsidR="00472986" w:rsidRPr="00833C88">
        <w:rPr>
          <w:rFonts w:eastAsia="Times New Roman" w:cs="Times New Roman"/>
          <w:bCs/>
          <w:sz w:val="24"/>
          <w:szCs w:val="24"/>
          <w:lang w:eastAsia="pl-PL"/>
        </w:rPr>
        <w:t xml:space="preserve"> lub </w:t>
      </w:r>
      <w:r w:rsidRPr="00833C88">
        <w:rPr>
          <w:rFonts w:eastAsia="Times New Roman" w:cs="Times New Roman"/>
          <w:bCs/>
          <w:sz w:val="24"/>
          <w:szCs w:val="24"/>
          <w:lang w:eastAsia="pl-PL"/>
        </w:rPr>
        <w:t>oprogramowania dla uczestników posiedzeń Połączonego Centrum Operacyjnego Cyberbezpieczeństwa. Rozwiązanie</w:t>
      </w:r>
      <w:r w:rsidR="00472986" w:rsidRPr="00833C88">
        <w:rPr>
          <w:rFonts w:eastAsia="Times New Roman" w:cs="Times New Roman"/>
          <w:bCs/>
          <w:sz w:val="24"/>
          <w:szCs w:val="24"/>
          <w:lang w:eastAsia="pl-PL"/>
        </w:rPr>
        <w:t xml:space="preserve"> to ma na celu uprościć zakupy z zakresu cyberbezpieczeństwa dla kluczowych podmiotów w Polsce </w:t>
      </w:r>
      <w:r w:rsidR="00472986" w:rsidRPr="00833C88">
        <w:rPr>
          <w:rFonts w:eastAsia="Times New Roman" w:cs="Times New Roman"/>
          <w:bCs/>
          <w:sz w:val="24"/>
          <w:szCs w:val="24"/>
          <w:lang w:eastAsia="pl-PL"/>
        </w:rPr>
        <w:lastRenderedPageBreak/>
        <w:t xml:space="preserve">odpowiadających za cyberbezpieczeństwo. </w:t>
      </w:r>
      <w:r w:rsidR="006D252A" w:rsidRPr="00833C88">
        <w:rPr>
          <w:rFonts w:eastAsia="Times New Roman" w:cs="Times New Roman"/>
          <w:bCs/>
          <w:sz w:val="24"/>
          <w:szCs w:val="24"/>
          <w:lang w:eastAsia="pl-PL"/>
        </w:rPr>
        <w:t>Dzięki hurtowym zakupom będzie możliwe uzyskanie tańszej ceny za sprzęt lub oprogramowanie.</w:t>
      </w:r>
    </w:p>
    <w:p w14:paraId="69000B4F" w14:textId="5BF7FC8E" w:rsidR="006374A3" w:rsidRPr="00833C88" w:rsidRDefault="006374A3" w:rsidP="00FA783E">
      <w:pPr>
        <w:pStyle w:val="Nagwek2"/>
        <w:spacing w:before="0" w:after="120" w:line="360" w:lineRule="auto"/>
        <w:jc w:val="both"/>
        <w:rPr>
          <w:rFonts w:cs="Times New Roman"/>
          <w:b/>
          <w:bCs/>
        </w:rPr>
      </w:pPr>
      <w:r w:rsidRPr="00833C88">
        <w:rPr>
          <w:rFonts w:cs="Times New Roman"/>
          <w:b/>
          <w:bCs/>
        </w:rPr>
        <w:t xml:space="preserve">Kolegium do </w:t>
      </w:r>
      <w:r w:rsidR="006F6740" w:rsidRPr="00833C88">
        <w:rPr>
          <w:rFonts w:cs="Times New Roman"/>
          <w:b/>
          <w:bCs/>
        </w:rPr>
        <w:t>S</w:t>
      </w:r>
      <w:r w:rsidRPr="00833C88">
        <w:rPr>
          <w:rFonts w:cs="Times New Roman"/>
          <w:b/>
          <w:bCs/>
        </w:rPr>
        <w:t>praw Cyberbezpieczeństwa</w:t>
      </w:r>
    </w:p>
    <w:p w14:paraId="2A43C492" w14:textId="21BEA821" w:rsidR="00D1348F" w:rsidRPr="00833C88" w:rsidRDefault="005377C0"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Zmiana u</w:t>
      </w:r>
      <w:r w:rsidR="00D1348F" w:rsidRPr="00833C88">
        <w:rPr>
          <w:rFonts w:eastAsia="Times New Roman" w:cs="Times New Roman"/>
          <w:bCs/>
          <w:sz w:val="24"/>
          <w:szCs w:val="24"/>
          <w:lang w:eastAsia="pl-PL"/>
        </w:rPr>
        <w:t>staw</w:t>
      </w:r>
      <w:r w:rsidRPr="00833C88">
        <w:rPr>
          <w:rFonts w:eastAsia="Times New Roman" w:cs="Times New Roman"/>
          <w:bCs/>
          <w:sz w:val="24"/>
          <w:szCs w:val="24"/>
          <w:lang w:eastAsia="pl-PL"/>
        </w:rPr>
        <w:t>y</w:t>
      </w:r>
      <w:r w:rsidR="00D1348F" w:rsidRPr="00833C88">
        <w:rPr>
          <w:rFonts w:eastAsia="Times New Roman" w:cs="Times New Roman"/>
          <w:bCs/>
          <w:sz w:val="24"/>
          <w:szCs w:val="24"/>
          <w:lang w:eastAsia="pl-PL"/>
        </w:rPr>
        <w:t xml:space="preserve"> </w:t>
      </w:r>
      <w:r w:rsidR="002779DD" w:rsidRPr="00833C88">
        <w:rPr>
          <w:rFonts w:eastAsia="Times New Roman" w:cs="Times New Roman"/>
          <w:bCs/>
          <w:sz w:val="24"/>
          <w:szCs w:val="24"/>
          <w:lang w:eastAsia="pl-PL"/>
        </w:rPr>
        <w:t>po</w:t>
      </w:r>
      <w:r w:rsidR="00D1348F" w:rsidRPr="00833C88">
        <w:rPr>
          <w:rFonts w:eastAsia="Times New Roman" w:cs="Times New Roman"/>
          <w:bCs/>
          <w:sz w:val="24"/>
          <w:szCs w:val="24"/>
          <w:lang w:eastAsia="pl-PL"/>
        </w:rPr>
        <w:t xml:space="preserve">szerza skład Kolegium, </w:t>
      </w:r>
      <w:r w:rsidR="002779DD" w:rsidRPr="00833C88">
        <w:rPr>
          <w:rFonts w:eastAsia="Times New Roman" w:cs="Times New Roman"/>
          <w:bCs/>
          <w:sz w:val="24"/>
          <w:szCs w:val="24"/>
          <w:lang w:eastAsia="pl-PL"/>
        </w:rPr>
        <w:t>zakres jego zadań i</w:t>
      </w:r>
      <w:r w:rsidR="00CC1281" w:rsidRPr="00833C88">
        <w:rPr>
          <w:rFonts w:eastAsia="Times New Roman" w:cs="Times New Roman"/>
          <w:bCs/>
          <w:sz w:val="24"/>
          <w:szCs w:val="24"/>
          <w:lang w:eastAsia="pl-PL"/>
        </w:rPr>
        <w:t> </w:t>
      </w:r>
      <w:r w:rsidR="00420BC6" w:rsidRPr="00833C88">
        <w:rPr>
          <w:rFonts w:eastAsia="Times New Roman" w:cs="Times New Roman"/>
          <w:bCs/>
          <w:sz w:val="24"/>
          <w:szCs w:val="24"/>
          <w:lang w:eastAsia="pl-PL"/>
        </w:rPr>
        <w:t xml:space="preserve">precyzuje pewne kwestie związane </w:t>
      </w:r>
      <w:r w:rsidR="00601933" w:rsidRPr="00833C88">
        <w:rPr>
          <w:rFonts w:eastAsia="Times New Roman" w:cs="Times New Roman"/>
          <w:bCs/>
          <w:sz w:val="24"/>
          <w:szCs w:val="24"/>
          <w:lang w:eastAsia="pl-PL"/>
        </w:rPr>
        <w:t>z </w:t>
      </w:r>
      <w:r w:rsidR="00420BC6" w:rsidRPr="00833C88">
        <w:rPr>
          <w:rFonts w:eastAsia="Times New Roman" w:cs="Times New Roman"/>
          <w:bCs/>
          <w:sz w:val="24"/>
          <w:szCs w:val="24"/>
          <w:lang w:eastAsia="pl-PL"/>
        </w:rPr>
        <w:t xml:space="preserve">jego </w:t>
      </w:r>
      <w:r w:rsidR="008D0C98" w:rsidRPr="00833C88">
        <w:rPr>
          <w:rFonts w:eastAsia="Times New Roman" w:cs="Times New Roman"/>
          <w:bCs/>
          <w:sz w:val="24"/>
          <w:szCs w:val="24"/>
          <w:lang w:eastAsia="pl-PL"/>
        </w:rPr>
        <w:t>funkcjonowanie</w:t>
      </w:r>
      <w:r w:rsidR="005105E0" w:rsidRPr="00833C88">
        <w:rPr>
          <w:rFonts w:eastAsia="Times New Roman" w:cs="Times New Roman"/>
          <w:bCs/>
          <w:sz w:val="24"/>
          <w:szCs w:val="24"/>
          <w:lang w:eastAsia="pl-PL"/>
        </w:rPr>
        <w:t>m</w:t>
      </w:r>
      <w:r w:rsidR="008D0C98" w:rsidRPr="00833C88">
        <w:rPr>
          <w:rFonts w:eastAsia="Times New Roman" w:cs="Times New Roman"/>
          <w:bCs/>
          <w:sz w:val="24"/>
          <w:szCs w:val="24"/>
          <w:lang w:eastAsia="pl-PL"/>
        </w:rPr>
        <w:t xml:space="preserve">. </w:t>
      </w:r>
    </w:p>
    <w:p w14:paraId="20717470" w14:textId="46ED4259" w:rsidR="00D63DC1" w:rsidRPr="00833C88" w:rsidRDefault="00601933"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W </w:t>
      </w:r>
      <w:r w:rsidR="005377C0" w:rsidRPr="00833C88">
        <w:rPr>
          <w:rFonts w:eastAsia="Times New Roman" w:cs="Times New Roman"/>
          <w:bCs/>
          <w:sz w:val="24"/>
          <w:szCs w:val="24"/>
          <w:lang w:eastAsia="pl-PL"/>
        </w:rPr>
        <w:t xml:space="preserve">projektowanej </w:t>
      </w:r>
      <w:r w:rsidR="00D63DC1" w:rsidRPr="00833C88">
        <w:rPr>
          <w:rFonts w:eastAsia="Times New Roman" w:cs="Times New Roman"/>
          <w:bCs/>
          <w:sz w:val="24"/>
          <w:szCs w:val="24"/>
          <w:lang w:eastAsia="pl-PL"/>
        </w:rPr>
        <w:t xml:space="preserve">ustawie zostały określone nowe rodzaje analiz jakie będą mogły być zlecane CSIRT </w:t>
      </w:r>
      <w:r w:rsidR="00F724DF" w:rsidRPr="00833C88">
        <w:rPr>
          <w:rFonts w:eastAsia="Times New Roman" w:cs="Times New Roman"/>
          <w:bCs/>
          <w:sz w:val="24"/>
          <w:szCs w:val="24"/>
          <w:lang w:eastAsia="pl-PL"/>
        </w:rPr>
        <w:t xml:space="preserve">MON, </w:t>
      </w:r>
      <w:r w:rsidR="00D63DC1" w:rsidRPr="00833C88">
        <w:rPr>
          <w:rFonts w:eastAsia="Times New Roman" w:cs="Times New Roman"/>
          <w:bCs/>
          <w:sz w:val="24"/>
          <w:szCs w:val="24"/>
          <w:lang w:eastAsia="pl-PL"/>
        </w:rPr>
        <w:t>CSIRT N</w:t>
      </w:r>
      <w:r w:rsidR="00F724DF" w:rsidRPr="00833C88">
        <w:rPr>
          <w:rFonts w:eastAsia="Times New Roman" w:cs="Times New Roman"/>
          <w:bCs/>
          <w:sz w:val="24"/>
          <w:szCs w:val="24"/>
          <w:lang w:eastAsia="pl-PL"/>
        </w:rPr>
        <w:t>ASK</w:t>
      </w:r>
      <w:r w:rsidR="00D63DC1" w:rsidRPr="00833C88">
        <w:rPr>
          <w:rFonts w:eastAsia="Times New Roman" w:cs="Times New Roman"/>
          <w:bCs/>
          <w:sz w:val="24"/>
          <w:szCs w:val="24"/>
          <w:lang w:eastAsia="pl-PL"/>
        </w:rPr>
        <w:t xml:space="preserve"> lub CSIRT </w:t>
      </w:r>
      <w:r w:rsidR="00F724DF" w:rsidRPr="00833C88">
        <w:rPr>
          <w:rFonts w:eastAsia="Times New Roman" w:cs="Times New Roman"/>
          <w:bCs/>
          <w:sz w:val="24"/>
          <w:szCs w:val="24"/>
          <w:lang w:eastAsia="pl-PL"/>
        </w:rPr>
        <w:t>GOV</w:t>
      </w:r>
      <w:r w:rsidR="00D63DC1" w:rsidRPr="00833C88">
        <w:rPr>
          <w:rFonts w:eastAsia="Times New Roman" w:cs="Times New Roman"/>
          <w:bCs/>
          <w:sz w:val="24"/>
          <w:szCs w:val="24"/>
          <w:lang w:eastAsia="pl-PL"/>
        </w:rPr>
        <w:t xml:space="preserve">. Będą to analizy dotyczące wpływu konkretnych produktów ICT, usług ICT lub procesów ICT na bezpieczeństwo usług świadczonych przez podmioty określone </w:t>
      </w:r>
      <w:r w:rsidRPr="00833C88">
        <w:rPr>
          <w:rFonts w:eastAsia="Times New Roman" w:cs="Times New Roman"/>
          <w:bCs/>
          <w:sz w:val="24"/>
          <w:szCs w:val="24"/>
          <w:lang w:eastAsia="pl-PL"/>
        </w:rPr>
        <w:t>w </w:t>
      </w:r>
      <w:r w:rsidR="00D63DC1" w:rsidRPr="00833C88">
        <w:rPr>
          <w:rFonts w:eastAsia="Times New Roman" w:cs="Times New Roman"/>
          <w:bCs/>
          <w:sz w:val="24"/>
          <w:szCs w:val="24"/>
          <w:lang w:eastAsia="pl-PL"/>
        </w:rPr>
        <w:t xml:space="preserve">art. </w:t>
      </w:r>
      <w:r w:rsidR="00271476" w:rsidRPr="00833C88">
        <w:rPr>
          <w:rFonts w:eastAsia="Times New Roman" w:cs="Times New Roman"/>
          <w:bCs/>
          <w:sz w:val="24"/>
          <w:szCs w:val="24"/>
          <w:lang w:eastAsia="pl-PL"/>
        </w:rPr>
        <w:t xml:space="preserve">67b </w:t>
      </w:r>
      <w:r w:rsidR="00D63DC1" w:rsidRPr="00833C88">
        <w:rPr>
          <w:rFonts w:eastAsia="Times New Roman" w:cs="Times New Roman"/>
          <w:bCs/>
          <w:sz w:val="24"/>
          <w:szCs w:val="24"/>
          <w:lang w:eastAsia="pl-PL"/>
        </w:rPr>
        <w:t xml:space="preserve">ust. 1 </w:t>
      </w:r>
      <w:r w:rsidR="00CC1281" w:rsidRPr="00833C88">
        <w:rPr>
          <w:rFonts w:eastAsia="Times New Roman" w:cs="Times New Roman"/>
          <w:bCs/>
          <w:sz w:val="24"/>
          <w:szCs w:val="24"/>
          <w:lang w:eastAsia="pl-PL"/>
        </w:rPr>
        <w:t xml:space="preserve">ustawy </w:t>
      </w:r>
      <w:r w:rsidRPr="00833C88">
        <w:rPr>
          <w:rFonts w:eastAsia="Times New Roman" w:cs="Times New Roman"/>
          <w:bCs/>
          <w:sz w:val="24"/>
          <w:szCs w:val="24"/>
          <w:lang w:eastAsia="pl-PL"/>
        </w:rPr>
        <w:t>o </w:t>
      </w:r>
      <w:r w:rsidR="00CC1281" w:rsidRPr="00833C88">
        <w:rPr>
          <w:rFonts w:eastAsia="Times New Roman" w:cs="Times New Roman"/>
          <w:bCs/>
          <w:sz w:val="24"/>
          <w:szCs w:val="24"/>
          <w:lang w:eastAsia="pl-PL"/>
        </w:rPr>
        <w:t xml:space="preserve">KSC </w:t>
      </w:r>
      <w:r w:rsidR="00D63DC1" w:rsidRPr="00833C88">
        <w:rPr>
          <w:rFonts w:eastAsia="Times New Roman" w:cs="Times New Roman"/>
          <w:bCs/>
          <w:sz w:val="24"/>
          <w:szCs w:val="24"/>
          <w:lang w:eastAsia="pl-PL"/>
        </w:rPr>
        <w:t xml:space="preserve">oraz analizy dotyczące trybu </w:t>
      </w:r>
      <w:r w:rsidRPr="00833C88">
        <w:rPr>
          <w:rFonts w:eastAsia="Times New Roman" w:cs="Times New Roman"/>
          <w:bCs/>
          <w:sz w:val="24"/>
          <w:szCs w:val="24"/>
          <w:lang w:eastAsia="pl-PL"/>
        </w:rPr>
        <w:t>i </w:t>
      </w:r>
      <w:r w:rsidR="00D63DC1" w:rsidRPr="00833C88">
        <w:rPr>
          <w:rFonts w:eastAsia="Times New Roman" w:cs="Times New Roman"/>
          <w:bCs/>
          <w:sz w:val="24"/>
          <w:szCs w:val="24"/>
          <w:lang w:eastAsia="pl-PL"/>
        </w:rPr>
        <w:t>zakresu, w</w:t>
      </w:r>
      <w:r w:rsidR="009B4C26" w:rsidRPr="00833C88">
        <w:rPr>
          <w:rFonts w:eastAsia="Times New Roman" w:cs="Times New Roman"/>
          <w:bCs/>
          <w:sz w:val="24"/>
          <w:szCs w:val="24"/>
          <w:lang w:eastAsia="pl-PL"/>
        </w:rPr>
        <w:t> </w:t>
      </w:r>
      <w:r w:rsidR="00D63DC1" w:rsidRPr="00833C88">
        <w:rPr>
          <w:rFonts w:eastAsia="Times New Roman" w:cs="Times New Roman"/>
          <w:bCs/>
          <w:sz w:val="24"/>
          <w:szCs w:val="24"/>
          <w:lang w:eastAsia="pl-PL"/>
        </w:rPr>
        <w:t xml:space="preserve">jakim dostawca sprawuje nadzór nad procesem wytwarzania </w:t>
      </w:r>
      <w:r w:rsidRPr="00833C88">
        <w:rPr>
          <w:rFonts w:eastAsia="Times New Roman" w:cs="Times New Roman"/>
          <w:bCs/>
          <w:sz w:val="24"/>
          <w:szCs w:val="24"/>
          <w:lang w:eastAsia="pl-PL"/>
        </w:rPr>
        <w:t>i </w:t>
      </w:r>
      <w:r w:rsidR="00D63DC1" w:rsidRPr="00833C88">
        <w:rPr>
          <w:rFonts w:eastAsia="Times New Roman" w:cs="Times New Roman"/>
          <w:bCs/>
          <w:sz w:val="24"/>
          <w:szCs w:val="24"/>
          <w:lang w:eastAsia="pl-PL"/>
        </w:rPr>
        <w:t xml:space="preserve">dostarczania produktów ICT, usług ICT lub procesów ICT. Analizy te będą wykonywane na wniosek Przewodniczącego Kolegium </w:t>
      </w:r>
      <w:r w:rsidRPr="00833C88">
        <w:rPr>
          <w:rFonts w:eastAsia="Times New Roman" w:cs="Times New Roman"/>
          <w:bCs/>
          <w:sz w:val="24"/>
          <w:szCs w:val="24"/>
          <w:lang w:eastAsia="pl-PL"/>
        </w:rPr>
        <w:t>i </w:t>
      </w:r>
      <w:r w:rsidR="00D63DC1" w:rsidRPr="00833C88">
        <w:rPr>
          <w:rFonts w:eastAsia="Times New Roman" w:cs="Times New Roman"/>
          <w:bCs/>
          <w:sz w:val="24"/>
          <w:szCs w:val="24"/>
          <w:lang w:eastAsia="pl-PL"/>
        </w:rPr>
        <w:t xml:space="preserve">będą mogły posłużyć jako dowód </w:t>
      </w:r>
      <w:r w:rsidRPr="00833C88">
        <w:rPr>
          <w:rFonts w:eastAsia="Times New Roman" w:cs="Times New Roman"/>
          <w:bCs/>
          <w:sz w:val="24"/>
          <w:szCs w:val="24"/>
          <w:lang w:eastAsia="pl-PL"/>
        </w:rPr>
        <w:t>w </w:t>
      </w:r>
      <w:r w:rsidR="00D63DC1" w:rsidRPr="00833C88">
        <w:rPr>
          <w:rFonts w:eastAsia="Times New Roman" w:cs="Times New Roman"/>
          <w:bCs/>
          <w:sz w:val="24"/>
          <w:szCs w:val="24"/>
          <w:lang w:eastAsia="pl-PL"/>
        </w:rPr>
        <w:t>ramach postępowania o</w:t>
      </w:r>
      <w:r w:rsidR="00CC1281" w:rsidRPr="00833C88">
        <w:rPr>
          <w:rFonts w:eastAsia="Times New Roman" w:cs="Times New Roman"/>
          <w:bCs/>
          <w:sz w:val="24"/>
          <w:szCs w:val="24"/>
          <w:lang w:eastAsia="pl-PL"/>
        </w:rPr>
        <w:t> </w:t>
      </w:r>
      <w:r w:rsidR="00D63DC1" w:rsidRPr="00833C88">
        <w:rPr>
          <w:rFonts w:eastAsia="Times New Roman" w:cs="Times New Roman"/>
          <w:bCs/>
          <w:sz w:val="24"/>
          <w:szCs w:val="24"/>
          <w:lang w:eastAsia="pl-PL"/>
        </w:rPr>
        <w:t>uznaniu dostawcy za</w:t>
      </w:r>
      <w:r w:rsidR="001A275A" w:rsidRPr="00833C88">
        <w:rPr>
          <w:rFonts w:eastAsia="Times New Roman" w:cs="Times New Roman"/>
          <w:bCs/>
          <w:sz w:val="24"/>
          <w:szCs w:val="24"/>
          <w:lang w:eastAsia="pl-PL"/>
        </w:rPr>
        <w:t> </w:t>
      </w:r>
      <w:r w:rsidR="00D63DC1" w:rsidRPr="00833C88">
        <w:rPr>
          <w:rFonts w:eastAsia="Times New Roman" w:cs="Times New Roman"/>
          <w:bCs/>
          <w:sz w:val="24"/>
          <w:szCs w:val="24"/>
          <w:lang w:eastAsia="pl-PL"/>
        </w:rPr>
        <w:t>dostawcę wysokiego ryzyka.</w:t>
      </w:r>
    </w:p>
    <w:p w14:paraId="08B35B4D" w14:textId="582BC0FA" w:rsidR="00D63DC1" w:rsidRPr="00833C88" w:rsidRDefault="00D63DC1"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Rozszerzono katalog zadań Kolegium m.in.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wyrażanie opinii o</w:t>
      </w:r>
      <w:r w:rsidR="00CC1281" w:rsidRPr="00833C88">
        <w:rPr>
          <w:rFonts w:eastAsia="Times New Roman" w:cs="Times New Roman"/>
          <w:bCs/>
          <w:sz w:val="24"/>
          <w:szCs w:val="24"/>
          <w:lang w:eastAsia="pl-PL"/>
        </w:rPr>
        <w:t> </w:t>
      </w:r>
      <w:r w:rsidRPr="00833C88">
        <w:rPr>
          <w:rFonts w:eastAsia="Times New Roman" w:cs="Times New Roman"/>
          <w:bCs/>
          <w:sz w:val="24"/>
          <w:szCs w:val="24"/>
          <w:lang w:eastAsia="pl-PL"/>
        </w:rPr>
        <w:t xml:space="preserve">decyzji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sprawie uznania dostawcy sprzętu lub oprogramowania za dostawcę wysokiego ryzyka. </w:t>
      </w:r>
    </w:p>
    <w:p w14:paraId="329F2B0F" w14:textId="6F634406" w:rsidR="00D63DC1" w:rsidRPr="00833C88" w:rsidRDefault="00D63DC1"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Proponuje się rozszerzenie składu Kolegium</w:t>
      </w:r>
      <w:r w:rsidR="005377C0" w:rsidRPr="00833C88">
        <w:rPr>
          <w:rFonts w:eastAsia="Times New Roman" w:cs="Times New Roman"/>
          <w:bCs/>
          <w:sz w:val="24"/>
          <w:szCs w:val="24"/>
          <w:lang w:eastAsia="pl-PL"/>
        </w:rPr>
        <w:t>–</w:t>
      </w:r>
      <w:r w:rsidRPr="00833C88">
        <w:rPr>
          <w:rFonts w:eastAsia="Times New Roman" w:cs="Times New Roman"/>
          <w:bCs/>
          <w:sz w:val="24"/>
          <w:szCs w:val="24"/>
          <w:lang w:eastAsia="pl-PL"/>
        </w:rPr>
        <w:t xml:space="preserve"> </w:t>
      </w:r>
      <w:r w:rsidR="005377C0" w:rsidRPr="00833C88">
        <w:rPr>
          <w:rFonts w:eastAsia="Times New Roman" w:cs="Times New Roman"/>
          <w:bCs/>
          <w:sz w:val="24"/>
          <w:szCs w:val="24"/>
          <w:lang w:eastAsia="pl-PL"/>
        </w:rPr>
        <w:t>n</w:t>
      </w:r>
      <w:r w:rsidRPr="00833C88">
        <w:rPr>
          <w:rFonts w:eastAsia="Times New Roman" w:cs="Times New Roman"/>
          <w:bCs/>
          <w:sz w:val="24"/>
          <w:szCs w:val="24"/>
          <w:lang w:eastAsia="pl-PL"/>
        </w:rPr>
        <w:t>owym</w:t>
      </w:r>
      <w:r w:rsidR="003B78A5" w:rsidRPr="00833C88">
        <w:rPr>
          <w:rFonts w:eastAsia="Times New Roman" w:cs="Times New Roman"/>
          <w:bCs/>
          <w:sz w:val="24"/>
          <w:szCs w:val="24"/>
          <w:lang w:eastAsia="pl-PL"/>
        </w:rPr>
        <w:t>i</w:t>
      </w:r>
      <w:r w:rsidRPr="00833C88">
        <w:rPr>
          <w:rFonts w:eastAsia="Times New Roman" w:cs="Times New Roman"/>
          <w:bCs/>
          <w:sz w:val="24"/>
          <w:szCs w:val="24"/>
          <w:lang w:eastAsia="pl-PL"/>
        </w:rPr>
        <w:t xml:space="preserve"> członk</w:t>
      </w:r>
      <w:r w:rsidR="00653C0C" w:rsidRPr="00833C88">
        <w:rPr>
          <w:rFonts w:eastAsia="Times New Roman" w:cs="Times New Roman"/>
          <w:bCs/>
          <w:sz w:val="24"/>
          <w:szCs w:val="24"/>
          <w:lang w:eastAsia="pl-PL"/>
        </w:rPr>
        <w:t>ami</w:t>
      </w:r>
      <w:r w:rsidRPr="00833C88">
        <w:rPr>
          <w:rFonts w:eastAsia="Times New Roman" w:cs="Times New Roman"/>
          <w:bCs/>
          <w:sz w:val="24"/>
          <w:szCs w:val="24"/>
          <w:lang w:eastAsia="pl-PL"/>
        </w:rPr>
        <w:t xml:space="preserve"> </w:t>
      </w:r>
      <w:r w:rsidR="002047C8" w:rsidRPr="00833C88">
        <w:rPr>
          <w:rFonts w:eastAsia="Times New Roman" w:cs="Times New Roman"/>
          <w:bCs/>
          <w:sz w:val="24"/>
          <w:szCs w:val="24"/>
          <w:lang w:eastAsia="pl-PL"/>
        </w:rPr>
        <w:t>będą organy właściwe do</w:t>
      </w:r>
      <w:r w:rsidR="001A275A" w:rsidRPr="00833C88">
        <w:rPr>
          <w:rFonts w:eastAsia="Times New Roman" w:cs="Times New Roman"/>
          <w:bCs/>
          <w:sz w:val="24"/>
          <w:szCs w:val="24"/>
          <w:lang w:eastAsia="pl-PL"/>
        </w:rPr>
        <w:t> </w:t>
      </w:r>
      <w:r w:rsidR="002047C8" w:rsidRPr="00833C88">
        <w:rPr>
          <w:rFonts w:eastAsia="Times New Roman" w:cs="Times New Roman"/>
          <w:bCs/>
          <w:sz w:val="24"/>
          <w:szCs w:val="24"/>
          <w:lang w:eastAsia="pl-PL"/>
        </w:rPr>
        <w:t>spraw cyberbezpieczeństwa</w:t>
      </w:r>
      <w:r w:rsidRPr="00833C88">
        <w:rPr>
          <w:rFonts w:eastAsia="Times New Roman" w:cs="Times New Roman"/>
          <w:bCs/>
          <w:sz w:val="24"/>
          <w:szCs w:val="24"/>
          <w:lang w:eastAsia="pl-PL"/>
        </w:rPr>
        <w:t>.</w:t>
      </w:r>
    </w:p>
    <w:p w14:paraId="1F43AE7A" w14:textId="2635E262" w:rsidR="00D63DC1" w:rsidRPr="00833C88" w:rsidRDefault="00601933" w:rsidP="00B35C80">
      <w:pPr>
        <w:spacing w:after="0"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W </w:t>
      </w:r>
      <w:r w:rsidR="00D63DC1" w:rsidRPr="00833C88">
        <w:rPr>
          <w:rFonts w:eastAsia="Times New Roman" w:cs="Times New Roman"/>
          <w:bCs/>
          <w:sz w:val="24"/>
          <w:szCs w:val="24"/>
          <w:lang w:eastAsia="pl-PL"/>
        </w:rPr>
        <w:t xml:space="preserve">posiedzeniach Kolegium będą mogli także uczestniczyć: </w:t>
      </w:r>
    </w:p>
    <w:p w14:paraId="02893180" w14:textId="3B550D9A" w:rsidR="00D63DC1" w:rsidRPr="00833C88" w:rsidRDefault="00D63DC1" w:rsidP="00B35C80">
      <w:pPr>
        <w:pStyle w:val="Akapitzlist"/>
        <w:numPr>
          <w:ilvl w:val="1"/>
          <w:numId w:val="15"/>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t>Dowódca Komponentu Wojsk Obrony Cyberprzestrzeni albo jego zastępca</w:t>
      </w:r>
      <w:r w:rsidR="00255A7E" w:rsidRPr="00833C88">
        <w:rPr>
          <w:rFonts w:eastAsia="Times New Roman" w:cs="Times New Roman"/>
          <w:bCs/>
          <w:sz w:val="24"/>
          <w:szCs w:val="24"/>
          <w:lang w:eastAsia="pl-PL"/>
        </w:rPr>
        <w:t>;</w:t>
      </w:r>
    </w:p>
    <w:p w14:paraId="076A9A7D" w14:textId="0919E38A" w:rsidR="00D63DC1" w:rsidRPr="00833C88" w:rsidRDefault="00D63DC1" w:rsidP="00B35C80">
      <w:pPr>
        <w:pStyle w:val="Akapitzlist"/>
        <w:numPr>
          <w:ilvl w:val="1"/>
          <w:numId w:val="15"/>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t>Prokurator Generalny albo jego zastępca</w:t>
      </w:r>
      <w:r w:rsidR="00255A7E" w:rsidRPr="00833C88">
        <w:rPr>
          <w:rFonts w:eastAsia="Times New Roman" w:cs="Times New Roman"/>
          <w:bCs/>
          <w:sz w:val="24"/>
          <w:szCs w:val="24"/>
          <w:lang w:eastAsia="pl-PL"/>
        </w:rPr>
        <w:t>;</w:t>
      </w:r>
    </w:p>
    <w:p w14:paraId="1FB56AC7" w14:textId="09D9A73E" w:rsidR="00D63DC1" w:rsidRPr="00833C88" w:rsidRDefault="00D63DC1" w:rsidP="00B35C80">
      <w:pPr>
        <w:pStyle w:val="Akapitzlist"/>
        <w:numPr>
          <w:ilvl w:val="1"/>
          <w:numId w:val="15"/>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t>Szef Agencji Wywiadu albo jego zastępca</w:t>
      </w:r>
      <w:r w:rsidR="00255A7E" w:rsidRPr="00833C88">
        <w:rPr>
          <w:rFonts w:eastAsia="Times New Roman" w:cs="Times New Roman"/>
          <w:bCs/>
          <w:sz w:val="24"/>
          <w:szCs w:val="24"/>
          <w:lang w:eastAsia="pl-PL"/>
        </w:rPr>
        <w:t>;</w:t>
      </w:r>
    </w:p>
    <w:p w14:paraId="3870CFAC" w14:textId="2F1A1AEA" w:rsidR="00D63DC1" w:rsidRPr="00833C88" w:rsidRDefault="00D63DC1" w:rsidP="00B35C80">
      <w:pPr>
        <w:pStyle w:val="Akapitzlist"/>
        <w:numPr>
          <w:ilvl w:val="1"/>
          <w:numId w:val="15"/>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t>Szef Służby Wywiadu Wojskowego albo jego zastępca.</w:t>
      </w:r>
    </w:p>
    <w:p w14:paraId="3E32C9BB" w14:textId="25C7340E" w:rsidR="00D63DC1" w:rsidRPr="00833C88" w:rsidRDefault="00D63DC1"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Ponadto umożliwiono, aby pozostali szefowie służb (wymienieni </w:t>
      </w:r>
      <w:r w:rsidR="00601933" w:rsidRPr="00833C88">
        <w:rPr>
          <w:rFonts w:eastAsia="Times New Roman" w:cs="Times New Roman"/>
          <w:bCs/>
          <w:sz w:val="24"/>
          <w:szCs w:val="24"/>
          <w:lang w:eastAsia="pl-PL"/>
        </w:rPr>
        <w:t>w </w:t>
      </w:r>
      <w:r w:rsidR="005377C0" w:rsidRPr="00833C88">
        <w:rPr>
          <w:rFonts w:eastAsia="Times New Roman" w:cs="Times New Roman"/>
          <w:bCs/>
          <w:sz w:val="24"/>
          <w:szCs w:val="24"/>
          <w:lang w:eastAsia="pl-PL"/>
        </w:rPr>
        <w:t xml:space="preserve">znowelizowanym art. 66 </w:t>
      </w:r>
      <w:r w:rsidRPr="00833C88">
        <w:rPr>
          <w:rFonts w:eastAsia="Times New Roman" w:cs="Times New Roman"/>
          <w:bCs/>
          <w:sz w:val="24"/>
          <w:szCs w:val="24"/>
          <w:lang w:eastAsia="pl-PL"/>
        </w:rPr>
        <w:t>ust. 4</w:t>
      </w:r>
      <w:r w:rsidR="005377C0" w:rsidRPr="00833C88">
        <w:rPr>
          <w:rFonts w:eastAsia="Times New Roman" w:cs="Times New Roman"/>
          <w:bCs/>
          <w:sz w:val="24"/>
          <w:szCs w:val="24"/>
          <w:lang w:eastAsia="pl-PL"/>
        </w:rPr>
        <w:t xml:space="preserve"> ustawy </w:t>
      </w:r>
      <w:r w:rsidR="00601933" w:rsidRPr="00833C88">
        <w:rPr>
          <w:rFonts w:eastAsia="Times New Roman" w:cs="Times New Roman"/>
          <w:bCs/>
          <w:sz w:val="24"/>
          <w:szCs w:val="24"/>
          <w:lang w:eastAsia="pl-PL"/>
        </w:rPr>
        <w:t>o </w:t>
      </w:r>
      <w:r w:rsidR="005377C0" w:rsidRPr="00833C88">
        <w:rPr>
          <w:rFonts w:eastAsia="Times New Roman" w:cs="Times New Roman"/>
          <w:bCs/>
          <w:sz w:val="24"/>
          <w:szCs w:val="24"/>
          <w:lang w:eastAsia="pl-PL"/>
        </w:rPr>
        <w:t>KSC</w:t>
      </w:r>
      <w:r w:rsidRPr="00833C88">
        <w:rPr>
          <w:rFonts w:eastAsia="Times New Roman" w:cs="Times New Roman"/>
          <w:bCs/>
          <w:sz w:val="24"/>
          <w:szCs w:val="24"/>
          <w:lang w:eastAsia="pl-PL"/>
        </w:rPr>
        <w:t>) mogli także desygnować na posiedzenia Kolegium swoich zastępców.</w:t>
      </w:r>
    </w:p>
    <w:p w14:paraId="3D71DACF" w14:textId="03720A03" w:rsidR="00D63DC1" w:rsidRPr="00833C88" w:rsidRDefault="00601933" w:rsidP="00745410">
      <w:pPr>
        <w:spacing w:after="0" w:line="360" w:lineRule="auto"/>
        <w:ind w:left="-20" w:right="-20"/>
        <w:rPr>
          <w:rFonts w:eastAsia="Times New Roman" w:cs="Times New Roman"/>
          <w:bCs/>
          <w:sz w:val="24"/>
          <w:szCs w:val="24"/>
          <w:lang w:eastAsia="pl-PL"/>
        </w:rPr>
      </w:pPr>
      <w:r w:rsidRPr="00833C88">
        <w:rPr>
          <w:rFonts w:eastAsia="Times New Roman" w:cs="Times New Roman"/>
          <w:bCs/>
          <w:sz w:val="24"/>
          <w:szCs w:val="24"/>
          <w:lang w:eastAsia="pl-PL"/>
        </w:rPr>
        <w:t>W </w:t>
      </w:r>
      <w:r w:rsidR="00D63DC1" w:rsidRPr="00833C88">
        <w:rPr>
          <w:rFonts w:eastAsia="Times New Roman" w:cs="Times New Roman"/>
          <w:bCs/>
          <w:sz w:val="24"/>
          <w:szCs w:val="24"/>
          <w:lang w:eastAsia="pl-PL"/>
        </w:rPr>
        <w:t xml:space="preserve">ślad za odpowiednimi zmianami </w:t>
      </w:r>
      <w:r w:rsidRPr="00833C88">
        <w:rPr>
          <w:rFonts w:eastAsia="Times New Roman" w:cs="Times New Roman"/>
          <w:bCs/>
          <w:sz w:val="24"/>
          <w:szCs w:val="24"/>
          <w:lang w:eastAsia="pl-PL"/>
        </w:rPr>
        <w:t>w </w:t>
      </w:r>
      <w:r w:rsidR="00D63DC1" w:rsidRPr="00833C88">
        <w:rPr>
          <w:rFonts w:eastAsia="Times New Roman" w:cs="Times New Roman"/>
          <w:bCs/>
          <w:sz w:val="24"/>
          <w:szCs w:val="24"/>
          <w:lang w:eastAsia="pl-PL"/>
        </w:rPr>
        <w:t xml:space="preserve">innych przepisach, uzupełniono katalog kompetencji przewodniczącego Kolegium </w:t>
      </w:r>
      <w:r w:rsidRPr="00833C88">
        <w:rPr>
          <w:rFonts w:eastAsia="Times New Roman" w:cs="Times New Roman"/>
          <w:bCs/>
          <w:sz w:val="24"/>
          <w:szCs w:val="24"/>
          <w:lang w:eastAsia="pl-PL"/>
        </w:rPr>
        <w:t>o </w:t>
      </w:r>
      <w:r w:rsidR="00D63DC1" w:rsidRPr="00833C88">
        <w:rPr>
          <w:rFonts w:eastAsia="Times New Roman" w:cs="Times New Roman"/>
          <w:bCs/>
          <w:sz w:val="24"/>
          <w:szCs w:val="24"/>
          <w:lang w:eastAsia="pl-PL"/>
        </w:rPr>
        <w:t>możliwość:</w:t>
      </w:r>
    </w:p>
    <w:p w14:paraId="53E402CD" w14:textId="12ACF2BA" w:rsidR="00D63DC1" w:rsidRPr="00833C88" w:rsidRDefault="00D63DC1" w:rsidP="00745410">
      <w:pPr>
        <w:pStyle w:val="Akapitzlist"/>
        <w:numPr>
          <w:ilvl w:val="0"/>
          <w:numId w:val="16"/>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wnioskowania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przeprowadzenie badania</w:t>
      </w:r>
      <w:r w:rsidR="00986725" w:rsidRPr="00833C88">
        <w:rPr>
          <w:rFonts w:eastAsia="Times New Roman" w:cs="Times New Roman"/>
          <w:bCs/>
          <w:sz w:val="24"/>
          <w:szCs w:val="24"/>
          <w:lang w:eastAsia="pl-PL"/>
        </w:rPr>
        <w:t xml:space="preserve"> produktu ICT, usługi ICT lub procesu ICT</w:t>
      </w:r>
      <w:r w:rsidR="001D3078" w:rsidRPr="00833C88">
        <w:rPr>
          <w:rFonts w:eastAsia="Times New Roman" w:cs="Times New Roman"/>
          <w:bCs/>
          <w:sz w:val="24"/>
          <w:szCs w:val="24"/>
          <w:lang w:eastAsia="pl-PL"/>
        </w:rPr>
        <w:t>;</w:t>
      </w:r>
    </w:p>
    <w:p w14:paraId="6D4C56E0" w14:textId="650FA4F3" w:rsidR="00D63DC1" w:rsidRPr="00833C88" w:rsidRDefault="00D63DC1" w:rsidP="00745410">
      <w:pPr>
        <w:pStyle w:val="Akapitzlist"/>
        <w:numPr>
          <w:ilvl w:val="0"/>
          <w:numId w:val="16"/>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zlecenia zespołom CSIRT </w:t>
      </w:r>
      <w:r w:rsidR="001D3078" w:rsidRPr="00833C88">
        <w:rPr>
          <w:rFonts w:eastAsia="Times New Roman" w:cs="Times New Roman"/>
          <w:bCs/>
          <w:sz w:val="24"/>
          <w:szCs w:val="24"/>
          <w:lang w:eastAsia="pl-PL"/>
        </w:rPr>
        <w:t>MON,</w:t>
      </w:r>
      <w:r w:rsidRPr="00833C88">
        <w:rPr>
          <w:rFonts w:eastAsia="Times New Roman" w:cs="Times New Roman"/>
          <w:bCs/>
          <w:sz w:val="24"/>
          <w:szCs w:val="24"/>
          <w:lang w:eastAsia="pl-PL"/>
        </w:rPr>
        <w:t xml:space="preserve"> CSIRT N</w:t>
      </w:r>
      <w:r w:rsidR="001D3078" w:rsidRPr="00833C88">
        <w:rPr>
          <w:rFonts w:eastAsia="Times New Roman" w:cs="Times New Roman"/>
          <w:bCs/>
          <w:sz w:val="24"/>
          <w:szCs w:val="24"/>
          <w:lang w:eastAsia="pl-PL"/>
        </w:rPr>
        <w:t>ASK</w:t>
      </w:r>
      <w:r w:rsidRPr="00833C88">
        <w:rPr>
          <w:rFonts w:eastAsia="Times New Roman" w:cs="Times New Roman"/>
          <w:bCs/>
          <w:sz w:val="24"/>
          <w:szCs w:val="24"/>
          <w:lang w:eastAsia="pl-PL"/>
        </w:rPr>
        <w:t xml:space="preserve"> lub CSIRT </w:t>
      </w:r>
      <w:r w:rsidR="001D3078" w:rsidRPr="00833C88">
        <w:rPr>
          <w:rFonts w:eastAsia="Times New Roman" w:cs="Times New Roman"/>
          <w:bCs/>
          <w:sz w:val="24"/>
          <w:szCs w:val="24"/>
          <w:lang w:eastAsia="pl-PL"/>
        </w:rPr>
        <w:t>GOV</w:t>
      </w:r>
      <w:r w:rsidRPr="00833C88">
        <w:rPr>
          <w:rFonts w:eastAsia="Times New Roman" w:cs="Times New Roman"/>
          <w:bCs/>
          <w:sz w:val="24"/>
          <w:szCs w:val="24"/>
          <w:lang w:eastAsia="pl-PL"/>
        </w:rPr>
        <w:t>, przeprowadzenie analizy dotyczącej wpływu konkretnych produktów ICT, usług ICT lub procesów ICT na bezpieczeństwo usług</w:t>
      </w:r>
      <w:r w:rsidR="00936006" w:rsidRPr="00833C88">
        <w:rPr>
          <w:rFonts w:eastAsia="Times New Roman" w:cs="Times New Roman"/>
          <w:bCs/>
          <w:sz w:val="24"/>
          <w:szCs w:val="24"/>
          <w:lang w:eastAsia="pl-PL"/>
        </w:rPr>
        <w:t xml:space="preserve"> świadczonych przez podmioty kluczowe </w:t>
      </w:r>
      <w:r w:rsidR="00601933" w:rsidRPr="00833C88">
        <w:rPr>
          <w:rFonts w:eastAsia="Times New Roman" w:cs="Times New Roman"/>
          <w:bCs/>
          <w:sz w:val="24"/>
          <w:szCs w:val="24"/>
          <w:lang w:eastAsia="pl-PL"/>
        </w:rPr>
        <w:t>i </w:t>
      </w:r>
      <w:r w:rsidR="00936006" w:rsidRPr="00833C88">
        <w:rPr>
          <w:rFonts w:eastAsia="Times New Roman" w:cs="Times New Roman"/>
          <w:bCs/>
          <w:sz w:val="24"/>
          <w:szCs w:val="24"/>
          <w:lang w:eastAsia="pl-PL"/>
        </w:rPr>
        <w:t>podmioty ważne oraz największych przedsiębiorców telekomunikacyjnych</w:t>
      </w:r>
      <w:r w:rsidR="005377C0" w:rsidRPr="00833C88">
        <w:rPr>
          <w:rFonts w:eastAsia="Times New Roman" w:cs="Times New Roman"/>
          <w:bCs/>
          <w:sz w:val="24"/>
          <w:szCs w:val="24"/>
          <w:lang w:eastAsia="pl-PL"/>
        </w:rPr>
        <w:t>;</w:t>
      </w:r>
    </w:p>
    <w:p w14:paraId="24ADB880" w14:textId="2530D51C" w:rsidR="00D63DC1" w:rsidRPr="00833C88" w:rsidRDefault="00D63DC1" w:rsidP="00745410">
      <w:pPr>
        <w:pStyle w:val="Akapitzlist"/>
        <w:numPr>
          <w:ilvl w:val="0"/>
          <w:numId w:val="16"/>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lastRenderedPageBreak/>
        <w:t>zlecenia CSIRT</w:t>
      </w:r>
      <w:r w:rsidR="001D3078" w:rsidRPr="00833C88">
        <w:rPr>
          <w:rFonts w:eastAsia="Times New Roman" w:cs="Times New Roman"/>
          <w:bCs/>
          <w:sz w:val="24"/>
          <w:szCs w:val="24"/>
          <w:lang w:eastAsia="pl-PL"/>
        </w:rPr>
        <w:t xml:space="preserve"> MON, </w:t>
      </w:r>
      <w:r w:rsidRPr="00833C88">
        <w:rPr>
          <w:rFonts w:eastAsia="Times New Roman" w:cs="Times New Roman"/>
          <w:bCs/>
          <w:sz w:val="24"/>
          <w:szCs w:val="24"/>
          <w:lang w:eastAsia="pl-PL"/>
        </w:rPr>
        <w:t>CSIRT N</w:t>
      </w:r>
      <w:r w:rsidR="001D3078" w:rsidRPr="00833C88">
        <w:rPr>
          <w:rFonts w:eastAsia="Times New Roman" w:cs="Times New Roman"/>
          <w:bCs/>
          <w:sz w:val="24"/>
          <w:szCs w:val="24"/>
          <w:lang w:eastAsia="pl-PL"/>
        </w:rPr>
        <w:t>ASK</w:t>
      </w:r>
      <w:r w:rsidRPr="00833C88">
        <w:rPr>
          <w:rFonts w:eastAsia="Times New Roman" w:cs="Times New Roman"/>
          <w:bCs/>
          <w:sz w:val="24"/>
          <w:szCs w:val="24"/>
          <w:lang w:eastAsia="pl-PL"/>
        </w:rPr>
        <w:t xml:space="preserve"> lub CSIRT </w:t>
      </w:r>
      <w:r w:rsidR="001D3078" w:rsidRPr="00833C88">
        <w:rPr>
          <w:rFonts w:eastAsia="Times New Roman" w:cs="Times New Roman"/>
          <w:bCs/>
          <w:sz w:val="24"/>
          <w:szCs w:val="24"/>
          <w:lang w:eastAsia="pl-PL"/>
        </w:rPr>
        <w:t>GOV,</w:t>
      </w:r>
      <w:r w:rsidRPr="00833C88">
        <w:rPr>
          <w:rFonts w:eastAsia="Times New Roman" w:cs="Times New Roman"/>
          <w:bCs/>
          <w:sz w:val="24"/>
          <w:szCs w:val="24"/>
          <w:lang w:eastAsia="pl-PL"/>
        </w:rPr>
        <w:t xml:space="preserve"> przeprowadzenie analizy dotyczącej trybu </w:t>
      </w:r>
      <w:r w:rsidR="00601933" w:rsidRPr="00833C88">
        <w:rPr>
          <w:rFonts w:eastAsia="Times New Roman" w:cs="Times New Roman"/>
          <w:bCs/>
          <w:sz w:val="24"/>
          <w:szCs w:val="24"/>
          <w:lang w:eastAsia="pl-PL"/>
        </w:rPr>
        <w:t>i </w:t>
      </w:r>
      <w:r w:rsidRPr="00833C88">
        <w:rPr>
          <w:rFonts w:eastAsia="Times New Roman" w:cs="Times New Roman"/>
          <w:bCs/>
          <w:sz w:val="24"/>
          <w:szCs w:val="24"/>
          <w:lang w:eastAsia="pl-PL"/>
        </w:rPr>
        <w:t xml:space="preserve">zakresu,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jakim dostawca </w:t>
      </w:r>
      <w:r w:rsidR="00B54628" w:rsidRPr="00833C88">
        <w:rPr>
          <w:rFonts w:eastAsia="Times New Roman" w:cs="Times New Roman"/>
          <w:bCs/>
          <w:sz w:val="24"/>
          <w:szCs w:val="24"/>
          <w:lang w:eastAsia="pl-PL"/>
        </w:rPr>
        <w:t xml:space="preserve">sprzętu </w:t>
      </w:r>
      <w:r w:rsidR="00601933" w:rsidRPr="00833C88">
        <w:rPr>
          <w:rFonts w:eastAsia="Times New Roman" w:cs="Times New Roman"/>
          <w:bCs/>
          <w:sz w:val="24"/>
          <w:szCs w:val="24"/>
          <w:lang w:eastAsia="pl-PL"/>
        </w:rPr>
        <w:t>i </w:t>
      </w:r>
      <w:r w:rsidR="00B54628" w:rsidRPr="00833C88">
        <w:rPr>
          <w:rFonts w:eastAsia="Times New Roman" w:cs="Times New Roman"/>
          <w:bCs/>
          <w:sz w:val="24"/>
          <w:szCs w:val="24"/>
          <w:lang w:eastAsia="pl-PL"/>
        </w:rPr>
        <w:t>oprogramowani</w:t>
      </w:r>
      <w:r w:rsidRPr="00833C88">
        <w:rPr>
          <w:rFonts w:eastAsia="Times New Roman" w:cs="Times New Roman"/>
          <w:bCs/>
          <w:sz w:val="24"/>
          <w:szCs w:val="24"/>
          <w:lang w:eastAsia="pl-PL"/>
        </w:rPr>
        <w:t xml:space="preserve"> sprawuje nadzór nad procesem wytwarzania </w:t>
      </w:r>
      <w:r w:rsidR="00601933" w:rsidRPr="00833C88">
        <w:rPr>
          <w:rFonts w:eastAsia="Times New Roman" w:cs="Times New Roman"/>
          <w:bCs/>
          <w:sz w:val="24"/>
          <w:szCs w:val="24"/>
          <w:lang w:eastAsia="pl-PL"/>
        </w:rPr>
        <w:t>i </w:t>
      </w:r>
      <w:r w:rsidRPr="00833C88">
        <w:rPr>
          <w:rFonts w:eastAsia="Times New Roman" w:cs="Times New Roman"/>
          <w:bCs/>
          <w:sz w:val="24"/>
          <w:szCs w:val="24"/>
          <w:lang w:eastAsia="pl-PL"/>
        </w:rPr>
        <w:t xml:space="preserve">dostarczania produktów ICT, usług ICT lub procesów ICT,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 xml:space="preserve">której mowa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art. 6</w:t>
      </w:r>
      <w:r w:rsidR="00DC5015" w:rsidRPr="00833C88">
        <w:rPr>
          <w:rFonts w:eastAsia="Times New Roman" w:cs="Times New Roman"/>
          <w:bCs/>
          <w:sz w:val="24"/>
          <w:szCs w:val="24"/>
          <w:lang w:eastAsia="pl-PL"/>
        </w:rPr>
        <w:t>5a</w:t>
      </w:r>
      <w:r w:rsidRPr="00833C88">
        <w:rPr>
          <w:rFonts w:eastAsia="Times New Roman" w:cs="Times New Roman"/>
          <w:bCs/>
          <w:sz w:val="24"/>
          <w:szCs w:val="24"/>
          <w:lang w:eastAsia="pl-PL"/>
        </w:rPr>
        <w:t xml:space="preserve"> ust. 2</w:t>
      </w:r>
      <w:r w:rsidR="005377C0" w:rsidRPr="00833C88">
        <w:rPr>
          <w:rFonts w:eastAsia="Times New Roman" w:cs="Times New Roman"/>
          <w:bCs/>
          <w:sz w:val="24"/>
          <w:szCs w:val="24"/>
          <w:lang w:eastAsia="pl-PL"/>
        </w:rPr>
        <w:t xml:space="preserve"> ustawy </w:t>
      </w:r>
      <w:r w:rsidR="00601933" w:rsidRPr="00833C88">
        <w:rPr>
          <w:rFonts w:eastAsia="Times New Roman" w:cs="Times New Roman"/>
          <w:bCs/>
          <w:sz w:val="24"/>
          <w:szCs w:val="24"/>
          <w:lang w:eastAsia="pl-PL"/>
        </w:rPr>
        <w:t>o </w:t>
      </w:r>
      <w:r w:rsidR="005377C0" w:rsidRPr="00833C88">
        <w:rPr>
          <w:rFonts w:eastAsia="Times New Roman" w:cs="Times New Roman"/>
          <w:bCs/>
          <w:sz w:val="24"/>
          <w:szCs w:val="24"/>
          <w:lang w:eastAsia="pl-PL"/>
        </w:rPr>
        <w:t>KSC</w:t>
      </w:r>
      <w:r w:rsidRPr="00833C88">
        <w:rPr>
          <w:rFonts w:eastAsia="Times New Roman" w:cs="Times New Roman"/>
          <w:bCs/>
          <w:sz w:val="24"/>
          <w:szCs w:val="24"/>
          <w:lang w:eastAsia="pl-PL"/>
        </w:rPr>
        <w:t>;</w:t>
      </w:r>
    </w:p>
    <w:p w14:paraId="378BDA58" w14:textId="1F9D8F24" w:rsidR="00D63DC1" w:rsidRPr="00833C88" w:rsidRDefault="00D63DC1" w:rsidP="00745410">
      <w:pPr>
        <w:pStyle w:val="Akapitzlist"/>
        <w:numPr>
          <w:ilvl w:val="0"/>
          <w:numId w:val="16"/>
        </w:numPr>
        <w:spacing w:after="0" w:line="360" w:lineRule="auto"/>
        <w:ind w:right="-20"/>
        <w:contextualSpacing w:val="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wnioskowania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 xml:space="preserve">wszczęcie postępowania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sprawie uznania dostawcy sprzętu i</w:t>
      </w:r>
      <w:r w:rsidR="005377C0" w:rsidRPr="00833C88">
        <w:rPr>
          <w:rFonts w:eastAsia="Times New Roman" w:cs="Times New Roman"/>
          <w:bCs/>
          <w:sz w:val="24"/>
          <w:szCs w:val="24"/>
          <w:lang w:eastAsia="pl-PL"/>
        </w:rPr>
        <w:t> </w:t>
      </w:r>
      <w:r w:rsidRPr="00833C88">
        <w:rPr>
          <w:rFonts w:eastAsia="Times New Roman" w:cs="Times New Roman"/>
          <w:bCs/>
          <w:sz w:val="24"/>
          <w:szCs w:val="24"/>
          <w:lang w:eastAsia="pl-PL"/>
        </w:rPr>
        <w:t>oprogramowania za dostawcę wysokiego ryzyka</w:t>
      </w:r>
      <w:r w:rsidR="00B54628" w:rsidRPr="00833C88">
        <w:rPr>
          <w:rFonts w:eastAsia="Times New Roman" w:cs="Times New Roman"/>
          <w:bCs/>
          <w:sz w:val="24"/>
          <w:szCs w:val="24"/>
          <w:lang w:eastAsia="pl-PL"/>
        </w:rPr>
        <w:t>.</w:t>
      </w:r>
    </w:p>
    <w:p w14:paraId="3B8CB572" w14:textId="61DEF6D9" w:rsidR="0099170B" w:rsidRPr="00833C88" w:rsidRDefault="0099170B" w:rsidP="0029004E">
      <w:pPr>
        <w:spacing w:line="360" w:lineRule="auto"/>
        <w:ind w:left="-20" w:right="-20"/>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Ustawa </w:t>
      </w:r>
      <w:r w:rsidR="00601933" w:rsidRPr="00833C88">
        <w:rPr>
          <w:rFonts w:eastAsia="Times New Roman" w:cs="Times New Roman"/>
          <w:bCs/>
          <w:sz w:val="24"/>
          <w:szCs w:val="24"/>
          <w:lang w:eastAsia="pl-PL"/>
        </w:rPr>
        <w:t>o </w:t>
      </w:r>
      <w:r w:rsidR="005377C0" w:rsidRPr="00833C88">
        <w:rPr>
          <w:rFonts w:eastAsia="Times New Roman" w:cs="Times New Roman"/>
          <w:bCs/>
          <w:sz w:val="24"/>
          <w:szCs w:val="24"/>
          <w:lang w:eastAsia="pl-PL"/>
        </w:rPr>
        <w:t xml:space="preserve">KSC </w:t>
      </w:r>
      <w:r w:rsidRPr="00833C88">
        <w:rPr>
          <w:rFonts w:eastAsia="Times New Roman" w:cs="Times New Roman"/>
          <w:bCs/>
          <w:sz w:val="24"/>
          <w:szCs w:val="24"/>
          <w:lang w:eastAsia="pl-PL"/>
        </w:rPr>
        <w:t xml:space="preserve">nie przewiduje sytuacji nieobecności </w:t>
      </w:r>
      <w:r w:rsidR="00B568EF" w:rsidRPr="00833C88">
        <w:rPr>
          <w:rFonts w:eastAsia="Times New Roman" w:cs="Times New Roman"/>
          <w:bCs/>
          <w:sz w:val="24"/>
          <w:szCs w:val="24"/>
          <w:lang w:eastAsia="pl-PL"/>
        </w:rPr>
        <w:t>s</w:t>
      </w:r>
      <w:r w:rsidRPr="00833C88">
        <w:rPr>
          <w:rFonts w:eastAsia="Times New Roman" w:cs="Times New Roman"/>
          <w:bCs/>
          <w:sz w:val="24"/>
          <w:szCs w:val="24"/>
          <w:lang w:eastAsia="pl-PL"/>
        </w:rPr>
        <w:t xml:space="preserve">ekretarza Kolegium na przykład spowodowanej czasowymi problemami zdrowotnymi. Aby zapewnić ciągłość obsługi Kolegium proponuje się wprowadzenie instytucji zastępcy </w:t>
      </w:r>
      <w:r w:rsidR="00B97676" w:rsidRPr="00833C88">
        <w:rPr>
          <w:rFonts w:eastAsia="Times New Roman" w:cs="Times New Roman"/>
          <w:bCs/>
          <w:sz w:val="24"/>
          <w:szCs w:val="24"/>
          <w:lang w:eastAsia="pl-PL"/>
        </w:rPr>
        <w:t>s</w:t>
      </w:r>
      <w:r w:rsidRPr="00833C88">
        <w:rPr>
          <w:rFonts w:eastAsia="Times New Roman" w:cs="Times New Roman"/>
          <w:bCs/>
          <w:sz w:val="24"/>
          <w:szCs w:val="24"/>
          <w:lang w:eastAsia="pl-PL"/>
        </w:rPr>
        <w:t>ekretarza Kolegium. Sekretarz Kolegium</w:t>
      </w:r>
      <w:r w:rsidR="005377C0" w:rsidRPr="00833C88">
        <w:rPr>
          <w:rFonts w:eastAsia="Times New Roman" w:cs="Times New Roman"/>
          <w:bCs/>
          <w:sz w:val="24"/>
          <w:szCs w:val="24"/>
          <w:lang w:eastAsia="pl-PL"/>
        </w:rPr>
        <w:t xml:space="preserve"> </w:t>
      </w:r>
      <w:r w:rsidRPr="00833C88">
        <w:rPr>
          <w:rFonts w:eastAsia="Times New Roman" w:cs="Times New Roman"/>
          <w:bCs/>
          <w:sz w:val="24"/>
          <w:szCs w:val="24"/>
          <w:lang w:eastAsia="pl-PL"/>
        </w:rPr>
        <w:t xml:space="preserve">jest powoływany przez Przewodniczącego Kolegium </w:t>
      </w:r>
      <w:r w:rsidR="005377C0" w:rsidRPr="00833C88">
        <w:rPr>
          <w:rFonts w:eastAsia="Times New Roman" w:cs="Times New Roman"/>
          <w:bCs/>
          <w:sz w:val="24"/>
          <w:szCs w:val="24"/>
          <w:lang w:eastAsia="pl-PL"/>
        </w:rPr>
        <w:t>–</w:t>
      </w:r>
      <w:r w:rsidRPr="00833C88">
        <w:rPr>
          <w:rFonts w:eastAsia="Times New Roman" w:cs="Times New Roman"/>
          <w:bCs/>
          <w:sz w:val="24"/>
          <w:szCs w:val="24"/>
          <w:lang w:eastAsia="pl-PL"/>
        </w:rPr>
        <w:t xml:space="preserve"> czyli Prezesa Rady Ministrów. Aby nie nakładać nadmiernych obowiązków na Prezesa Rady Ministrów zastosowano zasadę pomocniczości </w:t>
      </w:r>
      <w:r w:rsidR="005377C0" w:rsidRPr="00833C88">
        <w:rPr>
          <w:rFonts w:eastAsia="Times New Roman" w:cs="Times New Roman"/>
          <w:bCs/>
          <w:sz w:val="24"/>
          <w:szCs w:val="24"/>
          <w:lang w:eastAsia="pl-PL"/>
        </w:rPr>
        <w:t>–</w:t>
      </w:r>
      <w:r w:rsidRPr="00833C88">
        <w:rPr>
          <w:rFonts w:eastAsia="Times New Roman" w:cs="Times New Roman"/>
          <w:bCs/>
          <w:sz w:val="24"/>
          <w:szCs w:val="24"/>
          <w:lang w:eastAsia="pl-PL"/>
        </w:rPr>
        <w:t xml:space="preserve"> zastępcę </w:t>
      </w:r>
      <w:r w:rsidR="00B97676" w:rsidRPr="00833C88">
        <w:rPr>
          <w:rFonts w:eastAsia="Times New Roman" w:cs="Times New Roman"/>
          <w:bCs/>
          <w:sz w:val="24"/>
          <w:szCs w:val="24"/>
          <w:lang w:eastAsia="pl-PL"/>
        </w:rPr>
        <w:t>s</w:t>
      </w:r>
      <w:r w:rsidRPr="00833C88">
        <w:rPr>
          <w:rFonts w:eastAsia="Times New Roman" w:cs="Times New Roman"/>
          <w:bCs/>
          <w:sz w:val="24"/>
          <w:szCs w:val="24"/>
          <w:lang w:eastAsia="pl-PL"/>
        </w:rPr>
        <w:t xml:space="preserve">ekretarza Kolegium będzie powoływał jak również odwoływał </w:t>
      </w:r>
      <w:r w:rsidR="00B97676" w:rsidRPr="00833C88">
        <w:rPr>
          <w:rFonts w:eastAsia="Times New Roman" w:cs="Times New Roman"/>
          <w:bCs/>
          <w:sz w:val="24"/>
          <w:szCs w:val="24"/>
          <w:lang w:eastAsia="pl-PL"/>
        </w:rPr>
        <w:t>s</w:t>
      </w:r>
      <w:r w:rsidRPr="00833C88">
        <w:rPr>
          <w:rFonts w:eastAsia="Times New Roman" w:cs="Times New Roman"/>
          <w:bCs/>
          <w:sz w:val="24"/>
          <w:szCs w:val="24"/>
          <w:lang w:eastAsia="pl-PL"/>
        </w:rPr>
        <w:t xml:space="preserve">ekretarz Kolegium. Będzie to też oznaczało, że </w:t>
      </w:r>
      <w:r w:rsidR="00B97676" w:rsidRPr="00833C88">
        <w:rPr>
          <w:rFonts w:eastAsia="Times New Roman" w:cs="Times New Roman"/>
          <w:bCs/>
          <w:sz w:val="24"/>
          <w:szCs w:val="24"/>
          <w:lang w:eastAsia="pl-PL"/>
        </w:rPr>
        <w:t>s</w:t>
      </w:r>
      <w:r w:rsidRPr="00833C88">
        <w:rPr>
          <w:rFonts w:eastAsia="Times New Roman" w:cs="Times New Roman"/>
          <w:bCs/>
          <w:sz w:val="24"/>
          <w:szCs w:val="24"/>
          <w:lang w:eastAsia="pl-PL"/>
        </w:rPr>
        <w:t xml:space="preserve">ekretarz Kolegium odpowiada przed Przewodniczącym Kolegium za wybór danej osoby na zastępcę. Kryteria wyboru zastępcy </w:t>
      </w:r>
      <w:r w:rsidR="00183404" w:rsidRPr="00833C88">
        <w:rPr>
          <w:rFonts w:eastAsia="Times New Roman" w:cs="Times New Roman"/>
          <w:bCs/>
          <w:sz w:val="24"/>
          <w:szCs w:val="24"/>
          <w:lang w:eastAsia="pl-PL"/>
        </w:rPr>
        <w:t>s</w:t>
      </w:r>
      <w:r w:rsidRPr="00833C88">
        <w:rPr>
          <w:rFonts w:eastAsia="Times New Roman" w:cs="Times New Roman"/>
          <w:bCs/>
          <w:sz w:val="24"/>
          <w:szCs w:val="24"/>
          <w:lang w:eastAsia="pl-PL"/>
        </w:rPr>
        <w:t xml:space="preserve">ekretarza będą takie same, jak dla </w:t>
      </w:r>
      <w:r w:rsidR="00183404" w:rsidRPr="00833C88">
        <w:rPr>
          <w:rFonts w:eastAsia="Times New Roman" w:cs="Times New Roman"/>
          <w:bCs/>
          <w:sz w:val="24"/>
          <w:szCs w:val="24"/>
          <w:lang w:eastAsia="pl-PL"/>
        </w:rPr>
        <w:t>s</w:t>
      </w:r>
      <w:r w:rsidRPr="00833C88">
        <w:rPr>
          <w:rFonts w:eastAsia="Times New Roman" w:cs="Times New Roman"/>
          <w:bCs/>
          <w:sz w:val="24"/>
          <w:szCs w:val="24"/>
          <w:lang w:eastAsia="pl-PL"/>
        </w:rPr>
        <w:t xml:space="preserve">ekretarza </w:t>
      </w:r>
      <w:r w:rsidR="005377C0" w:rsidRPr="00833C88">
        <w:rPr>
          <w:rFonts w:eastAsia="Times New Roman" w:cs="Times New Roman"/>
          <w:bCs/>
          <w:sz w:val="24"/>
          <w:szCs w:val="24"/>
          <w:lang w:eastAsia="pl-PL"/>
        </w:rPr>
        <w:t>–</w:t>
      </w:r>
      <w:r w:rsidRPr="00833C88">
        <w:rPr>
          <w:rFonts w:eastAsia="Times New Roman" w:cs="Times New Roman"/>
          <w:bCs/>
          <w:sz w:val="24"/>
          <w:szCs w:val="24"/>
          <w:lang w:eastAsia="pl-PL"/>
        </w:rPr>
        <w:t xml:space="preserve"> zastępca będzie musiał spełniać wymagania określone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przepisach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 xml:space="preserve">ochronie informacji niejawnych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 xml:space="preserve">zakresie dostępu do informacji niejawnych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klauzuli „tajne”.</w:t>
      </w:r>
    </w:p>
    <w:p w14:paraId="4E1EBDE1" w14:textId="5051AB22" w:rsidR="00BD7190" w:rsidRPr="00833C88" w:rsidRDefault="00601933" w:rsidP="0029004E">
      <w:pPr>
        <w:spacing w:line="360" w:lineRule="auto"/>
        <w:ind w:left="-20" w:right="-20"/>
        <w:jc w:val="both"/>
        <w:rPr>
          <w:rFonts w:eastAsiaTheme="majorEastAsia" w:cs="Times New Roman"/>
        </w:rPr>
      </w:pPr>
      <w:r w:rsidRPr="00833C88">
        <w:rPr>
          <w:rFonts w:eastAsia="Times New Roman" w:cs="Times New Roman"/>
          <w:bCs/>
          <w:sz w:val="24"/>
          <w:szCs w:val="24"/>
          <w:lang w:eastAsia="pl-PL"/>
        </w:rPr>
        <w:t>W </w:t>
      </w:r>
      <w:r w:rsidR="0099170B" w:rsidRPr="00833C88">
        <w:rPr>
          <w:rFonts w:eastAsia="Times New Roman" w:cs="Times New Roman"/>
          <w:bCs/>
          <w:sz w:val="24"/>
          <w:szCs w:val="24"/>
          <w:lang w:eastAsia="pl-PL"/>
        </w:rPr>
        <w:t xml:space="preserve">przepisie wskazano jasno, że zastępca </w:t>
      </w:r>
      <w:r w:rsidR="00B97676" w:rsidRPr="00833C88">
        <w:rPr>
          <w:rFonts w:eastAsia="Times New Roman" w:cs="Times New Roman"/>
          <w:bCs/>
          <w:sz w:val="24"/>
          <w:szCs w:val="24"/>
          <w:lang w:eastAsia="pl-PL"/>
        </w:rPr>
        <w:t>s</w:t>
      </w:r>
      <w:r w:rsidR="0099170B" w:rsidRPr="00833C88">
        <w:rPr>
          <w:rFonts w:eastAsia="Times New Roman" w:cs="Times New Roman"/>
          <w:bCs/>
          <w:sz w:val="24"/>
          <w:szCs w:val="24"/>
          <w:lang w:eastAsia="pl-PL"/>
        </w:rPr>
        <w:t xml:space="preserve">ekretarza Kolegium wykonuje obowiązki </w:t>
      </w:r>
      <w:r w:rsidR="00B97676" w:rsidRPr="00833C88">
        <w:rPr>
          <w:rFonts w:eastAsia="Times New Roman" w:cs="Times New Roman"/>
          <w:bCs/>
          <w:sz w:val="24"/>
          <w:szCs w:val="24"/>
          <w:lang w:eastAsia="pl-PL"/>
        </w:rPr>
        <w:t>s</w:t>
      </w:r>
      <w:r w:rsidR="0099170B" w:rsidRPr="00833C88">
        <w:rPr>
          <w:rFonts w:eastAsia="Times New Roman" w:cs="Times New Roman"/>
          <w:bCs/>
          <w:sz w:val="24"/>
          <w:szCs w:val="24"/>
          <w:lang w:eastAsia="pl-PL"/>
        </w:rPr>
        <w:t xml:space="preserve">ekretarza </w:t>
      </w:r>
      <w:r w:rsidRPr="00833C88">
        <w:rPr>
          <w:rFonts w:eastAsia="Times New Roman" w:cs="Times New Roman"/>
          <w:bCs/>
          <w:sz w:val="24"/>
          <w:szCs w:val="24"/>
          <w:lang w:eastAsia="pl-PL"/>
        </w:rPr>
        <w:t>w </w:t>
      </w:r>
      <w:r w:rsidR="0099170B" w:rsidRPr="00833C88">
        <w:rPr>
          <w:rFonts w:eastAsia="Times New Roman" w:cs="Times New Roman"/>
          <w:bCs/>
          <w:sz w:val="24"/>
          <w:szCs w:val="24"/>
          <w:lang w:eastAsia="pl-PL"/>
        </w:rPr>
        <w:t xml:space="preserve">razie nieobecności tego ostatniego, </w:t>
      </w:r>
      <w:r w:rsidRPr="00833C88">
        <w:rPr>
          <w:rFonts w:eastAsia="Times New Roman" w:cs="Times New Roman"/>
          <w:bCs/>
          <w:sz w:val="24"/>
          <w:szCs w:val="24"/>
          <w:lang w:eastAsia="pl-PL"/>
        </w:rPr>
        <w:t>w </w:t>
      </w:r>
      <w:r w:rsidR="0099170B" w:rsidRPr="00833C88">
        <w:rPr>
          <w:rFonts w:eastAsia="Times New Roman" w:cs="Times New Roman"/>
          <w:bCs/>
          <w:sz w:val="24"/>
          <w:szCs w:val="24"/>
          <w:lang w:eastAsia="pl-PL"/>
        </w:rPr>
        <w:t>szczególności zastępuje go na posiedzeniu Kolegium</w:t>
      </w:r>
      <w:r w:rsidR="005377C0" w:rsidRPr="00833C88">
        <w:rPr>
          <w:rFonts w:eastAsia="Times New Roman" w:cs="Times New Roman"/>
          <w:bCs/>
          <w:sz w:val="24"/>
          <w:szCs w:val="24"/>
          <w:lang w:eastAsia="pl-PL"/>
        </w:rPr>
        <w:t>.</w:t>
      </w:r>
    </w:p>
    <w:p w14:paraId="451B0F98" w14:textId="4B061273" w:rsidR="007929D4" w:rsidRPr="00833C88" w:rsidRDefault="007929D4" w:rsidP="000E6B89">
      <w:pPr>
        <w:pStyle w:val="Nagwek2"/>
        <w:spacing w:before="0" w:after="120" w:line="360" w:lineRule="auto"/>
        <w:jc w:val="both"/>
        <w:rPr>
          <w:rFonts w:cs="Times New Roman"/>
          <w:b/>
          <w:bCs/>
        </w:rPr>
      </w:pPr>
      <w:r w:rsidRPr="00833C88">
        <w:rPr>
          <w:rFonts w:cs="Times New Roman"/>
          <w:b/>
          <w:bCs/>
        </w:rPr>
        <w:t>Szczególne działania na rzecz zapewnienia cyberbezpieczeństwa na</w:t>
      </w:r>
      <w:r w:rsidR="005377C0" w:rsidRPr="00833C88">
        <w:rPr>
          <w:rFonts w:cs="Times New Roman"/>
          <w:b/>
          <w:bCs/>
        </w:rPr>
        <w:t> </w:t>
      </w:r>
      <w:r w:rsidRPr="00833C88">
        <w:rPr>
          <w:rFonts w:cs="Times New Roman"/>
          <w:b/>
          <w:bCs/>
        </w:rPr>
        <w:t>poziomie krajowym</w:t>
      </w:r>
    </w:p>
    <w:p w14:paraId="574E5DA8" w14:textId="2CF00B76" w:rsidR="00470034" w:rsidRPr="00833C88" w:rsidRDefault="00470034" w:rsidP="000E6B89">
      <w:pPr>
        <w:pStyle w:val="Nagwek3"/>
        <w:spacing w:before="0" w:after="120" w:line="360" w:lineRule="auto"/>
        <w:jc w:val="both"/>
        <w:rPr>
          <w:rFonts w:cs="Times New Roman"/>
          <w:b/>
          <w:bCs/>
          <w:u w:val="none"/>
        </w:rPr>
      </w:pPr>
      <w:r w:rsidRPr="00833C88">
        <w:rPr>
          <w:rFonts w:cs="Times New Roman"/>
          <w:b/>
          <w:bCs/>
          <w:u w:val="none"/>
        </w:rPr>
        <w:t>Rekomendacje Pełnomocnika</w:t>
      </w:r>
      <w:r w:rsidR="005377C0" w:rsidRPr="00833C88">
        <w:rPr>
          <w:rFonts w:cs="Times New Roman"/>
          <w:b/>
          <w:bCs/>
          <w:u w:val="none"/>
        </w:rPr>
        <w:t xml:space="preserve"> Rządu do Spraw Cyberbezpieczeństwa</w:t>
      </w:r>
    </w:p>
    <w:p w14:paraId="3A321735" w14:textId="2384C095" w:rsidR="007929D4" w:rsidRPr="00833C88" w:rsidRDefault="007929D4" w:rsidP="00533D2A">
      <w:pPr>
        <w:pStyle w:val="NIEARTTEKSTtekstnieartykuowanynppodstprawnarozplubpreambua"/>
        <w:spacing w:before="0" w:after="120"/>
        <w:ind w:firstLine="0"/>
        <w:rPr>
          <w:rFonts w:ascii="Times New Roman" w:eastAsia="Times New Roman" w:hAnsi="Times New Roman" w:cs="Times New Roman"/>
          <w:szCs w:val="24"/>
        </w:rPr>
      </w:pPr>
      <w:r w:rsidRPr="00833C88">
        <w:rPr>
          <w:rFonts w:ascii="Times New Roman" w:eastAsia="Times New Roman" w:hAnsi="Times New Roman" w:cs="Times New Roman"/>
          <w:szCs w:val="24"/>
        </w:rPr>
        <w:t>Nowe przepisy umożliwią wydawanie przez Pełnomocnika rekomendacji określających środki techniczne i organizacyjne stosowane w celu zwiększenia bezpieczeństwa systemów informacyjnych podmiotów krajowego systemu cyberbezpieczeństwa. Ten dokument będzie publikowany na stronie podmiotowej Pełnomocnika w </w:t>
      </w:r>
      <w:r w:rsidR="00F34453" w:rsidRPr="00833C88">
        <w:rPr>
          <w:rFonts w:ascii="Times New Roman" w:eastAsia="Times New Roman" w:hAnsi="Times New Roman" w:cs="Times New Roman"/>
          <w:szCs w:val="24"/>
        </w:rPr>
        <w:t>BIP</w:t>
      </w:r>
      <w:r w:rsidRPr="00833C88">
        <w:rPr>
          <w:rFonts w:ascii="Times New Roman" w:eastAsia="Times New Roman" w:hAnsi="Times New Roman" w:cs="Times New Roman"/>
          <w:szCs w:val="24"/>
        </w:rPr>
        <w:t>. W takiej formie będą mogły być wydawane Narodowe Standardy Cyberbezpieczeństwa, o których mowa w Strategii Cyberbezpieczeństwa Rzecz</w:t>
      </w:r>
      <w:r w:rsidR="006B6F92" w:rsidRPr="00833C88">
        <w:rPr>
          <w:rFonts w:ascii="Times New Roman" w:eastAsia="Times New Roman" w:hAnsi="Times New Roman" w:cs="Times New Roman"/>
          <w:szCs w:val="24"/>
        </w:rPr>
        <w:t>y</w:t>
      </w:r>
      <w:r w:rsidRPr="00833C88">
        <w:rPr>
          <w:rFonts w:ascii="Times New Roman" w:eastAsia="Times New Roman" w:hAnsi="Times New Roman" w:cs="Times New Roman"/>
          <w:szCs w:val="24"/>
        </w:rPr>
        <w:t>pospolitej Polskiej, a także inne zbiory dobrych praktyk. Podkreślić należy, że rekomendacje będą formalnie niewiążące. Decyzja o uwzględnieniu tych środków będzie należała wyłącznie do podmiotów krajowego systemu cyberbezpieczeństwa. Dzięki rekomendacjom uzyskają one fachową wiedzę, dzięki czemu będą mogły wprowadzić adekwatne do oszacowanego ryzyka zabezpieczenia.</w:t>
      </w:r>
    </w:p>
    <w:p w14:paraId="2EB10FB1" w14:textId="77777777" w:rsidR="007929D4" w:rsidRPr="00833C88" w:rsidRDefault="007929D4" w:rsidP="00EA7658">
      <w:pPr>
        <w:pStyle w:val="Nagwek3"/>
        <w:spacing w:before="0" w:after="120" w:line="360" w:lineRule="auto"/>
        <w:jc w:val="both"/>
        <w:rPr>
          <w:rFonts w:cs="Times New Roman"/>
          <w:b/>
          <w:bCs/>
          <w:u w:val="none"/>
          <w:shd w:val="clear" w:color="auto" w:fill="FFFFFF"/>
        </w:rPr>
      </w:pPr>
      <w:r w:rsidRPr="00833C88">
        <w:rPr>
          <w:rFonts w:cs="Times New Roman"/>
          <w:b/>
          <w:bCs/>
          <w:u w:val="none"/>
          <w:shd w:val="clear" w:color="auto" w:fill="FFFFFF"/>
        </w:rPr>
        <w:lastRenderedPageBreak/>
        <w:t xml:space="preserve">Dostawca Wysokiego Ryzyka </w:t>
      </w:r>
    </w:p>
    <w:p w14:paraId="59B3BF0F" w14:textId="4401FF1F" w:rsidR="007929D4" w:rsidRPr="00833C88" w:rsidRDefault="007929D4" w:rsidP="00533D2A">
      <w:pPr>
        <w:pStyle w:val="Tekstprzypisudolnego"/>
        <w:spacing w:after="120"/>
        <w:jc w:val="both"/>
        <w:rPr>
          <w:rFonts w:ascii="Times New Roman" w:hAnsi="Times New Roman" w:cs="Times New Roman"/>
          <w:sz w:val="24"/>
          <w:szCs w:val="24"/>
        </w:rPr>
      </w:pPr>
      <w:r w:rsidRPr="00833C88">
        <w:rPr>
          <w:rFonts w:ascii="Times New Roman" w:hAnsi="Times New Roman" w:cs="Times New Roman"/>
          <w:sz w:val="24"/>
          <w:szCs w:val="24"/>
        </w:rPr>
        <w:t xml:space="preserve">Zawarty </w:t>
      </w:r>
      <w:r w:rsidR="00601933" w:rsidRPr="00833C88">
        <w:rPr>
          <w:rFonts w:ascii="Times New Roman" w:hAnsi="Times New Roman" w:cs="Times New Roman"/>
          <w:sz w:val="24"/>
          <w:szCs w:val="24"/>
        </w:rPr>
        <w:t>w </w:t>
      </w:r>
      <w:r w:rsidRPr="00833C88">
        <w:rPr>
          <w:rFonts w:ascii="Times New Roman" w:hAnsi="Times New Roman" w:cs="Times New Roman"/>
          <w:sz w:val="24"/>
          <w:szCs w:val="24"/>
        </w:rPr>
        <w:t xml:space="preserve">rozdziale </w:t>
      </w:r>
      <w:r w:rsidR="00601933" w:rsidRPr="00833C88">
        <w:rPr>
          <w:rFonts w:ascii="Times New Roman" w:hAnsi="Times New Roman" w:cs="Times New Roman"/>
          <w:sz w:val="24"/>
          <w:szCs w:val="24"/>
        </w:rPr>
        <w:t>I </w:t>
      </w:r>
      <w:r w:rsidR="009C0CE0" w:rsidRPr="00833C88">
        <w:rPr>
          <w:rFonts w:ascii="Times New Roman" w:hAnsi="Times New Roman" w:cs="Times New Roman"/>
          <w:sz w:val="24"/>
          <w:szCs w:val="24"/>
        </w:rPr>
        <w:t>Konstytucj</w:t>
      </w:r>
      <w:r w:rsidR="006F3CE6" w:rsidRPr="00833C88">
        <w:rPr>
          <w:rFonts w:ascii="Times New Roman" w:hAnsi="Times New Roman" w:cs="Times New Roman"/>
          <w:sz w:val="24"/>
          <w:szCs w:val="24"/>
        </w:rPr>
        <w:t>i</w:t>
      </w:r>
      <w:r w:rsidR="009C0CE0" w:rsidRPr="00833C88">
        <w:rPr>
          <w:rFonts w:ascii="Times New Roman" w:hAnsi="Times New Roman" w:cs="Times New Roman"/>
          <w:sz w:val="24"/>
          <w:szCs w:val="24"/>
        </w:rPr>
        <w:t xml:space="preserve"> Rzeczypospolitej Polskiej z dnia 2 kwietnia 1997 r. </w:t>
      </w:r>
      <w:r w:rsidRPr="00833C88">
        <w:rPr>
          <w:rFonts w:ascii="Times New Roman" w:hAnsi="Times New Roman" w:cs="Times New Roman"/>
          <w:sz w:val="24"/>
          <w:szCs w:val="24"/>
        </w:rPr>
        <w:t xml:space="preserve">art. 20 stanowi o ustroju gospodarczym Rzeczypospolitej Polskiej. Opiera się on między innymi na wolności prowadzenia działalności gospodarczej, która polega na możliwości: podejmowania działalności gospodarczej w wybranej formie, swobodnego podejmowania decyzji gospodarczych oraz decyzji w sprawie zakończenia działalności. </w:t>
      </w:r>
      <w:r w:rsidR="00601933" w:rsidRPr="00833C88">
        <w:rPr>
          <w:rFonts w:ascii="Times New Roman" w:hAnsi="Times New Roman" w:cs="Times New Roman"/>
          <w:sz w:val="24"/>
          <w:szCs w:val="24"/>
        </w:rPr>
        <w:t>Z </w:t>
      </w:r>
      <w:r w:rsidRPr="00833C88">
        <w:rPr>
          <w:rFonts w:ascii="Times New Roman" w:hAnsi="Times New Roman" w:cs="Times New Roman"/>
          <w:sz w:val="24"/>
          <w:szCs w:val="24"/>
        </w:rPr>
        <w:t>kolei art. 22 Konstytucji</w:t>
      </w:r>
      <w:r w:rsidR="006F3CE6" w:rsidRPr="00833C88">
        <w:rPr>
          <w:rFonts w:ascii="Times New Roman" w:hAnsi="Times New Roman" w:cs="Times New Roman"/>
          <w:sz w:val="24"/>
          <w:szCs w:val="24"/>
        </w:rPr>
        <w:t xml:space="preserve"> Rzeczypospolitej Polskiej</w:t>
      </w:r>
      <w:r w:rsidRPr="00833C88">
        <w:rPr>
          <w:rFonts w:ascii="Times New Roman" w:hAnsi="Times New Roman" w:cs="Times New Roman"/>
          <w:sz w:val="24"/>
          <w:szCs w:val="24"/>
        </w:rPr>
        <w:t xml:space="preserve"> dopuszcza ograniczenie wolności działalności gospodarczej w drodze ustawy ze względu na ważny interes publiczny. W ślad za tym artykułem Trybunał Konstytucyjny podkreślał w swoim orzecznictwie, że wolność działalności gospodarczej nie ma charakteru absolutnego. W jednym z wyroków Trybunał zaznaczył, </w:t>
      </w:r>
      <w:r w:rsidRPr="00833C88">
        <w:rPr>
          <w:rFonts w:ascii="Times New Roman" w:eastAsia="Times New Roman" w:hAnsi="Times New Roman" w:cs="Times New Roman"/>
          <w:sz w:val="24"/>
          <w:szCs w:val="24"/>
        </w:rPr>
        <w:t>że działalność gospodarcza może podlegać różnego rodzaju ograniczeniom w stopniu większym niż prawa i wolności o </w:t>
      </w:r>
      <w:r w:rsidRPr="00833C88">
        <w:rPr>
          <w:rFonts w:ascii="Times New Roman" w:hAnsi="Times New Roman" w:cs="Times New Roman"/>
          <w:sz w:val="24"/>
          <w:szCs w:val="24"/>
        </w:rPr>
        <w:t>charakterze osobistym bądź politycznym</w:t>
      </w:r>
      <w:r w:rsidRPr="00833C88">
        <w:rPr>
          <w:rStyle w:val="Odwoanieprzypisudolnego"/>
          <w:rFonts w:ascii="Times New Roman" w:hAnsi="Times New Roman" w:cs="Times New Roman"/>
          <w:sz w:val="24"/>
          <w:szCs w:val="24"/>
        </w:rPr>
        <w:footnoteReference w:id="62"/>
      </w:r>
      <w:r w:rsidRPr="00833C88">
        <w:rPr>
          <w:rStyle w:val="IGindeksgrny"/>
          <w:rFonts w:ascii="Times New Roman" w:hAnsi="Times New Roman" w:cs="Times New Roman"/>
          <w:sz w:val="24"/>
          <w:szCs w:val="24"/>
          <w:specVanish w:val="0"/>
        </w:rPr>
        <w:t>)</w:t>
      </w:r>
      <w:r w:rsidRPr="00833C88">
        <w:rPr>
          <w:rFonts w:ascii="Times New Roman" w:hAnsi="Times New Roman" w:cs="Times New Roman"/>
          <w:sz w:val="24"/>
          <w:szCs w:val="24"/>
        </w:rPr>
        <w:t>. Państwo może więc wprowadzić takie przepisy ustawowe, które pozwolą zminimalizować niekorzystne skutki mechanizmów wolnorynkowych, jeżeli skutki te ujawniają się w sferze, która nie może pozostać obojętna dla państwa ze względu na ochronę powszechnie uznawanych wartości</w:t>
      </w:r>
      <w:r w:rsidRPr="00833C88">
        <w:rPr>
          <w:rStyle w:val="Odwoanieprzypisudolnego"/>
          <w:rFonts w:ascii="Times New Roman" w:hAnsi="Times New Roman" w:cs="Times New Roman"/>
          <w:sz w:val="24"/>
          <w:szCs w:val="24"/>
        </w:rPr>
        <w:footnoteReference w:id="63"/>
      </w:r>
      <w:r w:rsidRPr="00833C88">
        <w:rPr>
          <w:rStyle w:val="IGindeksgrny"/>
          <w:rFonts w:ascii="Times New Roman" w:hAnsi="Times New Roman" w:cs="Times New Roman"/>
          <w:sz w:val="24"/>
          <w:szCs w:val="24"/>
          <w:specVanish w:val="0"/>
        </w:rPr>
        <w:t>)</w:t>
      </w:r>
      <w:r w:rsidRPr="00833C88">
        <w:rPr>
          <w:rFonts w:ascii="Times New Roman" w:hAnsi="Times New Roman" w:cs="Times New Roman"/>
          <w:sz w:val="24"/>
          <w:szCs w:val="24"/>
        </w:rPr>
        <w:t xml:space="preserve">. </w:t>
      </w:r>
      <w:r w:rsidR="00601933" w:rsidRPr="00833C88">
        <w:rPr>
          <w:rFonts w:ascii="Times New Roman" w:hAnsi="Times New Roman" w:cs="Times New Roman"/>
          <w:sz w:val="24"/>
          <w:szCs w:val="24"/>
        </w:rPr>
        <w:t>Z </w:t>
      </w:r>
      <w:r w:rsidRPr="00833C88">
        <w:rPr>
          <w:rFonts w:ascii="Times New Roman" w:hAnsi="Times New Roman" w:cs="Times New Roman"/>
          <w:sz w:val="24"/>
          <w:szCs w:val="24"/>
        </w:rPr>
        <w:t>kolei w innym orzeczeniu Trybunał zaznaczył, że rezygnacja z niezbędnych środków kontroli przez państwo niektórych dziedzin gospodarki mogłaby doprowadzić do zagrożenia bezpieczeństwa państwa, porządku publicznego</w:t>
      </w:r>
      <w:r w:rsidR="00684BD9" w:rsidRPr="00833C88">
        <w:rPr>
          <w:rFonts w:ascii="Times New Roman" w:hAnsi="Times New Roman" w:cs="Times New Roman"/>
          <w:sz w:val="24"/>
          <w:szCs w:val="24"/>
        </w:rPr>
        <w:t>,</w:t>
      </w:r>
      <w:r w:rsidRPr="00833C88">
        <w:rPr>
          <w:rFonts w:ascii="Times New Roman" w:hAnsi="Times New Roman" w:cs="Times New Roman"/>
          <w:sz w:val="24"/>
          <w:szCs w:val="24"/>
        </w:rPr>
        <w:t xml:space="preserve"> a także prawno-międzynarodowym zobowiązaniom państwa</w:t>
      </w:r>
      <w:r w:rsidRPr="00833C88">
        <w:rPr>
          <w:rStyle w:val="Odwoanieprzypisudolnego"/>
          <w:rFonts w:ascii="Times New Roman" w:hAnsi="Times New Roman" w:cs="Times New Roman"/>
          <w:sz w:val="24"/>
          <w:szCs w:val="24"/>
        </w:rPr>
        <w:footnoteReference w:id="64"/>
      </w:r>
      <w:r w:rsidRPr="00833C88">
        <w:rPr>
          <w:rStyle w:val="IGindeksgrny"/>
          <w:rFonts w:ascii="Times New Roman" w:hAnsi="Times New Roman" w:cs="Times New Roman"/>
          <w:sz w:val="24"/>
          <w:szCs w:val="24"/>
          <w:specVanish w:val="0"/>
        </w:rPr>
        <w:t>)</w:t>
      </w:r>
      <w:r w:rsidRPr="00833C88">
        <w:rPr>
          <w:rFonts w:ascii="Times New Roman" w:hAnsi="Times New Roman" w:cs="Times New Roman"/>
          <w:sz w:val="24"/>
          <w:szCs w:val="24"/>
        </w:rPr>
        <w:t>. W tym kontekście należy wskazać, że</w:t>
      </w:r>
      <w:r w:rsidR="009B4C26" w:rsidRPr="00833C88">
        <w:rPr>
          <w:rFonts w:ascii="Times New Roman" w:hAnsi="Times New Roman" w:cs="Times New Roman"/>
          <w:sz w:val="24"/>
          <w:szCs w:val="24"/>
        </w:rPr>
        <w:t> </w:t>
      </w:r>
      <w:r w:rsidRPr="00833C88">
        <w:rPr>
          <w:rFonts w:ascii="Times New Roman" w:hAnsi="Times New Roman" w:cs="Times New Roman"/>
          <w:sz w:val="24"/>
          <w:szCs w:val="24"/>
        </w:rPr>
        <w:t>bezpieczeństwo państwa zostało uznane przez Trybunał Konstytucyjny za element dobra wspólnego, a każdy obywatel jest zobowiązany do troski o dobro wspólne. Obowiązkiem Rady Ministrów jest zapewnienie bezpieczeństwa wewnętrznego i zewnętrznego państwa (art. 146 ust. 4 pkt 7 i 8 Konstytucji</w:t>
      </w:r>
      <w:r w:rsidR="006F3CE6" w:rsidRPr="00833C88">
        <w:rPr>
          <w:rFonts w:ascii="Times New Roman" w:hAnsi="Times New Roman" w:cs="Times New Roman"/>
          <w:sz w:val="24"/>
          <w:szCs w:val="24"/>
        </w:rPr>
        <w:t xml:space="preserve"> Rzeczypospolitej Polskiej</w:t>
      </w:r>
      <w:r w:rsidRPr="00833C88">
        <w:rPr>
          <w:rFonts w:ascii="Times New Roman" w:hAnsi="Times New Roman" w:cs="Times New Roman"/>
          <w:sz w:val="24"/>
          <w:szCs w:val="24"/>
        </w:rPr>
        <w:t>).</w:t>
      </w:r>
    </w:p>
    <w:p w14:paraId="5FB58068" w14:textId="77777777"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Opierając się na powyższych przesłankach, projektodawca proponuje wprowadzenie mechanizmu pozwalającego na uznanie określonego dostawcy sprzętu lub oprogramowania dla szczególnego rodzaju podmiotów gospodarczych i społecznych, za dostawcę wysokiego ryzyka. Wskazane w decyzji zakresy produktów ICT, rodzaje usług ICT lub konkretne procesy ICT pochodzące od dostawcy wysokiego ryzyka, będą musiały być wycofane z tych podmiotów. Rozwiązanie to ma na celu zapewnienie ochrony ważnego interesu państwowego w postaci bezpieczeństwa państwa. </w:t>
      </w:r>
    </w:p>
    <w:p w14:paraId="510C0D71" w14:textId="16BB00C9"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lastRenderedPageBreak/>
        <w:t>Obecnie nie ma żadnych środków prawnych umożliwiających nakazanie wycofywania z eksploatacji produktów ICT, usług ICT i procesów ICT zagrażających bezpieczeństwu kluczowych podmiotów w Polsce, a przez to funkcjonowaniu państwa. W szczególności dotyczy to kluczowych przedsiębiorców telekomunikacyjnych, którzy będą świadczyć usługi w oparciu o mobilne sieci 5G</w:t>
      </w:r>
      <w:r w:rsidRPr="00833C88">
        <w:rPr>
          <w:rStyle w:val="Odwoanieprzypisudolnego"/>
          <w:rFonts w:ascii="Times New Roman" w:hAnsi="Times New Roman" w:cs="Times New Roman"/>
        </w:rPr>
        <w:footnoteReference w:id="65"/>
      </w:r>
      <w:r w:rsidRPr="00833C88">
        <w:rPr>
          <w:rFonts w:ascii="Times New Roman" w:hAnsi="Times New Roman" w:cs="Times New Roman"/>
          <w:vertAlign w:val="superscript"/>
        </w:rPr>
        <w:t>)</w:t>
      </w:r>
      <w:r w:rsidRPr="00833C88">
        <w:rPr>
          <w:rFonts w:ascii="Times New Roman" w:hAnsi="Times New Roman" w:cs="Times New Roman"/>
        </w:rPr>
        <w:t>. Sieć 5G będzie oferowała możliwość przetwarzania znacznie większej liczby danych oraz wyższe prędkości przekazywania danych w porównaniu do</w:t>
      </w:r>
      <w:r w:rsidR="009B4C26" w:rsidRPr="00833C88">
        <w:rPr>
          <w:rFonts w:ascii="Times New Roman" w:hAnsi="Times New Roman" w:cs="Times New Roman"/>
        </w:rPr>
        <w:t> </w:t>
      </w:r>
      <w:r w:rsidRPr="00833C88">
        <w:rPr>
          <w:rFonts w:ascii="Times New Roman" w:hAnsi="Times New Roman" w:cs="Times New Roman"/>
        </w:rPr>
        <w:t>dotychczasowej sieci 3G oraz 4G. Dzięki sieci 5G możliwe będzie podłączenie znacznie większej liczby urządzeń Internetu Rzeczy niż do tej pory. Umożliwi to znacznie większe możliwości przekazywania danych pomiędzy obywatelami oraz wpłynie pozytywnie na</w:t>
      </w:r>
      <w:r w:rsidR="009B4C26" w:rsidRPr="00833C88">
        <w:rPr>
          <w:rFonts w:ascii="Times New Roman" w:hAnsi="Times New Roman" w:cs="Times New Roman"/>
        </w:rPr>
        <w:t> </w:t>
      </w:r>
      <w:r w:rsidRPr="00833C88">
        <w:rPr>
          <w:rFonts w:ascii="Times New Roman" w:hAnsi="Times New Roman" w:cs="Times New Roman"/>
        </w:rPr>
        <w:t xml:space="preserve">rozwój gospodarki. </w:t>
      </w:r>
    </w:p>
    <w:p w14:paraId="566C84F6" w14:textId="450E8DD8"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Wdrożenie sieci 5G wiąże się z </w:t>
      </w:r>
      <w:proofErr w:type="spellStart"/>
      <w:r w:rsidRPr="00833C88">
        <w:rPr>
          <w:rFonts w:ascii="Times New Roman" w:hAnsi="Times New Roman" w:cs="Times New Roman"/>
        </w:rPr>
        <w:t>ryzykami</w:t>
      </w:r>
      <w:proofErr w:type="spellEnd"/>
      <w:r w:rsidRPr="00833C88">
        <w:rPr>
          <w:rFonts w:ascii="Times New Roman" w:hAnsi="Times New Roman" w:cs="Times New Roman"/>
        </w:rPr>
        <w:t>, szczególnie tymi związanymi z bezpieczeństwem. Dzięki tym sieciom będzie możliwe świadczenie wielu usług niezbędnych do funkcjonowania rynku wewnętrznego oraz utrzymania i realizacji podstawowych funkcji społecznych i gospodarczych – takich jak energetyka, transport, bankowość i opieka zdrowotna oraz systemy sterowania produkcją. Potencjalny cyberatak mógłby doprowadzić do</w:t>
      </w:r>
      <w:r w:rsidR="009B4C26" w:rsidRPr="00833C88">
        <w:rPr>
          <w:rFonts w:ascii="Times New Roman" w:hAnsi="Times New Roman" w:cs="Times New Roman"/>
        </w:rPr>
        <w:t> </w:t>
      </w:r>
      <w:r w:rsidRPr="00833C88">
        <w:rPr>
          <w:rFonts w:ascii="Times New Roman" w:hAnsi="Times New Roman" w:cs="Times New Roman"/>
        </w:rPr>
        <w:t>naruszenia dostępności danej usługi na niespotykaną dotąd skalę. Możliwy byłby atak na</w:t>
      </w:r>
      <w:r w:rsidR="00AD6CCD" w:rsidRPr="00833C88">
        <w:rPr>
          <w:rFonts w:ascii="Times New Roman" w:hAnsi="Times New Roman" w:cs="Times New Roman"/>
        </w:rPr>
        <w:t> </w:t>
      </w:r>
      <w:r w:rsidRPr="00833C88">
        <w:rPr>
          <w:rFonts w:ascii="Times New Roman" w:hAnsi="Times New Roman" w:cs="Times New Roman"/>
        </w:rPr>
        <w:t>sieć 5G, który doprowadziłby do przejęcia kontroli nad infrastrukturą krytyczną</w:t>
      </w:r>
      <w:r w:rsidR="00D31925" w:rsidRPr="00833C88">
        <w:rPr>
          <w:rFonts w:ascii="Times New Roman" w:hAnsi="Times New Roman" w:cs="Times New Roman"/>
        </w:rPr>
        <w:t>,</w:t>
      </w:r>
      <w:r w:rsidRPr="00833C88">
        <w:rPr>
          <w:rFonts w:ascii="Times New Roman" w:hAnsi="Times New Roman" w:cs="Times New Roman"/>
        </w:rPr>
        <w:t xml:space="preserve"> jak np. sieci energetyczne. Przejęcie kontroli nad siecią 5G mogłoby doprowadzić do naruszenia poufności ogromnej liczby przesyłanych danych. Skutki takich incydentów byłyby bardzo poważne.</w:t>
      </w:r>
    </w:p>
    <w:p w14:paraId="1C35B433" w14:textId="773D65C2"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Kwestia bezpieczeństwa sieci 5G została podjęta na poziomie unijnym. </w:t>
      </w:r>
      <w:r w:rsidR="00601933" w:rsidRPr="00833C88">
        <w:rPr>
          <w:rFonts w:ascii="Times New Roman" w:hAnsi="Times New Roman" w:cs="Times New Roman"/>
        </w:rPr>
        <w:t>W </w:t>
      </w:r>
      <w:r w:rsidRPr="00833C88">
        <w:rPr>
          <w:rFonts w:ascii="Times New Roman" w:hAnsi="Times New Roman" w:cs="Times New Roman"/>
        </w:rPr>
        <w:t>motywie 3 i 4 zaleceń Komisji (UE) 2019/534 wskazano, że:</w:t>
      </w:r>
    </w:p>
    <w:p w14:paraId="534ED268" w14:textId="1F2C6512" w:rsidR="007929D4" w:rsidRPr="00833C88" w:rsidRDefault="006F3CE6" w:rsidP="00DC5015">
      <w:pPr>
        <w:pStyle w:val="NIEARTTEKSTtekstnieartykuowanynppodstprawnarozplubpreambua"/>
        <w:spacing w:before="0" w:after="120"/>
        <w:rPr>
          <w:rFonts w:ascii="Times New Roman" w:hAnsi="Times New Roman" w:cs="Times New Roman"/>
          <w:iCs/>
        </w:rPr>
      </w:pPr>
      <w:r w:rsidRPr="00833C88">
        <w:rPr>
          <w:rFonts w:ascii="Times New Roman" w:hAnsi="Times New Roman" w:cs="Times New Roman"/>
          <w:iCs/>
        </w:rPr>
        <w:t>„</w:t>
      </w:r>
      <w:r w:rsidR="007929D4" w:rsidRPr="00833C88">
        <w:rPr>
          <w:rFonts w:ascii="Times New Roman" w:hAnsi="Times New Roman" w:cs="Times New Roman"/>
          <w:iCs/>
        </w:rPr>
        <w:t xml:space="preserve">(3) </w:t>
      </w:r>
      <w:r w:rsidR="00601933" w:rsidRPr="00833C88">
        <w:rPr>
          <w:rFonts w:ascii="Times New Roman" w:hAnsi="Times New Roman" w:cs="Times New Roman"/>
          <w:iCs/>
        </w:rPr>
        <w:t>Z </w:t>
      </w:r>
      <w:r w:rsidR="007929D4" w:rsidRPr="00833C88">
        <w:rPr>
          <w:rFonts w:ascii="Times New Roman" w:hAnsi="Times New Roman" w:cs="Times New Roman"/>
          <w:iCs/>
        </w:rPr>
        <w:t xml:space="preserve">powodu uzależnienia wielu usług </w:t>
      </w:r>
      <w:r w:rsidR="00601933" w:rsidRPr="00833C88">
        <w:rPr>
          <w:rFonts w:ascii="Times New Roman" w:hAnsi="Times New Roman" w:cs="Times New Roman"/>
          <w:iCs/>
        </w:rPr>
        <w:t>o </w:t>
      </w:r>
      <w:r w:rsidR="007929D4" w:rsidRPr="00833C88">
        <w:rPr>
          <w:rFonts w:ascii="Times New Roman" w:hAnsi="Times New Roman" w:cs="Times New Roman"/>
          <w:iCs/>
        </w:rPr>
        <w:t xml:space="preserve">krytycznym znaczeniu od sieci 5G konsekwencje systemowych i rozległych zakłóceń byłyby szczególnie poważne. </w:t>
      </w:r>
      <w:r w:rsidR="00601933" w:rsidRPr="00833C88">
        <w:rPr>
          <w:rFonts w:ascii="Times New Roman" w:hAnsi="Times New Roman" w:cs="Times New Roman"/>
          <w:iCs/>
        </w:rPr>
        <w:t>W </w:t>
      </w:r>
      <w:r w:rsidR="007929D4" w:rsidRPr="00833C88">
        <w:rPr>
          <w:rFonts w:ascii="Times New Roman" w:hAnsi="Times New Roman" w:cs="Times New Roman"/>
          <w:iCs/>
        </w:rPr>
        <w:t xml:space="preserve">rezultacie zapewnienie cyberbezpieczeństwa sieci 5G jest kwestią </w:t>
      </w:r>
      <w:r w:rsidR="00601933" w:rsidRPr="00833C88">
        <w:rPr>
          <w:rFonts w:ascii="Times New Roman" w:hAnsi="Times New Roman" w:cs="Times New Roman"/>
          <w:iCs/>
        </w:rPr>
        <w:t>o </w:t>
      </w:r>
      <w:r w:rsidR="007929D4" w:rsidRPr="00833C88">
        <w:rPr>
          <w:rFonts w:ascii="Times New Roman" w:hAnsi="Times New Roman" w:cs="Times New Roman"/>
          <w:iCs/>
        </w:rPr>
        <w:t>strategicznym znaczeniu dla Unii w czasie, gdy cyberataki przybierają na sile i są coraz bardziej wyrafinowane.</w:t>
      </w:r>
    </w:p>
    <w:p w14:paraId="11EABD5F" w14:textId="13EA8D5E" w:rsidR="007929D4" w:rsidRPr="00833C88" w:rsidRDefault="007929D4" w:rsidP="00DC5015">
      <w:pPr>
        <w:pStyle w:val="NIEARTTEKSTtekstnieartykuowanynppodstprawnarozplubpreambua"/>
        <w:spacing w:before="0" w:after="120"/>
        <w:rPr>
          <w:rFonts w:ascii="Times New Roman" w:hAnsi="Times New Roman" w:cs="Times New Roman"/>
          <w:iCs/>
        </w:rPr>
      </w:pPr>
      <w:r w:rsidRPr="00833C88">
        <w:rPr>
          <w:rFonts w:ascii="Times New Roman" w:hAnsi="Times New Roman" w:cs="Times New Roman"/>
          <w:iCs/>
        </w:rPr>
        <w:lastRenderedPageBreak/>
        <w:t xml:space="preserve">(4) Ponadnarodowy charakter infrastruktury stanowiącej podstawę ekosystemu cyfrowego, która charakteryzuje się siecią wzajemnych powiązań, jak również transgraniczny charakter zagrożeń oznaczają, że wszelkie istotne luki bezpieczeństwa lub </w:t>
      </w:r>
      <w:proofErr w:type="spellStart"/>
      <w:r w:rsidRPr="00833C88">
        <w:rPr>
          <w:rFonts w:ascii="Times New Roman" w:hAnsi="Times New Roman" w:cs="Times New Roman"/>
          <w:iCs/>
        </w:rPr>
        <w:t>cyberincydenty</w:t>
      </w:r>
      <w:proofErr w:type="spellEnd"/>
      <w:r w:rsidRPr="00833C88">
        <w:rPr>
          <w:rFonts w:ascii="Times New Roman" w:hAnsi="Times New Roman" w:cs="Times New Roman"/>
          <w:iCs/>
        </w:rPr>
        <w:t xml:space="preserve"> dotyczące sieci </w:t>
      </w:r>
      <w:proofErr w:type="spellStart"/>
      <w:r w:rsidRPr="00833C88">
        <w:rPr>
          <w:rFonts w:ascii="Times New Roman" w:hAnsi="Times New Roman" w:cs="Times New Roman"/>
          <w:iCs/>
        </w:rPr>
        <w:t>5G</w:t>
      </w:r>
      <w:proofErr w:type="spellEnd"/>
      <w:r w:rsidRPr="00833C88">
        <w:rPr>
          <w:rFonts w:ascii="Times New Roman" w:hAnsi="Times New Roman" w:cs="Times New Roman"/>
          <w:iCs/>
        </w:rPr>
        <w:t xml:space="preserve"> występujące w jednym państwie członkowskim miałyby wpływ na całą Unię. Dlatego też należy przewidzieć środki w celu zapewnienia wysokiego wspólnego poziomu cyberbezpieczeństwa sieci 5G.</w:t>
      </w:r>
      <w:r w:rsidR="006F3CE6" w:rsidRPr="00833C88">
        <w:rPr>
          <w:rFonts w:ascii="Times New Roman" w:hAnsi="Times New Roman" w:cs="Times New Roman"/>
          <w:iCs/>
        </w:rPr>
        <w:t>”.</w:t>
      </w:r>
    </w:p>
    <w:p w14:paraId="756F93F7" w14:textId="39BF0E2F"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Komisja </w:t>
      </w:r>
      <w:r w:rsidR="00A10108" w:rsidRPr="00833C88">
        <w:rPr>
          <w:rFonts w:ascii="Times New Roman" w:hAnsi="Times New Roman" w:cs="Times New Roman"/>
        </w:rPr>
        <w:t xml:space="preserve">Europejska </w:t>
      </w:r>
      <w:r w:rsidRPr="00833C88">
        <w:rPr>
          <w:rFonts w:ascii="Times New Roman" w:hAnsi="Times New Roman" w:cs="Times New Roman"/>
        </w:rPr>
        <w:t xml:space="preserve">zaleciła, aby państwa członkowskie </w:t>
      </w:r>
      <w:r w:rsidR="00A10108" w:rsidRPr="00833C88">
        <w:rPr>
          <w:rFonts w:ascii="Times New Roman" w:hAnsi="Times New Roman" w:cs="Times New Roman"/>
        </w:rPr>
        <w:t xml:space="preserve">Unii Europejskiej </w:t>
      </w:r>
      <w:r w:rsidRPr="00833C88">
        <w:rPr>
          <w:rFonts w:ascii="Times New Roman" w:hAnsi="Times New Roman" w:cs="Times New Roman"/>
        </w:rPr>
        <w:t>przeprowadziły krajową ocenę ryzyka bezpieczeństwa sieci 5G</w:t>
      </w:r>
      <w:r w:rsidR="000531B8" w:rsidRPr="00833C88">
        <w:rPr>
          <w:rFonts w:ascii="Times New Roman" w:hAnsi="Times New Roman" w:cs="Times New Roman"/>
        </w:rPr>
        <w:t xml:space="preserve">, zgodnie </w:t>
      </w:r>
      <w:r w:rsidR="00601933" w:rsidRPr="00833C88">
        <w:rPr>
          <w:rFonts w:ascii="Times New Roman" w:hAnsi="Times New Roman" w:cs="Times New Roman"/>
        </w:rPr>
        <w:t>z </w:t>
      </w:r>
      <w:r w:rsidR="00A10108" w:rsidRPr="00833C88">
        <w:rPr>
          <w:rFonts w:ascii="Times New Roman" w:hAnsi="Times New Roman" w:cs="Times New Roman"/>
        </w:rPr>
        <w:t xml:space="preserve">jej </w:t>
      </w:r>
      <w:r w:rsidR="000531B8" w:rsidRPr="00833C88">
        <w:rPr>
          <w:rFonts w:ascii="Times New Roman" w:hAnsi="Times New Roman" w:cs="Times New Roman"/>
        </w:rPr>
        <w:t>rekomendacjami</w:t>
      </w:r>
      <w:r w:rsidR="00716E72" w:rsidRPr="00833C88">
        <w:rPr>
          <w:rFonts w:ascii="Times New Roman" w:hAnsi="Times New Roman" w:cs="Times New Roman"/>
        </w:rPr>
        <w:t xml:space="preserve">. </w:t>
      </w:r>
      <w:r w:rsidRPr="00833C88">
        <w:rPr>
          <w:rFonts w:ascii="Times New Roman" w:hAnsi="Times New Roman" w:cs="Times New Roman"/>
        </w:rPr>
        <w:t xml:space="preserve">Ponadto Komisja </w:t>
      </w:r>
      <w:r w:rsidR="00A10108" w:rsidRPr="00833C88">
        <w:rPr>
          <w:rFonts w:ascii="Times New Roman" w:hAnsi="Times New Roman" w:cs="Times New Roman"/>
        </w:rPr>
        <w:t xml:space="preserve">Europejska </w:t>
      </w:r>
      <w:r w:rsidRPr="00833C88">
        <w:rPr>
          <w:rFonts w:ascii="Times New Roman" w:hAnsi="Times New Roman" w:cs="Times New Roman"/>
        </w:rPr>
        <w:t xml:space="preserve">zaleciła, </w:t>
      </w:r>
      <w:r w:rsidR="004200A6">
        <w:rPr>
          <w:rFonts w:ascii="Times New Roman" w:hAnsi="Times New Roman" w:cs="Times New Roman"/>
        </w:rPr>
        <w:t>że</w:t>
      </w:r>
      <w:r w:rsidRPr="00833C88">
        <w:rPr>
          <w:rFonts w:ascii="Times New Roman" w:hAnsi="Times New Roman" w:cs="Times New Roman"/>
        </w:rPr>
        <w:t xml:space="preserve"> w oparciu o</w:t>
      </w:r>
      <w:r w:rsidR="00A421CD" w:rsidRPr="00833C88">
        <w:rPr>
          <w:rFonts w:ascii="Times New Roman" w:hAnsi="Times New Roman" w:cs="Times New Roman"/>
        </w:rPr>
        <w:t> </w:t>
      </w:r>
      <w:r w:rsidRPr="00833C88">
        <w:rPr>
          <w:rFonts w:ascii="Times New Roman" w:hAnsi="Times New Roman" w:cs="Times New Roman"/>
        </w:rPr>
        <w:t>krajową ocenę ryzyka państwa członkowskie powinny:</w:t>
      </w:r>
    </w:p>
    <w:p w14:paraId="548C5C3F" w14:textId="3AFF5BF0" w:rsidR="007929D4" w:rsidRPr="00833C88" w:rsidRDefault="007929D4">
      <w:pPr>
        <w:pStyle w:val="NIEARTTEKSTtekstnieartykuowanynppodstprawnarozplubpreambua"/>
        <w:numPr>
          <w:ilvl w:val="0"/>
          <w:numId w:val="17"/>
        </w:numPr>
        <w:spacing w:before="0" w:after="120"/>
        <w:ind w:left="851" w:hanging="425"/>
        <w:rPr>
          <w:rFonts w:ascii="Times New Roman" w:hAnsi="Times New Roman" w:cs="Times New Roman"/>
        </w:rPr>
      </w:pPr>
      <w:r w:rsidRPr="00833C88">
        <w:rPr>
          <w:rFonts w:ascii="Times New Roman" w:hAnsi="Times New Roman" w:cs="Times New Roman"/>
        </w:rPr>
        <w:t>zaktualizować wymogi w zakresie bezpieczeństwa oraz metody zarządzania ryzykiem stosowane w odniesieniu do sieci 5G</w:t>
      </w:r>
      <w:r w:rsidR="002B5E29" w:rsidRPr="00833C88">
        <w:rPr>
          <w:rFonts w:ascii="Times New Roman" w:hAnsi="Times New Roman" w:cs="Times New Roman"/>
        </w:rPr>
        <w:t>;</w:t>
      </w:r>
    </w:p>
    <w:p w14:paraId="27BBBDEC" w14:textId="1B78D4C5" w:rsidR="007929D4" w:rsidRPr="00833C88" w:rsidRDefault="007929D4">
      <w:pPr>
        <w:pStyle w:val="NIEARTTEKSTtekstnieartykuowanynppodstprawnarozplubpreambua"/>
        <w:numPr>
          <w:ilvl w:val="0"/>
          <w:numId w:val="17"/>
        </w:numPr>
        <w:spacing w:before="0" w:after="120"/>
        <w:ind w:left="851" w:hanging="425"/>
        <w:rPr>
          <w:rFonts w:ascii="Times New Roman" w:hAnsi="Times New Roman" w:cs="Times New Roman"/>
        </w:rPr>
      </w:pPr>
      <w:r w:rsidRPr="00833C88">
        <w:rPr>
          <w:rFonts w:ascii="Times New Roman" w:hAnsi="Times New Roman" w:cs="Times New Roman"/>
        </w:rPr>
        <w:t xml:space="preserve">zaktualizować odpowiednie obowiązki nakładane na przedsiębiorstwa udostępniające publiczne sieci łączności lub świadczące publicznie dostępne usługi łączności elektronicznej zgodnie </w:t>
      </w:r>
      <w:r w:rsidR="00601933" w:rsidRPr="00833C88">
        <w:rPr>
          <w:rFonts w:ascii="Times New Roman" w:hAnsi="Times New Roman" w:cs="Times New Roman"/>
        </w:rPr>
        <w:t>z </w:t>
      </w:r>
      <w:r w:rsidRPr="00833C88">
        <w:rPr>
          <w:rFonts w:ascii="Times New Roman" w:hAnsi="Times New Roman" w:cs="Times New Roman"/>
        </w:rPr>
        <w:t>art. 13a i </w:t>
      </w:r>
      <w:r w:rsidR="006F3CE6" w:rsidRPr="00833C88">
        <w:rPr>
          <w:rFonts w:ascii="Times New Roman" w:hAnsi="Times New Roman" w:cs="Times New Roman"/>
        </w:rPr>
        <w:t xml:space="preserve">art. </w:t>
      </w:r>
      <w:r w:rsidRPr="00833C88">
        <w:rPr>
          <w:rFonts w:ascii="Times New Roman" w:hAnsi="Times New Roman" w:cs="Times New Roman"/>
        </w:rPr>
        <w:t>13b dyrektywy 2002/21/WE</w:t>
      </w:r>
      <w:r w:rsidR="002B5E29" w:rsidRPr="00833C88">
        <w:rPr>
          <w:rFonts w:ascii="Times New Roman" w:hAnsi="Times New Roman" w:cs="Times New Roman"/>
        </w:rPr>
        <w:t>;</w:t>
      </w:r>
    </w:p>
    <w:p w14:paraId="6871C2D3" w14:textId="625042D8" w:rsidR="007929D4" w:rsidRPr="00833C88" w:rsidRDefault="007929D4">
      <w:pPr>
        <w:pStyle w:val="NIEARTTEKSTtekstnieartykuowanynppodstprawnarozplubpreambua"/>
        <w:numPr>
          <w:ilvl w:val="0"/>
          <w:numId w:val="17"/>
        </w:numPr>
        <w:spacing w:before="0" w:after="120"/>
        <w:ind w:left="851" w:hanging="425"/>
        <w:rPr>
          <w:rFonts w:ascii="Times New Roman" w:hAnsi="Times New Roman" w:cs="Times New Roman"/>
        </w:rPr>
      </w:pPr>
      <w:r w:rsidRPr="00833C88">
        <w:rPr>
          <w:rFonts w:ascii="Times New Roman" w:hAnsi="Times New Roman" w:cs="Times New Roman"/>
        </w:rPr>
        <w:t xml:space="preserve">obwarować ogólne zezwolenia warunkami dotyczącymi zabezpieczenia sieci publicznych przed nieuprawnionym dostępem oraz uzyskać od przedsiębiorstw uczestniczących w przyszłych postępowaniach </w:t>
      </w:r>
      <w:r w:rsidR="00601933" w:rsidRPr="00833C88">
        <w:rPr>
          <w:rFonts w:ascii="Times New Roman" w:hAnsi="Times New Roman" w:cs="Times New Roman"/>
        </w:rPr>
        <w:t>o </w:t>
      </w:r>
      <w:r w:rsidRPr="00833C88">
        <w:rPr>
          <w:rFonts w:ascii="Times New Roman" w:hAnsi="Times New Roman" w:cs="Times New Roman"/>
        </w:rPr>
        <w:t>udzielenie praw użytkowania częstotliwości radiowych w pasmach 5G zobowiązanie do przestrzegania wymogów w zakresie bezpieczeństwa sieci na podstawie dyrektywy 2002/20/WE</w:t>
      </w:r>
      <w:r w:rsidR="002B5E29" w:rsidRPr="00833C88">
        <w:rPr>
          <w:rFonts w:ascii="Times New Roman" w:hAnsi="Times New Roman" w:cs="Times New Roman"/>
        </w:rPr>
        <w:t>;</w:t>
      </w:r>
    </w:p>
    <w:p w14:paraId="6F4C0C6A" w14:textId="77777777" w:rsidR="007929D4" w:rsidRPr="00833C88" w:rsidRDefault="007929D4">
      <w:pPr>
        <w:pStyle w:val="NIEARTTEKSTtekstnieartykuowanynppodstprawnarozplubpreambua"/>
        <w:numPr>
          <w:ilvl w:val="0"/>
          <w:numId w:val="17"/>
        </w:numPr>
        <w:spacing w:before="0" w:after="120"/>
        <w:ind w:left="851" w:hanging="425"/>
        <w:rPr>
          <w:rFonts w:ascii="Times New Roman" w:hAnsi="Times New Roman" w:cs="Times New Roman"/>
        </w:rPr>
      </w:pPr>
      <w:r w:rsidRPr="00833C88">
        <w:rPr>
          <w:rFonts w:ascii="Times New Roman" w:hAnsi="Times New Roman" w:cs="Times New Roman"/>
        </w:rPr>
        <w:t>stosować inne środki zapobiegawcze mające na celu ograniczenie potencjalnych zagrożeń dla cyberbezpieczeństwa.</w:t>
      </w:r>
    </w:p>
    <w:p w14:paraId="538530B3" w14:textId="77777777"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Środki te powinny obejmować obowiązki nakładane na dostawców oraz operatorów celem zapewnienia bezpieczeństwa sieci 5G.</w:t>
      </w:r>
    </w:p>
    <w:p w14:paraId="37AA15F9" w14:textId="47DE498F" w:rsidR="007929D4" w:rsidRPr="00833C88" w:rsidRDefault="00601933" w:rsidP="00DC5015">
      <w:pPr>
        <w:pStyle w:val="NIEARTTEKSTtekstnieartykuowanynppodstprawnarozplubpreambua"/>
        <w:spacing w:before="0" w:after="120"/>
        <w:ind w:firstLine="0"/>
        <w:rPr>
          <w:rFonts w:ascii="Times New Roman" w:hAnsi="Times New Roman" w:cs="Times New Roman"/>
        </w:rPr>
      </w:pPr>
      <w:r w:rsidRPr="00833C88">
        <w:rPr>
          <w:rFonts w:ascii="Times New Roman" w:hAnsi="Times New Roman" w:cs="Times New Roman"/>
        </w:rPr>
        <w:t>W </w:t>
      </w:r>
      <w:r w:rsidR="007929D4" w:rsidRPr="00833C88">
        <w:rPr>
          <w:rFonts w:ascii="Times New Roman" w:hAnsi="Times New Roman" w:cs="Times New Roman"/>
        </w:rPr>
        <w:t>wyniku powyższych zaleceń powstała unijna skoordynowana ocena ryzyka cyberbezpieczeństwa sieci 5G</w:t>
      </w:r>
      <w:r w:rsidR="007929D4" w:rsidRPr="00833C88">
        <w:rPr>
          <w:rStyle w:val="Odwoanieprzypisudolnego"/>
          <w:rFonts w:ascii="Times New Roman" w:hAnsi="Times New Roman" w:cs="Times New Roman"/>
        </w:rPr>
        <w:footnoteReference w:id="66"/>
      </w:r>
      <w:r w:rsidR="007929D4" w:rsidRPr="00833C88">
        <w:rPr>
          <w:rFonts w:ascii="Times New Roman" w:hAnsi="Times New Roman" w:cs="Times New Roman"/>
          <w:vertAlign w:val="superscript"/>
        </w:rPr>
        <w:t>)</w:t>
      </w:r>
      <w:r w:rsidR="007929D4" w:rsidRPr="00833C88">
        <w:rPr>
          <w:rFonts w:ascii="Times New Roman" w:hAnsi="Times New Roman" w:cs="Times New Roman"/>
        </w:rPr>
        <w:t xml:space="preserve"> oraz Unijny zestaw środków dla cyberbezpieczeństwa sieci 5G – tzw. </w:t>
      </w:r>
      <w:proofErr w:type="spellStart"/>
      <w:r w:rsidR="007929D4" w:rsidRPr="00833C88">
        <w:rPr>
          <w:rFonts w:ascii="Times New Roman" w:hAnsi="Times New Roman" w:cs="Times New Roman"/>
        </w:rPr>
        <w:t>Toolbox</w:t>
      </w:r>
      <w:proofErr w:type="spellEnd"/>
      <w:r w:rsidR="007929D4" w:rsidRPr="00833C88">
        <w:rPr>
          <w:rFonts w:ascii="Times New Roman" w:hAnsi="Times New Roman" w:cs="Times New Roman"/>
        </w:rPr>
        <w:t xml:space="preserve"> </w:t>
      </w:r>
      <w:proofErr w:type="spellStart"/>
      <w:r w:rsidR="007929D4" w:rsidRPr="00833C88">
        <w:rPr>
          <w:rFonts w:ascii="Times New Roman" w:hAnsi="Times New Roman" w:cs="Times New Roman"/>
        </w:rPr>
        <w:t>5G</w:t>
      </w:r>
      <w:proofErr w:type="spellEnd"/>
      <w:r w:rsidR="007929D4" w:rsidRPr="00833C88">
        <w:rPr>
          <w:rStyle w:val="Odwoanieprzypisudolnego"/>
          <w:rFonts w:ascii="Times New Roman" w:hAnsi="Times New Roman" w:cs="Times New Roman"/>
        </w:rPr>
        <w:footnoteReference w:id="67"/>
      </w:r>
      <w:r w:rsidR="007929D4" w:rsidRPr="00833C88">
        <w:rPr>
          <w:rFonts w:ascii="Times New Roman" w:hAnsi="Times New Roman" w:cs="Times New Roman"/>
          <w:vertAlign w:val="superscript"/>
        </w:rPr>
        <w:t>)</w:t>
      </w:r>
      <w:r w:rsidR="007929D4" w:rsidRPr="00833C88">
        <w:rPr>
          <w:rFonts w:ascii="Times New Roman" w:hAnsi="Times New Roman" w:cs="Times New Roman"/>
        </w:rPr>
        <w:t xml:space="preserve">. </w:t>
      </w:r>
      <w:r w:rsidRPr="00833C88">
        <w:rPr>
          <w:rFonts w:ascii="Times New Roman" w:hAnsi="Times New Roman" w:cs="Times New Roman"/>
        </w:rPr>
        <w:t>W </w:t>
      </w:r>
      <w:r w:rsidR="007929D4" w:rsidRPr="00833C88">
        <w:rPr>
          <w:rFonts w:ascii="Times New Roman" w:hAnsi="Times New Roman" w:cs="Times New Roman"/>
        </w:rPr>
        <w:t>dokumentach tych wskazano na ryzyka związane z sieciami 5G</w:t>
      </w:r>
      <w:r w:rsidR="00A17E8F" w:rsidRPr="00833C88">
        <w:rPr>
          <w:rFonts w:ascii="Times New Roman" w:hAnsi="Times New Roman" w:cs="Times New Roman"/>
        </w:rPr>
        <w:t>,</w:t>
      </w:r>
      <w:r w:rsidR="007929D4" w:rsidRPr="00833C88">
        <w:rPr>
          <w:rFonts w:ascii="Times New Roman" w:hAnsi="Times New Roman" w:cs="Times New Roman"/>
        </w:rPr>
        <w:t xml:space="preserve"> w tym także tymi związanymi z dostawcami sprzętu i oprogramowania dla tej sieci. </w:t>
      </w:r>
    </w:p>
    <w:p w14:paraId="1319CE39" w14:textId="40F58843" w:rsidR="007929D4" w:rsidRPr="00833C88" w:rsidRDefault="007929D4" w:rsidP="00DC5015">
      <w:pPr>
        <w:pStyle w:val="NIEARTTEKSTtekstnieartykuowanynppodstprawnarozplubpreambua"/>
        <w:spacing w:before="0" w:after="120"/>
        <w:ind w:firstLine="0"/>
        <w:rPr>
          <w:rFonts w:ascii="Times New Roman" w:hAnsi="Times New Roman" w:cs="Times New Roman"/>
        </w:rPr>
      </w:pPr>
      <w:r w:rsidRPr="00833C88">
        <w:rPr>
          <w:rFonts w:ascii="Times New Roman" w:hAnsi="Times New Roman" w:cs="Times New Roman"/>
        </w:rPr>
        <w:lastRenderedPageBreak/>
        <w:t xml:space="preserve">Jedno ze wskazanych </w:t>
      </w:r>
      <w:proofErr w:type="spellStart"/>
      <w:r w:rsidRPr="00833C88">
        <w:rPr>
          <w:rFonts w:ascii="Times New Roman" w:hAnsi="Times New Roman" w:cs="Times New Roman"/>
        </w:rPr>
        <w:t>ryzyk</w:t>
      </w:r>
      <w:proofErr w:type="spellEnd"/>
      <w:r w:rsidRPr="00833C88">
        <w:rPr>
          <w:rFonts w:ascii="Times New Roman" w:hAnsi="Times New Roman" w:cs="Times New Roman"/>
        </w:rPr>
        <w:t xml:space="preserve"> dotyczy dostawców, którzy znajdują się pod wpływem państw prowadzących agresywne działania w cyberprzestrzeni. Takie państwo może wpływać na</w:t>
      </w:r>
      <w:r w:rsidR="00AD6CCD" w:rsidRPr="00833C88">
        <w:rPr>
          <w:rFonts w:ascii="Times New Roman" w:hAnsi="Times New Roman" w:cs="Times New Roman"/>
        </w:rPr>
        <w:t> </w:t>
      </w:r>
      <w:r w:rsidRPr="00833C88">
        <w:rPr>
          <w:rFonts w:ascii="Times New Roman" w:hAnsi="Times New Roman" w:cs="Times New Roman"/>
        </w:rPr>
        <w:t xml:space="preserve">dostawcę, aby wykorzystał ukryte podatności </w:t>
      </w:r>
      <w:r w:rsidR="00601933" w:rsidRPr="00833C88">
        <w:rPr>
          <w:rFonts w:ascii="Times New Roman" w:hAnsi="Times New Roman" w:cs="Times New Roman"/>
        </w:rPr>
        <w:t>w </w:t>
      </w:r>
      <w:r w:rsidRPr="00833C88">
        <w:rPr>
          <w:rFonts w:ascii="Times New Roman" w:hAnsi="Times New Roman" w:cs="Times New Roman"/>
        </w:rPr>
        <w:t>sprzęcie lub oprogramowaniu dostarczonemu innemu państwu, aby uzyskać dostęp do wrażliwych danych przesyłanych przez ten sprzęt czy też wpływać na dostępność usług świadczonych poprzez ten sprzęt. Dostawca taki będzie działał na rzecz interesów państwa, pod którego wpływem znajduje się. Prawdopodobieństwo zaistnienia tej sytuacji zależy od stopnia, w jakim dostawca ma dostęp do sieci, w szczególności jej krytycznych funkcji</w:t>
      </w:r>
      <w:r w:rsidRPr="00833C88">
        <w:rPr>
          <w:rStyle w:val="Odwoanieprzypisudolnego"/>
          <w:rFonts w:ascii="Times New Roman" w:hAnsi="Times New Roman" w:cs="Times New Roman"/>
        </w:rPr>
        <w:footnoteReference w:id="68"/>
      </w:r>
      <w:r w:rsidRPr="00833C88">
        <w:rPr>
          <w:rFonts w:ascii="Times New Roman" w:hAnsi="Times New Roman" w:cs="Times New Roman"/>
          <w:vertAlign w:val="superscript"/>
        </w:rPr>
        <w:t>)</w:t>
      </w:r>
      <w:r w:rsidRPr="00833C88">
        <w:rPr>
          <w:rFonts w:ascii="Times New Roman" w:hAnsi="Times New Roman" w:cs="Times New Roman"/>
        </w:rPr>
        <w:t xml:space="preserve">. </w:t>
      </w:r>
    </w:p>
    <w:p w14:paraId="60090F3C" w14:textId="2984EEE4" w:rsidR="007929D4" w:rsidRPr="00833C88" w:rsidRDefault="007929D4" w:rsidP="00DC5015">
      <w:pPr>
        <w:pStyle w:val="NIEARTTEKSTtekstnieartykuowanynppodstprawnarozplubpreambua"/>
        <w:spacing w:before="0" w:after="120"/>
        <w:ind w:firstLine="0"/>
        <w:rPr>
          <w:rFonts w:ascii="Times New Roman" w:hAnsi="Times New Roman" w:cs="Times New Roman"/>
        </w:rPr>
      </w:pPr>
      <w:r w:rsidRPr="00833C88">
        <w:rPr>
          <w:rFonts w:ascii="Times New Roman" w:hAnsi="Times New Roman" w:cs="Times New Roman"/>
        </w:rPr>
        <w:t>Natomiast ryzyka dotyczą również aspektów technicznych</w:t>
      </w:r>
      <w:r w:rsidR="002B5E29" w:rsidRPr="00833C88">
        <w:rPr>
          <w:rFonts w:ascii="Times New Roman" w:hAnsi="Times New Roman" w:cs="Times New Roman"/>
        </w:rPr>
        <w:t>,</w:t>
      </w:r>
      <w:r w:rsidR="0054258D" w:rsidRPr="00833C88">
        <w:rPr>
          <w:rFonts w:ascii="Times New Roman" w:hAnsi="Times New Roman" w:cs="Times New Roman"/>
        </w:rPr>
        <w:t xml:space="preserve"> </w:t>
      </w:r>
      <w:r w:rsidRPr="00833C88">
        <w:rPr>
          <w:rFonts w:ascii="Times New Roman" w:hAnsi="Times New Roman" w:cs="Times New Roman"/>
        </w:rPr>
        <w:t xml:space="preserve">np. tego czy dostawca jest w stanie zapewnić bezpieczeństwo swoich produktów, jak reaguje na incydenty związane z tymi produktami, jak zarządza podatnościami własnych produktów. Niska jakość sprzętu i oprogramowania dostarczanego przez dostawcę, w tym ukryte podatności, może umożliwić cyberatak na sieć dokonywany przez agresywne państwa w cyberprzestrzeni, grupy </w:t>
      </w:r>
      <w:r w:rsidRPr="00833C88">
        <w:rPr>
          <w:rFonts w:ascii="Times New Roman" w:hAnsi="Times New Roman" w:cs="Times New Roman"/>
          <w:i/>
        </w:rPr>
        <w:t xml:space="preserve">Advanced </w:t>
      </w:r>
      <w:proofErr w:type="spellStart"/>
      <w:r w:rsidRPr="00833C88">
        <w:rPr>
          <w:rFonts w:ascii="Times New Roman" w:hAnsi="Times New Roman" w:cs="Times New Roman"/>
          <w:i/>
        </w:rPr>
        <w:t>Persistent</w:t>
      </w:r>
      <w:proofErr w:type="spellEnd"/>
      <w:r w:rsidRPr="00833C88">
        <w:rPr>
          <w:rFonts w:ascii="Times New Roman" w:hAnsi="Times New Roman" w:cs="Times New Roman"/>
          <w:i/>
        </w:rPr>
        <w:t xml:space="preserve"> </w:t>
      </w:r>
      <w:proofErr w:type="spellStart"/>
      <w:r w:rsidRPr="00833C88">
        <w:rPr>
          <w:rFonts w:ascii="Times New Roman" w:hAnsi="Times New Roman" w:cs="Times New Roman"/>
          <w:i/>
        </w:rPr>
        <w:t>Threat</w:t>
      </w:r>
      <w:proofErr w:type="spellEnd"/>
      <w:r w:rsidRPr="00833C88">
        <w:rPr>
          <w:rFonts w:ascii="Times New Roman" w:hAnsi="Times New Roman" w:cs="Times New Roman"/>
        </w:rPr>
        <w:t xml:space="preserve"> czy grupy przestępcze</w:t>
      </w:r>
      <w:r w:rsidRPr="00833C88">
        <w:rPr>
          <w:rStyle w:val="Odwoanieprzypisudolnego"/>
          <w:rFonts w:ascii="Times New Roman" w:hAnsi="Times New Roman" w:cs="Times New Roman"/>
        </w:rPr>
        <w:footnoteReference w:id="69"/>
      </w:r>
      <w:r w:rsidRPr="00833C88">
        <w:rPr>
          <w:rFonts w:ascii="Times New Roman" w:hAnsi="Times New Roman" w:cs="Times New Roman"/>
          <w:vertAlign w:val="superscript"/>
        </w:rPr>
        <w:t>)</w:t>
      </w:r>
      <w:r w:rsidRPr="00833C88">
        <w:rPr>
          <w:rFonts w:ascii="Times New Roman" w:hAnsi="Times New Roman" w:cs="Times New Roman"/>
        </w:rPr>
        <w:t>.</w:t>
      </w:r>
    </w:p>
    <w:p w14:paraId="569A6948" w14:textId="356FCD66" w:rsidR="007929D4" w:rsidRPr="00833C88" w:rsidRDefault="00601933" w:rsidP="00DC5015">
      <w:pPr>
        <w:pStyle w:val="ARTartustawynprozporzdzenia"/>
        <w:spacing w:before="0" w:after="120"/>
        <w:rPr>
          <w:rFonts w:ascii="Times New Roman" w:hAnsi="Times New Roman" w:cs="Times New Roman"/>
        </w:rPr>
      </w:pPr>
      <w:r w:rsidRPr="00833C88">
        <w:rPr>
          <w:rFonts w:ascii="Times New Roman" w:hAnsi="Times New Roman" w:cs="Times New Roman"/>
        </w:rPr>
        <w:t>Z </w:t>
      </w:r>
      <w:r w:rsidR="007929D4" w:rsidRPr="00833C88">
        <w:rPr>
          <w:rFonts w:ascii="Times New Roman" w:hAnsi="Times New Roman" w:cs="Times New Roman"/>
        </w:rPr>
        <w:t>wyżej wskazanych dokumentów wynika więc, że mogą istnieć dostawcy sprzętu lub oprogramowania, którzy poprzez dostarczany sprzęt lub oprogramowanie mogą zagrażać państwom członkowskim U</w:t>
      </w:r>
      <w:r w:rsidR="000D4C87" w:rsidRPr="00833C88">
        <w:rPr>
          <w:rFonts w:ascii="Times New Roman" w:hAnsi="Times New Roman" w:cs="Times New Roman"/>
        </w:rPr>
        <w:t>nii Europejskiej</w:t>
      </w:r>
      <w:r w:rsidR="007929D4" w:rsidRPr="00833C88">
        <w:rPr>
          <w:rFonts w:ascii="Times New Roman" w:hAnsi="Times New Roman" w:cs="Times New Roman"/>
        </w:rPr>
        <w:t xml:space="preserve">, </w:t>
      </w:r>
      <w:r w:rsidRPr="00833C88">
        <w:rPr>
          <w:rFonts w:ascii="Times New Roman" w:hAnsi="Times New Roman" w:cs="Times New Roman"/>
        </w:rPr>
        <w:t>w </w:t>
      </w:r>
      <w:r w:rsidR="007929D4" w:rsidRPr="00833C88">
        <w:rPr>
          <w:rFonts w:ascii="Times New Roman" w:hAnsi="Times New Roman" w:cs="Times New Roman"/>
        </w:rPr>
        <w:t xml:space="preserve">tym także Polsce. Przyjęło się określać takich dostawców jako „dostawców wysokiego ryzyka” (high </w:t>
      </w:r>
      <w:proofErr w:type="spellStart"/>
      <w:r w:rsidR="007929D4" w:rsidRPr="00833C88">
        <w:rPr>
          <w:rFonts w:ascii="Times New Roman" w:hAnsi="Times New Roman" w:cs="Times New Roman"/>
        </w:rPr>
        <w:t>risk</w:t>
      </w:r>
      <w:proofErr w:type="spellEnd"/>
      <w:r w:rsidR="007929D4" w:rsidRPr="00833C88">
        <w:rPr>
          <w:rFonts w:ascii="Times New Roman" w:hAnsi="Times New Roman" w:cs="Times New Roman"/>
        </w:rPr>
        <w:t xml:space="preserve"> </w:t>
      </w:r>
      <w:proofErr w:type="spellStart"/>
      <w:r w:rsidR="007929D4" w:rsidRPr="00833C88">
        <w:rPr>
          <w:rFonts w:ascii="Times New Roman" w:hAnsi="Times New Roman" w:cs="Times New Roman"/>
        </w:rPr>
        <w:t>vendors</w:t>
      </w:r>
      <w:proofErr w:type="spellEnd"/>
      <w:r w:rsidR="007929D4" w:rsidRPr="00833C88">
        <w:rPr>
          <w:rFonts w:ascii="Times New Roman" w:hAnsi="Times New Roman" w:cs="Times New Roman"/>
        </w:rPr>
        <w:t>).</w:t>
      </w:r>
    </w:p>
    <w:p w14:paraId="7CC5CBFD" w14:textId="77777777" w:rsidR="007929D4" w:rsidRPr="00833C88" w:rsidRDefault="007929D4" w:rsidP="00DC5015">
      <w:pPr>
        <w:pStyle w:val="ARTartustawynprozporzdzenia"/>
        <w:spacing w:before="0" w:after="120"/>
        <w:rPr>
          <w:rFonts w:ascii="Times New Roman" w:hAnsi="Times New Roman" w:cs="Times New Roman"/>
        </w:rPr>
      </w:pPr>
      <w:proofErr w:type="spellStart"/>
      <w:r w:rsidRPr="00833C88">
        <w:rPr>
          <w:rFonts w:ascii="Times New Roman" w:hAnsi="Times New Roman" w:cs="Times New Roman"/>
        </w:rPr>
        <w:t>Toolbox</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5G</w:t>
      </w:r>
      <w:proofErr w:type="spellEnd"/>
      <w:r w:rsidRPr="00833C88">
        <w:rPr>
          <w:rFonts w:ascii="Times New Roman" w:hAnsi="Times New Roman" w:cs="Times New Roman"/>
        </w:rPr>
        <w:t xml:space="preserve"> wskazuje środki strategiczne, które będą w stanie zmitygować ryzyka wskazane w Unijnej ocenie cyberbezpieczeństwa sieci 5G. Przede wszystkim </w:t>
      </w:r>
      <w:proofErr w:type="spellStart"/>
      <w:r w:rsidRPr="00833C88">
        <w:rPr>
          <w:rFonts w:ascii="Times New Roman" w:hAnsi="Times New Roman" w:cs="Times New Roman"/>
        </w:rPr>
        <w:t>Toolbox</w:t>
      </w:r>
      <w:proofErr w:type="spellEnd"/>
      <w:r w:rsidRPr="00833C88">
        <w:rPr>
          <w:rFonts w:ascii="Times New Roman" w:hAnsi="Times New Roman" w:cs="Times New Roman"/>
        </w:rPr>
        <w:t xml:space="preserve"> 5G zaleca środki strategiczne:</w:t>
      </w:r>
    </w:p>
    <w:p w14:paraId="4B2FAB23" w14:textId="218917E3" w:rsidR="007929D4" w:rsidRPr="00833C88" w:rsidRDefault="007929D4">
      <w:pPr>
        <w:pStyle w:val="ARTartustawynprozporzdzenia"/>
        <w:numPr>
          <w:ilvl w:val="0"/>
          <w:numId w:val="18"/>
        </w:numPr>
        <w:spacing w:before="0" w:after="120"/>
        <w:rPr>
          <w:rFonts w:ascii="Times New Roman" w:hAnsi="Times New Roman" w:cs="Times New Roman"/>
        </w:rPr>
      </w:pPr>
      <w:r w:rsidRPr="00833C88">
        <w:rPr>
          <w:rFonts w:ascii="Times New Roman" w:hAnsi="Times New Roman" w:cs="Times New Roman"/>
        </w:rPr>
        <w:t>SM01 – wzmocnienie roli władz krajowych – środek ten polega m.in.</w:t>
      </w:r>
      <w:r w:rsidR="002B5E29" w:rsidRPr="00833C88">
        <w:rPr>
          <w:rFonts w:ascii="Times New Roman" w:hAnsi="Times New Roman" w:cs="Times New Roman"/>
        </w:rPr>
        <w:t> </w:t>
      </w:r>
      <w:r w:rsidRPr="00833C88">
        <w:rPr>
          <w:rFonts w:ascii="Times New Roman" w:hAnsi="Times New Roman" w:cs="Times New Roman"/>
        </w:rPr>
        <w:t>na</w:t>
      </w:r>
      <w:r w:rsidR="002B5E29" w:rsidRPr="00833C88">
        <w:rPr>
          <w:rFonts w:ascii="Times New Roman" w:hAnsi="Times New Roman" w:cs="Times New Roman"/>
        </w:rPr>
        <w:t> </w:t>
      </w:r>
      <w:r w:rsidRPr="00833C88">
        <w:rPr>
          <w:rFonts w:ascii="Times New Roman" w:hAnsi="Times New Roman" w:cs="Times New Roman"/>
        </w:rPr>
        <w:t>wyposażeni</w:t>
      </w:r>
      <w:r w:rsidR="002B5E29" w:rsidRPr="00833C88">
        <w:rPr>
          <w:rFonts w:ascii="Times New Roman" w:hAnsi="Times New Roman" w:cs="Times New Roman"/>
        </w:rPr>
        <w:t>u</w:t>
      </w:r>
      <w:r w:rsidRPr="00833C88">
        <w:rPr>
          <w:rFonts w:ascii="Times New Roman" w:hAnsi="Times New Roman" w:cs="Times New Roman"/>
        </w:rPr>
        <w:t xml:space="preserve"> władz krajowych w kompetencje do zakazu, ograniczenia lub wprowadzenia wymagań </w:t>
      </w:r>
      <w:proofErr w:type="gramStart"/>
      <w:r w:rsidRPr="00833C88">
        <w:rPr>
          <w:rFonts w:ascii="Times New Roman" w:hAnsi="Times New Roman" w:cs="Times New Roman"/>
        </w:rPr>
        <w:t>odnośnie</w:t>
      </w:r>
      <w:proofErr w:type="gramEnd"/>
      <w:r w:rsidRPr="00833C88">
        <w:rPr>
          <w:rFonts w:ascii="Times New Roman" w:hAnsi="Times New Roman" w:cs="Times New Roman"/>
        </w:rPr>
        <w:t xml:space="preserve"> produktów dla sieci 5G, biorąc pod uwagę m.in.</w:t>
      </w:r>
      <w:r w:rsidR="002B5E29" w:rsidRPr="00833C88">
        <w:rPr>
          <w:rFonts w:ascii="Times New Roman" w:hAnsi="Times New Roman" w:cs="Times New Roman"/>
        </w:rPr>
        <w:t> </w:t>
      </w:r>
      <w:r w:rsidRPr="00833C88">
        <w:rPr>
          <w:rFonts w:ascii="Times New Roman" w:hAnsi="Times New Roman" w:cs="Times New Roman"/>
        </w:rPr>
        <w:t>bezpieczeństwo krytycznych (</w:t>
      </w:r>
      <w:proofErr w:type="spellStart"/>
      <w:r w:rsidRPr="00833C88">
        <w:rPr>
          <w:rFonts w:ascii="Times New Roman" w:hAnsi="Times New Roman" w:cs="Times New Roman"/>
        </w:rPr>
        <w:t>critical</w:t>
      </w:r>
      <w:proofErr w:type="spellEnd"/>
      <w:r w:rsidRPr="00833C88">
        <w:rPr>
          <w:rFonts w:ascii="Times New Roman" w:hAnsi="Times New Roman" w:cs="Times New Roman"/>
        </w:rPr>
        <w:t xml:space="preserve"> and </w:t>
      </w:r>
      <w:proofErr w:type="spellStart"/>
      <w:r w:rsidRPr="00833C88">
        <w:rPr>
          <w:rFonts w:ascii="Times New Roman" w:hAnsi="Times New Roman" w:cs="Times New Roman"/>
        </w:rPr>
        <w:t>sensitive</w:t>
      </w:r>
      <w:proofErr w:type="spellEnd"/>
      <w:r w:rsidRPr="00833C88">
        <w:rPr>
          <w:rFonts w:ascii="Times New Roman" w:hAnsi="Times New Roman" w:cs="Times New Roman"/>
        </w:rPr>
        <w:t>) części sieci 5G, ryzyka związane z wpływ</w:t>
      </w:r>
      <w:r w:rsidR="00295E7A" w:rsidRPr="00833C88">
        <w:rPr>
          <w:rFonts w:ascii="Times New Roman" w:hAnsi="Times New Roman" w:cs="Times New Roman"/>
        </w:rPr>
        <w:t>em</w:t>
      </w:r>
      <w:r w:rsidRPr="00833C88">
        <w:rPr>
          <w:rFonts w:ascii="Times New Roman" w:hAnsi="Times New Roman" w:cs="Times New Roman"/>
        </w:rPr>
        <w:t xml:space="preserve"> państw trzecich na łańcuchy dostaw 5G czy ryzyka dla bezpieczeństwa narodowego</w:t>
      </w:r>
      <w:r w:rsidR="0054258D" w:rsidRPr="00833C88">
        <w:rPr>
          <w:rFonts w:ascii="Times New Roman" w:hAnsi="Times New Roman" w:cs="Times New Roman"/>
        </w:rPr>
        <w:t>;</w:t>
      </w:r>
    </w:p>
    <w:p w14:paraId="7EC52BDD" w14:textId="2B827937" w:rsidR="007929D4" w:rsidRPr="00833C88" w:rsidRDefault="007929D4">
      <w:pPr>
        <w:pStyle w:val="ARTartustawynprozporzdzenia"/>
        <w:numPr>
          <w:ilvl w:val="0"/>
          <w:numId w:val="18"/>
        </w:numPr>
        <w:spacing w:before="0" w:after="120"/>
        <w:rPr>
          <w:rFonts w:ascii="Times New Roman" w:hAnsi="Times New Roman" w:cs="Times New Roman"/>
        </w:rPr>
      </w:pPr>
      <w:r w:rsidRPr="00833C88">
        <w:rPr>
          <w:rFonts w:ascii="Times New Roman" w:hAnsi="Times New Roman" w:cs="Times New Roman"/>
        </w:rPr>
        <w:t>SM03 – ocena ryzyka dostawców – przeprowadzenie rygorystycznej oceny ryzyka dostawców</w:t>
      </w:r>
      <w:r w:rsidR="00295E7A" w:rsidRPr="00833C88">
        <w:rPr>
          <w:rFonts w:ascii="Times New Roman" w:hAnsi="Times New Roman" w:cs="Times New Roman"/>
        </w:rPr>
        <w:t>,</w:t>
      </w:r>
      <w:r w:rsidRPr="00833C88">
        <w:rPr>
          <w:rFonts w:ascii="Times New Roman" w:hAnsi="Times New Roman" w:cs="Times New Roman"/>
        </w:rPr>
        <w:t xml:space="preserve"> a następnie wprowadzenie niezbędnych </w:t>
      </w:r>
      <w:proofErr w:type="spellStart"/>
      <w:r w:rsidRPr="00833C88">
        <w:rPr>
          <w:rFonts w:ascii="Times New Roman" w:hAnsi="Times New Roman" w:cs="Times New Roman"/>
        </w:rPr>
        <w:t>wyłączeń</w:t>
      </w:r>
      <w:proofErr w:type="spellEnd"/>
      <w:r w:rsidRPr="00833C88">
        <w:rPr>
          <w:rFonts w:ascii="Times New Roman" w:hAnsi="Times New Roman" w:cs="Times New Roman"/>
        </w:rPr>
        <w:t xml:space="preserve"> w krytycznych zasobach.</w:t>
      </w:r>
    </w:p>
    <w:p w14:paraId="6D30A86E" w14:textId="37FF0A21" w:rsidR="007929D4" w:rsidRPr="00833C88" w:rsidRDefault="00601933" w:rsidP="00DC5015">
      <w:pPr>
        <w:pStyle w:val="ARTartustawynprozporzdzenia"/>
        <w:spacing w:before="0" w:after="120"/>
        <w:rPr>
          <w:rFonts w:ascii="Times New Roman" w:hAnsi="Times New Roman" w:cs="Times New Roman"/>
        </w:rPr>
      </w:pPr>
      <w:r w:rsidRPr="00833C88">
        <w:rPr>
          <w:rFonts w:ascii="Times New Roman" w:hAnsi="Times New Roman" w:cs="Times New Roman"/>
        </w:rPr>
        <w:lastRenderedPageBreak/>
        <w:t>W </w:t>
      </w:r>
      <w:r w:rsidR="007929D4" w:rsidRPr="00833C88">
        <w:rPr>
          <w:rFonts w:ascii="Times New Roman" w:hAnsi="Times New Roman" w:cs="Times New Roman"/>
        </w:rPr>
        <w:t xml:space="preserve">swoim komunikacie </w:t>
      </w:r>
      <w:r w:rsidRPr="00833C88">
        <w:rPr>
          <w:rFonts w:ascii="Times New Roman" w:hAnsi="Times New Roman" w:cs="Times New Roman"/>
        </w:rPr>
        <w:t>z</w:t>
      </w:r>
      <w:r w:rsidR="004200A6">
        <w:rPr>
          <w:rFonts w:ascii="Times New Roman" w:hAnsi="Times New Roman" w:cs="Times New Roman"/>
        </w:rPr>
        <w:t xml:space="preserve"> dnia </w:t>
      </w:r>
      <w:r w:rsidR="007929D4" w:rsidRPr="00833C88">
        <w:rPr>
          <w:rFonts w:ascii="Times New Roman" w:hAnsi="Times New Roman" w:cs="Times New Roman"/>
        </w:rPr>
        <w:t>29 stycznia 2020</w:t>
      </w:r>
      <w:r w:rsidR="00977B95" w:rsidRPr="00833C88">
        <w:rPr>
          <w:rFonts w:ascii="Times New Roman" w:hAnsi="Times New Roman" w:cs="Times New Roman"/>
        </w:rPr>
        <w:t xml:space="preserve"> r.</w:t>
      </w:r>
      <w:r w:rsidR="007929D4" w:rsidRPr="00833C88">
        <w:rPr>
          <w:rFonts w:ascii="Times New Roman" w:hAnsi="Times New Roman" w:cs="Times New Roman"/>
        </w:rPr>
        <w:t xml:space="preserve"> Komisja Europejska potwierdziła, że </w:t>
      </w:r>
      <w:r w:rsidR="006F3CE6" w:rsidRPr="00833C88">
        <w:rPr>
          <w:rFonts w:ascii="Times New Roman" w:hAnsi="Times New Roman" w:cs="Times New Roman"/>
        </w:rPr>
        <w:t>„</w:t>
      </w:r>
      <w:r w:rsidR="007929D4" w:rsidRPr="00833C88">
        <w:rPr>
          <w:rFonts w:ascii="Times New Roman" w:hAnsi="Times New Roman" w:cs="Times New Roman"/>
        </w:rPr>
        <w:t>państwa członkowskie zgodziły się co do konieczności oceny profilu ryzyka poszczególnych dostawców i</w:t>
      </w:r>
      <w:r w:rsidR="002B5E29" w:rsidRPr="00833C88">
        <w:rPr>
          <w:rFonts w:ascii="Times New Roman" w:hAnsi="Times New Roman" w:cs="Times New Roman"/>
        </w:rPr>
        <w:t> </w:t>
      </w:r>
      <w:r w:rsidR="007929D4" w:rsidRPr="00833C88">
        <w:rPr>
          <w:rFonts w:ascii="Times New Roman" w:hAnsi="Times New Roman" w:cs="Times New Roman"/>
        </w:rPr>
        <w:t>w</w:t>
      </w:r>
      <w:r w:rsidR="002B5E29" w:rsidRPr="00833C88">
        <w:rPr>
          <w:rFonts w:ascii="Times New Roman" w:hAnsi="Times New Roman" w:cs="Times New Roman"/>
        </w:rPr>
        <w:t> </w:t>
      </w:r>
      <w:r w:rsidR="007929D4" w:rsidRPr="00833C88">
        <w:rPr>
          <w:rFonts w:ascii="Times New Roman" w:hAnsi="Times New Roman" w:cs="Times New Roman"/>
        </w:rPr>
        <w:t>konsekwencji stosowania odpowiednich ograniczeń wobec dostawców uznanych za</w:t>
      </w:r>
      <w:r w:rsidR="002B5E29" w:rsidRPr="00833C88">
        <w:rPr>
          <w:rFonts w:ascii="Times New Roman" w:hAnsi="Times New Roman" w:cs="Times New Roman"/>
        </w:rPr>
        <w:t> </w:t>
      </w:r>
      <w:r w:rsidR="007929D4" w:rsidRPr="00833C88">
        <w:rPr>
          <w:rFonts w:ascii="Times New Roman" w:hAnsi="Times New Roman" w:cs="Times New Roman"/>
        </w:rPr>
        <w:t xml:space="preserve">stwarzających wysokie ryzyko, </w:t>
      </w:r>
      <w:r w:rsidRPr="00833C88">
        <w:rPr>
          <w:rFonts w:ascii="Times New Roman" w:hAnsi="Times New Roman" w:cs="Times New Roman"/>
        </w:rPr>
        <w:t>w </w:t>
      </w:r>
      <w:r w:rsidR="007929D4" w:rsidRPr="00833C88">
        <w:rPr>
          <w:rFonts w:ascii="Times New Roman" w:hAnsi="Times New Roman" w:cs="Times New Roman"/>
        </w:rPr>
        <w:t xml:space="preserve">tym niezbędnych </w:t>
      </w:r>
      <w:proofErr w:type="spellStart"/>
      <w:r w:rsidR="007929D4" w:rsidRPr="00833C88">
        <w:rPr>
          <w:rFonts w:ascii="Times New Roman" w:hAnsi="Times New Roman" w:cs="Times New Roman"/>
        </w:rPr>
        <w:t>wyłączeń</w:t>
      </w:r>
      <w:proofErr w:type="spellEnd"/>
      <w:r w:rsidR="007929D4" w:rsidRPr="00833C88">
        <w:rPr>
          <w:rFonts w:ascii="Times New Roman" w:hAnsi="Times New Roman" w:cs="Times New Roman"/>
        </w:rPr>
        <w:t xml:space="preserve">, aby skutecznie łagodzić ryzyko </w:t>
      </w:r>
      <w:r w:rsidRPr="00833C88">
        <w:rPr>
          <w:rFonts w:ascii="Times New Roman" w:hAnsi="Times New Roman" w:cs="Times New Roman"/>
        </w:rPr>
        <w:t>w </w:t>
      </w:r>
      <w:r w:rsidR="007929D4" w:rsidRPr="00833C88">
        <w:rPr>
          <w:rFonts w:ascii="Times New Roman" w:hAnsi="Times New Roman" w:cs="Times New Roman"/>
        </w:rPr>
        <w:t xml:space="preserve">odniesieniu do kluczowych aktywów, jak wskazano </w:t>
      </w:r>
      <w:r w:rsidRPr="00833C88">
        <w:rPr>
          <w:rFonts w:ascii="Times New Roman" w:hAnsi="Times New Roman" w:cs="Times New Roman"/>
        </w:rPr>
        <w:t>w </w:t>
      </w:r>
      <w:r w:rsidR="007929D4" w:rsidRPr="00833C88">
        <w:rPr>
          <w:rFonts w:ascii="Times New Roman" w:hAnsi="Times New Roman" w:cs="Times New Roman"/>
        </w:rPr>
        <w:t>zestawie narzędzi</w:t>
      </w:r>
      <w:r w:rsidR="006F3CE6" w:rsidRPr="00833C88">
        <w:rPr>
          <w:rFonts w:ascii="Times New Roman" w:hAnsi="Times New Roman" w:cs="Times New Roman"/>
        </w:rPr>
        <w:t>”</w:t>
      </w:r>
      <w:r w:rsidR="007929D4" w:rsidRPr="00833C88">
        <w:rPr>
          <w:rStyle w:val="Odwoanieprzypisudolnego"/>
          <w:rFonts w:ascii="Times New Roman" w:hAnsi="Times New Roman" w:cs="Times New Roman"/>
        </w:rPr>
        <w:footnoteReference w:id="70"/>
      </w:r>
      <w:r w:rsidR="007929D4" w:rsidRPr="00833C88">
        <w:rPr>
          <w:rFonts w:ascii="Times New Roman" w:hAnsi="Times New Roman" w:cs="Times New Roman"/>
          <w:vertAlign w:val="superscript"/>
        </w:rPr>
        <w:t>)</w:t>
      </w:r>
      <w:r w:rsidR="007929D4" w:rsidRPr="00833C88">
        <w:rPr>
          <w:rFonts w:ascii="Times New Roman" w:hAnsi="Times New Roman" w:cs="Times New Roman"/>
        </w:rPr>
        <w:t>.</w:t>
      </w:r>
    </w:p>
    <w:p w14:paraId="7EBA7A92" w14:textId="77777777"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Biorąc pod uwagę powyższe stanowisko unijne zasadne jest wprowadzenie procedury umożliwiającej zbadanie </w:t>
      </w:r>
      <w:proofErr w:type="spellStart"/>
      <w:r w:rsidRPr="00833C88">
        <w:rPr>
          <w:rFonts w:ascii="Times New Roman" w:hAnsi="Times New Roman" w:cs="Times New Roman"/>
        </w:rPr>
        <w:t>ryzyk</w:t>
      </w:r>
      <w:proofErr w:type="spellEnd"/>
      <w:r w:rsidRPr="00833C88">
        <w:rPr>
          <w:rFonts w:ascii="Times New Roman" w:hAnsi="Times New Roman" w:cs="Times New Roman"/>
        </w:rPr>
        <w:t xml:space="preserve"> związanych z danym dostawcą sprzętu lub oprogramowania. W przypadku, gdyby ryzyka dla bezpieczeństwa państwa okazały się zbyt wysokie, taki dostawca powinien być uznany za stwarzający wysokie ryzyko. </w:t>
      </w:r>
    </w:p>
    <w:p w14:paraId="52FD218F" w14:textId="776DEA6B" w:rsidR="007929D4" w:rsidRPr="00833C88" w:rsidRDefault="00601933"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W </w:t>
      </w:r>
      <w:r w:rsidR="007929D4" w:rsidRPr="00833C88">
        <w:rPr>
          <w:rFonts w:ascii="Times New Roman" w:hAnsi="Times New Roman" w:cs="Times New Roman"/>
        </w:rPr>
        <w:t>przepisach nowelizacji została dodana kompetencja ministra właściwego do spraw informatyzacji do przeprowadzenia postępowania w sprawie uznania dostawcy sprzętu lub oprogramowania za dostawcę wysokiego ryzyka. Postępowanie to będzie prowadzone w celu ochrony ważnych interesów państwowych w postaci bezpieczeństwa państwa lub bezpieczeństwa i porządku publicznego. Tak jak wyżej wspomniano kwestia cyberbezpieczeństwa sieci 5G jest kwestią strategiczną dla Unii Europejskiej z uwagi na</w:t>
      </w:r>
      <w:r w:rsidR="002B5E29" w:rsidRPr="00833C88">
        <w:rPr>
          <w:rFonts w:ascii="Times New Roman" w:hAnsi="Times New Roman" w:cs="Times New Roman"/>
        </w:rPr>
        <w:t> </w:t>
      </w:r>
      <w:r w:rsidR="007929D4" w:rsidRPr="00833C88">
        <w:rPr>
          <w:rFonts w:ascii="Times New Roman" w:hAnsi="Times New Roman" w:cs="Times New Roman"/>
        </w:rPr>
        <w:t>współzależności pomiędzy sieciami telekomunikacyjnymi państw członkowskich U</w:t>
      </w:r>
      <w:r w:rsidR="00AD6CCD" w:rsidRPr="00833C88">
        <w:rPr>
          <w:rFonts w:ascii="Times New Roman" w:hAnsi="Times New Roman" w:cs="Times New Roman"/>
        </w:rPr>
        <w:t>nii Europejskiej</w:t>
      </w:r>
      <w:r w:rsidR="007929D4" w:rsidRPr="00833C88">
        <w:rPr>
          <w:rFonts w:ascii="Times New Roman" w:hAnsi="Times New Roman" w:cs="Times New Roman"/>
        </w:rPr>
        <w:t>. Ze</w:t>
      </w:r>
      <w:r w:rsidR="002B5E29" w:rsidRPr="00833C88">
        <w:rPr>
          <w:rFonts w:ascii="Times New Roman" w:hAnsi="Times New Roman" w:cs="Times New Roman"/>
        </w:rPr>
        <w:t> </w:t>
      </w:r>
      <w:r w:rsidR="007929D4" w:rsidRPr="00833C88">
        <w:rPr>
          <w:rFonts w:ascii="Times New Roman" w:hAnsi="Times New Roman" w:cs="Times New Roman"/>
        </w:rPr>
        <w:t>względu na potencjalne szkody, które może przynieść zakłócenie funkcjonowania tych sieci jest to również materia dotycząca bezpieczeństwa państwa. Jednakże przepis nie zamyka się wyłącznie do sieci 5G. Postępowaniu będzie mógł być poddany dostawca produktów, usług i procesów ICT nie tylko dla sieci 5G, ale również dla</w:t>
      </w:r>
      <w:r w:rsidR="001A275A" w:rsidRPr="00833C88">
        <w:rPr>
          <w:rFonts w:ascii="Times New Roman" w:hAnsi="Times New Roman" w:cs="Times New Roman"/>
        </w:rPr>
        <w:t> </w:t>
      </w:r>
      <w:r w:rsidR="007929D4" w:rsidRPr="00833C88">
        <w:rPr>
          <w:rFonts w:ascii="Times New Roman" w:hAnsi="Times New Roman" w:cs="Times New Roman"/>
        </w:rPr>
        <w:t>innych systemów informacyjnych – jeżeli będzie spełniona przesłanka zapewnienia ochrony bezpieczeństwa państwa.</w:t>
      </w:r>
    </w:p>
    <w:p w14:paraId="53FD41CA" w14:textId="5D08DF36" w:rsidR="007929D4" w:rsidRPr="00833C88" w:rsidRDefault="00C01236" w:rsidP="00DC5015">
      <w:pPr>
        <w:pStyle w:val="NIEARTTEKSTtekstnieartykuowanynppodstprawnarozplubpreambua"/>
        <w:keepNext/>
        <w:spacing w:before="0" w:after="120"/>
        <w:rPr>
          <w:rFonts w:ascii="Times New Roman" w:hAnsi="Times New Roman" w:cs="Times New Roman"/>
        </w:rPr>
      </w:pPr>
      <w:r w:rsidRPr="00833C88">
        <w:rPr>
          <w:rFonts w:ascii="Times New Roman" w:hAnsi="Times New Roman" w:cs="Times New Roman"/>
        </w:rPr>
        <w:t>D</w:t>
      </w:r>
      <w:r w:rsidR="007929D4" w:rsidRPr="00833C88">
        <w:rPr>
          <w:rFonts w:ascii="Times New Roman" w:hAnsi="Times New Roman" w:cs="Times New Roman"/>
        </w:rPr>
        <w:t>ostawcą sprzętu lub oprogramowania jest dostawca produktów ICT, usług ICT lub procesów ICT</w:t>
      </w:r>
      <w:r w:rsidR="007929D4" w:rsidRPr="00833C88">
        <w:rPr>
          <w:rStyle w:val="Odwoanieprzypisudolnego"/>
          <w:rFonts w:ascii="Times New Roman" w:hAnsi="Times New Roman" w:cs="Times New Roman"/>
        </w:rPr>
        <w:footnoteReference w:id="71"/>
      </w:r>
      <w:r w:rsidR="007929D4" w:rsidRPr="00833C88">
        <w:rPr>
          <w:rFonts w:ascii="Times New Roman" w:hAnsi="Times New Roman" w:cs="Times New Roman"/>
          <w:vertAlign w:val="superscript"/>
        </w:rPr>
        <w:t>)</w:t>
      </w:r>
      <w:r w:rsidR="007929D4" w:rsidRPr="00833C88">
        <w:rPr>
          <w:rFonts w:ascii="Times New Roman" w:hAnsi="Times New Roman" w:cs="Times New Roman"/>
        </w:rPr>
        <w:t>. Zgodnie z definicją dostawcy może to być producent, importer, dystrybutor. Dzięki temu postępowaniem będą mogły być objęte wszystkie podmioty kluczowe w łańcuchu dostaw. Postępowanie nie będzie dotyczyło wszystkich produktów</w:t>
      </w:r>
      <w:r w:rsidR="00C04EE7" w:rsidRPr="00833C88">
        <w:rPr>
          <w:rFonts w:ascii="Times New Roman" w:hAnsi="Times New Roman" w:cs="Times New Roman"/>
        </w:rPr>
        <w:t xml:space="preserve"> ICT</w:t>
      </w:r>
      <w:r w:rsidR="007929D4" w:rsidRPr="00833C88">
        <w:rPr>
          <w:rFonts w:ascii="Times New Roman" w:hAnsi="Times New Roman" w:cs="Times New Roman"/>
        </w:rPr>
        <w:t xml:space="preserve">, usług </w:t>
      </w:r>
      <w:r w:rsidR="00C04EE7" w:rsidRPr="00833C88">
        <w:rPr>
          <w:rFonts w:ascii="Times New Roman" w:hAnsi="Times New Roman" w:cs="Times New Roman"/>
        </w:rPr>
        <w:t xml:space="preserve">ICT </w:t>
      </w:r>
      <w:r w:rsidR="007929D4" w:rsidRPr="00833C88">
        <w:rPr>
          <w:rFonts w:ascii="Times New Roman" w:hAnsi="Times New Roman" w:cs="Times New Roman"/>
        </w:rPr>
        <w:t xml:space="preserve">i procesów </w:t>
      </w:r>
      <w:r w:rsidR="007929D4" w:rsidRPr="00833C88">
        <w:rPr>
          <w:rFonts w:ascii="Times New Roman" w:hAnsi="Times New Roman" w:cs="Times New Roman"/>
        </w:rPr>
        <w:lastRenderedPageBreak/>
        <w:t xml:space="preserve">ICT pochodzących od konkretnego dostawcy sprzętu lub oprogramowania, lecz tylko tych, które są wykorzystywane przez podmioty kluczowe </w:t>
      </w:r>
      <w:r w:rsidR="00601933" w:rsidRPr="00833C88">
        <w:rPr>
          <w:rFonts w:ascii="Times New Roman" w:hAnsi="Times New Roman" w:cs="Times New Roman"/>
        </w:rPr>
        <w:t>i </w:t>
      </w:r>
      <w:r w:rsidR="007929D4" w:rsidRPr="00833C88">
        <w:rPr>
          <w:rFonts w:ascii="Times New Roman" w:hAnsi="Times New Roman" w:cs="Times New Roman"/>
        </w:rPr>
        <w:t>podmioty ważne</w:t>
      </w:r>
      <w:r w:rsidR="0078547B" w:rsidRPr="00833C88">
        <w:rPr>
          <w:rFonts w:ascii="Times New Roman" w:hAnsi="Times New Roman" w:cs="Times New Roman"/>
        </w:rPr>
        <w:t xml:space="preserve"> </w:t>
      </w:r>
      <w:r w:rsidR="00601933" w:rsidRPr="00833C88">
        <w:rPr>
          <w:rFonts w:ascii="Times New Roman" w:hAnsi="Times New Roman" w:cs="Times New Roman"/>
        </w:rPr>
        <w:t>z </w:t>
      </w:r>
      <w:r w:rsidR="0078547B" w:rsidRPr="00833C88">
        <w:rPr>
          <w:rFonts w:ascii="Times New Roman" w:hAnsi="Times New Roman" w:cs="Times New Roman"/>
        </w:rPr>
        <w:t>wyłączeniem podsektora komunikacji elektronicznej</w:t>
      </w:r>
      <w:r w:rsidR="00482264" w:rsidRPr="00833C88">
        <w:rPr>
          <w:rFonts w:ascii="Times New Roman" w:hAnsi="Times New Roman" w:cs="Times New Roman"/>
        </w:rPr>
        <w:t xml:space="preserve"> </w:t>
      </w:r>
      <w:r w:rsidR="00936621" w:rsidRPr="00833C88">
        <w:rPr>
          <w:rFonts w:ascii="Times New Roman" w:hAnsi="Times New Roman" w:cs="Times New Roman"/>
        </w:rPr>
        <w:t xml:space="preserve">lub </w:t>
      </w:r>
      <w:r w:rsidR="0078547B" w:rsidRPr="00833C88">
        <w:rPr>
          <w:rFonts w:ascii="Times New Roman" w:hAnsi="Times New Roman" w:cs="Times New Roman"/>
        </w:rPr>
        <w:t xml:space="preserve">przedsiębiorców </w:t>
      </w:r>
      <w:r w:rsidR="00F54F9F" w:rsidRPr="00833C88">
        <w:rPr>
          <w:rFonts w:ascii="Times New Roman" w:hAnsi="Times New Roman" w:cs="Times New Roman"/>
        </w:rPr>
        <w:t>komunikacji elektronicznej</w:t>
      </w:r>
      <w:r w:rsidR="0078547B" w:rsidRPr="00833C88">
        <w:rPr>
          <w:rFonts w:ascii="Times New Roman" w:hAnsi="Times New Roman" w:cs="Times New Roman"/>
        </w:rPr>
        <w:t xml:space="preserve">, których roczne przychody </w:t>
      </w:r>
      <w:r w:rsidR="00601933" w:rsidRPr="00833C88">
        <w:rPr>
          <w:rFonts w:ascii="Times New Roman" w:hAnsi="Times New Roman" w:cs="Times New Roman"/>
        </w:rPr>
        <w:t>z </w:t>
      </w:r>
      <w:r w:rsidR="0078547B" w:rsidRPr="00833C88">
        <w:rPr>
          <w:rFonts w:ascii="Times New Roman" w:hAnsi="Times New Roman" w:cs="Times New Roman"/>
        </w:rPr>
        <w:t>tytułu wykonywania działalności telekomunikacyjnej w</w:t>
      </w:r>
      <w:r w:rsidR="00AD6CCD" w:rsidRPr="00833C88">
        <w:rPr>
          <w:rFonts w:ascii="Times New Roman" w:hAnsi="Times New Roman" w:cs="Times New Roman"/>
        </w:rPr>
        <w:t> </w:t>
      </w:r>
      <w:r w:rsidR="0078547B" w:rsidRPr="00833C88">
        <w:rPr>
          <w:rFonts w:ascii="Times New Roman" w:hAnsi="Times New Roman" w:cs="Times New Roman"/>
        </w:rPr>
        <w:t>poprzednim roku obrotowym były wyższe od kwoty 10 milionów złotych.</w:t>
      </w:r>
    </w:p>
    <w:p w14:paraId="35D1D03B" w14:textId="0100BAF9"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Podmioty te są szczególnie ważne dla zapewnienia bezpieczeństwa państwa, dlatego konieczne jest, żeby korzystały z bezpiecznego sprzętu lub oprogramowania w trakcie świadczenia usług na rzecz państwa i obywateli.</w:t>
      </w:r>
    </w:p>
    <w:p w14:paraId="4D2E25D9" w14:textId="3659CD37"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Do postępowania w sprawie uznania dostawcy za dostawcę wysokiego ryzyka będą miały zastosowanie przepisy </w:t>
      </w:r>
      <w:r w:rsidR="002B5E29" w:rsidRPr="00833C88">
        <w:rPr>
          <w:rFonts w:ascii="Times New Roman" w:hAnsi="Times New Roman" w:cs="Times New Roman"/>
        </w:rPr>
        <w:t xml:space="preserve">ustawy </w:t>
      </w:r>
      <w:r w:rsidR="00601933" w:rsidRPr="00833C88">
        <w:rPr>
          <w:rFonts w:ascii="Times New Roman" w:hAnsi="Times New Roman" w:cs="Times New Roman"/>
        </w:rPr>
        <w:t>z </w:t>
      </w:r>
      <w:r w:rsidR="002B5E29" w:rsidRPr="00833C88">
        <w:rPr>
          <w:rFonts w:ascii="Times New Roman" w:hAnsi="Times New Roman" w:cs="Times New Roman"/>
        </w:rPr>
        <w:t xml:space="preserve">dnia 14 czerwca 1960 r. </w:t>
      </w:r>
      <w:r w:rsidRPr="00833C88">
        <w:rPr>
          <w:rFonts w:ascii="Times New Roman" w:hAnsi="Times New Roman" w:cs="Times New Roman"/>
        </w:rPr>
        <w:t>Kpa. Dzięki temu dostawca sprzętu lub oprogramowania będzie brał udział w postępowaniu na prawach strony, z odmiennościami wynikających ze szczególnych regulacji wynikających z przepisów nowelizacji. W postępowaniu nie będą stosowane następując</w:t>
      </w:r>
      <w:r w:rsidR="006F3CE6" w:rsidRPr="00833C88">
        <w:rPr>
          <w:rFonts w:ascii="Times New Roman" w:hAnsi="Times New Roman" w:cs="Times New Roman"/>
        </w:rPr>
        <w:t>e</w:t>
      </w:r>
      <w:r w:rsidRPr="00833C88">
        <w:rPr>
          <w:rFonts w:ascii="Times New Roman" w:hAnsi="Times New Roman" w:cs="Times New Roman"/>
        </w:rPr>
        <w:t xml:space="preserve"> </w:t>
      </w:r>
      <w:r w:rsidR="002B5E29" w:rsidRPr="00833C88">
        <w:rPr>
          <w:rFonts w:ascii="Times New Roman" w:hAnsi="Times New Roman" w:cs="Times New Roman"/>
        </w:rPr>
        <w:t>przepis</w:t>
      </w:r>
      <w:r w:rsidR="006F3CE6" w:rsidRPr="00833C88">
        <w:rPr>
          <w:rFonts w:ascii="Times New Roman" w:hAnsi="Times New Roman" w:cs="Times New Roman"/>
        </w:rPr>
        <w:t>y</w:t>
      </w:r>
      <w:r w:rsidRPr="00833C88">
        <w:rPr>
          <w:rFonts w:ascii="Times New Roman" w:hAnsi="Times New Roman" w:cs="Times New Roman"/>
        </w:rPr>
        <w:t xml:space="preserve"> Kpa:</w:t>
      </w:r>
    </w:p>
    <w:p w14:paraId="7E6EDB6E" w14:textId="195D226D" w:rsidR="007929D4" w:rsidRPr="00833C88" w:rsidRDefault="002B5E29">
      <w:pPr>
        <w:pStyle w:val="NIEARTTEKSTtekstnieartykuowanynppodstprawnarozplubpreambua"/>
        <w:numPr>
          <w:ilvl w:val="0"/>
          <w:numId w:val="19"/>
        </w:numPr>
        <w:spacing w:before="0" w:after="120"/>
        <w:rPr>
          <w:rFonts w:ascii="Times New Roman" w:hAnsi="Times New Roman" w:cs="Times New Roman"/>
        </w:rPr>
      </w:pPr>
      <w:r w:rsidRPr="00833C88">
        <w:rPr>
          <w:rFonts w:ascii="Times New Roman" w:hAnsi="Times New Roman" w:cs="Times New Roman"/>
        </w:rPr>
        <w:t>a</w:t>
      </w:r>
      <w:r w:rsidR="007929D4" w:rsidRPr="00833C88">
        <w:rPr>
          <w:rFonts w:ascii="Times New Roman" w:hAnsi="Times New Roman" w:cs="Times New Roman"/>
        </w:rPr>
        <w:t>rt. 28 – projekt wprowadza wyjątek, że w tym szczególnym postępowaniu stroną postępowania jest każdy wobec kogo zostało wszczęte postępowanie w sprawie uznania za dostawcę wysokiego ryzyka</w:t>
      </w:r>
      <w:r w:rsidRPr="00833C88">
        <w:rPr>
          <w:rFonts w:ascii="Times New Roman" w:hAnsi="Times New Roman" w:cs="Times New Roman"/>
        </w:rPr>
        <w:t>;</w:t>
      </w:r>
    </w:p>
    <w:p w14:paraId="7DE516D9" w14:textId="24FE61F4" w:rsidR="007929D4" w:rsidRPr="00833C88" w:rsidRDefault="002B5E29">
      <w:pPr>
        <w:pStyle w:val="NIEARTTEKSTtekstnieartykuowanynppodstprawnarozplubpreambua"/>
        <w:numPr>
          <w:ilvl w:val="0"/>
          <w:numId w:val="19"/>
        </w:numPr>
        <w:spacing w:before="0" w:after="120"/>
        <w:rPr>
          <w:rFonts w:ascii="Times New Roman" w:hAnsi="Times New Roman" w:cs="Times New Roman"/>
        </w:rPr>
      </w:pPr>
      <w:r w:rsidRPr="00833C88">
        <w:rPr>
          <w:rFonts w:ascii="Times New Roman" w:hAnsi="Times New Roman" w:cs="Times New Roman"/>
        </w:rPr>
        <w:t>a</w:t>
      </w:r>
      <w:r w:rsidR="007929D4" w:rsidRPr="00833C88">
        <w:rPr>
          <w:rFonts w:ascii="Times New Roman" w:hAnsi="Times New Roman" w:cs="Times New Roman"/>
        </w:rPr>
        <w:t>rt. 31 – wyłącza się udział organizacji społecznej w postępowaniu;</w:t>
      </w:r>
    </w:p>
    <w:p w14:paraId="58AA87D4" w14:textId="4E008383" w:rsidR="007929D4" w:rsidRPr="00833C88" w:rsidRDefault="002B5E29">
      <w:pPr>
        <w:pStyle w:val="NIEARTTEKSTtekstnieartykuowanynppodstprawnarozplubpreambua"/>
        <w:numPr>
          <w:ilvl w:val="0"/>
          <w:numId w:val="19"/>
        </w:numPr>
        <w:spacing w:before="0" w:after="120"/>
        <w:rPr>
          <w:rFonts w:ascii="Times New Roman" w:hAnsi="Times New Roman" w:cs="Times New Roman"/>
        </w:rPr>
      </w:pPr>
      <w:r w:rsidRPr="00833C88">
        <w:rPr>
          <w:rFonts w:ascii="Times New Roman" w:hAnsi="Times New Roman" w:cs="Times New Roman"/>
        </w:rPr>
        <w:t>a</w:t>
      </w:r>
      <w:r w:rsidR="007929D4" w:rsidRPr="00833C88">
        <w:rPr>
          <w:rFonts w:ascii="Times New Roman" w:hAnsi="Times New Roman" w:cs="Times New Roman"/>
        </w:rPr>
        <w:t>rt. 51 – wyłącza się przepis, który zawęża osobiste stawiennictwo do obrębu gminy lub miasta, w którym zamieszkuje albo przebywa osoba, jak również sąsiedniej gminy albo miasta;</w:t>
      </w:r>
    </w:p>
    <w:p w14:paraId="2129B9BE" w14:textId="04C22970" w:rsidR="007929D4" w:rsidRPr="00833C88" w:rsidRDefault="002B5E29">
      <w:pPr>
        <w:pStyle w:val="NIEARTTEKSTtekstnieartykuowanynppodstprawnarozplubpreambua"/>
        <w:numPr>
          <w:ilvl w:val="0"/>
          <w:numId w:val="19"/>
        </w:numPr>
        <w:spacing w:before="0" w:after="120"/>
        <w:rPr>
          <w:rFonts w:ascii="Times New Roman" w:hAnsi="Times New Roman" w:cs="Times New Roman"/>
        </w:rPr>
      </w:pPr>
      <w:r w:rsidRPr="00833C88">
        <w:rPr>
          <w:rFonts w:ascii="Times New Roman" w:hAnsi="Times New Roman" w:cs="Times New Roman"/>
        </w:rPr>
        <w:t>a</w:t>
      </w:r>
      <w:r w:rsidR="007929D4" w:rsidRPr="00833C88">
        <w:rPr>
          <w:rFonts w:ascii="Times New Roman" w:hAnsi="Times New Roman" w:cs="Times New Roman"/>
        </w:rPr>
        <w:t>rt. 66a – wyłącza się przepis dotyczący prowadzenia metryki sprawy;</w:t>
      </w:r>
    </w:p>
    <w:p w14:paraId="58C76CD0" w14:textId="27BC4FEE" w:rsidR="007929D4" w:rsidRPr="00833C88" w:rsidRDefault="002B5E29">
      <w:pPr>
        <w:pStyle w:val="NIEARTTEKSTtekstnieartykuowanynppodstprawnarozplubpreambua"/>
        <w:numPr>
          <w:ilvl w:val="0"/>
          <w:numId w:val="19"/>
        </w:numPr>
        <w:spacing w:before="0" w:after="120"/>
        <w:rPr>
          <w:rFonts w:ascii="Times New Roman" w:hAnsi="Times New Roman" w:cs="Times New Roman"/>
        </w:rPr>
      </w:pPr>
      <w:r w:rsidRPr="00833C88">
        <w:rPr>
          <w:rFonts w:ascii="Times New Roman" w:hAnsi="Times New Roman" w:cs="Times New Roman"/>
        </w:rPr>
        <w:t>a</w:t>
      </w:r>
      <w:r w:rsidR="007929D4" w:rsidRPr="00833C88">
        <w:rPr>
          <w:rFonts w:ascii="Times New Roman" w:hAnsi="Times New Roman" w:cs="Times New Roman"/>
        </w:rPr>
        <w:t>rt. 79 – wyłącza się przepis o udziale strony w przeprowadzeniu dowodu;</w:t>
      </w:r>
    </w:p>
    <w:p w14:paraId="75A649A4" w14:textId="23DED118"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Wyłączeni</w:t>
      </w:r>
      <w:r w:rsidR="006F3CE6" w:rsidRPr="00833C88">
        <w:rPr>
          <w:rFonts w:ascii="Times New Roman" w:hAnsi="Times New Roman" w:cs="Times New Roman"/>
        </w:rPr>
        <w:t>e</w:t>
      </w:r>
      <w:r w:rsidRPr="00833C88">
        <w:rPr>
          <w:rFonts w:ascii="Times New Roman" w:hAnsi="Times New Roman" w:cs="Times New Roman"/>
        </w:rPr>
        <w:t xml:space="preserve"> tych przepisów Kpa </w:t>
      </w:r>
      <w:r w:rsidR="006F3CE6" w:rsidRPr="00833C88">
        <w:rPr>
          <w:rFonts w:ascii="Times New Roman" w:hAnsi="Times New Roman" w:cs="Times New Roman"/>
        </w:rPr>
        <w:t xml:space="preserve">jest </w:t>
      </w:r>
      <w:r w:rsidRPr="00833C88">
        <w:rPr>
          <w:rFonts w:ascii="Times New Roman" w:hAnsi="Times New Roman" w:cs="Times New Roman"/>
        </w:rPr>
        <w:t>niezbędne ze względu na szczególny charakter tego postępowania, które ma na celu zapewnienie bezpieczeństwa narodowego.</w:t>
      </w:r>
    </w:p>
    <w:p w14:paraId="07640FDE" w14:textId="37E0CB13" w:rsidR="007929D4" w:rsidRPr="00833C88" w:rsidRDefault="00601933" w:rsidP="00DC5015">
      <w:pPr>
        <w:pStyle w:val="ARTartustawynprozporzdzenia"/>
        <w:spacing w:before="0" w:after="120"/>
        <w:rPr>
          <w:rFonts w:ascii="Times New Roman" w:hAnsi="Times New Roman" w:cs="Times New Roman"/>
        </w:rPr>
      </w:pPr>
      <w:r w:rsidRPr="00833C88">
        <w:rPr>
          <w:rFonts w:ascii="Times New Roman" w:hAnsi="Times New Roman" w:cs="Times New Roman"/>
        </w:rPr>
        <w:t>W </w:t>
      </w:r>
      <w:r w:rsidR="007929D4" w:rsidRPr="00833C88">
        <w:rPr>
          <w:rFonts w:ascii="Times New Roman" w:hAnsi="Times New Roman" w:cs="Times New Roman"/>
        </w:rPr>
        <w:t>celu usprawnienia przebiegu postępowania i wzmocnienia trwałości rozstrzygnięć konieczne jest zawężenie przymiotu strony oraz udziału organizacji społecznej, mając na względzie, że do każdego takiego postępowania, według zasad ogólnych mogłoby przystąpić na prawach strony nawet setki podmiotów korzystających z konkretnych produktów pochodzących od konkretnego dostawcy sprzętu lub oprogramowania.</w:t>
      </w:r>
    </w:p>
    <w:p w14:paraId="24C171B8" w14:textId="6C018B53"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Wyłączenie art. 28 Kpa jest konieczne, ponieważ postępowanie jest wszczynane z urzędu przez ministra albo na wniosek przewodniczącego Kolegium – co za tym idzie stroną jest każdy </w:t>
      </w:r>
      <w:r w:rsidRPr="00833C88">
        <w:rPr>
          <w:rFonts w:ascii="Times New Roman" w:hAnsi="Times New Roman" w:cs="Times New Roman"/>
        </w:rPr>
        <w:lastRenderedPageBreak/>
        <w:t xml:space="preserve">wobec kogo zostało wszczęte postępowanie w sprawie uznania za dostawcę wysokiego ryzyka. Podobne rozwiązanie znajduje się </w:t>
      </w:r>
      <w:r w:rsidR="00601933" w:rsidRPr="00833C88">
        <w:rPr>
          <w:rFonts w:ascii="Times New Roman" w:hAnsi="Times New Roman" w:cs="Times New Roman"/>
        </w:rPr>
        <w:t>w </w:t>
      </w:r>
      <w:r w:rsidRPr="00833C88">
        <w:rPr>
          <w:rFonts w:ascii="Times New Roman" w:hAnsi="Times New Roman" w:cs="Times New Roman"/>
        </w:rPr>
        <w:t>art. 88 ust. 1 ustawy z dnia 16 lutego 2007 r. o ochronie konkurencji i konsumentów</w:t>
      </w:r>
      <w:r w:rsidR="00FA77D7" w:rsidRPr="00833C88">
        <w:rPr>
          <w:rFonts w:ascii="Times New Roman" w:hAnsi="Times New Roman" w:cs="Times New Roman"/>
        </w:rPr>
        <w:t xml:space="preserve"> (Dz. U. </w:t>
      </w:r>
      <w:r w:rsidR="00601933" w:rsidRPr="00833C88">
        <w:rPr>
          <w:rFonts w:ascii="Times New Roman" w:hAnsi="Times New Roman" w:cs="Times New Roman"/>
        </w:rPr>
        <w:t>z </w:t>
      </w:r>
      <w:r w:rsidR="00FA77D7" w:rsidRPr="00833C88">
        <w:rPr>
          <w:rFonts w:ascii="Times New Roman" w:hAnsi="Times New Roman" w:cs="Times New Roman"/>
        </w:rPr>
        <w:t xml:space="preserve">2024 r. poz. </w:t>
      </w:r>
      <w:r w:rsidR="004415FF" w:rsidRPr="00833C88">
        <w:rPr>
          <w:rFonts w:ascii="Times New Roman" w:hAnsi="Times New Roman" w:cs="Times New Roman"/>
        </w:rPr>
        <w:t>1616</w:t>
      </w:r>
      <w:r w:rsidR="00B611A5" w:rsidRPr="00833C88">
        <w:rPr>
          <w:rFonts w:ascii="Times New Roman" w:hAnsi="Times New Roman" w:cs="Times New Roman"/>
        </w:rPr>
        <w:t xml:space="preserve"> oraz z 2025 r. poz. 794</w:t>
      </w:r>
      <w:r w:rsidR="00FA77D7" w:rsidRPr="00833C88">
        <w:rPr>
          <w:rFonts w:ascii="Times New Roman" w:hAnsi="Times New Roman" w:cs="Times New Roman"/>
        </w:rPr>
        <w:t>)</w:t>
      </w:r>
      <w:r w:rsidRPr="00833C88">
        <w:rPr>
          <w:rFonts w:ascii="Times New Roman" w:hAnsi="Times New Roman" w:cs="Times New Roman"/>
        </w:rPr>
        <w:t>.</w:t>
      </w:r>
    </w:p>
    <w:p w14:paraId="2C3470EB" w14:textId="3D04F558" w:rsidR="007929D4" w:rsidRPr="00833C88" w:rsidRDefault="00601933" w:rsidP="00DC5015">
      <w:pPr>
        <w:pStyle w:val="ARTartustawynprozporzdzenia"/>
        <w:spacing w:before="0" w:after="120"/>
        <w:ind w:firstLine="0"/>
        <w:rPr>
          <w:rFonts w:ascii="Times New Roman" w:hAnsi="Times New Roman" w:cs="Times New Roman"/>
        </w:rPr>
      </w:pPr>
      <w:r w:rsidRPr="00833C88">
        <w:rPr>
          <w:rFonts w:ascii="Times New Roman" w:hAnsi="Times New Roman" w:cs="Times New Roman"/>
        </w:rPr>
        <w:t>Z </w:t>
      </w:r>
      <w:r w:rsidR="007929D4" w:rsidRPr="00833C88">
        <w:rPr>
          <w:rFonts w:ascii="Times New Roman" w:hAnsi="Times New Roman" w:cs="Times New Roman"/>
        </w:rPr>
        <w:t>kolei wyłączenie art. 31 Kpa wynika ze szczególnego związku tego postępowania z kwestiami bezpieczeństwa narodowego.</w:t>
      </w:r>
    </w:p>
    <w:p w14:paraId="72DCAF60" w14:textId="77777777" w:rsidR="007929D4" w:rsidRPr="00833C88" w:rsidRDefault="007929D4" w:rsidP="00DC5015">
      <w:pPr>
        <w:pStyle w:val="ARTartustawynprozporzdzenia"/>
        <w:spacing w:before="0" w:after="120"/>
        <w:ind w:firstLine="0"/>
        <w:rPr>
          <w:rFonts w:ascii="Times New Roman" w:hAnsi="Times New Roman" w:cs="Times New Roman"/>
        </w:rPr>
      </w:pPr>
      <w:r w:rsidRPr="00833C88">
        <w:rPr>
          <w:rFonts w:ascii="Times New Roman" w:hAnsi="Times New Roman" w:cs="Times New Roman"/>
        </w:rPr>
        <w:t xml:space="preserve">Ze względu na ogólnopolski zasięg decyzji jaka ma zostać wydana w tym postępowaniu został wyłączony art. 51 Kpa. </w:t>
      </w:r>
    </w:p>
    <w:p w14:paraId="1740E512" w14:textId="14766D43" w:rsidR="007929D4" w:rsidRPr="00833C88" w:rsidRDefault="007929D4" w:rsidP="00DC5015">
      <w:pPr>
        <w:pStyle w:val="ARTartustawynprozporzdzenia"/>
        <w:spacing w:before="0" w:after="120"/>
        <w:ind w:firstLine="0"/>
        <w:rPr>
          <w:rFonts w:ascii="Times New Roman" w:hAnsi="Times New Roman" w:cs="Times New Roman"/>
        </w:rPr>
      </w:pPr>
      <w:r w:rsidRPr="00833C88">
        <w:rPr>
          <w:rFonts w:ascii="Times New Roman" w:hAnsi="Times New Roman" w:cs="Times New Roman"/>
        </w:rPr>
        <w:t>Kwestia metryki sprawy przy tego typu postępowaniu jest złożona. Obowiązkowo w ramach postepowania o uznaniu dostawcy za dostawcę wysokiego ryzyka będą przeprowadzane szerokie analizy podmiotu, którego dotyczy postępowanie oraz jego produktów. Ujawnienie nazwisk osób, które przeprowadzały te analizy mogłoby narazić ich na działania ze strony podmiotów zainteresowanych konkretnym wynikiem sprawy. Ponadto wiele z tych osób to</w:t>
      </w:r>
      <w:r w:rsidR="00FA77D7" w:rsidRPr="00833C88">
        <w:rPr>
          <w:rFonts w:ascii="Times New Roman" w:hAnsi="Times New Roman" w:cs="Times New Roman"/>
        </w:rPr>
        <w:t> </w:t>
      </w:r>
      <w:r w:rsidRPr="00833C88">
        <w:rPr>
          <w:rFonts w:ascii="Times New Roman" w:hAnsi="Times New Roman" w:cs="Times New Roman"/>
        </w:rPr>
        <w:t xml:space="preserve">funkcjonariusze, których tożsamość, ze względu na wykonywane zadania, musi być chroniona. </w:t>
      </w:r>
      <w:r w:rsidR="00601933" w:rsidRPr="00833C88">
        <w:rPr>
          <w:rFonts w:ascii="Times New Roman" w:hAnsi="Times New Roman" w:cs="Times New Roman"/>
        </w:rPr>
        <w:t>Z </w:t>
      </w:r>
      <w:r w:rsidRPr="00833C88">
        <w:rPr>
          <w:rFonts w:ascii="Times New Roman" w:hAnsi="Times New Roman" w:cs="Times New Roman"/>
        </w:rPr>
        <w:t>powyższych względów wyłączony został art. 66a</w:t>
      </w:r>
      <w:r w:rsidR="00FA77D7" w:rsidRPr="00833C88">
        <w:rPr>
          <w:rFonts w:ascii="Times New Roman" w:hAnsi="Times New Roman" w:cs="Times New Roman"/>
        </w:rPr>
        <w:t xml:space="preserve"> Kpa</w:t>
      </w:r>
      <w:r w:rsidRPr="00833C88">
        <w:rPr>
          <w:rFonts w:ascii="Times New Roman" w:hAnsi="Times New Roman" w:cs="Times New Roman"/>
        </w:rPr>
        <w:t>.</w:t>
      </w:r>
    </w:p>
    <w:p w14:paraId="2FA0AC4C" w14:textId="4EC71364" w:rsidR="007929D4" w:rsidRPr="00833C88" w:rsidRDefault="00601933" w:rsidP="00DC5015">
      <w:pPr>
        <w:pStyle w:val="ARTartustawynprozporzdzenia"/>
        <w:spacing w:before="0" w:after="120"/>
        <w:ind w:firstLine="0"/>
        <w:rPr>
          <w:rFonts w:ascii="Times New Roman" w:hAnsi="Times New Roman" w:cs="Times New Roman"/>
        </w:rPr>
      </w:pPr>
      <w:r w:rsidRPr="00833C88">
        <w:rPr>
          <w:rFonts w:ascii="Times New Roman" w:hAnsi="Times New Roman" w:cs="Times New Roman"/>
        </w:rPr>
        <w:t>W </w:t>
      </w:r>
      <w:r w:rsidR="007929D4" w:rsidRPr="00833C88">
        <w:rPr>
          <w:rFonts w:ascii="Times New Roman" w:hAnsi="Times New Roman" w:cs="Times New Roman"/>
        </w:rPr>
        <w:t>związku z wrażliwym charakterem informacji, jakie będą wykorzystywane w ramach tego postępowania, konieczne jest wyłączenie udziału strony z przeprowadzanych dowodów.</w:t>
      </w:r>
    </w:p>
    <w:p w14:paraId="41FEA166" w14:textId="51455531"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Jednocześnie umożliwiono przystąpienie do postępowania na prawach strony kilkunastu największych przedsiębiorców komunikacji elektronicznej. Będą to tacy przedsiębiorcy komunikacji elektronicznej, którzy w poprzednim roku obrotowym uzyskali przychód z tytułu prowadzenia działalności telekomunikacyjnej w wysokości co najmniej dwudziestotysięcznej krotności przeciętnego wynagrodzenia w gospodarce narodowej, wskazanego w ostatnim komunikacie Prezesa Głównego Urzędu Statystycznego, o którym mowa </w:t>
      </w:r>
      <w:r w:rsidR="00601933" w:rsidRPr="00833C88">
        <w:rPr>
          <w:rFonts w:ascii="Times New Roman" w:hAnsi="Times New Roman" w:cs="Times New Roman"/>
        </w:rPr>
        <w:t>w </w:t>
      </w:r>
      <w:r w:rsidRPr="00833C88">
        <w:rPr>
          <w:rFonts w:ascii="Times New Roman" w:hAnsi="Times New Roman" w:cs="Times New Roman"/>
        </w:rPr>
        <w:t xml:space="preserve">art. 20 pkt 1 lit. </w:t>
      </w:r>
      <w:r w:rsidR="00601933" w:rsidRPr="00833C88">
        <w:rPr>
          <w:rFonts w:ascii="Times New Roman" w:hAnsi="Times New Roman" w:cs="Times New Roman"/>
        </w:rPr>
        <w:t>a </w:t>
      </w:r>
      <w:r w:rsidRPr="00833C88">
        <w:rPr>
          <w:rFonts w:ascii="Times New Roman" w:hAnsi="Times New Roman" w:cs="Times New Roman"/>
        </w:rPr>
        <w:t>ustawy z dnia 17 grudnia 1998 r. o emeryturach i rentach z Funduszu Ubezpieczeń Społecznych</w:t>
      </w:r>
      <w:r w:rsidR="00FA77D7" w:rsidRPr="00833C88">
        <w:rPr>
          <w:rFonts w:ascii="Times New Roman" w:hAnsi="Times New Roman" w:cs="Times New Roman"/>
        </w:rPr>
        <w:t xml:space="preserve"> (Dz. U. </w:t>
      </w:r>
      <w:r w:rsidR="00601933" w:rsidRPr="00833C88">
        <w:rPr>
          <w:rFonts w:ascii="Times New Roman" w:hAnsi="Times New Roman" w:cs="Times New Roman"/>
        </w:rPr>
        <w:t>z </w:t>
      </w:r>
      <w:r w:rsidR="006F3CE6" w:rsidRPr="00833C88">
        <w:rPr>
          <w:rFonts w:ascii="Times New Roman" w:hAnsi="Times New Roman" w:cs="Times New Roman"/>
        </w:rPr>
        <w:t xml:space="preserve">2024 r. poz. </w:t>
      </w:r>
      <w:r w:rsidR="003F0C57" w:rsidRPr="00833C88">
        <w:rPr>
          <w:rFonts w:ascii="Times New Roman" w:hAnsi="Times New Roman" w:cs="Times New Roman"/>
        </w:rPr>
        <w:t>1631</w:t>
      </w:r>
      <w:r w:rsidR="006F3CE6" w:rsidRPr="00833C88">
        <w:rPr>
          <w:rFonts w:ascii="Times New Roman" w:hAnsi="Times New Roman" w:cs="Times New Roman"/>
        </w:rPr>
        <w:t xml:space="preserve"> </w:t>
      </w:r>
      <w:r w:rsidR="00601933" w:rsidRPr="00833C88">
        <w:rPr>
          <w:rFonts w:ascii="Times New Roman" w:hAnsi="Times New Roman" w:cs="Times New Roman"/>
        </w:rPr>
        <w:t>i </w:t>
      </w:r>
      <w:r w:rsidR="003F0C57" w:rsidRPr="00833C88">
        <w:rPr>
          <w:rFonts w:ascii="Times New Roman" w:hAnsi="Times New Roman" w:cs="Times New Roman"/>
        </w:rPr>
        <w:t>1674</w:t>
      </w:r>
      <w:r w:rsidR="0054567B" w:rsidRPr="00833C88">
        <w:rPr>
          <w:rFonts w:ascii="Times New Roman" w:hAnsi="Times New Roman" w:cs="Times New Roman"/>
        </w:rPr>
        <w:t xml:space="preserve"> oraz z 2025 r. poz. 718</w:t>
      </w:r>
      <w:r w:rsidR="009B590C" w:rsidRPr="00833C88">
        <w:rPr>
          <w:rFonts w:ascii="Times New Roman" w:hAnsi="Times New Roman" w:cs="Times New Roman"/>
        </w:rPr>
        <w:t xml:space="preserve">, </w:t>
      </w:r>
      <w:r w:rsidR="0054567B" w:rsidRPr="00833C88">
        <w:rPr>
          <w:rFonts w:ascii="Times New Roman" w:hAnsi="Times New Roman" w:cs="Times New Roman"/>
        </w:rPr>
        <w:t>769</w:t>
      </w:r>
      <w:r w:rsidR="009B590C" w:rsidRPr="00833C88">
        <w:rPr>
          <w:rFonts w:ascii="Times New Roman" w:hAnsi="Times New Roman" w:cs="Times New Roman"/>
        </w:rPr>
        <w:t xml:space="preserve"> i 1159</w:t>
      </w:r>
      <w:r w:rsidR="00FA77D7" w:rsidRPr="00833C88">
        <w:rPr>
          <w:rFonts w:ascii="Times New Roman" w:hAnsi="Times New Roman" w:cs="Times New Roman"/>
        </w:rPr>
        <w:t>)</w:t>
      </w:r>
      <w:r w:rsidRPr="00833C88">
        <w:rPr>
          <w:rFonts w:ascii="Times New Roman" w:hAnsi="Times New Roman" w:cs="Times New Roman"/>
        </w:rPr>
        <w:t>. Aby przystąpić do postępowania taki przedsiębiorca będzie obowiązany złożyć stosowny wniosek. Zmiana odpowiada na postulaty strony społecznej, jednocześnie zapewniając sprawny przebieg postępowania.</w:t>
      </w:r>
    </w:p>
    <w:p w14:paraId="1C55531F" w14:textId="04E6E10D" w:rsidR="00CF01C0" w:rsidRPr="00833C88" w:rsidRDefault="00CF01C0"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Umożliwia się wypowiedzenie się </w:t>
      </w:r>
      <w:r w:rsidR="00601933" w:rsidRPr="00833C88">
        <w:rPr>
          <w:rFonts w:ascii="Times New Roman" w:hAnsi="Times New Roman" w:cs="Times New Roman"/>
        </w:rPr>
        <w:t>w </w:t>
      </w:r>
      <w:r w:rsidRPr="00833C88">
        <w:rPr>
          <w:rFonts w:ascii="Times New Roman" w:hAnsi="Times New Roman" w:cs="Times New Roman"/>
        </w:rPr>
        <w:t>toku postępowania izbom gospodarczym</w:t>
      </w:r>
      <w:r w:rsidR="00221140" w:rsidRPr="00833C88">
        <w:rPr>
          <w:rFonts w:ascii="Times New Roman" w:hAnsi="Times New Roman" w:cs="Times New Roman"/>
        </w:rPr>
        <w:t xml:space="preserve">. Będą one mogły przedstawić stanowisko co do dostawcy sprzętu lub oprogramowania, wobec którego wszczęto postępowanie, oraz dostarczanych przez niego produktów ICT, usług ICT oraz procesów ICT. Minister właściwy do spraw informatyzacji, przed wydaniem decyzji, udostępnia </w:t>
      </w:r>
      <w:r w:rsidR="00601933" w:rsidRPr="00833C88">
        <w:rPr>
          <w:rFonts w:ascii="Times New Roman" w:hAnsi="Times New Roman" w:cs="Times New Roman"/>
        </w:rPr>
        <w:t>w </w:t>
      </w:r>
      <w:r w:rsidR="00F34453" w:rsidRPr="00833C88">
        <w:rPr>
          <w:rFonts w:ascii="Times New Roman" w:hAnsi="Times New Roman" w:cs="Times New Roman"/>
        </w:rPr>
        <w:t>BIP</w:t>
      </w:r>
      <w:r w:rsidR="00221140" w:rsidRPr="00833C88">
        <w:rPr>
          <w:rFonts w:ascii="Times New Roman" w:hAnsi="Times New Roman" w:cs="Times New Roman"/>
        </w:rPr>
        <w:t xml:space="preserve"> na swojej stronie podmiotowej raport ze</w:t>
      </w:r>
      <w:r w:rsidR="00FA77D7" w:rsidRPr="00833C88">
        <w:rPr>
          <w:rFonts w:ascii="Times New Roman" w:hAnsi="Times New Roman" w:cs="Times New Roman"/>
        </w:rPr>
        <w:t> </w:t>
      </w:r>
      <w:r w:rsidR="00221140" w:rsidRPr="00833C88">
        <w:rPr>
          <w:rFonts w:ascii="Times New Roman" w:hAnsi="Times New Roman" w:cs="Times New Roman"/>
        </w:rPr>
        <w:t xml:space="preserve">złożonych stanowisk, wskazując </w:t>
      </w:r>
      <w:r w:rsidR="00601933" w:rsidRPr="00833C88">
        <w:rPr>
          <w:rFonts w:ascii="Times New Roman" w:hAnsi="Times New Roman" w:cs="Times New Roman"/>
        </w:rPr>
        <w:lastRenderedPageBreak/>
        <w:t>w </w:t>
      </w:r>
      <w:r w:rsidR="00221140" w:rsidRPr="00833C88">
        <w:rPr>
          <w:rFonts w:ascii="Times New Roman" w:hAnsi="Times New Roman" w:cs="Times New Roman"/>
        </w:rPr>
        <w:t xml:space="preserve">szczególności główne uwagi zawarte </w:t>
      </w:r>
      <w:r w:rsidR="00601933" w:rsidRPr="00833C88">
        <w:rPr>
          <w:rFonts w:ascii="Times New Roman" w:hAnsi="Times New Roman" w:cs="Times New Roman"/>
        </w:rPr>
        <w:t>w </w:t>
      </w:r>
      <w:r w:rsidR="00221140" w:rsidRPr="00833C88">
        <w:rPr>
          <w:rFonts w:ascii="Times New Roman" w:hAnsi="Times New Roman" w:cs="Times New Roman"/>
        </w:rPr>
        <w:t>stanowiskach.</w:t>
      </w:r>
      <w:r w:rsidR="000E4E68" w:rsidRPr="00833C88">
        <w:rPr>
          <w:rFonts w:ascii="Times New Roman" w:hAnsi="Times New Roman" w:cs="Times New Roman"/>
        </w:rPr>
        <w:t xml:space="preserve"> Rozwiązanie to zapewnia </w:t>
      </w:r>
      <w:r w:rsidR="00601933" w:rsidRPr="00833C88">
        <w:rPr>
          <w:rFonts w:ascii="Times New Roman" w:hAnsi="Times New Roman" w:cs="Times New Roman"/>
        </w:rPr>
        <w:t>z </w:t>
      </w:r>
      <w:r w:rsidR="000E4E68" w:rsidRPr="00833C88">
        <w:rPr>
          <w:rFonts w:ascii="Times New Roman" w:hAnsi="Times New Roman" w:cs="Times New Roman"/>
        </w:rPr>
        <w:t xml:space="preserve">jednej strony możliwość wypowiedzenia się </w:t>
      </w:r>
      <w:r w:rsidR="002744FC" w:rsidRPr="00833C88">
        <w:rPr>
          <w:rFonts w:ascii="Times New Roman" w:hAnsi="Times New Roman" w:cs="Times New Roman"/>
        </w:rPr>
        <w:t xml:space="preserve">reprezentantów przedsiębiorców </w:t>
      </w:r>
      <w:r w:rsidR="00601933" w:rsidRPr="00833C88">
        <w:rPr>
          <w:rFonts w:ascii="Times New Roman" w:hAnsi="Times New Roman" w:cs="Times New Roman"/>
        </w:rPr>
        <w:t>w </w:t>
      </w:r>
      <w:r w:rsidR="002744FC" w:rsidRPr="00833C88">
        <w:rPr>
          <w:rFonts w:ascii="Times New Roman" w:hAnsi="Times New Roman" w:cs="Times New Roman"/>
        </w:rPr>
        <w:t xml:space="preserve">sprawie tego postępowania, </w:t>
      </w:r>
      <w:r w:rsidR="00601933" w:rsidRPr="00833C88">
        <w:rPr>
          <w:rFonts w:ascii="Times New Roman" w:hAnsi="Times New Roman" w:cs="Times New Roman"/>
        </w:rPr>
        <w:t>a z </w:t>
      </w:r>
      <w:r w:rsidR="002744FC" w:rsidRPr="00833C88">
        <w:rPr>
          <w:rFonts w:ascii="Times New Roman" w:hAnsi="Times New Roman" w:cs="Times New Roman"/>
        </w:rPr>
        <w:t>drugiej strony nie spowoduje to</w:t>
      </w:r>
      <w:r w:rsidR="00FA77D7" w:rsidRPr="00833C88">
        <w:rPr>
          <w:rFonts w:ascii="Times New Roman" w:hAnsi="Times New Roman" w:cs="Times New Roman"/>
        </w:rPr>
        <w:t> </w:t>
      </w:r>
      <w:r w:rsidR="002744FC" w:rsidRPr="00833C88">
        <w:rPr>
          <w:rFonts w:ascii="Times New Roman" w:hAnsi="Times New Roman" w:cs="Times New Roman"/>
        </w:rPr>
        <w:t>przewlekłości postępowania.</w:t>
      </w:r>
    </w:p>
    <w:p w14:paraId="60828BF6" w14:textId="09B8D7D4" w:rsidR="007929D4" w:rsidRPr="00833C88" w:rsidRDefault="00FA77D7" w:rsidP="00DC5015">
      <w:pPr>
        <w:pStyle w:val="NIEARTTEKSTtekstnieartykuowanynppodstprawnarozplubpreambua"/>
        <w:spacing w:before="0" w:after="120"/>
        <w:ind w:firstLine="0"/>
        <w:rPr>
          <w:rFonts w:ascii="Times New Roman" w:hAnsi="Times New Roman" w:cs="Times New Roman"/>
        </w:rPr>
      </w:pPr>
      <w:r w:rsidRPr="00833C88">
        <w:rPr>
          <w:rFonts w:ascii="Times New Roman" w:hAnsi="Times New Roman" w:cs="Times New Roman"/>
        </w:rPr>
        <w:t>M</w:t>
      </w:r>
      <w:r w:rsidR="007929D4" w:rsidRPr="00833C88">
        <w:rPr>
          <w:rFonts w:ascii="Times New Roman" w:hAnsi="Times New Roman" w:cs="Times New Roman"/>
        </w:rPr>
        <w:t>inist</w:t>
      </w:r>
      <w:r w:rsidRPr="00833C88">
        <w:rPr>
          <w:rFonts w:ascii="Times New Roman" w:hAnsi="Times New Roman" w:cs="Times New Roman"/>
        </w:rPr>
        <w:t>er</w:t>
      </w:r>
      <w:r w:rsidR="007929D4" w:rsidRPr="00833C88">
        <w:rPr>
          <w:rFonts w:ascii="Times New Roman" w:hAnsi="Times New Roman" w:cs="Times New Roman"/>
        </w:rPr>
        <w:t xml:space="preserve"> właściw</w:t>
      </w:r>
      <w:r w:rsidRPr="00833C88">
        <w:rPr>
          <w:rFonts w:ascii="Times New Roman" w:hAnsi="Times New Roman" w:cs="Times New Roman"/>
        </w:rPr>
        <w:t>y</w:t>
      </w:r>
      <w:r w:rsidR="007929D4" w:rsidRPr="00833C88">
        <w:rPr>
          <w:rFonts w:ascii="Times New Roman" w:hAnsi="Times New Roman" w:cs="Times New Roman"/>
        </w:rPr>
        <w:t xml:space="preserve"> do spraw informatyzacji </w:t>
      </w:r>
      <w:r w:rsidRPr="00833C88">
        <w:rPr>
          <w:rFonts w:ascii="Times New Roman" w:hAnsi="Times New Roman" w:cs="Times New Roman"/>
        </w:rPr>
        <w:t xml:space="preserve">stanowisko zajmuje </w:t>
      </w:r>
      <w:r w:rsidR="00601933" w:rsidRPr="00833C88">
        <w:rPr>
          <w:rFonts w:ascii="Times New Roman" w:hAnsi="Times New Roman" w:cs="Times New Roman"/>
        </w:rPr>
        <w:t>w </w:t>
      </w:r>
      <w:r w:rsidRPr="00833C88">
        <w:rPr>
          <w:rFonts w:ascii="Times New Roman" w:hAnsi="Times New Roman" w:cs="Times New Roman"/>
        </w:rPr>
        <w:t>drodze</w:t>
      </w:r>
      <w:r w:rsidR="007929D4" w:rsidRPr="00833C88">
        <w:rPr>
          <w:rFonts w:ascii="Times New Roman" w:hAnsi="Times New Roman" w:cs="Times New Roman"/>
        </w:rPr>
        <w:t xml:space="preserve"> decyzji administracyjnej, co </w:t>
      </w:r>
      <w:r w:rsidRPr="00833C88">
        <w:rPr>
          <w:rFonts w:ascii="Times New Roman" w:hAnsi="Times New Roman" w:cs="Times New Roman"/>
        </w:rPr>
        <w:t xml:space="preserve">umożliwi </w:t>
      </w:r>
      <w:r w:rsidR="007929D4" w:rsidRPr="00833C88">
        <w:rPr>
          <w:rFonts w:ascii="Times New Roman" w:hAnsi="Times New Roman" w:cs="Times New Roman"/>
        </w:rPr>
        <w:t xml:space="preserve">dostawcy </w:t>
      </w:r>
      <w:r w:rsidRPr="00833C88">
        <w:rPr>
          <w:rFonts w:ascii="Times New Roman" w:hAnsi="Times New Roman" w:cs="Times New Roman"/>
        </w:rPr>
        <w:t xml:space="preserve">ewentualne </w:t>
      </w:r>
      <w:r w:rsidR="007929D4" w:rsidRPr="00833C88">
        <w:rPr>
          <w:rFonts w:ascii="Times New Roman" w:hAnsi="Times New Roman" w:cs="Times New Roman"/>
        </w:rPr>
        <w:t>złożenie skargi do wojewódzkiego sądu administracyjnego.</w:t>
      </w:r>
    </w:p>
    <w:p w14:paraId="0B404844" w14:textId="077C564A" w:rsidR="007929D4" w:rsidRPr="00833C88" w:rsidRDefault="00601933" w:rsidP="00DC5015">
      <w:pPr>
        <w:pStyle w:val="ARTartustawynprozporzdzenia"/>
        <w:spacing w:before="0" w:after="120"/>
        <w:rPr>
          <w:rFonts w:ascii="Times New Roman" w:hAnsi="Times New Roman" w:cs="Times New Roman"/>
        </w:rPr>
      </w:pPr>
      <w:r w:rsidRPr="00833C88">
        <w:rPr>
          <w:rFonts w:ascii="Times New Roman" w:hAnsi="Times New Roman" w:cs="Times New Roman"/>
        </w:rPr>
        <w:t>W </w:t>
      </w:r>
      <w:r w:rsidR="007929D4" w:rsidRPr="00833C88">
        <w:rPr>
          <w:rFonts w:ascii="Times New Roman" w:hAnsi="Times New Roman" w:cs="Times New Roman"/>
        </w:rPr>
        <w:t xml:space="preserve">przypadku, gdy dostawcą sprzętu lub oprogramowania jest strona niemająca siedziby na terytorium państwa członkowskiego Unii Europejskiej, Konfederacji Szwajcarskiej albo państwa członkowskiego Europejskiego Porozumienia </w:t>
      </w:r>
      <w:r w:rsidRPr="00833C88">
        <w:rPr>
          <w:rFonts w:ascii="Times New Roman" w:hAnsi="Times New Roman" w:cs="Times New Roman"/>
        </w:rPr>
        <w:t>o </w:t>
      </w:r>
      <w:r w:rsidR="007929D4" w:rsidRPr="00833C88">
        <w:rPr>
          <w:rFonts w:ascii="Times New Roman" w:hAnsi="Times New Roman" w:cs="Times New Roman"/>
        </w:rPr>
        <w:t xml:space="preserve">Wolnym Handlu (EFTA) zawiadomienie o wszczęciu postępowania publikowane jest na stronie podmiotowej </w:t>
      </w:r>
      <w:r w:rsidR="00F34453" w:rsidRPr="00833C88">
        <w:rPr>
          <w:rFonts w:ascii="Times New Roman" w:hAnsi="Times New Roman" w:cs="Times New Roman"/>
        </w:rPr>
        <w:t xml:space="preserve">BIP </w:t>
      </w:r>
      <w:r w:rsidR="007929D4" w:rsidRPr="00833C88">
        <w:rPr>
          <w:rFonts w:ascii="Times New Roman" w:hAnsi="Times New Roman" w:cs="Times New Roman"/>
        </w:rPr>
        <w:t>ministra właściwego do spraw informatyzacji. Publikacja ma skutek doręczenia po upływie 14 dni od dnia jej dokonania. Przepis ten stanowi szczególną regulacj</w:t>
      </w:r>
      <w:r w:rsidR="007929D4" w:rsidRPr="00833C88">
        <w:rPr>
          <w:rFonts w:ascii="Times New Roman" w:eastAsia="Times New Roman" w:hAnsi="Times New Roman" w:cs="Times New Roman"/>
        </w:rPr>
        <w:t>ę</w:t>
      </w:r>
      <w:r w:rsidR="007929D4" w:rsidRPr="00833C88">
        <w:rPr>
          <w:rFonts w:ascii="Times New Roman" w:hAnsi="Times New Roman" w:cs="Times New Roman"/>
        </w:rPr>
        <w:t xml:space="preserve"> w stosunku do zasad doręczeń określonych w Kpa.</w:t>
      </w:r>
    </w:p>
    <w:p w14:paraId="3C2121C2" w14:textId="0C0FCD55"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Zawiadomienie o wszczęciu postępowania wobec dostawcy, który ma siedzibę na</w:t>
      </w:r>
      <w:r w:rsidR="00AD6CCD" w:rsidRPr="00833C88">
        <w:rPr>
          <w:rFonts w:ascii="Times New Roman" w:hAnsi="Times New Roman" w:cs="Times New Roman"/>
        </w:rPr>
        <w:t> </w:t>
      </w:r>
      <w:r w:rsidRPr="00833C88">
        <w:rPr>
          <w:rFonts w:ascii="Times New Roman" w:hAnsi="Times New Roman" w:cs="Times New Roman"/>
        </w:rPr>
        <w:t xml:space="preserve">terytorium Unii Europejskiej, Konfederacji Szwajcarskiej czy państwa członkowskiego EFTA będzie doręczane na zasadach ogólnych wynikających z Kpa. Natomiast po otrzymaniu potwierdzenia doręczenia informacja o tym będzie publikowana na stronie </w:t>
      </w:r>
      <w:r w:rsidR="00F34453" w:rsidRPr="00833C88">
        <w:rPr>
          <w:rFonts w:ascii="Times New Roman" w:hAnsi="Times New Roman" w:cs="Times New Roman"/>
        </w:rPr>
        <w:t>BIP</w:t>
      </w:r>
      <w:r w:rsidRPr="00833C88">
        <w:rPr>
          <w:rFonts w:ascii="Times New Roman" w:hAnsi="Times New Roman" w:cs="Times New Roman"/>
        </w:rPr>
        <w:t xml:space="preserve"> ministra właściwego do spraw informatyzacji, aby uprawnieni przedsiębiorcy telekomunikacyjni mogli złożyć wniosek o dopuszczenie do postępowania na</w:t>
      </w:r>
      <w:r w:rsidR="00AD6CCD" w:rsidRPr="00833C88">
        <w:rPr>
          <w:rFonts w:ascii="Times New Roman" w:hAnsi="Times New Roman" w:cs="Times New Roman"/>
        </w:rPr>
        <w:t> </w:t>
      </w:r>
      <w:r w:rsidRPr="00833C88">
        <w:rPr>
          <w:rFonts w:ascii="Times New Roman" w:hAnsi="Times New Roman" w:cs="Times New Roman"/>
        </w:rPr>
        <w:t>prawach strony.</w:t>
      </w:r>
    </w:p>
    <w:p w14:paraId="6BB20BBE" w14:textId="77777777" w:rsidR="00F31B6E"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Postępowanie w sprawie uznania dostawcy za dostawcę wysokiego ryzyka będzie wszczynane z urzędu przez ministra właściwego d</w:t>
      </w:r>
      <w:r w:rsidR="001B5C5E" w:rsidRPr="00833C88">
        <w:rPr>
          <w:rFonts w:ascii="Times New Roman" w:hAnsi="Times New Roman" w:cs="Times New Roman"/>
        </w:rPr>
        <w:t xml:space="preserve">o </w:t>
      </w:r>
      <w:r w:rsidRPr="00833C88">
        <w:rPr>
          <w:rFonts w:ascii="Times New Roman" w:hAnsi="Times New Roman" w:cs="Times New Roman"/>
        </w:rPr>
        <w:t>s</w:t>
      </w:r>
      <w:r w:rsidR="001B5C5E" w:rsidRPr="00833C88">
        <w:rPr>
          <w:rFonts w:ascii="Times New Roman" w:hAnsi="Times New Roman" w:cs="Times New Roman"/>
        </w:rPr>
        <w:t>praw</w:t>
      </w:r>
      <w:r w:rsidRPr="00833C88">
        <w:rPr>
          <w:rFonts w:ascii="Times New Roman" w:hAnsi="Times New Roman" w:cs="Times New Roman"/>
        </w:rPr>
        <w:t xml:space="preserve"> informatyzacji lub na wniosek </w:t>
      </w:r>
      <w:r w:rsidR="001B5C5E" w:rsidRPr="00833C88">
        <w:rPr>
          <w:rFonts w:ascii="Times New Roman" w:hAnsi="Times New Roman" w:cs="Times New Roman"/>
        </w:rPr>
        <w:t>P</w:t>
      </w:r>
      <w:r w:rsidRPr="00833C88">
        <w:rPr>
          <w:rFonts w:ascii="Times New Roman" w:hAnsi="Times New Roman" w:cs="Times New Roman"/>
        </w:rPr>
        <w:t xml:space="preserve">rzewodniczącego Kolegium. Minister właściwy do spraw informatyzacji jest odpowiedzialny za bezpieczeństwo cyberprzestrzeni </w:t>
      </w:r>
      <w:r w:rsidR="00601933" w:rsidRPr="00833C88">
        <w:rPr>
          <w:rFonts w:ascii="Times New Roman" w:hAnsi="Times New Roman" w:cs="Times New Roman"/>
        </w:rPr>
        <w:t>w </w:t>
      </w:r>
      <w:r w:rsidRPr="00833C88">
        <w:rPr>
          <w:rFonts w:ascii="Times New Roman" w:hAnsi="Times New Roman" w:cs="Times New Roman"/>
        </w:rPr>
        <w:t>wymiarze cywilnym, stąd też zasadne jest, aby to on prowadził tego rodzaju postępowanie. Przed wydaniem decyzji minister właściwy d</w:t>
      </w:r>
      <w:r w:rsidR="001B5C5E" w:rsidRPr="00833C88">
        <w:rPr>
          <w:rFonts w:ascii="Times New Roman" w:hAnsi="Times New Roman" w:cs="Times New Roman"/>
        </w:rPr>
        <w:t>o spraw</w:t>
      </w:r>
      <w:r w:rsidRPr="00833C88">
        <w:rPr>
          <w:rFonts w:ascii="Times New Roman" w:hAnsi="Times New Roman" w:cs="Times New Roman"/>
        </w:rPr>
        <w:t xml:space="preserve"> informatyzacji będzie obowiązany zwrócić się do Kolegium</w:t>
      </w:r>
      <w:r w:rsidR="001B5C5E" w:rsidRPr="00833C88">
        <w:rPr>
          <w:rFonts w:ascii="Times New Roman" w:hAnsi="Times New Roman" w:cs="Times New Roman"/>
        </w:rPr>
        <w:t xml:space="preserve"> </w:t>
      </w:r>
      <w:r w:rsidRPr="00833C88">
        <w:rPr>
          <w:rFonts w:ascii="Times New Roman" w:hAnsi="Times New Roman" w:cs="Times New Roman"/>
        </w:rPr>
        <w:t xml:space="preserve">o wydanie opinii w sprawie uznania dostawcy sprzętu lub oprogramowania za dostawcę wysokiego ryzyka. Kolegium będzie miało 3 miesiące, od dnia wystąpienia o opinię, na przekazanie jej do ministra. Termin od dnia wystąpienia o opinię do dnia otrzymania opinii nie będzie wliczał się do terminu załatwienia sprawy. </w:t>
      </w:r>
    </w:p>
    <w:p w14:paraId="7D4E3380" w14:textId="7FB8B2D8" w:rsidR="007929D4" w:rsidRPr="00833C88" w:rsidRDefault="00AB0FD3"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lastRenderedPageBreak/>
        <w:t>Wskazano</w:t>
      </w:r>
      <w:r w:rsidR="007929D4" w:rsidRPr="00833C88">
        <w:rPr>
          <w:rFonts w:ascii="Times New Roman" w:hAnsi="Times New Roman" w:cs="Times New Roman"/>
        </w:rPr>
        <w:t xml:space="preserve"> element</w:t>
      </w:r>
      <w:r w:rsidRPr="00833C88">
        <w:rPr>
          <w:rFonts w:ascii="Times New Roman" w:hAnsi="Times New Roman" w:cs="Times New Roman"/>
        </w:rPr>
        <w:t>y</w:t>
      </w:r>
      <w:r w:rsidR="007929D4" w:rsidRPr="00833C88">
        <w:rPr>
          <w:rFonts w:ascii="Times New Roman" w:hAnsi="Times New Roman" w:cs="Times New Roman"/>
        </w:rPr>
        <w:t xml:space="preserve"> analizy, która ma być zawarta w opinii Kolegium. W większości nawiązują one do pkt. 2.37 raportu Unii Europejskiej dotyczącego unijnej oceny ryzyka cyberbezpieczeństwa sieci 5G</w:t>
      </w:r>
      <w:r w:rsidR="007929D4" w:rsidRPr="00833C88">
        <w:rPr>
          <w:rStyle w:val="Odwoanieprzypisudolnego"/>
          <w:rFonts w:ascii="Times New Roman" w:hAnsi="Times New Roman" w:cs="Times New Roman"/>
        </w:rPr>
        <w:footnoteReference w:id="72"/>
      </w:r>
      <w:r w:rsidR="007929D4" w:rsidRPr="00833C88">
        <w:rPr>
          <w:rStyle w:val="IGindeksgrny"/>
          <w:rFonts w:ascii="Times New Roman" w:hAnsi="Times New Roman" w:cs="Times New Roman"/>
          <w:specVanish w:val="0"/>
        </w:rPr>
        <w:t>)</w:t>
      </w:r>
      <w:r w:rsidR="007929D4" w:rsidRPr="00833C88">
        <w:rPr>
          <w:rFonts w:ascii="Times New Roman" w:hAnsi="Times New Roman" w:cs="Times New Roman"/>
        </w:rPr>
        <w:t xml:space="preserve">. </w:t>
      </w:r>
    </w:p>
    <w:p w14:paraId="3C1AA2E5" w14:textId="2CA0D663" w:rsidR="007929D4" w:rsidRPr="00833C88" w:rsidRDefault="007929D4" w:rsidP="00DC5015">
      <w:pPr>
        <w:pStyle w:val="NIEARTTEKSTtekstnieartykuowanynppodstprawnarozplubpreambua"/>
        <w:spacing w:before="0" w:after="120"/>
        <w:rPr>
          <w:rFonts w:ascii="Times New Roman" w:hAnsi="Times New Roman" w:cs="Times New Roman"/>
          <w:bCs w:val="0"/>
        </w:rPr>
      </w:pPr>
      <w:r w:rsidRPr="00833C88">
        <w:rPr>
          <w:rFonts w:ascii="Times New Roman" w:hAnsi="Times New Roman" w:cs="Times New Roman"/>
          <w:bCs w:val="0"/>
        </w:rPr>
        <w:t xml:space="preserve">Celem opinii Kolegium jest kompleksowa analiza działalności dostawcy sprzętu lub oprogramowania. </w:t>
      </w:r>
      <w:r w:rsidR="001B5C5E" w:rsidRPr="00833C88">
        <w:rPr>
          <w:rFonts w:ascii="Times New Roman" w:hAnsi="Times New Roman" w:cs="Times New Roman"/>
          <w:bCs w:val="0"/>
        </w:rPr>
        <w:t xml:space="preserve">Mając na uwadze, że </w:t>
      </w:r>
      <w:r w:rsidR="00601933" w:rsidRPr="00833C88">
        <w:rPr>
          <w:rFonts w:ascii="Times New Roman" w:hAnsi="Times New Roman" w:cs="Times New Roman"/>
          <w:bCs w:val="0"/>
        </w:rPr>
        <w:t>w </w:t>
      </w:r>
      <w:r w:rsidRPr="00833C88">
        <w:rPr>
          <w:rFonts w:ascii="Times New Roman" w:hAnsi="Times New Roman" w:cs="Times New Roman"/>
          <w:bCs w:val="0"/>
        </w:rPr>
        <w:t>skład Kolegium</w:t>
      </w:r>
      <w:r w:rsidR="001B5C5E" w:rsidRPr="00833C88">
        <w:rPr>
          <w:rFonts w:ascii="Times New Roman" w:hAnsi="Times New Roman" w:cs="Times New Roman"/>
          <w:bCs w:val="0"/>
        </w:rPr>
        <w:t xml:space="preserve"> </w:t>
      </w:r>
      <w:r w:rsidRPr="00833C88">
        <w:rPr>
          <w:rFonts w:ascii="Times New Roman" w:hAnsi="Times New Roman" w:cs="Times New Roman"/>
          <w:bCs w:val="0"/>
        </w:rPr>
        <w:t>wchodzą ministrowie kluczowi dla bezpieczeństwa państwa a także szefowie służb specjalnych</w:t>
      </w:r>
      <w:r w:rsidR="001B5C5E" w:rsidRPr="00833C88">
        <w:rPr>
          <w:rFonts w:ascii="Times New Roman" w:hAnsi="Times New Roman" w:cs="Times New Roman"/>
          <w:bCs w:val="0"/>
        </w:rPr>
        <w:t>, b</w:t>
      </w:r>
      <w:r w:rsidRPr="00833C88">
        <w:rPr>
          <w:rFonts w:ascii="Times New Roman" w:hAnsi="Times New Roman" w:cs="Times New Roman"/>
          <w:bCs w:val="0"/>
        </w:rPr>
        <w:t xml:space="preserve">ędą w stanie pozyskać niezbędne informacje do oceny dostawcy od swoich jednostek podległych lub nadzorowanych. </w:t>
      </w:r>
    </w:p>
    <w:p w14:paraId="64E80C85" w14:textId="7CF2F6F8" w:rsidR="007929D4" w:rsidRPr="00833C88" w:rsidRDefault="007929D4" w:rsidP="00DC5015">
      <w:pPr>
        <w:pStyle w:val="NIEARTTEKSTtekstnieartykuowanynppodstprawnarozplubpreambua"/>
        <w:spacing w:before="0" w:after="120"/>
        <w:rPr>
          <w:rFonts w:ascii="Times New Roman" w:hAnsi="Times New Roman" w:cs="Times New Roman"/>
          <w:bCs w:val="0"/>
          <w:szCs w:val="24"/>
        </w:rPr>
      </w:pPr>
      <w:r w:rsidRPr="00833C88">
        <w:rPr>
          <w:rFonts w:ascii="Times New Roman" w:hAnsi="Times New Roman" w:cs="Times New Roman"/>
          <w:bCs w:val="0"/>
          <w:szCs w:val="24"/>
        </w:rPr>
        <w:t xml:space="preserve">Zasadne jest, aby opinia </w:t>
      </w:r>
      <w:r w:rsidR="001B5C5E" w:rsidRPr="00833C88">
        <w:rPr>
          <w:rFonts w:ascii="Times New Roman" w:hAnsi="Times New Roman" w:cs="Times New Roman"/>
          <w:bCs w:val="0"/>
          <w:szCs w:val="24"/>
        </w:rPr>
        <w:t>obe</w:t>
      </w:r>
      <w:r w:rsidRPr="00833C88">
        <w:rPr>
          <w:rFonts w:ascii="Times New Roman" w:hAnsi="Times New Roman" w:cs="Times New Roman"/>
          <w:bCs w:val="0"/>
          <w:szCs w:val="24"/>
        </w:rPr>
        <w:t>jmowała kwestie zagrożeń, które stwarza dostawca. Nie</w:t>
      </w:r>
      <w:r w:rsidR="001B5C5E" w:rsidRPr="00833C88">
        <w:rPr>
          <w:rFonts w:ascii="Times New Roman" w:hAnsi="Times New Roman" w:cs="Times New Roman"/>
          <w:bCs w:val="0"/>
          <w:szCs w:val="24"/>
        </w:rPr>
        <w:t> </w:t>
      </w:r>
      <w:r w:rsidRPr="00833C88">
        <w:rPr>
          <w:rFonts w:ascii="Times New Roman" w:hAnsi="Times New Roman" w:cs="Times New Roman"/>
          <w:bCs w:val="0"/>
          <w:szCs w:val="24"/>
        </w:rPr>
        <w:t>są</w:t>
      </w:r>
      <w:r w:rsidR="001B5C5E" w:rsidRPr="00833C88">
        <w:rPr>
          <w:rFonts w:ascii="Times New Roman" w:hAnsi="Times New Roman" w:cs="Times New Roman"/>
          <w:bCs w:val="0"/>
          <w:szCs w:val="24"/>
        </w:rPr>
        <w:t> </w:t>
      </w:r>
      <w:r w:rsidRPr="00833C88">
        <w:rPr>
          <w:rFonts w:ascii="Times New Roman" w:hAnsi="Times New Roman" w:cs="Times New Roman"/>
          <w:bCs w:val="0"/>
          <w:szCs w:val="24"/>
        </w:rPr>
        <w:t>to</w:t>
      </w:r>
      <w:r w:rsidR="001B5C5E" w:rsidRPr="00833C88">
        <w:rPr>
          <w:rFonts w:ascii="Times New Roman" w:hAnsi="Times New Roman" w:cs="Times New Roman"/>
          <w:bCs w:val="0"/>
          <w:szCs w:val="24"/>
        </w:rPr>
        <w:t> </w:t>
      </w:r>
      <w:r w:rsidRPr="00833C88">
        <w:rPr>
          <w:rFonts w:ascii="Times New Roman" w:hAnsi="Times New Roman" w:cs="Times New Roman"/>
          <w:bCs w:val="0"/>
          <w:szCs w:val="24"/>
        </w:rPr>
        <w:t>jednak zwykłe zagrożenia, lecz takie, które wpływają na bezpieczeństwo narodowe. Przepis dalej precyzuje, że chodzi o zagrożenia w wymiarze ekonomicznym</w:t>
      </w:r>
      <w:r w:rsidR="00637A01" w:rsidRPr="00833C88">
        <w:rPr>
          <w:rStyle w:val="Odwoanieprzypisudolnego"/>
          <w:rFonts w:ascii="Times New Roman" w:hAnsi="Times New Roman" w:cs="Times New Roman"/>
          <w:bCs w:val="0"/>
          <w:szCs w:val="24"/>
        </w:rPr>
        <w:footnoteReference w:id="73"/>
      </w:r>
      <w:r w:rsidR="00EA7658" w:rsidRPr="00833C88">
        <w:rPr>
          <w:rFonts w:ascii="Times New Roman" w:hAnsi="Times New Roman" w:cs="Times New Roman"/>
          <w:bCs w:val="0"/>
          <w:szCs w:val="24"/>
          <w:vertAlign w:val="superscript"/>
        </w:rPr>
        <w:t>)</w:t>
      </w:r>
      <w:r w:rsidRPr="00833C88">
        <w:rPr>
          <w:rFonts w:ascii="Times New Roman" w:hAnsi="Times New Roman" w:cs="Times New Roman"/>
          <w:bCs w:val="0"/>
          <w:szCs w:val="24"/>
        </w:rPr>
        <w:t>, wywiadowczym</w:t>
      </w:r>
      <w:r w:rsidR="00B84846" w:rsidRPr="00833C88">
        <w:rPr>
          <w:rStyle w:val="Odwoanieprzypisudolnego"/>
          <w:rFonts w:ascii="Times New Roman" w:hAnsi="Times New Roman" w:cs="Times New Roman"/>
          <w:bCs w:val="0"/>
          <w:szCs w:val="24"/>
        </w:rPr>
        <w:footnoteReference w:id="74"/>
      </w:r>
      <w:r w:rsidRPr="00833C88">
        <w:rPr>
          <w:rFonts w:ascii="Times New Roman" w:hAnsi="Times New Roman" w:cs="Times New Roman"/>
          <w:bCs w:val="0"/>
          <w:szCs w:val="24"/>
        </w:rPr>
        <w:t xml:space="preserve"> oraz terrorystycznym</w:t>
      </w:r>
      <w:r w:rsidRPr="00833C88">
        <w:rPr>
          <w:rStyle w:val="Odwoanieprzypisudolnego"/>
          <w:rFonts w:ascii="Times New Roman" w:hAnsi="Times New Roman" w:cs="Times New Roman"/>
          <w:bCs w:val="0"/>
        </w:rPr>
        <w:footnoteReference w:id="75"/>
      </w:r>
      <w:r w:rsidRPr="00833C88">
        <w:rPr>
          <w:rFonts w:ascii="Times New Roman" w:hAnsi="Times New Roman" w:cs="Times New Roman"/>
          <w:bCs w:val="0"/>
          <w:szCs w:val="24"/>
          <w:vertAlign w:val="superscript"/>
        </w:rPr>
        <w:t>)</w:t>
      </w:r>
      <w:r w:rsidRPr="00833C88">
        <w:rPr>
          <w:rFonts w:ascii="Times New Roman" w:hAnsi="Times New Roman" w:cs="Times New Roman"/>
          <w:bCs w:val="0"/>
          <w:szCs w:val="24"/>
        </w:rPr>
        <w:t>. Ponadto konieczna będzie analiza zagrożeń, które stwarza dostawca dla zobowiązań sojuszniczych (np. w ramach NATO czy innych umów międzynarodowych) a także europejskich. Niewątpliwie zobowiązaniem europejskim jest zapewnienie na poziomie unijnym wysokiego poziomu bezpieczeństwa systemów informacyjnych (co wynika z dyrektywy NIS</w:t>
      </w:r>
      <w:r w:rsidR="000305CD" w:rsidRPr="00833C88">
        <w:rPr>
          <w:rFonts w:ascii="Times New Roman" w:hAnsi="Times New Roman" w:cs="Times New Roman"/>
          <w:bCs w:val="0"/>
          <w:szCs w:val="24"/>
        </w:rPr>
        <w:t xml:space="preserve"> </w:t>
      </w:r>
      <w:r w:rsidRPr="00833C88">
        <w:rPr>
          <w:rFonts w:ascii="Times New Roman" w:hAnsi="Times New Roman" w:cs="Times New Roman"/>
          <w:bCs w:val="0"/>
          <w:szCs w:val="24"/>
        </w:rPr>
        <w:t>2).</w:t>
      </w:r>
    </w:p>
    <w:p w14:paraId="353548A6" w14:textId="01981BE9" w:rsidR="007929D4" w:rsidRPr="00833C88" w:rsidRDefault="007929D4" w:rsidP="00DC5015">
      <w:pPr>
        <w:pStyle w:val="NIEARTTEKSTtekstnieartykuowanynppodstprawnarozplubpreambua"/>
        <w:spacing w:before="0" w:after="120"/>
        <w:rPr>
          <w:rFonts w:ascii="Times New Roman" w:hAnsi="Times New Roman" w:cs="Times New Roman"/>
          <w:bCs w:val="0"/>
        </w:rPr>
      </w:pPr>
      <w:r w:rsidRPr="00833C88">
        <w:rPr>
          <w:rFonts w:ascii="Times New Roman" w:hAnsi="Times New Roman" w:cs="Times New Roman"/>
          <w:bCs w:val="0"/>
        </w:rPr>
        <w:t>Kolejnym aspektem opinii powinna być analiza prawdopodobieństwa, z jakim dostawca znajduje się pod wpływem państwa. Ta część opinii skupia się na powiązaniach dostawcy sprzętu lub oprogramowania z państwem spoza Unii Europejskiej oraz NATO. Wpływ ten może obejmować prawodawstwo danego państwa, które reguluje stosunki między państwem a dostawcą (np. w zakresie swobody działalności gospodarczej czy bezpieczeństwa przetwarzanych danych). Co istotne Kolegium powinno pochylić się także nad praktyką stosowania tych przepisów, aby sprawdzić, jak one funkcjonują</w:t>
      </w:r>
      <w:r w:rsidR="001B5C5E" w:rsidRPr="00833C88">
        <w:rPr>
          <w:rFonts w:ascii="Times New Roman" w:hAnsi="Times New Roman" w:cs="Times New Roman"/>
          <w:bCs w:val="0"/>
        </w:rPr>
        <w:t xml:space="preserve">, </w:t>
      </w:r>
      <w:r w:rsidRPr="00833C88">
        <w:rPr>
          <w:rFonts w:ascii="Times New Roman" w:hAnsi="Times New Roman" w:cs="Times New Roman"/>
          <w:bCs w:val="0"/>
        </w:rPr>
        <w:t xml:space="preserve">np. czy gwarancje zawarte w tych przepisach rzeczywiście są respektowane przez dane państwo. </w:t>
      </w:r>
    </w:p>
    <w:p w14:paraId="5830C538" w14:textId="2B412923" w:rsidR="007929D4" w:rsidRPr="00833C88" w:rsidRDefault="00601933" w:rsidP="00DC5015">
      <w:pPr>
        <w:pStyle w:val="NIEARTTEKSTtekstnieartykuowanynppodstprawnarozplubpreambua"/>
        <w:spacing w:before="0" w:after="120"/>
        <w:rPr>
          <w:rFonts w:ascii="Times New Roman" w:hAnsi="Times New Roman" w:cs="Times New Roman"/>
          <w:bCs w:val="0"/>
        </w:rPr>
      </w:pPr>
      <w:r w:rsidRPr="00833C88">
        <w:rPr>
          <w:rFonts w:ascii="Times New Roman" w:hAnsi="Times New Roman" w:cs="Times New Roman"/>
          <w:bCs w:val="0"/>
        </w:rPr>
        <w:lastRenderedPageBreak/>
        <w:t>Z </w:t>
      </w:r>
      <w:r w:rsidR="007929D4" w:rsidRPr="00833C88">
        <w:rPr>
          <w:rFonts w:ascii="Times New Roman" w:hAnsi="Times New Roman" w:cs="Times New Roman"/>
          <w:bCs w:val="0"/>
        </w:rPr>
        <w:t xml:space="preserve">uwagi na to, że współcześnie coraz więcej danych osobowych jest przesyłanych poza Unię Europejską ważna jest także kwestia ochrony danych osobowych w danym państwie i kwestia faktycznego stosowania tych przepisów. </w:t>
      </w:r>
    </w:p>
    <w:p w14:paraId="620AE908" w14:textId="357CFC2D" w:rsidR="007929D4" w:rsidRPr="00833C88" w:rsidRDefault="007929D4" w:rsidP="00DC5015">
      <w:pPr>
        <w:pStyle w:val="NIEARTTEKSTtekstnieartykuowanynppodstprawnarozplubpreambua"/>
        <w:spacing w:before="0" w:after="120"/>
        <w:rPr>
          <w:rFonts w:ascii="Times New Roman" w:hAnsi="Times New Roman" w:cs="Times New Roman"/>
          <w:bCs w:val="0"/>
        </w:rPr>
      </w:pPr>
      <w:r w:rsidRPr="00833C88">
        <w:rPr>
          <w:rFonts w:ascii="Times New Roman" w:hAnsi="Times New Roman" w:cs="Times New Roman"/>
          <w:bCs w:val="0"/>
        </w:rPr>
        <w:t xml:space="preserve">Opinia będzie także zawierała analizę struktury własnościowej dostawcy sprzętu lub oprogramowania </w:t>
      </w:r>
      <w:r w:rsidR="001B5C5E" w:rsidRPr="00833C88">
        <w:rPr>
          <w:rFonts w:ascii="Times New Roman" w:hAnsi="Times New Roman" w:cs="Times New Roman"/>
          <w:bCs w:val="0"/>
        </w:rPr>
        <w:t>–</w:t>
      </w:r>
      <w:r w:rsidRPr="00833C88">
        <w:rPr>
          <w:rFonts w:ascii="Times New Roman" w:hAnsi="Times New Roman" w:cs="Times New Roman"/>
          <w:bCs w:val="0"/>
        </w:rPr>
        <w:t xml:space="preserve"> </w:t>
      </w:r>
      <w:r w:rsidR="00601933" w:rsidRPr="00833C88">
        <w:rPr>
          <w:rFonts w:ascii="Times New Roman" w:hAnsi="Times New Roman" w:cs="Times New Roman"/>
          <w:bCs w:val="0"/>
        </w:rPr>
        <w:t>w </w:t>
      </w:r>
      <w:r w:rsidR="001B5C5E" w:rsidRPr="00833C88">
        <w:rPr>
          <w:rFonts w:ascii="Times New Roman" w:hAnsi="Times New Roman" w:cs="Times New Roman"/>
          <w:bCs w:val="0"/>
        </w:rPr>
        <w:t>celu</w:t>
      </w:r>
      <w:r w:rsidRPr="00833C88">
        <w:rPr>
          <w:rFonts w:ascii="Times New Roman" w:hAnsi="Times New Roman" w:cs="Times New Roman"/>
          <w:bCs w:val="0"/>
        </w:rPr>
        <w:t xml:space="preserve"> ustaleni</w:t>
      </w:r>
      <w:r w:rsidR="001B5C5E" w:rsidRPr="00833C88">
        <w:rPr>
          <w:rFonts w:ascii="Times New Roman" w:hAnsi="Times New Roman" w:cs="Times New Roman"/>
          <w:bCs w:val="0"/>
        </w:rPr>
        <w:t>a</w:t>
      </w:r>
      <w:r w:rsidRPr="00833C88">
        <w:rPr>
          <w:rFonts w:ascii="Times New Roman" w:hAnsi="Times New Roman" w:cs="Times New Roman"/>
          <w:bCs w:val="0"/>
        </w:rPr>
        <w:t xml:space="preserve"> kto faktycznie sprawuje kontrolę własnościową nad dostawcą. </w:t>
      </w:r>
      <w:proofErr w:type="gramStart"/>
      <w:r w:rsidRPr="00833C88">
        <w:rPr>
          <w:rFonts w:ascii="Times New Roman" w:hAnsi="Times New Roman" w:cs="Times New Roman"/>
          <w:bCs w:val="0"/>
        </w:rPr>
        <w:t>Finalnie</w:t>
      </w:r>
      <w:proofErr w:type="gramEnd"/>
      <w:r w:rsidRPr="00833C88">
        <w:rPr>
          <w:rFonts w:ascii="Times New Roman" w:hAnsi="Times New Roman" w:cs="Times New Roman"/>
          <w:bCs w:val="0"/>
        </w:rPr>
        <w:t xml:space="preserve"> powinny być sprawdzone możliwości wpływu danego państwa na</w:t>
      </w:r>
      <w:r w:rsidR="00AD6CCD" w:rsidRPr="00833C88">
        <w:rPr>
          <w:rFonts w:ascii="Times New Roman" w:hAnsi="Times New Roman" w:cs="Times New Roman"/>
          <w:bCs w:val="0"/>
        </w:rPr>
        <w:t> </w:t>
      </w:r>
      <w:r w:rsidRPr="00833C88">
        <w:rPr>
          <w:rFonts w:ascii="Times New Roman" w:hAnsi="Times New Roman" w:cs="Times New Roman"/>
          <w:bCs w:val="0"/>
        </w:rPr>
        <w:t>dostawcę.</w:t>
      </w:r>
    </w:p>
    <w:p w14:paraId="579AC321" w14:textId="0EEA5898" w:rsidR="007929D4" w:rsidRPr="00833C88" w:rsidRDefault="007929D4" w:rsidP="00DC5015">
      <w:pPr>
        <w:pStyle w:val="NIEARTTEKSTtekstnieartykuowanynppodstprawnarozplubpreambua"/>
        <w:spacing w:before="0" w:after="120"/>
        <w:rPr>
          <w:rFonts w:ascii="Times New Roman" w:hAnsi="Times New Roman" w:cs="Times New Roman"/>
          <w:bCs w:val="0"/>
        </w:rPr>
      </w:pPr>
      <w:r w:rsidRPr="00833C88">
        <w:rPr>
          <w:rFonts w:ascii="Times New Roman" w:hAnsi="Times New Roman" w:cs="Times New Roman"/>
          <w:bCs w:val="0"/>
        </w:rPr>
        <w:t xml:space="preserve">Opinia będzie dotyczyła otoczenia regulacyjnego dostawcy, faktycznego stosowania prawa, struktury własnościowej </w:t>
      </w:r>
      <w:r w:rsidR="001B5C5E" w:rsidRPr="00833C88">
        <w:rPr>
          <w:rFonts w:ascii="Times New Roman" w:hAnsi="Times New Roman" w:cs="Times New Roman"/>
          <w:bCs w:val="0"/>
        </w:rPr>
        <w:t xml:space="preserve">oraz </w:t>
      </w:r>
      <w:r w:rsidRPr="00833C88">
        <w:rPr>
          <w:rFonts w:ascii="Times New Roman" w:hAnsi="Times New Roman" w:cs="Times New Roman"/>
          <w:bCs w:val="0"/>
        </w:rPr>
        <w:t>faktyczn</w:t>
      </w:r>
      <w:r w:rsidR="001B5C5E" w:rsidRPr="00833C88">
        <w:rPr>
          <w:rFonts w:ascii="Times New Roman" w:hAnsi="Times New Roman" w:cs="Times New Roman"/>
          <w:bCs w:val="0"/>
        </w:rPr>
        <w:t>ego</w:t>
      </w:r>
      <w:r w:rsidRPr="00833C88">
        <w:rPr>
          <w:rFonts w:ascii="Times New Roman" w:hAnsi="Times New Roman" w:cs="Times New Roman"/>
          <w:bCs w:val="0"/>
        </w:rPr>
        <w:t xml:space="preserve"> wpływ</w:t>
      </w:r>
      <w:r w:rsidR="001B5C5E" w:rsidRPr="00833C88">
        <w:rPr>
          <w:rFonts w:ascii="Times New Roman" w:hAnsi="Times New Roman" w:cs="Times New Roman"/>
          <w:bCs w:val="0"/>
        </w:rPr>
        <w:t>u</w:t>
      </w:r>
      <w:r w:rsidRPr="00833C88">
        <w:rPr>
          <w:rFonts w:ascii="Times New Roman" w:hAnsi="Times New Roman" w:cs="Times New Roman"/>
          <w:bCs w:val="0"/>
        </w:rPr>
        <w:t xml:space="preserve"> państwa na dostawcę. Po dokonaniu analiz uzyskany zostanie całościowy obraz relacji między dostawcą a państwem.</w:t>
      </w:r>
    </w:p>
    <w:p w14:paraId="673CA00E" w14:textId="7D8FD44D" w:rsidR="007929D4" w:rsidRPr="00833C88" w:rsidRDefault="007929D4" w:rsidP="00DC5015">
      <w:pPr>
        <w:pStyle w:val="NIEARTTEKSTtekstnieartykuowanynppodstprawnarozplubpreambua"/>
        <w:spacing w:before="0" w:after="120"/>
        <w:rPr>
          <w:rFonts w:ascii="Times New Roman" w:hAnsi="Times New Roman" w:cs="Times New Roman"/>
          <w:bCs w:val="0"/>
        </w:rPr>
      </w:pPr>
      <w:r w:rsidRPr="00833C88">
        <w:rPr>
          <w:rFonts w:ascii="Times New Roman" w:hAnsi="Times New Roman" w:cs="Times New Roman"/>
          <w:bCs w:val="0"/>
        </w:rPr>
        <w:t xml:space="preserve">Rozporządzeniem wykonawczym Rady (UE) 2020/1125 z dnia 30 lipca 2020 r. wykonującym rozporządzenie (UE) 2019/796 w sprawie środków ograniczających w celu zwalczania cyberataków zagrażających Unii </w:t>
      </w:r>
      <w:r w:rsidR="00853061" w:rsidRPr="00833C88">
        <w:rPr>
          <w:rFonts w:ascii="Times New Roman" w:hAnsi="Times New Roman" w:cs="Times New Roman"/>
          <w:bCs w:val="0"/>
        </w:rPr>
        <w:t xml:space="preserve">Europejskiej </w:t>
      </w:r>
      <w:r w:rsidRPr="00833C88">
        <w:rPr>
          <w:rFonts w:ascii="Times New Roman" w:hAnsi="Times New Roman" w:cs="Times New Roman"/>
          <w:bCs w:val="0"/>
        </w:rPr>
        <w:t>lub jej państwom członkowskim</w:t>
      </w:r>
      <w:r w:rsidR="001B5C5E" w:rsidRPr="00833C88">
        <w:rPr>
          <w:rFonts w:ascii="Times New Roman" w:hAnsi="Times New Roman" w:cs="Times New Roman"/>
          <w:bCs w:val="0"/>
        </w:rPr>
        <w:t xml:space="preserve"> (Dz. Urz. UE L 2020/1125 </w:t>
      </w:r>
      <w:r w:rsidR="00601933" w:rsidRPr="00833C88">
        <w:rPr>
          <w:rFonts w:ascii="Times New Roman" w:hAnsi="Times New Roman" w:cs="Times New Roman"/>
          <w:bCs w:val="0"/>
        </w:rPr>
        <w:t>z </w:t>
      </w:r>
      <w:r w:rsidR="001B5C5E" w:rsidRPr="00833C88">
        <w:rPr>
          <w:rFonts w:ascii="Times New Roman" w:hAnsi="Times New Roman" w:cs="Times New Roman"/>
          <w:bCs w:val="0"/>
        </w:rPr>
        <w:t>30.07.2020)</w:t>
      </w:r>
      <w:r w:rsidRPr="00833C88">
        <w:rPr>
          <w:rFonts w:ascii="Times New Roman" w:hAnsi="Times New Roman" w:cs="Times New Roman"/>
          <w:bCs w:val="0"/>
        </w:rPr>
        <w:t xml:space="preserve"> Unia Europejska wskazała podmioty, które dokonują cyberataków na Unię </w:t>
      </w:r>
      <w:r w:rsidR="00853061" w:rsidRPr="00833C88">
        <w:rPr>
          <w:rFonts w:ascii="Times New Roman" w:hAnsi="Times New Roman" w:cs="Times New Roman"/>
          <w:bCs w:val="0"/>
        </w:rPr>
        <w:t xml:space="preserve">Europejską </w:t>
      </w:r>
      <w:r w:rsidRPr="00833C88">
        <w:rPr>
          <w:rFonts w:ascii="Times New Roman" w:hAnsi="Times New Roman" w:cs="Times New Roman"/>
          <w:bCs w:val="0"/>
        </w:rPr>
        <w:t>lub jej państwa członkowskie. Wskazane jest, aby opinia Kolegium</w:t>
      </w:r>
      <w:r w:rsidR="001B5C5E" w:rsidRPr="00833C88">
        <w:rPr>
          <w:rFonts w:ascii="Times New Roman" w:hAnsi="Times New Roman" w:cs="Times New Roman"/>
          <w:bCs w:val="0"/>
        </w:rPr>
        <w:t xml:space="preserve"> </w:t>
      </w:r>
      <w:r w:rsidRPr="00833C88">
        <w:rPr>
          <w:rFonts w:ascii="Times New Roman" w:hAnsi="Times New Roman" w:cs="Times New Roman"/>
          <w:bCs w:val="0"/>
        </w:rPr>
        <w:t xml:space="preserve">dotyczyła również </w:t>
      </w:r>
      <w:r w:rsidR="001B5C5E" w:rsidRPr="00833C88">
        <w:rPr>
          <w:rFonts w:ascii="Times New Roman" w:hAnsi="Times New Roman" w:cs="Times New Roman"/>
          <w:bCs w:val="0"/>
        </w:rPr>
        <w:t xml:space="preserve">tego, </w:t>
      </w:r>
      <w:r w:rsidRPr="00833C88">
        <w:rPr>
          <w:rFonts w:ascii="Times New Roman" w:hAnsi="Times New Roman" w:cs="Times New Roman"/>
          <w:bCs w:val="0"/>
        </w:rPr>
        <w:t>jakie są relacje pomiędzy tymi podmiotami a dostawcą sprzętu lub oprogramowania.</w:t>
      </w:r>
    </w:p>
    <w:p w14:paraId="1BD5157A" w14:textId="4F55667B"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bCs w:val="0"/>
        </w:rPr>
        <w:t xml:space="preserve">Jak już wyżej </w:t>
      </w:r>
      <w:r w:rsidR="001B5C5E" w:rsidRPr="00833C88">
        <w:rPr>
          <w:rFonts w:ascii="Times New Roman" w:hAnsi="Times New Roman" w:cs="Times New Roman"/>
          <w:bCs w:val="0"/>
        </w:rPr>
        <w:t xml:space="preserve">wskazano </w:t>
      </w:r>
      <w:r w:rsidRPr="00833C88">
        <w:rPr>
          <w:rFonts w:ascii="Times New Roman" w:hAnsi="Times New Roman" w:cs="Times New Roman"/>
          <w:bCs w:val="0"/>
        </w:rPr>
        <w:t>ryzyka dotyczą również aspektów technicznych produktów</w:t>
      </w:r>
      <w:r w:rsidR="005E16E0" w:rsidRPr="00833C88">
        <w:rPr>
          <w:rFonts w:ascii="Times New Roman" w:hAnsi="Times New Roman" w:cs="Times New Roman"/>
          <w:bCs w:val="0"/>
        </w:rPr>
        <w:t xml:space="preserve"> ICT</w:t>
      </w:r>
      <w:r w:rsidRPr="00833C88">
        <w:rPr>
          <w:rFonts w:ascii="Times New Roman" w:hAnsi="Times New Roman" w:cs="Times New Roman"/>
          <w:bCs w:val="0"/>
        </w:rPr>
        <w:t xml:space="preserve">, usług </w:t>
      </w:r>
      <w:r w:rsidR="005E16E0" w:rsidRPr="00833C88">
        <w:rPr>
          <w:rFonts w:ascii="Times New Roman" w:hAnsi="Times New Roman" w:cs="Times New Roman"/>
          <w:bCs w:val="0"/>
        </w:rPr>
        <w:t xml:space="preserve">ICT </w:t>
      </w:r>
      <w:r w:rsidRPr="00833C88">
        <w:rPr>
          <w:rFonts w:ascii="Times New Roman" w:hAnsi="Times New Roman" w:cs="Times New Roman"/>
          <w:bCs w:val="0"/>
        </w:rPr>
        <w:t>i procesów ICT dostarczanych przez dostawcę. Dlatego d</w:t>
      </w:r>
      <w:r w:rsidRPr="00833C88">
        <w:rPr>
          <w:rFonts w:ascii="Times New Roman" w:hAnsi="Times New Roman" w:cs="Times New Roman"/>
        </w:rPr>
        <w:t>o technicznych aspektów opinii należy analiza:</w:t>
      </w:r>
    </w:p>
    <w:p w14:paraId="58A59B5F" w14:textId="77777777" w:rsidR="007929D4" w:rsidRPr="00833C88" w:rsidRDefault="007929D4">
      <w:pPr>
        <w:pStyle w:val="NIEARTTEKSTtekstnieartykuowanynppodstprawnarozplubpreambua"/>
        <w:numPr>
          <w:ilvl w:val="0"/>
          <w:numId w:val="3"/>
        </w:numPr>
        <w:spacing w:before="0" w:after="120"/>
        <w:rPr>
          <w:rFonts w:ascii="Times New Roman" w:hAnsi="Times New Roman" w:cs="Times New Roman"/>
        </w:rPr>
      </w:pPr>
      <w:r w:rsidRPr="00833C88">
        <w:rPr>
          <w:rFonts w:ascii="Times New Roman" w:hAnsi="Times New Roman" w:cs="Times New Roman"/>
        </w:rPr>
        <w:t>liczby i rodzajów wykrytych podatności i incydentów dotyczących zakresu typów produktów ICT lub rodzajów usług ICT lub konkretnych procesów ICT dostarczanych przez dostawcę sprzętu lub oprogramowania oraz sposobu i czasu ich eliminowania;</w:t>
      </w:r>
    </w:p>
    <w:p w14:paraId="6446723D" w14:textId="507CD121" w:rsidR="007929D4" w:rsidRPr="00833C88" w:rsidRDefault="007929D4">
      <w:pPr>
        <w:pStyle w:val="NIEARTTEKSTtekstnieartykuowanynppodstprawnarozplubpreambua"/>
        <w:numPr>
          <w:ilvl w:val="0"/>
          <w:numId w:val="3"/>
        </w:numPr>
        <w:spacing w:before="0" w:after="120"/>
        <w:rPr>
          <w:rFonts w:ascii="Times New Roman" w:hAnsi="Times New Roman" w:cs="Times New Roman"/>
        </w:rPr>
      </w:pPr>
      <w:r w:rsidRPr="00833C88">
        <w:rPr>
          <w:rFonts w:ascii="Times New Roman" w:hAnsi="Times New Roman" w:cs="Times New Roman"/>
        </w:rPr>
        <w:t>tryb</w:t>
      </w:r>
      <w:r w:rsidR="001B5C5E" w:rsidRPr="00833C88">
        <w:rPr>
          <w:rFonts w:ascii="Times New Roman" w:hAnsi="Times New Roman" w:cs="Times New Roman"/>
        </w:rPr>
        <w:t>u</w:t>
      </w:r>
      <w:r w:rsidRPr="00833C88">
        <w:rPr>
          <w:rFonts w:ascii="Times New Roman" w:hAnsi="Times New Roman" w:cs="Times New Roman"/>
        </w:rPr>
        <w:t xml:space="preserve"> i zakres</w:t>
      </w:r>
      <w:r w:rsidR="001B5C5E" w:rsidRPr="00833C88">
        <w:rPr>
          <w:rFonts w:ascii="Times New Roman" w:hAnsi="Times New Roman" w:cs="Times New Roman"/>
        </w:rPr>
        <w:t>u</w:t>
      </w:r>
      <w:r w:rsidRPr="00833C88">
        <w:rPr>
          <w:rFonts w:ascii="Times New Roman" w:hAnsi="Times New Roman" w:cs="Times New Roman"/>
        </w:rPr>
        <w:t xml:space="preserve">, w jakim dostawca sprzętu lub oprogramowania sprawuje nadzór nad procesem wytwarzania i dostarczania sprzętu lub oprogramowania dla podmiotów, o których mowa </w:t>
      </w:r>
      <w:r w:rsidR="00601933" w:rsidRPr="00833C88">
        <w:rPr>
          <w:rFonts w:ascii="Times New Roman" w:hAnsi="Times New Roman" w:cs="Times New Roman"/>
        </w:rPr>
        <w:t>w </w:t>
      </w:r>
      <w:r w:rsidR="00267108" w:rsidRPr="00833C88">
        <w:rPr>
          <w:rFonts w:ascii="Times New Roman" w:hAnsi="Times New Roman" w:cs="Times New Roman"/>
        </w:rPr>
        <w:t>art. 67b</w:t>
      </w:r>
      <w:r w:rsidRPr="00833C88">
        <w:rPr>
          <w:rFonts w:ascii="Times New Roman" w:hAnsi="Times New Roman" w:cs="Times New Roman"/>
        </w:rPr>
        <w:t> ust. 1</w:t>
      </w:r>
      <w:r w:rsidR="00267108" w:rsidRPr="00833C88">
        <w:rPr>
          <w:rFonts w:ascii="Times New Roman" w:hAnsi="Times New Roman" w:cs="Times New Roman"/>
        </w:rPr>
        <w:t xml:space="preserve"> ustawy </w:t>
      </w:r>
      <w:r w:rsidR="00601933" w:rsidRPr="00833C88">
        <w:rPr>
          <w:rFonts w:ascii="Times New Roman" w:hAnsi="Times New Roman" w:cs="Times New Roman"/>
        </w:rPr>
        <w:t>o </w:t>
      </w:r>
      <w:r w:rsidR="00267108" w:rsidRPr="00833C88">
        <w:rPr>
          <w:rFonts w:ascii="Times New Roman" w:hAnsi="Times New Roman" w:cs="Times New Roman"/>
        </w:rPr>
        <w:t>KSC,</w:t>
      </w:r>
      <w:r w:rsidRPr="00833C88">
        <w:rPr>
          <w:rFonts w:ascii="Times New Roman" w:hAnsi="Times New Roman" w:cs="Times New Roman"/>
        </w:rPr>
        <w:t xml:space="preserve"> oraz ryzyka dla procesu wytwarzania i dostarczania sprzętu lub oprogramowania;</w:t>
      </w:r>
    </w:p>
    <w:p w14:paraId="7D99691F" w14:textId="0F077D6F" w:rsidR="007929D4" w:rsidRPr="00833C88" w:rsidRDefault="007929D4">
      <w:pPr>
        <w:pStyle w:val="NIEARTTEKSTtekstnieartykuowanynppodstprawnarozplubpreambua"/>
        <w:numPr>
          <w:ilvl w:val="0"/>
          <w:numId w:val="3"/>
        </w:numPr>
        <w:spacing w:before="0" w:after="120"/>
        <w:rPr>
          <w:rFonts w:ascii="Times New Roman" w:hAnsi="Times New Roman" w:cs="Times New Roman"/>
        </w:rPr>
      </w:pPr>
      <w:r w:rsidRPr="00833C88">
        <w:rPr>
          <w:rFonts w:ascii="Times New Roman" w:hAnsi="Times New Roman" w:cs="Times New Roman"/>
        </w:rPr>
        <w:t>treś</w:t>
      </w:r>
      <w:r w:rsidR="001B5C5E" w:rsidRPr="00833C88">
        <w:rPr>
          <w:rFonts w:ascii="Times New Roman" w:hAnsi="Times New Roman" w:cs="Times New Roman"/>
        </w:rPr>
        <w:t>ci</w:t>
      </w:r>
      <w:r w:rsidRPr="00833C88">
        <w:rPr>
          <w:rFonts w:ascii="Times New Roman" w:hAnsi="Times New Roman" w:cs="Times New Roman"/>
        </w:rPr>
        <w:t xml:space="preserve"> wydanych wcześniej rekomendacji, o których mowa </w:t>
      </w:r>
      <w:r w:rsidR="00601933" w:rsidRPr="00833C88">
        <w:rPr>
          <w:rFonts w:ascii="Times New Roman" w:hAnsi="Times New Roman" w:cs="Times New Roman"/>
        </w:rPr>
        <w:t>w </w:t>
      </w:r>
      <w:r w:rsidRPr="00833C88">
        <w:rPr>
          <w:rFonts w:ascii="Times New Roman" w:hAnsi="Times New Roman" w:cs="Times New Roman"/>
        </w:rPr>
        <w:t>art. 33</w:t>
      </w:r>
      <w:r w:rsidR="00267108" w:rsidRPr="00833C88">
        <w:rPr>
          <w:rFonts w:ascii="Times New Roman" w:hAnsi="Times New Roman" w:cs="Times New Roman"/>
        </w:rPr>
        <w:t xml:space="preserve"> ust. 4</w:t>
      </w:r>
      <w:r w:rsidR="001B5C5E" w:rsidRPr="00833C88">
        <w:rPr>
          <w:rFonts w:ascii="Times New Roman" w:hAnsi="Times New Roman" w:cs="Times New Roman"/>
        </w:rPr>
        <w:t xml:space="preserve"> ustawy o</w:t>
      </w:r>
      <w:r w:rsidR="00267108" w:rsidRPr="00833C88">
        <w:rPr>
          <w:rFonts w:ascii="Times New Roman" w:hAnsi="Times New Roman" w:cs="Times New Roman"/>
        </w:rPr>
        <w:t> </w:t>
      </w:r>
      <w:r w:rsidR="001B5C5E" w:rsidRPr="00833C88">
        <w:rPr>
          <w:rFonts w:ascii="Times New Roman" w:hAnsi="Times New Roman" w:cs="Times New Roman"/>
        </w:rPr>
        <w:t>KSC</w:t>
      </w:r>
      <w:r w:rsidRPr="00833C88">
        <w:rPr>
          <w:rFonts w:ascii="Times New Roman" w:hAnsi="Times New Roman" w:cs="Times New Roman"/>
        </w:rPr>
        <w:t>, dotyczących sprzętu lub oprogramowania danego dostawcy.</w:t>
      </w:r>
    </w:p>
    <w:p w14:paraId="0162B7BC" w14:textId="77777777" w:rsidR="007929D4" w:rsidRPr="00833C88" w:rsidRDefault="007929D4" w:rsidP="00DC5015">
      <w:pPr>
        <w:pStyle w:val="NIEARTTEKSTtekstnieartykuowanynppodstprawnarozplubpreambua"/>
        <w:spacing w:before="0" w:after="120"/>
        <w:rPr>
          <w:rFonts w:ascii="Times New Roman" w:hAnsi="Times New Roman" w:cs="Times New Roman"/>
          <w:bCs w:val="0"/>
        </w:rPr>
      </w:pPr>
      <w:r w:rsidRPr="00833C88">
        <w:rPr>
          <w:rFonts w:ascii="Times New Roman" w:hAnsi="Times New Roman" w:cs="Times New Roman"/>
          <w:bCs w:val="0"/>
        </w:rPr>
        <w:t xml:space="preserve">Jest to związane z potencjalnymi </w:t>
      </w:r>
      <w:proofErr w:type="spellStart"/>
      <w:r w:rsidRPr="00833C88">
        <w:rPr>
          <w:rFonts w:ascii="Times New Roman" w:hAnsi="Times New Roman" w:cs="Times New Roman"/>
          <w:bCs w:val="0"/>
        </w:rPr>
        <w:t>ryzykami</w:t>
      </w:r>
      <w:proofErr w:type="spellEnd"/>
      <w:r w:rsidRPr="00833C88">
        <w:rPr>
          <w:rFonts w:ascii="Times New Roman" w:hAnsi="Times New Roman" w:cs="Times New Roman"/>
          <w:bCs w:val="0"/>
        </w:rPr>
        <w:t xml:space="preserve">, które wiążą się z niską jakością sprzętu lub oprogramowania. Jak wyżej wspomniano podatności mogą być wykorzystane do cyberataków </w:t>
      </w:r>
      <w:r w:rsidRPr="00833C88">
        <w:rPr>
          <w:rFonts w:ascii="Times New Roman" w:hAnsi="Times New Roman" w:cs="Times New Roman"/>
          <w:bCs w:val="0"/>
        </w:rPr>
        <w:lastRenderedPageBreak/>
        <w:t>przez państwa, grupy APT czy grupy przestępcze – dlatego warto zbadać jakość produktów dostarczanych przez dostawcę.</w:t>
      </w:r>
    </w:p>
    <w:p w14:paraId="432F694F" w14:textId="715094F5"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Realizując postulaty strony społecznej dodano wymóg, aby prowadząc opinię Kolegium uwzględniło także certyfikaty produktów, usług i procesów ICT dostarczanych przez dostawcę oraz wyniki analiz łańcuchów dostaw, które przeprowadziły zespoły CSIRT poziomu krajowego.</w:t>
      </w:r>
    </w:p>
    <w:p w14:paraId="0CE7D684" w14:textId="1D7F6D31" w:rsidR="007929D4" w:rsidRPr="00833C88" w:rsidRDefault="00F67137"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Określono p</w:t>
      </w:r>
      <w:r w:rsidR="007929D4" w:rsidRPr="00833C88">
        <w:rPr>
          <w:rFonts w:ascii="Times New Roman" w:hAnsi="Times New Roman" w:cs="Times New Roman"/>
        </w:rPr>
        <w:t>rocedur</w:t>
      </w:r>
      <w:r w:rsidRPr="00833C88">
        <w:rPr>
          <w:rFonts w:ascii="Times New Roman" w:hAnsi="Times New Roman" w:cs="Times New Roman"/>
        </w:rPr>
        <w:t>ę</w:t>
      </w:r>
      <w:r w:rsidR="007929D4" w:rsidRPr="00833C88">
        <w:rPr>
          <w:rFonts w:ascii="Times New Roman" w:hAnsi="Times New Roman" w:cs="Times New Roman"/>
        </w:rPr>
        <w:t xml:space="preserve"> sporządzania opinii Kolegium. Opinia zostanie przygotowana przez zespół opiniujący w skład, którego wchodzą przedstawiciele członków Kolegium. Każdy członek zespołu opiniującego przygotowuje stanowisko w zakresie swojej właściwości. Przewodniczący Kolegium będzie miał kompetencję do rozstrzygnięcia ewentualnego negatywnego sporu co do zakresu tej właściwości poprzez wskazanie właściwego członka zespołu opiniującego. Wprowadzono obowiązek przeprowadzenia analiz łańcuchów dostaw, zanim zostanie sporządzona opinia Kolegium</w:t>
      </w:r>
      <w:r w:rsidR="00267108" w:rsidRPr="00833C88">
        <w:rPr>
          <w:rFonts w:ascii="Times New Roman" w:hAnsi="Times New Roman" w:cs="Times New Roman"/>
        </w:rPr>
        <w:t xml:space="preserve"> </w:t>
      </w:r>
      <w:r w:rsidR="007929D4" w:rsidRPr="00833C88">
        <w:rPr>
          <w:rFonts w:ascii="Times New Roman" w:hAnsi="Times New Roman" w:cs="Times New Roman"/>
        </w:rPr>
        <w:t>w sprawie dostawcy.</w:t>
      </w:r>
    </w:p>
    <w:p w14:paraId="174BDAD5" w14:textId="77777777" w:rsidR="00C5653A" w:rsidRPr="00833C88" w:rsidRDefault="00C5653A"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Po przeprowadzeniu postępowania minister właściwy do spraw informatyzacji wyda decyzję uznającą dostawcę sprzętu lub oprogramowania za dostawcę wysokiego ryzyka, jeżeli z przeprowadzonego postępowania wynika, że dostawca ten stanowi zagrożenie dla podstawowego interesu bezpieczeństwa państwa. Decyzja będzie zawierać wskazanie typów produktów ICT, rodzajów usług ICT i konkretnych procesów ICT pochodzących od dostawcy uwzględnionych w postępowaniu w sprawie uznania za dostawcę wysokiego ryzyka – ponieważ one też stwarzają zagrożenie. </w:t>
      </w:r>
    </w:p>
    <w:p w14:paraId="5416D846" w14:textId="5C9F9BF2" w:rsidR="00C5653A" w:rsidRPr="00833C88" w:rsidRDefault="00C5653A"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Pojęcie podstawowego interesu bezpieczeństwa państwa jest wskazane </w:t>
      </w:r>
      <w:r w:rsidR="00601933" w:rsidRPr="00833C88">
        <w:rPr>
          <w:rFonts w:ascii="Times New Roman" w:hAnsi="Times New Roman" w:cs="Times New Roman"/>
        </w:rPr>
        <w:t>w </w:t>
      </w:r>
      <w:r w:rsidRPr="00833C88">
        <w:rPr>
          <w:rFonts w:ascii="Times New Roman" w:hAnsi="Times New Roman" w:cs="Times New Roman"/>
        </w:rPr>
        <w:t xml:space="preserve">art. 346 Traktatu </w:t>
      </w:r>
      <w:r w:rsidR="00601933" w:rsidRPr="00833C88">
        <w:rPr>
          <w:rFonts w:ascii="Times New Roman" w:hAnsi="Times New Roman" w:cs="Times New Roman"/>
        </w:rPr>
        <w:t>o </w:t>
      </w:r>
      <w:r w:rsidRPr="00833C88">
        <w:rPr>
          <w:rFonts w:ascii="Times New Roman" w:hAnsi="Times New Roman" w:cs="Times New Roman"/>
        </w:rPr>
        <w:t>funkcjonowaniu Unii Europejskiej</w:t>
      </w:r>
      <w:r w:rsidRPr="00833C88">
        <w:rPr>
          <w:rStyle w:val="Odwoanieprzypisudolnego"/>
          <w:rFonts w:ascii="Times New Roman" w:hAnsi="Times New Roman" w:cs="Times New Roman"/>
        </w:rPr>
        <w:footnoteReference w:id="76"/>
      </w:r>
      <w:r w:rsidR="005B7915" w:rsidRPr="00833C88">
        <w:rPr>
          <w:rFonts w:ascii="Times New Roman" w:hAnsi="Times New Roman" w:cs="Times New Roman"/>
          <w:vertAlign w:val="superscript"/>
        </w:rPr>
        <w:t>)</w:t>
      </w:r>
      <w:r w:rsidRPr="00833C88">
        <w:rPr>
          <w:rFonts w:ascii="Times New Roman" w:hAnsi="Times New Roman" w:cs="Times New Roman"/>
        </w:rPr>
        <w:t xml:space="preserve">. Zdaniem Rzecznika Generalnego N. </w:t>
      </w:r>
      <w:proofErr w:type="spellStart"/>
      <w:r w:rsidRPr="00833C88">
        <w:rPr>
          <w:rFonts w:ascii="Times New Roman" w:hAnsi="Times New Roman" w:cs="Times New Roman"/>
        </w:rPr>
        <w:t>Emiliou</w:t>
      </w:r>
      <w:proofErr w:type="spellEnd"/>
      <w:r w:rsidRPr="00833C88">
        <w:rPr>
          <w:rFonts w:ascii="Times New Roman" w:hAnsi="Times New Roman" w:cs="Times New Roman"/>
        </w:rPr>
        <w:t xml:space="preserve"> termin bezpieczeństwa państwa </w:t>
      </w:r>
      <w:r w:rsidR="00601933" w:rsidRPr="00833C88">
        <w:rPr>
          <w:rFonts w:ascii="Times New Roman" w:hAnsi="Times New Roman" w:cs="Times New Roman"/>
        </w:rPr>
        <w:t>z </w:t>
      </w:r>
      <w:r w:rsidRPr="00833C88">
        <w:rPr>
          <w:rFonts w:ascii="Times New Roman" w:hAnsi="Times New Roman" w:cs="Times New Roman"/>
        </w:rPr>
        <w:t xml:space="preserve">art. 346 TFUE odpowiada terminom „bezpieczeństwo publiczne” </w:t>
      </w:r>
      <w:r w:rsidR="00601933" w:rsidRPr="00833C88">
        <w:rPr>
          <w:rFonts w:ascii="Times New Roman" w:hAnsi="Times New Roman" w:cs="Times New Roman"/>
        </w:rPr>
        <w:t>i </w:t>
      </w:r>
      <w:r w:rsidRPr="00833C88">
        <w:rPr>
          <w:rFonts w:ascii="Times New Roman" w:hAnsi="Times New Roman" w:cs="Times New Roman"/>
        </w:rPr>
        <w:t xml:space="preserve">„bezpieczeństwo narodowe”, oraz </w:t>
      </w:r>
      <w:r w:rsidR="00601933" w:rsidRPr="00833C88">
        <w:rPr>
          <w:rFonts w:ascii="Times New Roman" w:hAnsi="Times New Roman" w:cs="Times New Roman"/>
        </w:rPr>
        <w:t>w </w:t>
      </w:r>
      <w:r w:rsidRPr="00833C88">
        <w:rPr>
          <w:rFonts w:ascii="Times New Roman" w:hAnsi="Times New Roman" w:cs="Times New Roman"/>
        </w:rPr>
        <w:t xml:space="preserve">znacznym stopniu pokrywa się </w:t>
      </w:r>
      <w:r w:rsidR="00601933" w:rsidRPr="00833C88">
        <w:rPr>
          <w:rFonts w:ascii="Times New Roman" w:hAnsi="Times New Roman" w:cs="Times New Roman"/>
        </w:rPr>
        <w:t>z </w:t>
      </w:r>
      <w:r w:rsidRPr="00833C88">
        <w:rPr>
          <w:rFonts w:ascii="Times New Roman" w:hAnsi="Times New Roman" w:cs="Times New Roman"/>
        </w:rPr>
        <w:t>terminem „bezpieczeństwo wewnętrzne”</w:t>
      </w:r>
      <w:r w:rsidRPr="00833C88">
        <w:rPr>
          <w:rStyle w:val="Odwoanieprzypisudolnego"/>
          <w:rFonts w:ascii="Times New Roman" w:hAnsi="Times New Roman" w:cs="Times New Roman"/>
        </w:rPr>
        <w:footnoteReference w:id="77"/>
      </w:r>
      <w:r w:rsidR="005B7915" w:rsidRPr="00833C88">
        <w:rPr>
          <w:rFonts w:ascii="Times New Roman" w:hAnsi="Times New Roman" w:cs="Times New Roman"/>
          <w:vertAlign w:val="superscript"/>
        </w:rPr>
        <w:t>)</w:t>
      </w:r>
      <w:r w:rsidRPr="00833C88">
        <w:rPr>
          <w:rFonts w:ascii="Times New Roman" w:hAnsi="Times New Roman" w:cs="Times New Roman"/>
        </w:rPr>
        <w:t>.</w:t>
      </w:r>
    </w:p>
    <w:p w14:paraId="0B73C66E" w14:textId="34964068" w:rsidR="00C5653A" w:rsidRPr="00833C88" w:rsidRDefault="00C5653A"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lastRenderedPageBreak/>
        <w:t xml:space="preserve">Zdaniem Trybunału Sprawiedliwości Unii Europejskiej bezpieczeństwem narodowym jest: </w:t>
      </w:r>
      <w:r w:rsidR="005B7915" w:rsidRPr="00833C88">
        <w:rPr>
          <w:rFonts w:ascii="Times New Roman" w:hAnsi="Times New Roman" w:cs="Times New Roman"/>
        </w:rPr>
        <w:t>„</w:t>
      </w:r>
      <w:r w:rsidRPr="00833C88">
        <w:rPr>
          <w:rFonts w:ascii="Times New Roman" w:hAnsi="Times New Roman" w:cs="Times New Roman"/>
          <w:i/>
          <w:iCs/>
        </w:rPr>
        <w:t xml:space="preserve">pierwszorzędny interes </w:t>
      </w:r>
      <w:r w:rsidR="00601933" w:rsidRPr="00833C88">
        <w:rPr>
          <w:rFonts w:ascii="Times New Roman" w:hAnsi="Times New Roman" w:cs="Times New Roman"/>
          <w:i/>
          <w:iCs/>
        </w:rPr>
        <w:t>w </w:t>
      </w:r>
      <w:r w:rsidRPr="00833C88">
        <w:rPr>
          <w:rFonts w:ascii="Times New Roman" w:hAnsi="Times New Roman" w:cs="Times New Roman"/>
          <w:i/>
          <w:iCs/>
        </w:rPr>
        <w:t xml:space="preserve">ochronie podstawowych funkcji państwa </w:t>
      </w:r>
      <w:r w:rsidR="00601933" w:rsidRPr="00833C88">
        <w:rPr>
          <w:rFonts w:ascii="Times New Roman" w:hAnsi="Times New Roman" w:cs="Times New Roman"/>
          <w:i/>
          <w:iCs/>
        </w:rPr>
        <w:t>i </w:t>
      </w:r>
      <w:r w:rsidRPr="00833C88">
        <w:rPr>
          <w:rFonts w:ascii="Times New Roman" w:hAnsi="Times New Roman" w:cs="Times New Roman"/>
          <w:i/>
          <w:iCs/>
        </w:rPr>
        <w:t xml:space="preserve">podstawowych interesów społeczeństwa, </w:t>
      </w:r>
      <w:r w:rsidR="00601933" w:rsidRPr="00833C88">
        <w:rPr>
          <w:rFonts w:ascii="Times New Roman" w:hAnsi="Times New Roman" w:cs="Times New Roman"/>
          <w:i/>
          <w:iCs/>
        </w:rPr>
        <w:t>a </w:t>
      </w:r>
      <w:r w:rsidRPr="00833C88">
        <w:rPr>
          <w:rFonts w:ascii="Times New Roman" w:hAnsi="Times New Roman" w:cs="Times New Roman"/>
          <w:i/>
          <w:iCs/>
        </w:rPr>
        <w:t xml:space="preserve">także zapobieganie </w:t>
      </w:r>
      <w:r w:rsidR="00601933" w:rsidRPr="00833C88">
        <w:rPr>
          <w:rFonts w:ascii="Times New Roman" w:hAnsi="Times New Roman" w:cs="Times New Roman"/>
          <w:i/>
          <w:iCs/>
        </w:rPr>
        <w:t>i </w:t>
      </w:r>
      <w:r w:rsidRPr="00833C88">
        <w:rPr>
          <w:rFonts w:ascii="Times New Roman" w:hAnsi="Times New Roman" w:cs="Times New Roman"/>
          <w:i/>
          <w:iCs/>
        </w:rPr>
        <w:t xml:space="preserve">ściganie działalności mogącej poważnie zdestabilizować podstawowe struktury konstytucyjne, polityczne lub społeczne kraju, </w:t>
      </w:r>
      <w:r w:rsidR="00601933" w:rsidRPr="00833C88">
        <w:rPr>
          <w:rFonts w:ascii="Times New Roman" w:hAnsi="Times New Roman" w:cs="Times New Roman"/>
          <w:i/>
          <w:iCs/>
        </w:rPr>
        <w:t>w </w:t>
      </w:r>
      <w:r w:rsidRPr="00833C88">
        <w:rPr>
          <w:rFonts w:ascii="Times New Roman" w:hAnsi="Times New Roman" w:cs="Times New Roman"/>
          <w:i/>
          <w:iCs/>
        </w:rPr>
        <w:t>szczególności bezpośrednio zagrozić społeczeństwu, ludności lub państwu jako takiemu, zwłaszcza takiej jak działalność terrorystyczna</w:t>
      </w:r>
      <w:r w:rsidRPr="00833C88">
        <w:rPr>
          <w:rStyle w:val="Odwoanieprzypisudolnego"/>
          <w:rFonts w:ascii="Times New Roman" w:hAnsi="Times New Roman" w:cs="Times New Roman"/>
          <w:i/>
          <w:iCs/>
        </w:rPr>
        <w:footnoteReference w:id="78"/>
      </w:r>
      <w:r w:rsidR="005B7915" w:rsidRPr="00833C88">
        <w:rPr>
          <w:rFonts w:ascii="Times New Roman" w:hAnsi="Times New Roman" w:cs="Times New Roman"/>
          <w:i/>
          <w:iCs/>
          <w:vertAlign w:val="superscript"/>
        </w:rPr>
        <w:t>)</w:t>
      </w:r>
      <w:r w:rsidR="005B7915" w:rsidRPr="00833C88">
        <w:rPr>
          <w:rFonts w:ascii="Times New Roman" w:hAnsi="Times New Roman" w:cs="Times New Roman"/>
        </w:rPr>
        <w:t>”</w:t>
      </w:r>
      <w:r w:rsidRPr="00833C88">
        <w:rPr>
          <w:rFonts w:ascii="Times New Roman" w:hAnsi="Times New Roman" w:cs="Times New Roman"/>
        </w:rPr>
        <w:t xml:space="preserve">. Rzecznik Generalny rozwinął to, wskazując, że ten </w:t>
      </w:r>
      <w:r w:rsidR="005B7915" w:rsidRPr="00833C88">
        <w:rPr>
          <w:rFonts w:ascii="Times New Roman" w:hAnsi="Times New Roman" w:cs="Times New Roman"/>
        </w:rPr>
        <w:t>„</w:t>
      </w:r>
      <w:r w:rsidRPr="00833C88">
        <w:rPr>
          <w:rFonts w:ascii="Times New Roman" w:hAnsi="Times New Roman" w:cs="Times New Roman"/>
          <w:i/>
          <w:iCs/>
        </w:rPr>
        <w:t xml:space="preserve">termin odnosi się do kwestii związanych </w:t>
      </w:r>
      <w:r w:rsidR="00601933" w:rsidRPr="00833C88">
        <w:rPr>
          <w:rFonts w:ascii="Times New Roman" w:hAnsi="Times New Roman" w:cs="Times New Roman"/>
          <w:i/>
          <w:iCs/>
        </w:rPr>
        <w:t>z </w:t>
      </w:r>
      <w:r w:rsidRPr="00833C88">
        <w:rPr>
          <w:rFonts w:ascii="Times New Roman" w:hAnsi="Times New Roman" w:cs="Times New Roman"/>
          <w:i/>
          <w:iCs/>
        </w:rPr>
        <w:t xml:space="preserve">bezpieczeństwem instytucji </w:t>
      </w:r>
      <w:r w:rsidR="00601933" w:rsidRPr="00833C88">
        <w:rPr>
          <w:rFonts w:ascii="Times New Roman" w:hAnsi="Times New Roman" w:cs="Times New Roman"/>
          <w:i/>
          <w:iCs/>
        </w:rPr>
        <w:t>i </w:t>
      </w:r>
      <w:r w:rsidRPr="00833C88">
        <w:rPr>
          <w:rFonts w:ascii="Times New Roman" w:hAnsi="Times New Roman" w:cs="Times New Roman"/>
          <w:i/>
          <w:iCs/>
        </w:rPr>
        <w:t xml:space="preserve">ludności państwa członkowskiego </w:t>
      </w:r>
      <w:r w:rsidR="00601933" w:rsidRPr="00833C88">
        <w:rPr>
          <w:rFonts w:ascii="Times New Roman" w:hAnsi="Times New Roman" w:cs="Times New Roman"/>
          <w:i/>
          <w:iCs/>
        </w:rPr>
        <w:t>w </w:t>
      </w:r>
      <w:r w:rsidRPr="00833C88">
        <w:rPr>
          <w:rFonts w:ascii="Times New Roman" w:hAnsi="Times New Roman" w:cs="Times New Roman"/>
          <w:i/>
          <w:iCs/>
        </w:rPr>
        <w:t xml:space="preserve">obliczu zagrożeń </w:t>
      </w:r>
      <w:r w:rsidR="00601933" w:rsidRPr="00833C88">
        <w:rPr>
          <w:rFonts w:ascii="Times New Roman" w:hAnsi="Times New Roman" w:cs="Times New Roman"/>
          <w:i/>
          <w:iCs/>
        </w:rPr>
        <w:t>o </w:t>
      </w:r>
      <w:r w:rsidRPr="00833C88">
        <w:rPr>
          <w:rFonts w:ascii="Times New Roman" w:hAnsi="Times New Roman" w:cs="Times New Roman"/>
          <w:i/>
          <w:iCs/>
        </w:rPr>
        <w:t xml:space="preserve">określonym znaczeniu, wynikających </w:t>
      </w:r>
      <w:r w:rsidR="00601933" w:rsidRPr="00833C88">
        <w:rPr>
          <w:rFonts w:ascii="Times New Roman" w:hAnsi="Times New Roman" w:cs="Times New Roman"/>
          <w:i/>
          <w:iCs/>
        </w:rPr>
        <w:t>z </w:t>
      </w:r>
      <w:r w:rsidRPr="00833C88">
        <w:rPr>
          <w:rFonts w:ascii="Times New Roman" w:hAnsi="Times New Roman" w:cs="Times New Roman"/>
          <w:i/>
          <w:iCs/>
        </w:rPr>
        <w:t xml:space="preserve">okoliczności mających </w:t>
      </w:r>
      <w:r w:rsidR="00601933" w:rsidRPr="00833C88">
        <w:rPr>
          <w:rFonts w:ascii="Times New Roman" w:hAnsi="Times New Roman" w:cs="Times New Roman"/>
          <w:i/>
          <w:iCs/>
        </w:rPr>
        <w:t>w </w:t>
      </w:r>
      <w:r w:rsidRPr="00833C88">
        <w:rPr>
          <w:rFonts w:ascii="Times New Roman" w:hAnsi="Times New Roman" w:cs="Times New Roman"/>
          <w:i/>
          <w:iCs/>
        </w:rPr>
        <w:t>stosunku do tego państwa charakter wewnętrzny (przestępczość zorganizowana, zamieszki itp.) lub zewnętrzny (działania wywiadowcze lub kontrwywiadowcze, cyberwojna itp.)</w:t>
      </w:r>
      <w:r w:rsidRPr="00833C88">
        <w:rPr>
          <w:rStyle w:val="Odwoanieprzypisudolnego"/>
          <w:rFonts w:ascii="Times New Roman" w:hAnsi="Times New Roman" w:cs="Times New Roman"/>
          <w:i/>
          <w:iCs/>
        </w:rPr>
        <w:footnoteReference w:id="79"/>
      </w:r>
      <w:r w:rsidR="005B7915" w:rsidRPr="00833C88">
        <w:rPr>
          <w:rFonts w:ascii="Times New Roman" w:hAnsi="Times New Roman" w:cs="Times New Roman"/>
          <w:vertAlign w:val="superscript"/>
        </w:rPr>
        <w:t>)</w:t>
      </w:r>
      <w:r w:rsidR="005B7915" w:rsidRPr="00833C88">
        <w:rPr>
          <w:rFonts w:ascii="Times New Roman" w:hAnsi="Times New Roman" w:cs="Times New Roman"/>
        </w:rPr>
        <w:t>”.</w:t>
      </w:r>
    </w:p>
    <w:p w14:paraId="73902AFF" w14:textId="26DBB780" w:rsidR="00C5653A" w:rsidRPr="00833C88" w:rsidRDefault="00C5653A"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Należy jeszcze wyjaśnić na czym polega pojęcie „podstawowego interesu”. Rzecznik Generalny wskazuje, że </w:t>
      </w:r>
      <w:r w:rsidR="005B7915" w:rsidRPr="00833C88">
        <w:rPr>
          <w:rFonts w:ascii="Times New Roman" w:hAnsi="Times New Roman" w:cs="Times New Roman"/>
        </w:rPr>
        <w:t>„</w:t>
      </w:r>
      <w:r w:rsidRPr="00833C88">
        <w:rPr>
          <w:rFonts w:ascii="Times New Roman" w:hAnsi="Times New Roman" w:cs="Times New Roman"/>
          <w:i/>
          <w:iCs/>
        </w:rPr>
        <w:t xml:space="preserve">pojęcie należy rozumieć tak, iż zawęża ono możliwość stosowania rozpatrywanych odstępstw do głównych elementów realizowanej przez państwa członkowskie polityki bezpieczeństwa, skutkując wyłączeniem </w:t>
      </w:r>
      <w:r w:rsidR="00601933" w:rsidRPr="00833C88">
        <w:rPr>
          <w:rFonts w:ascii="Times New Roman" w:hAnsi="Times New Roman" w:cs="Times New Roman"/>
          <w:i/>
          <w:iCs/>
        </w:rPr>
        <w:t>z </w:t>
      </w:r>
      <w:r w:rsidRPr="00833C88">
        <w:rPr>
          <w:rFonts w:ascii="Times New Roman" w:hAnsi="Times New Roman" w:cs="Times New Roman"/>
          <w:i/>
          <w:iCs/>
        </w:rPr>
        <w:t xml:space="preserve">ich zakresu kwestii, które są tylko pośrednio lub luźno związane </w:t>
      </w:r>
      <w:r w:rsidR="00601933" w:rsidRPr="00833C88">
        <w:rPr>
          <w:rFonts w:ascii="Times New Roman" w:hAnsi="Times New Roman" w:cs="Times New Roman"/>
          <w:i/>
          <w:iCs/>
        </w:rPr>
        <w:t>z </w:t>
      </w:r>
      <w:r w:rsidRPr="00833C88">
        <w:rPr>
          <w:rFonts w:ascii="Times New Roman" w:hAnsi="Times New Roman" w:cs="Times New Roman"/>
          <w:i/>
          <w:iCs/>
        </w:rPr>
        <w:t>bezpieczeństwem publicznym</w:t>
      </w:r>
      <w:r w:rsidRPr="00833C88">
        <w:rPr>
          <w:rStyle w:val="Odwoanieprzypisudolnego"/>
          <w:rFonts w:ascii="Times New Roman" w:hAnsi="Times New Roman" w:cs="Times New Roman"/>
          <w:i/>
          <w:iCs/>
        </w:rPr>
        <w:footnoteReference w:id="80"/>
      </w:r>
      <w:r w:rsidR="005B7915" w:rsidRPr="00833C88">
        <w:rPr>
          <w:rFonts w:ascii="Times New Roman" w:hAnsi="Times New Roman" w:cs="Times New Roman"/>
          <w:i/>
          <w:iCs/>
          <w:vertAlign w:val="superscript"/>
        </w:rPr>
        <w:t>)</w:t>
      </w:r>
      <w:r w:rsidR="005B7915" w:rsidRPr="00833C88">
        <w:rPr>
          <w:rFonts w:ascii="Times New Roman" w:hAnsi="Times New Roman" w:cs="Times New Roman"/>
        </w:rPr>
        <w:t>”</w:t>
      </w:r>
      <w:r w:rsidRPr="00833C88">
        <w:rPr>
          <w:rFonts w:ascii="Times New Roman" w:hAnsi="Times New Roman" w:cs="Times New Roman"/>
          <w:i/>
          <w:iCs/>
        </w:rPr>
        <w:t>.</w:t>
      </w:r>
      <w:r w:rsidR="005B7915" w:rsidRPr="00833C88">
        <w:rPr>
          <w:rFonts w:ascii="Times New Roman" w:hAnsi="Times New Roman" w:cs="Times New Roman"/>
          <w:i/>
          <w:iCs/>
        </w:rPr>
        <w:t xml:space="preserve"> </w:t>
      </w:r>
      <w:r w:rsidRPr="00833C88">
        <w:rPr>
          <w:rFonts w:ascii="Times New Roman" w:hAnsi="Times New Roman" w:cs="Times New Roman"/>
        </w:rPr>
        <w:t>Dzięki prawnemu zidentyfikowaniu dostawcy wysokiego ryzyka będzie możliwe wprowadzenie dodatkowych środków mitygujących zagrożenie, jakie stwarza sprzęt lub oprogramowanie dostarczane przez dostawcę wysokiego ryzyka. Ze względu na charakter sprawy – stwierdzenie zagrożenia dla podstawowego interesu bezpieczeństwa państwa</w:t>
      </w:r>
      <w:r w:rsidR="005B7915" w:rsidRPr="00833C88">
        <w:rPr>
          <w:rFonts w:ascii="Times New Roman" w:hAnsi="Times New Roman" w:cs="Times New Roman"/>
        </w:rPr>
        <w:t xml:space="preserve"> </w:t>
      </w:r>
      <w:r w:rsidRPr="00833C88">
        <w:rPr>
          <w:rFonts w:ascii="Times New Roman" w:hAnsi="Times New Roman" w:cs="Times New Roman"/>
        </w:rPr>
        <w:t>– decyzja ta będzie podlegała natychmiastowej wykonalności. Wskazać należy, że zastosowane w przepisie przesłanki w żaden sposób nie odnoszą się do pochodzenia dostawcy. Za dostawcę wysokiego ryzyka może być uznany zarówno podmiot zagraniczny jak również podmiot działający na terytorium Rzeczypospolitej Polskiej. Wszyscy przedsiębiorcy są obowiązani do działania w sposób niezagrażający bezpieczeństwu państwa polskiego.</w:t>
      </w:r>
    </w:p>
    <w:p w14:paraId="413B9334" w14:textId="3665755E"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lastRenderedPageBreak/>
        <w:t xml:space="preserve">Jeżeli </w:t>
      </w:r>
      <w:r w:rsidR="00601933" w:rsidRPr="00833C88">
        <w:rPr>
          <w:rFonts w:ascii="Times New Roman" w:hAnsi="Times New Roman" w:cs="Times New Roman"/>
        </w:rPr>
        <w:t>w </w:t>
      </w:r>
      <w:r w:rsidRPr="00833C88">
        <w:rPr>
          <w:rFonts w:ascii="Times New Roman" w:hAnsi="Times New Roman" w:cs="Times New Roman"/>
        </w:rPr>
        <w:t xml:space="preserve">trakcie postępowania zostanie stwierdzone, że dostawca nie stanowi poważnego zagrożenia </w:t>
      </w:r>
      <w:r w:rsidR="00C5653A" w:rsidRPr="00833C88">
        <w:rPr>
          <w:rFonts w:ascii="Times New Roman" w:hAnsi="Times New Roman" w:cs="Times New Roman"/>
        </w:rPr>
        <w:t>dla podstawowego interesu bezpieczeństwa państwa</w:t>
      </w:r>
      <w:r w:rsidRPr="00833C88">
        <w:rPr>
          <w:rFonts w:ascii="Times New Roman" w:hAnsi="Times New Roman" w:cs="Times New Roman"/>
        </w:rPr>
        <w:t xml:space="preserve">, to zgodnie </w:t>
      </w:r>
      <w:r w:rsidR="00601933" w:rsidRPr="00833C88">
        <w:rPr>
          <w:rFonts w:ascii="Times New Roman" w:hAnsi="Times New Roman" w:cs="Times New Roman"/>
        </w:rPr>
        <w:t>z </w:t>
      </w:r>
      <w:r w:rsidRPr="00833C88">
        <w:rPr>
          <w:rFonts w:ascii="Times New Roman" w:hAnsi="Times New Roman" w:cs="Times New Roman"/>
        </w:rPr>
        <w:t xml:space="preserve">zasadami ogólnymi Kpa zostanie wydana decyzja </w:t>
      </w:r>
      <w:r w:rsidR="00601933" w:rsidRPr="00833C88">
        <w:rPr>
          <w:rFonts w:ascii="Times New Roman" w:hAnsi="Times New Roman" w:cs="Times New Roman"/>
        </w:rPr>
        <w:t>o </w:t>
      </w:r>
      <w:r w:rsidRPr="00833C88">
        <w:rPr>
          <w:rFonts w:ascii="Times New Roman" w:hAnsi="Times New Roman" w:cs="Times New Roman"/>
        </w:rPr>
        <w:t>umorzeniu postępowania.</w:t>
      </w:r>
    </w:p>
    <w:p w14:paraId="258B092F" w14:textId="3C46065B"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Aby podmioty obowiązane do wycofania sprzętu mogły zastosować się do obowiązków wynikających z wydania tej decyzji administracyjnej, minister właściwy do spraw informatyzacji opublikuje ją w Dzienniku Urzędowym Rzeczypospolitej Polskiej „Monitor Polski”, na stronie podmiotowej ministra</w:t>
      </w:r>
      <w:r w:rsidR="00F34453" w:rsidRPr="00833C88">
        <w:rPr>
          <w:rFonts w:ascii="Times New Roman" w:hAnsi="Times New Roman" w:cs="Times New Roman"/>
        </w:rPr>
        <w:t xml:space="preserve"> właściwego do spraw informatyzacji</w:t>
      </w:r>
      <w:r w:rsidRPr="00833C88">
        <w:rPr>
          <w:rFonts w:ascii="Times New Roman" w:hAnsi="Times New Roman" w:cs="Times New Roman"/>
        </w:rPr>
        <w:t xml:space="preserve"> w </w:t>
      </w:r>
      <w:r w:rsidR="00F34453" w:rsidRPr="00833C88">
        <w:rPr>
          <w:rFonts w:ascii="Times New Roman" w:hAnsi="Times New Roman" w:cs="Times New Roman"/>
        </w:rPr>
        <w:t>BIP</w:t>
      </w:r>
      <w:r w:rsidRPr="00833C88">
        <w:rPr>
          <w:rFonts w:ascii="Times New Roman" w:hAnsi="Times New Roman" w:cs="Times New Roman"/>
        </w:rPr>
        <w:t xml:space="preserve">, a także na stronie internetowej urzędu obsługującego </w:t>
      </w:r>
      <w:r w:rsidR="00F34453" w:rsidRPr="00833C88">
        <w:rPr>
          <w:rFonts w:ascii="Times New Roman" w:hAnsi="Times New Roman" w:cs="Times New Roman"/>
        </w:rPr>
        <w:t xml:space="preserve">tego </w:t>
      </w:r>
      <w:r w:rsidRPr="00833C88">
        <w:rPr>
          <w:rFonts w:ascii="Times New Roman" w:hAnsi="Times New Roman" w:cs="Times New Roman"/>
        </w:rPr>
        <w:t>ministra.</w:t>
      </w:r>
    </w:p>
    <w:p w14:paraId="61EC1B00" w14:textId="77777777"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Od decyzji w sprawie uznania za dostawcę wysokiego ryzyka nie będzie przysługiwał wniosek o ponowne rozpatrzenie sprawy. Prawa strony postępowania będą zagwarantowane poprzez możliwość złożenia skargi do sądu administracyjnego.</w:t>
      </w:r>
    </w:p>
    <w:p w14:paraId="39D4C16B" w14:textId="3C2F1992"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Następstwem prawnego zidentyfikowania dostawcy wysokiego ryzyka powinno być zmitygowanie ryzyka, które on stwarza. Wprowadza się więc niezbędne wymogi bezpieczeństwa dla podmiotów kluczowych </w:t>
      </w:r>
      <w:r w:rsidR="00601933" w:rsidRPr="00833C88">
        <w:rPr>
          <w:rFonts w:ascii="Times New Roman" w:hAnsi="Times New Roman" w:cs="Times New Roman"/>
        </w:rPr>
        <w:t>i </w:t>
      </w:r>
      <w:r w:rsidR="00267108" w:rsidRPr="00833C88">
        <w:rPr>
          <w:rFonts w:ascii="Times New Roman" w:hAnsi="Times New Roman" w:cs="Times New Roman"/>
        </w:rPr>
        <w:t xml:space="preserve">podmiotów </w:t>
      </w:r>
      <w:r w:rsidRPr="00833C88">
        <w:rPr>
          <w:rFonts w:ascii="Times New Roman" w:hAnsi="Times New Roman" w:cs="Times New Roman"/>
        </w:rPr>
        <w:t xml:space="preserve">ważnych </w:t>
      </w:r>
      <w:r w:rsidR="00601933" w:rsidRPr="00833C88">
        <w:rPr>
          <w:rFonts w:ascii="Times New Roman" w:hAnsi="Times New Roman" w:cs="Times New Roman"/>
        </w:rPr>
        <w:t>w </w:t>
      </w:r>
      <w:r w:rsidRPr="00833C88">
        <w:rPr>
          <w:rFonts w:ascii="Times New Roman" w:hAnsi="Times New Roman" w:cs="Times New Roman"/>
        </w:rPr>
        <w:t>związku z</w:t>
      </w:r>
      <w:r w:rsidR="00267108" w:rsidRPr="00833C88">
        <w:rPr>
          <w:rFonts w:ascii="Times New Roman" w:hAnsi="Times New Roman" w:cs="Times New Roman"/>
        </w:rPr>
        <w:t> </w:t>
      </w:r>
      <w:r w:rsidRPr="00833C88">
        <w:rPr>
          <w:rFonts w:ascii="Times New Roman" w:hAnsi="Times New Roman" w:cs="Times New Roman"/>
        </w:rPr>
        <w:t xml:space="preserve">wykorzystywaniem sprzętu lub oprogramowania pochodzącego od dostawcy wysokiego ryzyka. </w:t>
      </w:r>
    </w:p>
    <w:p w14:paraId="320CE75C" w14:textId="1B850036"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Podmioty kluczowe </w:t>
      </w:r>
      <w:r w:rsidR="00601933" w:rsidRPr="00833C88">
        <w:rPr>
          <w:rFonts w:ascii="Times New Roman" w:hAnsi="Times New Roman" w:cs="Times New Roman"/>
        </w:rPr>
        <w:t>i </w:t>
      </w:r>
      <w:r w:rsidR="00267108" w:rsidRPr="00833C88">
        <w:rPr>
          <w:rFonts w:ascii="Times New Roman" w:hAnsi="Times New Roman" w:cs="Times New Roman"/>
        </w:rPr>
        <w:t xml:space="preserve">podmioty </w:t>
      </w:r>
      <w:r w:rsidRPr="00833C88">
        <w:rPr>
          <w:rFonts w:ascii="Times New Roman" w:hAnsi="Times New Roman" w:cs="Times New Roman"/>
        </w:rPr>
        <w:t>ważne nie będą mogły wprowadzać do użytkowania zakresów typów produktów ICT, rodzajów usług ICT i konkretnych procesów ICT w zakresie objętym decyzją, dostarczanych przez dostawcę wysokiego ryzyka. Dotyczyć to będzie zarówno nowych produktów</w:t>
      </w:r>
      <w:r w:rsidR="00F92E38" w:rsidRPr="00833C88">
        <w:rPr>
          <w:rFonts w:ascii="Times New Roman" w:hAnsi="Times New Roman" w:cs="Times New Roman"/>
        </w:rPr>
        <w:t xml:space="preserve"> ICT</w:t>
      </w:r>
      <w:r w:rsidRPr="00833C88">
        <w:rPr>
          <w:rFonts w:ascii="Times New Roman" w:hAnsi="Times New Roman" w:cs="Times New Roman"/>
        </w:rPr>
        <w:t>, usług</w:t>
      </w:r>
      <w:r w:rsidR="00F92E38" w:rsidRPr="00833C88">
        <w:rPr>
          <w:rFonts w:ascii="Times New Roman" w:hAnsi="Times New Roman" w:cs="Times New Roman"/>
        </w:rPr>
        <w:t xml:space="preserve"> ICT </w:t>
      </w:r>
      <w:r w:rsidR="004402AF" w:rsidRPr="00833C88">
        <w:rPr>
          <w:rFonts w:ascii="Times New Roman" w:hAnsi="Times New Roman" w:cs="Times New Roman"/>
        </w:rPr>
        <w:t>lub procesów</w:t>
      </w:r>
      <w:r w:rsidR="00F92E38" w:rsidRPr="00833C88">
        <w:rPr>
          <w:rFonts w:ascii="Times New Roman" w:hAnsi="Times New Roman" w:cs="Times New Roman"/>
        </w:rPr>
        <w:t xml:space="preserve"> ICT</w:t>
      </w:r>
      <w:r w:rsidRPr="00833C88">
        <w:rPr>
          <w:rFonts w:ascii="Times New Roman" w:hAnsi="Times New Roman" w:cs="Times New Roman"/>
        </w:rPr>
        <w:t>, jak i używanych. Celem jest, aby nie wprowadzać kolejnych produktów</w:t>
      </w:r>
      <w:r w:rsidR="00F92E38" w:rsidRPr="00833C88">
        <w:rPr>
          <w:rFonts w:ascii="Times New Roman" w:hAnsi="Times New Roman" w:cs="Times New Roman"/>
        </w:rPr>
        <w:t xml:space="preserve"> ICT</w:t>
      </w:r>
      <w:r w:rsidRPr="00833C88">
        <w:rPr>
          <w:rFonts w:ascii="Times New Roman" w:hAnsi="Times New Roman" w:cs="Times New Roman"/>
        </w:rPr>
        <w:t>, usług</w:t>
      </w:r>
      <w:r w:rsidR="00F92E38" w:rsidRPr="00833C88">
        <w:rPr>
          <w:rFonts w:ascii="Times New Roman" w:hAnsi="Times New Roman" w:cs="Times New Roman"/>
        </w:rPr>
        <w:t xml:space="preserve"> ICT lub</w:t>
      </w:r>
      <w:r w:rsidRPr="00833C88">
        <w:rPr>
          <w:rFonts w:ascii="Times New Roman" w:hAnsi="Times New Roman" w:cs="Times New Roman"/>
        </w:rPr>
        <w:t xml:space="preserve"> procesów ICT, żeby nie zwiększać już i tak wysokiego ryzyka związanego z nimi.</w:t>
      </w:r>
    </w:p>
    <w:p w14:paraId="341484D2" w14:textId="02640823"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Innym obowiązkiem będzie wycofanie z użytkowania zakresów typów produktów ICT, rodzajów usług ICT i konkretnych procesów ICT w zakresie objętym decyzją, dostarczanych przez dostawcę wysokiego ryzyka, jednak nie później niż 7 lat od dnia opublikowania informacji o decyzji. Chodzi tutaj </w:t>
      </w:r>
      <w:r w:rsidR="00601933" w:rsidRPr="00833C88">
        <w:rPr>
          <w:rFonts w:ascii="Times New Roman" w:hAnsi="Times New Roman" w:cs="Times New Roman"/>
        </w:rPr>
        <w:t>o </w:t>
      </w:r>
      <w:r w:rsidRPr="00833C88">
        <w:rPr>
          <w:rFonts w:ascii="Times New Roman" w:hAnsi="Times New Roman" w:cs="Times New Roman"/>
        </w:rPr>
        <w:t xml:space="preserve">sytuację, w której w chwili wydania decyzji </w:t>
      </w:r>
      <w:r w:rsidR="00601933" w:rsidRPr="00833C88">
        <w:rPr>
          <w:rFonts w:ascii="Times New Roman" w:hAnsi="Times New Roman" w:cs="Times New Roman"/>
        </w:rPr>
        <w:t>o </w:t>
      </w:r>
      <w:r w:rsidRPr="00833C88">
        <w:rPr>
          <w:rFonts w:ascii="Times New Roman" w:hAnsi="Times New Roman" w:cs="Times New Roman"/>
        </w:rPr>
        <w:t>uznaniu za dostawcę wysokiego ryzyka dany podmiot już używa lub korzysta z produktów</w:t>
      </w:r>
      <w:r w:rsidR="00F92E38" w:rsidRPr="00833C88">
        <w:rPr>
          <w:rFonts w:ascii="Times New Roman" w:hAnsi="Times New Roman" w:cs="Times New Roman"/>
        </w:rPr>
        <w:t xml:space="preserve"> ICT</w:t>
      </w:r>
      <w:r w:rsidRPr="00833C88">
        <w:rPr>
          <w:rFonts w:ascii="Times New Roman" w:hAnsi="Times New Roman" w:cs="Times New Roman"/>
        </w:rPr>
        <w:t xml:space="preserve">, usług </w:t>
      </w:r>
      <w:r w:rsidR="00F92E38" w:rsidRPr="00833C88">
        <w:rPr>
          <w:rFonts w:ascii="Times New Roman" w:hAnsi="Times New Roman" w:cs="Times New Roman"/>
        </w:rPr>
        <w:t>ICT lub</w:t>
      </w:r>
      <w:r w:rsidRPr="00833C88">
        <w:rPr>
          <w:rFonts w:ascii="Times New Roman" w:hAnsi="Times New Roman" w:cs="Times New Roman"/>
        </w:rPr>
        <w:t xml:space="preserve"> procesów ICT uwzględnionych w decyzji </w:t>
      </w:r>
      <w:r w:rsidR="00601933" w:rsidRPr="00833C88">
        <w:rPr>
          <w:rFonts w:ascii="Times New Roman" w:hAnsi="Times New Roman" w:cs="Times New Roman"/>
        </w:rPr>
        <w:t>o </w:t>
      </w:r>
      <w:r w:rsidRPr="00833C88">
        <w:rPr>
          <w:rFonts w:ascii="Times New Roman" w:hAnsi="Times New Roman" w:cs="Times New Roman"/>
        </w:rPr>
        <w:t>uznaniu za dostawcę wysokiego ryzyka. Będzie więc musiał wycofać go w terminie 7 lat. Jest to związane z tym, że natychmiastowe wycofanie produktów</w:t>
      </w:r>
      <w:r w:rsidR="00F92E38" w:rsidRPr="00833C88">
        <w:rPr>
          <w:rFonts w:ascii="Times New Roman" w:hAnsi="Times New Roman" w:cs="Times New Roman"/>
        </w:rPr>
        <w:t xml:space="preserve"> ICT</w:t>
      </w:r>
      <w:r w:rsidRPr="00833C88">
        <w:rPr>
          <w:rFonts w:ascii="Times New Roman" w:hAnsi="Times New Roman" w:cs="Times New Roman"/>
        </w:rPr>
        <w:t>, usług</w:t>
      </w:r>
      <w:r w:rsidR="00F92E38" w:rsidRPr="00833C88">
        <w:rPr>
          <w:rFonts w:ascii="Times New Roman" w:hAnsi="Times New Roman" w:cs="Times New Roman"/>
        </w:rPr>
        <w:t xml:space="preserve"> ICT</w:t>
      </w:r>
      <w:r w:rsidRPr="00833C88">
        <w:rPr>
          <w:rFonts w:ascii="Times New Roman" w:hAnsi="Times New Roman" w:cs="Times New Roman"/>
        </w:rPr>
        <w:t xml:space="preserve"> </w:t>
      </w:r>
      <w:r w:rsidR="00F92E38" w:rsidRPr="00833C88">
        <w:rPr>
          <w:rFonts w:ascii="Times New Roman" w:hAnsi="Times New Roman" w:cs="Times New Roman"/>
        </w:rPr>
        <w:t>lub</w:t>
      </w:r>
      <w:r w:rsidRPr="00833C88">
        <w:rPr>
          <w:rFonts w:ascii="Times New Roman" w:hAnsi="Times New Roman" w:cs="Times New Roman"/>
        </w:rPr>
        <w:t> procesów ICT mogłoby być niemożliwe w praktyce, gdyż mogłoby spowodować zaprzestanie świadczenia usług.</w:t>
      </w:r>
    </w:p>
    <w:p w14:paraId="1238424F" w14:textId="412CB292"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lastRenderedPageBreak/>
        <w:t>Natomiast najwięksi przedsiębiorcy telekomunikacyjni, posiadający lub korzystający z typów produktów ICT, rodzajów usług ICT</w:t>
      </w:r>
      <w:r w:rsidR="00DB3161" w:rsidRPr="00833C88">
        <w:rPr>
          <w:rFonts w:ascii="Times New Roman" w:hAnsi="Times New Roman" w:cs="Times New Roman"/>
        </w:rPr>
        <w:t xml:space="preserve"> lub</w:t>
      </w:r>
      <w:r w:rsidRPr="00833C88">
        <w:rPr>
          <w:rFonts w:ascii="Times New Roman" w:hAnsi="Times New Roman" w:cs="Times New Roman"/>
        </w:rPr>
        <w:t xml:space="preserve"> konkretnych proces</w:t>
      </w:r>
      <w:r w:rsidR="00233DE3" w:rsidRPr="00833C88">
        <w:rPr>
          <w:rFonts w:ascii="Times New Roman" w:hAnsi="Times New Roman" w:cs="Times New Roman"/>
        </w:rPr>
        <w:t>ów</w:t>
      </w:r>
      <w:r w:rsidRPr="00833C88">
        <w:rPr>
          <w:rFonts w:ascii="Times New Roman" w:hAnsi="Times New Roman" w:cs="Times New Roman"/>
        </w:rPr>
        <w:t xml:space="preserve"> ICT wskazanych w decyzji i określon</w:t>
      </w:r>
      <w:r w:rsidR="00996A08" w:rsidRPr="00833C88">
        <w:rPr>
          <w:rFonts w:ascii="Times New Roman" w:hAnsi="Times New Roman" w:cs="Times New Roman"/>
        </w:rPr>
        <w:t>ych</w:t>
      </w:r>
      <w:r w:rsidRPr="00833C88">
        <w:rPr>
          <w:rFonts w:ascii="Times New Roman" w:hAnsi="Times New Roman" w:cs="Times New Roman"/>
        </w:rPr>
        <w:t xml:space="preserve"> w wykazie kategorii funkcji krytycznych dla bezpieczeństwa sieci i usług w załączniku nr 3 do ustawy</w:t>
      </w:r>
      <w:r w:rsidR="001D1B59" w:rsidRPr="00833C88">
        <w:rPr>
          <w:rFonts w:ascii="Times New Roman" w:hAnsi="Times New Roman" w:cs="Times New Roman"/>
        </w:rPr>
        <w:t xml:space="preserve"> </w:t>
      </w:r>
      <w:r w:rsidR="00601933" w:rsidRPr="00833C88">
        <w:rPr>
          <w:rFonts w:ascii="Times New Roman" w:hAnsi="Times New Roman" w:cs="Times New Roman"/>
        </w:rPr>
        <w:t>o </w:t>
      </w:r>
      <w:r w:rsidR="001D1B59" w:rsidRPr="00833C88">
        <w:rPr>
          <w:rFonts w:ascii="Times New Roman" w:hAnsi="Times New Roman" w:cs="Times New Roman"/>
        </w:rPr>
        <w:t>KSC</w:t>
      </w:r>
      <w:r w:rsidR="004B1D7D" w:rsidRPr="00833C88">
        <w:rPr>
          <w:rFonts w:ascii="Times New Roman" w:hAnsi="Times New Roman" w:cs="Times New Roman"/>
        </w:rPr>
        <w:t>,</w:t>
      </w:r>
      <w:r w:rsidRPr="00833C88">
        <w:rPr>
          <w:rFonts w:ascii="Times New Roman" w:hAnsi="Times New Roman" w:cs="Times New Roman"/>
        </w:rPr>
        <w:t xml:space="preserve"> będą musieli wycofać je w ciągu 4 lat od ogłoszenia decyzji. Takie skrócenie okresu na wycofanie jest spowodowane szczególnym znaczeniem dla bezpieczeństwa państwa usług telekomunikacyjnych, szczególnie sprzętu lub oprogramowania wykorzystywanych do realizowania funkcji krytycznych dla bezpieczeństwa sieci i usług określonych w załączniku nr 3</w:t>
      </w:r>
      <w:r w:rsidR="00F92E38" w:rsidRPr="00833C88">
        <w:rPr>
          <w:rFonts w:ascii="Times New Roman" w:hAnsi="Times New Roman" w:cs="Times New Roman"/>
        </w:rPr>
        <w:t xml:space="preserve"> do ustawy</w:t>
      </w:r>
      <w:r w:rsidR="001D1B59" w:rsidRPr="00833C88">
        <w:rPr>
          <w:rFonts w:ascii="Times New Roman" w:hAnsi="Times New Roman" w:cs="Times New Roman"/>
        </w:rPr>
        <w:t xml:space="preserve"> </w:t>
      </w:r>
      <w:r w:rsidR="00601933" w:rsidRPr="00833C88">
        <w:rPr>
          <w:rFonts w:ascii="Times New Roman" w:hAnsi="Times New Roman" w:cs="Times New Roman"/>
        </w:rPr>
        <w:t>o </w:t>
      </w:r>
      <w:r w:rsidR="001D1B59" w:rsidRPr="00833C88">
        <w:rPr>
          <w:rFonts w:ascii="Times New Roman" w:hAnsi="Times New Roman" w:cs="Times New Roman"/>
        </w:rPr>
        <w:t>KSC</w:t>
      </w:r>
      <w:r w:rsidRPr="00833C88">
        <w:rPr>
          <w:rFonts w:ascii="Times New Roman" w:hAnsi="Times New Roman" w:cs="Times New Roman"/>
        </w:rPr>
        <w:t>.</w:t>
      </w:r>
    </w:p>
    <w:p w14:paraId="13549842" w14:textId="77777777"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Jednocześnie wprowadzono przepis umożliwiający użytkowanie dotychczas posiadanych typów produktów ICT, rodzajów usług ICT i konkretnych procesów ICT w zakresie objętym decyzją w sprawie uznania za dostawcę wysokiego ryzyka, dostarczanych przez dostawcę wysokiego ryzyka, w zakresie naprawy, modernizacji, wymiany elementu lub aktualizacji. Będzie to możliwe wyłącznie, jeśli jest to niezbędne dla zapewnienia odpowiedniej jakości i ciągłości świadczonych usług, w szczególności dokonywania niezbędnych napraw awarii lub uszkodzeń. Te same przepisy zostały zastosowane do podmiotów publicznych, które już zakupiły określony sprzęt w drodze zamówienia publicznego. Jest to niezbędne rozwiązanie zarówno dla zapewnienia ciągłości świadczenia usług jak również ochrony dyscypliny finansów publicznych.</w:t>
      </w:r>
    </w:p>
    <w:p w14:paraId="2F61E15D" w14:textId="1304ED33"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Wyżej zaproponowana interwencja prawodawcy jest konieczna ze względu na istotność dla bezpieczeństwa państwa usług świadczonych przez podmioty obowiązane do wycofania sprzętu lub oprogramowania. Podmioty te mogą być związane wieloletnimi umowami z</w:t>
      </w:r>
      <w:r w:rsidR="00F92E38" w:rsidRPr="00833C88">
        <w:rPr>
          <w:rFonts w:ascii="Times New Roman" w:hAnsi="Times New Roman" w:cs="Times New Roman"/>
        </w:rPr>
        <w:t> </w:t>
      </w:r>
      <w:r w:rsidRPr="00833C88">
        <w:rPr>
          <w:rFonts w:ascii="Times New Roman" w:hAnsi="Times New Roman" w:cs="Times New Roman"/>
        </w:rPr>
        <w:t xml:space="preserve">dostawcą wysokiego ryzyka na dostarczanie sprzętu lub oprogramowania czy świadczenie usług serwisowych. Bez prawnego obowiązku stopniowego wycofania sprzętu lub oprogramowania pochodzącego od dostawcy wysokiego ryzyka podmioty te nie wycofają sprzętu lub oprogramowanie m. in. </w:t>
      </w:r>
      <w:r w:rsidR="00601933" w:rsidRPr="00833C88">
        <w:rPr>
          <w:rFonts w:ascii="Times New Roman" w:hAnsi="Times New Roman" w:cs="Times New Roman"/>
        </w:rPr>
        <w:t>z </w:t>
      </w:r>
      <w:r w:rsidRPr="00833C88">
        <w:rPr>
          <w:rFonts w:ascii="Times New Roman" w:hAnsi="Times New Roman" w:cs="Times New Roman"/>
        </w:rPr>
        <w:t xml:space="preserve">uwagi na ryzyko odpowiedzialności kontraktowej wobec dostawcy. </w:t>
      </w:r>
      <w:r w:rsidR="00601933" w:rsidRPr="00833C88">
        <w:rPr>
          <w:rFonts w:ascii="Times New Roman" w:hAnsi="Times New Roman" w:cs="Times New Roman"/>
        </w:rPr>
        <w:t>W </w:t>
      </w:r>
      <w:r w:rsidRPr="00833C88">
        <w:rPr>
          <w:rFonts w:ascii="Times New Roman" w:hAnsi="Times New Roman" w:cs="Times New Roman"/>
        </w:rPr>
        <w:t>konsekwencji ryzyko związane ze sprzętem lub oprogramowaniem pochodzącym od dostawcy wysokiego ryzyka nie zostanie skutecznie zmitygowane.</w:t>
      </w:r>
    </w:p>
    <w:p w14:paraId="590F67E7" w14:textId="3A66B811"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Podkreślić należy, że jest to wyjątek od podstawowej reguły zakazu wprowadzania do</w:t>
      </w:r>
      <w:r w:rsidR="00AD6CCD" w:rsidRPr="00833C88">
        <w:rPr>
          <w:rFonts w:ascii="Times New Roman" w:hAnsi="Times New Roman" w:cs="Times New Roman"/>
        </w:rPr>
        <w:t> </w:t>
      </w:r>
      <w:r w:rsidRPr="00833C88">
        <w:rPr>
          <w:rFonts w:ascii="Times New Roman" w:hAnsi="Times New Roman" w:cs="Times New Roman"/>
        </w:rPr>
        <w:t>użytkowania i obowiązku wycofania ww. sprzętu lub oprogramowania w ciągu 5</w:t>
      </w:r>
      <w:r w:rsidR="00F92E38" w:rsidRPr="00833C88">
        <w:rPr>
          <w:rFonts w:ascii="Times New Roman" w:hAnsi="Times New Roman" w:cs="Times New Roman"/>
        </w:rPr>
        <w:t>–</w:t>
      </w:r>
      <w:r w:rsidRPr="00833C88">
        <w:rPr>
          <w:rFonts w:ascii="Times New Roman" w:hAnsi="Times New Roman" w:cs="Times New Roman"/>
        </w:rPr>
        <w:t xml:space="preserve">7 lat. Wyjątek ten nie może być interpretowany rozszerzająco. </w:t>
      </w:r>
    </w:p>
    <w:p w14:paraId="3F11EED2" w14:textId="124AED1C"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Wyjaśnienia wymaga termin </w:t>
      </w:r>
      <w:r w:rsidRPr="00833C88">
        <w:rPr>
          <w:rFonts w:ascii="Times New Roman" w:hAnsi="Times New Roman" w:cs="Times New Roman"/>
          <w:iCs/>
        </w:rPr>
        <w:t>użytkowania użyty w tym</w:t>
      </w:r>
      <w:r w:rsidRPr="00833C88">
        <w:rPr>
          <w:rFonts w:ascii="Times New Roman" w:hAnsi="Times New Roman" w:cs="Times New Roman"/>
        </w:rPr>
        <w:t xml:space="preserve"> przepisie. Nie należy go</w:t>
      </w:r>
      <w:r w:rsidR="00AD6CCD" w:rsidRPr="00833C88">
        <w:rPr>
          <w:rFonts w:ascii="Times New Roman" w:hAnsi="Times New Roman" w:cs="Times New Roman"/>
        </w:rPr>
        <w:t> </w:t>
      </w:r>
      <w:r w:rsidRPr="00833C88">
        <w:rPr>
          <w:rFonts w:ascii="Times New Roman" w:hAnsi="Times New Roman" w:cs="Times New Roman"/>
        </w:rPr>
        <w:t xml:space="preserve">utożsamiać z użytkowaniem </w:t>
      </w:r>
      <w:r w:rsidR="00601933" w:rsidRPr="00833C88">
        <w:rPr>
          <w:rFonts w:ascii="Times New Roman" w:hAnsi="Times New Roman" w:cs="Times New Roman"/>
        </w:rPr>
        <w:t>z </w:t>
      </w:r>
      <w:r w:rsidR="00A10108" w:rsidRPr="00833C88">
        <w:rPr>
          <w:rFonts w:ascii="Times New Roman" w:hAnsi="Times New Roman" w:cs="Times New Roman"/>
        </w:rPr>
        <w:t>przepisów</w:t>
      </w:r>
      <w:r w:rsidRPr="00833C88">
        <w:rPr>
          <w:rFonts w:ascii="Times New Roman" w:hAnsi="Times New Roman" w:cs="Times New Roman"/>
        </w:rPr>
        <w:t> </w:t>
      </w:r>
      <w:r w:rsidR="00A10108" w:rsidRPr="00833C88">
        <w:rPr>
          <w:rFonts w:ascii="Times New Roman" w:hAnsi="Times New Roman" w:cs="Times New Roman"/>
        </w:rPr>
        <w:t xml:space="preserve">ustawy </w:t>
      </w:r>
      <w:r w:rsidR="00601933" w:rsidRPr="00833C88">
        <w:rPr>
          <w:rFonts w:ascii="Times New Roman" w:hAnsi="Times New Roman" w:cs="Times New Roman"/>
        </w:rPr>
        <w:t>z </w:t>
      </w:r>
      <w:r w:rsidR="00A10108" w:rsidRPr="00833C88">
        <w:rPr>
          <w:rFonts w:ascii="Times New Roman" w:hAnsi="Times New Roman" w:cs="Times New Roman"/>
        </w:rPr>
        <w:t xml:space="preserve">dnia 23 kwietnia 1964 r. – Kodeks </w:t>
      </w:r>
      <w:r w:rsidR="00A10108" w:rsidRPr="00833C88">
        <w:rPr>
          <w:rFonts w:ascii="Times New Roman" w:hAnsi="Times New Roman" w:cs="Times New Roman"/>
        </w:rPr>
        <w:lastRenderedPageBreak/>
        <w:t>cywilny</w:t>
      </w:r>
      <w:r w:rsidRPr="00833C88">
        <w:rPr>
          <w:rFonts w:ascii="Times New Roman" w:hAnsi="Times New Roman" w:cs="Times New Roman"/>
        </w:rPr>
        <w:t>, które jest ograniczonym prawem rzeczowym. Użytkowanie w rozumieniu</w:t>
      </w:r>
      <w:r w:rsidR="006F3CE6" w:rsidRPr="00833C88">
        <w:rPr>
          <w:rFonts w:ascii="Times New Roman" w:hAnsi="Times New Roman" w:cs="Times New Roman"/>
        </w:rPr>
        <w:t xml:space="preserve"> projektowanego</w:t>
      </w:r>
      <w:r w:rsidRPr="00833C88">
        <w:rPr>
          <w:rFonts w:ascii="Times New Roman" w:hAnsi="Times New Roman" w:cs="Times New Roman"/>
        </w:rPr>
        <w:t xml:space="preserve"> art. 66b</w:t>
      </w:r>
      <w:r w:rsidR="00F92E38" w:rsidRPr="00833C88">
        <w:rPr>
          <w:rFonts w:ascii="Times New Roman" w:hAnsi="Times New Roman" w:cs="Times New Roman"/>
        </w:rPr>
        <w:t xml:space="preserve"> ustawy </w:t>
      </w:r>
      <w:r w:rsidR="00601933" w:rsidRPr="00833C88">
        <w:rPr>
          <w:rFonts w:ascii="Times New Roman" w:hAnsi="Times New Roman" w:cs="Times New Roman"/>
        </w:rPr>
        <w:t>o </w:t>
      </w:r>
      <w:r w:rsidR="006F3CE6" w:rsidRPr="00833C88">
        <w:rPr>
          <w:rFonts w:ascii="Times New Roman" w:hAnsi="Times New Roman" w:cs="Times New Roman"/>
        </w:rPr>
        <w:t xml:space="preserve">KSC </w:t>
      </w:r>
      <w:r w:rsidRPr="00833C88">
        <w:rPr>
          <w:rFonts w:ascii="Times New Roman" w:hAnsi="Times New Roman" w:cs="Times New Roman"/>
        </w:rPr>
        <w:t>oznacza każdy przypadek używania czy korzystania z produktu</w:t>
      </w:r>
      <w:r w:rsidR="00F92E38" w:rsidRPr="00833C88">
        <w:rPr>
          <w:rFonts w:ascii="Times New Roman" w:hAnsi="Times New Roman" w:cs="Times New Roman"/>
        </w:rPr>
        <w:t xml:space="preserve"> ICT,</w:t>
      </w:r>
      <w:r w:rsidRPr="00833C88">
        <w:rPr>
          <w:rFonts w:ascii="Times New Roman" w:hAnsi="Times New Roman" w:cs="Times New Roman"/>
        </w:rPr>
        <w:t xml:space="preserve"> usługi</w:t>
      </w:r>
      <w:r w:rsidR="00F92E38" w:rsidRPr="00833C88">
        <w:rPr>
          <w:rFonts w:ascii="Times New Roman" w:hAnsi="Times New Roman" w:cs="Times New Roman"/>
        </w:rPr>
        <w:t xml:space="preserve"> ICT lub</w:t>
      </w:r>
      <w:r w:rsidRPr="00833C88">
        <w:rPr>
          <w:rFonts w:ascii="Times New Roman" w:hAnsi="Times New Roman" w:cs="Times New Roman"/>
        </w:rPr>
        <w:t xml:space="preserve"> procesu ICT do</w:t>
      </w:r>
      <w:r w:rsidR="00AD6CCD" w:rsidRPr="00833C88">
        <w:rPr>
          <w:rFonts w:ascii="Times New Roman" w:hAnsi="Times New Roman" w:cs="Times New Roman"/>
        </w:rPr>
        <w:t> </w:t>
      </w:r>
      <w:r w:rsidRPr="00833C88">
        <w:rPr>
          <w:rFonts w:ascii="Times New Roman" w:hAnsi="Times New Roman" w:cs="Times New Roman"/>
        </w:rPr>
        <w:t>świadczenia usług przez dany podmiot.</w:t>
      </w:r>
    </w:p>
    <w:p w14:paraId="2E03C954" w14:textId="7B38564D"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Należy podkreślić, że w zaproponowanych przepisach prawa nie ma mechanizmu nakazującego natychmiastowe wycofanie sprzętu lub oprogramowania wskazanego w ocenie ryzyka dostawców. Podmioty krajowego systemu cyberbezpieczeństwa, w tym operatorzy usług kluczowych, czy przedsiębiorcy telekomunikacyjni, zostaną zobowiązani do wycofania danego sprzętu lub oprogramowania w określonym czasie. W proponowanych przepisach jest mowa o 5</w:t>
      </w:r>
      <w:r w:rsidR="00F92E38" w:rsidRPr="00833C88">
        <w:rPr>
          <w:rFonts w:ascii="Times New Roman" w:hAnsi="Times New Roman" w:cs="Times New Roman"/>
        </w:rPr>
        <w:t>–</w:t>
      </w:r>
      <w:r w:rsidRPr="00833C88">
        <w:rPr>
          <w:rFonts w:ascii="Times New Roman" w:hAnsi="Times New Roman" w:cs="Times New Roman"/>
        </w:rPr>
        <w:t xml:space="preserve">7 latach – termin ten jest często uznawany za średni okres użytkowania sprzętu lub oprogramowania, czyli tzw. cykl życia urządzenia. </w:t>
      </w:r>
      <w:r w:rsidR="00244E66" w:rsidRPr="00833C88">
        <w:rPr>
          <w:rFonts w:ascii="Times New Roman" w:hAnsi="Times New Roman" w:cs="Times New Roman"/>
        </w:rPr>
        <w:t xml:space="preserve">Raport BEREC wskazuje, że </w:t>
      </w:r>
      <w:r w:rsidR="00601933" w:rsidRPr="00833C88">
        <w:rPr>
          <w:rFonts w:ascii="Times New Roman" w:hAnsi="Times New Roman" w:cs="Times New Roman"/>
        </w:rPr>
        <w:t>w </w:t>
      </w:r>
      <w:r w:rsidR="00244E66" w:rsidRPr="00833C88">
        <w:rPr>
          <w:rFonts w:ascii="Times New Roman" w:hAnsi="Times New Roman" w:cs="Times New Roman"/>
        </w:rPr>
        <w:t xml:space="preserve">przypadku sprzętu 5G wykorzystywanego </w:t>
      </w:r>
      <w:r w:rsidR="00601933" w:rsidRPr="00833C88">
        <w:rPr>
          <w:rFonts w:ascii="Times New Roman" w:hAnsi="Times New Roman" w:cs="Times New Roman"/>
        </w:rPr>
        <w:t>w </w:t>
      </w:r>
      <w:r w:rsidR="00244E66" w:rsidRPr="00833C88">
        <w:rPr>
          <w:rFonts w:ascii="Times New Roman" w:hAnsi="Times New Roman" w:cs="Times New Roman"/>
        </w:rPr>
        <w:t>radiowej sieci dostępowej (RAN)</w:t>
      </w:r>
      <w:r w:rsidR="00F37C39" w:rsidRPr="00833C88">
        <w:rPr>
          <w:rFonts w:ascii="Times New Roman" w:hAnsi="Times New Roman" w:cs="Times New Roman"/>
        </w:rPr>
        <w:t xml:space="preserve"> cykl życia urządzenia wynosi </w:t>
      </w:r>
      <w:r w:rsidR="00601933" w:rsidRPr="00833C88">
        <w:rPr>
          <w:rFonts w:ascii="Times New Roman" w:hAnsi="Times New Roman" w:cs="Times New Roman"/>
        </w:rPr>
        <w:t>w </w:t>
      </w:r>
      <w:r w:rsidR="00F37C39" w:rsidRPr="00833C88">
        <w:rPr>
          <w:rFonts w:ascii="Times New Roman" w:hAnsi="Times New Roman" w:cs="Times New Roman"/>
        </w:rPr>
        <w:t>większości przypadk</w:t>
      </w:r>
      <w:r w:rsidR="00DD1D92" w:rsidRPr="00833C88">
        <w:rPr>
          <w:rFonts w:ascii="Times New Roman" w:hAnsi="Times New Roman" w:cs="Times New Roman"/>
        </w:rPr>
        <w:t>ów</w:t>
      </w:r>
      <w:r w:rsidR="00F37C39" w:rsidRPr="00833C88">
        <w:rPr>
          <w:rFonts w:ascii="Times New Roman" w:hAnsi="Times New Roman" w:cs="Times New Roman"/>
        </w:rPr>
        <w:t xml:space="preserve"> od 5 do 10 lat</w:t>
      </w:r>
      <w:r w:rsidR="00C67DC0" w:rsidRPr="00833C88">
        <w:rPr>
          <w:rStyle w:val="Odwoanieprzypisudolnego"/>
          <w:rFonts w:ascii="Times New Roman" w:hAnsi="Times New Roman" w:cs="Times New Roman"/>
        </w:rPr>
        <w:footnoteReference w:id="81"/>
      </w:r>
      <w:r w:rsidR="00F92E38" w:rsidRPr="00833C88">
        <w:rPr>
          <w:rFonts w:ascii="Times New Roman" w:hAnsi="Times New Roman" w:cs="Times New Roman"/>
          <w:vertAlign w:val="superscript"/>
        </w:rPr>
        <w:t>)</w:t>
      </w:r>
      <w:r w:rsidR="00F37C39" w:rsidRPr="00833C88">
        <w:rPr>
          <w:rFonts w:ascii="Times New Roman" w:hAnsi="Times New Roman" w:cs="Times New Roman"/>
        </w:rPr>
        <w:t>.</w:t>
      </w:r>
    </w:p>
    <w:p w14:paraId="624F6997" w14:textId="3F01BBB0"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Proponowane rozwiązania mają wpływ na swobodę działalności gospodarczej podmiotów zobowiązanych do wycofania sprzętu – wpływają bowiem na wolność podejmowania decyzji gospodarczych. Mają także wpływ na wykonywanie niektórych atrybutów prawa własności</w:t>
      </w:r>
      <w:r w:rsidR="00630109" w:rsidRPr="00833C88">
        <w:rPr>
          <w:rFonts w:ascii="Times New Roman" w:hAnsi="Times New Roman" w:cs="Times New Roman"/>
        </w:rPr>
        <w:t>,</w:t>
      </w:r>
      <w:r w:rsidRPr="00833C88">
        <w:rPr>
          <w:rFonts w:ascii="Times New Roman" w:hAnsi="Times New Roman" w:cs="Times New Roman"/>
        </w:rPr>
        <w:t xml:space="preserve"> tj. prawa do używania produktów. Wskazać należy, że przepisy te mają na celu </w:t>
      </w:r>
      <w:proofErr w:type="spellStart"/>
      <w:r w:rsidRPr="00833C88">
        <w:rPr>
          <w:rFonts w:ascii="Times New Roman" w:hAnsi="Times New Roman" w:cs="Times New Roman"/>
        </w:rPr>
        <w:t>mitygację</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ryzyk</w:t>
      </w:r>
      <w:proofErr w:type="spellEnd"/>
      <w:r w:rsidRPr="00833C88">
        <w:rPr>
          <w:rFonts w:ascii="Times New Roman" w:hAnsi="Times New Roman" w:cs="Times New Roman"/>
        </w:rPr>
        <w:t xml:space="preserve"> związanych ze sprzętem lub oprogramowaniem pochodzącym od dostawcy wysokiego ryzyka. Tak jak wyżej wspomniano korzystanie z takiego sprzętu mogłoby doprowadzić do poważnych </w:t>
      </w:r>
      <w:proofErr w:type="spellStart"/>
      <w:r w:rsidRPr="00833C88">
        <w:rPr>
          <w:rFonts w:ascii="Times New Roman" w:hAnsi="Times New Roman" w:cs="Times New Roman"/>
        </w:rPr>
        <w:t>ryzyk</w:t>
      </w:r>
      <w:proofErr w:type="spellEnd"/>
      <w:r w:rsidRPr="00833C88">
        <w:rPr>
          <w:rFonts w:ascii="Times New Roman" w:hAnsi="Times New Roman" w:cs="Times New Roman"/>
        </w:rPr>
        <w:t xml:space="preserve"> naruszenia poufności danych oraz naruszenia dostępności usługi. Co za tym idzie doprowadziłoby to do poważnego utrudnienia funkcjonowania obywateli </w:t>
      </w:r>
      <w:r w:rsidR="005F683F" w:rsidRPr="00833C88">
        <w:rPr>
          <w:rFonts w:ascii="Times New Roman" w:hAnsi="Times New Roman" w:cs="Times New Roman"/>
        </w:rPr>
        <w:t>–</w:t>
      </w:r>
      <w:r w:rsidRPr="00833C88">
        <w:rPr>
          <w:rFonts w:ascii="Times New Roman" w:hAnsi="Times New Roman" w:cs="Times New Roman"/>
        </w:rPr>
        <w:t xml:space="preserve"> współczesnego społeczeństwa informacyjnego</w:t>
      </w:r>
      <w:r w:rsidR="00905F10" w:rsidRPr="00833C88">
        <w:rPr>
          <w:rFonts w:ascii="Times New Roman" w:hAnsi="Times New Roman" w:cs="Times New Roman"/>
        </w:rPr>
        <w:t>,</w:t>
      </w:r>
      <w:r w:rsidRPr="00833C88">
        <w:rPr>
          <w:rFonts w:ascii="Times New Roman" w:hAnsi="Times New Roman" w:cs="Times New Roman"/>
        </w:rPr>
        <w:t xml:space="preserve"> a także do ryzyka przejęcia kontroli nad infrastrukturą krytyczną państwa. Wycofanie sprzętu lub oprogramowania pochodzących od dostawcy wysokiego ryzyka jest zatem konieczne do</w:t>
      </w:r>
      <w:r w:rsidR="00905F10" w:rsidRPr="00833C88">
        <w:rPr>
          <w:rFonts w:ascii="Times New Roman" w:hAnsi="Times New Roman" w:cs="Times New Roman"/>
        </w:rPr>
        <w:t> </w:t>
      </w:r>
      <w:r w:rsidRPr="00833C88">
        <w:rPr>
          <w:rFonts w:ascii="Times New Roman" w:hAnsi="Times New Roman" w:cs="Times New Roman"/>
        </w:rPr>
        <w:t>zapewnienia funkcjonowania demokratycznego państwa prawnego.</w:t>
      </w:r>
    </w:p>
    <w:p w14:paraId="1B92AA0A" w14:textId="12DFCD25"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Proponowane rozwiązania nie naruszają istoty swobody prowadzenia działalności gospodarczej. Ogranicza się wykorzystywanie przez przedsiębiorców konkretnego sprzętu lub oprogramowania do świadczenia usług </w:t>
      </w:r>
      <w:r w:rsidR="00905F10" w:rsidRPr="00833C88">
        <w:rPr>
          <w:rFonts w:ascii="Times New Roman" w:hAnsi="Times New Roman" w:cs="Times New Roman"/>
        </w:rPr>
        <w:t>–</w:t>
      </w:r>
      <w:r w:rsidRPr="00833C88">
        <w:rPr>
          <w:rFonts w:ascii="Times New Roman" w:hAnsi="Times New Roman" w:cs="Times New Roman"/>
        </w:rPr>
        <w:t xml:space="preserve"> w pozostałym zakresie przedsiębiorcy będą mogli swobodnie podejmować decyzje biznesowe. Przepisy te nie naruszają również istoty prawa własności. Tak jak wyżej ws</w:t>
      </w:r>
      <w:r w:rsidR="00905F10" w:rsidRPr="00833C88">
        <w:rPr>
          <w:rFonts w:ascii="Times New Roman" w:hAnsi="Times New Roman" w:cs="Times New Roman"/>
        </w:rPr>
        <w:t>kazano</w:t>
      </w:r>
      <w:r w:rsidRPr="00833C88">
        <w:rPr>
          <w:rFonts w:ascii="Times New Roman" w:hAnsi="Times New Roman" w:cs="Times New Roman"/>
        </w:rPr>
        <w:t xml:space="preserve"> nie ma mechanizmu natychmiastowego wycofania sprzętu lub oprogramowania </w:t>
      </w:r>
      <w:r w:rsidR="00905F10" w:rsidRPr="00833C88">
        <w:rPr>
          <w:rFonts w:ascii="Times New Roman" w:hAnsi="Times New Roman" w:cs="Times New Roman"/>
        </w:rPr>
        <w:t>–</w:t>
      </w:r>
      <w:r w:rsidRPr="00833C88">
        <w:rPr>
          <w:rFonts w:ascii="Times New Roman" w:hAnsi="Times New Roman" w:cs="Times New Roman"/>
        </w:rPr>
        <w:t xml:space="preserve"> przez czas wycofywania z użytkowania podmioty te będą mogły </w:t>
      </w:r>
      <w:r w:rsidRPr="00833C88">
        <w:rPr>
          <w:rFonts w:ascii="Times New Roman" w:hAnsi="Times New Roman" w:cs="Times New Roman"/>
        </w:rPr>
        <w:lastRenderedPageBreak/>
        <w:t xml:space="preserve">w pełni wykonywać prawo własności. Ponadto w czasie wycofywania będzie można wprowadzić dotychczas posiadany sprzęt lub oprogramowanie pochodzący od dostawcy wysokiego ryzyka, aby dokonać niezbędnych napraw usterek czy awarii, aby zapewnić ciągłość świadczenia usługi – pokazuje to, że istota prawa własności nie została naruszona. </w:t>
      </w:r>
      <w:r w:rsidR="00905F10" w:rsidRPr="00833C88">
        <w:rPr>
          <w:rFonts w:ascii="Times New Roman" w:hAnsi="Times New Roman" w:cs="Times New Roman"/>
        </w:rPr>
        <w:t>Należy również zaznaczyć, że s</w:t>
      </w:r>
      <w:r w:rsidRPr="00833C88">
        <w:rPr>
          <w:rFonts w:ascii="Times New Roman" w:hAnsi="Times New Roman" w:cs="Times New Roman"/>
        </w:rPr>
        <w:t>przęt lub oprogramowanie</w:t>
      </w:r>
      <w:r w:rsidR="00905F10" w:rsidRPr="00833C88">
        <w:rPr>
          <w:rFonts w:ascii="Times New Roman" w:hAnsi="Times New Roman" w:cs="Times New Roman"/>
        </w:rPr>
        <w:t>, które</w:t>
      </w:r>
      <w:r w:rsidRPr="00833C88">
        <w:rPr>
          <w:rFonts w:ascii="Times New Roman" w:hAnsi="Times New Roman" w:cs="Times New Roman"/>
        </w:rPr>
        <w:t xml:space="preserve"> pochodzą od dostawcy wysokiego ryzyka </w:t>
      </w:r>
      <w:r w:rsidR="00601933" w:rsidRPr="00833C88">
        <w:rPr>
          <w:rFonts w:ascii="Times New Roman" w:hAnsi="Times New Roman" w:cs="Times New Roman"/>
        </w:rPr>
        <w:t>i </w:t>
      </w:r>
      <w:r w:rsidRPr="00833C88">
        <w:rPr>
          <w:rFonts w:ascii="Times New Roman" w:hAnsi="Times New Roman" w:cs="Times New Roman"/>
        </w:rPr>
        <w:t xml:space="preserve">tak podlegałby stopniowej wymianie ze względu na zużycie czy postęp technologiczny. </w:t>
      </w:r>
      <w:r w:rsidR="00905F10" w:rsidRPr="00833C88">
        <w:rPr>
          <w:rFonts w:ascii="Times New Roman" w:hAnsi="Times New Roman" w:cs="Times New Roman"/>
        </w:rPr>
        <w:t>Zatem p</w:t>
      </w:r>
      <w:r w:rsidRPr="00833C88">
        <w:rPr>
          <w:rFonts w:ascii="Times New Roman" w:hAnsi="Times New Roman" w:cs="Times New Roman"/>
        </w:rPr>
        <w:t xml:space="preserve">roponowane rozwiązanie wpisuje się </w:t>
      </w:r>
      <w:r w:rsidR="00601933" w:rsidRPr="00833C88">
        <w:rPr>
          <w:rFonts w:ascii="Times New Roman" w:hAnsi="Times New Roman" w:cs="Times New Roman"/>
        </w:rPr>
        <w:t>w </w:t>
      </w:r>
      <w:r w:rsidRPr="00833C88">
        <w:rPr>
          <w:rFonts w:ascii="Times New Roman" w:hAnsi="Times New Roman" w:cs="Times New Roman"/>
        </w:rPr>
        <w:t>mechanizm stopniowej wymiany sprzętu.</w:t>
      </w:r>
    </w:p>
    <w:p w14:paraId="6491EF7D" w14:textId="77777777"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Proponowane rozwiązanie wpłynie na swobodę prowadzenia działalności gospodarczej przez dostawcę wysokiego ryzyka. Należy jednak podkreślić, że będzie to związane z poważnym zagrożeniem dla państwa, które stwarza ten dostawca. Jednakże istota prowadzenia działalności gospodarczej przez dostawcę wysokiego ryzyka nie zostanie naruszona. Taki dostawca nadal będzie mógł prowadzić działalność gospodarczą.</w:t>
      </w:r>
    </w:p>
    <w:p w14:paraId="4D9D6E8B" w14:textId="451F27AC"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Podkreślić należy, że wartością konstytucyjną, która w tej sytuacji powinna być bardziej chroniona od swobody prowadzenia działalności gospodarczej czy prawa własności jest bezpieczeństwo państwa. Państwo powinno odpowiednio zaadresować problem dostawcy wysokiego ryzyka, który może, dzięki podatnościom </w:t>
      </w:r>
      <w:r w:rsidR="00601933" w:rsidRPr="00833C88">
        <w:rPr>
          <w:rFonts w:ascii="Times New Roman" w:hAnsi="Times New Roman" w:cs="Times New Roman"/>
        </w:rPr>
        <w:t>w </w:t>
      </w:r>
      <w:r w:rsidRPr="00833C88">
        <w:rPr>
          <w:rFonts w:ascii="Times New Roman" w:hAnsi="Times New Roman" w:cs="Times New Roman"/>
        </w:rPr>
        <w:t>sprzęcie lub oprogramowaniu</w:t>
      </w:r>
      <w:r w:rsidR="0099171B" w:rsidRPr="00833C88">
        <w:rPr>
          <w:rFonts w:ascii="Times New Roman" w:hAnsi="Times New Roman" w:cs="Times New Roman"/>
        </w:rPr>
        <w:t>,</w:t>
      </w:r>
      <w:r w:rsidRPr="00833C88">
        <w:rPr>
          <w:rFonts w:ascii="Times New Roman" w:hAnsi="Times New Roman" w:cs="Times New Roman"/>
        </w:rPr>
        <w:t xml:space="preserve"> które dostarczył, doprowadzić do ataku na infrastrukturę krytyczną państwa (np. inteligentne sieci energetyczne, sieci telekomunikacyjne), zakłócać funkcjonowanie organów państwa (np.</w:t>
      </w:r>
      <w:r w:rsidR="00905F10" w:rsidRPr="00833C88">
        <w:rPr>
          <w:rFonts w:ascii="Times New Roman" w:hAnsi="Times New Roman" w:cs="Times New Roman"/>
        </w:rPr>
        <w:t> </w:t>
      </w:r>
      <w:r w:rsidRPr="00833C88">
        <w:rPr>
          <w:rFonts w:ascii="Times New Roman" w:hAnsi="Times New Roman" w:cs="Times New Roman"/>
        </w:rPr>
        <w:t xml:space="preserve">poprzez ataki </w:t>
      </w:r>
      <w:proofErr w:type="spellStart"/>
      <w:r w:rsidRPr="00833C88">
        <w:rPr>
          <w:rFonts w:ascii="Times New Roman" w:hAnsi="Times New Roman" w:cs="Times New Roman"/>
          <w:iCs/>
        </w:rPr>
        <w:t>man</w:t>
      </w:r>
      <w:proofErr w:type="spellEnd"/>
      <w:r w:rsidRPr="00833C88">
        <w:rPr>
          <w:rFonts w:ascii="Times New Roman" w:hAnsi="Times New Roman" w:cs="Times New Roman"/>
          <w:iCs/>
        </w:rPr>
        <w:t xml:space="preserve"> in the </w:t>
      </w:r>
      <w:proofErr w:type="spellStart"/>
      <w:r w:rsidRPr="00833C88">
        <w:rPr>
          <w:rFonts w:ascii="Times New Roman" w:hAnsi="Times New Roman" w:cs="Times New Roman"/>
          <w:iCs/>
        </w:rPr>
        <w:t>middle</w:t>
      </w:r>
      <w:proofErr w:type="spellEnd"/>
      <w:r w:rsidRPr="00833C88">
        <w:rPr>
          <w:rFonts w:ascii="Times New Roman" w:hAnsi="Times New Roman" w:cs="Times New Roman"/>
          <w:iCs/>
        </w:rPr>
        <w:t>, kradzież</w:t>
      </w:r>
      <w:r w:rsidRPr="00833C88">
        <w:rPr>
          <w:rFonts w:ascii="Times New Roman" w:hAnsi="Times New Roman" w:cs="Times New Roman"/>
        </w:rPr>
        <w:t xml:space="preserve"> danych)</w:t>
      </w:r>
      <w:r w:rsidR="0099171B" w:rsidRPr="00833C88">
        <w:rPr>
          <w:rFonts w:ascii="Times New Roman" w:hAnsi="Times New Roman" w:cs="Times New Roman"/>
        </w:rPr>
        <w:t>,</w:t>
      </w:r>
      <w:r w:rsidRPr="00833C88">
        <w:rPr>
          <w:rFonts w:ascii="Times New Roman" w:hAnsi="Times New Roman" w:cs="Times New Roman"/>
        </w:rPr>
        <w:t xml:space="preserve"> czy zakłócić działanie kluczowych dla społeczeństwa usług (np. poprzez atak na systemy </w:t>
      </w:r>
      <w:r w:rsidR="00601933" w:rsidRPr="00833C88">
        <w:rPr>
          <w:rFonts w:ascii="Times New Roman" w:hAnsi="Times New Roman" w:cs="Times New Roman"/>
        </w:rPr>
        <w:t>i </w:t>
      </w:r>
      <w:r w:rsidRPr="00833C88">
        <w:rPr>
          <w:rFonts w:ascii="Times New Roman" w:hAnsi="Times New Roman" w:cs="Times New Roman"/>
        </w:rPr>
        <w:t xml:space="preserve">urządzenia szpitalne, bez których znacznie utrudnione jest wykonywanie operacji ratujących życie). Może to się odbyć poprzez celowo zaprojektowane ukryte podatności lub również ukryte podatności powstałe </w:t>
      </w:r>
      <w:r w:rsidR="00601933" w:rsidRPr="00833C88">
        <w:rPr>
          <w:rFonts w:ascii="Times New Roman" w:hAnsi="Times New Roman" w:cs="Times New Roman"/>
        </w:rPr>
        <w:t>w </w:t>
      </w:r>
      <w:r w:rsidRPr="00833C88">
        <w:rPr>
          <w:rFonts w:ascii="Times New Roman" w:hAnsi="Times New Roman" w:cs="Times New Roman"/>
        </w:rPr>
        <w:t xml:space="preserve">wyniku aktualizacji oprogramowania dostarczonego przez dostawcę wysokiego ryzyka. Wykorzystanie podatności </w:t>
      </w:r>
      <w:r w:rsidR="00601933" w:rsidRPr="00833C88">
        <w:rPr>
          <w:rFonts w:ascii="Times New Roman" w:hAnsi="Times New Roman" w:cs="Times New Roman"/>
        </w:rPr>
        <w:t>w </w:t>
      </w:r>
      <w:r w:rsidRPr="00833C88">
        <w:rPr>
          <w:rFonts w:ascii="Times New Roman" w:hAnsi="Times New Roman" w:cs="Times New Roman"/>
        </w:rPr>
        <w:t xml:space="preserve">infrastrukturze telekomunikacyjnej, której elementy dostarczył taki dostawca, mogłoby utrudnić lub uniemożliwić funkcjonowanie usług komunikacji elektronicznej na danym obszarze. </w:t>
      </w:r>
    </w:p>
    <w:p w14:paraId="2BA6A60F" w14:textId="500A5C07"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Demokratyczne państwo prawne nie może być bezbronne </w:t>
      </w:r>
      <w:r w:rsidR="00601933" w:rsidRPr="00833C88">
        <w:rPr>
          <w:rFonts w:ascii="Times New Roman" w:hAnsi="Times New Roman" w:cs="Times New Roman"/>
        </w:rPr>
        <w:t>i </w:t>
      </w:r>
      <w:r w:rsidRPr="00833C88">
        <w:rPr>
          <w:rFonts w:ascii="Times New Roman" w:hAnsi="Times New Roman" w:cs="Times New Roman"/>
        </w:rPr>
        <w:t xml:space="preserve">musi zawczasu identyfikować poważne zagrożenia dla jego funkcjonowania oraz skutecznie je mitygować. Ryzyka stwarzanego przez dostawcę wysokiego ryzyka (który działa pod wpływem obcych służb wywiadowczych lub grup przestępczych) oraz jego sprzęt lub oprogramowanie nie da się inaczej zmitygować, jak tylko poprzez stopniowe wycofanie takiego sprzętu. Podmioty korzystające </w:t>
      </w:r>
      <w:r w:rsidR="00601933" w:rsidRPr="00833C88">
        <w:rPr>
          <w:rFonts w:ascii="Times New Roman" w:hAnsi="Times New Roman" w:cs="Times New Roman"/>
        </w:rPr>
        <w:t>z </w:t>
      </w:r>
      <w:r w:rsidRPr="00833C88">
        <w:rPr>
          <w:rFonts w:ascii="Times New Roman" w:hAnsi="Times New Roman" w:cs="Times New Roman"/>
        </w:rPr>
        <w:t>tych produktów</w:t>
      </w:r>
      <w:r w:rsidR="00905F10" w:rsidRPr="00833C88">
        <w:rPr>
          <w:rFonts w:ascii="Times New Roman" w:hAnsi="Times New Roman" w:cs="Times New Roman"/>
        </w:rPr>
        <w:t xml:space="preserve"> ICT,</w:t>
      </w:r>
      <w:r w:rsidRPr="00833C88">
        <w:rPr>
          <w:rFonts w:ascii="Times New Roman" w:hAnsi="Times New Roman" w:cs="Times New Roman"/>
        </w:rPr>
        <w:t xml:space="preserve"> usług</w:t>
      </w:r>
      <w:r w:rsidR="00905F10" w:rsidRPr="00833C88">
        <w:rPr>
          <w:rFonts w:ascii="Times New Roman" w:hAnsi="Times New Roman" w:cs="Times New Roman"/>
        </w:rPr>
        <w:t xml:space="preserve"> ICT lub</w:t>
      </w:r>
      <w:r w:rsidRPr="00833C88">
        <w:rPr>
          <w:rFonts w:ascii="Times New Roman" w:hAnsi="Times New Roman" w:cs="Times New Roman"/>
        </w:rPr>
        <w:t xml:space="preserve"> procesów </w:t>
      </w:r>
      <w:r w:rsidR="00905F10" w:rsidRPr="00833C88">
        <w:rPr>
          <w:rFonts w:ascii="Times New Roman" w:hAnsi="Times New Roman" w:cs="Times New Roman"/>
        </w:rPr>
        <w:t xml:space="preserve">ICT </w:t>
      </w:r>
      <w:r w:rsidRPr="00833C88">
        <w:rPr>
          <w:rFonts w:ascii="Times New Roman" w:hAnsi="Times New Roman" w:cs="Times New Roman"/>
        </w:rPr>
        <w:t xml:space="preserve">nie będą </w:t>
      </w:r>
      <w:r w:rsidR="00601933" w:rsidRPr="00833C88">
        <w:rPr>
          <w:rFonts w:ascii="Times New Roman" w:hAnsi="Times New Roman" w:cs="Times New Roman"/>
        </w:rPr>
        <w:t>w </w:t>
      </w:r>
      <w:r w:rsidRPr="00833C88">
        <w:rPr>
          <w:rFonts w:ascii="Times New Roman" w:hAnsi="Times New Roman" w:cs="Times New Roman"/>
        </w:rPr>
        <w:t xml:space="preserve">stanie </w:t>
      </w:r>
      <w:r w:rsidRPr="00833C88">
        <w:rPr>
          <w:rFonts w:ascii="Times New Roman" w:hAnsi="Times New Roman" w:cs="Times New Roman"/>
        </w:rPr>
        <w:lastRenderedPageBreak/>
        <w:t>zidentyfikować ukrytych podatności, poprzez które dostawca wysokiego ryzyka będzie mógł dokonywać ataków. W</w:t>
      </w:r>
      <w:r w:rsidR="00905F10" w:rsidRPr="00833C88">
        <w:rPr>
          <w:rFonts w:ascii="Times New Roman" w:hAnsi="Times New Roman" w:cs="Times New Roman"/>
        </w:rPr>
        <w:t> </w:t>
      </w:r>
      <w:r w:rsidRPr="00833C88">
        <w:rPr>
          <w:rFonts w:ascii="Times New Roman" w:hAnsi="Times New Roman" w:cs="Times New Roman"/>
        </w:rPr>
        <w:t xml:space="preserve">związku </w:t>
      </w:r>
      <w:r w:rsidR="00601933" w:rsidRPr="00833C88">
        <w:rPr>
          <w:rFonts w:ascii="Times New Roman" w:hAnsi="Times New Roman" w:cs="Times New Roman"/>
        </w:rPr>
        <w:t>z </w:t>
      </w:r>
      <w:r w:rsidRPr="00833C88">
        <w:rPr>
          <w:rFonts w:ascii="Times New Roman" w:hAnsi="Times New Roman" w:cs="Times New Roman"/>
        </w:rPr>
        <w:t>tym nie jest możliwe zmitygowanie ryzyka stwarzanego przez dostawcę wysokiego ryzyka poprzez wprowadzenie dodatkowych środków bezpieczeństwa, innych niż wycofanie sprzętu lub oprogramowania, ponieważ będą one nieskuteczne wobec ukrytych podatności pozwalających np. nagle wyłączyć sprzęt czy zakłócić telekomunikację między podmiotami.</w:t>
      </w:r>
    </w:p>
    <w:p w14:paraId="557C95E2" w14:textId="25382FF9"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Warto podkreślić, że postępowanie w sprawie uznania za dostawcę wysokiego ryzyka będzie postępowaniem administracyjnym</w:t>
      </w:r>
      <w:r w:rsidR="00905F10" w:rsidRPr="00833C88">
        <w:rPr>
          <w:rFonts w:ascii="Times New Roman" w:hAnsi="Times New Roman" w:cs="Times New Roman"/>
        </w:rPr>
        <w:t xml:space="preserve">, </w:t>
      </w:r>
      <w:r w:rsidR="00601933" w:rsidRPr="00833C88">
        <w:rPr>
          <w:rFonts w:ascii="Times New Roman" w:hAnsi="Times New Roman" w:cs="Times New Roman"/>
        </w:rPr>
        <w:t>a </w:t>
      </w:r>
      <w:r w:rsidR="00905F10" w:rsidRPr="00833C88">
        <w:rPr>
          <w:rFonts w:ascii="Times New Roman" w:hAnsi="Times New Roman" w:cs="Times New Roman"/>
        </w:rPr>
        <w:t>zatem</w:t>
      </w:r>
      <w:r w:rsidRPr="00833C88">
        <w:rPr>
          <w:rFonts w:ascii="Times New Roman" w:hAnsi="Times New Roman" w:cs="Times New Roman"/>
        </w:rPr>
        <w:t xml:space="preserve"> </w:t>
      </w:r>
      <w:r w:rsidR="00905F10" w:rsidRPr="00833C88">
        <w:rPr>
          <w:rFonts w:ascii="Times New Roman" w:hAnsi="Times New Roman" w:cs="Times New Roman"/>
        </w:rPr>
        <w:t>d</w:t>
      </w:r>
      <w:r w:rsidRPr="00833C88">
        <w:rPr>
          <w:rFonts w:ascii="Times New Roman" w:hAnsi="Times New Roman" w:cs="Times New Roman"/>
        </w:rPr>
        <w:t>ostawca będzie mógł przedstawić swoje racje w postępowaniu zanim zostanie uznany za dostawcę wysokiego ryzyka. Decyzja będzie mogła być zaskarżona do sądu administracyjnego, co zapewnia dostawcy możliwość obrony swoich praw. Dostawca będzie mógł być uznany za dostawcę wysokiego ryzyka, jeżeli będzie spełniał szczególnego rodzaju przesłanki</w:t>
      </w:r>
      <w:r w:rsidR="00905F10" w:rsidRPr="00833C88">
        <w:rPr>
          <w:rFonts w:ascii="Times New Roman" w:hAnsi="Times New Roman" w:cs="Times New Roman"/>
        </w:rPr>
        <w:t>, tj.</w:t>
      </w:r>
      <w:r w:rsidRPr="00833C88">
        <w:rPr>
          <w:rFonts w:ascii="Times New Roman" w:hAnsi="Times New Roman" w:cs="Times New Roman"/>
        </w:rPr>
        <w:t xml:space="preserve"> będzie stwarzał poważne zagrożenie dla obronności, bezpieczeństwa państwa.</w:t>
      </w:r>
    </w:p>
    <w:p w14:paraId="278ED5F2" w14:textId="3935AA0F"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Podsumowując</w:t>
      </w:r>
      <w:r w:rsidR="00905F10" w:rsidRPr="00833C88">
        <w:rPr>
          <w:rFonts w:ascii="Times New Roman" w:hAnsi="Times New Roman" w:cs="Times New Roman"/>
        </w:rPr>
        <w:t>,</w:t>
      </w:r>
      <w:r w:rsidRPr="00833C88">
        <w:rPr>
          <w:rFonts w:ascii="Times New Roman" w:hAnsi="Times New Roman" w:cs="Times New Roman"/>
        </w:rPr>
        <w:t xml:space="preserve"> zanim dostawca zostanie uznany za dostawcę wysokiego ryzyka jego sprawa zostanie wszechstronnie wyjaśniona </w:t>
      </w:r>
      <w:r w:rsidR="00905F10" w:rsidRPr="00833C88">
        <w:rPr>
          <w:rFonts w:ascii="Times New Roman" w:hAnsi="Times New Roman" w:cs="Times New Roman"/>
        </w:rPr>
        <w:t xml:space="preserve">– </w:t>
      </w:r>
      <w:r w:rsidRPr="00833C88">
        <w:rPr>
          <w:rFonts w:ascii="Times New Roman" w:hAnsi="Times New Roman" w:cs="Times New Roman"/>
        </w:rPr>
        <w:t>nastąpi to poprzez opinię Kolegium oraz czynności przeprowadzone przez ministra właściwego do spraw informatyzacji. Dostawca będzie mógł przedstawić swoje stanowisko</w:t>
      </w:r>
      <w:r w:rsidR="0099171B" w:rsidRPr="00833C88">
        <w:rPr>
          <w:rFonts w:ascii="Times New Roman" w:hAnsi="Times New Roman" w:cs="Times New Roman"/>
        </w:rPr>
        <w:t>,</w:t>
      </w:r>
      <w:r w:rsidRPr="00833C88">
        <w:rPr>
          <w:rFonts w:ascii="Times New Roman" w:hAnsi="Times New Roman" w:cs="Times New Roman"/>
        </w:rPr>
        <w:t xml:space="preserve"> a w przypadku uznania za dostawcę wysokiego ryzyka </w:t>
      </w:r>
      <w:r w:rsidR="00905F10" w:rsidRPr="00833C88">
        <w:rPr>
          <w:rFonts w:ascii="Times New Roman" w:hAnsi="Times New Roman" w:cs="Times New Roman"/>
        </w:rPr>
        <w:t>–</w:t>
      </w:r>
      <w:r w:rsidRPr="00833C88">
        <w:rPr>
          <w:rFonts w:ascii="Times New Roman" w:hAnsi="Times New Roman" w:cs="Times New Roman"/>
        </w:rPr>
        <w:t xml:space="preserve"> kwestionować to przed sądem administracyjnym.</w:t>
      </w:r>
    </w:p>
    <w:p w14:paraId="2DB26C66" w14:textId="77777777"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Organy właściwe do spraw cyberbezpieczeństwa będą mogły zwracać się do podmiotów krajowego systemu cyberbezpieczeństwa o udzielenie informacji w sprawie wycofywanych produktów ICT, usług ICT i procesów ICT. Przepis wzmocni kompetencje organów i zapewni im możliwość monitorowania procesu wycofywania produktów ICT, usług ICT i procesów ICT.</w:t>
      </w:r>
    </w:p>
    <w:p w14:paraId="30F54379" w14:textId="138D33C5" w:rsidR="007929D4" w:rsidRPr="00833C88" w:rsidRDefault="007929D4" w:rsidP="00DC5015">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Wprowadzono przepisy dotyczące procedury przed sądem administracyjnym, jest to więc przepis o charakterze lex </w:t>
      </w:r>
      <w:proofErr w:type="spellStart"/>
      <w:r w:rsidRPr="00833C88">
        <w:rPr>
          <w:rFonts w:ascii="Times New Roman" w:hAnsi="Times New Roman" w:cs="Times New Roman"/>
        </w:rPr>
        <w:t>specialis</w:t>
      </w:r>
      <w:proofErr w:type="spellEnd"/>
      <w:r w:rsidRPr="00833C88">
        <w:rPr>
          <w:rFonts w:ascii="Times New Roman" w:hAnsi="Times New Roman" w:cs="Times New Roman"/>
        </w:rPr>
        <w:t xml:space="preserve"> do </w:t>
      </w:r>
      <w:proofErr w:type="spellStart"/>
      <w:r w:rsidRPr="00833C88">
        <w:rPr>
          <w:rFonts w:ascii="Times New Roman" w:hAnsi="Times New Roman" w:cs="Times New Roman"/>
        </w:rPr>
        <w:t>PPSA</w:t>
      </w:r>
      <w:proofErr w:type="spellEnd"/>
      <w:r w:rsidRPr="00833C88">
        <w:rPr>
          <w:rFonts w:ascii="Times New Roman" w:hAnsi="Times New Roman" w:cs="Times New Roman"/>
        </w:rPr>
        <w:t xml:space="preserve">. Jest on wzorowany na art. 38 ustawy z dnia 5 sierpnia 2010 r. o ochronie informacji niejawnych, która dotyczy rozpoznania skargi na decyzję o odmowie wydania poświadczenia bezpieczeństwa. Przepis ma za zadanie pogodzić dwie wartości prawne – prawo do złożenia skargi na decyzję administracyjną oraz ochronę informacji niejawnych, których ujawnienie mogłoby narazić państwo na niepowetowane szkody. Sąd administracyjny będzie rozpoznawał skargę na decyzję o uznaniu dostawcy sprzętu lub oprogramowania za dostawcę wysokiego ryzyka na posiedzeniu niejawnym. </w:t>
      </w:r>
      <w:r w:rsidR="00601933" w:rsidRPr="00833C88">
        <w:rPr>
          <w:rFonts w:ascii="Times New Roman" w:hAnsi="Times New Roman" w:cs="Times New Roman"/>
        </w:rPr>
        <w:t>Z </w:t>
      </w:r>
      <w:r w:rsidRPr="00833C88">
        <w:rPr>
          <w:rFonts w:ascii="Times New Roman" w:hAnsi="Times New Roman" w:cs="Times New Roman"/>
        </w:rPr>
        <w:t xml:space="preserve">kolei sentencja wyroku z uzasadnieniem zostanie doręczona tylko ministrowi właściwemu </w:t>
      </w:r>
      <w:r w:rsidRPr="00833C88">
        <w:rPr>
          <w:rFonts w:ascii="Times New Roman" w:hAnsi="Times New Roman" w:cs="Times New Roman"/>
        </w:rPr>
        <w:lastRenderedPageBreak/>
        <w:t>do spraw informatyzacji. Skarżącemu doręcza się odpis wyroku z tą częścią uzasadnienia, która nie wymaga utajnienia ze względu na ochronę informacji niejawnych. Takie sformułowanie przepisu będzie zgodne z wyrokiem Trybunału Konstytucyjnego, który za niekonstytucyjne uznał brak doręczenia jawnych elementów wyroku sądu administracyjnego</w:t>
      </w:r>
      <w:r w:rsidRPr="00833C88">
        <w:rPr>
          <w:rStyle w:val="Odwoanieprzypisudolnego"/>
          <w:rFonts w:ascii="Times New Roman" w:hAnsi="Times New Roman" w:cs="Times New Roman"/>
        </w:rPr>
        <w:footnoteReference w:id="82"/>
      </w:r>
      <w:r w:rsidRPr="00833C88">
        <w:rPr>
          <w:rStyle w:val="IGindeksgrny"/>
          <w:rFonts w:ascii="Times New Roman" w:hAnsi="Times New Roman" w:cs="Times New Roman"/>
          <w:specVanish w:val="0"/>
        </w:rPr>
        <w:t>)</w:t>
      </w:r>
      <w:r w:rsidRPr="00833C88">
        <w:rPr>
          <w:rFonts w:ascii="Times New Roman" w:hAnsi="Times New Roman" w:cs="Times New Roman"/>
        </w:rPr>
        <w:t>. Przepis stanowi niezbędne odstąpienie od</w:t>
      </w:r>
      <w:r w:rsidR="00AD6CCD" w:rsidRPr="00833C88">
        <w:rPr>
          <w:rFonts w:ascii="Times New Roman" w:hAnsi="Times New Roman" w:cs="Times New Roman"/>
        </w:rPr>
        <w:t> </w:t>
      </w:r>
      <w:r w:rsidRPr="00833C88">
        <w:rPr>
          <w:rFonts w:ascii="Times New Roman" w:hAnsi="Times New Roman" w:cs="Times New Roman"/>
        </w:rPr>
        <w:t xml:space="preserve">zasady ustności i jawności, jednakże strona będzie miała możliwość składania pism procesowych, jak w każdym innym postępowaniu przed sądem administracyjnym. </w:t>
      </w:r>
    </w:p>
    <w:p w14:paraId="4C2A3832" w14:textId="15814257" w:rsidR="007929D4" w:rsidRPr="00833C88" w:rsidRDefault="007929D4" w:rsidP="00DC5015">
      <w:pPr>
        <w:pStyle w:val="NIEARTTEKSTtekstnieartykuowanynppodstprawnarozplubpreambua"/>
        <w:spacing w:before="0" w:after="120"/>
        <w:rPr>
          <w:rFonts w:ascii="Times New Roman" w:hAnsi="Times New Roman" w:cs="Times New Roman"/>
          <w:iCs/>
        </w:rPr>
      </w:pPr>
      <w:r w:rsidRPr="00833C88">
        <w:rPr>
          <w:rFonts w:ascii="Times New Roman" w:hAnsi="Times New Roman" w:cs="Times New Roman"/>
        </w:rPr>
        <w:t xml:space="preserve">Rozwiązanie to jest konieczne dla zapewnienia bezpieczeństwa demokratycznego państwa prawnego – ujawnienie informacji niejawnych wykorzystanych </w:t>
      </w:r>
      <w:r w:rsidR="00601933" w:rsidRPr="00833C88">
        <w:rPr>
          <w:rFonts w:ascii="Times New Roman" w:hAnsi="Times New Roman" w:cs="Times New Roman"/>
        </w:rPr>
        <w:t>w </w:t>
      </w:r>
      <w:r w:rsidRPr="00833C88">
        <w:rPr>
          <w:rFonts w:ascii="Times New Roman" w:hAnsi="Times New Roman" w:cs="Times New Roman"/>
        </w:rPr>
        <w:t>postępowaniu o</w:t>
      </w:r>
      <w:r w:rsidR="00984D48" w:rsidRPr="00833C88">
        <w:rPr>
          <w:rFonts w:ascii="Times New Roman" w:hAnsi="Times New Roman" w:cs="Times New Roman"/>
        </w:rPr>
        <w:t> </w:t>
      </w:r>
      <w:r w:rsidRPr="00833C88">
        <w:rPr>
          <w:rFonts w:ascii="Times New Roman" w:hAnsi="Times New Roman" w:cs="Times New Roman"/>
        </w:rPr>
        <w:t xml:space="preserve">uznaniu za dostawcę wysokiego ryzyka mogłoby narazić Rzeczpospolitą </w:t>
      </w:r>
      <w:r w:rsidR="00984D48" w:rsidRPr="00833C88">
        <w:rPr>
          <w:rFonts w:ascii="Times New Roman" w:hAnsi="Times New Roman" w:cs="Times New Roman"/>
        </w:rPr>
        <w:t xml:space="preserve">Polską </w:t>
      </w:r>
      <w:r w:rsidRPr="00833C88">
        <w:rPr>
          <w:rFonts w:ascii="Times New Roman" w:hAnsi="Times New Roman" w:cs="Times New Roman"/>
        </w:rPr>
        <w:t>na</w:t>
      </w:r>
      <w:r w:rsidR="00984D48" w:rsidRPr="00833C88">
        <w:rPr>
          <w:rFonts w:ascii="Times New Roman" w:hAnsi="Times New Roman" w:cs="Times New Roman"/>
        </w:rPr>
        <w:t> </w:t>
      </w:r>
      <w:r w:rsidRPr="00833C88">
        <w:rPr>
          <w:rFonts w:ascii="Times New Roman" w:hAnsi="Times New Roman" w:cs="Times New Roman"/>
        </w:rPr>
        <w:t xml:space="preserve">niepowetowane szkody. Nie została naruszona istota prawa do sądu, ponieważ </w:t>
      </w:r>
      <w:r w:rsidR="00601933" w:rsidRPr="00833C88">
        <w:rPr>
          <w:rFonts w:ascii="Times New Roman" w:hAnsi="Times New Roman" w:cs="Times New Roman"/>
        </w:rPr>
        <w:t>w </w:t>
      </w:r>
      <w:r w:rsidRPr="00833C88">
        <w:rPr>
          <w:rFonts w:ascii="Times New Roman" w:hAnsi="Times New Roman" w:cs="Times New Roman"/>
        </w:rPr>
        <w:t>zakresie w</w:t>
      </w:r>
      <w:r w:rsidR="00984D48" w:rsidRPr="00833C88">
        <w:rPr>
          <w:rFonts w:ascii="Times New Roman" w:hAnsi="Times New Roman" w:cs="Times New Roman"/>
        </w:rPr>
        <w:t> </w:t>
      </w:r>
      <w:r w:rsidRPr="00833C88">
        <w:rPr>
          <w:rFonts w:ascii="Times New Roman" w:hAnsi="Times New Roman" w:cs="Times New Roman"/>
        </w:rPr>
        <w:t xml:space="preserve">jakim uzasadnienie nie zawiera informacji niejawnych (uzasadnienie prawne, kwestia wykładni, ustalenia organu niepodlegające utajnieniu) zostanie doręczone skarżącemu, dzięki czemu będzie mógł złożyć skargę kasacyjną. Rozwiązanie jest też proporcjonalne sensu stricto, bowiem sędziowie mają z urzędu dostęp do wszystkich materiałów niejawnych, które będą zgromadzone w sprawie. Będą więc mogli skrupulatnie zbadać legalność postępowania w sprawie uznania za dostawcę wysokiego ryzyka. Na poparcie tego rozwiązania warto tutaj odwołać się do wyroku Naczelnego Sądu Administracyjnego z 8 marca 2017 r. sygn. akt </w:t>
      </w:r>
      <w:r w:rsidR="00601933" w:rsidRPr="00833C88">
        <w:rPr>
          <w:rFonts w:ascii="Times New Roman" w:hAnsi="Times New Roman" w:cs="Times New Roman"/>
        </w:rPr>
        <w:t>I </w:t>
      </w:r>
      <w:r w:rsidRPr="00833C88">
        <w:rPr>
          <w:rFonts w:ascii="Times New Roman" w:hAnsi="Times New Roman" w:cs="Times New Roman"/>
        </w:rPr>
        <w:t xml:space="preserve">OSK 1312/15: </w:t>
      </w:r>
      <w:r w:rsidR="006F3CE6" w:rsidRPr="00833C88">
        <w:rPr>
          <w:rFonts w:ascii="Times New Roman" w:hAnsi="Times New Roman" w:cs="Times New Roman"/>
        </w:rPr>
        <w:t>„</w:t>
      </w:r>
      <w:r w:rsidRPr="00833C88">
        <w:rPr>
          <w:rFonts w:ascii="Times New Roman" w:hAnsi="Times New Roman" w:cs="Times New Roman"/>
          <w:iCs/>
        </w:rPr>
        <w:t xml:space="preserve">strona skarżąca – z istoty sprawy mająca ograniczony dostęp do szeregu informacji z nią związanych – powinna móc działać w zaufaniu, że zasadniczo pełny dostęp do informacji posiada sąd, do którego zwraca się ona </w:t>
      </w:r>
      <w:r w:rsidR="00601933" w:rsidRPr="00833C88">
        <w:rPr>
          <w:rFonts w:ascii="Times New Roman" w:hAnsi="Times New Roman" w:cs="Times New Roman"/>
          <w:iCs/>
        </w:rPr>
        <w:t>o </w:t>
      </w:r>
      <w:r w:rsidRPr="00833C88">
        <w:rPr>
          <w:rFonts w:ascii="Times New Roman" w:hAnsi="Times New Roman" w:cs="Times New Roman"/>
          <w:iCs/>
        </w:rPr>
        <w:t xml:space="preserve">kontrolę działania organu administracji publicznej, i że tę kontrolę sąd ten dokona w sposób niezależny i niezawisły w oparciu </w:t>
      </w:r>
      <w:r w:rsidR="00601933" w:rsidRPr="00833C88">
        <w:rPr>
          <w:rFonts w:ascii="Times New Roman" w:hAnsi="Times New Roman" w:cs="Times New Roman"/>
          <w:iCs/>
        </w:rPr>
        <w:t>o </w:t>
      </w:r>
      <w:r w:rsidRPr="00833C88">
        <w:rPr>
          <w:rFonts w:ascii="Times New Roman" w:hAnsi="Times New Roman" w:cs="Times New Roman"/>
          <w:iCs/>
        </w:rPr>
        <w:t>pełną wiedzę wynikającą z ustaleń organu, w tym także niejawnych</w:t>
      </w:r>
      <w:r w:rsidR="006F3CE6" w:rsidRPr="00833C88">
        <w:rPr>
          <w:rFonts w:ascii="Times New Roman" w:hAnsi="Times New Roman" w:cs="Times New Roman"/>
          <w:iCs/>
        </w:rPr>
        <w:t>”</w:t>
      </w:r>
      <w:r w:rsidRPr="00833C88">
        <w:rPr>
          <w:rFonts w:ascii="Times New Roman" w:hAnsi="Times New Roman" w:cs="Times New Roman"/>
          <w:iCs/>
        </w:rPr>
        <w:t>.</w:t>
      </w:r>
    </w:p>
    <w:p w14:paraId="38BF53DC" w14:textId="49520573" w:rsidR="007929D4" w:rsidRPr="00833C88" w:rsidRDefault="007929D4" w:rsidP="00DC5015">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Minister właściwy do spraw informatyzacji będzie prowadził </w:t>
      </w:r>
      <w:r w:rsidR="00601933" w:rsidRPr="00833C88">
        <w:rPr>
          <w:rFonts w:ascii="Times New Roman" w:hAnsi="Times New Roman" w:cs="Times New Roman"/>
        </w:rPr>
        <w:t>w </w:t>
      </w:r>
      <w:r w:rsidR="00F34453" w:rsidRPr="00833C88">
        <w:rPr>
          <w:rFonts w:ascii="Times New Roman" w:hAnsi="Times New Roman" w:cs="Times New Roman"/>
        </w:rPr>
        <w:t>BIP</w:t>
      </w:r>
      <w:r w:rsidRPr="00833C88">
        <w:rPr>
          <w:rFonts w:ascii="Times New Roman" w:hAnsi="Times New Roman" w:cs="Times New Roman"/>
        </w:rPr>
        <w:t xml:space="preserve"> wykaz decyzji o uznaniu za dostawcę wysokiego ryzyka w podziale na produkty, usługi i procesy w nich wskazane. Ułatwi to dostęp do informacji o niebezpiecznych produktach</w:t>
      </w:r>
      <w:r w:rsidR="00984D48" w:rsidRPr="00833C88">
        <w:rPr>
          <w:rFonts w:ascii="Times New Roman" w:hAnsi="Times New Roman" w:cs="Times New Roman"/>
        </w:rPr>
        <w:t xml:space="preserve"> ICT</w:t>
      </w:r>
      <w:r w:rsidRPr="00833C88">
        <w:rPr>
          <w:rFonts w:ascii="Times New Roman" w:hAnsi="Times New Roman" w:cs="Times New Roman"/>
        </w:rPr>
        <w:t>, usługach</w:t>
      </w:r>
      <w:r w:rsidR="00984D48" w:rsidRPr="00833C88">
        <w:rPr>
          <w:rFonts w:ascii="Times New Roman" w:hAnsi="Times New Roman" w:cs="Times New Roman"/>
        </w:rPr>
        <w:t xml:space="preserve"> ICT</w:t>
      </w:r>
      <w:r w:rsidRPr="00833C88">
        <w:rPr>
          <w:rFonts w:ascii="Times New Roman" w:hAnsi="Times New Roman" w:cs="Times New Roman"/>
        </w:rPr>
        <w:t xml:space="preserve"> i procesach ICT.</w:t>
      </w:r>
    </w:p>
    <w:p w14:paraId="1F01019B" w14:textId="66D0A056" w:rsidR="007929D4" w:rsidRPr="00833C88" w:rsidRDefault="007929D4">
      <w:pPr>
        <w:pStyle w:val="Nagwek3"/>
        <w:numPr>
          <w:ilvl w:val="3"/>
          <w:numId w:val="2"/>
        </w:numPr>
        <w:spacing w:before="0" w:after="120" w:line="360" w:lineRule="auto"/>
        <w:ind w:left="1843" w:hanging="992"/>
        <w:rPr>
          <w:rFonts w:cs="Times New Roman"/>
          <w:b/>
          <w:bCs/>
          <w:u w:val="none"/>
          <w:shd w:val="clear" w:color="auto" w:fill="FFFFFF"/>
        </w:rPr>
      </w:pPr>
      <w:r w:rsidRPr="00833C88">
        <w:rPr>
          <w:rFonts w:cs="Times New Roman"/>
          <w:b/>
          <w:bCs/>
          <w:u w:val="none"/>
          <w:shd w:val="clear" w:color="auto" w:fill="FFFFFF"/>
        </w:rPr>
        <w:t xml:space="preserve">Polecenie zabezpieczające </w:t>
      </w:r>
    </w:p>
    <w:p w14:paraId="04A75341" w14:textId="7929E941" w:rsidR="007929D4"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Przepisy nowelizacji ustawy o </w:t>
      </w:r>
      <w:r w:rsidR="00984D48" w:rsidRPr="00833C88">
        <w:rPr>
          <w:rFonts w:ascii="Times New Roman" w:hAnsi="Times New Roman" w:cs="Times New Roman"/>
        </w:rPr>
        <w:t>KSC</w:t>
      </w:r>
      <w:r w:rsidRPr="00833C88">
        <w:rPr>
          <w:rFonts w:ascii="Times New Roman" w:hAnsi="Times New Roman" w:cs="Times New Roman"/>
        </w:rPr>
        <w:t xml:space="preserve"> </w:t>
      </w:r>
      <w:r w:rsidR="00984D48" w:rsidRPr="00833C88">
        <w:rPr>
          <w:rFonts w:ascii="Times New Roman" w:hAnsi="Times New Roman" w:cs="Times New Roman"/>
        </w:rPr>
        <w:t xml:space="preserve">wprowadzają regulację dotyczącą </w:t>
      </w:r>
      <w:r w:rsidRPr="00833C88">
        <w:rPr>
          <w:rFonts w:ascii="Times New Roman" w:hAnsi="Times New Roman" w:cs="Times New Roman"/>
        </w:rPr>
        <w:t>polecenia zabezpieczającego</w:t>
      </w:r>
      <w:r w:rsidR="00984D48" w:rsidRPr="00833C88">
        <w:rPr>
          <w:rFonts w:ascii="Times New Roman" w:hAnsi="Times New Roman" w:cs="Times New Roman"/>
        </w:rPr>
        <w:t>, które</w:t>
      </w:r>
      <w:r w:rsidRPr="00833C88">
        <w:rPr>
          <w:rFonts w:ascii="Times New Roman" w:hAnsi="Times New Roman" w:cs="Times New Roman"/>
        </w:rPr>
        <w:t xml:space="preserve"> </w:t>
      </w:r>
      <w:r w:rsidR="00984D48" w:rsidRPr="00833C88">
        <w:rPr>
          <w:rFonts w:ascii="Times New Roman" w:hAnsi="Times New Roman" w:cs="Times New Roman"/>
        </w:rPr>
        <w:t>b</w:t>
      </w:r>
      <w:r w:rsidRPr="00833C88">
        <w:rPr>
          <w:rFonts w:ascii="Times New Roman" w:hAnsi="Times New Roman" w:cs="Times New Roman"/>
        </w:rPr>
        <w:t xml:space="preserve">ędzie mogło być </w:t>
      </w:r>
      <w:r w:rsidR="00984D48" w:rsidRPr="00833C88">
        <w:rPr>
          <w:rFonts w:ascii="Times New Roman" w:hAnsi="Times New Roman" w:cs="Times New Roman"/>
        </w:rPr>
        <w:t>wydane przez ministra właściwego do spraw informatyzacji</w:t>
      </w:r>
      <w:r w:rsidRPr="00833C88">
        <w:rPr>
          <w:rFonts w:ascii="Times New Roman" w:hAnsi="Times New Roman" w:cs="Times New Roman"/>
        </w:rPr>
        <w:t xml:space="preserve"> </w:t>
      </w:r>
      <w:r w:rsidR="00601933" w:rsidRPr="00833C88">
        <w:rPr>
          <w:rFonts w:ascii="Times New Roman" w:hAnsi="Times New Roman" w:cs="Times New Roman"/>
        </w:rPr>
        <w:t>w </w:t>
      </w:r>
      <w:r w:rsidR="00984D48" w:rsidRPr="00833C88">
        <w:rPr>
          <w:rFonts w:ascii="Times New Roman" w:hAnsi="Times New Roman" w:cs="Times New Roman"/>
        </w:rPr>
        <w:t>przypadku wystąpienia</w:t>
      </w:r>
      <w:r w:rsidRPr="00833C88">
        <w:rPr>
          <w:rFonts w:ascii="Times New Roman" w:hAnsi="Times New Roman" w:cs="Times New Roman"/>
        </w:rPr>
        <w:t xml:space="preserve"> incydentu krytycznego, w celu skoordynowania </w:t>
      </w:r>
      <w:r w:rsidRPr="00833C88">
        <w:rPr>
          <w:rFonts w:ascii="Times New Roman" w:hAnsi="Times New Roman" w:cs="Times New Roman"/>
        </w:rPr>
        <w:lastRenderedPageBreak/>
        <w:t>efektywnej reakcji</w:t>
      </w:r>
      <w:r w:rsidR="00123593" w:rsidRPr="00833C88">
        <w:rPr>
          <w:rFonts w:ascii="Times New Roman" w:hAnsi="Times New Roman" w:cs="Times New Roman"/>
        </w:rPr>
        <w:t xml:space="preserve"> na ten incydent</w:t>
      </w:r>
      <w:r w:rsidRPr="00833C88">
        <w:rPr>
          <w:rFonts w:ascii="Times New Roman" w:hAnsi="Times New Roman" w:cs="Times New Roman"/>
        </w:rPr>
        <w:t xml:space="preserve">. Incydent krytyczny jest najbardziej dotkliwym w skutkach typem incydentu cyberbezpieczeństwa, skutkującym znaczną szkodą dla bezpieczeństwa lub porządku publicznego, interesów międzynarodowych, interesów gospodarczych, działania instytucji publicznych, praw i wolności obywatelskich lub życia i zdrowia ludzi. Incydent krytyczny jest klasyfikowany przez zespoły CSIRT poziomu krajowego, a więc najpierw operator usługi kluczowej, dostawca usługi cyfrowej lub podmiot publiczny zgłaszają właściwy incydent, który następnie – po przeprowadzeniu należytej oceny – może być uznany przez CSIRT poziomu krajowego za incydent krytyczny. </w:t>
      </w:r>
    </w:p>
    <w:p w14:paraId="2231A414" w14:textId="221C1F2C" w:rsidR="007929D4"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Obecnie państwo nie dysponuje środkami prawnymi, które umożliwiałyby skuteczną reakcję na incydent krytyczny. Oczywiście za obsługę incydentu krytycznego odpowiada jeden z zespołów CSIRT poziomu krajowego, który będzie współpracował z podmiotem, </w:t>
      </w:r>
      <w:r w:rsidR="00601933" w:rsidRPr="00833C88">
        <w:rPr>
          <w:rFonts w:ascii="Times New Roman" w:hAnsi="Times New Roman" w:cs="Times New Roman"/>
        </w:rPr>
        <w:t>u </w:t>
      </w:r>
      <w:r w:rsidRPr="00833C88">
        <w:rPr>
          <w:rFonts w:ascii="Times New Roman" w:hAnsi="Times New Roman" w:cs="Times New Roman"/>
        </w:rPr>
        <w:t xml:space="preserve">którego wystąpił incydent krytyczny. Podkreślić jednak należy, że cyberataki mogą nie dotyczyć jednego podmiotu, a skutki takich ataków mogą się rozszerzać na inne podmioty w bardzo szybkim czasie. Zespoły CSIRT mogą nie nadążyć w obsłudze takiego incydentu krytycznego, który dotyczy wielu podmiotów. Jako przykład można podać sytuację, gdy cały świat zmagał się z podatnością Log4Shell. Była to krytyczna podatność, która mogła być wykorzystywana przez grupy </w:t>
      </w:r>
      <w:proofErr w:type="spellStart"/>
      <w:r w:rsidRPr="00833C88">
        <w:rPr>
          <w:rFonts w:ascii="Times New Roman" w:hAnsi="Times New Roman" w:cs="Times New Roman"/>
        </w:rPr>
        <w:t>advanced</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persistent</w:t>
      </w:r>
      <w:proofErr w:type="spellEnd"/>
      <w:r w:rsidRPr="00833C88">
        <w:rPr>
          <w:rFonts w:ascii="Times New Roman" w:hAnsi="Times New Roman" w:cs="Times New Roman"/>
        </w:rPr>
        <w:t xml:space="preserve"> </w:t>
      </w:r>
      <w:proofErr w:type="spellStart"/>
      <w:r w:rsidRPr="00833C88">
        <w:rPr>
          <w:rFonts w:ascii="Times New Roman" w:hAnsi="Times New Roman" w:cs="Times New Roman"/>
        </w:rPr>
        <w:t>threat</w:t>
      </w:r>
      <w:proofErr w:type="spellEnd"/>
      <w:r w:rsidRPr="00833C88">
        <w:rPr>
          <w:rStyle w:val="Odwoanieprzypisudolnego"/>
          <w:rFonts w:ascii="Times New Roman" w:hAnsi="Times New Roman" w:cs="Times New Roman"/>
        </w:rPr>
        <w:footnoteReference w:id="83"/>
      </w:r>
      <w:r w:rsidRPr="00833C88">
        <w:rPr>
          <w:rFonts w:ascii="Times New Roman" w:hAnsi="Times New Roman" w:cs="Times New Roman"/>
          <w:vertAlign w:val="superscript"/>
        </w:rPr>
        <w:t>)</w:t>
      </w:r>
      <w:r w:rsidRPr="00833C88">
        <w:rPr>
          <w:rFonts w:ascii="Times New Roman" w:hAnsi="Times New Roman" w:cs="Times New Roman"/>
        </w:rPr>
        <w:t xml:space="preserve">. Innym przykładem są ataki na wiele podmiotów administracji rządowej </w:t>
      </w:r>
      <w:r w:rsidR="00A10108" w:rsidRPr="00833C88">
        <w:rPr>
          <w:rFonts w:ascii="Times New Roman" w:hAnsi="Times New Roman" w:cs="Times New Roman"/>
        </w:rPr>
        <w:t>w</w:t>
      </w:r>
      <w:r w:rsidRPr="00833C88">
        <w:rPr>
          <w:rFonts w:ascii="Times New Roman" w:hAnsi="Times New Roman" w:cs="Times New Roman"/>
        </w:rPr>
        <w:t xml:space="preserve"> Ukrainie. </w:t>
      </w:r>
    </w:p>
    <w:p w14:paraId="65706755" w14:textId="4BDF314A" w:rsidR="007929D4"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Dlatego istnieje ważny interes publiczny w tym, aby państwo mogło nakazać, w niezbędnym i proporcjonalnym zakresie, przedsiębiorcom świadczącym istotne usługi dla społeczeństwa informacyjnego, zachowanie, które uchroni m.in. systemy informacyjne, sieci telekomunikacyjne wielu podmiotów przed skutkami incydentu krytycznego. Takim instrumentem </w:t>
      </w:r>
      <w:r w:rsidR="003431FE" w:rsidRPr="00833C88">
        <w:rPr>
          <w:rFonts w:ascii="Times New Roman" w:hAnsi="Times New Roman" w:cs="Times New Roman"/>
        </w:rPr>
        <w:t>będzie</w:t>
      </w:r>
      <w:r w:rsidRPr="00833C88">
        <w:rPr>
          <w:rFonts w:ascii="Times New Roman" w:hAnsi="Times New Roman" w:cs="Times New Roman"/>
        </w:rPr>
        <w:t xml:space="preserve"> właśnie polecenie zabezpieczające.</w:t>
      </w:r>
    </w:p>
    <w:p w14:paraId="24392071" w14:textId="7F75135D" w:rsidR="007929D4" w:rsidRPr="00833C88" w:rsidRDefault="007929D4"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Przed wydaniem polecenia zabezpieczającego niezbędne będzie przeprowadzenie analizy uzasadniającej wydanie tych środków nadzwyczajnych. Analiza będzie przeprowadzana wspólnie z Zespołem do spraw incydentów krytycznych. Zespół ten jest organem pomocniczym w sprawach obsługi incydentów krytycznych. W jego skład wchodzą przedstawiciele CSIRT MON, CSIRT NASK, Szefa Agencji Bezpieczeństwa Wewnętrznego realizującego zadania w ramach CSIRT GOV oraz Rządowego Centrum Bezpieczeństwa, </w:t>
      </w:r>
      <w:r w:rsidRPr="00833C88">
        <w:rPr>
          <w:rFonts w:ascii="Times New Roman" w:hAnsi="Times New Roman" w:cs="Times New Roman"/>
        </w:rPr>
        <w:lastRenderedPageBreak/>
        <w:t>Pełnomocnika oraz ministra właściwego do spraw informatyzacji. Jest to zespół ekspercki mający ułatwić reakcję na incydent krytyczny.</w:t>
      </w:r>
    </w:p>
    <w:p w14:paraId="3E9E4C7E" w14:textId="11743C83" w:rsidR="007929D4" w:rsidRPr="00833C88" w:rsidRDefault="00123593" w:rsidP="009D734C">
      <w:pPr>
        <w:pStyle w:val="NIEARTTEKSTtekstnieartykuowanynppodstprawnarozplubpreambua"/>
        <w:spacing w:before="0" w:after="120"/>
        <w:ind w:firstLine="567"/>
        <w:rPr>
          <w:rFonts w:ascii="Times New Roman" w:hAnsi="Times New Roman" w:cs="Times New Roman"/>
        </w:rPr>
      </w:pPr>
      <w:r w:rsidRPr="00833C88">
        <w:rPr>
          <w:rFonts w:ascii="Times New Roman" w:hAnsi="Times New Roman" w:cs="Times New Roman"/>
        </w:rPr>
        <w:t>Natomiast</w:t>
      </w:r>
      <w:r w:rsidR="007929D4" w:rsidRPr="00833C88">
        <w:rPr>
          <w:rFonts w:ascii="Times New Roman" w:hAnsi="Times New Roman" w:cs="Times New Roman"/>
        </w:rPr>
        <w:t xml:space="preserve"> minister właściwy do spraw informatyzacji będzie mógł wydać w </w:t>
      </w:r>
      <w:r w:rsidRPr="00833C88">
        <w:rPr>
          <w:rFonts w:ascii="Times New Roman" w:hAnsi="Times New Roman" w:cs="Times New Roman"/>
        </w:rPr>
        <w:t>drodze</w:t>
      </w:r>
      <w:r w:rsidR="007929D4" w:rsidRPr="00833C88">
        <w:rPr>
          <w:rFonts w:ascii="Times New Roman" w:hAnsi="Times New Roman" w:cs="Times New Roman"/>
        </w:rPr>
        <w:t xml:space="preserve"> decyzji administracyjnej polecenie zabezpieczające w przypadku wystąpienia incydentu krytycznego. </w:t>
      </w:r>
      <w:r w:rsidR="00601933" w:rsidRPr="00833C88">
        <w:rPr>
          <w:rFonts w:ascii="Times New Roman" w:hAnsi="Times New Roman" w:cs="Times New Roman"/>
        </w:rPr>
        <w:t>W </w:t>
      </w:r>
      <w:r w:rsidRPr="00833C88">
        <w:rPr>
          <w:rFonts w:ascii="Times New Roman" w:hAnsi="Times New Roman" w:cs="Times New Roman"/>
        </w:rPr>
        <w:t>poleceniu zabezpieczającym z</w:t>
      </w:r>
      <w:r w:rsidR="007929D4" w:rsidRPr="00833C88">
        <w:rPr>
          <w:rFonts w:ascii="Times New Roman" w:hAnsi="Times New Roman" w:cs="Times New Roman"/>
        </w:rPr>
        <w:t xml:space="preserve">awarte będzie wskazanie określonego zachowania, które zmniejszy skutki incydentu lub zapobiegnie jego rozprzestrzenianiu się. Katalog tych </w:t>
      </w:r>
      <w:proofErr w:type="spellStart"/>
      <w:r w:rsidR="007929D4" w:rsidRPr="00833C88">
        <w:rPr>
          <w:rFonts w:ascii="Times New Roman" w:hAnsi="Times New Roman" w:cs="Times New Roman"/>
        </w:rPr>
        <w:t>zachowań</w:t>
      </w:r>
      <w:proofErr w:type="spellEnd"/>
      <w:r w:rsidR="007929D4" w:rsidRPr="00833C88">
        <w:rPr>
          <w:rFonts w:ascii="Times New Roman" w:hAnsi="Times New Roman" w:cs="Times New Roman"/>
        </w:rPr>
        <w:t xml:space="preserve"> został wskazany </w:t>
      </w:r>
      <w:r w:rsidR="00601933" w:rsidRPr="00833C88">
        <w:rPr>
          <w:rFonts w:ascii="Times New Roman" w:hAnsi="Times New Roman" w:cs="Times New Roman"/>
        </w:rPr>
        <w:t>w </w:t>
      </w:r>
      <w:r w:rsidR="006F3CE6" w:rsidRPr="00833C88">
        <w:rPr>
          <w:rFonts w:ascii="Times New Roman" w:hAnsi="Times New Roman" w:cs="Times New Roman"/>
        </w:rPr>
        <w:t>projektowanym</w:t>
      </w:r>
      <w:r w:rsidR="007929D4" w:rsidRPr="00833C88">
        <w:rPr>
          <w:rFonts w:ascii="Times New Roman" w:hAnsi="Times New Roman" w:cs="Times New Roman"/>
        </w:rPr>
        <w:t xml:space="preserve"> art. 67</w:t>
      </w:r>
      <w:r w:rsidRPr="00833C88">
        <w:rPr>
          <w:rFonts w:ascii="Times New Roman" w:hAnsi="Times New Roman" w:cs="Times New Roman"/>
        </w:rPr>
        <w:t>g</w:t>
      </w:r>
      <w:r w:rsidR="007929D4" w:rsidRPr="00833C88">
        <w:rPr>
          <w:rFonts w:ascii="Times New Roman" w:hAnsi="Times New Roman" w:cs="Times New Roman"/>
        </w:rPr>
        <w:t xml:space="preserve"> ust. 10</w:t>
      </w:r>
      <w:r w:rsidRPr="00833C88">
        <w:rPr>
          <w:rFonts w:ascii="Times New Roman" w:hAnsi="Times New Roman" w:cs="Times New Roman"/>
        </w:rPr>
        <w:t xml:space="preserve"> ustawy</w:t>
      </w:r>
      <w:r w:rsidR="006F3CE6" w:rsidRPr="00833C88">
        <w:rPr>
          <w:rFonts w:ascii="Times New Roman" w:hAnsi="Times New Roman" w:cs="Times New Roman"/>
        </w:rPr>
        <w:t xml:space="preserve"> </w:t>
      </w:r>
      <w:r w:rsidR="00601933" w:rsidRPr="00833C88">
        <w:rPr>
          <w:rFonts w:ascii="Times New Roman" w:hAnsi="Times New Roman" w:cs="Times New Roman"/>
        </w:rPr>
        <w:t>o </w:t>
      </w:r>
      <w:r w:rsidR="006F3CE6" w:rsidRPr="00833C88">
        <w:rPr>
          <w:rFonts w:ascii="Times New Roman" w:hAnsi="Times New Roman" w:cs="Times New Roman"/>
        </w:rPr>
        <w:t>KSC</w:t>
      </w:r>
      <w:r w:rsidR="007929D4" w:rsidRPr="00833C88">
        <w:rPr>
          <w:rFonts w:ascii="Times New Roman" w:hAnsi="Times New Roman" w:cs="Times New Roman"/>
        </w:rPr>
        <w:t xml:space="preserve">. Może to być </w:t>
      </w:r>
      <w:r w:rsidR="00E367D8" w:rsidRPr="00833C88">
        <w:rPr>
          <w:rFonts w:ascii="Times New Roman" w:hAnsi="Times New Roman" w:cs="Times New Roman"/>
        </w:rPr>
        <w:t>m</w:t>
      </w:r>
      <w:r w:rsidRPr="00833C88">
        <w:rPr>
          <w:rFonts w:ascii="Times New Roman" w:hAnsi="Times New Roman" w:cs="Times New Roman"/>
        </w:rPr>
        <w:t>.in.</w:t>
      </w:r>
      <w:r w:rsidR="007929D4" w:rsidRPr="00833C88">
        <w:rPr>
          <w:rFonts w:ascii="Times New Roman" w:hAnsi="Times New Roman" w:cs="Times New Roman"/>
        </w:rPr>
        <w:t xml:space="preserve"> nakaz zastosowania określonej poprawki bezpieczeństwa, nakaz szczególnej konfiguracji sprzętu lub oprogramowania, zakaz korzystania z określonego sprzętu lub oprogramowania. Jednocześnie należy wskazać, że zakaz korzystania z konkretnych usług i oprogramowania będzie dotyczył wyłącznie rozwiązań mających związek z trwającym incydentem krytycznym.</w:t>
      </w:r>
    </w:p>
    <w:p w14:paraId="59E95583" w14:textId="77777777" w:rsidR="007929D4" w:rsidRPr="00833C88" w:rsidRDefault="007929D4" w:rsidP="009D734C">
      <w:pPr>
        <w:pStyle w:val="NIEARTTEKSTtekstnieartykuowanynppodstprawnarozplubpreambua"/>
        <w:spacing w:before="0" w:after="120"/>
        <w:ind w:firstLine="567"/>
        <w:rPr>
          <w:rFonts w:ascii="Times New Roman" w:hAnsi="Times New Roman" w:cs="Times New Roman"/>
        </w:rPr>
      </w:pPr>
      <w:r w:rsidRPr="00833C88">
        <w:rPr>
          <w:rFonts w:ascii="Times New Roman" w:hAnsi="Times New Roman" w:cs="Times New Roman"/>
        </w:rPr>
        <w:t xml:space="preserve">Polecenie zabezpieczające </w:t>
      </w:r>
      <w:r w:rsidRPr="00833C88">
        <w:rPr>
          <w:rFonts w:ascii="Times New Roman" w:eastAsia="Times New Roman" w:hAnsi="Times New Roman" w:cs="Times New Roman"/>
        </w:rPr>
        <w:t xml:space="preserve">będzie miało charakter decyzji generalnej, a więc będzie skierowane w konkretnej sprawie do podmiotów ustalonych rodzajowo. Przemawia za tym fakt, że niemożliwe jest </w:t>
      </w:r>
      <w:proofErr w:type="gramStart"/>
      <w:r w:rsidRPr="00833C88">
        <w:rPr>
          <w:rFonts w:ascii="Times New Roman" w:eastAsia="Times New Roman" w:hAnsi="Times New Roman" w:cs="Times New Roman"/>
        </w:rPr>
        <w:t>zidentyfikowanie</w:t>
      </w:r>
      <w:proofErr w:type="gramEnd"/>
      <w:r w:rsidRPr="00833C88">
        <w:rPr>
          <w:rFonts w:ascii="Times New Roman" w:eastAsia="Times New Roman" w:hAnsi="Times New Roman" w:cs="Times New Roman"/>
        </w:rPr>
        <w:t xml:space="preserve"> ile dokładnie podmiotów mogłoby być</w:t>
      </w:r>
      <w:r w:rsidRPr="00833C88">
        <w:rPr>
          <w:rFonts w:ascii="Times New Roman" w:hAnsi="Times New Roman" w:cs="Times New Roman"/>
        </w:rPr>
        <w:t xml:space="preserve"> dotkniętymi incydentem krytycznym.</w:t>
      </w:r>
    </w:p>
    <w:p w14:paraId="67827753" w14:textId="4E76316D" w:rsidR="007929D4" w:rsidRPr="00833C88" w:rsidRDefault="007929D4"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Decyzje generalne są znane w prawie administracyjnym państw </w:t>
      </w:r>
      <w:r w:rsidR="00222A93" w:rsidRPr="00833C88">
        <w:rPr>
          <w:rFonts w:ascii="Times New Roman" w:hAnsi="Times New Roman" w:cs="Times New Roman"/>
        </w:rPr>
        <w:t xml:space="preserve">członkowskich </w:t>
      </w:r>
      <w:r w:rsidRPr="00833C88">
        <w:rPr>
          <w:rFonts w:ascii="Times New Roman" w:hAnsi="Times New Roman" w:cs="Times New Roman"/>
        </w:rPr>
        <w:t>U</w:t>
      </w:r>
      <w:r w:rsidR="00A10108" w:rsidRPr="00833C88">
        <w:rPr>
          <w:rFonts w:ascii="Times New Roman" w:hAnsi="Times New Roman" w:cs="Times New Roman"/>
        </w:rPr>
        <w:t>nii Europejskiej</w:t>
      </w:r>
      <w:r w:rsidRPr="00833C88">
        <w:rPr>
          <w:rStyle w:val="Odwoanieprzypisudolnego"/>
          <w:rFonts w:ascii="Times New Roman" w:hAnsi="Times New Roman" w:cs="Times New Roman"/>
        </w:rPr>
        <w:footnoteReference w:id="84"/>
      </w:r>
      <w:r w:rsidR="00123593" w:rsidRPr="00833C88">
        <w:rPr>
          <w:rFonts w:ascii="Times New Roman" w:hAnsi="Times New Roman" w:cs="Times New Roman"/>
          <w:vertAlign w:val="superscript"/>
        </w:rPr>
        <w:t>)</w:t>
      </w:r>
      <w:r w:rsidRPr="00833C88">
        <w:rPr>
          <w:rFonts w:ascii="Times New Roman" w:hAnsi="Times New Roman" w:cs="Times New Roman"/>
        </w:rPr>
        <w:t>, jak również w doktrynie i praktyce w polskim prawie sprzed 1997 r. Decyzja generalna to jeden z rodzajów aktu administracyjnego, a zatem akt stosowania prawa, a nie jego stanowienia (np.</w:t>
      </w:r>
      <w:r w:rsidR="00123593" w:rsidRPr="00833C88">
        <w:rPr>
          <w:rFonts w:ascii="Times New Roman" w:hAnsi="Times New Roman" w:cs="Times New Roman"/>
        </w:rPr>
        <w:t> </w:t>
      </w:r>
      <w:r w:rsidRPr="00833C88">
        <w:rPr>
          <w:rFonts w:ascii="Times New Roman" w:hAnsi="Times New Roman" w:cs="Times New Roman"/>
        </w:rPr>
        <w:t>rozporządzenia czy ustawy)</w:t>
      </w:r>
      <w:r w:rsidRPr="00833C88">
        <w:rPr>
          <w:rStyle w:val="Odwoanieprzypisudolnego"/>
          <w:rFonts w:ascii="Times New Roman" w:hAnsi="Times New Roman" w:cs="Times New Roman"/>
        </w:rPr>
        <w:footnoteReference w:id="85"/>
      </w:r>
      <w:r w:rsidRPr="00833C88">
        <w:rPr>
          <w:rFonts w:ascii="Times New Roman" w:hAnsi="Times New Roman" w:cs="Times New Roman"/>
          <w:vertAlign w:val="superscript"/>
        </w:rPr>
        <w:t>)</w:t>
      </w:r>
      <w:r w:rsidRPr="00833C88">
        <w:rPr>
          <w:rFonts w:ascii="Times New Roman" w:hAnsi="Times New Roman" w:cs="Times New Roman"/>
        </w:rPr>
        <w:t>. Ma charakter generalno-konkretny, czyli wymagają poczynienia ustaleń faktycznych i przyporządkowania (podciągnięcia) stanu faktycznego pod daną normę. Odróżnia je to od aktów normatywnych, które wiążą co do zasady wszystkich</w:t>
      </w:r>
      <w:r w:rsidRPr="00833C88">
        <w:rPr>
          <w:rStyle w:val="Odwoanieprzypisudolnego"/>
          <w:rFonts w:ascii="Times New Roman" w:hAnsi="Times New Roman" w:cs="Times New Roman"/>
        </w:rPr>
        <w:footnoteReference w:id="86"/>
      </w:r>
      <w:r w:rsidRPr="00833C88">
        <w:rPr>
          <w:rFonts w:ascii="Times New Roman" w:hAnsi="Times New Roman" w:cs="Times New Roman"/>
          <w:vertAlign w:val="superscript"/>
        </w:rPr>
        <w:t>)</w:t>
      </w:r>
      <w:r w:rsidRPr="00833C88">
        <w:rPr>
          <w:rFonts w:ascii="Times New Roman" w:hAnsi="Times New Roman" w:cs="Times New Roman"/>
        </w:rPr>
        <w:t>.</w:t>
      </w:r>
    </w:p>
    <w:p w14:paraId="1328AB35" w14:textId="77777777" w:rsidR="007929D4" w:rsidRPr="00833C88" w:rsidRDefault="007929D4"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Nie jest to nowa forma stanowienia prawa, a raczej specyficzny rodzaj aktu administracyjnego, działający obok, a nie zamiast decyzji administracyjnej. Decyzja administracja charakteryzuje się tzw. podwójną konkretnością (konkretny adresat i konkretna sprawa), natomiast akty normatywne są podwójnie ogólne (generalnie określony adresat </w:t>
      </w:r>
      <w:r w:rsidRPr="00833C88">
        <w:rPr>
          <w:rFonts w:ascii="Times New Roman" w:hAnsi="Times New Roman" w:cs="Times New Roman"/>
        </w:rPr>
        <w:lastRenderedPageBreak/>
        <w:t>i abstrakcyjnie opisana sprawa). Akty generalne charakteryzują się natomiast ogólnie określonym adresatem i konkretnie określoną sprawą.</w:t>
      </w:r>
    </w:p>
    <w:p w14:paraId="1A3CD3FE" w14:textId="7B7142E8" w:rsidR="007929D4" w:rsidRPr="00833C88" w:rsidRDefault="007929D4"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Decyzje generalne, mimo braku sformalizowanych zasad procedowania, są stosowane w polskim prawie. Przykładem mogą być niektóre uchwały Komisji Nadzoru Finansowego (dawny art. 71 ustawy z dnia 29 sierpnia 1997 r. – Prawo bankowe</w:t>
      </w:r>
      <w:r w:rsidR="00351108" w:rsidRPr="00833C88">
        <w:rPr>
          <w:rFonts w:ascii="Times New Roman" w:hAnsi="Times New Roman" w:cs="Times New Roman"/>
        </w:rPr>
        <w:t xml:space="preserve"> (Dz. U. </w:t>
      </w:r>
      <w:r w:rsidR="00601933" w:rsidRPr="00833C88">
        <w:rPr>
          <w:rFonts w:ascii="Times New Roman" w:hAnsi="Times New Roman" w:cs="Times New Roman"/>
        </w:rPr>
        <w:t>z </w:t>
      </w:r>
      <w:r w:rsidR="00351108" w:rsidRPr="00833C88">
        <w:rPr>
          <w:rFonts w:ascii="Times New Roman" w:hAnsi="Times New Roman" w:cs="Times New Roman"/>
        </w:rPr>
        <w:t>202</w:t>
      </w:r>
      <w:r w:rsidR="00047BC3" w:rsidRPr="00833C88">
        <w:rPr>
          <w:rFonts w:ascii="Times New Roman" w:hAnsi="Times New Roman" w:cs="Times New Roman"/>
        </w:rPr>
        <w:t>4</w:t>
      </w:r>
      <w:r w:rsidR="00351108" w:rsidRPr="00833C88">
        <w:rPr>
          <w:rFonts w:ascii="Times New Roman" w:hAnsi="Times New Roman" w:cs="Times New Roman"/>
        </w:rPr>
        <w:t xml:space="preserve"> r. poz.</w:t>
      </w:r>
      <w:r w:rsidR="00047BC3" w:rsidRPr="00833C88">
        <w:rPr>
          <w:rFonts w:ascii="Times New Roman" w:hAnsi="Times New Roman" w:cs="Times New Roman"/>
        </w:rPr>
        <w:t xml:space="preserve"> 1646,</w:t>
      </w:r>
      <w:r w:rsidR="0054567B" w:rsidRPr="00833C88">
        <w:rPr>
          <w:rFonts w:ascii="Times New Roman" w:hAnsi="Times New Roman" w:cs="Times New Roman"/>
        </w:rPr>
        <w:t xml:space="preserve"> z późn. zm.</w:t>
      </w:r>
      <w:r w:rsidRPr="00833C88">
        <w:rPr>
          <w:rFonts w:ascii="Times New Roman" w:hAnsi="Times New Roman" w:cs="Times New Roman"/>
        </w:rPr>
        <w:t>)</w:t>
      </w:r>
      <w:r w:rsidR="00BF0140" w:rsidRPr="00833C88">
        <w:rPr>
          <w:rFonts w:ascii="Times New Roman" w:hAnsi="Times New Roman" w:cs="Times New Roman"/>
        </w:rPr>
        <w:t>)</w:t>
      </w:r>
      <w:r w:rsidRPr="00833C88">
        <w:rPr>
          <w:rFonts w:ascii="Times New Roman" w:hAnsi="Times New Roman" w:cs="Times New Roman"/>
        </w:rPr>
        <w:t>, Wykaz Produktów Leczniczych Dopuszczonych do Obrotu na terytorium Rzeczypospolitej Polskiej (art. 4 ust. 1 pkt 1 lit. j ustawy z dnia 18 marca 2011 r. o Urzędzie Rejestracji Produktów Leczniczych, Wyrobów Medycznych i Produktów Biobójczych</w:t>
      </w:r>
      <w:r w:rsidR="00351108" w:rsidRPr="00833C88">
        <w:rPr>
          <w:rFonts w:ascii="Times New Roman" w:hAnsi="Times New Roman" w:cs="Times New Roman"/>
        </w:rPr>
        <w:t xml:space="preserve"> (Dz. U. </w:t>
      </w:r>
      <w:r w:rsidR="00601933" w:rsidRPr="00833C88">
        <w:rPr>
          <w:rFonts w:ascii="Times New Roman" w:hAnsi="Times New Roman" w:cs="Times New Roman"/>
        </w:rPr>
        <w:t>z </w:t>
      </w:r>
      <w:r w:rsidR="00351108" w:rsidRPr="00833C88">
        <w:rPr>
          <w:rFonts w:ascii="Times New Roman" w:hAnsi="Times New Roman" w:cs="Times New Roman"/>
        </w:rPr>
        <w:t>2023 r. poz. 1223</w:t>
      </w:r>
      <w:r w:rsidRPr="00833C88">
        <w:rPr>
          <w:rFonts w:ascii="Times New Roman" w:hAnsi="Times New Roman" w:cs="Times New Roman"/>
        </w:rPr>
        <w:t>)</w:t>
      </w:r>
      <w:r w:rsidR="00A4211E" w:rsidRPr="00833C88">
        <w:rPr>
          <w:rFonts w:ascii="Times New Roman" w:hAnsi="Times New Roman" w:cs="Times New Roman"/>
        </w:rPr>
        <w:t>,</w:t>
      </w:r>
      <w:r w:rsidRPr="00833C88">
        <w:rPr>
          <w:rFonts w:ascii="Times New Roman" w:hAnsi="Times New Roman" w:cs="Times New Roman"/>
        </w:rPr>
        <w:t xml:space="preserve"> czy też rozstrzygnięcia Głównego Inspektora Sanitarnego (art. 27 ust. 1 i 2 ustawy z dnia 14 marca 1985 r. o Państwowej Inspekcji Sanitarnej</w:t>
      </w:r>
      <w:r w:rsidR="00351108" w:rsidRPr="00833C88">
        <w:rPr>
          <w:rFonts w:ascii="Times New Roman" w:hAnsi="Times New Roman" w:cs="Times New Roman"/>
        </w:rPr>
        <w:t xml:space="preserve"> (Dz. U. 2024 r. poz. 416</w:t>
      </w:r>
      <w:r w:rsidRPr="00833C88">
        <w:rPr>
          <w:rFonts w:ascii="Times New Roman" w:hAnsi="Times New Roman" w:cs="Times New Roman"/>
        </w:rPr>
        <w:t xml:space="preserve">). </w:t>
      </w:r>
    </w:p>
    <w:p w14:paraId="2A9D728B" w14:textId="0BAFB776" w:rsidR="007929D4" w:rsidRPr="00833C88" w:rsidRDefault="007929D4"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 xml:space="preserve">Do postępowania nie będą miały zastosowania przepisy art. 10, art. 34, art. 81, art. 81a, art. 107 § 1 pkt 3, art. 145 § 1 pkt 4 </w:t>
      </w:r>
      <w:r w:rsidR="00601933" w:rsidRPr="00833C88">
        <w:rPr>
          <w:rFonts w:ascii="Times New Roman" w:hAnsi="Times New Roman" w:cs="Times New Roman"/>
        </w:rPr>
        <w:t>i </w:t>
      </w:r>
      <w:r w:rsidRPr="00833C88">
        <w:rPr>
          <w:rFonts w:ascii="Times New Roman" w:hAnsi="Times New Roman" w:cs="Times New Roman"/>
        </w:rPr>
        <w:t>art. 156 § 1 pkt 4 K</w:t>
      </w:r>
      <w:r w:rsidR="00351108" w:rsidRPr="00833C88">
        <w:rPr>
          <w:rFonts w:ascii="Times New Roman" w:hAnsi="Times New Roman" w:cs="Times New Roman"/>
        </w:rPr>
        <w:t>pa</w:t>
      </w:r>
      <w:r w:rsidRPr="00833C88">
        <w:rPr>
          <w:rFonts w:ascii="Times New Roman" w:hAnsi="Times New Roman" w:cs="Times New Roman"/>
        </w:rPr>
        <w:t xml:space="preserve">, a inne przepisy Kpa będą stosowane odpowiednio. Wyłączenia ww. przepisów są </w:t>
      </w:r>
      <w:proofErr w:type="gramStart"/>
      <w:r w:rsidRPr="00833C88">
        <w:rPr>
          <w:rFonts w:ascii="Times New Roman" w:hAnsi="Times New Roman" w:cs="Times New Roman"/>
        </w:rPr>
        <w:t>konieczne</w:t>
      </w:r>
      <w:proofErr w:type="gramEnd"/>
      <w:r w:rsidRPr="00833C88">
        <w:rPr>
          <w:rFonts w:ascii="Times New Roman" w:hAnsi="Times New Roman" w:cs="Times New Roman"/>
        </w:rPr>
        <w:t xml:space="preserve"> ponieważ w przypadku decyzji generalnych niemożliwe są do zidentyfikowania wszystkie strony postępowania. Wyłączenia w projekcie nawiązują do poglądów doktryny</w:t>
      </w:r>
      <w:r w:rsidRPr="00833C88">
        <w:rPr>
          <w:rStyle w:val="Odwoanieprzypisudolnego"/>
          <w:rFonts w:ascii="Times New Roman" w:hAnsi="Times New Roman" w:cs="Times New Roman"/>
        </w:rPr>
        <w:footnoteReference w:id="87"/>
      </w:r>
      <w:r w:rsidRPr="00833C88">
        <w:rPr>
          <w:rFonts w:ascii="Times New Roman" w:hAnsi="Times New Roman" w:cs="Times New Roman"/>
          <w:vertAlign w:val="superscript"/>
        </w:rPr>
        <w:t>)</w:t>
      </w:r>
      <w:r w:rsidRPr="00833C88">
        <w:rPr>
          <w:rFonts w:ascii="Times New Roman" w:hAnsi="Times New Roman" w:cs="Times New Roman"/>
        </w:rPr>
        <w:t>.</w:t>
      </w:r>
    </w:p>
    <w:p w14:paraId="75400BF8" w14:textId="652232D0" w:rsidR="007929D4" w:rsidRPr="00833C88" w:rsidRDefault="00601933"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W </w:t>
      </w:r>
      <w:r w:rsidR="007929D4" w:rsidRPr="00833C88">
        <w:rPr>
          <w:rFonts w:ascii="Times New Roman" w:hAnsi="Times New Roman" w:cs="Times New Roman"/>
        </w:rPr>
        <w:t xml:space="preserve">przypadku polecenia zabezpieczającego wyłączone wprost zostaną </w:t>
      </w:r>
      <w:r w:rsidR="006F3CE6" w:rsidRPr="00833C88">
        <w:rPr>
          <w:rFonts w:ascii="Times New Roman" w:hAnsi="Times New Roman" w:cs="Times New Roman"/>
        </w:rPr>
        <w:t xml:space="preserve">następujące </w:t>
      </w:r>
      <w:r w:rsidR="007929D4" w:rsidRPr="00833C88">
        <w:rPr>
          <w:rFonts w:ascii="Times New Roman" w:hAnsi="Times New Roman" w:cs="Times New Roman"/>
        </w:rPr>
        <w:t>przepisy K</w:t>
      </w:r>
      <w:r w:rsidR="00351108" w:rsidRPr="00833C88">
        <w:rPr>
          <w:rFonts w:ascii="Times New Roman" w:hAnsi="Times New Roman" w:cs="Times New Roman"/>
        </w:rPr>
        <w:t>pa</w:t>
      </w:r>
      <w:r w:rsidR="007929D4" w:rsidRPr="00833C88">
        <w:rPr>
          <w:rFonts w:ascii="Times New Roman" w:hAnsi="Times New Roman" w:cs="Times New Roman"/>
        </w:rPr>
        <w:t xml:space="preserve"> odnoszące się do udziału strony w postępowaniu:</w:t>
      </w:r>
    </w:p>
    <w:p w14:paraId="35182241" w14:textId="77777777"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art. 10 – w przypadku decyzji generalnej, gdzie strona jest ustalona rodzajowo nie jest możliwe zapewnienie czynnego udziału wszystkim pomiotom, na których ten akt ma wpływ – ich prawa są chronione przez możliwość zaskarżenia decyzji do sądu administracyjnego;</w:t>
      </w:r>
    </w:p>
    <w:p w14:paraId="79E6E682" w14:textId="02C73381"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art. 34 – z uwagi na to, że strona co do zasady nie będzie brała czynnego udziału w postępowaniu należy wyłączyć obowiązek organu dot. wystąpienia do sądu z wnioskiem o wyznaczenie przedstawiciela dla osoby nieobecnej lub niezdolnej do</w:t>
      </w:r>
      <w:r w:rsidR="00AD6CCD" w:rsidRPr="00833C88">
        <w:rPr>
          <w:rFonts w:ascii="Times New Roman" w:hAnsi="Times New Roman" w:cs="Times New Roman"/>
        </w:rPr>
        <w:t> </w:t>
      </w:r>
      <w:r w:rsidRPr="00833C88">
        <w:rPr>
          <w:rFonts w:ascii="Times New Roman" w:hAnsi="Times New Roman" w:cs="Times New Roman"/>
        </w:rPr>
        <w:t>czynności prawnych;</w:t>
      </w:r>
    </w:p>
    <w:p w14:paraId="2A2613B2" w14:textId="6C044FD8"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art. 79 – z uwagi na rodzajowe określenie strony (</w:t>
      </w:r>
      <w:r w:rsidR="00601933" w:rsidRPr="00833C88">
        <w:rPr>
          <w:rFonts w:ascii="Times New Roman" w:hAnsi="Times New Roman" w:cs="Times New Roman"/>
        </w:rPr>
        <w:t>a </w:t>
      </w:r>
      <w:r w:rsidRPr="00833C88">
        <w:rPr>
          <w:rFonts w:ascii="Times New Roman" w:hAnsi="Times New Roman" w:cs="Times New Roman"/>
        </w:rPr>
        <w:t>także potencjalną liczbę podmiotów</w:t>
      </w:r>
      <w:r w:rsidR="00374475" w:rsidRPr="00833C88">
        <w:rPr>
          <w:rFonts w:ascii="Times New Roman" w:hAnsi="Times New Roman" w:cs="Times New Roman"/>
        </w:rPr>
        <w:t>,</w:t>
      </w:r>
      <w:r w:rsidRPr="00833C88">
        <w:rPr>
          <w:rFonts w:ascii="Times New Roman" w:hAnsi="Times New Roman" w:cs="Times New Roman"/>
        </w:rPr>
        <w:t xml:space="preserve"> np. ok. 4000 przedsiębiorców telekomunikacyjnych) nie jest możliwe zawiadamianie ich o miejscu i terminie przeprowadzenia dowodu na siedem dni przed </w:t>
      </w:r>
      <w:r w:rsidRPr="00833C88">
        <w:rPr>
          <w:rFonts w:ascii="Times New Roman" w:hAnsi="Times New Roman" w:cs="Times New Roman"/>
        </w:rPr>
        <w:lastRenderedPageBreak/>
        <w:t>terminem; tym bardziej nie będzie to możliwe w przypadku polecenia zabezpieczającego, gdzie istotny będzie czas reakcji na trwający incydent krytyczny;</w:t>
      </w:r>
    </w:p>
    <w:p w14:paraId="11CE60EB" w14:textId="77777777"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art. 81 – z uwagi na rodzajowe określenie strony należy wyłączyć przepis o domniemaniu udowodnienia danego faktu, jeżeli strona miała możność wypowiedzenia się co do przeprowadzonych dowodów;</w:t>
      </w:r>
    </w:p>
    <w:p w14:paraId="3568D543" w14:textId="77777777"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art. 81a – z uwagi na rodzajowe określenie strony należy wyłączyć przepis o zasadzie rozstrzygania wątpliwości faktycznych na korzyść strony;</w:t>
      </w:r>
    </w:p>
    <w:p w14:paraId="11CA4688" w14:textId="77777777"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art. 107 § 1 pkt 3 – wyłącza się przepis o wskazaniu strony w treści decyzji administracyjnej; w zamian w poleceniu zabezpieczającym będzie określony rodzaj podmiotów, do których skierowane będzie polecenie;</w:t>
      </w:r>
    </w:p>
    <w:p w14:paraId="1800850F" w14:textId="77777777"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art. 145 § 1 pkt 4 – wyłącza się przepis o możliwości wznowienia postępowania, jeżeli strona nie brała z własnej winy udziału w postępowaniu – w przypadku decyzji generalnych, gdzie strona jest ustalona rodzajowo nie jest możliwe zapewnienie czynnego udziału wszystkim pomiotom, na których ten akt ma wpływ, stąd należy wyłączyć ten przepis, aby nie powstała podstawa do wzruszania tego aktu;</w:t>
      </w:r>
    </w:p>
    <w:p w14:paraId="66FD4605" w14:textId="7C77FC17" w:rsidR="007929D4" w:rsidRPr="00833C88" w:rsidRDefault="007929D4">
      <w:pPr>
        <w:pStyle w:val="NIEARTTEKSTtekstnieartykuowanynppodstprawnarozplubpreambua"/>
        <w:numPr>
          <w:ilvl w:val="0"/>
          <w:numId w:val="20"/>
        </w:numPr>
        <w:spacing w:before="0" w:after="120"/>
        <w:ind w:left="709" w:hanging="425"/>
        <w:rPr>
          <w:rFonts w:ascii="Times New Roman" w:hAnsi="Times New Roman" w:cs="Times New Roman"/>
        </w:rPr>
      </w:pPr>
      <w:r w:rsidRPr="00833C88">
        <w:rPr>
          <w:rFonts w:ascii="Times New Roman" w:hAnsi="Times New Roman" w:cs="Times New Roman"/>
        </w:rPr>
        <w:t xml:space="preserve">art. 156 § 1 pkt 4 – wyłącza się przepis o obowiązku stwierdzenia nieważności </w:t>
      </w:r>
      <w:proofErr w:type="gramStart"/>
      <w:r w:rsidRPr="00833C88">
        <w:rPr>
          <w:rFonts w:ascii="Times New Roman" w:hAnsi="Times New Roman" w:cs="Times New Roman"/>
        </w:rPr>
        <w:t>decyzji</w:t>
      </w:r>
      <w:proofErr w:type="gramEnd"/>
      <w:r w:rsidRPr="00833C88">
        <w:rPr>
          <w:rFonts w:ascii="Times New Roman" w:hAnsi="Times New Roman" w:cs="Times New Roman"/>
        </w:rPr>
        <w:t xml:space="preserve"> która została skierowana do osoby niebędącej stroną w sprawie</w:t>
      </w:r>
      <w:r w:rsidR="00745276" w:rsidRPr="00833C88">
        <w:rPr>
          <w:rFonts w:ascii="Times New Roman" w:hAnsi="Times New Roman" w:cs="Times New Roman"/>
        </w:rPr>
        <w:t xml:space="preserve"> </w:t>
      </w:r>
      <w:r w:rsidR="00FE7A60" w:rsidRPr="00833C88">
        <w:rPr>
          <w:rFonts w:ascii="Times New Roman" w:hAnsi="Times New Roman" w:cs="Times New Roman"/>
        </w:rPr>
        <w:t>–</w:t>
      </w:r>
      <w:r w:rsidRPr="00833C88">
        <w:rPr>
          <w:rFonts w:ascii="Times New Roman" w:hAnsi="Times New Roman" w:cs="Times New Roman"/>
        </w:rPr>
        <w:t xml:space="preserve"> strona w przypadku decyzji generalnej jest określona rodzajowo.</w:t>
      </w:r>
    </w:p>
    <w:p w14:paraId="1D742927" w14:textId="246C0E86" w:rsidR="007929D4" w:rsidRPr="00833C88" w:rsidRDefault="007929D4"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Zawiadomienia w sprawie będą doręczane poprzez publiczne obwieszczenie na stronie podmiotowej ministra właściwego do spraw informatyzacji w </w:t>
      </w:r>
      <w:r w:rsidR="00F34453" w:rsidRPr="00833C88">
        <w:rPr>
          <w:rFonts w:ascii="Times New Roman" w:hAnsi="Times New Roman" w:cs="Times New Roman"/>
        </w:rPr>
        <w:t>BIP</w:t>
      </w:r>
      <w:r w:rsidRPr="00833C88">
        <w:rPr>
          <w:rFonts w:ascii="Times New Roman" w:hAnsi="Times New Roman" w:cs="Times New Roman"/>
        </w:rPr>
        <w:t xml:space="preserve">. Samo polecenie zabezpieczające będzie ogłoszone w dzienniku urzędowym ministra właściwego do spraw informatyzacji </w:t>
      </w:r>
      <w:r w:rsidR="00491911" w:rsidRPr="00833C88">
        <w:rPr>
          <w:rFonts w:ascii="Times New Roman" w:hAnsi="Times New Roman" w:cs="Times New Roman"/>
        </w:rPr>
        <w:t xml:space="preserve">jako załącznik do komunikatu ministra </w:t>
      </w:r>
      <w:r w:rsidRPr="00833C88">
        <w:rPr>
          <w:rFonts w:ascii="Times New Roman" w:hAnsi="Times New Roman" w:cs="Times New Roman"/>
        </w:rPr>
        <w:t>oraz na stronie podmiotowej ministra w </w:t>
      </w:r>
      <w:r w:rsidR="00F34453" w:rsidRPr="00833C88">
        <w:rPr>
          <w:rFonts w:ascii="Times New Roman" w:hAnsi="Times New Roman" w:cs="Times New Roman"/>
        </w:rPr>
        <w:t>BIP</w:t>
      </w:r>
      <w:r w:rsidRPr="00833C88">
        <w:rPr>
          <w:rFonts w:ascii="Times New Roman" w:hAnsi="Times New Roman" w:cs="Times New Roman"/>
        </w:rPr>
        <w:t xml:space="preserve"> lub na stronie internetowej urzędu obsługującego ministra.</w:t>
      </w:r>
    </w:p>
    <w:p w14:paraId="0C5B6FE6" w14:textId="47E20F8D" w:rsidR="007929D4"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Wskazane w poleceniu zabezpieczającym określone zachowanie ma być adekwatne do</w:t>
      </w:r>
      <w:r w:rsidR="00351108" w:rsidRPr="00833C88">
        <w:rPr>
          <w:rFonts w:ascii="Times New Roman" w:hAnsi="Times New Roman" w:cs="Times New Roman"/>
        </w:rPr>
        <w:t> </w:t>
      </w:r>
      <w:r w:rsidRPr="00833C88">
        <w:rPr>
          <w:rFonts w:ascii="Times New Roman" w:hAnsi="Times New Roman" w:cs="Times New Roman"/>
        </w:rPr>
        <w:t>sytuacji – minister nie będzie mógł więc arbitralnie wskazać zachowani</w:t>
      </w:r>
      <w:r w:rsidR="00C9783E" w:rsidRPr="00833C88">
        <w:rPr>
          <w:rFonts w:ascii="Times New Roman" w:hAnsi="Times New Roman" w:cs="Times New Roman"/>
        </w:rPr>
        <w:t>a</w:t>
      </w:r>
      <w:r w:rsidRPr="00833C88">
        <w:rPr>
          <w:rFonts w:ascii="Times New Roman" w:hAnsi="Times New Roman" w:cs="Times New Roman"/>
        </w:rPr>
        <w:t>, tylko wybrać takie, które w świetle analizy, będzie proporcjonalne do sytuacji wywołanej incydentem krytycznym.</w:t>
      </w:r>
    </w:p>
    <w:p w14:paraId="2AE07CE8" w14:textId="77F64FB4" w:rsidR="007929D4" w:rsidRPr="00833C88" w:rsidRDefault="007929D4" w:rsidP="009D734C">
      <w:pPr>
        <w:pStyle w:val="ARTartustawynprozporzdzenia"/>
        <w:spacing w:before="0" w:after="120"/>
        <w:rPr>
          <w:rFonts w:ascii="Times New Roman" w:hAnsi="Times New Roman" w:cs="Times New Roman"/>
          <w:b/>
          <w:bCs/>
        </w:rPr>
      </w:pPr>
      <w:r w:rsidRPr="00833C88">
        <w:rPr>
          <w:rFonts w:ascii="Times New Roman" w:hAnsi="Times New Roman" w:cs="Times New Roman"/>
          <w:bCs/>
        </w:rPr>
        <w:t xml:space="preserve">Ze względu na fakt, że </w:t>
      </w:r>
      <w:r w:rsidR="00601933" w:rsidRPr="00833C88">
        <w:rPr>
          <w:rFonts w:ascii="Times New Roman" w:hAnsi="Times New Roman" w:cs="Times New Roman"/>
          <w:bCs/>
        </w:rPr>
        <w:t>w </w:t>
      </w:r>
      <w:r w:rsidR="00351108" w:rsidRPr="00833C88">
        <w:rPr>
          <w:rFonts w:ascii="Times New Roman" w:hAnsi="Times New Roman" w:cs="Times New Roman"/>
          <w:bCs/>
        </w:rPr>
        <w:t>dodawanym</w:t>
      </w:r>
      <w:r w:rsidRPr="00833C88">
        <w:rPr>
          <w:rFonts w:ascii="Times New Roman" w:hAnsi="Times New Roman" w:cs="Times New Roman"/>
          <w:bCs/>
        </w:rPr>
        <w:t xml:space="preserve"> </w:t>
      </w:r>
      <w:r w:rsidR="00601933" w:rsidRPr="00833C88">
        <w:rPr>
          <w:rFonts w:ascii="Times New Roman" w:hAnsi="Times New Roman" w:cs="Times New Roman"/>
          <w:bCs/>
        </w:rPr>
        <w:t>w </w:t>
      </w:r>
      <w:r w:rsidR="000B5A7F" w:rsidRPr="00833C88">
        <w:rPr>
          <w:rFonts w:ascii="Times New Roman" w:hAnsi="Times New Roman" w:cs="Times New Roman"/>
          <w:bCs/>
        </w:rPr>
        <w:t xml:space="preserve">ustawie </w:t>
      </w:r>
      <w:r w:rsidR="00601933" w:rsidRPr="00833C88">
        <w:rPr>
          <w:rFonts w:ascii="Times New Roman" w:hAnsi="Times New Roman" w:cs="Times New Roman"/>
          <w:bCs/>
        </w:rPr>
        <w:t>o </w:t>
      </w:r>
      <w:r w:rsidR="000B5A7F" w:rsidRPr="00833C88">
        <w:rPr>
          <w:rFonts w:ascii="Times New Roman" w:hAnsi="Times New Roman" w:cs="Times New Roman"/>
          <w:bCs/>
        </w:rPr>
        <w:t xml:space="preserve">KSC </w:t>
      </w:r>
      <w:r w:rsidRPr="00833C88">
        <w:rPr>
          <w:rFonts w:ascii="Times New Roman" w:hAnsi="Times New Roman" w:cs="Times New Roman"/>
          <w:bCs/>
        </w:rPr>
        <w:t>art. 67</w:t>
      </w:r>
      <w:r w:rsidR="00351108" w:rsidRPr="00833C88">
        <w:rPr>
          <w:rFonts w:ascii="Times New Roman" w:hAnsi="Times New Roman" w:cs="Times New Roman"/>
          <w:bCs/>
        </w:rPr>
        <w:t>g</w:t>
      </w:r>
      <w:r w:rsidRPr="00833C88">
        <w:rPr>
          <w:rFonts w:ascii="Times New Roman" w:hAnsi="Times New Roman" w:cs="Times New Roman"/>
          <w:bCs/>
        </w:rPr>
        <w:t xml:space="preserve"> wprowadzona została decyzja generalna skierowana do bliżej nieokreślonego kręgu podmiotów, konieczne było wprowadzanie również kwestii precyzujących niektóre aspekty postępowania sądowo administracyjnego. Ze względu na specyfikę tej decyzji zdecydowano się wyraźnie wskazać, </w:t>
      </w:r>
      <w:r w:rsidRPr="00833C88">
        <w:rPr>
          <w:rFonts w:ascii="Times New Roman" w:hAnsi="Times New Roman" w:cs="Times New Roman"/>
          <w:bCs/>
        </w:rPr>
        <w:lastRenderedPageBreak/>
        <w:t>że sąd administracyjny zarządza połączenie wszystkich oddzielnych spraw toczących się przed nim w celu ich łącznego rozpoznania i rozstrzygnięcia. Ma to ułatwić stosowanie tych przepisów oraz zapobiec powstaniu wątpliwości w zakresie postępowania ze skargami na</w:t>
      </w:r>
      <w:r w:rsidR="00AD6CCD" w:rsidRPr="00833C88">
        <w:rPr>
          <w:rFonts w:ascii="Times New Roman" w:hAnsi="Times New Roman" w:cs="Times New Roman"/>
          <w:bCs/>
        </w:rPr>
        <w:t> </w:t>
      </w:r>
      <w:r w:rsidRPr="00833C88">
        <w:rPr>
          <w:rFonts w:ascii="Times New Roman" w:hAnsi="Times New Roman" w:cs="Times New Roman"/>
          <w:bCs/>
        </w:rPr>
        <w:t>decyzję stanowiącą polecenie zabezpieczające.</w:t>
      </w:r>
    </w:p>
    <w:p w14:paraId="0124AC86" w14:textId="77777777" w:rsidR="007929D4"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Rygor natychmiastowej wykonalności polecenia zabezpieczającego jest jedyną rzeczą, która zapewni skuteczne działanie tego środka prawnego i szybkie podjęcie działań ograniczających skutki incydentu krytycznego. Przykłady cyberataków m.in. związane z oprogramowaniem firmy </w:t>
      </w:r>
      <w:proofErr w:type="spellStart"/>
      <w:r w:rsidRPr="00833C88">
        <w:rPr>
          <w:rFonts w:ascii="Times New Roman" w:hAnsi="Times New Roman" w:cs="Times New Roman"/>
        </w:rPr>
        <w:t>SolarWinds</w:t>
      </w:r>
      <w:proofErr w:type="spellEnd"/>
      <w:r w:rsidRPr="00833C88">
        <w:rPr>
          <w:rFonts w:ascii="Times New Roman" w:hAnsi="Times New Roman" w:cs="Times New Roman"/>
        </w:rPr>
        <w:t xml:space="preserve">, czy wykorzystujących niewykryte wcześniej podatności w programie Microsoft Exchange Server, dobitnie pokazują jak kluczowa w reagowaniu na takie ataki jest szybkość podjęcia działań mitygujących ryzyka i ograniczających skutki ataku. Jak krytyczne jest dokonywanie natychmiastowych aktualizacji oprogramowania pokazuje właśnie przykład podatności w przypadku produktu firmy Microsoft. Podatności, nie naprawione w porę natychmiast wykorzystali cyberprzestępcy, którzy mieli możliwość m.in. czytania wewnętrznej korespondencji mailowej. </w:t>
      </w:r>
    </w:p>
    <w:p w14:paraId="76FB34CB" w14:textId="4DF27A08" w:rsidR="007929D4"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Wyłączone zostały przepisy o ponownym rozpatrzeniu sprawy przez organ. Decyzja ta</w:t>
      </w:r>
      <w:r w:rsidR="00351108" w:rsidRPr="00833C88">
        <w:rPr>
          <w:rFonts w:ascii="Times New Roman" w:hAnsi="Times New Roman" w:cs="Times New Roman"/>
        </w:rPr>
        <w:t> </w:t>
      </w:r>
      <w:r w:rsidRPr="00833C88">
        <w:rPr>
          <w:rFonts w:ascii="Times New Roman" w:hAnsi="Times New Roman" w:cs="Times New Roman"/>
        </w:rPr>
        <w:t>będzie oparta na specjalistycznej analizie opracowanej w warunkach wystąpienia incydentu krytycznego. Nie jest zasadne ponowne angażowanie osób w przeprowadzenie takiej analizy</w:t>
      </w:r>
      <w:r w:rsidR="00C77658" w:rsidRPr="00833C88">
        <w:rPr>
          <w:rFonts w:ascii="Times New Roman" w:hAnsi="Times New Roman" w:cs="Times New Roman"/>
        </w:rPr>
        <w:t>,</w:t>
      </w:r>
      <w:r w:rsidRPr="00833C88">
        <w:rPr>
          <w:rFonts w:ascii="Times New Roman" w:hAnsi="Times New Roman" w:cs="Times New Roman"/>
        </w:rPr>
        <w:t xml:space="preserve"> w </w:t>
      </w:r>
      <w:proofErr w:type="gramStart"/>
      <w:r w:rsidRPr="00833C88">
        <w:rPr>
          <w:rFonts w:ascii="Times New Roman" w:hAnsi="Times New Roman" w:cs="Times New Roman"/>
        </w:rPr>
        <w:t>przypadku</w:t>
      </w:r>
      <w:proofErr w:type="gramEnd"/>
      <w:r w:rsidRPr="00833C88">
        <w:rPr>
          <w:rFonts w:ascii="Times New Roman" w:hAnsi="Times New Roman" w:cs="Times New Roman"/>
        </w:rPr>
        <w:t xml:space="preserve"> gdy wystąpiła znaczna szkodą dla bezpieczeństwa lub porządku publicznego, interesów międzynarodowych, interesów gospodarczych, działania instytucji publicznych, praw i wolności obywatelskich lub życia i zdrowia ludzi. Priorytetem w takiej sytuacji musi być podjęcie odpowiednich działań naprawczych. Prawa strony są odpowiednio chronione poprzez instytucję skargi do sądu administracyjnego. </w:t>
      </w:r>
    </w:p>
    <w:p w14:paraId="1E253EB8" w14:textId="564BBB11" w:rsidR="007929D4"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Polecenie zabezpieczające wydaje się na czas koordynacji obsługi incydentu krytycznego lub na czas oznaczony, nie dłużej niż na dwa lata, a wygasa z dniem wskazanym w ogłoszeniu o zakończeniu koordynacji obsługi incydentu w dzienniku urzędowym ministra właściwego do</w:t>
      </w:r>
      <w:r w:rsidR="00AD6CCD" w:rsidRPr="00833C88">
        <w:rPr>
          <w:rFonts w:ascii="Times New Roman" w:hAnsi="Times New Roman" w:cs="Times New Roman"/>
        </w:rPr>
        <w:t> </w:t>
      </w:r>
      <w:r w:rsidRPr="00833C88">
        <w:rPr>
          <w:rFonts w:ascii="Times New Roman" w:hAnsi="Times New Roman" w:cs="Times New Roman"/>
        </w:rPr>
        <w:t>spraw informatyzacji lub po upływie czasu, na które zostało wydane.</w:t>
      </w:r>
    </w:p>
    <w:p w14:paraId="28F929E3" w14:textId="06CF1FAE" w:rsidR="008424BD" w:rsidRPr="00833C88" w:rsidRDefault="007929D4" w:rsidP="009D734C">
      <w:pPr>
        <w:pStyle w:val="ARTartustawynprozporzdzenia"/>
        <w:spacing w:before="0" w:after="120"/>
        <w:rPr>
          <w:rFonts w:ascii="Times New Roman" w:hAnsi="Times New Roman" w:cs="Times New Roman"/>
        </w:rPr>
      </w:pPr>
      <w:r w:rsidRPr="00833C88">
        <w:rPr>
          <w:rFonts w:ascii="Times New Roman" w:hAnsi="Times New Roman" w:cs="Times New Roman"/>
        </w:rPr>
        <w:t xml:space="preserve">Wprowadzenie do polskiego porządku prawnego polecenia zabezpieczającego jest konieczne dla zapewnienia bezpieczeństwa narodowego, ponieważ cyberataki są coraz częstsze i coraz bardziej niebezpieczne. Należy podkreślić, że są one dokonywane zarówno przez zwykłych przestępców jak i sprawców powiązanych z określonymi państwami, którzy dysponują znaczną wiedzą i zasobami. Państwo zawczasu musi mieć odpowiednie prawne środki reakcji </w:t>
      </w:r>
      <w:r w:rsidR="003B6EB1" w:rsidRPr="00833C88">
        <w:rPr>
          <w:rFonts w:ascii="Times New Roman" w:hAnsi="Times New Roman" w:cs="Times New Roman"/>
        </w:rPr>
        <w:t xml:space="preserve">na </w:t>
      </w:r>
      <w:r w:rsidRPr="00833C88">
        <w:rPr>
          <w:rFonts w:ascii="Times New Roman" w:hAnsi="Times New Roman" w:cs="Times New Roman"/>
        </w:rPr>
        <w:t xml:space="preserve">incydenty krytyczne, aby bronić swojego społeczeństwa i gospodarki przed </w:t>
      </w:r>
      <w:r w:rsidRPr="00833C88">
        <w:rPr>
          <w:rFonts w:ascii="Times New Roman" w:hAnsi="Times New Roman" w:cs="Times New Roman"/>
        </w:rPr>
        <w:lastRenderedPageBreak/>
        <w:t>skutkami tych incydentów. Polecenie zabezpieczające będzie skutecznym środkiem przeciwdziałania incydentom krytycznym. Będzie miało charakter proporcjonalny do</w:t>
      </w:r>
      <w:r w:rsidR="00AD6CCD" w:rsidRPr="00833C88">
        <w:rPr>
          <w:rFonts w:ascii="Times New Roman" w:hAnsi="Times New Roman" w:cs="Times New Roman"/>
        </w:rPr>
        <w:t> </w:t>
      </w:r>
      <w:proofErr w:type="spellStart"/>
      <w:r w:rsidRPr="00833C88">
        <w:rPr>
          <w:rFonts w:ascii="Times New Roman" w:hAnsi="Times New Roman" w:cs="Times New Roman"/>
        </w:rPr>
        <w:t>cyberzagrożenia</w:t>
      </w:r>
      <w:proofErr w:type="spellEnd"/>
      <w:r w:rsidRPr="00833C88">
        <w:rPr>
          <w:rFonts w:ascii="Times New Roman" w:hAnsi="Times New Roman" w:cs="Times New Roman"/>
        </w:rPr>
        <w:t>. Wpłynie ono wyłącznie w niezbędnym zakresie na swobodę działalności gospodarczej, aby uchronić kluczowe podmioty przed skutkami incydentu krytycznego, który jak wspomniano wyżej, w bardzo poważny sposób zagraża obywatelom, gospodarce czy szerzej bezpieczeństwu narodowe</w:t>
      </w:r>
      <w:r w:rsidR="003E1A9C" w:rsidRPr="00833C88">
        <w:rPr>
          <w:rFonts w:ascii="Times New Roman" w:hAnsi="Times New Roman" w:cs="Times New Roman"/>
        </w:rPr>
        <w:t>mu</w:t>
      </w:r>
      <w:r w:rsidRPr="00833C88">
        <w:rPr>
          <w:rFonts w:ascii="Times New Roman" w:hAnsi="Times New Roman" w:cs="Times New Roman"/>
        </w:rPr>
        <w:t xml:space="preserve">. Katalog </w:t>
      </w:r>
      <w:proofErr w:type="spellStart"/>
      <w:r w:rsidRPr="00833C88">
        <w:rPr>
          <w:rFonts w:ascii="Times New Roman" w:hAnsi="Times New Roman" w:cs="Times New Roman"/>
        </w:rPr>
        <w:t>zachowań</w:t>
      </w:r>
      <w:proofErr w:type="spellEnd"/>
      <w:r w:rsidRPr="00833C88">
        <w:rPr>
          <w:rFonts w:ascii="Times New Roman" w:hAnsi="Times New Roman" w:cs="Times New Roman"/>
        </w:rPr>
        <w:t xml:space="preserve"> możliwych do nałożenia </w:t>
      </w:r>
      <w:r w:rsidR="00601933" w:rsidRPr="00833C88">
        <w:rPr>
          <w:rFonts w:ascii="Times New Roman" w:hAnsi="Times New Roman" w:cs="Times New Roman"/>
        </w:rPr>
        <w:t>w </w:t>
      </w:r>
      <w:r w:rsidRPr="00833C88">
        <w:rPr>
          <w:rFonts w:ascii="Times New Roman" w:hAnsi="Times New Roman" w:cs="Times New Roman"/>
        </w:rPr>
        <w:t xml:space="preserve">drodze polecenia zabezpieczającego zostanie ustawowo ograniczony. Ponadto minister będzie zobligowany wybrać zachowanie adekwatne do </w:t>
      </w:r>
      <w:proofErr w:type="spellStart"/>
      <w:r w:rsidRPr="00833C88">
        <w:rPr>
          <w:rFonts w:ascii="Times New Roman" w:hAnsi="Times New Roman" w:cs="Times New Roman"/>
        </w:rPr>
        <w:t>cyberzagrożenia</w:t>
      </w:r>
      <w:proofErr w:type="spellEnd"/>
      <w:r w:rsidRPr="00833C88">
        <w:rPr>
          <w:rFonts w:ascii="Times New Roman" w:hAnsi="Times New Roman" w:cs="Times New Roman"/>
        </w:rPr>
        <w:t>, jakie stwarza incydent krytyczny. Dlatego projektodawca jest zdania, że nie narusza ono istoty swobody działalności gospodarczej, a</w:t>
      </w:r>
      <w:r w:rsidR="00351108" w:rsidRPr="00833C88">
        <w:rPr>
          <w:rFonts w:ascii="Times New Roman" w:hAnsi="Times New Roman" w:cs="Times New Roman"/>
        </w:rPr>
        <w:t> </w:t>
      </w:r>
      <w:r w:rsidRPr="00833C88">
        <w:rPr>
          <w:rFonts w:ascii="Times New Roman" w:hAnsi="Times New Roman" w:cs="Times New Roman"/>
        </w:rPr>
        <w:t>także jest ono proporcjonalne sensu stricto.</w:t>
      </w:r>
    </w:p>
    <w:p w14:paraId="4AF96601" w14:textId="52FF074A" w:rsidR="00C75CF6" w:rsidRPr="00833C88" w:rsidRDefault="00601933" w:rsidP="009D734C">
      <w:pPr>
        <w:pStyle w:val="NIEARTTEKSTtekstnieartykuowanynppodstprawnarozplubpreambua"/>
        <w:spacing w:before="0" w:after="120"/>
        <w:rPr>
          <w:rFonts w:ascii="Times New Roman" w:hAnsi="Times New Roman" w:cs="Times New Roman"/>
        </w:rPr>
      </w:pPr>
      <w:r w:rsidRPr="00833C88">
        <w:rPr>
          <w:rFonts w:ascii="Times New Roman" w:hAnsi="Times New Roman" w:cs="Times New Roman"/>
        </w:rPr>
        <w:t>Z </w:t>
      </w:r>
      <w:r w:rsidR="00C75CF6" w:rsidRPr="00833C88">
        <w:rPr>
          <w:rFonts w:ascii="Times New Roman" w:hAnsi="Times New Roman" w:cs="Times New Roman"/>
        </w:rPr>
        <w:t>uwagi na konstytucyjną niezależność Narodowego Banku Polskiego nie będą do niego stosowały się przepisy dotyczące wycofania produktów ICT, usług ICT</w:t>
      </w:r>
      <w:r w:rsidR="00351108" w:rsidRPr="00833C88">
        <w:rPr>
          <w:rFonts w:ascii="Times New Roman" w:hAnsi="Times New Roman" w:cs="Times New Roman"/>
        </w:rPr>
        <w:t xml:space="preserve"> lub</w:t>
      </w:r>
      <w:r w:rsidR="00C75CF6" w:rsidRPr="00833C88">
        <w:rPr>
          <w:rFonts w:ascii="Times New Roman" w:hAnsi="Times New Roman" w:cs="Times New Roman"/>
        </w:rPr>
        <w:t xml:space="preserve"> procesów ICT pochodzących od dostawcy wysokiego ryzyka. Minister właściwy do spraw informatyzacji będzie informował Prezesa Narodowego Banku Polskiego o wydaniu decyzji o uznaniu danego dostawcy za dostawcę wysokiego ryzyka. Prezes Narodowego Banku Polskiego zdecyduje zatem czy wycofa produkty ICT, usługi ICT oraz procesy ICT wskazane w decyzji o uznaniu dostawcy za dostawcę wysokiego ryzyka. </w:t>
      </w:r>
    </w:p>
    <w:p w14:paraId="22CD4C9E" w14:textId="1C74AC22" w:rsidR="00C75CF6" w:rsidRPr="00833C88" w:rsidRDefault="00604225" w:rsidP="009D734C">
      <w:pPr>
        <w:pStyle w:val="ARTartustawynprozporzdzenia"/>
        <w:spacing w:before="0" w:after="120"/>
        <w:rPr>
          <w:rFonts w:ascii="Times New Roman" w:hAnsi="Times New Roman" w:cs="Times New Roman"/>
        </w:rPr>
      </w:pPr>
      <w:r w:rsidRPr="00833C88">
        <w:rPr>
          <w:rFonts w:ascii="Times New Roman" w:hAnsi="Times New Roman" w:cs="Times New Roman"/>
        </w:rPr>
        <w:t>D</w:t>
      </w:r>
      <w:r w:rsidR="00C75CF6" w:rsidRPr="00833C88">
        <w:rPr>
          <w:rFonts w:ascii="Times New Roman" w:hAnsi="Times New Roman" w:cs="Times New Roman"/>
        </w:rPr>
        <w:t>odano opcjonalną możliwość przekazania zadań zespołów CSIRT, określonych w</w:t>
      </w:r>
      <w:r w:rsidR="000F31A7" w:rsidRPr="00833C88">
        <w:rPr>
          <w:rFonts w:ascii="Times New Roman" w:hAnsi="Times New Roman" w:cs="Times New Roman"/>
        </w:rPr>
        <w:t> </w:t>
      </w:r>
      <w:r w:rsidR="00C75CF6" w:rsidRPr="00833C88">
        <w:rPr>
          <w:rFonts w:ascii="Times New Roman" w:hAnsi="Times New Roman" w:cs="Times New Roman"/>
        </w:rPr>
        <w:t>art. 26</w:t>
      </w:r>
      <w:r w:rsidR="000F31A7" w:rsidRPr="00833C88">
        <w:rPr>
          <w:rFonts w:ascii="Times New Roman" w:hAnsi="Times New Roman" w:cs="Times New Roman"/>
        </w:rPr>
        <w:t xml:space="preserve"> ustawy </w:t>
      </w:r>
      <w:r w:rsidR="00601933" w:rsidRPr="00833C88">
        <w:rPr>
          <w:rFonts w:ascii="Times New Roman" w:hAnsi="Times New Roman" w:cs="Times New Roman"/>
        </w:rPr>
        <w:t>o </w:t>
      </w:r>
      <w:r w:rsidR="000F31A7" w:rsidRPr="00833C88">
        <w:rPr>
          <w:rFonts w:ascii="Times New Roman" w:hAnsi="Times New Roman" w:cs="Times New Roman"/>
        </w:rPr>
        <w:t>KSC</w:t>
      </w:r>
      <w:r w:rsidR="00C75CF6" w:rsidRPr="00833C88">
        <w:rPr>
          <w:rFonts w:ascii="Times New Roman" w:hAnsi="Times New Roman" w:cs="Times New Roman"/>
        </w:rPr>
        <w:t>, Ministrowi Obrony Narodowej. Decyzję w tej sprawie podejmie Prezes Rady Ministrów, działając na podstawie rekomendacji Kolegium oraz w uzgodnieniu z Ministrem Obrony Narodowej. W decyzji zostaną określone m.in. zakres, czas powierzenia zadań</w:t>
      </w:r>
      <w:r w:rsidR="003E1A9C" w:rsidRPr="00833C88">
        <w:rPr>
          <w:rFonts w:ascii="Times New Roman" w:hAnsi="Times New Roman" w:cs="Times New Roman"/>
        </w:rPr>
        <w:t>,</w:t>
      </w:r>
      <w:r w:rsidR="00C75CF6" w:rsidRPr="00833C88">
        <w:rPr>
          <w:rFonts w:ascii="Times New Roman" w:hAnsi="Times New Roman" w:cs="Times New Roman"/>
        </w:rPr>
        <w:t xml:space="preserve"> a także fakultatywnie szczegóły współpracy z CSIRT MON, CSIRT NASK i CSIRT GOV. Zadania te będą realizowane przez Ministra Obrony Narodowej za pomocą jego jednostek podległych lub przez niego nadzorowanych. </w:t>
      </w:r>
      <w:r w:rsidR="000F31A7" w:rsidRPr="00833C88">
        <w:rPr>
          <w:rFonts w:ascii="Times New Roman" w:hAnsi="Times New Roman" w:cs="Times New Roman"/>
        </w:rPr>
        <w:t xml:space="preserve">Komunikat </w:t>
      </w:r>
      <w:r w:rsidR="00601933" w:rsidRPr="00833C88">
        <w:rPr>
          <w:rFonts w:ascii="Times New Roman" w:hAnsi="Times New Roman" w:cs="Times New Roman"/>
        </w:rPr>
        <w:t>o </w:t>
      </w:r>
      <w:r w:rsidR="000F31A7" w:rsidRPr="00833C88">
        <w:rPr>
          <w:rFonts w:ascii="Times New Roman" w:hAnsi="Times New Roman" w:cs="Times New Roman"/>
        </w:rPr>
        <w:t xml:space="preserve">powierzeniu realizacji zadań </w:t>
      </w:r>
      <w:r w:rsidR="00C75CF6" w:rsidRPr="00833C88">
        <w:rPr>
          <w:rFonts w:ascii="Times New Roman" w:hAnsi="Times New Roman" w:cs="Times New Roman"/>
        </w:rPr>
        <w:t>będzie ogłaszan</w:t>
      </w:r>
      <w:r w:rsidR="000F31A7" w:rsidRPr="00833C88">
        <w:rPr>
          <w:rFonts w:ascii="Times New Roman" w:hAnsi="Times New Roman" w:cs="Times New Roman"/>
        </w:rPr>
        <w:t>y</w:t>
      </w:r>
      <w:r w:rsidR="00C75CF6" w:rsidRPr="00833C88">
        <w:rPr>
          <w:rFonts w:ascii="Times New Roman" w:hAnsi="Times New Roman" w:cs="Times New Roman"/>
        </w:rPr>
        <w:t xml:space="preserve"> </w:t>
      </w:r>
      <w:r w:rsidR="00601933" w:rsidRPr="00833C88">
        <w:rPr>
          <w:rFonts w:ascii="Times New Roman" w:hAnsi="Times New Roman" w:cs="Times New Roman"/>
        </w:rPr>
        <w:t>w </w:t>
      </w:r>
      <w:r w:rsidR="00C75CF6" w:rsidRPr="00833C88">
        <w:rPr>
          <w:rFonts w:ascii="Times New Roman" w:hAnsi="Times New Roman" w:cs="Times New Roman"/>
        </w:rPr>
        <w:t>Dzienniku Urzędowym Rzeczypospolitej Polskiej „Monitor Polski”</w:t>
      </w:r>
      <w:r w:rsidR="0027500F" w:rsidRPr="00833C88">
        <w:rPr>
          <w:rFonts w:ascii="Times New Roman" w:hAnsi="Times New Roman" w:cs="Times New Roman"/>
        </w:rPr>
        <w:t xml:space="preserve"> przez Prezesa Rady Ministrów</w:t>
      </w:r>
      <w:r w:rsidR="00C75CF6" w:rsidRPr="00833C88">
        <w:rPr>
          <w:rFonts w:ascii="Times New Roman" w:hAnsi="Times New Roman" w:cs="Times New Roman"/>
        </w:rPr>
        <w:t xml:space="preserve">. Ponadto celem poinformowania podmiotów krajowego systemu cyberbezpieczeństwa informacja </w:t>
      </w:r>
      <w:r w:rsidR="00601933" w:rsidRPr="00833C88">
        <w:rPr>
          <w:rFonts w:ascii="Times New Roman" w:hAnsi="Times New Roman" w:cs="Times New Roman"/>
        </w:rPr>
        <w:t>o </w:t>
      </w:r>
      <w:r w:rsidR="000F31A7" w:rsidRPr="00833C88">
        <w:rPr>
          <w:rFonts w:ascii="Times New Roman" w:hAnsi="Times New Roman" w:cs="Times New Roman"/>
        </w:rPr>
        <w:t xml:space="preserve">komunikacie </w:t>
      </w:r>
      <w:r w:rsidR="00C75CF6" w:rsidRPr="00833C88">
        <w:rPr>
          <w:rFonts w:ascii="Times New Roman" w:hAnsi="Times New Roman" w:cs="Times New Roman"/>
        </w:rPr>
        <w:t xml:space="preserve">będzie </w:t>
      </w:r>
      <w:r w:rsidR="000F31A7" w:rsidRPr="00833C88">
        <w:rPr>
          <w:rFonts w:ascii="Times New Roman" w:hAnsi="Times New Roman" w:cs="Times New Roman"/>
        </w:rPr>
        <w:t>udostępnia</w:t>
      </w:r>
      <w:r w:rsidR="00C75CF6" w:rsidRPr="00833C88">
        <w:rPr>
          <w:rFonts w:ascii="Times New Roman" w:hAnsi="Times New Roman" w:cs="Times New Roman"/>
        </w:rPr>
        <w:t xml:space="preserve">na </w:t>
      </w:r>
      <w:r w:rsidR="007F7C29" w:rsidRPr="00833C88">
        <w:rPr>
          <w:rFonts w:ascii="Times New Roman" w:hAnsi="Times New Roman" w:cs="Times New Roman"/>
        </w:rPr>
        <w:t>na</w:t>
      </w:r>
      <w:r w:rsidR="00AD6CCD" w:rsidRPr="00833C88">
        <w:rPr>
          <w:rFonts w:ascii="Times New Roman" w:hAnsi="Times New Roman" w:cs="Times New Roman"/>
        </w:rPr>
        <w:t> </w:t>
      </w:r>
      <w:r w:rsidR="00C75CF6" w:rsidRPr="00833C88">
        <w:rPr>
          <w:rFonts w:ascii="Times New Roman" w:hAnsi="Times New Roman" w:cs="Times New Roman"/>
        </w:rPr>
        <w:t>stronach internetowych CSIRT</w:t>
      </w:r>
      <w:r w:rsidR="006F6740" w:rsidRPr="00833C88">
        <w:rPr>
          <w:rFonts w:ascii="Times New Roman" w:hAnsi="Times New Roman" w:cs="Times New Roman"/>
        </w:rPr>
        <w:t xml:space="preserve"> MON</w:t>
      </w:r>
      <w:r w:rsidR="00C75CF6" w:rsidRPr="00833C88">
        <w:rPr>
          <w:rFonts w:ascii="Times New Roman" w:hAnsi="Times New Roman" w:cs="Times New Roman"/>
        </w:rPr>
        <w:t xml:space="preserve">, CSIRT </w:t>
      </w:r>
      <w:r w:rsidR="006F6740" w:rsidRPr="00833C88">
        <w:rPr>
          <w:rFonts w:ascii="Times New Roman" w:hAnsi="Times New Roman" w:cs="Times New Roman"/>
        </w:rPr>
        <w:t>NASK</w:t>
      </w:r>
      <w:r w:rsidR="00C75CF6" w:rsidRPr="00833C88">
        <w:rPr>
          <w:rFonts w:ascii="Times New Roman" w:hAnsi="Times New Roman" w:cs="Times New Roman"/>
        </w:rPr>
        <w:t xml:space="preserve">, CSIRT </w:t>
      </w:r>
      <w:r w:rsidR="006F6740" w:rsidRPr="00833C88">
        <w:rPr>
          <w:rFonts w:ascii="Times New Roman" w:hAnsi="Times New Roman" w:cs="Times New Roman"/>
        </w:rPr>
        <w:t>GOV</w:t>
      </w:r>
      <w:r w:rsidR="00C75CF6" w:rsidRPr="00833C88">
        <w:rPr>
          <w:rFonts w:ascii="Times New Roman" w:hAnsi="Times New Roman" w:cs="Times New Roman"/>
        </w:rPr>
        <w:t xml:space="preserve"> lub </w:t>
      </w:r>
      <w:r w:rsidR="00601933" w:rsidRPr="00833C88">
        <w:rPr>
          <w:rFonts w:ascii="Times New Roman" w:hAnsi="Times New Roman" w:cs="Times New Roman"/>
        </w:rPr>
        <w:t>w </w:t>
      </w:r>
      <w:r w:rsidR="00F34453" w:rsidRPr="00833C88">
        <w:rPr>
          <w:rFonts w:ascii="Times New Roman" w:hAnsi="Times New Roman" w:cs="Times New Roman"/>
        </w:rPr>
        <w:t>BIP</w:t>
      </w:r>
      <w:r w:rsidR="00C75CF6" w:rsidRPr="00833C88">
        <w:rPr>
          <w:rFonts w:ascii="Times New Roman" w:hAnsi="Times New Roman" w:cs="Times New Roman"/>
        </w:rPr>
        <w:t xml:space="preserve"> na stronie podmiotowej Pełnomocnika.</w:t>
      </w:r>
    </w:p>
    <w:p w14:paraId="1B058FD4" w14:textId="057D0068" w:rsidR="009D5FE4" w:rsidRPr="00833C88" w:rsidRDefault="002C29A0" w:rsidP="008E5431">
      <w:pPr>
        <w:pStyle w:val="Nagwek2"/>
        <w:spacing w:before="0" w:after="120" w:line="360" w:lineRule="auto"/>
        <w:jc w:val="both"/>
        <w:rPr>
          <w:rFonts w:cs="Times New Roman"/>
          <w:b/>
          <w:bCs/>
        </w:rPr>
      </w:pPr>
      <w:r w:rsidRPr="00833C88">
        <w:rPr>
          <w:rFonts w:cs="Times New Roman"/>
          <w:b/>
          <w:bCs/>
        </w:rPr>
        <w:t xml:space="preserve">Przepisy </w:t>
      </w:r>
      <w:r w:rsidR="00601933" w:rsidRPr="00833C88">
        <w:rPr>
          <w:rFonts w:cs="Times New Roman"/>
          <w:b/>
          <w:bCs/>
        </w:rPr>
        <w:t>o </w:t>
      </w:r>
      <w:r w:rsidRPr="00833C88">
        <w:rPr>
          <w:rFonts w:cs="Times New Roman"/>
          <w:b/>
          <w:bCs/>
        </w:rPr>
        <w:t>karach pieniężnych</w:t>
      </w:r>
    </w:p>
    <w:p w14:paraId="5E67308C" w14:textId="79BBFBAA"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Zmiany poczynione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przepisach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zakresu kar pieniężnych obejmują dostosowanie katalogu kar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nowymi obowiązkami jakim podlegają podmioty kluczowe lub</w:t>
      </w:r>
      <w:r w:rsidR="00557499" w:rsidRPr="00833C88">
        <w:rPr>
          <w:rFonts w:eastAsia="Times New Roman" w:cs="Times New Roman"/>
          <w:sz w:val="24"/>
          <w:szCs w:val="24"/>
          <w:lang w:eastAsia="pl-PL"/>
        </w:rPr>
        <w:t xml:space="preserve"> podmioty</w:t>
      </w:r>
      <w:r w:rsidRPr="00833C88">
        <w:rPr>
          <w:rFonts w:eastAsia="Times New Roman" w:cs="Times New Roman"/>
          <w:sz w:val="24"/>
          <w:szCs w:val="24"/>
          <w:lang w:eastAsia="pl-PL"/>
        </w:rPr>
        <w:t xml:space="preserve"> </w:t>
      </w:r>
      <w:r w:rsidRPr="00833C88">
        <w:rPr>
          <w:rFonts w:eastAsia="Times New Roman" w:cs="Times New Roman"/>
          <w:sz w:val="24"/>
          <w:szCs w:val="24"/>
          <w:lang w:eastAsia="pl-PL"/>
        </w:rPr>
        <w:lastRenderedPageBreak/>
        <w:t xml:space="preserve">ważne. Przewidziano także możliwość nałożenia kary na podmiot, który nie wyznaczył osoby odpowiedzialnej za utrzymywanie kontaktów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podmiotami kluczowymi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podmiotami ważnymi lub na podmiot, który nie zapewnia użytkownikowi usługi dostępu do wiedzy pozwalającej na zrozumienie </w:t>
      </w:r>
      <w:proofErr w:type="spellStart"/>
      <w:r w:rsidRPr="00833C88">
        <w:rPr>
          <w:rFonts w:eastAsia="Times New Roman" w:cs="Times New Roman"/>
          <w:sz w:val="24"/>
          <w:szCs w:val="24"/>
          <w:lang w:eastAsia="pl-PL"/>
        </w:rPr>
        <w:t>cyberzagrożeń</w:t>
      </w:r>
      <w:proofErr w:type="spellEnd"/>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stosowanie skutecznych sposobów zabezpieczenia się przed tymi zagrożeniami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związanym ze świadczonymi usługami. Możliwość </w:t>
      </w:r>
      <w:r w:rsidR="00A95AFE" w:rsidRPr="00833C88">
        <w:rPr>
          <w:rFonts w:eastAsia="Times New Roman" w:cs="Times New Roman"/>
          <w:sz w:val="24"/>
          <w:szCs w:val="24"/>
          <w:lang w:eastAsia="pl-PL"/>
        </w:rPr>
        <w:t>wymierzenia</w:t>
      </w:r>
      <w:r w:rsidRPr="00833C88">
        <w:rPr>
          <w:rFonts w:eastAsia="Times New Roman" w:cs="Times New Roman"/>
          <w:sz w:val="24"/>
          <w:szCs w:val="24"/>
          <w:lang w:eastAsia="pl-PL"/>
        </w:rPr>
        <w:t xml:space="preserve"> kary aktualizuje się wtedy, gdy przemawia za tym waga i</w:t>
      </w:r>
      <w:r w:rsidR="00557499" w:rsidRPr="00833C88">
        <w:rPr>
          <w:rFonts w:eastAsia="Times New Roman" w:cs="Times New Roman"/>
          <w:sz w:val="24"/>
          <w:szCs w:val="24"/>
          <w:lang w:eastAsia="pl-PL"/>
        </w:rPr>
        <w:t> </w:t>
      </w:r>
      <w:r w:rsidRPr="00833C88">
        <w:rPr>
          <w:rFonts w:eastAsia="Times New Roman" w:cs="Times New Roman"/>
          <w:sz w:val="24"/>
          <w:szCs w:val="24"/>
          <w:lang w:eastAsia="pl-PL"/>
        </w:rPr>
        <w:t>znaczenie naruszonych przepisów.</w:t>
      </w:r>
      <w:r w:rsidR="00F2122E" w:rsidRPr="00833C88">
        <w:rPr>
          <w:rFonts w:eastAsia="Times New Roman" w:cs="Times New Roman"/>
          <w:sz w:val="24"/>
          <w:szCs w:val="24"/>
          <w:lang w:eastAsia="pl-PL"/>
        </w:rPr>
        <w:t xml:space="preserve"> Doprecyzowano również, że karze pieniężnej podlegają podmioty kluczowe lub </w:t>
      </w:r>
      <w:r w:rsidR="00557499" w:rsidRPr="00833C88">
        <w:rPr>
          <w:rFonts w:eastAsia="Times New Roman" w:cs="Times New Roman"/>
          <w:sz w:val="24"/>
          <w:szCs w:val="24"/>
          <w:lang w:eastAsia="pl-PL"/>
        </w:rPr>
        <w:t xml:space="preserve">podmioty </w:t>
      </w:r>
      <w:r w:rsidR="00F2122E" w:rsidRPr="00833C88">
        <w:rPr>
          <w:rFonts w:eastAsia="Times New Roman" w:cs="Times New Roman"/>
          <w:sz w:val="24"/>
          <w:szCs w:val="24"/>
          <w:lang w:eastAsia="pl-PL"/>
        </w:rPr>
        <w:t xml:space="preserve">ważne także wtedy, gdy ich </w:t>
      </w:r>
      <w:r w:rsidR="00F54779" w:rsidRPr="00833C88">
        <w:rPr>
          <w:rFonts w:eastAsia="Times New Roman" w:cs="Times New Roman"/>
          <w:sz w:val="24"/>
          <w:szCs w:val="24"/>
          <w:lang w:eastAsia="pl-PL"/>
        </w:rPr>
        <w:t xml:space="preserve">działanie lub zaniechanie ma charakter jednorazowy. </w:t>
      </w:r>
      <w:r w:rsidR="003D32F5" w:rsidRPr="00833C88">
        <w:rPr>
          <w:rFonts w:eastAsia="Times New Roman" w:cs="Times New Roman"/>
          <w:sz w:val="24"/>
          <w:szCs w:val="24"/>
          <w:lang w:eastAsia="pl-PL"/>
        </w:rPr>
        <w:t>Taki przepis pozwoli wyeliminować wątpliwości</w:t>
      </w:r>
      <w:r w:rsidR="000D4BEF" w:rsidRPr="00833C88">
        <w:rPr>
          <w:rFonts w:eastAsia="Times New Roman" w:cs="Times New Roman"/>
          <w:sz w:val="24"/>
          <w:szCs w:val="24"/>
          <w:lang w:eastAsia="pl-PL"/>
        </w:rPr>
        <w:t xml:space="preserve"> co do tego, czy</w:t>
      </w:r>
      <w:r w:rsidR="00557499" w:rsidRPr="00833C88">
        <w:rPr>
          <w:rFonts w:eastAsia="Times New Roman" w:cs="Times New Roman"/>
          <w:sz w:val="24"/>
          <w:szCs w:val="24"/>
          <w:lang w:eastAsia="pl-PL"/>
        </w:rPr>
        <w:t> </w:t>
      </w:r>
      <w:r w:rsidR="00A31E38" w:rsidRPr="00833C88">
        <w:rPr>
          <w:rFonts w:eastAsia="Times New Roman" w:cs="Times New Roman"/>
          <w:sz w:val="24"/>
          <w:szCs w:val="24"/>
          <w:lang w:eastAsia="pl-PL"/>
        </w:rPr>
        <w:t>np.</w:t>
      </w:r>
      <w:r w:rsidR="00557499" w:rsidRPr="00833C88">
        <w:rPr>
          <w:rFonts w:eastAsia="Times New Roman" w:cs="Times New Roman"/>
          <w:sz w:val="24"/>
          <w:szCs w:val="24"/>
          <w:lang w:eastAsia="pl-PL"/>
        </w:rPr>
        <w:t> </w:t>
      </w:r>
      <w:r w:rsidR="00A31E38" w:rsidRPr="00833C88">
        <w:rPr>
          <w:rFonts w:eastAsia="Times New Roman" w:cs="Times New Roman"/>
          <w:sz w:val="24"/>
          <w:szCs w:val="24"/>
          <w:lang w:eastAsia="pl-PL"/>
        </w:rPr>
        <w:t xml:space="preserve">niewykonywanie obowiązku musi mieć charakter ciągły lub powtarzalny, żeby </w:t>
      </w:r>
      <w:r w:rsidR="005E36C0" w:rsidRPr="00833C88">
        <w:rPr>
          <w:rFonts w:eastAsia="Times New Roman" w:cs="Times New Roman"/>
          <w:sz w:val="24"/>
          <w:szCs w:val="24"/>
          <w:lang w:eastAsia="pl-PL"/>
        </w:rPr>
        <w:t>wy</w:t>
      </w:r>
      <w:r w:rsidR="00A31E38" w:rsidRPr="00833C88">
        <w:rPr>
          <w:rFonts w:eastAsia="Times New Roman" w:cs="Times New Roman"/>
          <w:sz w:val="24"/>
          <w:szCs w:val="24"/>
          <w:lang w:eastAsia="pl-PL"/>
        </w:rPr>
        <w:t>pełniało to znamiona czynu</w:t>
      </w:r>
      <w:r w:rsidR="005E36C0" w:rsidRPr="00833C88">
        <w:rPr>
          <w:rFonts w:eastAsia="Times New Roman" w:cs="Times New Roman"/>
          <w:sz w:val="24"/>
          <w:szCs w:val="24"/>
          <w:lang w:eastAsia="pl-PL"/>
        </w:rPr>
        <w:t>,</w:t>
      </w:r>
      <w:r w:rsidR="00A31E38" w:rsidRPr="00833C88">
        <w:rPr>
          <w:rFonts w:eastAsia="Times New Roman" w:cs="Times New Roman"/>
          <w:sz w:val="24"/>
          <w:szCs w:val="24"/>
          <w:lang w:eastAsia="pl-PL"/>
        </w:rPr>
        <w:t xml:space="preserve"> za któ</w:t>
      </w:r>
      <w:r w:rsidR="00866484" w:rsidRPr="00833C88">
        <w:rPr>
          <w:rFonts w:eastAsia="Times New Roman" w:cs="Times New Roman"/>
          <w:sz w:val="24"/>
          <w:szCs w:val="24"/>
          <w:lang w:eastAsia="pl-PL"/>
        </w:rPr>
        <w:t>ry nałożona może zostać kara pieniężna.</w:t>
      </w:r>
    </w:p>
    <w:p w14:paraId="071E6F74" w14:textId="54C4E68D"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Dążąc do zapewnienia, że kary określone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ustawie będą skuteczne, proporcjonalne i</w:t>
      </w:r>
      <w:r w:rsidR="00557499" w:rsidRPr="00833C88">
        <w:rPr>
          <w:rFonts w:eastAsia="Times New Roman" w:cs="Times New Roman"/>
          <w:sz w:val="24"/>
          <w:szCs w:val="24"/>
          <w:lang w:eastAsia="pl-PL"/>
        </w:rPr>
        <w:t> </w:t>
      </w:r>
      <w:r w:rsidRPr="00833C88">
        <w:rPr>
          <w:rFonts w:eastAsia="Times New Roman" w:cs="Times New Roman"/>
          <w:sz w:val="24"/>
          <w:szCs w:val="24"/>
          <w:lang w:eastAsia="pl-PL"/>
        </w:rPr>
        <w:t xml:space="preserve">odstraszające, określono minimalną wysokość kary na poziomie 20 000 zł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przypadku podmiotów kluczowych oraz 15 000 zł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przypadku podmiotów ważnych. Co do zasady jednak kara nie może przekroczyć 10 000 000 euro </w:t>
      </w:r>
      <w:r w:rsidR="09CF04AB" w:rsidRPr="00833C88">
        <w:rPr>
          <w:rFonts w:eastAsia="Times New Roman" w:cs="Times New Roman"/>
          <w:sz w:val="24"/>
          <w:szCs w:val="24"/>
          <w:lang w:eastAsia="pl-PL"/>
        </w:rPr>
        <w:t xml:space="preserve">wyrażonej </w:t>
      </w:r>
      <w:r w:rsidR="00601933" w:rsidRPr="00833C88">
        <w:rPr>
          <w:rFonts w:eastAsia="Times New Roman" w:cs="Times New Roman"/>
          <w:sz w:val="24"/>
          <w:szCs w:val="24"/>
          <w:lang w:eastAsia="pl-PL"/>
        </w:rPr>
        <w:t>w </w:t>
      </w:r>
      <w:r w:rsidR="09CF04AB" w:rsidRPr="00833C88">
        <w:rPr>
          <w:rFonts w:eastAsia="Times New Roman" w:cs="Times New Roman"/>
          <w:sz w:val="24"/>
          <w:szCs w:val="24"/>
          <w:lang w:eastAsia="pl-PL"/>
        </w:rPr>
        <w:t xml:space="preserve">złotych </w:t>
      </w:r>
      <w:r w:rsidR="00601933" w:rsidRPr="00833C88">
        <w:rPr>
          <w:rFonts w:eastAsia="Times New Roman" w:cs="Times New Roman"/>
          <w:sz w:val="24"/>
          <w:szCs w:val="24"/>
          <w:lang w:eastAsia="pl-PL"/>
        </w:rPr>
        <w:t>i </w:t>
      </w:r>
      <w:r w:rsidR="09CF04AB" w:rsidRPr="00833C88">
        <w:rPr>
          <w:rFonts w:eastAsia="Times New Roman" w:cs="Times New Roman"/>
          <w:sz w:val="24"/>
          <w:szCs w:val="24"/>
          <w:lang w:eastAsia="pl-PL"/>
        </w:rPr>
        <w:t xml:space="preserve">ustalanej przy zastosowaniu kursu średniego ogłaszanego przez Narodowy Bank Polski obowiązującego </w:t>
      </w:r>
      <w:r w:rsidR="00601933" w:rsidRPr="00833C88">
        <w:rPr>
          <w:rFonts w:eastAsia="Times New Roman" w:cs="Times New Roman"/>
          <w:sz w:val="24"/>
          <w:szCs w:val="24"/>
          <w:lang w:eastAsia="pl-PL"/>
        </w:rPr>
        <w:t>w </w:t>
      </w:r>
      <w:r w:rsidR="09CF04AB" w:rsidRPr="00833C88">
        <w:rPr>
          <w:rFonts w:eastAsia="Times New Roman" w:cs="Times New Roman"/>
          <w:sz w:val="24"/>
          <w:szCs w:val="24"/>
          <w:lang w:eastAsia="pl-PL"/>
        </w:rPr>
        <w:t xml:space="preserve">dniu wydania decyzji </w:t>
      </w:r>
      <w:r w:rsidR="00601933" w:rsidRPr="00833C88">
        <w:rPr>
          <w:rFonts w:eastAsia="Times New Roman" w:cs="Times New Roman"/>
          <w:sz w:val="24"/>
          <w:szCs w:val="24"/>
          <w:lang w:eastAsia="pl-PL"/>
        </w:rPr>
        <w:t>o </w:t>
      </w:r>
      <w:r w:rsidR="09CF04AB" w:rsidRPr="00833C88">
        <w:rPr>
          <w:rFonts w:eastAsia="Times New Roman" w:cs="Times New Roman"/>
          <w:sz w:val="24"/>
          <w:szCs w:val="24"/>
          <w:lang w:eastAsia="pl-PL"/>
        </w:rPr>
        <w:t xml:space="preserve">wymierzeniu kary </w:t>
      </w:r>
      <w:r w:rsidRPr="00833C88">
        <w:rPr>
          <w:rFonts w:eastAsia="Times New Roman" w:cs="Times New Roman"/>
          <w:sz w:val="24"/>
          <w:szCs w:val="24"/>
          <w:lang w:eastAsia="pl-PL"/>
        </w:rPr>
        <w:t>lub 2% przychodów osiągniętych przez podmiot kluczowy z</w:t>
      </w:r>
      <w:r w:rsidR="009524DD" w:rsidRPr="00833C88">
        <w:rPr>
          <w:rFonts w:eastAsia="Times New Roman" w:cs="Times New Roman"/>
          <w:sz w:val="24"/>
          <w:szCs w:val="24"/>
          <w:lang w:eastAsia="pl-PL"/>
        </w:rPr>
        <w:t> </w:t>
      </w:r>
      <w:r w:rsidRPr="00833C88">
        <w:rPr>
          <w:rFonts w:eastAsia="Times New Roman" w:cs="Times New Roman"/>
          <w:sz w:val="24"/>
          <w:szCs w:val="24"/>
          <w:lang w:eastAsia="pl-PL"/>
        </w:rPr>
        <w:t xml:space="preserve">działalności gospodarczej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roku obrotowym poprzedzającym wymierzenie kary. W</w:t>
      </w:r>
      <w:r w:rsidR="00557499" w:rsidRPr="00833C88">
        <w:rPr>
          <w:rFonts w:eastAsia="Times New Roman" w:cs="Times New Roman"/>
          <w:sz w:val="24"/>
          <w:szCs w:val="24"/>
          <w:lang w:eastAsia="pl-PL"/>
        </w:rPr>
        <w:t> </w:t>
      </w:r>
      <w:r w:rsidRPr="00833C88">
        <w:rPr>
          <w:rFonts w:eastAsia="Times New Roman" w:cs="Times New Roman"/>
          <w:sz w:val="24"/>
          <w:szCs w:val="24"/>
          <w:lang w:eastAsia="pl-PL"/>
        </w:rPr>
        <w:t xml:space="preserve">przypadku kar nakładanych na podmioty ważne </w:t>
      </w:r>
      <w:r w:rsidR="5253F809" w:rsidRPr="00833C88">
        <w:rPr>
          <w:rFonts w:eastAsia="Times New Roman" w:cs="Times New Roman"/>
          <w:sz w:val="24"/>
          <w:szCs w:val="24"/>
          <w:lang w:eastAsia="pl-PL"/>
        </w:rPr>
        <w:t xml:space="preserve">jej </w:t>
      </w:r>
      <w:r w:rsidRPr="00833C88">
        <w:rPr>
          <w:rFonts w:eastAsia="Times New Roman" w:cs="Times New Roman"/>
          <w:sz w:val="24"/>
          <w:szCs w:val="24"/>
          <w:lang w:eastAsia="pl-PL"/>
        </w:rPr>
        <w:t>wysokość nie może przekroczyć 7</w:t>
      </w:r>
      <w:r w:rsidR="00557499" w:rsidRPr="00833C88">
        <w:rPr>
          <w:rFonts w:eastAsia="Times New Roman" w:cs="Times New Roman"/>
          <w:sz w:val="24"/>
          <w:szCs w:val="24"/>
          <w:lang w:eastAsia="pl-PL"/>
        </w:rPr>
        <w:t> </w:t>
      </w:r>
      <w:r w:rsidRPr="00833C88">
        <w:rPr>
          <w:rFonts w:eastAsia="Times New Roman" w:cs="Times New Roman"/>
          <w:sz w:val="24"/>
          <w:szCs w:val="24"/>
          <w:lang w:eastAsia="pl-PL"/>
        </w:rPr>
        <w:t>000</w:t>
      </w:r>
      <w:r w:rsidR="00557499" w:rsidRPr="00833C88">
        <w:rPr>
          <w:rFonts w:eastAsia="Times New Roman" w:cs="Times New Roman"/>
          <w:sz w:val="24"/>
          <w:szCs w:val="24"/>
          <w:lang w:eastAsia="pl-PL"/>
        </w:rPr>
        <w:t> </w:t>
      </w:r>
      <w:r w:rsidRPr="00833C88">
        <w:rPr>
          <w:rFonts w:eastAsia="Times New Roman" w:cs="Times New Roman"/>
          <w:sz w:val="24"/>
          <w:szCs w:val="24"/>
          <w:lang w:eastAsia="pl-PL"/>
        </w:rPr>
        <w:t>000 euro</w:t>
      </w:r>
      <w:r w:rsidR="01068DAB" w:rsidRPr="00833C88">
        <w:rPr>
          <w:rFonts w:eastAsia="Times New Roman" w:cs="Times New Roman"/>
          <w:sz w:val="24"/>
          <w:szCs w:val="24"/>
          <w:lang w:eastAsia="pl-PL"/>
        </w:rPr>
        <w:t xml:space="preserve"> wyrażon</w:t>
      </w:r>
      <w:r w:rsidR="458DD71E" w:rsidRPr="00833C88">
        <w:rPr>
          <w:rFonts w:eastAsia="Times New Roman" w:cs="Times New Roman"/>
          <w:sz w:val="24"/>
          <w:szCs w:val="24"/>
          <w:lang w:eastAsia="pl-PL"/>
        </w:rPr>
        <w:t>ej</w:t>
      </w:r>
      <w:r w:rsidR="01068DAB"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1068DAB" w:rsidRPr="00833C88">
        <w:rPr>
          <w:rFonts w:eastAsia="Times New Roman" w:cs="Times New Roman"/>
          <w:sz w:val="24"/>
          <w:szCs w:val="24"/>
          <w:lang w:eastAsia="pl-PL"/>
        </w:rPr>
        <w:t xml:space="preserve">złotych </w:t>
      </w:r>
      <w:r w:rsidR="00601933" w:rsidRPr="00833C88">
        <w:rPr>
          <w:rFonts w:eastAsia="Times New Roman" w:cs="Times New Roman"/>
          <w:sz w:val="24"/>
          <w:szCs w:val="24"/>
          <w:lang w:eastAsia="pl-PL"/>
        </w:rPr>
        <w:t>i </w:t>
      </w:r>
      <w:r w:rsidR="01068DAB" w:rsidRPr="00833C88">
        <w:rPr>
          <w:rFonts w:eastAsia="Times New Roman" w:cs="Times New Roman"/>
          <w:sz w:val="24"/>
          <w:szCs w:val="24"/>
          <w:lang w:eastAsia="pl-PL"/>
        </w:rPr>
        <w:t xml:space="preserve">ustalanej przy zastosowaniu kursu średniego ogłaszanego przez Narodowy Bank Polski obowiązującego </w:t>
      </w:r>
      <w:r w:rsidR="00601933" w:rsidRPr="00833C88">
        <w:rPr>
          <w:rFonts w:eastAsia="Times New Roman" w:cs="Times New Roman"/>
          <w:sz w:val="24"/>
          <w:szCs w:val="24"/>
          <w:lang w:eastAsia="pl-PL"/>
        </w:rPr>
        <w:t>w </w:t>
      </w:r>
      <w:r w:rsidR="01068DAB" w:rsidRPr="00833C88">
        <w:rPr>
          <w:rFonts w:eastAsia="Times New Roman" w:cs="Times New Roman"/>
          <w:sz w:val="24"/>
          <w:szCs w:val="24"/>
          <w:lang w:eastAsia="pl-PL"/>
        </w:rPr>
        <w:t>dniu wydania decyzji o</w:t>
      </w:r>
      <w:r w:rsidR="00557499" w:rsidRPr="00833C88">
        <w:rPr>
          <w:rFonts w:eastAsia="Times New Roman" w:cs="Times New Roman"/>
          <w:sz w:val="24"/>
          <w:szCs w:val="24"/>
          <w:lang w:eastAsia="pl-PL"/>
        </w:rPr>
        <w:t> </w:t>
      </w:r>
      <w:r w:rsidR="01068DAB" w:rsidRPr="00833C88">
        <w:rPr>
          <w:rFonts w:eastAsia="Times New Roman" w:cs="Times New Roman"/>
          <w:sz w:val="24"/>
          <w:szCs w:val="24"/>
          <w:lang w:eastAsia="pl-PL"/>
        </w:rPr>
        <w:t>wymierzeniu kary</w:t>
      </w:r>
      <w:r w:rsidRPr="00833C88">
        <w:rPr>
          <w:rFonts w:eastAsia="Times New Roman" w:cs="Times New Roman"/>
          <w:sz w:val="24"/>
          <w:szCs w:val="24"/>
          <w:lang w:eastAsia="pl-PL"/>
        </w:rPr>
        <w:t xml:space="preserve"> lub 1,4% przychodów osiągniętych przez ten podmiot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działalności gospodarczej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roku obrotowym poprzedzającym wymierzenie kary. Zastosowanie ma kara wyższa. Określenie granic wymiaru kary pieniężnej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powyższy sposób pozwala na miarkowanie represji, włącznie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jej ograniczaniem do minimum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uzasadnionych przypadkach. Tak szeroki zakres kar umożliwi indywidualne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adekwatne – zarówno surowe jak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łagodne – karanie podmiotów, które dopuszczają się naruszeń.</w:t>
      </w:r>
    </w:p>
    <w:p w14:paraId="5A0FEC81" w14:textId="5A22C2BF"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Przewidziano także sytuację,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której okres wykonywania działalności gospodarczej jest krótszy niż 12 miesięcy albo podmiot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ogóle nie osiągnął przychodu.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takiej sytuacji podstawą wymiaru kary</w:t>
      </w:r>
      <w:r w:rsidR="00C40EF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C40EF2" w:rsidRPr="00833C88">
        <w:rPr>
          <w:rFonts w:eastAsia="Times New Roman" w:cs="Times New Roman"/>
          <w:sz w:val="24"/>
          <w:szCs w:val="24"/>
          <w:lang w:eastAsia="pl-PL"/>
        </w:rPr>
        <w:t>przypadku podmiotów kluczowych</w:t>
      </w:r>
      <w:r w:rsidRPr="00833C88">
        <w:rPr>
          <w:rFonts w:eastAsia="Times New Roman" w:cs="Times New Roman"/>
          <w:sz w:val="24"/>
          <w:szCs w:val="24"/>
          <w:lang w:eastAsia="pl-PL"/>
        </w:rPr>
        <w:t xml:space="preserve"> jest równowartość kwoty 500</w:t>
      </w:r>
      <w:r w:rsidR="00AD6CCD" w:rsidRPr="00833C88">
        <w:rPr>
          <w:rFonts w:eastAsia="Times New Roman" w:cs="Times New Roman"/>
          <w:sz w:val="24"/>
          <w:szCs w:val="24"/>
          <w:lang w:eastAsia="pl-PL"/>
        </w:rPr>
        <w:t> </w:t>
      </w:r>
      <w:r w:rsidRPr="00833C88">
        <w:rPr>
          <w:rFonts w:eastAsia="Times New Roman" w:cs="Times New Roman"/>
          <w:sz w:val="24"/>
          <w:szCs w:val="24"/>
          <w:lang w:eastAsia="pl-PL"/>
        </w:rPr>
        <w:t xml:space="preserve">000 euro, wyrażona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złotych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ustalana przy zastosowaniu kursu średniego ogłaszanego przez Narodowy Bank Polski obowiązujący w</w:t>
      </w:r>
      <w:r w:rsidR="00557499" w:rsidRPr="00833C88">
        <w:rPr>
          <w:rFonts w:eastAsia="Times New Roman" w:cs="Times New Roman"/>
          <w:sz w:val="24"/>
          <w:szCs w:val="24"/>
          <w:lang w:eastAsia="pl-PL"/>
        </w:rPr>
        <w:t> </w:t>
      </w:r>
      <w:r w:rsidRPr="00833C88">
        <w:rPr>
          <w:rFonts w:eastAsia="Times New Roman" w:cs="Times New Roman"/>
          <w:sz w:val="24"/>
          <w:szCs w:val="24"/>
          <w:lang w:eastAsia="pl-PL"/>
        </w:rPr>
        <w:t xml:space="preserve">dniu wydania decyzji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wymierzeniu kary.</w:t>
      </w:r>
      <w:r w:rsidR="00C40EF2" w:rsidRPr="00833C88">
        <w:rPr>
          <w:rFonts w:eastAsia="Times New Roman" w:cs="Times New Roman"/>
          <w:sz w:val="24"/>
          <w:szCs w:val="24"/>
          <w:lang w:eastAsia="pl-PL"/>
        </w:rPr>
        <w:t xml:space="preserve"> W</w:t>
      </w:r>
      <w:r w:rsidR="00AD6CCD" w:rsidRPr="00833C88">
        <w:rPr>
          <w:rFonts w:eastAsia="Times New Roman" w:cs="Times New Roman"/>
          <w:sz w:val="24"/>
          <w:szCs w:val="24"/>
          <w:lang w:eastAsia="pl-PL"/>
        </w:rPr>
        <w:t> </w:t>
      </w:r>
      <w:r w:rsidR="00C40EF2" w:rsidRPr="00833C88">
        <w:rPr>
          <w:rFonts w:eastAsia="Times New Roman" w:cs="Times New Roman"/>
          <w:sz w:val="24"/>
          <w:szCs w:val="24"/>
          <w:lang w:eastAsia="pl-PL"/>
        </w:rPr>
        <w:t>przypadku podmiotów ważnych jest to równowartość kwoty 250 000 euro.</w:t>
      </w:r>
    </w:p>
    <w:p w14:paraId="35A67A13" w14:textId="0780DE30"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lastRenderedPageBreak/>
        <w:t xml:space="preserve">Określając wymiar kary niezwykle istotną rolę odgrywają przychody osiągnięte przez podmiot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działalności gospodarczej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roku obrotowym poprzedzającym wymierzenie kary. Zdecydowano się na przyjęcie kategorii roku obrotowego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tego względu, że kara nakładana w</w:t>
      </w:r>
      <w:r w:rsidR="00557499" w:rsidRPr="00833C88">
        <w:rPr>
          <w:rFonts w:eastAsia="Times New Roman" w:cs="Times New Roman"/>
          <w:sz w:val="24"/>
          <w:szCs w:val="24"/>
          <w:lang w:eastAsia="pl-PL"/>
        </w:rPr>
        <w:t> </w:t>
      </w:r>
      <w:r w:rsidRPr="00833C88">
        <w:rPr>
          <w:rFonts w:eastAsia="Times New Roman" w:cs="Times New Roman"/>
          <w:sz w:val="24"/>
          <w:szCs w:val="24"/>
          <w:lang w:eastAsia="pl-PL"/>
        </w:rPr>
        <w:t xml:space="preserve">powiązaniu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tym przychodem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większym stopniu uwzględnia sytuację majątkową podmiotu istniejącą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chwili wydania decyzji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nałożeniu kary. Zapewniono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ten sposób również zgodność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brzmieniem dyrektywy</w:t>
      </w:r>
      <w:r w:rsidR="000B5A7F" w:rsidRPr="00833C88">
        <w:rPr>
          <w:rFonts w:eastAsia="Times New Roman" w:cs="Times New Roman"/>
          <w:sz w:val="24"/>
          <w:szCs w:val="24"/>
          <w:lang w:eastAsia="pl-PL"/>
        </w:rPr>
        <w:t xml:space="preserve"> NIS 2</w:t>
      </w:r>
      <w:r w:rsidRPr="00833C88">
        <w:rPr>
          <w:rFonts w:eastAsia="Times New Roman" w:cs="Times New Roman"/>
          <w:sz w:val="24"/>
          <w:szCs w:val="24"/>
          <w:lang w:eastAsia="pl-PL"/>
        </w:rPr>
        <w:t>.</w:t>
      </w:r>
    </w:p>
    <w:p w14:paraId="303BFD98" w14:textId="454145CA" w:rsidR="00E717FC" w:rsidRPr="00833C88" w:rsidRDefault="00601933" w:rsidP="0054567B">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W </w:t>
      </w:r>
      <w:r w:rsidR="22C7FBA8" w:rsidRPr="00833C88">
        <w:rPr>
          <w:rFonts w:eastAsia="Times New Roman" w:cs="Times New Roman"/>
          <w:sz w:val="24"/>
          <w:szCs w:val="24"/>
          <w:lang w:eastAsia="pl-PL"/>
        </w:rPr>
        <w:t>sytuacji</w:t>
      </w:r>
      <w:r w:rsidR="00B93BC6" w:rsidRPr="00833C88">
        <w:rPr>
          <w:rFonts w:eastAsia="Times New Roman" w:cs="Times New Roman"/>
          <w:sz w:val="24"/>
          <w:szCs w:val="24"/>
          <w:lang w:eastAsia="pl-PL"/>
        </w:rPr>
        <w:t>,</w:t>
      </w:r>
      <w:r w:rsidR="22C7FBA8"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22C7FBA8" w:rsidRPr="00833C88">
        <w:rPr>
          <w:rFonts w:eastAsia="Times New Roman" w:cs="Times New Roman"/>
          <w:sz w:val="24"/>
          <w:szCs w:val="24"/>
          <w:lang w:eastAsia="pl-PL"/>
        </w:rPr>
        <w:t xml:space="preserve">której zidentyfikowane zostanie, że podmiot kluczowy albo podmiot ważny narusza przepisy ustawy, </w:t>
      </w:r>
      <w:r w:rsidRPr="00833C88">
        <w:rPr>
          <w:rFonts w:eastAsia="Times New Roman" w:cs="Times New Roman"/>
          <w:sz w:val="24"/>
          <w:szCs w:val="24"/>
          <w:lang w:eastAsia="pl-PL"/>
        </w:rPr>
        <w:t>a </w:t>
      </w:r>
      <w:r w:rsidR="22C7FBA8" w:rsidRPr="00833C88">
        <w:rPr>
          <w:rFonts w:eastAsia="Times New Roman" w:cs="Times New Roman"/>
          <w:sz w:val="24"/>
          <w:szCs w:val="24"/>
          <w:lang w:eastAsia="pl-PL"/>
        </w:rPr>
        <w:t xml:space="preserve">przy tym powoduje bezpośrednie </w:t>
      </w:r>
      <w:r w:rsidRPr="00833C88">
        <w:rPr>
          <w:rFonts w:eastAsia="Times New Roman" w:cs="Times New Roman"/>
          <w:sz w:val="24"/>
          <w:szCs w:val="24"/>
          <w:lang w:eastAsia="pl-PL"/>
        </w:rPr>
        <w:t>i </w:t>
      </w:r>
      <w:r w:rsidR="22C7FBA8" w:rsidRPr="00833C88">
        <w:rPr>
          <w:rFonts w:eastAsia="Times New Roman" w:cs="Times New Roman"/>
          <w:sz w:val="24"/>
          <w:szCs w:val="24"/>
          <w:lang w:eastAsia="pl-PL"/>
        </w:rPr>
        <w:t xml:space="preserve">poważne zagrożenie cyberbezpieczeństwa dla obronności, bezpieczeństwa państwa, bezpieczeństwa </w:t>
      </w:r>
      <w:r w:rsidRPr="00833C88">
        <w:rPr>
          <w:rFonts w:eastAsia="Times New Roman" w:cs="Times New Roman"/>
          <w:sz w:val="24"/>
          <w:szCs w:val="24"/>
          <w:lang w:eastAsia="pl-PL"/>
        </w:rPr>
        <w:t>i </w:t>
      </w:r>
      <w:r w:rsidR="22C7FBA8" w:rsidRPr="00833C88">
        <w:rPr>
          <w:rFonts w:eastAsia="Times New Roman" w:cs="Times New Roman"/>
          <w:sz w:val="24"/>
          <w:szCs w:val="24"/>
          <w:lang w:eastAsia="pl-PL"/>
        </w:rPr>
        <w:t xml:space="preserve">porządku publicznego lub życia </w:t>
      </w:r>
      <w:r w:rsidRPr="00833C88">
        <w:rPr>
          <w:rFonts w:eastAsia="Times New Roman" w:cs="Times New Roman"/>
          <w:sz w:val="24"/>
          <w:szCs w:val="24"/>
          <w:lang w:eastAsia="pl-PL"/>
        </w:rPr>
        <w:t>i </w:t>
      </w:r>
      <w:r w:rsidR="22C7FBA8" w:rsidRPr="00833C88">
        <w:rPr>
          <w:rFonts w:eastAsia="Times New Roman" w:cs="Times New Roman"/>
          <w:sz w:val="24"/>
          <w:szCs w:val="24"/>
          <w:lang w:eastAsia="pl-PL"/>
        </w:rPr>
        <w:t xml:space="preserve">zdrowia ludzi lub zagrożenie wywołania poważnej szkody majątkowej lub poważnych utrudnień </w:t>
      </w:r>
      <w:r w:rsidRPr="00833C88">
        <w:rPr>
          <w:rFonts w:eastAsia="Times New Roman" w:cs="Times New Roman"/>
          <w:sz w:val="24"/>
          <w:szCs w:val="24"/>
          <w:lang w:eastAsia="pl-PL"/>
        </w:rPr>
        <w:t>w </w:t>
      </w:r>
      <w:r w:rsidR="22C7FBA8" w:rsidRPr="00833C88">
        <w:rPr>
          <w:rFonts w:eastAsia="Times New Roman" w:cs="Times New Roman"/>
          <w:sz w:val="24"/>
          <w:szCs w:val="24"/>
          <w:lang w:eastAsia="pl-PL"/>
        </w:rPr>
        <w:t xml:space="preserve">świadczeniu usług, organ właściwy nakłada karę </w:t>
      </w:r>
      <w:r w:rsidRPr="00833C88">
        <w:rPr>
          <w:rFonts w:eastAsia="Times New Roman" w:cs="Times New Roman"/>
          <w:sz w:val="24"/>
          <w:szCs w:val="24"/>
          <w:lang w:eastAsia="pl-PL"/>
        </w:rPr>
        <w:t>w </w:t>
      </w:r>
      <w:r w:rsidR="22C7FBA8" w:rsidRPr="00833C88">
        <w:rPr>
          <w:rFonts w:eastAsia="Times New Roman" w:cs="Times New Roman"/>
          <w:sz w:val="24"/>
          <w:szCs w:val="24"/>
          <w:lang w:eastAsia="pl-PL"/>
        </w:rPr>
        <w:t>wysokości do</w:t>
      </w:r>
      <w:r w:rsidR="00557499" w:rsidRPr="00833C88">
        <w:rPr>
          <w:rFonts w:eastAsia="Times New Roman" w:cs="Times New Roman"/>
          <w:sz w:val="24"/>
          <w:szCs w:val="24"/>
          <w:lang w:eastAsia="pl-PL"/>
        </w:rPr>
        <w:t> </w:t>
      </w:r>
      <w:r w:rsidR="22C7FBA8" w:rsidRPr="00833C88">
        <w:rPr>
          <w:rFonts w:eastAsia="Times New Roman" w:cs="Times New Roman"/>
          <w:sz w:val="24"/>
          <w:szCs w:val="24"/>
          <w:lang w:eastAsia="pl-PL"/>
        </w:rPr>
        <w:t xml:space="preserve">100 000 000 zł. Zwiększenie wymiaru kary </w:t>
      </w:r>
      <w:r w:rsidRPr="00833C88">
        <w:rPr>
          <w:rFonts w:eastAsia="Times New Roman" w:cs="Times New Roman"/>
          <w:sz w:val="24"/>
          <w:szCs w:val="24"/>
          <w:lang w:eastAsia="pl-PL"/>
        </w:rPr>
        <w:t>w </w:t>
      </w:r>
      <w:r w:rsidR="22C7FBA8" w:rsidRPr="00833C88">
        <w:rPr>
          <w:rFonts w:eastAsia="Times New Roman" w:cs="Times New Roman"/>
          <w:sz w:val="24"/>
          <w:szCs w:val="24"/>
          <w:lang w:eastAsia="pl-PL"/>
        </w:rPr>
        <w:t xml:space="preserve">stosunku do obecnie obowiązujących przepisów wynika </w:t>
      </w:r>
      <w:r w:rsidRPr="00833C88">
        <w:rPr>
          <w:rFonts w:eastAsia="Times New Roman" w:cs="Times New Roman"/>
          <w:sz w:val="24"/>
          <w:szCs w:val="24"/>
          <w:lang w:eastAsia="pl-PL"/>
        </w:rPr>
        <w:t>z </w:t>
      </w:r>
      <w:r w:rsidR="22C7FBA8" w:rsidRPr="00833C88">
        <w:rPr>
          <w:rFonts w:eastAsia="Times New Roman" w:cs="Times New Roman"/>
          <w:sz w:val="24"/>
          <w:szCs w:val="24"/>
          <w:lang w:eastAsia="pl-PL"/>
        </w:rPr>
        <w:t xml:space="preserve">nadrzędnego celu kar pieniężnych jaki określa implementowana dyrektywa NIS 2, </w:t>
      </w:r>
      <w:r w:rsidRPr="00833C88">
        <w:rPr>
          <w:rFonts w:eastAsia="Times New Roman" w:cs="Times New Roman"/>
          <w:sz w:val="24"/>
          <w:szCs w:val="24"/>
          <w:lang w:eastAsia="pl-PL"/>
        </w:rPr>
        <w:t>a </w:t>
      </w:r>
      <w:r w:rsidR="22C7FBA8" w:rsidRPr="00833C88">
        <w:rPr>
          <w:rFonts w:eastAsia="Times New Roman" w:cs="Times New Roman"/>
          <w:sz w:val="24"/>
          <w:szCs w:val="24"/>
          <w:lang w:eastAsia="pl-PL"/>
        </w:rPr>
        <w:t xml:space="preserve">także </w:t>
      </w:r>
      <w:r w:rsidRPr="00833C88">
        <w:rPr>
          <w:rFonts w:eastAsia="Times New Roman" w:cs="Times New Roman"/>
          <w:sz w:val="24"/>
          <w:szCs w:val="24"/>
          <w:lang w:eastAsia="pl-PL"/>
        </w:rPr>
        <w:t>z </w:t>
      </w:r>
      <w:r w:rsidR="22C7FBA8" w:rsidRPr="00833C88">
        <w:rPr>
          <w:rFonts w:eastAsia="Times New Roman" w:cs="Times New Roman"/>
          <w:sz w:val="24"/>
          <w:szCs w:val="24"/>
          <w:lang w:eastAsia="pl-PL"/>
        </w:rPr>
        <w:t xml:space="preserve">wagi tego naruszenia, które może mieć poważne skutki – również </w:t>
      </w:r>
      <w:r w:rsidRPr="00833C88">
        <w:rPr>
          <w:rFonts w:eastAsia="Times New Roman" w:cs="Times New Roman"/>
          <w:sz w:val="24"/>
          <w:szCs w:val="24"/>
          <w:lang w:eastAsia="pl-PL"/>
        </w:rPr>
        <w:t>z </w:t>
      </w:r>
      <w:r w:rsidR="22C7FBA8" w:rsidRPr="00833C88">
        <w:rPr>
          <w:rFonts w:eastAsia="Times New Roman" w:cs="Times New Roman"/>
          <w:sz w:val="24"/>
          <w:szCs w:val="24"/>
          <w:lang w:eastAsia="pl-PL"/>
        </w:rPr>
        <w:t xml:space="preserve">punktu widzenia obecnej sytuacji międzynarodowej. Należy bowiem mieć na uwadze fakt, że </w:t>
      </w:r>
      <w:r w:rsidR="00C20610" w:rsidRPr="00833C88">
        <w:rPr>
          <w:rFonts w:eastAsia="Times New Roman" w:cs="Times New Roman"/>
          <w:sz w:val="24"/>
          <w:szCs w:val="24"/>
          <w:lang w:eastAsia="pl-PL"/>
        </w:rPr>
        <w:t xml:space="preserve">przez długi czas, tj. </w:t>
      </w:r>
      <w:r w:rsidR="22C7FBA8" w:rsidRPr="00833C88">
        <w:rPr>
          <w:rFonts w:eastAsia="Times New Roman" w:cs="Times New Roman"/>
          <w:sz w:val="24"/>
          <w:szCs w:val="24"/>
          <w:lang w:eastAsia="pl-PL"/>
        </w:rPr>
        <w:t xml:space="preserve">od </w:t>
      </w:r>
      <w:r w:rsidR="00670822" w:rsidRPr="00833C88">
        <w:rPr>
          <w:rFonts w:eastAsia="Times New Roman" w:cs="Times New Roman"/>
          <w:sz w:val="24"/>
          <w:szCs w:val="24"/>
          <w:lang w:eastAsia="pl-PL"/>
        </w:rPr>
        <w:t xml:space="preserve">dnia </w:t>
      </w:r>
      <w:r w:rsidR="22C7FBA8" w:rsidRPr="00833C88">
        <w:rPr>
          <w:rFonts w:eastAsia="Times New Roman" w:cs="Times New Roman"/>
          <w:sz w:val="24"/>
          <w:szCs w:val="24"/>
          <w:lang w:eastAsia="pl-PL"/>
        </w:rPr>
        <w:t xml:space="preserve">21 lutego 2022 r. utrzymywany </w:t>
      </w:r>
      <w:r w:rsidR="00557499" w:rsidRPr="00833C88">
        <w:rPr>
          <w:rFonts w:eastAsia="Times New Roman" w:cs="Times New Roman"/>
          <w:sz w:val="24"/>
          <w:szCs w:val="24"/>
          <w:lang w:eastAsia="pl-PL"/>
        </w:rPr>
        <w:t xml:space="preserve">był </w:t>
      </w:r>
      <w:r w:rsidR="00C20610" w:rsidRPr="00833C88">
        <w:rPr>
          <w:rFonts w:eastAsia="Times New Roman" w:cs="Times New Roman"/>
          <w:sz w:val="24"/>
          <w:szCs w:val="24"/>
          <w:lang w:eastAsia="pl-PL"/>
        </w:rPr>
        <w:t xml:space="preserve">trzeci </w:t>
      </w:r>
      <w:r w:rsidR="22C7FBA8" w:rsidRPr="00833C88">
        <w:rPr>
          <w:rFonts w:eastAsia="Times New Roman" w:cs="Times New Roman"/>
          <w:sz w:val="24"/>
          <w:szCs w:val="24"/>
          <w:lang w:eastAsia="pl-PL"/>
        </w:rPr>
        <w:t xml:space="preserve">stopień alarmowy </w:t>
      </w:r>
      <w:r w:rsidR="00C20610" w:rsidRPr="00833C88">
        <w:rPr>
          <w:rFonts w:eastAsia="Times New Roman" w:cs="Times New Roman"/>
          <w:sz w:val="24"/>
          <w:szCs w:val="24"/>
          <w:lang w:eastAsia="pl-PL"/>
        </w:rPr>
        <w:t>CRP (</w:t>
      </w:r>
      <w:r w:rsidR="22C7FBA8" w:rsidRPr="00833C88">
        <w:rPr>
          <w:rFonts w:eastAsia="Times New Roman" w:cs="Times New Roman"/>
          <w:sz w:val="24"/>
          <w:szCs w:val="24"/>
          <w:lang w:eastAsia="pl-PL"/>
        </w:rPr>
        <w:t>CHARLIE-CRP</w:t>
      </w:r>
      <w:r w:rsidR="00C20610" w:rsidRPr="00833C88">
        <w:rPr>
          <w:rFonts w:eastAsia="Times New Roman" w:cs="Times New Roman"/>
          <w:sz w:val="24"/>
          <w:szCs w:val="24"/>
          <w:lang w:eastAsia="pl-PL"/>
        </w:rPr>
        <w:t>),</w:t>
      </w:r>
      <w:r w:rsidR="22C7FBA8" w:rsidRPr="00833C88">
        <w:rPr>
          <w:rFonts w:eastAsia="Times New Roman" w:cs="Times New Roman"/>
          <w:sz w:val="24"/>
          <w:szCs w:val="24"/>
          <w:lang w:eastAsia="pl-PL"/>
        </w:rPr>
        <w:t xml:space="preserve"> co świadczy </w:t>
      </w:r>
      <w:r w:rsidRPr="00833C88">
        <w:rPr>
          <w:rFonts w:eastAsia="Times New Roman" w:cs="Times New Roman"/>
          <w:sz w:val="24"/>
          <w:szCs w:val="24"/>
          <w:lang w:eastAsia="pl-PL"/>
        </w:rPr>
        <w:t>o </w:t>
      </w:r>
      <w:r w:rsidR="22C7FBA8" w:rsidRPr="00833C88">
        <w:rPr>
          <w:rFonts w:eastAsia="Times New Roman" w:cs="Times New Roman"/>
          <w:sz w:val="24"/>
          <w:szCs w:val="24"/>
          <w:lang w:eastAsia="pl-PL"/>
        </w:rPr>
        <w:t xml:space="preserve">wysokim stopniu zagrożenia bezpieczeństwa narodowego związanego </w:t>
      </w:r>
      <w:r w:rsidRPr="00833C88">
        <w:rPr>
          <w:rFonts w:eastAsia="Times New Roman" w:cs="Times New Roman"/>
          <w:sz w:val="24"/>
          <w:szCs w:val="24"/>
          <w:lang w:eastAsia="pl-PL"/>
        </w:rPr>
        <w:t>z </w:t>
      </w:r>
      <w:r w:rsidR="22C7FBA8" w:rsidRPr="00833C88">
        <w:rPr>
          <w:rFonts w:eastAsia="Times New Roman" w:cs="Times New Roman"/>
          <w:sz w:val="24"/>
          <w:szCs w:val="24"/>
          <w:lang w:eastAsia="pl-PL"/>
        </w:rPr>
        <w:t xml:space="preserve">zagrożeniami </w:t>
      </w:r>
      <w:r w:rsidRPr="00833C88">
        <w:rPr>
          <w:rFonts w:eastAsia="Times New Roman" w:cs="Times New Roman"/>
          <w:sz w:val="24"/>
          <w:szCs w:val="24"/>
          <w:lang w:eastAsia="pl-PL"/>
        </w:rPr>
        <w:t>w </w:t>
      </w:r>
      <w:r w:rsidR="22C7FBA8" w:rsidRPr="00833C88">
        <w:rPr>
          <w:rFonts w:eastAsia="Times New Roman" w:cs="Times New Roman"/>
          <w:sz w:val="24"/>
          <w:szCs w:val="24"/>
          <w:lang w:eastAsia="pl-PL"/>
        </w:rPr>
        <w:t xml:space="preserve">cyberprzestrzeni. Stopień ten jest wprowadzany </w:t>
      </w:r>
      <w:r w:rsidRPr="00833C88">
        <w:rPr>
          <w:rFonts w:eastAsia="Times New Roman" w:cs="Times New Roman"/>
          <w:sz w:val="24"/>
          <w:szCs w:val="24"/>
          <w:lang w:eastAsia="pl-PL"/>
        </w:rPr>
        <w:t>w </w:t>
      </w:r>
      <w:r w:rsidR="22C7FBA8" w:rsidRPr="00833C88">
        <w:rPr>
          <w:rFonts w:eastAsia="Times New Roman" w:cs="Times New Roman"/>
          <w:sz w:val="24"/>
          <w:szCs w:val="24"/>
          <w:lang w:eastAsia="pl-PL"/>
        </w:rPr>
        <w:t xml:space="preserve">przypadku wystąpienia zdarzenia potwierdzającego prawdopodobny cel ataku </w:t>
      </w:r>
      <w:r w:rsidRPr="00833C88">
        <w:rPr>
          <w:rFonts w:eastAsia="Times New Roman" w:cs="Times New Roman"/>
          <w:sz w:val="24"/>
          <w:szCs w:val="24"/>
          <w:lang w:eastAsia="pl-PL"/>
        </w:rPr>
        <w:t>o </w:t>
      </w:r>
      <w:r w:rsidR="22C7FBA8" w:rsidRPr="00833C88">
        <w:rPr>
          <w:rFonts w:eastAsia="Times New Roman" w:cs="Times New Roman"/>
          <w:sz w:val="24"/>
          <w:szCs w:val="24"/>
          <w:lang w:eastAsia="pl-PL"/>
        </w:rPr>
        <w:t>charakterze terrorystycznym w</w:t>
      </w:r>
      <w:r w:rsidR="00C20610" w:rsidRPr="00833C88">
        <w:rPr>
          <w:rFonts w:eastAsia="Times New Roman" w:cs="Times New Roman"/>
          <w:sz w:val="24"/>
          <w:szCs w:val="24"/>
          <w:lang w:eastAsia="pl-PL"/>
        </w:rPr>
        <w:t> </w:t>
      </w:r>
      <w:r w:rsidR="22C7FBA8" w:rsidRPr="00833C88">
        <w:rPr>
          <w:rFonts w:eastAsia="Times New Roman" w:cs="Times New Roman"/>
          <w:sz w:val="24"/>
          <w:szCs w:val="24"/>
          <w:lang w:eastAsia="pl-PL"/>
        </w:rPr>
        <w:t xml:space="preserve">cyberprzestrzeni albo uzyskania wiarygodnych informacji </w:t>
      </w:r>
      <w:r w:rsidRPr="00833C88">
        <w:rPr>
          <w:rFonts w:eastAsia="Times New Roman" w:cs="Times New Roman"/>
          <w:sz w:val="24"/>
          <w:szCs w:val="24"/>
          <w:lang w:eastAsia="pl-PL"/>
        </w:rPr>
        <w:t>o </w:t>
      </w:r>
      <w:r w:rsidR="22C7FBA8" w:rsidRPr="00833C88">
        <w:rPr>
          <w:rFonts w:eastAsia="Times New Roman" w:cs="Times New Roman"/>
          <w:sz w:val="24"/>
          <w:szCs w:val="24"/>
          <w:lang w:eastAsia="pl-PL"/>
        </w:rPr>
        <w:t>planowanym zdarzeniu.</w:t>
      </w:r>
      <w:r w:rsidR="00E717FC" w:rsidRPr="00833C88">
        <w:rPr>
          <w:rFonts w:cs="Times New Roman"/>
          <w:sz w:val="24"/>
          <w:szCs w:val="24"/>
        </w:rPr>
        <w:t xml:space="preserve"> Aktualnie do dnia 3</w:t>
      </w:r>
      <w:r w:rsidR="0011373F" w:rsidRPr="00833C88">
        <w:rPr>
          <w:rFonts w:cs="Times New Roman"/>
          <w:sz w:val="24"/>
          <w:szCs w:val="24"/>
        </w:rPr>
        <w:t>0</w:t>
      </w:r>
      <w:r w:rsidR="00E717FC" w:rsidRPr="00833C88">
        <w:rPr>
          <w:rFonts w:cs="Times New Roman"/>
          <w:sz w:val="24"/>
          <w:szCs w:val="24"/>
        </w:rPr>
        <w:t xml:space="preserve"> </w:t>
      </w:r>
      <w:r w:rsidR="0011373F" w:rsidRPr="00833C88">
        <w:rPr>
          <w:rFonts w:cs="Times New Roman"/>
          <w:sz w:val="24"/>
          <w:szCs w:val="24"/>
        </w:rPr>
        <w:t>listopada</w:t>
      </w:r>
      <w:r w:rsidR="00E717FC" w:rsidRPr="00833C88">
        <w:rPr>
          <w:rFonts w:cs="Times New Roman"/>
          <w:sz w:val="24"/>
          <w:szCs w:val="24"/>
        </w:rPr>
        <w:t xml:space="preserve"> 2025 r. na całym terytorium Rzeczypospolitej Polskiej obowiązuje drugi stopień alarmowy CRP (BRAVO-CRP), który może być wprowadzony w</w:t>
      </w:r>
      <w:r w:rsidR="008E5431" w:rsidRPr="00833C88">
        <w:rPr>
          <w:rFonts w:cs="Times New Roman"/>
          <w:sz w:val="24"/>
          <w:szCs w:val="24"/>
        </w:rPr>
        <w:t> </w:t>
      </w:r>
      <w:r w:rsidR="00E717FC" w:rsidRPr="00833C88">
        <w:rPr>
          <w:rFonts w:cs="Times New Roman"/>
          <w:sz w:val="24"/>
          <w:szCs w:val="24"/>
        </w:rPr>
        <w:t>przypadku zaistnienia zwiększonego i przewidywalnego zagrożenia wystąpieniem zdarzenia o charakterze terrorystycznym w cyberprzestrzeni, jednak konkretny cel ataku nie został zidentyfikowany</w:t>
      </w:r>
      <w:r w:rsidR="00183404" w:rsidRPr="00833C88">
        <w:rPr>
          <w:rFonts w:cs="Times New Roman"/>
          <w:sz w:val="24"/>
          <w:szCs w:val="24"/>
        </w:rPr>
        <w:t>.</w:t>
      </w:r>
    </w:p>
    <w:p w14:paraId="20199834" w14:textId="68F4CA1D"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tego względu każde naruszenie przepisów, które spełnia powyżej wskazane przesłanki, może wiązać się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poważnymi konsekwencjami dla państwa i</w:t>
      </w:r>
      <w:r w:rsidR="00C20610" w:rsidRPr="00833C88">
        <w:rPr>
          <w:rFonts w:eastAsia="Times New Roman" w:cs="Times New Roman"/>
          <w:sz w:val="24"/>
          <w:szCs w:val="24"/>
          <w:lang w:eastAsia="pl-PL"/>
        </w:rPr>
        <w:t> </w:t>
      </w:r>
      <w:r w:rsidRPr="00833C88">
        <w:rPr>
          <w:rFonts w:eastAsia="Times New Roman" w:cs="Times New Roman"/>
          <w:sz w:val="24"/>
          <w:szCs w:val="24"/>
          <w:lang w:eastAsia="pl-PL"/>
        </w:rPr>
        <w:t xml:space="preserve">jego obywateli,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tym samym powinno być obarczone odpowiednio wysoką sankcją, która będzie spełniać funkcję zarówno prewencyjną jak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represyjną. Oznacza to, że kara pieniężna ma odstraszać od kolejnych naruszeń </w:t>
      </w:r>
      <w:r w:rsidR="00601933" w:rsidRPr="00833C88">
        <w:rPr>
          <w:rFonts w:eastAsia="Times New Roman" w:cs="Times New Roman"/>
          <w:sz w:val="24"/>
          <w:szCs w:val="24"/>
          <w:lang w:eastAsia="pl-PL"/>
        </w:rPr>
        <w:t>i w </w:t>
      </w:r>
      <w:r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tym być odpowiednio dolegliwa.</w:t>
      </w:r>
      <w:r w:rsidR="00BB0CDD" w:rsidRPr="00833C88">
        <w:rPr>
          <w:rFonts w:eastAsia="Times New Roman" w:cs="Times New Roman"/>
          <w:sz w:val="24"/>
          <w:szCs w:val="24"/>
          <w:lang w:eastAsia="pl-PL"/>
        </w:rPr>
        <w:t xml:space="preserve"> Jednocześnie należy wskazać, że</w:t>
      </w:r>
      <w:r w:rsidR="001A275A" w:rsidRPr="00833C88">
        <w:rPr>
          <w:rFonts w:eastAsia="Times New Roman" w:cs="Times New Roman"/>
          <w:sz w:val="24"/>
          <w:szCs w:val="24"/>
          <w:lang w:eastAsia="pl-PL"/>
        </w:rPr>
        <w:t> </w:t>
      </w:r>
      <w:r w:rsidR="00601933" w:rsidRPr="00833C88">
        <w:rPr>
          <w:rFonts w:eastAsia="Times New Roman" w:cs="Times New Roman"/>
          <w:sz w:val="24"/>
          <w:szCs w:val="24"/>
          <w:lang w:eastAsia="pl-PL"/>
        </w:rPr>
        <w:t>w </w:t>
      </w:r>
      <w:r w:rsidR="00BB0CDD"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00BB0CDD" w:rsidRPr="00833C88">
        <w:rPr>
          <w:rFonts w:eastAsia="Times New Roman" w:cs="Times New Roman"/>
          <w:sz w:val="24"/>
          <w:szCs w:val="24"/>
          <w:lang w:eastAsia="pl-PL"/>
        </w:rPr>
        <w:t>zakazem podwójnego karania</w:t>
      </w:r>
      <w:r w:rsidR="001E6155" w:rsidRPr="00833C88">
        <w:rPr>
          <w:rFonts w:eastAsia="Times New Roman" w:cs="Times New Roman"/>
          <w:sz w:val="24"/>
          <w:szCs w:val="24"/>
          <w:lang w:eastAsia="pl-PL"/>
        </w:rPr>
        <w:t xml:space="preserve"> za te same naruszenia</w:t>
      </w:r>
      <w:r w:rsidR="009939B1" w:rsidRPr="00833C88">
        <w:rPr>
          <w:rFonts w:eastAsia="Times New Roman" w:cs="Times New Roman"/>
          <w:sz w:val="24"/>
          <w:szCs w:val="24"/>
          <w:lang w:eastAsia="pl-PL"/>
        </w:rPr>
        <w:t>,</w:t>
      </w:r>
      <w:r w:rsidR="001E6155" w:rsidRPr="00833C88">
        <w:rPr>
          <w:rFonts w:eastAsia="Times New Roman" w:cs="Times New Roman"/>
          <w:sz w:val="24"/>
          <w:szCs w:val="24"/>
          <w:lang w:eastAsia="pl-PL"/>
        </w:rPr>
        <w:t xml:space="preserve"> organ właściwy do spraw cyberbezpieczeństwa może nałożyć wyłącznie jedną karę pieniężną. Oznacza to, że jeśli naruszenie </w:t>
      </w:r>
      <w:r w:rsidR="00A27F07" w:rsidRPr="00833C88">
        <w:rPr>
          <w:rFonts w:eastAsia="Times New Roman" w:cs="Times New Roman"/>
          <w:sz w:val="24"/>
          <w:szCs w:val="24"/>
          <w:lang w:eastAsia="pl-PL"/>
        </w:rPr>
        <w:t xml:space="preserve">wypełni znamiona określone </w:t>
      </w:r>
      <w:r w:rsidR="00601933" w:rsidRPr="00833C88">
        <w:rPr>
          <w:rFonts w:eastAsia="Times New Roman" w:cs="Times New Roman"/>
          <w:sz w:val="24"/>
          <w:szCs w:val="24"/>
          <w:lang w:eastAsia="pl-PL"/>
        </w:rPr>
        <w:t>w </w:t>
      </w:r>
      <w:r w:rsidR="00A27F07" w:rsidRPr="00833C88">
        <w:rPr>
          <w:rFonts w:eastAsia="Times New Roman" w:cs="Times New Roman"/>
          <w:sz w:val="24"/>
          <w:szCs w:val="24"/>
          <w:lang w:eastAsia="pl-PL"/>
        </w:rPr>
        <w:t>art. 73 ust. 5 ustawy</w:t>
      </w:r>
      <w:r w:rsidR="000B5A7F"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0B5A7F" w:rsidRPr="00833C88">
        <w:rPr>
          <w:rFonts w:eastAsia="Times New Roman" w:cs="Times New Roman"/>
          <w:sz w:val="24"/>
          <w:szCs w:val="24"/>
          <w:lang w:eastAsia="pl-PL"/>
        </w:rPr>
        <w:t>KSC</w:t>
      </w:r>
      <w:r w:rsidR="00A27F07" w:rsidRPr="00833C88">
        <w:rPr>
          <w:rFonts w:eastAsia="Times New Roman" w:cs="Times New Roman"/>
          <w:sz w:val="24"/>
          <w:szCs w:val="24"/>
          <w:lang w:eastAsia="pl-PL"/>
        </w:rPr>
        <w:t xml:space="preserve">, to organ właściwy </w:t>
      </w:r>
      <w:r w:rsidR="00A27F07" w:rsidRPr="00833C88">
        <w:rPr>
          <w:rFonts w:eastAsia="Times New Roman" w:cs="Times New Roman"/>
          <w:sz w:val="24"/>
          <w:szCs w:val="24"/>
          <w:lang w:eastAsia="pl-PL"/>
        </w:rPr>
        <w:lastRenderedPageBreak/>
        <w:t>do</w:t>
      </w:r>
      <w:r w:rsidR="001A275A" w:rsidRPr="00833C88">
        <w:rPr>
          <w:rFonts w:eastAsia="Times New Roman" w:cs="Times New Roman"/>
          <w:sz w:val="24"/>
          <w:szCs w:val="24"/>
          <w:lang w:eastAsia="pl-PL"/>
        </w:rPr>
        <w:t> </w:t>
      </w:r>
      <w:r w:rsidR="00A27F07" w:rsidRPr="00833C88">
        <w:rPr>
          <w:rFonts w:eastAsia="Times New Roman" w:cs="Times New Roman"/>
          <w:sz w:val="24"/>
          <w:szCs w:val="24"/>
          <w:lang w:eastAsia="pl-PL"/>
        </w:rPr>
        <w:t>spraw cyberbezpieczeństwa powinien nałożyć wyłącznie karę za</w:t>
      </w:r>
      <w:r w:rsidR="00AD6CCD" w:rsidRPr="00833C88">
        <w:rPr>
          <w:rFonts w:eastAsia="Times New Roman" w:cs="Times New Roman"/>
          <w:sz w:val="24"/>
          <w:szCs w:val="24"/>
          <w:lang w:eastAsia="pl-PL"/>
        </w:rPr>
        <w:t> </w:t>
      </w:r>
      <w:r w:rsidR="00A27F07" w:rsidRPr="00833C88">
        <w:rPr>
          <w:rFonts w:eastAsia="Times New Roman" w:cs="Times New Roman"/>
          <w:sz w:val="24"/>
          <w:szCs w:val="24"/>
          <w:lang w:eastAsia="pl-PL"/>
        </w:rPr>
        <w:t>to naruszenie, nie</w:t>
      </w:r>
      <w:r w:rsidR="001A275A" w:rsidRPr="00833C88">
        <w:rPr>
          <w:rFonts w:eastAsia="Times New Roman" w:cs="Times New Roman"/>
          <w:sz w:val="24"/>
          <w:szCs w:val="24"/>
          <w:lang w:eastAsia="pl-PL"/>
        </w:rPr>
        <w:t> </w:t>
      </w:r>
      <w:r w:rsidR="00A27F07" w:rsidRPr="00833C88">
        <w:rPr>
          <w:rFonts w:eastAsia="Times New Roman" w:cs="Times New Roman"/>
          <w:sz w:val="24"/>
          <w:szCs w:val="24"/>
          <w:lang w:eastAsia="pl-PL"/>
        </w:rPr>
        <w:t>wymierzając już kary przewidzianej na zasadach ogólnych.</w:t>
      </w:r>
    </w:p>
    <w:p w14:paraId="10F0C8CD" w14:textId="5A58EE18"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Za niewykonywanie obowiązków określonych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ustawie karze pieniężnej może podlegać także kierownik podmiotu kluczowego lub </w:t>
      </w:r>
      <w:r w:rsidR="00C20610" w:rsidRPr="00833C88">
        <w:rPr>
          <w:rFonts w:eastAsia="Times New Roman" w:cs="Times New Roman"/>
          <w:sz w:val="24"/>
          <w:szCs w:val="24"/>
          <w:lang w:eastAsia="pl-PL"/>
        </w:rPr>
        <w:t xml:space="preserve">podmiotu </w:t>
      </w:r>
      <w:r w:rsidRPr="00833C88">
        <w:rPr>
          <w:rFonts w:eastAsia="Times New Roman" w:cs="Times New Roman"/>
          <w:sz w:val="24"/>
          <w:szCs w:val="24"/>
          <w:lang w:eastAsia="pl-PL"/>
        </w:rPr>
        <w:t xml:space="preserve">ważnego. Co więcej, kara może zostać nałożona na kierownika podmiotu niezależnie od tego czy została nałożona na podmiot kluczowy lub </w:t>
      </w:r>
      <w:r w:rsidR="00C20610" w:rsidRPr="00833C88">
        <w:rPr>
          <w:rFonts w:eastAsia="Times New Roman" w:cs="Times New Roman"/>
          <w:sz w:val="24"/>
          <w:szCs w:val="24"/>
          <w:lang w:eastAsia="pl-PL"/>
        </w:rPr>
        <w:t xml:space="preserve">podmiot </w:t>
      </w:r>
      <w:r w:rsidRPr="00833C88">
        <w:rPr>
          <w:rFonts w:eastAsia="Times New Roman" w:cs="Times New Roman"/>
          <w:sz w:val="24"/>
          <w:szCs w:val="24"/>
          <w:lang w:eastAsia="pl-PL"/>
        </w:rPr>
        <w:t xml:space="preserve">ważny. Proponuje się, żeby kara mogła być wymierzona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kwocie nie większej niż </w:t>
      </w:r>
      <w:r w:rsidR="009D3336" w:rsidRPr="00833C88">
        <w:rPr>
          <w:rFonts w:eastAsia="Times New Roman" w:cs="Times New Roman"/>
          <w:sz w:val="24"/>
          <w:szCs w:val="24"/>
          <w:lang w:eastAsia="pl-PL"/>
        </w:rPr>
        <w:t>3</w:t>
      </w:r>
      <w:r w:rsidRPr="00833C88">
        <w:rPr>
          <w:rFonts w:eastAsia="Times New Roman" w:cs="Times New Roman"/>
          <w:sz w:val="24"/>
          <w:szCs w:val="24"/>
          <w:lang w:eastAsia="pl-PL"/>
        </w:rPr>
        <w:t xml:space="preserve">00% otrzymywanego przez ukaranego wynagrodzenia obliczanego według zasad obowiązujących przy ustalaniu ekwiwalentu pieniężnego za urlop. Wymierzając karę organ właściwy do spraw cyberbezpieczeństwa powinien kierować się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szczególności możliwościami finansowymi kierownika podmiotu.</w:t>
      </w:r>
    </w:p>
    <w:p w14:paraId="41EE11DD" w14:textId="75ACD888" w:rsidR="00035DBD" w:rsidRPr="00833C88" w:rsidRDefault="00601933"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W </w:t>
      </w:r>
      <w:r w:rsidR="00035DBD" w:rsidRPr="00833C88">
        <w:rPr>
          <w:rFonts w:eastAsia="Times New Roman" w:cs="Times New Roman"/>
          <w:sz w:val="24"/>
          <w:szCs w:val="24"/>
          <w:lang w:eastAsia="pl-PL"/>
        </w:rPr>
        <w:t xml:space="preserve">przypadku podmiotów kluczowych lub </w:t>
      </w:r>
      <w:r w:rsidR="00A87B55" w:rsidRPr="00833C88">
        <w:rPr>
          <w:rFonts w:eastAsia="Times New Roman" w:cs="Times New Roman"/>
          <w:sz w:val="24"/>
          <w:szCs w:val="24"/>
          <w:lang w:eastAsia="pl-PL"/>
        </w:rPr>
        <w:t xml:space="preserve">podmiotów </w:t>
      </w:r>
      <w:r w:rsidR="00035DBD" w:rsidRPr="00833C88">
        <w:rPr>
          <w:rFonts w:eastAsia="Times New Roman" w:cs="Times New Roman"/>
          <w:sz w:val="24"/>
          <w:szCs w:val="24"/>
          <w:lang w:eastAsia="pl-PL"/>
        </w:rPr>
        <w:t xml:space="preserve">ważnych, będących podmiotami publicznymi maksymalna wysokość kary dla kierownika podmiotu będzie mogła wynieść 100% otrzymywanego przez ukaranego wynagrodzenia obliczanego według zasad obowiązujących przy ustalaniu ekwiwalentu pieniężnego za urlop. Podkreślenia wymaga, że jeżeli taki podmiot </w:t>
      </w:r>
      <w:r w:rsidR="00B26A44" w:rsidRPr="00833C88">
        <w:rPr>
          <w:rFonts w:eastAsia="Times New Roman" w:cs="Times New Roman"/>
          <w:sz w:val="24"/>
          <w:szCs w:val="24"/>
          <w:lang w:eastAsia="pl-PL"/>
        </w:rPr>
        <w:t>kwalifikuje się także do innego sektora, niż sektor podmiotów publicznych, to wobec kierownika takiego podmiotu maksymalna wysokość kary może wynieść 300% otrzymywanego wynagrodzenia.</w:t>
      </w:r>
    </w:p>
    <w:p w14:paraId="36AE094A" w14:textId="54582716"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Kary pieniężne nakładane są przez organ właściwy do spraw cyberbezpieczeństwa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drodze decyzji. Decyzja ta co do zasady nie jest natychmiastowo wykonalna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wyjątkiem sytuacji, w</w:t>
      </w:r>
      <w:r w:rsidR="000207FE" w:rsidRPr="00833C88">
        <w:rPr>
          <w:rFonts w:eastAsia="Times New Roman" w:cs="Times New Roman"/>
          <w:sz w:val="24"/>
          <w:szCs w:val="24"/>
          <w:lang w:eastAsia="pl-PL"/>
        </w:rPr>
        <w:t> </w:t>
      </w:r>
      <w:r w:rsidRPr="00833C88">
        <w:rPr>
          <w:rFonts w:eastAsia="Times New Roman" w:cs="Times New Roman"/>
          <w:sz w:val="24"/>
          <w:szCs w:val="24"/>
          <w:lang w:eastAsia="pl-PL"/>
        </w:rPr>
        <w:t xml:space="preserve">której wymaga tego ochrona bezpieczeństwa lub porządku publicznego. </w:t>
      </w:r>
      <w:r w:rsidR="15A87338" w:rsidRPr="00833C88">
        <w:rPr>
          <w:rFonts w:eastAsia="Times New Roman" w:cs="Times New Roman"/>
          <w:sz w:val="24"/>
          <w:szCs w:val="24"/>
          <w:lang w:eastAsia="pl-PL"/>
        </w:rPr>
        <w:t>Może mieć to</w:t>
      </w:r>
      <w:r w:rsidR="00AD6CCD" w:rsidRPr="00833C88">
        <w:rPr>
          <w:rFonts w:eastAsia="Times New Roman" w:cs="Times New Roman"/>
          <w:sz w:val="24"/>
          <w:szCs w:val="24"/>
          <w:lang w:eastAsia="pl-PL"/>
        </w:rPr>
        <w:t> </w:t>
      </w:r>
      <w:r w:rsidR="15A87338" w:rsidRPr="00833C88">
        <w:rPr>
          <w:rFonts w:eastAsia="Times New Roman" w:cs="Times New Roman"/>
          <w:sz w:val="24"/>
          <w:szCs w:val="24"/>
          <w:lang w:eastAsia="pl-PL"/>
        </w:rPr>
        <w:t xml:space="preserve">miejsce </w:t>
      </w:r>
      <w:r w:rsidR="00601933" w:rsidRPr="00833C88">
        <w:rPr>
          <w:rFonts w:eastAsia="Times New Roman" w:cs="Times New Roman"/>
          <w:sz w:val="24"/>
          <w:szCs w:val="24"/>
          <w:lang w:eastAsia="pl-PL"/>
        </w:rPr>
        <w:t>w </w:t>
      </w:r>
      <w:proofErr w:type="gramStart"/>
      <w:r w:rsidR="15A87338" w:rsidRPr="00833C88">
        <w:rPr>
          <w:rFonts w:eastAsia="Times New Roman" w:cs="Times New Roman"/>
          <w:sz w:val="24"/>
          <w:szCs w:val="24"/>
          <w:lang w:eastAsia="pl-PL"/>
        </w:rPr>
        <w:t>szczególności</w:t>
      </w:r>
      <w:proofErr w:type="gramEnd"/>
      <w:r w:rsidR="15A87338" w:rsidRPr="00833C88">
        <w:rPr>
          <w:rFonts w:eastAsia="Times New Roman" w:cs="Times New Roman"/>
          <w:sz w:val="24"/>
          <w:szCs w:val="24"/>
          <w:lang w:eastAsia="pl-PL"/>
        </w:rPr>
        <w:t xml:space="preserve"> gdy organ właściwy do spraw cyberbezpieczeństwa, po analizie naruszenia na podstawie kryteriów określonych </w:t>
      </w:r>
      <w:r w:rsidR="00601933" w:rsidRPr="00833C88">
        <w:rPr>
          <w:rFonts w:eastAsia="Times New Roman" w:cs="Times New Roman"/>
          <w:sz w:val="24"/>
          <w:szCs w:val="24"/>
          <w:lang w:eastAsia="pl-PL"/>
        </w:rPr>
        <w:t>w </w:t>
      </w:r>
      <w:r w:rsidR="000B5A7F" w:rsidRPr="00833C88">
        <w:rPr>
          <w:rFonts w:eastAsia="Times New Roman" w:cs="Times New Roman"/>
          <w:sz w:val="24"/>
          <w:szCs w:val="24"/>
          <w:lang w:eastAsia="pl-PL"/>
        </w:rPr>
        <w:t xml:space="preserve">projektowanym </w:t>
      </w:r>
      <w:r w:rsidR="15A87338" w:rsidRPr="00833C88">
        <w:rPr>
          <w:rFonts w:eastAsia="Times New Roman" w:cs="Times New Roman"/>
          <w:sz w:val="24"/>
          <w:szCs w:val="24"/>
          <w:lang w:eastAsia="pl-PL"/>
        </w:rPr>
        <w:t>art. 53 ust. 1</w:t>
      </w:r>
      <w:r w:rsidR="00545A6D" w:rsidRPr="00833C88">
        <w:rPr>
          <w:rFonts w:eastAsia="Times New Roman" w:cs="Times New Roman"/>
          <w:sz w:val="24"/>
          <w:szCs w:val="24"/>
          <w:lang w:eastAsia="pl-PL"/>
        </w:rPr>
        <w:t>2</w:t>
      </w:r>
      <w:r w:rsidR="15A87338" w:rsidRPr="00833C88">
        <w:rPr>
          <w:rFonts w:eastAsia="Times New Roman" w:cs="Times New Roman"/>
          <w:sz w:val="24"/>
          <w:szCs w:val="24"/>
          <w:lang w:eastAsia="pl-PL"/>
        </w:rPr>
        <w:t xml:space="preserve"> ustawy</w:t>
      </w:r>
      <w:r w:rsidR="000B5A7F"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0B5A7F" w:rsidRPr="00833C88">
        <w:rPr>
          <w:rFonts w:eastAsia="Times New Roman" w:cs="Times New Roman"/>
          <w:sz w:val="24"/>
          <w:szCs w:val="24"/>
          <w:lang w:eastAsia="pl-PL"/>
        </w:rPr>
        <w:t>KSC</w:t>
      </w:r>
      <w:r w:rsidR="15A87338" w:rsidRPr="00833C88">
        <w:rPr>
          <w:rFonts w:eastAsia="Times New Roman" w:cs="Times New Roman"/>
          <w:sz w:val="24"/>
          <w:szCs w:val="24"/>
          <w:lang w:eastAsia="pl-PL"/>
        </w:rPr>
        <w:t xml:space="preserve">, uzna, że naruszenie to ma charakter na tyle poważny, że decyzja </w:t>
      </w:r>
      <w:r w:rsidR="00601933" w:rsidRPr="00833C88">
        <w:rPr>
          <w:rFonts w:eastAsia="Times New Roman" w:cs="Times New Roman"/>
          <w:sz w:val="24"/>
          <w:szCs w:val="24"/>
          <w:lang w:eastAsia="pl-PL"/>
        </w:rPr>
        <w:t>o </w:t>
      </w:r>
      <w:r w:rsidR="15A87338" w:rsidRPr="00833C88">
        <w:rPr>
          <w:rFonts w:eastAsia="Times New Roman" w:cs="Times New Roman"/>
          <w:sz w:val="24"/>
          <w:szCs w:val="24"/>
          <w:lang w:eastAsia="pl-PL"/>
        </w:rPr>
        <w:t>wymierzeniu kary zasługuje na nadanie klauzuli natychmiastowej wykonalności.</w:t>
      </w:r>
      <w:r w:rsidR="13DB106F" w:rsidRPr="00833C88">
        <w:rPr>
          <w:rFonts w:eastAsia="Times New Roman" w:cs="Times New Roman"/>
          <w:sz w:val="24"/>
          <w:szCs w:val="24"/>
          <w:lang w:eastAsia="pl-PL"/>
        </w:rPr>
        <w:t xml:space="preserve"> </w:t>
      </w:r>
      <w:r w:rsidR="15A87338" w:rsidRPr="00833C88">
        <w:rPr>
          <w:rFonts w:eastAsia="Times New Roman" w:cs="Times New Roman"/>
          <w:sz w:val="24"/>
          <w:szCs w:val="24"/>
          <w:lang w:eastAsia="pl-PL"/>
        </w:rPr>
        <w:t>Kolejnym przykładem</w:t>
      </w:r>
      <w:r w:rsidR="00EE62C9" w:rsidRPr="00833C88">
        <w:rPr>
          <w:rFonts w:eastAsia="Times New Roman" w:cs="Times New Roman"/>
          <w:sz w:val="24"/>
          <w:szCs w:val="24"/>
          <w:lang w:eastAsia="pl-PL"/>
        </w:rPr>
        <w:t>,</w:t>
      </w:r>
      <w:r w:rsidR="15A87338"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15A87338" w:rsidRPr="00833C88">
        <w:rPr>
          <w:rFonts w:eastAsia="Times New Roman" w:cs="Times New Roman"/>
          <w:sz w:val="24"/>
          <w:szCs w:val="24"/>
          <w:lang w:eastAsia="pl-PL"/>
        </w:rPr>
        <w:t>którym przesłanki bezpieczeństwa lub porządku publicznego mogą zostać zrealizowane</w:t>
      </w:r>
      <w:r w:rsidR="00EE62C9" w:rsidRPr="00833C88">
        <w:rPr>
          <w:rFonts w:eastAsia="Times New Roman" w:cs="Times New Roman"/>
          <w:sz w:val="24"/>
          <w:szCs w:val="24"/>
          <w:lang w:eastAsia="pl-PL"/>
        </w:rPr>
        <w:t>,</w:t>
      </w:r>
      <w:r w:rsidR="15A87338" w:rsidRPr="00833C88">
        <w:rPr>
          <w:rFonts w:eastAsia="Times New Roman" w:cs="Times New Roman"/>
          <w:sz w:val="24"/>
          <w:szCs w:val="24"/>
          <w:lang w:eastAsia="pl-PL"/>
        </w:rPr>
        <w:t xml:space="preserve"> to okresowe kary pieniężne. Można bowiem wyobrazić sobie sytuację</w:t>
      </w:r>
      <w:r w:rsidR="00EE62C9" w:rsidRPr="00833C88">
        <w:rPr>
          <w:rFonts w:eastAsia="Times New Roman" w:cs="Times New Roman"/>
          <w:sz w:val="24"/>
          <w:szCs w:val="24"/>
          <w:lang w:eastAsia="pl-PL"/>
        </w:rPr>
        <w:t>,</w:t>
      </w:r>
      <w:r w:rsidR="15A87338"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15A87338" w:rsidRPr="00833C88">
        <w:rPr>
          <w:rFonts w:eastAsia="Times New Roman" w:cs="Times New Roman"/>
          <w:sz w:val="24"/>
          <w:szCs w:val="24"/>
          <w:lang w:eastAsia="pl-PL"/>
        </w:rPr>
        <w:t xml:space="preserve">której brak podjęcia czynności określonych przez organ właściwy do spraw cyberbezpieczeństwa </w:t>
      </w:r>
      <w:r w:rsidR="00601933" w:rsidRPr="00833C88">
        <w:rPr>
          <w:rFonts w:eastAsia="Times New Roman" w:cs="Times New Roman"/>
          <w:sz w:val="24"/>
          <w:szCs w:val="24"/>
          <w:lang w:eastAsia="pl-PL"/>
        </w:rPr>
        <w:t>w </w:t>
      </w:r>
      <w:r w:rsidR="15A87338" w:rsidRPr="00833C88">
        <w:rPr>
          <w:rFonts w:eastAsia="Times New Roman" w:cs="Times New Roman"/>
          <w:sz w:val="24"/>
          <w:szCs w:val="24"/>
          <w:lang w:eastAsia="pl-PL"/>
        </w:rPr>
        <w:t xml:space="preserve">decyzji będzie wiązał się </w:t>
      </w:r>
      <w:r w:rsidR="00601933" w:rsidRPr="00833C88">
        <w:rPr>
          <w:rFonts w:eastAsia="Times New Roman" w:cs="Times New Roman"/>
          <w:sz w:val="24"/>
          <w:szCs w:val="24"/>
          <w:lang w:eastAsia="pl-PL"/>
        </w:rPr>
        <w:t>z </w:t>
      </w:r>
      <w:r w:rsidR="15A87338" w:rsidRPr="00833C88">
        <w:rPr>
          <w:rFonts w:eastAsia="Times New Roman" w:cs="Times New Roman"/>
          <w:sz w:val="24"/>
          <w:szCs w:val="24"/>
          <w:lang w:eastAsia="pl-PL"/>
        </w:rPr>
        <w:t xml:space="preserve">istotnym zagrożeniem dla bezpieczeństwa lub porządku publicznego, które należy oceniać sytuacyjnie pod względem wewnętrznym jak </w:t>
      </w:r>
      <w:r w:rsidR="00601933" w:rsidRPr="00833C88">
        <w:rPr>
          <w:rFonts w:eastAsia="Times New Roman" w:cs="Times New Roman"/>
          <w:sz w:val="24"/>
          <w:szCs w:val="24"/>
          <w:lang w:eastAsia="pl-PL"/>
        </w:rPr>
        <w:t>i </w:t>
      </w:r>
      <w:r w:rsidR="15A87338" w:rsidRPr="00833C88">
        <w:rPr>
          <w:rFonts w:eastAsia="Times New Roman" w:cs="Times New Roman"/>
          <w:sz w:val="24"/>
          <w:szCs w:val="24"/>
          <w:lang w:eastAsia="pl-PL"/>
        </w:rPr>
        <w:t>zewnętrznym. Podkreślić należy, że dążąc do</w:t>
      </w:r>
      <w:r w:rsidR="000207FE" w:rsidRPr="00833C88">
        <w:rPr>
          <w:rFonts w:eastAsia="Times New Roman" w:cs="Times New Roman"/>
          <w:sz w:val="24"/>
          <w:szCs w:val="24"/>
          <w:lang w:eastAsia="pl-PL"/>
        </w:rPr>
        <w:t> </w:t>
      </w:r>
      <w:r w:rsidR="15A87338" w:rsidRPr="00833C88">
        <w:rPr>
          <w:rFonts w:eastAsia="Times New Roman" w:cs="Times New Roman"/>
          <w:sz w:val="24"/>
          <w:szCs w:val="24"/>
          <w:lang w:eastAsia="pl-PL"/>
        </w:rPr>
        <w:t>zapewnienia bezpieczeństwa lub porządku publicznego działania podejmowane przez organ nie</w:t>
      </w:r>
      <w:r w:rsidR="000207FE" w:rsidRPr="00833C88">
        <w:rPr>
          <w:rFonts w:eastAsia="Times New Roman" w:cs="Times New Roman"/>
          <w:sz w:val="24"/>
          <w:szCs w:val="24"/>
          <w:lang w:eastAsia="pl-PL"/>
        </w:rPr>
        <w:t> </w:t>
      </w:r>
      <w:r w:rsidR="15A87338" w:rsidRPr="00833C88">
        <w:rPr>
          <w:rFonts w:eastAsia="Times New Roman" w:cs="Times New Roman"/>
          <w:sz w:val="24"/>
          <w:szCs w:val="24"/>
          <w:lang w:eastAsia="pl-PL"/>
        </w:rPr>
        <w:t xml:space="preserve">mogą polegać wyłącznie na zwalczaniu zagrożeń, które już się zrealizowały, ale wymaga to podejmowania działań prospektywnych. </w:t>
      </w:r>
      <w:r w:rsidR="00601933" w:rsidRPr="00833C88">
        <w:rPr>
          <w:rFonts w:eastAsia="Times New Roman" w:cs="Times New Roman"/>
          <w:sz w:val="24"/>
          <w:szCs w:val="24"/>
          <w:lang w:eastAsia="pl-PL"/>
        </w:rPr>
        <w:t>W </w:t>
      </w:r>
      <w:r w:rsidR="15A87338" w:rsidRPr="00833C88">
        <w:rPr>
          <w:rFonts w:eastAsia="Times New Roman" w:cs="Times New Roman"/>
          <w:sz w:val="24"/>
          <w:szCs w:val="24"/>
          <w:lang w:eastAsia="pl-PL"/>
        </w:rPr>
        <w:t xml:space="preserve">takiej sytuacji nadrzędną wartością będzie zapewnienie skuteczności wymierzonych kar co </w:t>
      </w:r>
      <w:r w:rsidR="00601933" w:rsidRPr="00833C88">
        <w:rPr>
          <w:rFonts w:eastAsia="Times New Roman" w:cs="Times New Roman"/>
          <w:sz w:val="24"/>
          <w:szCs w:val="24"/>
          <w:lang w:eastAsia="pl-PL"/>
        </w:rPr>
        <w:t>w </w:t>
      </w:r>
      <w:r w:rsidR="15A87338" w:rsidRPr="00833C88">
        <w:rPr>
          <w:rFonts w:eastAsia="Times New Roman" w:cs="Times New Roman"/>
          <w:sz w:val="24"/>
          <w:szCs w:val="24"/>
          <w:lang w:eastAsia="pl-PL"/>
        </w:rPr>
        <w:t xml:space="preserve">pełni zagwarantuje nałożenie </w:t>
      </w:r>
      <w:r w:rsidR="15A87338" w:rsidRPr="00833C88">
        <w:rPr>
          <w:rFonts w:eastAsia="Times New Roman" w:cs="Times New Roman"/>
          <w:sz w:val="24"/>
          <w:szCs w:val="24"/>
          <w:lang w:eastAsia="pl-PL"/>
        </w:rPr>
        <w:lastRenderedPageBreak/>
        <w:t xml:space="preserve">klauzuli natychmiastowej wykonalności na decyzję </w:t>
      </w:r>
      <w:r w:rsidR="00601933" w:rsidRPr="00833C88">
        <w:rPr>
          <w:rFonts w:eastAsia="Times New Roman" w:cs="Times New Roman"/>
          <w:sz w:val="24"/>
          <w:szCs w:val="24"/>
          <w:lang w:eastAsia="pl-PL"/>
        </w:rPr>
        <w:t>w </w:t>
      </w:r>
      <w:r w:rsidR="15A87338" w:rsidRPr="00833C88">
        <w:rPr>
          <w:rFonts w:eastAsia="Times New Roman" w:cs="Times New Roman"/>
          <w:sz w:val="24"/>
          <w:szCs w:val="24"/>
          <w:lang w:eastAsia="pl-PL"/>
        </w:rPr>
        <w:t>przedmiocie wymierzenia okresowej kary pieniężnej.</w:t>
      </w:r>
    </w:p>
    <w:p w14:paraId="35F7F4DF" w14:textId="6A7AECED"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Wpływy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tytułu kar pieniężnych stanowią przychód Funduszu Cyberbezpieczeństwa,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2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2 grudnia 2021 r.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szczególnych zasadach wynagradzania osób realizujących zadania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cyberbezpieczeństwa</w:t>
      </w:r>
      <w:r w:rsidR="000207FE" w:rsidRPr="00833C88">
        <w:rPr>
          <w:rFonts w:eastAsia="Times New Roman" w:cs="Times New Roman"/>
          <w:sz w:val="24"/>
          <w:szCs w:val="24"/>
          <w:lang w:eastAsia="pl-PL"/>
        </w:rPr>
        <w:t xml:space="preserve"> (Dz. U.</w:t>
      </w:r>
      <w:r w:rsidR="000B5A7F"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0B5A7F" w:rsidRPr="00833C88">
        <w:rPr>
          <w:rFonts w:eastAsia="Times New Roman" w:cs="Times New Roman"/>
          <w:sz w:val="24"/>
          <w:szCs w:val="24"/>
          <w:lang w:eastAsia="pl-PL"/>
        </w:rPr>
        <w:t xml:space="preserve">2024 r. poz. </w:t>
      </w:r>
      <w:r w:rsidR="00A16396" w:rsidRPr="00833C88">
        <w:rPr>
          <w:rFonts w:eastAsia="Times New Roman" w:cs="Times New Roman"/>
          <w:sz w:val="24"/>
          <w:szCs w:val="24"/>
          <w:lang w:eastAsia="pl-PL"/>
        </w:rPr>
        <w:t>1662</w:t>
      </w:r>
      <w:r w:rsidR="0054567B" w:rsidRPr="00833C88">
        <w:rPr>
          <w:rFonts w:eastAsia="Times New Roman" w:cs="Times New Roman"/>
          <w:sz w:val="24"/>
          <w:szCs w:val="24"/>
          <w:lang w:eastAsia="pl-PL"/>
        </w:rPr>
        <w:t xml:space="preserve"> oraz z 2025 r. poz. 1017</w:t>
      </w:r>
      <w:r w:rsidR="000207FE" w:rsidRPr="00833C88">
        <w:rPr>
          <w:rFonts w:eastAsia="Times New Roman" w:cs="Times New Roman"/>
          <w:sz w:val="24"/>
          <w:szCs w:val="24"/>
          <w:lang w:eastAsia="pl-PL"/>
        </w:rPr>
        <w:t>)</w:t>
      </w:r>
      <w:r w:rsidRPr="00833C88">
        <w:rPr>
          <w:rFonts w:eastAsia="Times New Roman" w:cs="Times New Roman"/>
          <w:sz w:val="24"/>
          <w:szCs w:val="24"/>
          <w:lang w:eastAsia="pl-PL"/>
        </w:rPr>
        <w:t>.</w:t>
      </w:r>
    </w:p>
    <w:p w14:paraId="00542603" w14:textId="6103C838"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Organ właściwy do spraw cyberbezpieczeństwa ustalając wysokość kary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wydając decyzję o</w:t>
      </w:r>
      <w:r w:rsidR="000207FE" w:rsidRPr="00833C88">
        <w:rPr>
          <w:rFonts w:eastAsia="Times New Roman" w:cs="Times New Roman"/>
          <w:sz w:val="24"/>
          <w:szCs w:val="24"/>
          <w:lang w:eastAsia="pl-PL"/>
        </w:rPr>
        <w:t> </w:t>
      </w:r>
      <w:r w:rsidRPr="00833C88">
        <w:rPr>
          <w:rFonts w:eastAsia="Times New Roman" w:cs="Times New Roman"/>
          <w:sz w:val="24"/>
          <w:szCs w:val="24"/>
          <w:lang w:eastAsia="pl-PL"/>
        </w:rPr>
        <w:t>wymierzeniu kary pieniężnej zobowiązany jest do uwzględniania kryteriów określonych w</w:t>
      </w:r>
      <w:r w:rsidR="000207FE" w:rsidRPr="00833C88">
        <w:rPr>
          <w:rFonts w:eastAsia="Times New Roman" w:cs="Times New Roman"/>
          <w:sz w:val="24"/>
          <w:szCs w:val="24"/>
          <w:lang w:eastAsia="pl-PL"/>
        </w:rPr>
        <w:t> </w:t>
      </w:r>
      <w:r w:rsidR="00B4269F" w:rsidRPr="00833C88">
        <w:rPr>
          <w:rFonts w:eastAsia="Times New Roman" w:cs="Times New Roman"/>
          <w:sz w:val="24"/>
          <w:szCs w:val="24"/>
          <w:lang w:eastAsia="pl-PL"/>
        </w:rPr>
        <w:t xml:space="preserve">projektowanym </w:t>
      </w:r>
      <w:r w:rsidRPr="00833C88">
        <w:rPr>
          <w:rFonts w:eastAsia="Times New Roman" w:cs="Times New Roman"/>
          <w:sz w:val="24"/>
          <w:szCs w:val="24"/>
          <w:lang w:eastAsia="pl-PL"/>
        </w:rPr>
        <w:t>art. 53 ust. 1</w:t>
      </w:r>
      <w:r w:rsidR="002121CA" w:rsidRPr="00833C88">
        <w:rPr>
          <w:rFonts w:eastAsia="Times New Roman" w:cs="Times New Roman"/>
          <w:sz w:val="24"/>
          <w:szCs w:val="24"/>
          <w:lang w:eastAsia="pl-PL"/>
        </w:rPr>
        <w:t>2</w:t>
      </w:r>
      <w:r w:rsidRPr="00833C88">
        <w:rPr>
          <w:rFonts w:eastAsia="Times New Roman" w:cs="Times New Roman"/>
          <w:sz w:val="24"/>
          <w:szCs w:val="24"/>
          <w:lang w:eastAsia="pl-PL"/>
        </w:rPr>
        <w:t xml:space="preserve"> </w:t>
      </w:r>
      <w:r w:rsidR="000207FE"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0207FE" w:rsidRPr="00833C88">
        <w:rPr>
          <w:rFonts w:eastAsia="Times New Roman" w:cs="Times New Roman"/>
          <w:sz w:val="24"/>
          <w:szCs w:val="24"/>
          <w:lang w:eastAsia="pl-PL"/>
        </w:rPr>
        <w:t>KSC</w:t>
      </w:r>
      <w:r w:rsidRPr="00833C88">
        <w:rPr>
          <w:rFonts w:eastAsia="Times New Roman" w:cs="Times New Roman"/>
          <w:sz w:val="24"/>
          <w:szCs w:val="24"/>
          <w:lang w:eastAsia="pl-PL"/>
        </w:rPr>
        <w:t xml:space="preserve"> oraz wysokości przychodu uzyskanego z</w:t>
      </w:r>
      <w:r w:rsidR="00AD6CCD" w:rsidRPr="00833C88">
        <w:rPr>
          <w:rFonts w:eastAsia="Times New Roman" w:cs="Times New Roman"/>
          <w:sz w:val="24"/>
          <w:szCs w:val="24"/>
          <w:lang w:eastAsia="pl-PL"/>
        </w:rPr>
        <w:t> </w:t>
      </w:r>
      <w:r w:rsidRPr="00833C88">
        <w:rPr>
          <w:rFonts w:eastAsia="Times New Roman" w:cs="Times New Roman"/>
          <w:sz w:val="24"/>
          <w:szCs w:val="24"/>
          <w:lang w:eastAsia="pl-PL"/>
        </w:rPr>
        <w:t xml:space="preserve">działalności gospodarczej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roku obrotowym poprzedzającym wymierzenie kary</w:t>
      </w:r>
      <w:r w:rsidR="00C81A52" w:rsidRPr="00833C88">
        <w:rPr>
          <w:rFonts w:eastAsia="Times New Roman" w:cs="Times New Roman"/>
          <w:sz w:val="24"/>
          <w:szCs w:val="24"/>
          <w:lang w:eastAsia="pl-PL"/>
        </w:rPr>
        <w:t>, możliwości finansowych podmiotu kluczowego lub podmiotu ważnego będącego podmiotem publicznym</w:t>
      </w:r>
      <w:r w:rsidRPr="00833C88">
        <w:rPr>
          <w:rFonts w:eastAsia="Times New Roman" w:cs="Times New Roman"/>
          <w:sz w:val="24"/>
          <w:szCs w:val="24"/>
          <w:lang w:eastAsia="pl-PL"/>
        </w:rPr>
        <w:t xml:space="preserve"> albo możliwości finansowych kierownika podmiotu.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tego powodu konieczne jest, aby podmiot kluczowy lub </w:t>
      </w:r>
      <w:r w:rsidR="000207FE" w:rsidRPr="00833C88">
        <w:rPr>
          <w:rFonts w:eastAsia="Times New Roman" w:cs="Times New Roman"/>
          <w:sz w:val="24"/>
          <w:szCs w:val="24"/>
          <w:lang w:eastAsia="pl-PL"/>
        </w:rPr>
        <w:t xml:space="preserve">podmiot </w:t>
      </w:r>
      <w:r w:rsidRPr="00833C88">
        <w:rPr>
          <w:rFonts w:eastAsia="Times New Roman" w:cs="Times New Roman"/>
          <w:sz w:val="24"/>
          <w:szCs w:val="24"/>
          <w:lang w:eastAsia="pl-PL"/>
        </w:rPr>
        <w:t>ważny, na żądanie organu właściwego do spraw cyberbezpieczeństwa, przekazał wszelkie niezbędne do wymierzenia kary dane. Chcąc jednocześnie zapobiec sytuacji</w:t>
      </w:r>
      <w:r w:rsidR="000207FE" w:rsidRPr="00833C88">
        <w:rPr>
          <w:rFonts w:eastAsia="Times New Roman" w:cs="Times New Roman"/>
          <w:sz w:val="24"/>
          <w:szCs w:val="24"/>
          <w:lang w:eastAsia="pl-PL"/>
        </w:rPr>
        <w: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której organ nie będzie mógł wymierzyć kary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powodu braku wykonania polecenia przez podmiot, organ ten będzie uprawniony do ustalenia podstawy wymiaru kary pieniężnej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sposób szacunkowy.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tym celu może skorzystać z</w:t>
      </w:r>
      <w:r w:rsidR="00AD6CCD" w:rsidRPr="00833C88">
        <w:rPr>
          <w:rFonts w:eastAsia="Times New Roman" w:cs="Times New Roman"/>
          <w:sz w:val="24"/>
          <w:szCs w:val="24"/>
          <w:lang w:eastAsia="pl-PL"/>
        </w:rPr>
        <w:t> </w:t>
      </w:r>
      <w:r w:rsidRPr="00833C88">
        <w:rPr>
          <w:rFonts w:eastAsia="Times New Roman" w:cs="Times New Roman"/>
          <w:sz w:val="24"/>
          <w:szCs w:val="24"/>
          <w:lang w:eastAsia="pl-PL"/>
        </w:rPr>
        <w:t>ogólnodostępnych dan</w:t>
      </w:r>
      <w:r w:rsidR="00EE62C9" w:rsidRPr="00833C88">
        <w:rPr>
          <w:rFonts w:eastAsia="Times New Roman" w:cs="Times New Roman"/>
          <w:sz w:val="24"/>
          <w:szCs w:val="24"/>
          <w:lang w:eastAsia="pl-PL"/>
        </w:rPr>
        <w:t>ych</w:t>
      </w:r>
      <w:r w:rsidRPr="00833C88">
        <w:rPr>
          <w:rFonts w:eastAsia="Times New Roman" w:cs="Times New Roman"/>
          <w:sz w:val="24"/>
          <w:szCs w:val="24"/>
          <w:lang w:eastAsia="pl-PL"/>
        </w:rPr>
        <w:t xml:space="preserve"> oraz wziąć pod uwagę specyfikę działalności podmiotu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jego wielkość.</w:t>
      </w:r>
      <w:r w:rsidR="002C486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2C4867" w:rsidRPr="00833C88">
        <w:rPr>
          <w:rFonts w:eastAsia="Times New Roman" w:cs="Times New Roman"/>
          <w:sz w:val="24"/>
          <w:szCs w:val="24"/>
          <w:lang w:eastAsia="pl-PL"/>
        </w:rPr>
        <w:t xml:space="preserve">przypadku podmiotów kluczowych lub podmiotów ważnych będących podmiotami publicznymi ich możliwości finansowe ustala się przede wszystkim biorąc pod uwagę </w:t>
      </w:r>
      <w:r w:rsidR="00CD743A" w:rsidRPr="00833C88">
        <w:rPr>
          <w:rFonts w:eastAsia="Times New Roman" w:cs="Times New Roman"/>
          <w:sz w:val="24"/>
          <w:szCs w:val="24"/>
          <w:lang w:eastAsia="pl-PL"/>
        </w:rPr>
        <w:t xml:space="preserve">środki finansowe </w:t>
      </w:r>
      <w:r w:rsidR="00601933" w:rsidRPr="00833C88">
        <w:rPr>
          <w:rFonts w:eastAsia="Times New Roman" w:cs="Times New Roman"/>
          <w:sz w:val="24"/>
          <w:szCs w:val="24"/>
          <w:lang w:eastAsia="pl-PL"/>
        </w:rPr>
        <w:t>w </w:t>
      </w:r>
      <w:r w:rsidR="00CD743A" w:rsidRPr="00833C88">
        <w:rPr>
          <w:rFonts w:eastAsia="Times New Roman" w:cs="Times New Roman"/>
          <w:sz w:val="24"/>
          <w:szCs w:val="24"/>
          <w:lang w:eastAsia="pl-PL"/>
        </w:rPr>
        <w:t>części budżetowej przeznaczonej dla danego podmiotu.</w:t>
      </w:r>
    </w:p>
    <w:p w14:paraId="1A162715" w14:textId="60A70043" w:rsidR="00121702" w:rsidRPr="00833C88" w:rsidRDefault="00121702"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Jednocześnie wyłączeniu ulegnie art. 189a §</w:t>
      </w:r>
      <w:r w:rsidR="00A17E8F" w:rsidRPr="00833C88">
        <w:rPr>
          <w:rFonts w:eastAsia="Times New Roman" w:cs="Times New Roman"/>
          <w:sz w:val="24"/>
          <w:szCs w:val="24"/>
          <w:lang w:eastAsia="pl-PL"/>
        </w:rPr>
        <w:t xml:space="preserve"> </w:t>
      </w:r>
      <w:r w:rsidRPr="00833C88">
        <w:rPr>
          <w:rFonts w:eastAsia="Times New Roman" w:cs="Times New Roman"/>
          <w:sz w:val="24"/>
          <w:szCs w:val="24"/>
          <w:lang w:eastAsia="pl-PL"/>
        </w:rPr>
        <w:t>2 K</w:t>
      </w:r>
      <w:r w:rsidR="00946286" w:rsidRPr="00833C88">
        <w:rPr>
          <w:rFonts w:eastAsia="Times New Roman" w:cs="Times New Roman"/>
          <w:sz w:val="24"/>
          <w:szCs w:val="24"/>
          <w:lang w:eastAsia="pl-PL"/>
        </w:rPr>
        <w:t>pa</w:t>
      </w:r>
      <w:r w:rsidRPr="00833C88">
        <w:rPr>
          <w:rFonts w:eastAsia="Times New Roman" w:cs="Times New Roman"/>
          <w:sz w:val="24"/>
          <w:szCs w:val="24"/>
          <w:lang w:eastAsia="pl-PL"/>
        </w:rPr>
        <w:t xml:space="preserve">, co oznacza, że podmiot przy wymiarze kary poza przesłankami, na które wskazuje projekt ustawy powinien kierować się także dyrektywami wymiaru kary wskazanymi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art. 189d K</w:t>
      </w:r>
      <w:r w:rsidR="00946286" w:rsidRPr="00833C88">
        <w:rPr>
          <w:rFonts w:eastAsia="Times New Roman" w:cs="Times New Roman"/>
          <w:sz w:val="24"/>
          <w:szCs w:val="24"/>
          <w:lang w:eastAsia="pl-PL"/>
        </w:rPr>
        <w:t>pa</w:t>
      </w:r>
      <w:r w:rsidRPr="00833C88">
        <w:rPr>
          <w:rFonts w:eastAsia="Times New Roman" w:cs="Times New Roman"/>
          <w:sz w:val="24"/>
          <w:szCs w:val="24"/>
          <w:lang w:eastAsia="pl-PL"/>
        </w:rPr>
        <w:t>. Szczególne znaczenie przypadku kary</w:t>
      </w:r>
      <w:r w:rsidR="00CB05D1" w:rsidRPr="00833C88">
        <w:rPr>
          <w:rFonts w:eastAsia="Times New Roman" w:cs="Times New Roman"/>
          <w:sz w:val="24"/>
          <w:szCs w:val="24"/>
          <w:lang w:eastAsia="pl-PL"/>
        </w:rPr>
        <w:t xml:space="preserve"> nałożonej na</w:t>
      </w:r>
      <w:r w:rsidRPr="00833C88">
        <w:rPr>
          <w:rFonts w:eastAsia="Times New Roman" w:cs="Times New Roman"/>
          <w:sz w:val="24"/>
          <w:szCs w:val="24"/>
          <w:lang w:eastAsia="pl-PL"/>
        </w:rPr>
        <w:t xml:space="preserve"> kierownika podmiotu będzie miał stopień przyczynienia się kierownika podmiot</w:t>
      </w:r>
      <w:r w:rsidR="00CB05D1" w:rsidRPr="00833C88">
        <w:rPr>
          <w:rFonts w:eastAsia="Times New Roman" w:cs="Times New Roman"/>
          <w:sz w:val="24"/>
          <w:szCs w:val="24"/>
          <w:lang w:eastAsia="pl-PL"/>
        </w:rPr>
        <w:t xml:space="preserve">u </w:t>
      </w:r>
      <w:r w:rsidRPr="00833C88">
        <w:rPr>
          <w:rFonts w:eastAsia="Times New Roman" w:cs="Times New Roman"/>
          <w:sz w:val="24"/>
          <w:szCs w:val="24"/>
          <w:lang w:eastAsia="pl-PL"/>
        </w:rPr>
        <w:t xml:space="preserve">do powstania naruszenia prawa. </w:t>
      </w:r>
      <w:r w:rsidR="0041380E" w:rsidRPr="00833C88">
        <w:rPr>
          <w:rFonts w:eastAsia="Times New Roman" w:cs="Times New Roman"/>
          <w:sz w:val="24"/>
          <w:szCs w:val="24"/>
          <w:lang w:eastAsia="pl-PL"/>
        </w:rPr>
        <w:t>O</w:t>
      </w:r>
      <w:r w:rsidRPr="00833C88">
        <w:rPr>
          <w:rFonts w:eastAsia="Times New Roman" w:cs="Times New Roman"/>
          <w:sz w:val="24"/>
          <w:szCs w:val="24"/>
          <w:lang w:eastAsia="pl-PL"/>
        </w:rPr>
        <w:t xml:space="preserve">znacza to, że np.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przypadku znikomego przyczynienia się</w:t>
      </w:r>
      <w:r w:rsidR="00773A52" w:rsidRPr="00833C88">
        <w:rPr>
          <w:rFonts w:eastAsia="Times New Roman" w:cs="Times New Roman"/>
          <w:sz w:val="24"/>
          <w:szCs w:val="24"/>
          <w:lang w:eastAsia="pl-PL"/>
        </w:rPr>
        <w:t xml:space="preserve"> (zawinienia)</w:t>
      </w:r>
      <w:r w:rsidRPr="00833C88">
        <w:rPr>
          <w:rFonts w:eastAsia="Times New Roman" w:cs="Times New Roman"/>
          <w:sz w:val="24"/>
          <w:szCs w:val="24"/>
          <w:lang w:eastAsia="pl-PL"/>
        </w:rPr>
        <w:t xml:space="preserve"> kierownika podmiotu będzie mogła zostać wymierzona niska kara (jeśli całokształt sytuacji zbadany według pozostałych przesłanek również będzie na to wskazywał)</w:t>
      </w:r>
      <w:r w:rsidR="0041380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00162326" w:rsidRPr="00833C88">
        <w:rPr>
          <w:rFonts w:eastAsia="Times New Roman" w:cs="Times New Roman"/>
          <w:sz w:val="24"/>
          <w:szCs w:val="24"/>
          <w:lang w:eastAsia="pl-PL"/>
        </w:rPr>
        <w:t>nawet będzie można odstąpić od nałożenia kary, jeśli spełnione zostaną odpowiednie warunki</w:t>
      </w:r>
      <w:r w:rsidRPr="00833C88">
        <w:rPr>
          <w:rFonts w:eastAsia="Times New Roman" w:cs="Times New Roman"/>
          <w:sz w:val="24"/>
          <w:szCs w:val="24"/>
          <w:lang w:eastAsia="pl-PL"/>
        </w:rPr>
        <w:t>.</w:t>
      </w:r>
    </w:p>
    <w:p w14:paraId="576607F3" w14:textId="06A1D1EF"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Organ właściwy do spraw cyberbezpieczeństwa może odstąpić od nałożenia kary pieniężnej, o</w:t>
      </w:r>
      <w:r w:rsidR="000207FE" w:rsidRPr="00833C88">
        <w:rPr>
          <w:rFonts w:eastAsia="Times New Roman" w:cs="Times New Roman"/>
          <w:sz w:val="24"/>
          <w:szCs w:val="24"/>
          <w:lang w:eastAsia="pl-PL"/>
        </w:rPr>
        <w:t> </w:t>
      </w:r>
      <w:r w:rsidRPr="00833C88">
        <w:rPr>
          <w:rFonts w:eastAsia="Times New Roman" w:cs="Times New Roman"/>
          <w:sz w:val="24"/>
          <w:szCs w:val="24"/>
          <w:lang w:eastAsia="pl-PL"/>
        </w:rPr>
        <w:t xml:space="preserve">której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73 </w:t>
      </w:r>
      <w:r w:rsidR="00A502CC" w:rsidRPr="00833C88">
        <w:rPr>
          <w:rFonts w:eastAsia="Times New Roman" w:cs="Times New Roman"/>
          <w:sz w:val="24"/>
          <w:szCs w:val="24"/>
          <w:lang w:eastAsia="pl-PL"/>
        </w:rPr>
        <w:t>lub</w:t>
      </w:r>
      <w:r w:rsidRPr="00833C88">
        <w:rPr>
          <w:rFonts w:eastAsia="Times New Roman" w:cs="Times New Roman"/>
          <w:sz w:val="24"/>
          <w:szCs w:val="24"/>
          <w:lang w:eastAsia="pl-PL"/>
        </w:rPr>
        <w:t xml:space="preserve"> </w:t>
      </w:r>
      <w:r w:rsidR="000207FE" w:rsidRPr="00833C88">
        <w:rPr>
          <w:rFonts w:eastAsia="Times New Roman" w:cs="Times New Roman"/>
          <w:sz w:val="24"/>
          <w:szCs w:val="24"/>
          <w:lang w:eastAsia="pl-PL"/>
        </w:rPr>
        <w:t xml:space="preserve">dodawanym art. </w:t>
      </w:r>
      <w:r w:rsidRPr="00833C88">
        <w:rPr>
          <w:rFonts w:eastAsia="Times New Roman" w:cs="Times New Roman"/>
          <w:sz w:val="24"/>
          <w:szCs w:val="24"/>
          <w:lang w:eastAsia="pl-PL"/>
        </w:rPr>
        <w:t xml:space="preserve">73a </w:t>
      </w:r>
      <w:r w:rsidR="000207FE"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0207FE" w:rsidRPr="00833C88">
        <w:rPr>
          <w:rFonts w:eastAsia="Times New Roman" w:cs="Times New Roman"/>
          <w:sz w:val="24"/>
          <w:szCs w:val="24"/>
          <w:lang w:eastAsia="pl-PL"/>
        </w:rPr>
        <w:t xml:space="preserve">KSC,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sytuacji,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której waga </w:t>
      </w:r>
      <w:r w:rsidRPr="00833C88">
        <w:rPr>
          <w:rFonts w:eastAsia="Times New Roman" w:cs="Times New Roman"/>
          <w:sz w:val="24"/>
          <w:szCs w:val="24"/>
          <w:lang w:eastAsia="pl-PL"/>
        </w:rPr>
        <w:lastRenderedPageBreak/>
        <w:t>i</w:t>
      </w:r>
      <w:r w:rsidR="000207FE" w:rsidRPr="00833C88">
        <w:rPr>
          <w:rFonts w:eastAsia="Times New Roman" w:cs="Times New Roman"/>
          <w:sz w:val="24"/>
          <w:szCs w:val="24"/>
          <w:lang w:eastAsia="pl-PL"/>
        </w:rPr>
        <w:t> </w:t>
      </w:r>
      <w:r w:rsidRPr="00833C88">
        <w:rPr>
          <w:rFonts w:eastAsia="Times New Roman" w:cs="Times New Roman"/>
          <w:sz w:val="24"/>
          <w:szCs w:val="24"/>
          <w:lang w:eastAsia="pl-PL"/>
        </w:rPr>
        <w:t xml:space="preserve">znaczenie naruszonych przepisów jest znikome,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podmiot albo kierownik podmiotu zaprzestał naruszania prawa lub naprawił wyrządzoną szkodę.</w:t>
      </w:r>
    </w:p>
    <w:p w14:paraId="31499BAC" w14:textId="4C3E087D" w:rsidR="22C7FBA8" w:rsidRPr="00833C88" w:rsidRDefault="22C7FBA8"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Istotną zmianą jest wprowadzenie możliwości nakładania na podmiot okresowej kary pieniężnej. Będzie to możliwe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sytuacji,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której podmiot opóźnia się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wykonaniem czynności określonych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decyzji wydanych na podstawie art. 53 ust. 5 pkt 2</w:t>
      </w:r>
      <w:r w:rsidR="000207FE" w:rsidRPr="00833C88">
        <w:rPr>
          <w:rFonts w:eastAsia="Times New Roman" w:cs="Times New Roman"/>
          <w:sz w:val="24"/>
          <w:szCs w:val="24"/>
          <w:lang w:eastAsia="pl-PL"/>
        </w:rPr>
        <w:t>–</w:t>
      </w:r>
      <w:r w:rsidR="002E2856" w:rsidRPr="00833C88">
        <w:rPr>
          <w:rFonts w:eastAsia="Times New Roman" w:cs="Times New Roman"/>
          <w:sz w:val="24"/>
          <w:szCs w:val="24"/>
          <w:lang w:eastAsia="pl-PL"/>
        </w:rPr>
        <w:t>8</w:t>
      </w:r>
      <w:r w:rsidR="000207FE"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0207FE" w:rsidRPr="00833C88">
        <w:rPr>
          <w:rFonts w:eastAsia="Times New Roman" w:cs="Times New Roman"/>
          <w:sz w:val="24"/>
          <w:szCs w:val="24"/>
          <w:lang w:eastAsia="pl-PL"/>
        </w:rPr>
        <w:t>KSC</w:t>
      </w:r>
      <w:r w:rsidRPr="00833C88">
        <w:rPr>
          <w:rFonts w:eastAsia="Times New Roman" w:cs="Times New Roman"/>
          <w:sz w:val="24"/>
          <w:szCs w:val="24"/>
          <w:lang w:eastAsia="pl-PL"/>
        </w:rPr>
        <w:t xml:space="preserve">. Za każdy dzień opóźnienia organ właściwy do spraw cyberbezpieczeństwa będzie mógł nałożyć karę pieniężną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wysokości od 500 zł do 100 000 zł. Należy zwrócić uwagę, że okresowa kara pieniężna różni się od kary nakładanej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artykułach poprzedzających tym, że karane nie jest samo naruszenie przepisów ustawy,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zwłoka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wykonaniu czynności zleconych przez organ, często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tym naruszeniem. Okresowa kara pieniężna ma stanowić zatem narzędzie do efektywnego egzekwowania stosowania przepisów ustawy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wykonywania nałożonych na</w:t>
      </w:r>
      <w:r w:rsidR="00AD6CCD" w:rsidRPr="00833C88">
        <w:rPr>
          <w:rFonts w:eastAsia="Times New Roman" w:cs="Times New Roman"/>
          <w:sz w:val="24"/>
          <w:szCs w:val="24"/>
          <w:lang w:eastAsia="pl-PL"/>
        </w:rPr>
        <w:t> </w:t>
      </w:r>
      <w:r w:rsidRPr="00833C88">
        <w:rPr>
          <w:rFonts w:eastAsia="Times New Roman" w:cs="Times New Roman"/>
          <w:sz w:val="24"/>
          <w:szCs w:val="24"/>
          <w:lang w:eastAsia="pl-PL"/>
        </w:rPr>
        <w:t>podmioty obowiązków.</w:t>
      </w:r>
    </w:p>
    <w:p w14:paraId="6F910436" w14:textId="0469EB9D" w:rsidR="000E7FAB" w:rsidRPr="00833C88" w:rsidRDefault="006702FC" w:rsidP="0029004E">
      <w:pPr>
        <w:spacing w:line="360" w:lineRule="auto"/>
        <w:ind w:left="-20" w:right="-20"/>
        <w:jc w:val="both"/>
        <w:rPr>
          <w:rFonts w:eastAsia="Times New Roman" w:cs="Times New Roman"/>
          <w:sz w:val="24"/>
          <w:szCs w:val="24"/>
          <w:lang w:eastAsia="pl-PL"/>
        </w:rPr>
      </w:pPr>
      <w:r w:rsidRPr="00833C88">
        <w:rPr>
          <w:rFonts w:eastAsia="Times New Roman" w:cs="Times New Roman"/>
          <w:sz w:val="24"/>
          <w:szCs w:val="24"/>
          <w:lang w:eastAsia="pl-PL"/>
        </w:rPr>
        <w:t xml:space="preserve">Kara pieniężna jest także, 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wdrażaną dyrektywą NIS 2, środkiem nadzorczym, który może być stosowany niezależnie,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więc równolegle, do innych środków nadzorczych. </w:t>
      </w:r>
      <w:r w:rsidR="003A0084" w:rsidRPr="00833C88">
        <w:rPr>
          <w:rFonts w:eastAsia="Times New Roman" w:cs="Times New Roman"/>
          <w:sz w:val="24"/>
          <w:szCs w:val="24"/>
          <w:lang w:eastAsia="pl-PL"/>
        </w:rPr>
        <w:t>Nałożenie kary pieniężnej na podmiot kluczowy lub podmiot ważny nie oznacza zatem, że</w:t>
      </w:r>
      <w:r w:rsidR="00AD6CCD" w:rsidRPr="00833C88">
        <w:rPr>
          <w:rFonts w:eastAsia="Times New Roman" w:cs="Times New Roman"/>
          <w:sz w:val="24"/>
          <w:szCs w:val="24"/>
          <w:lang w:eastAsia="pl-PL"/>
        </w:rPr>
        <w:t> </w:t>
      </w:r>
      <w:r w:rsidR="003A0084" w:rsidRPr="00833C88">
        <w:rPr>
          <w:rFonts w:eastAsia="Times New Roman" w:cs="Times New Roman"/>
          <w:sz w:val="24"/>
          <w:szCs w:val="24"/>
          <w:lang w:eastAsia="pl-PL"/>
        </w:rPr>
        <w:t xml:space="preserve">organ właściwy do spraw cyberbezpieczeństwa nie </w:t>
      </w:r>
      <w:r w:rsidR="008E6FE9" w:rsidRPr="00833C88">
        <w:rPr>
          <w:rFonts w:eastAsia="Times New Roman" w:cs="Times New Roman"/>
          <w:sz w:val="24"/>
          <w:szCs w:val="24"/>
          <w:lang w:eastAsia="pl-PL"/>
        </w:rPr>
        <w:t xml:space="preserve">może </w:t>
      </w:r>
      <w:r w:rsidR="00D115E9" w:rsidRPr="00833C88">
        <w:rPr>
          <w:rFonts w:eastAsia="Times New Roman" w:cs="Times New Roman"/>
          <w:sz w:val="24"/>
          <w:szCs w:val="24"/>
          <w:lang w:eastAsia="pl-PL"/>
        </w:rPr>
        <w:t xml:space="preserve">podjąć </w:t>
      </w:r>
      <w:r w:rsidR="00650FEB" w:rsidRPr="00833C88">
        <w:rPr>
          <w:rFonts w:eastAsia="Times New Roman" w:cs="Times New Roman"/>
          <w:sz w:val="24"/>
          <w:szCs w:val="24"/>
          <w:lang w:eastAsia="pl-PL"/>
        </w:rPr>
        <w:t xml:space="preserve">innych działań </w:t>
      </w:r>
      <w:r w:rsidR="00601933" w:rsidRPr="00833C88">
        <w:rPr>
          <w:rFonts w:eastAsia="Times New Roman" w:cs="Times New Roman"/>
          <w:sz w:val="24"/>
          <w:szCs w:val="24"/>
          <w:lang w:eastAsia="pl-PL"/>
        </w:rPr>
        <w:t>o </w:t>
      </w:r>
      <w:r w:rsidR="00650FEB" w:rsidRPr="00833C88">
        <w:rPr>
          <w:rFonts w:eastAsia="Times New Roman" w:cs="Times New Roman"/>
          <w:sz w:val="24"/>
          <w:szCs w:val="24"/>
          <w:lang w:eastAsia="pl-PL"/>
        </w:rPr>
        <w:t>charakterze nadzoru czy kontroli.</w:t>
      </w:r>
    </w:p>
    <w:p w14:paraId="23B668B1" w14:textId="608A200C" w:rsidR="00674C97" w:rsidRPr="00833C88" w:rsidRDefault="467C44D4" w:rsidP="0029004E">
      <w:pPr>
        <w:spacing w:line="360" w:lineRule="auto"/>
        <w:jc w:val="both"/>
        <w:rPr>
          <w:rFonts w:cs="Times New Roman"/>
          <w:color w:val="333333"/>
          <w:sz w:val="27"/>
          <w:szCs w:val="27"/>
          <w:shd w:val="clear" w:color="auto" w:fill="FFFFFF"/>
        </w:rPr>
      </w:pPr>
      <w:r w:rsidRPr="00833C88">
        <w:rPr>
          <w:rFonts w:eastAsia="Times New Roman" w:cs="Times New Roman"/>
          <w:sz w:val="24"/>
          <w:szCs w:val="24"/>
          <w:lang w:eastAsia="pl-PL"/>
        </w:rPr>
        <w:t xml:space="preserve">Doprecyzowano także, że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w:t>
      </w:r>
      <w:r w:rsidR="004402AF" w:rsidRPr="00833C88">
        <w:rPr>
          <w:rFonts w:eastAsia="Times New Roman" w:cs="Times New Roman"/>
          <w:sz w:val="24"/>
          <w:szCs w:val="24"/>
          <w:lang w:eastAsia="pl-PL"/>
        </w:rPr>
        <w:t>nieuregulowanym</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rozdziale stanowiącym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karach stosuje się odpowiednio przepisy działu </w:t>
      </w:r>
      <w:proofErr w:type="spellStart"/>
      <w:r w:rsidRPr="00833C88">
        <w:rPr>
          <w:rFonts w:eastAsia="Times New Roman" w:cs="Times New Roman"/>
          <w:sz w:val="24"/>
          <w:szCs w:val="24"/>
          <w:lang w:eastAsia="pl-PL"/>
        </w:rPr>
        <w:t>IVa</w:t>
      </w:r>
      <w:proofErr w:type="spellEnd"/>
      <w:r w:rsidRPr="00833C88">
        <w:rPr>
          <w:rFonts w:eastAsia="Times New Roman" w:cs="Times New Roman"/>
          <w:sz w:val="24"/>
          <w:szCs w:val="24"/>
          <w:lang w:eastAsia="pl-PL"/>
        </w:rPr>
        <w:t xml:space="preserve"> </w:t>
      </w:r>
      <w:r w:rsidR="000207FE" w:rsidRPr="00833C88">
        <w:rPr>
          <w:rFonts w:eastAsia="Times New Roman" w:cs="Times New Roman"/>
          <w:sz w:val="24"/>
          <w:szCs w:val="24"/>
          <w:lang w:eastAsia="pl-PL"/>
        </w:rPr>
        <w:t>Kpa</w:t>
      </w:r>
      <w:r w:rsidR="01964F0E" w:rsidRPr="00833C88">
        <w:rPr>
          <w:rFonts w:eastAsia="Times New Roman" w:cs="Times New Roman"/>
          <w:sz w:val="24"/>
          <w:szCs w:val="24"/>
          <w:lang w:eastAsia="pl-PL"/>
        </w:rPr>
        <w:t>.</w:t>
      </w:r>
    </w:p>
    <w:p w14:paraId="4AAC483F" w14:textId="7D39375C" w:rsidR="00EA579F" w:rsidRPr="00833C88" w:rsidRDefault="00EA579F" w:rsidP="008E5431">
      <w:pPr>
        <w:pStyle w:val="Nagwek2"/>
        <w:spacing w:before="0" w:after="120" w:line="360" w:lineRule="auto"/>
        <w:jc w:val="both"/>
        <w:rPr>
          <w:rFonts w:cs="Times New Roman"/>
          <w:b/>
          <w:bCs/>
          <w:shd w:val="clear" w:color="auto" w:fill="FFFFFF"/>
        </w:rPr>
      </w:pPr>
      <w:r w:rsidRPr="00833C88">
        <w:rPr>
          <w:rFonts w:cs="Times New Roman"/>
          <w:b/>
          <w:bCs/>
        </w:rPr>
        <w:t xml:space="preserve">Strategia Cyberbezpieczeństwa </w:t>
      </w:r>
      <w:r w:rsidR="00680CC5" w:rsidRPr="00833C88">
        <w:rPr>
          <w:rFonts w:cs="Times New Roman"/>
          <w:b/>
          <w:bCs/>
        </w:rPr>
        <w:t xml:space="preserve">Rzeczpospolitej Polskiej </w:t>
      </w:r>
    </w:p>
    <w:p w14:paraId="4E5C7D4A" w14:textId="781F0308" w:rsidR="00EA579F" w:rsidRPr="00833C88" w:rsidRDefault="00B0266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Wprowadzono 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przepisach dotyczących </w:t>
      </w:r>
      <w:r w:rsidR="00EA579F" w:rsidRPr="00833C88">
        <w:rPr>
          <w:rFonts w:eastAsia="Times New Roman" w:cs="Times New Roman"/>
          <w:sz w:val="24"/>
          <w:szCs w:val="24"/>
          <w:lang w:eastAsia="pl-PL"/>
        </w:rPr>
        <w:t>Strategii Cyberbezpieczeństwa Rzeczpospolitej Polskiej</w:t>
      </w:r>
      <w:r w:rsidR="00FA2800" w:rsidRPr="00833C88">
        <w:rPr>
          <w:rFonts w:eastAsia="Times New Roman" w:cs="Times New Roman"/>
          <w:sz w:val="24"/>
          <w:szCs w:val="24"/>
          <w:lang w:eastAsia="pl-PL"/>
        </w:rPr>
        <w:t>, co bezpośrednio wynika z dyrektywy NIS 2</w:t>
      </w:r>
      <w:r w:rsidRPr="00833C88">
        <w:rPr>
          <w:rFonts w:eastAsia="Times New Roman" w:cs="Times New Roman"/>
          <w:sz w:val="24"/>
          <w:szCs w:val="24"/>
          <w:lang w:eastAsia="pl-PL"/>
        </w:rPr>
        <w:t>. Zakres</w:t>
      </w:r>
      <w:r w:rsidR="00EA579F"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Strategii Cyberbezpieczeństwa Rzeczpospolitej Polskiej </w:t>
      </w:r>
      <w:r w:rsidR="00EA579F" w:rsidRPr="00833C88">
        <w:rPr>
          <w:rFonts w:eastAsia="Times New Roman" w:cs="Times New Roman"/>
          <w:sz w:val="24"/>
          <w:szCs w:val="24"/>
          <w:lang w:eastAsia="pl-PL"/>
        </w:rPr>
        <w:t>został rozszerzon</w:t>
      </w:r>
      <w:r w:rsidRPr="00833C88">
        <w:rPr>
          <w:rFonts w:eastAsia="Times New Roman" w:cs="Times New Roman"/>
          <w:sz w:val="24"/>
          <w:szCs w:val="24"/>
          <w:lang w:eastAsia="pl-PL"/>
        </w:rPr>
        <w:t>y</w:t>
      </w:r>
      <w:r w:rsidR="00EA579F" w:rsidRPr="00833C88">
        <w:rPr>
          <w:rFonts w:eastAsia="Times New Roman" w:cs="Times New Roman"/>
          <w:sz w:val="24"/>
          <w:szCs w:val="24"/>
          <w:lang w:eastAsia="pl-PL"/>
        </w:rPr>
        <w:t xml:space="preserve"> i</w:t>
      </w:r>
      <w:r w:rsidR="000207FE" w:rsidRPr="00833C88">
        <w:rPr>
          <w:rFonts w:eastAsia="Times New Roman" w:cs="Times New Roman"/>
          <w:sz w:val="24"/>
          <w:szCs w:val="24"/>
          <w:lang w:eastAsia="pl-PL"/>
        </w:rPr>
        <w:t> </w:t>
      </w:r>
      <w:r w:rsidR="00EA579F" w:rsidRPr="00833C88">
        <w:rPr>
          <w:rFonts w:eastAsia="Times New Roman" w:cs="Times New Roman"/>
          <w:sz w:val="24"/>
          <w:szCs w:val="24"/>
          <w:lang w:eastAsia="pl-PL"/>
        </w:rPr>
        <w:t>uszczegółowion</w:t>
      </w:r>
      <w:r w:rsidRPr="00833C88">
        <w:rPr>
          <w:rFonts w:eastAsia="Times New Roman" w:cs="Times New Roman"/>
          <w:sz w:val="24"/>
          <w:szCs w:val="24"/>
          <w:lang w:eastAsia="pl-PL"/>
        </w:rPr>
        <w:t>y</w:t>
      </w:r>
      <w:r w:rsidR="000207FE" w:rsidRPr="00833C88">
        <w:rPr>
          <w:rFonts w:eastAsia="Times New Roman" w:cs="Times New Roman"/>
          <w:sz w:val="24"/>
          <w:szCs w:val="24"/>
          <w:lang w:eastAsia="pl-PL"/>
        </w:rPr>
        <w:t>,</w:t>
      </w:r>
      <w:r w:rsidR="00EA579F" w:rsidRPr="00833C88">
        <w:rPr>
          <w:rFonts w:eastAsia="Times New Roman" w:cs="Times New Roman"/>
          <w:sz w:val="24"/>
          <w:szCs w:val="24"/>
          <w:lang w:eastAsia="pl-PL"/>
        </w:rPr>
        <w:t xml:space="preserve"> tak aby obejmował wszystkie kwestie kluczowe dla zapewnienia cyberbezpieczeństwa. Zmiana ta pozwoli zaadresować </w:t>
      </w:r>
      <w:r w:rsidR="00601933" w:rsidRPr="00833C88">
        <w:rPr>
          <w:rFonts w:eastAsia="Times New Roman" w:cs="Times New Roman"/>
          <w:sz w:val="24"/>
          <w:szCs w:val="24"/>
          <w:lang w:eastAsia="pl-PL"/>
        </w:rPr>
        <w:t>w </w:t>
      </w:r>
      <w:r w:rsidR="00EA579F" w:rsidRPr="00833C88">
        <w:rPr>
          <w:rFonts w:eastAsia="Times New Roman" w:cs="Times New Roman"/>
          <w:sz w:val="24"/>
          <w:szCs w:val="24"/>
          <w:lang w:eastAsia="pl-PL"/>
        </w:rPr>
        <w:t>tym dokumencie nowe istotne zagadnienia takie jak bezpieczeństwo łańcucha dostaw. Zmiana ta pozwoli też na</w:t>
      </w:r>
      <w:r w:rsidR="00AD6CCD" w:rsidRPr="00833C88">
        <w:rPr>
          <w:rFonts w:eastAsia="Times New Roman" w:cs="Times New Roman"/>
          <w:sz w:val="24"/>
          <w:szCs w:val="24"/>
          <w:lang w:eastAsia="pl-PL"/>
        </w:rPr>
        <w:t> </w:t>
      </w:r>
      <w:r w:rsidR="00EA579F" w:rsidRPr="00833C88">
        <w:rPr>
          <w:rFonts w:eastAsia="Times New Roman" w:cs="Times New Roman"/>
          <w:sz w:val="24"/>
          <w:szCs w:val="24"/>
          <w:lang w:eastAsia="pl-PL"/>
        </w:rPr>
        <w:t xml:space="preserve">uspójnienie dokumentów </w:t>
      </w:r>
      <w:r w:rsidR="00601933" w:rsidRPr="00833C88">
        <w:rPr>
          <w:rFonts w:eastAsia="Times New Roman" w:cs="Times New Roman"/>
          <w:sz w:val="24"/>
          <w:szCs w:val="24"/>
          <w:lang w:eastAsia="pl-PL"/>
        </w:rPr>
        <w:t>w </w:t>
      </w:r>
      <w:r w:rsidR="00EA579F" w:rsidRPr="00833C88">
        <w:rPr>
          <w:rFonts w:eastAsia="Times New Roman" w:cs="Times New Roman"/>
          <w:sz w:val="24"/>
          <w:szCs w:val="24"/>
          <w:lang w:eastAsia="pl-PL"/>
        </w:rPr>
        <w:t>poszczególnych państwach członkowskich.</w:t>
      </w:r>
    </w:p>
    <w:p w14:paraId="31B2C427" w14:textId="7269EE19" w:rsidR="004A416B" w:rsidRPr="00833C88" w:rsidRDefault="004A416B"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Strategia ma obejmować wszystkie sektory</w:t>
      </w:r>
      <w:r w:rsidR="00452ABC" w:rsidRPr="00833C88">
        <w:rPr>
          <w:rFonts w:eastAsia="Times New Roman" w:cs="Times New Roman"/>
          <w:sz w:val="24"/>
          <w:szCs w:val="24"/>
          <w:lang w:eastAsia="pl-PL"/>
        </w:rPr>
        <w:t>, w których znajdują się podmioty kluczowe i</w:t>
      </w:r>
      <w:r w:rsidR="008E5431" w:rsidRPr="00833C88">
        <w:rPr>
          <w:rFonts w:eastAsia="Times New Roman" w:cs="Times New Roman"/>
          <w:sz w:val="24"/>
          <w:szCs w:val="24"/>
          <w:lang w:eastAsia="pl-PL"/>
        </w:rPr>
        <w:t> </w:t>
      </w:r>
      <w:r w:rsidR="00452ABC" w:rsidRPr="00833C88">
        <w:rPr>
          <w:rFonts w:eastAsia="Times New Roman" w:cs="Times New Roman"/>
          <w:sz w:val="24"/>
          <w:szCs w:val="24"/>
          <w:lang w:eastAsia="pl-PL"/>
        </w:rPr>
        <w:t>podmioty ważne.</w:t>
      </w:r>
    </w:p>
    <w:p w14:paraId="03C76854" w14:textId="77777777" w:rsidR="006C4C10" w:rsidRPr="00833C88" w:rsidRDefault="006C4C10" w:rsidP="006C4C10">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Równocześnie ze Strategią Cyberbezpieczeństwa Rzeczpospolitej Polskiej będzie przygotowany plan działań do Strategii, który będzie stanowił jej załącznik i </w:t>
      </w:r>
      <w:proofErr w:type="spellStart"/>
      <w:r w:rsidRPr="00833C88">
        <w:rPr>
          <w:rFonts w:eastAsia="Times New Roman" w:cs="Times New Roman"/>
          <w:sz w:val="24"/>
          <w:szCs w:val="24"/>
          <w:lang w:eastAsia="pl-PL"/>
        </w:rPr>
        <w:t>operacjonalizował</w:t>
      </w:r>
      <w:proofErr w:type="spellEnd"/>
      <w:r w:rsidRPr="00833C88">
        <w:rPr>
          <w:rFonts w:eastAsia="Times New Roman" w:cs="Times New Roman"/>
          <w:sz w:val="24"/>
          <w:szCs w:val="24"/>
          <w:lang w:eastAsia="pl-PL"/>
        </w:rPr>
        <w:t xml:space="preserve"> jej zapisy, w tym uwzględniał koszty realizacji i źródła finansowania działań.</w:t>
      </w:r>
    </w:p>
    <w:p w14:paraId="340A6F6B" w14:textId="14CC8A8E" w:rsidR="008D23D1" w:rsidRPr="00833C88" w:rsidRDefault="008D23D1" w:rsidP="006C4C10">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Strategię określa się na okres 5 </w:t>
      </w:r>
      <w:proofErr w:type="gramStart"/>
      <w:r w:rsidRPr="00833C88">
        <w:rPr>
          <w:rFonts w:eastAsia="Times New Roman" w:cs="Times New Roman"/>
          <w:sz w:val="24"/>
          <w:szCs w:val="24"/>
          <w:lang w:eastAsia="pl-PL"/>
        </w:rPr>
        <w:t>lat</w:t>
      </w:r>
      <w:proofErr w:type="gramEnd"/>
      <w:r w:rsidRPr="00833C88">
        <w:rPr>
          <w:rFonts w:eastAsia="Times New Roman" w:cs="Times New Roman"/>
          <w:sz w:val="24"/>
          <w:szCs w:val="24"/>
          <w:lang w:eastAsia="pl-PL"/>
        </w:rPr>
        <w:t xml:space="preserve"> ale również zapewnia się </w:t>
      </w:r>
      <w:r w:rsidR="0076693A" w:rsidRPr="00833C88">
        <w:rPr>
          <w:rFonts w:eastAsia="Times New Roman" w:cs="Times New Roman"/>
          <w:sz w:val="24"/>
          <w:szCs w:val="24"/>
          <w:lang w:eastAsia="pl-PL"/>
        </w:rPr>
        <w:t xml:space="preserve">możliwość wprowadzenia w tym okresie zmian w Strategii w wyniku jej przeglądu. Okres 5 lat </w:t>
      </w:r>
      <w:r w:rsidR="004B0A7F" w:rsidRPr="00833C88">
        <w:rPr>
          <w:rFonts w:eastAsia="Times New Roman" w:cs="Times New Roman"/>
          <w:sz w:val="24"/>
          <w:szCs w:val="24"/>
          <w:lang w:eastAsia="pl-PL"/>
        </w:rPr>
        <w:t>jest okresem, gdzie można już przeanalizować skutki długofalowych działań.</w:t>
      </w:r>
    </w:p>
    <w:p w14:paraId="7C3E2EBF" w14:textId="08B0DFF6" w:rsidR="006C4C10" w:rsidRPr="00833C88" w:rsidRDefault="00452BE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Dostosowano przepisy proceduralne dotyczące opracowania projektu Strategii</w:t>
      </w:r>
      <w:r w:rsidR="00F22836" w:rsidRPr="00833C88">
        <w:rPr>
          <w:rFonts w:eastAsia="Times New Roman" w:cs="Times New Roman"/>
          <w:sz w:val="24"/>
          <w:szCs w:val="24"/>
          <w:lang w:eastAsia="pl-PL"/>
        </w:rPr>
        <w:t xml:space="preserve"> – przy jej opracowaniu będzie brała udział Komisja Nadzoru Finansowego jako organ właściwy w</w:t>
      </w:r>
      <w:r w:rsidR="008E5431" w:rsidRPr="00833C88">
        <w:rPr>
          <w:rFonts w:eastAsia="Times New Roman" w:cs="Times New Roman"/>
          <w:sz w:val="24"/>
          <w:szCs w:val="24"/>
          <w:lang w:eastAsia="pl-PL"/>
        </w:rPr>
        <w:t> </w:t>
      </w:r>
      <w:r w:rsidR="00F22836" w:rsidRPr="00833C88">
        <w:rPr>
          <w:rFonts w:eastAsia="Times New Roman" w:cs="Times New Roman"/>
          <w:sz w:val="24"/>
          <w:szCs w:val="24"/>
          <w:lang w:eastAsia="pl-PL"/>
        </w:rPr>
        <w:t xml:space="preserve">rozumieniu </w:t>
      </w:r>
      <w:r w:rsidR="003B391B" w:rsidRPr="00833C88">
        <w:rPr>
          <w:rFonts w:eastAsia="Times New Roman" w:cs="Times New Roman"/>
          <w:sz w:val="24"/>
          <w:szCs w:val="24"/>
          <w:lang w:eastAsia="pl-PL"/>
        </w:rPr>
        <w:t>rozporządzenia 2022/2554.</w:t>
      </w:r>
    </w:p>
    <w:p w14:paraId="4D3F6902" w14:textId="6DCD68E6" w:rsidR="00EA579F" w:rsidRPr="00833C88" w:rsidRDefault="00EA579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Ponadto dodany został przepis pozwalający ministrowi właściwemu do spraw informatyzacji, będącemu organem odpowiedzialnym za realizacje Strategii</w:t>
      </w:r>
      <w:r w:rsidR="00B02660" w:rsidRPr="00833C88">
        <w:rPr>
          <w:rFonts w:eastAsia="Times New Roman" w:cs="Times New Roman"/>
          <w:sz w:val="24"/>
          <w:szCs w:val="24"/>
          <w:lang w:eastAsia="pl-PL"/>
        </w:rPr>
        <w:t xml:space="preserve"> Cyberbezpieczeństwa Rzeczpospolitej Polskiej</w:t>
      </w:r>
      <w:r w:rsidRPr="00833C88">
        <w:rPr>
          <w:rFonts w:eastAsia="Times New Roman" w:cs="Times New Roman"/>
          <w:sz w:val="24"/>
          <w:szCs w:val="24"/>
          <w:lang w:eastAsia="pl-PL"/>
        </w:rPr>
        <w:t xml:space="preserve">, uzyskiwać informacji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realizacji strategii od innych podmiotów zaangażowanych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jej realizację. Pozwoli to ministrowi na uzyskanie bieżących informacji o</w:t>
      </w:r>
      <w:r w:rsidR="00B02660" w:rsidRPr="00833C88">
        <w:rPr>
          <w:rFonts w:eastAsia="Times New Roman" w:cs="Times New Roman"/>
          <w:sz w:val="24"/>
          <w:szCs w:val="24"/>
          <w:lang w:eastAsia="pl-PL"/>
        </w:rPr>
        <w:t> </w:t>
      </w:r>
      <w:r w:rsidRPr="00833C88">
        <w:rPr>
          <w:rFonts w:eastAsia="Times New Roman" w:cs="Times New Roman"/>
          <w:sz w:val="24"/>
          <w:szCs w:val="24"/>
          <w:lang w:eastAsia="pl-PL"/>
        </w:rPr>
        <w:t xml:space="preserve">realizowanych zadaniach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na ewentualne podjęcie dodatkowych działań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danym obszarze. </w:t>
      </w:r>
      <w:r w:rsidR="00024C61" w:rsidRPr="00833C88">
        <w:rPr>
          <w:rFonts w:eastAsia="Times New Roman" w:cs="Times New Roman"/>
          <w:sz w:val="24"/>
          <w:szCs w:val="24"/>
          <w:lang w:eastAsia="pl-PL"/>
        </w:rPr>
        <w:t xml:space="preserve">Wskazano również, że zespoły CSIRT poziomu krajowego, CSIRT </w:t>
      </w:r>
      <w:r w:rsidR="00C520B9" w:rsidRPr="00833C88">
        <w:rPr>
          <w:rFonts w:eastAsia="Times New Roman" w:cs="Times New Roman"/>
          <w:sz w:val="24"/>
          <w:szCs w:val="24"/>
          <w:lang w:eastAsia="pl-PL"/>
        </w:rPr>
        <w:t xml:space="preserve">sektorowe </w:t>
      </w:r>
      <w:r w:rsidR="00601933" w:rsidRPr="00833C88">
        <w:rPr>
          <w:rFonts w:eastAsia="Times New Roman" w:cs="Times New Roman"/>
          <w:sz w:val="24"/>
          <w:szCs w:val="24"/>
          <w:lang w:eastAsia="pl-PL"/>
        </w:rPr>
        <w:t>i </w:t>
      </w:r>
      <w:r w:rsidR="00C520B9" w:rsidRPr="00833C88">
        <w:rPr>
          <w:rFonts w:eastAsia="Times New Roman" w:cs="Times New Roman"/>
          <w:sz w:val="24"/>
          <w:szCs w:val="24"/>
          <w:lang w:eastAsia="pl-PL"/>
        </w:rPr>
        <w:t xml:space="preserve">organy właściwe do spraw cyberbezpieczeństwa będą corocznie informować </w:t>
      </w:r>
      <w:r w:rsidR="00A83CB7" w:rsidRPr="00833C88">
        <w:rPr>
          <w:rFonts w:eastAsia="Times New Roman" w:cs="Times New Roman"/>
          <w:sz w:val="24"/>
          <w:szCs w:val="24"/>
          <w:lang w:eastAsia="pl-PL"/>
        </w:rPr>
        <w:t xml:space="preserve">ministra </w:t>
      </w:r>
      <w:r w:rsidR="00601933" w:rsidRPr="00833C88">
        <w:rPr>
          <w:rFonts w:eastAsia="Times New Roman" w:cs="Times New Roman"/>
          <w:sz w:val="24"/>
          <w:szCs w:val="24"/>
          <w:lang w:eastAsia="pl-PL"/>
        </w:rPr>
        <w:t>o </w:t>
      </w:r>
      <w:r w:rsidR="00A83CB7" w:rsidRPr="00833C88">
        <w:rPr>
          <w:rFonts w:eastAsia="Times New Roman" w:cs="Times New Roman"/>
          <w:sz w:val="24"/>
          <w:szCs w:val="24"/>
          <w:lang w:eastAsia="pl-PL"/>
        </w:rPr>
        <w:t>postępach we</w:t>
      </w:r>
      <w:r w:rsidR="00AD6CCD" w:rsidRPr="00833C88">
        <w:rPr>
          <w:rFonts w:eastAsia="Times New Roman" w:cs="Times New Roman"/>
          <w:sz w:val="24"/>
          <w:szCs w:val="24"/>
          <w:lang w:eastAsia="pl-PL"/>
        </w:rPr>
        <w:t> </w:t>
      </w:r>
      <w:r w:rsidR="00A83CB7" w:rsidRPr="00833C88">
        <w:rPr>
          <w:rFonts w:eastAsia="Times New Roman" w:cs="Times New Roman"/>
          <w:sz w:val="24"/>
          <w:szCs w:val="24"/>
          <w:lang w:eastAsia="pl-PL"/>
        </w:rPr>
        <w:t>wdrażaniu strategii.</w:t>
      </w:r>
    </w:p>
    <w:p w14:paraId="2FF2F5D3" w14:textId="370F213C" w:rsidR="00EA579F" w:rsidRPr="00833C88" w:rsidRDefault="00EA579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Pozwoli to na skuteczniejszą realizację </w:t>
      </w:r>
      <w:r w:rsidR="00A83CB7" w:rsidRPr="00833C88">
        <w:rPr>
          <w:rFonts w:eastAsia="Times New Roman" w:cs="Times New Roman"/>
          <w:sz w:val="24"/>
          <w:szCs w:val="24"/>
          <w:lang w:eastAsia="pl-PL"/>
        </w:rPr>
        <w:t xml:space="preserve">zadań </w:t>
      </w:r>
      <w:r w:rsidR="00601933" w:rsidRPr="00833C88">
        <w:rPr>
          <w:rFonts w:eastAsia="Times New Roman" w:cs="Times New Roman"/>
          <w:sz w:val="24"/>
          <w:szCs w:val="24"/>
          <w:lang w:eastAsia="pl-PL"/>
        </w:rPr>
        <w:t>z </w:t>
      </w:r>
      <w:r w:rsidR="00A83CB7" w:rsidRPr="00833C88">
        <w:rPr>
          <w:rFonts w:eastAsia="Times New Roman" w:cs="Times New Roman"/>
          <w:sz w:val="24"/>
          <w:szCs w:val="24"/>
          <w:lang w:eastAsia="pl-PL"/>
        </w:rPr>
        <w:t xml:space="preserve">zakresu cyberbezpieczeństwa oraz bieżącą ocenę </w:t>
      </w:r>
      <w:r w:rsidR="0043171C" w:rsidRPr="00833C88">
        <w:rPr>
          <w:rFonts w:eastAsia="Times New Roman" w:cs="Times New Roman"/>
          <w:sz w:val="24"/>
          <w:szCs w:val="24"/>
          <w:lang w:eastAsia="pl-PL"/>
        </w:rPr>
        <w:t>stanu realizacji Strategii</w:t>
      </w:r>
      <w:r w:rsidR="00B02660" w:rsidRPr="00833C88">
        <w:rPr>
          <w:rFonts w:eastAsia="Times New Roman" w:cs="Times New Roman"/>
          <w:sz w:val="24"/>
          <w:szCs w:val="24"/>
          <w:lang w:eastAsia="pl-PL"/>
        </w:rPr>
        <w:t xml:space="preserve"> Cyberbezpieczeństwa Rzeczpospolitej Polskiej</w:t>
      </w:r>
      <w:r w:rsidR="0043171C" w:rsidRPr="00833C88">
        <w:rPr>
          <w:rFonts w:eastAsia="Times New Roman" w:cs="Times New Roman"/>
          <w:sz w:val="24"/>
          <w:szCs w:val="24"/>
          <w:lang w:eastAsia="pl-PL"/>
        </w:rPr>
        <w:t>.</w:t>
      </w:r>
    </w:p>
    <w:p w14:paraId="32EDF0B9" w14:textId="11FA98DF" w:rsidR="00D541CE" w:rsidRPr="00833C88" w:rsidRDefault="003C3A0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Wprowadza się obowiązek przeglądu i oceny</w:t>
      </w:r>
      <w:r w:rsidR="001F38C0" w:rsidRPr="00833C88">
        <w:rPr>
          <w:rFonts w:eastAsia="Times New Roman" w:cs="Times New Roman"/>
          <w:sz w:val="24"/>
          <w:szCs w:val="24"/>
          <w:lang w:eastAsia="pl-PL"/>
        </w:rPr>
        <w:t xml:space="preserve"> skuteczności</w:t>
      </w:r>
      <w:r w:rsidRPr="00833C88">
        <w:rPr>
          <w:rFonts w:eastAsia="Times New Roman" w:cs="Times New Roman"/>
          <w:sz w:val="24"/>
          <w:szCs w:val="24"/>
          <w:lang w:eastAsia="pl-PL"/>
        </w:rPr>
        <w:t xml:space="preserve"> strategii nie rzadziej niż co 2 i pół rok</w:t>
      </w:r>
      <w:r w:rsidR="001F38C0" w:rsidRPr="00833C88">
        <w:rPr>
          <w:rFonts w:eastAsia="Times New Roman" w:cs="Times New Roman"/>
          <w:sz w:val="24"/>
          <w:szCs w:val="24"/>
          <w:lang w:eastAsia="pl-PL"/>
        </w:rPr>
        <w:t>u. Proces ten ma prowadzić minister właściwy do spraw informatyzacji we współpracy z</w:t>
      </w:r>
      <w:r w:rsidR="008E5431" w:rsidRPr="00833C88">
        <w:rPr>
          <w:rFonts w:eastAsia="Times New Roman" w:cs="Times New Roman"/>
          <w:sz w:val="24"/>
          <w:szCs w:val="24"/>
          <w:lang w:eastAsia="pl-PL"/>
        </w:rPr>
        <w:t> </w:t>
      </w:r>
      <w:r w:rsidR="001F38C0" w:rsidRPr="00833C88">
        <w:rPr>
          <w:rFonts w:eastAsia="Times New Roman" w:cs="Times New Roman"/>
          <w:sz w:val="24"/>
          <w:szCs w:val="24"/>
          <w:lang w:eastAsia="pl-PL"/>
        </w:rPr>
        <w:t>Pełnomocnikiem, innymi ministrami i właściwymi kierownikami urzędów centralnych</w:t>
      </w:r>
      <w:r w:rsidR="00891C0C" w:rsidRPr="00833C88">
        <w:rPr>
          <w:rFonts w:eastAsia="Times New Roman" w:cs="Times New Roman"/>
          <w:sz w:val="24"/>
          <w:szCs w:val="24"/>
          <w:lang w:eastAsia="pl-PL"/>
        </w:rPr>
        <w:t xml:space="preserve"> w</w:t>
      </w:r>
      <w:r w:rsidR="008E5431" w:rsidRPr="00833C88">
        <w:rPr>
          <w:rFonts w:eastAsia="Times New Roman" w:cs="Times New Roman"/>
          <w:sz w:val="24"/>
          <w:szCs w:val="24"/>
          <w:lang w:eastAsia="pl-PL"/>
        </w:rPr>
        <w:t> </w:t>
      </w:r>
      <w:r w:rsidR="00891C0C" w:rsidRPr="00833C88">
        <w:rPr>
          <w:rFonts w:eastAsia="Times New Roman" w:cs="Times New Roman"/>
          <w:sz w:val="24"/>
          <w:szCs w:val="24"/>
          <w:lang w:eastAsia="pl-PL"/>
        </w:rPr>
        <w:t>przegląd powinny być zaangażowane więc m. in. organy właściwe do spraw cyberbezpieczeństwa</w:t>
      </w:r>
      <w:r w:rsidR="00EF6D3D" w:rsidRPr="00833C88">
        <w:rPr>
          <w:rFonts w:eastAsia="Times New Roman" w:cs="Times New Roman"/>
          <w:sz w:val="24"/>
          <w:szCs w:val="24"/>
          <w:lang w:eastAsia="pl-PL"/>
        </w:rPr>
        <w:t xml:space="preserve">. W wyniku przeglądu i </w:t>
      </w:r>
      <w:r w:rsidR="00546FAB" w:rsidRPr="00833C88">
        <w:rPr>
          <w:rFonts w:eastAsia="Times New Roman" w:cs="Times New Roman"/>
          <w:sz w:val="24"/>
          <w:szCs w:val="24"/>
          <w:lang w:eastAsia="pl-PL"/>
        </w:rPr>
        <w:t xml:space="preserve">oceny Strategii powinien powstać dokument wskazujący kto dokonał przeglądu, kto był zaangażowany w przegląd i ocenę, </w:t>
      </w:r>
      <w:r w:rsidR="008F06E6" w:rsidRPr="00833C88">
        <w:rPr>
          <w:rFonts w:eastAsia="Times New Roman" w:cs="Times New Roman"/>
          <w:sz w:val="24"/>
          <w:szCs w:val="24"/>
          <w:lang w:eastAsia="pl-PL"/>
        </w:rPr>
        <w:t xml:space="preserve">kiedy przegląd i ocena miały miejsce, </w:t>
      </w:r>
      <w:r w:rsidR="00641C7C" w:rsidRPr="00833C88">
        <w:rPr>
          <w:rFonts w:eastAsia="Times New Roman" w:cs="Times New Roman"/>
          <w:sz w:val="24"/>
          <w:szCs w:val="24"/>
          <w:lang w:eastAsia="pl-PL"/>
        </w:rPr>
        <w:t xml:space="preserve">jakie problemy z realizacją strategii napotkano w praktyce, które elementy strategii </w:t>
      </w:r>
      <w:r w:rsidR="00D8082F" w:rsidRPr="00833C88">
        <w:rPr>
          <w:rFonts w:eastAsia="Times New Roman" w:cs="Times New Roman"/>
          <w:sz w:val="24"/>
          <w:szCs w:val="24"/>
          <w:lang w:eastAsia="pl-PL"/>
        </w:rPr>
        <w:t xml:space="preserve">są oceniane jako skuteczne, które są oceniane jako mniej skuteczne oraz </w:t>
      </w:r>
      <w:r w:rsidR="006C4C10" w:rsidRPr="00833C88">
        <w:rPr>
          <w:rFonts w:eastAsia="Times New Roman" w:cs="Times New Roman"/>
          <w:sz w:val="24"/>
          <w:szCs w:val="24"/>
          <w:lang w:eastAsia="pl-PL"/>
        </w:rPr>
        <w:t>podsumowanie zawierające wnioski.</w:t>
      </w:r>
    </w:p>
    <w:p w14:paraId="16CD6D95" w14:textId="7AD0D657" w:rsidR="00EA579F" w:rsidRPr="00833C88" w:rsidRDefault="00EA579F" w:rsidP="00302080">
      <w:pPr>
        <w:pStyle w:val="Nagwek2"/>
        <w:spacing w:before="0" w:after="120" w:line="360" w:lineRule="auto"/>
        <w:jc w:val="both"/>
        <w:rPr>
          <w:rFonts w:cs="Times New Roman"/>
          <w:b/>
          <w:bCs/>
        </w:rPr>
      </w:pPr>
      <w:r w:rsidRPr="00833C88">
        <w:rPr>
          <w:rFonts w:cs="Times New Roman"/>
          <w:b/>
          <w:bCs/>
        </w:rPr>
        <w:lastRenderedPageBreak/>
        <w:t>Krajowy Plan reagowania na incydenty i</w:t>
      </w:r>
      <w:r w:rsidR="008E5431" w:rsidRPr="00833C88">
        <w:rPr>
          <w:rFonts w:cs="Times New Roman"/>
          <w:b/>
          <w:bCs/>
        </w:rPr>
        <w:t xml:space="preserve"> </w:t>
      </w:r>
      <w:r w:rsidRPr="00833C88">
        <w:rPr>
          <w:rFonts w:cs="Times New Roman"/>
          <w:b/>
          <w:bCs/>
        </w:rPr>
        <w:t>sytuacje kryzysowe w cyberbezpieczeństwie na dużą skalę</w:t>
      </w:r>
    </w:p>
    <w:p w14:paraId="61F19D02" w14:textId="39EB77AF" w:rsidR="00EA579F" w:rsidRPr="00833C88" w:rsidRDefault="00EA579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dyrektywą NIS</w:t>
      </w:r>
      <w:r w:rsidR="000305CD"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2 przyjęte zostały przepisy wprowadzające Krajowy </w:t>
      </w:r>
      <w:r w:rsidR="000207FE" w:rsidRPr="00833C88">
        <w:rPr>
          <w:rFonts w:eastAsia="Times New Roman" w:cs="Times New Roman"/>
          <w:sz w:val="24"/>
          <w:szCs w:val="24"/>
          <w:lang w:eastAsia="pl-PL"/>
        </w:rPr>
        <w:t>P</w:t>
      </w:r>
      <w:r w:rsidRPr="00833C88">
        <w:rPr>
          <w:rFonts w:eastAsia="Times New Roman" w:cs="Times New Roman"/>
          <w:sz w:val="24"/>
          <w:szCs w:val="24"/>
          <w:lang w:eastAsia="pl-PL"/>
        </w:rPr>
        <w:t>lan reagowania na incydenty i sytuacje kryzysowe w cyberbezpieczeństwie na dużą skalę</w:t>
      </w:r>
      <w:r w:rsidR="000207FE" w:rsidRPr="00833C88">
        <w:rPr>
          <w:rFonts w:eastAsia="Times New Roman" w:cs="Times New Roman"/>
          <w:sz w:val="24"/>
          <w:szCs w:val="24"/>
          <w:lang w:eastAsia="pl-PL"/>
        </w:rPr>
        <w:t>, zwany</w:t>
      </w:r>
      <w:r w:rsidR="00670822"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dalej </w:t>
      </w:r>
      <w:r w:rsidR="000207FE" w:rsidRPr="00833C88">
        <w:rPr>
          <w:rFonts w:eastAsia="Times New Roman" w:cs="Times New Roman"/>
          <w:sz w:val="24"/>
          <w:szCs w:val="24"/>
          <w:lang w:eastAsia="pl-PL"/>
        </w:rPr>
        <w:t>„</w:t>
      </w:r>
      <w:r w:rsidRPr="00833C88">
        <w:rPr>
          <w:rFonts w:eastAsia="Times New Roman" w:cs="Times New Roman"/>
          <w:sz w:val="24"/>
          <w:szCs w:val="24"/>
          <w:lang w:eastAsia="pl-PL"/>
        </w:rPr>
        <w:t>Krajowy</w:t>
      </w:r>
      <w:r w:rsidR="000207FE" w:rsidRPr="00833C88">
        <w:rPr>
          <w:rFonts w:eastAsia="Times New Roman" w:cs="Times New Roman"/>
          <w:sz w:val="24"/>
          <w:szCs w:val="24"/>
          <w:lang w:eastAsia="pl-PL"/>
        </w:rPr>
        <w:t>m</w:t>
      </w:r>
      <w:r w:rsidRPr="00833C88">
        <w:rPr>
          <w:rFonts w:eastAsia="Times New Roman" w:cs="Times New Roman"/>
          <w:sz w:val="24"/>
          <w:szCs w:val="24"/>
          <w:lang w:eastAsia="pl-PL"/>
        </w:rPr>
        <w:t xml:space="preserve"> Plan</w:t>
      </w:r>
      <w:r w:rsidR="000207FE" w:rsidRPr="00833C88">
        <w:rPr>
          <w:rFonts w:eastAsia="Times New Roman" w:cs="Times New Roman"/>
          <w:sz w:val="24"/>
          <w:szCs w:val="24"/>
          <w:lang w:eastAsia="pl-PL"/>
        </w:rPr>
        <w:t>em”</w:t>
      </w:r>
      <w:r w:rsidRPr="00833C88">
        <w:rPr>
          <w:rFonts w:eastAsia="Times New Roman" w:cs="Times New Roman"/>
          <w:sz w:val="24"/>
          <w:szCs w:val="24"/>
          <w:lang w:eastAsia="pl-PL"/>
        </w:rPr>
        <w:t xml:space="preserve">. Będzie to dokument strategiczny określający rolę organów, środki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procedury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przypadku wystąpienia sytuacji kryzysowej związanej z</w:t>
      </w:r>
      <w:r w:rsidR="000207FE" w:rsidRPr="00833C88">
        <w:rPr>
          <w:rFonts w:eastAsia="Times New Roman" w:cs="Times New Roman"/>
          <w:sz w:val="24"/>
          <w:szCs w:val="24"/>
          <w:lang w:eastAsia="pl-PL"/>
        </w:rPr>
        <w:t> </w:t>
      </w:r>
      <w:r w:rsidRPr="00833C88">
        <w:rPr>
          <w:rFonts w:eastAsia="Times New Roman" w:cs="Times New Roman"/>
          <w:sz w:val="24"/>
          <w:szCs w:val="24"/>
          <w:lang w:eastAsia="pl-PL"/>
        </w:rPr>
        <w:t xml:space="preserve">cyberbezpieczeństwem. Dokument ten ma posłużyć koordynacji działań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zapewniania cyberbezpieczeństwa i</w:t>
      </w:r>
      <w:r w:rsidR="009524DD" w:rsidRPr="00833C88">
        <w:rPr>
          <w:rFonts w:eastAsia="Times New Roman" w:cs="Times New Roman"/>
          <w:sz w:val="24"/>
          <w:szCs w:val="24"/>
          <w:lang w:eastAsia="pl-PL"/>
        </w:rPr>
        <w:t> </w:t>
      </w:r>
      <w:r w:rsidRPr="00833C88">
        <w:rPr>
          <w:rFonts w:eastAsia="Times New Roman" w:cs="Times New Roman"/>
          <w:sz w:val="24"/>
          <w:szCs w:val="24"/>
          <w:lang w:eastAsia="pl-PL"/>
        </w:rPr>
        <w:t xml:space="preserve">zarządzania kryzysowego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celu maksymalizacji ich efektywności. </w:t>
      </w:r>
    </w:p>
    <w:p w14:paraId="1C6B4EAB" w14:textId="65D22583" w:rsidR="00EA579F" w:rsidRPr="00833C88" w:rsidRDefault="00EA579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Dokument ten będzie przyjmowany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drodze uchwały Rady Ministrów</w:t>
      </w:r>
      <w:r w:rsidR="002E1769" w:rsidRPr="00833C88">
        <w:rPr>
          <w:rFonts w:eastAsia="Times New Roman" w:cs="Times New Roman"/>
          <w:sz w:val="24"/>
          <w:szCs w:val="24"/>
          <w:lang w:eastAsia="pl-PL"/>
        </w:rPr>
        <w: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przygotowywany przez ministra właściwego do spraw informatyzacji. Dużą rolę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jego przygotowaniu będzie odgrywać również Rządowe Centrum Bezpieczeństwa gwarantując jego spójność z</w:t>
      </w:r>
      <w:r w:rsidR="000207FE" w:rsidRPr="00833C88">
        <w:rPr>
          <w:rFonts w:eastAsia="Times New Roman" w:cs="Times New Roman"/>
          <w:sz w:val="24"/>
          <w:szCs w:val="24"/>
          <w:lang w:eastAsia="pl-PL"/>
        </w:rPr>
        <w:t> </w:t>
      </w:r>
      <w:r w:rsidRPr="00833C88">
        <w:rPr>
          <w:rFonts w:eastAsia="Times New Roman" w:cs="Times New Roman"/>
          <w:sz w:val="24"/>
          <w:szCs w:val="24"/>
          <w:lang w:eastAsia="pl-PL"/>
        </w:rPr>
        <w:t xml:space="preserve">dokumentami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zarządzania kryzysowego.</w:t>
      </w:r>
    </w:p>
    <w:p w14:paraId="745E89C5" w14:textId="59A7DE30" w:rsidR="00427560" w:rsidRPr="00833C88" w:rsidRDefault="00EA579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Podobnie jak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przypadku Strategii Cyberbezpieczeństwa </w:t>
      </w:r>
      <w:r w:rsidR="000207FE" w:rsidRPr="00833C88">
        <w:rPr>
          <w:rFonts w:eastAsia="Times New Roman" w:cs="Times New Roman"/>
          <w:sz w:val="24"/>
          <w:szCs w:val="24"/>
          <w:lang w:eastAsia="pl-PL"/>
        </w:rPr>
        <w:t>Rzeczpospolitej Polskiej</w:t>
      </w:r>
      <w:r w:rsidR="002E1769" w:rsidRPr="00833C88">
        <w:rPr>
          <w:rFonts w:eastAsia="Times New Roman" w:cs="Times New Roman"/>
          <w:sz w:val="24"/>
          <w:szCs w:val="24"/>
          <w:lang w:eastAsia="pl-PL"/>
        </w:rPr>
        <w:t>,</w:t>
      </w:r>
      <w:r w:rsidR="000207FE"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minister będzie mógł zwracać się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informacje dotyczące realizacji </w:t>
      </w:r>
      <w:r w:rsidR="00F2445F" w:rsidRPr="00833C88">
        <w:rPr>
          <w:rFonts w:eastAsia="Times New Roman" w:cs="Times New Roman"/>
          <w:sz w:val="24"/>
          <w:szCs w:val="24"/>
          <w:lang w:eastAsia="pl-PL"/>
        </w:rPr>
        <w:t>Krajowego P</w:t>
      </w:r>
      <w:r w:rsidRPr="00833C88">
        <w:rPr>
          <w:rFonts w:eastAsia="Times New Roman" w:cs="Times New Roman"/>
          <w:sz w:val="24"/>
          <w:szCs w:val="24"/>
          <w:lang w:eastAsia="pl-PL"/>
        </w:rPr>
        <w:t>lanu do organów w</w:t>
      </w:r>
      <w:r w:rsidR="00F2445F" w:rsidRPr="00833C88">
        <w:rPr>
          <w:rFonts w:eastAsia="Times New Roman" w:cs="Times New Roman"/>
          <w:sz w:val="24"/>
          <w:szCs w:val="24"/>
          <w:lang w:eastAsia="pl-PL"/>
        </w:rPr>
        <w:t> </w:t>
      </w:r>
      <w:r w:rsidRPr="00833C88">
        <w:rPr>
          <w:rFonts w:eastAsia="Times New Roman" w:cs="Times New Roman"/>
          <w:sz w:val="24"/>
          <w:szCs w:val="24"/>
          <w:lang w:eastAsia="pl-PL"/>
        </w:rPr>
        <w:t xml:space="preserve">nim wskazanych. Pozwoli mu to na bieżąco monitorować postępy we wdrażaniu </w:t>
      </w:r>
      <w:r w:rsidR="00F2445F" w:rsidRPr="00833C88">
        <w:rPr>
          <w:rFonts w:eastAsia="Times New Roman" w:cs="Times New Roman"/>
          <w:sz w:val="24"/>
          <w:szCs w:val="24"/>
          <w:lang w:eastAsia="pl-PL"/>
        </w:rPr>
        <w:t>Krajowego P</w:t>
      </w:r>
      <w:r w:rsidRPr="00833C88">
        <w:rPr>
          <w:rFonts w:eastAsia="Times New Roman" w:cs="Times New Roman"/>
          <w:sz w:val="24"/>
          <w:szCs w:val="24"/>
          <w:lang w:eastAsia="pl-PL"/>
        </w:rPr>
        <w:t>lanu i</w:t>
      </w:r>
      <w:r w:rsidR="000207FE" w:rsidRPr="00833C88">
        <w:rPr>
          <w:rFonts w:eastAsia="Times New Roman" w:cs="Times New Roman"/>
          <w:sz w:val="24"/>
          <w:szCs w:val="24"/>
          <w:lang w:eastAsia="pl-PL"/>
        </w:rPr>
        <w:t> </w:t>
      </w:r>
      <w:r w:rsidRPr="00833C88">
        <w:rPr>
          <w:rFonts w:eastAsia="Times New Roman" w:cs="Times New Roman"/>
          <w:sz w:val="24"/>
          <w:szCs w:val="24"/>
          <w:lang w:eastAsia="pl-PL"/>
        </w:rPr>
        <w:t xml:space="preserve">podejmować działania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razie wystąpienia nieprawidłowości.</w:t>
      </w:r>
    </w:p>
    <w:p w14:paraId="7253F8D5" w14:textId="1803C369" w:rsidR="00D82389" w:rsidRPr="00833C88" w:rsidRDefault="00D82389" w:rsidP="00302080">
      <w:pPr>
        <w:pStyle w:val="Nagwek2"/>
        <w:spacing w:before="0" w:after="120" w:line="360" w:lineRule="auto"/>
        <w:rPr>
          <w:rFonts w:cs="Times New Roman"/>
          <w:b/>
          <w:bCs/>
          <w:shd w:val="clear" w:color="auto" w:fill="FFFFFF"/>
        </w:rPr>
      </w:pPr>
      <w:r w:rsidRPr="00833C88">
        <w:rPr>
          <w:rFonts w:cs="Times New Roman"/>
          <w:b/>
          <w:bCs/>
          <w:shd w:val="clear" w:color="auto" w:fill="FFFFFF"/>
        </w:rPr>
        <w:t xml:space="preserve">Zmiany </w:t>
      </w:r>
      <w:r w:rsidR="00601933" w:rsidRPr="00833C88">
        <w:rPr>
          <w:rFonts w:cs="Times New Roman"/>
          <w:b/>
          <w:bCs/>
          <w:shd w:val="clear" w:color="auto" w:fill="FFFFFF"/>
        </w:rPr>
        <w:t>w </w:t>
      </w:r>
      <w:r w:rsidR="001C2992" w:rsidRPr="00833C88">
        <w:rPr>
          <w:rFonts w:cs="Times New Roman"/>
          <w:b/>
          <w:bCs/>
          <w:shd w:val="clear" w:color="auto" w:fill="FFFFFF"/>
        </w:rPr>
        <w:t>podstawowych</w:t>
      </w:r>
      <w:r w:rsidRPr="00833C88">
        <w:rPr>
          <w:rFonts w:cs="Times New Roman"/>
          <w:b/>
          <w:bCs/>
          <w:shd w:val="clear" w:color="auto" w:fill="FFFFFF"/>
        </w:rPr>
        <w:t xml:space="preserve"> ustawach</w:t>
      </w:r>
    </w:p>
    <w:p w14:paraId="2849D47E" w14:textId="4067FB0E" w:rsidR="00BA2F1A" w:rsidRPr="00833C88" w:rsidRDefault="0A15E8A1"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Wprowadzone 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podmiotów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funkcjonowania krajowego systemu cyberbezpieczeństwa wymaga</w:t>
      </w:r>
      <w:r w:rsidR="16782DC2" w:rsidRPr="00833C88">
        <w:rPr>
          <w:rFonts w:eastAsia="Times New Roman" w:cs="Times New Roman"/>
          <w:sz w:val="24"/>
          <w:szCs w:val="24"/>
          <w:lang w:eastAsia="pl-PL"/>
        </w:rPr>
        <w:t>ją również wprowadzenia zmian</w:t>
      </w:r>
      <w:r w:rsidR="4C81E54B"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4C81E54B" w:rsidRPr="00833C88">
        <w:rPr>
          <w:rFonts w:eastAsia="Times New Roman" w:cs="Times New Roman"/>
          <w:sz w:val="24"/>
          <w:szCs w:val="24"/>
          <w:lang w:eastAsia="pl-PL"/>
        </w:rPr>
        <w:t xml:space="preserve">szeregu innych ustaw. </w:t>
      </w:r>
      <w:r w:rsidR="100FBF85" w:rsidRPr="00833C88">
        <w:rPr>
          <w:rFonts w:eastAsia="Times New Roman" w:cs="Times New Roman"/>
          <w:sz w:val="24"/>
          <w:szCs w:val="24"/>
          <w:lang w:eastAsia="pl-PL"/>
        </w:rPr>
        <w:t xml:space="preserve">W szczególności nowelizacji wymagają poniższe ustawy. </w:t>
      </w:r>
    </w:p>
    <w:p w14:paraId="08E9B9CF" w14:textId="14E1F97C" w:rsidR="00465B35" w:rsidRPr="00833C88" w:rsidRDefault="00822A35" w:rsidP="008E5431">
      <w:pPr>
        <w:pStyle w:val="Nagwek3"/>
        <w:spacing w:line="360" w:lineRule="auto"/>
        <w:jc w:val="both"/>
        <w:rPr>
          <w:rFonts w:cs="Times New Roman"/>
          <w:lang w:eastAsia="pl-PL"/>
        </w:rPr>
      </w:pPr>
      <w:r w:rsidRPr="00833C88">
        <w:rPr>
          <w:rFonts w:cs="Times New Roman"/>
          <w:lang w:eastAsia="pl-PL"/>
        </w:rPr>
        <w:t>Zmiany w ustawie z dnia 8 marca 1990 r. o samorządzie gminnym</w:t>
      </w:r>
      <w:r w:rsidR="00AF3B3B" w:rsidRPr="00833C88">
        <w:rPr>
          <w:rFonts w:cs="Times New Roman"/>
          <w:lang w:eastAsia="pl-PL"/>
        </w:rPr>
        <w:t>, ustawie z</w:t>
      </w:r>
      <w:r w:rsidR="008E5431" w:rsidRPr="00833C88">
        <w:rPr>
          <w:rFonts w:cs="Times New Roman"/>
          <w:lang w:eastAsia="pl-PL"/>
        </w:rPr>
        <w:t> </w:t>
      </w:r>
      <w:r w:rsidR="00AF3B3B" w:rsidRPr="00833C88">
        <w:rPr>
          <w:rFonts w:cs="Times New Roman"/>
          <w:lang w:eastAsia="pl-PL"/>
        </w:rPr>
        <w:t>dnia 5 czerwca 1998 r. o samorządzie powiatowym</w:t>
      </w:r>
      <w:r w:rsidR="0043425B" w:rsidRPr="00833C88">
        <w:rPr>
          <w:rFonts w:cs="Times New Roman"/>
          <w:lang w:eastAsia="pl-PL"/>
        </w:rPr>
        <w:t xml:space="preserve"> oraz w ustawie z dnia 5 czerwca 1998 r. o samorządzie województwa</w:t>
      </w:r>
    </w:p>
    <w:p w14:paraId="6FD61D44" w14:textId="44E47718" w:rsidR="38BD0057" w:rsidRPr="00833C88" w:rsidRDefault="38BD0057" w:rsidP="00FC20BB">
      <w:pPr>
        <w:spacing w:line="360" w:lineRule="auto"/>
        <w:ind w:firstLine="426"/>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ustawach dotyczących ustroju samorządu terytorialnego mają na celu umożliwienie wspólnej obsługi podmiotów publicznych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cyberbezpieczeństwa przez spółki komunalne oraz </w:t>
      </w:r>
      <w:r w:rsidR="410C6441" w:rsidRPr="00833C88">
        <w:rPr>
          <w:rFonts w:eastAsia="Times New Roman" w:cs="Times New Roman"/>
          <w:sz w:val="24"/>
          <w:szCs w:val="24"/>
          <w:lang w:eastAsia="pl-PL"/>
        </w:rPr>
        <w:t>żeby spółki komunalne mogły być obsługiwane przez centra usług wspólnych.</w:t>
      </w:r>
    </w:p>
    <w:p w14:paraId="607FC59D" w14:textId="61BD4159" w:rsidR="00323A16" w:rsidRPr="00833C88" w:rsidRDefault="00323A16" w:rsidP="008E5431">
      <w:pPr>
        <w:pStyle w:val="Nagwek3"/>
        <w:spacing w:line="360" w:lineRule="auto"/>
        <w:jc w:val="both"/>
        <w:rPr>
          <w:rFonts w:cs="Times New Roman"/>
          <w:lang w:eastAsia="pl-PL"/>
        </w:rPr>
      </w:pPr>
      <w:r w:rsidRPr="00833C88">
        <w:rPr>
          <w:rFonts w:cs="Times New Roman"/>
          <w:lang w:eastAsia="pl-PL"/>
        </w:rPr>
        <w:lastRenderedPageBreak/>
        <w:t>Zmiany w ustawie z dnia 21 marca 1991 r. o obszarach morskich Rzeczypospolitej Polskiej i administracji morskiej</w:t>
      </w:r>
    </w:p>
    <w:p w14:paraId="12177B64" w14:textId="6A2C3D90" w:rsidR="00332425" w:rsidRPr="00833C88" w:rsidRDefault="00332425" w:rsidP="00FC20BB">
      <w:pPr>
        <w:spacing w:line="360" w:lineRule="auto"/>
        <w:jc w:val="both"/>
        <w:rPr>
          <w:rFonts w:cs="Times New Roman"/>
          <w:sz w:val="24"/>
          <w:szCs w:val="24"/>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Pr="00833C88">
        <w:rPr>
          <w:rFonts w:cs="Times New Roman"/>
          <w:sz w:val="24"/>
          <w:szCs w:val="24"/>
        </w:rPr>
        <w:t xml:space="preserve">ustawie </w:t>
      </w:r>
      <w:r w:rsidR="00601933" w:rsidRPr="00833C88">
        <w:rPr>
          <w:rFonts w:cs="Times New Roman"/>
          <w:sz w:val="24"/>
          <w:szCs w:val="24"/>
        </w:rPr>
        <w:t>z </w:t>
      </w:r>
      <w:r w:rsidRPr="00833C88">
        <w:rPr>
          <w:rFonts w:cs="Times New Roman"/>
          <w:sz w:val="24"/>
          <w:szCs w:val="24"/>
        </w:rPr>
        <w:t xml:space="preserve">dnia 21 marca 1991 r. </w:t>
      </w:r>
      <w:r w:rsidR="00601933" w:rsidRPr="00833C88">
        <w:rPr>
          <w:rFonts w:cs="Times New Roman"/>
          <w:sz w:val="24"/>
          <w:szCs w:val="24"/>
        </w:rPr>
        <w:t>o </w:t>
      </w:r>
      <w:r w:rsidRPr="00833C88">
        <w:rPr>
          <w:rFonts w:cs="Times New Roman"/>
          <w:sz w:val="24"/>
          <w:szCs w:val="24"/>
        </w:rPr>
        <w:t>obszarach morskich Rzeczypospolitej Polskiej i</w:t>
      </w:r>
      <w:r w:rsidR="00F2445F" w:rsidRPr="00833C88">
        <w:rPr>
          <w:rFonts w:cs="Times New Roman"/>
          <w:sz w:val="24"/>
          <w:szCs w:val="24"/>
        </w:rPr>
        <w:t> </w:t>
      </w:r>
      <w:r w:rsidRPr="00833C88">
        <w:rPr>
          <w:rFonts w:cs="Times New Roman"/>
          <w:sz w:val="24"/>
          <w:szCs w:val="24"/>
        </w:rPr>
        <w:t xml:space="preserve">administracji morskiej </w:t>
      </w:r>
      <w:r w:rsidR="00F2445F" w:rsidRPr="00833C88">
        <w:rPr>
          <w:rFonts w:cs="Times New Roman"/>
          <w:sz w:val="24"/>
          <w:szCs w:val="24"/>
        </w:rPr>
        <w:t xml:space="preserve">(Dz. U. </w:t>
      </w:r>
      <w:r w:rsidR="00601933" w:rsidRPr="00833C88">
        <w:rPr>
          <w:rFonts w:cs="Times New Roman"/>
          <w:sz w:val="24"/>
          <w:szCs w:val="24"/>
        </w:rPr>
        <w:t>z </w:t>
      </w:r>
      <w:r w:rsidR="00F2445F" w:rsidRPr="00833C88">
        <w:rPr>
          <w:rFonts w:cs="Times New Roman"/>
          <w:sz w:val="24"/>
          <w:szCs w:val="24"/>
        </w:rPr>
        <w:t>202</w:t>
      </w:r>
      <w:r w:rsidR="000B3106" w:rsidRPr="00833C88">
        <w:rPr>
          <w:rFonts w:cs="Times New Roman"/>
          <w:sz w:val="24"/>
          <w:szCs w:val="24"/>
        </w:rPr>
        <w:t>4</w:t>
      </w:r>
      <w:r w:rsidR="00F2445F" w:rsidRPr="00833C88">
        <w:rPr>
          <w:rFonts w:cs="Times New Roman"/>
          <w:sz w:val="24"/>
          <w:szCs w:val="24"/>
        </w:rPr>
        <w:t xml:space="preserve"> r. poz. </w:t>
      </w:r>
      <w:r w:rsidR="000B3106" w:rsidRPr="00833C88">
        <w:rPr>
          <w:rFonts w:cs="Times New Roman"/>
          <w:sz w:val="24"/>
          <w:szCs w:val="24"/>
        </w:rPr>
        <w:t>1125</w:t>
      </w:r>
      <w:r w:rsidR="00302080" w:rsidRPr="00833C88">
        <w:rPr>
          <w:rFonts w:cs="Times New Roman"/>
          <w:sz w:val="24"/>
          <w:szCs w:val="24"/>
        </w:rPr>
        <w:t xml:space="preserve"> oraz z 2025 r. poz. 409</w:t>
      </w:r>
      <w:r w:rsidR="00F2445F" w:rsidRPr="00833C88">
        <w:rPr>
          <w:rFonts w:cs="Times New Roman"/>
          <w:sz w:val="24"/>
          <w:szCs w:val="24"/>
        </w:rPr>
        <w:t>)</w:t>
      </w:r>
      <w:r w:rsidR="00F2445F" w:rsidRPr="00833C88">
        <w:rPr>
          <w:rFonts w:cs="Times New Roman"/>
        </w:rPr>
        <w:t xml:space="preserve"> </w:t>
      </w:r>
      <w:r w:rsidRPr="00833C88">
        <w:rPr>
          <w:rFonts w:cs="Times New Roman"/>
          <w:sz w:val="24"/>
          <w:szCs w:val="24"/>
        </w:rPr>
        <w:t xml:space="preserve">dotyczą wprowadzenia tam pojęcia usługi przetwarzania </w:t>
      </w:r>
      <w:r w:rsidR="00601933" w:rsidRPr="00833C88">
        <w:rPr>
          <w:rFonts w:cs="Times New Roman"/>
          <w:sz w:val="24"/>
          <w:szCs w:val="24"/>
        </w:rPr>
        <w:t>w </w:t>
      </w:r>
      <w:r w:rsidRPr="00833C88">
        <w:rPr>
          <w:rFonts w:cs="Times New Roman"/>
          <w:sz w:val="24"/>
          <w:szCs w:val="24"/>
        </w:rPr>
        <w:t xml:space="preserve">chmurze, ponieważ obecna treść tej ustawy odwołuje się do </w:t>
      </w:r>
      <w:r w:rsidR="00BA5326" w:rsidRPr="00833C88">
        <w:rPr>
          <w:rFonts w:cs="Times New Roman"/>
          <w:sz w:val="24"/>
          <w:szCs w:val="24"/>
        </w:rPr>
        <w:t xml:space="preserve">obecnego załącznika nr 2 ustawy </w:t>
      </w:r>
      <w:r w:rsidR="00601933" w:rsidRPr="00833C88">
        <w:rPr>
          <w:rFonts w:cs="Times New Roman"/>
          <w:sz w:val="24"/>
          <w:szCs w:val="24"/>
        </w:rPr>
        <w:t>o </w:t>
      </w:r>
      <w:r w:rsidR="00BA5326" w:rsidRPr="00833C88">
        <w:rPr>
          <w:rFonts w:cs="Times New Roman"/>
          <w:sz w:val="24"/>
          <w:szCs w:val="24"/>
        </w:rPr>
        <w:t>KSC – a</w:t>
      </w:r>
      <w:r w:rsidR="00F2445F" w:rsidRPr="00833C88">
        <w:rPr>
          <w:rFonts w:cs="Times New Roman"/>
          <w:sz w:val="24"/>
          <w:szCs w:val="24"/>
        </w:rPr>
        <w:t> </w:t>
      </w:r>
      <w:r w:rsidR="00BA5326" w:rsidRPr="00833C88">
        <w:rPr>
          <w:rFonts w:cs="Times New Roman"/>
          <w:sz w:val="24"/>
          <w:szCs w:val="24"/>
        </w:rPr>
        <w:t xml:space="preserve">ten </w:t>
      </w:r>
      <w:r w:rsidR="00F2445F" w:rsidRPr="00833C88">
        <w:rPr>
          <w:rFonts w:cs="Times New Roman"/>
          <w:sz w:val="24"/>
          <w:szCs w:val="24"/>
        </w:rPr>
        <w:t xml:space="preserve">przepis </w:t>
      </w:r>
      <w:r w:rsidR="00BA5326" w:rsidRPr="00833C88">
        <w:rPr>
          <w:rFonts w:cs="Times New Roman"/>
          <w:sz w:val="24"/>
          <w:szCs w:val="24"/>
        </w:rPr>
        <w:t>jest zmieniany.</w:t>
      </w:r>
    </w:p>
    <w:p w14:paraId="6EE62D86" w14:textId="6E7BDB11" w:rsidR="00323A16" w:rsidRPr="00833C88" w:rsidRDefault="00323A16" w:rsidP="008E5431">
      <w:pPr>
        <w:pStyle w:val="Nagwek3"/>
        <w:spacing w:line="360" w:lineRule="auto"/>
        <w:jc w:val="both"/>
        <w:rPr>
          <w:rFonts w:cs="Times New Roman"/>
        </w:rPr>
      </w:pPr>
      <w:r w:rsidRPr="00833C88">
        <w:rPr>
          <w:rFonts w:cs="Times New Roman"/>
        </w:rPr>
        <w:t>Zmiany w ustawie z dnia 24 sierpnia 1991 r. o Państwowej Straży Pożarnej</w:t>
      </w:r>
    </w:p>
    <w:p w14:paraId="430645EE" w14:textId="5F3EBDB0" w:rsidR="00663A12" w:rsidRPr="00833C88" w:rsidRDefault="00663A12" w:rsidP="00FC20BB">
      <w:pPr>
        <w:spacing w:line="360" w:lineRule="auto"/>
        <w:jc w:val="both"/>
        <w:rPr>
          <w:rFonts w:cs="Times New Roman"/>
          <w:sz w:val="24"/>
          <w:szCs w:val="24"/>
        </w:rPr>
      </w:pPr>
      <w:r w:rsidRPr="00833C88">
        <w:rPr>
          <w:rFonts w:cs="Times New Roman"/>
          <w:sz w:val="24"/>
          <w:szCs w:val="24"/>
        </w:rPr>
        <w:t xml:space="preserve">Zmiany </w:t>
      </w:r>
      <w:r w:rsidR="00601933" w:rsidRPr="00833C88">
        <w:rPr>
          <w:rFonts w:cs="Times New Roman"/>
          <w:sz w:val="24"/>
          <w:szCs w:val="24"/>
        </w:rPr>
        <w:t>w </w:t>
      </w:r>
      <w:r w:rsidR="001E234D" w:rsidRPr="00833C88">
        <w:rPr>
          <w:rFonts w:cs="Times New Roman"/>
          <w:sz w:val="24"/>
          <w:szCs w:val="24"/>
        </w:rPr>
        <w:t xml:space="preserve">ustawie </w:t>
      </w:r>
      <w:r w:rsidR="00601933" w:rsidRPr="00833C88">
        <w:rPr>
          <w:rFonts w:cs="Times New Roman"/>
          <w:sz w:val="24"/>
          <w:szCs w:val="24"/>
        </w:rPr>
        <w:t>z </w:t>
      </w:r>
      <w:r w:rsidR="001E234D" w:rsidRPr="00833C88">
        <w:rPr>
          <w:rFonts w:cs="Times New Roman"/>
          <w:sz w:val="24"/>
          <w:szCs w:val="24"/>
        </w:rPr>
        <w:t xml:space="preserve">dnia 24 sierpnia 1991 r. </w:t>
      </w:r>
      <w:r w:rsidR="00601933" w:rsidRPr="00833C88">
        <w:rPr>
          <w:rFonts w:cs="Times New Roman"/>
          <w:sz w:val="24"/>
          <w:szCs w:val="24"/>
        </w:rPr>
        <w:t>o </w:t>
      </w:r>
      <w:r w:rsidR="001E234D" w:rsidRPr="00833C88">
        <w:rPr>
          <w:rFonts w:cs="Times New Roman"/>
          <w:sz w:val="24"/>
          <w:szCs w:val="24"/>
        </w:rPr>
        <w:t xml:space="preserve">Państwowej Straży Pożarnej </w:t>
      </w:r>
      <w:r w:rsidR="00946286" w:rsidRPr="00833C88">
        <w:rPr>
          <w:rFonts w:cs="Times New Roman"/>
          <w:sz w:val="24"/>
          <w:szCs w:val="24"/>
        </w:rPr>
        <w:t xml:space="preserve">(Dz. U. </w:t>
      </w:r>
      <w:r w:rsidR="00601933" w:rsidRPr="00833C88">
        <w:rPr>
          <w:rFonts w:cs="Times New Roman"/>
          <w:sz w:val="24"/>
          <w:szCs w:val="24"/>
        </w:rPr>
        <w:t>z </w:t>
      </w:r>
      <w:r w:rsidR="008819C4" w:rsidRPr="00833C88">
        <w:rPr>
          <w:rFonts w:cs="Times New Roman"/>
          <w:sz w:val="24"/>
          <w:szCs w:val="24"/>
        </w:rPr>
        <w:t xml:space="preserve">2024 r. poz. 1443, </w:t>
      </w:r>
      <w:r w:rsidR="007B3511" w:rsidRPr="00833C88">
        <w:rPr>
          <w:rFonts w:cs="Times New Roman"/>
          <w:sz w:val="24"/>
          <w:szCs w:val="24"/>
        </w:rPr>
        <w:t>z późn. zm.</w:t>
      </w:r>
      <w:r w:rsidR="008819C4" w:rsidRPr="00833C88">
        <w:rPr>
          <w:rFonts w:cs="Times New Roman"/>
          <w:sz w:val="24"/>
          <w:szCs w:val="24"/>
        </w:rPr>
        <w:t xml:space="preserve">) </w:t>
      </w:r>
      <w:r w:rsidR="001E234D" w:rsidRPr="00833C88">
        <w:rPr>
          <w:rFonts w:cs="Times New Roman"/>
          <w:sz w:val="24"/>
          <w:szCs w:val="24"/>
        </w:rPr>
        <w:t xml:space="preserve">umożliwiają przyznanie strażakom wykonującym zadania </w:t>
      </w:r>
      <w:r w:rsidR="00601933" w:rsidRPr="00833C88">
        <w:rPr>
          <w:rFonts w:cs="Times New Roman"/>
          <w:sz w:val="24"/>
          <w:szCs w:val="24"/>
        </w:rPr>
        <w:t>z </w:t>
      </w:r>
      <w:r w:rsidR="001E234D" w:rsidRPr="00833C88">
        <w:rPr>
          <w:rFonts w:cs="Times New Roman"/>
          <w:sz w:val="24"/>
          <w:szCs w:val="24"/>
        </w:rPr>
        <w:t xml:space="preserve">zakresu cyberbezpieczeństwa </w:t>
      </w:r>
      <w:r w:rsidR="0059374A" w:rsidRPr="00833C88">
        <w:rPr>
          <w:rFonts w:cs="Times New Roman"/>
          <w:sz w:val="24"/>
          <w:szCs w:val="24"/>
        </w:rPr>
        <w:t>świadczeni</w:t>
      </w:r>
      <w:r w:rsidR="008819C4" w:rsidRPr="00833C88">
        <w:rPr>
          <w:rFonts w:cs="Times New Roman"/>
          <w:sz w:val="24"/>
          <w:szCs w:val="24"/>
        </w:rPr>
        <w:t>a</w:t>
      </w:r>
      <w:r w:rsidR="0059374A" w:rsidRPr="00833C88">
        <w:rPr>
          <w:rFonts w:cs="Times New Roman"/>
          <w:sz w:val="24"/>
          <w:szCs w:val="24"/>
        </w:rPr>
        <w:t xml:space="preserve"> teleinformatyczne</w:t>
      </w:r>
      <w:r w:rsidR="008819C4" w:rsidRPr="00833C88">
        <w:rPr>
          <w:rFonts w:cs="Times New Roman"/>
          <w:sz w:val="24"/>
          <w:szCs w:val="24"/>
        </w:rPr>
        <w:t>go</w:t>
      </w:r>
      <w:r w:rsidR="0059374A" w:rsidRPr="00833C88">
        <w:rPr>
          <w:rFonts w:cs="Times New Roman"/>
          <w:sz w:val="24"/>
          <w:szCs w:val="24"/>
        </w:rPr>
        <w:t>.</w:t>
      </w:r>
      <w:r w:rsidR="006F05AA" w:rsidRPr="00833C88">
        <w:rPr>
          <w:rFonts w:cs="Times New Roman"/>
          <w:sz w:val="24"/>
          <w:szCs w:val="24"/>
        </w:rPr>
        <w:t xml:space="preserve"> Funkcjonariusze, pracownicy korpusu służby cywilnej </w:t>
      </w:r>
      <w:r w:rsidR="00601933" w:rsidRPr="00833C88">
        <w:rPr>
          <w:rFonts w:cs="Times New Roman"/>
          <w:sz w:val="24"/>
          <w:szCs w:val="24"/>
        </w:rPr>
        <w:t>i </w:t>
      </w:r>
      <w:r w:rsidR="006F05AA" w:rsidRPr="00833C88">
        <w:rPr>
          <w:rFonts w:cs="Times New Roman"/>
          <w:sz w:val="24"/>
          <w:szCs w:val="24"/>
        </w:rPr>
        <w:t xml:space="preserve">pracownicy cywilni zatrudnieni </w:t>
      </w:r>
      <w:r w:rsidR="00601933" w:rsidRPr="00833C88">
        <w:rPr>
          <w:rFonts w:cs="Times New Roman"/>
          <w:sz w:val="24"/>
          <w:szCs w:val="24"/>
        </w:rPr>
        <w:t>w </w:t>
      </w:r>
      <w:r w:rsidR="006F05AA" w:rsidRPr="00833C88">
        <w:rPr>
          <w:rFonts w:cs="Times New Roman"/>
          <w:sz w:val="24"/>
          <w:szCs w:val="24"/>
        </w:rPr>
        <w:t xml:space="preserve">Państwowej Straży Pożarnej, analogicznie jak np. funkcjonariusze </w:t>
      </w:r>
      <w:r w:rsidR="00601933" w:rsidRPr="00833C88">
        <w:rPr>
          <w:rFonts w:cs="Times New Roman"/>
          <w:sz w:val="24"/>
          <w:szCs w:val="24"/>
        </w:rPr>
        <w:t>i </w:t>
      </w:r>
      <w:r w:rsidR="006F05AA" w:rsidRPr="00833C88">
        <w:rPr>
          <w:rFonts w:cs="Times New Roman"/>
          <w:sz w:val="24"/>
          <w:szCs w:val="24"/>
        </w:rPr>
        <w:t xml:space="preserve">osoby zatrudnione </w:t>
      </w:r>
      <w:r w:rsidR="00601933" w:rsidRPr="00833C88">
        <w:rPr>
          <w:rFonts w:cs="Times New Roman"/>
          <w:sz w:val="24"/>
          <w:szCs w:val="24"/>
        </w:rPr>
        <w:t>w </w:t>
      </w:r>
      <w:r w:rsidR="006F05AA" w:rsidRPr="00833C88">
        <w:rPr>
          <w:rFonts w:cs="Times New Roman"/>
          <w:sz w:val="24"/>
          <w:szCs w:val="24"/>
        </w:rPr>
        <w:t xml:space="preserve">Policji czy Straży Granicznej, </w:t>
      </w:r>
      <w:r w:rsidR="00601933" w:rsidRPr="00833C88">
        <w:rPr>
          <w:rFonts w:cs="Times New Roman"/>
          <w:sz w:val="24"/>
          <w:szCs w:val="24"/>
        </w:rPr>
        <w:t>w </w:t>
      </w:r>
      <w:r w:rsidR="006F05AA" w:rsidRPr="00833C88">
        <w:rPr>
          <w:rFonts w:cs="Times New Roman"/>
          <w:sz w:val="24"/>
          <w:szCs w:val="24"/>
        </w:rPr>
        <w:t xml:space="preserve">zakresie działania swoich organów realizują zadania </w:t>
      </w:r>
      <w:r w:rsidR="00601933" w:rsidRPr="00833C88">
        <w:rPr>
          <w:rFonts w:cs="Times New Roman"/>
          <w:sz w:val="24"/>
          <w:szCs w:val="24"/>
        </w:rPr>
        <w:t>z </w:t>
      </w:r>
      <w:r w:rsidR="006F05AA" w:rsidRPr="00833C88">
        <w:rPr>
          <w:rFonts w:cs="Times New Roman"/>
          <w:sz w:val="24"/>
          <w:szCs w:val="24"/>
        </w:rPr>
        <w:t xml:space="preserve">zakresu cyberbezpieczeństwa </w:t>
      </w:r>
      <w:r w:rsidR="00601933" w:rsidRPr="00833C88">
        <w:rPr>
          <w:rFonts w:cs="Times New Roman"/>
          <w:sz w:val="24"/>
          <w:szCs w:val="24"/>
        </w:rPr>
        <w:t>i </w:t>
      </w:r>
      <w:r w:rsidR="006F05AA" w:rsidRPr="00833C88">
        <w:rPr>
          <w:rFonts w:cs="Times New Roman"/>
          <w:sz w:val="24"/>
          <w:szCs w:val="24"/>
        </w:rPr>
        <w:t xml:space="preserve">ujęcie ich </w:t>
      </w:r>
      <w:r w:rsidR="00601933" w:rsidRPr="00833C88">
        <w:rPr>
          <w:rFonts w:cs="Times New Roman"/>
          <w:sz w:val="24"/>
          <w:szCs w:val="24"/>
        </w:rPr>
        <w:t>w </w:t>
      </w:r>
      <w:r w:rsidR="006F05AA" w:rsidRPr="00833C88">
        <w:rPr>
          <w:rFonts w:cs="Times New Roman"/>
          <w:sz w:val="24"/>
          <w:szCs w:val="24"/>
        </w:rPr>
        <w:t>art.</w:t>
      </w:r>
      <w:r w:rsidR="001A275A" w:rsidRPr="00833C88">
        <w:rPr>
          <w:rFonts w:cs="Times New Roman"/>
          <w:sz w:val="24"/>
          <w:szCs w:val="24"/>
        </w:rPr>
        <w:t> </w:t>
      </w:r>
      <w:r w:rsidR="006F05AA" w:rsidRPr="00833C88">
        <w:rPr>
          <w:rFonts w:cs="Times New Roman"/>
          <w:sz w:val="24"/>
          <w:szCs w:val="24"/>
        </w:rPr>
        <w:t xml:space="preserve">5 jest jak najbardziej wskazane </w:t>
      </w:r>
      <w:r w:rsidR="00601933" w:rsidRPr="00833C88">
        <w:rPr>
          <w:rFonts w:cs="Times New Roman"/>
          <w:sz w:val="24"/>
          <w:szCs w:val="24"/>
        </w:rPr>
        <w:t>i </w:t>
      </w:r>
      <w:r w:rsidR="006F05AA" w:rsidRPr="00833C88">
        <w:rPr>
          <w:rFonts w:cs="Times New Roman"/>
          <w:sz w:val="24"/>
          <w:szCs w:val="24"/>
        </w:rPr>
        <w:t>uzasadnione</w:t>
      </w:r>
    </w:p>
    <w:p w14:paraId="21FCC973" w14:textId="10DB24B9" w:rsidR="00323A16" w:rsidRPr="00833C88" w:rsidRDefault="00BB55B2" w:rsidP="00533D2A">
      <w:pPr>
        <w:pStyle w:val="Nagwek3"/>
        <w:spacing w:line="360" w:lineRule="auto"/>
        <w:rPr>
          <w:rFonts w:cs="Times New Roman"/>
        </w:rPr>
      </w:pPr>
      <w:r w:rsidRPr="00833C88">
        <w:rPr>
          <w:rFonts w:cs="Times New Roman"/>
        </w:rPr>
        <w:t>Zmiany w ustawie z dnia 20 sierpnia 1997 r. o Krajowym Rejestrze Sądowym</w:t>
      </w:r>
    </w:p>
    <w:p w14:paraId="4AFF1113" w14:textId="30161431" w:rsidR="00A10108" w:rsidRPr="00833C88" w:rsidRDefault="00A10108" w:rsidP="00FC20BB">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Zmiany</w:t>
      </w:r>
      <w:r w:rsidR="001E1EF9">
        <w:rPr>
          <w:rFonts w:eastAsia="Times New Roman" w:cs="Times New Roman"/>
          <w:sz w:val="24"/>
          <w:szCs w:val="24"/>
          <w:lang w:eastAsia="pl-PL"/>
        </w:rPr>
        <w:t xml:space="preserve"> w tym akcie</w:t>
      </w:r>
      <w:r w:rsidRPr="00833C88">
        <w:rPr>
          <w:rFonts w:eastAsia="Times New Roman" w:cs="Times New Roman"/>
          <w:sz w:val="24"/>
          <w:szCs w:val="24"/>
          <w:lang w:eastAsia="pl-PL"/>
        </w:rPr>
        <w:t xml:space="preserve"> mają charakter dostosowujący, związany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ujawnianiem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K</w:t>
      </w:r>
      <w:r w:rsidR="00C3798C" w:rsidRPr="00833C88">
        <w:rPr>
          <w:rFonts w:eastAsia="Times New Roman" w:cs="Times New Roman"/>
          <w:sz w:val="24"/>
          <w:szCs w:val="24"/>
          <w:lang w:eastAsia="pl-PL"/>
        </w:rPr>
        <w:t>rajowym Rejestrze Sądowym</w:t>
      </w:r>
      <w:r w:rsidRPr="00833C88">
        <w:rPr>
          <w:rFonts w:eastAsia="Times New Roman" w:cs="Times New Roman"/>
          <w:sz w:val="24"/>
          <w:szCs w:val="24"/>
          <w:lang w:eastAsia="pl-PL"/>
        </w:rPr>
        <w:t xml:space="preserve"> informacji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tymczasowym zakazie pełnienia funkcji zarządczych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podmiocie kluczowym. Pozostają również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nowym zadaniem organów właściwych do spraw cyberbezpieczeństwa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zakresie prowadzenia wykazu (projektowany art. 42 ust. 12). Nadrzędnym celem zmian jest jednak konieczność dochowania wymogów dyrektywy 2017/1132</w:t>
      </w:r>
      <w:r w:rsidRPr="00833C88">
        <w:rPr>
          <w:rStyle w:val="Odwoanieprzypisudolnego"/>
          <w:rFonts w:eastAsia="Times New Roman" w:cs="Times New Roman"/>
          <w:sz w:val="24"/>
          <w:szCs w:val="24"/>
          <w:lang w:eastAsia="pl-PL"/>
        </w:rPr>
        <w:footnoteReference w:id="88"/>
      </w:r>
      <w:r w:rsidRPr="00833C88">
        <w:rPr>
          <w:rFonts w:eastAsia="Times New Roman" w:cs="Times New Roman"/>
          <w:sz w:val="24"/>
          <w:szCs w:val="24"/>
          <w:vertAlign w:val="superscript"/>
          <w:lang w:eastAsia="pl-PL"/>
        </w:rPr>
        <w:t>)</w:t>
      </w:r>
      <w:r w:rsidRPr="00833C88">
        <w:rPr>
          <w:rFonts w:eastAsia="Times New Roman" w:cs="Times New Roman"/>
          <w:sz w:val="24"/>
          <w:szCs w:val="24"/>
          <w:lang w:eastAsia="pl-PL"/>
        </w:rPr>
        <w:t xml:space="preserve"> (zmienionej dyrektywą 2019/1151), która jest implementowana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przepisie art. 4d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KRS. Rzeczpospolita Polska ma obowiązek informowania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ramach Unii Europejskiej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nałożonych na osoby zakazach pełnienia funkcji kierowniczych. Dotyczy to także zakazów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ramach jednego podmiotu. Zaproponowane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ustawie zmiany pozwolą zachować pewność obrotu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skuteczność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wywiązywaniu się Polski ze zobowiązań wynikających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prawa Unii Europejskiej.</w:t>
      </w:r>
    </w:p>
    <w:p w14:paraId="363EE297" w14:textId="1DBFF06D" w:rsidR="00A10108" w:rsidRPr="00833C88" w:rsidRDefault="00601933" w:rsidP="00FC20BB">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przypadku powiadomienia sądu rejestrowego (</w:t>
      </w: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 xml:space="preserve">trybie art. 21 ust. 1 ustawy </w:t>
      </w:r>
      <w:r w:rsidRPr="00833C88">
        <w:rPr>
          <w:rFonts w:eastAsia="Times New Roman" w:cs="Times New Roman"/>
          <w:sz w:val="24"/>
          <w:szCs w:val="24"/>
          <w:lang w:eastAsia="pl-PL"/>
        </w:rPr>
        <w:t>o </w:t>
      </w:r>
      <w:r w:rsidR="00A10108" w:rsidRPr="00833C88">
        <w:rPr>
          <w:rFonts w:eastAsia="Times New Roman" w:cs="Times New Roman"/>
          <w:sz w:val="24"/>
          <w:szCs w:val="24"/>
          <w:lang w:eastAsia="pl-PL"/>
        </w:rPr>
        <w:t xml:space="preserve">KRS) przez organ właściwy do spraw cyberbezpieczeństwa </w:t>
      </w:r>
      <w:r w:rsidRPr="00833C88">
        <w:rPr>
          <w:rFonts w:eastAsia="Times New Roman" w:cs="Times New Roman"/>
          <w:sz w:val="24"/>
          <w:szCs w:val="24"/>
          <w:lang w:eastAsia="pl-PL"/>
        </w:rPr>
        <w:t>o </w:t>
      </w:r>
      <w:r w:rsidR="00A10108" w:rsidRPr="00833C88">
        <w:rPr>
          <w:rFonts w:eastAsia="Times New Roman" w:cs="Times New Roman"/>
          <w:sz w:val="24"/>
          <w:szCs w:val="24"/>
          <w:lang w:eastAsia="pl-PL"/>
        </w:rPr>
        <w:t xml:space="preserve">zastosowaniu środka, </w:t>
      </w:r>
      <w:r w:rsidRPr="00833C88">
        <w:rPr>
          <w:rFonts w:eastAsia="Times New Roman" w:cs="Times New Roman"/>
          <w:sz w:val="24"/>
          <w:szCs w:val="24"/>
          <w:lang w:eastAsia="pl-PL"/>
        </w:rPr>
        <w:t>o </w:t>
      </w:r>
      <w:r w:rsidR="00A10108" w:rsidRPr="00833C88">
        <w:rPr>
          <w:rFonts w:eastAsia="Times New Roman" w:cs="Times New Roman"/>
          <w:sz w:val="24"/>
          <w:szCs w:val="24"/>
          <w:lang w:eastAsia="pl-PL"/>
        </w:rPr>
        <w:t xml:space="preserve">którym mowa </w:t>
      </w: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 xml:space="preserve">art. 53 ust. 9 pkt 6 ustawy </w:t>
      </w:r>
      <w:r w:rsidRPr="00833C88">
        <w:rPr>
          <w:rFonts w:eastAsia="Times New Roman" w:cs="Times New Roman"/>
          <w:sz w:val="24"/>
          <w:szCs w:val="24"/>
          <w:lang w:eastAsia="pl-PL"/>
        </w:rPr>
        <w:t>o </w:t>
      </w:r>
      <w:r w:rsidR="00A10108" w:rsidRPr="00833C88">
        <w:rPr>
          <w:rFonts w:eastAsia="Times New Roman" w:cs="Times New Roman"/>
          <w:sz w:val="24"/>
          <w:szCs w:val="24"/>
          <w:lang w:eastAsia="pl-PL"/>
        </w:rPr>
        <w:t xml:space="preserve">KSC, sąd rejestrowy dokona </w:t>
      </w:r>
      <w:r w:rsidRPr="00833C88">
        <w:rPr>
          <w:rFonts w:eastAsia="Times New Roman" w:cs="Times New Roman"/>
          <w:sz w:val="24"/>
          <w:szCs w:val="24"/>
          <w:lang w:eastAsia="pl-PL"/>
        </w:rPr>
        <w:t>z </w:t>
      </w:r>
      <w:r w:rsidR="00A10108" w:rsidRPr="00833C88">
        <w:rPr>
          <w:rFonts w:eastAsia="Times New Roman" w:cs="Times New Roman"/>
          <w:sz w:val="24"/>
          <w:szCs w:val="24"/>
          <w:lang w:eastAsia="pl-PL"/>
        </w:rPr>
        <w:t xml:space="preserve">urzędu wpisu na podstawie art. 24 ust. 6 ustawy </w:t>
      </w:r>
      <w:r w:rsidRPr="00833C88">
        <w:rPr>
          <w:rFonts w:eastAsia="Times New Roman" w:cs="Times New Roman"/>
          <w:sz w:val="24"/>
          <w:szCs w:val="24"/>
          <w:lang w:eastAsia="pl-PL"/>
        </w:rPr>
        <w:t>o </w:t>
      </w:r>
      <w:r w:rsidR="00A10108" w:rsidRPr="00833C88">
        <w:rPr>
          <w:rFonts w:eastAsia="Times New Roman" w:cs="Times New Roman"/>
          <w:sz w:val="24"/>
          <w:szCs w:val="24"/>
          <w:lang w:eastAsia="pl-PL"/>
        </w:rPr>
        <w:t xml:space="preserve">KRS. Przepis ten stanowi bowiem, że </w:t>
      </w: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 xml:space="preserve">przypadkach uzasadnionych bezpieczeństwem obrotu sąd rejestrowy może dokonać </w:t>
      </w:r>
      <w:r w:rsidRPr="00833C88">
        <w:rPr>
          <w:rFonts w:eastAsia="Times New Roman" w:cs="Times New Roman"/>
          <w:sz w:val="24"/>
          <w:szCs w:val="24"/>
          <w:lang w:eastAsia="pl-PL"/>
        </w:rPr>
        <w:t>z </w:t>
      </w:r>
      <w:r w:rsidR="00A10108" w:rsidRPr="00833C88">
        <w:rPr>
          <w:rFonts w:eastAsia="Times New Roman" w:cs="Times New Roman"/>
          <w:sz w:val="24"/>
          <w:szCs w:val="24"/>
          <w:lang w:eastAsia="pl-PL"/>
        </w:rPr>
        <w:t xml:space="preserve">urzędu wykreślenia danych </w:t>
      </w:r>
      <w:r w:rsidR="00A10108" w:rsidRPr="00833C88">
        <w:rPr>
          <w:rFonts w:eastAsia="Times New Roman" w:cs="Times New Roman"/>
          <w:sz w:val="24"/>
          <w:szCs w:val="24"/>
          <w:lang w:eastAsia="pl-PL"/>
        </w:rPr>
        <w:lastRenderedPageBreak/>
        <w:t xml:space="preserve">niezgodnych </w:t>
      </w:r>
      <w:r w:rsidRPr="00833C88">
        <w:rPr>
          <w:rFonts w:eastAsia="Times New Roman" w:cs="Times New Roman"/>
          <w:sz w:val="24"/>
          <w:szCs w:val="24"/>
          <w:lang w:eastAsia="pl-PL"/>
        </w:rPr>
        <w:t>z </w:t>
      </w:r>
      <w:r w:rsidR="00A10108" w:rsidRPr="00833C88">
        <w:rPr>
          <w:rFonts w:eastAsia="Times New Roman" w:cs="Times New Roman"/>
          <w:sz w:val="24"/>
          <w:szCs w:val="24"/>
          <w:lang w:eastAsia="pl-PL"/>
        </w:rPr>
        <w:t xml:space="preserve">rzeczywistym stanem rzeczy lub wpisu danych odpowiadających rzeczywistemu stanowi rzeczy, jeżeli dokumenty stanowiące podstawę wpisu lub wykreślenia znajdują się </w:t>
      </w: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 xml:space="preserve">aktach rejestrowych, </w:t>
      </w:r>
      <w:r w:rsidRPr="00833C88">
        <w:rPr>
          <w:rFonts w:eastAsia="Times New Roman" w:cs="Times New Roman"/>
          <w:sz w:val="24"/>
          <w:szCs w:val="24"/>
          <w:lang w:eastAsia="pl-PL"/>
        </w:rPr>
        <w:t>a </w:t>
      </w:r>
      <w:r w:rsidR="00A10108" w:rsidRPr="00833C88">
        <w:rPr>
          <w:rFonts w:eastAsia="Times New Roman" w:cs="Times New Roman"/>
          <w:sz w:val="24"/>
          <w:szCs w:val="24"/>
          <w:lang w:eastAsia="pl-PL"/>
        </w:rPr>
        <w:t>dane te są istotne.</w:t>
      </w:r>
      <w:r w:rsidR="00A10108" w:rsidRPr="00833C88">
        <w:rPr>
          <w:rFonts w:cs="Times New Roman"/>
        </w:rPr>
        <w:t xml:space="preserve"> </w:t>
      </w:r>
      <w:r w:rsidR="00A10108" w:rsidRPr="00833C88">
        <w:rPr>
          <w:rFonts w:eastAsia="Times New Roman" w:cs="Times New Roman"/>
          <w:sz w:val="24"/>
          <w:szCs w:val="24"/>
          <w:lang w:eastAsia="pl-PL"/>
        </w:rPr>
        <w:t xml:space="preserve">Dokumentem stanowiącym podstawę wpisu </w:t>
      </w: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 xml:space="preserve">trybie art. 24 ust. 6 ustawy </w:t>
      </w:r>
      <w:r w:rsidRPr="00833C88">
        <w:rPr>
          <w:rFonts w:eastAsia="Times New Roman" w:cs="Times New Roman"/>
          <w:sz w:val="24"/>
          <w:szCs w:val="24"/>
          <w:lang w:eastAsia="pl-PL"/>
        </w:rPr>
        <w:t>o </w:t>
      </w:r>
      <w:r w:rsidR="00A10108" w:rsidRPr="00833C88">
        <w:rPr>
          <w:rFonts w:eastAsia="Times New Roman" w:cs="Times New Roman"/>
          <w:sz w:val="24"/>
          <w:szCs w:val="24"/>
          <w:lang w:eastAsia="pl-PL"/>
        </w:rPr>
        <w:t>KRS będzie odpis decyzji organu ds.</w:t>
      </w:r>
      <w:r w:rsidR="0030453C" w:rsidRPr="00833C88">
        <w:rPr>
          <w:rFonts w:eastAsia="Times New Roman" w:cs="Times New Roman"/>
          <w:sz w:val="24"/>
          <w:szCs w:val="24"/>
          <w:lang w:eastAsia="pl-PL"/>
        </w:rPr>
        <w:t> </w:t>
      </w:r>
      <w:r w:rsidR="00A10108" w:rsidRPr="00833C88">
        <w:rPr>
          <w:rFonts w:eastAsia="Times New Roman" w:cs="Times New Roman"/>
          <w:sz w:val="24"/>
          <w:szCs w:val="24"/>
          <w:lang w:eastAsia="pl-PL"/>
        </w:rPr>
        <w:t xml:space="preserve">cyberbezpieczeństwa przesłany do właściwego sądu rejestrowego </w:t>
      </w: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 xml:space="preserve">ramach informacji </w:t>
      </w:r>
      <w:r w:rsidRPr="00833C88">
        <w:rPr>
          <w:rFonts w:eastAsia="Times New Roman" w:cs="Times New Roman"/>
          <w:sz w:val="24"/>
          <w:szCs w:val="24"/>
          <w:lang w:eastAsia="pl-PL"/>
        </w:rPr>
        <w:t>w </w:t>
      </w:r>
      <w:r w:rsidR="00A10108" w:rsidRPr="00833C88">
        <w:rPr>
          <w:rFonts w:eastAsia="Times New Roman" w:cs="Times New Roman"/>
          <w:sz w:val="24"/>
          <w:szCs w:val="24"/>
          <w:lang w:eastAsia="pl-PL"/>
        </w:rPr>
        <w:t xml:space="preserve">trybie art. 21 ust. 1 ustawy </w:t>
      </w:r>
      <w:r w:rsidRPr="00833C88">
        <w:rPr>
          <w:rFonts w:eastAsia="Times New Roman" w:cs="Times New Roman"/>
          <w:sz w:val="24"/>
          <w:szCs w:val="24"/>
          <w:lang w:eastAsia="pl-PL"/>
        </w:rPr>
        <w:t>o </w:t>
      </w:r>
      <w:r w:rsidR="00A10108" w:rsidRPr="00833C88">
        <w:rPr>
          <w:rFonts w:eastAsia="Times New Roman" w:cs="Times New Roman"/>
          <w:sz w:val="24"/>
          <w:szCs w:val="24"/>
          <w:lang w:eastAsia="pl-PL"/>
        </w:rPr>
        <w:t>KRS.</w:t>
      </w:r>
    </w:p>
    <w:p w14:paraId="52FAF81B" w14:textId="008EBDA0" w:rsidR="00BB55B2" w:rsidRPr="00833C88" w:rsidRDefault="00BB55B2" w:rsidP="008E5431">
      <w:pPr>
        <w:pStyle w:val="Nagwek3"/>
        <w:spacing w:line="360" w:lineRule="auto"/>
        <w:jc w:val="both"/>
        <w:rPr>
          <w:rFonts w:cs="Times New Roman"/>
          <w:lang w:eastAsia="pl-PL"/>
        </w:rPr>
      </w:pPr>
      <w:r w:rsidRPr="00833C88">
        <w:rPr>
          <w:rFonts w:cs="Times New Roman"/>
          <w:lang w:eastAsia="pl-PL"/>
        </w:rPr>
        <w:t xml:space="preserve">Zmiany w </w:t>
      </w:r>
      <w:r w:rsidR="00C13A33" w:rsidRPr="00833C88">
        <w:rPr>
          <w:rFonts w:cs="Times New Roman"/>
          <w:lang w:eastAsia="pl-PL"/>
        </w:rPr>
        <w:t>ustawie z dnia 29 sierpnia 1997 r. – Ordynacja podatkowa</w:t>
      </w:r>
    </w:p>
    <w:p w14:paraId="7A7DB5E1" w14:textId="4C5FB50E" w:rsidR="00124700" w:rsidRPr="00833C88" w:rsidRDefault="00DA154F" w:rsidP="00FC20BB">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w:t>
      </w:r>
      <w:r w:rsidR="001E1EF9">
        <w:rPr>
          <w:rFonts w:eastAsia="Times New Roman" w:cs="Times New Roman"/>
          <w:sz w:val="24"/>
          <w:szCs w:val="24"/>
          <w:lang w:eastAsia="pl-PL"/>
        </w:rPr>
        <w:t xml:space="preserve"> ww. ustawie</w:t>
      </w:r>
      <w:r w:rsidR="00F2445F" w:rsidRPr="00833C88">
        <w:rPr>
          <w:rFonts w:cs="Times New Roman"/>
          <w:sz w:val="24"/>
          <w:szCs w:val="24"/>
        </w:rPr>
        <w:t xml:space="preserve"> </w:t>
      </w:r>
      <w:r w:rsidRPr="00833C88">
        <w:rPr>
          <w:rFonts w:eastAsia="Times New Roman" w:cs="Times New Roman"/>
          <w:sz w:val="24"/>
          <w:szCs w:val="24"/>
          <w:lang w:eastAsia="pl-PL"/>
        </w:rPr>
        <w:t xml:space="preserve">dotyczą umożliwienia </w:t>
      </w:r>
      <w:r w:rsidR="00EB5BC6" w:rsidRPr="00833C88">
        <w:rPr>
          <w:rFonts w:eastAsia="Times New Roman" w:cs="Times New Roman"/>
          <w:sz w:val="24"/>
          <w:szCs w:val="24"/>
          <w:lang w:eastAsia="pl-PL"/>
        </w:rPr>
        <w:t xml:space="preserve">Szefowi Krajowej Administracji Skarbowej </w:t>
      </w:r>
      <w:r w:rsidRPr="00833C88">
        <w:rPr>
          <w:rFonts w:eastAsia="Times New Roman" w:cs="Times New Roman"/>
          <w:sz w:val="24"/>
          <w:szCs w:val="24"/>
          <w:lang w:eastAsia="pl-PL"/>
        </w:rPr>
        <w:t xml:space="preserve">przekazywania informacji </w:t>
      </w:r>
      <w:r w:rsidR="002F13BE" w:rsidRPr="00833C88">
        <w:rPr>
          <w:rFonts w:eastAsia="Times New Roman" w:cs="Times New Roman"/>
          <w:sz w:val="24"/>
          <w:szCs w:val="24"/>
          <w:lang w:eastAsia="pl-PL"/>
        </w:rPr>
        <w:t>organom właściwy</w:t>
      </w:r>
      <w:r w:rsidR="001E1EF9">
        <w:rPr>
          <w:rFonts w:eastAsia="Times New Roman" w:cs="Times New Roman"/>
          <w:sz w:val="24"/>
          <w:szCs w:val="24"/>
          <w:lang w:eastAsia="pl-PL"/>
        </w:rPr>
        <w:t>m</w:t>
      </w:r>
      <w:r w:rsidR="002F13BE" w:rsidRPr="00833C88">
        <w:rPr>
          <w:rFonts w:eastAsia="Times New Roman" w:cs="Times New Roman"/>
          <w:sz w:val="24"/>
          <w:szCs w:val="24"/>
          <w:lang w:eastAsia="pl-PL"/>
        </w:rPr>
        <w:t xml:space="preserve"> do spraw cyberbezpieczeństwa oraz Zespołowi Reagowania na Incydenty Bezpieczeństwa Komputerowego działającemu na poziomie krajowym, prowadzonemu przez Naukową </w:t>
      </w:r>
      <w:r w:rsidR="00601933" w:rsidRPr="00833C88">
        <w:rPr>
          <w:rFonts w:eastAsia="Times New Roman" w:cs="Times New Roman"/>
          <w:sz w:val="24"/>
          <w:szCs w:val="24"/>
          <w:lang w:eastAsia="pl-PL"/>
        </w:rPr>
        <w:t>i </w:t>
      </w:r>
      <w:r w:rsidR="002F13BE" w:rsidRPr="00833C88">
        <w:rPr>
          <w:rFonts w:eastAsia="Times New Roman" w:cs="Times New Roman"/>
          <w:sz w:val="24"/>
          <w:szCs w:val="24"/>
          <w:lang w:eastAsia="pl-PL"/>
        </w:rPr>
        <w:t xml:space="preserve">Akademicką Sieć Komputerową </w:t>
      </w:r>
      <w:r w:rsidR="00F2445F" w:rsidRPr="00833C88">
        <w:rPr>
          <w:rFonts w:eastAsia="Times New Roman" w:cs="Times New Roman"/>
          <w:sz w:val="24"/>
          <w:szCs w:val="24"/>
          <w:lang w:eastAsia="pl-PL"/>
        </w:rPr>
        <w:t>–</w:t>
      </w:r>
      <w:r w:rsidR="008D3F98" w:rsidRPr="00833C88">
        <w:rPr>
          <w:rFonts w:eastAsia="Times New Roman" w:cs="Times New Roman"/>
          <w:sz w:val="24"/>
          <w:szCs w:val="24"/>
          <w:lang w:eastAsia="pl-PL"/>
        </w:rPr>
        <w:t xml:space="preserve"> </w:t>
      </w:r>
      <w:r w:rsidR="002F13BE" w:rsidRPr="00833C88">
        <w:rPr>
          <w:rFonts w:eastAsia="Times New Roman" w:cs="Times New Roman"/>
          <w:sz w:val="24"/>
          <w:szCs w:val="24"/>
          <w:lang w:eastAsia="pl-PL"/>
        </w:rPr>
        <w:t xml:space="preserve">Państwowy Instytut Badawczy. Dane te są niezbędne do realizacji ustawowych zadań tych podmiotów, </w:t>
      </w:r>
      <w:r w:rsidR="00601933" w:rsidRPr="00833C88">
        <w:rPr>
          <w:rFonts w:eastAsia="Times New Roman" w:cs="Times New Roman"/>
          <w:sz w:val="24"/>
          <w:szCs w:val="24"/>
          <w:lang w:eastAsia="pl-PL"/>
        </w:rPr>
        <w:t>a w </w:t>
      </w:r>
      <w:r w:rsidR="002F13BE" w:rsidRPr="00833C88">
        <w:rPr>
          <w:rFonts w:eastAsia="Times New Roman" w:cs="Times New Roman"/>
          <w:sz w:val="24"/>
          <w:szCs w:val="24"/>
          <w:lang w:eastAsia="pl-PL"/>
        </w:rPr>
        <w:t xml:space="preserve">szczególności do oceny czy dany podmiot spełnia przesłanki bycia podmiotem kluczowym lub </w:t>
      </w:r>
      <w:r w:rsidR="00EA6808" w:rsidRPr="00833C88">
        <w:rPr>
          <w:rFonts w:eastAsia="Times New Roman" w:cs="Times New Roman"/>
          <w:sz w:val="24"/>
          <w:szCs w:val="24"/>
          <w:lang w:eastAsia="pl-PL"/>
        </w:rPr>
        <w:t xml:space="preserve">podmiotem </w:t>
      </w:r>
      <w:r w:rsidR="002F13BE" w:rsidRPr="00833C88">
        <w:rPr>
          <w:rFonts w:eastAsia="Times New Roman" w:cs="Times New Roman"/>
          <w:sz w:val="24"/>
          <w:szCs w:val="24"/>
          <w:lang w:eastAsia="pl-PL"/>
        </w:rPr>
        <w:t>ważnym</w:t>
      </w:r>
      <w:r w:rsidR="002F7DC9" w:rsidRPr="00833C88">
        <w:rPr>
          <w:rFonts w:eastAsia="Times New Roman" w:cs="Times New Roman"/>
          <w:sz w:val="24"/>
          <w:szCs w:val="24"/>
          <w:lang w:eastAsia="pl-PL"/>
        </w:rPr>
        <w:t xml:space="preserve"> oraz co do jego znaczenia </w:t>
      </w:r>
      <w:r w:rsidR="00601933" w:rsidRPr="00833C88">
        <w:rPr>
          <w:rFonts w:eastAsia="Times New Roman" w:cs="Times New Roman"/>
          <w:sz w:val="24"/>
          <w:szCs w:val="24"/>
          <w:lang w:eastAsia="pl-PL"/>
        </w:rPr>
        <w:t>w </w:t>
      </w:r>
      <w:r w:rsidR="002F7DC9" w:rsidRPr="00833C88">
        <w:rPr>
          <w:rFonts w:eastAsia="Times New Roman" w:cs="Times New Roman"/>
          <w:sz w:val="24"/>
          <w:szCs w:val="24"/>
          <w:lang w:eastAsia="pl-PL"/>
        </w:rPr>
        <w:t>danym sektorze gospodarki.</w:t>
      </w:r>
    </w:p>
    <w:p w14:paraId="56AAAABD" w14:textId="5467B4DD" w:rsidR="00042949" w:rsidRPr="00833C88" w:rsidRDefault="00042949" w:rsidP="008E5431">
      <w:pPr>
        <w:pStyle w:val="Nagwek3"/>
        <w:spacing w:line="360" w:lineRule="auto"/>
        <w:jc w:val="both"/>
        <w:rPr>
          <w:rFonts w:cs="Times New Roman"/>
          <w:lang w:eastAsia="pl-PL"/>
        </w:rPr>
      </w:pPr>
      <w:r w:rsidRPr="00833C88">
        <w:rPr>
          <w:rFonts w:cs="Times New Roman"/>
          <w:lang w:eastAsia="pl-PL"/>
        </w:rPr>
        <w:t>Zmiany w ustawie z dnia 13 października 1998 r. o systemie ubezpieczeń społecznych</w:t>
      </w:r>
    </w:p>
    <w:p w14:paraId="78694C71" w14:textId="5520B4C5" w:rsidR="0088133C" w:rsidRPr="00833C88" w:rsidRDefault="0088133C" w:rsidP="00FC20BB">
      <w:pPr>
        <w:spacing w:line="360" w:lineRule="auto"/>
        <w:jc w:val="both"/>
        <w:rPr>
          <w:rFonts w:cs="Times New Roman"/>
          <w:sz w:val="24"/>
          <w:szCs w:val="24"/>
        </w:rPr>
      </w:pPr>
      <w:r w:rsidRPr="00833C88">
        <w:rPr>
          <w:rFonts w:cs="Times New Roman"/>
          <w:sz w:val="24"/>
          <w:szCs w:val="24"/>
        </w:rPr>
        <w:t xml:space="preserve">Zmiany </w:t>
      </w:r>
      <w:r w:rsidR="00601933" w:rsidRPr="00833C88">
        <w:rPr>
          <w:rFonts w:cs="Times New Roman"/>
          <w:sz w:val="24"/>
          <w:szCs w:val="24"/>
        </w:rPr>
        <w:t>w </w:t>
      </w:r>
      <w:r w:rsidRPr="00833C88">
        <w:rPr>
          <w:rFonts w:cs="Times New Roman"/>
          <w:sz w:val="24"/>
          <w:szCs w:val="24"/>
        </w:rPr>
        <w:t xml:space="preserve">ustawie </w:t>
      </w:r>
      <w:r w:rsidR="00601933" w:rsidRPr="00833C88">
        <w:rPr>
          <w:rFonts w:cs="Times New Roman"/>
          <w:sz w:val="24"/>
          <w:szCs w:val="24"/>
        </w:rPr>
        <w:t>z </w:t>
      </w:r>
      <w:r w:rsidRPr="00833C88">
        <w:rPr>
          <w:rFonts w:cs="Times New Roman"/>
          <w:sz w:val="24"/>
          <w:szCs w:val="24"/>
        </w:rPr>
        <w:t xml:space="preserve">dnia 13 października 1998 r. </w:t>
      </w:r>
      <w:r w:rsidR="00601933" w:rsidRPr="00833C88">
        <w:rPr>
          <w:rFonts w:cs="Times New Roman"/>
          <w:sz w:val="24"/>
          <w:szCs w:val="24"/>
        </w:rPr>
        <w:t>o </w:t>
      </w:r>
      <w:r w:rsidRPr="00833C88">
        <w:rPr>
          <w:rFonts w:cs="Times New Roman"/>
          <w:sz w:val="24"/>
          <w:szCs w:val="24"/>
        </w:rPr>
        <w:t xml:space="preserve">systemie ubezpieczeń społecznych (Dz. U. </w:t>
      </w:r>
      <w:r w:rsidR="00601933" w:rsidRPr="00833C88">
        <w:rPr>
          <w:rFonts w:cs="Times New Roman"/>
          <w:sz w:val="24"/>
          <w:szCs w:val="24"/>
        </w:rPr>
        <w:t>z </w:t>
      </w:r>
      <w:r w:rsidRPr="00833C88">
        <w:rPr>
          <w:rFonts w:cs="Times New Roman"/>
          <w:sz w:val="24"/>
          <w:szCs w:val="24"/>
        </w:rPr>
        <w:t>202</w:t>
      </w:r>
      <w:r w:rsidR="00E5089B" w:rsidRPr="00833C88">
        <w:rPr>
          <w:rFonts w:cs="Times New Roman"/>
          <w:sz w:val="24"/>
          <w:szCs w:val="24"/>
        </w:rPr>
        <w:t>5</w:t>
      </w:r>
      <w:r w:rsidRPr="00833C88">
        <w:rPr>
          <w:rFonts w:cs="Times New Roman"/>
          <w:sz w:val="24"/>
          <w:szCs w:val="24"/>
        </w:rPr>
        <w:t xml:space="preserve"> r. poz. </w:t>
      </w:r>
      <w:r w:rsidR="00E5089B" w:rsidRPr="00833C88">
        <w:rPr>
          <w:rFonts w:cs="Times New Roman"/>
          <w:sz w:val="24"/>
          <w:szCs w:val="24"/>
        </w:rPr>
        <w:t>350</w:t>
      </w:r>
      <w:r w:rsidR="0054567B" w:rsidRPr="00833C88">
        <w:rPr>
          <w:rFonts w:cs="Times New Roman"/>
          <w:sz w:val="24"/>
          <w:szCs w:val="24"/>
        </w:rPr>
        <w:t>, z późn. zm.</w:t>
      </w:r>
      <w:r w:rsidRPr="00833C88">
        <w:rPr>
          <w:rFonts w:cs="Times New Roman"/>
          <w:sz w:val="24"/>
          <w:szCs w:val="24"/>
        </w:rPr>
        <w:t xml:space="preserve">) umożliwią organom właściwym do spraw cyberbezpieczeństwa uzyskiwanie informacji </w:t>
      </w:r>
      <w:r w:rsidR="00601933" w:rsidRPr="00833C88">
        <w:rPr>
          <w:rFonts w:cs="Times New Roman"/>
          <w:sz w:val="24"/>
          <w:szCs w:val="24"/>
        </w:rPr>
        <w:t>o </w:t>
      </w:r>
      <w:r w:rsidRPr="00833C88">
        <w:rPr>
          <w:rFonts w:cs="Times New Roman"/>
          <w:sz w:val="24"/>
          <w:szCs w:val="24"/>
        </w:rPr>
        <w:t xml:space="preserve">rocznej liczbie pracowników lub rocznej liczbie ubezpieczonych – co pozwoli na ustalenie wielkości przedsiębiorcy, </w:t>
      </w:r>
      <w:r w:rsidR="00601933" w:rsidRPr="00833C88">
        <w:rPr>
          <w:rFonts w:cs="Times New Roman"/>
          <w:sz w:val="24"/>
          <w:szCs w:val="24"/>
        </w:rPr>
        <w:t>a </w:t>
      </w:r>
      <w:r w:rsidRPr="00833C88">
        <w:rPr>
          <w:rFonts w:cs="Times New Roman"/>
          <w:sz w:val="24"/>
          <w:szCs w:val="24"/>
        </w:rPr>
        <w:t>co za tym idzie statusu podmiotu kluczowego lub podmiotu ważnego.</w:t>
      </w:r>
    </w:p>
    <w:p w14:paraId="2F3FAE89" w14:textId="2A5A79F6" w:rsidR="000F6254" w:rsidRPr="00833C88" w:rsidRDefault="000F6254" w:rsidP="008E5431">
      <w:pPr>
        <w:pStyle w:val="Nagwek3"/>
        <w:spacing w:line="360" w:lineRule="auto"/>
        <w:jc w:val="both"/>
        <w:rPr>
          <w:rFonts w:cs="Times New Roman"/>
        </w:rPr>
      </w:pPr>
      <w:r w:rsidRPr="00833C88">
        <w:rPr>
          <w:rFonts w:cs="Times New Roman"/>
        </w:rPr>
        <w:t>Zmiany w ustawie z dnia 24 maja 2000 r. o Krajowym Rejestrze Karnym</w:t>
      </w:r>
    </w:p>
    <w:p w14:paraId="4DB3165A" w14:textId="4EF480AB" w:rsidR="005B5FEA" w:rsidRPr="00833C88" w:rsidRDefault="005B5FEA" w:rsidP="00FC20BB">
      <w:pPr>
        <w:spacing w:line="360" w:lineRule="auto"/>
        <w:jc w:val="both"/>
        <w:rPr>
          <w:rFonts w:cs="Times New Roman"/>
          <w:sz w:val="24"/>
          <w:szCs w:val="24"/>
        </w:rPr>
      </w:pPr>
      <w:r w:rsidRPr="00833C88">
        <w:rPr>
          <w:rFonts w:cs="Times New Roman"/>
          <w:sz w:val="24"/>
          <w:szCs w:val="24"/>
        </w:rPr>
        <w:t xml:space="preserve">Zmiana </w:t>
      </w:r>
      <w:r w:rsidR="00601933" w:rsidRPr="00833C88">
        <w:rPr>
          <w:rFonts w:cs="Times New Roman"/>
          <w:sz w:val="24"/>
          <w:szCs w:val="24"/>
        </w:rPr>
        <w:t>w </w:t>
      </w:r>
      <w:r w:rsidRPr="00833C88">
        <w:rPr>
          <w:rFonts w:cs="Times New Roman"/>
          <w:sz w:val="24"/>
          <w:szCs w:val="24"/>
        </w:rPr>
        <w:t xml:space="preserve">ustawie </w:t>
      </w:r>
      <w:r w:rsidR="00601933" w:rsidRPr="00833C88">
        <w:rPr>
          <w:rFonts w:cs="Times New Roman"/>
          <w:sz w:val="24"/>
          <w:szCs w:val="24"/>
        </w:rPr>
        <w:t>z </w:t>
      </w:r>
      <w:r w:rsidR="008819C4" w:rsidRPr="00833C88">
        <w:rPr>
          <w:rFonts w:cs="Times New Roman"/>
          <w:sz w:val="24"/>
          <w:szCs w:val="24"/>
        </w:rPr>
        <w:t xml:space="preserve">dnia 24 maja 2000 r. </w:t>
      </w:r>
      <w:r w:rsidR="00601933" w:rsidRPr="00833C88">
        <w:rPr>
          <w:rFonts w:cs="Times New Roman"/>
          <w:sz w:val="24"/>
          <w:szCs w:val="24"/>
        </w:rPr>
        <w:t>o </w:t>
      </w:r>
      <w:r w:rsidRPr="00833C88">
        <w:rPr>
          <w:rFonts w:cs="Times New Roman"/>
          <w:sz w:val="24"/>
          <w:szCs w:val="24"/>
        </w:rPr>
        <w:t xml:space="preserve">Krajowym Rejestrze Karnym </w:t>
      </w:r>
      <w:r w:rsidR="008819C4" w:rsidRPr="00833C88">
        <w:rPr>
          <w:rFonts w:cs="Times New Roman"/>
          <w:sz w:val="24"/>
          <w:szCs w:val="24"/>
        </w:rPr>
        <w:t xml:space="preserve">(Dz. U. </w:t>
      </w:r>
      <w:r w:rsidR="00601933" w:rsidRPr="00833C88">
        <w:rPr>
          <w:rFonts w:cs="Times New Roman"/>
          <w:sz w:val="24"/>
          <w:szCs w:val="24"/>
        </w:rPr>
        <w:t>z </w:t>
      </w:r>
      <w:r w:rsidR="008819C4" w:rsidRPr="00833C88">
        <w:rPr>
          <w:rFonts w:cs="Times New Roman"/>
          <w:sz w:val="24"/>
          <w:szCs w:val="24"/>
        </w:rPr>
        <w:t>2024 r. poz.</w:t>
      </w:r>
      <w:r w:rsidR="001A275A" w:rsidRPr="00833C88">
        <w:rPr>
          <w:rFonts w:cs="Times New Roman"/>
          <w:sz w:val="24"/>
          <w:szCs w:val="24"/>
        </w:rPr>
        <w:t> </w:t>
      </w:r>
      <w:r w:rsidR="008819C4" w:rsidRPr="00833C88">
        <w:rPr>
          <w:rFonts w:cs="Times New Roman"/>
          <w:sz w:val="24"/>
          <w:szCs w:val="24"/>
        </w:rPr>
        <w:t>276</w:t>
      </w:r>
      <w:r w:rsidR="00F43A09" w:rsidRPr="00833C88">
        <w:rPr>
          <w:rFonts w:cs="Times New Roman"/>
          <w:sz w:val="24"/>
          <w:szCs w:val="24"/>
        </w:rPr>
        <w:t xml:space="preserve"> oraz z 2025 r. poz. 1235</w:t>
      </w:r>
      <w:r w:rsidR="008819C4" w:rsidRPr="00833C88">
        <w:rPr>
          <w:rFonts w:cs="Times New Roman"/>
          <w:sz w:val="24"/>
          <w:szCs w:val="24"/>
        </w:rPr>
        <w:t xml:space="preserve">) </w:t>
      </w:r>
      <w:r w:rsidRPr="00833C88">
        <w:rPr>
          <w:rFonts w:cs="Times New Roman"/>
          <w:sz w:val="24"/>
          <w:szCs w:val="24"/>
        </w:rPr>
        <w:t xml:space="preserve">umożliwi podmiotom kluczowym oraz podmiotom ważnym </w:t>
      </w:r>
      <w:r w:rsidR="001A3EE0" w:rsidRPr="00833C88">
        <w:rPr>
          <w:rFonts w:cs="Times New Roman"/>
          <w:sz w:val="24"/>
          <w:szCs w:val="24"/>
        </w:rPr>
        <w:t>na złożenie zapytania do K</w:t>
      </w:r>
      <w:r w:rsidR="00A10108" w:rsidRPr="00833C88">
        <w:rPr>
          <w:rFonts w:cs="Times New Roman"/>
          <w:sz w:val="24"/>
          <w:szCs w:val="24"/>
        </w:rPr>
        <w:t>rajowego Rejestru Karnego</w:t>
      </w:r>
      <w:r w:rsidR="001A3EE0" w:rsidRPr="00833C88">
        <w:rPr>
          <w:rFonts w:cs="Times New Roman"/>
          <w:sz w:val="24"/>
          <w:szCs w:val="24"/>
        </w:rPr>
        <w:t xml:space="preserve"> </w:t>
      </w:r>
      <w:r w:rsidR="00601933" w:rsidRPr="00833C88">
        <w:rPr>
          <w:rFonts w:cs="Times New Roman"/>
          <w:sz w:val="24"/>
          <w:szCs w:val="24"/>
        </w:rPr>
        <w:t>w </w:t>
      </w:r>
      <w:r w:rsidR="0029004E" w:rsidRPr="00833C88">
        <w:rPr>
          <w:rFonts w:cs="Times New Roman"/>
          <w:sz w:val="24"/>
          <w:szCs w:val="24"/>
        </w:rPr>
        <w:t>sprawie</w:t>
      </w:r>
      <w:r w:rsidR="001A3EE0" w:rsidRPr="00833C88">
        <w:rPr>
          <w:rFonts w:cs="Times New Roman"/>
          <w:sz w:val="24"/>
          <w:szCs w:val="24"/>
        </w:rPr>
        <w:t xml:space="preserve"> weryfikacji niekaralności osoby zatrudnionej </w:t>
      </w:r>
      <w:r w:rsidR="00601933" w:rsidRPr="00833C88">
        <w:rPr>
          <w:rFonts w:cs="Times New Roman"/>
          <w:sz w:val="24"/>
          <w:szCs w:val="24"/>
        </w:rPr>
        <w:t>w </w:t>
      </w:r>
      <w:r w:rsidR="001A3EE0" w:rsidRPr="00833C88">
        <w:rPr>
          <w:rFonts w:cs="Times New Roman"/>
          <w:sz w:val="24"/>
          <w:szCs w:val="24"/>
        </w:rPr>
        <w:t xml:space="preserve">podmiocie </w:t>
      </w:r>
      <w:r w:rsidR="00601933" w:rsidRPr="00833C88">
        <w:rPr>
          <w:rFonts w:cs="Times New Roman"/>
          <w:sz w:val="24"/>
          <w:szCs w:val="24"/>
        </w:rPr>
        <w:t>i </w:t>
      </w:r>
      <w:r w:rsidR="001A3EE0" w:rsidRPr="00833C88">
        <w:rPr>
          <w:rFonts w:cs="Times New Roman"/>
          <w:sz w:val="24"/>
          <w:szCs w:val="24"/>
        </w:rPr>
        <w:t xml:space="preserve">realizującej zadania </w:t>
      </w:r>
      <w:r w:rsidR="00601933" w:rsidRPr="00833C88">
        <w:rPr>
          <w:rFonts w:cs="Times New Roman"/>
          <w:sz w:val="24"/>
          <w:szCs w:val="24"/>
        </w:rPr>
        <w:t>z </w:t>
      </w:r>
      <w:r w:rsidR="001A3EE0" w:rsidRPr="00833C88">
        <w:rPr>
          <w:rFonts w:cs="Times New Roman"/>
          <w:sz w:val="24"/>
          <w:szCs w:val="24"/>
        </w:rPr>
        <w:t xml:space="preserve">zakresu cyberbezpieczeństwa. </w:t>
      </w:r>
      <w:r w:rsidR="00781C7E" w:rsidRPr="00833C88">
        <w:rPr>
          <w:rFonts w:cs="Times New Roman"/>
          <w:sz w:val="24"/>
          <w:szCs w:val="24"/>
        </w:rPr>
        <w:t>Ta</w:t>
      </w:r>
      <w:r w:rsidR="001A275A" w:rsidRPr="00833C88">
        <w:rPr>
          <w:rFonts w:cs="Times New Roman"/>
          <w:sz w:val="24"/>
          <w:szCs w:val="24"/>
        </w:rPr>
        <w:t> </w:t>
      </w:r>
      <w:r w:rsidR="00781C7E" w:rsidRPr="00833C88">
        <w:rPr>
          <w:rFonts w:cs="Times New Roman"/>
          <w:sz w:val="24"/>
          <w:szCs w:val="24"/>
        </w:rPr>
        <w:t xml:space="preserve">ustawa dopuszcza obecnie sytuację, gdy to pracodawca może weryfikować niekaralność, jeżeli </w:t>
      </w:r>
      <w:r w:rsidR="00601933" w:rsidRPr="00833C88">
        <w:rPr>
          <w:rFonts w:cs="Times New Roman"/>
          <w:sz w:val="24"/>
          <w:szCs w:val="24"/>
        </w:rPr>
        <w:t>z </w:t>
      </w:r>
      <w:r w:rsidR="00781C7E" w:rsidRPr="00833C88">
        <w:rPr>
          <w:rFonts w:cs="Times New Roman"/>
          <w:sz w:val="24"/>
          <w:szCs w:val="24"/>
        </w:rPr>
        <w:t xml:space="preserve">przepisów odrębnych </w:t>
      </w:r>
      <w:r w:rsidR="00211A4B" w:rsidRPr="00833C88">
        <w:rPr>
          <w:rFonts w:cs="Times New Roman"/>
          <w:sz w:val="24"/>
          <w:szCs w:val="24"/>
        </w:rPr>
        <w:t xml:space="preserve">wynika wymóg niekaralności pracownika. Natomiast przy zadaniach </w:t>
      </w:r>
      <w:r w:rsidR="00601933" w:rsidRPr="00833C88">
        <w:rPr>
          <w:rFonts w:cs="Times New Roman"/>
          <w:sz w:val="24"/>
          <w:szCs w:val="24"/>
        </w:rPr>
        <w:t>z </w:t>
      </w:r>
      <w:r w:rsidR="00211A4B" w:rsidRPr="00833C88">
        <w:rPr>
          <w:rFonts w:cs="Times New Roman"/>
          <w:sz w:val="24"/>
          <w:szCs w:val="24"/>
        </w:rPr>
        <w:t xml:space="preserve">zakresu cyberbezpieczeństwa pojawiają się często inne stosunki zatrudnienia (B2B, umowy zlecenia, umowy </w:t>
      </w:r>
      <w:r w:rsidR="00601933" w:rsidRPr="00833C88">
        <w:rPr>
          <w:rFonts w:cs="Times New Roman"/>
          <w:sz w:val="24"/>
          <w:szCs w:val="24"/>
        </w:rPr>
        <w:t>o </w:t>
      </w:r>
      <w:r w:rsidR="00211A4B" w:rsidRPr="00833C88">
        <w:rPr>
          <w:rFonts w:cs="Times New Roman"/>
          <w:sz w:val="24"/>
          <w:szCs w:val="24"/>
        </w:rPr>
        <w:t>dzieło) stąd należało uzupełnić szerzej ten katalog.</w:t>
      </w:r>
    </w:p>
    <w:p w14:paraId="02E6231F" w14:textId="6F9A8860" w:rsidR="00B13DEC" w:rsidRPr="00833C88" w:rsidRDefault="00B13DEC" w:rsidP="008E5431">
      <w:pPr>
        <w:pStyle w:val="Nagwek3"/>
        <w:spacing w:line="360" w:lineRule="auto"/>
        <w:jc w:val="both"/>
        <w:rPr>
          <w:rFonts w:eastAsia="Times New Roman" w:cs="Times New Roman"/>
          <w:lang w:eastAsia="pl-PL"/>
        </w:rPr>
      </w:pPr>
      <w:r w:rsidRPr="00833C88">
        <w:rPr>
          <w:rFonts w:cs="Times New Roman"/>
        </w:rPr>
        <w:lastRenderedPageBreak/>
        <w:t>Zmiany w ustawie z dnia 21 grudnia 2000 r. o dozorze technicznym</w:t>
      </w:r>
    </w:p>
    <w:p w14:paraId="264B6DF8" w14:textId="2D35B414" w:rsidR="004E5182" w:rsidRPr="00833C88" w:rsidRDefault="003543A8" w:rsidP="00FC20BB">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ustawie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dnia</w:t>
      </w:r>
      <w:r w:rsidR="00641761" w:rsidRPr="00833C88">
        <w:rPr>
          <w:rFonts w:eastAsia="Times New Roman" w:cs="Times New Roman"/>
          <w:sz w:val="24"/>
          <w:szCs w:val="24"/>
          <w:lang w:eastAsia="pl-PL"/>
        </w:rPr>
        <w:t xml:space="preserve"> 21 </w:t>
      </w:r>
      <w:r w:rsidR="004402AF" w:rsidRPr="00833C88">
        <w:rPr>
          <w:rFonts w:eastAsia="Times New Roman" w:cs="Times New Roman"/>
          <w:sz w:val="24"/>
          <w:szCs w:val="24"/>
          <w:lang w:eastAsia="pl-PL"/>
        </w:rPr>
        <w:t>grudnia 2000</w:t>
      </w:r>
      <w:r w:rsidRPr="00833C88">
        <w:rPr>
          <w:rFonts w:eastAsia="Times New Roman" w:cs="Times New Roman"/>
          <w:sz w:val="24"/>
          <w:szCs w:val="24"/>
          <w:lang w:eastAsia="pl-PL"/>
        </w:rPr>
        <w:t xml:space="preserve"> r. </w:t>
      </w:r>
      <w:r w:rsidR="00601933" w:rsidRPr="00833C88">
        <w:rPr>
          <w:rFonts w:eastAsia="Times New Roman" w:cs="Times New Roman"/>
          <w:sz w:val="24"/>
          <w:szCs w:val="24"/>
          <w:lang w:eastAsia="pl-PL"/>
        </w:rPr>
        <w:t>o </w:t>
      </w:r>
      <w:r w:rsidR="00641761" w:rsidRPr="00833C88">
        <w:rPr>
          <w:rFonts w:eastAsia="Times New Roman" w:cs="Times New Roman"/>
          <w:sz w:val="24"/>
          <w:szCs w:val="24"/>
          <w:lang w:eastAsia="pl-PL"/>
        </w:rPr>
        <w:t>dozorze technicznym</w:t>
      </w:r>
      <w:r w:rsidRPr="00833C88">
        <w:rPr>
          <w:rFonts w:eastAsia="Times New Roman" w:cs="Times New Roman"/>
          <w:sz w:val="24"/>
          <w:szCs w:val="24"/>
          <w:lang w:eastAsia="pl-PL"/>
        </w:rPr>
        <w:t xml:space="preserve"> </w:t>
      </w:r>
      <w:r w:rsidR="00641761" w:rsidRPr="00833C88">
        <w:rPr>
          <w:rFonts w:eastAsia="Times New Roman" w:cs="Times New Roman"/>
          <w:sz w:val="24"/>
          <w:szCs w:val="24"/>
          <w:lang w:eastAsia="pl-PL"/>
        </w:rPr>
        <w:t xml:space="preserve">(Dz. U. </w:t>
      </w:r>
      <w:r w:rsidR="00601933" w:rsidRPr="00833C88">
        <w:rPr>
          <w:rFonts w:eastAsia="Times New Roman" w:cs="Times New Roman"/>
          <w:sz w:val="24"/>
          <w:szCs w:val="24"/>
          <w:lang w:eastAsia="pl-PL"/>
        </w:rPr>
        <w:t>z </w:t>
      </w:r>
      <w:r w:rsidR="00641761" w:rsidRPr="00833C88">
        <w:rPr>
          <w:rFonts w:eastAsia="Times New Roman" w:cs="Times New Roman"/>
          <w:sz w:val="24"/>
          <w:szCs w:val="24"/>
          <w:lang w:eastAsia="pl-PL"/>
        </w:rPr>
        <w:t>2024 r. poz.</w:t>
      </w:r>
      <w:r w:rsidR="001A275A" w:rsidRPr="00833C88">
        <w:rPr>
          <w:rFonts w:eastAsia="Times New Roman" w:cs="Times New Roman"/>
          <w:sz w:val="24"/>
          <w:szCs w:val="24"/>
          <w:lang w:eastAsia="pl-PL"/>
        </w:rPr>
        <w:t> </w:t>
      </w:r>
      <w:r w:rsidR="00641761" w:rsidRPr="00833C88">
        <w:rPr>
          <w:rFonts w:eastAsia="Times New Roman" w:cs="Times New Roman"/>
          <w:sz w:val="24"/>
          <w:szCs w:val="24"/>
          <w:lang w:eastAsia="pl-PL"/>
        </w:rPr>
        <w:t>1194)</w:t>
      </w:r>
      <w:r w:rsidR="00641761" w:rsidRPr="00833C88">
        <w:rPr>
          <w:rFonts w:cs="Times New Roman"/>
          <w:sz w:val="24"/>
          <w:szCs w:val="24"/>
        </w:rPr>
        <w:t xml:space="preserve"> </w:t>
      </w:r>
      <w:r w:rsidR="00641761" w:rsidRPr="00833C88">
        <w:rPr>
          <w:rStyle w:val="ui-provider"/>
          <w:rFonts w:cs="Times New Roman"/>
          <w:sz w:val="24"/>
          <w:szCs w:val="24"/>
        </w:rPr>
        <w:t xml:space="preserve">pozwolą ministrowi właściwemu do spraw gospodarki powierzenie realizacji zadań CSIRT sektorowego dla sektorów produkcji, produkcji chemikaliów </w:t>
      </w:r>
      <w:r w:rsidR="00601933" w:rsidRPr="00833C88">
        <w:rPr>
          <w:rStyle w:val="ui-provider"/>
          <w:rFonts w:cs="Times New Roman"/>
          <w:sz w:val="24"/>
          <w:szCs w:val="24"/>
        </w:rPr>
        <w:t>i </w:t>
      </w:r>
      <w:r w:rsidR="00641761" w:rsidRPr="00833C88">
        <w:rPr>
          <w:rStyle w:val="ui-provider"/>
          <w:rFonts w:cs="Times New Roman"/>
          <w:sz w:val="24"/>
          <w:szCs w:val="24"/>
        </w:rPr>
        <w:t>przestrzeni kosmicznej Urzędowi Dozoru Technicznego</w:t>
      </w:r>
      <w:r w:rsidR="00B4269F" w:rsidRPr="00833C88">
        <w:rPr>
          <w:rStyle w:val="ui-provider"/>
          <w:rFonts w:cs="Times New Roman"/>
          <w:sz w:val="24"/>
          <w:szCs w:val="24"/>
        </w:rPr>
        <w:t>, zwanego dalej „</w:t>
      </w:r>
      <w:r w:rsidR="00641761" w:rsidRPr="00833C88">
        <w:rPr>
          <w:rStyle w:val="ui-provider"/>
          <w:rFonts w:cs="Times New Roman"/>
          <w:sz w:val="24"/>
          <w:szCs w:val="24"/>
        </w:rPr>
        <w:t>UDT</w:t>
      </w:r>
      <w:r w:rsidR="00B4269F" w:rsidRPr="00833C88">
        <w:rPr>
          <w:rStyle w:val="ui-provider"/>
          <w:rFonts w:cs="Times New Roman"/>
          <w:sz w:val="24"/>
          <w:szCs w:val="24"/>
        </w:rPr>
        <w:t>”</w:t>
      </w:r>
      <w:r w:rsidR="00641761" w:rsidRPr="00833C88">
        <w:rPr>
          <w:rStyle w:val="ui-provider"/>
          <w:rFonts w:cs="Times New Roman"/>
          <w:sz w:val="24"/>
          <w:szCs w:val="24"/>
        </w:rPr>
        <w:t>.</w:t>
      </w:r>
      <w:r w:rsidR="00641761" w:rsidRPr="00833C88" w:rsidDel="003543A8">
        <w:rPr>
          <w:rFonts w:eastAsia="Times New Roman" w:cs="Times New Roman"/>
          <w:sz w:val="24"/>
          <w:szCs w:val="24"/>
          <w:lang w:eastAsia="pl-PL"/>
        </w:rPr>
        <w:t xml:space="preserve"> </w:t>
      </w:r>
      <w:r w:rsidR="00841DCC" w:rsidRPr="00833C88">
        <w:rPr>
          <w:rFonts w:eastAsia="Times New Roman" w:cs="Times New Roman"/>
          <w:sz w:val="24"/>
          <w:szCs w:val="24"/>
          <w:lang w:eastAsia="pl-PL"/>
        </w:rPr>
        <w:t xml:space="preserve">Aby UDT mógł realizować zadania CSIRT sektorowego konieczna jest zmiana art. 37 ustawy </w:t>
      </w:r>
      <w:r w:rsidR="00601933" w:rsidRPr="00833C88">
        <w:rPr>
          <w:rFonts w:eastAsia="Times New Roman" w:cs="Times New Roman"/>
          <w:sz w:val="24"/>
          <w:szCs w:val="24"/>
          <w:lang w:eastAsia="pl-PL"/>
        </w:rPr>
        <w:t>o </w:t>
      </w:r>
      <w:r w:rsidR="00841DCC" w:rsidRPr="00833C88">
        <w:rPr>
          <w:rFonts w:eastAsia="Times New Roman" w:cs="Times New Roman"/>
          <w:sz w:val="24"/>
          <w:szCs w:val="24"/>
          <w:lang w:eastAsia="pl-PL"/>
        </w:rPr>
        <w:t xml:space="preserve">dozorze technicznym określającego zakres działania UDT. Zmiana dotyczy dopisania do katalogu zadań UDT wykonywanie zadań określonych </w:t>
      </w:r>
      <w:r w:rsidR="00601933" w:rsidRPr="00833C88">
        <w:rPr>
          <w:rFonts w:eastAsia="Times New Roman" w:cs="Times New Roman"/>
          <w:sz w:val="24"/>
          <w:szCs w:val="24"/>
          <w:lang w:eastAsia="pl-PL"/>
        </w:rPr>
        <w:t>w </w:t>
      </w:r>
      <w:r w:rsidR="00841DCC" w:rsidRPr="00833C88">
        <w:rPr>
          <w:rFonts w:eastAsia="Times New Roman" w:cs="Times New Roman"/>
          <w:sz w:val="24"/>
          <w:szCs w:val="24"/>
          <w:lang w:eastAsia="pl-PL"/>
        </w:rPr>
        <w:t xml:space="preserve">przepisach ustawy </w:t>
      </w:r>
      <w:r w:rsidR="00601933" w:rsidRPr="00833C88">
        <w:rPr>
          <w:rFonts w:eastAsia="Times New Roman" w:cs="Times New Roman"/>
          <w:sz w:val="24"/>
          <w:szCs w:val="24"/>
          <w:lang w:eastAsia="pl-PL"/>
        </w:rPr>
        <w:t>o </w:t>
      </w:r>
      <w:r w:rsidR="00641761" w:rsidRPr="00833C88">
        <w:rPr>
          <w:rFonts w:eastAsia="Times New Roman" w:cs="Times New Roman"/>
          <w:sz w:val="24"/>
          <w:szCs w:val="24"/>
          <w:lang w:eastAsia="pl-PL"/>
        </w:rPr>
        <w:t xml:space="preserve">KSC. </w:t>
      </w:r>
    </w:p>
    <w:p w14:paraId="514E62D1" w14:textId="47EB6D27" w:rsidR="00223B77" w:rsidRPr="00833C88" w:rsidRDefault="00223B77" w:rsidP="008E5431">
      <w:pPr>
        <w:pStyle w:val="Nagwek3"/>
        <w:spacing w:line="360" w:lineRule="auto"/>
        <w:jc w:val="both"/>
        <w:rPr>
          <w:rFonts w:cs="Times New Roman"/>
          <w:lang w:eastAsia="pl-PL"/>
        </w:rPr>
      </w:pPr>
      <w:r w:rsidRPr="00833C88">
        <w:rPr>
          <w:rFonts w:cs="Times New Roman"/>
          <w:lang w:eastAsia="pl-PL"/>
        </w:rPr>
        <w:t>Zmiany w ustawie z dnia 29 sierpnia 2002 r. o stanie wojennym oraz o</w:t>
      </w:r>
      <w:r w:rsidR="008E5431" w:rsidRPr="00833C88">
        <w:rPr>
          <w:rFonts w:cs="Times New Roman"/>
          <w:lang w:eastAsia="pl-PL"/>
        </w:rPr>
        <w:t> </w:t>
      </w:r>
      <w:r w:rsidRPr="00833C88">
        <w:rPr>
          <w:rFonts w:cs="Times New Roman"/>
          <w:lang w:eastAsia="pl-PL"/>
        </w:rPr>
        <w:t>kompetencjach Naczelnego Dowódcy Sił Zbrojnych i zasadach jego podległości konstytucyjnym organom Rzeczypospolitej Polskiej</w:t>
      </w:r>
    </w:p>
    <w:p w14:paraId="1BF59CC6" w14:textId="7C52156E" w:rsidR="00621AE6" w:rsidRPr="00833C88" w:rsidRDefault="001E1EF9" w:rsidP="00FC20BB">
      <w:pPr>
        <w:spacing w:line="360" w:lineRule="auto"/>
        <w:jc w:val="both"/>
        <w:rPr>
          <w:rFonts w:eastAsia="Times New Roman" w:cs="Times New Roman"/>
          <w:sz w:val="24"/>
          <w:szCs w:val="24"/>
          <w:lang w:eastAsia="pl-PL"/>
        </w:rPr>
      </w:pPr>
      <w:r>
        <w:rPr>
          <w:rFonts w:eastAsia="Times New Roman" w:cs="Times New Roman"/>
          <w:sz w:val="24"/>
          <w:szCs w:val="24"/>
          <w:lang w:eastAsia="pl-PL"/>
        </w:rPr>
        <w:t>W</w:t>
      </w:r>
      <w:r w:rsidR="00601933" w:rsidRPr="00833C88">
        <w:rPr>
          <w:rFonts w:eastAsia="Times New Roman" w:cs="Times New Roman"/>
          <w:sz w:val="24"/>
          <w:szCs w:val="24"/>
          <w:lang w:eastAsia="pl-PL"/>
        </w:rPr>
        <w:t> </w:t>
      </w:r>
      <w:r w:rsidR="00621AE6" w:rsidRPr="00833C88">
        <w:rPr>
          <w:rFonts w:eastAsia="Times New Roman" w:cs="Times New Roman"/>
          <w:sz w:val="24"/>
          <w:szCs w:val="24"/>
          <w:lang w:eastAsia="pl-PL"/>
        </w:rPr>
        <w:t xml:space="preserve">drodze decyzji niepodlegającej ogłoszeniu, zostaną wydzielone </w:t>
      </w:r>
      <w:r w:rsidR="00601933" w:rsidRPr="00833C88">
        <w:rPr>
          <w:rFonts w:eastAsia="Times New Roman" w:cs="Times New Roman"/>
          <w:sz w:val="24"/>
          <w:szCs w:val="24"/>
          <w:lang w:eastAsia="pl-PL"/>
        </w:rPr>
        <w:t>z </w:t>
      </w:r>
      <w:r w:rsidR="00621AE6" w:rsidRPr="00833C88">
        <w:rPr>
          <w:rFonts w:eastAsia="Times New Roman" w:cs="Times New Roman"/>
          <w:sz w:val="24"/>
          <w:szCs w:val="24"/>
          <w:lang w:eastAsia="pl-PL"/>
        </w:rPr>
        <w:t xml:space="preserve">Dowództwa Komponentu Wojsk Obrony Cyberprzestrzeni oraz </w:t>
      </w:r>
      <w:r w:rsidR="00601933" w:rsidRPr="00833C88">
        <w:rPr>
          <w:rFonts w:eastAsia="Times New Roman" w:cs="Times New Roman"/>
          <w:sz w:val="24"/>
          <w:szCs w:val="24"/>
          <w:lang w:eastAsia="pl-PL"/>
        </w:rPr>
        <w:t>z </w:t>
      </w:r>
      <w:r w:rsidR="00621AE6" w:rsidRPr="00833C88">
        <w:rPr>
          <w:rFonts w:eastAsia="Times New Roman" w:cs="Times New Roman"/>
          <w:sz w:val="24"/>
          <w:szCs w:val="24"/>
          <w:lang w:eastAsia="pl-PL"/>
        </w:rPr>
        <w:t xml:space="preserve">jednostek podporządkowanych Dowódcy Komponentu Wojsk Obrony Cyberprzestrzeni zespoły specjalistów oraz zasoby materiałowe </w:t>
      </w:r>
      <w:r w:rsidR="00601933" w:rsidRPr="00833C88">
        <w:rPr>
          <w:rFonts w:eastAsia="Times New Roman" w:cs="Times New Roman"/>
          <w:sz w:val="24"/>
          <w:szCs w:val="24"/>
          <w:lang w:eastAsia="pl-PL"/>
        </w:rPr>
        <w:t>i </w:t>
      </w:r>
      <w:r w:rsidR="00621AE6" w:rsidRPr="00833C88">
        <w:rPr>
          <w:rFonts w:eastAsia="Times New Roman" w:cs="Times New Roman"/>
          <w:sz w:val="24"/>
          <w:szCs w:val="24"/>
          <w:lang w:eastAsia="pl-PL"/>
        </w:rPr>
        <w:t xml:space="preserve">sprzętowe, które będą podlegać Ministrowi Obrony Narodowej </w:t>
      </w:r>
      <w:r w:rsidR="00601933" w:rsidRPr="00833C88">
        <w:rPr>
          <w:rFonts w:eastAsia="Times New Roman" w:cs="Times New Roman"/>
          <w:sz w:val="24"/>
          <w:szCs w:val="24"/>
          <w:lang w:eastAsia="pl-PL"/>
        </w:rPr>
        <w:t>w </w:t>
      </w:r>
      <w:r w:rsidR="00621AE6" w:rsidRPr="00833C88">
        <w:rPr>
          <w:rFonts w:eastAsia="Times New Roman" w:cs="Times New Roman"/>
          <w:sz w:val="24"/>
          <w:szCs w:val="24"/>
          <w:lang w:eastAsia="pl-PL"/>
        </w:rPr>
        <w:t xml:space="preserve">przypadku mianowania Naczelnego Dowódcy Sił Zbrojnych </w:t>
      </w:r>
      <w:r w:rsidR="00601933" w:rsidRPr="00833C88">
        <w:rPr>
          <w:rFonts w:eastAsia="Times New Roman" w:cs="Times New Roman"/>
          <w:sz w:val="24"/>
          <w:szCs w:val="24"/>
          <w:lang w:eastAsia="pl-PL"/>
        </w:rPr>
        <w:t>i </w:t>
      </w:r>
      <w:r w:rsidR="00621AE6" w:rsidRPr="00833C88">
        <w:rPr>
          <w:rFonts w:eastAsia="Times New Roman" w:cs="Times New Roman"/>
          <w:sz w:val="24"/>
          <w:szCs w:val="24"/>
          <w:lang w:eastAsia="pl-PL"/>
        </w:rPr>
        <w:t>przejęcia przez niego dowodzenia Siłami Zbrojnymi. T</w:t>
      </w:r>
      <w:r>
        <w:rPr>
          <w:rFonts w:eastAsia="Times New Roman" w:cs="Times New Roman"/>
          <w:sz w:val="24"/>
          <w:szCs w:val="24"/>
          <w:lang w:eastAsia="pl-PL"/>
        </w:rPr>
        <w:t>akie</w:t>
      </w:r>
      <w:r w:rsidR="001A275A" w:rsidRPr="00833C88">
        <w:rPr>
          <w:rFonts w:eastAsia="Times New Roman" w:cs="Times New Roman"/>
          <w:sz w:val="24"/>
          <w:szCs w:val="24"/>
          <w:lang w:eastAsia="pl-PL"/>
        </w:rPr>
        <w:t> </w:t>
      </w:r>
      <w:r w:rsidR="00621AE6" w:rsidRPr="00833C88">
        <w:rPr>
          <w:rFonts w:eastAsia="Times New Roman" w:cs="Times New Roman"/>
          <w:sz w:val="24"/>
          <w:szCs w:val="24"/>
          <w:lang w:eastAsia="pl-PL"/>
        </w:rPr>
        <w:t xml:space="preserve">rozwiązanie ma zapewnić, że </w:t>
      </w:r>
      <w:r w:rsidR="00601933" w:rsidRPr="00833C88">
        <w:rPr>
          <w:rFonts w:eastAsia="Times New Roman" w:cs="Times New Roman"/>
          <w:sz w:val="24"/>
          <w:szCs w:val="24"/>
          <w:lang w:eastAsia="pl-PL"/>
        </w:rPr>
        <w:t>w </w:t>
      </w:r>
      <w:r w:rsidR="00621AE6" w:rsidRPr="00833C88">
        <w:rPr>
          <w:rFonts w:eastAsia="Times New Roman" w:cs="Times New Roman"/>
          <w:sz w:val="24"/>
          <w:szCs w:val="24"/>
          <w:lang w:eastAsia="pl-PL"/>
        </w:rPr>
        <w:t xml:space="preserve">przypadku wprowadzenia stanu wojennego lub podobnej sytuacji, Minister Obrony Narodowej wciąż będzie dysponował personelem </w:t>
      </w:r>
      <w:r w:rsidR="00601933" w:rsidRPr="00833C88">
        <w:rPr>
          <w:rFonts w:eastAsia="Times New Roman" w:cs="Times New Roman"/>
          <w:sz w:val="24"/>
          <w:szCs w:val="24"/>
          <w:lang w:eastAsia="pl-PL"/>
        </w:rPr>
        <w:t>i </w:t>
      </w:r>
      <w:r w:rsidR="00621AE6" w:rsidRPr="00833C88">
        <w:rPr>
          <w:rFonts w:eastAsia="Times New Roman" w:cs="Times New Roman"/>
          <w:sz w:val="24"/>
          <w:szCs w:val="24"/>
          <w:lang w:eastAsia="pl-PL"/>
        </w:rPr>
        <w:t>zasobami niezbędnymi do realizacji ustawowych zadań.</w:t>
      </w:r>
    </w:p>
    <w:p w14:paraId="0221F07E" w14:textId="729E8E77" w:rsidR="006F2122" w:rsidRPr="00833C88" w:rsidRDefault="006F2122" w:rsidP="00390968">
      <w:pPr>
        <w:pStyle w:val="Nagwek3"/>
        <w:spacing w:line="360" w:lineRule="auto"/>
        <w:jc w:val="both"/>
        <w:rPr>
          <w:rFonts w:cs="Times New Roman"/>
          <w:lang w:eastAsia="pl-PL"/>
        </w:rPr>
      </w:pPr>
      <w:r w:rsidRPr="00833C88">
        <w:rPr>
          <w:rFonts w:cs="Times New Roman"/>
          <w:lang w:eastAsia="pl-PL"/>
        </w:rPr>
        <w:t xml:space="preserve">Zmiany w </w:t>
      </w:r>
      <w:r w:rsidR="00B710A9" w:rsidRPr="00833C88">
        <w:rPr>
          <w:rFonts w:cs="Times New Roman"/>
          <w:lang w:eastAsia="pl-PL"/>
        </w:rPr>
        <w:t>ustawie z dnia 21 lipca 2006 r. o nadzorze nad rynkiem finansowym</w:t>
      </w:r>
    </w:p>
    <w:p w14:paraId="06FBD1CC" w14:textId="4E346369" w:rsidR="00B710A9" w:rsidRPr="00833C88" w:rsidRDefault="00D95C24"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Zmiany w</w:t>
      </w:r>
      <w:r w:rsidR="001E1EF9">
        <w:rPr>
          <w:rFonts w:eastAsia="Times New Roman" w:cs="Times New Roman"/>
          <w:sz w:val="24"/>
          <w:szCs w:val="24"/>
          <w:lang w:eastAsia="pl-PL"/>
        </w:rPr>
        <w:t xml:space="preserve"> przedmiotowej ustawie </w:t>
      </w:r>
      <w:r w:rsidRPr="00833C88">
        <w:rPr>
          <w:rFonts w:eastAsia="Times New Roman" w:cs="Times New Roman"/>
          <w:sz w:val="24"/>
          <w:szCs w:val="24"/>
          <w:lang w:eastAsia="pl-PL"/>
        </w:rPr>
        <w:t>polegają na uzupełnieniu strony przychodowej Urzędu Komisji Nadzoru Finansowego o dotacje</w:t>
      </w:r>
      <w:r w:rsidR="00A00DB6" w:rsidRPr="00833C88">
        <w:rPr>
          <w:rFonts w:eastAsia="Times New Roman" w:cs="Times New Roman"/>
          <w:sz w:val="24"/>
          <w:szCs w:val="24"/>
          <w:lang w:eastAsia="pl-PL"/>
        </w:rPr>
        <w:t xml:space="preserve"> z budżetu państwa, o których mowa w art. 42 ust. 9 oraz art. 44d ust. 4 ustawy z dnia 5 lipca 2018 r. o</w:t>
      </w:r>
      <w:r w:rsidR="00390968" w:rsidRPr="00833C88">
        <w:rPr>
          <w:rFonts w:eastAsia="Times New Roman" w:cs="Times New Roman"/>
          <w:sz w:val="24"/>
          <w:szCs w:val="24"/>
          <w:lang w:eastAsia="pl-PL"/>
        </w:rPr>
        <w:t> </w:t>
      </w:r>
      <w:r w:rsidR="00A00DB6" w:rsidRPr="00833C88">
        <w:rPr>
          <w:rFonts w:eastAsia="Times New Roman" w:cs="Times New Roman"/>
          <w:sz w:val="24"/>
          <w:szCs w:val="24"/>
          <w:lang w:eastAsia="pl-PL"/>
        </w:rPr>
        <w:t xml:space="preserve">krajowym systemie cyberbezpieczeństwa. Są to dotacje na funkcjonowanie organu właściwego do spraw cyberbezpieczeństwa </w:t>
      </w:r>
      <w:r w:rsidR="00130419" w:rsidRPr="00833C88">
        <w:rPr>
          <w:rFonts w:eastAsia="Times New Roman" w:cs="Times New Roman"/>
          <w:sz w:val="24"/>
          <w:szCs w:val="24"/>
          <w:lang w:eastAsia="pl-PL"/>
        </w:rPr>
        <w:t xml:space="preserve">oraz CSIRT sektorowego dla sektora bankowości i infrastruktury rynków finansowych. Wskazano też, </w:t>
      </w:r>
      <w:r w:rsidR="008A205E" w:rsidRPr="00833C88">
        <w:rPr>
          <w:rFonts w:eastAsia="Times New Roman" w:cs="Times New Roman"/>
          <w:sz w:val="24"/>
          <w:szCs w:val="24"/>
          <w:lang w:eastAsia="pl-PL"/>
        </w:rPr>
        <w:t xml:space="preserve">że z przychodów Urzędu Komisji Nadzoru Finansowego pokrywa się koszty funkcjonowania Urzędu Komisji i jego organów oraz koszty realizacji zadań Komisji wynikających z ustawy z dnia 5 lipca 2018 r. o krajowym systemie cyberbezpieczeństwa. </w:t>
      </w:r>
    </w:p>
    <w:p w14:paraId="76BD4559" w14:textId="19584396" w:rsidR="00B710A9" w:rsidRPr="00833C88" w:rsidRDefault="00B37232" w:rsidP="00390968">
      <w:pPr>
        <w:pStyle w:val="Nagwek3"/>
        <w:spacing w:line="360" w:lineRule="auto"/>
        <w:jc w:val="both"/>
        <w:rPr>
          <w:rFonts w:cs="Times New Roman"/>
          <w:lang w:eastAsia="pl-PL"/>
        </w:rPr>
      </w:pPr>
      <w:r w:rsidRPr="00833C88">
        <w:rPr>
          <w:rFonts w:cs="Times New Roman"/>
          <w:lang w:eastAsia="pl-PL"/>
        </w:rPr>
        <w:t>Zmiany w ustawie z dnia 28 kwietnia 2011 r. o systemie i informacji w</w:t>
      </w:r>
      <w:r w:rsidR="00390968" w:rsidRPr="00833C88">
        <w:rPr>
          <w:rFonts w:cs="Times New Roman"/>
          <w:lang w:eastAsia="pl-PL"/>
        </w:rPr>
        <w:t> </w:t>
      </w:r>
      <w:r w:rsidRPr="00833C88">
        <w:rPr>
          <w:rFonts w:cs="Times New Roman"/>
          <w:lang w:eastAsia="pl-PL"/>
        </w:rPr>
        <w:t>ochronie zdrowia</w:t>
      </w:r>
    </w:p>
    <w:p w14:paraId="3B457762" w14:textId="3B9BF914" w:rsidR="00A01450" w:rsidRPr="00833C88" w:rsidRDefault="00A01450" w:rsidP="00FC20BB">
      <w:pPr>
        <w:spacing w:line="360" w:lineRule="auto"/>
        <w:jc w:val="both"/>
        <w:rPr>
          <w:rFonts w:cs="Times New Roman"/>
          <w:sz w:val="24"/>
          <w:szCs w:val="24"/>
        </w:rPr>
      </w:pPr>
      <w:r w:rsidRPr="00833C88">
        <w:rPr>
          <w:rFonts w:eastAsia="Times New Roman" w:cs="Times New Roman"/>
          <w:sz w:val="24"/>
          <w:szCs w:val="24"/>
          <w:lang w:eastAsia="pl-PL"/>
        </w:rPr>
        <w:t xml:space="preserve">Zmiana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ustawie z</w:t>
      </w:r>
      <w:r w:rsidR="003229C7" w:rsidRPr="00833C88">
        <w:rPr>
          <w:rFonts w:eastAsia="Times New Roman" w:cs="Times New Roman"/>
          <w:sz w:val="24"/>
          <w:szCs w:val="24"/>
          <w:lang w:eastAsia="pl-PL"/>
        </w:rPr>
        <w:t xml:space="preserve"> dnia 28 kwietnia 2011 r. </w:t>
      </w:r>
      <w:r w:rsidR="00601933" w:rsidRPr="00833C88">
        <w:rPr>
          <w:rFonts w:eastAsia="Times New Roman" w:cs="Times New Roman"/>
          <w:sz w:val="24"/>
          <w:szCs w:val="24"/>
          <w:lang w:eastAsia="pl-PL"/>
        </w:rPr>
        <w:t>o </w:t>
      </w:r>
      <w:r w:rsidR="003229C7" w:rsidRPr="00833C88">
        <w:rPr>
          <w:rFonts w:eastAsia="Times New Roman" w:cs="Times New Roman"/>
          <w:sz w:val="24"/>
          <w:szCs w:val="24"/>
          <w:lang w:eastAsia="pl-PL"/>
        </w:rPr>
        <w:t xml:space="preserve">systemie </w:t>
      </w:r>
      <w:r w:rsidR="00601933" w:rsidRPr="00833C88">
        <w:rPr>
          <w:rFonts w:eastAsia="Times New Roman" w:cs="Times New Roman"/>
          <w:sz w:val="24"/>
          <w:szCs w:val="24"/>
          <w:lang w:eastAsia="pl-PL"/>
        </w:rPr>
        <w:t>i </w:t>
      </w:r>
      <w:r w:rsidR="003229C7" w:rsidRPr="00833C88">
        <w:rPr>
          <w:rFonts w:eastAsia="Times New Roman" w:cs="Times New Roman"/>
          <w:sz w:val="24"/>
          <w:szCs w:val="24"/>
          <w:lang w:eastAsia="pl-PL"/>
        </w:rPr>
        <w:t xml:space="preserve">informacji </w:t>
      </w:r>
      <w:r w:rsidR="00601933" w:rsidRPr="00833C88">
        <w:rPr>
          <w:rFonts w:eastAsia="Times New Roman" w:cs="Times New Roman"/>
          <w:sz w:val="24"/>
          <w:szCs w:val="24"/>
          <w:lang w:eastAsia="pl-PL"/>
        </w:rPr>
        <w:t>w </w:t>
      </w:r>
      <w:r w:rsidR="003229C7" w:rsidRPr="00833C88">
        <w:rPr>
          <w:rFonts w:eastAsia="Times New Roman" w:cs="Times New Roman"/>
          <w:sz w:val="24"/>
          <w:szCs w:val="24"/>
          <w:lang w:eastAsia="pl-PL"/>
        </w:rPr>
        <w:t>ochronie zdrowia</w:t>
      </w:r>
      <w:r w:rsidR="00EB552C" w:rsidRPr="00833C88">
        <w:rPr>
          <w:rFonts w:eastAsia="Times New Roman" w:cs="Times New Roman"/>
          <w:sz w:val="24"/>
          <w:szCs w:val="24"/>
          <w:lang w:eastAsia="pl-PL"/>
        </w:rPr>
        <w:t xml:space="preserve"> (Dz.</w:t>
      </w:r>
      <w:r w:rsidR="00390968" w:rsidRPr="00833C88">
        <w:rPr>
          <w:rFonts w:eastAsia="Times New Roman" w:cs="Times New Roman"/>
          <w:sz w:val="24"/>
          <w:szCs w:val="24"/>
          <w:lang w:eastAsia="pl-PL"/>
        </w:rPr>
        <w:t> </w:t>
      </w:r>
      <w:r w:rsidR="00EB552C" w:rsidRPr="00833C88">
        <w:rPr>
          <w:rFonts w:eastAsia="Times New Roman" w:cs="Times New Roman"/>
          <w:sz w:val="24"/>
          <w:szCs w:val="24"/>
          <w:lang w:eastAsia="pl-PL"/>
        </w:rPr>
        <w:t>U. z 2025 r. poz. 302</w:t>
      </w:r>
      <w:r w:rsidR="0054567B" w:rsidRPr="00833C88">
        <w:rPr>
          <w:rFonts w:eastAsia="Times New Roman" w:cs="Times New Roman"/>
          <w:sz w:val="24"/>
          <w:szCs w:val="24"/>
          <w:lang w:eastAsia="pl-PL"/>
        </w:rPr>
        <w:t xml:space="preserve"> i 779</w:t>
      </w:r>
      <w:r w:rsidR="00EB552C" w:rsidRPr="00833C88">
        <w:rPr>
          <w:rFonts w:eastAsia="Times New Roman" w:cs="Times New Roman"/>
          <w:sz w:val="24"/>
          <w:szCs w:val="24"/>
          <w:lang w:eastAsia="pl-PL"/>
        </w:rPr>
        <w:t>)</w:t>
      </w:r>
      <w:r w:rsidR="003229C7" w:rsidRPr="00833C88">
        <w:rPr>
          <w:rFonts w:eastAsia="Times New Roman" w:cs="Times New Roman"/>
          <w:sz w:val="24"/>
          <w:szCs w:val="24"/>
          <w:lang w:eastAsia="pl-PL"/>
        </w:rPr>
        <w:t xml:space="preserve"> ma na celu </w:t>
      </w:r>
      <w:r w:rsidR="00B01118" w:rsidRPr="00833C88">
        <w:rPr>
          <w:rFonts w:eastAsia="Times New Roman" w:cs="Times New Roman"/>
          <w:sz w:val="24"/>
          <w:szCs w:val="24"/>
          <w:lang w:eastAsia="pl-PL"/>
        </w:rPr>
        <w:t>likwidację odwołania do przepisów</w:t>
      </w:r>
      <w:r w:rsidR="008E4D59" w:rsidRPr="00833C88">
        <w:rPr>
          <w:rFonts w:eastAsia="Times New Roman" w:cs="Times New Roman"/>
          <w:sz w:val="24"/>
          <w:szCs w:val="24"/>
          <w:lang w:eastAsia="pl-PL"/>
        </w:rPr>
        <w:t xml:space="preserve"> wykonawczych </w:t>
      </w:r>
      <w:r w:rsidR="008E4D59" w:rsidRPr="00833C88">
        <w:rPr>
          <w:rFonts w:eastAsia="Times New Roman" w:cs="Times New Roman"/>
          <w:sz w:val="24"/>
          <w:szCs w:val="24"/>
          <w:lang w:eastAsia="pl-PL"/>
        </w:rPr>
        <w:lastRenderedPageBreak/>
        <w:t>wydanych na podstawie</w:t>
      </w:r>
      <w:r w:rsidR="00B01118" w:rsidRPr="00833C88">
        <w:rPr>
          <w:rFonts w:eastAsia="Times New Roman" w:cs="Times New Roman"/>
          <w:sz w:val="24"/>
          <w:szCs w:val="24"/>
          <w:lang w:eastAsia="pl-PL"/>
        </w:rPr>
        <w:t xml:space="preserve"> </w:t>
      </w:r>
      <w:r w:rsidR="00DE1DA7"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DE1DA7" w:rsidRPr="00833C88">
        <w:rPr>
          <w:rFonts w:eastAsia="Times New Roman" w:cs="Times New Roman"/>
          <w:sz w:val="24"/>
          <w:szCs w:val="24"/>
          <w:lang w:eastAsia="pl-PL"/>
        </w:rPr>
        <w:t>informatyzacji podmiotów realizujących zadania publiczne</w:t>
      </w:r>
      <w:r w:rsidR="008E4D5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8E4D59" w:rsidRPr="00833C88">
        <w:rPr>
          <w:rFonts w:eastAsia="Times New Roman" w:cs="Times New Roman"/>
          <w:sz w:val="24"/>
          <w:szCs w:val="24"/>
          <w:lang w:eastAsia="pl-PL"/>
        </w:rPr>
        <w:t xml:space="preserve">praktyce </w:t>
      </w:r>
      <w:r w:rsidR="00C73227" w:rsidRPr="00833C88">
        <w:rPr>
          <w:rFonts w:eastAsia="Times New Roman" w:cs="Times New Roman"/>
          <w:sz w:val="24"/>
          <w:szCs w:val="24"/>
          <w:lang w:eastAsia="pl-PL"/>
        </w:rPr>
        <w:t xml:space="preserve">przepis odwoływał się do wymogów systemu zarządzania bezpieczeństwem informacji zawartych </w:t>
      </w:r>
      <w:r w:rsidR="00601933" w:rsidRPr="00833C88">
        <w:rPr>
          <w:rFonts w:eastAsia="Times New Roman" w:cs="Times New Roman"/>
          <w:sz w:val="24"/>
          <w:szCs w:val="24"/>
          <w:lang w:eastAsia="pl-PL"/>
        </w:rPr>
        <w:t>w </w:t>
      </w:r>
      <w:r w:rsidR="00C73227" w:rsidRPr="00833C88">
        <w:rPr>
          <w:rFonts w:cs="Times New Roman"/>
          <w:sz w:val="24"/>
          <w:szCs w:val="24"/>
        </w:rPr>
        <w:t>rozporządzeni</w:t>
      </w:r>
      <w:r w:rsidR="00601933" w:rsidRPr="00833C88">
        <w:rPr>
          <w:rFonts w:cs="Times New Roman"/>
          <w:sz w:val="24"/>
          <w:szCs w:val="24"/>
        </w:rPr>
        <w:t>u </w:t>
      </w:r>
      <w:r w:rsidR="00C73227" w:rsidRPr="00833C88">
        <w:rPr>
          <w:rFonts w:cs="Times New Roman"/>
          <w:sz w:val="24"/>
          <w:szCs w:val="24"/>
        </w:rPr>
        <w:t xml:space="preserve">Rady Ministrów </w:t>
      </w:r>
      <w:r w:rsidR="00601933" w:rsidRPr="00833C88">
        <w:rPr>
          <w:rFonts w:cs="Times New Roman"/>
          <w:sz w:val="24"/>
          <w:szCs w:val="24"/>
        </w:rPr>
        <w:t>z </w:t>
      </w:r>
      <w:r w:rsidR="00C73227" w:rsidRPr="00833C88">
        <w:rPr>
          <w:rFonts w:cs="Times New Roman"/>
          <w:sz w:val="24"/>
          <w:szCs w:val="24"/>
        </w:rPr>
        <w:t xml:space="preserve">dnia 21 maja 2024 r. </w:t>
      </w:r>
      <w:r w:rsidR="00601933" w:rsidRPr="00833C88">
        <w:rPr>
          <w:rFonts w:cs="Times New Roman"/>
          <w:sz w:val="24"/>
          <w:szCs w:val="24"/>
        </w:rPr>
        <w:t>w </w:t>
      </w:r>
      <w:r w:rsidR="00C73227" w:rsidRPr="00833C88">
        <w:rPr>
          <w:rFonts w:cs="Times New Roman"/>
          <w:sz w:val="24"/>
          <w:szCs w:val="24"/>
        </w:rPr>
        <w:t xml:space="preserve">sprawie Krajowych Ram Interoperacyjności, minimalnych wymagań dla rejestrów publicznych </w:t>
      </w:r>
      <w:r w:rsidR="00601933" w:rsidRPr="00833C88">
        <w:rPr>
          <w:rFonts w:cs="Times New Roman"/>
          <w:sz w:val="24"/>
          <w:szCs w:val="24"/>
        </w:rPr>
        <w:t>i </w:t>
      </w:r>
      <w:r w:rsidR="00C73227" w:rsidRPr="00833C88">
        <w:rPr>
          <w:rFonts w:cs="Times New Roman"/>
          <w:sz w:val="24"/>
          <w:szCs w:val="24"/>
        </w:rPr>
        <w:t xml:space="preserve">wymiany informacji </w:t>
      </w:r>
      <w:r w:rsidR="00601933" w:rsidRPr="00833C88">
        <w:rPr>
          <w:rFonts w:cs="Times New Roman"/>
          <w:sz w:val="24"/>
          <w:szCs w:val="24"/>
        </w:rPr>
        <w:t>w </w:t>
      </w:r>
      <w:r w:rsidR="00C73227" w:rsidRPr="00833C88">
        <w:rPr>
          <w:rFonts w:cs="Times New Roman"/>
          <w:sz w:val="24"/>
          <w:szCs w:val="24"/>
        </w:rPr>
        <w:t xml:space="preserve">postaci elektronicznej oraz minimalnych wymagań dla systemów teleinformatycznych. </w:t>
      </w:r>
      <w:r w:rsidR="00601933" w:rsidRPr="00833C88">
        <w:rPr>
          <w:rFonts w:cs="Times New Roman"/>
          <w:sz w:val="24"/>
          <w:szCs w:val="24"/>
        </w:rPr>
        <w:t>W </w:t>
      </w:r>
      <w:r w:rsidR="00097F0B" w:rsidRPr="00833C88">
        <w:rPr>
          <w:rFonts w:cs="Times New Roman"/>
          <w:sz w:val="24"/>
          <w:szCs w:val="24"/>
        </w:rPr>
        <w:t xml:space="preserve">zamian odwołanie będzie do art. 8 ustawy </w:t>
      </w:r>
      <w:r w:rsidR="00601933" w:rsidRPr="00833C88">
        <w:rPr>
          <w:rFonts w:cs="Times New Roman"/>
          <w:sz w:val="24"/>
          <w:szCs w:val="24"/>
        </w:rPr>
        <w:t>o </w:t>
      </w:r>
      <w:r w:rsidR="00097F0B" w:rsidRPr="00833C88">
        <w:rPr>
          <w:rFonts w:cs="Times New Roman"/>
          <w:sz w:val="24"/>
          <w:szCs w:val="24"/>
        </w:rPr>
        <w:t>krajowym systemie cyberbezpieczeństwa</w:t>
      </w:r>
      <w:r w:rsidR="008441E6" w:rsidRPr="00833C88">
        <w:rPr>
          <w:rFonts w:cs="Times New Roman"/>
          <w:sz w:val="24"/>
          <w:szCs w:val="24"/>
        </w:rPr>
        <w:t>, który zawiera wymogi dla systemu zarządzania bezpieczeństwem informacji.</w:t>
      </w:r>
    </w:p>
    <w:p w14:paraId="50857957" w14:textId="68100E68" w:rsidR="00706E89" w:rsidRPr="00833C88" w:rsidRDefault="00706E89" w:rsidP="00390968">
      <w:pPr>
        <w:pStyle w:val="Nagwek3"/>
        <w:spacing w:line="360" w:lineRule="auto"/>
        <w:jc w:val="both"/>
        <w:rPr>
          <w:rFonts w:eastAsia="Times New Roman" w:cs="Times New Roman"/>
          <w:lang w:eastAsia="pl-PL"/>
        </w:rPr>
      </w:pPr>
      <w:r w:rsidRPr="00833C88">
        <w:rPr>
          <w:rFonts w:cs="Times New Roman"/>
        </w:rPr>
        <w:t>Zmiany w ustawie z dnia 5 września 2016 r. o usługach zaufania oraz identyfikacji elektronicznej</w:t>
      </w:r>
    </w:p>
    <w:p w14:paraId="55F5B8EB" w14:textId="77777777" w:rsidR="0054567B" w:rsidRPr="00833C88" w:rsidRDefault="00661415" w:rsidP="00FC20BB">
      <w:pPr>
        <w:spacing w:line="360" w:lineRule="auto"/>
        <w:jc w:val="both"/>
        <w:rPr>
          <w:rFonts w:cs="Times New Roman"/>
          <w:sz w:val="24"/>
          <w:szCs w:val="24"/>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00603A67" w:rsidRPr="00833C88">
        <w:rPr>
          <w:rFonts w:eastAsia="Times New Roman" w:cs="Times New Roman"/>
          <w:sz w:val="24"/>
          <w:szCs w:val="24"/>
          <w:lang w:eastAsia="pl-PL"/>
        </w:rPr>
        <w:t xml:space="preserve">ustawie </w:t>
      </w:r>
      <w:r w:rsidR="00601933" w:rsidRPr="00833C88">
        <w:rPr>
          <w:rFonts w:eastAsia="Times New Roman" w:cs="Times New Roman"/>
          <w:sz w:val="24"/>
          <w:szCs w:val="24"/>
          <w:lang w:eastAsia="pl-PL"/>
        </w:rPr>
        <w:t>z </w:t>
      </w:r>
      <w:r w:rsidR="00603A67" w:rsidRPr="00833C88">
        <w:rPr>
          <w:rFonts w:eastAsia="Times New Roman" w:cs="Times New Roman"/>
          <w:sz w:val="24"/>
          <w:szCs w:val="24"/>
          <w:lang w:eastAsia="pl-PL"/>
        </w:rPr>
        <w:t xml:space="preserve">dnia 5 września 2016 r. </w:t>
      </w:r>
      <w:r w:rsidR="00601933" w:rsidRPr="00833C88">
        <w:rPr>
          <w:rFonts w:eastAsia="Times New Roman" w:cs="Times New Roman"/>
          <w:sz w:val="24"/>
          <w:szCs w:val="24"/>
          <w:lang w:eastAsia="pl-PL"/>
        </w:rPr>
        <w:t>o </w:t>
      </w:r>
      <w:r w:rsidR="00603A67" w:rsidRPr="00833C88">
        <w:rPr>
          <w:rFonts w:eastAsia="Times New Roman" w:cs="Times New Roman"/>
          <w:sz w:val="24"/>
          <w:szCs w:val="24"/>
          <w:lang w:eastAsia="pl-PL"/>
        </w:rPr>
        <w:t>usługach zaufania oraz identyfikacji elektronicznej</w:t>
      </w:r>
      <w:r w:rsidRPr="00833C88">
        <w:rPr>
          <w:rFonts w:eastAsia="Times New Roman" w:cs="Times New Roman"/>
          <w:sz w:val="24"/>
          <w:szCs w:val="24"/>
          <w:lang w:eastAsia="pl-PL"/>
        </w:rPr>
        <w:t xml:space="preserve"> </w:t>
      </w:r>
      <w:r w:rsidR="00F2445F" w:rsidRPr="00833C88">
        <w:rPr>
          <w:rFonts w:eastAsia="Times New Roman" w:cs="Times New Roman"/>
          <w:sz w:val="24"/>
          <w:szCs w:val="24"/>
          <w:lang w:eastAsia="pl-PL"/>
        </w:rPr>
        <w:t xml:space="preserve">(Dz. U. </w:t>
      </w:r>
      <w:r w:rsidR="00601933" w:rsidRPr="00833C88">
        <w:rPr>
          <w:rFonts w:eastAsia="Times New Roman" w:cs="Times New Roman"/>
          <w:sz w:val="24"/>
          <w:szCs w:val="24"/>
          <w:lang w:eastAsia="pl-PL"/>
        </w:rPr>
        <w:t>z </w:t>
      </w:r>
      <w:r w:rsidR="00F2445F" w:rsidRPr="00833C88">
        <w:rPr>
          <w:rFonts w:eastAsia="Times New Roman" w:cs="Times New Roman"/>
          <w:sz w:val="24"/>
          <w:szCs w:val="24"/>
          <w:lang w:eastAsia="pl-PL"/>
        </w:rPr>
        <w:t xml:space="preserve">2024 r. poz. </w:t>
      </w:r>
      <w:r w:rsidR="002335C7" w:rsidRPr="00833C88">
        <w:rPr>
          <w:rFonts w:eastAsia="Times New Roman" w:cs="Times New Roman"/>
          <w:sz w:val="24"/>
          <w:szCs w:val="24"/>
          <w:lang w:eastAsia="pl-PL"/>
        </w:rPr>
        <w:t>1725</w:t>
      </w:r>
      <w:r w:rsidR="00F2445F" w:rsidRPr="00833C88">
        <w:rPr>
          <w:rFonts w:eastAsia="Times New Roman" w:cs="Times New Roman"/>
          <w:sz w:val="24"/>
          <w:szCs w:val="24"/>
          <w:lang w:eastAsia="pl-PL"/>
        </w:rPr>
        <w:t>)</w:t>
      </w:r>
      <w:r w:rsidR="00641761"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Wprowadzono przepisy, które umożliwią </w:t>
      </w:r>
      <w:r w:rsidR="00854ECE" w:rsidRPr="00833C88">
        <w:rPr>
          <w:rFonts w:eastAsia="Times New Roman" w:cs="Times New Roman"/>
          <w:sz w:val="24"/>
          <w:szCs w:val="24"/>
          <w:lang w:eastAsia="pl-PL"/>
        </w:rPr>
        <w:t>administracji skorzystanie z</w:t>
      </w:r>
      <w:r w:rsidR="00F2445F" w:rsidRPr="00833C88">
        <w:rPr>
          <w:rFonts w:eastAsia="Times New Roman" w:cs="Times New Roman"/>
          <w:sz w:val="24"/>
          <w:szCs w:val="24"/>
          <w:lang w:eastAsia="pl-PL"/>
        </w:rPr>
        <w:t> </w:t>
      </w:r>
      <w:r w:rsidR="00854ECE" w:rsidRPr="00833C88">
        <w:rPr>
          <w:rFonts w:eastAsia="Times New Roman" w:cs="Times New Roman"/>
          <w:sz w:val="24"/>
          <w:szCs w:val="24"/>
          <w:lang w:eastAsia="pl-PL"/>
        </w:rPr>
        <w:t xml:space="preserve">informacji, które już zgromadziła </w:t>
      </w:r>
      <w:r w:rsidR="00601933" w:rsidRPr="00833C88">
        <w:rPr>
          <w:rFonts w:eastAsia="Times New Roman" w:cs="Times New Roman"/>
          <w:sz w:val="24"/>
          <w:szCs w:val="24"/>
          <w:lang w:eastAsia="pl-PL"/>
        </w:rPr>
        <w:t>a </w:t>
      </w:r>
      <w:r w:rsidR="00854ECE" w:rsidRPr="00833C88">
        <w:rPr>
          <w:rFonts w:eastAsia="Times New Roman" w:cs="Times New Roman"/>
          <w:sz w:val="24"/>
          <w:szCs w:val="24"/>
          <w:lang w:eastAsia="pl-PL"/>
        </w:rPr>
        <w:t>także uchylono przepisy</w:t>
      </w:r>
      <w:r w:rsidR="00D61B08" w:rsidRPr="00833C88">
        <w:rPr>
          <w:rFonts w:eastAsia="Times New Roman" w:cs="Times New Roman"/>
          <w:sz w:val="24"/>
          <w:szCs w:val="24"/>
          <w:lang w:eastAsia="pl-PL"/>
        </w:rPr>
        <w:t>,</w:t>
      </w:r>
      <w:r w:rsidR="00854EC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D1768E" w:rsidRPr="00833C88">
        <w:rPr>
          <w:rFonts w:eastAsia="Times New Roman" w:cs="Times New Roman"/>
          <w:sz w:val="24"/>
          <w:szCs w:val="24"/>
          <w:lang w:eastAsia="pl-PL"/>
        </w:rPr>
        <w:t>których wynikały dotychczasowe obowiązki</w:t>
      </w:r>
      <w:r w:rsidR="00FD2F0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FD2F09" w:rsidRPr="00833C88">
        <w:rPr>
          <w:rFonts w:eastAsia="Times New Roman" w:cs="Times New Roman"/>
          <w:sz w:val="24"/>
          <w:szCs w:val="24"/>
          <w:lang w:eastAsia="pl-PL"/>
        </w:rPr>
        <w:t>zakresu cyberbezpieczeństwa dla dostawców usług zaufania – te</w:t>
      </w:r>
      <w:r w:rsidR="00F2445F" w:rsidRPr="00833C88">
        <w:rPr>
          <w:rFonts w:eastAsia="Times New Roman" w:cs="Times New Roman"/>
          <w:sz w:val="24"/>
          <w:szCs w:val="24"/>
          <w:lang w:eastAsia="pl-PL"/>
        </w:rPr>
        <w:t> </w:t>
      </w:r>
      <w:r w:rsidR="00FD2F09" w:rsidRPr="00833C88">
        <w:rPr>
          <w:rFonts w:eastAsia="Times New Roman" w:cs="Times New Roman"/>
          <w:sz w:val="24"/>
          <w:szCs w:val="24"/>
          <w:lang w:eastAsia="pl-PL"/>
        </w:rPr>
        <w:t xml:space="preserve">obowiązki będą teraz wynikały ze znowelizowanej ustawy </w:t>
      </w:r>
      <w:r w:rsidR="00601933" w:rsidRPr="00833C88">
        <w:rPr>
          <w:rFonts w:eastAsia="Times New Roman" w:cs="Times New Roman"/>
          <w:sz w:val="24"/>
          <w:szCs w:val="24"/>
          <w:lang w:eastAsia="pl-PL"/>
        </w:rPr>
        <w:t>o </w:t>
      </w:r>
      <w:r w:rsidR="00FD2F09" w:rsidRPr="00833C88">
        <w:rPr>
          <w:rFonts w:eastAsia="Times New Roman" w:cs="Times New Roman"/>
          <w:sz w:val="24"/>
          <w:szCs w:val="24"/>
          <w:lang w:eastAsia="pl-PL"/>
        </w:rPr>
        <w:t xml:space="preserve">KSC. Wynika to też </w:t>
      </w:r>
      <w:r w:rsidR="00601933" w:rsidRPr="00833C88">
        <w:rPr>
          <w:rFonts w:eastAsia="Times New Roman" w:cs="Times New Roman"/>
          <w:sz w:val="24"/>
          <w:szCs w:val="24"/>
          <w:lang w:eastAsia="pl-PL"/>
        </w:rPr>
        <w:t>z </w:t>
      </w:r>
      <w:r w:rsidR="00FD2F09" w:rsidRPr="00833C88">
        <w:rPr>
          <w:rFonts w:eastAsia="Times New Roman" w:cs="Times New Roman"/>
          <w:sz w:val="24"/>
          <w:szCs w:val="24"/>
          <w:lang w:eastAsia="pl-PL"/>
        </w:rPr>
        <w:t xml:space="preserve">faktu, że dyrektywa NIS 2 uchyliła art. 19 </w:t>
      </w:r>
      <w:r w:rsidR="00941073" w:rsidRPr="00833C88">
        <w:rPr>
          <w:rFonts w:eastAsia="Times New Roman" w:cs="Times New Roman"/>
          <w:sz w:val="24"/>
          <w:szCs w:val="24"/>
          <w:lang w:eastAsia="pl-PL"/>
        </w:rPr>
        <w:t xml:space="preserve">rozporządzenia </w:t>
      </w:r>
      <w:r w:rsidR="00FD2F09" w:rsidRPr="00833C88">
        <w:rPr>
          <w:rFonts w:eastAsia="Times New Roman" w:cs="Times New Roman"/>
          <w:sz w:val="24"/>
          <w:szCs w:val="24"/>
          <w:lang w:eastAsia="pl-PL"/>
        </w:rPr>
        <w:t>EIDAS dotyczący wymogów bezpieczeństwa dla dostawców usług zaufania.</w:t>
      </w:r>
      <w:r w:rsidR="00924E5D" w:rsidRPr="00833C88">
        <w:rPr>
          <w:rFonts w:eastAsia="Times New Roman" w:cs="Times New Roman"/>
          <w:sz w:val="24"/>
          <w:szCs w:val="24"/>
          <w:lang w:eastAsia="pl-PL"/>
        </w:rPr>
        <w:t xml:space="preserve"> Ponadto przepis ma na celu likwidację odwołania do przepisów wykonawczych wydanych na podstawie ustawy </w:t>
      </w:r>
      <w:r w:rsidR="00601933" w:rsidRPr="00833C88">
        <w:rPr>
          <w:rFonts w:eastAsia="Times New Roman" w:cs="Times New Roman"/>
          <w:sz w:val="24"/>
          <w:szCs w:val="24"/>
          <w:lang w:eastAsia="pl-PL"/>
        </w:rPr>
        <w:t>o </w:t>
      </w:r>
      <w:r w:rsidR="00924E5D" w:rsidRPr="00833C88">
        <w:rPr>
          <w:rFonts w:eastAsia="Times New Roman" w:cs="Times New Roman"/>
          <w:sz w:val="24"/>
          <w:szCs w:val="24"/>
          <w:lang w:eastAsia="pl-PL"/>
        </w:rPr>
        <w:t xml:space="preserve">informatyzacji podmiotów realizujących zadania publiczne. </w:t>
      </w:r>
      <w:r w:rsidR="00601933" w:rsidRPr="00833C88">
        <w:rPr>
          <w:rFonts w:eastAsia="Times New Roman" w:cs="Times New Roman"/>
          <w:sz w:val="24"/>
          <w:szCs w:val="24"/>
          <w:lang w:eastAsia="pl-PL"/>
        </w:rPr>
        <w:t>W </w:t>
      </w:r>
      <w:r w:rsidR="00924E5D" w:rsidRPr="00833C88">
        <w:rPr>
          <w:rFonts w:eastAsia="Times New Roman" w:cs="Times New Roman"/>
          <w:sz w:val="24"/>
          <w:szCs w:val="24"/>
          <w:lang w:eastAsia="pl-PL"/>
        </w:rPr>
        <w:t xml:space="preserve">praktyce przepis odwoływał się do wymogów systemu zarządzania bezpieczeństwem informacji zawartych </w:t>
      </w:r>
      <w:r w:rsidR="00601933" w:rsidRPr="00833C88">
        <w:rPr>
          <w:rFonts w:eastAsia="Times New Roman" w:cs="Times New Roman"/>
          <w:sz w:val="24"/>
          <w:szCs w:val="24"/>
          <w:lang w:eastAsia="pl-PL"/>
        </w:rPr>
        <w:t>w </w:t>
      </w:r>
      <w:r w:rsidR="00924E5D" w:rsidRPr="00833C88">
        <w:rPr>
          <w:rFonts w:cs="Times New Roman"/>
          <w:sz w:val="24"/>
          <w:szCs w:val="24"/>
        </w:rPr>
        <w:t xml:space="preserve">rozporządzeniu Rady Ministrów </w:t>
      </w:r>
      <w:r w:rsidR="00601933" w:rsidRPr="00833C88">
        <w:rPr>
          <w:rFonts w:cs="Times New Roman"/>
          <w:sz w:val="24"/>
          <w:szCs w:val="24"/>
        </w:rPr>
        <w:t>z </w:t>
      </w:r>
      <w:r w:rsidR="00924E5D" w:rsidRPr="00833C88">
        <w:rPr>
          <w:rFonts w:cs="Times New Roman"/>
          <w:sz w:val="24"/>
          <w:szCs w:val="24"/>
        </w:rPr>
        <w:t xml:space="preserve">dnia 21 maja 2024 r. </w:t>
      </w:r>
      <w:r w:rsidR="00601933" w:rsidRPr="00833C88">
        <w:rPr>
          <w:rFonts w:cs="Times New Roman"/>
          <w:sz w:val="24"/>
          <w:szCs w:val="24"/>
        </w:rPr>
        <w:t>w </w:t>
      </w:r>
      <w:r w:rsidR="00924E5D" w:rsidRPr="00833C88">
        <w:rPr>
          <w:rFonts w:cs="Times New Roman"/>
          <w:sz w:val="24"/>
          <w:szCs w:val="24"/>
        </w:rPr>
        <w:t xml:space="preserve">sprawie Krajowych Ram Interoperacyjności, minimalnych wymagań dla rejestrów publicznych </w:t>
      </w:r>
      <w:r w:rsidR="00601933" w:rsidRPr="00833C88">
        <w:rPr>
          <w:rFonts w:cs="Times New Roman"/>
          <w:sz w:val="24"/>
          <w:szCs w:val="24"/>
        </w:rPr>
        <w:t>i </w:t>
      </w:r>
      <w:r w:rsidR="00924E5D" w:rsidRPr="00833C88">
        <w:rPr>
          <w:rFonts w:cs="Times New Roman"/>
          <w:sz w:val="24"/>
          <w:szCs w:val="24"/>
        </w:rPr>
        <w:t xml:space="preserve">wymiany informacji </w:t>
      </w:r>
      <w:r w:rsidR="00601933" w:rsidRPr="00833C88">
        <w:rPr>
          <w:rFonts w:cs="Times New Roman"/>
          <w:sz w:val="24"/>
          <w:szCs w:val="24"/>
        </w:rPr>
        <w:t>w </w:t>
      </w:r>
      <w:r w:rsidR="00924E5D" w:rsidRPr="00833C88">
        <w:rPr>
          <w:rFonts w:cs="Times New Roman"/>
          <w:sz w:val="24"/>
          <w:szCs w:val="24"/>
        </w:rPr>
        <w:t xml:space="preserve">postaci elektronicznej oraz minimalnych wymagań dla systemów teleinformatycznych (Dz. U. poz. 773). </w:t>
      </w:r>
      <w:r w:rsidR="00601933" w:rsidRPr="00833C88">
        <w:rPr>
          <w:rFonts w:cs="Times New Roman"/>
          <w:sz w:val="24"/>
          <w:szCs w:val="24"/>
        </w:rPr>
        <w:t>W </w:t>
      </w:r>
      <w:r w:rsidR="00924E5D" w:rsidRPr="00833C88">
        <w:rPr>
          <w:rFonts w:cs="Times New Roman"/>
          <w:sz w:val="24"/>
          <w:szCs w:val="24"/>
        </w:rPr>
        <w:t xml:space="preserve">zamian odwołanie będzie do art. 8 ustawy </w:t>
      </w:r>
      <w:r w:rsidR="00601933" w:rsidRPr="00833C88">
        <w:rPr>
          <w:rFonts w:cs="Times New Roman"/>
          <w:sz w:val="24"/>
          <w:szCs w:val="24"/>
        </w:rPr>
        <w:t>o </w:t>
      </w:r>
      <w:r w:rsidR="00924E5D" w:rsidRPr="00833C88">
        <w:rPr>
          <w:rFonts w:cs="Times New Roman"/>
          <w:sz w:val="24"/>
          <w:szCs w:val="24"/>
        </w:rPr>
        <w:t>krajowym systemie cyberbezpieczeństwa, który zawiera wymogi dla systemu zarządzania bezpieczeństwem informacji.</w:t>
      </w:r>
    </w:p>
    <w:p w14:paraId="67A1DE53" w14:textId="529D6C2B" w:rsidR="00E87ADB" w:rsidRPr="00833C88" w:rsidRDefault="00E87ADB" w:rsidP="00390968">
      <w:pPr>
        <w:pStyle w:val="Nagwek3"/>
        <w:spacing w:line="360" w:lineRule="auto"/>
        <w:jc w:val="both"/>
        <w:rPr>
          <w:rFonts w:cs="Times New Roman"/>
        </w:rPr>
      </w:pPr>
      <w:r w:rsidRPr="00833C88">
        <w:rPr>
          <w:rFonts w:cs="Times New Roman"/>
        </w:rPr>
        <w:t>Zmiany w ustawie z dnia 10 maja 2018 r. o ochronie danych osobowych</w:t>
      </w:r>
    </w:p>
    <w:p w14:paraId="45ED2713" w14:textId="2904F080" w:rsidR="00EE2A36" w:rsidRPr="00833C88" w:rsidRDefault="00601933" w:rsidP="00FC20BB">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B55AD2" w:rsidRPr="00833C88">
        <w:rPr>
          <w:rFonts w:eastAsia="Times New Roman" w:cs="Times New Roman"/>
          <w:sz w:val="24"/>
          <w:szCs w:val="24"/>
          <w:lang w:eastAsia="pl-PL"/>
        </w:rPr>
        <w:t xml:space="preserve">ustawie </w:t>
      </w:r>
      <w:r w:rsidRPr="00833C88">
        <w:rPr>
          <w:rFonts w:eastAsia="Times New Roman" w:cs="Times New Roman"/>
          <w:sz w:val="24"/>
          <w:szCs w:val="24"/>
          <w:lang w:eastAsia="pl-PL"/>
        </w:rPr>
        <w:t>z </w:t>
      </w:r>
      <w:r w:rsidR="00B55AD2" w:rsidRPr="00833C88">
        <w:rPr>
          <w:rFonts w:eastAsia="Times New Roman" w:cs="Times New Roman"/>
          <w:sz w:val="24"/>
          <w:szCs w:val="24"/>
          <w:lang w:eastAsia="pl-PL"/>
        </w:rPr>
        <w:t xml:space="preserve">dnia 10 maja 2018 r. </w:t>
      </w:r>
      <w:r w:rsidRPr="00833C88">
        <w:rPr>
          <w:rFonts w:eastAsia="Times New Roman" w:cs="Times New Roman"/>
          <w:sz w:val="24"/>
          <w:szCs w:val="24"/>
          <w:lang w:eastAsia="pl-PL"/>
        </w:rPr>
        <w:t>o </w:t>
      </w:r>
      <w:r w:rsidR="00D311E3" w:rsidRPr="00833C88">
        <w:rPr>
          <w:rFonts w:eastAsia="Times New Roman" w:cs="Times New Roman"/>
          <w:sz w:val="24"/>
          <w:szCs w:val="24"/>
          <w:lang w:eastAsia="pl-PL"/>
        </w:rPr>
        <w:t xml:space="preserve">ochronie danych osobowych (Dz. U. </w:t>
      </w:r>
      <w:r w:rsidRPr="00833C88">
        <w:rPr>
          <w:rFonts w:eastAsia="Times New Roman" w:cs="Times New Roman"/>
          <w:sz w:val="24"/>
          <w:szCs w:val="24"/>
          <w:lang w:eastAsia="pl-PL"/>
        </w:rPr>
        <w:t>z </w:t>
      </w:r>
      <w:r w:rsidR="00D311E3" w:rsidRPr="00833C88">
        <w:rPr>
          <w:rFonts w:eastAsia="Times New Roman" w:cs="Times New Roman"/>
          <w:sz w:val="24"/>
          <w:szCs w:val="24"/>
          <w:lang w:eastAsia="pl-PL"/>
        </w:rPr>
        <w:t xml:space="preserve">2019 r. poz. 1781) wprowadza się zmiany </w:t>
      </w:r>
      <w:r w:rsidRPr="00833C88">
        <w:rPr>
          <w:rFonts w:eastAsia="Times New Roman" w:cs="Times New Roman"/>
          <w:sz w:val="24"/>
          <w:szCs w:val="24"/>
          <w:lang w:eastAsia="pl-PL"/>
        </w:rPr>
        <w:t>w </w:t>
      </w:r>
      <w:r w:rsidR="00D311E3" w:rsidRPr="00833C88">
        <w:rPr>
          <w:rFonts w:eastAsia="Times New Roman" w:cs="Times New Roman"/>
          <w:sz w:val="24"/>
          <w:szCs w:val="24"/>
          <w:lang w:eastAsia="pl-PL"/>
        </w:rPr>
        <w:t xml:space="preserve">przepisie, który wskazuje przeznaczenie środków </w:t>
      </w:r>
      <w:r w:rsidRPr="00833C88">
        <w:rPr>
          <w:rFonts w:eastAsia="Times New Roman" w:cs="Times New Roman"/>
          <w:sz w:val="24"/>
          <w:szCs w:val="24"/>
          <w:lang w:eastAsia="pl-PL"/>
        </w:rPr>
        <w:t>z </w:t>
      </w:r>
      <w:r w:rsidR="00D311E3" w:rsidRPr="00833C88">
        <w:rPr>
          <w:rFonts w:eastAsia="Times New Roman" w:cs="Times New Roman"/>
          <w:sz w:val="24"/>
          <w:szCs w:val="24"/>
          <w:lang w:eastAsia="pl-PL"/>
        </w:rPr>
        <w:t>kar nakładanych</w:t>
      </w:r>
      <w:r w:rsidR="004A6BC4" w:rsidRPr="00833C88">
        <w:rPr>
          <w:rFonts w:eastAsia="Times New Roman" w:cs="Times New Roman"/>
          <w:sz w:val="24"/>
          <w:szCs w:val="24"/>
          <w:lang w:eastAsia="pl-PL"/>
        </w:rPr>
        <w:t xml:space="preserve"> za naruszenie przepisów</w:t>
      </w:r>
      <w:r w:rsidR="00A15030" w:rsidRPr="00833C88">
        <w:rPr>
          <w:rFonts w:eastAsia="Times New Roman" w:cs="Times New Roman"/>
          <w:sz w:val="24"/>
          <w:szCs w:val="24"/>
          <w:lang w:eastAsia="pl-PL"/>
        </w:rPr>
        <w:t xml:space="preserve"> RODO</w:t>
      </w:r>
      <w:r w:rsidR="004A6BC4" w:rsidRPr="00833C88">
        <w:rPr>
          <w:rFonts w:eastAsia="Times New Roman" w:cs="Times New Roman"/>
          <w:sz w:val="24"/>
          <w:szCs w:val="24"/>
          <w:lang w:eastAsia="pl-PL"/>
        </w:rPr>
        <w:t xml:space="preserve">). </w:t>
      </w:r>
      <w:r w:rsidRPr="00833C88">
        <w:rPr>
          <w:rFonts w:eastAsia="Times New Roman" w:cs="Times New Roman"/>
          <w:sz w:val="24"/>
          <w:szCs w:val="24"/>
          <w:lang w:eastAsia="pl-PL"/>
        </w:rPr>
        <w:t>W </w:t>
      </w:r>
      <w:r w:rsidR="004A6BC4" w:rsidRPr="00833C88">
        <w:rPr>
          <w:rFonts w:eastAsia="Times New Roman" w:cs="Times New Roman"/>
          <w:sz w:val="24"/>
          <w:szCs w:val="24"/>
          <w:lang w:eastAsia="pl-PL"/>
        </w:rPr>
        <w:t xml:space="preserve">przypadku kar nakładanych </w:t>
      </w:r>
      <w:r w:rsidRPr="00833C88">
        <w:rPr>
          <w:rFonts w:eastAsia="Times New Roman" w:cs="Times New Roman"/>
          <w:sz w:val="24"/>
          <w:szCs w:val="24"/>
          <w:lang w:eastAsia="pl-PL"/>
        </w:rPr>
        <w:t>z </w:t>
      </w:r>
      <w:r w:rsidR="004A6BC4" w:rsidRPr="00833C88">
        <w:rPr>
          <w:rFonts w:eastAsia="Times New Roman" w:cs="Times New Roman"/>
          <w:sz w:val="24"/>
          <w:szCs w:val="24"/>
          <w:lang w:eastAsia="pl-PL"/>
        </w:rPr>
        <w:t xml:space="preserve">tytułu naruszenia </w:t>
      </w:r>
      <w:r w:rsidR="00373E24" w:rsidRPr="00833C88">
        <w:rPr>
          <w:rFonts w:eastAsia="Times New Roman" w:cs="Times New Roman"/>
          <w:sz w:val="24"/>
          <w:szCs w:val="24"/>
          <w:lang w:eastAsia="pl-PL"/>
        </w:rPr>
        <w:t>następujących przepisów RODO:</w:t>
      </w:r>
    </w:p>
    <w:p w14:paraId="4344F685" w14:textId="327946F8" w:rsidR="00EE2A36" w:rsidRPr="00833C88" w:rsidRDefault="00EE2A36">
      <w:pPr>
        <w:pStyle w:val="Akapitzlist"/>
        <w:numPr>
          <w:ilvl w:val="0"/>
          <w:numId w:val="65"/>
        </w:num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art. 5 ust. 1 lit. f</w:t>
      </w:r>
      <w:r w:rsidR="00385B15" w:rsidRPr="00833C88">
        <w:rPr>
          <w:rFonts w:eastAsia="Times New Roman" w:cs="Times New Roman"/>
          <w:sz w:val="24"/>
          <w:szCs w:val="24"/>
          <w:lang w:eastAsia="pl-PL"/>
        </w:rPr>
        <w:t xml:space="preserve"> (naruszenie integralności </w:t>
      </w:r>
      <w:r w:rsidR="00601933" w:rsidRPr="00833C88">
        <w:rPr>
          <w:rFonts w:eastAsia="Times New Roman" w:cs="Times New Roman"/>
          <w:sz w:val="24"/>
          <w:szCs w:val="24"/>
          <w:lang w:eastAsia="pl-PL"/>
        </w:rPr>
        <w:t>i </w:t>
      </w:r>
      <w:r w:rsidR="00385B15" w:rsidRPr="00833C88">
        <w:rPr>
          <w:rFonts w:eastAsia="Times New Roman" w:cs="Times New Roman"/>
          <w:sz w:val="24"/>
          <w:szCs w:val="24"/>
          <w:lang w:eastAsia="pl-PL"/>
        </w:rPr>
        <w:t>poufności danych osobowych)</w:t>
      </w:r>
      <w:r w:rsidR="00390968" w:rsidRPr="00833C88">
        <w:rPr>
          <w:rFonts w:eastAsia="Times New Roman" w:cs="Times New Roman"/>
          <w:sz w:val="24"/>
          <w:szCs w:val="24"/>
          <w:lang w:eastAsia="pl-PL"/>
        </w:rPr>
        <w:t>;</w:t>
      </w:r>
    </w:p>
    <w:p w14:paraId="7F4A585D" w14:textId="4B85DD13" w:rsidR="00EE2A36" w:rsidRPr="00833C88" w:rsidRDefault="00EE2A36">
      <w:pPr>
        <w:pStyle w:val="Akapitzlist"/>
        <w:numPr>
          <w:ilvl w:val="0"/>
          <w:numId w:val="65"/>
        </w:num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art. 25 ust. 1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2</w:t>
      </w:r>
      <w:r w:rsidR="00073E70" w:rsidRPr="00833C88">
        <w:rPr>
          <w:rFonts w:eastAsia="Times New Roman" w:cs="Times New Roman"/>
          <w:sz w:val="24"/>
          <w:szCs w:val="24"/>
          <w:lang w:eastAsia="pl-PL"/>
        </w:rPr>
        <w:t xml:space="preserve"> (brak wdrożenia </w:t>
      </w:r>
      <w:r w:rsidR="003A59C8" w:rsidRPr="00833C88">
        <w:rPr>
          <w:rFonts w:eastAsia="Times New Roman" w:cs="Times New Roman"/>
          <w:sz w:val="24"/>
          <w:szCs w:val="24"/>
          <w:lang w:eastAsia="pl-PL"/>
        </w:rPr>
        <w:t xml:space="preserve">środków technicznych </w:t>
      </w:r>
      <w:r w:rsidR="00601933" w:rsidRPr="00833C88">
        <w:rPr>
          <w:rFonts w:eastAsia="Times New Roman" w:cs="Times New Roman"/>
          <w:sz w:val="24"/>
          <w:szCs w:val="24"/>
          <w:lang w:eastAsia="pl-PL"/>
        </w:rPr>
        <w:t>i </w:t>
      </w:r>
      <w:r w:rsidR="003A59C8" w:rsidRPr="00833C88">
        <w:rPr>
          <w:rFonts w:eastAsia="Times New Roman" w:cs="Times New Roman"/>
          <w:sz w:val="24"/>
          <w:szCs w:val="24"/>
          <w:lang w:eastAsia="pl-PL"/>
        </w:rPr>
        <w:t xml:space="preserve">organizacyjnych </w:t>
      </w:r>
      <w:r w:rsidR="00771352" w:rsidRPr="00833C88">
        <w:rPr>
          <w:rFonts w:eastAsia="Times New Roman" w:cs="Times New Roman"/>
          <w:sz w:val="24"/>
          <w:szCs w:val="24"/>
          <w:lang w:eastAsia="pl-PL"/>
        </w:rPr>
        <w:t>na etapie projektowania przetwarzania danych osobowych)</w:t>
      </w:r>
      <w:r w:rsidR="00390968" w:rsidRPr="00833C88">
        <w:rPr>
          <w:rFonts w:eastAsia="Times New Roman" w:cs="Times New Roman"/>
          <w:sz w:val="24"/>
          <w:szCs w:val="24"/>
          <w:lang w:eastAsia="pl-PL"/>
        </w:rPr>
        <w:t>;</w:t>
      </w:r>
    </w:p>
    <w:p w14:paraId="575B16E9" w14:textId="491927D9" w:rsidR="00EE2A36" w:rsidRPr="00833C88" w:rsidRDefault="00EE2A36">
      <w:pPr>
        <w:pStyle w:val="Akapitzlist"/>
        <w:numPr>
          <w:ilvl w:val="0"/>
          <w:numId w:val="65"/>
        </w:num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 xml:space="preserve">art. 28 ust. 3 lit. c </w:t>
      </w:r>
      <w:r w:rsidR="00C0002A" w:rsidRPr="00833C88">
        <w:rPr>
          <w:rFonts w:eastAsia="Times New Roman" w:cs="Times New Roman"/>
          <w:sz w:val="24"/>
          <w:szCs w:val="24"/>
          <w:lang w:eastAsia="pl-PL"/>
        </w:rPr>
        <w:t>(zapewnienie, że podmiot przetwarzający</w:t>
      </w:r>
      <w:r w:rsidR="00EE76D2"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EE76D2" w:rsidRPr="00833C88">
        <w:rPr>
          <w:rFonts w:eastAsia="Times New Roman" w:cs="Times New Roman"/>
          <w:sz w:val="24"/>
          <w:szCs w:val="24"/>
          <w:lang w:eastAsia="pl-PL"/>
        </w:rPr>
        <w:t xml:space="preserve">imieniu administratora danych osobowych wdraża środki techniczne </w:t>
      </w:r>
      <w:r w:rsidR="00601933" w:rsidRPr="00833C88">
        <w:rPr>
          <w:rFonts w:eastAsia="Times New Roman" w:cs="Times New Roman"/>
          <w:sz w:val="24"/>
          <w:szCs w:val="24"/>
          <w:lang w:eastAsia="pl-PL"/>
        </w:rPr>
        <w:t>i </w:t>
      </w:r>
      <w:r w:rsidR="00EE76D2" w:rsidRPr="00833C88">
        <w:rPr>
          <w:rFonts w:eastAsia="Times New Roman" w:cs="Times New Roman"/>
          <w:sz w:val="24"/>
          <w:szCs w:val="24"/>
          <w:lang w:eastAsia="pl-PL"/>
        </w:rPr>
        <w:t xml:space="preserve">organizacyjne </w:t>
      </w:r>
      <w:r w:rsidR="00C35CB3" w:rsidRPr="00833C88">
        <w:rPr>
          <w:rFonts w:eastAsia="Times New Roman" w:cs="Times New Roman"/>
          <w:sz w:val="24"/>
          <w:szCs w:val="24"/>
          <w:lang w:eastAsia="pl-PL"/>
        </w:rPr>
        <w:t>zapewniające bezpieczeństwo danych osobowych)</w:t>
      </w:r>
      <w:r w:rsidR="00390968" w:rsidRPr="00833C88">
        <w:rPr>
          <w:rFonts w:eastAsia="Times New Roman" w:cs="Times New Roman"/>
          <w:sz w:val="24"/>
          <w:szCs w:val="24"/>
          <w:lang w:eastAsia="pl-PL"/>
        </w:rPr>
        <w:t>;</w:t>
      </w:r>
    </w:p>
    <w:p w14:paraId="2E03C229" w14:textId="4711D24B" w:rsidR="00D928A0" w:rsidRPr="00833C88" w:rsidRDefault="00EE2A36">
      <w:pPr>
        <w:pStyle w:val="Akapitzlist"/>
        <w:numPr>
          <w:ilvl w:val="0"/>
          <w:numId w:val="65"/>
        </w:num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art. 32 ust. 1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2 </w:t>
      </w:r>
      <w:r w:rsidR="00C35CB3" w:rsidRPr="00833C88">
        <w:rPr>
          <w:rFonts w:eastAsia="Times New Roman" w:cs="Times New Roman"/>
          <w:sz w:val="24"/>
          <w:szCs w:val="24"/>
          <w:lang w:eastAsia="pl-PL"/>
        </w:rPr>
        <w:t xml:space="preserve">(brak wdrożenia środków technicznych </w:t>
      </w:r>
      <w:r w:rsidR="00601933" w:rsidRPr="00833C88">
        <w:rPr>
          <w:rFonts w:eastAsia="Times New Roman" w:cs="Times New Roman"/>
          <w:sz w:val="24"/>
          <w:szCs w:val="24"/>
          <w:lang w:eastAsia="pl-PL"/>
        </w:rPr>
        <w:t>i </w:t>
      </w:r>
      <w:r w:rsidR="0072452B" w:rsidRPr="00833C88">
        <w:rPr>
          <w:rFonts w:eastAsia="Times New Roman" w:cs="Times New Roman"/>
          <w:sz w:val="24"/>
          <w:szCs w:val="24"/>
          <w:lang w:eastAsia="pl-PL"/>
        </w:rPr>
        <w:t>organizacyjnych</w:t>
      </w:r>
      <w:r w:rsidR="00C35CB3" w:rsidRPr="00833C88">
        <w:rPr>
          <w:rFonts w:eastAsia="Times New Roman" w:cs="Times New Roman"/>
          <w:sz w:val="24"/>
          <w:szCs w:val="24"/>
          <w:lang w:eastAsia="pl-PL"/>
        </w:rPr>
        <w:t xml:space="preserve"> </w:t>
      </w:r>
      <w:r w:rsidR="0072452B" w:rsidRPr="00833C88">
        <w:rPr>
          <w:rFonts w:eastAsia="Times New Roman" w:cs="Times New Roman"/>
          <w:sz w:val="24"/>
          <w:szCs w:val="24"/>
          <w:lang w:eastAsia="pl-PL"/>
        </w:rPr>
        <w:t>zapewniających</w:t>
      </w:r>
      <w:r w:rsidR="00C35CB3" w:rsidRPr="00833C88">
        <w:rPr>
          <w:rFonts w:eastAsia="Times New Roman" w:cs="Times New Roman"/>
          <w:sz w:val="24"/>
          <w:szCs w:val="24"/>
          <w:lang w:eastAsia="pl-PL"/>
        </w:rPr>
        <w:t xml:space="preserve"> bezpieczeństwo danych osobowych)</w:t>
      </w:r>
      <w:r w:rsidR="00390968" w:rsidRPr="00833C88">
        <w:rPr>
          <w:rFonts w:eastAsia="Times New Roman" w:cs="Times New Roman"/>
          <w:sz w:val="24"/>
          <w:szCs w:val="24"/>
          <w:lang w:eastAsia="pl-PL"/>
        </w:rPr>
        <w:t>.</w:t>
      </w:r>
    </w:p>
    <w:p w14:paraId="1B993B35" w14:textId="6D7DFD1C" w:rsidR="001E1EF9" w:rsidRPr="00833C88" w:rsidRDefault="00F31822" w:rsidP="001E1EF9">
      <w:pPr>
        <w:spacing w:line="360" w:lineRule="auto"/>
        <w:ind w:left="360"/>
        <w:jc w:val="both"/>
        <w:rPr>
          <w:rFonts w:eastAsia="Times New Roman" w:cs="Times New Roman"/>
          <w:sz w:val="24"/>
          <w:szCs w:val="24"/>
          <w:lang w:eastAsia="pl-PL"/>
        </w:rPr>
      </w:pPr>
      <w:r w:rsidRPr="00833C88">
        <w:rPr>
          <w:rFonts w:eastAsia="Times New Roman" w:cs="Times New Roman"/>
          <w:sz w:val="24"/>
          <w:szCs w:val="24"/>
          <w:lang w:eastAsia="pl-PL"/>
        </w:rPr>
        <w:t>Ś</w:t>
      </w:r>
      <w:r w:rsidR="00C35CB3" w:rsidRPr="00833C88">
        <w:rPr>
          <w:rFonts w:eastAsia="Times New Roman" w:cs="Times New Roman"/>
          <w:sz w:val="24"/>
          <w:szCs w:val="24"/>
          <w:lang w:eastAsia="pl-PL"/>
        </w:rPr>
        <w:t>rodki</w:t>
      </w:r>
      <w:r w:rsidR="00373E24"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powyższych</w:t>
      </w:r>
      <w:r w:rsidR="00373E24" w:rsidRPr="00833C88">
        <w:rPr>
          <w:rFonts w:eastAsia="Times New Roman" w:cs="Times New Roman"/>
          <w:sz w:val="24"/>
          <w:szCs w:val="24"/>
          <w:lang w:eastAsia="pl-PL"/>
        </w:rPr>
        <w:t xml:space="preserve"> kar </w:t>
      </w:r>
      <w:r w:rsidR="00601933" w:rsidRPr="00833C88">
        <w:rPr>
          <w:rFonts w:eastAsia="Times New Roman" w:cs="Times New Roman"/>
          <w:sz w:val="24"/>
          <w:szCs w:val="24"/>
          <w:lang w:eastAsia="pl-PL"/>
        </w:rPr>
        <w:t>w </w:t>
      </w:r>
      <w:r w:rsidR="00373E24" w:rsidRPr="00833C88">
        <w:rPr>
          <w:rFonts w:eastAsia="Times New Roman" w:cs="Times New Roman"/>
          <w:sz w:val="24"/>
          <w:szCs w:val="24"/>
          <w:lang w:eastAsia="pl-PL"/>
        </w:rPr>
        <w:t xml:space="preserve">50% będą stanowiły dochód budżetu państwa, </w:t>
      </w:r>
      <w:r w:rsidR="00601933" w:rsidRPr="00833C88">
        <w:rPr>
          <w:rFonts w:eastAsia="Times New Roman" w:cs="Times New Roman"/>
          <w:sz w:val="24"/>
          <w:szCs w:val="24"/>
          <w:lang w:eastAsia="pl-PL"/>
        </w:rPr>
        <w:t>a w </w:t>
      </w:r>
      <w:r w:rsidR="00373E24" w:rsidRPr="00833C88">
        <w:rPr>
          <w:rFonts w:eastAsia="Times New Roman" w:cs="Times New Roman"/>
          <w:sz w:val="24"/>
          <w:szCs w:val="24"/>
          <w:lang w:eastAsia="pl-PL"/>
        </w:rPr>
        <w:t>50% dochód Funduszu Cyberbezpieczeństwa</w:t>
      </w:r>
      <w:r w:rsidR="0024060C" w:rsidRPr="00833C88">
        <w:rPr>
          <w:rFonts w:eastAsia="Times New Roman" w:cs="Times New Roman"/>
          <w:sz w:val="24"/>
          <w:szCs w:val="24"/>
          <w:lang w:eastAsia="pl-PL"/>
        </w:rPr>
        <w:t xml:space="preserve">. Powyższe przepisy </w:t>
      </w:r>
      <w:r w:rsidR="00406BC8" w:rsidRPr="00833C88">
        <w:rPr>
          <w:rFonts w:eastAsia="Times New Roman" w:cs="Times New Roman"/>
          <w:sz w:val="24"/>
          <w:szCs w:val="24"/>
          <w:lang w:eastAsia="pl-PL"/>
        </w:rPr>
        <w:t xml:space="preserve">dotyczą bezpieczeństwa danych osobowych </w:t>
      </w:r>
      <w:r w:rsidR="00601933" w:rsidRPr="00833C88">
        <w:rPr>
          <w:rFonts w:eastAsia="Times New Roman" w:cs="Times New Roman"/>
          <w:sz w:val="24"/>
          <w:szCs w:val="24"/>
          <w:lang w:eastAsia="pl-PL"/>
        </w:rPr>
        <w:t>i </w:t>
      </w:r>
      <w:r w:rsidR="00406BC8" w:rsidRPr="00833C88">
        <w:rPr>
          <w:rFonts w:eastAsia="Times New Roman" w:cs="Times New Roman"/>
          <w:sz w:val="24"/>
          <w:szCs w:val="24"/>
          <w:lang w:eastAsia="pl-PL"/>
        </w:rPr>
        <w:t>są</w:t>
      </w:r>
      <w:r w:rsidR="004B63B5" w:rsidRPr="00833C88">
        <w:rPr>
          <w:rFonts w:eastAsia="Times New Roman" w:cs="Times New Roman"/>
          <w:sz w:val="24"/>
          <w:szCs w:val="24"/>
          <w:lang w:eastAsia="pl-PL"/>
        </w:rPr>
        <w:t xml:space="preserve"> pokrewne rozwiązaniom </w:t>
      </w:r>
      <w:r w:rsidR="00601933" w:rsidRPr="00833C88">
        <w:rPr>
          <w:rFonts w:eastAsia="Times New Roman" w:cs="Times New Roman"/>
          <w:sz w:val="24"/>
          <w:szCs w:val="24"/>
          <w:lang w:eastAsia="pl-PL"/>
        </w:rPr>
        <w:t>z </w:t>
      </w:r>
      <w:r w:rsidR="004B63B5" w:rsidRPr="00833C88">
        <w:rPr>
          <w:rFonts w:eastAsia="Times New Roman" w:cs="Times New Roman"/>
          <w:sz w:val="24"/>
          <w:szCs w:val="24"/>
          <w:lang w:eastAsia="pl-PL"/>
        </w:rPr>
        <w:t xml:space="preserve">dyrektywy NIS 2. </w:t>
      </w:r>
    </w:p>
    <w:p w14:paraId="10330790" w14:textId="1A8D249D" w:rsidR="0049435B" w:rsidRPr="00833C88" w:rsidRDefault="001E1EF9" w:rsidP="00F805CA">
      <w:pPr>
        <w:spacing w:line="360" w:lineRule="auto"/>
        <w:ind w:firstLine="708"/>
        <w:jc w:val="both"/>
        <w:rPr>
          <w:rFonts w:eastAsia="Times New Roman" w:cs="Times New Roman"/>
          <w:sz w:val="24"/>
          <w:szCs w:val="24"/>
          <w:lang w:eastAsia="pl-PL"/>
        </w:rPr>
      </w:pPr>
      <w:r w:rsidRPr="001E1EF9">
        <w:rPr>
          <w:rFonts w:eastAsia="Times New Roman" w:cs="Times New Roman"/>
          <w:b/>
          <w:bCs/>
          <w:sz w:val="24"/>
          <w:szCs w:val="24"/>
          <w:lang w:eastAsia="pl-PL"/>
        </w:rPr>
        <w:t>2.32.14</w:t>
      </w:r>
      <w:r w:rsidR="002657FB">
        <w:rPr>
          <w:rFonts w:eastAsia="Times New Roman" w:cs="Times New Roman"/>
          <w:b/>
          <w:bCs/>
          <w:sz w:val="24"/>
          <w:szCs w:val="24"/>
          <w:lang w:eastAsia="pl-PL"/>
        </w:rPr>
        <w:t>.</w:t>
      </w:r>
      <w:r w:rsidRPr="001E1EF9">
        <w:rPr>
          <w:rFonts w:eastAsia="Times New Roman" w:cs="Times New Roman"/>
          <w:sz w:val="24"/>
          <w:szCs w:val="24"/>
          <w:u w:val="single"/>
          <w:lang w:eastAsia="pl-PL"/>
        </w:rPr>
        <w:t xml:space="preserve"> Zmiany w ustawie z dnia 11 września 2019 r. – Prawo zamówień publicznych </w:t>
      </w:r>
      <w:r w:rsidR="0049435B" w:rsidRPr="00833C88">
        <w:rPr>
          <w:rFonts w:eastAsia="Times New Roman" w:cs="Times New Roman"/>
          <w:sz w:val="24"/>
          <w:szCs w:val="24"/>
          <w:lang w:eastAsia="pl-PL"/>
        </w:rPr>
        <w:t xml:space="preserve">Wprowadza się również zmianę </w:t>
      </w:r>
      <w:r w:rsidR="00601933" w:rsidRPr="00833C88">
        <w:rPr>
          <w:rFonts w:eastAsia="Times New Roman" w:cs="Times New Roman"/>
          <w:sz w:val="24"/>
          <w:szCs w:val="24"/>
          <w:lang w:eastAsia="pl-PL"/>
        </w:rPr>
        <w:t>w </w:t>
      </w:r>
      <w:r w:rsidR="0049435B" w:rsidRPr="00833C88">
        <w:rPr>
          <w:rFonts w:eastAsia="Times New Roman" w:cs="Times New Roman"/>
          <w:sz w:val="24"/>
          <w:szCs w:val="24"/>
          <w:lang w:eastAsia="pl-PL"/>
        </w:rPr>
        <w:t xml:space="preserve">art. 226 ustawy </w:t>
      </w:r>
      <w:r w:rsidR="00601933" w:rsidRPr="00833C88">
        <w:rPr>
          <w:rFonts w:eastAsia="Times New Roman" w:cs="Times New Roman"/>
          <w:sz w:val="24"/>
          <w:szCs w:val="24"/>
          <w:lang w:eastAsia="pl-PL"/>
        </w:rPr>
        <w:t>z </w:t>
      </w:r>
      <w:r w:rsidR="0049435B" w:rsidRPr="00833C88">
        <w:rPr>
          <w:rFonts w:eastAsia="Times New Roman" w:cs="Times New Roman"/>
          <w:sz w:val="24"/>
          <w:szCs w:val="24"/>
          <w:lang w:eastAsia="pl-PL"/>
        </w:rPr>
        <w:t xml:space="preserve">dnia 11 września 2019 r. </w:t>
      </w:r>
      <w:r w:rsidR="00DF6E35" w:rsidRPr="00833C88">
        <w:rPr>
          <w:rFonts w:eastAsia="Times New Roman" w:cs="Times New Roman"/>
          <w:sz w:val="24"/>
          <w:szCs w:val="24"/>
          <w:lang w:eastAsia="pl-PL"/>
        </w:rPr>
        <w:t>–</w:t>
      </w:r>
      <w:r w:rsidR="0049435B" w:rsidRPr="00833C88">
        <w:rPr>
          <w:rFonts w:eastAsia="Times New Roman" w:cs="Times New Roman"/>
          <w:sz w:val="24"/>
          <w:szCs w:val="24"/>
          <w:lang w:eastAsia="pl-PL"/>
        </w:rPr>
        <w:t xml:space="preserve"> Prawo zamówień publicznych</w:t>
      </w:r>
      <w:r w:rsidR="00DF6E35" w:rsidRPr="00833C88">
        <w:rPr>
          <w:rFonts w:eastAsia="Times New Roman" w:cs="Times New Roman"/>
          <w:sz w:val="24"/>
          <w:szCs w:val="24"/>
          <w:lang w:eastAsia="pl-PL"/>
        </w:rPr>
        <w:t xml:space="preserve"> (Dz. U. </w:t>
      </w:r>
      <w:r w:rsidR="00601933" w:rsidRPr="00833C88">
        <w:rPr>
          <w:rFonts w:eastAsia="Times New Roman" w:cs="Times New Roman"/>
          <w:sz w:val="24"/>
          <w:szCs w:val="24"/>
          <w:lang w:eastAsia="pl-PL"/>
        </w:rPr>
        <w:t>z </w:t>
      </w:r>
      <w:r w:rsidR="00DF6E35" w:rsidRPr="00833C88">
        <w:rPr>
          <w:rFonts w:eastAsia="Times New Roman" w:cs="Times New Roman"/>
          <w:sz w:val="24"/>
          <w:szCs w:val="24"/>
          <w:lang w:eastAsia="pl-PL"/>
        </w:rPr>
        <w:t>202</w:t>
      </w:r>
      <w:r w:rsidR="005214DC" w:rsidRPr="00833C88">
        <w:rPr>
          <w:rFonts w:eastAsia="Times New Roman" w:cs="Times New Roman"/>
          <w:sz w:val="24"/>
          <w:szCs w:val="24"/>
          <w:lang w:eastAsia="pl-PL"/>
        </w:rPr>
        <w:t>4</w:t>
      </w:r>
      <w:r w:rsidR="00DF6E35" w:rsidRPr="00833C88">
        <w:rPr>
          <w:rFonts w:eastAsia="Times New Roman" w:cs="Times New Roman"/>
          <w:sz w:val="24"/>
          <w:szCs w:val="24"/>
          <w:lang w:eastAsia="pl-PL"/>
        </w:rPr>
        <w:t xml:space="preserve"> r. poz. 1</w:t>
      </w:r>
      <w:r w:rsidR="005214DC" w:rsidRPr="00833C88">
        <w:rPr>
          <w:rFonts w:eastAsia="Times New Roman" w:cs="Times New Roman"/>
          <w:sz w:val="24"/>
          <w:szCs w:val="24"/>
          <w:lang w:eastAsia="pl-PL"/>
        </w:rPr>
        <w:t>320</w:t>
      </w:r>
      <w:r w:rsidR="00020D9E" w:rsidRPr="00833C88">
        <w:rPr>
          <w:rFonts w:eastAsia="Times New Roman" w:cs="Times New Roman"/>
          <w:sz w:val="24"/>
          <w:szCs w:val="24"/>
          <w:lang w:eastAsia="pl-PL"/>
        </w:rPr>
        <w:t>, z późn. zm.</w:t>
      </w:r>
      <w:r w:rsidR="00DF6E35" w:rsidRPr="00833C88">
        <w:rPr>
          <w:rFonts w:eastAsia="Times New Roman" w:cs="Times New Roman"/>
          <w:sz w:val="24"/>
          <w:szCs w:val="24"/>
          <w:lang w:eastAsia="pl-PL"/>
        </w:rPr>
        <w:t>)</w:t>
      </w:r>
      <w:r w:rsidR="0049435B" w:rsidRPr="00833C88">
        <w:rPr>
          <w:rFonts w:eastAsia="Times New Roman" w:cs="Times New Roman"/>
          <w:sz w:val="24"/>
          <w:szCs w:val="24"/>
          <w:lang w:eastAsia="pl-PL"/>
        </w:rPr>
        <w:t>. Artykuł ten reguluje sytuacje, w</w:t>
      </w:r>
      <w:r w:rsidR="009524DD" w:rsidRPr="00833C88">
        <w:rPr>
          <w:rFonts w:eastAsia="Times New Roman" w:cs="Times New Roman"/>
          <w:sz w:val="24"/>
          <w:szCs w:val="24"/>
          <w:lang w:eastAsia="pl-PL"/>
        </w:rPr>
        <w:t> </w:t>
      </w:r>
      <w:r w:rsidR="0049435B" w:rsidRPr="00833C88">
        <w:rPr>
          <w:rFonts w:eastAsia="Times New Roman" w:cs="Times New Roman"/>
          <w:sz w:val="24"/>
          <w:szCs w:val="24"/>
          <w:lang w:eastAsia="pl-PL"/>
        </w:rPr>
        <w:t>który</w:t>
      </w:r>
      <w:r w:rsidR="005214DC" w:rsidRPr="00833C88">
        <w:rPr>
          <w:rFonts w:eastAsia="Times New Roman" w:cs="Times New Roman"/>
          <w:sz w:val="24"/>
          <w:szCs w:val="24"/>
          <w:lang w:eastAsia="pl-PL"/>
        </w:rPr>
        <w:t xml:space="preserve">ch </w:t>
      </w:r>
      <w:r w:rsidR="0049435B" w:rsidRPr="00833C88">
        <w:rPr>
          <w:rFonts w:eastAsia="Times New Roman" w:cs="Times New Roman"/>
          <w:sz w:val="24"/>
          <w:szCs w:val="24"/>
          <w:lang w:eastAsia="pl-PL"/>
        </w:rPr>
        <w:t xml:space="preserve">zamawiający odrzuca ofertę złożoną </w:t>
      </w:r>
      <w:r w:rsidR="00601933" w:rsidRPr="00833C88">
        <w:rPr>
          <w:rFonts w:eastAsia="Times New Roman" w:cs="Times New Roman"/>
          <w:sz w:val="24"/>
          <w:szCs w:val="24"/>
          <w:lang w:eastAsia="pl-PL"/>
        </w:rPr>
        <w:t>w </w:t>
      </w:r>
      <w:r w:rsidR="0049435B" w:rsidRPr="00833C88">
        <w:rPr>
          <w:rFonts w:eastAsia="Times New Roman" w:cs="Times New Roman"/>
          <w:sz w:val="24"/>
          <w:szCs w:val="24"/>
          <w:lang w:eastAsia="pl-PL"/>
        </w:rPr>
        <w:t xml:space="preserve">ramach postępowania </w:t>
      </w:r>
      <w:r w:rsidR="00601933" w:rsidRPr="00833C88">
        <w:rPr>
          <w:rFonts w:eastAsia="Times New Roman" w:cs="Times New Roman"/>
          <w:sz w:val="24"/>
          <w:szCs w:val="24"/>
          <w:lang w:eastAsia="pl-PL"/>
        </w:rPr>
        <w:t>o </w:t>
      </w:r>
      <w:r w:rsidR="0049435B" w:rsidRPr="00833C88">
        <w:rPr>
          <w:rFonts w:eastAsia="Times New Roman" w:cs="Times New Roman"/>
          <w:sz w:val="24"/>
          <w:szCs w:val="24"/>
          <w:lang w:eastAsia="pl-PL"/>
        </w:rPr>
        <w:t xml:space="preserve">zamówienie publiczne. Kolejną przesłanką odrzucenia oferty będzie sytuacja, gdy oferta obejmuje produkt ICT, którego typ został określony </w:t>
      </w:r>
      <w:r w:rsidR="00601933" w:rsidRPr="00833C88">
        <w:rPr>
          <w:rFonts w:eastAsia="Times New Roman" w:cs="Times New Roman"/>
          <w:sz w:val="24"/>
          <w:szCs w:val="24"/>
          <w:lang w:eastAsia="pl-PL"/>
        </w:rPr>
        <w:t>w </w:t>
      </w:r>
      <w:r w:rsidR="0049435B" w:rsidRPr="00833C88">
        <w:rPr>
          <w:rFonts w:eastAsia="Times New Roman" w:cs="Times New Roman"/>
          <w:sz w:val="24"/>
          <w:szCs w:val="24"/>
          <w:lang w:eastAsia="pl-PL"/>
        </w:rPr>
        <w:t xml:space="preserve">decyzji </w:t>
      </w:r>
      <w:r w:rsidR="00601933" w:rsidRPr="00833C88">
        <w:rPr>
          <w:rFonts w:eastAsia="Times New Roman" w:cs="Times New Roman"/>
          <w:sz w:val="24"/>
          <w:szCs w:val="24"/>
          <w:lang w:eastAsia="pl-PL"/>
        </w:rPr>
        <w:t>w </w:t>
      </w:r>
      <w:r w:rsidR="0049435B" w:rsidRPr="00833C88">
        <w:rPr>
          <w:rFonts w:eastAsia="Times New Roman" w:cs="Times New Roman"/>
          <w:sz w:val="24"/>
          <w:szCs w:val="24"/>
          <w:lang w:eastAsia="pl-PL"/>
        </w:rPr>
        <w:t xml:space="preserve">sprawie uznania dostawcy za dostawcę wysokiego ryzyka, </w:t>
      </w:r>
      <w:r w:rsidR="00601933" w:rsidRPr="00833C88">
        <w:rPr>
          <w:rFonts w:eastAsia="Times New Roman" w:cs="Times New Roman"/>
          <w:sz w:val="24"/>
          <w:szCs w:val="24"/>
          <w:lang w:eastAsia="pl-PL"/>
        </w:rPr>
        <w:t>o </w:t>
      </w:r>
      <w:r w:rsidR="0049435B" w:rsidRPr="00833C88">
        <w:rPr>
          <w:rFonts w:eastAsia="Times New Roman" w:cs="Times New Roman"/>
          <w:sz w:val="24"/>
          <w:szCs w:val="24"/>
          <w:lang w:eastAsia="pl-PL"/>
        </w:rPr>
        <w:t xml:space="preserve">której mowa </w:t>
      </w:r>
      <w:r w:rsidR="00601933" w:rsidRPr="00833C88">
        <w:rPr>
          <w:rFonts w:eastAsia="Times New Roman" w:cs="Times New Roman"/>
          <w:sz w:val="24"/>
          <w:szCs w:val="24"/>
          <w:lang w:eastAsia="pl-PL"/>
        </w:rPr>
        <w:t>w </w:t>
      </w:r>
      <w:r w:rsidR="00B4269F" w:rsidRPr="00833C88">
        <w:rPr>
          <w:rFonts w:eastAsia="Times New Roman" w:cs="Times New Roman"/>
          <w:sz w:val="24"/>
          <w:szCs w:val="24"/>
          <w:lang w:eastAsia="pl-PL"/>
        </w:rPr>
        <w:t xml:space="preserve">projektowanym </w:t>
      </w:r>
      <w:r w:rsidR="0049435B" w:rsidRPr="00833C88">
        <w:rPr>
          <w:rFonts w:eastAsia="Times New Roman" w:cs="Times New Roman"/>
          <w:sz w:val="24"/>
          <w:szCs w:val="24"/>
          <w:lang w:eastAsia="pl-PL"/>
        </w:rPr>
        <w:t xml:space="preserve">art. 66a ust. 13 </w:t>
      </w:r>
      <w:r w:rsidR="00B4269F"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B4269F" w:rsidRPr="00833C88">
        <w:rPr>
          <w:rFonts w:eastAsia="Times New Roman" w:cs="Times New Roman"/>
          <w:sz w:val="24"/>
          <w:szCs w:val="24"/>
          <w:lang w:eastAsia="pl-PL"/>
        </w:rPr>
        <w:t>KSC</w:t>
      </w:r>
      <w:r w:rsidR="00DF6E35" w:rsidRPr="00833C88">
        <w:rPr>
          <w:rFonts w:eastAsia="Times New Roman" w:cs="Times New Roman"/>
          <w:sz w:val="24"/>
          <w:szCs w:val="24"/>
          <w:lang w:eastAsia="pl-PL"/>
        </w:rPr>
        <w:t xml:space="preserve"> </w:t>
      </w:r>
      <w:r w:rsidR="0049435B" w:rsidRPr="00833C88">
        <w:rPr>
          <w:rFonts w:eastAsia="Times New Roman" w:cs="Times New Roman"/>
          <w:sz w:val="24"/>
          <w:szCs w:val="24"/>
          <w:lang w:eastAsia="pl-PL"/>
        </w:rPr>
        <w:t xml:space="preserve">oraz usługę ICT lub proces ICT, określone </w:t>
      </w:r>
      <w:r w:rsidR="00601933" w:rsidRPr="00833C88">
        <w:rPr>
          <w:rFonts w:eastAsia="Times New Roman" w:cs="Times New Roman"/>
          <w:sz w:val="24"/>
          <w:szCs w:val="24"/>
          <w:lang w:eastAsia="pl-PL"/>
        </w:rPr>
        <w:t>w </w:t>
      </w:r>
      <w:r w:rsidR="0049435B" w:rsidRPr="00833C88">
        <w:rPr>
          <w:rFonts w:eastAsia="Times New Roman" w:cs="Times New Roman"/>
          <w:sz w:val="24"/>
          <w:szCs w:val="24"/>
          <w:lang w:eastAsia="pl-PL"/>
        </w:rPr>
        <w:t>tej decyzji.</w:t>
      </w:r>
    </w:p>
    <w:p w14:paraId="2031AEE8" w14:textId="45F75D60" w:rsidR="00CA2ABF" w:rsidRPr="00833C88" w:rsidRDefault="001E1EF9" w:rsidP="001E1EF9">
      <w:pPr>
        <w:pStyle w:val="Nagwek3"/>
        <w:numPr>
          <w:ilvl w:val="0"/>
          <w:numId w:val="0"/>
        </w:numPr>
        <w:spacing w:line="360" w:lineRule="auto"/>
        <w:ind w:left="720"/>
        <w:jc w:val="both"/>
        <w:rPr>
          <w:rFonts w:cs="Times New Roman"/>
          <w:lang w:eastAsia="pl-PL"/>
        </w:rPr>
      </w:pPr>
      <w:r w:rsidRPr="001E1EF9">
        <w:rPr>
          <w:rFonts w:cs="Times New Roman"/>
          <w:b/>
          <w:bCs/>
          <w:lang w:eastAsia="pl-PL"/>
        </w:rPr>
        <w:t>2.32. 15</w:t>
      </w:r>
      <w:r w:rsidR="002657FB">
        <w:rPr>
          <w:rFonts w:cs="Times New Roman"/>
          <w:b/>
          <w:bCs/>
          <w:lang w:eastAsia="pl-PL"/>
        </w:rPr>
        <w:t>.</w:t>
      </w:r>
      <w:r>
        <w:rPr>
          <w:rFonts w:cs="Times New Roman"/>
          <w:lang w:eastAsia="pl-PL"/>
        </w:rPr>
        <w:t xml:space="preserve"> </w:t>
      </w:r>
      <w:r w:rsidR="00CA2ABF" w:rsidRPr="00833C88">
        <w:rPr>
          <w:rFonts w:cs="Times New Roman"/>
          <w:lang w:eastAsia="pl-PL"/>
        </w:rPr>
        <w:t>Zmiany w ustawie z dnia 2 grudnia 2021 r. o szczególnych zasadach wynagradzania osób realizujących zadania z zakresu cyberbezpieczeństwa</w:t>
      </w:r>
    </w:p>
    <w:p w14:paraId="6017DFEE" w14:textId="53CF94DC" w:rsidR="00F47395" w:rsidRPr="00833C88" w:rsidRDefault="00F47395" w:rsidP="00FC20BB">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00AD3ECF" w:rsidRPr="00833C88">
        <w:rPr>
          <w:rFonts w:eastAsia="Times New Roman" w:cs="Times New Roman"/>
          <w:sz w:val="24"/>
          <w:szCs w:val="24"/>
          <w:lang w:eastAsia="pl-PL"/>
        </w:rPr>
        <w:t xml:space="preserve">ustawie </w:t>
      </w:r>
      <w:r w:rsidR="00601933" w:rsidRPr="00833C88">
        <w:rPr>
          <w:rFonts w:eastAsia="Times New Roman" w:cs="Times New Roman"/>
          <w:sz w:val="24"/>
          <w:szCs w:val="24"/>
          <w:lang w:eastAsia="pl-PL"/>
        </w:rPr>
        <w:t>z </w:t>
      </w:r>
      <w:r w:rsidR="00AD3ECF" w:rsidRPr="00833C88">
        <w:rPr>
          <w:rFonts w:eastAsia="Times New Roman" w:cs="Times New Roman"/>
          <w:sz w:val="24"/>
          <w:szCs w:val="24"/>
          <w:lang w:eastAsia="pl-PL"/>
        </w:rPr>
        <w:t xml:space="preserve">dnia 2 grudnia 2021 r. </w:t>
      </w:r>
      <w:r w:rsidR="00601933" w:rsidRPr="00833C88">
        <w:rPr>
          <w:rFonts w:eastAsia="Times New Roman" w:cs="Times New Roman"/>
          <w:sz w:val="24"/>
          <w:szCs w:val="24"/>
          <w:lang w:eastAsia="pl-PL"/>
        </w:rPr>
        <w:t>o </w:t>
      </w:r>
      <w:r w:rsidR="00AD3ECF" w:rsidRPr="00833C88">
        <w:rPr>
          <w:rFonts w:eastAsia="Times New Roman" w:cs="Times New Roman"/>
          <w:sz w:val="24"/>
          <w:szCs w:val="24"/>
          <w:lang w:eastAsia="pl-PL"/>
        </w:rPr>
        <w:t xml:space="preserve">szczególnych zasadach wynagradzania osób realizujących zadania </w:t>
      </w:r>
      <w:r w:rsidR="00601933" w:rsidRPr="00833C88">
        <w:rPr>
          <w:rFonts w:eastAsia="Times New Roman" w:cs="Times New Roman"/>
          <w:sz w:val="24"/>
          <w:szCs w:val="24"/>
          <w:lang w:eastAsia="pl-PL"/>
        </w:rPr>
        <w:t>z </w:t>
      </w:r>
      <w:r w:rsidR="00AD3ECF" w:rsidRPr="00833C88">
        <w:rPr>
          <w:rFonts w:eastAsia="Times New Roman" w:cs="Times New Roman"/>
          <w:sz w:val="24"/>
          <w:szCs w:val="24"/>
          <w:lang w:eastAsia="pl-PL"/>
        </w:rPr>
        <w:t>zakresu cyberbezpieczeństwa</w:t>
      </w:r>
      <w:r w:rsidR="00DF6E35" w:rsidRPr="00833C88">
        <w:rPr>
          <w:rFonts w:eastAsia="Times New Roman" w:cs="Times New Roman"/>
          <w:sz w:val="24"/>
          <w:szCs w:val="24"/>
          <w:lang w:eastAsia="pl-PL"/>
        </w:rPr>
        <w:t xml:space="preserve"> </w:t>
      </w:r>
      <w:r w:rsidR="004557EA" w:rsidRPr="00833C88">
        <w:rPr>
          <w:rFonts w:eastAsia="Times New Roman" w:cs="Times New Roman"/>
          <w:sz w:val="24"/>
          <w:szCs w:val="24"/>
          <w:lang w:eastAsia="pl-PL"/>
        </w:rPr>
        <w:t>dotyczą:</w:t>
      </w:r>
    </w:p>
    <w:p w14:paraId="31BBFD85" w14:textId="09278048" w:rsidR="00AB2F1B" w:rsidRPr="00833C88" w:rsidRDefault="00705E32" w:rsidP="00FC20BB">
      <w:pPr>
        <w:pStyle w:val="Akapitzlist"/>
        <w:numPr>
          <w:ilvl w:val="0"/>
          <w:numId w:val="5"/>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d</w:t>
      </w:r>
      <w:r w:rsidR="003A00C2" w:rsidRPr="00833C88">
        <w:rPr>
          <w:rFonts w:eastAsia="Times New Roman" w:cs="Times New Roman"/>
          <w:sz w:val="24"/>
          <w:szCs w:val="24"/>
          <w:lang w:eastAsia="pl-PL"/>
        </w:rPr>
        <w:t xml:space="preserve">ostosowania treści art. 5 ustawy </w:t>
      </w:r>
      <w:r w:rsidR="00601933" w:rsidRPr="00833C88">
        <w:rPr>
          <w:rFonts w:eastAsia="Times New Roman" w:cs="Times New Roman"/>
          <w:sz w:val="24"/>
          <w:szCs w:val="24"/>
          <w:lang w:eastAsia="pl-PL"/>
        </w:rPr>
        <w:t>i </w:t>
      </w:r>
      <w:r w:rsidR="003A00C2" w:rsidRPr="00833C88">
        <w:rPr>
          <w:rFonts w:eastAsia="Times New Roman" w:cs="Times New Roman"/>
          <w:sz w:val="24"/>
          <w:szCs w:val="24"/>
          <w:lang w:eastAsia="pl-PL"/>
        </w:rPr>
        <w:t xml:space="preserve">wskazanie, że świadczenie teleinformatyczne przysługuje </w:t>
      </w:r>
      <w:r w:rsidRPr="00833C88">
        <w:rPr>
          <w:rFonts w:eastAsia="Times New Roman" w:cs="Times New Roman"/>
          <w:sz w:val="24"/>
          <w:szCs w:val="24"/>
          <w:lang w:eastAsia="pl-PL"/>
        </w:rPr>
        <w:t xml:space="preserve">pracownikom zatrudnionym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zespołach CSIRT sektorowych</w:t>
      </w:r>
      <w:r w:rsidR="005214DC" w:rsidRPr="00833C88">
        <w:rPr>
          <w:rFonts w:eastAsia="Times New Roman" w:cs="Times New Roman"/>
          <w:sz w:val="24"/>
          <w:szCs w:val="24"/>
          <w:lang w:eastAsia="pl-PL"/>
        </w:rPr>
        <w:t>;</w:t>
      </w:r>
    </w:p>
    <w:p w14:paraId="1BECA5E7" w14:textId="2CDA4362" w:rsidR="00FF0BAE" w:rsidRPr="00833C88" w:rsidRDefault="005214DC" w:rsidP="00533D2A">
      <w:pPr>
        <w:pStyle w:val="Akapitzlist"/>
        <w:numPr>
          <w:ilvl w:val="0"/>
          <w:numId w:val="5"/>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w</w:t>
      </w:r>
      <w:r w:rsidR="00CE4C7C" w:rsidRPr="00833C88">
        <w:rPr>
          <w:rFonts w:eastAsia="Times New Roman" w:cs="Times New Roman"/>
          <w:sz w:val="24"/>
          <w:szCs w:val="24"/>
          <w:lang w:eastAsia="pl-PL"/>
        </w:rPr>
        <w:t xml:space="preserve">skazanie, że świadczenie teleinformatyczne będzie przysługiwać również osobom realizującym zadania </w:t>
      </w:r>
      <w:r w:rsidR="00601933" w:rsidRPr="00833C88">
        <w:rPr>
          <w:rFonts w:eastAsia="Times New Roman" w:cs="Times New Roman"/>
          <w:sz w:val="24"/>
          <w:szCs w:val="24"/>
          <w:lang w:eastAsia="pl-PL"/>
        </w:rPr>
        <w:t>w </w:t>
      </w:r>
      <w:r w:rsidR="00CE4C7C" w:rsidRPr="00833C88">
        <w:rPr>
          <w:rFonts w:eastAsia="Times New Roman" w:cs="Times New Roman"/>
          <w:sz w:val="24"/>
          <w:szCs w:val="24"/>
          <w:lang w:eastAsia="pl-PL"/>
        </w:rPr>
        <w:t xml:space="preserve">zakresie zapewnienia cyberbezpieczeństwa </w:t>
      </w:r>
      <w:r w:rsidR="00601933" w:rsidRPr="00833C88">
        <w:rPr>
          <w:rFonts w:eastAsia="Times New Roman" w:cs="Times New Roman"/>
          <w:sz w:val="24"/>
          <w:szCs w:val="24"/>
          <w:lang w:eastAsia="pl-PL"/>
        </w:rPr>
        <w:t>w </w:t>
      </w:r>
      <w:r w:rsidR="00CE4C7C" w:rsidRPr="00833C88">
        <w:rPr>
          <w:rFonts w:eastAsia="Times New Roman" w:cs="Times New Roman"/>
          <w:sz w:val="24"/>
          <w:szCs w:val="24"/>
          <w:lang w:eastAsia="pl-PL"/>
        </w:rPr>
        <w:t>Urzędzie Ochrony Danych Osobowych</w:t>
      </w:r>
      <w:r w:rsidR="00B737CD" w:rsidRPr="00833C88">
        <w:rPr>
          <w:rStyle w:val="Odwoanieprzypisudolnego"/>
          <w:rFonts w:eastAsia="Times New Roman" w:cs="Times New Roman"/>
          <w:sz w:val="24"/>
          <w:szCs w:val="24"/>
          <w:lang w:eastAsia="pl-PL"/>
        </w:rPr>
        <w:footnoteReference w:id="89"/>
      </w:r>
      <w:r w:rsidR="00020D9E" w:rsidRPr="00833C88">
        <w:rPr>
          <w:rFonts w:eastAsia="Times New Roman" w:cs="Times New Roman"/>
          <w:sz w:val="24"/>
          <w:szCs w:val="24"/>
          <w:vertAlign w:val="superscript"/>
          <w:lang w:eastAsia="pl-PL"/>
        </w:rPr>
        <w:t>)</w:t>
      </w:r>
      <w:r w:rsidR="00B737CD" w:rsidRPr="00833C88">
        <w:rPr>
          <w:rFonts w:eastAsia="Times New Roman" w:cs="Times New Roman"/>
          <w:sz w:val="24"/>
          <w:szCs w:val="24"/>
          <w:lang w:eastAsia="pl-PL"/>
        </w:rPr>
        <w:t>,</w:t>
      </w:r>
      <w:r w:rsidR="00CE4C7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CE4C7C" w:rsidRPr="00833C88">
        <w:rPr>
          <w:rFonts w:eastAsia="Times New Roman" w:cs="Times New Roman"/>
          <w:sz w:val="24"/>
          <w:szCs w:val="24"/>
          <w:lang w:eastAsia="pl-PL"/>
        </w:rPr>
        <w:t xml:space="preserve">jednostkach </w:t>
      </w:r>
      <w:r w:rsidR="004E45E4" w:rsidRPr="00833C88">
        <w:rPr>
          <w:rFonts w:eastAsia="Times New Roman" w:cs="Times New Roman"/>
          <w:sz w:val="24"/>
          <w:szCs w:val="24"/>
          <w:lang w:eastAsia="pl-PL"/>
        </w:rPr>
        <w:t xml:space="preserve">organizacyjnych </w:t>
      </w:r>
      <w:r w:rsidR="00CE4C7C" w:rsidRPr="00833C88">
        <w:rPr>
          <w:rFonts w:eastAsia="Times New Roman" w:cs="Times New Roman"/>
          <w:sz w:val="24"/>
          <w:szCs w:val="24"/>
          <w:lang w:eastAsia="pl-PL"/>
        </w:rPr>
        <w:t xml:space="preserve">Krajowej </w:t>
      </w:r>
      <w:r w:rsidR="00CE4C7C" w:rsidRPr="00833C88">
        <w:rPr>
          <w:rFonts w:eastAsia="Times New Roman" w:cs="Times New Roman"/>
          <w:sz w:val="24"/>
          <w:szCs w:val="24"/>
          <w:lang w:eastAsia="pl-PL"/>
        </w:rPr>
        <w:lastRenderedPageBreak/>
        <w:t>Administracji Skarbowej</w:t>
      </w:r>
      <w:r w:rsidR="00B737CD" w:rsidRPr="00833C88">
        <w:rPr>
          <w:rStyle w:val="Odwoanieprzypisudolnego"/>
          <w:rFonts w:eastAsia="Times New Roman" w:cs="Times New Roman"/>
          <w:sz w:val="24"/>
          <w:szCs w:val="24"/>
          <w:lang w:eastAsia="pl-PL"/>
        </w:rPr>
        <w:footnoteReference w:id="90"/>
      </w:r>
      <w:r w:rsidR="00020D9E" w:rsidRPr="00833C88">
        <w:rPr>
          <w:rFonts w:eastAsia="Times New Roman" w:cs="Times New Roman"/>
          <w:sz w:val="24"/>
          <w:szCs w:val="24"/>
          <w:vertAlign w:val="superscript"/>
          <w:lang w:eastAsia="pl-PL"/>
        </w:rPr>
        <w:t>)</w:t>
      </w:r>
      <w:r w:rsidR="004E45E4" w:rsidRPr="00833C88">
        <w:rPr>
          <w:rFonts w:eastAsia="Times New Roman" w:cs="Times New Roman"/>
          <w:sz w:val="24"/>
          <w:szCs w:val="24"/>
          <w:lang w:eastAsia="pl-PL"/>
        </w:rPr>
        <w:t>, jednostkach Państwowej Straży Pożarnej</w:t>
      </w:r>
      <w:r w:rsidR="004E45E4" w:rsidRPr="00833C88">
        <w:rPr>
          <w:rStyle w:val="Odwoanieprzypisudolnego"/>
          <w:rFonts w:eastAsia="Times New Roman" w:cs="Times New Roman"/>
          <w:sz w:val="24"/>
          <w:szCs w:val="24"/>
          <w:lang w:eastAsia="pl-PL"/>
        </w:rPr>
        <w:footnoteReference w:id="91"/>
      </w:r>
      <w:r w:rsidR="00020D9E" w:rsidRPr="00833C88">
        <w:rPr>
          <w:rFonts w:eastAsia="Times New Roman" w:cs="Times New Roman"/>
          <w:sz w:val="24"/>
          <w:szCs w:val="24"/>
          <w:vertAlign w:val="superscript"/>
          <w:lang w:eastAsia="pl-PL"/>
        </w:rPr>
        <w:t>)</w:t>
      </w:r>
      <w:r w:rsidR="00B737CD" w:rsidRPr="00833C88">
        <w:rPr>
          <w:rFonts w:eastAsia="Times New Roman" w:cs="Times New Roman"/>
          <w:sz w:val="24"/>
          <w:szCs w:val="24"/>
          <w:lang w:eastAsia="pl-PL"/>
        </w:rPr>
        <w:t xml:space="preserve"> oraz w sądach powszechnych</w:t>
      </w:r>
      <w:r w:rsidR="00B737CD" w:rsidRPr="00833C88">
        <w:rPr>
          <w:rStyle w:val="Odwoanieprzypisudolnego"/>
          <w:rFonts w:eastAsia="Times New Roman" w:cs="Times New Roman"/>
          <w:sz w:val="24"/>
          <w:szCs w:val="24"/>
          <w:lang w:eastAsia="pl-PL"/>
        </w:rPr>
        <w:footnoteReference w:id="92"/>
      </w:r>
      <w:r w:rsidR="00020D9E" w:rsidRPr="00833C88">
        <w:rPr>
          <w:rFonts w:eastAsia="Times New Roman" w:cs="Times New Roman"/>
          <w:sz w:val="24"/>
          <w:szCs w:val="24"/>
          <w:vertAlign w:val="superscript"/>
          <w:lang w:eastAsia="pl-PL"/>
        </w:rPr>
        <w:t>)</w:t>
      </w:r>
      <w:r w:rsidR="00FF0BAE" w:rsidRPr="00833C88">
        <w:rPr>
          <w:rFonts w:eastAsia="Times New Roman" w:cs="Times New Roman"/>
          <w:sz w:val="24"/>
          <w:szCs w:val="24"/>
          <w:lang w:eastAsia="pl-PL"/>
        </w:rPr>
        <w:t>, Generalnej Dyrekcji Dróg Krajowych i Autostrad, Głównym Inspektoracie Transportu Drogowego, instytutach badawczych nadzorowanych przez ministra właściwego do spraw</w:t>
      </w:r>
      <w:r w:rsidR="00CE488F" w:rsidRPr="00833C88">
        <w:rPr>
          <w:rFonts w:eastAsia="Times New Roman" w:cs="Times New Roman"/>
          <w:sz w:val="24"/>
          <w:szCs w:val="24"/>
          <w:lang w:eastAsia="pl-PL"/>
        </w:rPr>
        <w:t xml:space="preserve"> </w:t>
      </w:r>
      <w:r w:rsidR="00FF0BAE" w:rsidRPr="00833C88">
        <w:rPr>
          <w:rFonts w:eastAsia="Times New Roman" w:cs="Times New Roman"/>
          <w:sz w:val="24"/>
          <w:szCs w:val="24"/>
          <w:lang w:eastAsia="pl-PL"/>
        </w:rPr>
        <w:t>gospodarki morskiej,</w:t>
      </w:r>
      <w:r w:rsidR="00CE488F" w:rsidRPr="00833C88">
        <w:rPr>
          <w:rFonts w:eastAsia="Times New Roman" w:cs="Times New Roman"/>
          <w:sz w:val="24"/>
          <w:szCs w:val="24"/>
          <w:lang w:eastAsia="pl-PL"/>
        </w:rPr>
        <w:t xml:space="preserve"> </w:t>
      </w:r>
      <w:r w:rsidR="00FF0BAE" w:rsidRPr="00833C88">
        <w:rPr>
          <w:rFonts w:eastAsia="Times New Roman" w:cs="Times New Roman"/>
          <w:sz w:val="24"/>
          <w:szCs w:val="24"/>
          <w:lang w:eastAsia="pl-PL"/>
        </w:rPr>
        <w:t>gospodarki wodnej,</w:t>
      </w:r>
      <w:r w:rsidR="00CE488F" w:rsidRPr="00833C88">
        <w:rPr>
          <w:rFonts w:eastAsia="Times New Roman" w:cs="Times New Roman"/>
          <w:sz w:val="24"/>
          <w:szCs w:val="24"/>
          <w:lang w:eastAsia="pl-PL"/>
        </w:rPr>
        <w:t xml:space="preserve"> </w:t>
      </w:r>
      <w:r w:rsidR="00FF0BAE" w:rsidRPr="00833C88">
        <w:rPr>
          <w:rFonts w:eastAsia="Times New Roman" w:cs="Times New Roman"/>
          <w:sz w:val="24"/>
          <w:szCs w:val="24"/>
          <w:lang w:eastAsia="pl-PL"/>
        </w:rPr>
        <w:t>transportu,</w:t>
      </w:r>
      <w:r w:rsidR="00CE488F" w:rsidRPr="00833C88">
        <w:rPr>
          <w:rFonts w:eastAsia="Times New Roman" w:cs="Times New Roman"/>
          <w:sz w:val="24"/>
          <w:szCs w:val="24"/>
          <w:lang w:eastAsia="pl-PL"/>
        </w:rPr>
        <w:t xml:space="preserve"> </w:t>
      </w:r>
      <w:r w:rsidR="00FF0BAE" w:rsidRPr="00833C88">
        <w:rPr>
          <w:rFonts w:eastAsia="Times New Roman" w:cs="Times New Roman"/>
          <w:sz w:val="24"/>
          <w:szCs w:val="24"/>
          <w:lang w:eastAsia="pl-PL"/>
        </w:rPr>
        <w:t>żeglugi śródlądowej, Państwowym Gospodarstwie Wodnym Wody Polskie,</w:t>
      </w:r>
      <w:r w:rsidR="00C87237" w:rsidRPr="00833C88">
        <w:rPr>
          <w:rFonts w:eastAsia="Times New Roman" w:cs="Times New Roman"/>
          <w:sz w:val="24"/>
          <w:szCs w:val="24"/>
          <w:lang w:eastAsia="pl-PL"/>
        </w:rPr>
        <w:t xml:space="preserve"> </w:t>
      </w:r>
      <w:r w:rsidR="00FF0BAE" w:rsidRPr="00833C88">
        <w:rPr>
          <w:rFonts w:eastAsia="Times New Roman" w:cs="Times New Roman"/>
          <w:sz w:val="24"/>
          <w:szCs w:val="24"/>
          <w:lang w:eastAsia="pl-PL"/>
        </w:rPr>
        <w:t>Transportowym Dozorze Technicznym, Urzędzie do spraw Cudzoziemców, Urzędzie Lotnictwa Cywilnego, urzędzie morskim, Urzędzie Ochrony Danych Osobowych, urzędzie żeglugi śródlądowej</w:t>
      </w:r>
      <w:r w:rsidR="00390968" w:rsidRPr="00833C88">
        <w:rPr>
          <w:rFonts w:eastAsia="Times New Roman" w:cs="Times New Roman"/>
          <w:sz w:val="24"/>
          <w:szCs w:val="24"/>
          <w:lang w:eastAsia="pl-PL"/>
        </w:rPr>
        <w:t>;</w:t>
      </w:r>
    </w:p>
    <w:p w14:paraId="68E31814" w14:textId="5B4DBB40" w:rsidR="00CE4C7C" w:rsidRPr="00833C88" w:rsidRDefault="005214DC">
      <w:pPr>
        <w:pStyle w:val="Akapitzlist"/>
        <w:numPr>
          <w:ilvl w:val="0"/>
          <w:numId w:val="5"/>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uregulowania p</w:t>
      </w:r>
      <w:r w:rsidR="00CE4C7C" w:rsidRPr="00833C88">
        <w:rPr>
          <w:rFonts w:eastAsia="Times New Roman" w:cs="Times New Roman"/>
          <w:sz w:val="24"/>
          <w:szCs w:val="24"/>
          <w:lang w:eastAsia="pl-PL"/>
        </w:rPr>
        <w:t>rzychod</w:t>
      </w:r>
      <w:r w:rsidRPr="00833C88">
        <w:rPr>
          <w:rFonts w:eastAsia="Times New Roman" w:cs="Times New Roman"/>
          <w:sz w:val="24"/>
          <w:szCs w:val="24"/>
          <w:lang w:eastAsia="pl-PL"/>
        </w:rPr>
        <w:t>u</w:t>
      </w:r>
      <w:r w:rsidR="00CE4C7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00CE4C7C" w:rsidRPr="00833C88">
        <w:rPr>
          <w:rFonts w:eastAsia="Times New Roman" w:cs="Times New Roman"/>
          <w:sz w:val="24"/>
          <w:szCs w:val="24"/>
          <w:lang w:eastAsia="pl-PL"/>
        </w:rPr>
        <w:t>kar pieniężnych</w:t>
      </w:r>
      <w:r w:rsidRPr="00833C88">
        <w:rPr>
          <w:rFonts w:eastAsia="Times New Roman" w:cs="Times New Roman"/>
          <w:sz w:val="24"/>
          <w:szCs w:val="24"/>
          <w:lang w:eastAsia="pl-PL"/>
        </w:rPr>
        <w:t>,</w:t>
      </w:r>
      <w:r w:rsidR="00CE4C7C"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o </w:t>
      </w:r>
      <w:r w:rsidR="00CE4C7C"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00CE4C7C" w:rsidRPr="00833C88">
        <w:rPr>
          <w:rFonts w:eastAsia="Times New Roman" w:cs="Times New Roman"/>
          <w:sz w:val="24"/>
          <w:szCs w:val="24"/>
          <w:lang w:eastAsia="pl-PL"/>
        </w:rPr>
        <w:t xml:space="preserve">art. 101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10 maja 2018 r. </w:t>
      </w:r>
      <w:r w:rsidR="00601933" w:rsidRPr="00833C88">
        <w:rPr>
          <w:rFonts w:eastAsia="Times New Roman" w:cs="Times New Roman"/>
          <w:sz w:val="24"/>
          <w:szCs w:val="24"/>
          <w:lang w:eastAsia="pl-PL"/>
        </w:rPr>
        <w:t>o </w:t>
      </w:r>
      <w:r w:rsidR="00CE4C7C" w:rsidRPr="00833C88">
        <w:rPr>
          <w:rFonts w:eastAsia="Times New Roman" w:cs="Times New Roman"/>
          <w:sz w:val="24"/>
          <w:szCs w:val="24"/>
          <w:lang w:eastAsia="pl-PL"/>
        </w:rPr>
        <w:t>ochronie danych osobowych</w:t>
      </w:r>
      <w:r w:rsidRPr="00833C88">
        <w:rPr>
          <w:rFonts w:eastAsia="Times New Roman" w:cs="Times New Roman"/>
          <w:sz w:val="24"/>
          <w:szCs w:val="24"/>
          <w:lang w:eastAsia="pl-PL"/>
        </w:rPr>
        <w:t xml:space="preserve">, które </w:t>
      </w:r>
      <w:r w:rsidR="00CE4C7C" w:rsidRPr="00833C88">
        <w:rPr>
          <w:rFonts w:eastAsia="Times New Roman" w:cs="Times New Roman"/>
          <w:sz w:val="24"/>
          <w:szCs w:val="24"/>
          <w:lang w:eastAsia="pl-PL"/>
        </w:rPr>
        <w:t xml:space="preserve">staną się jednym </w:t>
      </w:r>
      <w:r w:rsidR="00601933" w:rsidRPr="00833C88">
        <w:rPr>
          <w:rFonts w:eastAsia="Times New Roman" w:cs="Times New Roman"/>
          <w:sz w:val="24"/>
          <w:szCs w:val="24"/>
          <w:lang w:eastAsia="pl-PL"/>
        </w:rPr>
        <w:t>z </w:t>
      </w:r>
      <w:r w:rsidR="00CE4C7C" w:rsidRPr="00833C88">
        <w:rPr>
          <w:rFonts w:eastAsia="Times New Roman" w:cs="Times New Roman"/>
          <w:sz w:val="24"/>
          <w:szCs w:val="24"/>
          <w:lang w:eastAsia="pl-PL"/>
        </w:rPr>
        <w:t xml:space="preserve">przychodów Funduszu Cyberbezpieczeństwa. </w:t>
      </w:r>
    </w:p>
    <w:p w14:paraId="649FF341" w14:textId="79035266" w:rsidR="00CE4C7C" w:rsidRPr="00833C88" w:rsidRDefault="00CE4C7C" w:rsidP="001F2CD2">
      <w:pPr>
        <w:spacing w:line="360" w:lineRule="auto"/>
        <w:ind w:left="360"/>
        <w:jc w:val="both"/>
        <w:rPr>
          <w:rFonts w:eastAsia="Times New Roman" w:cs="Times New Roman"/>
          <w:sz w:val="24"/>
          <w:szCs w:val="24"/>
          <w:lang w:eastAsia="pl-PL"/>
        </w:rPr>
      </w:pPr>
      <w:r w:rsidRPr="00833C88">
        <w:rPr>
          <w:rFonts w:eastAsia="Times New Roman" w:cs="Times New Roman"/>
          <w:sz w:val="24"/>
          <w:szCs w:val="24"/>
          <w:lang w:eastAsia="pl-PL"/>
        </w:rPr>
        <w:t xml:space="preserve">Zmiany te </w:t>
      </w:r>
      <w:r w:rsidR="00B11FC4" w:rsidRPr="00833C88">
        <w:rPr>
          <w:rFonts w:eastAsia="Times New Roman" w:cs="Times New Roman"/>
          <w:sz w:val="24"/>
          <w:szCs w:val="24"/>
          <w:lang w:eastAsia="pl-PL"/>
        </w:rPr>
        <w:t>wpłyną na</w:t>
      </w:r>
      <w:r w:rsidRPr="00833C88">
        <w:rPr>
          <w:rFonts w:eastAsia="Times New Roman" w:cs="Times New Roman"/>
          <w:sz w:val="24"/>
          <w:szCs w:val="24"/>
          <w:lang w:eastAsia="pl-PL"/>
        </w:rPr>
        <w:t xml:space="preserve"> przychody Funduszu Cyberbezpieczeństwa co pozwoli na</w:t>
      </w:r>
      <w:r w:rsidR="00AD6CCD" w:rsidRPr="00833C88">
        <w:rPr>
          <w:rFonts w:eastAsia="Times New Roman" w:cs="Times New Roman"/>
          <w:sz w:val="24"/>
          <w:szCs w:val="24"/>
          <w:lang w:eastAsia="pl-PL"/>
        </w:rPr>
        <w:t> </w:t>
      </w:r>
      <w:r w:rsidRPr="00833C88">
        <w:rPr>
          <w:rFonts w:eastAsia="Times New Roman" w:cs="Times New Roman"/>
          <w:sz w:val="24"/>
          <w:szCs w:val="24"/>
          <w:lang w:eastAsia="pl-PL"/>
        </w:rPr>
        <w:t>zwiększenie wsparcia udzielanego organom administracji na zapewnienie cyberbezpieczeństwa ich systemów informacyjnych.</w:t>
      </w:r>
    </w:p>
    <w:p w14:paraId="7C2B9C3E" w14:textId="5FEAFC08" w:rsidR="00B737CD" w:rsidRPr="00833C88" w:rsidRDefault="00B737CD" w:rsidP="00B737CD">
      <w:pPr>
        <w:spacing w:line="360" w:lineRule="auto"/>
        <w:ind w:left="360"/>
        <w:jc w:val="both"/>
        <w:rPr>
          <w:rFonts w:eastAsia="Times New Roman" w:cs="Times New Roman"/>
          <w:sz w:val="24"/>
          <w:szCs w:val="24"/>
          <w:lang w:eastAsia="pl-PL"/>
        </w:rPr>
      </w:pPr>
      <w:r w:rsidRPr="00833C88">
        <w:rPr>
          <w:rFonts w:eastAsia="Times New Roman" w:cs="Times New Roman"/>
          <w:sz w:val="24"/>
          <w:szCs w:val="24"/>
          <w:lang w:eastAsia="pl-PL"/>
        </w:rPr>
        <w:t xml:space="preserve">Przewiduje się od 2026 r. wzrost kwoty dotacji przeznaczonej na zasilenie Funduszu Cyberbezpieczeństwa z budżetu państwa – kwota ta wzrośnie do </w:t>
      </w:r>
      <w:r w:rsidR="00FE1653" w:rsidRPr="000E5851">
        <w:rPr>
          <w:rFonts w:eastAsia="Times New Roman" w:cs="Times New Roman"/>
          <w:sz w:val="24"/>
          <w:szCs w:val="24"/>
          <w:lang w:eastAsia="pl-PL"/>
        </w:rPr>
        <w:t xml:space="preserve">351,511 </w:t>
      </w:r>
      <w:r w:rsidRPr="00833C88">
        <w:rPr>
          <w:rFonts w:eastAsia="Times New Roman" w:cs="Times New Roman"/>
          <w:sz w:val="24"/>
          <w:szCs w:val="24"/>
          <w:lang w:eastAsia="pl-PL"/>
        </w:rPr>
        <w:t>mln zł rocznie. Dzieje się tak z uwagi na wzrost liczby podmiotów uprawnionych do otrzymywania tego wsparcia. Koszty te będą sfinansowane z cz. 27 budżetu państwa.</w:t>
      </w:r>
    </w:p>
    <w:p w14:paraId="3015EEDC" w14:textId="1CA20CBB" w:rsidR="00B737CD" w:rsidRPr="00833C88" w:rsidRDefault="00B737CD" w:rsidP="00B737CD">
      <w:pPr>
        <w:spacing w:line="360" w:lineRule="auto"/>
        <w:ind w:left="360"/>
        <w:jc w:val="both"/>
        <w:rPr>
          <w:rFonts w:eastAsia="Times New Roman" w:cs="Times New Roman"/>
          <w:sz w:val="24"/>
          <w:szCs w:val="24"/>
          <w:lang w:eastAsia="pl-PL"/>
        </w:rPr>
      </w:pPr>
      <w:r w:rsidRPr="00833C88">
        <w:rPr>
          <w:rFonts w:eastAsia="Times New Roman" w:cs="Times New Roman"/>
          <w:sz w:val="24"/>
          <w:szCs w:val="24"/>
          <w:lang w:eastAsia="pl-PL"/>
        </w:rPr>
        <w:t xml:space="preserve">Ponadto do obsługi Funduszu Cyberbezpieczeństwa dodaje się </w:t>
      </w:r>
      <w:r w:rsidR="00FE1653">
        <w:rPr>
          <w:rFonts w:eastAsia="Times New Roman" w:cs="Times New Roman"/>
          <w:sz w:val="24"/>
          <w:szCs w:val="24"/>
          <w:lang w:eastAsia="pl-PL"/>
        </w:rPr>
        <w:t>4</w:t>
      </w:r>
      <w:r w:rsidRPr="00833C88">
        <w:rPr>
          <w:rFonts w:eastAsia="Times New Roman" w:cs="Times New Roman"/>
          <w:sz w:val="24"/>
          <w:szCs w:val="24"/>
          <w:lang w:eastAsia="pl-PL"/>
        </w:rPr>
        <w:t xml:space="preserve"> etat</w:t>
      </w:r>
      <w:r w:rsidR="004C65D5">
        <w:rPr>
          <w:rFonts w:eastAsia="Times New Roman" w:cs="Times New Roman"/>
          <w:sz w:val="24"/>
          <w:szCs w:val="24"/>
          <w:lang w:eastAsia="pl-PL"/>
        </w:rPr>
        <w:t>y</w:t>
      </w:r>
      <w:r w:rsidRPr="00833C88">
        <w:rPr>
          <w:rFonts w:eastAsia="Times New Roman" w:cs="Times New Roman"/>
          <w:sz w:val="24"/>
          <w:szCs w:val="24"/>
          <w:lang w:eastAsia="pl-PL"/>
        </w:rPr>
        <w:t xml:space="preserve"> w urzędzie obsługującym ministra właściwego do spraw informatyzacji. Dzieje się tak z uwagi na konieczność obsługi dużej liczby wniosków o udzielenie wsparcia z Funduszu Cyberbezpieczeństwa również wynikającej z dodania nowych rodzajów podmiotów uprawnionych do wnioskowania o środki z tego Funduszu.</w:t>
      </w:r>
    </w:p>
    <w:p w14:paraId="41B0F800" w14:textId="2980C30B" w:rsidR="00B737CD" w:rsidRPr="00833C88" w:rsidRDefault="00B737CD" w:rsidP="00FC20BB">
      <w:pPr>
        <w:spacing w:line="360" w:lineRule="auto"/>
        <w:ind w:left="360"/>
        <w:jc w:val="both"/>
        <w:rPr>
          <w:rFonts w:eastAsia="Times New Roman" w:cs="Times New Roman"/>
          <w:sz w:val="24"/>
          <w:szCs w:val="24"/>
          <w:lang w:eastAsia="pl-PL"/>
        </w:rPr>
      </w:pPr>
      <w:r w:rsidRPr="00833C88">
        <w:rPr>
          <w:rFonts w:eastAsia="Times New Roman" w:cs="Times New Roman"/>
          <w:sz w:val="24"/>
          <w:szCs w:val="24"/>
          <w:lang w:eastAsia="pl-PL"/>
        </w:rPr>
        <w:lastRenderedPageBreak/>
        <w:t>Koszty te będą sfinansowane z cz. 27 budżetu państwa.</w:t>
      </w:r>
      <w:r w:rsidRPr="00833C88">
        <w:rPr>
          <w:rFonts w:eastAsia="Times New Roman" w:cs="Times New Roman"/>
          <w:i/>
          <w:iCs/>
          <w:sz w:val="24"/>
          <w:szCs w:val="24"/>
          <w:lang w:eastAsia="pl-PL"/>
        </w:rPr>
        <w:t xml:space="preserve"> </w:t>
      </w:r>
      <w:r w:rsidRPr="00833C88">
        <w:rPr>
          <w:rFonts w:eastAsia="Times New Roman" w:cs="Times New Roman"/>
          <w:sz w:val="24"/>
          <w:szCs w:val="24"/>
          <w:lang w:eastAsia="pl-PL"/>
        </w:rPr>
        <w:t xml:space="preserve">W związku z tym skorygowano regułę wydatkową w tej ustawie dodając do obecnej kwoty </w:t>
      </w:r>
      <w:r w:rsidR="00A32E13">
        <w:rPr>
          <w:rFonts w:eastAsia="Times New Roman" w:cs="Times New Roman"/>
          <w:sz w:val="24"/>
          <w:szCs w:val="24"/>
          <w:lang w:eastAsia="pl-PL"/>
        </w:rPr>
        <w:t>wynoszącej</w:t>
      </w:r>
      <w:r w:rsidRPr="00833C88">
        <w:rPr>
          <w:rFonts w:eastAsia="Times New Roman" w:cs="Times New Roman"/>
          <w:sz w:val="24"/>
          <w:szCs w:val="24"/>
          <w:lang w:eastAsia="pl-PL"/>
        </w:rPr>
        <w:t xml:space="preserve"> 250 mln zł – koszty zwiększenia wydatków</w:t>
      </w:r>
      <w:r w:rsidR="00C71AF2" w:rsidRPr="00833C88">
        <w:rPr>
          <w:rFonts w:eastAsia="Times New Roman" w:cs="Times New Roman"/>
          <w:sz w:val="24"/>
          <w:szCs w:val="24"/>
          <w:lang w:eastAsia="pl-PL"/>
        </w:rPr>
        <w:t>.</w:t>
      </w:r>
    </w:p>
    <w:p w14:paraId="16DA4BD2" w14:textId="4D36AF7E" w:rsidR="00C9578B" w:rsidRPr="00833C88" w:rsidRDefault="002657FB" w:rsidP="002657FB">
      <w:pPr>
        <w:pStyle w:val="Nagwek3"/>
        <w:numPr>
          <w:ilvl w:val="0"/>
          <w:numId w:val="0"/>
        </w:numPr>
        <w:spacing w:line="360" w:lineRule="auto"/>
        <w:ind w:left="720"/>
        <w:jc w:val="both"/>
        <w:rPr>
          <w:rFonts w:eastAsia="Times New Roman" w:cs="Times New Roman"/>
          <w:lang w:eastAsia="pl-PL"/>
        </w:rPr>
      </w:pPr>
      <w:r w:rsidRPr="002657FB">
        <w:rPr>
          <w:rFonts w:cs="Times New Roman"/>
          <w:b/>
          <w:bCs/>
        </w:rPr>
        <w:t>2.32.16</w:t>
      </w:r>
      <w:r>
        <w:rPr>
          <w:rFonts w:cs="Times New Roman"/>
          <w:b/>
          <w:bCs/>
        </w:rPr>
        <w:t>.</w:t>
      </w:r>
      <w:r>
        <w:rPr>
          <w:rFonts w:cs="Times New Roman"/>
        </w:rPr>
        <w:t xml:space="preserve"> </w:t>
      </w:r>
      <w:r w:rsidR="00C9578B" w:rsidRPr="00833C88">
        <w:rPr>
          <w:rFonts w:cs="Times New Roman"/>
        </w:rPr>
        <w:t>W ustawie z dnia 28 lipca 2023 r. o zwalczaniu nadużyć w komunikacji elektronicznej</w:t>
      </w:r>
    </w:p>
    <w:p w14:paraId="053C2247" w14:textId="77777777" w:rsidR="00601A54" w:rsidRPr="00833C88" w:rsidRDefault="00775066" w:rsidP="00FC20BB">
      <w:pPr>
        <w:spacing w:line="360" w:lineRule="auto"/>
        <w:ind w:left="360"/>
        <w:jc w:val="both"/>
        <w:rPr>
          <w:rFonts w:cs="Times New Roman"/>
          <w:sz w:val="24"/>
          <w:szCs w:val="24"/>
        </w:rPr>
      </w:pPr>
      <w:r w:rsidRPr="00833C88">
        <w:rPr>
          <w:rFonts w:eastAsia="Times New Roman" w:cs="Times New Roman"/>
          <w:sz w:val="24"/>
          <w:szCs w:val="24"/>
          <w:lang w:eastAsia="pl-PL"/>
        </w:rPr>
        <w:t xml:space="preserve">Zmiany </w:t>
      </w:r>
      <w:r w:rsidR="00601933" w:rsidRPr="00833C88">
        <w:rPr>
          <w:rFonts w:eastAsia="Times New Roman" w:cs="Times New Roman"/>
          <w:sz w:val="24"/>
          <w:szCs w:val="24"/>
          <w:lang w:eastAsia="pl-PL"/>
        </w:rPr>
        <w:t>w </w:t>
      </w:r>
      <w:r w:rsidR="0029004E" w:rsidRPr="00833C88">
        <w:rPr>
          <w:rFonts w:cs="Times New Roman"/>
          <w:sz w:val="24"/>
          <w:szCs w:val="24"/>
        </w:rPr>
        <w:t>u</w:t>
      </w:r>
      <w:r w:rsidRPr="00833C88">
        <w:rPr>
          <w:rFonts w:cs="Times New Roman"/>
          <w:sz w:val="24"/>
          <w:szCs w:val="24"/>
        </w:rPr>
        <w:t>staw</w:t>
      </w:r>
      <w:r w:rsidR="0029004E" w:rsidRPr="00833C88">
        <w:rPr>
          <w:rFonts w:cs="Times New Roman"/>
          <w:sz w:val="24"/>
          <w:szCs w:val="24"/>
        </w:rPr>
        <w:t>ie</w:t>
      </w:r>
      <w:r w:rsidRPr="00833C88">
        <w:rPr>
          <w:rFonts w:cs="Times New Roman"/>
          <w:sz w:val="24"/>
          <w:szCs w:val="24"/>
        </w:rPr>
        <w:t xml:space="preserve"> </w:t>
      </w:r>
      <w:r w:rsidR="00601933" w:rsidRPr="00833C88">
        <w:rPr>
          <w:rFonts w:cs="Times New Roman"/>
          <w:sz w:val="24"/>
          <w:szCs w:val="24"/>
        </w:rPr>
        <w:t>z </w:t>
      </w:r>
      <w:r w:rsidRPr="00833C88">
        <w:rPr>
          <w:rFonts w:cs="Times New Roman"/>
          <w:sz w:val="24"/>
          <w:szCs w:val="24"/>
        </w:rPr>
        <w:t xml:space="preserve">dnia 28 lipca 2023 r. </w:t>
      </w:r>
      <w:r w:rsidR="00601933" w:rsidRPr="00833C88">
        <w:rPr>
          <w:rFonts w:cs="Times New Roman"/>
          <w:sz w:val="24"/>
          <w:szCs w:val="24"/>
        </w:rPr>
        <w:t>o </w:t>
      </w:r>
      <w:r w:rsidRPr="00833C88">
        <w:rPr>
          <w:rFonts w:cs="Times New Roman"/>
          <w:sz w:val="24"/>
          <w:szCs w:val="24"/>
        </w:rPr>
        <w:t xml:space="preserve">zwalczaniu nadużyć </w:t>
      </w:r>
      <w:r w:rsidR="00601933" w:rsidRPr="00833C88">
        <w:rPr>
          <w:rFonts w:cs="Times New Roman"/>
          <w:sz w:val="24"/>
          <w:szCs w:val="24"/>
        </w:rPr>
        <w:t>w </w:t>
      </w:r>
      <w:r w:rsidRPr="00833C88">
        <w:rPr>
          <w:rFonts w:cs="Times New Roman"/>
          <w:sz w:val="24"/>
          <w:szCs w:val="24"/>
        </w:rPr>
        <w:t>komunikacji elektronicznej</w:t>
      </w:r>
      <w:r w:rsidR="00EB552C" w:rsidRPr="00833C88">
        <w:rPr>
          <w:rFonts w:cs="Times New Roman"/>
          <w:sz w:val="24"/>
          <w:szCs w:val="24"/>
        </w:rPr>
        <w:t xml:space="preserve"> (Dz. U. z 2024 r. poz. 1803)</w:t>
      </w:r>
      <w:r w:rsidRPr="00833C88">
        <w:rPr>
          <w:rFonts w:cs="Times New Roman"/>
          <w:sz w:val="24"/>
          <w:szCs w:val="24"/>
        </w:rPr>
        <w:t xml:space="preserve"> są wynikiem zmiany definicji podmiotu publicznego </w:t>
      </w:r>
      <w:r w:rsidR="00601933" w:rsidRPr="00833C88">
        <w:rPr>
          <w:rFonts w:cs="Times New Roman"/>
          <w:sz w:val="24"/>
          <w:szCs w:val="24"/>
        </w:rPr>
        <w:t>w </w:t>
      </w:r>
      <w:r w:rsidRPr="00833C88">
        <w:rPr>
          <w:rFonts w:cs="Times New Roman"/>
          <w:sz w:val="24"/>
          <w:szCs w:val="24"/>
        </w:rPr>
        <w:t xml:space="preserve">ustawie </w:t>
      </w:r>
      <w:r w:rsidR="00601933" w:rsidRPr="00833C88">
        <w:rPr>
          <w:rFonts w:cs="Times New Roman"/>
          <w:sz w:val="24"/>
          <w:szCs w:val="24"/>
        </w:rPr>
        <w:t>o </w:t>
      </w:r>
      <w:r w:rsidR="0061116F" w:rsidRPr="00833C88">
        <w:rPr>
          <w:rFonts w:cs="Times New Roman"/>
          <w:sz w:val="24"/>
          <w:szCs w:val="24"/>
        </w:rPr>
        <w:t>KSC</w:t>
      </w:r>
      <w:r w:rsidR="00601A54" w:rsidRPr="00833C88">
        <w:rPr>
          <w:rFonts w:cs="Times New Roman"/>
          <w:sz w:val="24"/>
          <w:szCs w:val="24"/>
        </w:rPr>
        <w:t>.</w:t>
      </w:r>
    </w:p>
    <w:p w14:paraId="0291748F" w14:textId="6020D78D" w:rsidR="00601A54" w:rsidRPr="00833C88" w:rsidRDefault="002657FB" w:rsidP="002657FB">
      <w:pPr>
        <w:pStyle w:val="Nagwek3"/>
        <w:numPr>
          <w:ilvl w:val="0"/>
          <w:numId w:val="0"/>
        </w:numPr>
        <w:spacing w:line="360" w:lineRule="auto"/>
        <w:ind w:left="720"/>
        <w:jc w:val="both"/>
        <w:rPr>
          <w:rFonts w:cs="Times New Roman"/>
        </w:rPr>
      </w:pPr>
      <w:r w:rsidRPr="002657FB">
        <w:rPr>
          <w:rFonts w:cs="Times New Roman"/>
          <w:b/>
          <w:bCs/>
        </w:rPr>
        <w:t>2.32.17</w:t>
      </w:r>
      <w:r>
        <w:rPr>
          <w:rFonts w:cs="Times New Roman"/>
        </w:rPr>
        <w:t xml:space="preserve">. </w:t>
      </w:r>
      <w:r w:rsidR="00601A54" w:rsidRPr="00833C88">
        <w:rPr>
          <w:rFonts w:cs="Times New Roman"/>
        </w:rPr>
        <w:t xml:space="preserve">Zmiany w </w:t>
      </w:r>
      <w:r w:rsidR="000D3747" w:rsidRPr="00833C88">
        <w:rPr>
          <w:rFonts w:cs="Times New Roman"/>
        </w:rPr>
        <w:t>ustawie z dnia 12 lipca 2024 r. – Prawo komunikacji elektronicznej</w:t>
      </w:r>
    </w:p>
    <w:p w14:paraId="336F651B" w14:textId="057FEE77" w:rsidR="002120A1" w:rsidRPr="00833C88" w:rsidRDefault="004578D7" w:rsidP="00FC20BB">
      <w:pPr>
        <w:spacing w:line="360" w:lineRule="auto"/>
        <w:ind w:left="360"/>
        <w:jc w:val="both"/>
        <w:rPr>
          <w:rFonts w:cs="Times New Roman"/>
        </w:rPr>
      </w:pPr>
      <w:r w:rsidRPr="00833C88">
        <w:rPr>
          <w:rFonts w:cs="Times New Roman"/>
          <w:sz w:val="24"/>
          <w:szCs w:val="24"/>
        </w:rPr>
        <w:t xml:space="preserve">Ustawa </w:t>
      </w:r>
      <w:r w:rsidR="00A91D8F" w:rsidRPr="00833C88">
        <w:rPr>
          <w:rFonts w:cs="Times New Roman"/>
          <w:sz w:val="24"/>
          <w:szCs w:val="24"/>
        </w:rPr>
        <w:t xml:space="preserve">z dnia 12 lipca 2024 r. – Prawo komunikacji elektronicznej </w:t>
      </w:r>
      <w:r w:rsidR="00020D9E" w:rsidRPr="00833C88">
        <w:rPr>
          <w:rFonts w:cs="Times New Roman"/>
          <w:sz w:val="24"/>
          <w:szCs w:val="24"/>
        </w:rPr>
        <w:t xml:space="preserve">(Dz. U. poz. 1221 oraz z 2025 r. poz. 637 i 820) </w:t>
      </w:r>
      <w:r w:rsidR="00A91D8F" w:rsidRPr="00833C88">
        <w:rPr>
          <w:rFonts w:cs="Times New Roman"/>
          <w:sz w:val="24"/>
          <w:szCs w:val="24"/>
        </w:rPr>
        <w:t xml:space="preserve">w art. 40 w ust. 1 w pkt 2 w lit b pozwala </w:t>
      </w:r>
      <w:r w:rsidR="003E28A1" w:rsidRPr="00833C88">
        <w:rPr>
          <w:rFonts w:cs="Times New Roman"/>
          <w:sz w:val="24"/>
          <w:szCs w:val="24"/>
        </w:rPr>
        <w:t xml:space="preserve">Prezesowi Urzędu Komunikacji Elektronicznej </w:t>
      </w:r>
      <w:r w:rsidR="006F4855" w:rsidRPr="00833C88">
        <w:rPr>
          <w:rFonts w:cs="Times New Roman"/>
          <w:sz w:val="24"/>
          <w:szCs w:val="24"/>
        </w:rPr>
        <w:t>w sytuacji szczególnego zagrożenia nałożenie w drodze decyzji na przedsiębiorcę telekomunikacyjnego obowiązk</w:t>
      </w:r>
      <w:r w:rsidR="0052551E" w:rsidRPr="00833C88">
        <w:rPr>
          <w:rFonts w:cs="Times New Roman"/>
          <w:sz w:val="24"/>
          <w:szCs w:val="24"/>
        </w:rPr>
        <w:t>ów</w:t>
      </w:r>
      <w:r w:rsidR="006F4855" w:rsidRPr="00833C88">
        <w:rPr>
          <w:rFonts w:cs="Times New Roman"/>
          <w:sz w:val="24"/>
          <w:szCs w:val="24"/>
        </w:rPr>
        <w:t xml:space="preserve"> dotycząc</w:t>
      </w:r>
      <w:r w:rsidR="0052551E" w:rsidRPr="00833C88">
        <w:rPr>
          <w:rFonts w:cs="Times New Roman"/>
          <w:sz w:val="24"/>
          <w:szCs w:val="24"/>
        </w:rPr>
        <w:t>ych</w:t>
      </w:r>
      <w:r w:rsidR="006F4855" w:rsidRPr="00833C88">
        <w:rPr>
          <w:rFonts w:cs="Times New Roman"/>
          <w:sz w:val="24"/>
          <w:szCs w:val="24"/>
        </w:rPr>
        <w:t xml:space="preserve"> odtwarzania dostarczania publicznych sieci telekomunikacyjnych lub przywrócenia świadczenia publicznie dostępnych usług telekomunikacyjnych, z uwzględnieniem pierwszeństwa </w:t>
      </w:r>
      <w:r w:rsidR="0052551E" w:rsidRPr="00833C88">
        <w:rPr>
          <w:rFonts w:cs="Times New Roman"/>
          <w:sz w:val="24"/>
          <w:szCs w:val="24"/>
        </w:rPr>
        <w:t xml:space="preserve">m. in. </w:t>
      </w:r>
      <w:r w:rsidR="006F4855" w:rsidRPr="00833C88">
        <w:rPr>
          <w:rFonts w:cs="Times New Roman"/>
          <w:sz w:val="24"/>
          <w:szCs w:val="24"/>
        </w:rPr>
        <w:t>dla operatorów usług kluczowych</w:t>
      </w:r>
      <w:r w:rsidR="0052551E" w:rsidRPr="00833C88">
        <w:rPr>
          <w:rFonts w:cs="Times New Roman"/>
          <w:sz w:val="24"/>
          <w:szCs w:val="24"/>
        </w:rPr>
        <w:t xml:space="preserve">. </w:t>
      </w:r>
      <w:r w:rsidR="00A80926" w:rsidRPr="00833C88">
        <w:rPr>
          <w:rFonts w:cs="Times New Roman"/>
          <w:sz w:val="24"/>
          <w:szCs w:val="24"/>
        </w:rPr>
        <w:t>Pojęcie operatorów usług kluczowych zastępuje się pojęciem podmiotów kluczowych.</w:t>
      </w:r>
    </w:p>
    <w:p w14:paraId="65DB0804" w14:textId="1463A17B" w:rsidR="000D3747" w:rsidRPr="00833C88" w:rsidRDefault="002657FB" w:rsidP="002657FB">
      <w:pPr>
        <w:pStyle w:val="Nagwek3"/>
        <w:numPr>
          <w:ilvl w:val="0"/>
          <w:numId w:val="0"/>
        </w:numPr>
        <w:spacing w:line="360" w:lineRule="auto"/>
        <w:ind w:left="720"/>
        <w:jc w:val="both"/>
        <w:rPr>
          <w:rFonts w:cs="Times New Roman"/>
        </w:rPr>
      </w:pPr>
      <w:r w:rsidRPr="002657FB">
        <w:rPr>
          <w:rFonts w:cs="Times New Roman"/>
          <w:b/>
          <w:bCs/>
        </w:rPr>
        <w:t>23. 12. 18.</w:t>
      </w:r>
      <w:r>
        <w:rPr>
          <w:rFonts w:cs="Times New Roman"/>
        </w:rPr>
        <w:t xml:space="preserve"> </w:t>
      </w:r>
      <w:r w:rsidR="00E106FA" w:rsidRPr="00833C88">
        <w:rPr>
          <w:rFonts w:cs="Times New Roman"/>
        </w:rPr>
        <w:t>W ustawie z 12 lipca 2024 r. – Przepisy wprowadzające ustawę – Prawo komunikacji elektronicznej</w:t>
      </w:r>
    </w:p>
    <w:p w14:paraId="2434E6E2" w14:textId="57F29B12" w:rsidR="00E106FA" w:rsidRPr="00833C88" w:rsidRDefault="006D6240" w:rsidP="00533D2A">
      <w:pPr>
        <w:spacing w:line="360" w:lineRule="auto"/>
        <w:ind w:left="360"/>
        <w:jc w:val="both"/>
        <w:rPr>
          <w:rFonts w:eastAsia="Times New Roman" w:cs="Times New Roman"/>
          <w:sz w:val="24"/>
          <w:szCs w:val="24"/>
          <w:lang w:eastAsia="pl-PL"/>
        </w:rPr>
      </w:pPr>
      <w:r w:rsidRPr="00833C88">
        <w:rPr>
          <w:rFonts w:eastAsia="Times New Roman" w:cs="Times New Roman"/>
          <w:sz w:val="24"/>
          <w:szCs w:val="24"/>
          <w:lang w:eastAsia="pl-PL"/>
        </w:rPr>
        <w:t xml:space="preserve">Poprzez przepis art. 68 ust. 3 ustawy z dnia 12 lipca 2024 r. – Przepisy wprowadzające ustawę – Prawo komunikacji elektronicznej </w:t>
      </w:r>
      <w:r w:rsidR="00020D9E" w:rsidRPr="00833C88">
        <w:rPr>
          <w:rFonts w:eastAsia="Times New Roman" w:cs="Times New Roman"/>
          <w:sz w:val="24"/>
          <w:szCs w:val="24"/>
          <w:lang w:eastAsia="pl-PL"/>
        </w:rPr>
        <w:t xml:space="preserve">(Dz. U. poz. 1222) </w:t>
      </w:r>
      <w:r w:rsidRPr="00833C88">
        <w:rPr>
          <w:rFonts w:eastAsia="Times New Roman" w:cs="Times New Roman"/>
          <w:sz w:val="24"/>
          <w:szCs w:val="24"/>
          <w:lang w:eastAsia="pl-PL"/>
        </w:rPr>
        <w:t>tymczasowo utrzymano w</w:t>
      </w:r>
      <w:r w:rsidR="00390968" w:rsidRPr="00833C88">
        <w:rPr>
          <w:rFonts w:eastAsia="Times New Roman" w:cs="Times New Roman"/>
          <w:sz w:val="24"/>
          <w:szCs w:val="24"/>
          <w:lang w:eastAsia="pl-PL"/>
        </w:rPr>
        <w:t> </w:t>
      </w:r>
      <w:r w:rsidRPr="00833C88">
        <w:rPr>
          <w:rFonts w:eastAsia="Times New Roman" w:cs="Times New Roman"/>
          <w:sz w:val="24"/>
          <w:szCs w:val="24"/>
          <w:lang w:eastAsia="pl-PL"/>
        </w:rPr>
        <w:t>mocy przepisy</w:t>
      </w:r>
      <w:r w:rsidR="002657FB">
        <w:rPr>
          <w:rFonts w:eastAsia="Times New Roman" w:cs="Times New Roman"/>
          <w:sz w:val="24"/>
          <w:szCs w:val="24"/>
          <w:lang w:eastAsia="pl-PL"/>
        </w:rPr>
        <w:t xml:space="preserve"> ustawy -</w:t>
      </w:r>
      <w:r w:rsidRPr="00833C88">
        <w:rPr>
          <w:rFonts w:eastAsia="Times New Roman" w:cs="Times New Roman"/>
          <w:sz w:val="24"/>
          <w:szCs w:val="24"/>
          <w:lang w:eastAsia="pl-PL"/>
        </w:rPr>
        <w:t xml:space="preserve"> Praw</w:t>
      </w:r>
      <w:r w:rsidR="002657FB">
        <w:rPr>
          <w:rFonts w:eastAsia="Times New Roman" w:cs="Times New Roman"/>
          <w:sz w:val="24"/>
          <w:szCs w:val="24"/>
          <w:lang w:eastAsia="pl-PL"/>
        </w:rPr>
        <w:t>o</w:t>
      </w:r>
      <w:r w:rsidRPr="00833C88">
        <w:rPr>
          <w:rFonts w:eastAsia="Times New Roman" w:cs="Times New Roman"/>
          <w:sz w:val="24"/>
          <w:szCs w:val="24"/>
          <w:lang w:eastAsia="pl-PL"/>
        </w:rPr>
        <w:t xml:space="preserve"> telekomunikacyjne</w:t>
      </w:r>
      <w:r w:rsidRPr="00833C88">
        <w:rPr>
          <w:rFonts w:eastAsia="Times New Roman" w:cs="Times New Roman"/>
          <w:sz w:val="24"/>
          <w:szCs w:val="24"/>
          <w:vertAlign w:val="superscript"/>
          <w:lang w:eastAsia="pl-PL"/>
        </w:rPr>
        <w:footnoteReference w:id="93"/>
      </w:r>
      <w:r w:rsidR="00390968" w:rsidRPr="00833C88">
        <w:rPr>
          <w:rFonts w:eastAsia="Times New Roman" w:cs="Times New Roman"/>
          <w:sz w:val="24"/>
          <w:szCs w:val="24"/>
          <w:vertAlign w:val="superscript"/>
          <w:lang w:eastAsia="pl-PL"/>
        </w:rPr>
        <w:t>)</w:t>
      </w:r>
      <w:r w:rsidRPr="00833C88">
        <w:rPr>
          <w:rFonts w:eastAsia="Times New Roman" w:cs="Times New Roman"/>
          <w:sz w:val="24"/>
          <w:szCs w:val="24"/>
          <w:lang w:eastAsia="pl-PL"/>
        </w:rPr>
        <w:t>, zawierające wymogi bezpieczeństwa sieci i usług telekomunikacyjnych do czasu pełnego wdrożenia dyrektywy NIS 2</w:t>
      </w:r>
      <w:r w:rsidR="009951D9" w:rsidRPr="00833C88">
        <w:rPr>
          <w:rFonts w:eastAsia="Times New Roman" w:cs="Times New Roman"/>
          <w:sz w:val="24"/>
          <w:szCs w:val="24"/>
          <w:lang w:eastAsia="pl-PL"/>
        </w:rPr>
        <w:t xml:space="preserve">. Rozwiązanie to miało zapewnić, że nie powstanie luka w wymogach bezpieczeństwa dla przedsiębiorców telekomunikacyjnych między wejściem w życie Prawa komunikacji elektronicznej a wejściem w życie przepisów wdrażających dyrektywę NIS 2. Dla </w:t>
      </w:r>
      <w:r w:rsidR="008F2C8B" w:rsidRPr="00833C88">
        <w:rPr>
          <w:rFonts w:eastAsia="Times New Roman" w:cs="Times New Roman"/>
          <w:sz w:val="24"/>
          <w:szCs w:val="24"/>
          <w:lang w:eastAsia="pl-PL"/>
        </w:rPr>
        <w:t>zapewnienia jednolitości systemu prawa należy uchylić art. 68 ust. 3 ustawy z</w:t>
      </w:r>
      <w:r w:rsidR="002657FB">
        <w:rPr>
          <w:rFonts w:eastAsia="Times New Roman" w:cs="Times New Roman"/>
          <w:sz w:val="24"/>
          <w:szCs w:val="24"/>
          <w:lang w:eastAsia="pl-PL"/>
        </w:rPr>
        <w:t> </w:t>
      </w:r>
      <w:r w:rsidR="008F2C8B" w:rsidRPr="00833C88">
        <w:rPr>
          <w:rFonts w:eastAsia="Times New Roman" w:cs="Times New Roman"/>
          <w:sz w:val="24"/>
          <w:szCs w:val="24"/>
          <w:lang w:eastAsia="pl-PL"/>
        </w:rPr>
        <w:t>dnia 12 lipca 2024 r. – Przepisy wprowadzające ustawę – Prawo komunikacji elektronicznej.</w:t>
      </w:r>
    </w:p>
    <w:p w14:paraId="5CAAEFF7" w14:textId="2667DBE7" w:rsidR="00374AA6" w:rsidRPr="00833C88" w:rsidRDefault="00680CC5" w:rsidP="00390968">
      <w:pPr>
        <w:pStyle w:val="Nagwek2"/>
        <w:spacing w:before="0" w:after="120" w:line="360" w:lineRule="auto"/>
        <w:jc w:val="both"/>
        <w:rPr>
          <w:rFonts w:cs="Times New Roman"/>
          <w:b/>
          <w:bCs/>
        </w:rPr>
      </w:pPr>
      <w:r w:rsidRPr="00833C88">
        <w:rPr>
          <w:rFonts w:cs="Times New Roman"/>
          <w:b/>
          <w:bCs/>
        </w:rPr>
        <w:lastRenderedPageBreak/>
        <w:t xml:space="preserve">Przepisy przejściowe, dostosowujące </w:t>
      </w:r>
      <w:r w:rsidR="00601933" w:rsidRPr="00833C88">
        <w:rPr>
          <w:rFonts w:cs="Times New Roman"/>
          <w:b/>
          <w:bCs/>
        </w:rPr>
        <w:t>i </w:t>
      </w:r>
      <w:r w:rsidRPr="00833C88">
        <w:rPr>
          <w:rFonts w:cs="Times New Roman"/>
          <w:b/>
          <w:bCs/>
        </w:rPr>
        <w:t>końcow</w:t>
      </w:r>
      <w:r w:rsidR="008A11EE" w:rsidRPr="00833C88">
        <w:rPr>
          <w:rFonts w:cs="Times New Roman"/>
          <w:b/>
          <w:bCs/>
        </w:rPr>
        <w:t>y</w:t>
      </w:r>
    </w:p>
    <w:p w14:paraId="0FF8F297" w14:textId="39F73391" w:rsidR="00FF002C" w:rsidRPr="00833C88" w:rsidRDefault="00B4269F" w:rsidP="00533D2A">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Projekt ustawy </w:t>
      </w:r>
      <w:r w:rsidR="00EC506B" w:rsidRPr="00833C88">
        <w:rPr>
          <w:rFonts w:eastAsia="Times New Roman" w:cs="Times New Roman"/>
          <w:sz w:val="24"/>
          <w:szCs w:val="24"/>
          <w:lang w:eastAsia="pl-PL"/>
        </w:rPr>
        <w:t>wskazuje, że postępowania karnoadministracyjne oraz kontrole wszczęte i</w:t>
      </w:r>
      <w:r w:rsidR="00DF6E35" w:rsidRPr="00833C88">
        <w:rPr>
          <w:rFonts w:eastAsia="Times New Roman" w:cs="Times New Roman"/>
          <w:sz w:val="24"/>
          <w:szCs w:val="24"/>
          <w:lang w:eastAsia="pl-PL"/>
        </w:rPr>
        <w:t> </w:t>
      </w:r>
      <w:r w:rsidR="00EC506B" w:rsidRPr="00833C88">
        <w:rPr>
          <w:rFonts w:eastAsia="Times New Roman" w:cs="Times New Roman"/>
          <w:sz w:val="24"/>
          <w:szCs w:val="24"/>
          <w:lang w:eastAsia="pl-PL"/>
        </w:rPr>
        <w:t xml:space="preserve">niezakończone przed dniem wejścia </w:t>
      </w:r>
      <w:r w:rsidR="00601933" w:rsidRPr="00833C88">
        <w:rPr>
          <w:rFonts w:eastAsia="Times New Roman" w:cs="Times New Roman"/>
          <w:sz w:val="24"/>
          <w:szCs w:val="24"/>
          <w:lang w:eastAsia="pl-PL"/>
        </w:rPr>
        <w:t>w </w:t>
      </w:r>
      <w:r w:rsidR="00EC506B" w:rsidRPr="00833C88">
        <w:rPr>
          <w:rFonts w:eastAsia="Times New Roman" w:cs="Times New Roman"/>
          <w:sz w:val="24"/>
          <w:szCs w:val="24"/>
          <w:lang w:eastAsia="pl-PL"/>
        </w:rPr>
        <w:t xml:space="preserve">życie ustawy zostaną ukończone na podstawie przepisów dotychczasowych. Gwarantuje to, że podmioty, których te postępowania dotyczą nie zostaną zaskoczone nowymi zasadami </w:t>
      </w:r>
      <w:r w:rsidR="00601933" w:rsidRPr="00833C88">
        <w:rPr>
          <w:rFonts w:eastAsia="Times New Roman" w:cs="Times New Roman"/>
          <w:sz w:val="24"/>
          <w:szCs w:val="24"/>
          <w:lang w:eastAsia="pl-PL"/>
        </w:rPr>
        <w:t>i </w:t>
      </w:r>
      <w:r w:rsidR="00EC506B" w:rsidRPr="00833C88">
        <w:rPr>
          <w:rFonts w:eastAsia="Times New Roman" w:cs="Times New Roman"/>
          <w:sz w:val="24"/>
          <w:szCs w:val="24"/>
          <w:lang w:eastAsia="pl-PL"/>
        </w:rPr>
        <w:t>pozwoli zakończyć te postępowania w</w:t>
      </w:r>
      <w:r w:rsidR="00DF6E35" w:rsidRPr="00833C88">
        <w:rPr>
          <w:rFonts w:eastAsia="Times New Roman" w:cs="Times New Roman"/>
          <w:sz w:val="24"/>
          <w:szCs w:val="24"/>
          <w:lang w:eastAsia="pl-PL"/>
        </w:rPr>
        <w:t> </w:t>
      </w:r>
      <w:r w:rsidR="00EC506B" w:rsidRPr="00833C88">
        <w:rPr>
          <w:rFonts w:eastAsia="Times New Roman" w:cs="Times New Roman"/>
          <w:sz w:val="24"/>
          <w:szCs w:val="24"/>
          <w:lang w:eastAsia="pl-PL"/>
        </w:rPr>
        <w:t xml:space="preserve">odpowiednim terminie. </w:t>
      </w:r>
      <w:r w:rsidR="007168D3" w:rsidRPr="00833C88">
        <w:rPr>
          <w:rFonts w:eastAsia="Times New Roman" w:cs="Times New Roman"/>
          <w:sz w:val="24"/>
          <w:szCs w:val="24"/>
          <w:lang w:eastAsia="pl-PL"/>
        </w:rPr>
        <w:t xml:space="preserve">Dotychczasowe przepisy mają zastosowanie również do </w:t>
      </w:r>
      <w:r w:rsidR="00BE5908" w:rsidRPr="00833C88">
        <w:rPr>
          <w:rFonts w:eastAsia="Times New Roman" w:cs="Times New Roman"/>
          <w:sz w:val="24"/>
          <w:szCs w:val="24"/>
          <w:lang w:eastAsia="pl-PL"/>
        </w:rPr>
        <w:t>rozpoczę</w:t>
      </w:r>
      <w:r w:rsidR="001C7EF1" w:rsidRPr="00833C88">
        <w:rPr>
          <w:rFonts w:eastAsia="Times New Roman" w:cs="Times New Roman"/>
          <w:sz w:val="24"/>
          <w:szCs w:val="24"/>
          <w:lang w:eastAsia="pl-PL"/>
        </w:rPr>
        <w:t>tej obsługi incydentu</w:t>
      </w:r>
      <w:r w:rsidR="00826ECB" w:rsidRPr="00833C88">
        <w:rPr>
          <w:rFonts w:eastAsia="Times New Roman" w:cs="Times New Roman"/>
          <w:sz w:val="24"/>
          <w:szCs w:val="24"/>
          <w:lang w:eastAsia="pl-PL"/>
        </w:rPr>
        <w:t xml:space="preserve">, ponieważ </w:t>
      </w:r>
      <w:r w:rsidR="00601933" w:rsidRPr="00833C88">
        <w:rPr>
          <w:rFonts w:eastAsia="Times New Roman" w:cs="Times New Roman"/>
          <w:sz w:val="24"/>
          <w:szCs w:val="24"/>
          <w:lang w:eastAsia="pl-PL"/>
        </w:rPr>
        <w:t>w </w:t>
      </w:r>
      <w:r w:rsidR="008D4C11" w:rsidRPr="00833C88">
        <w:rPr>
          <w:rFonts w:eastAsia="Times New Roman" w:cs="Times New Roman"/>
          <w:sz w:val="24"/>
          <w:szCs w:val="24"/>
          <w:lang w:eastAsia="pl-PL"/>
        </w:rPr>
        <w:t xml:space="preserve">przypadku </w:t>
      </w:r>
      <w:r w:rsidR="00F91692" w:rsidRPr="00833C88">
        <w:rPr>
          <w:rFonts w:eastAsia="Times New Roman" w:cs="Times New Roman"/>
          <w:sz w:val="24"/>
          <w:szCs w:val="24"/>
          <w:lang w:eastAsia="pl-PL"/>
        </w:rPr>
        <w:t xml:space="preserve">wystąpienia incydentu </w:t>
      </w:r>
      <w:r w:rsidR="00826ECB" w:rsidRPr="00833C88">
        <w:rPr>
          <w:rFonts w:eastAsia="Times New Roman" w:cs="Times New Roman"/>
          <w:sz w:val="24"/>
          <w:szCs w:val="24"/>
          <w:lang w:eastAsia="pl-PL"/>
        </w:rPr>
        <w:t>ist</w:t>
      </w:r>
      <w:r w:rsidR="00BC74BF" w:rsidRPr="00833C88">
        <w:rPr>
          <w:rFonts w:eastAsia="Times New Roman" w:cs="Times New Roman"/>
          <w:sz w:val="24"/>
          <w:szCs w:val="24"/>
          <w:lang w:eastAsia="pl-PL"/>
        </w:rPr>
        <w:t xml:space="preserve">otne jest </w:t>
      </w:r>
      <w:r w:rsidR="00462260" w:rsidRPr="00833C88">
        <w:rPr>
          <w:rFonts w:eastAsia="Times New Roman" w:cs="Times New Roman"/>
          <w:sz w:val="24"/>
          <w:szCs w:val="24"/>
          <w:lang w:eastAsia="pl-PL"/>
        </w:rPr>
        <w:t>postępowanie z</w:t>
      </w:r>
      <w:r w:rsidR="00BB7A72" w:rsidRPr="00833C88">
        <w:rPr>
          <w:rFonts w:eastAsia="Times New Roman" w:cs="Times New Roman"/>
          <w:sz w:val="24"/>
          <w:szCs w:val="24"/>
          <w:lang w:eastAsia="pl-PL"/>
        </w:rPr>
        <w:t xml:space="preserve">godnie </w:t>
      </w:r>
      <w:r w:rsidR="00601933" w:rsidRPr="00833C88">
        <w:rPr>
          <w:rFonts w:eastAsia="Times New Roman" w:cs="Times New Roman"/>
          <w:sz w:val="24"/>
          <w:szCs w:val="24"/>
          <w:lang w:eastAsia="pl-PL"/>
        </w:rPr>
        <w:t>z </w:t>
      </w:r>
      <w:r w:rsidR="00BB7A72" w:rsidRPr="00833C88">
        <w:rPr>
          <w:rFonts w:eastAsia="Times New Roman" w:cs="Times New Roman"/>
          <w:sz w:val="24"/>
          <w:szCs w:val="24"/>
          <w:lang w:eastAsia="pl-PL"/>
        </w:rPr>
        <w:t>ustalonymi pr</w:t>
      </w:r>
      <w:r w:rsidR="00F75339" w:rsidRPr="00833C88">
        <w:rPr>
          <w:rFonts w:eastAsia="Times New Roman" w:cs="Times New Roman"/>
          <w:sz w:val="24"/>
          <w:szCs w:val="24"/>
          <w:lang w:eastAsia="pl-PL"/>
        </w:rPr>
        <w:t>ocedurami</w:t>
      </w:r>
      <w:r w:rsidR="00BF3C46" w:rsidRPr="00833C88">
        <w:rPr>
          <w:rFonts w:eastAsia="Times New Roman" w:cs="Times New Roman"/>
          <w:sz w:val="24"/>
          <w:szCs w:val="24"/>
          <w:lang w:eastAsia="pl-PL"/>
        </w:rPr>
        <w:t xml:space="preserve">. </w:t>
      </w:r>
      <w:r w:rsidR="006A4530" w:rsidRPr="00833C88">
        <w:rPr>
          <w:rFonts w:eastAsia="Times New Roman" w:cs="Times New Roman"/>
          <w:sz w:val="24"/>
          <w:szCs w:val="24"/>
          <w:lang w:eastAsia="pl-PL"/>
        </w:rPr>
        <w:t>Projektowane</w:t>
      </w:r>
      <w:r w:rsidR="00F65470" w:rsidRPr="00833C88">
        <w:rPr>
          <w:rFonts w:eastAsia="Times New Roman" w:cs="Times New Roman"/>
          <w:sz w:val="24"/>
          <w:szCs w:val="24"/>
          <w:lang w:eastAsia="pl-PL"/>
        </w:rPr>
        <w:t xml:space="preserve"> przepisy dotyczące obsługi incydentu wprowadziły szereg nowych obowiązków nałożonych na podmiot m.in. obowiązek sporządzenia raportu końcowego, </w:t>
      </w:r>
      <w:r w:rsidR="006A4530" w:rsidRPr="00833C88">
        <w:rPr>
          <w:rFonts w:eastAsia="Times New Roman" w:cs="Times New Roman"/>
          <w:sz w:val="24"/>
          <w:szCs w:val="24"/>
          <w:lang w:eastAsia="pl-PL"/>
        </w:rPr>
        <w:t xml:space="preserve">dlatego też </w:t>
      </w:r>
      <w:r w:rsidR="00F65470" w:rsidRPr="00833C88">
        <w:rPr>
          <w:rFonts w:eastAsia="Times New Roman" w:cs="Times New Roman"/>
          <w:sz w:val="24"/>
          <w:szCs w:val="24"/>
          <w:lang w:eastAsia="pl-PL"/>
        </w:rPr>
        <w:t xml:space="preserve">zdecydowano by trwające incydenty zostały obsłużone na dotychczasowych zasadach. Pozwoli to uniknąć sytuacji, </w:t>
      </w:r>
      <w:r w:rsidR="00601933" w:rsidRPr="00833C88">
        <w:rPr>
          <w:rFonts w:eastAsia="Times New Roman" w:cs="Times New Roman"/>
          <w:sz w:val="24"/>
          <w:szCs w:val="24"/>
          <w:lang w:eastAsia="pl-PL"/>
        </w:rPr>
        <w:t>w </w:t>
      </w:r>
      <w:r w:rsidR="00F65470" w:rsidRPr="00833C88">
        <w:rPr>
          <w:rFonts w:eastAsia="Times New Roman" w:cs="Times New Roman"/>
          <w:sz w:val="24"/>
          <w:szCs w:val="24"/>
          <w:lang w:eastAsia="pl-PL"/>
        </w:rPr>
        <w:t>której podmioty musiałyby zmieniać swoje wewnętrzne procedury przy jednoczesnym zwalczaniu skutków incydentu</w:t>
      </w:r>
      <w:r w:rsidR="006A4530" w:rsidRPr="00833C88">
        <w:rPr>
          <w:rFonts w:eastAsia="Times New Roman" w:cs="Times New Roman"/>
          <w:sz w:val="24"/>
          <w:szCs w:val="24"/>
          <w:lang w:eastAsia="pl-PL"/>
        </w:rPr>
        <w:t xml:space="preserve">, co </w:t>
      </w:r>
      <w:r w:rsidR="00601933" w:rsidRPr="00833C88">
        <w:rPr>
          <w:rFonts w:eastAsia="Times New Roman" w:cs="Times New Roman"/>
          <w:sz w:val="24"/>
          <w:szCs w:val="24"/>
          <w:lang w:eastAsia="pl-PL"/>
        </w:rPr>
        <w:t>w </w:t>
      </w:r>
      <w:r w:rsidR="00A57015" w:rsidRPr="00833C88">
        <w:rPr>
          <w:rFonts w:eastAsia="Times New Roman" w:cs="Times New Roman"/>
          <w:sz w:val="24"/>
          <w:szCs w:val="24"/>
          <w:lang w:eastAsia="pl-PL"/>
        </w:rPr>
        <w:t>znacznym</w:t>
      </w:r>
      <w:r w:rsidR="00DB1E41" w:rsidRPr="00833C88">
        <w:rPr>
          <w:rFonts w:eastAsia="Times New Roman" w:cs="Times New Roman"/>
          <w:sz w:val="24"/>
          <w:szCs w:val="24"/>
          <w:lang w:eastAsia="pl-PL"/>
        </w:rPr>
        <w:t xml:space="preserve"> </w:t>
      </w:r>
      <w:r w:rsidR="00A57015" w:rsidRPr="00833C88">
        <w:rPr>
          <w:rFonts w:eastAsia="Times New Roman" w:cs="Times New Roman"/>
          <w:sz w:val="24"/>
          <w:szCs w:val="24"/>
          <w:lang w:eastAsia="pl-PL"/>
        </w:rPr>
        <w:t xml:space="preserve">stopniu </w:t>
      </w:r>
      <w:r w:rsidR="006A4530" w:rsidRPr="00833C88">
        <w:rPr>
          <w:rFonts w:eastAsia="Times New Roman" w:cs="Times New Roman"/>
          <w:sz w:val="24"/>
          <w:szCs w:val="24"/>
          <w:lang w:eastAsia="pl-PL"/>
        </w:rPr>
        <w:t xml:space="preserve">mogłoby </w:t>
      </w:r>
      <w:r w:rsidR="00A57015" w:rsidRPr="00833C88">
        <w:rPr>
          <w:rFonts w:eastAsia="Times New Roman" w:cs="Times New Roman"/>
          <w:sz w:val="24"/>
          <w:szCs w:val="24"/>
          <w:lang w:eastAsia="pl-PL"/>
        </w:rPr>
        <w:t xml:space="preserve">utrudnić </w:t>
      </w:r>
      <w:r w:rsidR="00E31077" w:rsidRPr="00833C88">
        <w:rPr>
          <w:rFonts w:eastAsia="Times New Roman" w:cs="Times New Roman"/>
          <w:sz w:val="24"/>
          <w:szCs w:val="24"/>
          <w:lang w:eastAsia="pl-PL"/>
        </w:rPr>
        <w:t xml:space="preserve">prawidłową obsługę </w:t>
      </w:r>
      <w:r w:rsidR="0097616D" w:rsidRPr="00833C88">
        <w:rPr>
          <w:rFonts w:eastAsia="Times New Roman" w:cs="Times New Roman"/>
          <w:sz w:val="24"/>
          <w:szCs w:val="24"/>
          <w:lang w:eastAsia="pl-PL"/>
        </w:rPr>
        <w:t xml:space="preserve">incydentu. </w:t>
      </w:r>
      <w:r w:rsidR="00CF622C" w:rsidRPr="00833C88">
        <w:rPr>
          <w:rFonts w:eastAsia="Times New Roman" w:cs="Times New Roman"/>
          <w:sz w:val="24"/>
          <w:szCs w:val="24"/>
          <w:lang w:eastAsia="pl-PL"/>
        </w:rPr>
        <w:t xml:space="preserve">Zachowane </w:t>
      </w:r>
      <w:r w:rsidR="00601933" w:rsidRPr="00833C88">
        <w:rPr>
          <w:rFonts w:eastAsia="Times New Roman" w:cs="Times New Roman"/>
          <w:sz w:val="24"/>
          <w:szCs w:val="24"/>
          <w:lang w:eastAsia="pl-PL"/>
        </w:rPr>
        <w:t>w </w:t>
      </w:r>
      <w:r w:rsidR="00CF622C" w:rsidRPr="00833C88">
        <w:rPr>
          <w:rFonts w:eastAsia="Times New Roman" w:cs="Times New Roman"/>
          <w:sz w:val="24"/>
          <w:szCs w:val="24"/>
          <w:lang w:eastAsia="pl-PL"/>
        </w:rPr>
        <w:t>mo</w:t>
      </w:r>
      <w:r w:rsidR="0084077B" w:rsidRPr="00833C88">
        <w:rPr>
          <w:rFonts w:eastAsia="Times New Roman" w:cs="Times New Roman"/>
          <w:sz w:val="24"/>
          <w:szCs w:val="24"/>
          <w:lang w:eastAsia="pl-PL"/>
        </w:rPr>
        <w:t>cy zostały r</w:t>
      </w:r>
      <w:r w:rsidR="00B249B4" w:rsidRPr="00833C88">
        <w:rPr>
          <w:rFonts w:eastAsia="Times New Roman" w:cs="Times New Roman"/>
          <w:sz w:val="24"/>
          <w:szCs w:val="24"/>
          <w:lang w:eastAsia="pl-PL"/>
        </w:rPr>
        <w:t>ekomendacj</w:t>
      </w:r>
      <w:r w:rsidR="0084077B" w:rsidRPr="00833C88">
        <w:rPr>
          <w:rFonts w:eastAsia="Times New Roman" w:cs="Times New Roman"/>
          <w:sz w:val="24"/>
          <w:szCs w:val="24"/>
          <w:lang w:eastAsia="pl-PL"/>
        </w:rPr>
        <w:t>e</w:t>
      </w:r>
      <w:r w:rsidR="00B249B4" w:rsidRPr="00833C88">
        <w:rPr>
          <w:rFonts w:eastAsia="Times New Roman" w:cs="Times New Roman"/>
          <w:sz w:val="24"/>
          <w:szCs w:val="24"/>
          <w:lang w:eastAsia="pl-PL"/>
        </w:rPr>
        <w:t xml:space="preserve"> Pełnomocnika, </w:t>
      </w:r>
      <w:r w:rsidR="00FF002C" w:rsidRPr="00833C88">
        <w:rPr>
          <w:rFonts w:eastAsia="Times New Roman" w:cs="Times New Roman"/>
          <w:sz w:val="24"/>
          <w:szCs w:val="24"/>
          <w:lang w:eastAsia="pl-PL"/>
        </w:rPr>
        <w:t>dotyczących stosowania urządzeń informatycznych lub oprogramowania</w:t>
      </w:r>
      <w:r w:rsidR="00DE0F31" w:rsidRPr="00833C88">
        <w:rPr>
          <w:rFonts w:eastAsia="Times New Roman" w:cs="Times New Roman"/>
          <w:sz w:val="24"/>
          <w:szCs w:val="24"/>
          <w:lang w:eastAsia="pl-PL"/>
        </w:rPr>
        <w:t xml:space="preserve">, co wynika </w:t>
      </w:r>
      <w:r w:rsidR="00601933" w:rsidRPr="00833C88">
        <w:rPr>
          <w:rFonts w:eastAsia="Times New Roman" w:cs="Times New Roman"/>
          <w:sz w:val="24"/>
          <w:szCs w:val="24"/>
          <w:lang w:eastAsia="pl-PL"/>
        </w:rPr>
        <w:t>z </w:t>
      </w:r>
      <w:r w:rsidR="00D53BE2" w:rsidRPr="00833C88">
        <w:rPr>
          <w:rFonts w:eastAsia="Times New Roman" w:cs="Times New Roman"/>
          <w:sz w:val="24"/>
          <w:szCs w:val="24"/>
          <w:lang w:eastAsia="pl-PL"/>
        </w:rPr>
        <w:t>zastosowania</w:t>
      </w:r>
      <w:r w:rsidR="00465B7E" w:rsidRPr="00833C88">
        <w:rPr>
          <w:rFonts w:eastAsia="Times New Roman" w:cs="Times New Roman"/>
          <w:sz w:val="24"/>
          <w:szCs w:val="24"/>
          <w:lang w:eastAsia="pl-PL"/>
        </w:rPr>
        <w:t xml:space="preserve"> </w:t>
      </w:r>
      <w:r w:rsidR="00D53BE2" w:rsidRPr="00833C88">
        <w:rPr>
          <w:rFonts w:eastAsia="Times New Roman" w:cs="Times New Roman"/>
          <w:sz w:val="24"/>
          <w:szCs w:val="24"/>
          <w:lang w:eastAsia="pl-PL"/>
        </w:rPr>
        <w:t xml:space="preserve">nowych przepisów do badań </w:t>
      </w:r>
      <w:r w:rsidR="00626EAD" w:rsidRPr="00833C88">
        <w:rPr>
          <w:rFonts w:eastAsia="Times New Roman" w:cs="Times New Roman"/>
          <w:sz w:val="24"/>
          <w:szCs w:val="24"/>
          <w:lang w:eastAsia="pl-PL"/>
        </w:rPr>
        <w:t xml:space="preserve">rozpoczętych </w:t>
      </w:r>
      <w:r w:rsidR="00821434" w:rsidRPr="00833C88">
        <w:rPr>
          <w:rFonts w:eastAsia="Times New Roman" w:cs="Times New Roman"/>
          <w:sz w:val="24"/>
          <w:szCs w:val="24"/>
          <w:lang w:eastAsia="pl-PL"/>
        </w:rPr>
        <w:t>i</w:t>
      </w:r>
      <w:r w:rsidR="009524DD" w:rsidRPr="00833C88">
        <w:rPr>
          <w:rFonts w:eastAsia="Times New Roman" w:cs="Times New Roman"/>
          <w:sz w:val="24"/>
          <w:szCs w:val="24"/>
          <w:lang w:eastAsia="pl-PL"/>
        </w:rPr>
        <w:t> </w:t>
      </w:r>
      <w:r w:rsidR="00821434" w:rsidRPr="00833C88">
        <w:rPr>
          <w:rFonts w:eastAsia="Times New Roman" w:cs="Times New Roman"/>
          <w:sz w:val="24"/>
          <w:szCs w:val="24"/>
          <w:lang w:eastAsia="pl-PL"/>
        </w:rPr>
        <w:t xml:space="preserve">niezakończonych </w:t>
      </w:r>
      <w:r w:rsidR="002B1628" w:rsidRPr="00833C88">
        <w:rPr>
          <w:rFonts w:eastAsia="Times New Roman" w:cs="Times New Roman"/>
          <w:sz w:val="24"/>
          <w:szCs w:val="24"/>
          <w:lang w:eastAsia="pl-PL"/>
        </w:rPr>
        <w:t xml:space="preserve">na podstawie </w:t>
      </w:r>
      <w:r w:rsidR="00A106E1" w:rsidRPr="00833C88">
        <w:rPr>
          <w:rFonts w:eastAsia="Times New Roman" w:cs="Times New Roman"/>
          <w:sz w:val="24"/>
          <w:szCs w:val="24"/>
          <w:lang w:eastAsia="pl-PL"/>
        </w:rPr>
        <w:t xml:space="preserve">obecnie obowiązującego </w:t>
      </w:r>
      <w:r w:rsidR="002B1628" w:rsidRPr="00833C88">
        <w:rPr>
          <w:rFonts w:eastAsia="Times New Roman" w:cs="Times New Roman"/>
          <w:sz w:val="24"/>
          <w:szCs w:val="24"/>
          <w:lang w:eastAsia="pl-PL"/>
        </w:rPr>
        <w:t xml:space="preserve">art. 33 ust. 1 </w:t>
      </w:r>
      <w:r w:rsidR="000305CD"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A106E1" w:rsidRPr="00833C88">
        <w:rPr>
          <w:rFonts w:eastAsia="Times New Roman" w:cs="Times New Roman"/>
          <w:sz w:val="24"/>
          <w:szCs w:val="24"/>
          <w:lang w:eastAsia="pl-PL"/>
        </w:rPr>
        <w:t>KSC</w:t>
      </w:r>
      <w:r w:rsidR="00821434" w:rsidRPr="00833C88">
        <w:rPr>
          <w:rFonts w:eastAsia="Times New Roman" w:cs="Times New Roman"/>
          <w:sz w:val="24"/>
          <w:szCs w:val="24"/>
          <w:lang w:eastAsia="pl-PL"/>
        </w:rPr>
        <w:t>.</w:t>
      </w:r>
    </w:p>
    <w:p w14:paraId="15F8D056" w14:textId="3B19D4DD" w:rsidR="00314E11" w:rsidRPr="00833C88" w:rsidRDefault="00782919"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Minister właściwy do spraw informatyzacji uruchomi rejestr podmiotów kluczowych i</w:t>
      </w:r>
      <w:r w:rsidR="00DF6E35" w:rsidRPr="00833C88">
        <w:rPr>
          <w:rFonts w:eastAsia="Times New Roman" w:cs="Times New Roman"/>
          <w:sz w:val="24"/>
          <w:szCs w:val="24"/>
          <w:lang w:eastAsia="pl-PL"/>
        </w:rPr>
        <w:t> podmiotów</w:t>
      </w:r>
      <w:r w:rsidR="006F6740"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ważnych </w:t>
      </w:r>
      <w:r w:rsidR="00601933" w:rsidRPr="00833C88">
        <w:rPr>
          <w:rFonts w:eastAsia="Times New Roman" w:cs="Times New Roman"/>
          <w:sz w:val="24"/>
          <w:szCs w:val="24"/>
          <w:lang w:eastAsia="pl-PL"/>
        </w:rPr>
        <w:t>w </w:t>
      </w:r>
      <w:r w:rsidR="008A0E86" w:rsidRPr="00833C88">
        <w:rPr>
          <w:rFonts w:eastAsia="Times New Roman" w:cs="Times New Roman"/>
          <w:sz w:val="24"/>
          <w:szCs w:val="24"/>
          <w:lang w:eastAsia="pl-PL"/>
        </w:rPr>
        <w:t xml:space="preserve">ciągu miesiąca od dnia wejścia </w:t>
      </w:r>
      <w:r w:rsidR="00601933" w:rsidRPr="00833C88">
        <w:rPr>
          <w:rFonts w:eastAsia="Times New Roman" w:cs="Times New Roman"/>
          <w:sz w:val="24"/>
          <w:szCs w:val="24"/>
          <w:lang w:eastAsia="pl-PL"/>
        </w:rPr>
        <w:t>w </w:t>
      </w:r>
      <w:r w:rsidR="008A0E86" w:rsidRPr="00833C88">
        <w:rPr>
          <w:rFonts w:eastAsia="Times New Roman" w:cs="Times New Roman"/>
          <w:sz w:val="24"/>
          <w:szCs w:val="24"/>
          <w:lang w:eastAsia="pl-PL"/>
        </w:rPr>
        <w:t xml:space="preserve">życie ustawy. Rejestr będzie prowadzony elektronicznie </w:t>
      </w:r>
      <w:r w:rsidR="00601933" w:rsidRPr="00833C88">
        <w:rPr>
          <w:rFonts w:eastAsia="Times New Roman" w:cs="Times New Roman"/>
          <w:sz w:val="24"/>
          <w:szCs w:val="24"/>
          <w:lang w:eastAsia="pl-PL"/>
        </w:rPr>
        <w:t>w </w:t>
      </w:r>
      <w:r w:rsidR="008A0E86"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008A0E86" w:rsidRPr="00833C88">
        <w:rPr>
          <w:rFonts w:eastAsia="Times New Roman" w:cs="Times New Roman"/>
          <w:sz w:val="24"/>
          <w:szCs w:val="24"/>
          <w:lang w:eastAsia="pl-PL"/>
        </w:rPr>
        <w:t xml:space="preserve">czym taki termin gwarantuje czas niezbędny na </w:t>
      </w:r>
      <w:r w:rsidR="00ED035E" w:rsidRPr="00833C88">
        <w:rPr>
          <w:rFonts w:eastAsia="Times New Roman" w:cs="Times New Roman"/>
          <w:sz w:val="24"/>
          <w:szCs w:val="24"/>
          <w:lang w:eastAsia="pl-PL"/>
        </w:rPr>
        <w:t xml:space="preserve">jego uruchomienie </w:t>
      </w:r>
      <w:r w:rsidR="00601933" w:rsidRPr="00833C88">
        <w:rPr>
          <w:rFonts w:eastAsia="Times New Roman" w:cs="Times New Roman"/>
          <w:sz w:val="24"/>
          <w:szCs w:val="24"/>
          <w:lang w:eastAsia="pl-PL"/>
        </w:rPr>
        <w:t>i </w:t>
      </w:r>
      <w:r w:rsidR="00ED035E" w:rsidRPr="00833C88">
        <w:rPr>
          <w:rFonts w:eastAsia="Times New Roman" w:cs="Times New Roman"/>
          <w:sz w:val="24"/>
          <w:szCs w:val="24"/>
          <w:lang w:eastAsia="pl-PL"/>
        </w:rPr>
        <w:t xml:space="preserve">odpowiednie zabezpieczenie. </w:t>
      </w:r>
      <w:r w:rsidR="00F64211" w:rsidRPr="00833C88">
        <w:rPr>
          <w:rFonts w:eastAsia="Times New Roman" w:cs="Times New Roman"/>
          <w:sz w:val="24"/>
          <w:szCs w:val="24"/>
          <w:lang w:eastAsia="pl-PL"/>
        </w:rPr>
        <w:t>Minister właściwy do spraw informatyzacji w</w:t>
      </w:r>
      <w:r w:rsidR="00DF6E35" w:rsidRPr="00833C88">
        <w:rPr>
          <w:rFonts w:eastAsia="Times New Roman" w:cs="Times New Roman"/>
          <w:sz w:val="24"/>
          <w:szCs w:val="24"/>
          <w:lang w:eastAsia="pl-PL"/>
        </w:rPr>
        <w:t> </w:t>
      </w:r>
      <w:r w:rsidR="00F64211" w:rsidRPr="00833C88">
        <w:rPr>
          <w:rFonts w:eastAsia="Times New Roman" w:cs="Times New Roman"/>
          <w:sz w:val="24"/>
          <w:szCs w:val="24"/>
          <w:lang w:eastAsia="pl-PL"/>
        </w:rPr>
        <w:t xml:space="preserve">komunikacje ogłoszonym </w:t>
      </w:r>
      <w:r w:rsidR="00601933" w:rsidRPr="00833C88">
        <w:rPr>
          <w:rFonts w:eastAsia="Times New Roman" w:cs="Times New Roman"/>
          <w:sz w:val="24"/>
          <w:szCs w:val="24"/>
          <w:lang w:eastAsia="pl-PL"/>
        </w:rPr>
        <w:t>w </w:t>
      </w:r>
      <w:r w:rsidR="00FF27FB" w:rsidRPr="00833C88">
        <w:rPr>
          <w:rFonts w:eastAsia="Times New Roman" w:cs="Times New Roman"/>
          <w:sz w:val="24"/>
          <w:szCs w:val="24"/>
          <w:lang w:eastAsia="pl-PL"/>
        </w:rPr>
        <w:t xml:space="preserve">dzienniku urzędowym ministra właściwego do spraw </w:t>
      </w:r>
      <w:r w:rsidR="00203984" w:rsidRPr="00833C88">
        <w:rPr>
          <w:rFonts w:eastAsia="Times New Roman" w:cs="Times New Roman"/>
          <w:sz w:val="24"/>
          <w:szCs w:val="24"/>
          <w:lang w:eastAsia="pl-PL"/>
        </w:rPr>
        <w:t xml:space="preserve">informatyzacji określi </w:t>
      </w:r>
      <w:r w:rsidR="00067D90" w:rsidRPr="00833C88">
        <w:rPr>
          <w:rFonts w:eastAsia="Times New Roman" w:cs="Times New Roman"/>
          <w:sz w:val="24"/>
          <w:szCs w:val="24"/>
          <w:lang w:eastAsia="pl-PL"/>
        </w:rPr>
        <w:t>termin</w:t>
      </w:r>
      <w:r w:rsidR="00D5204F" w:rsidRPr="00833C88">
        <w:rPr>
          <w:rFonts w:eastAsia="Times New Roman" w:cs="Times New Roman"/>
          <w:sz w:val="24"/>
          <w:szCs w:val="24"/>
          <w:lang w:eastAsia="pl-PL"/>
        </w:rPr>
        <w:t xml:space="preserve"> </w:t>
      </w:r>
      <w:r w:rsidR="00380E3D" w:rsidRPr="00833C88">
        <w:rPr>
          <w:rFonts w:eastAsia="Times New Roman" w:cs="Times New Roman"/>
          <w:sz w:val="24"/>
          <w:szCs w:val="24"/>
          <w:lang w:eastAsia="pl-PL"/>
        </w:rPr>
        <w:t xml:space="preserve">złożenia wniosków </w:t>
      </w:r>
      <w:r w:rsidR="00601933" w:rsidRPr="00833C88">
        <w:rPr>
          <w:rFonts w:eastAsia="Times New Roman" w:cs="Times New Roman"/>
          <w:sz w:val="24"/>
          <w:szCs w:val="24"/>
          <w:lang w:eastAsia="pl-PL"/>
        </w:rPr>
        <w:t>o </w:t>
      </w:r>
      <w:r w:rsidR="00380E3D" w:rsidRPr="00833C88">
        <w:rPr>
          <w:rFonts w:eastAsia="Times New Roman" w:cs="Times New Roman"/>
          <w:sz w:val="24"/>
          <w:szCs w:val="24"/>
          <w:lang w:eastAsia="pl-PL"/>
        </w:rPr>
        <w:t>wpis do wykazu podmiotów kluczowych i</w:t>
      </w:r>
      <w:r w:rsidR="00DF6E35" w:rsidRPr="00833C88">
        <w:rPr>
          <w:rFonts w:eastAsia="Times New Roman" w:cs="Times New Roman"/>
          <w:sz w:val="24"/>
          <w:szCs w:val="24"/>
          <w:lang w:eastAsia="pl-PL"/>
        </w:rPr>
        <w:t> </w:t>
      </w:r>
      <w:r w:rsidR="00380E3D" w:rsidRPr="00833C88">
        <w:rPr>
          <w:rFonts w:eastAsia="Times New Roman" w:cs="Times New Roman"/>
          <w:sz w:val="24"/>
          <w:szCs w:val="24"/>
          <w:lang w:eastAsia="pl-PL"/>
        </w:rPr>
        <w:t xml:space="preserve">podmiotów ważnych przez podmioty kluczowe </w:t>
      </w:r>
      <w:r w:rsidR="00601933" w:rsidRPr="00833C88">
        <w:rPr>
          <w:rFonts w:eastAsia="Times New Roman" w:cs="Times New Roman"/>
          <w:sz w:val="24"/>
          <w:szCs w:val="24"/>
          <w:lang w:eastAsia="pl-PL"/>
        </w:rPr>
        <w:t>i </w:t>
      </w:r>
      <w:r w:rsidR="00380E3D" w:rsidRPr="00833C88">
        <w:rPr>
          <w:rFonts w:eastAsia="Times New Roman" w:cs="Times New Roman"/>
          <w:sz w:val="24"/>
          <w:szCs w:val="24"/>
          <w:lang w:eastAsia="pl-PL"/>
        </w:rPr>
        <w:t xml:space="preserve">podmioty ważne oraz </w:t>
      </w:r>
      <w:r w:rsidR="00067D90" w:rsidRPr="00833C88">
        <w:rPr>
          <w:rFonts w:eastAsia="Times New Roman" w:cs="Times New Roman"/>
          <w:sz w:val="24"/>
          <w:szCs w:val="24"/>
          <w:lang w:eastAsia="pl-PL"/>
        </w:rPr>
        <w:t xml:space="preserve">rozpoczęcia korzystania </w:t>
      </w:r>
      <w:r w:rsidR="00601933" w:rsidRPr="00833C88">
        <w:rPr>
          <w:rFonts w:eastAsia="Times New Roman" w:cs="Times New Roman"/>
          <w:sz w:val="24"/>
          <w:szCs w:val="24"/>
          <w:lang w:eastAsia="pl-PL"/>
        </w:rPr>
        <w:t>z </w:t>
      </w:r>
      <w:r w:rsidR="00E0731D" w:rsidRPr="00833C88">
        <w:rPr>
          <w:rFonts w:eastAsia="Times New Roman" w:cs="Times New Roman"/>
          <w:sz w:val="24"/>
          <w:szCs w:val="24"/>
          <w:lang w:eastAsia="pl-PL"/>
        </w:rPr>
        <w:t xml:space="preserve">systemu </w:t>
      </w:r>
      <w:r w:rsidR="003551F0" w:rsidRPr="00833C88">
        <w:rPr>
          <w:rFonts w:eastAsia="Times New Roman" w:cs="Times New Roman"/>
          <w:sz w:val="24"/>
          <w:szCs w:val="24"/>
          <w:lang w:eastAsia="pl-PL"/>
        </w:rPr>
        <w:t xml:space="preserve">teleinformatycznego, </w:t>
      </w:r>
      <w:r w:rsidR="00601933" w:rsidRPr="00833C88">
        <w:rPr>
          <w:rFonts w:eastAsia="Times New Roman" w:cs="Times New Roman"/>
          <w:sz w:val="24"/>
          <w:szCs w:val="24"/>
          <w:lang w:eastAsia="pl-PL"/>
        </w:rPr>
        <w:t>o </w:t>
      </w:r>
      <w:r w:rsidR="003551F0" w:rsidRPr="00833C88">
        <w:rPr>
          <w:rFonts w:eastAsia="Times New Roman" w:cs="Times New Roman"/>
          <w:sz w:val="24"/>
          <w:szCs w:val="24"/>
          <w:lang w:eastAsia="pl-PL"/>
        </w:rPr>
        <w:t xml:space="preserve">którym mowa </w:t>
      </w:r>
      <w:r w:rsidR="00601933" w:rsidRPr="00833C88">
        <w:rPr>
          <w:rFonts w:eastAsia="Times New Roman" w:cs="Times New Roman"/>
          <w:sz w:val="24"/>
          <w:szCs w:val="24"/>
          <w:lang w:eastAsia="pl-PL"/>
        </w:rPr>
        <w:t>w </w:t>
      </w:r>
      <w:r w:rsidR="003551F0" w:rsidRPr="00833C88">
        <w:rPr>
          <w:rFonts w:eastAsia="Times New Roman" w:cs="Times New Roman"/>
          <w:sz w:val="24"/>
          <w:szCs w:val="24"/>
          <w:lang w:eastAsia="pl-PL"/>
        </w:rPr>
        <w:t>art. 46</w:t>
      </w:r>
      <w:r w:rsidR="000305CD"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0305CD" w:rsidRPr="00833C88">
        <w:rPr>
          <w:rFonts w:eastAsia="Times New Roman" w:cs="Times New Roman"/>
          <w:sz w:val="24"/>
          <w:szCs w:val="24"/>
          <w:lang w:eastAsia="pl-PL"/>
        </w:rPr>
        <w:t>KSC</w:t>
      </w:r>
      <w:r w:rsidR="003551F0" w:rsidRPr="00833C88">
        <w:rPr>
          <w:rFonts w:eastAsia="Times New Roman" w:cs="Times New Roman"/>
          <w:sz w:val="24"/>
          <w:szCs w:val="24"/>
          <w:lang w:eastAsia="pl-PL"/>
        </w:rPr>
        <w:t>.</w:t>
      </w:r>
    </w:p>
    <w:p w14:paraId="59EA211F" w14:textId="151DD272" w:rsidR="008E2F2B"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A8355B" w:rsidRPr="00833C88">
        <w:rPr>
          <w:rFonts w:eastAsia="Times New Roman" w:cs="Times New Roman"/>
          <w:sz w:val="24"/>
          <w:szCs w:val="24"/>
          <w:lang w:eastAsia="pl-PL"/>
        </w:rPr>
        <w:t>p</w:t>
      </w:r>
      <w:r w:rsidR="001C6381" w:rsidRPr="00833C88">
        <w:rPr>
          <w:rFonts w:eastAsia="Times New Roman" w:cs="Times New Roman"/>
          <w:sz w:val="24"/>
          <w:szCs w:val="24"/>
          <w:lang w:eastAsia="pl-PL"/>
        </w:rPr>
        <w:t>rzepis</w:t>
      </w:r>
      <w:r w:rsidR="00A8355B" w:rsidRPr="00833C88">
        <w:rPr>
          <w:rFonts w:eastAsia="Times New Roman" w:cs="Times New Roman"/>
          <w:sz w:val="24"/>
          <w:szCs w:val="24"/>
          <w:lang w:eastAsia="pl-PL"/>
        </w:rPr>
        <w:t>ach</w:t>
      </w:r>
      <w:r w:rsidR="001C6381" w:rsidRPr="00833C88">
        <w:rPr>
          <w:rFonts w:eastAsia="Times New Roman" w:cs="Times New Roman"/>
          <w:sz w:val="24"/>
          <w:szCs w:val="24"/>
          <w:lang w:eastAsia="pl-PL"/>
        </w:rPr>
        <w:t xml:space="preserve"> przejściow</w:t>
      </w:r>
      <w:r w:rsidR="00C841DD" w:rsidRPr="00833C88">
        <w:rPr>
          <w:rFonts w:eastAsia="Times New Roman" w:cs="Times New Roman"/>
          <w:sz w:val="24"/>
          <w:szCs w:val="24"/>
          <w:lang w:eastAsia="pl-PL"/>
        </w:rPr>
        <w:t>ych</w:t>
      </w:r>
      <w:r w:rsidR="001C6381" w:rsidRPr="00833C88">
        <w:rPr>
          <w:rFonts w:eastAsia="Times New Roman" w:cs="Times New Roman"/>
          <w:sz w:val="24"/>
          <w:szCs w:val="24"/>
          <w:lang w:eastAsia="pl-PL"/>
        </w:rPr>
        <w:t xml:space="preserve"> </w:t>
      </w:r>
      <w:r w:rsidR="00095B69" w:rsidRPr="00833C88">
        <w:rPr>
          <w:rFonts w:eastAsia="Times New Roman" w:cs="Times New Roman"/>
          <w:sz w:val="24"/>
          <w:szCs w:val="24"/>
          <w:lang w:eastAsia="pl-PL"/>
        </w:rPr>
        <w:t>rozstrzygnięto</w:t>
      </w:r>
      <w:r w:rsidR="001C6381" w:rsidRPr="00833C88">
        <w:rPr>
          <w:rFonts w:eastAsia="Times New Roman" w:cs="Times New Roman"/>
          <w:sz w:val="24"/>
          <w:szCs w:val="24"/>
          <w:lang w:eastAsia="pl-PL"/>
        </w:rPr>
        <w:t xml:space="preserve">, że podmioty mające </w:t>
      </w:r>
      <w:r w:rsidR="008C411C" w:rsidRPr="00833C88">
        <w:rPr>
          <w:rFonts w:eastAsia="Times New Roman" w:cs="Times New Roman"/>
          <w:sz w:val="24"/>
          <w:szCs w:val="24"/>
          <w:lang w:eastAsia="pl-PL"/>
        </w:rPr>
        <w:t xml:space="preserve">obecnie status operatorów usług kluczowych </w:t>
      </w:r>
      <w:r w:rsidRPr="00833C88">
        <w:rPr>
          <w:rFonts w:eastAsia="Times New Roman" w:cs="Times New Roman"/>
          <w:sz w:val="24"/>
          <w:szCs w:val="24"/>
          <w:lang w:eastAsia="pl-PL"/>
        </w:rPr>
        <w:t>w </w:t>
      </w:r>
      <w:r w:rsidR="00FD0DF1" w:rsidRPr="00833C88">
        <w:rPr>
          <w:rFonts w:eastAsia="Times New Roman" w:cs="Times New Roman"/>
          <w:sz w:val="24"/>
          <w:szCs w:val="24"/>
          <w:lang w:eastAsia="pl-PL"/>
        </w:rPr>
        <w:t xml:space="preserve">momencie wejścia </w:t>
      </w:r>
      <w:r w:rsidRPr="00833C88">
        <w:rPr>
          <w:rFonts w:eastAsia="Times New Roman" w:cs="Times New Roman"/>
          <w:sz w:val="24"/>
          <w:szCs w:val="24"/>
          <w:lang w:eastAsia="pl-PL"/>
        </w:rPr>
        <w:t>w </w:t>
      </w:r>
      <w:r w:rsidR="00E572B8" w:rsidRPr="00833C88">
        <w:rPr>
          <w:rFonts w:eastAsia="Times New Roman" w:cs="Times New Roman"/>
          <w:sz w:val="24"/>
          <w:szCs w:val="24"/>
          <w:lang w:eastAsia="pl-PL"/>
        </w:rPr>
        <w:t>życie ustawy</w:t>
      </w:r>
      <w:r w:rsidR="00CC38A4" w:rsidRPr="00833C88">
        <w:rPr>
          <w:rFonts w:eastAsia="Times New Roman" w:cs="Times New Roman"/>
          <w:sz w:val="24"/>
          <w:szCs w:val="24"/>
          <w:lang w:eastAsia="pl-PL"/>
        </w:rPr>
        <w:t xml:space="preserve"> z</w:t>
      </w:r>
      <w:r w:rsidR="008C411C" w:rsidRPr="00833C88">
        <w:rPr>
          <w:rFonts w:eastAsia="Times New Roman" w:cs="Times New Roman"/>
          <w:sz w:val="24"/>
          <w:szCs w:val="24"/>
          <w:lang w:eastAsia="pl-PL"/>
        </w:rPr>
        <w:t xml:space="preserve">ostaną </w:t>
      </w:r>
      <w:r w:rsidR="00E572B8" w:rsidRPr="00833C88">
        <w:rPr>
          <w:rFonts w:eastAsia="Times New Roman" w:cs="Times New Roman"/>
          <w:sz w:val="24"/>
          <w:szCs w:val="24"/>
          <w:lang w:eastAsia="pl-PL"/>
        </w:rPr>
        <w:t xml:space="preserve">również automatycznie </w:t>
      </w:r>
      <w:r w:rsidR="008C411C" w:rsidRPr="00833C88">
        <w:rPr>
          <w:rFonts w:eastAsia="Times New Roman" w:cs="Times New Roman"/>
          <w:sz w:val="24"/>
          <w:szCs w:val="24"/>
          <w:lang w:eastAsia="pl-PL"/>
        </w:rPr>
        <w:t xml:space="preserve">wpisane na listę podmiotów kluczowych. </w:t>
      </w:r>
      <w:r w:rsidR="004753E1" w:rsidRPr="00833C88">
        <w:rPr>
          <w:rFonts w:eastAsia="Times New Roman" w:cs="Times New Roman"/>
          <w:sz w:val="24"/>
          <w:szCs w:val="24"/>
          <w:lang w:eastAsia="pl-PL"/>
        </w:rPr>
        <w:t>Jest to niezbędne dla zapewnienia ciągłości realizowanych przez nie zadań</w:t>
      </w:r>
      <w:r w:rsidR="00910D0C" w:rsidRPr="00833C88">
        <w:rPr>
          <w:rFonts w:eastAsia="Times New Roman" w:cs="Times New Roman"/>
          <w:sz w:val="24"/>
          <w:szCs w:val="24"/>
          <w:lang w:eastAsia="pl-PL"/>
        </w:rPr>
        <w:t>,</w:t>
      </w:r>
      <w:r w:rsidR="004753E1" w:rsidRPr="00833C88">
        <w:rPr>
          <w:rFonts w:eastAsia="Times New Roman" w:cs="Times New Roman"/>
          <w:sz w:val="24"/>
          <w:szCs w:val="24"/>
          <w:lang w:eastAsia="pl-PL"/>
        </w:rPr>
        <w:t xml:space="preserve"> m.in. obsługi incydentów. </w:t>
      </w:r>
      <w:r w:rsidR="008E2F2B" w:rsidRPr="00833C88">
        <w:rPr>
          <w:rFonts w:eastAsia="Times New Roman" w:cs="Times New Roman"/>
          <w:sz w:val="24"/>
          <w:szCs w:val="24"/>
          <w:lang w:eastAsia="pl-PL"/>
        </w:rPr>
        <w:t>Dzięki takiemu rozwiązani</w:t>
      </w:r>
      <w:r w:rsidR="00A56B75" w:rsidRPr="00833C88">
        <w:rPr>
          <w:rFonts w:eastAsia="Times New Roman" w:cs="Times New Roman"/>
          <w:sz w:val="24"/>
          <w:szCs w:val="24"/>
          <w:lang w:eastAsia="pl-PL"/>
        </w:rPr>
        <w:t>u</w:t>
      </w:r>
      <w:r w:rsidR="008E2F2B" w:rsidRPr="00833C88">
        <w:rPr>
          <w:rFonts w:eastAsia="Times New Roman" w:cs="Times New Roman"/>
          <w:sz w:val="24"/>
          <w:szCs w:val="24"/>
          <w:lang w:eastAsia="pl-PL"/>
        </w:rPr>
        <w:t xml:space="preserve"> podmioty te nie będą również musiały przeprowadzać wewnętrznych analiz </w:t>
      </w:r>
      <w:r w:rsidRPr="00833C88">
        <w:rPr>
          <w:rFonts w:eastAsia="Times New Roman" w:cs="Times New Roman"/>
          <w:sz w:val="24"/>
          <w:szCs w:val="24"/>
          <w:lang w:eastAsia="pl-PL"/>
        </w:rPr>
        <w:t>i </w:t>
      </w:r>
      <w:r w:rsidR="008E2F2B" w:rsidRPr="00833C88">
        <w:rPr>
          <w:rFonts w:eastAsia="Times New Roman" w:cs="Times New Roman"/>
          <w:sz w:val="24"/>
          <w:szCs w:val="24"/>
          <w:lang w:eastAsia="pl-PL"/>
        </w:rPr>
        <w:t>dokonywać samoidentyfikacji co oszczędzi im czas</w:t>
      </w:r>
      <w:r w:rsidR="00BF310D" w:rsidRPr="00833C88">
        <w:rPr>
          <w:rFonts w:eastAsia="Times New Roman" w:cs="Times New Roman"/>
          <w:sz w:val="24"/>
          <w:szCs w:val="24"/>
          <w:lang w:eastAsia="pl-PL"/>
        </w:rPr>
        <w:t xml:space="preserve">. Należy podkreślić, że </w:t>
      </w:r>
      <w:r w:rsidR="007A6971" w:rsidRPr="00833C88">
        <w:rPr>
          <w:rFonts w:eastAsia="Times New Roman" w:cs="Times New Roman"/>
          <w:sz w:val="24"/>
          <w:szCs w:val="24"/>
          <w:lang w:eastAsia="pl-PL"/>
        </w:rPr>
        <w:t>obecne</w:t>
      </w:r>
      <w:r w:rsidR="00BF310D" w:rsidRPr="00833C88">
        <w:rPr>
          <w:rFonts w:eastAsia="Times New Roman" w:cs="Times New Roman"/>
          <w:sz w:val="24"/>
          <w:szCs w:val="24"/>
          <w:lang w:eastAsia="pl-PL"/>
        </w:rPr>
        <w:t xml:space="preserve"> przepisy dużo węziej</w:t>
      </w:r>
      <w:r w:rsidR="00F23F72" w:rsidRPr="00833C88">
        <w:rPr>
          <w:rFonts w:eastAsia="Times New Roman" w:cs="Times New Roman"/>
          <w:sz w:val="24"/>
          <w:szCs w:val="24"/>
          <w:lang w:eastAsia="pl-PL"/>
        </w:rPr>
        <w:t xml:space="preserve"> defini</w:t>
      </w:r>
      <w:r w:rsidR="00A56B75" w:rsidRPr="00833C88">
        <w:rPr>
          <w:rFonts w:eastAsia="Times New Roman" w:cs="Times New Roman"/>
          <w:sz w:val="24"/>
          <w:szCs w:val="24"/>
          <w:lang w:eastAsia="pl-PL"/>
        </w:rPr>
        <w:t>uj</w:t>
      </w:r>
      <w:r w:rsidR="00EB25EF" w:rsidRPr="00833C88">
        <w:rPr>
          <w:rFonts w:eastAsia="Times New Roman" w:cs="Times New Roman"/>
          <w:sz w:val="24"/>
          <w:szCs w:val="24"/>
          <w:lang w:eastAsia="pl-PL"/>
        </w:rPr>
        <w:t>ą</w:t>
      </w:r>
      <w:r w:rsidR="00F23F72" w:rsidRPr="00833C88">
        <w:rPr>
          <w:rFonts w:eastAsia="Times New Roman" w:cs="Times New Roman"/>
          <w:sz w:val="24"/>
          <w:szCs w:val="24"/>
          <w:lang w:eastAsia="pl-PL"/>
        </w:rPr>
        <w:t xml:space="preserve"> operatorów usług kluczowych niż </w:t>
      </w:r>
      <w:r w:rsidR="00FF165C" w:rsidRPr="00833C88">
        <w:rPr>
          <w:rFonts w:eastAsia="Times New Roman" w:cs="Times New Roman"/>
          <w:sz w:val="24"/>
          <w:szCs w:val="24"/>
          <w:lang w:eastAsia="pl-PL"/>
        </w:rPr>
        <w:t>wynika</w:t>
      </w:r>
      <w:r w:rsidR="0001161E" w:rsidRPr="00833C88">
        <w:rPr>
          <w:rFonts w:eastAsia="Times New Roman" w:cs="Times New Roman"/>
          <w:sz w:val="24"/>
          <w:szCs w:val="24"/>
          <w:lang w:eastAsia="pl-PL"/>
        </w:rPr>
        <w:t xml:space="preserve"> to </w:t>
      </w:r>
      <w:r w:rsidR="00F23F72" w:rsidRPr="00833C88">
        <w:rPr>
          <w:rFonts w:eastAsia="Times New Roman" w:cs="Times New Roman"/>
          <w:sz w:val="24"/>
          <w:szCs w:val="24"/>
          <w:lang w:eastAsia="pl-PL"/>
        </w:rPr>
        <w:t>definicj</w:t>
      </w:r>
      <w:r w:rsidR="00FF165C" w:rsidRPr="00833C88">
        <w:rPr>
          <w:rFonts w:eastAsia="Times New Roman" w:cs="Times New Roman"/>
          <w:sz w:val="24"/>
          <w:szCs w:val="24"/>
          <w:lang w:eastAsia="pl-PL"/>
        </w:rPr>
        <w:t>i</w:t>
      </w:r>
      <w:r w:rsidR="00F23F72" w:rsidRPr="00833C88">
        <w:rPr>
          <w:rFonts w:eastAsia="Times New Roman" w:cs="Times New Roman"/>
          <w:sz w:val="24"/>
          <w:szCs w:val="24"/>
          <w:lang w:eastAsia="pl-PL"/>
        </w:rPr>
        <w:t xml:space="preserve"> podmiotów kluczowych. </w:t>
      </w:r>
      <w:r w:rsidR="00F23F72" w:rsidRPr="00833C88">
        <w:rPr>
          <w:rFonts w:eastAsia="Times New Roman" w:cs="Times New Roman"/>
          <w:sz w:val="24"/>
          <w:szCs w:val="24"/>
          <w:lang w:eastAsia="pl-PL"/>
        </w:rPr>
        <w:lastRenderedPageBreak/>
        <w:t>W</w:t>
      </w:r>
      <w:r w:rsidR="00DF6E35" w:rsidRPr="00833C88">
        <w:rPr>
          <w:rFonts w:eastAsia="Times New Roman" w:cs="Times New Roman"/>
          <w:sz w:val="24"/>
          <w:szCs w:val="24"/>
          <w:lang w:eastAsia="pl-PL"/>
        </w:rPr>
        <w:t> </w:t>
      </w:r>
      <w:r w:rsidR="00F23F72" w:rsidRPr="00833C88">
        <w:rPr>
          <w:rFonts w:eastAsia="Times New Roman" w:cs="Times New Roman"/>
          <w:sz w:val="24"/>
          <w:szCs w:val="24"/>
          <w:lang w:eastAsia="pl-PL"/>
        </w:rPr>
        <w:t xml:space="preserve">związku </w:t>
      </w:r>
      <w:r w:rsidRPr="00833C88">
        <w:rPr>
          <w:rFonts w:eastAsia="Times New Roman" w:cs="Times New Roman"/>
          <w:sz w:val="24"/>
          <w:szCs w:val="24"/>
          <w:lang w:eastAsia="pl-PL"/>
        </w:rPr>
        <w:t>z </w:t>
      </w:r>
      <w:r w:rsidR="00483286" w:rsidRPr="00833C88">
        <w:rPr>
          <w:rFonts w:eastAsia="Times New Roman" w:cs="Times New Roman"/>
          <w:sz w:val="24"/>
          <w:szCs w:val="24"/>
          <w:lang w:eastAsia="pl-PL"/>
        </w:rPr>
        <w:t xml:space="preserve">czym nie ma wątpliwości, że podmioty te spełniają </w:t>
      </w:r>
      <w:r w:rsidR="00DB628C" w:rsidRPr="00833C88">
        <w:rPr>
          <w:rFonts w:eastAsia="Times New Roman" w:cs="Times New Roman"/>
          <w:sz w:val="24"/>
          <w:szCs w:val="24"/>
          <w:lang w:eastAsia="pl-PL"/>
        </w:rPr>
        <w:t>przesłanki dla</w:t>
      </w:r>
      <w:r w:rsidR="00C86F57" w:rsidRPr="00833C88">
        <w:rPr>
          <w:rFonts w:eastAsia="Times New Roman" w:cs="Times New Roman"/>
          <w:sz w:val="24"/>
          <w:szCs w:val="24"/>
          <w:lang w:eastAsia="pl-PL"/>
        </w:rPr>
        <w:t xml:space="preserve"> podmiotów kluczowych. </w:t>
      </w:r>
    </w:p>
    <w:p w14:paraId="0C37D0E1" w14:textId="7EA3F580" w:rsidR="00AB6C1A"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AB6C1A" w:rsidRPr="00833C88">
        <w:rPr>
          <w:rFonts w:eastAsia="Times New Roman" w:cs="Times New Roman"/>
          <w:sz w:val="24"/>
          <w:szCs w:val="24"/>
          <w:lang w:eastAsia="pl-PL"/>
        </w:rPr>
        <w:t xml:space="preserve">zakresie </w:t>
      </w:r>
      <w:r w:rsidR="00994031" w:rsidRPr="00833C88">
        <w:rPr>
          <w:rFonts w:eastAsia="Times New Roman" w:cs="Times New Roman"/>
          <w:sz w:val="24"/>
          <w:szCs w:val="24"/>
          <w:lang w:eastAsia="pl-PL"/>
        </w:rPr>
        <w:t xml:space="preserve">podmiotów świadczących usługi </w:t>
      </w:r>
      <w:r w:rsidR="00D40434" w:rsidRPr="00833C88">
        <w:rPr>
          <w:rFonts w:eastAsia="Times New Roman" w:cs="Times New Roman"/>
          <w:sz w:val="24"/>
          <w:szCs w:val="24"/>
          <w:lang w:eastAsia="pl-PL"/>
        </w:rPr>
        <w:t xml:space="preserve">rejestracji nazw domen został zastosowany </w:t>
      </w:r>
      <w:r w:rsidR="00DF6E35" w:rsidRPr="00833C88">
        <w:rPr>
          <w:rFonts w:eastAsia="Times New Roman" w:cs="Times New Roman"/>
          <w:sz w:val="24"/>
          <w:szCs w:val="24"/>
          <w:lang w:eastAsia="pl-PL"/>
        </w:rPr>
        <w:t xml:space="preserve">termin </w:t>
      </w:r>
      <w:r w:rsidR="00D40434" w:rsidRPr="00833C88">
        <w:rPr>
          <w:rFonts w:eastAsia="Times New Roman" w:cs="Times New Roman"/>
          <w:sz w:val="24"/>
          <w:szCs w:val="24"/>
          <w:lang w:eastAsia="pl-PL"/>
        </w:rPr>
        <w:t xml:space="preserve">6-miesięczny na </w:t>
      </w:r>
      <w:r w:rsidR="0062299A" w:rsidRPr="00833C88">
        <w:rPr>
          <w:rFonts w:eastAsia="Times New Roman" w:cs="Times New Roman"/>
          <w:sz w:val="24"/>
          <w:szCs w:val="24"/>
          <w:lang w:eastAsia="pl-PL"/>
        </w:rPr>
        <w:t xml:space="preserve">dostosowanie baz danych oraz wdrożenie </w:t>
      </w:r>
      <w:r w:rsidR="0068127A" w:rsidRPr="00833C88">
        <w:rPr>
          <w:rFonts w:eastAsia="Times New Roman" w:cs="Times New Roman"/>
          <w:sz w:val="24"/>
          <w:szCs w:val="24"/>
          <w:lang w:eastAsia="pl-PL"/>
        </w:rPr>
        <w:t>odpowiednich polityk i</w:t>
      </w:r>
      <w:r w:rsidR="00DF6E35" w:rsidRPr="00833C88">
        <w:rPr>
          <w:rFonts w:eastAsia="Times New Roman" w:cs="Times New Roman"/>
          <w:sz w:val="24"/>
          <w:szCs w:val="24"/>
          <w:lang w:eastAsia="pl-PL"/>
        </w:rPr>
        <w:t> </w:t>
      </w:r>
      <w:r w:rsidR="0068127A" w:rsidRPr="00833C88">
        <w:rPr>
          <w:rFonts w:eastAsia="Times New Roman" w:cs="Times New Roman"/>
          <w:sz w:val="24"/>
          <w:szCs w:val="24"/>
          <w:lang w:eastAsia="pl-PL"/>
        </w:rPr>
        <w:t xml:space="preserve">procedur. </w:t>
      </w:r>
      <w:r w:rsidR="0017272F" w:rsidRPr="00833C88">
        <w:rPr>
          <w:rFonts w:eastAsia="Times New Roman" w:cs="Times New Roman"/>
          <w:sz w:val="24"/>
          <w:szCs w:val="24"/>
          <w:lang w:eastAsia="pl-PL"/>
        </w:rPr>
        <w:t xml:space="preserve">Nowe regulacje dotyczące tych podmiotów znacząco wpływają na ich działalność </w:t>
      </w:r>
      <w:r w:rsidRPr="00833C88">
        <w:rPr>
          <w:rFonts w:eastAsia="Times New Roman" w:cs="Times New Roman"/>
          <w:sz w:val="24"/>
          <w:szCs w:val="24"/>
          <w:lang w:eastAsia="pl-PL"/>
        </w:rPr>
        <w:t>w </w:t>
      </w:r>
      <w:r w:rsidR="0017272F" w:rsidRPr="00833C88">
        <w:rPr>
          <w:rFonts w:eastAsia="Times New Roman" w:cs="Times New Roman"/>
          <w:sz w:val="24"/>
          <w:szCs w:val="24"/>
          <w:lang w:eastAsia="pl-PL"/>
        </w:rPr>
        <w:t xml:space="preserve">związku </w:t>
      </w:r>
      <w:r w:rsidRPr="00833C88">
        <w:rPr>
          <w:rFonts w:eastAsia="Times New Roman" w:cs="Times New Roman"/>
          <w:sz w:val="24"/>
          <w:szCs w:val="24"/>
          <w:lang w:eastAsia="pl-PL"/>
        </w:rPr>
        <w:t>z </w:t>
      </w:r>
      <w:r w:rsidR="0017272F" w:rsidRPr="00833C88">
        <w:rPr>
          <w:rFonts w:eastAsia="Times New Roman" w:cs="Times New Roman"/>
          <w:sz w:val="24"/>
          <w:szCs w:val="24"/>
          <w:lang w:eastAsia="pl-PL"/>
        </w:rPr>
        <w:t xml:space="preserve">czym konieczne jest zapewnienie im odpowiedniego czasu na wprowadzenie niezbędnych rozwiązań technicznych. </w:t>
      </w:r>
    </w:p>
    <w:p w14:paraId="7A34F556" w14:textId="3E51ECF0" w:rsidR="007F6C93" w:rsidRPr="00833C88" w:rsidRDefault="00B3009B"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w:t>
      </w:r>
      <w:r w:rsidR="003026E4" w:rsidRPr="00833C88">
        <w:rPr>
          <w:rFonts w:eastAsia="Times New Roman" w:cs="Times New Roman"/>
          <w:sz w:val="24"/>
          <w:szCs w:val="24"/>
          <w:lang w:eastAsia="pl-PL"/>
        </w:rPr>
        <w:t xml:space="preserve">regulują przekazanie przez ministra właściwego do spraw informatyzacji danych dotyczących </w:t>
      </w:r>
      <w:r w:rsidR="00EB3E19" w:rsidRPr="00833C88">
        <w:rPr>
          <w:rFonts w:eastAsia="Times New Roman" w:cs="Times New Roman"/>
          <w:sz w:val="24"/>
          <w:szCs w:val="24"/>
          <w:lang w:eastAsia="pl-PL"/>
        </w:rPr>
        <w:t xml:space="preserve">ilości podmiotów kluczowych </w:t>
      </w:r>
      <w:r w:rsidR="00601933" w:rsidRPr="00833C88">
        <w:rPr>
          <w:rFonts w:eastAsia="Times New Roman" w:cs="Times New Roman"/>
          <w:sz w:val="24"/>
          <w:szCs w:val="24"/>
          <w:lang w:eastAsia="pl-PL"/>
        </w:rPr>
        <w:t>i </w:t>
      </w:r>
      <w:r w:rsidR="00DF6E35" w:rsidRPr="00833C88">
        <w:rPr>
          <w:rFonts w:eastAsia="Times New Roman" w:cs="Times New Roman"/>
          <w:sz w:val="24"/>
          <w:szCs w:val="24"/>
          <w:lang w:eastAsia="pl-PL"/>
        </w:rPr>
        <w:t xml:space="preserve">podmiotów </w:t>
      </w:r>
      <w:r w:rsidR="00EB3E19" w:rsidRPr="00833C88">
        <w:rPr>
          <w:rFonts w:eastAsia="Times New Roman" w:cs="Times New Roman"/>
          <w:sz w:val="24"/>
          <w:szCs w:val="24"/>
          <w:lang w:eastAsia="pl-PL"/>
        </w:rPr>
        <w:t xml:space="preserve">ważnych </w:t>
      </w:r>
      <w:r w:rsidR="00601933" w:rsidRPr="00833C88">
        <w:rPr>
          <w:rFonts w:eastAsia="Times New Roman" w:cs="Times New Roman"/>
          <w:sz w:val="24"/>
          <w:szCs w:val="24"/>
          <w:lang w:eastAsia="pl-PL"/>
        </w:rPr>
        <w:t>i </w:t>
      </w:r>
      <w:proofErr w:type="gramStart"/>
      <w:r w:rsidR="00EB3E19" w:rsidRPr="00833C88">
        <w:rPr>
          <w:rFonts w:eastAsia="Times New Roman" w:cs="Times New Roman"/>
          <w:sz w:val="24"/>
          <w:szCs w:val="24"/>
          <w:lang w:eastAsia="pl-PL"/>
        </w:rPr>
        <w:t>przepisów</w:t>
      </w:r>
      <w:proofErr w:type="gramEnd"/>
      <w:r w:rsidR="00EB3E19" w:rsidRPr="00833C88">
        <w:rPr>
          <w:rFonts w:eastAsia="Times New Roman" w:cs="Times New Roman"/>
          <w:sz w:val="24"/>
          <w:szCs w:val="24"/>
          <w:lang w:eastAsia="pl-PL"/>
        </w:rPr>
        <w:t xml:space="preserve"> na podstawie których je zidentyfikowano </w:t>
      </w:r>
      <w:r w:rsidR="00601933" w:rsidRPr="00833C88">
        <w:rPr>
          <w:rFonts w:eastAsia="Times New Roman" w:cs="Times New Roman"/>
          <w:sz w:val="24"/>
          <w:szCs w:val="24"/>
          <w:lang w:eastAsia="pl-PL"/>
        </w:rPr>
        <w:t>w </w:t>
      </w:r>
      <w:r w:rsidR="00EB3E19" w:rsidRPr="00833C88">
        <w:rPr>
          <w:rFonts w:eastAsia="Times New Roman" w:cs="Times New Roman"/>
          <w:sz w:val="24"/>
          <w:szCs w:val="24"/>
          <w:lang w:eastAsia="pl-PL"/>
        </w:rPr>
        <w:t xml:space="preserve">terminie do </w:t>
      </w:r>
      <w:r w:rsidR="006A2A4B" w:rsidRPr="00833C88">
        <w:rPr>
          <w:rFonts w:eastAsia="Times New Roman" w:cs="Times New Roman"/>
          <w:sz w:val="24"/>
          <w:szCs w:val="24"/>
          <w:lang w:eastAsia="pl-PL"/>
        </w:rPr>
        <w:t>dnia 17 kwietnia 2025 r.</w:t>
      </w:r>
      <w:r w:rsidR="00BE1D14" w:rsidRPr="00833C88">
        <w:rPr>
          <w:rFonts w:eastAsia="Times New Roman" w:cs="Times New Roman"/>
          <w:sz w:val="24"/>
          <w:szCs w:val="24"/>
          <w:lang w:eastAsia="pl-PL"/>
        </w:rPr>
        <w:t xml:space="preserve"> do Komisji Europejskiej oraz Grupy Współpracy.</w:t>
      </w:r>
      <w:r w:rsidR="006A2A4B" w:rsidRPr="00833C88">
        <w:rPr>
          <w:rFonts w:eastAsia="Times New Roman" w:cs="Times New Roman"/>
          <w:sz w:val="24"/>
          <w:szCs w:val="24"/>
          <w:lang w:eastAsia="pl-PL"/>
        </w:rPr>
        <w:t xml:space="preserve"> Obowiązek ten wynika bezpośrednio </w:t>
      </w:r>
      <w:r w:rsidR="00601933" w:rsidRPr="00833C88">
        <w:rPr>
          <w:rFonts w:eastAsia="Times New Roman" w:cs="Times New Roman"/>
          <w:sz w:val="24"/>
          <w:szCs w:val="24"/>
          <w:lang w:eastAsia="pl-PL"/>
        </w:rPr>
        <w:t>z </w:t>
      </w:r>
      <w:r w:rsidR="006A2A4B" w:rsidRPr="00833C88">
        <w:rPr>
          <w:rFonts w:eastAsia="Times New Roman" w:cs="Times New Roman"/>
          <w:sz w:val="24"/>
          <w:szCs w:val="24"/>
          <w:lang w:eastAsia="pl-PL"/>
        </w:rPr>
        <w:t xml:space="preserve">art. </w:t>
      </w:r>
      <w:r w:rsidR="00EB1E76" w:rsidRPr="00833C88">
        <w:rPr>
          <w:rFonts w:eastAsia="Times New Roman" w:cs="Times New Roman"/>
          <w:sz w:val="24"/>
          <w:szCs w:val="24"/>
          <w:lang w:eastAsia="pl-PL"/>
        </w:rPr>
        <w:t>3 ust. 5 dyrekty</w:t>
      </w:r>
      <w:r w:rsidR="00BE1D14" w:rsidRPr="00833C88">
        <w:rPr>
          <w:rFonts w:eastAsia="Times New Roman" w:cs="Times New Roman"/>
          <w:sz w:val="24"/>
          <w:szCs w:val="24"/>
          <w:lang w:eastAsia="pl-PL"/>
        </w:rPr>
        <w:t>wy</w:t>
      </w:r>
      <w:r w:rsidR="00DF6E35" w:rsidRPr="00833C88">
        <w:rPr>
          <w:rFonts w:eastAsia="Times New Roman" w:cs="Times New Roman"/>
          <w:sz w:val="24"/>
          <w:szCs w:val="24"/>
          <w:lang w:eastAsia="pl-PL"/>
        </w:rPr>
        <w:t xml:space="preserve"> NIS 2</w:t>
      </w:r>
      <w:r w:rsidR="00BE1D14" w:rsidRPr="00833C88">
        <w:rPr>
          <w:rFonts w:eastAsia="Times New Roman" w:cs="Times New Roman"/>
          <w:sz w:val="24"/>
          <w:szCs w:val="24"/>
          <w:lang w:eastAsia="pl-PL"/>
        </w:rPr>
        <w:t>. Wykonanie tych przepisów pozwoli Komisji</w:t>
      </w:r>
      <w:r w:rsidR="00F34453" w:rsidRPr="00833C88">
        <w:rPr>
          <w:rFonts w:eastAsia="Times New Roman" w:cs="Times New Roman"/>
          <w:sz w:val="24"/>
          <w:szCs w:val="24"/>
          <w:lang w:eastAsia="pl-PL"/>
        </w:rPr>
        <w:t xml:space="preserve"> Europejskiej</w:t>
      </w:r>
      <w:r w:rsidR="00BE1D14" w:rsidRPr="00833C88">
        <w:rPr>
          <w:rFonts w:eastAsia="Times New Roman" w:cs="Times New Roman"/>
          <w:sz w:val="24"/>
          <w:szCs w:val="24"/>
          <w:lang w:eastAsia="pl-PL"/>
        </w:rPr>
        <w:t xml:space="preserve"> skutecznie </w:t>
      </w:r>
      <w:r w:rsidR="001775B1" w:rsidRPr="00833C88">
        <w:rPr>
          <w:rFonts w:eastAsia="Times New Roman" w:cs="Times New Roman"/>
          <w:sz w:val="24"/>
          <w:szCs w:val="24"/>
          <w:lang w:eastAsia="pl-PL"/>
        </w:rPr>
        <w:t xml:space="preserve">oszacować liczbę podmiotów kluczowych </w:t>
      </w:r>
      <w:r w:rsidR="00601933" w:rsidRPr="00833C88">
        <w:rPr>
          <w:rFonts w:eastAsia="Times New Roman" w:cs="Times New Roman"/>
          <w:sz w:val="24"/>
          <w:szCs w:val="24"/>
          <w:lang w:eastAsia="pl-PL"/>
        </w:rPr>
        <w:t>i </w:t>
      </w:r>
      <w:r w:rsidR="001775B1" w:rsidRPr="00833C88">
        <w:rPr>
          <w:rFonts w:eastAsia="Times New Roman" w:cs="Times New Roman"/>
          <w:sz w:val="24"/>
          <w:szCs w:val="24"/>
          <w:lang w:eastAsia="pl-PL"/>
        </w:rPr>
        <w:t xml:space="preserve">ważnych </w:t>
      </w:r>
      <w:r w:rsidR="00601933" w:rsidRPr="00833C88">
        <w:rPr>
          <w:rFonts w:eastAsia="Times New Roman" w:cs="Times New Roman"/>
          <w:sz w:val="24"/>
          <w:szCs w:val="24"/>
          <w:lang w:eastAsia="pl-PL"/>
        </w:rPr>
        <w:t>w </w:t>
      </w:r>
      <w:r w:rsidR="001775B1" w:rsidRPr="00833C88">
        <w:rPr>
          <w:rFonts w:eastAsia="Times New Roman" w:cs="Times New Roman"/>
          <w:sz w:val="24"/>
          <w:szCs w:val="24"/>
          <w:lang w:eastAsia="pl-PL"/>
        </w:rPr>
        <w:t xml:space="preserve">całej Unii </w:t>
      </w:r>
      <w:r w:rsidR="00F34453" w:rsidRPr="00833C88">
        <w:rPr>
          <w:rFonts w:eastAsia="Times New Roman" w:cs="Times New Roman"/>
          <w:sz w:val="24"/>
          <w:szCs w:val="24"/>
          <w:lang w:eastAsia="pl-PL"/>
        </w:rPr>
        <w:t xml:space="preserve">Europejskiej </w:t>
      </w:r>
      <w:r w:rsidR="00601933" w:rsidRPr="00833C88">
        <w:rPr>
          <w:rFonts w:eastAsia="Times New Roman" w:cs="Times New Roman"/>
          <w:sz w:val="24"/>
          <w:szCs w:val="24"/>
          <w:lang w:eastAsia="pl-PL"/>
        </w:rPr>
        <w:t>a </w:t>
      </w:r>
      <w:r w:rsidR="001775B1" w:rsidRPr="00833C88">
        <w:rPr>
          <w:rFonts w:eastAsia="Times New Roman" w:cs="Times New Roman"/>
          <w:sz w:val="24"/>
          <w:szCs w:val="24"/>
          <w:lang w:eastAsia="pl-PL"/>
        </w:rPr>
        <w:t xml:space="preserve">następnie podejmować kolejne działania mające na celu zwiększenie ich cyberbezpieczeństwa. </w:t>
      </w:r>
      <w:r w:rsidR="00FC7246" w:rsidRPr="00833C88">
        <w:rPr>
          <w:rFonts w:eastAsia="Times New Roman" w:cs="Times New Roman"/>
          <w:sz w:val="24"/>
          <w:szCs w:val="24"/>
          <w:lang w:eastAsia="pl-PL"/>
        </w:rPr>
        <w:t xml:space="preserve">Minister </w:t>
      </w:r>
      <w:r w:rsidR="00F34453" w:rsidRPr="00833C88">
        <w:rPr>
          <w:rFonts w:eastAsia="Times New Roman" w:cs="Times New Roman"/>
          <w:sz w:val="24"/>
          <w:szCs w:val="24"/>
          <w:lang w:eastAsia="pl-PL"/>
        </w:rPr>
        <w:t xml:space="preserve">właściwy do spraw informatyzacji </w:t>
      </w:r>
      <w:r w:rsidR="00FC7246" w:rsidRPr="00833C88">
        <w:rPr>
          <w:rFonts w:eastAsia="Times New Roman" w:cs="Times New Roman"/>
          <w:sz w:val="24"/>
          <w:szCs w:val="24"/>
          <w:lang w:eastAsia="pl-PL"/>
        </w:rPr>
        <w:t>przekaże też Komisji</w:t>
      </w:r>
      <w:r w:rsidR="00F34453" w:rsidRPr="00833C88">
        <w:rPr>
          <w:rFonts w:eastAsia="Times New Roman" w:cs="Times New Roman"/>
          <w:sz w:val="24"/>
          <w:szCs w:val="24"/>
          <w:lang w:eastAsia="pl-PL"/>
        </w:rPr>
        <w:t xml:space="preserve"> Europejskiej</w:t>
      </w:r>
      <w:r w:rsidR="00FC7246" w:rsidRPr="00833C88">
        <w:rPr>
          <w:rFonts w:eastAsia="Times New Roman" w:cs="Times New Roman"/>
          <w:sz w:val="24"/>
          <w:szCs w:val="24"/>
          <w:lang w:eastAsia="pl-PL"/>
        </w:rPr>
        <w:t xml:space="preserve"> informacje dotyczące </w:t>
      </w:r>
      <w:r w:rsidR="00125DD5" w:rsidRPr="00833C88">
        <w:rPr>
          <w:rFonts w:eastAsia="Times New Roman" w:cs="Times New Roman"/>
          <w:sz w:val="24"/>
          <w:szCs w:val="24"/>
          <w:lang w:eastAsia="pl-PL"/>
        </w:rPr>
        <w:t>wyznaczeni</w:t>
      </w:r>
      <w:r w:rsidR="00F34453" w:rsidRPr="00833C88">
        <w:rPr>
          <w:rFonts w:eastAsia="Times New Roman" w:cs="Times New Roman"/>
          <w:sz w:val="24"/>
          <w:szCs w:val="24"/>
          <w:lang w:eastAsia="pl-PL"/>
        </w:rPr>
        <w:t>a</w:t>
      </w:r>
      <w:r w:rsidR="00125DD5" w:rsidRPr="00833C88">
        <w:rPr>
          <w:rFonts w:eastAsia="Times New Roman" w:cs="Times New Roman"/>
          <w:sz w:val="24"/>
          <w:szCs w:val="24"/>
          <w:lang w:eastAsia="pl-PL"/>
        </w:rPr>
        <w:t xml:space="preserve"> krajowego organu do spraw </w:t>
      </w:r>
      <w:r w:rsidR="00852B5B" w:rsidRPr="00833C88">
        <w:rPr>
          <w:rFonts w:eastAsia="Times New Roman" w:cs="Times New Roman"/>
          <w:sz w:val="24"/>
          <w:szCs w:val="24"/>
          <w:lang w:eastAsia="pl-PL"/>
        </w:rPr>
        <w:t xml:space="preserve">zarządzania kryzysowego </w:t>
      </w:r>
      <w:r w:rsidR="00601933" w:rsidRPr="00833C88">
        <w:rPr>
          <w:rFonts w:eastAsia="Times New Roman" w:cs="Times New Roman"/>
          <w:sz w:val="24"/>
          <w:szCs w:val="24"/>
          <w:lang w:eastAsia="pl-PL"/>
        </w:rPr>
        <w:t>w </w:t>
      </w:r>
      <w:r w:rsidR="00852B5B" w:rsidRPr="00833C88">
        <w:rPr>
          <w:rFonts w:eastAsia="Times New Roman" w:cs="Times New Roman"/>
          <w:sz w:val="24"/>
          <w:szCs w:val="24"/>
          <w:lang w:eastAsia="pl-PL"/>
        </w:rPr>
        <w:t xml:space="preserve">cyberbezpieczeństwie. </w:t>
      </w:r>
      <w:r w:rsidR="00C14480" w:rsidRPr="00833C88">
        <w:rPr>
          <w:rFonts w:eastAsia="Times New Roman" w:cs="Times New Roman"/>
          <w:sz w:val="24"/>
          <w:szCs w:val="24"/>
          <w:lang w:eastAsia="pl-PL"/>
        </w:rPr>
        <w:t>Do tych działań jesteśmy bezpośrednio zobligowani przepisami dyrektywy NIS</w:t>
      </w:r>
      <w:r w:rsidR="000305CD" w:rsidRPr="00833C88">
        <w:rPr>
          <w:rFonts w:eastAsia="Times New Roman" w:cs="Times New Roman"/>
          <w:sz w:val="24"/>
          <w:szCs w:val="24"/>
          <w:lang w:eastAsia="pl-PL"/>
        </w:rPr>
        <w:t xml:space="preserve"> </w:t>
      </w:r>
      <w:r w:rsidR="00C14480" w:rsidRPr="00833C88">
        <w:rPr>
          <w:rFonts w:eastAsia="Times New Roman" w:cs="Times New Roman"/>
          <w:sz w:val="24"/>
          <w:szCs w:val="24"/>
          <w:lang w:eastAsia="pl-PL"/>
        </w:rPr>
        <w:t>2.</w:t>
      </w:r>
    </w:p>
    <w:p w14:paraId="56FCE1A5" w14:textId="6F963885" w:rsidR="007B6CF6" w:rsidRPr="00833C88" w:rsidRDefault="007B6CF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przewidują też rozszerzenie możliwości badania produktów przez zespoły CSIRT. </w:t>
      </w:r>
      <w:r w:rsidR="003F3B71" w:rsidRPr="00833C88">
        <w:rPr>
          <w:rFonts w:eastAsia="Times New Roman" w:cs="Times New Roman"/>
          <w:sz w:val="24"/>
          <w:szCs w:val="24"/>
          <w:lang w:eastAsia="pl-PL"/>
        </w:rPr>
        <w:t xml:space="preserve">Badaniu bezpieczeństwa nie mogą stać na drodze standardowe postanowienia licencji, które </w:t>
      </w:r>
      <w:r w:rsidR="000A1580" w:rsidRPr="00833C88">
        <w:rPr>
          <w:rFonts w:eastAsia="Times New Roman" w:cs="Times New Roman"/>
          <w:sz w:val="24"/>
          <w:szCs w:val="24"/>
          <w:lang w:eastAsia="pl-PL"/>
        </w:rPr>
        <w:t>zakazują</w:t>
      </w:r>
      <w:r w:rsidR="003F3B71" w:rsidRPr="00833C88">
        <w:rPr>
          <w:rFonts w:eastAsia="Times New Roman" w:cs="Times New Roman"/>
          <w:sz w:val="24"/>
          <w:szCs w:val="24"/>
          <w:lang w:eastAsia="pl-PL"/>
        </w:rPr>
        <w:t xml:space="preserve"> takich działań. </w:t>
      </w:r>
      <w:r w:rsidR="00601933" w:rsidRPr="00833C88">
        <w:rPr>
          <w:rFonts w:eastAsia="Times New Roman" w:cs="Times New Roman"/>
          <w:sz w:val="24"/>
          <w:szCs w:val="24"/>
          <w:lang w:eastAsia="pl-PL"/>
        </w:rPr>
        <w:t>Z </w:t>
      </w:r>
      <w:r w:rsidR="003F3B71" w:rsidRPr="00833C88">
        <w:rPr>
          <w:rFonts w:eastAsia="Times New Roman" w:cs="Times New Roman"/>
          <w:sz w:val="24"/>
          <w:szCs w:val="24"/>
          <w:lang w:eastAsia="pl-PL"/>
        </w:rPr>
        <w:t xml:space="preserve">tego względu </w:t>
      </w:r>
      <w:r w:rsidR="00601933" w:rsidRPr="00833C88">
        <w:rPr>
          <w:rFonts w:eastAsia="Times New Roman" w:cs="Times New Roman"/>
          <w:sz w:val="24"/>
          <w:szCs w:val="24"/>
          <w:lang w:eastAsia="pl-PL"/>
        </w:rPr>
        <w:t>w </w:t>
      </w:r>
      <w:r w:rsidR="003F3B71" w:rsidRPr="00833C88">
        <w:rPr>
          <w:rFonts w:eastAsia="Times New Roman" w:cs="Times New Roman"/>
          <w:sz w:val="24"/>
          <w:szCs w:val="24"/>
          <w:lang w:eastAsia="pl-PL"/>
        </w:rPr>
        <w:t>przepisach przejściowych</w:t>
      </w:r>
      <w:r w:rsidR="00C34E1D" w:rsidRPr="00833C88">
        <w:rPr>
          <w:rFonts w:eastAsia="Times New Roman" w:cs="Times New Roman"/>
          <w:sz w:val="24"/>
          <w:szCs w:val="24"/>
          <w:lang w:eastAsia="pl-PL"/>
        </w:rPr>
        <w:t xml:space="preserve"> dotyczących umów już obowiązujących konieczne były przesądzenie, że takie klauzule umowne utracą moc. Nie może być sytuacji by umowa cywilnoprawna uniemożliwiała organom państwa skuteczne działania </w:t>
      </w:r>
      <w:r w:rsidR="00601933" w:rsidRPr="00833C88">
        <w:rPr>
          <w:rFonts w:eastAsia="Times New Roman" w:cs="Times New Roman"/>
          <w:sz w:val="24"/>
          <w:szCs w:val="24"/>
          <w:lang w:eastAsia="pl-PL"/>
        </w:rPr>
        <w:t>w </w:t>
      </w:r>
      <w:r w:rsidR="00C34E1D" w:rsidRPr="00833C88">
        <w:rPr>
          <w:rFonts w:eastAsia="Times New Roman" w:cs="Times New Roman"/>
          <w:sz w:val="24"/>
          <w:szCs w:val="24"/>
          <w:lang w:eastAsia="pl-PL"/>
        </w:rPr>
        <w:t>zakresie bezpieczeństwa.</w:t>
      </w:r>
    </w:p>
    <w:p w14:paraId="41B639F3" w14:textId="6F1DDB8B" w:rsidR="00C34E1D"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C34E1D" w:rsidRPr="00833C88">
        <w:rPr>
          <w:rFonts w:eastAsia="Times New Roman" w:cs="Times New Roman"/>
          <w:sz w:val="24"/>
          <w:szCs w:val="24"/>
          <w:lang w:eastAsia="pl-PL"/>
        </w:rPr>
        <w:t xml:space="preserve">ramach </w:t>
      </w:r>
      <w:r w:rsidR="00FD0678" w:rsidRPr="00833C88">
        <w:rPr>
          <w:rFonts w:eastAsia="Times New Roman" w:cs="Times New Roman"/>
          <w:sz w:val="24"/>
          <w:szCs w:val="24"/>
          <w:lang w:eastAsia="pl-PL"/>
        </w:rPr>
        <w:t xml:space="preserve">zmian </w:t>
      </w:r>
      <w:r w:rsidRPr="00833C88">
        <w:rPr>
          <w:rFonts w:eastAsia="Times New Roman" w:cs="Times New Roman"/>
          <w:sz w:val="24"/>
          <w:szCs w:val="24"/>
          <w:lang w:eastAsia="pl-PL"/>
        </w:rPr>
        <w:t>w </w:t>
      </w:r>
      <w:r w:rsidR="00C34E1D" w:rsidRPr="00833C88">
        <w:rPr>
          <w:rFonts w:eastAsia="Times New Roman" w:cs="Times New Roman"/>
          <w:sz w:val="24"/>
          <w:szCs w:val="24"/>
          <w:lang w:eastAsia="pl-PL"/>
        </w:rPr>
        <w:t>funkcjonowani</w:t>
      </w:r>
      <w:r w:rsidR="00FD0678" w:rsidRPr="00833C88">
        <w:rPr>
          <w:rFonts w:eastAsia="Times New Roman" w:cs="Times New Roman"/>
          <w:sz w:val="24"/>
          <w:szCs w:val="24"/>
          <w:lang w:eastAsia="pl-PL"/>
        </w:rPr>
        <w:t>u</w:t>
      </w:r>
      <w:r w:rsidR="00C34E1D" w:rsidRPr="00833C88">
        <w:rPr>
          <w:rFonts w:eastAsia="Times New Roman" w:cs="Times New Roman"/>
          <w:sz w:val="24"/>
          <w:szCs w:val="24"/>
          <w:lang w:eastAsia="pl-PL"/>
        </w:rPr>
        <w:t xml:space="preserve"> systemu </w:t>
      </w:r>
      <w:r w:rsidR="00F34453" w:rsidRPr="00833C88">
        <w:rPr>
          <w:rFonts w:eastAsia="Times New Roman" w:cs="Times New Roman"/>
          <w:sz w:val="24"/>
          <w:szCs w:val="24"/>
          <w:lang w:eastAsia="pl-PL"/>
        </w:rPr>
        <w:t xml:space="preserve">teleinformatycznego </w:t>
      </w:r>
      <w:r w:rsidR="00C34E1D" w:rsidRPr="00833C88">
        <w:rPr>
          <w:rFonts w:eastAsia="Times New Roman" w:cs="Times New Roman"/>
          <w:sz w:val="24"/>
          <w:szCs w:val="24"/>
          <w:lang w:eastAsia="pl-PL"/>
        </w:rPr>
        <w:t xml:space="preserve">S46 </w:t>
      </w:r>
      <w:r w:rsidR="00FD0678" w:rsidRPr="00833C88">
        <w:rPr>
          <w:rFonts w:eastAsia="Times New Roman" w:cs="Times New Roman"/>
          <w:sz w:val="24"/>
          <w:szCs w:val="24"/>
          <w:lang w:eastAsia="pl-PL"/>
        </w:rPr>
        <w:t>prze</w:t>
      </w:r>
      <w:r w:rsidR="00534E11" w:rsidRPr="00833C88">
        <w:rPr>
          <w:rFonts w:eastAsia="Times New Roman" w:cs="Times New Roman"/>
          <w:sz w:val="24"/>
          <w:szCs w:val="24"/>
          <w:lang w:eastAsia="pl-PL"/>
        </w:rPr>
        <w:t xml:space="preserve">widziana jest rezygnacja </w:t>
      </w:r>
      <w:r w:rsidRPr="00833C88">
        <w:rPr>
          <w:rFonts w:eastAsia="Times New Roman" w:cs="Times New Roman"/>
          <w:sz w:val="24"/>
          <w:szCs w:val="24"/>
          <w:lang w:eastAsia="pl-PL"/>
        </w:rPr>
        <w:t>z </w:t>
      </w:r>
      <w:r w:rsidR="00534E11" w:rsidRPr="00833C88">
        <w:rPr>
          <w:rFonts w:eastAsia="Times New Roman" w:cs="Times New Roman"/>
          <w:sz w:val="24"/>
          <w:szCs w:val="24"/>
          <w:lang w:eastAsia="pl-PL"/>
        </w:rPr>
        <w:t xml:space="preserve">zawierania osobnych porozumień </w:t>
      </w:r>
      <w:r w:rsidRPr="00833C88">
        <w:rPr>
          <w:rFonts w:eastAsia="Times New Roman" w:cs="Times New Roman"/>
          <w:sz w:val="24"/>
          <w:szCs w:val="24"/>
          <w:lang w:eastAsia="pl-PL"/>
        </w:rPr>
        <w:t>z </w:t>
      </w:r>
      <w:r w:rsidR="00534E11" w:rsidRPr="00833C88">
        <w:rPr>
          <w:rFonts w:eastAsia="Times New Roman" w:cs="Times New Roman"/>
          <w:sz w:val="24"/>
          <w:szCs w:val="24"/>
          <w:lang w:eastAsia="pl-PL"/>
        </w:rPr>
        <w:t xml:space="preserve">przystępującymi obecnie podmiotami. Równocześnie </w:t>
      </w:r>
      <w:r w:rsidRPr="00833C88">
        <w:rPr>
          <w:rFonts w:eastAsia="Times New Roman" w:cs="Times New Roman"/>
          <w:sz w:val="24"/>
          <w:szCs w:val="24"/>
          <w:lang w:eastAsia="pl-PL"/>
        </w:rPr>
        <w:t>w </w:t>
      </w:r>
      <w:r w:rsidR="00534E11" w:rsidRPr="00833C88">
        <w:rPr>
          <w:rFonts w:eastAsia="Times New Roman" w:cs="Times New Roman"/>
          <w:sz w:val="24"/>
          <w:szCs w:val="24"/>
          <w:lang w:eastAsia="pl-PL"/>
        </w:rPr>
        <w:t xml:space="preserve">ramach tego systemu przyłączono już </w:t>
      </w:r>
      <w:r w:rsidR="00962CB7" w:rsidRPr="00833C88">
        <w:rPr>
          <w:rFonts w:eastAsia="Times New Roman" w:cs="Times New Roman"/>
          <w:sz w:val="24"/>
          <w:szCs w:val="24"/>
          <w:lang w:eastAsia="pl-PL"/>
        </w:rPr>
        <w:t xml:space="preserve">pewną liczbę podmiotów </w:t>
      </w:r>
      <w:r w:rsidRPr="00833C88">
        <w:rPr>
          <w:rFonts w:eastAsia="Times New Roman" w:cs="Times New Roman"/>
          <w:sz w:val="24"/>
          <w:szCs w:val="24"/>
          <w:lang w:eastAsia="pl-PL"/>
        </w:rPr>
        <w:t>a </w:t>
      </w:r>
      <w:r w:rsidR="00962CB7" w:rsidRPr="00833C88">
        <w:rPr>
          <w:rFonts w:eastAsia="Times New Roman" w:cs="Times New Roman"/>
          <w:sz w:val="24"/>
          <w:szCs w:val="24"/>
          <w:lang w:eastAsia="pl-PL"/>
        </w:rPr>
        <w:t xml:space="preserve">ich prawa </w:t>
      </w:r>
      <w:r w:rsidRPr="00833C88">
        <w:rPr>
          <w:rFonts w:eastAsia="Times New Roman" w:cs="Times New Roman"/>
          <w:sz w:val="24"/>
          <w:szCs w:val="24"/>
          <w:lang w:eastAsia="pl-PL"/>
        </w:rPr>
        <w:t>i </w:t>
      </w:r>
      <w:r w:rsidR="00962CB7" w:rsidRPr="00833C88">
        <w:rPr>
          <w:rFonts w:eastAsia="Times New Roman" w:cs="Times New Roman"/>
          <w:sz w:val="24"/>
          <w:szCs w:val="24"/>
          <w:lang w:eastAsia="pl-PL"/>
        </w:rPr>
        <w:t>obowiązki uregulowano w</w:t>
      </w:r>
      <w:r w:rsidR="00DF6E35" w:rsidRPr="00833C88">
        <w:rPr>
          <w:rFonts w:eastAsia="Times New Roman" w:cs="Times New Roman"/>
          <w:sz w:val="24"/>
          <w:szCs w:val="24"/>
          <w:lang w:eastAsia="pl-PL"/>
        </w:rPr>
        <w:t> </w:t>
      </w:r>
      <w:r w:rsidR="00962CB7" w:rsidRPr="00833C88">
        <w:rPr>
          <w:rFonts w:eastAsia="Times New Roman" w:cs="Times New Roman"/>
          <w:sz w:val="24"/>
          <w:szCs w:val="24"/>
          <w:lang w:eastAsia="pl-PL"/>
        </w:rPr>
        <w:t xml:space="preserve">porozumieniach. </w:t>
      </w:r>
      <w:r w:rsidRPr="00833C88">
        <w:rPr>
          <w:rFonts w:eastAsia="Times New Roman" w:cs="Times New Roman"/>
          <w:sz w:val="24"/>
          <w:szCs w:val="24"/>
          <w:lang w:eastAsia="pl-PL"/>
        </w:rPr>
        <w:t>W </w:t>
      </w:r>
      <w:r w:rsidR="00962CB7" w:rsidRPr="00833C88">
        <w:rPr>
          <w:rFonts w:eastAsia="Times New Roman" w:cs="Times New Roman"/>
          <w:sz w:val="24"/>
          <w:szCs w:val="24"/>
          <w:lang w:eastAsia="pl-PL"/>
        </w:rPr>
        <w:t xml:space="preserve">takim przypadku, dla zapewnienia efektywnej realizacji </w:t>
      </w:r>
      <w:r w:rsidR="00103749" w:rsidRPr="00833C88">
        <w:rPr>
          <w:rFonts w:eastAsia="Times New Roman" w:cs="Times New Roman"/>
          <w:sz w:val="24"/>
          <w:szCs w:val="24"/>
          <w:lang w:eastAsia="pl-PL"/>
        </w:rPr>
        <w:t xml:space="preserve">zadań zasadnym jest utrzymanie tych porozumień </w:t>
      </w:r>
      <w:r w:rsidRPr="00833C88">
        <w:rPr>
          <w:rFonts w:eastAsia="Times New Roman" w:cs="Times New Roman"/>
          <w:sz w:val="24"/>
          <w:szCs w:val="24"/>
          <w:lang w:eastAsia="pl-PL"/>
        </w:rPr>
        <w:t>w </w:t>
      </w:r>
      <w:r w:rsidR="00103749" w:rsidRPr="00833C88">
        <w:rPr>
          <w:rFonts w:eastAsia="Times New Roman" w:cs="Times New Roman"/>
          <w:sz w:val="24"/>
          <w:szCs w:val="24"/>
          <w:lang w:eastAsia="pl-PL"/>
        </w:rPr>
        <w:t>mocy.</w:t>
      </w:r>
    </w:p>
    <w:p w14:paraId="7EB20C12" w14:textId="677C4DBE" w:rsidR="00321F33" w:rsidRPr="00833C88" w:rsidRDefault="00321F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Dla zapewnienia </w:t>
      </w:r>
      <w:r w:rsidR="00BD04C0" w:rsidRPr="00833C88">
        <w:rPr>
          <w:rFonts w:eastAsia="Times New Roman" w:cs="Times New Roman"/>
          <w:sz w:val="24"/>
          <w:szCs w:val="24"/>
          <w:lang w:eastAsia="pl-PL"/>
        </w:rPr>
        <w:t xml:space="preserve">ciągłości działań Kolegium konieczne jest utrzymanie </w:t>
      </w:r>
      <w:r w:rsidR="00601933" w:rsidRPr="00833C88">
        <w:rPr>
          <w:rFonts w:eastAsia="Times New Roman" w:cs="Times New Roman"/>
          <w:sz w:val="24"/>
          <w:szCs w:val="24"/>
          <w:lang w:eastAsia="pl-PL"/>
        </w:rPr>
        <w:t>w </w:t>
      </w:r>
      <w:r w:rsidR="00BD04C0" w:rsidRPr="00833C88">
        <w:rPr>
          <w:rFonts w:eastAsia="Times New Roman" w:cs="Times New Roman"/>
          <w:sz w:val="24"/>
          <w:szCs w:val="24"/>
          <w:lang w:eastAsia="pl-PL"/>
        </w:rPr>
        <w:t xml:space="preserve">mocy rozporządzenia </w:t>
      </w:r>
      <w:r w:rsidR="00DF6E35" w:rsidRPr="00833C88">
        <w:rPr>
          <w:rFonts w:eastAsia="Times New Roman" w:cs="Times New Roman"/>
          <w:sz w:val="24"/>
          <w:szCs w:val="24"/>
          <w:lang w:eastAsia="pl-PL"/>
        </w:rPr>
        <w:t xml:space="preserve">wydanego na podstawie </w:t>
      </w:r>
      <w:r w:rsidR="00BD04C0" w:rsidRPr="00833C88">
        <w:rPr>
          <w:rFonts w:eastAsia="Times New Roman" w:cs="Times New Roman"/>
          <w:sz w:val="24"/>
          <w:szCs w:val="24"/>
          <w:lang w:eastAsia="pl-PL"/>
        </w:rPr>
        <w:t>art. 66 ust. 9</w:t>
      </w:r>
      <w:r w:rsidR="00B11FC4" w:rsidRPr="00833C88">
        <w:rPr>
          <w:rFonts w:eastAsia="Times New Roman" w:cs="Times New Roman"/>
          <w:sz w:val="24"/>
          <w:szCs w:val="24"/>
          <w:lang w:eastAsia="pl-PL"/>
        </w:rPr>
        <w:t xml:space="preserve"> ustawy </w:t>
      </w:r>
      <w:r w:rsidR="00601933" w:rsidRPr="00833C88">
        <w:rPr>
          <w:rFonts w:eastAsia="Times New Roman" w:cs="Times New Roman"/>
          <w:sz w:val="24"/>
          <w:szCs w:val="24"/>
          <w:lang w:eastAsia="pl-PL"/>
        </w:rPr>
        <w:t>o </w:t>
      </w:r>
      <w:r w:rsidR="00B11FC4" w:rsidRPr="00833C88">
        <w:rPr>
          <w:rFonts w:eastAsia="Times New Roman" w:cs="Times New Roman"/>
          <w:sz w:val="24"/>
          <w:szCs w:val="24"/>
          <w:lang w:eastAsia="pl-PL"/>
        </w:rPr>
        <w:t>KSC</w:t>
      </w:r>
      <w:r w:rsidR="00BD04C0" w:rsidRPr="00833C88">
        <w:rPr>
          <w:rFonts w:eastAsia="Times New Roman" w:cs="Times New Roman"/>
          <w:sz w:val="24"/>
          <w:szCs w:val="24"/>
          <w:lang w:eastAsia="pl-PL"/>
        </w:rPr>
        <w:t>.</w:t>
      </w:r>
    </w:p>
    <w:p w14:paraId="2C249D97" w14:textId="12197DB4" w:rsidR="002F49C6"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41256F" w:rsidRPr="00833C88">
        <w:rPr>
          <w:rFonts w:eastAsia="Times New Roman" w:cs="Times New Roman"/>
          <w:sz w:val="24"/>
          <w:szCs w:val="24"/>
          <w:lang w:eastAsia="pl-PL"/>
        </w:rPr>
        <w:t xml:space="preserve">dotychczasowym stanie prawnym CSIRT </w:t>
      </w:r>
      <w:r w:rsidR="008D3F98" w:rsidRPr="00833C88">
        <w:rPr>
          <w:rFonts w:eastAsia="Times New Roman" w:cs="Times New Roman"/>
          <w:sz w:val="24"/>
          <w:szCs w:val="24"/>
          <w:lang w:eastAsia="pl-PL"/>
        </w:rPr>
        <w:t>MON</w:t>
      </w:r>
      <w:r w:rsidR="0041256F" w:rsidRPr="00833C88">
        <w:rPr>
          <w:rFonts w:eastAsia="Times New Roman" w:cs="Times New Roman"/>
          <w:sz w:val="24"/>
          <w:szCs w:val="24"/>
          <w:lang w:eastAsia="pl-PL"/>
        </w:rPr>
        <w:t xml:space="preserve">, </w:t>
      </w:r>
      <w:r w:rsidR="008D3F98" w:rsidRPr="00833C88">
        <w:rPr>
          <w:rFonts w:eastAsia="Times New Roman" w:cs="Times New Roman"/>
          <w:sz w:val="24"/>
          <w:szCs w:val="24"/>
          <w:lang w:eastAsia="pl-PL"/>
        </w:rPr>
        <w:t xml:space="preserve">CSIRT </w:t>
      </w:r>
      <w:r w:rsidR="0041256F" w:rsidRPr="00833C88">
        <w:rPr>
          <w:rFonts w:eastAsia="Times New Roman" w:cs="Times New Roman"/>
          <w:sz w:val="24"/>
          <w:szCs w:val="24"/>
          <w:lang w:eastAsia="pl-PL"/>
        </w:rPr>
        <w:t xml:space="preserve">NASK </w:t>
      </w:r>
      <w:r w:rsidRPr="00833C88">
        <w:rPr>
          <w:rFonts w:eastAsia="Times New Roman" w:cs="Times New Roman"/>
          <w:sz w:val="24"/>
          <w:szCs w:val="24"/>
          <w:lang w:eastAsia="pl-PL"/>
        </w:rPr>
        <w:t>i </w:t>
      </w:r>
      <w:r w:rsidR="008D3F98" w:rsidRPr="00833C88">
        <w:rPr>
          <w:rFonts w:eastAsia="Times New Roman" w:cs="Times New Roman"/>
          <w:sz w:val="24"/>
          <w:szCs w:val="24"/>
          <w:lang w:eastAsia="pl-PL"/>
        </w:rPr>
        <w:t xml:space="preserve">CSIRT GOV </w:t>
      </w:r>
      <w:r w:rsidR="0041256F" w:rsidRPr="00833C88">
        <w:rPr>
          <w:rFonts w:eastAsia="Times New Roman" w:cs="Times New Roman"/>
          <w:sz w:val="24"/>
          <w:szCs w:val="24"/>
          <w:lang w:eastAsia="pl-PL"/>
        </w:rPr>
        <w:t xml:space="preserve">mogły zawierać porozumienia przekazujące określone podmioty do właściwości CSIRT innego niż </w:t>
      </w:r>
      <w:r w:rsidR="0041256F" w:rsidRPr="00833C88">
        <w:rPr>
          <w:rFonts w:eastAsia="Times New Roman" w:cs="Times New Roman"/>
          <w:sz w:val="24"/>
          <w:szCs w:val="24"/>
          <w:lang w:eastAsia="pl-PL"/>
        </w:rPr>
        <w:lastRenderedPageBreak/>
        <w:t xml:space="preserve">ten wskazany </w:t>
      </w:r>
      <w:r w:rsidRPr="00833C88">
        <w:rPr>
          <w:rFonts w:eastAsia="Times New Roman" w:cs="Times New Roman"/>
          <w:sz w:val="24"/>
          <w:szCs w:val="24"/>
          <w:lang w:eastAsia="pl-PL"/>
        </w:rPr>
        <w:t>w </w:t>
      </w:r>
      <w:r w:rsidR="0041256F" w:rsidRPr="00833C88">
        <w:rPr>
          <w:rFonts w:eastAsia="Times New Roman" w:cs="Times New Roman"/>
          <w:sz w:val="24"/>
          <w:szCs w:val="24"/>
          <w:lang w:eastAsia="pl-PL"/>
        </w:rPr>
        <w:t xml:space="preserve">ustawie. </w:t>
      </w:r>
      <w:r w:rsidRPr="00833C88">
        <w:rPr>
          <w:rFonts w:eastAsia="Times New Roman" w:cs="Times New Roman"/>
          <w:sz w:val="24"/>
          <w:szCs w:val="24"/>
          <w:lang w:eastAsia="pl-PL"/>
        </w:rPr>
        <w:t>W </w:t>
      </w:r>
      <w:r w:rsidR="0041256F" w:rsidRPr="00833C88">
        <w:rPr>
          <w:rFonts w:eastAsia="Times New Roman" w:cs="Times New Roman"/>
          <w:sz w:val="24"/>
          <w:szCs w:val="24"/>
          <w:lang w:eastAsia="pl-PL"/>
        </w:rPr>
        <w:t xml:space="preserve">związku ze zmianami </w:t>
      </w:r>
      <w:r w:rsidRPr="00833C88">
        <w:rPr>
          <w:rFonts w:eastAsia="Times New Roman" w:cs="Times New Roman"/>
          <w:sz w:val="24"/>
          <w:szCs w:val="24"/>
          <w:lang w:eastAsia="pl-PL"/>
        </w:rPr>
        <w:t>w </w:t>
      </w:r>
      <w:r w:rsidR="0041256F" w:rsidRPr="00833C88">
        <w:rPr>
          <w:rFonts w:eastAsia="Times New Roman" w:cs="Times New Roman"/>
          <w:sz w:val="24"/>
          <w:szCs w:val="24"/>
          <w:lang w:eastAsia="pl-PL"/>
        </w:rPr>
        <w:t>zakre</w:t>
      </w:r>
      <w:r w:rsidR="00310D3E" w:rsidRPr="00833C88">
        <w:rPr>
          <w:rFonts w:eastAsia="Times New Roman" w:cs="Times New Roman"/>
          <w:sz w:val="24"/>
          <w:szCs w:val="24"/>
          <w:lang w:eastAsia="pl-PL"/>
        </w:rPr>
        <w:t>s</w:t>
      </w:r>
      <w:r w:rsidR="0041256F" w:rsidRPr="00833C88">
        <w:rPr>
          <w:rFonts w:eastAsia="Times New Roman" w:cs="Times New Roman"/>
          <w:sz w:val="24"/>
          <w:szCs w:val="24"/>
          <w:lang w:eastAsia="pl-PL"/>
        </w:rPr>
        <w:t xml:space="preserve">ie struktury podmiotowej </w:t>
      </w:r>
      <w:r w:rsidR="00A461CE" w:rsidRPr="00833C88">
        <w:rPr>
          <w:rFonts w:eastAsia="Times New Roman" w:cs="Times New Roman"/>
          <w:sz w:val="24"/>
          <w:szCs w:val="24"/>
          <w:lang w:eastAsia="pl-PL"/>
        </w:rPr>
        <w:t xml:space="preserve">krajowego systemu cyberbezpieczeństwa konieczne jest przesądzenie </w:t>
      </w:r>
      <w:r w:rsidRPr="00833C88">
        <w:rPr>
          <w:rFonts w:eastAsia="Times New Roman" w:cs="Times New Roman"/>
          <w:sz w:val="24"/>
          <w:szCs w:val="24"/>
          <w:lang w:eastAsia="pl-PL"/>
        </w:rPr>
        <w:t>o </w:t>
      </w:r>
      <w:r w:rsidR="00A461CE" w:rsidRPr="00833C88">
        <w:rPr>
          <w:rFonts w:eastAsia="Times New Roman" w:cs="Times New Roman"/>
          <w:sz w:val="24"/>
          <w:szCs w:val="24"/>
          <w:lang w:eastAsia="pl-PL"/>
        </w:rPr>
        <w:t xml:space="preserve">sytuacji tych porozumień. Zawarte </w:t>
      </w:r>
      <w:r w:rsidRPr="00833C88">
        <w:rPr>
          <w:rFonts w:eastAsia="Times New Roman" w:cs="Times New Roman"/>
          <w:sz w:val="24"/>
          <w:szCs w:val="24"/>
          <w:lang w:eastAsia="pl-PL"/>
        </w:rPr>
        <w:t>w </w:t>
      </w:r>
      <w:r w:rsidR="00A461CE" w:rsidRPr="00833C88">
        <w:rPr>
          <w:rFonts w:eastAsia="Times New Roman" w:cs="Times New Roman"/>
          <w:sz w:val="24"/>
          <w:szCs w:val="24"/>
          <w:lang w:eastAsia="pl-PL"/>
        </w:rPr>
        <w:t xml:space="preserve">ustawie rozwiązanie </w:t>
      </w:r>
      <w:r w:rsidR="00D67DC5" w:rsidRPr="00833C88">
        <w:rPr>
          <w:rFonts w:eastAsia="Times New Roman" w:cs="Times New Roman"/>
          <w:sz w:val="24"/>
          <w:szCs w:val="24"/>
          <w:lang w:eastAsia="pl-PL"/>
        </w:rPr>
        <w:t xml:space="preserve">zapewniają podmiotom czas na dostosowanie tych porozumień do zmian </w:t>
      </w:r>
      <w:r w:rsidRPr="00833C88">
        <w:rPr>
          <w:rFonts w:eastAsia="Times New Roman" w:cs="Times New Roman"/>
          <w:sz w:val="24"/>
          <w:szCs w:val="24"/>
          <w:lang w:eastAsia="pl-PL"/>
        </w:rPr>
        <w:t>w </w:t>
      </w:r>
      <w:r w:rsidR="00D67DC5" w:rsidRPr="00833C88">
        <w:rPr>
          <w:rFonts w:eastAsia="Times New Roman" w:cs="Times New Roman"/>
          <w:sz w:val="24"/>
          <w:szCs w:val="24"/>
          <w:lang w:eastAsia="pl-PL"/>
        </w:rPr>
        <w:t>przepisach.</w:t>
      </w:r>
    </w:p>
    <w:p w14:paraId="305DE5AB" w14:textId="4C242549" w:rsidR="002F49C6" w:rsidRPr="00833C88" w:rsidRDefault="00FE59D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Organy właściwe do spraw cyberbezpieczeństwa będą miały 18 miesięcy na utworzenie CSIRT sektorowych. </w:t>
      </w:r>
      <w:r w:rsidR="002874CF" w:rsidRPr="00833C88">
        <w:rPr>
          <w:rFonts w:eastAsia="Times New Roman" w:cs="Times New Roman"/>
          <w:sz w:val="24"/>
          <w:szCs w:val="24"/>
          <w:lang w:eastAsia="pl-PL"/>
        </w:rPr>
        <w:t xml:space="preserve">Termin ten ma pozwolić na utworzenie nowych podmiotów, skompletowanie niezbędnej kadry oraz zapewnienie im zasobów do działań. </w:t>
      </w:r>
      <w:r w:rsidR="002B7699" w:rsidRPr="00833C88">
        <w:rPr>
          <w:rFonts w:eastAsia="Times New Roman" w:cs="Times New Roman"/>
          <w:sz w:val="24"/>
          <w:szCs w:val="24"/>
          <w:lang w:eastAsia="pl-PL"/>
        </w:rPr>
        <w:t>U</w:t>
      </w:r>
      <w:r w:rsidR="002874CF" w:rsidRPr="00833C88">
        <w:rPr>
          <w:rFonts w:eastAsia="Times New Roman" w:cs="Times New Roman"/>
          <w:sz w:val="24"/>
          <w:szCs w:val="24"/>
          <w:lang w:eastAsia="pl-PL"/>
        </w:rPr>
        <w:t>tworzeni</w:t>
      </w:r>
      <w:r w:rsidR="00930C3B" w:rsidRPr="00833C88">
        <w:rPr>
          <w:rFonts w:eastAsia="Times New Roman" w:cs="Times New Roman"/>
          <w:sz w:val="24"/>
          <w:szCs w:val="24"/>
          <w:lang w:eastAsia="pl-PL"/>
        </w:rPr>
        <w:t xml:space="preserve">e CSIRT sektorowego </w:t>
      </w:r>
      <w:r w:rsidR="00753DAC" w:rsidRPr="00833C88">
        <w:rPr>
          <w:rFonts w:eastAsia="Times New Roman" w:cs="Times New Roman"/>
          <w:sz w:val="24"/>
          <w:szCs w:val="24"/>
          <w:lang w:eastAsia="pl-PL"/>
        </w:rPr>
        <w:t>podle</w:t>
      </w:r>
      <w:r w:rsidR="00791B2A" w:rsidRPr="00833C88">
        <w:rPr>
          <w:rFonts w:eastAsia="Times New Roman" w:cs="Times New Roman"/>
          <w:sz w:val="24"/>
          <w:szCs w:val="24"/>
          <w:lang w:eastAsia="pl-PL"/>
        </w:rPr>
        <w:t>ga ogłoszeniu</w:t>
      </w:r>
      <w:r w:rsidR="00855185"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855185" w:rsidRPr="00833C88">
        <w:rPr>
          <w:rFonts w:eastAsia="Times New Roman" w:cs="Times New Roman"/>
          <w:sz w:val="24"/>
          <w:szCs w:val="24"/>
          <w:lang w:eastAsia="pl-PL"/>
        </w:rPr>
        <w:t xml:space="preserve">drodze komunikatu, </w:t>
      </w:r>
      <w:r w:rsidR="00601933" w:rsidRPr="00833C88">
        <w:rPr>
          <w:rFonts w:eastAsia="Times New Roman" w:cs="Times New Roman"/>
          <w:sz w:val="24"/>
          <w:szCs w:val="24"/>
          <w:lang w:eastAsia="pl-PL"/>
        </w:rPr>
        <w:t>w </w:t>
      </w:r>
      <w:r w:rsidR="00791B2A" w:rsidRPr="00833C88">
        <w:rPr>
          <w:rFonts w:eastAsia="Times New Roman" w:cs="Times New Roman"/>
          <w:sz w:val="24"/>
          <w:szCs w:val="24"/>
          <w:lang w:eastAsia="pl-PL"/>
        </w:rPr>
        <w:t xml:space="preserve">dzienniku urzędowym danego </w:t>
      </w:r>
      <w:r w:rsidR="00AB3627" w:rsidRPr="00833C88">
        <w:rPr>
          <w:rFonts w:eastAsia="Times New Roman" w:cs="Times New Roman"/>
          <w:sz w:val="24"/>
          <w:szCs w:val="24"/>
          <w:lang w:eastAsia="pl-PL"/>
        </w:rPr>
        <w:t xml:space="preserve">organu właściwego </w:t>
      </w:r>
      <w:r w:rsidR="00434282" w:rsidRPr="00833C88">
        <w:rPr>
          <w:rFonts w:eastAsia="Times New Roman" w:cs="Times New Roman"/>
          <w:sz w:val="24"/>
          <w:szCs w:val="24"/>
          <w:lang w:eastAsia="pl-PL"/>
        </w:rPr>
        <w:t>oraz na stronie internetowej</w:t>
      </w:r>
      <w:r w:rsidR="00910D0C" w:rsidRPr="00833C88">
        <w:rPr>
          <w:rFonts w:eastAsia="Times New Roman" w:cs="Times New Roman"/>
          <w:sz w:val="24"/>
          <w:szCs w:val="24"/>
          <w:lang w:eastAsia="pl-PL"/>
        </w:rPr>
        <w:t>,</w:t>
      </w:r>
      <w:r w:rsidR="00434282" w:rsidRPr="00833C88">
        <w:rPr>
          <w:rFonts w:eastAsia="Times New Roman" w:cs="Times New Roman"/>
          <w:sz w:val="24"/>
          <w:szCs w:val="24"/>
          <w:lang w:eastAsia="pl-PL"/>
        </w:rPr>
        <w:t xml:space="preserve"> m.in.</w:t>
      </w:r>
      <w:r w:rsidR="002874CF" w:rsidRPr="00833C88">
        <w:rPr>
          <w:rFonts w:eastAsia="Times New Roman" w:cs="Times New Roman"/>
          <w:sz w:val="24"/>
          <w:szCs w:val="24"/>
          <w:lang w:eastAsia="pl-PL"/>
        </w:rPr>
        <w:t xml:space="preserve"> </w:t>
      </w:r>
      <w:r w:rsidR="00D67150" w:rsidRPr="00833C88">
        <w:rPr>
          <w:rFonts w:eastAsia="Times New Roman" w:cs="Times New Roman"/>
          <w:sz w:val="24"/>
          <w:szCs w:val="24"/>
          <w:lang w:eastAsia="pl-PL"/>
        </w:rPr>
        <w:t>Pełnomocnika</w:t>
      </w:r>
      <w:r w:rsidR="002874CF" w:rsidRPr="00833C88">
        <w:rPr>
          <w:rFonts w:eastAsia="Times New Roman" w:cs="Times New Roman"/>
          <w:sz w:val="24"/>
          <w:szCs w:val="24"/>
          <w:lang w:eastAsia="pl-PL"/>
        </w:rPr>
        <w:t>. Takie rozwiązanie pozwoli na</w:t>
      </w:r>
      <w:r w:rsidR="001A275A" w:rsidRPr="00833C88">
        <w:rPr>
          <w:rFonts w:eastAsia="Times New Roman" w:cs="Times New Roman"/>
          <w:sz w:val="24"/>
          <w:szCs w:val="24"/>
          <w:lang w:eastAsia="pl-PL"/>
        </w:rPr>
        <w:t> </w:t>
      </w:r>
      <w:r w:rsidR="002874CF" w:rsidRPr="00833C88">
        <w:rPr>
          <w:rFonts w:eastAsia="Times New Roman" w:cs="Times New Roman"/>
          <w:sz w:val="24"/>
          <w:szCs w:val="24"/>
          <w:lang w:eastAsia="pl-PL"/>
        </w:rPr>
        <w:t>precyzyjne określenie momentu od kiedy podmioty obowiązane będą miały realizować obowiązki do CSIRT sektor</w:t>
      </w:r>
      <w:r w:rsidR="009544F7" w:rsidRPr="00833C88">
        <w:rPr>
          <w:rFonts w:eastAsia="Times New Roman" w:cs="Times New Roman"/>
          <w:sz w:val="24"/>
          <w:szCs w:val="24"/>
          <w:lang w:eastAsia="pl-PL"/>
        </w:rPr>
        <w:t xml:space="preserve">owych. </w:t>
      </w:r>
      <w:r w:rsidR="002F49C6" w:rsidRPr="00833C88">
        <w:rPr>
          <w:rFonts w:eastAsia="Times New Roman" w:cs="Times New Roman"/>
          <w:sz w:val="24"/>
          <w:szCs w:val="24"/>
          <w:lang w:eastAsia="pl-PL"/>
        </w:rPr>
        <w:t xml:space="preserve">Do tego czasu obowiązki te będą realizowane </w:t>
      </w:r>
      <w:r w:rsidR="00601933" w:rsidRPr="00833C88">
        <w:rPr>
          <w:rFonts w:eastAsia="Times New Roman" w:cs="Times New Roman"/>
          <w:sz w:val="24"/>
          <w:szCs w:val="24"/>
          <w:lang w:eastAsia="pl-PL"/>
        </w:rPr>
        <w:t>w </w:t>
      </w:r>
      <w:r w:rsidR="00AC7B24" w:rsidRPr="00833C88">
        <w:rPr>
          <w:rFonts w:eastAsia="Times New Roman" w:cs="Times New Roman"/>
          <w:sz w:val="24"/>
          <w:szCs w:val="24"/>
          <w:lang w:eastAsia="pl-PL"/>
        </w:rPr>
        <w:t>stosunku do dotychczasowo właściwych CSIRT poziomu krajowego.</w:t>
      </w:r>
    </w:p>
    <w:p w14:paraId="55B0A1F5" w14:textId="576B40A1" w:rsidR="00043D45" w:rsidRPr="00833C88" w:rsidRDefault="00E86F98"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Przepisy określają też </w:t>
      </w:r>
      <w:r w:rsidR="004A108C" w:rsidRPr="00833C88">
        <w:rPr>
          <w:rFonts w:eastAsia="Times New Roman" w:cs="Times New Roman"/>
          <w:sz w:val="24"/>
          <w:szCs w:val="24"/>
          <w:lang w:eastAsia="pl-PL"/>
        </w:rPr>
        <w:t xml:space="preserve">jakie informacje zostaną zamieszczone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sprawozdani</w:t>
      </w:r>
      <w:r w:rsidR="004A108C" w:rsidRPr="00833C88">
        <w:rPr>
          <w:rFonts w:eastAsia="Times New Roman" w:cs="Times New Roman"/>
          <w:sz w:val="24"/>
          <w:szCs w:val="24"/>
          <w:lang w:eastAsia="pl-PL"/>
        </w:rPr>
        <w:t>u</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działania CSIRT sektorowego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roku</w:t>
      </w:r>
      <w:r w:rsidR="00DF6E35" w:rsidRPr="00833C88">
        <w:rPr>
          <w:rFonts w:eastAsia="Times New Roman" w:cs="Times New Roman"/>
          <w:sz w:val="24"/>
          <w:szCs w:val="24"/>
          <w:lang w:eastAsia="pl-PL"/>
        </w:rPr>
        <w:t>,</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którym został on utworzony.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okresie </w:t>
      </w:r>
      <w:r w:rsidR="00541992" w:rsidRPr="00833C88">
        <w:rPr>
          <w:rFonts w:eastAsia="Times New Roman" w:cs="Times New Roman"/>
          <w:sz w:val="24"/>
          <w:szCs w:val="24"/>
          <w:lang w:eastAsia="pl-PL"/>
        </w:rPr>
        <w:t>podstawową kwestią będzie zapewnieni</w:t>
      </w:r>
      <w:r w:rsidR="00A2032A" w:rsidRPr="00833C88">
        <w:rPr>
          <w:rFonts w:eastAsia="Times New Roman" w:cs="Times New Roman"/>
          <w:sz w:val="24"/>
          <w:szCs w:val="24"/>
          <w:lang w:eastAsia="pl-PL"/>
        </w:rPr>
        <w:t>e</w:t>
      </w:r>
      <w:r w:rsidR="00541992" w:rsidRPr="00833C88">
        <w:rPr>
          <w:rFonts w:eastAsia="Times New Roman" w:cs="Times New Roman"/>
          <w:sz w:val="24"/>
          <w:szCs w:val="24"/>
          <w:lang w:eastAsia="pl-PL"/>
        </w:rPr>
        <w:t xml:space="preserve"> takiemu podmiotowi wszystkich narzędzi </w:t>
      </w:r>
      <w:r w:rsidR="00601933" w:rsidRPr="00833C88">
        <w:rPr>
          <w:rFonts w:eastAsia="Times New Roman" w:cs="Times New Roman"/>
          <w:sz w:val="24"/>
          <w:szCs w:val="24"/>
          <w:lang w:eastAsia="pl-PL"/>
        </w:rPr>
        <w:t>i </w:t>
      </w:r>
      <w:r w:rsidR="00541992" w:rsidRPr="00833C88">
        <w:rPr>
          <w:rFonts w:eastAsia="Times New Roman" w:cs="Times New Roman"/>
          <w:sz w:val="24"/>
          <w:szCs w:val="24"/>
          <w:lang w:eastAsia="pl-PL"/>
        </w:rPr>
        <w:t>zasobów niezbędnych do realizacji jego działań. Może on</w:t>
      </w:r>
      <w:r w:rsidR="00DF6E35" w:rsidRPr="00833C88">
        <w:rPr>
          <w:rFonts w:eastAsia="Times New Roman" w:cs="Times New Roman"/>
          <w:sz w:val="24"/>
          <w:szCs w:val="24"/>
          <w:lang w:eastAsia="pl-PL"/>
        </w:rPr>
        <w:t> </w:t>
      </w:r>
      <w:r w:rsidR="00541992" w:rsidRPr="00833C88">
        <w:rPr>
          <w:rFonts w:eastAsia="Times New Roman" w:cs="Times New Roman"/>
          <w:sz w:val="24"/>
          <w:szCs w:val="24"/>
          <w:lang w:eastAsia="pl-PL"/>
        </w:rPr>
        <w:t>w</w:t>
      </w:r>
      <w:r w:rsidR="00DF6E35" w:rsidRPr="00833C88">
        <w:rPr>
          <w:rFonts w:eastAsia="Times New Roman" w:cs="Times New Roman"/>
          <w:sz w:val="24"/>
          <w:szCs w:val="24"/>
          <w:lang w:eastAsia="pl-PL"/>
        </w:rPr>
        <w:t> </w:t>
      </w:r>
      <w:r w:rsidR="00541992" w:rsidRPr="00833C88">
        <w:rPr>
          <w:rFonts w:eastAsia="Times New Roman" w:cs="Times New Roman"/>
          <w:sz w:val="24"/>
          <w:szCs w:val="24"/>
          <w:lang w:eastAsia="pl-PL"/>
        </w:rPr>
        <w:t xml:space="preserve">tym okresie nie zrealizować swoich standardowych zadań. </w:t>
      </w:r>
      <w:r w:rsidR="00601933" w:rsidRPr="00833C88">
        <w:rPr>
          <w:rFonts w:eastAsia="Times New Roman" w:cs="Times New Roman"/>
          <w:sz w:val="24"/>
          <w:szCs w:val="24"/>
          <w:lang w:eastAsia="pl-PL"/>
        </w:rPr>
        <w:t>Z </w:t>
      </w:r>
      <w:r w:rsidR="00541992" w:rsidRPr="00833C88">
        <w:rPr>
          <w:rFonts w:eastAsia="Times New Roman" w:cs="Times New Roman"/>
          <w:sz w:val="24"/>
          <w:szCs w:val="24"/>
          <w:lang w:eastAsia="pl-PL"/>
        </w:rPr>
        <w:t xml:space="preserve">tego względu sprawozdanie to będzie </w:t>
      </w:r>
      <w:r w:rsidR="0023734C" w:rsidRPr="00833C88">
        <w:rPr>
          <w:rFonts w:eastAsia="Times New Roman" w:cs="Times New Roman"/>
          <w:sz w:val="24"/>
          <w:szCs w:val="24"/>
          <w:lang w:eastAsia="pl-PL"/>
        </w:rPr>
        <w:t xml:space="preserve">zawierało kwestie związane </w:t>
      </w:r>
      <w:r w:rsidR="00601933" w:rsidRPr="00833C88">
        <w:rPr>
          <w:rFonts w:eastAsia="Times New Roman" w:cs="Times New Roman"/>
          <w:sz w:val="24"/>
          <w:szCs w:val="24"/>
          <w:lang w:eastAsia="pl-PL"/>
        </w:rPr>
        <w:t>z </w:t>
      </w:r>
      <w:r w:rsidR="0023734C" w:rsidRPr="00833C88">
        <w:rPr>
          <w:rFonts w:eastAsia="Times New Roman" w:cs="Times New Roman"/>
          <w:sz w:val="24"/>
          <w:szCs w:val="24"/>
          <w:lang w:eastAsia="pl-PL"/>
        </w:rPr>
        <w:t>jego utworzeniem.</w:t>
      </w:r>
    </w:p>
    <w:p w14:paraId="4F05518D" w14:textId="72E467B7" w:rsidR="00043D45" w:rsidRPr="00833C88" w:rsidRDefault="00043D4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Powołane już sektorowe zespoły cyberbezpieczeństwa staną się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chwilą wejścia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życie </w:t>
      </w:r>
      <w:r w:rsidR="004A108C" w:rsidRPr="00833C88">
        <w:rPr>
          <w:rFonts w:eastAsia="Times New Roman" w:cs="Times New Roman"/>
          <w:sz w:val="24"/>
          <w:szCs w:val="24"/>
          <w:lang w:eastAsia="pl-PL"/>
        </w:rPr>
        <w:t xml:space="preserve">projektu </w:t>
      </w:r>
      <w:r w:rsidRPr="00833C88">
        <w:rPr>
          <w:rFonts w:eastAsia="Times New Roman" w:cs="Times New Roman"/>
          <w:sz w:val="24"/>
          <w:szCs w:val="24"/>
          <w:lang w:eastAsia="pl-PL"/>
        </w:rPr>
        <w:t>ustawy CSIRT sektorowymi. Przepis ten pozwoli zapewnić pełną ciągłość ich działań.</w:t>
      </w:r>
    </w:p>
    <w:p w14:paraId="2241C45C" w14:textId="26BF61BE" w:rsidR="00B84407" w:rsidRPr="00833C88" w:rsidRDefault="00F648CA" w:rsidP="0029004E">
      <w:pPr>
        <w:spacing w:line="360" w:lineRule="auto"/>
        <w:jc w:val="both"/>
        <w:rPr>
          <w:rFonts w:cs="Times New Roman"/>
          <w:sz w:val="24"/>
          <w:szCs w:val="24"/>
        </w:rPr>
      </w:pPr>
      <w:r w:rsidRPr="00833C88">
        <w:rPr>
          <w:rFonts w:cs="Times New Roman"/>
          <w:sz w:val="24"/>
          <w:szCs w:val="24"/>
        </w:rPr>
        <w:t>Projekt</w:t>
      </w:r>
      <w:r w:rsidR="00851072" w:rsidRPr="00833C88">
        <w:rPr>
          <w:rFonts w:cs="Times New Roman"/>
          <w:sz w:val="24"/>
          <w:szCs w:val="24"/>
        </w:rPr>
        <w:t xml:space="preserve"> ustawy </w:t>
      </w:r>
      <w:r w:rsidR="009C69EF" w:rsidRPr="00833C88">
        <w:rPr>
          <w:rFonts w:cs="Times New Roman"/>
          <w:sz w:val="24"/>
          <w:szCs w:val="24"/>
        </w:rPr>
        <w:t>dodaje nowe zdania</w:t>
      </w:r>
      <w:r w:rsidR="007B59CF" w:rsidRPr="00833C88">
        <w:rPr>
          <w:rFonts w:cs="Times New Roman"/>
          <w:sz w:val="24"/>
          <w:szCs w:val="24"/>
        </w:rPr>
        <w:t xml:space="preserve">, które do tej pory nie były planowane </w:t>
      </w:r>
      <w:r w:rsidR="00601933" w:rsidRPr="00833C88">
        <w:rPr>
          <w:rFonts w:cs="Times New Roman"/>
          <w:sz w:val="24"/>
          <w:szCs w:val="24"/>
        </w:rPr>
        <w:t>w </w:t>
      </w:r>
      <w:r w:rsidR="007B59CF" w:rsidRPr="00833C88">
        <w:rPr>
          <w:rFonts w:cs="Times New Roman"/>
          <w:sz w:val="24"/>
          <w:szCs w:val="24"/>
        </w:rPr>
        <w:t xml:space="preserve">budżecie państwa, stąd też </w:t>
      </w:r>
      <w:r w:rsidR="00601933" w:rsidRPr="00833C88">
        <w:rPr>
          <w:rFonts w:cs="Times New Roman"/>
          <w:sz w:val="24"/>
          <w:szCs w:val="24"/>
        </w:rPr>
        <w:t>w </w:t>
      </w:r>
      <w:r w:rsidR="009C69EF" w:rsidRPr="00833C88">
        <w:rPr>
          <w:rFonts w:cs="Times New Roman"/>
          <w:sz w:val="24"/>
          <w:szCs w:val="24"/>
        </w:rPr>
        <w:t>projekcie został</w:t>
      </w:r>
      <w:r w:rsidR="00C814C0" w:rsidRPr="00833C88">
        <w:rPr>
          <w:rFonts w:cs="Times New Roman"/>
          <w:sz w:val="24"/>
          <w:szCs w:val="24"/>
        </w:rPr>
        <w:t>y dodane przepis</w:t>
      </w:r>
      <w:r w:rsidR="002E624D" w:rsidRPr="00833C88">
        <w:rPr>
          <w:rFonts w:cs="Times New Roman"/>
          <w:sz w:val="24"/>
          <w:szCs w:val="24"/>
        </w:rPr>
        <w:t>y</w:t>
      </w:r>
      <w:r w:rsidR="00C814C0" w:rsidRPr="00833C88">
        <w:rPr>
          <w:rFonts w:cs="Times New Roman"/>
          <w:sz w:val="24"/>
          <w:szCs w:val="24"/>
        </w:rPr>
        <w:t xml:space="preserve"> określające</w:t>
      </w:r>
      <w:r w:rsidR="007B59CF" w:rsidRPr="00833C88">
        <w:rPr>
          <w:rFonts w:cs="Times New Roman"/>
          <w:sz w:val="24"/>
          <w:szCs w:val="24"/>
        </w:rPr>
        <w:t xml:space="preserve"> zwiększenie limitów wydatków w</w:t>
      </w:r>
      <w:r w:rsidR="00C261B0" w:rsidRPr="00833C88">
        <w:rPr>
          <w:rFonts w:cs="Times New Roman"/>
          <w:sz w:val="24"/>
          <w:szCs w:val="24"/>
        </w:rPr>
        <w:t> </w:t>
      </w:r>
      <w:r w:rsidR="007B59CF" w:rsidRPr="00833C88">
        <w:rPr>
          <w:rFonts w:cs="Times New Roman"/>
          <w:sz w:val="24"/>
          <w:szCs w:val="24"/>
        </w:rPr>
        <w:t>poszczególnych częściach budżetowych</w:t>
      </w:r>
      <w:r w:rsidR="00E83E27" w:rsidRPr="00833C88">
        <w:rPr>
          <w:rFonts w:cs="Times New Roman"/>
          <w:sz w:val="24"/>
          <w:szCs w:val="24"/>
        </w:rPr>
        <w:t xml:space="preserve">, </w:t>
      </w:r>
      <w:r w:rsidR="00601933" w:rsidRPr="00833C88">
        <w:rPr>
          <w:rFonts w:cs="Times New Roman"/>
          <w:sz w:val="24"/>
          <w:szCs w:val="24"/>
        </w:rPr>
        <w:t>a w </w:t>
      </w:r>
      <w:r w:rsidR="00E83E27" w:rsidRPr="00833C88">
        <w:rPr>
          <w:rFonts w:cs="Times New Roman"/>
          <w:sz w:val="24"/>
          <w:szCs w:val="24"/>
        </w:rPr>
        <w:t xml:space="preserve">przypadku ich </w:t>
      </w:r>
      <w:r w:rsidR="00652E74" w:rsidRPr="00833C88">
        <w:rPr>
          <w:rFonts w:cs="Times New Roman"/>
          <w:sz w:val="24"/>
          <w:szCs w:val="24"/>
        </w:rPr>
        <w:t>przekroczenia</w:t>
      </w:r>
      <w:r w:rsidR="002E624D" w:rsidRPr="00833C88">
        <w:rPr>
          <w:rFonts w:cs="Times New Roman"/>
          <w:sz w:val="24"/>
          <w:szCs w:val="24"/>
        </w:rPr>
        <w:t xml:space="preserve"> </w:t>
      </w:r>
      <w:r w:rsidR="00652E74" w:rsidRPr="00833C88">
        <w:rPr>
          <w:rFonts w:cs="Times New Roman"/>
          <w:sz w:val="24"/>
          <w:szCs w:val="24"/>
        </w:rPr>
        <w:t>nakazują</w:t>
      </w:r>
      <w:r w:rsidR="0053409A" w:rsidRPr="00833C88">
        <w:rPr>
          <w:rFonts w:cs="Times New Roman"/>
          <w:sz w:val="24"/>
          <w:szCs w:val="24"/>
        </w:rPr>
        <w:t>ce</w:t>
      </w:r>
      <w:r w:rsidR="00652E74" w:rsidRPr="00833C88">
        <w:rPr>
          <w:rFonts w:cs="Times New Roman"/>
          <w:sz w:val="24"/>
          <w:szCs w:val="24"/>
        </w:rPr>
        <w:t xml:space="preserve"> wprowadzenie</w:t>
      </w:r>
      <w:r w:rsidR="00E800AD" w:rsidRPr="00833C88">
        <w:rPr>
          <w:rFonts w:cs="Times New Roman"/>
          <w:sz w:val="24"/>
          <w:szCs w:val="24"/>
        </w:rPr>
        <w:t xml:space="preserve"> mechanizm</w:t>
      </w:r>
      <w:r w:rsidR="00652E74" w:rsidRPr="00833C88">
        <w:rPr>
          <w:rFonts w:cs="Times New Roman"/>
          <w:sz w:val="24"/>
          <w:szCs w:val="24"/>
        </w:rPr>
        <w:t>u</w:t>
      </w:r>
      <w:r w:rsidR="00E800AD" w:rsidRPr="00833C88">
        <w:rPr>
          <w:rFonts w:cs="Times New Roman"/>
          <w:sz w:val="24"/>
          <w:szCs w:val="24"/>
        </w:rPr>
        <w:t xml:space="preserve"> korygując</w:t>
      </w:r>
      <w:r w:rsidR="00652E74" w:rsidRPr="00833C88">
        <w:rPr>
          <w:rFonts w:cs="Times New Roman"/>
          <w:sz w:val="24"/>
          <w:szCs w:val="24"/>
        </w:rPr>
        <w:t>ego.</w:t>
      </w:r>
      <w:r w:rsidR="008C6FE5" w:rsidRPr="00833C88">
        <w:rPr>
          <w:rFonts w:cs="Times New Roman"/>
          <w:sz w:val="24"/>
          <w:szCs w:val="24"/>
        </w:rPr>
        <w:t xml:space="preserve"> </w:t>
      </w:r>
      <w:r w:rsidR="00972D86" w:rsidRPr="00833C88">
        <w:rPr>
          <w:rFonts w:cs="Times New Roman"/>
          <w:sz w:val="24"/>
          <w:szCs w:val="24"/>
        </w:rPr>
        <w:t xml:space="preserve">Wpływ projektowanej ustawy na sektor finansów publicznych został </w:t>
      </w:r>
      <w:r w:rsidR="00A071F8" w:rsidRPr="00833C88">
        <w:rPr>
          <w:rFonts w:cs="Times New Roman"/>
          <w:sz w:val="24"/>
          <w:szCs w:val="24"/>
        </w:rPr>
        <w:t xml:space="preserve">szczegółowo określony </w:t>
      </w:r>
      <w:r w:rsidR="00601933" w:rsidRPr="00833C88">
        <w:rPr>
          <w:rFonts w:cs="Times New Roman"/>
          <w:sz w:val="24"/>
          <w:szCs w:val="24"/>
        </w:rPr>
        <w:t>w </w:t>
      </w:r>
      <w:r w:rsidR="00A071F8" w:rsidRPr="00833C88">
        <w:rPr>
          <w:rFonts w:cs="Times New Roman"/>
          <w:sz w:val="24"/>
          <w:szCs w:val="24"/>
        </w:rPr>
        <w:t>Ocenie Skutków Regulacji.</w:t>
      </w:r>
    </w:p>
    <w:p w14:paraId="4FD2C6E5" w14:textId="5ECDCC07" w:rsidR="00966183" w:rsidRPr="00833C88" w:rsidRDefault="00966183" w:rsidP="00390968">
      <w:pPr>
        <w:pStyle w:val="Nagwek2"/>
        <w:spacing w:before="0" w:after="120" w:line="360" w:lineRule="auto"/>
        <w:jc w:val="both"/>
        <w:rPr>
          <w:rFonts w:cs="Times New Roman"/>
          <w:b/>
          <w:bCs/>
        </w:rPr>
      </w:pPr>
      <w:r w:rsidRPr="00833C88">
        <w:rPr>
          <w:rFonts w:cs="Times New Roman"/>
          <w:b/>
          <w:bCs/>
        </w:rPr>
        <w:t xml:space="preserve">Załączniki </w:t>
      </w:r>
      <w:r w:rsidR="001D1B59" w:rsidRPr="00833C88">
        <w:rPr>
          <w:rFonts w:cs="Times New Roman"/>
          <w:b/>
          <w:bCs/>
        </w:rPr>
        <w:t xml:space="preserve">do ustawy </w:t>
      </w:r>
      <w:r w:rsidR="00601933" w:rsidRPr="00833C88">
        <w:rPr>
          <w:rFonts w:cs="Times New Roman"/>
          <w:b/>
          <w:bCs/>
        </w:rPr>
        <w:t>o </w:t>
      </w:r>
      <w:r w:rsidR="001D1B59" w:rsidRPr="00833C88">
        <w:rPr>
          <w:rFonts w:cs="Times New Roman"/>
          <w:b/>
          <w:bCs/>
        </w:rPr>
        <w:t>KSC</w:t>
      </w:r>
    </w:p>
    <w:p w14:paraId="0D7671B4" w14:textId="77777777" w:rsidR="006D6BA6" w:rsidRPr="00833C88" w:rsidRDefault="006D6BA6" w:rsidP="00F31822">
      <w:pPr>
        <w:pStyle w:val="Nagwek3"/>
        <w:spacing w:before="0" w:after="120" w:line="360" w:lineRule="auto"/>
        <w:rPr>
          <w:rFonts w:cs="Times New Roman"/>
          <w:b/>
          <w:bCs/>
          <w:u w:val="none"/>
        </w:rPr>
      </w:pPr>
      <w:r w:rsidRPr="00833C88">
        <w:rPr>
          <w:rFonts w:cs="Times New Roman"/>
          <w:b/>
          <w:bCs/>
          <w:u w:val="none"/>
        </w:rPr>
        <w:t>Załącznik nr 1</w:t>
      </w:r>
    </w:p>
    <w:p w14:paraId="0BA6B21B" w14:textId="60D87506" w:rsidR="00765488" w:rsidRPr="00833C88" w:rsidRDefault="0096618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Załącznik</w:t>
      </w:r>
      <w:r w:rsidR="003B4339" w:rsidRPr="00833C88">
        <w:rPr>
          <w:rFonts w:eastAsia="Times New Roman" w:cs="Times New Roman"/>
          <w:sz w:val="24"/>
          <w:szCs w:val="24"/>
          <w:lang w:eastAsia="pl-PL"/>
        </w:rPr>
        <w:t xml:space="preserve"> nr 1 </w:t>
      </w:r>
      <w:r w:rsidR="004A108C" w:rsidRPr="00833C88">
        <w:rPr>
          <w:rFonts w:eastAsia="Times New Roman" w:cs="Times New Roman"/>
          <w:sz w:val="24"/>
          <w:szCs w:val="24"/>
          <w:lang w:eastAsia="pl-PL"/>
        </w:rPr>
        <w:t xml:space="preserve">do </w:t>
      </w:r>
      <w:r w:rsidR="001D1B59"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1D1B59" w:rsidRPr="00833C88">
        <w:rPr>
          <w:rFonts w:eastAsia="Times New Roman" w:cs="Times New Roman"/>
          <w:sz w:val="24"/>
          <w:szCs w:val="24"/>
          <w:lang w:eastAsia="pl-PL"/>
        </w:rPr>
        <w:t>KSC</w:t>
      </w:r>
      <w:r w:rsidR="004A108C" w:rsidRPr="00833C88">
        <w:rPr>
          <w:rFonts w:eastAsia="Times New Roman" w:cs="Times New Roman"/>
          <w:sz w:val="24"/>
          <w:szCs w:val="24"/>
          <w:lang w:eastAsia="pl-PL"/>
        </w:rPr>
        <w:t xml:space="preserve"> </w:t>
      </w:r>
      <w:r w:rsidR="003B4339" w:rsidRPr="00833C88">
        <w:rPr>
          <w:rFonts w:eastAsia="Times New Roman" w:cs="Times New Roman"/>
          <w:sz w:val="24"/>
          <w:szCs w:val="24"/>
          <w:lang w:eastAsia="pl-PL"/>
        </w:rPr>
        <w:t>o</w:t>
      </w:r>
      <w:r w:rsidR="007F63D6" w:rsidRPr="00833C88">
        <w:rPr>
          <w:rFonts w:eastAsia="Times New Roman" w:cs="Times New Roman"/>
          <w:sz w:val="24"/>
          <w:szCs w:val="24"/>
          <w:lang w:eastAsia="pl-PL"/>
        </w:rPr>
        <w:t xml:space="preserve">kreśla </w:t>
      </w:r>
      <w:proofErr w:type="gramStart"/>
      <w:r w:rsidR="003A3A75" w:rsidRPr="00833C88">
        <w:rPr>
          <w:rFonts w:eastAsia="Times New Roman" w:cs="Times New Roman"/>
          <w:sz w:val="24"/>
          <w:szCs w:val="24"/>
          <w:lang w:eastAsia="pl-PL"/>
        </w:rPr>
        <w:t>sektory,</w:t>
      </w:r>
      <w:proofErr w:type="gramEnd"/>
      <w:r w:rsidR="003A3A75"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 </w:t>
      </w:r>
      <w:r w:rsidR="003A3A75" w:rsidRPr="00833C88">
        <w:rPr>
          <w:rFonts w:eastAsia="Times New Roman" w:cs="Times New Roman"/>
          <w:sz w:val="24"/>
          <w:szCs w:val="24"/>
          <w:lang w:eastAsia="pl-PL"/>
        </w:rPr>
        <w:t xml:space="preserve">ich obrębie, </w:t>
      </w:r>
      <w:proofErr w:type="gramStart"/>
      <w:r w:rsidR="003A3A75" w:rsidRPr="00833C88">
        <w:rPr>
          <w:rFonts w:eastAsia="Times New Roman" w:cs="Times New Roman"/>
          <w:sz w:val="24"/>
          <w:szCs w:val="24"/>
          <w:lang w:eastAsia="pl-PL"/>
        </w:rPr>
        <w:t>podsektory</w:t>
      </w:r>
      <w:proofErr w:type="gramEnd"/>
      <w:r w:rsidR="003A3A75"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68370D" w:rsidRPr="00833C88">
        <w:rPr>
          <w:rFonts w:eastAsia="Times New Roman" w:cs="Times New Roman"/>
          <w:sz w:val="24"/>
          <w:szCs w:val="24"/>
          <w:lang w:eastAsia="pl-PL"/>
        </w:rPr>
        <w:t xml:space="preserve">ramach których działają podmioty kluczowe. Są to obszary, które zostały uznane za szczególnie istotne dla prawidłowego funkcjonowania państwa takie jak energetyka, </w:t>
      </w:r>
      <w:r w:rsidR="00F6628E" w:rsidRPr="00833C88">
        <w:rPr>
          <w:rFonts w:eastAsia="Times New Roman" w:cs="Times New Roman"/>
          <w:sz w:val="24"/>
          <w:szCs w:val="24"/>
          <w:lang w:eastAsia="pl-PL"/>
        </w:rPr>
        <w:t xml:space="preserve">transport, bankowość czy dostarczanie wody pitnej. </w:t>
      </w:r>
      <w:r w:rsidR="00161F3C" w:rsidRPr="00833C88">
        <w:rPr>
          <w:rFonts w:eastAsia="Times New Roman" w:cs="Times New Roman"/>
          <w:sz w:val="24"/>
          <w:szCs w:val="24"/>
          <w:lang w:eastAsia="pl-PL"/>
        </w:rPr>
        <w:t xml:space="preserve">Wystąpienie przerw </w:t>
      </w:r>
      <w:r w:rsidR="00601933" w:rsidRPr="00833C88">
        <w:rPr>
          <w:rFonts w:eastAsia="Times New Roman" w:cs="Times New Roman"/>
          <w:sz w:val="24"/>
          <w:szCs w:val="24"/>
          <w:lang w:eastAsia="pl-PL"/>
        </w:rPr>
        <w:t>w </w:t>
      </w:r>
      <w:r w:rsidR="00161F3C" w:rsidRPr="00833C88">
        <w:rPr>
          <w:rFonts w:eastAsia="Times New Roman" w:cs="Times New Roman"/>
          <w:sz w:val="24"/>
          <w:szCs w:val="24"/>
          <w:lang w:eastAsia="pl-PL"/>
        </w:rPr>
        <w:t xml:space="preserve">działaniu usług kluczowych podmiotów </w:t>
      </w:r>
      <w:r w:rsidR="00601933" w:rsidRPr="00833C88">
        <w:rPr>
          <w:rFonts w:eastAsia="Times New Roman" w:cs="Times New Roman"/>
          <w:sz w:val="24"/>
          <w:szCs w:val="24"/>
          <w:lang w:eastAsia="pl-PL"/>
        </w:rPr>
        <w:lastRenderedPageBreak/>
        <w:t>w </w:t>
      </w:r>
      <w:r w:rsidR="00161F3C" w:rsidRPr="00833C88">
        <w:rPr>
          <w:rFonts w:eastAsia="Times New Roman" w:cs="Times New Roman"/>
          <w:sz w:val="24"/>
          <w:szCs w:val="24"/>
          <w:lang w:eastAsia="pl-PL"/>
        </w:rPr>
        <w:t xml:space="preserve">tych sektorach będzie miało natychmiastowy </w:t>
      </w:r>
      <w:r w:rsidR="00601933" w:rsidRPr="00833C88">
        <w:rPr>
          <w:rFonts w:eastAsia="Times New Roman" w:cs="Times New Roman"/>
          <w:sz w:val="24"/>
          <w:szCs w:val="24"/>
          <w:lang w:eastAsia="pl-PL"/>
        </w:rPr>
        <w:t>i </w:t>
      </w:r>
      <w:r w:rsidR="00161F3C" w:rsidRPr="00833C88">
        <w:rPr>
          <w:rFonts w:eastAsia="Times New Roman" w:cs="Times New Roman"/>
          <w:sz w:val="24"/>
          <w:szCs w:val="24"/>
          <w:lang w:eastAsia="pl-PL"/>
        </w:rPr>
        <w:t>znaczny wpływ na całe funkcjonowanie społeczeństwa na określonym obszarze</w:t>
      </w:r>
      <w:r w:rsidR="006E4457"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z </w:t>
      </w:r>
      <w:r w:rsidR="006E4457" w:rsidRPr="00833C88">
        <w:rPr>
          <w:rFonts w:eastAsia="Times New Roman" w:cs="Times New Roman"/>
          <w:sz w:val="24"/>
          <w:szCs w:val="24"/>
          <w:lang w:eastAsia="pl-PL"/>
        </w:rPr>
        <w:t xml:space="preserve">tego powodu to właśnie je uznano za szczególnie istotne. Załącznik </w:t>
      </w:r>
      <w:r w:rsidR="00691BFA" w:rsidRPr="00833C88">
        <w:rPr>
          <w:rFonts w:eastAsia="Times New Roman" w:cs="Times New Roman"/>
          <w:sz w:val="24"/>
          <w:szCs w:val="24"/>
          <w:lang w:eastAsia="pl-PL"/>
        </w:rPr>
        <w:t xml:space="preserve">nr </w:t>
      </w:r>
      <w:r w:rsidR="006E4457" w:rsidRPr="00833C88">
        <w:rPr>
          <w:rFonts w:eastAsia="Times New Roman" w:cs="Times New Roman"/>
          <w:sz w:val="24"/>
          <w:szCs w:val="24"/>
          <w:lang w:eastAsia="pl-PL"/>
        </w:rPr>
        <w:t>1</w:t>
      </w:r>
      <w:r w:rsidR="004A108C" w:rsidRPr="00833C88">
        <w:rPr>
          <w:rFonts w:eastAsia="Times New Roman" w:cs="Times New Roman"/>
          <w:sz w:val="24"/>
          <w:szCs w:val="24"/>
          <w:lang w:eastAsia="pl-PL"/>
        </w:rPr>
        <w:t xml:space="preserve"> do </w:t>
      </w:r>
      <w:r w:rsidR="001D1B59" w:rsidRPr="00833C88">
        <w:rPr>
          <w:rFonts w:eastAsia="Times New Roman" w:cs="Times New Roman"/>
          <w:sz w:val="24"/>
          <w:szCs w:val="24"/>
          <w:lang w:eastAsia="pl-PL"/>
        </w:rPr>
        <w:t xml:space="preserve">ustawy </w:t>
      </w:r>
      <w:r w:rsidR="00601933" w:rsidRPr="00833C88">
        <w:rPr>
          <w:rFonts w:eastAsia="Times New Roman" w:cs="Times New Roman"/>
          <w:sz w:val="24"/>
          <w:szCs w:val="24"/>
          <w:lang w:eastAsia="pl-PL"/>
        </w:rPr>
        <w:t>o </w:t>
      </w:r>
      <w:r w:rsidR="001D1B59" w:rsidRPr="00833C88">
        <w:rPr>
          <w:rFonts w:eastAsia="Times New Roman" w:cs="Times New Roman"/>
          <w:sz w:val="24"/>
          <w:szCs w:val="24"/>
          <w:lang w:eastAsia="pl-PL"/>
        </w:rPr>
        <w:t>KSC</w:t>
      </w:r>
      <w:r w:rsidR="006E4457" w:rsidRPr="00833C88">
        <w:rPr>
          <w:rFonts w:eastAsia="Times New Roman" w:cs="Times New Roman"/>
          <w:sz w:val="24"/>
          <w:szCs w:val="24"/>
          <w:lang w:eastAsia="pl-PL"/>
        </w:rPr>
        <w:t xml:space="preserve"> oparty jest na załączniku </w:t>
      </w:r>
      <w:r w:rsidR="00601933" w:rsidRPr="00833C88">
        <w:rPr>
          <w:rFonts w:eastAsia="Times New Roman" w:cs="Times New Roman"/>
          <w:sz w:val="24"/>
          <w:szCs w:val="24"/>
          <w:lang w:eastAsia="pl-PL"/>
        </w:rPr>
        <w:t>I </w:t>
      </w:r>
      <w:r w:rsidR="006E4457" w:rsidRPr="00833C88">
        <w:rPr>
          <w:rFonts w:eastAsia="Times New Roman" w:cs="Times New Roman"/>
          <w:sz w:val="24"/>
          <w:szCs w:val="24"/>
          <w:lang w:eastAsia="pl-PL"/>
        </w:rPr>
        <w:t>do dyrektywy NIS</w:t>
      </w:r>
      <w:r w:rsidR="000305CD" w:rsidRPr="00833C88">
        <w:rPr>
          <w:rFonts w:eastAsia="Times New Roman" w:cs="Times New Roman"/>
          <w:sz w:val="24"/>
          <w:szCs w:val="24"/>
          <w:lang w:eastAsia="pl-PL"/>
        </w:rPr>
        <w:t xml:space="preserve"> </w:t>
      </w:r>
      <w:r w:rsidR="006E4457" w:rsidRPr="00833C88">
        <w:rPr>
          <w:rFonts w:eastAsia="Times New Roman" w:cs="Times New Roman"/>
          <w:sz w:val="24"/>
          <w:szCs w:val="24"/>
          <w:lang w:eastAsia="pl-PL"/>
        </w:rPr>
        <w:t xml:space="preserve">2, rozszerza jednak </w:t>
      </w:r>
      <w:r w:rsidR="00A30AD4" w:rsidRPr="00833C88">
        <w:rPr>
          <w:rFonts w:eastAsia="Times New Roman" w:cs="Times New Roman"/>
          <w:sz w:val="24"/>
          <w:szCs w:val="24"/>
          <w:lang w:eastAsia="pl-PL"/>
        </w:rPr>
        <w:t xml:space="preserve">jego zakres </w:t>
      </w:r>
      <w:r w:rsidR="00601933" w:rsidRPr="00833C88">
        <w:rPr>
          <w:rFonts w:eastAsia="Times New Roman" w:cs="Times New Roman"/>
          <w:sz w:val="24"/>
          <w:szCs w:val="24"/>
          <w:lang w:eastAsia="pl-PL"/>
        </w:rPr>
        <w:t>o </w:t>
      </w:r>
      <w:r w:rsidR="00A30AD4" w:rsidRPr="00833C88">
        <w:rPr>
          <w:rFonts w:eastAsia="Times New Roman" w:cs="Times New Roman"/>
          <w:sz w:val="24"/>
          <w:szCs w:val="24"/>
          <w:lang w:eastAsia="pl-PL"/>
        </w:rPr>
        <w:t xml:space="preserve">działalność </w:t>
      </w:r>
      <w:r w:rsidR="00601933" w:rsidRPr="00833C88">
        <w:rPr>
          <w:rFonts w:eastAsia="Times New Roman" w:cs="Times New Roman"/>
          <w:sz w:val="24"/>
          <w:szCs w:val="24"/>
          <w:lang w:eastAsia="pl-PL"/>
        </w:rPr>
        <w:t>w </w:t>
      </w:r>
      <w:r w:rsidR="00A30AD4" w:rsidRPr="00833C88">
        <w:rPr>
          <w:rFonts w:eastAsia="Times New Roman" w:cs="Times New Roman"/>
          <w:sz w:val="24"/>
          <w:szCs w:val="24"/>
          <w:lang w:eastAsia="pl-PL"/>
        </w:rPr>
        <w:t>zakresie wydobywania kopalin</w:t>
      </w:r>
      <w:r w:rsidR="00A404A8" w:rsidRPr="00833C88">
        <w:rPr>
          <w:rFonts w:eastAsia="Times New Roman" w:cs="Times New Roman"/>
          <w:sz w:val="24"/>
          <w:szCs w:val="24"/>
          <w:lang w:eastAsia="pl-PL"/>
        </w:rPr>
        <w:t xml:space="preserve">, energii jądrowej oraz </w:t>
      </w:r>
      <w:r w:rsidR="00286A6C" w:rsidRPr="00833C88">
        <w:rPr>
          <w:rFonts w:eastAsia="Times New Roman" w:cs="Times New Roman"/>
          <w:sz w:val="24"/>
          <w:szCs w:val="24"/>
          <w:lang w:eastAsia="pl-PL"/>
        </w:rPr>
        <w:t>podmiotów publicznych.</w:t>
      </w:r>
    </w:p>
    <w:p w14:paraId="7D49BAD9" w14:textId="645558A2" w:rsidR="0079094B" w:rsidRPr="00833C88" w:rsidRDefault="002F7C0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Działalność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wydobycia kopalin </w:t>
      </w:r>
      <w:r w:rsidR="0079094B" w:rsidRPr="00833C88">
        <w:rPr>
          <w:rFonts w:eastAsia="Times New Roman" w:cs="Times New Roman"/>
          <w:sz w:val="24"/>
          <w:szCs w:val="24"/>
          <w:lang w:eastAsia="pl-PL"/>
        </w:rPr>
        <w:t xml:space="preserve">to działalność, która również posiada bardzo istotny wpływ na funkcjonowanie innych podmiotów, zwłaszcza innych podmiotów </w:t>
      </w:r>
      <w:r w:rsidR="00601933" w:rsidRPr="00833C88">
        <w:rPr>
          <w:rFonts w:eastAsia="Times New Roman" w:cs="Times New Roman"/>
          <w:sz w:val="24"/>
          <w:szCs w:val="24"/>
          <w:lang w:eastAsia="pl-PL"/>
        </w:rPr>
        <w:t>z </w:t>
      </w:r>
      <w:r w:rsidR="0079094B" w:rsidRPr="00833C88">
        <w:rPr>
          <w:rFonts w:eastAsia="Times New Roman" w:cs="Times New Roman"/>
          <w:sz w:val="24"/>
          <w:szCs w:val="24"/>
          <w:lang w:eastAsia="pl-PL"/>
        </w:rPr>
        <w:t xml:space="preserve">sektora energii </w:t>
      </w:r>
      <w:r w:rsidR="00601933" w:rsidRPr="00833C88">
        <w:rPr>
          <w:rFonts w:eastAsia="Times New Roman" w:cs="Times New Roman"/>
          <w:sz w:val="24"/>
          <w:szCs w:val="24"/>
          <w:lang w:eastAsia="pl-PL"/>
        </w:rPr>
        <w:t>i </w:t>
      </w:r>
      <w:r w:rsidR="0079094B" w:rsidRPr="00833C88">
        <w:rPr>
          <w:rFonts w:eastAsia="Times New Roman" w:cs="Times New Roman"/>
          <w:sz w:val="24"/>
          <w:szCs w:val="24"/>
          <w:lang w:eastAsia="pl-PL"/>
        </w:rPr>
        <w:t>dlatego powinna być objęta tymi samymi regułami co przedsiębiorstwa wytwarzające i</w:t>
      </w:r>
      <w:r w:rsidR="00C261B0" w:rsidRPr="00833C88">
        <w:rPr>
          <w:rFonts w:eastAsia="Times New Roman" w:cs="Times New Roman"/>
          <w:sz w:val="24"/>
          <w:szCs w:val="24"/>
          <w:lang w:eastAsia="pl-PL"/>
        </w:rPr>
        <w:t> </w:t>
      </w:r>
      <w:r w:rsidR="0079094B" w:rsidRPr="00833C88">
        <w:rPr>
          <w:rFonts w:eastAsia="Times New Roman" w:cs="Times New Roman"/>
          <w:sz w:val="24"/>
          <w:szCs w:val="24"/>
          <w:lang w:eastAsia="pl-PL"/>
        </w:rPr>
        <w:t xml:space="preserve">przesyłające prąd. Należy również podkreślić, </w:t>
      </w:r>
      <w:r w:rsidR="00103B18" w:rsidRPr="00833C88">
        <w:rPr>
          <w:rFonts w:eastAsia="Times New Roman" w:cs="Times New Roman"/>
          <w:sz w:val="24"/>
          <w:szCs w:val="24"/>
          <w:lang w:eastAsia="pl-PL"/>
        </w:rPr>
        <w:t xml:space="preserve">że podmioty </w:t>
      </w:r>
      <w:r w:rsidR="00601933" w:rsidRPr="00833C88">
        <w:rPr>
          <w:rFonts w:eastAsia="Times New Roman" w:cs="Times New Roman"/>
          <w:sz w:val="24"/>
          <w:szCs w:val="24"/>
          <w:lang w:eastAsia="pl-PL"/>
        </w:rPr>
        <w:t>z </w:t>
      </w:r>
      <w:r w:rsidR="00103B18" w:rsidRPr="00833C88">
        <w:rPr>
          <w:rFonts w:eastAsia="Times New Roman" w:cs="Times New Roman"/>
          <w:sz w:val="24"/>
          <w:szCs w:val="24"/>
          <w:lang w:eastAsia="pl-PL"/>
        </w:rPr>
        <w:t xml:space="preserve">tego sektora </w:t>
      </w:r>
      <w:r w:rsidR="005347AD" w:rsidRPr="00833C88">
        <w:rPr>
          <w:rFonts w:eastAsia="Times New Roman" w:cs="Times New Roman"/>
          <w:sz w:val="24"/>
          <w:szCs w:val="24"/>
          <w:lang w:eastAsia="pl-PL"/>
        </w:rPr>
        <w:t xml:space="preserve">są obecnie objęte postanowieniami ustawy </w:t>
      </w:r>
      <w:r w:rsidR="00601933" w:rsidRPr="00833C88">
        <w:rPr>
          <w:rFonts w:eastAsia="Times New Roman" w:cs="Times New Roman"/>
          <w:sz w:val="24"/>
          <w:szCs w:val="24"/>
          <w:lang w:eastAsia="pl-PL"/>
        </w:rPr>
        <w:t>o </w:t>
      </w:r>
      <w:r w:rsidR="0061116F" w:rsidRPr="00833C88">
        <w:rPr>
          <w:rFonts w:eastAsia="Times New Roman" w:cs="Times New Roman"/>
          <w:sz w:val="24"/>
          <w:szCs w:val="24"/>
          <w:lang w:eastAsia="pl-PL"/>
        </w:rPr>
        <w:t>KSC</w:t>
      </w:r>
      <w:r w:rsidR="005B4E3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5B4E39" w:rsidRPr="00833C88">
        <w:rPr>
          <w:rFonts w:eastAsia="Times New Roman" w:cs="Times New Roman"/>
          <w:sz w:val="24"/>
          <w:szCs w:val="24"/>
          <w:lang w:eastAsia="pl-PL"/>
        </w:rPr>
        <w:t xml:space="preserve">mają już obecnie obowiązki </w:t>
      </w:r>
      <w:r w:rsidR="00601933" w:rsidRPr="00833C88">
        <w:rPr>
          <w:rFonts w:eastAsia="Times New Roman" w:cs="Times New Roman"/>
          <w:sz w:val="24"/>
          <w:szCs w:val="24"/>
          <w:lang w:eastAsia="pl-PL"/>
        </w:rPr>
        <w:t>z </w:t>
      </w:r>
      <w:r w:rsidR="005B4E39" w:rsidRPr="00833C88">
        <w:rPr>
          <w:rFonts w:eastAsia="Times New Roman" w:cs="Times New Roman"/>
          <w:sz w:val="24"/>
          <w:szCs w:val="24"/>
          <w:lang w:eastAsia="pl-PL"/>
        </w:rPr>
        <w:t>tego wynikające.</w:t>
      </w:r>
    </w:p>
    <w:p w14:paraId="2BA1A321" w14:textId="5F53BEAB" w:rsidR="00763AFF" w:rsidRPr="00833C88" w:rsidRDefault="0058659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Projekt utrzymuje dotychczasowy sektor energii –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nowej wersji obejmuje on sektory energii elektrycznej</w:t>
      </w:r>
      <w:r w:rsidR="002A5043" w:rsidRPr="00833C88">
        <w:rPr>
          <w:rFonts w:eastAsia="Times New Roman" w:cs="Times New Roman"/>
          <w:sz w:val="24"/>
          <w:szCs w:val="24"/>
          <w:lang w:eastAsia="pl-PL"/>
        </w:rPr>
        <w:t xml:space="preserve">, ciepło, ropa </w:t>
      </w:r>
      <w:r w:rsidR="00601933" w:rsidRPr="00833C88">
        <w:rPr>
          <w:rFonts w:eastAsia="Times New Roman" w:cs="Times New Roman"/>
          <w:sz w:val="24"/>
          <w:szCs w:val="24"/>
          <w:lang w:eastAsia="pl-PL"/>
        </w:rPr>
        <w:t>i </w:t>
      </w:r>
      <w:r w:rsidR="002A5043" w:rsidRPr="00833C88">
        <w:rPr>
          <w:rFonts w:eastAsia="Times New Roman" w:cs="Times New Roman"/>
          <w:sz w:val="24"/>
          <w:szCs w:val="24"/>
          <w:lang w:eastAsia="pl-PL"/>
        </w:rPr>
        <w:t xml:space="preserve">paliwa, gaz </w:t>
      </w:r>
      <w:r w:rsidR="00601933" w:rsidRPr="00833C88">
        <w:rPr>
          <w:rFonts w:eastAsia="Times New Roman" w:cs="Times New Roman"/>
          <w:sz w:val="24"/>
          <w:szCs w:val="24"/>
          <w:lang w:eastAsia="pl-PL"/>
        </w:rPr>
        <w:t>i </w:t>
      </w:r>
      <w:r w:rsidR="002A5043" w:rsidRPr="00833C88">
        <w:rPr>
          <w:rFonts w:eastAsia="Times New Roman" w:cs="Times New Roman"/>
          <w:sz w:val="24"/>
          <w:szCs w:val="24"/>
          <w:lang w:eastAsia="pl-PL"/>
        </w:rPr>
        <w:t xml:space="preserve">wodór. Podkreślić należy, że dyrektywa NIS 2 nie warunkuje </w:t>
      </w:r>
      <w:r w:rsidR="008E2FE3" w:rsidRPr="00833C88">
        <w:rPr>
          <w:rFonts w:eastAsia="Times New Roman" w:cs="Times New Roman"/>
          <w:sz w:val="24"/>
          <w:szCs w:val="24"/>
          <w:lang w:eastAsia="pl-PL"/>
        </w:rPr>
        <w:t xml:space="preserve">statusu podmiotu kluczowego lub podmiotu ważnego </w:t>
      </w:r>
      <w:r w:rsidR="0096111C" w:rsidRPr="00833C88">
        <w:rPr>
          <w:rFonts w:eastAsia="Times New Roman" w:cs="Times New Roman"/>
          <w:sz w:val="24"/>
          <w:szCs w:val="24"/>
          <w:lang w:eastAsia="pl-PL"/>
        </w:rPr>
        <w:t>od mocy instalacji wytwarzającej energię elektryczną przez dany podmiot – dyrektywa podeszła tutaj podmiotowo.</w:t>
      </w:r>
    </w:p>
    <w:p w14:paraId="7B91D111" w14:textId="1B59BF8F" w:rsidR="00034A91" w:rsidRPr="00833C88" w:rsidRDefault="00601933"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034A91" w:rsidRPr="00833C88">
        <w:rPr>
          <w:rFonts w:eastAsia="Times New Roman" w:cs="Times New Roman"/>
          <w:sz w:val="24"/>
          <w:szCs w:val="24"/>
          <w:lang w:eastAsia="pl-PL"/>
        </w:rPr>
        <w:t xml:space="preserve">ramach załącznika nr 1 </w:t>
      </w:r>
      <w:r w:rsidR="004B6600" w:rsidRPr="00833C88">
        <w:rPr>
          <w:rFonts w:eastAsia="Times New Roman" w:cs="Times New Roman"/>
          <w:sz w:val="24"/>
          <w:szCs w:val="24"/>
          <w:lang w:eastAsia="pl-PL"/>
        </w:rPr>
        <w:t xml:space="preserve">do </w:t>
      </w:r>
      <w:r w:rsidR="001D1B59" w:rsidRPr="00833C88">
        <w:rPr>
          <w:rFonts w:eastAsia="Times New Roman" w:cs="Times New Roman"/>
          <w:sz w:val="24"/>
          <w:szCs w:val="24"/>
          <w:lang w:eastAsia="pl-PL"/>
        </w:rPr>
        <w:t xml:space="preserve">ustawy </w:t>
      </w:r>
      <w:r w:rsidRPr="00833C88">
        <w:rPr>
          <w:rFonts w:eastAsia="Times New Roman" w:cs="Times New Roman"/>
          <w:sz w:val="24"/>
          <w:szCs w:val="24"/>
          <w:lang w:eastAsia="pl-PL"/>
        </w:rPr>
        <w:t>o </w:t>
      </w:r>
      <w:r w:rsidR="001D1B59" w:rsidRPr="00833C88">
        <w:rPr>
          <w:rFonts w:eastAsia="Times New Roman" w:cs="Times New Roman"/>
          <w:sz w:val="24"/>
          <w:szCs w:val="24"/>
          <w:lang w:eastAsia="pl-PL"/>
        </w:rPr>
        <w:t xml:space="preserve">KSC </w:t>
      </w:r>
      <w:r w:rsidR="00034A91" w:rsidRPr="00833C88">
        <w:rPr>
          <w:rFonts w:eastAsia="Times New Roman" w:cs="Times New Roman"/>
          <w:sz w:val="24"/>
          <w:szCs w:val="24"/>
          <w:lang w:eastAsia="pl-PL"/>
        </w:rPr>
        <w:t>uwzględniono także obecne rodzaje podmiotów</w:t>
      </w:r>
      <w:r w:rsidR="00423F60" w:rsidRPr="00833C88">
        <w:rPr>
          <w:rFonts w:eastAsia="Times New Roman" w:cs="Times New Roman"/>
          <w:sz w:val="24"/>
          <w:szCs w:val="24"/>
          <w:lang w:eastAsia="pl-PL"/>
        </w:rPr>
        <w:t xml:space="preserve">, które mogą być uznane za operatorów usług kluczowych. </w:t>
      </w:r>
      <w:r w:rsidR="00EC4C6E" w:rsidRPr="00833C88">
        <w:rPr>
          <w:rFonts w:eastAsia="Times New Roman" w:cs="Times New Roman"/>
          <w:sz w:val="24"/>
          <w:szCs w:val="24"/>
          <w:lang w:eastAsia="pl-PL"/>
        </w:rPr>
        <w:t>Przykładowo dotyczy to</w:t>
      </w:r>
      <w:r w:rsidR="00AD6CCD" w:rsidRPr="00833C88">
        <w:rPr>
          <w:rFonts w:eastAsia="Times New Roman" w:cs="Times New Roman"/>
          <w:sz w:val="24"/>
          <w:szCs w:val="24"/>
          <w:lang w:eastAsia="pl-PL"/>
        </w:rPr>
        <w:t> </w:t>
      </w:r>
      <w:r w:rsidR="00EC4C6E" w:rsidRPr="00833C88">
        <w:rPr>
          <w:rFonts w:eastAsia="Times New Roman" w:cs="Times New Roman"/>
          <w:sz w:val="24"/>
          <w:szCs w:val="24"/>
          <w:lang w:eastAsia="pl-PL"/>
        </w:rPr>
        <w:t xml:space="preserve">przedsiębiorców, którzy prowadzą aptekę ogólnodostępną – ten rodzaj podmiotu nie wynika </w:t>
      </w:r>
      <w:r w:rsidRPr="00833C88">
        <w:rPr>
          <w:rFonts w:eastAsia="Times New Roman" w:cs="Times New Roman"/>
          <w:sz w:val="24"/>
          <w:szCs w:val="24"/>
          <w:lang w:eastAsia="pl-PL"/>
        </w:rPr>
        <w:t>z </w:t>
      </w:r>
      <w:r w:rsidR="00EC4C6E" w:rsidRPr="00833C88">
        <w:rPr>
          <w:rFonts w:eastAsia="Times New Roman" w:cs="Times New Roman"/>
          <w:sz w:val="24"/>
          <w:szCs w:val="24"/>
          <w:lang w:eastAsia="pl-PL"/>
        </w:rPr>
        <w:t>dyrektywy NIS</w:t>
      </w:r>
      <w:r w:rsidR="004B6600" w:rsidRPr="00833C88">
        <w:rPr>
          <w:rFonts w:eastAsia="Times New Roman" w:cs="Times New Roman"/>
          <w:sz w:val="24"/>
          <w:szCs w:val="24"/>
          <w:lang w:eastAsia="pl-PL"/>
        </w:rPr>
        <w:t xml:space="preserve"> </w:t>
      </w:r>
      <w:r w:rsidR="00EC4C6E" w:rsidRPr="00833C88">
        <w:rPr>
          <w:rFonts w:eastAsia="Times New Roman" w:cs="Times New Roman"/>
          <w:sz w:val="24"/>
          <w:szCs w:val="24"/>
          <w:lang w:eastAsia="pl-PL"/>
        </w:rPr>
        <w:t xml:space="preserve">2, jednakże </w:t>
      </w:r>
      <w:r w:rsidRPr="00833C88">
        <w:rPr>
          <w:rFonts w:eastAsia="Times New Roman" w:cs="Times New Roman"/>
          <w:sz w:val="24"/>
          <w:szCs w:val="24"/>
          <w:lang w:eastAsia="pl-PL"/>
        </w:rPr>
        <w:t>w </w:t>
      </w:r>
      <w:r w:rsidR="00EC4C6E" w:rsidRPr="00833C88">
        <w:rPr>
          <w:rFonts w:eastAsia="Times New Roman" w:cs="Times New Roman"/>
          <w:sz w:val="24"/>
          <w:szCs w:val="24"/>
          <w:lang w:eastAsia="pl-PL"/>
        </w:rPr>
        <w:t xml:space="preserve">polskiej transpozycji dyrektywy NIS został on uznany za </w:t>
      </w:r>
      <w:r w:rsidR="00B628DD" w:rsidRPr="00833C88">
        <w:rPr>
          <w:rFonts w:eastAsia="Times New Roman" w:cs="Times New Roman"/>
          <w:sz w:val="24"/>
          <w:szCs w:val="24"/>
          <w:lang w:eastAsia="pl-PL"/>
        </w:rPr>
        <w:t>operatora usług kluczowych.</w:t>
      </w:r>
    </w:p>
    <w:p w14:paraId="70CD0538" w14:textId="589DE1CD" w:rsidR="00F05959" w:rsidRPr="00833C88" w:rsidRDefault="00EB1B0E" w:rsidP="00533D2A">
      <w:pPr>
        <w:pStyle w:val="Nagwek4"/>
        <w:numPr>
          <w:ilvl w:val="0"/>
          <w:numId w:val="82"/>
        </w:numPr>
        <w:spacing w:before="0" w:after="120" w:line="360" w:lineRule="auto"/>
        <w:jc w:val="both"/>
        <w:rPr>
          <w:rFonts w:cs="Times New Roman"/>
          <w:sz w:val="24"/>
          <w:szCs w:val="24"/>
          <w:lang w:eastAsia="pl-PL"/>
        </w:rPr>
      </w:pPr>
      <w:r w:rsidRPr="00833C88">
        <w:rPr>
          <w:rFonts w:cs="Times New Roman"/>
          <w:sz w:val="24"/>
          <w:szCs w:val="24"/>
          <w:lang w:eastAsia="pl-PL"/>
        </w:rPr>
        <w:t>Energia</w:t>
      </w:r>
    </w:p>
    <w:p w14:paraId="57864BDE" w14:textId="4AD6A1AA" w:rsidR="008672B6" w:rsidRPr="00833C88" w:rsidRDefault="00D776B1" w:rsidP="00D22DA4">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Zapewnianie </w:t>
      </w:r>
      <w:r w:rsidR="001A3B83" w:rsidRPr="00833C88">
        <w:rPr>
          <w:rFonts w:eastAsia="Times New Roman" w:cs="Times New Roman"/>
          <w:sz w:val="24"/>
          <w:szCs w:val="24"/>
          <w:lang w:eastAsia="pl-PL"/>
        </w:rPr>
        <w:t xml:space="preserve">energii dla społeczeństwa </w:t>
      </w:r>
      <w:r w:rsidR="00601933" w:rsidRPr="00833C88">
        <w:rPr>
          <w:rFonts w:eastAsia="Times New Roman" w:cs="Times New Roman"/>
          <w:sz w:val="24"/>
          <w:szCs w:val="24"/>
          <w:lang w:eastAsia="pl-PL"/>
        </w:rPr>
        <w:t>i </w:t>
      </w:r>
      <w:r w:rsidR="00330F14" w:rsidRPr="00833C88">
        <w:rPr>
          <w:rFonts w:eastAsia="Times New Roman" w:cs="Times New Roman"/>
          <w:sz w:val="24"/>
          <w:szCs w:val="24"/>
          <w:lang w:eastAsia="pl-PL"/>
        </w:rPr>
        <w:t xml:space="preserve">gospodarki jest kluczowe dla ich funkcjonowania. </w:t>
      </w:r>
      <w:r w:rsidR="00601933" w:rsidRPr="00833C88">
        <w:rPr>
          <w:rFonts w:eastAsia="Times New Roman" w:cs="Times New Roman"/>
          <w:sz w:val="24"/>
          <w:szCs w:val="24"/>
          <w:lang w:eastAsia="pl-PL"/>
        </w:rPr>
        <w:t>W </w:t>
      </w:r>
      <w:r w:rsidR="00635012" w:rsidRPr="00833C88">
        <w:rPr>
          <w:rFonts w:eastAsia="Times New Roman" w:cs="Times New Roman"/>
          <w:sz w:val="24"/>
          <w:szCs w:val="24"/>
          <w:lang w:eastAsia="pl-PL"/>
        </w:rPr>
        <w:t xml:space="preserve">łańcuchu dostaw poszczególnych rodzajów energii znajdują się różnorodne </w:t>
      </w:r>
      <w:r w:rsidR="006D69FD" w:rsidRPr="00833C88">
        <w:rPr>
          <w:rFonts w:eastAsia="Times New Roman" w:cs="Times New Roman"/>
          <w:sz w:val="24"/>
          <w:szCs w:val="24"/>
          <w:lang w:eastAsia="pl-PL"/>
        </w:rPr>
        <w:t>rodzaje podmiotów odpowiedzialne</w:t>
      </w:r>
      <w:r w:rsidR="00BA6FE3"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00BA6FE3" w:rsidRPr="00833C88">
        <w:rPr>
          <w:rFonts w:eastAsia="Times New Roman" w:cs="Times New Roman"/>
          <w:sz w:val="24"/>
          <w:szCs w:val="24"/>
          <w:lang w:eastAsia="pl-PL"/>
        </w:rPr>
        <w:t>szczególności</w:t>
      </w:r>
      <w:r w:rsidR="006D69FD" w:rsidRPr="00833C88">
        <w:rPr>
          <w:rFonts w:eastAsia="Times New Roman" w:cs="Times New Roman"/>
          <w:sz w:val="24"/>
          <w:szCs w:val="24"/>
          <w:lang w:eastAsia="pl-PL"/>
        </w:rPr>
        <w:t xml:space="preserve"> za wytwarzanie, przesyłanie, dystrybucję</w:t>
      </w:r>
      <w:r w:rsidR="00BA6FE3"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t>
      </w:r>
      <w:r w:rsidR="00BA6FE3" w:rsidRPr="00833C88">
        <w:rPr>
          <w:rFonts w:eastAsia="Times New Roman" w:cs="Times New Roman"/>
          <w:sz w:val="24"/>
          <w:szCs w:val="24"/>
          <w:lang w:eastAsia="pl-PL"/>
        </w:rPr>
        <w:t xml:space="preserve">obrót energią. </w:t>
      </w:r>
      <w:r w:rsidR="005F6467" w:rsidRPr="00833C88">
        <w:rPr>
          <w:rFonts w:eastAsia="Times New Roman" w:cs="Times New Roman"/>
          <w:sz w:val="24"/>
          <w:szCs w:val="24"/>
          <w:lang w:eastAsia="pl-PL"/>
        </w:rPr>
        <w:t>Infrastruktura energetyczna jest sterowana za pomocą przemysłowych systemów sterowania</w:t>
      </w:r>
      <w:r w:rsidR="00675CB0" w:rsidRPr="00833C88">
        <w:rPr>
          <w:rFonts w:eastAsia="Times New Roman" w:cs="Times New Roman"/>
          <w:sz w:val="24"/>
          <w:szCs w:val="24"/>
          <w:lang w:eastAsia="pl-PL"/>
        </w:rPr>
        <w:t xml:space="preserve">. Incydent może spowodować naruszenie ciągłości dostaw energii </w:t>
      </w:r>
      <w:r w:rsidR="00E46343" w:rsidRPr="00833C88">
        <w:rPr>
          <w:rFonts w:eastAsia="Times New Roman" w:cs="Times New Roman"/>
          <w:sz w:val="24"/>
          <w:szCs w:val="24"/>
          <w:lang w:eastAsia="pl-PL"/>
        </w:rPr>
        <w:t xml:space="preserve">co powoduje wzrost cen energii czy ograniczenia </w:t>
      </w:r>
      <w:r w:rsidR="00601933" w:rsidRPr="00833C88">
        <w:rPr>
          <w:rFonts w:eastAsia="Times New Roman" w:cs="Times New Roman"/>
          <w:sz w:val="24"/>
          <w:szCs w:val="24"/>
          <w:lang w:eastAsia="pl-PL"/>
        </w:rPr>
        <w:t>w </w:t>
      </w:r>
      <w:r w:rsidR="00E46343" w:rsidRPr="00833C88">
        <w:rPr>
          <w:rFonts w:eastAsia="Times New Roman" w:cs="Times New Roman"/>
          <w:sz w:val="24"/>
          <w:szCs w:val="24"/>
          <w:lang w:eastAsia="pl-PL"/>
        </w:rPr>
        <w:t xml:space="preserve">dostępności energii. </w:t>
      </w:r>
      <w:r w:rsidR="00F47DA1" w:rsidRPr="00833C88">
        <w:rPr>
          <w:rFonts w:eastAsia="Times New Roman" w:cs="Times New Roman"/>
          <w:sz w:val="24"/>
          <w:szCs w:val="24"/>
          <w:lang w:eastAsia="pl-PL"/>
        </w:rPr>
        <w:t xml:space="preserve">Sektor energii jest też celem </w:t>
      </w:r>
      <w:r w:rsidR="00422A2E" w:rsidRPr="00833C88">
        <w:rPr>
          <w:rFonts w:eastAsia="Times New Roman" w:cs="Times New Roman"/>
          <w:sz w:val="24"/>
          <w:szCs w:val="24"/>
          <w:lang w:eastAsia="pl-PL"/>
        </w:rPr>
        <w:t xml:space="preserve">cyberterrorystów czy celem ataków grup APT. </w:t>
      </w:r>
      <w:r w:rsidR="00601933" w:rsidRPr="00833C88">
        <w:rPr>
          <w:rFonts w:eastAsia="Times New Roman" w:cs="Times New Roman"/>
          <w:sz w:val="24"/>
          <w:szCs w:val="24"/>
          <w:lang w:eastAsia="pl-PL"/>
        </w:rPr>
        <w:t>Z </w:t>
      </w:r>
      <w:r w:rsidR="00422A2E" w:rsidRPr="00833C88">
        <w:rPr>
          <w:rFonts w:eastAsia="Times New Roman" w:cs="Times New Roman"/>
          <w:sz w:val="24"/>
          <w:szCs w:val="24"/>
          <w:lang w:eastAsia="pl-PL"/>
        </w:rPr>
        <w:t xml:space="preserve">tego powodu zasadne jest objęcie go wymaganiami </w:t>
      </w:r>
      <w:r w:rsidR="00601933" w:rsidRPr="00833C88">
        <w:rPr>
          <w:rFonts w:eastAsia="Times New Roman" w:cs="Times New Roman"/>
          <w:sz w:val="24"/>
          <w:szCs w:val="24"/>
          <w:lang w:eastAsia="pl-PL"/>
        </w:rPr>
        <w:t>z </w:t>
      </w:r>
      <w:r w:rsidR="00422A2E" w:rsidRPr="00833C88">
        <w:rPr>
          <w:rFonts w:eastAsia="Times New Roman" w:cs="Times New Roman"/>
          <w:sz w:val="24"/>
          <w:szCs w:val="24"/>
          <w:lang w:eastAsia="pl-PL"/>
        </w:rPr>
        <w:t xml:space="preserve">zakresu cyberbezpieczeństwa </w:t>
      </w:r>
      <w:r w:rsidR="00601933" w:rsidRPr="00833C88">
        <w:rPr>
          <w:rFonts w:eastAsia="Times New Roman" w:cs="Times New Roman"/>
          <w:sz w:val="24"/>
          <w:szCs w:val="24"/>
          <w:lang w:eastAsia="pl-PL"/>
        </w:rPr>
        <w:t>i </w:t>
      </w:r>
      <w:r w:rsidR="00422A2E" w:rsidRPr="00833C88">
        <w:rPr>
          <w:rFonts w:eastAsia="Times New Roman" w:cs="Times New Roman"/>
          <w:sz w:val="24"/>
          <w:szCs w:val="24"/>
          <w:lang w:eastAsia="pl-PL"/>
        </w:rPr>
        <w:t xml:space="preserve">wsparciem zespołów CSIRT. Sektor energia występuje </w:t>
      </w:r>
      <w:r w:rsidR="00601933" w:rsidRPr="00833C88">
        <w:rPr>
          <w:rFonts w:eastAsia="Times New Roman" w:cs="Times New Roman"/>
          <w:sz w:val="24"/>
          <w:szCs w:val="24"/>
          <w:lang w:eastAsia="pl-PL"/>
        </w:rPr>
        <w:t>w </w:t>
      </w:r>
      <w:r w:rsidR="00422A2E" w:rsidRPr="00833C88">
        <w:rPr>
          <w:rFonts w:eastAsia="Times New Roman" w:cs="Times New Roman"/>
          <w:sz w:val="24"/>
          <w:szCs w:val="24"/>
          <w:lang w:eastAsia="pl-PL"/>
        </w:rPr>
        <w:t xml:space="preserve">ustawie </w:t>
      </w:r>
      <w:r w:rsidR="00601933" w:rsidRPr="00833C88">
        <w:rPr>
          <w:rFonts w:eastAsia="Times New Roman" w:cs="Times New Roman"/>
          <w:sz w:val="24"/>
          <w:szCs w:val="24"/>
          <w:lang w:eastAsia="pl-PL"/>
        </w:rPr>
        <w:t>o </w:t>
      </w:r>
      <w:r w:rsidR="0061116F" w:rsidRPr="00833C88">
        <w:rPr>
          <w:rFonts w:eastAsia="Times New Roman" w:cs="Times New Roman"/>
          <w:sz w:val="24"/>
          <w:szCs w:val="24"/>
          <w:lang w:eastAsia="pl-PL"/>
        </w:rPr>
        <w:t>KSC</w:t>
      </w:r>
      <w:r w:rsidR="00422A2E" w:rsidRPr="00833C88">
        <w:rPr>
          <w:rFonts w:eastAsia="Times New Roman" w:cs="Times New Roman"/>
          <w:sz w:val="24"/>
          <w:szCs w:val="24"/>
          <w:lang w:eastAsia="pl-PL"/>
        </w:rPr>
        <w:t xml:space="preserve"> od 2018 r. </w:t>
      </w:r>
      <w:r w:rsidR="00EA0C02" w:rsidRPr="00833C88">
        <w:rPr>
          <w:rFonts w:eastAsia="Times New Roman" w:cs="Times New Roman"/>
          <w:sz w:val="24"/>
          <w:szCs w:val="24"/>
          <w:lang w:eastAsia="pl-PL"/>
        </w:rPr>
        <w:t xml:space="preserve">Jego zakres podmiotowy został dostosowany do </w:t>
      </w:r>
      <w:r w:rsidR="00910AF8" w:rsidRPr="00833C88">
        <w:rPr>
          <w:rFonts w:eastAsia="Times New Roman" w:cs="Times New Roman"/>
          <w:sz w:val="24"/>
          <w:szCs w:val="24"/>
          <w:lang w:eastAsia="pl-PL"/>
        </w:rPr>
        <w:t>wymogów dyrektywy NIS 2. Sektor ten dzieli się na kilka podsektorów.</w:t>
      </w:r>
    </w:p>
    <w:p w14:paraId="3F0D11C2" w14:textId="5BAF188B" w:rsidR="00226090" w:rsidRPr="00833C88" w:rsidRDefault="00910D0C" w:rsidP="00D22DA4">
      <w:pPr>
        <w:pStyle w:val="Nagwek5"/>
        <w:spacing w:before="0" w:after="120" w:line="360" w:lineRule="auto"/>
        <w:jc w:val="both"/>
        <w:rPr>
          <w:rFonts w:cs="Times New Roman"/>
          <w:sz w:val="24"/>
          <w:szCs w:val="24"/>
        </w:rPr>
      </w:pPr>
      <w:r w:rsidRPr="00833C88">
        <w:rPr>
          <w:rFonts w:cs="Times New Roman"/>
          <w:sz w:val="24"/>
          <w:szCs w:val="24"/>
        </w:rPr>
        <w:lastRenderedPageBreak/>
        <w:t xml:space="preserve">1. </w:t>
      </w:r>
      <w:r w:rsidR="00910AF8" w:rsidRPr="00833C88">
        <w:rPr>
          <w:rFonts w:cs="Times New Roman"/>
          <w:sz w:val="24"/>
          <w:szCs w:val="24"/>
        </w:rPr>
        <w:t xml:space="preserve">Podsektor </w:t>
      </w:r>
      <w:r w:rsidRPr="00833C88">
        <w:rPr>
          <w:rFonts w:cs="Times New Roman"/>
          <w:sz w:val="24"/>
          <w:szCs w:val="24"/>
        </w:rPr>
        <w:t>w</w:t>
      </w:r>
      <w:r w:rsidR="00226090" w:rsidRPr="00833C88">
        <w:rPr>
          <w:rFonts w:cs="Times New Roman"/>
          <w:sz w:val="24"/>
          <w:szCs w:val="24"/>
        </w:rPr>
        <w:t>ydobywanie kopalin</w:t>
      </w:r>
    </w:p>
    <w:p w14:paraId="6363A571" w14:textId="16964322" w:rsidR="00D50E7D" w:rsidRPr="00833C88" w:rsidRDefault="00601933" w:rsidP="00D22DA4">
      <w:pPr>
        <w:spacing w:line="360" w:lineRule="auto"/>
        <w:jc w:val="both"/>
        <w:rPr>
          <w:rFonts w:cs="Times New Roman"/>
          <w:sz w:val="24"/>
          <w:szCs w:val="24"/>
        </w:rPr>
      </w:pPr>
      <w:r w:rsidRPr="00833C88">
        <w:rPr>
          <w:rFonts w:cs="Times New Roman"/>
          <w:sz w:val="24"/>
          <w:szCs w:val="24"/>
        </w:rPr>
        <w:t>W </w:t>
      </w:r>
      <w:r w:rsidR="00947D3D" w:rsidRPr="00833C88">
        <w:rPr>
          <w:rFonts w:cs="Times New Roman"/>
          <w:sz w:val="24"/>
          <w:szCs w:val="24"/>
        </w:rPr>
        <w:t>ramach podsektora wydobywania kopalin wyróżnia się następujące podmioty:</w:t>
      </w:r>
    </w:p>
    <w:p w14:paraId="75AA0D80" w14:textId="514B0687" w:rsidR="00D50E7D" w:rsidRPr="00833C88" w:rsidRDefault="00D50E7D">
      <w:pPr>
        <w:pStyle w:val="Akapitzlist"/>
        <w:numPr>
          <w:ilvl w:val="0"/>
          <w:numId w:val="30"/>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 xml:space="preserve">zakresie wydobywania gazu ziemnego na podstawie koncesji,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22 ust. 1 ustawy </w:t>
      </w:r>
      <w:r w:rsidR="00601933" w:rsidRPr="00833C88">
        <w:rPr>
          <w:rFonts w:cs="Times New Roman"/>
          <w:sz w:val="24"/>
          <w:szCs w:val="24"/>
        </w:rPr>
        <w:t>z </w:t>
      </w:r>
      <w:r w:rsidRPr="00833C88">
        <w:rPr>
          <w:rFonts w:cs="Times New Roman"/>
          <w:sz w:val="24"/>
          <w:szCs w:val="24"/>
        </w:rPr>
        <w:t xml:space="preserve">dnia 9 czerwca 2011 r. – Prawo geologiczne </w:t>
      </w:r>
      <w:r w:rsidR="00601933" w:rsidRPr="00833C88">
        <w:rPr>
          <w:rFonts w:cs="Times New Roman"/>
          <w:sz w:val="24"/>
          <w:szCs w:val="24"/>
        </w:rPr>
        <w:t>i </w:t>
      </w:r>
      <w:r w:rsidRPr="00833C88">
        <w:rPr>
          <w:rFonts w:cs="Times New Roman"/>
          <w:sz w:val="24"/>
          <w:szCs w:val="24"/>
        </w:rPr>
        <w:t>górnicze</w:t>
      </w:r>
      <w:r w:rsidR="0076020B" w:rsidRPr="00833C88">
        <w:rPr>
          <w:rFonts w:cs="Times New Roman"/>
          <w:sz w:val="24"/>
          <w:szCs w:val="24"/>
        </w:rPr>
        <w:t>,</w:t>
      </w:r>
    </w:p>
    <w:p w14:paraId="17D4E216" w14:textId="0F6CB631" w:rsidR="00D50E7D" w:rsidRPr="00833C88" w:rsidRDefault="00D50E7D">
      <w:pPr>
        <w:pStyle w:val="Akapitzlist"/>
        <w:numPr>
          <w:ilvl w:val="0"/>
          <w:numId w:val="30"/>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 xml:space="preserve">zakresie wydobywania ropy naftowej na podstawie koncesji,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22 ust. 1 ustawy </w:t>
      </w:r>
      <w:r w:rsidR="00601933" w:rsidRPr="00833C88">
        <w:rPr>
          <w:rFonts w:cs="Times New Roman"/>
          <w:sz w:val="24"/>
          <w:szCs w:val="24"/>
        </w:rPr>
        <w:t>z </w:t>
      </w:r>
      <w:r w:rsidRPr="00833C88">
        <w:rPr>
          <w:rFonts w:cs="Times New Roman"/>
          <w:sz w:val="24"/>
          <w:szCs w:val="24"/>
        </w:rPr>
        <w:t xml:space="preserve">dnia 9 czerwca 2011 r. – Prawo geologiczne </w:t>
      </w:r>
      <w:r w:rsidR="00601933" w:rsidRPr="00833C88">
        <w:rPr>
          <w:rFonts w:cs="Times New Roman"/>
          <w:sz w:val="24"/>
          <w:szCs w:val="24"/>
        </w:rPr>
        <w:t>i </w:t>
      </w:r>
      <w:r w:rsidRPr="00833C88">
        <w:rPr>
          <w:rFonts w:cs="Times New Roman"/>
          <w:sz w:val="24"/>
          <w:szCs w:val="24"/>
        </w:rPr>
        <w:t>górnicze</w:t>
      </w:r>
      <w:r w:rsidR="0076020B" w:rsidRPr="00833C88">
        <w:rPr>
          <w:rFonts w:cs="Times New Roman"/>
          <w:sz w:val="24"/>
          <w:szCs w:val="24"/>
        </w:rPr>
        <w:t>,</w:t>
      </w:r>
    </w:p>
    <w:p w14:paraId="5CF21FC3" w14:textId="1575068D" w:rsidR="00D50E7D" w:rsidRPr="00833C88" w:rsidRDefault="00D50E7D">
      <w:pPr>
        <w:pStyle w:val="Akapitzlist"/>
        <w:numPr>
          <w:ilvl w:val="0"/>
          <w:numId w:val="30"/>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 xml:space="preserve">zakresie wydobywania węgla brunatnego na podstawie koncesji,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22 ust. 1 ustawy </w:t>
      </w:r>
      <w:r w:rsidR="00601933" w:rsidRPr="00833C88">
        <w:rPr>
          <w:rFonts w:cs="Times New Roman"/>
          <w:sz w:val="24"/>
          <w:szCs w:val="24"/>
        </w:rPr>
        <w:t>z </w:t>
      </w:r>
      <w:r w:rsidRPr="00833C88">
        <w:rPr>
          <w:rFonts w:cs="Times New Roman"/>
          <w:sz w:val="24"/>
          <w:szCs w:val="24"/>
        </w:rPr>
        <w:t xml:space="preserve">dnia 9 czerwca 2011 r. – Prawo geologiczne </w:t>
      </w:r>
      <w:r w:rsidR="00601933" w:rsidRPr="00833C88">
        <w:rPr>
          <w:rFonts w:cs="Times New Roman"/>
          <w:sz w:val="24"/>
          <w:szCs w:val="24"/>
        </w:rPr>
        <w:t>i </w:t>
      </w:r>
      <w:r w:rsidRPr="00833C88">
        <w:rPr>
          <w:rFonts w:cs="Times New Roman"/>
          <w:sz w:val="24"/>
          <w:szCs w:val="24"/>
        </w:rPr>
        <w:t>górnicze</w:t>
      </w:r>
      <w:r w:rsidR="0076020B" w:rsidRPr="00833C88">
        <w:rPr>
          <w:rFonts w:cs="Times New Roman"/>
          <w:sz w:val="24"/>
          <w:szCs w:val="24"/>
        </w:rPr>
        <w:t>,</w:t>
      </w:r>
    </w:p>
    <w:p w14:paraId="4FB95767" w14:textId="36C8C137" w:rsidR="00D50E7D" w:rsidRPr="00833C88" w:rsidRDefault="00D50E7D">
      <w:pPr>
        <w:pStyle w:val="Akapitzlist"/>
        <w:numPr>
          <w:ilvl w:val="0"/>
          <w:numId w:val="30"/>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 xml:space="preserve">zakresie wydobywania węgla kamiennego na podstawie koncesji,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22 ust. 1 ustawy </w:t>
      </w:r>
      <w:r w:rsidR="00601933" w:rsidRPr="00833C88">
        <w:rPr>
          <w:rFonts w:cs="Times New Roman"/>
          <w:sz w:val="24"/>
          <w:szCs w:val="24"/>
        </w:rPr>
        <w:t>z </w:t>
      </w:r>
      <w:r w:rsidRPr="00833C88">
        <w:rPr>
          <w:rFonts w:cs="Times New Roman"/>
          <w:sz w:val="24"/>
          <w:szCs w:val="24"/>
        </w:rPr>
        <w:t xml:space="preserve">dnia 9 czerwca 2011 r. – Prawo geologiczne </w:t>
      </w:r>
      <w:r w:rsidR="00601933" w:rsidRPr="00833C88">
        <w:rPr>
          <w:rFonts w:cs="Times New Roman"/>
          <w:sz w:val="24"/>
          <w:szCs w:val="24"/>
        </w:rPr>
        <w:t>i </w:t>
      </w:r>
      <w:r w:rsidRPr="00833C88">
        <w:rPr>
          <w:rFonts w:cs="Times New Roman"/>
          <w:sz w:val="24"/>
          <w:szCs w:val="24"/>
        </w:rPr>
        <w:t>górnicze</w:t>
      </w:r>
      <w:r w:rsidR="0076020B" w:rsidRPr="00833C88">
        <w:rPr>
          <w:rFonts w:cs="Times New Roman"/>
          <w:sz w:val="24"/>
          <w:szCs w:val="24"/>
        </w:rPr>
        <w:t>,</w:t>
      </w:r>
    </w:p>
    <w:p w14:paraId="2D253654" w14:textId="36DA8019" w:rsidR="008146BA" w:rsidRPr="00833C88" w:rsidRDefault="00D50E7D">
      <w:pPr>
        <w:pStyle w:val="Akapitzlist"/>
        <w:numPr>
          <w:ilvl w:val="0"/>
          <w:numId w:val="30"/>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 xml:space="preserve">zakresie wydobywania pozostałych kopalin na podstawie koncesji,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22 ust. 1 ustawy </w:t>
      </w:r>
      <w:r w:rsidR="00601933" w:rsidRPr="00833C88">
        <w:rPr>
          <w:rFonts w:cs="Times New Roman"/>
          <w:sz w:val="24"/>
          <w:szCs w:val="24"/>
        </w:rPr>
        <w:t>z </w:t>
      </w:r>
      <w:r w:rsidRPr="00833C88">
        <w:rPr>
          <w:rFonts w:cs="Times New Roman"/>
          <w:sz w:val="24"/>
          <w:szCs w:val="24"/>
        </w:rPr>
        <w:t xml:space="preserve">dnia 9 czerwca 2011 r. – Prawo geologiczne </w:t>
      </w:r>
      <w:r w:rsidR="00601933" w:rsidRPr="00833C88">
        <w:rPr>
          <w:rFonts w:cs="Times New Roman"/>
          <w:sz w:val="24"/>
          <w:szCs w:val="24"/>
        </w:rPr>
        <w:t>i </w:t>
      </w:r>
      <w:r w:rsidRPr="00833C88">
        <w:rPr>
          <w:rFonts w:cs="Times New Roman"/>
          <w:sz w:val="24"/>
          <w:szCs w:val="24"/>
        </w:rPr>
        <w:t>górnicze.</w:t>
      </w:r>
    </w:p>
    <w:p w14:paraId="07E2A545" w14:textId="5C2C7386" w:rsidR="00910AF8" w:rsidRPr="00833C88" w:rsidRDefault="00910AF8" w:rsidP="009724B4">
      <w:pPr>
        <w:spacing w:line="360" w:lineRule="auto"/>
        <w:ind w:left="360"/>
        <w:jc w:val="both"/>
        <w:rPr>
          <w:rFonts w:cs="Times New Roman"/>
          <w:sz w:val="24"/>
          <w:szCs w:val="24"/>
        </w:rPr>
      </w:pPr>
      <w:r w:rsidRPr="00833C88">
        <w:rPr>
          <w:rFonts w:cs="Times New Roman"/>
          <w:sz w:val="24"/>
          <w:szCs w:val="24"/>
        </w:rPr>
        <w:t xml:space="preserve">Podsektor </w:t>
      </w:r>
      <w:r w:rsidR="00125B39" w:rsidRPr="00833C88">
        <w:rPr>
          <w:rFonts w:cs="Times New Roman"/>
          <w:sz w:val="24"/>
          <w:szCs w:val="24"/>
        </w:rPr>
        <w:t>w</w:t>
      </w:r>
      <w:r w:rsidR="007A7F9F" w:rsidRPr="00833C88">
        <w:rPr>
          <w:rFonts w:cs="Times New Roman"/>
          <w:sz w:val="24"/>
          <w:szCs w:val="24"/>
        </w:rPr>
        <w:t>ydobywanie kopalin</w:t>
      </w:r>
      <w:r w:rsidR="00AD674B" w:rsidRPr="00833C88">
        <w:rPr>
          <w:rFonts w:cs="Times New Roman"/>
          <w:sz w:val="24"/>
          <w:szCs w:val="24"/>
        </w:rPr>
        <w:t xml:space="preserve"> </w:t>
      </w:r>
      <w:r w:rsidR="00972E11" w:rsidRPr="00833C88">
        <w:rPr>
          <w:rFonts w:cs="Times New Roman"/>
          <w:sz w:val="24"/>
          <w:szCs w:val="24"/>
        </w:rPr>
        <w:t xml:space="preserve">występuje </w:t>
      </w:r>
      <w:r w:rsidR="00601933" w:rsidRPr="00833C88">
        <w:rPr>
          <w:rFonts w:cs="Times New Roman"/>
          <w:sz w:val="24"/>
          <w:szCs w:val="24"/>
        </w:rPr>
        <w:t>w </w:t>
      </w:r>
      <w:r w:rsidR="00972E11" w:rsidRPr="00833C88">
        <w:rPr>
          <w:rFonts w:cs="Times New Roman"/>
          <w:sz w:val="24"/>
          <w:szCs w:val="24"/>
        </w:rPr>
        <w:t xml:space="preserve">ustawie </w:t>
      </w:r>
      <w:r w:rsidR="00601933" w:rsidRPr="00833C88">
        <w:rPr>
          <w:rFonts w:cs="Times New Roman"/>
          <w:sz w:val="24"/>
          <w:szCs w:val="24"/>
        </w:rPr>
        <w:t>o </w:t>
      </w:r>
      <w:r w:rsidR="0061116F" w:rsidRPr="00833C88">
        <w:rPr>
          <w:rFonts w:cs="Times New Roman"/>
          <w:sz w:val="24"/>
          <w:szCs w:val="24"/>
        </w:rPr>
        <w:t>KSC</w:t>
      </w:r>
      <w:r w:rsidR="00972E11" w:rsidRPr="00833C88">
        <w:rPr>
          <w:rFonts w:cs="Times New Roman"/>
          <w:sz w:val="24"/>
          <w:szCs w:val="24"/>
        </w:rPr>
        <w:t xml:space="preserve"> od 2018 r.</w:t>
      </w:r>
      <w:r w:rsidR="00A36C3A" w:rsidRPr="00833C88">
        <w:rPr>
          <w:rFonts w:cs="Times New Roman"/>
          <w:sz w:val="24"/>
          <w:szCs w:val="24"/>
        </w:rPr>
        <w:t xml:space="preserve"> </w:t>
      </w:r>
      <w:r w:rsidR="00947D3D" w:rsidRPr="00833C88">
        <w:rPr>
          <w:rFonts w:cs="Times New Roman"/>
          <w:sz w:val="24"/>
          <w:szCs w:val="24"/>
        </w:rPr>
        <w:t>stąd został zachowany, co dopuszcza dyrektywa NIS 2.</w:t>
      </w:r>
    </w:p>
    <w:p w14:paraId="381619C0" w14:textId="3325D5E2" w:rsidR="00ED6812" w:rsidRPr="00833C88" w:rsidRDefault="00ED6812" w:rsidP="003857A4">
      <w:pPr>
        <w:spacing w:line="360" w:lineRule="auto"/>
        <w:jc w:val="both"/>
        <w:rPr>
          <w:rFonts w:cs="Times New Roman"/>
          <w:sz w:val="24"/>
          <w:szCs w:val="24"/>
        </w:rPr>
      </w:pPr>
      <w:r w:rsidRPr="00833C88">
        <w:rPr>
          <w:rFonts w:cs="Times New Roman"/>
          <w:sz w:val="24"/>
          <w:szCs w:val="24"/>
        </w:rPr>
        <w:t xml:space="preserve">Zaczynając od początku </w:t>
      </w:r>
      <w:r w:rsidR="003857A4" w:rsidRPr="00833C88">
        <w:rPr>
          <w:rFonts w:cs="Times New Roman"/>
          <w:sz w:val="24"/>
          <w:szCs w:val="24"/>
        </w:rPr>
        <w:t>–</w:t>
      </w:r>
      <w:r w:rsidRPr="00833C88">
        <w:rPr>
          <w:rFonts w:cs="Times New Roman"/>
          <w:sz w:val="24"/>
          <w:szCs w:val="24"/>
        </w:rPr>
        <w:t xml:space="preserve"> dyrektywa NIS z 2016 r. dopuszczała, aby </w:t>
      </w:r>
      <w:r w:rsidR="001926F6" w:rsidRPr="00833C88">
        <w:rPr>
          <w:rFonts w:cs="Times New Roman"/>
          <w:sz w:val="24"/>
          <w:szCs w:val="24"/>
        </w:rPr>
        <w:t>p</w:t>
      </w:r>
      <w:r w:rsidRPr="00833C88">
        <w:rPr>
          <w:rFonts w:cs="Times New Roman"/>
          <w:sz w:val="24"/>
          <w:szCs w:val="24"/>
        </w:rPr>
        <w:t xml:space="preserve">aństwa </w:t>
      </w:r>
      <w:r w:rsidR="001926F6" w:rsidRPr="00833C88">
        <w:rPr>
          <w:rFonts w:cs="Times New Roman"/>
          <w:sz w:val="24"/>
          <w:szCs w:val="24"/>
        </w:rPr>
        <w:t>c</w:t>
      </w:r>
      <w:r w:rsidRPr="00833C88">
        <w:rPr>
          <w:rFonts w:cs="Times New Roman"/>
          <w:sz w:val="24"/>
          <w:szCs w:val="24"/>
        </w:rPr>
        <w:t xml:space="preserve">złonkowskie </w:t>
      </w:r>
      <w:r w:rsidR="001926F6" w:rsidRPr="00833C88">
        <w:rPr>
          <w:rFonts w:cs="Times New Roman"/>
          <w:sz w:val="24"/>
          <w:szCs w:val="24"/>
        </w:rPr>
        <w:t xml:space="preserve">Unii Europejskiej </w:t>
      </w:r>
      <w:r w:rsidRPr="00833C88">
        <w:rPr>
          <w:rFonts w:cs="Times New Roman"/>
          <w:sz w:val="24"/>
          <w:szCs w:val="24"/>
        </w:rPr>
        <w:t xml:space="preserve">zidentyfikowały dodatkowe sektory i przedsiębiorców, którzy powinni być objęci wymaganiami cyberbezpieczeństwa. Wiele państw członkowskich </w:t>
      </w:r>
      <w:r w:rsidR="001926F6" w:rsidRPr="00833C88">
        <w:rPr>
          <w:rFonts w:cs="Times New Roman"/>
          <w:sz w:val="24"/>
          <w:szCs w:val="24"/>
        </w:rPr>
        <w:t xml:space="preserve">Unii Europejskiej </w:t>
      </w:r>
      <w:r w:rsidRPr="00833C88">
        <w:rPr>
          <w:rFonts w:cs="Times New Roman"/>
          <w:sz w:val="24"/>
          <w:szCs w:val="24"/>
        </w:rPr>
        <w:t>skorzystało z tej możliwości, o czym wspomina sam OSR do projektu dyrektywy NIS2</w:t>
      </w:r>
      <w:r w:rsidRPr="00833C88">
        <w:rPr>
          <w:rStyle w:val="Odwoanieprzypisudolnego"/>
          <w:rFonts w:cs="Times New Roman"/>
          <w:sz w:val="24"/>
          <w:szCs w:val="24"/>
        </w:rPr>
        <w:footnoteReference w:id="94"/>
      </w:r>
      <w:r w:rsidR="003857A4" w:rsidRPr="00833C88">
        <w:rPr>
          <w:rFonts w:cs="Times New Roman"/>
          <w:sz w:val="24"/>
          <w:szCs w:val="24"/>
          <w:vertAlign w:val="superscript"/>
        </w:rPr>
        <w:t>)</w:t>
      </w:r>
      <w:r w:rsidRPr="00833C88">
        <w:rPr>
          <w:rFonts w:cs="Times New Roman"/>
          <w:sz w:val="24"/>
          <w:szCs w:val="24"/>
        </w:rPr>
        <w:t>.</w:t>
      </w:r>
    </w:p>
    <w:p w14:paraId="42E6A9B9" w14:textId="6640D837" w:rsidR="00ED6812" w:rsidRPr="00833C88" w:rsidRDefault="00ED6812" w:rsidP="003857A4">
      <w:pPr>
        <w:spacing w:line="360" w:lineRule="auto"/>
        <w:jc w:val="both"/>
        <w:rPr>
          <w:rFonts w:cs="Times New Roman"/>
          <w:sz w:val="24"/>
          <w:szCs w:val="24"/>
        </w:rPr>
      </w:pPr>
      <w:r w:rsidRPr="00833C88">
        <w:rPr>
          <w:rFonts w:cs="Times New Roman"/>
          <w:sz w:val="24"/>
          <w:szCs w:val="24"/>
        </w:rPr>
        <w:t xml:space="preserve">Dyrektywa NIS 2 dopuszcza, aby </w:t>
      </w:r>
      <w:r w:rsidR="00A961D1" w:rsidRPr="00833C88">
        <w:rPr>
          <w:rFonts w:cs="Times New Roman"/>
          <w:sz w:val="24"/>
          <w:szCs w:val="24"/>
        </w:rPr>
        <w:t>p</w:t>
      </w:r>
      <w:r w:rsidRPr="00833C88">
        <w:rPr>
          <w:rFonts w:cs="Times New Roman"/>
          <w:sz w:val="24"/>
          <w:szCs w:val="24"/>
        </w:rPr>
        <w:t>aństwa członkowskie</w:t>
      </w:r>
      <w:r w:rsidR="00A961D1" w:rsidRPr="00833C88">
        <w:rPr>
          <w:rFonts w:cs="Times New Roman"/>
          <w:sz w:val="24"/>
          <w:szCs w:val="24"/>
        </w:rPr>
        <w:t xml:space="preserve"> Unii Europejskiej</w:t>
      </w:r>
      <w:r w:rsidRPr="00833C88">
        <w:rPr>
          <w:rFonts w:cs="Times New Roman"/>
          <w:sz w:val="24"/>
          <w:szCs w:val="24"/>
        </w:rPr>
        <w:t xml:space="preserve"> uznały za podmioty kluczowe dotychczas wyznaczonych operatorów usług kluczowych. Wynika to wprost z motywu 17 dyrektywy oraz art. 3 ust. 1 lit. g dyrektywy.</w:t>
      </w:r>
    </w:p>
    <w:p w14:paraId="260A0948" w14:textId="4AD21CEB" w:rsidR="00ED6812" w:rsidRPr="00833C88" w:rsidRDefault="00ED6812" w:rsidP="00A961D1">
      <w:pPr>
        <w:spacing w:line="360" w:lineRule="auto"/>
        <w:jc w:val="both"/>
        <w:rPr>
          <w:rFonts w:cs="Times New Roman"/>
          <w:sz w:val="24"/>
          <w:szCs w:val="24"/>
        </w:rPr>
      </w:pPr>
      <w:r w:rsidRPr="00833C88">
        <w:rPr>
          <w:rFonts w:cs="Times New Roman"/>
          <w:sz w:val="24"/>
          <w:szCs w:val="24"/>
        </w:rPr>
        <w:lastRenderedPageBreak/>
        <w:t>Co istotne angielska treść motywu posługuje się sformułowaniem “</w:t>
      </w:r>
      <w:proofErr w:type="spellStart"/>
      <w:r w:rsidRPr="00833C88">
        <w:rPr>
          <w:rFonts w:cs="Times New Roman"/>
          <w:i/>
          <w:iCs/>
          <w:sz w:val="24"/>
          <w:szCs w:val="24"/>
        </w:rPr>
        <w:t>Member</w:t>
      </w:r>
      <w:proofErr w:type="spellEnd"/>
      <w:r w:rsidRPr="00833C88">
        <w:rPr>
          <w:rFonts w:cs="Times New Roman"/>
          <w:i/>
          <w:iCs/>
          <w:sz w:val="24"/>
          <w:szCs w:val="24"/>
        </w:rPr>
        <w:t xml:space="preserve"> </w:t>
      </w:r>
      <w:proofErr w:type="spellStart"/>
      <w:r w:rsidRPr="00833C88">
        <w:rPr>
          <w:rFonts w:cs="Times New Roman"/>
          <w:i/>
          <w:iCs/>
          <w:sz w:val="24"/>
          <w:szCs w:val="24"/>
        </w:rPr>
        <w:t>States</w:t>
      </w:r>
      <w:proofErr w:type="spellEnd"/>
      <w:r w:rsidRPr="00833C88">
        <w:rPr>
          <w:rFonts w:cs="Times New Roman"/>
          <w:i/>
          <w:iCs/>
          <w:sz w:val="24"/>
          <w:szCs w:val="24"/>
        </w:rPr>
        <w:t xml:space="preserve"> </w:t>
      </w:r>
      <w:proofErr w:type="spellStart"/>
      <w:r w:rsidRPr="00833C88">
        <w:rPr>
          <w:rFonts w:cs="Times New Roman"/>
          <w:i/>
          <w:iCs/>
          <w:sz w:val="24"/>
          <w:szCs w:val="24"/>
        </w:rPr>
        <w:t>should</w:t>
      </w:r>
      <w:proofErr w:type="spellEnd"/>
      <w:r w:rsidRPr="00833C88">
        <w:rPr>
          <w:rFonts w:cs="Times New Roman"/>
          <w:i/>
          <w:iCs/>
          <w:sz w:val="24"/>
          <w:szCs w:val="24"/>
        </w:rPr>
        <w:t xml:space="preserve"> be </w:t>
      </w:r>
      <w:proofErr w:type="spellStart"/>
      <w:r w:rsidRPr="00833C88">
        <w:rPr>
          <w:rFonts w:cs="Times New Roman"/>
          <w:i/>
          <w:iCs/>
          <w:sz w:val="24"/>
          <w:szCs w:val="24"/>
        </w:rPr>
        <w:t>able</w:t>
      </w:r>
      <w:proofErr w:type="spellEnd"/>
      <w:r w:rsidRPr="00833C88">
        <w:rPr>
          <w:rFonts w:cs="Times New Roman"/>
          <w:i/>
          <w:iCs/>
          <w:sz w:val="24"/>
          <w:szCs w:val="24"/>
        </w:rPr>
        <w:t xml:space="preserve"> to” </w:t>
      </w:r>
      <w:r w:rsidRPr="00833C88">
        <w:rPr>
          <w:rFonts w:cs="Times New Roman"/>
          <w:sz w:val="24"/>
          <w:szCs w:val="24"/>
        </w:rPr>
        <w:t>co wyraźnie wskazuje na to, że dyrektywa wyraźnie dopuszcza to uprawnienie.</w:t>
      </w:r>
    </w:p>
    <w:p w14:paraId="6A12D849" w14:textId="79AC345B" w:rsidR="00ED6812" w:rsidRPr="00833C88" w:rsidRDefault="00ED6812" w:rsidP="00A961D1">
      <w:pPr>
        <w:spacing w:line="360" w:lineRule="auto"/>
        <w:jc w:val="both"/>
        <w:rPr>
          <w:rFonts w:cs="Times New Roman"/>
          <w:sz w:val="24"/>
          <w:szCs w:val="24"/>
        </w:rPr>
      </w:pPr>
      <w:r w:rsidRPr="00833C88">
        <w:rPr>
          <w:rFonts w:cs="Times New Roman"/>
          <w:sz w:val="24"/>
          <w:szCs w:val="24"/>
        </w:rPr>
        <w:t xml:space="preserve">Polska wskazała w 2018 r. jako dodatkowy podsektor </w:t>
      </w:r>
      <w:r w:rsidR="00A961D1" w:rsidRPr="00833C88">
        <w:rPr>
          <w:rFonts w:cs="Times New Roman"/>
          <w:sz w:val="24"/>
          <w:szCs w:val="24"/>
        </w:rPr>
        <w:t>„</w:t>
      </w:r>
      <w:r w:rsidRPr="00833C88">
        <w:rPr>
          <w:rFonts w:cs="Times New Roman"/>
          <w:sz w:val="24"/>
          <w:szCs w:val="24"/>
        </w:rPr>
        <w:t>wydobywanie kopalin”. Podsektor ten obejmuje podmioty prowadzące działalność gospodarczą w zakresie wydobywania ropy naftowej, węgla kamiennego, węgla brunatnego i pozostałych kopalin na podstawie koncesji, o której mowa w art. 22 ust. 1 ustawy z dnia 9 czerwca 2011 r. – Prawo geologiczne i górnicze.</w:t>
      </w:r>
    </w:p>
    <w:p w14:paraId="70004D25" w14:textId="4A2A889E" w:rsidR="00ED6812" w:rsidRPr="00833C88" w:rsidRDefault="00ED6812" w:rsidP="00A961D1">
      <w:pPr>
        <w:spacing w:line="360" w:lineRule="auto"/>
        <w:jc w:val="both"/>
        <w:rPr>
          <w:rFonts w:cs="Times New Roman"/>
          <w:sz w:val="24"/>
          <w:szCs w:val="24"/>
        </w:rPr>
      </w:pPr>
      <w:r w:rsidRPr="00833C88">
        <w:rPr>
          <w:rFonts w:cs="Times New Roman"/>
          <w:sz w:val="24"/>
          <w:szCs w:val="24"/>
        </w:rPr>
        <w:t>Warto odnieść się do danych statystycznych. Rocznik Statystyczny Przemysłu 2024</w:t>
      </w:r>
      <w:r w:rsidRPr="00833C88">
        <w:rPr>
          <w:rStyle w:val="Odwoanieprzypisudolnego"/>
          <w:rFonts w:cs="Times New Roman"/>
          <w:sz w:val="24"/>
          <w:szCs w:val="24"/>
        </w:rPr>
        <w:footnoteReference w:id="95"/>
      </w:r>
      <w:r w:rsidR="00A961D1" w:rsidRPr="00833C88">
        <w:rPr>
          <w:rFonts w:cs="Times New Roman"/>
          <w:sz w:val="24"/>
          <w:szCs w:val="24"/>
          <w:vertAlign w:val="superscript"/>
        </w:rPr>
        <w:t>)</w:t>
      </w:r>
      <w:r w:rsidRPr="00833C88">
        <w:rPr>
          <w:rFonts w:cs="Times New Roman"/>
          <w:sz w:val="24"/>
          <w:szCs w:val="24"/>
        </w:rPr>
        <w:t xml:space="preserve"> podaje dane o zużyciu energii pierwotnej i pochodnej w przemyśle. W 2023 r. przetwórstwo przemysłowe odpowiadało za zużycie 57,9% energii w Polsce a</w:t>
      </w:r>
      <w:r w:rsidR="005A35B0" w:rsidRPr="00833C88">
        <w:rPr>
          <w:rFonts w:cs="Times New Roman"/>
          <w:sz w:val="24"/>
          <w:szCs w:val="24"/>
        </w:rPr>
        <w:t xml:space="preserve"> </w:t>
      </w:r>
      <w:r w:rsidRPr="00833C88">
        <w:rPr>
          <w:rFonts w:cs="Times New Roman"/>
          <w:sz w:val="24"/>
          <w:szCs w:val="24"/>
        </w:rPr>
        <w:t xml:space="preserve">przedsiębiorstwa energetyczne za kolejne 40,1%. Pokazuje to, jak istotne jest zapewnienie ciągłości łańcucha dostaw kopalin dla polskiego przemysłu. Incydenty cyberbezpieczeństwa w sektorze wydobywczym mogą zaburzyć dostawy kopalin dla polskiego przemysłu i unieruchomić inne przedsiębiorstwa. Stąd też zasadne jest utrzymanie tego podsektora w ramach krajowego systemu </w:t>
      </w:r>
      <w:proofErr w:type="gramStart"/>
      <w:r w:rsidRPr="00833C88">
        <w:rPr>
          <w:rFonts w:cs="Times New Roman"/>
          <w:sz w:val="24"/>
          <w:szCs w:val="24"/>
        </w:rPr>
        <w:t>cyberbezpieczeństwa</w:t>
      </w:r>
      <w:proofErr w:type="gramEnd"/>
      <w:r w:rsidRPr="00833C88">
        <w:rPr>
          <w:rFonts w:cs="Times New Roman"/>
          <w:sz w:val="24"/>
          <w:szCs w:val="24"/>
        </w:rPr>
        <w:t xml:space="preserve"> aby przedsiębiorstwa wydobywcze po pierwsze zapewniały własne cyberbezpieczeństwo a</w:t>
      </w:r>
      <w:r w:rsidR="00A961D1" w:rsidRPr="00833C88">
        <w:rPr>
          <w:rFonts w:cs="Times New Roman"/>
          <w:sz w:val="24"/>
          <w:szCs w:val="24"/>
        </w:rPr>
        <w:t xml:space="preserve"> </w:t>
      </w:r>
      <w:r w:rsidRPr="00833C88">
        <w:rPr>
          <w:rFonts w:cs="Times New Roman"/>
          <w:sz w:val="24"/>
          <w:szCs w:val="24"/>
        </w:rPr>
        <w:t>po drugie w przypadku incydentu poważnego, który uniemożliwia wydobywanie kopalin mogły uzyskać pomoc od zespołów CSIRT.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6"/>
        <w:gridCol w:w="233"/>
        <w:gridCol w:w="719"/>
        <w:gridCol w:w="1156"/>
        <w:gridCol w:w="1124"/>
        <w:gridCol w:w="1193"/>
        <w:gridCol w:w="1225"/>
      </w:tblGrid>
      <w:tr w:rsidR="00ED6812" w:rsidRPr="00833C88" w14:paraId="4D462383" w14:textId="77777777" w:rsidTr="002657FB">
        <w:trPr>
          <w:trHeight w:val="362"/>
        </w:trPr>
        <w:tc>
          <w:tcPr>
            <w:tcW w:w="9016" w:type="dxa"/>
            <w:gridSpan w:val="7"/>
            <w:noWrap/>
            <w:vAlign w:val="bottom"/>
            <w:hideMark/>
          </w:tcPr>
          <w:p w14:paraId="569C8278" w14:textId="77777777" w:rsidR="00ED6812" w:rsidRPr="00833C88" w:rsidRDefault="00ED6812" w:rsidP="000F7D32">
            <w:pPr>
              <w:spacing w:after="0"/>
              <w:rPr>
                <w:rFonts w:eastAsia="Times New Roman" w:cs="Times New Roman"/>
                <w:sz w:val="18"/>
                <w:szCs w:val="18"/>
                <w:lang w:eastAsia="pl-PL"/>
              </w:rPr>
            </w:pPr>
            <w:bookmarkStart w:id="2" w:name="RANGE!A1"/>
            <w:r w:rsidRPr="00833C88">
              <w:rPr>
                <w:rFonts w:eastAsia="Times New Roman" w:cs="Times New Roman"/>
                <w:sz w:val="18"/>
                <w:szCs w:val="18"/>
                <w:lang w:eastAsia="pl-PL"/>
              </w:rPr>
              <w:t>TABL. 15 (129).</w:t>
            </w:r>
            <w:r w:rsidRPr="00833C88">
              <w:rPr>
                <w:rFonts w:eastAsia="Times New Roman" w:cs="Times New Roman"/>
                <w:b/>
                <w:bCs/>
                <w:sz w:val="18"/>
                <w:szCs w:val="18"/>
                <w:lang w:eastAsia="pl-PL"/>
              </w:rPr>
              <w:t xml:space="preserve"> ZUŻYCIE ENERGII PIERWOTNEJ I POCHODNEJ W PRZEMYŚLE WEDŁUG SEKCJI</w:t>
            </w:r>
            <w:bookmarkEnd w:id="2"/>
          </w:p>
        </w:tc>
      </w:tr>
      <w:tr w:rsidR="00ED6812" w:rsidRPr="006E7278" w14:paraId="5BC378B9" w14:textId="77777777" w:rsidTr="002657FB">
        <w:trPr>
          <w:trHeight w:val="362"/>
        </w:trPr>
        <w:tc>
          <w:tcPr>
            <w:tcW w:w="9016" w:type="dxa"/>
            <w:gridSpan w:val="7"/>
            <w:noWrap/>
            <w:vAlign w:val="bottom"/>
            <w:hideMark/>
          </w:tcPr>
          <w:p w14:paraId="16CD4457" w14:textId="13BB0860" w:rsidR="00ED6812" w:rsidRPr="00833C88" w:rsidRDefault="00ED6812" w:rsidP="000F7D32">
            <w:pPr>
              <w:spacing w:after="0"/>
              <w:ind w:firstLineChars="700" w:firstLine="1265"/>
              <w:rPr>
                <w:rFonts w:eastAsia="Times New Roman" w:cs="Times New Roman"/>
                <w:b/>
                <w:bCs/>
                <w:color w:val="595959"/>
                <w:sz w:val="18"/>
                <w:szCs w:val="18"/>
                <w:lang w:val="en-GB" w:eastAsia="pl-PL"/>
              </w:rPr>
            </w:pPr>
            <w:r w:rsidRPr="00833C88">
              <w:rPr>
                <w:rFonts w:eastAsia="Times New Roman" w:cs="Times New Roman"/>
                <w:b/>
                <w:bCs/>
                <w:color w:val="595959"/>
                <w:sz w:val="18"/>
                <w:szCs w:val="18"/>
                <w:lang w:eastAsia="pl-PL"/>
              </w:rPr>
              <w:t xml:space="preserve"> </w:t>
            </w:r>
            <w:r w:rsidRPr="00833C88">
              <w:rPr>
                <w:rFonts w:eastAsia="Times New Roman" w:cs="Times New Roman"/>
                <w:b/>
                <w:bCs/>
                <w:color w:val="595959"/>
                <w:sz w:val="18"/>
                <w:szCs w:val="18"/>
                <w:lang w:val="en-GB" w:eastAsia="pl-PL"/>
              </w:rPr>
              <w:t>CONSUMPTION OF PRIMARY AND DERIVED ENERGY IN INDUSTRY BY SECTIONS</w:t>
            </w:r>
          </w:p>
        </w:tc>
      </w:tr>
      <w:tr w:rsidR="00ED6812" w:rsidRPr="006E7278" w14:paraId="525BD6CE" w14:textId="77777777" w:rsidTr="002657FB">
        <w:trPr>
          <w:trHeight w:val="136"/>
        </w:trPr>
        <w:tc>
          <w:tcPr>
            <w:tcW w:w="3366" w:type="dxa"/>
            <w:noWrap/>
            <w:vAlign w:val="bottom"/>
            <w:hideMark/>
          </w:tcPr>
          <w:p w14:paraId="74FB371B" w14:textId="77777777" w:rsidR="00ED6812" w:rsidRPr="00833C88" w:rsidRDefault="00ED6812" w:rsidP="000F7D32">
            <w:pPr>
              <w:spacing w:after="0"/>
              <w:rPr>
                <w:rFonts w:eastAsia="Times New Roman" w:cs="Times New Roman"/>
                <w:sz w:val="18"/>
                <w:szCs w:val="18"/>
                <w:lang w:val="en-GB" w:eastAsia="pl-PL"/>
              </w:rPr>
            </w:pPr>
          </w:p>
        </w:tc>
        <w:tc>
          <w:tcPr>
            <w:tcW w:w="233" w:type="dxa"/>
            <w:noWrap/>
            <w:vAlign w:val="bottom"/>
            <w:hideMark/>
          </w:tcPr>
          <w:p w14:paraId="647E0835" w14:textId="77777777" w:rsidR="00ED6812" w:rsidRPr="00833C88" w:rsidRDefault="00ED6812" w:rsidP="000F7D32">
            <w:pPr>
              <w:spacing w:after="0"/>
              <w:rPr>
                <w:rFonts w:eastAsia="Times New Roman" w:cs="Times New Roman"/>
                <w:sz w:val="18"/>
                <w:szCs w:val="18"/>
                <w:lang w:val="en-GB" w:eastAsia="pl-PL"/>
              </w:rPr>
            </w:pPr>
          </w:p>
        </w:tc>
        <w:tc>
          <w:tcPr>
            <w:tcW w:w="719" w:type="dxa"/>
            <w:noWrap/>
            <w:vAlign w:val="bottom"/>
            <w:hideMark/>
          </w:tcPr>
          <w:p w14:paraId="520DCDC4" w14:textId="77777777" w:rsidR="00ED6812" w:rsidRPr="00833C88" w:rsidRDefault="00ED6812" w:rsidP="000F7D32">
            <w:pPr>
              <w:spacing w:after="0"/>
              <w:rPr>
                <w:rFonts w:eastAsia="Times New Roman" w:cs="Times New Roman"/>
                <w:sz w:val="18"/>
                <w:szCs w:val="18"/>
                <w:lang w:val="en-GB" w:eastAsia="pl-PL"/>
              </w:rPr>
            </w:pPr>
          </w:p>
        </w:tc>
        <w:tc>
          <w:tcPr>
            <w:tcW w:w="1156" w:type="dxa"/>
            <w:noWrap/>
            <w:vAlign w:val="bottom"/>
            <w:hideMark/>
          </w:tcPr>
          <w:p w14:paraId="769BC359" w14:textId="77777777" w:rsidR="00ED6812" w:rsidRPr="00833C88" w:rsidRDefault="00ED6812" w:rsidP="000F7D32">
            <w:pPr>
              <w:spacing w:after="0"/>
              <w:rPr>
                <w:rFonts w:eastAsia="Times New Roman" w:cs="Times New Roman"/>
                <w:sz w:val="18"/>
                <w:szCs w:val="18"/>
                <w:lang w:val="en-GB" w:eastAsia="pl-PL"/>
              </w:rPr>
            </w:pPr>
          </w:p>
        </w:tc>
        <w:tc>
          <w:tcPr>
            <w:tcW w:w="1124" w:type="dxa"/>
            <w:noWrap/>
            <w:vAlign w:val="bottom"/>
            <w:hideMark/>
          </w:tcPr>
          <w:p w14:paraId="50A223CB" w14:textId="77777777" w:rsidR="00ED6812" w:rsidRPr="00833C88" w:rsidRDefault="00ED6812" w:rsidP="000F7D32">
            <w:pPr>
              <w:spacing w:after="0"/>
              <w:rPr>
                <w:rFonts w:eastAsia="Times New Roman" w:cs="Times New Roman"/>
                <w:sz w:val="18"/>
                <w:szCs w:val="18"/>
                <w:lang w:val="en-GB" w:eastAsia="pl-PL"/>
              </w:rPr>
            </w:pPr>
          </w:p>
        </w:tc>
        <w:tc>
          <w:tcPr>
            <w:tcW w:w="1193" w:type="dxa"/>
            <w:noWrap/>
            <w:vAlign w:val="bottom"/>
            <w:hideMark/>
          </w:tcPr>
          <w:p w14:paraId="77440353" w14:textId="77777777" w:rsidR="00ED6812" w:rsidRPr="00833C88" w:rsidRDefault="00ED6812" w:rsidP="000F7D32">
            <w:pPr>
              <w:spacing w:after="0"/>
              <w:rPr>
                <w:rFonts w:eastAsia="Times New Roman" w:cs="Times New Roman"/>
                <w:sz w:val="18"/>
                <w:szCs w:val="18"/>
                <w:lang w:val="en-GB" w:eastAsia="pl-PL"/>
              </w:rPr>
            </w:pPr>
          </w:p>
        </w:tc>
        <w:tc>
          <w:tcPr>
            <w:tcW w:w="1225" w:type="dxa"/>
            <w:noWrap/>
            <w:vAlign w:val="bottom"/>
            <w:hideMark/>
          </w:tcPr>
          <w:p w14:paraId="07408C87" w14:textId="77777777" w:rsidR="00ED6812" w:rsidRPr="00833C88" w:rsidRDefault="00ED6812" w:rsidP="000F7D32">
            <w:pPr>
              <w:spacing w:after="0"/>
              <w:rPr>
                <w:rFonts w:eastAsia="Times New Roman" w:cs="Times New Roman"/>
                <w:sz w:val="18"/>
                <w:szCs w:val="18"/>
                <w:lang w:val="en-GB" w:eastAsia="pl-PL"/>
              </w:rPr>
            </w:pPr>
          </w:p>
        </w:tc>
      </w:tr>
      <w:tr w:rsidR="00ED6812" w:rsidRPr="00833C88" w14:paraId="02C8069A" w14:textId="77777777" w:rsidTr="002657FB">
        <w:trPr>
          <w:trHeight w:val="2238"/>
        </w:trPr>
        <w:tc>
          <w:tcPr>
            <w:tcW w:w="3599" w:type="dxa"/>
            <w:gridSpan w:val="2"/>
            <w:vAlign w:val="center"/>
            <w:hideMark/>
          </w:tcPr>
          <w:p w14:paraId="284C8CC8" w14:textId="77777777" w:rsidR="00ED6812" w:rsidRPr="00833C88" w:rsidRDefault="00ED6812" w:rsidP="000F7D32">
            <w:pPr>
              <w:spacing w:after="0"/>
              <w:jc w:val="center"/>
              <w:rPr>
                <w:rFonts w:eastAsia="Times New Roman" w:cs="Times New Roman"/>
                <w:sz w:val="18"/>
                <w:szCs w:val="18"/>
                <w:lang w:eastAsia="pl-PL"/>
              </w:rPr>
            </w:pPr>
            <w:r w:rsidRPr="00833C88">
              <w:rPr>
                <w:rFonts w:eastAsia="Times New Roman" w:cs="Times New Roman"/>
                <w:sz w:val="18"/>
                <w:szCs w:val="18"/>
                <w:lang w:eastAsia="pl-PL"/>
              </w:rPr>
              <w:t>WYSZCZEGÓLNIENIE</w:t>
            </w:r>
            <w:r w:rsidRPr="00833C88">
              <w:rPr>
                <w:rFonts w:eastAsia="Times New Roman" w:cs="Times New Roman"/>
                <w:sz w:val="18"/>
                <w:szCs w:val="18"/>
                <w:lang w:eastAsia="pl-PL"/>
              </w:rPr>
              <w:br/>
            </w:r>
            <w:r w:rsidRPr="00833C88">
              <w:rPr>
                <w:rFonts w:eastAsia="Times New Roman" w:cs="Times New Roman"/>
                <w:color w:val="595959"/>
                <w:sz w:val="18"/>
                <w:szCs w:val="18"/>
                <w:lang w:eastAsia="pl-PL"/>
              </w:rPr>
              <w:t>SPECIFICATION</w:t>
            </w:r>
            <w:r w:rsidRPr="00833C88">
              <w:rPr>
                <w:rFonts w:eastAsia="Times New Roman" w:cs="Times New Roman"/>
                <w:sz w:val="18"/>
                <w:szCs w:val="18"/>
                <w:lang w:eastAsia="pl-PL"/>
              </w:rPr>
              <w:br/>
              <w:t>a - 2022 r.</w:t>
            </w:r>
            <w:r w:rsidRPr="00833C88">
              <w:rPr>
                <w:rFonts w:eastAsia="Times New Roman" w:cs="Times New Roman"/>
                <w:sz w:val="18"/>
                <w:szCs w:val="18"/>
                <w:vertAlign w:val="superscript"/>
                <w:lang w:eastAsia="pl-PL"/>
              </w:rPr>
              <w:t>.</w:t>
            </w:r>
            <w:r w:rsidRPr="00833C88">
              <w:rPr>
                <w:rFonts w:eastAsia="Times New Roman" w:cs="Times New Roman"/>
                <w:sz w:val="18"/>
                <w:szCs w:val="18"/>
                <w:lang w:eastAsia="pl-PL"/>
              </w:rPr>
              <w:br/>
              <w:t>b - 2023 r.</w:t>
            </w:r>
          </w:p>
        </w:tc>
        <w:tc>
          <w:tcPr>
            <w:tcW w:w="719" w:type="dxa"/>
            <w:vAlign w:val="center"/>
            <w:hideMark/>
          </w:tcPr>
          <w:p w14:paraId="1BC1965F" w14:textId="77777777" w:rsidR="00ED6812" w:rsidRPr="00833C88" w:rsidRDefault="00ED6812" w:rsidP="000F7D32">
            <w:pPr>
              <w:spacing w:after="0"/>
              <w:jc w:val="center"/>
              <w:rPr>
                <w:rFonts w:eastAsia="Times New Roman" w:cs="Times New Roman"/>
                <w:sz w:val="18"/>
                <w:szCs w:val="18"/>
                <w:lang w:eastAsia="pl-PL"/>
              </w:rPr>
            </w:pPr>
            <w:r w:rsidRPr="00833C88">
              <w:rPr>
                <w:rFonts w:eastAsia="Times New Roman" w:cs="Times New Roman"/>
                <w:sz w:val="18"/>
                <w:szCs w:val="18"/>
                <w:lang w:eastAsia="pl-PL"/>
              </w:rPr>
              <w:t>Ogółem</w:t>
            </w:r>
            <w:r w:rsidRPr="00833C88">
              <w:rPr>
                <w:rFonts w:eastAsia="Times New Roman" w:cs="Times New Roman"/>
                <w:sz w:val="18"/>
                <w:szCs w:val="18"/>
                <w:lang w:eastAsia="pl-PL"/>
              </w:rPr>
              <w:br/>
            </w:r>
            <w:r w:rsidRPr="00833C88">
              <w:rPr>
                <w:rFonts w:eastAsia="Times New Roman" w:cs="Times New Roman"/>
                <w:color w:val="595959"/>
                <w:sz w:val="18"/>
                <w:szCs w:val="18"/>
                <w:lang w:eastAsia="pl-PL"/>
              </w:rPr>
              <w:t>Total</w:t>
            </w:r>
          </w:p>
        </w:tc>
        <w:tc>
          <w:tcPr>
            <w:tcW w:w="1156" w:type="dxa"/>
            <w:vAlign w:val="center"/>
            <w:hideMark/>
          </w:tcPr>
          <w:p w14:paraId="6CB27973" w14:textId="77777777" w:rsidR="00ED6812" w:rsidRPr="00833C88" w:rsidRDefault="00ED6812" w:rsidP="000F7D32">
            <w:pPr>
              <w:spacing w:after="0"/>
              <w:jc w:val="center"/>
              <w:rPr>
                <w:rFonts w:eastAsia="Times New Roman" w:cs="Times New Roman"/>
                <w:sz w:val="18"/>
                <w:szCs w:val="18"/>
                <w:lang w:eastAsia="pl-PL"/>
              </w:rPr>
            </w:pPr>
            <w:r w:rsidRPr="00833C88">
              <w:rPr>
                <w:rFonts w:eastAsia="Times New Roman" w:cs="Times New Roman"/>
                <w:sz w:val="18"/>
                <w:szCs w:val="18"/>
                <w:lang w:eastAsia="pl-PL"/>
              </w:rPr>
              <w:t>Górnictwo i wydobywanie</w:t>
            </w:r>
            <w:r w:rsidRPr="00833C88">
              <w:rPr>
                <w:rFonts w:eastAsia="Times New Roman" w:cs="Times New Roman"/>
                <w:sz w:val="18"/>
                <w:szCs w:val="18"/>
                <w:lang w:eastAsia="pl-PL"/>
              </w:rPr>
              <w:br/>
            </w:r>
            <w:proofErr w:type="spellStart"/>
            <w:r w:rsidRPr="00833C88">
              <w:rPr>
                <w:rFonts w:eastAsia="Times New Roman" w:cs="Times New Roman"/>
                <w:color w:val="595959"/>
                <w:sz w:val="18"/>
                <w:szCs w:val="18"/>
                <w:lang w:eastAsia="pl-PL"/>
              </w:rPr>
              <w:t>Mining</w:t>
            </w:r>
            <w:proofErr w:type="spellEnd"/>
            <w:r w:rsidRPr="00833C88">
              <w:rPr>
                <w:rFonts w:eastAsia="Times New Roman" w:cs="Times New Roman"/>
                <w:color w:val="595959"/>
                <w:sz w:val="18"/>
                <w:szCs w:val="18"/>
                <w:lang w:eastAsia="pl-PL"/>
              </w:rPr>
              <w:t xml:space="preserve"> and </w:t>
            </w:r>
            <w:proofErr w:type="spellStart"/>
            <w:r w:rsidRPr="00833C88">
              <w:rPr>
                <w:rFonts w:eastAsia="Times New Roman" w:cs="Times New Roman"/>
                <w:color w:val="595959"/>
                <w:sz w:val="18"/>
                <w:szCs w:val="18"/>
                <w:lang w:eastAsia="pl-PL"/>
              </w:rPr>
              <w:t>quarrying</w:t>
            </w:r>
            <w:proofErr w:type="spellEnd"/>
          </w:p>
        </w:tc>
        <w:tc>
          <w:tcPr>
            <w:tcW w:w="1124" w:type="dxa"/>
            <w:vAlign w:val="center"/>
            <w:hideMark/>
          </w:tcPr>
          <w:p w14:paraId="15EA20CC" w14:textId="77777777" w:rsidR="00ED6812" w:rsidRPr="00833C88" w:rsidRDefault="00ED6812" w:rsidP="000F7D32">
            <w:pPr>
              <w:spacing w:after="0"/>
              <w:jc w:val="center"/>
              <w:rPr>
                <w:rFonts w:eastAsia="Times New Roman" w:cs="Times New Roman"/>
                <w:sz w:val="18"/>
                <w:szCs w:val="18"/>
                <w:lang w:eastAsia="pl-PL"/>
              </w:rPr>
            </w:pPr>
            <w:r w:rsidRPr="00833C88">
              <w:rPr>
                <w:rFonts w:eastAsia="Times New Roman" w:cs="Times New Roman"/>
                <w:sz w:val="18"/>
                <w:szCs w:val="18"/>
                <w:lang w:eastAsia="pl-PL"/>
              </w:rPr>
              <w:t>Przetwórstwo przemysłowe</w:t>
            </w:r>
            <w:r w:rsidRPr="00833C88">
              <w:rPr>
                <w:rFonts w:eastAsia="Times New Roman" w:cs="Times New Roman"/>
                <w:sz w:val="18"/>
                <w:szCs w:val="18"/>
                <w:lang w:eastAsia="pl-PL"/>
              </w:rPr>
              <w:br/>
            </w:r>
            <w:r w:rsidRPr="00833C88">
              <w:rPr>
                <w:rFonts w:eastAsia="Times New Roman" w:cs="Times New Roman"/>
                <w:color w:val="595959"/>
                <w:sz w:val="18"/>
                <w:szCs w:val="18"/>
                <w:lang w:eastAsia="pl-PL"/>
              </w:rPr>
              <w:t>Manufacturing</w:t>
            </w:r>
          </w:p>
        </w:tc>
        <w:tc>
          <w:tcPr>
            <w:tcW w:w="1193" w:type="dxa"/>
            <w:vAlign w:val="center"/>
            <w:hideMark/>
          </w:tcPr>
          <w:p w14:paraId="51F8FADD" w14:textId="77777777" w:rsidR="00ED6812" w:rsidRPr="00833C88" w:rsidRDefault="00ED6812" w:rsidP="000F7D32">
            <w:pPr>
              <w:spacing w:after="0"/>
              <w:jc w:val="center"/>
              <w:rPr>
                <w:rFonts w:eastAsia="Times New Roman" w:cs="Times New Roman"/>
                <w:sz w:val="18"/>
                <w:szCs w:val="18"/>
                <w:lang w:eastAsia="pl-PL"/>
              </w:rPr>
            </w:pPr>
            <w:r w:rsidRPr="00833C88">
              <w:rPr>
                <w:rFonts w:eastAsia="Times New Roman" w:cs="Times New Roman"/>
                <w:sz w:val="18"/>
                <w:szCs w:val="18"/>
                <w:lang w:eastAsia="pl-PL"/>
              </w:rPr>
              <w:t>Wytwarzanie</w:t>
            </w:r>
            <w:r w:rsidRPr="00833C88">
              <w:rPr>
                <w:rFonts w:eastAsia="Times New Roman" w:cs="Times New Roman"/>
                <w:sz w:val="18"/>
                <w:szCs w:val="18"/>
                <w:lang w:eastAsia="pl-PL"/>
              </w:rPr>
              <w:br/>
              <w:t xml:space="preserve"> i zaopatrywanie</w:t>
            </w:r>
            <w:r w:rsidRPr="00833C88">
              <w:rPr>
                <w:rFonts w:eastAsia="Times New Roman" w:cs="Times New Roman"/>
                <w:sz w:val="18"/>
                <w:szCs w:val="18"/>
                <w:lang w:eastAsia="pl-PL"/>
              </w:rPr>
              <w:br/>
              <w:t xml:space="preserve"> w energię elektryczną, gaz, parę wodną i gorącą </w:t>
            </w:r>
            <w:proofErr w:type="spellStart"/>
            <w:r w:rsidRPr="00833C88">
              <w:rPr>
                <w:rFonts w:eastAsia="Times New Roman" w:cs="Times New Roman"/>
                <w:sz w:val="18"/>
                <w:szCs w:val="18"/>
                <w:lang w:eastAsia="pl-PL"/>
              </w:rPr>
              <w:t>wodę</w:t>
            </w:r>
            <w:r w:rsidRPr="00833C88">
              <w:rPr>
                <w:rFonts w:eastAsia="Times New Roman" w:cs="Times New Roman"/>
                <w:sz w:val="18"/>
                <w:szCs w:val="18"/>
                <w:vertAlign w:val="superscript"/>
                <w:lang w:eastAsia="pl-PL"/>
              </w:rPr>
              <w:t>D</w:t>
            </w:r>
            <w:proofErr w:type="spellEnd"/>
            <w:r w:rsidRPr="00833C88">
              <w:rPr>
                <w:rFonts w:eastAsia="Times New Roman" w:cs="Times New Roman"/>
                <w:sz w:val="18"/>
                <w:szCs w:val="18"/>
                <w:lang w:eastAsia="pl-PL"/>
              </w:rPr>
              <w:br/>
            </w:r>
            <w:proofErr w:type="spellStart"/>
            <w:r w:rsidRPr="00833C88">
              <w:rPr>
                <w:rFonts w:eastAsia="Times New Roman" w:cs="Times New Roman"/>
                <w:color w:val="595959"/>
                <w:sz w:val="18"/>
                <w:szCs w:val="18"/>
                <w:lang w:eastAsia="pl-PL"/>
              </w:rPr>
              <w:t>Electricity</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gas</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steam</w:t>
            </w:r>
            <w:proofErr w:type="spellEnd"/>
            <w:r w:rsidRPr="00833C88">
              <w:rPr>
                <w:rFonts w:eastAsia="Times New Roman" w:cs="Times New Roman"/>
                <w:color w:val="595959"/>
                <w:sz w:val="18"/>
                <w:szCs w:val="18"/>
                <w:lang w:eastAsia="pl-PL"/>
              </w:rPr>
              <w:t xml:space="preserve"> and </w:t>
            </w:r>
            <w:proofErr w:type="spellStart"/>
            <w:r w:rsidRPr="00833C88">
              <w:rPr>
                <w:rFonts w:eastAsia="Times New Roman" w:cs="Times New Roman"/>
                <w:color w:val="595959"/>
                <w:sz w:val="18"/>
                <w:szCs w:val="18"/>
                <w:lang w:eastAsia="pl-PL"/>
              </w:rPr>
              <w:t>air</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conditioning</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supply</w:t>
            </w:r>
            <w:proofErr w:type="spellEnd"/>
          </w:p>
        </w:tc>
        <w:tc>
          <w:tcPr>
            <w:tcW w:w="1225" w:type="dxa"/>
            <w:vAlign w:val="center"/>
            <w:hideMark/>
          </w:tcPr>
          <w:p w14:paraId="57BCD86F" w14:textId="77777777" w:rsidR="00ED6812" w:rsidRPr="00833C88" w:rsidRDefault="00ED6812" w:rsidP="000F7D32">
            <w:pPr>
              <w:spacing w:after="0"/>
              <w:jc w:val="center"/>
              <w:rPr>
                <w:rFonts w:eastAsia="Times New Roman" w:cs="Times New Roman"/>
                <w:sz w:val="18"/>
                <w:szCs w:val="18"/>
                <w:lang w:eastAsia="pl-PL"/>
              </w:rPr>
            </w:pPr>
            <w:r w:rsidRPr="00833C88">
              <w:rPr>
                <w:rFonts w:eastAsia="Times New Roman" w:cs="Times New Roman"/>
                <w:sz w:val="18"/>
                <w:szCs w:val="18"/>
                <w:lang w:eastAsia="pl-PL"/>
              </w:rPr>
              <w:t xml:space="preserve">Dostawa wody; gospodarowanie ściekami i odpadami; </w:t>
            </w:r>
            <w:proofErr w:type="spellStart"/>
            <w:r w:rsidRPr="00833C88">
              <w:rPr>
                <w:rFonts w:eastAsia="Times New Roman" w:cs="Times New Roman"/>
                <w:sz w:val="18"/>
                <w:szCs w:val="18"/>
                <w:lang w:eastAsia="pl-PL"/>
              </w:rPr>
              <w:t>rekultywacja</w:t>
            </w:r>
            <w:r w:rsidRPr="00833C88">
              <w:rPr>
                <w:rFonts w:eastAsia="Times New Roman" w:cs="Times New Roman"/>
                <w:sz w:val="18"/>
                <w:szCs w:val="18"/>
                <w:vertAlign w:val="superscript"/>
                <w:lang w:eastAsia="pl-PL"/>
              </w:rPr>
              <w:t>D</w:t>
            </w:r>
            <w:proofErr w:type="spellEnd"/>
            <w:r w:rsidRPr="00833C88">
              <w:rPr>
                <w:rFonts w:eastAsia="Times New Roman" w:cs="Times New Roman"/>
                <w:sz w:val="18"/>
                <w:szCs w:val="18"/>
                <w:lang w:eastAsia="pl-PL"/>
              </w:rPr>
              <w:br/>
            </w:r>
            <w:proofErr w:type="spellStart"/>
            <w:r w:rsidRPr="00833C88">
              <w:rPr>
                <w:rFonts w:eastAsia="Times New Roman" w:cs="Times New Roman"/>
                <w:color w:val="595959"/>
                <w:sz w:val="18"/>
                <w:szCs w:val="18"/>
                <w:lang w:eastAsia="pl-PL"/>
              </w:rPr>
              <w:t>Water</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supply</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sewerage</w:t>
            </w:r>
            <w:proofErr w:type="spellEnd"/>
            <w:r w:rsidRPr="00833C88">
              <w:rPr>
                <w:rFonts w:eastAsia="Times New Roman" w:cs="Times New Roman"/>
                <w:color w:val="595959"/>
                <w:sz w:val="18"/>
                <w:szCs w:val="18"/>
                <w:lang w:eastAsia="pl-PL"/>
              </w:rPr>
              <w:t xml:space="preserve">, waste management and </w:t>
            </w:r>
            <w:proofErr w:type="spellStart"/>
            <w:r w:rsidRPr="00833C88">
              <w:rPr>
                <w:rFonts w:eastAsia="Times New Roman" w:cs="Times New Roman"/>
                <w:color w:val="595959"/>
                <w:sz w:val="18"/>
                <w:szCs w:val="18"/>
                <w:lang w:eastAsia="pl-PL"/>
              </w:rPr>
              <w:t>remediation</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activities</w:t>
            </w:r>
            <w:proofErr w:type="spellEnd"/>
          </w:p>
        </w:tc>
      </w:tr>
      <w:tr w:rsidR="00ED6812" w:rsidRPr="00833C88" w14:paraId="184FD176" w14:textId="77777777" w:rsidTr="002657FB">
        <w:trPr>
          <w:trHeight w:val="347"/>
        </w:trPr>
        <w:tc>
          <w:tcPr>
            <w:tcW w:w="3366" w:type="dxa"/>
            <w:noWrap/>
            <w:vAlign w:val="bottom"/>
            <w:hideMark/>
          </w:tcPr>
          <w:p w14:paraId="4EB1E11D"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Energia pierwotna ogółem</w:t>
            </w:r>
          </w:p>
        </w:tc>
        <w:tc>
          <w:tcPr>
            <w:tcW w:w="233" w:type="dxa"/>
            <w:noWrap/>
            <w:vAlign w:val="bottom"/>
            <w:hideMark/>
          </w:tcPr>
          <w:p w14:paraId="191604F5" w14:textId="77777777" w:rsidR="00ED6812" w:rsidRPr="00833C88" w:rsidRDefault="00ED6812" w:rsidP="005A35B0">
            <w:pPr>
              <w:spacing w:after="0"/>
              <w:ind w:hanging="6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719" w:type="dxa"/>
            <w:noWrap/>
            <w:vAlign w:val="bottom"/>
            <w:hideMark/>
          </w:tcPr>
          <w:p w14:paraId="7CC8F94D"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156" w:type="dxa"/>
            <w:noWrap/>
            <w:vAlign w:val="bottom"/>
            <w:hideMark/>
          </w:tcPr>
          <w:p w14:paraId="4510F80F"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124" w:type="dxa"/>
            <w:noWrap/>
            <w:vAlign w:val="bottom"/>
            <w:hideMark/>
          </w:tcPr>
          <w:p w14:paraId="37091F4E"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193" w:type="dxa"/>
            <w:noWrap/>
            <w:vAlign w:val="bottom"/>
            <w:hideMark/>
          </w:tcPr>
          <w:p w14:paraId="7402D497"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225" w:type="dxa"/>
            <w:noWrap/>
            <w:vAlign w:val="bottom"/>
            <w:hideMark/>
          </w:tcPr>
          <w:p w14:paraId="2BA29C38"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r>
      <w:tr w:rsidR="00ED6812" w:rsidRPr="00833C88" w14:paraId="597B7AD9" w14:textId="77777777" w:rsidTr="002657FB">
        <w:trPr>
          <w:trHeight w:val="272"/>
        </w:trPr>
        <w:tc>
          <w:tcPr>
            <w:tcW w:w="3366" w:type="dxa"/>
            <w:noWrap/>
            <w:vAlign w:val="bottom"/>
            <w:hideMark/>
          </w:tcPr>
          <w:p w14:paraId="4923496C" w14:textId="77777777" w:rsidR="00ED6812" w:rsidRPr="00833C88" w:rsidRDefault="00ED6812" w:rsidP="000F7D32">
            <w:pPr>
              <w:spacing w:after="0"/>
              <w:rPr>
                <w:rFonts w:eastAsia="Times New Roman" w:cs="Times New Roman"/>
                <w:b/>
                <w:bCs/>
                <w:color w:val="595959"/>
                <w:sz w:val="18"/>
                <w:szCs w:val="18"/>
                <w:lang w:eastAsia="pl-PL"/>
              </w:rPr>
            </w:pPr>
            <w:r w:rsidRPr="00833C88">
              <w:rPr>
                <w:rFonts w:eastAsia="Times New Roman" w:cs="Times New Roman"/>
                <w:b/>
                <w:bCs/>
                <w:color w:val="595959"/>
                <w:sz w:val="18"/>
                <w:szCs w:val="18"/>
                <w:lang w:eastAsia="pl-PL"/>
              </w:rPr>
              <w:t xml:space="preserve">Total </w:t>
            </w:r>
            <w:proofErr w:type="spellStart"/>
            <w:r w:rsidRPr="00833C88">
              <w:rPr>
                <w:rFonts w:eastAsia="Times New Roman" w:cs="Times New Roman"/>
                <w:b/>
                <w:bCs/>
                <w:color w:val="595959"/>
                <w:sz w:val="18"/>
                <w:szCs w:val="18"/>
                <w:lang w:eastAsia="pl-PL"/>
              </w:rPr>
              <w:t>primary</w:t>
            </w:r>
            <w:proofErr w:type="spellEnd"/>
            <w:r w:rsidRPr="00833C88">
              <w:rPr>
                <w:rFonts w:eastAsia="Times New Roman" w:cs="Times New Roman"/>
                <w:b/>
                <w:bCs/>
                <w:color w:val="595959"/>
                <w:sz w:val="18"/>
                <w:szCs w:val="18"/>
                <w:lang w:eastAsia="pl-PL"/>
              </w:rPr>
              <w:t xml:space="preserve"> Energy</w:t>
            </w:r>
          </w:p>
        </w:tc>
        <w:tc>
          <w:tcPr>
            <w:tcW w:w="233" w:type="dxa"/>
            <w:noWrap/>
            <w:vAlign w:val="bottom"/>
            <w:hideMark/>
          </w:tcPr>
          <w:p w14:paraId="69C49EDB"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719" w:type="dxa"/>
            <w:noWrap/>
            <w:vAlign w:val="bottom"/>
            <w:hideMark/>
          </w:tcPr>
          <w:p w14:paraId="370F239B"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156" w:type="dxa"/>
            <w:noWrap/>
            <w:vAlign w:val="bottom"/>
            <w:hideMark/>
          </w:tcPr>
          <w:p w14:paraId="5AD5C84D"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124" w:type="dxa"/>
            <w:noWrap/>
            <w:vAlign w:val="bottom"/>
            <w:hideMark/>
          </w:tcPr>
          <w:p w14:paraId="56720764"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193" w:type="dxa"/>
            <w:noWrap/>
            <w:vAlign w:val="bottom"/>
            <w:hideMark/>
          </w:tcPr>
          <w:p w14:paraId="6F9263DD"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w:t>
            </w:r>
          </w:p>
        </w:tc>
        <w:tc>
          <w:tcPr>
            <w:tcW w:w="1225" w:type="dxa"/>
            <w:noWrap/>
            <w:vAlign w:val="bottom"/>
            <w:hideMark/>
          </w:tcPr>
          <w:p w14:paraId="5E0DFBA3" w14:textId="77777777" w:rsidR="00ED6812" w:rsidRPr="00833C88" w:rsidRDefault="00ED6812" w:rsidP="000F7D32">
            <w:pPr>
              <w:spacing w:after="0"/>
              <w:rPr>
                <w:rFonts w:eastAsia="Times New Roman" w:cs="Times New Roman"/>
                <w:b/>
                <w:bCs/>
                <w:color w:val="595959"/>
                <w:sz w:val="18"/>
                <w:szCs w:val="18"/>
                <w:lang w:eastAsia="pl-PL"/>
              </w:rPr>
            </w:pPr>
            <w:r w:rsidRPr="00833C88">
              <w:rPr>
                <w:rFonts w:eastAsia="Times New Roman" w:cs="Times New Roman"/>
                <w:b/>
                <w:bCs/>
                <w:color w:val="595959"/>
                <w:sz w:val="18"/>
                <w:szCs w:val="18"/>
                <w:lang w:eastAsia="pl-PL"/>
              </w:rPr>
              <w:t> </w:t>
            </w:r>
          </w:p>
        </w:tc>
      </w:tr>
      <w:tr w:rsidR="00ED6812" w:rsidRPr="00833C88" w14:paraId="7CC98945" w14:textId="77777777" w:rsidTr="002657FB">
        <w:trPr>
          <w:trHeight w:val="302"/>
        </w:trPr>
        <w:tc>
          <w:tcPr>
            <w:tcW w:w="3366" w:type="dxa"/>
            <w:noWrap/>
            <w:vAlign w:val="bottom"/>
            <w:hideMark/>
          </w:tcPr>
          <w:p w14:paraId="7124C07A"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xml:space="preserve">         w </w:t>
            </w:r>
            <w:proofErr w:type="gramStart"/>
            <w:r w:rsidRPr="00833C88">
              <w:rPr>
                <w:rFonts w:eastAsia="Times New Roman" w:cs="Times New Roman"/>
                <w:b/>
                <w:bCs/>
                <w:sz w:val="18"/>
                <w:szCs w:val="18"/>
                <w:lang w:eastAsia="pl-PL"/>
              </w:rPr>
              <w:t xml:space="preserve">TJ  </w:t>
            </w:r>
            <w:r w:rsidRPr="00833C88">
              <w:rPr>
                <w:rFonts w:eastAsia="Times New Roman" w:cs="Times New Roman"/>
                <w:sz w:val="18"/>
                <w:szCs w:val="18"/>
                <w:lang w:eastAsia="pl-PL"/>
              </w:rPr>
              <w:t>.....................................................</w:t>
            </w:r>
            <w:proofErr w:type="gramEnd"/>
          </w:p>
        </w:tc>
        <w:tc>
          <w:tcPr>
            <w:tcW w:w="233" w:type="dxa"/>
            <w:noWrap/>
            <w:vAlign w:val="bottom"/>
            <w:hideMark/>
          </w:tcPr>
          <w:p w14:paraId="29F90CDF"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a</w:t>
            </w:r>
          </w:p>
        </w:tc>
        <w:tc>
          <w:tcPr>
            <w:tcW w:w="719" w:type="dxa"/>
            <w:noWrap/>
            <w:vAlign w:val="bottom"/>
            <w:hideMark/>
          </w:tcPr>
          <w:p w14:paraId="526F86ED"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3682795</w:t>
            </w:r>
          </w:p>
        </w:tc>
        <w:tc>
          <w:tcPr>
            <w:tcW w:w="1156" w:type="dxa"/>
            <w:noWrap/>
            <w:vAlign w:val="bottom"/>
            <w:hideMark/>
          </w:tcPr>
          <w:p w14:paraId="1B98099E"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39715</w:t>
            </w:r>
          </w:p>
        </w:tc>
        <w:tc>
          <w:tcPr>
            <w:tcW w:w="1124" w:type="dxa"/>
            <w:noWrap/>
            <w:vAlign w:val="bottom"/>
            <w:hideMark/>
          </w:tcPr>
          <w:p w14:paraId="32B5ABDF"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2059321</w:t>
            </w:r>
          </w:p>
        </w:tc>
        <w:tc>
          <w:tcPr>
            <w:tcW w:w="1193" w:type="dxa"/>
            <w:noWrap/>
            <w:vAlign w:val="bottom"/>
            <w:hideMark/>
          </w:tcPr>
          <w:p w14:paraId="7E8F49B3"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1559107</w:t>
            </w:r>
          </w:p>
        </w:tc>
        <w:tc>
          <w:tcPr>
            <w:tcW w:w="1225" w:type="dxa"/>
            <w:noWrap/>
            <w:vAlign w:val="bottom"/>
            <w:hideMark/>
          </w:tcPr>
          <w:p w14:paraId="5A0B4100"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24652</w:t>
            </w:r>
          </w:p>
        </w:tc>
      </w:tr>
      <w:tr w:rsidR="00ED6812" w:rsidRPr="00833C88" w14:paraId="2807BBE8" w14:textId="77777777" w:rsidTr="002657FB">
        <w:trPr>
          <w:trHeight w:val="272"/>
        </w:trPr>
        <w:tc>
          <w:tcPr>
            <w:tcW w:w="3366" w:type="dxa"/>
            <w:noWrap/>
            <w:hideMark/>
          </w:tcPr>
          <w:p w14:paraId="5AA407F6" w14:textId="77777777" w:rsidR="00ED6812" w:rsidRPr="00833C88" w:rsidRDefault="00ED6812" w:rsidP="000F7D32">
            <w:pPr>
              <w:spacing w:after="0"/>
              <w:rPr>
                <w:rFonts w:eastAsia="Times New Roman" w:cs="Times New Roman"/>
                <w:b/>
                <w:bCs/>
                <w:color w:val="595959"/>
                <w:sz w:val="18"/>
                <w:szCs w:val="18"/>
                <w:lang w:eastAsia="pl-PL"/>
              </w:rPr>
            </w:pPr>
            <w:r w:rsidRPr="00833C88">
              <w:rPr>
                <w:rFonts w:eastAsia="Times New Roman" w:cs="Times New Roman"/>
                <w:b/>
                <w:bCs/>
                <w:color w:val="595959"/>
                <w:sz w:val="18"/>
                <w:szCs w:val="18"/>
                <w:lang w:eastAsia="pl-PL"/>
              </w:rPr>
              <w:t xml:space="preserve">         in TJ</w:t>
            </w:r>
          </w:p>
        </w:tc>
        <w:tc>
          <w:tcPr>
            <w:tcW w:w="233" w:type="dxa"/>
            <w:noWrap/>
            <w:vAlign w:val="bottom"/>
            <w:hideMark/>
          </w:tcPr>
          <w:p w14:paraId="61D257C9"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b</w:t>
            </w:r>
          </w:p>
        </w:tc>
        <w:tc>
          <w:tcPr>
            <w:tcW w:w="719" w:type="dxa"/>
            <w:noWrap/>
            <w:vAlign w:val="bottom"/>
            <w:hideMark/>
          </w:tcPr>
          <w:p w14:paraId="5D7E97AE"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3377835</w:t>
            </w:r>
          </w:p>
        </w:tc>
        <w:tc>
          <w:tcPr>
            <w:tcW w:w="1156" w:type="dxa"/>
            <w:noWrap/>
            <w:vAlign w:val="bottom"/>
            <w:hideMark/>
          </w:tcPr>
          <w:p w14:paraId="5C8DC9FF"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46148</w:t>
            </w:r>
          </w:p>
        </w:tc>
        <w:tc>
          <w:tcPr>
            <w:tcW w:w="1124" w:type="dxa"/>
            <w:noWrap/>
            <w:vAlign w:val="bottom"/>
            <w:hideMark/>
          </w:tcPr>
          <w:p w14:paraId="468B2908"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1954712</w:t>
            </w:r>
          </w:p>
        </w:tc>
        <w:tc>
          <w:tcPr>
            <w:tcW w:w="1193" w:type="dxa"/>
            <w:noWrap/>
            <w:vAlign w:val="bottom"/>
            <w:hideMark/>
          </w:tcPr>
          <w:p w14:paraId="63B1F93C"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1353619</w:t>
            </w:r>
          </w:p>
        </w:tc>
        <w:tc>
          <w:tcPr>
            <w:tcW w:w="1225" w:type="dxa"/>
            <w:noWrap/>
            <w:vAlign w:val="bottom"/>
            <w:hideMark/>
          </w:tcPr>
          <w:p w14:paraId="3DB37120"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23356</w:t>
            </w:r>
          </w:p>
        </w:tc>
      </w:tr>
      <w:tr w:rsidR="00ED6812" w:rsidRPr="00833C88" w14:paraId="0EDAD412" w14:textId="77777777" w:rsidTr="002657FB">
        <w:trPr>
          <w:trHeight w:val="393"/>
        </w:trPr>
        <w:tc>
          <w:tcPr>
            <w:tcW w:w="3366" w:type="dxa"/>
            <w:noWrap/>
            <w:vAlign w:val="bottom"/>
            <w:hideMark/>
          </w:tcPr>
          <w:p w14:paraId="4BC0809B" w14:textId="77777777" w:rsidR="00ED6812" w:rsidRPr="00833C88" w:rsidRDefault="00ED6812" w:rsidP="000F7D32">
            <w:pPr>
              <w:spacing w:after="0"/>
              <w:rPr>
                <w:rFonts w:eastAsia="Times New Roman" w:cs="Times New Roman"/>
                <w:b/>
                <w:bCs/>
                <w:sz w:val="18"/>
                <w:szCs w:val="18"/>
                <w:lang w:eastAsia="pl-PL"/>
              </w:rPr>
            </w:pPr>
            <w:r w:rsidRPr="00833C88">
              <w:rPr>
                <w:rFonts w:eastAsia="Times New Roman" w:cs="Times New Roman"/>
                <w:b/>
                <w:bCs/>
                <w:sz w:val="18"/>
                <w:szCs w:val="18"/>
                <w:lang w:eastAsia="pl-PL"/>
              </w:rPr>
              <w:t xml:space="preserve">         w </w:t>
            </w:r>
            <w:proofErr w:type="gramStart"/>
            <w:r w:rsidRPr="00833C88">
              <w:rPr>
                <w:rFonts w:eastAsia="Times New Roman" w:cs="Times New Roman"/>
                <w:b/>
                <w:bCs/>
                <w:sz w:val="18"/>
                <w:szCs w:val="18"/>
                <w:lang w:eastAsia="pl-PL"/>
              </w:rPr>
              <w:t xml:space="preserve">%  </w:t>
            </w:r>
            <w:r w:rsidRPr="00833C88">
              <w:rPr>
                <w:rFonts w:eastAsia="Times New Roman" w:cs="Times New Roman"/>
                <w:sz w:val="18"/>
                <w:szCs w:val="18"/>
                <w:lang w:eastAsia="pl-PL"/>
              </w:rPr>
              <w:t>......................................................</w:t>
            </w:r>
            <w:proofErr w:type="gramEnd"/>
          </w:p>
        </w:tc>
        <w:tc>
          <w:tcPr>
            <w:tcW w:w="233" w:type="dxa"/>
            <w:noWrap/>
            <w:vAlign w:val="bottom"/>
            <w:hideMark/>
          </w:tcPr>
          <w:p w14:paraId="3312A588"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a</w:t>
            </w:r>
          </w:p>
        </w:tc>
        <w:tc>
          <w:tcPr>
            <w:tcW w:w="719" w:type="dxa"/>
            <w:noWrap/>
            <w:vAlign w:val="bottom"/>
            <w:hideMark/>
          </w:tcPr>
          <w:p w14:paraId="6D652978"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100,0</w:t>
            </w:r>
          </w:p>
        </w:tc>
        <w:tc>
          <w:tcPr>
            <w:tcW w:w="1156" w:type="dxa"/>
            <w:noWrap/>
            <w:vAlign w:val="bottom"/>
            <w:hideMark/>
          </w:tcPr>
          <w:p w14:paraId="5CF4E358"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1,1</w:t>
            </w:r>
          </w:p>
        </w:tc>
        <w:tc>
          <w:tcPr>
            <w:tcW w:w="1124" w:type="dxa"/>
            <w:noWrap/>
            <w:vAlign w:val="bottom"/>
            <w:hideMark/>
          </w:tcPr>
          <w:p w14:paraId="39C27F76"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55,9</w:t>
            </w:r>
          </w:p>
        </w:tc>
        <w:tc>
          <w:tcPr>
            <w:tcW w:w="1193" w:type="dxa"/>
            <w:noWrap/>
            <w:vAlign w:val="bottom"/>
            <w:hideMark/>
          </w:tcPr>
          <w:p w14:paraId="75A09932"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42,3</w:t>
            </w:r>
          </w:p>
        </w:tc>
        <w:tc>
          <w:tcPr>
            <w:tcW w:w="1225" w:type="dxa"/>
            <w:noWrap/>
            <w:vAlign w:val="bottom"/>
            <w:hideMark/>
          </w:tcPr>
          <w:p w14:paraId="2D22105F"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0,7</w:t>
            </w:r>
          </w:p>
        </w:tc>
      </w:tr>
      <w:tr w:rsidR="00ED6812" w:rsidRPr="00833C88" w14:paraId="0336CF44" w14:textId="77777777" w:rsidTr="002657FB">
        <w:trPr>
          <w:trHeight w:val="272"/>
        </w:trPr>
        <w:tc>
          <w:tcPr>
            <w:tcW w:w="3366" w:type="dxa"/>
            <w:noWrap/>
            <w:hideMark/>
          </w:tcPr>
          <w:p w14:paraId="7C067BEB" w14:textId="77777777" w:rsidR="00ED6812" w:rsidRPr="00833C88" w:rsidRDefault="00ED6812" w:rsidP="000F7D32">
            <w:pPr>
              <w:spacing w:after="0"/>
              <w:rPr>
                <w:rFonts w:eastAsia="Times New Roman" w:cs="Times New Roman"/>
                <w:b/>
                <w:bCs/>
                <w:color w:val="595959"/>
                <w:sz w:val="18"/>
                <w:szCs w:val="18"/>
                <w:lang w:eastAsia="pl-PL"/>
              </w:rPr>
            </w:pPr>
            <w:r w:rsidRPr="00833C88">
              <w:rPr>
                <w:rFonts w:eastAsia="Times New Roman" w:cs="Times New Roman"/>
                <w:b/>
                <w:bCs/>
                <w:color w:val="595959"/>
                <w:sz w:val="18"/>
                <w:szCs w:val="18"/>
                <w:lang w:eastAsia="pl-PL"/>
              </w:rPr>
              <w:lastRenderedPageBreak/>
              <w:t xml:space="preserve">         in %</w:t>
            </w:r>
          </w:p>
        </w:tc>
        <w:tc>
          <w:tcPr>
            <w:tcW w:w="233" w:type="dxa"/>
            <w:noWrap/>
            <w:vAlign w:val="bottom"/>
            <w:hideMark/>
          </w:tcPr>
          <w:p w14:paraId="1FCCEE38"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b</w:t>
            </w:r>
          </w:p>
        </w:tc>
        <w:tc>
          <w:tcPr>
            <w:tcW w:w="719" w:type="dxa"/>
            <w:noWrap/>
            <w:vAlign w:val="bottom"/>
            <w:hideMark/>
          </w:tcPr>
          <w:p w14:paraId="13DB99F6"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100,0</w:t>
            </w:r>
          </w:p>
        </w:tc>
        <w:tc>
          <w:tcPr>
            <w:tcW w:w="1156" w:type="dxa"/>
            <w:noWrap/>
            <w:vAlign w:val="bottom"/>
            <w:hideMark/>
          </w:tcPr>
          <w:p w14:paraId="6AAE2E02"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1,4</w:t>
            </w:r>
          </w:p>
        </w:tc>
        <w:tc>
          <w:tcPr>
            <w:tcW w:w="1124" w:type="dxa"/>
            <w:noWrap/>
            <w:vAlign w:val="bottom"/>
            <w:hideMark/>
          </w:tcPr>
          <w:p w14:paraId="3727F30C"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57,9</w:t>
            </w:r>
          </w:p>
        </w:tc>
        <w:tc>
          <w:tcPr>
            <w:tcW w:w="1193" w:type="dxa"/>
            <w:noWrap/>
            <w:vAlign w:val="bottom"/>
            <w:hideMark/>
          </w:tcPr>
          <w:p w14:paraId="12A3D18E"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40,1</w:t>
            </w:r>
          </w:p>
        </w:tc>
        <w:tc>
          <w:tcPr>
            <w:tcW w:w="1225" w:type="dxa"/>
            <w:noWrap/>
            <w:vAlign w:val="bottom"/>
            <w:hideMark/>
          </w:tcPr>
          <w:p w14:paraId="31AADEEC" w14:textId="77777777" w:rsidR="00ED6812" w:rsidRPr="00833C88" w:rsidRDefault="00ED6812" w:rsidP="000F7D32">
            <w:pPr>
              <w:spacing w:after="0"/>
              <w:jc w:val="right"/>
              <w:rPr>
                <w:rFonts w:eastAsia="Times New Roman" w:cs="Times New Roman"/>
                <w:b/>
                <w:bCs/>
                <w:sz w:val="18"/>
                <w:szCs w:val="18"/>
                <w:lang w:eastAsia="pl-PL"/>
              </w:rPr>
            </w:pPr>
            <w:r w:rsidRPr="00833C88">
              <w:rPr>
                <w:rFonts w:eastAsia="Times New Roman" w:cs="Times New Roman"/>
                <w:b/>
                <w:bCs/>
                <w:sz w:val="18"/>
                <w:szCs w:val="18"/>
                <w:lang w:eastAsia="pl-PL"/>
              </w:rPr>
              <w:t>0,6</w:t>
            </w:r>
          </w:p>
        </w:tc>
      </w:tr>
      <w:tr w:rsidR="00ED6812" w:rsidRPr="00833C88" w14:paraId="38EDEEC4" w14:textId="77777777" w:rsidTr="002657FB">
        <w:trPr>
          <w:trHeight w:val="272"/>
        </w:trPr>
        <w:tc>
          <w:tcPr>
            <w:tcW w:w="3366" w:type="dxa"/>
            <w:noWrap/>
            <w:vAlign w:val="bottom"/>
            <w:hideMark/>
          </w:tcPr>
          <w:p w14:paraId="68BA1AC6"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tym:</w:t>
            </w:r>
          </w:p>
        </w:tc>
        <w:tc>
          <w:tcPr>
            <w:tcW w:w="233" w:type="dxa"/>
            <w:noWrap/>
            <w:vAlign w:val="bottom"/>
            <w:hideMark/>
          </w:tcPr>
          <w:p w14:paraId="46A20B2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5193A7BF"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56" w:type="dxa"/>
            <w:noWrap/>
            <w:vAlign w:val="bottom"/>
            <w:hideMark/>
          </w:tcPr>
          <w:p w14:paraId="28972188"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48EE1B66"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719DEC59"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5280F96F" w14:textId="77777777" w:rsidR="00ED6812" w:rsidRPr="00833C88" w:rsidRDefault="00ED6812" w:rsidP="000F7D32">
            <w:pPr>
              <w:spacing w:after="0"/>
              <w:rPr>
                <w:rFonts w:eastAsia="Times New Roman" w:cs="Times New Roman"/>
                <w:sz w:val="18"/>
                <w:szCs w:val="18"/>
                <w:lang w:eastAsia="pl-PL"/>
              </w:rPr>
            </w:pPr>
          </w:p>
        </w:tc>
      </w:tr>
      <w:tr w:rsidR="00ED6812" w:rsidRPr="00833C88" w14:paraId="6128264E" w14:textId="77777777" w:rsidTr="002657FB">
        <w:trPr>
          <w:trHeight w:val="272"/>
        </w:trPr>
        <w:tc>
          <w:tcPr>
            <w:tcW w:w="3366" w:type="dxa"/>
            <w:noWrap/>
            <w:hideMark/>
          </w:tcPr>
          <w:p w14:paraId="1AEDAE12"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of </w:t>
            </w:r>
            <w:proofErr w:type="spellStart"/>
            <w:r w:rsidRPr="00833C88">
              <w:rPr>
                <w:rFonts w:eastAsia="Times New Roman" w:cs="Times New Roman"/>
                <w:color w:val="595959"/>
                <w:sz w:val="18"/>
                <w:szCs w:val="18"/>
                <w:lang w:eastAsia="pl-PL"/>
              </w:rPr>
              <w:t>which</w:t>
            </w:r>
            <w:proofErr w:type="spellEnd"/>
            <w:r w:rsidRPr="00833C88">
              <w:rPr>
                <w:rFonts w:eastAsia="Times New Roman" w:cs="Times New Roman"/>
                <w:color w:val="595959"/>
                <w:sz w:val="18"/>
                <w:szCs w:val="18"/>
                <w:lang w:eastAsia="pl-PL"/>
              </w:rPr>
              <w:t>:</w:t>
            </w:r>
          </w:p>
        </w:tc>
        <w:tc>
          <w:tcPr>
            <w:tcW w:w="233" w:type="dxa"/>
            <w:noWrap/>
            <w:vAlign w:val="bottom"/>
            <w:hideMark/>
          </w:tcPr>
          <w:p w14:paraId="2B3BAC5A"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2B4FBAEF"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56" w:type="dxa"/>
            <w:noWrap/>
            <w:vAlign w:val="bottom"/>
            <w:hideMark/>
          </w:tcPr>
          <w:p w14:paraId="2CC32C2E"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5682B3E1"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6F3BB067"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5FEB4E4F" w14:textId="77777777" w:rsidR="00ED6812" w:rsidRPr="00833C88" w:rsidRDefault="00ED6812" w:rsidP="000F7D32">
            <w:pPr>
              <w:spacing w:after="0"/>
              <w:rPr>
                <w:rFonts w:eastAsia="Times New Roman" w:cs="Times New Roman"/>
                <w:sz w:val="18"/>
                <w:szCs w:val="18"/>
                <w:lang w:eastAsia="pl-PL"/>
              </w:rPr>
            </w:pPr>
          </w:p>
        </w:tc>
      </w:tr>
      <w:tr w:rsidR="00ED6812" w:rsidRPr="00833C88" w14:paraId="2391EB7F" w14:textId="77777777" w:rsidTr="002657FB">
        <w:trPr>
          <w:trHeight w:val="378"/>
        </w:trPr>
        <w:tc>
          <w:tcPr>
            <w:tcW w:w="3366" w:type="dxa"/>
            <w:noWrap/>
            <w:vAlign w:val="bottom"/>
            <w:hideMark/>
          </w:tcPr>
          <w:p w14:paraId="5C5276F8"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Węgiel kamienny</w:t>
            </w:r>
          </w:p>
        </w:tc>
        <w:tc>
          <w:tcPr>
            <w:tcW w:w="233" w:type="dxa"/>
            <w:noWrap/>
            <w:vAlign w:val="bottom"/>
            <w:hideMark/>
          </w:tcPr>
          <w:p w14:paraId="62AAF2D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53340244"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56" w:type="dxa"/>
            <w:noWrap/>
            <w:vAlign w:val="bottom"/>
            <w:hideMark/>
          </w:tcPr>
          <w:p w14:paraId="0D47DFD2"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19622B19"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661C0D36"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5D33B41F" w14:textId="77777777" w:rsidR="00ED6812" w:rsidRPr="00833C88" w:rsidRDefault="00ED6812" w:rsidP="000F7D32">
            <w:pPr>
              <w:spacing w:after="0"/>
              <w:rPr>
                <w:rFonts w:eastAsia="Times New Roman" w:cs="Times New Roman"/>
                <w:sz w:val="18"/>
                <w:szCs w:val="18"/>
                <w:lang w:eastAsia="pl-PL"/>
              </w:rPr>
            </w:pPr>
          </w:p>
        </w:tc>
      </w:tr>
      <w:tr w:rsidR="00ED6812" w:rsidRPr="00833C88" w14:paraId="27171122" w14:textId="77777777" w:rsidTr="002657FB">
        <w:trPr>
          <w:trHeight w:val="272"/>
        </w:trPr>
        <w:tc>
          <w:tcPr>
            <w:tcW w:w="3366" w:type="dxa"/>
            <w:noWrap/>
            <w:hideMark/>
          </w:tcPr>
          <w:p w14:paraId="30041FA2"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Hard </w:t>
            </w:r>
            <w:proofErr w:type="spellStart"/>
            <w:r w:rsidRPr="00833C88">
              <w:rPr>
                <w:rFonts w:eastAsia="Times New Roman" w:cs="Times New Roman"/>
                <w:color w:val="595959"/>
                <w:sz w:val="18"/>
                <w:szCs w:val="18"/>
                <w:lang w:eastAsia="pl-PL"/>
              </w:rPr>
              <w:t>coal</w:t>
            </w:r>
            <w:proofErr w:type="spellEnd"/>
          </w:p>
        </w:tc>
        <w:tc>
          <w:tcPr>
            <w:tcW w:w="233" w:type="dxa"/>
            <w:noWrap/>
            <w:vAlign w:val="bottom"/>
            <w:hideMark/>
          </w:tcPr>
          <w:p w14:paraId="293E620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594411D1"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56" w:type="dxa"/>
            <w:noWrap/>
            <w:vAlign w:val="bottom"/>
            <w:hideMark/>
          </w:tcPr>
          <w:p w14:paraId="236C6641"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109B9199"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3B2D6716"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57D87BED" w14:textId="77777777" w:rsidR="00ED6812" w:rsidRPr="00833C88" w:rsidRDefault="00ED6812" w:rsidP="000F7D32">
            <w:pPr>
              <w:spacing w:after="0"/>
              <w:rPr>
                <w:rFonts w:eastAsia="Times New Roman" w:cs="Times New Roman"/>
                <w:sz w:val="18"/>
                <w:szCs w:val="18"/>
                <w:lang w:eastAsia="pl-PL"/>
              </w:rPr>
            </w:pPr>
          </w:p>
        </w:tc>
      </w:tr>
      <w:tr w:rsidR="00ED6812" w:rsidRPr="00833C88" w14:paraId="4EBADA4A" w14:textId="77777777" w:rsidTr="002657FB">
        <w:trPr>
          <w:trHeight w:val="302"/>
        </w:trPr>
        <w:tc>
          <w:tcPr>
            <w:tcW w:w="3366" w:type="dxa"/>
            <w:noWrap/>
            <w:vAlign w:val="bottom"/>
            <w:hideMark/>
          </w:tcPr>
          <w:p w14:paraId="3AF91D9E"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tys. t …………………………………...………</w:t>
            </w:r>
          </w:p>
        </w:tc>
        <w:tc>
          <w:tcPr>
            <w:tcW w:w="233" w:type="dxa"/>
            <w:noWrap/>
            <w:vAlign w:val="bottom"/>
            <w:hideMark/>
          </w:tcPr>
          <w:p w14:paraId="01F20F3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3E3D87A5"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56640</w:t>
            </w:r>
          </w:p>
        </w:tc>
        <w:tc>
          <w:tcPr>
            <w:tcW w:w="1156" w:type="dxa"/>
            <w:noWrap/>
            <w:vAlign w:val="bottom"/>
            <w:hideMark/>
          </w:tcPr>
          <w:p w14:paraId="59898B4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76</w:t>
            </w:r>
          </w:p>
        </w:tc>
        <w:tc>
          <w:tcPr>
            <w:tcW w:w="1124" w:type="dxa"/>
            <w:noWrap/>
            <w:vAlign w:val="bottom"/>
            <w:hideMark/>
          </w:tcPr>
          <w:p w14:paraId="0CB1E8F6"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16448</w:t>
            </w:r>
          </w:p>
        </w:tc>
        <w:tc>
          <w:tcPr>
            <w:tcW w:w="1193" w:type="dxa"/>
            <w:noWrap/>
            <w:vAlign w:val="bottom"/>
            <w:hideMark/>
          </w:tcPr>
          <w:p w14:paraId="2042CCA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39963</w:t>
            </w:r>
          </w:p>
        </w:tc>
        <w:tc>
          <w:tcPr>
            <w:tcW w:w="1225" w:type="dxa"/>
            <w:noWrap/>
            <w:vAlign w:val="bottom"/>
            <w:hideMark/>
          </w:tcPr>
          <w:p w14:paraId="3DB11D3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153</w:t>
            </w:r>
          </w:p>
        </w:tc>
      </w:tr>
      <w:tr w:rsidR="00ED6812" w:rsidRPr="00833C88" w14:paraId="450A37D6" w14:textId="77777777" w:rsidTr="002657FB">
        <w:trPr>
          <w:trHeight w:val="272"/>
        </w:trPr>
        <w:tc>
          <w:tcPr>
            <w:tcW w:w="3366" w:type="dxa"/>
            <w:noWrap/>
            <w:hideMark/>
          </w:tcPr>
          <w:p w14:paraId="715526C4"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w:t>
            </w:r>
            <w:proofErr w:type="spellStart"/>
            <w:r w:rsidRPr="00833C88">
              <w:rPr>
                <w:rFonts w:eastAsia="Times New Roman" w:cs="Times New Roman"/>
                <w:color w:val="595959"/>
                <w:sz w:val="18"/>
                <w:szCs w:val="18"/>
                <w:lang w:eastAsia="pl-PL"/>
              </w:rPr>
              <w:t>thousand</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tonnes</w:t>
            </w:r>
            <w:proofErr w:type="spellEnd"/>
          </w:p>
        </w:tc>
        <w:tc>
          <w:tcPr>
            <w:tcW w:w="233" w:type="dxa"/>
            <w:noWrap/>
            <w:vAlign w:val="bottom"/>
            <w:hideMark/>
          </w:tcPr>
          <w:p w14:paraId="6ABD1DE5"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7430BB3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47858</w:t>
            </w:r>
          </w:p>
        </w:tc>
        <w:tc>
          <w:tcPr>
            <w:tcW w:w="1156" w:type="dxa"/>
            <w:noWrap/>
            <w:vAlign w:val="bottom"/>
            <w:hideMark/>
          </w:tcPr>
          <w:p w14:paraId="0C8B5C2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54</w:t>
            </w:r>
          </w:p>
        </w:tc>
        <w:tc>
          <w:tcPr>
            <w:tcW w:w="1124" w:type="dxa"/>
            <w:noWrap/>
            <w:vAlign w:val="bottom"/>
            <w:hideMark/>
          </w:tcPr>
          <w:p w14:paraId="595B84C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14804</w:t>
            </w:r>
          </w:p>
        </w:tc>
        <w:tc>
          <w:tcPr>
            <w:tcW w:w="1193" w:type="dxa"/>
            <w:noWrap/>
            <w:vAlign w:val="bottom"/>
            <w:hideMark/>
          </w:tcPr>
          <w:p w14:paraId="2702D2F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32857</w:t>
            </w:r>
          </w:p>
        </w:tc>
        <w:tc>
          <w:tcPr>
            <w:tcW w:w="1225" w:type="dxa"/>
            <w:noWrap/>
            <w:vAlign w:val="bottom"/>
            <w:hideMark/>
          </w:tcPr>
          <w:p w14:paraId="3264186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143</w:t>
            </w:r>
          </w:p>
        </w:tc>
      </w:tr>
      <w:tr w:rsidR="00ED6812" w:rsidRPr="00833C88" w14:paraId="5E7BD64D" w14:textId="77777777" w:rsidTr="002657FB">
        <w:trPr>
          <w:trHeight w:val="393"/>
        </w:trPr>
        <w:tc>
          <w:tcPr>
            <w:tcW w:w="3366" w:type="dxa"/>
            <w:noWrap/>
            <w:vAlign w:val="bottom"/>
            <w:hideMark/>
          </w:tcPr>
          <w:p w14:paraId="340CDA98"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w:t>
            </w:r>
            <w:proofErr w:type="gramStart"/>
            <w:r w:rsidRPr="00833C88">
              <w:rPr>
                <w:rFonts w:eastAsia="Times New Roman" w:cs="Times New Roman"/>
                <w:sz w:val="18"/>
                <w:szCs w:val="18"/>
                <w:lang w:eastAsia="pl-PL"/>
              </w:rPr>
              <w:t>TJ  …</w:t>
            </w:r>
            <w:proofErr w:type="gramEnd"/>
            <w:r w:rsidRPr="00833C88">
              <w:rPr>
                <w:rFonts w:eastAsia="Times New Roman" w:cs="Times New Roman"/>
                <w:sz w:val="18"/>
                <w:szCs w:val="18"/>
                <w:lang w:eastAsia="pl-PL"/>
              </w:rPr>
              <w:t>……………………</w:t>
            </w:r>
            <w:proofErr w:type="gramStart"/>
            <w:r w:rsidRPr="00833C88">
              <w:rPr>
                <w:rFonts w:eastAsia="Times New Roman" w:cs="Times New Roman"/>
                <w:sz w:val="18"/>
                <w:szCs w:val="18"/>
                <w:lang w:eastAsia="pl-PL"/>
              </w:rPr>
              <w:t>…….</w:t>
            </w:r>
            <w:proofErr w:type="gramEnd"/>
            <w:r w:rsidRPr="00833C88">
              <w:rPr>
                <w:rFonts w:eastAsia="Times New Roman" w:cs="Times New Roman"/>
                <w:sz w:val="18"/>
                <w:szCs w:val="18"/>
                <w:lang w:eastAsia="pl-PL"/>
              </w:rPr>
              <w:t>………</w:t>
            </w:r>
            <w:proofErr w:type="gramStart"/>
            <w:r w:rsidRPr="00833C88">
              <w:rPr>
                <w:rFonts w:eastAsia="Times New Roman" w:cs="Times New Roman"/>
                <w:sz w:val="18"/>
                <w:szCs w:val="18"/>
                <w:lang w:eastAsia="pl-PL"/>
              </w:rPr>
              <w:t>…….</w:t>
            </w:r>
            <w:proofErr w:type="gramEnd"/>
            <w:r w:rsidRPr="00833C88">
              <w:rPr>
                <w:rFonts w:eastAsia="Times New Roman" w:cs="Times New Roman"/>
                <w:sz w:val="18"/>
                <w:szCs w:val="18"/>
                <w:lang w:eastAsia="pl-PL"/>
              </w:rPr>
              <w:t>.</w:t>
            </w:r>
          </w:p>
        </w:tc>
        <w:tc>
          <w:tcPr>
            <w:tcW w:w="233" w:type="dxa"/>
            <w:noWrap/>
            <w:vAlign w:val="bottom"/>
            <w:hideMark/>
          </w:tcPr>
          <w:p w14:paraId="6C2AC87E"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405A6A5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1309765</w:t>
            </w:r>
          </w:p>
        </w:tc>
        <w:tc>
          <w:tcPr>
            <w:tcW w:w="1156" w:type="dxa"/>
            <w:noWrap/>
            <w:vAlign w:val="bottom"/>
            <w:hideMark/>
          </w:tcPr>
          <w:p w14:paraId="67AF0424"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2035</w:t>
            </w:r>
          </w:p>
        </w:tc>
        <w:tc>
          <w:tcPr>
            <w:tcW w:w="1124" w:type="dxa"/>
            <w:noWrap/>
            <w:vAlign w:val="bottom"/>
            <w:hideMark/>
          </w:tcPr>
          <w:p w14:paraId="403EC62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451328</w:t>
            </w:r>
          </w:p>
        </w:tc>
        <w:tc>
          <w:tcPr>
            <w:tcW w:w="1193" w:type="dxa"/>
            <w:noWrap/>
            <w:vAlign w:val="bottom"/>
            <w:hideMark/>
          </w:tcPr>
          <w:p w14:paraId="434571CE"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852865</w:t>
            </w:r>
          </w:p>
        </w:tc>
        <w:tc>
          <w:tcPr>
            <w:tcW w:w="1225" w:type="dxa"/>
            <w:noWrap/>
            <w:vAlign w:val="bottom"/>
            <w:hideMark/>
          </w:tcPr>
          <w:p w14:paraId="5A2BD44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3540</w:t>
            </w:r>
          </w:p>
        </w:tc>
      </w:tr>
      <w:tr w:rsidR="00ED6812" w:rsidRPr="00833C88" w14:paraId="48785301" w14:textId="77777777" w:rsidTr="002657FB">
        <w:trPr>
          <w:trHeight w:val="272"/>
        </w:trPr>
        <w:tc>
          <w:tcPr>
            <w:tcW w:w="3366" w:type="dxa"/>
            <w:noWrap/>
            <w:hideMark/>
          </w:tcPr>
          <w:p w14:paraId="4FD92362"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TJ</w:t>
            </w:r>
          </w:p>
        </w:tc>
        <w:tc>
          <w:tcPr>
            <w:tcW w:w="233" w:type="dxa"/>
            <w:noWrap/>
            <w:vAlign w:val="bottom"/>
            <w:hideMark/>
          </w:tcPr>
          <w:p w14:paraId="582F5784"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2B3D58E4"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1121137</w:t>
            </w:r>
          </w:p>
        </w:tc>
        <w:tc>
          <w:tcPr>
            <w:tcW w:w="1156" w:type="dxa"/>
            <w:noWrap/>
            <w:vAlign w:val="bottom"/>
            <w:hideMark/>
          </w:tcPr>
          <w:p w14:paraId="6B87F8E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1427</w:t>
            </w:r>
          </w:p>
        </w:tc>
        <w:tc>
          <w:tcPr>
            <w:tcW w:w="1124" w:type="dxa"/>
            <w:noWrap/>
            <w:vAlign w:val="bottom"/>
            <w:hideMark/>
          </w:tcPr>
          <w:p w14:paraId="5A65444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407907</w:t>
            </w:r>
          </w:p>
        </w:tc>
        <w:tc>
          <w:tcPr>
            <w:tcW w:w="1193" w:type="dxa"/>
            <w:noWrap/>
            <w:vAlign w:val="bottom"/>
            <w:hideMark/>
          </w:tcPr>
          <w:p w14:paraId="79F87F9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708480</w:t>
            </w:r>
          </w:p>
        </w:tc>
        <w:tc>
          <w:tcPr>
            <w:tcW w:w="1225" w:type="dxa"/>
            <w:noWrap/>
            <w:vAlign w:val="bottom"/>
            <w:hideMark/>
          </w:tcPr>
          <w:p w14:paraId="4D4418C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3323</w:t>
            </w:r>
          </w:p>
        </w:tc>
      </w:tr>
      <w:tr w:rsidR="00ED6812" w:rsidRPr="00833C88" w14:paraId="10500129" w14:textId="77777777" w:rsidTr="002657FB">
        <w:trPr>
          <w:trHeight w:val="378"/>
        </w:trPr>
        <w:tc>
          <w:tcPr>
            <w:tcW w:w="3366" w:type="dxa"/>
            <w:noWrap/>
            <w:vAlign w:val="bottom"/>
            <w:hideMark/>
          </w:tcPr>
          <w:p w14:paraId="4B1521BB"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Węgiel brunatny (lignit)</w:t>
            </w:r>
          </w:p>
        </w:tc>
        <w:tc>
          <w:tcPr>
            <w:tcW w:w="233" w:type="dxa"/>
            <w:noWrap/>
            <w:vAlign w:val="bottom"/>
            <w:hideMark/>
          </w:tcPr>
          <w:p w14:paraId="04BBF10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391986AF"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2350C0D1"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6C01D236"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1CEA5BFA"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65D7511F" w14:textId="77777777" w:rsidR="00ED6812" w:rsidRPr="00833C88" w:rsidRDefault="00ED6812" w:rsidP="000F7D32">
            <w:pPr>
              <w:spacing w:after="0"/>
              <w:rPr>
                <w:rFonts w:eastAsia="Times New Roman" w:cs="Times New Roman"/>
                <w:sz w:val="18"/>
                <w:szCs w:val="18"/>
                <w:lang w:eastAsia="pl-PL"/>
              </w:rPr>
            </w:pPr>
          </w:p>
        </w:tc>
      </w:tr>
      <w:tr w:rsidR="00ED6812" w:rsidRPr="00833C88" w14:paraId="18866DF8" w14:textId="77777777" w:rsidTr="002657FB">
        <w:trPr>
          <w:trHeight w:val="272"/>
        </w:trPr>
        <w:tc>
          <w:tcPr>
            <w:tcW w:w="3366" w:type="dxa"/>
            <w:noWrap/>
            <w:hideMark/>
          </w:tcPr>
          <w:p w14:paraId="68492EC6" w14:textId="77777777" w:rsidR="00ED6812" w:rsidRPr="00833C88" w:rsidRDefault="00ED6812" w:rsidP="000F7D32">
            <w:pPr>
              <w:spacing w:after="0"/>
              <w:rPr>
                <w:rFonts w:eastAsia="Times New Roman" w:cs="Times New Roman"/>
                <w:color w:val="595959"/>
                <w:sz w:val="18"/>
                <w:szCs w:val="18"/>
                <w:lang w:eastAsia="pl-PL"/>
              </w:rPr>
            </w:pPr>
            <w:proofErr w:type="spellStart"/>
            <w:r w:rsidRPr="00833C88">
              <w:rPr>
                <w:rFonts w:eastAsia="Times New Roman" w:cs="Times New Roman"/>
                <w:color w:val="595959"/>
                <w:sz w:val="18"/>
                <w:szCs w:val="18"/>
                <w:lang w:eastAsia="pl-PL"/>
              </w:rPr>
              <w:t>Lignite</w:t>
            </w:r>
            <w:proofErr w:type="spellEnd"/>
          </w:p>
        </w:tc>
        <w:tc>
          <w:tcPr>
            <w:tcW w:w="233" w:type="dxa"/>
            <w:noWrap/>
            <w:vAlign w:val="bottom"/>
            <w:hideMark/>
          </w:tcPr>
          <w:p w14:paraId="5A945A9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08633117"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605EEC9C"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34A811C9"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2EBF2230"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758F60EE" w14:textId="77777777" w:rsidR="00ED6812" w:rsidRPr="00833C88" w:rsidRDefault="00ED6812" w:rsidP="000F7D32">
            <w:pPr>
              <w:spacing w:after="0"/>
              <w:rPr>
                <w:rFonts w:eastAsia="Times New Roman" w:cs="Times New Roman"/>
                <w:sz w:val="18"/>
                <w:szCs w:val="18"/>
                <w:lang w:eastAsia="pl-PL"/>
              </w:rPr>
            </w:pPr>
          </w:p>
        </w:tc>
      </w:tr>
      <w:tr w:rsidR="00ED6812" w:rsidRPr="00833C88" w14:paraId="36D88C79" w14:textId="77777777" w:rsidTr="002657FB">
        <w:trPr>
          <w:trHeight w:val="302"/>
        </w:trPr>
        <w:tc>
          <w:tcPr>
            <w:tcW w:w="3366" w:type="dxa"/>
            <w:noWrap/>
            <w:vAlign w:val="bottom"/>
            <w:hideMark/>
          </w:tcPr>
          <w:p w14:paraId="78357EF5"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tys. </w:t>
            </w:r>
            <w:proofErr w:type="gramStart"/>
            <w:r w:rsidRPr="00833C88">
              <w:rPr>
                <w:rFonts w:eastAsia="Times New Roman" w:cs="Times New Roman"/>
                <w:sz w:val="18"/>
                <w:szCs w:val="18"/>
                <w:lang w:eastAsia="pl-PL"/>
              </w:rPr>
              <w:t>t  …</w:t>
            </w:r>
            <w:proofErr w:type="gramEnd"/>
            <w:r w:rsidRPr="00833C88">
              <w:rPr>
                <w:rFonts w:eastAsia="Times New Roman" w:cs="Times New Roman"/>
                <w:sz w:val="18"/>
                <w:szCs w:val="18"/>
                <w:lang w:eastAsia="pl-PL"/>
              </w:rPr>
              <w:t>…………………………</w:t>
            </w:r>
            <w:proofErr w:type="gramStart"/>
            <w:r w:rsidRPr="00833C88">
              <w:rPr>
                <w:rFonts w:eastAsia="Times New Roman" w:cs="Times New Roman"/>
                <w:sz w:val="18"/>
                <w:szCs w:val="18"/>
                <w:lang w:eastAsia="pl-PL"/>
              </w:rPr>
              <w:t>…….</w:t>
            </w:r>
            <w:proofErr w:type="gramEnd"/>
            <w:r w:rsidRPr="00833C88">
              <w:rPr>
                <w:rFonts w:eastAsia="Times New Roman" w:cs="Times New Roman"/>
                <w:sz w:val="18"/>
                <w:szCs w:val="18"/>
                <w:lang w:eastAsia="pl-PL"/>
              </w:rPr>
              <w:t>.…</w:t>
            </w:r>
            <w:proofErr w:type="gramStart"/>
            <w:r w:rsidRPr="00833C88">
              <w:rPr>
                <w:rFonts w:eastAsia="Times New Roman" w:cs="Times New Roman"/>
                <w:sz w:val="18"/>
                <w:szCs w:val="18"/>
                <w:lang w:eastAsia="pl-PL"/>
              </w:rPr>
              <w:t>…….</w:t>
            </w:r>
            <w:proofErr w:type="gramEnd"/>
          </w:p>
        </w:tc>
        <w:tc>
          <w:tcPr>
            <w:tcW w:w="233" w:type="dxa"/>
            <w:noWrap/>
            <w:vAlign w:val="bottom"/>
            <w:hideMark/>
          </w:tcPr>
          <w:p w14:paraId="3754823A"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4014C36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54560</w:t>
            </w:r>
          </w:p>
        </w:tc>
        <w:tc>
          <w:tcPr>
            <w:tcW w:w="1156" w:type="dxa"/>
            <w:noWrap/>
            <w:vAlign w:val="bottom"/>
            <w:hideMark/>
          </w:tcPr>
          <w:p w14:paraId="779972E6"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42</w:t>
            </w:r>
          </w:p>
        </w:tc>
        <w:tc>
          <w:tcPr>
            <w:tcW w:w="1124" w:type="dxa"/>
            <w:noWrap/>
            <w:vAlign w:val="bottom"/>
            <w:hideMark/>
          </w:tcPr>
          <w:p w14:paraId="54D9E70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53</w:t>
            </w:r>
          </w:p>
        </w:tc>
        <w:tc>
          <w:tcPr>
            <w:tcW w:w="1193" w:type="dxa"/>
            <w:noWrap/>
            <w:vAlign w:val="bottom"/>
            <w:hideMark/>
          </w:tcPr>
          <w:p w14:paraId="467FD82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54465</w:t>
            </w:r>
          </w:p>
        </w:tc>
        <w:tc>
          <w:tcPr>
            <w:tcW w:w="1225" w:type="dxa"/>
            <w:noWrap/>
            <w:vAlign w:val="bottom"/>
            <w:hideMark/>
          </w:tcPr>
          <w:p w14:paraId="3194DC6A"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23040BC1" w14:textId="77777777" w:rsidTr="002657FB">
        <w:trPr>
          <w:trHeight w:val="272"/>
        </w:trPr>
        <w:tc>
          <w:tcPr>
            <w:tcW w:w="3366" w:type="dxa"/>
            <w:noWrap/>
            <w:hideMark/>
          </w:tcPr>
          <w:p w14:paraId="2C91E01D"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w:t>
            </w:r>
            <w:proofErr w:type="spellStart"/>
            <w:r w:rsidRPr="00833C88">
              <w:rPr>
                <w:rFonts w:eastAsia="Times New Roman" w:cs="Times New Roman"/>
                <w:color w:val="595959"/>
                <w:sz w:val="18"/>
                <w:szCs w:val="18"/>
                <w:lang w:eastAsia="pl-PL"/>
              </w:rPr>
              <w:t>thousand</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tonnes</w:t>
            </w:r>
            <w:proofErr w:type="spellEnd"/>
          </w:p>
        </w:tc>
        <w:tc>
          <w:tcPr>
            <w:tcW w:w="233" w:type="dxa"/>
            <w:noWrap/>
            <w:vAlign w:val="bottom"/>
            <w:hideMark/>
          </w:tcPr>
          <w:p w14:paraId="734F906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4E6481E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40077</w:t>
            </w:r>
          </w:p>
        </w:tc>
        <w:tc>
          <w:tcPr>
            <w:tcW w:w="1156" w:type="dxa"/>
            <w:noWrap/>
            <w:vAlign w:val="bottom"/>
            <w:hideMark/>
          </w:tcPr>
          <w:p w14:paraId="00D8991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31</w:t>
            </w:r>
          </w:p>
        </w:tc>
        <w:tc>
          <w:tcPr>
            <w:tcW w:w="1124" w:type="dxa"/>
            <w:noWrap/>
            <w:vAlign w:val="bottom"/>
            <w:hideMark/>
          </w:tcPr>
          <w:p w14:paraId="1075F235"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44</w:t>
            </w:r>
          </w:p>
        </w:tc>
        <w:tc>
          <w:tcPr>
            <w:tcW w:w="1193" w:type="dxa"/>
            <w:noWrap/>
            <w:vAlign w:val="bottom"/>
            <w:hideMark/>
          </w:tcPr>
          <w:p w14:paraId="17D98F7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40002</w:t>
            </w:r>
          </w:p>
        </w:tc>
        <w:tc>
          <w:tcPr>
            <w:tcW w:w="1225" w:type="dxa"/>
            <w:noWrap/>
            <w:vAlign w:val="bottom"/>
            <w:hideMark/>
          </w:tcPr>
          <w:p w14:paraId="106237D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06B94C5F" w14:textId="77777777" w:rsidTr="002657FB">
        <w:trPr>
          <w:trHeight w:val="393"/>
        </w:trPr>
        <w:tc>
          <w:tcPr>
            <w:tcW w:w="3366" w:type="dxa"/>
            <w:noWrap/>
            <w:vAlign w:val="bottom"/>
            <w:hideMark/>
          </w:tcPr>
          <w:p w14:paraId="6D43BD7F"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TJ</w:t>
            </w:r>
          </w:p>
        </w:tc>
        <w:tc>
          <w:tcPr>
            <w:tcW w:w="233" w:type="dxa"/>
            <w:noWrap/>
            <w:vAlign w:val="bottom"/>
            <w:hideMark/>
          </w:tcPr>
          <w:p w14:paraId="5AC9932E"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02202C73"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443560</w:t>
            </w:r>
          </w:p>
        </w:tc>
        <w:tc>
          <w:tcPr>
            <w:tcW w:w="1156" w:type="dxa"/>
            <w:noWrap/>
            <w:vAlign w:val="bottom"/>
            <w:hideMark/>
          </w:tcPr>
          <w:p w14:paraId="2755D80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470</w:t>
            </w:r>
          </w:p>
        </w:tc>
        <w:tc>
          <w:tcPr>
            <w:tcW w:w="1124" w:type="dxa"/>
            <w:noWrap/>
            <w:vAlign w:val="bottom"/>
            <w:hideMark/>
          </w:tcPr>
          <w:p w14:paraId="234C2F8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778</w:t>
            </w:r>
          </w:p>
        </w:tc>
        <w:tc>
          <w:tcPr>
            <w:tcW w:w="1193" w:type="dxa"/>
            <w:noWrap/>
            <w:vAlign w:val="bottom"/>
            <w:hideMark/>
          </w:tcPr>
          <w:p w14:paraId="3CC80903"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442312</w:t>
            </w:r>
          </w:p>
        </w:tc>
        <w:tc>
          <w:tcPr>
            <w:tcW w:w="1225" w:type="dxa"/>
            <w:noWrap/>
            <w:vAlign w:val="bottom"/>
            <w:hideMark/>
          </w:tcPr>
          <w:p w14:paraId="610E900E"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6E26CDDF" w14:textId="77777777" w:rsidTr="002657FB">
        <w:trPr>
          <w:trHeight w:val="272"/>
        </w:trPr>
        <w:tc>
          <w:tcPr>
            <w:tcW w:w="3366" w:type="dxa"/>
            <w:noWrap/>
            <w:hideMark/>
          </w:tcPr>
          <w:p w14:paraId="0DB37F7A"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TJ</w:t>
            </w:r>
          </w:p>
        </w:tc>
        <w:tc>
          <w:tcPr>
            <w:tcW w:w="233" w:type="dxa"/>
            <w:noWrap/>
            <w:vAlign w:val="bottom"/>
            <w:hideMark/>
          </w:tcPr>
          <w:p w14:paraId="3A2E302E"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18FB2BC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327131</w:t>
            </w:r>
          </w:p>
        </w:tc>
        <w:tc>
          <w:tcPr>
            <w:tcW w:w="1156" w:type="dxa"/>
            <w:noWrap/>
            <w:vAlign w:val="bottom"/>
            <w:hideMark/>
          </w:tcPr>
          <w:p w14:paraId="76CB4DA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326</w:t>
            </w:r>
          </w:p>
        </w:tc>
        <w:tc>
          <w:tcPr>
            <w:tcW w:w="1124" w:type="dxa"/>
            <w:noWrap/>
            <w:vAlign w:val="bottom"/>
            <w:hideMark/>
          </w:tcPr>
          <w:p w14:paraId="706FE4A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608</w:t>
            </w:r>
          </w:p>
        </w:tc>
        <w:tc>
          <w:tcPr>
            <w:tcW w:w="1193" w:type="dxa"/>
            <w:noWrap/>
            <w:vAlign w:val="bottom"/>
            <w:hideMark/>
          </w:tcPr>
          <w:p w14:paraId="0FA2B4D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326197</w:t>
            </w:r>
          </w:p>
        </w:tc>
        <w:tc>
          <w:tcPr>
            <w:tcW w:w="1225" w:type="dxa"/>
            <w:noWrap/>
            <w:vAlign w:val="bottom"/>
            <w:hideMark/>
          </w:tcPr>
          <w:p w14:paraId="7000EA3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1043066B" w14:textId="77777777" w:rsidTr="002657FB">
        <w:trPr>
          <w:trHeight w:val="378"/>
        </w:trPr>
        <w:tc>
          <w:tcPr>
            <w:tcW w:w="3366" w:type="dxa"/>
            <w:noWrap/>
            <w:vAlign w:val="bottom"/>
            <w:hideMark/>
          </w:tcPr>
          <w:p w14:paraId="61B4C857"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Ropa naftowa</w:t>
            </w:r>
          </w:p>
        </w:tc>
        <w:tc>
          <w:tcPr>
            <w:tcW w:w="233" w:type="dxa"/>
            <w:noWrap/>
            <w:vAlign w:val="bottom"/>
            <w:hideMark/>
          </w:tcPr>
          <w:p w14:paraId="6F7693D5"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3312579A"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61B7874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58CDDB4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6C6211E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0954AB79" w14:textId="77777777" w:rsidR="00ED6812" w:rsidRPr="00833C88" w:rsidRDefault="00ED6812" w:rsidP="000F7D32">
            <w:pPr>
              <w:spacing w:after="0"/>
              <w:jc w:val="right"/>
              <w:rPr>
                <w:rFonts w:eastAsia="Times New Roman" w:cs="Times New Roman"/>
                <w:sz w:val="18"/>
                <w:szCs w:val="18"/>
                <w:lang w:eastAsia="pl-PL"/>
              </w:rPr>
            </w:pPr>
          </w:p>
        </w:tc>
      </w:tr>
      <w:tr w:rsidR="00ED6812" w:rsidRPr="00833C88" w14:paraId="3819B023" w14:textId="77777777" w:rsidTr="002657FB">
        <w:trPr>
          <w:trHeight w:val="272"/>
        </w:trPr>
        <w:tc>
          <w:tcPr>
            <w:tcW w:w="3366" w:type="dxa"/>
            <w:noWrap/>
            <w:hideMark/>
          </w:tcPr>
          <w:p w14:paraId="7659F8F4" w14:textId="77777777" w:rsidR="00ED6812" w:rsidRPr="00833C88" w:rsidRDefault="00ED6812" w:rsidP="000F7D32">
            <w:pPr>
              <w:spacing w:after="0"/>
              <w:rPr>
                <w:rFonts w:eastAsia="Times New Roman" w:cs="Times New Roman"/>
                <w:color w:val="595959"/>
                <w:sz w:val="18"/>
                <w:szCs w:val="18"/>
                <w:lang w:eastAsia="pl-PL"/>
              </w:rPr>
            </w:pPr>
            <w:proofErr w:type="spellStart"/>
            <w:r w:rsidRPr="00833C88">
              <w:rPr>
                <w:rFonts w:eastAsia="Times New Roman" w:cs="Times New Roman"/>
                <w:color w:val="595959"/>
                <w:sz w:val="18"/>
                <w:szCs w:val="18"/>
                <w:lang w:eastAsia="pl-PL"/>
              </w:rPr>
              <w:t>Crude</w:t>
            </w:r>
            <w:proofErr w:type="spellEnd"/>
            <w:r w:rsidRPr="00833C88">
              <w:rPr>
                <w:rFonts w:eastAsia="Times New Roman" w:cs="Times New Roman"/>
                <w:color w:val="595959"/>
                <w:sz w:val="18"/>
                <w:szCs w:val="18"/>
                <w:lang w:eastAsia="pl-PL"/>
              </w:rPr>
              <w:t xml:space="preserve"> oil</w:t>
            </w:r>
          </w:p>
        </w:tc>
        <w:tc>
          <w:tcPr>
            <w:tcW w:w="233" w:type="dxa"/>
            <w:noWrap/>
            <w:vAlign w:val="bottom"/>
            <w:hideMark/>
          </w:tcPr>
          <w:p w14:paraId="74B0B0C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397AEA82"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3B834ED3"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3773C713"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6FA8F63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3FFBC0A1" w14:textId="77777777" w:rsidR="00ED6812" w:rsidRPr="00833C88" w:rsidRDefault="00ED6812" w:rsidP="000F7D32">
            <w:pPr>
              <w:spacing w:after="0"/>
              <w:jc w:val="right"/>
              <w:rPr>
                <w:rFonts w:eastAsia="Times New Roman" w:cs="Times New Roman"/>
                <w:sz w:val="18"/>
                <w:szCs w:val="18"/>
                <w:lang w:eastAsia="pl-PL"/>
              </w:rPr>
            </w:pPr>
          </w:p>
        </w:tc>
      </w:tr>
      <w:tr w:rsidR="00ED6812" w:rsidRPr="00833C88" w14:paraId="6D49BEBF" w14:textId="77777777" w:rsidTr="002657FB">
        <w:trPr>
          <w:trHeight w:val="302"/>
        </w:trPr>
        <w:tc>
          <w:tcPr>
            <w:tcW w:w="3366" w:type="dxa"/>
            <w:noWrap/>
            <w:vAlign w:val="bottom"/>
            <w:hideMark/>
          </w:tcPr>
          <w:p w14:paraId="4C870BC6"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tys. t …………………………………...…</w:t>
            </w:r>
            <w:proofErr w:type="gramStart"/>
            <w:r w:rsidRPr="00833C88">
              <w:rPr>
                <w:rFonts w:eastAsia="Times New Roman" w:cs="Times New Roman"/>
                <w:sz w:val="18"/>
                <w:szCs w:val="18"/>
                <w:lang w:eastAsia="pl-PL"/>
              </w:rPr>
              <w:t>…….</w:t>
            </w:r>
            <w:proofErr w:type="gramEnd"/>
            <w:r w:rsidRPr="00833C88">
              <w:rPr>
                <w:rFonts w:eastAsia="Times New Roman" w:cs="Times New Roman"/>
                <w:sz w:val="18"/>
                <w:szCs w:val="18"/>
                <w:lang w:eastAsia="pl-PL"/>
              </w:rPr>
              <w:t>.</w:t>
            </w:r>
          </w:p>
        </w:tc>
        <w:tc>
          <w:tcPr>
            <w:tcW w:w="233" w:type="dxa"/>
            <w:noWrap/>
            <w:vAlign w:val="bottom"/>
            <w:hideMark/>
          </w:tcPr>
          <w:p w14:paraId="73DB9BB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4AF0E3AA"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26645</w:t>
            </w:r>
          </w:p>
        </w:tc>
        <w:tc>
          <w:tcPr>
            <w:tcW w:w="1156" w:type="dxa"/>
            <w:noWrap/>
            <w:vAlign w:val="bottom"/>
            <w:hideMark/>
          </w:tcPr>
          <w:p w14:paraId="165ACF1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124" w:type="dxa"/>
            <w:noWrap/>
            <w:vAlign w:val="bottom"/>
            <w:hideMark/>
          </w:tcPr>
          <w:p w14:paraId="34C7997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26645</w:t>
            </w:r>
          </w:p>
        </w:tc>
        <w:tc>
          <w:tcPr>
            <w:tcW w:w="1193" w:type="dxa"/>
            <w:noWrap/>
            <w:vAlign w:val="bottom"/>
            <w:hideMark/>
          </w:tcPr>
          <w:p w14:paraId="6858657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225" w:type="dxa"/>
            <w:noWrap/>
            <w:vAlign w:val="bottom"/>
            <w:hideMark/>
          </w:tcPr>
          <w:p w14:paraId="223884C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1D858A40" w14:textId="77777777" w:rsidTr="002657FB">
        <w:trPr>
          <w:trHeight w:val="272"/>
        </w:trPr>
        <w:tc>
          <w:tcPr>
            <w:tcW w:w="3366" w:type="dxa"/>
            <w:noWrap/>
            <w:hideMark/>
          </w:tcPr>
          <w:p w14:paraId="41278F09"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w:t>
            </w:r>
            <w:proofErr w:type="spellStart"/>
            <w:r w:rsidRPr="00833C88">
              <w:rPr>
                <w:rFonts w:eastAsia="Times New Roman" w:cs="Times New Roman"/>
                <w:color w:val="595959"/>
                <w:sz w:val="18"/>
                <w:szCs w:val="18"/>
                <w:lang w:eastAsia="pl-PL"/>
              </w:rPr>
              <w:t>thousand</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tonnes</w:t>
            </w:r>
            <w:proofErr w:type="spellEnd"/>
          </w:p>
        </w:tc>
        <w:tc>
          <w:tcPr>
            <w:tcW w:w="233" w:type="dxa"/>
            <w:noWrap/>
            <w:vAlign w:val="bottom"/>
            <w:hideMark/>
          </w:tcPr>
          <w:p w14:paraId="25A72A9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191A4A16"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24979</w:t>
            </w:r>
          </w:p>
        </w:tc>
        <w:tc>
          <w:tcPr>
            <w:tcW w:w="1156" w:type="dxa"/>
            <w:noWrap/>
            <w:vAlign w:val="bottom"/>
            <w:hideMark/>
          </w:tcPr>
          <w:p w14:paraId="2098F64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124" w:type="dxa"/>
            <w:noWrap/>
            <w:vAlign w:val="bottom"/>
            <w:hideMark/>
          </w:tcPr>
          <w:p w14:paraId="272DA65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24979</w:t>
            </w:r>
          </w:p>
        </w:tc>
        <w:tc>
          <w:tcPr>
            <w:tcW w:w="1193" w:type="dxa"/>
            <w:noWrap/>
            <w:vAlign w:val="bottom"/>
            <w:hideMark/>
          </w:tcPr>
          <w:p w14:paraId="1D5229B3"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225" w:type="dxa"/>
            <w:noWrap/>
            <w:vAlign w:val="bottom"/>
            <w:hideMark/>
          </w:tcPr>
          <w:p w14:paraId="74167B4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050A7746" w14:textId="77777777" w:rsidTr="002657FB">
        <w:trPr>
          <w:trHeight w:val="393"/>
        </w:trPr>
        <w:tc>
          <w:tcPr>
            <w:tcW w:w="3366" w:type="dxa"/>
            <w:noWrap/>
            <w:vAlign w:val="bottom"/>
            <w:hideMark/>
          </w:tcPr>
          <w:p w14:paraId="2715792A"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w:t>
            </w:r>
            <w:proofErr w:type="gramStart"/>
            <w:r w:rsidRPr="00833C88">
              <w:rPr>
                <w:rFonts w:eastAsia="Times New Roman" w:cs="Times New Roman"/>
                <w:sz w:val="18"/>
                <w:szCs w:val="18"/>
                <w:lang w:eastAsia="pl-PL"/>
              </w:rPr>
              <w:t>TJ  …</w:t>
            </w:r>
            <w:proofErr w:type="gramEnd"/>
            <w:r w:rsidRPr="00833C88">
              <w:rPr>
                <w:rFonts w:eastAsia="Times New Roman" w:cs="Times New Roman"/>
                <w:sz w:val="18"/>
                <w:szCs w:val="18"/>
                <w:lang w:eastAsia="pl-PL"/>
              </w:rPr>
              <w:t>……………………………………...</w:t>
            </w:r>
            <w:proofErr w:type="gramStart"/>
            <w:r w:rsidRPr="00833C88">
              <w:rPr>
                <w:rFonts w:eastAsia="Times New Roman" w:cs="Times New Roman"/>
                <w:sz w:val="18"/>
                <w:szCs w:val="18"/>
                <w:lang w:eastAsia="pl-PL"/>
              </w:rPr>
              <w:t>…….</w:t>
            </w:r>
            <w:proofErr w:type="gramEnd"/>
          </w:p>
        </w:tc>
        <w:tc>
          <w:tcPr>
            <w:tcW w:w="233" w:type="dxa"/>
            <w:noWrap/>
            <w:vAlign w:val="bottom"/>
            <w:hideMark/>
          </w:tcPr>
          <w:p w14:paraId="7DD617C5"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195AE6C4"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1132426</w:t>
            </w:r>
          </w:p>
        </w:tc>
        <w:tc>
          <w:tcPr>
            <w:tcW w:w="1156" w:type="dxa"/>
            <w:noWrap/>
            <w:vAlign w:val="bottom"/>
            <w:hideMark/>
          </w:tcPr>
          <w:p w14:paraId="4F53ACF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124" w:type="dxa"/>
            <w:noWrap/>
            <w:vAlign w:val="bottom"/>
            <w:hideMark/>
          </w:tcPr>
          <w:p w14:paraId="581F6FA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1132426</w:t>
            </w:r>
          </w:p>
        </w:tc>
        <w:tc>
          <w:tcPr>
            <w:tcW w:w="1193" w:type="dxa"/>
            <w:noWrap/>
            <w:vAlign w:val="bottom"/>
            <w:hideMark/>
          </w:tcPr>
          <w:p w14:paraId="490C018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225" w:type="dxa"/>
            <w:noWrap/>
            <w:vAlign w:val="bottom"/>
            <w:hideMark/>
          </w:tcPr>
          <w:p w14:paraId="6CA4B04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5B088CAC" w14:textId="77777777" w:rsidTr="002657FB">
        <w:trPr>
          <w:trHeight w:val="272"/>
        </w:trPr>
        <w:tc>
          <w:tcPr>
            <w:tcW w:w="3366" w:type="dxa"/>
            <w:noWrap/>
            <w:hideMark/>
          </w:tcPr>
          <w:p w14:paraId="7D8E5AD1"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TJ</w:t>
            </w:r>
          </w:p>
        </w:tc>
        <w:tc>
          <w:tcPr>
            <w:tcW w:w="233" w:type="dxa"/>
            <w:noWrap/>
            <w:vAlign w:val="bottom"/>
            <w:hideMark/>
          </w:tcPr>
          <w:p w14:paraId="593F127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63B33F1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1061633</w:t>
            </w:r>
          </w:p>
        </w:tc>
        <w:tc>
          <w:tcPr>
            <w:tcW w:w="1156" w:type="dxa"/>
            <w:noWrap/>
            <w:vAlign w:val="bottom"/>
            <w:hideMark/>
          </w:tcPr>
          <w:p w14:paraId="6E88E8A4"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124" w:type="dxa"/>
            <w:noWrap/>
            <w:vAlign w:val="bottom"/>
            <w:hideMark/>
          </w:tcPr>
          <w:p w14:paraId="1551C2C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1061633</w:t>
            </w:r>
          </w:p>
        </w:tc>
        <w:tc>
          <w:tcPr>
            <w:tcW w:w="1193" w:type="dxa"/>
            <w:noWrap/>
            <w:vAlign w:val="bottom"/>
            <w:hideMark/>
          </w:tcPr>
          <w:p w14:paraId="7CA9449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c>
          <w:tcPr>
            <w:tcW w:w="1225" w:type="dxa"/>
            <w:noWrap/>
            <w:vAlign w:val="bottom"/>
            <w:hideMark/>
          </w:tcPr>
          <w:p w14:paraId="04B97D4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w:t>
            </w:r>
          </w:p>
        </w:tc>
      </w:tr>
      <w:tr w:rsidR="00ED6812" w:rsidRPr="00833C88" w14:paraId="581CAA71" w14:textId="77777777" w:rsidTr="002657FB">
        <w:trPr>
          <w:trHeight w:val="378"/>
        </w:trPr>
        <w:tc>
          <w:tcPr>
            <w:tcW w:w="3366" w:type="dxa"/>
            <w:noWrap/>
            <w:vAlign w:val="bottom"/>
            <w:hideMark/>
          </w:tcPr>
          <w:p w14:paraId="720987EF"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Gaz ziemny wysokometanowy</w:t>
            </w:r>
          </w:p>
        </w:tc>
        <w:tc>
          <w:tcPr>
            <w:tcW w:w="233" w:type="dxa"/>
            <w:noWrap/>
            <w:vAlign w:val="bottom"/>
            <w:hideMark/>
          </w:tcPr>
          <w:p w14:paraId="72B0D9C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059F8E2C"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551DF09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78A3E36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42583E7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4E601BF0" w14:textId="77777777" w:rsidR="00ED6812" w:rsidRPr="00833C88" w:rsidRDefault="00ED6812" w:rsidP="000F7D32">
            <w:pPr>
              <w:spacing w:after="0"/>
              <w:jc w:val="right"/>
              <w:rPr>
                <w:rFonts w:eastAsia="Times New Roman" w:cs="Times New Roman"/>
                <w:sz w:val="18"/>
                <w:szCs w:val="18"/>
                <w:lang w:eastAsia="pl-PL"/>
              </w:rPr>
            </w:pPr>
          </w:p>
        </w:tc>
      </w:tr>
      <w:tr w:rsidR="00ED6812" w:rsidRPr="00833C88" w14:paraId="3B89B722" w14:textId="77777777" w:rsidTr="002657FB">
        <w:trPr>
          <w:trHeight w:val="287"/>
        </w:trPr>
        <w:tc>
          <w:tcPr>
            <w:tcW w:w="3366" w:type="dxa"/>
            <w:noWrap/>
            <w:hideMark/>
          </w:tcPr>
          <w:p w14:paraId="5EC38C3D"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High-</w:t>
            </w:r>
            <w:proofErr w:type="spellStart"/>
            <w:r w:rsidRPr="00833C88">
              <w:rPr>
                <w:rFonts w:eastAsia="Times New Roman" w:cs="Times New Roman"/>
                <w:color w:val="595959"/>
                <w:sz w:val="18"/>
                <w:szCs w:val="18"/>
                <w:lang w:eastAsia="pl-PL"/>
              </w:rPr>
              <w:t>methane</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natural</w:t>
            </w:r>
            <w:proofErr w:type="spellEnd"/>
            <w:r w:rsidRPr="00833C88">
              <w:rPr>
                <w:rFonts w:eastAsia="Times New Roman" w:cs="Times New Roman"/>
                <w:color w:val="595959"/>
                <w:sz w:val="18"/>
                <w:szCs w:val="18"/>
                <w:lang w:eastAsia="pl-PL"/>
              </w:rPr>
              <w:t xml:space="preserve"> </w:t>
            </w:r>
            <w:proofErr w:type="spellStart"/>
            <w:r w:rsidRPr="00833C88">
              <w:rPr>
                <w:rFonts w:eastAsia="Times New Roman" w:cs="Times New Roman"/>
                <w:color w:val="595959"/>
                <w:sz w:val="18"/>
                <w:szCs w:val="18"/>
                <w:lang w:eastAsia="pl-PL"/>
              </w:rPr>
              <w:t>gas</w:t>
            </w:r>
            <w:proofErr w:type="spellEnd"/>
          </w:p>
        </w:tc>
        <w:tc>
          <w:tcPr>
            <w:tcW w:w="233" w:type="dxa"/>
            <w:noWrap/>
            <w:vAlign w:val="bottom"/>
            <w:hideMark/>
          </w:tcPr>
          <w:p w14:paraId="0EE7DC2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6FF65FEB"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59CAB5B4"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50A993A1"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14916E25"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2A3B2F13" w14:textId="77777777" w:rsidR="00ED6812" w:rsidRPr="00833C88" w:rsidRDefault="00ED6812" w:rsidP="000F7D32">
            <w:pPr>
              <w:spacing w:after="0"/>
              <w:jc w:val="right"/>
              <w:rPr>
                <w:rFonts w:eastAsia="Times New Roman" w:cs="Times New Roman"/>
                <w:sz w:val="18"/>
                <w:szCs w:val="18"/>
                <w:lang w:eastAsia="pl-PL"/>
              </w:rPr>
            </w:pPr>
          </w:p>
        </w:tc>
      </w:tr>
      <w:tr w:rsidR="00ED6812" w:rsidRPr="00833C88" w14:paraId="017BF190" w14:textId="77777777" w:rsidTr="002657FB">
        <w:trPr>
          <w:trHeight w:val="302"/>
        </w:trPr>
        <w:tc>
          <w:tcPr>
            <w:tcW w:w="3366" w:type="dxa"/>
            <w:noWrap/>
            <w:vAlign w:val="bottom"/>
            <w:hideMark/>
          </w:tcPr>
          <w:p w14:paraId="2D4354EA"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t>
            </w:r>
            <w:proofErr w:type="gramStart"/>
            <w:r w:rsidRPr="00833C88">
              <w:rPr>
                <w:rFonts w:eastAsia="Times New Roman" w:cs="Times New Roman"/>
                <w:sz w:val="18"/>
                <w:szCs w:val="18"/>
                <w:lang w:eastAsia="pl-PL"/>
              </w:rPr>
              <w:t>w  hm</w:t>
            </w:r>
            <w:proofErr w:type="gramEnd"/>
            <w:r w:rsidRPr="00833C88">
              <w:rPr>
                <w:rFonts w:eastAsia="Times New Roman" w:cs="Times New Roman"/>
                <w:sz w:val="18"/>
                <w:szCs w:val="18"/>
                <w:vertAlign w:val="superscript"/>
                <w:lang w:eastAsia="pl-PL"/>
              </w:rPr>
              <w:t>3</w:t>
            </w:r>
            <w:r w:rsidRPr="00833C88">
              <w:rPr>
                <w:rFonts w:eastAsia="Times New Roman" w:cs="Times New Roman"/>
                <w:sz w:val="18"/>
                <w:szCs w:val="18"/>
                <w:lang w:eastAsia="pl-PL"/>
              </w:rPr>
              <w:t xml:space="preserve"> ...................................................</w:t>
            </w:r>
          </w:p>
        </w:tc>
        <w:tc>
          <w:tcPr>
            <w:tcW w:w="233" w:type="dxa"/>
            <w:noWrap/>
            <w:vAlign w:val="bottom"/>
            <w:hideMark/>
          </w:tcPr>
          <w:p w14:paraId="0B1D6C6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02D370C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9399</w:t>
            </w:r>
          </w:p>
        </w:tc>
        <w:tc>
          <w:tcPr>
            <w:tcW w:w="1156" w:type="dxa"/>
            <w:noWrap/>
            <w:vAlign w:val="bottom"/>
            <w:hideMark/>
          </w:tcPr>
          <w:p w14:paraId="049A23D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273</w:t>
            </w:r>
          </w:p>
        </w:tc>
        <w:tc>
          <w:tcPr>
            <w:tcW w:w="1124" w:type="dxa"/>
            <w:noWrap/>
            <w:vAlign w:val="bottom"/>
            <w:hideMark/>
          </w:tcPr>
          <w:p w14:paraId="285E972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7536</w:t>
            </w:r>
          </w:p>
        </w:tc>
        <w:tc>
          <w:tcPr>
            <w:tcW w:w="1193" w:type="dxa"/>
            <w:noWrap/>
            <w:vAlign w:val="bottom"/>
            <w:hideMark/>
          </w:tcPr>
          <w:p w14:paraId="4FD970AD"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1500</w:t>
            </w:r>
          </w:p>
        </w:tc>
        <w:tc>
          <w:tcPr>
            <w:tcW w:w="1225" w:type="dxa"/>
            <w:noWrap/>
            <w:vAlign w:val="bottom"/>
            <w:hideMark/>
          </w:tcPr>
          <w:p w14:paraId="63C46C4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90</w:t>
            </w:r>
          </w:p>
        </w:tc>
      </w:tr>
      <w:tr w:rsidR="00ED6812" w:rsidRPr="00833C88" w14:paraId="69D061E8" w14:textId="77777777" w:rsidTr="002657FB">
        <w:trPr>
          <w:trHeight w:val="272"/>
        </w:trPr>
        <w:tc>
          <w:tcPr>
            <w:tcW w:w="3366" w:type="dxa"/>
            <w:noWrap/>
            <w:hideMark/>
          </w:tcPr>
          <w:p w14:paraId="0AEED325"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w:t>
            </w:r>
            <w:proofErr w:type="gramStart"/>
            <w:r w:rsidRPr="00833C88">
              <w:rPr>
                <w:rFonts w:eastAsia="Times New Roman" w:cs="Times New Roman"/>
                <w:color w:val="595959"/>
                <w:sz w:val="18"/>
                <w:szCs w:val="18"/>
                <w:lang w:eastAsia="pl-PL"/>
              </w:rPr>
              <w:t>in  hm</w:t>
            </w:r>
            <w:proofErr w:type="gramEnd"/>
            <w:r w:rsidRPr="00833C88">
              <w:rPr>
                <w:rFonts w:eastAsia="Times New Roman" w:cs="Times New Roman"/>
                <w:color w:val="595959"/>
                <w:sz w:val="18"/>
                <w:szCs w:val="18"/>
                <w:vertAlign w:val="superscript"/>
                <w:lang w:eastAsia="pl-PL"/>
              </w:rPr>
              <w:t>3</w:t>
            </w:r>
          </w:p>
        </w:tc>
        <w:tc>
          <w:tcPr>
            <w:tcW w:w="233" w:type="dxa"/>
            <w:noWrap/>
            <w:vAlign w:val="bottom"/>
            <w:hideMark/>
          </w:tcPr>
          <w:p w14:paraId="0726DDE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791BB36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10293</w:t>
            </w:r>
          </w:p>
        </w:tc>
        <w:tc>
          <w:tcPr>
            <w:tcW w:w="1156" w:type="dxa"/>
            <w:noWrap/>
            <w:vAlign w:val="bottom"/>
            <w:hideMark/>
          </w:tcPr>
          <w:p w14:paraId="36BD8B3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434</w:t>
            </w:r>
          </w:p>
        </w:tc>
        <w:tc>
          <w:tcPr>
            <w:tcW w:w="1124" w:type="dxa"/>
            <w:noWrap/>
            <w:vAlign w:val="bottom"/>
            <w:hideMark/>
          </w:tcPr>
          <w:p w14:paraId="209349C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7663</w:t>
            </w:r>
          </w:p>
        </w:tc>
        <w:tc>
          <w:tcPr>
            <w:tcW w:w="1193" w:type="dxa"/>
            <w:noWrap/>
            <w:vAlign w:val="bottom"/>
            <w:hideMark/>
          </w:tcPr>
          <w:p w14:paraId="4D81132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2111</w:t>
            </w:r>
          </w:p>
        </w:tc>
        <w:tc>
          <w:tcPr>
            <w:tcW w:w="1225" w:type="dxa"/>
            <w:noWrap/>
            <w:vAlign w:val="bottom"/>
            <w:hideMark/>
          </w:tcPr>
          <w:p w14:paraId="6BC7C4A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85</w:t>
            </w:r>
          </w:p>
        </w:tc>
      </w:tr>
      <w:tr w:rsidR="00ED6812" w:rsidRPr="00833C88" w14:paraId="38558F0B" w14:textId="77777777" w:rsidTr="002657FB">
        <w:trPr>
          <w:trHeight w:val="393"/>
        </w:trPr>
        <w:tc>
          <w:tcPr>
            <w:tcW w:w="3366" w:type="dxa"/>
            <w:noWrap/>
            <w:vAlign w:val="bottom"/>
            <w:hideMark/>
          </w:tcPr>
          <w:p w14:paraId="7A48EB4D"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w:t>
            </w:r>
            <w:proofErr w:type="gramStart"/>
            <w:r w:rsidRPr="00833C88">
              <w:rPr>
                <w:rFonts w:eastAsia="Times New Roman" w:cs="Times New Roman"/>
                <w:sz w:val="18"/>
                <w:szCs w:val="18"/>
                <w:lang w:eastAsia="pl-PL"/>
              </w:rPr>
              <w:t>TJ  .....................................................</w:t>
            </w:r>
            <w:proofErr w:type="gramEnd"/>
          </w:p>
        </w:tc>
        <w:tc>
          <w:tcPr>
            <w:tcW w:w="233" w:type="dxa"/>
            <w:noWrap/>
            <w:vAlign w:val="bottom"/>
            <w:hideMark/>
          </w:tcPr>
          <w:p w14:paraId="5A77E9F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4558D3B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342094</w:t>
            </w:r>
          </w:p>
        </w:tc>
        <w:tc>
          <w:tcPr>
            <w:tcW w:w="1156" w:type="dxa"/>
            <w:noWrap/>
            <w:vAlign w:val="bottom"/>
            <w:hideMark/>
          </w:tcPr>
          <w:p w14:paraId="7BC026BE"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9199</w:t>
            </w:r>
          </w:p>
        </w:tc>
        <w:tc>
          <w:tcPr>
            <w:tcW w:w="1124" w:type="dxa"/>
            <w:noWrap/>
            <w:vAlign w:val="bottom"/>
            <w:hideMark/>
          </w:tcPr>
          <w:p w14:paraId="159B377E"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276243</w:t>
            </w:r>
          </w:p>
        </w:tc>
        <w:tc>
          <w:tcPr>
            <w:tcW w:w="1193" w:type="dxa"/>
            <w:noWrap/>
            <w:vAlign w:val="bottom"/>
            <w:hideMark/>
          </w:tcPr>
          <w:p w14:paraId="7EACA8F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53473</w:t>
            </w:r>
          </w:p>
        </w:tc>
        <w:tc>
          <w:tcPr>
            <w:tcW w:w="1225" w:type="dxa"/>
            <w:noWrap/>
            <w:vAlign w:val="bottom"/>
            <w:hideMark/>
          </w:tcPr>
          <w:p w14:paraId="40DB4E3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3179</w:t>
            </w:r>
          </w:p>
        </w:tc>
      </w:tr>
      <w:tr w:rsidR="00ED6812" w:rsidRPr="00833C88" w14:paraId="0FD44152" w14:textId="77777777" w:rsidTr="002657FB">
        <w:trPr>
          <w:trHeight w:val="272"/>
        </w:trPr>
        <w:tc>
          <w:tcPr>
            <w:tcW w:w="3366" w:type="dxa"/>
            <w:noWrap/>
            <w:hideMark/>
          </w:tcPr>
          <w:p w14:paraId="455D6FC3"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TJ</w:t>
            </w:r>
          </w:p>
        </w:tc>
        <w:tc>
          <w:tcPr>
            <w:tcW w:w="233" w:type="dxa"/>
            <w:noWrap/>
            <w:vAlign w:val="bottom"/>
            <w:hideMark/>
          </w:tcPr>
          <w:p w14:paraId="2C9572B8"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7C5EBF6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380491</w:t>
            </w:r>
          </w:p>
        </w:tc>
        <w:tc>
          <w:tcPr>
            <w:tcW w:w="1156" w:type="dxa"/>
            <w:noWrap/>
            <w:vAlign w:val="bottom"/>
            <w:hideMark/>
          </w:tcPr>
          <w:p w14:paraId="59E0D177"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15099</w:t>
            </w:r>
          </w:p>
        </w:tc>
        <w:tc>
          <w:tcPr>
            <w:tcW w:w="1124" w:type="dxa"/>
            <w:noWrap/>
            <w:vAlign w:val="bottom"/>
            <w:hideMark/>
          </w:tcPr>
          <w:p w14:paraId="20D0AB5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285650</w:t>
            </w:r>
          </w:p>
        </w:tc>
        <w:tc>
          <w:tcPr>
            <w:tcW w:w="1193" w:type="dxa"/>
            <w:noWrap/>
            <w:vAlign w:val="bottom"/>
            <w:hideMark/>
          </w:tcPr>
          <w:p w14:paraId="004A95D5"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76744</w:t>
            </w:r>
          </w:p>
        </w:tc>
        <w:tc>
          <w:tcPr>
            <w:tcW w:w="1225" w:type="dxa"/>
            <w:noWrap/>
            <w:vAlign w:val="bottom"/>
            <w:hideMark/>
          </w:tcPr>
          <w:p w14:paraId="4862C2B4"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2998</w:t>
            </w:r>
          </w:p>
        </w:tc>
      </w:tr>
      <w:tr w:rsidR="00ED6812" w:rsidRPr="00833C88" w14:paraId="2C4B15EA" w14:textId="77777777" w:rsidTr="002657FB">
        <w:trPr>
          <w:trHeight w:val="378"/>
        </w:trPr>
        <w:tc>
          <w:tcPr>
            <w:tcW w:w="3366" w:type="dxa"/>
            <w:noWrap/>
            <w:vAlign w:val="bottom"/>
            <w:hideMark/>
          </w:tcPr>
          <w:p w14:paraId="5CDAA50E"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Gaz ziemny zaazotowany</w:t>
            </w:r>
          </w:p>
        </w:tc>
        <w:tc>
          <w:tcPr>
            <w:tcW w:w="233" w:type="dxa"/>
            <w:noWrap/>
            <w:vAlign w:val="bottom"/>
            <w:hideMark/>
          </w:tcPr>
          <w:p w14:paraId="4AFAE1C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15B37086"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1FF07C21"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67D6C159"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34C4587C"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6B836F20" w14:textId="77777777" w:rsidR="00ED6812" w:rsidRPr="00833C88" w:rsidRDefault="00ED6812" w:rsidP="000F7D32">
            <w:pPr>
              <w:spacing w:after="0"/>
              <w:rPr>
                <w:rFonts w:eastAsia="Times New Roman" w:cs="Times New Roman"/>
                <w:sz w:val="18"/>
                <w:szCs w:val="18"/>
                <w:lang w:eastAsia="pl-PL"/>
              </w:rPr>
            </w:pPr>
          </w:p>
        </w:tc>
      </w:tr>
      <w:tr w:rsidR="00ED6812" w:rsidRPr="00833C88" w14:paraId="42720D2E" w14:textId="77777777" w:rsidTr="002657FB">
        <w:trPr>
          <w:trHeight w:val="272"/>
        </w:trPr>
        <w:tc>
          <w:tcPr>
            <w:tcW w:w="3366" w:type="dxa"/>
            <w:noWrap/>
            <w:hideMark/>
          </w:tcPr>
          <w:p w14:paraId="57946C13" w14:textId="77777777" w:rsidR="00ED6812" w:rsidRPr="00833C88" w:rsidRDefault="00ED6812" w:rsidP="000F7D32">
            <w:pPr>
              <w:spacing w:after="0"/>
              <w:rPr>
                <w:rFonts w:eastAsia="Times New Roman" w:cs="Times New Roman"/>
                <w:color w:val="595959"/>
                <w:sz w:val="18"/>
                <w:szCs w:val="18"/>
                <w:lang w:eastAsia="pl-PL"/>
              </w:rPr>
            </w:pPr>
            <w:proofErr w:type="spellStart"/>
            <w:r w:rsidRPr="00833C88">
              <w:rPr>
                <w:rFonts w:eastAsia="Times New Roman" w:cs="Times New Roman"/>
                <w:color w:val="595959"/>
                <w:sz w:val="18"/>
                <w:szCs w:val="18"/>
                <w:lang w:eastAsia="pl-PL"/>
              </w:rPr>
              <w:t>Nitrified</w:t>
            </w:r>
            <w:proofErr w:type="spellEnd"/>
            <w:r w:rsidRPr="00833C88">
              <w:rPr>
                <w:rFonts w:eastAsia="Times New Roman" w:cs="Times New Roman"/>
                <w:color w:val="595959"/>
                <w:sz w:val="18"/>
                <w:szCs w:val="18"/>
                <w:lang w:eastAsia="pl-PL"/>
              </w:rPr>
              <w:t xml:space="preserve"> natural </w:t>
            </w:r>
            <w:proofErr w:type="spellStart"/>
            <w:r w:rsidRPr="00833C88">
              <w:rPr>
                <w:rFonts w:eastAsia="Times New Roman" w:cs="Times New Roman"/>
                <w:color w:val="595959"/>
                <w:sz w:val="18"/>
                <w:szCs w:val="18"/>
                <w:lang w:eastAsia="pl-PL"/>
              </w:rPr>
              <w:t>gas</w:t>
            </w:r>
            <w:proofErr w:type="spellEnd"/>
          </w:p>
        </w:tc>
        <w:tc>
          <w:tcPr>
            <w:tcW w:w="233" w:type="dxa"/>
            <w:noWrap/>
            <w:vAlign w:val="bottom"/>
            <w:hideMark/>
          </w:tcPr>
          <w:p w14:paraId="74030C56"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 </w:t>
            </w:r>
          </w:p>
        </w:tc>
        <w:tc>
          <w:tcPr>
            <w:tcW w:w="719" w:type="dxa"/>
            <w:noWrap/>
            <w:vAlign w:val="bottom"/>
            <w:hideMark/>
          </w:tcPr>
          <w:p w14:paraId="33FD2D9D" w14:textId="77777777" w:rsidR="00ED6812" w:rsidRPr="00833C88" w:rsidRDefault="00ED6812" w:rsidP="000F7D32">
            <w:pPr>
              <w:spacing w:after="0"/>
              <w:jc w:val="right"/>
              <w:rPr>
                <w:rFonts w:eastAsia="Times New Roman" w:cs="Times New Roman"/>
                <w:sz w:val="18"/>
                <w:szCs w:val="18"/>
                <w:lang w:eastAsia="pl-PL"/>
              </w:rPr>
            </w:pPr>
          </w:p>
        </w:tc>
        <w:tc>
          <w:tcPr>
            <w:tcW w:w="1156" w:type="dxa"/>
            <w:noWrap/>
            <w:vAlign w:val="bottom"/>
            <w:hideMark/>
          </w:tcPr>
          <w:p w14:paraId="12CBA8F2"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24" w:type="dxa"/>
            <w:noWrap/>
            <w:vAlign w:val="bottom"/>
            <w:hideMark/>
          </w:tcPr>
          <w:p w14:paraId="2A1CF547"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193" w:type="dxa"/>
            <w:noWrap/>
            <w:vAlign w:val="bottom"/>
            <w:hideMark/>
          </w:tcPr>
          <w:p w14:paraId="33FA6276"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w:t>
            </w:r>
          </w:p>
        </w:tc>
        <w:tc>
          <w:tcPr>
            <w:tcW w:w="1225" w:type="dxa"/>
            <w:noWrap/>
            <w:vAlign w:val="bottom"/>
            <w:hideMark/>
          </w:tcPr>
          <w:p w14:paraId="27A00F27" w14:textId="77777777" w:rsidR="00ED6812" w:rsidRPr="00833C88" w:rsidRDefault="00ED6812" w:rsidP="000F7D32">
            <w:pPr>
              <w:spacing w:after="0"/>
              <w:rPr>
                <w:rFonts w:eastAsia="Times New Roman" w:cs="Times New Roman"/>
                <w:sz w:val="18"/>
                <w:szCs w:val="18"/>
                <w:lang w:eastAsia="pl-PL"/>
              </w:rPr>
            </w:pPr>
          </w:p>
        </w:tc>
      </w:tr>
      <w:tr w:rsidR="00ED6812" w:rsidRPr="00833C88" w14:paraId="6C9ED594" w14:textId="77777777" w:rsidTr="002657FB">
        <w:trPr>
          <w:trHeight w:val="302"/>
        </w:trPr>
        <w:tc>
          <w:tcPr>
            <w:tcW w:w="3366" w:type="dxa"/>
            <w:noWrap/>
            <w:vAlign w:val="bottom"/>
            <w:hideMark/>
          </w:tcPr>
          <w:p w14:paraId="2C707887"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t>
            </w:r>
            <w:proofErr w:type="gramStart"/>
            <w:r w:rsidRPr="00833C88">
              <w:rPr>
                <w:rFonts w:eastAsia="Times New Roman" w:cs="Times New Roman"/>
                <w:sz w:val="18"/>
                <w:szCs w:val="18"/>
                <w:lang w:eastAsia="pl-PL"/>
              </w:rPr>
              <w:t>w  hm</w:t>
            </w:r>
            <w:proofErr w:type="gramEnd"/>
            <w:r w:rsidRPr="00833C88">
              <w:rPr>
                <w:rFonts w:eastAsia="Times New Roman" w:cs="Times New Roman"/>
                <w:sz w:val="18"/>
                <w:szCs w:val="18"/>
                <w:vertAlign w:val="superscript"/>
                <w:lang w:eastAsia="pl-PL"/>
              </w:rPr>
              <w:t>3</w:t>
            </w:r>
            <w:r w:rsidRPr="00833C88">
              <w:rPr>
                <w:rFonts w:eastAsia="Times New Roman" w:cs="Times New Roman"/>
                <w:sz w:val="18"/>
                <w:szCs w:val="18"/>
                <w:lang w:eastAsia="pl-PL"/>
              </w:rPr>
              <w:t xml:space="preserve"> ...............................................................</w:t>
            </w:r>
          </w:p>
        </w:tc>
        <w:tc>
          <w:tcPr>
            <w:tcW w:w="233" w:type="dxa"/>
            <w:noWrap/>
            <w:vAlign w:val="bottom"/>
            <w:hideMark/>
          </w:tcPr>
          <w:p w14:paraId="71CC8C36"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4F2BE42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3152</w:t>
            </w:r>
          </w:p>
        </w:tc>
        <w:tc>
          <w:tcPr>
            <w:tcW w:w="1156" w:type="dxa"/>
            <w:noWrap/>
            <w:vAlign w:val="bottom"/>
            <w:hideMark/>
          </w:tcPr>
          <w:p w14:paraId="61DCCC23"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1106</w:t>
            </w:r>
          </w:p>
        </w:tc>
        <w:tc>
          <w:tcPr>
            <w:tcW w:w="1124" w:type="dxa"/>
            <w:noWrap/>
            <w:vAlign w:val="bottom"/>
            <w:hideMark/>
          </w:tcPr>
          <w:p w14:paraId="6E90535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459</w:t>
            </w:r>
          </w:p>
        </w:tc>
        <w:tc>
          <w:tcPr>
            <w:tcW w:w="1193" w:type="dxa"/>
            <w:noWrap/>
            <w:vAlign w:val="bottom"/>
            <w:hideMark/>
          </w:tcPr>
          <w:p w14:paraId="31DA681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1583</w:t>
            </w:r>
          </w:p>
        </w:tc>
        <w:tc>
          <w:tcPr>
            <w:tcW w:w="1225" w:type="dxa"/>
            <w:noWrap/>
            <w:vAlign w:val="bottom"/>
            <w:hideMark/>
          </w:tcPr>
          <w:p w14:paraId="22D8A781"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w:t>
            </w:r>
          </w:p>
        </w:tc>
      </w:tr>
      <w:tr w:rsidR="00ED6812" w:rsidRPr="00833C88" w14:paraId="0054F00E" w14:textId="77777777" w:rsidTr="002657FB">
        <w:trPr>
          <w:trHeight w:val="272"/>
        </w:trPr>
        <w:tc>
          <w:tcPr>
            <w:tcW w:w="3366" w:type="dxa"/>
            <w:noWrap/>
            <w:hideMark/>
          </w:tcPr>
          <w:p w14:paraId="2474872D"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hm</w:t>
            </w:r>
            <w:r w:rsidRPr="00833C88">
              <w:rPr>
                <w:rFonts w:eastAsia="Times New Roman" w:cs="Times New Roman"/>
                <w:color w:val="595959"/>
                <w:sz w:val="18"/>
                <w:szCs w:val="18"/>
                <w:vertAlign w:val="superscript"/>
                <w:lang w:eastAsia="pl-PL"/>
              </w:rPr>
              <w:t>3</w:t>
            </w:r>
          </w:p>
        </w:tc>
        <w:tc>
          <w:tcPr>
            <w:tcW w:w="233" w:type="dxa"/>
            <w:noWrap/>
            <w:vAlign w:val="bottom"/>
            <w:hideMark/>
          </w:tcPr>
          <w:p w14:paraId="25729F4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3955C0D6"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3102</w:t>
            </w:r>
          </w:p>
        </w:tc>
        <w:tc>
          <w:tcPr>
            <w:tcW w:w="1156" w:type="dxa"/>
            <w:noWrap/>
            <w:vAlign w:val="bottom"/>
            <w:hideMark/>
          </w:tcPr>
          <w:p w14:paraId="29D39B4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1148</w:t>
            </w:r>
          </w:p>
        </w:tc>
        <w:tc>
          <w:tcPr>
            <w:tcW w:w="1124" w:type="dxa"/>
            <w:noWrap/>
            <w:vAlign w:val="bottom"/>
            <w:hideMark/>
          </w:tcPr>
          <w:p w14:paraId="35F7A0F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403</w:t>
            </w:r>
          </w:p>
        </w:tc>
        <w:tc>
          <w:tcPr>
            <w:tcW w:w="1193" w:type="dxa"/>
            <w:noWrap/>
            <w:vAlign w:val="bottom"/>
            <w:hideMark/>
          </w:tcPr>
          <w:p w14:paraId="77E819B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1547</w:t>
            </w:r>
          </w:p>
        </w:tc>
        <w:tc>
          <w:tcPr>
            <w:tcW w:w="1225" w:type="dxa"/>
            <w:noWrap/>
            <w:vAlign w:val="bottom"/>
            <w:hideMark/>
          </w:tcPr>
          <w:p w14:paraId="1E2EB14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4</w:t>
            </w:r>
          </w:p>
        </w:tc>
      </w:tr>
      <w:tr w:rsidR="00ED6812" w:rsidRPr="00833C88" w14:paraId="5FC542A4" w14:textId="77777777" w:rsidTr="002657FB">
        <w:trPr>
          <w:trHeight w:val="393"/>
        </w:trPr>
        <w:tc>
          <w:tcPr>
            <w:tcW w:w="3366" w:type="dxa"/>
            <w:noWrap/>
            <w:vAlign w:val="bottom"/>
            <w:hideMark/>
          </w:tcPr>
          <w:p w14:paraId="558A0015" w14:textId="77777777" w:rsidR="00ED6812" w:rsidRPr="00833C88" w:rsidRDefault="00ED6812" w:rsidP="000F7D32">
            <w:pPr>
              <w:spacing w:after="0"/>
              <w:rPr>
                <w:rFonts w:eastAsia="Times New Roman" w:cs="Times New Roman"/>
                <w:sz w:val="18"/>
                <w:szCs w:val="18"/>
                <w:lang w:eastAsia="pl-PL"/>
              </w:rPr>
            </w:pPr>
            <w:r w:rsidRPr="00833C88">
              <w:rPr>
                <w:rFonts w:eastAsia="Times New Roman" w:cs="Times New Roman"/>
                <w:sz w:val="18"/>
                <w:szCs w:val="18"/>
                <w:lang w:eastAsia="pl-PL"/>
              </w:rPr>
              <w:t xml:space="preserve">     w TJ …………………………………</w:t>
            </w:r>
            <w:proofErr w:type="gramStart"/>
            <w:r w:rsidRPr="00833C88">
              <w:rPr>
                <w:rFonts w:eastAsia="Times New Roman" w:cs="Times New Roman"/>
                <w:sz w:val="18"/>
                <w:szCs w:val="18"/>
                <w:lang w:eastAsia="pl-PL"/>
              </w:rPr>
              <w:t>…….</w:t>
            </w:r>
            <w:proofErr w:type="gramEnd"/>
            <w:r w:rsidRPr="00833C88">
              <w:rPr>
                <w:rFonts w:eastAsia="Times New Roman" w:cs="Times New Roman"/>
                <w:sz w:val="18"/>
                <w:szCs w:val="18"/>
                <w:lang w:eastAsia="pl-PL"/>
              </w:rPr>
              <w:t>.…………</w:t>
            </w:r>
          </w:p>
        </w:tc>
        <w:tc>
          <w:tcPr>
            <w:tcW w:w="233" w:type="dxa"/>
            <w:noWrap/>
            <w:vAlign w:val="bottom"/>
            <w:hideMark/>
          </w:tcPr>
          <w:p w14:paraId="2A320BE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a</w:t>
            </w:r>
          </w:p>
        </w:tc>
        <w:tc>
          <w:tcPr>
            <w:tcW w:w="719" w:type="dxa"/>
            <w:noWrap/>
            <w:vAlign w:val="bottom"/>
            <w:hideMark/>
          </w:tcPr>
          <w:p w14:paraId="5CFFA92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79182</w:t>
            </w:r>
          </w:p>
        </w:tc>
        <w:tc>
          <w:tcPr>
            <w:tcW w:w="1156" w:type="dxa"/>
            <w:noWrap/>
            <w:vAlign w:val="bottom"/>
            <w:hideMark/>
          </w:tcPr>
          <w:p w14:paraId="570A4B1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27902</w:t>
            </w:r>
          </w:p>
        </w:tc>
        <w:tc>
          <w:tcPr>
            <w:tcW w:w="1124" w:type="dxa"/>
            <w:noWrap/>
            <w:vAlign w:val="bottom"/>
            <w:hideMark/>
          </w:tcPr>
          <w:p w14:paraId="40F0659C"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11570</w:t>
            </w:r>
          </w:p>
        </w:tc>
        <w:tc>
          <w:tcPr>
            <w:tcW w:w="1193" w:type="dxa"/>
            <w:noWrap/>
            <w:vAlign w:val="bottom"/>
            <w:hideMark/>
          </w:tcPr>
          <w:p w14:paraId="6176F5D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39595</w:t>
            </w:r>
          </w:p>
        </w:tc>
        <w:tc>
          <w:tcPr>
            <w:tcW w:w="1225" w:type="dxa"/>
            <w:noWrap/>
            <w:vAlign w:val="bottom"/>
            <w:hideMark/>
          </w:tcPr>
          <w:p w14:paraId="2BC2806B"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115</w:t>
            </w:r>
          </w:p>
        </w:tc>
      </w:tr>
      <w:tr w:rsidR="00ED6812" w:rsidRPr="00833C88" w14:paraId="546D376A" w14:textId="77777777" w:rsidTr="002657FB">
        <w:trPr>
          <w:trHeight w:val="272"/>
        </w:trPr>
        <w:tc>
          <w:tcPr>
            <w:tcW w:w="3366" w:type="dxa"/>
            <w:noWrap/>
            <w:hideMark/>
          </w:tcPr>
          <w:p w14:paraId="2D9A6924" w14:textId="77777777" w:rsidR="00ED6812" w:rsidRPr="00833C88" w:rsidRDefault="00ED6812" w:rsidP="000F7D32">
            <w:pPr>
              <w:spacing w:after="0"/>
              <w:rPr>
                <w:rFonts w:eastAsia="Times New Roman" w:cs="Times New Roman"/>
                <w:color w:val="595959"/>
                <w:sz w:val="18"/>
                <w:szCs w:val="18"/>
                <w:lang w:eastAsia="pl-PL"/>
              </w:rPr>
            </w:pPr>
            <w:r w:rsidRPr="00833C88">
              <w:rPr>
                <w:rFonts w:eastAsia="Times New Roman" w:cs="Times New Roman"/>
                <w:color w:val="595959"/>
                <w:sz w:val="18"/>
                <w:szCs w:val="18"/>
                <w:lang w:eastAsia="pl-PL"/>
              </w:rPr>
              <w:t xml:space="preserve">     in TJ</w:t>
            </w:r>
          </w:p>
        </w:tc>
        <w:tc>
          <w:tcPr>
            <w:tcW w:w="233" w:type="dxa"/>
            <w:noWrap/>
            <w:vAlign w:val="bottom"/>
            <w:hideMark/>
          </w:tcPr>
          <w:p w14:paraId="17C06292"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b</w:t>
            </w:r>
          </w:p>
        </w:tc>
        <w:tc>
          <w:tcPr>
            <w:tcW w:w="719" w:type="dxa"/>
            <w:noWrap/>
            <w:vAlign w:val="bottom"/>
            <w:hideMark/>
          </w:tcPr>
          <w:p w14:paraId="4A92425F"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78481</w:t>
            </w:r>
          </w:p>
        </w:tc>
        <w:tc>
          <w:tcPr>
            <w:tcW w:w="1156" w:type="dxa"/>
            <w:noWrap/>
            <w:vAlign w:val="bottom"/>
            <w:hideMark/>
          </w:tcPr>
          <w:p w14:paraId="68090D5A"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29193</w:t>
            </w:r>
          </w:p>
        </w:tc>
        <w:tc>
          <w:tcPr>
            <w:tcW w:w="1124" w:type="dxa"/>
            <w:noWrap/>
            <w:vAlign w:val="bottom"/>
            <w:hideMark/>
          </w:tcPr>
          <w:p w14:paraId="3E52238A"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10278</w:t>
            </w:r>
          </w:p>
        </w:tc>
        <w:tc>
          <w:tcPr>
            <w:tcW w:w="1193" w:type="dxa"/>
            <w:noWrap/>
            <w:vAlign w:val="bottom"/>
            <w:hideMark/>
          </w:tcPr>
          <w:p w14:paraId="702A49E9"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38915</w:t>
            </w:r>
          </w:p>
        </w:tc>
        <w:tc>
          <w:tcPr>
            <w:tcW w:w="1225" w:type="dxa"/>
            <w:noWrap/>
            <w:vAlign w:val="bottom"/>
            <w:hideMark/>
          </w:tcPr>
          <w:p w14:paraId="21625540" w14:textId="77777777" w:rsidR="00ED6812" w:rsidRPr="00833C88" w:rsidRDefault="00ED6812" w:rsidP="000F7D32">
            <w:pPr>
              <w:spacing w:after="0"/>
              <w:jc w:val="right"/>
              <w:rPr>
                <w:rFonts w:eastAsia="Times New Roman" w:cs="Times New Roman"/>
                <w:sz w:val="18"/>
                <w:szCs w:val="18"/>
                <w:lang w:eastAsia="pl-PL"/>
              </w:rPr>
            </w:pPr>
            <w:r w:rsidRPr="00833C88">
              <w:rPr>
                <w:rFonts w:eastAsia="Times New Roman" w:cs="Times New Roman"/>
                <w:sz w:val="18"/>
                <w:szCs w:val="18"/>
                <w:lang w:eastAsia="pl-PL"/>
              </w:rPr>
              <w:t>95</w:t>
            </w:r>
          </w:p>
        </w:tc>
      </w:tr>
    </w:tbl>
    <w:p w14:paraId="27706AE8" w14:textId="77777777" w:rsidR="00ED6812" w:rsidRPr="00833C88" w:rsidRDefault="00ED6812" w:rsidP="009724B4">
      <w:pPr>
        <w:spacing w:line="360" w:lineRule="auto"/>
        <w:ind w:left="360"/>
        <w:jc w:val="both"/>
        <w:rPr>
          <w:rFonts w:cs="Times New Roman"/>
          <w:sz w:val="24"/>
          <w:szCs w:val="24"/>
        </w:rPr>
      </w:pPr>
    </w:p>
    <w:p w14:paraId="736F1F9B" w14:textId="68E95D82" w:rsidR="00226090" w:rsidRPr="00833C88" w:rsidRDefault="00226090">
      <w:pPr>
        <w:pStyle w:val="Nagwek5"/>
        <w:numPr>
          <w:ilvl w:val="1"/>
          <w:numId w:val="64"/>
        </w:numPr>
        <w:tabs>
          <w:tab w:val="left" w:pos="2280"/>
        </w:tabs>
        <w:spacing w:before="0" w:after="120" w:line="360" w:lineRule="auto"/>
        <w:jc w:val="both"/>
        <w:rPr>
          <w:rFonts w:cs="Times New Roman"/>
          <w:sz w:val="24"/>
          <w:szCs w:val="24"/>
        </w:rPr>
      </w:pPr>
      <w:r w:rsidRPr="00833C88">
        <w:rPr>
          <w:rFonts w:cs="Times New Roman"/>
          <w:sz w:val="24"/>
          <w:szCs w:val="24"/>
        </w:rPr>
        <w:t>Energia elektryczna</w:t>
      </w:r>
    </w:p>
    <w:p w14:paraId="7DAE119B" w14:textId="0D793844" w:rsidR="00947D3D" w:rsidRPr="00833C88" w:rsidRDefault="00601933" w:rsidP="009724B4">
      <w:pPr>
        <w:spacing w:line="360" w:lineRule="auto"/>
        <w:jc w:val="both"/>
        <w:rPr>
          <w:rFonts w:cs="Times New Roman"/>
          <w:sz w:val="24"/>
          <w:szCs w:val="24"/>
        </w:rPr>
      </w:pPr>
      <w:r w:rsidRPr="00833C88">
        <w:rPr>
          <w:rFonts w:cs="Times New Roman"/>
          <w:sz w:val="24"/>
          <w:szCs w:val="24"/>
        </w:rPr>
        <w:t>W </w:t>
      </w:r>
      <w:r w:rsidR="00947D3D" w:rsidRPr="00833C88">
        <w:rPr>
          <w:rFonts w:cs="Times New Roman"/>
          <w:sz w:val="24"/>
          <w:szCs w:val="24"/>
        </w:rPr>
        <w:t>ramach podsektora energii elektrycznej wyróżnia się następujące podmioty:</w:t>
      </w:r>
    </w:p>
    <w:p w14:paraId="607C386E" w14:textId="471F4C24"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lastRenderedPageBreak/>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wytwarzania energii elektrycznej</w:t>
      </w:r>
      <w:r w:rsidR="0076020B" w:rsidRPr="00833C88">
        <w:rPr>
          <w:rFonts w:cs="Times New Roman"/>
          <w:sz w:val="24"/>
          <w:szCs w:val="24"/>
        </w:rPr>
        <w:t>,</w:t>
      </w:r>
    </w:p>
    <w:p w14:paraId="188DBA51" w14:textId="1EC81797"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24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przesyłania energii elektrycznej</w:t>
      </w:r>
      <w:r w:rsidR="0076020B" w:rsidRPr="00833C88">
        <w:rPr>
          <w:rFonts w:cs="Times New Roman"/>
          <w:sz w:val="24"/>
          <w:szCs w:val="24"/>
        </w:rPr>
        <w:t>,</w:t>
      </w:r>
    </w:p>
    <w:p w14:paraId="10316D8D" w14:textId="2C5A365C"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25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dystrybucji energii elektrycznej</w:t>
      </w:r>
      <w:r w:rsidR="0076020B" w:rsidRPr="00833C88">
        <w:rPr>
          <w:rFonts w:cs="Times New Roman"/>
          <w:sz w:val="24"/>
          <w:szCs w:val="24"/>
        </w:rPr>
        <w:t>,</w:t>
      </w:r>
    </w:p>
    <w:p w14:paraId="53446F92" w14:textId="08912648"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obrotu energią elektryczną</w:t>
      </w:r>
      <w:r w:rsidR="0076020B" w:rsidRPr="00833C88">
        <w:rPr>
          <w:rFonts w:cs="Times New Roman"/>
          <w:sz w:val="24"/>
          <w:szCs w:val="24"/>
        </w:rPr>
        <w:t>,</w:t>
      </w:r>
    </w:p>
    <w:p w14:paraId="03791A78" w14:textId="78939425" w:rsidR="00361939" w:rsidRPr="00833C88" w:rsidRDefault="00361939">
      <w:pPr>
        <w:pStyle w:val="Akapitzlist"/>
        <w:numPr>
          <w:ilvl w:val="0"/>
          <w:numId w:val="31"/>
        </w:numPr>
        <w:spacing w:line="360" w:lineRule="auto"/>
        <w:contextualSpacing w:val="0"/>
        <w:jc w:val="both"/>
        <w:rPr>
          <w:rFonts w:cs="Times New Roman"/>
          <w:sz w:val="24"/>
          <w:szCs w:val="24"/>
        </w:rPr>
      </w:pPr>
      <w:proofErr w:type="gramStart"/>
      <w:r w:rsidRPr="00833C88">
        <w:rPr>
          <w:rFonts w:cs="Times New Roman"/>
          <w:sz w:val="24"/>
          <w:szCs w:val="24"/>
        </w:rPr>
        <w:t>Podmioty</w:t>
      </w:r>
      <w:proofErr w:type="gramEnd"/>
      <w:r w:rsidRPr="00833C88">
        <w:rPr>
          <w:rFonts w:cs="Times New Roman"/>
          <w:sz w:val="24"/>
          <w:szCs w:val="24"/>
        </w:rPr>
        <w:t xml:space="preserve"> </w:t>
      </w:r>
      <w:r w:rsidR="00601933" w:rsidRPr="00833C88">
        <w:rPr>
          <w:rFonts w:cs="Times New Roman"/>
          <w:sz w:val="24"/>
          <w:szCs w:val="24"/>
        </w:rPr>
        <w:t>o </w:t>
      </w:r>
      <w:r w:rsidRPr="00833C88">
        <w:rPr>
          <w:rFonts w:cs="Times New Roman"/>
          <w:sz w:val="24"/>
          <w:szCs w:val="24"/>
        </w:rPr>
        <w:t xml:space="preserve">których mowa </w:t>
      </w:r>
      <w:r w:rsidR="00601933" w:rsidRPr="00833C88">
        <w:rPr>
          <w:rFonts w:cs="Times New Roman"/>
          <w:sz w:val="24"/>
          <w:szCs w:val="24"/>
        </w:rPr>
        <w:t>w </w:t>
      </w:r>
      <w:r w:rsidRPr="00833C88">
        <w:rPr>
          <w:rFonts w:cs="Times New Roman"/>
          <w:sz w:val="24"/>
          <w:szCs w:val="24"/>
        </w:rPr>
        <w:t xml:space="preserve">art. 3 pkt 28b ustawy </w:t>
      </w:r>
      <w:r w:rsidR="00601933" w:rsidRPr="00833C88">
        <w:rPr>
          <w:rFonts w:cs="Times New Roman"/>
          <w:sz w:val="24"/>
          <w:szCs w:val="24"/>
        </w:rPr>
        <w:t>z </w:t>
      </w:r>
      <w:r w:rsidRPr="00833C88">
        <w:rPr>
          <w:rFonts w:cs="Times New Roman"/>
          <w:sz w:val="24"/>
          <w:szCs w:val="24"/>
        </w:rPr>
        <w:t>dnia 10 kwietnia 1997 r. – Prawo energetyczne.</w:t>
      </w:r>
    </w:p>
    <w:p w14:paraId="4EAD6353" w14:textId="2D45F343" w:rsidR="00874A57" w:rsidRPr="00833C88" w:rsidRDefault="00AE35FD" w:rsidP="009724B4">
      <w:pPr>
        <w:pStyle w:val="Akapitzlist"/>
        <w:spacing w:line="360" w:lineRule="auto"/>
        <w:contextualSpacing w:val="0"/>
        <w:jc w:val="both"/>
        <w:rPr>
          <w:rFonts w:cs="Times New Roman"/>
          <w:sz w:val="24"/>
          <w:szCs w:val="24"/>
        </w:rPr>
      </w:pPr>
      <w:r w:rsidRPr="00833C88">
        <w:rPr>
          <w:rFonts w:cs="Times New Roman"/>
          <w:sz w:val="24"/>
          <w:szCs w:val="24"/>
        </w:rPr>
        <w:t xml:space="preserve">Chodzi </w:t>
      </w:r>
      <w:r w:rsidR="00601933" w:rsidRPr="00833C88">
        <w:rPr>
          <w:rFonts w:cs="Times New Roman"/>
          <w:sz w:val="24"/>
          <w:szCs w:val="24"/>
        </w:rPr>
        <w:t>o </w:t>
      </w:r>
      <w:r w:rsidRPr="00833C88">
        <w:rPr>
          <w:rFonts w:cs="Times New Roman"/>
          <w:sz w:val="24"/>
          <w:szCs w:val="24"/>
        </w:rPr>
        <w:t>wyznaczonego operator</w:t>
      </w:r>
      <w:r w:rsidR="00826917" w:rsidRPr="00833C88">
        <w:rPr>
          <w:rFonts w:cs="Times New Roman"/>
          <w:sz w:val="24"/>
          <w:szCs w:val="24"/>
        </w:rPr>
        <w:t>a</w:t>
      </w:r>
      <w:r w:rsidRPr="00833C88">
        <w:rPr>
          <w:rFonts w:cs="Times New Roman"/>
          <w:sz w:val="24"/>
          <w:szCs w:val="24"/>
        </w:rPr>
        <w:t xml:space="preserve"> rynku e</w:t>
      </w:r>
      <w:r w:rsidR="00826917" w:rsidRPr="00833C88">
        <w:rPr>
          <w:rFonts w:cs="Times New Roman"/>
          <w:sz w:val="24"/>
          <w:szCs w:val="24"/>
        </w:rPr>
        <w:t>nergii elektrycznej</w:t>
      </w:r>
      <w:r w:rsidR="0076020B" w:rsidRPr="00833C88">
        <w:rPr>
          <w:rFonts w:cs="Times New Roman"/>
          <w:sz w:val="24"/>
          <w:szCs w:val="24"/>
        </w:rPr>
        <w:t>.</w:t>
      </w:r>
    </w:p>
    <w:p w14:paraId="57F92CAF" w14:textId="07F95918"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t xml:space="preserve">Uczestnicy rynku świadczący usługę,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3 pkt 6e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11E32646" w14:textId="4A8B53E0" w:rsidR="009D45AD" w:rsidRPr="00833C88" w:rsidRDefault="009D45AD" w:rsidP="00A961D1">
      <w:pPr>
        <w:pStyle w:val="Akapitzlist"/>
        <w:spacing w:line="360" w:lineRule="auto"/>
        <w:ind w:left="0"/>
        <w:contextualSpacing w:val="0"/>
        <w:jc w:val="both"/>
        <w:rPr>
          <w:rFonts w:cs="Times New Roman"/>
          <w:sz w:val="24"/>
          <w:szCs w:val="24"/>
        </w:rPr>
      </w:pPr>
      <w:r w:rsidRPr="00833C88">
        <w:rPr>
          <w:rFonts w:cs="Times New Roman"/>
          <w:sz w:val="24"/>
          <w:szCs w:val="24"/>
        </w:rPr>
        <w:t xml:space="preserve">Chodzi tutaj </w:t>
      </w:r>
      <w:r w:rsidR="00601933" w:rsidRPr="00833C88">
        <w:rPr>
          <w:rFonts w:cs="Times New Roman"/>
          <w:sz w:val="24"/>
          <w:szCs w:val="24"/>
        </w:rPr>
        <w:t>o </w:t>
      </w:r>
      <w:r w:rsidRPr="00833C88">
        <w:rPr>
          <w:rFonts w:cs="Times New Roman"/>
          <w:sz w:val="24"/>
          <w:szCs w:val="24"/>
        </w:rPr>
        <w:t xml:space="preserve">uczestników rynku, którzy prowadzą działalność polegającą na łączeniu wielkości mocy lub energii elektrycznej oferowanej przez odbiorców, wytwórców energii elektrycznej lub posiadaczy magazynów energii elektrycznej, </w:t>
      </w:r>
      <w:r w:rsidR="00601933" w:rsidRPr="00833C88">
        <w:rPr>
          <w:rFonts w:cs="Times New Roman"/>
          <w:sz w:val="24"/>
          <w:szCs w:val="24"/>
        </w:rPr>
        <w:t>z </w:t>
      </w:r>
      <w:r w:rsidRPr="00833C88">
        <w:rPr>
          <w:rFonts w:cs="Times New Roman"/>
          <w:sz w:val="24"/>
          <w:szCs w:val="24"/>
        </w:rPr>
        <w:t xml:space="preserve">uwzględnieniem zdolności technicznych sieci, do której są przyłączeni, </w:t>
      </w:r>
      <w:r w:rsidR="00601933" w:rsidRPr="00833C88">
        <w:rPr>
          <w:rFonts w:cs="Times New Roman"/>
          <w:sz w:val="24"/>
          <w:szCs w:val="24"/>
        </w:rPr>
        <w:t>w </w:t>
      </w:r>
      <w:r w:rsidRPr="00833C88">
        <w:rPr>
          <w:rFonts w:cs="Times New Roman"/>
          <w:sz w:val="24"/>
          <w:szCs w:val="24"/>
        </w:rPr>
        <w:t>celu sprzedaży energii elektrycznej, świadczenia usług systemowych lub usług elastyczności na rynkach energii elektrycznej</w:t>
      </w:r>
      <w:r w:rsidR="0076020B" w:rsidRPr="00833C88">
        <w:rPr>
          <w:rFonts w:cs="Times New Roman"/>
          <w:sz w:val="24"/>
          <w:szCs w:val="24"/>
        </w:rPr>
        <w:t>.</w:t>
      </w:r>
    </w:p>
    <w:p w14:paraId="0D340D2B" w14:textId="31C6002E"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t xml:space="preserve">Uczestnicy rynku świadczący usługę,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3 pkt 11j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20E9EB10" w14:textId="1AAC8F95"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t xml:space="preserve">Uczestnicy rynku świadczący usługę,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3 pkt 59 </w:t>
      </w:r>
      <w:r w:rsidR="00601933" w:rsidRPr="00833C88">
        <w:rPr>
          <w:rFonts w:cs="Times New Roman"/>
          <w:sz w:val="24"/>
          <w:szCs w:val="24"/>
        </w:rPr>
        <w:t>i </w:t>
      </w:r>
      <w:r w:rsidRPr="00833C88">
        <w:rPr>
          <w:rFonts w:cs="Times New Roman"/>
          <w:sz w:val="24"/>
          <w:szCs w:val="24"/>
        </w:rPr>
        <w:t xml:space="preserve">art. 3 pkt 59a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26FE015F" w14:textId="2704CD87" w:rsidR="00361939" w:rsidRPr="00833C88" w:rsidRDefault="00361939">
      <w:pPr>
        <w:pStyle w:val="Akapitzlist"/>
        <w:numPr>
          <w:ilvl w:val="0"/>
          <w:numId w:val="31"/>
        </w:numPr>
        <w:spacing w:line="360" w:lineRule="auto"/>
        <w:contextualSpacing w:val="0"/>
        <w:jc w:val="both"/>
        <w:rPr>
          <w:rFonts w:cs="Times New Roman"/>
          <w:sz w:val="24"/>
          <w:szCs w:val="24"/>
        </w:rPr>
      </w:pPr>
      <w:r w:rsidRPr="00833C88">
        <w:rPr>
          <w:rFonts w:cs="Times New Roman"/>
          <w:sz w:val="24"/>
          <w:szCs w:val="24"/>
        </w:rPr>
        <w:t xml:space="preserve">Przedsiębiorcy odpowiedzialni za zarządzanie punktem ładowania </w:t>
      </w:r>
      <w:r w:rsidR="00601933" w:rsidRPr="00833C88">
        <w:rPr>
          <w:rFonts w:cs="Times New Roman"/>
          <w:sz w:val="24"/>
          <w:szCs w:val="24"/>
        </w:rPr>
        <w:t>i </w:t>
      </w:r>
      <w:r w:rsidRPr="00833C88">
        <w:rPr>
          <w:rFonts w:cs="Times New Roman"/>
          <w:sz w:val="24"/>
          <w:szCs w:val="24"/>
        </w:rPr>
        <w:t xml:space="preserve">jego obsługę, świadczący usługę ładowania na rzecz użytkowników końcowych, </w:t>
      </w:r>
      <w:r w:rsidR="00601933" w:rsidRPr="00833C88">
        <w:rPr>
          <w:rFonts w:cs="Times New Roman"/>
          <w:sz w:val="24"/>
          <w:szCs w:val="24"/>
        </w:rPr>
        <w:t>w </w:t>
      </w:r>
      <w:r w:rsidRPr="00833C88">
        <w:rPr>
          <w:rFonts w:cs="Times New Roman"/>
          <w:sz w:val="24"/>
          <w:szCs w:val="24"/>
        </w:rPr>
        <w:t xml:space="preserve">tym </w:t>
      </w:r>
      <w:r w:rsidR="00601933" w:rsidRPr="00833C88">
        <w:rPr>
          <w:rFonts w:cs="Times New Roman"/>
          <w:sz w:val="24"/>
          <w:szCs w:val="24"/>
        </w:rPr>
        <w:t>w </w:t>
      </w:r>
      <w:r w:rsidRPr="00833C88">
        <w:rPr>
          <w:rFonts w:cs="Times New Roman"/>
          <w:sz w:val="24"/>
          <w:szCs w:val="24"/>
        </w:rPr>
        <w:t xml:space="preserve">imieniu </w:t>
      </w:r>
      <w:r w:rsidR="00601933" w:rsidRPr="00833C88">
        <w:rPr>
          <w:rFonts w:cs="Times New Roman"/>
          <w:sz w:val="24"/>
          <w:szCs w:val="24"/>
        </w:rPr>
        <w:t>i </w:t>
      </w:r>
      <w:r w:rsidRPr="00833C88">
        <w:rPr>
          <w:rFonts w:cs="Times New Roman"/>
          <w:sz w:val="24"/>
          <w:szCs w:val="24"/>
        </w:rPr>
        <w:t xml:space="preserve">na rzecz dostawcy usług </w:t>
      </w:r>
      <w:r w:rsidR="00601933" w:rsidRPr="00833C88">
        <w:rPr>
          <w:rFonts w:cs="Times New Roman"/>
          <w:sz w:val="24"/>
          <w:szCs w:val="24"/>
        </w:rPr>
        <w:t>w </w:t>
      </w:r>
      <w:r w:rsidRPr="00833C88">
        <w:rPr>
          <w:rFonts w:cs="Times New Roman"/>
          <w:sz w:val="24"/>
          <w:szCs w:val="24"/>
        </w:rPr>
        <w:t>zakresie mobilności.</w:t>
      </w:r>
    </w:p>
    <w:p w14:paraId="091C7F3D" w14:textId="784450D4" w:rsidR="00226090" w:rsidRPr="00833C88" w:rsidRDefault="00226090">
      <w:pPr>
        <w:pStyle w:val="Nagwek5"/>
        <w:numPr>
          <w:ilvl w:val="1"/>
          <w:numId w:val="64"/>
        </w:numPr>
        <w:spacing w:before="0" w:after="120" w:line="360" w:lineRule="auto"/>
        <w:jc w:val="both"/>
        <w:rPr>
          <w:rFonts w:cs="Times New Roman"/>
          <w:sz w:val="24"/>
          <w:szCs w:val="24"/>
        </w:rPr>
      </w:pPr>
      <w:r w:rsidRPr="00833C88">
        <w:rPr>
          <w:rFonts w:cs="Times New Roman"/>
          <w:sz w:val="24"/>
          <w:szCs w:val="24"/>
        </w:rPr>
        <w:lastRenderedPageBreak/>
        <w:t>Ciepło</w:t>
      </w:r>
    </w:p>
    <w:p w14:paraId="548CBED8" w14:textId="712DC3CD" w:rsidR="00E94EC7" w:rsidRPr="00833C88" w:rsidRDefault="00E94EC7" w:rsidP="009724B4">
      <w:pPr>
        <w:spacing w:line="360" w:lineRule="auto"/>
        <w:jc w:val="both"/>
        <w:rPr>
          <w:rFonts w:cs="Times New Roman"/>
          <w:sz w:val="24"/>
          <w:szCs w:val="24"/>
        </w:rPr>
      </w:pPr>
      <w:r w:rsidRPr="00833C88">
        <w:rPr>
          <w:rFonts w:cs="Times New Roman"/>
          <w:sz w:val="24"/>
          <w:szCs w:val="24"/>
        </w:rPr>
        <w:t xml:space="preserve">Zgodnie </w:t>
      </w:r>
      <w:r w:rsidR="00601933" w:rsidRPr="00833C88">
        <w:rPr>
          <w:rFonts w:cs="Times New Roman"/>
          <w:sz w:val="24"/>
          <w:szCs w:val="24"/>
        </w:rPr>
        <w:t>z </w:t>
      </w:r>
      <w:r w:rsidRPr="00833C88">
        <w:rPr>
          <w:rFonts w:cs="Times New Roman"/>
          <w:sz w:val="24"/>
          <w:szCs w:val="24"/>
        </w:rPr>
        <w:t xml:space="preserve">definicją ustawową pod pojęciem „ciepła” rozumie się </w:t>
      </w:r>
      <w:r w:rsidR="008A2DC7" w:rsidRPr="00833C88">
        <w:rPr>
          <w:rFonts w:cs="Times New Roman"/>
          <w:sz w:val="24"/>
          <w:szCs w:val="24"/>
        </w:rPr>
        <w:t xml:space="preserve">energię cieplną </w:t>
      </w:r>
      <w:r w:rsidR="00601933" w:rsidRPr="00833C88">
        <w:rPr>
          <w:rFonts w:cs="Times New Roman"/>
          <w:sz w:val="24"/>
          <w:szCs w:val="24"/>
        </w:rPr>
        <w:t>w </w:t>
      </w:r>
      <w:r w:rsidR="008A2DC7" w:rsidRPr="00833C88">
        <w:rPr>
          <w:rFonts w:cs="Times New Roman"/>
          <w:sz w:val="24"/>
          <w:szCs w:val="24"/>
        </w:rPr>
        <w:t xml:space="preserve">wodzie gorącej, parze lub </w:t>
      </w:r>
      <w:r w:rsidR="00601933" w:rsidRPr="00833C88">
        <w:rPr>
          <w:rFonts w:cs="Times New Roman"/>
          <w:sz w:val="24"/>
          <w:szCs w:val="24"/>
        </w:rPr>
        <w:t>w </w:t>
      </w:r>
      <w:r w:rsidR="008A2DC7" w:rsidRPr="00833C88">
        <w:rPr>
          <w:rFonts w:cs="Times New Roman"/>
          <w:sz w:val="24"/>
          <w:szCs w:val="24"/>
        </w:rPr>
        <w:t>innych nośnikach.</w:t>
      </w:r>
    </w:p>
    <w:p w14:paraId="0A2930D6" w14:textId="03BD759B" w:rsidR="00947D3D" w:rsidRPr="00833C88" w:rsidRDefault="00601933" w:rsidP="009724B4">
      <w:pPr>
        <w:spacing w:line="360" w:lineRule="auto"/>
        <w:jc w:val="both"/>
        <w:rPr>
          <w:rFonts w:cs="Times New Roman"/>
          <w:sz w:val="24"/>
          <w:szCs w:val="24"/>
        </w:rPr>
      </w:pPr>
      <w:r w:rsidRPr="00833C88">
        <w:rPr>
          <w:rFonts w:cs="Times New Roman"/>
          <w:sz w:val="24"/>
          <w:szCs w:val="24"/>
        </w:rPr>
        <w:t>W </w:t>
      </w:r>
      <w:r w:rsidR="00947D3D" w:rsidRPr="00833C88">
        <w:rPr>
          <w:rFonts w:cs="Times New Roman"/>
          <w:sz w:val="24"/>
          <w:szCs w:val="24"/>
        </w:rPr>
        <w:t>ramach podsektora „ciepło” wyróżnia się następujące podmioty:</w:t>
      </w:r>
    </w:p>
    <w:p w14:paraId="2012094D" w14:textId="048978D1" w:rsidR="001468DD" w:rsidRPr="00833C88" w:rsidRDefault="001468DD">
      <w:pPr>
        <w:pStyle w:val="Akapitzlist"/>
        <w:numPr>
          <w:ilvl w:val="0"/>
          <w:numId w:val="32"/>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wytwarzania ciepła</w:t>
      </w:r>
      <w:r w:rsidR="0076020B" w:rsidRPr="00833C88">
        <w:rPr>
          <w:rFonts w:cs="Times New Roman"/>
          <w:sz w:val="24"/>
          <w:szCs w:val="24"/>
        </w:rPr>
        <w:t>,</w:t>
      </w:r>
    </w:p>
    <w:p w14:paraId="6EFB84C5" w14:textId="2F63B2B5" w:rsidR="001468DD" w:rsidRPr="00833C88" w:rsidRDefault="001468DD">
      <w:pPr>
        <w:pStyle w:val="Akapitzlist"/>
        <w:numPr>
          <w:ilvl w:val="0"/>
          <w:numId w:val="32"/>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obrotu ciepłem</w:t>
      </w:r>
      <w:r w:rsidR="0076020B" w:rsidRPr="00833C88">
        <w:rPr>
          <w:rFonts w:cs="Times New Roman"/>
          <w:sz w:val="24"/>
          <w:szCs w:val="24"/>
        </w:rPr>
        <w:t>,</w:t>
      </w:r>
    </w:p>
    <w:p w14:paraId="42216371" w14:textId="679CC365" w:rsidR="001468DD" w:rsidRPr="00833C88" w:rsidRDefault="001468DD">
      <w:pPr>
        <w:pStyle w:val="Akapitzlist"/>
        <w:numPr>
          <w:ilvl w:val="0"/>
          <w:numId w:val="32"/>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przesyłania ciepła</w:t>
      </w:r>
      <w:r w:rsidR="0076020B" w:rsidRPr="00833C88">
        <w:rPr>
          <w:rFonts w:cs="Times New Roman"/>
          <w:sz w:val="24"/>
          <w:szCs w:val="24"/>
        </w:rPr>
        <w:t>,</w:t>
      </w:r>
    </w:p>
    <w:p w14:paraId="246FDBDC" w14:textId="32645B69" w:rsidR="001468DD" w:rsidRPr="00833C88" w:rsidRDefault="001468DD">
      <w:pPr>
        <w:pStyle w:val="Akapitzlist"/>
        <w:numPr>
          <w:ilvl w:val="0"/>
          <w:numId w:val="32"/>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dystrybucji ciepła.</w:t>
      </w:r>
    </w:p>
    <w:p w14:paraId="78DBB32D" w14:textId="1708C48E" w:rsidR="00CC11B9" w:rsidRPr="00833C88" w:rsidRDefault="00CC11B9" w:rsidP="00A961D1">
      <w:pPr>
        <w:spacing w:line="360" w:lineRule="auto"/>
        <w:jc w:val="both"/>
        <w:rPr>
          <w:rFonts w:cs="Times New Roman"/>
          <w:sz w:val="24"/>
          <w:szCs w:val="24"/>
        </w:rPr>
      </w:pPr>
      <w:r w:rsidRPr="00833C88">
        <w:rPr>
          <w:rFonts w:cs="Times New Roman"/>
          <w:sz w:val="24"/>
          <w:szCs w:val="24"/>
        </w:rPr>
        <w:t xml:space="preserve">Zakresem podmiotowym tego podsektora są objęte przedsiębiorstwa energetyczne </w:t>
      </w:r>
      <w:r w:rsidR="00984BAD" w:rsidRPr="00833C88">
        <w:rPr>
          <w:rFonts w:cs="Times New Roman"/>
          <w:sz w:val="24"/>
          <w:szCs w:val="24"/>
        </w:rPr>
        <w:t xml:space="preserve">odpowiedzialne za poszczególne elementy łańcucha dostaw </w:t>
      </w:r>
      <w:proofErr w:type="gramStart"/>
      <w:r w:rsidR="00984BAD" w:rsidRPr="00833C88">
        <w:rPr>
          <w:rFonts w:cs="Times New Roman"/>
          <w:sz w:val="24"/>
          <w:szCs w:val="24"/>
        </w:rPr>
        <w:t>ciepła</w:t>
      </w:r>
      <w:proofErr w:type="gramEnd"/>
      <w:r w:rsidR="00984BAD" w:rsidRPr="00833C88">
        <w:rPr>
          <w:rFonts w:cs="Times New Roman"/>
          <w:sz w:val="24"/>
          <w:szCs w:val="24"/>
        </w:rPr>
        <w:t xml:space="preserve"> czyli wytwarzanie, </w:t>
      </w:r>
      <w:r w:rsidR="008C41EF" w:rsidRPr="00833C88">
        <w:rPr>
          <w:rFonts w:cs="Times New Roman"/>
          <w:sz w:val="24"/>
          <w:szCs w:val="24"/>
        </w:rPr>
        <w:t xml:space="preserve">przesyłanie, dystrybucja </w:t>
      </w:r>
      <w:r w:rsidR="00601933" w:rsidRPr="00833C88">
        <w:rPr>
          <w:rFonts w:cs="Times New Roman"/>
          <w:sz w:val="24"/>
          <w:szCs w:val="24"/>
        </w:rPr>
        <w:t>i </w:t>
      </w:r>
      <w:r w:rsidR="008C41EF" w:rsidRPr="00833C88">
        <w:rPr>
          <w:rFonts w:cs="Times New Roman"/>
          <w:sz w:val="24"/>
          <w:szCs w:val="24"/>
        </w:rPr>
        <w:t xml:space="preserve">obrót ciepłem. Wszystkie podmioty </w:t>
      </w:r>
      <w:r w:rsidR="00601933" w:rsidRPr="00833C88">
        <w:rPr>
          <w:rFonts w:cs="Times New Roman"/>
          <w:sz w:val="24"/>
          <w:szCs w:val="24"/>
        </w:rPr>
        <w:t>z </w:t>
      </w:r>
      <w:r w:rsidR="008C41EF" w:rsidRPr="00833C88">
        <w:rPr>
          <w:rFonts w:cs="Times New Roman"/>
          <w:sz w:val="24"/>
          <w:szCs w:val="24"/>
        </w:rPr>
        <w:t>tego podsektora to podmioty, które muszą uzyskać konce</w:t>
      </w:r>
      <w:r w:rsidR="00E30DD3" w:rsidRPr="00833C88">
        <w:rPr>
          <w:rFonts w:cs="Times New Roman"/>
          <w:sz w:val="24"/>
          <w:szCs w:val="24"/>
        </w:rPr>
        <w:t xml:space="preserve">sję na prowadzenie działalności. </w:t>
      </w:r>
      <w:r w:rsidR="001F1215" w:rsidRPr="00833C88">
        <w:rPr>
          <w:rFonts w:cs="Times New Roman"/>
          <w:sz w:val="24"/>
          <w:szCs w:val="24"/>
        </w:rPr>
        <w:t xml:space="preserve">Ułatwia to podmiotom samoidentyfikację jako podmiot kluczowy lub podmiot ważny, muszą </w:t>
      </w:r>
      <w:proofErr w:type="gramStart"/>
      <w:r w:rsidR="001F1215" w:rsidRPr="00833C88">
        <w:rPr>
          <w:rFonts w:cs="Times New Roman"/>
          <w:sz w:val="24"/>
          <w:szCs w:val="24"/>
        </w:rPr>
        <w:t>sprawdzić</w:t>
      </w:r>
      <w:proofErr w:type="gramEnd"/>
      <w:r w:rsidR="001F1215" w:rsidRPr="00833C88">
        <w:rPr>
          <w:rFonts w:cs="Times New Roman"/>
          <w:sz w:val="24"/>
          <w:szCs w:val="24"/>
        </w:rPr>
        <w:t xml:space="preserve"> czy spełniają kryterium wielkościowe (co najmniej średnie przedsiębiorstwo) lub czy s</w:t>
      </w:r>
      <w:r w:rsidR="000B1744" w:rsidRPr="00833C88">
        <w:rPr>
          <w:rFonts w:cs="Times New Roman"/>
          <w:sz w:val="24"/>
          <w:szCs w:val="24"/>
        </w:rPr>
        <w:t xml:space="preserve">ą np. podmiotem </w:t>
      </w:r>
      <w:proofErr w:type="gramStart"/>
      <w:r w:rsidR="000B1744" w:rsidRPr="00833C88">
        <w:rPr>
          <w:rFonts w:cs="Times New Roman"/>
          <w:sz w:val="24"/>
          <w:szCs w:val="24"/>
        </w:rPr>
        <w:t>kluczowym</w:t>
      </w:r>
      <w:proofErr w:type="gramEnd"/>
      <w:r w:rsidR="000B1744" w:rsidRPr="00833C88">
        <w:rPr>
          <w:rFonts w:cs="Times New Roman"/>
          <w:sz w:val="24"/>
          <w:szCs w:val="24"/>
        </w:rPr>
        <w:t xml:space="preserve"> ponieważ są podmiotem krytycznym </w:t>
      </w:r>
      <w:r w:rsidR="00601933" w:rsidRPr="00833C88">
        <w:rPr>
          <w:rFonts w:cs="Times New Roman"/>
          <w:sz w:val="24"/>
          <w:szCs w:val="24"/>
        </w:rPr>
        <w:t>w </w:t>
      </w:r>
      <w:r w:rsidR="000B1744" w:rsidRPr="00833C88">
        <w:rPr>
          <w:rFonts w:cs="Times New Roman"/>
          <w:sz w:val="24"/>
          <w:szCs w:val="24"/>
        </w:rPr>
        <w:t>rozumieniu dyrektywy CER.</w:t>
      </w:r>
    </w:p>
    <w:p w14:paraId="2549F970" w14:textId="46692984" w:rsidR="00226090" w:rsidRPr="00833C88" w:rsidRDefault="00226090">
      <w:pPr>
        <w:pStyle w:val="Nagwek5"/>
        <w:numPr>
          <w:ilvl w:val="1"/>
          <w:numId w:val="64"/>
        </w:numPr>
        <w:spacing w:before="0" w:after="120" w:line="360" w:lineRule="auto"/>
        <w:jc w:val="both"/>
        <w:rPr>
          <w:rFonts w:cs="Times New Roman"/>
          <w:sz w:val="24"/>
          <w:szCs w:val="24"/>
        </w:rPr>
      </w:pPr>
      <w:r w:rsidRPr="00833C88">
        <w:rPr>
          <w:rFonts w:cs="Times New Roman"/>
          <w:sz w:val="24"/>
          <w:szCs w:val="24"/>
        </w:rPr>
        <w:t xml:space="preserve">Ropa </w:t>
      </w:r>
      <w:r w:rsidR="00601933" w:rsidRPr="00833C88">
        <w:rPr>
          <w:rFonts w:cs="Times New Roman"/>
          <w:sz w:val="24"/>
          <w:szCs w:val="24"/>
        </w:rPr>
        <w:t>i </w:t>
      </w:r>
      <w:r w:rsidRPr="00833C88">
        <w:rPr>
          <w:rFonts w:cs="Times New Roman"/>
          <w:sz w:val="24"/>
          <w:szCs w:val="24"/>
        </w:rPr>
        <w:t>paliwa</w:t>
      </w:r>
    </w:p>
    <w:p w14:paraId="4FD5D86A" w14:textId="52BEB487" w:rsidR="00947D3D" w:rsidRPr="00833C88" w:rsidRDefault="00601933" w:rsidP="009724B4">
      <w:pPr>
        <w:spacing w:line="360" w:lineRule="auto"/>
        <w:jc w:val="both"/>
        <w:rPr>
          <w:rFonts w:cs="Times New Roman"/>
          <w:sz w:val="24"/>
          <w:szCs w:val="24"/>
        </w:rPr>
      </w:pPr>
      <w:r w:rsidRPr="00833C88">
        <w:rPr>
          <w:rFonts w:cs="Times New Roman"/>
          <w:sz w:val="24"/>
          <w:szCs w:val="24"/>
        </w:rPr>
        <w:t>W </w:t>
      </w:r>
      <w:r w:rsidR="00947D3D" w:rsidRPr="00833C88">
        <w:rPr>
          <w:rFonts w:cs="Times New Roman"/>
          <w:sz w:val="24"/>
          <w:szCs w:val="24"/>
        </w:rPr>
        <w:t xml:space="preserve">ramach podsektora „Ropa </w:t>
      </w:r>
      <w:r w:rsidRPr="00833C88">
        <w:rPr>
          <w:rFonts w:cs="Times New Roman"/>
          <w:sz w:val="24"/>
          <w:szCs w:val="24"/>
        </w:rPr>
        <w:t>i </w:t>
      </w:r>
      <w:r w:rsidR="00947D3D" w:rsidRPr="00833C88">
        <w:rPr>
          <w:rFonts w:cs="Times New Roman"/>
          <w:sz w:val="24"/>
          <w:szCs w:val="24"/>
        </w:rPr>
        <w:t>paliwa” wyróżnia się następujące podmioty:</w:t>
      </w:r>
    </w:p>
    <w:p w14:paraId="2C0CF33E" w14:textId="18D786C8"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 xml:space="preserve">zakresie wytwarzania paliw ciekłych,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art.</w:t>
      </w:r>
      <w:r w:rsidR="00825A6B" w:rsidRPr="00833C88">
        <w:rPr>
          <w:rFonts w:cs="Times New Roman"/>
          <w:sz w:val="24"/>
          <w:szCs w:val="24"/>
        </w:rPr>
        <w:t> </w:t>
      </w:r>
      <w:r w:rsidRPr="00833C88">
        <w:rPr>
          <w:rFonts w:cs="Times New Roman"/>
          <w:sz w:val="24"/>
          <w:szCs w:val="24"/>
        </w:rPr>
        <w:t xml:space="preserve">32 ust. 1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07DC6A51" w14:textId="71232838"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zakresie przesyłania ropy naftowej.</w:t>
      </w:r>
    </w:p>
    <w:p w14:paraId="2DE76245" w14:textId="6D075793"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lastRenderedPageBreak/>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 xml:space="preserve">zakresie przesyłania paliw ciekłych siecią rurociągów,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 xml:space="preserve">art. 32 ust. 1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20B1B76D" w14:textId="7352B16C"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Podmiot prowadzący działalność gospodarczą </w:t>
      </w:r>
      <w:r w:rsidR="00601933" w:rsidRPr="00833C88">
        <w:rPr>
          <w:rFonts w:cs="Times New Roman"/>
          <w:sz w:val="24"/>
          <w:szCs w:val="24"/>
        </w:rPr>
        <w:t>w </w:t>
      </w:r>
      <w:r w:rsidRPr="00833C88">
        <w:rPr>
          <w:rFonts w:cs="Times New Roman"/>
          <w:sz w:val="24"/>
          <w:szCs w:val="24"/>
        </w:rPr>
        <w:t xml:space="preserve">zakresie magazynowania ropy naftowej, </w:t>
      </w:r>
      <w:r w:rsidR="00601933" w:rsidRPr="00833C88">
        <w:rPr>
          <w:rFonts w:cs="Times New Roman"/>
          <w:sz w:val="24"/>
          <w:szCs w:val="24"/>
        </w:rPr>
        <w:t>w </w:t>
      </w:r>
      <w:r w:rsidRPr="00833C88">
        <w:rPr>
          <w:rFonts w:cs="Times New Roman"/>
          <w:sz w:val="24"/>
          <w:szCs w:val="24"/>
        </w:rPr>
        <w:t xml:space="preserve">tym </w:t>
      </w:r>
      <w:r w:rsidR="00601933" w:rsidRPr="00833C88">
        <w:rPr>
          <w:rFonts w:cs="Times New Roman"/>
          <w:sz w:val="24"/>
          <w:szCs w:val="24"/>
        </w:rPr>
        <w:t>w </w:t>
      </w:r>
      <w:r w:rsidRPr="00833C88">
        <w:rPr>
          <w:rFonts w:cs="Times New Roman"/>
          <w:sz w:val="24"/>
          <w:szCs w:val="24"/>
        </w:rPr>
        <w:t xml:space="preserve">zakresie bezzbiornikowego podziemnego magazynowania ropy naftowej,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22 ust. 1 ustawy </w:t>
      </w:r>
      <w:r w:rsidR="00601933" w:rsidRPr="00833C88">
        <w:rPr>
          <w:rFonts w:cs="Times New Roman"/>
          <w:sz w:val="24"/>
          <w:szCs w:val="24"/>
        </w:rPr>
        <w:t>z </w:t>
      </w:r>
      <w:r w:rsidRPr="00833C88">
        <w:rPr>
          <w:rFonts w:cs="Times New Roman"/>
          <w:sz w:val="24"/>
          <w:szCs w:val="24"/>
        </w:rPr>
        <w:t xml:space="preserve">dnia 9 czerwca 2011 r. – Prawo geologiczne </w:t>
      </w:r>
      <w:r w:rsidR="00601933" w:rsidRPr="00833C88">
        <w:rPr>
          <w:rFonts w:cs="Times New Roman"/>
          <w:sz w:val="24"/>
          <w:szCs w:val="24"/>
        </w:rPr>
        <w:t>i </w:t>
      </w:r>
      <w:r w:rsidRPr="00833C88">
        <w:rPr>
          <w:rFonts w:cs="Times New Roman"/>
          <w:sz w:val="24"/>
          <w:szCs w:val="24"/>
        </w:rPr>
        <w:t>górnicze</w:t>
      </w:r>
      <w:r w:rsidR="0076020B" w:rsidRPr="00833C88">
        <w:rPr>
          <w:rFonts w:cs="Times New Roman"/>
          <w:sz w:val="24"/>
          <w:szCs w:val="24"/>
        </w:rPr>
        <w:t>,</w:t>
      </w:r>
    </w:p>
    <w:p w14:paraId="5CD69994" w14:textId="1C23EDBA"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zakresie przeładunku ropy naftowej</w:t>
      </w:r>
      <w:r w:rsidR="0076020B" w:rsidRPr="00833C88">
        <w:rPr>
          <w:rFonts w:cs="Times New Roman"/>
          <w:sz w:val="24"/>
          <w:szCs w:val="24"/>
        </w:rPr>
        <w:t>,</w:t>
      </w:r>
    </w:p>
    <w:p w14:paraId="2FCE9975" w14:textId="1C38FC2E"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wykonujące działalność gospodarczą </w:t>
      </w:r>
      <w:r w:rsidR="00601933" w:rsidRPr="00833C88">
        <w:rPr>
          <w:rFonts w:cs="Times New Roman"/>
          <w:sz w:val="24"/>
          <w:szCs w:val="24"/>
        </w:rPr>
        <w:t>w </w:t>
      </w:r>
      <w:r w:rsidRPr="00833C88">
        <w:rPr>
          <w:rFonts w:cs="Times New Roman"/>
          <w:sz w:val="24"/>
          <w:szCs w:val="24"/>
        </w:rPr>
        <w:t xml:space="preserve">zakresie magazynowania paliw ciekłych,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32 ust. 1 ustawy </w:t>
      </w:r>
      <w:r w:rsidR="00601933" w:rsidRPr="00833C88">
        <w:rPr>
          <w:rFonts w:cs="Times New Roman"/>
          <w:sz w:val="24"/>
          <w:szCs w:val="24"/>
        </w:rPr>
        <w:t>z </w:t>
      </w:r>
      <w:r w:rsidRPr="00833C88">
        <w:rPr>
          <w:rFonts w:cs="Times New Roman"/>
          <w:sz w:val="24"/>
          <w:szCs w:val="24"/>
        </w:rPr>
        <w:t xml:space="preserve">dnia 10 kwietnia 1997 r. – Prawo </w:t>
      </w:r>
      <w:proofErr w:type="gramStart"/>
      <w:r w:rsidRPr="00833C88">
        <w:rPr>
          <w:rFonts w:cs="Times New Roman"/>
          <w:sz w:val="24"/>
          <w:szCs w:val="24"/>
        </w:rPr>
        <w:t>energetyczne,</w:t>
      </w:r>
      <w:proofErr w:type="gramEnd"/>
      <w:r w:rsidRPr="00833C88">
        <w:rPr>
          <w:rFonts w:cs="Times New Roman"/>
          <w:sz w:val="24"/>
          <w:szCs w:val="24"/>
        </w:rPr>
        <w:t xml:space="preserve"> oraz podmiot prowadzący działalność </w:t>
      </w:r>
      <w:r w:rsidR="00601933" w:rsidRPr="00833C88">
        <w:rPr>
          <w:rFonts w:cs="Times New Roman"/>
          <w:sz w:val="24"/>
          <w:szCs w:val="24"/>
        </w:rPr>
        <w:t>w </w:t>
      </w:r>
      <w:r w:rsidRPr="00833C88">
        <w:rPr>
          <w:rFonts w:cs="Times New Roman"/>
          <w:sz w:val="24"/>
          <w:szCs w:val="24"/>
        </w:rPr>
        <w:t xml:space="preserve">zakresie bezzbiornikowego podziemnego magazynowania paliw ciekłych,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22 ust. 1 ustawy </w:t>
      </w:r>
      <w:r w:rsidR="00601933" w:rsidRPr="00833C88">
        <w:rPr>
          <w:rFonts w:cs="Times New Roman"/>
          <w:sz w:val="24"/>
          <w:szCs w:val="24"/>
        </w:rPr>
        <w:t>z </w:t>
      </w:r>
      <w:r w:rsidRPr="00833C88">
        <w:rPr>
          <w:rFonts w:cs="Times New Roman"/>
          <w:sz w:val="24"/>
          <w:szCs w:val="24"/>
        </w:rPr>
        <w:t>dnia 9 czerwca 2011 r. –</w:t>
      </w:r>
      <w:r w:rsidR="001F2CD2" w:rsidRPr="00833C88">
        <w:rPr>
          <w:rFonts w:cs="Times New Roman"/>
          <w:sz w:val="24"/>
          <w:szCs w:val="24"/>
        </w:rPr>
        <w:t xml:space="preserve"> </w:t>
      </w:r>
      <w:r w:rsidRPr="00833C88">
        <w:rPr>
          <w:rFonts w:cs="Times New Roman"/>
          <w:sz w:val="24"/>
          <w:szCs w:val="24"/>
        </w:rPr>
        <w:t xml:space="preserve">Prawo geologiczne </w:t>
      </w:r>
      <w:r w:rsidR="00601933" w:rsidRPr="00833C88">
        <w:rPr>
          <w:rFonts w:cs="Times New Roman"/>
          <w:sz w:val="24"/>
          <w:szCs w:val="24"/>
        </w:rPr>
        <w:t>i </w:t>
      </w:r>
      <w:r w:rsidRPr="00833C88">
        <w:rPr>
          <w:rFonts w:cs="Times New Roman"/>
          <w:sz w:val="24"/>
          <w:szCs w:val="24"/>
        </w:rPr>
        <w:t>górnicze</w:t>
      </w:r>
      <w:r w:rsidR="0076020B" w:rsidRPr="00833C88">
        <w:rPr>
          <w:rFonts w:cs="Times New Roman"/>
          <w:sz w:val="24"/>
          <w:szCs w:val="24"/>
        </w:rPr>
        <w:t>,</w:t>
      </w:r>
    </w:p>
    <w:p w14:paraId="23E1FD6A" w14:textId="14D5F6DB"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wykonujące działalność gospodarczą </w:t>
      </w:r>
      <w:r w:rsidR="00601933" w:rsidRPr="00833C88">
        <w:rPr>
          <w:rFonts w:cs="Times New Roman"/>
          <w:sz w:val="24"/>
          <w:szCs w:val="24"/>
        </w:rPr>
        <w:t>w </w:t>
      </w:r>
      <w:r w:rsidRPr="00833C88">
        <w:rPr>
          <w:rFonts w:cs="Times New Roman"/>
          <w:sz w:val="24"/>
          <w:szCs w:val="24"/>
        </w:rPr>
        <w:t xml:space="preserve">zakresie przeładunku paliw ciekłych,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32 ust. 1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2FC3922B" w14:textId="4495909D"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wykonujące działalność gospodarczą </w:t>
      </w:r>
      <w:r w:rsidR="00601933" w:rsidRPr="00833C88">
        <w:rPr>
          <w:rFonts w:cs="Times New Roman"/>
          <w:sz w:val="24"/>
          <w:szCs w:val="24"/>
        </w:rPr>
        <w:t>w </w:t>
      </w:r>
      <w:r w:rsidRPr="00833C88">
        <w:rPr>
          <w:rFonts w:cs="Times New Roman"/>
          <w:sz w:val="24"/>
          <w:szCs w:val="24"/>
        </w:rPr>
        <w:t xml:space="preserve">zakresie obrotu paliwami ciekłymi lub </w:t>
      </w:r>
      <w:r w:rsidR="00601933" w:rsidRPr="00833C88">
        <w:rPr>
          <w:rFonts w:cs="Times New Roman"/>
          <w:sz w:val="24"/>
          <w:szCs w:val="24"/>
        </w:rPr>
        <w:t>w </w:t>
      </w:r>
      <w:r w:rsidRPr="00833C88">
        <w:rPr>
          <w:rFonts w:cs="Times New Roman"/>
          <w:sz w:val="24"/>
          <w:szCs w:val="24"/>
        </w:rPr>
        <w:t xml:space="preserve">zakresie obrotu paliwami ciekłymi </w:t>
      </w:r>
      <w:r w:rsidR="00601933" w:rsidRPr="00833C88">
        <w:rPr>
          <w:rFonts w:cs="Times New Roman"/>
          <w:sz w:val="24"/>
          <w:szCs w:val="24"/>
        </w:rPr>
        <w:t>z </w:t>
      </w:r>
      <w:r w:rsidRPr="00833C88">
        <w:rPr>
          <w:rFonts w:cs="Times New Roman"/>
          <w:sz w:val="24"/>
          <w:szCs w:val="24"/>
        </w:rPr>
        <w:t xml:space="preserve">zagranicą,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32 ust. 1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7CCB3A1C" w14:textId="1DEC1D9C" w:rsidR="00CD7EC3" w:rsidRPr="00833C88" w:rsidRDefault="00CD7EC3">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Podmioty prowadzące działalność gospodarczą </w:t>
      </w:r>
      <w:r w:rsidR="00601933" w:rsidRPr="00833C88">
        <w:rPr>
          <w:rFonts w:cs="Times New Roman"/>
          <w:sz w:val="24"/>
          <w:szCs w:val="24"/>
        </w:rPr>
        <w:t>w </w:t>
      </w:r>
      <w:r w:rsidRPr="00833C88">
        <w:rPr>
          <w:rFonts w:cs="Times New Roman"/>
          <w:sz w:val="24"/>
          <w:szCs w:val="24"/>
        </w:rPr>
        <w:t>zakresie wytwarzania paliw syntetycznych</w:t>
      </w:r>
      <w:r w:rsidR="0076020B" w:rsidRPr="00833C88">
        <w:rPr>
          <w:rFonts w:cs="Times New Roman"/>
          <w:sz w:val="24"/>
          <w:szCs w:val="24"/>
        </w:rPr>
        <w:t>,</w:t>
      </w:r>
    </w:p>
    <w:p w14:paraId="4398AA51" w14:textId="77777777" w:rsidR="00A961D1" w:rsidRPr="00833C88" w:rsidRDefault="00CD7EC3" w:rsidP="00A961D1">
      <w:pPr>
        <w:pStyle w:val="Akapitzlist"/>
        <w:numPr>
          <w:ilvl w:val="0"/>
          <w:numId w:val="33"/>
        </w:numPr>
        <w:spacing w:line="360" w:lineRule="auto"/>
        <w:contextualSpacing w:val="0"/>
        <w:jc w:val="both"/>
        <w:rPr>
          <w:rFonts w:cs="Times New Roman"/>
          <w:sz w:val="24"/>
          <w:szCs w:val="24"/>
        </w:rPr>
      </w:pPr>
      <w:r w:rsidRPr="00833C88">
        <w:rPr>
          <w:rFonts w:cs="Times New Roman"/>
          <w:sz w:val="24"/>
          <w:szCs w:val="24"/>
        </w:rPr>
        <w:t xml:space="preserve">Agencja wykonawcza utworzona na podstawie ustawy </w:t>
      </w:r>
      <w:r w:rsidR="00601933" w:rsidRPr="00833C88">
        <w:rPr>
          <w:rFonts w:cs="Times New Roman"/>
          <w:sz w:val="24"/>
          <w:szCs w:val="24"/>
        </w:rPr>
        <w:t>z </w:t>
      </w:r>
      <w:r w:rsidRPr="00833C88">
        <w:rPr>
          <w:rFonts w:cs="Times New Roman"/>
          <w:sz w:val="24"/>
          <w:szCs w:val="24"/>
        </w:rPr>
        <w:t xml:space="preserve">dnia 17 grudnia 2020 r. </w:t>
      </w:r>
      <w:r w:rsidR="00601933" w:rsidRPr="00833C88">
        <w:rPr>
          <w:rFonts w:cs="Times New Roman"/>
          <w:sz w:val="24"/>
          <w:szCs w:val="24"/>
        </w:rPr>
        <w:t>o </w:t>
      </w:r>
      <w:r w:rsidRPr="00833C88">
        <w:rPr>
          <w:rFonts w:cs="Times New Roman"/>
          <w:sz w:val="24"/>
          <w:szCs w:val="24"/>
        </w:rPr>
        <w:t xml:space="preserve">rezerwach strategicznych (Dz. U. </w:t>
      </w:r>
      <w:r w:rsidR="00601933" w:rsidRPr="00833C88">
        <w:rPr>
          <w:rFonts w:cs="Times New Roman"/>
          <w:sz w:val="24"/>
          <w:szCs w:val="24"/>
        </w:rPr>
        <w:t>z </w:t>
      </w:r>
      <w:r w:rsidRPr="00833C88">
        <w:rPr>
          <w:rFonts w:cs="Times New Roman"/>
          <w:sz w:val="24"/>
          <w:szCs w:val="24"/>
        </w:rPr>
        <w:t xml:space="preserve">2024 r. poz. </w:t>
      </w:r>
      <w:r w:rsidR="00A656BD" w:rsidRPr="00833C88">
        <w:rPr>
          <w:rFonts w:cs="Times New Roman"/>
          <w:sz w:val="24"/>
          <w:szCs w:val="24"/>
        </w:rPr>
        <w:t xml:space="preserve">1598 </w:t>
      </w:r>
      <w:r w:rsidR="00601933" w:rsidRPr="00833C88">
        <w:rPr>
          <w:rFonts w:cs="Times New Roman"/>
          <w:sz w:val="24"/>
          <w:szCs w:val="24"/>
        </w:rPr>
        <w:t>i </w:t>
      </w:r>
      <w:r w:rsidR="00A656BD" w:rsidRPr="00833C88">
        <w:rPr>
          <w:rFonts w:cs="Times New Roman"/>
          <w:sz w:val="24"/>
          <w:szCs w:val="24"/>
        </w:rPr>
        <w:t>1907</w:t>
      </w:r>
      <w:r w:rsidRPr="00833C88">
        <w:rPr>
          <w:rFonts w:cs="Times New Roman"/>
          <w:sz w:val="24"/>
          <w:szCs w:val="24"/>
        </w:rPr>
        <w:t>).</w:t>
      </w:r>
    </w:p>
    <w:p w14:paraId="4C17AB44" w14:textId="075D813D" w:rsidR="00AC7801" w:rsidRPr="00833C88" w:rsidRDefault="00AC7801" w:rsidP="00A961D1">
      <w:pPr>
        <w:spacing w:line="360" w:lineRule="auto"/>
        <w:jc w:val="both"/>
        <w:rPr>
          <w:rFonts w:cs="Times New Roman"/>
          <w:sz w:val="24"/>
          <w:szCs w:val="24"/>
        </w:rPr>
      </w:pPr>
      <w:r w:rsidRPr="00833C88">
        <w:rPr>
          <w:rFonts w:cs="Times New Roman"/>
          <w:sz w:val="24"/>
          <w:szCs w:val="24"/>
        </w:rPr>
        <w:lastRenderedPageBreak/>
        <w:t xml:space="preserve">Celem jest objęcie </w:t>
      </w:r>
      <w:r w:rsidR="00A413C3" w:rsidRPr="00833C88">
        <w:rPr>
          <w:rFonts w:cs="Times New Roman"/>
          <w:sz w:val="24"/>
          <w:szCs w:val="24"/>
        </w:rPr>
        <w:t>wymogami cyberbezpieczeństwa całego łańcuchu dostaw ropy i paliw</w:t>
      </w:r>
      <w:r w:rsidR="00C10BE9" w:rsidRPr="00833C88">
        <w:rPr>
          <w:rFonts w:cs="Times New Roman"/>
          <w:sz w:val="24"/>
          <w:szCs w:val="24"/>
        </w:rPr>
        <w:t xml:space="preserve"> ciekłych. </w:t>
      </w:r>
      <w:r w:rsidR="004977CC" w:rsidRPr="00833C88">
        <w:rPr>
          <w:rFonts w:cs="Times New Roman"/>
          <w:sz w:val="24"/>
          <w:szCs w:val="24"/>
        </w:rPr>
        <w:t xml:space="preserve">Incydent w tym sektorze może w poważny sposób </w:t>
      </w:r>
      <w:r w:rsidR="00710E73" w:rsidRPr="00833C88">
        <w:rPr>
          <w:rFonts w:cs="Times New Roman"/>
          <w:sz w:val="24"/>
          <w:szCs w:val="24"/>
        </w:rPr>
        <w:t>unieruchomić gospodarkę co</w:t>
      </w:r>
      <w:r w:rsidR="00A961D1" w:rsidRPr="00833C88">
        <w:rPr>
          <w:rFonts w:cs="Times New Roman"/>
          <w:sz w:val="24"/>
          <w:szCs w:val="24"/>
        </w:rPr>
        <w:t> </w:t>
      </w:r>
      <w:r w:rsidR="00710E73" w:rsidRPr="00833C88">
        <w:rPr>
          <w:rFonts w:cs="Times New Roman"/>
          <w:sz w:val="24"/>
          <w:szCs w:val="24"/>
        </w:rPr>
        <w:t xml:space="preserve">pokazał w 2021 r. incydent </w:t>
      </w:r>
      <w:proofErr w:type="spellStart"/>
      <w:r w:rsidR="00F8650D" w:rsidRPr="00833C88">
        <w:rPr>
          <w:rFonts w:cs="Times New Roman"/>
          <w:sz w:val="24"/>
          <w:szCs w:val="24"/>
        </w:rPr>
        <w:t>Colonial</w:t>
      </w:r>
      <w:proofErr w:type="spellEnd"/>
      <w:r w:rsidR="00F8650D" w:rsidRPr="00833C88">
        <w:rPr>
          <w:rFonts w:cs="Times New Roman"/>
          <w:sz w:val="24"/>
          <w:szCs w:val="24"/>
        </w:rPr>
        <w:t xml:space="preserve"> </w:t>
      </w:r>
      <w:proofErr w:type="spellStart"/>
      <w:r w:rsidR="00F8650D" w:rsidRPr="00833C88">
        <w:rPr>
          <w:rFonts w:cs="Times New Roman"/>
          <w:sz w:val="24"/>
          <w:szCs w:val="24"/>
        </w:rPr>
        <w:t>Pipeline</w:t>
      </w:r>
      <w:proofErr w:type="spellEnd"/>
      <w:r w:rsidR="00F8650D" w:rsidRPr="00833C88">
        <w:rPr>
          <w:rStyle w:val="Odwoanieprzypisudolnego"/>
          <w:rFonts w:cs="Times New Roman"/>
          <w:sz w:val="24"/>
          <w:szCs w:val="24"/>
        </w:rPr>
        <w:footnoteReference w:id="96"/>
      </w:r>
      <w:r w:rsidR="00A961D1" w:rsidRPr="00833C88">
        <w:rPr>
          <w:rFonts w:cs="Times New Roman"/>
          <w:sz w:val="24"/>
          <w:szCs w:val="24"/>
          <w:vertAlign w:val="superscript"/>
        </w:rPr>
        <w:t>)</w:t>
      </w:r>
      <w:r w:rsidR="00E44C32" w:rsidRPr="00833C88">
        <w:rPr>
          <w:rFonts w:cs="Times New Roman"/>
          <w:sz w:val="24"/>
          <w:szCs w:val="24"/>
        </w:rPr>
        <w:t>.</w:t>
      </w:r>
    </w:p>
    <w:p w14:paraId="21F312F5" w14:textId="393C10D8" w:rsidR="00226090" w:rsidRPr="00833C88" w:rsidRDefault="00226090">
      <w:pPr>
        <w:pStyle w:val="Nagwek5"/>
        <w:numPr>
          <w:ilvl w:val="1"/>
          <w:numId w:val="64"/>
        </w:numPr>
        <w:spacing w:before="0" w:after="120" w:line="360" w:lineRule="auto"/>
        <w:jc w:val="both"/>
        <w:rPr>
          <w:rFonts w:cs="Times New Roman"/>
          <w:sz w:val="24"/>
          <w:szCs w:val="24"/>
        </w:rPr>
      </w:pPr>
      <w:r w:rsidRPr="00833C88">
        <w:rPr>
          <w:rFonts w:cs="Times New Roman"/>
          <w:sz w:val="24"/>
          <w:szCs w:val="24"/>
        </w:rPr>
        <w:t>Gaz</w:t>
      </w:r>
    </w:p>
    <w:p w14:paraId="072C9DFB" w14:textId="3D65A578" w:rsidR="00947D3D" w:rsidRPr="00833C88" w:rsidRDefault="00601933" w:rsidP="00A70B3D">
      <w:pPr>
        <w:spacing w:line="360" w:lineRule="auto"/>
        <w:jc w:val="both"/>
        <w:rPr>
          <w:rFonts w:cs="Times New Roman"/>
        </w:rPr>
      </w:pPr>
      <w:r w:rsidRPr="00833C88">
        <w:rPr>
          <w:rFonts w:cs="Times New Roman"/>
          <w:sz w:val="24"/>
          <w:szCs w:val="24"/>
        </w:rPr>
        <w:t>W </w:t>
      </w:r>
      <w:r w:rsidR="00947D3D" w:rsidRPr="00833C88">
        <w:rPr>
          <w:rFonts w:cs="Times New Roman"/>
          <w:sz w:val="24"/>
          <w:szCs w:val="24"/>
        </w:rPr>
        <w:t>ramach podsektora gazu wyróżnia się następujące podmioty:</w:t>
      </w:r>
    </w:p>
    <w:p w14:paraId="2320A094" w14:textId="33464614" w:rsidR="00CD2E5C" w:rsidRPr="00833C88" w:rsidRDefault="00CD2E5C">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prowadzące działalność </w:t>
      </w:r>
      <w:r w:rsidR="00601933" w:rsidRPr="00833C88">
        <w:rPr>
          <w:rFonts w:cs="Times New Roman"/>
          <w:sz w:val="24"/>
          <w:szCs w:val="24"/>
        </w:rPr>
        <w:t>w </w:t>
      </w:r>
      <w:r w:rsidRPr="00833C88">
        <w:rPr>
          <w:rFonts w:cs="Times New Roman"/>
          <w:sz w:val="24"/>
          <w:szCs w:val="24"/>
        </w:rPr>
        <w:t xml:space="preserve">zakresie wytwarzania paliw gazowych,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45 ustawy </w:t>
      </w:r>
      <w:r w:rsidR="00601933" w:rsidRPr="00833C88">
        <w:rPr>
          <w:rFonts w:cs="Times New Roman"/>
          <w:sz w:val="24"/>
          <w:szCs w:val="24"/>
        </w:rPr>
        <w:t>z </w:t>
      </w:r>
      <w:r w:rsidRPr="00833C88">
        <w:rPr>
          <w:rFonts w:cs="Times New Roman"/>
          <w:sz w:val="24"/>
          <w:szCs w:val="24"/>
        </w:rPr>
        <w:t>dnia 10 kwietnia 1997 r. – Prawo energetyczne</w:t>
      </w:r>
      <w:r w:rsidR="0076020B" w:rsidRPr="00833C88">
        <w:rPr>
          <w:rFonts w:cs="Times New Roman"/>
          <w:sz w:val="24"/>
          <w:szCs w:val="24"/>
        </w:rPr>
        <w:t>,</w:t>
      </w:r>
    </w:p>
    <w:p w14:paraId="35BD16BF" w14:textId="29C4BE03" w:rsidR="00CD2E5C" w:rsidRPr="00833C88" w:rsidRDefault="00CD2E5C">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zakresie przesyłania paliw gazowych</w:t>
      </w:r>
      <w:r w:rsidR="0076020B" w:rsidRPr="00833C88">
        <w:rPr>
          <w:rFonts w:cs="Times New Roman"/>
          <w:sz w:val="24"/>
          <w:szCs w:val="24"/>
        </w:rPr>
        <w:t>,</w:t>
      </w:r>
    </w:p>
    <w:p w14:paraId="13F4C27C" w14:textId="089AA70E" w:rsidR="00CD2E5C" w:rsidRPr="00833C88" w:rsidRDefault="00CD2E5C">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posiadające koncesję na wykonywanie działalności gospodarczej </w:t>
      </w:r>
      <w:r w:rsidR="00601933" w:rsidRPr="00833C88">
        <w:rPr>
          <w:rFonts w:cs="Times New Roman"/>
          <w:sz w:val="24"/>
          <w:szCs w:val="24"/>
        </w:rPr>
        <w:t>w </w:t>
      </w:r>
      <w:r w:rsidRPr="00833C88">
        <w:rPr>
          <w:rFonts w:cs="Times New Roman"/>
          <w:sz w:val="24"/>
          <w:szCs w:val="24"/>
        </w:rPr>
        <w:t xml:space="preserve">zakresie obrotu gazem ziemnym </w:t>
      </w:r>
      <w:r w:rsidR="00601933" w:rsidRPr="00833C88">
        <w:rPr>
          <w:rFonts w:cs="Times New Roman"/>
          <w:sz w:val="24"/>
          <w:szCs w:val="24"/>
        </w:rPr>
        <w:t>z </w:t>
      </w:r>
      <w:r w:rsidRPr="00833C88">
        <w:rPr>
          <w:rFonts w:cs="Times New Roman"/>
          <w:sz w:val="24"/>
          <w:szCs w:val="24"/>
        </w:rPr>
        <w:t xml:space="preserve">zagranicą lub na wykonywanie działalności gospodarczej </w:t>
      </w:r>
      <w:r w:rsidR="00601933" w:rsidRPr="00833C88">
        <w:rPr>
          <w:rFonts w:cs="Times New Roman"/>
          <w:sz w:val="24"/>
          <w:szCs w:val="24"/>
        </w:rPr>
        <w:t>w </w:t>
      </w:r>
      <w:r w:rsidRPr="00833C88">
        <w:rPr>
          <w:rFonts w:cs="Times New Roman"/>
          <w:sz w:val="24"/>
          <w:szCs w:val="24"/>
        </w:rPr>
        <w:t>zakresie obrotu paliwami gazowymi</w:t>
      </w:r>
      <w:r w:rsidR="0076020B" w:rsidRPr="00833C88">
        <w:rPr>
          <w:rFonts w:cs="Times New Roman"/>
          <w:sz w:val="24"/>
          <w:szCs w:val="24"/>
        </w:rPr>
        <w:t>,</w:t>
      </w:r>
    </w:p>
    <w:p w14:paraId="5558032C" w14:textId="723A559C" w:rsidR="00CD2E5C" w:rsidRPr="00833C88" w:rsidRDefault="00CD2E5C">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24 ustawy </w:t>
      </w:r>
      <w:r w:rsidR="00601933" w:rsidRPr="00833C88">
        <w:rPr>
          <w:rFonts w:cs="Times New Roman"/>
          <w:sz w:val="24"/>
          <w:szCs w:val="24"/>
        </w:rPr>
        <w:t>z </w:t>
      </w:r>
      <w:r w:rsidRPr="00833C88">
        <w:rPr>
          <w:rFonts w:cs="Times New Roman"/>
          <w:sz w:val="24"/>
          <w:szCs w:val="24"/>
        </w:rPr>
        <w:t>dnia 10 kwietnia 1997 r. – Prawo energetyczne, będące wyznaczonym przez Prezesa Urzędu Regulacji Energetyki operatorem systemu przesyłowego gazowego</w:t>
      </w:r>
      <w:r w:rsidR="0076020B" w:rsidRPr="00833C88">
        <w:rPr>
          <w:rFonts w:cs="Times New Roman"/>
          <w:sz w:val="24"/>
          <w:szCs w:val="24"/>
        </w:rPr>
        <w:t>,</w:t>
      </w:r>
    </w:p>
    <w:p w14:paraId="2C7E9C02" w14:textId="47067A71" w:rsidR="00CD2E5C" w:rsidRPr="00833C88" w:rsidRDefault="00CD2E5C">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25 ustawy </w:t>
      </w:r>
      <w:r w:rsidR="00601933" w:rsidRPr="00833C88">
        <w:rPr>
          <w:rFonts w:cs="Times New Roman"/>
          <w:sz w:val="24"/>
          <w:szCs w:val="24"/>
        </w:rPr>
        <w:t>z </w:t>
      </w:r>
      <w:r w:rsidRPr="00833C88">
        <w:rPr>
          <w:rFonts w:cs="Times New Roman"/>
          <w:sz w:val="24"/>
          <w:szCs w:val="24"/>
        </w:rPr>
        <w:t>dnia 10 kwietnia 1997 r. – Prawo energetyczne, będące wyznaczonym przez Prezesa Urzędu Regulacji Energetyki operatorem systemu dystrybucyjnego gazowego</w:t>
      </w:r>
      <w:r w:rsidR="0076020B" w:rsidRPr="00833C88">
        <w:rPr>
          <w:rFonts w:cs="Times New Roman"/>
          <w:sz w:val="24"/>
          <w:szCs w:val="24"/>
        </w:rPr>
        <w:t>,</w:t>
      </w:r>
    </w:p>
    <w:p w14:paraId="1033B738" w14:textId="663837B8" w:rsidR="00CD2E5C" w:rsidRPr="00833C88" w:rsidRDefault="00CD2E5C">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26 ustawy </w:t>
      </w:r>
      <w:r w:rsidR="00601933" w:rsidRPr="00833C88">
        <w:rPr>
          <w:rFonts w:cs="Times New Roman"/>
          <w:sz w:val="24"/>
          <w:szCs w:val="24"/>
        </w:rPr>
        <w:t>z </w:t>
      </w:r>
      <w:r w:rsidRPr="00833C88">
        <w:rPr>
          <w:rFonts w:cs="Times New Roman"/>
          <w:sz w:val="24"/>
          <w:szCs w:val="24"/>
        </w:rPr>
        <w:t xml:space="preserve">dnia 10 kwietnia 1997 r. </w:t>
      </w:r>
      <w:r w:rsidR="005068D6" w:rsidRPr="00833C88">
        <w:rPr>
          <w:rFonts w:cs="Times New Roman"/>
          <w:sz w:val="24"/>
          <w:szCs w:val="24"/>
        </w:rPr>
        <w:t>–</w:t>
      </w:r>
      <w:r w:rsidRPr="00833C88">
        <w:rPr>
          <w:rFonts w:cs="Times New Roman"/>
          <w:sz w:val="24"/>
          <w:szCs w:val="24"/>
        </w:rPr>
        <w:t xml:space="preserve"> Prawo energetyczne, będące wyznaczonym przez Prezesa Urzędu Regulacji Energetyki operatorem systemu magazynowania paliw gazowych</w:t>
      </w:r>
      <w:r w:rsidR="0076020B" w:rsidRPr="00833C88">
        <w:rPr>
          <w:rFonts w:cs="Times New Roman"/>
          <w:sz w:val="24"/>
          <w:szCs w:val="24"/>
        </w:rPr>
        <w:t>,</w:t>
      </w:r>
    </w:p>
    <w:p w14:paraId="2B08A58E" w14:textId="7F43640B" w:rsidR="00CD2E5C" w:rsidRPr="00833C88" w:rsidRDefault="00CD2E5C">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27 ustawy </w:t>
      </w:r>
      <w:r w:rsidR="00601933" w:rsidRPr="00833C88">
        <w:rPr>
          <w:rFonts w:cs="Times New Roman"/>
          <w:sz w:val="24"/>
          <w:szCs w:val="24"/>
        </w:rPr>
        <w:t>z </w:t>
      </w:r>
      <w:r w:rsidRPr="00833C88">
        <w:rPr>
          <w:rFonts w:cs="Times New Roman"/>
          <w:sz w:val="24"/>
          <w:szCs w:val="24"/>
        </w:rPr>
        <w:t>dnia 10 kwietnia 1997 r. – Prawo energetyczne, będące wyznaczonym przez Prezesa Urzędu Regulacji Energetyki operatorem systemu skraplania gazu ziemnego</w:t>
      </w:r>
      <w:r w:rsidR="0076020B" w:rsidRPr="00833C88">
        <w:rPr>
          <w:rFonts w:cs="Times New Roman"/>
          <w:sz w:val="24"/>
          <w:szCs w:val="24"/>
        </w:rPr>
        <w:t>,</w:t>
      </w:r>
    </w:p>
    <w:p w14:paraId="487BCAE6" w14:textId="77777777" w:rsidR="00A961D1" w:rsidRPr="00833C88" w:rsidRDefault="00CD2E5C" w:rsidP="00A961D1">
      <w:pPr>
        <w:pStyle w:val="Akapitzlist"/>
        <w:numPr>
          <w:ilvl w:val="0"/>
          <w:numId w:val="34"/>
        </w:numPr>
        <w:spacing w:line="360" w:lineRule="auto"/>
        <w:contextualSpacing w:val="0"/>
        <w:jc w:val="both"/>
        <w:rPr>
          <w:rFonts w:cs="Times New Roman"/>
          <w:sz w:val="24"/>
          <w:szCs w:val="24"/>
        </w:rPr>
      </w:pPr>
      <w:r w:rsidRPr="00833C88">
        <w:rPr>
          <w:rFonts w:cs="Times New Roman"/>
          <w:sz w:val="24"/>
          <w:szCs w:val="24"/>
        </w:rPr>
        <w:lastRenderedPageBreak/>
        <w:t xml:space="preserve">Przedsiębiorstwa energetyczne prowadzące działalność gospodarczą </w:t>
      </w:r>
      <w:r w:rsidR="00601933" w:rsidRPr="00833C88">
        <w:rPr>
          <w:rFonts w:cs="Times New Roman"/>
          <w:sz w:val="24"/>
          <w:szCs w:val="24"/>
        </w:rPr>
        <w:t>w </w:t>
      </w:r>
      <w:r w:rsidRPr="00833C88">
        <w:rPr>
          <w:rFonts w:cs="Times New Roman"/>
          <w:sz w:val="24"/>
          <w:szCs w:val="24"/>
        </w:rPr>
        <w:t xml:space="preserve">zakresie rafinacji </w:t>
      </w:r>
      <w:r w:rsidR="00601933" w:rsidRPr="00833C88">
        <w:rPr>
          <w:rFonts w:cs="Times New Roman"/>
          <w:sz w:val="24"/>
          <w:szCs w:val="24"/>
        </w:rPr>
        <w:t>i </w:t>
      </w:r>
      <w:r w:rsidRPr="00833C88">
        <w:rPr>
          <w:rFonts w:cs="Times New Roman"/>
          <w:sz w:val="24"/>
          <w:szCs w:val="24"/>
        </w:rPr>
        <w:t>przetwarzania gazu ziemnego.</w:t>
      </w:r>
    </w:p>
    <w:p w14:paraId="5B72EA48" w14:textId="6885A4AD" w:rsidR="00613968" w:rsidRPr="00833C88" w:rsidRDefault="00613968" w:rsidP="00A961D1">
      <w:pPr>
        <w:spacing w:line="360" w:lineRule="auto"/>
        <w:jc w:val="both"/>
        <w:rPr>
          <w:rFonts w:cs="Times New Roman"/>
          <w:sz w:val="24"/>
          <w:szCs w:val="24"/>
        </w:rPr>
      </w:pPr>
      <w:r w:rsidRPr="00833C88">
        <w:rPr>
          <w:rFonts w:cs="Times New Roman"/>
          <w:sz w:val="24"/>
          <w:szCs w:val="24"/>
        </w:rPr>
        <w:t xml:space="preserve">Gaz ziemny i gaz zaazotowany </w:t>
      </w:r>
      <w:proofErr w:type="gramStart"/>
      <w:r w:rsidRPr="00833C88">
        <w:rPr>
          <w:rFonts w:cs="Times New Roman"/>
          <w:sz w:val="24"/>
          <w:szCs w:val="24"/>
        </w:rPr>
        <w:t>jest</w:t>
      </w:r>
      <w:proofErr w:type="gramEnd"/>
      <w:r w:rsidRPr="00833C88">
        <w:rPr>
          <w:rFonts w:cs="Times New Roman"/>
          <w:sz w:val="24"/>
          <w:szCs w:val="24"/>
        </w:rPr>
        <w:t xml:space="preserve"> wykorzystywany w </w:t>
      </w:r>
      <w:r w:rsidR="004A23B1" w:rsidRPr="00833C88">
        <w:rPr>
          <w:rFonts w:cs="Times New Roman"/>
          <w:sz w:val="24"/>
          <w:szCs w:val="24"/>
        </w:rPr>
        <w:t>górnictwie, przetwórstwie przemysłowym, w wytwarzaniu i zaopatrywaniu w energię elektryczną, gaz, parę wodną i</w:t>
      </w:r>
      <w:r w:rsidR="00A961D1" w:rsidRPr="00833C88">
        <w:rPr>
          <w:rFonts w:cs="Times New Roman"/>
          <w:sz w:val="24"/>
          <w:szCs w:val="24"/>
        </w:rPr>
        <w:t> </w:t>
      </w:r>
      <w:r w:rsidR="004A23B1" w:rsidRPr="00833C88">
        <w:rPr>
          <w:rFonts w:cs="Times New Roman"/>
          <w:sz w:val="24"/>
          <w:szCs w:val="24"/>
        </w:rPr>
        <w:t>gorącą wodę.</w:t>
      </w:r>
      <w:r w:rsidR="00E4662D" w:rsidRPr="00833C88">
        <w:rPr>
          <w:rFonts w:cs="Times New Roman"/>
          <w:sz w:val="24"/>
          <w:szCs w:val="24"/>
        </w:rPr>
        <w:t xml:space="preserve"> Konieczne jest, zgodnie z dyrektywą NIS 2, zapewnienie bezpieczeństwa systemów informacyjnych automatyki przemysłowej wspierających</w:t>
      </w:r>
      <w:r w:rsidR="006B0D63" w:rsidRPr="00833C88">
        <w:rPr>
          <w:rFonts w:cs="Times New Roman"/>
          <w:sz w:val="24"/>
          <w:szCs w:val="24"/>
        </w:rPr>
        <w:t xml:space="preserve"> wytwarzanie gazu i</w:t>
      </w:r>
      <w:r w:rsidR="00A961D1" w:rsidRPr="00833C88">
        <w:rPr>
          <w:rFonts w:cs="Times New Roman"/>
          <w:sz w:val="24"/>
          <w:szCs w:val="24"/>
        </w:rPr>
        <w:t> </w:t>
      </w:r>
      <w:r w:rsidR="006B0D63" w:rsidRPr="00833C88">
        <w:rPr>
          <w:rFonts w:cs="Times New Roman"/>
          <w:sz w:val="24"/>
          <w:szCs w:val="24"/>
        </w:rPr>
        <w:t>paliw gazowych,</w:t>
      </w:r>
      <w:r w:rsidR="00E4662D" w:rsidRPr="00833C88">
        <w:rPr>
          <w:rFonts w:cs="Times New Roman"/>
          <w:sz w:val="24"/>
          <w:szCs w:val="24"/>
        </w:rPr>
        <w:t xml:space="preserve"> </w:t>
      </w:r>
      <w:r w:rsidR="009149A7" w:rsidRPr="00833C88">
        <w:rPr>
          <w:rFonts w:cs="Times New Roman"/>
          <w:sz w:val="24"/>
          <w:szCs w:val="24"/>
        </w:rPr>
        <w:t>systemy przesyłowe, dystrybucyjne, magazynowania, skraplania gazu oraz te</w:t>
      </w:r>
      <w:r w:rsidR="002B667E" w:rsidRPr="00833C88">
        <w:rPr>
          <w:rFonts w:cs="Times New Roman"/>
          <w:sz w:val="24"/>
          <w:szCs w:val="24"/>
        </w:rPr>
        <w:t> </w:t>
      </w:r>
      <w:r w:rsidR="009149A7" w:rsidRPr="00833C88">
        <w:rPr>
          <w:rFonts w:cs="Times New Roman"/>
          <w:sz w:val="24"/>
          <w:szCs w:val="24"/>
        </w:rPr>
        <w:t>wspierające rafinację i przetwarzanie gazu ziemnego.</w:t>
      </w:r>
    </w:p>
    <w:p w14:paraId="052B0F9C" w14:textId="2170DED0" w:rsidR="00226090" w:rsidRPr="00833C88" w:rsidRDefault="00226090">
      <w:pPr>
        <w:pStyle w:val="Nagwek5"/>
        <w:numPr>
          <w:ilvl w:val="1"/>
          <w:numId w:val="64"/>
        </w:numPr>
        <w:spacing w:before="0" w:after="120" w:line="360" w:lineRule="auto"/>
        <w:jc w:val="both"/>
        <w:rPr>
          <w:rFonts w:cs="Times New Roman"/>
          <w:sz w:val="24"/>
          <w:szCs w:val="24"/>
        </w:rPr>
      </w:pPr>
      <w:r w:rsidRPr="00833C88">
        <w:rPr>
          <w:rFonts w:cs="Times New Roman"/>
          <w:sz w:val="24"/>
          <w:szCs w:val="24"/>
        </w:rPr>
        <w:t>Energetyka jądrowa</w:t>
      </w:r>
    </w:p>
    <w:p w14:paraId="5E8CA9FF" w14:textId="77777777" w:rsidR="00615B95" w:rsidRPr="00833C88" w:rsidRDefault="00615B95" w:rsidP="001F2CD2">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Ze względu zarówno na: </w:t>
      </w:r>
    </w:p>
    <w:p w14:paraId="556275B3" w14:textId="177E8A95" w:rsidR="00615B95" w:rsidRPr="00833C88" w:rsidRDefault="00615B95">
      <w:pPr>
        <w:pStyle w:val="Akapitzlist"/>
        <w:numPr>
          <w:ilvl w:val="0"/>
          <w:numId w:val="21"/>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znaczną doniosłość świadczonych usług (pozyskiwanie surowca, wytwarzanie paliwa, wykorzystanie paliwa do generacji elektryczności, ciepła oraz potencjalnie wodoru, postępowanie ze zużytym paliwem oraz innymi odpadami radioaktywnymi),</w:t>
      </w:r>
    </w:p>
    <w:p w14:paraId="3D4A3A9B" w14:textId="77777777" w:rsidR="00615B95" w:rsidRPr="00833C88" w:rsidRDefault="00615B95">
      <w:pPr>
        <w:pStyle w:val="Akapitzlist"/>
        <w:numPr>
          <w:ilvl w:val="0"/>
          <w:numId w:val="21"/>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 bezpieczeństwo jądrowe oraz ochronę radiologiczną </w:t>
      </w:r>
    </w:p>
    <w:p w14:paraId="63B71955" w14:textId="3B76CBE4" w:rsidR="00615B95" w:rsidRPr="00833C88" w:rsidRDefault="00615B95" w:rsidP="001F2CD2">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 zasadnym jest, aby operatorzy obiektów energetyki jądrowej zostali uznani za podmioty kluczowe – niezależnie od przewyższania wymogów dla średniego przedsiębiorstwa określonych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2 ust. 1 załącznika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do rozporządzeniem 651/2014/UE (projektowany art.</w:t>
      </w:r>
      <w:r w:rsidR="002B667E" w:rsidRPr="00833C88">
        <w:rPr>
          <w:rFonts w:eastAsia="Times New Roman" w:cs="Times New Roman"/>
          <w:sz w:val="24"/>
          <w:szCs w:val="24"/>
          <w:lang w:eastAsia="pl-PL"/>
        </w:rPr>
        <w:t> </w:t>
      </w:r>
      <w:r w:rsidRPr="00833C88">
        <w:rPr>
          <w:rFonts w:eastAsia="Times New Roman" w:cs="Times New Roman"/>
          <w:sz w:val="24"/>
          <w:szCs w:val="24"/>
          <w:lang w:eastAsia="pl-PL"/>
        </w:rPr>
        <w:t xml:space="preserve">5 ust. 1 pkt 1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KSC).</w:t>
      </w:r>
    </w:p>
    <w:p w14:paraId="155B8E30" w14:textId="070AC66A" w:rsidR="00303134" w:rsidRPr="00833C88" w:rsidRDefault="00615B95" w:rsidP="001F2CD2">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Wdrażana dyrektywa NIS 2 oparta jest na zasadzie minimalnej harmonizacji (art.</w:t>
      </w:r>
      <w:r w:rsidR="002B667E" w:rsidRPr="00833C88">
        <w:rPr>
          <w:rFonts w:eastAsia="Times New Roman" w:cs="Times New Roman"/>
          <w:sz w:val="24"/>
          <w:szCs w:val="24"/>
          <w:lang w:eastAsia="pl-PL"/>
        </w:rPr>
        <w:t> </w:t>
      </w:r>
      <w:r w:rsidRPr="00833C88">
        <w:rPr>
          <w:rFonts w:eastAsia="Times New Roman" w:cs="Times New Roman"/>
          <w:sz w:val="24"/>
          <w:szCs w:val="24"/>
          <w:lang w:eastAsia="pl-PL"/>
        </w:rPr>
        <w:t xml:space="preserve">5 dyrektywy). Wobec czego zasadnym jest przyjęcie szerszego niż przewidziany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dyrektywie katalogu podmiotów objętych regulacjami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KSC.</w:t>
      </w:r>
    </w:p>
    <w:p w14:paraId="5694D0F8" w14:textId="6EB25C6C" w:rsidR="00337134" w:rsidRPr="00833C88" w:rsidRDefault="0033713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Mając na uwadze: </w:t>
      </w:r>
    </w:p>
    <w:p w14:paraId="2621A1DF" w14:textId="54895AD7" w:rsidR="00337134" w:rsidRPr="00833C88" w:rsidRDefault="00337134" w:rsidP="00A961D1">
      <w:pPr>
        <w:pStyle w:val="Akapitzlist"/>
        <w:numPr>
          <w:ilvl w:val="0"/>
          <w:numId w:val="22"/>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rozwój energetyki jądrowej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Polsce – zarówno programu rządowego jak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inicjatyw prywatnych; </w:t>
      </w:r>
    </w:p>
    <w:p w14:paraId="734BB170" w14:textId="73475A7A" w:rsidR="00337134" w:rsidRPr="00833C88" w:rsidRDefault="00337134" w:rsidP="00A961D1">
      <w:pPr>
        <w:pStyle w:val="Akapitzlist"/>
        <w:numPr>
          <w:ilvl w:val="0"/>
          <w:numId w:val="22"/>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znaczenie podmiotów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jądrowego cyklu paliwowego (od wydobycia rudy, poprzez wzbogacanie izotopowe, wytworzenie paliwa jądrowego, jego wykorzystanie, postępowanie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wypalonym paliwem jądrowym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odpadami radioaktywnymi) dla świadczenia usług wytwarzania energii, ciepła,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potencjalnie również wodoru;</w:t>
      </w:r>
    </w:p>
    <w:p w14:paraId="39E31631" w14:textId="1366EA91" w:rsidR="00337134" w:rsidRPr="00833C88" w:rsidRDefault="00337134" w:rsidP="00A961D1">
      <w:pPr>
        <w:pStyle w:val="Akapitzlist"/>
        <w:numPr>
          <w:ilvl w:val="0"/>
          <w:numId w:val="22"/>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znaczenie paliwa jądrowego dla funkcjonowania elektrowni jądrowych – generacji elektryczności, ciepła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wodoru;</w:t>
      </w:r>
    </w:p>
    <w:p w14:paraId="2FD5DC73" w14:textId="6D792281" w:rsidR="00337134" w:rsidRPr="00833C88" w:rsidRDefault="00337134" w:rsidP="00A961D1">
      <w:pPr>
        <w:pStyle w:val="Akapitzlist"/>
        <w:numPr>
          <w:ilvl w:val="0"/>
          <w:numId w:val="22"/>
        </w:numPr>
        <w:spacing w:after="0"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lastRenderedPageBreak/>
        <w:t xml:space="preserve">ryzyka związane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paliwem jądrowym na każdym etapie postępowania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nim</w:t>
      </w:r>
      <w:r w:rsidR="00887269" w:rsidRPr="00833C88">
        <w:rPr>
          <w:rFonts w:eastAsia="Times New Roman" w:cs="Times New Roman"/>
          <w:sz w:val="24"/>
          <w:szCs w:val="24"/>
          <w:lang w:eastAsia="pl-PL"/>
        </w:rPr>
        <w:t xml:space="preserve"> </w:t>
      </w:r>
      <w:r w:rsidRPr="00833C88">
        <w:rPr>
          <w:rFonts w:eastAsia="Times New Roman" w:cs="Times New Roman"/>
          <w:sz w:val="24"/>
          <w:szCs w:val="24"/>
          <w:lang w:eastAsia="pl-PL"/>
        </w:rPr>
        <w:t xml:space="preserve">zasadnym jest poszerzenie katalogu podmiotów kluczowych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operatorów obiektów wskazanych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art. 2 ust. 2 ww. ustawy, tj. operatorów:</w:t>
      </w:r>
    </w:p>
    <w:p w14:paraId="171A73C2" w14:textId="011262D4" w:rsidR="00337134" w:rsidRPr="00833C88" w:rsidRDefault="00337134" w:rsidP="00A961D1">
      <w:pPr>
        <w:spacing w:after="0"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a)</w:t>
      </w:r>
      <w:r w:rsidRPr="00833C88">
        <w:rPr>
          <w:rFonts w:eastAsia="Times New Roman" w:cs="Times New Roman"/>
          <w:sz w:val="24"/>
          <w:szCs w:val="24"/>
          <w:lang w:eastAsia="pl-PL"/>
        </w:rPr>
        <w:tab/>
        <w:t xml:space="preserve">zakładu do wydobywania rud uranu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toru ze złóż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do ich wstępnego przetwarzania,</w:t>
      </w:r>
    </w:p>
    <w:p w14:paraId="6CD79797" w14:textId="77777777" w:rsidR="00337134" w:rsidRPr="00833C88" w:rsidRDefault="00337134" w:rsidP="00A961D1">
      <w:pPr>
        <w:spacing w:after="0"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b)</w:t>
      </w:r>
      <w:r w:rsidRPr="00833C88">
        <w:rPr>
          <w:rFonts w:eastAsia="Times New Roman" w:cs="Times New Roman"/>
          <w:sz w:val="24"/>
          <w:szCs w:val="24"/>
          <w:lang w:eastAsia="pl-PL"/>
        </w:rPr>
        <w:tab/>
        <w:t>zakładu wzbogacania izotopowego,</w:t>
      </w:r>
    </w:p>
    <w:p w14:paraId="25DF6BF3" w14:textId="77777777" w:rsidR="00337134" w:rsidRPr="00833C88" w:rsidRDefault="00337134" w:rsidP="00A961D1">
      <w:pPr>
        <w:spacing w:after="0"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c)</w:t>
      </w:r>
      <w:r w:rsidRPr="00833C88">
        <w:rPr>
          <w:rFonts w:eastAsia="Times New Roman" w:cs="Times New Roman"/>
          <w:sz w:val="24"/>
          <w:szCs w:val="24"/>
          <w:lang w:eastAsia="pl-PL"/>
        </w:rPr>
        <w:tab/>
        <w:t>zakładu wytwarzania paliwa jądrowego,</w:t>
      </w:r>
    </w:p>
    <w:p w14:paraId="073D18EE" w14:textId="77777777" w:rsidR="00337134" w:rsidRPr="00833C88" w:rsidRDefault="00337134" w:rsidP="00A961D1">
      <w:pPr>
        <w:spacing w:after="0"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d)</w:t>
      </w:r>
      <w:r w:rsidRPr="00833C88">
        <w:rPr>
          <w:rFonts w:eastAsia="Times New Roman" w:cs="Times New Roman"/>
          <w:sz w:val="24"/>
          <w:szCs w:val="24"/>
          <w:lang w:eastAsia="pl-PL"/>
        </w:rPr>
        <w:tab/>
        <w:t>elektrowni jądrowej,</w:t>
      </w:r>
    </w:p>
    <w:p w14:paraId="4DF21928" w14:textId="77777777" w:rsidR="00337134" w:rsidRPr="00833C88" w:rsidRDefault="00337134" w:rsidP="00A961D1">
      <w:pPr>
        <w:spacing w:after="0"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e)</w:t>
      </w:r>
      <w:r w:rsidRPr="00833C88">
        <w:rPr>
          <w:rFonts w:eastAsia="Times New Roman" w:cs="Times New Roman"/>
          <w:sz w:val="24"/>
          <w:szCs w:val="24"/>
          <w:lang w:eastAsia="pl-PL"/>
        </w:rPr>
        <w:tab/>
        <w:t>zakładu przerobu wypalonego paliwa jądrowego,</w:t>
      </w:r>
    </w:p>
    <w:p w14:paraId="5BBC044C" w14:textId="77777777" w:rsidR="00337134" w:rsidRPr="00833C88" w:rsidRDefault="00337134" w:rsidP="00A961D1">
      <w:pPr>
        <w:spacing w:after="0"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f)</w:t>
      </w:r>
      <w:r w:rsidRPr="00833C88">
        <w:rPr>
          <w:rFonts w:eastAsia="Times New Roman" w:cs="Times New Roman"/>
          <w:sz w:val="24"/>
          <w:szCs w:val="24"/>
          <w:lang w:eastAsia="pl-PL"/>
        </w:rPr>
        <w:tab/>
        <w:t>przechowalnika wypalonego paliwa jądrowego,</w:t>
      </w:r>
    </w:p>
    <w:p w14:paraId="56FDBF9C" w14:textId="77777777" w:rsidR="00337134" w:rsidRPr="00833C88" w:rsidRDefault="00337134" w:rsidP="00A961D1">
      <w:pPr>
        <w:spacing w:after="0"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g)</w:t>
      </w:r>
      <w:r w:rsidRPr="00833C88">
        <w:rPr>
          <w:rFonts w:eastAsia="Times New Roman" w:cs="Times New Roman"/>
          <w:sz w:val="24"/>
          <w:szCs w:val="24"/>
          <w:lang w:eastAsia="pl-PL"/>
        </w:rPr>
        <w:tab/>
        <w:t>obiektu do przechowywania odpadów promieniotwórczych,</w:t>
      </w:r>
    </w:p>
    <w:p w14:paraId="5FACA201" w14:textId="4951C0D6" w:rsidR="00337134" w:rsidRPr="00833C88" w:rsidRDefault="00337134" w:rsidP="001A275A">
      <w:pPr>
        <w:spacing w:line="360" w:lineRule="auto"/>
        <w:ind w:left="1134" w:hanging="425"/>
        <w:jc w:val="both"/>
        <w:rPr>
          <w:rFonts w:eastAsia="Times New Roman" w:cs="Times New Roman"/>
          <w:sz w:val="24"/>
          <w:szCs w:val="24"/>
          <w:lang w:eastAsia="pl-PL"/>
        </w:rPr>
      </w:pPr>
      <w:r w:rsidRPr="00833C88">
        <w:rPr>
          <w:rFonts w:eastAsia="Times New Roman" w:cs="Times New Roman"/>
          <w:sz w:val="24"/>
          <w:szCs w:val="24"/>
          <w:lang w:eastAsia="pl-PL"/>
        </w:rPr>
        <w:t>h)</w:t>
      </w:r>
      <w:r w:rsidRPr="00833C88">
        <w:rPr>
          <w:rFonts w:eastAsia="Times New Roman" w:cs="Times New Roman"/>
          <w:sz w:val="24"/>
          <w:szCs w:val="24"/>
          <w:lang w:eastAsia="pl-PL"/>
        </w:rPr>
        <w:tab/>
        <w:t>składowisko odpadów promieniotwórczych.</w:t>
      </w:r>
    </w:p>
    <w:p w14:paraId="50E3C12B" w14:textId="5E4CC9FC" w:rsidR="00337134" w:rsidRPr="00833C88" w:rsidRDefault="00337134" w:rsidP="00812A5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Zakłady wskazane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lit. a</w:t>
      </w:r>
      <w:r w:rsidR="001F2CD2" w:rsidRPr="00833C88">
        <w:rPr>
          <w:rFonts w:eastAsia="Times New Roman" w:cs="Times New Roman"/>
          <w:sz w:val="24"/>
          <w:szCs w:val="24"/>
          <w:lang w:eastAsia="pl-PL"/>
        </w:rPr>
        <w:t>–</w:t>
      </w:r>
      <w:r w:rsidRPr="00833C88">
        <w:rPr>
          <w:rFonts w:eastAsia="Times New Roman" w:cs="Times New Roman"/>
          <w:sz w:val="24"/>
          <w:szCs w:val="24"/>
          <w:lang w:eastAsia="pl-PL"/>
        </w:rPr>
        <w:t xml:space="preserve">c są zaangażowane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wytwarzanie paliwa jądrowego do reaktorów jądrowych. Tym samym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energetyki jądrowej ich rola jest analogiczna do podmiotów, które odpowiadają za pozyskanie takich surowców jak węgiel, gaz czy ropa. Tak jak węgiel, gaz czy ropa stanowią nośniki energii pierwotnej (paliwa) do dalszego wykorzystania, podobną rolę pełni paliwo jądrowe dla reaktorów. Skoro więc za podmioty kluczowe uznaje się podmioty odpowiedzialne za pozyskanie węgla, gazu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ropy,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także </w:t>
      </w:r>
      <w:proofErr w:type="spellStart"/>
      <w:r w:rsidRPr="00833C88">
        <w:rPr>
          <w:rFonts w:eastAsia="Times New Roman" w:cs="Times New Roman"/>
          <w:sz w:val="24"/>
          <w:szCs w:val="24"/>
          <w:lang w:eastAsia="pl-PL"/>
        </w:rPr>
        <w:t>przesył</w:t>
      </w:r>
      <w:proofErr w:type="spellEnd"/>
      <w:r w:rsidRPr="00833C88">
        <w:rPr>
          <w:rFonts w:eastAsia="Times New Roman" w:cs="Times New Roman"/>
          <w:sz w:val="24"/>
          <w:szCs w:val="24"/>
          <w:lang w:eastAsia="pl-PL"/>
        </w:rPr>
        <w:t xml:space="preserve"> czy dystrybucję, również podmioty zaangażowane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cykl wytwarzania paliwa jądrowego powinny zostać objęte wymogami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zakresu cyberbezpieczeństwa.</w:t>
      </w:r>
    </w:p>
    <w:p w14:paraId="7735F5A8" w14:textId="52EBA461" w:rsidR="00337134" w:rsidRPr="00833C88" w:rsidRDefault="00337134" w:rsidP="00812A5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Operator elektrowni jądrowej powinien zostać uznany za podmiot kluczowy niezależnie od</w:t>
      </w:r>
      <w:r w:rsidR="00A961D1" w:rsidRPr="00833C88">
        <w:rPr>
          <w:rFonts w:eastAsia="Times New Roman" w:cs="Times New Roman"/>
          <w:sz w:val="24"/>
          <w:szCs w:val="24"/>
          <w:lang w:eastAsia="pl-PL"/>
        </w:rPr>
        <w:t> </w:t>
      </w:r>
      <w:r w:rsidRPr="00833C88">
        <w:rPr>
          <w:rFonts w:eastAsia="Times New Roman" w:cs="Times New Roman"/>
          <w:sz w:val="24"/>
          <w:szCs w:val="24"/>
          <w:lang w:eastAsia="pl-PL"/>
        </w:rPr>
        <w:t xml:space="preserve">kwestii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przewyższania wymogów dla średniego przedsiębiorstwa określonych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2 ust. 1 załącznika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do rozporządzeniem 651/2014/UE (projektowany art. 5 ust. 1 pkt 1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KSC).</w:t>
      </w:r>
    </w:p>
    <w:p w14:paraId="58E13395" w14:textId="04A5EC1B" w:rsidR="00337134" w:rsidRPr="00833C88" w:rsidRDefault="00337134" w:rsidP="00A70B3D">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Za „oderwaniem” operatora elektrowni jądrowej od kwestii wielkość przedsiębiorstwa przemawia nie tylko kwestia zapewnienia ciągłości pracy, ale również bezpieczeństwa jądrowego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ochrony radiologicznej, Stąd ujmowanie operatorów elektrowni jądrowych jako objętych regulacją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zmianie ustawy </w:t>
      </w:r>
      <w:r w:rsidR="00601933" w:rsidRPr="00833C88">
        <w:rPr>
          <w:rFonts w:eastAsia="Times New Roman" w:cs="Times New Roman"/>
          <w:sz w:val="24"/>
          <w:szCs w:val="24"/>
          <w:lang w:eastAsia="pl-PL"/>
        </w:rPr>
        <w:t>o </w:t>
      </w:r>
      <w:r w:rsidR="001D1B59" w:rsidRPr="00833C88">
        <w:rPr>
          <w:rFonts w:eastAsia="Times New Roman" w:cs="Times New Roman"/>
          <w:sz w:val="24"/>
          <w:szCs w:val="24"/>
          <w:lang w:eastAsia="pl-PL"/>
        </w:rPr>
        <w:t>KSC</w:t>
      </w:r>
      <w:r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ramach przedsiębiorstw energetycznych posiadających koncesje na wytwarzanie energii elektrycznej lub ciepła (załącznik nr 1 </w:t>
      </w:r>
      <w:r w:rsidR="001D1B59" w:rsidRPr="00833C88">
        <w:rPr>
          <w:rFonts w:eastAsia="Times New Roman" w:cs="Times New Roman"/>
          <w:sz w:val="24"/>
          <w:szCs w:val="24"/>
          <w:lang w:eastAsia="pl-PL"/>
        </w:rPr>
        <w:t xml:space="preserve">do ustawy </w:t>
      </w:r>
      <w:r w:rsidR="00601933" w:rsidRPr="00833C88">
        <w:rPr>
          <w:rFonts w:eastAsia="Times New Roman" w:cs="Times New Roman"/>
          <w:sz w:val="24"/>
          <w:szCs w:val="24"/>
          <w:lang w:eastAsia="pl-PL"/>
        </w:rPr>
        <w:t>o </w:t>
      </w:r>
      <w:r w:rsidR="001D1B59" w:rsidRPr="00833C88">
        <w:rPr>
          <w:rFonts w:eastAsia="Times New Roman" w:cs="Times New Roman"/>
          <w:sz w:val="24"/>
          <w:szCs w:val="24"/>
          <w:lang w:eastAsia="pl-PL"/>
        </w:rPr>
        <w:t xml:space="preserve">KSC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projektowanym art. 5 ust. 1 pkt 1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KSC, sektor energia) jest niewystarczające, gdyż wiąże kwestie objęcia tą kategorią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przewyższaniem wymogów dla średniego przedsiębiorstwa określonych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2 ust. 1 załącznika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do rozporządzeniem 651/2014/UE (projektowany art. 5 ust. 1 pkt 1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KSC).</w:t>
      </w:r>
    </w:p>
    <w:p w14:paraId="5284C4DA" w14:textId="2F4BD59D" w:rsidR="00337134" w:rsidRPr="00833C88" w:rsidRDefault="00337134" w:rsidP="00812A5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 xml:space="preserve">Pomiędzy osiągnięciem przez elektrownię jądrową zdolności operacyjnej,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uzyskaniem koncesji na wytwarzanie energii elektrycznej lub ciepła może wystąpić „luka” czasowa, która spowoduje okres ekspozycji na </w:t>
      </w:r>
      <w:proofErr w:type="spellStart"/>
      <w:r w:rsidRPr="00833C88">
        <w:rPr>
          <w:rFonts w:eastAsia="Times New Roman" w:cs="Times New Roman"/>
          <w:sz w:val="24"/>
          <w:szCs w:val="24"/>
          <w:lang w:eastAsia="pl-PL"/>
        </w:rPr>
        <w:t>cyberzagrożenia</w:t>
      </w:r>
      <w:proofErr w:type="spellEnd"/>
      <w:r w:rsidRPr="00833C88">
        <w:rPr>
          <w:rFonts w:eastAsia="Times New Roman" w:cs="Times New Roman"/>
          <w:sz w:val="24"/>
          <w:szCs w:val="24"/>
          <w:lang w:eastAsia="pl-PL"/>
        </w:rPr>
        <w:t xml:space="preserve"> –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wykorzystanie podatności przez zagrożenia, które aktywują się zarówno przed jak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po uzyskaniu koncesji. Moment identyfikacji powinien więc być wcześniejszy,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czym niżej. </w:t>
      </w:r>
    </w:p>
    <w:p w14:paraId="48F96C6A" w14:textId="53563E1A" w:rsidR="00337134" w:rsidRPr="00833C88" w:rsidRDefault="00337134" w:rsidP="00812A5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Operatorzy obiektów jądrowych wymienionych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powyżej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lit. e</w:t>
      </w:r>
      <w:r w:rsidR="00A656BD" w:rsidRPr="00833C88">
        <w:rPr>
          <w:rFonts w:eastAsia="Times New Roman" w:cs="Times New Roman"/>
          <w:sz w:val="24"/>
          <w:szCs w:val="24"/>
          <w:lang w:eastAsia="pl-PL"/>
        </w:rPr>
        <w:t>–</w:t>
      </w:r>
      <w:r w:rsidRPr="00833C88">
        <w:rPr>
          <w:rFonts w:eastAsia="Times New Roman" w:cs="Times New Roman"/>
          <w:sz w:val="24"/>
          <w:szCs w:val="24"/>
          <w:lang w:eastAsia="pl-PL"/>
        </w:rPr>
        <w:t xml:space="preserve">h są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kolei zaangażowani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postępowanie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wypalonym paliwem jądrowym oraz odpadami radioaktywnymi. Ich rola</w:t>
      </w:r>
      <w:r w:rsidR="00887269" w:rsidRPr="00833C88">
        <w:rPr>
          <w:rFonts w:eastAsia="Times New Roman" w:cs="Times New Roman"/>
          <w:sz w:val="24"/>
          <w:szCs w:val="24"/>
          <w:lang w:eastAsia="pl-PL"/>
        </w:rPr>
        <w:t>,</w:t>
      </w:r>
      <w:r w:rsidRPr="00833C88">
        <w:rPr>
          <w:rFonts w:eastAsia="Times New Roman" w:cs="Times New Roman"/>
          <w:sz w:val="24"/>
          <w:szCs w:val="24"/>
          <w:lang w:eastAsia="pl-PL"/>
        </w:rPr>
        <w:t xml:space="preserve"> w tym zakresie</w:t>
      </w:r>
      <w:r w:rsidR="00887269" w:rsidRPr="00833C88">
        <w:rPr>
          <w:rFonts w:eastAsia="Times New Roman" w:cs="Times New Roman"/>
          <w:sz w:val="24"/>
          <w:szCs w:val="24"/>
          <w:lang w:eastAsia="pl-PL"/>
        </w:rPr>
        <w:t>,</w:t>
      </w:r>
      <w:r w:rsidRPr="00833C88">
        <w:rPr>
          <w:rFonts w:eastAsia="Times New Roman" w:cs="Times New Roman"/>
          <w:sz w:val="24"/>
          <w:szCs w:val="24"/>
          <w:lang w:eastAsia="pl-PL"/>
        </w:rPr>
        <w:t xml:space="preserve"> jest więc analogiczna do roli podmiotów zaangażowanych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gospodarkę odpadami, które znalazły się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załączniku</w:t>
      </w:r>
      <w:r w:rsidR="00F31822" w:rsidRPr="00833C88">
        <w:rPr>
          <w:rFonts w:eastAsia="Times New Roman" w:cs="Times New Roman"/>
          <w:sz w:val="24"/>
          <w:szCs w:val="24"/>
          <w:lang w:eastAsia="pl-PL"/>
        </w:rPr>
        <w:t xml:space="preserve"> nr 2</w:t>
      </w:r>
      <w:r w:rsidRPr="00833C88">
        <w:rPr>
          <w:rFonts w:eastAsia="Times New Roman" w:cs="Times New Roman"/>
          <w:sz w:val="24"/>
          <w:szCs w:val="24"/>
          <w:lang w:eastAsia="pl-PL"/>
        </w:rPr>
        <w:t xml:space="preserve"> jako podmioty kluczowe. Podmioty wymienione powyżej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lit. e</w:t>
      </w:r>
      <w:r w:rsidR="00887269" w:rsidRPr="00833C88">
        <w:rPr>
          <w:rFonts w:eastAsia="Times New Roman" w:cs="Times New Roman"/>
          <w:sz w:val="24"/>
          <w:szCs w:val="24"/>
          <w:lang w:eastAsia="pl-PL"/>
        </w:rPr>
        <w:t>–</w:t>
      </w:r>
      <w:r w:rsidRPr="00833C88">
        <w:rPr>
          <w:rFonts w:eastAsia="Times New Roman" w:cs="Times New Roman"/>
          <w:sz w:val="24"/>
          <w:szCs w:val="24"/>
          <w:lang w:eastAsia="pl-PL"/>
        </w:rPr>
        <w:t xml:space="preserve">h nie wydają się jednak objęte załącznikiem. Załącznik nawiązuje do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14 grudnia 2012 r.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odpadach (Dz. 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2023 r. poz. 1587, </w:t>
      </w:r>
      <w:r w:rsidR="00601933" w:rsidRPr="00833C88">
        <w:rPr>
          <w:rFonts w:eastAsia="Times New Roman" w:cs="Times New Roman"/>
          <w:sz w:val="24"/>
          <w:szCs w:val="24"/>
          <w:lang w:eastAsia="pl-PL"/>
        </w:rPr>
        <w:t>z </w:t>
      </w:r>
      <w:r w:rsidR="00A656BD" w:rsidRPr="00833C88">
        <w:rPr>
          <w:rFonts w:eastAsia="Times New Roman" w:cs="Times New Roman"/>
          <w:sz w:val="24"/>
          <w:szCs w:val="24"/>
          <w:lang w:eastAsia="pl-PL"/>
        </w:rPr>
        <w:t>późn. zm.</w:t>
      </w:r>
      <w:r w:rsidRPr="00833C88">
        <w:rPr>
          <w:rFonts w:eastAsia="Times New Roman" w:cs="Times New Roman"/>
          <w:sz w:val="24"/>
          <w:szCs w:val="24"/>
          <w:lang w:eastAsia="pl-PL"/>
        </w:rPr>
        <w:t xml:space="preserve">), której nie stosuje się do odpadów promieniotwórczych (art. 2 pkt 4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14 grudnia 2012 r.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odpadach). Dodatkowo załącznik co do zasady wiąże status podmiotu kluczowego z przewyższaniem wymogów dla średniego przedsiębiorstwa określonych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art. 2 ust. 1 załącznika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do rozporządzeniem 651/2014/UE (projektowany art. 5 ust. 1 pkt 1 ustawy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KSC).</w:t>
      </w:r>
    </w:p>
    <w:p w14:paraId="23C0EF6F" w14:textId="74FB3CB2" w:rsidR="00337134" w:rsidRPr="00833C88" w:rsidRDefault="00337134" w:rsidP="00812A5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Składowisko odpadów promieniotwórczych –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chwili obecnej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Polsce funkcjonuje tylko jedno składowisko odpadów promieniotwórczych, prowadzone przez Zakład Unieszkodliwiania Odpadów Promieniotwórczych (ZUOP) – jednostkę nadzorowaną przez ministra właściwego do spraw energii,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po wejściu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życie uchwalonej przez Sejm ustawy o zmianie, będzie nadzorowany przez ministra do spraw gospodarki surowcami energetycznymi.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rozwojem energetyki jądrowej konieczne będzie powstanie dalszych składowisk odpadów promieniotwórczych – zarówno powierzchniowych jak i głębokich. Obecnie nie wiadomo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jakiej formie prawnej będą </w:t>
      </w:r>
      <w:proofErr w:type="gramStart"/>
      <w:r w:rsidRPr="00833C88">
        <w:rPr>
          <w:rFonts w:eastAsia="Times New Roman" w:cs="Times New Roman"/>
          <w:sz w:val="24"/>
          <w:szCs w:val="24"/>
          <w:lang w:eastAsia="pl-PL"/>
        </w:rPr>
        <w:t>funkcjonowały,</w:t>
      </w:r>
      <w:proofErr w:type="gramEnd"/>
      <w:r w:rsidRPr="00833C88">
        <w:rPr>
          <w:rFonts w:eastAsia="Times New Roman" w:cs="Times New Roman"/>
          <w:sz w:val="24"/>
          <w:szCs w:val="24"/>
          <w:lang w:eastAsia="pl-PL"/>
        </w:rPr>
        <w:t xml:space="preserve"> ani</w:t>
      </w:r>
      <w:r w:rsidR="001A275A" w:rsidRPr="00833C88">
        <w:rPr>
          <w:rFonts w:eastAsia="Times New Roman" w:cs="Times New Roman"/>
          <w:sz w:val="24"/>
          <w:szCs w:val="24"/>
          <w:lang w:eastAsia="pl-PL"/>
        </w:rPr>
        <w:t> </w:t>
      </w:r>
      <w:r w:rsidRPr="00833C88">
        <w:rPr>
          <w:rFonts w:eastAsia="Times New Roman" w:cs="Times New Roman"/>
          <w:sz w:val="24"/>
          <w:szCs w:val="24"/>
          <w:lang w:eastAsia="pl-PL"/>
        </w:rPr>
        <w:t>czy</w:t>
      </w:r>
      <w:r w:rsidR="001A275A" w:rsidRPr="00833C88">
        <w:rPr>
          <w:rFonts w:eastAsia="Times New Roman" w:cs="Times New Roman"/>
          <w:sz w:val="24"/>
          <w:szCs w:val="24"/>
          <w:lang w:eastAsia="pl-PL"/>
        </w:rPr>
        <w:t> </w:t>
      </w:r>
      <w:r w:rsidRPr="00833C88">
        <w:rPr>
          <w:rFonts w:eastAsia="Times New Roman" w:cs="Times New Roman"/>
          <w:sz w:val="24"/>
          <w:szCs w:val="24"/>
          <w:lang w:eastAsia="pl-PL"/>
        </w:rPr>
        <w:t>ich</w:t>
      </w:r>
      <w:r w:rsidR="001A275A" w:rsidRPr="00833C88">
        <w:rPr>
          <w:rFonts w:eastAsia="Times New Roman" w:cs="Times New Roman"/>
          <w:sz w:val="24"/>
          <w:szCs w:val="24"/>
          <w:lang w:eastAsia="pl-PL"/>
        </w:rPr>
        <w:t> </w:t>
      </w:r>
      <w:r w:rsidRPr="00833C88">
        <w:rPr>
          <w:rFonts w:eastAsia="Times New Roman" w:cs="Times New Roman"/>
          <w:sz w:val="24"/>
          <w:szCs w:val="24"/>
          <w:lang w:eastAsia="pl-PL"/>
        </w:rPr>
        <w:t xml:space="preserve">operatorzy będą podlegali nadzorowi ze strony określonego ministra. Stąd zasadne jest uznanie operatora składowiska odpadów promieniotwórczych za podmiot kluczowy. Takie rozwiązanie zapewni odpowiedni poziom ogólności przepisów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ich elastyczność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przypadku, gdyby operatorzy nowych składowisk nie byli objęci kategorią jednostek nadzorowanych.</w:t>
      </w:r>
    </w:p>
    <w:p w14:paraId="568B054F" w14:textId="6C73418A" w:rsidR="00226090" w:rsidRPr="00833C88" w:rsidRDefault="00887269" w:rsidP="00F31822">
      <w:pPr>
        <w:pStyle w:val="Nagwek5"/>
        <w:numPr>
          <w:ilvl w:val="0"/>
          <w:numId w:val="0"/>
        </w:numPr>
        <w:spacing w:before="0" w:after="120" w:line="360" w:lineRule="auto"/>
        <w:ind w:left="360"/>
        <w:jc w:val="both"/>
        <w:rPr>
          <w:rFonts w:cs="Times New Roman"/>
          <w:sz w:val="24"/>
          <w:szCs w:val="24"/>
        </w:rPr>
      </w:pPr>
      <w:r w:rsidRPr="00833C88">
        <w:rPr>
          <w:rFonts w:eastAsia="Times New Roman" w:cs="Times New Roman"/>
          <w:sz w:val="24"/>
          <w:szCs w:val="24"/>
          <w:lang w:eastAsia="pl-PL"/>
        </w:rPr>
        <w:t xml:space="preserve">1.7 </w:t>
      </w:r>
      <w:r w:rsidR="00226090" w:rsidRPr="00833C88">
        <w:rPr>
          <w:rFonts w:cs="Times New Roman"/>
          <w:sz w:val="24"/>
          <w:szCs w:val="24"/>
        </w:rPr>
        <w:t>Wodór</w:t>
      </w:r>
    </w:p>
    <w:p w14:paraId="6EDBA168" w14:textId="1CA6462B" w:rsidR="00947D3D" w:rsidRPr="00833C88" w:rsidRDefault="00601933" w:rsidP="00710263">
      <w:pPr>
        <w:spacing w:line="360" w:lineRule="auto"/>
        <w:jc w:val="both"/>
        <w:rPr>
          <w:rFonts w:cs="Times New Roman"/>
          <w:sz w:val="24"/>
          <w:szCs w:val="24"/>
        </w:rPr>
      </w:pPr>
      <w:r w:rsidRPr="00833C88">
        <w:rPr>
          <w:rFonts w:cs="Times New Roman"/>
          <w:sz w:val="24"/>
          <w:szCs w:val="24"/>
        </w:rPr>
        <w:t>W </w:t>
      </w:r>
      <w:r w:rsidR="00947D3D" w:rsidRPr="00833C88">
        <w:rPr>
          <w:rFonts w:cs="Times New Roman"/>
          <w:sz w:val="24"/>
          <w:szCs w:val="24"/>
        </w:rPr>
        <w:t>ramach podsektora wodoru wyróżnia się następujące podmioty:</w:t>
      </w:r>
    </w:p>
    <w:p w14:paraId="26CA145F" w14:textId="6D92100C" w:rsidR="00700C60" w:rsidRPr="00833C88" w:rsidRDefault="00700C60">
      <w:pPr>
        <w:pStyle w:val="Akapitzlist"/>
        <w:numPr>
          <w:ilvl w:val="0"/>
          <w:numId w:val="62"/>
        </w:numPr>
        <w:spacing w:line="360" w:lineRule="auto"/>
        <w:jc w:val="both"/>
        <w:rPr>
          <w:rFonts w:cs="Times New Roman"/>
          <w:sz w:val="24"/>
          <w:szCs w:val="24"/>
        </w:rPr>
      </w:pPr>
      <w:r w:rsidRPr="00833C88">
        <w:rPr>
          <w:rFonts w:cs="Times New Roman"/>
          <w:sz w:val="24"/>
          <w:szCs w:val="24"/>
        </w:rPr>
        <w:lastRenderedPageBreak/>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prowadzące działalność </w:t>
      </w:r>
      <w:r w:rsidR="00601933" w:rsidRPr="00833C88">
        <w:rPr>
          <w:rFonts w:cs="Times New Roman"/>
          <w:sz w:val="24"/>
          <w:szCs w:val="24"/>
        </w:rPr>
        <w:t>w </w:t>
      </w:r>
      <w:r w:rsidRPr="00833C88">
        <w:rPr>
          <w:rFonts w:cs="Times New Roman"/>
          <w:sz w:val="24"/>
          <w:szCs w:val="24"/>
        </w:rPr>
        <w:t>zakresie przesyłania wodoru</w:t>
      </w:r>
      <w:r w:rsidR="0076020B" w:rsidRPr="00833C88">
        <w:rPr>
          <w:rFonts w:cs="Times New Roman"/>
          <w:sz w:val="24"/>
          <w:szCs w:val="24"/>
        </w:rPr>
        <w:t>,</w:t>
      </w:r>
    </w:p>
    <w:p w14:paraId="317C570E" w14:textId="09A0F68D" w:rsidR="00700C60" w:rsidRPr="00833C88" w:rsidRDefault="00700C60">
      <w:pPr>
        <w:pStyle w:val="Akapitzlist"/>
        <w:numPr>
          <w:ilvl w:val="0"/>
          <w:numId w:val="62"/>
        </w:numPr>
        <w:spacing w:line="360" w:lineRule="auto"/>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prowadzące działalność </w:t>
      </w:r>
      <w:r w:rsidR="00601933" w:rsidRPr="00833C88">
        <w:rPr>
          <w:rFonts w:cs="Times New Roman"/>
          <w:sz w:val="24"/>
          <w:szCs w:val="24"/>
        </w:rPr>
        <w:t>w </w:t>
      </w:r>
      <w:r w:rsidRPr="00833C88">
        <w:rPr>
          <w:rFonts w:cs="Times New Roman"/>
          <w:sz w:val="24"/>
          <w:szCs w:val="24"/>
        </w:rPr>
        <w:t>zakresie magazynowania wodoru</w:t>
      </w:r>
      <w:r w:rsidR="0076020B" w:rsidRPr="00833C88">
        <w:rPr>
          <w:rFonts w:cs="Times New Roman"/>
          <w:sz w:val="24"/>
          <w:szCs w:val="24"/>
        </w:rPr>
        <w:t>,</w:t>
      </w:r>
    </w:p>
    <w:p w14:paraId="0A248610" w14:textId="34F11F59" w:rsidR="00700C60" w:rsidRPr="00833C88" w:rsidRDefault="00700C60">
      <w:pPr>
        <w:pStyle w:val="Akapitzlist"/>
        <w:numPr>
          <w:ilvl w:val="0"/>
          <w:numId w:val="62"/>
        </w:numPr>
        <w:spacing w:line="360" w:lineRule="auto"/>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prowadzące działalność </w:t>
      </w:r>
      <w:r w:rsidR="00601933" w:rsidRPr="00833C88">
        <w:rPr>
          <w:rFonts w:cs="Times New Roman"/>
          <w:sz w:val="24"/>
          <w:szCs w:val="24"/>
        </w:rPr>
        <w:t>w </w:t>
      </w:r>
      <w:r w:rsidRPr="00833C88">
        <w:rPr>
          <w:rFonts w:cs="Times New Roman"/>
          <w:sz w:val="24"/>
          <w:szCs w:val="24"/>
        </w:rPr>
        <w:t>zakresie wytwarzania wodoru</w:t>
      </w:r>
      <w:r w:rsidR="0076020B" w:rsidRPr="00833C88">
        <w:rPr>
          <w:rFonts w:cs="Times New Roman"/>
          <w:sz w:val="24"/>
          <w:szCs w:val="24"/>
        </w:rPr>
        <w:t>,</w:t>
      </w:r>
    </w:p>
    <w:p w14:paraId="60DE0900" w14:textId="3EEDADD8" w:rsidR="00700C60" w:rsidRPr="00833C88" w:rsidRDefault="00700C60">
      <w:pPr>
        <w:pStyle w:val="Akapitzlist"/>
        <w:numPr>
          <w:ilvl w:val="0"/>
          <w:numId w:val="62"/>
        </w:numPr>
        <w:spacing w:line="360" w:lineRule="auto"/>
        <w:jc w:val="both"/>
        <w:rPr>
          <w:rFonts w:cs="Times New Roman"/>
          <w:sz w:val="24"/>
          <w:szCs w:val="24"/>
        </w:rPr>
      </w:pPr>
      <w:r w:rsidRPr="00833C88">
        <w:rPr>
          <w:rFonts w:cs="Times New Roman"/>
          <w:sz w:val="24"/>
          <w:szCs w:val="24"/>
        </w:rPr>
        <w:t xml:space="preserve">Przedsiębiorstwo energetyczne,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12 ustawy </w:t>
      </w:r>
      <w:r w:rsidR="00601933" w:rsidRPr="00833C88">
        <w:rPr>
          <w:rFonts w:cs="Times New Roman"/>
          <w:sz w:val="24"/>
          <w:szCs w:val="24"/>
        </w:rPr>
        <w:t>z </w:t>
      </w:r>
      <w:r w:rsidRPr="00833C88">
        <w:rPr>
          <w:rFonts w:cs="Times New Roman"/>
          <w:sz w:val="24"/>
          <w:szCs w:val="24"/>
        </w:rPr>
        <w:t xml:space="preserve">dnia 10 kwietnia 1997 r. – Prawo energetyczne, prowadzące działalność </w:t>
      </w:r>
      <w:r w:rsidR="00601933" w:rsidRPr="00833C88">
        <w:rPr>
          <w:rFonts w:cs="Times New Roman"/>
          <w:sz w:val="24"/>
          <w:szCs w:val="24"/>
        </w:rPr>
        <w:t>w </w:t>
      </w:r>
      <w:r w:rsidRPr="00833C88">
        <w:rPr>
          <w:rFonts w:cs="Times New Roman"/>
          <w:sz w:val="24"/>
          <w:szCs w:val="24"/>
        </w:rPr>
        <w:t>zakresie dystrybucji wodoru.</w:t>
      </w:r>
    </w:p>
    <w:p w14:paraId="4615490D" w14:textId="47488E30" w:rsidR="00F257EC" w:rsidRPr="00833C88" w:rsidRDefault="00F257EC" w:rsidP="00710263">
      <w:pPr>
        <w:spacing w:line="360" w:lineRule="auto"/>
        <w:jc w:val="both"/>
        <w:rPr>
          <w:rFonts w:cs="Times New Roman"/>
          <w:sz w:val="24"/>
          <w:szCs w:val="24"/>
        </w:rPr>
      </w:pPr>
      <w:r w:rsidRPr="00833C88">
        <w:rPr>
          <w:rFonts w:cs="Times New Roman"/>
          <w:sz w:val="24"/>
          <w:szCs w:val="24"/>
        </w:rPr>
        <w:t xml:space="preserve">Wodór przez ostatnich kilkanaście lat </w:t>
      </w:r>
      <w:r w:rsidR="00601933" w:rsidRPr="00833C88">
        <w:rPr>
          <w:rFonts w:cs="Times New Roman"/>
          <w:sz w:val="24"/>
          <w:szCs w:val="24"/>
        </w:rPr>
        <w:t>z </w:t>
      </w:r>
      <w:r w:rsidRPr="00833C88">
        <w:rPr>
          <w:rFonts w:cs="Times New Roman"/>
          <w:sz w:val="24"/>
          <w:szCs w:val="24"/>
        </w:rPr>
        <w:t xml:space="preserve">powodzeniem stosuje się jako paliwo </w:t>
      </w:r>
      <w:r w:rsidR="00601933" w:rsidRPr="00833C88">
        <w:rPr>
          <w:rFonts w:cs="Times New Roman"/>
          <w:sz w:val="24"/>
          <w:szCs w:val="24"/>
        </w:rPr>
        <w:t>w </w:t>
      </w:r>
      <w:r w:rsidRPr="00833C88">
        <w:rPr>
          <w:rFonts w:cs="Times New Roman"/>
          <w:sz w:val="24"/>
          <w:szCs w:val="24"/>
        </w:rPr>
        <w:t xml:space="preserve">różnych procesach technologicznych </w:t>
      </w:r>
      <w:r w:rsidR="00601933" w:rsidRPr="00833C88">
        <w:rPr>
          <w:rFonts w:cs="Times New Roman"/>
          <w:sz w:val="24"/>
          <w:szCs w:val="24"/>
        </w:rPr>
        <w:t>i </w:t>
      </w:r>
      <w:r w:rsidRPr="00833C88">
        <w:rPr>
          <w:rFonts w:cs="Times New Roman"/>
          <w:sz w:val="24"/>
          <w:szCs w:val="24"/>
        </w:rPr>
        <w:t xml:space="preserve">napędowych, </w:t>
      </w:r>
      <w:r w:rsidR="00601933" w:rsidRPr="00833C88">
        <w:rPr>
          <w:rFonts w:cs="Times New Roman"/>
          <w:sz w:val="24"/>
          <w:szCs w:val="24"/>
        </w:rPr>
        <w:t>a </w:t>
      </w:r>
      <w:r w:rsidRPr="00833C88">
        <w:rPr>
          <w:rFonts w:cs="Times New Roman"/>
          <w:sz w:val="24"/>
          <w:szCs w:val="24"/>
        </w:rPr>
        <w:t xml:space="preserve">także jest jedną </w:t>
      </w:r>
      <w:r w:rsidR="00601933" w:rsidRPr="00833C88">
        <w:rPr>
          <w:rFonts w:cs="Times New Roman"/>
          <w:sz w:val="24"/>
          <w:szCs w:val="24"/>
        </w:rPr>
        <w:t>z </w:t>
      </w:r>
      <w:r w:rsidRPr="00833C88">
        <w:rPr>
          <w:rFonts w:cs="Times New Roman"/>
          <w:sz w:val="24"/>
          <w:szCs w:val="24"/>
        </w:rPr>
        <w:t xml:space="preserve">wiodących opcji magazynowania energii ze źródeł odnawialnych. Wodór </w:t>
      </w:r>
      <w:r w:rsidR="00601933" w:rsidRPr="00833C88">
        <w:rPr>
          <w:rFonts w:cs="Times New Roman"/>
          <w:sz w:val="24"/>
          <w:szCs w:val="24"/>
        </w:rPr>
        <w:t>i </w:t>
      </w:r>
      <w:r w:rsidRPr="00833C88">
        <w:rPr>
          <w:rFonts w:cs="Times New Roman"/>
          <w:sz w:val="24"/>
          <w:szCs w:val="24"/>
        </w:rPr>
        <w:t xml:space="preserve">paliwa na bazie wodoru mogą też służyć do </w:t>
      </w:r>
      <w:proofErr w:type="spellStart"/>
      <w:r w:rsidRPr="00833C88">
        <w:rPr>
          <w:rFonts w:cs="Times New Roman"/>
          <w:sz w:val="24"/>
          <w:szCs w:val="24"/>
        </w:rPr>
        <w:t>przesyłu</w:t>
      </w:r>
      <w:proofErr w:type="spellEnd"/>
      <w:r w:rsidRPr="00833C88">
        <w:rPr>
          <w:rFonts w:cs="Times New Roman"/>
          <w:sz w:val="24"/>
          <w:szCs w:val="24"/>
        </w:rPr>
        <w:t xml:space="preserve"> </w:t>
      </w:r>
      <w:r w:rsidR="00601933" w:rsidRPr="00833C88">
        <w:rPr>
          <w:rFonts w:cs="Times New Roman"/>
          <w:sz w:val="24"/>
          <w:szCs w:val="24"/>
        </w:rPr>
        <w:t>i </w:t>
      </w:r>
      <w:r w:rsidRPr="00833C88">
        <w:rPr>
          <w:rFonts w:cs="Times New Roman"/>
          <w:sz w:val="24"/>
          <w:szCs w:val="24"/>
        </w:rPr>
        <w:t>dystrybucji energii ze źródeł odnawialnych na duże odległości.</w:t>
      </w:r>
      <w:r w:rsidRPr="00833C88">
        <w:rPr>
          <w:rFonts w:cs="Times New Roman"/>
        </w:rPr>
        <w:t xml:space="preserve"> </w:t>
      </w:r>
      <w:r w:rsidRPr="00833C88">
        <w:rPr>
          <w:rFonts w:cs="Times New Roman"/>
          <w:sz w:val="24"/>
          <w:szCs w:val="24"/>
        </w:rPr>
        <w:t xml:space="preserve">Zasilanie urządzeń bez dostępu do sieci </w:t>
      </w:r>
      <w:r w:rsidR="00601933" w:rsidRPr="00833C88">
        <w:rPr>
          <w:rFonts w:cs="Times New Roman"/>
          <w:sz w:val="24"/>
          <w:szCs w:val="24"/>
        </w:rPr>
        <w:t>i </w:t>
      </w:r>
      <w:r w:rsidRPr="00833C88">
        <w:rPr>
          <w:rFonts w:cs="Times New Roman"/>
          <w:sz w:val="24"/>
          <w:szCs w:val="24"/>
        </w:rPr>
        <w:t xml:space="preserve">magazynów energii, również </w:t>
      </w:r>
      <w:r w:rsidR="00601933" w:rsidRPr="00833C88">
        <w:rPr>
          <w:rFonts w:cs="Times New Roman"/>
          <w:sz w:val="24"/>
          <w:szCs w:val="24"/>
        </w:rPr>
        <w:t>w </w:t>
      </w:r>
      <w:proofErr w:type="gramStart"/>
      <w:r w:rsidRPr="00833C88">
        <w:rPr>
          <w:rFonts w:cs="Times New Roman"/>
          <w:sz w:val="24"/>
          <w:szCs w:val="24"/>
        </w:rPr>
        <w:t>czasie</w:t>
      </w:r>
      <w:proofErr w:type="gramEnd"/>
      <w:r w:rsidRPr="00833C88">
        <w:rPr>
          <w:rFonts w:cs="Times New Roman"/>
          <w:sz w:val="24"/>
          <w:szCs w:val="24"/>
        </w:rPr>
        <w:t xml:space="preserve"> kiedy wydajność systemów OZE jest niewystarczająca. Dostępnych jest wiele różnych typów ogniw paliwowych </w:t>
      </w:r>
      <w:r w:rsidR="00601933" w:rsidRPr="00833C88">
        <w:rPr>
          <w:rFonts w:cs="Times New Roman"/>
          <w:sz w:val="24"/>
          <w:szCs w:val="24"/>
        </w:rPr>
        <w:t>o </w:t>
      </w:r>
      <w:r w:rsidRPr="00833C88">
        <w:rPr>
          <w:rFonts w:cs="Times New Roman"/>
          <w:sz w:val="24"/>
          <w:szCs w:val="24"/>
        </w:rPr>
        <w:t xml:space="preserve">szerokim zakresie zastosowań. Małe ogniwa paliwowe mogą zasilać laptopy, </w:t>
      </w:r>
      <w:r w:rsidR="00601933" w:rsidRPr="00833C88">
        <w:rPr>
          <w:rFonts w:cs="Times New Roman"/>
          <w:sz w:val="24"/>
          <w:szCs w:val="24"/>
        </w:rPr>
        <w:t>a </w:t>
      </w:r>
      <w:r w:rsidRPr="00833C88">
        <w:rPr>
          <w:rFonts w:cs="Times New Roman"/>
          <w:sz w:val="24"/>
          <w:szCs w:val="24"/>
        </w:rPr>
        <w:t xml:space="preserve">nawet telefony komórkowe, </w:t>
      </w:r>
      <w:r w:rsidR="00601933" w:rsidRPr="00833C88">
        <w:rPr>
          <w:rFonts w:cs="Times New Roman"/>
          <w:sz w:val="24"/>
          <w:szCs w:val="24"/>
        </w:rPr>
        <w:t>a </w:t>
      </w:r>
      <w:r w:rsidRPr="00833C88">
        <w:rPr>
          <w:rFonts w:cs="Times New Roman"/>
          <w:sz w:val="24"/>
          <w:szCs w:val="24"/>
        </w:rPr>
        <w:t xml:space="preserve">także sprawdzać się </w:t>
      </w:r>
      <w:r w:rsidR="00601933" w:rsidRPr="00833C88">
        <w:rPr>
          <w:rFonts w:cs="Times New Roman"/>
          <w:sz w:val="24"/>
          <w:szCs w:val="24"/>
        </w:rPr>
        <w:t>w </w:t>
      </w:r>
      <w:r w:rsidRPr="00833C88">
        <w:rPr>
          <w:rFonts w:cs="Times New Roman"/>
          <w:sz w:val="24"/>
          <w:szCs w:val="24"/>
        </w:rPr>
        <w:t xml:space="preserve">zastosowaniach wojskowych. Duże ogniwa paliwowe mogą dostarczać energię elektryczną na potrzeby zasilania awaryjnego </w:t>
      </w:r>
      <w:r w:rsidR="00601933" w:rsidRPr="00833C88">
        <w:rPr>
          <w:rFonts w:cs="Times New Roman"/>
          <w:sz w:val="24"/>
          <w:szCs w:val="24"/>
        </w:rPr>
        <w:t>w </w:t>
      </w:r>
      <w:r w:rsidRPr="00833C88">
        <w:rPr>
          <w:rFonts w:cs="Times New Roman"/>
          <w:sz w:val="24"/>
          <w:szCs w:val="24"/>
        </w:rPr>
        <w:t xml:space="preserve">budynkach oraz </w:t>
      </w:r>
      <w:r w:rsidR="00601933" w:rsidRPr="00833C88">
        <w:rPr>
          <w:rFonts w:cs="Times New Roman"/>
          <w:sz w:val="24"/>
          <w:szCs w:val="24"/>
        </w:rPr>
        <w:t>w </w:t>
      </w:r>
      <w:r w:rsidRPr="00833C88">
        <w:rPr>
          <w:rFonts w:cs="Times New Roman"/>
          <w:sz w:val="24"/>
          <w:szCs w:val="24"/>
        </w:rPr>
        <w:t>odległych od cywilizacji miejscach, które nie są podłączone do sieci elektroenergetycznych.</w:t>
      </w:r>
    </w:p>
    <w:p w14:paraId="21FB49C1" w14:textId="7A7545F8" w:rsidR="007E60D6" w:rsidRPr="00833C88" w:rsidRDefault="00EB1B0E" w:rsidP="00710263">
      <w:pPr>
        <w:pStyle w:val="Nagwek4"/>
        <w:spacing w:before="0" w:after="120" w:line="360" w:lineRule="auto"/>
        <w:jc w:val="both"/>
        <w:rPr>
          <w:rFonts w:cs="Times New Roman"/>
          <w:sz w:val="24"/>
          <w:szCs w:val="24"/>
          <w:lang w:eastAsia="pl-PL"/>
        </w:rPr>
      </w:pPr>
      <w:r w:rsidRPr="00833C88">
        <w:rPr>
          <w:rFonts w:cs="Times New Roman"/>
          <w:sz w:val="24"/>
          <w:szCs w:val="24"/>
          <w:lang w:eastAsia="pl-PL"/>
        </w:rPr>
        <w:t>Transport</w:t>
      </w:r>
    </w:p>
    <w:p w14:paraId="1EF81F03" w14:textId="2AE19521" w:rsidR="00CA2044" w:rsidRPr="00833C88" w:rsidRDefault="00D52616" w:rsidP="00710263">
      <w:pPr>
        <w:pStyle w:val="Nagwek5"/>
        <w:numPr>
          <w:ilvl w:val="0"/>
          <w:numId w:val="0"/>
        </w:numPr>
        <w:spacing w:before="0" w:after="120" w:line="360" w:lineRule="auto"/>
        <w:ind w:left="720"/>
        <w:jc w:val="both"/>
        <w:rPr>
          <w:rFonts w:cs="Times New Roman"/>
          <w:sz w:val="24"/>
          <w:szCs w:val="24"/>
          <w:lang w:eastAsia="pl-PL"/>
        </w:rPr>
      </w:pPr>
      <w:r w:rsidRPr="00833C88">
        <w:rPr>
          <w:rFonts w:cs="Times New Roman"/>
          <w:sz w:val="24"/>
          <w:szCs w:val="24"/>
          <w:lang w:eastAsia="pl-PL"/>
        </w:rPr>
        <w:t xml:space="preserve">2.1 </w:t>
      </w:r>
      <w:r w:rsidR="00947D3D" w:rsidRPr="00833C88">
        <w:rPr>
          <w:rFonts w:cs="Times New Roman"/>
          <w:sz w:val="24"/>
          <w:szCs w:val="24"/>
          <w:lang w:eastAsia="pl-PL"/>
        </w:rPr>
        <w:t xml:space="preserve">Podsektor </w:t>
      </w:r>
      <w:r w:rsidR="00CA2044" w:rsidRPr="00833C88">
        <w:rPr>
          <w:rFonts w:cs="Times New Roman"/>
          <w:sz w:val="24"/>
          <w:szCs w:val="24"/>
          <w:lang w:eastAsia="pl-PL"/>
        </w:rPr>
        <w:t>Transport lotniczy</w:t>
      </w:r>
    </w:p>
    <w:p w14:paraId="1DAA0153" w14:textId="21344F60" w:rsidR="00A950FF" w:rsidRPr="00833C88" w:rsidRDefault="00215810" w:rsidP="00710263">
      <w:pPr>
        <w:spacing w:line="360" w:lineRule="auto"/>
        <w:jc w:val="both"/>
        <w:rPr>
          <w:rFonts w:cs="Times New Roman"/>
          <w:sz w:val="24"/>
          <w:szCs w:val="24"/>
          <w:lang w:eastAsia="pl-PL"/>
        </w:rPr>
      </w:pPr>
      <w:r w:rsidRPr="00833C88">
        <w:rPr>
          <w:rFonts w:cs="Times New Roman"/>
          <w:sz w:val="24"/>
          <w:szCs w:val="24"/>
          <w:lang w:eastAsia="pl-PL"/>
        </w:rPr>
        <w:t xml:space="preserve">Transport lotniczy </w:t>
      </w:r>
      <w:r w:rsidR="00C11EB9" w:rsidRPr="00833C88">
        <w:rPr>
          <w:rFonts w:cs="Times New Roman"/>
          <w:sz w:val="24"/>
          <w:szCs w:val="24"/>
          <w:lang w:eastAsia="pl-PL"/>
        </w:rPr>
        <w:t xml:space="preserve">odgrywa duże znaczenie dla swobody przepływu osób </w:t>
      </w:r>
      <w:r w:rsidR="009E79EF" w:rsidRPr="00833C88">
        <w:rPr>
          <w:rFonts w:cs="Times New Roman"/>
          <w:sz w:val="24"/>
          <w:szCs w:val="24"/>
          <w:lang w:eastAsia="pl-PL"/>
        </w:rPr>
        <w:t xml:space="preserve">oraz towarów </w:t>
      </w:r>
      <w:r w:rsidR="00601933" w:rsidRPr="00833C88">
        <w:rPr>
          <w:rFonts w:cs="Times New Roman"/>
          <w:sz w:val="24"/>
          <w:szCs w:val="24"/>
          <w:lang w:eastAsia="pl-PL"/>
        </w:rPr>
        <w:t>w </w:t>
      </w:r>
      <w:r w:rsidR="009E79EF" w:rsidRPr="00833C88">
        <w:rPr>
          <w:rFonts w:cs="Times New Roman"/>
          <w:sz w:val="24"/>
          <w:szCs w:val="24"/>
          <w:lang w:eastAsia="pl-PL"/>
        </w:rPr>
        <w:t xml:space="preserve">ramach Unii Europejskiej. Według statystyk Urzędu Lotnictwa Cywilnego </w:t>
      </w:r>
      <w:r w:rsidR="00601933" w:rsidRPr="00833C88">
        <w:rPr>
          <w:rFonts w:cs="Times New Roman"/>
          <w:sz w:val="24"/>
          <w:szCs w:val="24"/>
          <w:lang w:eastAsia="pl-PL"/>
        </w:rPr>
        <w:t>w </w:t>
      </w:r>
      <w:r w:rsidR="00FD778B" w:rsidRPr="00833C88">
        <w:rPr>
          <w:rFonts w:cs="Times New Roman"/>
          <w:sz w:val="24"/>
          <w:szCs w:val="24"/>
          <w:lang w:eastAsia="pl-PL"/>
        </w:rPr>
        <w:t xml:space="preserve">pierwszym półroczu 2024 r. </w:t>
      </w:r>
      <w:r w:rsidR="005E4D93" w:rsidRPr="00833C88">
        <w:rPr>
          <w:rFonts w:cs="Times New Roman"/>
          <w:sz w:val="24"/>
          <w:szCs w:val="24"/>
          <w:lang w:eastAsia="pl-PL"/>
        </w:rPr>
        <w:t>polskie porty lotnicze obsłużyły</w:t>
      </w:r>
      <w:r w:rsidR="00D52616" w:rsidRPr="00833C88">
        <w:rPr>
          <w:rFonts w:cs="Times New Roman"/>
          <w:sz w:val="24"/>
          <w:szCs w:val="24"/>
          <w:lang w:eastAsia="pl-PL"/>
        </w:rPr>
        <w:t>:</w:t>
      </w:r>
      <w:r w:rsidR="005E4D93" w:rsidRPr="00833C88">
        <w:rPr>
          <w:rFonts w:cs="Times New Roman"/>
          <w:sz w:val="24"/>
          <w:szCs w:val="24"/>
          <w:lang w:eastAsia="pl-PL"/>
        </w:rPr>
        <w:t xml:space="preserve"> </w:t>
      </w:r>
    </w:p>
    <w:p w14:paraId="6A00103C" w14:textId="589DF950" w:rsidR="00A950FF" w:rsidRPr="00833C88" w:rsidRDefault="005E4D93">
      <w:pPr>
        <w:pStyle w:val="Akapitzlist"/>
        <w:numPr>
          <w:ilvl w:val="0"/>
          <w:numId w:val="35"/>
        </w:numPr>
        <w:spacing w:line="360" w:lineRule="auto"/>
        <w:contextualSpacing w:val="0"/>
        <w:jc w:val="both"/>
        <w:rPr>
          <w:rFonts w:cs="Times New Roman"/>
          <w:sz w:val="24"/>
          <w:szCs w:val="24"/>
          <w:lang w:eastAsia="pl-PL"/>
        </w:rPr>
      </w:pPr>
      <w:r w:rsidRPr="00833C88">
        <w:rPr>
          <w:rFonts w:cs="Times New Roman"/>
          <w:sz w:val="24"/>
          <w:szCs w:val="24"/>
          <w:lang w:eastAsia="pl-PL"/>
        </w:rPr>
        <w:t>1 7</w:t>
      </w:r>
      <w:r w:rsidR="006B2DCC">
        <w:rPr>
          <w:rFonts w:cs="Times New Roman"/>
          <w:sz w:val="24"/>
          <w:szCs w:val="24"/>
          <w:lang w:eastAsia="pl-PL"/>
        </w:rPr>
        <w:t>19</w:t>
      </w:r>
      <w:r w:rsidRPr="00833C88">
        <w:rPr>
          <w:rFonts w:cs="Times New Roman"/>
          <w:sz w:val="24"/>
          <w:szCs w:val="24"/>
          <w:lang w:eastAsia="pl-PL"/>
        </w:rPr>
        <w:t> </w:t>
      </w:r>
      <w:r w:rsidR="006B2DCC">
        <w:rPr>
          <w:rFonts w:cs="Times New Roman"/>
          <w:sz w:val="24"/>
          <w:szCs w:val="24"/>
          <w:lang w:eastAsia="pl-PL"/>
        </w:rPr>
        <w:t>7</w:t>
      </w:r>
      <w:r w:rsidRPr="00833C88">
        <w:rPr>
          <w:rFonts w:cs="Times New Roman"/>
          <w:sz w:val="24"/>
          <w:szCs w:val="24"/>
          <w:lang w:eastAsia="pl-PL"/>
        </w:rPr>
        <w:t xml:space="preserve">42 pasażerów </w:t>
      </w:r>
      <w:r w:rsidR="00601933" w:rsidRPr="00833C88">
        <w:rPr>
          <w:rFonts w:cs="Times New Roman"/>
          <w:sz w:val="24"/>
          <w:szCs w:val="24"/>
          <w:lang w:eastAsia="pl-PL"/>
        </w:rPr>
        <w:t>w </w:t>
      </w:r>
      <w:r w:rsidR="00A950FF" w:rsidRPr="00833C88">
        <w:rPr>
          <w:rFonts w:cs="Times New Roman"/>
          <w:sz w:val="24"/>
          <w:szCs w:val="24"/>
          <w:lang w:eastAsia="pl-PL"/>
        </w:rPr>
        <w:t xml:space="preserve">ruchu krajowym - regularnym </w:t>
      </w:r>
      <w:r w:rsidR="00601933" w:rsidRPr="00833C88">
        <w:rPr>
          <w:rFonts w:cs="Times New Roman"/>
          <w:sz w:val="24"/>
          <w:szCs w:val="24"/>
          <w:lang w:eastAsia="pl-PL"/>
        </w:rPr>
        <w:t>i </w:t>
      </w:r>
      <w:r w:rsidR="00A950FF" w:rsidRPr="00833C88">
        <w:rPr>
          <w:rFonts w:cs="Times New Roman"/>
          <w:sz w:val="24"/>
          <w:szCs w:val="24"/>
          <w:lang w:eastAsia="pl-PL"/>
        </w:rPr>
        <w:t>czarterowym</w:t>
      </w:r>
      <w:r w:rsidR="00A950FF" w:rsidRPr="00833C88">
        <w:rPr>
          <w:rStyle w:val="Odwoanieprzypisudolnego"/>
          <w:rFonts w:cs="Times New Roman"/>
          <w:sz w:val="24"/>
          <w:szCs w:val="24"/>
          <w:lang w:eastAsia="pl-PL"/>
        </w:rPr>
        <w:footnoteReference w:id="97"/>
      </w:r>
      <w:r w:rsidR="00D52616" w:rsidRPr="00833C88">
        <w:rPr>
          <w:rFonts w:cs="Times New Roman"/>
          <w:sz w:val="24"/>
          <w:szCs w:val="24"/>
          <w:vertAlign w:val="superscript"/>
          <w:lang w:eastAsia="pl-PL"/>
        </w:rPr>
        <w:t>)</w:t>
      </w:r>
      <w:r w:rsidR="0076020B" w:rsidRPr="00833C88">
        <w:rPr>
          <w:rFonts w:cs="Times New Roman"/>
          <w:sz w:val="24"/>
          <w:szCs w:val="24"/>
          <w:lang w:eastAsia="pl-PL"/>
        </w:rPr>
        <w:t>,</w:t>
      </w:r>
    </w:p>
    <w:p w14:paraId="75DA1244" w14:textId="7E773ABD" w:rsidR="004D7A1E" w:rsidRPr="00833C88" w:rsidRDefault="00192E47">
      <w:pPr>
        <w:pStyle w:val="Akapitzlist"/>
        <w:numPr>
          <w:ilvl w:val="0"/>
          <w:numId w:val="35"/>
        </w:numPr>
        <w:spacing w:line="360" w:lineRule="auto"/>
        <w:contextualSpacing w:val="0"/>
        <w:jc w:val="both"/>
        <w:rPr>
          <w:rFonts w:cs="Times New Roman"/>
          <w:sz w:val="24"/>
          <w:szCs w:val="24"/>
          <w:lang w:eastAsia="pl-PL"/>
        </w:rPr>
      </w:pPr>
      <w:r w:rsidRPr="00833C88">
        <w:rPr>
          <w:rFonts w:cs="Times New Roman"/>
          <w:sz w:val="24"/>
          <w:szCs w:val="24"/>
          <w:lang w:eastAsia="pl-PL"/>
        </w:rPr>
        <w:lastRenderedPageBreak/>
        <w:t>94 32</w:t>
      </w:r>
      <w:r w:rsidR="006B2DCC">
        <w:rPr>
          <w:rFonts w:cs="Times New Roman"/>
          <w:sz w:val="24"/>
          <w:szCs w:val="24"/>
          <w:lang w:eastAsia="pl-PL"/>
        </w:rPr>
        <w:t>9</w:t>
      </w:r>
      <w:r w:rsidRPr="00833C88">
        <w:rPr>
          <w:rFonts w:cs="Times New Roman"/>
          <w:sz w:val="24"/>
          <w:szCs w:val="24"/>
          <w:lang w:eastAsia="pl-PL"/>
        </w:rPr>
        <w:t> </w:t>
      </w:r>
      <w:r w:rsidR="006B2DCC">
        <w:rPr>
          <w:rFonts w:cs="Times New Roman"/>
          <w:sz w:val="24"/>
          <w:szCs w:val="24"/>
          <w:lang w:eastAsia="pl-PL"/>
        </w:rPr>
        <w:t>761</w:t>
      </w:r>
      <w:r w:rsidRPr="00833C88">
        <w:rPr>
          <w:rFonts w:cs="Times New Roman"/>
          <w:sz w:val="24"/>
          <w:szCs w:val="24"/>
          <w:lang w:eastAsia="pl-PL"/>
        </w:rPr>
        <w:t xml:space="preserve"> kg </w:t>
      </w:r>
      <w:r w:rsidRPr="00833C88">
        <w:rPr>
          <w:rFonts w:cs="Times New Roman"/>
          <w:i/>
          <w:iCs/>
          <w:sz w:val="24"/>
          <w:szCs w:val="24"/>
          <w:lang w:eastAsia="pl-PL"/>
        </w:rPr>
        <w:t xml:space="preserve">cargo on </w:t>
      </w:r>
      <w:proofErr w:type="spellStart"/>
      <w:r w:rsidRPr="00833C88">
        <w:rPr>
          <w:rFonts w:cs="Times New Roman"/>
          <w:i/>
          <w:iCs/>
          <w:sz w:val="24"/>
          <w:szCs w:val="24"/>
          <w:lang w:eastAsia="pl-PL"/>
        </w:rPr>
        <w:t>board</w:t>
      </w:r>
      <w:proofErr w:type="spellEnd"/>
      <w:r w:rsidRPr="00833C88">
        <w:rPr>
          <w:rFonts w:cs="Times New Roman"/>
          <w:sz w:val="24"/>
          <w:szCs w:val="24"/>
          <w:lang w:eastAsia="pl-PL"/>
        </w:rPr>
        <w:t xml:space="preserve"> </w:t>
      </w:r>
      <w:r w:rsidR="00601933" w:rsidRPr="00833C88">
        <w:rPr>
          <w:rFonts w:cs="Times New Roman"/>
          <w:sz w:val="24"/>
          <w:szCs w:val="24"/>
          <w:lang w:eastAsia="pl-PL"/>
        </w:rPr>
        <w:t>w </w:t>
      </w:r>
      <w:r w:rsidR="00A950FF" w:rsidRPr="00833C88">
        <w:rPr>
          <w:rFonts w:cs="Times New Roman"/>
          <w:sz w:val="24"/>
          <w:szCs w:val="24"/>
          <w:lang w:eastAsia="pl-PL"/>
        </w:rPr>
        <w:t xml:space="preserve">ruchu krajowym </w:t>
      </w:r>
      <w:r w:rsidR="00601933" w:rsidRPr="00833C88">
        <w:rPr>
          <w:rFonts w:cs="Times New Roman"/>
          <w:sz w:val="24"/>
          <w:szCs w:val="24"/>
          <w:lang w:eastAsia="pl-PL"/>
        </w:rPr>
        <w:t>i </w:t>
      </w:r>
      <w:r w:rsidR="00A950FF" w:rsidRPr="00833C88">
        <w:rPr>
          <w:rFonts w:cs="Times New Roman"/>
          <w:sz w:val="24"/>
          <w:szCs w:val="24"/>
          <w:lang w:eastAsia="pl-PL"/>
        </w:rPr>
        <w:t>międzynarodowym</w:t>
      </w:r>
      <w:r w:rsidR="00C30187" w:rsidRPr="00833C88">
        <w:rPr>
          <w:rStyle w:val="Odwoanieprzypisudolnego"/>
          <w:rFonts w:cs="Times New Roman"/>
          <w:sz w:val="24"/>
          <w:szCs w:val="24"/>
          <w:lang w:eastAsia="pl-PL"/>
        </w:rPr>
        <w:footnoteReference w:id="98"/>
      </w:r>
      <w:r w:rsidR="00D52616" w:rsidRPr="00833C88">
        <w:rPr>
          <w:rFonts w:cs="Times New Roman"/>
          <w:sz w:val="24"/>
          <w:szCs w:val="24"/>
          <w:vertAlign w:val="superscript"/>
          <w:lang w:eastAsia="pl-PL"/>
        </w:rPr>
        <w:t>)</w:t>
      </w:r>
      <w:r w:rsidR="00A950FF" w:rsidRPr="00833C88">
        <w:rPr>
          <w:rFonts w:cs="Times New Roman"/>
          <w:sz w:val="24"/>
          <w:szCs w:val="24"/>
          <w:lang w:eastAsia="pl-PL"/>
        </w:rPr>
        <w:t>.</w:t>
      </w:r>
    </w:p>
    <w:p w14:paraId="16C7C8AB" w14:textId="30E2C96D" w:rsidR="003432FB" w:rsidRPr="00833C88" w:rsidRDefault="00601933" w:rsidP="00710263">
      <w:pPr>
        <w:spacing w:line="360" w:lineRule="auto"/>
        <w:jc w:val="both"/>
        <w:rPr>
          <w:rFonts w:cs="Times New Roman"/>
          <w:sz w:val="24"/>
          <w:szCs w:val="24"/>
          <w:lang w:eastAsia="pl-PL"/>
        </w:rPr>
      </w:pPr>
      <w:r w:rsidRPr="00833C88">
        <w:rPr>
          <w:rFonts w:cs="Times New Roman"/>
          <w:sz w:val="24"/>
          <w:szCs w:val="24"/>
          <w:lang w:eastAsia="pl-PL"/>
        </w:rPr>
        <w:t>W </w:t>
      </w:r>
      <w:r w:rsidR="00A76957" w:rsidRPr="00833C88">
        <w:rPr>
          <w:rFonts w:cs="Times New Roman"/>
          <w:sz w:val="24"/>
          <w:szCs w:val="24"/>
          <w:lang w:eastAsia="pl-PL"/>
        </w:rPr>
        <w:t xml:space="preserve">lotnictwie cywilnym wykorzystywane są systemy zarządzania ruchem lotniczym, systemy nawigacyjne oraz systemy informatyczne dedykowane dla pasażerów, takie jak np. systemy rezerwacji biletów lotniczych </w:t>
      </w:r>
      <w:r w:rsidRPr="00833C88">
        <w:rPr>
          <w:rFonts w:cs="Times New Roman"/>
          <w:sz w:val="24"/>
          <w:szCs w:val="24"/>
          <w:lang w:eastAsia="pl-PL"/>
        </w:rPr>
        <w:t>w </w:t>
      </w:r>
      <w:r w:rsidR="00A76957" w:rsidRPr="00833C88">
        <w:rPr>
          <w:rFonts w:cs="Times New Roman"/>
          <w:sz w:val="24"/>
          <w:szCs w:val="24"/>
          <w:lang w:eastAsia="pl-PL"/>
        </w:rPr>
        <w:t xml:space="preserve">celu zapewnienia </w:t>
      </w:r>
      <w:r w:rsidR="00506923" w:rsidRPr="00833C88">
        <w:rPr>
          <w:rFonts w:cs="Times New Roman"/>
          <w:sz w:val="24"/>
          <w:szCs w:val="24"/>
          <w:lang w:eastAsia="pl-PL"/>
        </w:rPr>
        <w:t>świadczenia usług</w:t>
      </w:r>
      <w:r w:rsidR="00506923" w:rsidRPr="00833C88">
        <w:rPr>
          <w:rStyle w:val="Odwoanieprzypisudolnego"/>
          <w:rFonts w:cs="Times New Roman"/>
          <w:sz w:val="24"/>
          <w:szCs w:val="24"/>
          <w:lang w:eastAsia="pl-PL"/>
        </w:rPr>
        <w:footnoteReference w:id="99"/>
      </w:r>
      <w:r w:rsidR="00D52616" w:rsidRPr="00833C88">
        <w:rPr>
          <w:rFonts w:cs="Times New Roman"/>
          <w:sz w:val="24"/>
          <w:szCs w:val="24"/>
          <w:vertAlign w:val="superscript"/>
          <w:lang w:eastAsia="pl-PL"/>
        </w:rPr>
        <w:t>)</w:t>
      </w:r>
      <w:r w:rsidR="00506923" w:rsidRPr="00833C88">
        <w:rPr>
          <w:rFonts w:cs="Times New Roman"/>
          <w:sz w:val="24"/>
          <w:szCs w:val="24"/>
          <w:lang w:eastAsia="pl-PL"/>
        </w:rPr>
        <w:t xml:space="preserve">. </w:t>
      </w:r>
      <w:r w:rsidR="00FA54F3" w:rsidRPr="00833C88">
        <w:rPr>
          <w:rFonts w:cs="Times New Roman"/>
          <w:sz w:val="24"/>
          <w:szCs w:val="24"/>
          <w:lang w:eastAsia="pl-PL"/>
        </w:rPr>
        <w:t>Systemy te</w:t>
      </w:r>
      <w:r w:rsidR="001A275A" w:rsidRPr="00833C88">
        <w:rPr>
          <w:rFonts w:cs="Times New Roman"/>
          <w:sz w:val="24"/>
          <w:szCs w:val="24"/>
          <w:lang w:eastAsia="pl-PL"/>
        </w:rPr>
        <w:t> </w:t>
      </w:r>
      <w:r w:rsidR="00FA54F3" w:rsidRPr="00833C88">
        <w:rPr>
          <w:rFonts w:cs="Times New Roman"/>
          <w:sz w:val="24"/>
          <w:szCs w:val="24"/>
          <w:lang w:eastAsia="pl-PL"/>
        </w:rPr>
        <w:t>są</w:t>
      </w:r>
      <w:r w:rsidR="001A275A" w:rsidRPr="00833C88">
        <w:rPr>
          <w:rFonts w:cs="Times New Roman"/>
          <w:sz w:val="24"/>
          <w:szCs w:val="24"/>
          <w:lang w:eastAsia="pl-PL"/>
        </w:rPr>
        <w:t> </w:t>
      </w:r>
      <w:r w:rsidR="00FA54F3" w:rsidRPr="00833C88">
        <w:rPr>
          <w:rFonts w:cs="Times New Roman"/>
          <w:sz w:val="24"/>
          <w:szCs w:val="24"/>
          <w:lang w:eastAsia="pl-PL"/>
        </w:rPr>
        <w:t xml:space="preserve">narażone na </w:t>
      </w:r>
      <w:proofErr w:type="spellStart"/>
      <w:r w:rsidR="00FA54F3" w:rsidRPr="00833C88">
        <w:rPr>
          <w:rFonts w:cs="Times New Roman"/>
          <w:sz w:val="24"/>
          <w:szCs w:val="24"/>
          <w:lang w:eastAsia="pl-PL"/>
        </w:rPr>
        <w:t>cyberzagrożenia</w:t>
      </w:r>
      <w:proofErr w:type="spellEnd"/>
      <w:r w:rsidR="0065258C" w:rsidRPr="00833C88">
        <w:rPr>
          <w:rFonts w:cs="Times New Roman"/>
          <w:sz w:val="24"/>
          <w:szCs w:val="24"/>
          <w:lang w:eastAsia="pl-PL"/>
        </w:rPr>
        <w:t xml:space="preserve">, przykładowo może dojść do ataków </w:t>
      </w:r>
      <w:proofErr w:type="spellStart"/>
      <w:r w:rsidR="0065258C" w:rsidRPr="00833C88">
        <w:rPr>
          <w:rFonts w:cs="Times New Roman"/>
          <w:sz w:val="24"/>
          <w:szCs w:val="24"/>
          <w:lang w:eastAsia="pl-PL"/>
        </w:rPr>
        <w:t>DDoS</w:t>
      </w:r>
      <w:proofErr w:type="spellEnd"/>
      <w:r w:rsidR="0065258C" w:rsidRPr="00833C88">
        <w:rPr>
          <w:rFonts w:cs="Times New Roman"/>
          <w:sz w:val="24"/>
          <w:szCs w:val="24"/>
          <w:lang w:eastAsia="pl-PL"/>
        </w:rPr>
        <w:t xml:space="preserve"> na systemy kontroli ruchu lotniczego, ataki na systemy rezerwacji biletów</w:t>
      </w:r>
      <w:r w:rsidR="00D45E1D" w:rsidRPr="00833C88">
        <w:rPr>
          <w:rFonts w:cs="Times New Roman"/>
          <w:sz w:val="24"/>
          <w:szCs w:val="24"/>
          <w:lang w:eastAsia="pl-PL"/>
        </w:rPr>
        <w:t xml:space="preserve">, </w:t>
      </w:r>
      <w:r w:rsidRPr="00833C88">
        <w:rPr>
          <w:rFonts w:cs="Times New Roman"/>
          <w:sz w:val="24"/>
          <w:szCs w:val="24"/>
          <w:lang w:eastAsia="pl-PL"/>
        </w:rPr>
        <w:t>w </w:t>
      </w:r>
      <w:r w:rsidR="00D45E1D" w:rsidRPr="00833C88">
        <w:rPr>
          <w:rFonts w:cs="Times New Roman"/>
          <w:sz w:val="24"/>
          <w:szCs w:val="24"/>
          <w:lang w:eastAsia="pl-PL"/>
        </w:rPr>
        <w:t>celu uzyskania danych osobowych, ataki typu Man in the Middle na systemy komunikacji radiowej</w:t>
      </w:r>
      <w:r w:rsidR="004249D8" w:rsidRPr="00833C88">
        <w:rPr>
          <w:rFonts w:cs="Times New Roman"/>
          <w:sz w:val="24"/>
          <w:szCs w:val="24"/>
          <w:lang w:eastAsia="pl-PL"/>
        </w:rPr>
        <w:t>, awarie techniczne systemów, błędy ludzkie</w:t>
      </w:r>
      <w:r w:rsidR="004249D8" w:rsidRPr="00833C88">
        <w:rPr>
          <w:rStyle w:val="Odwoanieprzypisudolnego"/>
          <w:rFonts w:cs="Times New Roman"/>
          <w:sz w:val="24"/>
          <w:szCs w:val="24"/>
          <w:lang w:eastAsia="pl-PL"/>
        </w:rPr>
        <w:footnoteReference w:id="100"/>
      </w:r>
      <w:r w:rsidR="00D52616" w:rsidRPr="00833C88">
        <w:rPr>
          <w:rFonts w:cs="Times New Roman"/>
          <w:sz w:val="24"/>
          <w:szCs w:val="24"/>
          <w:vertAlign w:val="superscript"/>
          <w:lang w:eastAsia="pl-PL"/>
        </w:rPr>
        <w:t>)</w:t>
      </w:r>
      <w:r w:rsidR="004249D8" w:rsidRPr="00833C88">
        <w:rPr>
          <w:rFonts w:cs="Times New Roman"/>
          <w:sz w:val="24"/>
          <w:szCs w:val="24"/>
          <w:lang w:eastAsia="pl-PL"/>
        </w:rPr>
        <w:t>.</w:t>
      </w:r>
    </w:p>
    <w:p w14:paraId="57CCB4FF" w14:textId="4880D4DB" w:rsidR="00A950FF" w:rsidRPr="00833C88" w:rsidRDefault="00601933" w:rsidP="00710263">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podsektora transportu lotniczego znajdą się następujące podmioty:</w:t>
      </w:r>
    </w:p>
    <w:p w14:paraId="7F5A950E" w14:textId="45839F7A" w:rsidR="00226956" w:rsidRPr="00833C88" w:rsidRDefault="00DC760E">
      <w:pPr>
        <w:pStyle w:val="Akapitzlist"/>
        <w:numPr>
          <w:ilvl w:val="0"/>
          <w:numId w:val="28"/>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Przewoźnik lotniczy,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3 pkt 4 rozporządzenia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(WE) nr 300/2008 </w:t>
      </w:r>
      <w:r w:rsidR="00601933" w:rsidRPr="00833C88">
        <w:rPr>
          <w:rFonts w:cs="Times New Roman"/>
          <w:sz w:val="24"/>
          <w:szCs w:val="24"/>
          <w:lang w:eastAsia="pl-PL"/>
        </w:rPr>
        <w:t>z </w:t>
      </w:r>
      <w:r w:rsidRPr="00833C88">
        <w:rPr>
          <w:rFonts w:cs="Times New Roman"/>
          <w:sz w:val="24"/>
          <w:szCs w:val="24"/>
          <w:lang w:eastAsia="pl-PL"/>
        </w:rPr>
        <w:t>dnia 11 marca 2008</w:t>
      </w:r>
      <w:r w:rsidR="001B69F9">
        <w:rPr>
          <w:rFonts w:cs="Times New Roman"/>
          <w:sz w:val="24"/>
          <w:szCs w:val="24"/>
          <w:lang w:eastAsia="pl-PL"/>
        </w:rPr>
        <w:t xml:space="preserve"> </w:t>
      </w:r>
      <w:r w:rsidRPr="00833C88">
        <w:rPr>
          <w:rFonts w:cs="Times New Roman"/>
          <w:sz w:val="24"/>
          <w:szCs w:val="24"/>
          <w:lang w:eastAsia="pl-PL"/>
        </w:rPr>
        <w:t xml:space="preserve">r. </w:t>
      </w:r>
      <w:r w:rsidR="00601933" w:rsidRPr="00833C88">
        <w:rPr>
          <w:rFonts w:cs="Times New Roman"/>
          <w:sz w:val="24"/>
          <w:szCs w:val="24"/>
          <w:lang w:eastAsia="pl-PL"/>
        </w:rPr>
        <w:t>w </w:t>
      </w:r>
      <w:r w:rsidRPr="00833C88">
        <w:rPr>
          <w:rFonts w:cs="Times New Roman"/>
          <w:sz w:val="24"/>
          <w:szCs w:val="24"/>
          <w:lang w:eastAsia="pl-PL"/>
        </w:rPr>
        <w:t xml:space="preserve">sprawie wspólnych zasad </w:t>
      </w:r>
      <w:r w:rsidR="00601933" w:rsidRPr="00833C88">
        <w:rPr>
          <w:rFonts w:cs="Times New Roman"/>
          <w:sz w:val="24"/>
          <w:szCs w:val="24"/>
          <w:lang w:eastAsia="pl-PL"/>
        </w:rPr>
        <w:t>w </w:t>
      </w:r>
      <w:r w:rsidRPr="00833C88">
        <w:rPr>
          <w:rFonts w:cs="Times New Roman"/>
          <w:sz w:val="24"/>
          <w:szCs w:val="24"/>
          <w:lang w:eastAsia="pl-PL"/>
        </w:rPr>
        <w:t xml:space="preserve">dziedzinie ochrony lotnictwa cywilnego </w:t>
      </w:r>
      <w:r w:rsidR="00601933" w:rsidRPr="00833C88">
        <w:rPr>
          <w:rFonts w:cs="Times New Roman"/>
          <w:sz w:val="24"/>
          <w:szCs w:val="24"/>
          <w:lang w:eastAsia="pl-PL"/>
        </w:rPr>
        <w:t>i </w:t>
      </w:r>
      <w:r w:rsidRPr="00833C88">
        <w:rPr>
          <w:rFonts w:cs="Times New Roman"/>
          <w:sz w:val="24"/>
          <w:szCs w:val="24"/>
          <w:lang w:eastAsia="pl-PL"/>
        </w:rPr>
        <w:t xml:space="preserve">uchylającego rozporządzenie (WE) nr 2320/2002 (Dz. Urz. UE L 97 </w:t>
      </w:r>
      <w:r w:rsidR="00601933" w:rsidRPr="00833C88">
        <w:rPr>
          <w:rFonts w:cs="Times New Roman"/>
          <w:sz w:val="24"/>
          <w:szCs w:val="24"/>
          <w:lang w:eastAsia="pl-PL"/>
        </w:rPr>
        <w:t>z </w:t>
      </w:r>
      <w:r w:rsidRPr="00833C88">
        <w:rPr>
          <w:rFonts w:cs="Times New Roman"/>
          <w:sz w:val="24"/>
          <w:szCs w:val="24"/>
          <w:lang w:eastAsia="pl-PL"/>
        </w:rPr>
        <w:t>09.04.2008, str. 72).</w:t>
      </w:r>
    </w:p>
    <w:p w14:paraId="6CA23D76" w14:textId="4B72144D" w:rsidR="00226956" w:rsidRPr="00833C88" w:rsidRDefault="00B51543" w:rsidP="00710263">
      <w:pPr>
        <w:pStyle w:val="Akapitzlist"/>
        <w:spacing w:line="360" w:lineRule="auto"/>
        <w:contextualSpacing w:val="0"/>
        <w:jc w:val="both"/>
        <w:rPr>
          <w:rFonts w:cs="Times New Roman"/>
          <w:lang w:eastAsia="pl-PL"/>
        </w:rPr>
      </w:pPr>
      <w:r w:rsidRPr="00833C88">
        <w:rPr>
          <w:rFonts w:cs="Times New Roman"/>
          <w:sz w:val="24"/>
          <w:szCs w:val="24"/>
          <w:lang w:eastAsia="pl-PL"/>
        </w:rPr>
        <w:t xml:space="preserve">Zgodnie </w:t>
      </w:r>
      <w:r w:rsidR="00601933" w:rsidRPr="00833C88">
        <w:rPr>
          <w:rFonts w:cs="Times New Roman"/>
          <w:sz w:val="24"/>
          <w:szCs w:val="24"/>
          <w:lang w:eastAsia="pl-PL"/>
        </w:rPr>
        <w:t>z </w:t>
      </w:r>
      <w:r w:rsidRPr="00833C88">
        <w:rPr>
          <w:rFonts w:cs="Times New Roman"/>
          <w:sz w:val="24"/>
          <w:szCs w:val="24"/>
          <w:lang w:eastAsia="pl-PL"/>
        </w:rPr>
        <w:t xml:space="preserve">definicją unijną przewoźnik lotniczy to </w:t>
      </w:r>
      <w:r w:rsidR="00226956" w:rsidRPr="00833C88">
        <w:rPr>
          <w:rFonts w:cs="Times New Roman"/>
          <w:sz w:val="24"/>
          <w:szCs w:val="24"/>
          <w:lang w:eastAsia="pl-PL"/>
        </w:rPr>
        <w:t>przedsiębiorstwo transportu lotniczego posiadające ważną licencję na prowadzenie działalności lub jej odpowiednik</w:t>
      </w:r>
      <w:r w:rsidR="0076020B" w:rsidRPr="00833C88">
        <w:rPr>
          <w:rFonts w:cs="Times New Roman"/>
          <w:sz w:val="24"/>
          <w:szCs w:val="24"/>
          <w:lang w:eastAsia="pl-PL"/>
        </w:rPr>
        <w:t>,</w:t>
      </w:r>
    </w:p>
    <w:p w14:paraId="3E66FBFD" w14:textId="29EA993A" w:rsidR="00FA3BB0" w:rsidRPr="00833C88" w:rsidRDefault="00DC760E">
      <w:pPr>
        <w:pStyle w:val="Akapitzlist"/>
        <w:numPr>
          <w:ilvl w:val="0"/>
          <w:numId w:val="28"/>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Zarządzający lotniskiem,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2 pkt 7 ustawy </w:t>
      </w:r>
      <w:r w:rsidR="00601933" w:rsidRPr="00833C88">
        <w:rPr>
          <w:rFonts w:cs="Times New Roman"/>
          <w:sz w:val="24"/>
          <w:szCs w:val="24"/>
          <w:lang w:eastAsia="pl-PL"/>
        </w:rPr>
        <w:t>z </w:t>
      </w:r>
      <w:r w:rsidRPr="00833C88">
        <w:rPr>
          <w:rFonts w:cs="Times New Roman"/>
          <w:sz w:val="24"/>
          <w:szCs w:val="24"/>
          <w:lang w:eastAsia="pl-PL"/>
        </w:rPr>
        <w:t xml:space="preserve">dnia 3 lipca 2002 r. – Prawo lotnicze (Dz. U. </w:t>
      </w:r>
      <w:r w:rsidR="00601933" w:rsidRPr="00833C88">
        <w:rPr>
          <w:rFonts w:cs="Times New Roman"/>
          <w:sz w:val="24"/>
          <w:szCs w:val="24"/>
          <w:lang w:eastAsia="pl-PL"/>
        </w:rPr>
        <w:t>z </w:t>
      </w:r>
      <w:r w:rsidRPr="00833C88">
        <w:rPr>
          <w:rFonts w:cs="Times New Roman"/>
          <w:sz w:val="24"/>
          <w:szCs w:val="24"/>
          <w:lang w:eastAsia="pl-PL"/>
        </w:rPr>
        <w:t>2023 r. poz. 2110</w:t>
      </w:r>
      <w:r w:rsidR="00C43F49" w:rsidRPr="00833C88">
        <w:rPr>
          <w:rFonts w:cs="Times New Roman"/>
          <w:sz w:val="24"/>
          <w:szCs w:val="24"/>
          <w:lang w:eastAsia="pl-PL"/>
        </w:rPr>
        <w:t>,</w:t>
      </w:r>
      <w:r w:rsidRPr="00833C88">
        <w:rPr>
          <w:rFonts w:cs="Times New Roman"/>
          <w:sz w:val="24"/>
          <w:szCs w:val="24"/>
          <w:lang w:eastAsia="pl-PL"/>
        </w:rPr>
        <w:t xml:space="preserve"> </w:t>
      </w:r>
      <w:r w:rsidR="00601933" w:rsidRPr="00833C88">
        <w:rPr>
          <w:rFonts w:cs="Times New Roman"/>
          <w:sz w:val="24"/>
          <w:szCs w:val="24"/>
          <w:lang w:eastAsia="pl-PL"/>
        </w:rPr>
        <w:t>z </w:t>
      </w:r>
      <w:r w:rsidR="00710263" w:rsidRPr="00833C88">
        <w:rPr>
          <w:rFonts w:cs="Times New Roman"/>
          <w:sz w:val="24"/>
          <w:szCs w:val="24"/>
          <w:lang w:eastAsia="pl-PL"/>
        </w:rPr>
        <w:t>późn. zm.</w:t>
      </w:r>
      <w:r w:rsidRPr="00833C88">
        <w:rPr>
          <w:rFonts w:cs="Times New Roman"/>
          <w:sz w:val="24"/>
          <w:szCs w:val="24"/>
          <w:lang w:eastAsia="pl-PL"/>
        </w:rPr>
        <w:t>).</w:t>
      </w:r>
    </w:p>
    <w:p w14:paraId="22664D2E" w14:textId="28050BAE" w:rsidR="001B5609" w:rsidRPr="00833C88" w:rsidRDefault="00FA5D6A" w:rsidP="00A961D1">
      <w:pPr>
        <w:pStyle w:val="Akapitzlist"/>
        <w:spacing w:line="360" w:lineRule="auto"/>
        <w:ind w:left="0"/>
        <w:contextualSpacing w:val="0"/>
        <w:jc w:val="both"/>
        <w:rPr>
          <w:rFonts w:cs="Times New Roman"/>
          <w:lang w:eastAsia="pl-PL"/>
        </w:rPr>
      </w:pPr>
      <w:r w:rsidRPr="00833C88">
        <w:rPr>
          <w:rFonts w:cs="Times New Roman"/>
          <w:sz w:val="24"/>
          <w:szCs w:val="24"/>
          <w:lang w:eastAsia="pl-PL"/>
        </w:rPr>
        <w:t>Zarządzającym lotniskiem jest podmiot, który został wpisany jako zarządzający do rejestru lotnisk cywilnych</w:t>
      </w:r>
      <w:r w:rsidR="00362CB0" w:rsidRPr="00833C88">
        <w:rPr>
          <w:rFonts w:cs="Times New Roman"/>
          <w:sz w:val="24"/>
          <w:szCs w:val="24"/>
          <w:lang w:eastAsia="pl-PL"/>
        </w:rPr>
        <w:t>. Rejestr ten jest prowadzony przez Prezesa Urzędu Lotnictwa Cywilnego.</w:t>
      </w:r>
    </w:p>
    <w:p w14:paraId="64A8383A" w14:textId="789EAB3E" w:rsidR="00FA3BB0" w:rsidRPr="00833C88" w:rsidRDefault="00DC760E">
      <w:pPr>
        <w:pStyle w:val="Akapitzlist"/>
        <w:numPr>
          <w:ilvl w:val="0"/>
          <w:numId w:val="28"/>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Przedsiębiorca,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177 ust. 2 ustawy </w:t>
      </w:r>
      <w:r w:rsidR="00601933" w:rsidRPr="00833C88">
        <w:rPr>
          <w:rFonts w:cs="Times New Roman"/>
          <w:sz w:val="24"/>
          <w:szCs w:val="24"/>
          <w:lang w:eastAsia="pl-PL"/>
        </w:rPr>
        <w:t>z </w:t>
      </w:r>
      <w:r w:rsidRPr="00833C88">
        <w:rPr>
          <w:rFonts w:cs="Times New Roman"/>
          <w:sz w:val="24"/>
          <w:szCs w:val="24"/>
          <w:lang w:eastAsia="pl-PL"/>
        </w:rPr>
        <w:t xml:space="preserve">dnia 3 lipca 2002 r. – Prawo lotnicze, wykonujący dla przewoźników lotniczych oraz innych użytkowników statków powietrznych jedną lub więcej kategorii usług,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176 tej ustawy, oraz przedsiębiorca,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186b ust. 1 pkt 2 ustawy </w:t>
      </w:r>
      <w:r w:rsidR="00601933" w:rsidRPr="00833C88">
        <w:rPr>
          <w:rFonts w:cs="Times New Roman"/>
          <w:sz w:val="24"/>
          <w:szCs w:val="24"/>
          <w:lang w:eastAsia="pl-PL"/>
        </w:rPr>
        <w:t>z </w:t>
      </w:r>
      <w:r w:rsidRPr="00833C88">
        <w:rPr>
          <w:rFonts w:cs="Times New Roman"/>
          <w:sz w:val="24"/>
          <w:szCs w:val="24"/>
          <w:lang w:eastAsia="pl-PL"/>
        </w:rPr>
        <w:t>dnia 3 lipca 2002</w:t>
      </w:r>
      <w:r w:rsidR="001B69F9">
        <w:rPr>
          <w:rFonts w:cs="Times New Roman"/>
          <w:sz w:val="24"/>
          <w:szCs w:val="24"/>
          <w:lang w:eastAsia="pl-PL"/>
        </w:rPr>
        <w:t> </w:t>
      </w:r>
      <w:r w:rsidRPr="00833C88">
        <w:rPr>
          <w:rFonts w:cs="Times New Roman"/>
          <w:sz w:val="24"/>
          <w:szCs w:val="24"/>
          <w:lang w:eastAsia="pl-PL"/>
        </w:rPr>
        <w:t xml:space="preserve">r. – Prawo lotnicze, wykonujący zadania związane </w:t>
      </w:r>
      <w:r w:rsidR="00601933" w:rsidRPr="00833C88">
        <w:rPr>
          <w:rFonts w:cs="Times New Roman"/>
          <w:sz w:val="24"/>
          <w:szCs w:val="24"/>
          <w:lang w:eastAsia="pl-PL"/>
        </w:rPr>
        <w:t>z </w:t>
      </w:r>
      <w:r w:rsidRPr="00833C88">
        <w:rPr>
          <w:rFonts w:cs="Times New Roman"/>
          <w:sz w:val="24"/>
          <w:szCs w:val="24"/>
          <w:lang w:eastAsia="pl-PL"/>
        </w:rPr>
        <w:t>kontrolą bezpieczeństwa</w:t>
      </w:r>
      <w:r w:rsidR="0076020B" w:rsidRPr="00833C88">
        <w:rPr>
          <w:rFonts w:cs="Times New Roman"/>
          <w:sz w:val="24"/>
          <w:szCs w:val="24"/>
          <w:lang w:eastAsia="pl-PL"/>
        </w:rPr>
        <w:t>,</w:t>
      </w:r>
    </w:p>
    <w:p w14:paraId="07195164" w14:textId="76044017" w:rsidR="00756B1B" w:rsidRPr="00833C88" w:rsidRDefault="00DC760E">
      <w:pPr>
        <w:pStyle w:val="Akapitzlist"/>
        <w:numPr>
          <w:ilvl w:val="0"/>
          <w:numId w:val="28"/>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Instytucja zapewniająca służby żeglugi powietrznej, </w:t>
      </w:r>
      <w:r w:rsidR="00601933" w:rsidRPr="00833C88">
        <w:rPr>
          <w:rFonts w:cs="Times New Roman"/>
          <w:sz w:val="24"/>
          <w:szCs w:val="24"/>
          <w:lang w:eastAsia="pl-PL"/>
        </w:rPr>
        <w:t>o </w:t>
      </w:r>
      <w:r w:rsidRPr="00833C88">
        <w:rPr>
          <w:rFonts w:cs="Times New Roman"/>
          <w:sz w:val="24"/>
          <w:szCs w:val="24"/>
          <w:lang w:eastAsia="pl-PL"/>
        </w:rPr>
        <w:t xml:space="preserve">której mowa </w:t>
      </w:r>
      <w:r w:rsidR="00601933" w:rsidRPr="00833C88">
        <w:rPr>
          <w:rFonts w:cs="Times New Roman"/>
          <w:sz w:val="24"/>
          <w:szCs w:val="24"/>
          <w:lang w:eastAsia="pl-PL"/>
        </w:rPr>
        <w:t>w </w:t>
      </w:r>
      <w:r w:rsidRPr="00833C88">
        <w:rPr>
          <w:rFonts w:cs="Times New Roman"/>
          <w:sz w:val="24"/>
          <w:szCs w:val="24"/>
          <w:lang w:eastAsia="pl-PL"/>
        </w:rPr>
        <w:t xml:space="preserve">art. 127 ust. 1 ustawy </w:t>
      </w:r>
      <w:r w:rsidR="00601933" w:rsidRPr="00833C88">
        <w:rPr>
          <w:rFonts w:cs="Times New Roman"/>
          <w:sz w:val="24"/>
          <w:szCs w:val="24"/>
          <w:lang w:eastAsia="pl-PL"/>
        </w:rPr>
        <w:t>z </w:t>
      </w:r>
      <w:r w:rsidRPr="00833C88">
        <w:rPr>
          <w:rFonts w:cs="Times New Roman"/>
          <w:sz w:val="24"/>
          <w:szCs w:val="24"/>
          <w:lang w:eastAsia="pl-PL"/>
        </w:rPr>
        <w:t>dnia 3 lipca 2002 r. – Prawo lotnicze.</w:t>
      </w:r>
    </w:p>
    <w:p w14:paraId="4B65451D" w14:textId="6AC98A49" w:rsidR="00756B1B" w:rsidRPr="00833C88" w:rsidRDefault="004327F4" w:rsidP="00A961D1">
      <w:pPr>
        <w:pStyle w:val="Akapitzlist"/>
        <w:spacing w:line="360" w:lineRule="auto"/>
        <w:ind w:left="0"/>
        <w:contextualSpacing w:val="0"/>
        <w:jc w:val="both"/>
        <w:rPr>
          <w:rFonts w:cs="Times New Roman"/>
          <w:sz w:val="24"/>
          <w:szCs w:val="24"/>
          <w:lang w:eastAsia="pl-PL"/>
        </w:rPr>
      </w:pPr>
      <w:r w:rsidRPr="00833C88">
        <w:rPr>
          <w:rFonts w:cs="Times New Roman"/>
          <w:sz w:val="24"/>
          <w:szCs w:val="24"/>
          <w:lang w:eastAsia="pl-PL"/>
        </w:rPr>
        <w:lastRenderedPageBreak/>
        <w:t>Instytucja zapewniająca służby żeglugi powietrznej jest wyz</w:t>
      </w:r>
      <w:r w:rsidR="000E0C27" w:rsidRPr="00833C88">
        <w:rPr>
          <w:rFonts w:cs="Times New Roman"/>
          <w:sz w:val="24"/>
          <w:szCs w:val="24"/>
          <w:lang w:eastAsia="pl-PL"/>
        </w:rPr>
        <w:t xml:space="preserve">naczana </w:t>
      </w:r>
      <w:r w:rsidR="00601933" w:rsidRPr="00833C88">
        <w:rPr>
          <w:rFonts w:cs="Times New Roman"/>
          <w:sz w:val="24"/>
          <w:szCs w:val="24"/>
          <w:lang w:eastAsia="pl-PL"/>
        </w:rPr>
        <w:t>w </w:t>
      </w:r>
      <w:r w:rsidR="000E0C27" w:rsidRPr="00833C88">
        <w:rPr>
          <w:rFonts w:cs="Times New Roman"/>
          <w:sz w:val="24"/>
          <w:szCs w:val="24"/>
          <w:lang w:eastAsia="pl-PL"/>
        </w:rPr>
        <w:t xml:space="preserve">drodze decyzji administracyjnej przez ministra właściwego do spraw transportu po zasięgnięciu opinii Ministra Obrony Narodowej </w:t>
      </w:r>
      <w:r w:rsidR="00601933" w:rsidRPr="00833C88">
        <w:rPr>
          <w:rFonts w:cs="Times New Roman"/>
          <w:sz w:val="24"/>
          <w:szCs w:val="24"/>
          <w:lang w:eastAsia="pl-PL"/>
        </w:rPr>
        <w:t>i </w:t>
      </w:r>
      <w:r w:rsidR="000E0C27" w:rsidRPr="00833C88">
        <w:rPr>
          <w:rFonts w:cs="Times New Roman"/>
          <w:sz w:val="24"/>
          <w:szCs w:val="24"/>
          <w:lang w:eastAsia="pl-PL"/>
        </w:rPr>
        <w:t>Prezesa Urzędu Lotnictwa Cywilnego.</w:t>
      </w:r>
    </w:p>
    <w:p w14:paraId="2FCA87FD" w14:textId="50CAF593" w:rsidR="00CA2044" w:rsidRPr="00833C88" w:rsidRDefault="005E1AE8" w:rsidP="00395A12">
      <w:pPr>
        <w:pStyle w:val="Nagwek5"/>
        <w:numPr>
          <w:ilvl w:val="0"/>
          <w:numId w:val="0"/>
        </w:numPr>
        <w:spacing w:before="0" w:after="120" w:line="360" w:lineRule="auto"/>
        <w:ind w:left="720" w:hanging="360"/>
        <w:jc w:val="both"/>
        <w:rPr>
          <w:rFonts w:cs="Times New Roman"/>
          <w:sz w:val="24"/>
          <w:szCs w:val="24"/>
          <w:lang w:eastAsia="pl-PL"/>
        </w:rPr>
      </w:pPr>
      <w:r w:rsidRPr="00833C88">
        <w:rPr>
          <w:rFonts w:cs="Times New Roman"/>
          <w:sz w:val="24"/>
          <w:szCs w:val="24"/>
          <w:lang w:eastAsia="pl-PL"/>
        </w:rPr>
        <w:t xml:space="preserve">2.2 </w:t>
      </w:r>
      <w:r w:rsidR="00947D3D" w:rsidRPr="00833C88">
        <w:rPr>
          <w:rFonts w:cs="Times New Roman"/>
          <w:sz w:val="24"/>
          <w:szCs w:val="24"/>
          <w:lang w:eastAsia="pl-PL"/>
        </w:rPr>
        <w:t>Podsektor t</w:t>
      </w:r>
      <w:r w:rsidR="00CA2044" w:rsidRPr="00833C88">
        <w:rPr>
          <w:rFonts w:cs="Times New Roman"/>
          <w:sz w:val="24"/>
          <w:szCs w:val="24"/>
          <w:lang w:eastAsia="pl-PL"/>
        </w:rPr>
        <w:t>ransport kolejowy</w:t>
      </w:r>
    </w:p>
    <w:p w14:paraId="0CE09424" w14:textId="153BE757" w:rsidR="00591996" w:rsidRPr="00833C88" w:rsidRDefault="00601933" w:rsidP="00395A12">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podsektora transportu kolejowego znajdą się następujące podmioty:</w:t>
      </w:r>
    </w:p>
    <w:p w14:paraId="2156CB20" w14:textId="1DE5A172" w:rsidR="0023781A" w:rsidRPr="00833C88" w:rsidRDefault="0023781A">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Zarządca infrastruktury kolejowej </w:t>
      </w:r>
      <w:r w:rsidR="00601933" w:rsidRPr="00833C88">
        <w:rPr>
          <w:rFonts w:cs="Times New Roman"/>
          <w:sz w:val="24"/>
          <w:szCs w:val="24"/>
          <w:lang w:eastAsia="pl-PL"/>
        </w:rPr>
        <w:t>w </w:t>
      </w:r>
      <w:r w:rsidRPr="00833C88">
        <w:rPr>
          <w:rFonts w:cs="Times New Roman"/>
          <w:sz w:val="24"/>
          <w:szCs w:val="24"/>
          <w:lang w:eastAsia="pl-PL"/>
        </w:rPr>
        <w:t xml:space="preserve">rozumieniu art. 4 pkt 7 ustawy </w:t>
      </w:r>
      <w:r w:rsidR="00601933" w:rsidRPr="00833C88">
        <w:rPr>
          <w:rFonts w:cs="Times New Roman"/>
          <w:sz w:val="24"/>
          <w:szCs w:val="24"/>
          <w:lang w:eastAsia="pl-PL"/>
        </w:rPr>
        <w:t>z </w:t>
      </w:r>
      <w:r w:rsidRPr="00833C88">
        <w:rPr>
          <w:rFonts w:cs="Times New Roman"/>
          <w:sz w:val="24"/>
          <w:szCs w:val="24"/>
          <w:lang w:eastAsia="pl-PL"/>
        </w:rPr>
        <w:t xml:space="preserve">dnia 28 marca 2003 r. </w:t>
      </w:r>
      <w:r w:rsidR="00601933" w:rsidRPr="00833C88">
        <w:rPr>
          <w:rFonts w:cs="Times New Roman"/>
          <w:sz w:val="24"/>
          <w:szCs w:val="24"/>
          <w:lang w:eastAsia="pl-PL"/>
        </w:rPr>
        <w:t>o </w:t>
      </w:r>
      <w:r w:rsidRPr="00833C88">
        <w:rPr>
          <w:rFonts w:cs="Times New Roman"/>
          <w:sz w:val="24"/>
          <w:szCs w:val="24"/>
          <w:lang w:eastAsia="pl-PL"/>
        </w:rPr>
        <w:t xml:space="preserve">transporcie kolejowym (Dz. U. </w:t>
      </w:r>
      <w:r w:rsidR="00601933" w:rsidRPr="00833C88">
        <w:rPr>
          <w:rFonts w:cs="Times New Roman"/>
          <w:sz w:val="24"/>
          <w:szCs w:val="24"/>
          <w:lang w:eastAsia="pl-PL"/>
        </w:rPr>
        <w:t>z </w:t>
      </w:r>
      <w:r w:rsidRPr="00833C88">
        <w:rPr>
          <w:rFonts w:cs="Times New Roman"/>
          <w:sz w:val="24"/>
          <w:szCs w:val="24"/>
          <w:lang w:eastAsia="pl-PL"/>
        </w:rPr>
        <w:t>202</w:t>
      </w:r>
      <w:r w:rsidR="00F95A40" w:rsidRPr="00833C88">
        <w:rPr>
          <w:rFonts w:cs="Times New Roman"/>
          <w:sz w:val="24"/>
          <w:szCs w:val="24"/>
          <w:lang w:eastAsia="pl-PL"/>
        </w:rPr>
        <w:t>5</w:t>
      </w:r>
      <w:r w:rsidRPr="00833C88">
        <w:rPr>
          <w:rFonts w:cs="Times New Roman"/>
          <w:sz w:val="24"/>
          <w:szCs w:val="24"/>
          <w:lang w:eastAsia="pl-PL"/>
        </w:rPr>
        <w:t xml:space="preserve"> r. poz. </w:t>
      </w:r>
      <w:r w:rsidR="00F95A40" w:rsidRPr="00833C88">
        <w:rPr>
          <w:rFonts w:cs="Times New Roman"/>
          <w:sz w:val="24"/>
          <w:szCs w:val="24"/>
          <w:lang w:eastAsia="pl-PL"/>
        </w:rPr>
        <w:t>1234</w:t>
      </w:r>
      <w:r w:rsidRPr="00833C88">
        <w:rPr>
          <w:rFonts w:cs="Times New Roman"/>
          <w:sz w:val="24"/>
          <w:szCs w:val="24"/>
          <w:lang w:eastAsia="pl-PL"/>
        </w:rPr>
        <w:t xml:space="preserve">), </w:t>
      </w:r>
      <w:r w:rsidR="00601933" w:rsidRPr="00833C88">
        <w:rPr>
          <w:rFonts w:cs="Times New Roman"/>
          <w:sz w:val="24"/>
          <w:szCs w:val="24"/>
          <w:lang w:eastAsia="pl-PL"/>
        </w:rPr>
        <w:t>z </w:t>
      </w:r>
      <w:r w:rsidRPr="00833C88">
        <w:rPr>
          <w:rFonts w:cs="Times New Roman"/>
          <w:sz w:val="24"/>
          <w:szCs w:val="24"/>
          <w:lang w:eastAsia="pl-PL"/>
        </w:rPr>
        <w:t xml:space="preserve">wyłączeniem zarządców wyłącznie infrastruktury nieczynnej, </w:t>
      </w:r>
      <w:r w:rsidR="00601933" w:rsidRPr="00833C88">
        <w:rPr>
          <w:rFonts w:cs="Times New Roman"/>
          <w:sz w:val="24"/>
          <w:szCs w:val="24"/>
          <w:lang w:eastAsia="pl-PL"/>
        </w:rPr>
        <w:t>o </w:t>
      </w:r>
      <w:r w:rsidRPr="00833C88">
        <w:rPr>
          <w:rFonts w:cs="Times New Roman"/>
          <w:sz w:val="24"/>
          <w:szCs w:val="24"/>
          <w:lang w:eastAsia="pl-PL"/>
        </w:rPr>
        <w:t xml:space="preserve">której mowa </w:t>
      </w:r>
      <w:r w:rsidR="00601933" w:rsidRPr="00833C88">
        <w:rPr>
          <w:rFonts w:cs="Times New Roman"/>
          <w:sz w:val="24"/>
          <w:szCs w:val="24"/>
          <w:lang w:eastAsia="pl-PL"/>
        </w:rPr>
        <w:t>w </w:t>
      </w:r>
      <w:r w:rsidRPr="00833C88">
        <w:rPr>
          <w:rFonts w:cs="Times New Roman"/>
          <w:sz w:val="24"/>
          <w:szCs w:val="24"/>
          <w:lang w:eastAsia="pl-PL"/>
        </w:rPr>
        <w:t xml:space="preserve">art. 4 pkt 1b tej ustawy, infrastruktury prywatnej, </w:t>
      </w:r>
      <w:r w:rsidR="00601933" w:rsidRPr="00833C88">
        <w:rPr>
          <w:rFonts w:cs="Times New Roman"/>
          <w:sz w:val="24"/>
          <w:szCs w:val="24"/>
          <w:lang w:eastAsia="pl-PL"/>
        </w:rPr>
        <w:t>o </w:t>
      </w:r>
      <w:r w:rsidRPr="00833C88">
        <w:rPr>
          <w:rFonts w:cs="Times New Roman"/>
          <w:sz w:val="24"/>
          <w:szCs w:val="24"/>
          <w:lang w:eastAsia="pl-PL"/>
        </w:rPr>
        <w:t xml:space="preserve">której mowa </w:t>
      </w:r>
      <w:r w:rsidR="00601933" w:rsidRPr="00833C88">
        <w:rPr>
          <w:rFonts w:cs="Times New Roman"/>
          <w:sz w:val="24"/>
          <w:szCs w:val="24"/>
          <w:lang w:eastAsia="pl-PL"/>
        </w:rPr>
        <w:t>w </w:t>
      </w:r>
      <w:r w:rsidRPr="00833C88">
        <w:rPr>
          <w:rFonts w:cs="Times New Roman"/>
          <w:sz w:val="24"/>
          <w:szCs w:val="24"/>
          <w:lang w:eastAsia="pl-PL"/>
        </w:rPr>
        <w:t xml:space="preserve">art. 4 pkt 1c, oraz infrastruktury kolei wąskotorowej, </w:t>
      </w:r>
      <w:r w:rsidR="00601933" w:rsidRPr="00833C88">
        <w:rPr>
          <w:rFonts w:cs="Times New Roman"/>
          <w:sz w:val="24"/>
          <w:szCs w:val="24"/>
          <w:lang w:eastAsia="pl-PL"/>
        </w:rPr>
        <w:t>o </w:t>
      </w:r>
      <w:r w:rsidRPr="00833C88">
        <w:rPr>
          <w:rFonts w:cs="Times New Roman"/>
          <w:sz w:val="24"/>
          <w:szCs w:val="24"/>
          <w:lang w:eastAsia="pl-PL"/>
        </w:rPr>
        <w:t xml:space="preserve">której mowa </w:t>
      </w:r>
      <w:r w:rsidR="00601933" w:rsidRPr="00833C88">
        <w:rPr>
          <w:rFonts w:cs="Times New Roman"/>
          <w:sz w:val="24"/>
          <w:szCs w:val="24"/>
          <w:lang w:eastAsia="pl-PL"/>
        </w:rPr>
        <w:t>w </w:t>
      </w:r>
      <w:r w:rsidRPr="00833C88">
        <w:rPr>
          <w:rFonts w:cs="Times New Roman"/>
          <w:sz w:val="24"/>
          <w:szCs w:val="24"/>
          <w:lang w:eastAsia="pl-PL"/>
        </w:rPr>
        <w:t>art. 4 pkt 1d tej ustawy.</w:t>
      </w:r>
    </w:p>
    <w:p w14:paraId="3740C566" w14:textId="0D804865" w:rsidR="001A2DE9" w:rsidRPr="00833C88" w:rsidRDefault="00376B1F" w:rsidP="00395A12">
      <w:pPr>
        <w:spacing w:line="360" w:lineRule="auto"/>
        <w:jc w:val="both"/>
        <w:rPr>
          <w:rFonts w:cs="Times New Roman"/>
          <w:sz w:val="24"/>
          <w:szCs w:val="24"/>
          <w:lang w:eastAsia="pl-PL"/>
        </w:rPr>
      </w:pPr>
      <w:r w:rsidRPr="00833C88">
        <w:rPr>
          <w:rFonts w:cs="Times New Roman"/>
          <w:sz w:val="24"/>
          <w:szCs w:val="24"/>
          <w:lang w:eastAsia="pl-PL"/>
        </w:rPr>
        <w:t xml:space="preserve">Zarządcą infrastruktury kolejowej jest podmiot odpowiedzialny za zarządzanie infrastrukturą kolejową, jej eksploatację, utrzymanie, odnowienie lub udział </w:t>
      </w:r>
      <w:r w:rsidR="00601933" w:rsidRPr="00833C88">
        <w:rPr>
          <w:rFonts w:cs="Times New Roman"/>
          <w:sz w:val="24"/>
          <w:szCs w:val="24"/>
          <w:lang w:eastAsia="pl-PL"/>
        </w:rPr>
        <w:t>w </w:t>
      </w:r>
      <w:r w:rsidRPr="00833C88">
        <w:rPr>
          <w:rFonts w:cs="Times New Roman"/>
          <w:sz w:val="24"/>
          <w:szCs w:val="24"/>
          <w:lang w:eastAsia="pl-PL"/>
        </w:rPr>
        <w:t xml:space="preserve">rozwoju tej infrastruktury, </w:t>
      </w:r>
      <w:r w:rsidR="00601933" w:rsidRPr="00833C88">
        <w:rPr>
          <w:rFonts w:cs="Times New Roman"/>
          <w:sz w:val="24"/>
          <w:szCs w:val="24"/>
          <w:lang w:eastAsia="pl-PL"/>
        </w:rPr>
        <w:t>a w </w:t>
      </w:r>
      <w:r w:rsidRPr="00833C88">
        <w:rPr>
          <w:rFonts w:cs="Times New Roman"/>
          <w:sz w:val="24"/>
          <w:szCs w:val="24"/>
          <w:lang w:eastAsia="pl-PL"/>
        </w:rPr>
        <w:t xml:space="preserve">przypadku budowy nowej infrastruktury, podmiot, który przystąpił do jej budowy </w:t>
      </w:r>
      <w:r w:rsidR="00601933" w:rsidRPr="00833C88">
        <w:rPr>
          <w:rFonts w:cs="Times New Roman"/>
          <w:sz w:val="24"/>
          <w:szCs w:val="24"/>
          <w:lang w:eastAsia="pl-PL"/>
        </w:rPr>
        <w:t>w </w:t>
      </w:r>
      <w:r w:rsidRPr="00833C88">
        <w:rPr>
          <w:rFonts w:cs="Times New Roman"/>
          <w:sz w:val="24"/>
          <w:szCs w:val="24"/>
          <w:lang w:eastAsia="pl-PL"/>
        </w:rPr>
        <w:t>charakterze inwestora</w:t>
      </w:r>
      <w:r w:rsidR="005E1AE8" w:rsidRPr="00833C88">
        <w:rPr>
          <w:rFonts w:cs="Times New Roman"/>
          <w:sz w:val="24"/>
          <w:szCs w:val="24"/>
          <w:lang w:eastAsia="pl-PL"/>
        </w:rPr>
        <w:t>.</w:t>
      </w:r>
    </w:p>
    <w:p w14:paraId="41C0CB0B" w14:textId="0D65FA59" w:rsidR="0023781A" w:rsidRPr="00833C88" w:rsidRDefault="0023781A">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Przewoźnik kolejowy,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 pkt 9 ustawy </w:t>
      </w:r>
      <w:r w:rsidR="00601933" w:rsidRPr="00833C88">
        <w:rPr>
          <w:rFonts w:cs="Times New Roman"/>
          <w:sz w:val="24"/>
          <w:szCs w:val="24"/>
          <w:lang w:eastAsia="pl-PL"/>
        </w:rPr>
        <w:t>z </w:t>
      </w:r>
      <w:r w:rsidRPr="00833C88">
        <w:rPr>
          <w:rFonts w:cs="Times New Roman"/>
          <w:sz w:val="24"/>
          <w:szCs w:val="24"/>
          <w:lang w:eastAsia="pl-PL"/>
        </w:rPr>
        <w:t xml:space="preserve">dnia 28 marca 2003 r. </w:t>
      </w:r>
      <w:r w:rsidR="00601933" w:rsidRPr="00833C88">
        <w:rPr>
          <w:rFonts w:cs="Times New Roman"/>
          <w:sz w:val="24"/>
          <w:szCs w:val="24"/>
          <w:lang w:eastAsia="pl-PL"/>
        </w:rPr>
        <w:t>o </w:t>
      </w:r>
      <w:r w:rsidRPr="00833C88">
        <w:rPr>
          <w:rFonts w:cs="Times New Roman"/>
          <w:sz w:val="24"/>
          <w:szCs w:val="24"/>
          <w:lang w:eastAsia="pl-PL"/>
        </w:rPr>
        <w:t xml:space="preserve">transporcie kolejowym, którego działalność podlega licencjonowaniu, oraz operator obiektu infrastruktury usługowej,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 pkt 52 ustawy </w:t>
      </w:r>
      <w:r w:rsidR="00601933" w:rsidRPr="00833C88">
        <w:rPr>
          <w:rFonts w:cs="Times New Roman"/>
          <w:sz w:val="24"/>
          <w:szCs w:val="24"/>
          <w:lang w:eastAsia="pl-PL"/>
        </w:rPr>
        <w:t>z </w:t>
      </w:r>
      <w:r w:rsidRPr="00833C88">
        <w:rPr>
          <w:rFonts w:cs="Times New Roman"/>
          <w:sz w:val="24"/>
          <w:szCs w:val="24"/>
          <w:lang w:eastAsia="pl-PL"/>
        </w:rPr>
        <w:t xml:space="preserve">dnia 28 marca 2003 r. </w:t>
      </w:r>
      <w:r w:rsidR="00601933" w:rsidRPr="00833C88">
        <w:rPr>
          <w:rFonts w:cs="Times New Roman"/>
          <w:sz w:val="24"/>
          <w:szCs w:val="24"/>
          <w:lang w:eastAsia="pl-PL"/>
        </w:rPr>
        <w:t>o </w:t>
      </w:r>
      <w:r w:rsidRPr="00833C88">
        <w:rPr>
          <w:rFonts w:cs="Times New Roman"/>
          <w:sz w:val="24"/>
          <w:szCs w:val="24"/>
          <w:lang w:eastAsia="pl-PL"/>
        </w:rPr>
        <w:t>transporcie kolejowym, jeżeli przedsiębiorca wykonujący funkcję operatora jest jednocześnie przewoźnikiem kolejowym.</w:t>
      </w:r>
    </w:p>
    <w:p w14:paraId="006C5442" w14:textId="2E12B33F" w:rsidR="003123D5" w:rsidRPr="00833C88" w:rsidRDefault="003123D5" w:rsidP="00395A12">
      <w:pPr>
        <w:spacing w:line="360" w:lineRule="auto"/>
        <w:jc w:val="both"/>
        <w:rPr>
          <w:rFonts w:cs="Times New Roman"/>
          <w:sz w:val="24"/>
          <w:szCs w:val="24"/>
          <w:lang w:eastAsia="pl-PL"/>
        </w:rPr>
      </w:pPr>
      <w:r w:rsidRPr="00833C88">
        <w:rPr>
          <w:rFonts w:cs="Times New Roman"/>
          <w:sz w:val="24"/>
          <w:szCs w:val="24"/>
          <w:lang w:eastAsia="pl-PL"/>
        </w:rPr>
        <w:t xml:space="preserve">Przewoźnikiem kolejowym jest przedsiębiorca uprawniony do wykonywania przewozów kolejowych, </w:t>
      </w:r>
      <w:r w:rsidR="00601933" w:rsidRPr="00833C88">
        <w:rPr>
          <w:rFonts w:cs="Times New Roman"/>
          <w:sz w:val="24"/>
          <w:szCs w:val="24"/>
          <w:lang w:eastAsia="pl-PL"/>
        </w:rPr>
        <w:t>w </w:t>
      </w:r>
      <w:r w:rsidRPr="00833C88">
        <w:rPr>
          <w:rFonts w:cs="Times New Roman"/>
          <w:sz w:val="24"/>
          <w:szCs w:val="24"/>
          <w:lang w:eastAsia="pl-PL"/>
        </w:rPr>
        <w:t xml:space="preserve">tym przedsiębiorca świadczący wyłącznie usługę trakcyjną, na podstawie licencji </w:t>
      </w:r>
      <w:r w:rsidR="00601933" w:rsidRPr="00833C88">
        <w:rPr>
          <w:rFonts w:cs="Times New Roman"/>
          <w:sz w:val="24"/>
          <w:szCs w:val="24"/>
          <w:lang w:eastAsia="pl-PL"/>
        </w:rPr>
        <w:t>i </w:t>
      </w:r>
      <w:r w:rsidRPr="00833C88">
        <w:rPr>
          <w:rFonts w:cs="Times New Roman"/>
          <w:sz w:val="24"/>
          <w:szCs w:val="24"/>
          <w:lang w:eastAsia="pl-PL"/>
        </w:rPr>
        <w:t>jednolitego certyfikatu bezpieczeństwa, lub przedsiębiorca uprawniony do wykonywania przewozów kolejowych na podstawie świadectwa bezpieczeństwa;</w:t>
      </w:r>
    </w:p>
    <w:p w14:paraId="35CBBED4" w14:textId="0D6F44B2" w:rsidR="006C2E9C" w:rsidRPr="00833C88" w:rsidRDefault="006C2E9C" w:rsidP="00395A12">
      <w:pPr>
        <w:spacing w:line="360" w:lineRule="auto"/>
        <w:jc w:val="both"/>
        <w:rPr>
          <w:rFonts w:cs="Times New Roman"/>
          <w:sz w:val="24"/>
          <w:szCs w:val="24"/>
          <w:lang w:eastAsia="pl-PL"/>
        </w:rPr>
      </w:pPr>
      <w:r w:rsidRPr="00833C88">
        <w:rPr>
          <w:rFonts w:cs="Times New Roman"/>
          <w:sz w:val="24"/>
          <w:szCs w:val="24"/>
          <w:lang w:eastAsia="pl-PL"/>
        </w:rPr>
        <w:t xml:space="preserve">Operator obiektu infrastruktury usługowej </w:t>
      </w:r>
      <w:r w:rsidR="00C02E74" w:rsidRPr="00833C88">
        <w:rPr>
          <w:rFonts w:cs="Times New Roman"/>
          <w:sz w:val="24"/>
          <w:szCs w:val="24"/>
          <w:lang w:eastAsia="pl-PL"/>
        </w:rPr>
        <w:t xml:space="preserve">to </w:t>
      </w:r>
      <w:r w:rsidRPr="00833C88">
        <w:rPr>
          <w:rFonts w:cs="Times New Roman"/>
          <w:sz w:val="24"/>
          <w:szCs w:val="24"/>
          <w:lang w:eastAsia="pl-PL"/>
        </w:rPr>
        <w:t xml:space="preserve">podmiot wykonujący działalność polegającą na zarządzaniu obiektem infrastruktury usługowej lub świadczeniu na rzecz przewoźników kolejowych co najmniej jednej </w:t>
      </w:r>
      <w:r w:rsidR="00601933" w:rsidRPr="00833C88">
        <w:rPr>
          <w:rFonts w:cs="Times New Roman"/>
          <w:sz w:val="24"/>
          <w:szCs w:val="24"/>
          <w:lang w:eastAsia="pl-PL"/>
        </w:rPr>
        <w:t>z </w:t>
      </w:r>
      <w:r w:rsidRPr="00833C88">
        <w:rPr>
          <w:rFonts w:cs="Times New Roman"/>
          <w:sz w:val="24"/>
          <w:szCs w:val="24"/>
          <w:lang w:eastAsia="pl-PL"/>
        </w:rPr>
        <w:t xml:space="preserve">usług,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ust. 2 </w:t>
      </w:r>
      <w:r w:rsidR="00601933" w:rsidRPr="00833C88">
        <w:rPr>
          <w:rFonts w:cs="Times New Roman"/>
          <w:sz w:val="24"/>
          <w:szCs w:val="24"/>
          <w:lang w:eastAsia="pl-PL"/>
        </w:rPr>
        <w:t>i </w:t>
      </w:r>
      <w:r w:rsidRPr="00833C88">
        <w:rPr>
          <w:rFonts w:cs="Times New Roman"/>
          <w:sz w:val="24"/>
          <w:szCs w:val="24"/>
          <w:lang w:eastAsia="pl-PL"/>
        </w:rPr>
        <w:t>3 załącznika nr 2 do ustawy</w:t>
      </w:r>
      <w:r w:rsidR="00B67ECA" w:rsidRPr="00833C88">
        <w:rPr>
          <w:rFonts w:cs="Times New Roman"/>
          <w:sz w:val="24"/>
          <w:szCs w:val="24"/>
          <w:lang w:eastAsia="pl-PL"/>
        </w:rPr>
        <w:t>.</w:t>
      </w:r>
    </w:p>
    <w:p w14:paraId="4F3ECEA7" w14:textId="3737E89A" w:rsidR="00B67ECA" w:rsidRPr="00833C88" w:rsidRDefault="00B67ECA" w:rsidP="00395A12">
      <w:pPr>
        <w:spacing w:line="360" w:lineRule="auto"/>
        <w:jc w:val="both"/>
        <w:rPr>
          <w:rFonts w:cs="Times New Roman"/>
          <w:sz w:val="24"/>
          <w:szCs w:val="24"/>
          <w:lang w:eastAsia="pl-PL"/>
        </w:rPr>
      </w:pPr>
      <w:r w:rsidRPr="00833C88">
        <w:rPr>
          <w:rFonts w:cs="Times New Roman"/>
          <w:sz w:val="24"/>
          <w:szCs w:val="24"/>
          <w:lang w:eastAsia="pl-PL"/>
        </w:rPr>
        <w:t>Cyberbezpieczeństwo na kolei obejmuje w szczególności bezpieczeństwo systemów sterowania ruchem kolejowym</w:t>
      </w:r>
      <w:r w:rsidR="00F93293" w:rsidRPr="00833C88">
        <w:rPr>
          <w:rFonts w:cs="Times New Roman"/>
          <w:sz w:val="24"/>
          <w:szCs w:val="24"/>
          <w:lang w:eastAsia="pl-PL"/>
        </w:rPr>
        <w:t>, systemów odpowiedzialnych za informację o rozkładach jazdy</w:t>
      </w:r>
      <w:r w:rsidR="00347B72" w:rsidRPr="00833C88">
        <w:rPr>
          <w:rFonts w:cs="Times New Roman"/>
          <w:sz w:val="24"/>
          <w:szCs w:val="24"/>
          <w:lang w:eastAsia="pl-PL"/>
        </w:rPr>
        <w:t>, systemów biletowych</w:t>
      </w:r>
      <w:r w:rsidR="00F93293" w:rsidRPr="00833C88">
        <w:rPr>
          <w:rFonts w:cs="Times New Roman"/>
          <w:sz w:val="24"/>
          <w:szCs w:val="24"/>
          <w:lang w:eastAsia="pl-PL"/>
        </w:rPr>
        <w:t xml:space="preserve"> czy systemów </w:t>
      </w:r>
      <w:r w:rsidR="00347B72" w:rsidRPr="00833C88">
        <w:rPr>
          <w:rFonts w:cs="Times New Roman"/>
          <w:sz w:val="24"/>
          <w:szCs w:val="24"/>
          <w:lang w:eastAsia="pl-PL"/>
        </w:rPr>
        <w:t xml:space="preserve">sterujących taborem kolejowym. </w:t>
      </w:r>
      <w:r w:rsidR="002343D3" w:rsidRPr="00833C88">
        <w:rPr>
          <w:rFonts w:cs="Times New Roman"/>
          <w:sz w:val="24"/>
          <w:szCs w:val="24"/>
          <w:lang w:eastAsia="pl-PL"/>
        </w:rPr>
        <w:t xml:space="preserve">Często systemy używane na kolei mają długi </w:t>
      </w:r>
      <w:r w:rsidR="00341405" w:rsidRPr="00833C88">
        <w:rPr>
          <w:rFonts w:cs="Times New Roman"/>
          <w:sz w:val="24"/>
          <w:szCs w:val="24"/>
          <w:lang w:eastAsia="pl-PL"/>
        </w:rPr>
        <w:t>cykl życia, co utrudnia zapewnienie ich bezpieczeństwa.</w:t>
      </w:r>
    </w:p>
    <w:p w14:paraId="1411FC1A" w14:textId="3420A1AE" w:rsidR="00591996" w:rsidRPr="00833C88" w:rsidRDefault="005E1AE8" w:rsidP="00395A12">
      <w:pPr>
        <w:pStyle w:val="Nagwek5"/>
        <w:numPr>
          <w:ilvl w:val="0"/>
          <w:numId w:val="0"/>
        </w:numPr>
        <w:spacing w:before="0" w:after="120" w:line="360" w:lineRule="auto"/>
        <w:ind w:left="720"/>
        <w:jc w:val="both"/>
        <w:rPr>
          <w:rFonts w:cs="Times New Roman"/>
          <w:sz w:val="24"/>
          <w:szCs w:val="24"/>
          <w:lang w:eastAsia="pl-PL"/>
        </w:rPr>
      </w:pPr>
      <w:r w:rsidRPr="00833C88">
        <w:rPr>
          <w:rFonts w:cs="Times New Roman"/>
          <w:sz w:val="24"/>
          <w:szCs w:val="24"/>
          <w:lang w:eastAsia="pl-PL"/>
        </w:rPr>
        <w:lastRenderedPageBreak/>
        <w:t xml:space="preserve">2.3 </w:t>
      </w:r>
      <w:r w:rsidR="00947D3D" w:rsidRPr="00833C88">
        <w:rPr>
          <w:rFonts w:cs="Times New Roman"/>
          <w:sz w:val="24"/>
          <w:szCs w:val="24"/>
          <w:lang w:eastAsia="pl-PL"/>
        </w:rPr>
        <w:t>Podsektor t</w:t>
      </w:r>
      <w:r w:rsidR="00CA2044" w:rsidRPr="00833C88">
        <w:rPr>
          <w:rFonts w:cs="Times New Roman"/>
          <w:sz w:val="24"/>
          <w:szCs w:val="24"/>
          <w:lang w:eastAsia="pl-PL"/>
        </w:rPr>
        <w:t>ransport wodny</w:t>
      </w:r>
    </w:p>
    <w:p w14:paraId="7EE841F8" w14:textId="633E01FF" w:rsidR="00DE5213" w:rsidRPr="00833C88" w:rsidRDefault="00123B34" w:rsidP="00395A12">
      <w:pPr>
        <w:spacing w:line="360" w:lineRule="auto"/>
        <w:jc w:val="both"/>
        <w:rPr>
          <w:rFonts w:cs="Times New Roman"/>
          <w:sz w:val="24"/>
          <w:szCs w:val="24"/>
          <w:lang w:eastAsia="pl-PL"/>
        </w:rPr>
      </w:pPr>
      <w:r w:rsidRPr="00833C88">
        <w:rPr>
          <w:rFonts w:cs="Times New Roman"/>
          <w:sz w:val="24"/>
          <w:szCs w:val="24"/>
          <w:lang w:eastAsia="pl-PL"/>
        </w:rPr>
        <w:t xml:space="preserve">Incydenty </w:t>
      </w:r>
      <w:r w:rsidR="00A26D7D" w:rsidRPr="00833C88">
        <w:rPr>
          <w:rFonts w:cs="Times New Roman"/>
          <w:sz w:val="24"/>
          <w:szCs w:val="24"/>
          <w:lang w:eastAsia="pl-PL"/>
        </w:rPr>
        <w:t xml:space="preserve">związane </w:t>
      </w:r>
      <w:r w:rsidR="00601933" w:rsidRPr="00833C88">
        <w:rPr>
          <w:rFonts w:cs="Times New Roman"/>
          <w:sz w:val="24"/>
          <w:szCs w:val="24"/>
          <w:lang w:eastAsia="pl-PL"/>
        </w:rPr>
        <w:t>z </w:t>
      </w:r>
      <w:r w:rsidR="00A26D7D" w:rsidRPr="00833C88">
        <w:rPr>
          <w:rFonts w:cs="Times New Roman"/>
          <w:sz w:val="24"/>
          <w:szCs w:val="24"/>
          <w:lang w:eastAsia="pl-PL"/>
        </w:rPr>
        <w:t>transportem wodnym mogą polegać na atakach na systemy przeładunkowe portów</w:t>
      </w:r>
      <w:r w:rsidR="00942D86" w:rsidRPr="00833C88">
        <w:rPr>
          <w:rFonts w:cs="Times New Roman"/>
          <w:sz w:val="24"/>
          <w:szCs w:val="24"/>
          <w:lang w:eastAsia="pl-PL"/>
        </w:rPr>
        <w:t>, wyłączanie kart sieciowyc</w:t>
      </w:r>
      <w:r w:rsidR="00921388" w:rsidRPr="00833C88">
        <w:rPr>
          <w:rFonts w:cs="Times New Roman"/>
          <w:sz w:val="24"/>
          <w:szCs w:val="24"/>
          <w:lang w:eastAsia="pl-PL"/>
        </w:rPr>
        <w:t>h, blokada serwerów portów</w:t>
      </w:r>
      <w:r w:rsidR="00491CDD" w:rsidRPr="00833C88">
        <w:rPr>
          <w:rFonts w:cs="Times New Roman"/>
          <w:sz w:val="24"/>
          <w:szCs w:val="24"/>
          <w:lang w:eastAsia="pl-PL"/>
        </w:rPr>
        <w:t>. Skutkować to może przerwą działalności portów</w:t>
      </w:r>
      <w:r w:rsidR="00916A7C" w:rsidRPr="00833C88">
        <w:rPr>
          <w:rFonts w:cs="Times New Roman"/>
          <w:sz w:val="24"/>
          <w:szCs w:val="24"/>
          <w:lang w:eastAsia="pl-PL"/>
        </w:rPr>
        <w:t xml:space="preserve"> </w:t>
      </w:r>
      <w:r w:rsidR="00601933" w:rsidRPr="00833C88">
        <w:rPr>
          <w:rFonts w:cs="Times New Roman"/>
          <w:sz w:val="24"/>
          <w:szCs w:val="24"/>
          <w:lang w:eastAsia="pl-PL"/>
        </w:rPr>
        <w:t>i </w:t>
      </w:r>
      <w:r w:rsidR="00916A7C" w:rsidRPr="00833C88">
        <w:rPr>
          <w:rFonts w:cs="Times New Roman"/>
          <w:sz w:val="24"/>
          <w:szCs w:val="24"/>
          <w:lang w:eastAsia="pl-PL"/>
        </w:rPr>
        <w:t>zaburzeniem łańcuchów dostaw</w:t>
      </w:r>
      <w:r w:rsidR="00043B13" w:rsidRPr="00833C88">
        <w:rPr>
          <w:rStyle w:val="Odwoanieprzypisudolnego"/>
          <w:rFonts w:cs="Times New Roman"/>
          <w:sz w:val="24"/>
          <w:szCs w:val="24"/>
          <w:lang w:eastAsia="pl-PL"/>
        </w:rPr>
        <w:footnoteReference w:id="101"/>
      </w:r>
      <w:r w:rsidR="005E1AE8" w:rsidRPr="00833C88">
        <w:rPr>
          <w:rFonts w:cs="Times New Roman"/>
          <w:sz w:val="24"/>
          <w:szCs w:val="24"/>
          <w:vertAlign w:val="superscript"/>
          <w:lang w:eastAsia="pl-PL"/>
        </w:rPr>
        <w:t>)</w:t>
      </w:r>
      <w:r w:rsidR="00916A7C" w:rsidRPr="00833C88">
        <w:rPr>
          <w:rFonts w:cs="Times New Roman"/>
          <w:sz w:val="24"/>
          <w:szCs w:val="24"/>
          <w:lang w:eastAsia="pl-PL"/>
        </w:rPr>
        <w:t>. Celem ataków mogą być nie tylko porty</w:t>
      </w:r>
      <w:r w:rsidR="0021694B" w:rsidRPr="00833C88">
        <w:rPr>
          <w:rFonts w:cs="Times New Roman"/>
          <w:sz w:val="24"/>
          <w:szCs w:val="24"/>
          <w:lang w:eastAsia="pl-PL"/>
        </w:rPr>
        <w:t xml:space="preserve">, obiekty </w:t>
      </w:r>
      <w:proofErr w:type="gramStart"/>
      <w:r w:rsidR="0021694B" w:rsidRPr="00833C88">
        <w:rPr>
          <w:rFonts w:cs="Times New Roman"/>
          <w:sz w:val="24"/>
          <w:szCs w:val="24"/>
          <w:lang w:eastAsia="pl-PL"/>
        </w:rPr>
        <w:t>morskie</w:t>
      </w:r>
      <w:proofErr w:type="gramEnd"/>
      <w:r w:rsidR="0021694B" w:rsidRPr="00833C88">
        <w:rPr>
          <w:rFonts w:cs="Times New Roman"/>
          <w:sz w:val="24"/>
          <w:szCs w:val="24"/>
          <w:lang w:eastAsia="pl-PL"/>
        </w:rPr>
        <w:t xml:space="preserve"> ale także </w:t>
      </w:r>
      <w:r w:rsidR="00043B13" w:rsidRPr="00833C88">
        <w:rPr>
          <w:rFonts w:cs="Times New Roman"/>
          <w:sz w:val="24"/>
          <w:szCs w:val="24"/>
          <w:lang w:eastAsia="pl-PL"/>
        </w:rPr>
        <w:t>armatorzy jak również systemy VTS.</w:t>
      </w:r>
    </w:p>
    <w:p w14:paraId="081D8DED" w14:textId="5CDF7A5D" w:rsidR="00591996" w:rsidRPr="00833C88" w:rsidRDefault="00601933" w:rsidP="00395A12">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podsektora transportu wodnego znajdą się następujące podmioty:</w:t>
      </w:r>
    </w:p>
    <w:p w14:paraId="4EC3D914" w14:textId="3C3421C0" w:rsidR="00BC1C84" w:rsidRPr="00833C88" w:rsidRDefault="00BC1C84">
      <w:pPr>
        <w:pStyle w:val="Akapitzlist"/>
        <w:numPr>
          <w:ilvl w:val="0"/>
          <w:numId w:val="41"/>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Armator </w:t>
      </w:r>
      <w:r w:rsidR="00601933" w:rsidRPr="00833C88">
        <w:rPr>
          <w:rFonts w:cs="Times New Roman"/>
          <w:sz w:val="24"/>
          <w:szCs w:val="24"/>
          <w:lang w:eastAsia="pl-PL"/>
        </w:rPr>
        <w:t>w </w:t>
      </w:r>
      <w:r w:rsidRPr="00833C88">
        <w:rPr>
          <w:rFonts w:cs="Times New Roman"/>
          <w:sz w:val="24"/>
          <w:szCs w:val="24"/>
          <w:lang w:eastAsia="pl-PL"/>
        </w:rPr>
        <w:t xml:space="preserve">transporcie morskim pasażerów </w:t>
      </w:r>
      <w:r w:rsidR="00601933" w:rsidRPr="00833C88">
        <w:rPr>
          <w:rFonts w:cs="Times New Roman"/>
          <w:sz w:val="24"/>
          <w:szCs w:val="24"/>
          <w:lang w:eastAsia="pl-PL"/>
        </w:rPr>
        <w:t>i </w:t>
      </w:r>
      <w:r w:rsidRPr="00833C88">
        <w:rPr>
          <w:rFonts w:cs="Times New Roman"/>
          <w:sz w:val="24"/>
          <w:szCs w:val="24"/>
          <w:lang w:eastAsia="pl-PL"/>
        </w:rPr>
        <w:t xml:space="preserve">towarów zgodnie </w:t>
      </w:r>
      <w:r w:rsidR="00601933" w:rsidRPr="00833C88">
        <w:rPr>
          <w:rFonts w:cs="Times New Roman"/>
          <w:sz w:val="24"/>
          <w:szCs w:val="24"/>
          <w:lang w:eastAsia="pl-PL"/>
        </w:rPr>
        <w:t>z </w:t>
      </w:r>
      <w:r w:rsidRPr="00833C88">
        <w:rPr>
          <w:rFonts w:cs="Times New Roman"/>
          <w:sz w:val="24"/>
          <w:szCs w:val="24"/>
          <w:lang w:eastAsia="pl-PL"/>
        </w:rPr>
        <w:t xml:space="preserve">definicją dla transportu morskiego </w:t>
      </w:r>
      <w:r w:rsidR="00601933" w:rsidRPr="00833C88">
        <w:rPr>
          <w:rFonts w:cs="Times New Roman"/>
          <w:sz w:val="24"/>
          <w:szCs w:val="24"/>
          <w:lang w:eastAsia="pl-PL"/>
        </w:rPr>
        <w:t>w </w:t>
      </w:r>
      <w:r w:rsidRPr="00833C88">
        <w:rPr>
          <w:rFonts w:cs="Times New Roman"/>
          <w:sz w:val="24"/>
          <w:szCs w:val="24"/>
          <w:lang w:eastAsia="pl-PL"/>
        </w:rPr>
        <w:t xml:space="preserve">załączniku </w:t>
      </w:r>
      <w:r w:rsidR="00601933" w:rsidRPr="00833C88">
        <w:rPr>
          <w:rFonts w:cs="Times New Roman"/>
          <w:sz w:val="24"/>
          <w:szCs w:val="24"/>
          <w:lang w:eastAsia="pl-PL"/>
        </w:rPr>
        <w:t>I </w:t>
      </w:r>
      <w:r w:rsidRPr="00833C88">
        <w:rPr>
          <w:rFonts w:cs="Times New Roman"/>
          <w:sz w:val="24"/>
          <w:szCs w:val="24"/>
          <w:lang w:eastAsia="pl-PL"/>
        </w:rPr>
        <w:t xml:space="preserve">do rozporządzenia (WE) nr 725/2004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w:t>
      </w:r>
      <w:r w:rsidR="00601933" w:rsidRPr="00833C88">
        <w:rPr>
          <w:rFonts w:cs="Times New Roman"/>
          <w:sz w:val="24"/>
          <w:szCs w:val="24"/>
          <w:lang w:eastAsia="pl-PL"/>
        </w:rPr>
        <w:t>z </w:t>
      </w:r>
      <w:r w:rsidRPr="00833C88">
        <w:rPr>
          <w:rFonts w:cs="Times New Roman"/>
          <w:sz w:val="24"/>
          <w:szCs w:val="24"/>
          <w:lang w:eastAsia="pl-PL"/>
        </w:rPr>
        <w:t xml:space="preserve">dnia 31 marca 2004 r. </w:t>
      </w:r>
      <w:r w:rsidR="00601933" w:rsidRPr="00833C88">
        <w:rPr>
          <w:rFonts w:cs="Times New Roman"/>
          <w:sz w:val="24"/>
          <w:szCs w:val="24"/>
          <w:lang w:eastAsia="pl-PL"/>
        </w:rPr>
        <w:t>w </w:t>
      </w:r>
      <w:r w:rsidRPr="00833C88">
        <w:rPr>
          <w:rFonts w:cs="Times New Roman"/>
          <w:sz w:val="24"/>
          <w:szCs w:val="24"/>
          <w:lang w:eastAsia="pl-PL"/>
        </w:rPr>
        <w:t xml:space="preserve">sprawie podniesienia ochrony statków </w:t>
      </w:r>
      <w:r w:rsidR="00601933" w:rsidRPr="00833C88">
        <w:rPr>
          <w:rFonts w:cs="Times New Roman"/>
          <w:sz w:val="24"/>
          <w:szCs w:val="24"/>
          <w:lang w:eastAsia="pl-PL"/>
        </w:rPr>
        <w:t>i </w:t>
      </w:r>
      <w:r w:rsidRPr="00833C88">
        <w:rPr>
          <w:rFonts w:cs="Times New Roman"/>
          <w:sz w:val="24"/>
          <w:szCs w:val="24"/>
          <w:lang w:eastAsia="pl-PL"/>
        </w:rPr>
        <w:t xml:space="preserve">obiektów portowych (Dz. Urz. UE L 129 </w:t>
      </w:r>
      <w:r w:rsidR="00601933" w:rsidRPr="00833C88">
        <w:rPr>
          <w:rFonts w:cs="Times New Roman"/>
          <w:sz w:val="24"/>
          <w:szCs w:val="24"/>
          <w:lang w:eastAsia="pl-PL"/>
        </w:rPr>
        <w:t>z </w:t>
      </w:r>
      <w:r w:rsidRPr="00833C88">
        <w:rPr>
          <w:rFonts w:cs="Times New Roman"/>
          <w:sz w:val="24"/>
          <w:szCs w:val="24"/>
          <w:lang w:eastAsia="pl-PL"/>
        </w:rPr>
        <w:t xml:space="preserve">29.04.2004, str. 6, </w:t>
      </w:r>
      <w:r w:rsidR="00601933" w:rsidRPr="00833C88">
        <w:rPr>
          <w:rFonts w:cs="Times New Roman"/>
          <w:sz w:val="24"/>
          <w:szCs w:val="24"/>
          <w:lang w:eastAsia="pl-PL"/>
        </w:rPr>
        <w:t>z </w:t>
      </w:r>
      <w:r w:rsidRPr="00833C88">
        <w:rPr>
          <w:rFonts w:cs="Times New Roman"/>
          <w:sz w:val="24"/>
          <w:szCs w:val="24"/>
          <w:lang w:eastAsia="pl-PL"/>
        </w:rPr>
        <w:t xml:space="preserve">późn. zm.), </w:t>
      </w:r>
      <w:r w:rsidR="00601933" w:rsidRPr="00833C88">
        <w:rPr>
          <w:rFonts w:cs="Times New Roman"/>
          <w:sz w:val="24"/>
          <w:szCs w:val="24"/>
          <w:lang w:eastAsia="pl-PL"/>
        </w:rPr>
        <w:t>z </w:t>
      </w:r>
      <w:r w:rsidRPr="00833C88">
        <w:rPr>
          <w:rFonts w:cs="Times New Roman"/>
          <w:sz w:val="24"/>
          <w:szCs w:val="24"/>
          <w:lang w:eastAsia="pl-PL"/>
        </w:rPr>
        <w:t>wyłączeniem poszczególnych statków, na których prowadzą działalność ci armatorzy</w:t>
      </w:r>
      <w:r w:rsidR="0076020B" w:rsidRPr="00833C88">
        <w:rPr>
          <w:rFonts w:cs="Times New Roman"/>
          <w:sz w:val="24"/>
          <w:szCs w:val="24"/>
          <w:lang w:eastAsia="pl-PL"/>
        </w:rPr>
        <w:t>,</w:t>
      </w:r>
    </w:p>
    <w:p w14:paraId="4A6BC3C2" w14:textId="440FDFAC" w:rsidR="00BC1C84" w:rsidRPr="00833C88" w:rsidRDefault="00BC1C84">
      <w:pPr>
        <w:pStyle w:val="Akapitzlist"/>
        <w:numPr>
          <w:ilvl w:val="0"/>
          <w:numId w:val="41"/>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Armator,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5 ust. 1 pkt 2 ustawy </w:t>
      </w:r>
      <w:r w:rsidR="00601933" w:rsidRPr="00833C88">
        <w:rPr>
          <w:rFonts w:cs="Times New Roman"/>
          <w:sz w:val="24"/>
          <w:szCs w:val="24"/>
          <w:lang w:eastAsia="pl-PL"/>
        </w:rPr>
        <w:t>z </w:t>
      </w:r>
      <w:r w:rsidRPr="00833C88">
        <w:rPr>
          <w:rFonts w:cs="Times New Roman"/>
          <w:sz w:val="24"/>
          <w:szCs w:val="24"/>
          <w:lang w:eastAsia="pl-PL"/>
        </w:rPr>
        <w:t xml:space="preserve">dnia 21 grudnia 2000 r. </w:t>
      </w:r>
      <w:r w:rsidR="00601933" w:rsidRPr="00833C88">
        <w:rPr>
          <w:rFonts w:cs="Times New Roman"/>
          <w:sz w:val="24"/>
          <w:szCs w:val="24"/>
          <w:lang w:eastAsia="pl-PL"/>
        </w:rPr>
        <w:t>o </w:t>
      </w:r>
      <w:r w:rsidRPr="00833C88">
        <w:rPr>
          <w:rFonts w:cs="Times New Roman"/>
          <w:sz w:val="24"/>
          <w:szCs w:val="24"/>
          <w:lang w:eastAsia="pl-PL"/>
        </w:rPr>
        <w:t xml:space="preserve">żegludze śródlądowej (Dz. U. </w:t>
      </w:r>
      <w:r w:rsidR="00601933" w:rsidRPr="00833C88">
        <w:rPr>
          <w:rFonts w:cs="Times New Roman"/>
          <w:sz w:val="24"/>
          <w:szCs w:val="24"/>
          <w:lang w:eastAsia="pl-PL"/>
        </w:rPr>
        <w:t>z </w:t>
      </w:r>
      <w:r w:rsidRPr="00833C88">
        <w:rPr>
          <w:rFonts w:cs="Times New Roman"/>
          <w:sz w:val="24"/>
          <w:szCs w:val="24"/>
          <w:lang w:eastAsia="pl-PL"/>
        </w:rPr>
        <w:t>202</w:t>
      </w:r>
      <w:r w:rsidR="00C43F49" w:rsidRPr="00833C88">
        <w:rPr>
          <w:rFonts w:cs="Times New Roman"/>
          <w:sz w:val="24"/>
          <w:szCs w:val="24"/>
          <w:lang w:eastAsia="pl-PL"/>
        </w:rPr>
        <w:t>5</w:t>
      </w:r>
      <w:r w:rsidRPr="00833C88">
        <w:rPr>
          <w:rFonts w:cs="Times New Roman"/>
          <w:sz w:val="24"/>
          <w:szCs w:val="24"/>
          <w:lang w:eastAsia="pl-PL"/>
        </w:rPr>
        <w:t xml:space="preserve"> r. poz. </w:t>
      </w:r>
      <w:r w:rsidR="00C43F49" w:rsidRPr="00833C88">
        <w:rPr>
          <w:rFonts w:cs="Times New Roman"/>
          <w:sz w:val="24"/>
          <w:szCs w:val="24"/>
          <w:lang w:eastAsia="pl-PL"/>
        </w:rPr>
        <w:t>18</w:t>
      </w:r>
      <w:r w:rsidRPr="00833C88">
        <w:rPr>
          <w:rFonts w:cs="Times New Roman"/>
          <w:sz w:val="24"/>
          <w:szCs w:val="24"/>
          <w:lang w:eastAsia="pl-PL"/>
        </w:rPr>
        <w:t>)</w:t>
      </w:r>
      <w:r w:rsidR="0076020B" w:rsidRPr="00833C88">
        <w:rPr>
          <w:rFonts w:cs="Times New Roman"/>
          <w:sz w:val="24"/>
          <w:szCs w:val="24"/>
          <w:lang w:eastAsia="pl-PL"/>
        </w:rPr>
        <w:t>,</w:t>
      </w:r>
    </w:p>
    <w:p w14:paraId="2341CE1B" w14:textId="7887B823" w:rsidR="00BC1C84" w:rsidRPr="00833C88" w:rsidRDefault="00BC1C84">
      <w:pPr>
        <w:pStyle w:val="Akapitzlist"/>
        <w:numPr>
          <w:ilvl w:val="0"/>
          <w:numId w:val="41"/>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zarządzający portem morskim,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3 ust. 1 pkt 2 ustawy </w:t>
      </w:r>
      <w:r w:rsidR="00601933" w:rsidRPr="00833C88">
        <w:rPr>
          <w:rFonts w:cs="Times New Roman"/>
          <w:sz w:val="24"/>
          <w:szCs w:val="24"/>
          <w:lang w:eastAsia="pl-PL"/>
        </w:rPr>
        <w:t>z </w:t>
      </w:r>
      <w:r w:rsidRPr="00833C88">
        <w:rPr>
          <w:rFonts w:cs="Times New Roman"/>
          <w:sz w:val="24"/>
          <w:szCs w:val="24"/>
          <w:lang w:eastAsia="pl-PL"/>
        </w:rPr>
        <w:t xml:space="preserve">dnia 4 września 2008 r. </w:t>
      </w:r>
      <w:r w:rsidR="00601933" w:rsidRPr="00833C88">
        <w:rPr>
          <w:rFonts w:cs="Times New Roman"/>
          <w:sz w:val="24"/>
          <w:szCs w:val="24"/>
          <w:lang w:eastAsia="pl-PL"/>
        </w:rPr>
        <w:t>o </w:t>
      </w:r>
      <w:r w:rsidRPr="00833C88">
        <w:rPr>
          <w:rFonts w:cs="Times New Roman"/>
          <w:sz w:val="24"/>
          <w:szCs w:val="24"/>
          <w:lang w:eastAsia="pl-PL"/>
        </w:rPr>
        <w:t xml:space="preserve">ochronie żeglugi </w:t>
      </w:r>
      <w:r w:rsidR="00601933" w:rsidRPr="00833C88">
        <w:rPr>
          <w:rFonts w:cs="Times New Roman"/>
          <w:sz w:val="24"/>
          <w:szCs w:val="24"/>
          <w:lang w:eastAsia="pl-PL"/>
        </w:rPr>
        <w:t>i </w:t>
      </w:r>
      <w:r w:rsidRPr="00833C88">
        <w:rPr>
          <w:rFonts w:cs="Times New Roman"/>
          <w:sz w:val="24"/>
          <w:szCs w:val="24"/>
          <w:lang w:eastAsia="pl-PL"/>
        </w:rPr>
        <w:t xml:space="preserve">portów morskich (Dz. U. </w:t>
      </w:r>
      <w:r w:rsidR="00601933" w:rsidRPr="00833C88">
        <w:rPr>
          <w:rFonts w:cs="Times New Roman"/>
          <w:sz w:val="24"/>
          <w:szCs w:val="24"/>
          <w:lang w:eastAsia="pl-PL"/>
        </w:rPr>
        <w:t>z </w:t>
      </w:r>
      <w:r w:rsidRPr="00833C88">
        <w:rPr>
          <w:rFonts w:cs="Times New Roman"/>
          <w:sz w:val="24"/>
          <w:szCs w:val="24"/>
          <w:lang w:eastAsia="pl-PL"/>
        </w:rPr>
        <w:t>2024 r. poz. 597)</w:t>
      </w:r>
      <w:r w:rsidR="0076020B" w:rsidRPr="00833C88">
        <w:rPr>
          <w:rFonts w:cs="Times New Roman"/>
          <w:sz w:val="24"/>
          <w:szCs w:val="24"/>
          <w:lang w:eastAsia="pl-PL"/>
        </w:rPr>
        <w:t>,</w:t>
      </w:r>
    </w:p>
    <w:p w14:paraId="2E8CB97A" w14:textId="65018100" w:rsidR="00BC1C84" w:rsidRPr="00833C88" w:rsidRDefault="00BC1C84">
      <w:pPr>
        <w:pStyle w:val="Akapitzlist"/>
        <w:numPr>
          <w:ilvl w:val="0"/>
          <w:numId w:val="41"/>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zarządzający obiektem portowym,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2 pkt 11 rozporządzenia (WE) 725/2004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w:t>
      </w:r>
      <w:r w:rsidR="00601933" w:rsidRPr="00833C88">
        <w:rPr>
          <w:rFonts w:cs="Times New Roman"/>
          <w:sz w:val="24"/>
          <w:szCs w:val="24"/>
          <w:lang w:eastAsia="pl-PL"/>
        </w:rPr>
        <w:t>z </w:t>
      </w:r>
      <w:r w:rsidRPr="00833C88">
        <w:rPr>
          <w:rFonts w:cs="Times New Roman"/>
          <w:sz w:val="24"/>
          <w:szCs w:val="24"/>
          <w:lang w:eastAsia="pl-PL"/>
        </w:rPr>
        <w:t xml:space="preserve">dnia 31 marca 2004 r. </w:t>
      </w:r>
      <w:r w:rsidR="00601933" w:rsidRPr="00833C88">
        <w:rPr>
          <w:rFonts w:cs="Times New Roman"/>
          <w:sz w:val="24"/>
          <w:szCs w:val="24"/>
          <w:lang w:eastAsia="pl-PL"/>
        </w:rPr>
        <w:t>w </w:t>
      </w:r>
      <w:r w:rsidRPr="00833C88">
        <w:rPr>
          <w:rFonts w:cs="Times New Roman"/>
          <w:sz w:val="24"/>
          <w:szCs w:val="24"/>
          <w:lang w:eastAsia="pl-PL"/>
        </w:rPr>
        <w:t xml:space="preserve">sprawie podniesienia ochrony statków </w:t>
      </w:r>
      <w:r w:rsidR="00601933" w:rsidRPr="00833C88">
        <w:rPr>
          <w:rFonts w:cs="Times New Roman"/>
          <w:sz w:val="24"/>
          <w:szCs w:val="24"/>
          <w:lang w:eastAsia="pl-PL"/>
        </w:rPr>
        <w:t>i </w:t>
      </w:r>
      <w:r w:rsidRPr="00833C88">
        <w:rPr>
          <w:rFonts w:cs="Times New Roman"/>
          <w:sz w:val="24"/>
          <w:szCs w:val="24"/>
          <w:lang w:eastAsia="pl-PL"/>
        </w:rPr>
        <w:t>obiektów portowych</w:t>
      </w:r>
      <w:r w:rsidR="0076020B" w:rsidRPr="00833C88">
        <w:rPr>
          <w:rFonts w:cs="Times New Roman"/>
          <w:sz w:val="24"/>
          <w:szCs w:val="24"/>
          <w:lang w:eastAsia="pl-PL"/>
        </w:rPr>
        <w:t>,</w:t>
      </w:r>
    </w:p>
    <w:p w14:paraId="67B444BA" w14:textId="05EB490F" w:rsidR="00BC1C84" w:rsidRPr="00833C88" w:rsidRDefault="00BC1C84">
      <w:pPr>
        <w:pStyle w:val="Akapitzlist"/>
        <w:numPr>
          <w:ilvl w:val="0"/>
          <w:numId w:val="41"/>
        </w:numPr>
        <w:spacing w:line="360" w:lineRule="auto"/>
        <w:contextualSpacing w:val="0"/>
        <w:jc w:val="both"/>
        <w:rPr>
          <w:rFonts w:cs="Times New Roman"/>
          <w:sz w:val="24"/>
          <w:szCs w:val="24"/>
          <w:lang w:eastAsia="pl-PL"/>
        </w:rPr>
      </w:pPr>
      <w:r w:rsidRPr="00833C88">
        <w:rPr>
          <w:rFonts w:cs="Times New Roman"/>
          <w:sz w:val="24"/>
          <w:szCs w:val="24"/>
          <w:lang w:eastAsia="pl-PL"/>
        </w:rPr>
        <w:t>Podmioty prowadzące na terenie portu działalność wspomagającą transport morski</w:t>
      </w:r>
      <w:r w:rsidR="0076020B" w:rsidRPr="00833C88">
        <w:rPr>
          <w:rFonts w:cs="Times New Roman"/>
          <w:sz w:val="24"/>
          <w:szCs w:val="24"/>
          <w:lang w:eastAsia="pl-PL"/>
        </w:rPr>
        <w:t>,</w:t>
      </w:r>
    </w:p>
    <w:p w14:paraId="37B840C1" w14:textId="711DD901" w:rsidR="00BC1C84" w:rsidRPr="00833C88" w:rsidRDefault="00BC1C84">
      <w:pPr>
        <w:pStyle w:val="Akapitzlist"/>
        <w:numPr>
          <w:ilvl w:val="0"/>
          <w:numId w:val="41"/>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VTS (Służba Kontroli Ruchu Statków) – aparat pomocniczy dyrektora urzędu morskiego powołany </w:t>
      </w:r>
      <w:r w:rsidR="00601933" w:rsidRPr="00833C88">
        <w:rPr>
          <w:rFonts w:cs="Times New Roman"/>
          <w:sz w:val="24"/>
          <w:szCs w:val="24"/>
          <w:lang w:eastAsia="pl-PL"/>
        </w:rPr>
        <w:t>w </w:t>
      </w:r>
      <w:r w:rsidRPr="00833C88">
        <w:rPr>
          <w:rFonts w:cs="Times New Roman"/>
          <w:sz w:val="24"/>
          <w:szCs w:val="24"/>
          <w:lang w:eastAsia="pl-PL"/>
        </w:rPr>
        <w:t xml:space="preserve">celu monitorowania ruchu statków </w:t>
      </w:r>
      <w:r w:rsidR="00601933" w:rsidRPr="00833C88">
        <w:rPr>
          <w:rFonts w:cs="Times New Roman"/>
          <w:sz w:val="24"/>
          <w:szCs w:val="24"/>
          <w:lang w:eastAsia="pl-PL"/>
        </w:rPr>
        <w:t>i </w:t>
      </w:r>
      <w:r w:rsidRPr="00833C88">
        <w:rPr>
          <w:rFonts w:cs="Times New Roman"/>
          <w:sz w:val="24"/>
          <w:szCs w:val="24"/>
          <w:lang w:eastAsia="pl-PL"/>
        </w:rPr>
        <w:t xml:space="preserve">przekazywania informacji, stanowiący część składową Narodowego Systemu </w:t>
      </w:r>
      <w:proofErr w:type="spellStart"/>
      <w:r w:rsidRPr="00833C88">
        <w:rPr>
          <w:rFonts w:cs="Times New Roman"/>
          <w:sz w:val="24"/>
          <w:szCs w:val="24"/>
          <w:lang w:eastAsia="pl-PL"/>
        </w:rPr>
        <w:t>SafeSeaNet</w:t>
      </w:r>
      <w:proofErr w:type="spellEnd"/>
      <w:r w:rsidRPr="00833C88">
        <w:rPr>
          <w:rFonts w:cs="Times New Roman"/>
          <w:sz w:val="24"/>
          <w:szCs w:val="24"/>
          <w:lang w:eastAsia="pl-PL"/>
        </w:rPr>
        <w:t xml:space="preserv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art.</w:t>
      </w:r>
      <w:r w:rsidR="001A275A" w:rsidRPr="00833C88">
        <w:rPr>
          <w:rFonts w:cs="Times New Roman"/>
          <w:sz w:val="24"/>
          <w:szCs w:val="24"/>
          <w:lang w:eastAsia="pl-PL"/>
        </w:rPr>
        <w:t> </w:t>
      </w:r>
      <w:r w:rsidRPr="00833C88">
        <w:rPr>
          <w:rFonts w:cs="Times New Roman"/>
          <w:sz w:val="24"/>
          <w:szCs w:val="24"/>
          <w:lang w:eastAsia="pl-PL"/>
        </w:rPr>
        <w:t xml:space="preserve">91 ustawy </w:t>
      </w:r>
      <w:r w:rsidR="00601933" w:rsidRPr="00833C88">
        <w:rPr>
          <w:rFonts w:cs="Times New Roman"/>
          <w:sz w:val="24"/>
          <w:szCs w:val="24"/>
          <w:lang w:eastAsia="pl-PL"/>
        </w:rPr>
        <w:t>z </w:t>
      </w:r>
      <w:r w:rsidRPr="00833C88">
        <w:rPr>
          <w:rFonts w:cs="Times New Roman"/>
          <w:sz w:val="24"/>
          <w:szCs w:val="24"/>
          <w:lang w:eastAsia="pl-PL"/>
        </w:rPr>
        <w:t xml:space="preserve">dnia 18 sierpnia 2011 r. </w:t>
      </w:r>
      <w:r w:rsidR="00601933" w:rsidRPr="00833C88">
        <w:rPr>
          <w:rFonts w:cs="Times New Roman"/>
          <w:sz w:val="24"/>
          <w:szCs w:val="24"/>
          <w:lang w:eastAsia="pl-PL"/>
        </w:rPr>
        <w:t>o </w:t>
      </w:r>
      <w:r w:rsidRPr="00833C88">
        <w:rPr>
          <w:rFonts w:cs="Times New Roman"/>
          <w:sz w:val="24"/>
          <w:szCs w:val="24"/>
          <w:lang w:eastAsia="pl-PL"/>
        </w:rPr>
        <w:t xml:space="preserve">bezpieczeństwie morskim (Dz. U. </w:t>
      </w:r>
      <w:r w:rsidR="00601933" w:rsidRPr="00833C88">
        <w:rPr>
          <w:rFonts w:cs="Times New Roman"/>
          <w:sz w:val="24"/>
          <w:szCs w:val="24"/>
          <w:lang w:eastAsia="pl-PL"/>
        </w:rPr>
        <w:t>z </w:t>
      </w:r>
      <w:r w:rsidRPr="00833C88">
        <w:rPr>
          <w:rFonts w:cs="Times New Roman"/>
          <w:sz w:val="24"/>
          <w:szCs w:val="24"/>
          <w:lang w:eastAsia="pl-PL"/>
        </w:rPr>
        <w:t>202</w:t>
      </w:r>
      <w:r w:rsidR="00683F88" w:rsidRPr="00833C88">
        <w:rPr>
          <w:rFonts w:cs="Times New Roman"/>
          <w:sz w:val="24"/>
          <w:szCs w:val="24"/>
          <w:lang w:eastAsia="pl-PL"/>
        </w:rPr>
        <w:t>5</w:t>
      </w:r>
      <w:r w:rsidR="001A275A" w:rsidRPr="00833C88">
        <w:rPr>
          <w:rFonts w:cs="Times New Roman"/>
          <w:sz w:val="24"/>
          <w:szCs w:val="24"/>
          <w:lang w:eastAsia="pl-PL"/>
        </w:rPr>
        <w:t> </w:t>
      </w:r>
      <w:r w:rsidRPr="00833C88">
        <w:rPr>
          <w:rFonts w:cs="Times New Roman"/>
          <w:sz w:val="24"/>
          <w:szCs w:val="24"/>
          <w:lang w:eastAsia="pl-PL"/>
        </w:rPr>
        <w:t xml:space="preserve">r. poz. </w:t>
      </w:r>
      <w:r w:rsidR="00683F88" w:rsidRPr="00833C88">
        <w:rPr>
          <w:rFonts w:cs="Times New Roman"/>
          <w:sz w:val="24"/>
          <w:szCs w:val="24"/>
          <w:lang w:eastAsia="pl-PL"/>
        </w:rPr>
        <w:t>883</w:t>
      </w:r>
      <w:r w:rsidRPr="00833C88">
        <w:rPr>
          <w:rFonts w:cs="Times New Roman"/>
          <w:sz w:val="24"/>
          <w:szCs w:val="24"/>
          <w:lang w:eastAsia="pl-PL"/>
        </w:rPr>
        <w:t>).</w:t>
      </w:r>
    </w:p>
    <w:p w14:paraId="08888806" w14:textId="43A0CFC0" w:rsidR="00CA2044" w:rsidRPr="00833C88" w:rsidRDefault="005E1AE8" w:rsidP="00BC1F6E">
      <w:pPr>
        <w:pStyle w:val="Nagwek5"/>
        <w:numPr>
          <w:ilvl w:val="0"/>
          <w:numId w:val="0"/>
        </w:numPr>
        <w:spacing w:before="0" w:after="120" w:line="360" w:lineRule="auto"/>
        <w:ind w:left="720"/>
        <w:jc w:val="both"/>
        <w:rPr>
          <w:rFonts w:cs="Times New Roman"/>
          <w:sz w:val="24"/>
          <w:szCs w:val="24"/>
          <w:lang w:eastAsia="pl-PL"/>
        </w:rPr>
      </w:pPr>
      <w:r w:rsidRPr="00833C88">
        <w:rPr>
          <w:rFonts w:cs="Times New Roman"/>
          <w:sz w:val="24"/>
          <w:szCs w:val="24"/>
          <w:lang w:eastAsia="pl-PL"/>
        </w:rPr>
        <w:t xml:space="preserve">2.4 </w:t>
      </w:r>
      <w:r w:rsidR="00947D3D" w:rsidRPr="00833C88">
        <w:rPr>
          <w:rFonts w:cs="Times New Roman"/>
          <w:sz w:val="24"/>
          <w:szCs w:val="24"/>
          <w:lang w:eastAsia="pl-PL"/>
        </w:rPr>
        <w:t>Podsektor t</w:t>
      </w:r>
      <w:r w:rsidR="00CA2044" w:rsidRPr="00833C88">
        <w:rPr>
          <w:rFonts w:cs="Times New Roman"/>
          <w:sz w:val="24"/>
          <w:szCs w:val="24"/>
          <w:lang w:eastAsia="pl-PL"/>
        </w:rPr>
        <w:t>ransport drogowy</w:t>
      </w:r>
    </w:p>
    <w:p w14:paraId="1A494285" w14:textId="0B4EDAAF" w:rsidR="00591996" w:rsidRPr="00833C88" w:rsidRDefault="00601933" w:rsidP="00BC1F6E">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podsektora transportu drogowego znajdą się następujące podmioty:</w:t>
      </w:r>
    </w:p>
    <w:p w14:paraId="53825443" w14:textId="2F634511" w:rsidR="00AE2324" w:rsidRPr="00833C88" w:rsidRDefault="00AE2324">
      <w:pPr>
        <w:pStyle w:val="Akapitzlist"/>
        <w:numPr>
          <w:ilvl w:val="0"/>
          <w:numId w:val="42"/>
        </w:numPr>
        <w:spacing w:line="360" w:lineRule="auto"/>
        <w:contextualSpacing w:val="0"/>
        <w:jc w:val="both"/>
        <w:rPr>
          <w:rFonts w:cs="Times New Roman"/>
          <w:sz w:val="24"/>
          <w:szCs w:val="24"/>
          <w:lang w:eastAsia="pl-PL"/>
        </w:rPr>
      </w:pPr>
      <w:r w:rsidRPr="00833C88">
        <w:rPr>
          <w:rFonts w:cs="Times New Roman"/>
          <w:sz w:val="24"/>
          <w:szCs w:val="24"/>
          <w:lang w:eastAsia="pl-PL"/>
        </w:rPr>
        <w:lastRenderedPageBreak/>
        <w:t xml:space="preserve">Zarządca drogi,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19 ust. 2 pkt 1 ustawy </w:t>
      </w:r>
      <w:r w:rsidR="00601933" w:rsidRPr="00833C88">
        <w:rPr>
          <w:rFonts w:cs="Times New Roman"/>
          <w:sz w:val="24"/>
          <w:szCs w:val="24"/>
          <w:lang w:eastAsia="pl-PL"/>
        </w:rPr>
        <w:t>z </w:t>
      </w:r>
      <w:r w:rsidRPr="00833C88">
        <w:rPr>
          <w:rFonts w:cs="Times New Roman"/>
          <w:sz w:val="24"/>
          <w:szCs w:val="24"/>
          <w:lang w:eastAsia="pl-PL"/>
        </w:rPr>
        <w:t xml:space="preserve">dnia 21 marca 1985 r. </w:t>
      </w:r>
      <w:r w:rsidR="00601933" w:rsidRPr="00833C88">
        <w:rPr>
          <w:rFonts w:cs="Times New Roman"/>
          <w:sz w:val="24"/>
          <w:szCs w:val="24"/>
          <w:lang w:eastAsia="pl-PL"/>
        </w:rPr>
        <w:t>o </w:t>
      </w:r>
      <w:r w:rsidRPr="00833C88">
        <w:rPr>
          <w:rFonts w:cs="Times New Roman"/>
          <w:sz w:val="24"/>
          <w:szCs w:val="24"/>
          <w:lang w:eastAsia="pl-PL"/>
        </w:rPr>
        <w:t>drogach publicznych</w:t>
      </w:r>
      <w:r w:rsidR="002D4A97" w:rsidRPr="00833C88">
        <w:rPr>
          <w:rFonts w:cs="Times New Roman"/>
          <w:sz w:val="24"/>
          <w:szCs w:val="24"/>
          <w:lang w:eastAsia="pl-PL"/>
        </w:rPr>
        <w:t xml:space="preserve"> (Dz. U. </w:t>
      </w:r>
      <w:r w:rsidR="00601933" w:rsidRPr="00833C88">
        <w:rPr>
          <w:rFonts w:cs="Times New Roman"/>
          <w:sz w:val="24"/>
          <w:szCs w:val="24"/>
          <w:lang w:eastAsia="pl-PL"/>
        </w:rPr>
        <w:t>z </w:t>
      </w:r>
      <w:r w:rsidR="002D4A97" w:rsidRPr="00833C88">
        <w:rPr>
          <w:rFonts w:cs="Times New Roman"/>
          <w:sz w:val="24"/>
          <w:szCs w:val="24"/>
          <w:lang w:eastAsia="pl-PL"/>
        </w:rPr>
        <w:t>202</w:t>
      </w:r>
      <w:r w:rsidR="00683F88" w:rsidRPr="00833C88">
        <w:rPr>
          <w:rFonts w:cs="Times New Roman"/>
          <w:sz w:val="24"/>
          <w:szCs w:val="24"/>
          <w:lang w:eastAsia="pl-PL"/>
        </w:rPr>
        <w:t>5</w:t>
      </w:r>
      <w:r w:rsidR="002D4A97" w:rsidRPr="00833C88">
        <w:rPr>
          <w:rFonts w:cs="Times New Roman"/>
          <w:sz w:val="24"/>
          <w:szCs w:val="24"/>
          <w:lang w:eastAsia="pl-PL"/>
        </w:rPr>
        <w:t xml:space="preserve"> r. poz.</w:t>
      </w:r>
      <w:r w:rsidR="00683F88" w:rsidRPr="00833C88">
        <w:rPr>
          <w:rFonts w:cs="Times New Roman"/>
          <w:sz w:val="24"/>
          <w:szCs w:val="24"/>
          <w:lang w:eastAsia="pl-PL"/>
        </w:rPr>
        <w:t xml:space="preserve"> 889</w:t>
      </w:r>
      <w:r w:rsidR="002D4A97" w:rsidRPr="00833C88">
        <w:rPr>
          <w:rFonts w:cs="Times New Roman"/>
          <w:sz w:val="24"/>
          <w:szCs w:val="24"/>
          <w:lang w:eastAsia="pl-PL"/>
        </w:rPr>
        <w:t>)</w:t>
      </w:r>
      <w:r w:rsidR="007D65D3" w:rsidRPr="00833C88">
        <w:rPr>
          <w:rFonts w:cs="Times New Roman"/>
          <w:sz w:val="24"/>
          <w:szCs w:val="24"/>
          <w:lang w:eastAsia="pl-PL"/>
        </w:rPr>
        <w:t>,</w:t>
      </w:r>
    </w:p>
    <w:p w14:paraId="3AFCC3CF" w14:textId="10D47EDB" w:rsidR="00AE2324" w:rsidRPr="00833C88" w:rsidRDefault="00AE2324">
      <w:pPr>
        <w:pStyle w:val="Akapitzlist"/>
        <w:numPr>
          <w:ilvl w:val="0"/>
          <w:numId w:val="42"/>
        </w:numPr>
        <w:spacing w:line="360" w:lineRule="auto"/>
        <w:contextualSpacing w:val="0"/>
        <w:jc w:val="both"/>
        <w:rPr>
          <w:rFonts w:cs="Times New Roman"/>
          <w:sz w:val="24"/>
          <w:szCs w:val="24"/>
          <w:lang w:eastAsia="pl-PL"/>
        </w:rPr>
      </w:pPr>
      <w:r w:rsidRPr="00833C88">
        <w:rPr>
          <w:rFonts w:cs="Times New Roman"/>
          <w:sz w:val="24"/>
          <w:szCs w:val="24"/>
          <w:lang w:eastAsia="pl-PL"/>
        </w:rPr>
        <w:t>Podmioty</w:t>
      </w:r>
      <w:r w:rsidR="005C68BD" w:rsidRPr="00833C88">
        <w:rPr>
          <w:rFonts w:cs="Times New Roman"/>
          <w:sz w:val="24"/>
          <w:szCs w:val="24"/>
          <w:lang w:eastAsia="pl-PL"/>
        </w:rPr>
        <w:t xml:space="preserve"> świadczące usługę ITS</w:t>
      </w:r>
      <w:r w:rsidR="00683F88" w:rsidRPr="00833C88">
        <w:rPr>
          <w:rFonts w:cs="Times New Roman"/>
          <w:sz w:val="24"/>
          <w:szCs w:val="24"/>
          <w:lang w:eastAsia="pl-PL"/>
        </w:rPr>
        <w:t>,</w:t>
      </w:r>
      <w:r w:rsidR="00F47841" w:rsidRPr="00833C88">
        <w:rPr>
          <w:rFonts w:cs="Times New Roman"/>
          <w:sz w:val="24"/>
          <w:szCs w:val="24"/>
          <w:lang w:eastAsia="pl-PL"/>
        </w:rPr>
        <w:t xml:space="preserve"> o której mowa w art. 4 pkt 36 ustawy z dnia 21 marca 1985 r. o drogach publicznych.</w:t>
      </w:r>
    </w:p>
    <w:p w14:paraId="0956295B" w14:textId="1A516475" w:rsidR="00F257EC" w:rsidRPr="00833C88" w:rsidRDefault="00F257EC" w:rsidP="00BC1F6E">
      <w:pPr>
        <w:spacing w:line="360" w:lineRule="auto"/>
        <w:ind w:left="360"/>
        <w:jc w:val="both"/>
        <w:rPr>
          <w:rFonts w:cs="Times New Roman"/>
          <w:sz w:val="24"/>
          <w:szCs w:val="24"/>
          <w:lang w:eastAsia="pl-PL"/>
        </w:rPr>
      </w:pPr>
      <w:r w:rsidRPr="00833C88">
        <w:rPr>
          <w:rFonts w:cs="Times New Roman"/>
          <w:sz w:val="24"/>
          <w:szCs w:val="24"/>
          <w:lang w:eastAsia="pl-PL"/>
        </w:rPr>
        <w:t xml:space="preserve">Ujęcie ww. podmiotów </w:t>
      </w:r>
      <w:r w:rsidR="00601933" w:rsidRPr="00833C88">
        <w:rPr>
          <w:rFonts w:cs="Times New Roman"/>
          <w:sz w:val="24"/>
          <w:szCs w:val="24"/>
          <w:lang w:eastAsia="pl-PL"/>
        </w:rPr>
        <w:t>w </w:t>
      </w:r>
      <w:r w:rsidRPr="00833C88">
        <w:rPr>
          <w:rFonts w:cs="Times New Roman"/>
          <w:sz w:val="24"/>
          <w:szCs w:val="24"/>
          <w:lang w:eastAsia="pl-PL"/>
        </w:rPr>
        <w:t xml:space="preserve">ramach krajowego systemu cyberbezpieczeństwa pozwoli zabezpieczyć systemy związane </w:t>
      </w:r>
      <w:r w:rsidR="00601933" w:rsidRPr="00833C88">
        <w:rPr>
          <w:rFonts w:cs="Times New Roman"/>
          <w:sz w:val="24"/>
          <w:szCs w:val="24"/>
          <w:lang w:eastAsia="pl-PL"/>
        </w:rPr>
        <w:t>z </w:t>
      </w:r>
      <w:r w:rsidRPr="00833C88">
        <w:rPr>
          <w:rFonts w:cs="Times New Roman"/>
          <w:sz w:val="24"/>
          <w:szCs w:val="24"/>
          <w:lang w:eastAsia="pl-PL"/>
        </w:rPr>
        <w:t>kierowaniem ruchem.</w:t>
      </w:r>
    </w:p>
    <w:p w14:paraId="0F7D40E4" w14:textId="6C176D14" w:rsidR="00BF09BD" w:rsidRPr="00833C88" w:rsidRDefault="00BF09BD" w:rsidP="00BF09BD">
      <w:pPr>
        <w:spacing w:line="360" w:lineRule="auto"/>
        <w:ind w:left="360"/>
        <w:jc w:val="both"/>
        <w:rPr>
          <w:rFonts w:cs="Times New Roman"/>
          <w:sz w:val="24"/>
          <w:szCs w:val="24"/>
          <w:lang w:eastAsia="pl-PL"/>
        </w:rPr>
      </w:pPr>
      <w:r w:rsidRPr="00833C88">
        <w:rPr>
          <w:rFonts w:cs="Times New Roman"/>
          <w:sz w:val="24"/>
          <w:szCs w:val="24"/>
          <w:lang w:eastAsia="pl-PL"/>
        </w:rPr>
        <w:t>Inteligentne systemy transportowe pozwalają zapewnić większe bezpieczeństwo na drogach. Są jednak podatne na różnego rodzaju zagrożenia np.</w:t>
      </w:r>
      <w:r w:rsidR="00836C57" w:rsidRPr="00833C88">
        <w:rPr>
          <w:rFonts w:cs="Times New Roman"/>
          <w:sz w:val="24"/>
          <w:szCs w:val="24"/>
          <w:lang w:eastAsia="pl-PL"/>
        </w:rPr>
        <w:t xml:space="preserve"> </w:t>
      </w:r>
      <w:r w:rsidRPr="00833C88">
        <w:rPr>
          <w:rFonts w:cs="Times New Roman"/>
          <w:sz w:val="24"/>
          <w:szCs w:val="24"/>
          <w:lang w:eastAsia="pl-PL"/>
        </w:rPr>
        <w:t xml:space="preserve">zagrożenia fizyczne – infrastruktura ITS jest dostępna przy </w:t>
      </w:r>
      <w:r w:rsidR="00F832F5" w:rsidRPr="00833C88">
        <w:rPr>
          <w:rFonts w:cs="Times New Roman"/>
          <w:sz w:val="24"/>
          <w:szCs w:val="24"/>
          <w:lang w:eastAsia="pl-PL"/>
        </w:rPr>
        <w:t>drogach</w:t>
      </w:r>
      <w:r w:rsidRPr="00833C88">
        <w:rPr>
          <w:rFonts w:cs="Times New Roman"/>
          <w:sz w:val="24"/>
          <w:szCs w:val="24"/>
          <w:lang w:eastAsia="pl-PL"/>
        </w:rPr>
        <w:t>, stąd atakujący może podłączyć się do niezabezpieczonego urządzenia. W ten sposób może przechwytywać dane o ruchu drogowym, skanować topologię sieci, prowadzi</w:t>
      </w:r>
      <w:r w:rsidR="00836C57" w:rsidRPr="00833C88">
        <w:rPr>
          <w:rFonts w:cs="Times New Roman"/>
          <w:sz w:val="24"/>
          <w:szCs w:val="24"/>
          <w:lang w:eastAsia="pl-PL"/>
        </w:rPr>
        <w:t>ć</w:t>
      </w:r>
      <w:r w:rsidRPr="00833C88">
        <w:rPr>
          <w:rFonts w:cs="Times New Roman"/>
          <w:sz w:val="24"/>
          <w:szCs w:val="24"/>
          <w:lang w:eastAsia="pl-PL"/>
        </w:rPr>
        <w:t xml:space="preserve"> ataki Man-in</w:t>
      </w:r>
      <w:r w:rsidR="00836C57" w:rsidRPr="00833C88">
        <w:rPr>
          <w:rFonts w:cs="Times New Roman"/>
          <w:sz w:val="24"/>
          <w:szCs w:val="24"/>
          <w:lang w:eastAsia="pl-PL"/>
        </w:rPr>
        <w:t xml:space="preserve"> </w:t>
      </w:r>
      <w:r w:rsidRPr="00833C88">
        <w:rPr>
          <w:rFonts w:cs="Times New Roman"/>
          <w:sz w:val="24"/>
          <w:szCs w:val="24"/>
          <w:lang w:eastAsia="pl-PL"/>
        </w:rPr>
        <w:t xml:space="preserve">the </w:t>
      </w:r>
      <w:proofErr w:type="spellStart"/>
      <w:r w:rsidRPr="00833C88">
        <w:rPr>
          <w:rFonts w:cs="Times New Roman"/>
          <w:sz w:val="24"/>
          <w:szCs w:val="24"/>
          <w:lang w:eastAsia="pl-PL"/>
        </w:rPr>
        <w:t>middle</w:t>
      </w:r>
      <w:proofErr w:type="spellEnd"/>
      <w:r w:rsidRPr="00833C88">
        <w:rPr>
          <w:rFonts w:cs="Times New Roman"/>
          <w:sz w:val="24"/>
          <w:szCs w:val="24"/>
          <w:lang w:eastAsia="pl-PL"/>
        </w:rPr>
        <w:t xml:space="preserve">, za pomocą ataków typu </w:t>
      </w:r>
      <w:proofErr w:type="spellStart"/>
      <w:r w:rsidRPr="00833C88">
        <w:rPr>
          <w:rFonts w:cs="Times New Roman"/>
          <w:sz w:val="24"/>
          <w:szCs w:val="24"/>
          <w:lang w:eastAsia="pl-PL"/>
        </w:rPr>
        <w:t>spoofing</w:t>
      </w:r>
      <w:proofErr w:type="spellEnd"/>
      <w:r w:rsidRPr="00833C88">
        <w:rPr>
          <w:rFonts w:cs="Times New Roman"/>
          <w:sz w:val="24"/>
          <w:szCs w:val="24"/>
          <w:lang w:eastAsia="pl-PL"/>
        </w:rPr>
        <w:t xml:space="preserve"> wpływać na komunikację między pojazdami (</w:t>
      </w:r>
      <w:proofErr w:type="spellStart"/>
      <w:r w:rsidR="00F832F5" w:rsidRPr="00833C88">
        <w:rPr>
          <w:rFonts w:cs="Times New Roman"/>
          <w:sz w:val="24"/>
          <w:szCs w:val="24"/>
          <w:lang w:eastAsia="pl-PL"/>
        </w:rPr>
        <w:t>Veh</w:t>
      </w:r>
      <w:r w:rsidRPr="00833C88">
        <w:rPr>
          <w:rFonts w:cs="Times New Roman"/>
          <w:sz w:val="24"/>
          <w:szCs w:val="24"/>
          <w:lang w:eastAsia="pl-PL"/>
        </w:rPr>
        <w:t>icle</w:t>
      </w:r>
      <w:proofErr w:type="spellEnd"/>
      <w:r w:rsidRPr="00833C88">
        <w:rPr>
          <w:rFonts w:cs="Times New Roman"/>
          <w:sz w:val="24"/>
          <w:szCs w:val="24"/>
          <w:lang w:eastAsia="pl-PL"/>
        </w:rPr>
        <w:t>-to-</w:t>
      </w:r>
      <w:proofErr w:type="spellStart"/>
      <w:r w:rsidRPr="00833C88">
        <w:rPr>
          <w:rFonts w:cs="Times New Roman"/>
          <w:sz w:val="24"/>
          <w:szCs w:val="24"/>
          <w:lang w:eastAsia="pl-PL"/>
        </w:rPr>
        <w:t>Vehcile</w:t>
      </w:r>
      <w:proofErr w:type="spellEnd"/>
      <w:r w:rsidRPr="00833C88">
        <w:rPr>
          <w:rFonts w:cs="Times New Roman"/>
          <w:sz w:val="24"/>
          <w:szCs w:val="24"/>
          <w:lang w:eastAsia="pl-PL"/>
        </w:rPr>
        <w:t xml:space="preserve"> </w:t>
      </w:r>
      <w:proofErr w:type="spellStart"/>
      <w:r w:rsidRPr="00833C88">
        <w:rPr>
          <w:rFonts w:cs="Times New Roman"/>
          <w:sz w:val="24"/>
          <w:szCs w:val="24"/>
          <w:lang w:eastAsia="pl-PL"/>
        </w:rPr>
        <w:t>commmunication</w:t>
      </w:r>
      <w:proofErr w:type="spellEnd"/>
      <w:r w:rsidRPr="00833C88">
        <w:rPr>
          <w:rFonts w:cs="Times New Roman"/>
          <w:sz w:val="24"/>
          <w:szCs w:val="24"/>
          <w:lang w:eastAsia="pl-PL"/>
        </w:rPr>
        <w:t>) czy między pojazdami a infrastrukturą (</w:t>
      </w:r>
      <w:proofErr w:type="spellStart"/>
      <w:r w:rsidRPr="00833C88">
        <w:rPr>
          <w:rFonts w:cs="Times New Roman"/>
          <w:sz w:val="24"/>
          <w:szCs w:val="24"/>
          <w:lang w:eastAsia="pl-PL"/>
        </w:rPr>
        <w:t>Vehicle</w:t>
      </w:r>
      <w:proofErr w:type="spellEnd"/>
      <w:r w:rsidRPr="00833C88">
        <w:rPr>
          <w:rFonts w:cs="Times New Roman"/>
          <w:sz w:val="24"/>
          <w:szCs w:val="24"/>
          <w:lang w:eastAsia="pl-PL"/>
        </w:rPr>
        <w:t>-to-</w:t>
      </w:r>
      <w:proofErr w:type="spellStart"/>
      <w:r w:rsidRPr="00833C88">
        <w:rPr>
          <w:rFonts w:cs="Times New Roman"/>
          <w:sz w:val="24"/>
          <w:szCs w:val="24"/>
          <w:lang w:eastAsia="pl-PL"/>
        </w:rPr>
        <w:t>infrastructure</w:t>
      </w:r>
      <w:proofErr w:type="spellEnd"/>
      <w:r w:rsidRPr="00833C88">
        <w:rPr>
          <w:rFonts w:cs="Times New Roman"/>
          <w:sz w:val="24"/>
          <w:szCs w:val="24"/>
          <w:lang w:eastAsia="pl-PL"/>
        </w:rPr>
        <w:t xml:space="preserve"> </w:t>
      </w:r>
      <w:proofErr w:type="spellStart"/>
      <w:r w:rsidRPr="00833C88">
        <w:rPr>
          <w:rFonts w:cs="Times New Roman"/>
          <w:sz w:val="24"/>
          <w:szCs w:val="24"/>
          <w:lang w:eastAsia="pl-PL"/>
        </w:rPr>
        <w:t>V2I</w:t>
      </w:r>
      <w:proofErr w:type="spellEnd"/>
      <w:r w:rsidRPr="00833C88">
        <w:rPr>
          <w:rFonts w:cs="Times New Roman"/>
          <w:sz w:val="24"/>
          <w:szCs w:val="24"/>
          <w:lang w:eastAsia="pl-PL"/>
        </w:rPr>
        <w:t>).</w:t>
      </w:r>
    </w:p>
    <w:p w14:paraId="344AD8ED" w14:textId="3F879BBE" w:rsidR="00F257EC" w:rsidRPr="00833C88" w:rsidRDefault="00187512" w:rsidP="00BC1F6E">
      <w:pPr>
        <w:pStyle w:val="Nagwek4"/>
        <w:spacing w:before="0" w:after="120" w:line="360" w:lineRule="auto"/>
        <w:jc w:val="both"/>
        <w:rPr>
          <w:rFonts w:cs="Times New Roman"/>
          <w:sz w:val="24"/>
          <w:szCs w:val="24"/>
          <w:lang w:eastAsia="pl-PL"/>
        </w:rPr>
      </w:pPr>
      <w:r w:rsidRPr="00833C88">
        <w:rPr>
          <w:rFonts w:cs="Times New Roman"/>
          <w:sz w:val="24"/>
          <w:szCs w:val="24"/>
          <w:lang w:eastAsia="pl-PL"/>
        </w:rPr>
        <w:t xml:space="preserve">Bankowość </w:t>
      </w:r>
      <w:r w:rsidR="00601933" w:rsidRPr="00833C88">
        <w:rPr>
          <w:rFonts w:cs="Times New Roman"/>
          <w:sz w:val="24"/>
          <w:szCs w:val="24"/>
          <w:lang w:eastAsia="pl-PL"/>
        </w:rPr>
        <w:t>i </w:t>
      </w:r>
      <w:r w:rsidRPr="00833C88">
        <w:rPr>
          <w:rFonts w:cs="Times New Roman"/>
          <w:sz w:val="24"/>
          <w:szCs w:val="24"/>
          <w:lang w:eastAsia="pl-PL"/>
        </w:rPr>
        <w:t>infrastruktura rynków finansowych</w:t>
      </w:r>
    </w:p>
    <w:p w14:paraId="79C0A1D3" w14:textId="506EAD8D" w:rsidR="00F257EC" w:rsidRPr="00833C88" w:rsidRDefault="00601933" w:rsidP="00BC1F6E">
      <w:pPr>
        <w:spacing w:line="360" w:lineRule="auto"/>
        <w:jc w:val="both"/>
        <w:rPr>
          <w:rFonts w:cs="Times New Roman"/>
          <w:sz w:val="24"/>
          <w:szCs w:val="24"/>
          <w:lang w:eastAsia="pl-PL"/>
        </w:rPr>
      </w:pPr>
      <w:r w:rsidRPr="00833C88">
        <w:rPr>
          <w:rFonts w:cs="Times New Roman"/>
          <w:sz w:val="24"/>
          <w:szCs w:val="24"/>
          <w:lang w:eastAsia="pl-PL"/>
        </w:rPr>
        <w:t>W </w:t>
      </w:r>
      <w:r w:rsidR="00F257EC" w:rsidRPr="00833C88">
        <w:rPr>
          <w:rFonts w:cs="Times New Roman"/>
          <w:sz w:val="24"/>
          <w:szCs w:val="24"/>
          <w:lang w:eastAsia="pl-PL"/>
        </w:rPr>
        <w:t>ramach tego sektora wyodrębniono następujące podmioty:</w:t>
      </w:r>
    </w:p>
    <w:p w14:paraId="29322BAE" w14:textId="2A896EDB"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Instytucja kredytowa, </w:t>
      </w:r>
      <w:r w:rsidR="00601933" w:rsidRPr="00833C88">
        <w:rPr>
          <w:rFonts w:cs="Times New Roman"/>
          <w:sz w:val="24"/>
          <w:szCs w:val="24"/>
          <w:lang w:eastAsia="pl-PL"/>
        </w:rPr>
        <w:t>o </w:t>
      </w:r>
      <w:r w:rsidRPr="00833C88">
        <w:rPr>
          <w:rFonts w:cs="Times New Roman"/>
          <w:sz w:val="24"/>
          <w:szCs w:val="24"/>
          <w:lang w:eastAsia="pl-PL"/>
        </w:rPr>
        <w:t xml:space="preserve">której mowa </w:t>
      </w:r>
      <w:r w:rsidR="00601933" w:rsidRPr="00833C88">
        <w:rPr>
          <w:rFonts w:cs="Times New Roman"/>
          <w:sz w:val="24"/>
          <w:szCs w:val="24"/>
          <w:lang w:eastAsia="pl-PL"/>
        </w:rPr>
        <w:t>w </w:t>
      </w:r>
      <w:r w:rsidRPr="00833C88">
        <w:rPr>
          <w:rFonts w:cs="Times New Roman"/>
          <w:sz w:val="24"/>
          <w:szCs w:val="24"/>
          <w:lang w:eastAsia="pl-PL"/>
        </w:rPr>
        <w:t xml:space="preserve">art. 4 ust. 1 pkt 17 ustawy </w:t>
      </w:r>
      <w:r w:rsidR="00601933" w:rsidRPr="00833C88">
        <w:rPr>
          <w:rFonts w:cs="Times New Roman"/>
          <w:sz w:val="24"/>
          <w:szCs w:val="24"/>
          <w:lang w:eastAsia="pl-PL"/>
        </w:rPr>
        <w:t>z </w:t>
      </w:r>
      <w:r w:rsidRPr="00833C88">
        <w:rPr>
          <w:rFonts w:cs="Times New Roman"/>
          <w:sz w:val="24"/>
          <w:szCs w:val="24"/>
          <w:lang w:eastAsia="pl-PL"/>
        </w:rPr>
        <w:t xml:space="preserve">dnia 29 sierpnia 1997 r. – Prawo bankowe (Dz. U. </w:t>
      </w:r>
      <w:r w:rsidR="00601933" w:rsidRPr="00833C88">
        <w:rPr>
          <w:rFonts w:cs="Times New Roman"/>
          <w:sz w:val="24"/>
          <w:szCs w:val="24"/>
          <w:lang w:eastAsia="pl-PL"/>
        </w:rPr>
        <w:t>z </w:t>
      </w:r>
      <w:r w:rsidRPr="00833C88">
        <w:rPr>
          <w:rFonts w:cs="Times New Roman"/>
          <w:sz w:val="24"/>
          <w:szCs w:val="24"/>
          <w:lang w:eastAsia="pl-PL"/>
        </w:rPr>
        <w:t>202</w:t>
      </w:r>
      <w:r w:rsidR="00812A5E" w:rsidRPr="00833C88">
        <w:rPr>
          <w:rFonts w:cs="Times New Roman"/>
          <w:sz w:val="24"/>
          <w:szCs w:val="24"/>
          <w:lang w:eastAsia="pl-PL"/>
        </w:rPr>
        <w:t>4</w:t>
      </w:r>
      <w:r w:rsidRPr="00833C88">
        <w:rPr>
          <w:rFonts w:cs="Times New Roman"/>
          <w:sz w:val="24"/>
          <w:szCs w:val="24"/>
          <w:lang w:eastAsia="pl-PL"/>
        </w:rPr>
        <w:t xml:space="preserve"> r.</w:t>
      </w:r>
      <w:r w:rsidR="007B3511" w:rsidRPr="00833C88">
        <w:rPr>
          <w:rFonts w:cs="Times New Roman"/>
          <w:sz w:val="24"/>
          <w:szCs w:val="24"/>
          <w:lang w:eastAsia="pl-PL"/>
        </w:rPr>
        <w:t xml:space="preserve"> poz. 1646, </w:t>
      </w:r>
      <w:r w:rsidR="00ED57CF" w:rsidRPr="00833C88">
        <w:rPr>
          <w:rFonts w:cs="Times New Roman"/>
          <w:sz w:val="24"/>
          <w:szCs w:val="24"/>
          <w:lang w:eastAsia="pl-PL"/>
        </w:rPr>
        <w:t xml:space="preserve">z </w:t>
      </w:r>
      <w:proofErr w:type="spellStart"/>
      <w:r w:rsidR="00ED57CF" w:rsidRPr="00833C88">
        <w:rPr>
          <w:rFonts w:cs="Times New Roman"/>
          <w:sz w:val="24"/>
          <w:szCs w:val="24"/>
          <w:lang w:eastAsia="pl-PL"/>
        </w:rPr>
        <w:t>póżn</w:t>
      </w:r>
      <w:proofErr w:type="spellEnd"/>
      <w:r w:rsidR="00ED57CF" w:rsidRPr="00833C88">
        <w:rPr>
          <w:rFonts w:cs="Times New Roman"/>
          <w:sz w:val="24"/>
          <w:szCs w:val="24"/>
          <w:lang w:eastAsia="pl-PL"/>
        </w:rPr>
        <w:t>. zm.</w:t>
      </w:r>
      <w:r w:rsidRPr="00833C88">
        <w:rPr>
          <w:rFonts w:cs="Times New Roman"/>
          <w:sz w:val="24"/>
          <w:szCs w:val="24"/>
          <w:lang w:eastAsia="pl-PL"/>
        </w:rPr>
        <w:t>)</w:t>
      </w:r>
      <w:r w:rsidR="007D65D3" w:rsidRPr="00833C88">
        <w:rPr>
          <w:rFonts w:cs="Times New Roman"/>
          <w:sz w:val="24"/>
          <w:szCs w:val="24"/>
          <w:lang w:eastAsia="pl-PL"/>
        </w:rPr>
        <w:t>,</w:t>
      </w:r>
    </w:p>
    <w:p w14:paraId="04C27547" w14:textId="03346C2F"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Bank krajowy,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 ust. 1 pkt 1 ustawy </w:t>
      </w:r>
      <w:r w:rsidR="00601933" w:rsidRPr="00833C88">
        <w:rPr>
          <w:rFonts w:cs="Times New Roman"/>
          <w:sz w:val="24"/>
          <w:szCs w:val="24"/>
          <w:lang w:eastAsia="pl-PL"/>
        </w:rPr>
        <w:t>z </w:t>
      </w:r>
      <w:r w:rsidRPr="00833C88">
        <w:rPr>
          <w:rFonts w:cs="Times New Roman"/>
          <w:sz w:val="24"/>
          <w:szCs w:val="24"/>
          <w:lang w:eastAsia="pl-PL"/>
        </w:rPr>
        <w:t>dnia 29 sierpnia 1997 r. – Prawo bankowe</w:t>
      </w:r>
      <w:r w:rsidR="007D65D3" w:rsidRPr="00833C88">
        <w:rPr>
          <w:rFonts w:cs="Times New Roman"/>
          <w:sz w:val="24"/>
          <w:szCs w:val="24"/>
          <w:lang w:eastAsia="pl-PL"/>
        </w:rPr>
        <w:t>,</w:t>
      </w:r>
    </w:p>
    <w:p w14:paraId="3319C7B6" w14:textId="6F439CF5"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Oddział banku zagranicznego,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 ust. 1 pkt 20 ustawy </w:t>
      </w:r>
      <w:r w:rsidR="00601933" w:rsidRPr="00833C88">
        <w:rPr>
          <w:rFonts w:cs="Times New Roman"/>
          <w:sz w:val="24"/>
          <w:szCs w:val="24"/>
          <w:lang w:eastAsia="pl-PL"/>
        </w:rPr>
        <w:t>z </w:t>
      </w:r>
      <w:r w:rsidRPr="00833C88">
        <w:rPr>
          <w:rFonts w:cs="Times New Roman"/>
          <w:sz w:val="24"/>
          <w:szCs w:val="24"/>
          <w:lang w:eastAsia="pl-PL"/>
        </w:rPr>
        <w:t>dnia 29 sierpnia 1997 r. – Prawo bankowe</w:t>
      </w:r>
      <w:r w:rsidR="007D65D3" w:rsidRPr="00833C88">
        <w:rPr>
          <w:rFonts w:cs="Times New Roman"/>
          <w:sz w:val="24"/>
          <w:szCs w:val="24"/>
          <w:lang w:eastAsia="pl-PL"/>
        </w:rPr>
        <w:t>,</w:t>
      </w:r>
    </w:p>
    <w:p w14:paraId="0B7BE237" w14:textId="598F9452"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Spółdzielcze kasy oszczędnościowo-kredytowe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 xml:space="preserve">dnia 5 listopada 2009 r. </w:t>
      </w:r>
      <w:r w:rsidR="00601933" w:rsidRPr="00833C88">
        <w:rPr>
          <w:rFonts w:cs="Times New Roman"/>
          <w:sz w:val="24"/>
          <w:szCs w:val="24"/>
          <w:lang w:eastAsia="pl-PL"/>
        </w:rPr>
        <w:t>o </w:t>
      </w:r>
      <w:r w:rsidRPr="00833C88">
        <w:rPr>
          <w:rFonts w:cs="Times New Roman"/>
          <w:sz w:val="24"/>
          <w:szCs w:val="24"/>
          <w:lang w:eastAsia="pl-PL"/>
        </w:rPr>
        <w:t>spółdzielczych kasach oszczędnościowo-kredytowych</w:t>
      </w:r>
      <w:r w:rsidR="007D65D3" w:rsidRPr="00833C88">
        <w:rPr>
          <w:rFonts w:cs="Times New Roman"/>
          <w:sz w:val="24"/>
          <w:szCs w:val="24"/>
          <w:lang w:eastAsia="pl-PL"/>
        </w:rPr>
        <w:t>,</w:t>
      </w:r>
    </w:p>
    <w:p w14:paraId="2AA22023" w14:textId="1FE40DD1"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prowadzący rynek regulowany,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14 ust. 1 ustawy </w:t>
      </w:r>
      <w:r w:rsidR="00601933" w:rsidRPr="00833C88">
        <w:rPr>
          <w:rFonts w:cs="Times New Roman"/>
          <w:sz w:val="24"/>
          <w:szCs w:val="24"/>
          <w:lang w:eastAsia="pl-PL"/>
        </w:rPr>
        <w:t>z </w:t>
      </w:r>
      <w:r w:rsidRPr="00833C88">
        <w:rPr>
          <w:rFonts w:cs="Times New Roman"/>
          <w:sz w:val="24"/>
          <w:szCs w:val="24"/>
          <w:lang w:eastAsia="pl-PL"/>
        </w:rPr>
        <w:t xml:space="preserve">dnia 29 lipca 2005 r. </w:t>
      </w:r>
      <w:r w:rsidR="00601933" w:rsidRPr="00833C88">
        <w:rPr>
          <w:rFonts w:cs="Times New Roman"/>
          <w:sz w:val="24"/>
          <w:szCs w:val="24"/>
          <w:lang w:eastAsia="pl-PL"/>
        </w:rPr>
        <w:t>o </w:t>
      </w:r>
      <w:r w:rsidRPr="00833C88">
        <w:rPr>
          <w:rFonts w:cs="Times New Roman"/>
          <w:sz w:val="24"/>
          <w:szCs w:val="24"/>
          <w:lang w:eastAsia="pl-PL"/>
        </w:rPr>
        <w:t xml:space="preserve">obrocie instrumentami finansowymi (Dz. U. </w:t>
      </w:r>
      <w:r w:rsidR="00601933" w:rsidRPr="00833C88">
        <w:rPr>
          <w:rFonts w:cs="Times New Roman"/>
          <w:sz w:val="24"/>
          <w:szCs w:val="24"/>
          <w:lang w:eastAsia="pl-PL"/>
        </w:rPr>
        <w:t>z </w:t>
      </w:r>
      <w:r w:rsidRPr="00833C88">
        <w:rPr>
          <w:rFonts w:cs="Times New Roman"/>
          <w:sz w:val="24"/>
          <w:szCs w:val="24"/>
          <w:lang w:eastAsia="pl-PL"/>
        </w:rPr>
        <w:t>2024 r.</w:t>
      </w:r>
      <w:r w:rsidR="00102030" w:rsidRPr="00833C88">
        <w:rPr>
          <w:rFonts w:cs="Times New Roman"/>
          <w:sz w:val="24"/>
          <w:szCs w:val="24"/>
          <w:lang w:eastAsia="pl-PL"/>
        </w:rPr>
        <w:t xml:space="preserve"> poz. 722</w:t>
      </w:r>
      <w:r w:rsidR="00ED57CF" w:rsidRPr="00833C88">
        <w:rPr>
          <w:rFonts w:cs="Times New Roman"/>
          <w:sz w:val="24"/>
          <w:szCs w:val="24"/>
          <w:lang w:eastAsia="pl-PL"/>
        </w:rPr>
        <w:t>, z</w:t>
      </w:r>
      <w:r w:rsidR="007D65D3" w:rsidRPr="00833C88">
        <w:rPr>
          <w:rFonts w:cs="Times New Roman"/>
          <w:sz w:val="24"/>
          <w:szCs w:val="24"/>
          <w:lang w:eastAsia="pl-PL"/>
        </w:rPr>
        <w:t> </w:t>
      </w:r>
      <w:r w:rsidR="00ED57CF" w:rsidRPr="00833C88">
        <w:rPr>
          <w:rFonts w:cs="Times New Roman"/>
          <w:sz w:val="24"/>
          <w:szCs w:val="24"/>
          <w:lang w:eastAsia="pl-PL"/>
        </w:rPr>
        <w:t>późn. zm.</w:t>
      </w:r>
      <w:r w:rsidRPr="00833C88">
        <w:rPr>
          <w:rFonts w:cs="Times New Roman"/>
          <w:sz w:val="24"/>
          <w:szCs w:val="24"/>
          <w:lang w:eastAsia="pl-PL"/>
        </w:rPr>
        <w:t>)</w:t>
      </w:r>
      <w:r w:rsidR="007D65D3" w:rsidRPr="00833C88">
        <w:rPr>
          <w:rFonts w:cs="Times New Roman"/>
          <w:sz w:val="24"/>
          <w:szCs w:val="24"/>
          <w:lang w:eastAsia="pl-PL"/>
        </w:rPr>
        <w:t>,</w:t>
      </w:r>
    </w:p>
    <w:p w14:paraId="28B7B57C" w14:textId="03916A75"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3 pkt 49 ustawy </w:t>
      </w:r>
      <w:r w:rsidR="00601933" w:rsidRPr="00833C88">
        <w:rPr>
          <w:rFonts w:cs="Times New Roman"/>
          <w:sz w:val="24"/>
          <w:szCs w:val="24"/>
          <w:lang w:eastAsia="pl-PL"/>
        </w:rPr>
        <w:t>z </w:t>
      </w:r>
      <w:r w:rsidRPr="00833C88">
        <w:rPr>
          <w:rFonts w:cs="Times New Roman"/>
          <w:sz w:val="24"/>
          <w:szCs w:val="24"/>
          <w:lang w:eastAsia="pl-PL"/>
        </w:rPr>
        <w:t xml:space="preserve">dnia 29 lipca 2005 r. </w:t>
      </w:r>
      <w:r w:rsidR="00601933" w:rsidRPr="00833C88">
        <w:rPr>
          <w:rFonts w:cs="Times New Roman"/>
          <w:sz w:val="24"/>
          <w:szCs w:val="24"/>
          <w:lang w:eastAsia="pl-PL"/>
        </w:rPr>
        <w:t>o </w:t>
      </w:r>
      <w:r w:rsidRPr="00833C88">
        <w:rPr>
          <w:rFonts w:cs="Times New Roman"/>
          <w:sz w:val="24"/>
          <w:szCs w:val="24"/>
          <w:lang w:eastAsia="pl-PL"/>
        </w:rPr>
        <w:t>obrocie instrumentami finansowymi</w:t>
      </w:r>
      <w:r w:rsidR="007D65D3" w:rsidRPr="00833C88">
        <w:rPr>
          <w:rFonts w:cs="Times New Roman"/>
          <w:sz w:val="24"/>
          <w:szCs w:val="24"/>
          <w:lang w:eastAsia="pl-PL"/>
        </w:rPr>
        <w:t>,</w:t>
      </w:r>
    </w:p>
    <w:p w14:paraId="2ABA1690" w14:textId="7A836147"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48 ust. 7 ustawy </w:t>
      </w:r>
      <w:r w:rsidR="00601933" w:rsidRPr="00833C88">
        <w:rPr>
          <w:rFonts w:cs="Times New Roman"/>
          <w:sz w:val="24"/>
          <w:szCs w:val="24"/>
          <w:lang w:eastAsia="pl-PL"/>
        </w:rPr>
        <w:t>z </w:t>
      </w:r>
      <w:r w:rsidRPr="00833C88">
        <w:rPr>
          <w:rFonts w:cs="Times New Roman"/>
          <w:sz w:val="24"/>
          <w:szCs w:val="24"/>
          <w:lang w:eastAsia="pl-PL"/>
        </w:rPr>
        <w:t xml:space="preserve">dnia 29 lipca 2005 r. </w:t>
      </w:r>
      <w:r w:rsidR="00601933" w:rsidRPr="00833C88">
        <w:rPr>
          <w:rFonts w:cs="Times New Roman"/>
          <w:sz w:val="24"/>
          <w:szCs w:val="24"/>
          <w:lang w:eastAsia="pl-PL"/>
        </w:rPr>
        <w:t>o </w:t>
      </w:r>
      <w:r w:rsidRPr="00833C88">
        <w:rPr>
          <w:rFonts w:cs="Times New Roman"/>
          <w:sz w:val="24"/>
          <w:szCs w:val="24"/>
          <w:lang w:eastAsia="pl-PL"/>
        </w:rPr>
        <w:t>obrocie instrumentami finansowymi</w:t>
      </w:r>
      <w:r w:rsidR="007D65D3" w:rsidRPr="00833C88">
        <w:rPr>
          <w:rFonts w:cs="Times New Roman"/>
          <w:sz w:val="24"/>
          <w:szCs w:val="24"/>
          <w:lang w:eastAsia="pl-PL"/>
        </w:rPr>
        <w:t>,</w:t>
      </w:r>
    </w:p>
    <w:p w14:paraId="400054D9" w14:textId="2B10145B"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lastRenderedPageBreak/>
        <w:t xml:space="preserve">Podmiot prowadzący ASO </w:t>
      </w:r>
      <w:r w:rsidR="00601933" w:rsidRPr="00833C88">
        <w:rPr>
          <w:rFonts w:cs="Times New Roman"/>
          <w:sz w:val="24"/>
          <w:szCs w:val="24"/>
          <w:lang w:eastAsia="pl-PL"/>
        </w:rPr>
        <w:t>w </w:t>
      </w:r>
      <w:r w:rsidRPr="00833C88">
        <w:rPr>
          <w:rFonts w:cs="Times New Roman"/>
          <w:sz w:val="24"/>
          <w:szCs w:val="24"/>
          <w:lang w:eastAsia="pl-PL"/>
        </w:rPr>
        <w:t xml:space="preserve">rozumieniu art. 3 pkt 2 ustawy </w:t>
      </w:r>
      <w:r w:rsidR="00601933" w:rsidRPr="00833C88">
        <w:rPr>
          <w:rFonts w:cs="Times New Roman"/>
          <w:sz w:val="24"/>
          <w:szCs w:val="24"/>
          <w:lang w:eastAsia="pl-PL"/>
        </w:rPr>
        <w:t>z </w:t>
      </w:r>
      <w:r w:rsidRPr="00833C88">
        <w:rPr>
          <w:rFonts w:cs="Times New Roman"/>
          <w:sz w:val="24"/>
          <w:szCs w:val="24"/>
          <w:lang w:eastAsia="pl-PL"/>
        </w:rPr>
        <w:t xml:space="preserve">dnia 29 lipca 2005 r. </w:t>
      </w:r>
      <w:r w:rsidR="00601933" w:rsidRPr="00833C88">
        <w:rPr>
          <w:rFonts w:cs="Times New Roman"/>
          <w:sz w:val="24"/>
          <w:szCs w:val="24"/>
          <w:lang w:eastAsia="pl-PL"/>
        </w:rPr>
        <w:t>o </w:t>
      </w:r>
      <w:r w:rsidRPr="00833C88">
        <w:rPr>
          <w:rFonts w:cs="Times New Roman"/>
          <w:sz w:val="24"/>
          <w:szCs w:val="24"/>
          <w:lang w:eastAsia="pl-PL"/>
        </w:rPr>
        <w:t>obrocie instrumentami finansowymi</w:t>
      </w:r>
      <w:r w:rsidR="007D65D3" w:rsidRPr="00833C88">
        <w:rPr>
          <w:rFonts w:cs="Times New Roman"/>
          <w:sz w:val="24"/>
          <w:szCs w:val="24"/>
          <w:lang w:eastAsia="pl-PL"/>
        </w:rPr>
        <w:t>,</w:t>
      </w:r>
    </w:p>
    <w:p w14:paraId="67C3EE0F" w14:textId="03F27B80"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prowadzący OTF </w:t>
      </w:r>
      <w:r w:rsidR="00601933" w:rsidRPr="00833C88">
        <w:rPr>
          <w:rFonts w:cs="Times New Roman"/>
          <w:sz w:val="24"/>
          <w:szCs w:val="24"/>
          <w:lang w:eastAsia="pl-PL"/>
        </w:rPr>
        <w:t>w </w:t>
      </w:r>
      <w:r w:rsidRPr="00833C88">
        <w:rPr>
          <w:rFonts w:cs="Times New Roman"/>
          <w:sz w:val="24"/>
          <w:szCs w:val="24"/>
          <w:lang w:eastAsia="pl-PL"/>
        </w:rPr>
        <w:t xml:space="preserve">rozumieniu art. 3 pkt 10b ustawy </w:t>
      </w:r>
      <w:r w:rsidR="00601933" w:rsidRPr="00833C88">
        <w:rPr>
          <w:rFonts w:cs="Times New Roman"/>
          <w:sz w:val="24"/>
          <w:szCs w:val="24"/>
          <w:lang w:eastAsia="pl-PL"/>
        </w:rPr>
        <w:t>z </w:t>
      </w:r>
      <w:r w:rsidRPr="00833C88">
        <w:rPr>
          <w:rFonts w:cs="Times New Roman"/>
          <w:sz w:val="24"/>
          <w:szCs w:val="24"/>
          <w:lang w:eastAsia="pl-PL"/>
        </w:rPr>
        <w:t xml:space="preserve">dnia 29 lipca 2005 r. </w:t>
      </w:r>
      <w:r w:rsidR="00601933" w:rsidRPr="00833C88">
        <w:rPr>
          <w:rFonts w:cs="Times New Roman"/>
          <w:sz w:val="24"/>
          <w:szCs w:val="24"/>
          <w:lang w:eastAsia="pl-PL"/>
        </w:rPr>
        <w:t>o </w:t>
      </w:r>
      <w:r w:rsidRPr="00833C88">
        <w:rPr>
          <w:rFonts w:cs="Times New Roman"/>
          <w:sz w:val="24"/>
          <w:szCs w:val="24"/>
          <w:lang w:eastAsia="pl-PL"/>
        </w:rPr>
        <w:t>obrocie instrumentami finansowymi</w:t>
      </w:r>
      <w:r w:rsidR="007D65D3" w:rsidRPr="00833C88">
        <w:rPr>
          <w:rFonts w:cs="Times New Roman"/>
          <w:sz w:val="24"/>
          <w:szCs w:val="24"/>
          <w:lang w:eastAsia="pl-PL"/>
        </w:rPr>
        <w:t>,</w:t>
      </w:r>
    </w:p>
    <w:p w14:paraId="62909E7F" w14:textId="15784BD2" w:rsidR="003D03F3" w:rsidRPr="00833C88" w:rsidRDefault="003D03F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lang w:eastAsia="pl-PL"/>
        </w:rPr>
        <w:t>Administratorzy kluczowych wskaźników referencyjnych</w:t>
      </w:r>
      <w:r w:rsidR="007D65D3" w:rsidRPr="00833C88">
        <w:rPr>
          <w:rFonts w:cs="Times New Roman"/>
          <w:sz w:val="24"/>
          <w:szCs w:val="24"/>
          <w:lang w:eastAsia="pl-PL"/>
        </w:rPr>
        <w:t>,</w:t>
      </w:r>
    </w:p>
    <w:p w14:paraId="56795F4C" w14:textId="77777777" w:rsidR="007D65D3" w:rsidRPr="00833C88" w:rsidRDefault="007D65D3">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rPr>
        <w:t>Podmiot utworzony na podstawie art. 67 ustawy – Prawo bankowe,</w:t>
      </w:r>
    </w:p>
    <w:p w14:paraId="31392C72" w14:textId="62078B56" w:rsidR="00F257EC" w:rsidRPr="00833C88" w:rsidRDefault="00F257EC">
      <w:pPr>
        <w:pStyle w:val="Akapitzlist"/>
        <w:numPr>
          <w:ilvl w:val="0"/>
          <w:numId w:val="43"/>
        </w:numPr>
        <w:spacing w:line="360" w:lineRule="auto"/>
        <w:contextualSpacing w:val="0"/>
        <w:jc w:val="both"/>
        <w:rPr>
          <w:rFonts w:cs="Times New Roman"/>
          <w:sz w:val="24"/>
          <w:szCs w:val="24"/>
          <w:lang w:eastAsia="pl-PL"/>
        </w:rPr>
      </w:pPr>
      <w:r w:rsidRPr="00833C88">
        <w:rPr>
          <w:rFonts w:cs="Times New Roman"/>
          <w:sz w:val="24"/>
          <w:szCs w:val="24"/>
        </w:rPr>
        <w:t xml:space="preserve">Podmiot, </w:t>
      </w:r>
      <w:r w:rsidR="00601933" w:rsidRPr="00833C88">
        <w:rPr>
          <w:rFonts w:cs="Times New Roman"/>
          <w:sz w:val="24"/>
          <w:szCs w:val="24"/>
        </w:rPr>
        <w:t>o </w:t>
      </w:r>
      <w:r w:rsidRPr="00833C88">
        <w:rPr>
          <w:rFonts w:cs="Times New Roman"/>
          <w:sz w:val="24"/>
          <w:szCs w:val="24"/>
        </w:rPr>
        <w:t xml:space="preserve">którym mowa </w:t>
      </w:r>
      <w:r w:rsidR="00601933" w:rsidRPr="00833C88">
        <w:rPr>
          <w:rFonts w:cs="Times New Roman"/>
          <w:sz w:val="24"/>
          <w:szCs w:val="24"/>
        </w:rPr>
        <w:t>w </w:t>
      </w:r>
      <w:r w:rsidRPr="00833C88">
        <w:rPr>
          <w:rFonts w:cs="Times New Roman"/>
          <w:sz w:val="24"/>
          <w:szCs w:val="24"/>
        </w:rPr>
        <w:t xml:space="preserve">art. 3 pkt 21a ustawy </w:t>
      </w:r>
      <w:r w:rsidR="00601933" w:rsidRPr="00833C88">
        <w:rPr>
          <w:rFonts w:cs="Times New Roman"/>
          <w:sz w:val="24"/>
          <w:szCs w:val="24"/>
        </w:rPr>
        <w:t>z </w:t>
      </w:r>
      <w:r w:rsidRPr="00833C88">
        <w:rPr>
          <w:rFonts w:cs="Times New Roman"/>
          <w:sz w:val="24"/>
          <w:szCs w:val="24"/>
        </w:rPr>
        <w:t xml:space="preserve">dnia 29 lipca 2005 r. </w:t>
      </w:r>
      <w:r w:rsidR="00601933" w:rsidRPr="00833C88">
        <w:rPr>
          <w:rFonts w:cs="Times New Roman"/>
          <w:sz w:val="24"/>
          <w:szCs w:val="24"/>
        </w:rPr>
        <w:t>o </w:t>
      </w:r>
      <w:r w:rsidRPr="00833C88">
        <w:rPr>
          <w:rFonts w:cs="Times New Roman"/>
          <w:sz w:val="24"/>
          <w:szCs w:val="24"/>
        </w:rPr>
        <w:t>obrocie instrumentami finansowymi mający siedzibę na terytorium Rzeczpospolitej Polskiej.</w:t>
      </w:r>
    </w:p>
    <w:p w14:paraId="6E157097" w14:textId="15F72F33" w:rsidR="00F257EC" w:rsidRPr="00833C88" w:rsidRDefault="00F257EC" w:rsidP="002B667E">
      <w:pPr>
        <w:spacing w:line="360" w:lineRule="auto"/>
        <w:jc w:val="both"/>
        <w:rPr>
          <w:rFonts w:cs="Times New Roman"/>
          <w:sz w:val="24"/>
          <w:szCs w:val="24"/>
          <w:lang w:eastAsia="pl-PL"/>
        </w:rPr>
      </w:pPr>
      <w:r w:rsidRPr="00833C88">
        <w:rPr>
          <w:rFonts w:cs="Times New Roman"/>
          <w:sz w:val="24"/>
          <w:szCs w:val="24"/>
        </w:rPr>
        <w:t xml:space="preserve">Wszystkie te podmioty mają istotny wpływ na przeprowadzanie transakcji, </w:t>
      </w:r>
      <w:r w:rsidR="00601933" w:rsidRPr="00833C88">
        <w:rPr>
          <w:rFonts w:cs="Times New Roman"/>
          <w:sz w:val="24"/>
          <w:szCs w:val="24"/>
        </w:rPr>
        <w:t>a w </w:t>
      </w:r>
      <w:r w:rsidRPr="00833C88">
        <w:rPr>
          <w:rFonts w:cs="Times New Roman"/>
          <w:sz w:val="24"/>
          <w:szCs w:val="24"/>
        </w:rPr>
        <w:t xml:space="preserve">konsekwencji na całą gospodarkę. Wystąpienie incydentu poważnego </w:t>
      </w:r>
      <w:r w:rsidR="00601933" w:rsidRPr="00833C88">
        <w:rPr>
          <w:rFonts w:cs="Times New Roman"/>
          <w:sz w:val="24"/>
          <w:szCs w:val="24"/>
        </w:rPr>
        <w:t>w </w:t>
      </w:r>
      <w:r w:rsidRPr="00833C88">
        <w:rPr>
          <w:rFonts w:cs="Times New Roman"/>
          <w:sz w:val="24"/>
          <w:szCs w:val="24"/>
        </w:rPr>
        <w:t xml:space="preserve">takim podmiocie może też wiązać się </w:t>
      </w:r>
      <w:r w:rsidR="00601933" w:rsidRPr="00833C88">
        <w:rPr>
          <w:rFonts w:cs="Times New Roman"/>
          <w:sz w:val="24"/>
          <w:szCs w:val="24"/>
        </w:rPr>
        <w:t>z </w:t>
      </w:r>
      <w:r w:rsidRPr="00833C88">
        <w:rPr>
          <w:rFonts w:cs="Times New Roman"/>
          <w:sz w:val="24"/>
          <w:szCs w:val="24"/>
        </w:rPr>
        <w:t xml:space="preserve">uzyskaniem dostępu do istotnych danych </w:t>
      </w:r>
      <w:r w:rsidR="00601933" w:rsidRPr="00833C88">
        <w:rPr>
          <w:rFonts w:cs="Times New Roman"/>
          <w:sz w:val="24"/>
          <w:szCs w:val="24"/>
        </w:rPr>
        <w:t>o </w:t>
      </w:r>
      <w:r w:rsidRPr="00833C88">
        <w:rPr>
          <w:rFonts w:cs="Times New Roman"/>
          <w:sz w:val="24"/>
          <w:szCs w:val="24"/>
        </w:rPr>
        <w:t xml:space="preserve">transakcjach czy nawet może pozwolić na </w:t>
      </w:r>
      <w:r w:rsidR="00CC72D8" w:rsidRPr="00833C88">
        <w:rPr>
          <w:rFonts w:cs="Times New Roman"/>
          <w:sz w:val="24"/>
          <w:szCs w:val="24"/>
        </w:rPr>
        <w:t>uzyskanie dostępu do środków należących do innych podmiotów. Dlatego konieczne jest szczególne zabezpieczenie tego sektora.</w:t>
      </w:r>
    </w:p>
    <w:p w14:paraId="4D87783B" w14:textId="028EC5A4" w:rsidR="007D7E2B" w:rsidRPr="00833C88" w:rsidRDefault="007D7E2B" w:rsidP="000650EC">
      <w:pPr>
        <w:pStyle w:val="Nagwek4"/>
        <w:spacing w:before="0" w:after="120" w:line="360" w:lineRule="auto"/>
        <w:jc w:val="both"/>
        <w:rPr>
          <w:rFonts w:cs="Times New Roman"/>
          <w:sz w:val="24"/>
          <w:szCs w:val="24"/>
          <w:lang w:eastAsia="pl-PL"/>
        </w:rPr>
      </w:pPr>
      <w:r w:rsidRPr="00833C88">
        <w:rPr>
          <w:rFonts w:cs="Times New Roman"/>
          <w:sz w:val="24"/>
          <w:szCs w:val="24"/>
          <w:lang w:eastAsia="pl-PL"/>
        </w:rPr>
        <w:t>Ochrona zdrowia</w:t>
      </w:r>
    </w:p>
    <w:p w14:paraId="60659EC1" w14:textId="63BE7037" w:rsidR="00591996" w:rsidRPr="00833C88" w:rsidRDefault="00601933" w:rsidP="000650EC">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sektora ochrony zdrowia wyróżniamy następujące podsektory:</w:t>
      </w:r>
    </w:p>
    <w:p w14:paraId="48A868DC" w14:textId="6291FF2C" w:rsidR="002639CD" w:rsidRPr="00833C88" w:rsidRDefault="002639CD" w:rsidP="000650EC">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Udzielanie świadczeń zdrowotnych </w:t>
      </w:r>
      <w:r w:rsidR="00601933" w:rsidRPr="00833C88">
        <w:rPr>
          <w:rFonts w:cs="Times New Roman"/>
          <w:sz w:val="24"/>
          <w:szCs w:val="24"/>
          <w:lang w:eastAsia="pl-PL"/>
        </w:rPr>
        <w:t>i </w:t>
      </w:r>
      <w:r w:rsidRPr="00833C88">
        <w:rPr>
          <w:rFonts w:cs="Times New Roman"/>
          <w:sz w:val="24"/>
          <w:szCs w:val="24"/>
          <w:lang w:eastAsia="pl-PL"/>
        </w:rPr>
        <w:t>zdrowie publiczne</w:t>
      </w:r>
      <w:r w:rsidR="007D65D3" w:rsidRPr="00833C88">
        <w:rPr>
          <w:rFonts w:cs="Times New Roman"/>
          <w:sz w:val="24"/>
          <w:szCs w:val="24"/>
          <w:lang w:eastAsia="pl-PL"/>
        </w:rPr>
        <w:t>:</w:t>
      </w:r>
    </w:p>
    <w:p w14:paraId="6596FE9D" w14:textId="71B908C2"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leczniczy,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 ust. 1 ustawy </w:t>
      </w:r>
      <w:r w:rsidR="00601933" w:rsidRPr="00833C88">
        <w:rPr>
          <w:rFonts w:cs="Times New Roman"/>
          <w:sz w:val="24"/>
          <w:szCs w:val="24"/>
          <w:lang w:eastAsia="pl-PL"/>
        </w:rPr>
        <w:t>z </w:t>
      </w:r>
      <w:r w:rsidRPr="00833C88">
        <w:rPr>
          <w:rFonts w:cs="Times New Roman"/>
          <w:sz w:val="24"/>
          <w:szCs w:val="24"/>
          <w:lang w:eastAsia="pl-PL"/>
        </w:rPr>
        <w:t xml:space="preserve">dnia 15 kwietnia 2011 r. </w:t>
      </w:r>
      <w:r w:rsidR="00601933" w:rsidRPr="00833C88">
        <w:rPr>
          <w:rFonts w:cs="Times New Roman"/>
          <w:sz w:val="24"/>
          <w:szCs w:val="24"/>
          <w:lang w:eastAsia="pl-PL"/>
        </w:rPr>
        <w:t>o </w:t>
      </w:r>
      <w:r w:rsidRPr="00833C88">
        <w:rPr>
          <w:rFonts w:cs="Times New Roman"/>
          <w:sz w:val="24"/>
          <w:szCs w:val="24"/>
          <w:lang w:eastAsia="pl-PL"/>
        </w:rPr>
        <w:t>działalności leczniczej</w:t>
      </w:r>
      <w:r w:rsidR="007D65D3" w:rsidRPr="00833C88">
        <w:rPr>
          <w:rFonts w:cs="Times New Roman"/>
          <w:sz w:val="24"/>
          <w:szCs w:val="24"/>
          <w:lang w:eastAsia="pl-PL"/>
        </w:rPr>
        <w:t>,</w:t>
      </w:r>
    </w:p>
    <w:p w14:paraId="6CB2CA76" w14:textId="3B6A4D59"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Laboratoria referencyjne UE,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15 rozporządzenia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(UE) 2022/2371 </w:t>
      </w:r>
      <w:r w:rsidR="00601933" w:rsidRPr="00833C88">
        <w:rPr>
          <w:rFonts w:cs="Times New Roman"/>
          <w:sz w:val="24"/>
          <w:szCs w:val="24"/>
          <w:lang w:eastAsia="pl-PL"/>
        </w:rPr>
        <w:t>z </w:t>
      </w:r>
      <w:r w:rsidRPr="00833C88">
        <w:rPr>
          <w:rFonts w:cs="Times New Roman"/>
          <w:sz w:val="24"/>
          <w:szCs w:val="24"/>
          <w:lang w:eastAsia="pl-PL"/>
        </w:rPr>
        <w:t xml:space="preserve">dnia 23 listopada 2022 r. </w:t>
      </w:r>
      <w:r w:rsidR="00601933" w:rsidRPr="00833C88">
        <w:rPr>
          <w:rFonts w:cs="Times New Roman"/>
          <w:sz w:val="24"/>
          <w:szCs w:val="24"/>
          <w:lang w:eastAsia="pl-PL"/>
        </w:rPr>
        <w:t>w </w:t>
      </w:r>
      <w:r w:rsidRPr="00833C88">
        <w:rPr>
          <w:rFonts w:cs="Times New Roman"/>
          <w:sz w:val="24"/>
          <w:szCs w:val="24"/>
          <w:lang w:eastAsia="pl-PL"/>
        </w:rPr>
        <w:t>sprawie poważnych transgranicznych zagrożeń zdrowia oraz uchylenia decyzji nr</w:t>
      </w:r>
      <w:r w:rsidR="002B667E" w:rsidRPr="00833C88">
        <w:rPr>
          <w:rFonts w:cs="Times New Roman"/>
          <w:sz w:val="24"/>
          <w:szCs w:val="24"/>
          <w:lang w:eastAsia="pl-PL"/>
        </w:rPr>
        <w:t> </w:t>
      </w:r>
      <w:r w:rsidRPr="00833C88">
        <w:rPr>
          <w:rFonts w:cs="Times New Roman"/>
          <w:sz w:val="24"/>
          <w:szCs w:val="24"/>
          <w:lang w:eastAsia="pl-PL"/>
        </w:rPr>
        <w:t xml:space="preserve">1082/2013/UE (Dz. Urz. UE L 314 </w:t>
      </w:r>
      <w:r w:rsidR="00601933" w:rsidRPr="00833C88">
        <w:rPr>
          <w:rFonts w:cs="Times New Roman"/>
          <w:sz w:val="24"/>
          <w:szCs w:val="24"/>
          <w:lang w:eastAsia="pl-PL"/>
        </w:rPr>
        <w:t>z </w:t>
      </w:r>
      <w:r w:rsidRPr="00833C88">
        <w:rPr>
          <w:rFonts w:cs="Times New Roman"/>
          <w:sz w:val="24"/>
          <w:szCs w:val="24"/>
          <w:lang w:eastAsia="pl-PL"/>
        </w:rPr>
        <w:t>06.12.2022, str. 1)</w:t>
      </w:r>
      <w:r w:rsidR="007D65D3" w:rsidRPr="00833C88">
        <w:rPr>
          <w:rFonts w:cs="Times New Roman"/>
          <w:sz w:val="24"/>
          <w:szCs w:val="24"/>
          <w:lang w:eastAsia="pl-PL"/>
        </w:rPr>
        <w:t>,</w:t>
      </w:r>
    </w:p>
    <w:p w14:paraId="220E139F" w14:textId="36B6DAD5"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Jednostka podległa ministrowi właściwemu do spraw zdrowia albo przez niego nadzorowana, właściwa </w:t>
      </w:r>
      <w:r w:rsidR="00601933" w:rsidRPr="00833C88">
        <w:rPr>
          <w:rFonts w:cs="Times New Roman"/>
          <w:sz w:val="24"/>
          <w:szCs w:val="24"/>
          <w:lang w:eastAsia="pl-PL"/>
        </w:rPr>
        <w:t>w </w:t>
      </w:r>
      <w:r w:rsidRPr="00833C88">
        <w:rPr>
          <w:rFonts w:cs="Times New Roman"/>
          <w:sz w:val="24"/>
          <w:szCs w:val="24"/>
          <w:lang w:eastAsia="pl-PL"/>
        </w:rPr>
        <w:t>zakresie systemów informacyjnych ochrony zdrowia</w:t>
      </w:r>
      <w:r w:rsidR="007D65D3" w:rsidRPr="00833C88">
        <w:rPr>
          <w:rFonts w:cs="Times New Roman"/>
          <w:sz w:val="24"/>
          <w:szCs w:val="24"/>
          <w:lang w:eastAsia="pl-PL"/>
        </w:rPr>
        <w:t>,</w:t>
      </w:r>
    </w:p>
    <w:p w14:paraId="11136CE4" w14:textId="327D026D"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Urzędy obsługujące organy Państwowej Inspekcji Sanitarnej</w:t>
      </w:r>
      <w:r w:rsidR="007D65D3" w:rsidRPr="00833C88">
        <w:rPr>
          <w:rFonts w:cs="Times New Roman"/>
          <w:sz w:val="24"/>
          <w:szCs w:val="24"/>
          <w:lang w:eastAsia="pl-PL"/>
        </w:rPr>
        <w:t>,</w:t>
      </w:r>
    </w:p>
    <w:p w14:paraId="31452E29" w14:textId="76DEA787"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Krajowe Centrum Monitorowania Ratownictwa Medycznego,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27a ustawy </w:t>
      </w:r>
      <w:r w:rsidR="00601933" w:rsidRPr="00833C88">
        <w:rPr>
          <w:rFonts w:cs="Times New Roman"/>
          <w:sz w:val="24"/>
          <w:szCs w:val="24"/>
          <w:lang w:eastAsia="pl-PL"/>
        </w:rPr>
        <w:t>z </w:t>
      </w:r>
      <w:r w:rsidRPr="00833C88">
        <w:rPr>
          <w:rFonts w:cs="Times New Roman"/>
          <w:sz w:val="24"/>
          <w:szCs w:val="24"/>
          <w:lang w:eastAsia="pl-PL"/>
        </w:rPr>
        <w:t xml:space="preserve">dnia 8 września 2006 r. </w:t>
      </w:r>
      <w:r w:rsidR="00601933" w:rsidRPr="00833C88">
        <w:rPr>
          <w:rFonts w:cs="Times New Roman"/>
          <w:sz w:val="24"/>
          <w:szCs w:val="24"/>
          <w:lang w:eastAsia="pl-PL"/>
        </w:rPr>
        <w:t>o </w:t>
      </w:r>
      <w:r w:rsidRPr="00833C88">
        <w:rPr>
          <w:rFonts w:cs="Times New Roman"/>
          <w:sz w:val="24"/>
          <w:szCs w:val="24"/>
          <w:lang w:eastAsia="pl-PL"/>
        </w:rPr>
        <w:t>Państwowym Ratownictwie Medycznym (Dz.</w:t>
      </w:r>
      <w:r w:rsidR="007D65D3" w:rsidRPr="00833C88">
        <w:rPr>
          <w:rFonts w:cs="Times New Roman"/>
          <w:sz w:val="24"/>
          <w:szCs w:val="24"/>
          <w:lang w:eastAsia="pl-PL"/>
        </w:rPr>
        <w:t> </w:t>
      </w:r>
      <w:r w:rsidRPr="00833C88">
        <w:rPr>
          <w:rFonts w:cs="Times New Roman"/>
          <w:sz w:val="24"/>
          <w:szCs w:val="24"/>
          <w:lang w:eastAsia="pl-PL"/>
        </w:rPr>
        <w:t xml:space="preserve">U. </w:t>
      </w:r>
      <w:r w:rsidR="00601933" w:rsidRPr="00833C88">
        <w:rPr>
          <w:rFonts w:cs="Times New Roman"/>
          <w:sz w:val="24"/>
          <w:szCs w:val="24"/>
          <w:lang w:eastAsia="pl-PL"/>
        </w:rPr>
        <w:t>z </w:t>
      </w:r>
      <w:r w:rsidRPr="00833C88">
        <w:rPr>
          <w:rFonts w:cs="Times New Roman"/>
          <w:sz w:val="24"/>
          <w:szCs w:val="24"/>
          <w:lang w:eastAsia="pl-PL"/>
        </w:rPr>
        <w:t>202</w:t>
      </w:r>
      <w:r w:rsidR="00812A5E" w:rsidRPr="00833C88">
        <w:rPr>
          <w:rFonts w:cs="Times New Roman"/>
          <w:sz w:val="24"/>
          <w:szCs w:val="24"/>
          <w:lang w:eastAsia="pl-PL"/>
        </w:rPr>
        <w:t>5</w:t>
      </w:r>
      <w:r w:rsidRPr="00833C88">
        <w:rPr>
          <w:rFonts w:cs="Times New Roman"/>
          <w:sz w:val="24"/>
          <w:szCs w:val="24"/>
          <w:lang w:eastAsia="pl-PL"/>
        </w:rPr>
        <w:t xml:space="preserve"> r. poz. </w:t>
      </w:r>
      <w:r w:rsidR="00812A5E" w:rsidRPr="00833C88">
        <w:rPr>
          <w:rFonts w:cs="Times New Roman"/>
          <w:sz w:val="24"/>
          <w:szCs w:val="24"/>
          <w:lang w:eastAsia="pl-PL"/>
        </w:rPr>
        <w:t>91</w:t>
      </w:r>
      <w:r w:rsidR="00ED57CF" w:rsidRPr="00833C88">
        <w:rPr>
          <w:rFonts w:cs="Times New Roman"/>
          <w:sz w:val="24"/>
          <w:szCs w:val="24"/>
          <w:lang w:eastAsia="pl-PL"/>
        </w:rPr>
        <w:t xml:space="preserve"> i 637</w:t>
      </w:r>
      <w:r w:rsidRPr="00833C88">
        <w:rPr>
          <w:rFonts w:cs="Times New Roman"/>
          <w:sz w:val="24"/>
          <w:szCs w:val="24"/>
          <w:lang w:eastAsia="pl-PL"/>
        </w:rPr>
        <w:t>)</w:t>
      </w:r>
      <w:r w:rsidR="007D65D3" w:rsidRPr="00833C88">
        <w:rPr>
          <w:rFonts w:cs="Times New Roman"/>
          <w:sz w:val="24"/>
          <w:szCs w:val="24"/>
          <w:lang w:eastAsia="pl-PL"/>
        </w:rPr>
        <w:t>,</w:t>
      </w:r>
    </w:p>
    <w:p w14:paraId="4608B1BD" w14:textId="6B03C472"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lastRenderedPageBreak/>
        <w:t xml:space="preserve">Jednostki organizacyjne publicznej służby krwi,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4 ust. 3 pkt 2 ustawy </w:t>
      </w:r>
      <w:r w:rsidR="00601933" w:rsidRPr="00833C88">
        <w:rPr>
          <w:rFonts w:cs="Times New Roman"/>
          <w:sz w:val="24"/>
          <w:szCs w:val="24"/>
          <w:lang w:eastAsia="pl-PL"/>
        </w:rPr>
        <w:t>z </w:t>
      </w:r>
      <w:r w:rsidRPr="00833C88">
        <w:rPr>
          <w:rFonts w:cs="Times New Roman"/>
          <w:sz w:val="24"/>
          <w:szCs w:val="24"/>
          <w:lang w:eastAsia="pl-PL"/>
        </w:rPr>
        <w:t xml:space="preserve">dnia 22 sierpnia 1997 r. </w:t>
      </w:r>
      <w:r w:rsidR="00601933" w:rsidRPr="00833C88">
        <w:rPr>
          <w:rFonts w:cs="Times New Roman"/>
          <w:sz w:val="24"/>
          <w:szCs w:val="24"/>
          <w:lang w:eastAsia="pl-PL"/>
        </w:rPr>
        <w:t>o </w:t>
      </w:r>
      <w:r w:rsidRPr="00833C88">
        <w:rPr>
          <w:rFonts w:cs="Times New Roman"/>
          <w:sz w:val="24"/>
          <w:szCs w:val="24"/>
          <w:lang w:eastAsia="pl-PL"/>
        </w:rPr>
        <w:t xml:space="preserve">publicznej służbie krwi (Dz. U. </w:t>
      </w:r>
      <w:r w:rsidR="00601933" w:rsidRPr="00833C88">
        <w:rPr>
          <w:rFonts w:cs="Times New Roman"/>
          <w:sz w:val="24"/>
          <w:szCs w:val="24"/>
          <w:lang w:eastAsia="pl-PL"/>
        </w:rPr>
        <w:t>z </w:t>
      </w:r>
      <w:r w:rsidRPr="00833C88">
        <w:rPr>
          <w:rFonts w:cs="Times New Roman"/>
          <w:sz w:val="24"/>
          <w:szCs w:val="24"/>
          <w:lang w:eastAsia="pl-PL"/>
        </w:rPr>
        <w:t xml:space="preserve">2024 r. poz. </w:t>
      </w:r>
      <w:r w:rsidR="00812A5E" w:rsidRPr="00833C88">
        <w:rPr>
          <w:rFonts w:cs="Times New Roman"/>
          <w:sz w:val="24"/>
          <w:szCs w:val="24"/>
          <w:lang w:eastAsia="pl-PL"/>
        </w:rPr>
        <w:t>1782</w:t>
      </w:r>
      <w:r w:rsidRPr="00833C88">
        <w:rPr>
          <w:rFonts w:cs="Times New Roman"/>
          <w:sz w:val="24"/>
          <w:szCs w:val="24"/>
          <w:lang w:eastAsia="pl-PL"/>
        </w:rPr>
        <w:t>)</w:t>
      </w:r>
      <w:r w:rsidR="007D65D3" w:rsidRPr="00833C88">
        <w:rPr>
          <w:rFonts w:cs="Times New Roman"/>
          <w:sz w:val="24"/>
          <w:szCs w:val="24"/>
          <w:lang w:eastAsia="pl-PL"/>
        </w:rPr>
        <w:t>,</w:t>
      </w:r>
    </w:p>
    <w:p w14:paraId="56976724" w14:textId="11C257BE"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Podmioty udzielające świadczeń opieki zdrowotnej będące podwykonawcą dla podmiotów kluczowych lub ważnych </w:t>
      </w:r>
      <w:r w:rsidR="00601933" w:rsidRPr="00833C88">
        <w:rPr>
          <w:rFonts w:cs="Times New Roman"/>
          <w:sz w:val="24"/>
          <w:szCs w:val="24"/>
          <w:lang w:eastAsia="pl-PL"/>
        </w:rPr>
        <w:t>w </w:t>
      </w:r>
      <w:r w:rsidRPr="00833C88">
        <w:rPr>
          <w:rFonts w:cs="Times New Roman"/>
          <w:sz w:val="24"/>
          <w:szCs w:val="24"/>
          <w:lang w:eastAsia="pl-PL"/>
        </w:rPr>
        <w:t xml:space="preserve">sektorze ochrona zdrowia, </w:t>
      </w:r>
      <w:r w:rsidR="00601933" w:rsidRPr="00833C88">
        <w:rPr>
          <w:rFonts w:cs="Times New Roman"/>
          <w:sz w:val="24"/>
          <w:szCs w:val="24"/>
          <w:lang w:eastAsia="pl-PL"/>
        </w:rPr>
        <w:t>w </w:t>
      </w:r>
      <w:r w:rsidRPr="00833C88">
        <w:rPr>
          <w:rFonts w:cs="Times New Roman"/>
          <w:sz w:val="24"/>
          <w:szCs w:val="24"/>
          <w:lang w:eastAsia="pl-PL"/>
        </w:rPr>
        <w:t xml:space="preserve">rozumieniu art. 133 ustawy </w:t>
      </w:r>
      <w:r w:rsidR="00102030" w:rsidRPr="00833C88">
        <w:rPr>
          <w:rFonts w:cs="Times New Roman"/>
          <w:sz w:val="24"/>
          <w:szCs w:val="24"/>
          <w:lang w:eastAsia="pl-PL"/>
        </w:rPr>
        <w:t xml:space="preserve">z dnia 27 sierpnia 2004 r. </w:t>
      </w:r>
      <w:r w:rsidR="00601933" w:rsidRPr="00833C88">
        <w:rPr>
          <w:rFonts w:cs="Times New Roman"/>
          <w:sz w:val="24"/>
          <w:szCs w:val="24"/>
          <w:lang w:eastAsia="pl-PL"/>
        </w:rPr>
        <w:t>o </w:t>
      </w:r>
      <w:r w:rsidRPr="00833C88">
        <w:rPr>
          <w:rFonts w:cs="Times New Roman"/>
          <w:sz w:val="24"/>
          <w:szCs w:val="24"/>
          <w:lang w:eastAsia="pl-PL"/>
        </w:rPr>
        <w:t xml:space="preserve">świadczeniach opieki zdrowotnej finansowanych ze środków publicznych (Dz. U. </w:t>
      </w:r>
      <w:r w:rsidR="00601933" w:rsidRPr="00833C88">
        <w:rPr>
          <w:rFonts w:cs="Times New Roman"/>
          <w:sz w:val="24"/>
          <w:szCs w:val="24"/>
          <w:lang w:eastAsia="pl-PL"/>
        </w:rPr>
        <w:t>z </w:t>
      </w:r>
      <w:r w:rsidRPr="00833C88">
        <w:rPr>
          <w:rFonts w:cs="Times New Roman"/>
          <w:sz w:val="24"/>
          <w:szCs w:val="24"/>
          <w:lang w:eastAsia="pl-PL"/>
        </w:rPr>
        <w:t xml:space="preserve">2024 r. poz. 146, </w:t>
      </w:r>
      <w:r w:rsidR="00601933" w:rsidRPr="00833C88">
        <w:rPr>
          <w:rFonts w:cs="Times New Roman"/>
          <w:sz w:val="24"/>
          <w:szCs w:val="24"/>
          <w:lang w:eastAsia="pl-PL"/>
        </w:rPr>
        <w:t>z </w:t>
      </w:r>
      <w:r w:rsidR="00812A5E" w:rsidRPr="00833C88">
        <w:rPr>
          <w:rFonts w:cs="Times New Roman"/>
          <w:sz w:val="24"/>
          <w:szCs w:val="24"/>
          <w:lang w:eastAsia="pl-PL"/>
        </w:rPr>
        <w:t>późn. zm.</w:t>
      </w:r>
      <w:r w:rsidRPr="00833C88">
        <w:rPr>
          <w:rFonts w:cs="Times New Roman"/>
          <w:sz w:val="24"/>
          <w:szCs w:val="24"/>
          <w:lang w:eastAsia="pl-PL"/>
        </w:rPr>
        <w:t>)</w:t>
      </w:r>
      <w:r w:rsidR="007D65D3" w:rsidRPr="00833C88">
        <w:rPr>
          <w:rFonts w:cs="Times New Roman"/>
          <w:sz w:val="24"/>
          <w:szCs w:val="24"/>
          <w:lang w:eastAsia="pl-PL"/>
        </w:rPr>
        <w:t>,</w:t>
      </w:r>
    </w:p>
    <w:p w14:paraId="024F4DAF" w14:textId="376106B5" w:rsidR="005122E7" w:rsidRPr="00833C88" w:rsidRDefault="005122E7">
      <w:pPr>
        <w:pStyle w:val="Akapitzlist"/>
        <w:numPr>
          <w:ilvl w:val="0"/>
          <w:numId w:val="2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Świadczeniodawcy posiadający </w:t>
      </w:r>
      <w:r w:rsidR="00601933" w:rsidRPr="00833C88">
        <w:rPr>
          <w:rFonts w:cs="Times New Roman"/>
          <w:sz w:val="24"/>
          <w:szCs w:val="24"/>
          <w:lang w:eastAsia="pl-PL"/>
        </w:rPr>
        <w:t>w </w:t>
      </w:r>
      <w:r w:rsidRPr="00833C88">
        <w:rPr>
          <w:rFonts w:cs="Times New Roman"/>
          <w:sz w:val="24"/>
          <w:szCs w:val="24"/>
          <w:lang w:eastAsia="pl-PL"/>
        </w:rPr>
        <w:t>swojej strukturze organizacyjnej Szpitalny Oddział Ratunkowy, Centrum Urazowe lub Centrum Urazowe dla Dzieci.</w:t>
      </w:r>
    </w:p>
    <w:p w14:paraId="214280C2" w14:textId="0FF6739A" w:rsidR="009C119B" w:rsidRPr="00833C88" w:rsidRDefault="009C119B" w:rsidP="000650EC">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Produkcja </w:t>
      </w:r>
      <w:r w:rsidR="00601933" w:rsidRPr="00833C88">
        <w:rPr>
          <w:rFonts w:cs="Times New Roman"/>
          <w:sz w:val="24"/>
          <w:szCs w:val="24"/>
          <w:lang w:eastAsia="pl-PL"/>
        </w:rPr>
        <w:t>i </w:t>
      </w:r>
      <w:r w:rsidRPr="00833C88">
        <w:rPr>
          <w:rFonts w:cs="Times New Roman"/>
          <w:sz w:val="24"/>
          <w:szCs w:val="24"/>
          <w:lang w:eastAsia="pl-PL"/>
        </w:rPr>
        <w:t xml:space="preserve">dystrybucja substancji czynnych, produktów leczniczych </w:t>
      </w:r>
      <w:r w:rsidR="00601933" w:rsidRPr="00833C88">
        <w:rPr>
          <w:rFonts w:cs="Times New Roman"/>
          <w:sz w:val="24"/>
          <w:szCs w:val="24"/>
          <w:lang w:eastAsia="pl-PL"/>
        </w:rPr>
        <w:t>i </w:t>
      </w:r>
      <w:r w:rsidRPr="00833C88">
        <w:rPr>
          <w:rFonts w:cs="Times New Roman"/>
          <w:sz w:val="24"/>
          <w:szCs w:val="24"/>
          <w:lang w:eastAsia="pl-PL"/>
        </w:rPr>
        <w:t>wyrobów medycznych</w:t>
      </w:r>
      <w:r w:rsidR="007D65D3" w:rsidRPr="00833C88">
        <w:rPr>
          <w:rFonts w:cs="Times New Roman"/>
          <w:sz w:val="24"/>
          <w:szCs w:val="24"/>
          <w:lang w:eastAsia="pl-PL"/>
        </w:rPr>
        <w:t>:</w:t>
      </w:r>
    </w:p>
    <w:p w14:paraId="58C9561E" w14:textId="17CBFC0B"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Urząd Rejestracji Produktów Leczniczych, Wyrobów Medycznych </w:t>
      </w:r>
      <w:r w:rsidR="00601933" w:rsidRPr="00833C88">
        <w:rPr>
          <w:rFonts w:cs="Times New Roman"/>
          <w:sz w:val="24"/>
          <w:szCs w:val="24"/>
          <w:lang w:eastAsia="pl-PL"/>
        </w:rPr>
        <w:t>i </w:t>
      </w:r>
      <w:r w:rsidRPr="00833C88">
        <w:rPr>
          <w:rFonts w:cs="Times New Roman"/>
          <w:sz w:val="24"/>
          <w:szCs w:val="24"/>
          <w:lang w:eastAsia="pl-PL"/>
        </w:rPr>
        <w:t>Produktów Biobójczych</w:t>
      </w:r>
      <w:r w:rsidR="007D65D3" w:rsidRPr="00833C88">
        <w:rPr>
          <w:rFonts w:cs="Times New Roman"/>
          <w:sz w:val="24"/>
          <w:szCs w:val="24"/>
          <w:lang w:eastAsia="pl-PL"/>
        </w:rPr>
        <w:t>,</w:t>
      </w:r>
    </w:p>
    <w:p w14:paraId="3EF9A653" w14:textId="609CF824"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Urzędy obsługujące organy Inspekcji Farmaceutycznej</w:t>
      </w:r>
      <w:r w:rsidR="007D65D3" w:rsidRPr="00833C88">
        <w:rPr>
          <w:rFonts w:cs="Times New Roman"/>
          <w:sz w:val="24"/>
          <w:szCs w:val="24"/>
          <w:lang w:eastAsia="pl-PL"/>
        </w:rPr>
        <w:t>,</w:t>
      </w:r>
    </w:p>
    <w:p w14:paraId="0A6E8770" w14:textId="646557F7"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Podmioty prowadzące działalność badawczo-rozwojową </w:t>
      </w:r>
      <w:r w:rsidR="00601933" w:rsidRPr="00833C88">
        <w:rPr>
          <w:rFonts w:cs="Times New Roman"/>
          <w:sz w:val="24"/>
          <w:szCs w:val="24"/>
          <w:lang w:eastAsia="pl-PL"/>
        </w:rPr>
        <w:t>w </w:t>
      </w:r>
      <w:r w:rsidRPr="00833C88">
        <w:rPr>
          <w:rFonts w:cs="Times New Roman"/>
          <w:sz w:val="24"/>
          <w:szCs w:val="24"/>
          <w:lang w:eastAsia="pl-PL"/>
        </w:rPr>
        <w:t xml:space="preserve">zakresie produktów leczniczych zdefiniowanych </w:t>
      </w:r>
      <w:r w:rsidR="00601933" w:rsidRPr="00833C88">
        <w:rPr>
          <w:rFonts w:cs="Times New Roman"/>
          <w:sz w:val="24"/>
          <w:szCs w:val="24"/>
          <w:lang w:eastAsia="pl-PL"/>
        </w:rPr>
        <w:t>w </w:t>
      </w:r>
      <w:r w:rsidRPr="00833C88">
        <w:rPr>
          <w:rFonts w:cs="Times New Roman"/>
          <w:sz w:val="24"/>
          <w:szCs w:val="24"/>
          <w:lang w:eastAsia="pl-PL"/>
        </w:rPr>
        <w:t xml:space="preserve">art. 1 pkt 2 dyrektywy 2001/83/WE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w:t>
      </w:r>
      <w:r w:rsidR="00601933" w:rsidRPr="00833C88">
        <w:rPr>
          <w:rFonts w:cs="Times New Roman"/>
          <w:sz w:val="24"/>
          <w:szCs w:val="24"/>
          <w:lang w:eastAsia="pl-PL"/>
        </w:rPr>
        <w:t>z </w:t>
      </w:r>
      <w:r w:rsidRPr="00833C88">
        <w:rPr>
          <w:rFonts w:cs="Times New Roman"/>
          <w:sz w:val="24"/>
          <w:szCs w:val="24"/>
          <w:lang w:eastAsia="pl-PL"/>
        </w:rPr>
        <w:t xml:space="preserve">dnia 6 listopada 2001 r. </w:t>
      </w:r>
      <w:r w:rsidR="00601933" w:rsidRPr="00833C88">
        <w:rPr>
          <w:rFonts w:cs="Times New Roman"/>
          <w:sz w:val="24"/>
          <w:szCs w:val="24"/>
          <w:lang w:eastAsia="pl-PL"/>
        </w:rPr>
        <w:t>w </w:t>
      </w:r>
      <w:r w:rsidRPr="00833C88">
        <w:rPr>
          <w:rFonts w:cs="Times New Roman"/>
          <w:sz w:val="24"/>
          <w:szCs w:val="24"/>
          <w:lang w:eastAsia="pl-PL"/>
        </w:rPr>
        <w:t xml:space="preserve">sprawie wspólnotowego kodeksu odnoszącego się do produktów leczniczych stosowanych </w:t>
      </w:r>
      <w:r w:rsidR="00601933" w:rsidRPr="00833C88">
        <w:rPr>
          <w:rFonts w:cs="Times New Roman"/>
          <w:sz w:val="24"/>
          <w:szCs w:val="24"/>
          <w:lang w:eastAsia="pl-PL"/>
        </w:rPr>
        <w:t>u </w:t>
      </w:r>
      <w:r w:rsidRPr="00833C88">
        <w:rPr>
          <w:rFonts w:cs="Times New Roman"/>
          <w:sz w:val="24"/>
          <w:szCs w:val="24"/>
          <w:lang w:eastAsia="pl-PL"/>
        </w:rPr>
        <w:t xml:space="preserve">ludzi (Dz. Urz. UE L 311 </w:t>
      </w:r>
      <w:r w:rsidR="00601933" w:rsidRPr="00833C88">
        <w:rPr>
          <w:rFonts w:cs="Times New Roman"/>
          <w:sz w:val="24"/>
          <w:szCs w:val="24"/>
          <w:lang w:eastAsia="pl-PL"/>
        </w:rPr>
        <w:t>z </w:t>
      </w:r>
      <w:r w:rsidRPr="00833C88">
        <w:rPr>
          <w:rFonts w:cs="Times New Roman"/>
          <w:sz w:val="24"/>
          <w:szCs w:val="24"/>
          <w:lang w:eastAsia="pl-PL"/>
        </w:rPr>
        <w:t xml:space="preserve">28.11.2001, str. 67, </w:t>
      </w:r>
      <w:r w:rsidR="00601933" w:rsidRPr="00833C88">
        <w:rPr>
          <w:rFonts w:cs="Times New Roman"/>
          <w:sz w:val="24"/>
          <w:szCs w:val="24"/>
          <w:lang w:eastAsia="pl-PL"/>
        </w:rPr>
        <w:t>z </w:t>
      </w:r>
      <w:r w:rsidRPr="00833C88">
        <w:rPr>
          <w:rFonts w:cs="Times New Roman"/>
          <w:sz w:val="24"/>
          <w:szCs w:val="24"/>
          <w:lang w:eastAsia="pl-PL"/>
        </w:rPr>
        <w:t>późn. zm.)</w:t>
      </w:r>
      <w:r w:rsidR="007D65D3" w:rsidRPr="00833C88">
        <w:rPr>
          <w:rFonts w:cs="Times New Roman"/>
          <w:sz w:val="24"/>
          <w:szCs w:val="24"/>
          <w:lang w:eastAsia="pl-PL"/>
        </w:rPr>
        <w:t>,</w:t>
      </w:r>
    </w:p>
    <w:p w14:paraId="4D4E7987" w14:textId="49768F54"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Podmioty produkujące podstawowe substancje farmaceutyczne oraz leki </w:t>
      </w:r>
      <w:r w:rsidR="00601933" w:rsidRPr="00833C88">
        <w:rPr>
          <w:rFonts w:cs="Times New Roman"/>
          <w:sz w:val="24"/>
          <w:szCs w:val="24"/>
          <w:lang w:eastAsia="pl-PL"/>
        </w:rPr>
        <w:t>i </w:t>
      </w:r>
      <w:r w:rsidRPr="00833C88">
        <w:rPr>
          <w:rFonts w:cs="Times New Roman"/>
          <w:sz w:val="24"/>
          <w:szCs w:val="24"/>
          <w:lang w:eastAsia="pl-PL"/>
        </w:rPr>
        <w:t xml:space="preserve">pozostałe wyroby farmaceutyczne,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sekcji C dział 21 klasyfikacji </w:t>
      </w:r>
      <w:proofErr w:type="spellStart"/>
      <w:r w:rsidRPr="00833C88">
        <w:rPr>
          <w:rFonts w:cs="Times New Roman"/>
          <w:sz w:val="24"/>
          <w:szCs w:val="24"/>
          <w:lang w:eastAsia="pl-PL"/>
        </w:rPr>
        <w:t>NACE</w:t>
      </w:r>
      <w:proofErr w:type="spellEnd"/>
      <w:r w:rsidRPr="00833C88">
        <w:rPr>
          <w:rFonts w:cs="Times New Roman"/>
          <w:sz w:val="24"/>
          <w:szCs w:val="24"/>
          <w:lang w:eastAsia="pl-PL"/>
        </w:rPr>
        <w:t xml:space="preserve"> </w:t>
      </w:r>
      <w:proofErr w:type="spellStart"/>
      <w:r w:rsidRPr="00833C88">
        <w:rPr>
          <w:rFonts w:cs="Times New Roman"/>
          <w:sz w:val="24"/>
          <w:szCs w:val="24"/>
          <w:lang w:eastAsia="pl-PL"/>
        </w:rPr>
        <w:t>Rev</w:t>
      </w:r>
      <w:proofErr w:type="spellEnd"/>
      <w:r w:rsidRPr="00833C88">
        <w:rPr>
          <w:rFonts w:cs="Times New Roman"/>
          <w:sz w:val="24"/>
          <w:szCs w:val="24"/>
          <w:lang w:eastAsia="pl-PL"/>
        </w:rPr>
        <w:t>.</w:t>
      </w:r>
      <w:r w:rsidR="0076020B" w:rsidRPr="00833C88">
        <w:rPr>
          <w:rFonts w:cs="Times New Roman"/>
          <w:sz w:val="24"/>
          <w:szCs w:val="24"/>
          <w:lang w:eastAsia="pl-PL"/>
        </w:rPr>
        <w:t> </w:t>
      </w:r>
      <w:r w:rsidRPr="00833C88">
        <w:rPr>
          <w:rFonts w:cs="Times New Roman"/>
          <w:sz w:val="24"/>
          <w:szCs w:val="24"/>
          <w:lang w:eastAsia="pl-PL"/>
        </w:rPr>
        <w:t>2</w:t>
      </w:r>
      <w:r w:rsidR="007D65D3" w:rsidRPr="00833C88">
        <w:rPr>
          <w:rFonts w:cs="Times New Roman"/>
          <w:sz w:val="24"/>
          <w:szCs w:val="24"/>
          <w:lang w:eastAsia="pl-PL"/>
        </w:rPr>
        <w:t>,</w:t>
      </w:r>
    </w:p>
    <w:p w14:paraId="468D66C0" w14:textId="6ED5D1EE"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Podmioty produkujące wyroby medyczne uznane za mające krytyczne znaczenie podczas danego stanu zagrożenia zdrowia publicznego („wykaz wyrobów medycznych </w:t>
      </w:r>
      <w:r w:rsidR="00601933" w:rsidRPr="00833C88">
        <w:rPr>
          <w:rFonts w:cs="Times New Roman"/>
          <w:sz w:val="24"/>
          <w:szCs w:val="24"/>
          <w:lang w:eastAsia="pl-PL"/>
        </w:rPr>
        <w:t>o </w:t>
      </w:r>
      <w:r w:rsidRPr="00833C88">
        <w:rPr>
          <w:rFonts w:cs="Times New Roman"/>
          <w:sz w:val="24"/>
          <w:szCs w:val="24"/>
          <w:lang w:eastAsia="pl-PL"/>
        </w:rPr>
        <w:t xml:space="preserve">krytycznym znaczeniu </w:t>
      </w:r>
      <w:r w:rsidR="00601933" w:rsidRPr="00833C88">
        <w:rPr>
          <w:rFonts w:cs="Times New Roman"/>
          <w:sz w:val="24"/>
          <w:szCs w:val="24"/>
          <w:lang w:eastAsia="pl-PL"/>
        </w:rPr>
        <w:t>w </w:t>
      </w:r>
      <w:r w:rsidRPr="00833C88">
        <w:rPr>
          <w:rFonts w:cs="Times New Roman"/>
          <w:sz w:val="24"/>
          <w:szCs w:val="24"/>
          <w:lang w:eastAsia="pl-PL"/>
        </w:rPr>
        <w:t xml:space="preserve">przypadku stanu zagrożenia zdrowia publicznego”) </w:t>
      </w:r>
      <w:r w:rsidR="00601933" w:rsidRPr="00833C88">
        <w:rPr>
          <w:rFonts w:cs="Times New Roman"/>
          <w:sz w:val="24"/>
          <w:szCs w:val="24"/>
          <w:lang w:eastAsia="pl-PL"/>
        </w:rPr>
        <w:t>w </w:t>
      </w:r>
      <w:r w:rsidRPr="00833C88">
        <w:rPr>
          <w:rFonts w:cs="Times New Roman"/>
          <w:sz w:val="24"/>
          <w:szCs w:val="24"/>
          <w:lang w:eastAsia="pl-PL"/>
        </w:rPr>
        <w:t xml:space="preserve">rozumieniu art. 22 rozporządzenia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(UE) 2022/123 </w:t>
      </w:r>
      <w:r w:rsidR="00601933" w:rsidRPr="00833C88">
        <w:rPr>
          <w:rFonts w:cs="Times New Roman"/>
          <w:sz w:val="24"/>
          <w:szCs w:val="24"/>
          <w:lang w:eastAsia="pl-PL"/>
        </w:rPr>
        <w:t>z </w:t>
      </w:r>
      <w:r w:rsidRPr="00833C88">
        <w:rPr>
          <w:rFonts w:cs="Times New Roman"/>
          <w:sz w:val="24"/>
          <w:szCs w:val="24"/>
          <w:lang w:eastAsia="pl-PL"/>
        </w:rPr>
        <w:t>dnia 25 stycznia 2022 r.</w:t>
      </w:r>
      <w:r w:rsidR="00CB2ACE" w:rsidRPr="00833C88">
        <w:rPr>
          <w:rFonts w:cs="Times New Roman"/>
          <w:sz w:val="24"/>
          <w:szCs w:val="24"/>
          <w:lang w:eastAsia="pl-PL"/>
        </w:rPr>
        <w:t xml:space="preserve"> </w:t>
      </w:r>
      <w:r w:rsidR="00601933" w:rsidRPr="00833C88">
        <w:rPr>
          <w:rFonts w:cs="Times New Roman"/>
          <w:sz w:val="24"/>
          <w:szCs w:val="24"/>
          <w:lang w:eastAsia="pl-PL"/>
        </w:rPr>
        <w:t>w </w:t>
      </w:r>
      <w:r w:rsidRPr="00833C88">
        <w:rPr>
          <w:rFonts w:cs="Times New Roman"/>
          <w:sz w:val="24"/>
          <w:szCs w:val="24"/>
          <w:lang w:eastAsia="pl-PL"/>
        </w:rPr>
        <w:t xml:space="preserve">sprawie wzmocnienia roli Europejskiej Agencji Leków </w:t>
      </w:r>
      <w:r w:rsidR="00601933" w:rsidRPr="00833C88">
        <w:rPr>
          <w:rFonts w:cs="Times New Roman"/>
          <w:sz w:val="24"/>
          <w:szCs w:val="24"/>
          <w:lang w:eastAsia="pl-PL"/>
        </w:rPr>
        <w:t>w </w:t>
      </w:r>
      <w:r w:rsidRPr="00833C88">
        <w:rPr>
          <w:rFonts w:cs="Times New Roman"/>
          <w:sz w:val="24"/>
          <w:szCs w:val="24"/>
          <w:lang w:eastAsia="pl-PL"/>
        </w:rPr>
        <w:t xml:space="preserve">zakresie gotowości na wypadek sytuacji kryzysowej </w:t>
      </w:r>
      <w:r w:rsidR="00601933" w:rsidRPr="00833C88">
        <w:rPr>
          <w:rFonts w:cs="Times New Roman"/>
          <w:sz w:val="24"/>
          <w:szCs w:val="24"/>
          <w:lang w:eastAsia="pl-PL"/>
        </w:rPr>
        <w:t>i </w:t>
      </w:r>
      <w:r w:rsidRPr="00833C88">
        <w:rPr>
          <w:rFonts w:cs="Times New Roman"/>
          <w:sz w:val="24"/>
          <w:szCs w:val="24"/>
          <w:lang w:eastAsia="pl-PL"/>
        </w:rPr>
        <w:t xml:space="preserve">zarządzania kryzysowego </w:t>
      </w:r>
      <w:r w:rsidR="00601933" w:rsidRPr="00833C88">
        <w:rPr>
          <w:rFonts w:cs="Times New Roman"/>
          <w:sz w:val="24"/>
          <w:szCs w:val="24"/>
          <w:lang w:eastAsia="pl-PL"/>
        </w:rPr>
        <w:t>w </w:t>
      </w:r>
      <w:r w:rsidRPr="00833C88">
        <w:rPr>
          <w:rFonts w:cs="Times New Roman"/>
          <w:sz w:val="24"/>
          <w:szCs w:val="24"/>
          <w:lang w:eastAsia="pl-PL"/>
        </w:rPr>
        <w:t xml:space="preserve">odniesieniu do produktów leczniczych </w:t>
      </w:r>
      <w:r w:rsidR="00601933" w:rsidRPr="00833C88">
        <w:rPr>
          <w:rFonts w:cs="Times New Roman"/>
          <w:sz w:val="24"/>
          <w:szCs w:val="24"/>
          <w:lang w:eastAsia="pl-PL"/>
        </w:rPr>
        <w:t>i </w:t>
      </w:r>
      <w:r w:rsidRPr="00833C88">
        <w:rPr>
          <w:rFonts w:cs="Times New Roman"/>
          <w:sz w:val="24"/>
          <w:szCs w:val="24"/>
          <w:lang w:eastAsia="pl-PL"/>
        </w:rPr>
        <w:t xml:space="preserve">wyrobów medycznych (Dz. Urz. UE L 20 </w:t>
      </w:r>
      <w:r w:rsidR="00601933" w:rsidRPr="00833C88">
        <w:rPr>
          <w:rFonts w:cs="Times New Roman"/>
          <w:sz w:val="24"/>
          <w:szCs w:val="24"/>
          <w:lang w:eastAsia="pl-PL"/>
        </w:rPr>
        <w:t>z </w:t>
      </w:r>
      <w:r w:rsidRPr="00833C88">
        <w:rPr>
          <w:rFonts w:cs="Times New Roman"/>
          <w:sz w:val="24"/>
          <w:szCs w:val="24"/>
          <w:lang w:eastAsia="pl-PL"/>
        </w:rPr>
        <w:t xml:space="preserve">31.01.2022, str. 1, </w:t>
      </w:r>
      <w:r w:rsidR="00601933" w:rsidRPr="00833C88">
        <w:rPr>
          <w:rFonts w:cs="Times New Roman"/>
          <w:sz w:val="24"/>
          <w:szCs w:val="24"/>
          <w:lang w:eastAsia="pl-PL"/>
        </w:rPr>
        <w:t>z </w:t>
      </w:r>
      <w:r w:rsidRPr="00833C88">
        <w:rPr>
          <w:rFonts w:cs="Times New Roman"/>
          <w:sz w:val="24"/>
          <w:szCs w:val="24"/>
          <w:lang w:eastAsia="pl-PL"/>
        </w:rPr>
        <w:t>późn. zm.)</w:t>
      </w:r>
      <w:r w:rsidR="007D65D3" w:rsidRPr="00833C88">
        <w:rPr>
          <w:rFonts w:cs="Times New Roman"/>
          <w:sz w:val="24"/>
          <w:szCs w:val="24"/>
          <w:lang w:eastAsia="pl-PL"/>
        </w:rPr>
        <w:t>,</w:t>
      </w:r>
    </w:p>
    <w:p w14:paraId="39ABAA85" w14:textId="02CE62A6"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lastRenderedPageBreak/>
        <w:t xml:space="preserve">Przedsiębiorca prowadzący działalność polegającą na prowadzeniu hurtowni farmaceutycznej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 xml:space="preserve">dnia 6 września 2001 r. – Prawo farmaceutyczne (Dz. U. </w:t>
      </w:r>
      <w:r w:rsidR="00601933" w:rsidRPr="00833C88">
        <w:rPr>
          <w:rFonts w:cs="Times New Roman"/>
          <w:sz w:val="24"/>
          <w:szCs w:val="24"/>
          <w:lang w:eastAsia="pl-PL"/>
        </w:rPr>
        <w:t>z </w:t>
      </w:r>
      <w:r w:rsidRPr="00833C88">
        <w:rPr>
          <w:rFonts w:cs="Times New Roman"/>
          <w:sz w:val="24"/>
          <w:szCs w:val="24"/>
          <w:lang w:eastAsia="pl-PL"/>
        </w:rPr>
        <w:t>202</w:t>
      </w:r>
      <w:r w:rsidR="00ED57CF" w:rsidRPr="00833C88">
        <w:rPr>
          <w:rFonts w:cs="Times New Roman"/>
          <w:sz w:val="24"/>
          <w:szCs w:val="24"/>
          <w:lang w:eastAsia="pl-PL"/>
        </w:rPr>
        <w:t>5</w:t>
      </w:r>
      <w:r w:rsidRPr="00833C88">
        <w:rPr>
          <w:rFonts w:cs="Times New Roman"/>
          <w:sz w:val="24"/>
          <w:szCs w:val="24"/>
          <w:lang w:eastAsia="pl-PL"/>
        </w:rPr>
        <w:t xml:space="preserve"> r. poz. </w:t>
      </w:r>
      <w:r w:rsidR="00ED57CF" w:rsidRPr="00833C88">
        <w:rPr>
          <w:rFonts w:cs="Times New Roman"/>
          <w:sz w:val="24"/>
          <w:szCs w:val="24"/>
          <w:lang w:eastAsia="pl-PL"/>
        </w:rPr>
        <w:t>750, 905 i 924</w:t>
      </w:r>
      <w:r w:rsidRPr="00833C88">
        <w:rPr>
          <w:rFonts w:cs="Times New Roman"/>
          <w:sz w:val="24"/>
          <w:szCs w:val="24"/>
          <w:lang w:eastAsia="pl-PL"/>
        </w:rPr>
        <w:t>)</w:t>
      </w:r>
      <w:r w:rsidR="007D65D3" w:rsidRPr="00833C88">
        <w:rPr>
          <w:rFonts w:cs="Times New Roman"/>
          <w:sz w:val="24"/>
          <w:szCs w:val="24"/>
          <w:lang w:eastAsia="pl-PL"/>
        </w:rPr>
        <w:t>,</w:t>
      </w:r>
    </w:p>
    <w:p w14:paraId="09B970D5" w14:textId="3A16D9B4"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Przedsiębiorca lub podmiot prowadzący działalność gospodarczą </w:t>
      </w:r>
      <w:r w:rsidR="00601933" w:rsidRPr="00833C88">
        <w:rPr>
          <w:rFonts w:cs="Times New Roman"/>
          <w:sz w:val="24"/>
          <w:szCs w:val="24"/>
          <w:lang w:eastAsia="pl-PL"/>
        </w:rPr>
        <w:t>w </w:t>
      </w:r>
      <w:r w:rsidRPr="00833C88">
        <w:rPr>
          <w:rFonts w:cs="Times New Roman"/>
          <w:sz w:val="24"/>
          <w:szCs w:val="24"/>
          <w:lang w:eastAsia="pl-PL"/>
        </w:rPr>
        <w:t xml:space="preserve">państwie członkowskim Unii Europejskiej lub państwie członkowskim Europejskiego Porozumienia </w:t>
      </w:r>
      <w:r w:rsidR="00601933" w:rsidRPr="00833C88">
        <w:rPr>
          <w:rFonts w:cs="Times New Roman"/>
          <w:sz w:val="24"/>
          <w:szCs w:val="24"/>
          <w:lang w:eastAsia="pl-PL"/>
        </w:rPr>
        <w:t>o </w:t>
      </w:r>
      <w:r w:rsidRPr="00833C88">
        <w:rPr>
          <w:rFonts w:cs="Times New Roman"/>
          <w:sz w:val="24"/>
          <w:szCs w:val="24"/>
          <w:lang w:eastAsia="pl-PL"/>
        </w:rPr>
        <w:t xml:space="preserve">Wolnym Handlu (EFTA) </w:t>
      </w:r>
      <w:r w:rsidR="000650EC" w:rsidRPr="00833C88">
        <w:rPr>
          <w:rFonts w:cs="Times New Roman"/>
          <w:sz w:val="24"/>
          <w:szCs w:val="24"/>
          <w:lang w:eastAsia="pl-PL"/>
        </w:rPr>
        <w:t>–</w:t>
      </w:r>
      <w:r w:rsidRPr="00833C88">
        <w:rPr>
          <w:rFonts w:cs="Times New Roman"/>
          <w:sz w:val="24"/>
          <w:szCs w:val="24"/>
          <w:lang w:eastAsia="pl-PL"/>
        </w:rPr>
        <w:t xml:space="preserve"> stronie umowy </w:t>
      </w:r>
      <w:r w:rsidR="00601933" w:rsidRPr="00833C88">
        <w:rPr>
          <w:rFonts w:cs="Times New Roman"/>
          <w:sz w:val="24"/>
          <w:szCs w:val="24"/>
          <w:lang w:eastAsia="pl-PL"/>
        </w:rPr>
        <w:t>o </w:t>
      </w:r>
      <w:r w:rsidRPr="00833C88">
        <w:rPr>
          <w:rFonts w:cs="Times New Roman"/>
          <w:sz w:val="24"/>
          <w:szCs w:val="24"/>
          <w:lang w:eastAsia="pl-PL"/>
        </w:rPr>
        <w:t>Europejskim Obszarze Gospodarczym, który uzyskał pozwolenie na dopuszczenie do obrotu produktu leczniczego</w:t>
      </w:r>
      <w:r w:rsidR="007D65D3" w:rsidRPr="00833C88">
        <w:rPr>
          <w:rFonts w:cs="Times New Roman"/>
          <w:sz w:val="24"/>
          <w:szCs w:val="24"/>
          <w:lang w:eastAsia="pl-PL"/>
        </w:rPr>
        <w:t>,</w:t>
      </w:r>
    </w:p>
    <w:p w14:paraId="2A2A5DEB" w14:textId="4401A5BA"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Importer produktu leczniczego/substancji czynnej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dnia 6 września 2001 r. – Prawo farmaceutyczne</w:t>
      </w:r>
      <w:r w:rsidR="007D65D3" w:rsidRPr="00833C88">
        <w:rPr>
          <w:rFonts w:cs="Times New Roman"/>
          <w:sz w:val="24"/>
          <w:szCs w:val="24"/>
          <w:lang w:eastAsia="pl-PL"/>
        </w:rPr>
        <w:t>,</w:t>
      </w:r>
    </w:p>
    <w:p w14:paraId="3661BF3D" w14:textId="38CD2E99"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Wytwórca produktu leczniczego/substancji czynnej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dnia 6 września 2001 r. – Prawo farmaceutyczne</w:t>
      </w:r>
      <w:r w:rsidR="007D65D3" w:rsidRPr="00833C88">
        <w:rPr>
          <w:rFonts w:cs="Times New Roman"/>
          <w:sz w:val="24"/>
          <w:szCs w:val="24"/>
          <w:lang w:eastAsia="pl-PL"/>
        </w:rPr>
        <w:t>,</w:t>
      </w:r>
    </w:p>
    <w:p w14:paraId="5EF249D8" w14:textId="2A260765"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Importer równoległy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dnia 6 września 2001 r. – Prawo farmaceutyczne</w:t>
      </w:r>
      <w:r w:rsidR="007D65D3" w:rsidRPr="00833C88">
        <w:rPr>
          <w:rFonts w:cs="Times New Roman"/>
          <w:sz w:val="24"/>
          <w:szCs w:val="24"/>
          <w:lang w:eastAsia="pl-PL"/>
        </w:rPr>
        <w:t>,</w:t>
      </w:r>
    </w:p>
    <w:p w14:paraId="1007D6A3" w14:textId="216C7908" w:rsidR="00F124B8" w:rsidRPr="00833C88" w:rsidRDefault="00F124B8">
      <w:pPr>
        <w:pStyle w:val="Akapitzlist"/>
        <w:numPr>
          <w:ilvl w:val="0"/>
          <w:numId w:val="3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Dystrybutor substancji czynnej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dnia 6 września 2001 r. – Prawo farmaceutyczne.</w:t>
      </w:r>
    </w:p>
    <w:p w14:paraId="692ACAA4" w14:textId="79DA4C83" w:rsidR="00CC72D8" w:rsidRPr="00833C88" w:rsidRDefault="00F124B8" w:rsidP="00ED57CF">
      <w:pPr>
        <w:pStyle w:val="Akapitzlist"/>
        <w:spacing w:line="360" w:lineRule="auto"/>
        <w:ind w:left="142" w:hanging="11"/>
        <w:contextualSpacing w:val="0"/>
        <w:jc w:val="both"/>
        <w:rPr>
          <w:rFonts w:cs="Times New Roman"/>
          <w:sz w:val="24"/>
          <w:szCs w:val="24"/>
          <w:lang w:eastAsia="pl-PL"/>
        </w:rPr>
      </w:pPr>
      <w:r w:rsidRPr="00833C88">
        <w:rPr>
          <w:rFonts w:cs="Times New Roman"/>
          <w:sz w:val="24"/>
          <w:szCs w:val="24"/>
          <w:lang w:eastAsia="pl-PL"/>
        </w:rPr>
        <w:t xml:space="preserve">Przedsiębiorca prowadzący działalność </w:t>
      </w:r>
      <w:r w:rsidR="00601933" w:rsidRPr="00833C88">
        <w:rPr>
          <w:rFonts w:cs="Times New Roman"/>
          <w:sz w:val="24"/>
          <w:szCs w:val="24"/>
          <w:lang w:eastAsia="pl-PL"/>
        </w:rPr>
        <w:t>w </w:t>
      </w:r>
      <w:r w:rsidRPr="00833C88">
        <w:rPr>
          <w:rFonts w:cs="Times New Roman"/>
          <w:sz w:val="24"/>
          <w:szCs w:val="24"/>
          <w:lang w:eastAsia="pl-PL"/>
        </w:rPr>
        <w:t xml:space="preserve">formie apteki ogólnodostępnej </w:t>
      </w:r>
      <w:r w:rsidR="00601933" w:rsidRPr="00833C88">
        <w:rPr>
          <w:rFonts w:cs="Times New Roman"/>
          <w:sz w:val="24"/>
          <w:szCs w:val="24"/>
          <w:lang w:eastAsia="pl-PL"/>
        </w:rPr>
        <w:t>w </w:t>
      </w:r>
      <w:r w:rsidRPr="00833C88">
        <w:rPr>
          <w:rFonts w:cs="Times New Roman"/>
          <w:sz w:val="24"/>
          <w:szCs w:val="24"/>
          <w:lang w:eastAsia="pl-PL"/>
        </w:rPr>
        <w:t>rozumieniu</w:t>
      </w:r>
      <w:r w:rsidR="00ED57CF" w:rsidRPr="00833C88">
        <w:rPr>
          <w:rFonts w:cs="Times New Roman"/>
          <w:sz w:val="24"/>
          <w:szCs w:val="24"/>
          <w:lang w:eastAsia="pl-PL"/>
        </w:rPr>
        <w:t xml:space="preserve"> </w:t>
      </w:r>
      <w:r w:rsidRPr="00833C88">
        <w:rPr>
          <w:rFonts w:cs="Times New Roman"/>
          <w:sz w:val="24"/>
          <w:szCs w:val="24"/>
          <w:lang w:eastAsia="pl-PL"/>
        </w:rPr>
        <w:t xml:space="preserve">ustawy </w:t>
      </w:r>
      <w:r w:rsidR="00601933" w:rsidRPr="00833C88">
        <w:rPr>
          <w:rFonts w:cs="Times New Roman"/>
          <w:sz w:val="24"/>
          <w:szCs w:val="24"/>
          <w:lang w:eastAsia="pl-PL"/>
        </w:rPr>
        <w:t>z </w:t>
      </w:r>
      <w:r w:rsidRPr="00833C88">
        <w:rPr>
          <w:rFonts w:cs="Times New Roman"/>
          <w:sz w:val="24"/>
          <w:szCs w:val="24"/>
          <w:lang w:eastAsia="pl-PL"/>
        </w:rPr>
        <w:t>dnia 6 września 2001 r. – Prawo farmaceutyczne.</w:t>
      </w:r>
      <w:r w:rsidR="000650EC" w:rsidRPr="00833C88">
        <w:rPr>
          <w:rFonts w:cs="Times New Roman"/>
          <w:sz w:val="24"/>
          <w:szCs w:val="24"/>
          <w:lang w:eastAsia="pl-PL"/>
        </w:rPr>
        <w:t xml:space="preserve"> </w:t>
      </w:r>
      <w:r w:rsidR="00CC72D8" w:rsidRPr="00833C88">
        <w:rPr>
          <w:rFonts w:cs="Times New Roman"/>
          <w:sz w:val="24"/>
          <w:szCs w:val="24"/>
          <w:lang w:eastAsia="pl-PL"/>
        </w:rPr>
        <w:t xml:space="preserve">Wszystkie usługi związane </w:t>
      </w:r>
      <w:r w:rsidR="00601933" w:rsidRPr="00833C88">
        <w:rPr>
          <w:rFonts w:cs="Times New Roman"/>
          <w:sz w:val="24"/>
          <w:szCs w:val="24"/>
          <w:lang w:eastAsia="pl-PL"/>
        </w:rPr>
        <w:t>z </w:t>
      </w:r>
      <w:r w:rsidR="00CC72D8" w:rsidRPr="00833C88">
        <w:rPr>
          <w:rFonts w:cs="Times New Roman"/>
          <w:sz w:val="24"/>
          <w:szCs w:val="24"/>
          <w:lang w:eastAsia="pl-PL"/>
        </w:rPr>
        <w:t xml:space="preserve">sektorem zdrowia mają szczególne znaczenie dla społeczeństwa, </w:t>
      </w:r>
      <w:r w:rsidR="00601933" w:rsidRPr="00833C88">
        <w:rPr>
          <w:rFonts w:cs="Times New Roman"/>
          <w:sz w:val="24"/>
          <w:szCs w:val="24"/>
          <w:lang w:eastAsia="pl-PL"/>
        </w:rPr>
        <w:t>a </w:t>
      </w:r>
      <w:r w:rsidR="00CC72D8" w:rsidRPr="00833C88">
        <w:rPr>
          <w:rFonts w:cs="Times New Roman"/>
          <w:sz w:val="24"/>
          <w:szCs w:val="24"/>
          <w:lang w:eastAsia="pl-PL"/>
        </w:rPr>
        <w:t xml:space="preserve">nawet krótka przerwa </w:t>
      </w:r>
      <w:r w:rsidR="00601933" w:rsidRPr="00833C88">
        <w:rPr>
          <w:rFonts w:cs="Times New Roman"/>
          <w:sz w:val="24"/>
          <w:szCs w:val="24"/>
          <w:lang w:eastAsia="pl-PL"/>
        </w:rPr>
        <w:t>w </w:t>
      </w:r>
      <w:r w:rsidR="00CC72D8" w:rsidRPr="00833C88">
        <w:rPr>
          <w:rFonts w:cs="Times New Roman"/>
          <w:sz w:val="24"/>
          <w:szCs w:val="24"/>
          <w:lang w:eastAsia="pl-PL"/>
        </w:rPr>
        <w:t>ich dostarczaniu może mieć bardzo niebezpieczne skutki. Podmioty te przechowują również wrażliwe dane dotyczące stanu zdrowia obywateli.</w:t>
      </w:r>
    </w:p>
    <w:p w14:paraId="7D19075C" w14:textId="5EA1D7DB" w:rsidR="00A02F5D" w:rsidRPr="00833C88" w:rsidRDefault="00A02F5D" w:rsidP="000650EC">
      <w:pPr>
        <w:pStyle w:val="Nagwek4"/>
        <w:spacing w:before="0" w:after="120" w:line="360" w:lineRule="auto"/>
        <w:jc w:val="both"/>
        <w:rPr>
          <w:rFonts w:cs="Times New Roman"/>
          <w:sz w:val="24"/>
          <w:szCs w:val="24"/>
          <w:lang w:eastAsia="pl-PL"/>
        </w:rPr>
      </w:pPr>
      <w:r w:rsidRPr="00833C88">
        <w:rPr>
          <w:rFonts w:cs="Times New Roman"/>
          <w:sz w:val="24"/>
          <w:szCs w:val="24"/>
          <w:lang w:eastAsia="pl-PL"/>
        </w:rPr>
        <w:t xml:space="preserve">Zaopatrzenie </w:t>
      </w:r>
      <w:r w:rsidR="00601933" w:rsidRPr="00833C88">
        <w:rPr>
          <w:rFonts w:cs="Times New Roman"/>
          <w:sz w:val="24"/>
          <w:szCs w:val="24"/>
          <w:lang w:eastAsia="pl-PL"/>
        </w:rPr>
        <w:t>w </w:t>
      </w:r>
      <w:r w:rsidRPr="00833C88">
        <w:rPr>
          <w:rFonts w:cs="Times New Roman"/>
          <w:sz w:val="24"/>
          <w:szCs w:val="24"/>
          <w:lang w:eastAsia="pl-PL"/>
        </w:rPr>
        <w:t xml:space="preserve">wodę pitną </w:t>
      </w:r>
      <w:r w:rsidR="00601933" w:rsidRPr="00833C88">
        <w:rPr>
          <w:rFonts w:cs="Times New Roman"/>
          <w:sz w:val="24"/>
          <w:szCs w:val="24"/>
          <w:lang w:eastAsia="pl-PL"/>
        </w:rPr>
        <w:t>i </w:t>
      </w:r>
      <w:r w:rsidRPr="00833C88">
        <w:rPr>
          <w:rFonts w:cs="Times New Roman"/>
          <w:sz w:val="24"/>
          <w:szCs w:val="24"/>
          <w:lang w:eastAsia="pl-PL"/>
        </w:rPr>
        <w:t>jej dystrybucja</w:t>
      </w:r>
    </w:p>
    <w:p w14:paraId="235A2E4A" w14:textId="01E2C5F4" w:rsidR="00591996" w:rsidRPr="00833C88" w:rsidRDefault="00601933" w:rsidP="000650EC">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tego sektora wskazano następujący rodzaj podmiotu:</w:t>
      </w:r>
    </w:p>
    <w:p w14:paraId="45ECB2FB" w14:textId="18FB214F" w:rsidR="002B44BE" w:rsidRPr="00833C88" w:rsidRDefault="002B44BE">
      <w:pPr>
        <w:pStyle w:val="Akapitzlist"/>
        <w:numPr>
          <w:ilvl w:val="0"/>
          <w:numId w:val="44"/>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dostarczający wodę przeznaczoną do spożycia przez ludzi, </w:t>
      </w:r>
      <w:r w:rsidR="00601933" w:rsidRPr="00833C88">
        <w:rPr>
          <w:rFonts w:cs="Times New Roman"/>
          <w:sz w:val="24"/>
          <w:szCs w:val="24"/>
          <w:lang w:eastAsia="pl-PL"/>
        </w:rPr>
        <w:t>w </w:t>
      </w:r>
      <w:r w:rsidRPr="00833C88">
        <w:rPr>
          <w:rFonts w:cs="Times New Roman"/>
          <w:sz w:val="24"/>
          <w:szCs w:val="24"/>
          <w:lang w:eastAsia="pl-PL"/>
        </w:rPr>
        <w:t>tym przedsiębiorstwo wodociągowo-kanalizacyjne</w:t>
      </w:r>
      <w:r w:rsidR="000650EC" w:rsidRPr="00833C88">
        <w:rPr>
          <w:rFonts w:cs="Times New Roman"/>
          <w:sz w:val="24"/>
          <w:szCs w:val="24"/>
          <w:lang w:eastAsia="pl-PL"/>
        </w:rPr>
        <w:t>,</w:t>
      </w:r>
      <w:r w:rsidRPr="00833C88">
        <w:rPr>
          <w:rFonts w:cs="Times New Roman"/>
          <w:sz w:val="24"/>
          <w:szCs w:val="24"/>
          <w:lang w:eastAsia="pl-PL"/>
        </w:rPr>
        <w:t xml:space="preserv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2 pkt 4 ustawy </w:t>
      </w:r>
      <w:r w:rsidR="00601933" w:rsidRPr="00833C88">
        <w:rPr>
          <w:rFonts w:cs="Times New Roman"/>
          <w:sz w:val="24"/>
          <w:szCs w:val="24"/>
          <w:lang w:eastAsia="pl-PL"/>
        </w:rPr>
        <w:t>z </w:t>
      </w:r>
      <w:r w:rsidRPr="00833C88">
        <w:rPr>
          <w:rFonts w:cs="Times New Roman"/>
          <w:sz w:val="24"/>
          <w:szCs w:val="24"/>
          <w:lang w:eastAsia="pl-PL"/>
        </w:rPr>
        <w:t xml:space="preserve">dnia 7 czerwca 2001 r. </w:t>
      </w:r>
      <w:r w:rsidR="00601933" w:rsidRPr="00833C88">
        <w:rPr>
          <w:rFonts w:cs="Times New Roman"/>
          <w:sz w:val="24"/>
          <w:szCs w:val="24"/>
          <w:lang w:eastAsia="pl-PL"/>
        </w:rPr>
        <w:t>o </w:t>
      </w:r>
      <w:r w:rsidRPr="00833C88">
        <w:rPr>
          <w:rFonts w:cs="Times New Roman"/>
          <w:sz w:val="24"/>
          <w:szCs w:val="24"/>
          <w:lang w:eastAsia="pl-PL"/>
        </w:rPr>
        <w:t xml:space="preserve">zbiorowym zaopatrzeniu </w:t>
      </w:r>
      <w:r w:rsidR="00601933" w:rsidRPr="00833C88">
        <w:rPr>
          <w:rFonts w:cs="Times New Roman"/>
          <w:sz w:val="24"/>
          <w:szCs w:val="24"/>
          <w:lang w:eastAsia="pl-PL"/>
        </w:rPr>
        <w:t>w </w:t>
      </w:r>
      <w:r w:rsidRPr="00833C88">
        <w:rPr>
          <w:rFonts w:cs="Times New Roman"/>
          <w:sz w:val="24"/>
          <w:szCs w:val="24"/>
          <w:lang w:eastAsia="pl-PL"/>
        </w:rPr>
        <w:t xml:space="preserve">wodę </w:t>
      </w:r>
      <w:r w:rsidR="00601933" w:rsidRPr="00833C88">
        <w:rPr>
          <w:rFonts w:cs="Times New Roman"/>
          <w:sz w:val="24"/>
          <w:szCs w:val="24"/>
          <w:lang w:eastAsia="pl-PL"/>
        </w:rPr>
        <w:t>i </w:t>
      </w:r>
      <w:r w:rsidRPr="00833C88">
        <w:rPr>
          <w:rFonts w:cs="Times New Roman"/>
          <w:sz w:val="24"/>
          <w:szCs w:val="24"/>
          <w:lang w:eastAsia="pl-PL"/>
        </w:rPr>
        <w:t xml:space="preserve">zbiorowym odprowadzaniu ścieków (Dz. U. </w:t>
      </w:r>
      <w:r w:rsidR="00601933" w:rsidRPr="00833C88">
        <w:rPr>
          <w:rFonts w:cs="Times New Roman"/>
          <w:sz w:val="24"/>
          <w:szCs w:val="24"/>
          <w:lang w:eastAsia="pl-PL"/>
        </w:rPr>
        <w:t>z </w:t>
      </w:r>
      <w:r w:rsidRPr="00833C88">
        <w:rPr>
          <w:rFonts w:cs="Times New Roman"/>
          <w:sz w:val="24"/>
          <w:szCs w:val="24"/>
          <w:lang w:eastAsia="pl-PL"/>
        </w:rPr>
        <w:t xml:space="preserve">2024 r. poz. 757), </w:t>
      </w:r>
      <w:r w:rsidR="00601933" w:rsidRPr="00833C88">
        <w:rPr>
          <w:rFonts w:cs="Times New Roman"/>
          <w:sz w:val="24"/>
          <w:szCs w:val="24"/>
          <w:lang w:eastAsia="pl-PL"/>
        </w:rPr>
        <w:t>z </w:t>
      </w:r>
      <w:r w:rsidRPr="00833C88">
        <w:rPr>
          <w:rFonts w:cs="Times New Roman"/>
          <w:sz w:val="24"/>
          <w:szCs w:val="24"/>
          <w:lang w:eastAsia="pl-PL"/>
        </w:rPr>
        <w:t>wyłączeniem podmiotów, dla których dostarczanie wody przeznaczonej do spożycia przez ludzi jest inną niż istotną częścią ich ogólnej działalności.</w:t>
      </w:r>
    </w:p>
    <w:p w14:paraId="49777847" w14:textId="577BF15B" w:rsidR="00641E78" w:rsidRPr="00833C88" w:rsidRDefault="00641E78" w:rsidP="001C26D1">
      <w:pPr>
        <w:spacing w:line="360" w:lineRule="auto"/>
        <w:jc w:val="both"/>
        <w:rPr>
          <w:rFonts w:cs="Times New Roman"/>
          <w:sz w:val="24"/>
          <w:szCs w:val="24"/>
          <w:lang w:eastAsia="pl-PL"/>
        </w:rPr>
      </w:pPr>
      <w:r w:rsidRPr="00833C88">
        <w:rPr>
          <w:rFonts w:cs="Times New Roman"/>
          <w:sz w:val="24"/>
          <w:szCs w:val="24"/>
          <w:lang w:eastAsia="pl-PL"/>
        </w:rPr>
        <w:lastRenderedPageBreak/>
        <w:t xml:space="preserve">Usługi użyteczności publicznej </w:t>
      </w:r>
      <w:r w:rsidR="00601933" w:rsidRPr="00833C88">
        <w:rPr>
          <w:rFonts w:cs="Times New Roman"/>
          <w:sz w:val="24"/>
          <w:szCs w:val="24"/>
          <w:lang w:eastAsia="pl-PL"/>
        </w:rPr>
        <w:t>w </w:t>
      </w:r>
      <w:r w:rsidRPr="00833C88">
        <w:rPr>
          <w:rFonts w:cs="Times New Roman"/>
          <w:sz w:val="24"/>
          <w:szCs w:val="24"/>
          <w:lang w:eastAsia="pl-PL"/>
        </w:rPr>
        <w:t xml:space="preserve">coraz większym stopniu łączą się </w:t>
      </w:r>
      <w:r w:rsidR="00601933" w:rsidRPr="00833C88">
        <w:rPr>
          <w:rFonts w:cs="Times New Roman"/>
          <w:sz w:val="24"/>
          <w:szCs w:val="24"/>
          <w:lang w:eastAsia="pl-PL"/>
        </w:rPr>
        <w:t>z </w:t>
      </w:r>
      <w:r w:rsidRPr="00833C88">
        <w:rPr>
          <w:rFonts w:cs="Times New Roman"/>
          <w:sz w:val="24"/>
          <w:szCs w:val="24"/>
          <w:lang w:eastAsia="pl-PL"/>
        </w:rPr>
        <w:t>sieciami cyfrowymi, aby m.i</w:t>
      </w:r>
      <w:r w:rsidR="00F34453" w:rsidRPr="00833C88">
        <w:rPr>
          <w:rFonts w:cs="Times New Roman"/>
          <w:sz w:val="24"/>
          <w:szCs w:val="24"/>
          <w:lang w:eastAsia="pl-PL"/>
        </w:rPr>
        <w:t>n</w:t>
      </w:r>
      <w:r w:rsidRPr="00833C88">
        <w:rPr>
          <w:rFonts w:cs="Times New Roman"/>
          <w:sz w:val="24"/>
          <w:szCs w:val="24"/>
          <w:lang w:eastAsia="pl-PL"/>
        </w:rPr>
        <w:t xml:space="preserve">. usprawnić zaopatrzenie </w:t>
      </w:r>
      <w:r w:rsidR="00601933" w:rsidRPr="00833C88">
        <w:rPr>
          <w:rFonts w:cs="Times New Roman"/>
          <w:sz w:val="24"/>
          <w:szCs w:val="24"/>
          <w:lang w:eastAsia="pl-PL"/>
        </w:rPr>
        <w:t>w </w:t>
      </w:r>
      <w:r w:rsidRPr="00833C88">
        <w:rPr>
          <w:rFonts w:cs="Times New Roman"/>
          <w:sz w:val="24"/>
          <w:szCs w:val="24"/>
          <w:lang w:eastAsia="pl-PL"/>
        </w:rPr>
        <w:t xml:space="preserve">wodę, odprowadzanie ścieków oraz zwiększyć efektywność oświetlenia </w:t>
      </w:r>
      <w:r w:rsidR="00601933" w:rsidRPr="00833C88">
        <w:rPr>
          <w:rFonts w:cs="Times New Roman"/>
          <w:sz w:val="24"/>
          <w:szCs w:val="24"/>
          <w:lang w:eastAsia="pl-PL"/>
        </w:rPr>
        <w:t>i </w:t>
      </w:r>
      <w:r w:rsidRPr="00833C88">
        <w:rPr>
          <w:rFonts w:cs="Times New Roman"/>
          <w:sz w:val="24"/>
          <w:szCs w:val="24"/>
          <w:lang w:eastAsia="pl-PL"/>
        </w:rPr>
        <w:t xml:space="preserve">ogrzewania budynków. Te cyfrowe usługi użyteczności publicznej są narażone na cyberataki, </w:t>
      </w:r>
      <w:r w:rsidR="00601933" w:rsidRPr="00833C88">
        <w:rPr>
          <w:rFonts w:cs="Times New Roman"/>
          <w:sz w:val="24"/>
          <w:szCs w:val="24"/>
          <w:lang w:eastAsia="pl-PL"/>
        </w:rPr>
        <w:t>a </w:t>
      </w:r>
      <w:r w:rsidRPr="00833C88">
        <w:rPr>
          <w:rFonts w:cs="Times New Roman"/>
          <w:sz w:val="24"/>
          <w:szCs w:val="24"/>
          <w:lang w:eastAsia="pl-PL"/>
        </w:rPr>
        <w:t>skuteczny cyberatak grozi obywatelom szkodami na dużą skalę ze względu na</w:t>
      </w:r>
      <w:r w:rsidR="001A275A" w:rsidRPr="00833C88">
        <w:rPr>
          <w:rFonts w:cs="Times New Roman"/>
          <w:sz w:val="24"/>
          <w:szCs w:val="24"/>
          <w:lang w:eastAsia="pl-PL"/>
        </w:rPr>
        <w:t> </w:t>
      </w:r>
      <w:r w:rsidRPr="00833C88">
        <w:rPr>
          <w:rFonts w:cs="Times New Roman"/>
          <w:sz w:val="24"/>
          <w:szCs w:val="24"/>
          <w:lang w:eastAsia="pl-PL"/>
        </w:rPr>
        <w:t xml:space="preserve">wzajemne powiązanie tych usług. </w:t>
      </w:r>
      <w:r w:rsidR="00601933" w:rsidRPr="00833C88">
        <w:rPr>
          <w:rFonts w:cs="Times New Roman"/>
          <w:sz w:val="24"/>
          <w:szCs w:val="24"/>
          <w:lang w:eastAsia="pl-PL"/>
        </w:rPr>
        <w:t>W </w:t>
      </w:r>
      <w:r w:rsidRPr="00833C88">
        <w:rPr>
          <w:rFonts w:cs="Times New Roman"/>
          <w:sz w:val="24"/>
          <w:szCs w:val="24"/>
          <w:lang w:eastAsia="pl-PL"/>
        </w:rPr>
        <w:t xml:space="preserve">szczególności przerwa </w:t>
      </w:r>
      <w:r w:rsidR="00601933" w:rsidRPr="00833C88">
        <w:rPr>
          <w:rFonts w:cs="Times New Roman"/>
          <w:sz w:val="24"/>
          <w:szCs w:val="24"/>
          <w:lang w:eastAsia="pl-PL"/>
        </w:rPr>
        <w:t>w </w:t>
      </w:r>
      <w:r w:rsidRPr="00833C88">
        <w:rPr>
          <w:rFonts w:cs="Times New Roman"/>
          <w:sz w:val="24"/>
          <w:szCs w:val="24"/>
          <w:lang w:eastAsia="pl-PL"/>
        </w:rPr>
        <w:t xml:space="preserve">zaopatrzeniu </w:t>
      </w:r>
      <w:r w:rsidR="00601933" w:rsidRPr="00833C88">
        <w:rPr>
          <w:rFonts w:cs="Times New Roman"/>
          <w:sz w:val="24"/>
          <w:szCs w:val="24"/>
          <w:lang w:eastAsia="pl-PL"/>
        </w:rPr>
        <w:t>w </w:t>
      </w:r>
      <w:r w:rsidRPr="00833C88">
        <w:rPr>
          <w:rFonts w:cs="Times New Roman"/>
          <w:sz w:val="24"/>
          <w:szCs w:val="24"/>
          <w:lang w:eastAsia="pl-PL"/>
        </w:rPr>
        <w:t xml:space="preserve">wodę jest dotkliwa dla mieszkańców. </w:t>
      </w:r>
      <w:r w:rsidR="00961487" w:rsidRPr="00833C88">
        <w:rPr>
          <w:rFonts w:cs="Times New Roman"/>
          <w:sz w:val="24"/>
          <w:szCs w:val="24"/>
          <w:lang w:eastAsia="pl-PL"/>
        </w:rPr>
        <w:t>Innym ryzykiem jest możliwoś</w:t>
      </w:r>
      <w:r w:rsidR="005C4E22" w:rsidRPr="00833C88">
        <w:rPr>
          <w:rFonts w:cs="Times New Roman"/>
          <w:sz w:val="24"/>
          <w:szCs w:val="24"/>
          <w:lang w:eastAsia="pl-PL"/>
        </w:rPr>
        <w:t xml:space="preserve">ć ataku do systemu zarządzającego uzdatnianiem wody i </w:t>
      </w:r>
      <w:r w:rsidR="002B26EF" w:rsidRPr="00833C88">
        <w:rPr>
          <w:rFonts w:cs="Times New Roman"/>
          <w:sz w:val="24"/>
          <w:szCs w:val="24"/>
          <w:lang w:eastAsia="pl-PL"/>
        </w:rPr>
        <w:t>nieautoryzowana zmiana zawartości dezynfektantów w wodzie, co może doprowadzić do uszczerbku na zdrowiu czy na śmierci ludzi.</w:t>
      </w:r>
    </w:p>
    <w:p w14:paraId="047B3E87" w14:textId="649044BE" w:rsidR="00906961" w:rsidRPr="00833C88" w:rsidRDefault="00906961" w:rsidP="000650EC">
      <w:pPr>
        <w:pStyle w:val="Nagwek4"/>
        <w:spacing w:before="0" w:after="120" w:line="360" w:lineRule="auto"/>
        <w:jc w:val="both"/>
        <w:rPr>
          <w:rFonts w:cs="Times New Roman"/>
          <w:sz w:val="24"/>
          <w:szCs w:val="24"/>
          <w:lang w:eastAsia="pl-PL"/>
        </w:rPr>
      </w:pPr>
      <w:r w:rsidRPr="00833C88">
        <w:rPr>
          <w:rFonts w:cs="Times New Roman"/>
          <w:sz w:val="24"/>
          <w:szCs w:val="24"/>
          <w:lang w:eastAsia="pl-PL"/>
        </w:rPr>
        <w:t>Zbiorowe odprowadzanie ścieków</w:t>
      </w:r>
    </w:p>
    <w:p w14:paraId="2991E5A7" w14:textId="65560B17" w:rsidR="00591996" w:rsidRPr="00833C88" w:rsidRDefault="00601933" w:rsidP="000650EC">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tego sektora wskazano następujący rodzaj podmiotu:</w:t>
      </w:r>
    </w:p>
    <w:p w14:paraId="411EECAD" w14:textId="48E71151" w:rsidR="00640864" w:rsidRPr="00833C88" w:rsidRDefault="00640864">
      <w:pPr>
        <w:pStyle w:val="Akapitzlist"/>
        <w:numPr>
          <w:ilvl w:val="0"/>
          <w:numId w:val="45"/>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 odprowadzający lub oczyszczający ścieki, </w:t>
      </w:r>
      <w:r w:rsidR="00601933" w:rsidRPr="00833C88">
        <w:rPr>
          <w:rFonts w:cs="Times New Roman"/>
          <w:sz w:val="24"/>
          <w:szCs w:val="24"/>
          <w:lang w:eastAsia="pl-PL"/>
        </w:rPr>
        <w:t>w </w:t>
      </w:r>
      <w:r w:rsidRPr="00833C88">
        <w:rPr>
          <w:rFonts w:cs="Times New Roman"/>
          <w:sz w:val="24"/>
          <w:szCs w:val="24"/>
          <w:lang w:eastAsia="pl-PL"/>
        </w:rPr>
        <w:t xml:space="preserve">tym przedsiębiorstwo wodociągowo-kanalizacyjne,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2 pkt 4 ustawy </w:t>
      </w:r>
      <w:r w:rsidR="00601933" w:rsidRPr="00833C88">
        <w:rPr>
          <w:rFonts w:cs="Times New Roman"/>
          <w:sz w:val="24"/>
          <w:szCs w:val="24"/>
          <w:lang w:eastAsia="pl-PL"/>
        </w:rPr>
        <w:t>z </w:t>
      </w:r>
      <w:r w:rsidRPr="00833C88">
        <w:rPr>
          <w:rFonts w:cs="Times New Roman"/>
          <w:sz w:val="24"/>
          <w:szCs w:val="24"/>
          <w:lang w:eastAsia="pl-PL"/>
        </w:rPr>
        <w:t xml:space="preserve">dnia 7 czerwca 2001 r. </w:t>
      </w:r>
      <w:r w:rsidR="00601933" w:rsidRPr="00833C88">
        <w:rPr>
          <w:rFonts w:cs="Times New Roman"/>
          <w:sz w:val="24"/>
          <w:szCs w:val="24"/>
          <w:lang w:eastAsia="pl-PL"/>
        </w:rPr>
        <w:t>o </w:t>
      </w:r>
      <w:r w:rsidRPr="00833C88">
        <w:rPr>
          <w:rFonts w:cs="Times New Roman"/>
          <w:sz w:val="24"/>
          <w:szCs w:val="24"/>
          <w:lang w:eastAsia="pl-PL"/>
        </w:rPr>
        <w:t xml:space="preserve">zbiorowym zaopatrzeniu </w:t>
      </w:r>
      <w:r w:rsidR="00601933" w:rsidRPr="00833C88">
        <w:rPr>
          <w:rFonts w:cs="Times New Roman"/>
          <w:sz w:val="24"/>
          <w:szCs w:val="24"/>
          <w:lang w:eastAsia="pl-PL"/>
        </w:rPr>
        <w:t>w </w:t>
      </w:r>
      <w:r w:rsidRPr="00833C88">
        <w:rPr>
          <w:rFonts w:cs="Times New Roman"/>
          <w:sz w:val="24"/>
          <w:szCs w:val="24"/>
          <w:lang w:eastAsia="pl-PL"/>
        </w:rPr>
        <w:t xml:space="preserve">wodę </w:t>
      </w:r>
      <w:r w:rsidR="00601933" w:rsidRPr="00833C88">
        <w:rPr>
          <w:rFonts w:cs="Times New Roman"/>
          <w:sz w:val="24"/>
          <w:szCs w:val="24"/>
          <w:lang w:eastAsia="pl-PL"/>
        </w:rPr>
        <w:t>i </w:t>
      </w:r>
      <w:r w:rsidRPr="00833C88">
        <w:rPr>
          <w:rFonts w:cs="Times New Roman"/>
          <w:sz w:val="24"/>
          <w:szCs w:val="24"/>
          <w:lang w:eastAsia="pl-PL"/>
        </w:rPr>
        <w:t xml:space="preserve">zbiorowym odprowadzaniu ścieków, </w:t>
      </w:r>
      <w:r w:rsidR="00601933" w:rsidRPr="00833C88">
        <w:rPr>
          <w:rFonts w:cs="Times New Roman"/>
          <w:sz w:val="24"/>
          <w:szCs w:val="24"/>
          <w:lang w:eastAsia="pl-PL"/>
        </w:rPr>
        <w:t>z </w:t>
      </w:r>
      <w:r w:rsidRPr="00833C88">
        <w:rPr>
          <w:rFonts w:cs="Times New Roman"/>
          <w:sz w:val="24"/>
          <w:szCs w:val="24"/>
          <w:lang w:eastAsia="pl-PL"/>
        </w:rPr>
        <w:t>wyłączeniem podmiotów, dla których odprowadzanie lub oczyszczanie ścieków jest inną niż istotna częścią ich ogólnej działalności.</w:t>
      </w:r>
    </w:p>
    <w:p w14:paraId="14FEF5FA" w14:textId="03195E55" w:rsidR="00641E78" w:rsidRPr="00833C88" w:rsidRDefault="00641E78" w:rsidP="001C26D1">
      <w:pPr>
        <w:spacing w:line="360" w:lineRule="auto"/>
        <w:jc w:val="both"/>
        <w:rPr>
          <w:rFonts w:cs="Times New Roman"/>
          <w:sz w:val="24"/>
          <w:szCs w:val="24"/>
          <w:lang w:eastAsia="pl-PL"/>
        </w:rPr>
      </w:pPr>
      <w:r w:rsidRPr="00833C88">
        <w:rPr>
          <w:rFonts w:cs="Times New Roman"/>
          <w:sz w:val="24"/>
          <w:szCs w:val="24"/>
          <w:lang w:eastAsia="pl-PL"/>
        </w:rPr>
        <w:t xml:space="preserve">Ten sektor został uwzględniony </w:t>
      </w:r>
      <w:r w:rsidR="00601933" w:rsidRPr="00833C88">
        <w:rPr>
          <w:rFonts w:cs="Times New Roman"/>
          <w:sz w:val="24"/>
          <w:szCs w:val="24"/>
          <w:lang w:eastAsia="pl-PL"/>
        </w:rPr>
        <w:t>z </w:t>
      </w:r>
      <w:r w:rsidRPr="00833C88">
        <w:rPr>
          <w:rFonts w:cs="Times New Roman"/>
          <w:sz w:val="24"/>
          <w:szCs w:val="24"/>
          <w:lang w:eastAsia="pl-PL"/>
        </w:rPr>
        <w:t xml:space="preserve">tych samych powodów co sektor zaopatrzenia </w:t>
      </w:r>
      <w:r w:rsidR="00601933" w:rsidRPr="00833C88">
        <w:rPr>
          <w:rFonts w:cs="Times New Roman"/>
          <w:sz w:val="24"/>
          <w:szCs w:val="24"/>
          <w:lang w:eastAsia="pl-PL"/>
        </w:rPr>
        <w:t>w </w:t>
      </w:r>
      <w:r w:rsidRPr="00833C88">
        <w:rPr>
          <w:rFonts w:cs="Times New Roman"/>
          <w:sz w:val="24"/>
          <w:szCs w:val="24"/>
          <w:lang w:eastAsia="pl-PL"/>
        </w:rPr>
        <w:t xml:space="preserve">wodę. </w:t>
      </w:r>
    </w:p>
    <w:p w14:paraId="3BC0568F" w14:textId="0A240C8E" w:rsidR="00E61A97" w:rsidRPr="00833C88" w:rsidRDefault="00E61A97" w:rsidP="000650EC">
      <w:pPr>
        <w:pStyle w:val="Nagwek4"/>
        <w:spacing w:before="0" w:after="120" w:line="360" w:lineRule="auto"/>
        <w:jc w:val="both"/>
        <w:rPr>
          <w:rFonts w:cs="Times New Roman"/>
          <w:sz w:val="24"/>
          <w:szCs w:val="24"/>
          <w:lang w:eastAsia="pl-PL"/>
        </w:rPr>
      </w:pPr>
      <w:r w:rsidRPr="00833C88">
        <w:rPr>
          <w:rFonts w:cs="Times New Roman"/>
          <w:sz w:val="24"/>
          <w:szCs w:val="24"/>
          <w:lang w:eastAsia="pl-PL"/>
        </w:rPr>
        <w:t>Infrastruktura cyfrowa</w:t>
      </w:r>
    </w:p>
    <w:p w14:paraId="07AE7353" w14:textId="00AB1DF6" w:rsidR="00591996" w:rsidRPr="00833C88" w:rsidRDefault="00601933" w:rsidP="000650EC">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 xml:space="preserve">ramach sektora infrastruktury cyfrowej wydzielono podsektor komunikacji elektronicznej, </w:t>
      </w:r>
      <w:r w:rsidRPr="00833C88">
        <w:rPr>
          <w:rFonts w:cs="Times New Roman"/>
          <w:sz w:val="24"/>
          <w:szCs w:val="24"/>
          <w:lang w:eastAsia="pl-PL"/>
        </w:rPr>
        <w:t>w </w:t>
      </w:r>
      <w:r w:rsidR="00591996" w:rsidRPr="00833C88">
        <w:rPr>
          <w:rFonts w:cs="Times New Roman"/>
          <w:sz w:val="24"/>
          <w:szCs w:val="24"/>
          <w:lang w:eastAsia="pl-PL"/>
        </w:rPr>
        <w:t xml:space="preserve">którym znajdą się przedsiębiorcy telekomunikacyjni oraz podmioty świadczące usługę komunikacji interpersonalnej </w:t>
      </w:r>
      <w:r w:rsidR="00B07871" w:rsidRPr="00833C88">
        <w:rPr>
          <w:rFonts w:cs="Times New Roman"/>
          <w:sz w:val="24"/>
          <w:szCs w:val="24"/>
          <w:lang w:eastAsia="pl-PL"/>
        </w:rPr>
        <w:t>niewykorzystującej</w:t>
      </w:r>
      <w:r w:rsidR="00591996" w:rsidRPr="00833C88">
        <w:rPr>
          <w:rFonts w:cs="Times New Roman"/>
          <w:sz w:val="24"/>
          <w:szCs w:val="24"/>
          <w:lang w:eastAsia="pl-PL"/>
        </w:rPr>
        <w:t xml:space="preserve"> numerów. Podmioty te będą podlegały nadzorowi Prezesa Urzędu Komunikacji Elektronicznej. Pozostałe podmioty będą podlegały pod nadzór ministra właściwego do spraw informatyzacji</w:t>
      </w:r>
    </w:p>
    <w:p w14:paraId="7B29773E" w14:textId="63D0861D" w:rsidR="00A322E4" w:rsidRPr="00833C88" w:rsidRDefault="00A322E4" w:rsidP="000650EC">
      <w:pPr>
        <w:pStyle w:val="Nagwek5"/>
        <w:numPr>
          <w:ilvl w:val="0"/>
          <w:numId w:val="0"/>
        </w:numPr>
        <w:spacing w:before="0" w:after="120" w:line="360" w:lineRule="auto"/>
        <w:ind w:left="360"/>
        <w:jc w:val="both"/>
        <w:rPr>
          <w:rFonts w:cs="Times New Roman"/>
          <w:sz w:val="24"/>
          <w:szCs w:val="24"/>
        </w:rPr>
      </w:pPr>
      <w:r w:rsidRPr="00833C88">
        <w:rPr>
          <w:rFonts w:cs="Times New Roman"/>
          <w:sz w:val="24"/>
          <w:szCs w:val="24"/>
        </w:rPr>
        <w:t xml:space="preserve">Infrastruktura cyfrowa </w:t>
      </w:r>
      <w:r w:rsidR="00601933" w:rsidRPr="00833C88">
        <w:rPr>
          <w:rFonts w:cs="Times New Roman"/>
          <w:sz w:val="24"/>
          <w:szCs w:val="24"/>
        </w:rPr>
        <w:t>z </w:t>
      </w:r>
      <w:r w:rsidRPr="00833C88">
        <w:rPr>
          <w:rFonts w:cs="Times New Roman"/>
          <w:sz w:val="24"/>
          <w:szCs w:val="24"/>
        </w:rPr>
        <w:t>wyłączeniem komunikacji elektronicznej</w:t>
      </w:r>
      <w:r w:rsidR="007D65D3" w:rsidRPr="00833C88">
        <w:rPr>
          <w:rFonts w:cs="Times New Roman"/>
          <w:sz w:val="24"/>
          <w:szCs w:val="24"/>
        </w:rPr>
        <w:t>:</w:t>
      </w:r>
    </w:p>
    <w:p w14:paraId="4C1645B9" w14:textId="70D9915F" w:rsidR="00A026C9"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t>Dostawca punktu wymiany ruchu internetowego</w:t>
      </w:r>
      <w:r w:rsidR="007D65D3" w:rsidRPr="00833C88">
        <w:rPr>
          <w:rFonts w:cs="Times New Roman"/>
          <w:sz w:val="24"/>
          <w:szCs w:val="24"/>
        </w:rPr>
        <w:t>,</w:t>
      </w:r>
    </w:p>
    <w:p w14:paraId="0D7DB86E" w14:textId="683F69F3" w:rsidR="00A026C9"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t xml:space="preserve">Dostawca usług DNS, </w:t>
      </w:r>
      <w:r w:rsidR="00601933" w:rsidRPr="00833C88">
        <w:rPr>
          <w:rFonts w:cs="Times New Roman"/>
          <w:sz w:val="24"/>
          <w:szCs w:val="24"/>
        </w:rPr>
        <w:t>z </w:t>
      </w:r>
      <w:r w:rsidRPr="00833C88">
        <w:rPr>
          <w:rFonts w:cs="Times New Roman"/>
          <w:sz w:val="24"/>
          <w:szCs w:val="24"/>
        </w:rPr>
        <w:t>wyłączeniem operatorów głównych serwerów nazw</w:t>
      </w:r>
      <w:r w:rsidR="007D65D3" w:rsidRPr="00833C88">
        <w:rPr>
          <w:rFonts w:cs="Times New Roman"/>
          <w:sz w:val="24"/>
          <w:szCs w:val="24"/>
        </w:rPr>
        <w:t>,</w:t>
      </w:r>
    </w:p>
    <w:p w14:paraId="2B190EDB" w14:textId="49E64F1D" w:rsidR="00A026C9"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t>Rejestr nazw domen najwyższego poziomu (TLD)</w:t>
      </w:r>
      <w:r w:rsidR="007D65D3" w:rsidRPr="00833C88">
        <w:rPr>
          <w:rFonts w:cs="Times New Roman"/>
          <w:sz w:val="24"/>
          <w:szCs w:val="24"/>
        </w:rPr>
        <w:t>,</w:t>
      </w:r>
    </w:p>
    <w:p w14:paraId="7B5BB88E" w14:textId="7FAAC5FD" w:rsidR="00A026C9"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t>Dostawca chmury obliczeniowej</w:t>
      </w:r>
      <w:r w:rsidR="007D65D3" w:rsidRPr="00833C88">
        <w:rPr>
          <w:rFonts w:cs="Times New Roman"/>
          <w:sz w:val="24"/>
          <w:szCs w:val="24"/>
        </w:rPr>
        <w:t>,</w:t>
      </w:r>
    </w:p>
    <w:p w14:paraId="08C406FE" w14:textId="558A2806" w:rsidR="00A026C9"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t>Dostawca usług</w:t>
      </w:r>
      <w:r w:rsidR="00012272" w:rsidRPr="00833C88">
        <w:rPr>
          <w:rFonts w:cs="Times New Roman"/>
          <w:sz w:val="24"/>
          <w:szCs w:val="24"/>
        </w:rPr>
        <w:t>i</w:t>
      </w:r>
      <w:r w:rsidRPr="00833C88">
        <w:rPr>
          <w:rFonts w:cs="Times New Roman"/>
          <w:sz w:val="24"/>
          <w:szCs w:val="24"/>
        </w:rPr>
        <w:t xml:space="preserve"> centrum przetwarzania danych</w:t>
      </w:r>
      <w:r w:rsidR="007D65D3" w:rsidRPr="00833C88">
        <w:rPr>
          <w:rFonts w:cs="Times New Roman"/>
          <w:sz w:val="24"/>
          <w:szCs w:val="24"/>
        </w:rPr>
        <w:t>,</w:t>
      </w:r>
    </w:p>
    <w:p w14:paraId="634CE4DC" w14:textId="7CF1FDF0" w:rsidR="00A026C9"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t>Dostawca sieci dostarczania treści</w:t>
      </w:r>
      <w:r w:rsidR="007D65D3" w:rsidRPr="00833C88">
        <w:rPr>
          <w:rFonts w:cs="Times New Roman"/>
          <w:sz w:val="24"/>
          <w:szCs w:val="24"/>
        </w:rPr>
        <w:t>,</w:t>
      </w:r>
    </w:p>
    <w:p w14:paraId="17F4BAAB" w14:textId="45F64709" w:rsidR="00A026C9"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lastRenderedPageBreak/>
        <w:t>Dostawca usług zaufania</w:t>
      </w:r>
      <w:r w:rsidR="007D65D3" w:rsidRPr="00833C88">
        <w:rPr>
          <w:rFonts w:cs="Times New Roman"/>
          <w:sz w:val="24"/>
          <w:szCs w:val="24"/>
        </w:rPr>
        <w:t>,</w:t>
      </w:r>
    </w:p>
    <w:p w14:paraId="0E12627C" w14:textId="4720CC7D" w:rsidR="00D2073B" w:rsidRPr="00833C88" w:rsidRDefault="00A026C9">
      <w:pPr>
        <w:pStyle w:val="Akapitzlist"/>
        <w:numPr>
          <w:ilvl w:val="0"/>
          <w:numId w:val="46"/>
        </w:numPr>
        <w:spacing w:line="360" w:lineRule="auto"/>
        <w:contextualSpacing w:val="0"/>
        <w:jc w:val="both"/>
        <w:rPr>
          <w:rFonts w:cs="Times New Roman"/>
          <w:sz w:val="24"/>
          <w:szCs w:val="24"/>
        </w:rPr>
      </w:pPr>
      <w:r w:rsidRPr="00833C88">
        <w:rPr>
          <w:rFonts w:cs="Times New Roman"/>
          <w:sz w:val="24"/>
          <w:szCs w:val="24"/>
        </w:rPr>
        <w:t>Podmiot świadczący usługę rejestracji nazw domen</w:t>
      </w:r>
      <w:r w:rsidR="007D65D3" w:rsidRPr="00833C88">
        <w:rPr>
          <w:rFonts w:cs="Times New Roman"/>
          <w:sz w:val="24"/>
          <w:szCs w:val="24"/>
        </w:rPr>
        <w:t>,</w:t>
      </w:r>
    </w:p>
    <w:p w14:paraId="6CB711B7" w14:textId="5051A20A" w:rsidR="006241A9" w:rsidRPr="00833C88" w:rsidRDefault="00A322E4" w:rsidP="000650EC">
      <w:pPr>
        <w:pStyle w:val="Nagwek5"/>
        <w:numPr>
          <w:ilvl w:val="0"/>
          <w:numId w:val="0"/>
        </w:numPr>
        <w:spacing w:before="0" w:after="120" w:line="360" w:lineRule="auto"/>
        <w:ind w:left="360"/>
        <w:jc w:val="both"/>
        <w:rPr>
          <w:rFonts w:cs="Times New Roman"/>
          <w:sz w:val="24"/>
          <w:szCs w:val="24"/>
        </w:rPr>
      </w:pPr>
      <w:r w:rsidRPr="00833C88">
        <w:rPr>
          <w:rFonts w:cs="Times New Roman"/>
          <w:sz w:val="24"/>
          <w:szCs w:val="24"/>
        </w:rPr>
        <w:t>Komunikacja elektroniczna</w:t>
      </w:r>
      <w:r w:rsidR="007D65D3" w:rsidRPr="00833C88">
        <w:rPr>
          <w:rFonts w:cs="Times New Roman"/>
          <w:sz w:val="24"/>
          <w:szCs w:val="24"/>
        </w:rPr>
        <w:t>:</w:t>
      </w:r>
    </w:p>
    <w:p w14:paraId="3801C369" w14:textId="6904E3B8" w:rsidR="00E4522D" w:rsidRPr="00833C88" w:rsidRDefault="00E4522D">
      <w:pPr>
        <w:pStyle w:val="Akapitzlist"/>
        <w:numPr>
          <w:ilvl w:val="0"/>
          <w:numId w:val="57"/>
        </w:numPr>
        <w:spacing w:line="360" w:lineRule="auto"/>
        <w:contextualSpacing w:val="0"/>
        <w:jc w:val="both"/>
        <w:rPr>
          <w:rFonts w:cs="Times New Roman"/>
          <w:sz w:val="24"/>
          <w:szCs w:val="24"/>
        </w:rPr>
      </w:pPr>
      <w:r w:rsidRPr="00833C88">
        <w:rPr>
          <w:rFonts w:cs="Times New Roman"/>
          <w:sz w:val="24"/>
          <w:szCs w:val="24"/>
        </w:rPr>
        <w:t>Przedsiębiorca komunikacji elektronicznej.</w:t>
      </w:r>
    </w:p>
    <w:p w14:paraId="53E8B9CC" w14:textId="21AF7B4D" w:rsidR="00D2073B" w:rsidRPr="00833C88" w:rsidRDefault="00D2073B" w:rsidP="000650EC">
      <w:pPr>
        <w:spacing w:line="360" w:lineRule="auto"/>
        <w:jc w:val="both"/>
        <w:rPr>
          <w:rFonts w:cs="Times New Roman"/>
          <w:sz w:val="24"/>
          <w:szCs w:val="24"/>
        </w:rPr>
      </w:pPr>
      <w:r w:rsidRPr="00833C88">
        <w:rPr>
          <w:rFonts w:cs="Times New Roman"/>
          <w:sz w:val="24"/>
          <w:szCs w:val="24"/>
        </w:rPr>
        <w:t xml:space="preserve">Wszystkie usługi </w:t>
      </w:r>
      <w:r w:rsidR="00601933" w:rsidRPr="00833C88">
        <w:rPr>
          <w:rFonts w:cs="Times New Roman"/>
          <w:sz w:val="24"/>
          <w:szCs w:val="24"/>
        </w:rPr>
        <w:t>w </w:t>
      </w:r>
      <w:r w:rsidRPr="00833C88">
        <w:rPr>
          <w:rFonts w:cs="Times New Roman"/>
          <w:sz w:val="24"/>
          <w:szCs w:val="24"/>
        </w:rPr>
        <w:t xml:space="preserve">tym sektorze związane są </w:t>
      </w:r>
      <w:r w:rsidR="00601933" w:rsidRPr="00833C88">
        <w:rPr>
          <w:rFonts w:cs="Times New Roman"/>
          <w:sz w:val="24"/>
          <w:szCs w:val="24"/>
        </w:rPr>
        <w:t>z </w:t>
      </w:r>
      <w:r w:rsidRPr="00833C88">
        <w:rPr>
          <w:rFonts w:cs="Times New Roman"/>
          <w:sz w:val="24"/>
          <w:szCs w:val="24"/>
        </w:rPr>
        <w:t xml:space="preserve">przekazywaniem danych na odległość co ma istotny wpływ zarówno na </w:t>
      </w:r>
      <w:r w:rsidR="00857C15" w:rsidRPr="00833C88">
        <w:rPr>
          <w:rFonts w:cs="Times New Roman"/>
          <w:sz w:val="24"/>
          <w:szCs w:val="24"/>
        </w:rPr>
        <w:t xml:space="preserve">funkcjonowanie gospodarki jak </w:t>
      </w:r>
      <w:r w:rsidR="00601933" w:rsidRPr="00833C88">
        <w:rPr>
          <w:rFonts w:cs="Times New Roman"/>
          <w:sz w:val="24"/>
          <w:szCs w:val="24"/>
        </w:rPr>
        <w:t>i </w:t>
      </w:r>
      <w:r w:rsidR="00857C15" w:rsidRPr="00833C88">
        <w:rPr>
          <w:rFonts w:cs="Times New Roman"/>
          <w:sz w:val="24"/>
          <w:szCs w:val="24"/>
        </w:rPr>
        <w:t xml:space="preserve">bezpieczeństwo danych. Należy też zwrócić uwagę, że incydenty </w:t>
      </w:r>
      <w:r w:rsidR="00601933" w:rsidRPr="00833C88">
        <w:rPr>
          <w:rFonts w:cs="Times New Roman"/>
          <w:sz w:val="24"/>
          <w:szCs w:val="24"/>
        </w:rPr>
        <w:t>w </w:t>
      </w:r>
      <w:r w:rsidR="00857C15" w:rsidRPr="00833C88">
        <w:rPr>
          <w:rFonts w:cs="Times New Roman"/>
          <w:sz w:val="24"/>
          <w:szCs w:val="24"/>
        </w:rPr>
        <w:t>tym sektorze mogą szczególnie łatwo wpłynąć na inne sektory.</w:t>
      </w:r>
      <w:r w:rsidR="0049403F" w:rsidRPr="00833C88">
        <w:rPr>
          <w:rFonts w:cs="Times New Roman"/>
          <w:sz w:val="24"/>
          <w:szCs w:val="24"/>
        </w:rPr>
        <w:t xml:space="preserve"> Niektóre z działalności wskazane wyżej</w:t>
      </w:r>
      <w:r w:rsidR="009034F3" w:rsidRPr="00833C88">
        <w:rPr>
          <w:rFonts w:cs="Times New Roman"/>
          <w:sz w:val="24"/>
          <w:szCs w:val="24"/>
        </w:rPr>
        <w:t xml:space="preserve"> są niezbędne do zapewnienia prawidłowego funkcjonowania internetu.</w:t>
      </w:r>
    </w:p>
    <w:p w14:paraId="4853117F" w14:textId="76CB42A6" w:rsidR="00C8576D" w:rsidRPr="00833C88" w:rsidRDefault="00C8576D" w:rsidP="000650EC">
      <w:pPr>
        <w:pStyle w:val="Nagwek4"/>
        <w:spacing w:before="0" w:after="120" w:line="360" w:lineRule="auto"/>
        <w:jc w:val="both"/>
        <w:rPr>
          <w:rFonts w:cs="Times New Roman"/>
          <w:sz w:val="24"/>
          <w:szCs w:val="24"/>
          <w:lang w:eastAsia="pl-PL"/>
        </w:rPr>
      </w:pPr>
      <w:r w:rsidRPr="00833C88">
        <w:rPr>
          <w:rFonts w:cs="Times New Roman"/>
          <w:sz w:val="24"/>
          <w:szCs w:val="24"/>
          <w:lang w:eastAsia="pl-PL"/>
        </w:rPr>
        <w:t>Zarządzanie usługami ICT</w:t>
      </w:r>
    </w:p>
    <w:p w14:paraId="090D325C" w14:textId="162E75FD" w:rsidR="00591996" w:rsidRPr="00833C88" w:rsidRDefault="00591996" w:rsidP="000650EC">
      <w:pPr>
        <w:spacing w:line="360" w:lineRule="auto"/>
        <w:jc w:val="both"/>
        <w:rPr>
          <w:rFonts w:cs="Times New Roman"/>
          <w:sz w:val="24"/>
          <w:szCs w:val="24"/>
          <w:lang w:eastAsia="pl-PL"/>
        </w:rPr>
      </w:pPr>
      <w:r w:rsidRPr="00833C88">
        <w:rPr>
          <w:rFonts w:cs="Times New Roman"/>
          <w:sz w:val="24"/>
          <w:szCs w:val="24"/>
          <w:lang w:eastAsia="pl-PL"/>
        </w:rPr>
        <w:t xml:space="preserve">Jest to nowy sektor, do tej pory nie występujący </w:t>
      </w:r>
      <w:r w:rsidR="00601933" w:rsidRPr="00833C88">
        <w:rPr>
          <w:rFonts w:cs="Times New Roman"/>
          <w:sz w:val="24"/>
          <w:szCs w:val="24"/>
          <w:lang w:eastAsia="pl-PL"/>
        </w:rPr>
        <w:t>w </w:t>
      </w:r>
      <w:r w:rsidRPr="00833C88">
        <w:rPr>
          <w:rFonts w:cs="Times New Roman"/>
          <w:sz w:val="24"/>
          <w:szCs w:val="24"/>
          <w:lang w:eastAsia="pl-PL"/>
        </w:rPr>
        <w:t xml:space="preserve">ustawie </w:t>
      </w:r>
      <w:r w:rsidR="00601933" w:rsidRPr="00833C88">
        <w:rPr>
          <w:rFonts w:cs="Times New Roman"/>
          <w:sz w:val="24"/>
          <w:szCs w:val="24"/>
          <w:lang w:eastAsia="pl-PL"/>
        </w:rPr>
        <w:t>o </w:t>
      </w:r>
      <w:r w:rsidR="00912E7D" w:rsidRPr="00833C88">
        <w:rPr>
          <w:rFonts w:cs="Times New Roman"/>
          <w:sz w:val="24"/>
          <w:szCs w:val="24"/>
          <w:lang w:eastAsia="pl-PL"/>
        </w:rPr>
        <w:t>KSC</w:t>
      </w:r>
      <w:r w:rsidRPr="00833C88">
        <w:rPr>
          <w:rFonts w:cs="Times New Roman"/>
          <w:sz w:val="24"/>
          <w:szCs w:val="24"/>
          <w:lang w:eastAsia="pl-PL"/>
        </w:rPr>
        <w:t>.</w:t>
      </w:r>
      <w:r w:rsidR="00CC72D8" w:rsidRPr="00833C88">
        <w:rPr>
          <w:rFonts w:cs="Times New Roman"/>
          <w:sz w:val="24"/>
          <w:szCs w:val="24"/>
          <w:lang w:eastAsia="pl-PL"/>
        </w:rPr>
        <w:t xml:space="preserve"> Obejmuje on:</w:t>
      </w:r>
    </w:p>
    <w:p w14:paraId="55C9AB6A" w14:textId="2A930B13" w:rsidR="00841AEE" w:rsidRPr="00833C88" w:rsidRDefault="00841AEE">
      <w:pPr>
        <w:pStyle w:val="Akapitzlist"/>
        <w:numPr>
          <w:ilvl w:val="0"/>
          <w:numId w:val="47"/>
        </w:numPr>
        <w:spacing w:line="360" w:lineRule="auto"/>
        <w:contextualSpacing w:val="0"/>
        <w:jc w:val="both"/>
        <w:rPr>
          <w:rFonts w:cs="Times New Roman"/>
          <w:sz w:val="24"/>
          <w:szCs w:val="24"/>
          <w:lang w:eastAsia="pl-PL"/>
        </w:rPr>
      </w:pPr>
      <w:r w:rsidRPr="00833C88">
        <w:rPr>
          <w:rFonts w:cs="Times New Roman"/>
          <w:sz w:val="24"/>
          <w:szCs w:val="24"/>
          <w:lang w:eastAsia="pl-PL"/>
        </w:rPr>
        <w:t>Dostawc</w:t>
      </w:r>
      <w:r w:rsidR="00912E7D" w:rsidRPr="00833C88">
        <w:rPr>
          <w:rFonts w:cs="Times New Roman"/>
          <w:sz w:val="24"/>
          <w:szCs w:val="24"/>
          <w:lang w:eastAsia="pl-PL"/>
        </w:rPr>
        <w:t>ę</w:t>
      </w:r>
      <w:r w:rsidRPr="00833C88">
        <w:rPr>
          <w:rFonts w:cs="Times New Roman"/>
          <w:sz w:val="24"/>
          <w:szCs w:val="24"/>
          <w:lang w:eastAsia="pl-PL"/>
        </w:rPr>
        <w:t xml:space="preserve"> usług zarządzanych</w:t>
      </w:r>
      <w:r w:rsidR="007D65D3" w:rsidRPr="00833C88">
        <w:rPr>
          <w:rFonts w:cs="Times New Roman"/>
          <w:sz w:val="24"/>
          <w:szCs w:val="24"/>
          <w:lang w:eastAsia="pl-PL"/>
        </w:rPr>
        <w:t>,</w:t>
      </w:r>
    </w:p>
    <w:p w14:paraId="6F07AF32" w14:textId="4EF20B3B" w:rsidR="00841AEE" w:rsidRPr="00833C88" w:rsidRDefault="00841AEE">
      <w:pPr>
        <w:pStyle w:val="Akapitzlist"/>
        <w:numPr>
          <w:ilvl w:val="0"/>
          <w:numId w:val="47"/>
        </w:numPr>
        <w:spacing w:line="360" w:lineRule="auto"/>
        <w:contextualSpacing w:val="0"/>
        <w:jc w:val="both"/>
        <w:rPr>
          <w:rFonts w:cs="Times New Roman"/>
          <w:sz w:val="24"/>
          <w:szCs w:val="24"/>
          <w:lang w:eastAsia="pl-PL"/>
        </w:rPr>
      </w:pPr>
      <w:r w:rsidRPr="00833C88">
        <w:rPr>
          <w:rFonts w:cs="Times New Roman"/>
          <w:sz w:val="24"/>
          <w:szCs w:val="24"/>
          <w:lang w:eastAsia="pl-PL"/>
        </w:rPr>
        <w:t>Dostawc</w:t>
      </w:r>
      <w:r w:rsidR="00912E7D" w:rsidRPr="00833C88">
        <w:rPr>
          <w:rFonts w:cs="Times New Roman"/>
          <w:sz w:val="24"/>
          <w:szCs w:val="24"/>
          <w:lang w:eastAsia="pl-PL"/>
        </w:rPr>
        <w:t>ę</w:t>
      </w:r>
      <w:r w:rsidRPr="00833C88">
        <w:rPr>
          <w:rFonts w:cs="Times New Roman"/>
          <w:sz w:val="24"/>
          <w:szCs w:val="24"/>
          <w:lang w:eastAsia="pl-PL"/>
        </w:rPr>
        <w:t xml:space="preserve"> usług zarządzanych </w:t>
      </w:r>
      <w:r w:rsidR="00601933" w:rsidRPr="00833C88">
        <w:rPr>
          <w:rFonts w:cs="Times New Roman"/>
          <w:sz w:val="24"/>
          <w:szCs w:val="24"/>
          <w:lang w:eastAsia="pl-PL"/>
        </w:rPr>
        <w:t>w </w:t>
      </w:r>
      <w:r w:rsidRPr="00833C88">
        <w:rPr>
          <w:rFonts w:cs="Times New Roman"/>
          <w:sz w:val="24"/>
          <w:szCs w:val="24"/>
          <w:lang w:eastAsia="pl-PL"/>
        </w:rPr>
        <w:t>zakresie cyberbezpieczeństwa.</w:t>
      </w:r>
    </w:p>
    <w:p w14:paraId="167872FE" w14:textId="591CB736" w:rsidR="00857C15" w:rsidRPr="00833C88" w:rsidRDefault="00857C15" w:rsidP="000650EC">
      <w:pPr>
        <w:spacing w:line="360" w:lineRule="auto"/>
        <w:jc w:val="both"/>
        <w:rPr>
          <w:rFonts w:cs="Times New Roman"/>
          <w:sz w:val="24"/>
          <w:szCs w:val="24"/>
          <w:lang w:eastAsia="pl-PL"/>
        </w:rPr>
      </w:pPr>
      <w:r w:rsidRPr="00833C88">
        <w:rPr>
          <w:rFonts w:cs="Times New Roman"/>
          <w:sz w:val="24"/>
          <w:szCs w:val="24"/>
          <w:lang w:eastAsia="pl-PL"/>
        </w:rPr>
        <w:t xml:space="preserve">Usługi wspierające inne podmioty </w:t>
      </w:r>
      <w:r w:rsidR="00601933" w:rsidRPr="00833C88">
        <w:rPr>
          <w:rFonts w:cs="Times New Roman"/>
          <w:sz w:val="24"/>
          <w:szCs w:val="24"/>
          <w:lang w:eastAsia="pl-PL"/>
        </w:rPr>
        <w:t>w </w:t>
      </w:r>
      <w:r w:rsidRPr="00833C88">
        <w:rPr>
          <w:rFonts w:cs="Times New Roman"/>
          <w:sz w:val="24"/>
          <w:szCs w:val="24"/>
          <w:lang w:eastAsia="pl-PL"/>
        </w:rPr>
        <w:t xml:space="preserve">wykonywaniu zadań </w:t>
      </w:r>
      <w:r w:rsidR="00601933" w:rsidRPr="00833C88">
        <w:rPr>
          <w:rFonts w:cs="Times New Roman"/>
          <w:sz w:val="24"/>
          <w:szCs w:val="24"/>
          <w:lang w:eastAsia="pl-PL"/>
        </w:rPr>
        <w:t>z </w:t>
      </w:r>
      <w:r w:rsidRPr="00833C88">
        <w:rPr>
          <w:rFonts w:cs="Times New Roman"/>
          <w:sz w:val="24"/>
          <w:szCs w:val="24"/>
          <w:lang w:eastAsia="pl-PL"/>
        </w:rPr>
        <w:t xml:space="preserve">zakresu cyberbezpieczeństwa powinny być objęte takimi samymi wymogami jakie dotyczą ich klientów, tak aby zapewnić jednolite standardy </w:t>
      </w:r>
      <w:r w:rsidR="00601933" w:rsidRPr="00833C88">
        <w:rPr>
          <w:rFonts w:cs="Times New Roman"/>
          <w:sz w:val="24"/>
          <w:szCs w:val="24"/>
          <w:lang w:eastAsia="pl-PL"/>
        </w:rPr>
        <w:t>w </w:t>
      </w:r>
      <w:r w:rsidRPr="00833C88">
        <w:rPr>
          <w:rFonts w:cs="Times New Roman"/>
          <w:sz w:val="24"/>
          <w:szCs w:val="24"/>
          <w:lang w:eastAsia="pl-PL"/>
        </w:rPr>
        <w:t xml:space="preserve">tym zakresie. </w:t>
      </w:r>
    </w:p>
    <w:p w14:paraId="3CFB51F8" w14:textId="21959B93" w:rsidR="007C37E6" w:rsidRPr="00833C88" w:rsidRDefault="007C37E6" w:rsidP="000650EC">
      <w:pPr>
        <w:pStyle w:val="Nagwek4"/>
        <w:spacing w:before="0" w:after="120" w:line="360" w:lineRule="auto"/>
        <w:jc w:val="both"/>
        <w:rPr>
          <w:rFonts w:cs="Times New Roman"/>
          <w:sz w:val="24"/>
          <w:szCs w:val="24"/>
          <w:lang w:eastAsia="pl-PL"/>
        </w:rPr>
      </w:pPr>
      <w:r w:rsidRPr="00833C88">
        <w:rPr>
          <w:rFonts w:cs="Times New Roman"/>
          <w:sz w:val="24"/>
          <w:szCs w:val="24"/>
          <w:lang w:eastAsia="pl-PL"/>
        </w:rPr>
        <w:t>Przestrzeń kosmiczna</w:t>
      </w:r>
    </w:p>
    <w:p w14:paraId="5156E27A" w14:textId="72E0224E" w:rsidR="00591996" w:rsidRPr="00833C88" w:rsidRDefault="00591996" w:rsidP="007D65D3">
      <w:pPr>
        <w:spacing w:after="0" w:line="360" w:lineRule="auto"/>
        <w:jc w:val="both"/>
        <w:rPr>
          <w:rFonts w:cs="Times New Roman"/>
          <w:sz w:val="24"/>
          <w:szCs w:val="24"/>
          <w:lang w:eastAsia="pl-PL"/>
        </w:rPr>
      </w:pPr>
      <w:r w:rsidRPr="00833C88">
        <w:rPr>
          <w:rFonts w:cs="Times New Roman"/>
          <w:sz w:val="24"/>
          <w:szCs w:val="24"/>
          <w:lang w:eastAsia="pl-PL"/>
        </w:rPr>
        <w:t xml:space="preserve">Jest to nowy sektor, do tej pory nie występujący </w:t>
      </w:r>
      <w:r w:rsidR="00601933" w:rsidRPr="00833C88">
        <w:rPr>
          <w:rFonts w:cs="Times New Roman"/>
          <w:sz w:val="24"/>
          <w:szCs w:val="24"/>
          <w:lang w:eastAsia="pl-PL"/>
        </w:rPr>
        <w:t>w </w:t>
      </w:r>
      <w:r w:rsidRPr="00833C88">
        <w:rPr>
          <w:rFonts w:cs="Times New Roman"/>
          <w:sz w:val="24"/>
          <w:szCs w:val="24"/>
          <w:lang w:eastAsia="pl-PL"/>
        </w:rPr>
        <w:t xml:space="preserve">ustawie </w:t>
      </w:r>
      <w:r w:rsidR="00601933" w:rsidRPr="00833C88">
        <w:rPr>
          <w:rFonts w:cs="Times New Roman"/>
          <w:sz w:val="24"/>
          <w:szCs w:val="24"/>
          <w:lang w:eastAsia="pl-PL"/>
        </w:rPr>
        <w:t>o </w:t>
      </w:r>
      <w:r w:rsidR="00912E7D" w:rsidRPr="00833C88">
        <w:rPr>
          <w:rFonts w:cs="Times New Roman"/>
          <w:sz w:val="24"/>
          <w:szCs w:val="24"/>
          <w:lang w:eastAsia="pl-PL"/>
        </w:rPr>
        <w:t>KSC</w:t>
      </w:r>
      <w:r w:rsidRPr="00833C88">
        <w:rPr>
          <w:rFonts w:cs="Times New Roman"/>
          <w:sz w:val="24"/>
          <w:szCs w:val="24"/>
          <w:lang w:eastAsia="pl-PL"/>
        </w:rPr>
        <w:t>.</w:t>
      </w:r>
      <w:r w:rsidR="00CC72D8" w:rsidRPr="00833C88">
        <w:rPr>
          <w:rFonts w:cs="Times New Roman"/>
          <w:sz w:val="24"/>
          <w:szCs w:val="24"/>
          <w:lang w:eastAsia="pl-PL"/>
        </w:rPr>
        <w:t xml:space="preserve"> Obejmuje on:</w:t>
      </w:r>
    </w:p>
    <w:p w14:paraId="6C933181" w14:textId="6764DCB3" w:rsidR="0061331C" w:rsidRPr="00833C88" w:rsidRDefault="0061331C" w:rsidP="007D65D3">
      <w:pPr>
        <w:pStyle w:val="Akapitzlist"/>
        <w:numPr>
          <w:ilvl w:val="0"/>
          <w:numId w:val="48"/>
        </w:numPr>
        <w:spacing w:after="0" w:line="360" w:lineRule="auto"/>
        <w:contextualSpacing w:val="0"/>
        <w:jc w:val="both"/>
        <w:rPr>
          <w:rFonts w:cs="Times New Roman"/>
          <w:sz w:val="24"/>
          <w:szCs w:val="24"/>
          <w:lang w:eastAsia="pl-PL"/>
        </w:rPr>
      </w:pPr>
      <w:r w:rsidRPr="00833C88">
        <w:rPr>
          <w:rFonts w:cs="Times New Roman"/>
          <w:sz w:val="24"/>
          <w:szCs w:val="24"/>
          <w:lang w:eastAsia="pl-PL"/>
        </w:rPr>
        <w:t>Operator</w:t>
      </w:r>
      <w:r w:rsidR="00912E7D" w:rsidRPr="00833C88">
        <w:rPr>
          <w:rFonts w:cs="Times New Roman"/>
          <w:sz w:val="24"/>
          <w:szCs w:val="24"/>
          <w:lang w:eastAsia="pl-PL"/>
        </w:rPr>
        <w:t>a</w:t>
      </w:r>
      <w:r w:rsidRPr="00833C88">
        <w:rPr>
          <w:rFonts w:cs="Times New Roman"/>
          <w:sz w:val="24"/>
          <w:szCs w:val="24"/>
          <w:lang w:eastAsia="pl-PL"/>
        </w:rPr>
        <w:t xml:space="preserve"> infrastruktury naziemnej, który wspiera świadczenie usług kosmicznych, </w:t>
      </w:r>
      <w:r w:rsidR="00601933" w:rsidRPr="00833C88">
        <w:rPr>
          <w:rFonts w:cs="Times New Roman"/>
          <w:sz w:val="24"/>
          <w:szCs w:val="24"/>
          <w:lang w:eastAsia="pl-PL"/>
        </w:rPr>
        <w:t>z </w:t>
      </w:r>
      <w:r w:rsidRPr="00833C88">
        <w:rPr>
          <w:rFonts w:cs="Times New Roman"/>
          <w:sz w:val="24"/>
          <w:szCs w:val="24"/>
          <w:lang w:eastAsia="pl-PL"/>
        </w:rPr>
        <w:t xml:space="preserve">wyjątkiem przedsiębiorców </w:t>
      </w:r>
      <w:r w:rsidR="00E91E6B" w:rsidRPr="00833C88">
        <w:rPr>
          <w:rFonts w:cs="Times New Roman"/>
          <w:sz w:val="24"/>
          <w:szCs w:val="24"/>
          <w:lang w:eastAsia="pl-PL"/>
        </w:rPr>
        <w:t>dostawców publicznej sieci łączności elektronicznej</w:t>
      </w:r>
      <w:r w:rsidR="007D65D3" w:rsidRPr="00833C88">
        <w:rPr>
          <w:rFonts w:cs="Times New Roman"/>
          <w:sz w:val="24"/>
          <w:szCs w:val="24"/>
          <w:lang w:eastAsia="pl-PL"/>
        </w:rPr>
        <w:t>,</w:t>
      </w:r>
    </w:p>
    <w:p w14:paraId="23F2821B" w14:textId="20B067A2" w:rsidR="0061331C" w:rsidRPr="00833C88" w:rsidRDefault="0061331C" w:rsidP="007D65D3">
      <w:pPr>
        <w:pStyle w:val="Akapitzlist"/>
        <w:numPr>
          <w:ilvl w:val="0"/>
          <w:numId w:val="48"/>
        </w:numPr>
        <w:spacing w:line="360" w:lineRule="auto"/>
        <w:contextualSpacing w:val="0"/>
        <w:jc w:val="both"/>
        <w:rPr>
          <w:rFonts w:cs="Times New Roman"/>
          <w:sz w:val="24"/>
          <w:szCs w:val="24"/>
          <w:lang w:eastAsia="pl-PL"/>
        </w:rPr>
      </w:pPr>
      <w:r w:rsidRPr="00833C88">
        <w:rPr>
          <w:rFonts w:cs="Times New Roman"/>
          <w:sz w:val="24"/>
          <w:szCs w:val="24"/>
          <w:lang w:eastAsia="pl-PL"/>
        </w:rPr>
        <w:t>Polsk</w:t>
      </w:r>
      <w:r w:rsidR="00912E7D" w:rsidRPr="00833C88">
        <w:rPr>
          <w:rFonts w:cs="Times New Roman"/>
          <w:sz w:val="24"/>
          <w:szCs w:val="24"/>
          <w:lang w:eastAsia="pl-PL"/>
        </w:rPr>
        <w:t>ą</w:t>
      </w:r>
      <w:r w:rsidRPr="00833C88">
        <w:rPr>
          <w:rFonts w:cs="Times New Roman"/>
          <w:sz w:val="24"/>
          <w:szCs w:val="24"/>
          <w:lang w:eastAsia="pl-PL"/>
        </w:rPr>
        <w:t xml:space="preserve"> Agencj</w:t>
      </w:r>
      <w:r w:rsidR="00912E7D" w:rsidRPr="00833C88">
        <w:rPr>
          <w:rFonts w:cs="Times New Roman"/>
          <w:sz w:val="24"/>
          <w:szCs w:val="24"/>
          <w:lang w:eastAsia="pl-PL"/>
        </w:rPr>
        <w:t>ę</w:t>
      </w:r>
      <w:r w:rsidRPr="00833C88">
        <w:rPr>
          <w:rFonts w:cs="Times New Roman"/>
          <w:sz w:val="24"/>
          <w:szCs w:val="24"/>
          <w:lang w:eastAsia="pl-PL"/>
        </w:rPr>
        <w:t xml:space="preserve"> Kosmiczn</w:t>
      </w:r>
      <w:r w:rsidR="00912E7D" w:rsidRPr="00833C88">
        <w:rPr>
          <w:rFonts w:cs="Times New Roman"/>
          <w:sz w:val="24"/>
          <w:szCs w:val="24"/>
          <w:lang w:eastAsia="pl-PL"/>
        </w:rPr>
        <w:t>ą</w:t>
      </w:r>
      <w:r w:rsidRPr="00833C88">
        <w:rPr>
          <w:rFonts w:cs="Times New Roman"/>
          <w:sz w:val="24"/>
          <w:szCs w:val="24"/>
          <w:lang w:eastAsia="pl-PL"/>
        </w:rPr>
        <w:t>.</w:t>
      </w:r>
    </w:p>
    <w:p w14:paraId="42CFC765" w14:textId="6B9CD0DE" w:rsidR="00874554" w:rsidRPr="00833C88" w:rsidRDefault="00874554" w:rsidP="001C26D1">
      <w:pPr>
        <w:spacing w:line="360" w:lineRule="auto"/>
        <w:jc w:val="both"/>
        <w:rPr>
          <w:rFonts w:cs="Times New Roman"/>
          <w:sz w:val="24"/>
          <w:szCs w:val="24"/>
          <w:lang w:eastAsia="pl-PL"/>
        </w:rPr>
      </w:pPr>
      <w:r w:rsidRPr="00833C88">
        <w:rPr>
          <w:rFonts w:cs="Times New Roman"/>
          <w:sz w:val="24"/>
          <w:szCs w:val="24"/>
          <w:lang w:eastAsia="pl-PL"/>
        </w:rPr>
        <w:t xml:space="preserve">Coraz większe współzależności wynikają z coraz bardziej transgranicznej i współzależnej sieci świadczenia usług, dotyczy również usług związanych </w:t>
      </w:r>
      <w:r w:rsidR="00601933" w:rsidRPr="00833C88">
        <w:rPr>
          <w:rFonts w:cs="Times New Roman"/>
          <w:sz w:val="24"/>
          <w:szCs w:val="24"/>
          <w:lang w:eastAsia="pl-PL"/>
        </w:rPr>
        <w:t>z </w:t>
      </w:r>
      <w:r w:rsidRPr="00833C88">
        <w:rPr>
          <w:rFonts w:cs="Times New Roman"/>
          <w:sz w:val="24"/>
          <w:szCs w:val="24"/>
          <w:lang w:eastAsia="pl-PL"/>
        </w:rPr>
        <w:t xml:space="preserve">przestrzenią kosmiczną, jeżeli chodzi o świadczenie niektórych usług zależnych od naziemnej infrastruktury. W takim wypadku incydent </w:t>
      </w:r>
      <w:r w:rsidR="00601933" w:rsidRPr="00833C88">
        <w:rPr>
          <w:rFonts w:cs="Times New Roman"/>
          <w:sz w:val="24"/>
          <w:szCs w:val="24"/>
          <w:lang w:eastAsia="pl-PL"/>
        </w:rPr>
        <w:t>w </w:t>
      </w:r>
      <w:r w:rsidRPr="00833C88">
        <w:rPr>
          <w:rFonts w:cs="Times New Roman"/>
          <w:sz w:val="24"/>
          <w:szCs w:val="24"/>
          <w:lang w:eastAsia="pl-PL"/>
        </w:rPr>
        <w:t xml:space="preserve">tym obszarze wiążę się </w:t>
      </w:r>
      <w:r w:rsidR="00601933" w:rsidRPr="00833C88">
        <w:rPr>
          <w:rFonts w:cs="Times New Roman"/>
          <w:sz w:val="24"/>
          <w:szCs w:val="24"/>
          <w:lang w:eastAsia="pl-PL"/>
        </w:rPr>
        <w:t>z </w:t>
      </w:r>
      <w:r w:rsidRPr="00833C88">
        <w:rPr>
          <w:rFonts w:cs="Times New Roman"/>
          <w:sz w:val="24"/>
          <w:szCs w:val="24"/>
          <w:lang w:eastAsia="pl-PL"/>
        </w:rPr>
        <w:t xml:space="preserve">poważnymi konsekwencjami </w:t>
      </w:r>
      <w:r w:rsidR="00601933" w:rsidRPr="00833C88">
        <w:rPr>
          <w:rFonts w:cs="Times New Roman"/>
          <w:sz w:val="24"/>
          <w:szCs w:val="24"/>
          <w:lang w:eastAsia="pl-PL"/>
        </w:rPr>
        <w:t>i </w:t>
      </w:r>
      <w:r w:rsidRPr="00833C88">
        <w:rPr>
          <w:rFonts w:cs="Times New Roman"/>
          <w:sz w:val="24"/>
          <w:szCs w:val="24"/>
          <w:lang w:eastAsia="pl-PL"/>
        </w:rPr>
        <w:t xml:space="preserve">konieczne jest podjęcie odpowiednich </w:t>
      </w:r>
      <w:proofErr w:type="gramStart"/>
      <w:r w:rsidRPr="00833C88">
        <w:rPr>
          <w:rFonts w:cs="Times New Roman"/>
          <w:sz w:val="24"/>
          <w:szCs w:val="24"/>
          <w:lang w:eastAsia="pl-PL"/>
        </w:rPr>
        <w:t>działań</w:t>
      </w:r>
      <w:proofErr w:type="gramEnd"/>
      <w:r w:rsidRPr="00833C88">
        <w:rPr>
          <w:rFonts w:cs="Times New Roman"/>
          <w:sz w:val="24"/>
          <w:szCs w:val="24"/>
          <w:lang w:eastAsia="pl-PL"/>
        </w:rPr>
        <w:t xml:space="preserve"> aby mu zapobiec.</w:t>
      </w:r>
    </w:p>
    <w:p w14:paraId="41DB8DF5" w14:textId="39EC1D0C" w:rsidR="006241A9" w:rsidRPr="00833C88" w:rsidRDefault="006241A9" w:rsidP="000650EC">
      <w:pPr>
        <w:pStyle w:val="Nagwek4"/>
        <w:spacing w:before="0" w:after="120" w:line="360" w:lineRule="auto"/>
        <w:jc w:val="both"/>
        <w:rPr>
          <w:rFonts w:cs="Times New Roman"/>
          <w:sz w:val="24"/>
          <w:szCs w:val="24"/>
          <w:lang w:eastAsia="pl-PL"/>
        </w:rPr>
      </w:pPr>
      <w:r w:rsidRPr="00833C88">
        <w:rPr>
          <w:rFonts w:cs="Times New Roman"/>
          <w:sz w:val="24"/>
          <w:szCs w:val="24"/>
          <w:lang w:eastAsia="pl-PL"/>
        </w:rPr>
        <w:t>Podmioty publiczne</w:t>
      </w:r>
    </w:p>
    <w:p w14:paraId="50DB96C5" w14:textId="792F1A36" w:rsidR="00874554" w:rsidRPr="00833C88" w:rsidRDefault="00874554" w:rsidP="000650EC">
      <w:pPr>
        <w:spacing w:line="360" w:lineRule="auto"/>
        <w:jc w:val="both"/>
        <w:rPr>
          <w:rFonts w:cs="Times New Roman"/>
          <w:sz w:val="24"/>
          <w:szCs w:val="24"/>
          <w:lang w:eastAsia="pl-PL"/>
        </w:rPr>
      </w:pPr>
      <w:r w:rsidRPr="00833C88">
        <w:rPr>
          <w:rFonts w:cs="Times New Roman"/>
          <w:sz w:val="24"/>
          <w:szCs w:val="24"/>
          <w:lang w:eastAsia="pl-PL"/>
        </w:rPr>
        <w:t>Sektor ten obejmuje:</w:t>
      </w:r>
    </w:p>
    <w:p w14:paraId="18E22A49" w14:textId="3753B90F" w:rsidR="00857C15" w:rsidRPr="00833C88" w:rsidRDefault="00857C15" w:rsidP="007D65D3">
      <w:pPr>
        <w:pStyle w:val="Akapitzlist"/>
        <w:numPr>
          <w:ilvl w:val="0"/>
          <w:numId w:val="58"/>
        </w:numPr>
        <w:spacing w:after="0" w:line="360" w:lineRule="auto"/>
        <w:contextualSpacing w:val="0"/>
        <w:rPr>
          <w:rFonts w:cs="Times New Roman"/>
          <w:sz w:val="24"/>
          <w:szCs w:val="24"/>
          <w:lang w:eastAsia="pl-PL"/>
        </w:rPr>
      </w:pPr>
      <w:r w:rsidRPr="00833C88">
        <w:rPr>
          <w:rFonts w:cs="Times New Roman"/>
          <w:sz w:val="24"/>
          <w:szCs w:val="24"/>
          <w:lang w:eastAsia="pl-PL"/>
        </w:rPr>
        <w:t xml:space="preserve">Podmioty </w:t>
      </w:r>
      <w:r w:rsidR="00601933" w:rsidRPr="00833C88">
        <w:rPr>
          <w:rFonts w:cs="Times New Roman"/>
          <w:sz w:val="24"/>
          <w:szCs w:val="24"/>
          <w:lang w:eastAsia="pl-PL"/>
        </w:rPr>
        <w:t>z </w:t>
      </w:r>
      <w:r w:rsidRPr="00833C88">
        <w:rPr>
          <w:rFonts w:cs="Times New Roman"/>
          <w:sz w:val="24"/>
          <w:szCs w:val="24"/>
          <w:lang w:eastAsia="pl-PL"/>
        </w:rPr>
        <w:t>uwzględnieniem pkt 2</w:t>
      </w:r>
      <w:r w:rsidR="0052199F" w:rsidRPr="00833C88">
        <w:rPr>
          <w:rFonts w:cs="Times New Roman"/>
          <w:sz w:val="24"/>
          <w:szCs w:val="24"/>
          <w:lang w:eastAsia="pl-PL"/>
        </w:rPr>
        <w:t>–</w:t>
      </w:r>
      <w:r w:rsidRPr="00833C88">
        <w:rPr>
          <w:rFonts w:cs="Times New Roman"/>
          <w:sz w:val="24"/>
          <w:szCs w:val="24"/>
          <w:lang w:eastAsia="pl-PL"/>
        </w:rPr>
        <w:t>4:</w:t>
      </w:r>
    </w:p>
    <w:p w14:paraId="377CE998" w14:textId="24DA0E42"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lastRenderedPageBreak/>
        <w:t xml:space="preserve">jednostki sektora finansów publicznych,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9 pkt 1 ustawy </w:t>
      </w:r>
      <w:r w:rsidR="00601933" w:rsidRPr="00833C88">
        <w:rPr>
          <w:rFonts w:cs="Times New Roman"/>
          <w:sz w:val="24"/>
          <w:szCs w:val="24"/>
          <w:lang w:eastAsia="pl-PL"/>
        </w:rPr>
        <w:t>z </w:t>
      </w:r>
      <w:r w:rsidRPr="00833C88">
        <w:rPr>
          <w:rFonts w:cs="Times New Roman"/>
          <w:sz w:val="24"/>
          <w:szCs w:val="24"/>
          <w:lang w:eastAsia="pl-PL"/>
        </w:rPr>
        <w:t xml:space="preserve">dnia 27 sierpnia 2009 r. </w:t>
      </w:r>
      <w:r w:rsidR="00601933" w:rsidRPr="00833C88">
        <w:rPr>
          <w:rFonts w:cs="Times New Roman"/>
          <w:sz w:val="24"/>
          <w:szCs w:val="24"/>
          <w:lang w:eastAsia="pl-PL"/>
        </w:rPr>
        <w:t>o </w:t>
      </w:r>
      <w:r w:rsidRPr="00833C88">
        <w:rPr>
          <w:rFonts w:cs="Times New Roman"/>
          <w:sz w:val="24"/>
          <w:szCs w:val="24"/>
          <w:lang w:eastAsia="pl-PL"/>
        </w:rPr>
        <w:t>finansach publicznych oraz urzędy je obsługujące,</w:t>
      </w:r>
    </w:p>
    <w:p w14:paraId="4E1A331A" w14:textId="5D0428B8"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 xml:space="preserve">jednostki sektora finansów publicznych,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9 pkt 3, </w:t>
      </w:r>
      <w:r w:rsidR="0052199F" w:rsidRPr="00833C88">
        <w:rPr>
          <w:rFonts w:cs="Times New Roman"/>
          <w:sz w:val="24"/>
          <w:szCs w:val="24"/>
          <w:lang w:eastAsia="pl-PL"/>
        </w:rPr>
        <w:t>–</w:t>
      </w:r>
      <w:r w:rsidRPr="00833C88">
        <w:rPr>
          <w:rFonts w:cs="Times New Roman"/>
          <w:sz w:val="24"/>
          <w:szCs w:val="24"/>
          <w:lang w:eastAsia="pl-PL"/>
        </w:rPr>
        <w:t xml:space="preserve">6, 8, 9, 11–13 ustawy </w:t>
      </w:r>
      <w:r w:rsidR="00601933" w:rsidRPr="00833C88">
        <w:rPr>
          <w:rFonts w:cs="Times New Roman"/>
          <w:sz w:val="24"/>
          <w:szCs w:val="24"/>
          <w:lang w:eastAsia="pl-PL"/>
        </w:rPr>
        <w:t>z </w:t>
      </w:r>
      <w:r w:rsidRPr="00833C88">
        <w:rPr>
          <w:rFonts w:cs="Times New Roman"/>
          <w:sz w:val="24"/>
          <w:szCs w:val="24"/>
          <w:lang w:eastAsia="pl-PL"/>
        </w:rPr>
        <w:t xml:space="preserve">dnia 27 sierpnia 2009 r. </w:t>
      </w:r>
      <w:r w:rsidR="00601933" w:rsidRPr="00833C88">
        <w:rPr>
          <w:rFonts w:cs="Times New Roman"/>
          <w:sz w:val="24"/>
          <w:szCs w:val="24"/>
          <w:lang w:eastAsia="pl-PL"/>
        </w:rPr>
        <w:t>o </w:t>
      </w:r>
      <w:r w:rsidRPr="00833C88">
        <w:rPr>
          <w:rFonts w:cs="Times New Roman"/>
          <w:sz w:val="24"/>
          <w:szCs w:val="24"/>
          <w:lang w:eastAsia="pl-PL"/>
        </w:rPr>
        <w:t>finansach publicznych,</w:t>
      </w:r>
    </w:p>
    <w:p w14:paraId="5E273FD7" w14:textId="66842918"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Instytuty badawcze,</w:t>
      </w:r>
    </w:p>
    <w:p w14:paraId="22C8FB51" w14:textId="4ADBFBFA"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Narodowy Bank Polski,</w:t>
      </w:r>
    </w:p>
    <w:p w14:paraId="135E0E99" w14:textId="55E01F65"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Bank Gospodarstwa Krajowego,</w:t>
      </w:r>
    </w:p>
    <w:p w14:paraId="1A62B197" w14:textId="41ADFE07"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Urząd Dozoru Technicznego,</w:t>
      </w:r>
    </w:p>
    <w:p w14:paraId="5743B590" w14:textId="39803BBD"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Polska Agencja Żeglugi Powietrznej,</w:t>
      </w:r>
    </w:p>
    <w:p w14:paraId="5B9928A2" w14:textId="38FB895D"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Polskie Centrum Akredytacji,</w:t>
      </w:r>
    </w:p>
    <w:p w14:paraId="1DB8A818" w14:textId="5ACFBDAF"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Urząd Komisji Nadzoru Finansowego,</w:t>
      </w:r>
    </w:p>
    <w:p w14:paraId="50156102" w14:textId="7C2273E7"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Polska Agencja Prasowa,</w:t>
      </w:r>
    </w:p>
    <w:p w14:paraId="5F375DB8" w14:textId="77733135"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 xml:space="preserve">Państwowe Gospodarstwo Wodne Wody Polskie,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ustawie </w:t>
      </w:r>
      <w:r w:rsidR="00601933" w:rsidRPr="00833C88">
        <w:rPr>
          <w:rFonts w:cs="Times New Roman"/>
          <w:sz w:val="24"/>
          <w:szCs w:val="24"/>
          <w:lang w:eastAsia="pl-PL"/>
        </w:rPr>
        <w:t>z </w:t>
      </w:r>
      <w:r w:rsidRPr="00833C88">
        <w:rPr>
          <w:rFonts w:cs="Times New Roman"/>
          <w:sz w:val="24"/>
          <w:szCs w:val="24"/>
          <w:lang w:eastAsia="pl-PL"/>
        </w:rPr>
        <w:t xml:space="preserve">dnia 20 lipca 2017 r. – Prawo wodne (Dz. U. </w:t>
      </w:r>
      <w:r w:rsidR="00601933" w:rsidRPr="00833C88">
        <w:rPr>
          <w:rFonts w:cs="Times New Roman"/>
          <w:sz w:val="24"/>
          <w:szCs w:val="24"/>
          <w:lang w:eastAsia="pl-PL"/>
        </w:rPr>
        <w:t>z </w:t>
      </w:r>
      <w:r w:rsidRPr="00833C88">
        <w:rPr>
          <w:rFonts w:cs="Times New Roman"/>
          <w:sz w:val="24"/>
          <w:szCs w:val="24"/>
          <w:lang w:eastAsia="pl-PL"/>
        </w:rPr>
        <w:t>202</w:t>
      </w:r>
      <w:r w:rsidR="00ED57CF" w:rsidRPr="00833C88">
        <w:rPr>
          <w:rFonts w:cs="Times New Roman"/>
          <w:sz w:val="24"/>
          <w:szCs w:val="24"/>
          <w:lang w:eastAsia="pl-PL"/>
        </w:rPr>
        <w:t>5</w:t>
      </w:r>
      <w:r w:rsidRPr="00833C88">
        <w:rPr>
          <w:rFonts w:cs="Times New Roman"/>
          <w:sz w:val="24"/>
          <w:szCs w:val="24"/>
          <w:lang w:eastAsia="pl-PL"/>
        </w:rPr>
        <w:t xml:space="preserve"> r. poz. </w:t>
      </w:r>
      <w:r w:rsidR="00ED57CF" w:rsidRPr="00833C88">
        <w:rPr>
          <w:rFonts w:cs="Times New Roman"/>
          <w:sz w:val="24"/>
          <w:szCs w:val="24"/>
          <w:lang w:eastAsia="pl-PL"/>
        </w:rPr>
        <w:t>960</w:t>
      </w:r>
      <w:r w:rsidRPr="00833C88">
        <w:rPr>
          <w:rFonts w:cs="Times New Roman"/>
          <w:sz w:val="24"/>
          <w:szCs w:val="24"/>
          <w:lang w:eastAsia="pl-PL"/>
        </w:rPr>
        <w:t>).</w:t>
      </w:r>
    </w:p>
    <w:p w14:paraId="6A134D6F" w14:textId="3E5F0228"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 xml:space="preserve">Polski Fundusz Rozwoju </w:t>
      </w:r>
      <w:r w:rsidR="00601933" w:rsidRPr="00833C88">
        <w:rPr>
          <w:rFonts w:cs="Times New Roman"/>
          <w:sz w:val="24"/>
          <w:szCs w:val="24"/>
          <w:lang w:eastAsia="pl-PL"/>
        </w:rPr>
        <w:t>i </w:t>
      </w:r>
      <w:r w:rsidRPr="00833C88">
        <w:rPr>
          <w:rFonts w:cs="Times New Roman"/>
          <w:sz w:val="24"/>
          <w:szCs w:val="24"/>
          <w:lang w:eastAsia="pl-PL"/>
        </w:rPr>
        <w:t xml:space="preserve">inne instytucje rozwoju,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2 ust. 1 pkt 1 </w:t>
      </w:r>
      <w:r w:rsidR="00601933" w:rsidRPr="00833C88">
        <w:rPr>
          <w:rFonts w:cs="Times New Roman"/>
          <w:sz w:val="24"/>
          <w:szCs w:val="24"/>
          <w:lang w:eastAsia="pl-PL"/>
        </w:rPr>
        <w:t>i </w:t>
      </w:r>
      <w:r w:rsidRPr="00833C88">
        <w:rPr>
          <w:rFonts w:cs="Times New Roman"/>
          <w:sz w:val="24"/>
          <w:szCs w:val="24"/>
          <w:lang w:eastAsia="pl-PL"/>
        </w:rPr>
        <w:t xml:space="preserve">3–6 ustawy </w:t>
      </w:r>
      <w:r w:rsidR="00601933" w:rsidRPr="00833C88">
        <w:rPr>
          <w:rFonts w:cs="Times New Roman"/>
          <w:sz w:val="24"/>
          <w:szCs w:val="24"/>
          <w:lang w:eastAsia="pl-PL"/>
        </w:rPr>
        <w:t>z </w:t>
      </w:r>
      <w:r w:rsidRPr="00833C88">
        <w:rPr>
          <w:rFonts w:cs="Times New Roman"/>
          <w:sz w:val="24"/>
          <w:szCs w:val="24"/>
          <w:lang w:eastAsia="pl-PL"/>
        </w:rPr>
        <w:t xml:space="preserve">dnia 4 lipca 2019 r. </w:t>
      </w:r>
      <w:r w:rsidR="00601933" w:rsidRPr="00833C88">
        <w:rPr>
          <w:rFonts w:cs="Times New Roman"/>
          <w:sz w:val="24"/>
          <w:szCs w:val="24"/>
          <w:lang w:eastAsia="pl-PL"/>
        </w:rPr>
        <w:t>o </w:t>
      </w:r>
      <w:r w:rsidRPr="00833C88">
        <w:rPr>
          <w:rFonts w:cs="Times New Roman"/>
          <w:sz w:val="24"/>
          <w:szCs w:val="24"/>
          <w:lang w:eastAsia="pl-PL"/>
        </w:rPr>
        <w:t>systemie instytucji rozwoju.</w:t>
      </w:r>
    </w:p>
    <w:p w14:paraId="018E8341" w14:textId="5DE29059"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 xml:space="preserve">Narodowy Fundusz Ochrony Środowiska </w:t>
      </w:r>
      <w:r w:rsidR="00601933" w:rsidRPr="00833C88">
        <w:rPr>
          <w:rFonts w:cs="Times New Roman"/>
          <w:sz w:val="24"/>
          <w:szCs w:val="24"/>
          <w:lang w:eastAsia="pl-PL"/>
        </w:rPr>
        <w:t>i </w:t>
      </w:r>
      <w:r w:rsidRPr="00833C88">
        <w:rPr>
          <w:rFonts w:cs="Times New Roman"/>
          <w:sz w:val="24"/>
          <w:szCs w:val="24"/>
          <w:lang w:eastAsia="pl-PL"/>
        </w:rPr>
        <w:t>Gospodarki Wodnej,</w:t>
      </w:r>
    </w:p>
    <w:p w14:paraId="534E059E" w14:textId="57C87BAD"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 xml:space="preserve">wojewódzkie fundusze ochrony środowiska </w:t>
      </w:r>
      <w:r w:rsidR="00601933" w:rsidRPr="00833C88">
        <w:rPr>
          <w:rFonts w:cs="Times New Roman"/>
          <w:sz w:val="24"/>
          <w:szCs w:val="24"/>
          <w:lang w:eastAsia="pl-PL"/>
        </w:rPr>
        <w:t>i </w:t>
      </w:r>
      <w:r w:rsidRPr="00833C88">
        <w:rPr>
          <w:rFonts w:cs="Times New Roman"/>
          <w:sz w:val="24"/>
          <w:szCs w:val="24"/>
          <w:lang w:eastAsia="pl-PL"/>
        </w:rPr>
        <w:t>gospodarki wodnej,</w:t>
      </w:r>
    </w:p>
    <w:p w14:paraId="733A504B" w14:textId="2553F9AA"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Państwowy Fundusz Rehabilitacji Osób Niepełnosprawnych,</w:t>
      </w:r>
    </w:p>
    <w:p w14:paraId="63BC5EAC" w14:textId="1933C354" w:rsidR="00874554"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 xml:space="preserve">Zakład Unieszkodliwiania Odpadów Promieniotwórczych </w:t>
      </w:r>
      <w:r w:rsidR="00601933" w:rsidRPr="00833C88">
        <w:rPr>
          <w:rFonts w:cs="Times New Roman"/>
          <w:sz w:val="24"/>
          <w:szCs w:val="24"/>
          <w:lang w:eastAsia="pl-PL"/>
        </w:rPr>
        <w:t>z </w:t>
      </w:r>
      <w:r w:rsidRPr="00833C88">
        <w:rPr>
          <w:rFonts w:cs="Times New Roman"/>
          <w:sz w:val="24"/>
          <w:szCs w:val="24"/>
          <w:lang w:eastAsia="pl-PL"/>
        </w:rPr>
        <w:t xml:space="preserve">siedzibą </w:t>
      </w:r>
      <w:r w:rsidR="00601933" w:rsidRPr="00833C88">
        <w:rPr>
          <w:rFonts w:cs="Times New Roman"/>
          <w:sz w:val="24"/>
          <w:szCs w:val="24"/>
          <w:lang w:eastAsia="pl-PL"/>
        </w:rPr>
        <w:t>w </w:t>
      </w:r>
      <w:proofErr w:type="spellStart"/>
      <w:r w:rsidRPr="00833C88">
        <w:rPr>
          <w:rFonts w:cs="Times New Roman"/>
          <w:sz w:val="24"/>
          <w:szCs w:val="24"/>
          <w:lang w:eastAsia="pl-PL"/>
        </w:rPr>
        <w:t>Otwocku-Świerku</w:t>
      </w:r>
      <w:proofErr w:type="spellEnd"/>
      <w:r w:rsidRPr="00833C88">
        <w:rPr>
          <w:rFonts w:cs="Times New Roman"/>
          <w:sz w:val="24"/>
          <w:szCs w:val="24"/>
          <w:lang w:eastAsia="pl-PL"/>
        </w:rPr>
        <w:t>;</w:t>
      </w:r>
    </w:p>
    <w:p w14:paraId="6E40856F" w14:textId="24642C7B" w:rsidR="00857C15" w:rsidRPr="00833C88" w:rsidRDefault="00601933" w:rsidP="007D65D3">
      <w:pPr>
        <w:pStyle w:val="Akapitzlist"/>
        <w:numPr>
          <w:ilvl w:val="0"/>
          <w:numId w:val="60"/>
        </w:numPr>
        <w:spacing w:after="0" w:line="360" w:lineRule="auto"/>
        <w:ind w:left="567" w:hanging="283"/>
        <w:contextualSpacing w:val="0"/>
        <w:jc w:val="both"/>
        <w:rPr>
          <w:rFonts w:cs="Times New Roman"/>
          <w:sz w:val="24"/>
          <w:szCs w:val="24"/>
          <w:lang w:eastAsia="pl-PL"/>
        </w:rPr>
      </w:pPr>
      <w:r w:rsidRPr="00833C88">
        <w:rPr>
          <w:rFonts w:cs="Times New Roman"/>
          <w:sz w:val="24"/>
          <w:szCs w:val="24"/>
          <w:lang w:eastAsia="pl-PL"/>
        </w:rPr>
        <w:t>w </w:t>
      </w:r>
      <w:r w:rsidR="00857C15" w:rsidRPr="00833C88">
        <w:rPr>
          <w:rFonts w:cs="Times New Roman"/>
          <w:sz w:val="24"/>
          <w:szCs w:val="24"/>
          <w:lang w:eastAsia="pl-PL"/>
        </w:rPr>
        <w:t xml:space="preserve">odniesieniu do samorządu województwa: jednostki budżetowe oraz zakłady budżetowe </w:t>
      </w:r>
      <w:r w:rsidRPr="00833C88">
        <w:rPr>
          <w:rFonts w:cs="Times New Roman"/>
          <w:sz w:val="24"/>
          <w:szCs w:val="24"/>
          <w:lang w:eastAsia="pl-PL"/>
        </w:rPr>
        <w:t>z </w:t>
      </w:r>
      <w:r w:rsidR="00857C15" w:rsidRPr="00833C88">
        <w:rPr>
          <w:rFonts w:cs="Times New Roman"/>
          <w:sz w:val="24"/>
          <w:szCs w:val="24"/>
          <w:lang w:eastAsia="pl-PL"/>
        </w:rPr>
        <w:t>wyłączeniem:</w:t>
      </w:r>
    </w:p>
    <w:p w14:paraId="3C4BF267" w14:textId="7EDF6076" w:rsidR="00857C15" w:rsidRPr="00833C88" w:rsidRDefault="00857C15" w:rsidP="007D65D3">
      <w:pPr>
        <w:pStyle w:val="Akapitzlist"/>
        <w:numPr>
          <w:ilvl w:val="1"/>
          <w:numId w:val="59"/>
        </w:numPr>
        <w:spacing w:after="0" w:line="360" w:lineRule="auto"/>
        <w:contextualSpacing w:val="0"/>
        <w:jc w:val="both"/>
        <w:rPr>
          <w:rFonts w:cs="Times New Roman"/>
          <w:sz w:val="24"/>
          <w:szCs w:val="24"/>
          <w:lang w:eastAsia="pl-PL"/>
        </w:rPr>
      </w:pPr>
      <w:r w:rsidRPr="00833C88">
        <w:rPr>
          <w:rFonts w:cs="Times New Roman"/>
          <w:sz w:val="24"/>
          <w:szCs w:val="24"/>
          <w:lang w:eastAsia="pl-PL"/>
        </w:rPr>
        <w:t xml:space="preserve">jednostek organizacyjnych,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2 ustawy </w:t>
      </w:r>
      <w:r w:rsidR="00601933" w:rsidRPr="00833C88">
        <w:rPr>
          <w:rFonts w:cs="Times New Roman"/>
          <w:sz w:val="24"/>
          <w:szCs w:val="24"/>
          <w:lang w:eastAsia="pl-PL"/>
        </w:rPr>
        <w:t>z </w:t>
      </w:r>
      <w:r w:rsidRPr="00833C88">
        <w:rPr>
          <w:rFonts w:cs="Times New Roman"/>
          <w:sz w:val="24"/>
          <w:szCs w:val="24"/>
          <w:lang w:eastAsia="pl-PL"/>
        </w:rPr>
        <w:t xml:space="preserve">dnia 14 grudnia 2016 r. </w:t>
      </w:r>
      <w:r w:rsidR="0052199F" w:rsidRPr="00833C88">
        <w:rPr>
          <w:rFonts w:cs="Times New Roman"/>
          <w:sz w:val="24"/>
          <w:szCs w:val="24"/>
          <w:lang w:eastAsia="pl-PL"/>
        </w:rPr>
        <w:t xml:space="preserve">– </w:t>
      </w:r>
      <w:r w:rsidRPr="00833C88">
        <w:rPr>
          <w:rFonts w:cs="Times New Roman"/>
          <w:sz w:val="24"/>
          <w:szCs w:val="24"/>
          <w:lang w:eastAsia="pl-PL"/>
        </w:rPr>
        <w:t xml:space="preserve">Prawo oświatowe </w:t>
      </w:r>
      <w:r w:rsidR="00946FDF" w:rsidRPr="00833C88">
        <w:rPr>
          <w:rFonts w:cs="Times New Roman"/>
          <w:sz w:val="24"/>
          <w:szCs w:val="24"/>
          <w:lang w:eastAsia="pl-PL"/>
        </w:rPr>
        <w:t xml:space="preserve">(Dz. U. </w:t>
      </w:r>
      <w:r w:rsidR="00601933" w:rsidRPr="00833C88">
        <w:rPr>
          <w:rFonts w:cs="Times New Roman"/>
          <w:sz w:val="24"/>
          <w:szCs w:val="24"/>
          <w:lang w:eastAsia="pl-PL"/>
        </w:rPr>
        <w:t>z </w:t>
      </w:r>
      <w:r w:rsidR="00946FDF" w:rsidRPr="00833C88">
        <w:rPr>
          <w:rFonts w:cs="Times New Roman"/>
          <w:sz w:val="24"/>
          <w:szCs w:val="24"/>
          <w:lang w:eastAsia="pl-PL"/>
        </w:rPr>
        <w:t>202</w:t>
      </w:r>
      <w:r w:rsidR="00ED57CF" w:rsidRPr="00833C88">
        <w:rPr>
          <w:rFonts w:cs="Times New Roman"/>
          <w:sz w:val="24"/>
          <w:szCs w:val="24"/>
          <w:lang w:eastAsia="pl-PL"/>
        </w:rPr>
        <w:t>5</w:t>
      </w:r>
      <w:r w:rsidR="00946FDF" w:rsidRPr="00833C88">
        <w:rPr>
          <w:rFonts w:cs="Times New Roman"/>
          <w:sz w:val="24"/>
          <w:szCs w:val="24"/>
          <w:lang w:eastAsia="pl-PL"/>
        </w:rPr>
        <w:t xml:space="preserve"> r. poz. </w:t>
      </w:r>
      <w:r w:rsidR="00ED57CF" w:rsidRPr="00833C88">
        <w:rPr>
          <w:rFonts w:cs="Times New Roman"/>
          <w:sz w:val="24"/>
          <w:szCs w:val="24"/>
          <w:lang w:eastAsia="pl-PL"/>
        </w:rPr>
        <w:t>1043</w:t>
      </w:r>
      <w:r w:rsidR="00CB10C8" w:rsidRPr="00833C88">
        <w:rPr>
          <w:rFonts w:cs="Times New Roman"/>
          <w:sz w:val="24"/>
          <w:szCs w:val="24"/>
          <w:lang w:eastAsia="pl-PL"/>
        </w:rPr>
        <w:t xml:space="preserve"> i 1160</w:t>
      </w:r>
      <w:r w:rsidR="00946FDF" w:rsidRPr="00833C88">
        <w:rPr>
          <w:rFonts w:cs="Times New Roman"/>
          <w:sz w:val="24"/>
          <w:szCs w:val="24"/>
          <w:lang w:eastAsia="pl-PL"/>
        </w:rPr>
        <w:t xml:space="preserve">) </w:t>
      </w:r>
      <w:r w:rsidRPr="00833C88">
        <w:rPr>
          <w:rFonts w:cs="Times New Roman"/>
          <w:sz w:val="24"/>
          <w:szCs w:val="24"/>
          <w:lang w:eastAsia="pl-PL"/>
        </w:rPr>
        <w:t>oraz ich zespołów,</w:t>
      </w:r>
    </w:p>
    <w:p w14:paraId="489F35A8" w14:textId="71D937C4"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 xml:space="preserve">jednostek organizacyjnych wspierania rodziny </w:t>
      </w:r>
      <w:r w:rsidR="00601933" w:rsidRPr="00833C88">
        <w:rPr>
          <w:rFonts w:cs="Times New Roman"/>
          <w:sz w:val="24"/>
          <w:szCs w:val="24"/>
          <w:lang w:eastAsia="pl-PL"/>
        </w:rPr>
        <w:t>i </w:t>
      </w:r>
      <w:r w:rsidRPr="00833C88">
        <w:rPr>
          <w:rFonts w:cs="Times New Roman"/>
          <w:sz w:val="24"/>
          <w:szCs w:val="24"/>
          <w:lang w:eastAsia="pl-PL"/>
        </w:rPr>
        <w:t xml:space="preserve">systemu pieczy zastępczej,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2 ust. 3 ustawy </w:t>
      </w:r>
      <w:r w:rsidR="00601933" w:rsidRPr="00833C88">
        <w:rPr>
          <w:rFonts w:cs="Times New Roman"/>
          <w:sz w:val="24"/>
          <w:szCs w:val="24"/>
          <w:lang w:eastAsia="pl-PL"/>
        </w:rPr>
        <w:t>z </w:t>
      </w:r>
      <w:r w:rsidRPr="00833C88">
        <w:rPr>
          <w:rFonts w:cs="Times New Roman"/>
          <w:sz w:val="24"/>
          <w:szCs w:val="24"/>
          <w:lang w:eastAsia="pl-PL"/>
        </w:rPr>
        <w:t xml:space="preserve">dnia 9 czerwca 2011 r. </w:t>
      </w:r>
      <w:r w:rsidR="00601933" w:rsidRPr="00833C88">
        <w:rPr>
          <w:rFonts w:cs="Times New Roman"/>
          <w:sz w:val="24"/>
          <w:szCs w:val="24"/>
          <w:lang w:eastAsia="pl-PL"/>
        </w:rPr>
        <w:t>o </w:t>
      </w:r>
      <w:r w:rsidRPr="00833C88">
        <w:rPr>
          <w:rFonts w:cs="Times New Roman"/>
          <w:sz w:val="24"/>
          <w:szCs w:val="24"/>
          <w:lang w:eastAsia="pl-PL"/>
        </w:rPr>
        <w:t xml:space="preserve">wspieraniu rodziny </w:t>
      </w:r>
      <w:r w:rsidR="00601933" w:rsidRPr="00833C88">
        <w:rPr>
          <w:rFonts w:cs="Times New Roman"/>
          <w:sz w:val="24"/>
          <w:szCs w:val="24"/>
          <w:lang w:eastAsia="pl-PL"/>
        </w:rPr>
        <w:t>i </w:t>
      </w:r>
      <w:r w:rsidRPr="00833C88">
        <w:rPr>
          <w:rFonts w:cs="Times New Roman"/>
          <w:sz w:val="24"/>
          <w:szCs w:val="24"/>
          <w:lang w:eastAsia="pl-PL"/>
        </w:rPr>
        <w:t>systemie pieczy zastępczej,</w:t>
      </w:r>
    </w:p>
    <w:p w14:paraId="1EDA3883" w14:textId="29BD3727"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 xml:space="preserve">jednostek organizacyjnych,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6 pkt 5 ustawy </w:t>
      </w:r>
      <w:r w:rsidR="00601933" w:rsidRPr="00833C88">
        <w:rPr>
          <w:rFonts w:cs="Times New Roman"/>
          <w:sz w:val="24"/>
          <w:szCs w:val="24"/>
          <w:lang w:eastAsia="pl-PL"/>
        </w:rPr>
        <w:t>z </w:t>
      </w:r>
      <w:r w:rsidRPr="00833C88">
        <w:rPr>
          <w:rFonts w:cs="Times New Roman"/>
          <w:sz w:val="24"/>
          <w:szCs w:val="24"/>
          <w:lang w:eastAsia="pl-PL"/>
        </w:rPr>
        <w:t xml:space="preserve">dnia 12 marca 2004 r. </w:t>
      </w:r>
      <w:r w:rsidR="00601933" w:rsidRPr="00833C88">
        <w:rPr>
          <w:rFonts w:cs="Times New Roman"/>
          <w:sz w:val="24"/>
          <w:szCs w:val="24"/>
          <w:lang w:eastAsia="pl-PL"/>
        </w:rPr>
        <w:t>o </w:t>
      </w:r>
      <w:r w:rsidRPr="00833C88">
        <w:rPr>
          <w:rFonts w:cs="Times New Roman"/>
          <w:sz w:val="24"/>
          <w:szCs w:val="24"/>
          <w:lang w:eastAsia="pl-PL"/>
        </w:rPr>
        <w:t>pomocy społecznej, oprócz regionalnych ośrodków polityki społecznej,</w:t>
      </w:r>
    </w:p>
    <w:p w14:paraId="34B6C232" w14:textId="1EEC7F64"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wojewódzkich urzędów pracy,</w:t>
      </w:r>
    </w:p>
    <w:p w14:paraId="6244D260" w14:textId="5AF98CDD"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t xml:space="preserve">parków krajobrazowych </w:t>
      </w:r>
      <w:r w:rsidR="00601933" w:rsidRPr="00833C88">
        <w:rPr>
          <w:rFonts w:cs="Times New Roman"/>
          <w:sz w:val="24"/>
          <w:szCs w:val="24"/>
          <w:lang w:eastAsia="pl-PL"/>
        </w:rPr>
        <w:t>i </w:t>
      </w:r>
      <w:r w:rsidRPr="00833C88">
        <w:rPr>
          <w:rFonts w:cs="Times New Roman"/>
          <w:sz w:val="24"/>
          <w:szCs w:val="24"/>
          <w:lang w:eastAsia="pl-PL"/>
        </w:rPr>
        <w:t>ich zespołów,</w:t>
      </w:r>
    </w:p>
    <w:p w14:paraId="0547A164" w14:textId="18C3C6A0" w:rsidR="00857C15" w:rsidRPr="00833C88" w:rsidRDefault="00857C15" w:rsidP="007D65D3">
      <w:pPr>
        <w:pStyle w:val="Akapitzlist"/>
        <w:numPr>
          <w:ilvl w:val="1"/>
          <w:numId w:val="59"/>
        </w:numPr>
        <w:spacing w:after="0" w:line="360" w:lineRule="auto"/>
        <w:contextualSpacing w:val="0"/>
        <w:rPr>
          <w:rFonts w:cs="Times New Roman"/>
          <w:sz w:val="24"/>
          <w:szCs w:val="24"/>
          <w:lang w:eastAsia="pl-PL"/>
        </w:rPr>
      </w:pPr>
      <w:r w:rsidRPr="00833C88">
        <w:rPr>
          <w:rFonts w:cs="Times New Roman"/>
          <w:sz w:val="24"/>
          <w:szCs w:val="24"/>
          <w:lang w:eastAsia="pl-PL"/>
        </w:rPr>
        <w:lastRenderedPageBreak/>
        <w:t xml:space="preserve">jednostek obsługujących,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8d ustawy </w:t>
      </w:r>
      <w:r w:rsidR="00601933" w:rsidRPr="00833C88">
        <w:rPr>
          <w:rFonts w:cs="Times New Roman"/>
          <w:sz w:val="24"/>
          <w:szCs w:val="24"/>
          <w:lang w:eastAsia="pl-PL"/>
        </w:rPr>
        <w:t>z </w:t>
      </w:r>
      <w:r w:rsidRPr="00833C88">
        <w:rPr>
          <w:rFonts w:cs="Times New Roman"/>
          <w:sz w:val="24"/>
          <w:szCs w:val="24"/>
          <w:lang w:eastAsia="pl-PL"/>
        </w:rPr>
        <w:t xml:space="preserve">dnia 5 czerwca 1998 r. </w:t>
      </w:r>
      <w:r w:rsidR="00601933" w:rsidRPr="00833C88">
        <w:rPr>
          <w:rFonts w:cs="Times New Roman"/>
          <w:sz w:val="24"/>
          <w:szCs w:val="24"/>
          <w:lang w:eastAsia="pl-PL"/>
        </w:rPr>
        <w:t>o </w:t>
      </w:r>
      <w:r w:rsidRPr="00833C88">
        <w:rPr>
          <w:rFonts w:cs="Times New Roman"/>
          <w:sz w:val="24"/>
          <w:szCs w:val="24"/>
          <w:lang w:eastAsia="pl-PL"/>
        </w:rPr>
        <w:t>samorządzie województwa</w:t>
      </w:r>
      <w:r w:rsidR="00102030" w:rsidRPr="00833C88">
        <w:rPr>
          <w:rFonts w:cs="Times New Roman"/>
          <w:sz w:val="24"/>
          <w:szCs w:val="24"/>
          <w:lang w:eastAsia="pl-PL"/>
        </w:rPr>
        <w:t xml:space="preserve"> (Dz. U. z 2025 r. poz. 581)</w:t>
      </w:r>
      <w:r w:rsidRPr="00833C88">
        <w:rPr>
          <w:rFonts w:cs="Times New Roman"/>
          <w:sz w:val="24"/>
          <w:szCs w:val="24"/>
          <w:lang w:eastAsia="pl-PL"/>
        </w:rPr>
        <w:t xml:space="preserve">, </w:t>
      </w:r>
      <w:r w:rsidR="00601933" w:rsidRPr="00833C88">
        <w:rPr>
          <w:rFonts w:cs="Times New Roman"/>
          <w:sz w:val="24"/>
          <w:szCs w:val="24"/>
          <w:lang w:eastAsia="pl-PL"/>
        </w:rPr>
        <w:t>w </w:t>
      </w:r>
      <w:r w:rsidRPr="00833C88">
        <w:rPr>
          <w:rFonts w:cs="Times New Roman"/>
          <w:sz w:val="24"/>
          <w:szCs w:val="24"/>
          <w:lang w:eastAsia="pl-PL"/>
        </w:rPr>
        <w:t xml:space="preserve">zakresie </w:t>
      </w:r>
      <w:r w:rsidR="00601933" w:rsidRPr="00833C88">
        <w:rPr>
          <w:rFonts w:cs="Times New Roman"/>
          <w:sz w:val="24"/>
          <w:szCs w:val="24"/>
          <w:lang w:eastAsia="pl-PL"/>
        </w:rPr>
        <w:t>w </w:t>
      </w:r>
      <w:r w:rsidRPr="00833C88">
        <w:rPr>
          <w:rFonts w:cs="Times New Roman"/>
          <w:sz w:val="24"/>
          <w:szCs w:val="24"/>
          <w:lang w:eastAsia="pl-PL"/>
        </w:rPr>
        <w:t xml:space="preserve">jakim prowadzą wspólną obsługę jednostek,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lit. a</w:t>
      </w:r>
      <w:r w:rsidR="0052199F" w:rsidRPr="00833C88">
        <w:rPr>
          <w:rFonts w:cs="Times New Roman"/>
          <w:sz w:val="24"/>
          <w:szCs w:val="24"/>
          <w:lang w:eastAsia="pl-PL"/>
        </w:rPr>
        <w:t>–</w:t>
      </w:r>
      <w:r w:rsidRPr="00833C88">
        <w:rPr>
          <w:rFonts w:cs="Times New Roman"/>
          <w:sz w:val="24"/>
          <w:szCs w:val="24"/>
          <w:lang w:eastAsia="pl-PL"/>
        </w:rPr>
        <w:t>e;</w:t>
      </w:r>
    </w:p>
    <w:p w14:paraId="6A4B10FB" w14:textId="1D7CBF2E" w:rsidR="00857C15" w:rsidRPr="00833C88" w:rsidRDefault="00601933">
      <w:pPr>
        <w:pStyle w:val="Akapitzlist"/>
        <w:numPr>
          <w:ilvl w:val="0"/>
          <w:numId w:val="58"/>
        </w:numPr>
        <w:spacing w:line="360" w:lineRule="auto"/>
        <w:contextualSpacing w:val="0"/>
        <w:rPr>
          <w:rFonts w:cs="Times New Roman"/>
          <w:sz w:val="24"/>
          <w:szCs w:val="24"/>
          <w:lang w:eastAsia="pl-PL"/>
        </w:rPr>
      </w:pPr>
      <w:r w:rsidRPr="00833C88">
        <w:rPr>
          <w:rFonts w:cs="Times New Roman"/>
          <w:sz w:val="24"/>
          <w:szCs w:val="24"/>
          <w:lang w:eastAsia="pl-PL"/>
        </w:rPr>
        <w:t>w </w:t>
      </w:r>
      <w:r w:rsidR="00857C15" w:rsidRPr="00833C88">
        <w:rPr>
          <w:rFonts w:cs="Times New Roman"/>
          <w:sz w:val="24"/>
          <w:szCs w:val="24"/>
          <w:lang w:eastAsia="pl-PL"/>
        </w:rPr>
        <w:t>odniesieniu do samorządu powiatu: starostwo powiatowe.</w:t>
      </w:r>
    </w:p>
    <w:p w14:paraId="4B2FFCA6" w14:textId="3FA00735" w:rsidR="00857C15" w:rsidRPr="00833C88" w:rsidRDefault="00601933">
      <w:pPr>
        <w:pStyle w:val="Akapitzlist"/>
        <w:numPr>
          <w:ilvl w:val="0"/>
          <w:numId w:val="58"/>
        </w:numPr>
        <w:spacing w:line="360" w:lineRule="auto"/>
        <w:contextualSpacing w:val="0"/>
        <w:rPr>
          <w:rFonts w:cs="Times New Roman"/>
          <w:sz w:val="24"/>
          <w:szCs w:val="24"/>
          <w:lang w:eastAsia="pl-PL"/>
        </w:rPr>
      </w:pPr>
      <w:r w:rsidRPr="00833C88">
        <w:rPr>
          <w:rFonts w:cs="Times New Roman"/>
          <w:sz w:val="24"/>
          <w:szCs w:val="24"/>
        </w:rPr>
        <w:t>w </w:t>
      </w:r>
      <w:r w:rsidR="00857C15" w:rsidRPr="00833C88">
        <w:rPr>
          <w:rFonts w:cs="Times New Roman"/>
          <w:sz w:val="24"/>
          <w:szCs w:val="24"/>
        </w:rPr>
        <w:t xml:space="preserve">odniesieniu do samorządu gminy: urząd gminy, jeżeli zatrudnia na dzień 1 stycznia danego roku </w:t>
      </w:r>
      <w:r w:rsidRPr="00833C88">
        <w:rPr>
          <w:rFonts w:cs="Times New Roman"/>
          <w:sz w:val="24"/>
          <w:szCs w:val="24"/>
        </w:rPr>
        <w:t>w </w:t>
      </w:r>
      <w:r w:rsidR="00857C15" w:rsidRPr="00833C88">
        <w:rPr>
          <w:rFonts w:cs="Times New Roman"/>
          <w:sz w:val="24"/>
          <w:szCs w:val="24"/>
        </w:rPr>
        <w:t xml:space="preserve">przeliczeniu na pełny wymiar czasu pracy na podstawie umowy </w:t>
      </w:r>
      <w:r w:rsidRPr="00833C88">
        <w:rPr>
          <w:rFonts w:cs="Times New Roman"/>
          <w:sz w:val="24"/>
          <w:szCs w:val="24"/>
        </w:rPr>
        <w:t>o </w:t>
      </w:r>
      <w:r w:rsidR="00857C15" w:rsidRPr="00833C88">
        <w:rPr>
          <w:rFonts w:cs="Times New Roman"/>
          <w:sz w:val="24"/>
          <w:szCs w:val="24"/>
        </w:rPr>
        <w:t>pracę co najmniej 50 osób.</w:t>
      </w:r>
    </w:p>
    <w:p w14:paraId="0CDD4B0D" w14:textId="71DFDEF1" w:rsidR="00B7497B" w:rsidRPr="00833C88" w:rsidRDefault="00874554" w:rsidP="000650EC">
      <w:pPr>
        <w:spacing w:line="360" w:lineRule="auto"/>
        <w:jc w:val="both"/>
        <w:rPr>
          <w:rFonts w:cs="Times New Roman"/>
          <w:sz w:val="24"/>
          <w:szCs w:val="24"/>
          <w:lang w:eastAsia="pl-PL"/>
        </w:rPr>
      </w:pPr>
      <w:r w:rsidRPr="00833C88">
        <w:rPr>
          <w:rFonts w:cs="Times New Roman"/>
          <w:sz w:val="24"/>
          <w:szCs w:val="24"/>
          <w:lang w:eastAsia="pl-PL"/>
        </w:rPr>
        <w:t xml:space="preserve">Administracja publiczna jest częścią krajowego systemu cyberbezpieczeństwa od jego powstania </w:t>
      </w:r>
      <w:r w:rsidR="00601933" w:rsidRPr="00833C88">
        <w:rPr>
          <w:rFonts w:cs="Times New Roman"/>
          <w:sz w:val="24"/>
          <w:szCs w:val="24"/>
          <w:lang w:eastAsia="pl-PL"/>
        </w:rPr>
        <w:t>w </w:t>
      </w:r>
      <w:r w:rsidRPr="00833C88">
        <w:rPr>
          <w:rFonts w:cs="Times New Roman"/>
          <w:sz w:val="24"/>
          <w:szCs w:val="24"/>
          <w:lang w:eastAsia="pl-PL"/>
        </w:rPr>
        <w:t>2018 roku. Jest to sektor</w:t>
      </w:r>
      <w:r w:rsidR="00B7497B" w:rsidRPr="00833C88">
        <w:rPr>
          <w:rFonts w:cs="Times New Roman"/>
          <w:sz w:val="24"/>
          <w:szCs w:val="24"/>
          <w:lang w:eastAsia="pl-PL"/>
        </w:rPr>
        <w:t>,</w:t>
      </w:r>
      <w:r w:rsidRPr="00833C88">
        <w:rPr>
          <w:rFonts w:cs="Times New Roman"/>
          <w:sz w:val="24"/>
          <w:szCs w:val="24"/>
          <w:lang w:eastAsia="pl-PL"/>
        </w:rPr>
        <w:t xml:space="preserve"> </w:t>
      </w:r>
      <w:r w:rsidR="00601933" w:rsidRPr="00833C88">
        <w:rPr>
          <w:rFonts w:cs="Times New Roman"/>
          <w:sz w:val="24"/>
          <w:szCs w:val="24"/>
          <w:lang w:eastAsia="pl-PL"/>
        </w:rPr>
        <w:t>w </w:t>
      </w:r>
      <w:r w:rsidRPr="00833C88">
        <w:rPr>
          <w:rFonts w:cs="Times New Roman"/>
          <w:sz w:val="24"/>
          <w:szCs w:val="24"/>
          <w:lang w:eastAsia="pl-PL"/>
        </w:rPr>
        <w:t xml:space="preserve">ramach którego realizowane są </w:t>
      </w:r>
      <w:r w:rsidR="00580A3A" w:rsidRPr="00833C88">
        <w:rPr>
          <w:rFonts w:cs="Times New Roman"/>
          <w:sz w:val="24"/>
          <w:szCs w:val="24"/>
          <w:lang w:eastAsia="pl-PL"/>
        </w:rPr>
        <w:t xml:space="preserve">zadania </w:t>
      </w:r>
      <w:r w:rsidRPr="00833C88">
        <w:rPr>
          <w:rFonts w:cs="Times New Roman"/>
          <w:sz w:val="24"/>
          <w:szCs w:val="24"/>
          <w:lang w:eastAsia="pl-PL"/>
        </w:rPr>
        <w:t xml:space="preserve">publiczne na rzecz obywateli </w:t>
      </w:r>
      <w:r w:rsidR="00601933" w:rsidRPr="00833C88">
        <w:rPr>
          <w:rFonts w:cs="Times New Roman"/>
          <w:sz w:val="24"/>
          <w:szCs w:val="24"/>
          <w:lang w:eastAsia="pl-PL"/>
        </w:rPr>
        <w:t>i </w:t>
      </w:r>
      <w:r w:rsidRPr="00833C88">
        <w:rPr>
          <w:rFonts w:cs="Times New Roman"/>
          <w:sz w:val="24"/>
          <w:szCs w:val="24"/>
          <w:lang w:eastAsia="pl-PL"/>
        </w:rPr>
        <w:t xml:space="preserve">przetwarzane są wrażliwe dane, dlatego konieczne jest objęcie tych podmiotów wymogami </w:t>
      </w:r>
      <w:r w:rsidR="00601933" w:rsidRPr="00833C88">
        <w:rPr>
          <w:rFonts w:cs="Times New Roman"/>
          <w:sz w:val="24"/>
          <w:szCs w:val="24"/>
          <w:lang w:eastAsia="pl-PL"/>
        </w:rPr>
        <w:t>z </w:t>
      </w:r>
      <w:r w:rsidRPr="00833C88">
        <w:rPr>
          <w:rFonts w:cs="Times New Roman"/>
          <w:sz w:val="24"/>
          <w:szCs w:val="24"/>
          <w:lang w:eastAsia="pl-PL"/>
        </w:rPr>
        <w:t>zakresu cyberbezpieczeństwa. Równocześnie będą również prowadzone działania wspierające te</w:t>
      </w:r>
      <w:r w:rsidR="00D2073B" w:rsidRPr="00833C88">
        <w:rPr>
          <w:rFonts w:cs="Times New Roman"/>
          <w:sz w:val="24"/>
          <w:szCs w:val="24"/>
          <w:lang w:eastAsia="pl-PL"/>
        </w:rPr>
        <w:t xml:space="preserve"> podmioty </w:t>
      </w:r>
      <w:r w:rsidR="00601933" w:rsidRPr="00833C88">
        <w:rPr>
          <w:rFonts w:cs="Times New Roman"/>
          <w:sz w:val="24"/>
          <w:szCs w:val="24"/>
          <w:lang w:eastAsia="pl-PL"/>
        </w:rPr>
        <w:t>w </w:t>
      </w:r>
      <w:r w:rsidR="00D2073B" w:rsidRPr="00833C88">
        <w:rPr>
          <w:rFonts w:cs="Times New Roman"/>
          <w:sz w:val="24"/>
          <w:szCs w:val="24"/>
          <w:lang w:eastAsia="pl-PL"/>
        </w:rPr>
        <w:t xml:space="preserve">realizacji ich obowiązków zarówno pod kątem zapewnienia im środków jak </w:t>
      </w:r>
      <w:r w:rsidR="00601933" w:rsidRPr="00833C88">
        <w:rPr>
          <w:rFonts w:cs="Times New Roman"/>
          <w:sz w:val="24"/>
          <w:szCs w:val="24"/>
          <w:lang w:eastAsia="pl-PL"/>
        </w:rPr>
        <w:t>i </w:t>
      </w:r>
      <w:r w:rsidR="00D2073B" w:rsidRPr="00833C88">
        <w:rPr>
          <w:rFonts w:cs="Times New Roman"/>
          <w:sz w:val="24"/>
          <w:szCs w:val="24"/>
          <w:lang w:eastAsia="pl-PL"/>
        </w:rPr>
        <w:t>rozwoju ich kompetencji.</w:t>
      </w:r>
    </w:p>
    <w:p w14:paraId="05BB20B3" w14:textId="77777777" w:rsidR="007E60D6" w:rsidRPr="00833C88" w:rsidRDefault="007E60D6" w:rsidP="000650EC">
      <w:pPr>
        <w:pStyle w:val="Nagwek3"/>
        <w:spacing w:before="0" w:after="120" w:line="360" w:lineRule="auto"/>
        <w:rPr>
          <w:rFonts w:cs="Times New Roman"/>
          <w:b/>
          <w:bCs/>
          <w:u w:val="none"/>
          <w:lang w:eastAsia="pl-PL"/>
        </w:rPr>
      </w:pPr>
      <w:r w:rsidRPr="00833C88">
        <w:rPr>
          <w:rFonts w:cs="Times New Roman"/>
          <w:b/>
          <w:bCs/>
          <w:u w:val="none"/>
          <w:lang w:eastAsia="pl-PL"/>
        </w:rPr>
        <w:t>Załącznik nr 2</w:t>
      </w:r>
    </w:p>
    <w:p w14:paraId="67AD83BF" w14:textId="35304DF2" w:rsidR="005B4E39" w:rsidRPr="00833C88" w:rsidRDefault="005B4E39" w:rsidP="0029004E">
      <w:pPr>
        <w:spacing w:line="360" w:lineRule="auto"/>
        <w:jc w:val="both"/>
        <w:rPr>
          <w:rFonts w:eastAsia="Times New Roman" w:cs="Times New Roman"/>
          <w:bCs/>
          <w:sz w:val="24"/>
          <w:szCs w:val="24"/>
          <w:lang w:eastAsia="pl-PL"/>
        </w:rPr>
      </w:pPr>
      <w:r w:rsidRPr="00833C88">
        <w:rPr>
          <w:rFonts w:eastAsia="Times New Roman" w:cs="Times New Roman"/>
          <w:sz w:val="24"/>
          <w:szCs w:val="24"/>
          <w:lang w:eastAsia="pl-PL"/>
        </w:rPr>
        <w:t xml:space="preserve">Załącznik nr 2 </w:t>
      </w:r>
      <w:r w:rsidR="004B6600" w:rsidRPr="00833C88">
        <w:rPr>
          <w:rFonts w:eastAsia="Times New Roman" w:cs="Times New Roman"/>
          <w:sz w:val="24"/>
          <w:szCs w:val="24"/>
          <w:lang w:eastAsia="pl-PL"/>
        </w:rPr>
        <w:t xml:space="preserve">do projektu ustawy </w:t>
      </w:r>
      <w:r w:rsidRPr="00833C88">
        <w:rPr>
          <w:rFonts w:eastAsia="Times New Roman" w:cs="Times New Roman"/>
          <w:sz w:val="24"/>
          <w:szCs w:val="24"/>
          <w:lang w:eastAsia="pl-PL"/>
        </w:rPr>
        <w:t xml:space="preserve">określa </w:t>
      </w:r>
      <w:proofErr w:type="gramStart"/>
      <w:r w:rsidR="004D4A1D" w:rsidRPr="00833C88">
        <w:rPr>
          <w:rFonts w:eastAsia="Times New Roman" w:cs="Times New Roman"/>
          <w:sz w:val="24"/>
          <w:szCs w:val="24"/>
          <w:lang w:eastAsia="pl-PL"/>
        </w:rPr>
        <w:t>sektory,</w:t>
      </w:r>
      <w:proofErr w:type="gramEnd"/>
      <w:r w:rsidR="004D4A1D"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i w </w:t>
      </w:r>
      <w:r w:rsidR="004D4A1D" w:rsidRPr="00833C88">
        <w:rPr>
          <w:rFonts w:eastAsia="Times New Roman" w:cs="Times New Roman"/>
          <w:sz w:val="24"/>
          <w:szCs w:val="24"/>
          <w:lang w:eastAsia="pl-PL"/>
        </w:rPr>
        <w:t xml:space="preserve">ich obrębie podsektory, dotyczące podmiotów ważnych. Należą do nich m.in. </w:t>
      </w:r>
      <w:r w:rsidR="00691BFA" w:rsidRPr="00833C88">
        <w:rPr>
          <w:rFonts w:eastAsia="Times New Roman" w:cs="Times New Roman"/>
          <w:sz w:val="24"/>
          <w:szCs w:val="24"/>
          <w:lang w:eastAsia="pl-PL"/>
        </w:rPr>
        <w:t>p</w:t>
      </w:r>
      <w:r w:rsidR="00DF04DC" w:rsidRPr="00833C88">
        <w:rPr>
          <w:rFonts w:eastAsia="Times New Roman" w:cs="Times New Roman"/>
          <w:sz w:val="24"/>
          <w:szCs w:val="24"/>
          <w:lang w:eastAsia="pl-PL"/>
        </w:rPr>
        <w:t>rodukcja, przetwarzanie i dystrybucja żywności, gospodarowanie odpadami czy usługi pocztowe</w:t>
      </w:r>
      <w:r w:rsidR="00B628DD" w:rsidRPr="00833C88">
        <w:rPr>
          <w:rFonts w:eastAsia="Times New Roman" w:cs="Times New Roman"/>
          <w:sz w:val="24"/>
          <w:szCs w:val="24"/>
          <w:lang w:eastAsia="pl-PL"/>
        </w:rPr>
        <w:t xml:space="preserve">, produkcja </w:t>
      </w:r>
      <w:r w:rsidR="00601933" w:rsidRPr="00833C88">
        <w:rPr>
          <w:rFonts w:eastAsia="Times New Roman" w:cs="Times New Roman"/>
          <w:sz w:val="24"/>
          <w:szCs w:val="24"/>
          <w:lang w:eastAsia="pl-PL"/>
        </w:rPr>
        <w:t>i </w:t>
      </w:r>
      <w:r w:rsidR="00B628DD" w:rsidRPr="00833C88">
        <w:rPr>
          <w:rFonts w:eastAsia="Times New Roman" w:cs="Times New Roman"/>
          <w:sz w:val="24"/>
          <w:szCs w:val="24"/>
          <w:lang w:eastAsia="pl-PL"/>
        </w:rPr>
        <w:t xml:space="preserve">dystrybucja chemikaliów, produkcja, przetwarzanie </w:t>
      </w:r>
      <w:r w:rsidR="00601933" w:rsidRPr="00833C88">
        <w:rPr>
          <w:rFonts w:eastAsia="Times New Roman" w:cs="Times New Roman"/>
          <w:sz w:val="24"/>
          <w:szCs w:val="24"/>
          <w:lang w:eastAsia="pl-PL"/>
        </w:rPr>
        <w:t>i </w:t>
      </w:r>
      <w:r w:rsidR="00B628DD" w:rsidRPr="00833C88">
        <w:rPr>
          <w:rFonts w:eastAsia="Times New Roman" w:cs="Times New Roman"/>
          <w:sz w:val="24"/>
          <w:szCs w:val="24"/>
          <w:lang w:eastAsia="pl-PL"/>
        </w:rPr>
        <w:t xml:space="preserve">dystrybucja żywności </w:t>
      </w:r>
      <w:r w:rsidR="00601933" w:rsidRPr="00833C88">
        <w:rPr>
          <w:rFonts w:eastAsia="Times New Roman" w:cs="Times New Roman"/>
          <w:sz w:val="24"/>
          <w:szCs w:val="24"/>
          <w:lang w:eastAsia="pl-PL"/>
        </w:rPr>
        <w:t>i </w:t>
      </w:r>
      <w:r w:rsidR="00B628DD" w:rsidRPr="00833C88">
        <w:rPr>
          <w:rFonts w:eastAsia="Times New Roman" w:cs="Times New Roman"/>
          <w:sz w:val="24"/>
          <w:szCs w:val="24"/>
          <w:lang w:eastAsia="pl-PL"/>
        </w:rPr>
        <w:t>produkcja ogółem</w:t>
      </w:r>
      <w:r w:rsidR="00DF04DC" w:rsidRPr="00833C88">
        <w:rPr>
          <w:rFonts w:eastAsia="Times New Roman" w:cs="Times New Roman"/>
          <w:sz w:val="24"/>
          <w:szCs w:val="24"/>
          <w:lang w:eastAsia="pl-PL"/>
        </w:rPr>
        <w:t xml:space="preserve">. Wszystkie </w:t>
      </w:r>
      <w:r w:rsidR="00601933" w:rsidRPr="00833C88">
        <w:rPr>
          <w:rFonts w:eastAsia="Times New Roman" w:cs="Times New Roman"/>
          <w:sz w:val="24"/>
          <w:szCs w:val="24"/>
          <w:lang w:eastAsia="pl-PL"/>
        </w:rPr>
        <w:t>z </w:t>
      </w:r>
      <w:r w:rsidR="00DF04DC" w:rsidRPr="00833C88">
        <w:rPr>
          <w:rFonts w:eastAsia="Times New Roman" w:cs="Times New Roman"/>
          <w:sz w:val="24"/>
          <w:szCs w:val="24"/>
          <w:lang w:eastAsia="pl-PL"/>
        </w:rPr>
        <w:t>tych rodzajów działalności są istotne dla prawidłowego funkcjonowania społeczeństwa, ale</w:t>
      </w:r>
      <w:r w:rsidR="00711603" w:rsidRPr="00833C88">
        <w:rPr>
          <w:rFonts w:eastAsia="Times New Roman" w:cs="Times New Roman"/>
          <w:sz w:val="24"/>
          <w:szCs w:val="24"/>
          <w:lang w:eastAsia="pl-PL"/>
        </w:rPr>
        <w:t> </w:t>
      </w:r>
      <w:r w:rsidR="00DF04DC" w:rsidRPr="00833C88">
        <w:rPr>
          <w:rFonts w:eastAsia="Times New Roman" w:cs="Times New Roman"/>
          <w:sz w:val="24"/>
          <w:szCs w:val="24"/>
          <w:lang w:eastAsia="pl-PL"/>
        </w:rPr>
        <w:t xml:space="preserve">równocześnie </w:t>
      </w:r>
      <w:r w:rsidR="00C836A7" w:rsidRPr="00833C88">
        <w:rPr>
          <w:rFonts w:eastAsia="Times New Roman" w:cs="Times New Roman"/>
          <w:sz w:val="24"/>
          <w:szCs w:val="24"/>
          <w:lang w:eastAsia="pl-PL"/>
        </w:rPr>
        <w:t xml:space="preserve">ich zakłócenie nie powoduje </w:t>
      </w:r>
      <w:r w:rsidR="001B34D4" w:rsidRPr="00833C88">
        <w:rPr>
          <w:rFonts w:eastAsia="Times New Roman" w:cs="Times New Roman"/>
          <w:sz w:val="24"/>
          <w:szCs w:val="24"/>
          <w:lang w:eastAsia="pl-PL"/>
        </w:rPr>
        <w:t xml:space="preserve">skutków </w:t>
      </w:r>
      <w:r w:rsidR="00601933" w:rsidRPr="00833C88">
        <w:rPr>
          <w:rFonts w:eastAsia="Times New Roman" w:cs="Times New Roman"/>
          <w:sz w:val="24"/>
          <w:szCs w:val="24"/>
          <w:lang w:eastAsia="pl-PL"/>
        </w:rPr>
        <w:t>w </w:t>
      </w:r>
      <w:r w:rsidR="001B34D4" w:rsidRPr="00833C88">
        <w:rPr>
          <w:rFonts w:eastAsia="Times New Roman" w:cs="Times New Roman"/>
          <w:sz w:val="24"/>
          <w:szCs w:val="24"/>
          <w:lang w:eastAsia="pl-PL"/>
        </w:rPr>
        <w:t xml:space="preserve">tak krótkiej perspektywie czasowej jak </w:t>
      </w:r>
      <w:r w:rsidR="00601933" w:rsidRPr="00833C88">
        <w:rPr>
          <w:rFonts w:eastAsia="Times New Roman" w:cs="Times New Roman"/>
          <w:sz w:val="24"/>
          <w:szCs w:val="24"/>
          <w:lang w:eastAsia="pl-PL"/>
        </w:rPr>
        <w:t>w </w:t>
      </w:r>
      <w:r w:rsidR="001B34D4" w:rsidRPr="00833C88">
        <w:rPr>
          <w:rFonts w:eastAsia="Times New Roman" w:cs="Times New Roman"/>
          <w:sz w:val="24"/>
          <w:szCs w:val="24"/>
          <w:lang w:eastAsia="pl-PL"/>
        </w:rPr>
        <w:t xml:space="preserve">przypadku podmiotów kluczowych. </w:t>
      </w:r>
      <w:r w:rsidR="001B34D4" w:rsidRPr="00833C88">
        <w:rPr>
          <w:rFonts w:eastAsia="Times New Roman" w:cs="Times New Roman"/>
          <w:bCs/>
          <w:sz w:val="24"/>
          <w:szCs w:val="24"/>
          <w:lang w:eastAsia="pl-PL"/>
        </w:rPr>
        <w:t xml:space="preserve">Tabela ta jest </w:t>
      </w:r>
      <w:r w:rsidR="00601933" w:rsidRPr="00833C88">
        <w:rPr>
          <w:rFonts w:eastAsia="Times New Roman" w:cs="Times New Roman"/>
          <w:bCs/>
          <w:sz w:val="24"/>
          <w:szCs w:val="24"/>
          <w:lang w:eastAsia="pl-PL"/>
        </w:rPr>
        <w:t>w </w:t>
      </w:r>
      <w:r w:rsidR="001B34D4" w:rsidRPr="00833C88">
        <w:rPr>
          <w:rFonts w:eastAsia="Times New Roman" w:cs="Times New Roman"/>
          <w:bCs/>
          <w:sz w:val="24"/>
          <w:szCs w:val="24"/>
          <w:lang w:eastAsia="pl-PL"/>
        </w:rPr>
        <w:t xml:space="preserve">całości oparta na </w:t>
      </w:r>
      <w:r w:rsidR="000553D1" w:rsidRPr="00833C88">
        <w:rPr>
          <w:rFonts w:eastAsia="Times New Roman" w:cs="Times New Roman"/>
          <w:bCs/>
          <w:sz w:val="24"/>
          <w:szCs w:val="24"/>
          <w:lang w:eastAsia="pl-PL"/>
        </w:rPr>
        <w:t>załączniku II do</w:t>
      </w:r>
      <w:r w:rsidR="00AD6CCD" w:rsidRPr="00833C88">
        <w:rPr>
          <w:rFonts w:eastAsia="Times New Roman" w:cs="Times New Roman"/>
          <w:bCs/>
          <w:sz w:val="24"/>
          <w:szCs w:val="24"/>
          <w:lang w:eastAsia="pl-PL"/>
        </w:rPr>
        <w:t> </w:t>
      </w:r>
      <w:r w:rsidR="000553D1" w:rsidRPr="00833C88">
        <w:rPr>
          <w:rFonts w:eastAsia="Times New Roman" w:cs="Times New Roman"/>
          <w:bCs/>
          <w:sz w:val="24"/>
          <w:szCs w:val="24"/>
          <w:lang w:eastAsia="pl-PL"/>
        </w:rPr>
        <w:t>dyrektywy NIS</w:t>
      </w:r>
      <w:r w:rsidR="00C261B0" w:rsidRPr="00833C88">
        <w:rPr>
          <w:rFonts w:eastAsia="Times New Roman" w:cs="Times New Roman"/>
          <w:bCs/>
          <w:sz w:val="24"/>
          <w:szCs w:val="24"/>
          <w:lang w:eastAsia="pl-PL"/>
        </w:rPr>
        <w:t xml:space="preserve"> </w:t>
      </w:r>
      <w:r w:rsidR="000553D1" w:rsidRPr="00833C88">
        <w:rPr>
          <w:rFonts w:eastAsia="Times New Roman" w:cs="Times New Roman"/>
          <w:bCs/>
          <w:sz w:val="24"/>
          <w:szCs w:val="24"/>
          <w:lang w:eastAsia="pl-PL"/>
        </w:rPr>
        <w:t>2</w:t>
      </w:r>
      <w:r w:rsidR="00034A91" w:rsidRPr="00833C88">
        <w:rPr>
          <w:rFonts w:eastAsia="Times New Roman" w:cs="Times New Roman"/>
          <w:bCs/>
          <w:sz w:val="24"/>
          <w:szCs w:val="24"/>
          <w:lang w:eastAsia="pl-PL"/>
        </w:rPr>
        <w:t>.</w:t>
      </w:r>
    </w:p>
    <w:p w14:paraId="258BD726" w14:textId="41108E95" w:rsidR="00A53E55" w:rsidRPr="00833C88" w:rsidRDefault="00A53E55">
      <w:pPr>
        <w:pStyle w:val="Nagwek4"/>
        <w:numPr>
          <w:ilvl w:val="0"/>
          <w:numId w:val="67"/>
        </w:numPr>
        <w:spacing w:before="0" w:after="120" w:line="360" w:lineRule="auto"/>
        <w:rPr>
          <w:rFonts w:cs="Times New Roman"/>
          <w:sz w:val="24"/>
          <w:szCs w:val="24"/>
          <w:lang w:eastAsia="pl-PL"/>
        </w:rPr>
      </w:pPr>
      <w:r w:rsidRPr="00833C88">
        <w:rPr>
          <w:rFonts w:cs="Times New Roman"/>
          <w:sz w:val="24"/>
          <w:szCs w:val="24"/>
          <w:lang w:eastAsia="pl-PL"/>
        </w:rPr>
        <w:t>Sektor „usługi pocztowe”</w:t>
      </w:r>
    </w:p>
    <w:p w14:paraId="5E2D2644" w14:textId="1BD6AED4" w:rsidR="001B4EC3" w:rsidRPr="00833C88" w:rsidRDefault="001B4EC3" w:rsidP="0029004E">
      <w:pPr>
        <w:spacing w:line="360" w:lineRule="auto"/>
        <w:jc w:val="both"/>
        <w:rPr>
          <w:rFonts w:eastAsia="Times New Roman" w:cs="Times New Roman"/>
          <w:bCs/>
          <w:sz w:val="24"/>
          <w:szCs w:val="24"/>
          <w:lang w:eastAsia="pl-PL"/>
        </w:rPr>
      </w:pPr>
      <w:r w:rsidRPr="00833C88">
        <w:rPr>
          <w:rFonts w:eastAsia="Times New Roman" w:cs="Times New Roman"/>
          <w:bCs/>
          <w:sz w:val="24"/>
          <w:szCs w:val="24"/>
          <w:lang w:eastAsia="pl-PL"/>
        </w:rPr>
        <w:tab/>
        <w:t>Rodzaj podmiotu:</w:t>
      </w:r>
      <w:r w:rsidR="00B640D8" w:rsidRPr="00833C88">
        <w:rPr>
          <w:rFonts w:eastAsia="Times New Roman" w:cs="Times New Roman"/>
          <w:bCs/>
          <w:sz w:val="24"/>
          <w:szCs w:val="24"/>
          <w:lang w:eastAsia="pl-PL"/>
        </w:rPr>
        <w:t xml:space="preserve"> Operator pocztowy, </w:t>
      </w:r>
      <w:r w:rsidR="00601933" w:rsidRPr="00833C88">
        <w:rPr>
          <w:rFonts w:eastAsia="Times New Roman" w:cs="Times New Roman"/>
          <w:bCs/>
          <w:sz w:val="24"/>
          <w:szCs w:val="24"/>
          <w:lang w:eastAsia="pl-PL"/>
        </w:rPr>
        <w:t>o </w:t>
      </w:r>
      <w:r w:rsidR="00B640D8" w:rsidRPr="00833C88">
        <w:rPr>
          <w:rFonts w:eastAsia="Times New Roman" w:cs="Times New Roman"/>
          <w:bCs/>
          <w:sz w:val="24"/>
          <w:szCs w:val="24"/>
          <w:lang w:eastAsia="pl-PL"/>
        </w:rPr>
        <w:t xml:space="preserve">którym mowa </w:t>
      </w:r>
      <w:r w:rsidR="00601933" w:rsidRPr="00833C88">
        <w:rPr>
          <w:rFonts w:eastAsia="Times New Roman" w:cs="Times New Roman"/>
          <w:bCs/>
          <w:sz w:val="24"/>
          <w:szCs w:val="24"/>
          <w:lang w:eastAsia="pl-PL"/>
        </w:rPr>
        <w:t>w </w:t>
      </w:r>
      <w:r w:rsidR="00B640D8" w:rsidRPr="00833C88">
        <w:rPr>
          <w:rFonts w:eastAsia="Times New Roman" w:cs="Times New Roman"/>
          <w:bCs/>
          <w:sz w:val="24"/>
          <w:szCs w:val="24"/>
          <w:lang w:eastAsia="pl-PL"/>
        </w:rPr>
        <w:t xml:space="preserve">art. 3 pkt 12 ustawy </w:t>
      </w:r>
      <w:r w:rsidR="00601933" w:rsidRPr="00833C88">
        <w:rPr>
          <w:rFonts w:eastAsia="Times New Roman" w:cs="Times New Roman"/>
          <w:bCs/>
          <w:sz w:val="24"/>
          <w:szCs w:val="24"/>
          <w:lang w:eastAsia="pl-PL"/>
        </w:rPr>
        <w:t>z </w:t>
      </w:r>
      <w:r w:rsidR="00B640D8" w:rsidRPr="00833C88">
        <w:rPr>
          <w:rFonts w:eastAsia="Times New Roman" w:cs="Times New Roman"/>
          <w:bCs/>
          <w:sz w:val="24"/>
          <w:szCs w:val="24"/>
          <w:lang w:eastAsia="pl-PL"/>
        </w:rPr>
        <w:t>dnia 23 listopada 2012 r. – Prawo pocztowe.</w:t>
      </w:r>
    </w:p>
    <w:p w14:paraId="26963F51" w14:textId="405566DC" w:rsidR="00B220A8" w:rsidRPr="00833C88" w:rsidRDefault="00B640D8" w:rsidP="0029004E">
      <w:pPr>
        <w:spacing w:line="360" w:lineRule="auto"/>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Operatorem pocztowym jest przedsiębiorca, który </w:t>
      </w:r>
      <w:r w:rsidR="00BD2951" w:rsidRPr="00833C88">
        <w:rPr>
          <w:rFonts w:eastAsia="Times New Roman" w:cs="Times New Roman"/>
          <w:bCs/>
          <w:sz w:val="24"/>
          <w:szCs w:val="24"/>
          <w:lang w:eastAsia="pl-PL"/>
        </w:rPr>
        <w:t>ma uprawnienia do wykonywania działalności pocztowej na podstawie wpisu do rejestru operatorów pocztowych</w:t>
      </w:r>
      <w:r w:rsidR="00AB0ABF" w:rsidRPr="00833C88">
        <w:rPr>
          <w:rFonts w:eastAsia="Times New Roman" w:cs="Times New Roman"/>
          <w:bCs/>
          <w:sz w:val="24"/>
          <w:szCs w:val="24"/>
          <w:lang w:eastAsia="pl-PL"/>
        </w:rPr>
        <w:t>. Rejestr ten jest prowadzony przez Prezesa Urzędu Komunikacji Elektronicznej. Działalnością pocztową</w:t>
      </w:r>
      <w:r w:rsidR="00456EC8" w:rsidRPr="00833C88">
        <w:rPr>
          <w:rFonts w:eastAsia="Times New Roman" w:cs="Times New Roman"/>
          <w:bCs/>
          <w:sz w:val="24"/>
          <w:szCs w:val="24"/>
          <w:lang w:eastAsia="pl-PL"/>
        </w:rPr>
        <w:t xml:space="preserve"> jest działalność gospodarcza polegająca na świadczeniu usług pocztowych </w:t>
      </w:r>
      <w:r w:rsidR="00601933" w:rsidRPr="00833C88">
        <w:rPr>
          <w:rFonts w:eastAsia="Times New Roman" w:cs="Times New Roman"/>
          <w:bCs/>
          <w:sz w:val="24"/>
          <w:szCs w:val="24"/>
          <w:lang w:eastAsia="pl-PL"/>
        </w:rPr>
        <w:t>w </w:t>
      </w:r>
      <w:r w:rsidR="00456EC8" w:rsidRPr="00833C88">
        <w:rPr>
          <w:rFonts w:eastAsia="Times New Roman" w:cs="Times New Roman"/>
          <w:bCs/>
          <w:sz w:val="24"/>
          <w:szCs w:val="24"/>
          <w:lang w:eastAsia="pl-PL"/>
        </w:rPr>
        <w:t xml:space="preserve">obrocie krajowym lub zagranicznym. </w:t>
      </w:r>
      <w:r w:rsidR="00167CF1" w:rsidRPr="00833C88">
        <w:rPr>
          <w:rFonts w:eastAsia="Times New Roman" w:cs="Times New Roman"/>
          <w:bCs/>
          <w:sz w:val="24"/>
          <w:szCs w:val="24"/>
          <w:lang w:eastAsia="pl-PL"/>
        </w:rPr>
        <w:t>Usług</w:t>
      </w:r>
      <w:r w:rsidR="00B220A8" w:rsidRPr="00833C88">
        <w:rPr>
          <w:rFonts w:eastAsia="Times New Roman" w:cs="Times New Roman"/>
          <w:bCs/>
          <w:sz w:val="24"/>
          <w:szCs w:val="24"/>
          <w:lang w:eastAsia="pl-PL"/>
        </w:rPr>
        <w:t xml:space="preserve">ą pocztową jest wykonywane </w:t>
      </w:r>
      <w:r w:rsidR="00601933" w:rsidRPr="00833C88">
        <w:rPr>
          <w:rFonts w:eastAsia="Times New Roman" w:cs="Times New Roman"/>
          <w:bCs/>
          <w:sz w:val="24"/>
          <w:szCs w:val="24"/>
          <w:lang w:eastAsia="pl-PL"/>
        </w:rPr>
        <w:t>w </w:t>
      </w:r>
      <w:r w:rsidR="00B220A8" w:rsidRPr="00833C88">
        <w:rPr>
          <w:rFonts w:eastAsia="Times New Roman" w:cs="Times New Roman"/>
          <w:bCs/>
          <w:sz w:val="24"/>
          <w:szCs w:val="24"/>
          <w:lang w:eastAsia="pl-PL"/>
        </w:rPr>
        <w:t>obrocie krajowym lub zagranicznym, zarobkowe:</w:t>
      </w:r>
    </w:p>
    <w:p w14:paraId="6D07DF97" w14:textId="22461C1E" w:rsidR="00B220A8" w:rsidRPr="00833C88" w:rsidRDefault="00B220A8" w:rsidP="00711603">
      <w:pPr>
        <w:spacing w:line="360" w:lineRule="auto"/>
        <w:ind w:left="284" w:hanging="284"/>
        <w:jc w:val="both"/>
        <w:rPr>
          <w:rFonts w:eastAsia="Times New Roman" w:cs="Times New Roman"/>
          <w:bCs/>
          <w:sz w:val="24"/>
          <w:szCs w:val="24"/>
          <w:lang w:eastAsia="pl-PL"/>
        </w:rPr>
      </w:pPr>
      <w:r w:rsidRPr="00833C88">
        <w:rPr>
          <w:rFonts w:eastAsia="Times New Roman" w:cs="Times New Roman"/>
          <w:bCs/>
          <w:sz w:val="24"/>
          <w:szCs w:val="24"/>
          <w:lang w:eastAsia="pl-PL"/>
        </w:rPr>
        <w:lastRenderedPageBreak/>
        <w:t>1)</w:t>
      </w:r>
      <w:r w:rsidR="00711603" w:rsidRPr="00833C88">
        <w:rPr>
          <w:rFonts w:eastAsia="Times New Roman" w:cs="Times New Roman"/>
          <w:bCs/>
          <w:sz w:val="24"/>
          <w:szCs w:val="24"/>
          <w:lang w:eastAsia="pl-PL"/>
        </w:rPr>
        <w:tab/>
      </w:r>
      <w:r w:rsidRPr="00833C88">
        <w:rPr>
          <w:rFonts w:eastAsia="Times New Roman" w:cs="Times New Roman"/>
          <w:bCs/>
          <w:sz w:val="24"/>
          <w:szCs w:val="24"/>
          <w:lang w:eastAsia="pl-PL"/>
        </w:rPr>
        <w:t>realizowane łącznie lub rozdzielnie przyjmowanie, sortowanie, doręczanie przesyłek pocztowych oraz druków bezadresowych;</w:t>
      </w:r>
    </w:p>
    <w:p w14:paraId="6219838A" w14:textId="125822AE" w:rsidR="00B220A8" w:rsidRPr="00833C88" w:rsidRDefault="00B220A8" w:rsidP="00711603">
      <w:pPr>
        <w:spacing w:line="360" w:lineRule="auto"/>
        <w:ind w:left="284" w:hanging="284"/>
        <w:jc w:val="both"/>
        <w:rPr>
          <w:rFonts w:eastAsia="Times New Roman" w:cs="Times New Roman"/>
          <w:bCs/>
          <w:sz w:val="24"/>
          <w:szCs w:val="24"/>
          <w:lang w:eastAsia="pl-PL"/>
        </w:rPr>
      </w:pPr>
      <w:r w:rsidRPr="00833C88">
        <w:rPr>
          <w:rFonts w:eastAsia="Times New Roman" w:cs="Times New Roman"/>
          <w:bCs/>
          <w:sz w:val="24"/>
          <w:szCs w:val="24"/>
          <w:lang w:eastAsia="pl-PL"/>
        </w:rPr>
        <w:t>2)</w:t>
      </w:r>
      <w:r w:rsidR="00711603" w:rsidRPr="00833C88">
        <w:rPr>
          <w:rFonts w:eastAsia="Times New Roman" w:cs="Times New Roman"/>
          <w:bCs/>
          <w:sz w:val="24"/>
          <w:szCs w:val="24"/>
          <w:lang w:eastAsia="pl-PL"/>
        </w:rPr>
        <w:tab/>
      </w:r>
      <w:r w:rsidRPr="00833C88">
        <w:rPr>
          <w:rFonts w:eastAsia="Times New Roman" w:cs="Times New Roman"/>
          <w:bCs/>
          <w:sz w:val="24"/>
          <w:szCs w:val="24"/>
          <w:lang w:eastAsia="pl-PL"/>
        </w:rPr>
        <w:t xml:space="preserve">przemieszczanie przesyłek pocztowych oraz druków bezadresowych, jeżeli jest wykonywane łącznie </w:t>
      </w:r>
      <w:r w:rsidR="00601933" w:rsidRPr="00833C88">
        <w:rPr>
          <w:rFonts w:eastAsia="Times New Roman" w:cs="Times New Roman"/>
          <w:bCs/>
          <w:sz w:val="24"/>
          <w:szCs w:val="24"/>
          <w:lang w:eastAsia="pl-PL"/>
        </w:rPr>
        <w:t>z </w:t>
      </w:r>
      <w:r w:rsidRPr="00833C88">
        <w:rPr>
          <w:rFonts w:eastAsia="Times New Roman" w:cs="Times New Roman"/>
          <w:bCs/>
          <w:sz w:val="24"/>
          <w:szCs w:val="24"/>
          <w:lang w:eastAsia="pl-PL"/>
        </w:rPr>
        <w:t xml:space="preserve">przynajmniej jedną spośród czynności, </w:t>
      </w:r>
      <w:r w:rsidR="00601933" w:rsidRPr="00833C88">
        <w:rPr>
          <w:rFonts w:eastAsia="Times New Roman" w:cs="Times New Roman"/>
          <w:bCs/>
          <w:sz w:val="24"/>
          <w:szCs w:val="24"/>
          <w:lang w:eastAsia="pl-PL"/>
        </w:rPr>
        <w:t>o </w:t>
      </w:r>
      <w:r w:rsidRPr="00833C88">
        <w:rPr>
          <w:rFonts w:eastAsia="Times New Roman" w:cs="Times New Roman"/>
          <w:bCs/>
          <w:sz w:val="24"/>
          <w:szCs w:val="24"/>
          <w:lang w:eastAsia="pl-PL"/>
        </w:rPr>
        <w:t xml:space="preserve">których mowa </w:t>
      </w:r>
      <w:r w:rsidR="00601933" w:rsidRPr="00833C88">
        <w:rPr>
          <w:rFonts w:eastAsia="Times New Roman" w:cs="Times New Roman"/>
          <w:bCs/>
          <w:sz w:val="24"/>
          <w:szCs w:val="24"/>
          <w:lang w:eastAsia="pl-PL"/>
        </w:rPr>
        <w:t>w </w:t>
      </w:r>
      <w:r w:rsidRPr="00833C88">
        <w:rPr>
          <w:rFonts w:eastAsia="Times New Roman" w:cs="Times New Roman"/>
          <w:bCs/>
          <w:sz w:val="24"/>
          <w:szCs w:val="24"/>
          <w:lang w:eastAsia="pl-PL"/>
        </w:rPr>
        <w:t>pkt 1;</w:t>
      </w:r>
    </w:p>
    <w:p w14:paraId="07D81D54" w14:textId="134C2AD1" w:rsidR="00B220A8" w:rsidRPr="00833C88" w:rsidRDefault="00B220A8" w:rsidP="00711603">
      <w:pPr>
        <w:spacing w:line="360" w:lineRule="auto"/>
        <w:ind w:left="284" w:hanging="284"/>
        <w:jc w:val="both"/>
        <w:rPr>
          <w:rFonts w:eastAsia="Times New Roman" w:cs="Times New Roman"/>
          <w:bCs/>
          <w:sz w:val="24"/>
          <w:szCs w:val="24"/>
          <w:lang w:eastAsia="pl-PL"/>
        </w:rPr>
      </w:pPr>
      <w:r w:rsidRPr="00833C88">
        <w:rPr>
          <w:rFonts w:eastAsia="Times New Roman" w:cs="Times New Roman"/>
          <w:bCs/>
          <w:sz w:val="24"/>
          <w:szCs w:val="24"/>
          <w:lang w:eastAsia="pl-PL"/>
        </w:rPr>
        <w:t>3)</w:t>
      </w:r>
      <w:r w:rsidR="00711603" w:rsidRPr="00833C88">
        <w:rPr>
          <w:rFonts w:eastAsia="Times New Roman" w:cs="Times New Roman"/>
          <w:bCs/>
          <w:sz w:val="24"/>
          <w:szCs w:val="24"/>
          <w:lang w:eastAsia="pl-PL"/>
        </w:rPr>
        <w:tab/>
      </w:r>
      <w:r w:rsidRPr="00833C88">
        <w:rPr>
          <w:rFonts w:eastAsia="Times New Roman" w:cs="Times New Roman"/>
          <w:bCs/>
          <w:sz w:val="24"/>
          <w:szCs w:val="24"/>
          <w:lang w:eastAsia="pl-PL"/>
        </w:rPr>
        <w:t>przesyłanie przesyłek pocztowych przy wykorzystaniu środków komunikacji elektronicznej, jeżeli na etapie przyjmowania, przemieszczania lub doręczania przekazu informacyjnego przyjmują one fizyczną formę przesyłki listowej;</w:t>
      </w:r>
    </w:p>
    <w:p w14:paraId="08E9CAFA" w14:textId="39485BDE" w:rsidR="00B220A8" w:rsidRPr="00833C88" w:rsidRDefault="00B220A8" w:rsidP="00711603">
      <w:pPr>
        <w:spacing w:line="360" w:lineRule="auto"/>
        <w:ind w:left="284" w:hanging="284"/>
        <w:jc w:val="both"/>
        <w:rPr>
          <w:rFonts w:eastAsia="Times New Roman" w:cs="Times New Roman"/>
          <w:bCs/>
          <w:sz w:val="24"/>
          <w:szCs w:val="24"/>
          <w:lang w:eastAsia="pl-PL"/>
        </w:rPr>
      </w:pPr>
      <w:r w:rsidRPr="00833C88">
        <w:rPr>
          <w:rFonts w:eastAsia="Times New Roman" w:cs="Times New Roman"/>
          <w:bCs/>
          <w:sz w:val="24"/>
          <w:szCs w:val="24"/>
          <w:lang w:eastAsia="pl-PL"/>
        </w:rPr>
        <w:t>4)</w:t>
      </w:r>
      <w:r w:rsidR="00711603" w:rsidRPr="00833C88">
        <w:rPr>
          <w:rFonts w:eastAsia="Times New Roman" w:cs="Times New Roman"/>
          <w:bCs/>
          <w:sz w:val="24"/>
          <w:szCs w:val="24"/>
          <w:lang w:eastAsia="pl-PL"/>
        </w:rPr>
        <w:tab/>
      </w:r>
      <w:r w:rsidRPr="00833C88">
        <w:rPr>
          <w:rFonts w:eastAsia="Times New Roman" w:cs="Times New Roman"/>
          <w:bCs/>
          <w:sz w:val="24"/>
          <w:szCs w:val="24"/>
          <w:lang w:eastAsia="pl-PL"/>
        </w:rPr>
        <w:t xml:space="preserve">prowadzenie punktów wymiany umożliwiających przyjmowanie </w:t>
      </w:r>
      <w:r w:rsidR="00601933" w:rsidRPr="00833C88">
        <w:rPr>
          <w:rFonts w:eastAsia="Times New Roman" w:cs="Times New Roman"/>
          <w:bCs/>
          <w:sz w:val="24"/>
          <w:szCs w:val="24"/>
          <w:lang w:eastAsia="pl-PL"/>
        </w:rPr>
        <w:t>i </w:t>
      </w:r>
      <w:r w:rsidRPr="00833C88">
        <w:rPr>
          <w:rFonts w:eastAsia="Times New Roman" w:cs="Times New Roman"/>
          <w:bCs/>
          <w:sz w:val="24"/>
          <w:szCs w:val="24"/>
          <w:lang w:eastAsia="pl-PL"/>
        </w:rPr>
        <w:t xml:space="preserve">wymianę korespondencji między podmiotami korzystającymi </w:t>
      </w:r>
      <w:r w:rsidR="00601933" w:rsidRPr="00833C88">
        <w:rPr>
          <w:rFonts w:eastAsia="Times New Roman" w:cs="Times New Roman"/>
          <w:bCs/>
          <w:sz w:val="24"/>
          <w:szCs w:val="24"/>
          <w:lang w:eastAsia="pl-PL"/>
        </w:rPr>
        <w:t>z </w:t>
      </w:r>
      <w:r w:rsidRPr="00833C88">
        <w:rPr>
          <w:rFonts w:eastAsia="Times New Roman" w:cs="Times New Roman"/>
          <w:bCs/>
          <w:sz w:val="24"/>
          <w:szCs w:val="24"/>
          <w:lang w:eastAsia="pl-PL"/>
        </w:rPr>
        <w:t>obsługi tych punktów;</w:t>
      </w:r>
    </w:p>
    <w:p w14:paraId="3E9E087F" w14:textId="1DDCDFE0" w:rsidR="00B640D8" w:rsidRPr="00833C88" w:rsidRDefault="00B220A8" w:rsidP="00711603">
      <w:pPr>
        <w:spacing w:line="360" w:lineRule="auto"/>
        <w:ind w:left="284" w:hanging="284"/>
        <w:jc w:val="both"/>
        <w:rPr>
          <w:rFonts w:eastAsia="Times New Roman" w:cs="Times New Roman"/>
          <w:bCs/>
          <w:sz w:val="24"/>
          <w:szCs w:val="24"/>
          <w:lang w:eastAsia="pl-PL"/>
        </w:rPr>
      </w:pPr>
      <w:r w:rsidRPr="00833C88">
        <w:rPr>
          <w:rFonts w:eastAsia="Times New Roman" w:cs="Times New Roman"/>
          <w:bCs/>
          <w:sz w:val="24"/>
          <w:szCs w:val="24"/>
          <w:lang w:eastAsia="pl-PL"/>
        </w:rPr>
        <w:t>5)</w:t>
      </w:r>
      <w:r w:rsidR="00711603" w:rsidRPr="00833C88">
        <w:rPr>
          <w:rFonts w:eastAsia="Times New Roman" w:cs="Times New Roman"/>
          <w:bCs/>
          <w:sz w:val="24"/>
          <w:szCs w:val="24"/>
          <w:lang w:eastAsia="pl-PL"/>
        </w:rPr>
        <w:tab/>
      </w:r>
      <w:r w:rsidRPr="00833C88">
        <w:rPr>
          <w:rFonts w:eastAsia="Times New Roman" w:cs="Times New Roman"/>
          <w:bCs/>
          <w:sz w:val="24"/>
          <w:szCs w:val="24"/>
          <w:lang w:eastAsia="pl-PL"/>
        </w:rPr>
        <w:t>realizowanie przekazów pocztowych.</w:t>
      </w:r>
    </w:p>
    <w:p w14:paraId="76CD9C14" w14:textId="450B825A" w:rsidR="00B220A8" w:rsidRPr="00833C88" w:rsidRDefault="006139BD" w:rsidP="0052199F">
      <w:pPr>
        <w:spacing w:line="360" w:lineRule="auto"/>
        <w:jc w:val="both"/>
        <w:rPr>
          <w:rFonts w:eastAsia="Times New Roman" w:cs="Times New Roman"/>
          <w:bCs/>
          <w:sz w:val="24"/>
          <w:szCs w:val="24"/>
          <w:lang w:eastAsia="pl-PL"/>
        </w:rPr>
      </w:pPr>
      <w:r w:rsidRPr="00833C88">
        <w:rPr>
          <w:rFonts w:eastAsia="Times New Roman" w:cs="Times New Roman"/>
          <w:bCs/>
          <w:sz w:val="24"/>
          <w:szCs w:val="24"/>
          <w:lang w:eastAsia="pl-PL"/>
        </w:rPr>
        <w:t xml:space="preserve">Mimo postępującej informatyzacji operatorzy pocztowi </w:t>
      </w:r>
      <w:r w:rsidR="00285C00" w:rsidRPr="00833C88">
        <w:rPr>
          <w:rFonts w:eastAsia="Times New Roman" w:cs="Times New Roman"/>
          <w:bCs/>
          <w:sz w:val="24"/>
          <w:szCs w:val="24"/>
          <w:lang w:eastAsia="pl-PL"/>
        </w:rPr>
        <w:t xml:space="preserve">nadal są niezbędni dla społeczeństwa </w:t>
      </w:r>
      <w:r w:rsidR="00601933" w:rsidRPr="00833C88">
        <w:rPr>
          <w:rFonts w:eastAsia="Times New Roman" w:cs="Times New Roman"/>
          <w:bCs/>
          <w:sz w:val="24"/>
          <w:szCs w:val="24"/>
          <w:lang w:eastAsia="pl-PL"/>
        </w:rPr>
        <w:t>i </w:t>
      </w:r>
      <w:r w:rsidR="00285C00" w:rsidRPr="00833C88">
        <w:rPr>
          <w:rFonts w:eastAsia="Times New Roman" w:cs="Times New Roman"/>
          <w:bCs/>
          <w:sz w:val="24"/>
          <w:szCs w:val="24"/>
          <w:lang w:eastAsia="pl-PL"/>
        </w:rPr>
        <w:t xml:space="preserve">gospodarki. Zapewniają </w:t>
      </w:r>
      <w:r w:rsidR="0019668B" w:rsidRPr="00833C88">
        <w:rPr>
          <w:rFonts w:eastAsia="Times New Roman" w:cs="Times New Roman"/>
          <w:bCs/>
          <w:sz w:val="24"/>
          <w:szCs w:val="24"/>
          <w:lang w:eastAsia="pl-PL"/>
        </w:rPr>
        <w:t xml:space="preserve">możliwość dostarczania przedmiotów </w:t>
      </w:r>
      <w:r w:rsidR="00601933" w:rsidRPr="00833C88">
        <w:rPr>
          <w:rFonts w:eastAsia="Times New Roman" w:cs="Times New Roman"/>
          <w:bCs/>
          <w:sz w:val="24"/>
          <w:szCs w:val="24"/>
          <w:lang w:eastAsia="pl-PL"/>
        </w:rPr>
        <w:t>o </w:t>
      </w:r>
      <w:r w:rsidR="0019668B" w:rsidRPr="00833C88">
        <w:rPr>
          <w:rFonts w:eastAsia="Times New Roman" w:cs="Times New Roman"/>
          <w:bCs/>
          <w:sz w:val="24"/>
          <w:szCs w:val="24"/>
          <w:lang w:eastAsia="pl-PL"/>
        </w:rPr>
        <w:t>różnych gaba</w:t>
      </w:r>
      <w:r w:rsidR="00343FAF" w:rsidRPr="00833C88">
        <w:rPr>
          <w:rFonts w:eastAsia="Times New Roman" w:cs="Times New Roman"/>
          <w:bCs/>
          <w:sz w:val="24"/>
          <w:szCs w:val="24"/>
          <w:lang w:eastAsia="pl-PL"/>
        </w:rPr>
        <w:t>ry</w:t>
      </w:r>
      <w:r w:rsidR="0019668B" w:rsidRPr="00833C88">
        <w:rPr>
          <w:rFonts w:eastAsia="Times New Roman" w:cs="Times New Roman"/>
          <w:bCs/>
          <w:sz w:val="24"/>
          <w:szCs w:val="24"/>
          <w:lang w:eastAsia="pl-PL"/>
        </w:rPr>
        <w:t>t</w:t>
      </w:r>
      <w:r w:rsidR="00343FAF" w:rsidRPr="00833C88">
        <w:rPr>
          <w:rFonts w:eastAsia="Times New Roman" w:cs="Times New Roman"/>
          <w:bCs/>
          <w:sz w:val="24"/>
          <w:szCs w:val="24"/>
          <w:lang w:eastAsia="pl-PL"/>
        </w:rPr>
        <w:t>a</w:t>
      </w:r>
      <w:r w:rsidR="0019668B" w:rsidRPr="00833C88">
        <w:rPr>
          <w:rFonts w:eastAsia="Times New Roman" w:cs="Times New Roman"/>
          <w:bCs/>
          <w:sz w:val="24"/>
          <w:szCs w:val="24"/>
          <w:lang w:eastAsia="pl-PL"/>
        </w:rPr>
        <w:t xml:space="preserve">ch m.in. od sprzedawców do konsumentów </w:t>
      </w:r>
      <w:r w:rsidR="00601933" w:rsidRPr="00833C88">
        <w:rPr>
          <w:rFonts w:eastAsia="Times New Roman" w:cs="Times New Roman"/>
          <w:bCs/>
          <w:sz w:val="24"/>
          <w:szCs w:val="24"/>
          <w:lang w:eastAsia="pl-PL"/>
        </w:rPr>
        <w:t>i w </w:t>
      </w:r>
      <w:r w:rsidR="0019668B" w:rsidRPr="00833C88">
        <w:rPr>
          <w:rFonts w:eastAsia="Times New Roman" w:cs="Times New Roman"/>
          <w:bCs/>
          <w:sz w:val="24"/>
          <w:szCs w:val="24"/>
          <w:lang w:eastAsia="pl-PL"/>
        </w:rPr>
        <w:t xml:space="preserve">obrocie biznesowym. </w:t>
      </w:r>
      <w:r w:rsidR="006102D9" w:rsidRPr="00833C88">
        <w:rPr>
          <w:rFonts w:eastAsia="Times New Roman" w:cs="Times New Roman"/>
          <w:bCs/>
          <w:sz w:val="24"/>
          <w:szCs w:val="24"/>
          <w:lang w:eastAsia="pl-PL"/>
        </w:rPr>
        <w:t xml:space="preserve">Umożliwiają przesyłanie pieniędzy np. </w:t>
      </w:r>
      <w:r w:rsidR="00601933" w:rsidRPr="00833C88">
        <w:rPr>
          <w:rFonts w:eastAsia="Times New Roman" w:cs="Times New Roman"/>
          <w:bCs/>
          <w:sz w:val="24"/>
          <w:szCs w:val="24"/>
          <w:lang w:eastAsia="pl-PL"/>
        </w:rPr>
        <w:t>w </w:t>
      </w:r>
      <w:r w:rsidR="006102D9" w:rsidRPr="00833C88">
        <w:rPr>
          <w:rFonts w:eastAsia="Times New Roman" w:cs="Times New Roman"/>
          <w:bCs/>
          <w:sz w:val="24"/>
          <w:szCs w:val="24"/>
          <w:lang w:eastAsia="pl-PL"/>
        </w:rPr>
        <w:t xml:space="preserve">celu wypłaty emerytur, rent </w:t>
      </w:r>
      <w:r w:rsidR="00601933" w:rsidRPr="00833C88">
        <w:rPr>
          <w:rFonts w:eastAsia="Times New Roman" w:cs="Times New Roman"/>
          <w:bCs/>
          <w:sz w:val="24"/>
          <w:szCs w:val="24"/>
          <w:lang w:eastAsia="pl-PL"/>
        </w:rPr>
        <w:t>i </w:t>
      </w:r>
      <w:r w:rsidR="006102D9" w:rsidRPr="00833C88">
        <w:rPr>
          <w:rFonts w:eastAsia="Times New Roman" w:cs="Times New Roman"/>
          <w:bCs/>
          <w:sz w:val="24"/>
          <w:szCs w:val="24"/>
          <w:lang w:eastAsia="pl-PL"/>
        </w:rPr>
        <w:t xml:space="preserve">innych świadczeń. </w:t>
      </w:r>
      <w:r w:rsidR="00601933" w:rsidRPr="00833C88">
        <w:rPr>
          <w:rFonts w:eastAsia="Times New Roman" w:cs="Times New Roman"/>
          <w:bCs/>
          <w:sz w:val="24"/>
          <w:szCs w:val="24"/>
          <w:lang w:eastAsia="pl-PL"/>
        </w:rPr>
        <w:t>W </w:t>
      </w:r>
      <w:r w:rsidR="002F32B2" w:rsidRPr="00833C88">
        <w:rPr>
          <w:rFonts w:eastAsia="Times New Roman" w:cs="Times New Roman"/>
          <w:bCs/>
          <w:sz w:val="24"/>
          <w:szCs w:val="24"/>
          <w:lang w:eastAsia="pl-PL"/>
        </w:rPr>
        <w:t xml:space="preserve">celu zorganizowania obsługi </w:t>
      </w:r>
      <w:r w:rsidR="00EF09DD" w:rsidRPr="00833C88">
        <w:rPr>
          <w:rFonts w:eastAsia="Times New Roman" w:cs="Times New Roman"/>
          <w:bCs/>
          <w:sz w:val="24"/>
          <w:szCs w:val="24"/>
          <w:lang w:eastAsia="pl-PL"/>
        </w:rPr>
        <w:t xml:space="preserve">świadczenia usług pocztowych </w:t>
      </w:r>
      <w:r w:rsidR="00F34EC8" w:rsidRPr="00833C88">
        <w:rPr>
          <w:rFonts w:eastAsia="Times New Roman" w:cs="Times New Roman"/>
          <w:bCs/>
          <w:sz w:val="24"/>
          <w:szCs w:val="24"/>
          <w:lang w:eastAsia="pl-PL"/>
        </w:rPr>
        <w:t xml:space="preserve">posiadają systemy informacyjne umożliwiające rejestrowanie przesyłek, </w:t>
      </w:r>
      <w:r w:rsidR="00DD2DB8" w:rsidRPr="00833C88">
        <w:rPr>
          <w:rFonts w:eastAsia="Times New Roman" w:cs="Times New Roman"/>
          <w:bCs/>
          <w:sz w:val="24"/>
          <w:szCs w:val="24"/>
          <w:lang w:eastAsia="pl-PL"/>
        </w:rPr>
        <w:t xml:space="preserve">ich śledzenie </w:t>
      </w:r>
      <w:r w:rsidR="00601933" w:rsidRPr="00833C88">
        <w:rPr>
          <w:rFonts w:eastAsia="Times New Roman" w:cs="Times New Roman"/>
          <w:bCs/>
          <w:sz w:val="24"/>
          <w:szCs w:val="24"/>
          <w:lang w:eastAsia="pl-PL"/>
        </w:rPr>
        <w:t>i </w:t>
      </w:r>
      <w:r w:rsidR="00DD2DB8" w:rsidRPr="00833C88">
        <w:rPr>
          <w:rFonts w:eastAsia="Times New Roman" w:cs="Times New Roman"/>
          <w:bCs/>
          <w:sz w:val="24"/>
          <w:szCs w:val="24"/>
          <w:lang w:eastAsia="pl-PL"/>
        </w:rPr>
        <w:t>wyszukiwanie oraz umożliwiające rozpatrywanie ewentualnych reklamacji</w:t>
      </w:r>
      <w:r w:rsidR="00BC1A95" w:rsidRPr="00833C88">
        <w:rPr>
          <w:rFonts w:eastAsia="Times New Roman" w:cs="Times New Roman"/>
          <w:bCs/>
          <w:sz w:val="24"/>
          <w:szCs w:val="24"/>
          <w:lang w:eastAsia="pl-PL"/>
        </w:rPr>
        <w:t>.</w:t>
      </w:r>
      <w:r w:rsidR="00C4401B" w:rsidRPr="00833C88">
        <w:rPr>
          <w:rFonts w:eastAsia="Times New Roman" w:cs="Times New Roman"/>
          <w:bCs/>
          <w:sz w:val="24"/>
          <w:szCs w:val="24"/>
          <w:lang w:eastAsia="pl-PL"/>
        </w:rPr>
        <w:t xml:space="preserve"> Istotną rolę pełni przy tym operator wyznac</w:t>
      </w:r>
      <w:r w:rsidR="00D44B3D" w:rsidRPr="00833C88">
        <w:rPr>
          <w:rFonts w:eastAsia="Times New Roman" w:cs="Times New Roman"/>
          <w:bCs/>
          <w:sz w:val="24"/>
          <w:szCs w:val="24"/>
          <w:lang w:eastAsia="pl-PL"/>
        </w:rPr>
        <w:t xml:space="preserve">zony. Więksi operatorzy pocztowi </w:t>
      </w:r>
      <w:r w:rsidR="00915A87" w:rsidRPr="00833C88">
        <w:rPr>
          <w:rFonts w:eastAsia="Times New Roman" w:cs="Times New Roman"/>
          <w:bCs/>
          <w:sz w:val="24"/>
          <w:szCs w:val="24"/>
          <w:lang w:eastAsia="pl-PL"/>
        </w:rPr>
        <w:t>wykonują</w:t>
      </w:r>
      <w:r w:rsidR="00D44B3D" w:rsidRPr="00833C88">
        <w:rPr>
          <w:rFonts w:eastAsia="Times New Roman" w:cs="Times New Roman"/>
          <w:bCs/>
          <w:sz w:val="24"/>
          <w:szCs w:val="24"/>
          <w:lang w:eastAsia="pl-PL"/>
        </w:rPr>
        <w:t xml:space="preserve"> obowiązki </w:t>
      </w:r>
      <w:r w:rsidR="00601933" w:rsidRPr="00833C88">
        <w:rPr>
          <w:rFonts w:eastAsia="Times New Roman" w:cs="Times New Roman"/>
          <w:bCs/>
          <w:sz w:val="24"/>
          <w:szCs w:val="24"/>
          <w:lang w:eastAsia="pl-PL"/>
        </w:rPr>
        <w:t>z </w:t>
      </w:r>
      <w:r w:rsidR="00915A87" w:rsidRPr="00833C88">
        <w:rPr>
          <w:rFonts w:eastAsia="Times New Roman" w:cs="Times New Roman"/>
          <w:bCs/>
          <w:sz w:val="24"/>
          <w:szCs w:val="24"/>
          <w:lang w:eastAsia="pl-PL"/>
        </w:rPr>
        <w:t>zakresu</w:t>
      </w:r>
      <w:r w:rsidR="002F2CFF" w:rsidRPr="00833C88">
        <w:rPr>
          <w:rFonts w:eastAsia="Times New Roman" w:cs="Times New Roman"/>
          <w:bCs/>
          <w:sz w:val="24"/>
          <w:szCs w:val="24"/>
          <w:lang w:eastAsia="pl-PL"/>
        </w:rPr>
        <w:t xml:space="preserve"> obronności, bezpieczeństwa państwa oraz bezpieczeństwa </w:t>
      </w:r>
      <w:r w:rsidR="00601933" w:rsidRPr="00833C88">
        <w:rPr>
          <w:rFonts w:eastAsia="Times New Roman" w:cs="Times New Roman"/>
          <w:bCs/>
          <w:sz w:val="24"/>
          <w:szCs w:val="24"/>
          <w:lang w:eastAsia="pl-PL"/>
        </w:rPr>
        <w:t>i </w:t>
      </w:r>
      <w:r w:rsidR="002F2CFF" w:rsidRPr="00833C88">
        <w:rPr>
          <w:rFonts w:eastAsia="Times New Roman" w:cs="Times New Roman"/>
          <w:bCs/>
          <w:sz w:val="24"/>
          <w:szCs w:val="24"/>
          <w:lang w:eastAsia="pl-PL"/>
        </w:rPr>
        <w:t xml:space="preserve">porządku publicznego. </w:t>
      </w:r>
      <w:r w:rsidR="00915A87" w:rsidRPr="00833C88">
        <w:rPr>
          <w:rFonts w:eastAsia="Times New Roman" w:cs="Times New Roman"/>
          <w:bCs/>
          <w:sz w:val="24"/>
          <w:szCs w:val="24"/>
          <w:lang w:eastAsia="pl-PL"/>
        </w:rPr>
        <w:t xml:space="preserve">Zapewnienie </w:t>
      </w:r>
      <w:r w:rsidR="001B2561" w:rsidRPr="00833C88">
        <w:rPr>
          <w:rFonts w:eastAsia="Times New Roman" w:cs="Times New Roman"/>
          <w:bCs/>
          <w:sz w:val="24"/>
          <w:szCs w:val="24"/>
          <w:lang w:eastAsia="pl-PL"/>
        </w:rPr>
        <w:t xml:space="preserve">ciągłości świadczenia usług pocztowych </w:t>
      </w:r>
      <w:r w:rsidR="00601933" w:rsidRPr="00833C88">
        <w:rPr>
          <w:rFonts w:eastAsia="Times New Roman" w:cs="Times New Roman"/>
          <w:bCs/>
          <w:sz w:val="24"/>
          <w:szCs w:val="24"/>
          <w:lang w:eastAsia="pl-PL"/>
        </w:rPr>
        <w:t>w </w:t>
      </w:r>
      <w:r w:rsidR="001B2561" w:rsidRPr="00833C88">
        <w:rPr>
          <w:rFonts w:eastAsia="Times New Roman" w:cs="Times New Roman"/>
          <w:bCs/>
          <w:sz w:val="24"/>
          <w:szCs w:val="24"/>
          <w:lang w:eastAsia="pl-PL"/>
        </w:rPr>
        <w:t xml:space="preserve">sytuacjach kryzysowych oraz </w:t>
      </w:r>
      <w:r w:rsidR="00601933" w:rsidRPr="00833C88">
        <w:rPr>
          <w:rFonts w:eastAsia="Times New Roman" w:cs="Times New Roman"/>
          <w:bCs/>
          <w:sz w:val="24"/>
          <w:szCs w:val="24"/>
          <w:lang w:eastAsia="pl-PL"/>
        </w:rPr>
        <w:t>w </w:t>
      </w:r>
      <w:r w:rsidR="001B2561" w:rsidRPr="00833C88">
        <w:rPr>
          <w:rFonts w:eastAsia="Times New Roman" w:cs="Times New Roman"/>
          <w:bCs/>
          <w:sz w:val="24"/>
          <w:szCs w:val="24"/>
          <w:lang w:eastAsia="pl-PL"/>
        </w:rPr>
        <w:t xml:space="preserve">sytuacjach stanów nadzwyczajnych </w:t>
      </w:r>
      <w:r w:rsidR="005D31F5" w:rsidRPr="00833C88">
        <w:rPr>
          <w:rFonts w:eastAsia="Times New Roman" w:cs="Times New Roman"/>
          <w:bCs/>
          <w:sz w:val="24"/>
          <w:szCs w:val="24"/>
          <w:lang w:eastAsia="pl-PL"/>
        </w:rPr>
        <w:t xml:space="preserve">ma duże znaczenie dla odporności państwa. Stąd też zasadne </w:t>
      </w:r>
      <w:r w:rsidR="001C5089" w:rsidRPr="00833C88">
        <w:rPr>
          <w:rFonts w:eastAsia="Times New Roman" w:cs="Times New Roman"/>
          <w:bCs/>
          <w:sz w:val="24"/>
          <w:szCs w:val="24"/>
          <w:lang w:eastAsia="pl-PL"/>
        </w:rPr>
        <w:t xml:space="preserve">jest nałożenie na operatorów pocztowych obowiązków </w:t>
      </w:r>
      <w:r w:rsidR="00601933" w:rsidRPr="00833C88">
        <w:rPr>
          <w:rFonts w:eastAsia="Times New Roman" w:cs="Times New Roman"/>
          <w:bCs/>
          <w:sz w:val="24"/>
          <w:szCs w:val="24"/>
          <w:lang w:eastAsia="pl-PL"/>
        </w:rPr>
        <w:t>z </w:t>
      </w:r>
      <w:r w:rsidR="001C5089" w:rsidRPr="00833C88">
        <w:rPr>
          <w:rFonts w:eastAsia="Times New Roman" w:cs="Times New Roman"/>
          <w:bCs/>
          <w:sz w:val="24"/>
          <w:szCs w:val="24"/>
          <w:lang w:eastAsia="pl-PL"/>
        </w:rPr>
        <w:t xml:space="preserve">zakresu cyberbezpieczeństwa – jako podmiotów ważnych – jest to zgodne </w:t>
      </w:r>
      <w:r w:rsidR="00601933" w:rsidRPr="00833C88">
        <w:rPr>
          <w:rFonts w:eastAsia="Times New Roman" w:cs="Times New Roman"/>
          <w:bCs/>
          <w:sz w:val="24"/>
          <w:szCs w:val="24"/>
          <w:lang w:eastAsia="pl-PL"/>
        </w:rPr>
        <w:t>z </w:t>
      </w:r>
      <w:r w:rsidR="001C5089" w:rsidRPr="00833C88">
        <w:rPr>
          <w:rFonts w:eastAsia="Times New Roman" w:cs="Times New Roman"/>
          <w:bCs/>
          <w:sz w:val="24"/>
          <w:szCs w:val="24"/>
          <w:lang w:eastAsia="pl-PL"/>
        </w:rPr>
        <w:t>zał. 2 do dyrektywy NIS</w:t>
      </w:r>
      <w:r w:rsidR="00EB552C" w:rsidRPr="00833C88">
        <w:rPr>
          <w:rFonts w:eastAsia="Times New Roman" w:cs="Times New Roman"/>
          <w:bCs/>
          <w:sz w:val="24"/>
          <w:szCs w:val="24"/>
          <w:lang w:eastAsia="pl-PL"/>
        </w:rPr>
        <w:t> </w:t>
      </w:r>
      <w:r w:rsidR="001C5089" w:rsidRPr="00833C88">
        <w:rPr>
          <w:rFonts w:eastAsia="Times New Roman" w:cs="Times New Roman"/>
          <w:bCs/>
          <w:sz w:val="24"/>
          <w:szCs w:val="24"/>
          <w:lang w:eastAsia="pl-PL"/>
        </w:rPr>
        <w:t>2.</w:t>
      </w:r>
    </w:p>
    <w:p w14:paraId="0C4574A3" w14:textId="4D34FD3B" w:rsidR="005D31F5" w:rsidRPr="00833C88" w:rsidRDefault="001C5089">
      <w:pPr>
        <w:pStyle w:val="Nagwek4"/>
        <w:numPr>
          <w:ilvl w:val="0"/>
          <w:numId w:val="67"/>
        </w:numPr>
        <w:spacing w:before="0" w:after="120" w:line="360" w:lineRule="auto"/>
        <w:jc w:val="both"/>
        <w:rPr>
          <w:rFonts w:cs="Times New Roman"/>
          <w:sz w:val="24"/>
          <w:szCs w:val="24"/>
          <w:lang w:eastAsia="pl-PL"/>
        </w:rPr>
      </w:pPr>
      <w:r w:rsidRPr="00833C88">
        <w:rPr>
          <w:rFonts w:cs="Times New Roman"/>
          <w:sz w:val="24"/>
          <w:szCs w:val="24"/>
          <w:lang w:eastAsia="pl-PL"/>
        </w:rPr>
        <w:t>Sektor – inwestycje energetyki jądrowej</w:t>
      </w:r>
    </w:p>
    <w:p w14:paraId="3B3F89E7" w14:textId="66B3EAD0" w:rsidR="000E1C31" w:rsidRPr="00833C88" w:rsidRDefault="006C60A2" w:rsidP="000650EC">
      <w:pPr>
        <w:spacing w:line="360" w:lineRule="auto"/>
        <w:jc w:val="both"/>
        <w:rPr>
          <w:rFonts w:cs="Times New Roman"/>
          <w:sz w:val="24"/>
          <w:szCs w:val="24"/>
          <w:lang w:eastAsia="pl-PL"/>
        </w:rPr>
      </w:pPr>
      <w:r w:rsidRPr="00833C88">
        <w:rPr>
          <w:rFonts w:cs="Times New Roman"/>
          <w:sz w:val="24"/>
          <w:szCs w:val="24"/>
          <w:lang w:eastAsia="pl-PL"/>
        </w:rPr>
        <w:t>Sektor ten obejmuje:</w:t>
      </w:r>
    </w:p>
    <w:p w14:paraId="37BE1E95" w14:textId="651AD4F6" w:rsidR="002D6A78" w:rsidRPr="00833C88" w:rsidRDefault="002D6A78">
      <w:pPr>
        <w:pStyle w:val="Akapitzlist"/>
        <w:numPr>
          <w:ilvl w:val="0"/>
          <w:numId w:val="61"/>
        </w:numPr>
        <w:spacing w:line="360" w:lineRule="auto"/>
        <w:contextualSpacing w:val="0"/>
        <w:jc w:val="both"/>
        <w:rPr>
          <w:rFonts w:cs="Times New Roman"/>
          <w:sz w:val="24"/>
          <w:szCs w:val="24"/>
          <w:lang w:eastAsia="pl-PL"/>
        </w:rPr>
      </w:pPr>
      <w:r w:rsidRPr="00833C88">
        <w:rPr>
          <w:rFonts w:cs="Times New Roman"/>
          <w:sz w:val="24"/>
          <w:szCs w:val="24"/>
        </w:rPr>
        <w:t xml:space="preserve">Podmioty będące inwestorami obiektu energetyki jądrowej określonego </w:t>
      </w:r>
      <w:r w:rsidR="00601933" w:rsidRPr="00833C88">
        <w:rPr>
          <w:rFonts w:cs="Times New Roman"/>
          <w:sz w:val="24"/>
          <w:szCs w:val="24"/>
        </w:rPr>
        <w:t>w </w:t>
      </w:r>
      <w:r w:rsidRPr="00833C88">
        <w:rPr>
          <w:rFonts w:cs="Times New Roman"/>
          <w:sz w:val="24"/>
          <w:szCs w:val="24"/>
        </w:rPr>
        <w:t xml:space="preserve">art. 2 pkt 2 ustawy </w:t>
      </w:r>
      <w:r w:rsidR="00601933" w:rsidRPr="00833C88">
        <w:rPr>
          <w:rFonts w:cs="Times New Roman"/>
          <w:sz w:val="24"/>
          <w:szCs w:val="24"/>
        </w:rPr>
        <w:t>z </w:t>
      </w:r>
      <w:r w:rsidRPr="00833C88">
        <w:rPr>
          <w:rFonts w:cs="Times New Roman"/>
          <w:sz w:val="24"/>
          <w:szCs w:val="24"/>
        </w:rPr>
        <w:t xml:space="preserve">dnia 29 czerwca 2011 r. </w:t>
      </w:r>
      <w:r w:rsidR="00601933" w:rsidRPr="00833C88">
        <w:rPr>
          <w:rFonts w:cs="Times New Roman"/>
          <w:sz w:val="24"/>
          <w:szCs w:val="24"/>
        </w:rPr>
        <w:t>o </w:t>
      </w:r>
      <w:r w:rsidRPr="00833C88">
        <w:rPr>
          <w:rFonts w:cs="Times New Roman"/>
          <w:sz w:val="24"/>
          <w:szCs w:val="24"/>
        </w:rPr>
        <w:t xml:space="preserve">przygotowaniu </w:t>
      </w:r>
      <w:r w:rsidR="00601933" w:rsidRPr="00833C88">
        <w:rPr>
          <w:rFonts w:cs="Times New Roman"/>
          <w:sz w:val="24"/>
          <w:szCs w:val="24"/>
        </w:rPr>
        <w:t>i </w:t>
      </w:r>
      <w:r w:rsidRPr="00833C88">
        <w:rPr>
          <w:rFonts w:cs="Times New Roman"/>
          <w:sz w:val="24"/>
          <w:szCs w:val="24"/>
        </w:rPr>
        <w:t xml:space="preserve">realizacji inwestycji </w:t>
      </w:r>
      <w:r w:rsidR="00601933" w:rsidRPr="00833C88">
        <w:rPr>
          <w:rFonts w:cs="Times New Roman"/>
          <w:sz w:val="24"/>
          <w:szCs w:val="24"/>
        </w:rPr>
        <w:t>w </w:t>
      </w:r>
      <w:r w:rsidRPr="00833C88">
        <w:rPr>
          <w:rFonts w:cs="Times New Roman"/>
          <w:sz w:val="24"/>
          <w:szCs w:val="24"/>
        </w:rPr>
        <w:t xml:space="preserve">zakresie obiektów energetyki jądrowej oraz inwestycji towarzyszących, który uzyskał decyzję zasadniczą, </w:t>
      </w:r>
      <w:r w:rsidR="00601933" w:rsidRPr="00833C88">
        <w:rPr>
          <w:rFonts w:cs="Times New Roman"/>
          <w:sz w:val="24"/>
          <w:szCs w:val="24"/>
        </w:rPr>
        <w:t>o </w:t>
      </w:r>
      <w:r w:rsidRPr="00833C88">
        <w:rPr>
          <w:rFonts w:cs="Times New Roman"/>
          <w:sz w:val="24"/>
          <w:szCs w:val="24"/>
        </w:rPr>
        <w:t xml:space="preserve">której mowa </w:t>
      </w:r>
      <w:r w:rsidR="00601933" w:rsidRPr="00833C88">
        <w:rPr>
          <w:rFonts w:cs="Times New Roman"/>
          <w:sz w:val="24"/>
          <w:szCs w:val="24"/>
        </w:rPr>
        <w:t>w </w:t>
      </w:r>
      <w:r w:rsidRPr="00833C88">
        <w:rPr>
          <w:rFonts w:cs="Times New Roman"/>
          <w:sz w:val="24"/>
          <w:szCs w:val="24"/>
        </w:rPr>
        <w:t>art. 3a ust. 1 tej ustawy.</w:t>
      </w:r>
    </w:p>
    <w:p w14:paraId="4A1F13CE" w14:textId="0D885FD1" w:rsidR="002D6A78" w:rsidRPr="00833C88" w:rsidRDefault="002D6A78" w:rsidP="000650EC">
      <w:pPr>
        <w:spacing w:line="360" w:lineRule="auto"/>
        <w:jc w:val="both"/>
        <w:rPr>
          <w:rFonts w:cs="Times New Roman"/>
          <w:sz w:val="24"/>
          <w:szCs w:val="24"/>
          <w:lang w:eastAsia="pl-PL"/>
        </w:rPr>
      </w:pPr>
      <w:r w:rsidRPr="00833C88">
        <w:rPr>
          <w:rFonts w:cs="Times New Roman"/>
          <w:sz w:val="24"/>
          <w:szCs w:val="24"/>
          <w:lang w:eastAsia="pl-PL"/>
        </w:rPr>
        <w:t xml:space="preserve">Już na etapie rozpoczynania inwestycji </w:t>
      </w:r>
      <w:r w:rsidR="00601933" w:rsidRPr="00833C88">
        <w:rPr>
          <w:rFonts w:cs="Times New Roman"/>
          <w:sz w:val="24"/>
          <w:szCs w:val="24"/>
          <w:lang w:eastAsia="pl-PL"/>
        </w:rPr>
        <w:t>z </w:t>
      </w:r>
      <w:r w:rsidRPr="00833C88">
        <w:rPr>
          <w:rFonts w:cs="Times New Roman"/>
          <w:sz w:val="24"/>
          <w:szCs w:val="24"/>
          <w:lang w:eastAsia="pl-PL"/>
        </w:rPr>
        <w:t xml:space="preserve">zakresu energetyki jądrowej inwestorzy przetwarzają ważne dane związane choćby </w:t>
      </w:r>
      <w:r w:rsidR="00601933" w:rsidRPr="00833C88">
        <w:rPr>
          <w:rFonts w:cs="Times New Roman"/>
          <w:sz w:val="24"/>
          <w:szCs w:val="24"/>
          <w:lang w:eastAsia="pl-PL"/>
        </w:rPr>
        <w:t>z </w:t>
      </w:r>
      <w:r w:rsidRPr="00833C88">
        <w:rPr>
          <w:rFonts w:cs="Times New Roman"/>
          <w:sz w:val="24"/>
          <w:szCs w:val="24"/>
          <w:lang w:eastAsia="pl-PL"/>
        </w:rPr>
        <w:t xml:space="preserve">lokalizacją inwestycji czy planem jej budowy. </w:t>
      </w:r>
      <w:r w:rsidR="00601933" w:rsidRPr="00833C88">
        <w:rPr>
          <w:rFonts w:cs="Times New Roman"/>
          <w:sz w:val="24"/>
          <w:szCs w:val="24"/>
          <w:lang w:eastAsia="pl-PL"/>
        </w:rPr>
        <w:t>W </w:t>
      </w:r>
      <w:r w:rsidR="00F41815" w:rsidRPr="00833C88">
        <w:rPr>
          <w:rFonts w:cs="Times New Roman"/>
          <w:sz w:val="24"/>
          <w:szCs w:val="24"/>
          <w:lang w:eastAsia="pl-PL"/>
        </w:rPr>
        <w:t xml:space="preserve">związku </w:t>
      </w:r>
      <w:r w:rsidR="00601933" w:rsidRPr="00833C88">
        <w:rPr>
          <w:rFonts w:cs="Times New Roman"/>
          <w:sz w:val="24"/>
          <w:szCs w:val="24"/>
          <w:lang w:eastAsia="pl-PL"/>
        </w:rPr>
        <w:t>z </w:t>
      </w:r>
      <w:r w:rsidR="00F41815" w:rsidRPr="00833C88">
        <w:rPr>
          <w:rFonts w:cs="Times New Roman"/>
          <w:sz w:val="24"/>
          <w:szCs w:val="24"/>
          <w:lang w:eastAsia="pl-PL"/>
        </w:rPr>
        <w:t>powyższym już</w:t>
      </w:r>
      <w:r w:rsidRPr="00833C88">
        <w:rPr>
          <w:rFonts w:cs="Times New Roman"/>
          <w:sz w:val="24"/>
          <w:szCs w:val="24"/>
          <w:lang w:eastAsia="pl-PL"/>
        </w:rPr>
        <w:t xml:space="preserve"> na tym etapie powinny być one objęte obowiązkami </w:t>
      </w:r>
      <w:r w:rsidR="00601933" w:rsidRPr="00833C88">
        <w:rPr>
          <w:rFonts w:cs="Times New Roman"/>
          <w:sz w:val="24"/>
          <w:szCs w:val="24"/>
          <w:lang w:eastAsia="pl-PL"/>
        </w:rPr>
        <w:t>z </w:t>
      </w:r>
      <w:r w:rsidRPr="00833C88">
        <w:rPr>
          <w:rFonts w:cs="Times New Roman"/>
          <w:sz w:val="24"/>
          <w:szCs w:val="24"/>
          <w:lang w:eastAsia="pl-PL"/>
        </w:rPr>
        <w:t xml:space="preserve">zakresu </w:t>
      </w:r>
      <w:r w:rsidRPr="00833C88">
        <w:rPr>
          <w:rFonts w:cs="Times New Roman"/>
          <w:sz w:val="24"/>
          <w:szCs w:val="24"/>
          <w:lang w:eastAsia="pl-PL"/>
        </w:rPr>
        <w:lastRenderedPageBreak/>
        <w:t>cyberbezpieczeństwa</w:t>
      </w:r>
      <w:r w:rsidR="00F41815" w:rsidRPr="00833C88">
        <w:rPr>
          <w:rFonts w:cs="Times New Roman"/>
          <w:sz w:val="24"/>
          <w:szCs w:val="24"/>
          <w:lang w:eastAsia="pl-PL"/>
        </w:rPr>
        <w:t>,</w:t>
      </w:r>
      <w:r w:rsidRPr="00833C88">
        <w:rPr>
          <w:rFonts w:cs="Times New Roman"/>
          <w:sz w:val="24"/>
          <w:szCs w:val="24"/>
          <w:lang w:eastAsia="pl-PL"/>
        </w:rPr>
        <w:t xml:space="preserve"> tak aby zapewnić cyberbezpieczeństwo</w:t>
      </w:r>
      <w:r w:rsidR="00E93C5C" w:rsidRPr="00833C88">
        <w:rPr>
          <w:rFonts w:cs="Times New Roman"/>
          <w:sz w:val="24"/>
          <w:szCs w:val="24"/>
          <w:lang w:eastAsia="pl-PL"/>
        </w:rPr>
        <w:t xml:space="preserve"> ich systemów </w:t>
      </w:r>
      <w:r w:rsidR="00601933" w:rsidRPr="00833C88">
        <w:rPr>
          <w:rFonts w:cs="Times New Roman"/>
          <w:sz w:val="24"/>
          <w:szCs w:val="24"/>
          <w:lang w:eastAsia="pl-PL"/>
        </w:rPr>
        <w:t>i </w:t>
      </w:r>
      <w:r w:rsidR="00E93C5C" w:rsidRPr="00833C88">
        <w:rPr>
          <w:rFonts w:cs="Times New Roman"/>
          <w:sz w:val="24"/>
          <w:szCs w:val="24"/>
          <w:lang w:eastAsia="pl-PL"/>
        </w:rPr>
        <w:t xml:space="preserve">przechowywanych </w:t>
      </w:r>
      <w:r w:rsidR="00601933" w:rsidRPr="00833C88">
        <w:rPr>
          <w:rFonts w:cs="Times New Roman"/>
          <w:sz w:val="24"/>
          <w:szCs w:val="24"/>
          <w:lang w:eastAsia="pl-PL"/>
        </w:rPr>
        <w:t>w </w:t>
      </w:r>
      <w:r w:rsidR="00E93C5C" w:rsidRPr="00833C88">
        <w:rPr>
          <w:rFonts w:cs="Times New Roman"/>
          <w:sz w:val="24"/>
          <w:szCs w:val="24"/>
          <w:lang w:eastAsia="pl-PL"/>
        </w:rPr>
        <w:t xml:space="preserve">nich danych. </w:t>
      </w:r>
    </w:p>
    <w:p w14:paraId="5E8E1D03" w14:textId="073EB001" w:rsidR="00D149AF" w:rsidRPr="00833C88" w:rsidRDefault="005A72C7">
      <w:pPr>
        <w:pStyle w:val="Nagwek4"/>
        <w:numPr>
          <w:ilvl w:val="0"/>
          <w:numId w:val="67"/>
        </w:numPr>
        <w:spacing w:before="0" w:after="120" w:line="360" w:lineRule="auto"/>
        <w:jc w:val="both"/>
        <w:rPr>
          <w:rFonts w:cs="Times New Roman"/>
          <w:sz w:val="24"/>
          <w:szCs w:val="24"/>
          <w:lang w:eastAsia="pl-PL"/>
        </w:rPr>
      </w:pPr>
      <w:r w:rsidRPr="00833C88">
        <w:rPr>
          <w:rFonts w:cs="Times New Roman"/>
          <w:i w:val="0"/>
          <w:iCs w:val="0"/>
          <w:sz w:val="24"/>
          <w:szCs w:val="24"/>
          <w:lang w:eastAsia="pl-PL"/>
        </w:rPr>
        <w:t>Sektor gospodarowanie odpadami</w:t>
      </w:r>
    </w:p>
    <w:p w14:paraId="5AE8A5F1" w14:textId="0A3641FC" w:rsidR="00687C4A" w:rsidRPr="00833C88" w:rsidRDefault="00687C4A" w:rsidP="000650EC">
      <w:pPr>
        <w:spacing w:line="360" w:lineRule="auto"/>
        <w:jc w:val="both"/>
        <w:rPr>
          <w:rFonts w:cs="Times New Roman"/>
          <w:sz w:val="24"/>
          <w:szCs w:val="24"/>
          <w:lang w:eastAsia="pl-PL"/>
        </w:rPr>
      </w:pPr>
      <w:r w:rsidRPr="00833C88">
        <w:rPr>
          <w:rFonts w:cs="Times New Roman"/>
          <w:sz w:val="24"/>
          <w:szCs w:val="24"/>
          <w:lang w:eastAsia="pl-PL"/>
        </w:rPr>
        <w:t xml:space="preserve">Dla porządku należy wskazać, że odpadem jest </w:t>
      </w:r>
      <w:r w:rsidR="00340AC4" w:rsidRPr="00833C88">
        <w:rPr>
          <w:rFonts w:cs="Times New Roman"/>
          <w:sz w:val="24"/>
          <w:szCs w:val="24"/>
          <w:lang w:eastAsia="pl-PL"/>
        </w:rPr>
        <w:t>każdą substancję lub przedmiot, których posiadacz pozbywa się, zamierza się pozbyć lub do których pozbycia się jest obowiązany.</w:t>
      </w:r>
    </w:p>
    <w:p w14:paraId="0B06239C" w14:textId="00BE49C0" w:rsidR="00484BA8" w:rsidRPr="00833C88" w:rsidRDefault="00484BA8" w:rsidP="000650EC">
      <w:pPr>
        <w:spacing w:line="360" w:lineRule="auto"/>
        <w:jc w:val="both"/>
        <w:rPr>
          <w:rFonts w:cs="Times New Roman"/>
          <w:sz w:val="24"/>
          <w:szCs w:val="24"/>
          <w:lang w:eastAsia="pl-PL"/>
        </w:rPr>
      </w:pPr>
      <w:r w:rsidRPr="00833C88">
        <w:rPr>
          <w:rFonts w:cs="Times New Roman"/>
          <w:sz w:val="24"/>
          <w:szCs w:val="24"/>
          <w:lang w:eastAsia="pl-PL"/>
        </w:rPr>
        <w:t xml:space="preserve">Zgodnie </w:t>
      </w:r>
      <w:r w:rsidR="00601933" w:rsidRPr="00833C88">
        <w:rPr>
          <w:rFonts w:cs="Times New Roman"/>
          <w:sz w:val="24"/>
          <w:szCs w:val="24"/>
          <w:lang w:eastAsia="pl-PL"/>
        </w:rPr>
        <w:t>z </w:t>
      </w:r>
      <w:r w:rsidRPr="00833C88">
        <w:rPr>
          <w:rFonts w:cs="Times New Roman"/>
          <w:sz w:val="24"/>
          <w:szCs w:val="24"/>
          <w:lang w:eastAsia="pl-PL"/>
        </w:rPr>
        <w:t xml:space="preserve">ustawą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 xml:space="preserve">odpadach </w:t>
      </w:r>
      <w:r w:rsidR="00687C4A" w:rsidRPr="00833C88">
        <w:rPr>
          <w:rFonts w:cs="Times New Roman"/>
          <w:sz w:val="24"/>
          <w:szCs w:val="24"/>
          <w:lang w:eastAsia="pl-PL"/>
        </w:rPr>
        <w:t xml:space="preserve">pod pojęciem gospodarowania odpadami zbieranie, transport lub przetwarzanie odpadów, </w:t>
      </w:r>
      <w:r w:rsidR="00601933" w:rsidRPr="00833C88">
        <w:rPr>
          <w:rFonts w:cs="Times New Roman"/>
          <w:sz w:val="24"/>
          <w:szCs w:val="24"/>
          <w:lang w:eastAsia="pl-PL"/>
        </w:rPr>
        <w:t>w </w:t>
      </w:r>
      <w:r w:rsidR="00687C4A" w:rsidRPr="00833C88">
        <w:rPr>
          <w:rFonts w:cs="Times New Roman"/>
          <w:sz w:val="24"/>
          <w:szCs w:val="24"/>
          <w:lang w:eastAsia="pl-PL"/>
        </w:rPr>
        <w:t xml:space="preserve">tym sortowanie, wraz </w:t>
      </w:r>
      <w:r w:rsidR="00601933" w:rsidRPr="00833C88">
        <w:rPr>
          <w:rFonts w:cs="Times New Roman"/>
          <w:sz w:val="24"/>
          <w:szCs w:val="24"/>
          <w:lang w:eastAsia="pl-PL"/>
        </w:rPr>
        <w:t>z </w:t>
      </w:r>
      <w:r w:rsidR="00687C4A" w:rsidRPr="00833C88">
        <w:rPr>
          <w:rFonts w:cs="Times New Roman"/>
          <w:sz w:val="24"/>
          <w:szCs w:val="24"/>
          <w:lang w:eastAsia="pl-PL"/>
        </w:rPr>
        <w:t xml:space="preserve">nadzorem nad wymienionymi działaniami, </w:t>
      </w:r>
      <w:r w:rsidR="00601933" w:rsidRPr="00833C88">
        <w:rPr>
          <w:rFonts w:cs="Times New Roman"/>
          <w:sz w:val="24"/>
          <w:szCs w:val="24"/>
          <w:lang w:eastAsia="pl-PL"/>
        </w:rPr>
        <w:t>a </w:t>
      </w:r>
      <w:r w:rsidR="00687C4A" w:rsidRPr="00833C88">
        <w:rPr>
          <w:rFonts w:cs="Times New Roman"/>
          <w:sz w:val="24"/>
          <w:szCs w:val="24"/>
          <w:lang w:eastAsia="pl-PL"/>
        </w:rPr>
        <w:t xml:space="preserve">także późniejsze postępowanie </w:t>
      </w:r>
      <w:r w:rsidR="00601933" w:rsidRPr="00833C88">
        <w:rPr>
          <w:rFonts w:cs="Times New Roman"/>
          <w:sz w:val="24"/>
          <w:szCs w:val="24"/>
          <w:lang w:eastAsia="pl-PL"/>
        </w:rPr>
        <w:t>z </w:t>
      </w:r>
      <w:r w:rsidR="00687C4A" w:rsidRPr="00833C88">
        <w:rPr>
          <w:rFonts w:cs="Times New Roman"/>
          <w:sz w:val="24"/>
          <w:szCs w:val="24"/>
          <w:lang w:eastAsia="pl-PL"/>
        </w:rPr>
        <w:t xml:space="preserve">miejscami unieszkodliwiania odpadów oraz działania wykonywane </w:t>
      </w:r>
      <w:r w:rsidR="00601933" w:rsidRPr="00833C88">
        <w:rPr>
          <w:rFonts w:cs="Times New Roman"/>
          <w:sz w:val="24"/>
          <w:szCs w:val="24"/>
          <w:lang w:eastAsia="pl-PL"/>
        </w:rPr>
        <w:t>w </w:t>
      </w:r>
      <w:r w:rsidR="00687C4A" w:rsidRPr="00833C88">
        <w:rPr>
          <w:rFonts w:cs="Times New Roman"/>
          <w:sz w:val="24"/>
          <w:szCs w:val="24"/>
          <w:lang w:eastAsia="pl-PL"/>
        </w:rPr>
        <w:t xml:space="preserve">charakterze sprzedawcy odpadów lub pośrednika </w:t>
      </w:r>
      <w:r w:rsidR="00601933" w:rsidRPr="00833C88">
        <w:rPr>
          <w:rFonts w:cs="Times New Roman"/>
          <w:sz w:val="24"/>
          <w:szCs w:val="24"/>
          <w:lang w:eastAsia="pl-PL"/>
        </w:rPr>
        <w:t>w </w:t>
      </w:r>
      <w:r w:rsidR="00687C4A" w:rsidRPr="00833C88">
        <w:rPr>
          <w:rFonts w:cs="Times New Roman"/>
          <w:sz w:val="24"/>
          <w:szCs w:val="24"/>
          <w:lang w:eastAsia="pl-PL"/>
        </w:rPr>
        <w:t>obrocie odpadam</w:t>
      </w:r>
      <w:r w:rsidR="00C35FD4" w:rsidRPr="00833C88">
        <w:rPr>
          <w:rFonts w:cs="Times New Roman"/>
          <w:sz w:val="24"/>
          <w:szCs w:val="24"/>
          <w:lang w:eastAsia="pl-PL"/>
        </w:rPr>
        <w:t>.</w:t>
      </w:r>
    </w:p>
    <w:p w14:paraId="31EB4314" w14:textId="3D025A34" w:rsidR="00777916" w:rsidRPr="00833C88" w:rsidRDefault="00777916" w:rsidP="00777916">
      <w:pPr>
        <w:spacing w:line="360" w:lineRule="auto"/>
        <w:jc w:val="both"/>
        <w:rPr>
          <w:rFonts w:cs="Times New Roman"/>
          <w:sz w:val="24"/>
          <w:szCs w:val="24"/>
          <w:vertAlign w:val="superscript"/>
          <w:lang w:eastAsia="pl-PL"/>
        </w:rPr>
      </w:pPr>
      <w:r w:rsidRPr="00833C88">
        <w:rPr>
          <w:rFonts w:cs="Times New Roman"/>
          <w:sz w:val="24"/>
          <w:szCs w:val="24"/>
          <w:lang w:eastAsia="pl-PL"/>
        </w:rPr>
        <w:t>Gospodarka odpadami pozwala zredukować ilość niewykorzystanych odpadów. W celu obsługi tych procesów powstały systemy informacyjne wspierające planowanie gospodarki odpadami, pozyskiwanie odpadów, naliczanie opłat, składowanie odpadów czy utylizację odpadów. Systemy wspomagają identyfikację rodzajów odpadów, lokalizacji czy klientów co</w:t>
      </w:r>
      <w:r w:rsidR="00C46EFC" w:rsidRPr="00833C88">
        <w:rPr>
          <w:rFonts w:cs="Times New Roman"/>
          <w:sz w:val="24"/>
          <w:szCs w:val="24"/>
          <w:lang w:eastAsia="pl-PL"/>
        </w:rPr>
        <w:t> </w:t>
      </w:r>
      <w:r w:rsidRPr="00833C88">
        <w:rPr>
          <w:rFonts w:cs="Times New Roman"/>
          <w:sz w:val="24"/>
          <w:szCs w:val="24"/>
          <w:lang w:eastAsia="pl-PL"/>
        </w:rPr>
        <w:t>pozwala na zarządzanie odpadami oraz generowanie raportów o liczbie i lokalizacji odpadów jak również wspomagają obsługę księgową podmiotów zaangażowanych w gospodarkę odpadami.</w:t>
      </w:r>
      <w:r w:rsidR="003E3C16" w:rsidRPr="00833C88">
        <w:rPr>
          <w:rStyle w:val="Odwoanieprzypisudolnego"/>
          <w:rFonts w:cs="Times New Roman"/>
          <w:sz w:val="24"/>
          <w:szCs w:val="24"/>
          <w:lang w:eastAsia="pl-PL"/>
        </w:rPr>
        <w:footnoteReference w:id="102"/>
      </w:r>
      <w:r w:rsidR="00711603" w:rsidRPr="00833C88">
        <w:rPr>
          <w:rFonts w:cs="Times New Roman"/>
          <w:sz w:val="24"/>
          <w:szCs w:val="24"/>
          <w:vertAlign w:val="superscript"/>
          <w:lang w:eastAsia="pl-PL"/>
        </w:rPr>
        <w:t>)</w:t>
      </w:r>
    </w:p>
    <w:p w14:paraId="2901C99C" w14:textId="760B5624" w:rsidR="00A66576" w:rsidRPr="00833C88" w:rsidRDefault="00777916" w:rsidP="00777916">
      <w:pPr>
        <w:spacing w:line="360" w:lineRule="auto"/>
        <w:jc w:val="both"/>
        <w:rPr>
          <w:rFonts w:cs="Times New Roman"/>
          <w:sz w:val="24"/>
          <w:szCs w:val="24"/>
          <w:lang w:eastAsia="pl-PL"/>
        </w:rPr>
      </w:pPr>
      <w:r w:rsidRPr="00833C88">
        <w:rPr>
          <w:rFonts w:cs="Times New Roman"/>
          <w:sz w:val="24"/>
          <w:szCs w:val="24"/>
          <w:lang w:eastAsia="pl-PL"/>
        </w:rPr>
        <w:t>Incydent dotyczący systemów informacyjnych służących</w:t>
      </w:r>
      <w:r w:rsidR="003F20D7" w:rsidRPr="00833C88">
        <w:rPr>
          <w:rFonts w:cs="Times New Roman"/>
          <w:sz w:val="24"/>
          <w:szCs w:val="24"/>
          <w:lang w:eastAsia="pl-PL"/>
        </w:rPr>
        <w:t xml:space="preserve"> gospodarce odpadami może utrudnić sprawne zbieranie</w:t>
      </w:r>
      <w:r w:rsidR="00FE7B87" w:rsidRPr="00833C88">
        <w:rPr>
          <w:rFonts w:cs="Times New Roman"/>
          <w:sz w:val="24"/>
          <w:szCs w:val="24"/>
          <w:lang w:eastAsia="pl-PL"/>
        </w:rPr>
        <w:t xml:space="preserve"> odpadów czy ich segregację co negatywnie wpłynie na środowisko</w:t>
      </w:r>
      <w:r w:rsidR="003E3C16" w:rsidRPr="00833C88">
        <w:rPr>
          <w:rFonts w:cs="Times New Roman"/>
          <w:sz w:val="24"/>
          <w:szCs w:val="24"/>
          <w:lang w:eastAsia="pl-PL"/>
        </w:rPr>
        <w:t xml:space="preserve">. </w:t>
      </w:r>
    </w:p>
    <w:p w14:paraId="340E638D" w14:textId="7070F9F5" w:rsidR="00CF0F92" w:rsidRPr="00833C88" w:rsidRDefault="00F41815" w:rsidP="000650EC">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3.1 </w:t>
      </w:r>
      <w:r w:rsidR="00CF0F92" w:rsidRPr="00833C88">
        <w:rPr>
          <w:rFonts w:cs="Times New Roman"/>
          <w:sz w:val="24"/>
          <w:szCs w:val="24"/>
          <w:lang w:eastAsia="pl-PL"/>
        </w:rPr>
        <w:t xml:space="preserve">Podsektor </w:t>
      </w:r>
      <w:r w:rsidR="00BF433F" w:rsidRPr="00833C88">
        <w:rPr>
          <w:rFonts w:cs="Times New Roman"/>
          <w:sz w:val="24"/>
          <w:szCs w:val="24"/>
          <w:lang w:eastAsia="pl-PL"/>
        </w:rPr>
        <w:t>Zbieranie odpadów</w:t>
      </w:r>
      <w:r w:rsidR="00CC72D8" w:rsidRPr="00833C88">
        <w:rPr>
          <w:rFonts w:cs="Times New Roman"/>
          <w:sz w:val="24"/>
          <w:szCs w:val="24"/>
          <w:lang w:eastAsia="pl-PL"/>
        </w:rPr>
        <w:t xml:space="preserve"> obejmuje:</w:t>
      </w:r>
    </w:p>
    <w:p w14:paraId="56E91E60" w14:textId="7E4D748E" w:rsidR="00BF433F" w:rsidRPr="00833C88" w:rsidRDefault="00BF433F">
      <w:pPr>
        <w:pStyle w:val="Akapitzlist"/>
        <w:numPr>
          <w:ilvl w:val="0"/>
          <w:numId w:val="49"/>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Przedsiębiorstwa świadczące usługi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odpadac</w:t>
      </w:r>
      <w:r w:rsidR="00102030" w:rsidRPr="00833C88">
        <w:rPr>
          <w:rFonts w:cs="Times New Roman"/>
          <w:sz w:val="24"/>
          <w:szCs w:val="24"/>
          <w:lang w:eastAsia="pl-PL"/>
        </w:rPr>
        <w:t>h</w:t>
      </w:r>
      <w:r w:rsidRPr="00833C88">
        <w:rPr>
          <w:rFonts w:cs="Times New Roman"/>
          <w:sz w:val="24"/>
          <w:szCs w:val="24"/>
          <w:lang w:eastAsia="pl-PL"/>
        </w:rPr>
        <w:t xml:space="preserve">, polegające na zbieraniu odpadów, zobowiązane do uzyskania wpisu </w:t>
      </w:r>
      <w:r w:rsidR="00601933" w:rsidRPr="00833C88">
        <w:rPr>
          <w:rFonts w:cs="Times New Roman"/>
          <w:sz w:val="24"/>
          <w:szCs w:val="24"/>
          <w:lang w:eastAsia="pl-PL"/>
        </w:rPr>
        <w:t>w </w:t>
      </w:r>
      <w:r w:rsidRPr="00833C88">
        <w:rPr>
          <w:rFonts w:cs="Times New Roman"/>
          <w:sz w:val="24"/>
          <w:szCs w:val="24"/>
          <w:lang w:eastAsia="pl-PL"/>
        </w:rPr>
        <w:t xml:space="preserve">rejestrze,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49 ust. 1 ustawy </w:t>
      </w:r>
      <w:r w:rsidR="00EB552C" w:rsidRPr="00833C88">
        <w:rPr>
          <w:rFonts w:cs="Times New Roman"/>
          <w:sz w:val="24"/>
          <w:szCs w:val="24"/>
          <w:lang w:eastAsia="pl-PL"/>
        </w:rPr>
        <w:t>z dnia 14 grudnia 2012</w:t>
      </w:r>
      <w:r w:rsidR="00C46EFC" w:rsidRPr="00833C88">
        <w:rPr>
          <w:rFonts w:cs="Times New Roman"/>
          <w:sz w:val="24"/>
          <w:szCs w:val="24"/>
          <w:lang w:eastAsia="pl-PL"/>
        </w:rPr>
        <w:t> </w:t>
      </w:r>
      <w:r w:rsidR="00EB552C" w:rsidRPr="00833C88">
        <w:rPr>
          <w:rFonts w:cs="Times New Roman"/>
          <w:sz w:val="24"/>
          <w:szCs w:val="24"/>
          <w:lang w:eastAsia="pl-PL"/>
        </w:rPr>
        <w:t xml:space="preserve">r. </w:t>
      </w:r>
      <w:r w:rsidR="00601933" w:rsidRPr="00833C88">
        <w:rPr>
          <w:rFonts w:cs="Times New Roman"/>
          <w:sz w:val="24"/>
          <w:szCs w:val="24"/>
          <w:lang w:eastAsia="pl-PL"/>
        </w:rPr>
        <w:t>o </w:t>
      </w:r>
      <w:r w:rsidRPr="00833C88">
        <w:rPr>
          <w:rFonts w:cs="Times New Roman"/>
          <w:sz w:val="24"/>
          <w:szCs w:val="24"/>
          <w:lang w:eastAsia="pl-PL"/>
        </w:rPr>
        <w:t xml:space="preserve">odpadach, </w:t>
      </w:r>
      <w:r w:rsidR="00601933" w:rsidRPr="00833C88">
        <w:rPr>
          <w:rFonts w:cs="Times New Roman"/>
          <w:sz w:val="24"/>
          <w:szCs w:val="24"/>
          <w:lang w:eastAsia="pl-PL"/>
        </w:rPr>
        <w:t>z </w:t>
      </w:r>
      <w:r w:rsidRPr="00833C88">
        <w:rPr>
          <w:rFonts w:cs="Times New Roman"/>
          <w:sz w:val="24"/>
          <w:szCs w:val="24"/>
          <w:lang w:eastAsia="pl-PL"/>
        </w:rPr>
        <w:t xml:space="preserve">wyłączeniem przedsiębiorstw, dla których usługi te nie stanowią podstawowej działalności gospodarczej określonej zgodnie </w:t>
      </w:r>
      <w:r w:rsidR="00601933" w:rsidRPr="00833C88">
        <w:rPr>
          <w:rFonts w:cs="Times New Roman"/>
          <w:sz w:val="24"/>
          <w:szCs w:val="24"/>
          <w:lang w:eastAsia="pl-PL"/>
        </w:rPr>
        <w:t>z </w:t>
      </w:r>
      <w:r w:rsidRPr="00833C88">
        <w:rPr>
          <w:rFonts w:cs="Times New Roman"/>
          <w:sz w:val="24"/>
          <w:szCs w:val="24"/>
          <w:lang w:eastAsia="pl-PL"/>
        </w:rPr>
        <w:t xml:space="preserve">przepisami wydanymi na podstawie art. 40 ust. 2 ustawy </w:t>
      </w:r>
      <w:r w:rsidR="00601933" w:rsidRPr="00833C88">
        <w:rPr>
          <w:rFonts w:cs="Times New Roman"/>
          <w:sz w:val="24"/>
          <w:szCs w:val="24"/>
          <w:lang w:eastAsia="pl-PL"/>
        </w:rPr>
        <w:t>z </w:t>
      </w:r>
      <w:r w:rsidRPr="00833C88">
        <w:rPr>
          <w:rFonts w:cs="Times New Roman"/>
          <w:sz w:val="24"/>
          <w:szCs w:val="24"/>
          <w:lang w:eastAsia="pl-PL"/>
        </w:rPr>
        <w:t xml:space="preserve">dnia 29 czerwca 1995 r. </w:t>
      </w:r>
      <w:r w:rsidR="00601933" w:rsidRPr="00833C88">
        <w:rPr>
          <w:rFonts w:cs="Times New Roman"/>
          <w:sz w:val="24"/>
          <w:szCs w:val="24"/>
          <w:lang w:eastAsia="pl-PL"/>
        </w:rPr>
        <w:t>o </w:t>
      </w:r>
      <w:r w:rsidRPr="00833C88">
        <w:rPr>
          <w:rFonts w:cs="Times New Roman"/>
          <w:sz w:val="24"/>
          <w:szCs w:val="24"/>
          <w:lang w:eastAsia="pl-PL"/>
        </w:rPr>
        <w:t>statystyce publicznej (Dz.</w:t>
      </w:r>
      <w:r w:rsidR="00C46EFC" w:rsidRPr="00833C88">
        <w:rPr>
          <w:rFonts w:cs="Times New Roman"/>
          <w:sz w:val="24"/>
          <w:szCs w:val="24"/>
          <w:lang w:eastAsia="pl-PL"/>
        </w:rPr>
        <w:t> </w:t>
      </w:r>
      <w:r w:rsidRPr="00833C88">
        <w:rPr>
          <w:rFonts w:cs="Times New Roman"/>
          <w:sz w:val="24"/>
          <w:szCs w:val="24"/>
          <w:lang w:eastAsia="pl-PL"/>
        </w:rPr>
        <w:t xml:space="preserve">U. </w:t>
      </w:r>
      <w:r w:rsidR="00601933" w:rsidRPr="00833C88">
        <w:rPr>
          <w:rFonts w:cs="Times New Roman"/>
          <w:sz w:val="24"/>
          <w:szCs w:val="24"/>
          <w:lang w:eastAsia="pl-PL"/>
        </w:rPr>
        <w:t>z </w:t>
      </w:r>
      <w:r w:rsidRPr="00833C88">
        <w:rPr>
          <w:rFonts w:cs="Times New Roman"/>
          <w:sz w:val="24"/>
          <w:szCs w:val="24"/>
          <w:lang w:eastAsia="pl-PL"/>
        </w:rPr>
        <w:t>202</w:t>
      </w:r>
      <w:r w:rsidR="008C2A9E" w:rsidRPr="00833C88">
        <w:rPr>
          <w:rFonts w:cs="Times New Roman"/>
          <w:sz w:val="24"/>
          <w:szCs w:val="24"/>
          <w:lang w:eastAsia="pl-PL"/>
        </w:rPr>
        <w:t>4</w:t>
      </w:r>
      <w:r w:rsidRPr="00833C88">
        <w:rPr>
          <w:rFonts w:cs="Times New Roman"/>
          <w:sz w:val="24"/>
          <w:szCs w:val="24"/>
          <w:lang w:eastAsia="pl-PL"/>
        </w:rPr>
        <w:t xml:space="preserve"> r. poz.</w:t>
      </w:r>
      <w:r w:rsidR="008C2A9E" w:rsidRPr="00833C88">
        <w:rPr>
          <w:rFonts w:cs="Times New Roman"/>
          <w:sz w:val="24"/>
          <w:szCs w:val="24"/>
          <w:lang w:eastAsia="pl-PL"/>
        </w:rPr>
        <w:t xml:space="preserve"> 1799</w:t>
      </w:r>
      <w:r w:rsidRPr="00833C88">
        <w:rPr>
          <w:rFonts w:cs="Times New Roman"/>
          <w:sz w:val="24"/>
          <w:szCs w:val="24"/>
          <w:lang w:eastAsia="pl-PL"/>
        </w:rPr>
        <w:t>).</w:t>
      </w:r>
    </w:p>
    <w:p w14:paraId="6696D8B7" w14:textId="1A172FDE" w:rsidR="00A77514" w:rsidRPr="00833C88" w:rsidRDefault="00A77514" w:rsidP="008C2A9E">
      <w:pPr>
        <w:spacing w:line="360" w:lineRule="auto"/>
        <w:jc w:val="both"/>
        <w:rPr>
          <w:rFonts w:cs="Times New Roman"/>
          <w:sz w:val="24"/>
          <w:szCs w:val="24"/>
          <w:lang w:eastAsia="pl-PL"/>
        </w:rPr>
      </w:pPr>
      <w:r w:rsidRPr="00833C88">
        <w:rPr>
          <w:rFonts w:cs="Times New Roman"/>
          <w:sz w:val="24"/>
          <w:szCs w:val="24"/>
          <w:lang w:eastAsia="pl-PL"/>
        </w:rPr>
        <w:lastRenderedPageBreak/>
        <w:t xml:space="preserve">Zbieranie odpadów to </w:t>
      </w:r>
      <w:r w:rsidR="00846426" w:rsidRPr="00833C88">
        <w:rPr>
          <w:rFonts w:cs="Times New Roman"/>
          <w:sz w:val="24"/>
          <w:szCs w:val="24"/>
          <w:lang w:eastAsia="pl-PL"/>
        </w:rPr>
        <w:t xml:space="preserve">gromadzenie odpadów przed ich transportem do miejsc przetwarzania, </w:t>
      </w:r>
      <w:r w:rsidR="00601933" w:rsidRPr="00833C88">
        <w:rPr>
          <w:rFonts w:cs="Times New Roman"/>
          <w:sz w:val="24"/>
          <w:szCs w:val="24"/>
          <w:lang w:eastAsia="pl-PL"/>
        </w:rPr>
        <w:t>w </w:t>
      </w:r>
      <w:r w:rsidR="00846426" w:rsidRPr="00833C88">
        <w:rPr>
          <w:rFonts w:cs="Times New Roman"/>
          <w:sz w:val="24"/>
          <w:szCs w:val="24"/>
          <w:lang w:eastAsia="pl-PL"/>
        </w:rPr>
        <w:t xml:space="preserve">tym wstępne sortowanie nieprowadzące do zasadniczej zmiany charakteru </w:t>
      </w:r>
      <w:r w:rsidR="00601933" w:rsidRPr="00833C88">
        <w:rPr>
          <w:rFonts w:cs="Times New Roman"/>
          <w:sz w:val="24"/>
          <w:szCs w:val="24"/>
          <w:lang w:eastAsia="pl-PL"/>
        </w:rPr>
        <w:t>i </w:t>
      </w:r>
      <w:r w:rsidR="00846426" w:rsidRPr="00833C88">
        <w:rPr>
          <w:rFonts w:cs="Times New Roman"/>
          <w:sz w:val="24"/>
          <w:szCs w:val="24"/>
          <w:lang w:eastAsia="pl-PL"/>
        </w:rPr>
        <w:t xml:space="preserve">składu odpadów </w:t>
      </w:r>
      <w:r w:rsidR="00601933" w:rsidRPr="00833C88">
        <w:rPr>
          <w:rFonts w:cs="Times New Roman"/>
          <w:sz w:val="24"/>
          <w:szCs w:val="24"/>
          <w:lang w:eastAsia="pl-PL"/>
        </w:rPr>
        <w:t>i </w:t>
      </w:r>
      <w:r w:rsidR="00846426" w:rsidRPr="00833C88">
        <w:rPr>
          <w:rFonts w:cs="Times New Roman"/>
          <w:sz w:val="24"/>
          <w:szCs w:val="24"/>
          <w:lang w:eastAsia="pl-PL"/>
        </w:rPr>
        <w:t>niepowodujące zmiany klasyfikacji odpadów oraz tymczasowe magazynowanie odpadów</w:t>
      </w:r>
      <w:r w:rsidR="00C230DE" w:rsidRPr="00833C88">
        <w:rPr>
          <w:rFonts w:cs="Times New Roman"/>
          <w:sz w:val="24"/>
          <w:szCs w:val="24"/>
          <w:lang w:eastAsia="pl-PL"/>
        </w:rPr>
        <w:t>.</w:t>
      </w:r>
    </w:p>
    <w:p w14:paraId="0E017324" w14:textId="393213C8" w:rsidR="00CF0F92" w:rsidRPr="00833C88" w:rsidRDefault="00F41815" w:rsidP="008C2A9E">
      <w:pPr>
        <w:pStyle w:val="Nagwek5"/>
        <w:numPr>
          <w:ilvl w:val="0"/>
          <w:numId w:val="0"/>
        </w:numPr>
        <w:spacing w:before="0" w:after="120" w:line="360" w:lineRule="auto"/>
        <w:ind w:left="720" w:hanging="360"/>
        <w:jc w:val="both"/>
        <w:rPr>
          <w:rFonts w:cs="Times New Roman"/>
          <w:sz w:val="24"/>
          <w:szCs w:val="24"/>
          <w:lang w:eastAsia="pl-PL"/>
        </w:rPr>
      </w:pPr>
      <w:r w:rsidRPr="00833C88">
        <w:rPr>
          <w:rFonts w:cs="Times New Roman"/>
          <w:sz w:val="24"/>
          <w:szCs w:val="24"/>
          <w:lang w:eastAsia="pl-PL"/>
        </w:rPr>
        <w:t xml:space="preserve">3.2 </w:t>
      </w:r>
      <w:r w:rsidR="00CF0F92" w:rsidRPr="00833C88">
        <w:rPr>
          <w:rFonts w:cs="Times New Roman"/>
          <w:sz w:val="24"/>
          <w:szCs w:val="24"/>
          <w:lang w:eastAsia="pl-PL"/>
        </w:rPr>
        <w:t xml:space="preserve">Podsektor </w:t>
      </w:r>
      <w:r w:rsidR="00BF433F" w:rsidRPr="00833C88">
        <w:rPr>
          <w:rFonts w:cs="Times New Roman"/>
          <w:sz w:val="24"/>
          <w:szCs w:val="24"/>
          <w:lang w:eastAsia="pl-PL"/>
        </w:rPr>
        <w:t>Transport odpadów</w:t>
      </w:r>
      <w:r w:rsidR="00CC72D8" w:rsidRPr="00833C88">
        <w:rPr>
          <w:rFonts w:cs="Times New Roman"/>
          <w:sz w:val="24"/>
          <w:szCs w:val="24"/>
          <w:lang w:eastAsia="pl-PL"/>
        </w:rPr>
        <w:t xml:space="preserve"> obejmuje:</w:t>
      </w:r>
    </w:p>
    <w:p w14:paraId="01DE2AE9" w14:textId="686894A7" w:rsidR="00BF433F" w:rsidRPr="00833C88" w:rsidRDefault="00BF433F">
      <w:pPr>
        <w:pStyle w:val="Akapitzlist"/>
        <w:numPr>
          <w:ilvl w:val="0"/>
          <w:numId w:val="50"/>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Przedsiębiorstwa świadczące usługi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 xml:space="preserve">odpadach, polegające na transporcie odpadów, zobowiązane do uzyskania wpisu </w:t>
      </w:r>
      <w:r w:rsidR="00601933" w:rsidRPr="00833C88">
        <w:rPr>
          <w:rFonts w:cs="Times New Roman"/>
          <w:sz w:val="24"/>
          <w:szCs w:val="24"/>
          <w:lang w:eastAsia="pl-PL"/>
        </w:rPr>
        <w:t>w </w:t>
      </w:r>
      <w:r w:rsidRPr="00833C88">
        <w:rPr>
          <w:rFonts w:cs="Times New Roman"/>
          <w:sz w:val="24"/>
          <w:szCs w:val="24"/>
          <w:lang w:eastAsia="pl-PL"/>
        </w:rPr>
        <w:t xml:space="preserve">rejestrze,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49 ust. 1 ustawy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 xml:space="preserve">odpadach, </w:t>
      </w:r>
      <w:r w:rsidR="00601933" w:rsidRPr="00833C88">
        <w:rPr>
          <w:rFonts w:cs="Times New Roman"/>
          <w:sz w:val="24"/>
          <w:szCs w:val="24"/>
          <w:lang w:eastAsia="pl-PL"/>
        </w:rPr>
        <w:t>z </w:t>
      </w:r>
      <w:r w:rsidRPr="00833C88">
        <w:rPr>
          <w:rFonts w:cs="Times New Roman"/>
          <w:sz w:val="24"/>
          <w:szCs w:val="24"/>
          <w:lang w:eastAsia="pl-PL"/>
        </w:rPr>
        <w:t xml:space="preserve">wyłączeniem przedsiębiorstw, dla których usługi te nie stanowią podstawowej działalności gospodarczej określonej zgodnie </w:t>
      </w:r>
      <w:r w:rsidR="00601933" w:rsidRPr="00833C88">
        <w:rPr>
          <w:rFonts w:cs="Times New Roman"/>
          <w:sz w:val="24"/>
          <w:szCs w:val="24"/>
          <w:lang w:eastAsia="pl-PL"/>
        </w:rPr>
        <w:t>z </w:t>
      </w:r>
      <w:r w:rsidRPr="00833C88">
        <w:rPr>
          <w:rFonts w:cs="Times New Roman"/>
          <w:sz w:val="24"/>
          <w:szCs w:val="24"/>
          <w:lang w:eastAsia="pl-PL"/>
        </w:rPr>
        <w:t xml:space="preserve">przepisami wydanymi na podstawie art. 40 ust. 2 ustawy </w:t>
      </w:r>
      <w:r w:rsidR="00601933" w:rsidRPr="00833C88">
        <w:rPr>
          <w:rFonts w:cs="Times New Roman"/>
          <w:sz w:val="24"/>
          <w:szCs w:val="24"/>
          <w:lang w:eastAsia="pl-PL"/>
        </w:rPr>
        <w:t>z </w:t>
      </w:r>
      <w:r w:rsidRPr="00833C88">
        <w:rPr>
          <w:rFonts w:cs="Times New Roman"/>
          <w:sz w:val="24"/>
          <w:szCs w:val="24"/>
          <w:lang w:eastAsia="pl-PL"/>
        </w:rPr>
        <w:t xml:space="preserve">dnia 29 czerwca 1995 r. </w:t>
      </w:r>
      <w:r w:rsidR="00601933" w:rsidRPr="00833C88">
        <w:rPr>
          <w:rFonts w:cs="Times New Roman"/>
          <w:sz w:val="24"/>
          <w:szCs w:val="24"/>
          <w:lang w:eastAsia="pl-PL"/>
        </w:rPr>
        <w:t>o </w:t>
      </w:r>
      <w:r w:rsidRPr="00833C88">
        <w:rPr>
          <w:rFonts w:cs="Times New Roman"/>
          <w:sz w:val="24"/>
          <w:szCs w:val="24"/>
          <w:lang w:eastAsia="pl-PL"/>
        </w:rPr>
        <w:t>statystyce publicznej.</w:t>
      </w:r>
    </w:p>
    <w:p w14:paraId="22BE55E4" w14:textId="512DA929" w:rsidR="00CF0F92" w:rsidRPr="00833C88" w:rsidRDefault="00F41815" w:rsidP="008C2A9E">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3.3 </w:t>
      </w:r>
      <w:r w:rsidR="00CF0F92" w:rsidRPr="00833C88">
        <w:rPr>
          <w:rFonts w:cs="Times New Roman"/>
          <w:sz w:val="24"/>
          <w:szCs w:val="24"/>
          <w:lang w:eastAsia="pl-PL"/>
        </w:rPr>
        <w:t xml:space="preserve">Podsektor </w:t>
      </w:r>
      <w:r w:rsidR="00BF433F" w:rsidRPr="00833C88">
        <w:rPr>
          <w:rFonts w:cs="Times New Roman"/>
          <w:sz w:val="24"/>
          <w:szCs w:val="24"/>
          <w:lang w:eastAsia="pl-PL"/>
        </w:rPr>
        <w:t xml:space="preserve">Przetwarzanie odpadów, </w:t>
      </w:r>
      <w:r w:rsidR="00601933" w:rsidRPr="00833C88">
        <w:rPr>
          <w:rFonts w:cs="Times New Roman"/>
          <w:sz w:val="24"/>
          <w:szCs w:val="24"/>
          <w:lang w:eastAsia="pl-PL"/>
        </w:rPr>
        <w:t>w </w:t>
      </w:r>
      <w:r w:rsidR="00BF433F" w:rsidRPr="00833C88">
        <w:rPr>
          <w:rFonts w:cs="Times New Roman"/>
          <w:sz w:val="24"/>
          <w:szCs w:val="24"/>
          <w:lang w:eastAsia="pl-PL"/>
        </w:rPr>
        <w:t xml:space="preserve">tym sortowanie, wraz </w:t>
      </w:r>
      <w:r w:rsidR="00601933" w:rsidRPr="00833C88">
        <w:rPr>
          <w:rFonts w:cs="Times New Roman"/>
          <w:sz w:val="24"/>
          <w:szCs w:val="24"/>
          <w:lang w:eastAsia="pl-PL"/>
        </w:rPr>
        <w:t>z </w:t>
      </w:r>
      <w:r w:rsidR="00BF433F" w:rsidRPr="00833C88">
        <w:rPr>
          <w:rFonts w:cs="Times New Roman"/>
          <w:sz w:val="24"/>
          <w:szCs w:val="24"/>
          <w:lang w:eastAsia="pl-PL"/>
        </w:rPr>
        <w:t xml:space="preserve">nadzorem nad wymienionymi działaniami, </w:t>
      </w:r>
      <w:r w:rsidR="00601933" w:rsidRPr="00833C88">
        <w:rPr>
          <w:rFonts w:cs="Times New Roman"/>
          <w:sz w:val="24"/>
          <w:szCs w:val="24"/>
          <w:lang w:eastAsia="pl-PL"/>
        </w:rPr>
        <w:t>a </w:t>
      </w:r>
      <w:r w:rsidR="00BF433F" w:rsidRPr="00833C88">
        <w:rPr>
          <w:rFonts w:cs="Times New Roman"/>
          <w:sz w:val="24"/>
          <w:szCs w:val="24"/>
          <w:lang w:eastAsia="pl-PL"/>
        </w:rPr>
        <w:t xml:space="preserve">także późniejsze postępowanie </w:t>
      </w:r>
      <w:r w:rsidR="00601933" w:rsidRPr="00833C88">
        <w:rPr>
          <w:rFonts w:cs="Times New Roman"/>
          <w:sz w:val="24"/>
          <w:szCs w:val="24"/>
          <w:lang w:eastAsia="pl-PL"/>
        </w:rPr>
        <w:t>z </w:t>
      </w:r>
      <w:r w:rsidR="00BF433F" w:rsidRPr="00833C88">
        <w:rPr>
          <w:rFonts w:cs="Times New Roman"/>
          <w:sz w:val="24"/>
          <w:szCs w:val="24"/>
          <w:lang w:eastAsia="pl-PL"/>
        </w:rPr>
        <w:t xml:space="preserve">miejscami unieszkodliwiania odpadów </w:t>
      </w:r>
      <w:r w:rsidR="00CC72D8" w:rsidRPr="00833C88">
        <w:rPr>
          <w:rFonts w:cs="Times New Roman"/>
          <w:sz w:val="24"/>
          <w:szCs w:val="24"/>
          <w:lang w:eastAsia="pl-PL"/>
        </w:rPr>
        <w:t>obejmuje:</w:t>
      </w:r>
    </w:p>
    <w:p w14:paraId="483F1DC5" w14:textId="3478A58F" w:rsidR="00BF433F" w:rsidRPr="00833C88" w:rsidRDefault="00BF433F">
      <w:pPr>
        <w:pStyle w:val="Akapitzlist"/>
        <w:numPr>
          <w:ilvl w:val="0"/>
          <w:numId w:val="51"/>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Przedsiębiorstwa świadczące usługi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 xml:space="preserve">odpadach, polegające na przetwarzaniu odpadów </w:t>
      </w:r>
      <w:r w:rsidR="00601933" w:rsidRPr="00833C88">
        <w:rPr>
          <w:rFonts w:cs="Times New Roman"/>
          <w:sz w:val="24"/>
          <w:szCs w:val="24"/>
          <w:lang w:eastAsia="pl-PL"/>
        </w:rPr>
        <w:t>w </w:t>
      </w:r>
      <w:r w:rsidRPr="00833C88">
        <w:rPr>
          <w:rFonts w:cs="Times New Roman"/>
          <w:sz w:val="24"/>
          <w:szCs w:val="24"/>
          <w:lang w:eastAsia="pl-PL"/>
        </w:rPr>
        <w:t xml:space="preserve">tym sortowaniu, wraz </w:t>
      </w:r>
      <w:r w:rsidR="00601933" w:rsidRPr="00833C88">
        <w:rPr>
          <w:rFonts w:cs="Times New Roman"/>
          <w:sz w:val="24"/>
          <w:szCs w:val="24"/>
          <w:lang w:eastAsia="pl-PL"/>
        </w:rPr>
        <w:t>z </w:t>
      </w:r>
      <w:r w:rsidRPr="00833C88">
        <w:rPr>
          <w:rFonts w:cs="Times New Roman"/>
          <w:sz w:val="24"/>
          <w:szCs w:val="24"/>
          <w:lang w:eastAsia="pl-PL"/>
        </w:rPr>
        <w:t xml:space="preserve">nadzorem nad wymienionymi działaniami, </w:t>
      </w:r>
      <w:r w:rsidR="00601933" w:rsidRPr="00833C88">
        <w:rPr>
          <w:rFonts w:cs="Times New Roman"/>
          <w:sz w:val="24"/>
          <w:szCs w:val="24"/>
          <w:lang w:eastAsia="pl-PL"/>
        </w:rPr>
        <w:t>a </w:t>
      </w:r>
      <w:r w:rsidRPr="00833C88">
        <w:rPr>
          <w:rFonts w:cs="Times New Roman"/>
          <w:sz w:val="24"/>
          <w:szCs w:val="24"/>
          <w:lang w:eastAsia="pl-PL"/>
        </w:rPr>
        <w:t xml:space="preserve">także podmioty świadczące usługi </w:t>
      </w:r>
      <w:r w:rsidR="00601933" w:rsidRPr="00833C88">
        <w:rPr>
          <w:rFonts w:cs="Times New Roman"/>
          <w:sz w:val="24"/>
          <w:szCs w:val="24"/>
          <w:lang w:eastAsia="pl-PL"/>
        </w:rPr>
        <w:t>z </w:t>
      </w:r>
      <w:r w:rsidRPr="00833C88">
        <w:rPr>
          <w:rFonts w:cs="Times New Roman"/>
          <w:sz w:val="24"/>
          <w:szCs w:val="24"/>
          <w:lang w:eastAsia="pl-PL"/>
        </w:rPr>
        <w:t xml:space="preserve">późniejszym postępowaniem </w:t>
      </w:r>
      <w:r w:rsidR="00601933" w:rsidRPr="00833C88">
        <w:rPr>
          <w:rFonts w:cs="Times New Roman"/>
          <w:sz w:val="24"/>
          <w:szCs w:val="24"/>
          <w:lang w:eastAsia="pl-PL"/>
        </w:rPr>
        <w:t>z </w:t>
      </w:r>
      <w:r w:rsidRPr="00833C88">
        <w:rPr>
          <w:rFonts w:cs="Times New Roman"/>
          <w:sz w:val="24"/>
          <w:szCs w:val="24"/>
          <w:lang w:eastAsia="pl-PL"/>
        </w:rPr>
        <w:t xml:space="preserve">miejscami unieszkodliwiania odpadów, zobowiązane do uzyskania wpisu </w:t>
      </w:r>
      <w:r w:rsidR="00601933" w:rsidRPr="00833C88">
        <w:rPr>
          <w:rFonts w:cs="Times New Roman"/>
          <w:sz w:val="24"/>
          <w:szCs w:val="24"/>
          <w:lang w:eastAsia="pl-PL"/>
        </w:rPr>
        <w:t>w </w:t>
      </w:r>
      <w:r w:rsidRPr="00833C88">
        <w:rPr>
          <w:rFonts w:cs="Times New Roman"/>
          <w:sz w:val="24"/>
          <w:szCs w:val="24"/>
          <w:lang w:eastAsia="pl-PL"/>
        </w:rPr>
        <w:t xml:space="preserve">rejestrze,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49 ust. 1 ustawy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 xml:space="preserve">odpadach, </w:t>
      </w:r>
      <w:r w:rsidR="00601933" w:rsidRPr="00833C88">
        <w:rPr>
          <w:rFonts w:cs="Times New Roman"/>
          <w:sz w:val="24"/>
          <w:szCs w:val="24"/>
          <w:lang w:eastAsia="pl-PL"/>
        </w:rPr>
        <w:t>z </w:t>
      </w:r>
      <w:r w:rsidRPr="00833C88">
        <w:rPr>
          <w:rFonts w:cs="Times New Roman"/>
          <w:sz w:val="24"/>
          <w:szCs w:val="24"/>
          <w:lang w:eastAsia="pl-PL"/>
        </w:rPr>
        <w:t xml:space="preserve">wyłączeniem przedsiębiorstw, dla których usługi te nie stanowią podstawowej działalności gospodarczej określonej zgodnie </w:t>
      </w:r>
      <w:r w:rsidR="00601933" w:rsidRPr="00833C88">
        <w:rPr>
          <w:rFonts w:cs="Times New Roman"/>
          <w:sz w:val="24"/>
          <w:szCs w:val="24"/>
          <w:lang w:eastAsia="pl-PL"/>
        </w:rPr>
        <w:t>z </w:t>
      </w:r>
      <w:r w:rsidRPr="00833C88">
        <w:rPr>
          <w:rFonts w:cs="Times New Roman"/>
          <w:sz w:val="24"/>
          <w:szCs w:val="24"/>
          <w:lang w:eastAsia="pl-PL"/>
        </w:rPr>
        <w:t xml:space="preserve">przepisami wydanymi na podstawie art. 40 ust. 2 ustawy </w:t>
      </w:r>
      <w:r w:rsidR="00601933" w:rsidRPr="00833C88">
        <w:rPr>
          <w:rFonts w:cs="Times New Roman"/>
          <w:sz w:val="24"/>
          <w:szCs w:val="24"/>
          <w:lang w:eastAsia="pl-PL"/>
        </w:rPr>
        <w:t>z </w:t>
      </w:r>
      <w:r w:rsidRPr="00833C88">
        <w:rPr>
          <w:rFonts w:cs="Times New Roman"/>
          <w:sz w:val="24"/>
          <w:szCs w:val="24"/>
          <w:lang w:eastAsia="pl-PL"/>
        </w:rPr>
        <w:t xml:space="preserve">dnia 29 czerwca 1995 r. </w:t>
      </w:r>
      <w:r w:rsidR="00601933" w:rsidRPr="00833C88">
        <w:rPr>
          <w:rFonts w:cs="Times New Roman"/>
          <w:sz w:val="24"/>
          <w:szCs w:val="24"/>
          <w:lang w:eastAsia="pl-PL"/>
        </w:rPr>
        <w:t>o </w:t>
      </w:r>
      <w:r w:rsidRPr="00833C88">
        <w:rPr>
          <w:rFonts w:cs="Times New Roman"/>
          <w:sz w:val="24"/>
          <w:szCs w:val="24"/>
          <w:lang w:eastAsia="pl-PL"/>
        </w:rPr>
        <w:t>statystyce publicznej.</w:t>
      </w:r>
    </w:p>
    <w:p w14:paraId="1BB5DF52" w14:textId="5FBF6B00" w:rsidR="00CF0F92" w:rsidRPr="00833C88" w:rsidRDefault="00F41815" w:rsidP="008C2A9E">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3.4 </w:t>
      </w:r>
      <w:r w:rsidR="00CC72D8" w:rsidRPr="00833C88">
        <w:rPr>
          <w:rFonts w:cs="Times New Roman"/>
          <w:sz w:val="24"/>
          <w:szCs w:val="24"/>
          <w:lang w:eastAsia="pl-PL"/>
        </w:rPr>
        <w:t>Podsektor d</w:t>
      </w:r>
      <w:r w:rsidR="00BF433F" w:rsidRPr="00833C88">
        <w:rPr>
          <w:rFonts w:cs="Times New Roman"/>
          <w:sz w:val="24"/>
          <w:szCs w:val="24"/>
          <w:lang w:eastAsia="pl-PL"/>
        </w:rPr>
        <w:t xml:space="preserve">ziałania wykonywane </w:t>
      </w:r>
      <w:r w:rsidR="00601933" w:rsidRPr="00833C88">
        <w:rPr>
          <w:rFonts w:cs="Times New Roman"/>
          <w:sz w:val="24"/>
          <w:szCs w:val="24"/>
          <w:lang w:eastAsia="pl-PL"/>
        </w:rPr>
        <w:t>w </w:t>
      </w:r>
      <w:r w:rsidR="00BF433F" w:rsidRPr="00833C88">
        <w:rPr>
          <w:rFonts w:cs="Times New Roman"/>
          <w:sz w:val="24"/>
          <w:szCs w:val="24"/>
          <w:lang w:eastAsia="pl-PL"/>
        </w:rPr>
        <w:t xml:space="preserve">charakterze sprzedawcy odpadów lub pośrednika </w:t>
      </w:r>
      <w:r w:rsidR="00601933" w:rsidRPr="00833C88">
        <w:rPr>
          <w:rFonts w:cs="Times New Roman"/>
          <w:sz w:val="24"/>
          <w:szCs w:val="24"/>
          <w:lang w:eastAsia="pl-PL"/>
        </w:rPr>
        <w:t>w </w:t>
      </w:r>
      <w:r w:rsidR="00BF433F" w:rsidRPr="00833C88">
        <w:rPr>
          <w:rFonts w:cs="Times New Roman"/>
          <w:sz w:val="24"/>
          <w:szCs w:val="24"/>
          <w:lang w:eastAsia="pl-PL"/>
        </w:rPr>
        <w:t>obrocie odpadami</w:t>
      </w:r>
      <w:r w:rsidR="00C230DE" w:rsidRPr="00833C88">
        <w:rPr>
          <w:rFonts w:cs="Times New Roman"/>
          <w:sz w:val="24"/>
          <w:szCs w:val="24"/>
          <w:lang w:eastAsia="pl-PL"/>
        </w:rPr>
        <w:t xml:space="preserve"> obejmuje:</w:t>
      </w:r>
    </w:p>
    <w:p w14:paraId="3FB37F94" w14:textId="284577D9" w:rsidR="00BF433F" w:rsidRPr="00833C88" w:rsidRDefault="00BF433F">
      <w:pPr>
        <w:pStyle w:val="Akapitzlist"/>
        <w:numPr>
          <w:ilvl w:val="0"/>
          <w:numId w:val="52"/>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Przedsiębiorstwa świadczące usługi </w:t>
      </w:r>
      <w:r w:rsidR="00601933" w:rsidRPr="00833C88">
        <w:rPr>
          <w:rFonts w:cs="Times New Roman"/>
          <w:sz w:val="24"/>
          <w:szCs w:val="24"/>
          <w:lang w:eastAsia="pl-PL"/>
        </w:rPr>
        <w:t>w </w:t>
      </w:r>
      <w:r w:rsidRPr="00833C88">
        <w:rPr>
          <w:rFonts w:cs="Times New Roman"/>
          <w:sz w:val="24"/>
          <w:szCs w:val="24"/>
          <w:lang w:eastAsia="pl-PL"/>
        </w:rPr>
        <w:t xml:space="preserve">rozumieniu ustawy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 xml:space="preserve">odpadach, polegające na działaniach wykonywanych </w:t>
      </w:r>
      <w:r w:rsidR="00601933" w:rsidRPr="00833C88">
        <w:rPr>
          <w:rFonts w:cs="Times New Roman"/>
          <w:sz w:val="24"/>
          <w:szCs w:val="24"/>
          <w:lang w:eastAsia="pl-PL"/>
        </w:rPr>
        <w:t>w </w:t>
      </w:r>
      <w:r w:rsidRPr="00833C88">
        <w:rPr>
          <w:rFonts w:cs="Times New Roman"/>
          <w:sz w:val="24"/>
          <w:szCs w:val="24"/>
          <w:lang w:eastAsia="pl-PL"/>
        </w:rPr>
        <w:t xml:space="preserve">charakterze sprzedawcy odpadów lub pośrednika </w:t>
      </w:r>
      <w:r w:rsidR="00601933" w:rsidRPr="00833C88">
        <w:rPr>
          <w:rFonts w:cs="Times New Roman"/>
          <w:sz w:val="24"/>
          <w:szCs w:val="24"/>
          <w:lang w:eastAsia="pl-PL"/>
        </w:rPr>
        <w:t>w </w:t>
      </w:r>
      <w:r w:rsidRPr="00833C88">
        <w:rPr>
          <w:rFonts w:cs="Times New Roman"/>
          <w:sz w:val="24"/>
          <w:szCs w:val="24"/>
          <w:lang w:eastAsia="pl-PL"/>
        </w:rPr>
        <w:t xml:space="preserve">obrocie odpadami, zobowiązane do uzyskania wpisu </w:t>
      </w:r>
      <w:r w:rsidR="00601933" w:rsidRPr="00833C88">
        <w:rPr>
          <w:rFonts w:cs="Times New Roman"/>
          <w:sz w:val="24"/>
          <w:szCs w:val="24"/>
          <w:lang w:eastAsia="pl-PL"/>
        </w:rPr>
        <w:t>w </w:t>
      </w:r>
      <w:r w:rsidRPr="00833C88">
        <w:rPr>
          <w:rFonts w:cs="Times New Roman"/>
          <w:sz w:val="24"/>
          <w:szCs w:val="24"/>
          <w:lang w:eastAsia="pl-PL"/>
        </w:rPr>
        <w:t xml:space="preserve">rejestrze, </w:t>
      </w:r>
      <w:r w:rsidR="00601933" w:rsidRPr="00833C88">
        <w:rPr>
          <w:rFonts w:cs="Times New Roman"/>
          <w:sz w:val="24"/>
          <w:szCs w:val="24"/>
          <w:lang w:eastAsia="pl-PL"/>
        </w:rPr>
        <w:t>o </w:t>
      </w:r>
      <w:r w:rsidRPr="00833C88">
        <w:rPr>
          <w:rFonts w:cs="Times New Roman"/>
          <w:sz w:val="24"/>
          <w:szCs w:val="24"/>
          <w:lang w:eastAsia="pl-PL"/>
        </w:rPr>
        <w:t xml:space="preserve">którym mowa </w:t>
      </w:r>
      <w:r w:rsidR="00601933" w:rsidRPr="00833C88">
        <w:rPr>
          <w:rFonts w:cs="Times New Roman"/>
          <w:sz w:val="24"/>
          <w:szCs w:val="24"/>
          <w:lang w:eastAsia="pl-PL"/>
        </w:rPr>
        <w:t>w </w:t>
      </w:r>
      <w:r w:rsidRPr="00833C88">
        <w:rPr>
          <w:rFonts w:cs="Times New Roman"/>
          <w:sz w:val="24"/>
          <w:szCs w:val="24"/>
          <w:lang w:eastAsia="pl-PL"/>
        </w:rPr>
        <w:t xml:space="preserve">art. 49 ust. 1 ustawy </w:t>
      </w:r>
      <w:r w:rsidR="00601933" w:rsidRPr="00833C88">
        <w:rPr>
          <w:rFonts w:cs="Times New Roman"/>
          <w:sz w:val="24"/>
          <w:szCs w:val="24"/>
          <w:lang w:eastAsia="pl-PL"/>
        </w:rPr>
        <w:t>z </w:t>
      </w:r>
      <w:r w:rsidRPr="00833C88">
        <w:rPr>
          <w:rFonts w:cs="Times New Roman"/>
          <w:sz w:val="24"/>
          <w:szCs w:val="24"/>
          <w:lang w:eastAsia="pl-PL"/>
        </w:rPr>
        <w:t xml:space="preserve">dnia 14 grudnia 2012 r. </w:t>
      </w:r>
      <w:r w:rsidR="00601933" w:rsidRPr="00833C88">
        <w:rPr>
          <w:rFonts w:cs="Times New Roman"/>
          <w:sz w:val="24"/>
          <w:szCs w:val="24"/>
          <w:lang w:eastAsia="pl-PL"/>
        </w:rPr>
        <w:t>o </w:t>
      </w:r>
      <w:r w:rsidRPr="00833C88">
        <w:rPr>
          <w:rFonts w:cs="Times New Roman"/>
          <w:sz w:val="24"/>
          <w:szCs w:val="24"/>
          <w:lang w:eastAsia="pl-PL"/>
        </w:rPr>
        <w:t xml:space="preserve">odpadach, </w:t>
      </w:r>
      <w:r w:rsidR="00601933" w:rsidRPr="00833C88">
        <w:rPr>
          <w:rFonts w:cs="Times New Roman"/>
          <w:sz w:val="24"/>
          <w:szCs w:val="24"/>
          <w:lang w:eastAsia="pl-PL"/>
        </w:rPr>
        <w:t>z </w:t>
      </w:r>
      <w:r w:rsidRPr="00833C88">
        <w:rPr>
          <w:rFonts w:cs="Times New Roman"/>
          <w:sz w:val="24"/>
          <w:szCs w:val="24"/>
          <w:lang w:eastAsia="pl-PL"/>
        </w:rPr>
        <w:t xml:space="preserve">wyłączeniem przedsiębiorstw, dla których usługi te nie stanowią podstawowej działalności gospodarczej określonej zgodnie </w:t>
      </w:r>
      <w:r w:rsidR="00601933" w:rsidRPr="00833C88">
        <w:rPr>
          <w:rFonts w:cs="Times New Roman"/>
          <w:sz w:val="24"/>
          <w:szCs w:val="24"/>
          <w:lang w:eastAsia="pl-PL"/>
        </w:rPr>
        <w:t>z </w:t>
      </w:r>
      <w:r w:rsidRPr="00833C88">
        <w:rPr>
          <w:rFonts w:cs="Times New Roman"/>
          <w:sz w:val="24"/>
          <w:szCs w:val="24"/>
          <w:lang w:eastAsia="pl-PL"/>
        </w:rPr>
        <w:t xml:space="preserve">przepisami wydanymi na podstawie art. 40 ust. 2 ustawy </w:t>
      </w:r>
      <w:r w:rsidR="00601933" w:rsidRPr="00833C88">
        <w:rPr>
          <w:rFonts w:cs="Times New Roman"/>
          <w:sz w:val="24"/>
          <w:szCs w:val="24"/>
          <w:lang w:eastAsia="pl-PL"/>
        </w:rPr>
        <w:t>z </w:t>
      </w:r>
      <w:r w:rsidRPr="00833C88">
        <w:rPr>
          <w:rFonts w:cs="Times New Roman"/>
          <w:sz w:val="24"/>
          <w:szCs w:val="24"/>
          <w:lang w:eastAsia="pl-PL"/>
        </w:rPr>
        <w:t xml:space="preserve">dnia 29 czerwca 1995 r. </w:t>
      </w:r>
      <w:r w:rsidR="00601933" w:rsidRPr="00833C88">
        <w:rPr>
          <w:rFonts w:cs="Times New Roman"/>
          <w:sz w:val="24"/>
          <w:szCs w:val="24"/>
          <w:lang w:eastAsia="pl-PL"/>
        </w:rPr>
        <w:t>o </w:t>
      </w:r>
      <w:r w:rsidRPr="00833C88">
        <w:rPr>
          <w:rFonts w:cs="Times New Roman"/>
          <w:sz w:val="24"/>
          <w:szCs w:val="24"/>
          <w:lang w:eastAsia="pl-PL"/>
        </w:rPr>
        <w:t>statystyce publicznej.</w:t>
      </w:r>
    </w:p>
    <w:p w14:paraId="428FC85C" w14:textId="41589E53" w:rsidR="00142839" w:rsidRPr="00833C88" w:rsidRDefault="00142839" w:rsidP="008C2A9E">
      <w:pPr>
        <w:spacing w:line="360" w:lineRule="auto"/>
        <w:jc w:val="both"/>
        <w:rPr>
          <w:rFonts w:cs="Times New Roman"/>
          <w:sz w:val="24"/>
          <w:szCs w:val="24"/>
          <w:lang w:eastAsia="pl-PL"/>
        </w:rPr>
      </w:pPr>
      <w:r w:rsidRPr="00833C88">
        <w:rPr>
          <w:rFonts w:cs="Times New Roman"/>
          <w:sz w:val="24"/>
          <w:szCs w:val="24"/>
          <w:lang w:eastAsia="pl-PL"/>
        </w:rPr>
        <w:lastRenderedPageBreak/>
        <w:t>Zalegające śmieci są istot</w:t>
      </w:r>
      <w:r w:rsidR="006C60A2" w:rsidRPr="00833C88">
        <w:rPr>
          <w:rFonts w:cs="Times New Roman"/>
          <w:sz w:val="24"/>
          <w:szCs w:val="24"/>
          <w:lang w:eastAsia="pl-PL"/>
        </w:rPr>
        <w:t>n</w:t>
      </w:r>
      <w:r w:rsidRPr="00833C88">
        <w:rPr>
          <w:rFonts w:cs="Times New Roman"/>
          <w:sz w:val="24"/>
          <w:szCs w:val="24"/>
          <w:lang w:eastAsia="pl-PL"/>
        </w:rPr>
        <w:t xml:space="preserve">ym problemem. Wraz </w:t>
      </w:r>
      <w:r w:rsidR="00601933" w:rsidRPr="00833C88">
        <w:rPr>
          <w:rFonts w:cs="Times New Roman"/>
          <w:sz w:val="24"/>
          <w:szCs w:val="24"/>
          <w:lang w:eastAsia="pl-PL"/>
        </w:rPr>
        <w:t>z </w:t>
      </w:r>
      <w:r w:rsidRPr="00833C88">
        <w:rPr>
          <w:rFonts w:cs="Times New Roman"/>
          <w:sz w:val="24"/>
          <w:szCs w:val="24"/>
          <w:lang w:eastAsia="pl-PL"/>
        </w:rPr>
        <w:t>rozwojem gospodarczym powstaje ich coraz więcej, co stanowi realne zagrożenie dla środowiska oraz dla naszego zdrowia.</w:t>
      </w:r>
      <w:r w:rsidR="0076020B" w:rsidRPr="00833C88">
        <w:rPr>
          <w:rFonts w:cs="Times New Roman"/>
          <w:sz w:val="24"/>
          <w:szCs w:val="24"/>
          <w:lang w:eastAsia="pl-PL"/>
        </w:rPr>
        <w:t xml:space="preserve"> </w:t>
      </w:r>
      <w:r w:rsidR="00601933" w:rsidRPr="00833C88">
        <w:rPr>
          <w:rFonts w:cs="Times New Roman"/>
          <w:sz w:val="24"/>
          <w:szCs w:val="24"/>
          <w:lang w:eastAsia="pl-PL"/>
        </w:rPr>
        <w:t>W </w:t>
      </w:r>
      <w:r w:rsidRPr="00833C88">
        <w:rPr>
          <w:rFonts w:cs="Times New Roman"/>
          <w:sz w:val="24"/>
          <w:szCs w:val="24"/>
          <w:lang w:eastAsia="pl-PL"/>
        </w:rPr>
        <w:t xml:space="preserve">szczególności część odpadów ma szczególnie negatywny wpływ na zdrowie czy środowisko </w:t>
      </w:r>
      <w:r w:rsidR="00601933" w:rsidRPr="00833C88">
        <w:rPr>
          <w:rFonts w:cs="Times New Roman"/>
          <w:sz w:val="24"/>
          <w:szCs w:val="24"/>
          <w:lang w:eastAsia="pl-PL"/>
        </w:rPr>
        <w:t>w </w:t>
      </w:r>
      <w:r w:rsidRPr="00833C88">
        <w:rPr>
          <w:rFonts w:cs="Times New Roman"/>
          <w:sz w:val="24"/>
          <w:szCs w:val="24"/>
          <w:lang w:eastAsia="pl-PL"/>
        </w:rPr>
        <w:t xml:space="preserve">związku </w:t>
      </w:r>
      <w:r w:rsidR="00601933" w:rsidRPr="00833C88">
        <w:rPr>
          <w:rFonts w:cs="Times New Roman"/>
          <w:sz w:val="24"/>
          <w:szCs w:val="24"/>
          <w:lang w:eastAsia="pl-PL"/>
        </w:rPr>
        <w:t>z </w:t>
      </w:r>
      <w:r w:rsidRPr="00833C88">
        <w:rPr>
          <w:rFonts w:cs="Times New Roman"/>
          <w:sz w:val="24"/>
          <w:szCs w:val="24"/>
          <w:lang w:eastAsia="pl-PL"/>
        </w:rPr>
        <w:t xml:space="preserve">czym konieczne jest zabezpieczenie tego sektora. </w:t>
      </w:r>
    </w:p>
    <w:p w14:paraId="6E073CCB" w14:textId="0FBC9ADB" w:rsidR="00B831F0" w:rsidRPr="00833C88" w:rsidRDefault="00B831F0">
      <w:pPr>
        <w:pStyle w:val="Nagwek4"/>
        <w:numPr>
          <w:ilvl w:val="0"/>
          <w:numId w:val="67"/>
        </w:numPr>
        <w:spacing w:before="0" w:after="120" w:line="360" w:lineRule="auto"/>
        <w:jc w:val="both"/>
        <w:rPr>
          <w:rFonts w:cs="Times New Roman"/>
          <w:sz w:val="24"/>
          <w:szCs w:val="24"/>
          <w:lang w:eastAsia="pl-PL"/>
        </w:rPr>
      </w:pPr>
      <w:r w:rsidRPr="00833C88">
        <w:rPr>
          <w:rFonts w:cs="Times New Roman"/>
          <w:sz w:val="24"/>
          <w:szCs w:val="24"/>
          <w:lang w:eastAsia="pl-PL"/>
        </w:rPr>
        <w:t xml:space="preserve">Produkcja, wytwarzanie </w:t>
      </w:r>
      <w:r w:rsidR="00601933" w:rsidRPr="00833C88">
        <w:rPr>
          <w:rFonts w:cs="Times New Roman"/>
          <w:sz w:val="24"/>
          <w:szCs w:val="24"/>
          <w:lang w:eastAsia="pl-PL"/>
        </w:rPr>
        <w:t>i </w:t>
      </w:r>
      <w:r w:rsidRPr="00833C88">
        <w:rPr>
          <w:rFonts w:cs="Times New Roman"/>
          <w:sz w:val="24"/>
          <w:szCs w:val="24"/>
          <w:lang w:eastAsia="pl-PL"/>
        </w:rPr>
        <w:t>dystrybucja chemikaliów</w:t>
      </w:r>
    </w:p>
    <w:p w14:paraId="3402CF8A" w14:textId="1A8CD937" w:rsidR="001569DC" w:rsidRPr="00833C88" w:rsidRDefault="00A6401C" w:rsidP="008C2A9E">
      <w:pPr>
        <w:spacing w:line="360" w:lineRule="auto"/>
        <w:jc w:val="both"/>
        <w:rPr>
          <w:rFonts w:cs="Times New Roman"/>
          <w:sz w:val="24"/>
          <w:szCs w:val="24"/>
          <w:lang w:eastAsia="pl-PL"/>
        </w:rPr>
      </w:pPr>
      <w:r w:rsidRPr="00833C88">
        <w:rPr>
          <w:rFonts w:cs="Times New Roman"/>
          <w:sz w:val="24"/>
          <w:szCs w:val="24"/>
          <w:lang w:eastAsia="pl-PL"/>
        </w:rPr>
        <w:t xml:space="preserve">Chemikalia są wykorzystywane przez wiele </w:t>
      </w:r>
      <w:r w:rsidR="00192CED" w:rsidRPr="00833C88">
        <w:rPr>
          <w:rFonts w:cs="Times New Roman"/>
          <w:sz w:val="24"/>
          <w:szCs w:val="24"/>
          <w:lang w:eastAsia="pl-PL"/>
        </w:rPr>
        <w:t xml:space="preserve">sektorów gospodarki oraz społeczeństwo. </w:t>
      </w:r>
      <w:r w:rsidR="00601933" w:rsidRPr="00833C88">
        <w:rPr>
          <w:rFonts w:cs="Times New Roman"/>
          <w:sz w:val="24"/>
          <w:szCs w:val="24"/>
          <w:lang w:eastAsia="pl-PL"/>
        </w:rPr>
        <w:t>W </w:t>
      </w:r>
      <w:r w:rsidR="00C76DB3" w:rsidRPr="00833C88">
        <w:rPr>
          <w:rFonts w:cs="Times New Roman"/>
          <w:sz w:val="24"/>
          <w:szCs w:val="24"/>
          <w:lang w:eastAsia="pl-PL"/>
        </w:rPr>
        <w:t>tym kontekście ważne jest zapewnienie ciągłości łańcuchów dostaw chemikaliów. Incydent</w:t>
      </w:r>
      <w:r w:rsidR="00D66735" w:rsidRPr="00833C88">
        <w:rPr>
          <w:rFonts w:cs="Times New Roman"/>
          <w:sz w:val="24"/>
          <w:szCs w:val="24"/>
          <w:lang w:eastAsia="pl-PL"/>
        </w:rPr>
        <w:t> </w:t>
      </w:r>
      <w:r w:rsidR="00601933" w:rsidRPr="00833C88">
        <w:rPr>
          <w:rFonts w:cs="Times New Roman"/>
          <w:sz w:val="24"/>
          <w:szCs w:val="24"/>
          <w:lang w:eastAsia="pl-PL"/>
        </w:rPr>
        <w:t>w </w:t>
      </w:r>
      <w:r w:rsidR="00E03BE8" w:rsidRPr="00833C88">
        <w:rPr>
          <w:rFonts w:cs="Times New Roman"/>
          <w:sz w:val="24"/>
          <w:szCs w:val="24"/>
          <w:lang w:eastAsia="pl-PL"/>
        </w:rPr>
        <w:t xml:space="preserve">fabryce chemikaliów może spowodować </w:t>
      </w:r>
      <w:r w:rsidR="003B7F91" w:rsidRPr="00833C88">
        <w:rPr>
          <w:rFonts w:cs="Times New Roman"/>
          <w:sz w:val="24"/>
          <w:szCs w:val="24"/>
          <w:lang w:eastAsia="pl-PL"/>
        </w:rPr>
        <w:t xml:space="preserve">utrudnienia </w:t>
      </w:r>
      <w:r w:rsidR="00601933" w:rsidRPr="00833C88">
        <w:rPr>
          <w:rFonts w:cs="Times New Roman"/>
          <w:sz w:val="24"/>
          <w:szCs w:val="24"/>
          <w:lang w:eastAsia="pl-PL"/>
        </w:rPr>
        <w:t>w </w:t>
      </w:r>
      <w:r w:rsidR="003B7F91" w:rsidRPr="00833C88">
        <w:rPr>
          <w:rFonts w:cs="Times New Roman"/>
          <w:sz w:val="24"/>
          <w:szCs w:val="24"/>
          <w:lang w:eastAsia="pl-PL"/>
        </w:rPr>
        <w:t xml:space="preserve">dostawach, co będzie szczególnie dotkliwe, jeżeli dana fabryka jest jedyna </w:t>
      </w:r>
      <w:r w:rsidR="00601933" w:rsidRPr="00833C88">
        <w:rPr>
          <w:rFonts w:cs="Times New Roman"/>
          <w:sz w:val="24"/>
          <w:szCs w:val="24"/>
          <w:lang w:eastAsia="pl-PL"/>
        </w:rPr>
        <w:t>w </w:t>
      </w:r>
      <w:r w:rsidR="003B7F91" w:rsidRPr="00833C88">
        <w:rPr>
          <w:rFonts w:cs="Times New Roman"/>
          <w:sz w:val="24"/>
          <w:szCs w:val="24"/>
          <w:lang w:eastAsia="pl-PL"/>
        </w:rPr>
        <w:t xml:space="preserve">określonym regionie, </w:t>
      </w:r>
      <w:r w:rsidR="00601933" w:rsidRPr="00833C88">
        <w:rPr>
          <w:rFonts w:cs="Times New Roman"/>
          <w:sz w:val="24"/>
          <w:szCs w:val="24"/>
          <w:lang w:eastAsia="pl-PL"/>
        </w:rPr>
        <w:t>a </w:t>
      </w:r>
      <w:r w:rsidR="003B7F91" w:rsidRPr="00833C88">
        <w:rPr>
          <w:rFonts w:cs="Times New Roman"/>
          <w:sz w:val="24"/>
          <w:szCs w:val="24"/>
          <w:lang w:eastAsia="pl-PL"/>
        </w:rPr>
        <w:t xml:space="preserve">sprowadzenie </w:t>
      </w:r>
      <w:r w:rsidR="004532A7" w:rsidRPr="00833C88">
        <w:rPr>
          <w:rFonts w:cs="Times New Roman"/>
          <w:sz w:val="24"/>
          <w:szCs w:val="24"/>
          <w:lang w:eastAsia="pl-PL"/>
        </w:rPr>
        <w:t xml:space="preserve">zamienników może zająć dużo czasu. Incydent </w:t>
      </w:r>
      <w:r w:rsidR="00F97A90" w:rsidRPr="00833C88">
        <w:rPr>
          <w:rFonts w:cs="Times New Roman"/>
          <w:sz w:val="24"/>
          <w:szCs w:val="24"/>
          <w:lang w:eastAsia="pl-PL"/>
        </w:rPr>
        <w:t xml:space="preserve">związany </w:t>
      </w:r>
      <w:r w:rsidR="00601933" w:rsidRPr="00833C88">
        <w:rPr>
          <w:rFonts w:cs="Times New Roman"/>
          <w:sz w:val="24"/>
          <w:szCs w:val="24"/>
          <w:lang w:eastAsia="pl-PL"/>
        </w:rPr>
        <w:t>z </w:t>
      </w:r>
      <w:r w:rsidR="00F97A90" w:rsidRPr="00833C88">
        <w:rPr>
          <w:rFonts w:cs="Times New Roman"/>
          <w:sz w:val="24"/>
          <w:szCs w:val="24"/>
          <w:lang w:eastAsia="pl-PL"/>
        </w:rPr>
        <w:t xml:space="preserve">chemikaliami może również doprowadzić do zanieczyszczenia środowiska oraz zdrowia </w:t>
      </w:r>
      <w:r w:rsidR="00601933" w:rsidRPr="00833C88">
        <w:rPr>
          <w:rFonts w:cs="Times New Roman"/>
          <w:sz w:val="24"/>
          <w:szCs w:val="24"/>
          <w:lang w:eastAsia="pl-PL"/>
        </w:rPr>
        <w:t>i </w:t>
      </w:r>
      <w:r w:rsidR="00F97A90" w:rsidRPr="00833C88">
        <w:rPr>
          <w:rFonts w:cs="Times New Roman"/>
          <w:sz w:val="24"/>
          <w:szCs w:val="24"/>
          <w:lang w:eastAsia="pl-PL"/>
        </w:rPr>
        <w:t xml:space="preserve">życia ludzi, jeżeli wskutek </w:t>
      </w:r>
      <w:r w:rsidR="00DC5483" w:rsidRPr="00833C88">
        <w:rPr>
          <w:rFonts w:cs="Times New Roman"/>
          <w:sz w:val="24"/>
          <w:szCs w:val="24"/>
          <w:lang w:eastAsia="pl-PL"/>
        </w:rPr>
        <w:t xml:space="preserve">zdarzenia </w:t>
      </w:r>
      <w:r w:rsidR="00601933" w:rsidRPr="00833C88">
        <w:rPr>
          <w:rFonts w:cs="Times New Roman"/>
          <w:sz w:val="24"/>
          <w:szCs w:val="24"/>
          <w:lang w:eastAsia="pl-PL"/>
        </w:rPr>
        <w:t>w </w:t>
      </w:r>
      <w:r w:rsidR="00DC5483" w:rsidRPr="00833C88">
        <w:rPr>
          <w:rFonts w:cs="Times New Roman"/>
          <w:sz w:val="24"/>
          <w:szCs w:val="24"/>
          <w:lang w:eastAsia="pl-PL"/>
        </w:rPr>
        <w:t>systemie sterującym produkcją (np. wskutek błędu ludzkiego lub celowego ataku) dojdzie do wycieku chemikaliów</w:t>
      </w:r>
      <w:r w:rsidR="00C83907" w:rsidRPr="00833C88">
        <w:rPr>
          <w:rFonts w:cs="Times New Roman"/>
          <w:sz w:val="24"/>
          <w:szCs w:val="24"/>
          <w:lang w:eastAsia="pl-PL"/>
        </w:rPr>
        <w:t xml:space="preserve">. Naruszenie poufności systemów informacyjnych sterujących produkcją chemikaliów może </w:t>
      </w:r>
      <w:r w:rsidR="00601933" w:rsidRPr="00833C88">
        <w:rPr>
          <w:rFonts w:cs="Times New Roman"/>
          <w:sz w:val="24"/>
          <w:szCs w:val="24"/>
          <w:lang w:eastAsia="pl-PL"/>
        </w:rPr>
        <w:t>z </w:t>
      </w:r>
      <w:r w:rsidR="00C83907" w:rsidRPr="00833C88">
        <w:rPr>
          <w:rFonts w:cs="Times New Roman"/>
          <w:sz w:val="24"/>
          <w:szCs w:val="24"/>
          <w:lang w:eastAsia="pl-PL"/>
        </w:rPr>
        <w:t xml:space="preserve">kolei spowodować </w:t>
      </w:r>
      <w:r w:rsidR="00902B0A" w:rsidRPr="00833C88">
        <w:rPr>
          <w:rFonts w:cs="Times New Roman"/>
          <w:sz w:val="24"/>
          <w:szCs w:val="24"/>
          <w:lang w:eastAsia="pl-PL"/>
        </w:rPr>
        <w:t>naruszenie praw własności intelektualnej – takie zdarzenie może być efektem działań wywiadu przemysłowego.</w:t>
      </w:r>
    </w:p>
    <w:p w14:paraId="4ED3ABC2" w14:textId="272EFA24" w:rsidR="00591996" w:rsidRPr="00833C88" w:rsidRDefault="00601933" w:rsidP="008C2A9E">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tego sektora wyróżniony następujące rodzaje podmiotów:</w:t>
      </w:r>
    </w:p>
    <w:p w14:paraId="3CEE40A9" w14:textId="7FBEAA85" w:rsidR="00DE5D76" w:rsidRPr="00833C88" w:rsidRDefault="00F06A72">
      <w:pPr>
        <w:pStyle w:val="Akapitzlist"/>
        <w:numPr>
          <w:ilvl w:val="0"/>
          <w:numId w:val="53"/>
        </w:numPr>
        <w:spacing w:line="360" w:lineRule="auto"/>
        <w:contextualSpacing w:val="0"/>
        <w:jc w:val="both"/>
        <w:rPr>
          <w:rFonts w:cs="Times New Roman"/>
          <w:sz w:val="24"/>
          <w:szCs w:val="24"/>
          <w:lang w:eastAsia="pl-PL"/>
        </w:rPr>
      </w:pPr>
      <w:r w:rsidRPr="00833C88">
        <w:rPr>
          <w:rFonts w:cs="Times New Roman"/>
          <w:sz w:val="24"/>
          <w:szCs w:val="24"/>
          <w:lang w:eastAsia="pl-PL"/>
        </w:rPr>
        <w:t>Przedsiębiorstwa zajmujące się produkcją substancji oraz dystrybucją substancji lub mieszanin</w:t>
      </w:r>
      <w:r w:rsidR="00A376F9" w:rsidRPr="00833C88">
        <w:rPr>
          <w:rFonts w:cs="Times New Roman"/>
          <w:sz w:val="24"/>
          <w:szCs w:val="24"/>
          <w:lang w:eastAsia="pl-PL"/>
        </w:rPr>
        <w:t xml:space="preserve">, </w:t>
      </w:r>
      <w:r w:rsidR="00601933" w:rsidRPr="00833C88">
        <w:rPr>
          <w:rFonts w:cs="Times New Roman"/>
          <w:sz w:val="24"/>
          <w:szCs w:val="24"/>
          <w:lang w:eastAsia="pl-PL"/>
        </w:rPr>
        <w:t>o </w:t>
      </w:r>
      <w:r w:rsidR="00A376F9" w:rsidRPr="00833C88">
        <w:rPr>
          <w:rFonts w:cs="Times New Roman"/>
          <w:sz w:val="24"/>
          <w:szCs w:val="24"/>
          <w:lang w:eastAsia="pl-PL"/>
        </w:rPr>
        <w:t xml:space="preserve">których mowa </w:t>
      </w:r>
      <w:r w:rsidR="00601933" w:rsidRPr="00833C88">
        <w:rPr>
          <w:rFonts w:cs="Times New Roman"/>
          <w:sz w:val="24"/>
          <w:szCs w:val="24"/>
          <w:lang w:eastAsia="pl-PL"/>
        </w:rPr>
        <w:t>w </w:t>
      </w:r>
      <w:r w:rsidR="00A376F9" w:rsidRPr="00833C88">
        <w:rPr>
          <w:rFonts w:cs="Times New Roman"/>
          <w:sz w:val="24"/>
          <w:szCs w:val="24"/>
          <w:lang w:eastAsia="pl-PL"/>
        </w:rPr>
        <w:t xml:space="preserve">art. 3 pkt 9 </w:t>
      </w:r>
      <w:r w:rsidR="00601933" w:rsidRPr="00833C88">
        <w:rPr>
          <w:rFonts w:cs="Times New Roman"/>
          <w:sz w:val="24"/>
          <w:szCs w:val="24"/>
          <w:lang w:eastAsia="pl-PL"/>
        </w:rPr>
        <w:t>i </w:t>
      </w:r>
      <w:r w:rsidR="00A376F9" w:rsidRPr="00833C88">
        <w:rPr>
          <w:rFonts w:cs="Times New Roman"/>
          <w:sz w:val="24"/>
          <w:szCs w:val="24"/>
          <w:lang w:eastAsia="pl-PL"/>
        </w:rPr>
        <w:t xml:space="preserve">14 rozporządzenia (WE) nr 1907/2006 Parlamentu Europejskiego </w:t>
      </w:r>
      <w:r w:rsidR="00601933" w:rsidRPr="00833C88">
        <w:rPr>
          <w:rFonts w:cs="Times New Roman"/>
          <w:sz w:val="24"/>
          <w:szCs w:val="24"/>
          <w:lang w:eastAsia="pl-PL"/>
        </w:rPr>
        <w:t>i </w:t>
      </w:r>
      <w:r w:rsidR="00A376F9" w:rsidRPr="00833C88">
        <w:rPr>
          <w:rFonts w:cs="Times New Roman"/>
          <w:sz w:val="24"/>
          <w:szCs w:val="24"/>
          <w:lang w:eastAsia="pl-PL"/>
        </w:rPr>
        <w:t xml:space="preserve">Rady </w:t>
      </w:r>
      <w:r w:rsidR="00601933" w:rsidRPr="00833C88">
        <w:rPr>
          <w:rFonts w:cs="Times New Roman"/>
          <w:sz w:val="24"/>
          <w:szCs w:val="24"/>
          <w:lang w:eastAsia="pl-PL"/>
        </w:rPr>
        <w:t>z </w:t>
      </w:r>
      <w:r w:rsidR="00A376F9" w:rsidRPr="00833C88">
        <w:rPr>
          <w:rFonts w:cs="Times New Roman"/>
          <w:sz w:val="24"/>
          <w:szCs w:val="24"/>
          <w:lang w:eastAsia="pl-PL"/>
        </w:rPr>
        <w:t xml:space="preserve">dnia 18 grudnia 2006 r. </w:t>
      </w:r>
      <w:r w:rsidR="00601933" w:rsidRPr="00833C88">
        <w:rPr>
          <w:rFonts w:cs="Times New Roman"/>
          <w:sz w:val="24"/>
          <w:szCs w:val="24"/>
          <w:lang w:eastAsia="pl-PL"/>
        </w:rPr>
        <w:t>w </w:t>
      </w:r>
      <w:r w:rsidR="00A376F9" w:rsidRPr="00833C88">
        <w:rPr>
          <w:rFonts w:cs="Times New Roman"/>
          <w:sz w:val="24"/>
          <w:szCs w:val="24"/>
          <w:lang w:eastAsia="pl-PL"/>
        </w:rPr>
        <w:t xml:space="preserve">sprawie rejestracji, oceny, udzielania zezwoleń </w:t>
      </w:r>
      <w:r w:rsidR="00601933" w:rsidRPr="00833C88">
        <w:rPr>
          <w:rFonts w:cs="Times New Roman"/>
          <w:sz w:val="24"/>
          <w:szCs w:val="24"/>
          <w:lang w:eastAsia="pl-PL"/>
        </w:rPr>
        <w:t>i </w:t>
      </w:r>
      <w:r w:rsidR="00A376F9" w:rsidRPr="00833C88">
        <w:rPr>
          <w:rFonts w:cs="Times New Roman"/>
          <w:sz w:val="24"/>
          <w:szCs w:val="24"/>
          <w:lang w:eastAsia="pl-PL"/>
        </w:rPr>
        <w:t xml:space="preserve">stosowanych ograniczeń </w:t>
      </w:r>
      <w:r w:rsidR="00601933" w:rsidRPr="00833C88">
        <w:rPr>
          <w:rFonts w:cs="Times New Roman"/>
          <w:sz w:val="24"/>
          <w:szCs w:val="24"/>
          <w:lang w:eastAsia="pl-PL"/>
        </w:rPr>
        <w:t>w </w:t>
      </w:r>
      <w:r w:rsidR="00A376F9" w:rsidRPr="00833C88">
        <w:rPr>
          <w:rFonts w:cs="Times New Roman"/>
          <w:sz w:val="24"/>
          <w:szCs w:val="24"/>
          <w:lang w:eastAsia="pl-PL"/>
        </w:rPr>
        <w:t xml:space="preserve">zakresie chemikaliów (REACH) </w:t>
      </w:r>
      <w:r w:rsidR="00601933" w:rsidRPr="00833C88">
        <w:rPr>
          <w:rFonts w:cs="Times New Roman"/>
          <w:sz w:val="24"/>
          <w:szCs w:val="24"/>
          <w:lang w:eastAsia="pl-PL"/>
        </w:rPr>
        <w:t>i </w:t>
      </w:r>
      <w:r w:rsidR="00A376F9" w:rsidRPr="00833C88">
        <w:rPr>
          <w:rFonts w:cs="Times New Roman"/>
          <w:sz w:val="24"/>
          <w:szCs w:val="24"/>
          <w:lang w:eastAsia="pl-PL"/>
        </w:rPr>
        <w:t xml:space="preserve">utworzenia Europejskiej Agencji Chemikaliów, zmieniające dyrektywę 1999/45/WE oraz uchylające rozporządzenie Rady (EWG) nr 793/93 </w:t>
      </w:r>
      <w:r w:rsidR="00601933" w:rsidRPr="00833C88">
        <w:rPr>
          <w:rFonts w:cs="Times New Roman"/>
          <w:sz w:val="24"/>
          <w:szCs w:val="24"/>
          <w:lang w:eastAsia="pl-PL"/>
        </w:rPr>
        <w:t>i </w:t>
      </w:r>
      <w:r w:rsidR="00A376F9" w:rsidRPr="00833C88">
        <w:rPr>
          <w:rFonts w:cs="Times New Roman"/>
          <w:sz w:val="24"/>
          <w:szCs w:val="24"/>
          <w:lang w:eastAsia="pl-PL"/>
        </w:rPr>
        <w:t xml:space="preserve">rozporządzenie Komisji (WE) nr 1488/94, jak również dyrektywę Rady 76/769/EWG </w:t>
      </w:r>
      <w:r w:rsidR="00601933" w:rsidRPr="00833C88">
        <w:rPr>
          <w:rFonts w:cs="Times New Roman"/>
          <w:sz w:val="24"/>
          <w:szCs w:val="24"/>
          <w:lang w:eastAsia="pl-PL"/>
        </w:rPr>
        <w:t>i </w:t>
      </w:r>
      <w:r w:rsidR="00A376F9" w:rsidRPr="00833C88">
        <w:rPr>
          <w:rFonts w:cs="Times New Roman"/>
          <w:sz w:val="24"/>
          <w:szCs w:val="24"/>
          <w:lang w:eastAsia="pl-PL"/>
        </w:rPr>
        <w:t xml:space="preserve">dyrektywy Komisji 91/155/EWG, 93/67/EWG, 93/105/WE </w:t>
      </w:r>
      <w:r w:rsidR="00601933" w:rsidRPr="00833C88">
        <w:rPr>
          <w:rFonts w:cs="Times New Roman"/>
          <w:sz w:val="24"/>
          <w:szCs w:val="24"/>
          <w:lang w:eastAsia="pl-PL"/>
        </w:rPr>
        <w:t>i </w:t>
      </w:r>
      <w:r w:rsidR="00A376F9" w:rsidRPr="00833C88">
        <w:rPr>
          <w:rFonts w:cs="Times New Roman"/>
          <w:sz w:val="24"/>
          <w:szCs w:val="24"/>
          <w:lang w:eastAsia="pl-PL"/>
        </w:rPr>
        <w:t xml:space="preserve">2000/21/WE (Dz. Urz. UE L 396 </w:t>
      </w:r>
      <w:r w:rsidR="00601933" w:rsidRPr="00833C88">
        <w:rPr>
          <w:rFonts w:cs="Times New Roman"/>
          <w:sz w:val="24"/>
          <w:szCs w:val="24"/>
          <w:lang w:eastAsia="pl-PL"/>
        </w:rPr>
        <w:t>z </w:t>
      </w:r>
      <w:r w:rsidR="00A376F9" w:rsidRPr="00833C88">
        <w:rPr>
          <w:rFonts w:cs="Times New Roman"/>
          <w:sz w:val="24"/>
          <w:szCs w:val="24"/>
          <w:lang w:eastAsia="pl-PL"/>
        </w:rPr>
        <w:t>30.12.2006, str.</w:t>
      </w:r>
      <w:r w:rsidR="00711603" w:rsidRPr="00833C88">
        <w:rPr>
          <w:rFonts w:cs="Times New Roman"/>
          <w:sz w:val="24"/>
          <w:szCs w:val="24"/>
          <w:lang w:eastAsia="pl-PL"/>
        </w:rPr>
        <w:t xml:space="preserve"> </w:t>
      </w:r>
      <w:r w:rsidR="00A376F9" w:rsidRPr="00833C88">
        <w:rPr>
          <w:rFonts w:cs="Times New Roman"/>
          <w:sz w:val="24"/>
          <w:szCs w:val="24"/>
          <w:lang w:eastAsia="pl-PL"/>
        </w:rPr>
        <w:t xml:space="preserve">1, </w:t>
      </w:r>
      <w:r w:rsidR="00601933" w:rsidRPr="00833C88">
        <w:rPr>
          <w:rFonts w:cs="Times New Roman"/>
          <w:sz w:val="24"/>
          <w:szCs w:val="24"/>
          <w:lang w:eastAsia="pl-PL"/>
        </w:rPr>
        <w:t>z </w:t>
      </w:r>
      <w:r w:rsidR="00A376F9" w:rsidRPr="00833C88">
        <w:rPr>
          <w:rFonts w:cs="Times New Roman"/>
          <w:sz w:val="24"/>
          <w:szCs w:val="24"/>
          <w:lang w:eastAsia="pl-PL"/>
        </w:rPr>
        <w:t>późn. zm.).</w:t>
      </w:r>
    </w:p>
    <w:p w14:paraId="69652045" w14:textId="73836A34" w:rsidR="00F06A72" w:rsidRPr="00833C88" w:rsidRDefault="00601933">
      <w:pPr>
        <w:pStyle w:val="Akapitzlist"/>
        <w:numPr>
          <w:ilvl w:val="1"/>
          <w:numId w:val="53"/>
        </w:numPr>
        <w:spacing w:line="360" w:lineRule="auto"/>
        <w:contextualSpacing w:val="0"/>
        <w:jc w:val="both"/>
        <w:rPr>
          <w:rFonts w:cs="Times New Roman"/>
          <w:sz w:val="24"/>
          <w:szCs w:val="24"/>
          <w:lang w:eastAsia="pl-PL"/>
        </w:rPr>
      </w:pPr>
      <w:r w:rsidRPr="00833C88">
        <w:rPr>
          <w:rFonts w:cs="Times New Roman"/>
          <w:sz w:val="24"/>
          <w:szCs w:val="24"/>
          <w:lang w:eastAsia="pl-PL"/>
        </w:rPr>
        <w:t>W </w:t>
      </w:r>
      <w:r w:rsidR="00F06A72" w:rsidRPr="00833C88">
        <w:rPr>
          <w:rFonts w:cs="Times New Roman"/>
          <w:sz w:val="24"/>
          <w:szCs w:val="24"/>
          <w:lang w:eastAsia="pl-PL"/>
        </w:rPr>
        <w:t xml:space="preserve">tym przypadku sformułowanie „Przedsiębiorstwa zajmujące się produkcją substancji oraz dystrybucją substancji lub mieszanin” należy rozumieć alternatywnie, tzn. dotyczy ono </w:t>
      </w:r>
      <w:proofErr w:type="gramStart"/>
      <w:r w:rsidR="00F06A72" w:rsidRPr="00833C88">
        <w:rPr>
          <w:rFonts w:cs="Times New Roman"/>
          <w:sz w:val="24"/>
          <w:szCs w:val="24"/>
          <w:lang w:eastAsia="pl-PL"/>
        </w:rPr>
        <w:t>przedsiębiorstw</w:t>
      </w:r>
      <w:proofErr w:type="gramEnd"/>
      <w:r w:rsidR="00F06A72" w:rsidRPr="00833C88">
        <w:rPr>
          <w:rFonts w:cs="Times New Roman"/>
          <w:sz w:val="24"/>
          <w:szCs w:val="24"/>
          <w:lang w:eastAsia="pl-PL"/>
        </w:rPr>
        <w:t xml:space="preserve"> które zarówno produkują </w:t>
      </w:r>
      <w:r w:rsidRPr="00833C88">
        <w:rPr>
          <w:rFonts w:cs="Times New Roman"/>
          <w:sz w:val="24"/>
          <w:szCs w:val="24"/>
          <w:lang w:eastAsia="pl-PL"/>
        </w:rPr>
        <w:t>i </w:t>
      </w:r>
      <w:r w:rsidR="00F06A72" w:rsidRPr="00833C88">
        <w:rPr>
          <w:rFonts w:cs="Times New Roman"/>
          <w:sz w:val="24"/>
          <w:szCs w:val="24"/>
          <w:lang w:eastAsia="pl-PL"/>
        </w:rPr>
        <w:t xml:space="preserve">dystrybuują substancję </w:t>
      </w:r>
      <w:r w:rsidRPr="00833C88">
        <w:rPr>
          <w:rFonts w:cs="Times New Roman"/>
          <w:sz w:val="24"/>
          <w:szCs w:val="24"/>
          <w:lang w:eastAsia="pl-PL"/>
        </w:rPr>
        <w:t>i </w:t>
      </w:r>
      <w:r w:rsidR="00F06A72" w:rsidRPr="00833C88">
        <w:rPr>
          <w:rFonts w:cs="Times New Roman"/>
          <w:sz w:val="24"/>
          <w:szCs w:val="24"/>
          <w:lang w:eastAsia="pl-PL"/>
        </w:rPr>
        <w:t xml:space="preserve">mieszaniny jak również tylko te, które wyłącznie produkują albo wyłącznie dystrybuują”. Dzięki temu zostanie uchwycony łańcuch dostaw </w:t>
      </w:r>
      <w:r w:rsidRPr="00833C88">
        <w:rPr>
          <w:rFonts w:cs="Times New Roman"/>
          <w:sz w:val="24"/>
          <w:szCs w:val="24"/>
          <w:lang w:eastAsia="pl-PL"/>
        </w:rPr>
        <w:t>w </w:t>
      </w:r>
      <w:r w:rsidR="00F06A72" w:rsidRPr="00833C88">
        <w:rPr>
          <w:rFonts w:cs="Times New Roman"/>
          <w:sz w:val="24"/>
          <w:szCs w:val="24"/>
          <w:lang w:eastAsia="pl-PL"/>
        </w:rPr>
        <w:t>sektorze chemicznym.</w:t>
      </w:r>
    </w:p>
    <w:p w14:paraId="1459872D" w14:textId="50A09E63" w:rsidR="00722B76" w:rsidRPr="00833C88" w:rsidRDefault="00A376F9">
      <w:pPr>
        <w:pStyle w:val="Akapitzlist"/>
        <w:numPr>
          <w:ilvl w:val="0"/>
          <w:numId w:val="53"/>
        </w:numPr>
        <w:spacing w:line="360" w:lineRule="auto"/>
        <w:contextualSpacing w:val="0"/>
        <w:jc w:val="both"/>
        <w:rPr>
          <w:rFonts w:cs="Times New Roman"/>
          <w:sz w:val="24"/>
          <w:szCs w:val="24"/>
          <w:lang w:eastAsia="pl-PL"/>
        </w:rPr>
      </w:pPr>
      <w:r w:rsidRPr="00833C88">
        <w:rPr>
          <w:rFonts w:cs="Times New Roman"/>
          <w:sz w:val="24"/>
          <w:szCs w:val="24"/>
          <w:lang w:eastAsia="pl-PL"/>
        </w:rPr>
        <w:lastRenderedPageBreak/>
        <w:t xml:space="preserve">Przedsiębiorstwa zajmujące się wytwarzaniem </w:t>
      </w:r>
      <w:r w:rsidR="00601933" w:rsidRPr="00833C88">
        <w:rPr>
          <w:rFonts w:cs="Times New Roman"/>
          <w:sz w:val="24"/>
          <w:szCs w:val="24"/>
          <w:lang w:eastAsia="pl-PL"/>
        </w:rPr>
        <w:t>z </w:t>
      </w:r>
      <w:r w:rsidRPr="00833C88">
        <w:rPr>
          <w:rFonts w:cs="Times New Roman"/>
          <w:sz w:val="24"/>
          <w:szCs w:val="24"/>
          <w:lang w:eastAsia="pl-PL"/>
        </w:rPr>
        <w:t xml:space="preserve">substancji lub mieszanin wyrobów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3 pkt 3 rozporządzenia (WE) nr 1907/2006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w:t>
      </w:r>
      <w:r w:rsidR="00601933" w:rsidRPr="00833C88">
        <w:rPr>
          <w:rFonts w:cs="Times New Roman"/>
          <w:sz w:val="24"/>
          <w:szCs w:val="24"/>
          <w:lang w:eastAsia="pl-PL"/>
        </w:rPr>
        <w:t>z </w:t>
      </w:r>
      <w:r w:rsidRPr="00833C88">
        <w:rPr>
          <w:rFonts w:cs="Times New Roman"/>
          <w:sz w:val="24"/>
          <w:szCs w:val="24"/>
          <w:lang w:eastAsia="pl-PL"/>
        </w:rPr>
        <w:t xml:space="preserve">dnia 18 grudnia 2006 r. </w:t>
      </w:r>
      <w:r w:rsidR="00601933" w:rsidRPr="00833C88">
        <w:rPr>
          <w:rFonts w:cs="Times New Roman"/>
          <w:sz w:val="24"/>
          <w:szCs w:val="24"/>
          <w:lang w:eastAsia="pl-PL"/>
        </w:rPr>
        <w:t>w </w:t>
      </w:r>
      <w:r w:rsidRPr="00833C88">
        <w:rPr>
          <w:rFonts w:cs="Times New Roman"/>
          <w:sz w:val="24"/>
          <w:szCs w:val="24"/>
          <w:lang w:eastAsia="pl-PL"/>
        </w:rPr>
        <w:t xml:space="preserve">sprawie rejestracji, oceny, udzielania zezwoleń </w:t>
      </w:r>
      <w:r w:rsidR="00601933" w:rsidRPr="00833C88">
        <w:rPr>
          <w:rFonts w:cs="Times New Roman"/>
          <w:sz w:val="24"/>
          <w:szCs w:val="24"/>
          <w:lang w:eastAsia="pl-PL"/>
        </w:rPr>
        <w:t>i </w:t>
      </w:r>
      <w:r w:rsidRPr="00833C88">
        <w:rPr>
          <w:rFonts w:cs="Times New Roman"/>
          <w:sz w:val="24"/>
          <w:szCs w:val="24"/>
          <w:lang w:eastAsia="pl-PL"/>
        </w:rPr>
        <w:t xml:space="preserve">stosowanych ograniczeń </w:t>
      </w:r>
      <w:r w:rsidR="00601933" w:rsidRPr="00833C88">
        <w:rPr>
          <w:rFonts w:cs="Times New Roman"/>
          <w:sz w:val="24"/>
          <w:szCs w:val="24"/>
          <w:lang w:eastAsia="pl-PL"/>
        </w:rPr>
        <w:t>w </w:t>
      </w:r>
      <w:r w:rsidRPr="00833C88">
        <w:rPr>
          <w:rFonts w:cs="Times New Roman"/>
          <w:sz w:val="24"/>
          <w:szCs w:val="24"/>
          <w:lang w:eastAsia="pl-PL"/>
        </w:rPr>
        <w:t xml:space="preserve">zakresie chemikaliów (REACH) </w:t>
      </w:r>
      <w:r w:rsidR="00601933" w:rsidRPr="00833C88">
        <w:rPr>
          <w:rFonts w:cs="Times New Roman"/>
          <w:sz w:val="24"/>
          <w:szCs w:val="24"/>
          <w:lang w:eastAsia="pl-PL"/>
        </w:rPr>
        <w:t>i </w:t>
      </w:r>
      <w:r w:rsidRPr="00833C88">
        <w:rPr>
          <w:rFonts w:cs="Times New Roman"/>
          <w:sz w:val="24"/>
          <w:szCs w:val="24"/>
          <w:lang w:eastAsia="pl-PL"/>
        </w:rPr>
        <w:t xml:space="preserve">utworzenia Europejskiej Agencji Chemikaliów, zmieniające dyrektywę 1999/45/WE oraz uchylające rozporządzenie Rady (EWG) nr 793/93 </w:t>
      </w:r>
      <w:r w:rsidR="00601933" w:rsidRPr="00833C88">
        <w:rPr>
          <w:rFonts w:cs="Times New Roman"/>
          <w:sz w:val="24"/>
          <w:szCs w:val="24"/>
          <w:lang w:eastAsia="pl-PL"/>
        </w:rPr>
        <w:t>i </w:t>
      </w:r>
      <w:r w:rsidRPr="00833C88">
        <w:rPr>
          <w:rFonts w:cs="Times New Roman"/>
          <w:sz w:val="24"/>
          <w:szCs w:val="24"/>
          <w:lang w:eastAsia="pl-PL"/>
        </w:rPr>
        <w:t xml:space="preserve">rozporządzenie Komisji (WE) nr 1488/94, jak również dyrektywę Rady 76/769/EWG </w:t>
      </w:r>
      <w:r w:rsidR="00601933" w:rsidRPr="00833C88">
        <w:rPr>
          <w:rFonts w:cs="Times New Roman"/>
          <w:sz w:val="24"/>
          <w:szCs w:val="24"/>
          <w:lang w:eastAsia="pl-PL"/>
        </w:rPr>
        <w:t>i </w:t>
      </w:r>
      <w:r w:rsidRPr="00833C88">
        <w:rPr>
          <w:rFonts w:cs="Times New Roman"/>
          <w:sz w:val="24"/>
          <w:szCs w:val="24"/>
          <w:lang w:eastAsia="pl-PL"/>
        </w:rPr>
        <w:t xml:space="preserve">dyrektywy Komisji 91/155/EWG, 93/67/EWG, 93/105/WE </w:t>
      </w:r>
      <w:r w:rsidR="00601933" w:rsidRPr="00833C88">
        <w:rPr>
          <w:rFonts w:cs="Times New Roman"/>
          <w:sz w:val="24"/>
          <w:szCs w:val="24"/>
          <w:lang w:eastAsia="pl-PL"/>
        </w:rPr>
        <w:t>i </w:t>
      </w:r>
      <w:r w:rsidRPr="00833C88">
        <w:rPr>
          <w:rFonts w:cs="Times New Roman"/>
          <w:sz w:val="24"/>
          <w:szCs w:val="24"/>
          <w:lang w:eastAsia="pl-PL"/>
        </w:rPr>
        <w:t>2000/21/WE.</w:t>
      </w:r>
    </w:p>
    <w:p w14:paraId="7DAAC1DD" w14:textId="496806E2" w:rsidR="00EB29B7" w:rsidRPr="00833C88" w:rsidRDefault="00D65FA1">
      <w:pPr>
        <w:pStyle w:val="Akapitzlist"/>
        <w:numPr>
          <w:ilvl w:val="0"/>
          <w:numId w:val="68"/>
        </w:numPr>
        <w:spacing w:line="360" w:lineRule="auto"/>
        <w:contextualSpacing w:val="0"/>
        <w:jc w:val="both"/>
        <w:rPr>
          <w:rFonts w:cs="Times New Roman"/>
          <w:sz w:val="24"/>
          <w:szCs w:val="24"/>
          <w:lang w:eastAsia="pl-PL"/>
        </w:rPr>
      </w:pPr>
      <w:r w:rsidRPr="00833C88">
        <w:rPr>
          <w:rFonts w:cs="Times New Roman"/>
          <w:sz w:val="24"/>
          <w:szCs w:val="24"/>
          <w:lang w:eastAsia="pl-PL"/>
        </w:rPr>
        <w:t>Określając, czy coś jest wyrobem w rozumieniu REACH</w:t>
      </w:r>
      <w:r w:rsidR="00ED57CF" w:rsidRPr="00833C88">
        <w:rPr>
          <w:rFonts w:cs="Times New Roman"/>
          <w:sz w:val="24"/>
          <w:szCs w:val="24"/>
          <w:lang w:eastAsia="pl-PL"/>
        </w:rPr>
        <w:t>,</w:t>
      </w:r>
      <w:r w:rsidRPr="00833C88">
        <w:rPr>
          <w:rFonts w:cs="Times New Roman"/>
          <w:sz w:val="24"/>
          <w:szCs w:val="24"/>
          <w:lang w:eastAsia="pl-PL"/>
        </w:rPr>
        <w:t xml:space="preserve"> należy </w:t>
      </w:r>
      <w:proofErr w:type="gramStart"/>
      <w:r w:rsidRPr="00833C88">
        <w:rPr>
          <w:rFonts w:cs="Times New Roman"/>
          <w:sz w:val="24"/>
          <w:szCs w:val="24"/>
          <w:lang w:eastAsia="pl-PL"/>
        </w:rPr>
        <w:t>przeanalizować</w:t>
      </w:r>
      <w:proofErr w:type="gramEnd"/>
      <w:r w:rsidRPr="00833C88">
        <w:rPr>
          <w:rFonts w:cs="Times New Roman"/>
          <w:sz w:val="24"/>
          <w:szCs w:val="24"/>
          <w:lang w:eastAsia="pl-PL"/>
        </w:rPr>
        <w:t xml:space="preserve"> czy stanowi </w:t>
      </w:r>
      <w:r w:rsidR="00722A02" w:rsidRPr="00833C88">
        <w:rPr>
          <w:rFonts w:cs="Times New Roman"/>
          <w:sz w:val="24"/>
          <w:szCs w:val="24"/>
          <w:lang w:eastAsia="pl-PL"/>
        </w:rPr>
        <w:t>przedmiot, który podczas produkcji otrzymuje określony kształt, powierzchnię, konstrukcję lub wygląd zewnętrzny, co decyduje o jego funkcji w stopniu większym niż jego skład chemiczny. Taka sytuacja zachodzi na przykład w przypadku produkcji ubrań, podłóg, mebli, biżuterii, gazet czy plastikowych opakowań.</w:t>
      </w:r>
    </w:p>
    <w:p w14:paraId="039E20EE" w14:textId="5CDD4622" w:rsidR="00EB29B7" w:rsidRPr="00833C88" w:rsidRDefault="008B0BD3" w:rsidP="00ED57CF">
      <w:pPr>
        <w:spacing w:line="360" w:lineRule="auto"/>
        <w:jc w:val="both"/>
        <w:rPr>
          <w:rFonts w:cs="Times New Roman"/>
          <w:sz w:val="24"/>
          <w:szCs w:val="24"/>
          <w:lang w:eastAsia="pl-PL"/>
        </w:rPr>
      </w:pPr>
      <w:r w:rsidRPr="00833C88">
        <w:rPr>
          <w:rFonts w:cs="Times New Roman"/>
          <w:sz w:val="24"/>
          <w:szCs w:val="24"/>
          <w:lang w:eastAsia="pl-PL"/>
        </w:rPr>
        <w:t xml:space="preserve">Wskazać należy, że sama dyrektywa NIS 2 wymienia powyższe rodzaje podmiotów jako należące do sektora ważnego i jedynie w zakresie definicyjnym odwołuje się do REACH nie wskazując na to, czy podmiot ten objęty jest wskazanymi w tym rozporządzeniu obowiązkami. </w:t>
      </w:r>
      <w:r w:rsidR="00ED57CF" w:rsidRPr="00833C88">
        <w:rPr>
          <w:rFonts w:cs="Times New Roman"/>
          <w:sz w:val="24"/>
          <w:szCs w:val="24"/>
          <w:lang w:eastAsia="pl-PL"/>
        </w:rPr>
        <w:t>Ani d</w:t>
      </w:r>
      <w:r w:rsidRPr="00833C88">
        <w:rPr>
          <w:rFonts w:cs="Times New Roman"/>
          <w:sz w:val="24"/>
          <w:szCs w:val="24"/>
          <w:lang w:eastAsia="pl-PL"/>
        </w:rPr>
        <w:t>yrektywa, ani ustawa, nie uzależnia zatem przynależności do sektora od objęcia obowiązkami na podstawie innych przepisów. Identyfikacja</w:t>
      </w:r>
      <w:r w:rsidR="00CB7812" w:rsidRPr="00833C88">
        <w:rPr>
          <w:rFonts w:cs="Times New Roman"/>
          <w:sz w:val="24"/>
          <w:szCs w:val="24"/>
          <w:lang w:eastAsia="pl-PL"/>
        </w:rPr>
        <w:t xml:space="preserve"> podmiotu jako podmiotu ważnego powinna zatem opierać się wyłącznie na badaniu przesłanek wynikających z ustawy.</w:t>
      </w:r>
    </w:p>
    <w:p w14:paraId="2DFBB06F" w14:textId="015EA530" w:rsidR="009B1B5C" w:rsidRPr="00833C88" w:rsidRDefault="009B1B5C">
      <w:pPr>
        <w:pStyle w:val="Nagwek4"/>
        <w:numPr>
          <w:ilvl w:val="0"/>
          <w:numId w:val="67"/>
        </w:numPr>
        <w:spacing w:before="0" w:after="120" w:line="360" w:lineRule="auto"/>
        <w:jc w:val="both"/>
        <w:rPr>
          <w:rFonts w:cs="Times New Roman"/>
          <w:sz w:val="24"/>
          <w:szCs w:val="24"/>
          <w:lang w:eastAsia="pl-PL"/>
        </w:rPr>
      </w:pPr>
      <w:r w:rsidRPr="00833C88">
        <w:rPr>
          <w:rFonts w:cs="Times New Roman"/>
          <w:sz w:val="24"/>
          <w:szCs w:val="24"/>
          <w:lang w:eastAsia="pl-PL"/>
        </w:rPr>
        <w:t xml:space="preserve">Produkcja, przetwarzanie </w:t>
      </w:r>
      <w:r w:rsidR="00601933" w:rsidRPr="00833C88">
        <w:rPr>
          <w:rFonts w:cs="Times New Roman"/>
          <w:sz w:val="24"/>
          <w:szCs w:val="24"/>
          <w:lang w:eastAsia="pl-PL"/>
        </w:rPr>
        <w:t>i </w:t>
      </w:r>
      <w:r w:rsidRPr="00833C88">
        <w:rPr>
          <w:rFonts w:cs="Times New Roman"/>
          <w:sz w:val="24"/>
          <w:szCs w:val="24"/>
          <w:lang w:eastAsia="pl-PL"/>
        </w:rPr>
        <w:t>dystrybucja żywności</w:t>
      </w:r>
    </w:p>
    <w:p w14:paraId="2E28D5FD" w14:textId="65277839" w:rsidR="00591996" w:rsidRPr="00833C88" w:rsidRDefault="00591996" w:rsidP="008C2A9E">
      <w:pPr>
        <w:spacing w:line="360" w:lineRule="auto"/>
        <w:jc w:val="both"/>
        <w:rPr>
          <w:rFonts w:cs="Times New Roman"/>
          <w:sz w:val="24"/>
          <w:szCs w:val="24"/>
          <w:lang w:eastAsia="pl-PL"/>
        </w:rPr>
      </w:pPr>
      <w:r w:rsidRPr="00833C88">
        <w:rPr>
          <w:rFonts w:cs="Times New Roman"/>
          <w:sz w:val="24"/>
          <w:szCs w:val="24"/>
          <w:lang w:eastAsia="pl-PL"/>
        </w:rPr>
        <w:t xml:space="preserve">Incydent związany </w:t>
      </w:r>
      <w:r w:rsidR="00601933" w:rsidRPr="00833C88">
        <w:rPr>
          <w:rFonts w:cs="Times New Roman"/>
          <w:sz w:val="24"/>
          <w:szCs w:val="24"/>
          <w:lang w:eastAsia="pl-PL"/>
        </w:rPr>
        <w:t>z </w:t>
      </w:r>
      <w:r w:rsidRPr="00833C88">
        <w:rPr>
          <w:rFonts w:cs="Times New Roman"/>
          <w:sz w:val="24"/>
          <w:szCs w:val="24"/>
          <w:lang w:eastAsia="pl-PL"/>
        </w:rPr>
        <w:t xml:space="preserve">produkcją </w:t>
      </w:r>
      <w:r w:rsidR="00601933" w:rsidRPr="00833C88">
        <w:rPr>
          <w:rFonts w:cs="Times New Roman"/>
          <w:sz w:val="24"/>
          <w:szCs w:val="24"/>
          <w:lang w:eastAsia="pl-PL"/>
        </w:rPr>
        <w:t>i </w:t>
      </w:r>
      <w:r w:rsidRPr="00833C88">
        <w:rPr>
          <w:rFonts w:cs="Times New Roman"/>
          <w:sz w:val="24"/>
          <w:szCs w:val="24"/>
          <w:lang w:eastAsia="pl-PL"/>
        </w:rPr>
        <w:t xml:space="preserve">dystrybucją żywności może doprowadzić do zaburzenia łańcuchów dostaw żywności, stąd też sektor ten został ujęty </w:t>
      </w:r>
      <w:r w:rsidR="00601933" w:rsidRPr="00833C88">
        <w:rPr>
          <w:rFonts w:cs="Times New Roman"/>
          <w:sz w:val="24"/>
          <w:szCs w:val="24"/>
          <w:lang w:eastAsia="pl-PL"/>
        </w:rPr>
        <w:t>w </w:t>
      </w:r>
      <w:r w:rsidRPr="00833C88">
        <w:rPr>
          <w:rFonts w:cs="Times New Roman"/>
          <w:sz w:val="24"/>
          <w:szCs w:val="24"/>
          <w:lang w:eastAsia="pl-PL"/>
        </w:rPr>
        <w:t>dyrektywie NIS</w:t>
      </w:r>
      <w:r w:rsidR="008C2A9E" w:rsidRPr="00833C88">
        <w:rPr>
          <w:rFonts w:cs="Times New Roman"/>
          <w:sz w:val="24"/>
          <w:szCs w:val="24"/>
          <w:lang w:eastAsia="pl-PL"/>
        </w:rPr>
        <w:t xml:space="preserve"> </w:t>
      </w:r>
      <w:r w:rsidRPr="00833C88">
        <w:rPr>
          <w:rFonts w:cs="Times New Roman"/>
          <w:sz w:val="24"/>
          <w:szCs w:val="24"/>
          <w:lang w:eastAsia="pl-PL"/>
        </w:rPr>
        <w:t>2.</w:t>
      </w:r>
    </w:p>
    <w:p w14:paraId="0EB44E1E" w14:textId="776A58B8" w:rsidR="00591996" w:rsidRPr="00833C88" w:rsidRDefault="00601933" w:rsidP="008C2A9E">
      <w:pPr>
        <w:spacing w:line="360" w:lineRule="auto"/>
        <w:jc w:val="both"/>
        <w:rPr>
          <w:rFonts w:cs="Times New Roman"/>
          <w:sz w:val="24"/>
          <w:szCs w:val="24"/>
          <w:lang w:eastAsia="pl-PL"/>
        </w:rPr>
      </w:pPr>
      <w:r w:rsidRPr="00833C88">
        <w:rPr>
          <w:rFonts w:cs="Times New Roman"/>
          <w:sz w:val="24"/>
          <w:szCs w:val="24"/>
          <w:lang w:eastAsia="pl-PL"/>
        </w:rPr>
        <w:t>W </w:t>
      </w:r>
      <w:r w:rsidR="00591996" w:rsidRPr="00833C88">
        <w:rPr>
          <w:rFonts w:cs="Times New Roman"/>
          <w:sz w:val="24"/>
          <w:szCs w:val="24"/>
          <w:lang w:eastAsia="pl-PL"/>
        </w:rPr>
        <w:t>ramach tego sektora wyróżniono:</w:t>
      </w:r>
    </w:p>
    <w:p w14:paraId="68461168" w14:textId="3CE90F5C" w:rsidR="00E76FBA" w:rsidRPr="00833C88" w:rsidRDefault="00E7038B">
      <w:pPr>
        <w:pStyle w:val="Akapitzlist"/>
        <w:numPr>
          <w:ilvl w:val="0"/>
          <w:numId w:val="56"/>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Przedsiębiorstwa spożywcze </w:t>
      </w:r>
      <w:r w:rsidR="00601933" w:rsidRPr="00833C88">
        <w:rPr>
          <w:rFonts w:cs="Times New Roman"/>
          <w:sz w:val="24"/>
          <w:szCs w:val="24"/>
          <w:lang w:eastAsia="pl-PL"/>
        </w:rPr>
        <w:t>w </w:t>
      </w:r>
      <w:r w:rsidRPr="00833C88">
        <w:rPr>
          <w:rFonts w:cs="Times New Roman"/>
          <w:sz w:val="24"/>
          <w:szCs w:val="24"/>
          <w:lang w:eastAsia="pl-PL"/>
        </w:rPr>
        <w:t xml:space="preserve">rozumieniu art. 3 pkt 2 rozporządzenia (WE) nr 178/2002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w:t>
      </w:r>
      <w:r w:rsidR="00601933" w:rsidRPr="00833C88">
        <w:rPr>
          <w:rFonts w:cs="Times New Roman"/>
          <w:sz w:val="24"/>
          <w:szCs w:val="24"/>
          <w:lang w:eastAsia="pl-PL"/>
        </w:rPr>
        <w:t>z </w:t>
      </w:r>
      <w:r w:rsidRPr="00833C88">
        <w:rPr>
          <w:rFonts w:cs="Times New Roman"/>
          <w:sz w:val="24"/>
          <w:szCs w:val="24"/>
          <w:lang w:eastAsia="pl-PL"/>
        </w:rPr>
        <w:t xml:space="preserve">dnia 28 stycznia 2002 r. ustanawiające ogólne zasady </w:t>
      </w:r>
      <w:r w:rsidR="00601933" w:rsidRPr="00833C88">
        <w:rPr>
          <w:rFonts w:cs="Times New Roman"/>
          <w:sz w:val="24"/>
          <w:szCs w:val="24"/>
          <w:lang w:eastAsia="pl-PL"/>
        </w:rPr>
        <w:t>i </w:t>
      </w:r>
      <w:r w:rsidRPr="00833C88">
        <w:rPr>
          <w:rFonts w:cs="Times New Roman"/>
          <w:sz w:val="24"/>
          <w:szCs w:val="24"/>
          <w:lang w:eastAsia="pl-PL"/>
        </w:rPr>
        <w:t xml:space="preserve">wymagania prawa żywnościowego, powołujące Europejski Urząd ds. Bezpieczeństwa Żywności oraz ustanawiające procedury </w:t>
      </w:r>
      <w:r w:rsidR="00601933" w:rsidRPr="00833C88">
        <w:rPr>
          <w:rFonts w:cs="Times New Roman"/>
          <w:sz w:val="24"/>
          <w:szCs w:val="24"/>
          <w:lang w:eastAsia="pl-PL"/>
        </w:rPr>
        <w:t>w </w:t>
      </w:r>
      <w:r w:rsidRPr="00833C88">
        <w:rPr>
          <w:rFonts w:cs="Times New Roman"/>
          <w:sz w:val="24"/>
          <w:szCs w:val="24"/>
          <w:lang w:eastAsia="pl-PL"/>
        </w:rPr>
        <w:t xml:space="preserve">zakresie bezpieczeństwa żywności, zajmujące się dystrybucją hurtową oraz przemysłowymi produkcją </w:t>
      </w:r>
      <w:r w:rsidR="00601933" w:rsidRPr="00833C88">
        <w:rPr>
          <w:rFonts w:cs="Times New Roman"/>
          <w:sz w:val="24"/>
          <w:szCs w:val="24"/>
          <w:lang w:eastAsia="pl-PL"/>
        </w:rPr>
        <w:t>i </w:t>
      </w:r>
      <w:r w:rsidRPr="00833C88">
        <w:rPr>
          <w:rFonts w:cs="Times New Roman"/>
          <w:sz w:val="24"/>
          <w:szCs w:val="24"/>
          <w:lang w:eastAsia="pl-PL"/>
        </w:rPr>
        <w:t xml:space="preserve">przetwarzaniem (Dz. Urz. UE L 31 </w:t>
      </w:r>
      <w:r w:rsidR="00601933" w:rsidRPr="00833C88">
        <w:rPr>
          <w:rFonts w:cs="Times New Roman"/>
          <w:sz w:val="24"/>
          <w:szCs w:val="24"/>
          <w:lang w:eastAsia="pl-PL"/>
        </w:rPr>
        <w:t>z </w:t>
      </w:r>
      <w:r w:rsidRPr="00833C88">
        <w:rPr>
          <w:rFonts w:cs="Times New Roman"/>
          <w:sz w:val="24"/>
          <w:szCs w:val="24"/>
          <w:lang w:eastAsia="pl-PL"/>
        </w:rPr>
        <w:t xml:space="preserve">01.02.2002, str. 1, </w:t>
      </w:r>
      <w:r w:rsidR="00601933" w:rsidRPr="00833C88">
        <w:rPr>
          <w:rFonts w:cs="Times New Roman"/>
          <w:sz w:val="24"/>
          <w:szCs w:val="24"/>
          <w:lang w:eastAsia="pl-PL"/>
        </w:rPr>
        <w:t>z </w:t>
      </w:r>
      <w:r w:rsidRPr="00833C88">
        <w:rPr>
          <w:rFonts w:cs="Times New Roman"/>
          <w:sz w:val="24"/>
          <w:szCs w:val="24"/>
          <w:lang w:eastAsia="pl-PL"/>
        </w:rPr>
        <w:t>późn. zm.).</w:t>
      </w:r>
    </w:p>
    <w:p w14:paraId="4D5A7400" w14:textId="65469A37" w:rsidR="00853984" w:rsidRPr="00833C88" w:rsidRDefault="00853984">
      <w:pPr>
        <w:pStyle w:val="Akapitzlist"/>
        <w:numPr>
          <w:ilvl w:val="0"/>
          <w:numId w:val="68"/>
        </w:numPr>
        <w:spacing w:line="360" w:lineRule="auto"/>
        <w:contextualSpacing w:val="0"/>
        <w:jc w:val="both"/>
        <w:rPr>
          <w:rFonts w:cs="Times New Roman"/>
          <w:sz w:val="24"/>
          <w:szCs w:val="24"/>
          <w:lang w:eastAsia="pl-PL"/>
        </w:rPr>
      </w:pPr>
      <w:r w:rsidRPr="00833C88">
        <w:rPr>
          <w:rFonts w:cs="Times New Roman"/>
          <w:sz w:val="24"/>
          <w:szCs w:val="24"/>
          <w:lang w:eastAsia="pl-PL"/>
        </w:rPr>
        <w:lastRenderedPageBreak/>
        <w:t xml:space="preserve">Analogicznie jak w sektorze produkcji, wytwarzania i dystrybucji chemikaliów, </w:t>
      </w:r>
      <w:r w:rsidR="00331260" w:rsidRPr="00833C88">
        <w:rPr>
          <w:rFonts w:cs="Times New Roman"/>
          <w:sz w:val="24"/>
          <w:szCs w:val="24"/>
          <w:lang w:eastAsia="pl-PL"/>
        </w:rPr>
        <w:t xml:space="preserve">do niniejszego sektora zaliczają się </w:t>
      </w:r>
      <w:r w:rsidR="009C1FC0" w:rsidRPr="00833C88">
        <w:rPr>
          <w:rFonts w:cs="Times New Roman"/>
          <w:sz w:val="24"/>
          <w:szCs w:val="24"/>
          <w:lang w:eastAsia="pl-PL"/>
        </w:rPr>
        <w:t xml:space="preserve">rozłącznie </w:t>
      </w:r>
      <w:r w:rsidR="00331260" w:rsidRPr="00833C88">
        <w:rPr>
          <w:rFonts w:cs="Times New Roman"/>
          <w:sz w:val="24"/>
          <w:szCs w:val="24"/>
          <w:lang w:eastAsia="pl-PL"/>
        </w:rPr>
        <w:t>zarówno przedsiębiorstwa zajmujące się dystrybucją, produkcją jak i przetwarzaniem.</w:t>
      </w:r>
      <w:r w:rsidR="009C1FC0" w:rsidRPr="00833C88">
        <w:rPr>
          <w:rFonts w:cs="Times New Roman"/>
          <w:sz w:val="24"/>
          <w:szCs w:val="24"/>
          <w:lang w:eastAsia="pl-PL"/>
        </w:rPr>
        <w:t xml:space="preserve"> Aby podlegać pod przepisy niniejszej ustawy nie zachodzi konieczność zajmowania się powyższą działalnością łącznie.</w:t>
      </w:r>
    </w:p>
    <w:p w14:paraId="735EB5AD" w14:textId="02545CFB" w:rsidR="00980F3A" w:rsidRPr="00833C88" w:rsidRDefault="00980F3A">
      <w:pPr>
        <w:pStyle w:val="Nagwek4"/>
        <w:numPr>
          <w:ilvl w:val="0"/>
          <w:numId w:val="67"/>
        </w:numPr>
        <w:spacing w:before="0" w:after="120" w:line="360" w:lineRule="auto"/>
        <w:jc w:val="both"/>
        <w:rPr>
          <w:rFonts w:cs="Times New Roman"/>
          <w:sz w:val="24"/>
          <w:szCs w:val="24"/>
          <w:lang w:eastAsia="pl-PL"/>
        </w:rPr>
      </w:pPr>
      <w:r w:rsidRPr="00833C88">
        <w:rPr>
          <w:rFonts w:cs="Times New Roman"/>
          <w:sz w:val="24"/>
          <w:szCs w:val="24"/>
          <w:lang w:eastAsia="pl-PL"/>
        </w:rPr>
        <w:t>Sektor Produkcja</w:t>
      </w:r>
    </w:p>
    <w:p w14:paraId="309BE3B3" w14:textId="329681B7" w:rsidR="00BC6293" w:rsidRPr="00833C88" w:rsidRDefault="005C2F07" w:rsidP="008C2A9E">
      <w:pPr>
        <w:spacing w:line="360" w:lineRule="auto"/>
        <w:jc w:val="both"/>
        <w:rPr>
          <w:rFonts w:cs="Times New Roman"/>
          <w:sz w:val="24"/>
          <w:szCs w:val="24"/>
          <w:lang w:eastAsia="pl-PL"/>
        </w:rPr>
      </w:pPr>
      <w:r w:rsidRPr="00833C88">
        <w:rPr>
          <w:rFonts w:cs="Times New Roman"/>
          <w:sz w:val="24"/>
          <w:szCs w:val="24"/>
          <w:lang w:eastAsia="pl-PL"/>
        </w:rPr>
        <w:t>Zaburzenie ciągłości łańcuchów dostaw towarów może doprowadzić do poważnego utrudnienia funkcjonowania gospodarki</w:t>
      </w:r>
      <w:r w:rsidR="00A82889" w:rsidRPr="00833C88">
        <w:rPr>
          <w:rFonts w:cs="Times New Roman"/>
          <w:sz w:val="24"/>
          <w:szCs w:val="24"/>
          <w:lang w:eastAsia="pl-PL"/>
        </w:rPr>
        <w:t>.</w:t>
      </w:r>
    </w:p>
    <w:p w14:paraId="2765190F" w14:textId="46677399" w:rsidR="003F0C17" w:rsidRPr="00833C88" w:rsidRDefault="003F0C17" w:rsidP="003F0C17">
      <w:pPr>
        <w:spacing w:line="360" w:lineRule="auto"/>
        <w:jc w:val="both"/>
        <w:rPr>
          <w:rFonts w:cs="Times New Roman"/>
          <w:sz w:val="24"/>
          <w:szCs w:val="24"/>
          <w:lang w:eastAsia="pl-PL"/>
        </w:rPr>
      </w:pPr>
      <w:r w:rsidRPr="00833C88">
        <w:rPr>
          <w:rFonts w:cs="Times New Roman"/>
          <w:sz w:val="24"/>
          <w:szCs w:val="24"/>
          <w:lang w:eastAsia="pl-PL"/>
        </w:rPr>
        <w:t xml:space="preserve">Sektor produkcji mierzy </w:t>
      </w:r>
      <w:r w:rsidR="00EE022D" w:rsidRPr="00833C88">
        <w:rPr>
          <w:rFonts w:cs="Times New Roman"/>
          <w:sz w:val="24"/>
          <w:szCs w:val="24"/>
          <w:lang w:eastAsia="pl-PL"/>
        </w:rPr>
        <w:t xml:space="preserve">z różnymi </w:t>
      </w:r>
      <w:r w:rsidR="004708FD" w:rsidRPr="00833C88">
        <w:rPr>
          <w:rFonts w:cs="Times New Roman"/>
          <w:sz w:val="24"/>
          <w:szCs w:val="24"/>
          <w:lang w:eastAsia="pl-PL"/>
        </w:rPr>
        <w:t>zagrożeniami, takimi jak:</w:t>
      </w:r>
    </w:p>
    <w:p w14:paraId="6C7F23DF" w14:textId="4AFA71D2" w:rsidR="003F0C17" w:rsidRPr="00833C88" w:rsidRDefault="003F0C17" w:rsidP="00711603">
      <w:pPr>
        <w:pStyle w:val="Akapitzlist"/>
        <w:numPr>
          <w:ilvl w:val="0"/>
          <w:numId w:val="56"/>
        </w:numPr>
        <w:spacing w:line="360" w:lineRule="auto"/>
        <w:jc w:val="both"/>
        <w:rPr>
          <w:rFonts w:cs="Times New Roman"/>
          <w:sz w:val="24"/>
          <w:szCs w:val="24"/>
          <w:lang w:eastAsia="pl-PL"/>
        </w:rPr>
      </w:pPr>
      <w:r w:rsidRPr="00833C88">
        <w:rPr>
          <w:rFonts w:cs="Times New Roman"/>
          <w:sz w:val="24"/>
          <w:szCs w:val="24"/>
          <w:lang w:eastAsia="pl-PL"/>
        </w:rPr>
        <w:t>atak</w:t>
      </w:r>
      <w:r w:rsidR="004708FD" w:rsidRPr="00833C88">
        <w:rPr>
          <w:rFonts w:cs="Times New Roman"/>
          <w:sz w:val="24"/>
          <w:szCs w:val="24"/>
          <w:lang w:eastAsia="pl-PL"/>
        </w:rPr>
        <w:t>i</w:t>
      </w:r>
      <w:r w:rsidRPr="00833C88">
        <w:rPr>
          <w:rFonts w:cs="Times New Roman"/>
          <w:sz w:val="24"/>
          <w:szCs w:val="24"/>
          <w:lang w:eastAsia="pl-PL"/>
        </w:rPr>
        <w:t xml:space="preserve"> poprzez łańcuch dostaw </w:t>
      </w:r>
      <w:r w:rsidR="00711603" w:rsidRPr="00833C88">
        <w:rPr>
          <w:rFonts w:cs="Times New Roman"/>
          <w:sz w:val="24"/>
          <w:szCs w:val="24"/>
          <w:lang w:eastAsia="pl-PL"/>
        </w:rPr>
        <w:t>–</w:t>
      </w:r>
      <w:r w:rsidRPr="00833C88">
        <w:rPr>
          <w:rFonts w:cs="Times New Roman"/>
          <w:sz w:val="24"/>
          <w:szCs w:val="24"/>
          <w:lang w:eastAsia="pl-PL"/>
        </w:rPr>
        <w:t xml:space="preserve"> brak odpowiednich środków technicznych i</w:t>
      </w:r>
      <w:r w:rsidR="0076020B" w:rsidRPr="00833C88">
        <w:rPr>
          <w:rFonts w:cs="Times New Roman"/>
          <w:sz w:val="24"/>
          <w:szCs w:val="24"/>
          <w:lang w:eastAsia="pl-PL"/>
        </w:rPr>
        <w:t> </w:t>
      </w:r>
      <w:r w:rsidRPr="00833C88">
        <w:rPr>
          <w:rFonts w:cs="Times New Roman"/>
          <w:sz w:val="24"/>
          <w:szCs w:val="24"/>
          <w:lang w:eastAsia="pl-PL"/>
        </w:rPr>
        <w:t xml:space="preserve">organizacyjnych w relacjami z dostawcami może spowodować, że złośliwi </w:t>
      </w:r>
      <w:r w:rsidR="0076020B" w:rsidRPr="00833C88">
        <w:rPr>
          <w:rFonts w:cs="Times New Roman"/>
          <w:sz w:val="24"/>
          <w:szCs w:val="24"/>
          <w:lang w:eastAsia="pl-PL"/>
        </w:rPr>
        <w:t>„</w:t>
      </w:r>
      <w:r w:rsidRPr="00833C88">
        <w:rPr>
          <w:rFonts w:cs="Times New Roman"/>
          <w:sz w:val="24"/>
          <w:szCs w:val="24"/>
          <w:lang w:eastAsia="pl-PL"/>
        </w:rPr>
        <w:t>aktorzy</w:t>
      </w:r>
      <w:r w:rsidR="0076020B" w:rsidRPr="00833C88">
        <w:rPr>
          <w:rFonts w:cs="Times New Roman"/>
          <w:sz w:val="24"/>
          <w:szCs w:val="24"/>
          <w:lang w:eastAsia="pl-PL"/>
        </w:rPr>
        <w:t>”</w:t>
      </w:r>
      <w:r w:rsidRPr="00833C88">
        <w:rPr>
          <w:rFonts w:cs="Times New Roman"/>
          <w:sz w:val="24"/>
          <w:szCs w:val="24"/>
          <w:lang w:eastAsia="pl-PL"/>
        </w:rPr>
        <w:t xml:space="preserve"> będą próbowali zdobyć dostęp do kluczowych danych i systemów poprzez systemy dostawcy</w:t>
      </w:r>
    </w:p>
    <w:p w14:paraId="64901087" w14:textId="489AFD05" w:rsidR="003F0C17" w:rsidRPr="00833C88" w:rsidRDefault="003F0C17" w:rsidP="00711603">
      <w:pPr>
        <w:pStyle w:val="Akapitzlist"/>
        <w:numPr>
          <w:ilvl w:val="0"/>
          <w:numId w:val="56"/>
        </w:numPr>
        <w:spacing w:line="360" w:lineRule="auto"/>
        <w:jc w:val="both"/>
        <w:rPr>
          <w:rFonts w:cs="Times New Roman"/>
          <w:sz w:val="24"/>
          <w:szCs w:val="24"/>
          <w:lang w:eastAsia="pl-PL"/>
        </w:rPr>
      </w:pPr>
      <w:r w:rsidRPr="00833C88">
        <w:rPr>
          <w:rFonts w:cs="Times New Roman"/>
          <w:sz w:val="24"/>
          <w:szCs w:val="24"/>
          <w:lang w:eastAsia="pl-PL"/>
        </w:rPr>
        <w:t>kradzież własności intelektualnej, naruszenie tajemnicy przedsiębiorstwa</w:t>
      </w:r>
    </w:p>
    <w:p w14:paraId="05D70841" w14:textId="77777777" w:rsidR="003F0C17" w:rsidRPr="00833C88" w:rsidRDefault="003F0C17" w:rsidP="00711603">
      <w:pPr>
        <w:pStyle w:val="Akapitzlist"/>
        <w:numPr>
          <w:ilvl w:val="0"/>
          <w:numId w:val="56"/>
        </w:numPr>
        <w:spacing w:line="360" w:lineRule="auto"/>
        <w:jc w:val="both"/>
        <w:rPr>
          <w:rFonts w:cs="Times New Roman"/>
          <w:sz w:val="24"/>
          <w:szCs w:val="24"/>
          <w:lang w:eastAsia="pl-PL"/>
        </w:rPr>
      </w:pPr>
      <w:r w:rsidRPr="00833C88">
        <w:rPr>
          <w:rFonts w:cs="Times New Roman"/>
          <w:sz w:val="24"/>
          <w:szCs w:val="24"/>
          <w:lang w:eastAsia="pl-PL"/>
        </w:rPr>
        <w:t>ataki na niezabezpieczone przemysłowe urządzenia Internetu Rzeczy, dzięki czemu atakujący mogą monitorować i kontrolować procesy w fabryce</w:t>
      </w:r>
    </w:p>
    <w:p w14:paraId="256446BC" w14:textId="77777777" w:rsidR="003F0C17" w:rsidRPr="00833C88" w:rsidRDefault="003F0C17" w:rsidP="00711603">
      <w:pPr>
        <w:pStyle w:val="Akapitzlist"/>
        <w:numPr>
          <w:ilvl w:val="0"/>
          <w:numId w:val="56"/>
        </w:numPr>
        <w:spacing w:line="360" w:lineRule="auto"/>
        <w:jc w:val="both"/>
        <w:rPr>
          <w:rFonts w:cs="Times New Roman"/>
          <w:sz w:val="24"/>
          <w:szCs w:val="24"/>
          <w:lang w:eastAsia="pl-PL"/>
        </w:rPr>
      </w:pPr>
      <w:r w:rsidRPr="00833C88">
        <w:rPr>
          <w:rFonts w:cs="Times New Roman"/>
          <w:sz w:val="24"/>
          <w:szCs w:val="24"/>
          <w:lang w:eastAsia="pl-PL"/>
        </w:rPr>
        <w:t xml:space="preserve">ataki </w:t>
      </w:r>
      <w:proofErr w:type="spellStart"/>
      <w:r w:rsidRPr="00833C88">
        <w:rPr>
          <w:rFonts w:cs="Times New Roman"/>
          <w:sz w:val="24"/>
          <w:szCs w:val="24"/>
          <w:lang w:eastAsia="pl-PL"/>
        </w:rPr>
        <w:t>phishingowe</w:t>
      </w:r>
      <w:proofErr w:type="spellEnd"/>
      <w:r w:rsidRPr="00833C88">
        <w:rPr>
          <w:rFonts w:cs="Times New Roman"/>
          <w:sz w:val="24"/>
          <w:szCs w:val="24"/>
          <w:lang w:eastAsia="pl-PL"/>
        </w:rPr>
        <w:t xml:space="preserve"> nakierowane na pracowników fabryki</w:t>
      </w:r>
    </w:p>
    <w:p w14:paraId="12FA58B7" w14:textId="77777777" w:rsidR="003F0C17" w:rsidRPr="00833C88" w:rsidRDefault="003F0C17" w:rsidP="00711603">
      <w:pPr>
        <w:pStyle w:val="Akapitzlist"/>
        <w:numPr>
          <w:ilvl w:val="0"/>
          <w:numId w:val="56"/>
        </w:numPr>
        <w:spacing w:line="360" w:lineRule="auto"/>
        <w:jc w:val="both"/>
        <w:rPr>
          <w:rFonts w:cs="Times New Roman"/>
          <w:sz w:val="24"/>
          <w:szCs w:val="24"/>
          <w:lang w:eastAsia="pl-PL"/>
        </w:rPr>
      </w:pPr>
      <w:r w:rsidRPr="00833C88">
        <w:rPr>
          <w:rFonts w:cs="Times New Roman"/>
          <w:sz w:val="24"/>
          <w:szCs w:val="24"/>
          <w:lang w:eastAsia="pl-PL"/>
        </w:rPr>
        <w:t xml:space="preserve">ataki </w:t>
      </w:r>
      <w:proofErr w:type="spellStart"/>
      <w:r w:rsidRPr="00833C88">
        <w:rPr>
          <w:rFonts w:cs="Times New Roman"/>
          <w:sz w:val="24"/>
          <w:szCs w:val="24"/>
          <w:lang w:eastAsia="pl-PL"/>
        </w:rPr>
        <w:t>ransomware</w:t>
      </w:r>
      <w:proofErr w:type="spellEnd"/>
      <w:r w:rsidRPr="00833C88">
        <w:rPr>
          <w:rFonts w:cs="Times New Roman"/>
          <w:sz w:val="24"/>
          <w:szCs w:val="24"/>
          <w:lang w:eastAsia="pl-PL"/>
        </w:rPr>
        <w:t xml:space="preserve"> prowadzące do zaszyfrowania danych oraz utrudniające produkcję </w:t>
      </w:r>
    </w:p>
    <w:p w14:paraId="52CDACCC" w14:textId="292A23B9" w:rsidR="003F0C17" w:rsidRPr="00833C88" w:rsidRDefault="003F0C17" w:rsidP="00711603">
      <w:pPr>
        <w:pStyle w:val="Akapitzlist"/>
        <w:numPr>
          <w:ilvl w:val="0"/>
          <w:numId w:val="56"/>
        </w:numPr>
        <w:spacing w:line="360" w:lineRule="auto"/>
        <w:jc w:val="both"/>
        <w:rPr>
          <w:rFonts w:cs="Times New Roman"/>
          <w:sz w:val="24"/>
          <w:szCs w:val="24"/>
          <w:lang w:eastAsia="pl-PL"/>
        </w:rPr>
      </w:pPr>
      <w:r w:rsidRPr="00833C88">
        <w:rPr>
          <w:rFonts w:cs="Times New Roman"/>
          <w:sz w:val="24"/>
          <w:szCs w:val="24"/>
          <w:lang w:eastAsia="pl-PL"/>
        </w:rPr>
        <w:t>ataki prowadzące do fizycznego uszkodzenia urządzeń produkcyjnych.</w:t>
      </w:r>
    </w:p>
    <w:p w14:paraId="7D32FCC0" w14:textId="1D590DAC" w:rsidR="00980F3A" w:rsidRPr="00833C88" w:rsidRDefault="00F41815" w:rsidP="008C2A9E">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6.1 </w:t>
      </w:r>
      <w:r w:rsidR="00A277D7" w:rsidRPr="00833C88">
        <w:rPr>
          <w:rFonts w:cs="Times New Roman"/>
          <w:sz w:val="24"/>
          <w:szCs w:val="24"/>
          <w:lang w:eastAsia="pl-PL"/>
        </w:rPr>
        <w:t>P</w:t>
      </w:r>
      <w:r w:rsidR="00980F3A" w:rsidRPr="00833C88">
        <w:rPr>
          <w:rFonts w:cs="Times New Roman"/>
          <w:sz w:val="24"/>
          <w:szCs w:val="24"/>
          <w:lang w:eastAsia="pl-PL"/>
        </w:rPr>
        <w:t>odsektor</w:t>
      </w:r>
      <w:r w:rsidR="00A277D7" w:rsidRPr="00833C88">
        <w:rPr>
          <w:rFonts w:cs="Times New Roman"/>
          <w:sz w:val="24"/>
          <w:szCs w:val="24"/>
          <w:lang w:eastAsia="pl-PL"/>
        </w:rPr>
        <w:t xml:space="preserve"> Produkcja wyrobów medycznych </w:t>
      </w:r>
      <w:r w:rsidR="00601933" w:rsidRPr="00833C88">
        <w:rPr>
          <w:rFonts w:cs="Times New Roman"/>
          <w:sz w:val="24"/>
          <w:szCs w:val="24"/>
          <w:lang w:eastAsia="pl-PL"/>
        </w:rPr>
        <w:t>i </w:t>
      </w:r>
      <w:r w:rsidR="00A277D7" w:rsidRPr="00833C88">
        <w:rPr>
          <w:rFonts w:cs="Times New Roman"/>
          <w:sz w:val="24"/>
          <w:szCs w:val="24"/>
          <w:lang w:eastAsia="pl-PL"/>
        </w:rPr>
        <w:t>wyrobów medycznych do diagnostyki in vitro</w:t>
      </w:r>
      <w:r w:rsidR="00A82889" w:rsidRPr="00833C88">
        <w:rPr>
          <w:rFonts w:cs="Times New Roman"/>
          <w:sz w:val="24"/>
          <w:szCs w:val="24"/>
          <w:lang w:eastAsia="pl-PL"/>
        </w:rPr>
        <w:t>.</w:t>
      </w:r>
    </w:p>
    <w:p w14:paraId="3215C984" w14:textId="3EF55A03" w:rsidR="000269C7" w:rsidRPr="00833C88" w:rsidRDefault="00601933" w:rsidP="008C2A9E">
      <w:pPr>
        <w:spacing w:line="360" w:lineRule="auto"/>
        <w:jc w:val="both"/>
        <w:rPr>
          <w:rFonts w:cs="Times New Roman"/>
          <w:sz w:val="24"/>
          <w:szCs w:val="24"/>
          <w:lang w:eastAsia="pl-PL"/>
        </w:rPr>
      </w:pPr>
      <w:r w:rsidRPr="00833C88">
        <w:rPr>
          <w:rFonts w:cs="Times New Roman"/>
          <w:sz w:val="24"/>
          <w:szCs w:val="24"/>
          <w:lang w:eastAsia="pl-PL"/>
        </w:rPr>
        <w:t>W </w:t>
      </w:r>
      <w:r w:rsidR="000269C7" w:rsidRPr="00833C88">
        <w:rPr>
          <w:rFonts w:cs="Times New Roman"/>
          <w:sz w:val="24"/>
          <w:szCs w:val="24"/>
          <w:lang w:eastAsia="pl-PL"/>
        </w:rPr>
        <w:t xml:space="preserve">ramach tego podsektora wskazano </w:t>
      </w:r>
      <w:r w:rsidR="006D6D80" w:rsidRPr="00833C88">
        <w:rPr>
          <w:rFonts w:cs="Times New Roman"/>
          <w:sz w:val="24"/>
          <w:szCs w:val="24"/>
          <w:lang w:eastAsia="pl-PL"/>
        </w:rPr>
        <w:t>dwa rodzaje podmiotów:</w:t>
      </w:r>
    </w:p>
    <w:p w14:paraId="26499CD8" w14:textId="245E2485" w:rsidR="0075412A" w:rsidRPr="00833C88" w:rsidRDefault="0075412A">
      <w:pPr>
        <w:pStyle w:val="Akapitzlist"/>
        <w:numPr>
          <w:ilvl w:val="0"/>
          <w:numId w:val="55"/>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Podmioty produkujące wyroby medyczne </w:t>
      </w:r>
      <w:r w:rsidR="00601933" w:rsidRPr="00833C88">
        <w:rPr>
          <w:rFonts w:cs="Times New Roman"/>
          <w:sz w:val="24"/>
          <w:szCs w:val="24"/>
          <w:lang w:eastAsia="pl-PL"/>
        </w:rPr>
        <w:t>w </w:t>
      </w:r>
      <w:r w:rsidRPr="00833C88">
        <w:rPr>
          <w:rFonts w:cs="Times New Roman"/>
          <w:sz w:val="24"/>
          <w:szCs w:val="24"/>
          <w:lang w:eastAsia="pl-PL"/>
        </w:rPr>
        <w:t xml:space="preserve">rozumieniu art. 2 ust. 1 rozporządzenia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(UE) 2017/745 </w:t>
      </w:r>
      <w:r w:rsidR="00601933" w:rsidRPr="00833C88">
        <w:rPr>
          <w:rFonts w:cs="Times New Roman"/>
          <w:sz w:val="24"/>
          <w:szCs w:val="24"/>
          <w:lang w:eastAsia="pl-PL"/>
        </w:rPr>
        <w:t>z </w:t>
      </w:r>
      <w:r w:rsidRPr="00833C88">
        <w:rPr>
          <w:rFonts w:cs="Times New Roman"/>
          <w:sz w:val="24"/>
          <w:szCs w:val="24"/>
          <w:lang w:eastAsia="pl-PL"/>
        </w:rPr>
        <w:t xml:space="preserve">dnia 5 kwietnia 2017 r. </w:t>
      </w:r>
      <w:r w:rsidR="00601933" w:rsidRPr="00833C88">
        <w:rPr>
          <w:rFonts w:cs="Times New Roman"/>
          <w:sz w:val="24"/>
          <w:szCs w:val="24"/>
          <w:lang w:eastAsia="pl-PL"/>
        </w:rPr>
        <w:t>w </w:t>
      </w:r>
      <w:r w:rsidRPr="00833C88">
        <w:rPr>
          <w:rFonts w:cs="Times New Roman"/>
          <w:sz w:val="24"/>
          <w:szCs w:val="24"/>
          <w:lang w:eastAsia="pl-PL"/>
        </w:rPr>
        <w:t>sprawie wyrobów medycznych, zmiany dyrektywy 2001/83/WE, rozporządzenia (WE) nr</w:t>
      </w:r>
      <w:r w:rsidR="0076020B" w:rsidRPr="00833C88">
        <w:rPr>
          <w:rFonts w:cs="Times New Roman"/>
          <w:sz w:val="24"/>
          <w:szCs w:val="24"/>
          <w:lang w:eastAsia="pl-PL"/>
        </w:rPr>
        <w:t> </w:t>
      </w:r>
      <w:r w:rsidRPr="00833C88">
        <w:rPr>
          <w:rFonts w:cs="Times New Roman"/>
          <w:sz w:val="24"/>
          <w:szCs w:val="24"/>
          <w:lang w:eastAsia="pl-PL"/>
        </w:rPr>
        <w:t xml:space="preserve">178/2002 </w:t>
      </w:r>
      <w:r w:rsidR="00601933" w:rsidRPr="00833C88">
        <w:rPr>
          <w:rFonts w:cs="Times New Roman"/>
          <w:sz w:val="24"/>
          <w:szCs w:val="24"/>
          <w:lang w:eastAsia="pl-PL"/>
        </w:rPr>
        <w:t>i </w:t>
      </w:r>
      <w:r w:rsidRPr="00833C88">
        <w:rPr>
          <w:rFonts w:cs="Times New Roman"/>
          <w:sz w:val="24"/>
          <w:szCs w:val="24"/>
          <w:lang w:eastAsia="pl-PL"/>
        </w:rPr>
        <w:t xml:space="preserve">rozporządzenia (WE) nr 1223/2009 oraz uchylenia dyrektyw Rady 90/385/EWG </w:t>
      </w:r>
      <w:r w:rsidR="00601933" w:rsidRPr="00833C88">
        <w:rPr>
          <w:rFonts w:cs="Times New Roman"/>
          <w:sz w:val="24"/>
          <w:szCs w:val="24"/>
          <w:lang w:eastAsia="pl-PL"/>
        </w:rPr>
        <w:t>i </w:t>
      </w:r>
      <w:r w:rsidRPr="00833C88">
        <w:rPr>
          <w:rFonts w:cs="Times New Roman"/>
          <w:sz w:val="24"/>
          <w:szCs w:val="24"/>
          <w:lang w:eastAsia="pl-PL"/>
        </w:rPr>
        <w:t xml:space="preserve">93/42/EWG (Dz. Urz. UE L 117 </w:t>
      </w:r>
      <w:r w:rsidR="00601933" w:rsidRPr="00833C88">
        <w:rPr>
          <w:rFonts w:cs="Times New Roman"/>
          <w:sz w:val="24"/>
          <w:szCs w:val="24"/>
          <w:lang w:eastAsia="pl-PL"/>
        </w:rPr>
        <w:t>z </w:t>
      </w:r>
      <w:r w:rsidRPr="00833C88">
        <w:rPr>
          <w:rFonts w:cs="Times New Roman"/>
          <w:sz w:val="24"/>
          <w:szCs w:val="24"/>
          <w:lang w:eastAsia="pl-PL"/>
        </w:rPr>
        <w:t xml:space="preserve">05.05.2017, str. 1, </w:t>
      </w:r>
      <w:r w:rsidR="00601933" w:rsidRPr="00833C88">
        <w:rPr>
          <w:rFonts w:cs="Times New Roman"/>
          <w:sz w:val="24"/>
          <w:szCs w:val="24"/>
          <w:lang w:eastAsia="pl-PL"/>
        </w:rPr>
        <w:t>z </w:t>
      </w:r>
      <w:r w:rsidRPr="00833C88">
        <w:rPr>
          <w:rFonts w:cs="Times New Roman"/>
          <w:sz w:val="24"/>
          <w:szCs w:val="24"/>
          <w:lang w:eastAsia="pl-PL"/>
        </w:rPr>
        <w:t>późn. zm.).</w:t>
      </w:r>
    </w:p>
    <w:p w14:paraId="08578555" w14:textId="4AABCDEB" w:rsidR="0075412A" w:rsidRPr="00833C88" w:rsidRDefault="0075412A">
      <w:pPr>
        <w:pStyle w:val="Akapitzlist"/>
        <w:numPr>
          <w:ilvl w:val="0"/>
          <w:numId w:val="55"/>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Podmioty produkujące wyroby medyczne do diagnostyki in vitro </w:t>
      </w:r>
      <w:r w:rsidR="00601933" w:rsidRPr="00833C88">
        <w:rPr>
          <w:rFonts w:cs="Times New Roman"/>
          <w:sz w:val="24"/>
          <w:szCs w:val="24"/>
          <w:lang w:eastAsia="pl-PL"/>
        </w:rPr>
        <w:t>w </w:t>
      </w:r>
      <w:r w:rsidRPr="00833C88">
        <w:rPr>
          <w:rFonts w:cs="Times New Roman"/>
          <w:sz w:val="24"/>
          <w:szCs w:val="24"/>
          <w:lang w:eastAsia="pl-PL"/>
        </w:rPr>
        <w:t xml:space="preserve">rozumieniu art. 2 ust. 2 rozporządzenia Parlamentu Europejskiego </w:t>
      </w:r>
      <w:r w:rsidR="00601933" w:rsidRPr="00833C88">
        <w:rPr>
          <w:rFonts w:cs="Times New Roman"/>
          <w:sz w:val="24"/>
          <w:szCs w:val="24"/>
          <w:lang w:eastAsia="pl-PL"/>
        </w:rPr>
        <w:t>i </w:t>
      </w:r>
      <w:r w:rsidRPr="00833C88">
        <w:rPr>
          <w:rFonts w:cs="Times New Roman"/>
          <w:sz w:val="24"/>
          <w:szCs w:val="24"/>
          <w:lang w:eastAsia="pl-PL"/>
        </w:rPr>
        <w:t xml:space="preserve">Rady (UE) 2017/746 </w:t>
      </w:r>
      <w:r w:rsidR="00601933" w:rsidRPr="00833C88">
        <w:rPr>
          <w:rFonts w:cs="Times New Roman"/>
          <w:sz w:val="24"/>
          <w:szCs w:val="24"/>
          <w:lang w:eastAsia="pl-PL"/>
        </w:rPr>
        <w:t>z </w:t>
      </w:r>
      <w:r w:rsidRPr="00833C88">
        <w:rPr>
          <w:rFonts w:cs="Times New Roman"/>
          <w:sz w:val="24"/>
          <w:szCs w:val="24"/>
          <w:lang w:eastAsia="pl-PL"/>
        </w:rPr>
        <w:t>dnia 5 kwietnia 2017 r.</w:t>
      </w:r>
      <w:r w:rsidR="00B838E6" w:rsidRPr="00833C88">
        <w:rPr>
          <w:rFonts w:cs="Times New Roman"/>
          <w:sz w:val="24"/>
          <w:szCs w:val="24"/>
          <w:lang w:eastAsia="pl-PL"/>
        </w:rPr>
        <w:t xml:space="preserve"> </w:t>
      </w:r>
      <w:r w:rsidR="00601933" w:rsidRPr="00833C88">
        <w:rPr>
          <w:rFonts w:cs="Times New Roman"/>
          <w:sz w:val="24"/>
          <w:szCs w:val="24"/>
          <w:lang w:eastAsia="pl-PL"/>
        </w:rPr>
        <w:t>w </w:t>
      </w:r>
      <w:r w:rsidRPr="00833C88">
        <w:rPr>
          <w:rFonts w:cs="Times New Roman"/>
          <w:sz w:val="24"/>
          <w:szCs w:val="24"/>
          <w:lang w:eastAsia="pl-PL"/>
        </w:rPr>
        <w:t xml:space="preserve">sprawie wyrobów medycznych do diagnostyki in vitro oraz uchylenia dyrektywy 98/79/WE </w:t>
      </w:r>
      <w:r w:rsidR="00601933" w:rsidRPr="00833C88">
        <w:rPr>
          <w:rFonts w:cs="Times New Roman"/>
          <w:sz w:val="24"/>
          <w:szCs w:val="24"/>
          <w:lang w:eastAsia="pl-PL"/>
        </w:rPr>
        <w:t>i </w:t>
      </w:r>
      <w:r w:rsidRPr="00833C88">
        <w:rPr>
          <w:rFonts w:cs="Times New Roman"/>
          <w:sz w:val="24"/>
          <w:szCs w:val="24"/>
          <w:lang w:eastAsia="pl-PL"/>
        </w:rPr>
        <w:t xml:space="preserve">decyzji Komisji 2010/227/UE (Dz. Urz. UE L 117 </w:t>
      </w:r>
      <w:r w:rsidR="00601933" w:rsidRPr="00833C88">
        <w:rPr>
          <w:rFonts w:cs="Times New Roman"/>
          <w:sz w:val="24"/>
          <w:szCs w:val="24"/>
          <w:lang w:eastAsia="pl-PL"/>
        </w:rPr>
        <w:lastRenderedPageBreak/>
        <w:t>z </w:t>
      </w:r>
      <w:r w:rsidRPr="00833C88">
        <w:rPr>
          <w:rFonts w:cs="Times New Roman"/>
          <w:sz w:val="24"/>
          <w:szCs w:val="24"/>
          <w:lang w:eastAsia="pl-PL"/>
        </w:rPr>
        <w:t xml:space="preserve">05.05.2017, str. 176, </w:t>
      </w:r>
      <w:r w:rsidR="00601933" w:rsidRPr="00833C88">
        <w:rPr>
          <w:rFonts w:cs="Times New Roman"/>
          <w:sz w:val="24"/>
          <w:szCs w:val="24"/>
          <w:lang w:eastAsia="pl-PL"/>
        </w:rPr>
        <w:t>z </w:t>
      </w:r>
      <w:r w:rsidRPr="00833C88">
        <w:rPr>
          <w:rFonts w:cs="Times New Roman"/>
          <w:sz w:val="24"/>
          <w:szCs w:val="24"/>
          <w:lang w:eastAsia="pl-PL"/>
        </w:rPr>
        <w:t xml:space="preserve">późn. zm.), </w:t>
      </w:r>
      <w:r w:rsidR="00601933" w:rsidRPr="00833C88">
        <w:rPr>
          <w:rFonts w:cs="Times New Roman"/>
          <w:sz w:val="24"/>
          <w:szCs w:val="24"/>
          <w:lang w:eastAsia="pl-PL"/>
        </w:rPr>
        <w:t>z </w:t>
      </w:r>
      <w:r w:rsidRPr="00833C88">
        <w:rPr>
          <w:rFonts w:cs="Times New Roman"/>
          <w:sz w:val="24"/>
          <w:szCs w:val="24"/>
          <w:lang w:eastAsia="pl-PL"/>
        </w:rPr>
        <w:t>wyjątkiem podmiotów produkujących wyroby medyczne uznane za mające krytyczne znaczenie podczas danego stanu zagrożenia zdrowia publicznego.</w:t>
      </w:r>
    </w:p>
    <w:p w14:paraId="7C9AEA93" w14:textId="797FAF8B" w:rsidR="001662A0" w:rsidRPr="00833C88" w:rsidRDefault="00F41815" w:rsidP="008C2A9E">
      <w:pPr>
        <w:pStyle w:val="Nagwek5"/>
        <w:numPr>
          <w:ilvl w:val="0"/>
          <w:numId w:val="0"/>
        </w:numPr>
        <w:spacing w:before="0" w:after="120" w:line="360" w:lineRule="auto"/>
        <w:ind w:left="360"/>
        <w:rPr>
          <w:rFonts w:cs="Times New Roman"/>
          <w:sz w:val="24"/>
          <w:szCs w:val="24"/>
          <w:lang w:eastAsia="pl-PL"/>
        </w:rPr>
      </w:pPr>
      <w:r w:rsidRPr="00833C88">
        <w:rPr>
          <w:rFonts w:cs="Times New Roman"/>
          <w:sz w:val="24"/>
          <w:szCs w:val="24"/>
          <w:lang w:eastAsia="pl-PL"/>
        </w:rPr>
        <w:t xml:space="preserve">6.2 </w:t>
      </w:r>
      <w:r w:rsidR="00D446E9" w:rsidRPr="00833C88">
        <w:rPr>
          <w:rFonts w:cs="Times New Roman"/>
          <w:sz w:val="24"/>
          <w:szCs w:val="24"/>
          <w:lang w:eastAsia="pl-PL"/>
        </w:rPr>
        <w:t xml:space="preserve">Podsektor </w:t>
      </w:r>
      <w:r w:rsidR="001662A0" w:rsidRPr="00833C88">
        <w:rPr>
          <w:rFonts w:cs="Times New Roman"/>
          <w:sz w:val="24"/>
          <w:szCs w:val="24"/>
          <w:lang w:eastAsia="pl-PL"/>
        </w:rPr>
        <w:t xml:space="preserve">Produkcja komputerów, wyrobów elektronicznych </w:t>
      </w:r>
      <w:r w:rsidR="00601933" w:rsidRPr="00833C88">
        <w:rPr>
          <w:rFonts w:cs="Times New Roman"/>
          <w:sz w:val="24"/>
          <w:szCs w:val="24"/>
          <w:lang w:eastAsia="pl-PL"/>
        </w:rPr>
        <w:t>i </w:t>
      </w:r>
      <w:r w:rsidR="001662A0" w:rsidRPr="00833C88">
        <w:rPr>
          <w:rFonts w:cs="Times New Roman"/>
          <w:sz w:val="24"/>
          <w:szCs w:val="24"/>
          <w:lang w:eastAsia="pl-PL"/>
        </w:rPr>
        <w:t>optycznych</w:t>
      </w:r>
    </w:p>
    <w:p w14:paraId="51C4F2C3" w14:textId="2EEC24A6" w:rsidR="001662A0" w:rsidRPr="00833C88" w:rsidRDefault="001662A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Przedsiębiorca prowadzący którykolwiek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rodzajów działalności gospodarczej,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sekcji C dział 26 klasyfikacji </w:t>
      </w:r>
      <w:proofErr w:type="spellStart"/>
      <w:r w:rsidRPr="00833C88">
        <w:rPr>
          <w:rFonts w:eastAsia="Times New Roman" w:cs="Times New Roman"/>
          <w:sz w:val="24"/>
          <w:szCs w:val="24"/>
          <w:lang w:eastAsia="pl-PL"/>
        </w:rPr>
        <w:t>NACE</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Rev</w:t>
      </w:r>
      <w:proofErr w:type="spellEnd"/>
      <w:r w:rsidRPr="00833C88">
        <w:rPr>
          <w:rFonts w:eastAsia="Times New Roman" w:cs="Times New Roman"/>
          <w:sz w:val="24"/>
          <w:szCs w:val="24"/>
          <w:lang w:eastAsia="pl-PL"/>
        </w:rPr>
        <w:t xml:space="preserve">. 2, ujętej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załączniku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do rozporządzenia (WE) nr 1893/2006 Parlamentu Europejskiego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Rady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20 grudnia 2006 r.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sprawie statystycznej klasyfikacji działalności gospodarczej </w:t>
      </w:r>
      <w:proofErr w:type="spellStart"/>
      <w:r w:rsidRPr="00833C88">
        <w:rPr>
          <w:rFonts w:eastAsia="Times New Roman" w:cs="Times New Roman"/>
          <w:sz w:val="24"/>
          <w:szCs w:val="24"/>
          <w:lang w:eastAsia="pl-PL"/>
        </w:rPr>
        <w:t>NACE</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Rev</w:t>
      </w:r>
      <w:proofErr w:type="spellEnd"/>
      <w:r w:rsidRPr="00833C88">
        <w:rPr>
          <w:rFonts w:eastAsia="Times New Roman" w:cs="Times New Roman"/>
          <w:sz w:val="24"/>
          <w:szCs w:val="24"/>
          <w:lang w:eastAsia="pl-PL"/>
        </w:rPr>
        <w:t xml:space="preserve">. 2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zmieniającego rozporządzenie Rady (EWG) nr 3037/90 oraz niektóre rozporządzenia WE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sprawie określonych dziedzin statystycznych (Dz. Urz. UE L 393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30.12.2006, str. 1,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późn. zm.).</w:t>
      </w:r>
    </w:p>
    <w:tbl>
      <w:tblPr>
        <w:tblStyle w:val="Tabela-Siatka"/>
        <w:tblW w:w="0" w:type="auto"/>
        <w:tblLook w:val="04A0" w:firstRow="1" w:lastRow="0" w:firstColumn="1" w:lastColumn="0" w:noHBand="0" w:noVBand="1"/>
      </w:tblPr>
      <w:tblGrid>
        <w:gridCol w:w="3005"/>
        <w:gridCol w:w="3005"/>
        <w:gridCol w:w="3006"/>
      </w:tblGrid>
      <w:tr w:rsidR="0006083C" w:rsidRPr="00833C88" w14:paraId="5118CD80" w14:textId="77777777" w:rsidTr="0006083C">
        <w:tc>
          <w:tcPr>
            <w:tcW w:w="3005" w:type="dxa"/>
          </w:tcPr>
          <w:p w14:paraId="078E152E"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NACE</w:t>
            </w:r>
          </w:p>
        </w:tc>
        <w:tc>
          <w:tcPr>
            <w:tcW w:w="3005" w:type="dxa"/>
          </w:tcPr>
          <w:p w14:paraId="70CF4180"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nazwa </w:t>
            </w:r>
            <w:proofErr w:type="spellStart"/>
            <w:r w:rsidRPr="00833C88">
              <w:rPr>
                <w:rFonts w:eastAsia="Times New Roman" w:cs="Times New Roman"/>
                <w:sz w:val="24"/>
                <w:szCs w:val="24"/>
                <w:lang w:eastAsia="pl-PL"/>
              </w:rPr>
              <w:t>Nace</w:t>
            </w:r>
            <w:proofErr w:type="spellEnd"/>
          </w:p>
        </w:tc>
        <w:tc>
          <w:tcPr>
            <w:tcW w:w="3006" w:type="dxa"/>
          </w:tcPr>
          <w:p w14:paraId="5A10C9C1"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PKD 2025</w:t>
            </w:r>
          </w:p>
        </w:tc>
      </w:tr>
      <w:tr w:rsidR="0006083C" w:rsidRPr="00833C88" w14:paraId="6916C672" w14:textId="77777777" w:rsidTr="0006083C">
        <w:tc>
          <w:tcPr>
            <w:tcW w:w="3005" w:type="dxa"/>
          </w:tcPr>
          <w:p w14:paraId="3F907FEA"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26.11</w:t>
            </w:r>
          </w:p>
        </w:tc>
        <w:tc>
          <w:tcPr>
            <w:tcW w:w="3005" w:type="dxa"/>
          </w:tcPr>
          <w:p w14:paraId="25881ABD"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elementów elektronicznych</w:t>
            </w:r>
          </w:p>
        </w:tc>
        <w:tc>
          <w:tcPr>
            <w:tcW w:w="3006" w:type="dxa"/>
          </w:tcPr>
          <w:p w14:paraId="71767942" w14:textId="6C40D976" w:rsidR="0006083C" w:rsidRPr="00833C88" w:rsidRDefault="00075B9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26.11.Z</w:t>
            </w:r>
          </w:p>
        </w:tc>
      </w:tr>
      <w:tr w:rsidR="0006083C" w:rsidRPr="00833C88" w14:paraId="34571D48" w14:textId="77777777" w:rsidTr="0006083C">
        <w:tc>
          <w:tcPr>
            <w:tcW w:w="3005" w:type="dxa"/>
          </w:tcPr>
          <w:p w14:paraId="29C7EBCA"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26.12</w:t>
            </w:r>
          </w:p>
        </w:tc>
        <w:tc>
          <w:tcPr>
            <w:tcW w:w="3005" w:type="dxa"/>
          </w:tcPr>
          <w:p w14:paraId="75AD7F31"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elektronicznych obwodów drukowanych</w:t>
            </w:r>
          </w:p>
        </w:tc>
        <w:tc>
          <w:tcPr>
            <w:tcW w:w="3006" w:type="dxa"/>
          </w:tcPr>
          <w:p w14:paraId="1BF580B3" w14:textId="415AA50B" w:rsidR="0006083C" w:rsidRPr="00833C88" w:rsidRDefault="00075B9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26.12.Z</w:t>
            </w:r>
          </w:p>
        </w:tc>
      </w:tr>
      <w:tr w:rsidR="0006083C" w:rsidRPr="00833C88" w14:paraId="669E4530" w14:textId="77777777" w:rsidTr="0006083C">
        <w:tc>
          <w:tcPr>
            <w:tcW w:w="3005" w:type="dxa"/>
          </w:tcPr>
          <w:p w14:paraId="0D0B2D39"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26.20</w:t>
            </w:r>
          </w:p>
        </w:tc>
        <w:tc>
          <w:tcPr>
            <w:tcW w:w="3005" w:type="dxa"/>
          </w:tcPr>
          <w:p w14:paraId="00D2A3ED" w14:textId="4A59B27F"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komputerów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urządzeń peryferyjnych</w:t>
            </w:r>
          </w:p>
        </w:tc>
        <w:tc>
          <w:tcPr>
            <w:tcW w:w="3006" w:type="dxa"/>
          </w:tcPr>
          <w:p w14:paraId="2BE761C3" w14:textId="29E9A82F" w:rsidR="0006083C" w:rsidRPr="00833C88" w:rsidRDefault="00075B9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26.20.Z</w:t>
            </w:r>
          </w:p>
        </w:tc>
      </w:tr>
      <w:tr w:rsidR="0006083C" w:rsidRPr="00833C88" w14:paraId="198B7846" w14:textId="77777777" w:rsidTr="0006083C">
        <w:tc>
          <w:tcPr>
            <w:tcW w:w="3005" w:type="dxa"/>
          </w:tcPr>
          <w:p w14:paraId="60D1357D"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26.30</w:t>
            </w:r>
          </w:p>
        </w:tc>
        <w:tc>
          <w:tcPr>
            <w:tcW w:w="3005" w:type="dxa"/>
          </w:tcPr>
          <w:p w14:paraId="54FDE5E9"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sprzętu (</w:t>
            </w:r>
            <w:proofErr w:type="spellStart"/>
            <w:r w:rsidRPr="00833C88">
              <w:rPr>
                <w:rFonts w:eastAsia="Times New Roman" w:cs="Times New Roman"/>
                <w:sz w:val="24"/>
                <w:szCs w:val="24"/>
                <w:lang w:eastAsia="pl-PL"/>
              </w:rPr>
              <w:t>tele</w:t>
            </w:r>
            <w:proofErr w:type="spellEnd"/>
            <w:r w:rsidRPr="00833C88">
              <w:rPr>
                <w:rFonts w:eastAsia="Times New Roman" w:cs="Times New Roman"/>
                <w:sz w:val="24"/>
                <w:szCs w:val="24"/>
                <w:lang w:eastAsia="pl-PL"/>
              </w:rPr>
              <w:t>)komunikacyjnego</w:t>
            </w:r>
          </w:p>
        </w:tc>
        <w:tc>
          <w:tcPr>
            <w:tcW w:w="3006" w:type="dxa"/>
          </w:tcPr>
          <w:p w14:paraId="2B69EBE5" w14:textId="1850B1EC" w:rsidR="0006083C" w:rsidRPr="00833C88" w:rsidRDefault="001619C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26.30.Z</w:t>
            </w:r>
          </w:p>
        </w:tc>
      </w:tr>
      <w:tr w:rsidR="0006083C" w:rsidRPr="00833C88" w14:paraId="01E1D4DB" w14:textId="77777777" w:rsidTr="0006083C">
        <w:tc>
          <w:tcPr>
            <w:tcW w:w="3005" w:type="dxa"/>
          </w:tcPr>
          <w:p w14:paraId="1691E53B"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26.40</w:t>
            </w:r>
          </w:p>
        </w:tc>
        <w:tc>
          <w:tcPr>
            <w:tcW w:w="3005" w:type="dxa"/>
          </w:tcPr>
          <w:p w14:paraId="7613CD11"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elektronicznego sprzętu powszechnego użytku</w:t>
            </w:r>
          </w:p>
        </w:tc>
        <w:tc>
          <w:tcPr>
            <w:tcW w:w="3006" w:type="dxa"/>
          </w:tcPr>
          <w:p w14:paraId="70AEEDB3" w14:textId="2A1687C5" w:rsidR="0006083C" w:rsidRPr="00833C88" w:rsidRDefault="001619C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26.40.Z</w:t>
            </w:r>
          </w:p>
        </w:tc>
      </w:tr>
      <w:tr w:rsidR="0006083C" w:rsidRPr="00833C88" w14:paraId="2F6A353D" w14:textId="77777777" w:rsidTr="0006083C">
        <w:tc>
          <w:tcPr>
            <w:tcW w:w="3005" w:type="dxa"/>
          </w:tcPr>
          <w:p w14:paraId="4FAF8D88"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26.51</w:t>
            </w:r>
          </w:p>
        </w:tc>
        <w:tc>
          <w:tcPr>
            <w:tcW w:w="3005" w:type="dxa"/>
          </w:tcPr>
          <w:p w14:paraId="1CD56830" w14:textId="7C84EE6A"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instrumentów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przyrządów pomiarowych, kontrolnych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nawigacyjnych</w:t>
            </w:r>
          </w:p>
        </w:tc>
        <w:tc>
          <w:tcPr>
            <w:tcW w:w="3006" w:type="dxa"/>
          </w:tcPr>
          <w:p w14:paraId="420AB262" w14:textId="413434FF" w:rsidR="0006083C" w:rsidRPr="00833C88" w:rsidRDefault="0094550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26.51.Z</w:t>
            </w:r>
          </w:p>
        </w:tc>
      </w:tr>
      <w:tr w:rsidR="0006083C" w:rsidRPr="00833C88" w14:paraId="6E6EF5CE" w14:textId="77777777" w:rsidTr="0006083C">
        <w:tc>
          <w:tcPr>
            <w:tcW w:w="3005" w:type="dxa"/>
          </w:tcPr>
          <w:p w14:paraId="1889449F"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26.52</w:t>
            </w:r>
          </w:p>
        </w:tc>
        <w:tc>
          <w:tcPr>
            <w:tcW w:w="3005" w:type="dxa"/>
          </w:tcPr>
          <w:p w14:paraId="651A4AF8" w14:textId="232D896E"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zegarków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zegarów</w:t>
            </w:r>
          </w:p>
        </w:tc>
        <w:tc>
          <w:tcPr>
            <w:tcW w:w="3006" w:type="dxa"/>
          </w:tcPr>
          <w:p w14:paraId="3CBB09AD" w14:textId="7AA6FE82" w:rsidR="0006083C" w:rsidRPr="00833C88" w:rsidRDefault="0094550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26.52.Z</w:t>
            </w:r>
          </w:p>
        </w:tc>
      </w:tr>
      <w:tr w:rsidR="0006083C" w:rsidRPr="00833C88" w14:paraId="11C7D56C" w14:textId="77777777" w:rsidTr="0006083C">
        <w:tc>
          <w:tcPr>
            <w:tcW w:w="3005" w:type="dxa"/>
          </w:tcPr>
          <w:p w14:paraId="31D8D660" w14:textId="77777777"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26.60</w:t>
            </w:r>
          </w:p>
        </w:tc>
        <w:tc>
          <w:tcPr>
            <w:tcW w:w="3005" w:type="dxa"/>
          </w:tcPr>
          <w:p w14:paraId="66A4E223" w14:textId="5A561EB6" w:rsidR="0006083C" w:rsidRPr="00833C88" w:rsidRDefault="0006083C"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urządzeń napromieniowujących, </w:t>
            </w:r>
            <w:r w:rsidRPr="00833C88">
              <w:rPr>
                <w:rFonts w:eastAsia="Times New Roman" w:cs="Times New Roman"/>
                <w:sz w:val="24"/>
                <w:szCs w:val="24"/>
                <w:lang w:eastAsia="pl-PL"/>
              </w:rPr>
              <w:lastRenderedPageBreak/>
              <w:t xml:space="preserve">sprzętu elektromedycznego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elektroterapeutycznego</w:t>
            </w:r>
          </w:p>
        </w:tc>
        <w:tc>
          <w:tcPr>
            <w:tcW w:w="3006" w:type="dxa"/>
          </w:tcPr>
          <w:p w14:paraId="5E843A92" w14:textId="2E568F33" w:rsidR="0006083C" w:rsidRPr="00833C88" w:rsidRDefault="0094550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26.60.Z</w:t>
            </w:r>
          </w:p>
        </w:tc>
      </w:tr>
      <w:tr w:rsidR="00461E76" w:rsidRPr="00833C88" w14:paraId="20210175" w14:textId="77777777" w:rsidTr="0006083C">
        <w:tc>
          <w:tcPr>
            <w:tcW w:w="3005" w:type="dxa"/>
          </w:tcPr>
          <w:p w14:paraId="3A5356AB" w14:textId="77777777" w:rsidR="00461E76" w:rsidRPr="00833C88" w:rsidRDefault="00461E7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26.70</w:t>
            </w:r>
          </w:p>
        </w:tc>
        <w:tc>
          <w:tcPr>
            <w:tcW w:w="3005" w:type="dxa"/>
          </w:tcPr>
          <w:p w14:paraId="2A30AE12" w14:textId="4AA4DF95" w:rsidR="00461E76" w:rsidRPr="00833C88" w:rsidRDefault="00461E7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instrumentów optycznych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sprzętu fotograficznego</w:t>
            </w:r>
          </w:p>
        </w:tc>
        <w:tc>
          <w:tcPr>
            <w:tcW w:w="3006" w:type="dxa"/>
            <w:vMerge w:val="restart"/>
          </w:tcPr>
          <w:p w14:paraId="2892BB1D" w14:textId="11F4EB93" w:rsidR="00461E76" w:rsidRPr="00833C88" w:rsidRDefault="00331D9D"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26.70.Z</w:t>
            </w:r>
          </w:p>
        </w:tc>
      </w:tr>
      <w:tr w:rsidR="00461E76" w:rsidRPr="00833C88" w14:paraId="0427CAE2" w14:textId="77777777" w:rsidTr="0006083C">
        <w:tc>
          <w:tcPr>
            <w:tcW w:w="3005" w:type="dxa"/>
          </w:tcPr>
          <w:p w14:paraId="2D41A8A4" w14:textId="77777777" w:rsidR="00461E76" w:rsidRPr="00833C88" w:rsidRDefault="00461E7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26.80</w:t>
            </w:r>
          </w:p>
        </w:tc>
        <w:tc>
          <w:tcPr>
            <w:tcW w:w="3005" w:type="dxa"/>
          </w:tcPr>
          <w:p w14:paraId="4AEF6BD3" w14:textId="720AE53D" w:rsidR="00461E76" w:rsidRPr="00833C88" w:rsidRDefault="00461E7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magnetycznych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optycznych niezapisanych nośników informacji</w:t>
            </w:r>
          </w:p>
        </w:tc>
        <w:tc>
          <w:tcPr>
            <w:tcW w:w="3006" w:type="dxa"/>
            <w:vMerge/>
          </w:tcPr>
          <w:p w14:paraId="5E086C18" w14:textId="77777777" w:rsidR="00461E76" w:rsidRPr="00833C88" w:rsidRDefault="00461E76" w:rsidP="0029004E">
            <w:pPr>
              <w:spacing w:line="360" w:lineRule="auto"/>
              <w:jc w:val="both"/>
              <w:rPr>
                <w:rFonts w:eastAsia="Times New Roman" w:cs="Times New Roman"/>
                <w:sz w:val="24"/>
                <w:szCs w:val="24"/>
                <w:lang w:eastAsia="pl-PL"/>
              </w:rPr>
            </w:pPr>
          </w:p>
        </w:tc>
      </w:tr>
    </w:tbl>
    <w:p w14:paraId="54BB5D9D" w14:textId="327E67B4" w:rsidR="00D446E9" w:rsidRPr="00833C88" w:rsidRDefault="0061116F" w:rsidP="008C2A9E">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6.3 </w:t>
      </w:r>
      <w:r w:rsidR="00D446E9" w:rsidRPr="00833C88">
        <w:rPr>
          <w:rFonts w:cs="Times New Roman"/>
          <w:sz w:val="24"/>
          <w:szCs w:val="24"/>
          <w:lang w:eastAsia="pl-PL"/>
        </w:rPr>
        <w:t xml:space="preserve">Podsektor </w:t>
      </w:r>
      <w:r w:rsidR="001662A0" w:rsidRPr="00833C88">
        <w:rPr>
          <w:rFonts w:cs="Times New Roman"/>
          <w:sz w:val="24"/>
          <w:szCs w:val="24"/>
          <w:lang w:eastAsia="pl-PL"/>
        </w:rPr>
        <w:t>Produkcja urządzeń elektrycznych</w:t>
      </w:r>
    </w:p>
    <w:p w14:paraId="719447B6" w14:textId="3BF7DB24" w:rsidR="004F6888" w:rsidRPr="00833C88" w:rsidRDefault="001662A0" w:rsidP="0052199F">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Przedsiębiorca prowadzący którykolwiek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rodzajów działalności gospodarczej,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sekcji C dział 27 klasyfikacji </w:t>
      </w:r>
      <w:proofErr w:type="spellStart"/>
      <w:r w:rsidRPr="00833C88">
        <w:rPr>
          <w:rFonts w:eastAsia="Times New Roman" w:cs="Times New Roman"/>
          <w:sz w:val="24"/>
          <w:szCs w:val="24"/>
          <w:lang w:eastAsia="pl-PL"/>
        </w:rPr>
        <w:t>NACE</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Rev</w:t>
      </w:r>
      <w:proofErr w:type="spellEnd"/>
      <w:r w:rsidRPr="00833C88">
        <w:rPr>
          <w:rFonts w:eastAsia="Times New Roman" w:cs="Times New Roman"/>
          <w:sz w:val="24"/>
          <w:szCs w:val="24"/>
          <w:lang w:eastAsia="pl-PL"/>
        </w:rPr>
        <w:t>. 2.</w:t>
      </w:r>
    </w:p>
    <w:tbl>
      <w:tblPr>
        <w:tblStyle w:val="Tabela-Siatka"/>
        <w:tblW w:w="0" w:type="auto"/>
        <w:tblLook w:val="04A0" w:firstRow="1" w:lastRow="0" w:firstColumn="1" w:lastColumn="0" w:noHBand="0" w:noVBand="1"/>
      </w:tblPr>
      <w:tblGrid>
        <w:gridCol w:w="2910"/>
        <w:gridCol w:w="3424"/>
        <w:gridCol w:w="2682"/>
      </w:tblGrid>
      <w:tr w:rsidR="007F2FB5" w:rsidRPr="00833C88" w14:paraId="5D7CC518" w14:textId="77777777" w:rsidTr="007F5805">
        <w:tc>
          <w:tcPr>
            <w:tcW w:w="2910" w:type="dxa"/>
          </w:tcPr>
          <w:p w14:paraId="681DAB33" w14:textId="178388DC"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NACE</w:t>
            </w:r>
          </w:p>
        </w:tc>
        <w:tc>
          <w:tcPr>
            <w:tcW w:w="3424" w:type="dxa"/>
          </w:tcPr>
          <w:p w14:paraId="553DB3B2" w14:textId="2C262BC0"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nazwa </w:t>
            </w:r>
            <w:proofErr w:type="spellStart"/>
            <w:r w:rsidRPr="00833C88">
              <w:rPr>
                <w:rFonts w:eastAsia="Times New Roman" w:cs="Times New Roman"/>
                <w:sz w:val="24"/>
                <w:szCs w:val="24"/>
                <w:lang w:eastAsia="pl-PL"/>
              </w:rPr>
              <w:t>Nace</w:t>
            </w:r>
            <w:proofErr w:type="spellEnd"/>
          </w:p>
        </w:tc>
        <w:tc>
          <w:tcPr>
            <w:tcW w:w="2682" w:type="dxa"/>
          </w:tcPr>
          <w:p w14:paraId="3B238A48" w14:textId="4F6937B2"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PKD 2025</w:t>
            </w:r>
          </w:p>
        </w:tc>
      </w:tr>
      <w:tr w:rsidR="007F2FB5" w:rsidRPr="00833C88" w14:paraId="6D7655F6" w14:textId="54CDD578" w:rsidTr="00DD0AC3">
        <w:tc>
          <w:tcPr>
            <w:tcW w:w="2910" w:type="dxa"/>
          </w:tcPr>
          <w:p w14:paraId="6903F33F"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27.11</w:t>
            </w:r>
          </w:p>
        </w:tc>
        <w:tc>
          <w:tcPr>
            <w:tcW w:w="3424" w:type="dxa"/>
          </w:tcPr>
          <w:p w14:paraId="57979685" w14:textId="5433FA39"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elektrycznych silników, prądnic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transformatorów</w:t>
            </w:r>
          </w:p>
        </w:tc>
        <w:tc>
          <w:tcPr>
            <w:tcW w:w="2682" w:type="dxa"/>
          </w:tcPr>
          <w:p w14:paraId="77833C0D" w14:textId="1F148189"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27.11.Z</w:t>
            </w:r>
          </w:p>
        </w:tc>
      </w:tr>
      <w:tr w:rsidR="007F2FB5" w:rsidRPr="00833C88" w14:paraId="4B2CD51C" w14:textId="1F378BFE" w:rsidTr="00DD0AC3">
        <w:tc>
          <w:tcPr>
            <w:tcW w:w="2910" w:type="dxa"/>
          </w:tcPr>
          <w:p w14:paraId="6FCCC2EA"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27.12</w:t>
            </w:r>
          </w:p>
        </w:tc>
        <w:tc>
          <w:tcPr>
            <w:tcW w:w="3424" w:type="dxa"/>
          </w:tcPr>
          <w:p w14:paraId="1D5E714A" w14:textId="265A49A3"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aparatury rozdzielczej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sterowniczej energii elektrycznej</w:t>
            </w:r>
          </w:p>
        </w:tc>
        <w:tc>
          <w:tcPr>
            <w:tcW w:w="2682" w:type="dxa"/>
          </w:tcPr>
          <w:p w14:paraId="31024F4D" w14:textId="3CA0E2BC"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27.12.Z</w:t>
            </w:r>
          </w:p>
        </w:tc>
      </w:tr>
      <w:tr w:rsidR="007F2FB5" w:rsidRPr="00833C88" w14:paraId="442FEA50" w14:textId="7C0D0359" w:rsidTr="00DD0AC3">
        <w:tc>
          <w:tcPr>
            <w:tcW w:w="2910" w:type="dxa"/>
          </w:tcPr>
          <w:p w14:paraId="11F879FA"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27.20</w:t>
            </w:r>
          </w:p>
        </w:tc>
        <w:tc>
          <w:tcPr>
            <w:tcW w:w="3424" w:type="dxa"/>
          </w:tcPr>
          <w:p w14:paraId="046C2764" w14:textId="1E138F28"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baterii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akumulatorów</w:t>
            </w:r>
          </w:p>
        </w:tc>
        <w:tc>
          <w:tcPr>
            <w:tcW w:w="2682" w:type="dxa"/>
          </w:tcPr>
          <w:p w14:paraId="1A4667B1" w14:textId="7220D382"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27.20.Z</w:t>
            </w:r>
          </w:p>
        </w:tc>
      </w:tr>
      <w:tr w:rsidR="007F2FB5" w:rsidRPr="00833C88" w14:paraId="388C4B99" w14:textId="0011615B" w:rsidTr="00DD0AC3">
        <w:tc>
          <w:tcPr>
            <w:tcW w:w="2910" w:type="dxa"/>
          </w:tcPr>
          <w:p w14:paraId="7D3CE7BC"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27.31</w:t>
            </w:r>
          </w:p>
        </w:tc>
        <w:tc>
          <w:tcPr>
            <w:tcW w:w="3424" w:type="dxa"/>
          </w:tcPr>
          <w:p w14:paraId="24930DFC"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kabli światłowodowych</w:t>
            </w:r>
          </w:p>
        </w:tc>
        <w:tc>
          <w:tcPr>
            <w:tcW w:w="2682" w:type="dxa"/>
          </w:tcPr>
          <w:p w14:paraId="35D08BF8" w14:textId="1E561196"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27.31.Z</w:t>
            </w:r>
          </w:p>
        </w:tc>
      </w:tr>
      <w:tr w:rsidR="007F2FB5" w:rsidRPr="00833C88" w14:paraId="1114266A" w14:textId="115DA943" w:rsidTr="00DD0AC3">
        <w:tc>
          <w:tcPr>
            <w:tcW w:w="2910" w:type="dxa"/>
          </w:tcPr>
          <w:p w14:paraId="793CF842"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27.32</w:t>
            </w:r>
          </w:p>
        </w:tc>
        <w:tc>
          <w:tcPr>
            <w:tcW w:w="3424" w:type="dxa"/>
          </w:tcPr>
          <w:p w14:paraId="330CE75A" w14:textId="0C4EA48F"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pozostałych elektronicznych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elektrycznych przewodów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kabli</w:t>
            </w:r>
          </w:p>
        </w:tc>
        <w:tc>
          <w:tcPr>
            <w:tcW w:w="2682" w:type="dxa"/>
          </w:tcPr>
          <w:p w14:paraId="51333060" w14:textId="0D589078"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27.32.Z</w:t>
            </w:r>
          </w:p>
        </w:tc>
      </w:tr>
      <w:tr w:rsidR="007F2FB5" w:rsidRPr="00833C88" w14:paraId="44C721E0" w14:textId="3297E662" w:rsidTr="00DD0AC3">
        <w:tc>
          <w:tcPr>
            <w:tcW w:w="2910" w:type="dxa"/>
          </w:tcPr>
          <w:p w14:paraId="4D126542"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27.33</w:t>
            </w:r>
          </w:p>
        </w:tc>
        <w:tc>
          <w:tcPr>
            <w:tcW w:w="3424" w:type="dxa"/>
          </w:tcPr>
          <w:p w14:paraId="55C36A05"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sprzętu instalacyjnego</w:t>
            </w:r>
          </w:p>
        </w:tc>
        <w:tc>
          <w:tcPr>
            <w:tcW w:w="2682" w:type="dxa"/>
          </w:tcPr>
          <w:p w14:paraId="086E181E" w14:textId="3F25ABA2"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27.33.Z</w:t>
            </w:r>
          </w:p>
        </w:tc>
      </w:tr>
      <w:tr w:rsidR="007F2FB5" w:rsidRPr="00833C88" w14:paraId="78E206B5" w14:textId="3E75CAA3" w:rsidTr="00DD0AC3">
        <w:tc>
          <w:tcPr>
            <w:tcW w:w="2910" w:type="dxa"/>
          </w:tcPr>
          <w:p w14:paraId="266B62F9"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27.40</w:t>
            </w:r>
          </w:p>
        </w:tc>
        <w:tc>
          <w:tcPr>
            <w:tcW w:w="3424" w:type="dxa"/>
          </w:tcPr>
          <w:p w14:paraId="00C0A0B6"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elektrycznego sprzętu oświetleniowego</w:t>
            </w:r>
          </w:p>
        </w:tc>
        <w:tc>
          <w:tcPr>
            <w:tcW w:w="2682" w:type="dxa"/>
          </w:tcPr>
          <w:p w14:paraId="47EB9247" w14:textId="49B3C219"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27.40.Z</w:t>
            </w:r>
          </w:p>
        </w:tc>
      </w:tr>
      <w:tr w:rsidR="007F2FB5" w:rsidRPr="00833C88" w14:paraId="517A348E" w14:textId="6DC53B3B" w:rsidTr="00DD0AC3">
        <w:tc>
          <w:tcPr>
            <w:tcW w:w="2910" w:type="dxa"/>
          </w:tcPr>
          <w:p w14:paraId="12284E7C"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27.51</w:t>
            </w:r>
          </w:p>
        </w:tc>
        <w:tc>
          <w:tcPr>
            <w:tcW w:w="3424" w:type="dxa"/>
          </w:tcPr>
          <w:p w14:paraId="2F57AC50"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elektrycznego sprzętu gospodarstwa domowego</w:t>
            </w:r>
          </w:p>
        </w:tc>
        <w:tc>
          <w:tcPr>
            <w:tcW w:w="2682" w:type="dxa"/>
          </w:tcPr>
          <w:p w14:paraId="427E34F4" w14:textId="004A480D"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27.51.Z</w:t>
            </w:r>
          </w:p>
        </w:tc>
      </w:tr>
      <w:tr w:rsidR="007F2FB5" w:rsidRPr="00833C88" w14:paraId="6EFF6FFD" w14:textId="0A196EFA" w:rsidTr="00DD0AC3">
        <w:tc>
          <w:tcPr>
            <w:tcW w:w="2910" w:type="dxa"/>
          </w:tcPr>
          <w:p w14:paraId="583F0DF7"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27.52</w:t>
            </w:r>
          </w:p>
        </w:tc>
        <w:tc>
          <w:tcPr>
            <w:tcW w:w="3424" w:type="dxa"/>
          </w:tcPr>
          <w:p w14:paraId="0607A988"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nieelektrycznego sprzętu gospodarstwa domowego</w:t>
            </w:r>
          </w:p>
        </w:tc>
        <w:tc>
          <w:tcPr>
            <w:tcW w:w="2682" w:type="dxa"/>
          </w:tcPr>
          <w:p w14:paraId="0CC313B6" w14:textId="18047232"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27.52.Z</w:t>
            </w:r>
          </w:p>
        </w:tc>
      </w:tr>
      <w:tr w:rsidR="007F2FB5" w:rsidRPr="00833C88" w14:paraId="725591FD" w14:textId="0BC79B06" w:rsidTr="00DD0AC3">
        <w:tc>
          <w:tcPr>
            <w:tcW w:w="2910" w:type="dxa"/>
          </w:tcPr>
          <w:p w14:paraId="587835D8"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27.90</w:t>
            </w:r>
          </w:p>
        </w:tc>
        <w:tc>
          <w:tcPr>
            <w:tcW w:w="3424" w:type="dxa"/>
          </w:tcPr>
          <w:p w14:paraId="16B67FE8" w14:textId="77777777"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pozostałego sprzętu elektrycznego</w:t>
            </w:r>
          </w:p>
        </w:tc>
        <w:tc>
          <w:tcPr>
            <w:tcW w:w="2682" w:type="dxa"/>
          </w:tcPr>
          <w:p w14:paraId="0392EAC2" w14:textId="550B2532" w:rsidR="007F2FB5" w:rsidRPr="00833C88" w:rsidRDefault="007F2FB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27.90.Z</w:t>
            </w:r>
          </w:p>
        </w:tc>
      </w:tr>
    </w:tbl>
    <w:p w14:paraId="55541E61" w14:textId="365D26B4" w:rsidR="00D446E9" w:rsidRPr="00833C88" w:rsidRDefault="0061116F" w:rsidP="008C2A9E">
      <w:pPr>
        <w:pStyle w:val="Nagwek5"/>
        <w:numPr>
          <w:ilvl w:val="0"/>
          <w:numId w:val="0"/>
        </w:numPr>
        <w:spacing w:before="0" w:after="120" w:line="360" w:lineRule="auto"/>
        <w:ind w:left="360"/>
        <w:rPr>
          <w:rFonts w:cs="Times New Roman"/>
          <w:sz w:val="24"/>
          <w:szCs w:val="24"/>
          <w:lang w:eastAsia="pl-PL"/>
        </w:rPr>
      </w:pPr>
      <w:r w:rsidRPr="00833C88">
        <w:rPr>
          <w:rFonts w:cs="Times New Roman"/>
          <w:sz w:val="24"/>
          <w:szCs w:val="24"/>
          <w:lang w:eastAsia="pl-PL"/>
        </w:rPr>
        <w:t xml:space="preserve">6.4 </w:t>
      </w:r>
      <w:r w:rsidR="00D446E9" w:rsidRPr="00833C88">
        <w:rPr>
          <w:rFonts w:cs="Times New Roman"/>
          <w:sz w:val="24"/>
          <w:szCs w:val="24"/>
          <w:lang w:eastAsia="pl-PL"/>
        </w:rPr>
        <w:t xml:space="preserve">Podsektor </w:t>
      </w:r>
      <w:r w:rsidR="001662A0" w:rsidRPr="00833C88">
        <w:rPr>
          <w:rFonts w:cs="Times New Roman"/>
          <w:sz w:val="24"/>
          <w:szCs w:val="24"/>
          <w:lang w:eastAsia="pl-PL"/>
        </w:rPr>
        <w:t xml:space="preserve">Produkcja maszyn </w:t>
      </w:r>
      <w:r w:rsidR="00601933" w:rsidRPr="00833C88">
        <w:rPr>
          <w:rFonts w:cs="Times New Roman"/>
          <w:sz w:val="24"/>
          <w:szCs w:val="24"/>
          <w:lang w:eastAsia="pl-PL"/>
        </w:rPr>
        <w:t>i </w:t>
      </w:r>
      <w:r w:rsidR="001662A0" w:rsidRPr="00833C88">
        <w:rPr>
          <w:rFonts w:cs="Times New Roman"/>
          <w:sz w:val="24"/>
          <w:szCs w:val="24"/>
          <w:lang w:eastAsia="pl-PL"/>
        </w:rPr>
        <w:t>urządzeń, gdzie indziej niesklasyfikowana</w:t>
      </w:r>
    </w:p>
    <w:p w14:paraId="5F538BAF" w14:textId="3C0794C7" w:rsidR="001662A0" w:rsidRPr="00833C88" w:rsidRDefault="001662A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ab/>
        <w:t xml:space="preserve">Przedsiębiorca prowadzący którykolwiek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rodzajów działalności gospodarczej,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sekcji C dział 28 klasyfikacji </w:t>
      </w:r>
      <w:proofErr w:type="spellStart"/>
      <w:r w:rsidRPr="00833C88">
        <w:rPr>
          <w:rFonts w:eastAsia="Times New Roman" w:cs="Times New Roman"/>
          <w:sz w:val="24"/>
          <w:szCs w:val="24"/>
          <w:lang w:eastAsia="pl-PL"/>
        </w:rPr>
        <w:t>NACE</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Rev</w:t>
      </w:r>
      <w:proofErr w:type="spellEnd"/>
      <w:r w:rsidRPr="00833C88">
        <w:rPr>
          <w:rFonts w:eastAsia="Times New Roman" w:cs="Times New Roman"/>
          <w:sz w:val="24"/>
          <w:szCs w:val="24"/>
          <w:lang w:eastAsia="pl-PL"/>
        </w:rPr>
        <w:t>. 2.</w:t>
      </w:r>
    </w:p>
    <w:tbl>
      <w:tblPr>
        <w:tblStyle w:val="Tabela-Siatka"/>
        <w:tblW w:w="0" w:type="auto"/>
        <w:tblLook w:val="04A0" w:firstRow="1" w:lastRow="0" w:firstColumn="1" w:lastColumn="0" w:noHBand="0" w:noVBand="1"/>
      </w:tblPr>
      <w:tblGrid>
        <w:gridCol w:w="2904"/>
        <w:gridCol w:w="3437"/>
        <w:gridCol w:w="2675"/>
      </w:tblGrid>
      <w:tr w:rsidR="00406F44" w:rsidRPr="00833C88" w14:paraId="4C5A13DD" w14:textId="77777777" w:rsidTr="00DD0AC3">
        <w:tc>
          <w:tcPr>
            <w:tcW w:w="2904" w:type="dxa"/>
          </w:tcPr>
          <w:p w14:paraId="470FF536" w14:textId="7BC5D2DA"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NACE</w:t>
            </w:r>
          </w:p>
        </w:tc>
        <w:tc>
          <w:tcPr>
            <w:tcW w:w="3437" w:type="dxa"/>
          </w:tcPr>
          <w:p w14:paraId="4A3EF7DA" w14:textId="6F36E583"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nazwa </w:t>
            </w:r>
            <w:proofErr w:type="spellStart"/>
            <w:r w:rsidRPr="00833C88">
              <w:rPr>
                <w:rFonts w:eastAsia="Times New Roman" w:cs="Times New Roman"/>
                <w:sz w:val="24"/>
                <w:szCs w:val="24"/>
                <w:lang w:eastAsia="pl-PL"/>
              </w:rPr>
              <w:t>Nace</w:t>
            </w:r>
            <w:proofErr w:type="spellEnd"/>
          </w:p>
        </w:tc>
        <w:tc>
          <w:tcPr>
            <w:tcW w:w="2675" w:type="dxa"/>
          </w:tcPr>
          <w:p w14:paraId="6CB73ADD" w14:textId="280FB738"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PKD 2025</w:t>
            </w:r>
          </w:p>
        </w:tc>
      </w:tr>
      <w:tr w:rsidR="00406F44" w:rsidRPr="00833C88" w14:paraId="7AAE8920" w14:textId="4AC90496" w:rsidTr="00DD0AC3">
        <w:tc>
          <w:tcPr>
            <w:tcW w:w="2904" w:type="dxa"/>
          </w:tcPr>
          <w:p w14:paraId="259F3144"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28.11</w:t>
            </w:r>
          </w:p>
        </w:tc>
        <w:tc>
          <w:tcPr>
            <w:tcW w:w="3437" w:type="dxa"/>
          </w:tcPr>
          <w:p w14:paraId="6731C063" w14:textId="1680C6A5"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silników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turbin,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wyłączeniem silników lotniczych, samochodowych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motocyklowych</w:t>
            </w:r>
          </w:p>
        </w:tc>
        <w:tc>
          <w:tcPr>
            <w:tcW w:w="2675" w:type="dxa"/>
          </w:tcPr>
          <w:p w14:paraId="1CC1D273" w14:textId="1EA1E842"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28.11.Z</w:t>
            </w:r>
          </w:p>
        </w:tc>
      </w:tr>
      <w:tr w:rsidR="00406F44" w:rsidRPr="00833C88" w14:paraId="2C7A3F29" w14:textId="21C5D8A3" w:rsidTr="00DD0AC3">
        <w:tc>
          <w:tcPr>
            <w:tcW w:w="2904" w:type="dxa"/>
          </w:tcPr>
          <w:p w14:paraId="14CF97CC"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28.12</w:t>
            </w:r>
          </w:p>
        </w:tc>
        <w:tc>
          <w:tcPr>
            <w:tcW w:w="3437" w:type="dxa"/>
          </w:tcPr>
          <w:p w14:paraId="7AFF3AA8" w14:textId="3DC33AA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sprzętu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wyposażenia do napędu hydraulicznego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pneumatycznego</w:t>
            </w:r>
          </w:p>
        </w:tc>
        <w:tc>
          <w:tcPr>
            <w:tcW w:w="2675" w:type="dxa"/>
          </w:tcPr>
          <w:p w14:paraId="3E14A1E8" w14:textId="46703320"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28.12.Z</w:t>
            </w:r>
          </w:p>
        </w:tc>
      </w:tr>
      <w:tr w:rsidR="00406F44" w:rsidRPr="00833C88" w14:paraId="7DABDB59" w14:textId="5F6C07FF" w:rsidTr="00DD0AC3">
        <w:tc>
          <w:tcPr>
            <w:tcW w:w="2904" w:type="dxa"/>
          </w:tcPr>
          <w:p w14:paraId="68D5D2BF"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28.13</w:t>
            </w:r>
          </w:p>
        </w:tc>
        <w:tc>
          <w:tcPr>
            <w:tcW w:w="3437" w:type="dxa"/>
          </w:tcPr>
          <w:p w14:paraId="6E02D4D5" w14:textId="41246C62"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pozostałych pomp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sprężarek</w:t>
            </w:r>
          </w:p>
        </w:tc>
        <w:tc>
          <w:tcPr>
            <w:tcW w:w="2675" w:type="dxa"/>
          </w:tcPr>
          <w:p w14:paraId="4E7BA896" w14:textId="22897FB6"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28.13.Z</w:t>
            </w:r>
          </w:p>
        </w:tc>
      </w:tr>
      <w:tr w:rsidR="00406F44" w:rsidRPr="00833C88" w14:paraId="05510487" w14:textId="0EC76878" w:rsidTr="00DD0AC3">
        <w:tc>
          <w:tcPr>
            <w:tcW w:w="2904" w:type="dxa"/>
          </w:tcPr>
          <w:p w14:paraId="450ADBCB"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28.14</w:t>
            </w:r>
          </w:p>
        </w:tc>
        <w:tc>
          <w:tcPr>
            <w:tcW w:w="3437" w:type="dxa"/>
          </w:tcPr>
          <w:p w14:paraId="4C9EDB54" w14:textId="7C8A902A"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pozostałych kurków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zaworów</w:t>
            </w:r>
          </w:p>
        </w:tc>
        <w:tc>
          <w:tcPr>
            <w:tcW w:w="2675" w:type="dxa"/>
          </w:tcPr>
          <w:p w14:paraId="12FF8CF4" w14:textId="1D0A57C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28.14.Z</w:t>
            </w:r>
          </w:p>
        </w:tc>
      </w:tr>
      <w:tr w:rsidR="00406F44" w:rsidRPr="00833C88" w14:paraId="57D3EE5E" w14:textId="09121A3D" w:rsidTr="00DD0AC3">
        <w:tc>
          <w:tcPr>
            <w:tcW w:w="2904" w:type="dxa"/>
          </w:tcPr>
          <w:p w14:paraId="10276ECF"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28.15</w:t>
            </w:r>
          </w:p>
        </w:tc>
        <w:tc>
          <w:tcPr>
            <w:tcW w:w="3437" w:type="dxa"/>
          </w:tcPr>
          <w:p w14:paraId="53D2C4C7" w14:textId="509908AC"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łożysk, kół zębatych, przekładni zębatych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elementów napędowych</w:t>
            </w:r>
          </w:p>
        </w:tc>
        <w:tc>
          <w:tcPr>
            <w:tcW w:w="2675" w:type="dxa"/>
          </w:tcPr>
          <w:p w14:paraId="16854A03" w14:textId="7811CCD8"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28.15.Z</w:t>
            </w:r>
          </w:p>
        </w:tc>
      </w:tr>
      <w:tr w:rsidR="00406F44" w:rsidRPr="00833C88" w14:paraId="5B14B2DD" w14:textId="4E2594CC" w:rsidTr="00DD0AC3">
        <w:tc>
          <w:tcPr>
            <w:tcW w:w="2904" w:type="dxa"/>
          </w:tcPr>
          <w:p w14:paraId="786C7173"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28.21</w:t>
            </w:r>
          </w:p>
        </w:tc>
        <w:tc>
          <w:tcPr>
            <w:tcW w:w="3437" w:type="dxa"/>
          </w:tcPr>
          <w:p w14:paraId="734938CB" w14:textId="1520BC82"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pieców, palenisk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palników piecowych</w:t>
            </w:r>
          </w:p>
        </w:tc>
        <w:tc>
          <w:tcPr>
            <w:tcW w:w="2675" w:type="dxa"/>
          </w:tcPr>
          <w:p w14:paraId="12CA369F" w14:textId="7FED050B"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28.21.Z</w:t>
            </w:r>
          </w:p>
        </w:tc>
      </w:tr>
      <w:tr w:rsidR="00406F44" w:rsidRPr="00833C88" w14:paraId="3A42E302" w14:textId="3866E58B" w:rsidTr="00DD0AC3">
        <w:tc>
          <w:tcPr>
            <w:tcW w:w="2904" w:type="dxa"/>
          </w:tcPr>
          <w:p w14:paraId="441EB083"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28.22</w:t>
            </w:r>
          </w:p>
        </w:tc>
        <w:tc>
          <w:tcPr>
            <w:tcW w:w="3437" w:type="dxa"/>
          </w:tcPr>
          <w:p w14:paraId="68665E77" w14:textId="760A04A4"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urządzeń dźwigowych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chwytaków</w:t>
            </w:r>
          </w:p>
        </w:tc>
        <w:tc>
          <w:tcPr>
            <w:tcW w:w="2675" w:type="dxa"/>
          </w:tcPr>
          <w:p w14:paraId="5E80D8AA" w14:textId="796EEB26"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28.22.Z</w:t>
            </w:r>
          </w:p>
        </w:tc>
      </w:tr>
      <w:tr w:rsidR="00406F44" w:rsidRPr="00833C88" w14:paraId="0B39BAAB" w14:textId="5386E63C" w:rsidTr="00DD0AC3">
        <w:tc>
          <w:tcPr>
            <w:tcW w:w="2904" w:type="dxa"/>
          </w:tcPr>
          <w:p w14:paraId="330B8D28"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28.23</w:t>
            </w:r>
          </w:p>
        </w:tc>
        <w:tc>
          <w:tcPr>
            <w:tcW w:w="3437" w:type="dxa"/>
          </w:tcPr>
          <w:p w14:paraId="5D3311AB" w14:textId="659DA04A"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maszyn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sprzętu biurowego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wyłączeniem </w:t>
            </w:r>
            <w:r w:rsidRPr="00833C88">
              <w:rPr>
                <w:rFonts w:eastAsia="Times New Roman" w:cs="Times New Roman"/>
                <w:sz w:val="24"/>
                <w:szCs w:val="24"/>
                <w:lang w:eastAsia="pl-PL"/>
              </w:rPr>
              <w:lastRenderedPageBreak/>
              <w:t xml:space="preserve">komputerów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urządzeń peryferyjnych)</w:t>
            </w:r>
          </w:p>
        </w:tc>
        <w:tc>
          <w:tcPr>
            <w:tcW w:w="2675" w:type="dxa"/>
          </w:tcPr>
          <w:p w14:paraId="793B5E11" w14:textId="3B7C63C6"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28.23.Z</w:t>
            </w:r>
          </w:p>
        </w:tc>
      </w:tr>
      <w:tr w:rsidR="00406F44" w:rsidRPr="00833C88" w14:paraId="20E613BC" w14:textId="37FDCB40" w:rsidTr="00DD0AC3">
        <w:tc>
          <w:tcPr>
            <w:tcW w:w="2904" w:type="dxa"/>
          </w:tcPr>
          <w:p w14:paraId="40BAFB07"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28.24</w:t>
            </w:r>
          </w:p>
        </w:tc>
        <w:tc>
          <w:tcPr>
            <w:tcW w:w="3437" w:type="dxa"/>
          </w:tcPr>
          <w:p w14:paraId="603D0B44"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narzędzi ręcznych mechanicznych</w:t>
            </w:r>
          </w:p>
        </w:tc>
        <w:tc>
          <w:tcPr>
            <w:tcW w:w="2675" w:type="dxa"/>
          </w:tcPr>
          <w:p w14:paraId="1E6B2F44" w14:textId="7E335484"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28.24.Z</w:t>
            </w:r>
          </w:p>
        </w:tc>
      </w:tr>
      <w:tr w:rsidR="00406F44" w:rsidRPr="00833C88" w14:paraId="543B9EE4" w14:textId="3E84B1D2" w:rsidTr="00DD0AC3">
        <w:tc>
          <w:tcPr>
            <w:tcW w:w="2904" w:type="dxa"/>
          </w:tcPr>
          <w:p w14:paraId="358FD995"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28.25</w:t>
            </w:r>
          </w:p>
        </w:tc>
        <w:tc>
          <w:tcPr>
            <w:tcW w:w="3437" w:type="dxa"/>
          </w:tcPr>
          <w:p w14:paraId="6A9AEB23" w14:textId="3D67E220"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przemysłowych urządzeń chłodniczych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wentylacyjnych</w:t>
            </w:r>
          </w:p>
        </w:tc>
        <w:tc>
          <w:tcPr>
            <w:tcW w:w="2675" w:type="dxa"/>
          </w:tcPr>
          <w:p w14:paraId="03A6917F" w14:textId="2EEA1C11"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28.25.Z</w:t>
            </w:r>
          </w:p>
        </w:tc>
      </w:tr>
      <w:tr w:rsidR="00406F44" w:rsidRPr="00833C88" w14:paraId="6647FBD3" w14:textId="70B21A57" w:rsidTr="00DD0AC3">
        <w:tc>
          <w:tcPr>
            <w:tcW w:w="2904" w:type="dxa"/>
          </w:tcPr>
          <w:p w14:paraId="0E4B705D"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28.29</w:t>
            </w:r>
          </w:p>
        </w:tc>
        <w:tc>
          <w:tcPr>
            <w:tcW w:w="3437" w:type="dxa"/>
          </w:tcPr>
          <w:p w14:paraId="7F2269F6"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pozostałych maszyn ogólnego przeznaczenia, gdzie indziej niesklasyfikowana</w:t>
            </w:r>
          </w:p>
        </w:tc>
        <w:tc>
          <w:tcPr>
            <w:tcW w:w="2675" w:type="dxa"/>
          </w:tcPr>
          <w:p w14:paraId="7BA9627B" w14:textId="320A0FFB"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28.29.Z</w:t>
            </w:r>
          </w:p>
        </w:tc>
      </w:tr>
      <w:tr w:rsidR="00406F44" w:rsidRPr="00833C88" w14:paraId="535F9018" w14:textId="7C5AC3DE" w:rsidTr="00DD0AC3">
        <w:tc>
          <w:tcPr>
            <w:tcW w:w="2904" w:type="dxa"/>
          </w:tcPr>
          <w:p w14:paraId="7294B86C"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28.30</w:t>
            </w:r>
          </w:p>
        </w:tc>
        <w:tc>
          <w:tcPr>
            <w:tcW w:w="3437" w:type="dxa"/>
          </w:tcPr>
          <w:p w14:paraId="4E740138" w14:textId="2E0E5E51"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maszyn dla rolnictwa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leśnictwa</w:t>
            </w:r>
          </w:p>
        </w:tc>
        <w:tc>
          <w:tcPr>
            <w:tcW w:w="2675" w:type="dxa"/>
          </w:tcPr>
          <w:p w14:paraId="41190B11" w14:textId="198B91C1"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28.30.Z</w:t>
            </w:r>
          </w:p>
        </w:tc>
      </w:tr>
      <w:tr w:rsidR="00406F44" w:rsidRPr="00833C88" w14:paraId="5BE69D82" w14:textId="719B537A" w:rsidTr="00DD0AC3">
        <w:tc>
          <w:tcPr>
            <w:tcW w:w="2904" w:type="dxa"/>
          </w:tcPr>
          <w:p w14:paraId="1427BEE4"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28.41</w:t>
            </w:r>
          </w:p>
        </w:tc>
        <w:tc>
          <w:tcPr>
            <w:tcW w:w="3437" w:type="dxa"/>
          </w:tcPr>
          <w:p w14:paraId="53D2DFF5"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maszyn do obróbki metalu</w:t>
            </w:r>
          </w:p>
        </w:tc>
        <w:tc>
          <w:tcPr>
            <w:tcW w:w="2675" w:type="dxa"/>
          </w:tcPr>
          <w:p w14:paraId="6EDE5EF6" w14:textId="7B38E04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28.41.Z</w:t>
            </w:r>
          </w:p>
        </w:tc>
      </w:tr>
      <w:tr w:rsidR="00406F44" w:rsidRPr="00833C88" w14:paraId="69AB48F9" w14:textId="7EC6900E" w:rsidTr="00DD0AC3">
        <w:tc>
          <w:tcPr>
            <w:tcW w:w="2904" w:type="dxa"/>
          </w:tcPr>
          <w:p w14:paraId="39356675"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28.49</w:t>
            </w:r>
          </w:p>
        </w:tc>
        <w:tc>
          <w:tcPr>
            <w:tcW w:w="3437" w:type="dxa"/>
          </w:tcPr>
          <w:p w14:paraId="50A8755D"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pozostałych narzędzi mechanicznych</w:t>
            </w:r>
          </w:p>
        </w:tc>
        <w:tc>
          <w:tcPr>
            <w:tcW w:w="2675" w:type="dxa"/>
          </w:tcPr>
          <w:p w14:paraId="229162D9" w14:textId="55446B46"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28.42.Z</w:t>
            </w:r>
          </w:p>
        </w:tc>
      </w:tr>
      <w:tr w:rsidR="00406F44" w:rsidRPr="00833C88" w14:paraId="7223CC56" w14:textId="2FE79280" w:rsidTr="00DD0AC3">
        <w:tc>
          <w:tcPr>
            <w:tcW w:w="2904" w:type="dxa"/>
          </w:tcPr>
          <w:p w14:paraId="6B1B70A4"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28.91</w:t>
            </w:r>
          </w:p>
        </w:tc>
        <w:tc>
          <w:tcPr>
            <w:tcW w:w="3437" w:type="dxa"/>
          </w:tcPr>
          <w:p w14:paraId="16BD2AE8"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maszyn dla metalurgii</w:t>
            </w:r>
          </w:p>
        </w:tc>
        <w:tc>
          <w:tcPr>
            <w:tcW w:w="2675" w:type="dxa"/>
          </w:tcPr>
          <w:p w14:paraId="61EC0094" w14:textId="201FCD96"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28.91.Z.</w:t>
            </w:r>
          </w:p>
        </w:tc>
      </w:tr>
      <w:tr w:rsidR="00406F44" w:rsidRPr="00833C88" w14:paraId="5ED8DE6A" w14:textId="522C4F3E" w:rsidTr="00DD0AC3">
        <w:tc>
          <w:tcPr>
            <w:tcW w:w="2904" w:type="dxa"/>
          </w:tcPr>
          <w:p w14:paraId="6262F913"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28.92</w:t>
            </w:r>
          </w:p>
        </w:tc>
        <w:tc>
          <w:tcPr>
            <w:tcW w:w="3437" w:type="dxa"/>
          </w:tcPr>
          <w:p w14:paraId="09FA353B" w14:textId="1CB45351"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maszyn dla górnictwa, kopalnictwa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budownictwa</w:t>
            </w:r>
          </w:p>
        </w:tc>
        <w:tc>
          <w:tcPr>
            <w:tcW w:w="2675" w:type="dxa"/>
          </w:tcPr>
          <w:p w14:paraId="08E8E647" w14:textId="1D96D1BA"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28.92.Z</w:t>
            </w:r>
          </w:p>
        </w:tc>
      </w:tr>
      <w:tr w:rsidR="00406F44" w:rsidRPr="00833C88" w14:paraId="3B63A13C" w14:textId="58F370C4" w:rsidTr="00DD0AC3">
        <w:tc>
          <w:tcPr>
            <w:tcW w:w="2904" w:type="dxa"/>
          </w:tcPr>
          <w:p w14:paraId="40D97B60"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28.93</w:t>
            </w:r>
          </w:p>
        </w:tc>
        <w:tc>
          <w:tcPr>
            <w:tcW w:w="3437" w:type="dxa"/>
          </w:tcPr>
          <w:p w14:paraId="725ED6CE" w14:textId="639CD4A2"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maszyn stosowanych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przetwórstwie żywności, tytoniu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produkcji napojów</w:t>
            </w:r>
          </w:p>
        </w:tc>
        <w:tc>
          <w:tcPr>
            <w:tcW w:w="2675" w:type="dxa"/>
          </w:tcPr>
          <w:p w14:paraId="0E39F722" w14:textId="198BB019"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28.93.Z.</w:t>
            </w:r>
          </w:p>
        </w:tc>
      </w:tr>
      <w:tr w:rsidR="00406F44" w:rsidRPr="00833C88" w14:paraId="60051230" w14:textId="5F7B46EF" w:rsidTr="00DD0AC3">
        <w:tc>
          <w:tcPr>
            <w:tcW w:w="2904" w:type="dxa"/>
          </w:tcPr>
          <w:p w14:paraId="782D5322"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28.94</w:t>
            </w:r>
          </w:p>
        </w:tc>
        <w:tc>
          <w:tcPr>
            <w:tcW w:w="3437" w:type="dxa"/>
          </w:tcPr>
          <w:p w14:paraId="7DDB4578" w14:textId="6416BD94"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maszyn dla przemysłu tekstylnego, odzieżowego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skórzanego</w:t>
            </w:r>
          </w:p>
        </w:tc>
        <w:tc>
          <w:tcPr>
            <w:tcW w:w="2675" w:type="dxa"/>
          </w:tcPr>
          <w:p w14:paraId="175D270D" w14:textId="129AE79B"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28.94.Z</w:t>
            </w:r>
          </w:p>
        </w:tc>
      </w:tr>
      <w:tr w:rsidR="00406F44" w:rsidRPr="00833C88" w14:paraId="2026D414" w14:textId="4B9DADED" w:rsidTr="00DD0AC3">
        <w:tc>
          <w:tcPr>
            <w:tcW w:w="2904" w:type="dxa"/>
          </w:tcPr>
          <w:p w14:paraId="3D97B68C"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28.95</w:t>
            </w:r>
          </w:p>
        </w:tc>
        <w:tc>
          <w:tcPr>
            <w:tcW w:w="3437" w:type="dxa"/>
          </w:tcPr>
          <w:p w14:paraId="0042DD0C"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maszyn dla przemysłu papierniczego</w:t>
            </w:r>
          </w:p>
        </w:tc>
        <w:tc>
          <w:tcPr>
            <w:tcW w:w="2675" w:type="dxa"/>
          </w:tcPr>
          <w:p w14:paraId="7B263E34" w14:textId="745CE55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28.95.Z</w:t>
            </w:r>
          </w:p>
        </w:tc>
      </w:tr>
      <w:tr w:rsidR="00406F44" w:rsidRPr="00833C88" w14:paraId="45173D5D" w14:textId="609511D3" w:rsidTr="00DD0AC3">
        <w:tc>
          <w:tcPr>
            <w:tcW w:w="2904" w:type="dxa"/>
          </w:tcPr>
          <w:p w14:paraId="0CA2B805"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28.96</w:t>
            </w:r>
          </w:p>
        </w:tc>
        <w:tc>
          <w:tcPr>
            <w:tcW w:w="3437" w:type="dxa"/>
          </w:tcPr>
          <w:p w14:paraId="597A54E2" w14:textId="2EBD26E1"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maszyn do obróbki gumy lub tworzyw sztucznych </w:t>
            </w:r>
            <w:r w:rsidRPr="00833C88">
              <w:rPr>
                <w:rFonts w:eastAsia="Times New Roman" w:cs="Times New Roman"/>
                <w:sz w:val="24"/>
                <w:szCs w:val="24"/>
                <w:lang w:eastAsia="pl-PL"/>
              </w:rPr>
              <w:lastRenderedPageBreak/>
              <w:t xml:space="preserve">oraz wytwarzania wyrobów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tych materiałów</w:t>
            </w:r>
          </w:p>
        </w:tc>
        <w:tc>
          <w:tcPr>
            <w:tcW w:w="2675" w:type="dxa"/>
          </w:tcPr>
          <w:p w14:paraId="51D9BD51" w14:textId="732CBD0D"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28.96.Z</w:t>
            </w:r>
          </w:p>
        </w:tc>
      </w:tr>
      <w:tr w:rsidR="00406F44" w:rsidRPr="00833C88" w14:paraId="48C2A329" w14:textId="605D878A" w:rsidTr="00DD0AC3">
        <w:tc>
          <w:tcPr>
            <w:tcW w:w="2904" w:type="dxa"/>
          </w:tcPr>
          <w:p w14:paraId="2799FBC4"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28.99</w:t>
            </w:r>
          </w:p>
        </w:tc>
        <w:tc>
          <w:tcPr>
            <w:tcW w:w="3437" w:type="dxa"/>
          </w:tcPr>
          <w:p w14:paraId="595C6605"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pozostałych maszyn specjalnego przeznaczenia, gdzie indziej niesklasyfikowana</w:t>
            </w:r>
          </w:p>
        </w:tc>
        <w:tc>
          <w:tcPr>
            <w:tcW w:w="2675" w:type="dxa"/>
          </w:tcPr>
          <w:p w14:paraId="7F25A3E7" w14:textId="2232020B"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28.99.Z</w:t>
            </w:r>
          </w:p>
        </w:tc>
      </w:tr>
    </w:tbl>
    <w:p w14:paraId="04702644" w14:textId="3FA909CF" w:rsidR="0027595D" w:rsidRPr="00833C88" w:rsidRDefault="0061116F" w:rsidP="008C2A9E">
      <w:pPr>
        <w:pStyle w:val="Nagwek5"/>
        <w:numPr>
          <w:ilvl w:val="0"/>
          <w:numId w:val="0"/>
        </w:numPr>
        <w:spacing w:before="0" w:after="120" w:line="360" w:lineRule="auto"/>
        <w:ind w:left="360"/>
        <w:jc w:val="both"/>
        <w:rPr>
          <w:rFonts w:cs="Times New Roman"/>
          <w:sz w:val="24"/>
          <w:szCs w:val="24"/>
          <w:lang w:eastAsia="pl-PL"/>
        </w:rPr>
      </w:pPr>
      <w:r w:rsidRPr="00833C88">
        <w:rPr>
          <w:rFonts w:cs="Times New Roman"/>
          <w:sz w:val="24"/>
          <w:szCs w:val="24"/>
          <w:lang w:eastAsia="pl-PL"/>
        </w:rPr>
        <w:t xml:space="preserve">6.5 </w:t>
      </w:r>
      <w:r w:rsidR="0027595D" w:rsidRPr="00833C88">
        <w:rPr>
          <w:rFonts w:cs="Times New Roman"/>
          <w:sz w:val="24"/>
          <w:szCs w:val="24"/>
          <w:lang w:eastAsia="pl-PL"/>
        </w:rPr>
        <w:t xml:space="preserve">Podsektor </w:t>
      </w:r>
      <w:r w:rsidR="001662A0" w:rsidRPr="00833C88">
        <w:rPr>
          <w:rFonts w:cs="Times New Roman"/>
          <w:sz w:val="24"/>
          <w:szCs w:val="24"/>
          <w:lang w:eastAsia="pl-PL"/>
        </w:rPr>
        <w:t xml:space="preserve">Produkcja pojazdów samochodowych, przyczep </w:t>
      </w:r>
      <w:r w:rsidR="00601933" w:rsidRPr="00833C88">
        <w:rPr>
          <w:rFonts w:cs="Times New Roman"/>
          <w:sz w:val="24"/>
          <w:szCs w:val="24"/>
          <w:lang w:eastAsia="pl-PL"/>
        </w:rPr>
        <w:t>i </w:t>
      </w:r>
      <w:r w:rsidR="001662A0" w:rsidRPr="00833C88">
        <w:rPr>
          <w:rFonts w:cs="Times New Roman"/>
          <w:sz w:val="24"/>
          <w:szCs w:val="24"/>
          <w:lang w:eastAsia="pl-PL"/>
        </w:rPr>
        <w:t>naczep</w:t>
      </w:r>
    </w:p>
    <w:p w14:paraId="23229929" w14:textId="14FDBD17" w:rsidR="001662A0" w:rsidRPr="00833C88" w:rsidRDefault="001662A0"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Przedsiębiorca prowadzący którykolwiek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rodzajów działalności gospodarczej,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sekcji C dział 29 klasyfikacji </w:t>
      </w:r>
      <w:proofErr w:type="spellStart"/>
      <w:r w:rsidRPr="00833C88">
        <w:rPr>
          <w:rFonts w:eastAsia="Times New Roman" w:cs="Times New Roman"/>
          <w:sz w:val="24"/>
          <w:szCs w:val="24"/>
          <w:lang w:eastAsia="pl-PL"/>
        </w:rPr>
        <w:t>NACE</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Rev</w:t>
      </w:r>
      <w:proofErr w:type="spellEnd"/>
      <w:r w:rsidRPr="00833C88">
        <w:rPr>
          <w:rFonts w:eastAsia="Times New Roman" w:cs="Times New Roman"/>
          <w:sz w:val="24"/>
          <w:szCs w:val="24"/>
          <w:lang w:eastAsia="pl-PL"/>
        </w:rPr>
        <w:t>. 2.</w:t>
      </w:r>
    </w:p>
    <w:tbl>
      <w:tblPr>
        <w:tblStyle w:val="Tabela-Siatka"/>
        <w:tblW w:w="0" w:type="auto"/>
        <w:tblLook w:val="04A0" w:firstRow="1" w:lastRow="0" w:firstColumn="1" w:lastColumn="0" w:noHBand="0" w:noVBand="1"/>
      </w:tblPr>
      <w:tblGrid>
        <w:gridCol w:w="2930"/>
        <w:gridCol w:w="3381"/>
        <w:gridCol w:w="2705"/>
      </w:tblGrid>
      <w:tr w:rsidR="00406F44" w:rsidRPr="00833C88" w14:paraId="12C025D2" w14:textId="77777777" w:rsidTr="00DD0AC3">
        <w:tc>
          <w:tcPr>
            <w:tcW w:w="2930" w:type="dxa"/>
          </w:tcPr>
          <w:p w14:paraId="24A9A429" w14:textId="1F0CB16A"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NACE</w:t>
            </w:r>
          </w:p>
        </w:tc>
        <w:tc>
          <w:tcPr>
            <w:tcW w:w="3381" w:type="dxa"/>
          </w:tcPr>
          <w:p w14:paraId="1B0B8001" w14:textId="44FEFE2F"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nazwa </w:t>
            </w:r>
            <w:proofErr w:type="spellStart"/>
            <w:r w:rsidRPr="00833C88">
              <w:rPr>
                <w:rFonts w:eastAsia="Times New Roman" w:cs="Times New Roman"/>
                <w:sz w:val="24"/>
                <w:szCs w:val="24"/>
                <w:lang w:eastAsia="pl-PL"/>
              </w:rPr>
              <w:t>Nace</w:t>
            </w:r>
            <w:proofErr w:type="spellEnd"/>
          </w:p>
        </w:tc>
        <w:tc>
          <w:tcPr>
            <w:tcW w:w="2705" w:type="dxa"/>
          </w:tcPr>
          <w:p w14:paraId="233A684D" w14:textId="056A204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PKD 2025</w:t>
            </w:r>
          </w:p>
        </w:tc>
      </w:tr>
      <w:tr w:rsidR="00406F44" w:rsidRPr="00833C88" w14:paraId="1E1F570F" w14:textId="144B0B92" w:rsidTr="00DD0AC3">
        <w:tc>
          <w:tcPr>
            <w:tcW w:w="2930" w:type="dxa"/>
          </w:tcPr>
          <w:p w14:paraId="3002B450"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29.10</w:t>
            </w:r>
          </w:p>
        </w:tc>
        <w:tc>
          <w:tcPr>
            <w:tcW w:w="3381" w:type="dxa"/>
          </w:tcPr>
          <w:p w14:paraId="72CC2E76"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pojazdów samochodowych</w:t>
            </w:r>
          </w:p>
        </w:tc>
        <w:tc>
          <w:tcPr>
            <w:tcW w:w="2705" w:type="dxa"/>
          </w:tcPr>
          <w:p w14:paraId="1E078F06" w14:textId="44CFB904"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29.10</w:t>
            </w:r>
          </w:p>
        </w:tc>
      </w:tr>
      <w:tr w:rsidR="00406F44" w:rsidRPr="00833C88" w14:paraId="30D7AF09" w14:textId="577B7103" w:rsidTr="00DD0AC3">
        <w:tc>
          <w:tcPr>
            <w:tcW w:w="2930" w:type="dxa"/>
          </w:tcPr>
          <w:p w14:paraId="335BAD65"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29.20</w:t>
            </w:r>
          </w:p>
        </w:tc>
        <w:tc>
          <w:tcPr>
            <w:tcW w:w="3381" w:type="dxa"/>
          </w:tcPr>
          <w:p w14:paraId="5F17D873" w14:textId="48C07101"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nadwozi do pojazdów silnikowych; produkcja przyczep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naczep</w:t>
            </w:r>
          </w:p>
        </w:tc>
        <w:tc>
          <w:tcPr>
            <w:tcW w:w="2705" w:type="dxa"/>
          </w:tcPr>
          <w:p w14:paraId="35AB5F53" w14:textId="6C60FFD0"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29.20.Z</w:t>
            </w:r>
          </w:p>
        </w:tc>
      </w:tr>
      <w:tr w:rsidR="00406F44" w:rsidRPr="00833C88" w14:paraId="11342A20" w14:textId="75687BD8" w:rsidTr="00DD0AC3">
        <w:tc>
          <w:tcPr>
            <w:tcW w:w="2930" w:type="dxa"/>
          </w:tcPr>
          <w:p w14:paraId="5D62BE64"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29.31</w:t>
            </w:r>
          </w:p>
        </w:tc>
        <w:tc>
          <w:tcPr>
            <w:tcW w:w="3381" w:type="dxa"/>
          </w:tcPr>
          <w:p w14:paraId="302EDF2A" w14:textId="64072CDE"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wyposażenia elektrycznego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elektronicznego do pojazdów silnikowych</w:t>
            </w:r>
          </w:p>
        </w:tc>
        <w:tc>
          <w:tcPr>
            <w:tcW w:w="2705" w:type="dxa"/>
          </w:tcPr>
          <w:p w14:paraId="44640E92" w14:textId="21DDC331"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29.31.Z</w:t>
            </w:r>
          </w:p>
        </w:tc>
      </w:tr>
      <w:tr w:rsidR="00406F44" w:rsidRPr="00833C88" w14:paraId="7D2D018F" w14:textId="416E0C49" w:rsidTr="00DD0AC3">
        <w:tc>
          <w:tcPr>
            <w:tcW w:w="2930" w:type="dxa"/>
          </w:tcPr>
          <w:p w14:paraId="1940B544" w14:textId="77777777"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29.32</w:t>
            </w:r>
          </w:p>
        </w:tc>
        <w:tc>
          <w:tcPr>
            <w:tcW w:w="3381" w:type="dxa"/>
          </w:tcPr>
          <w:p w14:paraId="6276A88D" w14:textId="5B4202A0"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pozostałych części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akcesoriów do pojazdów silnikowych</w:t>
            </w:r>
          </w:p>
        </w:tc>
        <w:tc>
          <w:tcPr>
            <w:tcW w:w="2705" w:type="dxa"/>
          </w:tcPr>
          <w:p w14:paraId="35DA14C0" w14:textId="73540C75"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29.32.Z</w:t>
            </w:r>
          </w:p>
        </w:tc>
      </w:tr>
    </w:tbl>
    <w:p w14:paraId="6D23BEF7" w14:textId="2EA31688" w:rsidR="00406F44" w:rsidRPr="00833C88" w:rsidRDefault="0061116F" w:rsidP="008C2A9E">
      <w:pPr>
        <w:pStyle w:val="Nagwek5"/>
        <w:numPr>
          <w:ilvl w:val="0"/>
          <w:numId w:val="0"/>
        </w:numPr>
        <w:spacing w:before="0" w:after="120" w:line="360" w:lineRule="auto"/>
        <w:ind w:left="357"/>
        <w:jc w:val="both"/>
        <w:rPr>
          <w:rFonts w:cs="Times New Roman"/>
          <w:sz w:val="24"/>
          <w:szCs w:val="24"/>
          <w:lang w:eastAsia="pl-PL"/>
        </w:rPr>
      </w:pPr>
      <w:r w:rsidRPr="00833C88">
        <w:rPr>
          <w:rFonts w:cs="Times New Roman"/>
          <w:sz w:val="24"/>
          <w:szCs w:val="24"/>
          <w:lang w:eastAsia="pl-PL"/>
        </w:rPr>
        <w:t xml:space="preserve">6.6 </w:t>
      </w:r>
      <w:r w:rsidR="0027595D" w:rsidRPr="00833C88">
        <w:rPr>
          <w:rFonts w:cs="Times New Roman"/>
          <w:sz w:val="24"/>
          <w:szCs w:val="24"/>
          <w:lang w:eastAsia="pl-PL"/>
        </w:rPr>
        <w:t xml:space="preserve">Podsektor </w:t>
      </w:r>
      <w:r w:rsidR="001662A0" w:rsidRPr="00833C88">
        <w:rPr>
          <w:rFonts w:cs="Times New Roman"/>
          <w:sz w:val="24"/>
          <w:szCs w:val="24"/>
          <w:lang w:eastAsia="pl-PL"/>
        </w:rPr>
        <w:t>Produkcja pozostałego sprzętu transportowego</w:t>
      </w:r>
    </w:p>
    <w:p w14:paraId="11E89952" w14:textId="541F09D0" w:rsidR="0027595D" w:rsidRPr="00833C88" w:rsidRDefault="00406F44" w:rsidP="008C2A9E">
      <w:pPr>
        <w:pStyle w:val="Nagwek5"/>
        <w:numPr>
          <w:ilvl w:val="0"/>
          <w:numId w:val="0"/>
        </w:numPr>
        <w:spacing w:before="0" w:after="120" w:line="360" w:lineRule="auto"/>
        <w:ind w:left="357"/>
        <w:jc w:val="both"/>
        <w:rPr>
          <w:rFonts w:cs="Times New Roman"/>
          <w:lang w:eastAsia="pl-PL"/>
        </w:rPr>
      </w:pPr>
      <w:r w:rsidRPr="00833C88">
        <w:rPr>
          <w:rFonts w:eastAsia="Times New Roman" w:cs="Times New Roman"/>
          <w:sz w:val="24"/>
          <w:szCs w:val="24"/>
          <w:lang w:eastAsia="pl-PL"/>
        </w:rPr>
        <w:t xml:space="preserve">Przedsiębiorca prowadzący którykolwiek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rodzajów działalności gospodarczej,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których mowa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sekcji C dział 30 klasyfikacji </w:t>
      </w:r>
      <w:proofErr w:type="spellStart"/>
      <w:r w:rsidRPr="00833C88">
        <w:rPr>
          <w:rFonts w:eastAsia="Times New Roman" w:cs="Times New Roman"/>
          <w:sz w:val="24"/>
          <w:szCs w:val="24"/>
          <w:lang w:eastAsia="pl-PL"/>
        </w:rPr>
        <w:t>NACE</w:t>
      </w:r>
      <w:proofErr w:type="spellEnd"/>
      <w:r w:rsidRPr="00833C88">
        <w:rPr>
          <w:rFonts w:eastAsia="Times New Roman" w:cs="Times New Roman"/>
          <w:sz w:val="24"/>
          <w:szCs w:val="24"/>
          <w:lang w:eastAsia="pl-PL"/>
        </w:rPr>
        <w:t xml:space="preserve"> </w:t>
      </w:r>
      <w:proofErr w:type="spellStart"/>
      <w:r w:rsidRPr="00833C88">
        <w:rPr>
          <w:rFonts w:eastAsia="Times New Roman" w:cs="Times New Roman"/>
          <w:sz w:val="24"/>
          <w:szCs w:val="24"/>
          <w:lang w:eastAsia="pl-PL"/>
        </w:rPr>
        <w:t>Rev</w:t>
      </w:r>
      <w:proofErr w:type="spellEnd"/>
      <w:r w:rsidRPr="00833C88">
        <w:rPr>
          <w:rFonts w:eastAsia="Times New Roman" w:cs="Times New Roman"/>
          <w:sz w:val="24"/>
          <w:szCs w:val="24"/>
          <w:lang w:eastAsia="pl-PL"/>
        </w:rPr>
        <w:t>. 2.30.11</w:t>
      </w:r>
      <w:r w:rsidR="001662A0" w:rsidRPr="00833C88">
        <w:rPr>
          <w:rFonts w:cs="Times New Roman"/>
          <w:lang w:eastAsia="pl-PL"/>
        </w:rPr>
        <w:tab/>
      </w:r>
    </w:p>
    <w:tbl>
      <w:tblPr>
        <w:tblStyle w:val="Tabela-Siatka"/>
        <w:tblW w:w="0" w:type="auto"/>
        <w:tblLook w:val="04A0" w:firstRow="1" w:lastRow="0" w:firstColumn="1" w:lastColumn="0" w:noHBand="0" w:noVBand="1"/>
      </w:tblPr>
      <w:tblGrid>
        <w:gridCol w:w="2904"/>
        <w:gridCol w:w="3437"/>
        <w:gridCol w:w="2675"/>
      </w:tblGrid>
      <w:tr w:rsidR="00D242DA" w:rsidRPr="00833C88" w14:paraId="2B1E31E6" w14:textId="092ACEC4" w:rsidTr="006E5E99">
        <w:tc>
          <w:tcPr>
            <w:tcW w:w="2904" w:type="dxa"/>
          </w:tcPr>
          <w:p w14:paraId="2AD45B87" w14:textId="1DD5BEC6" w:rsidR="00D242DA" w:rsidRPr="00833C88" w:rsidRDefault="00D242DA" w:rsidP="0029004E">
            <w:pPr>
              <w:spacing w:line="360" w:lineRule="auto"/>
              <w:jc w:val="both"/>
              <w:rPr>
                <w:rFonts w:eastAsia="Times New Roman" w:cs="Times New Roman"/>
                <w:sz w:val="24"/>
                <w:szCs w:val="24"/>
                <w:lang w:eastAsia="pl-PL"/>
              </w:rPr>
            </w:pPr>
          </w:p>
        </w:tc>
        <w:tc>
          <w:tcPr>
            <w:tcW w:w="3437" w:type="dxa"/>
          </w:tcPr>
          <w:p w14:paraId="2FC81D71" w14:textId="20770FEE"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statków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konstrukcji pływających</w:t>
            </w:r>
          </w:p>
        </w:tc>
        <w:tc>
          <w:tcPr>
            <w:tcW w:w="2675" w:type="dxa"/>
          </w:tcPr>
          <w:p w14:paraId="0CDA77FE" w14:textId="77777777" w:rsidR="00D242DA"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30.11.Z</w:t>
            </w:r>
          </w:p>
          <w:p w14:paraId="4A4AED19" w14:textId="09F79770" w:rsidR="00406F44"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30.13.Z</w:t>
            </w:r>
          </w:p>
        </w:tc>
      </w:tr>
      <w:tr w:rsidR="00D242DA" w:rsidRPr="00833C88" w14:paraId="0C612E7A" w14:textId="016C32F7" w:rsidTr="006E5E99">
        <w:tc>
          <w:tcPr>
            <w:tcW w:w="2904" w:type="dxa"/>
          </w:tcPr>
          <w:p w14:paraId="406D00B9"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30.12</w:t>
            </w:r>
          </w:p>
        </w:tc>
        <w:tc>
          <w:tcPr>
            <w:tcW w:w="3437" w:type="dxa"/>
          </w:tcPr>
          <w:p w14:paraId="30C18D94" w14:textId="7F499732"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łodzi wycieczkowych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sportowych</w:t>
            </w:r>
          </w:p>
        </w:tc>
        <w:tc>
          <w:tcPr>
            <w:tcW w:w="2675" w:type="dxa"/>
          </w:tcPr>
          <w:p w14:paraId="2EEBE986" w14:textId="7A853680" w:rsidR="00D242DA" w:rsidRPr="00833C88" w:rsidRDefault="00406F4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30.12.Z</w:t>
            </w:r>
          </w:p>
        </w:tc>
      </w:tr>
      <w:tr w:rsidR="00D242DA" w:rsidRPr="00833C88" w14:paraId="7429C58E" w14:textId="13390C4B" w:rsidTr="006E5E99">
        <w:tc>
          <w:tcPr>
            <w:tcW w:w="2904" w:type="dxa"/>
          </w:tcPr>
          <w:p w14:paraId="0740AB48"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30.20</w:t>
            </w:r>
          </w:p>
        </w:tc>
        <w:tc>
          <w:tcPr>
            <w:tcW w:w="3437" w:type="dxa"/>
          </w:tcPr>
          <w:p w14:paraId="56F79C08"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lokomotyw kolejowych oraz taboru szynowego</w:t>
            </w:r>
          </w:p>
        </w:tc>
        <w:tc>
          <w:tcPr>
            <w:tcW w:w="2675" w:type="dxa"/>
          </w:tcPr>
          <w:p w14:paraId="0E995E25" w14:textId="418910D1" w:rsidR="00D242DA" w:rsidRPr="00833C88" w:rsidRDefault="00531145"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30.20.Z</w:t>
            </w:r>
          </w:p>
        </w:tc>
      </w:tr>
      <w:tr w:rsidR="00D242DA" w:rsidRPr="00833C88" w14:paraId="20BC81E1" w14:textId="0A661A5C" w:rsidTr="006E5E99">
        <w:tc>
          <w:tcPr>
            <w:tcW w:w="2904" w:type="dxa"/>
          </w:tcPr>
          <w:p w14:paraId="018CD2F3"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30.30</w:t>
            </w:r>
          </w:p>
        </w:tc>
        <w:tc>
          <w:tcPr>
            <w:tcW w:w="3437" w:type="dxa"/>
          </w:tcPr>
          <w:p w14:paraId="12855938" w14:textId="1D5F5B8B"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statków powietrznych, statków kosmicznych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podobnych maszyn</w:t>
            </w:r>
          </w:p>
        </w:tc>
        <w:tc>
          <w:tcPr>
            <w:tcW w:w="2675" w:type="dxa"/>
          </w:tcPr>
          <w:p w14:paraId="0A0DFA24" w14:textId="0CE89158" w:rsidR="00D242DA" w:rsidRPr="00833C88" w:rsidRDefault="00B669C4"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30.31.Z</w:t>
            </w:r>
            <w:r w:rsidRPr="00833C88">
              <w:rPr>
                <w:rFonts w:eastAsia="Times New Roman" w:cs="Times New Roman"/>
                <w:sz w:val="24"/>
                <w:szCs w:val="24"/>
                <w:lang w:eastAsia="pl-PL"/>
              </w:rPr>
              <w:br/>
              <w:t>30.32.Z</w:t>
            </w:r>
          </w:p>
        </w:tc>
      </w:tr>
      <w:tr w:rsidR="00D242DA" w:rsidRPr="00833C88" w14:paraId="75F1F2EE" w14:textId="095F9483" w:rsidTr="006E5E99">
        <w:tc>
          <w:tcPr>
            <w:tcW w:w="2904" w:type="dxa"/>
          </w:tcPr>
          <w:p w14:paraId="7ACF4D1E"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30.40</w:t>
            </w:r>
          </w:p>
        </w:tc>
        <w:tc>
          <w:tcPr>
            <w:tcW w:w="3437" w:type="dxa"/>
          </w:tcPr>
          <w:p w14:paraId="7DCE7F2E"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wojskowych pojazdów bojowych</w:t>
            </w:r>
          </w:p>
        </w:tc>
        <w:tc>
          <w:tcPr>
            <w:tcW w:w="2675" w:type="dxa"/>
          </w:tcPr>
          <w:p w14:paraId="32D113D2" w14:textId="504E1F97" w:rsidR="00D242DA" w:rsidRPr="00833C88" w:rsidRDefault="00C17C8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30.40.Z</w:t>
            </w:r>
          </w:p>
        </w:tc>
      </w:tr>
      <w:tr w:rsidR="00D242DA" w:rsidRPr="00833C88" w14:paraId="0AC5C429" w14:textId="3DFD12BD" w:rsidTr="006E5E99">
        <w:tc>
          <w:tcPr>
            <w:tcW w:w="2904" w:type="dxa"/>
          </w:tcPr>
          <w:p w14:paraId="5E0191F7"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30.91</w:t>
            </w:r>
          </w:p>
        </w:tc>
        <w:tc>
          <w:tcPr>
            <w:tcW w:w="3437" w:type="dxa"/>
          </w:tcPr>
          <w:p w14:paraId="7D499428"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motocykli</w:t>
            </w:r>
          </w:p>
        </w:tc>
        <w:tc>
          <w:tcPr>
            <w:tcW w:w="2675" w:type="dxa"/>
          </w:tcPr>
          <w:p w14:paraId="30C4B8E6" w14:textId="3570925E" w:rsidR="00D242DA" w:rsidRPr="00833C88" w:rsidRDefault="00C17C8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30.91.Z</w:t>
            </w:r>
          </w:p>
        </w:tc>
      </w:tr>
      <w:tr w:rsidR="00D242DA" w:rsidRPr="00833C88" w14:paraId="7857B0E7" w14:textId="4DA2D297" w:rsidTr="006E5E99">
        <w:tc>
          <w:tcPr>
            <w:tcW w:w="2904" w:type="dxa"/>
          </w:tcPr>
          <w:p w14:paraId="600315A9"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30.92</w:t>
            </w:r>
          </w:p>
        </w:tc>
        <w:tc>
          <w:tcPr>
            <w:tcW w:w="3437" w:type="dxa"/>
          </w:tcPr>
          <w:p w14:paraId="7162DA25" w14:textId="2A8EA2A4"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Produkcja rowerów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wózków inwalidzkich</w:t>
            </w:r>
          </w:p>
        </w:tc>
        <w:tc>
          <w:tcPr>
            <w:tcW w:w="2675" w:type="dxa"/>
          </w:tcPr>
          <w:p w14:paraId="7A75B901" w14:textId="657B86EC" w:rsidR="00D242DA" w:rsidRPr="00833C88" w:rsidRDefault="00C17C81"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30.92.Z</w:t>
            </w:r>
          </w:p>
        </w:tc>
      </w:tr>
      <w:tr w:rsidR="00D242DA" w:rsidRPr="00833C88" w14:paraId="04A7DF1E" w14:textId="30600330" w:rsidTr="006E5E99">
        <w:tc>
          <w:tcPr>
            <w:tcW w:w="2904" w:type="dxa"/>
          </w:tcPr>
          <w:p w14:paraId="572A8AAC"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30.99</w:t>
            </w:r>
          </w:p>
        </w:tc>
        <w:tc>
          <w:tcPr>
            <w:tcW w:w="3437" w:type="dxa"/>
          </w:tcPr>
          <w:p w14:paraId="1616D2F6" w14:textId="77777777" w:rsidR="00D242DA" w:rsidRPr="00833C88" w:rsidRDefault="00D242DA"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Produkcja pozostałego sprzętu transportowego, gdzie indziej niesklasyfikowana</w:t>
            </w:r>
          </w:p>
        </w:tc>
        <w:tc>
          <w:tcPr>
            <w:tcW w:w="2675" w:type="dxa"/>
          </w:tcPr>
          <w:p w14:paraId="6E671862" w14:textId="7E894290" w:rsidR="00D242DA" w:rsidRPr="00833C88" w:rsidRDefault="00464846"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30.99.Z</w:t>
            </w:r>
          </w:p>
        </w:tc>
      </w:tr>
    </w:tbl>
    <w:p w14:paraId="0C8DC543" w14:textId="7660EE4B" w:rsidR="00763087" w:rsidRPr="00833C88" w:rsidRDefault="00A86FB0">
      <w:pPr>
        <w:pStyle w:val="Nagwek4"/>
        <w:numPr>
          <w:ilvl w:val="0"/>
          <w:numId w:val="67"/>
        </w:numPr>
        <w:spacing w:before="0" w:after="120" w:line="360" w:lineRule="auto"/>
        <w:rPr>
          <w:rFonts w:cs="Times New Roman"/>
          <w:sz w:val="24"/>
          <w:szCs w:val="24"/>
          <w:lang w:eastAsia="pl-PL"/>
        </w:rPr>
      </w:pPr>
      <w:r w:rsidRPr="00833C88">
        <w:rPr>
          <w:rFonts w:cs="Times New Roman"/>
          <w:sz w:val="24"/>
          <w:szCs w:val="24"/>
          <w:lang w:eastAsia="pl-PL"/>
        </w:rPr>
        <w:t>Dostawcy usług cyfrowych</w:t>
      </w:r>
    </w:p>
    <w:p w14:paraId="46A04C53" w14:textId="71DC41DA" w:rsidR="00A86FB0" w:rsidRPr="00833C88" w:rsidRDefault="00A86FB0" w:rsidP="008C2A9E">
      <w:pPr>
        <w:spacing w:line="360" w:lineRule="auto"/>
        <w:jc w:val="both"/>
        <w:rPr>
          <w:rFonts w:cs="Times New Roman"/>
          <w:sz w:val="24"/>
          <w:szCs w:val="24"/>
          <w:lang w:eastAsia="pl-PL"/>
        </w:rPr>
      </w:pPr>
      <w:r w:rsidRPr="00833C88">
        <w:rPr>
          <w:rFonts w:cs="Times New Roman"/>
          <w:sz w:val="24"/>
          <w:szCs w:val="24"/>
          <w:lang w:eastAsia="pl-PL"/>
        </w:rPr>
        <w:t xml:space="preserve">Dostawcy usług cyfrowych występowali już na gruncie dyrektywy NIS. </w:t>
      </w:r>
      <w:r w:rsidR="00601933" w:rsidRPr="00833C88">
        <w:rPr>
          <w:rFonts w:cs="Times New Roman"/>
          <w:sz w:val="24"/>
          <w:szCs w:val="24"/>
          <w:lang w:eastAsia="pl-PL"/>
        </w:rPr>
        <w:t>W </w:t>
      </w:r>
      <w:r w:rsidR="00F84E59" w:rsidRPr="00833C88">
        <w:rPr>
          <w:rFonts w:cs="Times New Roman"/>
          <w:sz w:val="24"/>
          <w:szCs w:val="24"/>
          <w:lang w:eastAsia="pl-PL"/>
        </w:rPr>
        <w:t>dyrektywie NIS 2 zmieniono zakres podmiotowy tego zbioru</w:t>
      </w:r>
      <w:r w:rsidR="00FB29A5" w:rsidRPr="00833C88">
        <w:rPr>
          <w:rFonts w:cs="Times New Roman"/>
          <w:sz w:val="24"/>
          <w:szCs w:val="24"/>
          <w:lang w:eastAsia="pl-PL"/>
        </w:rPr>
        <w:t xml:space="preserve"> podmiot</w:t>
      </w:r>
      <w:r w:rsidR="00CC6D2E" w:rsidRPr="00833C88">
        <w:rPr>
          <w:rFonts w:cs="Times New Roman"/>
          <w:sz w:val="24"/>
          <w:szCs w:val="24"/>
          <w:lang w:eastAsia="pl-PL"/>
        </w:rPr>
        <w:t>ów</w:t>
      </w:r>
      <w:r w:rsidR="00F84E59" w:rsidRPr="00833C88">
        <w:rPr>
          <w:rFonts w:cs="Times New Roman"/>
          <w:sz w:val="24"/>
          <w:szCs w:val="24"/>
          <w:lang w:eastAsia="pl-PL"/>
        </w:rPr>
        <w:t>. Należy przy tym pamiętać, że jest to</w:t>
      </w:r>
      <w:r w:rsidR="0076020B" w:rsidRPr="00833C88">
        <w:rPr>
          <w:rFonts w:cs="Times New Roman"/>
          <w:sz w:val="24"/>
          <w:szCs w:val="24"/>
          <w:lang w:eastAsia="pl-PL"/>
        </w:rPr>
        <w:t> </w:t>
      </w:r>
      <w:r w:rsidR="00F84E59" w:rsidRPr="00833C88">
        <w:rPr>
          <w:rFonts w:cs="Times New Roman"/>
          <w:sz w:val="24"/>
          <w:szCs w:val="24"/>
          <w:lang w:eastAsia="pl-PL"/>
        </w:rPr>
        <w:t xml:space="preserve">pojęcie specyficzne dla </w:t>
      </w:r>
      <w:r w:rsidR="00541CCC" w:rsidRPr="00833C88">
        <w:rPr>
          <w:rFonts w:cs="Times New Roman"/>
          <w:sz w:val="24"/>
          <w:szCs w:val="24"/>
          <w:lang w:eastAsia="pl-PL"/>
        </w:rPr>
        <w:t xml:space="preserve">dyrektywy NIS 2 </w:t>
      </w:r>
      <w:r w:rsidR="00601933" w:rsidRPr="00833C88">
        <w:rPr>
          <w:rFonts w:cs="Times New Roman"/>
          <w:sz w:val="24"/>
          <w:szCs w:val="24"/>
          <w:lang w:eastAsia="pl-PL"/>
        </w:rPr>
        <w:t>i </w:t>
      </w:r>
      <w:r w:rsidR="00541CCC" w:rsidRPr="00833C88">
        <w:rPr>
          <w:rFonts w:cs="Times New Roman"/>
          <w:sz w:val="24"/>
          <w:szCs w:val="24"/>
          <w:lang w:eastAsia="pl-PL"/>
        </w:rPr>
        <w:t>nie można tego pojęcia ze wszystkimi podmiotami świadczącymi usługi drogą elektroniczną.</w:t>
      </w:r>
    </w:p>
    <w:p w14:paraId="38A8C1E5" w14:textId="569D5E23" w:rsidR="009547E7" w:rsidRPr="00833C88" w:rsidRDefault="00601933" w:rsidP="008C2A9E">
      <w:pPr>
        <w:spacing w:line="360" w:lineRule="auto"/>
        <w:jc w:val="both"/>
        <w:rPr>
          <w:rFonts w:cs="Times New Roman"/>
          <w:sz w:val="24"/>
          <w:szCs w:val="24"/>
          <w:lang w:eastAsia="pl-PL"/>
        </w:rPr>
      </w:pPr>
      <w:r w:rsidRPr="00833C88">
        <w:rPr>
          <w:rFonts w:cs="Times New Roman"/>
          <w:sz w:val="24"/>
          <w:szCs w:val="24"/>
          <w:lang w:eastAsia="pl-PL"/>
        </w:rPr>
        <w:t>W </w:t>
      </w:r>
      <w:r w:rsidR="009547E7" w:rsidRPr="00833C88">
        <w:rPr>
          <w:rFonts w:cs="Times New Roman"/>
          <w:sz w:val="24"/>
          <w:szCs w:val="24"/>
          <w:lang w:eastAsia="pl-PL"/>
        </w:rPr>
        <w:t>ramach tego sektora wyodrębnia się:</w:t>
      </w:r>
    </w:p>
    <w:p w14:paraId="689716C9" w14:textId="29D74B3F" w:rsidR="005921C1" w:rsidRPr="00833C88" w:rsidRDefault="005921C1">
      <w:pPr>
        <w:pStyle w:val="Akapitzlist"/>
        <w:numPr>
          <w:ilvl w:val="0"/>
          <w:numId w:val="37"/>
        </w:numPr>
        <w:spacing w:line="360" w:lineRule="auto"/>
        <w:contextualSpacing w:val="0"/>
        <w:jc w:val="both"/>
        <w:rPr>
          <w:rFonts w:cs="Times New Roman"/>
          <w:sz w:val="24"/>
          <w:szCs w:val="24"/>
          <w:lang w:eastAsia="pl-PL"/>
        </w:rPr>
      </w:pPr>
      <w:r w:rsidRPr="00833C88">
        <w:rPr>
          <w:rFonts w:cs="Times New Roman"/>
          <w:sz w:val="24"/>
          <w:szCs w:val="24"/>
          <w:lang w:eastAsia="pl-PL"/>
        </w:rPr>
        <w:t>Dostawc</w:t>
      </w:r>
      <w:r w:rsidR="0069444A" w:rsidRPr="00833C88">
        <w:rPr>
          <w:rFonts w:cs="Times New Roman"/>
          <w:sz w:val="24"/>
          <w:szCs w:val="24"/>
          <w:lang w:eastAsia="pl-PL"/>
        </w:rPr>
        <w:t>ę</w:t>
      </w:r>
      <w:r w:rsidRPr="00833C88">
        <w:rPr>
          <w:rFonts w:cs="Times New Roman"/>
          <w:sz w:val="24"/>
          <w:szCs w:val="24"/>
          <w:lang w:eastAsia="pl-PL"/>
        </w:rPr>
        <w:t xml:space="preserve"> internetowej platformy handlowej – ten rodzaj podmiotu już występował na gruncie dyrektywy NIS</w:t>
      </w:r>
      <w:r w:rsidR="0076020B" w:rsidRPr="00833C88">
        <w:rPr>
          <w:rFonts w:cs="Times New Roman"/>
          <w:sz w:val="24"/>
          <w:szCs w:val="24"/>
          <w:lang w:eastAsia="pl-PL"/>
        </w:rPr>
        <w:t>,</w:t>
      </w:r>
    </w:p>
    <w:p w14:paraId="0751FF54" w14:textId="436E7DE3" w:rsidR="005921C1" w:rsidRPr="00833C88" w:rsidRDefault="005921C1">
      <w:pPr>
        <w:pStyle w:val="Akapitzlist"/>
        <w:numPr>
          <w:ilvl w:val="0"/>
          <w:numId w:val="37"/>
        </w:numPr>
        <w:spacing w:line="360" w:lineRule="auto"/>
        <w:contextualSpacing w:val="0"/>
        <w:jc w:val="both"/>
        <w:rPr>
          <w:rFonts w:cs="Times New Roman"/>
          <w:sz w:val="24"/>
          <w:szCs w:val="24"/>
          <w:lang w:eastAsia="pl-PL"/>
        </w:rPr>
      </w:pPr>
      <w:r w:rsidRPr="00833C88">
        <w:rPr>
          <w:rFonts w:cs="Times New Roman"/>
          <w:sz w:val="24"/>
          <w:szCs w:val="24"/>
          <w:lang w:eastAsia="pl-PL"/>
        </w:rPr>
        <w:t>Dostawc</w:t>
      </w:r>
      <w:r w:rsidR="0069444A" w:rsidRPr="00833C88">
        <w:rPr>
          <w:rFonts w:cs="Times New Roman"/>
          <w:sz w:val="24"/>
          <w:szCs w:val="24"/>
          <w:lang w:eastAsia="pl-PL"/>
        </w:rPr>
        <w:t>ę</w:t>
      </w:r>
      <w:r w:rsidRPr="00833C88">
        <w:rPr>
          <w:rFonts w:cs="Times New Roman"/>
          <w:sz w:val="24"/>
          <w:szCs w:val="24"/>
          <w:lang w:eastAsia="pl-PL"/>
        </w:rPr>
        <w:t xml:space="preserve"> wyszukiwarki internetowej</w:t>
      </w:r>
      <w:r w:rsidR="00EF7865" w:rsidRPr="00833C88">
        <w:rPr>
          <w:rFonts w:cs="Times New Roman"/>
          <w:sz w:val="24"/>
          <w:szCs w:val="24"/>
          <w:lang w:eastAsia="pl-PL"/>
        </w:rPr>
        <w:t xml:space="preserve"> – ten rodzaj podmiotu już występował na gruncie dyrektywy NIS</w:t>
      </w:r>
      <w:r w:rsidR="0076020B" w:rsidRPr="00833C88">
        <w:rPr>
          <w:rFonts w:cs="Times New Roman"/>
          <w:sz w:val="24"/>
          <w:szCs w:val="24"/>
          <w:lang w:eastAsia="pl-PL"/>
        </w:rPr>
        <w:t>,</w:t>
      </w:r>
    </w:p>
    <w:p w14:paraId="3BA4988D" w14:textId="77777777" w:rsidR="00711603" w:rsidRPr="00833C88" w:rsidRDefault="005921C1" w:rsidP="00711603">
      <w:pPr>
        <w:pStyle w:val="Akapitzlist"/>
        <w:numPr>
          <w:ilvl w:val="0"/>
          <w:numId w:val="37"/>
        </w:numPr>
        <w:spacing w:line="360" w:lineRule="auto"/>
        <w:contextualSpacing w:val="0"/>
        <w:jc w:val="both"/>
        <w:rPr>
          <w:rFonts w:cs="Times New Roman"/>
          <w:sz w:val="24"/>
          <w:szCs w:val="24"/>
          <w:lang w:eastAsia="pl-PL"/>
        </w:rPr>
      </w:pPr>
      <w:r w:rsidRPr="00833C88">
        <w:rPr>
          <w:rFonts w:cs="Times New Roman"/>
          <w:sz w:val="24"/>
          <w:szCs w:val="24"/>
          <w:lang w:eastAsia="pl-PL"/>
        </w:rPr>
        <w:t>Dostawc</w:t>
      </w:r>
      <w:r w:rsidR="0069444A" w:rsidRPr="00833C88">
        <w:rPr>
          <w:rFonts w:cs="Times New Roman"/>
          <w:sz w:val="24"/>
          <w:szCs w:val="24"/>
          <w:lang w:eastAsia="pl-PL"/>
        </w:rPr>
        <w:t>ę</w:t>
      </w:r>
      <w:r w:rsidRPr="00833C88">
        <w:rPr>
          <w:rFonts w:cs="Times New Roman"/>
          <w:sz w:val="24"/>
          <w:szCs w:val="24"/>
          <w:lang w:eastAsia="pl-PL"/>
        </w:rPr>
        <w:t xml:space="preserve"> platformy sieci usług społecznościowych.</w:t>
      </w:r>
    </w:p>
    <w:p w14:paraId="63A95EFD" w14:textId="01FFB99D" w:rsidR="00083540" w:rsidRPr="00833C88" w:rsidRDefault="00174473" w:rsidP="00711603">
      <w:pPr>
        <w:spacing w:line="360" w:lineRule="auto"/>
        <w:jc w:val="both"/>
        <w:rPr>
          <w:rFonts w:cs="Times New Roman"/>
          <w:sz w:val="24"/>
          <w:szCs w:val="24"/>
          <w:lang w:eastAsia="pl-PL"/>
        </w:rPr>
      </w:pPr>
      <w:r w:rsidRPr="00833C88">
        <w:rPr>
          <w:rFonts w:cs="Times New Roman"/>
          <w:sz w:val="24"/>
          <w:szCs w:val="24"/>
          <w:lang w:eastAsia="pl-PL"/>
        </w:rPr>
        <w:t xml:space="preserve">Do tych podmiotów będą stosowały się szczególne regulacje dotyczące </w:t>
      </w:r>
      <w:r w:rsidR="00DE2652" w:rsidRPr="00833C88">
        <w:rPr>
          <w:rFonts w:cs="Times New Roman"/>
          <w:sz w:val="24"/>
          <w:szCs w:val="24"/>
          <w:lang w:eastAsia="pl-PL"/>
        </w:rPr>
        <w:t>jurysdykcji państwa członkowskiego Unii Europejskiej</w:t>
      </w:r>
      <w:r w:rsidR="00742F36" w:rsidRPr="00833C88">
        <w:rPr>
          <w:rFonts w:cs="Times New Roman"/>
          <w:sz w:val="24"/>
          <w:szCs w:val="24"/>
          <w:lang w:eastAsia="pl-PL"/>
        </w:rPr>
        <w:t xml:space="preserve"> – podlegają one właściwości państwa członkowskiego</w:t>
      </w:r>
      <w:r w:rsidR="00A338FC" w:rsidRPr="00833C88">
        <w:rPr>
          <w:rFonts w:cs="Times New Roman"/>
          <w:sz w:val="24"/>
          <w:szCs w:val="24"/>
          <w:lang w:eastAsia="pl-PL"/>
        </w:rPr>
        <w:t xml:space="preserve"> w</w:t>
      </w:r>
      <w:r w:rsidR="00711603" w:rsidRPr="00833C88">
        <w:rPr>
          <w:rFonts w:cs="Times New Roman"/>
          <w:sz w:val="24"/>
          <w:szCs w:val="24"/>
          <w:lang w:eastAsia="pl-PL"/>
        </w:rPr>
        <w:t> </w:t>
      </w:r>
      <w:r w:rsidR="00A338FC" w:rsidRPr="00833C88">
        <w:rPr>
          <w:rFonts w:cs="Times New Roman"/>
          <w:sz w:val="24"/>
          <w:szCs w:val="24"/>
          <w:lang w:eastAsia="pl-PL"/>
        </w:rPr>
        <w:t>którym podmiot ma główną siedzibę działalności.</w:t>
      </w:r>
    </w:p>
    <w:p w14:paraId="2EE4AFF5" w14:textId="4C358F45" w:rsidR="00A86FB0" w:rsidRPr="00833C88" w:rsidRDefault="00A86FB0">
      <w:pPr>
        <w:pStyle w:val="Nagwek4"/>
        <w:numPr>
          <w:ilvl w:val="0"/>
          <w:numId w:val="67"/>
        </w:numPr>
        <w:spacing w:before="0" w:after="120" w:line="360" w:lineRule="auto"/>
        <w:jc w:val="both"/>
        <w:rPr>
          <w:rFonts w:cs="Times New Roman"/>
          <w:sz w:val="24"/>
          <w:szCs w:val="24"/>
          <w:lang w:eastAsia="pl-PL"/>
        </w:rPr>
      </w:pPr>
      <w:r w:rsidRPr="00833C88">
        <w:rPr>
          <w:rFonts w:cs="Times New Roman"/>
          <w:sz w:val="24"/>
          <w:szCs w:val="24"/>
          <w:lang w:eastAsia="pl-PL"/>
        </w:rPr>
        <w:lastRenderedPageBreak/>
        <w:t>Badania naukowe</w:t>
      </w:r>
    </w:p>
    <w:p w14:paraId="6CBF8AA7" w14:textId="1F3119DF" w:rsidR="00CA4EEA" w:rsidRPr="00833C88" w:rsidRDefault="00601933" w:rsidP="008C2A9E">
      <w:pPr>
        <w:spacing w:line="360" w:lineRule="auto"/>
        <w:jc w:val="both"/>
        <w:rPr>
          <w:rFonts w:cs="Times New Roman"/>
          <w:sz w:val="24"/>
          <w:szCs w:val="24"/>
          <w:lang w:eastAsia="pl-PL"/>
        </w:rPr>
      </w:pPr>
      <w:r w:rsidRPr="00833C88">
        <w:rPr>
          <w:rFonts w:cs="Times New Roman"/>
          <w:sz w:val="24"/>
          <w:szCs w:val="24"/>
          <w:lang w:eastAsia="pl-PL"/>
        </w:rPr>
        <w:t>W </w:t>
      </w:r>
      <w:r w:rsidR="00CA4EEA" w:rsidRPr="00833C88">
        <w:rPr>
          <w:rFonts w:cs="Times New Roman"/>
          <w:sz w:val="24"/>
          <w:szCs w:val="24"/>
          <w:lang w:eastAsia="pl-PL"/>
        </w:rPr>
        <w:t>tym sektorze występują następujące rodzaje podmiotów:</w:t>
      </w:r>
    </w:p>
    <w:p w14:paraId="6F0ABB98" w14:textId="379DA730" w:rsidR="00CA4EEA" w:rsidRPr="00833C88" w:rsidRDefault="00CA4EEA">
      <w:pPr>
        <w:pStyle w:val="Akapitzlist"/>
        <w:numPr>
          <w:ilvl w:val="0"/>
          <w:numId w:val="40"/>
        </w:numPr>
        <w:spacing w:line="360" w:lineRule="auto"/>
        <w:contextualSpacing w:val="0"/>
        <w:jc w:val="both"/>
        <w:rPr>
          <w:rFonts w:cs="Times New Roman"/>
          <w:sz w:val="24"/>
          <w:szCs w:val="24"/>
          <w:lang w:eastAsia="pl-PL"/>
        </w:rPr>
      </w:pPr>
      <w:r w:rsidRPr="00833C88">
        <w:rPr>
          <w:rFonts w:cs="Times New Roman"/>
          <w:sz w:val="24"/>
          <w:szCs w:val="24"/>
          <w:lang w:eastAsia="pl-PL"/>
        </w:rPr>
        <w:t>Organizacja badawcza</w:t>
      </w:r>
      <w:r w:rsidR="0076020B" w:rsidRPr="00833C88">
        <w:rPr>
          <w:rFonts w:cs="Times New Roman"/>
          <w:sz w:val="24"/>
          <w:szCs w:val="24"/>
          <w:lang w:eastAsia="pl-PL"/>
        </w:rPr>
        <w:t>,</w:t>
      </w:r>
    </w:p>
    <w:p w14:paraId="48C2B907" w14:textId="7282A912" w:rsidR="00B121B2" w:rsidRPr="00833C88" w:rsidRDefault="00CA4EEA">
      <w:pPr>
        <w:pStyle w:val="Akapitzlist"/>
        <w:numPr>
          <w:ilvl w:val="0"/>
          <w:numId w:val="40"/>
        </w:numPr>
        <w:spacing w:line="360" w:lineRule="auto"/>
        <w:contextualSpacing w:val="0"/>
        <w:jc w:val="both"/>
        <w:rPr>
          <w:rFonts w:cs="Times New Roman"/>
          <w:sz w:val="24"/>
          <w:szCs w:val="24"/>
          <w:lang w:eastAsia="pl-PL"/>
        </w:rPr>
      </w:pPr>
      <w:r w:rsidRPr="00833C88">
        <w:rPr>
          <w:rFonts w:cs="Times New Roman"/>
          <w:sz w:val="24"/>
          <w:szCs w:val="24"/>
          <w:lang w:eastAsia="pl-PL"/>
        </w:rPr>
        <w:t xml:space="preserve">Podmioty,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7 ust. 1 pkt 1–4, 6–7 ustawy </w:t>
      </w:r>
      <w:r w:rsidR="00601933" w:rsidRPr="00833C88">
        <w:rPr>
          <w:rFonts w:cs="Times New Roman"/>
          <w:sz w:val="24"/>
          <w:szCs w:val="24"/>
          <w:lang w:eastAsia="pl-PL"/>
        </w:rPr>
        <w:t>z </w:t>
      </w:r>
      <w:r w:rsidRPr="00833C88">
        <w:rPr>
          <w:rFonts w:cs="Times New Roman"/>
          <w:sz w:val="24"/>
          <w:szCs w:val="24"/>
          <w:lang w:eastAsia="pl-PL"/>
        </w:rPr>
        <w:t xml:space="preserve">dnia </w:t>
      </w:r>
      <w:r w:rsidR="00601933" w:rsidRPr="00833C88">
        <w:rPr>
          <w:rFonts w:cs="Times New Roman"/>
          <w:sz w:val="24"/>
          <w:szCs w:val="24"/>
          <w:lang w:eastAsia="pl-PL"/>
        </w:rPr>
        <w:t>z </w:t>
      </w:r>
      <w:r w:rsidRPr="00833C88">
        <w:rPr>
          <w:rFonts w:cs="Times New Roman"/>
          <w:sz w:val="24"/>
          <w:szCs w:val="24"/>
          <w:lang w:eastAsia="pl-PL"/>
        </w:rPr>
        <w:t>dnia 20 lipca 2018 r.</w:t>
      </w:r>
      <w:r w:rsidR="0052199F" w:rsidRPr="00833C88">
        <w:rPr>
          <w:rFonts w:cs="Times New Roman"/>
          <w:sz w:val="24"/>
          <w:szCs w:val="24"/>
          <w:lang w:eastAsia="pl-PL"/>
        </w:rPr>
        <w:t xml:space="preserve"> </w:t>
      </w:r>
      <w:r w:rsidRPr="00833C88">
        <w:rPr>
          <w:rFonts w:cs="Times New Roman"/>
          <w:sz w:val="24"/>
          <w:szCs w:val="24"/>
          <w:lang w:eastAsia="pl-PL"/>
        </w:rPr>
        <w:t xml:space="preserve">– Prawo </w:t>
      </w:r>
      <w:r w:rsidR="00601933" w:rsidRPr="00833C88">
        <w:rPr>
          <w:rFonts w:cs="Times New Roman"/>
          <w:sz w:val="24"/>
          <w:szCs w:val="24"/>
          <w:lang w:eastAsia="pl-PL"/>
        </w:rPr>
        <w:t>o </w:t>
      </w:r>
      <w:r w:rsidRPr="00833C88">
        <w:rPr>
          <w:rFonts w:cs="Times New Roman"/>
          <w:sz w:val="24"/>
          <w:szCs w:val="24"/>
          <w:lang w:eastAsia="pl-PL"/>
        </w:rPr>
        <w:t xml:space="preserve">szkolnictwie wyższym </w:t>
      </w:r>
      <w:r w:rsidR="00601933" w:rsidRPr="00833C88">
        <w:rPr>
          <w:rFonts w:cs="Times New Roman"/>
          <w:sz w:val="24"/>
          <w:szCs w:val="24"/>
          <w:lang w:eastAsia="pl-PL"/>
        </w:rPr>
        <w:t>i </w:t>
      </w:r>
      <w:r w:rsidRPr="00833C88">
        <w:rPr>
          <w:rFonts w:cs="Times New Roman"/>
          <w:sz w:val="24"/>
          <w:szCs w:val="24"/>
          <w:lang w:eastAsia="pl-PL"/>
        </w:rPr>
        <w:t>nauce.</w:t>
      </w:r>
      <w:r w:rsidR="006C60A2" w:rsidRPr="00833C88">
        <w:rPr>
          <w:rFonts w:cs="Times New Roman"/>
          <w:sz w:val="24"/>
          <w:szCs w:val="24"/>
          <w:lang w:eastAsia="pl-PL"/>
        </w:rPr>
        <w:t xml:space="preserve"> </w:t>
      </w:r>
    </w:p>
    <w:p w14:paraId="76C30E0F" w14:textId="6B3B7DFE" w:rsidR="006C60A2" w:rsidRPr="00833C88" w:rsidRDefault="006C60A2" w:rsidP="008C2A9E">
      <w:pPr>
        <w:spacing w:line="360" w:lineRule="auto"/>
        <w:jc w:val="both"/>
        <w:rPr>
          <w:rFonts w:cs="Times New Roman"/>
          <w:sz w:val="24"/>
          <w:szCs w:val="24"/>
          <w:lang w:eastAsia="pl-PL"/>
        </w:rPr>
      </w:pPr>
      <w:r w:rsidRPr="00833C88">
        <w:rPr>
          <w:rFonts w:cs="Times New Roman"/>
          <w:sz w:val="24"/>
          <w:szCs w:val="24"/>
          <w:lang w:eastAsia="pl-PL"/>
        </w:rPr>
        <w:t>Działania badawcze odgrywają kluczową rolę w rozwoju nowych produktów i procesów. Wiele z tych działań jest prowadzonych przez podmioty, które udostępniają, rozpowszechniają lub wykorzystują wyniki swoich badań do celów handlowych. Podmioty te mogą zatem być ważnymi uczestnikami łańcuchów wartości, co sprawia, że bezpieczeństwo ich sieci i systemów informatycznych stanowi integralną część ogólnego cyberbezpieczeństwa rynku wewnętrznego.</w:t>
      </w:r>
    </w:p>
    <w:p w14:paraId="650CDDF3" w14:textId="53CB8DA0" w:rsidR="009072D3" w:rsidRPr="00833C88" w:rsidRDefault="009072D3" w:rsidP="008C2A9E">
      <w:pPr>
        <w:spacing w:line="360" w:lineRule="auto"/>
        <w:jc w:val="both"/>
        <w:rPr>
          <w:rFonts w:cs="Times New Roman"/>
          <w:sz w:val="24"/>
          <w:szCs w:val="24"/>
          <w:lang w:eastAsia="pl-PL"/>
        </w:rPr>
      </w:pPr>
      <w:r w:rsidRPr="00833C88">
        <w:rPr>
          <w:rFonts w:cs="Times New Roman"/>
          <w:sz w:val="24"/>
          <w:szCs w:val="24"/>
          <w:lang w:eastAsia="pl-PL"/>
        </w:rPr>
        <w:t xml:space="preserve">Dyrektywa NIS 2 nałożyła na organizacje badawcze obowiązki </w:t>
      </w:r>
      <w:r w:rsidR="00601933" w:rsidRPr="00833C88">
        <w:rPr>
          <w:rFonts w:cs="Times New Roman"/>
          <w:sz w:val="24"/>
          <w:szCs w:val="24"/>
          <w:lang w:eastAsia="pl-PL"/>
        </w:rPr>
        <w:t>z </w:t>
      </w:r>
      <w:r w:rsidRPr="00833C88">
        <w:rPr>
          <w:rFonts w:cs="Times New Roman"/>
          <w:sz w:val="24"/>
          <w:szCs w:val="24"/>
          <w:lang w:eastAsia="pl-PL"/>
        </w:rPr>
        <w:t xml:space="preserve">zakresu zarządzania ryzykiem </w:t>
      </w:r>
      <w:r w:rsidR="00601933" w:rsidRPr="00833C88">
        <w:rPr>
          <w:rFonts w:cs="Times New Roman"/>
          <w:sz w:val="24"/>
          <w:szCs w:val="24"/>
          <w:lang w:eastAsia="pl-PL"/>
        </w:rPr>
        <w:t>i </w:t>
      </w:r>
      <w:r w:rsidRPr="00833C88">
        <w:rPr>
          <w:rFonts w:cs="Times New Roman"/>
          <w:sz w:val="24"/>
          <w:szCs w:val="24"/>
          <w:lang w:eastAsia="pl-PL"/>
        </w:rPr>
        <w:t>zgłaszania incydentów. Do tej pory organizacje badawcze nie miały takich wymogów prawnych.</w:t>
      </w:r>
    </w:p>
    <w:p w14:paraId="4F98ECAE" w14:textId="29AC5A75" w:rsidR="009072D3" w:rsidRPr="00833C88" w:rsidRDefault="00601933" w:rsidP="008C2A9E">
      <w:pPr>
        <w:spacing w:line="360" w:lineRule="auto"/>
        <w:jc w:val="both"/>
        <w:rPr>
          <w:rFonts w:cs="Times New Roman"/>
          <w:sz w:val="24"/>
          <w:szCs w:val="24"/>
          <w:lang w:eastAsia="pl-PL"/>
        </w:rPr>
      </w:pPr>
      <w:r w:rsidRPr="00833C88">
        <w:rPr>
          <w:rFonts w:cs="Times New Roman"/>
          <w:sz w:val="24"/>
          <w:szCs w:val="24"/>
          <w:lang w:eastAsia="pl-PL"/>
        </w:rPr>
        <w:t>W </w:t>
      </w:r>
      <w:r w:rsidR="009072D3" w:rsidRPr="00833C88">
        <w:rPr>
          <w:rFonts w:cs="Times New Roman"/>
          <w:sz w:val="24"/>
          <w:szCs w:val="24"/>
          <w:lang w:eastAsia="pl-PL"/>
        </w:rPr>
        <w:t xml:space="preserve">projekcie ustawy </w:t>
      </w:r>
      <w:r w:rsidRPr="00833C88">
        <w:rPr>
          <w:rFonts w:cs="Times New Roman"/>
          <w:sz w:val="24"/>
          <w:szCs w:val="24"/>
          <w:lang w:eastAsia="pl-PL"/>
        </w:rPr>
        <w:t>o </w:t>
      </w:r>
      <w:r w:rsidR="009072D3" w:rsidRPr="00833C88">
        <w:rPr>
          <w:rFonts w:cs="Times New Roman"/>
          <w:sz w:val="24"/>
          <w:szCs w:val="24"/>
          <w:lang w:eastAsia="pl-PL"/>
        </w:rPr>
        <w:t xml:space="preserve">zmianie ustawy </w:t>
      </w:r>
      <w:r w:rsidRPr="00833C88">
        <w:rPr>
          <w:rFonts w:cs="Times New Roman"/>
          <w:sz w:val="24"/>
          <w:szCs w:val="24"/>
          <w:lang w:eastAsia="pl-PL"/>
        </w:rPr>
        <w:t>o </w:t>
      </w:r>
      <w:r w:rsidR="0061116F" w:rsidRPr="00833C88">
        <w:rPr>
          <w:rFonts w:cs="Times New Roman"/>
          <w:sz w:val="24"/>
          <w:szCs w:val="24"/>
          <w:lang w:eastAsia="pl-PL"/>
        </w:rPr>
        <w:t>KSC</w:t>
      </w:r>
      <w:r w:rsidR="009072D3" w:rsidRPr="00833C88">
        <w:rPr>
          <w:rFonts w:cs="Times New Roman"/>
          <w:sz w:val="24"/>
          <w:szCs w:val="24"/>
          <w:lang w:eastAsia="pl-PL"/>
        </w:rPr>
        <w:t xml:space="preserve"> oraz niektórych innych ustaw definicja organizacji badawczej odwołuje się do osoby prawnej albo ułomnej osoby prawnej prowadzącej działalność wskazaną </w:t>
      </w:r>
      <w:r w:rsidRPr="00833C88">
        <w:rPr>
          <w:rFonts w:cs="Times New Roman"/>
          <w:sz w:val="24"/>
          <w:szCs w:val="24"/>
          <w:lang w:eastAsia="pl-PL"/>
        </w:rPr>
        <w:t>w </w:t>
      </w:r>
      <w:r w:rsidR="009072D3" w:rsidRPr="00833C88">
        <w:rPr>
          <w:rFonts w:cs="Times New Roman"/>
          <w:sz w:val="24"/>
          <w:szCs w:val="24"/>
          <w:lang w:eastAsia="pl-PL"/>
        </w:rPr>
        <w:t xml:space="preserve">ustawie </w:t>
      </w:r>
      <w:r w:rsidRPr="00833C88">
        <w:rPr>
          <w:rFonts w:cs="Times New Roman"/>
          <w:sz w:val="24"/>
          <w:szCs w:val="24"/>
          <w:lang w:eastAsia="pl-PL"/>
        </w:rPr>
        <w:t>z </w:t>
      </w:r>
      <w:r w:rsidR="009072D3" w:rsidRPr="00833C88">
        <w:rPr>
          <w:rFonts w:cs="Times New Roman"/>
          <w:sz w:val="24"/>
          <w:szCs w:val="24"/>
          <w:lang w:eastAsia="pl-PL"/>
        </w:rPr>
        <w:t xml:space="preserve">dnia 20 lipca 2018 r. – Prawo </w:t>
      </w:r>
      <w:r w:rsidRPr="00833C88">
        <w:rPr>
          <w:rFonts w:cs="Times New Roman"/>
          <w:sz w:val="24"/>
          <w:szCs w:val="24"/>
          <w:lang w:eastAsia="pl-PL"/>
        </w:rPr>
        <w:t>o </w:t>
      </w:r>
      <w:r w:rsidR="009072D3" w:rsidRPr="00833C88">
        <w:rPr>
          <w:rFonts w:cs="Times New Roman"/>
          <w:sz w:val="24"/>
          <w:szCs w:val="24"/>
          <w:lang w:eastAsia="pl-PL"/>
        </w:rPr>
        <w:t xml:space="preserve">szkolnictwie wyższym </w:t>
      </w:r>
      <w:r w:rsidRPr="00833C88">
        <w:rPr>
          <w:rFonts w:cs="Times New Roman"/>
          <w:sz w:val="24"/>
          <w:szCs w:val="24"/>
          <w:lang w:eastAsia="pl-PL"/>
        </w:rPr>
        <w:t>i </w:t>
      </w:r>
      <w:r w:rsidR="009072D3" w:rsidRPr="00833C88">
        <w:rPr>
          <w:rFonts w:cs="Times New Roman"/>
          <w:sz w:val="24"/>
          <w:szCs w:val="24"/>
          <w:lang w:eastAsia="pl-PL"/>
        </w:rPr>
        <w:t xml:space="preserve">nauce, tj. badania aplikacyjne oraz prace rozwojowe. Definicja organizacji badawczej wyłącza spod jej zakresu inne podmioty szkolnictwa wyższego, co jest zgodne </w:t>
      </w:r>
      <w:r w:rsidRPr="00833C88">
        <w:rPr>
          <w:rFonts w:cs="Times New Roman"/>
          <w:sz w:val="24"/>
          <w:szCs w:val="24"/>
          <w:lang w:eastAsia="pl-PL"/>
        </w:rPr>
        <w:t>z </w:t>
      </w:r>
      <w:r w:rsidR="009072D3" w:rsidRPr="00833C88">
        <w:rPr>
          <w:rFonts w:cs="Times New Roman"/>
          <w:sz w:val="24"/>
          <w:szCs w:val="24"/>
          <w:lang w:eastAsia="pl-PL"/>
        </w:rPr>
        <w:t xml:space="preserve">definicją </w:t>
      </w:r>
      <w:r w:rsidRPr="00833C88">
        <w:rPr>
          <w:rFonts w:cs="Times New Roman"/>
          <w:sz w:val="24"/>
          <w:szCs w:val="24"/>
          <w:lang w:eastAsia="pl-PL"/>
        </w:rPr>
        <w:t>z </w:t>
      </w:r>
      <w:r w:rsidR="009072D3" w:rsidRPr="00833C88">
        <w:rPr>
          <w:rFonts w:cs="Times New Roman"/>
          <w:sz w:val="24"/>
          <w:szCs w:val="24"/>
          <w:lang w:eastAsia="pl-PL"/>
        </w:rPr>
        <w:t>dyrektywy NIS 2.</w:t>
      </w:r>
    </w:p>
    <w:p w14:paraId="38BCAFF2" w14:textId="42D3AEE7" w:rsidR="009072D3" w:rsidRPr="00833C88" w:rsidRDefault="009072D3" w:rsidP="008C2A9E">
      <w:pPr>
        <w:spacing w:line="360" w:lineRule="auto"/>
        <w:jc w:val="both"/>
        <w:rPr>
          <w:rFonts w:cs="Times New Roman"/>
          <w:sz w:val="24"/>
          <w:szCs w:val="24"/>
          <w:lang w:eastAsia="pl-PL"/>
        </w:rPr>
      </w:pPr>
      <w:r w:rsidRPr="00833C88">
        <w:rPr>
          <w:rFonts w:cs="Times New Roman"/>
          <w:sz w:val="24"/>
          <w:szCs w:val="24"/>
          <w:lang w:eastAsia="pl-PL"/>
        </w:rPr>
        <w:t xml:space="preserve">Sektor badania naukowe jest sektorem ważnym. Oznacza </w:t>
      </w:r>
      <w:proofErr w:type="gramStart"/>
      <w:r w:rsidRPr="00833C88">
        <w:rPr>
          <w:rFonts w:cs="Times New Roman"/>
          <w:sz w:val="24"/>
          <w:szCs w:val="24"/>
          <w:lang w:eastAsia="pl-PL"/>
        </w:rPr>
        <w:t>to</w:t>
      </w:r>
      <w:proofErr w:type="gramEnd"/>
      <w:r w:rsidRPr="00833C88">
        <w:rPr>
          <w:rFonts w:cs="Times New Roman"/>
          <w:sz w:val="24"/>
          <w:szCs w:val="24"/>
          <w:lang w:eastAsia="pl-PL"/>
        </w:rPr>
        <w:t xml:space="preserve"> że, podmioty te mają mniejsze wymogi nadzorcze, nie mają obowiązku przeprowadzania cyklicznych audytów oraz maksymalna wysokość kary jest niższa niż </w:t>
      </w:r>
      <w:r w:rsidR="00601933" w:rsidRPr="00833C88">
        <w:rPr>
          <w:rFonts w:cs="Times New Roman"/>
          <w:sz w:val="24"/>
          <w:szCs w:val="24"/>
          <w:lang w:eastAsia="pl-PL"/>
        </w:rPr>
        <w:t>w </w:t>
      </w:r>
      <w:r w:rsidRPr="00833C88">
        <w:rPr>
          <w:rFonts w:cs="Times New Roman"/>
          <w:sz w:val="24"/>
          <w:szCs w:val="24"/>
          <w:lang w:eastAsia="pl-PL"/>
        </w:rPr>
        <w:t xml:space="preserve">przypadku podmiotów kluczowych. Obowiązki </w:t>
      </w:r>
      <w:r w:rsidR="00601933" w:rsidRPr="00833C88">
        <w:rPr>
          <w:rFonts w:cs="Times New Roman"/>
          <w:sz w:val="24"/>
          <w:szCs w:val="24"/>
          <w:lang w:eastAsia="pl-PL"/>
        </w:rPr>
        <w:t>z </w:t>
      </w:r>
      <w:r w:rsidRPr="00833C88">
        <w:rPr>
          <w:rFonts w:cs="Times New Roman"/>
          <w:sz w:val="24"/>
          <w:szCs w:val="24"/>
          <w:lang w:eastAsia="pl-PL"/>
        </w:rPr>
        <w:t xml:space="preserve">zakresu systemu zarządzania bezpieczeństwem informacji oraz zgłaszania incydentów są takie same jak dla podmiotów kluczowych. Podmioty </w:t>
      </w:r>
      <w:r w:rsidR="00601933" w:rsidRPr="00833C88">
        <w:rPr>
          <w:rFonts w:cs="Times New Roman"/>
          <w:sz w:val="24"/>
          <w:szCs w:val="24"/>
          <w:lang w:eastAsia="pl-PL"/>
        </w:rPr>
        <w:t>z </w:t>
      </w:r>
      <w:r w:rsidRPr="00833C88">
        <w:rPr>
          <w:rFonts w:cs="Times New Roman"/>
          <w:sz w:val="24"/>
          <w:szCs w:val="24"/>
          <w:lang w:eastAsia="pl-PL"/>
        </w:rPr>
        <w:t xml:space="preserve">sektora organizacji badawczych będą obowiązane wdrożyć system zarządzania bezpieczeństwem informacji </w:t>
      </w:r>
      <w:r w:rsidR="00601933" w:rsidRPr="00833C88">
        <w:rPr>
          <w:rFonts w:cs="Times New Roman"/>
          <w:sz w:val="24"/>
          <w:szCs w:val="24"/>
          <w:lang w:eastAsia="pl-PL"/>
        </w:rPr>
        <w:t>w </w:t>
      </w:r>
      <w:r w:rsidRPr="00833C88">
        <w:rPr>
          <w:rFonts w:cs="Times New Roman"/>
          <w:sz w:val="24"/>
          <w:szCs w:val="24"/>
          <w:lang w:eastAsia="pl-PL"/>
        </w:rPr>
        <w:t xml:space="preserve">systemie informacyjnym służącym </w:t>
      </w:r>
      <w:r w:rsidR="00601933" w:rsidRPr="00833C88">
        <w:rPr>
          <w:rFonts w:cs="Times New Roman"/>
          <w:sz w:val="24"/>
          <w:szCs w:val="24"/>
          <w:lang w:eastAsia="pl-PL"/>
        </w:rPr>
        <w:t>w </w:t>
      </w:r>
      <w:r w:rsidRPr="00833C88">
        <w:rPr>
          <w:rFonts w:cs="Times New Roman"/>
          <w:sz w:val="24"/>
          <w:szCs w:val="24"/>
          <w:lang w:eastAsia="pl-PL"/>
        </w:rPr>
        <w:t xml:space="preserve">procesie świadczenia usług. Środki te mają być proporcjonalne do wielkości podmiotu </w:t>
      </w:r>
      <w:r w:rsidR="00601933" w:rsidRPr="00833C88">
        <w:rPr>
          <w:rFonts w:cs="Times New Roman"/>
          <w:sz w:val="24"/>
          <w:szCs w:val="24"/>
          <w:lang w:eastAsia="pl-PL"/>
        </w:rPr>
        <w:t>i </w:t>
      </w:r>
      <w:r w:rsidRPr="00833C88">
        <w:rPr>
          <w:rFonts w:cs="Times New Roman"/>
          <w:sz w:val="24"/>
          <w:szCs w:val="24"/>
          <w:lang w:eastAsia="pl-PL"/>
        </w:rPr>
        <w:t>charakteru świadczonych usług. Podmioty te mają zgłaszać incydenty poważne do CSIRT sektorowego.</w:t>
      </w:r>
    </w:p>
    <w:p w14:paraId="39B69D7F" w14:textId="08776DC4" w:rsidR="009072D3" w:rsidRPr="00833C88" w:rsidRDefault="009072D3" w:rsidP="008C2A9E">
      <w:pPr>
        <w:spacing w:line="360" w:lineRule="auto"/>
        <w:jc w:val="both"/>
        <w:rPr>
          <w:rFonts w:cs="Times New Roman"/>
          <w:sz w:val="24"/>
          <w:szCs w:val="24"/>
          <w:lang w:eastAsia="pl-PL"/>
        </w:rPr>
      </w:pPr>
      <w:r w:rsidRPr="00833C88">
        <w:rPr>
          <w:rFonts w:cs="Times New Roman"/>
          <w:sz w:val="24"/>
          <w:szCs w:val="24"/>
          <w:lang w:eastAsia="pl-PL"/>
        </w:rPr>
        <w:t xml:space="preserve">Organem właściwym do spraw cyberbezpieczeństwa dla tej grupy podmiotów będzie minister właściwy do spraw szkolnictwa wyższego </w:t>
      </w:r>
      <w:r w:rsidR="00601933" w:rsidRPr="00833C88">
        <w:rPr>
          <w:rFonts w:cs="Times New Roman"/>
          <w:sz w:val="24"/>
          <w:szCs w:val="24"/>
          <w:lang w:eastAsia="pl-PL"/>
        </w:rPr>
        <w:t>i </w:t>
      </w:r>
      <w:r w:rsidRPr="00833C88">
        <w:rPr>
          <w:rFonts w:cs="Times New Roman"/>
          <w:sz w:val="24"/>
          <w:szCs w:val="24"/>
          <w:lang w:eastAsia="pl-PL"/>
        </w:rPr>
        <w:t xml:space="preserve">nauki. Zgodnie </w:t>
      </w:r>
      <w:r w:rsidR="00601933" w:rsidRPr="00833C88">
        <w:rPr>
          <w:rFonts w:cs="Times New Roman"/>
          <w:sz w:val="24"/>
          <w:szCs w:val="24"/>
          <w:lang w:eastAsia="pl-PL"/>
        </w:rPr>
        <w:t>z </w:t>
      </w:r>
      <w:r w:rsidRPr="00833C88">
        <w:rPr>
          <w:rFonts w:cs="Times New Roman"/>
          <w:sz w:val="24"/>
          <w:szCs w:val="24"/>
          <w:lang w:eastAsia="pl-PL"/>
        </w:rPr>
        <w:t xml:space="preserve">projektem ustawy będzie </w:t>
      </w:r>
      <w:r w:rsidRPr="00833C88">
        <w:rPr>
          <w:rFonts w:cs="Times New Roman"/>
          <w:sz w:val="24"/>
          <w:szCs w:val="24"/>
          <w:lang w:eastAsia="pl-PL"/>
        </w:rPr>
        <w:lastRenderedPageBreak/>
        <w:t xml:space="preserve">utworzony dla tej grupy podmiotów CSIRT sektorowy do którego podmioty te będą zgłaszały incydenty poważne za pomocą systemu </w:t>
      </w:r>
      <w:r w:rsidR="00062670" w:rsidRPr="00833C88">
        <w:rPr>
          <w:rFonts w:cs="Times New Roman"/>
          <w:sz w:val="24"/>
          <w:szCs w:val="24"/>
          <w:lang w:eastAsia="pl-PL"/>
        </w:rPr>
        <w:t xml:space="preserve">teleinformatycznego </w:t>
      </w:r>
      <w:r w:rsidRPr="00833C88">
        <w:rPr>
          <w:rFonts w:cs="Times New Roman"/>
          <w:sz w:val="24"/>
          <w:szCs w:val="24"/>
          <w:lang w:eastAsia="pl-PL"/>
        </w:rPr>
        <w:t>S46.</w:t>
      </w:r>
    </w:p>
    <w:p w14:paraId="2DC4EF06" w14:textId="0DDFDF2A" w:rsidR="009072D3" w:rsidRPr="00833C88" w:rsidRDefault="009072D3" w:rsidP="008C2A9E">
      <w:pPr>
        <w:spacing w:line="360" w:lineRule="auto"/>
        <w:jc w:val="both"/>
        <w:rPr>
          <w:rFonts w:cs="Times New Roman"/>
          <w:sz w:val="24"/>
          <w:szCs w:val="24"/>
          <w:lang w:eastAsia="pl-PL"/>
        </w:rPr>
      </w:pPr>
      <w:r w:rsidRPr="00833C88">
        <w:rPr>
          <w:rFonts w:cs="Times New Roman"/>
          <w:sz w:val="24"/>
          <w:szCs w:val="24"/>
          <w:lang w:eastAsia="pl-PL"/>
        </w:rPr>
        <w:t>Sektor badania naukowe tworzą</w:t>
      </w:r>
      <w:r w:rsidR="0048526E" w:rsidRPr="00833C88">
        <w:rPr>
          <w:rFonts w:cs="Times New Roman"/>
          <w:sz w:val="24"/>
          <w:szCs w:val="24"/>
          <w:lang w:eastAsia="pl-PL"/>
        </w:rPr>
        <w:t>:</w:t>
      </w:r>
      <w:r w:rsidRPr="00833C88">
        <w:rPr>
          <w:rFonts w:cs="Times New Roman"/>
          <w:sz w:val="24"/>
          <w:szCs w:val="24"/>
          <w:lang w:eastAsia="pl-PL"/>
        </w:rPr>
        <w:t xml:space="preserve"> </w:t>
      </w:r>
    </w:p>
    <w:p w14:paraId="548C1D75" w14:textId="3B576078" w:rsidR="00303134" w:rsidRPr="00833C88" w:rsidRDefault="009072D3">
      <w:pPr>
        <w:pStyle w:val="Akapitzlist"/>
        <w:numPr>
          <w:ilvl w:val="0"/>
          <w:numId w:val="63"/>
        </w:numPr>
        <w:spacing w:line="360" w:lineRule="auto"/>
        <w:jc w:val="both"/>
        <w:rPr>
          <w:rFonts w:cs="Times New Roman"/>
          <w:sz w:val="24"/>
          <w:szCs w:val="24"/>
          <w:lang w:eastAsia="pl-PL"/>
        </w:rPr>
      </w:pPr>
      <w:r w:rsidRPr="00833C88">
        <w:rPr>
          <w:rFonts w:cs="Times New Roman"/>
          <w:sz w:val="24"/>
          <w:szCs w:val="24"/>
          <w:lang w:eastAsia="pl-PL"/>
        </w:rPr>
        <w:t>Organizacja badawcza</w:t>
      </w:r>
      <w:r w:rsidR="00303134" w:rsidRPr="00833C88">
        <w:rPr>
          <w:rFonts w:cs="Times New Roman"/>
          <w:sz w:val="24"/>
          <w:szCs w:val="24"/>
          <w:lang w:eastAsia="pl-PL"/>
        </w:rPr>
        <w:t>:</w:t>
      </w:r>
    </w:p>
    <w:p w14:paraId="77128381" w14:textId="486E4C47" w:rsidR="009072D3" w:rsidRPr="00833C88" w:rsidRDefault="009072D3" w:rsidP="00CB5E04">
      <w:pPr>
        <w:pStyle w:val="Akapitzlist"/>
        <w:spacing w:line="360" w:lineRule="auto"/>
        <w:contextualSpacing w:val="0"/>
        <w:jc w:val="both"/>
        <w:rPr>
          <w:rFonts w:cs="Times New Roman"/>
          <w:sz w:val="24"/>
          <w:szCs w:val="24"/>
          <w:lang w:eastAsia="pl-PL"/>
        </w:rPr>
      </w:pPr>
      <w:r w:rsidRPr="00833C88">
        <w:rPr>
          <w:rFonts w:cs="Times New Roman"/>
          <w:sz w:val="24"/>
          <w:szCs w:val="24"/>
          <w:lang w:eastAsia="pl-PL"/>
        </w:rPr>
        <w:tab/>
      </w:r>
      <w:r w:rsidR="0076020B" w:rsidRPr="00833C88">
        <w:rPr>
          <w:rFonts w:cs="Times New Roman"/>
          <w:sz w:val="24"/>
          <w:szCs w:val="24"/>
          <w:lang w:eastAsia="pl-PL"/>
        </w:rPr>
        <w:t>o</w:t>
      </w:r>
      <w:r w:rsidRPr="00833C88">
        <w:rPr>
          <w:rFonts w:cs="Times New Roman"/>
          <w:sz w:val="24"/>
          <w:szCs w:val="24"/>
          <w:lang w:eastAsia="pl-PL"/>
        </w:rPr>
        <w:t xml:space="preserve">soba prawna lub jednostka organizacyjna nieposiadająca osobowości </w:t>
      </w:r>
      <w:proofErr w:type="gramStart"/>
      <w:r w:rsidRPr="00833C88">
        <w:rPr>
          <w:rFonts w:cs="Times New Roman"/>
          <w:sz w:val="24"/>
          <w:szCs w:val="24"/>
          <w:lang w:eastAsia="pl-PL"/>
        </w:rPr>
        <w:t>prawnej</w:t>
      </w:r>
      <w:proofErr w:type="gramEnd"/>
      <w:r w:rsidRPr="00833C88">
        <w:rPr>
          <w:rFonts w:cs="Times New Roman"/>
          <w:sz w:val="24"/>
          <w:szCs w:val="24"/>
          <w:lang w:eastAsia="pl-PL"/>
        </w:rPr>
        <w:t xml:space="preserve"> jeżeli prowadzi działalność:</w:t>
      </w:r>
    </w:p>
    <w:p w14:paraId="1C4BF343" w14:textId="13F7B4B7" w:rsidR="009072D3" w:rsidRPr="00833C88" w:rsidRDefault="009072D3" w:rsidP="00CB5E04">
      <w:pPr>
        <w:pStyle w:val="Akapitzlist"/>
        <w:spacing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badania aplikacyjne rozumiane jako prace mające na celu zdobycie nowej wiedzy oraz umiejętności, nastawione na opracowywanie nowych produktów, procesów lub usług lub wprowadzanie do nich znaczących ulepszeń</w:t>
      </w:r>
      <w:r w:rsidR="0076020B" w:rsidRPr="00833C88">
        <w:rPr>
          <w:rFonts w:cs="Times New Roman"/>
          <w:sz w:val="24"/>
          <w:szCs w:val="24"/>
          <w:lang w:eastAsia="pl-PL"/>
        </w:rPr>
        <w:t>,</w:t>
      </w:r>
    </w:p>
    <w:p w14:paraId="28C00D82" w14:textId="015E2BB0" w:rsidR="009072D3" w:rsidRPr="00833C88" w:rsidRDefault="009072D3" w:rsidP="00CB5E04">
      <w:pPr>
        <w:pStyle w:val="Akapitzlist"/>
        <w:spacing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prace rozwojowe, które są działalnością obejmującą nabywanie, łączenie, kształtowanie </w:t>
      </w:r>
      <w:r w:rsidR="00601933" w:rsidRPr="00833C88">
        <w:rPr>
          <w:rFonts w:cs="Times New Roman"/>
          <w:sz w:val="24"/>
          <w:szCs w:val="24"/>
          <w:lang w:eastAsia="pl-PL"/>
        </w:rPr>
        <w:t>i </w:t>
      </w:r>
      <w:r w:rsidRPr="00833C88">
        <w:rPr>
          <w:rFonts w:cs="Times New Roman"/>
          <w:sz w:val="24"/>
          <w:szCs w:val="24"/>
          <w:lang w:eastAsia="pl-PL"/>
        </w:rPr>
        <w:t xml:space="preserve">wykorzystywanie dostępnej aktualnie wiedzy </w:t>
      </w:r>
      <w:r w:rsidR="00601933" w:rsidRPr="00833C88">
        <w:rPr>
          <w:rFonts w:cs="Times New Roman"/>
          <w:sz w:val="24"/>
          <w:szCs w:val="24"/>
          <w:lang w:eastAsia="pl-PL"/>
        </w:rPr>
        <w:t>i </w:t>
      </w:r>
      <w:r w:rsidRPr="00833C88">
        <w:rPr>
          <w:rFonts w:cs="Times New Roman"/>
          <w:sz w:val="24"/>
          <w:szCs w:val="24"/>
          <w:lang w:eastAsia="pl-PL"/>
        </w:rPr>
        <w:t xml:space="preserve">umiejętności, </w:t>
      </w:r>
      <w:r w:rsidR="00601933" w:rsidRPr="00833C88">
        <w:rPr>
          <w:rFonts w:cs="Times New Roman"/>
          <w:sz w:val="24"/>
          <w:szCs w:val="24"/>
          <w:lang w:eastAsia="pl-PL"/>
        </w:rPr>
        <w:t>w </w:t>
      </w:r>
      <w:r w:rsidRPr="00833C88">
        <w:rPr>
          <w:rFonts w:cs="Times New Roman"/>
          <w:sz w:val="24"/>
          <w:szCs w:val="24"/>
          <w:lang w:eastAsia="pl-PL"/>
        </w:rPr>
        <w:t xml:space="preserve">tym </w:t>
      </w:r>
      <w:r w:rsidR="00601933" w:rsidRPr="00833C88">
        <w:rPr>
          <w:rFonts w:cs="Times New Roman"/>
          <w:sz w:val="24"/>
          <w:szCs w:val="24"/>
          <w:lang w:eastAsia="pl-PL"/>
        </w:rPr>
        <w:t>w </w:t>
      </w:r>
      <w:r w:rsidRPr="00833C88">
        <w:rPr>
          <w:rFonts w:cs="Times New Roman"/>
          <w:sz w:val="24"/>
          <w:szCs w:val="24"/>
          <w:lang w:eastAsia="pl-PL"/>
        </w:rPr>
        <w:t xml:space="preserve">zakresie narzędzi informatycznych lub oprogramowania, do planowania produkcji oraz projektowania </w:t>
      </w:r>
      <w:r w:rsidR="00601933" w:rsidRPr="00833C88">
        <w:rPr>
          <w:rFonts w:cs="Times New Roman"/>
          <w:sz w:val="24"/>
          <w:szCs w:val="24"/>
          <w:lang w:eastAsia="pl-PL"/>
        </w:rPr>
        <w:t>i </w:t>
      </w:r>
      <w:r w:rsidRPr="00833C88">
        <w:rPr>
          <w:rFonts w:cs="Times New Roman"/>
          <w:sz w:val="24"/>
          <w:szCs w:val="24"/>
          <w:lang w:eastAsia="pl-PL"/>
        </w:rPr>
        <w:t xml:space="preserve">tworzenia zmienionych, ulepszonych lub nowych produktów, procesów lub usług, </w:t>
      </w:r>
      <w:r w:rsidR="00601933" w:rsidRPr="00833C88">
        <w:rPr>
          <w:rFonts w:cs="Times New Roman"/>
          <w:sz w:val="24"/>
          <w:szCs w:val="24"/>
          <w:lang w:eastAsia="pl-PL"/>
        </w:rPr>
        <w:t>z </w:t>
      </w:r>
      <w:r w:rsidRPr="00833C88">
        <w:rPr>
          <w:rFonts w:cs="Times New Roman"/>
          <w:sz w:val="24"/>
          <w:szCs w:val="24"/>
          <w:lang w:eastAsia="pl-PL"/>
        </w:rPr>
        <w:t xml:space="preserve">wyłączeniem działalności obejmującej rutynowe </w:t>
      </w:r>
      <w:r w:rsidR="00601933" w:rsidRPr="00833C88">
        <w:rPr>
          <w:rFonts w:cs="Times New Roman"/>
          <w:sz w:val="24"/>
          <w:szCs w:val="24"/>
          <w:lang w:eastAsia="pl-PL"/>
        </w:rPr>
        <w:t>i </w:t>
      </w:r>
      <w:r w:rsidRPr="00833C88">
        <w:rPr>
          <w:rFonts w:cs="Times New Roman"/>
          <w:sz w:val="24"/>
          <w:szCs w:val="24"/>
          <w:lang w:eastAsia="pl-PL"/>
        </w:rPr>
        <w:t>okresowe zmiany wprowadzane do nich, nawet jeżeli takie zmiany mają charakter ulepszeń.</w:t>
      </w:r>
    </w:p>
    <w:p w14:paraId="26590F71" w14:textId="17ACC1E3" w:rsidR="00303134" w:rsidRPr="00833C88" w:rsidRDefault="009072D3" w:rsidP="0076020B">
      <w:pPr>
        <w:pStyle w:val="Akapitzlist"/>
        <w:numPr>
          <w:ilvl w:val="0"/>
          <w:numId w:val="63"/>
        </w:numPr>
        <w:spacing w:after="0" w:line="360" w:lineRule="auto"/>
        <w:jc w:val="both"/>
        <w:rPr>
          <w:rFonts w:cs="Times New Roman"/>
          <w:sz w:val="24"/>
          <w:szCs w:val="24"/>
          <w:lang w:eastAsia="pl-PL"/>
        </w:rPr>
      </w:pPr>
      <w:r w:rsidRPr="00833C88">
        <w:rPr>
          <w:rFonts w:cs="Times New Roman"/>
          <w:sz w:val="24"/>
          <w:szCs w:val="24"/>
          <w:lang w:eastAsia="pl-PL"/>
        </w:rPr>
        <w:t xml:space="preserve">Podmioty, </w:t>
      </w:r>
      <w:r w:rsidR="00601933" w:rsidRPr="00833C88">
        <w:rPr>
          <w:rFonts w:cs="Times New Roman"/>
          <w:sz w:val="24"/>
          <w:szCs w:val="24"/>
          <w:lang w:eastAsia="pl-PL"/>
        </w:rPr>
        <w:t>o </w:t>
      </w:r>
      <w:r w:rsidRPr="00833C88">
        <w:rPr>
          <w:rFonts w:cs="Times New Roman"/>
          <w:sz w:val="24"/>
          <w:szCs w:val="24"/>
          <w:lang w:eastAsia="pl-PL"/>
        </w:rPr>
        <w:t xml:space="preserve">których mowa </w:t>
      </w:r>
      <w:r w:rsidR="00601933" w:rsidRPr="00833C88">
        <w:rPr>
          <w:rFonts w:cs="Times New Roman"/>
          <w:sz w:val="24"/>
          <w:szCs w:val="24"/>
          <w:lang w:eastAsia="pl-PL"/>
        </w:rPr>
        <w:t>w </w:t>
      </w:r>
      <w:r w:rsidRPr="00833C88">
        <w:rPr>
          <w:rFonts w:cs="Times New Roman"/>
          <w:sz w:val="24"/>
          <w:szCs w:val="24"/>
          <w:lang w:eastAsia="pl-PL"/>
        </w:rPr>
        <w:t xml:space="preserve">art. 7 ust. 1 pkt 1–4, 6–7 ustawy </w:t>
      </w:r>
      <w:r w:rsidR="00601933" w:rsidRPr="00833C88">
        <w:rPr>
          <w:rFonts w:cs="Times New Roman"/>
          <w:sz w:val="24"/>
          <w:szCs w:val="24"/>
          <w:lang w:eastAsia="pl-PL"/>
        </w:rPr>
        <w:t>z </w:t>
      </w:r>
      <w:r w:rsidRPr="00833C88">
        <w:rPr>
          <w:rFonts w:cs="Times New Roman"/>
          <w:sz w:val="24"/>
          <w:szCs w:val="24"/>
          <w:lang w:eastAsia="pl-PL"/>
        </w:rPr>
        <w:t xml:space="preserve">dnia </w:t>
      </w:r>
      <w:r w:rsidR="00601933" w:rsidRPr="00833C88">
        <w:rPr>
          <w:rFonts w:cs="Times New Roman"/>
          <w:sz w:val="24"/>
          <w:szCs w:val="24"/>
          <w:lang w:eastAsia="pl-PL"/>
        </w:rPr>
        <w:t>z </w:t>
      </w:r>
      <w:r w:rsidRPr="00833C88">
        <w:rPr>
          <w:rFonts w:cs="Times New Roman"/>
          <w:sz w:val="24"/>
          <w:szCs w:val="24"/>
          <w:lang w:eastAsia="pl-PL"/>
        </w:rPr>
        <w:t>dnia 20 lipca 2018 r.</w:t>
      </w:r>
      <w:r w:rsidR="0052199F" w:rsidRPr="00833C88">
        <w:rPr>
          <w:rFonts w:cs="Times New Roman"/>
          <w:sz w:val="24"/>
          <w:szCs w:val="24"/>
          <w:lang w:eastAsia="pl-PL"/>
        </w:rPr>
        <w:t xml:space="preserve"> </w:t>
      </w:r>
      <w:r w:rsidRPr="00833C88">
        <w:rPr>
          <w:rFonts w:cs="Times New Roman"/>
          <w:sz w:val="24"/>
          <w:szCs w:val="24"/>
          <w:lang w:eastAsia="pl-PL"/>
        </w:rPr>
        <w:t xml:space="preserve">– Prawo </w:t>
      </w:r>
      <w:r w:rsidR="00601933" w:rsidRPr="00833C88">
        <w:rPr>
          <w:rFonts w:cs="Times New Roman"/>
          <w:sz w:val="24"/>
          <w:szCs w:val="24"/>
          <w:lang w:eastAsia="pl-PL"/>
        </w:rPr>
        <w:t>o </w:t>
      </w:r>
      <w:r w:rsidRPr="00833C88">
        <w:rPr>
          <w:rFonts w:cs="Times New Roman"/>
          <w:sz w:val="24"/>
          <w:szCs w:val="24"/>
          <w:lang w:eastAsia="pl-PL"/>
        </w:rPr>
        <w:t xml:space="preserve">szkolnictwie wyższym </w:t>
      </w:r>
      <w:r w:rsidR="00601933" w:rsidRPr="00833C88">
        <w:rPr>
          <w:rFonts w:cs="Times New Roman"/>
          <w:sz w:val="24"/>
          <w:szCs w:val="24"/>
          <w:lang w:eastAsia="pl-PL"/>
        </w:rPr>
        <w:t>i </w:t>
      </w:r>
      <w:r w:rsidRPr="00833C88">
        <w:rPr>
          <w:rFonts w:cs="Times New Roman"/>
          <w:sz w:val="24"/>
          <w:szCs w:val="24"/>
          <w:lang w:eastAsia="pl-PL"/>
        </w:rPr>
        <w:t>nauce</w:t>
      </w:r>
      <w:r w:rsidR="00CB5E04" w:rsidRPr="00833C88">
        <w:rPr>
          <w:rFonts w:cs="Times New Roman"/>
          <w:sz w:val="24"/>
          <w:szCs w:val="24"/>
          <w:lang w:eastAsia="pl-PL"/>
        </w:rPr>
        <w:t>,</w:t>
      </w:r>
      <w:r w:rsidR="00A261DE" w:rsidRPr="00833C88">
        <w:rPr>
          <w:rFonts w:cs="Times New Roman"/>
          <w:sz w:val="24"/>
          <w:szCs w:val="24"/>
          <w:lang w:eastAsia="pl-PL"/>
        </w:rPr>
        <w:t xml:space="preserve"> </w:t>
      </w:r>
      <w:r w:rsidR="00CB5E04" w:rsidRPr="00833C88">
        <w:rPr>
          <w:rFonts w:cs="Times New Roman"/>
          <w:sz w:val="24"/>
          <w:szCs w:val="24"/>
          <w:lang w:eastAsia="pl-PL"/>
        </w:rPr>
        <w:t>tj.</w:t>
      </w:r>
      <w:r w:rsidR="00A261DE" w:rsidRPr="00833C88">
        <w:rPr>
          <w:rFonts w:cs="Times New Roman"/>
          <w:sz w:val="24"/>
          <w:szCs w:val="24"/>
          <w:lang w:eastAsia="pl-PL"/>
        </w:rPr>
        <w:t>:</w:t>
      </w:r>
    </w:p>
    <w:p w14:paraId="3CFD9D4A" w14:textId="6F3935CC"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uczelnie</w:t>
      </w:r>
      <w:r w:rsidR="0076020B" w:rsidRPr="00833C88">
        <w:rPr>
          <w:rFonts w:cs="Times New Roman"/>
          <w:sz w:val="24"/>
          <w:szCs w:val="24"/>
          <w:lang w:eastAsia="pl-PL"/>
        </w:rPr>
        <w:t>,</w:t>
      </w:r>
    </w:p>
    <w:p w14:paraId="6887F347" w14:textId="0BDB3EDE"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federacje podmiotów systemu szkolnictwa wyższego </w:t>
      </w:r>
      <w:r w:rsidR="00601933" w:rsidRPr="00833C88">
        <w:rPr>
          <w:rFonts w:cs="Times New Roman"/>
          <w:sz w:val="24"/>
          <w:szCs w:val="24"/>
          <w:lang w:eastAsia="pl-PL"/>
        </w:rPr>
        <w:t>i </w:t>
      </w:r>
      <w:r w:rsidRPr="00833C88">
        <w:rPr>
          <w:rFonts w:cs="Times New Roman"/>
          <w:sz w:val="24"/>
          <w:szCs w:val="24"/>
          <w:lang w:eastAsia="pl-PL"/>
        </w:rPr>
        <w:t xml:space="preserve">nauki, zwane dalej </w:t>
      </w:r>
      <w:r w:rsidR="0052199F" w:rsidRPr="00833C88">
        <w:rPr>
          <w:rFonts w:cs="Times New Roman"/>
          <w:sz w:val="24"/>
          <w:szCs w:val="24"/>
          <w:lang w:eastAsia="pl-PL"/>
        </w:rPr>
        <w:t>„</w:t>
      </w:r>
      <w:r w:rsidRPr="00833C88">
        <w:rPr>
          <w:rFonts w:cs="Times New Roman"/>
          <w:sz w:val="24"/>
          <w:szCs w:val="24"/>
          <w:lang w:eastAsia="pl-PL"/>
        </w:rPr>
        <w:t>federacjami</w:t>
      </w:r>
      <w:r w:rsidR="0052199F" w:rsidRPr="00833C88">
        <w:rPr>
          <w:rFonts w:cs="Times New Roman"/>
          <w:sz w:val="24"/>
          <w:szCs w:val="24"/>
          <w:lang w:eastAsia="pl-PL"/>
        </w:rPr>
        <w:t>”</w:t>
      </w:r>
      <w:r w:rsidR="0076020B" w:rsidRPr="00833C88">
        <w:rPr>
          <w:rFonts w:cs="Times New Roman"/>
          <w:sz w:val="24"/>
          <w:szCs w:val="24"/>
          <w:lang w:eastAsia="pl-PL"/>
        </w:rPr>
        <w:t>,</w:t>
      </w:r>
    </w:p>
    <w:p w14:paraId="428CCB00" w14:textId="39B5635D"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Polska Akademia Nauk, działająca na podstawie ustawy </w:t>
      </w:r>
      <w:r w:rsidR="00601933" w:rsidRPr="00833C88">
        <w:rPr>
          <w:rFonts w:cs="Times New Roman"/>
          <w:sz w:val="24"/>
          <w:szCs w:val="24"/>
          <w:lang w:eastAsia="pl-PL"/>
        </w:rPr>
        <w:t>z </w:t>
      </w:r>
      <w:r w:rsidRPr="00833C88">
        <w:rPr>
          <w:rFonts w:cs="Times New Roman"/>
          <w:sz w:val="24"/>
          <w:szCs w:val="24"/>
          <w:lang w:eastAsia="pl-PL"/>
        </w:rPr>
        <w:t xml:space="preserve">dnia 30 kwietnia 2010 r. </w:t>
      </w:r>
      <w:r w:rsidR="00601933" w:rsidRPr="00833C88">
        <w:rPr>
          <w:rFonts w:cs="Times New Roman"/>
          <w:sz w:val="24"/>
          <w:szCs w:val="24"/>
          <w:lang w:eastAsia="pl-PL"/>
        </w:rPr>
        <w:t>o </w:t>
      </w:r>
      <w:r w:rsidRPr="00833C88">
        <w:rPr>
          <w:rFonts w:cs="Times New Roman"/>
          <w:sz w:val="24"/>
          <w:szCs w:val="24"/>
          <w:lang w:eastAsia="pl-PL"/>
        </w:rPr>
        <w:t>Polskiej Akademii Nauk (Dz.</w:t>
      </w:r>
      <w:r w:rsidR="0052199F" w:rsidRPr="00833C88">
        <w:rPr>
          <w:rFonts w:cs="Times New Roman"/>
          <w:sz w:val="24"/>
          <w:szCs w:val="24"/>
          <w:lang w:eastAsia="pl-PL"/>
        </w:rPr>
        <w:t xml:space="preserve"> </w:t>
      </w:r>
      <w:r w:rsidRPr="00833C88">
        <w:rPr>
          <w:rFonts w:cs="Times New Roman"/>
          <w:sz w:val="24"/>
          <w:szCs w:val="24"/>
          <w:lang w:eastAsia="pl-PL"/>
        </w:rPr>
        <w:t xml:space="preserve">U. </w:t>
      </w:r>
      <w:r w:rsidR="00601933" w:rsidRPr="00833C88">
        <w:rPr>
          <w:rFonts w:cs="Times New Roman"/>
          <w:sz w:val="24"/>
          <w:szCs w:val="24"/>
          <w:lang w:eastAsia="pl-PL"/>
        </w:rPr>
        <w:t>z </w:t>
      </w:r>
      <w:r w:rsidRPr="00833C88">
        <w:rPr>
          <w:rFonts w:cs="Times New Roman"/>
          <w:sz w:val="24"/>
          <w:szCs w:val="24"/>
          <w:lang w:eastAsia="pl-PL"/>
        </w:rPr>
        <w:t>2020 r. poz. 1796</w:t>
      </w:r>
      <w:r w:rsidR="00CB10C8" w:rsidRPr="00833C88">
        <w:rPr>
          <w:rFonts w:cs="Times New Roman"/>
          <w:sz w:val="24"/>
          <w:szCs w:val="24"/>
          <w:lang w:eastAsia="pl-PL"/>
        </w:rPr>
        <w:t xml:space="preserve"> oraz z 2025 r. poz. 621</w:t>
      </w:r>
      <w:r w:rsidRPr="00833C88">
        <w:rPr>
          <w:rFonts w:cs="Times New Roman"/>
          <w:sz w:val="24"/>
          <w:szCs w:val="24"/>
          <w:lang w:eastAsia="pl-PL"/>
        </w:rPr>
        <w:t xml:space="preserve">), zwana dalej </w:t>
      </w:r>
      <w:r w:rsidR="0052199F" w:rsidRPr="00833C88">
        <w:rPr>
          <w:rFonts w:cs="Times New Roman"/>
          <w:sz w:val="24"/>
          <w:szCs w:val="24"/>
          <w:lang w:eastAsia="pl-PL"/>
        </w:rPr>
        <w:t>„</w:t>
      </w:r>
      <w:r w:rsidRPr="00833C88">
        <w:rPr>
          <w:rFonts w:cs="Times New Roman"/>
          <w:sz w:val="24"/>
          <w:szCs w:val="24"/>
          <w:lang w:eastAsia="pl-PL"/>
        </w:rPr>
        <w:t>PAN</w:t>
      </w:r>
      <w:r w:rsidR="0052199F" w:rsidRPr="00833C88">
        <w:rPr>
          <w:rFonts w:cs="Times New Roman"/>
          <w:sz w:val="24"/>
          <w:szCs w:val="24"/>
          <w:lang w:eastAsia="pl-PL"/>
        </w:rPr>
        <w:t>”</w:t>
      </w:r>
      <w:r w:rsidR="0076020B" w:rsidRPr="00833C88">
        <w:rPr>
          <w:rFonts w:cs="Times New Roman"/>
          <w:sz w:val="24"/>
          <w:szCs w:val="24"/>
          <w:lang w:eastAsia="pl-PL"/>
        </w:rPr>
        <w:t>,</w:t>
      </w:r>
    </w:p>
    <w:p w14:paraId="2E54A188" w14:textId="0112B003"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instytuty naukowe PAN, działające na podstawie ustawy, </w:t>
      </w:r>
      <w:r w:rsidR="00601933" w:rsidRPr="00833C88">
        <w:rPr>
          <w:rFonts w:cs="Times New Roman"/>
          <w:sz w:val="24"/>
          <w:szCs w:val="24"/>
          <w:lang w:eastAsia="pl-PL"/>
        </w:rPr>
        <w:t>o </w:t>
      </w:r>
      <w:r w:rsidRPr="00833C88">
        <w:rPr>
          <w:rFonts w:cs="Times New Roman"/>
          <w:sz w:val="24"/>
          <w:szCs w:val="24"/>
          <w:lang w:eastAsia="pl-PL"/>
        </w:rPr>
        <w:t xml:space="preserve">której mowa </w:t>
      </w:r>
      <w:r w:rsidR="00601933" w:rsidRPr="00833C88">
        <w:rPr>
          <w:rFonts w:cs="Times New Roman"/>
          <w:sz w:val="24"/>
          <w:szCs w:val="24"/>
          <w:lang w:eastAsia="pl-PL"/>
        </w:rPr>
        <w:t>w </w:t>
      </w:r>
      <w:r w:rsidRPr="00833C88">
        <w:rPr>
          <w:rFonts w:cs="Times New Roman"/>
          <w:sz w:val="24"/>
          <w:szCs w:val="24"/>
          <w:lang w:eastAsia="pl-PL"/>
        </w:rPr>
        <w:t xml:space="preserve">pkt 3, zwane dalej </w:t>
      </w:r>
      <w:r w:rsidR="0052199F" w:rsidRPr="00833C88">
        <w:rPr>
          <w:rFonts w:cs="Times New Roman"/>
          <w:sz w:val="24"/>
          <w:szCs w:val="24"/>
          <w:lang w:eastAsia="pl-PL"/>
        </w:rPr>
        <w:t>„</w:t>
      </w:r>
      <w:r w:rsidRPr="00833C88">
        <w:rPr>
          <w:rFonts w:cs="Times New Roman"/>
          <w:sz w:val="24"/>
          <w:szCs w:val="24"/>
          <w:lang w:eastAsia="pl-PL"/>
        </w:rPr>
        <w:t>instytutami PAN</w:t>
      </w:r>
      <w:r w:rsidR="0052199F" w:rsidRPr="00833C88">
        <w:rPr>
          <w:rFonts w:cs="Times New Roman"/>
          <w:sz w:val="24"/>
          <w:szCs w:val="24"/>
          <w:lang w:eastAsia="pl-PL"/>
        </w:rPr>
        <w:t>”</w:t>
      </w:r>
      <w:r w:rsidR="0076020B" w:rsidRPr="00833C88">
        <w:rPr>
          <w:rFonts w:cs="Times New Roman"/>
          <w:sz w:val="24"/>
          <w:szCs w:val="24"/>
          <w:lang w:eastAsia="pl-PL"/>
        </w:rPr>
        <w:t>,</w:t>
      </w:r>
    </w:p>
    <w:p w14:paraId="7FC5B2C6" w14:textId="569105B1"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międzynarodowe instytuty naukowe utworzone na podstawie odrębnych ustaw działające na terytorium Rzeczypospolitej Polskiej, zwane dalej </w:t>
      </w:r>
      <w:r w:rsidR="0061116F" w:rsidRPr="00833C88">
        <w:rPr>
          <w:rFonts w:cs="Times New Roman"/>
          <w:sz w:val="24"/>
          <w:szCs w:val="24"/>
          <w:lang w:eastAsia="pl-PL"/>
        </w:rPr>
        <w:t>„</w:t>
      </w:r>
      <w:r w:rsidRPr="00833C88">
        <w:rPr>
          <w:rFonts w:cs="Times New Roman"/>
          <w:sz w:val="24"/>
          <w:szCs w:val="24"/>
          <w:lang w:eastAsia="pl-PL"/>
        </w:rPr>
        <w:t>instytutami międzynarodowymi</w:t>
      </w:r>
      <w:r w:rsidR="0061116F" w:rsidRPr="00833C88">
        <w:rPr>
          <w:rFonts w:cs="Times New Roman"/>
          <w:sz w:val="24"/>
          <w:szCs w:val="24"/>
          <w:lang w:eastAsia="pl-PL"/>
        </w:rPr>
        <w:t>”</w:t>
      </w:r>
      <w:r w:rsidR="0076020B" w:rsidRPr="00833C88">
        <w:rPr>
          <w:rFonts w:cs="Times New Roman"/>
          <w:sz w:val="24"/>
          <w:szCs w:val="24"/>
          <w:lang w:eastAsia="pl-PL"/>
        </w:rPr>
        <w:t>,</w:t>
      </w:r>
    </w:p>
    <w:p w14:paraId="5E6843FF" w14:textId="169807F3"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Centrum Łukasiewicz, działające na podstawie ustawy </w:t>
      </w:r>
      <w:r w:rsidR="00601933" w:rsidRPr="00833C88">
        <w:rPr>
          <w:rFonts w:cs="Times New Roman"/>
          <w:sz w:val="24"/>
          <w:szCs w:val="24"/>
          <w:lang w:eastAsia="pl-PL"/>
        </w:rPr>
        <w:t>z </w:t>
      </w:r>
      <w:r w:rsidRPr="00833C88">
        <w:rPr>
          <w:rFonts w:cs="Times New Roman"/>
          <w:sz w:val="24"/>
          <w:szCs w:val="24"/>
          <w:lang w:eastAsia="pl-PL"/>
        </w:rPr>
        <w:t xml:space="preserve">dnia 21 lutego 2019 r. </w:t>
      </w:r>
      <w:r w:rsidR="00601933" w:rsidRPr="00833C88">
        <w:rPr>
          <w:rFonts w:cs="Times New Roman"/>
          <w:sz w:val="24"/>
          <w:szCs w:val="24"/>
          <w:lang w:eastAsia="pl-PL"/>
        </w:rPr>
        <w:t>o </w:t>
      </w:r>
      <w:r w:rsidRPr="00833C88">
        <w:rPr>
          <w:rFonts w:cs="Times New Roman"/>
          <w:sz w:val="24"/>
          <w:szCs w:val="24"/>
          <w:lang w:eastAsia="pl-PL"/>
        </w:rPr>
        <w:t>Sieci Badawczej Łukasiewicz (Dz.</w:t>
      </w:r>
      <w:r w:rsidR="0052199F" w:rsidRPr="00833C88">
        <w:rPr>
          <w:rFonts w:cs="Times New Roman"/>
          <w:sz w:val="24"/>
          <w:szCs w:val="24"/>
          <w:lang w:eastAsia="pl-PL"/>
        </w:rPr>
        <w:t xml:space="preserve"> </w:t>
      </w:r>
      <w:r w:rsidRPr="00833C88">
        <w:rPr>
          <w:rFonts w:cs="Times New Roman"/>
          <w:sz w:val="24"/>
          <w:szCs w:val="24"/>
          <w:lang w:eastAsia="pl-PL"/>
        </w:rPr>
        <w:t xml:space="preserve">U. </w:t>
      </w:r>
      <w:r w:rsidR="00601933" w:rsidRPr="00833C88">
        <w:rPr>
          <w:rFonts w:cs="Times New Roman"/>
          <w:sz w:val="24"/>
          <w:szCs w:val="24"/>
          <w:lang w:eastAsia="pl-PL"/>
        </w:rPr>
        <w:t>z </w:t>
      </w:r>
      <w:r w:rsidRPr="00833C88">
        <w:rPr>
          <w:rFonts w:cs="Times New Roman"/>
          <w:sz w:val="24"/>
          <w:szCs w:val="24"/>
          <w:lang w:eastAsia="pl-PL"/>
        </w:rPr>
        <w:t xml:space="preserve">2024 r. poz. 925 </w:t>
      </w:r>
      <w:r w:rsidR="00601933" w:rsidRPr="00833C88">
        <w:rPr>
          <w:rFonts w:cs="Times New Roman"/>
          <w:sz w:val="24"/>
          <w:szCs w:val="24"/>
          <w:lang w:eastAsia="pl-PL"/>
        </w:rPr>
        <w:t>i </w:t>
      </w:r>
      <w:r w:rsidRPr="00833C88">
        <w:rPr>
          <w:rFonts w:cs="Times New Roman"/>
          <w:sz w:val="24"/>
          <w:szCs w:val="24"/>
          <w:lang w:eastAsia="pl-PL"/>
        </w:rPr>
        <w:t>1089)</w:t>
      </w:r>
      <w:r w:rsidR="0076020B" w:rsidRPr="00833C88">
        <w:rPr>
          <w:rFonts w:cs="Times New Roman"/>
          <w:sz w:val="24"/>
          <w:szCs w:val="24"/>
          <w:lang w:eastAsia="pl-PL"/>
        </w:rPr>
        <w:t>,</w:t>
      </w:r>
    </w:p>
    <w:p w14:paraId="61058765" w14:textId="01F95F9D"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instytuty działające </w:t>
      </w:r>
      <w:r w:rsidR="00601933" w:rsidRPr="00833C88">
        <w:rPr>
          <w:rFonts w:cs="Times New Roman"/>
          <w:sz w:val="24"/>
          <w:szCs w:val="24"/>
          <w:lang w:eastAsia="pl-PL"/>
        </w:rPr>
        <w:t>w </w:t>
      </w:r>
      <w:r w:rsidRPr="00833C88">
        <w:rPr>
          <w:rFonts w:cs="Times New Roman"/>
          <w:sz w:val="24"/>
          <w:szCs w:val="24"/>
          <w:lang w:eastAsia="pl-PL"/>
        </w:rPr>
        <w:t xml:space="preserve">ramach Sieci Badawczej Łukasiewicz, zwane dalej </w:t>
      </w:r>
      <w:r w:rsidR="0052199F" w:rsidRPr="00833C88">
        <w:rPr>
          <w:rFonts w:cs="Times New Roman"/>
          <w:sz w:val="24"/>
          <w:szCs w:val="24"/>
          <w:lang w:eastAsia="pl-PL"/>
        </w:rPr>
        <w:t>„</w:t>
      </w:r>
      <w:r w:rsidRPr="00833C88">
        <w:rPr>
          <w:rFonts w:cs="Times New Roman"/>
          <w:sz w:val="24"/>
          <w:szCs w:val="24"/>
          <w:lang w:eastAsia="pl-PL"/>
        </w:rPr>
        <w:t>instytutami Sieci Łukasiewicz</w:t>
      </w:r>
      <w:r w:rsidR="0052199F" w:rsidRPr="00833C88">
        <w:rPr>
          <w:rFonts w:cs="Times New Roman"/>
          <w:sz w:val="24"/>
          <w:szCs w:val="24"/>
          <w:lang w:eastAsia="pl-PL"/>
        </w:rPr>
        <w:t>”</w:t>
      </w:r>
      <w:r w:rsidR="0076020B" w:rsidRPr="00833C88">
        <w:rPr>
          <w:rFonts w:cs="Times New Roman"/>
          <w:sz w:val="24"/>
          <w:szCs w:val="24"/>
          <w:lang w:eastAsia="pl-PL"/>
        </w:rPr>
        <w:t>,</w:t>
      </w:r>
    </w:p>
    <w:p w14:paraId="2C280DE7" w14:textId="5E0E1C35"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lastRenderedPageBreak/>
        <w:t>•</w:t>
      </w:r>
      <w:r w:rsidRPr="00833C88">
        <w:rPr>
          <w:rFonts w:cs="Times New Roman"/>
          <w:sz w:val="24"/>
          <w:szCs w:val="24"/>
          <w:lang w:eastAsia="pl-PL"/>
        </w:rPr>
        <w:tab/>
        <w:t xml:space="preserve">Centrum Medycznego Kształcenia Podyplomowego, działające na podstawie ustawy </w:t>
      </w:r>
      <w:r w:rsidR="00601933" w:rsidRPr="00833C88">
        <w:rPr>
          <w:rFonts w:cs="Times New Roman"/>
          <w:sz w:val="24"/>
          <w:szCs w:val="24"/>
          <w:lang w:eastAsia="pl-PL"/>
        </w:rPr>
        <w:t>z </w:t>
      </w:r>
      <w:r w:rsidRPr="00833C88">
        <w:rPr>
          <w:rFonts w:cs="Times New Roman"/>
          <w:sz w:val="24"/>
          <w:szCs w:val="24"/>
          <w:lang w:eastAsia="pl-PL"/>
        </w:rPr>
        <w:t xml:space="preserve">dnia 13 września 2018 r. </w:t>
      </w:r>
      <w:r w:rsidR="00601933" w:rsidRPr="00833C88">
        <w:rPr>
          <w:rFonts w:cs="Times New Roman"/>
          <w:sz w:val="24"/>
          <w:szCs w:val="24"/>
          <w:lang w:eastAsia="pl-PL"/>
        </w:rPr>
        <w:t>o </w:t>
      </w:r>
      <w:r w:rsidRPr="00833C88">
        <w:rPr>
          <w:rFonts w:cs="Times New Roman"/>
          <w:sz w:val="24"/>
          <w:szCs w:val="24"/>
          <w:lang w:eastAsia="pl-PL"/>
        </w:rPr>
        <w:t>Centrum Medycznego Kształcenia Podyplomowego (Dz.</w:t>
      </w:r>
      <w:r w:rsidR="0052199F" w:rsidRPr="00833C88">
        <w:rPr>
          <w:rFonts w:cs="Times New Roman"/>
          <w:sz w:val="24"/>
          <w:szCs w:val="24"/>
          <w:lang w:eastAsia="pl-PL"/>
        </w:rPr>
        <w:t xml:space="preserve"> </w:t>
      </w:r>
      <w:r w:rsidRPr="00833C88">
        <w:rPr>
          <w:rFonts w:cs="Times New Roman"/>
          <w:sz w:val="24"/>
          <w:szCs w:val="24"/>
          <w:lang w:eastAsia="pl-PL"/>
        </w:rPr>
        <w:t xml:space="preserve">U. </w:t>
      </w:r>
      <w:r w:rsidR="00601933" w:rsidRPr="00833C88">
        <w:rPr>
          <w:rFonts w:cs="Times New Roman"/>
          <w:sz w:val="24"/>
          <w:szCs w:val="24"/>
          <w:lang w:eastAsia="pl-PL"/>
        </w:rPr>
        <w:t>z </w:t>
      </w:r>
      <w:r w:rsidRPr="00833C88">
        <w:rPr>
          <w:rFonts w:cs="Times New Roman"/>
          <w:sz w:val="24"/>
          <w:szCs w:val="24"/>
          <w:lang w:eastAsia="pl-PL"/>
        </w:rPr>
        <w:t>202</w:t>
      </w:r>
      <w:r w:rsidR="0052199F" w:rsidRPr="00833C88">
        <w:rPr>
          <w:rFonts w:cs="Times New Roman"/>
          <w:sz w:val="24"/>
          <w:szCs w:val="24"/>
          <w:lang w:eastAsia="pl-PL"/>
        </w:rPr>
        <w:t>5</w:t>
      </w:r>
      <w:r w:rsidRPr="00833C88">
        <w:rPr>
          <w:rFonts w:cs="Times New Roman"/>
          <w:sz w:val="24"/>
          <w:szCs w:val="24"/>
          <w:lang w:eastAsia="pl-PL"/>
        </w:rPr>
        <w:t xml:space="preserve"> r. poz. </w:t>
      </w:r>
      <w:r w:rsidR="0052199F" w:rsidRPr="00833C88">
        <w:rPr>
          <w:rFonts w:cs="Times New Roman"/>
          <w:sz w:val="24"/>
          <w:szCs w:val="24"/>
          <w:lang w:eastAsia="pl-PL"/>
        </w:rPr>
        <w:t>269</w:t>
      </w:r>
      <w:r w:rsidRPr="00833C88">
        <w:rPr>
          <w:rFonts w:cs="Times New Roman"/>
          <w:sz w:val="24"/>
          <w:szCs w:val="24"/>
          <w:lang w:eastAsia="pl-PL"/>
        </w:rPr>
        <w:t>), zwane dalej „CMKP”</w:t>
      </w:r>
      <w:r w:rsidR="0076020B" w:rsidRPr="00833C88">
        <w:rPr>
          <w:rFonts w:cs="Times New Roman"/>
          <w:sz w:val="24"/>
          <w:szCs w:val="24"/>
          <w:lang w:eastAsia="pl-PL"/>
        </w:rPr>
        <w:t>,</w:t>
      </w:r>
    </w:p>
    <w:p w14:paraId="72AB075C" w14:textId="16C8F235" w:rsidR="009072D3" w:rsidRPr="00833C88" w:rsidRDefault="009072D3" w:rsidP="0076020B">
      <w:pPr>
        <w:pStyle w:val="Akapitzlist"/>
        <w:spacing w:after="0" w:line="360" w:lineRule="auto"/>
        <w:contextualSpacing w:val="0"/>
        <w:jc w:val="both"/>
        <w:rPr>
          <w:rFonts w:cs="Times New Roman"/>
          <w:sz w:val="24"/>
          <w:szCs w:val="24"/>
          <w:lang w:eastAsia="pl-PL"/>
        </w:rPr>
      </w:pPr>
      <w:r w:rsidRPr="00833C88">
        <w:rPr>
          <w:rFonts w:cs="Times New Roman"/>
          <w:sz w:val="24"/>
          <w:szCs w:val="24"/>
          <w:lang w:eastAsia="pl-PL"/>
        </w:rPr>
        <w:t>•</w:t>
      </w:r>
      <w:r w:rsidRPr="00833C88">
        <w:rPr>
          <w:rFonts w:cs="Times New Roman"/>
          <w:sz w:val="24"/>
          <w:szCs w:val="24"/>
          <w:lang w:eastAsia="pl-PL"/>
        </w:rPr>
        <w:tab/>
        <w:t xml:space="preserve">Polska Akademia Umiejętności, zwana dalej </w:t>
      </w:r>
      <w:r w:rsidR="0052199F" w:rsidRPr="00833C88">
        <w:rPr>
          <w:rFonts w:cs="Times New Roman"/>
          <w:sz w:val="24"/>
          <w:szCs w:val="24"/>
          <w:lang w:eastAsia="pl-PL"/>
        </w:rPr>
        <w:t>„</w:t>
      </w:r>
      <w:r w:rsidRPr="00833C88">
        <w:rPr>
          <w:rFonts w:cs="Times New Roman"/>
          <w:sz w:val="24"/>
          <w:szCs w:val="24"/>
          <w:lang w:eastAsia="pl-PL"/>
        </w:rPr>
        <w:t>PAU</w:t>
      </w:r>
      <w:r w:rsidR="0052199F" w:rsidRPr="00833C88">
        <w:rPr>
          <w:rFonts w:cs="Times New Roman"/>
          <w:sz w:val="24"/>
          <w:szCs w:val="24"/>
          <w:lang w:eastAsia="pl-PL"/>
        </w:rPr>
        <w:t>”</w:t>
      </w:r>
      <w:r w:rsidR="00B14961" w:rsidRPr="00833C88">
        <w:rPr>
          <w:rFonts w:cs="Times New Roman"/>
          <w:sz w:val="24"/>
          <w:szCs w:val="24"/>
          <w:lang w:eastAsia="pl-PL"/>
        </w:rPr>
        <w:t>.</w:t>
      </w:r>
    </w:p>
    <w:p w14:paraId="2646427E" w14:textId="1734EBF1" w:rsidR="009072D3" w:rsidRPr="00833C88" w:rsidRDefault="009072D3" w:rsidP="00B14961">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Organizacje badawcze połączono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ramach sektora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pozostałymi podmiotami systemu szkolnictwa wyższego, ponieważ te podmioty również często prowadzą badania naukowe. Ponadto uczelnie już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chwili obecnej podlegały wymaganiom rozporządzenia Rozporządzenie Rady Ministrów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21 maja 2024 r.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sprawie Krajowych Ram Interoperacyjności, minimalnych wymagań dla rejestrów publicznych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wymiany informacji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postaci elektronicznej oraz minimalnych wymagań dla systemów teleinformatycznych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zakresie wymogów cyberbezpieczeństwa oraz zgłaszania incydentów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podmiocie publicznym co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kolei wynika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rozdziału 5 obecnej ustawy </w:t>
      </w:r>
      <w:r w:rsidR="00601933" w:rsidRPr="00833C88">
        <w:rPr>
          <w:rFonts w:eastAsia="Times New Roman" w:cs="Times New Roman"/>
          <w:sz w:val="24"/>
          <w:szCs w:val="24"/>
          <w:lang w:eastAsia="pl-PL"/>
        </w:rPr>
        <w:t>o </w:t>
      </w:r>
      <w:r w:rsidR="0061116F" w:rsidRPr="00833C88">
        <w:rPr>
          <w:rFonts w:eastAsia="Times New Roman" w:cs="Times New Roman"/>
          <w:sz w:val="24"/>
          <w:szCs w:val="24"/>
          <w:lang w:eastAsia="pl-PL"/>
        </w:rPr>
        <w:t>KSC</w:t>
      </w:r>
      <w:r w:rsidRPr="00833C88">
        <w:rPr>
          <w:rFonts w:eastAsia="Times New Roman" w:cs="Times New Roman"/>
          <w:sz w:val="24"/>
          <w:szCs w:val="24"/>
          <w:lang w:eastAsia="pl-PL"/>
        </w:rPr>
        <w:t>.</w:t>
      </w:r>
    </w:p>
    <w:p w14:paraId="42F91C30" w14:textId="03CCD1F4" w:rsidR="0069444A" w:rsidRPr="00833C88" w:rsidRDefault="009072D3" w:rsidP="00B14961">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Instytuty badawcze znajdują się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sektorze podmioty publiczne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mają status podmiotów kluczowych, ponieważ mogą otrzymać status państwowego instytutu badawczego</w:t>
      </w:r>
      <w:r w:rsidR="0061116F" w:rsidRPr="00833C88">
        <w:rPr>
          <w:rFonts w:eastAsia="Times New Roman" w:cs="Times New Roman"/>
          <w:sz w:val="24"/>
          <w:szCs w:val="24"/>
          <w:lang w:eastAsia="pl-PL"/>
        </w:rPr>
        <w:t>,</w:t>
      </w:r>
      <w:r w:rsidRPr="00833C88">
        <w:rPr>
          <w:rFonts w:eastAsia="Times New Roman" w:cs="Times New Roman"/>
          <w:sz w:val="24"/>
          <w:szCs w:val="24"/>
          <w:lang w:eastAsia="pl-PL"/>
        </w:rPr>
        <w:t xml:space="preserve"> który to instytut może realizować zadania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zakresu bezpieczeństwa państwa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obronności.</w:t>
      </w:r>
    </w:p>
    <w:p w14:paraId="704802E0" w14:textId="23407D53" w:rsidR="000C5E98" w:rsidRPr="00833C88" w:rsidRDefault="000C5E98">
      <w:pPr>
        <w:pStyle w:val="Nagwek4"/>
        <w:numPr>
          <w:ilvl w:val="0"/>
          <w:numId w:val="67"/>
        </w:numPr>
        <w:spacing w:before="0" w:after="120" w:line="360" w:lineRule="auto"/>
        <w:jc w:val="both"/>
        <w:rPr>
          <w:rFonts w:cs="Times New Roman"/>
          <w:sz w:val="24"/>
          <w:szCs w:val="24"/>
          <w:lang w:eastAsia="pl-PL"/>
        </w:rPr>
      </w:pPr>
      <w:r w:rsidRPr="00833C88">
        <w:rPr>
          <w:rFonts w:cs="Times New Roman"/>
          <w:sz w:val="24"/>
          <w:szCs w:val="24"/>
          <w:lang w:eastAsia="pl-PL"/>
        </w:rPr>
        <w:t>Podmioty publiczne będące podmiotami ważnymi</w:t>
      </w:r>
    </w:p>
    <w:p w14:paraId="1A9EBF57" w14:textId="003EFA46" w:rsidR="000C5E98" w:rsidRPr="00833C88" w:rsidRDefault="00601933" w:rsidP="00B14961">
      <w:pPr>
        <w:spacing w:line="360" w:lineRule="auto"/>
        <w:ind w:left="360"/>
        <w:jc w:val="both"/>
        <w:rPr>
          <w:rFonts w:cs="Times New Roman"/>
          <w:sz w:val="24"/>
          <w:szCs w:val="24"/>
          <w:lang w:eastAsia="pl-PL"/>
        </w:rPr>
      </w:pPr>
      <w:r w:rsidRPr="00833C88">
        <w:rPr>
          <w:rFonts w:cs="Times New Roman"/>
          <w:sz w:val="24"/>
          <w:szCs w:val="24"/>
          <w:lang w:eastAsia="pl-PL"/>
        </w:rPr>
        <w:t>W </w:t>
      </w:r>
      <w:r w:rsidR="000C5E98" w:rsidRPr="00833C88">
        <w:rPr>
          <w:rFonts w:cs="Times New Roman"/>
          <w:sz w:val="24"/>
          <w:szCs w:val="24"/>
          <w:lang w:eastAsia="pl-PL"/>
        </w:rPr>
        <w:t>tym sektorze występują następujące rodzaje podmiotów</w:t>
      </w:r>
      <w:r w:rsidR="0069444A" w:rsidRPr="00833C88">
        <w:rPr>
          <w:rFonts w:cs="Times New Roman"/>
          <w:sz w:val="24"/>
          <w:szCs w:val="24"/>
          <w:lang w:eastAsia="pl-PL"/>
        </w:rPr>
        <w:t>:</w:t>
      </w:r>
    </w:p>
    <w:p w14:paraId="0612C5D7" w14:textId="11F68A6D" w:rsidR="00A30599" w:rsidRPr="00833C88" w:rsidRDefault="00A30599">
      <w:pPr>
        <w:pStyle w:val="Akapitzlist"/>
        <w:numPr>
          <w:ilvl w:val="0"/>
          <w:numId w:val="5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samorządowe jednostki budżetowe</w:t>
      </w:r>
      <w:r w:rsidR="0076020B" w:rsidRPr="00833C88">
        <w:rPr>
          <w:rFonts w:eastAsia="Times New Roman" w:cs="Times New Roman"/>
          <w:sz w:val="24"/>
          <w:szCs w:val="24"/>
          <w:lang w:eastAsia="pl-PL"/>
        </w:rPr>
        <w:t>,</w:t>
      </w:r>
    </w:p>
    <w:p w14:paraId="58CAA223" w14:textId="6CD611FB" w:rsidR="00A30599" w:rsidRPr="00833C88" w:rsidRDefault="00A30599">
      <w:pPr>
        <w:pStyle w:val="Akapitzlist"/>
        <w:numPr>
          <w:ilvl w:val="0"/>
          <w:numId w:val="5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samorządowe zakłady budżetowe</w:t>
      </w:r>
      <w:r w:rsidR="0076020B" w:rsidRPr="00833C88">
        <w:rPr>
          <w:rFonts w:eastAsia="Times New Roman" w:cs="Times New Roman"/>
          <w:sz w:val="24"/>
          <w:szCs w:val="24"/>
          <w:lang w:eastAsia="pl-PL"/>
        </w:rPr>
        <w:t>,</w:t>
      </w:r>
    </w:p>
    <w:p w14:paraId="5025E8F3" w14:textId="2BFFFA10" w:rsidR="00A30599" w:rsidRPr="00833C88" w:rsidRDefault="00A30599">
      <w:pPr>
        <w:pStyle w:val="Akapitzlist"/>
        <w:numPr>
          <w:ilvl w:val="0"/>
          <w:numId w:val="5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samorządowe instytucje kultury</w:t>
      </w:r>
      <w:r w:rsidR="0076020B" w:rsidRPr="00833C88">
        <w:rPr>
          <w:rFonts w:eastAsia="Times New Roman" w:cs="Times New Roman"/>
          <w:sz w:val="24"/>
          <w:szCs w:val="24"/>
          <w:lang w:eastAsia="pl-PL"/>
        </w:rPr>
        <w:t>,</w:t>
      </w:r>
    </w:p>
    <w:p w14:paraId="7F039EEE" w14:textId="2A67DBE4" w:rsidR="005C2F07" w:rsidRPr="00833C88" w:rsidRDefault="00A30599">
      <w:pPr>
        <w:pStyle w:val="Akapitzlist"/>
        <w:numPr>
          <w:ilvl w:val="0"/>
          <w:numId w:val="54"/>
        </w:numPr>
        <w:spacing w:line="360" w:lineRule="auto"/>
        <w:contextualSpacing w:val="0"/>
        <w:jc w:val="both"/>
        <w:rPr>
          <w:rFonts w:eastAsia="Times New Roman" w:cs="Times New Roman"/>
          <w:sz w:val="24"/>
          <w:szCs w:val="24"/>
          <w:lang w:eastAsia="pl-PL"/>
        </w:rPr>
      </w:pPr>
      <w:r w:rsidRPr="00833C88">
        <w:rPr>
          <w:rFonts w:eastAsia="Times New Roman" w:cs="Times New Roman"/>
          <w:sz w:val="24"/>
          <w:szCs w:val="24"/>
          <w:lang w:eastAsia="pl-PL"/>
        </w:rPr>
        <w:t xml:space="preserve">spółki prawa handlowego wykonujące zadania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charakterze użyteczności publicznej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rozumieniu art. 1 ust. 2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20 grudnia 1996 r.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gospodarce komunalnej</w:t>
      </w:r>
      <w:r w:rsidR="00D70EE8" w:rsidRPr="00833C88">
        <w:rPr>
          <w:rFonts w:eastAsia="Times New Roman" w:cs="Times New Roman"/>
          <w:sz w:val="24"/>
          <w:szCs w:val="24"/>
          <w:lang w:eastAsia="pl-PL"/>
        </w:rPr>
        <w:t>.</w:t>
      </w:r>
    </w:p>
    <w:p w14:paraId="54AC1634" w14:textId="3C903239" w:rsidR="006C60A2" w:rsidRPr="00833C88" w:rsidRDefault="006C60A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Znajdujące się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tym sektorze podmioty będą objęte </w:t>
      </w:r>
      <w:r w:rsidR="002D6A78" w:rsidRPr="00833C88">
        <w:rPr>
          <w:rFonts w:eastAsia="Times New Roman" w:cs="Times New Roman"/>
          <w:sz w:val="24"/>
          <w:szCs w:val="24"/>
          <w:lang w:eastAsia="pl-PL"/>
        </w:rPr>
        <w:t xml:space="preserve">zmniejszonymi wymaganiami </w:t>
      </w:r>
      <w:r w:rsidR="00601933" w:rsidRPr="00833C88">
        <w:rPr>
          <w:rFonts w:eastAsia="Times New Roman" w:cs="Times New Roman"/>
          <w:sz w:val="24"/>
          <w:szCs w:val="24"/>
          <w:lang w:eastAsia="pl-PL"/>
        </w:rPr>
        <w:t>z </w:t>
      </w:r>
      <w:r w:rsidR="002D6A78" w:rsidRPr="00833C88">
        <w:rPr>
          <w:rFonts w:eastAsia="Times New Roman" w:cs="Times New Roman"/>
          <w:sz w:val="24"/>
          <w:szCs w:val="24"/>
          <w:lang w:eastAsia="pl-PL"/>
        </w:rPr>
        <w:t xml:space="preserve">zakresu cyberbezpieczeństwa. Wprowadzono tę zmianę po uwagach przedstawicieli samorządu terytorialnego, którzy wskazali, że te podmioty będą dużo mniejsze niż inne podmioty kluczowe </w:t>
      </w:r>
      <w:r w:rsidR="00601933" w:rsidRPr="00833C88">
        <w:rPr>
          <w:rFonts w:eastAsia="Times New Roman" w:cs="Times New Roman"/>
          <w:sz w:val="24"/>
          <w:szCs w:val="24"/>
          <w:lang w:eastAsia="pl-PL"/>
        </w:rPr>
        <w:t>i </w:t>
      </w:r>
      <w:r w:rsidR="002D6A78" w:rsidRPr="00833C88">
        <w:rPr>
          <w:rFonts w:eastAsia="Times New Roman" w:cs="Times New Roman"/>
          <w:sz w:val="24"/>
          <w:szCs w:val="24"/>
          <w:lang w:eastAsia="pl-PL"/>
        </w:rPr>
        <w:t xml:space="preserve">ważne </w:t>
      </w:r>
      <w:r w:rsidR="00601933" w:rsidRPr="00833C88">
        <w:rPr>
          <w:rFonts w:eastAsia="Times New Roman" w:cs="Times New Roman"/>
          <w:sz w:val="24"/>
          <w:szCs w:val="24"/>
          <w:lang w:eastAsia="pl-PL"/>
        </w:rPr>
        <w:t>i w </w:t>
      </w:r>
      <w:r w:rsidR="002D6A78" w:rsidRPr="00833C88">
        <w:rPr>
          <w:rFonts w:eastAsia="Times New Roman" w:cs="Times New Roman"/>
          <w:sz w:val="24"/>
          <w:szCs w:val="24"/>
          <w:lang w:eastAsia="pl-PL"/>
        </w:rPr>
        <w:t xml:space="preserve">związku </w:t>
      </w:r>
      <w:r w:rsidR="00601933" w:rsidRPr="00833C88">
        <w:rPr>
          <w:rFonts w:eastAsia="Times New Roman" w:cs="Times New Roman"/>
          <w:sz w:val="24"/>
          <w:szCs w:val="24"/>
          <w:lang w:eastAsia="pl-PL"/>
        </w:rPr>
        <w:t>z </w:t>
      </w:r>
      <w:r w:rsidR="002D6A78" w:rsidRPr="00833C88">
        <w:rPr>
          <w:rFonts w:eastAsia="Times New Roman" w:cs="Times New Roman"/>
          <w:sz w:val="24"/>
          <w:szCs w:val="24"/>
          <w:lang w:eastAsia="pl-PL"/>
        </w:rPr>
        <w:t xml:space="preserve">tym konieczne jest uwzględnienie ich specyfiki </w:t>
      </w:r>
      <w:r w:rsidR="00601933" w:rsidRPr="00833C88">
        <w:rPr>
          <w:rFonts w:eastAsia="Times New Roman" w:cs="Times New Roman"/>
          <w:sz w:val="24"/>
          <w:szCs w:val="24"/>
          <w:lang w:eastAsia="pl-PL"/>
        </w:rPr>
        <w:t>w </w:t>
      </w:r>
      <w:r w:rsidR="002D6A78" w:rsidRPr="00833C88">
        <w:rPr>
          <w:rFonts w:eastAsia="Times New Roman" w:cs="Times New Roman"/>
          <w:sz w:val="24"/>
          <w:szCs w:val="24"/>
          <w:lang w:eastAsia="pl-PL"/>
        </w:rPr>
        <w:t xml:space="preserve">przepisach. </w:t>
      </w:r>
    </w:p>
    <w:p w14:paraId="68DF62A2" w14:textId="2FF15441" w:rsidR="004659BC" w:rsidRPr="00833C88" w:rsidRDefault="21B717B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Załącznik </w:t>
      </w:r>
      <w:r w:rsidR="12F21885" w:rsidRPr="00833C88">
        <w:rPr>
          <w:rFonts w:eastAsia="Times New Roman" w:cs="Times New Roman"/>
          <w:sz w:val="24"/>
          <w:szCs w:val="24"/>
          <w:lang w:eastAsia="pl-PL"/>
        </w:rPr>
        <w:t xml:space="preserve">nr 3 </w:t>
      </w:r>
      <w:r w:rsidR="681173DD" w:rsidRPr="00833C88">
        <w:rPr>
          <w:rFonts w:eastAsia="Times New Roman" w:cs="Times New Roman"/>
          <w:sz w:val="24"/>
          <w:szCs w:val="24"/>
          <w:lang w:eastAsia="pl-PL"/>
        </w:rPr>
        <w:t xml:space="preserve">do projektu ustawy </w:t>
      </w:r>
      <w:r w:rsidR="12F21885" w:rsidRPr="00833C88">
        <w:rPr>
          <w:rFonts w:eastAsia="Times New Roman" w:cs="Times New Roman"/>
          <w:sz w:val="24"/>
          <w:szCs w:val="24"/>
          <w:lang w:eastAsia="pl-PL"/>
        </w:rPr>
        <w:t xml:space="preserve">określa funkcje krytyczne. Jest on oparty na rozwiązaniach </w:t>
      </w:r>
      <w:r w:rsidR="00601933" w:rsidRPr="00833C88">
        <w:rPr>
          <w:rFonts w:eastAsia="Times New Roman" w:cs="Times New Roman"/>
          <w:sz w:val="24"/>
          <w:szCs w:val="24"/>
          <w:lang w:eastAsia="pl-PL"/>
        </w:rPr>
        <w:t>z </w:t>
      </w:r>
      <w:r w:rsidR="12F21885" w:rsidRPr="00833C88">
        <w:rPr>
          <w:rFonts w:eastAsia="Times New Roman" w:cs="Times New Roman"/>
          <w:sz w:val="24"/>
          <w:szCs w:val="24"/>
          <w:lang w:eastAsia="pl-PL"/>
        </w:rPr>
        <w:t xml:space="preserve">innych państw europejskich, zwłaszcza francuskiej </w:t>
      </w:r>
      <w:r w:rsidR="6D82EDEB" w:rsidRPr="00833C88">
        <w:rPr>
          <w:rFonts w:eastAsia="Times New Roman" w:cs="Times New Roman"/>
          <w:sz w:val="24"/>
          <w:szCs w:val="24"/>
          <w:lang w:eastAsia="pl-PL"/>
        </w:rPr>
        <w:t>liście funkcji krytycznych.</w:t>
      </w:r>
      <w:r w:rsidR="40C09095" w:rsidRPr="00833C88">
        <w:rPr>
          <w:rFonts w:eastAsia="Times New Roman" w:cs="Times New Roman"/>
          <w:sz w:val="24"/>
          <w:szCs w:val="24"/>
          <w:lang w:eastAsia="pl-PL"/>
        </w:rPr>
        <w:t xml:space="preserve"> Załącznik ten wskaz</w:t>
      </w:r>
      <w:r w:rsidR="028BBBE6" w:rsidRPr="00833C88">
        <w:rPr>
          <w:rFonts w:eastAsia="Times New Roman" w:cs="Times New Roman"/>
          <w:sz w:val="24"/>
          <w:szCs w:val="24"/>
          <w:lang w:eastAsia="pl-PL"/>
        </w:rPr>
        <w:t>uje funkcje któr</w:t>
      </w:r>
      <w:r w:rsidR="330DDDCE" w:rsidRPr="00833C88">
        <w:rPr>
          <w:rFonts w:eastAsia="Times New Roman" w:cs="Times New Roman"/>
          <w:sz w:val="24"/>
          <w:szCs w:val="24"/>
          <w:lang w:eastAsia="pl-PL"/>
        </w:rPr>
        <w:t xml:space="preserve">ych narażenie szczególnie zagroziłoby systemowi czy </w:t>
      </w:r>
      <w:proofErr w:type="gramStart"/>
      <w:r w:rsidR="330DDDCE" w:rsidRPr="00833C88">
        <w:rPr>
          <w:rFonts w:eastAsia="Times New Roman" w:cs="Times New Roman"/>
          <w:sz w:val="24"/>
          <w:szCs w:val="24"/>
          <w:lang w:eastAsia="pl-PL"/>
        </w:rPr>
        <w:t>sieci</w:t>
      </w:r>
      <w:proofErr w:type="gramEnd"/>
      <w:r w:rsidR="330DDDCE"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w </w:t>
      </w:r>
      <w:r w:rsidR="330DDDCE" w:rsidRPr="00833C88">
        <w:rPr>
          <w:rFonts w:eastAsia="Times New Roman" w:cs="Times New Roman"/>
          <w:sz w:val="24"/>
          <w:szCs w:val="24"/>
          <w:lang w:eastAsia="pl-PL"/>
        </w:rPr>
        <w:t>ram</w:t>
      </w:r>
      <w:r w:rsidR="734834DA" w:rsidRPr="00833C88">
        <w:rPr>
          <w:rFonts w:eastAsia="Times New Roman" w:cs="Times New Roman"/>
          <w:sz w:val="24"/>
          <w:szCs w:val="24"/>
          <w:lang w:eastAsia="pl-PL"/>
        </w:rPr>
        <w:t xml:space="preserve">ach której funkcjonują. Produkty, usługi lub procesy pochodzące od dostawcy wysokiego ryzyka </w:t>
      </w:r>
      <w:r w:rsidR="58612845" w:rsidRPr="00833C88">
        <w:rPr>
          <w:rFonts w:eastAsia="Times New Roman" w:cs="Times New Roman"/>
          <w:sz w:val="24"/>
          <w:szCs w:val="24"/>
          <w:lang w:eastAsia="pl-PL"/>
        </w:rPr>
        <w:lastRenderedPageBreak/>
        <w:t xml:space="preserve">muszą być wycofane </w:t>
      </w:r>
      <w:r w:rsidR="00601933" w:rsidRPr="00833C88">
        <w:rPr>
          <w:rFonts w:eastAsia="Times New Roman" w:cs="Times New Roman"/>
          <w:sz w:val="24"/>
          <w:szCs w:val="24"/>
          <w:lang w:eastAsia="pl-PL"/>
        </w:rPr>
        <w:t>w </w:t>
      </w:r>
      <w:r w:rsidR="58612845" w:rsidRPr="00833C88">
        <w:rPr>
          <w:rFonts w:eastAsia="Times New Roman" w:cs="Times New Roman"/>
          <w:sz w:val="24"/>
          <w:szCs w:val="24"/>
          <w:lang w:eastAsia="pl-PL"/>
        </w:rPr>
        <w:t xml:space="preserve">pierwszej kolejności </w:t>
      </w:r>
      <w:r w:rsidR="239743A9" w:rsidRPr="00833C88">
        <w:rPr>
          <w:rFonts w:eastAsia="Times New Roman" w:cs="Times New Roman"/>
          <w:sz w:val="24"/>
          <w:szCs w:val="24"/>
          <w:lang w:eastAsia="pl-PL"/>
        </w:rPr>
        <w:t xml:space="preserve">co odzwierciedla krótszy termin na wykonanie tego obowiązku. </w:t>
      </w:r>
    </w:p>
    <w:p w14:paraId="01E5591E" w14:textId="675D1C62" w:rsidR="0F9672B2" w:rsidRPr="00833C88" w:rsidRDefault="0F9672B2"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Załącznik nr 4 obejmuje uproszczone wymagania dla samorządowych podmiotów publicznych, które są podmiotami ważnymi.</w:t>
      </w:r>
      <w:r w:rsidR="00355FC7" w:rsidRPr="00833C88">
        <w:rPr>
          <w:rFonts w:eastAsia="Times New Roman" w:cs="Times New Roman"/>
          <w:sz w:val="24"/>
          <w:szCs w:val="24"/>
          <w:lang w:eastAsia="pl-PL"/>
        </w:rPr>
        <w:t xml:space="preserve"> Mają one charakter listy kontrolnej minimalnych wymogów takich jak inwentaryzacja zasobów informatycznych, weryfikacja uprawnień personelu, stosowanie oprogramowania antywirusowego czy stosowanie zasad </w:t>
      </w:r>
      <w:proofErr w:type="spellStart"/>
      <w:r w:rsidR="00355FC7" w:rsidRPr="00833C88">
        <w:rPr>
          <w:rFonts w:eastAsia="Times New Roman" w:cs="Times New Roman"/>
          <w:sz w:val="24"/>
          <w:szCs w:val="24"/>
          <w:lang w:eastAsia="pl-PL"/>
        </w:rPr>
        <w:t>cyberhigieny</w:t>
      </w:r>
      <w:proofErr w:type="spellEnd"/>
      <w:r w:rsidR="00355FC7" w:rsidRPr="00833C88">
        <w:rPr>
          <w:rFonts w:eastAsia="Times New Roman" w:cs="Times New Roman"/>
          <w:sz w:val="24"/>
          <w:szCs w:val="24"/>
          <w:lang w:eastAsia="pl-PL"/>
        </w:rPr>
        <w:t xml:space="preserve">. Zrezygnowane wiec </w:t>
      </w:r>
      <w:r w:rsidR="00601933" w:rsidRPr="00833C88">
        <w:rPr>
          <w:rFonts w:eastAsia="Times New Roman" w:cs="Times New Roman"/>
          <w:sz w:val="24"/>
          <w:szCs w:val="24"/>
          <w:lang w:eastAsia="pl-PL"/>
        </w:rPr>
        <w:t>z </w:t>
      </w:r>
      <w:r w:rsidR="004C663E" w:rsidRPr="00833C88">
        <w:rPr>
          <w:rFonts w:eastAsia="Times New Roman" w:cs="Times New Roman"/>
          <w:sz w:val="24"/>
          <w:szCs w:val="24"/>
          <w:lang w:eastAsia="pl-PL"/>
        </w:rPr>
        <w:t xml:space="preserve">podejścia opartego na ryzyku, ponieważ wymagałoby to najpierw posiadania odpowiedniego personelu przez mniejsze jednostki samorządowe, który potrafiłby przeprowadzić szacowanie ryzyka </w:t>
      </w:r>
      <w:r w:rsidR="00601933" w:rsidRPr="00833C88">
        <w:rPr>
          <w:rFonts w:eastAsia="Times New Roman" w:cs="Times New Roman"/>
          <w:sz w:val="24"/>
          <w:szCs w:val="24"/>
          <w:lang w:eastAsia="pl-PL"/>
        </w:rPr>
        <w:t>i </w:t>
      </w:r>
      <w:r w:rsidR="004C663E" w:rsidRPr="00833C88">
        <w:rPr>
          <w:rFonts w:eastAsia="Times New Roman" w:cs="Times New Roman"/>
          <w:sz w:val="24"/>
          <w:szCs w:val="24"/>
          <w:lang w:eastAsia="pl-PL"/>
        </w:rPr>
        <w:t xml:space="preserve">na podstawie tego wprowadzić odpowiednie środki techniczne </w:t>
      </w:r>
      <w:r w:rsidR="00601933" w:rsidRPr="00833C88">
        <w:rPr>
          <w:rFonts w:eastAsia="Times New Roman" w:cs="Times New Roman"/>
          <w:sz w:val="24"/>
          <w:szCs w:val="24"/>
          <w:lang w:eastAsia="pl-PL"/>
        </w:rPr>
        <w:t>i </w:t>
      </w:r>
      <w:r w:rsidR="004C663E" w:rsidRPr="00833C88">
        <w:rPr>
          <w:rFonts w:eastAsia="Times New Roman" w:cs="Times New Roman"/>
          <w:sz w:val="24"/>
          <w:szCs w:val="24"/>
          <w:lang w:eastAsia="pl-PL"/>
        </w:rPr>
        <w:t xml:space="preserve">organizacyjne. Mniejsze jednostki samorządowe nie posiadają takich zasobów osobowych, stąd obniżono wymagania </w:t>
      </w:r>
      <w:r w:rsidR="00601933" w:rsidRPr="00833C88">
        <w:rPr>
          <w:rFonts w:eastAsia="Times New Roman" w:cs="Times New Roman"/>
          <w:sz w:val="24"/>
          <w:szCs w:val="24"/>
          <w:lang w:eastAsia="pl-PL"/>
        </w:rPr>
        <w:t>z </w:t>
      </w:r>
      <w:r w:rsidR="004C663E" w:rsidRPr="00833C88">
        <w:rPr>
          <w:rFonts w:eastAsia="Times New Roman" w:cs="Times New Roman"/>
          <w:sz w:val="24"/>
          <w:szCs w:val="24"/>
          <w:lang w:eastAsia="pl-PL"/>
        </w:rPr>
        <w:t>zakresu cyberbezpieczeństwa.</w:t>
      </w:r>
    </w:p>
    <w:p w14:paraId="39D59AD8" w14:textId="4A807940" w:rsidR="002B3E63" w:rsidRPr="00833C88" w:rsidRDefault="00601933" w:rsidP="002B3E63">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W </w:t>
      </w:r>
      <w:r w:rsidR="002B3E63" w:rsidRPr="00833C88">
        <w:rPr>
          <w:rFonts w:eastAsia="Times New Roman" w:cs="Times New Roman"/>
          <w:sz w:val="24"/>
          <w:szCs w:val="24"/>
          <w:lang w:eastAsia="pl-PL"/>
        </w:rPr>
        <w:t xml:space="preserve">załączniku nr 4 określono, że system zarządzania bezpieczeństwem informacji dla podmiotu ważnego będącego podmiotem publicznym może dodatkowo obejmować określanie </w:t>
      </w:r>
      <w:r w:rsidRPr="00833C88">
        <w:rPr>
          <w:rFonts w:eastAsia="Times New Roman" w:cs="Times New Roman"/>
          <w:sz w:val="24"/>
          <w:szCs w:val="24"/>
          <w:lang w:eastAsia="pl-PL"/>
        </w:rPr>
        <w:t>i </w:t>
      </w:r>
      <w:r w:rsidR="002B3E63" w:rsidRPr="00833C88">
        <w:rPr>
          <w:rFonts w:eastAsia="Times New Roman" w:cs="Times New Roman"/>
          <w:sz w:val="24"/>
          <w:szCs w:val="24"/>
          <w:lang w:eastAsia="pl-PL"/>
        </w:rPr>
        <w:t xml:space="preserve">kontrolowanie zasad korzystania przez podmiot publiczny będący podmiotem ważnym </w:t>
      </w:r>
      <w:r w:rsidRPr="00833C88">
        <w:rPr>
          <w:rFonts w:eastAsia="Times New Roman" w:cs="Times New Roman"/>
          <w:sz w:val="24"/>
          <w:szCs w:val="24"/>
          <w:lang w:eastAsia="pl-PL"/>
        </w:rPr>
        <w:t>z </w:t>
      </w:r>
      <w:r w:rsidR="002B3E63" w:rsidRPr="00833C88">
        <w:rPr>
          <w:rFonts w:eastAsia="Times New Roman" w:cs="Times New Roman"/>
          <w:sz w:val="24"/>
          <w:szCs w:val="24"/>
          <w:lang w:eastAsia="pl-PL"/>
        </w:rPr>
        <w:t xml:space="preserve">ogólnodostępnych usług dostawców chmury obliczeniowej. Należy podkreślić, że obecnie żaden akt prawa powszechnie obowiązującego nie reguluje </w:t>
      </w:r>
      <w:r w:rsidRPr="00833C88">
        <w:rPr>
          <w:rFonts w:eastAsia="Times New Roman" w:cs="Times New Roman"/>
          <w:sz w:val="24"/>
          <w:szCs w:val="24"/>
          <w:lang w:eastAsia="pl-PL"/>
        </w:rPr>
        <w:t>w </w:t>
      </w:r>
      <w:r w:rsidR="002B3E63" w:rsidRPr="00833C88">
        <w:rPr>
          <w:rFonts w:eastAsia="Times New Roman" w:cs="Times New Roman"/>
          <w:sz w:val="24"/>
          <w:szCs w:val="24"/>
          <w:lang w:eastAsia="pl-PL"/>
        </w:rPr>
        <w:t xml:space="preserve">pełni zasad korzystania </w:t>
      </w:r>
      <w:r w:rsidRPr="00833C88">
        <w:rPr>
          <w:rFonts w:eastAsia="Times New Roman" w:cs="Times New Roman"/>
          <w:sz w:val="24"/>
          <w:szCs w:val="24"/>
          <w:lang w:eastAsia="pl-PL"/>
        </w:rPr>
        <w:t>z </w:t>
      </w:r>
      <w:r w:rsidR="002B3E63" w:rsidRPr="00833C88">
        <w:rPr>
          <w:rFonts w:eastAsia="Times New Roman" w:cs="Times New Roman"/>
          <w:sz w:val="24"/>
          <w:szCs w:val="24"/>
          <w:lang w:eastAsia="pl-PL"/>
        </w:rPr>
        <w:t xml:space="preserve">usług dostawców chmury obliczeniowej. Zagadnienia te najszerzej regulowane są obecnie </w:t>
      </w:r>
      <w:r w:rsidRPr="00833C88">
        <w:rPr>
          <w:rFonts w:eastAsia="Times New Roman" w:cs="Times New Roman"/>
          <w:sz w:val="24"/>
          <w:szCs w:val="24"/>
          <w:lang w:eastAsia="pl-PL"/>
        </w:rPr>
        <w:t>w </w:t>
      </w:r>
      <w:r w:rsidR="002B3E63" w:rsidRPr="00833C88">
        <w:rPr>
          <w:rFonts w:eastAsia="Times New Roman" w:cs="Times New Roman"/>
          <w:sz w:val="24"/>
          <w:szCs w:val="24"/>
          <w:lang w:eastAsia="pl-PL"/>
        </w:rPr>
        <w:t xml:space="preserve">uchwale Rady Ministrów </w:t>
      </w:r>
      <w:r w:rsidRPr="00833C88">
        <w:rPr>
          <w:rFonts w:eastAsia="Times New Roman" w:cs="Times New Roman"/>
          <w:sz w:val="24"/>
          <w:szCs w:val="24"/>
          <w:lang w:eastAsia="pl-PL"/>
        </w:rPr>
        <w:t>w </w:t>
      </w:r>
      <w:r w:rsidR="002B3E63" w:rsidRPr="00833C88">
        <w:rPr>
          <w:rFonts w:eastAsia="Times New Roman" w:cs="Times New Roman"/>
          <w:sz w:val="24"/>
          <w:szCs w:val="24"/>
          <w:lang w:eastAsia="pl-PL"/>
        </w:rPr>
        <w:t xml:space="preserve">sprawie Inicjatywy „Wspólna Infrastruktura Informatyczna Państwa” (WIIP) oraz Standardach Cyberbezpieczeństwa Chmur Obliczeniowych (SCCO). </w:t>
      </w:r>
      <w:r w:rsidRPr="00833C88">
        <w:rPr>
          <w:rFonts w:eastAsia="Times New Roman" w:cs="Times New Roman"/>
          <w:sz w:val="24"/>
          <w:szCs w:val="24"/>
          <w:lang w:eastAsia="pl-PL"/>
        </w:rPr>
        <w:t>Z </w:t>
      </w:r>
      <w:r w:rsidR="002B3E63" w:rsidRPr="00833C88">
        <w:rPr>
          <w:rFonts w:eastAsia="Times New Roman" w:cs="Times New Roman"/>
          <w:sz w:val="24"/>
          <w:szCs w:val="24"/>
          <w:lang w:eastAsia="pl-PL"/>
        </w:rPr>
        <w:t xml:space="preserve">uwagi na charakter tych dokumentów wiążą one jedynie podmioty wymienione </w:t>
      </w:r>
      <w:r w:rsidRPr="00833C88">
        <w:rPr>
          <w:rFonts w:eastAsia="Times New Roman" w:cs="Times New Roman"/>
          <w:sz w:val="24"/>
          <w:szCs w:val="24"/>
          <w:lang w:eastAsia="pl-PL"/>
        </w:rPr>
        <w:t>w </w:t>
      </w:r>
      <w:r w:rsidR="002B3E63" w:rsidRPr="00833C88">
        <w:rPr>
          <w:rFonts w:eastAsia="Times New Roman" w:cs="Times New Roman"/>
          <w:sz w:val="24"/>
          <w:szCs w:val="24"/>
          <w:lang w:eastAsia="pl-PL"/>
        </w:rPr>
        <w:t>§</w:t>
      </w:r>
      <w:r w:rsidR="00711603" w:rsidRPr="00833C88">
        <w:rPr>
          <w:rFonts w:eastAsia="Times New Roman" w:cs="Times New Roman"/>
          <w:sz w:val="24"/>
          <w:szCs w:val="24"/>
          <w:lang w:eastAsia="pl-PL"/>
        </w:rPr>
        <w:t> </w:t>
      </w:r>
      <w:r w:rsidR="002B3E63" w:rsidRPr="00833C88">
        <w:rPr>
          <w:rFonts w:eastAsia="Times New Roman" w:cs="Times New Roman"/>
          <w:sz w:val="24"/>
          <w:szCs w:val="24"/>
          <w:lang w:eastAsia="pl-PL"/>
        </w:rPr>
        <w:t xml:space="preserve">6 ust. 1 WIIP. Uchwała WIIP stanowi również podstawę dla systemu zapewnienia usług chmurowych (ZUCH), </w:t>
      </w:r>
      <w:r w:rsidRPr="00833C88">
        <w:rPr>
          <w:rFonts w:eastAsia="Times New Roman" w:cs="Times New Roman"/>
          <w:sz w:val="24"/>
          <w:szCs w:val="24"/>
          <w:lang w:eastAsia="pl-PL"/>
        </w:rPr>
        <w:t>z </w:t>
      </w:r>
      <w:r w:rsidR="002B3E63" w:rsidRPr="00833C88">
        <w:rPr>
          <w:rFonts w:eastAsia="Times New Roman" w:cs="Times New Roman"/>
          <w:sz w:val="24"/>
          <w:szCs w:val="24"/>
          <w:lang w:eastAsia="pl-PL"/>
        </w:rPr>
        <w:t xml:space="preserve">którego korzystają także inne podmioty, nieobjęte uchwałą, </w:t>
      </w:r>
      <w:r w:rsidRPr="00833C88">
        <w:rPr>
          <w:rFonts w:eastAsia="Times New Roman" w:cs="Times New Roman"/>
          <w:sz w:val="24"/>
          <w:szCs w:val="24"/>
          <w:lang w:eastAsia="pl-PL"/>
        </w:rPr>
        <w:t>w </w:t>
      </w:r>
      <w:r w:rsidR="002B3E63" w:rsidRPr="00833C88">
        <w:rPr>
          <w:rFonts w:eastAsia="Times New Roman" w:cs="Times New Roman"/>
          <w:sz w:val="24"/>
          <w:szCs w:val="24"/>
          <w:lang w:eastAsia="pl-PL"/>
        </w:rPr>
        <w:t>tym jednostki samorządu terytorialnego.</w:t>
      </w:r>
    </w:p>
    <w:p w14:paraId="3B29B9B4" w14:textId="6D6B891A" w:rsidR="002B3E63" w:rsidRPr="00833C88" w:rsidRDefault="002B3E63" w:rsidP="002B3E63">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Mając powyższe na uwadze,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także cel wydania SCCO</w:t>
      </w:r>
      <w:r w:rsidR="00102030" w:rsidRPr="00833C88">
        <w:rPr>
          <w:rFonts w:eastAsia="Times New Roman" w:cs="Times New Roman"/>
          <w:sz w:val="24"/>
          <w:szCs w:val="24"/>
          <w:lang w:eastAsia="pl-PL"/>
        </w:rPr>
        <w:t>,</w:t>
      </w:r>
      <w:r w:rsidRPr="00833C88">
        <w:rPr>
          <w:rFonts w:eastAsia="Times New Roman" w:cs="Times New Roman"/>
          <w:sz w:val="24"/>
          <w:szCs w:val="24"/>
          <w:lang w:eastAsia="pl-PL"/>
        </w:rPr>
        <w:t xml:space="preserve"> tj. stworzenie dokumentu mającego stanowić pomoc dla jednostek administracji publicznej planujących skorzystanie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modelu przetwarzania danych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chmurach obliczeniowych, wprowadzającego jednolite standardy, upraszczającego proces wyboru dostawcy, zakresu usług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oceny cyberbezpieczeństwa środowiska przetwarzania, podmioty ważne będące podmiotami publicznymi (jako odbiorcy SCCO) powinny przy określaniu systemu zarządzania bezpieczeństwem informacji 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załącznikiem nr 4, uwzględniać zarówno uchwałę WIIP jak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SCCO, </w:t>
      </w:r>
      <w:r w:rsidR="00601933" w:rsidRPr="00833C88">
        <w:rPr>
          <w:rFonts w:eastAsia="Times New Roman" w:cs="Times New Roman"/>
          <w:sz w:val="24"/>
          <w:szCs w:val="24"/>
          <w:lang w:eastAsia="pl-PL"/>
        </w:rPr>
        <w:t>a </w:t>
      </w:r>
      <w:r w:rsidRPr="00833C88">
        <w:rPr>
          <w:rFonts w:eastAsia="Times New Roman" w:cs="Times New Roman"/>
          <w:sz w:val="24"/>
          <w:szCs w:val="24"/>
          <w:lang w:eastAsia="pl-PL"/>
        </w:rPr>
        <w:t xml:space="preserve">także inne akty takie jak RODO czy ustawa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ochronie informacji niejawnych. Wynika to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potrzeby zapewnienia wysokiego poziomu bezpieczeństwa przetwarzanych danych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chmurze obliczeniowej, </w:t>
      </w:r>
      <w:r w:rsidRPr="00833C88">
        <w:rPr>
          <w:rFonts w:eastAsia="Times New Roman" w:cs="Times New Roman"/>
          <w:sz w:val="24"/>
          <w:szCs w:val="24"/>
          <w:lang w:eastAsia="pl-PL"/>
        </w:rPr>
        <w:lastRenderedPageBreak/>
        <w:t xml:space="preserve">spójnego podejścia administracji publicznej oraz dalszej niezakłóconej możliwości korzystania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usług oferowanych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systemie ZUCH.</w:t>
      </w:r>
    </w:p>
    <w:p w14:paraId="3CC687C8" w14:textId="58758649" w:rsidR="001777F5" w:rsidRPr="00833C88" w:rsidRDefault="00CA013A">
      <w:pPr>
        <w:pStyle w:val="Nagwek1"/>
        <w:numPr>
          <w:ilvl w:val="0"/>
          <w:numId w:val="2"/>
        </w:numPr>
        <w:spacing w:before="0" w:after="120" w:line="360" w:lineRule="auto"/>
        <w:rPr>
          <w:rFonts w:cs="Times New Roman"/>
          <w:sz w:val="28"/>
          <w:szCs w:val="28"/>
        </w:rPr>
      </w:pPr>
      <w:r w:rsidRPr="00833C88">
        <w:rPr>
          <w:rFonts w:cs="Times New Roman"/>
          <w:sz w:val="28"/>
          <w:szCs w:val="28"/>
        </w:rPr>
        <w:t xml:space="preserve">Informacja </w:t>
      </w:r>
      <w:r w:rsidR="00601933" w:rsidRPr="00833C88">
        <w:rPr>
          <w:rFonts w:cs="Times New Roman"/>
          <w:sz w:val="28"/>
          <w:szCs w:val="28"/>
        </w:rPr>
        <w:t>o </w:t>
      </w:r>
      <w:r w:rsidRPr="00833C88">
        <w:rPr>
          <w:rFonts w:cs="Times New Roman"/>
          <w:sz w:val="28"/>
          <w:szCs w:val="28"/>
        </w:rPr>
        <w:t>projektach aktów wykonawczych</w:t>
      </w:r>
    </w:p>
    <w:p w14:paraId="3AA70C86" w14:textId="30B90BE7" w:rsidR="00CA013A" w:rsidRPr="00833C88" w:rsidRDefault="00CA013A" w:rsidP="002B3E63">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projektem ustawy </w:t>
      </w:r>
      <w:r w:rsidR="00D21C39" w:rsidRPr="00833C88">
        <w:rPr>
          <w:rFonts w:eastAsia="Times New Roman" w:cs="Times New Roman"/>
          <w:sz w:val="24"/>
          <w:szCs w:val="24"/>
          <w:lang w:eastAsia="pl-PL"/>
        </w:rPr>
        <w:t xml:space="preserve">obowiązkowo muszą zostać wydane następujące </w:t>
      </w:r>
      <w:r w:rsidR="00FD14DB" w:rsidRPr="00833C88">
        <w:rPr>
          <w:rFonts w:eastAsia="Times New Roman" w:cs="Times New Roman"/>
          <w:sz w:val="24"/>
          <w:szCs w:val="24"/>
          <w:lang w:eastAsia="pl-PL"/>
        </w:rPr>
        <w:t>akty wykonawcze:</w:t>
      </w:r>
    </w:p>
    <w:p w14:paraId="23C623F9" w14:textId="68FDD878" w:rsidR="00FD14DB" w:rsidRPr="00833C88" w:rsidRDefault="00113335" w:rsidP="002B3E63">
      <w:pPr>
        <w:spacing w:line="360" w:lineRule="auto"/>
        <w:jc w:val="both"/>
        <w:rPr>
          <w:rFonts w:eastAsia="Times New Roman" w:cs="Times New Roman"/>
          <w:sz w:val="24"/>
          <w:szCs w:val="24"/>
          <w:lang w:eastAsia="pl-PL"/>
        </w:rPr>
      </w:pPr>
      <w:r>
        <w:rPr>
          <w:rFonts w:eastAsia="Times New Roman" w:cs="Times New Roman"/>
          <w:sz w:val="24"/>
          <w:szCs w:val="24"/>
          <w:lang w:eastAsia="pl-PL"/>
        </w:rPr>
        <w:t xml:space="preserve">1. </w:t>
      </w:r>
      <w:r w:rsidR="00CB014A" w:rsidRPr="00833C88">
        <w:rPr>
          <w:rFonts w:eastAsia="Times New Roman" w:cs="Times New Roman"/>
          <w:sz w:val="24"/>
          <w:szCs w:val="24"/>
          <w:lang w:eastAsia="pl-PL"/>
        </w:rPr>
        <w:t>Rozporządzenie Rady Ministrów</w:t>
      </w:r>
      <w:r w:rsidR="008C166B" w:rsidRPr="00833C88">
        <w:rPr>
          <w:rFonts w:eastAsia="Times New Roman" w:cs="Times New Roman"/>
          <w:sz w:val="24"/>
          <w:szCs w:val="24"/>
          <w:lang w:eastAsia="pl-PL"/>
        </w:rPr>
        <w:t xml:space="preserve"> </w:t>
      </w:r>
      <w:r w:rsidR="007B2997" w:rsidRPr="00833C88">
        <w:rPr>
          <w:rFonts w:eastAsia="Times New Roman" w:cs="Times New Roman"/>
          <w:sz w:val="24"/>
          <w:szCs w:val="24"/>
          <w:lang w:eastAsia="pl-PL"/>
        </w:rPr>
        <w:t xml:space="preserve">wydane na podstawie art. 11 ust. 4 określające progi uznania incydentu za poważny według rodzaju zdarzenia </w:t>
      </w:r>
      <w:r w:rsidR="00601933" w:rsidRPr="00833C88">
        <w:rPr>
          <w:rFonts w:eastAsia="Times New Roman" w:cs="Times New Roman"/>
          <w:sz w:val="24"/>
          <w:szCs w:val="24"/>
          <w:lang w:eastAsia="pl-PL"/>
        </w:rPr>
        <w:t>w </w:t>
      </w:r>
      <w:r w:rsidR="007B2997" w:rsidRPr="00833C88">
        <w:rPr>
          <w:rFonts w:eastAsia="Times New Roman" w:cs="Times New Roman"/>
          <w:sz w:val="24"/>
          <w:szCs w:val="24"/>
          <w:lang w:eastAsia="pl-PL"/>
        </w:rPr>
        <w:t xml:space="preserve">poszczególnych sektorach </w:t>
      </w:r>
      <w:r w:rsidR="00601933" w:rsidRPr="00833C88">
        <w:rPr>
          <w:rFonts w:eastAsia="Times New Roman" w:cs="Times New Roman"/>
          <w:sz w:val="24"/>
          <w:szCs w:val="24"/>
          <w:lang w:eastAsia="pl-PL"/>
        </w:rPr>
        <w:t>i </w:t>
      </w:r>
      <w:r w:rsidR="007B2997" w:rsidRPr="00833C88">
        <w:rPr>
          <w:rFonts w:eastAsia="Times New Roman" w:cs="Times New Roman"/>
          <w:sz w:val="24"/>
          <w:szCs w:val="24"/>
          <w:lang w:eastAsia="pl-PL"/>
        </w:rPr>
        <w:t xml:space="preserve">podsektorach określonych </w:t>
      </w:r>
      <w:r w:rsidR="00601933" w:rsidRPr="00833C88">
        <w:rPr>
          <w:rFonts w:eastAsia="Times New Roman" w:cs="Times New Roman"/>
          <w:sz w:val="24"/>
          <w:szCs w:val="24"/>
          <w:lang w:eastAsia="pl-PL"/>
        </w:rPr>
        <w:t>w </w:t>
      </w:r>
      <w:r w:rsidR="007B2997" w:rsidRPr="00833C88">
        <w:rPr>
          <w:rFonts w:eastAsia="Times New Roman" w:cs="Times New Roman"/>
          <w:sz w:val="24"/>
          <w:szCs w:val="24"/>
          <w:lang w:eastAsia="pl-PL"/>
        </w:rPr>
        <w:t>załączniku nr 1</w:t>
      </w:r>
      <w:r w:rsidR="007769E5" w:rsidRPr="00833C88">
        <w:rPr>
          <w:rFonts w:eastAsia="Times New Roman" w:cs="Times New Roman"/>
          <w:sz w:val="24"/>
          <w:szCs w:val="24"/>
          <w:lang w:eastAsia="pl-PL"/>
        </w:rPr>
        <w:t xml:space="preserve"> i 2</w:t>
      </w:r>
      <w:r w:rsidR="007B2997" w:rsidRPr="00833C88">
        <w:rPr>
          <w:rFonts w:eastAsia="Times New Roman" w:cs="Times New Roman"/>
          <w:sz w:val="24"/>
          <w:szCs w:val="24"/>
          <w:lang w:eastAsia="pl-PL"/>
        </w:rPr>
        <w:t xml:space="preserve"> do ustawy</w:t>
      </w:r>
      <w:r w:rsidR="00FE462A" w:rsidRPr="00833C88">
        <w:rPr>
          <w:rFonts w:eastAsia="Times New Roman" w:cs="Times New Roman"/>
          <w:sz w:val="24"/>
          <w:szCs w:val="24"/>
          <w:lang w:eastAsia="pl-PL"/>
        </w:rPr>
        <w:t>.</w:t>
      </w:r>
    </w:p>
    <w:p w14:paraId="16A234EF" w14:textId="67F2B72E" w:rsidR="002A684C" w:rsidRPr="00833C88" w:rsidRDefault="00113335" w:rsidP="00533D2A">
      <w:pPr>
        <w:pStyle w:val="ZARTzmartartykuempunktem"/>
        <w:ind w:left="0" w:firstLine="0"/>
        <w:rPr>
          <w:rFonts w:ascii="Times New Roman" w:hAnsi="Times New Roman" w:cs="Times New Roman"/>
        </w:rPr>
      </w:pPr>
      <w:r>
        <w:rPr>
          <w:rFonts w:ascii="Times New Roman" w:eastAsia="Times New Roman" w:hAnsi="Times New Roman" w:cs="Times New Roman"/>
          <w:szCs w:val="24"/>
        </w:rPr>
        <w:t xml:space="preserve">2. </w:t>
      </w:r>
      <w:r w:rsidR="00946457" w:rsidRPr="00833C88">
        <w:rPr>
          <w:rFonts w:ascii="Times New Roman" w:eastAsia="Times New Roman" w:hAnsi="Times New Roman" w:cs="Times New Roman"/>
          <w:szCs w:val="24"/>
        </w:rPr>
        <w:t xml:space="preserve">Rozporządzenie Rady Ministrów wydane na podstawie </w:t>
      </w:r>
      <w:r w:rsidR="00946457" w:rsidRPr="00833C88">
        <w:rPr>
          <w:rFonts w:ascii="Times New Roman" w:hAnsi="Times New Roman" w:cs="Times New Roman"/>
        </w:rPr>
        <w:t>a</w:t>
      </w:r>
      <w:r w:rsidR="002A684C" w:rsidRPr="00833C88">
        <w:rPr>
          <w:rFonts w:ascii="Times New Roman" w:hAnsi="Times New Roman" w:cs="Times New Roman"/>
        </w:rPr>
        <w:t>rt. 36d</w:t>
      </w:r>
      <w:r w:rsidR="00711603" w:rsidRPr="00833C88">
        <w:rPr>
          <w:rFonts w:ascii="Times New Roman" w:hAnsi="Times New Roman" w:cs="Times New Roman"/>
        </w:rPr>
        <w:t xml:space="preserve">, które </w:t>
      </w:r>
      <w:r w:rsidR="00946457" w:rsidRPr="00833C88">
        <w:rPr>
          <w:rFonts w:ascii="Times New Roman" w:hAnsi="Times New Roman" w:cs="Times New Roman"/>
        </w:rPr>
        <w:t>określ</w:t>
      </w:r>
      <w:r w:rsidR="00711603" w:rsidRPr="00833C88">
        <w:rPr>
          <w:rFonts w:ascii="Times New Roman" w:hAnsi="Times New Roman" w:cs="Times New Roman"/>
        </w:rPr>
        <w:t>i</w:t>
      </w:r>
      <w:r w:rsidR="00946457" w:rsidRPr="00833C88">
        <w:rPr>
          <w:rFonts w:ascii="Times New Roman" w:hAnsi="Times New Roman" w:cs="Times New Roman"/>
        </w:rPr>
        <w:t>:</w:t>
      </w:r>
    </w:p>
    <w:p w14:paraId="67D564B4" w14:textId="5EF9F3D0" w:rsidR="002A684C" w:rsidRPr="00833C88" w:rsidRDefault="00711603" w:rsidP="00711603">
      <w:pPr>
        <w:pStyle w:val="ZPKTzmpktartykuempunktem"/>
        <w:ind w:left="567" w:hanging="283"/>
        <w:rPr>
          <w:rFonts w:ascii="Times New Roman" w:hAnsi="Times New Roman" w:cs="Times New Roman"/>
        </w:rPr>
      </w:pPr>
      <w:r w:rsidRPr="00833C88">
        <w:rPr>
          <w:rFonts w:ascii="Times New Roman" w:hAnsi="Times New Roman" w:cs="Times New Roman"/>
        </w:rPr>
        <w:t>1)</w:t>
      </w:r>
      <w:r w:rsidRPr="00833C88">
        <w:rPr>
          <w:rFonts w:ascii="Times New Roman" w:hAnsi="Times New Roman" w:cs="Times New Roman"/>
        </w:rPr>
        <w:tab/>
      </w:r>
      <w:r w:rsidR="002A684C" w:rsidRPr="00833C88">
        <w:rPr>
          <w:rFonts w:ascii="Times New Roman" w:hAnsi="Times New Roman" w:cs="Times New Roman"/>
        </w:rPr>
        <w:t>tryb przeprowadzania oceny bezpieczeństwa,</w:t>
      </w:r>
    </w:p>
    <w:p w14:paraId="008529DB" w14:textId="7C7D547B" w:rsidR="002A684C" w:rsidRPr="00833C88" w:rsidRDefault="002A684C" w:rsidP="00711603">
      <w:pPr>
        <w:pStyle w:val="ZPKTzmpktartykuempunktem"/>
        <w:ind w:left="567" w:hanging="283"/>
        <w:rPr>
          <w:rFonts w:ascii="Times New Roman" w:hAnsi="Times New Roman" w:cs="Times New Roman"/>
        </w:rPr>
      </w:pPr>
      <w:r w:rsidRPr="00833C88">
        <w:rPr>
          <w:rFonts w:ascii="Times New Roman" w:hAnsi="Times New Roman" w:cs="Times New Roman"/>
        </w:rPr>
        <w:t>2)</w:t>
      </w:r>
      <w:r w:rsidRPr="00833C88">
        <w:rPr>
          <w:rFonts w:ascii="Times New Roman" w:hAnsi="Times New Roman" w:cs="Times New Roman"/>
        </w:rPr>
        <w:tab/>
        <w:t>szczegółowe informacje przekazywane do zespołów CSIRT przy uzgadnianiu sposobu przeprowadzenia oceny bezpieczeństwa</w:t>
      </w:r>
      <w:r w:rsidR="009E288C">
        <w:rPr>
          <w:rFonts w:ascii="Times New Roman" w:hAnsi="Times New Roman" w:cs="Times New Roman"/>
        </w:rPr>
        <w:t>,</w:t>
      </w:r>
    </w:p>
    <w:p w14:paraId="0FA36F95" w14:textId="7B8D0A5B" w:rsidR="002A684C" w:rsidRPr="00833C88" w:rsidRDefault="002A684C" w:rsidP="00711603">
      <w:pPr>
        <w:pStyle w:val="ZPKTzmpktartykuempunktem"/>
        <w:ind w:left="567" w:hanging="283"/>
        <w:rPr>
          <w:rFonts w:ascii="Times New Roman" w:hAnsi="Times New Roman" w:cs="Times New Roman"/>
        </w:rPr>
      </w:pPr>
      <w:r w:rsidRPr="00833C88">
        <w:rPr>
          <w:rFonts w:ascii="Times New Roman" w:hAnsi="Times New Roman" w:cs="Times New Roman"/>
        </w:rPr>
        <w:t>3)</w:t>
      </w:r>
      <w:r w:rsidRPr="00833C88">
        <w:rPr>
          <w:rFonts w:ascii="Times New Roman" w:hAnsi="Times New Roman" w:cs="Times New Roman"/>
        </w:rPr>
        <w:tab/>
        <w:t>rodzaje przeprowadzanych testów bezpieczeństwa w ramach oceny bezpieczeństwa,</w:t>
      </w:r>
    </w:p>
    <w:p w14:paraId="0BFC6360" w14:textId="77777777" w:rsidR="002A684C" w:rsidRPr="00833C88" w:rsidRDefault="002A684C" w:rsidP="00711603">
      <w:pPr>
        <w:pStyle w:val="ZPKTzmpktartykuempunktem"/>
        <w:ind w:left="567" w:hanging="283"/>
        <w:rPr>
          <w:rFonts w:ascii="Times New Roman" w:hAnsi="Times New Roman" w:cs="Times New Roman"/>
        </w:rPr>
      </w:pPr>
      <w:r w:rsidRPr="00833C88">
        <w:rPr>
          <w:rFonts w:ascii="Times New Roman" w:hAnsi="Times New Roman" w:cs="Times New Roman"/>
        </w:rPr>
        <w:t>4)</w:t>
      </w:r>
      <w:r w:rsidRPr="00833C88">
        <w:rPr>
          <w:rFonts w:ascii="Times New Roman" w:hAnsi="Times New Roman" w:cs="Times New Roman"/>
        </w:rPr>
        <w:tab/>
        <w:t>sposób niszczenia materiałów zawierających informacje, o których mowa w art. 36b ust. 10,</w:t>
      </w:r>
    </w:p>
    <w:p w14:paraId="65D9993B" w14:textId="52FE65D6" w:rsidR="00711603" w:rsidRPr="00833C88" w:rsidRDefault="002A684C" w:rsidP="00711603">
      <w:pPr>
        <w:pStyle w:val="ZPKTzmpktartykuempunktem"/>
        <w:ind w:left="567" w:hanging="283"/>
        <w:rPr>
          <w:rFonts w:ascii="Times New Roman" w:hAnsi="Times New Roman" w:cs="Times New Roman"/>
        </w:rPr>
      </w:pPr>
      <w:r w:rsidRPr="00833C88">
        <w:rPr>
          <w:rFonts w:ascii="Times New Roman" w:hAnsi="Times New Roman" w:cs="Times New Roman"/>
        </w:rPr>
        <w:t>5)</w:t>
      </w:r>
      <w:r w:rsidRPr="00833C88">
        <w:rPr>
          <w:rFonts w:ascii="Times New Roman" w:hAnsi="Times New Roman" w:cs="Times New Roman"/>
        </w:rPr>
        <w:tab/>
        <w:t>tryb działania komisji, o której mowa w art. 36b ust. 11</w:t>
      </w:r>
      <w:r w:rsidR="00113335">
        <w:rPr>
          <w:rFonts w:ascii="Times New Roman" w:hAnsi="Times New Roman" w:cs="Times New Roman"/>
        </w:rPr>
        <w:t xml:space="preserve"> zdanie pierwsze</w:t>
      </w:r>
      <w:r w:rsidRPr="00833C88">
        <w:rPr>
          <w:rFonts w:ascii="Times New Roman" w:hAnsi="Times New Roman" w:cs="Times New Roman"/>
        </w:rPr>
        <w:t>,</w:t>
      </w:r>
    </w:p>
    <w:p w14:paraId="4047FF8F" w14:textId="2523F8BA" w:rsidR="00113335" w:rsidRPr="00113335" w:rsidRDefault="002A684C" w:rsidP="00113335">
      <w:pPr>
        <w:pStyle w:val="ZPKTzmpktartykuempunktem"/>
        <w:ind w:left="567" w:hanging="283"/>
        <w:rPr>
          <w:rFonts w:ascii="Times New Roman" w:hAnsi="Times New Roman" w:cs="Times New Roman"/>
          <w:szCs w:val="24"/>
        </w:rPr>
      </w:pPr>
      <w:r w:rsidRPr="00833C88">
        <w:rPr>
          <w:rFonts w:ascii="Times New Roman" w:hAnsi="Times New Roman" w:cs="Times New Roman"/>
          <w:szCs w:val="24"/>
        </w:rPr>
        <w:t>6)</w:t>
      </w:r>
      <w:r w:rsidRPr="00833C88">
        <w:rPr>
          <w:rFonts w:ascii="Times New Roman" w:hAnsi="Times New Roman" w:cs="Times New Roman"/>
          <w:szCs w:val="24"/>
        </w:rPr>
        <w:tab/>
        <w:t>wzór protokołu zniszczenia materiałów zawierających informacje, o których mowa w</w:t>
      </w:r>
      <w:r w:rsidR="00711603" w:rsidRPr="00833C88">
        <w:rPr>
          <w:rFonts w:ascii="Times New Roman" w:hAnsi="Times New Roman" w:cs="Times New Roman"/>
          <w:szCs w:val="24"/>
        </w:rPr>
        <w:t> </w:t>
      </w:r>
      <w:r w:rsidRPr="00833C88">
        <w:rPr>
          <w:rFonts w:ascii="Times New Roman" w:hAnsi="Times New Roman" w:cs="Times New Roman"/>
          <w:szCs w:val="24"/>
        </w:rPr>
        <w:t>art.</w:t>
      </w:r>
      <w:r w:rsidR="00946457" w:rsidRPr="00833C88">
        <w:rPr>
          <w:rFonts w:ascii="Times New Roman" w:hAnsi="Times New Roman" w:cs="Times New Roman"/>
          <w:szCs w:val="24"/>
        </w:rPr>
        <w:t xml:space="preserve"> 36b ust. 10.</w:t>
      </w:r>
    </w:p>
    <w:p w14:paraId="3C374F6B" w14:textId="69ABF735" w:rsidR="007144B5" w:rsidRPr="00833C88" w:rsidRDefault="00113335" w:rsidP="00AF183C">
      <w:pPr>
        <w:spacing w:line="360" w:lineRule="auto"/>
        <w:jc w:val="both"/>
        <w:rPr>
          <w:rFonts w:eastAsia="Times New Roman" w:cs="Times New Roman"/>
          <w:sz w:val="24"/>
          <w:szCs w:val="24"/>
          <w:lang w:eastAsia="pl-PL"/>
        </w:rPr>
      </w:pPr>
      <w:r>
        <w:rPr>
          <w:rFonts w:eastAsia="Times New Roman" w:cs="Times New Roman"/>
          <w:sz w:val="24"/>
          <w:szCs w:val="24"/>
          <w:lang w:eastAsia="pl-PL"/>
        </w:rPr>
        <w:t xml:space="preserve">3. </w:t>
      </w:r>
      <w:r w:rsidR="00C63D4E" w:rsidRPr="00833C88">
        <w:rPr>
          <w:rFonts w:eastAsia="Times New Roman" w:cs="Times New Roman"/>
          <w:sz w:val="24"/>
          <w:szCs w:val="24"/>
          <w:lang w:eastAsia="pl-PL"/>
        </w:rPr>
        <w:t xml:space="preserve">Rozporządzenie Rady Ministrów, </w:t>
      </w:r>
      <w:r w:rsidR="00E229C2" w:rsidRPr="00833C88">
        <w:rPr>
          <w:rFonts w:eastAsia="Times New Roman" w:cs="Times New Roman"/>
          <w:sz w:val="24"/>
          <w:szCs w:val="24"/>
          <w:lang w:eastAsia="pl-PL"/>
        </w:rPr>
        <w:t xml:space="preserve">określające szczegółowy zakres działania oraz tryb pracy Kolegium do spraw Cyberbezpieczeństwa – jest to konieczne, ze względu na zmianę przepisów </w:t>
      </w:r>
      <w:r w:rsidR="00DD2D79" w:rsidRPr="00833C88">
        <w:rPr>
          <w:rFonts w:eastAsia="Times New Roman" w:cs="Times New Roman"/>
          <w:sz w:val="24"/>
          <w:szCs w:val="24"/>
          <w:lang w:eastAsia="pl-PL"/>
        </w:rPr>
        <w:t>materialnych dotyczących samego Kolegium.</w:t>
      </w:r>
    </w:p>
    <w:p w14:paraId="340F018F" w14:textId="237CC863" w:rsidR="006F5A08" w:rsidRPr="00833C88" w:rsidRDefault="006F5A08" w:rsidP="00AF183C">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Pozostałe rozporządzenia mają charakter fakultatywny.</w:t>
      </w:r>
    </w:p>
    <w:p w14:paraId="468D8A15" w14:textId="353BFA64" w:rsidR="00F56B03" w:rsidRPr="00833C88" w:rsidRDefault="00F56B03">
      <w:pPr>
        <w:pStyle w:val="Nagwek1"/>
        <w:numPr>
          <w:ilvl w:val="0"/>
          <w:numId w:val="2"/>
        </w:numPr>
        <w:spacing w:before="0" w:after="120" w:line="360" w:lineRule="auto"/>
        <w:rPr>
          <w:rFonts w:cs="Times New Roman"/>
          <w:sz w:val="28"/>
          <w:szCs w:val="28"/>
        </w:rPr>
      </w:pPr>
      <w:r w:rsidRPr="00833C88">
        <w:rPr>
          <w:rFonts w:cs="Times New Roman"/>
          <w:sz w:val="28"/>
          <w:szCs w:val="28"/>
        </w:rPr>
        <w:t>Pozostałe informacje</w:t>
      </w:r>
    </w:p>
    <w:p w14:paraId="2B03F79D" w14:textId="6F1EFE46" w:rsidR="00F4611F" w:rsidRPr="00833C88" w:rsidRDefault="00F4611F" w:rsidP="0029004E">
      <w:pPr>
        <w:spacing w:line="360" w:lineRule="auto"/>
        <w:jc w:val="both"/>
        <w:rPr>
          <w:rFonts w:eastAsia="Times New Roman" w:cs="Times New Roman"/>
          <w:sz w:val="24"/>
          <w:szCs w:val="24"/>
          <w:lang w:eastAsia="pl-PL"/>
        </w:rPr>
      </w:pPr>
      <w:bookmarkStart w:id="3" w:name="_Hlk178855785"/>
      <w:r w:rsidRPr="00833C88">
        <w:rPr>
          <w:rFonts w:eastAsia="Times New Roman" w:cs="Times New Roman"/>
          <w:sz w:val="24"/>
          <w:szCs w:val="24"/>
          <w:lang w:eastAsia="pl-PL"/>
        </w:rPr>
        <w:t xml:space="preserve">Projektowana ustawa wejdzie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życie po</w:t>
      </w:r>
      <w:r w:rsidR="000519FF" w:rsidRPr="00833C88">
        <w:rPr>
          <w:rFonts w:eastAsia="Times New Roman" w:cs="Times New Roman"/>
          <w:sz w:val="24"/>
          <w:szCs w:val="24"/>
          <w:lang w:eastAsia="pl-PL"/>
        </w:rPr>
        <w:t xml:space="preserve"> upływie</w:t>
      </w:r>
      <w:r w:rsidR="001844EC" w:rsidRPr="00833C88">
        <w:rPr>
          <w:rFonts w:eastAsia="Times New Roman" w:cs="Times New Roman"/>
          <w:sz w:val="24"/>
          <w:szCs w:val="24"/>
          <w:lang w:eastAsia="pl-PL"/>
        </w:rPr>
        <w:t xml:space="preserve"> miesiąca</w:t>
      </w:r>
      <w:r w:rsidRPr="00833C88">
        <w:rPr>
          <w:rFonts w:eastAsia="Times New Roman" w:cs="Times New Roman"/>
          <w:sz w:val="24"/>
          <w:szCs w:val="24"/>
          <w:lang w:eastAsia="pl-PL"/>
        </w:rPr>
        <w:t xml:space="preserve"> od dnia jej ogłoszenia. Taki termin gwarantuje, że wszystkie podmioty, których dotyczą projektowane przepisy, będą miały czas na zapoznanie się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nimi.</w:t>
      </w:r>
      <w:r w:rsidR="004819E0" w:rsidRPr="00833C88">
        <w:rPr>
          <w:rFonts w:eastAsia="Times New Roman" w:cs="Times New Roman"/>
          <w:sz w:val="24"/>
          <w:szCs w:val="24"/>
          <w:lang w:eastAsia="pl-PL"/>
        </w:rPr>
        <w:t xml:space="preserve"> Termin ten jest też konieczny </w:t>
      </w:r>
      <w:r w:rsidR="00601933" w:rsidRPr="00833C88">
        <w:rPr>
          <w:rFonts w:eastAsia="Times New Roman" w:cs="Times New Roman"/>
          <w:sz w:val="24"/>
          <w:szCs w:val="24"/>
          <w:lang w:eastAsia="pl-PL"/>
        </w:rPr>
        <w:t>z </w:t>
      </w:r>
      <w:r w:rsidR="004819E0" w:rsidRPr="00833C88">
        <w:rPr>
          <w:rFonts w:eastAsia="Times New Roman" w:cs="Times New Roman"/>
          <w:sz w:val="24"/>
          <w:szCs w:val="24"/>
          <w:lang w:eastAsia="pl-PL"/>
        </w:rPr>
        <w:t xml:space="preserve">uwagi na </w:t>
      </w:r>
      <w:r w:rsidR="007F4121" w:rsidRPr="00833C88">
        <w:rPr>
          <w:rFonts w:eastAsia="Times New Roman" w:cs="Times New Roman"/>
          <w:sz w:val="24"/>
          <w:szCs w:val="24"/>
          <w:lang w:eastAsia="pl-PL"/>
        </w:rPr>
        <w:t xml:space="preserve">konieczność </w:t>
      </w:r>
      <w:r w:rsidR="00DD3B6E" w:rsidRPr="00833C88">
        <w:rPr>
          <w:rFonts w:eastAsia="Times New Roman" w:cs="Times New Roman"/>
          <w:sz w:val="24"/>
          <w:szCs w:val="24"/>
          <w:lang w:eastAsia="pl-PL"/>
        </w:rPr>
        <w:t xml:space="preserve">pilnego </w:t>
      </w:r>
      <w:r w:rsidR="007F4121" w:rsidRPr="00833C88">
        <w:rPr>
          <w:rFonts w:eastAsia="Times New Roman" w:cs="Times New Roman"/>
          <w:sz w:val="24"/>
          <w:szCs w:val="24"/>
          <w:lang w:eastAsia="pl-PL"/>
        </w:rPr>
        <w:t>wdrożenia dyrektywy NIS 2</w:t>
      </w:r>
      <w:r w:rsidR="00DD3B6E" w:rsidRPr="00833C88">
        <w:rPr>
          <w:rFonts w:eastAsia="Times New Roman" w:cs="Times New Roman"/>
          <w:sz w:val="24"/>
          <w:szCs w:val="24"/>
          <w:lang w:eastAsia="pl-PL"/>
        </w:rPr>
        <w:t xml:space="preserve">, ponieważ termin jej wdrożenia </w:t>
      </w:r>
      <w:r w:rsidR="0083560A">
        <w:rPr>
          <w:rFonts w:eastAsia="Times New Roman" w:cs="Times New Roman"/>
          <w:sz w:val="24"/>
          <w:szCs w:val="24"/>
          <w:lang w:eastAsia="pl-PL"/>
        </w:rPr>
        <w:t>–</w:t>
      </w:r>
      <w:r w:rsidR="00DD3B6E" w:rsidRPr="00833C88">
        <w:rPr>
          <w:rFonts w:eastAsia="Times New Roman" w:cs="Times New Roman"/>
          <w:sz w:val="24"/>
          <w:szCs w:val="24"/>
          <w:lang w:eastAsia="pl-PL"/>
        </w:rPr>
        <w:t xml:space="preserve"> wypadający</w:t>
      </w:r>
      <w:r w:rsidR="00BD6E01" w:rsidRPr="00833C88">
        <w:rPr>
          <w:rFonts w:eastAsia="Times New Roman" w:cs="Times New Roman"/>
          <w:sz w:val="24"/>
          <w:szCs w:val="24"/>
          <w:lang w:eastAsia="pl-PL"/>
        </w:rPr>
        <w:t xml:space="preserve"> </w:t>
      </w:r>
      <w:r w:rsidR="007F4121" w:rsidRPr="00833C88">
        <w:rPr>
          <w:rFonts w:eastAsia="Times New Roman" w:cs="Times New Roman"/>
          <w:sz w:val="24"/>
          <w:szCs w:val="24"/>
          <w:lang w:eastAsia="pl-PL"/>
        </w:rPr>
        <w:t>17 października 2024 r.</w:t>
      </w:r>
      <w:r w:rsidR="00DD3B6E" w:rsidRPr="00833C88">
        <w:rPr>
          <w:rFonts w:eastAsia="Times New Roman" w:cs="Times New Roman"/>
          <w:sz w:val="24"/>
          <w:szCs w:val="24"/>
          <w:lang w:eastAsia="pl-PL"/>
        </w:rPr>
        <w:t xml:space="preserve"> – został już przekroczony.</w:t>
      </w:r>
      <w:r w:rsidR="007F4121" w:rsidRPr="00833C88">
        <w:rPr>
          <w:rFonts w:eastAsia="Times New Roman" w:cs="Times New Roman"/>
          <w:sz w:val="24"/>
          <w:szCs w:val="24"/>
          <w:lang w:eastAsia="pl-PL"/>
        </w:rPr>
        <w:t xml:space="preserve"> </w:t>
      </w:r>
      <w:r w:rsidR="00B80987" w:rsidRPr="00833C88">
        <w:rPr>
          <w:rFonts w:eastAsia="Times New Roman" w:cs="Times New Roman"/>
          <w:sz w:val="24"/>
          <w:szCs w:val="24"/>
          <w:lang w:eastAsia="pl-PL"/>
        </w:rPr>
        <w:t>Zauważyć przy tym należy, że ustawa przewiduje 6</w:t>
      </w:r>
      <w:r w:rsidR="0076020B" w:rsidRPr="00833C88">
        <w:rPr>
          <w:rFonts w:eastAsia="Times New Roman" w:cs="Times New Roman"/>
          <w:sz w:val="24"/>
          <w:szCs w:val="24"/>
          <w:lang w:eastAsia="pl-PL"/>
        </w:rPr>
        <w:t>-</w:t>
      </w:r>
      <w:r w:rsidR="00B80987" w:rsidRPr="00833C88">
        <w:rPr>
          <w:rFonts w:eastAsia="Times New Roman" w:cs="Times New Roman"/>
          <w:sz w:val="24"/>
          <w:szCs w:val="24"/>
          <w:lang w:eastAsia="pl-PL"/>
        </w:rPr>
        <w:t xml:space="preserve">miesięczny okres dostosowawczy </w:t>
      </w:r>
      <w:r w:rsidR="00795FC9" w:rsidRPr="00833C88">
        <w:rPr>
          <w:rFonts w:eastAsia="Times New Roman" w:cs="Times New Roman"/>
          <w:sz w:val="24"/>
          <w:szCs w:val="24"/>
          <w:lang w:eastAsia="pl-PL"/>
        </w:rPr>
        <w:t xml:space="preserve">dla podmiotów kluczowych </w:t>
      </w:r>
      <w:r w:rsidR="00601933" w:rsidRPr="00833C88">
        <w:rPr>
          <w:rFonts w:eastAsia="Times New Roman" w:cs="Times New Roman"/>
          <w:sz w:val="24"/>
          <w:szCs w:val="24"/>
          <w:lang w:eastAsia="pl-PL"/>
        </w:rPr>
        <w:t>i </w:t>
      </w:r>
      <w:r w:rsidR="00795FC9" w:rsidRPr="00833C88">
        <w:rPr>
          <w:rFonts w:eastAsia="Times New Roman" w:cs="Times New Roman"/>
          <w:sz w:val="24"/>
          <w:szCs w:val="24"/>
          <w:lang w:eastAsia="pl-PL"/>
        </w:rPr>
        <w:t xml:space="preserve">podmiotów ważnych. Takie rozwiązanie zapewni wdrożenie dyrektywy </w:t>
      </w:r>
      <w:r w:rsidR="00601933" w:rsidRPr="00833C88">
        <w:rPr>
          <w:rFonts w:eastAsia="Times New Roman" w:cs="Times New Roman"/>
          <w:sz w:val="24"/>
          <w:szCs w:val="24"/>
          <w:lang w:eastAsia="pl-PL"/>
        </w:rPr>
        <w:t>w </w:t>
      </w:r>
      <w:r w:rsidR="00795FC9" w:rsidRPr="00833C88">
        <w:rPr>
          <w:rFonts w:eastAsia="Times New Roman" w:cs="Times New Roman"/>
          <w:sz w:val="24"/>
          <w:szCs w:val="24"/>
          <w:lang w:eastAsia="pl-PL"/>
        </w:rPr>
        <w:t>terminie</w:t>
      </w:r>
      <w:r w:rsidR="00C261B0" w:rsidRPr="00833C88">
        <w:rPr>
          <w:rFonts w:eastAsia="Times New Roman" w:cs="Times New Roman"/>
          <w:sz w:val="24"/>
          <w:szCs w:val="24"/>
          <w:lang w:eastAsia="pl-PL"/>
        </w:rPr>
        <w:t>,</w:t>
      </w:r>
      <w:r w:rsidR="00795FC9" w:rsidRPr="00833C88">
        <w:rPr>
          <w:rFonts w:eastAsia="Times New Roman" w:cs="Times New Roman"/>
          <w:sz w:val="24"/>
          <w:szCs w:val="24"/>
          <w:lang w:eastAsia="pl-PL"/>
        </w:rPr>
        <w:t xml:space="preserve"> </w:t>
      </w:r>
      <w:r w:rsidR="00601933" w:rsidRPr="00833C88">
        <w:rPr>
          <w:rFonts w:eastAsia="Times New Roman" w:cs="Times New Roman"/>
          <w:sz w:val="24"/>
          <w:szCs w:val="24"/>
          <w:lang w:eastAsia="pl-PL"/>
        </w:rPr>
        <w:t>a z </w:t>
      </w:r>
      <w:r w:rsidR="00795FC9" w:rsidRPr="00833C88">
        <w:rPr>
          <w:rFonts w:eastAsia="Times New Roman" w:cs="Times New Roman"/>
          <w:sz w:val="24"/>
          <w:szCs w:val="24"/>
          <w:lang w:eastAsia="pl-PL"/>
        </w:rPr>
        <w:t>drugiej strony pozwoli p</w:t>
      </w:r>
      <w:r w:rsidR="00441F3E" w:rsidRPr="00833C88">
        <w:rPr>
          <w:rFonts w:eastAsia="Times New Roman" w:cs="Times New Roman"/>
          <w:sz w:val="24"/>
          <w:szCs w:val="24"/>
          <w:lang w:eastAsia="pl-PL"/>
        </w:rPr>
        <w:t>odmiotom przygotować się do jej wdrożenia</w:t>
      </w:r>
      <w:bookmarkEnd w:id="3"/>
      <w:r w:rsidR="00441F3E" w:rsidRPr="00833C88">
        <w:rPr>
          <w:rFonts w:eastAsia="Times New Roman" w:cs="Times New Roman"/>
          <w:sz w:val="24"/>
          <w:szCs w:val="24"/>
          <w:lang w:eastAsia="pl-PL"/>
        </w:rPr>
        <w:t>.</w:t>
      </w:r>
    </w:p>
    <w:p w14:paraId="523F17C1" w14:textId="4957741B" w:rsidR="00F4611F" w:rsidRPr="00833C88" w:rsidRDefault="00F4611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lastRenderedPageBreak/>
        <w:t xml:space="preserve">Projekt ustawy nie zawiera przepisów technicznych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rozumieniu przepisów rozporządzenia Rady Ministrów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23 grudnia 2002 r.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sprawie sposobu funkcjonowania krajowego systemu notyfikacji norm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aktów prawnych (Dz. U. poz. 2039 oraz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2004 r. poz. 597) i w związku z tym nie podlega procedurze notyfikacji.</w:t>
      </w:r>
    </w:p>
    <w:p w14:paraId="597F1929" w14:textId="5DC625C9" w:rsidR="00F4611F" w:rsidRPr="00833C88" w:rsidRDefault="00F4611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Projekt ustawy jest zgodny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przepisami prawa Unii Europejskiej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służy ich stosowaniu.</w:t>
      </w:r>
    </w:p>
    <w:p w14:paraId="7BF50FC2" w14:textId="7C0E21C8" w:rsidR="00F4611F" w:rsidRPr="00833C88" w:rsidRDefault="00F4611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Projekt ustawy </w:t>
      </w:r>
      <w:r w:rsidR="001739BF" w:rsidRPr="00833C88">
        <w:rPr>
          <w:rFonts w:eastAsia="Times New Roman" w:cs="Times New Roman"/>
          <w:sz w:val="24"/>
          <w:szCs w:val="24"/>
          <w:lang w:eastAsia="pl-PL"/>
        </w:rPr>
        <w:t>zosta</w:t>
      </w:r>
      <w:r w:rsidR="00F41815" w:rsidRPr="00833C88">
        <w:rPr>
          <w:rFonts w:eastAsia="Times New Roman" w:cs="Times New Roman"/>
          <w:sz w:val="24"/>
          <w:szCs w:val="24"/>
          <w:lang w:eastAsia="pl-PL"/>
        </w:rPr>
        <w:t>ł</w:t>
      </w:r>
      <w:r w:rsidR="00B6724E" w:rsidRPr="00833C88">
        <w:rPr>
          <w:rFonts w:eastAsia="Times New Roman" w:cs="Times New Roman"/>
          <w:sz w:val="24"/>
          <w:szCs w:val="24"/>
          <w:lang w:eastAsia="pl-PL"/>
        </w:rPr>
        <w:t xml:space="preserve"> przesłany do Europejskiego Banku Centralnego, </w:t>
      </w:r>
      <w:r w:rsidR="00601933" w:rsidRPr="00833C88">
        <w:rPr>
          <w:rFonts w:eastAsia="Times New Roman" w:cs="Times New Roman"/>
          <w:sz w:val="24"/>
          <w:szCs w:val="24"/>
          <w:lang w:eastAsia="pl-PL"/>
        </w:rPr>
        <w:t>w </w:t>
      </w:r>
      <w:r w:rsidR="00B6724E" w:rsidRPr="00833C88">
        <w:rPr>
          <w:rFonts w:eastAsia="Times New Roman" w:cs="Times New Roman"/>
          <w:sz w:val="24"/>
          <w:szCs w:val="24"/>
          <w:lang w:eastAsia="pl-PL"/>
        </w:rPr>
        <w:t xml:space="preserve">celu uzyskania opinii, natomiast </w:t>
      </w:r>
      <w:r w:rsidRPr="00833C88">
        <w:rPr>
          <w:rFonts w:eastAsia="Times New Roman" w:cs="Times New Roman"/>
          <w:sz w:val="24"/>
          <w:szCs w:val="24"/>
          <w:lang w:eastAsia="pl-PL"/>
        </w:rPr>
        <w:t>nie podlega</w:t>
      </w:r>
      <w:r w:rsidR="00431631" w:rsidRPr="00833C88">
        <w:rPr>
          <w:rFonts w:eastAsia="Times New Roman" w:cs="Times New Roman"/>
          <w:sz w:val="24"/>
          <w:szCs w:val="24"/>
          <w:lang w:eastAsia="pl-PL"/>
        </w:rPr>
        <w:t>ł</w:t>
      </w:r>
      <w:r w:rsidRPr="00833C88">
        <w:rPr>
          <w:rFonts w:eastAsia="Times New Roman" w:cs="Times New Roman"/>
          <w:sz w:val="24"/>
          <w:szCs w:val="24"/>
          <w:lang w:eastAsia="pl-PL"/>
        </w:rPr>
        <w:t xml:space="preserve"> przedstawieniu </w:t>
      </w:r>
      <w:r w:rsidR="00B6724E" w:rsidRPr="00833C88">
        <w:rPr>
          <w:rFonts w:eastAsia="Times New Roman" w:cs="Times New Roman"/>
          <w:sz w:val="24"/>
          <w:szCs w:val="24"/>
          <w:lang w:eastAsia="pl-PL"/>
        </w:rPr>
        <w:t xml:space="preserve">innym </w:t>
      </w:r>
      <w:r w:rsidRPr="00833C88">
        <w:rPr>
          <w:rFonts w:eastAsia="Times New Roman" w:cs="Times New Roman"/>
          <w:sz w:val="24"/>
          <w:szCs w:val="24"/>
          <w:lang w:eastAsia="pl-PL"/>
        </w:rPr>
        <w:t xml:space="preserve">właściwym organom </w:t>
      </w:r>
      <w:r w:rsidR="00601933" w:rsidRPr="00833C88">
        <w:rPr>
          <w:rFonts w:eastAsia="Times New Roman" w:cs="Times New Roman"/>
          <w:sz w:val="24"/>
          <w:szCs w:val="24"/>
          <w:lang w:eastAsia="pl-PL"/>
        </w:rPr>
        <w:t>i </w:t>
      </w:r>
      <w:r w:rsidRPr="00833C88">
        <w:rPr>
          <w:rFonts w:eastAsia="Times New Roman" w:cs="Times New Roman"/>
          <w:sz w:val="24"/>
          <w:szCs w:val="24"/>
          <w:lang w:eastAsia="pl-PL"/>
        </w:rPr>
        <w:t xml:space="preserve">instytucjom Unii Europejskiej,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celu uzyskania opinii, dokonania powiadomienia, konsultacji albo uzgodnienia.</w:t>
      </w:r>
      <w:r w:rsidR="004A26D6" w:rsidRPr="00833C88">
        <w:rPr>
          <w:rFonts w:eastAsia="Times New Roman" w:cs="Times New Roman"/>
          <w:sz w:val="24"/>
          <w:szCs w:val="24"/>
          <w:lang w:eastAsia="pl-PL"/>
        </w:rPr>
        <w:t xml:space="preserve"> Opinia Europejskiego Banku Centralnego została sporządzona 20 stycznia 2025</w:t>
      </w:r>
      <w:r w:rsidR="00EB552C" w:rsidRPr="00833C88">
        <w:rPr>
          <w:rFonts w:eastAsia="Times New Roman" w:cs="Times New Roman"/>
          <w:sz w:val="24"/>
          <w:szCs w:val="24"/>
          <w:lang w:eastAsia="pl-PL"/>
        </w:rPr>
        <w:t> </w:t>
      </w:r>
      <w:r w:rsidR="004A26D6" w:rsidRPr="00833C88">
        <w:rPr>
          <w:rFonts w:eastAsia="Times New Roman" w:cs="Times New Roman"/>
          <w:sz w:val="24"/>
          <w:szCs w:val="24"/>
          <w:lang w:eastAsia="pl-PL"/>
        </w:rPr>
        <w:t xml:space="preserve">r. </w:t>
      </w:r>
      <w:r w:rsidR="00601933" w:rsidRPr="00833C88">
        <w:rPr>
          <w:rFonts w:eastAsia="Times New Roman" w:cs="Times New Roman"/>
          <w:sz w:val="24"/>
          <w:szCs w:val="24"/>
          <w:lang w:eastAsia="pl-PL"/>
        </w:rPr>
        <w:t>a </w:t>
      </w:r>
      <w:r w:rsidR="00937805" w:rsidRPr="00833C88">
        <w:rPr>
          <w:rFonts w:eastAsia="Times New Roman" w:cs="Times New Roman"/>
          <w:sz w:val="24"/>
          <w:szCs w:val="24"/>
          <w:lang w:eastAsia="pl-PL"/>
        </w:rPr>
        <w:t xml:space="preserve">następnie opublikowana </w:t>
      </w:r>
      <w:r w:rsidR="00601933" w:rsidRPr="00833C88">
        <w:rPr>
          <w:rFonts w:eastAsia="Times New Roman" w:cs="Times New Roman"/>
          <w:sz w:val="24"/>
          <w:szCs w:val="24"/>
          <w:lang w:eastAsia="pl-PL"/>
        </w:rPr>
        <w:t>w </w:t>
      </w:r>
      <w:r w:rsidR="0071587F" w:rsidRPr="00833C88">
        <w:rPr>
          <w:rFonts w:eastAsia="Times New Roman" w:cs="Times New Roman"/>
          <w:sz w:val="24"/>
          <w:szCs w:val="24"/>
          <w:lang w:eastAsia="pl-PL"/>
        </w:rPr>
        <w:t>portalu EUR-Lex</w:t>
      </w:r>
      <w:r w:rsidR="0071587F" w:rsidRPr="00833C88">
        <w:rPr>
          <w:rStyle w:val="Odwoanieprzypisudolnego"/>
          <w:rFonts w:eastAsia="Times New Roman" w:cs="Times New Roman"/>
          <w:sz w:val="24"/>
          <w:szCs w:val="24"/>
          <w:lang w:eastAsia="pl-PL"/>
        </w:rPr>
        <w:footnoteReference w:id="103"/>
      </w:r>
      <w:r w:rsidR="00B14961" w:rsidRPr="00833C88">
        <w:rPr>
          <w:rFonts w:eastAsia="Times New Roman" w:cs="Times New Roman"/>
          <w:sz w:val="24"/>
          <w:szCs w:val="24"/>
          <w:vertAlign w:val="superscript"/>
          <w:lang w:eastAsia="pl-PL"/>
        </w:rPr>
        <w:t>)</w:t>
      </w:r>
      <w:r w:rsidR="0071587F" w:rsidRPr="00833C88">
        <w:rPr>
          <w:rFonts w:eastAsia="Times New Roman" w:cs="Times New Roman"/>
          <w:sz w:val="24"/>
          <w:szCs w:val="24"/>
          <w:lang w:eastAsia="pl-PL"/>
        </w:rPr>
        <w:t>.</w:t>
      </w:r>
    </w:p>
    <w:p w14:paraId="62554C23" w14:textId="2600ED62" w:rsidR="00F56B03" w:rsidRPr="00833C88" w:rsidRDefault="00F4611F" w:rsidP="0029004E">
      <w:pPr>
        <w:spacing w:line="360" w:lineRule="auto"/>
        <w:jc w:val="both"/>
        <w:rPr>
          <w:rFonts w:eastAsia="Times New Roman" w:cs="Times New Roman"/>
          <w:sz w:val="24"/>
          <w:szCs w:val="24"/>
          <w:lang w:eastAsia="pl-PL"/>
        </w:rPr>
      </w:pPr>
      <w:r w:rsidRPr="00833C88">
        <w:rPr>
          <w:rFonts w:eastAsia="Times New Roman" w:cs="Times New Roman"/>
          <w:sz w:val="24"/>
          <w:szCs w:val="24"/>
          <w:lang w:eastAsia="pl-PL"/>
        </w:rPr>
        <w:t xml:space="preserve">Projekt ustawy stosownie do wymogów art. 5 ustawy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7 lipca 2005 r. </w:t>
      </w:r>
      <w:r w:rsidR="00601933" w:rsidRPr="00833C88">
        <w:rPr>
          <w:rFonts w:eastAsia="Times New Roman" w:cs="Times New Roman"/>
          <w:sz w:val="24"/>
          <w:szCs w:val="24"/>
          <w:lang w:eastAsia="pl-PL"/>
        </w:rPr>
        <w:t>o </w:t>
      </w:r>
      <w:r w:rsidRPr="00833C88">
        <w:rPr>
          <w:rFonts w:eastAsia="Times New Roman" w:cs="Times New Roman"/>
          <w:sz w:val="24"/>
          <w:szCs w:val="24"/>
          <w:lang w:eastAsia="pl-PL"/>
        </w:rPr>
        <w:t xml:space="preserve">działalności lobbingowej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 xml:space="preserve">procesie stanowienia prawa (Dz. U.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20</w:t>
      </w:r>
      <w:r w:rsidR="001E71CA" w:rsidRPr="00833C88">
        <w:rPr>
          <w:rFonts w:eastAsia="Times New Roman" w:cs="Times New Roman"/>
          <w:sz w:val="24"/>
          <w:szCs w:val="24"/>
          <w:lang w:eastAsia="pl-PL"/>
        </w:rPr>
        <w:t>25</w:t>
      </w:r>
      <w:r w:rsidRPr="00833C88">
        <w:rPr>
          <w:rFonts w:eastAsia="Times New Roman" w:cs="Times New Roman"/>
          <w:sz w:val="24"/>
          <w:szCs w:val="24"/>
          <w:lang w:eastAsia="pl-PL"/>
        </w:rPr>
        <w:t xml:space="preserve"> r. poz. </w:t>
      </w:r>
      <w:r w:rsidR="001E71CA" w:rsidRPr="00833C88">
        <w:rPr>
          <w:rFonts w:eastAsia="Times New Roman" w:cs="Times New Roman"/>
          <w:sz w:val="24"/>
          <w:szCs w:val="24"/>
          <w:lang w:eastAsia="pl-PL"/>
        </w:rPr>
        <w:t>677</w:t>
      </w:r>
      <w:r w:rsidRPr="00833C88">
        <w:rPr>
          <w:rFonts w:eastAsia="Times New Roman" w:cs="Times New Roman"/>
          <w:sz w:val="24"/>
          <w:szCs w:val="24"/>
          <w:lang w:eastAsia="pl-PL"/>
        </w:rPr>
        <w:t xml:space="preserve">) oraz zgodnie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 52 ust. 1 uchwały nr 190 Rady Ministrów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 xml:space="preserve">dnia 29 października 2013 r. – Regulamin pracy Rady Ministrów (M.P. </w:t>
      </w:r>
      <w:r w:rsidR="00601933" w:rsidRPr="00833C88">
        <w:rPr>
          <w:rFonts w:eastAsia="Times New Roman" w:cs="Times New Roman"/>
          <w:sz w:val="24"/>
          <w:szCs w:val="24"/>
          <w:lang w:eastAsia="pl-PL"/>
        </w:rPr>
        <w:t>z </w:t>
      </w:r>
      <w:r w:rsidRPr="00833C88">
        <w:rPr>
          <w:rFonts w:eastAsia="Times New Roman" w:cs="Times New Roman"/>
          <w:sz w:val="24"/>
          <w:szCs w:val="24"/>
          <w:lang w:eastAsia="pl-PL"/>
        </w:rPr>
        <w:t>202</w:t>
      </w:r>
      <w:r w:rsidR="00B6724E" w:rsidRPr="00833C88">
        <w:rPr>
          <w:rFonts w:eastAsia="Times New Roman" w:cs="Times New Roman"/>
          <w:sz w:val="24"/>
          <w:szCs w:val="24"/>
          <w:lang w:eastAsia="pl-PL"/>
        </w:rPr>
        <w:t>4</w:t>
      </w:r>
      <w:r w:rsidRPr="00833C88">
        <w:rPr>
          <w:rFonts w:eastAsia="Times New Roman" w:cs="Times New Roman"/>
          <w:sz w:val="24"/>
          <w:szCs w:val="24"/>
          <w:lang w:eastAsia="pl-PL"/>
        </w:rPr>
        <w:t xml:space="preserve"> r. poz. 8</w:t>
      </w:r>
      <w:r w:rsidR="00B6724E" w:rsidRPr="00833C88">
        <w:rPr>
          <w:rFonts w:eastAsia="Times New Roman" w:cs="Times New Roman"/>
          <w:sz w:val="24"/>
          <w:szCs w:val="24"/>
          <w:lang w:eastAsia="pl-PL"/>
        </w:rPr>
        <w:t>06</w:t>
      </w:r>
      <w:r w:rsidR="001E71CA" w:rsidRPr="00833C88">
        <w:rPr>
          <w:rFonts w:eastAsia="Times New Roman" w:cs="Times New Roman"/>
          <w:sz w:val="24"/>
          <w:szCs w:val="24"/>
          <w:lang w:eastAsia="pl-PL"/>
        </w:rPr>
        <w:t xml:space="preserve"> oraz z 2025 r. poz. 408</w:t>
      </w:r>
      <w:r w:rsidRPr="00833C88">
        <w:rPr>
          <w:rFonts w:eastAsia="Times New Roman" w:cs="Times New Roman"/>
          <w:sz w:val="24"/>
          <w:szCs w:val="24"/>
          <w:lang w:eastAsia="pl-PL"/>
        </w:rPr>
        <w:t xml:space="preserve">) został </w:t>
      </w:r>
      <w:r w:rsidR="00EB552C" w:rsidRPr="00833C88">
        <w:rPr>
          <w:rFonts w:eastAsia="Times New Roman" w:cs="Times New Roman"/>
          <w:sz w:val="24"/>
          <w:szCs w:val="24"/>
          <w:lang w:eastAsia="pl-PL"/>
        </w:rPr>
        <w:t xml:space="preserve">udostępniony </w:t>
      </w:r>
      <w:r w:rsidR="00601933" w:rsidRPr="00833C88">
        <w:rPr>
          <w:rFonts w:eastAsia="Times New Roman" w:cs="Times New Roman"/>
          <w:sz w:val="24"/>
          <w:szCs w:val="24"/>
          <w:lang w:eastAsia="pl-PL"/>
        </w:rPr>
        <w:t>w </w:t>
      </w:r>
      <w:r w:rsidR="00F34453" w:rsidRPr="00833C88">
        <w:rPr>
          <w:rFonts w:eastAsia="Times New Roman" w:cs="Times New Roman"/>
          <w:sz w:val="24"/>
          <w:szCs w:val="24"/>
          <w:lang w:eastAsia="pl-PL"/>
        </w:rPr>
        <w:t xml:space="preserve">BIP </w:t>
      </w:r>
      <w:r w:rsidRPr="00833C88">
        <w:rPr>
          <w:rFonts w:eastAsia="Times New Roman" w:cs="Times New Roman"/>
          <w:sz w:val="24"/>
          <w:szCs w:val="24"/>
          <w:lang w:eastAsia="pl-PL"/>
        </w:rPr>
        <w:t xml:space="preserve">na stronie podmiotowej Rządowego Centrum Legislacji, </w:t>
      </w:r>
      <w:r w:rsidR="00601933" w:rsidRPr="00833C88">
        <w:rPr>
          <w:rFonts w:eastAsia="Times New Roman" w:cs="Times New Roman"/>
          <w:sz w:val="24"/>
          <w:szCs w:val="24"/>
          <w:lang w:eastAsia="pl-PL"/>
        </w:rPr>
        <w:t>w </w:t>
      </w:r>
      <w:r w:rsidRPr="00833C88">
        <w:rPr>
          <w:rFonts w:eastAsia="Times New Roman" w:cs="Times New Roman"/>
          <w:sz w:val="24"/>
          <w:szCs w:val="24"/>
          <w:lang w:eastAsia="pl-PL"/>
        </w:rPr>
        <w:t>serwisie Rządowy Proces Legislacyjny</w:t>
      </w:r>
      <w:r w:rsidR="001739BF" w:rsidRPr="00833C88">
        <w:rPr>
          <w:rFonts w:eastAsia="Times New Roman" w:cs="Times New Roman"/>
          <w:sz w:val="24"/>
          <w:szCs w:val="24"/>
          <w:lang w:eastAsia="pl-PL"/>
        </w:rPr>
        <w:t>,</w:t>
      </w:r>
      <w:r w:rsidRPr="00833C88">
        <w:rPr>
          <w:rFonts w:eastAsia="Times New Roman" w:cs="Times New Roman"/>
          <w:sz w:val="24"/>
          <w:szCs w:val="24"/>
          <w:lang w:eastAsia="pl-PL"/>
        </w:rPr>
        <w:t xml:space="preserve"> oraz </w:t>
      </w:r>
      <w:r w:rsidR="00601933" w:rsidRPr="00833C88">
        <w:rPr>
          <w:rFonts w:eastAsia="Times New Roman" w:cs="Times New Roman"/>
          <w:sz w:val="24"/>
          <w:szCs w:val="24"/>
          <w:lang w:eastAsia="pl-PL"/>
        </w:rPr>
        <w:t>w </w:t>
      </w:r>
      <w:r w:rsidR="00F34453" w:rsidRPr="00833C88">
        <w:rPr>
          <w:rFonts w:eastAsia="Times New Roman" w:cs="Times New Roman"/>
          <w:sz w:val="24"/>
          <w:szCs w:val="24"/>
          <w:lang w:eastAsia="pl-PL"/>
        </w:rPr>
        <w:t>BIP</w:t>
      </w:r>
      <w:r w:rsidRPr="00833C88">
        <w:rPr>
          <w:rFonts w:eastAsia="Times New Roman" w:cs="Times New Roman"/>
          <w:sz w:val="24"/>
          <w:szCs w:val="24"/>
          <w:lang w:eastAsia="pl-PL"/>
        </w:rPr>
        <w:t xml:space="preserve"> na stronie podmiotowej Ministra Cyfryzacji</w:t>
      </w:r>
      <w:r w:rsidR="008766EF" w:rsidRPr="00833C88">
        <w:rPr>
          <w:rFonts w:eastAsia="Times New Roman" w:cs="Times New Roman"/>
          <w:bCs/>
          <w:sz w:val="24"/>
          <w:szCs w:val="24"/>
          <w:lang w:eastAsia="pl-PL"/>
        </w:rPr>
        <w:t>.</w:t>
      </w:r>
    </w:p>
    <w:sectPr w:rsidR="00F56B03" w:rsidRPr="00833C88" w:rsidSect="00137AA6">
      <w:footerReference w:type="default" r:id="rId3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2878" w14:textId="77777777" w:rsidR="00C45CCB" w:rsidRDefault="00C45CCB" w:rsidP="00F56B03">
      <w:pPr>
        <w:spacing w:after="0"/>
      </w:pPr>
      <w:r>
        <w:separator/>
      </w:r>
    </w:p>
  </w:endnote>
  <w:endnote w:type="continuationSeparator" w:id="0">
    <w:p w14:paraId="4A4D2957" w14:textId="77777777" w:rsidR="00C45CCB" w:rsidRDefault="00C45CCB" w:rsidP="00F56B03">
      <w:pPr>
        <w:spacing w:after="0"/>
      </w:pPr>
      <w:r>
        <w:continuationSeparator/>
      </w:r>
    </w:p>
  </w:endnote>
  <w:endnote w:type="continuationNotice" w:id="1">
    <w:p w14:paraId="2E1D6597" w14:textId="77777777" w:rsidR="00C45CCB" w:rsidRDefault="00C45C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38571"/>
      <w:docPartObj>
        <w:docPartGallery w:val="Page Numbers (Bottom of Page)"/>
        <w:docPartUnique/>
      </w:docPartObj>
    </w:sdtPr>
    <w:sdtEndPr/>
    <w:sdtContent>
      <w:p w14:paraId="0CEEC038" w14:textId="311EF2D3" w:rsidR="00F56B03" w:rsidRPr="009E288C" w:rsidRDefault="009E288C" w:rsidP="009E288C">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A02D" w14:textId="77777777" w:rsidR="00C45CCB" w:rsidRDefault="00C45CCB" w:rsidP="00F56B03">
      <w:pPr>
        <w:spacing w:after="0"/>
      </w:pPr>
      <w:r>
        <w:separator/>
      </w:r>
    </w:p>
  </w:footnote>
  <w:footnote w:type="continuationSeparator" w:id="0">
    <w:p w14:paraId="4997B2A5" w14:textId="77777777" w:rsidR="00C45CCB" w:rsidRDefault="00C45CCB" w:rsidP="00F56B03">
      <w:pPr>
        <w:spacing w:after="0"/>
      </w:pPr>
      <w:r>
        <w:continuationSeparator/>
      </w:r>
    </w:p>
  </w:footnote>
  <w:footnote w:type="continuationNotice" w:id="1">
    <w:p w14:paraId="23414FA3" w14:textId="77777777" w:rsidR="00C45CCB" w:rsidRDefault="00C45CCB">
      <w:pPr>
        <w:spacing w:after="0"/>
      </w:pPr>
    </w:p>
  </w:footnote>
  <w:footnote w:id="2">
    <w:p w14:paraId="59C613EC" w14:textId="002524D7" w:rsidR="00995E5C" w:rsidRPr="00F805CA" w:rsidRDefault="00995E5C" w:rsidP="00995E5C">
      <w:pPr>
        <w:pStyle w:val="Tekstprzypisudolnego"/>
        <w:spacing w:after="60" w:line="240" w:lineRule="auto"/>
        <w:rPr>
          <w:rFonts w:ascii="Times New Roman" w:hAnsi="Times New Roman" w:cs="Times New Roman"/>
          <w:sz w:val="20"/>
          <w:szCs w:val="20"/>
        </w:rPr>
      </w:pPr>
      <w:r w:rsidRPr="00F805CA">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w:t>
      </w:r>
      <w:r w:rsidRPr="00F805CA">
        <w:rPr>
          <w:rFonts w:ascii="Times New Roman" w:hAnsi="Times New Roman" w:cs="Times New Roman"/>
          <w:sz w:val="20"/>
          <w:szCs w:val="20"/>
        </w:rPr>
        <w:t xml:space="preserve"> </w:t>
      </w:r>
      <w:r w:rsidRPr="00F805CA">
        <w:rPr>
          <w:rFonts w:ascii="Times New Roman" w:hAnsi="Times New Roman" w:cs="Times New Roman"/>
        </w:rPr>
        <w:t>https://www.knf.gov.pl/dla_rynku/CSIRT_KNF</w:t>
      </w:r>
      <w:r w:rsidRPr="00F805CA">
        <w:rPr>
          <w:rStyle w:val="Hipercze"/>
          <w:rFonts w:ascii="Times New Roman" w:hAnsi="Times New Roman" w:cs="Times New Roman"/>
          <w:sz w:val="20"/>
          <w:szCs w:val="20"/>
        </w:rPr>
        <w:t>.</w:t>
      </w:r>
    </w:p>
  </w:footnote>
  <w:footnote w:id="3">
    <w:p w14:paraId="3B7A2A31" w14:textId="3EAA790F" w:rsidR="00A23305" w:rsidRPr="00EB18B4" w:rsidRDefault="00A23305">
      <w:pPr>
        <w:pStyle w:val="Tekstprzypisudolnego"/>
        <w:rPr>
          <w:rFonts w:ascii="Times New Roman" w:hAnsi="Times New Roman" w:cs="Times New Roman"/>
          <w:sz w:val="20"/>
          <w:szCs w:val="20"/>
          <w:vertAlign w:val="superscript"/>
        </w:rPr>
      </w:pPr>
      <w:r w:rsidRPr="00F805CA">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 xml:space="preserve">) </w:t>
      </w:r>
      <w:r w:rsidR="005A35B0" w:rsidRPr="00F805CA">
        <w:rPr>
          <w:rFonts w:ascii="Times New Roman" w:hAnsi="Times New Roman" w:cs="Times New Roman"/>
        </w:rPr>
        <w:t>https://cez.gov.pl/pl/page/o-nas-0</w:t>
      </w:r>
      <w:r w:rsidRPr="00F805CA">
        <w:rPr>
          <w:rFonts w:ascii="Times New Roman" w:hAnsi="Times New Roman" w:cs="Times New Roman"/>
          <w:sz w:val="20"/>
          <w:szCs w:val="20"/>
        </w:rPr>
        <w:t>.</w:t>
      </w:r>
    </w:p>
  </w:footnote>
  <w:footnote w:id="4">
    <w:p w14:paraId="1502147C" w14:textId="7B119CC2" w:rsidR="007F1D08" w:rsidRPr="00F805CA" w:rsidRDefault="007F1D08" w:rsidP="00701B81">
      <w:pPr>
        <w:pStyle w:val="Tekstprzypisudolnego"/>
        <w:spacing w:after="60" w:line="240" w:lineRule="auto"/>
        <w:jc w:val="both"/>
        <w:rPr>
          <w:rFonts w:ascii="Times New Roman" w:hAnsi="Times New Roman" w:cs="Times New Roman"/>
          <w:sz w:val="20"/>
          <w:szCs w:val="20"/>
          <w:lang w:val="en-GB"/>
        </w:rPr>
      </w:pPr>
      <w:r w:rsidRPr="00F805CA">
        <w:rPr>
          <w:rStyle w:val="Odwoanieprzypisudolnego"/>
          <w:rFonts w:ascii="Times New Roman" w:eastAsiaTheme="minorEastAsia" w:hAnsi="Times New Roman" w:cs="Times New Roman"/>
          <w:sz w:val="20"/>
          <w:szCs w:val="20"/>
        </w:rPr>
        <w:footnoteRef/>
      </w:r>
      <w:r w:rsidRPr="00F805CA">
        <w:rPr>
          <w:rFonts w:ascii="Times New Roman" w:hAnsi="Times New Roman" w:cs="Times New Roman"/>
          <w:sz w:val="20"/>
          <w:szCs w:val="20"/>
          <w:vertAlign w:val="superscript"/>
          <w:lang w:val="en-GB"/>
        </w:rPr>
        <w:t>)</w:t>
      </w:r>
      <w:r w:rsidRPr="00F805CA">
        <w:rPr>
          <w:rFonts w:ascii="Times New Roman" w:hAnsi="Times New Roman" w:cs="Times New Roman"/>
          <w:sz w:val="20"/>
          <w:szCs w:val="20"/>
          <w:lang w:val="en-GB"/>
        </w:rPr>
        <w:t xml:space="preserve"> </w:t>
      </w:r>
      <w:r w:rsidRPr="00F805CA">
        <w:rPr>
          <w:rFonts w:ascii="Times New Roman" w:hAnsi="Times New Roman" w:cs="Times New Roman"/>
          <w:i/>
          <w:sz w:val="20"/>
          <w:szCs w:val="20"/>
          <w:lang w:val="en-GB"/>
        </w:rPr>
        <w:t>Cybersecurity of 5G networks. EU Toolbox of risk mitigating measures,</w:t>
      </w:r>
      <w:r w:rsidRPr="00F805CA">
        <w:rPr>
          <w:rFonts w:ascii="Times New Roman" w:hAnsi="Times New Roman" w:cs="Times New Roman"/>
          <w:sz w:val="20"/>
          <w:szCs w:val="20"/>
          <w:lang w:val="en-GB"/>
        </w:rPr>
        <w:t xml:space="preserve"> </w:t>
      </w:r>
      <w:r w:rsidR="00F31822" w:rsidRPr="006E7278">
        <w:rPr>
          <w:rFonts w:ascii="Times New Roman" w:hAnsi="Times New Roman" w:cs="Times New Roman"/>
        </w:rPr>
        <w:t>https://digital-strategy.ec.europa.eu/en/library/cybersecurity-5g-networks-eu-toolbox-risk-mitigating-measures</w:t>
      </w:r>
      <w:r w:rsidRPr="00F805CA">
        <w:rPr>
          <w:rFonts w:ascii="Times New Roman" w:hAnsi="Times New Roman" w:cs="Times New Roman"/>
          <w:sz w:val="20"/>
          <w:szCs w:val="20"/>
          <w:lang w:val="en-GB"/>
        </w:rPr>
        <w:t>.</w:t>
      </w:r>
    </w:p>
  </w:footnote>
  <w:footnote w:id="5">
    <w:p w14:paraId="26A8947F" w14:textId="1D0DC73E" w:rsidR="00FA49B8" w:rsidRPr="002031F2" w:rsidRDefault="00FA49B8" w:rsidP="00D66E8D">
      <w:pPr>
        <w:pStyle w:val="Tekstprzypisudolnego"/>
        <w:spacing w:line="240" w:lineRule="auto"/>
        <w:jc w:val="both"/>
        <w:rPr>
          <w:rFonts w:ascii="Times New Roman" w:hAnsi="Times New Roman" w:cs="Times New Roman"/>
          <w:sz w:val="20"/>
          <w:szCs w:val="20"/>
        </w:rPr>
      </w:pPr>
      <w:r w:rsidRPr="002031F2">
        <w:rPr>
          <w:rStyle w:val="Odwoanieprzypisudolnego"/>
          <w:rFonts w:ascii="Times New Roman" w:hAnsi="Times New Roman" w:cs="Times New Roman"/>
          <w:sz w:val="20"/>
          <w:szCs w:val="20"/>
        </w:rPr>
        <w:footnoteRef/>
      </w:r>
      <w:r w:rsidRPr="002031F2">
        <w:rPr>
          <w:rFonts w:ascii="Times New Roman" w:hAnsi="Times New Roman" w:cs="Times New Roman"/>
          <w:sz w:val="20"/>
          <w:szCs w:val="20"/>
          <w:vertAlign w:val="superscript"/>
        </w:rPr>
        <w:t>)</w:t>
      </w:r>
      <w:r w:rsidR="00D079B3" w:rsidRPr="002031F2">
        <w:rPr>
          <w:rFonts w:ascii="Times New Roman" w:hAnsi="Times New Roman" w:cs="Times New Roman"/>
          <w:sz w:val="20"/>
          <w:szCs w:val="20"/>
        </w:rPr>
        <w:t xml:space="preserve"> Projekt ustawy o zmianie niektórych ustaw w związku z zapewnieniem operacyjnej odporności cyfrowej sektora finansowego (UC11</w:t>
      </w:r>
      <w:proofErr w:type="gramStart"/>
      <w:r w:rsidR="00D079B3" w:rsidRPr="002031F2">
        <w:rPr>
          <w:rFonts w:ascii="Times New Roman" w:hAnsi="Times New Roman" w:cs="Times New Roman"/>
          <w:sz w:val="20"/>
          <w:szCs w:val="20"/>
        </w:rPr>
        <w:t xml:space="preserve">) </w:t>
      </w:r>
      <w:r w:rsidR="00A81EEC" w:rsidRPr="00A81EEC">
        <w:t xml:space="preserve"> </w:t>
      </w:r>
      <w:r w:rsidR="00A81EEC" w:rsidRPr="00A81EEC">
        <w:rPr>
          <w:rFonts w:ascii="Times New Roman" w:hAnsi="Times New Roman" w:cs="Times New Roman"/>
          <w:color w:val="0000FF"/>
          <w:sz w:val="20"/>
          <w:szCs w:val="20"/>
          <w:u w:val="single"/>
        </w:rPr>
        <w:t>https://legislacja.rcl.gov.pl/projekt/12384252</w:t>
      </w:r>
      <w:proofErr w:type="gramEnd"/>
      <w:r w:rsidR="00D079B3" w:rsidRPr="002031F2">
        <w:rPr>
          <w:rFonts w:ascii="Times New Roman" w:hAnsi="Times New Roman" w:cs="Times New Roman"/>
          <w:color w:val="0000FF"/>
          <w:sz w:val="20"/>
          <w:szCs w:val="20"/>
          <w:u w:val="single"/>
        </w:rPr>
        <w:t>.</w:t>
      </w:r>
    </w:p>
  </w:footnote>
  <w:footnote w:id="6">
    <w:p w14:paraId="045E9355" w14:textId="6D992981" w:rsidR="00D079B3" w:rsidRPr="00EB18B4" w:rsidRDefault="00D079B3" w:rsidP="00D66E8D">
      <w:pPr>
        <w:pStyle w:val="Tekstprzypisudolnego"/>
        <w:spacing w:line="240" w:lineRule="auto"/>
        <w:jc w:val="both"/>
        <w:rPr>
          <w:rFonts w:ascii="Times New Roman" w:hAnsi="Times New Roman" w:cs="Times New Roman"/>
          <w:sz w:val="20"/>
          <w:szCs w:val="20"/>
        </w:rPr>
      </w:pPr>
      <w:r w:rsidRPr="002031F2">
        <w:rPr>
          <w:rStyle w:val="Odwoanieprzypisudolnego"/>
          <w:rFonts w:ascii="Times New Roman" w:hAnsi="Times New Roman" w:cs="Times New Roman"/>
          <w:sz w:val="20"/>
          <w:szCs w:val="20"/>
        </w:rPr>
        <w:footnoteRef/>
      </w:r>
      <w:r w:rsidRPr="002031F2">
        <w:rPr>
          <w:rFonts w:ascii="Times New Roman" w:hAnsi="Times New Roman" w:cs="Times New Roman"/>
          <w:sz w:val="20"/>
          <w:szCs w:val="20"/>
          <w:vertAlign w:val="superscript"/>
        </w:rPr>
        <w:t xml:space="preserve">) </w:t>
      </w:r>
      <w:r w:rsidRPr="002031F2">
        <w:rPr>
          <w:rFonts w:ascii="Times New Roman" w:hAnsi="Times New Roman" w:cs="Times New Roman"/>
          <w:sz w:val="20"/>
          <w:szCs w:val="20"/>
        </w:rPr>
        <w:t xml:space="preserve">Projekt ustawy o zmianie ustawy o zarządzaniu kryzysowym oraz niektórych innych ustaw </w:t>
      </w:r>
      <w:r w:rsidRPr="002031F2">
        <w:rPr>
          <w:rFonts w:ascii="Times New Roman" w:hAnsi="Times New Roman" w:cs="Times New Roman"/>
          <w:color w:val="0000FF"/>
          <w:sz w:val="20"/>
          <w:szCs w:val="20"/>
          <w:u w:val="single"/>
        </w:rPr>
        <w:t>https://legislacja.rcl.gov.pl/projekt/12386961</w:t>
      </w:r>
      <w:r w:rsidRPr="002031F2">
        <w:rPr>
          <w:rFonts w:ascii="Times New Roman" w:hAnsi="Times New Roman" w:cs="Times New Roman"/>
          <w:sz w:val="20"/>
          <w:szCs w:val="20"/>
        </w:rPr>
        <w:t>.</w:t>
      </w:r>
    </w:p>
  </w:footnote>
  <w:footnote w:id="7">
    <w:p w14:paraId="05136A18" w14:textId="228015BF" w:rsidR="00BE1974" w:rsidRPr="00F805CA" w:rsidRDefault="00BE1974" w:rsidP="003B4986">
      <w:pPr>
        <w:pStyle w:val="Tekstprzypisudolnego"/>
        <w:spacing w:line="240" w:lineRule="auto"/>
        <w:jc w:val="both"/>
        <w:rPr>
          <w:rFonts w:ascii="Times New Roman" w:hAnsi="Times New Roman" w:cs="Times New Roman"/>
          <w:sz w:val="20"/>
          <w:szCs w:val="20"/>
        </w:rPr>
      </w:pPr>
      <w:r w:rsidRPr="003B4986">
        <w:rPr>
          <w:rStyle w:val="Odwoanieprzypisudolnego"/>
          <w:rFonts w:ascii="Times New Roman" w:hAnsi="Times New Roman" w:cs="Times New Roman"/>
          <w:sz w:val="20"/>
          <w:szCs w:val="20"/>
        </w:rPr>
        <w:footnoteRef/>
      </w:r>
      <w:r w:rsidR="00D6656F" w:rsidRPr="003B4986">
        <w:rPr>
          <w:rFonts w:ascii="Times New Roman" w:hAnsi="Times New Roman" w:cs="Times New Roman"/>
          <w:sz w:val="20"/>
          <w:szCs w:val="20"/>
          <w:vertAlign w:val="superscript"/>
        </w:rPr>
        <w:t>)</w:t>
      </w:r>
      <w:r w:rsidRPr="003B4986">
        <w:rPr>
          <w:rFonts w:ascii="Times New Roman" w:hAnsi="Times New Roman" w:cs="Times New Roman"/>
          <w:sz w:val="20"/>
          <w:szCs w:val="20"/>
        </w:rPr>
        <w:t xml:space="preserve"> </w:t>
      </w:r>
      <w:r w:rsidR="006D4299" w:rsidRPr="00F805CA">
        <w:rPr>
          <w:rFonts w:ascii="Times New Roman" w:hAnsi="Times New Roman" w:cs="Times New Roman"/>
          <w:sz w:val="20"/>
          <w:szCs w:val="20"/>
        </w:rPr>
        <w:t xml:space="preserve">Tych 13 serwerów i ich operatorzy są dostępni na stronie </w:t>
      </w:r>
      <w:proofErr w:type="gramStart"/>
      <w:r w:rsidR="006D4299" w:rsidRPr="00F805CA">
        <w:rPr>
          <w:rFonts w:ascii="Times New Roman" w:hAnsi="Times New Roman" w:cs="Times New Roman"/>
        </w:rPr>
        <w:t>https://www.iana.org/domains/root/servers</w:t>
      </w:r>
      <w:r w:rsidR="006D4299" w:rsidRPr="00F805CA">
        <w:rPr>
          <w:rFonts w:ascii="Times New Roman" w:hAnsi="Times New Roman" w:cs="Times New Roman"/>
          <w:sz w:val="20"/>
          <w:szCs w:val="20"/>
        </w:rPr>
        <w:t xml:space="preserve"> .</w:t>
      </w:r>
      <w:proofErr w:type="gramEnd"/>
      <w:r w:rsidR="00065489" w:rsidRPr="00F805CA">
        <w:rPr>
          <w:rFonts w:ascii="Times New Roman" w:hAnsi="Times New Roman" w:cs="Times New Roman"/>
          <w:sz w:val="20"/>
          <w:szCs w:val="20"/>
        </w:rPr>
        <w:t xml:space="preserve"> Głównie są to podmioty </w:t>
      </w:r>
      <w:proofErr w:type="gramStart"/>
      <w:r w:rsidR="00065489" w:rsidRPr="00F805CA">
        <w:rPr>
          <w:rFonts w:ascii="Times New Roman" w:hAnsi="Times New Roman" w:cs="Times New Roman"/>
          <w:sz w:val="20"/>
          <w:szCs w:val="20"/>
        </w:rPr>
        <w:t>amerykańskie</w:t>
      </w:r>
      <w:proofErr w:type="gramEnd"/>
      <w:r w:rsidR="00065489" w:rsidRPr="00F805CA">
        <w:rPr>
          <w:rFonts w:ascii="Times New Roman" w:hAnsi="Times New Roman" w:cs="Times New Roman"/>
          <w:sz w:val="20"/>
          <w:szCs w:val="20"/>
        </w:rPr>
        <w:t xml:space="preserve"> ale też i </w:t>
      </w:r>
      <w:r w:rsidR="00CE732C" w:rsidRPr="00F805CA">
        <w:rPr>
          <w:rFonts w:ascii="Times New Roman" w:hAnsi="Times New Roman" w:cs="Times New Roman"/>
          <w:sz w:val="20"/>
          <w:szCs w:val="20"/>
        </w:rPr>
        <w:t>RIPE NCC z siedzibą w Amsterdamie.</w:t>
      </w:r>
    </w:p>
  </w:footnote>
  <w:footnote w:id="8">
    <w:p w14:paraId="2B4E64AD" w14:textId="0484778E" w:rsidR="007D5B11" w:rsidRPr="00F805CA" w:rsidRDefault="00F94AFF" w:rsidP="003B4986">
      <w:pPr>
        <w:pStyle w:val="Tekstprzypisudolnego"/>
        <w:spacing w:line="240" w:lineRule="auto"/>
        <w:jc w:val="both"/>
        <w:rPr>
          <w:rFonts w:ascii="Times New Roman" w:hAnsi="Times New Roman" w:cs="Times New Roman"/>
          <w:sz w:val="20"/>
          <w:szCs w:val="20"/>
          <w:lang w:val="en-GB"/>
        </w:rPr>
      </w:pPr>
      <w:r w:rsidRPr="00F805CA">
        <w:rPr>
          <w:rStyle w:val="Odwoanieprzypisudolnego"/>
          <w:rFonts w:ascii="Times New Roman" w:hAnsi="Times New Roman" w:cs="Times New Roman"/>
          <w:sz w:val="20"/>
          <w:szCs w:val="20"/>
        </w:rPr>
        <w:footnoteRef/>
      </w:r>
      <w:r w:rsidR="00D6656F" w:rsidRPr="00F805CA">
        <w:rPr>
          <w:rFonts w:ascii="Times New Roman" w:hAnsi="Times New Roman" w:cs="Times New Roman"/>
          <w:sz w:val="20"/>
          <w:szCs w:val="20"/>
          <w:vertAlign w:val="superscript"/>
          <w:lang w:val="en-GB"/>
        </w:rPr>
        <w:t>)</w:t>
      </w:r>
      <w:r w:rsidRPr="00F805CA">
        <w:rPr>
          <w:rFonts w:ascii="Times New Roman" w:hAnsi="Times New Roman" w:cs="Times New Roman"/>
          <w:sz w:val="20"/>
          <w:szCs w:val="20"/>
          <w:lang w:val="en-GB"/>
        </w:rPr>
        <w:t xml:space="preserve"> Szerzej i dokładniej opisuje to </w:t>
      </w:r>
      <w:r w:rsidR="007328ED" w:rsidRPr="00F805CA">
        <w:rPr>
          <w:rFonts w:ascii="Times New Roman" w:hAnsi="Times New Roman" w:cs="Times New Roman"/>
          <w:i/>
          <w:iCs/>
          <w:sz w:val="20"/>
          <w:szCs w:val="20"/>
          <w:lang w:val="en-GB"/>
        </w:rPr>
        <w:t>Domain names - concepts and facilities, Request for Comments, RFC 1034</w:t>
      </w:r>
      <w:r w:rsidR="007328ED" w:rsidRPr="00F805CA">
        <w:rPr>
          <w:rFonts w:ascii="Times New Roman" w:hAnsi="Times New Roman" w:cs="Times New Roman"/>
          <w:sz w:val="20"/>
          <w:szCs w:val="20"/>
          <w:lang w:val="en-GB"/>
        </w:rPr>
        <w:t xml:space="preserve">, Internet Engineering Task Force, 1987, </w:t>
      </w:r>
      <w:r w:rsidR="007328ED" w:rsidRPr="006E7278">
        <w:rPr>
          <w:rFonts w:ascii="Times New Roman" w:hAnsi="Times New Roman" w:cs="Times New Roman"/>
        </w:rPr>
        <w:t>https://datatracker.ietf.org/doc/html/rfc1034</w:t>
      </w:r>
      <w:r w:rsidR="007328ED" w:rsidRPr="00F805CA">
        <w:rPr>
          <w:rFonts w:ascii="Times New Roman" w:hAnsi="Times New Roman" w:cs="Times New Roman"/>
          <w:sz w:val="20"/>
          <w:szCs w:val="20"/>
          <w:lang w:val="en-GB"/>
        </w:rPr>
        <w:t xml:space="preserve">, w pkt </w:t>
      </w:r>
      <w:r w:rsidR="007D5B11" w:rsidRPr="00F805CA">
        <w:rPr>
          <w:rFonts w:ascii="Times New Roman" w:hAnsi="Times New Roman" w:cs="Times New Roman"/>
          <w:sz w:val="20"/>
          <w:szCs w:val="20"/>
          <w:lang w:val="en-GB"/>
        </w:rPr>
        <w:t>2.4: The DNS has three major components:</w:t>
      </w:r>
    </w:p>
    <w:p w14:paraId="4C294BA7" w14:textId="1AFB2877" w:rsidR="007D5B11" w:rsidRPr="00F805CA" w:rsidRDefault="007D5B11" w:rsidP="003B4986">
      <w:pPr>
        <w:pStyle w:val="Tekstprzypisudolnego"/>
        <w:spacing w:line="240" w:lineRule="auto"/>
        <w:jc w:val="both"/>
        <w:rPr>
          <w:rFonts w:ascii="Times New Roman" w:hAnsi="Times New Roman" w:cs="Times New Roman"/>
          <w:sz w:val="20"/>
          <w:szCs w:val="20"/>
          <w:lang w:val="en-GB"/>
        </w:rPr>
      </w:pPr>
      <w:r w:rsidRPr="00F805CA">
        <w:rPr>
          <w:rFonts w:ascii="Times New Roman" w:hAnsi="Times New Roman" w:cs="Times New Roman"/>
          <w:sz w:val="20"/>
          <w:szCs w:val="20"/>
          <w:lang w:val="en-GB"/>
        </w:rPr>
        <w:t xml:space="preserve"> - The DOMAIN NAME SPACE and RESOURCE RECORDS, which are specifications for a tree structured name space and data</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associated with the names. Conceptually, each node and leaf of the domain name space tree names a set of information, and</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query operations are attempts to extract specific types of information from a particular set. A query names the domain name of interest and describes the type of resource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information that is desired. For example, the Internet uses some of its domain names to identify hosts; queries for address resources return Internet host addresses.</w:t>
      </w:r>
    </w:p>
    <w:p w14:paraId="1CC96204" w14:textId="1B9220FE" w:rsidR="007D5B11" w:rsidRPr="00F805CA" w:rsidRDefault="007D5B11" w:rsidP="003B4986">
      <w:pPr>
        <w:pStyle w:val="Tekstprzypisudolnego"/>
        <w:spacing w:line="240" w:lineRule="auto"/>
        <w:jc w:val="both"/>
        <w:rPr>
          <w:rFonts w:ascii="Times New Roman" w:hAnsi="Times New Roman" w:cs="Times New Roman"/>
          <w:sz w:val="20"/>
          <w:szCs w:val="20"/>
          <w:lang w:val="en-GB"/>
        </w:rPr>
      </w:pPr>
      <w:r w:rsidRPr="00F805CA">
        <w:rPr>
          <w:rFonts w:ascii="Times New Roman" w:hAnsi="Times New Roman" w:cs="Times New Roman"/>
          <w:sz w:val="20"/>
          <w:szCs w:val="20"/>
          <w:lang w:val="en-GB"/>
        </w:rPr>
        <w:t xml:space="preserve"> - NAME SERVERS are server programs which hold information about the domain tree's structure and set information. A name server may cache structure or set information about any part of the domain tree, but in general a particular name server has complete information about a subset of the domain space, and pointers to other name servers that can be used to lead to</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information from any part of the domain tree. Name servers</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know the parts of the domain tree for which they have complete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information; a name server is said to be an AUTHORITY for</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these parts of the name space. Authoritative information is</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organized into units called ZONEs, and these zones can be automatically distributed to the name servers which provide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redundant service for the data in a zone.</w:t>
      </w:r>
    </w:p>
    <w:p w14:paraId="3DB8624B" w14:textId="03F16BFF" w:rsidR="007D5B11" w:rsidRPr="003B4986" w:rsidRDefault="007D5B11" w:rsidP="003B4986">
      <w:pPr>
        <w:pStyle w:val="Tekstprzypisudolnego"/>
        <w:spacing w:line="240" w:lineRule="auto"/>
        <w:jc w:val="both"/>
        <w:rPr>
          <w:rFonts w:ascii="Times New Roman" w:hAnsi="Times New Roman" w:cs="Times New Roman"/>
          <w:sz w:val="20"/>
          <w:szCs w:val="20"/>
          <w:lang w:val="en-GB"/>
        </w:rPr>
      </w:pPr>
      <w:r w:rsidRPr="00F805CA">
        <w:rPr>
          <w:rFonts w:ascii="Times New Roman" w:hAnsi="Times New Roman" w:cs="Times New Roman"/>
          <w:sz w:val="20"/>
          <w:szCs w:val="20"/>
          <w:lang w:val="en-GB"/>
        </w:rPr>
        <w:t xml:space="preserve"> - RESOLVERS are programs that extract information from name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servers in response to client requests. Resolvers must be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able to access at least one name server and use that name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 xml:space="preserve">server's information to answer a query </w:t>
      </w:r>
      <w:proofErr w:type="gramStart"/>
      <w:r w:rsidRPr="00F805CA">
        <w:rPr>
          <w:rFonts w:ascii="Times New Roman" w:hAnsi="Times New Roman" w:cs="Times New Roman"/>
          <w:sz w:val="20"/>
          <w:szCs w:val="20"/>
          <w:lang w:val="en-GB"/>
        </w:rPr>
        <w:t>directly, or</w:t>
      </w:r>
      <w:proofErr w:type="gramEnd"/>
      <w:r w:rsidRPr="00F805CA">
        <w:rPr>
          <w:rFonts w:ascii="Times New Roman" w:hAnsi="Times New Roman" w:cs="Times New Roman"/>
          <w:sz w:val="20"/>
          <w:szCs w:val="20"/>
          <w:lang w:val="en-GB"/>
        </w:rPr>
        <w:t xml:space="preserve"> pursue the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query using referrals to other name servers. A resolver will</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typically be a system routine that is directly accessible to</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user programs; hence no protocol is necessary between the</w:t>
      </w:r>
      <w:r w:rsidR="00FC3A62" w:rsidRPr="00F805CA">
        <w:rPr>
          <w:rFonts w:ascii="Times New Roman" w:hAnsi="Times New Roman" w:cs="Times New Roman"/>
          <w:sz w:val="20"/>
          <w:szCs w:val="20"/>
          <w:lang w:val="en-GB"/>
        </w:rPr>
        <w:t xml:space="preserve"> </w:t>
      </w:r>
      <w:r w:rsidRPr="00F805CA">
        <w:rPr>
          <w:rFonts w:ascii="Times New Roman" w:hAnsi="Times New Roman" w:cs="Times New Roman"/>
          <w:sz w:val="20"/>
          <w:szCs w:val="20"/>
          <w:lang w:val="en-GB"/>
        </w:rPr>
        <w:t>resolver and the user program.</w:t>
      </w:r>
      <w:r w:rsidR="00D6656F" w:rsidRPr="00F805CA">
        <w:rPr>
          <w:rFonts w:ascii="Times New Roman" w:hAnsi="Times New Roman" w:cs="Times New Roman"/>
          <w:sz w:val="20"/>
          <w:szCs w:val="20"/>
          <w:lang w:val="en-GB"/>
        </w:rPr>
        <w:t>”.</w:t>
      </w:r>
    </w:p>
  </w:footnote>
  <w:footnote w:id="9">
    <w:p w14:paraId="09BE5F86" w14:textId="1F79F897" w:rsidR="00FC7E03" w:rsidRPr="00533D2A" w:rsidRDefault="00FC7E03" w:rsidP="003B4986">
      <w:pPr>
        <w:pStyle w:val="Tekstprzypisudolnego"/>
        <w:spacing w:line="240" w:lineRule="auto"/>
        <w:jc w:val="both"/>
        <w:rPr>
          <w:rFonts w:ascii="Times New Roman" w:hAnsi="Times New Roman" w:cs="Times New Roman"/>
          <w:sz w:val="20"/>
          <w:szCs w:val="20"/>
          <w:lang w:val="en-GB"/>
        </w:rPr>
      </w:pPr>
      <w:r w:rsidRPr="00533D2A">
        <w:rPr>
          <w:rStyle w:val="Odwoanieprzypisudolnego"/>
          <w:rFonts w:ascii="Times New Roman" w:hAnsi="Times New Roman" w:cs="Times New Roman"/>
          <w:sz w:val="20"/>
          <w:szCs w:val="20"/>
        </w:rPr>
        <w:footnoteRef/>
      </w:r>
      <w:r w:rsidR="001E0C6A">
        <w:rPr>
          <w:rFonts w:ascii="Times New Roman" w:hAnsi="Times New Roman" w:cs="Times New Roman"/>
          <w:sz w:val="20"/>
          <w:szCs w:val="20"/>
          <w:vertAlign w:val="superscript"/>
          <w:lang w:val="en-GB"/>
        </w:rPr>
        <w:t>)</w:t>
      </w:r>
      <w:r w:rsidRPr="00533D2A">
        <w:rPr>
          <w:rFonts w:ascii="Times New Roman" w:hAnsi="Times New Roman" w:cs="Times New Roman"/>
          <w:sz w:val="20"/>
          <w:szCs w:val="20"/>
          <w:lang w:val="en-GB"/>
        </w:rPr>
        <w:t xml:space="preserve"> European Union Agency for Cybersecurity, MSS market analysis: an analysis of managed security service market, Publications Office of the European Union, Publications Office of the European Union 2025.</w:t>
      </w:r>
      <w:r w:rsidR="00E0581C" w:rsidRPr="00533D2A">
        <w:rPr>
          <w:rFonts w:ascii="Times New Roman" w:hAnsi="Times New Roman" w:cs="Times New Roman"/>
          <w:sz w:val="20"/>
          <w:szCs w:val="20"/>
          <w:lang w:val="en-GB"/>
        </w:rPr>
        <w:t xml:space="preserve"> https://op.europa.eu/en/publication-detail/-/publication/185b9736-5306-11f0-a9d0-01aa75ed71a1/language-en</w:t>
      </w:r>
    </w:p>
  </w:footnote>
  <w:footnote w:id="10">
    <w:p w14:paraId="6626A9BA" w14:textId="07E8EC2B" w:rsidR="00A14B7A" w:rsidRPr="00533D2A" w:rsidRDefault="00A14B7A" w:rsidP="003B4986">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1E0C6A">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00852E89" w:rsidRPr="00533D2A">
        <w:rPr>
          <w:rFonts w:ascii="Times New Roman" w:hAnsi="Times New Roman" w:cs="Times New Roman"/>
          <w:sz w:val="20"/>
          <w:szCs w:val="20"/>
        </w:rPr>
        <w:t>Zgodnie z rozporządzeniem</w:t>
      </w:r>
      <w:r w:rsidRPr="00533D2A">
        <w:rPr>
          <w:rFonts w:ascii="Times New Roman" w:hAnsi="Times New Roman" w:cs="Times New Roman"/>
          <w:sz w:val="20"/>
          <w:szCs w:val="20"/>
        </w:rPr>
        <w:t xml:space="preserve"> „usługa zaufania” oznacza usługę elektroniczną zazwyczaj świadczoną za</w:t>
      </w:r>
      <w:r w:rsidR="00D550D5">
        <w:rPr>
          <w:rFonts w:ascii="Times New Roman" w:hAnsi="Times New Roman" w:cs="Times New Roman"/>
          <w:sz w:val="20"/>
          <w:szCs w:val="20"/>
        </w:rPr>
        <w:t> </w:t>
      </w:r>
      <w:r w:rsidRPr="00533D2A">
        <w:rPr>
          <w:rFonts w:ascii="Times New Roman" w:hAnsi="Times New Roman" w:cs="Times New Roman"/>
          <w:sz w:val="20"/>
          <w:szCs w:val="20"/>
        </w:rPr>
        <w:t>wynagrodzeniem i obejmującą którąkolwiek z następujących czynności:</w:t>
      </w:r>
    </w:p>
    <w:p w14:paraId="26A4BA7D" w14:textId="2072EB43"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wydawanie certyfikatów podpisów elektronicznych, certyfikatów pieczęci elektronicznych, certyfikatów uwierzytelniania witryn internetowych lub certyfikatów do celów świadczenia innych usług zaufania; </w:t>
      </w:r>
    </w:p>
    <w:p w14:paraId="1BCBA8B8" w14:textId="378DC5CF"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walidację certyfikatów podpisów elektronicznych, certyfikatów pieczęci elektronicznych, certyfikatów uwierzytelniania witryn internetowych lub certyfikatów do celów świadczenia innych usług zaufania; </w:t>
      </w:r>
    </w:p>
    <w:p w14:paraId="13C69569" w14:textId="29B6C9F6"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tworzenie podpisów elektronicznych lub pieczęci elektronicznych; </w:t>
      </w:r>
    </w:p>
    <w:p w14:paraId="1F47B938" w14:textId="260C645B"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walidację podpisów elektronicznych lub pieczęci elektronicznych; </w:t>
      </w:r>
    </w:p>
    <w:p w14:paraId="413D631A" w14:textId="67C656B0"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konserwację podpisów elektronicznych, pieczęci elektronicznych, certyfikatów podpisów elektronicznych lub certyfikatów pieczęci elektronicznych; </w:t>
      </w:r>
    </w:p>
    <w:p w14:paraId="13D3DCEF" w14:textId="3B7FF56D"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zarządzanie urządzeniami do składania podpisu elektronicznego na odległość lub urządzeniami do składania pieczęci elektronicznej na odległość; </w:t>
      </w:r>
    </w:p>
    <w:p w14:paraId="1CC0F77D" w14:textId="15B9227C"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wydawanie elektronicznych poświadczeń atrybutów; </w:t>
      </w:r>
    </w:p>
    <w:p w14:paraId="50D38BC2" w14:textId="410969A6"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walidację elektronicznych poświadczeń atrybutów; </w:t>
      </w:r>
    </w:p>
    <w:p w14:paraId="3697489C" w14:textId="285C7DDB"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tworzenie elektronicznych znaczników czasu; </w:t>
      </w:r>
    </w:p>
    <w:p w14:paraId="3C63844E" w14:textId="6542EE10"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walidację elektronicznych znaczników czasu</w:t>
      </w:r>
      <w:r w:rsidR="007A4994" w:rsidRPr="00533D2A">
        <w:rPr>
          <w:rFonts w:ascii="Times New Roman" w:hAnsi="Times New Roman" w:cs="Times New Roman"/>
          <w:sz w:val="20"/>
          <w:szCs w:val="20"/>
        </w:rPr>
        <w:t>;</w:t>
      </w:r>
      <w:r w:rsidRPr="00533D2A">
        <w:rPr>
          <w:rFonts w:ascii="Times New Roman" w:hAnsi="Times New Roman" w:cs="Times New Roman"/>
          <w:sz w:val="20"/>
          <w:szCs w:val="20"/>
        </w:rPr>
        <w:t xml:space="preserve"> </w:t>
      </w:r>
    </w:p>
    <w:p w14:paraId="5BCF080D" w14:textId="4D02AB8F"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świadczenie usług rejestrowanego doręczenia elektronicznego; </w:t>
      </w:r>
    </w:p>
    <w:p w14:paraId="6C1FE303" w14:textId="14EEE65E"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walidację danych przekazywanych za pośrednictwem usług rejestrowanego doręczenia elektronicznego i związanych z nimi dowodów; </w:t>
      </w:r>
    </w:p>
    <w:p w14:paraId="6615E902" w14:textId="314FBFBC"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 xml:space="preserve">archiwizację elektroniczną danych elektronicznych i dokumentów elektronicznych; </w:t>
      </w:r>
    </w:p>
    <w:p w14:paraId="6D6B29B3" w14:textId="7C246351" w:rsidR="00A14B7A" w:rsidRPr="00533D2A" w:rsidRDefault="00A14B7A" w:rsidP="003B4986">
      <w:pPr>
        <w:pStyle w:val="Tekstprzypisudolnego"/>
        <w:numPr>
          <w:ilvl w:val="0"/>
          <w:numId w:val="76"/>
        </w:numPr>
        <w:spacing w:line="240" w:lineRule="auto"/>
        <w:jc w:val="both"/>
        <w:rPr>
          <w:rFonts w:ascii="Times New Roman" w:hAnsi="Times New Roman" w:cs="Times New Roman"/>
          <w:sz w:val="20"/>
          <w:szCs w:val="20"/>
        </w:rPr>
      </w:pPr>
      <w:r w:rsidRPr="00533D2A">
        <w:rPr>
          <w:rFonts w:ascii="Times New Roman" w:hAnsi="Times New Roman" w:cs="Times New Roman"/>
          <w:sz w:val="20"/>
          <w:szCs w:val="20"/>
        </w:rPr>
        <w:t>rejestrowanie danych elektronicznych w rejestrze elektronicznym</w:t>
      </w:r>
      <w:r w:rsidR="007A4994" w:rsidRPr="00533D2A">
        <w:rPr>
          <w:rFonts w:ascii="Times New Roman" w:hAnsi="Times New Roman" w:cs="Times New Roman"/>
          <w:sz w:val="20"/>
          <w:szCs w:val="20"/>
        </w:rPr>
        <w:t>.</w:t>
      </w:r>
    </w:p>
  </w:footnote>
  <w:footnote w:id="11">
    <w:p w14:paraId="27976846" w14:textId="3A8CC755" w:rsidR="00184AD0" w:rsidRPr="00533D2A" w:rsidRDefault="00184AD0" w:rsidP="0029004E">
      <w:pPr>
        <w:pStyle w:val="ODNONIKtreodnonika"/>
        <w:rPr>
          <w:rFonts w:cs="Times New Roman"/>
          <w:lang w:val="en-GB"/>
        </w:rPr>
      </w:pPr>
      <w:r w:rsidRPr="00EB18B4">
        <w:rPr>
          <w:rStyle w:val="Odwoanieprzypisudolnego"/>
          <w:rFonts w:cs="Times New Roman"/>
        </w:rPr>
        <w:footnoteRef/>
      </w:r>
      <w:r w:rsidRPr="00EB18B4">
        <w:rPr>
          <w:rStyle w:val="IGindeksgrny"/>
          <w:rFonts w:cs="Times New Roman"/>
          <w:specVanish w:val="0"/>
        </w:rPr>
        <w:t>)</w:t>
      </w:r>
      <w:r w:rsidRPr="00EB18B4">
        <w:rPr>
          <w:rFonts w:cs="Times New Roman"/>
        </w:rPr>
        <w:tab/>
        <w:t>Zmian</w:t>
      </w:r>
      <w:r w:rsidR="0035756F">
        <w:rPr>
          <w:rFonts w:cs="Times New Roman"/>
        </w:rPr>
        <w:t>a</w:t>
      </w:r>
      <w:r w:rsidRPr="00EB18B4">
        <w:rPr>
          <w:rFonts w:cs="Times New Roman"/>
        </w:rPr>
        <w:t xml:space="preserve"> wymienionego rozporządzenia został</w:t>
      </w:r>
      <w:r w:rsidR="0035756F">
        <w:rPr>
          <w:rFonts w:cs="Times New Roman"/>
        </w:rPr>
        <w:t>a</w:t>
      </w:r>
      <w:r w:rsidRPr="00EB18B4">
        <w:rPr>
          <w:rFonts w:cs="Times New Roman"/>
        </w:rPr>
        <w:t xml:space="preserve"> ogłoszon</w:t>
      </w:r>
      <w:r w:rsidR="0035756F">
        <w:rPr>
          <w:rFonts w:cs="Times New Roman"/>
        </w:rPr>
        <w:t>a</w:t>
      </w:r>
      <w:r w:rsidRPr="00EB18B4">
        <w:rPr>
          <w:rFonts w:cs="Times New Roman"/>
        </w:rPr>
        <w:t xml:space="preserve"> w Dz. Urz. </w:t>
      </w:r>
      <w:r w:rsidRPr="00533D2A">
        <w:rPr>
          <w:rFonts w:cs="Times New Roman"/>
          <w:lang w:val="en-GB"/>
        </w:rPr>
        <w:t>UE L 2024/90177 z 12.03.2024.</w:t>
      </w:r>
    </w:p>
  </w:footnote>
  <w:footnote w:id="12">
    <w:p w14:paraId="2C8569BB" w14:textId="749601D4" w:rsidR="001E0B07" w:rsidRPr="0035756F" w:rsidRDefault="001E0B07" w:rsidP="0035756F">
      <w:pPr>
        <w:pStyle w:val="Tekstprzypisudolnego"/>
        <w:spacing w:line="240" w:lineRule="auto"/>
        <w:jc w:val="both"/>
        <w:rPr>
          <w:rFonts w:ascii="Times New Roman" w:hAnsi="Times New Roman" w:cs="Times New Roman"/>
          <w:sz w:val="20"/>
          <w:szCs w:val="20"/>
          <w:lang w:val="en-GB"/>
        </w:rPr>
      </w:pPr>
      <w:r w:rsidRPr="0035756F">
        <w:rPr>
          <w:rStyle w:val="Odwoanieprzypisudolnego"/>
          <w:rFonts w:ascii="Times New Roman" w:hAnsi="Times New Roman" w:cs="Times New Roman"/>
          <w:sz w:val="20"/>
          <w:szCs w:val="20"/>
        </w:rPr>
        <w:footnoteRef/>
      </w:r>
      <w:r w:rsidR="001F02D6" w:rsidRPr="0035756F">
        <w:rPr>
          <w:rFonts w:ascii="Times New Roman" w:hAnsi="Times New Roman" w:cs="Times New Roman"/>
          <w:sz w:val="20"/>
          <w:szCs w:val="20"/>
          <w:vertAlign w:val="superscript"/>
          <w:lang w:val="en-GB"/>
        </w:rPr>
        <w:t>)</w:t>
      </w:r>
      <w:r w:rsidRPr="0035756F">
        <w:rPr>
          <w:rFonts w:ascii="Times New Roman" w:hAnsi="Times New Roman" w:cs="Times New Roman"/>
          <w:sz w:val="20"/>
          <w:szCs w:val="20"/>
          <w:lang w:val="en-GB"/>
        </w:rPr>
        <w:t xml:space="preserve"> </w:t>
      </w:r>
      <w:r w:rsidR="009320BC" w:rsidRPr="0035756F">
        <w:rPr>
          <w:rFonts w:ascii="Times New Roman" w:eastAsiaTheme="minorEastAsia" w:hAnsi="Times New Roman" w:cs="Times New Roman"/>
          <w:sz w:val="20"/>
          <w:szCs w:val="20"/>
          <w:lang w:val="en-GB" w:eastAsia="pl-PL"/>
        </w:rPr>
        <w:t>About Privacy/Proxy Registration Service - ICANN, https://www.icann.org/resources/pages/privacy-proxy-registration-2013-03-22-en [4 wrzesień 2025 r.].</w:t>
      </w:r>
    </w:p>
  </w:footnote>
  <w:footnote w:id="13">
    <w:p w14:paraId="07FC2D77" w14:textId="223DE497" w:rsidR="0010461C" w:rsidRPr="00533D2A" w:rsidRDefault="0010461C" w:rsidP="001234D0">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DA1EF1">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Tabela danych - SYSTEMY - SIST 2025 - Otwarte Dane [na:] https://dane.gov.pl/pl/dataset/195/resource/73987/table?page=1&amp;per_page=20&amp;q=&amp;sort=, dostęp 9 września 2025 r.</w:t>
      </w:r>
    </w:p>
  </w:footnote>
  <w:footnote w:id="14">
    <w:p w14:paraId="10CD4B72" w14:textId="14363034" w:rsidR="00C81828" w:rsidRPr="001234D0" w:rsidRDefault="00C81828" w:rsidP="001234D0">
      <w:pPr>
        <w:pStyle w:val="Tekstprzypisudolnego"/>
        <w:spacing w:line="240" w:lineRule="auto"/>
        <w:jc w:val="both"/>
        <w:rPr>
          <w:rFonts w:ascii="Times New Roman" w:hAnsi="Times New Roman" w:cs="Times New Roman"/>
          <w:sz w:val="20"/>
          <w:szCs w:val="20"/>
        </w:rPr>
      </w:pPr>
      <w:r w:rsidRPr="001234D0">
        <w:rPr>
          <w:rStyle w:val="Odwoanieprzypisudolnego"/>
          <w:rFonts w:ascii="Times New Roman" w:hAnsi="Times New Roman" w:cs="Times New Roman"/>
          <w:sz w:val="20"/>
          <w:szCs w:val="20"/>
        </w:rPr>
        <w:footnoteRef/>
      </w:r>
      <w:r w:rsidR="00DA1EF1" w:rsidRPr="001234D0">
        <w:rPr>
          <w:rFonts w:ascii="Times New Roman" w:hAnsi="Times New Roman" w:cs="Times New Roman"/>
          <w:sz w:val="20"/>
          <w:szCs w:val="20"/>
          <w:vertAlign w:val="superscript"/>
        </w:rPr>
        <w:t>)</w:t>
      </w:r>
      <w:r w:rsidRPr="001234D0">
        <w:rPr>
          <w:rFonts w:ascii="Times New Roman" w:hAnsi="Times New Roman" w:cs="Times New Roman"/>
          <w:sz w:val="20"/>
          <w:szCs w:val="20"/>
        </w:rPr>
        <w:t xml:space="preserve"> Dyrekcja Generalna ds. Rynku Wewnętrznego, Przemysłu, Przedsiębiorczości i MŚP</w:t>
      </w:r>
      <w:r w:rsidR="00DA1EF1" w:rsidRPr="001234D0">
        <w:rPr>
          <w:rFonts w:ascii="Times New Roman" w:hAnsi="Times New Roman" w:cs="Times New Roman"/>
          <w:sz w:val="20"/>
          <w:szCs w:val="20"/>
        </w:rPr>
        <w:t xml:space="preserve"> </w:t>
      </w:r>
      <w:r w:rsidRPr="001234D0">
        <w:rPr>
          <w:rFonts w:ascii="Times New Roman" w:hAnsi="Times New Roman" w:cs="Times New Roman"/>
          <w:sz w:val="20"/>
          <w:szCs w:val="20"/>
        </w:rPr>
        <w:t>(Komisja Europejska), Poradnik dla użytkowników dotyczący definicji MŚP, Urząd Publikacji Unii Europejskiej, Urząd Publikacji Unii Europejskiej 2019.</w:t>
      </w:r>
      <w:r w:rsidR="006056BF" w:rsidRPr="001234D0">
        <w:rPr>
          <w:rFonts w:ascii="Times New Roman" w:hAnsi="Times New Roman" w:cs="Times New Roman"/>
          <w:sz w:val="20"/>
          <w:szCs w:val="20"/>
        </w:rPr>
        <w:t xml:space="preserve"> https://data.europa.eu/doi/10.2873/82417</w:t>
      </w:r>
      <w:r w:rsidR="001234D0">
        <w:rPr>
          <w:rFonts w:ascii="Times New Roman" w:hAnsi="Times New Roman" w:cs="Times New Roman"/>
          <w:sz w:val="20"/>
          <w:szCs w:val="20"/>
        </w:rPr>
        <w:t>.</w:t>
      </w:r>
    </w:p>
  </w:footnote>
  <w:footnote w:id="15">
    <w:p w14:paraId="075931E8" w14:textId="37BC124A" w:rsidR="009923C2" w:rsidRPr="001234D0" w:rsidRDefault="009923C2" w:rsidP="00031FDA">
      <w:pPr>
        <w:pStyle w:val="Tekstprzypisudolnego"/>
        <w:spacing w:line="240" w:lineRule="auto"/>
        <w:jc w:val="both"/>
        <w:rPr>
          <w:rFonts w:ascii="Times New Roman" w:hAnsi="Times New Roman" w:cs="Times New Roman"/>
          <w:sz w:val="20"/>
          <w:szCs w:val="20"/>
        </w:rPr>
      </w:pPr>
      <w:r w:rsidRPr="001234D0">
        <w:rPr>
          <w:rStyle w:val="Odwoanieprzypisudolnego"/>
          <w:rFonts w:ascii="Times New Roman" w:hAnsi="Times New Roman" w:cs="Times New Roman"/>
          <w:sz w:val="20"/>
          <w:szCs w:val="20"/>
        </w:rPr>
        <w:footnoteRef/>
      </w:r>
      <w:r w:rsidR="001234D0" w:rsidRPr="001234D0">
        <w:rPr>
          <w:rFonts w:ascii="Times New Roman" w:hAnsi="Times New Roman" w:cs="Times New Roman"/>
          <w:sz w:val="20"/>
          <w:szCs w:val="20"/>
          <w:vertAlign w:val="superscript"/>
        </w:rPr>
        <w:t>)</w:t>
      </w:r>
      <w:r w:rsidRPr="001234D0">
        <w:rPr>
          <w:rFonts w:ascii="Times New Roman" w:hAnsi="Times New Roman" w:cs="Times New Roman"/>
          <w:sz w:val="20"/>
          <w:szCs w:val="20"/>
        </w:rPr>
        <w:t xml:space="preserve"> Nie stosuje się przy tym art. 3 ust. 4 zgodnie z którym: 4. Poza przypadkami określonymi w ust. 2 akapit drugi przedsiębiorstwa nie można uznać za małe lub średnie przedsiębiorstwo, jeżeli 25 % lub więcej kapitału lub praw głosu kontroluje bezpośrednio lub pośrednio, wspólnie lub indywidualnie, co najmniej jeden organ publiczny.</w:t>
      </w:r>
      <w:r w:rsidR="004E618D" w:rsidRPr="001234D0">
        <w:rPr>
          <w:rFonts w:ascii="Times New Roman" w:hAnsi="Times New Roman" w:cs="Times New Roman"/>
          <w:sz w:val="20"/>
          <w:szCs w:val="20"/>
        </w:rPr>
        <w:t xml:space="preserve"> Wyłączenie wynika wprost z dyrektywy NIS 2.</w:t>
      </w:r>
    </w:p>
  </w:footnote>
  <w:footnote w:id="16">
    <w:p w14:paraId="223F9B12" w14:textId="58137D68" w:rsidR="000E4931" w:rsidRPr="00533D2A" w:rsidRDefault="000E4931" w:rsidP="00806A08">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7918A4" w:rsidRPr="00533D2A">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00541418" w:rsidRPr="00EB18B4">
        <w:rPr>
          <w:rFonts w:ascii="Times New Roman" w:hAnsi="Times New Roman" w:cs="Times New Roman"/>
          <w:sz w:val="20"/>
          <w:szCs w:val="20"/>
        </w:rPr>
        <w:t>Dyrektywa NIS</w:t>
      </w:r>
      <w:r w:rsidR="00650001" w:rsidRPr="00EB18B4">
        <w:rPr>
          <w:rFonts w:ascii="Times New Roman" w:hAnsi="Times New Roman" w:cs="Times New Roman"/>
          <w:sz w:val="20"/>
          <w:szCs w:val="20"/>
        </w:rPr>
        <w:t xml:space="preserve"> </w:t>
      </w:r>
      <w:r w:rsidR="00541418" w:rsidRPr="00EB18B4">
        <w:rPr>
          <w:rFonts w:ascii="Times New Roman" w:hAnsi="Times New Roman" w:cs="Times New Roman"/>
          <w:sz w:val="20"/>
          <w:szCs w:val="20"/>
        </w:rPr>
        <w:t>2 wskazuje na obowiązek podania adresów IP</w:t>
      </w:r>
      <w:r w:rsidR="009F6B7B" w:rsidRPr="00EB18B4">
        <w:rPr>
          <w:rFonts w:ascii="Times New Roman" w:hAnsi="Times New Roman" w:cs="Times New Roman"/>
          <w:sz w:val="20"/>
          <w:szCs w:val="20"/>
        </w:rPr>
        <w:t xml:space="preserve"> – wskutek konsultacji publicznych doprecyzowano, że </w:t>
      </w:r>
      <w:r w:rsidR="00665149" w:rsidRPr="00EB18B4">
        <w:rPr>
          <w:rFonts w:ascii="Times New Roman" w:hAnsi="Times New Roman" w:cs="Times New Roman"/>
          <w:sz w:val="20"/>
          <w:szCs w:val="20"/>
        </w:rPr>
        <w:t xml:space="preserve">chodzi </w:t>
      </w:r>
      <w:r w:rsidR="00776E6B" w:rsidRPr="00EB18B4">
        <w:rPr>
          <w:rFonts w:ascii="Times New Roman" w:hAnsi="Times New Roman" w:cs="Times New Roman"/>
          <w:sz w:val="20"/>
          <w:szCs w:val="20"/>
        </w:rPr>
        <w:t>o publiczne adresy IP. Podawanie prywatnych adresów IP mija się z cel</w:t>
      </w:r>
      <w:r w:rsidR="00787912" w:rsidRPr="00EB18B4">
        <w:rPr>
          <w:rFonts w:ascii="Times New Roman" w:hAnsi="Times New Roman" w:cs="Times New Roman"/>
          <w:sz w:val="20"/>
          <w:szCs w:val="20"/>
        </w:rPr>
        <w:t>em regulacji</w:t>
      </w:r>
      <w:r w:rsidR="00E5239D" w:rsidRPr="00EB18B4">
        <w:rPr>
          <w:rFonts w:ascii="Times New Roman" w:hAnsi="Times New Roman" w:cs="Times New Roman"/>
          <w:sz w:val="20"/>
          <w:szCs w:val="20"/>
        </w:rPr>
        <w:t>. Wskazano</w:t>
      </w:r>
      <w:r w:rsidR="00041ABB" w:rsidRPr="00EB18B4">
        <w:rPr>
          <w:rFonts w:ascii="Times New Roman" w:hAnsi="Times New Roman" w:cs="Times New Roman"/>
          <w:sz w:val="20"/>
          <w:szCs w:val="20"/>
        </w:rPr>
        <w:t xml:space="preserve"> też, że </w:t>
      </w:r>
      <w:r w:rsidR="00654515" w:rsidRPr="00EB18B4">
        <w:rPr>
          <w:rFonts w:ascii="Times New Roman" w:hAnsi="Times New Roman" w:cs="Times New Roman"/>
          <w:sz w:val="20"/>
          <w:szCs w:val="20"/>
        </w:rPr>
        <w:t xml:space="preserve">chodzi adresy IP wykorzystywane w sposób ciągły </w:t>
      </w:r>
      <w:r w:rsidR="00453A1A" w:rsidRPr="00EB18B4">
        <w:rPr>
          <w:rFonts w:ascii="Times New Roman" w:hAnsi="Times New Roman" w:cs="Times New Roman"/>
          <w:sz w:val="20"/>
          <w:szCs w:val="20"/>
        </w:rPr>
        <w:t xml:space="preserve">– wyłączono </w:t>
      </w:r>
      <w:r w:rsidR="00FE5335" w:rsidRPr="00EB18B4">
        <w:rPr>
          <w:rFonts w:ascii="Times New Roman" w:hAnsi="Times New Roman" w:cs="Times New Roman"/>
          <w:sz w:val="20"/>
          <w:szCs w:val="20"/>
        </w:rPr>
        <w:t xml:space="preserve">w ten sposób adresy IP, które są używane przez podmiot jedynie tymczasowo np. </w:t>
      </w:r>
      <w:r w:rsidR="00AF03F1" w:rsidRPr="00EB18B4">
        <w:rPr>
          <w:rFonts w:ascii="Times New Roman" w:hAnsi="Times New Roman" w:cs="Times New Roman"/>
          <w:sz w:val="20"/>
          <w:szCs w:val="20"/>
        </w:rPr>
        <w:t xml:space="preserve">na potrzeby konkretnego projektu czy zlecenia. </w:t>
      </w:r>
    </w:p>
  </w:footnote>
  <w:footnote w:id="17">
    <w:p w14:paraId="6DF6B665" w14:textId="1A95C375" w:rsidR="005646B9" w:rsidRPr="00AF1CAC" w:rsidRDefault="005646B9" w:rsidP="00031FDA">
      <w:pPr>
        <w:pStyle w:val="Tekstprzypisudolnego"/>
        <w:spacing w:line="240" w:lineRule="auto"/>
        <w:jc w:val="both"/>
        <w:rPr>
          <w:rFonts w:ascii="Times New Roman" w:hAnsi="Times New Roman" w:cs="Times New Roman"/>
          <w:sz w:val="20"/>
          <w:szCs w:val="20"/>
        </w:rPr>
      </w:pPr>
      <w:r w:rsidRPr="00916D56">
        <w:rPr>
          <w:rStyle w:val="Odwoanieprzypisudolnego"/>
          <w:rFonts w:ascii="Times New Roman" w:hAnsi="Times New Roman" w:cs="Times New Roman"/>
          <w:sz w:val="20"/>
          <w:szCs w:val="20"/>
        </w:rPr>
        <w:footnoteRef/>
      </w:r>
      <w:r w:rsidR="00916D56" w:rsidRPr="00916D56">
        <w:rPr>
          <w:rFonts w:ascii="Times New Roman" w:hAnsi="Times New Roman" w:cs="Times New Roman"/>
          <w:sz w:val="20"/>
          <w:szCs w:val="20"/>
          <w:vertAlign w:val="superscript"/>
        </w:rPr>
        <w:t>)</w:t>
      </w:r>
      <w:r w:rsidRPr="00916D56">
        <w:rPr>
          <w:rFonts w:ascii="Times New Roman" w:hAnsi="Times New Roman" w:cs="Times New Roman"/>
          <w:sz w:val="20"/>
          <w:szCs w:val="20"/>
        </w:rPr>
        <w:t xml:space="preserve"> </w:t>
      </w:r>
      <w:r w:rsidR="00446203" w:rsidRPr="00031FDA">
        <w:rPr>
          <w:rFonts w:ascii="Times New Roman" w:hAnsi="Times New Roman" w:cs="Times New Roman"/>
          <w:sz w:val="20"/>
          <w:szCs w:val="20"/>
        </w:rPr>
        <w:t xml:space="preserve">Omyłka to skutek niewłaściwego rozpoznania osób, rzeczy lub zjawisk i wzięcia jednych za drugie – por. </w:t>
      </w:r>
      <w:r w:rsidR="00D203EC" w:rsidRPr="00031FDA">
        <w:rPr>
          <w:rFonts w:ascii="Times New Roman" w:hAnsi="Times New Roman" w:cs="Times New Roman"/>
          <w:sz w:val="20"/>
          <w:szCs w:val="20"/>
        </w:rPr>
        <w:t xml:space="preserve">wsjppan, Omyłka </w:t>
      </w:r>
      <w:r w:rsidR="00916D56">
        <w:rPr>
          <w:rFonts w:ascii="Times New Roman" w:hAnsi="Times New Roman" w:cs="Times New Roman"/>
          <w:sz w:val="20"/>
          <w:szCs w:val="20"/>
        </w:rPr>
        <w:t>–</w:t>
      </w:r>
      <w:r w:rsidR="00D203EC" w:rsidRPr="00AF1CAC">
        <w:rPr>
          <w:rFonts w:ascii="Times New Roman" w:hAnsi="Times New Roman" w:cs="Times New Roman"/>
          <w:sz w:val="20"/>
          <w:szCs w:val="20"/>
        </w:rPr>
        <w:t xml:space="preserve"> Wielki słownik języka polskiego PAN [na:] „wsjp.pl”, https://wsjp.pl/haslo/podglad/112164/omylka, dostęp 29 września 2025 r.</w:t>
      </w:r>
    </w:p>
  </w:footnote>
  <w:footnote w:id="18">
    <w:p w14:paraId="50438DDF" w14:textId="5D8F50DA" w:rsidR="001236FE" w:rsidRPr="001F2E6D" w:rsidRDefault="001236FE" w:rsidP="00031FDA">
      <w:pPr>
        <w:pStyle w:val="Tekstprzypisudolnego"/>
        <w:spacing w:line="240" w:lineRule="auto"/>
        <w:jc w:val="both"/>
      </w:pPr>
      <w:r w:rsidRPr="00AF1CAC">
        <w:rPr>
          <w:rStyle w:val="Odwoanieprzypisudolnego"/>
          <w:rFonts w:ascii="Times New Roman" w:hAnsi="Times New Roman" w:cs="Times New Roman"/>
          <w:sz w:val="20"/>
          <w:szCs w:val="20"/>
        </w:rPr>
        <w:footnoteRef/>
      </w:r>
      <w:r w:rsidR="00916D56" w:rsidRPr="00916D56">
        <w:rPr>
          <w:rFonts w:ascii="Times New Roman" w:hAnsi="Times New Roman" w:cs="Times New Roman"/>
          <w:sz w:val="20"/>
          <w:szCs w:val="20"/>
          <w:vertAlign w:val="superscript"/>
        </w:rPr>
        <w:t>)</w:t>
      </w:r>
      <w:r w:rsidRPr="00AF1CAC">
        <w:rPr>
          <w:rFonts w:ascii="Times New Roman" w:hAnsi="Times New Roman" w:cs="Times New Roman"/>
          <w:sz w:val="20"/>
          <w:szCs w:val="20"/>
        </w:rPr>
        <w:t xml:space="preserve"> Krytyczna działalność sp</w:t>
      </w:r>
      <w:r w:rsidR="00FD6A4B" w:rsidRPr="00AF1CAC">
        <w:rPr>
          <w:rFonts w:ascii="Times New Roman" w:hAnsi="Times New Roman" w:cs="Times New Roman"/>
          <w:sz w:val="20"/>
          <w:szCs w:val="20"/>
        </w:rPr>
        <w:t xml:space="preserve">ołeczna lub gospodarcza (ang. </w:t>
      </w:r>
      <w:r w:rsidR="001F2E6D" w:rsidRPr="00AF1CAC">
        <w:rPr>
          <w:rFonts w:ascii="Times New Roman" w:hAnsi="Times New Roman" w:cs="Times New Roman"/>
          <w:i/>
          <w:iCs/>
          <w:sz w:val="20"/>
          <w:szCs w:val="20"/>
        </w:rPr>
        <w:t>critical societal or economic activities</w:t>
      </w:r>
      <w:r w:rsidR="001F2E6D" w:rsidRPr="00031FDA">
        <w:rPr>
          <w:rFonts w:ascii="Times New Roman" w:hAnsi="Times New Roman" w:cs="Times New Roman"/>
          <w:sz w:val="20"/>
          <w:szCs w:val="20"/>
        </w:rPr>
        <w:t xml:space="preserve">) jest pojęciem samoistnym na gruncie prawa unijnego, które nie zostało zdefiniowane. Poprzednio występowało na gruncie dyrektywy NIS. </w:t>
      </w:r>
      <w:r w:rsidR="00867654" w:rsidRPr="00031FDA">
        <w:rPr>
          <w:rFonts w:ascii="Times New Roman" w:hAnsi="Times New Roman" w:cs="Times New Roman"/>
          <w:sz w:val="20"/>
          <w:szCs w:val="20"/>
        </w:rPr>
        <w:t xml:space="preserve">W przekonaniu wnioskodawcy pod tym pojęciem należy rozumieć </w:t>
      </w:r>
      <w:r w:rsidR="00417736" w:rsidRPr="00031FDA">
        <w:rPr>
          <w:rFonts w:ascii="Times New Roman" w:hAnsi="Times New Roman" w:cs="Times New Roman"/>
          <w:sz w:val="20"/>
          <w:szCs w:val="20"/>
        </w:rPr>
        <w:t xml:space="preserve">działalności, które są niezbędne </w:t>
      </w:r>
      <w:r w:rsidR="002E6236" w:rsidRPr="00031FDA">
        <w:rPr>
          <w:rFonts w:ascii="Times New Roman" w:hAnsi="Times New Roman" w:cs="Times New Roman"/>
          <w:sz w:val="20"/>
          <w:szCs w:val="20"/>
        </w:rPr>
        <w:t>dla podtrzymania funkcjonowania państwa, społeczeństwa lub gospodarki. Organ właściwy do spraw cyberbezpiecz</w:t>
      </w:r>
      <w:r w:rsidR="00053393" w:rsidRPr="00031FDA">
        <w:rPr>
          <w:rFonts w:ascii="Times New Roman" w:hAnsi="Times New Roman" w:cs="Times New Roman"/>
          <w:sz w:val="20"/>
          <w:szCs w:val="20"/>
        </w:rPr>
        <w:t xml:space="preserve">eństwa przed wydaniem decyzji w tej sprawie powinien odpowiedzieć na pytanie, czy bez </w:t>
      </w:r>
      <w:r w:rsidR="00076373" w:rsidRPr="00031FDA">
        <w:rPr>
          <w:rFonts w:ascii="Times New Roman" w:hAnsi="Times New Roman" w:cs="Times New Roman"/>
          <w:sz w:val="20"/>
          <w:szCs w:val="20"/>
        </w:rPr>
        <w:t xml:space="preserve">danej działalności społeczeństwo, gospodarka lub państwa może funkcjonować. Jeżeli </w:t>
      </w:r>
      <w:r w:rsidR="00946D3E" w:rsidRPr="00031FDA">
        <w:rPr>
          <w:rFonts w:ascii="Times New Roman" w:hAnsi="Times New Roman" w:cs="Times New Roman"/>
          <w:sz w:val="20"/>
          <w:szCs w:val="20"/>
        </w:rPr>
        <w:t xml:space="preserve">odpowiedź jest negatywna, to taka działalność jest krytyczną działalnością społeczną lub gospodarczą. </w:t>
      </w:r>
      <w:r w:rsidR="00F63342" w:rsidRPr="00031FDA">
        <w:rPr>
          <w:rFonts w:ascii="Times New Roman" w:hAnsi="Times New Roman" w:cs="Times New Roman"/>
          <w:sz w:val="20"/>
          <w:szCs w:val="20"/>
        </w:rPr>
        <w:t>Jest to z pewnością klauzula generalna, która będzie się aktualizować w konkretnych okolicznościach.</w:t>
      </w:r>
    </w:p>
  </w:footnote>
  <w:footnote w:id="19">
    <w:p w14:paraId="30CC7BFF" w14:textId="02749C58" w:rsidR="00787770" w:rsidRPr="00EB18B4" w:rsidRDefault="00787770" w:rsidP="006C78C8">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6C78C8" w:rsidRPr="00EB18B4">
        <w:rPr>
          <w:rFonts w:ascii="Times New Roman" w:hAnsi="Times New Roman" w:cs="Times New Roman"/>
          <w:sz w:val="20"/>
          <w:szCs w:val="20"/>
          <w:vertAlign w:val="superscript"/>
        </w:rPr>
        <w:t>)</w:t>
      </w:r>
      <w:r w:rsidR="00321BC0" w:rsidRPr="00EB18B4">
        <w:rPr>
          <w:rFonts w:ascii="Times New Roman" w:hAnsi="Times New Roman" w:cs="Times New Roman"/>
          <w:sz w:val="20"/>
          <w:szCs w:val="20"/>
          <w:vertAlign w:val="superscript"/>
        </w:rPr>
        <w:t xml:space="preserve"> </w:t>
      </w:r>
      <w:r w:rsidRPr="00EB18B4">
        <w:rPr>
          <w:rFonts w:ascii="Times New Roman" w:hAnsi="Times New Roman" w:cs="Times New Roman"/>
          <w:sz w:val="20"/>
          <w:szCs w:val="20"/>
        </w:rPr>
        <w:t xml:space="preserve">Ryzyko systemowe </w:t>
      </w:r>
      <w:r w:rsidR="00F0480C" w:rsidRPr="00EB18B4">
        <w:rPr>
          <w:rFonts w:ascii="Times New Roman" w:hAnsi="Times New Roman" w:cs="Times New Roman"/>
          <w:sz w:val="20"/>
          <w:szCs w:val="20"/>
        </w:rPr>
        <w:t>występuje na gruncie przepisów dotyczących nadzoru na rynkiem finansow</w:t>
      </w:r>
      <w:r w:rsidR="0039763E" w:rsidRPr="00EB18B4">
        <w:rPr>
          <w:rFonts w:ascii="Times New Roman" w:hAnsi="Times New Roman" w:cs="Times New Roman"/>
          <w:sz w:val="20"/>
          <w:szCs w:val="20"/>
        </w:rPr>
        <w:t xml:space="preserve">ym. Chodzi </w:t>
      </w:r>
      <w:r w:rsidR="006C78C8" w:rsidRPr="00EB18B4">
        <w:rPr>
          <w:rFonts w:ascii="Times New Roman" w:hAnsi="Times New Roman" w:cs="Times New Roman"/>
          <w:sz w:val="20"/>
          <w:szCs w:val="20"/>
        </w:rPr>
        <w:br/>
      </w:r>
      <w:r w:rsidR="0039763E" w:rsidRPr="00EB18B4">
        <w:rPr>
          <w:rFonts w:ascii="Times New Roman" w:hAnsi="Times New Roman" w:cs="Times New Roman"/>
          <w:sz w:val="20"/>
          <w:szCs w:val="20"/>
        </w:rPr>
        <w:t xml:space="preserve">o taki rodzaj ryzyka, takie </w:t>
      </w:r>
      <w:proofErr w:type="gramStart"/>
      <w:r w:rsidR="0039763E" w:rsidRPr="00EB18B4">
        <w:rPr>
          <w:rFonts w:ascii="Times New Roman" w:hAnsi="Times New Roman" w:cs="Times New Roman"/>
          <w:sz w:val="20"/>
          <w:szCs w:val="20"/>
        </w:rPr>
        <w:t>zakłócenia</w:t>
      </w:r>
      <w:proofErr w:type="gramEnd"/>
      <w:r w:rsidR="0039763E" w:rsidRPr="00EB18B4">
        <w:rPr>
          <w:rFonts w:ascii="Times New Roman" w:hAnsi="Times New Roman" w:cs="Times New Roman"/>
          <w:sz w:val="20"/>
          <w:szCs w:val="20"/>
        </w:rPr>
        <w:t xml:space="preserve"> które</w:t>
      </w:r>
      <w:r w:rsidR="00BD1D47" w:rsidRPr="00EB18B4">
        <w:rPr>
          <w:rFonts w:ascii="Times New Roman" w:hAnsi="Times New Roman" w:cs="Times New Roman"/>
          <w:sz w:val="20"/>
          <w:szCs w:val="20"/>
        </w:rPr>
        <w:t xml:space="preserve"> zagrażają czy to całemu krajowemu systemowi cyberbezpieczeństwa czy też poszczególnym sektorom.</w:t>
      </w:r>
    </w:p>
  </w:footnote>
  <w:footnote w:id="20">
    <w:p w14:paraId="1677D8A2" w14:textId="15300D87" w:rsidR="00812424" w:rsidRPr="00EB18B4" w:rsidRDefault="00812424" w:rsidP="00BC0140">
      <w:pPr>
        <w:pStyle w:val="Tekstprzypisudolneg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BC0140"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https://sjp.pwn.pl/slowniki/us%C5%82uga.html.</w:t>
      </w:r>
    </w:p>
  </w:footnote>
  <w:footnote w:id="21">
    <w:p w14:paraId="69CE3F49" w14:textId="77777777" w:rsidR="00031FDA" w:rsidRPr="00EB18B4" w:rsidRDefault="00031FDA" w:rsidP="00031FDA">
      <w:pPr>
        <w:pStyle w:val="ODNONIKtreodnonika"/>
        <w:rPr>
          <w:rFonts w:cs="Times New Roman"/>
        </w:rPr>
      </w:pPr>
      <w:r w:rsidRPr="00EB18B4">
        <w:rPr>
          <w:rStyle w:val="Odwoanieprzypisudolnego"/>
          <w:rFonts w:cs="Times New Roman"/>
        </w:rPr>
        <w:footnoteRef/>
      </w:r>
      <w:r w:rsidRPr="00EB18B4">
        <w:rPr>
          <w:rFonts w:cs="Times New Roman"/>
          <w:vertAlign w:val="superscript"/>
        </w:rPr>
        <w:t>)</w:t>
      </w:r>
      <w:r w:rsidRPr="00EB18B4">
        <w:rPr>
          <w:rFonts w:cs="Times New Roman"/>
        </w:rPr>
        <w:tab/>
        <w:t>Każda organizacja ma ograniczone zasoby, dlatego wybrane środki powinny być także adekwatne do jej możliwości finansowych.</w:t>
      </w:r>
    </w:p>
  </w:footnote>
  <w:footnote w:id="22">
    <w:p w14:paraId="285EBCDF" w14:textId="0AF632DC" w:rsidR="00031FDA" w:rsidRPr="00EB18B4" w:rsidRDefault="00031FDA" w:rsidP="00031FDA">
      <w:pPr>
        <w:pStyle w:val="ODNONIKtreodnonika"/>
        <w:rPr>
          <w:rFonts w:cs="Times New Roman"/>
        </w:rPr>
      </w:pPr>
      <w:r w:rsidRPr="00EB18B4">
        <w:rPr>
          <w:rStyle w:val="Odwoanieprzypisudolnego"/>
          <w:rFonts w:cs="Times New Roman"/>
        </w:rPr>
        <w:footnoteRef/>
      </w:r>
      <w:r w:rsidRPr="00EB18B4">
        <w:rPr>
          <w:rFonts w:cs="Times New Roman"/>
          <w:vertAlign w:val="superscript"/>
        </w:rPr>
        <w:t>)</w:t>
      </w:r>
      <w:r w:rsidRPr="00EB18B4">
        <w:rPr>
          <w:rFonts w:cs="Times New Roman"/>
        </w:rPr>
        <w:tab/>
        <w:t>Inne są możliwości organizacyjne i finansowe dużych przedsiębiorstw, a inne średnich przedsiębiorstw i nie można tych możliwości porównywać.</w:t>
      </w:r>
    </w:p>
  </w:footnote>
  <w:footnote w:id="23">
    <w:p w14:paraId="7871740D" w14:textId="2209C7C3" w:rsidR="00031FDA" w:rsidRPr="00EB18B4" w:rsidRDefault="00031FDA" w:rsidP="00031FDA">
      <w:pPr>
        <w:pStyle w:val="ODNONIKtreodnonika"/>
        <w:rPr>
          <w:rFonts w:cs="Times New Roman"/>
        </w:rPr>
      </w:pPr>
      <w:r w:rsidRPr="00EB18B4">
        <w:rPr>
          <w:rStyle w:val="Odwoanieprzypisudolnego"/>
          <w:rFonts w:cs="Times New Roman"/>
        </w:rPr>
        <w:footnoteRef/>
      </w:r>
      <w:r w:rsidRPr="00EB18B4">
        <w:rPr>
          <w:rFonts w:cs="Times New Roman"/>
          <w:vertAlign w:val="superscript"/>
        </w:rPr>
        <w:t>)</w:t>
      </w:r>
      <w:r w:rsidRPr="00EB18B4">
        <w:rPr>
          <w:rFonts w:cs="Times New Roman"/>
          <w:vertAlign w:val="superscript"/>
        </w:rPr>
        <w:tab/>
      </w:r>
      <w:r w:rsidRPr="00EB18B4">
        <w:rPr>
          <w:rFonts w:cs="Times New Roman"/>
        </w:rPr>
        <w:t>Należy więc bardzo dobrze ustalić kontekst danej organizacji, jej charakterystykę, świadczone usługi, posiadane systemy, otoczenie regulacyjne, wymogi podmiotów trzecich.</w:t>
      </w:r>
    </w:p>
  </w:footnote>
  <w:footnote w:id="24">
    <w:p w14:paraId="28D32ACF" w14:textId="4242DCFE" w:rsidR="009F245C" w:rsidRPr="00EB18B4" w:rsidRDefault="009F245C" w:rsidP="003E6CF8">
      <w:pPr>
        <w:pStyle w:val="ODNONIKtreodnonika"/>
        <w:rPr>
          <w:rFonts w:cs="Times New Roman"/>
        </w:rPr>
      </w:pPr>
      <w:r w:rsidRPr="00EB18B4">
        <w:rPr>
          <w:rStyle w:val="Odwoanieprzypisudolnego"/>
          <w:rFonts w:cs="Times New Roman"/>
        </w:rPr>
        <w:footnoteRef/>
      </w:r>
      <w:r w:rsidR="000E7E67" w:rsidRPr="00EB18B4">
        <w:rPr>
          <w:rFonts w:cs="Times New Roman"/>
          <w:vertAlign w:val="superscript"/>
        </w:rPr>
        <w:t>)</w:t>
      </w:r>
      <w:r w:rsidR="000E7E67" w:rsidRPr="00EB18B4">
        <w:rPr>
          <w:rFonts w:cs="Times New Roman"/>
        </w:rPr>
        <w:tab/>
      </w:r>
      <w:r w:rsidR="00827492" w:rsidRPr="00EB18B4">
        <w:rPr>
          <w:rFonts w:cs="Times New Roman"/>
        </w:rPr>
        <w:t xml:space="preserve">Polityka szacowania ryzyka powinna opisać proces </w:t>
      </w:r>
      <w:r w:rsidR="00CB516E" w:rsidRPr="00EB18B4">
        <w:rPr>
          <w:rFonts w:cs="Times New Roman"/>
        </w:rPr>
        <w:t>szacowania ryzyka w danej organizacji.</w:t>
      </w:r>
    </w:p>
  </w:footnote>
  <w:footnote w:id="25">
    <w:p w14:paraId="676F5842" w14:textId="184C7345" w:rsidR="00322670" w:rsidRPr="00EB18B4" w:rsidRDefault="00322670" w:rsidP="003E6CF8">
      <w:pPr>
        <w:pStyle w:val="ODNONIKtreodnonika"/>
        <w:rPr>
          <w:rFonts w:cs="Times New Roman"/>
        </w:rPr>
      </w:pPr>
      <w:r w:rsidRPr="00EB18B4">
        <w:rPr>
          <w:rStyle w:val="Odwoanieprzypisudolnego"/>
          <w:rFonts w:cs="Times New Roman"/>
        </w:rPr>
        <w:footnoteRef/>
      </w:r>
      <w:r w:rsidR="000E7E67" w:rsidRPr="00EB18B4">
        <w:rPr>
          <w:rFonts w:cs="Times New Roman"/>
          <w:vertAlign w:val="superscript"/>
        </w:rPr>
        <w:t>)</w:t>
      </w:r>
      <w:r w:rsidRPr="00EB18B4">
        <w:rPr>
          <w:rFonts w:cs="Times New Roman"/>
        </w:rPr>
        <w:t xml:space="preserve"> Należy ustanowić politykę bezpieczeństwa systemu informacyjnego </w:t>
      </w:r>
      <w:r w:rsidR="00A25A3A" w:rsidRPr="00EB18B4">
        <w:rPr>
          <w:rFonts w:cs="Times New Roman"/>
        </w:rPr>
        <w:t xml:space="preserve">wskazującą podejście podmiotu do zarządzania </w:t>
      </w:r>
      <w:r w:rsidR="007D7A9A" w:rsidRPr="00EB18B4">
        <w:rPr>
          <w:rFonts w:cs="Times New Roman"/>
        </w:rPr>
        <w:t>bezpieczeństwem informacji wraz z przypisaniem ról w tym procesie. Polityka ta powinna</w:t>
      </w:r>
      <w:r w:rsidR="00C75ED9" w:rsidRPr="00EB18B4">
        <w:rPr>
          <w:rFonts w:cs="Times New Roman"/>
        </w:rPr>
        <w:t xml:space="preserve"> być adekwatna do danego podmiotu, wskazać cele bezpieczeństwa systemu informacyjnego, </w:t>
      </w:r>
      <w:r w:rsidR="00DB22F0" w:rsidRPr="00EB18B4">
        <w:rPr>
          <w:rFonts w:cs="Times New Roman"/>
        </w:rPr>
        <w:t xml:space="preserve">zobowiązanie do ciągłego rozwoju </w:t>
      </w:r>
      <w:r w:rsidR="005546FF" w:rsidRPr="00EB18B4">
        <w:rPr>
          <w:rFonts w:cs="Times New Roman"/>
        </w:rPr>
        <w:t>jak również przewidywać jej przegląd. Polityka powinna być zakomunikowana osobom zatrudnionym w podmiocie.</w:t>
      </w:r>
    </w:p>
  </w:footnote>
  <w:footnote w:id="26">
    <w:p w14:paraId="5D9DD0BF" w14:textId="4E9E8AF3" w:rsidR="002F6F10" w:rsidRPr="00EB18B4" w:rsidRDefault="002F6F10" w:rsidP="003E6CF8">
      <w:pPr>
        <w:pStyle w:val="ODNONIKtreodnonika"/>
        <w:rPr>
          <w:rFonts w:cs="Times New Roman"/>
        </w:rPr>
      </w:pPr>
      <w:r w:rsidRPr="00EB18B4">
        <w:rPr>
          <w:rStyle w:val="Odwoanieprzypisudolnego"/>
          <w:rFonts w:cs="Times New Roman"/>
        </w:rPr>
        <w:footnoteRef/>
      </w:r>
      <w:r w:rsidR="000E7E67" w:rsidRPr="00EB18B4">
        <w:rPr>
          <w:rFonts w:cs="Times New Roman"/>
          <w:vertAlign w:val="superscript"/>
        </w:rPr>
        <w:t>)</w:t>
      </w:r>
      <w:r w:rsidRPr="00EB18B4">
        <w:rPr>
          <w:rFonts w:cs="Times New Roman"/>
        </w:rPr>
        <w:t xml:space="preserve"> Polityki tematyczne – przykładowo są to </w:t>
      </w:r>
      <w:r w:rsidRPr="00EB18B4">
        <w:rPr>
          <w:rFonts w:cs="Times New Roman"/>
          <w:i/>
          <w:iCs/>
        </w:rPr>
        <w:t>topic specific policies</w:t>
      </w:r>
      <w:r w:rsidRPr="00EB18B4">
        <w:rPr>
          <w:rFonts w:cs="Times New Roman"/>
        </w:rPr>
        <w:t xml:space="preserve"> o których mowa w normie ISO 27001. </w:t>
      </w:r>
      <w:r w:rsidR="004D3C74" w:rsidRPr="00EB18B4">
        <w:rPr>
          <w:rFonts w:cs="Times New Roman"/>
        </w:rPr>
        <w:t xml:space="preserve">Założeniem tego przepisu jest to, aby </w:t>
      </w:r>
      <w:proofErr w:type="gramStart"/>
      <w:r w:rsidR="004D3C74" w:rsidRPr="00EB18B4">
        <w:rPr>
          <w:rFonts w:cs="Times New Roman"/>
        </w:rPr>
        <w:t>tam</w:t>
      </w:r>
      <w:proofErr w:type="gramEnd"/>
      <w:r w:rsidR="004D3C74" w:rsidRPr="00EB18B4">
        <w:rPr>
          <w:rFonts w:cs="Times New Roman"/>
        </w:rPr>
        <w:t xml:space="preserve"> gdzie to konieczne organizacja opracowała </w:t>
      </w:r>
      <w:r w:rsidR="000B3BED" w:rsidRPr="00EB18B4">
        <w:rPr>
          <w:rFonts w:cs="Times New Roman"/>
        </w:rPr>
        <w:t xml:space="preserve">polityki tematyczne. Przykładowo, jeśli przyczyni się to do </w:t>
      </w:r>
      <w:r w:rsidR="00236EBC" w:rsidRPr="00EB18B4">
        <w:rPr>
          <w:rFonts w:cs="Times New Roman"/>
        </w:rPr>
        <w:t xml:space="preserve">lepszej ochrony </w:t>
      </w:r>
      <w:r w:rsidR="009F245C" w:rsidRPr="00EB18B4">
        <w:rPr>
          <w:rFonts w:cs="Times New Roman"/>
        </w:rPr>
        <w:t xml:space="preserve">to organizacja może wprowadzić politykę bezpieczeństwa urządzeń </w:t>
      </w:r>
      <w:r w:rsidR="002B1136" w:rsidRPr="00EB18B4">
        <w:rPr>
          <w:rFonts w:cs="Times New Roman"/>
        </w:rPr>
        <w:t>mobilnych</w:t>
      </w:r>
      <w:r w:rsidR="009F245C" w:rsidRPr="00EB18B4">
        <w:rPr>
          <w:rFonts w:cs="Times New Roman"/>
        </w:rPr>
        <w:t xml:space="preserve">. </w:t>
      </w:r>
    </w:p>
  </w:footnote>
  <w:footnote w:id="27">
    <w:p w14:paraId="6F65551F" w14:textId="1A24DD88" w:rsidR="00FA7B7B" w:rsidRPr="00EB18B4" w:rsidRDefault="00FA7B7B" w:rsidP="003E6CF8">
      <w:pPr>
        <w:pStyle w:val="ODNONIKtreodnonika"/>
        <w:rPr>
          <w:rFonts w:cs="Times New Roman"/>
        </w:rPr>
      </w:pPr>
      <w:r w:rsidRPr="00EB18B4">
        <w:rPr>
          <w:rStyle w:val="Odwoanieprzypisudolnego"/>
          <w:rFonts w:cs="Times New Roman"/>
        </w:rPr>
        <w:footnoteRef/>
      </w:r>
      <w:r w:rsidR="000E7E67" w:rsidRPr="00EB18B4">
        <w:rPr>
          <w:rFonts w:cs="Times New Roman"/>
          <w:vertAlign w:val="superscript"/>
        </w:rPr>
        <w:t>)</w:t>
      </w:r>
      <w:r w:rsidRPr="00EB18B4">
        <w:rPr>
          <w:rFonts w:cs="Times New Roman"/>
        </w:rPr>
        <w:t xml:space="preserve"> </w:t>
      </w:r>
      <w:r w:rsidR="000E7E67" w:rsidRPr="00EB18B4">
        <w:rPr>
          <w:rFonts w:cs="Times New Roman"/>
        </w:rPr>
        <w:tab/>
      </w:r>
      <w:r w:rsidR="00472644" w:rsidRPr="00EB18B4">
        <w:rPr>
          <w:rFonts w:cs="Times New Roman"/>
        </w:rPr>
        <w:t>Należy opracować i wdrożyć procedury zarządzania konfiguracją</w:t>
      </w:r>
      <w:r w:rsidR="00D40F92" w:rsidRPr="00EB18B4">
        <w:rPr>
          <w:rFonts w:cs="Times New Roman"/>
        </w:rPr>
        <w:t>, zmianami w systemie</w:t>
      </w:r>
      <w:r w:rsidR="008F1BEA" w:rsidRPr="00EB18B4">
        <w:rPr>
          <w:rFonts w:cs="Times New Roman"/>
        </w:rPr>
        <w:t>, testowanie systemu</w:t>
      </w:r>
      <w:r w:rsidR="000E7E67" w:rsidRPr="00EB18B4">
        <w:rPr>
          <w:rFonts w:cs="Times New Roman"/>
        </w:rPr>
        <w:t>.</w:t>
      </w:r>
      <w:r w:rsidR="008F1BEA" w:rsidRPr="00EB18B4">
        <w:rPr>
          <w:rFonts w:cs="Times New Roman"/>
        </w:rPr>
        <w:t xml:space="preserve"> </w:t>
      </w:r>
    </w:p>
  </w:footnote>
  <w:footnote w:id="28">
    <w:p w14:paraId="36304041" w14:textId="334561D9" w:rsidR="00246555" w:rsidRPr="00EB18B4" w:rsidRDefault="00246555" w:rsidP="003E6CF8">
      <w:pPr>
        <w:pStyle w:val="ODNONIKtreodnonika"/>
        <w:rPr>
          <w:rFonts w:cs="Times New Roman"/>
        </w:rPr>
      </w:pPr>
      <w:r w:rsidRPr="00EB18B4">
        <w:rPr>
          <w:rStyle w:val="Odwoanieprzypisudolnego"/>
          <w:rFonts w:cs="Times New Roman"/>
        </w:rPr>
        <w:footnoteRef/>
      </w:r>
      <w:r w:rsidR="000E7E67" w:rsidRPr="00EB18B4">
        <w:rPr>
          <w:rFonts w:cs="Times New Roman"/>
          <w:vertAlign w:val="superscript"/>
        </w:rPr>
        <w:t>)</w:t>
      </w:r>
      <w:r w:rsidR="000E7E67" w:rsidRPr="00EB18B4">
        <w:rPr>
          <w:rFonts w:cs="Times New Roman"/>
        </w:rPr>
        <w:tab/>
      </w:r>
      <w:r w:rsidR="00222DE1" w:rsidRPr="00EB18B4">
        <w:rPr>
          <w:rFonts w:cs="Times New Roman"/>
        </w:rPr>
        <w:t>Podmiot kluczowy</w:t>
      </w:r>
      <w:r w:rsidR="005E722C" w:rsidRPr="00EB18B4">
        <w:rPr>
          <w:rFonts w:cs="Times New Roman"/>
        </w:rPr>
        <w:t xml:space="preserve"> lub </w:t>
      </w:r>
      <w:r w:rsidR="00222DE1" w:rsidRPr="00EB18B4">
        <w:rPr>
          <w:rFonts w:cs="Times New Roman"/>
        </w:rPr>
        <w:t xml:space="preserve">podmiot ważny </w:t>
      </w:r>
      <w:r w:rsidR="00496977" w:rsidRPr="00EB18B4">
        <w:rPr>
          <w:rFonts w:cs="Times New Roman"/>
        </w:rPr>
        <w:t xml:space="preserve">powinien </w:t>
      </w:r>
      <w:r w:rsidR="009316E2" w:rsidRPr="00EB18B4">
        <w:rPr>
          <w:rFonts w:cs="Times New Roman"/>
        </w:rPr>
        <w:t>monitorować dostęp fizyczny do elementów systemu informacyjnego</w:t>
      </w:r>
      <w:r w:rsidR="00C9582B" w:rsidRPr="00EB18B4">
        <w:rPr>
          <w:rFonts w:cs="Times New Roman"/>
        </w:rPr>
        <w:t xml:space="preserve">, zapobiegać cyberzagrożeniom mającym charakter fizyczny, zapobiegać </w:t>
      </w:r>
      <w:r w:rsidR="000968DF" w:rsidRPr="00EB18B4">
        <w:rPr>
          <w:rFonts w:cs="Times New Roman"/>
        </w:rPr>
        <w:t xml:space="preserve">utracie, uszkodzeniu </w:t>
      </w:r>
      <w:r w:rsidR="00274B12" w:rsidRPr="00EB18B4">
        <w:rPr>
          <w:rFonts w:cs="Times New Roman"/>
        </w:rPr>
        <w:t>urządzeń wspierających funkcjonowaniu systemu informacyjnego (np. urządzenia elektryc</w:t>
      </w:r>
      <w:r w:rsidR="003F2491" w:rsidRPr="00EB18B4">
        <w:rPr>
          <w:rFonts w:cs="Times New Roman"/>
        </w:rPr>
        <w:t>zne).</w:t>
      </w:r>
    </w:p>
  </w:footnote>
  <w:footnote w:id="29">
    <w:p w14:paraId="7DA72212" w14:textId="745DE308" w:rsidR="005402DE" w:rsidRPr="00EB18B4" w:rsidRDefault="005402DE" w:rsidP="000E7E67">
      <w:pPr>
        <w:pStyle w:val="ODNONIKtreodnonika"/>
        <w:rPr>
          <w:rFonts w:cs="Times New Roman"/>
        </w:rPr>
      </w:pPr>
      <w:r w:rsidRPr="00EB18B4">
        <w:rPr>
          <w:rStyle w:val="Odwoanieprzypisudolnego"/>
          <w:rFonts w:cs="Times New Roman"/>
        </w:rPr>
        <w:footnoteRef/>
      </w:r>
      <w:r w:rsidR="000E7E67" w:rsidRPr="00EB18B4">
        <w:rPr>
          <w:rFonts w:cs="Times New Roman"/>
          <w:vertAlign w:val="superscript"/>
        </w:rPr>
        <w:t>)</w:t>
      </w:r>
      <w:r w:rsidRPr="00EB18B4">
        <w:rPr>
          <w:rFonts w:cs="Times New Roman"/>
        </w:rPr>
        <w:t xml:space="preserve"> </w:t>
      </w:r>
      <w:r w:rsidR="000E7E67" w:rsidRPr="00EB18B4">
        <w:rPr>
          <w:rFonts w:cs="Times New Roman"/>
        </w:rPr>
        <w:tab/>
      </w:r>
      <w:r w:rsidR="00107741" w:rsidRPr="00EB18B4">
        <w:rPr>
          <w:rFonts w:cs="Times New Roman"/>
        </w:rPr>
        <w:t>Należy dbać o zrozumienie wymogów bezpieczeństwa wśród personelu.</w:t>
      </w:r>
      <w:r w:rsidR="00823293" w:rsidRPr="00EB18B4">
        <w:rPr>
          <w:rFonts w:cs="Times New Roman"/>
        </w:rPr>
        <w:t xml:space="preserve"> Personel o szczególnym </w:t>
      </w:r>
      <w:r w:rsidR="0029329B" w:rsidRPr="00EB18B4">
        <w:rPr>
          <w:rFonts w:cs="Times New Roman"/>
        </w:rPr>
        <w:t xml:space="preserve">dostępie do aktywów powinien w szczególny sposób </w:t>
      </w:r>
      <w:r w:rsidR="00EF2B8D" w:rsidRPr="00EB18B4">
        <w:rPr>
          <w:rFonts w:cs="Times New Roman"/>
        </w:rPr>
        <w:t>wykonywać swoje zadania w. Pamiętać należy o personelu zewnętrznego dostawcy – należy wprowadzić odpowiednie postanowienia umowne dotyczące bezpieczeństwa oraz zachowaniu w poufności informacji.</w:t>
      </w:r>
      <w:r w:rsidR="00E04A67" w:rsidRPr="00EB18B4">
        <w:rPr>
          <w:rFonts w:cs="Times New Roman"/>
        </w:rPr>
        <w:t xml:space="preserve"> W procesie rekrutacji należy prowadzić weryfikację kandydatów (np. poprzez </w:t>
      </w:r>
      <w:r w:rsidR="00EC7368" w:rsidRPr="00EB18B4">
        <w:rPr>
          <w:rFonts w:cs="Times New Roman"/>
        </w:rPr>
        <w:t xml:space="preserve">OSINT czy poprzez wymóg dostarczenia referencji czy zaświadczeń </w:t>
      </w:r>
      <w:r w:rsidR="00A26EA9" w:rsidRPr="00EB18B4">
        <w:rPr>
          <w:rFonts w:cs="Times New Roman"/>
        </w:rPr>
        <w:t>–</w:t>
      </w:r>
      <w:r w:rsidR="00EC7368" w:rsidRPr="00EB18B4">
        <w:rPr>
          <w:rFonts w:cs="Times New Roman"/>
        </w:rPr>
        <w:t xml:space="preserve"> </w:t>
      </w:r>
      <w:r w:rsidR="00A26EA9" w:rsidRPr="00EB18B4">
        <w:rPr>
          <w:rFonts w:cs="Times New Roman"/>
        </w:rPr>
        <w:t xml:space="preserve">przy czym należy pamiętać o wymogach RODO i poinformować kandydatów w ogłoszeniu, że takie czynności będą dokonywane i że wymagana jest </w:t>
      </w:r>
      <w:r w:rsidR="00877205" w:rsidRPr="00EB18B4">
        <w:rPr>
          <w:rFonts w:cs="Times New Roman"/>
        </w:rPr>
        <w:t>ich zgoda); ponadto należy wprowadzić wewnętrzne reguły dyscyplinarne, jeśli nie wynikają z przepisów prawa powszechnie obowiązującego, dotyczące przypadków naruszenia obowiązków personelu w obszarze Cyberbezpieczeństwa</w:t>
      </w:r>
      <w:r w:rsidR="00910DA7" w:rsidRPr="00EB18B4">
        <w:rPr>
          <w:rFonts w:cs="Times New Roman"/>
        </w:rPr>
        <w:t>, wraz z możliwością wypowiedzenia umowy; w</w:t>
      </w:r>
      <w:r w:rsidR="00DE38C1">
        <w:rPr>
          <w:rFonts w:cs="Times New Roman"/>
        </w:rPr>
        <w:t> </w:t>
      </w:r>
      <w:r w:rsidR="00910DA7" w:rsidRPr="00EB18B4">
        <w:rPr>
          <w:rFonts w:cs="Times New Roman"/>
        </w:rPr>
        <w:t>postanowieniach umownych z personelem należy zawrzeć zapisy dotyczące zachowania w poufności informacji związanych z organizacją także po zakończeniu umowy</w:t>
      </w:r>
      <w:r w:rsidR="00B45E52" w:rsidRPr="00EB18B4">
        <w:rPr>
          <w:rFonts w:cs="Times New Roman"/>
        </w:rPr>
        <w:t>.</w:t>
      </w:r>
    </w:p>
  </w:footnote>
  <w:footnote w:id="30">
    <w:p w14:paraId="6751FB6E" w14:textId="66C2DF6F" w:rsidR="00B24456" w:rsidRPr="00EB18B4" w:rsidRDefault="00B24456" w:rsidP="003E6CF8">
      <w:pPr>
        <w:pStyle w:val="ODNONIKtreodnonika"/>
        <w:rPr>
          <w:rFonts w:cs="Times New Roman"/>
        </w:rPr>
      </w:pPr>
      <w:r w:rsidRPr="00EB18B4">
        <w:rPr>
          <w:rStyle w:val="Odwoanieprzypisudolnego"/>
          <w:rFonts w:cs="Times New Roman"/>
        </w:rPr>
        <w:footnoteRef/>
      </w:r>
      <w:r w:rsidR="000E7E67" w:rsidRPr="00EB18B4">
        <w:rPr>
          <w:rFonts w:cs="Times New Roman"/>
          <w:vertAlign w:val="superscript"/>
        </w:rPr>
        <w:t>)</w:t>
      </w:r>
      <w:r w:rsidRPr="00EB18B4">
        <w:rPr>
          <w:rFonts w:cs="Times New Roman"/>
        </w:rPr>
        <w:t xml:space="preserve"> </w:t>
      </w:r>
      <w:r w:rsidR="000E7E67" w:rsidRPr="00EB18B4">
        <w:rPr>
          <w:rFonts w:cs="Times New Roman"/>
        </w:rPr>
        <w:tab/>
      </w:r>
      <w:r w:rsidR="00260014" w:rsidRPr="00EB18B4">
        <w:rPr>
          <w:rFonts w:cs="Times New Roman"/>
        </w:rPr>
        <w:t xml:space="preserve">Należy wprowadzić politykę łańcucha dostaw obejmującą relację z </w:t>
      </w:r>
      <w:r w:rsidR="003F0397" w:rsidRPr="00EB18B4">
        <w:rPr>
          <w:rFonts w:cs="Times New Roman"/>
        </w:rPr>
        <w:t>bezpośrednimi dostawcami. W polityce należy wskazać kryteria wyboru dostawców</w:t>
      </w:r>
      <w:r w:rsidR="004B4C04" w:rsidRPr="00EB18B4">
        <w:rPr>
          <w:rFonts w:cs="Times New Roman"/>
        </w:rPr>
        <w:t xml:space="preserve">. W umowach z dostawcami należy zawierać postanowienia dotyczące </w:t>
      </w:r>
      <w:r w:rsidR="00015EAC" w:rsidRPr="00EB18B4">
        <w:rPr>
          <w:rFonts w:cs="Times New Roman"/>
        </w:rPr>
        <w:t xml:space="preserve">Cyberbezpieczeństwa m. in. obowiązek zachowania informacji w poufności, obowiązek zgłaszania incydentów do podmiotu, </w:t>
      </w:r>
      <w:r w:rsidR="00AF411B" w:rsidRPr="00EB18B4">
        <w:rPr>
          <w:rFonts w:cs="Times New Roman"/>
        </w:rPr>
        <w:t>informowanie o podatnościach</w:t>
      </w:r>
      <w:r w:rsidR="00EB78F5" w:rsidRPr="00EB18B4">
        <w:rPr>
          <w:rFonts w:cs="Times New Roman"/>
        </w:rPr>
        <w:t>, wymogi dotyczące personelu podmiotu (np. co do certyfikacji osób)</w:t>
      </w:r>
      <w:r w:rsidR="004C013C" w:rsidRPr="00EB18B4">
        <w:rPr>
          <w:rFonts w:cs="Times New Roman"/>
        </w:rPr>
        <w:t xml:space="preserve"> itd. Pamiętać przy tym należy, że duzi dostawcy sprzętu lub oprogramowania często mają wdrożoną </w:t>
      </w:r>
      <w:r w:rsidR="00423395" w:rsidRPr="00EB18B4">
        <w:rPr>
          <w:rFonts w:cs="Times New Roman"/>
        </w:rPr>
        <w:t xml:space="preserve">certyfikację własnych systemów, osób lub produktów/usług z zakresu </w:t>
      </w:r>
      <w:r w:rsidR="008763A1" w:rsidRPr="00EB18B4">
        <w:rPr>
          <w:rFonts w:cs="Times New Roman"/>
        </w:rPr>
        <w:t>c</w:t>
      </w:r>
      <w:r w:rsidR="00423395" w:rsidRPr="00EB18B4">
        <w:rPr>
          <w:rFonts w:cs="Times New Roman"/>
        </w:rPr>
        <w:t>yberbezpieczeństwa, co</w:t>
      </w:r>
      <w:r w:rsidR="00DE38C1">
        <w:rPr>
          <w:rFonts w:cs="Times New Roman"/>
        </w:rPr>
        <w:t> </w:t>
      </w:r>
      <w:r w:rsidR="00423395" w:rsidRPr="00EB18B4">
        <w:rPr>
          <w:rFonts w:cs="Times New Roman"/>
        </w:rPr>
        <w:t>z</w:t>
      </w:r>
      <w:r w:rsidR="00DE38C1">
        <w:rPr>
          <w:rFonts w:cs="Times New Roman"/>
        </w:rPr>
        <w:t> </w:t>
      </w:r>
      <w:r w:rsidR="00423395" w:rsidRPr="00EB18B4">
        <w:rPr>
          <w:rFonts w:cs="Times New Roman"/>
        </w:rPr>
        <w:t>jednej strony ułatwia zarządzanie bezpieczeństwem łańcuchów dostaw, z drugiej może potencjalnie utrudnić dodatkowe wymogi, zwłaszcza, jeżeli zamawiający jest zdecydowanie mniejszym podmiotem.</w:t>
      </w:r>
      <w:r w:rsidR="0025645E" w:rsidRPr="00EB18B4">
        <w:rPr>
          <w:rFonts w:cs="Times New Roman"/>
        </w:rPr>
        <w:t xml:space="preserve"> Tutaj wchodzi więc zasada proporcjonalnych środków technicznych i organizacyjnych. Organizacja powinna mieć </w:t>
      </w:r>
      <w:r w:rsidR="004C6F15" w:rsidRPr="00EB18B4">
        <w:rPr>
          <w:rFonts w:cs="Times New Roman"/>
        </w:rPr>
        <w:t>aktualny wykaz bezpośrednich dostawców z danymi kontaktowymi oraz wskazaniem jakie produkty ICT, usługi ICT czy procesy ICT dostarczają.</w:t>
      </w:r>
    </w:p>
  </w:footnote>
  <w:footnote w:id="31">
    <w:p w14:paraId="506CFEE5" w14:textId="6C415343" w:rsidR="00FF5C7B" w:rsidRPr="00EB18B4" w:rsidRDefault="00FF5C7B" w:rsidP="003E6CF8">
      <w:pPr>
        <w:pStyle w:val="ODNONIKtreodnonika"/>
        <w:rPr>
          <w:rFonts w:cs="Times New Roman"/>
        </w:rPr>
      </w:pPr>
      <w:r w:rsidRPr="00EB18B4">
        <w:rPr>
          <w:rStyle w:val="Odwoanieprzypisudolnego"/>
          <w:rFonts w:cs="Times New Roman"/>
        </w:rPr>
        <w:footnoteRef/>
      </w:r>
      <w:r w:rsidR="008763A1" w:rsidRPr="00EB18B4">
        <w:rPr>
          <w:rFonts w:cs="Times New Roman"/>
          <w:vertAlign w:val="superscript"/>
        </w:rPr>
        <w:t>)</w:t>
      </w:r>
      <w:r w:rsidR="008763A1" w:rsidRPr="00EB18B4">
        <w:rPr>
          <w:rFonts w:cs="Times New Roman"/>
          <w:vertAlign w:val="superscript"/>
        </w:rPr>
        <w:tab/>
      </w:r>
      <w:r w:rsidRPr="00EB18B4">
        <w:rPr>
          <w:rFonts w:cs="Times New Roman"/>
        </w:rPr>
        <w:t xml:space="preserve">System informacyjny powinien być </w:t>
      </w:r>
      <w:r w:rsidR="0013405D" w:rsidRPr="00EB18B4">
        <w:rPr>
          <w:rFonts w:cs="Times New Roman"/>
        </w:rPr>
        <w:t xml:space="preserve">monitorowany ciągle – chodzi o to, aby zapewnić rozliczalność działań podejmowanych w systemie i analizować </w:t>
      </w:r>
      <w:r w:rsidR="00AD32AA" w:rsidRPr="00EB18B4">
        <w:rPr>
          <w:rFonts w:cs="Times New Roman"/>
        </w:rPr>
        <w:t xml:space="preserve">zaistniałe zdarzenia. Niekoniecznie trzeba w tym celu zatrudniać dodatkową osobę, można skorzystać z narzędzi open-source </w:t>
      </w:r>
      <w:r w:rsidR="00445F21" w:rsidRPr="00EB18B4">
        <w:rPr>
          <w:rFonts w:cs="Times New Roman"/>
        </w:rPr>
        <w:t>typu SIEM i ustawić adekwatne reguły. W</w:t>
      </w:r>
      <w:r w:rsidR="00DE38C1">
        <w:rPr>
          <w:rFonts w:cs="Times New Roman"/>
        </w:rPr>
        <w:t> </w:t>
      </w:r>
      <w:r w:rsidR="00445F21" w:rsidRPr="00EB18B4">
        <w:rPr>
          <w:rFonts w:cs="Times New Roman"/>
        </w:rPr>
        <w:t xml:space="preserve">szczególności należy monitorować zdarzenia, które mogą </w:t>
      </w:r>
      <w:r w:rsidR="000376E2" w:rsidRPr="00EB18B4">
        <w:rPr>
          <w:rFonts w:cs="Times New Roman"/>
        </w:rPr>
        <w:t xml:space="preserve">być przyczyną lub skutkiem incydentu. Monitorowanie dotyczy w szczególności ruchu z i do podmiotu, </w:t>
      </w:r>
      <w:r w:rsidR="005E136D" w:rsidRPr="00EB18B4">
        <w:rPr>
          <w:rFonts w:cs="Times New Roman"/>
        </w:rPr>
        <w:t>dostępu do systemu, kont z</w:t>
      </w:r>
      <w:r w:rsidR="00DE38C1">
        <w:rPr>
          <w:rFonts w:cs="Times New Roman"/>
        </w:rPr>
        <w:t> </w:t>
      </w:r>
      <w:r w:rsidR="005E136D" w:rsidRPr="00EB18B4">
        <w:rPr>
          <w:rFonts w:cs="Times New Roman"/>
        </w:rPr>
        <w:t xml:space="preserve">uprzywilejowanym dostępem, </w:t>
      </w:r>
      <w:r w:rsidR="001A422D" w:rsidRPr="00EB18B4">
        <w:rPr>
          <w:rFonts w:cs="Times New Roman"/>
        </w:rPr>
        <w:t>krytyczne pliki konfiguracyjne i kopii zapasowej</w:t>
      </w:r>
      <w:r w:rsidR="007D3B4A" w:rsidRPr="00EB18B4">
        <w:rPr>
          <w:rFonts w:cs="Times New Roman"/>
        </w:rPr>
        <w:t>, logi z narzędzi Cyberbezpieczeństwa (np. antywirusów, anti-spyware)</w:t>
      </w:r>
      <w:r w:rsidR="007D6058" w:rsidRPr="00EB18B4">
        <w:rPr>
          <w:rFonts w:cs="Times New Roman"/>
        </w:rPr>
        <w:t>, zdarzenia środowiskowe, które mogą mieć wpływ na funkcjonowanie infrastruktury systemu</w:t>
      </w:r>
      <w:r w:rsidR="00611158" w:rsidRPr="00EB18B4">
        <w:rPr>
          <w:rFonts w:cs="Times New Roman"/>
        </w:rPr>
        <w:t xml:space="preserve"> (zalanie, pożar itd.)</w:t>
      </w:r>
      <w:r w:rsidR="00D550D5">
        <w:rPr>
          <w:rFonts w:cs="Times New Roman"/>
        </w:rPr>
        <w:t>.</w:t>
      </w:r>
    </w:p>
  </w:footnote>
  <w:footnote w:id="32">
    <w:p w14:paraId="7C2A463A" w14:textId="18C0D3DC" w:rsidR="007D79E9" w:rsidRPr="00EB18B4" w:rsidRDefault="007D79E9" w:rsidP="003E6CF8">
      <w:pPr>
        <w:pStyle w:val="ODNONIKtreodnonika"/>
        <w:rPr>
          <w:rFonts w:cs="Times New Roman"/>
        </w:rPr>
      </w:pPr>
      <w:r w:rsidRPr="00EB18B4">
        <w:rPr>
          <w:rStyle w:val="Odwoanieprzypisudolnego"/>
          <w:rFonts w:cs="Times New Roman"/>
        </w:rPr>
        <w:footnoteRef/>
      </w:r>
      <w:r w:rsidR="008763A1" w:rsidRPr="00EB18B4">
        <w:rPr>
          <w:rFonts w:cs="Times New Roman"/>
          <w:vertAlign w:val="superscript"/>
        </w:rPr>
        <w:t>)</w:t>
      </w:r>
      <w:r w:rsidR="008763A1" w:rsidRPr="00EB18B4">
        <w:rPr>
          <w:rFonts w:cs="Times New Roman"/>
        </w:rPr>
        <w:tab/>
      </w:r>
      <w:r w:rsidR="006559DF" w:rsidRPr="00EB18B4">
        <w:rPr>
          <w:rFonts w:cs="Times New Roman"/>
        </w:rPr>
        <w:t>Należy ustalić</w:t>
      </w:r>
      <w:r w:rsidR="008763A1" w:rsidRPr="00EB18B4">
        <w:rPr>
          <w:rFonts w:cs="Times New Roman"/>
        </w:rPr>
        <w:t xml:space="preserve">, </w:t>
      </w:r>
      <w:r w:rsidR="006559DF" w:rsidRPr="00EB18B4">
        <w:rPr>
          <w:rFonts w:cs="Times New Roman"/>
        </w:rPr>
        <w:t xml:space="preserve">które </w:t>
      </w:r>
      <w:r w:rsidR="00E11E0D" w:rsidRPr="00EB18B4">
        <w:rPr>
          <w:rFonts w:cs="Times New Roman"/>
        </w:rPr>
        <w:t>aktywności w SZBI podmiotu będą monitorowane, jakie będą wskaźniki (KPI)</w:t>
      </w:r>
      <w:r w:rsidR="00807600" w:rsidRPr="00EB18B4">
        <w:rPr>
          <w:rFonts w:cs="Times New Roman"/>
        </w:rPr>
        <w:t>, kiedy, w</w:t>
      </w:r>
      <w:r w:rsidR="00DE38C1">
        <w:rPr>
          <w:rFonts w:cs="Times New Roman"/>
        </w:rPr>
        <w:t> </w:t>
      </w:r>
      <w:r w:rsidR="00807600" w:rsidRPr="00EB18B4">
        <w:rPr>
          <w:rFonts w:cs="Times New Roman"/>
        </w:rPr>
        <w:t xml:space="preserve">jakich interwałach będą monitorowane, kto będzie to robił, czy </w:t>
      </w:r>
      <w:r w:rsidR="00D61710" w:rsidRPr="00EB18B4">
        <w:rPr>
          <w:rFonts w:cs="Times New Roman"/>
        </w:rPr>
        <w:t>nastąpi ich ewaluacja oraz kto za to będzie odpowiedzialny</w:t>
      </w:r>
      <w:r w:rsidR="008763A1" w:rsidRPr="00EB18B4">
        <w:rPr>
          <w:rFonts w:cs="Times New Roman"/>
        </w:rPr>
        <w:t>.</w:t>
      </w:r>
    </w:p>
  </w:footnote>
  <w:footnote w:id="33">
    <w:p w14:paraId="7D132519" w14:textId="57B6CB35" w:rsidR="00671B33" w:rsidRPr="00EB18B4" w:rsidRDefault="00671B33" w:rsidP="003E6CF8">
      <w:pPr>
        <w:pStyle w:val="ODNONIKtreodnonika"/>
        <w:rPr>
          <w:rFonts w:cs="Times New Roman"/>
        </w:rPr>
      </w:pPr>
      <w:r w:rsidRPr="00EB18B4">
        <w:rPr>
          <w:rStyle w:val="Odwoanieprzypisudolnego"/>
          <w:rFonts w:cs="Times New Roman"/>
        </w:rPr>
        <w:footnoteRef/>
      </w:r>
      <w:r w:rsidR="008763A1" w:rsidRPr="00EB18B4">
        <w:rPr>
          <w:rFonts w:cs="Times New Roman"/>
          <w:vertAlign w:val="superscript"/>
        </w:rPr>
        <w:t>)</w:t>
      </w:r>
      <w:r w:rsidR="008763A1" w:rsidRPr="00EB18B4">
        <w:rPr>
          <w:rFonts w:cs="Times New Roman"/>
        </w:rPr>
        <w:tab/>
      </w:r>
      <w:r w:rsidR="00773001" w:rsidRPr="00EB18B4">
        <w:rPr>
          <w:rFonts w:cs="Times New Roman"/>
        </w:rPr>
        <w:t xml:space="preserve">Polityki i procedury stosowania kryptografii obejmują </w:t>
      </w:r>
      <w:r w:rsidR="00B376E5" w:rsidRPr="00EB18B4">
        <w:rPr>
          <w:rFonts w:cs="Times New Roman"/>
        </w:rPr>
        <w:t xml:space="preserve">m. in. </w:t>
      </w:r>
      <w:r w:rsidR="00BB7C33" w:rsidRPr="00EB18B4">
        <w:rPr>
          <w:rFonts w:cs="Times New Roman"/>
        </w:rPr>
        <w:t xml:space="preserve">jakie protokoły i algorytmy, </w:t>
      </w:r>
      <w:r w:rsidR="0047066D" w:rsidRPr="00EB18B4">
        <w:rPr>
          <w:rFonts w:cs="Times New Roman"/>
        </w:rPr>
        <w:t>rozwiązania</w:t>
      </w:r>
      <w:r w:rsidR="00BB7C33" w:rsidRPr="00EB18B4">
        <w:rPr>
          <w:rFonts w:cs="Times New Roman"/>
        </w:rPr>
        <w:t xml:space="preserve"> </w:t>
      </w:r>
      <w:r w:rsidR="000F0272" w:rsidRPr="00EB18B4">
        <w:rPr>
          <w:rFonts w:cs="Times New Roman"/>
        </w:rPr>
        <w:t>i</w:t>
      </w:r>
      <w:r w:rsidR="00B56486">
        <w:rPr>
          <w:rFonts w:cs="Times New Roman"/>
        </w:rPr>
        <w:t> </w:t>
      </w:r>
      <w:r w:rsidR="000F0272" w:rsidRPr="00EB18B4">
        <w:rPr>
          <w:rFonts w:cs="Times New Roman"/>
        </w:rPr>
        <w:t xml:space="preserve">praktyki są zatwierdzone do używania w </w:t>
      </w:r>
      <w:r w:rsidR="004402AF" w:rsidRPr="00EB18B4">
        <w:rPr>
          <w:rFonts w:cs="Times New Roman"/>
        </w:rPr>
        <w:t>podmiocie oraz</w:t>
      </w:r>
      <w:r w:rsidR="00B376E5" w:rsidRPr="00EB18B4">
        <w:rPr>
          <w:rFonts w:cs="Times New Roman"/>
        </w:rPr>
        <w:t xml:space="preserve"> kwestie</w:t>
      </w:r>
      <w:r w:rsidR="009D2437" w:rsidRPr="00EB18B4">
        <w:rPr>
          <w:rFonts w:cs="Times New Roman"/>
        </w:rPr>
        <w:t xml:space="preserve"> </w:t>
      </w:r>
      <w:r w:rsidR="00741DBD" w:rsidRPr="00EB18B4">
        <w:rPr>
          <w:rFonts w:cs="Times New Roman"/>
        </w:rPr>
        <w:t>zarządzanie kluczami</w:t>
      </w:r>
      <w:r w:rsidR="00BB7C33" w:rsidRPr="00EB18B4">
        <w:rPr>
          <w:rFonts w:cs="Times New Roman"/>
        </w:rPr>
        <w:t>.</w:t>
      </w:r>
    </w:p>
  </w:footnote>
  <w:footnote w:id="34">
    <w:p w14:paraId="0A71FA83" w14:textId="21241FDC" w:rsidR="00216DEE" w:rsidRPr="00EB18B4" w:rsidRDefault="00216DEE" w:rsidP="003E6CF8">
      <w:pPr>
        <w:pStyle w:val="ODNONIKtreodnonika"/>
        <w:rPr>
          <w:rFonts w:cs="Times New Roman"/>
        </w:rPr>
      </w:pPr>
      <w:r w:rsidRPr="00EB18B4">
        <w:rPr>
          <w:rStyle w:val="Odwoanieprzypisudolnego"/>
          <w:rFonts w:cs="Times New Roman"/>
        </w:rPr>
        <w:footnoteRef/>
      </w:r>
      <w:r w:rsidR="00DC4BA6" w:rsidRPr="00EB18B4">
        <w:rPr>
          <w:rFonts w:cs="Times New Roman"/>
          <w:vertAlign w:val="superscript"/>
        </w:rPr>
        <w:t>)</w:t>
      </w:r>
      <w:r w:rsidR="008763A1" w:rsidRPr="00EB18B4">
        <w:rPr>
          <w:rFonts w:cs="Times New Roman"/>
        </w:rPr>
        <w:tab/>
      </w:r>
      <w:r w:rsidRPr="00EB18B4">
        <w:rPr>
          <w:rFonts w:cs="Times New Roman"/>
        </w:rPr>
        <w:t>Należy ustalić klasyfikację aktywów</w:t>
      </w:r>
      <w:r w:rsidR="00CC2080" w:rsidRPr="00EB18B4">
        <w:rPr>
          <w:rFonts w:cs="Times New Roman"/>
        </w:rPr>
        <w:t>, polityki/procedury właściwego zarządzania aktywami</w:t>
      </w:r>
      <w:r w:rsidR="00A21F86" w:rsidRPr="00EB18B4">
        <w:rPr>
          <w:rFonts w:cs="Times New Roman"/>
        </w:rPr>
        <w:t>, prowadzić inwentaryzację aktywów</w:t>
      </w:r>
      <w:r w:rsidR="00D43D02" w:rsidRPr="00EB18B4">
        <w:rPr>
          <w:rFonts w:cs="Times New Roman"/>
        </w:rPr>
        <w:t xml:space="preserve"> oraz dbać o zwrot aktywów po zakończeniu umowy z personelem.</w:t>
      </w:r>
    </w:p>
  </w:footnote>
  <w:footnote w:id="35">
    <w:p w14:paraId="79C12EBC" w14:textId="5FC8C5E4" w:rsidR="004F74E5" w:rsidRPr="00EB18B4" w:rsidRDefault="004F74E5" w:rsidP="003E6CF8">
      <w:pPr>
        <w:pStyle w:val="ODNONIKtreodnonika"/>
        <w:rPr>
          <w:rFonts w:cs="Times New Roman"/>
        </w:rPr>
      </w:pPr>
      <w:r w:rsidRPr="00EB18B4">
        <w:rPr>
          <w:rStyle w:val="Odwoanieprzypisudolnego"/>
          <w:rFonts w:cs="Times New Roman"/>
        </w:rPr>
        <w:footnoteRef/>
      </w:r>
      <w:r w:rsidR="00DC4BA6" w:rsidRPr="00EB18B4">
        <w:rPr>
          <w:rFonts w:cs="Times New Roman"/>
          <w:vertAlign w:val="superscript"/>
        </w:rPr>
        <w:t xml:space="preserve">) </w:t>
      </w:r>
      <w:r w:rsidR="00B10C00" w:rsidRPr="00EB18B4">
        <w:rPr>
          <w:rFonts w:cs="Times New Roman"/>
        </w:rPr>
        <w:t xml:space="preserve">Należy ustalić politykę </w:t>
      </w:r>
      <w:r w:rsidR="009315D7" w:rsidRPr="00EB18B4">
        <w:rPr>
          <w:rFonts w:cs="Times New Roman"/>
        </w:rPr>
        <w:t xml:space="preserve">kontroli dostępu </w:t>
      </w:r>
      <w:r w:rsidR="00252C39" w:rsidRPr="00EB18B4">
        <w:rPr>
          <w:rFonts w:cs="Times New Roman"/>
        </w:rPr>
        <w:t>wskazującą kto może uzyskać dostęp fizyczny i logiczny do zasobów</w:t>
      </w:r>
      <w:r w:rsidR="00EE7C92" w:rsidRPr="00EB18B4">
        <w:rPr>
          <w:rFonts w:cs="Times New Roman"/>
        </w:rPr>
        <w:t>.</w:t>
      </w:r>
      <w:r w:rsidR="00F82B01" w:rsidRPr="00EB18B4">
        <w:rPr>
          <w:rFonts w:cs="Times New Roman"/>
        </w:rPr>
        <w:t xml:space="preserve"> Należy zarządzać prawami dostępu </w:t>
      </w:r>
      <w:r w:rsidR="00E60FE6" w:rsidRPr="00EB18B4">
        <w:rPr>
          <w:rFonts w:cs="Times New Roman"/>
        </w:rPr>
        <w:t>i anulować dostęp dla osób, które już nie potrzebują dostępu do aktywów</w:t>
      </w:r>
      <w:r w:rsidR="009C43CA" w:rsidRPr="00EB18B4">
        <w:rPr>
          <w:rFonts w:cs="Times New Roman"/>
        </w:rPr>
        <w:t>, w tym także personelu zewnętrznego dostawcy</w:t>
      </w:r>
      <w:r w:rsidR="00946B10" w:rsidRPr="00EB18B4">
        <w:rPr>
          <w:rFonts w:cs="Times New Roman"/>
        </w:rPr>
        <w:t>. Należy prowadzić rejestr udzielonych dostępów</w:t>
      </w:r>
      <w:r w:rsidR="00C31398" w:rsidRPr="00EB18B4">
        <w:rPr>
          <w:rFonts w:cs="Times New Roman"/>
        </w:rPr>
        <w:t>.</w:t>
      </w:r>
    </w:p>
  </w:footnote>
  <w:footnote w:id="36">
    <w:p w14:paraId="2665B339" w14:textId="01E711C5" w:rsidR="004208BA" w:rsidRPr="00EB18B4" w:rsidRDefault="004208BA" w:rsidP="003E6CF8">
      <w:pPr>
        <w:pStyle w:val="ODNONIKtreodnonika"/>
        <w:rPr>
          <w:rFonts w:cs="Times New Roman"/>
        </w:rPr>
      </w:pPr>
      <w:r w:rsidRPr="00EB18B4">
        <w:rPr>
          <w:rStyle w:val="Odwoanieprzypisudolnego"/>
          <w:rFonts w:cs="Times New Roman"/>
        </w:rPr>
        <w:footnoteRef/>
      </w:r>
      <w:r w:rsidR="00DC4BA6" w:rsidRPr="00EB18B4">
        <w:rPr>
          <w:rFonts w:cs="Times New Roman"/>
          <w:vertAlign w:val="superscript"/>
        </w:rPr>
        <w:t>)</w:t>
      </w:r>
      <w:r w:rsidRPr="00EB18B4">
        <w:rPr>
          <w:rFonts w:cs="Times New Roman"/>
        </w:rPr>
        <w:t xml:space="preserve"> Zbieranie informacji o cyberzagrożeniach i podatnościach</w:t>
      </w:r>
      <w:r w:rsidR="00E30E59" w:rsidRPr="00EB18B4">
        <w:rPr>
          <w:rFonts w:cs="Times New Roman"/>
        </w:rPr>
        <w:t xml:space="preserve"> pozwala na rozwój własnego personelu, zwiększa dojrzałość organizacji, umożliwia prewencyjne </w:t>
      </w:r>
      <w:r w:rsidR="00967291" w:rsidRPr="00EB18B4">
        <w:rPr>
          <w:rFonts w:cs="Times New Roman"/>
        </w:rPr>
        <w:t>usunięcie podatności w systemie lub zabezpieczenie się przed cyberzagrożeniem.</w:t>
      </w:r>
    </w:p>
  </w:footnote>
  <w:footnote w:id="37">
    <w:p w14:paraId="7F5A66BB" w14:textId="3B1BBC71" w:rsidR="001F1139" w:rsidRPr="00EB18B4" w:rsidRDefault="001F1139" w:rsidP="003E6CF8">
      <w:pPr>
        <w:pStyle w:val="ODNONIKtreodnonika"/>
        <w:rPr>
          <w:rFonts w:cs="Times New Roman"/>
        </w:rPr>
      </w:pPr>
      <w:r w:rsidRPr="00EB18B4">
        <w:rPr>
          <w:rStyle w:val="Odwoanieprzypisudolnego"/>
          <w:rFonts w:cs="Times New Roman"/>
        </w:rPr>
        <w:footnoteRef/>
      </w:r>
      <w:r w:rsidR="00DC4BA6" w:rsidRPr="00EB18B4">
        <w:rPr>
          <w:rFonts w:cs="Times New Roman"/>
          <w:vertAlign w:val="superscript"/>
        </w:rPr>
        <w:t>)</w:t>
      </w:r>
      <w:r w:rsidR="00DC4BA6" w:rsidRPr="00EB18B4">
        <w:rPr>
          <w:rFonts w:cs="Times New Roman"/>
        </w:rPr>
        <w:tab/>
      </w:r>
      <w:r w:rsidR="007C5B0C" w:rsidRPr="00EB18B4">
        <w:rPr>
          <w:rFonts w:cs="Times New Roman"/>
        </w:rPr>
        <w:t>Warto opracować politykę zarządzania incydentami,</w:t>
      </w:r>
      <w:r w:rsidR="00FF5C7B" w:rsidRPr="00EB18B4">
        <w:rPr>
          <w:rFonts w:cs="Times New Roman"/>
        </w:rPr>
        <w:t xml:space="preserve"> </w:t>
      </w:r>
      <w:r w:rsidR="00F96CA5" w:rsidRPr="00EB18B4">
        <w:rPr>
          <w:rFonts w:cs="Times New Roman"/>
        </w:rPr>
        <w:t xml:space="preserve">wprowadzić narzędzie do </w:t>
      </w:r>
      <w:r w:rsidR="005E1302" w:rsidRPr="00EB18B4">
        <w:rPr>
          <w:rFonts w:cs="Times New Roman"/>
        </w:rPr>
        <w:t xml:space="preserve">zgłaszania </w:t>
      </w:r>
      <w:r w:rsidR="00E26825" w:rsidRPr="00EB18B4">
        <w:rPr>
          <w:rFonts w:cs="Times New Roman"/>
        </w:rPr>
        <w:t xml:space="preserve">incydentów wewnątrz podmiotu, </w:t>
      </w:r>
      <w:r w:rsidR="00564E51" w:rsidRPr="00EB18B4">
        <w:rPr>
          <w:rFonts w:cs="Times New Roman"/>
        </w:rPr>
        <w:t xml:space="preserve">wprowadzić procedurę </w:t>
      </w:r>
      <w:r w:rsidR="004208BA" w:rsidRPr="00EB18B4">
        <w:rPr>
          <w:rFonts w:cs="Times New Roman"/>
        </w:rPr>
        <w:t>obsługi incydentów.</w:t>
      </w:r>
    </w:p>
  </w:footnote>
  <w:footnote w:id="38">
    <w:p w14:paraId="3EA01DC9" w14:textId="4E673AA5" w:rsidR="00E04D13" w:rsidRPr="009D435E" w:rsidRDefault="00E04D13" w:rsidP="00C358F2">
      <w:pPr>
        <w:pStyle w:val="Tekstprzypisudolnego"/>
        <w:spacing w:line="240" w:lineRule="auto"/>
        <w:ind w:left="284" w:hanging="284"/>
        <w:jc w:val="both"/>
        <w:rPr>
          <w:rFonts w:ascii="Times New Roman" w:hAnsi="Times New Roman" w:cs="Times New Roman"/>
          <w:sz w:val="20"/>
          <w:szCs w:val="20"/>
        </w:rPr>
      </w:pPr>
      <w:r w:rsidRPr="009D435E">
        <w:rPr>
          <w:rStyle w:val="Odwoanieprzypisudolnego"/>
          <w:rFonts w:ascii="Times New Roman" w:hAnsi="Times New Roman" w:cs="Times New Roman"/>
          <w:sz w:val="20"/>
          <w:szCs w:val="20"/>
        </w:rPr>
        <w:footnoteRef/>
      </w:r>
      <w:r w:rsidR="00A84231" w:rsidRPr="009D435E">
        <w:rPr>
          <w:rFonts w:ascii="Times New Roman" w:hAnsi="Times New Roman" w:cs="Times New Roman"/>
          <w:sz w:val="20"/>
          <w:szCs w:val="20"/>
          <w:vertAlign w:val="superscript"/>
        </w:rPr>
        <w:t>)</w:t>
      </w:r>
      <w:r w:rsidRPr="009D435E">
        <w:rPr>
          <w:rFonts w:ascii="Times New Roman" w:hAnsi="Times New Roman" w:cs="Times New Roman"/>
          <w:sz w:val="20"/>
          <w:szCs w:val="20"/>
        </w:rPr>
        <w:t xml:space="preserve"> </w:t>
      </w:r>
      <w:r w:rsidR="006814B1" w:rsidRPr="009D435E">
        <w:rPr>
          <w:rFonts w:ascii="Times New Roman" w:hAnsi="Times New Roman" w:cs="Times New Roman"/>
          <w:sz w:val="20"/>
          <w:szCs w:val="20"/>
        </w:rPr>
        <w:t>Czyli przestępstwa określone w rozdziale XXXIII Kodeksu karnego – art. 265 (ujawnienie</w:t>
      </w:r>
      <w:r w:rsidR="00315121" w:rsidRPr="009D435E">
        <w:rPr>
          <w:rFonts w:ascii="Times New Roman" w:hAnsi="Times New Roman" w:cs="Times New Roman"/>
          <w:sz w:val="20"/>
          <w:szCs w:val="20"/>
        </w:rPr>
        <w:t xml:space="preserve"> informacji niejawnych), art. 266 (ujawnienie informacji służbowych), art. 267 (</w:t>
      </w:r>
      <w:r w:rsidR="00797B99" w:rsidRPr="009D435E">
        <w:rPr>
          <w:rFonts w:ascii="Times New Roman" w:hAnsi="Times New Roman" w:cs="Times New Roman"/>
          <w:sz w:val="20"/>
          <w:szCs w:val="20"/>
        </w:rPr>
        <w:t xml:space="preserve">nielegalne uzyskanie informacji), art. 268 (niszczenie informacji), art. </w:t>
      </w:r>
      <w:r w:rsidR="00013469" w:rsidRPr="009D435E">
        <w:rPr>
          <w:rFonts w:ascii="Times New Roman" w:hAnsi="Times New Roman" w:cs="Times New Roman"/>
          <w:sz w:val="20"/>
          <w:szCs w:val="20"/>
        </w:rPr>
        <w:t>268a (niszczenie danych w systemach), art. 269 (sabotaż komputerowy), art. 269a (zakłócanie sieci i systemów), art. 269b (</w:t>
      </w:r>
      <w:r w:rsidR="00201CAD" w:rsidRPr="009D435E">
        <w:rPr>
          <w:rFonts w:ascii="Times New Roman" w:hAnsi="Times New Roman" w:cs="Times New Roman"/>
          <w:sz w:val="20"/>
          <w:szCs w:val="20"/>
        </w:rPr>
        <w:t>bezprawne wykorzystanie programów i danych).</w:t>
      </w:r>
    </w:p>
  </w:footnote>
  <w:footnote w:id="39">
    <w:p w14:paraId="669AEAC6" w14:textId="218EF370" w:rsidR="00CE3666" w:rsidRPr="00F805CA" w:rsidRDefault="00CE3666" w:rsidP="00365E5E">
      <w:pPr>
        <w:pStyle w:val="Tekstprzypisudolnego"/>
        <w:tabs>
          <w:tab w:val="left" w:pos="426"/>
        </w:tabs>
        <w:spacing w:after="60" w:line="240" w:lineRule="auto"/>
        <w:jc w:val="both"/>
        <w:rPr>
          <w:rFonts w:ascii="Times New Roman" w:hAnsi="Times New Roman" w:cs="Times New Roman"/>
          <w:sz w:val="20"/>
          <w:szCs w:val="20"/>
        </w:rPr>
      </w:pPr>
      <w:r w:rsidRPr="00F805CA">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w:t>
      </w:r>
      <w:r w:rsidR="00EB63A3" w:rsidRPr="00F805CA">
        <w:rPr>
          <w:rFonts w:ascii="Times New Roman" w:hAnsi="Times New Roman" w:cs="Times New Roman"/>
          <w:sz w:val="20"/>
          <w:szCs w:val="20"/>
          <w:vertAlign w:val="superscript"/>
        </w:rPr>
        <w:tab/>
      </w:r>
      <w:proofErr w:type="gramStart"/>
      <w:r w:rsidR="00EB63A3" w:rsidRPr="00F805CA">
        <w:rPr>
          <w:rFonts w:ascii="Times New Roman" w:hAnsi="Times New Roman" w:cs="Times New Roman"/>
        </w:rPr>
        <w:t>https://datatracker.ietf.org/doc/html/rfc2350</w:t>
      </w:r>
      <w:r w:rsidRPr="00F805CA">
        <w:rPr>
          <w:rFonts w:ascii="Times New Roman" w:hAnsi="Times New Roman" w:cs="Times New Roman"/>
          <w:sz w:val="20"/>
          <w:szCs w:val="20"/>
        </w:rPr>
        <w:t xml:space="preserve"> .</w:t>
      </w:r>
      <w:proofErr w:type="gramEnd"/>
      <w:r w:rsidRPr="00F805CA">
        <w:rPr>
          <w:rFonts w:ascii="Times New Roman" w:hAnsi="Times New Roman" w:cs="Times New Roman"/>
          <w:sz w:val="20"/>
          <w:szCs w:val="20"/>
        </w:rPr>
        <w:t xml:space="preserve"> </w:t>
      </w:r>
      <w:r w:rsidRPr="00F805CA">
        <w:rPr>
          <w:rFonts w:ascii="Times New Roman" w:hAnsi="Times New Roman" w:cs="Times New Roman"/>
          <w:sz w:val="20"/>
          <w:szCs w:val="20"/>
        </w:rPr>
        <w:br/>
        <w:t>Jako przykłady praktyki można wskazać:</w:t>
      </w:r>
    </w:p>
    <w:p w14:paraId="602D8B4A" w14:textId="4E8F7B3F" w:rsidR="00CE3666" w:rsidRPr="00F805CA" w:rsidRDefault="00CE3666" w:rsidP="00A6609C">
      <w:pPr>
        <w:pStyle w:val="Tekstprzypisudolnego"/>
        <w:spacing w:after="60" w:line="240" w:lineRule="auto"/>
        <w:jc w:val="both"/>
        <w:rPr>
          <w:rFonts w:ascii="Times New Roman" w:hAnsi="Times New Roman" w:cs="Times New Roman"/>
          <w:sz w:val="20"/>
          <w:szCs w:val="20"/>
        </w:rPr>
      </w:pPr>
      <w:r w:rsidRPr="00F805CA">
        <w:rPr>
          <w:rFonts w:ascii="Times New Roman" w:hAnsi="Times New Roman" w:cs="Times New Roman"/>
        </w:rPr>
        <w:t>https://www.knf.gov.pl/knf/pl/komponenty/img/RFC2350.pdf</w:t>
      </w:r>
      <w:r w:rsidRPr="00F805CA">
        <w:rPr>
          <w:rFonts w:ascii="Times New Roman" w:hAnsi="Times New Roman" w:cs="Times New Roman"/>
          <w:sz w:val="20"/>
          <w:szCs w:val="20"/>
        </w:rPr>
        <w:t xml:space="preserve"> </w:t>
      </w:r>
    </w:p>
    <w:p w14:paraId="4E457C29" w14:textId="66F8FAEB" w:rsidR="00CE3666" w:rsidRPr="00F805CA" w:rsidRDefault="00CE3666" w:rsidP="00A6609C">
      <w:pPr>
        <w:pStyle w:val="Tekstprzypisudolnego"/>
        <w:spacing w:after="60" w:line="240" w:lineRule="auto"/>
        <w:jc w:val="both"/>
        <w:rPr>
          <w:rFonts w:ascii="Times New Roman" w:hAnsi="Times New Roman" w:cs="Times New Roman"/>
          <w:sz w:val="20"/>
          <w:szCs w:val="20"/>
        </w:rPr>
      </w:pPr>
      <w:r w:rsidRPr="00F805CA">
        <w:rPr>
          <w:rFonts w:ascii="Times New Roman" w:hAnsi="Times New Roman" w:cs="Times New Roman"/>
        </w:rPr>
        <w:t>https://www.csirt.gov.sk/csirt-sk-description-document-according-to-rfc-2350.html</w:t>
      </w:r>
      <w:r w:rsidRPr="00F805CA">
        <w:rPr>
          <w:rFonts w:ascii="Times New Roman" w:hAnsi="Times New Roman" w:cs="Times New Roman"/>
          <w:sz w:val="20"/>
          <w:szCs w:val="20"/>
        </w:rPr>
        <w:t xml:space="preserve"> </w:t>
      </w:r>
    </w:p>
    <w:p w14:paraId="5AB90869" w14:textId="65395ACC" w:rsidR="00CE3666" w:rsidRPr="00EB18B4" w:rsidRDefault="00CE3666" w:rsidP="00A6609C">
      <w:pPr>
        <w:pStyle w:val="Tekstprzypisudolnego"/>
        <w:spacing w:after="60" w:line="240" w:lineRule="auto"/>
        <w:jc w:val="both"/>
        <w:rPr>
          <w:rFonts w:ascii="Times New Roman" w:hAnsi="Times New Roman" w:cs="Times New Roman"/>
          <w:sz w:val="20"/>
          <w:szCs w:val="20"/>
        </w:rPr>
      </w:pPr>
      <w:r w:rsidRPr="00F805CA">
        <w:rPr>
          <w:rFonts w:ascii="Times New Roman" w:hAnsi="Times New Roman" w:cs="Times New Roman"/>
        </w:rPr>
        <w:t>https://www.ncsc.gov.ie/pdfs/RFC2350%20NCSC-IE.txt</w:t>
      </w:r>
      <w:r w:rsidRPr="00F805CA">
        <w:rPr>
          <w:rFonts w:ascii="Times New Roman" w:hAnsi="Times New Roman" w:cs="Times New Roman"/>
          <w:sz w:val="20"/>
          <w:szCs w:val="20"/>
        </w:rPr>
        <w:t>.</w:t>
      </w:r>
    </w:p>
  </w:footnote>
  <w:footnote w:id="40">
    <w:p w14:paraId="3870858B" w14:textId="6CEAE5C2" w:rsidR="006370B4" w:rsidRPr="00533D2A" w:rsidRDefault="006370B4" w:rsidP="00916D56">
      <w:pPr>
        <w:pStyle w:val="Tekstprzypisudolnego"/>
        <w:spacing w:line="240" w:lineRule="auto"/>
        <w:jc w:val="both"/>
        <w:rPr>
          <w:rFonts w:ascii="Times New Roman" w:hAnsi="Times New Roman" w:cs="Times New Roman"/>
          <w:sz w:val="20"/>
          <w:szCs w:val="20"/>
          <w:lang w:val="en-GB"/>
        </w:rPr>
      </w:pPr>
      <w:r w:rsidRPr="00533D2A">
        <w:rPr>
          <w:rStyle w:val="Odwoanieprzypisudolnego"/>
          <w:rFonts w:ascii="Times New Roman" w:hAnsi="Times New Roman" w:cs="Times New Roman"/>
          <w:sz w:val="20"/>
          <w:szCs w:val="20"/>
        </w:rPr>
        <w:footnoteRef/>
      </w:r>
      <w:r w:rsidR="00CB3DDF">
        <w:rPr>
          <w:rFonts w:ascii="Times New Roman" w:hAnsi="Times New Roman" w:cs="Times New Roman"/>
          <w:sz w:val="20"/>
          <w:szCs w:val="20"/>
          <w:vertAlign w:val="superscript"/>
          <w:lang w:val="en-GB"/>
        </w:rPr>
        <w:t>)</w:t>
      </w:r>
      <w:r w:rsidRPr="00533D2A">
        <w:rPr>
          <w:rFonts w:ascii="Times New Roman" w:hAnsi="Times New Roman" w:cs="Times New Roman"/>
          <w:sz w:val="20"/>
          <w:szCs w:val="20"/>
          <w:lang w:val="en-GB"/>
        </w:rPr>
        <w:t xml:space="preserve"> C. Johnson i in., Guide to Cyber Threat Information Sharing, National Institute of Standards and Technology, 4 października 2016 r., https://csrc.nist.gov/pubs/sp/800/150/final.</w:t>
      </w:r>
    </w:p>
  </w:footnote>
  <w:footnote w:id="41">
    <w:p w14:paraId="0E7F90B8" w14:textId="6F2E26C3" w:rsidR="00F13F73" w:rsidRPr="00533D2A" w:rsidRDefault="00F13F73" w:rsidP="00533D2A">
      <w:pPr>
        <w:pStyle w:val="Tekstprzypisudolnego"/>
        <w:jc w:val="both"/>
        <w:rPr>
          <w:rFonts w:ascii="Times New Roman" w:hAnsi="Times New Roman" w:cs="Times New Roman"/>
          <w:sz w:val="20"/>
          <w:szCs w:val="20"/>
          <w:lang w:val="en-GB"/>
        </w:rPr>
      </w:pPr>
      <w:r w:rsidRPr="00533D2A">
        <w:rPr>
          <w:rStyle w:val="Odwoanieprzypisudolnego"/>
          <w:rFonts w:ascii="Times New Roman" w:hAnsi="Times New Roman" w:cs="Times New Roman"/>
          <w:sz w:val="20"/>
          <w:szCs w:val="20"/>
        </w:rPr>
        <w:footnoteRef/>
      </w:r>
      <w:r w:rsidR="00CB3DDF">
        <w:rPr>
          <w:rFonts w:ascii="Times New Roman" w:hAnsi="Times New Roman" w:cs="Times New Roman"/>
          <w:sz w:val="20"/>
          <w:szCs w:val="20"/>
          <w:vertAlign w:val="superscript"/>
          <w:lang w:val="en-GB"/>
        </w:rPr>
        <w:t>)</w:t>
      </w:r>
      <w:r w:rsidRPr="00533D2A">
        <w:rPr>
          <w:rFonts w:ascii="Times New Roman" w:hAnsi="Times New Roman" w:cs="Times New Roman"/>
          <w:sz w:val="20"/>
          <w:szCs w:val="20"/>
          <w:lang w:val="en-GB"/>
        </w:rPr>
        <w:t xml:space="preserve"> https://www.first.org/tlp/</w:t>
      </w:r>
    </w:p>
  </w:footnote>
  <w:footnote w:id="42">
    <w:p w14:paraId="0B3514F5" w14:textId="4D1C223D" w:rsidR="00AA37B5" w:rsidRPr="00F805CA" w:rsidRDefault="00AA37B5" w:rsidP="00D550D5">
      <w:pPr>
        <w:pStyle w:val="Tekstprzypisudolnego"/>
        <w:spacing w:line="240" w:lineRule="auto"/>
        <w:jc w:val="both"/>
        <w:rPr>
          <w:rFonts w:ascii="Times New Roman" w:hAnsi="Times New Roman" w:cs="Times New Roman"/>
          <w:sz w:val="20"/>
          <w:szCs w:val="20"/>
          <w:lang w:val="en-GB"/>
        </w:rPr>
      </w:pPr>
      <w:r w:rsidRPr="00F805CA">
        <w:rPr>
          <w:rStyle w:val="Odwoanieprzypisudolnego"/>
          <w:rFonts w:ascii="Times New Roman" w:hAnsi="Times New Roman" w:cs="Times New Roman"/>
          <w:sz w:val="20"/>
          <w:szCs w:val="20"/>
        </w:rPr>
        <w:footnoteRef/>
      </w:r>
      <w:r w:rsidR="00EB49FB" w:rsidRPr="00F805CA">
        <w:rPr>
          <w:rFonts w:ascii="Times New Roman" w:hAnsi="Times New Roman" w:cs="Times New Roman"/>
          <w:sz w:val="20"/>
          <w:szCs w:val="20"/>
          <w:vertAlign w:val="superscript"/>
          <w:lang w:val="en-GB"/>
        </w:rPr>
        <w:t>)</w:t>
      </w:r>
      <w:r w:rsidRPr="00F805CA">
        <w:rPr>
          <w:rFonts w:ascii="Times New Roman" w:hAnsi="Times New Roman" w:cs="Times New Roman"/>
          <w:sz w:val="20"/>
          <w:szCs w:val="20"/>
          <w:lang w:val="en-GB"/>
        </w:rPr>
        <w:t xml:space="preserve"> Szablon opracowano na podstawie</w:t>
      </w:r>
      <w:proofErr w:type="gramStart"/>
      <w:r w:rsidRPr="00F805CA">
        <w:rPr>
          <w:rFonts w:ascii="Times New Roman" w:hAnsi="Times New Roman" w:cs="Times New Roman"/>
          <w:sz w:val="20"/>
          <w:szCs w:val="20"/>
          <w:lang w:val="en-GB"/>
        </w:rPr>
        <w:t xml:space="preserve">: </w:t>
      </w:r>
      <w:r w:rsidR="00996565" w:rsidRPr="00F805CA">
        <w:rPr>
          <w:rFonts w:ascii="Times New Roman" w:hAnsi="Times New Roman" w:cs="Times New Roman"/>
          <w:sz w:val="20"/>
          <w:szCs w:val="20"/>
          <w:lang w:val="en-GB"/>
        </w:rPr>
        <w:t>.</w:t>
      </w:r>
      <w:proofErr w:type="gramEnd"/>
      <w:r w:rsidR="00996565" w:rsidRPr="00F805CA">
        <w:rPr>
          <w:rFonts w:ascii="Times New Roman" w:hAnsi="Times New Roman" w:cs="Times New Roman"/>
          <w:sz w:val="20"/>
          <w:szCs w:val="20"/>
          <w:lang w:val="en-GB"/>
        </w:rPr>
        <w:t xml:space="preserve"> European Union Agency for Cybersecurity, </w:t>
      </w:r>
      <w:r w:rsidR="00996565" w:rsidRPr="00F805CA">
        <w:rPr>
          <w:rFonts w:ascii="Times New Roman" w:hAnsi="Times New Roman" w:cs="Times New Roman"/>
          <w:i/>
          <w:sz w:val="20"/>
          <w:szCs w:val="20"/>
          <w:lang w:val="en-GB"/>
        </w:rPr>
        <w:t>Cyber threats outreach in telecom: guidelines for national authorities and telecom providers on outreach to users about cyber threats.</w:t>
      </w:r>
      <w:r w:rsidR="00996565" w:rsidRPr="00F805CA">
        <w:rPr>
          <w:rFonts w:ascii="Times New Roman" w:hAnsi="Times New Roman" w:cs="Times New Roman"/>
          <w:sz w:val="20"/>
          <w:szCs w:val="20"/>
          <w:lang w:val="en-GB"/>
        </w:rPr>
        <w:t xml:space="preserve">, 2022, s. 27. </w:t>
      </w:r>
      <w:r w:rsidR="00832D15" w:rsidRPr="00F805CA">
        <w:rPr>
          <w:rFonts w:ascii="Times New Roman" w:hAnsi="Times New Roman" w:cs="Times New Roman"/>
          <w:lang w:val="en-GB"/>
        </w:rPr>
        <w:t>https://www.enisa.europa.eu/publications/cyber-threats-outreach-in-telecom</w:t>
      </w:r>
      <w:r w:rsidR="00996565" w:rsidRPr="00F805CA">
        <w:rPr>
          <w:rFonts w:ascii="Times New Roman" w:hAnsi="Times New Roman" w:cs="Times New Roman"/>
          <w:sz w:val="20"/>
          <w:szCs w:val="20"/>
          <w:lang w:val="en-GB"/>
        </w:rPr>
        <w:t>.</w:t>
      </w:r>
    </w:p>
  </w:footnote>
  <w:footnote w:id="43">
    <w:p w14:paraId="1D3753CD" w14:textId="45E8359F" w:rsidR="00E263CA" w:rsidRPr="00EB18B4" w:rsidRDefault="00E263CA">
      <w:pPr>
        <w:pStyle w:val="Tekstprzypisudolnego"/>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137E81"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Technologie należy rozumieć </w:t>
      </w:r>
      <w:proofErr w:type="gramStart"/>
      <w:r w:rsidR="00725729" w:rsidRPr="00EB18B4">
        <w:rPr>
          <w:rFonts w:ascii="Times New Roman" w:hAnsi="Times New Roman" w:cs="Times New Roman"/>
          <w:sz w:val="20"/>
          <w:szCs w:val="20"/>
        </w:rPr>
        <w:t>szeroko,</w:t>
      </w:r>
      <w:proofErr w:type="gramEnd"/>
      <w:r w:rsidR="00725729" w:rsidRPr="00EB18B4">
        <w:rPr>
          <w:rFonts w:ascii="Times New Roman" w:hAnsi="Times New Roman" w:cs="Times New Roman"/>
          <w:sz w:val="20"/>
          <w:szCs w:val="20"/>
        </w:rPr>
        <w:t xml:space="preserve"> jako produkty, usługi, procesy ICT.</w:t>
      </w:r>
    </w:p>
  </w:footnote>
  <w:footnote w:id="44">
    <w:p w14:paraId="73D041FF" w14:textId="27A256A9" w:rsidR="00531D99" w:rsidRPr="00533D2A" w:rsidRDefault="00531D99" w:rsidP="00CE36D9">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D24B4F">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 1. Za szkodę wyrządzoną przez niezgodne z prawem działanie lub zaniechanie przy wykonywaniu władzy publicznej ponosi odpowiedzialność Skarb Państwa lub jednostka samorządu terytorialnego lub inna osoba prawna wykonująca tę władzę z mocy prawa.</w:t>
      </w:r>
    </w:p>
  </w:footnote>
  <w:footnote w:id="45">
    <w:p w14:paraId="0A5334F9" w14:textId="6ACE96B9" w:rsidR="009D0B8B" w:rsidRPr="00EB18B4" w:rsidRDefault="009D0B8B" w:rsidP="00746132">
      <w:pPr>
        <w:pStyle w:val="Tekstprzypisudolnego"/>
        <w:spacing w:after="60" w:line="240" w:lineRule="auto"/>
        <w:ind w:left="284" w:hanging="284"/>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w:t>
      </w:r>
      <w:r w:rsidR="008F111F" w:rsidRPr="00F805CA">
        <w:rPr>
          <w:rFonts w:ascii="Times New Roman" w:hAnsi="Times New Roman" w:cs="Times New Roman"/>
          <w:sz w:val="20"/>
          <w:szCs w:val="20"/>
        </w:rPr>
        <w:t xml:space="preserve"> P</w:t>
      </w:r>
      <w:r w:rsidRPr="00F805CA">
        <w:rPr>
          <w:rFonts w:ascii="Times New Roman" w:hAnsi="Times New Roman" w:cs="Times New Roman"/>
          <w:sz w:val="20"/>
          <w:szCs w:val="20"/>
        </w:rPr>
        <w:t>odsumowanie ocen bezpieczeństwa wykonywanych przez Agencję Bezpieczeństwa Wewnętrznego znajduje się w </w:t>
      </w:r>
      <w:r w:rsidRPr="00F805CA">
        <w:rPr>
          <w:rFonts w:ascii="Times New Roman" w:hAnsi="Times New Roman" w:cs="Times New Roman"/>
          <w:i/>
          <w:sz w:val="20"/>
          <w:szCs w:val="20"/>
        </w:rPr>
        <w:t>Raporcie o stanie bezpieczeństwa cyberprzestrzeni RP w 2021 roku</w:t>
      </w:r>
      <w:r w:rsidRPr="00F805CA">
        <w:rPr>
          <w:rFonts w:ascii="Times New Roman" w:hAnsi="Times New Roman" w:cs="Times New Roman"/>
          <w:sz w:val="20"/>
          <w:szCs w:val="20"/>
        </w:rPr>
        <w:t xml:space="preserve"> str. 43–52 </w:t>
      </w:r>
      <w:r w:rsidRPr="00F805CA">
        <w:rPr>
          <w:rFonts w:ascii="Times New Roman" w:hAnsi="Times New Roman" w:cs="Times New Roman"/>
        </w:rPr>
        <w:t>https://csirt.gov.pl/cer/publikacje/raporty-o-stanie-bezpi/977,Raport-o-stanie-bezpieczenstwa-cyberprzestrzeni-RP-w-2021-roku.html</w:t>
      </w:r>
      <w:r w:rsidRPr="00F805CA">
        <w:rPr>
          <w:rFonts w:ascii="Times New Roman" w:hAnsi="Times New Roman" w:cs="Times New Roman"/>
          <w:sz w:val="20"/>
          <w:szCs w:val="20"/>
        </w:rPr>
        <w:t>.</w:t>
      </w:r>
    </w:p>
  </w:footnote>
  <w:footnote w:id="46">
    <w:p w14:paraId="4ADF2AC9" w14:textId="0C4B97DD" w:rsidR="00046C41" w:rsidRPr="00533D2A" w:rsidRDefault="00046C41" w:rsidP="00746132">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D24B4F">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Pamiętać należy, że podmiot kluczowy i podmiot ważny taką kopię powinien mieć, bowiem przepis </w:t>
      </w:r>
      <w:r w:rsidR="00E3248F" w:rsidRPr="00533D2A">
        <w:rPr>
          <w:rFonts w:ascii="Times New Roman" w:hAnsi="Times New Roman" w:cs="Times New Roman"/>
          <w:sz w:val="20"/>
          <w:szCs w:val="20"/>
        </w:rPr>
        <w:t>art. 8 nakazuje</w:t>
      </w:r>
      <w:r w:rsidR="00AB4BFE" w:rsidRPr="00533D2A">
        <w:rPr>
          <w:rFonts w:ascii="Times New Roman" w:hAnsi="Times New Roman" w:cs="Times New Roman"/>
          <w:sz w:val="20"/>
          <w:szCs w:val="20"/>
        </w:rPr>
        <w:t xml:space="preserve"> stosowanie środków zapobiegających i ograniczających wpływ incydentów na bezpieczeństwo systemu informacyjnego wykorzystywanego do świadczenia usługi, w tym stosowanie mechanizmów zapewniających poufność, integralność, dostępność i autentyczność danych przetwarzanych w systemie informacyjnym. </w:t>
      </w:r>
      <w:r w:rsidR="00903439" w:rsidRPr="00533D2A">
        <w:rPr>
          <w:rFonts w:ascii="Times New Roman" w:hAnsi="Times New Roman" w:cs="Times New Roman"/>
          <w:sz w:val="20"/>
          <w:szCs w:val="20"/>
        </w:rPr>
        <w:t xml:space="preserve">Ponadto </w:t>
      </w:r>
      <w:r w:rsidR="00355CC5" w:rsidRPr="00533D2A">
        <w:rPr>
          <w:rFonts w:ascii="Times New Roman" w:hAnsi="Times New Roman" w:cs="Times New Roman"/>
          <w:sz w:val="20"/>
          <w:szCs w:val="20"/>
        </w:rPr>
        <w:t xml:space="preserve">podmiot ma zapewnić bezpieczeństwo w procesie (…) utrzymania i eksploatacji systemu informacyjnego. </w:t>
      </w:r>
      <w:r w:rsidR="00BB6B4C" w:rsidRPr="00533D2A">
        <w:rPr>
          <w:rFonts w:ascii="Times New Roman" w:hAnsi="Times New Roman" w:cs="Times New Roman"/>
          <w:sz w:val="20"/>
          <w:szCs w:val="20"/>
        </w:rPr>
        <w:t xml:space="preserve">Brak kopii bezpieczeństwa może </w:t>
      </w:r>
      <w:r w:rsidR="004645B7" w:rsidRPr="00533D2A">
        <w:rPr>
          <w:rFonts w:ascii="Times New Roman" w:hAnsi="Times New Roman" w:cs="Times New Roman"/>
          <w:sz w:val="20"/>
          <w:szCs w:val="20"/>
        </w:rPr>
        <w:t xml:space="preserve">zostać wykryty w trakcie kontroli </w:t>
      </w:r>
      <w:r w:rsidR="00AC1B9A" w:rsidRPr="00533D2A">
        <w:rPr>
          <w:rFonts w:ascii="Times New Roman" w:hAnsi="Times New Roman" w:cs="Times New Roman"/>
          <w:sz w:val="20"/>
          <w:szCs w:val="20"/>
        </w:rPr>
        <w:t>organu właściwego do spraw cyberbezpieczeństwa</w:t>
      </w:r>
      <w:r w:rsidR="00BB6B4C" w:rsidRPr="00533D2A">
        <w:rPr>
          <w:rFonts w:ascii="Times New Roman" w:hAnsi="Times New Roman" w:cs="Times New Roman"/>
          <w:sz w:val="20"/>
          <w:szCs w:val="20"/>
        </w:rPr>
        <w:t xml:space="preserve">. Poza tym brak kopii bezpieczeństwa </w:t>
      </w:r>
      <w:r w:rsidR="00F968F9" w:rsidRPr="00533D2A">
        <w:rPr>
          <w:rFonts w:ascii="Times New Roman" w:hAnsi="Times New Roman" w:cs="Times New Roman"/>
          <w:sz w:val="20"/>
          <w:szCs w:val="20"/>
        </w:rPr>
        <w:t>może zostać wykryty w trakcie audytu prowadzonego na podstawie art. 15.</w:t>
      </w:r>
    </w:p>
  </w:footnote>
  <w:footnote w:id="47">
    <w:p w14:paraId="78B39332" w14:textId="1261EFF0" w:rsidR="009D0B8B" w:rsidRPr="00EB18B4" w:rsidRDefault="00D550D5" w:rsidP="00A6609C">
      <w:pPr>
        <w:pStyle w:val="Tekstprzypisudolnego"/>
        <w:spacing w:after="6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46</w:t>
      </w:r>
      <w:r w:rsidR="009D0B8B" w:rsidRPr="00EB18B4">
        <w:rPr>
          <w:rFonts w:ascii="Times New Roman" w:hAnsi="Times New Roman" w:cs="Times New Roman"/>
          <w:sz w:val="20"/>
          <w:szCs w:val="20"/>
          <w:vertAlign w:val="superscript"/>
        </w:rPr>
        <w:t>)</w:t>
      </w:r>
      <w:r w:rsidR="009D0B8B" w:rsidRPr="00EB18B4">
        <w:rPr>
          <w:rFonts w:ascii="Times New Roman" w:hAnsi="Times New Roman" w:cs="Times New Roman"/>
          <w:sz w:val="20"/>
          <w:szCs w:val="20"/>
        </w:rPr>
        <w:t xml:space="preserve"> Przestępstwo polegające na sprowadzeniu niebezpieczeństwa dla życia lub zdrowia wielu osób albo dla mienia w wielkich rozmiarach w ramach którego sprawca zakłóca, uniemożliwia lub w inny sposób wpływaj na automatyczne przetwarzanie, gromadzenie lub przekazywanie danych informatycznych.</w:t>
      </w:r>
    </w:p>
  </w:footnote>
  <w:footnote w:id="48">
    <w:p w14:paraId="34AD88B5" w14:textId="11AB0190" w:rsidR="009D0B8B" w:rsidRPr="00EB18B4" w:rsidRDefault="009D0B8B" w:rsidP="00A6609C">
      <w:pPr>
        <w:pStyle w:val="Tekstprzypisudolnego"/>
        <w:spacing w:after="60"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Przestępstwo</w:t>
      </w:r>
      <w:r w:rsidR="00015B54">
        <w:rPr>
          <w:rFonts w:ascii="Times New Roman" w:hAnsi="Times New Roman" w:cs="Times New Roman"/>
          <w:sz w:val="20"/>
          <w:szCs w:val="20"/>
        </w:rPr>
        <w:t>,</w:t>
      </w:r>
      <w:r w:rsidRPr="00EB18B4">
        <w:rPr>
          <w:rFonts w:ascii="Times New Roman" w:hAnsi="Times New Roman" w:cs="Times New Roman"/>
          <w:sz w:val="20"/>
          <w:szCs w:val="20"/>
        </w:rPr>
        <w:t xml:space="preserve"> w którym sprawca w celu uzyskania informacji, do której nie jest uprawniony, zakłada lub posługuje się urządzeniem podsłuchowym, wizualnym albo innym urządzeniem lub oprogramowaniem.</w:t>
      </w:r>
    </w:p>
  </w:footnote>
  <w:footnote w:id="49">
    <w:p w14:paraId="03B743D2" w14:textId="66F8E322" w:rsidR="009D0B8B" w:rsidRPr="00EB18B4" w:rsidRDefault="009D0B8B" w:rsidP="00A6609C">
      <w:pPr>
        <w:pStyle w:val="Tekstprzypisudolnego"/>
        <w:spacing w:after="60"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Przestępstwo, w którym sprawca nie będąc do tego uprawnionym, niszczy, uszkadza, usuwa, zmienia lub utrudnia dostęp do danych informatycznych albo w istotnym stopniu zakłóca lub uniemożliwia automatyczne przetwarzanie, gromadzenie lub przekazywanie takich danych.</w:t>
      </w:r>
    </w:p>
  </w:footnote>
  <w:footnote w:id="50">
    <w:p w14:paraId="569AB4AB" w14:textId="1CA46E66" w:rsidR="009D0B8B" w:rsidRPr="00EB18B4" w:rsidRDefault="009D0B8B" w:rsidP="00A6609C">
      <w:pPr>
        <w:pStyle w:val="Tekstprzypisudolnego"/>
        <w:spacing w:after="60"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Przestępstwo</w:t>
      </w:r>
      <w:r w:rsidR="00015B54">
        <w:rPr>
          <w:rFonts w:ascii="Times New Roman" w:hAnsi="Times New Roman" w:cs="Times New Roman"/>
          <w:sz w:val="20"/>
          <w:szCs w:val="20"/>
        </w:rPr>
        <w:t>,</w:t>
      </w:r>
      <w:r w:rsidRPr="00EB18B4">
        <w:rPr>
          <w:rFonts w:ascii="Times New Roman" w:hAnsi="Times New Roman" w:cs="Times New Roman"/>
          <w:sz w:val="20"/>
          <w:szCs w:val="20"/>
        </w:rPr>
        <w:t xml:space="preserve"> w którym sprawca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w:t>
      </w:r>
    </w:p>
  </w:footnote>
  <w:footnote w:id="51">
    <w:p w14:paraId="0811F33F" w14:textId="77777777" w:rsidR="009D0B8B" w:rsidRPr="00EB18B4" w:rsidRDefault="009D0B8B" w:rsidP="00A6609C">
      <w:pPr>
        <w:pStyle w:val="Tekstprzypisudolnego"/>
        <w:spacing w:after="60"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Przestępstwo, w którym sprawca nie będąc do tego uprawnionym, przez transmisję, zniszczenie, usunięcie, uszkodzenie, utrudnienie dostępu lub zmianę danych informatycznych, w istotnym stopniu zakłóca pracę systemu informatycznego, systemu teleinformatycznego lub sieci teleinformatycznej.</w:t>
      </w:r>
    </w:p>
  </w:footnote>
  <w:footnote w:id="52">
    <w:p w14:paraId="33AD61B3" w14:textId="3712E8A2" w:rsidR="009D0B8B" w:rsidRPr="00EB18B4" w:rsidRDefault="009D0B8B" w:rsidP="00A6609C">
      <w:pPr>
        <w:pStyle w:val="Tekstprzypisudolnego"/>
        <w:spacing w:after="60"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Art. 12a ustawy z dnia 4 września 1997 r. o działach administracji rządowej (Dz. U.</w:t>
      </w:r>
      <w:r w:rsidR="00ED2326" w:rsidRPr="00EB18B4">
        <w:rPr>
          <w:rFonts w:ascii="Times New Roman" w:hAnsi="Times New Roman" w:cs="Times New Roman"/>
          <w:sz w:val="20"/>
          <w:szCs w:val="20"/>
        </w:rPr>
        <w:t xml:space="preserve"> </w:t>
      </w:r>
      <w:r w:rsidR="00E805F1" w:rsidRPr="00EB18B4">
        <w:rPr>
          <w:rFonts w:ascii="Times New Roman" w:hAnsi="Times New Roman" w:cs="Times New Roman"/>
          <w:sz w:val="20"/>
          <w:szCs w:val="20"/>
        </w:rPr>
        <w:t xml:space="preserve">z 2025 r. poz. </w:t>
      </w:r>
      <w:r w:rsidR="00543F49">
        <w:rPr>
          <w:rFonts w:ascii="Times New Roman" w:hAnsi="Times New Roman" w:cs="Times New Roman"/>
          <w:sz w:val="20"/>
          <w:szCs w:val="20"/>
        </w:rPr>
        <w:t>1275</w:t>
      </w:r>
      <w:r w:rsidRPr="00EB18B4">
        <w:rPr>
          <w:rFonts w:ascii="Times New Roman" w:hAnsi="Times New Roman" w:cs="Times New Roman"/>
          <w:sz w:val="20"/>
          <w:szCs w:val="20"/>
        </w:rPr>
        <w:t>).</w:t>
      </w:r>
    </w:p>
  </w:footnote>
  <w:footnote w:id="53">
    <w:p w14:paraId="2CD6A794" w14:textId="345C94C5" w:rsidR="00285E47" w:rsidRPr="00062670" w:rsidRDefault="00285E47" w:rsidP="00062670">
      <w:pPr>
        <w:pStyle w:val="Tekstprzypisudolnego"/>
        <w:spacing w:line="240" w:lineRule="auto"/>
        <w:rPr>
          <w:rFonts w:ascii="Times New Roman" w:hAnsi="Times New Roman" w:cs="Times New Roman"/>
          <w:sz w:val="20"/>
          <w:szCs w:val="20"/>
        </w:rPr>
      </w:pPr>
      <w:r w:rsidRPr="00062670">
        <w:rPr>
          <w:rStyle w:val="Odwoanieprzypisudolnego"/>
          <w:rFonts w:ascii="Times New Roman" w:hAnsi="Times New Roman" w:cs="Times New Roman"/>
          <w:sz w:val="20"/>
          <w:szCs w:val="20"/>
        </w:rPr>
        <w:footnoteRef/>
      </w:r>
      <w:r w:rsidR="00062670" w:rsidRPr="00062670">
        <w:rPr>
          <w:rFonts w:ascii="Times New Roman" w:hAnsi="Times New Roman" w:cs="Times New Roman"/>
          <w:sz w:val="20"/>
          <w:szCs w:val="20"/>
          <w:vertAlign w:val="superscript"/>
        </w:rPr>
        <w:t>)</w:t>
      </w:r>
      <w:r w:rsidRPr="00062670">
        <w:rPr>
          <w:rFonts w:ascii="Times New Roman" w:hAnsi="Times New Roman" w:cs="Times New Roman"/>
          <w:sz w:val="20"/>
          <w:szCs w:val="20"/>
        </w:rPr>
        <w:t xml:space="preserve"> </w:t>
      </w:r>
      <w:r w:rsidR="00EB334A" w:rsidRPr="003857A4">
        <w:rPr>
          <w:rFonts w:ascii="Times New Roman" w:hAnsi="Times New Roman" w:cs="Times New Roman"/>
          <w:sz w:val="20"/>
          <w:szCs w:val="20"/>
        </w:rPr>
        <w:t xml:space="preserve">Por. pkt I.2 pisma DBN.WP.141.1.4.2018.KM z 22 marca 2018 r. </w:t>
      </w:r>
      <w:r w:rsidRPr="003857A4">
        <w:rPr>
          <w:rFonts w:ascii="Times New Roman" w:hAnsi="Times New Roman" w:cs="Times New Roman"/>
          <w:sz w:val="20"/>
          <w:szCs w:val="20"/>
        </w:rPr>
        <w:t>https://legislacja.rcl.gov.pl/docs//2/12304650/12466734/12466736/dokument337595.pdf</w:t>
      </w:r>
      <w:r w:rsidR="00960B11" w:rsidRPr="003857A4">
        <w:rPr>
          <w:rFonts w:ascii="Times New Roman" w:hAnsi="Times New Roman" w:cs="Times New Roman"/>
          <w:sz w:val="20"/>
          <w:szCs w:val="20"/>
        </w:rPr>
        <w:t>.</w:t>
      </w:r>
    </w:p>
  </w:footnote>
  <w:footnote w:id="54">
    <w:p w14:paraId="252455AF" w14:textId="77777777" w:rsidR="00F81372" w:rsidRPr="00EB18B4" w:rsidRDefault="00F81372" w:rsidP="00A6609C">
      <w:pPr>
        <w:pStyle w:val="Tekstprzypisudolnego"/>
        <w:spacing w:line="240" w:lineRule="auto"/>
        <w:jc w:val="both"/>
        <w:rPr>
          <w:rFonts w:ascii="Times New Roman" w:hAnsi="Times New Roman" w:cs="Times New Roman"/>
          <w:sz w:val="20"/>
          <w:szCs w:val="20"/>
          <w:lang w:val="en-GB"/>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lang w:val="en-GB"/>
        </w:rPr>
        <w:t>)</w:t>
      </w:r>
      <w:r w:rsidRPr="00EB18B4">
        <w:rPr>
          <w:rFonts w:ascii="Times New Roman" w:hAnsi="Times New Roman" w:cs="Times New Roman"/>
          <w:sz w:val="20"/>
          <w:szCs w:val="20"/>
          <w:lang w:val="en-GB"/>
        </w:rPr>
        <w:t xml:space="preserve"> Por. Martijn van der Heide, </w:t>
      </w:r>
      <w:r w:rsidRPr="00EB18B4">
        <w:rPr>
          <w:rFonts w:ascii="Times New Roman" w:hAnsi="Times New Roman" w:cs="Times New Roman"/>
          <w:i/>
          <w:sz w:val="20"/>
          <w:szCs w:val="20"/>
          <w:lang w:val="en-GB"/>
        </w:rPr>
        <w:t>Establishing a CSIRT</w:t>
      </w:r>
      <w:r w:rsidRPr="00EB18B4">
        <w:rPr>
          <w:rFonts w:ascii="Times New Roman" w:hAnsi="Times New Roman" w:cs="Times New Roman"/>
          <w:sz w:val="20"/>
          <w:szCs w:val="20"/>
          <w:lang w:val="en-GB"/>
        </w:rPr>
        <w:t>, str. 25. https://www.first.org/resources/guides/Establishing-CSIRT-v1.2.pdf</w:t>
      </w:r>
    </w:p>
  </w:footnote>
  <w:footnote w:id="55">
    <w:p w14:paraId="7DF7E8F2" w14:textId="77777777" w:rsidR="00F81372" w:rsidRPr="00EB18B4" w:rsidRDefault="00F81372" w:rsidP="00A6609C">
      <w:pPr>
        <w:pStyle w:val="Tekstprzypisudolnego"/>
        <w:spacing w:line="240" w:lineRule="auto"/>
        <w:jc w:val="both"/>
        <w:rPr>
          <w:rFonts w:ascii="Times New Roman" w:hAnsi="Times New Roman" w:cs="Times New Roman"/>
          <w:i/>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w:t>
      </w:r>
      <w:r w:rsidRPr="00EB18B4">
        <w:rPr>
          <w:rFonts w:ascii="Times New Roman" w:hAnsi="Times New Roman" w:cs="Times New Roman"/>
          <w:i/>
          <w:sz w:val="20"/>
          <w:szCs w:val="20"/>
        </w:rPr>
        <w:t>Ibidem.</w:t>
      </w:r>
    </w:p>
  </w:footnote>
  <w:footnote w:id="56">
    <w:p w14:paraId="284F4C2C" w14:textId="77ABD82B" w:rsidR="00BA6C1E" w:rsidRPr="00F805CA" w:rsidRDefault="00F81372" w:rsidP="00A6609C">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w:t>
      </w:r>
      <w:r w:rsidRPr="00F805CA">
        <w:rPr>
          <w:rFonts w:ascii="Times New Roman" w:hAnsi="Times New Roman" w:cs="Times New Roman"/>
          <w:sz w:val="20"/>
          <w:szCs w:val="20"/>
        </w:rPr>
        <w:t>Sprawozdanie z działalności Urzędu Komisji Nadzoru Finansowego oraz Komisji Nadzoru Finansowego w</w:t>
      </w:r>
      <w:r w:rsidR="00BA6C1E" w:rsidRPr="00F805CA">
        <w:rPr>
          <w:rFonts w:ascii="Times New Roman" w:hAnsi="Times New Roman" w:cs="Times New Roman"/>
          <w:sz w:val="20"/>
          <w:szCs w:val="20"/>
        </w:rPr>
        <w:t> </w:t>
      </w:r>
      <w:r w:rsidRPr="00F805CA">
        <w:rPr>
          <w:rFonts w:ascii="Times New Roman" w:hAnsi="Times New Roman" w:cs="Times New Roman"/>
          <w:sz w:val="20"/>
          <w:szCs w:val="20"/>
        </w:rPr>
        <w:t>2021 roku, str. 151–154</w:t>
      </w:r>
      <w:r w:rsidR="0032667A" w:rsidRPr="00F805CA">
        <w:rPr>
          <w:rFonts w:ascii="Times New Roman" w:hAnsi="Times New Roman" w:cs="Times New Roman"/>
          <w:sz w:val="20"/>
          <w:szCs w:val="20"/>
        </w:rPr>
        <w:t>.</w:t>
      </w:r>
    </w:p>
    <w:p w14:paraId="2AB08BF8" w14:textId="450BD637" w:rsidR="00F81372" w:rsidRPr="00F805CA" w:rsidRDefault="007611FF" w:rsidP="00A6609C">
      <w:pPr>
        <w:pStyle w:val="Tekstprzypisudolnego"/>
        <w:spacing w:line="240" w:lineRule="auto"/>
        <w:jc w:val="both"/>
        <w:rPr>
          <w:rFonts w:ascii="Times New Roman" w:hAnsi="Times New Roman" w:cs="Times New Roman"/>
          <w:sz w:val="20"/>
          <w:szCs w:val="20"/>
        </w:rPr>
      </w:pPr>
      <w:r w:rsidRPr="00F805CA">
        <w:rPr>
          <w:rFonts w:ascii="Times New Roman" w:hAnsi="Times New Roman" w:cs="Times New Roman"/>
        </w:rPr>
        <w:t>https://www.knf.gov.pl/?articleId=78355&amp;p_id=18</w:t>
      </w:r>
      <w:r w:rsidR="00F81372" w:rsidRPr="00F805CA">
        <w:rPr>
          <w:rFonts w:ascii="Times New Roman" w:hAnsi="Times New Roman" w:cs="Times New Roman"/>
          <w:sz w:val="20"/>
          <w:szCs w:val="20"/>
        </w:rPr>
        <w:t>.</w:t>
      </w:r>
    </w:p>
  </w:footnote>
  <w:footnote w:id="57">
    <w:p w14:paraId="51F66CE7" w14:textId="4EC06AC7" w:rsidR="00F81372" w:rsidRPr="00F805CA" w:rsidRDefault="00F81372" w:rsidP="00A6609C">
      <w:pPr>
        <w:pStyle w:val="Tekstprzypisudolnego"/>
        <w:spacing w:line="240" w:lineRule="auto"/>
        <w:jc w:val="both"/>
        <w:rPr>
          <w:rFonts w:ascii="Times New Roman" w:hAnsi="Times New Roman" w:cs="Times New Roman"/>
          <w:sz w:val="20"/>
          <w:szCs w:val="20"/>
        </w:rPr>
      </w:pPr>
      <w:r w:rsidRPr="00F805CA">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w:t>
      </w:r>
      <w:r w:rsidRPr="00F805CA">
        <w:rPr>
          <w:rFonts w:ascii="Times New Roman" w:hAnsi="Times New Roman" w:cs="Times New Roman"/>
          <w:sz w:val="20"/>
          <w:szCs w:val="20"/>
        </w:rPr>
        <w:t xml:space="preserve"> Źródło </w:t>
      </w:r>
      <w:r w:rsidRPr="00F805CA">
        <w:rPr>
          <w:rFonts w:ascii="Times New Roman" w:hAnsi="Times New Roman" w:cs="Times New Roman"/>
        </w:rPr>
        <w:t>https://dane.gov.pl/pl/dataset/1992,statystyki-zespolu-cert-polska/resource/35639/table</w:t>
      </w:r>
      <w:r w:rsidRPr="00F805CA">
        <w:rPr>
          <w:rFonts w:ascii="Times New Roman" w:hAnsi="Times New Roman" w:cs="Times New Roman"/>
          <w:sz w:val="20"/>
          <w:szCs w:val="20"/>
        </w:rPr>
        <w:t>.</w:t>
      </w:r>
    </w:p>
  </w:footnote>
  <w:footnote w:id="58">
    <w:p w14:paraId="75BCC284" w14:textId="0F57A4EF" w:rsidR="00F81372" w:rsidRPr="00F805CA" w:rsidRDefault="00F81372" w:rsidP="00A6609C">
      <w:pPr>
        <w:pStyle w:val="Tekstprzypisudolnego"/>
        <w:spacing w:line="240" w:lineRule="auto"/>
        <w:jc w:val="both"/>
        <w:rPr>
          <w:rFonts w:ascii="Times New Roman" w:hAnsi="Times New Roman" w:cs="Times New Roman"/>
          <w:sz w:val="20"/>
          <w:szCs w:val="20"/>
        </w:rPr>
      </w:pPr>
      <w:r w:rsidRPr="00F805CA">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w:t>
      </w:r>
      <w:r w:rsidRPr="00F805CA">
        <w:rPr>
          <w:rFonts w:ascii="Times New Roman" w:hAnsi="Times New Roman" w:cs="Times New Roman"/>
          <w:sz w:val="20"/>
          <w:szCs w:val="20"/>
        </w:rPr>
        <w:t xml:space="preserve"> Źródło </w:t>
      </w:r>
      <w:r w:rsidRPr="00F805CA">
        <w:rPr>
          <w:rFonts w:ascii="Times New Roman" w:hAnsi="Times New Roman" w:cs="Times New Roman"/>
        </w:rPr>
        <w:t>https://dane.gov.pl/pl/dataset/1992,statystyki-zespolu-cert-polska/resource/43252/table</w:t>
      </w:r>
      <w:r w:rsidRPr="00F805CA">
        <w:rPr>
          <w:rFonts w:ascii="Times New Roman" w:hAnsi="Times New Roman" w:cs="Times New Roman"/>
          <w:sz w:val="20"/>
          <w:szCs w:val="20"/>
        </w:rPr>
        <w:t>.</w:t>
      </w:r>
    </w:p>
  </w:footnote>
  <w:footnote w:id="59">
    <w:p w14:paraId="657F31AB" w14:textId="4179C7CB" w:rsidR="00F81372" w:rsidRPr="00EB18B4" w:rsidRDefault="00F81372" w:rsidP="00A6609C">
      <w:pPr>
        <w:pStyle w:val="Tekstprzypisudolnego"/>
        <w:spacing w:after="60" w:line="240" w:lineRule="auto"/>
        <w:jc w:val="both"/>
        <w:rPr>
          <w:rFonts w:ascii="Times New Roman" w:hAnsi="Times New Roman" w:cs="Times New Roman"/>
          <w:sz w:val="20"/>
          <w:szCs w:val="20"/>
        </w:rPr>
      </w:pPr>
      <w:r w:rsidRPr="00F805CA">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w:t>
      </w:r>
      <w:r w:rsidRPr="00F805CA">
        <w:rPr>
          <w:rFonts w:ascii="Times New Roman" w:hAnsi="Times New Roman" w:cs="Times New Roman"/>
          <w:sz w:val="20"/>
          <w:szCs w:val="20"/>
        </w:rPr>
        <w:t xml:space="preserve"> Należy przy tym podkreślić, że chodzi tutaj o jednostki organizacyjne, o których mowa w art. 33 ust. 1d ustawy z dnia 8 sierpnia 1996 r. o Radzie Ministrów (Dz. U. </w:t>
      </w:r>
      <w:r w:rsidR="00543F49" w:rsidRPr="00F805CA">
        <w:rPr>
          <w:rFonts w:ascii="Times New Roman" w:hAnsi="Times New Roman" w:cs="Times New Roman"/>
          <w:sz w:val="20"/>
          <w:szCs w:val="20"/>
        </w:rPr>
        <w:t xml:space="preserve">z </w:t>
      </w:r>
      <w:r w:rsidRPr="00F805CA">
        <w:rPr>
          <w:rFonts w:ascii="Times New Roman" w:hAnsi="Times New Roman" w:cs="Times New Roman"/>
          <w:sz w:val="20"/>
          <w:szCs w:val="20"/>
        </w:rPr>
        <w:t>202</w:t>
      </w:r>
      <w:r w:rsidR="00FC49AE" w:rsidRPr="00F805CA">
        <w:rPr>
          <w:rFonts w:ascii="Times New Roman" w:hAnsi="Times New Roman" w:cs="Times New Roman"/>
          <w:sz w:val="20"/>
          <w:szCs w:val="20"/>
        </w:rPr>
        <w:t>5</w:t>
      </w:r>
      <w:r w:rsidRPr="00F805CA">
        <w:rPr>
          <w:rFonts w:ascii="Times New Roman" w:hAnsi="Times New Roman" w:cs="Times New Roman"/>
          <w:sz w:val="20"/>
          <w:szCs w:val="20"/>
        </w:rPr>
        <w:t xml:space="preserve"> r. poz. </w:t>
      </w:r>
      <w:r w:rsidR="00FC49AE" w:rsidRPr="00F805CA">
        <w:rPr>
          <w:rFonts w:ascii="Times New Roman" w:hAnsi="Times New Roman" w:cs="Times New Roman"/>
          <w:sz w:val="20"/>
          <w:szCs w:val="20"/>
        </w:rPr>
        <w:t>780</w:t>
      </w:r>
      <w:r w:rsidRPr="00F805CA">
        <w:rPr>
          <w:rFonts w:ascii="Times New Roman" w:hAnsi="Times New Roman" w:cs="Times New Roman"/>
          <w:sz w:val="20"/>
          <w:szCs w:val="20"/>
        </w:rPr>
        <w:t>).</w:t>
      </w:r>
    </w:p>
  </w:footnote>
  <w:footnote w:id="60">
    <w:p w14:paraId="5BA166BA" w14:textId="640BE152" w:rsidR="00F81372" w:rsidRPr="00533D2A" w:rsidRDefault="00F81372" w:rsidP="00BA6C1E">
      <w:pPr>
        <w:pStyle w:val="Tekstprzypisudolnego"/>
        <w:spacing w:line="240" w:lineRule="auto"/>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Zgodnie z rozporządzeniem Ministra Finansów z dnia 15 stycznia 2014 r. w sprawie szczegółowego sposobu wykonywania budżetu państwa </w:t>
      </w:r>
      <w:r w:rsidR="00BA6C1E" w:rsidRPr="00EB18B4">
        <w:rPr>
          <w:rFonts w:ascii="Times New Roman" w:hAnsi="Times New Roman" w:cs="Times New Roman"/>
          <w:sz w:val="20"/>
          <w:szCs w:val="20"/>
        </w:rPr>
        <w:t>(</w:t>
      </w:r>
      <w:r w:rsidRPr="00EB18B4">
        <w:rPr>
          <w:rFonts w:ascii="Times New Roman" w:hAnsi="Times New Roman" w:cs="Times New Roman"/>
          <w:sz w:val="20"/>
          <w:szCs w:val="20"/>
        </w:rPr>
        <w:t>Dz. U. z 2021 r. poz. 259</w:t>
      </w:r>
      <w:r w:rsidR="00BA6C1E" w:rsidRPr="00EB18B4">
        <w:rPr>
          <w:rFonts w:ascii="Times New Roman" w:hAnsi="Times New Roman" w:cs="Times New Roman"/>
          <w:sz w:val="20"/>
          <w:szCs w:val="20"/>
        </w:rPr>
        <w:t xml:space="preserve"> oraz z 2022 r. poz. 2846).</w:t>
      </w:r>
    </w:p>
  </w:footnote>
  <w:footnote w:id="61">
    <w:p w14:paraId="3CB081A0" w14:textId="29A03215" w:rsidR="001C38AC" w:rsidRPr="00533D2A" w:rsidRDefault="001C38AC" w:rsidP="00AC76FC">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965D30">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Tutaj takim organem będzie Prezes Urzędu Komunikacji Elektronicznej, który ma swoją część budżetu państwa – cz. 76.</w:t>
      </w:r>
    </w:p>
  </w:footnote>
  <w:footnote w:id="62">
    <w:p w14:paraId="2AB8B1C4" w14:textId="77777777" w:rsidR="007929D4" w:rsidRPr="00EB18B4" w:rsidRDefault="007929D4" w:rsidP="00745410">
      <w:pPr>
        <w:pStyle w:val="ODNONIKtreodnonika"/>
        <w:spacing w:after="60"/>
        <w:rPr>
          <w:rFonts w:cs="Times New Roman"/>
        </w:rPr>
      </w:pPr>
      <w:r w:rsidRPr="00EB18B4">
        <w:rPr>
          <w:rStyle w:val="Odwoanieprzypisudolnego"/>
          <w:rFonts w:cs="Times New Roman"/>
        </w:rPr>
        <w:footnoteRef/>
      </w:r>
      <w:r w:rsidRPr="00EB18B4">
        <w:rPr>
          <w:rStyle w:val="IGindeksgrny"/>
          <w:rFonts w:cs="Times New Roman"/>
          <w:specVanish w:val="0"/>
        </w:rPr>
        <w:t>)</w:t>
      </w:r>
      <w:r w:rsidRPr="00EB18B4">
        <w:rPr>
          <w:rFonts w:cs="Times New Roman"/>
        </w:rPr>
        <w:t xml:space="preserve"> Wyrok Trybunału Konstytucyjnego z dnia 8 kwietnia 1998 r., sygn. K 10/97. </w:t>
      </w:r>
    </w:p>
  </w:footnote>
  <w:footnote w:id="63">
    <w:p w14:paraId="0A8869A6" w14:textId="77777777" w:rsidR="007929D4" w:rsidRPr="00EB18B4" w:rsidRDefault="007929D4" w:rsidP="00745410">
      <w:pPr>
        <w:pStyle w:val="ODNONIKtreodnonika"/>
        <w:spacing w:after="60"/>
        <w:rPr>
          <w:rFonts w:cs="Times New Roman"/>
        </w:rPr>
      </w:pPr>
      <w:r w:rsidRPr="00EB18B4">
        <w:rPr>
          <w:rStyle w:val="Odwoanieprzypisudolnego"/>
          <w:rFonts w:cs="Times New Roman"/>
        </w:rPr>
        <w:footnoteRef/>
      </w:r>
      <w:r w:rsidRPr="00EB18B4">
        <w:rPr>
          <w:rStyle w:val="IGindeksgrny"/>
          <w:rFonts w:cs="Times New Roman"/>
          <w:specVanish w:val="0"/>
        </w:rPr>
        <w:t>)</w:t>
      </w:r>
      <w:r w:rsidRPr="00EB18B4">
        <w:rPr>
          <w:rFonts w:cs="Times New Roman"/>
        </w:rPr>
        <w:t xml:space="preserve"> Ibidem.</w:t>
      </w:r>
    </w:p>
  </w:footnote>
  <w:footnote w:id="64">
    <w:p w14:paraId="2E49B6AF" w14:textId="77777777" w:rsidR="007929D4" w:rsidRPr="00EB18B4" w:rsidRDefault="007929D4" w:rsidP="00745410">
      <w:pPr>
        <w:pStyle w:val="ODNONIKtreodnonika"/>
        <w:spacing w:after="60"/>
        <w:rPr>
          <w:rFonts w:cs="Times New Roman"/>
        </w:rPr>
      </w:pPr>
      <w:r w:rsidRPr="00EB18B4">
        <w:rPr>
          <w:rStyle w:val="Odwoanieprzypisudolnego"/>
          <w:rFonts w:cs="Times New Roman"/>
        </w:rPr>
        <w:footnoteRef/>
      </w:r>
      <w:r w:rsidRPr="00EB18B4">
        <w:rPr>
          <w:rStyle w:val="IGindeksgrny"/>
          <w:rFonts w:cs="Times New Roman"/>
          <w:specVanish w:val="0"/>
        </w:rPr>
        <w:t>)</w:t>
      </w:r>
      <w:r w:rsidRPr="00EB18B4">
        <w:rPr>
          <w:rFonts w:cs="Times New Roman"/>
        </w:rPr>
        <w:t xml:space="preserve"> Wyrok Trybunału Konstytucyjnego z dnia 10 października 2001 r., sygn. K 28/01.</w:t>
      </w:r>
    </w:p>
  </w:footnote>
  <w:footnote w:id="65">
    <w:p w14:paraId="5CF225F3" w14:textId="7EC59506" w:rsidR="007929D4" w:rsidRPr="00EB18B4" w:rsidRDefault="007929D4" w:rsidP="00745410">
      <w:pPr>
        <w:pStyle w:val="Tekstprzypisudolnego"/>
        <w:spacing w:line="240" w:lineRule="auto"/>
        <w:jc w:val="both"/>
        <w:rPr>
          <w:rFonts w:ascii="Times New Roman" w:hAnsi="Times New Roman" w:cs="Times New Roman"/>
          <w:sz w:val="20"/>
          <w:szCs w:val="20"/>
          <w:lang w:val="en-GB"/>
        </w:rPr>
      </w:pPr>
      <w:r w:rsidRPr="00533D2A">
        <w:rPr>
          <w:rStyle w:val="Odwoanieprzypisudolnego"/>
          <w:rFonts w:ascii="Times New Roman" w:hAnsi="Times New Roman" w:cs="Times New Roman"/>
          <w:sz w:val="20"/>
          <w:szCs w:val="20"/>
        </w:rPr>
        <w:footnoteRef/>
      </w:r>
      <w:r w:rsidRPr="00533D2A">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Pr="00EB18B4">
        <w:rPr>
          <w:rFonts w:ascii="Times New Roman" w:hAnsi="Times New Roman" w:cs="Times New Roman"/>
          <w:sz w:val="20"/>
          <w:szCs w:val="20"/>
        </w:rPr>
        <w:t xml:space="preserve">Jako sieci 5G Komisja Europejska zdefiniowała: </w:t>
      </w:r>
      <w:r w:rsidRPr="00EB18B4">
        <w:rPr>
          <w:rFonts w:ascii="Times New Roman" w:hAnsi="Times New Roman" w:cs="Times New Roman"/>
          <w:i/>
          <w:color w:val="000000"/>
          <w:sz w:val="20"/>
          <w:szCs w:val="20"/>
          <w:shd w:val="clear" w:color="auto" w:fill="FFFFFF"/>
        </w:rPr>
        <w:t>zbiór wszystkich istotnych elementów infrastruktury sieciowej z zakresu technologii łączności ruchomej i bezprzewodowej, wykorzystywanej na potrzeby łączności i usług o</w:t>
      </w:r>
      <w:r w:rsidR="00EA7658">
        <w:rPr>
          <w:rFonts w:ascii="Times New Roman" w:hAnsi="Times New Roman" w:cs="Times New Roman"/>
          <w:i/>
          <w:color w:val="000000"/>
          <w:sz w:val="20"/>
          <w:szCs w:val="20"/>
          <w:shd w:val="clear" w:color="auto" w:fill="FFFFFF"/>
        </w:rPr>
        <w:t> </w:t>
      </w:r>
      <w:r w:rsidRPr="00EB18B4">
        <w:rPr>
          <w:rFonts w:ascii="Times New Roman" w:hAnsi="Times New Roman" w:cs="Times New Roman"/>
          <w:i/>
          <w:color w:val="000000"/>
          <w:sz w:val="20"/>
          <w:szCs w:val="20"/>
          <w:shd w:val="clear" w:color="auto" w:fill="FFFFFF"/>
        </w:rPr>
        <w:t>wartości dodanej, o zaawansowanych parametrach eksploatacyjnych, takich jak bardzo wysoka prędkość przesyłu danych i przepustowość łączy, łączność charakteryzująca się niskim opóźnieniem, ekstremalnie wysoka niezawodność bądź zdolność obsługi dużej liczby podłączonych urządzeń. Mogą one obejmować elementy dotychczasowych sieci wykorzystujących technologię łączności ruchomej i bezprzewodowej poprzednich generacji, takich jak 4G lub 3G. Sieci 5G należy rozumieć jako obejmujące wszystkie istotne części sieci</w:t>
      </w:r>
      <w:r w:rsidRPr="00EB18B4">
        <w:rPr>
          <w:rFonts w:ascii="Times New Roman" w:hAnsi="Times New Roman" w:cs="Times New Roman"/>
          <w:color w:val="000000"/>
          <w:sz w:val="20"/>
          <w:szCs w:val="20"/>
          <w:shd w:val="clear" w:color="auto" w:fill="FFFFFF"/>
        </w:rPr>
        <w:t>.</w:t>
      </w:r>
      <w:r w:rsidRPr="00EB18B4">
        <w:rPr>
          <w:rFonts w:ascii="Times New Roman" w:hAnsi="Times New Roman" w:cs="Times New Roman"/>
          <w:sz w:val="20"/>
          <w:szCs w:val="20"/>
        </w:rPr>
        <w:t xml:space="preserve"> Pkt II.2.a </w:t>
      </w:r>
      <w:r w:rsidRPr="00EB18B4">
        <w:rPr>
          <w:rFonts w:ascii="Times New Roman" w:hAnsi="Times New Roman" w:cs="Times New Roman"/>
          <w:color w:val="000000"/>
          <w:sz w:val="20"/>
          <w:szCs w:val="20"/>
          <w:shd w:val="clear" w:color="auto" w:fill="FFFFFF"/>
        </w:rPr>
        <w:t xml:space="preserve">Zalecenie Komisji (UE) 2019/534 z dnia 26 marca 2019 r. Cyberbezpieczeństwo sieci 5G (Dz. Urz. </w:t>
      </w:r>
      <w:r w:rsidRPr="00EB18B4">
        <w:rPr>
          <w:rFonts w:ascii="Times New Roman" w:hAnsi="Times New Roman" w:cs="Times New Roman"/>
          <w:color w:val="000000"/>
          <w:sz w:val="20"/>
          <w:szCs w:val="20"/>
          <w:shd w:val="clear" w:color="auto" w:fill="FFFFFF"/>
          <w:lang w:val="en-GB"/>
        </w:rPr>
        <w:t>UE L 88 z </w:t>
      </w:r>
      <w:proofErr w:type="gramStart"/>
      <w:r w:rsidRPr="00EB18B4">
        <w:rPr>
          <w:rFonts w:ascii="Times New Roman" w:hAnsi="Times New Roman" w:cs="Times New Roman"/>
          <w:color w:val="000000"/>
          <w:sz w:val="20"/>
          <w:szCs w:val="20"/>
          <w:shd w:val="clear" w:color="auto" w:fill="FFFFFF"/>
          <w:lang w:val="en-GB"/>
        </w:rPr>
        <w:t>29.3.2019</w:t>
      </w:r>
      <w:proofErr w:type="gramEnd"/>
      <w:r w:rsidRPr="00EB18B4">
        <w:rPr>
          <w:rFonts w:ascii="Times New Roman" w:hAnsi="Times New Roman" w:cs="Times New Roman"/>
          <w:color w:val="000000"/>
          <w:sz w:val="20"/>
          <w:szCs w:val="20"/>
          <w:shd w:val="clear" w:color="auto" w:fill="FFFFFF"/>
          <w:lang w:val="en-GB"/>
        </w:rPr>
        <w:t>, s. 42.)</w:t>
      </w:r>
      <w:r w:rsidR="00716210" w:rsidRPr="00EB18B4">
        <w:rPr>
          <w:rFonts w:ascii="Times New Roman" w:hAnsi="Times New Roman" w:cs="Times New Roman"/>
          <w:color w:val="000000"/>
          <w:sz w:val="20"/>
          <w:szCs w:val="20"/>
          <w:shd w:val="clear" w:color="auto" w:fill="FFFFFF"/>
          <w:lang w:val="en-GB"/>
        </w:rPr>
        <w:t>.</w:t>
      </w:r>
    </w:p>
  </w:footnote>
  <w:footnote w:id="66">
    <w:p w14:paraId="50A6B4F7" w14:textId="4B17A525" w:rsidR="007929D4" w:rsidRPr="00EB18B4" w:rsidRDefault="007929D4" w:rsidP="00A6609C">
      <w:pPr>
        <w:pStyle w:val="Tekstprzypisudolnego"/>
        <w:spacing w:line="240" w:lineRule="auto"/>
        <w:jc w:val="both"/>
        <w:rPr>
          <w:rFonts w:ascii="Times New Roman" w:hAnsi="Times New Roman" w:cs="Times New Roman"/>
          <w:sz w:val="20"/>
          <w:szCs w:val="20"/>
          <w:lang w:val="en-GB"/>
        </w:rPr>
      </w:pPr>
      <w:r w:rsidRPr="00533D2A">
        <w:rPr>
          <w:rStyle w:val="Odwoanieprzypisudolnego"/>
          <w:rFonts w:ascii="Times New Roman" w:hAnsi="Times New Roman" w:cs="Times New Roman"/>
          <w:sz w:val="20"/>
          <w:szCs w:val="20"/>
        </w:rPr>
        <w:footnoteRef/>
      </w:r>
      <w:r w:rsidRPr="00533D2A">
        <w:rPr>
          <w:rFonts w:ascii="Times New Roman" w:hAnsi="Times New Roman" w:cs="Times New Roman"/>
          <w:sz w:val="20"/>
          <w:szCs w:val="20"/>
          <w:vertAlign w:val="superscript"/>
          <w:lang w:val="en-GB"/>
        </w:rPr>
        <w:t>)</w:t>
      </w:r>
      <w:r w:rsidRPr="00533D2A">
        <w:rPr>
          <w:rFonts w:ascii="Times New Roman" w:hAnsi="Times New Roman" w:cs="Times New Roman"/>
          <w:sz w:val="20"/>
          <w:szCs w:val="20"/>
          <w:lang w:val="en-GB"/>
        </w:rPr>
        <w:t xml:space="preserve"> </w:t>
      </w:r>
      <w:r w:rsidRPr="00EB18B4">
        <w:rPr>
          <w:rFonts w:ascii="Times New Roman" w:hAnsi="Times New Roman" w:cs="Times New Roman"/>
          <w:sz w:val="20"/>
          <w:szCs w:val="20"/>
          <w:lang w:val="en-GB"/>
        </w:rPr>
        <w:t>Report on the EU coordinated risk assessment on cybersecurity in Fifth Generation (5G) networks https://ec.europa.eu/commission/presscorner/detail/en/IP_19_6049, zwana dalej Unijną oceną cyberbezpieczeństwa sieci 5G”.</w:t>
      </w:r>
    </w:p>
  </w:footnote>
  <w:footnote w:id="67">
    <w:p w14:paraId="267951D5" w14:textId="77777777" w:rsidR="007929D4" w:rsidRPr="00EB18B4" w:rsidRDefault="007929D4" w:rsidP="00A6609C">
      <w:pPr>
        <w:pStyle w:val="Tekstprzypisudolnego"/>
        <w:spacing w:line="240" w:lineRule="auto"/>
        <w:jc w:val="both"/>
        <w:rPr>
          <w:rFonts w:ascii="Times New Roman" w:hAnsi="Times New Roman" w:cs="Times New Roman"/>
          <w:sz w:val="20"/>
          <w:szCs w:val="20"/>
          <w:lang w:val="en-GB"/>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lang w:val="en-GB"/>
        </w:rPr>
        <w:t>)</w:t>
      </w:r>
      <w:r w:rsidRPr="00EB18B4">
        <w:rPr>
          <w:rFonts w:ascii="Times New Roman" w:hAnsi="Times New Roman" w:cs="Times New Roman"/>
          <w:sz w:val="20"/>
          <w:szCs w:val="20"/>
          <w:lang w:val="en-GB"/>
        </w:rPr>
        <w:t xml:space="preserve"> Cybersecurity of 5G networks - EU Toolbox of risk mitigating measures https://digital-strategy.ec.europa.eu/en/library/cybersecurity-5g-networks-eu-toolbox-risk-mitigating-measures. </w:t>
      </w:r>
    </w:p>
  </w:footnote>
  <w:footnote w:id="68">
    <w:p w14:paraId="174513A6" w14:textId="77777777" w:rsidR="007929D4" w:rsidRPr="00EB18B4" w:rsidRDefault="007929D4" w:rsidP="00A6609C">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Unijna ocena cyberbezpieczeństwa sieci 5G str. 22, przypis 14 i 15, str. 27; Toolbox str. 43 i 44.</w:t>
      </w:r>
    </w:p>
  </w:footnote>
  <w:footnote w:id="69">
    <w:p w14:paraId="500F94C8" w14:textId="77777777" w:rsidR="007929D4" w:rsidRPr="00EB18B4" w:rsidRDefault="007929D4" w:rsidP="00A6609C">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Unijna ocena cyberbezpieczeństwa sieci 5G pkt 2.51, Toolbox 5G str. 43.</w:t>
      </w:r>
    </w:p>
  </w:footnote>
  <w:footnote w:id="70">
    <w:p w14:paraId="00CB8F75" w14:textId="77777777" w:rsidR="007929D4" w:rsidRPr="00533D2A" w:rsidRDefault="007929D4" w:rsidP="00365E5E">
      <w:pPr>
        <w:pStyle w:val="Tekstprzypisudolnego"/>
        <w:spacing w:line="240" w:lineRule="auto"/>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Pr="00533D2A">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Pr="00EB18B4">
        <w:rPr>
          <w:rFonts w:ascii="Times New Roman" w:hAnsi="Times New Roman" w:cs="Times New Roman"/>
          <w:sz w:val="20"/>
          <w:szCs w:val="20"/>
        </w:rPr>
        <w:t>https://eur-lex.europa.eu/legal-content/PL/TXT/?uri=COM:2020:0050:FIN&amp;_sm_au_=iVVZRW54FHZ10n2PVkFHNKt0jRsMJ</w:t>
      </w:r>
      <w:r w:rsidRPr="00533D2A">
        <w:rPr>
          <w:rFonts w:ascii="Times New Roman" w:hAnsi="Times New Roman" w:cs="Times New Roman"/>
          <w:sz w:val="20"/>
          <w:szCs w:val="20"/>
        </w:rPr>
        <w:t xml:space="preserve"> </w:t>
      </w:r>
    </w:p>
  </w:footnote>
  <w:footnote w:id="71">
    <w:p w14:paraId="1C294D52" w14:textId="77777777" w:rsidR="007929D4" w:rsidRPr="00EB18B4" w:rsidRDefault="007929D4" w:rsidP="00B26C8E">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Pr="00533D2A">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Pr="00EB18B4">
        <w:rPr>
          <w:rFonts w:ascii="Times New Roman" w:hAnsi="Times New Roman" w:cs="Times New Roman"/>
          <w:sz w:val="20"/>
          <w:szCs w:val="20"/>
        </w:rPr>
        <w:t>Dla przypomnienia: produktem ICT jest element lub grupę elementów systemu informacyjnego, usługą ICT jest usługa polegającą w pełni lub głównie na przekazywaniu, przechowywaniu, pobieraniu lub przetwarzaniu informacji za pośrednictwem systemów informacyjnych, procesem ICT jest zestaw czynności wykonywanych w celu projektowania, budowy, rozwijania, dostarczania lub utrzymywania produktów ICT lub usług ICT.</w:t>
      </w:r>
    </w:p>
    <w:p w14:paraId="09AF97DF" w14:textId="77777777" w:rsidR="007929D4" w:rsidRPr="00EB18B4" w:rsidRDefault="007929D4" w:rsidP="00B26C8E">
      <w:pPr>
        <w:pStyle w:val="Tekstprzypisudolnego"/>
        <w:spacing w:line="240" w:lineRule="auto"/>
        <w:jc w:val="both"/>
        <w:rPr>
          <w:rFonts w:ascii="Times New Roman" w:hAnsi="Times New Roman" w:cs="Times New Roman"/>
          <w:sz w:val="20"/>
          <w:szCs w:val="20"/>
        </w:rPr>
      </w:pPr>
      <w:r w:rsidRPr="00EB18B4">
        <w:rPr>
          <w:rFonts w:ascii="Times New Roman" w:hAnsi="Times New Roman" w:cs="Times New Roman"/>
          <w:sz w:val="20"/>
          <w:szCs w:val="20"/>
        </w:rPr>
        <w:t>Zauważyć przy tym należy, że definicja systemu informacyjnego obejmuje także sieć telekomunikacyjną - por. Sejm RP VIII kadencji, druk nr 2505, Rządowy projekt ustawy o krajowym systemie cyberbezpieczeństwa, uzasadnienie str. 18-19. https://sejm.gov.pl/Sejm8.nsf/druk.xsp?nr=2505.</w:t>
      </w:r>
    </w:p>
  </w:footnote>
  <w:footnote w:id="72">
    <w:p w14:paraId="3061FC86" w14:textId="762E7BC4" w:rsidR="007929D4" w:rsidRPr="00EB18B4" w:rsidRDefault="007929D4" w:rsidP="00745410">
      <w:pPr>
        <w:pStyle w:val="ODNONIKtreodnonika"/>
        <w:spacing w:after="60"/>
        <w:rPr>
          <w:rFonts w:cs="Times New Roman"/>
          <w:lang w:val="en-GB"/>
        </w:rPr>
      </w:pPr>
      <w:r w:rsidRPr="00EB18B4">
        <w:rPr>
          <w:rStyle w:val="Odwoanieprzypisudolnego"/>
          <w:rFonts w:cs="Times New Roman"/>
        </w:rPr>
        <w:footnoteRef/>
      </w:r>
      <w:r w:rsidRPr="00EB18B4">
        <w:rPr>
          <w:rStyle w:val="IGindeksgrny"/>
          <w:rFonts w:cs="Times New Roman"/>
          <w:lang w:val="en-GB"/>
          <w:specVanish w:val="0"/>
        </w:rPr>
        <w:t>)</w:t>
      </w:r>
      <w:r w:rsidRPr="00EB18B4">
        <w:rPr>
          <w:rFonts w:cs="Times New Roman"/>
          <w:lang w:val="en-GB"/>
        </w:rPr>
        <w:t xml:space="preserve"> </w:t>
      </w:r>
      <w:r w:rsidRPr="00EB18B4">
        <w:rPr>
          <w:rFonts w:cs="Times New Roman"/>
          <w:iCs/>
          <w:lang w:val="en-GB"/>
        </w:rPr>
        <w:t>Report on the EU coordinated risk assessment on cybersecurity in Fifth Generation (5G) networks https://ec.europa.eu/commission/presscorner/detail/en/IP_19_6049</w:t>
      </w:r>
      <w:r w:rsidRPr="00EB18B4">
        <w:rPr>
          <w:rStyle w:val="Hipercze"/>
          <w:rFonts w:cs="Times New Roman"/>
          <w:iCs/>
          <w:u w:val="none"/>
          <w:lang w:val="en-GB"/>
        </w:rPr>
        <w:t>.</w:t>
      </w:r>
    </w:p>
  </w:footnote>
  <w:footnote w:id="73">
    <w:p w14:paraId="1054A891" w14:textId="3989BEAB" w:rsidR="00637A01" w:rsidRPr="00533D2A" w:rsidRDefault="00637A01" w:rsidP="00745410">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9B590C">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009E2F1D" w:rsidRPr="00533D2A">
        <w:rPr>
          <w:rFonts w:ascii="Times New Roman" w:hAnsi="Times New Roman" w:cs="Times New Roman"/>
          <w:sz w:val="20"/>
          <w:szCs w:val="20"/>
        </w:rPr>
        <w:t xml:space="preserve">Np. </w:t>
      </w:r>
      <w:proofErr w:type="gramStart"/>
      <w:r w:rsidR="009E2F1D" w:rsidRPr="00533D2A">
        <w:rPr>
          <w:rFonts w:ascii="Times New Roman" w:hAnsi="Times New Roman" w:cs="Times New Roman"/>
          <w:sz w:val="20"/>
          <w:szCs w:val="20"/>
        </w:rPr>
        <w:t>zagrożenia</w:t>
      </w:r>
      <w:proofErr w:type="gramEnd"/>
      <w:r w:rsidR="009E2F1D" w:rsidRPr="00533D2A">
        <w:rPr>
          <w:rFonts w:ascii="Times New Roman" w:hAnsi="Times New Roman" w:cs="Times New Roman"/>
          <w:sz w:val="20"/>
          <w:szCs w:val="20"/>
        </w:rPr>
        <w:t xml:space="preserve"> które uniemożliwiają rozwój ekonomiczny i osłabiają potencjał gospodarczo-obronny państwa. </w:t>
      </w:r>
      <w:r w:rsidR="00FA5878" w:rsidRPr="00533D2A">
        <w:rPr>
          <w:rFonts w:ascii="Times New Roman" w:hAnsi="Times New Roman" w:cs="Times New Roman"/>
          <w:sz w:val="20"/>
          <w:szCs w:val="20"/>
        </w:rPr>
        <w:t xml:space="preserve">Przykładowo sieci w technologii 5g przyczynią sie do rozwoju </w:t>
      </w:r>
      <w:proofErr w:type="gramStart"/>
      <w:r w:rsidR="00FA5878" w:rsidRPr="00533D2A">
        <w:rPr>
          <w:rFonts w:ascii="Times New Roman" w:hAnsi="Times New Roman" w:cs="Times New Roman"/>
          <w:sz w:val="20"/>
          <w:szCs w:val="20"/>
        </w:rPr>
        <w:t>gospodarczego</w:t>
      </w:r>
      <w:proofErr w:type="gramEnd"/>
      <w:r w:rsidR="0094186C" w:rsidRPr="00533D2A">
        <w:rPr>
          <w:rFonts w:ascii="Times New Roman" w:hAnsi="Times New Roman" w:cs="Times New Roman"/>
          <w:sz w:val="20"/>
          <w:szCs w:val="20"/>
        </w:rPr>
        <w:t xml:space="preserve"> ponieważ</w:t>
      </w:r>
      <w:r w:rsidR="00FA5878" w:rsidRPr="00533D2A">
        <w:rPr>
          <w:rFonts w:ascii="Times New Roman" w:hAnsi="Times New Roman" w:cs="Times New Roman"/>
          <w:sz w:val="20"/>
          <w:szCs w:val="20"/>
        </w:rPr>
        <w:t xml:space="preserve"> szybki przesyłanie danych poprzez technologię </w:t>
      </w:r>
      <w:r w:rsidR="00FA5878" w:rsidRPr="00533D2A">
        <w:rPr>
          <w:rFonts w:ascii="Times New Roman" w:hAnsi="Times New Roman" w:cs="Times New Roman"/>
          <w:i/>
          <w:iCs/>
          <w:sz w:val="20"/>
          <w:szCs w:val="20"/>
        </w:rPr>
        <w:t>Ultra Reliable Low Latency Communications</w:t>
      </w:r>
      <w:r w:rsidR="00FA5878" w:rsidRPr="00533D2A">
        <w:rPr>
          <w:rFonts w:ascii="Times New Roman" w:hAnsi="Times New Roman" w:cs="Times New Roman"/>
          <w:sz w:val="20"/>
          <w:szCs w:val="20"/>
        </w:rPr>
        <w:t xml:space="preserve"> ułatwi prowadzenie działalności gospodarczej przez wiele podmiotów - przykłady - inteligentne urządzenia portowe umożliwiające szybki rozładunek, inteligentne systemy transportowe u zarządców dróg, inteligentne sieci energetyczne - smart grids</w:t>
      </w:r>
      <w:r w:rsidR="00456489" w:rsidRPr="00533D2A">
        <w:rPr>
          <w:rFonts w:ascii="Times New Roman" w:hAnsi="Times New Roman" w:cs="Times New Roman"/>
          <w:sz w:val="20"/>
          <w:szCs w:val="20"/>
        </w:rPr>
        <w:t>. Dostawca wysokiego ryzyka</w:t>
      </w:r>
      <w:r w:rsidR="00FA5878" w:rsidRPr="00533D2A">
        <w:rPr>
          <w:rFonts w:ascii="Times New Roman" w:hAnsi="Times New Roman" w:cs="Times New Roman"/>
          <w:sz w:val="20"/>
          <w:szCs w:val="20"/>
        </w:rPr>
        <w:t xml:space="preserve"> wpływający na funkcjonowanie tych podmiotów wpływa na innych przedsiębiorców korzystających z tych usług</w:t>
      </w:r>
      <w:r w:rsidR="00456489" w:rsidRPr="00533D2A">
        <w:rPr>
          <w:rFonts w:ascii="Times New Roman" w:hAnsi="Times New Roman" w:cs="Times New Roman"/>
          <w:sz w:val="20"/>
          <w:szCs w:val="20"/>
        </w:rPr>
        <w:t>.</w:t>
      </w:r>
    </w:p>
  </w:footnote>
  <w:footnote w:id="74">
    <w:p w14:paraId="78C6679B" w14:textId="4E634C15" w:rsidR="00B84846" w:rsidRPr="00533D2A" w:rsidRDefault="00B84846" w:rsidP="00745410">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9B590C">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Np. chodzi o zagrożenie eksfiltracji danych poprzez sprzęt dostarczany przez dostawcę - w tym także szpiegostwo gospodarcze.</w:t>
      </w:r>
    </w:p>
  </w:footnote>
  <w:footnote w:id="75">
    <w:p w14:paraId="3A216CD8" w14:textId="77777777" w:rsidR="007929D4" w:rsidRPr="00533D2A" w:rsidRDefault="007929D4" w:rsidP="00745410">
      <w:pPr>
        <w:pStyle w:val="Tekstprzypisudolnego"/>
        <w:spacing w:line="240" w:lineRule="auto"/>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Np. cyberterroryzm w postaci ataków na infrastrukturę krytyczną państwa.</w:t>
      </w:r>
    </w:p>
  </w:footnote>
  <w:footnote w:id="76">
    <w:p w14:paraId="7CCE6BF3" w14:textId="009ED575" w:rsidR="00C5653A" w:rsidRPr="00EB18B4" w:rsidRDefault="00C5653A" w:rsidP="00B14961">
      <w:pPr>
        <w:spacing w:after="0"/>
        <w:jc w:val="both"/>
        <w:rPr>
          <w:rFonts w:cs="Times New Roman"/>
          <w:sz w:val="20"/>
          <w:szCs w:val="20"/>
        </w:rPr>
      </w:pPr>
      <w:r w:rsidRPr="00EB18B4">
        <w:rPr>
          <w:rStyle w:val="Odwoanieprzypisudolnego"/>
          <w:rFonts w:cs="Times New Roman"/>
          <w:sz w:val="20"/>
          <w:szCs w:val="20"/>
        </w:rPr>
        <w:footnoteRef/>
      </w:r>
      <w:r w:rsidR="005B7915" w:rsidRPr="00EB18B4">
        <w:rPr>
          <w:rFonts w:cs="Times New Roman"/>
          <w:sz w:val="20"/>
          <w:szCs w:val="20"/>
          <w:vertAlign w:val="superscript"/>
        </w:rPr>
        <w:t>)</w:t>
      </w:r>
      <w:r w:rsidRPr="00EB18B4">
        <w:rPr>
          <w:rFonts w:cs="Times New Roman"/>
          <w:sz w:val="20"/>
          <w:szCs w:val="20"/>
        </w:rPr>
        <w:t xml:space="preserve"> Traktat o funkcjonowaniu Unii Europejskiej (wersja skonsolidowana) Dz.</w:t>
      </w:r>
      <w:r w:rsidR="005B7915" w:rsidRPr="00EB18B4">
        <w:rPr>
          <w:rFonts w:cs="Times New Roman"/>
          <w:sz w:val="20"/>
          <w:szCs w:val="20"/>
        </w:rPr>
        <w:t xml:space="preserve"> </w:t>
      </w:r>
      <w:r w:rsidRPr="00EB18B4">
        <w:rPr>
          <w:rFonts w:cs="Times New Roman"/>
          <w:sz w:val="20"/>
          <w:szCs w:val="20"/>
        </w:rPr>
        <w:t>Urz. UE C 326 z 26.10.2012, s. 47</w:t>
      </w:r>
      <w:r w:rsidR="005B7915" w:rsidRPr="00EB18B4">
        <w:rPr>
          <w:rFonts w:cs="Times New Roman"/>
          <w:sz w:val="20"/>
          <w:szCs w:val="20"/>
        </w:rPr>
        <w:t>.</w:t>
      </w:r>
    </w:p>
  </w:footnote>
  <w:footnote w:id="77">
    <w:p w14:paraId="16103819" w14:textId="0AF1703C" w:rsidR="00C5653A" w:rsidRPr="00533D2A" w:rsidRDefault="00C5653A" w:rsidP="00B14961">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5B7915"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Opinia </w:t>
      </w:r>
      <w:r w:rsidR="00F31B6E">
        <w:rPr>
          <w:rFonts w:ascii="Times New Roman" w:hAnsi="Times New Roman" w:cs="Times New Roman"/>
          <w:sz w:val="20"/>
          <w:szCs w:val="20"/>
        </w:rPr>
        <w:t>R</w:t>
      </w:r>
      <w:r w:rsidRPr="00EB18B4">
        <w:rPr>
          <w:rFonts w:ascii="Times New Roman" w:hAnsi="Times New Roman" w:cs="Times New Roman"/>
          <w:sz w:val="20"/>
          <w:szCs w:val="20"/>
        </w:rPr>
        <w:t xml:space="preserve">zecznika </w:t>
      </w:r>
      <w:r w:rsidR="00F31B6E">
        <w:rPr>
          <w:rFonts w:ascii="Times New Roman" w:hAnsi="Times New Roman" w:cs="Times New Roman"/>
          <w:sz w:val="20"/>
          <w:szCs w:val="20"/>
        </w:rPr>
        <w:t>G</w:t>
      </w:r>
      <w:r w:rsidRPr="00EB18B4">
        <w:rPr>
          <w:rFonts w:ascii="Times New Roman" w:hAnsi="Times New Roman" w:cs="Times New Roman"/>
          <w:sz w:val="20"/>
          <w:szCs w:val="20"/>
        </w:rPr>
        <w:t>eneralnego N. Emiliou przedstawiona w dniu 2 marca 2023 r. Komisja Europejska przeciwko Rzeczypospolitej Polskiej. Uchybienie zobowiązaniom państwa członkowskiego – Zamówienia publiczne na usługi – Drukarnia państwowa – Wytwarzanie dokumentów tożsamości i innych dokumentów urzędowych oraz układów do zarządzania tymi dokumentami – Przepisy krajowe przewidujące udzielanie zamówień dotyczących tego wytwarzania przedsiębiorstwu prawa publicznego bez uprzedniego postępowania o</w:t>
      </w:r>
      <w:r w:rsidR="00EA7658">
        <w:rPr>
          <w:rFonts w:ascii="Times New Roman" w:hAnsi="Times New Roman" w:cs="Times New Roman"/>
          <w:sz w:val="20"/>
          <w:szCs w:val="20"/>
        </w:rPr>
        <w:t> </w:t>
      </w:r>
      <w:r w:rsidRPr="00EB18B4">
        <w:rPr>
          <w:rFonts w:ascii="Times New Roman" w:hAnsi="Times New Roman" w:cs="Times New Roman"/>
          <w:sz w:val="20"/>
          <w:szCs w:val="20"/>
        </w:rPr>
        <w:t xml:space="preserve">udzielenie zamówienia – Artykuł 346 ust. 1 lit. a) TFUE – Dyrektywa 2014/24/UE – Artykuł 1 ust. 1 i 3 – Artykuł 15 ust. 2 i 3 – Szczególne środki bezpieczeństwa – Ochrona podstawowych interesów w zakresie bezpieczeństwa państwa członkowskiego. Sprawa C-601/21., https://eur-lex.europa.eu/legal-content/PL/TXT/?uri=CELEX:62021CC0601, [4 </w:t>
      </w:r>
      <w:proofErr w:type="gramStart"/>
      <w:r w:rsidRPr="00EB18B4">
        <w:rPr>
          <w:rFonts w:ascii="Times New Roman" w:hAnsi="Times New Roman" w:cs="Times New Roman"/>
          <w:sz w:val="20"/>
          <w:szCs w:val="20"/>
        </w:rPr>
        <w:t>listopad</w:t>
      </w:r>
      <w:proofErr w:type="gramEnd"/>
      <w:r w:rsidRPr="00EB18B4">
        <w:rPr>
          <w:rFonts w:ascii="Times New Roman" w:hAnsi="Times New Roman" w:cs="Times New Roman"/>
          <w:sz w:val="20"/>
          <w:szCs w:val="20"/>
        </w:rPr>
        <w:t xml:space="preserve"> 2024 r.].</w:t>
      </w:r>
    </w:p>
  </w:footnote>
  <w:footnote w:id="78">
    <w:p w14:paraId="0744E370" w14:textId="71B65A75" w:rsidR="00C5653A" w:rsidRPr="00EB18B4" w:rsidRDefault="00C5653A" w:rsidP="00B14961">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D728D8"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La Quadrature du Net i in przeciwko Premier ministre i in, https://eur-lex.europa.eu/legal-content/pl/TXT/?uri=CELEX:62018CJ0511, [2 </w:t>
      </w:r>
      <w:proofErr w:type="gramStart"/>
      <w:r w:rsidRPr="00EB18B4">
        <w:rPr>
          <w:rFonts w:ascii="Times New Roman" w:hAnsi="Times New Roman" w:cs="Times New Roman"/>
          <w:sz w:val="20"/>
          <w:szCs w:val="20"/>
        </w:rPr>
        <w:t>grudzień</w:t>
      </w:r>
      <w:proofErr w:type="gramEnd"/>
      <w:r w:rsidRPr="00EB18B4">
        <w:rPr>
          <w:rFonts w:ascii="Times New Roman" w:hAnsi="Times New Roman" w:cs="Times New Roman"/>
          <w:sz w:val="20"/>
          <w:szCs w:val="20"/>
        </w:rPr>
        <w:t xml:space="preserve"> 2024 r.].</w:t>
      </w:r>
    </w:p>
  </w:footnote>
  <w:footnote w:id="79">
    <w:p w14:paraId="78D5F6AF" w14:textId="284365C3" w:rsidR="00C5653A" w:rsidRPr="00533D2A" w:rsidRDefault="00C5653A" w:rsidP="00B14961">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D728D8"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w:t>
      </w:r>
      <w:r w:rsidRPr="00EB18B4">
        <w:rPr>
          <w:rFonts w:ascii="Times New Roman" w:hAnsi="Times New Roman" w:cs="Times New Roman"/>
          <w:i/>
          <w:iCs/>
          <w:sz w:val="20"/>
          <w:szCs w:val="20"/>
        </w:rPr>
        <w:t>Opinia rzecznika generalnego N. Emiliou przedstawiona w dniu 2 marca 2023 r. Komisja Europejska przeciwko Rzeczypospolitej Polskiej. Uchybienie zobowiązaniom państwa członkowskiego – Zamówienia publiczne na usługi – Drukarnia państwowa – Wytwarzanie dokumentów tożsamości i innych dokumentów urzędowych oraz układów do zarządzania tymi dokumentami – Przepisy krajowe przewidujące udzielanie zamówień dotyczących tego wytwarzania przedsiębiorstwu prawa publicznego bez uprzedniego postępowania o</w:t>
      </w:r>
      <w:r w:rsidR="00EA7658">
        <w:rPr>
          <w:rFonts w:ascii="Times New Roman" w:hAnsi="Times New Roman" w:cs="Times New Roman"/>
          <w:i/>
          <w:iCs/>
          <w:sz w:val="20"/>
          <w:szCs w:val="20"/>
        </w:rPr>
        <w:t> </w:t>
      </w:r>
      <w:r w:rsidRPr="00EB18B4">
        <w:rPr>
          <w:rFonts w:ascii="Times New Roman" w:hAnsi="Times New Roman" w:cs="Times New Roman"/>
          <w:i/>
          <w:iCs/>
          <w:sz w:val="20"/>
          <w:szCs w:val="20"/>
        </w:rPr>
        <w:t>udzielenie zamówienia – Artykuł 346 ust. 1 lit. a) TFUE – Dyrektywa 2014/24/UE – Artykuł 1 ust. 1 i 3 – Artykuł 15 ust. 2 i 3 – Szczególne środki bezpieczeństwa – Ochrona podstawowych interesów w zakresie bezpieczeństwa państwa członkowskiego. Sprawa C-601/21.</w:t>
      </w:r>
      <w:r w:rsidRPr="00EB18B4">
        <w:rPr>
          <w:rFonts w:ascii="Times New Roman" w:hAnsi="Times New Roman" w:cs="Times New Roman"/>
          <w:sz w:val="20"/>
          <w:szCs w:val="20"/>
        </w:rPr>
        <w:t>, nr. 49.</w:t>
      </w:r>
    </w:p>
  </w:footnote>
  <w:footnote w:id="80">
    <w:p w14:paraId="43657DDA" w14:textId="72F181F5" w:rsidR="00C5653A" w:rsidRPr="00EB18B4" w:rsidRDefault="00C5653A" w:rsidP="00B14961">
      <w:pPr>
        <w:pStyle w:val="Tekstprzypisudolnego"/>
        <w:spacing w:line="240" w:lineRule="auto"/>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D728D8"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Ibid</w:t>
      </w:r>
      <w:r w:rsidR="007D65D3">
        <w:rPr>
          <w:rFonts w:ascii="Times New Roman" w:hAnsi="Times New Roman" w:cs="Times New Roman"/>
          <w:sz w:val="20"/>
          <w:szCs w:val="20"/>
        </w:rPr>
        <w:t>em</w:t>
      </w:r>
      <w:r w:rsidRPr="00EB18B4">
        <w:rPr>
          <w:rFonts w:ascii="Times New Roman" w:hAnsi="Times New Roman" w:cs="Times New Roman"/>
          <w:sz w:val="20"/>
          <w:szCs w:val="20"/>
        </w:rPr>
        <w:t>, nr 50.</w:t>
      </w:r>
    </w:p>
  </w:footnote>
  <w:footnote w:id="81">
    <w:p w14:paraId="43609597" w14:textId="6F78CE35" w:rsidR="00C67DC0" w:rsidRPr="00F805CA" w:rsidRDefault="00C67DC0">
      <w:pPr>
        <w:pStyle w:val="Tekstprzypisudolnego"/>
        <w:rPr>
          <w:rFonts w:ascii="Times New Roman" w:hAnsi="Times New Roman" w:cs="Times New Roman"/>
          <w:sz w:val="20"/>
          <w:szCs w:val="20"/>
        </w:rPr>
      </w:pPr>
      <w:r w:rsidRPr="00F805CA">
        <w:rPr>
          <w:rStyle w:val="Odwoanieprzypisudolnego"/>
          <w:rFonts w:ascii="Times New Roman" w:hAnsi="Times New Roman" w:cs="Times New Roman"/>
          <w:sz w:val="20"/>
          <w:szCs w:val="20"/>
        </w:rPr>
        <w:footnoteRef/>
      </w:r>
      <w:r w:rsidR="00F92E38" w:rsidRPr="00F805CA">
        <w:rPr>
          <w:rFonts w:ascii="Times New Roman" w:hAnsi="Times New Roman" w:cs="Times New Roman"/>
          <w:sz w:val="20"/>
          <w:szCs w:val="20"/>
          <w:vertAlign w:val="superscript"/>
        </w:rPr>
        <w:t>)</w:t>
      </w:r>
      <w:r w:rsidRPr="00F805CA">
        <w:rPr>
          <w:rFonts w:ascii="Times New Roman" w:hAnsi="Times New Roman" w:cs="Times New Roman"/>
          <w:sz w:val="20"/>
          <w:szCs w:val="20"/>
        </w:rPr>
        <w:t xml:space="preserve"> </w:t>
      </w:r>
      <w:r w:rsidR="000C6505" w:rsidRPr="00F805CA">
        <w:rPr>
          <w:rFonts w:ascii="Times New Roman" w:hAnsi="Times New Roman" w:cs="Times New Roman"/>
        </w:rPr>
        <w:t>https://www.berec.europa.eu/en/document-categories/berec/reports/berec-report-secure-5g-networks</w:t>
      </w:r>
      <w:r w:rsidR="000C6505" w:rsidRPr="00F805CA">
        <w:rPr>
          <w:rFonts w:ascii="Times New Roman" w:hAnsi="Times New Roman" w:cs="Times New Roman"/>
          <w:sz w:val="20"/>
          <w:szCs w:val="20"/>
        </w:rPr>
        <w:t xml:space="preserve"> str. 24</w:t>
      </w:r>
      <w:r w:rsidR="00F92E38" w:rsidRPr="00F805CA">
        <w:rPr>
          <w:rFonts w:ascii="Times New Roman" w:hAnsi="Times New Roman" w:cs="Times New Roman"/>
          <w:sz w:val="20"/>
          <w:szCs w:val="20"/>
        </w:rPr>
        <w:t>.</w:t>
      </w:r>
    </w:p>
  </w:footnote>
  <w:footnote w:id="82">
    <w:p w14:paraId="2F597997" w14:textId="77777777" w:rsidR="007929D4" w:rsidRPr="00EB18B4" w:rsidRDefault="007929D4" w:rsidP="007929D4">
      <w:pPr>
        <w:pStyle w:val="ODNONIKtreodnonika"/>
        <w:tabs>
          <w:tab w:val="left" w:pos="7167"/>
        </w:tabs>
        <w:spacing w:after="60"/>
        <w:rPr>
          <w:rFonts w:cs="Times New Roman"/>
        </w:rPr>
      </w:pPr>
      <w:r w:rsidRPr="00EB18B4">
        <w:rPr>
          <w:rStyle w:val="Odwoanieprzypisudolnego"/>
          <w:rFonts w:cs="Times New Roman"/>
        </w:rPr>
        <w:footnoteRef/>
      </w:r>
      <w:r w:rsidRPr="00EB18B4">
        <w:rPr>
          <w:rStyle w:val="IGindeksgrny"/>
          <w:rFonts w:cs="Times New Roman"/>
          <w:specVanish w:val="0"/>
        </w:rPr>
        <w:t>)</w:t>
      </w:r>
      <w:r w:rsidRPr="00EB18B4">
        <w:rPr>
          <w:rFonts w:cs="Times New Roman"/>
        </w:rPr>
        <w:t xml:space="preserve"> Wyrok Trybunału Konstytucyjnego z dnia 23 maja 2018 r. sygn. akt SK 8/14.</w:t>
      </w:r>
    </w:p>
  </w:footnote>
  <w:footnote w:id="83">
    <w:p w14:paraId="169A7338" w14:textId="258C23B4" w:rsidR="007929D4" w:rsidRPr="00F805CA" w:rsidRDefault="007929D4" w:rsidP="007929D4">
      <w:pPr>
        <w:pStyle w:val="Tekstprzypisudolnego"/>
        <w:spacing w:after="60" w:line="240" w:lineRule="auto"/>
        <w:rPr>
          <w:rFonts w:ascii="Times New Roman" w:hAnsi="Times New Roman" w:cs="Times New Roman"/>
          <w:sz w:val="20"/>
          <w:szCs w:val="20"/>
        </w:rPr>
      </w:pPr>
      <w:r w:rsidRPr="00F805CA">
        <w:rPr>
          <w:rStyle w:val="Odwoanieprzypisudolnego"/>
          <w:rFonts w:ascii="Times New Roman" w:hAnsi="Times New Roman" w:cs="Times New Roman"/>
          <w:sz w:val="20"/>
          <w:szCs w:val="20"/>
        </w:rPr>
        <w:footnoteRef/>
      </w:r>
      <w:r w:rsidRPr="00F805CA">
        <w:rPr>
          <w:rFonts w:ascii="Times New Roman" w:hAnsi="Times New Roman" w:cs="Times New Roman"/>
          <w:sz w:val="20"/>
          <w:szCs w:val="20"/>
          <w:vertAlign w:val="superscript"/>
        </w:rPr>
        <w:t>)</w:t>
      </w:r>
      <w:r w:rsidRPr="00F805CA">
        <w:rPr>
          <w:rFonts w:ascii="Times New Roman" w:hAnsi="Times New Roman" w:cs="Times New Roman"/>
          <w:sz w:val="20"/>
          <w:szCs w:val="20"/>
        </w:rPr>
        <w:t xml:space="preserve"> </w:t>
      </w:r>
      <w:r w:rsidRPr="00F805CA">
        <w:rPr>
          <w:rFonts w:ascii="Times New Roman" w:hAnsi="Times New Roman" w:cs="Times New Roman"/>
        </w:rPr>
        <w:t>https://www.crowdstrike.com/blog/overwatch-exposes-aquatic-panda-in-possession-of-log-4-shell-exploit-tools/</w:t>
      </w:r>
      <w:r w:rsidRPr="00F805CA">
        <w:rPr>
          <w:rFonts w:ascii="Times New Roman" w:hAnsi="Times New Roman" w:cs="Times New Roman"/>
          <w:sz w:val="20"/>
          <w:szCs w:val="20"/>
        </w:rPr>
        <w:t xml:space="preserve"> </w:t>
      </w:r>
    </w:p>
  </w:footnote>
  <w:footnote w:id="84">
    <w:p w14:paraId="3E42EB42" w14:textId="77777777" w:rsidR="007929D4" w:rsidRPr="00533D2A" w:rsidRDefault="007929D4" w:rsidP="0030453C">
      <w:pPr>
        <w:pStyle w:val="Tekstprzypisudolnego"/>
        <w:spacing w:after="60"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Pr="00533D2A">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Pr="00EB18B4">
        <w:rPr>
          <w:rFonts w:ascii="Times New Roman" w:hAnsi="Times New Roman" w:cs="Times New Roman"/>
          <w:sz w:val="20"/>
          <w:szCs w:val="20"/>
        </w:rPr>
        <w:t>Przykładem mogą być: Niemcy, Grecja, Hiszpania i Portugalia oraz – jako przedstawiciel EOG – Norwegia.</w:t>
      </w:r>
    </w:p>
  </w:footnote>
  <w:footnote w:id="85">
    <w:p w14:paraId="28481A7F" w14:textId="36D00139" w:rsidR="007929D4" w:rsidRPr="00EB18B4" w:rsidRDefault="007929D4" w:rsidP="0030453C">
      <w:pPr>
        <w:pStyle w:val="Tekstprzypisudolnego"/>
        <w:spacing w:after="60"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Pr="00533D2A">
        <w:rPr>
          <w:rFonts w:ascii="Times New Roman" w:hAnsi="Times New Roman" w:cs="Times New Roman"/>
          <w:sz w:val="20"/>
          <w:szCs w:val="20"/>
          <w:vertAlign w:val="superscript"/>
        </w:rPr>
        <w:t>)</w:t>
      </w:r>
      <w:r w:rsidR="00E367D8" w:rsidRPr="00533D2A">
        <w:rPr>
          <w:rFonts w:ascii="Times New Roman" w:hAnsi="Times New Roman" w:cs="Times New Roman"/>
          <w:sz w:val="20"/>
          <w:szCs w:val="20"/>
        </w:rPr>
        <w:t xml:space="preserve"> </w:t>
      </w:r>
      <w:r w:rsidRPr="00EB18B4">
        <w:rPr>
          <w:rFonts w:ascii="Times New Roman" w:hAnsi="Times New Roman" w:cs="Times New Roman"/>
          <w:sz w:val="20"/>
          <w:szCs w:val="20"/>
        </w:rPr>
        <w:t xml:space="preserve">Zbigniew Kmieciak (red.), </w:t>
      </w:r>
      <w:r w:rsidRPr="00EB18B4">
        <w:rPr>
          <w:rFonts w:ascii="Times New Roman" w:hAnsi="Times New Roman" w:cs="Times New Roman"/>
          <w:i/>
          <w:sz w:val="20"/>
          <w:szCs w:val="20"/>
        </w:rPr>
        <w:t>Raport Zespołu Eksperckiego z prac w latach 2012-2016 – Reforma prawa o postępowaniu administracyjnym</w:t>
      </w:r>
      <w:r w:rsidRPr="00EB18B4">
        <w:rPr>
          <w:rFonts w:ascii="Times New Roman" w:hAnsi="Times New Roman" w:cs="Times New Roman"/>
          <w:sz w:val="20"/>
          <w:szCs w:val="20"/>
        </w:rPr>
        <w:t>, Warszawa 2017.</w:t>
      </w:r>
    </w:p>
  </w:footnote>
  <w:footnote w:id="86">
    <w:p w14:paraId="712D339B" w14:textId="77777777" w:rsidR="007929D4" w:rsidRPr="00EB18B4" w:rsidRDefault="007929D4" w:rsidP="0030453C">
      <w:pPr>
        <w:pStyle w:val="Tekstprzypisudolnego"/>
        <w:spacing w:after="60"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E. Szewczyk, M. Szewczyk, </w:t>
      </w:r>
      <w:r w:rsidRPr="00EB18B4">
        <w:rPr>
          <w:rFonts w:ascii="Times New Roman" w:hAnsi="Times New Roman" w:cs="Times New Roman"/>
          <w:i/>
          <w:sz w:val="20"/>
          <w:szCs w:val="20"/>
        </w:rPr>
        <w:t xml:space="preserve">Między indywidualnym aktem administracyjnym a aktem normatywnym, </w:t>
      </w:r>
      <w:r w:rsidRPr="00EB18B4">
        <w:rPr>
          <w:rFonts w:ascii="Times New Roman" w:hAnsi="Times New Roman" w:cs="Times New Roman"/>
          <w:sz w:val="20"/>
          <w:szCs w:val="20"/>
        </w:rPr>
        <w:t>Warszawa 2014.</w:t>
      </w:r>
    </w:p>
  </w:footnote>
  <w:footnote w:id="87">
    <w:p w14:paraId="5C83B80B" w14:textId="77777777" w:rsidR="007929D4" w:rsidRPr="00533D2A" w:rsidRDefault="007929D4" w:rsidP="00F805CA">
      <w:pPr>
        <w:pStyle w:val="Tekstprzypisudolnego"/>
        <w:spacing w:after="60"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Rozdział 7.4 E. Szewczyk, M. Szewczyk, </w:t>
      </w:r>
      <w:r w:rsidRPr="00EB18B4">
        <w:rPr>
          <w:rFonts w:ascii="Times New Roman" w:hAnsi="Times New Roman" w:cs="Times New Roman"/>
          <w:i/>
          <w:sz w:val="20"/>
          <w:szCs w:val="20"/>
        </w:rPr>
        <w:t>Generalny akt administracyjny: między indywidualnym aktem administracyjnym a aktem normatywnym</w:t>
      </w:r>
      <w:r w:rsidRPr="00EB18B4">
        <w:rPr>
          <w:rFonts w:ascii="Times New Roman" w:hAnsi="Times New Roman" w:cs="Times New Roman"/>
          <w:sz w:val="20"/>
          <w:szCs w:val="20"/>
        </w:rPr>
        <w:t>, Wolters Kluwer 2014.</w:t>
      </w:r>
    </w:p>
  </w:footnote>
  <w:footnote w:id="88">
    <w:p w14:paraId="258788C8" w14:textId="77777777" w:rsidR="00A10108" w:rsidRPr="00533D2A" w:rsidRDefault="00A10108" w:rsidP="00A10108">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Dyrektywa Parlamentu Europejskiego i Rady (UE) 2017/1132 z dnia 14 czerwca 2017 r. w sprawie niektórych aspektów prawa spółek (Dz. Urz. UE L 169 z 30.06.2017, str. 46-127, z późn. zm.).</w:t>
      </w:r>
    </w:p>
  </w:footnote>
  <w:footnote w:id="89">
    <w:p w14:paraId="52A1DBE3" w14:textId="15E9BC64" w:rsidR="00B737CD" w:rsidRPr="00EB18B4" w:rsidRDefault="00B737CD" w:rsidP="00CE6BB0">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020D9E">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Pr="00EB18B4">
        <w:rPr>
          <w:rFonts w:ascii="Times New Roman" w:hAnsi="Times New Roman" w:cs="Times New Roman"/>
          <w:sz w:val="20"/>
          <w:szCs w:val="20"/>
        </w:rPr>
        <w:t>Urząd Ochrony Danych Osobowych sam musi również dbać o własne cyberbezpieczeństwo. W</w:t>
      </w:r>
      <w:r w:rsidR="00660A4D" w:rsidRPr="00EB18B4">
        <w:rPr>
          <w:rFonts w:ascii="Times New Roman" w:hAnsi="Times New Roman" w:cs="Times New Roman"/>
          <w:sz w:val="20"/>
          <w:szCs w:val="20"/>
        </w:rPr>
        <w:t> </w:t>
      </w:r>
      <w:r w:rsidRPr="00EB18B4">
        <w:rPr>
          <w:rFonts w:ascii="Times New Roman" w:hAnsi="Times New Roman" w:cs="Times New Roman"/>
          <w:sz w:val="20"/>
          <w:szCs w:val="20"/>
        </w:rPr>
        <w:t xml:space="preserve">przeciwnym razie jego </w:t>
      </w:r>
      <w:proofErr w:type="gramStart"/>
      <w:r w:rsidRPr="00EB18B4">
        <w:rPr>
          <w:rFonts w:ascii="Times New Roman" w:hAnsi="Times New Roman" w:cs="Times New Roman"/>
          <w:sz w:val="20"/>
          <w:szCs w:val="20"/>
        </w:rPr>
        <w:t>autorytet,</w:t>
      </w:r>
      <w:proofErr w:type="gramEnd"/>
      <w:r w:rsidRPr="00EB18B4">
        <w:rPr>
          <w:rFonts w:ascii="Times New Roman" w:hAnsi="Times New Roman" w:cs="Times New Roman"/>
          <w:sz w:val="20"/>
          <w:szCs w:val="20"/>
        </w:rPr>
        <w:t xml:space="preserve"> jako urzędu obsługującego krajowy organ ochrony danych osobowych, ulegnie załamaniu. Poza tym Urząd Ochrony Danych Osobowych gromadzi dane w związku z postępowaniami nadzorczymi w</w:t>
      </w:r>
      <w:r w:rsidR="00390968">
        <w:rPr>
          <w:rFonts w:ascii="Times New Roman" w:hAnsi="Times New Roman" w:cs="Times New Roman"/>
          <w:sz w:val="20"/>
          <w:szCs w:val="20"/>
        </w:rPr>
        <w:t> </w:t>
      </w:r>
      <w:r w:rsidRPr="00EB18B4">
        <w:rPr>
          <w:rFonts w:ascii="Times New Roman" w:hAnsi="Times New Roman" w:cs="Times New Roman"/>
          <w:sz w:val="20"/>
          <w:szCs w:val="20"/>
        </w:rPr>
        <w:t>sprawie kontroli stosowania przepisów o ochronie danych osobowych. Wyciek tych danych albo naruszenie integralności czy ich dostępności uniemożliwi realizację zadań Prezesa Urzędu Ochrony Danych Osobowych. Stąd też zasadne jest zapewnienie adekwatnych środków finansowych dla pracowników dbających o</w:t>
      </w:r>
      <w:r w:rsidR="00390968">
        <w:rPr>
          <w:rFonts w:ascii="Times New Roman" w:hAnsi="Times New Roman" w:cs="Times New Roman"/>
          <w:sz w:val="20"/>
          <w:szCs w:val="20"/>
        </w:rPr>
        <w:t> </w:t>
      </w:r>
      <w:r w:rsidRPr="00EB18B4">
        <w:rPr>
          <w:rFonts w:ascii="Times New Roman" w:hAnsi="Times New Roman" w:cs="Times New Roman"/>
          <w:sz w:val="20"/>
          <w:szCs w:val="20"/>
        </w:rPr>
        <w:t>cyberbezpieczeństwo w Urzędzie Ochrony Danych Osobowych.</w:t>
      </w:r>
    </w:p>
  </w:footnote>
  <w:footnote w:id="90">
    <w:p w14:paraId="0CFFE8EF" w14:textId="235BDAAB" w:rsidR="00B737CD" w:rsidRPr="00EB18B4" w:rsidRDefault="00B737CD" w:rsidP="00CE6BB0">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020D9E">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Systemy informacyjne Krajowej Administracji Skarbowej</w:t>
      </w:r>
      <w:r w:rsidR="00660A4D" w:rsidRPr="00EB18B4">
        <w:rPr>
          <w:rFonts w:ascii="Times New Roman" w:hAnsi="Times New Roman" w:cs="Times New Roman"/>
          <w:sz w:val="20"/>
          <w:szCs w:val="20"/>
        </w:rPr>
        <w:t xml:space="preserve"> (KAS)</w:t>
      </w:r>
      <w:r w:rsidRPr="00EB18B4">
        <w:rPr>
          <w:rFonts w:ascii="Times New Roman" w:hAnsi="Times New Roman" w:cs="Times New Roman"/>
          <w:sz w:val="20"/>
          <w:szCs w:val="20"/>
        </w:rPr>
        <w:t xml:space="preserve"> zawierają informacje o postępowaniach karno-skarbowych. KAS dba również o należytą ściągalność podatków. Incydent w jednostkach organizacyjnych KAS może negatywnie wpłynąć na przychody budżetu państwa. Stąd też zasadne jest zapewnienie adekwatnych środków finansowych dla pracowników i funkcjonariuszy KAS dbających o cyberbezpieczeństwo w KAS.</w:t>
      </w:r>
    </w:p>
  </w:footnote>
  <w:footnote w:id="91">
    <w:p w14:paraId="3E30B178" w14:textId="192E77E1" w:rsidR="004E45E4" w:rsidRPr="00EB18B4" w:rsidRDefault="004E45E4" w:rsidP="00CE6BB0">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020D9E">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W Państwowej Straży Pożarnej funkcjonuje system SWD PSP umożliwiający rejestrację zdarzeń i</w:t>
      </w:r>
      <w:r w:rsidR="00390968">
        <w:rPr>
          <w:rFonts w:ascii="Times New Roman" w:hAnsi="Times New Roman" w:cs="Times New Roman"/>
          <w:sz w:val="20"/>
          <w:szCs w:val="20"/>
        </w:rPr>
        <w:t> </w:t>
      </w:r>
      <w:r w:rsidRPr="00EB18B4">
        <w:rPr>
          <w:rFonts w:ascii="Times New Roman" w:hAnsi="Times New Roman" w:cs="Times New Roman"/>
          <w:sz w:val="20"/>
          <w:szCs w:val="20"/>
        </w:rPr>
        <w:t>wspomagający dowodzenie jednostkami Państwowej Straży Pożarnej w tym dysponowanie jednostkami do zdarzeń czy sporządzaniem dokumentacji. Incydent w jednostkach organizacyjnych Państwowej Straży Pożarnej negatywnie wpływa na możliwość działania PSP w ramach Krajowego Systemu Ratowniczo-Gaśniczego. Stąd też zasadne jest zapewnienie adekwatnych środków finansowych dla pracowników i funkcjonariuszy PSP dbających o cyberbezpieczeństwo w PSP.</w:t>
      </w:r>
    </w:p>
  </w:footnote>
  <w:footnote w:id="92">
    <w:p w14:paraId="7B5907A2" w14:textId="2A80CDB4" w:rsidR="00B737CD" w:rsidRPr="00533D2A" w:rsidRDefault="00B737CD" w:rsidP="00CE6BB0">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020D9E">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Sądy powszechne przetwarzają w swoich systemach informacyjnych wrażliwe dane dotyczące postępowań sądowych. Ponadto podejmowane są dalsze reformy w zakresie informatyzacji sądów. Stąd też istotne jest zapewnienie adekwatnych wynagrodzeń dla pracowników dbających o</w:t>
      </w:r>
      <w:r w:rsidR="00660A4D" w:rsidRPr="00EB18B4">
        <w:rPr>
          <w:rFonts w:ascii="Times New Roman" w:hAnsi="Times New Roman" w:cs="Times New Roman"/>
          <w:sz w:val="20"/>
          <w:szCs w:val="20"/>
        </w:rPr>
        <w:t> </w:t>
      </w:r>
      <w:r w:rsidRPr="00EB18B4">
        <w:rPr>
          <w:rFonts w:ascii="Times New Roman" w:hAnsi="Times New Roman" w:cs="Times New Roman"/>
          <w:sz w:val="20"/>
          <w:szCs w:val="20"/>
        </w:rPr>
        <w:t>cyberbezpieczeństwo w sądach powszechnych.</w:t>
      </w:r>
    </w:p>
  </w:footnote>
  <w:footnote w:id="93">
    <w:p w14:paraId="6660CCFC" w14:textId="748CF3A9" w:rsidR="006D6240" w:rsidRPr="00533D2A" w:rsidRDefault="006D6240" w:rsidP="0030453C">
      <w:pPr>
        <w:pStyle w:val="Tekstprzypisudolnego"/>
        <w:spacing w:line="240" w:lineRule="auto"/>
        <w:jc w:val="both"/>
        <w:rPr>
          <w:rFonts w:ascii="Times New Roman" w:hAnsi="Times New Roman" w:cs="Times New Roman"/>
          <w:sz w:val="20"/>
          <w:szCs w:val="20"/>
        </w:rPr>
      </w:pPr>
      <w:r w:rsidRPr="00533D2A">
        <w:rPr>
          <w:rStyle w:val="Odwoanieprzypisudolnego"/>
          <w:rFonts w:ascii="Times New Roman" w:hAnsi="Times New Roman" w:cs="Times New Roman"/>
          <w:sz w:val="20"/>
          <w:szCs w:val="20"/>
        </w:rPr>
        <w:footnoteRef/>
      </w:r>
      <w:r w:rsidR="00020D9E">
        <w:rPr>
          <w:rFonts w:ascii="Times New Roman" w:hAnsi="Times New Roman" w:cs="Times New Roman"/>
          <w:sz w:val="20"/>
          <w:szCs w:val="20"/>
          <w:vertAlign w:val="superscript"/>
        </w:rPr>
        <w:t>)</w:t>
      </w:r>
      <w:r w:rsidRPr="00533D2A">
        <w:rPr>
          <w:rFonts w:ascii="Times New Roman" w:hAnsi="Times New Roman" w:cs="Times New Roman"/>
          <w:sz w:val="20"/>
          <w:szCs w:val="20"/>
        </w:rPr>
        <w:t xml:space="preserve"> </w:t>
      </w:r>
      <w:r w:rsidR="009951D9" w:rsidRPr="00533D2A">
        <w:rPr>
          <w:rFonts w:ascii="Times New Roman" w:hAnsi="Times New Roman" w:cs="Times New Roman"/>
          <w:sz w:val="20"/>
          <w:szCs w:val="20"/>
        </w:rPr>
        <w:t>Konkretnie chodzi o przepisy art. 1 ust. 1 pkt 2, art. 2 pkt 1, 17, 27, 29, 31, 35, 41, 43, 46, 48, 49i 52, art. 9, art.</w:t>
      </w:r>
      <w:r w:rsidR="0030453C">
        <w:rPr>
          <w:rFonts w:ascii="Times New Roman" w:hAnsi="Times New Roman" w:cs="Times New Roman"/>
          <w:sz w:val="20"/>
          <w:szCs w:val="20"/>
        </w:rPr>
        <w:t> </w:t>
      </w:r>
      <w:r w:rsidR="009951D9" w:rsidRPr="00533D2A">
        <w:rPr>
          <w:rFonts w:ascii="Times New Roman" w:hAnsi="Times New Roman" w:cs="Times New Roman"/>
          <w:sz w:val="20"/>
          <w:szCs w:val="20"/>
        </w:rPr>
        <w:t>160 ust. 1 i 2, działu VIIa oraz art. 209 ust. 1 pkt 25a, 271 i 27a ustawy z dnia 16</w:t>
      </w:r>
      <w:r w:rsidR="00390968">
        <w:rPr>
          <w:rFonts w:ascii="Times New Roman" w:hAnsi="Times New Roman" w:cs="Times New Roman"/>
          <w:sz w:val="20"/>
          <w:szCs w:val="20"/>
        </w:rPr>
        <w:t xml:space="preserve"> </w:t>
      </w:r>
      <w:r w:rsidR="009951D9" w:rsidRPr="00533D2A">
        <w:rPr>
          <w:rFonts w:ascii="Times New Roman" w:hAnsi="Times New Roman" w:cs="Times New Roman"/>
          <w:sz w:val="20"/>
          <w:szCs w:val="20"/>
        </w:rPr>
        <w:t>lipca 2004 r. – Prawo telekomunikacyjne.</w:t>
      </w:r>
    </w:p>
  </w:footnote>
  <w:footnote w:id="94">
    <w:p w14:paraId="7CF3BC10" w14:textId="68A14D06" w:rsidR="00ED6812" w:rsidRPr="0030453C" w:rsidRDefault="00ED6812" w:rsidP="00A961D1">
      <w:pPr>
        <w:pStyle w:val="Tekstprzypisudolnego"/>
        <w:spacing w:line="240" w:lineRule="auto"/>
        <w:jc w:val="both"/>
        <w:rPr>
          <w:rFonts w:ascii="Times New Roman" w:hAnsi="Times New Roman" w:cs="Times New Roman"/>
          <w:sz w:val="20"/>
          <w:szCs w:val="20"/>
          <w:lang w:val="en-GB"/>
        </w:rPr>
      </w:pPr>
      <w:r w:rsidRPr="0030453C">
        <w:rPr>
          <w:rStyle w:val="Odwoanieprzypisudolnego"/>
          <w:rFonts w:ascii="Times New Roman" w:hAnsi="Times New Roman" w:cs="Times New Roman"/>
          <w:sz w:val="20"/>
          <w:szCs w:val="20"/>
        </w:rPr>
        <w:footnoteRef/>
      </w:r>
      <w:r w:rsidR="003857A4" w:rsidRPr="0030453C">
        <w:rPr>
          <w:rFonts w:ascii="Times New Roman" w:hAnsi="Times New Roman" w:cs="Times New Roman"/>
          <w:sz w:val="20"/>
          <w:szCs w:val="20"/>
          <w:vertAlign w:val="superscript"/>
          <w:lang w:val="en-GB"/>
        </w:rPr>
        <w:t>)</w:t>
      </w:r>
      <w:r w:rsidRPr="0030453C">
        <w:rPr>
          <w:rFonts w:ascii="Times New Roman" w:hAnsi="Times New Roman" w:cs="Times New Roman"/>
          <w:sz w:val="20"/>
          <w:szCs w:val="20"/>
          <w:lang w:val="en-GB"/>
        </w:rPr>
        <w:t xml:space="preserve"> </w:t>
      </w:r>
      <w:r w:rsidRPr="0030453C">
        <w:rPr>
          <w:rFonts w:ascii="Times New Roman" w:hAnsi="Times New Roman" w:cs="Times New Roman"/>
          <w:b/>
          <w:bCs/>
          <w:sz w:val="20"/>
          <w:szCs w:val="20"/>
          <w:lang w:val="en-GB"/>
        </w:rPr>
        <w:t>Annex 4: Methodology and criteria for determining the additional sectors, subsectors and services considered for the NIS scope in policy options 2 and 3</w:t>
      </w:r>
      <w:r w:rsidRPr="0030453C">
        <w:rPr>
          <w:rFonts w:ascii="Times New Roman" w:hAnsi="Times New Roman" w:cs="Times New Roman"/>
          <w:sz w:val="20"/>
          <w:szCs w:val="20"/>
          <w:lang w:val="en-GB"/>
        </w:rPr>
        <w:t xml:space="preserve"> [w:] COMMISSION STAFF WORKING DOCUMENT IMPACT ASSESSMENT REPORT Accompanying the document Proposal for a Directive of the European Parliament and of the Council on measures for a high common level of cybersecurity across the Union, repealing Directive (EU) 2016/1148 PART 2/3, European Commision, 2020.</w:t>
      </w:r>
    </w:p>
  </w:footnote>
  <w:footnote w:id="95">
    <w:p w14:paraId="2D82BADC" w14:textId="5E2FAA7B" w:rsidR="00ED6812" w:rsidRPr="000F7D32" w:rsidRDefault="00ED6812" w:rsidP="00A961D1">
      <w:pPr>
        <w:pStyle w:val="Tekstprzypisudolnego"/>
        <w:spacing w:line="240" w:lineRule="auto"/>
        <w:rPr>
          <w:lang w:val="en-GB"/>
        </w:rPr>
      </w:pPr>
      <w:r w:rsidRPr="0030453C">
        <w:rPr>
          <w:rStyle w:val="Odwoanieprzypisudolnego"/>
          <w:rFonts w:ascii="Times New Roman" w:hAnsi="Times New Roman" w:cs="Times New Roman"/>
          <w:sz w:val="20"/>
          <w:szCs w:val="20"/>
        </w:rPr>
        <w:footnoteRef/>
      </w:r>
      <w:r w:rsidR="00A961D1">
        <w:rPr>
          <w:rFonts w:ascii="Times New Roman" w:hAnsi="Times New Roman" w:cs="Times New Roman"/>
          <w:sz w:val="20"/>
          <w:szCs w:val="20"/>
          <w:vertAlign w:val="superscript"/>
          <w:lang w:val="en-GB"/>
        </w:rPr>
        <w:t>)</w:t>
      </w:r>
      <w:r w:rsidRPr="0030453C">
        <w:rPr>
          <w:rFonts w:ascii="Times New Roman" w:hAnsi="Times New Roman" w:cs="Times New Roman"/>
          <w:sz w:val="20"/>
          <w:szCs w:val="20"/>
          <w:lang w:val="en-GB"/>
        </w:rPr>
        <w:t xml:space="preserve"> https://stat.gov.pl/obszary-tematyczne/roczniki-statystyczne/roczniki-statystyczne/rocznik-statystyczny-przemyslu-2024,5,18.html</w:t>
      </w:r>
    </w:p>
  </w:footnote>
  <w:footnote w:id="96">
    <w:p w14:paraId="1C1BC060" w14:textId="49ECA6C6" w:rsidR="00F8650D" w:rsidRPr="002B667E" w:rsidRDefault="00F8650D" w:rsidP="00A961D1">
      <w:pPr>
        <w:pStyle w:val="Tekstprzypisudolnego"/>
        <w:spacing w:line="240" w:lineRule="auto"/>
        <w:rPr>
          <w:rFonts w:ascii="Times New Roman" w:hAnsi="Times New Roman" w:cs="Times New Roman"/>
          <w:sz w:val="20"/>
          <w:szCs w:val="20"/>
          <w:lang w:val="en-GB"/>
        </w:rPr>
      </w:pPr>
      <w:r w:rsidRPr="002B667E">
        <w:rPr>
          <w:rStyle w:val="Odwoanieprzypisudolnego"/>
          <w:rFonts w:ascii="Times New Roman" w:hAnsi="Times New Roman" w:cs="Times New Roman"/>
          <w:sz w:val="20"/>
          <w:szCs w:val="20"/>
        </w:rPr>
        <w:footnoteRef/>
      </w:r>
      <w:r w:rsidR="00A961D1" w:rsidRPr="002B667E">
        <w:rPr>
          <w:rFonts w:ascii="Times New Roman" w:hAnsi="Times New Roman" w:cs="Times New Roman"/>
          <w:sz w:val="20"/>
          <w:szCs w:val="20"/>
          <w:vertAlign w:val="superscript"/>
          <w:lang w:val="en-GB"/>
        </w:rPr>
        <w:t>)</w:t>
      </w:r>
      <w:r w:rsidRPr="002B667E">
        <w:rPr>
          <w:rFonts w:ascii="Times New Roman" w:hAnsi="Times New Roman" w:cs="Times New Roman"/>
          <w:sz w:val="20"/>
          <w:szCs w:val="20"/>
          <w:lang w:val="en-GB"/>
        </w:rPr>
        <w:t xml:space="preserve"> https://www.cisa.gov/news-events/news/attack-colonial-pipeline-what-weve-learned-what-weve-done-over-past-two-years</w:t>
      </w:r>
    </w:p>
  </w:footnote>
  <w:footnote w:id="97">
    <w:p w14:paraId="0B638D6C" w14:textId="3121E18D" w:rsidR="00A950FF" w:rsidRPr="00F805CA" w:rsidRDefault="00A950FF" w:rsidP="00A961D1">
      <w:pPr>
        <w:pStyle w:val="Tekstprzypisudolnego"/>
        <w:spacing w:line="240" w:lineRule="auto"/>
        <w:jc w:val="both"/>
        <w:rPr>
          <w:rFonts w:ascii="Times New Roman" w:hAnsi="Times New Roman" w:cs="Times New Roman"/>
          <w:sz w:val="20"/>
          <w:szCs w:val="20"/>
          <w:lang w:val="en-GB"/>
        </w:rPr>
      </w:pPr>
      <w:r w:rsidRPr="006B2DCC">
        <w:rPr>
          <w:rStyle w:val="Odwoanieprzypisudolnego"/>
          <w:rFonts w:ascii="Times New Roman" w:hAnsi="Times New Roman" w:cs="Times New Roman"/>
          <w:sz w:val="20"/>
          <w:szCs w:val="20"/>
        </w:rPr>
        <w:footnoteRef/>
      </w:r>
      <w:r w:rsidR="00D52616" w:rsidRPr="00F805CA">
        <w:rPr>
          <w:rFonts w:ascii="Times New Roman" w:hAnsi="Times New Roman" w:cs="Times New Roman"/>
          <w:sz w:val="20"/>
          <w:szCs w:val="20"/>
          <w:vertAlign w:val="superscript"/>
          <w:lang w:val="en-GB"/>
        </w:rPr>
        <w:t>)</w:t>
      </w:r>
      <w:r w:rsidRPr="00F805CA">
        <w:rPr>
          <w:rFonts w:ascii="Times New Roman" w:hAnsi="Times New Roman" w:cs="Times New Roman"/>
          <w:sz w:val="20"/>
          <w:szCs w:val="20"/>
          <w:lang w:val="en-GB"/>
        </w:rPr>
        <w:t xml:space="preserve"> </w:t>
      </w:r>
      <w:hyperlink r:id="rId1" w:history="1">
        <w:r w:rsidR="006B2DCC" w:rsidRPr="006E7278">
          <w:rPr>
            <w:rStyle w:val="Hipercze"/>
            <w:rFonts w:ascii="Times New Roman" w:hAnsi="Times New Roman" w:cs="Times New Roman"/>
            <w:sz w:val="20"/>
            <w:szCs w:val="20"/>
          </w:rPr>
          <w:t>https://ulc.gov.pl/_download/statystyki/2024/II_kw_2024/wg_portow_krajowe_2kw2024_v2.pdf</w:t>
        </w:r>
      </w:hyperlink>
      <w:r w:rsidR="006B2DCC" w:rsidRPr="00F805CA">
        <w:rPr>
          <w:rFonts w:ascii="Times New Roman" w:hAnsi="Times New Roman" w:cs="Times New Roman"/>
          <w:sz w:val="20"/>
          <w:szCs w:val="20"/>
          <w:lang w:val="en-GB"/>
        </w:rPr>
        <w:t xml:space="preserve"> </w:t>
      </w:r>
    </w:p>
  </w:footnote>
  <w:footnote w:id="98">
    <w:p w14:paraId="1D7094E8" w14:textId="3089A9E6" w:rsidR="00C30187" w:rsidRPr="006E7278" w:rsidRDefault="00C30187" w:rsidP="00A961D1">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D52616" w:rsidRPr="00F805CA">
        <w:rPr>
          <w:rFonts w:ascii="Times New Roman" w:hAnsi="Times New Roman" w:cs="Times New Roman"/>
          <w:sz w:val="20"/>
          <w:szCs w:val="20"/>
          <w:vertAlign w:val="superscript"/>
          <w:lang w:val="en-GB"/>
        </w:rPr>
        <w:t>)</w:t>
      </w:r>
      <w:r w:rsidRPr="00F805CA">
        <w:rPr>
          <w:rFonts w:ascii="Times New Roman" w:hAnsi="Times New Roman" w:cs="Times New Roman"/>
          <w:sz w:val="20"/>
          <w:szCs w:val="20"/>
          <w:lang w:val="en-GB"/>
        </w:rPr>
        <w:t xml:space="preserve"> </w:t>
      </w:r>
      <w:r w:rsidR="006B2DCC" w:rsidRPr="006B2DCC">
        <w:rPr>
          <w:rFonts w:ascii="Times New Roman" w:hAnsi="Times New Roman" w:cs="Times New Roman"/>
          <w:sz w:val="20"/>
          <w:szCs w:val="20"/>
          <w:lang w:val="en-GB"/>
        </w:rPr>
        <w:t>https://ulc.gov.pl/_download/statystyki/2024/II_kw_2024/wg_org_cargo_2kw2024_v2.pdf</w:t>
      </w:r>
      <w:r w:rsidR="006B2DCC" w:rsidRPr="006B2DCC" w:rsidDel="006B2DCC">
        <w:rPr>
          <w:rFonts w:ascii="Times New Roman" w:hAnsi="Times New Roman" w:cs="Times New Roman"/>
          <w:sz w:val="20"/>
          <w:szCs w:val="20"/>
          <w:highlight w:val="yellow"/>
          <w:lang w:val="en-GB"/>
        </w:rPr>
        <w:t xml:space="preserve"> </w:t>
      </w:r>
    </w:p>
  </w:footnote>
  <w:footnote w:id="99">
    <w:p w14:paraId="3D8796DC" w14:textId="054B1DB6" w:rsidR="00506923" w:rsidRPr="00EB18B4" w:rsidRDefault="00506923" w:rsidP="00A961D1">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D52616"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E. Szczepaniuk, </w:t>
      </w:r>
      <w:r w:rsidRPr="00EB18B4">
        <w:rPr>
          <w:rFonts w:ascii="Times New Roman" w:hAnsi="Times New Roman" w:cs="Times New Roman"/>
          <w:i/>
          <w:iCs/>
          <w:sz w:val="20"/>
          <w:szCs w:val="20"/>
        </w:rPr>
        <w:t>Wybrane aspekty cyberbezpieczeństwa w lotnictwie cywilnym</w:t>
      </w:r>
      <w:r w:rsidRPr="00EB18B4">
        <w:rPr>
          <w:rFonts w:ascii="Times New Roman" w:hAnsi="Times New Roman" w:cs="Times New Roman"/>
          <w:sz w:val="20"/>
          <w:szCs w:val="20"/>
        </w:rPr>
        <w:t>, „Aviation and Security Issues” t. 3 nr 1 (2023), s. 111.</w:t>
      </w:r>
    </w:p>
  </w:footnote>
  <w:footnote w:id="100">
    <w:p w14:paraId="3E9C0238" w14:textId="66E9A138" w:rsidR="004249D8" w:rsidRPr="00533D2A" w:rsidRDefault="004249D8" w:rsidP="00A961D1">
      <w:pPr>
        <w:pStyle w:val="Tekstprzypisudolnego"/>
        <w:spacing w:line="240" w:lineRule="auto"/>
        <w:jc w:val="both"/>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D52616"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Ibid</w:t>
      </w:r>
      <w:r w:rsidR="007D65D3">
        <w:rPr>
          <w:rFonts w:ascii="Times New Roman" w:hAnsi="Times New Roman" w:cs="Times New Roman"/>
          <w:sz w:val="20"/>
          <w:szCs w:val="20"/>
        </w:rPr>
        <w:t>em</w:t>
      </w:r>
      <w:r w:rsidRPr="00EB18B4">
        <w:rPr>
          <w:rFonts w:ascii="Times New Roman" w:hAnsi="Times New Roman" w:cs="Times New Roman"/>
          <w:sz w:val="20"/>
          <w:szCs w:val="20"/>
        </w:rPr>
        <w:t>, s. 114–115.</w:t>
      </w:r>
    </w:p>
  </w:footnote>
  <w:footnote w:id="101">
    <w:p w14:paraId="5E0B142E" w14:textId="295F1C9B" w:rsidR="00043B13" w:rsidRPr="00EB18B4" w:rsidRDefault="00043B13">
      <w:pPr>
        <w:pStyle w:val="Tekstprzypisudolnego"/>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286D8F"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A. Mrozowska, </w:t>
      </w:r>
      <w:r w:rsidRPr="00EB18B4">
        <w:rPr>
          <w:rFonts w:ascii="Times New Roman" w:hAnsi="Times New Roman" w:cs="Times New Roman"/>
          <w:i/>
          <w:iCs/>
          <w:sz w:val="20"/>
          <w:szCs w:val="20"/>
        </w:rPr>
        <w:t>Zarządzanie morskim cyberbezpieczeństwem</w:t>
      </w:r>
      <w:r w:rsidRPr="00EB18B4">
        <w:rPr>
          <w:rFonts w:ascii="Times New Roman" w:hAnsi="Times New Roman" w:cs="Times New Roman"/>
          <w:sz w:val="20"/>
          <w:szCs w:val="20"/>
        </w:rPr>
        <w:t>, „5 Wstęp”, s. 33.</w:t>
      </w:r>
    </w:p>
  </w:footnote>
  <w:footnote w:id="102">
    <w:p w14:paraId="5280715D" w14:textId="71B76978" w:rsidR="008C4B80" w:rsidRDefault="003E3C16" w:rsidP="008C4B80">
      <w:pPr>
        <w:spacing w:after="0"/>
        <w:jc w:val="both"/>
        <w:rPr>
          <w:rFonts w:cs="Times New Roman"/>
          <w:sz w:val="20"/>
          <w:szCs w:val="20"/>
          <w:lang w:eastAsia="pl-PL"/>
        </w:rPr>
      </w:pPr>
      <w:r w:rsidRPr="00711603">
        <w:rPr>
          <w:rStyle w:val="Odwoanieprzypisudolnego"/>
          <w:sz w:val="20"/>
          <w:szCs w:val="20"/>
        </w:rPr>
        <w:footnoteRef/>
      </w:r>
      <w:r w:rsidR="00711603">
        <w:rPr>
          <w:sz w:val="20"/>
          <w:szCs w:val="20"/>
          <w:vertAlign w:val="superscript"/>
        </w:rPr>
        <w:t>)</w:t>
      </w:r>
      <w:r w:rsidRPr="00711603">
        <w:rPr>
          <w:sz w:val="20"/>
          <w:szCs w:val="20"/>
        </w:rPr>
        <w:t xml:space="preserve"> </w:t>
      </w:r>
      <w:r w:rsidRPr="00711603">
        <w:rPr>
          <w:rFonts w:cs="Times New Roman"/>
          <w:sz w:val="20"/>
          <w:szCs w:val="20"/>
          <w:lang w:eastAsia="pl-PL"/>
        </w:rPr>
        <w:t xml:space="preserve">A. Brzeszczak, D. Dziembek, </w:t>
      </w:r>
      <w:r w:rsidRPr="00711603">
        <w:rPr>
          <w:rFonts w:cs="Times New Roman"/>
          <w:i/>
          <w:iCs/>
          <w:sz w:val="20"/>
          <w:szCs w:val="20"/>
          <w:lang w:eastAsia="pl-PL"/>
        </w:rPr>
        <w:t>Technologie i systemy informatyczne wykorzystywane w gospodarce odpadami</w:t>
      </w:r>
      <w:r w:rsidRPr="00711603">
        <w:rPr>
          <w:rFonts w:cs="Times New Roman"/>
          <w:sz w:val="20"/>
          <w:szCs w:val="20"/>
          <w:lang w:eastAsia="pl-PL"/>
        </w:rPr>
        <w:t>, „Artykuły IZIP” t. 2 (2017)</w:t>
      </w:r>
      <w:r w:rsidR="008C4B80">
        <w:rPr>
          <w:rFonts w:cs="Times New Roman"/>
          <w:sz w:val="20"/>
          <w:szCs w:val="20"/>
          <w:lang w:eastAsia="pl-PL"/>
        </w:rPr>
        <w:t>,</w:t>
      </w:r>
    </w:p>
    <w:p w14:paraId="3375D778" w14:textId="0DCB6B4E" w:rsidR="003E3C16" w:rsidRDefault="00C46EFC" w:rsidP="00F805CA">
      <w:pPr>
        <w:spacing w:after="0"/>
        <w:jc w:val="both"/>
      </w:pPr>
      <w:r w:rsidRPr="00F805CA">
        <w:t>http://46.242.185.119/off_ptzp.org.pl/files/konferencje/kzz/artyk_pdf_2017/T2/t2_625.pdf</w:t>
      </w:r>
      <w:r w:rsidR="003E3C16" w:rsidRPr="00711603">
        <w:rPr>
          <w:rFonts w:cs="Times New Roman"/>
          <w:sz w:val="20"/>
          <w:szCs w:val="20"/>
          <w:lang w:eastAsia="pl-PL"/>
        </w:rPr>
        <w:t>.</w:t>
      </w:r>
    </w:p>
  </w:footnote>
  <w:footnote w:id="103">
    <w:p w14:paraId="08497B69" w14:textId="1D758D44" w:rsidR="0071587F" w:rsidRPr="00EB18B4" w:rsidRDefault="0071587F">
      <w:pPr>
        <w:pStyle w:val="Tekstprzypisudolnego"/>
        <w:rPr>
          <w:rFonts w:ascii="Times New Roman" w:hAnsi="Times New Roman" w:cs="Times New Roman"/>
          <w:sz w:val="20"/>
          <w:szCs w:val="20"/>
        </w:rPr>
      </w:pPr>
      <w:r w:rsidRPr="00EB18B4">
        <w:rPr>
          <w:rStyle w:val="Odwoanieprzypisudolnego"/>
          <w:rFonts w:ascii="Times New Roman" w:hAnsi="Times New Roman" w:cs="Times New Roman"/>
          <w:sz w:val="20"/>
          <w:szCs w:val="20"/>
        </w:rPr>
        <w:footnoteRef/>
      </w:r>
      <w:r w:rsidR="00D372FB" w:rsidRPr="00EB18B4">
        <w:rPr>
          <w:rFonts w:ascii="Times New Roman" w:hAnsi="Times New Roman" w:cs="Times New Roman"/>
          <w:sz w:val="20"/>
          <w:szCs w:val="20"/>
          <w:vertAlign w:val="superscript"/>
        </w:rPr>
        <w:t>)</w:t>
      </w:r>
      <w:r w:rsidRPr="00EB18B4">
        <w:rPr>
          <w:rFonts w:ascii="Times New Roman" w:hAnsi="Times New Roman" w:cs="Times New Roman"/>
          <w:sz w:val="20"/>
          <w:szCs w:val="20"/>
        </w:rPr>
        <w:t xml:space="preserve"> </w:t>
      </w:r>
      <w:r w:rsidR="001777F5" w:rsidRPr="00EB18B4">
        <w:rPr>
          <w:rFonts w:ascii="Times New Roman" w:hAnsi="Times New Roman" w:cs="Times New Roman"/>
          <w:sz w:val="20"/>
          <w:szCs w:val="20"/>
        </w:rPr>
        <w:t>https://eur-lex.europa.eu/legal-content/PL/TXT/?uri=CELEX%3A52025AB0002&amp;qid=1742257266264.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1D3"/>
    <w:multiLevelType w:val="hybridMultilevel"/>
    <w:tmpl w:val="773E2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7876C6"/>
    <w:multiLevelType w:val="hybridMultilevel"/>
    <w:tmpl w:val="F9C2143E"/>
    <w:lvl w:ilvl="0" w:tplc="04150011">
      <w:start w:val="1"/>
      <w:numFmt w:val="decimal"/>
      <w:lvlText w:val="%1)"/>
      <w:lvlJc w:val="left"/>
      <w:pPr>
        <w:ind w:left="928" w:hanging="360"/>
      </w:pPr>
      <w:rPr>
        <w:rFonts w:hint="default"/>
      </w:rPr>
    </w:lvl>
    <w:lvl w:ilvl="1" w:tplc="FFFFFFFF">
      <w:start w:val="1"/>
      <w:numFmt w:val="bullet"/>
      <w:lvlText w:val="o"/>
      <w:lvlJc w:val="left"/>
      <w:pPr>
        <w:ind w:left="1648" w:hanging="360"/>
      </w:pPr>
      <w:rPr>
        <w:rFonts w:ascii="Courier New" w:hAnsi="Courier New" w:cs="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cs="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cs="Courier New" w:hint="default"/>
      </w:rPr>
    </w:lvl>
    <w:lvl w:ilvl="8" w:tplc="FFFFFFFF">
      <w:start w:val="1"/>
      <w:numFmt w:val="bullet"/>
      <w:lvlText w:val=""/>
      <w:lvlJc w:val="left"/>
      <w:pPr>
        <w:ind w:left="6688" w:hanging="360"/>
      </w:pPr>
      <w:rPr>
        <w:rFonts w:ascii="Wingdings" w:hAnsi="Wingdings" w:hint="default"/>
      </w:rPr>
    </w:lvl>
  </w:abstractNum>
  <w:abstractNum w:abstractNumId="2" w15:restartNumberingAfterBreak="0">
    <w:nsid w:val="01AA0DDA"/>
    <w:multiLevelType w:val="hybridMultilevel"/>
    <w:tmpl w:val="1BD62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BA396A"/>
    <w:multiLevelType w:val="hybridMultilevel"/>
    <w:tmpl w:val="B2227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2246A5"/>
    <w:multiLevelType w:val="hybridMultilevel"/>
    <w:tmpl w:val="8B967FA4"/>
    <w:lvl w:ilvl="0" w:tplc="76702FE4">
      <w:start w:val="1"/>
      <w:numFmt w:val="lowerLetter"/>
      <w:lvlText w:val="%1)"/>
      <w:lvlJc w:val="left"/>
      <w:pPr>
        <w:ind w:left="1501" w:hanging="480"/>
      </w:pPr>
      <w:rPr>
        <w:rFonts w:hint="default"/>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5" w15:restartNumberingAfterBreak="0">
    <w:nsid w:val="04B0049E"/>
    <w:multiLevelType w:val="hybridMultilevel"/>
    <w:tmpl w:val="E63AF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954A71"/>
    <w:multiLevelType w:val="hybridMultilevel"/>
    <w:tmpl w:val="7676F650"/>
    <w:lvl w:ilvl="0" w:tplc="F67C8688">
      <w:start w:val="1"/>
      <w:numFmt w:val="decimal"/>
      <w:lvlText w:val="%1)"/>
      <w:lvlJc w:val="left"/>
      <w:pPr>
        <w:ind w:left="1070" w:hanging="710"/>
      </w:pPr>
      <w:rPr>
        <w:rFonts w:ascii="Times" w:eastAsiaTheme="minorHAnsi" w:hAnsi="Times" w:cs="Times"/>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092623"/>
    <w:multiLevelType w:val="hybridMultilevel"/>
    <w:tmpl w:val="81AC1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171C0A"/>
    <w:multiLevelType w:val="multilevel"/>
    <w:tmpl w:val="A5BA53E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B9C0793"/>
    <w:multiLevelType w:val="hybridMultilevel"/>
    <w:tmpl w:val="64BA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B822D9"/>
    <w:multiLevelType w:val="hybridMultilevel"/>
    <w:tmpl w:val="93B04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614B36"/>
    <w:multiLevelType w:val="hybridMultilevel"/>
    <w:tmpl w:val="93CEBB3E"/>
    <w:lvl w:ilvl="0" w:tplc="C72A333A">
      <w:start w:val="1"/>
      <w:numFmt w:val="decimal"/>
      <w:lvlText w:val="%1)"/>
      <w:lvlJc w:val="left"/>
      <w:pPr>
        <w:ind w:left="720" w:hanging="360"/>
      </w:pPr>
      <w:rPr>
        <w:rFonts w:ascii="Times" w:eastAsiaTheme="minorHAnsi" w:hAnsi="Times" w:cs="Time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3860AA"/>
    <w:multiLevelType w:val="hybridMultilevel"/>
    <w:tmpl w:val="63DA40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A964AF"/>
    <w:multiLevelType w:val="hybridMultilevel"/>
    <w:tmpl w:val="B0E83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90487D"/>
    <w:multiLevelType w:val="hybridMultilevel"/>
    <w:tmpl w:val="BDB8E74C"/>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2D4071C"/>
    <w:multiLevelType w:val="hybridMultilevel"/>
    <w:tmpl w:val="050E6C6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35D1259"/>
    <w:multiLevelType w:val="hybridMultilevel"/>
    <w:tmpl w:val="5732A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E27E7F"/>
    <w:multiLevelType w:val="hybridMultilevel"/>
    <w:tmpl w:val="42621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7EC6DD3"/>
    <w:multiLevelType w:val="hybridMultilevel"/>
    <w:tmpl w:val="26E8EC0A"/>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9" w15:restartNumberingAfterBreak="0">
    <w:nsid w:val="182B6A8D"/>
    <w:multiLevelType w:val="hybridMultilevel"/>
    <w:tmpl w:val="EBC47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2B2633"/>
    <w:multiLevelType w:val="hybridMultilevel"/>
    <w:tmpl w:val="C34837D0"/>
    <w:lvl w:ilvl="0" w:tplc="04150011">
      <w:start w:val="1"/>
      <w:numFmt w:val="decimal"/>
      <w:lvlText w:val="%1)"/>
      <w:lvlJc w:val="left"/>
      <w:pPr>
        <w:ind w:left="700" w:hanging="360"/>
      </w:pPr>
      <w:rPr>
        <w:rFonts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21" w15:restartNumberingAfterBreak="0">
    <w:nsid w:val="233C6B36"/>
    <w:multiLevelType w:val="hybridMultilevel"/>
    <w:tmpl w:val="79FEA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1E7C07"/>
    <w:multiLevelType w:val="hybridMultilevel"/>
    <w:tmpl w:val="301C1216"/>
    <w:lvl w:ilvl="0" w:tplc="04150011">
      <w:start w:val="1"/>
      <w:numFmt w:val="decimal"/>
      <w:lvlText w:val="%1)"/>
      <w:lvlJc w:val="left"/>
      <w:pPr>
        <w:ind w:left="804" w:hanging="360"/>
      </w:pPr>
      <w:rPr>
        <w:rFonts w:hint="default"/>
      </w:rPr>
    </w:lvl>
    <w:lvl w:ilvl="1" w:tplc="FFFFFFFF">
      <w:start w:val="1"/>
      <w:numFmt w:val="bullet"/>
      <w:lvlText w:val="o"/>
      <w:lvlJc w:val="left"/>
      <w:pPr>
        <w:ind w:left="1524" w:hanging="360"/>
      </w:pPr>
      <w:rPr>
        <w:rFonts w:ascii="Courier New" w:hAnsi="Courier New" w:cs="Courier New" w:hint="default"/>
      </w:rPr>
    </w:lvl>
    <w:lvl w:ilvl="2" w:tplc="FFFFFFFF">
      <w:start w:val="1"/>
      <w:numFmt w:val="bullet"/>
      <w:lvlText w:val=""/>
      <w:lvlJc w:val="left"/>
      <w:pPr>
        <w:ind w:left="2244" w:hanging="360"/>
      </w:pPr>
      <w:rPr>
        <w:rFonts w:ascii="Wingdings" w:hAnsi="Wingdings" w:hint="default"/>
      </w:rPr>
    </w:lvl>
    <w:lvl w:ilvl="3" w:tplc="FFFFFFFF">
      <w:start w:val="1"/>
      <w:numFmt w:val="bullet"/>
      <w:lvlText w:val=""/>
      <w:lvlJc w:val="left"/>
      <w:pPr>
        <w:ind w:left="2964" w:hanging="360"/>
      </w:pPr>
      <w:rPr>
        <w:rFonts w:ascii="Symbol" w:hAnsi="Symbol" w:hint="default"/>
      </w:rPr>
    </w:lvl>
    <w:lvl w:ilvl="4" w:tplc="FFFFFFFF">
      <w:start w:val="1"/>
      <w:numFmt w:val="bullet"/>
      <w:lvlText w:val="o"/>
      <w:lvlJc w:val="left"/>
      <w:pPr>
        <w:ind w:left="3684" w:hanging="360"/>
      </w:pPr>
      <w:rPr>
        <w:rFonts w:ascii="Courier New" w:hAnsi="Courier New" w:cs="Courier New" w:hint="default"/>
      </w:rPr>
    </w:lvl>
    <w:lvl w:ilvl="5" w:tplc="FFFFFFFF">
      <w:start w:val="1"/>
      <w:numFmt w:val="bullet"/>
      <w:lvlText w:val=""/>
      <w:lvlJc w:val="left"/>
      <w:pPr>
        <w:ind w:left="4404" w:hanging="360"/>
      </w:pPr>
      <w:rPr>
        <w:rFonts w:ascii="Wingdings" w:hAnsi="Wingdings" w:hint="default"/>
      </w:rPr>
    </w:lvl>
    <w:lvl w:ilvl="6" w:tplc="FFFFFFFF">
      <w:start w:val="1"/>
      <w:numFmt w:val="bullet"/>
      <w:lvlText w:val=""/>
      <w:lvlJc w:val="left"/>
      <w:pPr>
        <w:ind w:left="5124" w:hanging="360"/>
      </w:pPr>
      <w:rPr>
        <w:rFonts w:ascii="Symbol" w:hAnsi="Symbol" w:hint="default"/>
      </w:rPr>
    </w:lvl>
    <w:lvl w:ilvl="7" w:tplc="FFFFFFFF">
      <w:start w:val="1"/>
      <w:numFmt w:val="bullet"/>
      <w:lvlText w:val="o"/>
      <w:lvlJc w:val="left"/>
      <w:pPr>
        <w:ind w:left="5844" w:hanging="360"/>
      </w:pPr>
      <w:rPr>
        <w:rFonts w:ascii="Courier New" w:hAnsi="Courier New" w:cs="Courier New" w:hint="default"/>
      </w:rPr>
    </w:lvl>
    <w:lvl w:ilvl="8" w:tplc="FFFFFFFF">
      <w:start w:val="1"/>
      <w:numFmt w:val="bullet"/>
      <w:lvlText w:val=""/>
      <w:lvlJc w:val="left"/>
      <w:pPr>
        <w:ind w:left="6564" w:hanging="360"/>
      </w:pPr>
      <w:rPr>
        <w:rFonts w:ascii="Wingdings" w:hAnsi="Wingdings" w:hint="default"/>
      </w:rPr>
    </w:lvl>
  </w:abstractNum>
  <w:abstractNum w:abstractNumId="23" w15:restartNumberingAfterBreak="0">
    <w:nsid w:val="2A4131EA"/>
    <w:multiLevelType w:val="hybridMultilevel"/>
    <w:tmpl w:val="A9B03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EB2EEB"/>
    <w:multiLevelType w:val="hybridMultilevel"/>
    <w:tmpl w:val="73420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7F5A0D"/>
    <w:multiLevelType w:val="hybridMultilevel"/>
    <w:tmpl w:val="D9145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6438AB"/>
    <w:multiLevelType w:val="hybridMultilevel"/>
    <w:tmpl w:val="8E74A424"/>
    <w:lvl w:ilvl="0" w:tplc="10587182">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3B67B1"/>
    <w:multiLevelType w:val="hybridMultilevel"/>
    <w:tmpl w:val="70443B1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8" w15:restartNumberingAfterBreak="0">
    <w:nsid w:val="344E5305"/>
    <w:multiLevelType w:val="hybridMultilevel"/>
    <w:tmpl w:val="CC903A08"/>
    <w:lvl w:ilvl="0" w:tplc="04150011">
      <w:start w:val="1"/>
      <w:numFmt w:val="decimal"/>
      <w:lvlText w:val="%1)"/>
      <w:lvlJc w:val="left"/>
      <w:pPr>
        <w:ind w:left="1230" w:hanging="360"/>
      </w:pPr>
    </w:lvl>
    <w:lvl w:ilvl="1" w:tplc="FFFFFFFF">
      <w:start w:val="1"/>
      <w:numFmt w:val="lowerLetter"/>
      <w:lvlText w:val="%2."/>
      <w:lvlJc w:val="left"/>
      <w:pPr>
        <w:ind w:left="1950" w:hanging="360"/>
      </w:pPr>
    </w:lvl>
    <w:lvl w:ilvl="2" w:tplc="FFFFFFFF">
      <w:start w:val="1"/>
      <w:numFmt w:val="lowerRoman"/>
      <w:lvlText w:val="%3."/>
      <w:lvlJc w:val="right"/>
      <w:pPr>
        <w:ind w:left="2670" w:hanging="180"/>
      </w:pPr>
    </w:lvl>
    <w:lvl w:ilvl="3" w:tplc="FFFFFFFF">
      <w:start w:val="1"/>
      <w:numFmt w:val="decimal"/>
      <w:lvlText w:val="%4."/>
      <w:lvlJc w:val="left"/>
      <w:pPr>
        <w:ind w:left="3390" w:hanging="360"/>
      </w:pPr>
    </w:lvl>
    <w:lvl w:ilvl="4" w:tplc="FFFFFFFF">
      <w:start w:val="1"/>
      <w:numFmt w:val="lowerLetter"/>
      <w:lvlText w:val="%5."/>
      <w:lvlJc w:val="left"/>
      <w:pPr>
        <w:ind w:left="4110" w:hanging="360"/>
      </w:pPr>
    </w:lvl>
    <w:lvl w:ilvl="5" w:tplc="FFFFFFFF">
      <w:start w:val="1"/>
      <w:numFmt w:val="lowerRoman"/>
      <w:lvlText w:val="%6."/>
      <w:lvlJc w:val="right"/>
      <w:pPr>
        <w:ind w:left="4830" w:hanging="180"/>
      </w:pPr>
    </w:lvl>
    <w:lvl w:ilvl="6" w:tplc="FFFFFFFF">
      <w:start w:val="1"/>
      <w:numFmt w:val="decimal"/>
      <w:lvlText w:val="%7."/>
      <w:lvlJc w:val="left"/>
      <w:pPr>
        <w:ind w:left="5550" w:hanging="360"/>
      </w:pPr>
    </w:lvl>
    <w:lvl w:ilvl="7" w:tplc="FFFFFFFF">
      <w:start w:val="1"/>
      <w:numFmt w:val="lowerLetter"/>
      <w:lvlText w:val="%8."/>
      <w:lvlJc w:val="left"/>
      <w:pPr>
        <w:ind w:left="6270" w:hanging="360"/>
      </w:pPr>
    </w:lvl>
    <w:lvl w:ilvl="8" w:tplc="FFFFFFFF">
      <w:start w:val="1"/>
      <w:numFmt w:val="lowerRoman"/>
      <w:lvlText w:val="%9."/>
      <w:lvlJc w:val="right"/>
      <w:pPr>
        <w:ind w:left="6990" w:hanging="180"/>
      </w:pPr>
    </w:lvl>
  </w:abstractNum>
  <w:abstractNum w:abstractNumId="29" w15:restartNumberingAfterBreak="0">
    <w:nsid w:val="34F6748E"/>
    <w:multiLevelType w:val="hybridMultilevel"/>
    <w:tmpl w:val="58226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C60E92"/>
    <w:multiLevelType w:val="hybridMultilevel"/>
    <w:tmpl w:val="7512CAAE"/>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BAB5FD4"/>
    <w:multiLevelType w:val="hybridMultilevel"/>
    <w:tmpl w:val="7FD8E17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EB262C8"/>
    <w:multiLevelType w:val="hybridMultilevel"/>
    <w:tmpl w:val="B9ACA83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F74114A"/>
    <w:multiLevelType w:val="hybridMultilevel"/>
    <w:tmpl w:val="F1142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4A53DF0"/>
    <w:multiLevelType w:val="hybridMultilevel"/>
    <w:tmpl w:val="BD2CEA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6754381"/>
    <w:multiLevelType w:val="hybridMultilevel"/>
    <w:tmpl w:val="F996B380"/>
    <w:lvl w:ilvl="0" w:tplc="04150011">
      <w:start w:val="1"/>
      <w:numFmt w:val="decimal"/>
      <w:lvlText w:val="%1)"/>
      <w:lvlJc w:val="left"/>
      <w:pPr>
        <w:ind w:left="870" w:hanging="360"/>
      </w:pPr>
      <w:rPr>
        <w:rFonts w:hint="default"/>
      </w:rPr>
    </w:lvl>
    <w:lvl w:ilvl="1" w:tplc="FFFFFFFF">
      <w:start w:val="1"/>
      <w:numFmt w:val="bullet"/>
      <w:lvlText w:val="o"/>
      <w:lvlJc w:val="left"/>
      <w:pPr>
        <w:ind w:left="1590" w:hanging="360"/>
      </w:pPr>
      <w:rPr>
        <w:rFonts w:ascii="Courier New" w:hAnsi="Courier New" w:cs="Courier New" w:hint="default"/>
      </w:rPr>
    </w:lvl>
    <w:lvl w:ilvl="2" w:tplc="FFFFFFFF">
      <w:start w:val="1"/>
      <w:numFmt w:val="bullet"/>
      <w:lvlText w:val=""/>
      <w:lvlJc w:val="left"/>
      <w:pPr>
        <w:ind w:left="2310" w:hanging="360"/>
      </w:pPr>
      <w:rPr>
        <w:rFonts w:ascii="Wingdings" w:hAnsi="Wingdings" w:hint="default"/>
      </w:rPr>
    </w:lvl>
    <w:lvl w:ilvl="3" w:tplc="FFFFFFFF">
      <w:start w:val="1"/>
      <w:numFmt w:val="bullet"/>
      <w:lvlText w:val=""/>
      <w:lvlJc w:val="left"/>
      <w:pPr>
        <w:ind w:left="3030" w:hanging="360"/>
      </w:pPr>
      <w:rPr>
        <w:rFonts w:ascii="Symbol" w:hAnsi="Symbol" w:hint="default"/>
      </w:rPr>
    </w:lvl>
    <w:lvl w:ilvl="4" w:tplc="FFFFFFFF">
      <w:start w:val="1"/>
      <w:numFmt w:val="bullet"/>
      <w:lvlText w:val="o"/>
      <w:lvlJc w:val="left"/>
      <w:pPr>
        <w:ind w:left="3750" w:hanging="360"/>
      </w:pPr>
      <w:rPr>
        <w:rFonts w:ascii="Courier New" w:hAnsi="Courier New" w:cs="Courier New" w:hint="default"/>
      </w:rPr>
    </w:lvl>
    <w:lvl w:ilvl="5" w:tplc="FFFFFFFF">
      <w:start w:val="1"/>
      <w:numFmt w:val="bullet"/>
      <w:lvlText w:val=""/>
      <w:lvlJc w:val="left"/>
      <w:pPr>
        <w:ind w:left="4470" w:hanging="360"/>
      </w:pPr>
      <w:rPr>
        <w:rFonts w:ascii="Wingdings" w:hAnsi="Wingdings" w:hint="default"/>
      </w:rPr>
    </w:lvl>
    <w:lvl w:ilvl="6" w:tplc="FFFFFFFF">
      <w:start w:val="1"/>
      <w:numFmt w:val="bullet"/>
      <w:lvlText w:val=""/>
      <w:lvlJc w:val="left"/>
      <w:pPr>
        <w:ind w:left="5190" w:hanging="360"/>
      </w:pPr>
      <w:rPr>
        <w:rFonts w:ascii="Symbol" w:hAnsi="Symbol" w:hint="default"/>
      </w:rPr>
    </w:lvl>
    <w:lvl w:ilvl="7" w:tplc="FFFFFFFF">
      <w:start w:val="1"/>
      <w:numFmt w:val="bullet"/>
      <w:lvlText w:val="o"/>
      <w:lvlJc w:val="left"/>
      <w:pPr>
        <w:ind w:left="5910" w:hanging="360"/>
      </w:pPr>
      <w:rPr>
        <w:rFonts w:ascii="Courier New" w:hAnsi="Courier New" w:cs="Courier New" w:hint="default"/>
      </w:rPr>
    </w:lvl>
    <w:lvl w:ilvl="8" w:tplc="FFFFFFFF">
      <w:start w:val="1"/>
      <w:numFmt w:val="bullet"/>
      <w:lvlText w:val=""/>
      <w:lvlJc w:val="left"/>
      <w:pPr>
        <w:ind w:left="6630" w:hanging="360"/>
      </w:pPr>
      <w:rPr>
        <w:rFonts w:ascii="Wingdings" w:hAnsi="Wingdings" w:hint="default"/>
      </w:rPr>
    </w:lvl>
  </w:abstractNum>
  <w:abstractNum w:abstractNumId="36" w15:restartNumberingAfterBreak="0">
    <w:nsid w:val="47641715"/>
    <w:multiLevelType w:val="hybridMultilevel"/>
    <w:tmpl w:val="5D643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AB07D4"/>
    <w:multiLevelType w:val="hybridMultilevel"/>
    <w:tmpl w:val="A0461CF8"/>
    <w:lvl w:ilvl="0" w:tplc="DDDCD2C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48BD2E32"/>
    <w:multiLevelType w:val="hybridMultilevel"/>
    <w:tmpl w:val="FC76E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4364AC"/>
    <w:multiLevelType w:val="hybridMultilevel"/>
    <w:tmpl w:val="F5EC27BE"/>
    <w:lvl w:ilvl="0" w:tplc="BAE8D6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99478C0"/>
    <w:multiLevelType w:val="hybridMultilevel"/>
    <w:tmpl w:val="71D45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0C6594"/>
    <w:multiLevelType w:val="hybridMultilevel"/>
    <w:tmpl w:val="4A02B9D0"/>
    <w:lvl w:ilvl="0" w:tplc="04150011">
      <w:start w:val="1"/>
      <w:numFmt w:val="decimal"/>
      <w:lvlText w:val="%1)"/>
      <w:lvlJc w:val="left"/>
      <w:pPr>
        <w:ind w:left="1230" w:hanging="360"/>
      </w:pPr>
    </w:lvl>
    <w:lvl w:ilvl="1" w:tplc="FFFFFFFF">
      <w:start w:val="1"/>
      <w:numFmt w:val="lowerLetter"/>
      <w:lvlText w:val="%2."/>
      <w:lvlJc w:val="left"/>
      <w:pPr>
        <w:ind w:left="1950" w:hanging="360"/>
      </w:pPr>
    </w:lvl>
    <w:lvl w:ilvl="2" w:tplc="FFFFFFFF">
      <w:start w:val="1"/>
      <w:numFmt w:val="lowerRoman"/>
      <w:lvlText w:val="%3."/>
      <w:lvlJc w:val="right"/>
      <w:pPr>
        <w:ind w:left="2670" w:hanging="180"/>
      </w:pPr>
    </w:lvl>
    <w:lvl w:ilvl="3" w:tplc="FFFFFFFF">
      <w:start w:val="1"/>
      <w:numFmt w:val="decimal"/>
      <w:lvlText w:val="%4."/>
      <w:lvlJc w:val="left"/>
      <w:pPr>
        <w:ind w:left="3390" w:hanging="360"/>
      </w:pPr>
    </w:lvl>
    <w:lvl w:ilvl="4" w:tplc="FFFFFFFF">
      <w:start w:val="1"/>
      <w:numFmt w:val="lowerLetter"/>
      <w:lvlText w:val="%5."/>
      <w:lvlJc w:val="left"/>
      <w:pPr>
        <w:ind w:left="4110" w:hanging="360"/>
      </w:pPr>
    </w:lvl>
    <w:lvl w:ilvl="5" w:tplc="FFFFFFFF">
      <w:start w:val="1"/>
      <w:numFmt w:val="lowerRoman"/>
      <w:lvlText w:val="%6."/>
      <w:lvlJc w:val="right"/>
      <w:pPr>
        <w:ind w:left="4830" w:hanging="180"/>
      </w:pPr>
    </w:lvl>
    <w:lvl w:ilvl="6" w:tplc="FFFFFFFF">
      <w:start w:val="1"/>
      <w:numFmt w:val="decimal"/>
      <w:lvlText w:val="%7."/>
      <w:lvlJc w:val="left"/>
      <w:pPr>
        <w:ind w:left="5550" w:hanging="360"/>
      </w:pPr>
    </w:lvl>
    <w:lvl w:ilvl="7" w:tplc="FFFFFFFF">
      <w:start w:val="1"/>
      <w:numFmt w:val="lowerLetter"/>
      <w:lvlText w:val="%8."/>
      <w:lvlJc w:val="left"/>
      <w:pPr>
        <w:ind w:left="6270" w:hanging="360"/>
      </w:pPr>
    </w:lvl>
    <w:lvl w:ilvl="8" w:tplc="FFFFFFFF">
      <w:start w:val="1"/>
      <w:numFmt w:val="lowerRoman"/>
      <w:lvlText w:val="%9."/>
      <w:lvlJc w:val="right"/>
      <w:pPr>
        <w:ind w:left="6990" w:hanging="180"/>
      </w:pPr>
    </w:lvl>
  </w:abstractNum>
  <w:abstractNum w:abstractNumId="42" w15:restartNumberingAfterBreak="0">
    <w:nsid w:val="4DA031C1"/>
    <w:multiLevelType w:val="hybridMultilevel"/>
    <w:tmpl w:val="CD303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E857822"/>
    <w:multiLevelType w:val="hybridMultilevel"/>
    <w:tmpl w:val="6D2A7CEC"/>
    <w:lvl w:ilvl="0" w:tplc="B9BAA784">
      <w:start w:val="1"/>
      <w:numFmt w:val="decimal"/>
      <w:pStyle w:val="Nagwek4"/>
      <w:lvlText w:val="%1."/>
      <w:lvlJc w:val="left"/>
      <w:pPr>
        <w:ind w:left="720" w:hanging="360"/>
      </w:pPr>
    </w:lvl>
    <w:lvl w:ilvl="1" w:tplc="EB604BB2">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3C207D"/>
    <w:multiLevelType w:val="hybridMultilevel"/>
    <w:tmpl w:val="2248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261168D"/>
    <w:multiLevelType w:val="hybridMultilevel"/>
    <w:tmpl w:val="9B6E6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33D0CE4"/>
    <w:multiLevelType w:val="hybridMultilevel"/>
    <w:tmpl w:val="4FB2F8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7" w15:restartNumberingAfterBreak="0">
    <w:nsid w:val="5461620C"/>
    <w:multiLevelType w:val="hybridMultilevel"/>
    <w:tmpl w:val="75F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53B0CFC"/>
    <w:multiLevelType w:val="hybridMultilevel"/>
    <w:tmpl w:val="6F1AAD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9C0094"/>
    <w:multiLevelType w:val="hybridMultilevel"/>
    <w:tmpl w:val="BE902232"/>
    <w:lvl w:ilvl="0" w:tplc="3146BA78">
      <w:start w:val="1"/>
      <w:numFmt w:val="decimal"/>
      <w:pStyle w:val="Nagwek5"/>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BD3334"/>
    <w:multiLevelType w:val="hybridMultilevel"/>
    <w:tmpl w:val="264CB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8B72C6A"/>
    <w:multiLevelType w:val="hybridMultilevel"/>
    <w:tmpl w:val="4BFE9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A8D1C11"/>
    <w:multiLevelType w:val="hybridMultilevel"/>
    <w:tmpl w:val="F04C4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BA06468"/>
    <w:multiLevelType w:val="hybridMultilevel"/>
    <w:tmpl w:val="6D4EA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DB5221A"/>
    <w:multiLevelType w:val="hybridMultilevel"/>
    <w:tmpl w:val="07BE5E1C"/>
    <w:lvl w:ilvl="0" w:tplc="FFFFFFFF">
      <w:start w:val="1"/>
      <w:numFmt w:val="decimal"/>
      <w:lvlText w:val="%1)"/>
      <w:lvlJc w:val="left"/>
      <w:pPr>
        <w:ind w:left="700" w:hanging="360"/>
      </w:pPr>
    </w:lvl>
    <w:lvl w:ilvl="1" w:tplc="04150011">
      <w:start w:val="1"/>
      <w:numFmt w:val="decimal"/>
      <w:lvlText w:val="%2)"/>
      <w:lvlJc w:val="left"/>
      <w:pPr>
        <w:ind w:left="70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5" w15:restartNumberingAfterBreak="0">
    <w:nsid w:val="5E081D52"/>
    <w:multiLevelType w:val="hybridMultilevel"/>
    <w:tmpl w:val="6C009DA4"/>
    <w:lvl w:ilvl="0" w:tplc="04150011">
      <w:start w:val="1"/>
      <w:numFmt w:val="decimal"/>
      <w:lvlText w:val="%1)"/>
      <w:lvlJc w:val="left"/>
      <w:pPr>
        <w:ind w:left="360" w:hanging="360"/>
      </w:pPr>
      <w:rPr>
        <w:rFonts w:hint="default"/>
      </w:rPr>
    </w:lvl>
    <w:lvl w:ilvl="1" w:tplc="44D2A18C">
      <w:start w:val="6"/>
      <w:numFmt w:val="bullet"/>
      <w:lvlText w:val="•"/>
      <w:lvlJc w:val="left"/>
      <w:pPr>
        <w:ind w:left="1459" w:hanging="739"/>
      </w:pPr>
      <w:rPr>
        <w:rFonts w:ascii="Times" w:eastAsia="Times New Roman" w:hAnsi="Times" w:cs="Time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0880C76"/>
    <w:multiLevelType w:val="hybridMultilevel"/>
    <w:tmpl w:val="77266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09511A8"/>
    <w:multiLevelType w:val="hybridMultilevel"/>
    <w:tmpl w:val="59603930"/>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616B0E00"/>
    <w:multiLevelType w:val="hybridMultilevel"/>
    <w:tmpl w:val="8B7A3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1B05DE2"/>
    <w:multiLevelType w:val="hybridMultilevel"/>
    <w:tmpl w:val="CCDED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1FB2762"/>
    <w:multiLevelType w:val="hybridMultilevel"/>
    <w:tmpl w:val="C1DCD16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5180DBE"/>
    <w:multiLevelType w:val="hybridMultilevel"/>
    <w:tmpl w:val="D87EF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5A4135F"/>
    <w:multiLevelType w:val="hybridMultilevel"/>
    <w:tmpl w:val="C6343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D0660A0"/>
    <w:multiLevelType w:val="multilevel"/>
    <w:tmpl w:val="255A4FD6"/>
    <w:lvl w:ilvl="0">
      <w:start w:val="1"/>
      <w:numFmt w:val="decimal"/>
      <w:lvlText w:val="%1."/>
      <w:lvlJc w:val="left"/>
      <w:pPr>
        <w:ind w:left="360" w:hanging="360"/>
      </w:pPr>
    </w:lvl>
    <w:lvl w:ilvl="1">
      <w:start w:val="1"/>
      <w:numFmt w:val="decimal"/>
      <w:pStyle w:val="Nagwek2"/>
      <w:lvlText w:val="%1.%2."/>
      <w:lvlJc w:val="left"/>
      <w:pPr>
        <w:ind w:left="432" w:hanging="432"/>
      </w:pPr>
      <w:rPr>
        <w:b/>
        <w:bCs/>
      </w:rPr>
    </w:lvl>
    <w:lvl w:ilvl="2">
      <w:start w:val="1"/>
      <w:numFmt w:val="decimal"/>
      <w:pStyle w:val="Nagwek3"/>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E3B280B"/>
    <w:multiLevelType w:val="hybridMultilevel"/>
    <w:tmpl w:val="C8608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09C4ED4"/>
    <w:multiLevelType w:val="multilevel"/>
    <w:tmpl w:val="0415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D00E29"/>
    <w:multiLevelType w:val="hybridMultilevel"/>
    <w:tmpl w:val="006EB442"/>
    <w:lvl w:ilvl="0" w:tplc="B50E7CF2">
      <w:start w:val="1"/>
      <w:numFmt w:val="decimal"/>
      <w:lvlText w:val="%1)"/>
      <w:lvlJc w:val="left"/>
      <w:pPr>
        <w:ind w:left="1070" w:hanging="710"/>
      </w:pPr>
      <w:rPr>
        <w:rFonts w:ascii="Times" w:eastAsiaTheme="minorHAnsi" w:hAnsi="Times" w:cs="Time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C26513"/>
    <w:multiLevelType w:val="hybridMultilevel"/>
    <w:tmpl w:val="7C58D13E"/>
    <w:lvl w:ilvl="0" w:tplc="89B4457E">
      <w:start w:val="1"/>
      <w:numFmt w:val="decimal"/>
      <w:lvlText w:val="%1)"/>
      <w:lvlJc w:val="left"/>
      <w:pPr>
        <w:ind w:left="1020" w:hanging="51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8" w15:restartNumberingAfterBreak="0">
    <w:nsid w:val="7B1401D8"/>
    <w:multiLevelType w:val="hybridMultilevel"/>
    <w:tmpl w:val="397813D8"/>
    <w:lvl w:ilvl="0" w:tplc="B50E7CF2">
      <w:start w:val="1"/>
      <w:numFmt w:val="decimal"/>
      <w:lvlText w:val="%1)"/>
      <w:lvlJc w:val="left"/>
      <w:pPr>
        <w:ind w:left="1070" w:hanging="710"/>
      </w:pPr>
      <w:rPr>
        <w:rFonts w:ascii="Times" w:eastAsiaTheme="minorHAnsi" w:hAnsi="Times" w:cs="Time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594EBC"/>
    <w:multiLevelType w:val="hybridMultilevel"/>
    <w:tmpl w:val="DD34A5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BA5B41"/>
    <w:multiLevelType w:val="hybridMultilevel"/>
    <w:tmpl w:val="6046F1E0"/>
    <w:lvl w:ilvl="0" w:tplc="819CDA18">
      <w:start w:val="1"/>
      <w:numFmt w:val="decimal"/>
      <w:lvlText w:val="%1)"/>
      <w:lvlJc w:val="left"/>
      <w:pPr>
        <w:ind w:left="1020" w:hanging="51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1" w15:restartNumberingAfterBreak="0">
    <w:nsid w:val="7C4548E4"/>
    <w:multiLevelType w:val="hybridMultilevel"/>
    <w:tmpl w:val="1018E66C"/>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72" w15:restartNumberingAfterBreak="0">
    <w:nsid w:val="7CD36EBD"/>
    <w:multiLevelType w:val="hybridMultilevel"/>
    <w:tmpl w:val="0B761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DFC79E6"/>
    <w:multiLevelType w:val="hybridMultilevel"/>
    <w:tmpl w:val="6A944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E502804"/>
    <w:multiLevelType w:val="hybridMultilevel"/>
    <w:tmpl w:val="BC0CB7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EBD7DDD"/>
    <w:multiLevelType w:val="hybridMultilevel"/>
    <w:tmpl w:val="9DC29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1047006">
    <w:abstractNumId w:val="26"/>
  </w:num>
  <w:num w:numId="2" w16cid:durableId="123432726">
    <w:abstractNumId w:val="63"/>
  </w:num>
  <w:num w:numId="3" w16cid:durableId="12423768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252512">
    <w:abstractNumId w:val="55"/>
  </w:num>
  <w:num w:numId="5" w16cid:durableId="1805076817">
    <w:abstractNumId w:val="31"/>
  </w:num>
  <w:num w:numId="6" w16cid:durableId="842554458">
    <w:abstractNumId w:val="68"/>
  </w:num>
  <w:num w:numId="7" w16cid:durableId="1522284508">
    <w:abstractNumId w:val="39"/>
  </w:num>
  <w:num w:numId="8" w16cid:durableId="1939828101">
    <w:abstractNumId w:val="32"/>
  </w:num>
  <w:num w:numId="9" w16cid:durableId="1319845365">
    <w:abstractNumId w:val="11"/>
  </w:num>
  <w:num w:numId="10" w16cid:durableId="1768504425">
    <w:abstractNumId w:val="30"/>
  </w:num>
  <w:num w:numId="11" w16cid:durableId="1335451341">
    <w:abstractNumId w:val="35"/>
  </w:num>
  <w:num w:numId="12" w16cid:durableId="321934196">
    <w:abstractNumId w:val="74"/>
  </w:num>
  <w:num w:numId="13" w16cid:durableId="1620188334">
    <w:abstractNumId w:val="22"/>
  </w:num>
  <w:num w:numId="14" w16cid:durableId="396707179">
    <w:abstractNumId w:val="14"/>
  </w:num>
  <w:num w:numId="15" w16cid:durableId="352458317">
    <w:abstractNumId w:val="54"/>
  </w:num>
  <w:num w:numId="16" w16cid:durableId="1692993619">
    <w:abstractNumId w:val="20"/>
  </w:num>
  <w:num w:numId="17" w16cid:durableId="348605537">
    <w:abstractNumId w:val="28"/>
  </w:num>
  <w:num w:numId="18" w16cid:durableId="360326721">
    <w:abstractNumId w:val="1"/>
  </w:num>
  <w:num w:numId="19" w16cid:durableId="30956324">
    <w:abstractNumId w:val="57"/>
  </w:num>
  <w:num w:numId="20" w16cid:durableId="2076318585">
    <w:abstractNumId w:val="41"/>
  </w:num>
  <w:num w:numId="21" w16cid:durableId="1872183544">
    <w:abstractNumId w:val="48"/>
  </w:num>
  <w:num w:numId="22" w16cid:durableId="1880045756">
    <w:abstractNumId w:val="16"/>
  </w:num>
  <w:num w:numId="23" w16cid:durableId="538929897">
    <w:abstractNumId w:val="50"/>
  </w:num>
  <w:num w:numId="24" w16cid:durableId="1793283287">
    <w:abstractNumId w:val="36"/>
  </w:num>
  <w:num w:numId="25" w16cid:durableId="219295434">
    <w:abstractNumId w:val="7"/>
  </w:num>
  <w:num w:numId="26" w16cid:durableId="806357138">
    <w:abstractNumId w:val="43"/>
  </w:num>
  <w:num w:numId="27" w16cid:durableId="975722650">
    <w:abstractNumId w:val="49"/>
  </w:num>
  <w:num w:numId="28" w16cid:durableId="629020856">
    <w:abstractNumId w:val="42"/>
  </w:num>
  <w:num w:numId="29" w16cid:durableId="2113281258">
    <w:abstractNumId w:val="59"/>
  </w:num>
  <w:num w:numId="30" w16cid:durableId="1436704157">
    <w:abstractNumId w:val="51"/>
  </w:num>
  <w:num w:numId="31" w16cid:durableId="301009800">
    <w:abstractNumId w:val="53"/>
  </w:num>
  <w:num w:numId="32" w16cid:durableId="115224460">
    <w:abstractNumId w:val="75"/>
  </w:num>
  <w:num w:numId="33" w16cid:durableId="191501921">
    <w:abstractNumId w:val="0"/>
  </w:num>
  <w:num w:numId="34" w16cid:durableId="743990474">
    <w:abstractNumId w:val="17"/>
  </w:num>
  <w:num w:numId="35" w16cid:durableId="406389635">
    <w:abstractNumId w:val="19"/>
  </w:num>
  <w:num w:numId="36" w16cid:durableId="472598047">
    <w:abstractNumId w:val="13"/>
  </w:num>
  <w:num w:numId="37" w16cid:durableId="255556118">
    <w:abstractNumId w:val="24"/>
  </w:num>
  <w:num w:numId="38" w16cid:durableId="1583416420">
    <w:abstractNumId w:val="34"/>
  </w:num>
  <w:num w:numId="39" w16cid:durableId="480660715">
    <w:abstractNumId w:val="71"/>
  </w:num>
  <w:num w:numId="40" w16cid:durableId="1510293990">
    <w:abstractNumId w:val="47"/>
  </w:num>
  <w:num w:numId="41" w16cid:durableId="401635602">
    <w:abstractNumId w:val="72"/>
  </w:num>
  <w:num w:numId="42" w16cid:durableId="1009451043">
    <w:abstractNumId w:val="3"/>
  </w:num>
  <w:num w:numId="43" w16cid:durableId="183448140">
    <w:abstractNumId w:val="52"/>
  </w:num>
  <w:num w:numId="44" w16cid:durableId="1433090209">
    <w:abstractNumId w:val="29"/>
  </w:num>
  <w:num w:numId="45" w16cid:durableId="55788219">
    <w:abstractNumId w:val="56"/>
  </w:num>
  <w:num w:numId="46" w16cid:durableId="1332415044">
    <w:abstractNumId w:val="44"/>
  </w:num>
  <w:num w:numId="47" w16cid:durableId="527067598">
    <w:abstractNumId w:val="2"/>
  </w:num>
  <w:num w:numId="48" w16cid:durableId="1808813580">
    <w:abstractNumId w:val="33"/>
  </w:num>
  <w:num w:numId="49" w16cid:durableId="879896815">
    <w:abstractNumId w:val="73"/>
  </w:num>
  <w:num w:numId="50" w16cid:durableId="884293077">
    <w:abstractNumId w:val="21"/>
  </w:num>
  <w:num w:numId="51" w16cid:durableId="3822997">
    <w:abstractNumId w:val="9"/>
  </w:num>
  <w:num w:numId="52" w16cid:durableId="1662463812">
    <w:abstractNumId w:val="25"/>
  </w:num>
  <w:num w:numId="53" w16cid:durableId="499082939">
    <w:abstractNumId w:val="12"/>
  </w:num>
  <w:num w:numId="54" w16cid:durableId="646662702">
    <w:abstractNumId w:val="40"/>
  </w:num>
  <w:num w:numId="55" w16cid:durableId="1652103341">
    <w:abstractNumId w:val="58"/>
  </w:num>
  <w:num w:numId="56" w16cid:durableId="1345549279">
    <w:abstractNumId w:val="10"/>
  </w:num>
  <w:num w:numId="57" w16cid:durableId="686905775">
    <w:abstractNumId w:val="38"/>
  </w:num>
  <w:num w:numId="58" w16cid:durableId="1136491494">
    <w:abstractNumId w:val="5"/>
  </w:num>
  <w:num w:numId="59" w16cid:durableId="2084909538">
    <w:abstractNumId w:val="69"/>
  </w:num>
  <w:num w:numId="60" w16cid:durableId="1497498746">
    <w:abstractNumId w:val="46"/>
  </w:num>
  <w:num w:numId="61" w16cid:durableId="809707422">
    <w:abstractNumId w:val="45"/>
  </w:num>
  <w:num w:numId="62" w16cid:durableId="429593937">
    <w:abstractNumId w:val="64"/>
  </w:num>
  <w:num w:numId="63" w16cid:durableId="1554270478">
    <w:abstractNumId w:val="61"/>
  </w:num>
  <w:num w:numId="64" w16cid:durableId="869805533">
    <w:abstractNumId w:val="8"/>
  </w:num>
  <w:num w:numId="65" w16cid:durableId="1179462350">
    <w:abstractNumId w:val="60"/>
  </w:num>
  <w:num w:numId="66" w16cid:durableId="639118417">
    <w:abstractNumId w:val="27"/>
  </w:num>
  <w:num w:numId="67" w16cid:durableId="1009721499">
    <w:abstractNumId w:val="63"/>
    <w:lvlOverride w:ilvl="0">
      <w:startOverride w:val="1"/>
    </w:lvlOverride>
  </w:num>
  <w:num w:numId="68" w16cid:durableId="61803890">
    <w:abstractNumId w:val="15"/>
  </w:num>
  <w:num w:numId="69" w16cid:durableId="2002199741">
    <w:abstractNumId w:val="67"/>
  </w:num>
  <w:num w:numId="70" w16cid:durableId="1165511147">
    <w:abstractNumId w:val="63"/>
  </w:num>
  <w:num w:numId="71" w16cid:durableId="297346092">
    <w:abstractNumId w:val="63"/>
  </w:num>
  <w:num w:numId="72" w16cid:durableId="348993903">
    <w:abstractNumId w:val="18"/>
  </w:num>
  <w:num w:numId="73" w16cid:durableId="1458529739">
    <w:abstractNumId w:val="63"/>
  </w:num>
  <w:num w:numId="74" w16cid:durableId="801924557">
    <w:abstractNumId w:val="63"/>
  </w:num>
  <w:num w:numId="75" w16cid:durableId="1763378074">
    <w:abstractNumId w:val="4"/>
  </w:num>
  <w:num w:numId="76" w16cid:durableId="2143382637">
    <w:abstractNumId w:val="23"/>
  </w:num>
  <w:num w:numId="77" w16cid:durableId="605037292">
    <w:abstractNumId w:val="43"/>
    <w:lvlOverride w:ilvl="0">
      <w:startOverride w:val="1"/>
    </w:lvlOverride>
  </w:num>
  <w:num w:numId="78" w16cid:durableId="1711303644">
    <w:abstractNumId w:val="43"/>
    <w:lvlOverride w:ilvl="0">
      <w:startOverride w:val="1"/>
    </w:lvlOverride>
  </w:num>
  <w:num w:numId="79" w16cid:durableId="359626470">
    <w:abstractNumId w:val="62"/>
  </w:num>
  <w:num w:numId="80" w16cid:durableId="541021744">
    <w:abstractNumId w:val="63"/>
  </w:num>
  <w:num w:numId="81" w16cid:durableId="583537563">
    <w:abstractNumId w:val="65"/>
  </w:num>
  <w:num w:numId="82" w16cid:durableId="604073792">
    <w:abstractNumId w:val="43"/>
    <w:lvlOverride w:ilvl="0">
      <w:startOverride w:val="1"/>
    </w:lvlOverride>
  </w:num>
  <w:num w:numId="83" w16cid:durableId="2135981561">
    <w:abstractNumId w:val="6"/>
  </w:num>
  <w:num w:numId="84" w16cid:durableId="69156030">
    <w:abstractNumId w:val="66"/>
  </w:num>
  <w:num w:numId="85" w16cid:durableId="873539710">
    <w:abstractNumId w:val="70"/>
  </w:num>
  <w:num w:numId="86" w16cid:durableId="9303551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EC2FC8"/>
    <w:rsid w:val="00000284"/>
    <w:rsid w:val="000004CE"/>
    <w:rsid w:val="00001F50"/>
    <w:rsid w:val="00002F3C"/>
    <w:rsid w:val="000030A1"/>
    <w:rsid w:val="00003447"/>
    <w:rsid w:val="00003662"/>
    <w:rsid w:val="00004101"/>
    <w:rsid w:val="0000412A"/>
    <w:rsid w:val="00004498"/>
    <w:rsid w:val="000059AF"/>
    <w:rsid w:val="00005D25"/>
    <w:rsid w:val="00005FB7"/>
    <w:rsid w:val="00006482"/>
    <w:rsid w:val="0000713F"/>
    <w:rsid w:val="000101C2"/>
    <w:rsid w:val="00010BB7"/>
    <w:rsid w:val="00010D52"/>
    <w:rsid w:val="00010E81"/>
    <w:rsid w:val="00011293"/>
    <w:rsid w:val="0001161E"/>
    <w:rsid w:val="00012272"/>
    <w:rsid w:val="00012331"/>
    <w:rsid w:val="00012C02"/>
    <w:rsid w:val="00012D3E"/>
    <w:rsid w:val="00012DCC"/>
    <w:rsid w:val="0001333A"/>
    <w:rsid w:val="00013469"/>
    <w:rsid w:val="00013B2C"/>
    <w:rsid w:val="00013B84"/>
    <w:rsid w:val="00013D6E"/>
    <w:rsid w:val="00014393"/>
    <w:rsid w:val="000154C1"/>
    <w:rsid w:val="00015742"/>
    <w:rsid w:val="00015B54"/>
    <w:rsid w:val="00015D4B"/>
    <w:rsid w:val="00015EAC"/>
    <w:rsid w:val="00015F1B"/>
    <w:rsid w:val="00016251"/>
    <w:rsid w:val="00016D26"/>
    <w:rsid w:val="000171B9"/>
    <w:rsid w:val="000177B4"/>
    <w:rsid w:val="00017CAE"/>
    <w:rsid w:val="00017DC0"/>
    <w:rsid w:val="0002045E"/>
    <w:rsid w:val="000207FE"/>
    <w:rsid w:val="00020D9E"/>
    <w:rsid w:val="0002141F"/>
    <w:rsid w:val="00021584"/>
    <w:rsid w:val="000229F8"/>
    <w:rsid w:val="000237D8"/>
    <w:rsid w:val="00023872"/>
    <w:rsid w:val="00023AAA"/>
    <w:rsid w:val="00023D96"/>
    <w:rsid w:val="000245A5"/>
    <w:rsid w:val="00024C61"/>
    <w:rsid w:val="00024E05"/>
    <w:rsid w:val="00025E9B"/>
    <w:rsid w:val="00025F2C"/>
    <w:rsid w:val="0002621F"/>
    <w:rsid w:val="00026360"/>
    <w:rsid w:val="0002678B"/>
    <w:rsid w:val="000269C7"/>
    <w:rsid w:val="00026DD4"/>
    <w:rsid w:val="000270AB"/>
    <w:rsid w:val="000276D9"/>
    <w:rsid w:val="00027739"/>
    <w:rsid w:val="0003004F"/>
    <w:rsid w:val="00030423"/>
    <w:rsid w:val="0003045B"/>
    <w:rsid w:val="000305CD"/>
    <w:rsid w:val="0003066F"/>
    <w:rsid w:val="000309F3"/>
    <w:rsid w:val="00030B2B"/>
    <w:rsid w:val="00031C70"/>
    <w:rsid w:val="00031FDA"/>
    <w:rsid w:val="00032948"/>
    <w:rsid w:val="00032D88"/>
    <w:rsid w:val="00034A91"/>
    <w:rsid w:val="00034B31"/>
    <w:rsid w:val="00034D40"/>
    <w:rsid w:val="00034D45"/>
    <w:rsid w:val="00035DBD"/>
    <w:rsid w:val="00036CD0"/>
    <w:rsid w:val="000372A2"/>
    <w:rsid w:val="0003743F"/>
    <w:rsid w:val="000376E2"/>
    <w:rsid w:val="00037AC7"/>
    <w:rsid w:val="00037BAA"/>
    <w:rsid w:val="00040C32"/>
    <w:rsid w:val="00041005"/>
    <w:rsid w:val="00041ABB"/>
    <w:rsid w:val="00041B29"/>
    <w:rsid w:val="00042650"/>
    <w:rsid w:val="00042949"/>
    <w:rsid w:val="00042CD3"/>
    <w:rsid w:val="00043647"/>
    <w:rsid w:val="0004364E"/>
    <w:rsid w:val="00043B13"/>
    <w:rsid w:val="00043D45"/>
    <w:rsid w:val="00043EDA"/>
    <w:rsid w:val="00044409"/>
    <w:rsid w:val="000447B3"/>
    <w:rsid w:val="00044802"/>
    <w:rsid w:val="0004540E"/>
    <w:rsid w:val="000454A0"/>
    <w:rsid w:val="000454E5"/>
    <w:rsid w:val="00045631"/>
    <w:rsid w:val="00045DAA"/>
    <w:rsid w:val="00045F72"/>
    <w:rsid w:val="00046AEA"/>
    <w:rsid w:val="00046C41"/>
    <w:rsid w:val="00046F7D"/>
    <w:rsid w:val="000472A9"/>
    <w:rsid w:val="00047BC3"/>
    <w:rsid w:val="00047FED"/>
    <w:rsid w:val="0005038B"/>
    <w:rsid w:val="00050A58"/>
    <w:rsid w:val="00050AE0"/>
    <w:rsid w:val="00050F06"/>
    <w:rsid w:val="000519FF"/>
    <w:rsid w:val="00052DA0"/>
    <w:rsid w:val="000531B8"/>
    <w:rsid w:val="00053393"/>
    <w:rsid w:val="00053E71"/>
    <w:rsid w:val="000540ED"/>
    <w:rsid w:val="0005461F"/>
    <w:rsid w:val="00054B4C"/>
    <w:rsid w:val="00054DA6"/>
    <w:rsid w:val="000550AE"/>
    <w:rsid w:val="000553D1"/>
    <w:rsid w:val="00055D1E"/>
    <w:rsid w:val="00055E9C"/>
    <w:rsid w:val="0005631F"/>
    <w:rsid w:val="0005657E"/>
    <w:rsid w:val="000568D7"/>
    <w:rsid w:val="00056973"/>
    <w:rsid w:val="0005738B"/>
    <w:rsid w:val="000575F2"/>
    <w:rsid w:val="000579CD"/>
    <w:rsid w:val="00057CB1"/>
    <w:rsid w:val="00057F21"/>
    <w:rsid w:val="00060107"/>
    <w:rsid w:val="0006083C"/>
    <w:rsid w:val="00060864"/>
    <w:rsid w:val="00060D33"/>
    <w:rsid w:val="0006121E"/>
    <w:rsid w:val="00061C6B"/>
    <w:rsid w:val="00061F66"/>
    <w:rsid w:val="000625EC"/>
    <w:rsid w:val="00062670"/>
    <w:rsid w:val="00062C67"/>
    <w:rsid w:val="0006338B"/>
    <w:rsid w:val="0006343F"/>
    <w:rsid w:val="00063BD2"/>
    <w:rsid w:val="0006442B"/>
    <w:rsid w:val="00064EBF"/>
    <w:rsid w:val="000650EC"/>
    <w:rsid w:val="00065489"/>
    <w:rsid w:val="00065A26"/>
    <w:rsid w:val="00065BE9"/>
    <w:rsid w:val="0006617A"/>
    <w:rsid w:val="000665BE"/>
    <w:rsid w:val="000665D0"/>
    <w:rsid w:val="00066BA3"/>
    <w:rsid w:val="00066DE6"/>
    <w:rsid w:val="000671F0"/>
    <w:rsid w:val="0006772C"/>
    <w:rsid w:val="00067D90"/>
    <w:rsid w:val="00067DBE"/>
    <w:rsid w:val="00067E04"/>
    <w:rsid w:val="00067E5B"/>
    <w:rsid w:val="000706C3"/>
    <w:rsid w:val="00070744"/>
    <w:rsid w:val="000707B6"/>
    <w:rsid w:val="00070A7D"/>
    <w:rsid w:val="000710C5"/>
    <w:rsid w:val="0007115D"/>
    <w:rsid w:val="000718BD"/>
    <w:rsid w:val="00071933"/>
    <w:rsid w:val="000721CB"/>
    <w:rsid w:val="000723F7"/>
    <w:rsid w:val="00072E3B"/>
    <w:rsid w:val="00072FB7"/>
    <w:rsid w:val="000731D4"/>
    <w:rsid w:val="00073349"/>
    <w:rsid w:val="00073E70"/>
    <w:rsid w:val="00074171"/>
    <w:rsid w:val="00074334"/>
    <w:rsid w:val="000745B7"/>
    <w:rsid w:val="0007494C"/>
    <w:rsid w:val="00074B58"/>
    <w:rsid w:val="000752B7"/>
    <w:rsid w:val="00075544"/>
    <w:rsid w:val="00075849"/>
    <w:rsid w:val="00075B90"/>
    <w:rsid w:val="00076373"/>
    <w:rsid w:val="00076897"/>
    <w:rsid w:val="000772D3"/>
    <w:rsid w:val="0007735C"/>
    <w:rsid w:val="000777A2"/>
    <w:rsid w:val="00077E45"/>
    <w:rsid w:val="00080174"/>
    <w:rsid w:val="0008219F"/>
    <w:rsid w:val="000824E2"/>
    <w:rsid w:val="00082A3A"/>
    <w:rsid w:val="0008315A"/>
    <w:rsid w:val="00083540"/>
    <w:rsid w:val="000835A6"/>
    <w:rsid w:val="0008401C"/>
    <w:rsid w:val="0008478B"/>
    <w:rsid w:val="00084B42"/>
    <w:rsid w:val="0008522E"/>
    <w:rsid w:val="0008683A"/>
    <w:rsid w:val="000869ED"/>
    <w:rsid w:val="00086BC0"/>
    <w:rsid w:val="0008729E"/>
    <w:rsid w:val="0009110E"/>
    <w:rsid w:val="00091E07"/>
    <w:rsid w:val="0009246F"/>
    <w:rsid w:val="00092F75"/>
    <w:rsid w:val="000933AA"/>
    <w:rsid w:val="000936C0"/>
    <w:rsid w:val="000936E3"/>
    <w:rsid w:val="000937A6"/>
    <w:rsid w:val="000939B9"/>
    <w:rsid w:val="00093CC8"/>
    <w:rsid w:val="00094575"/>
    <w:rsid w:val="00094CA3"/>
    <w:rsid w:val="00094ED0"/>
    <w:rsid w:val="00095268"/>
    <w:rsid w:val="00095294"/>
    <w:rsid w:val="000958E6"/>
    <w:rsid w:val="00095B69"/>
    <w:rsid w:val="00096010"/>
    <w:rsid w:val="00096764"/>
    <w:rsid w:val="000968DF"/>
    <w:rsid w:val="00097F0B"/>
    <w:rsid w:val="00097F50"/>
    <w:rsid w:val="000A0122"/>
    <w:rsid w:val="000A02A5"/>
    <w:rsid w:val="000A046A"/>
    <w:rsid w:val="000A143D"/>
    <w:rsid w:val="000A1580"/>
    <w:rsid w:val="000A1BCA"/>
    <w:rsid w:val="000A1C71"/>
    <w:rsid w:val="000A1D0C"/>
    <w:rsid w:val="000A1F36"/>
    <w:rsid w:val="000A2162"/>
    <w:rsid w:val="000A2743"/>
    <w:rsid w:val="000A27C2"/>
    <w:rsid w:val="000A2846"/>
    <w:rsid w:val="000A303F"/>
    <w:rsid w:val="000A35CF"/>
    <w:rsid w:val="000A37C3"/>
    <w:rsid w:val="000A38E0"/>
    <w:rsid w:val="000A3FEE"/>
    <w:rsid w:val="000A490F"/>
    <w:rsid w:val="000A495B"/>
    <w:rsid w:val="000A4A9F"/>
    <w:rsid w:val="000A597C"/>
    <w:rsid w:val="000A6733"/>
    <w:rsid w:val="000A701D"/>
    <w:rsid w:val="000A71DA"/>
    <w:rsid w:val="000A77BB"/>
    <w:rsid w:val="000A7B73"/>
    <w:rsid w:val="000A7DF1"/>
    <w:rsid w:val="000A7F88"/>
    <w:rsid w:val="000B0552"/>
    <w:rsid w:val="000B1414"/>
    <w:rsid w:val="000B15C4"/>
    <w:rsid w:val="000B1744"/>
    <w:rsid w:val="000B1C4F"/>
    <w:rsid w:val="000B235E"/>
    <w:rsid w:val="000B26E5"/>
    <w:rsid w:val="000B27A2"/>
    <w:rsid w:val="000B2AFC"/>
    <w:rsid w:val="000B2B63"/>
    <w:rsid w:val="000B2C46"/>
    <w:rsid w:val="000B2EFD"/>
    <w:rsid w:val="000B3058"/>
    <w:rsid w:val="000B3106"/>
    <w:rsid w:val="000B3480"/>
    <w:rsid w:val="000B3BED"/>
    <w:rsid w:val="000B4415"/>
    <w:rsid w:val="000B4B6C"/>
    <w:rsid w:val="000B4DF2"/>
    <w:rsid w:val="000B5140"/>
    <w:rsid w:val="000B54B5"/>
    <w:rsid w:val="000B583C"/>
    <w:rsid w:val="000B5A7F"/>
    <w:rsid w:val="000B6046"/>
    <w:rsid w:val="000B6592"/>
    <w:rsid w:val="000B6ECD"/>
    <w:rsid w:val="000B733B"/>
    <w:rsid w:val="000B7414"/>
    <w:rsid w:val="000B74C0"/>
    <w:rsid w:val="000B7A1C"/>
    <w:rsid w:val="000B7D85"/>
    <w:rsid w:val="000C09C2"/>
    <w:rsid w:val="000C142E"/>
    <w:rsid w:val="000C19F7"/>
    <w:rsid w:val="000C1D4E"/>
    <w:rsid w:val="000C2201"/>
    <w:rsid w:val="000C2553"/>
    <w:rsid w:val="000C2B30"/>
    <w:rsid w:val="000C371B"/>
    <w:rsid w:val="000C3A1C"/>
    <w:rsid w:val="000C3D69"/>
    <w:rsid w:val="000C3ED1"/>
    <w:rsid w:val="000C43B9"/>
    <w:rsid w:val="000C4998"/>
    <w:rsid w:val="000C56EB"/>
    <w:rsid w:val="000C5766"/>
    <w:rsid w:val="000C5C38"/>
    <w:rsid w:val="000C5E98"/>
    <w:rsid w:val="000C6505"/>
    <w:rsid w:val="000C694F"/>
    <w:rsid w:val="000C711E"/>
    <w:rsid w:val="000C7F29"/>
    <w:rsid w:val="000D10AE"/>
    <w:rsid w:val="000D1769"/>
    <w:rsid w:val="000D1B33"/>
    <w:rsid w:val="000D1F49"/>
    <w:rsid w:val="000D2110"/>
    <w:rsid w:val="000D21FA"/>
    <w:rsid w:val="000D2A02"/>
    <w:rsid w:val="000D3205"/>
    <w:rsid w:val="000D350D"/>
    <w:rsid w:val="000D3717"/>
    <w:rsid w:val="000D3747"/>
    <w:rsid w:val="000D434E"/>
    <w:rsid w:val="000D4899"/>
    <w:rsid w:val="000D4B5D"/>
    <w:rsid w:val="000D4BEF"/>
    <w:rsid w:val="000D4C87"/>
    <w:rsid w:val="000D504F"/>
    <w:rsid w:val="000D57E9"/>
    <w:rsid w:val="000D582E"/>
    <w:rsid w:val="000D6E53"/>
    <w:rsid w:val="000D7429"/>
    <w:rsid w:val="000E03BE"/>
    <w:rsid w:val="000E0405"/>
    <w:rsid w:val="000E0648"/>
    <w:rsid w:val="000E077F"/>
    <w:rsid w:val="000E0C27"/>
    <w:rsid w:val="000E0F58"/>
    <w:rsid w:val="000E0FA2"/>
    <w:rsid w:val="000E13D5"/>
    <w:rsid w:val="000E1B82"/>
    <w:rsid w:val="000E1C31"/>
    <w:rsid w:val="000E24BB"/>
    <w:rsid w:val="000E2B2F"/>
    <w:rsid w:val="000E2CE5"/>
    <w:rsid w:val="000E2EAF"/>
    <w:rsid w:val="000E37C1"/>
    <w:rsid w:val="000E398F"/>
    <w:rsid w:val="000E402D"/>
    <w:rsid w:val="000E4581"/>
    <w:rsid w:val="000E4682"/>
    <w:rsid w:val="000E4788"/>
    <w:rsid w:val="000E48B8"/>
    <w:rsid w:val="000E4931"/>
    <w:rsid w:val="000E4ACB"/>
    <w:rsid w:val="000E4E68"/>
    <w:rsid w:val="000E5D9E"/>
    <w:rsid w:val="000E6057"/>
    <w:rsid w:val="000E6341"/>
    <w:rsid w:val="000E666A"/>
    <w:rsid w:val="000E6B89"/>
    <w:rsid w:val="000E73BF"/>
    <w:rsid w:val="000E779C"/>
    <w:rsid w:val="000E7A03"/>
    <w:rsid w:val="000E7E67"/>
    <w:rsid w:val="000E7F0D"/>
    <w:rsid w:val="000E7FAB"/>
    <w:rsid w:val="000F0272"/>
    <w:rsid w:val="000F0509"/>
    <w:rsid w:val="000F0A86"/>
    <w:rsid w:val="000F0CDF"/>
    <w:rsid w:val="000F1BAD"/>
    <w:rsid w:val="000F20ED"/>
    <w:rsid w:val="000F2F86"/>
    <w:rsid w:val="000F31A7"/>
    <w:rsid w:val="000F44DA"/>
    <w:rsid w:val="000F46E8"/>
    <w:rsid w:val="000F4AE8"/>
    <w:rsid w:val="000F5262"/>
    <w:rsid w:val="000F5C69"/>
    <w:rsid w:val="000F5D0F"/>
    <w:rsid w:val="000F6248"/>
    <w:rsid w:val="000F6254"/>
    <w:rsid w:val="000F655F"/>
    <w:rsid w:val="000F66DE"/>
    <w:rsid w:val="000F7232"/>
    <w:rsid w:val="000F7463"/>
    <w:rsid w:val="000F7ACE"/>
    <w:rsid w:val="000F7E06"/>
    <w:rsid w:val="00100579"/>
    <w:rsid w:val="001007AF"/>
    <w:rsid w:val="00102030"/>
    <w:rsid w:val="00102F8C"/>
    <w:rsid w:val="00103159"/>
    <w:rsid w:val="001031A1"/>
    <w:rsid w:val="001031B5"/>
    <w:rsid w:val="001035C6"/>
    <w:rsid w:val="00103749"/>
    <w:rsid w:val="00103992"/>
    <w:rsid w:val="00103B18"/>
    <w:rsid w:val="00104331"/>
    <w:rsid w:val="0010461C"/>
    <w:rsid w:val="001047C2"/>
    <w:rsid w:val="00104959"/>
    <w:rsid w:val="00105721"/>
    <w:rsid w:val="00105991"/>
    <w:rsid w:val="00105CFD"/>
    <w:rsid w:val="0010680E"/>
    <w:rsid w:val="00106C86"/>
    <w:rsid w:val="00106D71"/>
    <w:rsid w:val="00107030"/>
    <w:rsid w:val="00107741"/>
    <w:rsid w:val="00107E72"/>
    <w:rsid w:val="00110062"/>
    <w:rsid w:val="001101B9"/>
    <w:rsid w:val="00111305"/>
    <w:rsid w:val="001115B1"/>
    <w:rsid w:val="00111B76"/>
    <w:rsid w:val="0011216F"/>
    <w:rsid w:val="00112244"/>
    <w:rsid w:val="001123AF"/>
    <w:rsid w:val="001123E8"/>
    <w:rsid w:val="00112AD4"/>
    <w:rsid w:val="00112FF2"/>
    <w:rsid w:val="00113335"/>
    <w:rsid w:val="00113553"/>
    <w:rsid w:val="0011373F"/>
    <w:rsid w:val="00113E4C"/>
    <w:rsid w:val="0011491A"/>
    <w:rsid w:val="00115043"/>
    <w:rsid w:val="00115483"/>
    <w:rsid w:val="00115580"/>
    <w:rsid w:val="001155B5"/>
    <w:rsid w:val="001156FD"/>
    <w:rsid w:val="00115A81"/>
    <w:rsid w:val="00115C64"/>
    <w:rsid w:val="0011667F"/>
    <w:rsid w:val="00116C61"/>
    <w:rsid w:val="0011701D"/>
    <w:rsid w:val="00117207"/>
    <w:rsid w:val="001176C5"/>
    <w:rsid w:val="00117A0D"/>
    <w:rsid w:val="00117CC9"/>
    <w:rsid w:val="00120582"/>
    <w:rsid w:val="0012078D"/>
    <w:rsid w:val="00120DA2"/>
    <w:rsid w:val="00121286"/>
    <w:rsid w:val="00121702"/>
    <w:rsid w:val="00121F06"/>
    <w:rsid w:val="001228A2"/>
    <w:rsid w:val="00122D7A"/>
    <w:rsid w:val="00123066"/>
    <w:rsid w:val="001230F9"/>
    <w:rsid w:val="00123377"/>
    <w:rsid w:val="001234D0"/>
    <w:rsid w:val="00123593"/>
    <w:rsid w:val="001236FE"/>
    <w:rsid w:val="00123B34"/>
    <w:rsid w:val="00123F1B"/>
    <w:rsid w:val="00123FD4"/>
    <w:rsid w:val="00124249"/>
    <w:rsid w:val="0012464E"/>
    <w:rsid w:val="001246A1"/>
    <w:rsid w:val="00124700"/>
    <w:rsid w:val="001248BD"/>
    <w:rsid w:val="00125525"/>
    <w:rsid w:val="001255F5"/>
    <w:rsid w:val="0012576D"/>
    <w:rsid w:val="0012579B"/>
    <w:rsid w:val="00125960"/>
    <w:rsid w:val="00125B39"/>
    <w:rsid w:val="00125DD5"/>
    <w:rsid w:val="001260E6"/>
    <w:rsid w:val="00127137"/>
    <w:rsid w:val="001271A4"/>
    <w:rsid w:val="001303DF"/>
    <w:rsid w:val="00130419"/>
    <w:rsid w:val="001308AE"/>
    <w:rsid w:val="00130B8F"/>
    <w:rsid w:val="00130D62"/>
    <w:rsid w:val="0013142F"/>
    <w:rsid w:val="00131F56"/>
    <w:rsid w:val="00132A64"/>
    <w:rsid w:val="00132BF0"/>
    <w:rsid w:val="00132F8F"/>
    <w:rsid w:val="00133E9D"/>
    <w:rsid w:val="0013405D"/>
    <w:rsid w:val="00134313"/>
    <w:rsid w:val="001344F1"/>
    <w:rsid w:val="00134617"/>
    <w:rsid w:val="00134C95"/>
    <w:rsid w:val="00134E48"/>
    <w:rsid w:val="00135423"/>
    <w:rsid w:val="001356F0"/>
    <w:rsid w:val="00135CFA"/>
    <w:rsid w:val="00135FF5"/>
    <w:rsid w:val="00136432"/>
    <w:rsid w:val="001366A8"/>
    <w:rsid w:val="0013711B"/>
    <w:rsid w:val="001378C8"/>
    <w:rsid w:val="00137AA6"/>
    <w:rsid w:val="00137E81"/>
    <w:rsid w:val="00140128"/>
    <w:rsid w:val="00140871"/>
    <w:rsid w:val="00140D0A"/>
    <w:rsid w:val="001416E7"/>
    <w:rsid w:val="00141B1C"/>
    <w:rsid w:val="00141E27"/>
    <w:rsid w:val="00142192"/>
    <w:rsid w:val="00142583"/>
    <w:rsid w:val="00142839"/>
    <w:rsid w:val="00142AFC"/>
    <w:rsid w:val="00142E4E"/>
    <w:rsid w:val="00142F5A"/>
    <w:rsid w:val="00142FF3"/>
    <w:rsid w:val="001434F2"/>
    <w:rsid w:val="00144280"/>
    <w:rsid w:val="00144DBB"/>
    <w:rsid w:val="00145106"/>
    <w:rsid w:val="00145532"/>
    <w:rsid w:val="00145E8A"/>
    <w:rsid w:val="001460FD"/>
    <w:rsid w:val="0014677B"/>
    <w:rsid w:val="001468DD"/>
    <w:rsid w:val="00146BCA"/>
    <w:rsid w:val="00146E44"/>
    <w:rsid w:val="001470E1"/>
    <w:rsid w:val="001476DB"/>
    <w:rsid w:val="00147866"/>
    <w:rsid w:val="00147C6F"/>
    <w:rsid w:val="0015168C"/>
    <w:rsid w:val="00151A61"/>
    <w:rsid w:val="00151E27"/>
    <w:rsid w:val="00152068"/>
    <w:rsid w:val="00152462"/>
    <w:rsid w:val="00152549"/>
    <w:rsid w:val="00153A20"/>
    <w:rsid w:val="00153BA8"/>
    <w:rsid w:val="001542C7"/>
    <w:rsid w:val="00154500"/>
    <w:rsid w:val="00154641"/>
    <w:rsid w:val="00154F8C"/>
    <w:rsid w:val="001558C6"/>
    <w:rsid w:val="0015593F"/>
    <w:rsid w:val="001569DC"/>
    <w:rsid w:val="00157227"/>
    <w:rsid w:val="00157482"/>
    <w:rsid w:val="0015795F"/>
    <w:rsid w:val="00157E80"/>
    <w:rsid w:val="001611C2"/>
    <w:rsid w:val="001619C6"/>
    <w:rsid w:val="00161F3C"/>
    <w:rsid w:val="00162101"/>
    <w:rsid w:val="00162221"/>
    <w:rsid w:val="00162326"/>
    <w:rsid w:val="00162345"/>
    <w:rsid w:val="00162D87"/>
    <w:rsid w:val="00163907"/>
    <w:rsid w:val="00163A49"/>
    <w:rsid w:val="00163ABC"/>
    <w:rsid w:val="001641DA"/>
    <w:rsid w:val="00164221"/>
    <w:rsid w:val="001644B6"/>
    <w:rsid w:val="00165815"/>
    <w:rsid w:val="0016619E"/>
    <w:rsid w:val="001662A0"/>
    <w:rsid w:val="001664E8"/>
    <w:rsid w:val="00166F21"/>
    <w:rsid w:val="0016725E"/>
    <w:rsid w:val="00167CF1"/>
    <w:rsid w:val="00167F29"/>
    <w:rsid w:val="00167FDC"/>
    <w:rsid w:val="00170424"/>
    <w:rsid w:val="00170A2B"/>
    <w:rsid w:val="00170B74"/>
    <w:rsid w:val="00171F90"/>
    <w:rsid w:val="0017272F"/>
    <w:rsid w:val="001727B4"/>
    <w:rsid w:val="00172821"/>
    <w:rsid w:val="00172B6B"/>
    <w:rsid w:val="001731C3"/>
    <w:rsid w:val="00173281"/>
    <w:rsid w:val="001739BF"/>
    <w:rsid w:val="00174394"/>
    <w:rsid w:val="00174473"/>
    <w:rsid w:val="00174715"/>
    <w:rsid w:val="00174831"/>
    <w:rsid w:val="00174D45"/>
    <w:rsid w:val="00174D87"/>
    <w:rsid w:val="001751AD"/>
    <w:rsid w:val="001755E0"/>
    <w:rsid w:val="001761CF"/>
    <w:rsid w:val="00176ED4"/>
    <w:rsid w:val="001775B1"/>
    <w:rsid w:val="0017778E"/>
    <w:rsid w:val="001777F5"/>
    <w:rsid w:val="001778A0"/>
    <w:rsid w:val="00177A6B"/>
    <w:rsid w:val="00177F18"/>
    <w:rsid w:val="00177F6E"/>
    <w:rsid w:val="0018083A"/>
    <w:rsid w:val="00180974"/>
    <w:rsid w:val="00180987"/>
    <w:rsid w:val="00180A20"/>
    <w:rsid w:val="00180C61"/>
    <w:rsid w:val="00180CC4"/>
    <w:rsid w:val="00181189"/>
    <w:rsid w:val="00181970"/>
    <w:rsid w:val="00181C9F"/>
    <w:rsid w:val="00182816"/>
    <w:rsid w:val="00182C24"/>
    <w:rsid w:val="00183111"/>
    <w:rsid w:val="00183404"/>
    <w:rsid w:val="0018444C"/>
    <w:rsid w:val="001844EC"/>
    <w:rsid w:val="001847E0"/>
    <w:rsid w:val="00184AD0"/>
    <w:rsid w:val="00184F00"/>
    <w:rsid w:val="001851AA"/>
    <w:rsid w:val="0018549B"/>
    <w:rsid w:val="001854D0"/>
    <w:rsid w:val="00185514"/>
    <w:rsid w:val="00186D3D"/>
    <w:rsid w:val="001873E8"/>
    <w:rsid w:val="00187409"/>
    <w:rsid w:val="00187512"/>
    <w:rsid w:val="00190183"/>
    <w:rsid w:val="001903E7"/>
    <w:rsid w:val="0019099B"/>
    <w:rsid w:val="00190C8E"/>
    <w:rsid w:val="0019109F"/>
    <w:rsid w:val="00192550"/>
    <w:rsid w:val="001926F6"/>
    <w:rsid w:val="00192AD5"/>
    <w:rsid w:val="00192CED"/>
    <w:rsid w:val="00192E47"/>
    <w:rsid w:val="00193A88"/>
    <w:rsid w:val="00193CF9"/>
    <w:rsid w:val="001940BD"/>
    <w:rsid w:val="00194EE0"/>
    <w:rsid w:val="00195072"/>
    <w:rsid w:val="001951AE"/>
    <w:rsid w:val="001958C9"/>
    <w:rsid w:val="001959EE"/>
    <w:rsid w:val="00195E4D"/>
    <w:rsid w:val="00195F2C"/>
    <w:rsid w:val="001961CE"/>
    <w:rsid w:val="0019620E"/>
    <w:rsid w:val="0019641E"/>
    <w:rsid w:val="0019668B"/>
    <w:rsid w:val="00197373"/>
    <w:rsid w:val="001A03D1"/>
    <w:rsid w:val="001A0855"/>
    <w:rsid w:val="001A0BE5"/>
    <w:rsid w:val="001A0EE1"/>
    <w:rsid w:val="001A1CA7"/>
    <w:rsid w:val="001A1D63"/>
    <w:rsid w:val="001A1F90"/>
    <w:rsid w:val="001A2591"/>
    <w:rsid w:val="001A275A"/>
    <w:rsid w:val="001A2C2C"/>
    <w:rsid w:val="001A2DE9"/>
    <w:rsid w:val="001A3B83"/>
    <w:rsid w:val="001A3EB7"/>
    <w:rsid w:val="001A3EE0"/>
    <w:rsid w:val="001A422D"/>
    <w:rsid w:val="001A521E"/>
    <w:rsid w:val="001A5968"/>
    <w:rsid w:val="001A6294"/>
    <w:rsid w:val="001A62B5"/>
    <w:rsid w:val="001A667E"/>
    <w:rsid w:val="001A6FC0"/>
    <w:rsid w:val="001A7582"/>
    <w:rsid w:val="001A75CB"/>
    <w:rsid w:val="001A7DEC"/>
    <w:rsid w:val="001B0534"/>
    <w:rsid w:val="001B05F6"/>
    <w:rsid w:val="001B08DF"/>
    <w:rsid w:val="001B0F1E"/>
    <w:rsid w:val="001B100E"/>
    <w:rsid w:val="001B13F1"/>
    <w:rsid w:val="001B16A5"/>
    <w:rsid w:val="001B1F3C"/>
    <w:rsid w:val="001B20B7"/>
    <w:rsid w:val="001B2561"/>
    <w:rsid w:val="001B272F"/>
    <w:rsid w:val="001B3094"/>
    <w:rsid w:val="001B3295"/>
    <w:rsid w:val="001B34D4"/>
    <w:rsid w:val="001B37A3"/>
    <w:rsid w:val="001B44F0"/>
    <w:rsid w:val="001B4E3B"/>
    <w:rsid w:val="001B4EC3"/>
    <w:rsid w:val="001B50F3"/>
    <w:rsid w:val="001B52F2"/>
    <w:rsid w:val="001B5609"/>
    <w:rsid w:val="001B5C5E"/>
    <w:rsid w:val="001B5DE0"/>
    <w:rsid w:val="001B5F78"/>
    <w:rsid w:val="001B6179"/>
    <w:rsid w:val="001B6317"/>
    <w:rsid w:val="001B69F9"/>
    <w:rsid w:val="001B6CCE"/>
    <w:rsid w:val="001B7317"/>
    <w:rsid w:val="001B7BBD"/>
    <w:rsid w:val="001C0683"/>
    <w:rsid w:val="001C098C"/>
    <w:rsid w:val="001C09DF"/>
    <w:rsid w:val="001C0F49"/>
    <w:rsid w:val="001C0FAC"/>
    <w:rsid w:val="001C11A0"/>
    <w:rsid w:val="001C12B9"/>
    <w:rsid w:val="001C17EB"/>
    <w:rsid w:val="001C1836"/>
    <w:rsid w:val="001C1FB1"/>
    <w:rsid w:val="001C20EC"/>
    <w:rsid w:val="001C2196"/>
    <w:rsid w:val="001C26D1"/>
    <w:rsid w:val="001C2992"/>
    <w:rsid w:val="001C38AC"/>
    <w:rsid w:val="001C3A5B"/>
    <w:rsid w:val="001C3C24"/>
    <w:rsid w:val="001C46B9"/>
    <w:rsid w:val="001C4E3E"/>
    <w:rsid w:val="001C5089"/>
    <w:rsid w:val="001C50AD"/>
    <w:rsid w:val="001C5447"/>
    <w:rsid w:val="001C597F"/>
    <w:rsid w:val="001C616B"/>
    <w:rsid w:val="001C6381"/>
    <w:rsid w:val="001C6E9B"/>
    <w:rsid w:val="001C7036"/>
    <w:rsid w:val="001C7623"/>
    <w:rsid w:val="001C76CA"/>
    <w:rsid w:val="001C7AD6"/>
    <w:rsid w:val="001C7EF1"/>
    <w:rsid w:val="001D11C0"/>
    <w:rsid w:val="001D18B4"/>
    <w:rsid w:val="001D1B59"/>
    <w:rsid w:val="001D2488"/>
    <w:rsid w:val="001D2511"/>
    <w:rsid w:val="001D2DDD"/>
    <w:rsid w:val="001D2E3C"/>
    <w:rsid w:val="001D3078"/>
    <w:rsid w:val="001D47CA"/>
    <w:rsid w:val="001D524F"/>
    <w:rsid w:val="001D544B"/>
    <w:rsid w:val="001D57BA"/>
    <w:rsid w:val="001D5DFE"/>
    <w:rsid w:val="001D685D"/>
    <w:rsid w:val="001D7299"/>
    <w:rsid w:val="001D7AC7"/>
    <w:rsid w:val="001E020A"/>
    <w:rsid w:val="001E0B07"/>
    <w:rsid w:val="001E0C6A"/>
    <w:rsid w:val="001E176C"/>
    <w:rsid w:val="001E1E4C"/>
    <w:rsid w:val="001E1EF9"/>
    <w:rsid w:val="001E2280"/>
    <w:rsid w:val="001E234D"/>
    <w:rsid w:val="001E244C"/>
    <w:rsid w:val="001E2833"/>
    <w:rsid w:val="001E2C47"/>
    <w:rsid w:val="001E2F11"/>
    <w:rsid w:val="001E376B"/>
    <w:rsid w:val="001E4067"/>
    <w:rsid w:val="001E45AE"/>
    <w:rsid w:val="001E47A2"/>
    <w:rsid w:val="001E49C7"/>
    <w:rsid w:val="001E4DBC"/>
    <w:rsid w:val="001E59BF"/>
    <w:rsid w:val="001E6155"/>
    <w:rsid w:val="001E6459"/>
    <w:rsid w:val="001E6F1A"/>
    <w:rsid w:val="001E7042"/>
    <w:rsid w:val="001E71CA"/>
    <w:rsid w:val="001E7628"/>
    <w:rsid w:val="001E7838"/>
    <w:rsid w:val="001E7854"/>
    <w:rsid w:val="001E7B78"/>
    <w:rsid w:val="001E7FE7"/>
    <w:rsid w:val="001F0074"/>
    <w:rsid w:val="001F014C"/>
    <w:rsid w:val="001F02D6"/>
    <w:rsid w:val="001F0937"/>
    <w:rsid w:val="001F1139"/>
    <w:rsid w:val="001F11DA"/>
    <w:rsid w:val="001F1215"/>
    <w:rsid w:val="001F19BF"/>
    <w:rsid w:val="001F1B95"/>
    <w:rsid w:val="001F1FF0"/>
    <w:rsid w:val="001F2662"/>
    <w:rsid w:val="001F2CD2"/>
    <w:rsid w:val="001F2E6D"/>
    <w:rsid w:val="001F3147"/>
    <w:rsid w:val="001F38C0"/>
    <w:rsid w:val="001F3CF8"/>
    <w:rsid w:val="001F41D7"/>
    <w:rsid w:val="001F43C5"/>
    <w:rsid w:val="001F4703"/>
    <w:rsid w:val="001F4DD6"/>
    <w:rsid w:val="001F5274"/>
    <w:rsid w:val="001F5CC4"/>
    <w:rsid w:val="001F7300"/>
    <w:rsid w:val="001F75B4"/>
    <w:rsid w:val="001F777D"/>
    <w:rsid w:val="00200BF5"/>
    <w:rsid w:val="00200EEA"/>
    <w:rsid w:val="00200F66"/>
    <w:rsid w:val="00201CAD"/>
    <w:rsid w:val="002020B1"/>
    <w:rsid w:val="002023FA"/>
    <w:rsid w:val="002025C2"/>
    <w:rsid w:val="0020276A"/>
    <w:rsid w:val="002031F2"/>
    <w:rsid w:val="00203984"/>
    <w:rsid w:val="00203BF2"/>
    <w:rsid w:val="00203EAE"/>
    <w:rsid w:val="00203F3C"/>
    <w:rsid w:val="002046C0"/>
    <w:rsid w:val="002047C8"/>
    <w:rsid w:val="00204A87"/>
    <w:rsid w:val="00204ED1"/>
    <w:rsid w:val="00204F32"/>
    <w:rsid w:val="00205BA2"/>
    <w:rsid w:val="00205F64"/>
    <w:rsid w:val="002061FC"/>
    <w:rsid w:val="00206324"/>
    <w:rsid w:val="00206D2C"/>
    <w:rsid w:val="002073AE"/>
    <w:rsid w:val="00207607"/>
    <w:rsid w:val="002078CE"/>
    <w:rsid w:val="00207A8B"/>
    <w:rsid w:val="0021079B"/>
    <w:rsid w:val="0021154E"/>
    <w:rsid w:val="00211A4B"/>
    <w:rsid w:val="002120A1"/>
    <w:rsid w:val="002121CA"/>
    <w:rsid w:val="0021266E"/>
    <w:rsid w:val="00214621"/>
    <w:rsid w:val="00214D5D"/>
    <w:rsid w:val="00214FF9"/>
    <w:rsid w:val="002156F8"/>
    <w:rsid w:val="002157A1"/>
    <w:rsid w:val="00215810"/>
    <w:rsid w:val="00215AF4"/>
    <w:rsid w:val="00215CF5"/>
    <w:rsid w:val="00216539"/>
    <w:rsid w:val="0021694B"/>
    <w:rsid w:val="00216A24"/>
    <w:rsid w:val="00216B5C"/>
    <w:rsid w:val="00216DEE"/>
    <w:rsid w:val="00217986"/>
    <w:rsid w:val="00217CED"/>
    <w:rsid w:val="00221140"/>
    <w:rsid w:val="002211A2"/>
    <w:rsid w:val="002212B6"/>
    <w:rsid w:val="0022139F"/>
    <w:rsid w:val="002217F9"/>
    <w:rsid w:val="002220CE"/>
    <w:rsid w:val="00222A93"/>
    <w:rsid w:val="00222DE1"/>
    <w:rsid w:val="00222F30"/>
    <w:rsid w:val="00223037"/>
    <w:rsid w:val="002232C6"/>
    <w:rsid w:val="00223B77"/>
    <w:rsid w:val="002248A1"/>
    <w:rsid w:val="00224D1E"/>
    <w:rsid w:val="002250DE"/>
    <w:rsid w:val="0022510A"/>
    <w:rsid w:val="00225333"/>
    <w:rsid w:val="00226090"/>
    <w:rsid w:val="00226288"/>
    <w:rsid w:val="00226363"/>
    <w:rsid w:val="00226956"/>
    <w:rsid w:val="00227B70"/>
    <w:rsid w:val="00227C50"/>
    <w:rsid w:val="00227D93"/>
    <w:rsid w:val="00227E23"/>
    <w:rsid w:val="002300D1"/>
    <w:rsid w:val="002309C3"/>
    <w:rsid w:val="00230B93"/>
    <w:rsid w:val="00231410"/>
    <w:rsid w:val="00232111"/>
    <w:rsid w:val="00232D00"/>
    <w:rsid w:val="00232E32"/>
    <w:rsid w:val="00233243"/>
    <w:rsid w:val="002335C7"/>
    <w:rsid w:val="00233D2D"/>
    <w:rsid w:val="00233DE3"/>
    <w:rsid w:val="0023422C"/>
    <w:rsid w:val="002343D3"/>
    <w:rsid w:val="00234500"/>
    <w:rsid w:val="0023503F"/>
    <w:rsid w:val="002359E5"/>
    <w:rsid w:val="00236013"/>
    <w:rsid w:val="00236260"/>
    <w:rsid w:val="00236E40"/>
    <w:rsid w:val="00236EBC"/>
    <w:rsid w:val="00237287"/>
    <w:rsid w:val="0023734C"/>
    <w:rsid w:val="0023781A"/>
    <w:rsid w:val="00237A3A"/>
    <w:rsid w:val="00237DFC"/>
    <w:rsid w:val="00237FB0"/>
    <w:rsid w:val="00240593"/>
    <w:rsid w:val="0024060C"/>
    <w:rsid w:val="00240914"/>
    <w:rsid w:val="002410A4"/>
    <w:rsid w:val="0024147F"/>
    <w:rsid w:val="002417F7"/>
    <w:rsid w:val="00241E81"/>
    <w:rsid w:val="00242A83"/>
    <w:rsid w:val="00242BED"/>
    <w:rsid w:val="002430CF"/>
    <w:rsid w:val="0024348F"/>
    <w:rsid w:val="002434B7"/>
    <w:rsid w:val="002439FC"/>
    <w:rsid w:val="00243C69"/>
    <w:rsid w:val="00243EEB"/>
    <w:rsid w:val="0024419B"/>
    <w:rsid w:val="00244E66"/>
    <w:rsid w:val="00244E9A"/>
    <w:rsid w:val="002455B6"/>
    <w:rsid w:val="0024614F"/>
    <w:rsid w:val="00246555"/>
    <w:rsid w:val="00246998"/>
    <w:rsid w:val="00246A38"/>
    <w:rsid w:val="00246AAC"/>
    <w:rsid w:val="00246EB7"/>
    <w:rsid w:val="002471DB"/>
    <w:rsid w:val="002476F6"/>
    <w:rsid w:val="00247866"/>
    <w:rsid w:val="00247DE4"/>
    <w:rsid w:val="00250641"/>
    <w:rsid w:val="00250BC5"/>
    <w:rsid w:val="00251E2A"/>
    <w:rsid w:val="00252386"/>
    <w:rsid w:val="0025259F"/>
    <w:rsid w:val="002525F3"/>
    <w:rsid w:val="00252C39"/>
    <w:rsid w:val="00253CE5"/>
    <w:rsid w:val="00253E6D"/>
    <w:rsid w:val="002545C9"/>
    <w:rsid w:val="002548F8"/>
    <w:rsid w:val="00254966"/>
    <w:rsid w:val="00254C13"/>
    <w:rsid w:val="002550C3"/>
    <w:rsid w:val="002555A5"/>
    <w:rsid w:val="00255891"/>
    <w:rsid w:val="00255A7E"/>
    <w:rsid w:val="002560C0"/>
    <w:rsid w:val="0025645E"/>
    <w:rsid w:val="00256ED5"/>
    <w:rsid w:val="002572FD"/>
    <w:rsid w:val="00257361"/>
    <w:rsid w:val="002576B1"/>
    <w:rsid w:val="00257831"/>
    <w:rsid w:val="0025785E"/>
    <w:rsid w:val="00257D40"/>
    <w:rsid w:val="00257F64"/>
    <w:rsid w:val="00260014"/>
    <w:rsid w:val="00260486"/>
    <w:rsid w:val="002604AF"/>
    <w:rsid w:val="00260727"/>
    <w:rsid w:val="0026212A"/>
    <w:rsid w:val="00262BBF"/>
    <w:rsid w:val="00263168"/>
    <w:rsid w:val="002639CD"/>
    <w:rsid w:val="00264351"/>
    <w:rsid w:val="00264507"/>
    <w:rsid w:val="0026495C"/>
    <w:rsid w:val="00265479"/>
    <w:rsid w:val="0026571E"/>
    <w:rsid w:val="002657FB"/>
    <w:rsid w:val="00265B87"/>
    <w:rsid w:val="00266185"/>
    <w:rsid w:val="00266965"/>
    <w:rsid w:val="00266C41"/>
    <w:rsid w:val="00266CA8"/>
    <w:rsid w:val="00266FC9"/>
    <w:rsid w:val="00267108"/>
    <w:rsid w:val="002677C5"/>
    <w:rsid w:val="00267EA3"/>
    <w:rsid w:val="00271476"/>
    <w:rsid w:val="00271555"/>
    <w:rsid w:val="00272706"/>
    <w:rsid w:val="0027373C"/>
    <w:rsid w:val="00273C97"/>
    <w:rsid w:val="00273D10"/>
    <w:rsid w:val="002744FC"/>
    <w:rsid w:val="00274B12"/>
    <w:rsid w:val="00274B3C"/>
    <w:rsid w:val="0027500F"/>
    <w:rsid w:val="0027530B"/>
    <w:rsid w:val="00275430"/>
    <w:rsid w:val="0027549A"/>
    <w:rsid w:val="0027595D"/>
    <w:rsid w:val="00276022"/>
    <w:rsid w:val="002760C3"/>
    <w:rsid w:val="00276626"/>
    <w:rsid w:val="002771D6"/>
    <w:rsid w:val="00277246"/>
    <w:rsid w:val="00277522"/>
    <w:rsid w:val="002779DD"/>
    <w:rsid w:val="00277D3E"/>
    <w:rsid w:val="00280229"/>
    <w:rsid w:val="00280250"/>
    <w:rsid w:val="0028067B"/>
    <w:rsid w:val="00280779"/>
    <w:rsid w:val="00281641"/>
    <w:rsid w:val="00281730"/>
    <w:rsid w:val="00281852"/>
    <w:rsid w:val="00282764"/>
    <w:rsid w:val="002829F0"/>
    <w:rsid w:val="00282CC8"/>
    <w:rsid w:val="00282FA6"/>
    <w:rsid w:val="0028342B"/>
    <w:rsid w:val="002835EB"/>
    <w:rsid w:val="00283C63"/>
    <w:rsid w:val="002848EF"/>
    <w:rsid w:val="0028521F"/>
    <w:rsid w:val="00285C00"/>
    <w:rsid w:val="00285C7F"/>
    <w:rsid w:val="00285E47"/>
    <w:rsid w:val="0028684A"/>
    <w:rsid w:val="00286A6C"/>
    <w:rsid w:val="00286D8F"/>
    <w:rsid w:val="002874C3"/>
    <w:rsid w:val="002874CF"/>
    <w:rsid w:val="00287886"/>
    <w:rsid w:val="0029004E"/>
    <w:rsid w:val="002900B2"/>
    <w:rsid w:val="00290131"/>
    <w:rsid w:val="00290778"/>
    <w:rsid w:val="002907BA"/>
    <w:rsid w:val="00290DBD"/>
    <w:rsid w:val="00291B41"/>
    <w:rsid w:val="00291CE7"/>
    <w:rsid w:val="0029329B"/>
    <w:rsid w:val="0029363D"/>
    <w:rsid w:val="0029390A"/>
    <w:rsid w:val="00293DB0"/>
    <w:rsid w:val="00293E75"/>
    <w:rsid w:val="00294159"/>
    <w:rsid w:val="00294313"/>
    <w:rsid w:val="002946FC"/>
    <w:rsid w:val="002954D9"/>
    <w:rsid w:val="00295793"/>
    <w:rsid w:val="00295D8B"/>
    <w:rsid w:val="00295E7A"/>
    <w:rsid w:val="00296419"/>
    <w:rsid w:val="00296B3B"/>
    <w:rsid w:val="00296B45"/>
    <w:rsid w:val="00296D0F"/>
    <w:rsid w:val="0029701B"/>
    <w:rsid w:val="00297B88"/>
    <w:rsid w:val="002A0160"/>
    <w:rsid w:val="002A0DA4"/>
    <w:rsid w:val="002A0F47"/>
    <w:rsid w:val="002A13B1"/>
    <w:rsid w:val="002A173D"/>
    <w:rsid w:val="002A220D"/>
    <w:rsid w:val="002A2675"/>
    <w:rsid w:val="002A3694"/>
    <w:rsid w:val="002A40BD"/>
    <w:rsid w:val="002A4486"/>
    <w:rsid w:val="002A4BAC"/>
    <w:rsid w:val="002A4F4B"/>
    <w:rsid w:val="002A5043"/>
    <w:rsid w:val="002A53B3"/>
    <w:rsid w:val="002A5477"/>
    <w:rsid w:val="002A592F"/>
    <w:rsid w:val="002A64FE"/>
    <w:rsid w:val="002A684C"/>
    <w:rsid w:val="002A6C88"/>
    <w:rsid w:val="002A7267"/>
    <w:rsid w:val="002A72D6"/>
    <w:rsid w:val="002A7447"/>
    <w:rsid w:val="002A78DC"/>
    <w:rsid w:val="002A7908"/>
    <w:rsid w:val="002A7AFD"/>
    <w:rsid w:val="002B06E9"/>
    <w:rsid w:val="002B0927"/>
    <w:rsid w:val="002B0D33"/>
    <w:rsid w:val="002B0DFD"/>
    <w:rsid w:val="002B1136"/>
    <w:rsid w:val="002B1401"/>
    <w:rsid w:val="002B1628"/>
    <w:rsid w:val="002B1B33"/>
    <w:rsid w:val="002B1CC3"/>
    <w:rsid w:val="002B26EF"/>
    <w:rsid w:val="002B2825"/>
    <w:rsid w:val="002B28F2"/>
    <w:rsid w:val="002B2AE0"/>
    <w:rsid w:val="002B2ED8"/>
    <w:rsid w:val="002B38E4"/>
    <w:rsid w:val="002B3E63"/>
    <w:rsid w:val="002B44BE"/>
    <w:rsid w:val="002B48E3"/>
    <w:rsid w:val="002B4B1E"/>
    <w:rsid w:val="002B4FCB"/>
    <w:rsid w:val="002B5368"/>
    <w:rsid w:val="002B5433"/>
    <w:rsid w:val="002B5812"/>
    <w:rsid w:val="002B5955"/>
    <w:rsid w:val="002B5E29"/>
    <w:rsid w:val="002B60EF"/>
    <w:rsid w:val="002B6430"/>
    <w:rsid w:val="002B6622"/>
    <w:rsid w:val="002B667E"/>
    <w:rsid w:val="002B66C8"/>
    <w:rsid w:val="002B699B"/>
    <w:rsid w:val="002B70E9"/>
    <w:rsid w:val="002B7440"/>
    <w:rsid w:val="002B7699"/>
    <w:rsid w:val="002C020C"/>
    <w:rsid w:val="002C0F25"/>
    <w:rsid w:val="002C12A1"/>
    <w:rsid w:val="002C12E1"/>
    <w:rsid w:val="002C13A1"/>
    <w:rsid w:val="002C29A0"/>
    <w:rsid w:val="002C2C8E"/>
    <w:rsid w:val="002C2CD9"/>
    <w:rsid w:val="002C31CD"/>
    <w:rsid w:val="002C3DDE"/>
    <w:rsid w:val="002C477A"/>
    <w:rsid w:val="002C4867"/>
    <w:rsid w:val="002C5084"/>
    <w:rsid w:val="002C5A67"/>
    <w:rsid w:val="002C5E63"/>
    <w:rsid w:val="002C64D0"/>
    <w:rsid w:val="002C7241"/>
    <w:rsid w:val="002C7C12"/>
    <w:rsid w:val="002C7E5F"/>
    <w:rsid w:val="002D05CB"/>
    <w:rsid w:val="002D0945"/>
    <w:rsid w:val="002D12C3"/>
    <w:rsid w:val="002D14FC"/>
    <w:rsid w:val="002D2094"/>
    <w:rsid w:val="002D26AF"/>
    <w:rsid w:val="002D28E5"/>
    <w:rsid w:val="002D2A9E"/>
    <w:rsid w:val="002D31A2"/>
    <w:rsid w:val="002D3721"/>
    <w:rsid w:val="002D3778"/>
    <w:rsid w:val="002D3875"/>
    <w:rsid w:val="002D3A16"/>
    <w:rsid w:val="002D4516"/>
    <w:rsid w:val="002D4A97"/>
    <w:rsid w:val="002D4F47"/>
    <w:rsid w:val="002D5323"/>
    <w:rsid w:val="002D5EB6"/>
    <w:rsid w:val="002D690F"/>
    <w:rsid w:val="002D6A78"/>
    <w:rsid w:val="002D6DF4"/>
    <w:rsid w:val="002D6FC6"/>
    <w:rsid w:val="002D7132"/>
    <w:rsid w:val="002D7790"/>
    <w:rsid w:val="002D7B09"/>
    <w:rsid w:val="002E036F"/>
    <w:rsid w:val="002E11E1"/>
    <w:rsid w:val="002E1277"/>
    <w:rsid w:val="002E15DA"/>
    <w:rsid w:val="002E1769"/>
    <w:rsid w:val="002E1C3E"/>
    <w:rsid w:val="002E2856"/>
    <w:rsid w:val="002E2D7F"/>
    <w:rsid w:val="002E2F6E"/>
    <w:rsid w:val="002E3EB2"/>
    <w:rsid w:val="002E4B93"/>
    <w:rsid w:val="002E4D3B"/>
    <w:rsid w:val="002E5527"/>
    <w:rsid w:val="002E5812"/>
    <w:rsid w:val="002E60C7"/>
    <w:rsid w:val="002E6236"/>
    <w:rsid w:val="002E624D"/>
    <w:rsid w:val="002E7492"/>
    <w:rsid w:val="002E79DF"/>
    <w:rsid w:val="002E79EC"/>
    <w:rsid w:val="002E7AC0"/>
    <w:rsid w:val="002F00A8"/>
    <w:rsid w:val="002F05AE"/>
    <w:rsid w:val="002F0A74"/>
    <w:rsid w:val="002F0AAE"/>
    <w:rsid w:val="002F0BF6"/>
    <w:rsid w:val="002F13BE"/>
    <w:rsid w:val="002F14EE"/>
    <w:rsid w:val="002F17CF"/>
    <w:rsid w:val="002F253E"/>
    <w:rsid w:val="002F29E7"/>
    <w:rsid w:val="002F2A36"/>
    <w:rsid w:val="002F2CFF"/>
    <w:rsid w:val="002F3135"/>
    <w:rsid w:val="002F3254"/>
    <w:rsid w:val="002F32B2"/>
    <w:rsid w:val="002F3ECD"/>
    <w:rsid w:val="002F422B"/>
    <w:rsid w:val="002F49C6"/>
    <w:rsid w:val="002F4B87"/>
    <w:rsid w:val="002F512B"/>
    <w:rsid w:val="002F5D25"/>
    <w:rsid w:val="002F6F10"/>
    <w:rsid w:val="002F7474"/>
    <w:rsid w:val="002F761B"/>
    <w:rsid w:val="002F7C0C"/>
    <w:rsid w:val="002F7DC9"/>
    <w:rsid w:val="002F7ED0"/>
    <w:rsid w:val="00302080"/>
    <w:rsid w:val="0030232F"/>
    <w:rsid w:val="00302443"/>
    <w:rsid w:val="00302610"/>
    <w:rsid w:val="003026E4"/>
    <w:rsid w:val="00302AAA"/>
    <w:rsid w:val="00302BC8"/>
    <w:rsid w:val="00303134"/>
    <w:rsid w:val="003044B7"/>
    <w:rsid w:val="0030453C"/>
    <w:rsid w:val="00304900"/>
    <w:rsid w:val="003051F6"/>
    <w:rsid w:val="0030542B"/>
    <w:rsid w:val="003060A8"/>
    <w:rsid w:val="00306211"/>
    <w:rsid w:val="00306510"/>
    <w:rsid w:val="003068C7"/>
    <w:rsid w:val="00307158"/>
    <w:rsid w:val="0031050C"/>
    <w:rsid w:val="00310CD2"/>
    <w:rsid w:val="00310D3E"/>
    <w:rsid w:val="003119CB"/>
    <w:rsid w:val="00311A9E"/>
    <w:rsid w:val="00311F07"/>
    <w:rsid w:val="003123D5"/>
    <w:rsid w:val="00312471"/>
    <w:rsid w:val="003133E3"/>
    <w:rsid w:val="0031343C"/>
    <w:rsid w:val="003141FE"/>
    <w:rsid w:val="003142F7"/>
    <w:rsid w:val="00314317"/>
    <w:rsid w:val="00314371"/>
    <w:rsid w:val="003144F8"/>
    <w:rsid w:val="00314E11"/>
    <w:rsid w:val="00315121"/>
    <w:rsid w:val="00315726"/>
    <w:rsid w:val="00315EEC"/>
    <w:rsid w:val="00316563"/>
    <w:rsid w:val="003169D2"/>
    <w:rsid w:val="0031745C"/>
    <w:rsid w:val="00317817"/>
    <w:rsid w:val="00320BFF"/>
    <w:rsid w:val="00320C13"/>
    <w:rsid w:val="00320E6A"/>
    <w:rsid w:val="00321056"/>
    <w:rsid w:val="0032133F"/>
    <w:rsid w:val="003217B1"/>
    <w:rsid w:val="00321A7B"/>
    <w:rsid w:val="00321BC0"/>
    <w:rsid w:val="00321D17"/>
    <w:rsid w:val="00321F1A"/>
    <w:rsid w:val="00321F33"/>
    <w:rsid w:val="00322054"/>
    <w:rsid w:val="003223AC"/>
    <w:rsid w:val="00322670"/>
    <w:rsid w:val="003229C7"/>
    <w:rsid w:val="00322B5C"/>
    <w:rsid w:val="00322ECA"/>
    <w:rsid w:val="00323640"/>
    <w:rsid w:val="00323A16"/>
    <w:rsid w:val="00324464"/>
    <w:rsid w:val="00324C64"/>
    <w:rsid w:val="003253D9"/>
    <w:rsid w:val="00325908"/>
    <w:rsid w:val="00325D9B"/>
    <w:rsid w:val="0032660C"/>
    <w:rsid w:val="0032667A"/>
    <w:rsid w:val="00327030"/>
    <w:rsid w:val="00327440"/>
    <w:rsid w:val="00327546"/>
    <w:rsid w:val="00327B05"/>
    <w:rsid w:val="00330F14"/>
    <w:rsid w:val="00331260"/>
    <w:rsid w:val="00331970"/>
    <w:rsid w:val="00331AE7"/>
    <w:rsid w:val="00331C66"/>
    <w:rsid w:val="00331D9D"/>
    <w:rsid w:val="00331F0B"/>
    <w:rsid w:val="003320BC"/>
    <w:rsid w:val="00332425"/>
    <w:rsid w:val="003324B7"/>
    <w:rsid w:val="00332CAF"/>
    <w:rsid w:val="00332D89"/>
    <w:rsid w:val="00333E28"/>
    <w:rsid w:val="00334494"/>
    <w:rsid w:val="003346E0"/>
    <w:rsid w:val="003350F1"/>
    <w:rsid w:val="00335182"/>
    <w:rsid w:val="00335522"/>
    <w:rsid w:val="003356E7"/>
    <w:rsid w:val="00335C09"/>
    <w:rsid w:val="00335CA9"/>
    <w:rsid w:val="00337017"/>
    <w:rsid w:val="00337134"/>
    <w:rsid w:val="00337E43"/>
    <w:rsid w:val="00337FB3"/>
    <w:rsid w:val="00340170"/>
    <w:rsid w:val="003407DA"/>
    <w:rsid w:val="00340AC4"/>
    <w:rsid w:val="00340B36"/>
    <w:rsid w:val="00341075"/>
    <w:rsid w:val="00341405"/>
    <w:rsid w:val="003431FE"/>
    <w:rsid w:val="003432FB"/>
    <w:rsid w:val="003435DC"/>
    <w:rsid w:val="00343E7E"/>
    <w:rsid w:val="00343FAF"/>
    <w:rsid w:val="00344DDD"/>
    <w:rsid w:val="00345080"/>
    <w:rsid w:val="003457F1"/>
    <w:rsid w:val="003458AF"/>
    <w:rsid w:val="00345C12"/>
    <w:rsid w:val="003466C4"/>
    <w:rsid w:val="003466D3"/>
    <w:rsid w:val="00346700"/>
    <w:rsid w:val="00346BE8"/>
    <w:rsid w:val="0034756E"/>
    <w:rsid w:val="00347748"/>
    <w:rsid w:val="00347B72"/>
    <w:rsid w:val="00347B99"/>
    <w:rsid w:val="003504D5"/>
    <w:rsid w:val="003507C3"/>
    <w:rsid w:val="00350894"/>
    <w:rsid w:val="00350A5D"/>
    <w:rsid w:val="00351108"/>
    <w:rsid w:val="00352013"/>
    <w:rsid w:val="003529DA"/>
    <w:rsid w:val="00352E1F"/>
    <w:rsid w:val="003531D8"/>
    <w:rsid w:val="003532DA"/>
    <w:rsid w:val="00353375"/>
    <w:rsid w:val="003536BC"/>
    <w:rsid w:val="003539FB"/>
    <w:rsid w:val="00353A3B"/>
    <w:rsid w:val="00353AC6"/>
    <w:rsid w:val="0035421C"/>
    <w:rsid w:val="003543A8"/>
    <w:rsid w:val="00354FB3"/>
    <w:rsid w:val="00355038"/>
    <w:rsid w:val="003551E6"/>
    <w:rsid w:val="003551F0"/>
    <w:rsid w:val="00355B15"/>
    <w:rsid w:val="00355BC2"/>
    <w:rsid w:val="00355CC5"/>
    <w:rsid w:val="00355FC7"/>
    <w:rsid w:val="0035671F"/>
    <w:rsid w:val="00356F25"/>
    <w:rsid w:val="00357512"/>
    <w:rsid w:val="0035756F"/>
    <w:rsid w:val="00360195"/>
    <w:rsid w:val="003601A5"/>
    <w:rsid w:val="00360D5C"/>
    <w:rsid w:val="00361939"/>
    <w:rsid w:val="00361C65"/>
    <w:rsid w:val="00362CB0"/>
    <w:rsid w:val="00362EFE"/>
    <w:rsid w:val="0036420B"/>
    <w:rsid w:val="0036529D"/>
    <w:rsid w:val="003653E8"/>
    <w:rsid w:val="00365E5E"/>
    <w:rsid w:val="003665A7"/>
    <w:rsid w:val="003665D4"/>
    <w:rsid w:val="00366988"/>
    <w:rsid w:val="003669BD"/>
    <w:rsid w:val="00366AEC"/>
    <w:rsid w:val="00366CEE"/>
    <w:rsid w:val="0036717E"/>
    <w:rsid w:val="003672CE"/>
    <w:rsid w:val="0036737A"/>
    <w:rsid w:val="003674FB"/>
    <w:rsid w:val="00367C77"/>
    <w:rsid w:val="00367DBF"/>
    <w:rsid w:val="003701E2"/>
    <w:rsid w:val="00370842"/>
    <w:rsid w:val="00370CFB"/>
    <w:rsid w:val="0037279B"/>
    <w:rsid w:val="003727F8"/>
    <w:rsid w:val="00372A4F"/>
    <w:rsid w:val="00372DBC"/>
    <w:rsid w:val="003732BE"/>
    <w:rsid w:val="00373CFC"/>
    <w:rsid w:val="00373DC1"/>
    <w:rsid w:val="00373E24"/>
    <w:rsid w:val="00373E56"/>
    <w:rsid w:val="00374475"/>
    <w:rsid w:val="00374AA6"/>
    <w:rsid w:val="00374B4B"/>
    <w:rsid w:val="00375BD4"/>
    <w:rsid w:val="0037628E"/>
    <w:rsid w:val="00376527"/>
    <w:rsid w:val="00376839"/>
    <w:rsid w:val="00376B1F"/>
    <w:rsid w:val="00376BA7"/>
    <w:rsid w:val="003775F2"/>
    <w:rsid w:val="0037780C"/>
    <w:rsid w:val="00377DB5"/>
    <w:rsid w:val="00377DD9"/>
    <w:rsid w:val="003803A0"/>
    <w:rsid w:val="003804D2"/>
    <w:rsid w:val="00380E3D"/>
    <w:rsid w:val="00380FAB"/>
    <w:rsid w:val="00381969"/>
    <w:rsid w:val="00381E43"/>
    <w:rsid w:val="00382927"/>
    <w:rsid w:val="0038377F"/>
    <w:rsid w:val="003839F1"/>
    <w:rsid w:val="003843F8"/>
    <w:rsid w:val="0038514A"/>
    <w:rsid w:val="003856D3"/>
    <w:rsid w:val="00385716"/>
    <w:rsid w:val="003857A4"/>
    <w:rsid w:val="00385B15"/>
    <w:rsid w:val="00386F6F"/>
    <w:rsid w:val="0038762A"/>
    <w:rsid w:val="00387DB1"/>
    <w:rsid w:val="00387FA8"/>
    <w:rsid w:val="003900EA"/>
    <w:rsid w:val="0039074F"/>
    <w:rsid w:val="0039076D"/>
    <w:rsid w:val="00390968"/>
    <w:rsid w:val="00391111"/>
    <w:rsid w:val="00391713"/>
    <w:rsid w:val="00391970"/>
    <w:rsid w:val="00391C68"/>
    <w:rsid w:val="00391E56"/>
    <w:rsid w:val="00392626"/>
    <w:rsid w:val="00392BC0"/>
    <w:rsid w:val="00392CF3"/>
    <w:rsid w:val="003930E5"/>
    <w:rsid w:val="0039352F"/>
    <w:rsid w:val="00393D70"/>
    <w:rsid w:val="00394108"/>
    <w:rsid w:val="00394159"/>
    <w:rsid w:val="00394CF4"/>
    <w:rsid w:val="00395107"/>
    <w:rsid w:val="00395A12"/>
    <w:rsid w:val="00395B03"/>
    <w:rsid w:val="00396222"/>
    <w:rsid w:val="00396B01"/>
    <w:rsid w:val="00396D3B"/>
    <w:rsid w:val="00396E51"/>
    <w:rsid w:val="0039724C"/>
    <w:rsid w:val="0039763E"/>
    <w:rsid w:val="003977DE"/>
    <w:rsid w:val="00397906"/>
    <w:rsid w:val="003A0084"/>
    <w:rsid w:val="003A00C2"/>
    <w:rsid w:val="003A1090"/>
    <w:rsid w:val="003A1FAE"/>
    <w:rsid w:val="003A2710"/>
    <w:rsid w:val="003A2A3B"/>
    <w:rsid w:val="003A2B37"/>
    <w:rsid w:val="003A3A75"/>
    <w:rsid w:val="003A3B10"/>
    <w:rsid w:val="003A3B7D"/>
    <w:rsid w:val="003A3BFE"/>
    <w:rsid w:val="003A4386"/>
    <w:rsid w:val="003A45F2"/>
    <w:rsid w:val="003A4B2A"/>
    <w:rsid w:val="003A4B5F"/>
    <w:rsid w:val="003A4BCF"/>
    <w:rsid w:val="003A535A"/>
    <w:rsid w:val="003A5490"/>
    <w:rsid w:val="003A54FE"/>
    <w:rsid w:val="003A59C8"/>
    <w:rsid w:val="003A5B93"/>
    <w:rsid w:val="003A661B"/>
    <w:rsid w:val="003A6BD2"/>
    <w:rsid w:val="003A7133"/>
    <w:rsid w:val="003A787E"/>
    <w:rsid w:val="003A7ECD"/>
    <w:rsid w:val="003B011D"/>
    <w:rsid w:val="003B0659"/>
    <w:rsid w:val="003B0D76"/>
    <w:rsid w:val="003B0F22"/>
    <w:rsid w:val="003B1701"/>
    <w:rsid w:val="003B1F66"/>
    <w:rsid w:val="003B222C"/>
    <w:rsid w:val="003B2663"/>
    <w:rsid w:val="003B3014"/>
    <w:rsid w:val="003B391B"/>
    <w:rsid w:val="003B4339"/>
    <w:rsid w:val="003B4597"/>
    <w:rsid w:val="003B482B"/>
    <w:rsid w:val="003B4986"/>
    <w:rsid w:val="003B4CBB"/>
    <w:rsid w:val="003B58F3"/>
    <w:rsid w:val="003B63D0"/>
    <w:rsid w:val="003B6614"/>
    <w:rsid w:val="003B6965"/>
    <w:rsid w:val="003B6A28"/>
    <w:rsid w:val="003B6EB1"/>
    <w:rsid w:val="003B70BF"/>
    <w:rsid w:val="003B756E"/>
    <w:rsid w:val="003B78A5"/>
    <w:rsid w:val="003B7922"/>
    <w:rsid w:val="003B7F91"/>
    <w:rsid w:val="003C026A"/>
    <w:rsid w:val="003C0431"/>
    <w:rsid w:val="003C0812"/>
    <w:rsid w:val="003C08F4"/>
    <w:rsid w:val="003C0B18"/>
    <w:rsid w:val="003C1CD6"/>
    <w:rsid w:val="003C210E"/>
    <w:rsid w:val="003C2246"/>
    <w:rsid w:val="003C293F"/>
    <w:rsid w:val="003C32DA"/>
    <w:rsid w:val="003C3404"/>
    <w:rsid w:val="003C3953"/>
    <w:rsid w:val="003C396F"/>
    <w:rsid w:val="003C3A03"/>
    <w:rsid w:val="003C435D"/>
    <w:rsid w:val="003C5402"/>
    <w:rsid w:val="003C55F2"/>
    <w:rsid w:val="003C5761"/>
    <w:rsid w:val="003C6960"/>
    <w:rsid w:val="003C7E58"/>
    <w:rsid w:val="003D035E"/>
    <w:rsid w:val="003D03F3"/>
    <w:rsid w:val="003D0B9A"/>
    <w:rsid w:val="003D0C1B"/>
    <w:rsid w:val="003D0CD0"/>
    <w:rsid w:val="003D1CF7"/>
    <w:rsid w:val="003D210E"/>
    <w:rsid w:val="003D2A9F"/>
    <w:rsid w:val="003D2BDF"/>
    <w:rsid w:val="003D2E51"/>
    <w:rsid w:val="003D32F5"/>
    <w:rsid w:val="003D3642"/>
    <w:rsid w:val="003D396F"/>
    <w:rsid w:val="003D3A8C"/>
    <w:rsid w:val="003D482B"/>
    <w:rsid w:val="003D4F92"/>
    <w:rsid w:val="003D5A07"/>
    <w:rsid w:val="003D5EC7"/>
    <w:rsid w:val="003D6149"/>
    <w:rsid w:val="003D6747"/>
    <w:rsid w:val="003D7538"/>
    <w:rsid w:val="003D78E2"/>
    <w:rsid w:val="003D7DE3"/>
    <w:rsid w:val="003D7DF1"/>
    <w:rsid w:val="003E0169"/>
    <w:rsid w:val="003E0309"/>
    <w:rsid w:val="003E06B2"/>
    <w:rsid w:val="003E191D"/>
    <w:rsid w:val="003E1A9C"/>
    <w:rsid w:val="003E26F3"/>
    <w:rsid w:val="003E2835"/>
    <w:rsid w:val="003E28A1"/>
    <w:rsid w:val="003E3061"/>
    <w:rsid w:val="003E3C16"/>
    <w:rsid w:val="003E451C"/>
    <w:rsid w:val="003E4A0F"/>
    <w:rsid w:val="003E559E"/>
    <w:rsid w:val="003E5890"/>
    <w:rsid w:val="003E5A5B"/>
    <w:rsid w:val="003E6BEB"/>
    <w:rsid w:val="003E6CF8"/>
    <w:rsid w:val="003E700A"/>
    <w:rsid w:val="003E7813"/>
    <w:rsid w:val="003E7A0C"/>
    <w:rsid w:val="003E7DBB"/>
    <w:rsid w:val="003F0397"/>
    <w:rsid w:val="003F0C17"/>
    <w:rsid w:val="003F0C57"/>
    <w:rsid w:val="003F0D58"/>
    <w:rsid w:val="003F1E65"/>
    <w:rsid w:val="003F1ECD"/>
    <w:rsid w:val="003F20D7"/>
    <w:rsid w:val="003F2491"/>
    <w:rsid w:val="003F2588"/>
    <w:rsid w:val="003F25D9"/>
    <w:rsid w:val="003F2CF5"/>
    <w:rsid w:val="003F2FFC"/>
    <w:rsid w:val="003F3220"/>
    <w:rsid w:val="003F3B71"/>
    <w:rsid w:val="003F41DF"/>
    <w:rsid w:val="003F55BE"/>
    <w:rsid w:val="003F56F8"/>
    <w:rsid w:val="003F59A4"/>
    <w:rsid w:val="003F60C0"/>
    <w:rsid w:val="003F6631"/>
    <w:rsid w:val="003F66E5"/>
    <w:rsid w:val="003F70DF"/>
    <w:rsid w:val="003F77A5"/>
    <w:rsid w:val="004001CD"/>
    <w:rsid w:val="004002C4"/>
    <w:rsid w:val="004011D7"/>
    <w:rsid w:val="00401B37"/>
    <w:rsid w:val="00401CE0"/>
    <w:rsid w:val="00401EAB"/>
    <w:rsid w:val="0040203D"/>
    <w:rsid w:val="004022D3"/>
    <w:rsid w:val="004024BF"/>
    <w:rsid w:val="0040301F"/>
    <w:rsid w:val="00403B8B"/>
    <w:rsid w:val="00403CF7"/>
    <w:rsid w:val="00403E8E"/>
    <w:rsid w:val="00403FCB"/>
    <w:rsid w:val="004040F8"/>
    <w:rsid w:val="004042F0"/>
    <w:rsid w:val="004049D5"/>
    <w:rsid w:val="00404CD9"/>
    <w:rsid w:val="00404D06"/>
    <w:rsid w:val="00405552"/>
    <w:rsid w:val="00405988"/>
    <w:rsid w:val="00406BC8"/>
    <w:rsid w:val="00406EA1"/>
    <w:rsid w:val="00406F44"/>
    <w:rsid w:val="0041061A"/>
    <w:rsid w:val="00410F05"/>
    <w:rsid w:val="00411437"/>
    <w:rsid w:val="0041256F"/>
    <w:rsid w:val="00412577"/>
    <w:rsid w:val="004126FB"/>
    <w:rsid w:val="00412CA6"/>
    <w:rsid w:val="00412D01"/>
    <w:rsid w:val="00412ED6"/>
    <w:rsid w:val="00413568"/>
    <w:rsid w:val="004137D0"/>
    <w:rsid w:val="0041380E"/>
    <w:rsid w:val="00414A5D"/>
    <w:rsid w:val="00414B5F"/>
    <w:rsid w:val="00415BBB"/>
    <w:rsid w:val="00417240"/>
    <w:rsid w:val="00417736"/>
    <w:rsid w:val="004200A6"/>
    <w:rsid w:val="00420424"/>
    <w:rsid w:val="0042083B"/>
    <w:rsid w:val="004208BA"/>
    <w:rsid w:val="00420BC6"/>
    <w:rsid w:val="00420BE1"/>
    <w:rsid w:val="00420F74"/>
    <w:rsid w:val="00421454"/>
    <w:rsid w:val="00421ADD"/>
    <w:rsid w:val="00421D89"/>
    <w:rsid w:val="00422203"/>
    <w:rsid w:val="00422A2E"/>
    <w:rsid w:val="00422B01"/>
    <w:rsid w:val="00422B1C"/>
    <w:rsid w:val="0042306D"/>
    <w:rsid w:val="00423395"/>
    <w:rsid w:val="00423872"/>
    <w:rsid w:val="00423977"/>
    <w:rsid w:val="00423F60"/>
    <w:rsid w:val="004241E8"/>
    <w:rsid w:val="00424653"/>
    <w:rsid w:val="004249D8"/>
    <w:rsid w:val="0042519E"/>
    <w:rsid w:val="004257B7"/>
    <w:rsid w:val="00425C27"/>
    <w:rsid w:val="00425EFC"/>
    <w:rsid w:val="0042601F"/>
    <w:rsid w:val="00426701"/>
    <w:rsid w:val="00427560"/>
    <w:rsid w:val="00427CF6"/>
    <w:rsid w:val="00427F97"/>
    <w:rsid w:val="00430057"/>
    <w:rsid w:val="00431600"/>
    <w:rsid w:val="00431631"/>
    <w:rsid w:val="0043171C"/>
    <w:rsid w:val="00431C77"/>
    <w:rsid w:val="004327F4"/>
    <w:rsid w:val="00432A0E"/>
    <w:rsid w:val="0043312E"/>
    <w:rsid w:val="00433CE0"/>
    <w:rsid w:val="0043425B"/>
    <w:rsid w:val="00434282"/>
    <w:rsid w:val="004342FC"/>
    <w:rsid w:val="00434635"/>
    <w:rsid w:val="00434C48"/>
    <w:rsid w:val="00434CC5"/>
    <w:rsid w:val="00434EB5"/>
    <w:rsid w:val="0043536E"/>
    <w:rsid w:val="00435C88"/>
    <w:rsid w:val="0043643D"/>
    <w:rsid w:val="0043699A"/>
    <w:rsid w:val="00436AE8"/>
    <w:rsid w:val="00436D17"/>
    <w:rsid w:val="00436E22"/>
    <w:rsid w:val="004372F1"/>
    <w:rsid w:val="0043756E"/>
    <w:rsid w:val="00437744"/>
    <w:rsid w:val="004402AF"/>
    <w:rsid w:val="004404D9"/>
    <w:rsid w:val="00440B7D"/>
    <w:rsid w:val="004413E9"/>
    <w:rsid w:val="0044155D"/>
    <w:rsid w:val="004415FF"/>
    <w:rsid w:val="0044172A"/>
    <w:rsid w:val="00441AE1"/>
    <w:rsid w:val="00441DA6"/>
    <w:rsid w:val="00441F3E"/>
    <w:rsid w:val="004420C6"/>
    <w:rsid w:val="004420FD"/>
    <w:rsid w:val="00442F38"/>
    <w:rsid w:val="004430A3"/>
    <w:rsid w:val="00443354"/>
    <w:rsid w:val="0044360A"/>
    <w:rsid w:val="004437EA"/>
    <w:rsid w:val="00445F21"/>
    <w:rsid w:val="00445F65"/>
    <w:rsid w:val="004460A8"/>
    <w:rsid w:val="00446203"/>
    <w:rsid w:val="00446388"/>
    <w:rsid w:val="0044648C"/>
    <w:rsid w:val="004466D5"/>
    <w:rsid w:val="004469A6"/>
    <w:rsid w:val="00446B8F"/>
    <w:rsid w:val="00446C2E"/>
    <w:rsid w:val="00447571"/>
    <w:rsid w:val="00447895"/>
    <w:rsid w:val="004478DF"/>
    <w:rsid w:val="0045069D"/>
    <w:rsid w:val="00450BDD"/>
    <w:rsid w:val="0045150E"/>
    <w:rsid w:val="00451D44"/>
    <w:rsid w:val="004525BE"/>
    <w:rsid w:val="00452ABC"/>
    <w:rsid w:val="00452BE2"/>
    <w:rsid w:val="004532A7"/>
    <w:rsid w:val="00453646"/>
    <w:rsid w:val="00453868"/>
    <w:rsid w:val="00453A1A"/>
    <w:rsid w:val="00453D7C"/>
    <w:rsid w:val="004548EA"/>
    <w:rsid w:val="00455474"/>
    <w:rsid w:val="004557EA"/>
    <w:rsid w:val="00455BC9"/>
    <w:rsid w:val="00455F04"/>
    <w:rsid w:val="00456489"/>
    <w:rsid w:val="00456763"/>
    <w:rsid w:val="0045686E"/>
    <w:rsid w:val="00456EC8"/>
    <w:rsid w:val="00457249"/>
    <w:rsid w:val="004578D7"/>
    <w:rsid w:val="00457E39"/>
    <w:rsid w:val="0046014C"/>
    <w:rsid w:val="004616AE"/>
    <w:rsid w:val="00461C05"/>
    <w:rsid w:val="00461E76"/>
    <w:rsid w:val="00462260"/>
    <w:rsid w:val="00462B0F"/>
    <w:rsid w:val="0046356B"/>
    <w:rsid w:val="00463A33"/>
    <w:rsid w:val="00463ECB"/>
    <w:rsid w:val="004641B6"/>
    <w:rsid w:val="00464432"/>
    <w:rsid w:val="00464593"/>
    <w:rsid w:val="004645B7"/>
    <w:rsid w:val="00464846"/>
    <w:rsid w:val="004657E9"/>
    <w:rsid w:val="004659BC"/>
    <w:rsid w:val="00465A37"/>
    <w:rsid w:val="00465A60"/>
    <w:rsid w:val="00465B35"/>
    <w:rsid w:val="00465B7E"/>
    <w:rsid w:val="00465BA1"/>
    <w:rsid w:val="00465D82"/>
    <w:rsid w:val="00466105"/>
    <w:rsid w:val="00466655"/>
    <w:rsid w:val="0046681C"/>
    <w:rsid w:val="00466A54"/>
    <w:rsid w:val="00466AAF"/>
    <w:rsid w:val="00466D9A"/>
    <w:rsid w:val="00467980"/>
    <w:rsid w:val="00470034"/>
    <w:rsid w:val="0047066D"/>
    <w:rsid w:val="004708FD"/>
    <w:rsid w:val="00470B3E"/>
    <w:rsid w:val="0047108B"/>
    <w:rsid w:val="00471698"/>
    <w:rsid w:val="004716A4"/>
    <w:rsid w:val="00471B1F"/>
    <w:rsid w:val="004722DA"/>
    <w:rsid w:val="00472644"/>
    <w:rsid w:val="00472986"/>
    <w:rsid w:val="0047309B"/>
    <w:rsid w:val="004734AD"/>
    <w:rsid w:val="00473530"/>
    <w:rsid w:val="00473BB8"/>
    <w:rsid w:val="00473C2E"/>
    <w:rsid w:val="00474072"/>
    <w:rsid w:val="004741E7"/>
    <w:rsid w:val="004743B0"/>
    <w:rsid w:val="00474DF6"/>
    <w:rsid w:val="0047538F"/>
    <w:rsid w:val="004753E1"/>
    <w:rsid w:val="00475551"/>
    <w:rsid w:val="004757BD"/>
    <w:rsid w:val="00475EB7"/>
    <w:rsid w:val="004768CB"/>
    <w:rsid w:val="004774E2"/>
    <w:rsid w:val="0047799C"/>
    <w:rsid w:val="004802B2"/>
    <w:rsid w:val="00480AD4"/>
    <w:rsid w:val="00480B9D"/>
    <w:rsid w:val="00480F6E"/>
    <w:rsid w:val="00480FB2"/>
    <w:rsid w:val="004819E0"/>
    <w:rsid w:val="00481A56"/>
    <w:rsid w:val="00481CAD"/>
    <w:rsid w:val="00481F9F"/>
    <w:rsid w:val="00482264"/>
    <w:rsid w:val="0048244D"/>
    <w:rsid w:val="004830F2"/>
    <w:rsid w:val="00483286"/>
    <w:rsid w:val="00483B2F"/>
    <w:rsid w:val="00483DEB"/>
    <w:rsid w:val="00484085"/>
    <w:rsid w:val="00484349"/>
    <w:rsid w:val="004844B3"/>
    <w:rsid w:val="00484B26"/>
    <w:rsid w:val="00484BA8"/>
    <w:rsid w:val="0048526E"/>
    <w:rsid w:val="004852A0"/>
    <w:rsid w:val="0048552E"/>
    <w:rsid w:val="00485B02"/>
    <w:rsid w:val="00485FC2"/>
    <w:rsid w:val="0048618D"/>
    <w:rsid w:val="004862DB"/>
    <w:rsid w:val="00486376"/>
    <w:rsid w:val="00487735"/>
    <w:rsid w:val="004877AA"/>
    <w:rsid w:val="00487D87"/>
    <w:rsid w:val="004911E1"/>
    <w:rsid w:val="00491204"/>
    <w:rsid w:val="00491255"/>
    <w:rsid w:val="00491350"/>
    <w:rsid w:val="0049152D"/>
    <w:rsid w:val="004915FD"/>
    <w:rsid w:val="00491607"/>
    <w:rsid w:val="00491911"/>
    <w:rsid w:val="004919C6"/>
    <w:rsid w:val="00491B72"/>
    <w:rsid w:val="00491CDD"/>
    <w:rsid w:val="004922E5"/>
    <w:rsid w:val="00492741"/>
    <w:rsid w:val="00492E8B"/>
    <w:rsid w:val="00492E8E"/>
    <w:rsid w:val="004932E2"/>
    <w:rsid w:val="004935A3"/>
    <w:rsid w:val="00493DDC"/>
    <w:rsid w:val="0049403F"/>
    <w:rsid w:val="0049435B"/>
    <w:rsid w:val="00494639"/>
    <w:rsid w:val="00495C3A"/>
    <w:rsid w:val="00495D27"/>
    <w:rsid w:val="004968B0"/>
    <w:rsid w:val="00496977"/>
    <w:rsid w:val="00496F28"/>
    <w:rsid w:val="004977CC"/>
    <w:rsid w:val="004979CC"/>
    <w:rsid w:val="004A0868"/>
    <w:rsid w:val="004A08B7"/>
    <w:rsid w:val="004A0C56"/>
    <w:rsid w:val="004A108C"/>
    <w:rsid w:val="004A130F"/>
    <w:rsid w:val="004A16AF"/>
    <w:rsid w:val="004A1BD6"/>
    <w:rsid w:val="004A2061"/>
    <w:rsid w:val="004A23B1"/>
    <w:rsid w:val="004A26D6"/>
    <w:rsid w:val="004A416B"/>
    <w:rsid w:val="004A4A80"/>
    <w:rsid w:val="004A4B57"/>
    <w:rsid w:val="004A63C0"/>
    <w:rsid w:val="004A66CA"/>
    <w:rsid w:val="004A6AEE"/>
    <w:rsid w:val="004A6BC4"/>
    <w:rsid w:val="004A711A"/>
    <w:rsid w:val="004A7187"/>
    <w:rsid w:val="004A7947"/>
    <w:rsid w:val="004B0429"/>
    <w:rsid w:val="004B0A7F"/>
    <w:rsid w:val="004B183D"/>
    <w:rsid w:val="004B1CB7"/>
    <w:rsid w:val="004B1D26"/>
    <w:rsid w:val="004B1D7D"/>
    <w:rsid w:val="004B27CF"/>
    <w:rsid w:val="004B3731"/>
    <w:rsid w:val="004B3DCF"/>
    <w:rsid w:val="004B3E9B"/>
    <w:rsid w:val="004B4307"/>
    <w:rsid w:val="004B4BDB"/>
    <w:rsid w:val="004B4C04"/>
    <w:rsid w:val="004B55EA"/>
    <w:rsid w:val="004B5A58"/>
    <w:rsid w:val="004B5D69"/>
    <w:rsid w:val="004B63B5"/>
    <w:rsid w:val="004B6510"/>
    <w:rsid w:val="004B6600"/>
    <w:rsid w:val="004B6AF4"/>
    <w:rsid w:val="004B6B51"/>
    <w:rsid w:val="004B6C94"/>
    <w:rsid w:val="004B6FA0"/>
    <w:rsid w:val="004C013C"/>
    <w:rsid w:val="004C01B8"/>
    <w:rsid w:val="004C04CF"/>
    <w:rsid w:val="004C0A2B"/>
    <w:rsid w:val="004C0E83"/>
    <w:rsid w:val="004C1B66"/>
    <w:rsid w:val="004C1DE8"/>
    <w:rsid w:val="004C335F"/>
    <w:rsid w:val="004C34D9"/>
    <w:rsid w:val="004C3E16"/>
    <w:rsid w:val="004C406F"/>
    <w:rsid w:val="004C4696"/>
    <w:rsid w:val="004C47C6"/>
    <w:rsid w:val="004C4B94"/>
    <w:rsid w:val="004C5005"/>
    <w:rsid w:val="004C5790"/>
    <w:rsid w:val="004C6457"/>
    <w:rsid w:val="004C65D5"/>
    <w:rsid w:val="004C663E"/>
    <w:rsid w:val="004C6F15"/>
    <w:rsid w:val="004C7155"/>
    <w:rsid w:val="004C71D0"/>
    <w:rsid w:val="004C78CD"/>
    <w:rsid w:val="004C7C45"/>
    <w:rsid w:val="004D0274"/>
    <w:rsid w:val="004D06CD"/>
    <w:rsid w:val="004D0A80"/>
    <w:rsid w:val="004D1E55"/>
    <w:rsid w:val="004D2940"/>
    <w:rsid w:val="004D32DF"/>
    <w:rsid w:val="004D3C74"/>
    <w:rsid w:val="004D4163"/>
    <w:rsid w:val="004D4582"/>
    <w:rsid w:val="004D4A1D"/>
    <w:rsid w:val="004D66EE"/>
    <w:rsid w:val="004D680E"/>
    <w:rsid w:val="004D6873"/>
    <w:rsid w:val="004D694C"/>
    <w:rsid w:val="004D71D9"/>
    <w:rsid w:val="004D775D"/>
    <w:rsid w:val="004D7A1E"/>
    <w:rsid w:val="004D7AAB"/>
    <w:rsid w:val="004E01A4"/>
    <w:rsid w:val="004E1246"/>
    <w:rsid w:val="004E18F2"/>
    <w:rsid w:val="004E19BA"/>
    <w:rsid w:val="004E28C5"/>
    <w:rsid w:val="004E2BD2"/>
    <w:rsid w:val="004E2D60"/>
    <w:rsid w:val="004E37DD"/>
    <w:rsid w:val="004E3CF9"/>
    <w:rsid w:val="004E4576"/>
    <w:rsid w:val="004E45E4"/>
    <w:rsid w:val="004E4757"/>
    <w:rsid w:val="004E4D7B"/>
    <w:rsid w:val="004E5182"/>
    <w:rsid w:val="004E5504"/>
    <w:rsid w:val="004E5808"/>
    <w:rsid w:val="004E5826"/>
    <w:rsid w:val="004E5AF3"/>
    <w:rsid w:val="004E6121"/>
    <w:rsid w:val="004E618D"/>
    <w:rsid w:val="004E69E4"/>
    <w:rsid w:val="004E6A42"/>
    <w:rsid w:val="004E6F98"/>
    <w:rsid w:val="004E7A27"/>
    <w:rsid w:val="004E7F3A"/>
    <w:rsid w:val="004F045A"/>
    <w:rsid w:val="004F05D1"/>
    <w:rsid w:val="004F0690"/>
    <w:rsid w:val="004F1A85"/>
    <w:rsid w:val="004F277B"/>
    <w:rsid w:val="004F3085"/>
    <w:rsid w:val="004F36B2"/>
    <w:rsid w:val="004F3CB3"/>
    <w:rsid w:val="004F492B"/>
    <w:rsid w:val="004F5467"/>
    <w:rsid w:val="004F5883"/>
    <w:rsid w:val="004F5A07"/>
    <w:rsid w:val="004F5C05"/>
    <w:rsid w:val="004F67DF"/>
    <w:rsid w:val="004F6888"/>
    <w:rsid w:val="004F6CF3"/>
    <w:rsid w:val="004F74E5"/>
    <w:rsid w:val="005003F4"/>
    <w:rsid w:val="0050092B"/>
    <w:rsid w:val="00500D35"/>
    <w:rsid w:val="005015C0"/>
    <w:rsid w:val="00501D54"/>
    <w:rsid w:val="005028B0"/>
    <w:rsid w:val="005042FB"/>
    <w:rsid w:val="005051D9"/>
    <w:rsid w:val="0050627F"/>
    <w:rsid w:val="0050636F"/>
    <w:rsid w:val="005063CD"/>
    <w:rsid w:val="0050650C"/>
    <w:rsid w:val="005067D8"/>
    <w:rsid w:val="005068D6"/>
    <w:rsid w:val="00506923"/>
    <w:rsid w:val="00507377"/>
    <w:rsid w:val="00507644"/>
    <w:rsid w:val="00510427"/>
    <w:rsid w:val="0051045C"/>
    <w:rsid w:val="005105E0"/>
    <w:rsid w:val="00510662"/>
    <w:rsid w:val="0051090B"/>
    <w:rsid w:val="00510941"/>
    <w:rsid w:val="005114F0"/>
    <w:rsid w:val="005115A1"/>
    <w:rsid w:val="00511B4C"/>
    <w:rsid w:val="005122E7"/>
    <w:rsid w:val="00512BC5"/>
    <w:rsid w:val="005146E6"/>
    <w:rsid w:val="00515B91"/>
    <w:rsid w:val="00515CF8"/>
    <w:rsid w:val="00516163"/>
    <w:rsid w:val="00516193"/>
    <w:rsid w:val="005162E2"/>
    <w:rsid w:val="00516971"/>
    <w:rsid w:val="005176BF"/>
    <w:rsid w:val="005179C7"/>
    <w:rsid w:val="00517B60"/>
    <w:rsid w:val="00517D05"/>
    <w:rsid w:val="005214DC"/>
    <w:rsid w:val="0052155B"/>
    <w:rsid w:val="005218B0"/>
    <w:rsid w:val="0052199F"/>
    <w:rsid w:val="00521A56"/>
    <w:rsid w:val="00521B11"/>
    <w:rsid w:val="005225BA"/>
    <w:rsid w:val="0052369F"/>
    <w:rsid w:val="005239E8"/>
    <w:rsid w:val="00523E34"/>
    <w:rsid w:val="00523FBF"/>
    <w:rsid w:val="00524561"/>
    <w:rsid w:val="00524D1F"/>
    <w:rsid w:val="00524E89"/>
    <w:rsid w:val="005251D2"/>
    <w:rsid w:val="0052551E"/>
    <w:rsid w:val="0052627B"/>
    <w:rsid w:val="00526F72"/>
    <w:rsid w:val="0052713F"/>
    <w:rsid w:val="00527199"/>
    <w:rsid w:val="00527500"/>
    <w:rsid w:val="0052750B"/>
    <w:rsid w:val="00527823"/>
    <w:rsid w:val="00527860"/>
    <w:rsid w:val="00527E80"/>
    <w:rsid w:val="0053010A"/>
    <w:rsid w:val="005301C0"/>
    <w:rsid w:val="005303A8"/>
    <w:rsid w:val="00531145"/>
    <w:rsid w:val="00531452"/>
    <w:rsid w:val="005317A3"/>
    <w:rsid w:val="00531A28"/>
    <w:rsid w:val="00531AAB"/>
    <w:rsid w:val="00531D79"/>
    <w:rsid w:val="00531D99"/>
    <w:rsid w:val="00532664"/>
    <w:rsid w:val="00532D37"/>
    <w:rsid w:val="00532F80"/>
    <w:rsid w:val="00533439"/>
    <w:rsid w:val="005336E3"/>
    <w:rsid w:val="00533D2A"/>
    <w:rsid w:val="0053409A"/>
    <w:rsid w:val="00534182"/>
    <w:rsid w:val="005347AD"/>
    <w:rsid w:val="005347DF"/>
    <w:rsid w:val="00534D76"/>
    <w:rsid w:val="00534E11"/>
    <w:rsid w:val="00535243"/>
    <w:rsid w:val="005354CD"/>
    <w:rsid w:val="00535839"/>
    <w:rsid w:val="00535C3B"/>
    <w:rsid w:val="005360D1"/>
    <w:rsid w:val="00536345"/>
    <w:rsid w:val="00536F51"/>
    <w:rsid w:val="005377C0"/>
    <w:rsid w:val="0054013B"/>
    <w:rsid w:val="005402DE"/>
    <w:rsid w:val="00540791"/>
    <w:rsid w:val="00540C72"/>
    <w:rsid w:val="00541418"/>
    <w:rsid w:val="00541969"/>
    <w:rsid w:val="00541992"/>
    <w:rsid w:val="00541A26"/>
    <w:rsid w:val="00541CCC"/>
    <w:rsid w:val="00541EF7"/>
    <w:rsid w:val="005420E4"/>
    <w:rsid w:val="0054258D"/>
    <w:rsid w:val="005426E8"/>
    <w:rsid w:val="00542B70"/>
    <w:rsid w:val="00542CBC"/>
    <w:rsid w:val="005432F7"/>
    <w:rsid w:val="00543F2A"/>
    <w:rsid w:val="00543F49"/>
    <w:rsid w:val="005441D9"/>
    <w:rsid w:val="00544C21"/>
    <w:rsid w:val="00544EB4"/>
    <w:rsid w:val="005452AD"/>
    <w:rsid w:val="0054567B"/>
    <w:rsid w:val="00545A6D"/>
    <w:rsid w:val="00546065"/>
    <w:rsid w:val="00546160"/>
    <w:rsid w:val="005463D9"/>
    <w:rsid w:val="00546503"/>
    <w:rsid w:val="0054686C"/>
    <w:rsid w:val="00546894"/>
    <w:rsid w:val="00546BF5"/>
    <w:rsid w:val="00546F08"/>
    <w:rsid w:val="00546FAB"/>
    <w:rsid w:val="005474B4"/>
    <w:rsid w:val="00547887"/>
    <w:rsid w:val="005479CC"/>
    <w:rsid w:val="0055098F"/>
    <w:rsid w:val="00550D14"/>
    <w:rsid w:val="00551224"/>
    <w:rsid w:val="0055185A"/>
    <w:rsid w:val="00551A3A"/>
    <w:rsid w:val="00551CD2"/>
    <w:rsid w:val="00552084"/>
    <w:rsid w:val="005522B2"/>
    <w:rsid w:val="00552650"/>
    <w:rsid w:val="00552BA9"/>
    <w:rsid w:val="00553110"/>
    <w:rsid w:val="0055326E"/>
    <w:rsid w:val="00553372"/>
    <w:rsid w:val="005536A8"/>
    <w:rsid w:val="00553C30"/>
    <w:rsid w:val="00554426"/>
    <w:rsid w:val="005544F7"/>
    <w:rsid w:val="005546FF"/>
    <w:rsid w:val="0055518B"/>
    <w:rsid w:val="005552DF"/>
    <w:rsid w:val="0055553C"/>
    <w:rsid w:val="00555752"/>
    <w:rsid w:val="00556462"/>
    <w:rsid w:val="00556A40"/>
    <w:rsid w:val="00556A7F"/>
    <w:rsid w:val="00556C5E"/>
    <w:rsid w:val="00557499"/>
    <w:rsid w:val="00557905"/>
    <w:rsid w:val="00557F0B"/>
    <w:rsid w:val="0056089F"/>
    <w:rsid w:val="00560A56"/>
    <w:rsid w:val="00561EE6"/>
    <w:rsid w:val="005622FE"/>
    <w:rsid w:val="005627BA"/>
    <w:rsid w:val="00562AC2"/>
    <w:rsid w:val="00562D15"/>
    <w:rsid w:val="00562D2E"/>
    <w:rsid w:val="00562EC1"/>
    <w:rsid w:val="0056324D"/>
    <w:rsid w:val="00563AC2"/>
    <w:rsid w:val="00563DB4"/>
    <w:rsid w:val="005646B9"/>
    <w:rsid w:val="00564E51"/>
    <w:rsid w:val="00564F0E"/>
    <w:rsid w:val="00565120"/>
    <w:rsid w:val="00565BEE"/>
    <w:rsid w:val="00565C58"/>
    <w:rsid w:val="00565DED"/>
    <w:rsid w:val="00565E0C"/>
    <w:rsid w:val="00565F4B"/>
    <w:rsid w:val="0056610F"/>
    <w:rsid w:val="005661BB"/>
    <w:rsid w:val="0056629C"/>
    <w:rsid w:val="0056629E"/>
    <w:rsid w:val="005664FE"/>
    <w:rsid w:val="00566843"/>
    <w:rsid w:val="00566BAE"/>
    <w:rsid w:val="005671A7"/>
    <w:rsid w:val="00567470"/>
    <w:rsid w:val="00567D59"/>
    <w:rsid w:val="00570A06"/>
    <w:rsid w:val="00570BB6"/>
    <w:rsid w:val="00571509"/>
    <w:rsid w:val="0057245B"/>
    <w:rsid w:val="005725B9"/>
    <w:rsid w:val="00572D78"/>
    <w:rsid w:val="00573771"/>
    <w:rsid w:val="00574C19"/>
    <w:rsid w:val="00575E69"/>
    <w:rsid w:val="005763DB"/>
    <w:rsid w:val="00576B05"/>
    <w:rsid w:val="00576DB5"/>
    <w:rsid w:val="005777C8"/>
    <w:rsid w:val="00577B84"/>
    <w:rsid w:val="0058034A"/>
    <w:rsid w:val="00580A3A"/>
    <w:rsid w:val="00580EF9"/>
    <w:rsid w:val="00580F71"/>
    <w:rsid w:val="00581D64"/>
    <w:rsid w:val="00581FCE"/>
    <w:rsid w:val="00582953"/>
    <w:rsid w:val="00582B11"/>
    <w:rsid w:val="005835B4"/>
    <w:rsid w:val="00583D2A"/>
    <w:rsid w:val="00583D87"/>
    <w:rsid w:val="00583F31"/>
    <w:rsid w:val="005842A6"/>
    <w:rsid w:val="00584365"/>
    <w:rsid w:val="00584526"/>
    <w:rsid w:val="00584965"/>
    <w:rsid w:val="00584AC9"/>
    <w:rsid w:val="005856B2"/>
    <w:rsid w:val="0058590A"/>
    <w:rsid w:val="00585DBA"/>
    <w:rsid w:val="00586593"/>
    <w:rsid w:val="00586822"/>
    <w:rsid w:val="0058687A"/>
    <w:rsid w:val="00586A06"/>
    <w:rsid w:val="00586A64"/>
    <w:rsid w:val="0058729A"/>
    <w:rsid w:val="005876FA"/>
    <w:rsid w:val="005879FA"/>
    <w:rsid w:val="00587D1A"/>
    <w:rsid w:val="00587FA6"/>
    <w:rsid w:val="005904A9"/>
    <w:rsid w:val="00590593"/>
    <w:rsid w:val="00591159"/>
    <w:rsid w:val="0059159B"/>
    <w:rsid w:val="00591996"/>
    <w:rsid w:val="00591CFC"/>
    <w:rsid w:val="005921C1"/>
    <w:rsid w:val="00593211"/>
    <w:rsid w:val="00593391"/>
    <w:rsid w:val="0059374A"/>
    <w:rsid w:val="00593BBF"/>
    <w:rsid w:val="00593C5D"/>
    <w:rsid w:val="005944D1"/>
    <w:rsid w:val="00594A03"/>
    <w:rsid w:val="00594CF3"/>
    <w:rsid w:val="00595163"/>
    <w:rsid w:val="0059543A"/>
    <w:rsid w:val="0059592C"/>
    <w:rsid w:val="00595C98"/>
    <w:rsid w:val="005964E7"/>
    <w:rsid w:val="00596F80"/>
    <w:rsid w:val="005A0728"/>
    <w:rsid w:val="005A0BC8"/>
    <w:rsid w:val="005A1317"/>
    <w:rsid w:val="005A1EF5"/>
    <w:rsid w:val="005A213C"/>
    <w:rsid w:val="005A27FC"/>
    <w:rsid w:val="005A33B3"/>
    <w:rsid w:val="005A35B0"/>
    <w:rsid w:val="005A3713"/>
    <w:rsid w:val="005A40DB"/>
    <w:rsid w:val="005A462A"/>
    <w:rsid w:val="005A4AC0"/>
    <w:rsid w:val="005A500F"/>
    <w:rsid w:val="005A50C8"/>
    <w:rsid w:val="005A57C8"/>
    <w:rsid w:val="005A6797"/>
    <w:rsid w:val="005A6FC7"/>
    <w:rsid w:val="005A72C7"/>
    <w:rsid w:val="005A775A"/>
    <w:rsid w:val="005A7968"/>
    <w:rsid w:val="005A7ACC"/>
    <w:rsid w:val="005A7D67"/>
    <w:rsid w:val="005A7EB7"/>
    <w:rsid w:val="005A7F90"/>
    <w:rsid w:val="005B07DB"/>
    <w:rsid w:val="005B0865"/>
    <w:rsid w:val="005B0EFC"/>
    <w:rsid w:val="005B12FD"/>
    <w:rsid w:val="005B1689"/>
    <w:rsid w:val="005B1B85"/>
    <w:rsid w:val="005B1EE9"/>
    <w:rsid w:val="005B267A"/>
    <w:rsid w:val="005B27DE"/>
    <w:rsid w:val="005B2F25"/>
    <w:rsid w:val="005B3B93"/>
    <w:rsid w:val="005B3C05"/>
    <w:rsid w:val="005B46D0"/>
    <w:rsid w:val="005B47BA"/>
    <w:rsid w:val="005B4E39"/>
    <w:rsid w:val="005B5124"/>
    <w:rsid w:val="005B5209"/>
    <w:rsid w:val="005B5B87"/>
    <w:rsid w:val="005B5FEA"/>
    <w:rsid w:val="005B63CE"/>
    <w:rsid w:val="005B6736"/>
    <w:rsid w:val="005B6A90"/>
    <w:rsid w:val="005B6F8C"/>
    <w:rsid w:val="005B7564"/>
    <w:rsid w:val="005B7915"/>
    <w:rsid w:val="005B7BD4"/>
    <w:rsid w:val="005B7CD5"/>
    <w:rsid w:val="005C059D"/>
    <w:rsid w:val="005C0B14"/>
    <w:rsid w:val="005C0CF4"/>
    <w:rsid w:val="005C172B"/>
    <w:rsid w:val="005C26E3"/>
    <w:rsid w:val="005C28EE"/>
    <w:rsid w:val="005C2F07"/>
    <w:rsid w:val="005C34F0"/>
    <w:rsid w:val="005C3BEA"/>
    <w:rsid w:val="005C4930"/>
    <w:rsid w:val="005C4963"/>
    <w:rsid w:val="005C4AA9"/>
    <w:rsid w:val="005C4E22"/>
    <w:rsid w:val="005C50CC"/>
    <w:rsid w:val="005C5348"/>
    <w:rsid w:val="005C5A56"/>
    <w:rsid w:val="005C68BD"/>
    <w:rsid w:val="005C69CF"/>
    <w:rsid w:val="005C6A50"/>
    <w:rsid w:val="005C7161"/>
    <w:rsid w:val="005C77E0"/>
    <w:rsid w:val="005C7C84"/>
    <w:rsid w:val="005D0D75"/>
    <w:rsid w:val="005D1B71"/>
    <w:rsid w:val="005D1D99"/>
    <w:rsid w:val="005D1E1A"/>
    <w:rsid w:val="005D201F"/>
    <w:rsid w:val="005D255C"/>
    <w:rsid w:val="005D31F5"/>
    <w:rsid w:val="005D3C6F"/>
    <w:rsid w:val="005D3E01"/>
    <w:rsid w:val="005D47F1"/>
    <w:rsid w:val="005D4C36"/>
    <w:rsid w:val="005D4E8C"/>
    <w:rsid w:val="005D52CC"/>
    <w:rsid w:val="005D559C"/>
    <w:rsid w:val="005D5DEE"/>
    <w:rsid w:val="005D65AC"/>
    <w:rsid w:val="005D6DF0"/>
    <w:rsid w:val="005D733C"/>
    <w:rsid w:val="005E0420"/>
    <w:rsid w:val="005E0731"/>
    <w:rsid w:val="005E0A5B"/>
    <w:rsid w:val="005E0EC7"/>
    <w:rsid w:val="005E12D2"/>
    <w:rsid w:val="005E1302"/>
    <w:rsid w:val="005E136D"/>
    <w:rsid w:val="005E16B4"/>
    <w:rsid w:val="005E16E0"/>
    <w:rsid w:val="005E1AE8"/>
    <w:rsid w:val="005E1C78"/>
    <w:rsid w:val="005E217D"/>
    <w:rsid w:val="005E2222"/>
    <w:rsid w:val="005E2474"/>
    <w:rsid w:val="005E29BE"/>
    <w:rsid w:val="005E3429"/>
    <w:rsid w:val="005E362F"/>
    <w:rsid w:val="005E36C0"/>
    <w:rsid w:val="005E38B6"/>
    <w:rsid w:val="005E46E4"/>
    <w:rsid w:val="005E4D93"/>
    <w:rsid w:val="005E51DE"/>
    <w:rsid w:val="005E5B96"/>
    <w:rsid w:val="005E5D02"/>
    <w:rsid w:val="005E5F7D"/>
    <w:rsid w:val="005E5F81"/>
    <w:rsid w:val="005E639A"/>
    <w:rsid w:val="005E68EB"/>
    <w:rsid w:val="005E6FDD"/>
    <w:rsid w:val="005E722C"/>
    <w:rsid w:val="005E77E3"/>
    <w:rsid w:val="005E7862"/>
    <w:rsid w:val="005E7A69"/>
    <w:rsid w:val="005F04C3"/>
    <w:rsid w:val="005F092B"/>
    <w:rsid w:val="005F0A2D"/>
    <w:rsid w:val="005F1388"/>
    <w:rsid w:val="005F14C8"/>
    <w:rsid w:val="005F19AA"/>
    <w:rsid w:val="005F2727"/>
    <w:rsid w:val="005F2C54"/>
    <w:rsid w:val="005F3647"/>
    <w:rsid w:val="005F392E"/>
    <w:rsid w:val="005F3F31"/>
    <w:rsid w:val="005F4563"/>
    <w:rsid w:val="005F468D"/>
    <w:rsid w:val="005F4BD6"/>
    <w:rsid w:val="005F4D8D"/>
    <w:rsid w:val="005F52BA"/>
    <w:rsid w:val="005F552B"/>
    <w:rsid w:val="005F5539"/>
    <w:rsid w:val="005F6467"/>
    <w:rsid w:val="005F683F"/>
    <w:rsid w:val="005F6A54"/>
    <w:rsid w:val="005F6DCA"/>
    <w:rsid w:val="005F78E8"/>
    <w:rsid w:val="005F7A09"/>
    <w:rsid w:val="005F7F46"/>
    <w:rsid w:val="0060076B"/>
    <w:rsid w:val="006007D6"/>
    <w:rsid w:val="006008E5"/>
    <w:rsid w:val="00600C70"/>
    <w:rsid w:val="00600E35"/>
    <w:rsid w:val="00600F4F"/>
    <w:rsid w:val="00601440"/>
    <w:rsid w:val="00601585"/>
    <w:rsid w:val="00601933"/>
    <w:rsid w:val="00601A54"/>
    <w:rsid w:val="00601A94"/>
    <w:rsid w:val="00601DBA"/>
    <w:rsid w:val="00601F3E"/>
    <w:rsid w:val="00602F9E"/>
    <w:rsid w:val="00603A67"/>
    <w:rsid w:val="00603B1A"/>
    <w:rsid w:val="00604225"/>
    <w:rsid w:val="00604DB0"/>
    <w:rsid w:val="00605054"/>
    <w:rsid w:val="006053A3"/>
    <w:rsid w:val="006056BF"/>
    <w:rsid w:val="0060689A"/>
    <w:rsid w:val="00607170"/>
    <w:rsid w:val="00607725"/>
    <w:rsid w:val="00607E04"/>
    <w:rsid w:val="006102D9"/>
    <w:rsid w:val="006104AF"/>
    <w:rsid w:val="0061075F"/>
    <w:rsid w:val="006108A4"/>
    <w:rsid w:val="00610C2F"/>
    <w:rsid w:val="00610C4C"/>
    <w:rsid w:val="00611158"/>
    <w:rsid w:val="0061116F"/>
    <w:rsid w:val="00611220"/>
    <w:rsid w:val="006114E3"/>
    <w:rsid w:val="00612702"/>
    <w:rsid w:val="00612757"/>
    <w:rsid w:val="00612AC1"/>
    <w:rsid w:val="00612E10"/>
    <w:rsid w:val="0061331C"/>
    <w:rsid w:val="00613968"/>
    <w:rsid w:val="006139BD"/>
    <w:rsid w:val="0061406C"/>
    <w:rsid w:val="00614288"/>
    <w:rsid w:val="00615B95"/>
    <w:rsid w:val="006160D9"/>
    <w:rsid w:val="006162D7"/>
    <w:rsid w:val="00616BD6"/>
    <w:rsid w:val="00617002"/>
    <w:rsid w:val="00617057"/>
    <w:rsid w:val="00617722"/>
    <w:rsid w:val="00617770"/>
    <w:rsid w:val="00617CFF"/>
    <w:rsid w:val="0062002C"/>
    <w:rsid w:val="00620982"/>
    <w:rsid w:val="00620D2E"/>
    <w:rsid w:val="006214CD"/>
    <w:rsid w:val="00621761"/>
    <w:rsid w:val="00621957"/>
    <w:rsid w:val="00621AE6"/>
    <w:rsid w:val="0062291F"/>
    <w:rsid w:val="0062299A"/>
    <w:rsid w:val="00622DAE"/>
    <w:rsid w:val="00622F3B"/>
    <w:rsid w:val="00623134"/>
    <w:rsid w:val="00623846"/>
    <w:rsid w:val="00623A0A"/>
    <w:rsid w:val="00623EB1"/>
    <w:rsid w:val="00623F42"/>
    <w:rsid w:val="0062417A"/>
    <w:rsid w:val="006241A9"/>
    <w:rsid w:val="00624BC9"/>
    <w:rsid w:val="00624CCE"/>
    <w:rsid w:val="00624D59"/>
    <w:rsid w:val="00624D83"/>
    <w:rsid w:val="00625B1B"/>
    <w:rsid w:val="00626EAD"/>
    <w:rsid w:val="00627479"/>
    <w:rsid w:val="006300B2"/>
    <w:rsid w:val="00630109"/>
    <w:rsid w:val="00630E9A"/>
    <w:rsid w:val="00631106"/>
    <w:rsid w:val="0063110A"/>
    <w:rsid w:val="00631254"/>
    <w:rsid w:val="00631A6B"/>
    <w:rsid w:val="00631E7C"/>
    <w:rsid w:val="00632693"/>
    <w:rsid w:val="006327C8"/>
    <w:rsid w:val="006328AC"/>
    <w:rsid w:val="00632C92"/>
    <w:rsid w:val="00633521"/>
    <w:rsid w:val="00633528"/>
    <w:rsid w:val="006338D8"/>
    <w:rsid w:val="0063399D"/>
    <w:rsid w:val="00633E6E"/>
    <w:rsid w:val="00633F1B"/>
    <w:rsid w:val="00635012"/>
    <w:rsid w:val="00635E56"/>
    <w:rsid w:val="006360A3"/>
    <w:rsid w:val="006362CC"/>
    <w:rsid w:val="0063631E"/>
    <w:rsid w:val="006370B4"/>
    <w:rsid w:val="00637245"/>
    <w:rsid w:val="00637360"/>
    <w:rsid w:val="006374A3"/>
    <w:rsid w:val="0063775E"/>
    <w:rsid w:val="00637774"/>
    <w:rsid w:val="00637A01"/>
    <w:rsid w:val="00637D49"/>
    <w:rsid w:val="00640024"/>
    <w:rsid w:val="0064023B"/>
    <w:rsid w:val="00640864"/>
    <w:rsid w:val="00641241"/>
    <w:rsid w:val="006415F3"/>
    <w:rsid w:val="00641723"/>
    <w:rsid w:val="00641761"/>
    <w:rsid w:val="006419AE"/>
    <w:rsid w:val="00641C7C"/>
    <w:rsid w:val="00641E78"/>
    <w:rsid w:val="00641E7C"/>
    <w:rsid w:val="00642A72"/>
    <w:rsid w:val="006432B3"/>
    <w:rsid w:val="006437B2"/>
    <w:rsid w:val="006443AE"/>
    <w:rsid w:val="00644500"/>
    <w:rsid w:val="00645912"/>
    <w:rsid w:val="00645A9B"/>
    <w:rsid w:val="006461A2"/>
    <w:rsid w:val="006470EF"/>
    <w:rsid w:val="00647536"/>
    <w:rsid w:val="006476BE"/>
    <w:rsid w:val="006479AD"/>
    <w:rsid w:val="006479B8"/>
    <w:rsid w:val="00647C22"/>
    <w:rsid w:val="00647D67"/>
    <w:rsid w:val="00650001"/>
    <w:rsid w:val="00650FEB"/>
    <w:rsid w:val="00651282"/>
    <w:rsid w:val="0065131D"/>
    <w:rsid w:val="006514D0"/>
    <w:rsid w:val="006514F3"/>
    <w:rsid w:val="006515EA"/>
    <w:rsid w:val="00651B58"/>
    <w:rsid w:val="0065258C"/>
    <w:rsid w:val="006525BA"/>
    <w:rsid w:val="006526CF"/>
    <w:rsid w:val="006527E3"/>
    <w:rsid w:val="00652AD6"/>
    <w:rsid w:val="00652E74"/>
    <w:rsid w:val="006539DA"/>
    <w:rsid w:val="00653C0C"/>
    <w:rsid w:val="006540F7"/>
    <w:rsid w:val="006542DF"/>
    <w:rsid w:val="00654515"/>
    <w:rsid w:val="006545E9"/>
    <w:rsid w:val="00654B02"/>
    <w:rsid w:val="00654BB5"/>
    <w:rsid w:val="00654BE2"/>
    <w:rsid w:val="00655970"/>
    <w:rsid w:val="006559DF"/>
    <w:rsid w:val="0065655D"/>
    <w:rsid w:val="00656974"/>
    <w:rsid w:val="00657090"/>
    <w:rsid w:val="006571EE"/>
    <w:rsid w:val="00657883"/>
    <w:rsid w:val="00660767"/>
    <w:rsid w:val="0066082B"/>
    <w:rsid w:val="00660A4D"/>
    <w:rsid w:val="00660E4F"/>
    <w:rsid w:val="006610EE"/>
    <w:rsid w:val="00661415"/>
    <w:rsid w:val="00662845"/>
    <w:rsid w:val="00662962"/>
    <w:rsid w:val="00662CB6"/>
    <w:rsid w:val="00663952"/>
    <w:rsid w:val="00663A12"/>
    <w:rsid w:val="00663EAE"/>
    <w:rsid w:val="00663F74"/>
    <w:rsid w:val="00665149"/>
    <w:rsid w:val="006657B0"/>
    <w:rsid w:val="00665B7C"/>
    <w:rsid w:val="00665BE9"/>
    <w:rsid w:val="00666082"/>
    <w:rsid w:val="0066654F"/>
    <w:rsid w:val="00666BE3"/>
    <w:rsid w:val="00666FEA"/>
    <w:rsid w:val="00667105"/>
    <w:rsid w:val="006702FC"/>
    <w:rsid w:val="0067061B"/>
    <w:rsid w:val="006707AD"/>
    <w:rsid w:val="00670822"/>
    <w:rsid w:val="00670955"/>
    <w:rsid w:val="00670BF4"/>
    <w:rsid w:val="00671B0A"/>
    <w:rsid w:val="00671B33"/>
    <w:rsid w:val="00671D59"/>
    <w:rsid w:val="0067221E"/>
    <w:rsid w:val="00672236"/>
    <w:rsid w:val="00672C31"/>
    <w:rsid w:val="006734D5"/>
    <w:rsid w:val="006736D4"/>
    <w:rsid w:val="00673B72"/>
    <w:rsid w:val="00673FEF"/>
    <w:rsid w:val="006742BF"/>
    <w:rsid w:val="00674693"/>
    <w:rsid w:val="006748CC"/>
    <w:rsid w:val="006748FE"/>
    <w:rsid w:val="00674C97"/>
    <w:rsid w:val="006750A4"/>
    <w:rsid w:val="006753F1"/>
    <w:rsid w:val="00675CB0"/>
    <w:rsid w:val="00675CF4"/>
    <w:rsid w:val="00676503"/>
    <w:rsid w:val="006766FA"/>
    <w:rsid w:val="006768EA"/>
    <w:rsid w:val="00676DD3"/>
    <w:rsid w:val="0067757A"/>
    <w:rsid w:val="00677884"/>
    <w:rsid w:val="00677D8C"/>
    <w:rsid w:val="00680CC5"/>
    <w:rsid w:val="0068127A"/>
    <w:rsid w:val="006814B1"/>
    <w:rsid w:val="0068370D"/>
    <w:rsid w:val="00683950"/>
    <w:rsid w:val="00683F88"/>
    <w:rsid w:val="00684918"/>
    <w:rsid w:val="00684BD9"/>
    <w:rsid w:val="00685BA2"/>
    <w:rsid w:val="006865A8"/>
    <w:rsid w:val="00686A82"/>
    <w:rsid w:val="00686B0B"/>
    <w:rsid w:val="00686F5D"/>
    <w:rsid w:val="00686FFD"/>
    <w:rsid w:val="006870DA"/>
    <w:rsid w:val="00687270"/>
    <w:rsid w:val="00687C4A"/>
    <w:rsid w:val="006904A1"/>
    <w:rsid w:val="006905FD"/>
    <w:rsid w:val="006906F1"/>
    <w:rsid w:val="00690CD3"/>
    <w:rsid w:val="00691BFA"/>
    <w:rsid w:val="00692882"/>
    <w:rsid w:val="0069325A"/>
    <w:rsid w:val="00693BAC"/>
    <w:rsid w:val="00693E0C"/>
    <w:rsid w:val="00693FA6"/>
    <w:rsid w:val="00694061"/>
    <w:rsid w:val="006942E2"/>
    <w:rsid w:val="0069444A"/>
    <w:rsid w:val="006944F3"/>
    <w:rsid w:val="00694634"/>
    <w:rsid w:val="00694731"/>
    <w:rsid w:val="00694C3B"/>
    <w:rsid w:val="006950C8"/>
    <w:rsid w:val="006958C2"/>
    <w:rsid w:val="006958D9"/>
    <w:rsid w:val="006959B9"/>
    <w:rsid w:val="00695CAD"/>
    <w:rsid w:val="00695FF7"/>
    <w:rsid w:val="006961ED"/>
    <w:rsid w:val="00696728"/>
    <w:rsid w:val="00696F38"/>
    <w:rsid w:val="0069786E"/>
    <w:rsid w:val="00697BBD"/>
    <w:rsid w:val="006A0012"/>
    <w:rsid w:val="006A02E4"/>
    <w:rsid w:val="006A0518"/>
    <w:rsid w:val="006A0BB2"/>
    <w:rsid w:val="006A1078"/>
    <w:rsid w:val="006A1D41"/>
    <w:rsid w:val="006A1E05"/>
    <w:rsid w:val="006A25C5"/>
    <w:rsid w:val="006A291B"/>
    <w:rsid w:val="006A2A4B"/>
    <w:rsid w:val="006A2D4D"/>
    <w:rsid w:val="006A2E3E"/>
    <w:rsid w:val="006A2E88"/>
    <w:rsid w:val="006A30C0"/>
    <w:rsid w:val="006A3C9E"/>
    <w:rsid w:val="006A42CE"/>
    <w:rsid w:val="006A4530"/>
    <w:rsid w:val="006A4841"/>
    <w:rsid w:val="006A49B6"/>
    <w:rsid w:val="006A5C25"/>
    <w:rsid w:val="006A62C4"/>
    <w:rsid w:val="006A7CE3"/>
    <w:rsid w:val="006B02EB"/>
    <w:rsid w:val="006B093E"/>
    <w:rsid w:val="006B0D63"/>
    <w:rsid w:val="006B143B"/>
    <w:rsid w:val="006B1C27"/>
    <w:rsid w:val="006B2DCC"/>
    <w:rsid w:val="006B3057"/>
    <w:rsid w:val="006B332B"/>
    <w:rsid w:val="006B359B"/>
    <w:rsid w:val="006B395C"/>
    <w:rsid w:val="006B4267"/>
    <w:rsid w:val="006B42A5"/>
    <w:rsid w:val="006B4DBE"/>
    <w:rsid w:val="006B5051"/>
    <w:rsid w:val="006B5130"/>
    <w:rsid w:val="006B51F4"/>
    <w:rsid w:val="006B553E"/>
    <w:rsid w:val="006B5B68"/>
    <w:rsid w:val="006B6A05"/>
    <w:rsid w:val="006B6F92"/>
    <w:rsid w:val="006B708E"/>
    <w:rsid w:val="006B7684"/>
    <w:rsid w:val="006B797E"/>
    <w:rsid w:val="006B7A8F"/>
    <w:rsid w:val="006B7F7B"/>
    <w:rsid w:val="006C0166"/>
    <w:rsid w:val="006C038F"/>
    <w:rsid w:val="006C0A8E"/>
    <w:rsid w:val="006C0B72"/>
    <w:rsid w:val="006C12AB"/>
    <w:rsid w:val="006C1F51"/>
    <w:rsid w:val="006C2052"/>
    <w:rsid w:val="006C23EA"/>
    <w:rsid w:val="006C280B"/>
    <w:rsid w:val="006C2E9C"/>
    <w:rsid w:val="006C3298"/>
    <w:rsid w:val="006C3B8F"/>
    <w:rsid w:val="006C4347"/>
    <w:rsid w:val="006C4754"/>
    <w:rsid w:val="006C4AAF"/>
    <w:rsid w:val="006C4BF2"/>
    <w:rsid w:val="006C4C10"/>
    <w:rsid w:val="006C4E09"/>
    <w:rsid w:val="006C5878"/>
    <w:rsid w:val="006C60A2"/>
    <w:rsid w:val="006C6A8D"/>
    <w:rsid w:val="006C6C34"/>
    <w:rsid w:val="006C73AC"/>
    <w:rsid w:val="006C74E3"/>
    <w:rsid w:val="006C78C8"/>
    <w:rsid w:val="006C7A98"/>
    <w:rsid w:val="006C7B30"/>
    <w:rsid w:val="006D00D4"/>
    <w:rsid w:val="006D01F0"/>
    <w:rsid w:val="006D0F98"/>
    <w:rsid w:val="006D1FE3"/>
    <w:rsid w:val="006D252A"/>
    <w:rsid w:val="006D2D3C"/>
    <w:rsid w:val="006D2E9C"/>
    <w:rsid w:val="006D2F37"/>
    <w:rsid w:val="006D2F82"/>
    <w:rsid w:val="006D40C7"/>
    <w:rsid w:val="006D4299"/>
    <w:rsid w:val="006D42E5"/>
    <w:rsid w:val="006D433D"/>
    <w:rsid w:val="006D4B65"/>
    <w:rsid w:val="006D4ED3"/>
    <w:rsid w:val="006D53C5"/>
    <w:rsid w:val="006D59C2"/>
    <w:rsid w:val="006D5A02"/>
    <w:rsid w:val="006D5DB6"/>
    <w:rsid w:val="006D5E52"/>
    <w:rsid w:val="006D5E80"/>
    <w:rsid w:val="006D5F81"/>
    <w:rsid w:val="006D6240"/>
    <w:rsid w:val="006D69FD"/>
    <w:rsid w:val="006D6BA6"/>
    <w:rsid w:val="006D6D80"/>
    <w:rsid w:val="006D75B8"/>
    <w:rsid w:val="006D75C5"/>
    <w:rsid w:val="006E00AD"/>
    <w:rsid w:val="006E0673"/>
    <w:rsid w:val="006E1391"/>
    <w:rsid w:val="006E1800"/>
    <w:rsid w:val="006E25FC"/>
    <w:rsid w:val="006E2E1B"/>
    <w:rsid w:val="006E312D"/>
    <w:rsid w:val="006E36DC"/>
    <w:rsid w:val="006E4457"/>
    <w:rsid w:val="006E49AA"/>
    <w:rsid w:val="006E5713"/>
    <w:rsid w:val="006E59EB"/>
    <w:rsid w:val="006E5E99"/>
    <w:rsid w:val="006E5F37"/>
    <w:rsid w:val="006E606B"/>
    <w:rsid w:val="006E606C"/>
    <w:rsid w:val="006E62B7"/>
    <w:rsid w:val="006E6566"/>
    <w:rsid w:val="006E6F3B"/>
    <w:rsid w:val="006E7278"/>
    <w:rsid w:val="006E78B2"/>
    <w:rsid w:val="006E7E2E"/>
    <w:rsid w:val="006F05AA"/>
    <w:rsid w:val="006F06D9"/>
    <w:rsid w:val="006F08A2"/>
    <w:rsid w:val="006F1C90"/>
    <w:rsid w:val="006F201C"/>
    <w:rsid w:val="006F2122"/>
    <w:rsid w:val="006F2247"/>
    <w:rsid w:val="006F2B06"/>
    <w:rsid w:val="006F2B2C"/>
    <w:rsid w:val="006F3C44"/>
    <w:rsid w:val="006F3CE6"/>
    <w:rsid w:val="006F4293"/>
    <w:rsid w:val="006F483C"/>
    <w:rsid w:val="006F4855"/>
    <w:rsid w:val="006F4A06"/>
    <w:rsid w:val="006F5888"/>
    <w:rsid w:val="006F5A08"/>
    <w:rsid w:val="006F6740"/>
    <w:rsid w:val="006F73A0"/>
    <w:rsid w:val="006F745E"/>
    <w:rsid w:val="006F7C0E"/>
    <w:rsid w:val="006F7DFE"/>
    <w:rsid w:val="00700424"/>
    <w:rsid w:val="007008EA"/>
    <w:rsid w:val="00700940"/>
    <w:rsid w:val="00700C60"/>
    <w:rsid w:val="00700F07"/>
    <w:rsid w:val="00701B81"/>
    <w:rsid w:val="00701E15"/>
    <w:rsid w:val="00702477"/>
    <w:rsid w:val="007026D8"/>
    <w:rsid w:val="007035BC"/>
    <w:rsid w:val="007036E0"/>
    <w:rsid w:val="007038BF"/>
    <w:rsid w:val="00704612"/>
    <w:rsid w:val="00704668"/>
    <w:rsid w:val="00704681"/>
    <w:rsid w:val="00705235"/>
    <w:rsid w:val="00705274"/>
    <w:rsid w:val="0070551C"/>
    <w:rsid w:val="0070555B"/>
    <w:rsid w:val="00705682"/>
    <w:rsid w:val="00705E32"/>
    <w:rsid w:val="00705F2D"/>
    <w:rsid w:val="007060A0"/>
    <w:rsid w:val="007063FA"/>
    <w:rsid w:val="00706644"/>
    <w:rsid w:val="00706BA6"/>
    <w:rsid w:val="00706E89"/>
    <w:rsid w:val="00707584"/>
    <w:rsid w:val="007075E8"/>
    <w:rsid w:val="00707F82"/>
    <w:rsid w:val="00710263"/>
    <w:rsid w:val="007105ED"/>
    <w:rsid w:val="007109D7"/>
    <w:rsid w:val="00710ABB"/>
    <w:rsid w:val="00710D6E"/>
    <w:rsid w:val="00710E73"/>
    <w:rsid w:val="007110B6"/>
    <w:rsid w:val="0071157C"/>
    <w:rsid w:val="00711603"/>
    <w:rsid w:val="00711900"/>
    <w:rsid w:val="00711ED7"/>
    <w:rsid w:val="007122D2"/>
    <w:rsid w:val="00712319"/>
    <w:rsid w:val="007144B5"/>
    <w:rsid w:val="00714BBD"/>
    <w:rsid w:val="0071587F"/>
    <w:rsid w:val="00715A4D"/>
    <w:rsid w:val="00715D19"/>
    <w:rsid w:val="00716087"/>
    <w:rsid w:val="00716210"/>
    <w:rsid w:val="007168D3"/>
    <w:rsid w:val="00716A57"/>
    <w:rsid w:val="00716C05"/>
    <w:rsid w:val="00716E72"/>
    <w:rsid w:val="00716FFC"/>
    <w:rsid w:val="007178A5"/>
    <w:rsid w:val="00717A4B"/>
    <w:rsid w:val="00717FE2"/>
    <w:rsid w:val="007207A7"/>
    <w:rsid w:val="00721076"/>
    <w:rsid w:val="00721257"/>
    <w:rsid w:val="007220B3"/>
    <w:rsid w:val="007221F2"/>
    <w:rsid w:val="007223D8"/>
    <w:rsid w:val="007228DA"/>
    <w:rsid w:val="00722A02"/>
    <w:rsid w:val="00722B76"/>
    <w:rsid w:val="00722F7C"/>
    <w:rsid w:val="0072330B"/>
    <w:rsid w:val="007238A1"/>
    <w:rsid w:val="0072452B"/>
    <w:rsid w:val="00724E78"/>
    <w:rsid w:val="00725126"/>
    <w:rsid w:val="0072562C"/>
    <w:rsid w:val="007256B3"/>
    <w:rsid w:val="00725729"/>
    <w:rsid w:val="0072582A"/>
    <w:rsid w:val="00725EDF"/>
    <w:rsid w:val="007261FE"/>
    <w:rsid w:val="007268FC"/>
    <w:rsid w:val="0072770A"/>
    <w:rsid w:val="00727DB0"/>
    <w:rsid w:val="0073037B"/>
    <w:rsid w:val="007307BF"/>
    <w:rsid w:val="00730A13"/>
    <w:rsid w:val="00730DBC"/>
    <w:rsid w:val="007317AA"/>
    <w:rsid w:val="00731E36"/>
    <w:rsid w:val="007328ED"/>
    <w:rsid w:val="00732F29"/>
    <w:rsid w:val="007331D3"/>
    <w:rsid w:val="007335C5"/>
    <w:rsid w:val="00734410"/>
    <w:rsid w:val="0073478F"/>
    <w:rsid w:val="00734D1E"/>
    <w:rsid w:val="007351EB"/>
    <w:rsid w:val="0073537E"/>
    <w:rsid w:val="00735725"/>
    <w:rsid w:val="00735D66"/>
    <w:rsid w:val="00736340"/>
    <w:rsid w:val="007364D5"/>
    <w:rsid w:val="00736F5B"/>
    <w:rsid w:val="00737E83"/>
    <w:rsid w:val="0074058D"/>
    <w:rsid w:val="007405EE"/>
    <w:rsid w:val="0074070F"/>
    <w:rsid w:val="00741143"/>
    <w:rsid w:val="00741A08"/>
    <w:rsid w:val="00741B0B"/>
    <w:rsid w:val="00741DBD"/>
    <w:rsid w:val="007421E9"/>
    <w:rsid w:val="00742559"/>
    <w:rsid w:val="00742F36"/>
    <w:rsid w:val="00743849"/>
    <w:rsid w:val="00743A02"/>
    <w:rsid w:val="00743AA7"/>
    <w:rsid w:val="00743F76"/>
    <w:rsid w:val="00744A25"/>
    <w:rsid w:val="00744AF3"/>
    <w:rsid w:val="00745276"/>
    <w:rsid w:val="00745410"/>
    <w:rsid w:val="007454FA"/>
    <w:rsid w:val="00745526"/>
    <w:rsid w:val="00745A2D"/>
    <w:rsid w:val="00746132"/>
    <w:rsid w:val="007462AC"/>
    <w:rsid w:val="007466A6"/>
    <w:rsid w:val="00746DA9"/>
    <w:rsid w:val="0074724F"/>
    <w:rsid w:val="0074775B"/>
    <w:rsid w:val="00747AB3"/>
    <w:rsid w:val="00747CF2"/>
    <w:rsid w:val="00747ED4"/>
    <w:rsid w:val="00747FB0"/>
    <w:rsid w:val="00750542"/>
    <w:rsid w:val="00750D73"/>
    <w:rsid w:val="007510A1"/>
    <w:rsid w:val="00752193"/>
    <w:rsid w:val="0075278E"/>
    <w:rsid w:val="007528B7"/>
    <w:rsid w:val="0075325D"/>
    <w:rsid w:val="007534B6"/>
    <w:rsid w:val="007534B8"/>
    <w:rsid w:val="00753DAC"/>
    <w:rsid w:val="00753E09"/>
    <w:rsid w:val="0075412A"/>
    <w:rsid w:val="0075453A"/>
    <w:rsid w:val="0075512C"/>
    <w:rsid w:val="00755559"/>
    <w:rsid w:val="0075560C"/>
    <w:rsid w:val="00756879"/>
    <w:rsid w:val="00756B1B"/>
    <w:rsid w:val="0075714D"/>
    <w:rsid w:val="00757986"/>
    <w:rsid w:val="00757993"/>
    <w:rsid w:val="00760125"/>
    <w:rsid w:val="0076020B"/>
    <w:rsid w:val="00760272"/>
    <w:rsid w:val="00760480"/>
    <w:rsid w:val="0076050E"/>
    <w:rsid w:val="007611FF"/>
    <w:rsid w:val="007615C8"/>
    <w:rsid w:val="0076245A"/>
    <w:rsid w:val="0076246B"/>
    <w:rsid w:val="007624BB"/>
    <w:rsid w:val="00763087"/>
    <w:rsid w:val="007635D4"/>
    <w:rsid w:val="00763AFF"/>
    <w:rsid w:val="00763CDD"/>
    <w:rsid w:val="00763E06"/>
    <w:rsid w:val="00764781"/>
    <w:rsid w:val="0076518A"/>
    <w:rsid w:val="00765488"/>
    <w:rsid w:val="0076548E"/>
    <w:rsid w:val="00765C63"/>
    <w:rsid w:val="00765D84"/>
    <w:rsid w:val="0076693A"/>
    <w:rsid w:val="007674E6"/>
    <w:rsid w:val="00767FE9"/>
    <w:rsid w:val="00770C67"/>
    <w:rsid w:val="007710FF"/>
    <w:rsid w:val="00771352"/>
    <w:rsid w:val="007713AD"/>
    <w:rsid w:val="0077199E"/>
    <w:rsid w:val="007725BC"/>
    <w:rsid w:val="0077266D"/>
    <w:rsid w:val="00772A7F"/>
    <w:rsid w:val="00772D34"/>
    <w:rsid w:val="00772F37"/>
    <w:rsid w:val="00773001"/>
    <w:rsid w:val="00773408"/>
    <w:rsid w:val="00773A52"/>
    <w:rsid w:val="00773AD7"/>
    <w:rsid w:val="00774029"/>
    <w:rsid w:val="00774101"/>
    <w:rsid w:val="00774270"/>
    <w:rsid w:val="00775066"/>
    <w:rsid w:val="00775086"/>
    <w:rsid w:val="0077590C"/>
    <w:rsid w:val="007759C8"/>
    <w:rsid w:val="00775BD9"/>
    <w:rsid w:val="00775C2D"/>
    <w:rsid w:val="00775DFB"/>
    <w:rsid w:val="007761CA"/>
    <w:rsid w:val="007769E5"/>
    <w:rsid w:val="00776E6B"/>
    <w:rsid w:val="00776E71"/>
    <w:rsid w:val="00777011"/>
    <w:rsid w:val="0077734A"/>
    <w:rsid w:val="00777868"/>
    <w:rsid w:val="00777916"/>
    <w:rsid w:val="007803B5"/>
    <w:rsid w:val="00780489"/>
    <w:rsid w:val="00780D3B"/>
    <w:rsid w:val="00781035"/>
    <w:rsid w:val="00781C7E"/>
    <w:rsid w:val="00782284"/>
    <w:rsid w:val="00782919"/>
    <w:rsid w:val="00782BD0"/>
    <w:rsid w:val="00783057"/>
    <w:rsid w:val="00783093"/>
    <w:rsid w:val="00783C49"/>
    <w:rsid w:val="0078477E"/>
    <w:rsid w:val="00784E76"/>
    <w:rsid w:val="0078547B"/>
    <w:rsid w:val="0078582C"/>
    <w:rsid w:val="00785A51"/>
    <w:rsid w:val="0078613F"/>
    <w:rsid w:val="007863C7"/>
    <w:rsid w:val="0078643F"/>
    <w:rsid w:val="00786619"/>
    <w:rsid w:val="00787770"/>
    <w:rsid w:val="00787912"/>
    <w:rsid w:val="00787E27"/>
    <w:rsid w:val="00790407"/>
    <w:rsid w:val="00790828"/>
    <w:rsid w:val="0079094B"/>
    <w:rsid w:val="007918A4"/>
    <w:rsid w:val="00791B2A"/>
    <w:rsid w:val="00791F22"/>
    <w:rsid w:val="00792079"/>
    <w:rsid w:val="007921A4"/>
    <w:rsid w:val="00792319"/>
    <w:rsid w:val="0079248E"/>
    <w:rsid w:val="007924D0"/>
    <w:rsid w:val="00792841"/>
    <w:rsid w:val="007929D4"/>
    <w:rsid w:val="00792C35"/>
    <w:rsid w:val="0079346A"/>
    <w:rsid w:val="0079350E"/>
    <w:rsid w:val="007935DE"/>
    <w:rsid w:val="00793903"/>
    <w:rsid w:val="00793D3F"/>
    <w:rsid w:val="0079491A"/>
    <w:rsid w:val="0079538C"/>
    <w:rsid w:val="0079566B"/>
    <w:rsid w:val="007956E9"/>
    <w:rsid w:val="00795952"/>
    <w:rsid w:val="00795FC9"/>
    <w:rsid w:val="00797913"/>
    <w:rsid w:val="00797B99"/>
    <w:rsid w:val="00797C07"/>
    <w:rsid w:val="007A00E7"/>
    <w:rsid w:val="007A0556"/>
    <w:rsid w:val="007A0800"/>
    <w:rsid w:val="007A0FCA"/>
    <w:rsid w:val="007A199F"/>
    <w:rsid w:val="007A19C8"/>
    <w:rsid w:val="007A1BCF"/>
    <w:rsid w:val="007A1C5A"/>
    <w:rsid w:val="007A1DC7"/>
    <w:rsid w:val="007A1F0E"/>
    <w:rsid w:val="007A251E"/>
    <w:rsid w:val="007A288C"/>
    <w:rsid w:val="007A2C99"/>
    <w:rsid w:val="007A399E"/>
    <w:rsid w:val="007A3B56"/>
    <w:rsid w:val="007A4845"/>
    <w:rsid w:val="007A4994"/>
    <w:rsid w:val="007A4C44"/>
    <w:rsid w:val="007A4EEC"/>
    <w:rsid w:val="007A53E1"/>
    <w:rsid w:val="007A5B96"/>
    <w:rsid w:val="007A5DE1"/>
    <w:rsid w:val="007A688C"/>
    <w:rsid w:val="007A6971"/>
    <w:rsid w:val="007A74D0"/>
    <w:rsid w:val="007A7893"/>
    <w:rsid w:val="007A7F73"/>
    <w:rsid w:val="007A7F9F"/>
    <w:rsid w:val="007B0110"/>
    <w:rsid w:val="007B0227"/>
    <w:rsid w:val="007B0413"/>
    <w:rsid w:val="007B0794"/>
    <w:rsid w:val="007B0BC7"/>
    <w:rsid w:val="007B16F5"/>
    <w:rsid w:val="007B1769"/>
    <w:rsid w:val="007B1BE2"/>
    <w:rsid w:val="007B2453"/>
    <w:rsid w:val="007B262F"/>
    <w:rsid w:val="007B2656"/>
    <w:rsid w:val="007B2722"/>
    <w:rsid w:val="007B28B8"/>
    <w:rsid w:val="007B2997"/>
    <w:rsid w:val="007B3511"/>
    <w:rsid w:val="007B3660"/>
    <w:rsid w:val="007B3662"/>
    <w:rsid w:val="007B4A54"/>
    <w:rsid w:val="007B59CF"/>
    <w:rsid w:val="007B6798"/>
    <w:rsid w:val="007B6B80"/>
    <w:rsid w:val="007B6CF6"/>
    <w:rsid w:val="007B6D3E"/>
    <w:rsid w:val="007B73B5"/>
    <w:rsid w:val="007B743B"/>
    <w:rsid w:val="007C00EE"/>
    <w:rsid w:val="007C07B8"/>
    <w:rsid w:val="007C183F"/>
    <w:rsid w:val="007C1C69"/>
    <w:rsid w:val="007C1E41"/>
    <w:rsid w:val="007C2313"/>
    <w:rsid w:val="007C27D5"/>
    <w:rsid w:val="007C37E6"/>
    <w:rsid w:val="007C3CCA"/>
    <w:rsid w:val="007C45BA"/>
    <w:rsid w:val="007C46A1"/>
    <w:rsid w:val="007C4853"/>
    <w:rsid w:val="007C4DB8"/>
    <w:rsid w:val="007C53E2"/>
    <w:rsid w:val="007C560E"/>
    <w:rsid w:val="007C5B0C"/>
    <w:rsid w:val="007C683A"/>
    <w:rsid w:val="007C7002"/>
    <w:rsid w:val="007C7D68"/>
    <w:rsid w:val="007C7E0C"/>
    <w:rsid w:val="007D0906"/>
    <w:rsid w:val="007D0EDE"/>
    <w:rsid w:val="007D1BF0"/>
    <w:rsid w:val="007D2EE9"/>
    <w:rsid w:val="007D31CB"/>
    <w:rsid w:val="007D3B4A"/>
    <w:rsid w:val="007D3C9C"/>
    <w:rsid w:val="007D3CFC"/>
    <w:rsid w:val="007D491E"/>
    <w:rsid w:val="007D4EE0"/>
    <w:rsid w:val="007D54F6"/>
    <w:rsid w:val="007D56A2"/>
    <w:rsid w:val="007D58E3"/>
    <w:rsid w:val="007D5B11"/>
    <w:rsid w:val="007D5EFF"/>
    <w:rsid w:val="007D6058"/>
    <w:rsid w:val="007D6136"/>
    <w:rsid w:val="007D63A8"/>
    <w:rsid w:val="007D65D3"/>
    <w:rsid w:val="007D6CCA"/>
    <w:rsid w:val="007D6E58"/>
    <w:rsid w:val="007D6E6D"/>
    <w:rsid w:val="007D71E1"/>
    <w:rsid w:val="007D75F9"/>
    <w:rsid w:val="007D794D"/>
    <w:rsid w:val="007D79E9"/>
    <w:rsid w:val="007D7A9A"/>
    <w:rsid w:val="007D7E2B"/>
    <w:rsid w:val="007D7FF0"/>
    <w:rsid w:val="007E03A3"/>
    <w:rsid w:val="007E0EAA"/>
    <w:rsid w:val="007E12C1"/>
    <w:rsid w:val="007E20C1"/>
    <w:rsid w:val="007E2E8B"/>
    <w:rsid w:val="007E34B8"/>
    <w:rsid w:val="007E3618"/>
    <w:rsid w:val="007E3A49"/>
    <w:rsid w:val="007E3ED5"/>
    <w:rsid w:val="007E51B1"/>
    <w:rsid w:val="007E527D"/>
    <w:rsid w:val="007E5B45"/>
    <w:rsid w:val="007E60D6"/>
    <w:rsid w:val="007E69E9"/>
    <w:rsid w:val="007F0585"/>
    <w:rsid w:val="007F0D05"/>
    <w:rsid w:val="007F0D9D"/>
    <w:rsid w:val="007F1769"/>
    <w:rsid w:val="007F18E7"/>
    <w:rsid w:val="007F1A1D"/>
    <w:rsid w:val="007F1D08"/>
    <w:rsid w:val="007F1DAD"/>
    <w:rsid w:val="007F2DD1"/>
    <w:rsid w:val="007F2F31"/>
    <w:rsid w:val="007F2FB5"/>
    <w:rsid w:val="007F35E5"/>
    <w:rsid w:val="007F3AA2"/>
    <w:rsid w:val="007F40AA"/>
    <w:rsid w:val="007F4121"/>
    <w:rsid w:val="007F4752"/>
    <w:rsid w:val="007F4B41"/>
    <w:rsid w:val="007F5805"/>
    <w:rsid w:val="007F58F9"/>
    <w:rsid w:val="007F5BF1"/>
    <w:rsid w:val="007F63D6"/>
    <w:rsid w:val="007F645C"/>
    <w:rsid w:val="007F6483"/>
    <w:rsid w:val="007F6942"/>
    <w:rsid w:val="007F6C93"/>
    <w:rsid w:val="007F7810"/>
    <w:rsid w:val="007F7C29"/>
    <w:rsid w:val="007F7DE0"/>
    <w:rsid w:val="007F7E7F"/>
    <w:rsid w:val="00801529"/>
    <w:rsid w:val="0080172D"/>
    <w:rsid w:val="0080197D"/>
    <w:rsid w:val="00801EA3"/>
    <w:rsid w:val="008024A5"/>
    <w:rsid w:val="008029F2"/>
    <w:rsid w:val="00802D2B"/>
    <w:rsid w:val="00803A51"/>
    <w:rsid w:val="00803BB8"/>
    <w:rsid w:val="00804DBB"/>
    <w:rsid w:val="008054BF"/>
    <w:rsid w:val="00805B47"/>
    <w:rsid w:val="00805D12"/>
    <w:rsid w:val="00805E55"/>
    <w:rsid w:val="00805FBF"/>
    <w:rsid w:val="00806044"/>
    <w:rsid w:val="008064D5"/>
    <w:rsid w:val="00806751"/>
    <w:rsid w:val="00806A08"/>
    <w:rsid w:val="00806BC4"/>
    <w:rsid w:val="00806F6B"/>
    <w:rsid w:val="008071FC"/>
    <w:rsid w:val="00807252"/>
    <w:rsid w:val="0080727D"/>
    <w:rsid w:val="00807558"/>
    <w:rsid w:val="00807600"/>
    <w:rsid w:val="00810185"/>
    <w:rsid w:val="008104E5"/>
    <w:rsid w:val="00811629"/>
    <w:rsid w:val="0081183F"/>
    <w:rsid w:val="00811A26"/>
    <w:rsid w:val="00812304"/>
    <w:rsid w:val="00812411"/>
    <w:rsid w:val="00812424"/>
    <w:rsid w:val="008125AA"/>
    <w:rsid w:val="0081276F"/>
    <w:rsid w:val="0081296D"/>
    <w:rsid w:val="00812A5E"/>
    <w:rsid w:val="008136FB"/>
    <w:rsid w:val="008138C1"/>
    <w:rsid w:val="00813938"/>
    <w:rsid w:val="00814471"/>
    <w:rsid w:val="008144CB"/>
    <w:rsid w:val="00814689"/>
    <w:rsid w:val="008146A1"/>
    <w:rsid w:val="008146BA"/>
    <w:rsid w:val="008147B5"/>
    <w:rsid w:val="0081539D"/>
    <w:rsid w:val="00816298"/>
    <w:rsid w:val="0081778C"/>
    <w:rsid w:val="0082032A"/>
    <w:rsid w:val="00820AFE"/>
    <w:rsid w:val="00820E41"/>
    <w:rsid w:val="00821434"/>
    <w:rsid w:val="0082172F"/>
    <w:rsid w:val="0082187B"/>
    <w:rsid w:val="00822084"/>
    <w:rsid w:val="00822A35"/>
    <w:rsid w:val="00823293"/>
    <w:rsid w:val="008232CC"/>
    <w:rsid w:val="00823AB1"/>
    <w:rsid w:val="00823BAA"/>
    <w:rsid w:val="00823F34"/>
    <w:rsid w:val="00823F9D"/>
    <w:rsid w:val="0082432D"/>
    <w:rsid w:val="0082464C"/>
    <w:rsid w:val="00824E0C"/>
    <w:rsid w:val="00825A6B"/>
    <w:rsid w:val="00825B90"/>
    <w:rsid w:val="00825E70"/>
    <w:rsid w:val="00825F32"/>
    <w:rsid w:val="00826080"/>
    <w:rsid w:val="00826917"/>
    <w:rsid w:val="00826ECB"/>
    <w:rsid w:val="0082733F"/>
    <w:rsid w:val="00827492"/>
    <w:rsid w:val="00830355"/>
    <w:rsid w:val="00830A49"/>
    <w:rsid w:val="00830CE2"/>
    <w:rsid w:val="00831AB5"/>
    <w:rsid w:val="0083224C"/>
    <w:rsid w:val="00832714"/>
    <w:rsid w:val="00832CE7"/>
    <w:rsid w:val="00832D15"/>
    <w:rsid w:val="00832DEC"/>
    <w:rsid w:val="0083367E"/>
    <w:rsid w:val="00833A65"/>
    <w:rsid w:val="00833C88"/>
    <w:rsid w:val="00834463"/>
    <w:rsid w:val="00834B0B"/>
    <w:rsid w:val="00834F6E"/>
    <w:rsid w:val="0083534C"/>
    <w:rsid w:val="0083560A"/>
    <w:rsid w:val="008359B8"/>
    <w:rsid w:val="00835A5C"/>
    <w:rsid w:val="00835D9A"/>
    <w:rsid w:val="00836381"/>
    <w:rsid w:val="008363E8"/>
    <w:rsid w:val="008365F7"/>
    <w:rsid w:val="00836C57"/>
    <w:rsid w:val="008378B2"/>
    <w:rsid w:val="00837D6C"/>
    <w:rsid w:val="008400F1"/>
    <w:rsid w:val="0084029C"/>
    <w:rsid w:val="008402BF"/>
    <w:rsid w:val="0084077B"/>
    <w:rsid w:val="00840CF8"/>
    <w:rsid w:val="00841379"/>
    <w:rsid w:val="0084188A"/>
    <w:rsid w:val="00841AEE"/>
    <w:rsid w:val="00841DCC"/>
    <w:rsid w:val="0084203B"/>
    <w:rsid w:val="00842112"/>
    <w:rsid w:val="008424BD"/>
    <w:rsid w:val="008424FB"/>
    <w:rsid w:val="008433F7"/>
    <w:rsid w:val="008439B7"/>
    <w:rsid w:val="008441E6"/>
    <w:rsid w:val="008441EF"/>
    <w:rsid w:val="00844549"/>
    <w:rsid w:val="0084463A"/>
    <w:rsid w:val="00845543"/>
    <w:rsid w:val="00846426"/>
    <w:rsid w:val="00846C33"/>
    <w:rsid w:val="00847776"/>
    <w:rsid w:val="00847FA0"/>
    <w:rsid w:val="00847FD8"/>
    <w:rsid w:val="008501B7"/>
    <w:rsid w:val="0085041F"/>
    <w:rsid w:val="00851072"/>
    <w:rsid w:val="00851C13"/>
    <w:rsid w:val="00852B5B"/>
    <w:rsid w:val="00852B89"/>
    <w:rsid w:val="00852E89"/>
    <w:rsid w:val="00853061"/>
    <w:rsid w:val="00853622"/>
    <w:rsid w:val="00853984"/>
    <w:rsid w:val="00853A76"/>
    <w:rsid w:val="0085457F"/>
    <w:rsid w:val="00854BC9"/>
    <w:rsid w:val="00854ECE"/>
    <w:rsid w:val="00854ED8"/>
    <w:rsid w:val="00855185"/>
    <w:rsid w:val="00855839"/>
    <w:rsid w:val="00855D34"/>
    <w:rsid w:val="00855DDA"/>
    <w:rsid w:val="0085689E"/>
    <w:rsid w:val="00856A6F"/>
    <w:rsid w:val="008571E9"/>
    <w:rsid w:val="0085736E"/>
    <w:rsid w:val="00857988"/>
    <w:rsid w:val="00857C15"/>
    <w:rsid w:val="008601FF"/>
    <w:rsid w:val="0086021D"/>
    <w:rsid w:val="00860368"/>
    <w:rsid w:val="00860611"/>
    <w:rsid w:val="0086071A"/>
    <w:rsid w:val="0086072B"/>
    <w:rsid w:val="00860F0D"/>
    <w:rsid w:val="00861392"/>
    <w:rsid w:val="008614C0"/>
    <w:rsid w:val="008615A4"/>
    <w:rsid w:val="0086162F"/>
    <w:rsid w:val="00861D7C"/>
    <w:rsid w:val="00862DE0"/>
    <w:rsid w:val="00863564"/>
    <w:rsid w:val="008635EE"/>
    <w:rsid w:val="00863A22"/>
    <w:rsid w:val="00864220"/>
    <w:rsid w:val="00864C0D"/>
    <w:rsid w:val="00865A84"/>
    <w:rsid w:val="008660A4"/>
    <w:rsid w:val="0086615E"/>
    <w:rsid w:val="00866479"/>
    <w:rsid w:val="00866484"/>
    <w:rsid w:val="00866917"/>
    <w:rsid w:val="00866A53"/>
    <w:rsid w:val="00866B38"/>
    <w:rsid w:val="00866CF1"/>
    <w:rsid w:val="008672B6"/>
    <w:rsid w:val="00867481"/>
    <w:rsid w:val="00867654"/>
    <w:rsid w:val="00867840"/>
    <w:rsid w:val="008705C4"/>
    <w:rsid w:val="00870A6E"/>
    <w:rsid w:val="0087117E"/>
    <w:rsid w:val="008716C9"/>
    <w:rsid w:val="00871CF2"/>
    <w:rsid w:val="00871D57"/>
    <w:rsid w:val="008721C9"/>
    <w:rsid w:val="00872FAF"/>
    <w:rsid w:val="00873112"/>
    <w:rsid w:val="00873370"/>
    <w:rsid w:val="00873A8C"/>
    <w:rsid w:val="008743B8"/>
    <w:rsid w:val="00874554"/>
    <w:rsid w:val="0087482A"/>
    <w:rsid w:val="00874A57"/>
    <w:rsid w:val="00874CD6"/>
    <w:rsid w:val="00874D75"/>
    <w:rsid w:val="0087534A"/>
    <w:rsid w:val="00875E3D"/>
    <w:rsid w:val="008763A1"/>
    <w:rsid w:val="0087650B"/>
    <w:rsid w:val="008766EF"/>
    <w:rsid w:val="00876B89"/>
    <w:rsid w:val="00876DD1"/>
    <w:rsid w:val="00877205"/>
    <w:rsid w:val="00877888"/>
    <w:rsid w:val="00877CA9"/>
    <w:rsid w:val="00880143"/>
    <w:rsid w:val="00880400"/>
    <w:rsid w:val="008806F7"/>
    <w:rsid w:val="00880AD8"/>
    <w:rsid w:val="00880C5A"/>
    <w:rsid w:val="0088133C"/>
    <w:rsid w:val="00881640"/>
    <w:rsid w:val="00881656"/>
    <w:rsid w:val="008819C4"/>
    <w:rsid w:val="008821A6"/>
    <w:rsid w:val="00882234"/>
    <w:rsid w:val="00882FD9"/>
    <w:rsid w:val="008842D7"/>
    <w:rsid w:val="008842E2"/>
    <w:rsid w:val="00884308"/>
    <w:rsid w:val="008851ED"/>
    <w:rsid w:val="00886689"/>
    <w:rsid w:val="00887269"/>
    <w:rsid w:val="008878C0"/>
    <w:rsid w:val="008902EF"/>
    <w:rsid w:val="00890EB5"/>
    <w:rsid w:val="00891C0C"/>
    <w:rsid w:val="008925AD"/>
    <w:rsid w:val="0089277D"/>
    <w:rsid w:val="0089362E"/>
    <w:rsid w:val="008936AF"/>
    <w:rsid w:val="00893E19"/>
    <w:rsid w:val="00894398"/>
    <w:rsid w:val="00894977"/>
    <w:rsid w:val="00894FA2"/>
    <w:rsid w:val="0089631A"/>
    <w:rsid w:val="00896580"/>
    <w:rsid w:val="00896943"/>
    <w:rsid w:val="00897485"/>
    <w:rsid w:val="008A0144"/>
    <w:rsid w:val="008A032C"/>
    <w:rsid w:val="008A064C"/>
    <w:rsid w:val="008A064E"/>
    <w:rsid w:val="008A0DA3"/>
    <w:rsid w:val="008A0E86"/>
    <w:rsid w:val="008A10EF"/>
    <w:rsid w:val="008A11EE"/>
    <w:rsid w:val="008A1721"/>
    <w:rsid w:val="008A1C1A"/>
    <w:rsid w:val="008A1F97"/>
    <w:rsid w:val="008A205E"/>
    <w:rsid w:val="008A21B2"/>
    <w:rsid w:val="008A267D"/>
    <w:rsid w:val="008A2860"/>
    <w:rsid w:val="008A2DC7"/>
    <w:rsid w:val="008A2E0E"/>
    <w:rsid w:val="008A2FEE"/>
    <w:rsid w:val="008A3774"/>
    <w:rsid w:val="008A3CC9"/>
    <w:rsid w:val="008A3E19"/>
    <w:rsid w:val="008A3F78"/>
    <w:rsid w:val="008A4277"/>
    <w:rsid w:val="008A4333"/>
    <w:rsid w:val="008A457D"/>
    <w:rsid w:val="008A4FD2"/>
    <w:rsid w:val="008A5373"/>
    <w:rsid w:val="008A53ED"/>
    <w:rsid w:val="008A5C6A"/>
    <w:rsid w:val="008A6669"/>
    <w:rsid w:val="008A6DDD"/>
    <w:rsid w:val="008A78EC"/>
    <w:rsid w:val="008A7EDE"/>
    <w:rsid w:val="008A7F5A"/>
    <w:rsid w:val="008B0181"/>
    <w:rsid w:val="008B073F"/>
    <w:rsid w:val="008B089A"/>
    <w:rsid w:val="008B0AA7"/>
    <w:rsid w:val="008B0BD3"/>
    <w:rsid w:val="008B0FFD"/>
    <w:rsid w:val="008B17AD"/>
    <w:rsid w:val="008B18D7"/>
    <w:rsid w:val="008B1F7E"/>
    <w:rsid w:val="008B3214"/>
    <w:rsid w:val="008B3437"/>
    <w:rsid w:val="008B34F6"/>
    <w:rsid w:val="008B36B7"/>
    <w:rsid w:val="008B390C"/>
    <w:rsid w:val="008B3DDF"/>
    <w:rsid w:val="008B3F90"/>
    <w:rsid w:val="008B4032"/>
    <w:rsid w:val="008B41E4"/>
    <w:rsid w:val="008B441C"/>
    <w:rsid w:val="008B4C85"/>
    <w:rsid w:val="008B4E5A"/>
    <w:rsid w:val="008B5F9E"/>
    <w:rsid w:val="008B6371"/>
    <w:rsid w:val="008B64C7"/>
    <w:rsid w:val="008B665F"/>
    <w:rsid w:val="008B69E6"/>
    <w:rsid w:val="008B71B7"/>
    <w:rsid w:val="008B76B8"/>
    <w:rsid w:val="008C0EFF"/>
    <w:rsid w:val="008C166B"/>
    <w:rsid w:val="008C1740"/>
    <w:rsid w:val="008C2030"/>
    <w:rsid w:val="008C2391"/>
    <w:rsid w:val="008C25FD"/>
    <w:rsid w:val="008C2A78"/>
    <w:rsid w:val="008C2A9E"/>
    <w:rsid w:val="008C2B53"/>
    <w:rsid w:val="008C3750"/>
    <w:rsid w:val="008C3B97"/>
    <w:rsid w:val="008C3D8B"/>
    <w:rsid w:val="008C411C"/>
    <w:rsid w:val="008C4127"/>
    <w:rsid w:val="008C41EF"/>
    <w:rsid w:val="008C42B9"/>
    <w:rsid w:val="008C49F6"/>
    <w:rsid w:val="008C4B80"/>
    <w:rsid w:val="008C528C"/>
    <w:rsid w:val="008C61E3"/>
    <w:rsid w:val="008C670A"/>
    <w:rsid w:val="008C6AD7"/>
    <w:rsid w:val="008C6D4B"/>
    <w:rsid w:val="008C6FE5"/>
    <w:rsid w:val="008C757B"/>
    <w:rsid w:val="008C7992"/>
    <w:rsid w:val="008C7E31"/>
    <w:rsid w:val="008D0B85"/>
    <w:rsid w:val="008D0C14"/>
    <w:rsid w:val="008D0C98"/>
    <w:rsid w:val="008D0CA9"/>
    <w:rsid w:val="008D16A9"/>
    <w:rsid w:val="008D1C0C"/>
    <w:rsid w:val="008D23D1"/>
    <w:rsid w:val="008D302A"/>
    <w:rsid w:val="008D3B5E"/>
    <w:rsid w:val="008D3DB5"/>
    <w:rsid w:val="008D3E07"/>
    <w:rsid w:val="008D3F98"/>
    <w:rsid w:val="008D3FB6"/>
    <w:rsid w:val="008D4881"/>
    <w:rsid w:val="008D4C11"/>
    <w:rsid w:val="008D4D94"/>
    <w:rsid w:val="008D50EA"/>
    <w:rsid w:val="008D538D"/>
    <w:rsid w:val="008D5541"/>
    <w:rsid w:val="008D67E0"/>
    <w:rsid w:val="008D6E07"/>
    <w:rsid w:val="008D742A"/>
    <w:rsid w:val="008D78C5"/>
    <w:rsid w:val="008D7D4C"/>
    <w:rsid w:val="008D7DFB"/>
    <w:rsid w:val="008D7E9A"/>
    <w:rsid w:val="008E0825"/>
    <w:rsid w:val="008E0A32"/>
    <w:rsid w:val="008E0BE4"/>
    <w:rsid w:val="008E0FC2"/>
    <w:rsid w:val="008E10DA"/>
    <w:rsid w:val="008E2F2B"/>
    <w:rsid w:val="008E2FE3"/>
    <w:rsid w:val="008E36F1"/>
    <w:rsid w:val="008E3F96"/>
    <w:rsid w:val="008E43CD"/>
    <w:rsid w:val="008E4D59"/>
    <w:rsid w:val="008E5431"/>
    <w:rsid w:val="008E5A0A"/>
    <w:rsid w:val="008E5ABD"/>
    <w:rsid w:val="008E6097"/>
    <w:rsid w:val="008E651B"/>
    <w:rsid w:val="008E656B"/>
    <w:rsid w:val="008E6665"/>
    <w:rsid w:val="008E6901"/>
    <w:rsid w:val="008E6D19"/>
    <w:rsid w:val="008E6FA6"/>
    <w:rsid w:val="008E6FE9"/>
    <w:rsid w:val="008E74C8"/>
    <w:rsid w:val="008E7E2D"/>
    <w:rsid w:val="008F06E6"/>
    <w:rsid w:val="008F111F"/>
    <w:rsid w:val="008F1149"/>
    <w:rsid w:val="008F176E"/>
    <w:rsid w:val="008F1BEA"/>
    <w:rsid w:val="008F276D"/>
    <w:rsid w:val="008F29AC"/>
    <w:rsid w:val="008F29F2"/>
    <w:rsid w:val="008F2C8B"/>
    <w:rsid w:val="008F2FAB"/>
    <w:rsid w:val="008F3706"/>
    <w:rsid w:val="008F38D6"/>
    <w:rsid w:val="008F3C9C"/>
    <w:rsid w:val="008F4948"/>
    <w:rsid w:val="008F4BDC"/>
    <w:rsid w:val="008F4C86"/>
    <w:rsid w:val="008F4CE2"/>
    <w:rsid w:val="008F5B46"/>
    <w:rsid w:val="008F5BA0"/>
    <w:rsid w:val="008F656B"/>
    <w:rsid w:val="008F6C69"/>
    <w:rsid w:val="008F72CB"/>
    <w:rsid w:val="008F76DF"/>
    <w:rsid w:val="008F7DD8"/>
    <w:rsid w:val="009005DC"/>
    <w:rsid w:val="00900644"/>
    <w:rsid w:val="00901D14"/>
    <w:rsid w:val="009025EF"/>
    <w:rsid w:val="00902822"/>
    <w:rsid w:val="00902AAE"/>
    <w:rsid w:val="00902B0A"/>
    <w:rsid w:val="00902DAB"/>
    <w:rsid w:val="00903143"/>
    <w:rsid w:val="00903256"/>
    <w:rsid w:val="00903439"/>
    <w:rsid w:val="009034F3"/>
    <w:rsid w:val="00903545"/>
    <w:rsid w:val="0090359A"/>
    <w:rsid w:val="00904CFE"/>
    <w:rsid w:val="0090500D"/>
    <w:rsid w:val="00905E8E"/>
    <w:rsid w:val="00905F10"/>
    <w:rsid w:val="009062D9"/>
    <w:rsid w:val="009062E5"/>
    <w:rsid w:val="0090681F"/>
    <w:rsid w:val="00906961"/>
    <w:rsid w:val="00906EAF"/>
    <w:rsid w:val="009072D3"/>
    <w:rsid w:val="00907AAC"/>
    <w:rsid w:val="00907AF8"/>
    <w:rsid w:val="00907F33"/>
    <w:rsid w:val="0091040E"/>
    <w:rsid w:val="00910AF8"/>
    <w:rsid w:val="00910B1F"/>
    <w:rsid w:val="00910D0C"/>
    <w:rsid w:val="00910DA7"/>
    <w:rsid w:val="0091107F"/>
    <w:rsid w:val="00911710"/>
    <w:rsid w:val="00911A22"/>
    <w:rsid w:val="00912233"/>
    <w:rsid w:val="009124B5"/>
    <w:rsid w:val="00912E7D"/>
    <w:rsid w:val="00913587"/>
    <w:rsid w:val="00913C25"/>
    <w:rsid w:val="009149A7"/>
    <w:rsid w:val="00914A63"/>
    <w:rsid w:val="00914C30"/>
    <w:rsid w:val="00914EA2"/>
    <w:rsid w:val="00915762"/>
    <w:rsid w:val="00915A87"/>
    <w:rsid w:val="00915E32"/>
    <w:rsid w:val="00915FEB"/>
    <w:rsid w:val="00916A7C"/>
    <w:rsid w:val="00916D56"/>
    <w:rsid w:val="00917519"/>
    <w:rsid w:val="00917CED"/>
    <w:rsid w:val="00917E22"/>
    <w:rsid w:val="00920139"/>
    <w:rsid w:val="00920BA4"/>
    <w:rsid w:val="00921388"/>
    <w:rsid w:val="009216F0"/>
    <w:rsid w:val="00921A4C"/>
    <w:rsid w:val="00921F44"/>
    <w:rsid w:val="00921FA1"/>
    <w:rsid w:val="0092294C"/>
    <w:rsid w:val="00922DE1"/>
    <w:rsid w:val="009230D3"/>
    <w:rsid w:val="00923CE0"/>
    <w:rsid w:val="0092401C"/>
    <w:rsid w:val="00924193"/>
    <w:rsid w:val="0092422B"/>
    <w:rsid w:val="009246AA"/>
    <w:rsid w:val="00924E5D"/>
    <w:rsid w:val="0092514D"/>
    <w:rsid w:val="0092521F"/>
    <w:rsid w:val="00925C09"/>
    <w:rsid w:val="0092639A"/>
    <w:rsid w:val="009266C0"/>
    <w:rsid w:val="009267CB"/>
    <w:rsid w:val="00926FCC"/>
    <w:rsid w:val="00927188"/>
    <w:rsid w:val="00927463"/>
    <w:rsid w:val="00927E84"/>
    <w:rsid w:val="00927FCB"/>
    <w:rsid w:val="00930233"/>
    <w:rsid w:val="009303EF"/>
    <w:rsid w:val="0093060D"/>
    <w:rsid w:val="009308BD"/>
    <w:rsid w:val="00930964"/>
    <w:rsid w:val="00930C3B"/>
    <w:rsid w:val="00930DE4"/>
    <w:rsid w:val="00931027"/>
    <w:rsid w:val="009315D7"/>
    <w:rsid w:val="009315F5"/>
    <w:rsid w:val="009316E2"/>
    <w:rsid w:val="009320BC"/>
    <w:rsid w:val="00932191"/>
    <w:rsid w:val="0093256D"/>
    <w:rsid w:val="00932F48"/>
    <w:rsid w:val="009332B5"/>
    <w:rsid w:val="009334DE"/>
    <w:rsid w:val="00933A6B"/>
    <w:rsid w:val="00933B12"/>
    <w:rsid w:val="00933E50"/>
    <w:rsid w:val="009342CA"/>
    <w:rsid w:val="00934392"/>
    <w:rsid w:val="009348B0"/>
    <w:rsid w:val="00934A3D"/>
    <w:rsid w:val="00934D26"/>
    <w:rsid w:val="0093590D"/>
    <w:rsid w:val="00936006"/>
    <w:rsid w:val="00936419"/>
    <w:rsid w:val="009364ED"/>
    <w:rsid w:val="00936621"/>
    <w:rsid w:val="009369D5"/>
    <w:rsid w:val="00937805"/>
    <w:rsid w:val="00937E9D"/>
    <w:rsid w:val="009404E8"/>
    <w:rsid w:val="009405A6"/>
    <w:rsid w:val="00940BA7"/>
    <w:rsid w:val="00941073"/>
    <w:rsid w:val="0094154F"/>
    <w:rsid w:val="0094186C"/>
    <w:rsid w:val="00941A07"/>
    <w:rsid w:val="00942930"/>
    <w:rsid w:val="00942D86"/>
    <w:rsid w:val="00943C4B"/>
    <w:rsid w:val="00943FCB"/>
    <w:rsid w:val="009444AA"/>
    <w:rsid w:val="00944550"/>
    <w:rsid w:val="00944BA8"/>
    <w:rsid w:val="00945394"/>
    <w:rsid w:val="0094550D"/>
    <w:rsid w:val="009455ED"/>
    <w:rsid w:val="009459E7"/>
    <w:rsid w:val="00945A3D"/>
    <w:rsid w:val="00945EFD"/>
    <w:rsid w:val="009461F0"/>
    <w:rsid w:val="00946286"/>
    <w:rsid w:val="0094637E"/>
    <w:rsid w:val="00946457"/>
    <w:rsid w:val="00946679"/>
    <w:rsid w:val="00946B10"/>
    <w:rsid w:val="00946D3E"/>
    <w:rsid w:val="00946F3F"/>
    <w:rsid w:val="00946FDF"/>
    <w:rsid w:val="009477C0"/>
    <w:rsid w:val="00947815"/>
    <w:rsid w:val="00947D3D"/>
    <w:rsid w:val="009504A9"/>
    <w:rsid w:val="00951414"/>
    <w:rsid w:val="00951702"/>
    <w:rsid w:val="00951908"/>
    <w:rsid w:val="009519B8"/>
    <w:rsid w:val="0095242A"/>
    <w:rsid w:val="009524D1"/>
    <w:rsid w:val="009524DD"/>
    <w:rsid w:val="00952EE2"/>
    <w:rsid w:val="009532DB"/>
    <w:rsid w:val="009535F6"/>
    <w:rsid w:val="00953750"/>
    <w:rsid w:val="00953C65"/>
    <w:rsid w:val="009544F7"/>
    <w:rsid w:val="009547E7"/>
    <w:rsid w:val="00954B3C"/>
    <w:rsid w:val="00954C1E"/>
    <w:rsid w:val="009553C5"/>
    <w:rsid w:val="00955681"/>
    <w:rsid w:val="00955DD0"/>
    <w:rsid w:val="00955F55"/>
    <w:rsid w:val="009564B3"/>
    <w:rsid w:val="0095688B"/>
    <w:rsid w:val="00956902"/>
    <w:rsid w:val="00956C2F"/>
    <w:rsid w:val="00956F4F"/>
    <w:rsid w:val="00957E0F"/>
    <w:rsid w:val="00960B11"/>
    <w:rsid w:val="0096111C"/>
    <w:rsid w:val="0096115A"/>
    <w:rsid w:val="009613A5"/>
    <w:rsid w:val="00961487"/>
    <w:rsid w:val="00961998"/>
    <w:rsid w:val="00961A86"/>
    <w:rsid w:val="00961B49"/>
    <w:rsid w:val="00962202"/>
    <w:rsid w:val="0096235E"/>
    <w:rsid w:val="00962428"/>
    <w:rsid w:val="00962845"/>
    <w:rsid w:val="0096297A"/>
    <w:rsid w:val="00962CB7"/>
    <w:rsid w:val="0096381F"/>
    <w:rsid w:val="0096393A"/>
    <w:rsid w:val="00963A8D"/>
    <w:rsid w:val="0096424D"/>
    <w:rsid w:val="00964477"/>
    <w:rsid w:val="00964778"/>
    <w:rsid w:val="00964BD1"/>
    <w:rsid w:val="00964CD4"/>
    <w:rsid w:val="00965D30"/>
    <w:rsid w:val="00965D88"/>
    <w:rsid w:val="00966183"/>
    <w:rsid w:val="00966535"/>
    <w:rsid w:val="009666A0"/>
    <w:rsid w:val="00966A3C"/>
    <w:rsid w:val="00966AFB"/>
    <w:rsid w:val="00966EB8"/>
    <w:rsid w:val="00967291"/>
    <w:rsid w:val="00967C0A"/>
    <w:rsid w:val="009710F1"/>
    <w:rsid w:val="0097115F"/>
    <w:rsid w:val="009717D0"/>
    <w:rsid w:val="00971A7F"/>
    <w:rsid w:val="00971BDA"/>
    <w:rsid w:val="00971BFE"/>
    <w:rsid w:val="00971C70"/>
    <w:rsid w:val="0097201B"/>
    <w:rsid w:val="009722E1"/>
    <w:rsid w:val="00972477"/>
    <w:rsid w:val="009724B4"/>
    <w:rsid w:val="00972AEB"/>
    <w:rsid w:val="00972D86"/>
    <w:rsid w:val="00972E11"/>
    <w:rsid w:val="00973434"/>
    <w:rsid w:val="009735D2"/>
    <w:rsid w:val="009749F7"/>
    <w:rsid w:val="0097507B"/>
    <w:rsid w:val="00975222"/>
    <w:rsid w:val="0097567A"/>
    <w:rsid w:val="0097602F"/>
    <w:rsid w:val="0097616D"/>
    <w:rsid w:val="009767F5"/>
    <w:rsid w:val="0097746B"/>
    <w:rsid w:val="0097763B"/>
    <w:rsid w:val="00977B95"/>
    <w:rsid w:val="0098072D"/>
    <w:rsid w:val="00980757"/>
    <w:rsid w:val="00980F3A"/>
    <w:rsid w:val="009813DA"/>
    <w:rsid w:val="009814C4"/>
    <w:rsid w:val="00981D80"/>
    <w:rsid w:val="00981FCB"/>
    <w:rsid w:val="0098214C"/>
    <w:rsid w:val="0098215E"/>
    <w:rsid w:val="009826DD"/>
    <w:rsid w:val="00982D0C"/>
    <w:rsid w:val="00982F71"/>
    <w:rsid w:val="00984737"/>
    <w:rsid w:val="00984BAD"/>
    <w:rsid w:val="00984D48"/>
    <w:rsid w:val="00984FFF"/>
    <w:rsid w:val="009851F3"/>
    <w:rsid w:val="00985BC4"/>
    <w:rsid w:val="00985C46"/>
    <w:rsid w:val="0098600F"/>
    <w:rsid w:val="0098618C"/>
    <w:rsid w:val="00986485"/>
    <w:rsid w:val="00986725"/>
    <w:rsid w:val="00986F66"/>
    <w:rsid w:val="00987847"/>
    <w:rsid w:val="00987905"/>
    <w:rsid w:val="00987B14"/>
    <w:rsid w:val="00987E7D"/>
    <w:rsid w:val="0099129B"/>
    <w:rsid w:val="00991397"/>
    <w:rsid w:val="0099170B"/>
    <w:rsid w:val="0099171B"/>
    <w:rsid w:val="0099185A"/>
    <w:rsid w:val="0099187E"/>
    <w:rsid w:val="0099191F"/>
    <w:rsid w:val="00991939"/>
    <w:rsid w:val="009919D4"/>
    <w:rsid w:val="00992026"/>
    <w:rsid w:val="0099213C"/>
    <w:rsid w:val="0099237B"/>
    <w:rsid w:val="009923C2"/>
    <w:rsid w:val="00992674"/>
    <w:rsid w:val="00992CBF"/>
    <w:rsid w:val="009932A6"/>
    <w:rsid w:val="009937FE"/>
    <w:rsid w:val="00993839"/>
    <w:rsid w:val="009939B1"/>
    <w:rsid w:val="00993B27"/>
    <w:rsid w:val="00993BE3"/>
    <w:rsid w:val="00993C58"/>
    <w:rsid w:val="00993E97"/>
    <w:rsid w:val="00993F9F"/>
    <w:rsid w:val="00994031"/>
    <w:rsid w:val="009941DB"/>
    <w:rsid w:val="00994563"/>
    <w:rsid w:val="0099496B"/>
    <w:rsid w:val="00994FF5"/>
    <w:rsid w:val="00995001"/>
    <w:rsid w:val="009951D9"/>
    <w:rsid w:val="00995466"/>
    <w:rsid w:val="00995E5C"/>
    <w:rsid w:val="00996069"/>
    <w:rsid w:val="009960C9"/>
    <w:rsid w:val="0099613B"/>
    <w:rsid w:val="00996565"/>
    <w:rsid w:val="0099674D"/>
    <w:rsid w:val="00996790"/>
    <w:rsid w:val="00996821"/>
    <w:rsid w:val="00996975"/>
    <w:rsid w:val="00996A08"/>
    <w:rsid w:val="00996A55"/>
    <w:rsid w:val="00996AC5"/>
    <w:rsid w:val="00996F6A"/>
    <w:rsid w:val="00996F97"/>
    <w:rsid w:val="00997779"/>
    <w:rsid w:val="00997B61"/>
    <w:rsid w:val="00997C90"/>
    <w:rsid w:val="009A07A4"/>
    <w:rsid w:val="009A0885"/>
    <w:rsid w:val="009A18D2"/>
    <w:rsid w:val="009A248A"/>
    <w:rsid w:val="009A2845"/>
    <w:rsid w:val="009A2D8A"/>
    <w:rsid w:val="009A38F4"/>
    <w:rsid w:val="009A4335"/>
    <w:rsid w:val="009A4456"/>
    <w:rsid w:val="009A44DB"/>
    <w:rsid w:val="009A477E"/>
    <w:rsid w:val="009A56A1"/>
    <w:rsid w:val="009A5B62"/>
    <w:rsid w:val="009A5D33"/>
    <w:rsid w:val="009A5E26"/>
    <w:rsid w:val="009A63A1"/>
    <w:rsid w:val="009A6692"/>
    <w:rsid w:val="009A6A3A"/>
    <w:rsid w:val="009A7989"/>
    <w:rsid w:val="009A7C72"/>
    <w:rsid w:val="009B0633"/>
    <w:rsid w:val="009B082D"/>
    <w:rsid w:val="009B0A3B"/>
    <w:rsid w:val="009B1886"/>
    <w:rsid w:val="009B1B5C"/>
    <w:rsid w:val="009B2A3C"/>
    <w:rsid w:val="009B2A8C"/>
    <w:rsid w:val="009B2DB3"/>
    <w:rsid w:val="009B3931"/>
    <w:rsid w:val="009B3C0C"/>
    <w:rsid w:val="009B49B5"/>
    <w:rsid w:val="009B4A21"/>
    <w:rsid w:val="009B4C26"/>
    <w:rsid w:val="009B545D"/>
    <w:rsid w:val="009B557B"/>
    <w:rsid w:val="009B590C"/>
    <w:rsid w:val="009B5BE5"/>
    <w:rsid w:val="009B5C17"/>
    <w:rsid w:val="009B6075"/>
    <w:rsid w:val="009B64A6"/>
    <w:rsid w:val="009B6543"/>
    <w:rsid w:val="009B65CB"/>
    <w:rsid w:val="009B6968"/>
    <w:rsid w:val="009B77DC"/>
    <w:rsid w:val="009B7A82"/>
    <w:rsid w:val="009C0413"/>
    <w:rsid w:val="009C0622"/>
    <w:rsid w:val="009C077F"/>
    <w:rsid w:val="009C08DE"/>
    <w:rsid w:val="009C0CE0"/>
    <w:rsid w:val="009C119B"/>
    <w:rsid w:val="009C16A3"/>
    <w:rsid w:val="009C1AFE"/>
    <w:rsid w:val="009C1D7D"/>
    <w:rsid w:val="009C1FC0"/>
    <w:rsid w:val="009C2452"/>
    <w:rsid w:val="009C3942"/>
    <w:rsid w:val="009C3B44"/>
    <w:rsid w:val="009C3C0D"/>
    <w:rsid w:val="009C3F74"/>
    <w:rsid w:val="009C4004"/>
    <w:rsid w:val="009C421D"/>
    <w:rsid w:val="009C43CA"/>
    <w:rsid w:val="009C4585"/>
    <w:rsid w:val="009C5614"/>
    <w:rsid w:val="009C5636"/>
    <w:rsid w:val="009C5E1D"/>
    <w:rsid w:val="009C69EF"/>
    <w:rsid w:val="009C6A24"/>
    <w:rsid w:val="009C6C88"/>
    <w:rsid w:val="009C6DBE"/>
    <w:rsid w:val="009C712B"/>
    <w:rsid w:val="009D04E1"/>
    <w:rsid w:val="009D0B8B"/>
    <w:rsid w:val="009D1994"/>
    <w:rsid w:val="009D2437"/>
    <w:rsid w:val="009D2B23"/>
    <w:rsid w:val="009D2D1A"/>
    <w:rsid w:val="009D2D70"/>
    <w:rsid w:val="009D3336"/>
    <w:rsid w:val="009D36B7"/>
    <w:rsid w:val="009D3CBB"/>
    <w:rsid w:val="009D435E"/>
    <w:rsid w:val="009D45AD"/>
    <w:rsid w:val="009D476D"/>
    <w:rsid w:val="009D4CE9"/>
    <w:rsid w:val="009D4F92"/>
    <w:rsid w:val="009D4FA5"/>
    <w:rsid w:val="009D577D"/>
    <w:rsid w:val="009D5F3F"/>
    <w:rsid w:val="009D5FE4"/>
    <w:rsid w:val="009D63FB"/>
    <w:rsid w:val="009D6967"/>
    <w:rsid w:val="009D6AEB"/>
    <w:rsid w:val="009D6B97"/>
    <w:rsid w:val="009D6ED1"/>
    <w:rsid w:val="009D72ED"/>
    <w:rsid w:val="009D734C"/>
    <w:rsid w:val="009D7590"/>
    <w:rsid w:val="009D7A02"/>
    <w:rsid w:val="009E0A37"/>
    <w:rsid w:val="009E1136"/>
    <w:rsid w:val="009E14EB"/>
    <w:rsid w:val="009E1894"/>
    <w:rsid w:val="009E191C"/>
    <w:rsid w:val="009E1FD3"/>
    <w:rsid w:val="009E2094"/>
    <w:rsid w:val="009E24EF"/>
    <w:rsid w:val="009E288C"/>
    <w:rsid w:val="009E2AC9"/>
    <w:rsid w:val="009E2F1D"/>
    <w:rsid w:val="009E3475"/>
    <w:rsid w:val="009E3751"/>
    <w:rsid w:val="009E41F4"/>
    <w:rsid w:val="009E4749"/>
    <w:rsid w:val="009E4BC7"/>
    <w:rsid w:val="009E4EF5"/>
    <w:rsid w:val="009E4F15"/>
    <w:rsid w:val="009E5718"/>
    <w:rsid w:val="009E6913"/>
    <w:rsid w:val="009E6E8E"/>
    <w:rsid w:val="009E726B"/>
    <w:rsid w:val="009E7360"/>
    <w:rsid w:val="009E73C7"/>
    <w:rsid w:val="009E7573"/>
    <w:rsid w:val="009E79EF"/>
    <w:rsid w:val="009F0EBE"/>
    <w:rsid w:val="009F12F3"/>
    <w:rsid w:val="009F15FC"/>
    <w:rsid w:val="009F17CA"/>
    <w:rsid w:val="009F19C2"/>
    <w:rsid w:val="009F245C"/>
    <w:rsid w:val="009F272C"/>
    <w:rsid w:val="009F27C4"/>
    <w:rsid w:val="009F2C9A"/>
    <w:rsid w:val="009F35DB"/>
    <w:rsid w:val="009F384E"/>
    <w:rsid w:val="009F3CF4"/>
    <w:rsid w:val="009F3E37"/>
    <w:rsid w:val="009F3E92"/>
    <w:rsid w:val="009F3F20"/>
    <w:rsid w:val="009F4604"/>
    <w:rsid w:val="009F564F"/>
    <w:rsid w:val="009F574B"/>
    <w:rsid w:val="009F5DE9"/>
    <w:rsid w:val="009F69B0"/>
    <w:rsid w:val="009F6B7B"/>
    <w:rsid w:val="009F6E89"/>
    <w:rsid w:val="009F7722"/>
    <w:rsid w:val="00A0015D"/>
    <w:rsid w:val="00A003BA"/>
    <w:rsid w:val="00A00863"/>
    <w:rsid w:val="00A008B1"/>
    <w:rsid w:val="00A00DB6"/>
    <w:rsid w:val="00A0100C"/>
    <w:rsid w:val="00A011EF"/>
    <w:rsid w:val="00A01450"/>
    <w:rsid w:val="00A01483"/>
    <w:rsid w:val="00A015B6"/>
    <w:rsid w:val="00A018ED"/>
    <w:rsid w:val="00A02541"/>
    <w:rsid w:val="00A0257F"/>
    <w:rsid w:val="00A026C9"/>
    <w:rsid w:val="00A02F5D"/>
    <w:rsid w:val="00A038DC"/>
    <w:rsid w:val="00A03EC1"/>
    <w:rsid w:val="00A04635"/>
    <w:rsid w:val="00A04930"/>
    <w:rsid w:val="00A05474"/>
    <w:rsid w:val="00A057B8"/>
    <w:rsid w:val="00A068A5"/>
    <w:rsid w:val="00A06B59"/>
    <w:rsid w:val="00A06D05"/>
    <w:rsid w:val="00A071F8"/>
    <w:rsid w:val="00A07869"/>
    <w:rsid w:val="00A100E9"/>
    <w:rsid w:val="00A10108"/>
    <w:rsid w:val="00A105D5"/>
    <w:rsid w:val="00A106E1"/>
    <w:rsid w:val="00A110B9"/>
    <w:rsid w:val="00A11E69"/>
    <w:rsid w:val="00A126A5"/>
    <w:rsid w:val="00A12785"/>
    <w:rsid w:val="00A13338"/>
    <w:rsid w:val="00A135D4"/>
    <w:rsid w:val="00A1373E"/>
    <w:rsid w:val="00A13F40"/>
    <w:rsid w:val="00A1423B"/>
    <w:rsid w:val="00A14B7A"/>
    <w:rsid w:val="00A14F52"/>
    <w:rsid w:val="00A15030"/>
    <w:rsid w:val="00A151BA"/>
    <w:rsid w:val="00A15277"/>
    <w:rsid w:val="00A15928"/>
    <w:rsid w:val="00A16396"/>
    <w:rsid w:val="00A16AAE"/>
    <w:rsid w:val="00A178EB"/>
    <w:rsid w:val="00A17CFB"/>
    <w:rsid w:val="00A17E8F"/>
    <w:rsid w:val="00A2032A"/>
    <w:rsid w:val="00A203D9"/>
    <w:rsid w:val="00A21118"/>
    <w:rsid w:val="00A2119F"/>
    <w:rsid w:val="00A212C2"/>
    <w:rsid w:val="00A21385"/>
    <w:rsid w:val="00A21F86"/>
    <w:rsid w:val="00A221FE"/>
    <w:rsid w:val="00A22AC7"/>
    <w:rsid w:val="00A23305"/>
    <w:rsid w:val="00A23BE4"/>
    <w:rsid w:val="00A23C68"/>
    <w:rsid w:val="00A23FC7"/>
    <w:rsid w:val="00A2453F"/>
    <w:rsid w:val="00A24A3C"/>
    <w:rsid w:val="00A24E90"/>
    <w:rsid w:val="00A25614"/>
    <w:rsid w:val="00A25A3A"/>
    <w:rsid w:val="00A25A7C"/>
    <w:rsid w:val="00A25D38"/>
    <w:rsid w:val="00A261DE"/>
    <w:rsid w:val="00A2620F"/>
    <w:rsid w:val="00A263ED"/>
    <w:rsid w:val="00A26A31"/>
    <w:rsid w:val="00A26D7D"/>
    <w:rsid w:val="00A26E11"/>
    <w:rsid w:val="00A26EA9"/>
    <w:rsid w:val="00A273B0"/>
    <w:rsid w:val="00A275C4"/>
    <w:rsid w:val="00A27658"/>
    <w:rsid w:val="00A277D7"/>
    <w:rsid w:val="00A27F07"/>
    <w:rsid w:val="00A30401"/>
    <w:rsid w:val="00A304F8"/>
    <w:rsid w:val="00A30599"/>
    <w:rsid w:val="00A30AD4"/>
    <w:rsid w:val="00A30BB1"/>
    <w:rsid w:val="00A30D8C"/>
    <w:rsid w:val="00A30F10"/>
    <w:rsid w:val="00A31638"/>
    <w:rsid w:val="00A31D4B"/>
    <w:rsid w:val="00A31E38"/>
    <w:rsid w:val="00A322E4"/>
    <w:rsid w:val="00A32E13"/>
    <w:rsid w:val="00A32EAF"/>
    <w:rsid w:val="00A3303B"/>
    <w:rsid w:val="00A3312A"/>
    <w:rsid w:val="00A338FC"/>
    <w:rsid w:val="00A34440"/>
    <w:rsid w:val="00A349AA"/>
    <w:rsid w:val="00A34BB8"/>
    <w:rsid w:val="00A353E1"/>
    <w:rsid w:val="00A35716"/>
    <w:rsid w:val="00A35759"/>
    <w:rsid w:val="00A3608F"/>
    <w:rsid w:val="00A3632D"/>
    <w:rsid w:val="00A369AA"/>
    <w:rsid w:val="00A36ADE"/>
    <w:rsid w:val="00A36C3A"/>
    <w:rsid w:val="00A373B7"/>
    <w:rsid w:val="00A376F9"/>
    <w:rsid w:val="00A37ECD"/>
    <w:rsid w:val="00A4008B"/>
    <w:rsid w:val="00A404A8"/>
    <w:rsid w:val="00A406CF"/>
    <w:rsid w:val="00A413C3"/>
    <w:rsid w:val="00A416AD"/>
    <w:rsid w:val="00A41B75"/>
    <w:rsid w:val="00A41D80"/>
    <w:rsid w:val="00A4211E"/>
    <w:rsid w:val="00A421CD"/>
    <w:rsid w:val="00A42275"/>
    <w:rsid w:val="00A4237F"/>
    <w:rsid w:val="00A4295D"/>
    <w:rsid w:val="00A42CE4"/>
    <w:rsid w:val="00A43620"/>
    <w:rsid w:val="00A43FC4"/>
    <w:rsid w:val="00A44116"/>
    <w:rsid w:val="00A44A01"/>
    <w:rsid w:val="00A44A66"/>
    <w:rsid w:val="00A453D6"/>
    <w:rsid w:val="00A461CE"/>
    <w:rsid w:val="00A4690A"/>
    <w:rsid w:val="00A46E1B"/>
    <w:rsid w:val="00A47078"/>
    <w:rsid w:val="00A4768C"/>
    <w:rsid w:val="00A50113"/>
    <w:rsid w:val="00A502CC"/>
    <w:rsid w:val="00A50DCA"/>
    <w:rsid w:val="00A516E8"/>
    <w:rsid w:val="00A5179A"/>
    <w:rsid w:val="00A519A7"/>
    <w:rsid w:val="00A530ED"/>
    <w:rsid w:val="00A53140"/>
    <w:rsid w:val="00A5353D"/>
    <w:rsid w:val="00A5363D"/>
    <w:rsid w:val="00A539E4"/>
    <w:rsid w:val="00A53B71"/>
    <w:rsid w:val="00A53E55"/>
    <w:rsid w:val="00A53F4D"/>
    <w:rsid w:val="00A54665"/>
    <w:rsid w:val="00A54A6E"/>
    <w:rsid w:val="00A55480"/>
    <w:rsid w:val="00A556FD"/>
    <w:rsid w:val="00A55808"/>
    <w:rsid w:val="00A5595B"/>
    <w:rsid w:val="00A567A8"/>
    <w:rsid w:val="00A56B75"/>
    <w:rsid w:val="00A56D1F"/>
    <w:rsid w:val="00A56FB1"/>
    <w:rsid w:val="00A57015"/>
    <w:rsid w:val="00A577EA"/>
    <w:rsid w:val="00A6082E"/>
    <w:rsid w:val="00A60BFB"/>
    <w:rsid w:val="00A61084"/>
    <w:rsid w:val="00A6119E"/>
    <w:rsid w:val="00A61235"/>
    <w:rsid w:val="00A61663"/>
    <w:rsid w:val="00A6198D"/>
    <w:rsid w:val="00A619B0"/>
    <w:rsid w:val="00A619CF"/>
    <w:rsid w:val="00A61E76"/>
    <w:rsid w:val="00A625BE"/>
    <w:rsid w:val="00A625C6"/>
    <w:rsid w:val="00A6269C"/>
    <w:rsid w:val="00A626FE"/>
    <w:rsid w:val="00A628EB"/>
    <w:rsid w:val="00A62DB6"/>
    <w:rsid w:val="00A62EBA"/>
    <w:rsid w:val="00A62F96"/>
    <w:rsid w:val="00A63D36"/>
    <w:rsid w:val="00A6401C"/>
    <w:rsid w:val="00A656BD"/>
    <w:rsid w:val="00A65AE9"/>
    <w:rsid w:val="00A65BF2"/>
    <w:rsid w:val="00A65FCD"/>
    <w:rsid w:val="00A6609C"/>
    <w:rsid w:val="00A660C2"/>
    <w:rsid w:val="00A663C9"/>
    <w:rsid w:val="00A664DB"/>
    <w:rsid w:val="00A66576"/>
    <w:rsid w:val="00A66EE9"/>
    <w:rsid w:val="00A671CB"/>
    <w:rsid w:val="00A67B20"/>
    <w:rsid w:val="00A700CB"/>
    <w:rsid w:val="00A70135"/>
    <w:rsid w:val="00A705D0"/>
    <w:rsid w:val="00A70714"/>
    <w:rsid w:val="00A70741"/>
    <w:rsid w:val="00A70B3D"/>
    <w:rsid w:val="00A70EB4"/>
    <w:rsid w:val="00A71A5A"/>
    <w:rsid w:val="00A720B6"/>
    <w:rsid w:val="00A727AD"/>
    <w:rsid w:val="00A7543D"/>
    <w:rsid w:val="00A7597E"/>
    <w:rsid w:val="00A75DB2"/>
    <w:rsid w:val="00A7644E"/>
    <w:rsid w:val="00A76474"/>
    <w:rsid w:val="00A76957"/>
    <w:rsid w:val="00A77514"/>
    <w:rsid w:val="00A77FB4"/>
    <w:rsid w:val="00A806D3"/>
    <w:rsid w:val="00A80926"/>
    <w:rsid w:val="00A80AA2"/>
    <w:rsid w:val="00A80ABE"/>
    <w:rsid w:val="00A81012"/>
    <w:rsid w:val="00A816DE"/>
    <w:rsid w:val="00A818BB"/>
    <w:rsid w:val="00A81D93"/>
    <w:rsid w:val="00A81EEC"/>
    <w:rsid w:val="00A8229A"/>
    <w:rsid w:val="00A82649"/>
    <w:rsid w:val="00A827D7"/>
    <w:rsid w:val="00A82889"/>
    <w:rsid w:val="00A8323E"/>
    <w:rsid w:val="00A8355B"/>
    <w:rsid w:val="00A835D8"/>
    <w:rsid w:val="00A839B1"/>
    <w:rsid w:val="00A83A0C"/>
    <w:rsid w:val="00A83CB7"/>
    <w:rsid w:val="00A84231"/>
    <w:rsid w:val="00A84B84"/>
    <w:rsid w:val="00A84EDF"/>
    <w:rsid w:val="00A85C17"/>
    <w:rsid w:val="00A86FB0"/>
    <w:rsid w:val="00A872C0"/>
    <w:rsid w:val="00A87647"/>
    <w:rsid w:val="00A87813"/>
    <w:rsid w:val="00A87B55"/>
    <w:rsid w:val="00A87DA8"/>
    <w:rsid w:val="00A90675"/>
    <w:rsid w:val="00A90724"/>
    <w:rsid w:val="00A90840"/>
    <w:rsid w:val="00A90BA9"/>
    <w:rsid w:val="00A90F2B"/>
    <w:rsid w:val="00A915D3"/>
    <w:rsid w:val="00A91862"/>
    <w:rsid w:val="00A918BD"/>
    <w:rsid w:val="00A919C0"/>
    <w:rsid w:val="00A91C24"/>
    <w:rsid w:val="00A91C7E"/>
    <w:rsid w:val="00A91D8F"/>
    <w:rsid w:val="00A93199"/>
    <w:rsid w:val="00A93738"/>
    <w:rsid w:val="00A93D47"/>
    <w:rsid w:val="00A9412B"/>
    <w:rsid w:val="00A9420A"/>
    <w:rsid w:val="00A949C6"/>
    <w:rsid w:val="00A950FF"/>
    <w:rsid w:val="00A952AE"/>
    <w:rsid w:val="00A957C8"/>
    <w:rsid w:val="00A95900"/>
    <w:rsid w:val="00A95AFE"/>
    <w:rsid w:val="00A95B18"/>
    <w:rsid w:val="00A9606B"/>
    <w:rsid w:val="00A961D1"/>
    <w:rsid w:val="00A962D5"/>
    <w:rsid w:val="00A96A60"/>
    <w:rsid w:val="00A96B74"/>
    <w:rsid w:val="00A9782A"/>
    <w:rsid w:val="00A97F0A"/>
    <w:rsid w:val="00AA0115"/>
    <w:rsid w:val="00AA0266"/>
    <w:rsid w:val="00AA043F"/>
    <w:rsid w:val="00AA0596"/>
    <w:rsid w:val="00AA06C0"/>
    <w:rsid w:val="00AA0B21"/>
    <w:rsid w:val="00AA0B5D"/>
    <w:rsid w:val="00AA1E2E"/>
    <w:rsid w:val="00AA1E53"/>
    <w:rsid w:val="00AA2157"/>
    <w:rsid w:val="00AA2168"/>
    <w:rsid w:val="00AA21D8"/>
    <w:rsid w:val="00AA26B2"/>
    <w:rsid w:val="00AA2889"/>
    <w:rsid w:val="00AA2E68"/>
    <w:rsid w:val="00AA32C8"/>
    <w:rsid w:val="00AA34E6"/>
    <w:rsid w:val="00AA37B5"/>
    <w:rsid w:val="00AA3E00"/>
    <w:rsid w:val="00AA420F"/>
    <w:rsid w:val="00AA5F61"/>
    <w:rsid w:val="00AA642D"/>
    <w:rsid w:val="00AA6D50"/>
    <w:rsid w:val="00AA7A2D"/>
    <w:rsid w:val="00AB0205"/>
    <w:rsid w:val="00AB03C1"/>
    <w:rsid w:val="00AB07FB"/>
    <w:rsid w:val="00AB0ABF"/>
    <w:rsid w:val="00AB0FD3"/>
    <w:rsid w:val="00AB128E"/>
    <w:rsid w:val="00AB1B89"/>
    <w:rsid w:val="00AB1BB4"/>
    <w:rsid w:val="00AB28A3"/>
    <w:rsid w:val="00AB2F1B"/>
    <w:rsid w:val="00AB30CB"/>
    <w:rsid w:val="00AB34CD"/>
    <w:rsid w:val="00AB3627"/>
    <w:rsid w:val="00AB3F68"/>
    <w:rsid w:val="00AB43C9"/>
    <w:rsid w:val="00AB4A39"/>
    <w:rsid w:val="00AB4BFE"/>
    <w:rsid w:val="00AB531D"/>
    <w:rsid w:val="00AB55C9"/>
    <w:rsid w:val="00AB5AD6"/>
    <w:rsid w:val="00AB5EE8"/>
    <w:rsid w:val="00AB6121"/>
    <w:rsid w:val="00AB61D0"/>
    <w:rsid w:val="00AB67E7"/>
    <w:rsid w:val="00AB6C1A"/>
    <w:rsid w:val="00AB6D96"/>
    <w:rsid w:val="00AB7514"/>
    <w:rsid w:val="00AB7EF2"/>
    <w:rsid w:val="00AC0341"/>
    <w:rsid w:val="00AC0520"/>
    <w:rsid w:val="00AC05A7"/>
    <w:rsid w:val="00AC0647"/>
    <w:rsid w:val="00AC1337"/>
    <w:rsid w:val="00AC1B9A"/>
    <w:rsid w:val="00AC2077"/>
    <w:rsid w:val="00AC22AA"/>
    <w:rsid w:val="00AC30C2"/>
    <w:rsid w:val="00AC3887"/>
    <w:rsid w:val="00AC39DC"/>
    <w:rsid w:val="00AC3D30"/>
    <w:rsid w:val="00AC3F23"/>
    <w:rsid w:val="00AC5C5E"/>
    <w:rsid w:val="00AC5C9F"/>
    <w:rsid w:val="00AC6178"/>
    <w:rsid w:val="00AC727B"/>
    <w:rsid w:val="00AC7295"/>
    <w:rsid w:val="00AC7619"/>
    <w:rsid w:val="00AC76FC"/>
    <w:rsid w:val="00AC7801"/>
    <w:rsid w:val="00AC7B24"/>
    <w:rsid w:val="00AD080D"/>
    <w:rsid w:val="00AD0C6C"/>
    <w:rsid w:val="00AD1249"/>
    <w:rsid w:val="00AD1ECF"/>
    <w:rsid w:val="00AD1EFB"/>
    <w:rsid w:val="00AD2A68"/>
    <w:rsid w:val="00AD2C08"/>
    <w:rsid w:val="00AD3196"/>
    <w:rsid w:val="00AD325D"/>
    <w:rsid w:val="00AD32AA"/>
    <w:rsid w:val="00AD3E4D"/>
    <w:rsid w:val="00AD3ECF"/>
    <w:rsid w:val="00AD45EC"/>
    <w:rsid w:val="00AD50F4"/>
    <w:rsid w:val="00AD5437"/>
    <w:rsid w:val="00AD5540"/>
    <w:rsid w:val="00AD5DB4"/>
    <w:rsid w:val="00AD639A"/>
    <w:rsid w:val="00AD674B"/>
    <w:rsid w:val="00AD6CCD"/>
    <w:rsid w:val="00AD74DA"/>
    <w:rsid w:val="00AD78B2"/>
    <w:rsid w:val="00AD7C80"/>
    <w:rsid w:val="00AD7E8C"/>
    <w:rsid w:val="00AD7E90"/>
    <w:rsid w:val="00AE01C1"/>
    <w:rsid w:val="00AE2116"/>
    <w:rsid w:val="00AE213C"/>
    <w:rsid w:val="00AE2324"/>
    <w:rsid w:val="00AE23AC"/>
    <w:rsid w:val="00AE2838"/>
    <w:rsid w:val="00AE2DE8"/>
    <w:rsid w:val="00AE2DE9"/>
    <w:rsid w:val="00AE316C"/>
    <w:rsid w:val="00AE35FD"/>
    <w:rsid w:val="00AE3748"/>
    <w:rsid w:val="00AE3D53"/>
    <w:rsid w:val="00AE441F"/>
    <w:rsid w:val="00AE497B"/>
    <w:rsid w:val="00AE53FB"/>
    <w:rsid w:val="00AE6B1E"/>
    <w:rsid w:val="00AE74C4"/>
    <w:rsid w:val="00AE7855"/>
    <w:rsid w:val="00AE7A61"/>
    <w:rsid w:val="00AE7AB8"/>
    <w:rsid w:val="00AF03F1"/>
    <w:rsid w:val="00AF07AB"/>
    <w:rsid w:val="00AF1023"/>
    <w:rsid w:val="00AF10F4"/>
    <w:rsid w:val="00AF1733"/>
    <w:rsid w:val="00AF183C"/>
    <w:rsid w:val="00AF1BB4"/>
    <w:rsid w:val="00AF1CAC"/>
    <w:rsid w:val="00AF1D73"/>
    <w:rsid w:val="00AF2248"/>
    <w:rsid w:val="00AF274B"/>
    <w:rsid w:val="00AF2CD6"/>
    <w:rsid w:val="00AF2DAA"/>
    <w:rsid w:val="00AF323F"/>
    <w:rsid w:val="00AF33AA"/>
    <w:rsid w:val="00AF351C"/>
    <w:rsid w:val="00AF3B14"/>
    <w:rsid w:val="00AF3B3B"/>
    <w:rsid w:val="00AF3F49"/>
    <w:rsid w:val="00AF411B"/>
    <w:rsid w:val="00AF4C9B"/>
    <w:rsid w:val="00AF4DB7"/>
    <w:rsid w:val="00AF4FEF"/>
    <w:rsid w:val="00AF50B2"/>
    <w:rsid w:val="00AF5C26"/>
    <w:rsid w:val="00AF67CF"/>
    <w:rsid w:val="00AF68C6"/>
    <w:rsid w:val="00AF6F64"/>
    <w:rsid w:val="00AF71E8"/>
    <w:rsid w:val="00AF74F6"/>
    <w:rsid w:val="00AF759F"/>
    <w:rsid w:val="00AF7EF3"/>
    <w:rsid w:val="00AF7F17"/>
    <w:rsid w:val="00B00EAE"/>
    <w:rsid w:val="00B01118"/>
    <w:rsid w:val="00B0128D"/>
    <w:rsid w:val="00B01AD6"/>
    <w:rsid w:val="00B0237A"/>
    <w:rsid w:val="00B02660"/>
    <w:rsid w:val="00B02DB2"/>
    <w:rsid w:val="00B02EC0"/>
    <w:rsid w:val="00B02F64"/>
    <w:rsid w:val="00B0379C"/>
    <w:rsid w:val="00B03955"/>
    <w:rsid w:val="00B03ACF"/>
    <w:rsid w:val="00B03E94"/>
    <w:rsid w:val="00B043CD"/>
    <w:rsid w:val="00B04AE7"/>
    <w:rsid w:val="00B04E2C"/>
    <w:rsid w:val="00B04F64"/>
    <w:rsid w:val="00B04F9F"/>
    <w:rsid w:val="00B05F72"/>
    <w:rsid w:val="00B0607B"/>
    <w:rsid w:val="00B061E2"/>
    <w:rsid w:val="00B06A43"/>
    <w:rsid w:val="00B06A87"/>
    <w:rsid w:val="00B06C3B"/>
    <w:rsid w:val="00B0767D"/>
    <w:rsid w:val="00B07871"/>
    <w:rsid w:val="00B07A1F"/>
    <w:rsid w:val="00B10226"/>
    <w:rsid w:val="00B1041E"/>
    <w:rsid w:val="00B1065A"/>
    <w:rsid w:val="00B10C00"/>
    <w:rsid w:val="00B111E9"/>
    <w:rsid w:val="00B11723"/>
    <w:rsid w:val="00B119DE"/>
    <w:rsid w:val="00B11F55"/>
    <w:rsid w:val="00B11FC4"/>
    <w:rsid w:val="00B121B2"/>
    <w:rsid w:val="00B128E4"/>
    <w:rsid w:val="00B136F1"/>
    <w:rsid w:val="00B13CCC"/>
    <w:rsid w:val="00B13DEC"/>
    <w:rsid w:val="00B147E6"/>
    <w:rsid w:val="00B14961"/>
    <w:rsid w:val="00B1511E"/>
    <w:rsid w:val="00B1559E"/>
    <w:rsid w:val="00B15FF5"/>
    <w:rsid w:val="00B163F7"/>
    <w:rsid w:val="00B164E8"/>
    <w:rsid w:val="00B16695"/>
    <w:rsid w:val="00B16B26"/>
    <w:rsid w:val="00B16FB1"/>
    <w:rsid w:val="00B171A8"/>
    <w:rsid w:val="00B1720E"/>
    <w:rsid w:val="00B1726D"/>
    <w:rsid w:val="00B17404"/>
    <w:rsid w:val="00B17D27"/>
    <w:rsid w:val="00B20401"/>
    <w:rsid w:val="00B207BE"/>
    <w:rsid w:val="00B209D3"/>
    <w:rsid w:val="00B211DD"/>
    <w:rsid w:val="00B21291"/>
    <w:rsid w:val="00B21612"/>
    <w:rsid w:val="00B21E6E"/>
    <w:rsid w:val="00B220A8"/>
    <w:rsid w:val="00B224E7"/>
    <w:rsid w:val="00B22512"/>
    <w:rsid w:val="00B225C0"/>
    <w:rsid w:val="00B22BCA"/>
    <w:rsid w:val="00B23436"/>
    <w:rsid w:val="00B2381F"/>
    <w:rsid w:val="00B23A57"/>
    <w:rsid w:val="00B23E51"/>
    <w:rsid w:val="00B241EF"/>
    <w:rsid w:val="00B24456"/>
    <w:rsid w:val="00B24719"/>
    <w:rsid w:val="00B249B4"/>
    <w:rsid w:val="00B25B21"/>
    <w:rsid w:val="00B26153"/>
    <w:rsid w:val="00B266A1"/>
    <w:rsid w:val="00B26A44"/>
    <w:rsid w:val="00B26C8E"/>
    <w:rsid w:val="00B2709E"/>
    <w:rsid w:val="00B27519"/>
    <w:rsid w:val="00B27733"/>
    <w:rsid w:val="00B2791C"/>
    <w:rsid w:val="00B27989"/>
    <w:rsid w:val="00B27AF9"/>
    <w:rsid w:val="00B3009B"/>
    <w:rsid w:val="00B31053"/>
    <w:rsid w:val="00B31118"/>
    <w:rsid w:val="00B316B4"/>
    <w:rsid w:val="00B31ECF"/>
    <w:rsid w:val="00B31FA3"/>
    <w:rsid w:val="00B324FB"/>
    <w:rsid w:val="00B32A7F"/>
    <w:rsid w:val="00B32CD8"/>
    <w:rsid w:val="00B33108"/>
    <w:rsid w:val="00B33250"/>
    <w:rsid w:val="00B336B3"/>
    <w:rsid w:val="00B33D36"/>
    <w:rsid w:val="00B33E27"/>
    <w:rsid w:val="00B341D7"/>
    <w:rsid w:val="00B3440C"/>
    <w:rsid w:val="00B3465A"/>
    <w:rsid w:val="00B34942"/>
    <w:rsid w:val="00B34C34"/>
    <w:rsid w:val="00B34EDF"/>
    <w:rsid w:val="00B350DA"/>
    <w:rsid w:val="00B35980"/>
    <w:rsid w:val="00B35C80"/>
    <w:rsid w:val="00B36767"/>
    <w:rsid w:val="00B36D1F"/>
    <w:rsid w:val="00B370BE"/>
    <w:rsid w:val="00B371C8"/>
    <w:rsid w:val="00B37232"/>
    <w:rsid w:val="00B376E5"/>
    <w:rsid w:val="00B37879"/>
    <w:rsid w:val="00B379B8"/>
    <w:rsid w:val="00B37BB4"/>
    <w:rsid w:val="00B37BB6"/>
    <w:rsid w:val="00B37D88"/>
    <w:rsid w:val="00B37D95"/>
    <w:rsid w:val="00B40040"/>
    <w:rsid w:val="00B403F4"/>
    <w:rsid w:val="00B405C5"/>
    <w:rsid w:val="00B4093A"/>
    <w:rsid w:val="00B4093F"/>
    <w:rsid w:val="00B415EE"/>
    <w:rsid w:val="00B416C0"/>
    <w:rsid w:val="00B41706"/>
    <w:rsid w:val="00B420C3"/>
    <w:rsid w:val="00B4269F"/>
    <w:rsid w:val="00B428B5"/>
    <w:rsid w:val="00B429CC"/>
    <w:rsid w:val="00B42ABA"/>
    <w:rsid w:val="00B4365B"/>
    <w:rsid w:val="00B441F0"/>
    <w:rsid w:val="00B44BE8"/>
    <w:rsid w:val="00B450E8"/>
    <w:rsid w:val="00B4517B"/>
    <w:rsid w:val="00B45708"/>
    <w:rsid w:val="00B45E52"/>
    <w:rsid w:val="00B4693E"/>
    <w:rsid w:val="00B46B64"/>
    <w:rsid w:val="00B473D0"/>
    <w:rsid w:val="00B47887"/>
    <w:rsid w:val="00B4794A"/>
    <w:rsid w:val="00B50A1E"/>
    <w:rsid w:val="00B50A3A"/>
    <w:rsid w:val="00B50C7F"/>
    <w:rsid w:val="00B50D3E"/>
    <w:rsid w:val="00B51013"/>
    <w:rsid w:val="00B51543"/>
    <w:rsid w:val="00B51A90"/>
    <w:rsid w:val="00B51CA6"/>
    <w:rsid w:val="00B51D24"/>
    <w:rsid w:val="00B51D7A"/>
    <w:rsid w:val="00B5203D"/>
    <w:rsid w:val="00B528FB"/>
    <w:rsid w:val="00B53865"/>
    <w:rsid w:val="00B53A4B"/>
    <w:rsid w:val="00B53B8B"/>
    <w:rsid w:val="00B53F52"/>
    <w:rsid w:val="00B54007"/>
    <w:rsid w:val="00B54628"/>
    <w:rsid w:val="00B5494F"/>
    <w:rsid w:val="00B54F59"/>
    <w:rsid w:val="00B55535"/>
    <w:rsid w:val="00B55AD2"/>
    <w:rsid w:val="00B55DDC"/>
    <w:rsid w:val="00B55F2A"/>
    <w:rsid w:val="00B56311"/>
    <w:rsid w:val="00B56486"/>
    <w:rsid w:val="00B5652D"/>
    <w:rsid w:val="00B568EF"/>
    <w:rsid w:val="00B57074"/>
    <w:rsid w:val="00B571E5"/>
    <w:rsid w:val="00B57DBF"/>
    <w:rsid w:val="00B609BD"/>
    <w:rsid w:val="00B611A5"/>
    <w:rsid w:val="00B61416"/>
    <w:rsid w:val="00B61458"/>
    <w:rsid w:val="00B619E5"/>
    <w:rsid w:val="00B6258D"/>
    <w:rsid w:val="00B628DD"/>
    <w:rsid w:val="00B62C23"/>
    <w:rsid w:val="00B62EA2"/>
    <w:rsid w:val="00B6377B"/>
    <w:rsid w:val="00B63C08"/>
    <w:rsid w:val="00B6407E"/>
    <w:rsid w:val="00B640D8"/>
    <w:rsid w:val="00B64384"/>
    <w:rsid w:val="00B643C0"/>
    <w:rsid w:val="00B649F5"/>
    <w:rsid w:val="00B6678C"/>
    <w:rsid w:val="00B669C4"/>
    <w:rsid w:val="00B66FF8"/>
    <w:rsid w:val="00B67211"/>
    <w:rsid w:val="00B6724E"/>
    <w:rsid w:val="00B675E5"/>
    <w:rsid w:val="00B6777C"/>
    <w:rsid w:val="00B67B0E"/>
    <w:rsid w:val="00B67D19"/>
    <w:rsid w:val="00B67ECA"/>
    <w:rsid w:val="00B67F9B"/>
    <w:rsid w:val="00B70526"/>
    <w:rsid w:val="00B705A0"/>
    <w:rsid w:val="00B70C6F"/>
    <w:rsid w:val="00B70FDF"/>
    <w:rsid w:val="00B710A9"/>
    <w:rsid w:val="00B71901"/>
    <w:rsid w:val="00B719ED"/>
    <w:rsid w:val="00B71BB5"/>
    <w:rsid w:val="00B72AFD"/>
    <w:rsid w:val="00B72B05"/>
    <w:rsid w:val="00B737CD"/>
    <w:rsid w:val="00B73B55"/>
    <w:rsid w:val="00B73E3F"/>
    <w:rsid w:val="00B73E51"/>
    <w:rsid w:val="00B73EE0"/>
    <w:rsid w:val="00B7478F"/>
    <w:rsid w:val="00B7497B"/>
    <w:rsid w:val="00B74B7C"/>
    <w:rsid w:val="00B75613"/>
    <w:rsid w:val="00B75706"/>
    <w:rsid w:val="00B761C3"/>
    <w:rsid w:val="00B76768"/>
    <w:rsid w:val="00B7678D"/>
    <w:rsid w:val="00B76848"/>
    <w:rsid w:val="00B76944"/>
    <w:rsid w:val="00B769D8"/>
    <w:rsid w:val="00B770D6"/>
    <w:rsid w:val="00B7756F"/>
    <w:rsid w:val="00B777E2"/>
    <w:rsid w:val="00B77AC2"/>
    <w:rsid w:val="00B800DE"/>
    <w:rsid w:val="00B80987"/>
    <w:rsid w:val="00B82534"/>
    <w:rsid w:val="00B825B3"/>
    <w:rsid w:val="00B827E1"/>
    <w:rsid w:val="00B831F0"/>
    <w:rsid w:val="00B8369B"/>
    <w:rsid w:val="00B83728"/>
    <w:rsid w:val="00B838E6"/>
    <w:rsid w:val="00B83A49"/>
    <w:rsid w:val="00B83BED"/>
    <w:rsid w:val="00B84407"/>
    <w:rsid w:val="00B844FB"/>
    <w:rsid w:val="00B84846"/>
    <w:rsid w:val="00B84942"/>
    <w:rsid w:val="00B85236"/>
    <w:rsid w:val="00B85C60"/>
    <w:rsid w:val="00B85EF1"/>
    <w:rsid w:val="00B85FC3"/>
    <w:rsid w:val="00B868C1"/>
    <w:rsid w:val="00B868D0"/>
    <w:rsid w:val="00B868FC"/>
    <w:rsid w:val="00B86923"/>
    <w:rsid w:val="00B86984"/>
    <w:rsid w:val="00B8699A"/>
    <w:rsid w:val="00B86A80"/>
    <w:rsid w:val="00B86DB8"/>
    <w:rsid w:val="00B87140"/>
    <w:rsid w:val="00B8762F"/>
    <w:rsid w:val="00B87A3C"/>
    <w:rsid w:val="00B902D6"/>
    <w:rsid w:val="00B91920"/>
    <w:rsid w:val="00B91D6A"/>
    <w:rsid w:val="00B91F1B"/>
    <w:rsid w:val="00B92CF4"/>
    <w:rsid w:val="00B92D95"/>
    <w:rsid w:val="00B92F43"/>
    <w:rsid w:val="00B92F62"/>
    <w:rsid w:val="00B92FE7"/>
    <w:rsid w:val="00B93BC6"/>
    <w:rsid w:val="00B94091"/>
    <w:rsid w:val="00B946E2"/>
    <w:rsid w:val="00B94D50"/>
    <w:rsid w:val="00B94F01"/>
    <w:rsid w:val="00B94FFC"/>
    <w:rsid w:val="00B952C2"/>
    <w:rsid w:val="00B953FA"/>
    <w:rsid w:val="00B956E3"/>
    <w:rsid w:val="00B95F15"/>
    <w:rsid w:val="00B9603A"/>
    <w:rsid w:val="00B9623C"/>
    <w:rsid w:val="00B962C9"/>
    <w:rsid w:val="00B96636"/>
    <w:rsid w:val="00B96676"/>
    <w:rsid w:val="00B96971"/>
    <w:rsid w:val="00B97339"/>
    <w:rsid w:val="00B9753F"/>
    <w:rsid w:val="00B975DF"/>
    <w:rsid w:val="00B97676"/>
    <w:rsid w:val="00BA027D"/>
    <w:rsid w:val="00BA09D3"/>
    <w:rsid w:val="00BA0FEB"/>
    <w:rsid w:val="00BA15AF"/>
    <w:rsid w:val="00BA18AB"/>
    <w:rsid w:val="00BA271F"/>
    <w:rsid w:val="00BA293A"/>
    <w:rsid w:val="00BA2AAA"/>
    <w:rsid w:val="00BA2F1A"/>
    <w:rsid w:val="00BA3863"/>
    <w:rsid w:val="00BA3D7F"/>
    <w:rsid w:val="00BA4921"/>
    <w:rsid w:val="00BA5141"/>
    <w:rsid w:val="00BA52D5"/>
    <w:rsid w:val="00BA5326"/>
    <w:rsid w:val="00BA5530"/>
    <w:rsid w:val="00BA5BE4"/>
    <w:rsid w:val="00BA6B9B"/>
    <w:rsid w:val="00BA6C1E"/>
    <w:rsid w:val="00BA6DAC"/>
    <w:rsid w:val="00BA6F01"/>
    <w:rsid w:val="00BA6FE3"/>
    <w:rsid w:val="00BA744A"/>
    <w:rsid w:val="00BA751F"/>
    <w:rsid w:val="00BA79F3"/>
    <w:rsid w:val="00BA7FDA"/>
    <w:rsid w:val="00BB0764"/>
    <w:rsid w:val="00BB0AAA"/>
    <w:rsid w:val="00BB0CDD"/>
    <w:rsid w:val="00BB1140"/>
    <w:rsid w:val="00BB13C2"/>
    <w:rsid w:val="00BB17E6"/>
    <w:rsid w:val="00BB1AC7"/>
    <w:rsid w:val="00BB21D4"/>
    <w:rsid w:val="00BB241E"/>
    <w:rsid w:val="00BB27B8"/>
    <w:rsid w:val="00BB285B"/>
    <w:rsid w:val="00BB2B04"/>
    <w:rsid w:val="00BB3985"/>
    <w:rsid w:val="00BB4B99"/>
    <w:rsid w:val="00BB55B2"/>
    <w:rsid w:val="00BB5CAD"/>
    <w:rsid w:val="00BB5ED6"/>
    <w:rsid w:val="00BB5EE9"/>
    <w:rsid w:val="00BB6414"/>
    <w:rsid w:val="00BB6AE9"/>
    <w:rsid w:val="00BB6B4C"/>
    <w:rsid w:val="00BB796D"/>
    <w:rsid w:val="00BB7A72"/>
    <w:rsid w:val="00BB7C33"/>
    <w:rsid w:val="00BC00A1"/>
    <w:rsid w:val="00BC0140"/>
    <w:rsid w:val="00BC0410"/>
    <w:rsid w:val="00BC071E"/>
    <w:rsid w:val="00BC13FF"/>
    <w:rsid w:val="00BC143B"/>
    <w:rsid w:val="00BC197D"/>
    <w:rsid w:val="00BC1A95"/>
    <w:rsid w:val="00BC1C84"/>
    <w:rsid w:val="00BC1F6E"/>
    <w:rsid w:val="00BC2DD1"/>
    <w:rsid w:val="00BC4426"/>
    <w:rsid w:val="00BC4A53"/>
    <w:rsid w:val="00BC4AE0"/>
    <w:rsid w:val="00BC501B"/>
    <w:rsid w:val="00BC502E"/>
    <w:rsid w:val="00BC59D5"/>
    <w:rsid w:val="00BC5BD6"/>
    <w:rsid w:val="00BC5C1B"/>
    <w:rsid w:val="00BC5DEB"/>
    <w:rsid w:val="00BC6293"/>
    <w:rsid w:val="00BC6569"/>
    <w:rsid w:val="00BC6C20"/>
    <w:rsid w:val="00BC6C33"/>
    <w:rsid w:val="00BC74BF"/>
    <w:rsid w:val="00BC7BDE"/>
    <w:rsid w:val="00BC7C76"/>
    <w:rsid w:val="00BC7FEC"/>
    <w:rsid w:val="00BD00E2"/>
    <w:rsid w:val="00BD04C0"/>
    <w:rsid w:val="00BD0BFE"/>
    <w:rsid w:val="00BD0C86"/>
    <w:rsid w:val="00BD12A6"/>
    <w:rsid w:val="00BD144B"/>
    <w:rsid w:val="00BD1A16"/>
    <w:rsid w:val="00BD1D47"/>
    <w:rsid w:val="00BD2161"/>
    <w:rsid w:val="00BD21E1"/>
    <w:rsid w:val="00BD25C6"/>
    <w:rsid w:val="00BD2951"/>
    <w:rsid w:val="00BD3497"/>
    <w:rsid w:val="00BD363E"/>
    <w:rsid w:val="00BD41F7"/>
    <w:rsid w:val="00BD448B"/>
    <w:rsid w:val="00BD46CA"/>
    <w:rsid w:val="00BD4AA7"/>
    <w:rsid w:val="00BD5A4D"/>
    <w:rsid w:val="00BD6274"/>
    <w:rsid w:val="00BD6943"/>
    <w:rsid w:val="00BD6986"/>
    <w:rsid w:val="00BD6D42"/>
    <w:rsid w:val="00BD6DA6"/>
    <w:rsid w:val="00BD6E01"/>
    <w:rsid w:val="00BD6EF6"/>
    <w:rsid w:val="00BD7190"/>
    <w:rsid w:val="00BD7DF0"/>
    <w:rsid w:val="00BE02ED"/>
    <w:rsid w:val="00BE0901"/>
    <w:rsid w:val="00BE0959"/>
    <w:rsid w:val="00BE1189"/>
    <w:rsid w:val="00BE14A2"/>
    <w:rsid w:val="00BE156A"/>
    <w:rsid w:val="00BE1974"/>
    <w:rsid w:val="00BE1D14"/>
    <w:rsid w:val="00BE1FAE"/>
    <w:rsid w:val="00BE2629"/>
    <w:rsid w:val="00BE2964"/>
    <w:rsid w:val="00BE2982"/>
    <w:rsid w:val="00BE39FF"/>
    <w:rsid w:val="00BE479F"/>
    <w:rsid w:val="00BE49A4"/>
    <w:rsid w:val="00BE50C2"/>
    <w:rsid w:val="00BE53E7"/>
    <w:rsid w:val="00BE5908"/>
    <w:rsid w:val="00BE63E4"/>
    <w:rsid w:val="00BE6476"/>
    <w:rsid w:val="00BE7055"/>
    <w:rsid w:val="00BE7626"/>
    <w:rsid w:val="00BE7D5A"/>
    <w:rsid w:val="00BE7ECB"/>
    <w:rsid w:val="00BF0140"/>
    <w:rsid w:val="00BF0837"/>
    <w:rsid w:val="00BF09BD"/>
    <w:rsid w:val="00BF0CDD"/>
    <w:rsid w:val="00BF1DF1"/>
    <w:rsid w:val="00BF310D"/>
    <w:rsid w:val="00BF33E3"/>
    <w:rsid w:val="00BF3C1F"/>
    <w:rsid w:val="00BF3C46"/>
    <w:rsid w:val="00BF433F"/>
    <w:rsid w:val="00BF4603"/>
    <w:rsid w:val="00BF466F"/>
    <w:rsid w:val="00BF46F5"/>
    <w:rsid w:val="00BF494F"/>
    <w:rsid w:val="00BF4D69"/>
    <w:rsid w:val="00BF5B53"/>
    <w:rsid w:val="00BF5DDB"/>
    <w:rsid w:val="00BF6970"/>
    <w:rsid w:val="00BF6DD8"/>
    <w:rsid w:val="00BF7D4C"/>
    <w:rsid w:val="00C0002A"/>
    <w:rsid w:val="00C0039A"/>
    <w:rsid w:val="00C003C1"/>
    <w:rsid w:val="00C01236"/>
    <w:rsid w:val="00C01EAD"/>
    <w:rsid w:val="00C0202B"/>
    <w:rsid w:val="00C0283C"/>
    <w:rsid w:val="00C02E74"/>
    <w:rsid w:val="00C03734"/>
    <w:rsid w:val="00C039CD"/>
    <w:rsid w:val="00C03D2B"/>
    <w:rsid w:val="00C046A7"/>
    <w:rsid w:val="00C04EE7"/>
    <w:rsid w:val="00C052EB"/>
    <w:rsid w:val="00C05AD1"/>
    <w:rsid w:val="00C05ADA"/>
    <w:rsid w:val="00C05E4A"/>
    <w:rsid w:val="00C06089"/>
    <w:rsid w:val="00C06906"/>
    <w:rsid w:val="00C06B2D"/>
    <w:rsid w:val="00C06C61"/>
    <w:rsid w:val="00C06EDE"/>
    <w:rsid w:val="00C079DC"/>
    <w:rsid w:val="00C10229"/>
    <w:rsid w:val="00C1047D"/>
    <w:rsid w:val="00C109AF"/>
    <w:rsid w:val="00C10BE9"/>
    <w:rsid w:val="00C111DD"/>
    <w:rsid w:val="00C11BFF"/>
    <w:rsid w:val="00C11C64"/>
    <w:rsid w:val="00C11EB9"/>
    <w:rsid w:val="00C1344C"/>
    <w:rsid w:val="00C13A33"/>
    <w:rsid w:val="00C13C67"/>
    <w:rsid w:val="00C13F13"/>
    <w:rsid w:val="00C14251"/>
    <w:rsid w:val="00C14480"/>
    <w:rsid w:val="00C14DFE"/>
    <w:rsid w:val="00C14EF1"/>
    <w:rsid w:val="00C14FE6"/>
    <w:rsid w:val="00C15436"/>
    <w:rsid w:val="00C15F77"/>
    <w:rsid w:val="00C166D9"/>
    <w:rsid w:val="00C16707"/>
    <w:rsid w:val="00C17C81"/>
    <w:rsid w:val="00C200EE"/>
    <w:rsid w:val="00C203E5"/>
    <w:rsid w:val="00C20610"/>
    <w:rsid w:val="00C20C12"/>
    <w:rsid w:val="00C20C31"/>
    <w:rsid w:val="00C210BE"/>
    <w:rsid w:val="00C21361"/>
    <w:rsid w:val="00C21493"/>
    <w:rsid w:val="00C218DE"/>
    <w:rsid w:val="00C219E5"/>
    <w:rsid w:val="00C2234B"/>
    <w:rsid w:val="00C230DE"/>
    <w:rsid w:val="00C2377B"/>
    <w:rsid w:val="00C237C9"/>
    <w:rsid w:val="00C238EB"/>
    <w:rsid w:val="00C23E3B"/>
    <w:rsid w:val="00C23EB4"/>
    <w:rsid w:val="00C249B3"/>
    <w:rsid w:val="00C24BE3"/>
    <w:rsid w:val="00C24D4C"/>
    <w:rsid w:val="00C25014"/>
    <w:rsid w:val="00C261B0"/>
    <w:rsid w:val="00C269DE"/>
    <w:rsid w:val="00C2714F"/>
    <w:rsid w:val="00C27200"/>
    <w:rsid w:val="00C2744D"/>
    <w:rsid w:val="00C27D0F"/>
    <w:rsid w:val="00C30047"/>
    <w:rsid w:val="00C30187"/>
    <w:rsid w:val="00C31111"/>
    <w:rsid w:val="00C31398"/>
    <w:rsid w:val="00C31987"/>
    <w:rsid w:val="00C31D52"/>
    <w:rsid w:val="00C31DDB"/>
    <w:rsid w:val="00C3228C"/>
    <w:rsid w:val="00C32D04"/>
    <w:rsid w:val="00C3361E"/>
    <w:rsid w:val="00C3367A"/>
    <w:rsid w:val="00C33A10"/>
    <w:rsid w:val="00C33FD7"/>
    <w:rsid w:val="00C342A0"/>
    <w:rsid w:val="00C34346"/>
    <w:rsid w:val="00C34E1D"/>
    <w:rsid w:val="00C35025"/>
    <w:rsid w:val="00C35177"/>
    <w:rsid w:val="00C35268"/>
    <w:rsid w:val="00C3563A"/>
    <w:rsid w:val="00C356E0"/>
    <w:rsid w:val="00C358F2"/>
    <w:rsid w:val="00C35CB1"/>
    <w:rsid w:val="00C35CB3"/>
    <w:rsid w:val="00C35FD4"/>
    <w:rsid w:val="00C36157"/>
    <w:rsid w:val="00C36364"/>
    <w:rsid w:val="00C3740B"/>
    <w:rsid w:val="00C3798C"/>
    <w:rsid w:val="00C37B9B"/>
    <w:rsid w:val="00C37C41"/>
    <w:rsid w:val="00C40EF2"/>
    <w:rsid w:val="00C40FF4"/>
    <w:rsid w:val="00C41002"/>
    <w:rsid w:val="00C41A25"/>
    <w:rsid w:val="00C4205F"/>
    <w:rsid w:val="00C4230C"/>
    <w:rsid w:val="00C4331F"/>
    <w:rsid w:val="00C43642"/>
    <w:rsid w:val="00C43821"/>
    <w:rsid w:val="00C43E5E"/>
    <w:rsid w:val="00C43F49"/>
    <w:rsid w:val="00C4401B"/>
    <w:rsid w:val="00C449ED"/>
    <w:rsid w:val="00C44E73"/>
    <w:rsid w:val="00C45CCB"/>
    <w:rsid w:val="00C45ED9"/>
    <w:rsid w:val="00C460BB"/>
    <w:rsid w:val="00C46151"/>
    <w:rsid w:val="00C46623"/>
    <w:rsid w:val="00C468E0"/>
    <w:rsid w:val="00C46EFC"/>
    <w:rsid w:val="00C4703B"/>
    <w:rsid w:val="00C47C09"/>
    <w:rsid w:val="00C5032A"/>
    <w:rsid w:val="00C50454"/>
    <w:rsid w:val="00C50EE4"/>
    <w:rsid w:val="00C51327"/>
    <w:rsid w:val="00C513E3"/>
    <w:rsid w:val="00C514AB"/>
    <w:rsid w:val="00C51553"/>
    <w:rsid w:val="00C520B9"/>
    <w:rsid w:val="00C52777"/>
    <w:rsid w:val="00C52A9B"/>
    <w:rsid w:val="00C52CD1"/>
    <w:rsid w:val="00C52DAA"/>
    <w:rsid w:val="00C52E3B"/>
    <w:rsid w:val="00C53471"/>
    <w:rsid w:val="00C53A8B"/>
    <w:rsid w:val="00C541CD"/>
    <w:rsid w:val="00C54A3A"/>
    <w:rsid w:val="00C55289"/>
    <w:rsid w:val="00C5546C"/>
    <w:rsid w:val="00C5580E"/>
    <w:rsid w:val="00C55A4C"/>
    <w:rsid w:val="00C5653A"/>
    <w:rsid w:val="00C56795"/>
    <w:rsid w:val="00C573BE"/>
    <w:rsid w:val="00C575B6"/>
    <w:rsid w:val="00C575F8"/>
    <w:rsid w:val="00C577BF"/>
    <w:rsid w:val="00C60816"/>
    <w:rsid w:val="00C60C82"/>
    <w:rsid w:val="00C60FCA"/>
    <w:rsid w:val="00C61B90"/>
    <w:rsid w:val="00C61E05"/>
    <w:rsid w:val="00C61F2E"/>
    <w:rsid w:val="00C624DE"/>
    <w:rsid w:val="00C6259C"/>
    <w:rsid w:val="00C62D3A"/>
    <w:rsid w:val="00C63253"/>
    <w:rsid w:val="00C633FC"/>
    <w:rsid w:val="00C63D4E"/>
    <w:rsid w:val="00C642CF"/>
    <w:rsid w:val="00C646D8"/>
    <w:rsid w:val="00C64A7B"/>
    <w:rsid w:val="00C65681"/>
    <w:rsid w:val="00C6631D"/>
    <w:rsid w:val="00C66381"/>
    <w:rsid w:val="00C66578"/>
    <w:rsid w:val="00C66A95"/>
    <w:rsid w:val="00C66C15"/>
    <w:rsid w:val="00C679F5"/>
    <w:rsid w:val="00C67BED"/>
    <w:rsid w:val="00C67DC0"/>
    <w:rsid w:val="00C70122"/>
    <w:rsid w:val="00C70F89"/>
    <w:rsid w:val="00C71AF2"/>
    <w:rsid w:val="00C71DA7"/>
    <w:rsid w:val="00C71E84"/>
    <w:rsid w:val="00C723A7"/>
    <w:rsid w:val="00C723DA"/>
    <w:rsid w:val="00C72828"/>
    <w:rsid w:val="00C72EAD"/>
    <w:rsid w:val="00C73227"/>
    <w:rsid w:val="00C7448E"/>
    <w:rsid w:val="00C75558"/>
    <w:rsid w:val="00C75589"/>
    <w:rsid w:val="00C75634"/>
    <w:rsid w:val="00C756A0"/>
    <w:rsid w:val="00C75CF6"/>
    <w:rsid w:val="00C75CFE"/>
    <w:rsid w:val="00C75ED9"/>
    <w:rsid w:val="00C76067"/>
    <w:rsid w:val="00C76464"/>
    <w:rsid w:val="00C76573"/>
    <w:rsid w:val="00C76DB3"/>
    <w:rsid w:val="00C77658"/>
    <w:rsid w:val="00C80020"/>
    <w:rsid w:val="00C801E8"/>
    <w:rsid w:val="00C80268"/>
    <w:rsid w:val="00C802B8"/>
    <w:rsid w:val="00C80877"/>
    <w:rsid w:val="00C80AAD"/>
    <w:rsid w:val="00C80BD3"/>
    <w:rsid w:val="00C80FEC"/>
    <w:rsid w:val="00C814C0"/>
    <w:rsid w:val="00C816E1"/>
    <w:rsid w:val="00C81828"/>
    <w:rsid w:val="00C818FA"/>
    <w:rsid w:val="00C81A52"/>
    <w:rsid w:val="00C81CC7"/>
    <w:rsid w:val="00C82004"/>
    <w:rsid w:val="00C82762"/>
    <w:rsid w:val="00C829CF"/>
    <w:rsid w:val="00C82B73"/>
    <w:rsid w:val="00C836A7"/>
    <w:rsid w:val="00C83907"/>
    <w:rsid w:val="00C83FD7"/>
    <w:rsid w:val="00C841DD"/>
    <w:rsid w:val="00C84AD5"/>
    <w:rsid w:val="00C84E26"/>
    <w:rsid w:val="00C856E3"/>
    <w:rsid w:val="00C8576D"/>
    <w:rsid w:val="00C85B2A"/>
    <w:rsid w:val="00C8636D"/>
    <w:rsid w:val="00C86F57"/>
    <w:rsid w:val="00C87237"/>
    <w:rsid w:val="00C872E3"/>
    <w:rsid w:val="00C8778F"/>
    <w:rsid w:val="00C87CF6"/>
    <w:rsid w:val="00C90046"/>
    <w:rsid w:val="00C9008D"/>
    <w:rsid w:val="00C904D3"/>
    <w:rsid w:val="00C9052E"/>
    <w:rsid w:val="00C90716"/>
    <w:rsid w:val="00C90A9F"/>
    <w:rsid w:val="00C913C0"/>
    <w:rsid w:val="00C91C62"/>
    <w:rsid w:val="00C91D39"/>
    <w:rsid w:val="00C91E76"/>
    <w:rsid w:val="00C92808"/>
    <w:rsid w:val="00C92DA3"/>
    <w:rsid w:val="00C93F86"/>
    <w:rsid w:val="00C9422A"/>
    <w:rsid w:val="00C94F1C"/>
    <w:rsid w:val="00C9561B"/>
    <w:rsid w:val="00C9578B"/>
    <w:rsid w:val="00C9582B"/>
    <w:rsid w:val="00C95B34"/>
    <w:rsid w:val="00C95BE4"/>
    <w:rsid w:val="00C95C8D"/>
    <w:rsid w:val="00C9620D"/>
    <w:rsid w:val="00C9692F"/>
    <w:rsid w:val="00C972D2"/>
    <w:rsid w:val="00C9783E"/>
    <w:rsid w:val="00C97850"/>
    <w:rsid w:val="00C97AD6"/>
    <w:rsid w:val="00C97CC0"/>
    <w:rsid w:val="00CA0003"/>
    <w:rsid w:val="00CA013A"/>
    <w:rsid w:val="00CA034E"/>
    <w:rsid w:val="00CA072A"/>
    <w:rsid w:val="00CA0DD1"/>
    <w:rsid w:val="00CA1620"/>
    <w:rsid w:val="00CA19FA"/>
    <w:rsid w:val="00CA2044"/>
    <w:rsid w:val="00CA2ABF"/>
    <w:rsid w:val="00CA2AED"/>
    <w:rsid w:val="00CA2EBD"/>
    <w:rsid w:val="00CA31B1"/>
    <w:rsid w:val="00CA31C0"/>
    <w:rsid w:val="00CA3692"/>
    <w:rsid w:val="00CA4937"/>
    <w:rsid w:val="00CA4A17"/>
    <w:rsid w:val="00CA4EEA"/>
    <w:rsid w:val="00CA5F69"/>
    <w:rsid w:val="00CA60BE"/>
    <w:rsid w:val="00CA623B"/>
    <w:rsid w:val="00CA6B28"/>
    <w:rsid w:val="00CA763D"/>
    <w:rsid w:val="00CA778D"/>
    <w:rsid w:val="00CA7DF9"/>
    <w:rsid w:val="00CA7E63"/>
    <w:rsid w:val="00CA7E71"/>
    <w:rsid w:val="00CB014A"/>
    <w:rsid w:val="00CB05D1"/>
    <w:rsid w:val="00CB06BA"/>
    <w:rsid w:val="00CB093F"/>
    <w:rsid w:val="00CB0E8C"/>
    <w:rsid w:val="00CB10C8"/>
    <w:rsid w:val="00CB27F3"/>
    <w:rsid w:val="00CB2ACE"/>
    <w:rsid w:val="00CB3DDF"/>
    <w:rsid w:val="00CB516E"/>
    <w:rsid w:val="00CB5584"/>
    <w:rsid w:val="00CB571C"/>
    <w:rsid w:val="00CB5957"/>
    <w:rsid w:val="00CB5B82"/>
    <w:rsid w:val="00CB5E04"/>
    <w:rsid w:val="00CB6084"/>
    <w:rsid w:val="00CB65C7"/>
    <w:rsid w:val="00CB67C9"/>
    <w:rsid w:val="00CB69CF"/>
    <w:rsid w:val="00CB6B1F"/>
    <w:rsid w:val="00CB7192"/>
    <w:rsid w:val="00CB7327"/>
    <w:rsid w:val="00CB7551"/>
    <w:rsid w:val="00CB7812"/>
    <w:rsid w:val="00CB7BD0"/>
    <w:rsid w:val="00CB7EB6"/>
    <w:rsid w:val="00CC0074"/>
    <w:rsid w:val="00CC02C6"/>
    <w:rsid w:val="00CC0888"/>
    <w:rsid w:val="00CC0A6B"/>
    <w:rsid w:val="00CC11B9"/>
    <w:rsid w:val="00CC1281"/>
    <w:rsid w:val="00CC1E51"/>
    <w:rsid w:val="00CC2080"/>
    <w:rsid w:val="00CC2CD4"/>
    <w:rsid w:val="00CC2E65"/>
    <w:rsid w:val="00CC34D9"/>
    <w:rsid w:val="00CC38A4"/>
    <w:rsid w:val="00CC4420"/>
    <w:rsid w:val="00CC4807"/>
    <w:rsid w:val="00CC4D8E"/>
    <w:rsid w:val="00CC5B17"/>
    <w:rsid w:val="00CC672F"/>
    <w:rsid w:val="00CC6D2E"/>
    <w:rsid w:val="00CC72D8"/>
    <w:rsid w:val="00CC78CB"/>
    <w:rsid w:val="00CC7BA7"/>
    <w:rsid w:val="00CD084F"/>
    <w:rsid w:val="00CD0A8E"/>
    <w:rsid w:val="00CD0C23"/>
    <w:rsid w:val="00CD1192"/>
    <w:rsid w:val="00CD129A"/>
    <w:rsid w:val="00CD1718"/>
    <w:rsid w:val="00CD22B5"/>
    <w:rsid w:val="00CD26B7"/>
    <w:rsid w:val="00CD2C2A"/>
    <w:rsid w:val="00CD2E5C"/>
    <w:rsid w:val="00CD3180"/>
    <w:rsid w:val="00CD35C5"/>
    <w:rsid w:val="00CD3BE5"/>
    <w:rsid w:val="00CD3F14"/>
    <w:rsid w:val="00CD47D2"/>
    <w:rsid w:val="00CD4831"/>
    <w:rsid w:val="00CD4DAD"/>
    <w:rsid w:val="00CD51BF"/>
    <w:rsid w:val="00CD6147"/>
    <w:rsid w:val="00CD628C"/>
    <w:rsid w:val="00CD6CEC"/>
    <w:rsid w:val="00CD743A"/>
    <w:rsid w:val="00CD7854"/>
    <w:rsid w:val="00CD7B96"/>
    <w:rsid w:val="00CD7D57"/>
    <w:rsid w:val="00CD7E1E"/>
    <w:rsid w:val="00CD7EC3"/>
    <w:rsid w:val="00CE0223"/>
    <w:rsid w:val="00CE0E52"/>
    <w:rsid w:val="00CE0E85"/>
    <w:rsid w:val="00CE1163"/>
    <w:rsid w:val="00CE15A2"/>
    <w:rsid w:val="00CE1730"/>
    <w:rsid w:val="00CE175D"/>
    <w:rsid w:val="00CE1936"/>
    <w:rsid w:val="00CE1F67"/>
    <w:rsid w:val="00CE2068"/>
    <w:rsid w:val="00CE2373"/>
    <w:rsid w:val="00CE2EFA"/>
    <w:rsid w:val="00CE32F3"/>
    <w:rsid w:val="00CE3666"/>
    <w:rsid w:val="00CE3684"/>
    <w:rsid w:val="00CE36D9"/>
    <w:rsid w:val="00CE3EA5"/>
    <w:rsid w:val="00CE41EA"/>
    <w:rsid w:val="00CE4225"/>
    <w:rsid w:val="00CE46A3"/>
    <w:rsid w:val="00CE488F"/>
    <w:rsid w:val="00CE4A5D"/>
    <w:rsid w:val="00CE4BAC"/>
    <w:rsid w:val="00CE4C17"/>
    <w:rsid w:val="00CE4C7C"/>
    <w:rsid w:val="00CE4CCB"/>
    <w:rsid w:val="00CE596F"/>
    <w:rsid w:val="00CE5FD8"/>
    <w:rsid w:val="00CE6394"/>
    <w:rsid w:val="00CE656B"/>
    <w:rsid w:val="00CE6598"/>
    <w:rsid w:val="00CE6BB0"/>
    <w:rsid w:val="00CE6E91"/>
    <w:rsid w:val="00CE732C"/>
    <w:rsid w:val="00CE74CE"/>
    <w:rsid w:val="00CE7962"/>
    <w:rsid w:val="00CE7D27"/>
    <w:rsid w:val="00CE7D31"/>
    <w:rsid w:val="00CF01C0"/>
    <w:rsid w:val="00CF0212"/>
    <w:rsid w:val="00CF05A4"/>
    <w:rsid w:val="00CF08E2"/>
    <w:rsid w:val="00CF0989"/>
    <w:rsid w:val="00CF0D48"/>
    <w:rsid w:val="00CF0F92"/>
    <w:rsid w:val="00CF1CED"/>
    <w:rsid w:val="00CF2919"/>
    <w:rsid w:val="00CF36D6"/>
    <w:rsid w:val="00CF41EC"/>
    <w:rsid w:val="00CF4296"/>
    <w:rsid w:val="00CF49B0"/>
    <w:rsid w:val="00CF4F1D"/>
    <w:rsid w:val="00CF51CB"/>
    <w:rsid w:val="00CF5579"/>
    <w:rsid w:val="00CF5E72"/>
    <w:rsid w:val="00CF5EF6"/>
    <w:rsid w:val="00CF622C"/>
    <w:rsid w:val="00CF6FF1"/>
    <w:rsid w:val="00CF70AB"/>
    <w:rsid w:val="00CF70E1"/>
    <w:rsid w:val="00CF75ED"/>
    <w:rsid w:val="00CF79FD"/>
    <w:rsid w:val="00D005F1"/>
    <w:rsid w:val="00D0072B"/>
    <w:rsid w:val="00D00BD3"/>
    <w:rsid w:val="00D014A8"/>
    <w:rsid w:val="00D02921"/>
    <w:rsid w:val="00D0317F"/>
    <w:rsid w:val="00D03B40"/>
    <w:rsid w:val="00D03BBF"/>
    <w:rsid w:val="00D04288"/>
    <w:rsid w:val="00D04641"/>
    <w:rsid w:val="00D0464F"/>
    <w:rsid w:val="00D05045"/>
    <w:rsid w:val="00D05136"/>
    <w:rsid w:val="00D06E1A"/>
    <w:rsid w:val="00D07152"/>
    <w:rsid w:val="00D079B3"/>
    <w:rsid w:val="00D10F90"/>
    <w:rsid w:val="00D115E9"/>
    <w:rsid w:val="00D11DDC"/>
    <w:rsid w:val="00D11E9D"/>
    <w:rsid w:val="00D1344E"/>
    <w:rsid w:val="00D1348F"/>
    <w:rsid w:val="00D135C2"/>
    <w:rsid w:val="00D13824"/>
    <w:rsid w:val="00D13CDF"/>
    <w:rsid w:val="00D13F31"/>
    <w:rsid w:val="00D141C3"/>
    <w:rsid w:val="00D149AF"/>
    <w:rsid w:val="00D149F0"/>
    <w:rsid w:val="00D1529C"/>
    <w:rsid w:val="00D152FB"/>
    <w:rsid w:val="00D15B48"/>
    <w:rsid w:val="00D15E07"/>
    <w:rsid w:val="00D165A3"/>
    <w:rsid w:val="00D16724"/>
    <w:rsid w:val="00D1679E"/>
    <w:rsid w:val="00D169D9"/>
    <w:rsid w:val="00D17398"/>
    <w:rsid w:val="00D1768E"/>
    <w:rsid w:val="00D203EC"/>
    <w:rsid w:val="00D2073B"/>
    <w:rsid w:val="00D20768"/>
    <w:rsid w:val="00D20A8D"/>
    <w:rsid w:val="00D211A1"/>
    <w:rsid w:val="00D21441"/>
    <w:rsid w:val="00D21647"/>
    <w:rsid w:val="00D2183D"/>
    <w:rsid w:val="00D21C39"/>
    <w:rsid w:val="00D21F14"/>
    <w:rsid w:val="00D22522"/>
    <w:rsid w:val="00D22868"/>
    <w:rsid w:val="00D22DA4"/>
    <w:rsid w:val="00D23A47"/>
    <w:rsid w:val="00D23AA1"/>
    <w:rsid w:val="00D23D27"/>
    <w:rsid w:val="00D23D2D"/>
    <w:rsid w:val="00D24234"/>
    <w:rsid w:val="00D242DA"/>
    <w:rsid w:val="00D24A32"/>
    <w:rsid w:val="00D24B4F"/>
    <w:rsid w:val="00D24B73"/>
    <w:rsid w:val="00D24FD9"/>
    <w:rsid w:val="00D25015"/>
    <w:rsid w:val="00D25702"/>
    <w:rsid w:val="00D262D5"/>
    <w:rsid w:val="00D26B45"/>
    <w:rsid w:val="00D2714E"/>
    <w:rsid w:val="00D273F5"/>
    <w:rsid w:val="00D2741A"/>
    <w:rsid w:val="00D27B7E"/>
    <w:rsid w:val="00D27C4C"/>
    <w:rsid w:val="00D27E1B"/>
    <w:rsid w:val="00D30396"/>
    <w:rsid w:val="00D303CE"/>
    <w:rsid w:val="00D30404"/>
    <w:rsid w:val="00D30857"/>
    <w:rsid w:val="00D30EF3"/>
    <w:rsid w:val="00D30F49"/>
    <w:rsid w:val="00D311BF"/>
    <w:rsid w:val="00D311E3"/>
    <w:rsid w:val="00D31543"/>
    <w:rsid w:val="00D31925"/>
    <w:rsid w:val="00D31A76"/>
    <w:rsid w:val="00D31AB5"/>
    <w:rsid w:val="00D31E0A"/>
    <w:rsid w:val="00D31F46"/>
    <w:rsid w:val="00D321BC"/>
    <w:rsid w:val="00D3226C"/>
    <w:rsid w:val="00D325B0"/>
    <w:rsid w:val="00D329BA"/>
    <w:rsid w:val="00D329D3"/>
    <w:rsid w:val="00D32AF7"/>
    <w:rsid w:val="00D32B0A"/>
    <w:rsid w:val="00D32DDE"/>
    <w:rsid w:val="00D3333A"/>
    <w:rsid w:val="00D3334B"/>
    <w:rsid w:val="00D33CF4"/>
    <w:rsid w:val="00D33D06"/>
    <w:rsid w:val="00D33EA5"/>
    <w:rsid w:val="00D349B9"/>
    <w:rsid w:val="00D3515D"/>
    <w:rsid w:val="00D35267"/>
    <w:rsid w:val="00D35840"/>
    <w:rsid w:val="00D35874"/>
    <w:rsid w:val="00D35C26"/>
    <w:rsid w:val="00D36C43"/>
    <w:rsid w:val="00D372FB"/>
    <w:rsid w:val="00D40434"/>
    <w:rsid w:val="00D4055C"/>
    <w:rsid w:val="00D40F92"/>
    <w:rsid w:val="00D413DD"/>
    <w:rsid w:val="00D41522"/>
    <w:rsid w:val="00D41523"/>
    <w:rsid w:val="00D41C03"/>
    <w:rsid w:val="00D41D4D"/>
    <w:rsid w:val="00D422F4"/>
    <w:rsid w:val="00D4250E"/>
    <w:rsid w:val="00D42654"/>
    <w:rsid w:val="00D42EAF"/>
    <w:rsid w:val="00D42F3E"/>
    <w:rsid w:val="00D43663"/>
    <w:rsid w:val="00D43D02"/>
    <w:rsid w:val="00D43D38"/>
    <w:rsid w:val="00D446E9"/>
    <w:rsid w:val="00D44822"/>
    <w:rsid w:val="00D44B0F"/>
    <w:rsid w:val="00D44B3D"/>
    <w:rsid w:val="00D44B7B"/>
    <w:rsid w:val="00D45E1D"/>
    <w:rsid w:val="00D45EA5"/>
    <w:rsid w:val="00D46357"/>
    <w:rsid w:val="00D4635D"/>
    <w:rsid w:val="00D466CF"/>
    <w:rsid w:val="00D46AF2"/>
    <w:rsid w:val="00D50D3C"/>
    <w:rsid w:val="00D50E7D"/>
    <w:rsid w:val="00D5117D"/>
    <w:rsid w:val="00D51C76"/>
    <w:rsid w:val="00D5204F"/>
    <w:rsid w:val="00D5241E"/>
    <w:rsid w:val="00D52616"/>
    <w:rsid w:val="00D52D37"/>
    <w:rsid w:val="00D53BE2"/>
    <w:rsid w:val="00D53CA5"/>
    <w:rsid w:val="00D53F74"/>
    <w:rsid w:val="00D541CE"/>
    <w:rsid w:val="00D54BEE"/>
    <w:rsid w:val="00D54F46"/>
    <w:rsid w:val="00D5509E"/>
    <w:rsid w:val="00D550D5"/>
    <w:rsid w:val="00D55684"/>
    <w:rsid w:val="00D557DA"/>
    <w:rsid w:val="00D55A32"/>
    <w:rsid w:val="00D55AA3"/>
    <w:rsid w:val="00D55CE1"/>
    <w:rsid w:val="00D55D62"/>
    <w:rsid w:val="00D55E67"/>
    <w:rsid w:val="00D561C8"/>
    <w:rsid w:val="00D57738"/>
    <w:rsid w:val="00D5783F"/>
    <w:rsid w:val="00D57D59"/>
    <w:rsid w:val="00D57DEF"/>
    <w:rsid w:val="00D61315"/>
    <w:rsid w:val="00D6164C"/>
    <w:rsid w:val="00D61687"/>
    <w:rsid w:val="00D616E9"/>
    <w:rsid w:val="00D61710"/>
    <w:rsid w:val="00D61978"/>
    <w:rsid w:val="00D61B08"/>
    <w:rsid w:val="00D620F7"/>
    <w:rsid w:val="00D62B9F"/>
    <w:rsid w:val="00D62BCB"/>
    <w:rsid w:val="00D62E00"/>
    <w:rsid w:val="00D630F8"/>
    <w:rsid w:val="00D6336C"/>
    <w:rsid w:val="00D63DC1"/>
    <w:rsid w:val="00D64470"/>
    <w:rsid w:val="00D64A01"/>
    <w:rsid w:val="00D64E9B"/>
    <w:rsid w:val="00D659A7"/>
    <w:rsid w:val="00D65D7E"/>
    <w:rsid w:val="00D65DD7"/>
    <w:rsid w:val="00D65FA1"/>
    <w:rsid w:val="00D661C3"/>
    <w:rsid w:val="00D66218"/>
    <w:rsid w:val="00D6656F"/>
    <w:rsid w:val="00D666CE"/>
    <w:rsid w:val="00D66735"/>
    <w:rsid w:val="00D66E8D"/>
    <w:rsid w:val="00D67150"/>
    <w:rsid w:val="00D6746A"/>
    <w:rsid w:val="00D67752"/>
    <w:rsid w:val="00D67A28"/>
    <w:rsid w:val="00D67DC5"/>
    <w:rsid w:val="00D70291"/>
    <w:rsid w:val="00D7077E"/>
    <w:rsid w:val="00D70A2A"/>
    <w:rsid w:val="00D70BEA"/>
    <w:rsid w:val="00D70E81"/>
    <w:rsid w:val="00D70EE8"/>
    <w:rsid w:val="00D71008"/>
    <w:rsid w:val="00D71109"/>
    <w:rsid w:val="00D71B1B"/>
    <w:rsid w:val="00D71B83"/>
    <w:rsid w:val="00D72068"/>
    <w:rsid w:val="00D7243D"/>
    <w:rsid w:val="00D7252D"/>
    <w:rsid w:val="00D728D8"/>
    <w:rsid w:val="00D73793"/>
    <w:rsid w:val="00D73942"/>
    <w:rsid w:val="00D740C8"/>
    <w:rsid w:val="00D74EAE"/>
    <w:rsid w:val="00D75C25"/>
    <w:rsid w:val="00D76011"/>
    <w:rsid w:val="00D7603C"/>
    <w:rsid w:val="00D76265"/>
    <w:rsid w:val="00D765C9"/>
    <w:rsid w:val="00D776B1"/>
    <w:rsid w:val="00D778CC"/>
    <w:rsid w:val="00D77E4D"/>
    <w:rsid w:val="00D80433"/>
    <w:rsid w:val="00D8082F"/>
    <w:rsid w:val="00D80BF5"/>
    <w:rsid w:val="00D81233"/>
    <w:rsid w:val="00D814EA"/>
    <w:rsid w:val="00D81605"/>
    <w:rsid w:val="00D818C4"/>
    <w:rsid w:val="00D81A71"/>
    <w:rsid w:val="00D81BD7"/>
    <w:rsid w:val="00D81C7C"/>
    <w:rsid w:val="00D821A5"/>
    <w:rsid w:val="00D82389"/>
    <w:rsid w:val="00D82826"/>
    <w:rsid w:val="00D828CD"/>
    <w:rsid w:val="00D8302B"/>
    <w:rsid w:val="00D834A7"/>
    <w:rsid w:val="00D83C05"/>
    <w:rsid w:val="00D84045"/>
    <w:rsid w:val="00D8471B"/>
    <w:rsid w:val="00D8551A"/>
    <w:rsid w:val="00D8591C"/>
    <w:rsid w:val="00D85C76"/>
    <w:rsid w:val="00D8642F"/>
    <w:rsid w:val="00D8649C"/>
    <w:rsid w:val="00D865B2"/>
    <w:rsid w:val="00D87FC1"/>
    <w:rsid w:val="00D90067"/>
    <w:rsid w:val="00D9028A"/>
    <w:rsid w:val="00D905F0"/>
    <w:rsid w:val="00D90F0E"/>
    <w:rsid w:val="00D9105C"/>
    <w:rsid w:val="00D913F5"/>
    <w:rsid w:val="00D91860"/>
    <w:rsid w:val="00D91FD6"/>
    <w:rsid w:val="00D92537"/>
    <w:rsid w:val="00D928A0"/>
    <w:rsid w:val="00D92B84"/>
    <w:rsid w:val="00D92CA7"/>
    <w:rsid w:val="00D92D2F"/>
    <w:rsid w:val="00D930F8"/>
    <w:rsid w:val="00D93B3C"/>
    <w:rsid w:val="00D93D9E"/>
    <w:rsid w:val="00D94E62"/>
    <w:rsid w:val="00D9549B"/>
    <w:rsid w:val="00D95C24"/>
    <w:rsid w:val="00D966A3"/>
    <w:rsid w:val="00D96C66"/>
    <w:rsid w:val="00D96FE4"/>
    <w:rsid w:val="00D977FF"/>
    <w:rsid w:val="00D97967"/>
    <w:rsid w:val="00DA0886"/>
    <w:rsid w:val="00DA0C13"/>
    <w:rsid w:val="00DA11A6"/>
    <w:rsid w:val="00DA11FC"/>
    <w:rsid w:val="00DA125D"/>
    <w:rsid w:val="00DA1330"/>
    <w:rsid w:val="00DA154F"/>
    <w:rsid w:val="00DA1966"/>
    <w:rsid w:val="00DA1B19"/>
    <w:rsid w:val="00DA1EF1"/>
    <w:rsid w:val="00DA2850"/>
    <w:rsid w:val="00DA2D99"/>
    <w:rsid w:val="00DA32A6"/>
    <w:rsid w:val="00DA37BF"/>
    <w:rsid w:val="00DA3BD7"/>
    <w:rsid w:val="00DA410E"/>
    <w:rsid w:val="00DA4653"/>
    <w:rsid w:val="00DA49AD"/>
    <w:rsid w:val="00DA4FFC"/>
    <w:rsid w:val="00DA594E"/>
    <w:rsid w:val="00DA6404"/>
    <w:rsid w:val="00DA7057"/>
    <w:rsid w:val="00DA769A"/>
    <w:rsid w:val="00DA77BD"/>
    <w:rsid w:val="00DB0232"/>
    <w:rsid w:val="00DB0531"/>
    <w:rsid w:val="00DB0607"/>
    <w:rsid w:val="00DB1E41"/>
    <w:rsid w:val="00DB22F0"/>
    <w:rsid w:val="00DB262A"/>
    <w:rsid w:val="00DB2DF1"/>
    <w:rsid w:val="00DB3161"/>
    <w:rsid w:val="00DB4289"/>
    <w:rsid w:val="00DB4710"/>
    <w:rsid w:val="00DB48D2"/>
    <w:rsid w:val="00DB53CA"/>
    <w:rsid w:val="00DB5E69"/>
    <w:rsid w:val="00DB628C"/>
    <w:rsid w:val="00DB6380"/>
    <w:rsid w:val="00DB72FD"/>
    <w:rsid w:val="00DB7EB7"/>
    <w:rsid w:val="00DB7F29"/>
    <w:rsid w:val="00DC02E9"/>
    <w:rsid w:val="00DC04CE"/>
    <w:rsid w:val="00DC32F6"/>
    <w:rsid w:val="00DC34CA"/>
    <w:rsid w:val="00DC37BE"/>
    <w:rsid w:val="00DC4103"/>
    <w:rsid w:val="00DC423A"/>
    <w:rsid w:val="00DC4458"/>
    <w:rsid w:val="00DC4698"/>
    <w:rsid w:val="00DC48AF"/>
    <w:rsid w:val="00DC48C7"/>
    <w:rsid w:val="00DC4BA6"/>
    <w:rsid w:val="00DC5015"/>
    <w:rsid w:val="00DC5083"/>
    <w:rsid w:val="00DC5308"/>
    <w:rsid w:val="00DC5483"/>
    <w:rsid w:val="00DC5890"/>
    <w:rsid w:val="00DC58E3"/>
    <w:rsid w:val="00DC5CFA"/>
    <w:rsid w:val="00DC72C5"/>
    <w:rsid w:val="00DC760E"/>
    <w:rsid w:val="00DD0262"/>
    <w:rsid w:val="00DD0647"/>
    <w:rsid w:val="00DD06C0"/>
    <w:rsid w:val="00DD0794"/>
    <w:rsid w:val="00DD0AC3"/>
    <w:rsid w:val="00DD0FA5"/>
    <w:rsid w:val="00DD107F"/>
    <w:rsid w:val="00DD1730"/>
    <w:rsid w:val="00DD1758"/>
    <w:rsid w:val="00DD1BC2"/>
    <w:rsid w:val="00DD1D92"/>
    <w:rsid w:val="00DD22BE"/>
    <w:rsid w:val="00DD2D79"/>
    <w:rsid w:val="00DD2DB8"/>
    <w:rsid w:val="00DD382C"/>
    <w:rsid w:val="00DD3B6E"/>
    <w:rsid w:val="00DD3D79"/>
    <w:rsid w:val="00DD4072"/>
    <w:rsid w:val="00DD43C6"/>
    <w:rsid w:val="00DD4720"/>
    <w:rsid w:val="00DD490C"/>
    <w:rsid w:val="00DD4C4E"/>
    <w:rsid w:val="00DD4E21"/>
    <w:rsid w:val="00DD5C0C"/>
    <w:rsid w:val="00DD5E01"/>
    <w:rsid w:val="00DD66FA"/>
    <w:rsid w:val="00DD68E3"/>
    <w:rsid w:val="00DD724B"/>
    <w:rsid w:val="00DD7439"/>
    <w:rsid w:val="00DD7AD3"/>
    <w:rsid w:val="00DD7BF5"/>
    <w:rsid w:val="00DE02EB"/>
    <w:rsid w:val="00DE09F3"/>
    <w:rsid w:val="00DE0A4B"/>
    <w:rsid w:val="00DE0C7D"/>
    <w:rsid w:val="00DE0D30"/>
    <w:rsid w:val="00DE0F31"/>
    <w:rsid w:val="00DE1059"/>
    <w:rsid w:val="00DE107D"/>
    <w:rsid w:val="00DE12EF"/>
    <w:rsid w:val="00DE14EE"/>
    <w:rsid w:val="00DE1DA7"/>
    <w:rsid w:val="00DE247B"/>
    <w:rsid w:val="00DE2652"/>
    <w:rsid w:val="00DE2BE5"/>
    <w:rsid w:val="00DE2C29"/>
    <w:rsid w:val="00DE2F10"/>
    <w:rsid w:val="00DE3144"/>
    <w:rsid w:val="00DE3188"/>
    <w:rsid w:val="00DE31CF"/>
    <w:rsid w:val="00DE31E8"/>
    <w:rsid w:val="00DE331C"/>
    <w:rsid w:val="00DE38C1"/>
    <w:rsid w:val="00DE3F25"/>
    <w:rsid w:val="00DE45FC"/>
    <w:rsid w:val="00DE46C1"/>
    <w:rsid w:val="00DE47D8"/>
    <w:rsid w:val="00DE4911"/>
    <w:rsid w:val="00DE51C7"/>
    <w:rsid w:val="00DE5213"/>
    <w:rsid w:val="00DE55D8"/>
    <w:rsid w:val="00DE59D9"/>
    <w:rsid w:val="00DE5B09"/>
    <w:rsid w:val="00DE5D76"/>
    <w:rsid w:val="00DE5E15"/>
    <w:rsid w:val="00DE61C5"/>
    <w:rsid w:val="00DE6921"/>
    <w:rsid w:val="00DE6BC1"/>
    <w:rsid w:val="00DE71D9"/>
    <w:rsid w:val="00DE7EFD"/>
    <w:rsid w:val="00DF035F"/>
    <w:rsid w:val="00DF04DC"/>
    <w:rsid w:val="00DF0AAE"/>
    <w:rsid w:val="00DF0F79"/>
    <w:rsid w:val="00DF1108"/>
    <w:rsid w:val="00DF1377"/>
    <w:rsid w:val="00DF1608"/>
    <w:rsid w:val="00DF1846"/>
    <w:rsid w:val="00DF1FA0"/>
    <w:rsid w:val="00DF20D3"/>
    <w:rsid w:val="00DF258A"/>
    <w:rsid w:val="00DF27C8"/>
    <w:rsid w:val="00DF29E3"/>
    <w:rsid w:val="00DF3840"/>
    <w:rsid w:val="00DF3BD2"/>
    <w:rsid w:val="00DF3D90"/>
    <w:rsid w:val="00DF3F42"/>
    <w:rsid w:val="00DF43F5"/>
    <w:rsid w:val="00DF47AB"/>
    <w:rsid w:val="00DF6293"/>
    <w:rsid w:val="00DF6818"/>
    <w:rsid w:val="00DF6E35"/>
    <w:rsid w:val="00DF7051"/>
    <w:rsid w:val="00DF7388"/>
    <w:rsid w:val="00E00FD0"/>
    <w:rsid w:val="00E018EE"/>
    <w:rsid w:val="00E01905"/>
    <w:rsid w:val="00E01A99"/>
    <w:rsid w:val="00E01C55"/>
    <w:rsid w:val="00E02328"/>
    <w:rsid w:val="00E0286F"/>
    <w:rsid w:val="00E02DC8"/>
    <w:rsid w:val="00E02E13"/>
    <w:rsid w:val="00E02EE0"/>
    <w:rsid w:val="00E0342A"/>
    <w:rsid w:val="00E03830"/>
    <w:rsid w:val="00E03AE7"/>
    <w:rsid w:val="00E03BE8"/>
    <w:rsid w:val="00E04253"/>
    <w:rsid w:val="00E04A67"/>
    <w:rsid w:val="00E04AFD"/>
    <w:rsid w:val="00E04D13"/>
    <w:rsid w:val="00E050DA"/>
    <w:rsid w:val="00E0532A"/>
    <w:rsid w:val="00E0581C"/>
    <w:rsid w:val="00E05F7A"/>
    <w:rsid w:val="00E06258"/>
    <w:rsid w:val="00E06B3C"/>
    <w:rsid w:val="00E0731D"/>
    <w:rsid w:val="00E07327"/>
    <w:rsid w:val="00E07C4F"/>
    <w:rsid w:val="00E1043C"/>
    <w:rsid w:val="00E1043E"/>
    <w:rsid w:val="00E106FA"/>
    <w:rsid w:val="00E10EAC"/>
    <w:rsid w:val="00E110D8"/>
    <w:rsid w:val="00E11E0D"/>
    <w:rsid w:val="00E12283"/>
    <w:rsid w:val="00E122BE"/>
    <w:rsid w:val="00E12627"/>
    <w:rsid w:val="00E12BD7"/>
    <w:rsid w:val="00E12CD0"/>
    <w:rsid w:val="00E13E4C"/>
    <w:rsid w:val="00E13F67"/>
    <w:rsid w:val="00E1410C"/>
    <w:rsid w:val="00E146CA"/>
    <w:rsid w:val="00E14AEB"/>
    <w:rsid w:val="00E14CCD"/>
    <w:rsid w:val="00E15A78"/>
    <w:rsid w:val="00E15B53"/>
    <w:rsid w:val="00E1636A"/>
    <w:rsid w:val="00E167AD"/>
    <w:rsid w:val="00E1770A"/>
    <w:rsid w:val="00E179C9"/>
    <w:rsid w:val="00E17ACF"/>
    <w:rsid w:val="00E17B0D"/>
    <w:rsid w:val="00E2052B"/>
    <w:rsid w:val="00E209C0"/>
    <w:rsid w:val="00E212E3"/>
    <w:rsid w:val="00E21862"/>
    <w:rsid w:val="00E21A47"/>
    <w:rsid w:val="00E21DCE"/>
    <w:rsid w:val="00E2203C"/>
    <w:rsid w:val="00E22398"/>
    <w:rsid w:val="00E229BC"/>
    <w:rsid w:val="00E229C2"/>
    <w:rsid w:val="00E229D7"/>
    <w:rsid w:val="00E22A5B"/>
    <w:rsid w:val="00E23310"/>
    <w:rsid w:val="00E23E04"/>
    <w:rsid w:val="00E240C5"/>
    <w:rsid w:val="00E24DD0"/>
    <w:rsid w:val="00E251CC"/>
    <w:rsid w:val="00E252F7"/>
    <w:rsid w:val="00E25E86"/>
    <w:rsid w:val="00E263CA"/>
    <w:rsid w:val="00E263DD"/>
    <w:rsid w:val="00E26825"/>
    <w:rsid w:val="00E270DD"/>
    <w:rsid w:val="00E27B0F"/>
    <w:rsid w:val="00E3006D"/>
    <w:rsid w:val="00E3097B"/>
    <w:rsid w:val="00E30DD3"/>
    <w:rsid w:val="00E30E59"/>
    <w:rsid w:val="00E31077"/>
    <w:rsid w:val="00E31165"/>
    <w:rsid w:val="00E316D2"/>
    <w:rsid w:val="00E3238A"/>
    <w:rsid w:val="00E3248F"/>
    <w:rsid w:val="00E32857"/>
    <w:rsid w:val="00E32B22"/>
    <w:rsid w:val="00E330E9"/>
    <w:rsid w:val="00E333B0"/>
    <w:rsid w:val="00E33EF7"/>
    <w:rsid w:val="00E33F93"/>
    <w:rsid w:val="00E34163"/>
    <w:rsid w:val="00E3455E"/>
    <w:rsid w:val="00E35415"/>
    <w:rsid w:val="00E35767"/>
    <w:rsid w:val="00E35898"/>
    <w:rsid w:val="00E363BD"/>
    <w:rsid w:val="00E36478"/>
    <w:rsid w:val="00E36795"/>
    <w:rsid w:val="00E367D8"/>
    <w:rsid w:val="00E36B70"/>
    <w:rsid w:val="00E36B79"/>
    <w:rsid w:val="00E371E3"/>
    <w:rsid w:val="00E375C7"/>
    <w:rsid w:val="00E37614"/>
    <w:rsid w:val="00E379EE"/>
    <w:rsid w:val="00E37E1F"/>
    <w:rsid w:val="00E40B60"/>
    <w:rsid w:val="00E40C1D"/>
    <w:rsid w:val="00E41461"/>
    <w:rsid w:val="00E414DB"/>
    <w:rsid w:val="00E4150F"/>
    <w:rsid w:val="00E41537"/>
    <w:rsid w:val="00E418AC"/>
    <w:rsid w:val="00E41A13"/>
    <w:rsid w:val="00E41AE4"/>
    <w:rsid w:val="00E41AF7"/>
    <w:rsid w:val="00E4207D"/>
    <w:rsid w:val="00E4291D"/>
    <w:rsid w:val="00E42CD0"/>
    <w:rsid w:val="00E432EF"/>
    <w:rsid w:val="00E437C7"/>
    <w:rsid w:val="00E43E5C"/>
    <w:rsid w:val="00E44107"/>
    <w:rsid w:val="00E44618"/>
    <w:rsid w:val="00E44C32"/>
    <w:rsid w:val="00E44DAF"/>
    <w:rsid w:val="00E4522D"/>
    <w:rsid w:val="00E46343"/>
    <w:rsid w:val="00E464EA"/>
    <w:rsid w:val="00E465BF"/>
    <w:rsid w:val="00E4662D"/>
    <w:rsid w:val="00E46D02"/>
    <w:rsid w:val="00E474F3"/>
    <w:rsid w:val="00E47AA2"/>
    <w:rsid w:val="00E504BF"/>
    <w:rsid w:val="00E5089B"/>
    <w:rsid w:val="00E50DD9"/>
    <w:rsid w:val="00E5239D"/>
    <w:rsid w:val="00E53172"/>
    <w:rsid w:val="00E53557"/>
    <w:rsid w:val="00E5390E"/>
    <w:rsid w:val="00E5397F"/>
    <w:rsid w:val="00E53E77"/>
    <w:rsid w:val="00E53F21"/>
    <w:rsid w:val="00E54129"/>
    <w:rsid w:val="00E542E5"/>
    <w:rsid w:val="00E54AAC"/>
    <w:rsid w:val="00E54D55"/>
    <w:rsid w:val="00E55412"/>
    <w:rsid w:val="00E558BA"/>
    <w:rsid w:val="00E55F1C"/>
    <w:rsid w:val="00E565B1"/>
    <w:rsid w:val="00E56B3B"/>
    <w:rsid w:val="00E56B79"/>
    <w:rsid w:val="00E56FA2"/>
    <w:rsid w:val="00E572B8"/>
    <w:rsid w:val="00E60A2D"/>
    <w:rsid w:val="00E60EA6"/>
    <w:rsid w:val="00E60F38"/>
    <w:rsid w:val="00E60F8B"/>
    <w:rsid w:val="00E60FE6"/>
    <w:rsid w:val="00E61314"/>
    <w:rsid w:val="00E61A97"/>
    <w:rsid w:val="00E61D39"/>
    <w:rsid w:val="00E61FBA"/>
    <w:rsid w:val="00E62587"/>
    <w:rsid w:val="00E634A8"/>
    <w:rsid w:val="00E63B0F"/>
    <w:rsid w:val="00E63B41"/>
    <w:rsid w:val="00E6543C"/>
    <w:rsid w:val="00E669EA"/>
    <w:rsid w:val="00E67021"/>
    <w:rsid w:val="00E67168"/>
    <w:rsid w:val="00E672A5"/>
    <w:rsid w:val="00E700FD"/>
    <w:rsid w:val="00E7038B"/>
    <w:rsid w:val="00E703E5"/>
    <w:rsid w:val="00E70651"/>
    <w:rsid w:val="00E70D3C"/>
    <w:rsid w:val="00E70D61"/>
    <w:rsid w:val="00E717FC"/>
    <w:rsid w:val="00E71D36"/>
    <w:rsid w:val="00E72136"/>
    <w:rsid w:val="00E7216C"/>
    <w:rsid w:val="00E725B9"/>
    <w:rsid w:val="00E72A56"/>
    <w:rsid w:val="00E74F56"/>
    <w:rsid w:val="00E768B0"/>
    <w:rsid w:val="00E76FBA"/>
    <w:rsid w:val="00E77723"/>
    <w:rsid w:val="00E77811"/>
    <w:rsid w:val="00E77DB7"/>
    <w:rsid w:val="00E800AD"/>
    <w:rsid w:val="00E805F1"/>
    <w:rsid w:val="00E80AA6"/>
    <w:rsid w:val="00E80BB7"/>
    <w:rsid w:val="00E80CCD"/>
    <w:rsid w:val="00E80FDB"/>
    <w:rsid w:val="00E8174C"/>
    <w:rsid w:val="00E81A7B"/>
    <w:rsid w:val="00E81B9C"/>
    <w:rsid w:val="00E81D9D"/>
    <w:rsid w:val="00E820F6"/>
    <w:rsid w:val="00E82631"/>
    <w:rsid w:val="00E82826"/>
    <w:rsid w:val="00E82F59"/>
    <w:rsid w:val="00E83087"/>
    <w:rsid w:val="00E832B1"/>
    <w:rsid w:val="00E83A5E"/>
    <w:rsid w:val="00E83E27"/>
    <w:rsid w:val="00E841F1"/>
    <w:rsid w:val="00E844EB"/>
    <w:rsid w:val="00E84539"/>
    <w:rsid w:val="00E84A11"/>
    <w:rsid w:val="00E84D88"/>
    <w:rsid w:val="00E86EF2"/>
    <w:rsid w:val="00E86F98"/>
    <w:rsid w:val="00E87031"/>
    <w:rsid w:val="00E871D2"/>
    <w:rsid w:val="00E87A31"/>
    <w:rsid w:val="00E87ADB"/>
    <w:rsid w:val="00E90325"/>
    <w:rsid w:val="00E907AB"/>
    <w:rsid w:val="00E90F52"/>
    <w:rsid w:val="00E91059"/>
    <w:rsid w:val="00E91806"/>
    <w:rsid w:val="00E918A8"/>
    <w:rsid w:val="00E91C61"/>
    <w:rsid w:val="00E91E6B"/>
    <w:rsid w:val="00E92202"/>
    <w:rsid w:val="00E927C7"/>
    <w:rsid w:val="00E9285E"/>
    <w:rsid w:val="00E92878"/>
    <w:rsid w:val="00E932DC"/>
    <w:rsid w:val="00E935B7"/>
    <w:rsid w:val="00E937F0"/>
    <w:rsid w:val="00E93840"/>
    <w:rsid w:val="00E93ACD"/>
    <w:rsid w:val="00E93C5C"/>
    <w:rsid w:val="00E94ABD"/>
    <w:rsid w:val="00E94EC7"/>
    <w:rsid w:val="00E953B4"/>
    <w:rsid w:val="00E959F8"/>
    <w:rsid w:val="00E959FC"/>
    <w:rsid w:val="00E95D81"/>
    <w:rsid w:val="00E965CB"/>
    <w:rsid w:val="00E9687F"/>
    <w:rsid w:val="00E96B03"/>
    <w:rsid w:val="00E96CA7"/>
    <w:rsid w:val="00E96D05"/>
    <w:rsid w:val="00E96E57"/>
    <w:rsid w:val="00E97129"/>
    <w:rsid w:val="00E97A04"/>
    <w:rsid w:val="00E97BDF"/>
    <w:rsid w:val="00EA0654"/>
    <w:rsid w:val="00EA09BD"/>
    <w:rsid w:val="00EA0C02"/>
    <w:rsid w:val="00EA0CEB"/>
    <w:rsid w:val="00EA15D2"/>
    <w:rsid w:val="00EA16EA"/>
    <w:rsid w:val="00EA1CA8"/>
    <w:rsid w:val="00EA2394"/>
    <w:rsid w:val="00EA307A"/>
    <w:rsid w:val="00EA335E"/>
    <w:rsid w:val="00EA3386"/>
    <w:rsid w:val="00EA3545"/>
    <w:rsid w:val="00EA3C21"/>
    <w:rsid w:val="00EA41C4"/>
    <w:rsid w:val="00EA4614"/>
    <w:rsid w:val="00EA4A61"/>
    <w:rsid w:val="00EA4C90"/>
    <w:rsid w:val="00EA4C9F"/>
    <w:rsid w:val="00EA52D7"/>
    <w:rsid w:val="00EA579F"/>
    <w:rsid w:val="00EA5DDF"/>
    <w:rsid w:val="00EA61B5"/>
    <w:rsid w:val="00EA63CC"/>
    <w:rsid w:val="00EA6808"/>
    <w:rsid w:val="00EA6CB6"/>
    <w:rsid w:val="00EA744B"/>
    <w:rsid w:val="00EA7658"/>
    <w:rsid w:val="00EA7D43"/>
    <w:rsid w:val="00EA7D6F"/>
    <w:rsid w:val="00EB02C0"/>
    <w:rsid w:val="00EB0E5C"/>
    <w:rsid w:val="00EB18B4"/>
    <w:rsid w:val="00EB1B0E"/>
    <w:rsid w:val="00EB1E76"/>
    <w:rsid w:val="00EB2296"/>
    <w:rsid w:val="00EB2298"/>
    <w:rsid w:val="00EB242E"/>
    <w:rsid w:val="00EB2479"/>
    <w:rsid w:val="00EB25EF"/>
    <w:rsid w:val="00EB29B7"/>
    <w:rsid w:val="00EB2B83"/>
    <w:rsid w:val="00EB2DDD"/>
    <w:rsid w:val="00EB2EF8"/>
    <w:rsid w:val="00EB334A"/>
    <w:rsid w:val="00EB3479"/>
    <w:rsid w:val="00EB3E19"/>
    <w:rsid w:val="00EB413B"/>
    <w:rsid w:val="00EB49FB"/>
    <w:rsid w:val="00EB552C"/>
    <w:rsid w:val="00EB5BC6"/>
    <w:rsid w:val="00EB5CEA"/>
    <w:rsid w:val="00EB6254"/>
    <w:rsid w:val="00EB63A3"/>
    <w:rsid w:val="00EB6969"/>
    <w:rsid w:val="00EB69B8"/>
    <w:rsid w:val="00EB754B"/>
    <w:rsid w:val="00EB7867"/>
    <w:rsid w:val="00EB78F5"/>
    <w:rsid w:val="00EB7B63"/>
    <w:rsid w:val="00EC0B22"/>
    <w:rsid w:val="00EC1A3F"/>
    <w:rsid w:val="00EC1C01"/>
    <w:rsid w:val="00EC351C"/>
    <w:rsid w:val="00EC4A0B"/>
    <w:rsid w:val="00EC4C6E"/>
    <w:rsid w:val="00EC506B"/>
    <w:rsid w:val="00EC5660"/>
    <w:rsid w:val="00EC5C3F"/>
    <w:rsid w:val="00EC5F92"/>
    <w:rsid w:val="00EC62A1"/>
    <w:rsid w:val="00EC729C"/>
    <w:rsid w:val="00EC7368"/>
    <w:rsid w:val="00EC7E3B"/>
    <w:rsid w:val="00ED035E"/>
    <w:rsid w:val="00ED0D7C"/>
    <w:rsid w:val="00ED138D"/>
    <w:rsid w:val="00ED13A5"/>
    <w:rsid w:val="00ED1810"/>
    <w:rsid w:val="00ED1CAA"/>
    <w:rsid w:val="00ED2326"/>
    <w:rsid w:val="00ED3098"/>
    <w:rsid w:val="00ED34F3"/>
    <w:rsid w:val="00ED40D6"/>
    <w:rsid w:val="00ED4496"/>
    <w:rsid w:val="00ED47C4"/>
    <w:rsid w:val="00ED4A99"/>
    <w:rsid w:val="00ED4FB2"/>
    <w:rsid w:val="00ED50C9"/>
    <w:rsid w:val="00ED542A"/>
    <w:rsid w:val="00ED57CF"/>
    <w:rsid w:val="00ED6812"/>
    <w:rsid w:val="00ED7407"/>
    <w:rsid w:val="00ED758E"/>
    <w:rsid w:val="00EE022D"/>
    <w:rsid w:val="00EE05A9"/>
    <w:rsid w:val="00EE0B91"/>
    <w:rsid w:val="00EE1508"/>
    <w:rsid w:val="00EE1698"/>
    <w:rsid w:val="00EE2559"/>
    <w:rsid w:val="00EE2A36"/>
    <w:rsid w:val="00EE38A0"/>
    <w:rsid w:val="00EE38FD"/>
    <w:rsid w:val="00EE3FE4"/>
    <w:rsid w:val="00EE413E"/>
    <w:rsid w:val="00EE4F3B"/>
    <w:rsid w:val="00EE5628"/>
    <w:rsid w:val="00EE5768"/>
    <w:rsid w:val="00EE5951"/>
    <w:rsid w:val="00EE6156"/>
    <w:rsid w:val="00EE62C9"/>
    <w:rsid w:val="00EE63C0"/>
    <w:rsid w:val="00EE6AC0"/>
    <w:rsid w:val="00EE6CFE"/>
    <w:rsid w:val="00EE76D2"/>
    <w:rsid w:val="00EE7C92"/>
    <w:rsid w:val="00EF0690"/>
    <w:rsid w:val="00EF09DD"/>
    <w:rsid w:val="00EF0B89"/>
    <w:rsid w:val="00EF0C02"/>
    <w:rsid w:val="00EF0D2A"/>
    <w:rsid w:val="00EF136C"/>
    <w:rsid w:val="00EF1780"/>
    <w:rsid w:val="00EF186A"/>
    <w:rsid w:val="00EF1977"/>
    <w:rsid w:val="00EF19C8"/>
    <w:rsid w:val="00EF1F7E"/>
    <w:rsid w:val="00EF2B8D"/>
    <w:rsid w:val="00EF3556"/>
    <w:rsid w:val="00EF3DF6"/>
    <w:rsid w:val="00EF3EDF"/>
    <w:rsid w:val="00EF4111"/>
    <w:rsid w:val="00EF424D"/>
    <w:rsid w:val="00EF4862"/>
    <w:rsid w:val="00EF48CD"/>
    <w:rsid w:val="00EF48FB"/>
    <w:rsid w:val="00EF4D43"/>
    <w:rsid w:val="00EF4DC5"/>
    <w:rsid w:val="00EF4E9E"/>
    <w:rsid w:val="00EF4FA3"/>
    <w:rsid w:val="00EF5197"/>
    <w:rsid w:val="00EF584C"/>
    <w:rsid w:val="00EF62D0"/>
    <w:rsid w:val="00EF6D3D"/>
    <w:rsid w:val="00EF6D87"/>
    <w:rsid w:val="00EF6FE7"/>
    <w:rsid w:val="00EF7429"/>
    <w:rsid w:val="00EF7642"/>
    <w:rsid w:val="00EF7865"/>
    <w:rsid w:val="00EF792F"/>
    <w:rsid w:val="00F003F8"/>
    <w:rsid w:val="00F01194"/>
    <w:rsid w:val="00F01547"/>
    <w:rsid w:val="00F01F53"/>
    <w:rsid w:val="00F02ECD"/>
    <w:rsid w:val="00F037AD"/>
    <w:rsid w:val="00F03CD9"/>
    <w:rsid w:val="00F04705"/>
    <w:rsid w:val="00F0480C"/>
    <w:rsid w:val="00F04C73"/>
    <w:rsid w:val="00F0544B"/>
    <w:rsid w:val="00F05502"/>
    <w:rsid w:val="00F05959"/>
    <w:rsid w:val="00F05B5B"/>
    <w:rsid w:val="00F062CF"/>
    <w:rsid w:val="00F06A72"/>
    <w:rsid w:val="00F06B2A"/>
    <w:rsid w:val="00F06C97"/>
    <w:rsid w:val="00F06DC1"/>
    <w:rsid w:val="00F07642"/>
    <w:rsid w:val="00F07D4C"/>
    <w:rsid w:val="00F10068"/>
    <w:rsid w:val="00F10878"/>
    <w:rsid w:val="00F10996"/>
    <w:rsid w:val="00F10F4E"/>
    <w:rsid w:val="00F11706"/>
    <w:rsid w:val="00F124B8"/>
    <w:rsid w:val="00F13259"/>
    <w:rsid w:val="00F13334"/>
    <w:rsid w:val="00F138E6"/>
    <w:rsid w:val="00F13F73"/>
    <w:rsid w:val="00F1478A"/>
    <w:rsid w:val="00F1491E"/>
    <w:rsid w:val="00F14A90"/>
    <w:rsid w:val="00F14F32"/>
    <w:rsid w:val="00F15C59"/>
    <w:rsid w:val="00F1605E"/>
    <w:rsid w:val="00F1622B"/>
    <w:rsid w:val="00F16451"/>
    <w:rsid w:val="00F16B34"/>
    <w:rsid w:val="00F16C9F"/>
    <w:rsid w:val="00F170F9"/>
    <w:rsid w:val="00F1757E"/>
    <w:rsid w:val="00F1771A"/>
    <w:rsid w:val="00F179D7"/>
    <w:rsid w:val="00F17D16"/>
    <w:rsid w:val="00F17F1F"/>
    <w:rsid w:val="00F20BB4"/>
    <w:rsid w:val="00F2122E"/>
    <w:rsid w:val="00F21712"/>
    <w:rsid w:val="00F21A57"/>
    <w:rsid w:val="00F22100"/>
    <w:rsid w:val="00F2240A"/>
    <w:rsid w:val="00F22836"/>
    <w:rsid w:val="00F22B15"/>
    <w:rsid w:val="00F22E54"/>
    <w:rsid w:val="00F22E81"/>
    <w:rsid w:val="00F22EA9"/>
    <w:rsid w:val="00F23075"/>
    <w:rsid w:val="00F2359E"/>
    <w:rsid w:val="00F2371B"/>
    <w:rsid w:val="00F23B8D"/>
    <w:rsid w:val="00F23C81"/>
    <w:rsid w:val="00F23F34"/>
    <w:rsid w:val="00F23F72"/>
    <w:rsid w:val="00F2445F"/>
    <w:rsid w:val="00F24A79"/>
    <w:rsid w:val="00F2538E"/>
    <w:rsid w:val="00F257EC"/>
    <w:rsid w:val="00F26DB4"/>
    <w:rsid w:val="00F2798B"/>
    <w:rsid w:val="00F30538"/>
    <w:rsid w:val="00F305DB"/>
    <w:rsid w:val="00F3169C"/>
    <w:rsid w:val="00F31822"/>
    <w:rsid w:val="00F318DE"/>
    <w:rsid w:val="00F31B6E"/>
    <w:rsid w:val="00F321CD"/>
    <w:rsid w:val="00F323D7"/>
    <w:rsid w:val="00F32774"/>
    <w:rsid w:val="00F32DF6"/>
    <w:rsid w:val="00F330A2"/>
    <w:rsid w:val="00F332BA"/>
    <w:rsid w:val="00F3371C"/>
    <w:rsid w:val="00F339FC"/>
    <w:rsid w:val="00F33BDF"/>
    <w:rsid w:val="00F33D4F"/>
    <w:rsid w:val="00F341E3"/>
    <w:rsid w:val="00F34453"/>
    <w:rsid w:val="00F34EC8"/>
    <w:rsid w:val="00F3517C"/>
    <w:rsid w:val="00F367D0"/>
    <w:rsid w:val="00F37077"/>
    <w:rsid w:val="00F37848"/>
    <w:rsid w:val="00F37915"/>
    <w:rsid w:val="00F37C39"/>
    <w:rsid w:val="00F4006F"/>
    <w:rsid w:val="00F411DA"/>
    <w:rsid w:val="00F41815"/>
    <w:rsid w:val="00F4223C"/>
    <w:rsid w:val="00F4246A"/>
    <w:rsid w:val="00F42EB3"/>
    <w:rsid w:val="00F434DE"/>
    <w:rsid w:val="00F4363D"/>
    <w:rsid w:val="00F43A09"/>
    <w:rsid w:val="00F43FBF"/>
    <w:rsid w:val="00F443E8"/>
    <w:rsid w:val="00F45494"/>
    <w:rsid w:val="00F45BBA"/>
    <w:rsid w:val="00F45DEE"/>
    <w:rsid w:val="00F45E1E"/>
    <w:rsid w:val="00F4611F"/>
    <w:rsid w:val="00F4694E"/>
    <w:rsid w:val="00F46D15"/>
    <w:rsid w:val="00F46FEC"/>
    <w:rsid w:val="00F47395"/>
    <w:rsid w:val="00F47841"/>
    <w:rsid w:val="00F478FC"/>
    <w:rsid w:val="00F47DA1"/>
    <w:rsid w:val="00F50CFA"/>
    <w:rsid w:val="00F52340"/>
    <w:rsid w:val="00F530AC"/>
    <w:rsid w:val="00F53CD0"/>
    <w:rsid w:val="00F54004"/>
    <w:rsid w:val="00F54096"/>
    <w:rsid w:val="00F54779"/>
    <w:rsid w:val="00F54F9F"/>
    <w:rsid w:val="00F55162"/>
    <w:rsid w:val="00F5526C"/>
    <w:rsid w:val="00F5564D"/>
    <w:rsid w:val="00F5639C"/>
    <w:rsid w:val="00F56800"/>
    <w:rsid w:val="00F56B03"/>
    <w:rsid w:val="00F56E4E"/>
    <w:rsid w:val="00F56E60"/>
    <w:rsid w:val="00F56E73"/>
    <w:rsid w:val="00F5713D"/>
    <w:rsid w:val="00F57261"/>
    <w:rsid w:val="00F57E79"/>
    <w:rsid w:val="00F6081D"/>
    <w:rsid w:val="00F60A71"/>
    <w:rsid w:val="00F60AB1"/>
    <w:rsid w:val="00F60AEF"/>
    <w:rsid w:val="00F60D9B"/>
    <w:rsid w:val="00F6111E"/>
    <w:rsid w:val="00F614EC"/>
    <w:rsid w:val="00F61728"/>
    <w:rsid w:val="00F617C3"/>
    <w:rsid w:val="00F61963"/>
    <w:rsid w:val="00F61D09"/>
    <w:rsid w:val="00F6217E"/>
    <w:rsid w:val="00F626E5"/>
    <w:rsid w:val="00F6309C"/>
    <w:rsid w:val="00F630E1"/>
    <w:rsid w:val="00F63342"/>
    <w:rsid w:val="00F63F99"/>
    <w:rsid w:val="00F64211"/>
    <w:rsid w:val="00F645A4"/>
    <w:rsid w:val="00F648CA"/>
    <w:rsid w:val="00F64E6E"/>
    <w:rsid w:val="00F650ED"/>
    <w:rsid w:val="00F65470"/>
    <w:rsid w:val="00F6563C"/>
    <w:rsid w:val="00F66176"/>
    <w:rsid w:val="00F6628E"/>
    <w:rsid w:val="00F66A7D"/>
    <w:rsid w:val="00F66EC1"/>
    <w:rsid w:val="00F67070"/>
    <w:rsid w:val="00F67137"/>
    <w:rsid w:val="00F6739F"/>
    <w:rsid w:val="00F6784F"/>
    <w:rsid w:val="00F70A2C"/>
    <w:rsid w:val="00F71398"/>
    <w:rsid w:val="00F71E0C"/>
    <w:rsid w:val="00F7205F"/>
    <w:rsid w:val="00F722D2"/>
    <w:rsid w:val="00F724DF"/>
    <w:rsid w:val="00F72891"/>
    <w:rsid w:val="00F72A9A"/>
    <w:rsid w:val="00F72AE0"/>
    <w:rsid w:val="00F72B79"/>
    <w:rsid w:val="00F73942"/>
    <w:rsid w:val="00F739F5"/>
    <w:rsid w:val="00F74026"/>
    <w:rsid w:val="00F74746"/>
    <w:rsid w:val="00F74D54"/>
    <w:rsid w:val="00F75339"/>
    <w:rsid w:val="00F758E3"/>
    <w:rsid w:val="00F761E0"/>
    <w:rsid w:val="00F76759"/>
    <w:rsid w:val="00F76B82"/>
    <w:rsid w:val="00F76D24"/>
    <w:rsid w:val="00F77074"/>
    <w:rsid w:val="00F77C88"/>
    <w:rsid w:val="00F80521"/>
    <w:rsid w:val="00F805CA"/>
    <w:rsid w:val="00F81084"/>
    <w:rsid w:val="00F810E0"/>
    <w:rsid w:val="00F811B1"/>
    <w:rsid w:val="00F81372"/>
    <w:rsid w:val="00F81AA3"/>
    <w:rsid w:val="00F81B25"/>
    <w:rsid w:val="00F81D1C"/>
    <w:rsid w:val="00F82855"/>
    <w:rsid w:val="00F828EA"/>
    <w:rsid w:val="00F82B01"/>
    <w:rsid w:val="00F8314C"/>
    <w:rsid w:val="00F832F5"/>
    <w:rsid w:val="00F83A1D"/>
    <w:rsid w:val="00F83BBB"/>
    <w:rsid w:val="00F83E81"/>
    <w:rsid w:val="00F83FE0"/>
    <w:rsid w:val="00F841EA"/>
    <w:rsid w:val="00F842BA"/>
    <w:rsid w:val="00F84A1F"/>
    <w:rsid w:val="00F84E59"/>
    <w:rsid w:val="00F85286"/>
    <w:rsid w:val="00F8650D"/>
    <w:rsid w:val="00F8660F"/>
    <w:rsid w:val="00F870FA"/>
    <w:rsid w:val="00F872D8"/>
    <w:rsid w:val="00F872FA"/>
    <w:rsid w:val="00F873BF"/>
    <w:rsid w:val="00F900BD"/>
    <w:rsid w:val="00F90171"/>
    <w:rsid w:val="00F9028B"/>
    <w:rsid w:val="00F906EA"/>
    <w:rsid w:val="00F90F7B"/>
    <w:rsid w:val="00F9163C"/>
    <w:rsid w:val="00F91692"/>
    <w:rsid w:val="00F916AE"/>
    <w:rsid w:val="00F91A1E"/>
    <w:rsid w:val="00F922F5"/>
    <w:rsid w:val="00F9243F"/>
    <w:rsid w:val="00F92B1D"/>
    <w:rsid w:val="00F92E38"/>
    <w:rsid w:val="00F93293"/>
    <w:rsid w:val="00F93403"/>
    <w:rsid w:val="00F93DC0"/>
    <w:rsid w:val="00F94088"/>
    <w:rsid w:val="00F940F4"/>
    <w:rsid w:val="00F94826"/>
    <w:rsid w:val="00F94AFF"/>
    <w:rsid w:val="00F94BC5"/>
    <w:rsid w:val="00F94D9C"/>
    <w:rsid w:val="00F94D9D"/>
    <w:rsid w:val="00F94E03"/>
    <w:rsid w:val="00F94E74"/>
    <w:rsid w:val="00F950C9"/>
    <w:rsid w:val="00F9532E"/>
    <w:rsid w:val="00F9562F"/>
    <w:rsid w:val="00F95A40"/>
    <w:rsid w:val="00F964DB"/>
    <w:rsid w:val="00F9654F"/>
    <w:rsid w:val="00F9687D"/>
    <w:rsid w:val="00F968F9"/>
    <w:rsid w:val="00F96CA5"/>
    <w:rsid w:val="00F97170"/>
    <w:rsid w:val="00F971DC"/>
    <w:rsid w:val="00F9734D"/>
    <w:rsid w:val="00F975E0"/>
    <w:rsid w:val="00F97A90"/>
    <w:rsid w:val="00F97DD0"/>
    <w:rsid w:val="00FA0F13"/>
    <w:rsid w:val="00FA1CCE"/>
    <w:rsid w:val="00FA2408"/>
    <w:rsid w:val="00FA2800"/>
    <w:rsid w:val="00FA290F"/>
    <w:rsid w:val="00FA2B5A"/>
    <w:rsid w:val="00FA2D31"/>
    <w:rsid w:val="00FA3352"/>
    <w:rsid w:val="00FA3BB0"/>
    <w:rsid w:val="00FA3DBD"/>
    <w:rsid w:val="00FA3F9D"/>
    <w:rsid w:val="00FA45A6"/>
    <w:rsid w:val="00FA49B8"/>
    <w:rsid w:val="00FA4A28"/>
    <w:rsid w:val="00FA54F3"/>
    <w:rsid w:val="00FA5878"/>
    <w:rsid w:val="00FA5D6A"/>
    <w:rsid w:val="00FA6686"/>
    <w:rsid w:val="00FA68EF"/>
    <w:rsid w:val="00FA75D6"/>
    <w:rsid w:val="00FA7680"/>
    <w:rsid w:val="00FA77D7"/>
    <w:rsid w:val="00FA783E"/>
    <w:rsid w:val="00FA7B7B"/>
    <w:rsid w:val="00FA7E3D"/>
    <w:rsid w:val="00FB0216"/>
    <w:rsid w:val="00FB02E7"/>
    <w:rsid w:val="00FB0B61"/>
    <w:rsid w:val="00FB10ED"/>
    <w:rsid w:val="00FB141D"/>
    <w:rsid w:val="00FB1BB4"/>
    <w:rsid w:val="00FB29A5"/>
    <w:rsid w:val="00FB3314"/>
    <w:rsid w:val="00FB38DD"/>
    <w:rsid w:val="00FB3C0B"/>
    <w:rsid w:val="00FB3C12"/>
    <w:rsid w:val="00FB411D"/>
    <w:rsid w:val="00FB4B94"/>
    <w:rsid w:val="00FB5C7E"/>
    <w:rsid w:val="00FB66D1"/>
    <w:rsid w:val="00FB6E4B"/>
    <w:rsid w:val="00FB6EEC"/>
    <w:rsid w:val="00FB72E5"/>
    <w:rsid w:val="00FB7513"/>
    <w:rsid w:val="00FB79EE"/>
    <w:rsid w:val="00FB79FD"/>
    <w:rsid w:val="00FB7D67"/>
    <w:rsid w:val="00FC0038"/>
    <w:rsid w:val="00FC106C"/>
    <w:rsid w:val="00FC1328"/>
    <w:rsid w:val="00FC13CB"/>
    <w:rsid w:val="00FC1B9C"/>
    <w:rsid w:val="00FC1CF3"/>
    <w:rsid w:val="00FC20BB"/>
    <w:rsid w:val="00FC20F8"/>
    <w:rsid w:val="00FC22AC"/>
    <w:rsid w:val="00FC25A0"/>
    <w:rsid w:val="00FC308E"/>
    <w:rsid w:val="00FC3A48"/>
    <w:rsid w:val="00FC3A62"/>
    <w:rsid w:val="00FC3D96"/>
    <w:rsid w:val="00FC43B4"/>
    <w:rsid w:val="00FC49AE"/>
    <w:rsid w:val="00FC4CB9"/>
    <w:rsid w:val="00FC5484"/>
    <w:rsid w:val="00FC61AC"/>
    <w:rsid w:val="00FC6DE7"/>
    <w:rsid w:val="00FC7246"/>
    <w:rsid w:val="00FC767E"/>
    <w:rsid w:val="00FC7E03"/>
    <w:rsid w:val="00FD0678"/>
    <w:rsid w:val="00FD099F"/>
    <w:rsid w:val="00FD0DF1"/>
    <w:rsid w:val="00FD0E12"/>
    <w:rsid w:val="00FD101E"/>
    <w:rsid w:val="00FD14DB"/>
    <w:rsid w:val="00FD2C54"/>
    <w:rsid w:val="00FD2CE0"/>
    <w:rsid w:val="00FD2F09"/>
    <w:rsid w:val="00FD32F1"/>
    <w:rsid w:val="00FD33A9"/>
    <w:rsid w:val="00FD4F0D"/>
    <w:rsid w:val="00FD59C1"/>
    <w:rsid w:val="00FD61C7"/>
    <w:rsid w:val="00FD627E"/>
    <w:rsid w:val="00FD679E"/>
    <w:rsid w:val="00FD6A02"/>
    <w:rsid w:val="00FD6A4B"/>
    <w:rsid w:val="00FD72D2"/>
    <w:rsid w:val="00FD740D"/>
    <w:rsid w:val="00FD742D"/>
    <w:rsid w:val="00FD778B"/>
    <w:rsid w:val="00FD79C8"/>
    <w:rsid w:val="00FD7DAC"/>
    <w:rsid w:val="00FE080A"/>
    <w:rsid w:val="00FE1653"/>
    <w:rsid w:val="00FE195F"/>
    <w:rsid w:val="00FE1B00"/>
    <w:rsid w:val="00FE24FE"/>
    <w:rsid w:val="00FE25CE"/>
    <w:rsid w:val="00FE2892"/>
    <w:rsid w:val="00FE31E1"/>
    <w:rsid w:val="00FE32B4"/>
    <w:rsid w:val="00FE34E9"/>
    <w:rsid w:val="00FE36B8"/>
    <w:rsid w:val="00FE3CA0"/>
    <w:rsid w:val="00FE4195"/>
    <w:rsid w:val="00FE42B1"/>
    <w:rsid w:val="00FE462A"/>
    <w:rsid w:val="00FE4BD3"/>
    <w:rsid w:val="00FE5335"/>
    <w:rsid w:val="00FE5640"/>
    <w:rsid w:val="00FE59D1"/>
    <w:rsid w:val="00FE5D18"/>
    <w:rsid w:val="00FE602D"/>
    <w:rsid w:val="00FE651A"/>
    <w:rsid w:val="00FE6C7B"/>
    <w:rsid w:val="00FE7187"/>
    <w:rsid w:val="00FE74C0"/>
    <w:rsid w:val="00FE781D"/>
    <w:rsid w:val="00FE7A60"/>
    <w:rsid w:val="00FE7AC6"/>
    <w:rsid w:val="00FE7B87"/>
    <w:rsid w:val="00FF002C"/>
    <w:rsid w:val="00FF04DD"/>
    <w:rsid w:val="00FF0BAE"/>
    <w:rsid w:val="00FF0BB1"/>
    <w:rsid w:val="00FF1162"/>
    <w:rsid w:val="00FF12F1"/>
    <w:rsid w:val="00FF165C"/>
    <w:rsid w:val="00FF17E6"/>
    <w:rsid w:val="00FF1C1B"/>
    <w:rsid w:val="00FF1E73"/>
    <w:rsid w:val="00FF277C"/>
    <w:rsid w:val="00FF27FB"/>
    <w:rsid w:val="00FF29D5"/>
    <w:rsid w:val="00FF2BE3"/>
    <w:rsid w:val="00FF3077"/>
    <w:rsid w:val="00FF3EB4"/>
    <w:rsid w:val="00FF44F3"/>
    <w:rsid w:val="00FF4EB1"/>
    <w:rsid w:val="00FF4F95"/>
    <w:rsid w:val="00FF5C7B"/>
    <w:rsid w:val="00FF6225"/>
    <w:rsid w:val="00FF6669"/>
    <w:rsid w:val="00FF6D75"/>
    <w:rsid w:val="00FF720F"/>
    <w:rsid w:val="00FF726D"/>
    <w:rsid w:val="00FF74AC"/>
    <w:rsid w:val="00FF75D3"/>
    <w:rsid w:val="00FF765C"/>
    <w:rsid w:val="00FF7C40"/>
    <w:rsid w:val="00FF7CB9"/>
    <w:rsid w:val="00FF7CFE"/>
    <w:rsid w:val="00FF7FF3"/>
    <w:rsid w:val="01068DAB"/>
    <w:rsid w:val="014242D8"/>
    <w:rsid w:val="01964F0E"/>
    <w:rsid w:val="028BBBE6"/>
    <w:rsid w:val="062B6C3B"/>
    <w:rsid w:val="06601607"/>
    <w:rsid w:val="09CF04AB"/>
    <w:rsid w:val="0A15E8A1"/>
    <w:rsid w:val="0DC23034"/>
    <w:rsid w:val="0E298D84"/>
    <w:rsid w:val="0F3C320B"/>
    <w:rsid w:val="0F9672B2"/>
    <w:rsid w:val="100FBF85"/>
    <w:rsid w:val="1172F6E6"/>
    <w:rsid w:val="11EEA9A2"/>
    <w:rsid w:val="12A950DD"/>
    <w:rsid w:val="12F21885"/>
    <w:rsid w:val="13DB106F"/>
    <w:rsid w:val="141204DE"/>
    <w:rsid w:val="1466FBF6"/>
    <w:rsid w:val="15A87338"/>
    <w:rsid w:val="15C6FADE"/>
    <w:rsid w:val="16782DC2"/>
    <w:rsid w:val="18C432BD"/>
    <w:rsid w:val="192EF4F4"/>
    <w:rsid w:val="1B5CDC36"/>
    <w:rsid w:val="1EC58BF1"/>
    <w:rsid w:val="1EFB8835"/>
    <w:rsid w:val="21A037F0"/>
    <w:rsid w:val="21B717B2"/>
    <w:rsid w:val="22C7FBA8"/>
    <w:rsid w:val="239743A9"/>
    <w:rsid w:val="23EB529B"/>
    <w:rsid w:val="27D3944A"/>
    <w:rsid w:val="2BC5C48A"/>
    <w:rsid w:val="2D26FAC2"/>
    <w:rsid w:val="2FB01B1F"/>
    <w:rsid w:val="317620B4"/>
    <w:rsid w:val="330DDDCE"/>
    <w:rsid w:val="33C00D82"/>
    <w:rsid w:val="34CF541A"/>
    <w:rsid w:val="35B652B8"/>
    <w:rsid w:val="367BCF1A"/>
    <w:rsid w:val="368D878F"/>
    <w:rsid w:val="38BD0057"/>
    <w:rsid w:val="39C4FA98"/>
    <w:rsid w:val="3A7B0FDB"/>
    <w:rsid w:val="3C3820C2"/>
    <w:rsid w:val="3E6308DE"/>
    <w:rsid w:val="3E7EFE71"/>
    <w:rsid w:val="3F4E80FE"/>
    <w:rsid w:val="3FAF4A96"/>
    <w:rsid w:val="403C7792"/>
    <w:rsid w:val="40B72D8D"/>
    <w:rsid w:val="40C09095"/>
    <w:rsid w:val="40FAEAE6"/>
    <w:rsid w:val="410C6441"/>
    <w:rsid w:val="412F703C"/>
    <w:rsid w:val="42991E43"/>
    <w:rsid w:val="42FDF129"/>
    <w:rsid w:val="458DD71E"/>
    <w:rsid w:val="45DC0929"/>
    <w:rsid w:val="45FB9DEB"/>
    <w:rsid w:val="467C44D4"/>
    <w:rsid w:val="46EC2FC8"/>
    <w:rsid w:val="47F7308C"/>
    <w:rsid w:val="48FC6148"/>
    <w:rsid w:val="49DB4812"/>
    <w:rsid w:val="4C81E54B"/>
    <w:rsid w:val="4D6C5439"/>
    <w:rsid w:val="4E9BE554"/>
    <w:rsid w:val="4F3F8400"/>
    <w:rsid w:val="5047236B"/>
    <w:rsid w:val="5253F809"/>
    <w:rsid w:val="564B27DB"/>
    <w:rsid w:val="56643167"/>
    <w:rsid w:val="58612845"/>
    <w:rsid w:val="588D9AAC"/>
    <w:rsid w:val="5B7BD7B6"/>
    <w:rsid w:val="5B9F204B"/>
    <w:rsid w:val="600CFB84"/>
    <w:rsid w:val="6206741C"/>
    <w:rsid w:val="63BC487A"/>
    <w:rsid w:val="64A20763"/>
    <w:rsid w:val="650C07C2"/>
    <w:rsid w:val="67B94595"/>
    <w:rsid w:val="67F99CE3"/>
    <w:rsid w:val="681173DD"/>
    <w:rsid w:val="68A9D527"/>
    <w:rsid w:val="68AC4061"/>
    <w:rsid w:val="68BE4552"/>
    <w:rsid w:val="693E3EE1"/>
    <w:rsid w:val="69757886"/>
    <w:rsid w:val="6B725880"/>
    <w:rsid w:val="6D82EDEB"/>
    <w:rsid w:val="6E028587"/>
    <w:rsid w:val="6F5BBD82"/>
    <w:rsid w:val="6FAA5127"/>
    <w:rsid w:val="71B0A791"/>
    <w:rsid w:val="7320FC42"/>
    <w:rsid w:val="734834DA"/>
    <w:rsid w:val="74BB96B4"/>
    <w:rsid w:val="7536ADF8"/>
    <w:rsid w:val="75629B91"/>
    <w:rsid w:val="7613785C"/>
    <w:rsid w:val="7924264D"/>
    <w:rsid w:val="7CEDBDE5"/>
    <w:rsid w:val="7FFCE7D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C2FC8"/>
  <w15:chartTrackingRefBased/>
  <w15:docId w15:val="{A1974510-DCB5-406D-8F63-FCFAEF33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7D3D"/>
    <w:pPr>
      <w:spacing w:after="120" w:line="240" w:lineRule="auto"/>
    </w:pPr>
    <w:rPr>
      <w:rFonts w:ascii="Times New Roman" w:hAnsi="Times New Roman"/>
    </w:rPr>
  </w:style>
  <w:style w:type="paragraph" w:styleId="Nagwek1">
    <w:name w:val="heading 1"/>
    <w:basedOn w:val="Normalny"/>
    <w:next w:val="Normalny"/>
    <w:link w:val="Nagwek1Znak"/>
    <w:uiPriority w:val="9"/>
    <w:qFormat/>
    <w:rsid w:val="0092294C"/>
    <w:pPr>
      <w:keepNext/>
      <w:keepLines/>
      <w:numPr>
        <w:numId w:val="1"/>
      </w:numPr>
      <w:spacing w:before="240" w:after="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DF1608"/>
    <w:pPr>
      <w:keepNext/>
      <w:keepLines/>
      <w:numPr>
        <w:ilvl w:val="1"/>
        <w:numId w:val="2"/>
      </w:numPr>
      <w:spacing w:before="40" w:after="0"/>
      <w:outlineLvl w:val="1"/>
    </w:pPr>
    <w:rPr>
      <w:rFonts w:eastAsiaTheme="majorEastAsia" w:cstheme="majorBidi"/>
      <w:sz w:val="26"/>
      <w:szCs w:val="26"/>
    </w:rPr>
  </w:style>
  <w:style w:type="paragraph" w:styleId="Nagwek3">
    <w:name w:val="heading 3"/>
    <w:basedOn w:val="Normalny"/>
    <w:next w:val="Normalny"/>
    <w:link w:val="Nagwek3Znak"/>
    <w:uiPriority w:val="9"/>
    <w:unhideWhenUsed/>
    <w:qFormat/>
    <w:rsid w:val="00DF1608"/>
    <w:pPr>
      <w:keepNext/>
      <w:keepLines/>
      <w:numPr>
        <w:ilvl w:val="2"/>
        <w:numId w:val="2"/>
      </w:numPr>
      <w:spacing w:before="40" w:after="0"/>
      <w:outlineLvl w:val="2"/>
    </w:pPr>
    <w:rPr>
      <w:rFonts w:eastAsiaTheme="majorEastAsia" w:cstheme="majorBidi"/>
      <w:sz w:val="24"/>
      <w:szCs w:val="24"/>
      <w:u w:val="single"/>
    </w:rPr>
  </w:style>
  <w:style w:type="paragraph" w:styleId="Nagwek4">
    <w:name w:val="heading 4"/>
    <w:basedOn w:val="Normalny"/>
    <w:next w:val="Normalny"/>
    <w:link w:val="Nagwek4Znak"/>
    <w:uiPriority w:val="9"/>
    <w:unhideWhenUsed/>
    <w:qFormat/>
    <w:rsid w:val="0027595D"/>
    <w:pPr>
      <w:keepNext/>
      <w:keepLines/>
      <w:numPr>
        <w:numId w:val="26"/>
      </w:numPr>
      <w:spacing w:before="40" w:after="0"/>
      <w:outlineLvl w:val="3"/>
    </w:pPr>
    <w:rPr>
      <w:rFonts w:eastAsiaTheme="majorEastAsia" w:cstheme="majorBidi"/>
      <w:i/>
      <w:iCs/>
      <w:color w:val="000000" w:themeColor="text1"/>
    </w:rPr>
  </w:style>
  <w:style w:type="paragraph" w:styleId="Nagwek5">
    <w:name w:val="heading 5"/>
    <w:basedOn w:val="Normalny"/>
    <w:next w:val="Normalny"/>
    <w:link w:val="Nagwek5Znak"/>
    <w:uiPriority w:val="9"/>
    <w:unhideWhenUsed/>
    <w:qFormat/>
    <w:rsid w:val="00BC071E"/>
    <w:pPr>
      <w:keepNext/>
      <w:keepLines/>
      <w:numPr>
        <w:numId w:val="27"/>
      </w:numPr>
      <w:spacing w:before="40" w:after="0"/>
      <w:outlineLvl w:val="4"/>
    </w:pPr>
    <w:rPr>
      <w:rFonts w:eastAsiaTheme="majorEastAsia" w:cstheme="majorBidi"/>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1A2C2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1A2C2C"/>
    <w:rPr>
      <w:rFonts w:eastAsiaTheme="minorEastAsia"/>
      <w:lang w:eastAsia="pl-PL"/>
    </w:rPr>
  </w:style>
  <w:style w:type="character" w:customStyle="1" w:styleId="Nagwek4Znak">
    <w:name w:val="Nagłówek 4 Znak"/>
    <w:basedOn w:val="Domylnaczcionkaakapitu"/>
    <w:link w:val="Nagwek4"/>
    <w:uiPriority w:val="9"/>
    <w:rsid w:val="0027595D"/>
    <w:rPr>
      <w:rFonts w:ascii="Times New Roman" w:eastAsiaTheme="majorEastAsia" w:hAnsi="Times New Roman" w:cstheme="majorBidi"/>
      <w:i/>
      <w:iCs/>
      <w:color w:val="000000" w:themeColor="text1"/>
    </w:rPr>
  </w:style>
  <w:style w:type="character" w:customStyle="1" w:styleId="Nagwek1Znak">
    <w:name w:val="Nagłówek 1 Znak"/>
    <w:basedOn w:val="Domylnaczcionkaakapitu"/>
    <w:link w:val="Nagwek1"/>
    <w:uiPriority w:val="9"/>
    <w:rsid w:val="0092294C"/>
    <w:rPr>
      <w:rFonts w:ascii="Times New Roman" w:eastAsiaTheme="majorEastAsia" w:hAnsi="Times New Roman" w:cstheme="majorBidi"/>
      <w:b/>
      <w:sz w:val="32"/>
      <w:szCs w:val="32"/>
    </w:rPr>
  </w:style>
  <w:style w:type="paragraph" w:styleId="Spistreci1">
    <w:name w:val="toc 1"/>
    <w:basedOn w:val="Normalny"/>
    <w:next w:val="Normalny"/>
    <w:autoRedefine/>
    <w:uiPriority w:val="39"/>
    <w:semiHidden/>
    <w:unhideWhenUsed/>
    <w:rsid w:val="00A70135"/>
    <w:pPr>
      <w:spacing w:after="100"/>
    </w:pPr>
  </w:style>
  <w:style w:type="paragraph" w:styleId="Nagwek">
    <w:name w:val="header"/>
    <w:basedOn w:val="Normalny"/>
    <w:link w:val="NagwekZnak"/>
    <w:uiPriority w:val="99"/>
    <w:unhideWhenUsed/>
    <w:rsid w:val="00F56B03"/>
    <w:pPr>
      <w:tabs>
        <w:tab w:val="center" w:pos="4536"/>
        <w:tab w:val="right" w:pos="9072"/>
      </w:tabs>
      <w:spacing w:after="0"/>
    </w:pPr>
  </w:style>
  <w:style w:type="character" w:customStyle="1" w:styleId="NagwekZnak">
    <w:name w:val="Nagłówek Znak"/>
    <w:basedOn w:val="Domylnaczcionkaakapitu"/>
    <w:link w:val="Nagwek"/>
    <w:uiPriority w:val="99"/>
    <w:rsid w:val="00F56B03"/>
  </w:style>
  <w:style w:type="paragraph" w:styleId="Stopka">
    <w:name w:val="footer"/>
    <w:basedOn w:val="Normalny"/>
    <w:link w:val="StopkaZnak"/>
    <w:uiPriority w:val="99"/>
    <w:unhideWhenUsed/>
    <w:rsid w:val="00F56B03"/>
    <w:pPr>
      <w:tabs>
        <w:tab w:val="center" w:pos="4536"/>
        <w:tab w:val="right" w:pos="9072"/>
      </w:tabs>
      <w:spacing w:after="0"/>
    </w:pPr>
  </w:style>
  <w:style w:type="character" w:customStyle="1" w:styleId="StopkaZnak">
    <w:name w:val="Stopka Znak"/>
    <w:basedOn w:val="Domylnaczcionkaakapitu"/>
    <w:link w:val="Stopka"/>
    <w:uiPriority w:val="99"/>
    <w:rsid w:val="00F56B03"/>
  </w:style>
  <w:style w:type="character" w:customStyle="1" w:styleId="Nagwek2Znak">
    <w:name w:val="Nagłówek 2 Znak"/>
    <w:basedOn w:val="Domylnaczcionkaakapitu"/>
    <w:link w:val="Nagwek2"/>
    <w:uiPriority w:val="9"/>
    <w:rsid w:val="00DF1608"/>
    <w:rPr>
      <w:rFonts w:ascii="Times New Roman" w:eastAsiaTheme="majorEastAsia" w:hAnsi="Times New Roman" w:cstheme="majorBidi"/>
      <w:sz w:val="26"/>
      <w:szCs w:val="26"/>
    </w:rPr>
  </w:style>
  <w:style w:type="character" w:customStyle="1" w:styleId="Nagwek3Znak">
    <w:name w:val="Nagłówek 3 Znak"/>
    <w:basedOn w:val="Domylnaczcionkaakapitu"/>
    <w:link w:val="Nagwek3"/>
    <w:uiPriority w:val="9"/>
    <w:rsid w:val="00DF1608"/>
    <w:rPr>
      <w:rFonts w:ascii="Times New Roman" w:eastAsiaTheme="majorEastAsia" w:hAnsi="Times New Roman" w:cstheme="majorBidi"/>
      <w:sz w:val="24"/>
      <w:szCs w:val="24"/>
      <w:u w:val="single"/>
    </w:rPr>
  </w:style>
  <w:style w:type="paragraph" w:styleId="Podtytu">
    <w:name w:val="Subtitle"/>
    <w:basedOn w:val="Normalny"/>
    <w:next w:val="Normalny"/>
    <w:link w:val="PodtytuZnak"/>
    <w:uiPriority w:val="11"/>
    <w:qFormat/>
    <w:rsid w:val="002A40B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2A40BD"/>
    <w:rPr>
      <w:rFonts w:eastAsiaTheme="minorEastAsia"/>
      <w:color w:val="5A5A5A" w:themeColor="text1" w:themeTint="A5"/>
      <w:spacing w:val="15"/>
    </w:rPr>
  </w:style>
  <w:style w:type="paragraph" w:styleId="Poprawka">
    <w:name w:val="Revision"/>
    <w:hidden/>
    <w:uiPriority w:val="99"/>
    <w:semiHidden/>
    <w:rsid w:val="00DF1608"/>
    <w:pPr>
      <w:spacing w:after="0" w:line="240" w:lineRule="auto"/>
    </w:pPr>
  </w:style>
  <w:style w:type="paragraph" w:styleId="Akapitzlist">
    <w:name w:val="List Paragraph"/>
    <w:basedOn w:val="Normalny"/>
    <w:uiPriority w:val="34"/>
    <w:qFormat/>
    <w:rsid w:val="002B70E9"/>
    <w:pPr>
      <w:ind w:left="720"/>
      <w:contextualSpacing/>
    </w:pPr>
  </w:style>
  <w:style w:type="character" w:styleId="Odwoaniedokomentarza">
    <w:name w:val="annotation reference"/>
    <w:basedOn w:val="Domylnaczcionkaakapitu"/>
    <w:uiPriority w:val="99"/>
    <w:semiHidden/>
    <w:unhideWhenUsed/>
    <w:rsid w:val="00792841"/>
    <w:rPr>
      <w:sz w:val="16"/>
      <w:szCs w:val="16"/>
    </w:rPr>
  </w:style>
  <w:style w:type="paragraph" w:styleId="Tekstkomentarza">
    <w:name w:val="annotation text"/>
    <w:basedOn w:val="Normalny"/>
    <w:link w:val="TekstkomentarzaZnak"/>
    <w:uiPriority w:val="99"/>
    <w:unhideWhenUsed/>
    <w:rsid w:val="00792841"/>
    <w:rPr>
      <w:sz w:val="20"/>
      <w:szCs w:val="20"/>
    </w:rPr>
  </w:style>
  <w:style w:type="character" w:customStyle="1" w:styleId="TekstkomentarzaZnak">
    <w:name w:val="Tekst komentarza Znak"/>
    <w:basedOn w:val="Domylnaczcionkaakapitu"/>
    <w:link w:val="Tekstkomentarza"/>
    <w:uiPriority w:val="99"/>
    <w:rsid w:val="00792841"/>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792841"/>
    <w:rPr>
      <w:b/>
      <w:bCs/>
    </w:rPr>
  </w:style>
  <w:style w:type="character" w:customStyle="1" w:styleId="TematkomentarzaZnak">
    <w:name w:val="Temat komentarza Znak"/>
    <w:basedOn w:val="TekstkomentarzaZnak"/>
    <w:link w:val="Tematkomentarza"/>
    <w:uiPriority w:val="99"/>
    <w:semiHidden/>
    <w:rsid w:val="00792841"/>
    <w:rPr>
      <w:rFonts w:ascii="Times New Roman" w:hAnsi="Times New Roman"/>
      <w:b/>
      <w:bCs/>
      <w:sz w:val="20"/>
      <w:szCs w:val="20"/>
    </w:rPr>
  </w:style>
  <w:style w:type="paragraph" w:customStyle="1" w:styleId="ZARTzmartartykuempunktem">
    <w:name w:val="Z/ART(§) – zm. art. (§) artykułem (punktem)"/>
    <w:basedOn w:val="Normalny"/>
    <w:uiPriority w:val="30"/>
    <w:qFormat/>
    <w:rsid w:val="0086021D"/>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ROZDZODDZPRZEDMzmprzedmrozdzoddzartykuempunktem">
    <w:name w:val="Z/ROZDZ(ODDZ)_PRZEDM – zm. przedm. rozdz. (oddz.) artykułem (punktem)"/>
    <w:basedOn w:val="Normalny"/>
    <w:next w:val="ZARTzmartartykuempunktem"/>
    <w:uiPriority w:val="29"/>
    <w:qFormat/>
    <w:rsid w:val="00D7603C"/>
    <w:pPr>
      <w:keepNext/>
      <w:suppressAutoHyphens/>
      <w:spacing w:before="120" w:line="360" w:lineRule="auto"/>
      <w:ind w:left="510"/>
      <w:jc w:val="center"/>
    </w:pPr>
    <w:rPr>
      <w:rFonts w:ascii="Times" w:eastAsiaTheme="minorEastAsia" w:hAnsi="Times" w:cs="Times New Roman"/>
      <w:bCs/>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964CD4"/>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character" w:styleId="Wzmianka">
    <w:name w:val="Mention"/>
    <w:basedOn w:val="Domylnaczcionkaakapitu"/>
    <w:uiPriority w:val="99"/>
    <w:unhideWhenUsed/>
    <w:rsid w:val="006C73AC"/>
    <w:rPr>
      <w:color w:val="2B579A"/>
      <w:shd w:val="clear" w:color="auto" w:fill="E1DFDD"/>
    </w:rPr>
  </w:style>
  <w:style w:type="paragraph" w:customStyle="1" w:styleId="PKTpunkt">
    <w:name w:val="PKT – punkt"/>
    <w:uiPriority w:val="16"/>
    <w:qFormat/>
    <w:rsid w:val="0075278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75278E"/>
    <w:pPr>
      <w:ind w:left="986" w:hanging="476"/>
    </w:pPr>
  </w:style>
  <w:style w:type="paragraph" w:customStyle="1" w:styleId="ARTartustawynprozporzdzenia">
    <w:name w:val="ART(§) – art. ustawy (§ np. rozporządzenia)"/>
    <w:uiPriority w:val="11"/>
    <w:qFormat/>
    <w:rsid w:val="001873E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kocowego">
    <w:name w:val="endnote text"/>
    <w:basedOn w:val="Normalny"/>
    <w:link w:val="TekstprzypisukocowegoZnak"/>
    <w:uiPriority w:val="99"/>
    <w:semiHidden/>
    <w:unhideWhenUsed/>
    <w:rsid w:val="001873E8"/>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873E8"/>
    <w:rPr>
      <w:rFonts w:ascii="Times New Roman" w:hAnsi="Times New Roman"/>
      <w:sz w:val="20"/>
      <w:szCs w:val="20"/>
    </w:rPr>
  </w:style>
  <w:style w:type="character" w:styleId="Odwoanieprzypisukocowego">
    <w:name w:val="endnote reference"/>
    <w:basedOn w:val="Domylnaczcionkaakapitu"/>
    <w:uiPriority w:val="99"/>
    <w:semiHidden/>
    <w:unhideWhenUsed/>
    <w:rsid w:val="001873E8"/>
    <w:rPr>
      <w:vertAlign w:val="superscript"/>
    </w:rPr>
  </w:style>
  <w:style w:type="character" w:styleId="Hipercze">
    <w:name w:val="Hyperlink"/>
    <w:basedOn w:val="Domylnaczcionkaakapitu"/>
    <w:uiPriority w:val="99"/>
    <w:unhideWhenUsed/>
    <w:rsid w:val="00CD4831"/>
    <w:rPr>
      <w:color w:val="0563C1" w:themeColor="hyperlink"/>
      <w:u w:val="single"/>
    </w:rPr>
  </w:style>
  <w:style w:type="character" w:customStyle="1" w:styleId="TekstprzypisudolnegoZnak">
    <w:name w:val="Tekst przypisu dolnego Znak"/>
    <w:aliases w:val="Podrozdział Znak1,Podrozdział Znak Znak1,Podrozdział Znak Znak Znak,Tekst przypisu Znak,tekst przypisu Znak,tekst przypisu1 Znak,tekst przypisu2 Znak,tekst przypisu3 Znak,tekst przypisu4 Znak,tekst przypisu5 Znak,o Znak"/>
    <w:basedOn w:val="Domylnaczcionkaakapitu"/>
    <w:link w:val="Tekstprzypisudolnego"/>
    <w:uiPriority w:val="99"/>
    <w:locked/>
    <w:rsid w:val="00CD4831"/>
  </w:style>
  <w:style w:type="paragraph" w:styleId="Tekstprzypisudolnego">
    <w:name w:val="footnote text"/>
    <w:aliases w:val="Podrozdział,Podrozdział Znak,Podrozdział Znak Znak,Tekst przypisu,tekst przypisu,tekst przypisu1,tekst przypisu2,tekst przypisu3,tekst przypisu4,tekst przypisu5,tekst przypisu11,tekst przypisu21,tekst przypisu31,tekst przypisu41,o"/>
    <w:basedOn w:val="Normalny"/>
    <w:link w:val="TekstprzypisudolnegoZnak"/>
    <w:uiPriority w:val="99"/>
    <w:unhideWhenUsed/>
    <w:qFormat/>
    <w:rsid w:val="00CD4831"/>
    <w:pPr>
      <w:widowControl w:val="0"/>
      <w:autoSpaceDE w:val="0"/>
      <w:autoSpaceDN w:val="0"/>
      <w:adjustRightInd w:val="0"/>
      <w:spacing w:after="0" w:line="360" w:lineRule="auto"/>
    </w:pPr>
    <w:rPr>
      <w:rFonts w:asciiTheme="minorHAnsi" w:hAnsiTheme="minorHAnsi"/>
    </w:rPr>
  </w:style>
  <w:style w:type="character" w:customStyle="1" w:styleId="TekstprzypisudolnegoZnak1">
    <w:name w:val="Tekst przypisu dolnego Znak1"/>
    <w:basedOn w:val="Domylnaczcionkaakapitu"/>
    <w:uiPriority w:val="99"/>
    <w:semiHidden/>
    <w:rsid w:val="00CD4831"/>
    <w:rPr>
      <w:rFonts w:ascii="Times New Roman" w:hAnsi="Times New Roman"/>
      <w:sz w:val="20"/>
      <w:szCs w:val="20"/>
    </w:rPr>
  </w:style>
  <w:style w:type="paragraph" w:customStyle="1" w:styleId="ODNONIKtreodnonika">
    <w:name w:val="ODNOŚNIK – treść odnośnika"/>
    <w:uiPriority w:val="19"/>
    <w:qFormat/>
    <w:rsid w:val="00CD4831"/>
    <w:pPr>
      <w:spacing w:after="0" w:line="240" w:lineRule="auto"/>
      <w:ind w:left="284" w:hanging="284"/>
      <w:jc w:val="both"/>
    </w:pPr>
    <w:rPr>
      <w:rFonts w:ascii="Times New Roman" w:eastAsiaTheme="minorEastAsia" w:hAnsi="Times New Roman" w:cs="Arial"/>
      <w:sz w:val="20"/>
      <w:szCs w:val="20"/>
      <w:lang w:eastAsia="pl-PL"/>
    </w:rPr>
  </w:style>
  <w:style w:type="character" w:styleId="Odwoanieprzypisudolnego">
    <w:name w:val="footnote reference"/>
    <w:aliases w:val="Footnote Reference Number,stylish Car Car,Footnote Refernece Car Car,BVI fnr Car Car,Fußnotenzeichen_Raxen Car Car,callout Car Car,Footnote Reference Number Car Car,Footnote Reference Superscript Car Car,Footnote symbol"/>
    <w:link w:val="stylishCar"/>
    <w:uiPriority w:val="99"/>
    <w:unhideWhenUsed/>
    <w:qFormat/>
    <w:rsid w:val="00CD4831"/>
    <w:rPr>
      <w:vertAlign w:val="superscript"/>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ny"/>
    <w:link w:val="Odwoanieprzypisudolnego"/>
    <w:uiPriority w:val="99"/>
    <w:rsid w:val="00CD4831"/>
    <w:pPr>
      <w:spacing w:after="160" w:line="240" w:lineRule="exact"/>
    </w:pPr>
    <w:rPr>
      <w:rFonts w:asciiTheme="minorHAnsi" w:hAnsiTheme="minorHAnsi"/>
      <w:vertAlign w:val="superscript"/>
    </w:rPr>
  </w:style>
  <w:style w:type="character" w:customStyle="1" w:styleId="IGindeksgrny">
    <w:name w:val="_IG_ – indeks górny"/>
    <w:basedOn w:val="Domylnaczcionkaakapitu"/>
    <w:uiPriority w:val="2"/>
    <w:qFormat/>
    <w:rsid w:val="00CD4831"/>
    <w:rPr>
      <w:b w:val="0"/>
      <w:bCs w:val="0"/>
      <w:i w:val="0"/>
      <w:iCs w:val="0"/>
      <w:vanish w:val="0"/>
      <w:webHidden w:val="0"/>
      <w:spacing w:val="0"/>
      <w:vertAlign w:val="superscript"/>
      <w:specVanish w:val="0"/>
    </w:rPr>
  </w:style>
  <w:style w:type="paragraph" w:styleId="Tytu">
    <w:name w:val="Title"/>
    <w:basedOn w:val="Normalny"/>
    <w:next w:val="Normalny"/>
    <w:link w:val="TytuZnak"/>
    <w:uiPriority w:val="10"/>
    <w:qFormat/>
    <w:rsid w:val="002C5E63"/>
    <w:pPr>
      <w:spacing w:after="0"/>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2C5E63"/>
    <w:rPr>
      <w:rFonts w:ascii="Times New Roman" w:eastAsiaTheme="majorEastAsia" w:hAnsi="Times New Roman" w:cstheme="majorBidi"/>
      <w:spacing w:val="-10"/>
      <w:kern w:val="28"/>
      <w:sz w:val="56"/>
      <w:szCs w:val="56"/>
    </w:rPr>
  </w:style>
  <w:style w:type="paragraph" w:customStyle="1" w:styleId="USTustnpkodeksu">
    <w:name w:val="UST(§) – ust. (§ np. kodeksu)"/>
    <w:basedOn w:val="ARTartustawynprozporzdzenia"/>
    <w:uiPriority w:val="12"/>
    <w:qFormat/>
    <w:rsid w:val="009342CA"/>
    <w:pPr>
      <w:spacing w:before="0"/>
    </w:pPr>
    <w:rPr>
      <w:bCs/>
    </w:rPr>
  </w:style>
  <w:style w:type="character" w:styleId="Nierozpoznanawzmianka">
    <w:name w:val="Unresolved Mention"/>
    <w:basedOn w:val="Domylnaczcionkaakapitu"/>
    <w:uiPriority w:val="99"/>
    <w:semiHidden/>
    <w:unhideWhenUsed/>
    <w:rsid w:val="00105CFD"/>
    <w:rPr>
      <w:color w:val="605E5C"/>
      <w:shd w:val="clear" w:color="auto" w:fill="E1DFDD"/>
    </w:rPr>
  </w:style>
  <w:style w:type="paragraph" w:customStyle="1" w:styleId="ZLITwPKTzmlitwpktartykuempunktem">
    <w:name w:val="Z/LIT_w_PKT – zm. lit. w pkt artykułem (punktem)"/>
    <w:basedOn w:val="LITlitera"/>
    <w:uiPriority w:val="32"/>
    <w:qFormat/>
    <w:rsid w:val="00C577BF"/>
    <w:pPr>
      <w:ind w:left="1497"/>
    </w:pPr>
  </w:style>
  <w:style w:type="paragraph" w:customStyle="1" w:styleId="ZPKTzmpktartykuempunktem">
    <w:name w:val="Z/PKT – zm. pkt artykułem (punktem)"/>
    <w:basedOn w:val="PKTpunkt"/>
    <w:uiPriority w:val="31"/>
    <w:qFormat/>
    <w:rsid w:val="00C577BF"/>
    <w:pPr>
      <w:ind w:left="1020"/>
    </w:pPr>
  </w:style>
  <w:style w:type="paragraph" w:customStyle="1" w:styleId="ZUSTzmustartykuempunktem">
    <w:name w:val="Z/UST(§) – zm. ust. (§) artykułem (punktem)"/>
    <w:basedOn w:val="ZARTzmartartykuempunktem"/>
    <w:uiPriority w:val="30"/>
    <w:qFormat/>
    <w:rsid w:val="00C577BF"/>
  </w:style>
  <w:style w:type="character" w:customStyle="1" w:styleId="ui-provider">
    <w:name w:val="ui-provider"/>
    <w:basedOn w:val="Domylnaczcionkaakapitu"/>
    <w:rsid w:val="00471698"/>
  </w:style>
  <w:style w:type="character" w:styleId="UyteHipercze">
    <w:name w:val="FollowedHyperlink"/>
    <w:basedOn w:val="Domylnaczcionkaakapitu"/>
    <w:uiPriority w:val="99"/>
    <w:semiHidden/>
    <w:unhideWhenUsed/>
    <w:rsid w:val="006542DF"/>
    <w:rPr>
      <w:color w:val="954F72" w:themeColor="followedHyperlink"/>
      <w:u w:val="single"/>
    </w:rPr>
  </w:style>
  <w:style w:type="paragraph" w:styleId="Legenda">
    <w:name w:val="caption"/>
    <w:basedOn w:val="Normalny"/>
    <w:next w:val="Normalny"/>
    <w:uiPriority w:val="35"/>
    <w:unhideWhenUsed/>
    <w:qFormat/>
    <w:rsid w:val="00C15436"/>
    <w:pPr>
      <w:spacing w:after="200"/>
    </w:pPr>
    <w:rPr>
      <w:i/>
      <w:iCs/>
      <w:color w:val="44546A" w:themeColor="text2"/>
      <w:sz w:val="18"/>
      <w:szCs w:val="18"/>
    </w:rPr>
  </w:style>
  <w:style w:type="table" w:styleId="Tabela-Siatka">
    <w:name w:val="Table Grid"/>
    <w:basedOn w:val="Standardowy"/>
    <w:uiPriority w:val="39"/>
    <w:rsid w:val="0028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rsid w:val="00BC071E"/>
    <w:rPr>
      <w:rFonts w:ascii="Times New Roman" w:eastAsiaTheme="majorEastAsia" w:hAnsi="Times New Roman" w:cstheme="majorBidi"/>
      <w:color w:val="000000" w:themeColor="text1"/>
    </w:rPr>
  </w:style>
  <w:style w:type="paragraph" w:styleId="NormalnyWeb">
    <w:name w:val="Normal (Web)"/>
    <w:basedOn w:val="Normalny"/>
    <w:uiPriority w:val="99"/>
    <w:unhideWhenUsed/>
    <w:rsid w:val="00A23C68"/>
    <w:pPr>
      <w:spacing w:before="100" w:beforeAutospacing="1" w:after="100" w:afterAutospacing="1"/>
    </w:pPr>
    <w:rPr>
      <w:rFonts w:eastAsia="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0977">
      <w:bodyDiv w:val="1"/>
      <w:marLeft w:val="0"/>
      <w:marRight w:val="0"/>
      <w:marTop w:val="0"/>
      <w:marBottom w:val="0"/>
      <w:divBdr>
        <w:top w:val="none" w:sz="0" w:space="0" w:color="auto"/>
        <w:left w:val="none" w:sz="0" w:space="0" w:color="auto"/>
        <w:bottom w:val="none" w:sz="0" w:space="0" w:color="auto"/>
        <w:right w:val="none" w:sz="0" w:space="0" w:color="auto"/>
      </w:divBdr>
    </w:div>
    <w:div w:id="113060622">
      <w:bodyDiv w:val="1"/>
      <w:marLeft w:val="0"/>
      <w:marRight w:val="0"/>
      <w:marTop w:val="0"/>
      <w:marBottom w:val="0"/>
      <w:divBdr>
        <w:top w:val="none" w:sz="0" w:space="0" w:color="auto"/>
        <w:left w:val="none" w:sz="0" w:space="0" w:color="auto"/>
        <w:bottom w:val="none" w:sz="0" w:space="0" w:color="auto"/>
        <w:right w:val="none" w:sz="0" w:space="0" w:color="auto"/>
      </w:divBdr>
    </w:div>
    <w:div w:id="198133778">
      <w:bodyDiv w:val="1"/>
      <w:marLeft w:val="0"/>
      <w:marRight w:val="0"/>
      <w:marTop w:val="0"/>
      <w:marBottom w:val="0"/>
      <w:divBdr>
        <w:top w:val="none" w:sz="0" w:space="0" w:color="auto"/>
        <w:left w:val="none" w:sz="0" w:space="0" w:color="auto"/>
        <w:bottom w:val="none" w:sz="0" w:space="0" w:color="auto"/>
        <w:right w:val="none" w:sz="0" w:space="0" w:color="auto"/>
      </w:divBdr>
    </w:div>
    <w:div w:id="248083852">
      <w:bodyDiv w:val="1"/>
      <w:marLeft w:val="0"/>
      <w:marRight w:val="0"/>
      <w:marTop w:val="0"/>
      <w:marBottom w:val="0"/>
      <w:divBdr>
        <w:top w:val="none" w:sz="0" w:space="0" w:color="auto"/>
        <w:left w:val="none" w:sz="0" w:space="0" w:color="auto"/>
        <w:bottom w:val="none" w:sz="0" w:space="0" w:color="auto"/>
        <w:right w:val="none" w:sz="0" w:space="0" w:color="auto"/>
      </w:divBdr>
    </w:div>
    <w:div w:id="258569083">
      <w:bodyDiv w:val="1"/>
      <w:marLeft w:val="0"/>
      <w:marRight w:val="0"/>
      <w:marTop w:val="0"/>
      <w:marBottom w:val="0"/>
      <w:divBdr>
        <w:top w:val="none" w:sz="0" w:space="0" w:color="auto"/>
        <w:left w:val="none" w:sz="0" w:space="0" w:color="auto"/>
        <w:bottom w:val="none" w:sz="0" w:space="0" w:color="auto"/>
        <w:right w:val="none" w:sz="0" w:space="0" w:color="auto"/>
      </w:divBdr>
    </w:div>
    <w:div w:id="306057783">
      <w:bodyDiv w:val="1"/>
      <w:marLeft w:val="0"/>
      <w:marRight w:val="0"/>
      <w:marTop w:val="0"/>
      <w:marBottom w:val="0"/>
      <w:divBdr>
        <w:top w:val="none" w:sz="0" w:space="0" w:color="auto"/>
        <w:left w:val="none" w:sz="0" w:space="0" w:color="auto"/>
        <w:bottom w:val="none" w:sz="0" w:space="0" w:color="auto"/>
        <w:right w:val="none" w:sz="0" w:space="0" w:color="auto"/>
      </w:divBdr>
    </w:div>
    <w:div w:id="346061255">
      <w:bodyDiv w:val="1"/>
      <w:marLeft w:val="0"/>
      <w:marRight w:val="0"/>
      <w:marTop w:val="0"/>
      <w:marBottom w:val="0"/>
      <w:divBdr>
        <w:top w:val="none" w:sz="0" w:space="0" w:color="auto"/>
        <w:left w:val="none" w:sz="0" w:space="0" w:color="auto"/>
        <w:bottom w:val="none" w:sz="0" w:space="0" w:color="auto"/>
        <w:right w:val="none" w:sz="0" w:space="0" w:color="auto"/>
      </w:divBdr>
    </w:div>
    <w:div w:id="502937163">
      <w:bodyDiv w:val="1"/>
      <w:marLeft w:val="0"/>
      <w:marRight w:val="0"/>
      <w:marTop w:val="0"/>
      <w:marBottom w:val="0"/>
      <w:divBdr>
        <w:top w:val="none" w:sz="0" w:space="0" w:color="auto"/>
        <w:left w:val="none" w:sz="0" w:space="0" w:color="auto"/>
        <w:bottom w:val="none" w:sz="0" w:space="0" w:color="auto"/>
        <w:right w:val="none" w:sz="0" w:space="0" w:color="auto"/>
      </w:divBdr>
    </w:div>
    <w:div w:id="539127714">
      <w:bodyDiv w:val="1"/>
      <w:marLeft w:val="0"/>
      <w:marRight w:val="0"/>
      <w:marTop w:val="0"/>
      <w:marBottom w:val="0"/>
      <w:divBdr>
        <w:top w:val="none" w:sz="0" w:space="0" w:color="auto"/>
        <w:left w:val="none" w:sz="0" w:space="0" w:color="auto"/>
        <w:bottom w:val="none" w:sz="0" w:space="0" w:color="auto"/>
        <w:right w:val="none" w:sz="0" w:space="0" w:color="auto"/>
      </w:divBdr>
    </w:div>
    <w:div w:id="542596671">
      <w:bodyDiv w:val="1"/>
      <w:marLeft w:val="0"/>
      <w:marRight w:val="0"/>
      <w:marTop w:val="0"/>
      <w:marBottom w:val="0"/>
      <w:divBdr>
        <w:top w:val="none" w:sz="0" w:space="0" w:color="auto"/>
        <w:left w:val="none" w:sz="0" w:space="0" w:color="auto"/>
        <w:bottom w:val="none" w:sz="0" w:space="0" w:color="auto"/>
        <w:right w:val="none" w:sz="0" w:space="0" w:color="auto"/>
      </w:divBdr>
    </w:div>
    <w:div w:id="651300215">
      <w:bodyDiv w:val="1"/>
      <w:marLeft w:val="0"/>
      <w:marRight w:val="0"/>
      <w:marTop w:val="0"/>
      <w:marBottom w:val="0"/>
      <w:divBdr>
        <w:top w:val="none" w:sz="0" w:space="0" w:color="auto"/>
        <w:left w:val="none" w:sz="0" w:space="0" w:color="auto"/>
        <w:bottom w:val="none" w:sz="0" w:space="0" w:color="auto"/>
        <w:right w:val="none" w:sz="0" w:space="0" w:color="auto"/>
      </w:divBdr>
    </w:div>
    <w:div w:id="688071806">
      <w:bodyDiv w:val="1"/>
      <w:marLeft w:val="0"/>
      <w:marRight w:val="0"/>
      <w:marTop w:val="0"/>
      <w:marBottom w:val="0"/>
      <w:divBdr>
        <w:top w:val="none" w:sz="0" w:space="0" w:color="auto"/>
        <w:left w:val="none" w:sz="0" w:space="0" w:color="auto"/>
        <w:bottom w:val="none" w:sz="0" w:space="0" w:color="auto"/>
        <w:right w:val="none" w:sz="0" w:space="0" w:color="auto"/>
      </w:divBdr>
    </w:div>
    <w:div w:id="694157343">
      <w:bodyDiv w:val="1"/>
      <w:marLeft w:val="0"/>
      <w:marRight w:val="0"/>
      <w:marTop w:val="0"/>
      <w:marBottom w:val="0"/>
      <w:divBdr>
        <w:top w:val="none" w:sz="0" w:space="0" w:color="auto"/>
        <w:left w:val="none" w:sz="0" w:space="0" w:color="auto"/>
        <w:bottom w:val="none" w:sz="0" w:space="0" w:color="auto"/>
        <w:right w:val="none" w:sz="0" w:space="0" w:color="auto"/>
      </w:divBdr>
    </w:div>
    <w:div w:id="782456703">
      <w:bodyDiv w:val="1"/>
      <w:marLeft w:val="0"/>
      <w:marRight w:val="0"/>
      <w:marTop w:val="0"/>
      <w:marBottom w:val="0"/>
      <w:divBdr>
        <w:top w:val="none" w:sz="0" w:space="0" w:color="auto"/>
        <w:left w:val="none" w:sz="0" w:space="0" w:color="auto"/>
        <w:bottom w:val="none" w:sz="0" w:space="0" w:color="auto"/>
        <w:right w:val="none" w:sz="0" w:space="0" w:color="auto"/>
      </w:divBdr>
    </w:div>
    <w:div w:id="1194266107">
      <w:bodyDiv w:val="1"/>
      <w:marLeft w:val="0"/>
      <w:marRight w:val="0"/>
      <w:marTop w:val="0"/>
      <w:marBottom w:val="0"/>
      <w:divBdr>
        <w:top w:val="none" w:sz="0" w:space="0" w:color="auto"/>
        <w:left w:val="none" w:sz="0" w:space="0" w:color="auto"/>
        <w:bottom w:val="none" w:sz="0" w:space="0" w:color="auto"/>
        <w:right w:val="none" w:sz="0" w:space="0" w:color="auto"/>
      </w:divBdr>
    </w:div>
    <w:div w:id="1275285994">
      <w:bodyDiv w:val="1"/>
      <w:marLeft w:val="0"/>
      <w:marRight w:val="0"/>
      <w:marTop w:val="0"/>
      <w:marBottom w:val="0"/>
      <w:divBdr>
        <w:top w:val="none" w:sz="0" w:space="0" w:color="auto"/>
        <w:left w:val="none" w:sz="0" w:space="0" w:color="auto"/>
        <w:bottom w:val="none" w:sz="0" w:space="0" w:color="auto"/>
        <w:right w:val="none" w:sz="0" w:space="0" w:color="auto"/>
      </w:divBdr>
    </w:div>
    <w:div w:id="1453014242">
      <w:bodyDiv w:val="1"/>
      <w:marLeft w:val="0"/>
      <w:marRight w:val="0"/>
      <w:marTop w:val="0"/>
      <w:marBottom w:val="0"/>
      <w:divBdr>
        <w:top w:val="none" w:sz="0" w:space="0" w:color="auto"/>
        <w:left w:val="none" w:sz="0" w:space="0" w:color="auto"/>
        <w:bottom w:val="none" w:sz="0" w:space="0" w:color="auto"/>
        <w:right w:val="none" w:sz="0" w:space="0" w:color="auto"/>
      </w:divBdr>
    </w:div>
    <w:div w:id="1515001798">
      <w:bodyDiv w:val="1"/>
      <w:marLeft w:val="0"/>
      <w:marRight w:val="0"/>
      <w:marTop w:val="0"/>
      <w:marBottom w:val="0"/>
      <w:divBdr>
        <w:top w:val="none" w:sz="0" w:space="0" w:color="auto"/>
        <w:left w:val="none" w:sz="0" w:space="0" w:color="auto"/>
        <w:bottom w:val="none" w:sz="0" w:space="0" w:color="auto"/>
        <w:right w:val="none" w:sz="0" w:space="0" w:color="auto"/>
      </w:divBdr>
    </w:div>
    <w:div w:id="1618876747">
      <w:bodyDiv w:val="1"/>
      <w:marLeft w:val="0"/>
      <w:marRight w:val="0"/>
      <w:marTop w:val="0"/>
      <w:marBottom w:val="0"/>
      <w:divBdr>
        <w:top w:val="none" w:sz="0" w:space="0" w:color="auto"/>
        <w:left w:val="none" w:sz="0" w:space="0" w:color="auto"/>
        <w:bottom w:val="none" w:sz="0" w:space="0" w:color="auto"/>
        <w:right w:val="none" w:sz="0" w:space="0" w:color="auto"/>
      </w:divBdr>
    </w:div>
    <w:div w:id="1620726270">
      <w:bodyDiv w:val="1"/>
      <w:marLeft w:val="0"/>
      <w:marRight w:val="0"/>
      <w:marTop w:val="0"/>
      <w:marBottom w:val="0"/>
      <w:divBdr>
        <w:top w:val="none" w:sz="0" w:space="0" w:color="auto"/>
        <w:left w:val="none" w:sz="0" w:space="0" w:color="auto"/>
        <w:bottom w:val="none" w:sz="0" w:space="0" w:color="auto"/>
        <w:right w:val="none" w:sz="0" w:space="0" w:color="auto"/>
      </w:divBdr>
    </w:div>
    <w:div w:id="1639610094">
      <w:bodyDiv w:val="1"/>
      <w:marLeft w:val="0"/>
      <w:marRight w:val="0"/>
      <w:marTop w:val="0"/>
      <w:marBottom w:val="0"/>
      <w:divBdr>
        <w:top w:val="none" w:sz="0" w:space="0" w:color="auto"/>
        <w:left w:val="none" w:sz="0" w:space="0" w:color="auto"/>
        <w:bottom w:val="none" w:sz="0" w:space="0" w:color="auto"/>
        <w:right w:val="none" w:sz="0" w:space="0" w:color="auto"/>
      </w:divBdr>
    </w:div>
    <w:div w:id="1760440304">
      <w:bodyDiv w:val="1"/>
      <w:marLeft w:val="0"/>
      <w:marRight w:val="0"/>
      <w:marTop w:val="0"/>
      <w:marBottom w:val="0"/>
      <w:divBdr>
        <w:top w:val="none" w:sz="0" w:space="0" w:color="auto"/>
        <w:left w:val="none" w:sz="0" w:space="0" w:color="auto"/>
        <w:bottom w:val="none" w:sz="0" w:space="0" w:color="auto"/>
        <w:right w:val="none" w:sz="0" w:space="0" w:color="auto"/>
      </w:divBdr>
    </w:div>
    <w:div w:id="1816873918">
      <w:bodyDiv w:val="1"/>
      <w:marLeft w:val="0"/>
      <w:marRight w:val="0"/>
      <w:marTop w:val="0"/>
      <w:marBottom w:val="0"/>
      <w:divBdr>
        <w:top w:val="none" w:sz="0" w:space="0" w:color="auto"/>
        <w:left w:val="none" w:sz="0" w:space="0" w:color="auto"/>
        <w:bottom w:val="none" w:sz="0" w:space="0" w:color="auto"/>
        <w:right w:val="none" w:sz="0" w:space="0" w:color="auto"/>
      </w:divBdr>
    </w:div>
    <w:div w:id="1868058445">
      <w:bodyDiv w:val="1"/>
      <w:marLeft w:val="0"/>
      <w:marRight w:val="0"/>
      <w:marTop w:val="0"/>
      <w:marBottom w:val="0"/>
      <w:divBdr>
        <w:top w:val="none" w:sz="0" w:space="0" w:color="auto"/>
        <w:left w:val="none" w:sz="0" w:space="0" w:color="auto"/>
        <w:bottom w:val="none" w:sz="0" w:space="0" w:color="auto"/>
        <w:right w:val="none" w:sz="0" w:space="0" w:color="auto"/>
      </w:divBdr>
    </w:div>
    <w:div w:id="19486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fontTable" Target="fontTable.xml"/><Relationship Id="rId8" Type="http://schemas.openxmlformats.org/officeDocument/2006/relationships/hyperlink" Target="https://www.dns.pl/regulamin_nazw_domeny_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lc.gov.pl/_download/statystyki/2024/II_kw_2024/wg_portow_krajowe_2kw2024_v2.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8761DE-710B-4C6C-A921-73EAFD105852}"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pl-PL"/>
        </a:p>
      </dgm:t>
    </dgm:pt>
    <dgm:pt modelId="{4187B6D8-64D1-4AE7-8FBF-CB3B48E43430}">
      <dgm:prSet phldrT="[Tekst]"/>
      <dgm:spPr/>
      <dgm:t>
        <a:bodyPr/>
        <a:lstStyle/>
        <a:p>
          <a:r>
            <a:rPr lang="pl-PL"/>
            <a:t>systematyczne szacowanie ryzyka wystąpienia incydentu i zarządzanie tym ryzykiem</a:t>
          </a:r>
        </a:p>
      </dgm:t>
    </dgm:pt>
    <dgm:pt modelId="{58BB5093-6664-45EE-B95B-BFAD08DCBE35}" type="parTrans" cxnId="{54F52C69-8218-43AA-8F05-A894D64F9F5B}">
      <dgm:prSet/>
      <dgm:spPr/>
      <dgm:t>
        <a:bodyPr/>
        <a:lstStyle/>
        <a:p>
          <a:endParaRPr lang="pl-PL"/>
        </a:p>
      </dgm:t>
    </dgm:pt>
    <dgm:pt modelId="{FEFD8968-0825-4DC4-BEC9-E8014D93304E}" type="sibTrans" cxnId="{54F52C69-8218-43AA-8F05-A894D64F9F5B}">
      <dgm:prSet/>
      <dgm:spPr/>
      <dgm:t>
        <a:bodyPr/>
        <a:lstStyle/>
        <a:p>
          <a:endParaRPr lang="pl-PL"/>
        </a:p>
      </dgm:t>
    </dgm:pt>
    <dgm:pt modelId="{3669ED53-14EA-4DC7-BE97-C184ABE5B241}">
      <dgm:prSet phldrT="[Tekst]"/>
      <dgm:spPr/>
      <dgm:t>
        <a:bodyPr/>
        <a:lstStyle/>
        <a:p>
          <a:r>
            <a:rPr lang="pl-PL"/>
            <a:t>wdrożenie proporcjonalnych do oszacowanego ryzyka środków technicznych i organizacyjnych</a:t>
          </a:r>
        </a:p>
      </dgm:t>
    </dgm:pt>
    <dgm:pt modelId="{B4DDE3F1-BD68-4E54-A329-D976D6A3106C}" type="parTrans" cxnId="{638DD628-D30E-4E91-812B-F9FF0B403B61}">
      <dgm:prSet/>
      <dgm:spPr/>
      <dgm:t>
        <a:bodyPr/>
        <a:lstStyle/>
        <a:p>
          <a:endParaRPr lang="pl-PL"/>
        </a:p>
      </dgm:t>
    </dgm:pt>
    <dgm:pt modelId="{DFE7E579-8D38-4C55-B5E6-E78A9E49EBDA}" type="sibTrans" cxnId="{638DD628-D30E-4E91-812B-F9FF0B403B61}">
      <dgm:prSet/>
      <dgm:spPr/>
      <dgm:t>
        <a:bodyPr/>
        <a:lstStyle/>
        <a:p>
          <a:endParaRPr lang="pl-PL"/>
        </a:p>
      </dgm:t>
    </dgm:pt>
    <dgm:pt modelId="{4B8B1594-ACD9-4943-9E48-722667C247C2}">
      <dgm:prSet phldrT="[Tekst]"/>
      <dgm:spPr/>
      <dgm:t>
        <a:bodyPr/>
        <a:lstStyle/>
        <a:p>
          <a:r>
            <a:rPr lang="pl-PL"/>
            <a:t>zbieranie informacji o cyberzagrożeniach i podtnościach</a:t>
          </a:r>
        </a:p>
      </dgm:t>
    </dgm:pt>
    <dgm:pt modelId="{9CED0D38-FC31-4619-965C-6FA808916ACE}" type="parTrans" cxnId="{5A319BC4-8965-4286-8440-B1865259CA28}">
      <dgm:prSet/>
      <dgm:spPr/>
      <dgm:t>
        <a:bodyPr/>
        <a:lstStyle/>
        <a:p>
          <a:endParaRPr lang="pl-PL"/>
        </a:p>
      </dgm:t>
    </dgm:pt>
    <dgm:pt modelId="{DB683DA4-ACFE-439C-9C31-E397CD517F17}" type="sibTrans" cxnId="{5A319BC4-8965-4286-8440-B1865259CA28}">
      <dgm:prSet/>
      <dgm:spPr/>
      <dgm:t>
        <a:bodyPr/>
        <a:lstStyle/>
        <a:p>
          <a:endParaRPr lang="pl-PL"/>
        </a:p>
      </dgm:t>
    </dgm:pt>
    <dgm:pt modelId="{3461406B-C21B-41BF-9D26-56585E41AA90}">
      <dgm:prSet phldrT="[Tekst]"/>
      <dgm:spPr/>
      <dgm:t>
        <a:bodyPr/>
        <a:lstStyle/>
        <a:p>
          <a:r>
            <a:rPr lang="pl-PL"/>
            <a:t>zarządzanie incydentami</a:t>
          </a:r>
        </a:p>
      </dgm:t>
    </dgm:pt>
    <dgm:pt modelId="{53D025AD-87F2-4E65-9C0A-16ACFF082C5B}" type="parTrans" cxnId="{2312BEB3-B9F1-4D53-8B15-B5A1B680DDA3}">
      <dgm:prSet/>
      <dgm:spPr/>
      <dgm:t>
        <a:bodyPr/>
        <a:lstStyle/>
        <a:p>
          <a:endParaRPr lang="pl-PL"/>
        </a:p>
      </dgm:t>
    </dgm:pt>
    <dgm:pt modelId="{A2A283F0-3578-47D0-B134-3444401D3CA3}" type="sibTrans" cxnId="{2312BEB3-B9F1-4D53-8B15-B5A1B680DDA3}">
      <dgm:prSet/>
      <dgm:spPr/>
      <dgm:t>
        <a:bodyPr/>
        <a:lstStyle/>
        <a:p>
          <a:endParaRPr lang="pl-PL"/>
        </a:p>
      </dgm:t>
    </dgm:pt>
    <dgm:pt modelId="{A7567EE9-FFE5-43AC-9846-CD55DF49415A}">
      <dgm:prSet phldrT="[Tekst]"/>
      <dgm:spPr/>
      <dgm:t>
        <a:bodyPr/>
        <a:lstStyle/>
        <a:p>
          <a:r>
            <a:rPr lang="pl-PL"/>
            <a:t>stosowanie środków zapobiegających i ograniczających wpływ incydentów na bezpieczeństwo systemu informacyjnego wykorzystywanego do świadczenia usługi</a:t>
          </a:r>
        </a:p>
      </dgm:t>
    </dgm:pt>
    <dgm:pt modelId="{E1E19D67-7D6C-4E88-8CDF-1FBF51F8E786}" type="parTrans" cxnId="{19CF6BA3-05A2-48B3-AE93-B37484DE0AB4}">
      <dgm:prSet/>
      <dgm:spPr/>
      <dgm:t>
        <a:bodyPr/>
        <a:lstStyle/>
        <a:p>
          <a:endParaRPr lang="pl-PL"/>
        </a:p>
      </dgm:t>
    </dgm:pt>
    <dgm:pt modelId="{79287B26-5B17-402A-A43A-E4F814CF7CE8}" type="sibTrans" cxnId="{19CF6BA3-05A2-48B3-AE93-B37484DE0AB4}">
      <dgm:prSet/>
      <dgm:spPr/>
      <dgm:t>
        <a:bodyPr/>
        <a:lstStyle/>
        <a:p>
          <a:endParaRPr lang="pl-PL"/>
        </a:p>
      </dgm:t>
    </dgm:pt>
    <dgm:pt modelId="{C3D43373-FCAE-4ABD-A72B-802364DCB318}" type="pres">
      <dgm:prSet presAssocID="{138761DE-710B-4C6C-A921-73EAFD105852}" presName="Name0" presStyleCnt="0">
        <dgm:presLayoutVars>
          <dgm:dir/>
          <dgm:resizeHandles val="exact"/>
        </dgm:presLayoutVars>
      </dgm:prSet>
      <dgm:spPr/>
    </dgm:pt>
    <dgm:pt modelId="{3FB68C10-A7DD-4C42-9FD1-EE8A6B44523A}" type="pres">
      <dgm:prSet presAssocID="{138761DE-710B-4C6C-A921-73EAFD105852}" presName="cycle" presStyleCnt="0"/>
      <dgm:spPr/>
    </dgm:pt>
    <dgm:pt modelId="{126BE10C-B6F4-4FE7-85C8-001496DF4D74}" type="pres">
      <dgm:prSet presAssocID="{4187B6D8-64D1-4AE7-8FBF-CB3B48E43430}" presName="nodeFirstNode" presStyleLbl="node1" presStyleIdx="0" presStyleCnt="5">
        <dgm:presLayoutVars>
          <dgm:bulletEnabled val="1"/>
        </dgm:presLayoutVars>
      </dgm:prSet>
      <dgm:spPr/>
    </dgm:pt>
    <dgm:pt modelId="{2963DA50-1220-41B4-9190-C89AFC1891A6}" type="pres">
      <dgm:prSet presAssocID="{FEFD8968-0825-4DC4-BEC9-E8014D93304E}" presName="sibTransFirstNode" presStyleLbl="bgShp" presStyleIdx="0" presStyleCnt="1"/>
      <dgm:spPr/>
    </dgm:pt>
    <dgm:pt modelId="{9716B1BA-EC15-4F6F-A1EF-04D1B1A21CF1}" type="pres">
      <dgm:prSet presAssocID="{3669ED53-14EA-4DC7-BE97-C184ABE5B241}" presName="nodeFollowingNodes" presStyleLbl="node1" presStyleIdx="1" presStyleCnt="5">
        <dgm:presLayoutVars>
          <dgm:bulletEnabled val="1"/>
        </dgm:presLayoutVars>
      </dgm:prSet>
      <dgm:spPr/>
    </dgm:pt>
    <dgm:pt modelId="{537A01BE-3D0A-4DC1-881B-6F23241B3DDA}" type="pres">
      <dgm:prSet presAssocID="{4B8B1594-ACD9-4943-9E48-722667C247C2}" presName="nodeFollowingNodes" presStyleLbl="node1" presStyleIdx="2" presStyleCnt="5">
        <dgm:presLayoutVars>
          <dgm:bulletEnabled val="1"/>
        </dgm:presLayoutVars>
      </dgm:prSet>
      <dgm:spPr/>
    </dgm:pt>
    <dgm:pt modelId="{F8C49F1F-B140-4C72-A625-2D6320722D73}" type="pres">
      <dgm:prSet presAssocID="{3461406B-C21B-41BF-9D26-56585E41AA90}" presName="nodeFollowingNodes" presStyleLbl="node1" presStyleIdx="3" presStyleCnt="5">
        <dgm:presLayoutVars>
          <dgm:bulletEnabled val="1"/>
        </dgm:presLayoutVars>
      </dgm:prSet>
      <dgm:spPr/>
    </dgm:pt>
    <dgm:pt modelId="{5198AA3A-2A23-4A30-9A3C-3F2E2EEC16E2}" type="pres">
      <dgm:prSet presAssocID="{A7567EE9-FFE5-43AC-9846-CD55DF49415A}" presName="nodeFollowingNodes" presStyleLbl="node1" presStyleIdx="4" presStyleCnt="5">
        <dgm:presLayoutVars>
          <dgm:bulletEnabled val="1"/>
        </dgm:presLayoutVars>
      </dgm:prSet>
      <dgm:spPr/>
    </dgm:pt>
  </dgm:ptLst>
  <dgm:cxnLst>
    <dgm:cxn modelId="{E023D406-8451-467E-B5D6-49CB1D80AA4B}" type="presOf" srcId="{4B8B1594-ACD9-4943-9E48-722667C247C2}" destId="{537A01BE-3D0A-4DC1-881B-6F23241B3DDA}" srcOrd="0" destOrd="0" presId="urn:microsoft.com/office/officeart/2005/8/layout/cycle3"/>
    <dgm:cxn modelId="{67AFA70F-F1B2-4044-82CD-F30261070CEF}" type="presOf" srcId="{FEFD8968-0825-4DC4-BEC9-E8014D93304E}" destId="{2963DA50-1220-41B4-9190-C89AFC1891A6}" srcOrd="0" destOrd="0" presId="urn:microsoft.com/office/officeart/2005/8/layout/cycle3"/>
    <dgm:cxn modelId="{638DD628-D30E-4E91-812B-F9FF0B403B61}" srcId="{138761DE-710B-4C6C-A921-73EAFD105852}" destId="{3669ED53-14EA-4DC7-BE97-C184ABE5B241}" srcOrd="1" destOrd="0" parTransId="{B4DDE3F1-BD68-4E54-A329-D976D6A3106C}" sibTransId="{DFE7E579-8D38-4C55-B5E6-E78A9E49EBDA}"/>
    <dgm:cxn modelId="{C8A7053A-DA40-47E2-9110-E0DD47FBA1A7}" type="presOf" srcId="{138761DE-710B-4C6C-A921-73EAFD105852}" destId="{C3D43373-FCAE-4ABD-A72B-802364DCB318}" srcOrd="0" destOrd="0" presId="urn:microsoft.com/office/officeart/2005/8/layout/cycle3"/>
    <dgm:cxn modelId="{54F52C69-8218-43AA-8F05-A894D64F9F5B}" srcId="{138761DE-710B-4C6C-A921-73EAFD105852}" destId="{4187B6D8-64D1-4AE7-8FBF-CB3B48E43430}" srcOrd="0" destOrd="0" parTransId="{58BB5093-6664-45EE-B95B-BFAD08DCBE35}" sibTransId="{FEFD8968-0825-4DC4-BEC9-E8014D93304E}"/>
    <dgm:cxn modelId="{50E82D4C-8244-4BCC-8A96-6848F88E9982}" type="presOf" srcId="{3669ED53-14EA-4DC7-BE97-C184ABE5B241}" destId="{9716B1BA-EC15-4F6F-A1EF-04D1B1A21CF1}" srcOrd="0" destOrd="0" presId="urn:microsoft.com/office/officeart/2005/8/layout/cycle3"/>
    <dgm:cxn modelId="{152F5791-6B9B-4D3B-8263-6D2DB16B22BD}" type="presOf" srcId="{4187B6D8-64D1-4AE7-8FBF-CB3B48E43430}" destId="{126BE10C-B6F4-4FE7-85C8-001496DF4D74}" srcOrd="0" destOrd="0" presId="urn:microsoft.com/office/officeart/2005/8/layout/cycle3"/>
    <dgm:cxn modelId="{0671E793-1C56-4418-9D5E-4800CEAD4044}" type="presOf" srcId="{3461406B-C21B-41BF-9D26-56585E41AA90}" destId="{F8C49F1F-B140-4C72-A625-2D6320722D73}" srcOrd="0" destOrd="0" presId="urn:microsoft.com/office/officeart/2005/8/layout/cycle3"/>
    <dgm:cxn modelId="{19CF6BA3-05A2-48B3-AE93-B37484DE0AB4}" srcId="{138761DE-710B-4C6C-A921-73EAFD105852}" destId="{A7567EE9-FFE5-43AC-9846-CD55DF49415A}" srcOrd="4" destOrd="0" parTransId="{E1E19D67-7D6C-4E88-8CDF-1FBF51F8E786}" sibTransId="{79287B26-5B17-402A-A43A-E4F814CF7CE8}"/>
    <dgm:cxn modelId="{2312BEB3-B9F1-4D53-8B15-B5A1B680DDA3}" srcId="{138761DE-710B-4C6C-A921-73EAFD105852}" destId="{3461406B-C21B-41BF-9D26-56585E41AA90}" srcOrd="3" destOrd="0" parTransId="{53D025AD-87F2-4E65-9C0A-16ACFF082C5B}" sibTransId="{A2A283F0-3578-47D0-B134-3444401D3CA3}"/>
    <dgm:cxn modelId="{5A319BC4-8965-4286-8440-B1865259CA28}" srcId="{138761DE-710B-4C6C-A921-73EAFD105852}" destId="{4B8B1594-ACD9-4943-9E48-722667C247C2}" srcOrd="2" destOrd="0" parTransId="{9CED0D38-FC31-4619-965C-6FA808916ACE}" sibTransId="{DB683DA4-ACFE-439C-9C31-E397CD517F17}"/>
    <dgm:cxn modelId="{8EB42CE3-7AAB-49C4-9D2B-4080194B3C57}" type="presOf" srcId="{A7567EE9-FFE5-43AC-9846-CD55DF49415A}" destId="{5198AA3A-2A23-4A30-9A3C-3F2E2EEC16E2}" srcOrd="0" destOrd="0" presId="urn:microsoft.com/office/officeart/2005/8/layout/cycle3"/>
    <dgm:cxn modelId="{9C522BAE-5F2B-47AB-9E92-02B2515E6815}" type="presParOf" srcId="{C3D43373-FCAE-4ABD-A72B-802364DCB318}" destId="{3FB68C10-A7DD-4C42-9FD1-EE8A6B44523A}" srcOrd="0" destOrd="0" presId="urn:microsoft.com/office/officeart/2005/8/layout/cycle3"/>
    <dgm:cxn modelId="{2981DC98-6060-4B5E-AFE8-8420D355CE3F}" type="presParOf" srcId="{3FB68C10-A7DD-4C42-9FD1-EE8A6B44523A}" destId="{126BE10C-B6F4-4FE7-85C8-001496DF4D74}" srcOrd="0" destOrd="0" presId="urn:microsoft.com/office/officeart/2005/8/layout/cycle3"/>
    <dgm:cxn modelId="{B29E16B6-FE7C-472C-8D96-1C1BFB68B4E4}" type="presParOf" srcId="{3FB68C10-A7DD-4C42-9FD1-EE8A6B44523A}" destId="{2963DA50-1220-41B4-9190-C89AFC1891A6}" srcOrd="1" destOrd="0" presId="urn:microsoft.com/office/officeart/2005/8/layout/cycle3"/>
    <dgm:cxn modelId="{B4B57037-CDE5-4C0B-868A-1D9B08A9733A}" type="presParOf" srcId="{3FB68C10-A7DD-4C42-9FD1-EE8A6B44523A}" destId="{9716B1BA-EC15-4F6F-A1EF-04D1B1A21CF1}" srcOrd="2" destOrd="0" presId="urn:microsoft.com/office/officeart/2005/8/layout/cycle3"/>
    <dgm:cxn modelId="{1BC649BB-8468-4907-AA29-E03DCB67BDEB}" type="presParOf" srcId="{3FB68C10-A7DD-4C42-9FD1-EE8A6B44523A}" destId="{537A01BE-3D0A-4DC1-881B-6F23241B3DDA}" srcOrd="3" destOrd="0" presId="urn:microsoft.com/office/officeart/2005/8/layout/cycle3"/>
    <dgm:cxn modelId="{AF14D074-249E-4A57-BDA3-27C134A702AA}" type="presParOf" srcId="{3FB68C10-A7DD-4C42-9FD1-EE8A6B44523A}" destId="{F8C49F1F-B140-4C72-A625-2D6320722D73}" srcOrd="4" destOrd="0" presId="urn:microsoft.com/office/officeart/2005/8/layout/cycle3"/>
    <dgm:cxn modelId="{359660BC-2BFC-4579-A64F-67133E489FE9}" type="presParOf" srcId="{3FB68C10-A7DD-4C42-9FD1-EE8A6B44523A}" destId="{5198AA3A-2A23-4A30-9A3C-3F2E2EEC16E2}" srcOrd="5"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8017B3-E729-4A7D-9A3D-D1719045B10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D9FDBBAA-0B9C-4417-B9CE-5CF006DA1718}">
      <dgm:prSet phldrT="[Tekst]"/>
      <dgm:spPr/>
      <dgm:t>
        <a:bodyPr/>
        <a:lstStyle/>
        <a:p>
          <a:r>
            <a:rPr lang="pl-PL">
              <a:latin typeface="Times New Roman" panose="02020603050405020304" pitchFamily="18" charset="0"/>
              <a:cs typeface="Times New Roman" panose="02020603050405020304" pitchFamily="18" charset="0"/>
            </a:rPr>
            <a:t>Wymiana informacji jest dopuszczalna jeśli</a:t>
          </a:r>
        </a:p>
      </dgm:t>
    </dgm:pt>
    <dgm:pt modelId="{415C354D-EC5A-4FCE-8E7E-2D46B570619D}" type="parTrans" cxnId="{5904A641-01CD-46FA-A698-5DFE5684BA45}">
      <dgm:prSet/>
      <dgm:spPr/>
      <dgm:t>
        <a:bodyPr/>
        <a:lstStyle/>
        <a:p>
          <a:endParaRPr lang="pl-PL"/>
        </a:p>
      </dgm:t>
    </dgm:pt>
    <dgm:pt modelId="{95EB2B6A-2964-4824-81A1-5BB68774A58B}" type="sibTrans" cxnId="{5904A641-01CD-46FA-A698-5DFE5684BA45}">
      <dgm:prSet/>
      <dgm:spPr/>
      <dgm:t>
        <a:bodyPr/>
        <a:lstStyle/>
        <a:p>
          <a:endParaRPr lang="pl-PL"/>
        </a:p>
      </dgm:t>
    </dgm:pt>
    <dgm:pt modelId="{95926285-8733-4FE9-9E85-61435D6B262D}">
      <dgm:prSet phldrT="[Tekst]"/>
      <dgm:spPr/>
      <dgm:t>
        <a:bodyPr/>
        <a:lstStyle/>
        <a:p>
          <a:r>
            <a:rPr lang="pl-PL">
              <a:latin typeface="Times New Roman" panose="02020603050405020304" pitchFamily="18" charset="0"/>
              <a:cs typeface="Times New Roman" panose="02020603050405020304" pitchFamily="18" charset="0"/>
            </a:rPr>
            <a:t>jej celem jest zapobieganie, wykrywanie, reagowanie na incydenty</a:t>
          </a:r>
        </a:p>
      </dgm:t>
    </dgm:pt>
    <dgm:pt modelId="{F8AA8B3F-A76F-4461-9FAC-69B1702EA8FA}" type="parTrans" cxnId="{597C645C-DED7-4336-9858-1EB5A2488DCF}">
      <dgm:prSet/>
      <dgm:spPr/>
      <dgm:t>
        <a:bodyPr/>
        <a:lstStyle/>
        <a:p>
          <a:endParaRPr lang="pl-PL"/>
        </a:p>
      </dgm:t>
    </dgm:pt>
    <dgm:pt modelId="{F10DE859-A14B-47D6-91D9-4CBE7312ED59}" type="sibTrans" cxnId="{597C645C-DED7-4336-9858-1EB5A2488DCF}">
      <dgm:prSet/>
      <dgm:spPr/>
      <dgm:t>
        <a:bodyPr/>
        <a:lstStyle/>
        <a:p>
          <a:endParaRPr lang="pl-PL"/>
        </a:p>
      </dgm:t>
    </dgm:pt>
    <dgm:pt modelId="{C3698A3B-3101-4ED9-8C31-57288DC8CA5D}">
      <dgm:prSet phldrT="[Tekst]"/>
      <dgm:spPr/>
      <dgm:t>
        <a:bodyPr/>
        <a:lstStyle/>
        <a:p>
          <a:r>
            <a:rPr lang="pl-PL">
              <a:latin typeface="Times New Roman" panose="02020603050405020304" pitchFamily="18" charset="0"/>
              <a:cs typeface="Times New Roman" panose="02020603050405020304" pitchFamily="18" charset="0"/>
            </a:rPr>
            <a:t>zwiększa poziom cyberbezpieczeństwa</a:t>
          </a:r>
        </a:p>
      </dgm:t>
    </dgm:pt>
    <dgm:pt modelId="{F64ECD1B-BDA5-4CD0-8BA3-8511B75EF8D8}" type="parTrans" cxnId="{93107F64-2175-468A-A59A-9AC68C94E2C1}">
      <dgm:prSet/>
      <dgm:spPr/>
      <dgm:t>
        <a:bodyPr/>
        <a:lstStyle/>
        <a:p>
          <a:endParaRPr lang="pl-PL"/>
        </a:p>
      </dgm:t>
    </dgm:pt>
    <dgm:pt modelId="{79D4FA2F-25AE-424A-8197-54FF81C7CE65}" type="sibTrans" cxnId="{93107F64-2175-468A-A59A-9AC68C94E2C1}">
      <dgm:prSet/>
      <dgm:spPr/>
      <dgm:t>
        <a:bodyPr/>
        <a:lstStyle/>
        <a:p>
          <a:endParaRPr lang="pl-PL"/>
        </a:p>
      </dgm:t>
    </dgm:pt>
    <dgm:pt modelId="{185A4BBC-6BF2-4617-A911-666EC61F762C}" type="pres">
      <dgm:prSet presAssocID="{DF8017B3-E729-4A7D-9A3D-D1719045B107}" presName="hierChild1" presStyleCnt="0">
        <dgm:presLayoutVars>
          <dgm:orgChart val="1"/>
          <dgm:chPref val="1"/>
          <dgm:dir/>
          <dgm:animOne val="branch"/>
          <dgm:animLvl val="lvl"/>
          <dgm:resizeHandles/>
        </dgm:presLayoutVars>
      </dgm:prSet>
      <dgm:spPr/>
    </dgm:pt>
    <dgm:pt modelId="{A032EA2C-4111-40AA-8C84-E4BB470AD69D}" type="pres">
      <dgm:prSet presAssocID="{D9FDBBAA-0B9C-4417-B9CE-5CF006DA1718}" presName="hierRoot1" presStyleCnt="0">
        <dgm:presLayoutVars>
          <dgm:hierBranch val="init"/>
        </dgm:presLayoutVars>
      </dgm:prSet>
      <dgm:spPr/>
    </dgm:pt>
    <dgm:pt modelId="{4F5C5D9B-4D34-46AC-B58A-56D9E02A7123}" type="pres">
      <dgm:prSet presAssocID="{D9FDBBAA-0B9C-4417-B9CE-5CF006DA1718}" presName="rootComposite1" presStyleCnt="0"/>
      <dgm:spPr/>
    </dgm:pt>
    <dgm:pt modelId="{FC7608D8-CFC5-47EE-ABD0-051EBA74FCA5}" type="pres">
      <dgm:prSet presAssocID="{D9FDBBAA-0B9C-4417-B9CE-5CF006DA1718}" presName="rootText1" presStyleLbl="node0" presStyleIdx="0" presStyleCnt="1">
        <dgm:presLayoutVars>
          <dgm:chPref val="3"/>
        </dgm:presLayoutVars>
      </dgm:prSet>
      <dgm:spPr/>
    </dgm:pt>
    <dgm:pt modelId="{A0519118-09A6-4540-BD24-08D3AB72F2EA}" type="pres">
      <dgm:prSet presAssocID="{D9FDBBAA-0B9C-4417-B9CE-5CF006DA1718}" presName="rootConnector1" presStyleLbl="node1" presStyleIdx="0" presStyleCnt="0"/>
      <dgm:spPr/>
    </dgm:pt>
    <dgm:pt modelId="{9EA9D6F5-8735-4DBA-8F74-C62CACFA1037}" type="pres">
      <dgm:prSet presAssocID="{D9FDBBAA-0B9C-4417-B9CE-5CF006DA1718}" presName="hierChild2" presStyleCnt="0"/>
      <dgm:spPr/>
    </dgm:pt>
    <dgm:pt modelId="{F352874E-49B4-42C7-A8F7-68D384EFB7B0}" type="pres">
      <dgm:prSet presAssocID="{F8AA8B3F-A76F-4461-9FAC-69B1702EA8FA}" presName="Name37" presStyleLbl="parChTrans1D2" presStyleIdx="0" presStyleCnt="2"/>
      <dgm:spPr/>
    </dgm:pt>
    <dgm:pt modelId="{2A3D1D93-3B95-4037-A37D-CF085CBDD719}" type="pres">
      <dgm:prSet presAssocID="{95926285-8733-4FE9-9E85-61435D6B262D}" presName="hierRoot2" presStyleCnt="0">
        <dgm:presLayoutVars>
          <dgm:hierBranch val="init"/>
        </dgm:presLayoutVars>
      </dgm:prSet>
      <dgm:spPr/>
    </dgm:pt>
    <dgm:pt modelId="{DBA8DE1E-B602-470F-953A-7BBAFD294612}" type="pres">
      <dgm:prSet presAssocID="{95926285-8733-4FE9-9E85-61435D6B262D}" presName="rootComposite" presStyleCnt="0"/>
      <dgm:spPr/>
    </dgm:pt>
    <dgm:pt modelId="{71D6C3F9-2699-4A30-B164-EA4C28E07CA1}" type="pres">
      <dgm:prSet presAssocID="{95926285-8733-4FE9-9E85-61435D6B262D}" presName="rootText" presStyleLbl="node2" presStyleIdx="0" presStyleCnt="2">
        <dgm:presLayoutVars>
          <dgm:chPref val="3"/>
        </dgm:presLayoutVars>
      </dgm:prSet>
      <dgm:spPr/>
    </dgm:pt>
    <dgm:pt modelId="{BDB77CD4-CBA0-4541-8A1B-3E0B65B3CD33}" type="pres">
      <dgm:prSet presAssocID="{95926285-8733-4FE9-9E85-61435D6B262D}" presName="rootConnector" presStyleLbl="node2" presStyleIdx="0" presStyleCnt="2"/>
      <dgm:spPr/>
    </dgm:pt>
    <dgm:pt modelId="{4640C918-B7AB-4908-A6F6-A4C02BBA4111}" type="pres">
      <dgm:prSet presAssocID="{95926285-8733-4FE9-9E85-61435D6B262D}" presName="hierChild4" presStyleCnt="0"/>
      <dgm:spPr/>
    </dgm:pt>
    <dgm:pt modelId="{B517AD97-6EAD-48CD-807B-0244C5623726}" type="pres">
      <dgm:prSet presAssocID="{95926285-8733-4FE9-9E85-61435D6B262D}" presName="hierChild5" presStyleCnt="0"/>
      <dgm:spPr/>
    </dgm:pt>
    <dgm:pt modelId="{0D9C5E1C-B63C-48A1-88B8-C4BCB86F71B9}" type="pres">
      <dgm:prSet presAssocID="{F64ECD1B-BDA5-4CD0-8BA3-8511B75EF8D8}" presName="Name37" presStyleLbl="parChTrans1D2" presStyleIdx="1" presStyleCnt="2"/>
      <dgm:spPr/>
    </dgm:pt>
    <dgm:pt modelId="{C50861B9-AF7D-4931-BF58-810DA91AA20B}" type="pres">
      <dgm:prSet presAssocID="{C3698A3B-3101-4ED9-8C31-57288DC8CA5D}" presName="hierRoot2" presStyleCnt="0">
        <dgm:presLayoutVars>
          <dgm:hierBranch val="init"/>
        </dgm:presLayoutVars>
      </dgm:prSet>
      <dgm:spPr/>
    </dgm:pt>
    <dgm:pt modelId="{99A8D625-BAED-4230-AA4E-06B83DC6E201}" type="pres">
      <dgm:prSet presAssocID="{C3698A3B-3101-4ED9-8C31-57288DC8CA5D}" presName="rootComposite" presStyleCnt="0"/>
      <dgm:spPr/>
    </dgm:pt>
    <dgm:pt modelId="{2FB5E9E1-B0EB-483F-BE0C-F0663AFDA6F9}" type="pres">
      <dgm:prSet presAssocID="{C3698A3B-3101-4ED9-8C31-57288DC8CA5D}" presName="rootText" presStyleLbl="node2" presStyleIdx="1" presStyleCnt="2">
        <dgm:presLayoutVars>
          <dgm:chPref val="3"/>
        </dgm:presLayoutVars>
      </dgm:prSet>
      <dgm:spPr/>
    </dgm:pt>
    <dgm:pt modelId="{55D96547-40C3-4AAA-AAB6-5165BB0B5DD3}" type="pres">
      <dgm:prSet presAssocID="{C3698A3B-3101-4ED9-8C31-57288DC8CA5D}" presName="rootConnector" presStyleLbl="node2" presStyleIdx="1" presStyleCnt="2"/>
      <dgm:spPr/>
    </dgm:pt>
    <dgm:pt modelId="{A9669D92-91E7-4914-9B36-C64D2D05CF1B}" type="pres">
      <dgm:prSet presAssocID="{C3698A3B-3101-4ED9-8C31-57288DC8CA5D}" presName="hierChild4" presStyleCnt="0"/>
      <dgm:spPr/>
    </dgm:pt>
    <dgm:pt modelId="{06FF106D-635E-4B5A-A4A2-0B16C5FC6B9A}" type="pres">
      <dgm:prSet presAssocID="{C3698A3B-3101-4ED9-8C31-57288DC8CA5D}" presName="hierChild5" presStyleCnt="0"/>
      <dgm:spPr/>
    </dgm:pt>
    <dgm:pt modelId="{D799C905-E5DF-4212-BC58-D6D1BAB4FCD9}" type="pres">
      <dgm:prSet presAssocID="{D9FDBBAA-0B9C-4417-B9CE-5CF006DA1718}" presName="hierChild3" presStyleCnt="0"/>
      <dgm:spPr/>
    </dgm:pt>
  </dgm:ptLst>
  <dgm:cxnLst>
    <dgm:cxn modelId="{774CE515-B9AB-47C4-A78A-7CD183CF0117}" type="presOf" srcId="{F64ECD1B-BDA5-4CD0-8BA3-8511B75EF8D8}" destId="{0D9C5E1C-B63C-48A1-88B8-C4BCB86F71B9}" srcOrd="0" destOrd="0" presId="urn:microsoft.com/office/officeart/2005/8/layout/orgChart1"/>
    <dgm:cxn modelId="{99236736-935B-4F56-914A-C74535098BF9}" type="presOf" srcId="{F8AA8B3F-A76F-4461-9FAC-69B1702EA8FA}" destId="{F352874E-49B4-42C7-A8F7-68D384EFB7B0}" srcOrd="0" destOrd="0" presId="urn:microsoft.com/office/officeart/2005/8/layout/orgChart1"/>
    <dgm:cxn modelId="{597C645C-DED7-4336-9858-1EB5A2488DCF}" srcId="{D9FDBBAA-0B9C-4417-B9CE-5CF006DA1718}" destId="{95926285-8733-4FE9-9E85-61435D6B262D}" srcOrd="0" destOrd="0" parTransId="{F8AA8B3F-A76F-4461-9FAC-69B1702EA8FA}" sibTransId="{F10DE859-A14B-47D6-91D9-4CBE7312ED59}"/>
    <dgm:cxn modelId="{5904A641-01CD-46FA-A698-5DFE5684BA45}" srcId="{DF8017B3-E729-4A7D-9A3D-D1719045B107}" destId="{D9FDBBAA-0B9C-4417-B9CE-5CF006DA1718}" srcOrd="0" destOrd="0" parTransId="{415C354D-EC5A-4FCE-8E7E-2D46B570619D}" sibTransId="{95EB2B6A-2964-4824-81A1-5BB68774A58B}"/>
    <dgm:cxn modelId="{93107F64-2175-468A-A59A-9AC68C94E2C1}" srcId="{D9FDBBAA-0B9C-4417-B9CE-5CF006DA1718}" destId="{C3698A3B-3101-4ED9-8C31-57288DC8CA5D}" srcOrd="1" destOrd="0" parTransId="{F64ECD1B-BDA5-4CD0-8BA3-8511B75EF8D8}" sibTransId="{79D4FA2F-25AE-424A-8197-54FF81C7CE65}"/>
    <dgm:cxn modelId="{145A0257-3394-4AF0-A8C9-067C6B1A88CE}" type="presOf" srcId="{95926285-8733-4FE9-9E85-61435D6B262D}" destId="{BDB77CD4-CBA0-4541-8A1B-3E0B65B3CD33}" srcOrd="1" destOrd="0" presId="urn:microsoft.com/office/officeart/2005/8/layout/orgChart1"/>
    <dgm:cxn modelId="{A81E2777-BEDD-40D2-A9D3-7E58491C8AEE}" type="presOf" srcId="{95926285-8733-4FE9-9E85-61435D6B262D}" destId="{71D6C3F9-2699-4A30-B164-EA4C28E07CA1}" srcOrd="0" destOrd="0" presId="urn:microsoft.com/office/officeart/2005/8/layout/orgChart1"/>
    <dgm:cxn modelId="{5A9E9A79-2545-40AC-8E9E-A05E3F8FDB0D}" type="presOf" srcId="{D9FDBBAA-0B9C-4417-B9CE-5CF006DA1718}" destId="{A0519118-09A6-4540-BD24-08D3AB72F2EA}" srcOrd="1" destOrd="0" presId="urn:microsoft.com/office/officeart/2005/8/layout/orgChart1"/>
    <dgm:cxn modelId="{A3661897-0392-4A0A-8828-3B2C62B4486F}" type="presOf" srcId="{C3698A3B-3101-4ED9-8C31-57288DC8CA5D}" destId="{2FB5E9E1-B0EB-483F-BE0C-F0663AFDA6F9}" srcOrd="0" destOrd="0" presId="urn:microsoft.com/office/officeart/2005/8/layout/orgChart1"/>
    <dgm:cxn modelId="{24FDE1AD-18BA-417C-9452-9978973D337B}" type="presOf" srcId="{DF8017B3-E729-4A7D-9A3D-D1719045B107}" destId="{185A4BBC-6BF2-4617-A911-666EC61F762C}" srcOrd="0" destOrd="0" presId="urn:microsoft.com/office/officeart/2005/8/layout/orgChart1"/>
    <dgm:cxn modelId="{735143F5-4DEF-4D5B-A3E6-72E34B3A7547}" type="presOf" srcId="{C3698A3B-3101-4ED9-8C31-57288DC8CA5D}" destId="{55D96547-40C3-4AAA-AAB6-5165BB0B5DD3}" srcOrd="1" destOrd="0" presId="urn:microsoft.com/office/officeart/2005/8/layout/orgChart1"/>
    <dgm:cxn modelId="{FB73B6F7-2D0C-47F6-86A4-EDBC5BCC4DDF}" type="presOf" srcId="{D9FDBBAA-0B9C-4417-B9CE-5CF006DA1718}" destId="{FC7608D8-CFC5-47EE-ABD0-051EBA74FCA5}" srcOrd="0" destOrd="0" presId="urn:microsoft.com/office/officeart/2005/8/layout/orgChart1"/>
    <dgm:cxn modelId="{2BA34C84-65B5-4635-9C27-F817BC7C9A52}" type="presParOf" srcId="{185A4BBC-6BF2-4617-A911-666EC61F762C}" destId="{A032EA2C-4111-40AA-8C84-E4BB470AD69D}" srcOrd="0" destOrd="0" presId="urn:microsoft.com/office/officeart/2005/8/layout/orgChart1"/>
    <dgm:cxn modelId="{4E1ADC23-B508-47CC-BBA9-463CA7439741}" type="presParOf" srcId="{A032EA2C-4111-40AA-8C84-E4BB470AD69D}" destId="{4F5C5D9B-4D34-46AC-B58A-56D9E02A7123}" srcOrd="0" destOrd="0" presId="urn:microsoft.com/office/officeart/2005/8/layout/orgChart1"/>
    <dgm:cxn modelId="{85001230-C053-4410-9BE2-DC7450CDE464}" type="presParOf" srcId="{4F5C5D9B-4D34-46AC-B58A-56D9E02A7123}" destId="{FC7608D8-CFC5-47EE-ABD0-051EBA74FCA5}" srcOrd="0" destOrd="0" presId="urn:microsoft.com/office/officeart/2005/8/layout/orgChart1"/>
    <dgm:cxn modelId="{1B32EFA2-050C-450E-8C0D-3CB7C00CE5CD}" type="presParOf" srcId="{4F5C5D9B-4D34-46AC-B58A-56D9E02A7123}" destId="{A0519118-09A6-4540-BD24-08D3AB72F2EA}" srcOrd="1" destOrd="0" presId="urn:microsoft.com/office/officeart/2005/8/layout/orgChart1"/>
    <dgm:cxn modelId="{12F4CBD8-32AC-47D8-8791-89C792677F04}" type="presParOf" srcId="{A032EA2C-4111-40AA-8C84-E4BB470AD69D}" destId="{9EA9D6F5-8735-4DBA-8F74-C62CACFA1037}" srcOrd="1" destOrd="0" presId="urn:microsoft.com/office/officeart/2005/8/layout/orgChart1"/>
    <dgm:cxn modelId="{A91D6D4A-E3CF-4096-A1A8-7C473BCB240E}" type="presParOf" srcId="{9EA9D6F5-8735-4DBA-8F74-C62CACFA1037}" destId="{F352874E-49B4-42C7-A8F7-68D384EFB7B0}" srcOrd="0" destOrd="0" presId="urn:microsoft.com/office/officeart/2005/8/layout/orgChart1"/>
    <dgm:cxn modelId="{4314475D-E022-45D4-A3F1-5EB04B6B2199}" type="presParOf" srcId="{9EA9D6F5-8735-4DBA-8F74-C62CACFA1037}" destId="{2A3D1D93-3B95-4037-A37D-CF085CBDD719}" srcOrd="1" destOrd="0" presId="urn:microsoft.com/office/officeart/2005/8/layout/orgChart1"/>
    <dgm:cxn modelId="{B84731F2-7DE7-44BE-A571-0F7DC072FFED}" type="presParOf" srcId="{2A3D1D93-3B95-4037-A37D-CF085CBDD719}" destId="{DBA8DE1E-B602-470F-953A-7BBAFD294612}" srcOrd="0" destOrd="0" presId="urn:microsoft.com/office/officeart/2005/8/layout/orgChart1"/>
    <dgm:cxn modelId="{DDF7B78E-1576-412D-903D-342EC9DE7A52}" type="presParOf" srcId="{DBA8DE1E-B602-470F-953A-7BBAFD294612}" destId="{71D6C3F9-2699-4A30-B164-EA4C28E07CA1}" srcOrd="0" destOrd="0" presId="urn:microsoft.com/office/officeart/2005/8/layout/orgChart1"/>
    <dgm:cxn modelId="{EA59F7EC-348E-4EDE-9566-A8C0DCC3C60D}" type="presParOf" srcId="{DBA8DE1E-B602-470F-953A-7BBAFD294612}" destId="{BDB77CD4-CBA0-4541-8A1B-3E0B65B3CD33}" srcOrd="1" destOrd="0" presId="urn:microsoft.com/office/officeart/2005/8/layout/orgChart1"/>
    <dgm:cxn modelId="{E4D44CDA-979D-42DD-A34E-3B0E4661331B}" type="presParOf" srcId="{2A3D1D93-3B95-4037-A37D-CF085CBDD719}" destId="{4640C918-B7AB-4908-A6F6-A4C02BBA4111}" srcOrd="1" destOrd="0" presId="urn:microsoft.com/office/officeart/2005/8/layout/orgChart1"/>
    <dgm:cxn modelId="{4E7F4B9C-6816-4EB4-8053-95321FF301D7}" type="presParOf" srcId="{2A3D1D93-3B95-4037-A37D-CF085CBDD719}" destId="{B517AD97-6EAD-48CD-807B-0244C5623726}" srcOrd="2" destOrd="0" presId="urn:microsoft.com/office/officeart/2005/8/layout/orgChart1"/>
    <dgm:cxn modelId="{71C7A9F7-D71F-487D-BB50-6830A213AD15}" type="presParOf" srcId="{9EA9D6F5-8735-4DBA-8F74-C62CACFA1037}" destId="{0D9C5E1C-B63C-48A1-88B8-C4BCB86F71B9}" srcOrd="2" destOrd="0" presId="urn:microsoft.com/office/officeart/2005/8/layout/orgChart1"/>
    <dgm:cxn modelId="{330400B3-9BF0-46EA-AA92-9AA518EF3BDF}" type="presParOf" srcId="{9EA9D6F5-8735-4DBA-8F74-C62CACFA1037}" destId="{C50861B9-AF7D-4931-BF58-810DA91AA20B}" srcOrd="3" destOrd="0" presId="urn:microsoft.com/office/officeart/2005/8/layout/orgChart1"/>
    <dgm:cxn modelId="{E6439CC4-5ECA-4351-BF40-9E766EE906B1}" type="presParOf" srcId="{C50861B9-AF7D-4931-BF58-810DA91AA20B}" destId="{99A8D625-BAED-4230-AA4E-06B83DC6E201}" srcOrd="0" destOrd="0" presId="urn:microsoft.com/office/officeart/2005/8/layout/orgChart1"/>
    <dgm:cxn modelId="{443F3193-0256-4825-961F-B815D3215DC3}" type="presParOf" srcId="{99A8D625-BAED-4230-AA4E-06B83DC6E201}" destId="{2FB5E9E1-B0EB-483F-BE0C-F0663AFDA6F9}" srcOrd="0" destOrd="0" presId="urn:microsoft.com/office/officeart/2005/8/layout/orgChart1"/>
    <dgm:cxn modelId="{FFFCBE93-2B83-478C-837E-82EBFE754916}" type="presParOf" srcId="{99A8D625-BAED-4230-AA4E-06B83DC6E201}" destId="{55D96547-40C3-4AAA-AAB6-5165BB0B5DD3}" srcOrd="1" destOrd="0" presId="urn:microsoft.com/office/officeart/2005/8/layout/orgChart1"/>
    <dgm:cxn modelId="{E7817758-B143-476E-8E2E-6C562FEA9F07}" type="presParOf" srcId="{C50861B9-AF7D-4931-BF58-810DA91AA20B}" destId="{A9669D92-91E7-4914-9B36-C64D2D05CF1B}" srcOrd="1" destOrd="0" presId="urn:microsoft.com/office/officeart/2005/8/layout/orgChart1"/>
    <dgm:cxn modelId="{5592655A-069E-4D55-AAFA-05E72523AE25}" type="presParOf" srcId="{C50861B9-AF7D-4931-BF58-810DA91AA20B}" destId="{06FF106D-635E-4B5A-A4A2-0B16C5FC6B9A}" srcOrd="2" destOrd="0" presId="urn:microsoft.com/office/officeart/2005/8/layout/orgChart1"/>
    <dgm:cxn modelId="{AE1EF019-E468-44D7-8C7E-90A97E6C96DD}" type="presParOf" srcId="{A032EA2C-4111-40AA-8C84-E4BB470AD69D}" destId="{D799C905-E5DF-4212-BC58-D6D1BAB4FCD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02855D6-83EB-4162-9BAD-94992643B95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l-PL"/>
        </a:p>
      </dgm:t>
    </dgm:pt>
    <dgm:pt modelId="{A7686C65-26A7-4818-B753-763B8FDC81DF}">
      <dgm:prSet phldrT="[Tekst]"/>
      <dgm:spPr/>
      <dgm:t>
        <a:bodyPr/>
        <a:lstStyle/>
        <a:p>
          <a:r>
            <a:rPr lang="pl-PL">
              <a:latin typeface="Times New Roman" panose="02020603050405020304" pitchFamily="18" charset="0"/>
              <a:cs typeface="Times New Roman" panose="02020603050405020304" pitchFamily="18" charset="0"/>
            </a:rPr>
            <a:t>dokumentacja normatywna</a:t>
          </a:r>
        </a:p>
      </dgm:t>
    </dgm:pt>
    <dgm:pt modelId="{B2CB2964-9F6A-495A-9F43-BAEFC6CBD7F7}" type="parTrans" cxnId="{579D3137-722C-46F7-B2A5-28292E678CC4}">
      <dgm:prSet/>
      <dgm:spPr/>
      <dgm:t>
        <a:bodyPr/>
        <a:lstStyle/>
        <a:p>
          <a:endParaRPr lang="pl-PL"/>
        </a:p>
      </dgm:t>
    </dgm:pt>
    <dgm:pt modelId="{6716DD37-9CBB-4D62-983D-B6ECE9FC8D97}" type="sibTrans" cxnId="{579D3137-722C-46F7-B2A5-28292E678CC4}">
      <dgm:prSet/>
      <dgm:spPr/>
      <dgm:t>
        <a:bodyPr/>
        <a:lstStyle/>
        <a:p>
          <a:endParaRPr lang="pl-PL"/>
        </a:p>
      </dgm:t>
    </dgm:pt>
    <dgm:pt modelId="{2C6441B8-09B2-4EA6-9671-B95FA71273FD}">
      <dgm:prSet phldrT="[Tekst]"/>
      <dgm:spPr/>
      <dgm:t>
        <a:bodyPr/>
        <a:lstStyle/>
        <a:p>
          <a:r>
            <a:rPr lang="pl-PL">
              <a:latin typeface="Times New Roman" panose="02020603050405020304" pitchFamily="18" charset="0"/>
              <a:cs typeface="Times New Roman" panose="02020603050405020304" pitchFamily="18" charset="0"/>
            </a:rPr>
            <a:t>dokumentacja operacyjna</a:t>
          </a:r>
        </a:p>
      </dgm:t>
    </dgm:pt>
    <dgm:pt modelId="{63AF2DFE-1673-4295-82D1-6B6850BE92FF}" type="parTrans" cxnId="{D7D5FB23-0E14-44C1-8B7A-B2C0A0F2E0FE}">
      <dgm:prSet/>
      <dgm:spPr/>
      <dgm:t>
        <a:bodyPr/>
        <a:lstStyle/>
        <a:p>
          <a:endParaRPr lang="pl-PL"/>
        </a:p>
      </dgm:t>
    </dgm:pt>
    <dgm:pt modelId="{892D4F07-370E-4C84-A07D-5F491D147A53}" type="sibTrans" cxnId="{D7D5FB23-0E14-44C1-8B7A-B2C0A0F2E0FE}">
      <dgm:prSet/>
      <dgm:spPr/>
      <dgm:t>
        <a:bodyPr/>
        <a:lstStyle/>
        <a:p>
          <a:endParaRPr lang="pl-PL"/>
        </a:p>
      </dgm:t>
    </dgm:pt>
    <dgm:pt modelId="{43C1DA46-9C03-42A9-A1E1-33B136D60835}">
      <dgm:prSet phldrT="[Tekst]"/>
      <dgm:spPr/>
      <dgm:t>
        <a:bodyPr/>
        <a:lstStyle/>
        <a:p>
          <a:pPr algn="just"/>
          <a:r>
            <a:rPr lang="pl-PL"/>
            <a:t>d</a:t>
          </a:r>
          <a:r>
            <a:rPr lang="pl-PL">
              <a:latin typeface="Times New Roman" panose="02020603050405020304" pitchFamily="18" charset="0"/>
              <a:cs typeface="Times New Roman" panose="02020603050405020304" pitchFamily="18" charset="0"/>
            </a:rPr>
            <a:t>okumentacja systemu zarządzania bezpieczeństwem informacji</a:t>
          </a:r>
        </a:p>
      </dgm:t>
    </dgm:pt>
    <dgm:pt modelId="{6A6DEF03-8620-4E55-ABC8-25E5D487830D}" type="parTrans" cxnId="{89324220-9B4C-48C1-9052-B2E4936715C0}">
      <dgm:prSet/>
      <dgm:spPr/>
      <dgm:t>
        <a:bodyPr/>
        <a:lstStyle/>
        <a:p>
          <a:endParaRPr lang="pl-PL"/>
        </a:p>
      </dgm:t>
    </dgm:pt>
    <dgm:pt modelId="{3B759384-7A64-47FD-B974-E7D4E9E2754F}" type="sibTrans" cxnId="{89324220-9B4C-48C1-9052-B2E4936715C0}">
      <dgm:prSet/>
      <dgm:spPr/>
      <dgm:t>
        <a:bodyPr/>
        <a:lstStyle/>
        <a:p>
          <a:endParaRPr lang="pl-PL"/>
        </a:p>
      </dgm:t>
    </dgm:pt>
    <dgm:pt modelId="{6C656866-B85D-4F5E-9EE4-F0496A01EF69}">
      <dgm:prSet phldrT="[Tekst]"/>
      <dgm:spPr/>
      <dgm:t>
        <a:bodyPr/>
        <a:lstStyle/>
        <a:p>
          <a:pPr algn="just"/>
          <a:r>
            <a:rPr lang="pl-PL">
              <a:latin typeface="Times New Roman" panose="02020603050405020304" pitchFamily="18" charset="0"/>
              <a:cs typeface="Times New Roman" panose="02020603050405020304" pitchFamily="18" charset="0"/>
            </a:rPr>
            <a:t>zapisy poświadczające wykonywanie czynności wymaganych przez postanowienia zawarte w dokumentacji normatywnej, w tym automatycznie generowane zapisy w dziennikach systemów informacyjnych (logi)</a:t>
          </a:r>
        </a:p>
      </dgm:t>
    </dgm:pt>
    <dgm:pt modelId="{CE4F0CD5-6399-4DA9-AD1B-FF5629FCA95A}" type="parTrans" cxnId="{58055888-3792-4198-9CD7-5925211D05F6}">
      <dgm:prSet/>
      <dgm:spPr/>
      <dgm:t>
        <a:bodyPr/>
        <a:lstStyle/>
        <a:p>
          <a:endParaRPr lang="pl-PL"/>
        </a:p>
      </dgm:t>
    </dgm:pt>
    <dgm:pt modelId="{6E947D6E-FBED-4C20-AF2F-B3FEAEA504A1}" type="sibTrans" cxnId="{58055888-3792-4198-9CD7-5925211D05F6}">
      <dgm:prSet/>
      <dgm:spPr/>
      <dgm:t>
        <a:bodyPr/>
        <a:lstStyle/>
        <a:p>
          <a:endParaRPr lang="pl-PL"/>
        </a:p>
      </dgm:t>
    </dgm:pt>
    <dgm:pt modelId="{F00BB1F2-5B35-4D9D-91A3-9DE79547CB18}">
      <dgm:prSet phldrT="[Tekst]"/>
      <dgm:spPr/>
      <dgm:t>
        <a:bodyPr/>
        <a:lstStyle/>
        <a:p>
          <a:pPr algn="just"/>
          <a:r>
            <a:rPr lang="pl-PL">
              <a:latin typeface="Times New Roman" panose="02020603050405020304" pitchFamily="18" charset="0"/>
              <a:cs typeface="Times New Roman" panose="02020603050405020304" pitchFamily="18" charset="0"/>
            </a:rPr>
            <a:t>dokumentacja ochrony infrastruktury, z wykorzystaniem której świadczona jest usługa</a:t>
          </a:r>
        </a:p>
      </dgm:t>
    </dgm:pt>
    <dgm:pt modelId="{354C7F4A-0687-4E09-AD02-FABD7CB3F318}" type="parTrans" cxnId="{1ECA1660-5F91-4294-9B2C-EE16E665C658}">
      <dgm:prSet/>
      <dgm:spPr/>
      <dgm:t>
        <a:bodyPr/>
        <a:lstStyle/>
        <a:p>
          <a:endParaRPr lang="pl-PL"/>
        </a:p>
      </dgm:t>
    </dgm:pt>
    <dgm:pt modelId="{1D89EAE9-2505-4832-B9F1-27F140E1CAA7}" type="sibTrans" cxnId="{1ECA1660-5F91-4294-9B2C-EE16E665C658}">
      <dgm:prSet/>
      <dgm:spPr/>
      <dgm:t>
        <a:bodyPr/>
        <a:lstStyle/>
        <a:p>
          <a:endParaRPr lang="pl-PL"/>
        </a:p>
      </dgm:t>
    </dgm:pt>
    <dgm:pt modelId="{EC83BD9E-3B16-4EEE-823D-AF8EE0BE882D}">
      <dgm:prSet phldrT="[Tekst]"/>
      <dgm:spPr/>
      <dgm:t>
        <a:bodyPr/>
        <a:lstStyle/>
        <a:p>
          <a:pPr algn="just"/>
          <a:r>
            <a:rPr lang="pl-PL">
              <a:latin typeface="Times New Roman" panose="02020603050405020304" pitchFamily="18" charset="0"/>
              <a:cs typeface="Times New Roman" panose="02020603050405020304" pitchFamily="18" charset="0"/>
            </a:rPr>
            <a:t>dokumentacja systemu zarządzania ciągłością działania</a:t>
          </a:r>
        </a:p>
      </dgm:t>
    </dgm:pt>
    <dgm:pt modelId="{8E85C4CE-1A6B-4177-9E21-957ACA13206A}" type="parTrans" cxnId="{1AACB1D2-0022-459E-9245-0D42B7DC2ABE}">
      <dgm:prSet/>
      <dgm:spPr/>
      <dgm:t>
        <a:bodyPr/>
        <a:lstStyle/>
        <a:p>
          <a:endParaRPr lang="pl-PL"/>
        </a:p>
      </dgm:t>
    </dgm:pt>
    <dgm:pt modelId="{D1625EC8-40F4-441E-8E5E-AE295D4BB8AA}" type="sibTrans" cxnId="{1AACB1D2-0022-459E-9245-0D42B7DC2ABE}">
      <dgm:prSet/>
      <dgm:spPr/>
      <dgm:t>
        <a:bodyPr/>
        <a:lstStyle/>
        <a:p>
          <a:endParaRPr lang="pl-PL"/>
        </a:p>
      </dgm:t>
    </dgm:pt>
    <dgm:pt modelId="{5B11F7DD-06F4-4A35-BAB0-A9571A92896F}">
      <dgm:prSet phldrT="[Tekst]"/>
      <dgm:spPr/>
      <dgm:t>
        <a:bodyPr/>
        <a:lstStyle/>
        <a:p>
          <a:pPr algn="just"/>
          <a:r>
            <a:rPr lang="pl-PL">
              <a:latin typeface="Times New Roman" panose="02020603050405020304" pitchFamily="18" charset="0"/>
              <a:cs typeface="Times New Roman" panose="02020603050405020304" pitchFamily="18" charset="0"/>
            </a:rPr>
            <a:t>dokumentacja techniczna systemu informacyjnego wykorzystywanego wprocesie świadczenia usługi</a:t>
          </a:r>
        </a:p>
      </dgm:t>
    </dgm:pt>
    <dgm:pt modelId="{4B8F34EF-70FB-4B30-BC33-BD5F7D7CD8EE}" type="parTrans" cxnId="{C2BBC578-383E-4294-B31A-67D9A6FE731D}">
      <dgm:prSet/>
      <dgm:spPr/>
      <dgm:t>
        <a:bodyPr/>
        <a:lstStyle/>
        <a:p>
          <a:endParaRPr lang="pl-PL"/>
        </a:p>
      </dgm:t>
    </dgm:pt>
    <dgm:pt modelId="{D3E1B947-BD6A-432A-A749-39B76735E6B4}" type="sibTrans" cxnId="{C2BBC578-383E-4294-B31A-67D9A6FE731D}">
      <dgm:prSet/>
      <dgm:spPr/>
      <dgm:t>
        <a:bodyPr/>
        <a:lstStyle/>
        <a:p>
          <a:endParaRPr lang="pl-PL"/>
        </a:p>
      </dgm:t>
    </dgm:pt>
    <dgm:pt modelId="{A7E9E83B-AADC-45EC-AED2-B26B2B4A0295}">
      <dgm:prSet phldrT="[Tekst]"/>
      <dgm:spPr/>
      <dgm:t>
        <a:bodyPr/>
        <a:lstStyle/>
        <a:p>
          <a:pPr algn="just"/>
          <a:r>
            <a:rPr lang="pl-PL">
              <a:latin typeface="Times New Roman" panose="02020603050405020304" pitchFamily="18" charset="0"/>
              <a:cs typeface="Times New Roman" panose="02020603050405020304" pitchFamily="18" charset="0"/>
            </a:rPr>
            <a:t>dokumentacja wynikająca ze specyfiki świadczonej usługi w danym sektorze lub podsektorze</a:t>
          </a:r>
        </a:p>
      </dgm:t>
    </dgm:pt>
    <dgm:pt modelId="{92A4471B-83E3-4DDF-941D-CCADD8356765}" type="parTrans" cxnId="{E2B08753-0245-444C-871C-A5463FDC975A}">
      <dgm:prSet/>
      <dgm:spPr/>
      <dgm:t>
        <a:bodyPr/>
        <a:lstStyle/>
        <a:p>
          <a:endParaRPr lang="pl-PL"/>
        </a:p>
      </dgm:t>
    </dgm:pt>
    <dgm:pt modelId="{2C84B6A7-E8FC-490C-ACAC-198C05BC264F}" type="sibTrans" cxnId="{E2B08753-0245-444C-871C-A5463FDC975A}">
      <dgm:prSet/>
      <dgm:spPr/>
      <dgm:t>
        <a:bodyPr/>
        <a:lstStyle/>
        <a:p>
          <a:endParaRPr lang="pl-PL"/>
        </a:p>
      </dgm:t>
    </dgm:pt>
    <dgm:pt modelId="{326146CE-C926-409A-8BB1-A407CD92016B}" type="pres">
      <dgm:prSet presAssocID="{F02855D6-83EB-4162-9BAD-94992643B95C}" presName="linear" presStyleCnt="0">
        <dgm:presLayoutVars>
          <dgm:dir/>
          <dgm:animLvl val="lvl"/>
          <dgm:resizeHandles val="exact"/>
        </dgm:presLayoutVars>
      </dgm:prSet>
      <dgm:spPr/>
    </dgm:pt>
    <dgm:pt modelId="{E6E6E15D-1012-407C-97D1-4645EB2F3E44}" type="pres">
      <dgm:prSet presAssocID="{A7686C65-26A7-4818-B753-763B8FDC81DF}" presName="parentLin" presStyleCnt="0"/>
      <dgm:spPr/>
    </dgm:pt>
    <dgm:pt modelId="{72C839C2-544D-429E-880D-DDBB33482817}" type="pres">
      <dgm:prSet presAssocID="{A7686C65-26A7-4818-B753-763B8FDC81DF}" presName="parentLeftMargin" presStyleLbl="node1" presStyleIdx="0" presStyleCnt="2"/>
      <dgm:spPr/>
    </dgm:pt>
    <dgm:pt modelId="{D8328F5E-947C-4106-88A8-B554D031CE5C}" type="pres">
      <dgm:prSet presAssocID="{A7686C65-26A7-4818-B753-763B8FDC81DF}" presName="parentText" presStyleLbl="node1" presStyleIdx="0" presStyleCnt="2">
        <dgm:presLayoutVars>
          <dgm:chMax val="0"/>
          <dgm:bulletEnabled val="1"/>
        </dgm:presLayoutVars>
      </dgm:prSet>
      <dgm:spPr/>
    </dgm:pt>
    <dgm:pt modelId="{348348BA-B34C-4828-9B57-744A9547AD7E}" type="pres">
      <dgm:prSet presAssocID="{A7686C65-26A7-4818-B753-763B8FDC81DF}" presName="negativeSpace" presStyleCnt="0"/>
      <dgm:spPr/>
    </dgm:pt>
    <dgm:pt modelId="{5230F51F-61F0-435C-AED4-8224CA303862}" type="pres">
      <dgm:prSet presAssocID="{A7686C65-26A7-4818-B753-763B8FDC81DF}" presName="childText" presStyleLbl="conFgAcc1" presStyleIdx="0" presStyleCnt="2">
        <dgm:presLayoutVars>
          <dgm:bulletEnabled val="1"/>
        </dgm:presLayoutVars>
      </dgm:prSet>
      <dgm:spPr/>
    </dgm:pt>
    <dgm:pt modelId="{55A48431-C253-4BDC-A8D0-4D47CD925776}" type="pres">
      <dgm:prSet presAssocID="{6716DD37-9CBB-4D62-983D-B6ECE9FC8D97}" presName="spaceBetweenRectangles" presStyleCnt="0"/>
      <dgm:spPr/>
    </dgm:pt>
    <dgm:pt modelId="{41F5C93C-EEDA-4821-A674-8C2491D35AFC}" type="pres">
      <dgm:prSet presAssocID="{2C6441B8-09B2-4EA6-9671-B95FA71273FD}" presName="parentLin" presStyleCnt="0"/>
      <dgm:spPr/>
    </dgm:pt>
    <dgm:pt modelId="{16E9477C-B431-4726-8A2E-1EB1AB2767AD}" type="pres">
      <dgm:prSet presAssocID="{2C6441B8-09B2-4EA6-9671-B95FA71273FD}" presName="parentLeftMargin" presStyleLbl="node1" presStyleIdx="0" presStyleCnt="2"/>
      <dgm:spPr/>
    </dgm:pt>
    <dgm:pt modelId="{89C32B14-009C-4A73-9133-B23911A57316}" type="pres">
      <dgm:prSet presAssocID="{2C6441B8-09B2-4EA6-9671-B95FA71273FD}" presName="parentText" presStyleLbl="node1" presStyleIdx="1" presStyleCnt="2">
        <dgm:presLayoutVars>
          <dgm:chMax val="0"/>
          <dgm:bulletEnabled val="1"/>
        </dgm:presLayoutVars>
      </dgm:prSet>
      <dgm:spPr/>
    </dgm:pt>
    <dgm:pt modelId="{ED76B12E-BBCC-4D59-92D3-ED005485320C}" type="pres">
      <dgm:prSet presAssocID="{2C6441B8-09B2-4EA6-9671-B95FA71273FD}" presName="negativeSpace" presStyleCnt="0"/>
      <dgm:spPr/>
    </dgm:pt>
    <dgm:pt modelId="{53C53E4F-FA09-4CBD-ABA2-997A70DFA0A1}" type="pres">
      <dgm:prSet presAssocID="{2C6441B8-09B2-4EA6-9671-B95FA71273FD}" presName="childText" presStyleLbl="conFgAcc1" presStyleIdx="1" presStyleCnt="2">
        <dgm:presLayoutVars>
          <dgm:bulletEnabled val="1"/>
        </dgm:presLayoutVars>
      </dgm:prSet>
      <dgm:spPr/>
    </dgm:pt>
  </dgm:ptLst>
  <dgm:cxnLst>
    <dgm:cxn modelId="{63AF370A-F6F5-4D72-BE0A-77FB69EAF03E}" type="presOf" srcId="{A7E9E83B-AADC-45EC-AED2-B26B2B4A0295}" destId="{5230F51F-61F0-435C-AED4-8224CA303862}" srcOrd="0" destOrd="4" presId="urn:microsoft.com/office/officeart/2005/8/layout/list1"/>
    <dgm:cxn modelId="{95C8470C-899A-455D-AA53-A44D65687160}" type="presOf" srcId="{2C6441B8-09B2-4EA6-9671-B95FA71273FD}" destId="{16E9477C-B431-4726-8A2E-1EB1AB2767AD}" srcOrd="0" destOrd="0" presId="urn:microsoft.com/office/officeart/2005/8/layout/list1"/>
    <dgm:cxn modelId="{89324220-9B4C-48C1-9052-B2E4936715C0}" srcId="{A7686C65-26A7-4818-B753-763B8FDC81DF}" destId="{43C1DA46-9C03-42A9-A1E1-33B136D60835}" srcOrd="0" destOrd="0" parTransId="{6A6DEF03-8620-4E55-ABC8-25E5D487830D}" sibTransId="{3B759384-7A64-47FD-B974-E7D4E9E2754F}"/>
    <dgm:cxn modelId="{D7D5FB23-0E14-44C1-8B7A-B2C0A0F2E0FE}" srcId="{F02855D6-83EB-4162-9BAD-94992643B95C}" destId="{2C6441B8-09B2-4EA6-9671-B95FA71273FD}" srcOrd="1" destOrd="0" parTransId="{63AF2DFE-1673-4295-82D1-6B6850BE92FF}" sibTransId="{892D4F07-370E-4C84-A07D-5F491D147A53}"/>
    <dgm:cxn modelId="{579D3137-722C-46F7-B2A5-28292E678CC4}" srcId="{F02855D6-83EB-4162-9BAD-94992643B95C}" destId="{A7686C65-26A7-4818-B753-763B8FDC81DF}" srcOrd="0" destOrd="0" parTransId="{B2CB2964-9F6A-495A-9F43-BAEFC6CBD7F7}" sibTransId="{6716DD37-9CBB-4D62-983D-B6ECE9FC8D97}"/>
    <dgm:cxn modelId="{1ECA1660-5F91-4294-9B2C-EE16E665C658}" srcId="{A7686C65-26A7-4818-B753-763B8FDC81DF}" destId="{F00BB1F2-5B35-4D9D-91A3-9DE79547CB18}" srcOrd="1" destOrd="0" parTransId="{354C7F4A-0687-4E09-AD02-FABD7CB3F318}" sibTransId="{1D89EAE9-2505-4832-B9F1-27F140E1CAA7}"/>
    <dgm:cxn modelId="{939D9247-EE04-423A-B83E-E6BEFD2EA733}" type="presOf" srcId="{A7686C65-26A7-4818-B753-763B8FDC81DF}" destId="{72C839C2-544D-429E-880D-DDBB33482817}" srcOrd="0" destOrd="0" presId="urn:microsoft.com/office/officeart/2005/8/layout/list1"/>
    <dgm:cxn modelId="{FD3A216A-DEDA-4F13-B77F-352CBEAEBD32}" type="presOf" srcId="{EC83BD9E-3B16-4EEE-823D-AF8EE0BE882D}" destId="{5230F51F-61F0-435C-AED4-8224CA303862}" srcOrd="0" destOrd="2" presId="urn:microsoft.com/office/officeart/2005/8/layout/list1"/>
    <dgm:cxn modelId="{E2B08753-0245-444C-871C-A5463FDC975A}" srcId="{A7686C65-26A7-4818-B753-763B8FDC81DF}" destId="{A7E9E83B-AADC-45EC-AED2-B26B2B4A0295}" srcOrd="4" destOrd="0" parTransId="{92A4471B-83E3-4DDF-941D-CCADD8356765}" sibTransId="{2C84B6A7-E8FC-490C-ACAC-198C05BC264F}"/>
    <dgm:cxn modelId="{C2BBC578-383E-4294-B31A-67D9A6FE731D}" srcId="{A7686C65-26A7-4818-B753-763B8FDC81DF}" destId="{5B11F7DD-06F4-4A35-BAB0-A9571A92896F}" srcOrd="3" destOrd="0" parTransId="{4B8F34EF-70FB-4B30-BC33-BD5F7D7CD8EE}" sibTransId="{D3E1B947-BD6A-432A-A749-39B76735E6B4}"/>
    <dgm:cxn modelId="{417CD07D-E692-4CB2-928B-A9FCC19255EF}" type="presOf" srcId="{5B11F7DD-06F4-4A35-BAB0-A9571A92896F}" destId="{5230F51F-61F0-435C-AED4-8224CA303862}" srcOrd="0" destOrd="3" presId="urn:microsoft.com/office/officeart/2005/8/layout/list1"/>
    <dgm:cxn modelId="{AB107188-2433-4614-B65B-0397A8A9BFCF}" type="presOf" srcId="{43C1DA46-9C03-42A9-A1E1-33B136D60835}" destId="{5230F51F-61F0-435C-AED4-8224CA303862}" srcOrd="0" destOrd="0" presId="urn:microsoft.com/office/officeart/2005/8/layout/list1"/>
    <dgm:cxn modelId="{58055888-3792-4198-9CD7-5925211D05F6}" srcId="{2C6441B8-09B2-4EA6-9671-B95FA71273FD}" destId="{6C656866-B85D-4F5E-9EE4-F0496A01EF69}" srcOrd="0" destOrd="0" parTransId="{CE4F0CD5-6399-4DA9-AD1B-FF5629FCA95A}" sibTransId="{6E947D6E-FBED-4C20-AF2F-B3FEAEA504A1}"/>
    <dgm:cxn modelId="{94410E8E-BC9A-4A23-B5E7-13A5228FDECB}" type="presOf" srcId="{6C656866-B85D-4F5E-9EE4-F0496A01EF69}" destId="{53C53E4F-FA09-4CBD-ABA2-997A70DFA0A1}" srcOrd="0" destOrd="0" presId="urn:microsoft.com/office/officeart/2005/8/layout/list1"/>
    <dgm:cxn modelId="{5D2715A6-034F-4B51-B3BD-CD737E45807B}" type="presOf" srcId="{F02855D6-83EB-4162-9BAD-94992643B95C}" destId="{326146CE-C926-409A-8BB1-A407CD92016B}" srcOrd="0" destOrd="0" presId="urn:microsoft.com/office/officeart/2005/8/layout/list1"/>
    <dgm:cxn modelId="{E25024B1-2F9C-4FE5-87DF-FB05C96C9D8C}" type="presOf" srcId="{F00BB1F2-5B35-4D9D-91A3-9DE79547CB18}" destId="{5230F51F-61F0-435C-AED4-8224CA303862}" srcOrd="0" destOrd="1" presId="urn:microsoft.com/office/officeart/2005/8/layout/list1"/>
    <dgm:cxn modelId="{1AACB1D2-0022-459E-9245-0D42B7DC2ABE}" srcId="{A7686C65-26A7-4818-B753-763B8FDC81DF}" destId="{EC83BD9E-3B16-4EEE-823D-AF8EE0BE882D}" srcOrd="2" destOrd="0" parTransId="{8E85C4CE-1A6B-4177-9E21-957ACA13206A}" sibTransId="{D1625EC8-40F4-441E-8E5E-AE295D4BB8AA}"/>
    <dgm:cxn modelId="{444EFCE4-40FD-430A-8476-7A60EB2C794D}" type="presOf" srcId="{2C6441B8-09B2-4EA6-9671-B95FA71273FD}" destId="{89C32B14-009C-4A73-9133-B23911A57316}" srcOrd="1" destOrd="0" presId="urn:microsoft.com/office/officeart/2005/8/layout/list1"/>
    <dgm:cxn modelId="{D26C21FC-0980-411E-AB10-2E9B52A3A543}" type="presOf" srcId="{A7686C65-26A7-4818-B753-763B8FDC81DF}" destId="{D8328F5E-947C-4106-88A8-B554D031CE5C}" srcOrd="1" destOrd="0" presId="urn:microsoft.com/office/officeart/2005/8/layout/list1"/>
    <dgm:cxn modelId="{171CE843-8B61-4228-B035-6CBD0EE902FB}" type="presParOf" srcId="{326146CE-C926-409A-8BB1-A407CD92016B}" destId="{E6E6E15D-1012-407C-97D1-4645EB2F3E44}" srcOrd="0" destOrd="0" presId="urn:microsoft.com/office/officeart/2005/8/layout/list1"/>
    <dgm:cxn modelId="{674D6F9E-F7CA-47B9-B576-690B048E5A26}" type="presParOf" srcId="{E6E6E15D-1012-407C-97D1-4645EB2F3E44}" destId="{72C839C2-544D-429E-880D-DDBB33482817}" srcOrd="0" destOrd="0" presId="urn:microsoft.com/office/officeart/2005/8/layout/list1"/>
    <dgm:cxn modelId="{C9A8D7C1-AE06-4C3A-BE2D-D54BF84CDAD8}" type="presParOf" srcId="{E6E6E15D-1012-407C-97D1-4645EB2F3E44}" destId="{D8328F5E-947C-4106-88A8-B554D031CE5C}" srcOrd="1" destOrd="0" presId="urn:microsoft.com/office/officeart/2005/8/layout/list1"/>
    <dgm:cxn modelId="{7793A4E6-8295-4FD3-B3CF-F38BDC0A8C2A}" type="presParOf" srcId="{326146CE-C926-409A-8BB1-A407CD92016B}" destId="{348348BA-B34C-4828-9B57-744A9547AD7E}" srcOrd="1" destOrd="0" presId="urn:microsoft.com/office/officeart/2005/8/layout/list1"/>
    <dgm:cxn modelId="{C5B6A2A5-CA72-4867-BD94-A9BBA68AD988}" type="presParOf" srcId="{326146CE-C926-409A-8BB1-A407CD92016B}" destId="{5230F51F-61F0-435C-AED4-8224CA303862}" srcOrd="2" destOrd="0" presId="urn:microsoft.com/office/officeart/2005/8/layout/list1"/>
    <dgm:cxn modelId="{2DB1F337-207B-4EDF-9286-5ADA0A77F075}" type="presParOf" srcId="{326146CE-C926-409A-8BB1-A407CD92016B}" destId="{55A48431-C253-4BDC-A8D0-4D47CD925776}" srcOrd="3" destOrd="0" presId="urn:microsoft.com/office/officeart/2005/8/layout/list1"/>
    <dgm:cxn modelId="{3B4C153E-F5BB-491E-9030-86F060C419C8}" type="presParOf" srcId="{326146CE-C926-409A-8BB1-A407CD92016B}" destId="{41F5C93C-EEDA-4821-A674-8C2491D35AFC}" srcOrd="4" destOrd="0" presId="urn:microsoft.com/office/officeart/2005/8/layout/list1"/>
    <dgm:cxn modelId="{A60B107F-54BE-451E-8796-6D9EDEF7483D}" type="presParOf" srcId="{41F5C93C-EEDA-4821-A674-8C2491D35AFC}" destId="{16E9477C-B431-4726-8A2E-1EB1AB2767AD}" srcOrd="0" destOrd="0" presId="urn:microsoft.com/office/officeart/2005/8/layout/list1"/>
    <dgm:cxn modelId="{D33EA8CE-A8D3-4F16-A7F7-74C4A235C04B}" type="presParOf" srcId="{41F5C93C-EEDA-4821-A674-8C2491D35AFC}" destId="{89C32B14-009C-4A73-9133-B23911A57316}" srcOrd="1" destOrd="0" presId="urn:microsoft.com/office/officeart/2005/8/layout/list1"/>
    <dgm:cxn modelId="{D71947C5-BEAA-4CC1-93B4-5A623F89710F}" type="presParOf" srcId="{326146CE-C926-409A-8BB1-A407CD92016B}" destId="{ED76B12E-BBCC-4D59-92D3-ED005485320C}" srcOrd="5" destOrd="0" presId="urn:microsoft.com/office/officeart/2005/8/layout/list1"/>
    <dgm:cxn modelId="{42561BD5-E210-4954-87E1-241F4E3A5891}" type="presParOf" srcId="{326146CE-C926-409A-8BB1-A407CD92016B}" destId="{53C53E4F-FA09-4CBD-ABA2-997A70DFA0A1}" srcOrd="6"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96544F-81EE-46AF-BEE9-7A3CF85B3877}"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pl-PL"/>
        </a:p>
      </dgm:t>
    </dgm:pt>
    <dgm:pt modelId="{A92804D0-6D2C-4206-9AAE-66F01070DEE5}">
      <dgm:prSet phldrT="[Tekst]"/>
      <dgm:spPr/>
      <dgm:t>
        <a:bodyPr/>
        <a:lstStyle/>
        <a:p>
          <a:r>
            <a:rPr lang="pl-PL">
              <a:latin typeface="Times New Roman" panose="02020603050405020304" pitchFamily="18" charset="0"/>
              <a:cs typeface="Times New Roman" panose="02020603050405020304" pitchFamily="18" charset="0"/>
            </a:rPr>
            <a:t>Dokumentacja ochrony infrastruktury obejmuje:</a:t>
          </a:r>
        </a:p>
      </dgm:t>
    </dgm:pt>
    <dgm:pt modelId="{C103CFF0-7A8C-4161-953C-4025F6A13E7F}" type="parTrans" cxnId="{A360E7E5-D4A7-4E40-9D05-1E16847AF3EF}">
      <dgm:prSet/>
      <dgm:spPr/>
      <dgm:t>
        <a:bodyPr/>
        <a:lstStyle/>
        <a:p>
          <a:endParaRPr lang="pl-PL"/>
        </a:p>
      </dgm:t>
    </dgm:pt>
    <dgm:pt modelId="{5386C30D-D44C-48F7-9EF5-F3458EACF3B6}" type="sibTrans" cxnId="{A360E7E5-D4A7-4E40-9D05-1E16847AF3EF}">
      <dgm:prSet/>
      <dgm:spPr/>
      <dgm:t>
        <a:bodyPr/>
        <a:lstStyle/>
        <a:p>
          <a:endParaRPr lang="pl-PL"/>
        </a:p>
      </dgm:t>
    </dgm:pt>
    <dgm:pt modelId="{20E4631E-34BE-4DE7-941D-3565297F60FD}">
      <dgm:prSet phldrT="[Tekst]"/>
      <dgm:spPr/>
      <dgm:t>
        <a:bodyPr/>
        <a:lstStyle/>
        <a:p>
          <a:r>
            <a:rPr lang="pl-PL">
              <a:latin typeface="Times New Roman" panose="02020603050405020304" pitchFamily="18" charset="0"/>
              <a:cs typeface="Times New Roman" panose="02020603050405020304" pitchFamily="18" charset="0"/>
            </a:rPr>
            <a:t>charakterystykę usługi oraz infrastruktury, w której świadczona jest usługa</a:t>
          </a:r>
        </a:p>
      </dgm:t>
    </dgm:pt>
    <dgm:pt modelId="{A8654602-8848-496F-9F26-94796A8B9A4F}" type="parTrans" cxnId="{39FB7D9A-3B6C-4171-A683-8480330F8084}">
      <dgm:prSet/>
      <dgm:spPr/>
      <dgm:t>
        <a:bodyPr/>
        <a:lstStyle/>
        <a:p>
          <a:endParaRPr lang="pl-PL"/>
        </a:p>
      </dgm:t>
    </dgm:pt>
    <dgm:pt modelId="{3DEDC879-1840-4713-AC1A-A025A0087A44}" type="sibTrans" cxnId="{39FB7D9A-3B6C-4171-A683-8480330F8084}">
      <dgm:prSet/>
      <dgm:spPr/>
      <dgm:t>
        <a:bodyPr/>
        <a:lstStyle/>
        <a:p>
          <a:endParaRPr lang="pl-PL"/>
        </a:p>
      </dgm:t>
    </dgm:pt>
    <dgm:pt modelId="{CD8677BF-8000-4325-AD91-CA6AEB633E34}">
      <dgm:prSet/>
      <dgm:spPr/>
      <dgm:t>
        <a:bodyPr/>
        <a:lstStyle/>
        <a:p>
          <a:r>
            <a:rPr lang="pl-PL">
              <a:latin typeface="Times New Roman" panose="02020603050405020304" pitchFamily="18" charset="0"/>
              <a:cs typeface="Times New Roman" panose="02020603050405020304" pitchFamily="18" charset="0"/>
            </a:rPr>
            <a:t>ocenę aktualnego stanu ochrony infrastruktury</a:t>
          </a:r>
        </a:p>
      </dgm:t>
    </dgm:pt>
    <dgm:pt modelId="{E832E153-C0E2-428D-94FF-FF75EEB9A9D4}" type="parTrans" cxnId="{31EF6BCA-AC03-43A3-8B43-3FBAE2AE02F5}">
      <dgm:prSet/>
      <dgm:spPr/>
      <dgm:t>
        <a:bodyPr/>
        <a:lstStyle/>
        <a:p>
          <a:endParaRPr lang="pl-PL"/>
        </a:p>
      </dgm:t>
    </dgm:pt>
    <dgm:pt modelId="{1501E301-010A-4124-92E6-0F5E62A4D05D}" type="sibTrans" cxnId="{31EF6BCA-AC03-43A3-8B43-3FBAE2AE02F5}">
      <dgm:prSet/>
      <dgm:spPr/>
      <dgm:t>
        <a:bodyPr/>
        <a:lstStyle/>
        <a:p>
          <a:endParaRPr lang="pl-PL"/>
        </a:p>
      </dgm:t>
    </dgm:pt>
    <dgm:pt modelId="{2A1AC63E-3163-4F18-844C-4B7472302574}">
      <dgm:prSet/>
      <dgm:spPr/>
      <dgm:t>
        <a:bodyPr/>
        <a:lstStyle/>
        <a:p>
          <a:r>
            <a:rPr lang="pl-PL">
              <a:latin typeface="Times New Roman" panose="02020603050405020304" pitchFamily="18" charset="0"/>
              <a:cs typeface="Times New Roman" panose="02020603050405020304" pitchFamily="18" charset="0"/>
            </a:rPr>
            <a:t>szacowanie ryzyka dla obiektów infrastruktury</a:t>
          </a:r>
        </a:p>
      </dgm:t>
    </dgm:pt>
    <dgm:pt modelId="{41D8AFA6-FD32-4D90-9042-43DF1ABF086C}" type="parTrans" cxnId="{461258D1-2354-489E-88E0-A352C5A89C40}">
      <dgm:prSet/>
      <dgm:spPr/>
      <dgm:t>
        <a:bodyPr/>
        <a:lstStyle/>
        <a:p>
          <a:endParaRPr lang="pl-PL"/>
        </a:p>
      </dgm:t>
    </dgm:pt>
    <dgm:pt modelId="{D8CA8D12-5330-4925-9131-FD6BE17BED80}" type="sibTrans" cxnId="{461258D1-2354-489E-88E0-A352C5A89C40}">
      <dgm:prSet/>
      <dgm:spPr/>
      <dgm:t>
        <a:bodyPr/>
        <a:lstStyle/>
        <a:p>
          <a:endParaRPr lang="pl-PL"/>
        </a:p>
      </dgm:t>
    </dgm:pt>
    <dgm:pt modelId="{9BB7936A-2623-4F31-920B-9F51EAD463B1}">
      <dgm:prSet/>
      <dgm:spPr/>
      <dgm:t>
        <a:bodyPr/>
        <a:lstStyle/>
        <a:p>
          <a:r>
            <a:rPr lang="pl-PL">
              <a:latin typeface="Times New Roman" panose="02020603050405020304" pitchFamily="18" charset="0"/>
              <a:cs typeface="Times New Roman" panose="02020603050405020304" pitchFamily="18" charset="0"/>
            </a:rPr>
            <a:t>plan postępowania z ryzykiem</a:t>
          </a:r>
        </a:p>
      </dgm:t>
    </dgm:pt>
    <dgm:pt modelId="{45CF9B81-32AF-4ADA-8C0E-34BF8985A8DD}" type="parTrans" cxnId="{074A2271-0E11-423A-BFD6-DFBA9F9FDA2E}">
      <dgm:prSet/>
      <dgm:spPr/>
      <dgm:t>
        <a:bodyPr/>
        <a:lstStyle/>
        <a:p>
          <a:endParaRPr lang="pl-PL"/>
        </a:p>
      </dgm:t>
    </dgm:pt>
    <dgm:pt modelId="{493C3974-4204-41B1-B6A5-6164E822952A}" type="sibTrans" cxnId="{074A2271-0E11-423A-BFD6-DFBA9F9FDA2E}">
      <dgm:prSet/>
      <dgm:spPr/>
      <dgm:t>
        <a:bodyPr/>
        <a:lstStyle/>
        <a:p>
          <a:endParaRPr lang="pl-PL"/>
        </a:p>
      </dgm:t>
    </dgm:pt>
    <dgm:pt modelId="{0FA822A0-C585-4241-B378-FBCF1D369677}">
      <dgm:prSet/>
      <dgm:spPr/>
      <dgm:t>
        <a:bodyPr/>
        <a:lstStyle/>
        <a:p>
          <a:r>
            <a:rPr lang="pl-PL">
              <a:latin typeface="Times New Roman" panose="02020603050405020304" pitchFamily="18" charset="0"/>
              <a:cs typeface="Times New Roman" panose="02020603050405020304" pitchFamily="18" charset="0"/>
            </a:rPr>
            <a:t>opis zabezpieczeń technicznych obiektów infrastruktury</a:t>
          </a:r>
        </a:p>
      </dgm:t>
    </dgm:pt>
    <dgm:pt modelId="{5A4B4895-D0C8-4297-A248-D6F30B966F22}" type="parTrans" cxnId="{51088801-94C6-46D8-8A6C-66761EED8D91}">
      <dgm:prSet/>
      <dgm:spPr/>
      <dgm:t>
        <a:bodyPr/>
        <a:lstStyle/>
        <a:p>
          <a:endParaRPr lang="pl-PL"/>
        </a:p>
      </dgm:t>
    </dgm:pt>
    <dgm:pt modelId="{6CFB719A-F92E-4A4D-9CC4-EB3CBFC497D9}" type="sibTrans" cxnId="{51088801-94C6-46D8-8A6C-66761EED8D91}">
      <dgm:prSet/>
      <dgm:spPr/>
      <dgm:t>
        <a:bodyPr/>
        <a:lstStyle/>
        <a:p>
          <a:endParaRPr lang="pl-PL"/>
        </a:p>
      </dgm:t>
    </dgm:pt>
    <dgm:pt modelId="{E64488BD-20AB-481E-918D-3687A088DB1B}">
      <dgm:prSet/>
      <dgm:spPr/>
      <dgm:t>
        <a:bodyPr/>
        <a:lstStyle/>
        <a:p>
          <a:r>
            <a:rPr lang="pl-PL">
              <a:latin typeface="Times New Roman" panose="02020603050405020304" pitchFamily="18" charset="0"/>
              <a:cs typeface="Times New Roman" panose="02020603050405020304" pitchFamily="18" charset="0"/>
            </a:rPr>
            <a:t>zasady organizacji i wykonywania ochrony fizycznej infrastruktury</a:t>
          </a:r>
        </a:p>
      </dgm:t>
    </dgm:pt>
    <dgm:pt modelId="{70E77390-3216-47E2-8870-9CC5B1377EEE}" type="parTrans" cxnId="{10E12670-22A7-43AC-A21C-D5F273989283}">
      <dgm:prSet/>
      <dgm:spPr/>
      <dgm:t>
        <a:bodyPr/>
        <a:lstStyle/>
        <a:p>
          <a:endParaRPr lang="pl-PL"/>
        </a:p>
      </dgm:t>
    </dgm:pt>
    <dgm:pt modelId="{28D6AF71-8E1C-4C0A-966E-3666BD4A3C92}" type="sibTrans" cxnId="{10E12670-22A7-43AC-A21C-D5F273989283}">
      <dgm:prSet/>
      <dgm:spPr/>
      <dgm:t>
        <a:bodyPr/>
        <a:lstStyle/>
        <a:p>
          <a:endParaRPr lang="pl-PL"/>
        </a:p>
      </dgm:t>
    </dgm:pt>
    <dgm:pt modelId="{0BE79690-0EB9-4D58-A685-109C30340BA8}">
      <dgm:prSet/>
      <dgm:spPr/>
      <dgm:t>
        <a:bodyPr/>
        <a:lstStyle/>
        <a:p>
          <a:r>
            <a:rPr lang="pl-PL">
              <a:latin typeface="Times New Roman" panose="02020603050405020304" pitchFamily="18" charset="0"/>
              <a:cs typeface="Times New Roman" panose="02020603050405020304" pitchFamily="18" charset="0"/>
            </a:rPr>
            <a:t>dane o specjalistycznej uzbrojonej formacji ochronnej, o której mowa w art. 2 pkt 7 ustawy z dnia 22 sierpnia 1997 r. o ochronie osób i mienia (Dz. U. z 2021 r. poz. 1995), chroniącej infrastrukturę</a:t>
          </a:r>
        </a:p>
      </dgm:t>
    </dgm:pt>
    <dgm:pt modelId="{ADCDFD11-3309-43EE-9A6D-C68C462E5954}" type="parTrans" cxnId="{4F3FB919-C542-4624-9974-63AAA1FFC54E}">
      <dgm:prSet/>
      <dgm:spPr/>
      <dgm:t>
        <a:bodyPr/>
        <a:lstStyle/>
        <a:p>
          <a:endParaRPr lang="pl-PL"/>
        </a:p>
      </dgm:t>
    </dgm:pt>
    <dgm:pt modelId="{EED8ADAE-85F6-4729-AA93-E383996C090D}" type="sibTrans" cxnId="{4F3FB919-C542-4624-9974-63AAA1FFC54E}">
      <dgm:prSet/>
      <dgm:spPr/>
      <dgm:t>
        <a:bodyPr/>
        <a:lstStyle/>
        <a:p>
          <a:endParaRPr lang="pl-PL"/>
        </a:p>
      </dgm:t>
    </dgm:pt>
    <dgm:pt modelId="{BE832565-9554-4318-AFF5-A1A148EF5F10}" type="pres">
      <dgm:prSet presAssocID="{A896544F-81EE-46AF-BEE9-7A3CF85B3877}" presName="vert0" presStyleCnt="0">
        <dgm:presLayoutVars>
          <dgm:dir/>
          <dgm:animOne val="branch"/>
          <dgm:animLvl val="lvl"/>
        </dgm:presLayoutVars>
      </dgm:prSet>
      <dgm:spPr/>
    </dgm:pt>
    <dgm:pt modelId="{D2D6BCD7-6FCB-4E93-9C9F-AB5A03158D85}" type="pres">
      <dgm:prSet presAssocID="{A92804D0-6D2C-4206-9AAE-66F01070DEE5}" presName="thickLine" presStyleLbl="alignNode1" presStyleIdx="0" presStyleCnt="1"/>
      <dgm:spPr/>
    </dgm:pt>
    <dgm:pt modelId="{C359CA24-950B-449E-BEFD-70CE32BDDF75}" type="pres">
      <dgm:prSet presAssocID="{A92804D0-6D2C-4206-9AAE-66F01070DEE5}" presName="horz1" presStyleCnt="0"/>
      <dgm:spPr/>
    </dgm:pt>
    <dgm:pt modelId="{D1A4D520-AE09-4C10-B902-2075E1162B1C}" type="pres">
      <dgm:prSet presAssocID="{A92804D0-6D2C-4206-9AAE-66F01070DEE5}" presName="tx1" presStyleLbl="revTx" presStyleIdx="0" presStyleCnt="8"/>
      <dgm:spPr/>
    </dgm:pt>
    <dgm:pt modelId="{26F45798-AD0B-4347-B133-B0B15AEF7EEF}" type="pres">
      <dgm:prSet presAssocID="{A92804D0-6D2C-4206-9AAE-66F01070DEE5}" presName="vert1" presStyleCnt="0"/>
      <dgm:spPr/>
    </dgm:pt>
    <dgm:pt modelId="{4D790CEC-60BD-43A4-A750-F5E48CFE9631}" type="pres">
      <dgm:prSet presAssocID="{20E4631E-34BE-4DE7-941D-3565297F60FD}" presName="vertSpace2a" presStyleCnt="0"/>
      <dgm:spPr/>
    </dgm:pt>
    <dgm:pt modelId="{33E984F6-997F-4943-B519-BD8CDE99D6B5}" type="pres">
      <dgm:prSet presAssocID="{20E4631E-34BE-4DE7-941D-3565297F60FD}" presName="horz2" presStyleCnt="0"/>
      <dgm:spPr/>
    </dgm:pt>
    <dgm:pt modelId="{E6E58BAD-0DAC-4A02-953F-9CCBAA08CAA8}" type="pres">
      <dgm:prSet presAssocID="{20E4631E-34BE-4DE7-941D-3565297F60FD}" presName="horzSpace2" presStyleCnt="0"/>
      <dgm:spPr/>
    </dgm:pt>
    <dgm:pt modelId="{FB33826F-88D3-482D-8DD2-C5ABF07921AE}" type="pres">
      <dgm:prSet presAssocID="{20E4631E-34BE-4DE7-941D-3565297F60FD}" presName="tx2" presStyleLbl="revTx" presStyleIdx="1" presStyleCnt="8"/>
      <dgm:spPr/>
    </dgm:pt>
    <dgm:pt modelId="{926235F7-72B8-4950-8A39-EDC44F6A61D2}" type="pres">
      <dgm:prSet presAssocID="{20E4631E-34BE-4DE7-941D-3565297F60FD}" presName="vert2" presStyleCnt="0"/>
      <dgm:spPr/>
    </dgm:pt>
    <dgm:pt modelId="{10F99F26-8B56-47AA-9285-24F38C8DCB67}" type="pres">
      <dgm:prSet presAssocID="{20E4631E-34BE-4DE7-941D-3565297F60FD}" presName="thinLine2b" presStyleLbl="callout" presStyleIdx="0" presStyleCnt="7"/>
      <dgm:spPr/>
    </dgm:pt>
    <dgm:pt modelId="{2F6C5044-B1D6-4091-B2EF-13C98864D2D1}" type="pres">
      <dgm:prSet presAssocID="{20E4631E-34BE-4DE7-941D-3565297F60FD}" presName="vertSpace2b" presStyleCnt="0"/>
      <dgm:spPr/>
    </dgm:pt>
    <dgm:pt modelId="{359B2444-4382-403D-8F73-EBB0D4F482BC}" type="pres">
      <dgm:prSet presAssocID="{CD8677BF-8000-4325-AD91-CA6AEB633E34}" presName="horz2" presStyleCnt="0"/>
      <dgm:spPr/>
    </dgm:pt>
    <dgm:pt modelId="{7A0F0090-B8AC-49EA-9E51-B9563BC11603}" type="pres">
      <dgm:prSet presAssocID="{CD8677BF-8000-4325-AD91-CA6AEB633E34}" presName="horzSpace2" presStyleCnt="0"/>
      <dgm:spPr/>
    </dgm:pt>
    <dgm:pt modelId="{20499622-FC32-44D6-8C06-BCDAFB159DB6}" type="pres">
      <dgm:prSet presAssocID="{CD8677BF-8000-4325-AD91-CA6AEB633E34}" presName="tx2" presStyleLbl="revTx" presStyleIdx="2" presStyleCnt="8"/>
      <dgm:spPr/>
    </dgm:pt>
    <dgm:pt modelId="{DDAA4375-FC22-4E2B-8E4F-BA818B32371A}" type="pres">
      <dgm:prSet presAssocID="{CD8677BF-8000-4325-AD91-CA6AEB633E34}" presName="vert2" presStyleCnt="0"/>
      <dgm:spPr/>
    </dgm:pt>
    <dgm:pt modelId="{207BDE2A-556B-4F24-8858-72591392EB3E}" type="pres">
      <dgm:prSet presAssocID="{CD8677BF-8000-4325-AD91-CA6AEB633E34}" presName="thinLine2b" presStyleLbl="callout" presStyleIdx="1" presStyleCnt="7"/>
      <dgm:spPr/>
    </dgm:pt>
    <dgm:pt modelId="{354CCE6D-47D1-48D4-BEED-85E95094D294}" type="pres">
      <dgm:prSet presAssocID="{CD8677BF-8000-4325-AD91-CA6AEB633E34}" presName="vertSpace2b" presStyleCnt="0"/>
      <dgm:spPr/>
    </dgm:pt>
    <dgm:pt modelId="{4161571C-4B4F-43E6-950C-B10E6BCD545D}" type="pres">
      <dgm:prSet presAssocID="{2A1AC63E-3163-4F18-844C-4B7472302574}" presName="horz2" presStyleCnt="0"/>
      <dgm:spPr/>
    </dgm:pt>
    <dgm:pt modelId="{679AF9D9-1482-4E7B-B7A9-1962C68C25A1}" type="pres">
      <dgm:prSet presAssocID="{2A1AC63E-3163-4F18-844C-4B7472302574}" presName="horzSpace2" presStyleCnt="0"/>
      <dgm:spPr/>
    </dgm:pt>
    <dgm:pt modelId="{4FB69C7A-AECA-44FC-8419-85F3ABA4DC12}" type="pres">
      <dgm:prSet presAssocID="{2A1AC63E-3163-4F18-844C-4B7472302574}" presName="tx2" presStyleLbl="revTx" presStyleIdx="3" presStyleCnt="8"/>
      <dgm:spPr/>
    </dgm:pt>
    <dgm:pt modelId="{86DC6963-6F00-4F60-A35F-97AB1E7339C2}" type="pres">
      <dgm:prSet presAssocID="{2A1AC63E-3163-4F18-844C-4B7472302574}" presName="vert2" presStyleCnt="0"/>
      <dgm:spPr/>
    </dgm:pt>
    <dgm:pt modelId="{6D5E4EB0-C9FB-4370-AEA8-C568A3EFA878}" type="pres">
      <dgm:prSet presAssocID="{2A1AC63E-3163-4F18-844C-4B7472302574}" presName="thinLine2b" presStyleLbl="callout" presStyleIdx="2" presStyleCnt="7"/>
      <dgm:spPr/>
    </dgm:pt>
    <dgm:pt modelId="{5F830319-A220-4C72-BAAA-AC470401DCDF}" type="pres">
      <dgm:prSet presAssocID="{2A1AC63E-3163-4F18-844C-4B7472302574}" presName="vertSpace2b" presStyleCnt="0"/>
      <dgm:spPr/>
    </dgm:pt>
    <dgm:pt modelId="{1C4F6D56-651D-4C46-BE16-63B776EACD2D}" type="pres">
      <dgm:prSet presAssocID="{9BB7936A-2623-4F31-920B-9F51EAD463B1}" presName="horz2" presStyleCnt="0"/>
      <dgm:spPr/>
    </dgm:pt>
    <dgm:pt modelId="{4DDEA6E8-4A90-41C4-94AC-4C6F805CE8C1}" type="pres">
      <dgm:prSet presAssocID="{9BB7936A-2623-4F31-920B-9F51EAD463B1}" presName="horzSpace2" presStyleCnt="0"/>
      <dgm:spPr/>
    </dgm:pt>
    <dgm:pt modelId="{FAAC0D4D-2918-4635-903A-CD7F474F379D}" type="pres">
      <dgm:prSet presAssocID="{9BB7936A-2623-4F31-920B-9F51EAD463B1}" presName="tx2" presStyleLbl="revTx" presStyleIdx="4" presStyleCnt="8" custLinFactNeighborX="-295" custLinFactNeighborY="-1470"/>
      <dgm:spPr/>
    </dgm:pt>
    <dgm:pt modelId="{1604DFA3-DDF6-451C-9CAC-6EAFB4E739F8}" type="pres">
      <dgm:prSet presAssocID="{9BB7936A-2623-4F31-920B-9F51EAD463B1}" presName="vert2" presStyleCnt="0"/>
      <dgm:spPr/>
    </dgm:pt>
    <dgm:pt modelId="{9559BE74-4B5A-4F5F-A56E-EF6814922DDF}" type="pres">
      <dgm:prSet presAssocID="{9BB7936A-2623-4F31-920B-9F51EAD463B1}" presName="thinLine2b" presStyleLbl="callout" presStyleIdx="3" presStyleCnt="7"/>
      <dgm:spPr/>
    </dgm:pt>
    <dgm:pt modelId="{376F54EF-822D-4C10-BBFC-98C897A09AFA}" type="pres">
      <dgm:prSet presAssocID="{9BB7936A-2623-4F31-920B-9F51EAD463B1}" presName="vertSpace2b" presStyleCnt="0"/>
      <dgm:spPr/>
    </dgm:pt>
    <dgm:pt modelId="{EB97F6BC-28D5-4C8C-A3F6-485717CC002A}" type="pres">
      <dgm:prSet presAssocID="{0FA822A0-C585-4241-B378-FBCF1D369677}" presName="horz2" presStyleCnt="0"/>
      <dgm:spPr/>
    </dgm:pt>
    <dgm:pt modelId="{2C9BFF20-3F38-4C06-9AA8-7AF1BBB3028E}" type="pres">
      <dgm:prSet presAssocID="{0FA822A0-C585-4241-B378-FBCF1D369677}" presName="horzSpace2" presStyleCnt="0"/>
      <dgm:spPr/>
    </dgm:pt>
    <dgm:pt modelId="{EE2C1525-E3D0-4CD6-B598-4D0AFF489FB0}" type="pres">
      <dgm:prSet presAssocID="{0FA822A0-C585-4241-B378-FBCF1D369677}" presName="tx2" presStyleLbl="revTx" presStyleIdx="5" presStyleCnt="8"/>
      <dgm:spPr/>
    </dgm:pt>
    <dgm:pt modelId="{3EC24075-5F13-4804-8449-EA80E51A6B04}" type="pres">
      <dgm:prSet presAssocID="{0FA822A0-C585-4241-B378-FBCF1D369677}" presName="vert2" presStyleCnt="0"/>
      <dgm:spPr/>
    </dgm:pt>
    <dgm:pt modelId="{538204DB-AF60-4717-8898-30DCA9FC25F5}" type="pres">
      <dgm:prSet presAssocID="{0FA822A0-C585-4241-B378-FBCF1D369677}" presName="thinLine2b" presStyleLbl="callout" presStyleIdx="4" presStyleCnt="7"/>
      <dgm:spPr/>
    </dgm:pt>
    <dgm:pt modelId="{23A92150-0319-4D34-8510-75515F652923}" type="pres">
      <dgm:prSet presAssocID="{0FA822A0-C585-4241-B378-FBCF1D369677}" presName="vertSpace2b" presStyleCnt="0"/>
      <dgm:spPr/>
    </dgm:pt>
    <dgm:pt modelId="{DE0B823F-EE66-4D2A-8D9A-FCAB1EFCA5DE}" type="pres">
      <dgm:prSet presAssocID="{E64488BD-20AB-481E-918D-3687A088DB1B}" presName="horz2" presStyleCnt="0"/>
      <dgm:spPr/>
    </dgm:pt>
    <dgm:pt modelId="{8EDFC5D2-363E-49CE-9D05-4870797C2081}" type="pres">
      <dgm:prSet presAssocID="{E64488BD-20AB-481E-918D-3687A088DB1B}" presName="horzSpace2" presStyleCnt="0"/>
      <dgm:spPr/>
    </dgm:pt>
    <dgm:pt modelId="{1046E583-BC30-4D91-AEEB-4B71F595509B}" type="pres">
      <dgm:prSet presAssocID="{E64488BD-20AB-481E-918D-3687A088DB1B}" presName="tx2" presStyleLbl="revTx" presStyleIdx="6" presStyleCnt="8"/>
      <dgm:spPr/>
    </dgm:pt>
    <dgm:pt modelId="{28F46419-ACB9-408A-A4FC-4398E42B9D15}" type="pres">
      <dgm:prSet presAssocID="{E64488BD-20AB-481E-918D-3687A088DB1B}" presName="vert2" presStyleCnt="0"/>
      <dgm:spPr/>
    </dgm:pt>
    <dgm:pt modelId="{198D3500-F24C-4483-B1D1-E4E32B34EEBF}" type="pres">
      <dgm:prSet presAssocID="{E64488BD-20AB-481E-918D-3687A088DB1B}" presName="thinLine2b" presStyleLbl="callout" presStyleIdx="5" presStyleCnt="7"/>
      <dgm:spPr/>
    </dgm:pt>
    <dgm:pt modelId="{4C33245F-B02A-482C-B8FE-06FAB000C07C}" type="pres">
      <dgm:prSet presAssocID="{E64488BD-20AB-481E-918D-3687A088DB1B}" presName="vertSpace2b" presStyleCnt="0"/>
      <dgm:spPr/>
    </dgm:pt>
    <dgm:pt modelId="{28AA4003-C9BE-4FDA-AFDC-CDF44F01B495}" type="pres">
      <dgm:prSet presAssocID="{0BE79690-0EB9-4D58-A685-109C30340BA8}" presName="horz2" presStyleCnt="0"/>
      <dgm:spPr/>
    </dgm:pt>
    <dgm:pt modelId="{A6125911-F97A-45A6-9103-9642CA100010}" type="pres">
      <dgm:prSet presAssocID="{0BE79690-0EB9-4D58-A685-109C30340BA8}" presName="horzSpace2" presStyleCnt="0"/>
      <dgm:spPr/>
    </dgm:pt>
    <dgm:pt modelId="{C15963F6-8D66-4534-963E-B7D466833E44}" type="pres">
      <dgm:prSet presAssocID="{0BE79690-0EB9-4D58-A685-109C30340BA8}" presName="tx2" presStyleLbl="revTx" presStyleIdx="7" presStyleCnt="8"/>
      <dgm:spPr/>
    </dgm:pt>
    <dgm:pt modelId="{499F4666-C180-43EE-AB1B-52304A8B7D07}" type="pres">
      <dgm:prSet presAssocID="{0BE79690-0EB9-4D58-A685-109C30340BA8}" presName="vert2" presStyleCnt="0"/>
      <dgm:spPr/>
    </dgm:pt>
    <dgm:pt modelId="{A71AEB4C-F9F6-446B-B3B7-439157370200}" type="pres">
      <dgm:prSet presAssocID="{0BE79690-0EB9-4D58-A685-109C30340BA8}" presName="thinLine2b" presStyleLbl="callout" presStyleIdx="6" presStyleCnt="7"/>
      <dgm:spPr/>
    </dgm:pt>
    <dgm:pt modelId="{02AEBC6D-1E95-4864-9448-D8D1310E4326}" type="pres">
      <dgm:prSet presAssocID="{0BE79690-0EB9-4D58-A685-109C30340BA8}" presName="vertSpace2b" presStyleCnt="0"/>
      <dgm:spPr/>
    </dgm:pt>
  </dgm:ptLst>
  <dgm:cxnLst>
    <dgm:cxn modelId="{51088801-94C6-46D8-8A6C-66761EED8D91}" srcId="{A92804D0-6D2C-4206-9AAE-66F01070DEE5}" destId="{0FA822A0-C585-4241-B378-FBCF1D369677}" srcOrd="4" destOrd="0" parTransId="{5A4B4895-D0C8-4297-A248-D6F30B966F22}" sibTransId="{6CFB719A-F92E-4A4D-9CC4-EB3CBFC497D9}"/>
    <dgm:cxn modelId="{4F3FB919-C542-4624-9974-63AAA1FFC54E}" srcId="{A92804D0-6D2C-4206-9AAE-66F01070DEE5}" destId="{0BE79690-0EB9-4D58-A685-109C30340BA8}" srcOrd="6" destOrd="0" parTransId="{ADCDFD11-3309-43EE-9A6D-C68C462E5954}" sibTransId="{EED8ADAE-85F6-4729-AA93-E383996C090D}"/>
    <dgm:cxn modelId="{B9E8D45C-F459-4EB8-8D26-14AEE8D772C7}" type="presOf" srcId="{0BE79690-0EB9-4D58-A685-109C30340BA8}" destId="{C15963F6-8D66-4534-963E-B7D466833E44}" srcOrd="0" destOrd="0" presId="urn:microsoft.com/office/officeart/2008/layout/LinedList"/>
    <dgm:cxn modelId="{73500745-D7CE-45A5-B691-1559A87D1A5B}" type="presOf" srcId="{20E4631E-34BE-4DE7-941D-3565297F60FD}" destId="{FB33826F-88D3-482D-8DD2-C5ABF07921AE}" srcOrd="0" destOrd="0" presId="urn:microsoft.com/office/officeart/2008/layout/LinedList"/>
    <dgm:cxn modelId="{33409249-DB4D-48C6-B07E-8031C98139CF}" type="presOf" srcId="{A92804D0-6D2C-4206-9AAE-66F01070DEE5}" destId="{D1A4D520-AE09-4C10-B902-2075E1162B1C}" srcOrd="0" destOrd="0" presId="urn:microsoft.com/office/officeart/2008/layout/LinedList"/>
    <dgm:cxn modelId="{6566046E-7253-44C0-A1CF-3A8B9A84480B}" type="presOf" srcId="{E64488BD-20AB-481E-918D-3687A088DB1B}" destId="{1046E583-BC30-4D91-AEEB-4B71F595509B}" srcOrd="0" destOrd="0" presId="urn:microsoft.com/office/officeart/2008/layout/LinedList"/>
    <dgm:cxn modelId="{10E12670-22A7-43AC-A21C-D5F273989283}" srcId="{A92804D0-6D2C-4206-9AAE-66F01070DEE5}" destId="{E64488BD-20AB-481E-918D-3687A088DB1B}" srcOrd="5" destOrd="0" parTransId="{70E77390-3216-47E2-8870-9CC5B1377EEE}" sibTransId="{28D6AF71-8E1C-4C0A-966E-3666BD4A3C92}"/>
    <dgm:cxn modelId="{074A2271-0E11-423A-BFD6-DFBA9F9FDA2E}" srcId="{A92804D0-6D2C-4206-9AAE-66F01070DEE5}" destId="{9BB7936A-2623-4F31-920B-9F51EAD463B1}" srcOrd="3" destOrd="0" parTransId="{45CF9B81-32AF-4ADA-8C0E-34BF8985A8DD}" sibTransId="{493C3974-4204-41B1-B6A5-6164E822952A}"/>
    <dgm:cxn modelId="{206D7B5A-B027-40EE-A7B9-D6C66A284907}" type="presOf" srcId="{2A1AC63E-3163-4F18-844C-4B7472302574}" destId="{4FB69C7A-AECA-44FC-8419-85F3ABA4DC12}" srcOrd="0" destOrd="0" presId="urn:microsoft.com/office/officeart/2008/layout/LinedList"/>
    <dgm:cxn modelId="{BDA65085-A51D-4A7A-A91F-E0CA9F67850D}" type="presOf" srcId="{9BB7936A-2623-4F31-920B-9F51EAD463B1}" destId="{FAAC0D4D-2918-4635-903A-CD7F474F379D}" srcOrd="0" destOrd="0" presId="urn:microsoft.com/office/officeart/2008/layout/LinedList"/>
    <dgm:cxn modelId="{1EF48993-8652-4366-8DBB-C80781F6311B}" type="presOf" srcId="{A896544F-81EE-46AF-BEE9-7A3CF85B3877}" destId="{BE832565-9554-4318-AFF5-A1A148EF5F10}" srcOrd="0" destOrd="0" presId="urn:microsoft.com/office/officeart/2008/layout/LinedList"/>
    <dgm:cxn modelId="{39FB7D9A-3B6C-4171-A683-8480330F8084}" srcId="{A92804D0-6D2C-4206-9AAE-66F01070DEE5}" destId="{20E4631E-34BE-4DE7-941D-3565297F60FD}" srcOrd="0" destOrd="0" parTransId="{A8654602-8848-496F-9F26-94796A8B9A4F}" sibTransId="{3DEDC879-1840-4713-AC1A-A025A0087A44}"/>
    <dgm:cxn modelId="{77A77FBA-69F4-4A25-9264-3EFF4F1250A0}" type="presOf" srcId="{CD8677BF-8000-4325-AD91-CA6AEB633E34}" destId="{20499622-FC32-44D6-8C06-BCDAFB159DB6}" srcOrd="0" destOrd="0" presId="urn:microsoft.com/office/officeart/2008/layout/LinedList"/>
    <dgm:cxn modelId="{31EF6BCA-AC03-43A3-8B43-3FBAE2AE02F5}" srcId="{A92804D0-6D2C-4206-9AAE-66F01070DEE5}" destId="{CD8677BF-8000-4325-AD91-CA6AEB633E34}" srcOrd="1" destOrd="0" parTransId="{E832E153-C0E2-428D-94FF-FF75EEB9A9D4}" sibTransId="{1501E301-010A-4124-92E6-0F5E62A4D05D}"/>
    <dgm:cxn modelId="{461258D1-2354-489E-88E0-A352C5A89C40}" srcId="{A92804D0-6D2C-4206-9AAE-66F01070DEE5}" destId="{2A1AC63E-3163-4F18-844C-4B7472302574}" srcOrd="2" destOrd="0" parTransId="{41D8AFA6-FD32-4D90-9042-43DF1ABF086C}" sibTransId="{D8CA8D12-5330-4925-9131-FD6BE17BED80}"/>
    <dgm:cxn modelId="{A360E7E5-D4A7-4E40-9D05-1E16847AF3EF}" srcId="{A896544F-81EE-46AF-BEE9-7A3CF85B3877}" destId="{A92804D0-6D2C-4206-9AAE-66F01070DEE5}" srcOrd="0" destOrd="0" parTransId="{C103CFF0-7A8C-4161-953C-4025F6A13E7F}" sibTransId="{5386C30D-D44C-48F7-9EF5-F3458EACF3B6}"/>
    <dgm:cxn modelId="{25B261FA-1EBB-45EB-ADE6-6630F05E36BB}" type="presOf" srcId="{0FA822A0-C585-4241-B378-FBCF1D369677}" destId="{EE2C1525-E3D0-4CD6-B598-4D0AFF489FB0}" srcOrd="0" destOrd="0" presId="urn:microsoft.com/office/officeart/2008/layout/LinedList"/>
    <dgm:cxn modelId="{4BFAE989-26BC-418F-977D-6C7D823DBFD0}" type="presParOf" srcId="{BE832565-9554-4318-AFF5-A1A148EF5F10}" destId="{D2D6BCD7-6FCB-4E93-9C9F-AB5A03158D85}" srcOrd="0" destOrd="0" presId="urn:microsoft.com/office/officeart/2008/layout/LinedList"/>
    <dgm:cxn modelId="{EF6A7FB8-1967-4F0D-94FF-C3EE47A37B2B}" type="presParOf" srcId="{BE832565-9554-4318-AFF5-A1A148EF5F10}" destId="{C359CA24-950B-449E-BEFD-70CE32BDDF75}" srcOrd="1" destOrd="0" presId="urn:microsoft.com/office/officeart/2008/layout/LinedList"/>
    <dgm:cxn modelId="{1F750057-1B5C-4200-8382-C0B2B63E2C08}" type="presParOf" srcId="{C359CA24-950B-449E-BEFD-70CE32BDDF75}" destId="{D1A4D520-AE09-4C10-B902-2075E1162B1C}" srcOrd="0" destOrd="0" presId="urn:microsoft.com/office/officeart/2008/layout/LinedList"/>
    <dgm:cxn modelId="{27FD04BE-F340-4D64-AC53-32DB137ED793}" type="presParOf" srcId="{C359CA24-950B-449E-BEFD-70CE32BDDF75}" destId="{26F45798-AD0B-4347-B133-B0B15AEF7EEF}" srcOrd="1" destOrd="0" presId="urn:microsoft.com/office/officeart/2008/layout/LinedList"/>
    <dgm:cxn modelId="{9F74D493-92D8-4D15-8EE1-CBBAEBDCB5A2}" type="presParOf" srcId="{26F45798-AD0B-4347-B133-B0B15AEF7EEF}" destId="{4D790CEC-60BD-43A4-A750-F5E48CFE9631}" srcOrd="0" destOrd="0" presId="urn:microsoft.com/office/officeart/2008/layout/LinedList"/>
    <dgm:cxn modelId="{5DF76B91-28D9-4945-BB41-7684CDBE7BAF}" type="presParOf" srcId="{26F45798-AD0B-4347-B133-B0B15AEF7EEF}" destId="{33E984F6-997F-4943-B519-BD8CDE99D6B5}" srcOrd="1" destOrd="0" presId="urn:microsoft.com/office/officeart/2008/layout/LinedList"/>
    <dgm:cxn modelId="{FC5FD33C-630D-4D74-8E5E-B7F19A1D641F}" type="presParOf" srcId="{33E984F6-997F-4943-B519-BD8CDE99D6B5}" destId="{E6E58BAD-0DAC-4A02-953F-9CCBAA08CAA8}" srcOrd="0" destOrd="0" presId="urn:microsoft.com/office/officeart/2008/layout/LinedList"/>
    <dgm:cxn modelId="{ED33A23C-4848-4E8B-917E-9512E064E72E}" type="presParOf" srcId="{33E984F6-997F-4943-B519-BD8CDE99D6B5}" destId="{FB33826F-88D3-482D-8DD2-C5ABF07921AE}" srcOrd="1" destOrd="0" presId="urn:microsoft.com/office/officeart/2008/layout/LinedList"/>
    <dgm:cxn modelId="{05DCDF6E-2E3D-4909-9042-9E1C6C41B661}" type="presParOf" srcId="{33E984F6-997F-4943-B519-BD8CDE99D6B5}" destId="{926235F7-72B8-4950-8A39-EDC44F6A61D2}" srcOrd="2" destOrd="0" presId="urn:microsoft.com/office/officeart/2008/layout/LinedList"/>
    <dgm:cxn modelId="{22897551-84EA-4C83-8980-CC38569F6F50}" type="presParOf" srcId="{26F45798-AD0B-4347-B133-B0B15AEF7EEF}" destId="{10F99F26-8B56-47AA-9285-24F38C8DCB67}" srcOrd="2" destOrd="0" presId="urn:microsoft.com/office/officeart/2008/layout/LinedList"/>
    <dgm:cxn modelId="{02038DF7-EC8F-4388-B876-1DE2DF43769B}" type="presParOf" srcId="{26F45798-AD0B-4347-B133-B0B15AEF7EEF}" destId="{2F6C5044-B1D6-4091-B2EF-13C98864D2D1}" srcOrd="3" destOrd="0" presId="urn:microsoft.com/office/officeart/2008/layout/LinedList"/>
    <dgm:cxn modelId="{08BD4C87-83EF-45A9-A816-745DD7748644}" type="presParOf" srcId="{26F45798-AD0B-4347-B133-B0B15AEF7EEF}" destId="{359B2444-4382-403D-8F73-EBB0D4F482BC}" srcOrd="4" destOrd="0" presId="urn:microsoft.com/office/officeart/2008/layout/LinedList"/>
    <dgm:cxn modelId="{52F17562-41CF-4906-91BD-E920B824A463}" type="presParOf" srcId="{359B2444-4382-403D-8F73-EBB0D4F482BC}" destId="{7A0F0090-B8AC-49EA-9E51-B9563BC11603}" srcOrd="0" destOrd="0" presId="urn:microsoft.com/office/officeart/2008/layout/LinedList"/>
    <dgm:cxn modelId="{30A8AED9-89D8-4399-B482-51E2DCF0185E}" type="presParOf" srcId="{359B2444-4382-403D-8F73-EBB0D4F482BC}" destId="{20499622-FC32-44D6-8C06-BCDAFB159DB6}" srcOrd="1" destOrd="0" presId="urn:microsoft.com/office/officeart/2008/layout/LinedList"/>
    <dgm:cxn modelId="{5589914B-29D5-4D22-BC46-5D7B4529699E}" type="presParOf" srcId="{359B2444-4382-403D-8F73-EBB0D4F482BC}" destId="{DDAA4375-FC22-4E2B-8E4F-BA818B32371A}" srcOrd="2" destOrd="0" presId="urn:microsoft.com/office/officeart/2008/layout/LinedList"/>
    <dgm:cxn modelId="{896D9A4A-92BE-4B08-8B03-39573BC827D9}" type="presParOf" srcId="{26F45798-AD0B-4347-B133-B0B15AEF7EEF}" destId="{207BDE2A-556B-4F24-8858-72591392EB3E}" srcOrd="5" destOrd="0" presId="urn:microsoft.com/office/officeart/2008/layout/LinedList"/>
    <dgm:cxn modelId="{C4D09F0B-1773-4902-B3E5-E9803112090B}" type="presParOf" srcId="{26F45798-AD0B-4347-B133-B0B15AEF7EEF}" destId="{354CCE6D-47D1-48D4-BEED-85E95094D294}" srcOrd="6" destOrd="0" presId="urn:microsoft.com/office/officeart/2008/layout/LinedList"/>
    <dgm:cxn modelId="{C912CBC9-7945-44A4-A7D2-AB80D6852E71}" type="presParOf" srcId="{26F45798-AD0B-4347-B133-B0B15AEF7EEF}" destId="{4161571C-4B4F-43E6-950C-B10E6BCD545D}" srcOrd="7" destOrd="0" presId="urn:microsoft.com/office/officeart/2008/layout/LinedList"/>
    <dgm:cxn modelId="{58D753EC-A779-4286-A1C2-1B37A2BFCAE3}" type="presParOf" srcId="{4161571C-4B4F-43E6-950C-B10E6BCD545D}" destId="{679AF9D9-1482-4E7B-B7A9-1962C68C25A1}" srcOrd="0" destOrd="0" presId="urn:microsoft.com/office/officeart/2008/layout/LinedList"/>
    <dgm:cxn modelId="{8423385D-D04B-4A35-B5E4-7ADE13A75812}" type="presParOf" srcId="{4161571C-4B4F-43E6-950C-B10E6BCD545D}" destId="{4FB69C7A-AECA-44FC-8419-85F3ABA4DC12}" srcOrd="1" destOrd="0" presId="urn:microsoft.com/office/officeart/2008/layout/LinedList"/>
    <dgm:cxn modelId="{CFDB9051-DEBE-40AB-B69A-EF162D8AC445}" type="presParOf" srcId="{4161571C-4B4F-43E6-950C-B10E6BCD545D}" destId="{86DC6963-6F00-4F60-A35F-97AB1E7339C2}" srcOrd="2" destOrd="0" presId="urn:microsoft.com/office/officeart/2008/layout/LinedList"/>
    <dgm:cxn modelId="{B8623601-A11F-427F-AF3D-75DBD7CB643A}" type="presParOf" srcId="{26F45798-AD0B-4347-B133-B0B15AEF7EEF}" destId="{6D5E4EB0-C9FB-4370-AEA8-C568A3EFA878}" srcOrd="8" destOrd="0" presId="urn:microsoft.com/office/officeart/2008/layout/LinedList"/>
    <dgm:cxn modelId="{48601735-DA12-4AC7-A868-0B8573F708A2}" type="presParOf" srcId="{26F45798-AD0B-4347-B133-B0B15AEF7EEF}" destId="{5F830319-A220-4C72-BAAA-AC470401DCDF}" srcOrd="9" destOrd="0" presId="urn:microsoft.com/office/officeart/2008/layout/LinedList"/>
    <dgm:cxn modelId="{87D9D22E-3F56-411A-85FD-085D1D0A3F04}" type="presParOf" srcId="{26F45798-AD0B-4347-B133-B0B15AEF7EEF}" destId="{1C4F6D56-651D-4C46-BE16-63B776EACD2D}" srcOrd="10" destOrd="0" presId="urn:microsoft.com/office/officeart/2008/layout/LinedList"/>
    <dgm:cxn modelId="{E912E6C9-20EE-4C94-89A4-B7F0187BB7C9}" type="presParOf" srcId="{1C4F6D56-651D-4C46-BE16-63B776EACD2D}" destId="{4DDEA6E8-4A90-41C4-94AC-4C6F805CE8C1}" srcOrd="0" destOrd="0" presId="urn:microsoft.com/office/officeart/2008/layout/LinedList"/>
    <dgm:cxn modelId="{28FF00BC-F69F-4290-B8E1-298F87CE1C95}" type="presParOf" srcId="{1C4F6D56-651D-4C46-BE16-63B776EACD2D}" destId="{FAAC0D4D-2918-4635-903A-CD7F474F379D}" srcOrd="1" destOrd="0" presId="urn:microsoft.com/office/officeart/2008/layout/LinedList"/>
    <dgm:cxn modelId="{53572367-5B75-4DDC-97FF-CBD77486485C}" type="presParOf" srcId="{1C4F6D56-651D-4C46-BE16-63B776EACD2D}" destId="{1604DFA3-DDF6-451C-9CAC-6EAFB4E739F8}" srcOrd="2" destOrd="0" presId="urn:microsoft.com/office/officeart/2008/layout/LinedList"/>
    <dgm:cxn modelId="{AAB81E5B-F15A-4676-BEE4-6413DFFEB04D}" type="presParOf" srcId="{26F45798-AD0B-4347-B133-B0B15AEF7EEF}" destId="{9559BE74-4B5A-4F5F-A56E-EF6814922DDF}" srcOrd="11" destOrd="0" presId="urn:microsoft.com/office/officeart/2008/layout/LinedList"/>
    <dgm:cxn modelId="{D50F924C-6A16-410A-8645-67BAEF18613D}" type="presParOf" srcId="{26F45798-AD0B-4347-B133-B0B15AEF7EEF}" destId="{376F54EF-822D-4C10-BBFC-98C897A09AFA}" srcOrd="12" destOrd="0" presId="urn:microsoft.com/office/officeart/2008/layout/LinedList"/>
    <dgm:cxn modelId="{F50D9CBC-F83F-4880-94FA-16ABF7C91D35}" type="presParOf" srcId="{26F45798-AD0B-4347-B133-B0B15AEF7EEF}" destId="{EB97F6BC-28D5-4C8C-A3F6-485717CC002A}" srcOrd="13" destOrd="0" presId="urn:microsoft.com/office/officeart/2008/layout/LinedList"/>
    <dgm:cxn modelId="{D5C7DB02-BF76-462E-8861-1706C6F293D8}" type="presParOf" srcId="{EB97F6BC-28D5-4C8C-A3F6-485717CC002A}" destId="{2C9BFF20-3F38-4C06-9AA8-7AF1BBB3028E}" srcOrd="0" destOrd="0" presId="urn:microsoft.com/office/officeart/2008/layout/LinedList"/>
    <dgm:cxn modelId="{DD9C888A-244A-4982-BA47-5F4BA2537ADA}" type="presParOf" srcId="{EB97F6BC-28D5-4C8C-A3F6-485717CC002A}" destId="{EE2C1525-E3D0-4CD6-B598-4D0AFF489FB0}" srcOrd="1" destOrd="0" presId="urn:microsoft.com/office/officeart/2008/layout/LinedList"/>
    <dgm:cxn modelId="{5E7F7D41-2EBF-47B2-B7A2-76214EFA8257}" type="presParOf" srcId="{EB97F6BC-28D5-4C8C-A3F6-485717CC002A}" destId="{3EC24075-5F13-4804-8449-EA80E51A6B04}" srcOrd="2" destOrd="0" presId="urn:microsoft.com/office/officeart/2008/layout/LinedList"/>
    <dgm:cxn modelId="{D70DB7FF-8213-4AEA-A914-BB973EF40EB6}" type="presParOf" srcId="{26F45798-AD0B-4347-B133-B0B15AEF7EEF}" destId="{538204DB-AF60-4717-8898-30DCA9FC25F5}" srcOrd="14" destOrd="0" presId="urn:microsoft.com/office/officeart/2008/layout/LinedList"/>
    <dgm:cxn modelId="{C7FE5CEB-8101-4EDE-B12F-39D0B556755F}" type="presParOf" srcId="{26F45798-AD0B-4347-B133-B0B15AEF7EEF}" destId="{23A92150-0319-4D34-8510-75515F652923}" srcOrd="15" destOrd="0" presId="urn:microsoft.com/office/officeart/2008/layout/LinedList"/>
    <dgm:cxn modelId="{558601C5-FF30-43B4-876A-FCD5CDFE06F3}" type="presParOf" srcId="{26F45798-AD0B-4347-B133-B0B15AEF7EEF}" destId="{DE0B823F-EE66-4D2A-8D9A-FCAB1EFCA5DE}" srcOrd="16" destOrd="0" presId="urn:microsoft.com/office/officeart/2008/layout/LinedList"/>
    <dgm:cxn modelId="{7C1F304B-1EAA-4D9F-B6EA-58449EEA33BA}" type="presParOf" srcId="{DE0B823F-EE66-4D2A-8D9A-FCAB1EFCA5DE}" destId="{8EDFC5D2-363E-49CE-9D05-4870797C2081}" srcOrd="0" destOrd="0" presId="urn:microsoft.com/office/officeart/2008/layout/LinedList"/>
    <dgm:cxn modelId="{28A1E916-6B2A-4128-BB1F-09397C7D3E4C}" type="presParOf" srcId="{DE0B823F-EE66-4D2A-8D9A-FCAB1EFCA5DE}" destId="{1046E583-BC30-4D91-AEEB-4B71F595509B}" srcOrd="1" destOrd="0" presId="urn:microsoft.com/office/officeart/2008/layout/LinedList"/>
    <dgm:cxn modelId="{C3A79E35-F566-4F8D-A28D-EDB24AC91E32}" type="presParOf" srcId="{DE0B823F-EE66-4D2A-8D9A-FCAB1EFCA5DE}" destId="{28F46419-ACB9-408A-A4FC-4398E42B9D15}" srcOrd="2" destOrd="0" presId="urn:microsoft.com/office/officeart/2008/layout/LinedList"/>
    <dgm:cxn modelId="{19480D11-0CA4-45E3-869C-715A96495664}" type="presParOf" srcId="{26F45798-AD0B-4347-B133-B0B15AEF7EEF}" destId="{198D3500-F24C-4483-B1D1-E4E32B34EEBF}" srcOrd="17" destOrd="0" presId="urn:microsoft.com/office/officeart/2008/layout/LinedList"/>
    <dgm:cxn modelId="{9D4E8192-4965-4FA4-8D75-DBB076390598}" type="presParOf" srcId="{26F45798-AD0B-4347-B133-B0B15AEF7EEF}" destId="{4C33245F-B02A-482C-B8FE-06FAB000C07C}" srcOrd="18" destOrd="0" presId="urn:microsoft.com/office/officeart/2008/layout/LinedList"/>
    <dgm:cxn modelId="{0881D65A-CAFB-46C3-BFB5-7A1B13561221}" type="presParOf" srcId="{26F45798-AD0B-4347-B133-B0B15AEF7EEF}" destId="{28AA4003-C9BE-4FDA-AFDC-CDF44F01B495}" srcOrd="19" destOrd="0" presId="urn:microsoft.com/office/officeart/2008/layout/LinedList"/>
    <dgm:cxn modelId="{8F91210D-A04D-4013-A402-658FACE20E58}" type="presParOf" srcId="{28AA4003-C9BE-4FDA-AFDC-CDF44F01B495}" destId="{A6125911-F97A-45A6-9103-9642CA100010}" srcOrd="0" destOrd="0" presId="urn:microsoft.com/office/officeart/2008/layout/LinedList"/>
    <dgm:cxn modelId="{81FD4B2C-DB04-4266-B2C6-2E92390CD22C}" type="presParOf" srcId="{28AA4003-C9BE-4FDA-AFDC-CDF44F01B495}" destId="{C15963F6-8D66-4534-963E-B7D466833E44}" srcOrd="1" destOrd="0" presId="urn:microsoft.com/office/officeart/2008/layout/LinedList"/>
    <dgm:cxn modelId="{F53BDCFB-95C4-4167-8B4D-90B489A2B875}" type="presParOf" srcId="{28AA4003-C9BE-4FDA-AFDC-CDF44F01B495}" destId="{499F4666-C180-43EE-AB1B-52304A8B7D07}" srcOrd="2" destOrd="0" presId="urn:microsoft.com/office/officeart/2008/layout/LinedList"/>
    <dgm:cxn modelId="{CE4769A2-C079-47C8-889F-489D87EC7BB4}" type="presParOf" srcId="{26F45798-AD0B-4347-B133-B0B15AEF7EEF}" destId="{A71AEB4C-F9F6-446B-B3B7-439157370200}" srcOrd="20" destOrd="0" presId="urn:microsoft.com/office/officeart/2008/layout/LinedList"/>
    <dgm:cxn modelId="{5A31CE0B-1E37-4CD7-B987-1F399780D8A7}" type="presParOf" srcId="{26F45798-AD0B-4347-B133-B0B15AEF7EEF}" destId="{02AEBC6D-1E95-4864-9448-D8D1310E4326}" srcOrd="21" destOrd="0" presId="urn:microsoft.com/office/officeart/2008/layout/Lined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D576437-621C-477C-A5C9-A16B878ADC0C}"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pl-PL"/>
        </a:p>
      </dgm:t>
    </dgm:pt>
    <dgm:pt modelId="{D3D4FF2E-01B1-4AAF-A9E3-2979AE0157E6}">
      <dgm:prSet phldrT="[Tekst]"/>
      <dgm:spPr/>
      <dgm:t>
        <a:bodyPr/>
        <a:lstStyle/>
        <a:p>
          <a:r>
            <a:rPr lang="pl-PL">
              <a:latin typeface="Times New Roman" panose="02020603050405020304" pitchFamily="18" charset="0"/>
              <a:cs typeface="Times New Roman" panose="02020603050405020304" pitchFamily="18" charset="0"/>
            </a:rPr>
            <a:t>wykrycie incydentu</a:t>
          </a:r>
        </a:p>
      </dgm:t>
    </dgm:pt>
    <dgm:pt modelId="{623B1899-21DE-4EEA-8D93-F108DC2217E9}" type="parTrans" cxnId="{89C90C2E-F97D-4EB8-BE09-7370609724AD}">
      <dgm:prSet/>
      <dgm:spPr/>
      <dgm:t>
        <a:bodyPr/>
        <a:lstStyle/>
        <a:p>
          <a:endParaRPr lang="pl-PL"/>
        </a:p>
      </dgm:t>
    </dgm:pt>
    <dgm:pt modelId="{252AEEE7-C5D1-4811-AB0C-D69EA5D0055B}" type="sibTrans" cxnId="{89C90C2E-F97D-4EB8-BE09-7370609724AD}">
      <dgm:prSet/>
      <dgm:spPr/>
      <dgm:t>
        <a:bodyPr/>
        <a:lstStyle/>
        <a:p>
          <a:endParaRPr lang="pl-PL"/>
        </a:p>
      </dgm:t>
    </dgm:pt>
    <dgm:pt modelId="{4366FA0C-7918-4E06-B545-F770392236C6}">
      <dgm:prSet phldrT="[Tekst]"/>
      <dgm:spPr/>
      <dgm:t>
        <a:bodyPr/>
        <a:lstStyle/>
        <a:p>
          <a:r>
            <a:rPr lang="pl-PL">
              <a:latin typeface="Times New Roman" panose="02020603050405020304" pitchFamily="18" charset="0"/>
              <a:cs typeface="Times New Roman" panose="02020603050405020304" pitchFamily="18" charset="0"/>
            </a:rPr>
            <a:t>wczesne ostrzeżenie</a:t>
          </a:r>
        </a:p>
      </dgm:t>
    </dgm:pt>
    <dgm:pt modelId="{5550AEE7-06D6-4AE2-9674-26099429E6FD}" type="parTrans" cxnId="{66EA81D0-C388-4A3E-BA12-C09857B7502D}">
      <dgm:prSet/>
      <dgm:spPr/>
      <dgm:t>
        <a:bodyPr/>
        <a:lstStyle/>
        <a:p>
          <a:endParaRPr lang="pl-PL"/>
        </a:p>
      </dgm:t>
    </dgm:pt>
    <dgm:pt modelId="{131EF9A8-C063-4E9D-807D-7EB71CD5ADB4}" type="sibTrans" cxnId="{66EA81D0-C388-4A3E-BA12-C09857B7502D}">
      <dgm:prSet/>
      <dgm:spPr/>
      <dgm:t>
        <a:bodyPr/>
        <a:lstStyle/>
        <a:p>
          <a:endParaRPr lang="pl-PL"/>
        </a:p>
      </dgm:t>
    </dgm:pt>
    <dgm:pt modelId="{26BC4A29-AAEE-4299-8A25-61B2E414723F}">
      <dgm:prSet phldrT="[Tekst]"/>
      <dgm:spPr/>
      <dgm:t>
        <a:bodyPr/>
        <a:lstStyle/>
        <a:p>
          <a:r>
            <a:rPr lang="pl-PL">
              <a:latin typeface="Times New Roman" panose="02020603050405020304" pitchFamily="18" charset="0"/>
              <a:cs typeface="Times New Roman" panose="02020603050405020304" pitchFamily="18" charset="0"/>
            </a:rPr>
            <a:t>24 h od momentu wykrycia incydentu</a:t>
          </a:r>
        </a:p>
      </dgm:t>
    </dgm:pt>
    <dgm:pt modelId="{A86D3536-6EB6-49B6-AFF2-79D3A16E86AD}" type="parTrans" cxnId="{6CF55541-A946-4E98-9487-9FD9DD41B0B8}">
      <dgm:prSet/>
      <dgm:spPr/>
      <dgm:t>
        <a:bodyPr/>
        <a:lstStyle/>
        <a:p>
          <a:endParaRPr lang="pl-PL"/>
        </a:p>
      </dgm:t>
    </dgm:pt>
    <dgm:pt modelId="{A31ECEAB-3480-46DF-998D-9D5414B45B08}" type="sibTrans" cxnId="{6CF55541-A946-4E98-9487-9FD9DD41B0B8}">
      <dgm:prSet/>
      <dgm:spPr/>
      <dgm:t>
        <a:bodyPr/>
        <a:lstStyle/>
        <a:p>
          <a:endParaRPr lang="pl-PL"/>
        </a:p>
      </dgm:t>
    </dgm:pt>
    <dgm:pt modelId="{C99C71E6-E1D5-4B0A-9994-7E12FC41B3DB}">
      <dgm:prSet phldrT="[Tekst]"/>
      <dgm:spPr/>
      <dgm:t>
        <a:bodyPr/>
        <a:lstStyle/>
        <a:p>
          <a:r>
            <a:rPr lang="pl-PL">
              <a:latin typeface="Times New Roman" panose="02020603050405020304" pitchFamily="18" charset="0"/>
              <a:cs typeface="Times New Roman" panose="02020603050405020304" pitchFamily="18" charset="0"/>
            </a:rPr>
            <a:t>zgłoszenie incydentu</a:t>
          </a:r>
        </a:p>
      </dgm:t>
    </dgm:pt>
    <dgm:pt modelId="{37DE90F0-A7C6-43D8-875A-54ED004E0DAB}" type="parTrans" cxnId="{F8D16982-E8F6-4908-A990-FD2441411D80}">
      <dgm:prSet/>
      <dgm:spPr/>
      <dgm:t>
        <a:bodyPr/>
        <a:lstStyle/>
        <a:p>
          <a:endParaRPr lang="pl-PL"/>
        </a:p>
      </dgm:t>
    </dgm:pt>
    <dgm:pt modelId="{243E07BD-4BF7-46AF-BA22-547B0BAD1FF1}" type="sibTrans" cxnId="{F8D16982-E8F6-4908-A990-FD2441411D80}">
      <dgm:prSet/>
      <dgm:spPr/>
      <dgm:t>
        <a:bodyPr/>
        <a:lstStyle/>
        <a:p>
          <a:endParaRPr lang="pl-PL"/>
        </a:p>
      </dgm:t>
    </dgm:pt>
    <dgm:pt modelId="{1D05B49A-F5F9-4800-AFEC-090BF6A344B7}">
      <dgm:prSet phldrT="[Tekst]"/>
      <dgm:spPr/>
      <dgm:t>
        <a:bodyPr/>
        <a:lstStyle/>
        <a:p>
          <a:r>
            <a:rPr lang="pl-PL">
              <a:latin typeface="Times New Roman" panose="02020603050405020304" pitchFamily="18" charset="0"/>
              <a:cs typeface="Times New Roman" panose="02020603050405020304" pitchFamily="18" charset="0"/>
            </a:rPr>
            <a:t>72 od momentu wykrycia incydentu</a:t>
          </a:r>
        </a:p>
      </dgm:t>
    </dgm:pt>
    <dgm:pt modelId="{8680201B-A4AF-4E6D-8DCC-0BBC3841D45F}" type="parTrans" cxnId="{CAABA2CC-6B88-474D-9103-419754D09379}">
      <dgm:prSet/>
      <dgm:spPr/>
      <dgm:t>
        <a:bodyPr/>
        <a:lstStyle/>
        <a:p>
          <a:endParaRPr lang="pl-PL"/>
        </a:p>
      </dgm:t>
    </dgm:pt>
    <dgm:pt modelId="{187E95AE-CF6C-4810-BAD9-4719D1853FC4}" type="sibTrans" cxnId="{CAABA2CC-6B88-474D-9103-419754D09379}">
      <dgm:prSet/>
      <dgm:spPr/>
      <dgm:t>
        <a:bodyPr/>
        <a:lstStyle/>
        <a:p>
          <a:endParaRPr lang="pl-PL"/>
        </a:p>
      </dgm:t>
    </dgm:pt>
    <dgm:pt modelId="{810EFFC3-FB5E-4767-894B-815EB3877E9F}">
      <dgm:prSet phldrT="[Tekst]"/>
      <dgm:spPr/>
      <dgm:t>
        <a:bodyPr/>
        <a:lstStyle/>
        <a:p>
          <a:r>
            <a:rPr lang="pl-PL">
              <a:latin typeface="Times New Roman" panose="02020603050405020304" pitchFamily="18" charset="0"/>
              <a:cs typeface="Times New Roman" panose="02020603050405020304" pitchFamily="18" charset="0"/>
            </a:rPr>
            <a:t>sprawozdanie okresowe</a:t>
          </a:r>
        </a:p>
      </dgm:t>
    </dgm:pt>
    <dgm:pt modelId="{553B9991-CF34-4C5A-AEE1-1FB24AB90620}" type="parTrans" cxnId="{ECEA70C1-FB0B-42ED-AE62-6D5F2C4B45DC}">
      <dgm:prSet/>
      <dgm:spPr/>
      <dgm:t>
        <a:bodyPr/>
        <a:lstStyle/>
        <a:p>
          <a:endParaRPr lang="pl-PL"/>
        </a:p>
      </dgm:t>
    </dgm:pt>
    <dgm:pt modelId="{EDDBBCE3-870C-4862-B3A6-8D29D3C9FB64}" type="sibTrans" cxnId="{ECEA70C1-FB0B-42ED-AE62-6D5F2C4B45DC}">
      <dgm:prSet/>
      <dgm:spPr/>
      <dgm:t>
        <a:bodyPr/>
        <a:lstStyle/>
        <a:p>
          <a:endParaRPr lang="pl-PL"/>
        </a:p>
      </dgm:t>
    </dgm:pt>
    <dgm:pt modelId="{9EA241C0-23D0-4E41-9B90-4EBF0FF82780}">
      <dgm:prSet phldrT="[Tekst]"/>
      <dgm:spPr/>
      <dgm:t>
        <a:bodyPr/>
        <a:lstStyle/>
        <a:p>
          <a:r>
            <a:rPr lang="pl-PL">
              <a:latin typeface="Times New Roman" panose="02020603050405020304" pitchFamily="18" charset="0"/>
              <a:cs typeface="Times New Roman" panose="02020603050405020304" pitchFamily="18" charset="0"/>
            </a:rPr>
            <a:t>sprawozdanie końcowe</a:t>
          </a:r>
        </a:p>
      </dgm:t>
    </dgm:pt>
    <dgm:pt modelId="{85377643-A238-4A03-A7E7-2802F31243D5}" type="parTrans" cxnId="{286BB830-068E-4C33-BE02-A72AE2C560BD}">
      <dgm:prSet/>
      <dgm:spPr/>
      <dgm:t>
        <a:bodyPr/>
        <a:lstStyle/>
        <a:p>
          <a:endParaRPr lang="pl-PL"/>
        </a:p>
      </dgm:t>
    </dgm:pt>
    <dgm:pt modelId="{8C036621-1D92-41E8-B4FD-973749B6D3A9}" type="sibTrans" cxnId="{286BB830-068E-4C33-BE02-A72AE2C560BD}">
      <dgm:prSet/>
      <dgm:spPr/>
      <dgm:t>
        <a:bodyPr/>
        <a:lstStyle/>
        <a:p>
          <a:endParaRPr lang="pl-PL"/>
        </a:p>
      </dgm:t>
    </dgm:pt>
    <dgm:pt modelId="{D07883FC-F00D-4B55-BA66-31ABEA250C36}">
      <dgm:prSet phldrT="[Tekst]"/>
      <dgm:spPr/>
      <dgm:t>
        <a:bodyPr/>
        <a:lstStyle/>
        <a:p>
          <a:r>
            <a:rPr lang="pl-PL">
              <a:latin typeface="Times New Roman" panose="02020603050405020304" pitchFamily="18" charset="0"/>
              <a:cs typeface="Times New Roman" panose="02020603050405020304" pitchFamily="18" charset="0"/>
            </a:rPr>
            <a:t>miesiąc od dnia zgłoszenia incydentu poważnego</a:t>
          </a:r>
        </a:p>
      </dgm:t>
    </dgm:pt>
    <dgm:pt modelId="{682AE3BD-0ADF-4B80-93B6-CA2A8D397E68}" type="parTrans" cxnId="{F781A4AD-8AEB-47C4-8254-1E87E0FF11AA}">
      <dgm:prSet/>
      <dgm:spPr/>
      <dgm:t>
        <a:bodyPr/>
        <a:lstStyle/>
        <a:p>
          <a:endParaRPr lang="pl-PL"/>
        </a:p>
      </dgm:t>
    </dgm:pt>
    <dgm:pt modelId="{AF9C7A8D-8BFA-4B5E-AD95-2ED41B881FD8}" type="sibTrans" cxnId="{F781A4AD-8AEB-47C4-8254-1E87E0FF11AA}">
      <dgm:prSet/>
      <dgm:spPr/>
      <dgm:t>
        <a:bodyPr/>
        <a:lstStyle/>
        <a:p>
          <a:endParaRPr lang="pl-PL"/>
        </a:p>
      </dgm:t>
    </dgm:pt>
    <dgm:pt modelId="{623A3194-10A1-46F8-A51C-0403B28F399E}">
      <dgm:prSet phldrT="[Tekst]"/>
      <dgm:spPr/>
      <dgm:t>
        <a:bodyPr/>
        <a:lstStyle/>
        <a:p>
          <a:r>
            <a:rPr lang="pl-PL">
              <a:latin typeface="Times New Roman" panose="02020603050405020304" pitchFamily="18" charset="0"/>
              <a:cs typeface="Times New Roman" panose="02020603050405020304" pitchFamily="18" charset="0"/>
            </a:rPr>
            <a:t>na wniosek CSIRT sektorowego</a:t>
          </a:r>
        </a:p>
      </dgm:t>
    </dgm:pt>
    <dgm:pt modelId="{DDC312E6-AA3A-4E35-BBBC-AE5876489BF0}" type="parTrans" cxnId="{582A2156-6D9F-40A8-8F50-415D99C19BC3}">
      <dgm:prSet/>
      <dgm:spPr/>
      <dgm:t>
        <a:bodyPr/>
        <a:lstStyle/>
        <a:p>
          <a:endParaRPr lang="pl-PL"/>
        </a:p>
      </dgm:t>
    </dgm:pt>
    <dgm:pt modelId="{9E4E0EC2-A103-4E7C-BCD1-468119A76A4E}" type="sibTrans" cxnId="{582A2156-6D9F-40A8-8F50-415D99C19BC3}">
      <dgm:prSet/>
      <dgm:spPr/>
      <dgm:t>
        <a:bodyPr/>
        <a:lstStyle/>
        <a:p>
          <a:endParaRPr lang="pl-PL"/>
        </a:p>
      </dgm:t>
    </dgm:pt>
    <dgm:pt modelId="{BCAE584A-2C31-4B4A-8F61-662B94E00313}" type="pres">
      <dgm:prSet presAssocID="{1D576437-621C-477C-A5C9-A16B878ADC0C}" presName="outerComposite" presStyleCnt="0">
        <dgm:presLayoutVars>
          <dgm:chMax val="5"/>
          <dgm:dir/>
          <dgm:resizeHandles val="exact"/>
        </dgm:presLayoutVars>
      </dgm:prSet>
      <dgm:spPr/>
    </dgm:pt>
    <dgm:pt modelId="{CF26D59D-665D-4903-82C4-CC12F5B7C2D1}" type="pres">
      <dgm:prSet presAssocID="{1D576437-621C-477C-A5C9-A16B878ADC0C}" presName="dummyMaxCanvas" presStyleCnt="0">
        <dgm:presLayoutVars/>
      </dgm:prSet>
      <dgm:spPr/>
    </dgm:pt>
    <dgm:pt modelId="{D1DCED1B-0C4A-4258-AF03-AFCA3210F4E3}" type="pres">
      <dgm:prSet presAssocID="{1D576437-621C-477C-A5C9-A16B878ADC0C}" presName="FiveNodes_1" presStyleLbl="node1" presStyleIdx="0" presStyleCnt="5">
        <dgm:presLayoutVars>
          <dgm:bulletEnabled val="1"/>
        </dgm:presLayoutVars>
      </dgm:prSet>
      <dgm:spPr/>
    </dgm:pt>
    <dgm:pt modelId="{DD4EDC76-3D90-49A1-8794-98C141CDE6B3}" type="pres">
      <dgm:prSet presAssocID="{1D576437-621C-477C-A5C9-A16B878ADC0C}" presName="FiveNodes_2" presStyleLbl="node1" presStyleIdx="1" presStyleCnt="5">
        <dgm:presLayoutVars>
          <dgm:bulletEnabled val="1"/>
        </dgm:presLayoutVars>
      </dgm:prSet>
      <dgm:spPr/>
    </dgm:pt>
    <dgm:pt modelId="{894E401F-5139-460B-A4A3-AE8CE7CAF4DC}" type="pres">
      <dgm:prSet presAssocID="{1D576437-621C-477C-A5C9-A16B878ADC0C}" presName="FiveNodes_3" presStyleLbl="node1" presStyleIdx="2" presStyleCnt="5">
        <dgm:presLayoutVars>
          <dgm:bulletEnabled val="1"/>
        </dgm:presLayoutVars>
      </dgm:prSet>
      <dgm:spPr/>
    </dgm:pt>
    <dgm:pt modelId="{B16A3ACE-1613-4767-AEAD-A9DB1DE3B291}" type="pres">
      <dgm:prSet presAssocID="{1D576437-621C-477C-A5C9-A16B878ADC0C}" presName="FiveNodes_4" presStyleLbl="node1" presStyleIdx="3" presStyleCnt="5">
        <dgm:presLayoutVars>
          <dgm:bulletEnabled val="1"/>
        </dgm:presLayoutVars>
      </dgm:prSet>
      <dgm:spPr/>
    </dgm:pt>
    <dgm:pt modelId="{3D176C97-BA31-40DF-AE42-2A97FB36145E}" type="pres">
      <dgm:prSet presAssocID="{1D576437-621C-477C-A5C9-A16B878ADC0C}" presName="FiveNodes_5" presStyleLbl="node1" presStyleIdx="4" presStyleCnt="5">
        <dgm:presLayoutVars>
          <dgm:bulletEnabled val="1"/>
        </dgm:presLayoutVars>
      </dgm:prSet>
      <dgm:spPr/>
    </dgm:pt>
    <dgm:pt modelId="{28404AF9-BD11-422E-B2B2-18B697192AB9}" type="pres">
      <dgm:prSet presAssocID="{1D576437-621C-477C-A5C9-A16B878ADC0C}" presName="FiveConn_1-2" presStyleLbl="fgAccFollowNode1" presStyleIdx="0" presStyleCnt="4">
        <dgm:presLayoutVars>
          <dgm:bulletEnabled val="1"/>
        </dgm:presLayoutVars>
      </dgm:prSet>
      <dgm:spPr/>
    </dgm:pt>
    <dgm:pt modelId="{4A87827C-CA06-4506-9D67-2CC6E9997D6D}" type="pres">
      <dgm:prSet presAssocID="{1D576437-621C-477C-A5C9-A16B878ADC0C}" presName="FiveConn_2-3" presStyleLbl="fgAccFollowNode1" presStyleIdx="1" presStyleCnt="4">
        <dgm:presLayoutVars>
          <dgm:bulletEnabled val="1"/>
        </dgm:presLayoutVars>
      </dgm:prSet>
      <dgm:spPr/>
    </dgm:pt>
    <dgm:pt modelId="{805F626F-F1F2-4B88-A3E3-901E91FE6E98}" type="pres">
      <dgm:prSet presAssocID="{1D576437-621C-477C-A5C9-A16B878ADC0C}" presName="FiveConn_3-4" presStyleLbl="fgAccFollowNode1" presStyleIdx="2" presStyleCnt="4">
        <dgm:presLayoutVars>
          <dgm:bulletEnabled val="1"/>
        </dgm:presLayoutVars>
      </dgm:prSet>
      <dgm:spPr/>
    </dgm:pt>
    <dgm:pt modelId="{64F4C6CB-8879-48AF-9122-51227103A1B4}" type="pres">
      <dgm:prSet presAssocID="{1D576437-621C-477C-A5C9-A16B878ADC0C}" presName="FiveConn_4-5" presStyleLbl="fgAccFollowNode1" presStyleIdx="3" presStyleCnt="4">
        <dgm:presLayoutVars>
          <dgm:bulletEnabled val="1"/>
        </dgm:presLayoutVars>
      </dgm:prSet>
      <dgm:spPr/>
    </dgm:pt>
    <dgm:pt modelId="{09B3A547-BD1B-4558-8146-34B0D74A469E}" type="pres">
      <dgm:prSet presAssocID="{1D576437-621C-477C-A5C9-A16B878ADC0C}" presName="FiveNodes_1_text" presStyleLbl="node1" presStyleIdx="4" presStyleCnt="5">
        <dgm:presLayoutVars>
          <dgm:bulletEnabled val="1"/>
        </dgm:presLayoutVars>
      </dgm:prSet>
      <dgm:spPr/>
    </dgm:pt>
    <dgm:pt modelId="{05CF9191-DE72-4BD6-A8E8-5ACD2F561198}" type="pres">
      <dgm:prSet presAssocID="{1D576437-621C-477C-A5C9-A16B878ADC0C}" presName="FiveNodes_2_text" presStyleLbl="node1" presStyleIdx="4" presStyleCnt="5">
        <dgm:presLayoutVars>
          <dgm:bulletEnabled val="1"/>
        </dgm:presLayoutVars>
      </dgm:prSet>
      <dgm:spPr/>
    </dgm:pt>
    <dgm:pt modelId="{52B06168-FEAF-42EE-AC64-5787B9D5037F}" type="pres">
      <dgm:prSet presAssocID="{1D576437-621C-477C-A5C9-A16B878ADC0C}" presName="FiveNodes_3_text" presStyleLbl="node1" presStyleIdx="4" presStyleCnt="5">
        <dgm:presLayoutVars>
          <dgm:bulletEnabled val="1"/>
        </dgm:presLayoutVars>
      </dgm:prSet>
      <dgm:spPr/>
    </dgm:pt>
    <dgm:pt modelId="{F48757F5-30EB-4752-A387-78211A058B2D}" type="pres">
      <dgm:prSet presAssocID="{1D576437-621C-477C-A5C9-A16B878ADC0C}" presName="FiveNodes_4_text" presStyleLbl="node1" presStyleIdx="4" presStyleCnt="5">
        <dgm:presLayoutVars>
          <dgm:bulletEnabled val="1"/>
        </dgm:presLayoutVars>
      </dgm:prSet>
      <dgm:spPr/>
    </dgm:pt>
    <dgm:pt modelId="{FCFE68AC-9E06-43DC-843B-02980EC4ED43}" type="pres">
      <dgm:prSet presAssocID="{1D576437-621C-477C-A5C9-A16B878ADC0C}" presName="FiveNodes_5_text" presStyleLbl="node1" presStyleIdx="4" presStyleCnt="5">
        <dgm:presLayoutVars>
          <dgm:bulletEnabled val="1"/>
        </dgm:presLayoutVars>
      </dgm:prSet>
      <dgm:spPr/>
    </dgm:pt>
  </dgm:ptLst>
  <dgm:cxnLst>
    <dgm:cxn modelId="{2435E909-32D4-4AAF-AD72-6EE7F68CE83E}" type="presOf" srcId="{26BC4A29-AAEE-4299-8A25-61B2E414723F}" destId="{DD4EDC76-3D90-49A1-8794-98C141CDE6B3}" srcOrd="0" destOrd="1" presId="urn:microsoft.com/office/officeart/2005/8/layout/vProcess5"/>
    <dgm:cxn modelId="{C0946C0D-6CB1-4A27-8ACA-B9567E0811FD}" type="presOf" srcId="{26BC4A29-AAEE-4299-8A25-61B2E414723F}" destId="{05CF9191-DE72-4BD6-A8E8-5ACD2F561198}" srcOrd="1" destOrd="1" presId="urn:microsoft.com/office/officeart/2005/8/layout/vProcess5"/>
    <dgm:cxn modelId="{3FCE9E19-9572-4192-BE17-010C77EF2816}" type="presOf" srcId="{243E07BD-4BF7-46AF-BA22-547B0BAD1FF1}" destId="{805F626F-F1F2-4B88-A3E3-901E91FE6E98}" srcOrd="0" destOrd="0" presId="urn:microsoft.com/office/officeart/2005/8/layout/vProcess5"/>
    <dgm:cxn modelId="{89C90C2E-F97D-4EB8-BE09-7370609724AD}" srcId="{1D576437-621C-477C-A5C9-A16B878ADC0C}" destId="{D3D4FF2E-01B1-4AAF-A9E3-2979AE0157E6}" srcOrd="0" destOrd="0" parTransId="{623B1899-21DE-4EEA-8D93-F108DC2217E9}" sibTransId="{252AEEE7-C5D1-4811-AB0C-D69EA5D0055B}"/>
    <dgm:cxn modelId="{286BB830-068E-4C33-BE02-A72AE2C560BD}" srcId="{1D576437-621C-477C-A5C9-A16B878ADC0C}" destId="{9EA241C0-23D0-4E41-9B90-4EBF0FF82780}" srcOrd="4" destOrd="0" parTransId="{85377643-A238-4A03-A7E7-2802F31243D5}" sibTransId="{8C036621-1D92-41E8-B4FD-973749B6D3A9}"/>
    <dgm:cxn modelId="{6CF55541-A946-4E98-9487-9FD9DD41B0B8}" srcId="{4366FA0C-7918-4E06-B545-F770392236C6}" destId="{26BC4A29-AAEE-4299-8A25-61B2E414723F}" srcOrd="0" destOrd="0" parTransId="{A86D3536-6EB6-49B6-AFF2-79D3A16E86AD}" sibTransId="{A31ECEAB-3480-46DF-998D-9D5414B45B08}"/>
    <dgm:cxn modelId="{7E3D6163-05B6-43FD-A975-5216904036CE}" type="presOf" srcId="{252AEEE7-C5D1-4811-AB0C-D69EA5D0055B}" destId="{28404AF9-BD11-422E-B2B2-18B697192AB9}" srcOrd="0" destOrd="0" presId="urn:microsoft.com/office/officeart/2005/8/layout/vProcess5"/>
    <dgm:cxn modelId="{463A9664-EF40-4C39-B73A-0743616A5263}" type="presOf" srcId="{D07883FC-F00D-4B55-BA66-31ABEA250C36}" destId="{3D176C97-BA31-40DF-AE42-2A97FB36145E}" srcOrd="0" destOrd="1" presId="urn:microsoft.com/office/officeart/2005/8/layout/vProcess5"/>
    <dgm:cxn modelId="{7D09DE6C-4300-4BE3-85B3-402E8E24F025}" type="presOf" srcId="{810EFFC3-FB5E-4767-894B-815EB3877E9F}" destId="{B16A3ACE-1613-4767-AEAD-A9DB1DE3B291}" srcOrd="0" destOrd="0" presId="urn:microsoft.com/office/officeart/2005/8/layout/vProcess5"/>
    <dgm:cxn modelId="{05C98A6E-8D8C-40EC-9400-B1CE793202EC}" type="presOf" srcId="{810EFFC3-FB5E-4767-894B-815EB3877E9F}" destId="{F48757F5-30EB-4752-A387-78211A058B2D}" srcOrd="1" destOrd="0" presId="urn:microsoft.com/office/officeart/2005/8/layout/vProcess5"/>
    <dgm:cxn modelId="{582A2156-6D9F-40A8-8F50-415D99C19BC3}" srcId="{810EFFC3-FB5E-4767-894B-815EB3877E9F}" destId="{623A3194-10A1-46F8-A51C-0403B28F399E}" srcOrd="0" destOrd="0" parTransId="{DDC312E6-AA3A-4E35-BBBC-AE5876489BF0}" sibTransId="{9E4E0EC2-A103-4E7C-BCD1-468119A76A4E}"/>
    <dgm:cxn modelId="{E0DEC280-D414-4BB6-BF68-B4048920FCAA}" type="presOf" srcId="{131EF9A8-C063-4E9D-807D-7EB71CD5ADB4}" destId="{4A87827C-CA06-4506-9D67-2CC6E9997D6D}" srcOrd="0" destOrd="0" presId="urn:microsoft.com/office/officeart/2005/8/layout/vProcess5"/>
    <dgm:cxn modelId="{F8D16982-E8F6-4908-A990-FD2441411D80}" srcId="{1D576437-621C-477C-A5C9-A16B878ADC0C}" destId="{C99C71E6-E1D5-4B0A-9994-7E12FC41B3DB}" srcOrd="2" destOrd="0" parTransId="{37DE90F0-A7C6-43D8-875A-54ED004E0DAB}" sibTransId="{243E07BD-4BF7-46AF-BA22-547B0BAD1FF1}"/>
    <dgm:cxn modelId="{3DA22886-A5DC-4764-85E6-A3E4F622BDA4}" type="presOf" srcId="{1D576437-621C-477C-A5C9-A16B878ADC0C}" destId="{BCAE584A-2C31-4B4A-8F61-662B94E00313}" srcOrd="0" destOrd="0" presId="urn:microsoft.com/office/officeart/2005/8/layout/vProcess5"/>
    <dgm:cxn modelId="{45402191-CC68-46B4-9E51-C42284B1D86D}" type="presOf" srcId="{EDDBBCE3-870C-4862-B3A6-8D29D3C9FB64}" destId="{64F4C6CB-8879-48AF-9122-51227103A1B4}" srcOrd="0" destOrd="0" presId="urn:microsoft.com/office/officeart/2005/8/layout/vProcess5"/>
    <dgm:cxn modelId="{44C1FCA2-B665-44DA-AA18-92D0A1D7A28F}" type="presOf" srcId="{623A3194-10A1-46F8-A51C-0403B28F399E}" destId="{F48757F5-30EB-4752-A387-78211A058B2D}" srcOrd="1" destOrd="1" presId="urn:microsoft.com/office/officeart/2005/8/layout/vProcess5"/>
    <dgm:cxn modelId="{F781A4AD-8AEB-47C4-8254-1E87E0FF11AA}" srcId="{9EA241C0-23D0-4E41-9B90-4EBF0FF82780}" destId="{D07883FC-F00D-4B55-BA66-31ABEA250C36}" srcOrd="0" destOrd="0" parTransId="{682AE3BD-0ADF-4B80-93B6-CA2A8D397E68}" sibTransId="{AF9C7A8D-8BFA-4B5E-AD95-2ED41B881FD8}"/>
    <dgm:cxn modelId="{B43BCBB9-CE6B-43C3-AC8D-A1AFEF2A9AEA}" type="presOf" srcId="{9EA241C0-23D0-4E41-9B90-4EBF0FF82780}" destId="{FCFE68AC-9E06-43DC-843B-02980EC4ED43}" srcOrd="1" destOrd="0" presId="urn:microsoft.com/office/officeart/2005/8/layout/vProcess5"/>
    <dgm:cxn modelId="{ECEA70C1-FB0B-42ED-AE62-6D5F2C4B45DC}" srcId="{1D576437-621C-477C-A5C9-A16B878ADC0C}" destId="{810EFFC3-FB5E-4767-894B-815EB3877E9F}" srcOrd="3" destOrd="0" parTransId="{553B9991-CF34-4C5A-AEE1-1FB24AB90620}" sibTransId="{EDDBBCE3-870C-4862-B3A6-8D29D3C9FB64}"/>
    <dgm:cxn modelId="{D498CCC4-5B3B-4F24-89A2-18AC2C92645B}" type="presOf" srcId="{C99C71E6-E1D5-4B0A-9994-7E12FC41B3DB}" destId="{52B06168-FEAF-42EE-AC64-5787B9D5037F}" srcOrd="1" destOrd="0" presId="urn:microsoft.com/office/officeart/2005/8/layout/vProcess5"/>
    <dgm:cxn modelId="{32BB10C7-8FBF-48D1-8C9D-17BCFE6E6DF2}" type="presOf" srcId="{623A3194-10A1-46F8-A51C-0403B28F399E}" destId="{B16A3ACE-1613-4767-AEAD-A9DB1DE3B291}" srcOrd="0" destOrd="1" presId="urn:microsoft.com/office/officeart/2005/8/layout/vProcess5"/>
    <dgm:cxn modelId="{CAABA2CC-6B88-474D-9103-419754D09379}" srcId="{C99C71E6-E1D5-4B0A-9994-7E12FC41B3DB}" destId="{1D05B49A-F5F9-4800-AFEC-090BF6A344B7}" srcOrd="0" destOrd="0" parTransId="{8680201B-A4AF-4E6D-8DCC-0BBC3841D45F}" sibTransId="{187E95AE-CF6C-4810-BAD9-4719D1853FC4}"/>
    <dgm:cxn modelId="{66EA81D0-C388-4A3E-BA12-C09857B7502D}" srcId="{1D576437-621C-477C-A5C9-A16B878ADC0C}" destId="{4366FA0C-7918-4E06-B545-F770392236C6}" srcOrd="1" destOrd="0" parTransId="{5550AEE7-06D6-4AE2-9674-26099429E6FD}" sibTransId="{131EF9A8-C063-4E9D-807D-7EB71CD5ADB4}"/>
    <dgm:cxn modelId="{C3D677D7-DBFF-4DCA-A7A6-8D3A40C3851F}" type="presOf" srcId="{D3D4FF2E-01B1-4AAF-A9E3-2979AE0157E6}" destId="{D1DCED1B-0C4A-4258-AF03-AFCA3210F4E3}" srcOrd="0" destOrd="0" presId="urn:microsoft.com/office/officeart/2005/8/layout/vProcess5"/>
    <dgm:cxn modelId="{5A0DE7DD-11A3-41C2-AF77-B10D3784785C}" type="presOf" srcId="{4366FA0C-7918-4E06-B545-F770392236C6}" destId="{DD4EDC76-3D90-49A1-8794-98C141CDE6B3}" srcOrd="0" destOrd="0" presId="urn:microsoft.com/office/officeart/2005/8/layout/vProcess5"/>
    <dgm:cxn modelId="{15780FE1-F493-4940-898A-E5C7A685485B}" type="presOf" srcId="{9EA241C0-23D0-4E41-9B90-4EBF0FF82780}" destId="{3D176C97-BA31-40DF-AE42-2A97FB36145E}" srcOrd="0" destOrd="0" presId="urn:microsoft.com/office/officeart/2005/8/layout/vProcess5"/>
    <dgm:cxn modelId="{8629A3E3-CF0F-4134-9C78-36B5CCB9C3BD}" type="presOf" srcId="{4366FA0C-7918-4E06-B545-F770392236C6}" destId="{05CF9191-DE72-4BD6-A8E8-5ACD2F561198}" srcOrd="1" destOrd="0" presId="urn:microsoft.com/office/officeart/2005/8/layout/vProcess5"/>
    <dgm:cxn modelId="{5A3BC7E9-C2A2-4F8F-BB45-214F52DF3065}" type="presOf" srcId="{C99C71E6-E1D5-4B0A-9994-7E12FC41B3DB}" destId="{894E401F-5139-460B-A4A3-AE8CE7CAF4DC}" srcOrd="0" destOrd="0" presId="urn:microsoft.com/office/officeart/2005/8/layout/vProcess5"/>
    <dgm:cxn modelId="{23CC7AEE-522A-4C2E-AC41-4B0A9597BED9}" type="presOf" srcId="{1D05B49A-F5F9-4800-AFEC-090BF6A344B7}" destId="{52B06168-FEAF-42EE-AC64-5787B9D5037F}" srcOrd="1" destOrd="1" presId="urn:microsoft.com/office/officeart/2005/8/layout/vProcess5"/>
    <dgm:cxn modelId="{E28CD3F8-7B86-45D2-B61C-56766CDD0100}" type="presOf" srcId="{D3D4FF2E-01B1-4AAF-A9E3-2979AE0157E6}" destId="{09B3A547-BD1B-4558-8146-34B0D74A469E}" srcOrd="1" destOrd="0" presId="urn:microsoft.com/office/officeart/2005/8/layout/vProcess5"/>
    <dgm:cxn modelId="{CA6FDAFB-6C11-4815-A7FC-5B215FE3A3E5}" type="presOf" srcId="{D07883FC-F00D-4B55-BA66-31ABEA250C36}" destId="{FCFE68AC-9E06-43DC-843B-02980EC4ED43}" srcOrd="1" destOrd="1" presId="urn:microsoft.com/office/officeart/2005/8/layout/vProcess5"/>
    <dgm:cxn modelId="{FD27F4FB-71C3-4F1C-8500-3EE43FC6D598}" type="presOf" srcId="{1D05B49A-F5F9-4800-AFEC-090BF6A344B7}" destId="{894E401F-5139-460B-A4A3-AE8CE7CAF4DC}" srcOrd="0" destOrd="1" presId="urn:microsoft.com/office/officeart/2005/8/layout/vProcess5"/>
    <dgm:cxn modelId="{4C5B7AD5-6AE0-4A1E-992A-1AC7F942C579}" type="presParOf" srcId="{BCAE584A-2C31-4B4A-8F61-662B94E00313}" destId="{CF26D59D-665D-4903-82C4-CC12F5B7C2D1}" srcOrd="0" destOrd="0" presId="urn:microsoft.com/office/officeart/2005/8/layout/vProcess5"/>
    <dgm:cxn modelId="{8C02EF32-2FF7-4535-9FCA-0E8978FEF648}" type="presParOf" srcId="{BCAE584A-2C31-4B4A-8F61-662B94E00313}" destId="{D1DCED1B-0C4A-4258-AF03-AFCA3210F4E3}" srcOrd="1" destOrd="0" presId="urn:microsoft.com/office/officeart/2005/8/layout/vProcess5"/>
    <dgm:cxn modelId="{DE8112F1-60FE-4723-9258-817832780DC5}" type="presParOf" srcId="{BCAE584A-2C31-4B4A-8F61-662B94E00313}" destId="{DD4EDC76-3D90-49A1-8794-98C141CDE6B3}" srcOrd="2" destOrd="0" presId="urn:microsoft.com/office/officeart/2005/8/layout/vProcess5"/>
    <dgm:cxn modelId="{8A19FB7B-66E3-4007-9338-5EAD2909D87F}" type="presParOf" srcId="{BCAE584A-2C31-4B4A-8F61-662B94E00313}" destId="{894E401F-5139-460B-A4A3-AE8CE7CAF4DC}" srcOrd="3" destOrd="0" presId="urn:microsoft.com/office/officeart/2005/8/layout/vProcess5"/>
    <dgm:cxn modelId="{8E2FD9B9-D10B-40F4-974C-D64212852AAB}" type="presParOf" srcId="{BCAE584A-2C31-4B4A-8F61-662B94E00313}" destId="{B16A3ACE-1613-4767-AEAD-A9DB1DE3B291}" srcOrd="4" destOrd="0" presId="urn:microsoft.com/office/officeart/2005/8/layout/vProcess5"/>
    <dgm:cxn modelId="{205BD7C3-D775-4B28-B764-9769F4B21F4B}" type="presParOf" srcId="{BCAE584A-2C31-4B4A-8F61-662B94E00313}" destId="{3D176C97-BA31-40DF-AE42-2A97FB36145E}" srcOrd="5" destOrd="0" presId="urn:microsoft.com/office/officeart/2005/8/layout/vProcess5"/>
    <dgm:cxn modelId="{73144052-C951-4A17-93FF-BDFA749509F4}" type="presParOf" srcId="{BCAE584A-2C31-4B4A-8F61-662B94E00313}" destId="{28404AF9-BD11-422E-B2B2-18B697192AB9}" srcOrd="6" destOrd="0" presId="urn:microsoft.com/office/officeart/2005/8/layout/vProcess5"/>
    <dgm:cxn modelId="{068B6138-F15E-467F-ABC2-924D1C77E5C5}" type="presParOf" srcId="{BCAE584A-2C31-4B4A-8F61-662B94E00313}" destId="{4A87827C-CA06-4506-9D67-2CC6E9997D6D}" srcOrd="7" destOrd="0" presId="urn:microsoft.com/office/officeart/2005/8/layout/vProcess5"/>
    <dgm:cxn modelId="{D4D4F610-6E4D-4650-BEA7-09D7545D83B2}" type="presParOf" srcId="{BCAE584A-2C31-4B4A-8F61-662B94E00313}" destId="{805F626F-F1F2-4B88-A3E3-901E91FE6E98}" srcOrd="8" destOrd="0" presId="urn:microsoft.com/office/officeart/2005/8/layout/vProcess5"/>
    <dgm:cxn modelId="{27B2CEF6-5B6E-4DB1-8D70-4DEAB2C4ABE1}" type="presParOf" srcId="{BCAE584A-2C31-4B4A-8F61-662B94E00313}" destId="{64F4C6CB-8879-48AF-9122-51227103A1B4}" srcOrd="9" destOrd="0" presId="urn:microsoft.com/office/officeart/2005/8/layout/vProcess5"/>
    <dgm:cxn modelId="{FD2FB38B-FB89-47CB-B6FF-4FEB085EA9A4}" type="presParOf" srcId="{BCAE584A-2C31-4B4A-8F61-662B94E00313}" destId="{09B3A547-BD1B-4558-8146-34B0D74A469E}" srcOrd="10" destOrd="0" presId="urn:microsoft.com/office/officeart/2005/8/layout/vProcess5"/>
    <dgm:cxn modelId="{7FE8F5CE-5A9C-42E8-AFD9-4B698184980F}" type="presParOf" srcId="{BCAE584A-2C31-4B4A-8F61-662B94E00313}" destId="{05CF9191-DE72-4BD6-A8E8-5ACD2F561198}" srcOrd="11" destOrd="0" presId="urn:microsoft.com/office/officeart/2005/8/layout/vProcess5"/>
    <dgm:cxn modelId="{5DCA3AB5-F8E0-4239-860A-09F0290575FC}" type="presParOf" srcId="{BCAE584A-2C31-4B4A-8F61-662B94E00313}" destId="{52B06168-FEAF-42EE-AC64-5787B9D5037F}" srcOrd="12" destOrd="0" presId="urn:microsoft.com/office/officeart/2005/8/layout/vProcess5"/>
    <dgm:cxn modelId="{B489D3FB-C801-4B02-9899-17E155165E65}" type="presParOf" srcId="{BCAE584A-2C31-4B4A-8F61-662B94E00313}" destId="{F48757F5-30EB-4752-A387-78211A058B2D}" srcOrd="13" destOrd="0" presId="urn:microsoft.com/office/officeart/2005/8/layout/vProcess5"/>
    <dgm:cxn modelId="{3F649B03-EBA0-4E6F-8AF5-E682D626D389}" type="presParOf" srcId="{BCAE584A-2C31-4B4A-8F61-662B94E00313}" destId="{FCFE68AC-9E06-43DC-843B-02980EC4ED43}" srcOrd="14" destOrd="0" presId="urn:microsoft.com/office/officeart/2005/8/layout/vProcess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63DA50-1220-41B4-9190-C89AFC1891A6}">
      <dsp:nvSpPr>
        <dsp:cNvPr id="0" name=""/>
        <dsp:cNvSpPr/>
      </dsp:nvSpPr>
      <dsp:spPr>
        <a:xfrm>
          <a:off x="1142926" y="-17254"/>
          <a:ext cx="3200546" cy="3200546"/>
        </a:xfrm>
        <a:prstGeom prst="circularArrow">
          <a:avLst>
            <a:gd name="adj1" fmla="val 5544"/>
            <a:gd name="adj2" fmla="val 330680"/>
            <a:gd name="adj3" fmla="val 13835513"/>
            <a:gd name="adj4" fmla="val 1734980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26BE10C-B6F4-4FE7-85C8-001496DF4D74}">
      <dsp:nvSpPr>
        <dsp:cNvPr id="0" name=""/>
        <dsp:cNvSpPr/>
      </dsp:nvSpPr>
      <dsp:spPr>
        <a:xfrm>
          <a:off x="2013198" y="69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systematyczne szacowanie ryzyka wystąpienia incydentu i zarządzanie tym ryzykiem</a:t>
          </a:r>
        </a:p>
      </dsp:txBody>
      <dsp:txXfrm>
        <a:off x="2048834" y="36327"/>
        <a:ext cx="1388731" cy="658729"/>
      </dsp:txXfrm>
    </dsp:sp>
    <dsp:sp modelId="{9716B1BA-EC15-4F6F-A1EF-04D1B1A21CF1}">
      <dsp:nvSpPr>
        <dsp:cNvPr id="0" name=""/>
        <dsp:cNvSpPr/>
      </dsp:nvSpPr>
      <dsp:spPr>
        <a:xfrm>
          <a:off x="3311236" y="94377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wdrożenie proporcjonalnych do oszacowanego ryzyka środków technicznych i organizacyjnych</a:t>
          </a:r>
        </a:p>
      </dsp:txBody>
      <dsp:txXfrm>
        <a:off x="3346872" y="979407"/>
        <a:ext cx="1388731" cy="658729"/>
      </dsp:txXfrm>
    </dsp:sp>
    <dsp:sp modelId="{537A01BE-3D0A-4DC1-881B-6F23241B3DDA}">
      <dsp:nvSpPr>
        <dsp:cNvPr id="0" name=""/>
        <dsp:cNvSpPr/>
      </dsp:nvSpPr>
      <dsp:spPr>
        <a:xfrm>
          <a:off x="2815429" y="2469707"/>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zbieranie informacji o cyberzagrożeniach i podtnościach</a:t>
          </a:r>
        </a:p>
      </dsp:txBody>
      <dsp:txXfrm>
        <a:off x="2851065" y="2505343"/>
        <a:ext cx="1388731" cy="658729"/>
      </dsp:txXfrm>
    </dsp:sp>
    <dsp:sp modelId="{F8C49F1F-B140-4C72-A625-2D6320722D73}">
      <dsp:nvSpPr>
        <dsp:cNvPr id="0" name=""/>
        <dsp:cNvSpPr/>
      </dsp:nvSpPr>
      <dsp:spPr>
        <a:xfrm>
          <a:off x="1210966" y="2469707"/>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zarządzanie incydentami</a:t>
          </a:r>
        </a:p>
      </dsp:txBody>
      <dsp:txXfrm>
        <a:off x="1246602" y="2505343"/>
        <a:ext cx="1388731" cy="658729"/>
      </dsp:txXfrm>
    </dsp:sp>
    <dsp:sp modelId="{5198AA3A-2A23-4A30-9A3C-3F2E2EEC16E2}">
      <dsp:nvSpPr>
        <dsp:cNvPr id="0" name=""/>
        <dsp:cNvSpPr/>
      </dsp:nvSpPr>
      <dsp:spPr>
        <a:xfrm>
          <a:off x="715159" y="94377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stosowanie środków zapobiegających i ograniczających wpływ incydentów na bezpieczeństwo systemu informacyjnego wykorzystywanego do świadczenia usługi</a:t>
          </a:r>
        </a:p>
      </dsp:txBody>
      <dsp:txXfrm>
        <a:off x="750795" y="979407"/>
        <a:ext cx="1388731" cy="6587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C5E1C-B63C-48A1-88B8-C4BCB86F71B9}">
      <dsp:nvSpPr>
        <dsp:cNvPr id="0" name=""/>
        <dsp:cNvSpPr/>
      </dsp:nvSpPr>
      <dsp:spPr>
        <a:xfrm>
          <a:off x="2743200" y="1339659"/>
          <a:ext cx="1501208" cy="521080"/>
        </a:xfrm>
        <a:custGeom>
          <a:avLst/>
          <a:gdLst/>
          <a:ahLst/>
          <a:cxnLst/>
          <a:rect l="0" t="0" r="0" b="0"/>
          <a:pathLst>
            <a:path>
              <a:moveTo>
                <a:pt x="0" y="0"/>
              </a:moveTo>
              <a:lnTo>
                <a:pt x="0" y="260540"/>
              </a:lnTo>
              <a:lnTo>
                <a:pt x="1501208" y="260540"/>
              </a:lnTo>
              <a:lnTo>
                <a:pt x="1501208" y="5210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52874E-49B4-42C7-A8F7-68D384EFB7B0}">
      <dsp:nvSpPr>
        <dsp:cNvPr id="0" name=""/>
        <dsp:cNvSpPr/>
      </dsp:nvSpPr>
      <dsp:spPr>
        <a:xfrm>
          <a:off x="1241991" y="1339659"/>
          <a:ext cx="1501208" cy="521080"/>
        </a:xfrm>
        <a:custGeom>
          <a:avLst/>
          <a:gdLst/>
          <a:ahLst/>
          <a:cxnLst/>
          <a:rect l="0" t="0" r="0" b="0"/>
          <a:pathLst>
            <a:path>
              <a:moveTo>
                <a:pt x="1501208" y="0"/>
              </a:moveTo>
              <a:lnTo>
                <a:pt x="1501208" y="260540"/>
              </a:lnTo>
              <a:lnTo>
                <a:pt x="0" y="260540"/>
              </a:lnTo>
              <a:lnTo>
                <a:pt x="0" y="5210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7608D8-CFC5-47EE-ABD0-051EBA74FCA5}">
      <dsp:nvSpPr>
        <dsp:cNvPr id="0" name=""/>
        <dsp:cNvSpPr/>
      </dsp:nvSpPr>
      <dsp:spPr>
        <a:xfrm>
          <a:off x="1502531" y="98991"/>
          <a:ext cx="2481336" cy="12406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pl-PL" sz="1900" kern="1200">
              <a:latin typeface="Times New Roman" panose="02020603050405020304" pitchFamily="18" charset="0"/>
              <a:cs typeface="Times New Roman" panose="02020603050405020304" pitchFamily="18" charset="0"/>
            </a:rPr>
            <a:t>Wymiana informacji jest dopuszczalna jeśli</a:t>
          </a:r>
        </a:p>
      </dsp:txBody>
      <dsp:txXfrm>
        <a:off x="1502531" y="98991"/>
        <a:ext cx="2481336" cy="1240668"/>
      </dsp:txXfrm>
    </dsp:sp>
    <dsp:sp modelId="{71D6C3F9-2699-4A30-B164-EA4C28E07CA1}">
      <dsp:nvSpPr>
        <dsp:cNvPr id="0" name=""/>
        <dsp:cNvSpPr/>
      </dsp:nvSpPr>
      <dsp:spPr>
        <a:xfrm>
          <a:off x="1322" y="1860740"/>
          <a:ext cx="2481336" cy="12406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pl-PL" sz="1900" kern="1200">
              <a:latin typeface="Times New Roman" panose="02020603050405020304" pitchFamily="18" charset="0"/>
              <a:cs typeface="Times New Roman" panose="02020603050405020304" pitchFamily="18" charset="0"/>
            </a:rPr>
            <a:t>jej celem jest zapobieganie, wykrywanie, reagowanie na incydenty</a:t>
          </a:r>
        </a:p>
      </dsp:txBody>
      <dsp:txXfrm>
        <a:off x="1322" y="1860740"/>
        <a:ext cx="2481336" cy="1240668"/>
      </dsp:txXfrm>
    </dsp:sp>
    <dsp:sp modelId="{2FB5E9E1-B0EB-483F-BE0C-F0663AFDA6F9}">
      <dsp:nvSpPr>
        <dsp:cNvPr id="0" name=""/>
        <dsp:cNvSpPr/>
      </dsp:nvSpPr>
      <dsp:spPr>
        <a:xfrm>
          <a:off x="3003740" y="1860740"/>
          <a:ext cx="2481336" cy="12406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pl-PL" sz="1900" kern="1200">
              <a:latin typeface="Times New Roman" panose="02020603050405020304" pitchFamily="18" charset="0"/>
              <a:cs typeface="Times New Roman" panose="02020603050405020304" pitchFamily="18" charset="0"/>
            </a:rPr>
            <a:t>zwiększa poziom cyberbezpieczeństwa</a:t>
          </a:r>
        </a:p>
      </dsp:txBody>
      <dsp:txXfrm>
        <a:off x="3003740" y="1860740"/>
        <a:ext cx="2481336" cy="12406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30F51F-61F0-435C-AED4-8224CA303862}">
      <dsp:nvSpPr>
        <dsp:cNvPr id="0" name=""/>
        <dsp:cNvSpPr/>
      </dsp:nvSpPr>
      <dsp:spPr>
        <a:xfrm>
          <a:off x="0" y="206999"/>
          <a:ext cx="5486400" cy="1738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49936" rIns="425806" bIns="85344" numCol="1" spcCol="1270" anchor="t" anchorCtr="0">
          <a:noAutofit/>
        </a:bodyPr>
        <a:lstStyle/>
        <a:p>
          <a:pPr marL="114300" lvl="1" indent="-114300" algn="just" defTabSz="533400">
            <a:lnSpc>
              <a:spcPct val="90000"/>
            </a:lnSpc>
            <a:spcBef>
              <a:spcPct val="0"/>
            </a:spcBef>
            <a:spcAft>
              <a:spcPct val="15000"/>
            </a:spcAft>
            <a:buChar char="•"/>
          </a:pPr>
          <a:r>
            <a:rPr lang="pl-PL" sz="1200" kern="1200"/>
            <a:t>d</a:t>
          </a:r>
          <a:r>
            <a:rPr lang="pl-PL" sz="1200" kern="1200">
              <a:latin typeface="Times New Roman" panose="02020603050405020304" pitchFamily="18" charset="0"/>
              <a:cs typeface="Times New Roman" panose="02020603050405020304" pitchFamily="18" charset="0"/>
            </a:rPr>
            <a:t>okumentacja systemu zarządzania bezpieczeństwem informacji</a:t>
          </a:r>
        </a:p>
        <a:p>
          <a:pPr marL="114300" lvl="1" indent="-114300" algn="just" defTabSz="533400">
            <a:lnSpc>
              <a:spcPct val="90000"/>
            </a:lnSpc>
            <a:spcBef>
              <a:spcPct val="0"/>
            </a:spcBef>
            <a:spcAft>
              <a:spcPct val="15000"/>
            </a:spcAft>
            <a:buChar char="•"/>
          </a:pPr>
          <a:r>
            <a:rPr lang="pl-PL" sz="1200" kern="1200">
              <a:latin typeface="Times New Roman" panose="02020603050405020304" pitchFamily="18" charset="0"/>
              <a:cs typeface="Times New Roman" panose="02020603050405020304" pitchFamily="18" charset="0"/>
            </a:rPr>
            <a:t>dokumentacja ochrony infrastruktury, z wykorzystaniem której świadczona jest usługa</a:t>
          </a:r>
        </a:p>
        <a:p>
          <a:pPr marL="114300" lvl="1" indent="-114300" algn="just" defTabSz="533400">
            <a:lnSpc>
              <a:spcPct val="90000"/>
            </a:lnSpc>
            <a:spcBef>
              <a:spcPct val="0"/>
            </a:spcBef>
            <a:spcAft>
              <a:spcPct val="15000"/>
            </a:spcAft>
            <a:buChar char="•"/>
          </a:pPr>
          <a:r>
            <a:rPr lang="pl-PL" sz="1200" kern="1200">
              <a:latin typeface="Times New Roman" panose="02020603050405020304" pitchFamily="18" charset="0"/>
              <a:cs typeface="Times New Roman" panose="02020603050405020304" pitchFamily="18" charset="0"/>
            </a:rPr>
            <a:t>dokumentacja systemu zarządzania ciągłością działania</a:t>
          </a:r>
        </a:p>
        <a:p>
          <a:pPr marL="114300" lvl="1" indent="-114300" algn="just" defTabSz="533400">
            <a:lnSpc>
              <a:spcPct val="90000"/>
            </a:lnSpc>
            <a:spcBef>
              <a:spcPct val="0"/>
            </a:spcBef>
            <a:spcAft>
              <a:spcPct val="15000"/>
            </a:spcAft>
            <a:buChar char="•"/>
          </a:pPr>
          <a:r>
            <a:rPr lang="pl-PL" sz="1200" kern="1200">
              <a:latin typeface="Times New Roman" panose="02020603050405020304" pitchFamily="18" charset="0"/>
              <a:cs typeface="Times New Roman" panose="02020603050405020304" pitchFamily="18" charset="0"/>
            </a:rPr>
            <a:t>dokumentacja techniczna systemu informacyjnego wykorzystywanego wprocesie świadczenia usługi</a:t>
          </a:r>
        </a:p>
        <a:p>
          <a:pPr marL="114300" lvl="1" indent="-114300" algn="just" defTabSz="533400">
            <a:lnSpc>
              <a:spcPct val="90000"/>
            </a:lnSpc>
            <a:spcBef>
              <a:spcPct val="0"/>
            </a:spcBef>
            <a:spcAft>
              <a:spcPct val="15000"/>
            </a:spcAft>
            <a:buChar char="•"/>
          </a:pPr>
          <a:r>
            <a:rPr lang="pl-PL" sz="1200" kern="1200">
              <a:latin typeface="Times New Roman" panose="02020603050405020304" pitchFamily="18" charset="0"/>
              <a:cs typeface="Times New Roman" panose="02020603050405020304" pitchFamily="18" charset="0"/>
            </a:rPr>
            <a:t>dokumentacja wynikająca ze specyfiki świadczonej usługi w danym sektorze lub podsektorze</a:t>
          </a:r>
        </a:p>
      </dsp:txBody>
      <dsp:txXfrm>
        <a:off x="0" y="206999"/>
        <a:ext cx="5486400" cy="1738800"/>
      </dsp:txXfrm>
    </dsp:sp>
    <dsp:sp modelId="{D8328F5E-947C-4106-88A8-B554D031CE5C}">
      <dsp:nvSpPr>
        <dsp:cNvPr id="0" name=""/>
        <dsp:cNvSpPr/>
      </dsp:nvSpPr>
      <dsp:spPr>
        <a:xfrm>
          <a:off x="274320" y="29879"/>
          <a:ext cx="384048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pl-PL" sz="1200" kern="1200">
              <a:latin typeface="Times New Roman" panose="02020603050405020304" pitchFamily="18" charset="0"/>
              <a:cs typeface="Times New Roman" panose="02020603050405020304" pitchFamily="18" charset="0"/>
            </a:rPr>
            <a:t>dokumentacja normatywna</a:t>
          </a:r>
        </a:p>
      </dsp:txBody>
      <dsp:txXfrm>
        <a:off x="291613" y="47172"/>
        <a:ext cx="3805894" cy="319654"/>
      </dsp:txXfrm>
    </dsp:sp>
    <dsp:sp modelId="{53C53E4F-FA09-4CBD-ABA2-997A70DFA0A1}">
      <dsp:nvSpPr>
        <dsp:cNvPr id="0" name=""/>
        <dsp:cNvSpPr/>
      </dsp:nvSpPr>
      <dsp:spPr>
        <a:xfrm>
          <a:off x="0" y="2187720"/>
          <a:ext cx="5486400" cy="98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49936" rIns="425806" bIns="85344" numCol="1" spcCol="1270" anchor="t" anchorCtr="0">
          <a:noAutofit/>
        </a:bodyPr>
        <a:lstStyle/>
        <a:p>
          <a:pPr marL="114300" lvl="1" indent="-114300" algn="just" defTabSz="533400">
            <a:lnSpc>
              <a:spcPct val="90000"/>
            </a:lnSpc>
            <a:spcBef>
              <a:spcPct val="0"/>
            </a:spcBef>
            <a:spcAft>
              <a:spcPct val="15000"/>
            </a:spcAft>
            <a:buChar char="•"/>
          </a:pPr>
          <a:r>
            <a:rPr lang="pl-PL" sz="1200" kern="1200">
              <a:latin typeface="Times New Roman" panose="02020603050405020304" pitchFamily="18" charset="0"/>
              <a:cs typeface="Times New Roman" panose="02020603050405020304" pitchFamily="18" charset="0"/>
            </a:rPr>
            <a:t>zapisy poświadczające wykonywanie czynności wymaganych przez postanowienia zawarte w dokumentacji normatywnej, w tym automatycznie generowane zapisy w dziennikach systemów informacyjnych (logi)</a:t>
          </a:r>
        </a:p>
      </dsp:txBody>
      <dsp:txXfrm>
        <a:off x="0" y="2187720"/>
        <a:ext cx="5486400" cy="982800"/>
      </dsp:txXfrm>
    </dsp:sp>
    <dsp:sp modelId="{89C32B14-009C-4A73-9133-B23911A57316}">
      <dsp:nvSpPr>
        <dsp:cNvPr id="0" name=""/>
        <dsp:cNvSpPr/>
      </dsp:nvSpPr>
      <dsp:spPr>
        <a:xfrm>
          <a:off x="274320" y="2010600"/>
          <a:ext cx="384048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pl-PL" sz="1200" kern="1200">
              <a:latin typeface="Times New Roman" panose="02020603050405020304" pitchFamily="18" charset="0"/>
              <a:cs typeface="Times New Roman" panose="02020603050405020304" pitchFamily="18" charset="0"/>
            </a:rPr>
            <a:t>dokumentacja operacyjna</a:t>
          </a:r>
        </a:p>
      </dsp:txBody>
      <dsp:txXfrm>
        <a:off x="291613" y="2027893"/>
        <a:ext cx="3805894" cy="3196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D6BCD7-6FCB-4E93-9C9F-AB5A03158D85}">
      <dsp:nvSpPr>
        <dsp:cNvPr id="0" name=""/>
        <dsp:cNvSpPr/>
      </dsp:nvSpPr>
      <dsp:spPr>
        <a:xfrm>
          <a:off x="0" y="0"/>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A4D520-AE09-4C10-B902-2075E1162B1C}">
      <dsp:nvSpPr>
        <dsp:cNvPr id="0" name=""/>
        <dsp:cNvSpPr/>
      </dsp:nvSpPr>
      <dsp:spPr>
        <a:xfrm>
          <a:off x="0" y="0"/>
          <a:ext cx="1097280" cy="3200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pl-PL" sz="1300" kern="1200">
              <a:latin typeface="Times New Roman" panose="02020603050405020304" pitchFamily="18" charset="0"/>
              <a:cs typeface="Times New Roman" panose="02020603050405020304" pitchFamily="18" charset="0"/>
            </a:rPr>
            <a:t>Dokumentacja ochrony infrastruktury obejmuje:</a:t>
          </a:r>
        </a:p>
      </dsp:txBody>
      <dsp:txXfrm>
        <a:off x="0" y="0"/>
        <a:ext cx="1097280" cy="3200400"/>
      </dsp:txXfrm>
    </dsp:sp>
    <dsp:sp modelId="{FB33826F-88D3-482D-8DD2-C5ABF07921AE}">
      <dsp:nvSpPr>
        <dsp:cNvPr id="0" name=""/>
        <dsp:cNvSpPr/>
      </dsp:nvSpPr>
      <dsp:spPr>
        <a:xfrm>
          <a:off x="1179576" y="21604"/>
          <a:ext cx="4306824" cy="4320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pl-PL" sz="900" kern="1200">
              <a:latin typeface="Times New Roman" panose="02020603050405020304" pitchFamily="18" charset="0"/>
              <a:cs typeface="Times New Roman" panose="02020603050405020304" pitchFamily="18" charset="0"/>
            </a:rPr>
            <a:t>charakterystykę usługi oraz infrastruktury, w której świadczona jest usługa</a:t>
          </a:r>
        </a:p>
      </dsp:txBody>
      <dsp:txXfrm>
        <a:off x="1179576" y="21604"/>
        <a:ext cx="4306824" cy="432085"/>
      </dsp:txXfrm>
    </dsp:sp>
    <dsp:sp modelId="{10F99F26-8B56-47AA-9285-24F38C8DCB67}">
      <dsp:nvSpPr>
        <dsp:cNvPr id="0" name=""/>
        <dsp:cNvSpPr/>
      </dsp:nvSpPr>
      <dsp:spPr>
        <a:xfrm>
          <a:off x="1097280" y="45368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0499622-FC32-44D6-8C06-BCDAFB159DB6}">
      <dsp:nvSpPr>
        <dsp:cNvPr id="0" name=""/>
        <dsp:cNvSpPr/>
      </dsp:nvSpPr>
      <dsp:spPr>
        <a:xfrm>
          <a:off x="1179576" y="475293"/>
          <a:ext cx="4306824" cy="4320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pl-PL" sz="900" kern="1200">
              <a:latin typeface="Times New Roman" panose="02020603050405020304" pitchFamily="18" charset="0"/>
              <a:cs typeface="Times New Roman" panose="02020603050405020304" pitchFamily="18" charset="0"/>
            </a:rPr>
            <a:t>ocenę aktualnego stanu ochrony infrastruktury</a:t>
          </a:r>
        </a:p>
      </dsp:txBody>
      <dsp:txXfrm>
        <a:off x="1179576" y="475293"/>
        <a:ext cx="4306824" cy="432085"/>
      </dsp:txXfrm>
    </dsp:sp>
    <dsp:sp modelId="{207BDE2A-556B-4F24-8858-72591392EB3E}">
      <dsp:nvSpPr>
        <dsp:cNvPr id="0" name=""/>
        <dsp:cNvSpPr/>
      </dsp:nvSpPr>
      <dsp:spPr>
        <a:xfrm>
          <a:off x="1097280" y="90737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FB69C7A-AECA-44FC-8419-85F3ABA4DC12}">
      <dsp:nvSpPr>
        <dsp:cNvPr id="0" name=""/>
        <dsp:cNvSpPr/>
      </dsp:nvSpPr>
      <dsp:spPr>
        <a:xfrm>
          <a:off x="1179576" y="928983"/>
          <a:ext cx="4306824" cy="4320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pl-PL" sz="900" kern="1200">
              <a:latin typeface="Times New Roman" panose="02020603050405020304" pitchFamily="18" charset="0"/>
              <a:cs typeface="Times New Roman" panose="02020603050405020304" pitchFamily="18" charset="0"/>
            </a:rPr>
            <a:t>szacowanie ryzyka dla obiektów infrastruktury</a:t>
          </a:r>
        </a:p>
      </dsp:txBody>
      <dsp:txXfrm>
        <a:off x="1179576" y="928983"/>
        <a:ext cx="4306824" cy="432085"/>
      </dsp:txXfrm>
    </dsp:sp>
    <dsp:sp modelId="{6D5E4EB0-C9FB-4370-AEA8-C568A3EFA878}">
      <dsp:nvSpPr>
        <dsp:cNvPr id="0" name=""/>
        <dsp:cNvSpPr/>
      </dsp:nvSpPr>
      <dsp:spPr>
        <a:xfrm>
          <a:off x="1097280" y="1361068"/>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AAC0D4D-2918-4635-903A-CD7F474F379D}">
      <dsp:nvSpPr>
        <dsp:cNvPr id="0" name=""/>
        <dsp:cNvSpPr/>
      </dsp:nvSpPr>
      <dsp:spPr>
        <a:xfrm>
          <a:off x="1166870" y="1376321"/>
          <a:ext cx="4306824" cy="4320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pl-PL" sz="900" kern="1200">
              <a:latin typeface="Times New Roman" panose="02020603050405020304" pitchFamily="18" charset="0"/>
              <a:cs typeface="Times New Roman" panose="02020603050405020304" pitchFamily="18" charset="0"/>
            </a:rPr>
            <a:t>plan postępowania z ryzykiem</a:t>
          </a:r>
        </a:p>
      </dsp:txBody>
      <dsp:txXfrm>
        <a:off x="1166870" y="1376321"/>
        <a:ext cx="4306824" cy="432085"/>
      </dsp:txXfrm>
    </dsp:sp>
    <dsp:sp modelId="{9559BE74-4B5A-4F5F-A56E-EF6814922DDF}">
      <dsp:nvSpPr>
        <dsp:cNvPr id="0" name=""/>
        <dsp:cNvSpPr/>
      </dsp:nvSpPr>
      <dsp:spPr>
        <a:xfrm>
          <a:off x="1097280" y="1814758"/>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E2C1525-E3D0-4CD6-B598-4D0AFF489FB0}">
      <dsp:nvSpPr>
        <dsp:cNvPr id="0" name=""/>
        <dsp:cNvSpPr/>
      </dsp:nvSpPr>
      <dsp:spPr>
        <a:xfrm>
          <a:off x="1179576" y="1836362"/>
          <a:ext cx="4306824" cy="4320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pl-PL" sz="900" kern="1200">
              <a:latin typeface="Times New Roman" panose="02020603050405020304" pitchFamily="18" charset="0"/>
              <a:cs typeface="Times New Roman" panose="02020603050405020304" pitchFamily="18" charset="0"/>
            </a:rPr>
            <a:t>opis zabezpieczeń technicznych obiektów infrastruktury</a:t>
          </a:r>
        </a:p>
      </dsp:txBody>
      <dsp:txXfrm>
        <a:off x="1179576" y="1836362"/>
        <a:ext cx="4306824" cy="432085"/>
      </dsp:txXfrm>
    </dsp:sp>
    <dsp:sp modelId="{538204DB-AF60-4717-8898-30DCA9FC25F5}">
      <dsp:nvSpPr>
        <dsp:cNvPr id="0" name=""/>
        <dsp:cNvSpPr/>
      </dsp:nvSpPr>
      <dsp:spPr>
        <a:xfrm>
          <a:off x="1097280" y="2268447"/>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046E583-BC30-4D91-AEEB-4B71F595509B}">
      <dsp:nvSpPr>
        <dsp:cNvPr id="0" name=""/>
        <dsp:cNvSpPr/>
      </dsp:nvSpPr>
      <dsp:spPr>
        <a:xfrm>
          <a:off x="1179576" y="2290051"/>
          <a:ext cx="4306824" cy="4320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pl-PL" sz="900" kern="1200">
              <a:latin typeface="Times New Roman" panose="02020603050405020304" pitchFamily="18" charset="0"/>
              <a:cs typeface="Times New Roman" panose="02020603050405020304" pitchFamily="18" charset="0"/>
            </a:rPr>
            <a:t>zasady organizacji i wykonywania ochrony fizycznej infrastruktury</a:t>
          </a:r>
        </a:p>
      </dsp:txBody>
      <dsp:txXfrm>
        <a:off x="1179576" y="2290051"/>
        <a:ext cx="4306824" cy="432085"/>
      </dsp:txXfrm>
    </dsp:sp>
    <dsp:sp modelId="{198D3500-F24C-4483-B1D1-E4E32B34EEBF}">
      <dsp:nvSpPr>
        <dsp:cNvPr id="0" name=""/>
        <dsp:cNvSpPr/>
      </dsp:nvSpPr>
      <dsp:spPr>
        <a:xfrm>
          <a:off x="1097280" y="2722137"/>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15963F6-8D66-4534-963E-B7D466833E44}">
      <dsp:nvSpPr>
        <dsp:cNvPr id="0" name=""/>
        <dsp:cNvSpPr/>
      </dsp:nvSpPr>
      <dsp:spPr>
        <a:xfrm>
          <a:off x="1179576" y="2743741"/>
          <a:ext cx="4306824" cy="4320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pl-PL" sz="900" kern="1200">
              <a:latin typeface="Times New Roman" panose="02020603050405020304" pitchFamily="18" charset="0"/>
              <a:cs typeface="Times New Roman" panose="02020603050405020304" pitchFamily="18" charset="0"/>
            </a:rPr>
            <a:t>dane o specjalistycznej uzbrojonej formacji ochronnej, o której mowa w art. 2 pkt 7 ustawy z dnia 22 sierpnia 1997 r. o ochronie osób i mienia (Dz. U. z 2021 r. poz. 1995), chroniącej infrastrukturę</a:t>
          </a:r>
        </a:p>
      </dsp:txBody>
      <dsp:txXfrm>
        <a:off x="1179576" y="2743741"/>
        <a:ext cx="4306824" cy="432085"/>
      </dsp:txXfrm>
    </dsp:sp>
    <dsp:sp modelId="{A71AEB4C-F9F6-446B-B3B7-439157370200}">
      <dsp:nvSpPr>
        <dsp:cNvPr id="0" name=""/>
        <dsp:cNvSpPr/>
      </dsp:nvSpPr>
      <dsp:spPr>
        <a:xfrm>
          <a:off x="1097280" y="3175826"/>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CED1B-0C4A-4258-AF03-AFCA3210F4E3}">
      <dsp:nvSpPr>
        <dsp:cNvPr id="0" name=""/>
        <dsp:cNvSpPr/>
      </dsp:nvSpPr>
      <dsp:spPr>
        <a:xfrm>
          <a:off x="0" y="0"/>
          <a:ext cx="4224528" cy="5760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l-PL" sz="1400" kern="1200">
              <a:latin typeface="Times New Roman" panose="02020603050405020304" pitchFamily="18" charset="0"/>
              <a:cs typeface="Times New Roman" panose="02020603050405020304" pitchFamily="18" charset="0"/>
            </a:rPr>
            <a:t>wykrycie incydentu</a:t>
          </a:r>
        </a:p>
      </dsp:txBody>
      <dsp:txXfrm>
        <a:off x="16873" y="16873"/>
        <a:ext cx="3535500" cy="542326"/>
      </dsp:txXfrm>
    </dsp:sp>
    <dsp:sp modelId="{DD4EDC76-3D90-49A1-8794-98C141CDE6B3}">
      <dsp:nvSpPr>
        <dsp:cNvPr id="0" name=""/>
        <dsp:cNvSpPr/>
      </dsp:nvSpPr>
      <dsp:spPr>
        <a:xfrm>
          <a:off x="315468" y="656082"/>
          <a:ext cx="4224528" cy="5760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l-PL" sz="1400" kern="1200">
              <a:latin typeface="Times New Roman" panose="02020603050405020304" pitchFamily="18" charset="0"/>
              <a:cs typeface="Times New Roman" panose="02020603050405020304" pitchFamily="18" charset="0"/>
            </a:rPr>
            <a:t>wczesne ostrzeżenie</a:t>
          </a:r>
        </a:p>
        <a:p>
          <a:pPr marL="57150" lvl="1" indent="-57150" algn="l" defTabSz="488950">
            <a:lnSpc>
              <a:spcPct val="90000"/>
            </a:lnSpc>
            <a:spcBef>
              <a:spcPct val="0"/>
            </a:spcBef>
            <a:spcAft>
              <a:spcPct val="15000"/>
            </a:spcAft>
            <a:buChar char="•"/>
          </a:pPr>
          <a:r>
            <a:rPr lang="pl-PL" sz="1100" kern="1200">
              <a:latin typeface="Times New Roman" panose="02020603050405020304" pitchFamily="18" charset="0"/>
              <a:cs typeface="Times New Roman" panose="02020603050405020304" pitchFamily="18" charset="0"/>
            </a:rPr>
            <a:t>24 h od momentu wykrycia incydentu</a:t>
          </a:r>
        </a:p>
      </dsp:txBody>
      <dsp:txXfrm>
        <a:off x="332341" y="672955"/>
        <a:ext cx="3500867" cy="542326"/>
      </dsp:txXfrm>
    </dsp:sp>
    <dsp:sp modelId="{894E401F-5139-460B-A4A3-AE8CE7CAF4DC}">
      <dsp:nvSpPr>
        <dsp:cNvPr id="0" name=""/>
        <dsp:cNvSpPr/>
      </dsp:nvSpPr>
      <dsp:spPr>
        <a:xfrm>
          <a:off x="630935" y="1312164"/>
          <a:ext cx="4224528" cy="5760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l-PL" sz="1400" kern="1200">
              <a:latin typeface="Times New Roman" panose="02020603050405020304" pitchFamily="18" charset="0"/>
              <a:cs typeface="Times New Roman" panose="02020603050405020304" pitchFamily="18" charset="0"/>
            </a:rPr>
            <a:t>zgłoszenie incydentu</a:t>
          </a:r>
        </a:p>
        <a:p>
          <a:pPr marL="57150" lvl="1" indent="-57150" algn="l" defTabSz="488950">
            <a:lnSpc>
              <a:spcPct val="90000"/>
            </a:lnSpc>
            <a:spcBef>
              <a:spcPct val="0"/>
            </a:spcBef>
            <a:spcAft>
              <a:spcPct val="15000"/>
            </a:spcAft>
            <a:buChar char="•"/>
          </a:pPr>
          <a:r>
            <a:rPr lang="pl-PL" sz="1100" kern="1200">
              <a:latin typeface="Times New Roman" panose="02020603050405020304" pitchFamily="18" charset="0"/>
              <a:cs typeface="Times New Roman" panose="02020603050405020304" pitchFamily="18" charset="0"/>
            </a:rPr>
            <a:t>72 od momentu wykrycia incydentu</a:t>
          </a:r>
        </a:p>
      </dsp:txBody>
      <dsp:txXfrm>
        <a:off x="647808" y="1329037"/>
        <a:ext cx="3500867" cy="542326"/>
      </dsp:txXfrm>
    </dsp:sp>
    <dsp:sp modelId="{B16A3ACE-1613-4767-AEAD-A9DB1DE3B291}">
      <dsp:nvSpPr>
        <dsp:cNvPr id="0" name=""/>
        <dsp:cNvSpPr/>
      </dsp:nvSpPr>
      <dsp:spPr>
        <a:xfrm>
          <a:off x="946404" y="1968246"/>
          <a:ext cx="4224528" cy="5760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l-PL" sz="1400" kern="1200">
              <a:latin typeface="Times New Roman" panose="02020603050405020304" pitchFamily="18" charset="0"/>
              <a:cs typeface="Times New Roman" panose="02020603050405020304" pitchFamily="18" charset="0"/>
            </a:rPr>
            <a:t>sprawozdanie okresowe</a:t>
          </a:r>
        </a:p>
        <a:p>
          <a:pPr marL="57150" lvl="1" indent="-57150" algn="l" defTabSz="488950">
            <a:lnSpc>
              <a:spcPct val="90000"/>
            </a:lnSpc>
            <a:spcBef>
              <a:spcPct val="0"/>
            </a:spcBef>
            <a:spcAft>
              <a:spcPct val="15000"/>
            </a:spcAft>
            <a:buChar char="•"/>
          </a:pPr>
          <a:r>
            <a:rPr lang="pl-PL" sz="1100" kern="1200">
              <a:latin typeface="Times New Roman" panose="02020603050405020304" pitchFamily="18" charset="0"/>
              <a:cs typeface="Times New Roman" panose="02020603050405020304" pitchFamily="18" charset="0"/>
            </a:rPr>
            <a:t>na wniosek CSIRT sektorowego</a:t>
          </a:r>
        </a:p>
      </dsp:txBody>
      <dsp:txXfrm>
        <a:off x="963277" y="1985119"/>
        <a:ext cx="3500867" cy="542326"/>
      </dsp:txXfrm>
    </dsp:sp>
    <dsp:sp modelId="{3D176C97-BA31-40DF-AE42-2A97FB36145E}">
      <dsp:nvSpPr>
        <dsp:cNvPr id="0" name=""/>
        <dsp:cNvSpPr/>
      </dsp:nvSpPr>
      <dsp:spPr>
        <a:xfrm>
          <a:off x="1261871" y="2624328"/>
          <a:ext cx="4224528" cy="5760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l-PL" sz="1400" kern="1200">
              <a:latin typeface="Times New Roman" panose="02020603050405020304" pitchFamily="18" charset="0"/>
              <a:cs typeface="Times New Roman" panose="02020603050405020304" pitchFamily="18" charset="0"/>
            </a:rPr>
            <a:t>sprawozdanie końcowe</a:t>
          </a:r>
        </a:p>
        <a:p>
          <a:pPr marL="57150" lvl="1" indent="-57150" algn="l" defTabSz="488950">
            <a:lnSpc>
              <a:spcPct val="90000"/>
            </a:lnSpc>
            <a:spcBef>
              <a:spcPct val="0"/>
            </a:spcBef>
            <a:spcAft>
              <a:spcPct val="15000"/>
            </a:spcAft>
            <a:buChar char="•"/>
          </a:pPr>
          <a:r>
            <a:rPr lang="pl-PL" sz="1100" kern="1200">
              <a:latin typeface="Times New Roman" panose="02020603050405020304" pitchFamily="18" charset="0"/>
              <a:cs typeface="Times New Roman" panose="02020603050405020304" pitchFamily="18" charset="0"/>
            </a:rPr>
            <a:t>miesiąc od dnia zgłoszenia incydentu poważnego</a:t>
          </a:r>
        </a:p>
      </dsp:txBody>
      <dsp:txXfrm>
        <a:off x="1278744" y="2641201"/>
        <a:ext cx="3500867" cy="542326"/>
      </dsp:txXfrm>
    </dsp:sp>
    <dsp:sp modelId="{28404AF9-BD11-422E-B2B2-18B697192AB9}">
      <dsp:nvSpPr>
        <dsp:cNvPr id="0" name=""/>
        <dsp:cNvSpPr/>
      </dsp:nvSpPr>
      <dsp:spPr>
        <a:xfrm>
          <a:off x="3850081" y="420852"/>
          <a:ext cx="374446" cy="374446"/>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pl-PL" sz="1700" kern="1200"/>
        </a:p>
      </dsp:txBody>
      <dsp:txXfrm>
        <a:off x="3934331" y="420852"/>
        <a:ext cx="205946" cy="281771"/>
      </dsp:txXfrm>
    </dsp:sp>
    <dsp:sp modelId="{4A87827C-CA06-4506-9D67-2CC6E9997D6D}">
      <dsp:nvSpPr>
        <dsp:cNvPr id="0" name=""/>
        <dsp:cNvSpPr/>
      </dsp:nvSpPr>
      <dsp:spPr>
        <a:xfrm>
          <a:off x="4165549" y="1076934"/>
          <a:ext cx="374446" cy="374446"/>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pl-PL" sz="1700" kern="1200"/>
        </a:p>
      </dsp:txBody>
      <dsp:txXfrm>
        <a:off x="4249799" y="1076934"/>
        <a:ext cx="205946" cy="281771"/>
      </dsp:txXfrm>
    </dsp:sp>
    <dsp:sp modelId="{805F626F-F1F2-4B88-A3E3-901E91FE6E98}">
      <dsp:nvSpPr>
        <dsp:cNvPr id="0" name=""/>
        <dsp:cNvSpPr/>
      </dsp:nvSpPr>
      <dsp:spPr>
        <a:xfrm>
          <a:off x="4481017" y="1723415"/>
          <a:ext cx="374446" cy="374446"/>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pl-PL" sz="1700" kern="1200"/>
        </a:p>
      </dsp:txBody>
      <dsp:txXfrm>
        <a:off x="4565267" y="1723415"/>
        <a:ext cx="205946" cy="281771"/>
      </dsp:txXfrm>
    </dsp:sp>
    <dsp:sp modelId="{64F4C6CB-8879-48AF-9122-51227103A1B4}">
      <dsp:nvSpPr>
        <dsp:cNvPr id="0" name=""/>
        <dsp:cNvSpPr/>
      </dsp:nvSpPr>
      <dsp:spPr>
        <a:xfrm>
          <a:off x="4796485" y="2385898"/>
          <a:ext cx="374446" cy="374446"/>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pl-PL" sz="1700" kern="1200"/>
        </a:p>
      </dsp:txBody>
      <dsp:txXfrm>
        <a:off x="4880735" y="2385898"/>
        <a:ext cx="205946" cy="281771"/>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BCEE-9B1F-4965-9B08-2A1B993A910B}">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212</Pages>
  <Words>66530</Words>
  <Characters>399183</Characters>
  <Application>Microsoft Office Word</Application>
  <DocSecurity>0</DocSecurity>
  <Lines>3326</Lines>
  <Paragraphs>929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464784</CharactersWithSpaces>
  <SharedDoc>false</SharedDoc>
  <HLinks>
    <vt:vector size="120" baseType="variant">
      <vt:variant>
        <vt:i4>5636193</vt:i4>
      </vt:variant>
      <vt:variant>
        <vt:i4>0</vt:i4>
      </vt:variant>
      <vt:variant>
        <vt:i4>0</vt:i4>
      </vt:variant>
      <vt:variant>
        <vt:i4>5</vt:i4>
      </vt:variant>
      <vt:variant>
        <vt:lpwstr>https://www.dns.pl/regulamin_nazw_domeny_pl</vt:lpwstr>
      </vt:variant>
      <vt:variant>
        <vt:lpwstr/>
      </vt:variant>
      <vt:variant>
        <vt:i4>8061024</vt:i4>
      </vt:variant>
      <vt:variant>
        <vt:i4>75</vt:i4>
      </vt:variant>
      <vt:variant>
        <vt:i4>0</vt:i4>
      </vt:variant>
      <vt:variant>
        <vt:i4>5</vt:i4>
      </vt:variant>
      <vt:variant>
        <vt:lpwstr>http://46.242.185.119/off_ptzp.org.pl/files/konferencje/kzz/artyk_pdf_2017/T2/t2_625.pdf</vt:lpwstr>
      </vt:variant>
      <vt:variant>
        <vt:lpwstr/>
      </vt:variant>
      <vt:variant>
        <vt:i4>1966088</vt:i4>
      </vt:variant>
      <vt:variant>
        <vt:i4>63</vt:i4>
      </vt:variant>
      <vt:variant>
        <vt:i4>0</vt:i4>
      </vt:variant>
      <vt:variant>
        <vt:i4>5</vt:i4>
      </vt:variant>
      <vt:variant>
        <vt:lpwstr>https://www.crowdstrike.com/blog/overwatch-exposes-aquatic-panda-in-possession-of-log-4-shell-exploit-tools/</vt:lpwstr>
      </vt:variant>
      <vt:variant>
        <vt:lpwstr/>
      </vt:variant>
      <vt:variant>
        <vt:i4>4259869</vt:i4>
      </vt:variant>
      <vt:variant>
        <vt:i4>60</vt:i4>
      </vt:variant>
      <vt:variant>
        <vt:i4>0</vt:i4>
      </vt:variant>
      <vt:variant>
        <vt:i4>5</vt:i4>
      </vt:variant>
      <vt:variant>
        <vt:lpwstr>https://www.berec.europa.eu/en/document-categories/berec/reports/berec-report-secure-5g-networks</vt:lpwstr>
      </vt:variant>
      <vt:variant>
        <vt:lpwstr/>
      </vt:variant>
      <vt:variant>
        <vt:i4>2687020</vt:i4>
      </vt:variant>
      <vt:variant>
        <vt:i4>45</vt:i4>
      </vt:variant>
      <vt:variant>
        <vt:i4>0</vt:i4>
      </vt:variant>
      <vt:variant>
        <vt:i4>5</vt:i4>
      </vt:variant>
      <vt:variant>
        <vt:lpwstr>https://dane.gov.pl/pl/dataset/1992,statystyki-zespolu-cert-polska/resource/43252/table</vt:lpwstr>
      </vt:variant>
      <vt:variant>
        <vt:lpwstr/>
      </vt:variant>
      <vt:variant>
        <vt:i4>2687012</vt:i4>
      </vt:variant>
      <vt:variant>
        <vt:i4>42</vt:i4>
      </vt:variant>
      <vt:variant>
        <vt:i4>0</vt:i4>
      </vt:variant>
      <vt:variant>
        <vt:i4>5</vt:i4>
      </vt:variant>
      <vt:variant>
        <vt:lpwstr>https://dane.gov.pl/pl/dataset/1992,statystyki-zespolu-cert-polska/resource/35639/table</vt:lpwstr>
      </vt:variant>
      <vt:variant>
        <vt:lpwstr/>
      </vt:variant>
      <vt:variant>
        <vt:i4>4522047</vt:i4>
      </vt:variant>
      <vt:variant>
        <vt:i4>39</vt:i4>
      </vt:variant>
      <vt:variant>
        <vt:i4>0</vt:i4>
      </vt:variant>
      <vt:variant>
        <vt:i4>5</vt:i4>
      </vt:variant>
      <vt:variant>
        <vt:lpwstr>https://www.knf.gov.pl/knf/pl/komponenty/img/Sprawozdanie_z_dzialalnosci_UKNF_oraz_KNF_w_2021_roku_78361.pdf</vt:lpwstr>
      </vt:variant>
      <vt:variant>
        <vt:lpwstr/>
      </vt:variant>
      <vt:variant>
        <vt:i4>3211377</vt:i4>
      </vt:variant>
      <vt:variant>
        <vt:i4>36</vt:i4>
      </vt:variant>
      <vt:variant>
        <vt:i4>0</vt:i4>
      </vt:variant>
      <vt:variant>
        <vt:i4>5</vt:i4>
      </vt:variant>
      <vt:variant>
        <vt:lpwstr>https://csirt.gov.pl/cer/publikacje/raporty-o-stanie-bezpi/977,Raport-o-stanie-bezpieczenstwa-cyberprzestrzeni-RP-w-2021-roku.html</vt:lpwstr>
      </vt:variant>
      <vt:variant>
        <vt:lpwstr/>
      </vt:variant>
      <vt:variant>
        <vt:i4>7798883</vt:i4>
      </vt:variant>
      <vt:variant>
        <vt:i4>33</vt:i4>
      </vt:variant>
      <vt:variant>
        <vt:i4>0</vt:i4>
      </vt:variant>
      <vt:variant>
        <vt:i4>5</vt:i4>
      </vt:variant>
      <vt:variant>
        <vt:lpwstr>https://www.enisa.europa.eu/publications/cyber-threats-outreach-in-telecom</vt:lpwstr>
      </vt:variant>
      <vt:variant>
        <vt:lpwstr/>
      </vt:variant>
      <vt:variant>
        <vt:i4>5177360</vt:i4>
      </vt:variant>
      <vt:variant>
        <vt:i4>30</vt:i4>
      </vt:variant>
      <vt:variant>
        <vt:i4>0</vt:i4>
      </vt:variant>
      <vt:variant>
        <vt:i4>5</vt:i4>
      </vt:variant>
      <vt:variant>
        <vt:lpwstr>https://www.ncsc.gov.ie/pdfs/RFC2350 NCSC-IE.txt</vt:lpwstr>
      </vt:variant>
      <vt:variant>
        <vt:lpwstr/>
      </vt:variant>
      <vt:variant>
        <vt:i4>5570567</vt:i4>
      </vt:variant>
      <vt:variant>
        <vt:i4>27</vt:i4>
      </vt:variant>
      <vt:variant>
        <vt:i4>0</vt:i4>
      </vt:variant>
      <vt:variant>
        <vt:i4>5</vt:i4>
      </vt:variant>
      <vt:variant>
        <vt:lpwstr>https://www.csirt.gov.sk/csirt-sk-description-document-according-to-rfc-2350.html</vt:lpwstr>
      </vt:variant>
      <vt:variant>
        <vt:lpwstr/>
      </vt:variant>
      <vt:variant>
        <vt:i4>1769488</vt:i4>
      </vt:variant>
      <vt:variant>
        <vt:i4>24</vt:i4>
      </vt:variant>
      <vt:variant>
        <vt:i4>0</vt:i4>
      </vt:variant>
      <vt:variant>
        <vt:i4>5</vt:i4>
      </vt:variant>
      <vt:variant>
        <vt:lpwstr>https://www.knf.gov.pl/knf/pl/komponenty/img/RFC2350.pdf</vt:lpwstr>
      </vt:variant>
      <vt:variant>
        <vt:lpwstr/>
      </vt:variant>
      <vt:variant>
        <vt:i4>786504</vt:i4>
      </vt:variant>
      <vt:variant>
        <vt:i4>21</vt:i4>
      </vt:variant>
      <vt:variant>
        <vt:i4>0</vt:i4>
      </vt:variant>
      <vt:variant>
        <vt:i4>5</vt:i4>
      </vt:variant>
      <vt:variant>
        <vt:lpwstr>https://datatracker.ietf.org/doc/html/rfc2350</vt:lpwstr>
      </vt:variant>
      <vt:variant>
        <vt:lpwstr/>
      </vt:variant>
      <vt:variant>
        <vt:i4>589899</vt:i4>
      </vt:variant>
      <vt:variant>
        <vt:i4>18</vt:i4>
      </vt:variant>
      <vt:variant>
        <vt:i4>0</vt:i4>
      </vt:variant>
      <vt:variant>
        <vt:i4>5</vt:i4>
      </vt:variant>
      <vt:variant>
        <vt:lpwstr>https://datatracker.ietf.org/doc/html/rfc1034</vt:lpwstr>
      </vt:variant>
      <vt:variant>
        <vt:lpwstr/>
      </vt:variant>
      <vt:variant>
        <vt:i4>4</vt:i4>
      </vt:variant>
      <vt:variant>
        <vt:i4>15</vt:i4>
      </vt:variant>
      <vt:variant>
        <vt:i4>0</vt:i4>
      </vt:variant>
      <vt:variant>
        <vt:i4>5</vt:i4>
      </vt:variant>
      <vt:variant>
        <vt:lpwstr>https://www.iana.org/domains/root/servers</vt:lpwstr>
      </vt:variant>
      <vt:variant>
        <vt:lpwstr/>
      </vt:variant>
      <vt:variant>
        <vt:i4>8192113</vt:i4>
      </vt:variant>
      <vt:variant>
        <vt:i4>12</vt:i4>
      </vt:variant>
      <vt:variant>
        <vt:i4>0</vt:i4>
      </vt:variant>
      <vt:variant>
        <vt:i4>5</vt:i4>
      </vt:variant>
      <vt:variant>
        <vt:lpwstr>https://legislacja.rcl.gov.pl/projekt/12386961</vt:lpwstr>
      </vt:variant>
      <vt:variant>
        <vt:lpwstr/>
      </vt:variant>
      <vt:variant>
        <vt:i4>7667824</vt:i4>
      </vt:variant>
      <vt:variant>
        <vt:i4>9</vt:i4>
      </vt:variant>
      <vt:variant>
        <vt:i4>0</vt:i4>
      </vt:variant>
      <vt:variant>
        <vt:i4>5</vt:i4>
      </vt:variant>
      <vt:variant>
        <vt:lpwstr>https://legislacja.rcl.gov.pl/projekt/12384252.</vt:lpwstr>
      </vt:variant>
      <vt:variant>
        <vt:lpwstr/>
      </vt:variant>
      <vt:variant>
        <vt:i4>8061036</vt:i4>
      </vt:variant>
      <vt:variant>
        <vt:i4>6</vt:i4>
      </vt:variant>
      <vt:variant>
        <vt:i4>0</vt:i4>
      </vt:variant>
      <vt:variant>
        <vt:i4>5</vt:i4>
      </vt:variant>
      <vt:variant>
        <vt:lpwstr>https://digital-strategy.ec.europa.eu/en/library/cybersecurity-5g-networks-eu-toolbox-risk-mitigating-measures</vt:lpwstr>
      </vt:variant>
      <vt:variant>
        <vt:lpwstr/>
      </vt:variant>
      <vt:variant>
        <vt:i4>7208994</vt:i4>
      </vt:variant>
      <vt:variant>
        <vt:i4>3</vt:i4>
      </vt:variant>
      <vt:variant>
        <vt:i4>0</vt:i4>
      </vt:variant>
      <vt:variant>
        <vt:i4>5</vt:i4>
      </vt:variant>
      <vt:variant>
        <vt:lpwstr>https://cez.gov.pl/pl/page/o-nas-0</vt:lpwstr>
      </vt:variant>
      <vt:variant>
        <vt:lpwstr/>
      </vt:variant>
      <vt:variant>
        <vt:i4>3801149</vt:i4>
      </vt:variant>
      <vt:variant>
        <vt:i4>0</vt:i4>
      </vt:variant>
      <vt:variant>
        <vt:i4>0</vt:i4>
      </vt:variant>
      <vt:variant>
        <vt:i4>5</vt:i4>
      </vt:variant>
      <vt:variant>
        <vt:lpwstr>https://www.knf.gov.pl/dla_rynku/CSIRT_KNF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RCL</dc:creator>
  <cp:keywords/>
  <dc:description/>
  <cp:lastModifiedBy>Bodych Dominika</cp:lastModifiedBy>
  <cp:revision>2</cp:revision>
  <dcterms:created xsi:type="dcterms:W3CDTF">2025-11-07T15:50:00Z</dcterms:created>
  <dcterms:modified xsi:type="dcterms:W3CDTF">2025-11-07T15:50:00Z</dcterms:modified>
</cp:coreProperties>
</file>