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731BF" w14:textId="77777777" w:rsidR="00CF2333" w:rsidRPr="00CF2333" w:rsidRDefault="00CF2333" w:rsidP="00CF2333">
      <w:pPr>
        <w:spacing w:line="360" w:lineRule="auto"/>
        <w:jc w:val="center"/>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UZASADNIENIE</w:t>
      </w:r>
    </w:p>
    <w:p w14:paraId="2D7C3E6F" w14:textId="77777777" w:rsidR="00CF2333" w:rsidRPr="00CF2333" w:rsidRDefault="00CF2333" w:rsidP="00CF2333">
      <w:pPr>
        <w:spacing w:line="360" w:lineRule="auto"/>
        <w:jc w:val="center"/>
        <w:rPr>
          <w:rFonts w:ascii="Times New Roman" w:eastAsia="Calibri" w:hAnsi="Times New Roman" w:cs="Times New Roman"/>
          <w:kern w:val="0"/>
          <w:szCs w:val="22"/>
          <w14:ligatures w14:val="none"/>
        </w:rPr>
      </w:pPr>
    </w:p>
    <w:p w14:paraId="1273FE32" w14:textId="59632114" w:rsidR="00CF2333" w:rsidRPr="00CF2333" w:rsidRDefault="00CF2333" w:rsidP="00CF2333">
      <w:pPr>
        <w:spacing w:line="360" w:lineRule="auto"/>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ab/>
        <w:t xml:space="preserve">Projekt ustawy nowelizującej ustawę o radcach prawnych (zwaną dalej „ustawą”) ma na celu wprowadzenie istotnych zmian w przepisach dotyczących ochrony danych osobowych, uelastycznienia procedur samorządu zawodowego radców prawnych poprzez wprowadzenie usprawnień funkcjonowania organów samorządu zawodowego oraz usunięcia istniejących wątpliwości interpretacyjnych, które pojawiły się w praktyce stosowania ustawy. Ponadto projekt ustawy daje ustawową podstawę prawną Krajowej Izbie Radców Prawnych do zawierania na rzecz radców prawnych grupowego ubezpieczenia odpowiedzialności cywilnej. </w:t>
      </w:r>
      <w:r w:rsidR="006F08C4">
        <w:rPr>
          <w:rFonts w:ascii="Times New Roman" w:eastAsia="Calibri" w:hAnsi="Times New Roman" w:cs="Times New Roman"/>
          <w:kern w:val="0"/>
          <w:szCs w:val="22"/>
          <w14:ligatures w14:val="none"/>
        </w:rPr>
        <w:t xml:space="preserve">W zakresie postępowania dyscyplinarnego projekt wprowadza zmiany </w:t>
      </w:r>
      <w:r w:rsidR="006F08C4" w:rsidRPr="006F08C4">
        <w:rPr>
          <w:rFonts w:ascii="Times New Roman" w:eastAsia="Calibri" w:hAnsi="Times New Roman" w:cs="Times New Roman"/>
          <w:kern w:val="0"/>
          <w:szCs w:val="22"/>
          <w14:ligatures w14:val="none"/>
        </w:rPr>
        <w:t>w zakresie wykonalności prawomocnych i kończących postępowanie orzeczeń Wyższego Sąd</w:t>
      </w:r>
      <w:r w:rsidR="00BD2681">
        <w:rPr>
          <w:rFonts w:ascii="Times New Roman" w:eastAsia="Calibri" w:hAnsi="Times New Roman" w:cs="Times New Roman"/>
          <w:kern w:val="0"/>
          <w:szCs w:val="22"/>
          <w14:ligatures w14:val="none"/>
        </w:rPr>
        <w:t>u</w:t>
      </w:r>
      <w:r w:rsidR="006F08C4" w:rsidRPr="006F08C4">
        <w:rPr>
          <w:rFonts w:ascii="Times New Roman" w:eastAsia="Calibri" w:hAnsi="Times New Roman" w:cs="Times New Roman"/>
          <w:kern w:val="0"/>
          <w:szCs w:val="22"/>
          <w14:ligatures w14:val="none"/>
        </w:rPr>
        <w:t xml:space="preserve"> Dyscyplinarnego</w:t>
      </w:r>
      <w:r w:rsidR="006F08C4">
        <w:rPr>
          <w:rFonts w:ascii="Times New Roman" w:eastAsia="Calibri" w:hAnsi="Times New Roman" w:cs="Times New Roman"/>
          <w:kern w:val="0"/>
          <w:szCs w:val="22"/>
          <w14:ligatures w14:val="none"/>
        </w:rPr>
        <w:t>.</w:t>
      </w:r>
      <w:r w:rsidR="006F08C4" w:rsidRPr="006F08C4">
        <w:rPr>
          <w:rFonts w:ascii="Times New Roman" w:eastAsia="Calibri" w:hAnsi="Times New Roman" w:cs="Times New Roman"/>
          <w:kern w:val="0"/>
          <w:szCs w:val="22"/>
          <w14:ligatures w14:val="none"/>
        </w:rPr>
        <w:t xml:space="preserve"> </w:t>
      </w:r>
      <w:r w:rsidRPr="00CF2333">
        <w:rPr>
          <w:rFonts w:ascii="Times New Roman" w:eastAsia="Calibri" w:hAnsi="Times New Roman" w:cs="Times New Roman"/>
          <w:kern w:val="0"/>
          <w:szCs w:val="22"/>
          <w14:ligatures w14:val="none"/>
        </w:rPr>
        <w:t xml:space="preserve">Zaostrzenie zasad odpowiedzialności za bezprawne używanie tytułu zawodowego „radca prawny” poprzez wprowadzenie kary ograniczenia wolności albo grzywny do </w:t>
      </w:r>
      <w:r w:rsidR="00C52625">
        <w:rPr>
          <w:rFonts w:ascii="Times New Roman" w:eastAsia="Calibri" w:hAnsi="Times New Roman" w:cs="Times New Roman"/>
          <w:kern w:val="0"/>
          <w:szCs w:val="22"/>
          <w14:ligatures w14:val="none"/>
        </w:rPr>
        <w:t>100</w:t>
      </w:r>
      <w:r w:rsidRPr="00CF2333">
        <w:rPr>
          <w:rFonts w:ascii="Times New Roman" w:eastAsia="Calibri" w:hAnsi="Times New Roman" w:cs="Times New Roman"/>
          <w:kern w:val="0"/>
          <w:szCs w:val="22"/>
          <w14:ligatures w14:val="none"/>
        </w:rPr>
        <w:t xml:space="preserve"> 000 złotych ma natomiast na celu skuteczniejsze zwalczanie tego typu nadużyć. </w:t>
      </w:r>
    </w:p>
    <w:p w14:paraId="06EB7DCA"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Powyższe zmiany są odpowiedzią na potrzebę dostosowania obowiązujących przepisów do dynamicznie zmieniających się warunków społeczno-gospodarczych oraz zapewnienia spójności regulacji z obowiązującymi przepisami prawa unijnego.</w:t>
      </w:r>
      <w:r w:rsidRPr="00CF2333">
        <w:rPr>
          <w:rFonts w:ascii="Calibri" w:eastAsia="Calibri" w:hAnsi="Calibri" w:cs="Times New Roman"/>
          <w:kern w:val="0"/>
          <w:sz w:val="22"/>
          <w:szCs w:val="22"/>
          <w14:ligatures w14:val="none"/>
        </w:rPr>
        <w:t xml:space="preserve"> </w:t>
      </w:r>
    </w:p>
    <w:p w14:paraId="134555A6" w14:textId="77777777" w:rsidR="00CF2333" w:rsidRPr="00CF2333" w:rsidRDefault="00CF2333" w:rsidP="00CF2333">
      <w:pPr>
        <w:spacing w:line="360" w:lineRule="auto"/>
        <w:jc w:val="center"/>
        <w:rPr>
          <w:rFonts w:ascii="Times New Roman" w:eastAsia="Calibri" w:hAnsi="Times New Roman" w:cs="Times New Roman"/>
          <w:kern w:val="0"/>
          <w:szCs w:val="22"/>
          <w14:ligatures w14:val="none"/>
        </w:rPr>
      </w:pPr>
    </w:p>
    <w:p w14:paraId="65F37BAC" w14:textId="77777777" w:rsidR="00CF2333" w:rsidRPr="00CF2333" w:rsidRDefault="00CF2333" w:rsidP="00CF2333">
      <w:pPr>
        <w:spacing w:line="360" w:lineRule="auto"/>
        <w:jc w:val="both"/>
        <w:rPr>
          <w:rFonts w:ascii="Times New Roman" w:eastAsia="Calibri" w:hAnsi="Times New Roman" w:cs="Times New Roman"/>
          <w:b/>
          <w:kern w:val="0"/>
          <w:szCs w:val="22"/>
          <w14:ligatures w14:val="none"/>
        </w:rPr>
      </w:pPr>
      <w:r w:rsidRPr="00CF2333">
        <w:rPr>
          <w:rFonts w:ascii="Times New Roman" w:eastAsia="Calibri" w:hAnsi="Times New Roman" w:cs="Times New Roman"/>
          <w:b/>
          <w:kern w:val="0"/>
          <w:szCs w:val="22"/>
          <w14:ligatures w14:val="none"/>
        </w:rPr>
        <w:t>Ochrona danych osobowych w ustawie o radcach prawnych.</w:t>
      </w:r>
    </w:p>
    <w:p w14:paraId="48DC626E"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Zmiany w obrębie przepisów dotyczących ochrony danych osobowych w ustawie porządkują zasady przetwarzania danych osobowych przez radców prawnych. Dodatkowo wprowadzono szereg przepisów określających zasady przetwarzania danych osobowych przez organy samorządu radców prawnych.</w:t>
      </w:r>
    </w:p>
    <w:p w14:paraId="49B8F3D9" w14:textId="3567229E"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 xml:space="preserve">Zmiany w </w:t>
      </w:r>
      <w:r w:rsidRPr="00CF2333">
        <w:rPr>
          <w:rFonts w:ascii="Times New Roman" w:eastAsia="Calibri" w:hAnsi="Times New Roman" w:cs="Times New Roman"/>
          <w:b/>
          <w:kern w:val="0"/>
          <w:szCs w:val="22"/>
          <w14:ligatures w14:val="none"/>
        </w:rPr>
        <w:t>art. 5a</w:t>
      </w:r>
      <w:r w:rsidRPr="00CF2333">
        <w:rPr>
          <w:rFonts w:ascii="Times New Roman" w:eastAsia="Calibri" w:hAnsi="Times New Roman" w:cs="Times New Roman"/>
          <w:kern w:val="0"/>
          <w:szCs w:val="22"/>
          <w14:ligatures w14:val="none"/>
        </w:rPr>
        <w:t xml:space="preserve"> mają charakter techniczno-legislacyjny i zmierzają do wprowadzenia skrótu „rozporządzenie 20</w:t>
      </w:r>
      <w:r w:rsidR="004B699B">
        <w:rPr>
          <w:rFonts w:ascii="Times New Roman" w:eastAsia="Calibri" w:hAnsi="Times New Roman" w:cs="Times New Roman"/>
          <w:kern w:val="0"/>
          <w:szCs w:val="22"/>
          <w14:ligatures w14:val="none"/>
        </w:rPr>
        <w:t>1</w:t>
      </w:r>
      <w:r w:rsidRPr="00CF2333">
        <w:rPr>
          <w:rFonts w:ascii="Times New Roman" w:eastAsia="Calibri" w:hAnsi="Times New Roman" w:cs="Times New Roman"/>
          <w:kern w:val="0"/>
          <w:szCs w:val="22"/>
          <w14:ligatures w14:val="none"/>
        </w:rPr>
        <w:t xml:space="preserve">6/679” na określenie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Zmiana podyktowana jest względami praktycznymi w związku z koniecznością wielokrotnego odwoływania się do tego rozporządzenia w dalszych przepisach ustawy. </w:t>
      </w:r>
    </w:p>
    <w:p w14:paraId="576F9629"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lastRenderedPageBreak/>
        <w:t xml:space="preserve">W </w:t>
      </w:r>
      <w:r w:rsidRPr="00CF2333">
        <w:rPr>
          <w:rFonts w:ascii="Times New Roman" w:eastAsia="Calibri" w:hAnsi="Times New Roman" w:cs="Times New Roman"/>
          <w:b/>
          <w:kern w:val="0"/>
          <w:szCs w:val="22"/>
          <w14:ligatures w14:val="none"/>
        </w:rPr>
        <w:t>art. 5b</w:t>
      </w:r>
      <w:r w:rsidRPr="00CF2333">
        <w:rPr>
          <w:rFonts w:ascii="Times New Roman" w:eastAsia="Calibri" w:hAnsi="Times New Roman" w:cs="Times New Roman"/>
          <w:kern w:val="0"/>
          <w:szCs w:val="22"/>
          <w14:ligatures w14:val="none"/>
        </w:rPr>
        <w:t xml:space="preserve"> zaproponowano zmianę polegającą na rozszerzeniu zakresu obowiązku ochrony tajemnicy zawodowej także na te przypadki, gdy z żądaniem ujawnienia informacji uzyskanych przez radcę prawnego w związku z udzielaniem pomocy prawnej występują inne podmioty niż Prezes UODO.</w:t>
      </w:r>
    </w:p>
    <w:p w14:paraId="6EE083ED" w14:textId="256B9699"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 xml:space="preserve">Zmiany poczynione w </w:t>
      </w:r>
      <w:r w:rsidRPr="00CF2333">
        <w:rPr>
          <w:rFonts w:ascii="Times New Roman" w:eastAsia="Calibri" w:hAnsi="Times New Roman" w:cs="Times New Roman"/>
          <w:b/>
          <w:kern w:val="0"/>
          <w:szCs w:val="22"/>
          <w14:ligatures w14:val="none"/>
        </w:rPr>
        <w:t>art. 5c</w:t>
      </w:r>
      <w:r w:rsidRPr="00CF2333">
        <w:rPr>
          <w:rFonts w:ascii="Times New Roman" w:eastAsia="Calibri" w:hAnsi="Times New Roman" w:cs="Times New Roman"/>
          <w:kern w:val="0"/>
          <w:szCs w:val="22"/>
          <w14:ligatures w14:val="none"/>
        </w:rPr>
        <w:t xml:space="preserve"> sprowadzają się do ustalenia zasady ogólnej w zakresie retencji danych stanowiącej, że okres przechowywania danych osobowych ustala administrator danych zgodnie z celami ich przetwarzania, i dokonuje przeglądu tych danych co 5 lat. Konsekwencją tej zmiany jest rezygnacja z dotychczasowo „sztywno” określonych okresów przechowywania danych przetwarzanych przez radców prawnych w ramach wykonywania zawodu, z jednoczesnym pozostawaniem ustawowych okresów przechowywania danych: 10-letniego (w przypadku postępowań prowadzonych przez organy samorządu zawodowego radców prawnych i nadzoru nad tymi post</w:t>
      </w:r>
      <w:r w:rsidR="005319CE">
        <w:rPr>
          <w:rFonts w:ascii="Times New Roman" w:eastAsia="Calibri" w:hAnsi="Times New Roman" w:cs="Times New Roman"/>
          <w:kern w:val="0"/>
          <w:szCs w:val="22"/>
          <w14:ligatures w14:val="none"/>
        </w:rPr>
        <w:t>ę</w:t>
      </w:r>
      <w:r w:rsidRPr="00CF2333">
        <w:rPr>
          <w:rFonts w:ascii="Times New Roman" w:eastAsia="Calibri" w:hAnsi="Times New Roman" w:cs="Times New Roman"/>
          <w:kern w:val="0"/>
          <w:szCs w:val="22"/>
          <w14:ligatures w14:val="none"/>
        </w:rPr>
        <w:t xml:space="preserve">powaniami) oraz 15-letniego odnoszącego się do postępowań dyscyplinarnych. </w:t>
      </w:r>
    </w:p>
    <w:p w14:paraId="3631FD8E"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 xml:space="preserve">W dodawanym </w:t>
      </w:r>
      <w:r w:rsidRPr="00CF2333">
        <w:rPr>
          <w:rFonts w:ascii="Times New Roman" w:eastAsia="Calibri" w:hAnsi="Times New Roman" w:cs="Times New Roman"/>
          <w:b/>
          <w:kern w:val="0"/>
          <w:szCs w:val="22"/>
          <w14:ligatures w14:val="none"/>
        </w:rPr>
        <w:t>art. 5d</w:t>
      </w:r>
      <w:r w:rsidRPr="00CF2333">
        <w:rPr>
          <w:rFonts w:ascii="Times New Roman" w:eastAsia="Calibri" w:hAnsi="Times New Roman" w:cs="Times New Roman"/>
          <w:kern w:val="0"/>
          <w:szCs w:val="22"/>
          <w14:ligatures w14:val="none"/>
        </w:rPr>
        <w:t xml:space="preserve"> zdecydowano się na wskazanie w ustawie, że Krajowa Izba Radców Prawnych oraz okręgowe izby radców prawnych są administratorami danych przetwarzanych w celach i realizacji obowiązków organów samorządu radców prawnych odpowiednio na szczeblu krajowym i okręgowym. Rozwiązanie zostało w części oparte na funkcjonującym modelu w art. 2a ustawy z dnia 11 maja 2017 r. o biegłych rewidentach, firmach audytorskich oraz nadzorze publicznym.</w:t>
      </w:r>
    </w:p>
    <w:p w14:paraId="36D8FE23"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b/>
          <w:kern w:val="0"/>
          <w:szCs w:val="22"/>
          <w14:ligatures w14:val="none"/>
        </w:rPr>
        <w:t>Art. 5e</w:t>
      </w:r>
      <w:r w:rsidRPr="00CF2333">
        <w:rPr>
          <w:rFonts w:ascii="Times New Roman" w:eastAsia="Calibri" w:hAnsi="Times New Roman" w:cs="Times New Roman"/>
          <w:kern w:val="0"/>
          <w:szCs w:val="22"/>
          <w14:ligatures w14:val="none"/>
        </w:rPr>
        <w:t xml:space="preserve"> będzie natomiast stanowił istotne ułatwienie dla Krajowej Izby Radców Prawnych i okręgowych izby radców prawnych w realizacji obowiązków informacyjnych wynikających z RODO. Ustanawia się bowiem możliwość realizacji obowiązku przekazania osobie od której dane osobowe są pozyskiwane, informacji, o których mowa w art. 13 ust. 1 i 2 rozporządzenia 2016/679, przez udostępnienie informacji, o których mowa w art. 13 ust. 1 i 2 tego rozporządzenia, w Biuletynie Informacji Publicznej na swojej stronie podmiotowej, na swojej stronie internetowej lub w widocznym miejscu w swojej siedzibie. Dodatkowo w ust. 2 i 3 wprowadzono nową regulację wskazującą sposób realizacji uprawnień i obowiązków, o których mowa w art. 15 i art. 18 rozporządzenia 2016/679.</w:t>
      </w:r>
    </w:p>
    <w:p w14:paraId="3D9A5E7B"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p>
    <w:p w14:paraId="66275F63" w14:textId="77777777" w:rsidR="00CF2333" w:rsidRPr="00CF2333" w:rsidRDefault="00CF2333" w:rsidP="00CF2333">
      <w:pPr>
        <w:spacing w:line="360" w:lineRule="auto"/>
        <w:jc w:val="both"/>
        <w:rPr>
          <w:rFonts w:ascii="Times New Roman" w:eastAsia="Calibri" w:hAnsi="Times New Roman" w:cs="Times New Roman"/>
          <w:b/>
          <w:kern w:val="0"/>
          <w:szCs w:val="22"/>
          <w14:ligatures w14:val="none"/>
        </w:rPr>
      </w:pPr>
      <w:r w:rsidRPr="00CF2333">
        <w:rPr>
          <w:rFonts w:ascii="Times New Roman" w:eastAsia="Calibri" w:hAnsi="Times New Roman" w:cs="Times New Roman"/>
          <w:b/>
          <w:kern w:val="0"/>
          <w:szCs w:val="22"/>
          <w14:ligatures w14:val="none"/>
        </w:rPr>
        <w:t>Ubezpieczenie radcy prawnego odpowiedzialności cywilnej.</w:t>
      </w:r>
    </w:p>
    <w:p w14:paraId="0F83367B"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 xml:space="preserve">Celem projektowanej zmiany w zakresie ubezpieczenia odpowiedzialności cywilnej radców prawnych jest stworzenie jednoznacznej ustawowej podstawy prawnej dla kontynuacji wdrożonego </w:t>
      </w:r>
      <w:r w:rsidRPr="00CF2333">
        <w:rPr>
          <w:rFonts w:ascii="Times New Roman" w:eastAsia="Calibri" w:hAnsi="Times New Roman" w:cs="Times New Roman"/>
          <w:kern w:val="0"/>
          <w:szCs w:val="22"/>
          <w14:ligatures w14:val="none"/>
        </w:rPr>
        <w:lastRenderedPageBreak/>
        <w:t xml:space="preserve">i stosowanego w ramach samorządu zawodowego radców prawnych rozwiązania, zgodnie z którym umowa ubezpieczenia odpowiedzialności cywilnej za szkody wyrządzone przy wykonywaniu czynności zawodowych przez radców prawnych jest zawierana na rzecz radców prawnych przez Krajową Izbę Radców Prawnych reprezentowaną na ogólnych zasadach przez uprawnionych członków Prezydium Krajowej Rady Radców Prawnych. Możliwość zawarcia umowy ubezpieczenia na rzecz radców prawnych wynika z przepisów Kodeksu cywilnego (art. 808 kc). Jest to rozwiązanie stosowane z powodzeniem od wielu już lat. Jego zaletą jest możliwość uzyskania istotnie korzystniejszych warunków ubezpieczenia niż gdyby umowy ubezpieczenia zawierane były przez poszczególnych radców prawnych. Oczywistym jest, że liczba ubezpieczonych w ramach jednej umowy radców prawnych jest istotnym czynnikiem wpływającym na ustalenie warunków ubezpieczenia (sumy gwarancyjnej oraz składki ubezpieczeniowej) przez ubezpieczyciela. Rozwiązanie to zapewnia także organom samorządu możliwość efektywnego sprawowania pieczy nad wykonywaniem przez radców prawnych ustawowego obowiązku posiadania takiego ubezpieczenia. </w:t>
      </w:r>
    </w:p>
    <w:p w14:paraId="37CDB42C" w14:textId="3E09123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Wprowadzane przepisy przewidują więc wprost zawieranie przez Krajową Izbę Radców Prawnych umowy ubezpieczenia odpowiedzialności cywilnej za szkody wyrządzone przy wykonywaniu czynności zawodowych przez radców prawnych. Jednocześnie uwzględniając fakt, że obowiązek posiadania ubezpieczenia jest obowiązkiem adresowanym przez ustawodawcę indywidualnie wobec każdego radcy prawnego, projekt przewiduje, że zainteresowany radca prawny będzie mógł złożyć oświadczenie, którego skutkiem będzie wyłączenie go spod ubezpieczenia grupowego, pod warunkiem wykazania przez radcę prawnego, że zrealizował ustawowy obowiązek posiadania ubezpieczenia o warunkach co najmniej odpowiadających treści rozporządzenia wydawanego na podstawie art. 22</w:t>
      </w:r>
      <w:r w:rsidRPr="00CF2333">
        <w:rPr>
          <w:rFonts w:ascii="Times New Roman" w:eastAsia="Calibri" w:hAnsi="Times New Roman" w:cs="Times New Roman"/>
          <w:kern w:val="0"/>
          <w:szCs w:val="22"/>
          <w:vertAlign w:val="superscript"/>
          <w14:ligatures w14:val="none"/>
        </w:rPr>
        <w:t>8</w:t>
      </w:r>
      <w:r w:rsidRPr="00CF2333">
        <w:rPr>
          <w:rFonts w:ascii="Times New Roman" w:eastAsia="Calibri" w:hAnsi="Times New Roman" w:cs="Times New Roman"/>
          <w:kern w:val="0"/>
          <w:szCs w:val="22"/>
          <w14:ligatures w14:val="none"/>
        </w:rPr>
        <w:t xml:space="preserve"> ustawy.</w:t>
      </w:r>
    </w:p>
    <w:p w14:paraId="6985CB42"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Pozostałe proponowane zmiany stanowią pochodną zmiany brzmienia art. 22</w:t>
      </w:r>
      <w:r w:rsidRPr="00CF2333">
        <w:rPr>
          <w:rFonts w:ascii="Times New Roman" w:eastAsia="Calibri" w:hAnsi="Times New Roman" w:cs="Times New Roman"/>
          <w:kern w:val="0"/>
          <w:szCs w:val="22"/>
          <w:vertAlign w:val="superscript"/>
          <w14:ligatures w14:val="none"/>
        </w:rPr>
        <w:t>7</w:t>
      </w:r>
      <w:r w:rsidRPr="00CF2333">
        <w:rPr>
          <w:rFonts w:ascii="Times New Roman" w:eastAsia="Calibri" w:hAnsi="Times New Roman" w:cs="Times New Roman"/>
          <w:kern w:val="0"/>
          <w:szCs w:val="22"/>
          <w14:ligatures w14:val="none"/>
        </w:rPr>
        <w:t xml:space="preserve"> ustawy. </w:t>
      </w:r>
    </w:p>
    <w:p w14:paraId="4CD3838F" w14:textId="77777777" w:rsidR="00CF2333" w:rsidRPr="00CF2333" w:rsidRDefault="00CF2333" w:rsidP="00CF2333">
      <w:pPr>
        <w:spacing w:line="360" w:lineRule="auto"/>
        <w:jc w:val="both"/>
        <w:rPr>
          <w:rFonts w:ascii="Times New Roman" w:eastAsia="Calibri" w:hAnsi="Times New Roman" w:cs="Times New Roman"/>
          <w:kern w:val="0"/>
          <w:szCs w:val="22"/>
          <w14:ligatures w14:val="none"/>
        </w:rPr>
      </w:pPr>
    </w:p>
    <w:p w14:paraId="696AE3F5" w14:textId="77777777" w:rsidR="00CF2333" w:rsidRPr="00CF2333" w:rsidRDefault="00CF2333" w:rsidP="00CF2333">
      <w:pPr>
        <w:spacing w:line="360" w:lineRule="auto"/>
        <w:jc w:val="both"/>
        <w:rPr>
          <w:rFonts w:ascii="Times New Roman" w:eastAsia="Calibri" w:hAnsi="Times New Roman" w:cs="Times New Roman"/>
          <w:b/>
          <w:kern w:val="0"/>
          <w:szCs w:val="22"/>
          <w14:ligatures w14:val="none"/>
        </w:rPr>
      </w:pPr>
      <w:r w:rsidRPr="00CF2333">
        <w:rPr>
          <w:rFonts w:ascii="Times New Roman" w:eastAsia="Calibri" w:hAnsi="Times New Roman" w:cs="Times New Roman"/>
          <w:b/>
          <w:kern w:val="0"/>
          <w:szCs w:val="22"/>
          <w14:ligatures w14:val="none"/>
        </w:rPr>
        <w:t>Status aplikanta radcowskiego w okresie od podjęcia uchwały o wpisie na listę radców prawnych do czasu ślubowania.</w:t>
      </w:r>
    </w:p>
    <w:p w14:paraId="44B81422"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 xml:space="preserve">Zgodnie z art. 37 ust. 1 pkt 3 ustawy aplikanta radcowskiego skreśla się z listy aplikantów radcowskich w wypadku wpisu na listę radców prawnych. Natomiast prawo wykonywania zawodu radcy prawnego powstaje z chwilą dokonania wpisu na listę radców prawnych i złożenia ślubowania (art. 23). </w:t>
      </w:r>
    </w:p>
    <w:p w14:paraId="64E925EE"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lastRenderedPageBreak/>
        <w:t>Powołane powyżej przepisy budzą wątpliwości interpretacyjne dotyczące okresu pomiędzy podjęciem uchwały o wpisie na listę radców prawnych a dniem ślubowania, w związku z faktem, iż przesłanką skreślenia z listy aplikantów jest wpis na listę radców prawnych. Wątpliwości budzi kwestia zachowania wynikających z art. 35</w:t>
      </w:r>
      <w:r w:rsidRPr="00CF2333">
        <w:rPr>
          <w:rFonts w:ascii="Times New Roman" w:eastAsia="Calibri" w:hAnsi="Times New Roman" w:cs="Times New Roman"/>
          <w:kern w:val="0"/>
          <w:szCs w:val="22"/>
          <w:vertAlign w:val="superscript"/>
          <w14:ligatures w14:val="none"/>
        </w:rPr>
        <w:t>1</w:t>
      </w:r>
      <w:r w:rsidRPr="00CF2333">
        <w:rPr>
          <w:rFonts w:ascii="Times New Roman" w:eastAsia="Calibri" w:hAnsi="Times New Roman" w:cs="Times New Roman"/>
          <w:kern w:val="0"/>
          <w:szCs w:val="22"/>
          <w14:ligatures w14:val="none"/>
        </w:rPr>
        <w:t xml:space="preserve"> ustawy praw, m.in. prawa zastępowania radcy prawnego przed sądami. </w:t>
      </w:r>
    </w:p>
    <w:p w14:paraId="5F610389"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W orzecznictwie i literaturze przedmiotu, przeważa pogląd, iż osoba, która została skreślona z listy aplikantów w wypadku wpisu na listę radców prawnych, a nie złożyła jeszcze ślubowania, nie może być ani zastępcą radcy prawnego (bo nie ma już statusu aplikanta) ani jego substytutem (bo nie ma jeszcze statusu radcy prawnego). Stan taki trwa od daty podjęcia uchwały o wpisie na listę radców prawnych do dnia ślubowania. W szczególności osoba taka nie powinna występować w postępowaniu sądowym, gdyż może to w określonych przypadkach stanowić podstawę stwierdzenia nieważności postępowania. Zatem konieczna jest interwencja legislacyjna.</w:t>
      </w:r>
    </w:p>
    <w:p w14:paraId="27D18413" w14:textId="77777777" w:rsidR="00CF2333" w:rsidRPr="00CF2333" w:rsidRDefault="00CF2333" w:rsidP="00CF2333">
      <w:pPr>
        <w:spacing w:line="360" w:lineRule="auto"/>
        <w:jc w:val="both"/>
        <w:rPr>
          <w:rFonts w:ascii="Times New Roman" w:eastAsia="Calibri" w:hAnsi="Times New Roman" w:cs="Times New Roman"/>
          <w:b/>
          <w:kern w:val="0"/>
          <w:szCs w:val="22"/>
          <w14:ligatures w14:val="none"/>
        </w:rPr>
      </w:pPr>
    </w:p>
    <w:p w14:paraId="2BC4968F" w14:textId="77777777" w:rsidR="00CF2333" w:rsidRPr="00CF2333" w:rsidRDefault="00CF2333" w:rsidP="00CF2333">
      <w:pPr>
        <w:spacing w:line="360" w:lineRule="auto"/>
        <w:jc w:val="both"/>
        <w:rPr>
          <w:rFonts w:ascii="Times New Roman" w:eastAsia="Calibri" w:hAnsi="Times New Roman" w:cs="Times New Roman"/>
          <w:b/>
          <w:kern w:val="0"/>
          <w:szCs w:val="22"/>
          <w14:ligatures w14:val="none"/>
        </w:rPr>
      </w:pPr>
      <w:r w:rsidRPr="00CF2333">
        <w:rPr>
          <w:rFonts w:ascii="Times New Roman" w:eastAsia="Calibri" w:hAnsi="Times New Roman" w:cs="Times New Roman"/>
          <w:b/>
          <w:kern w:val="0"/>
          <w:szCs w:val="22"/>
          <w14:ligatures w14:val="none"/>
        </w:rPr>
        <w:t>Zmiana dotycząca obrad zdalnych i trybu obiegowego rozpatrywania spraw.</w:t>
      </w:r>
    </w:p>
    <w:p w14:paraId="2FD0B4A2"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Celem nowelizacji jest usprawnienie funkcjonowania organów samorządu zawodowego radców prawnych, uwzględniające dotychczasowe doświadczenia, w tym zakres i efektywność rozwiązań wprowadzonych do systemu prawnego jako rozwiązania okresowe, obowiązujące w stanie epidemii lub zagrożenia epidemicznego. Nowelizacja obejmuje dwa systemowe zagadnienia istotne dla sprawnego funkcjonowania organów samorządu radców prawnych.</w:t>
      </w:r>
    </w:p>
    <w:p w14:paraId="74AE65AB"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Po pierwsze, nowelizacja wprowadza możliwość korzystania z bardziej elastycznych form funkcjonowania przez:</w:t>
      </w:r>
    </w:p>
    <w:p w14:paraId="617F4183"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w:t>
      </w:r>
      <w:r w:rsidRPr="00CF2333">
        <w:rPr>
          <w:rFonts w:ascii="Times New Roman" w:eastAsia="Calibri" w:hAnsi="Times New Roman" w:cs="Times New Roman"/>
          <w:kern w:val="0"/>
          <w:szCs w:val="22"/>
          <w14:ligatures w14:val="none"/>
        </w:rPr>
        <w:tab/>
        <w:t>kolegialne organy samorządu zawodowego (Krajowy Zjazd Radców Prawnych, Krajową Radę Radców Prawnych, Wyższą Komisję Rewizyjną, Wyższy Sąd Dyscyplinarny, zgromadzenie okręgowej izby radców prawnych, radę okręgowej izby radców prawnych, okręgową komisję rewizyjną, okręgowy sąd dyscyplinarny),</w:t>
      </w:r>
    </w:p>
    <w:p w14:paraId="6A012A1C"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w:t>
      </w:r>
      <w:r w:rsidRPr="00CF2333">
        <w:rPr>
          <w:rFonts w:ascii="Times New Roman" w:eastAsia="Calibri" w:hAnsi="Times New Roman" w:cs="Times New Roman"/>
          <w:kern w:val="0"/>
          <w:szCs w:val="22"/>
          <w14:ligatures w14:val="none"/>
        </w:rPr>
        <w:tab/>
        <w:t>Prezydium Krajowej Rady Radców Prawnych oraz prezydium rady okręgowej izby radców prawnych jako organy wykonawcze odpowiednio Krajowej Rady Radców Prawnych oraz rady okręgowej izby radców prawnych.</w:t>
      </w:r>
    </w:p>
    <w:p w14:paraId="49B9671D"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Przewidziane nowelizacją ułatwienia w funkcjonowaniu tych organów obejmują możliwość:</w:t>
      </w:r>
    </w:p>
    <w:p w14:paraId="68B58F6F"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lastRenderedPageBreak/>
        <w:t></w:t>
      </w:r>
      <w:r w:rsidRPr="00CF2333">
        <w:rPr>
          <w:rFonts w:ascii="Times New Roman" w:eastAsia="Calibri" w:hAnsi="Times New Roman" w:cs="Times New Roman"/>
          <w:kern w:val="0"/>
          <w:szCs w:val="22"/>
          <w14:ligatures w14:val="none"/>
        </w:rPr>
        <w:tab/>
        <w:t>odbywania posiedzeń przy wykorzystaniu środków bezpośredniego porozumiewania się na odległość, w tym odbywania posiedzeń tzw. hybrydowych, w czasie których ze środków bezpośredniego porozumiewania się na odległość korzystają niektórzy uczestnicy posiedzenia, a pozostali są obecni w miejscu odbywania posiedzenia,</w:t>
      </w:r>
    </w:p>
    <w:p w14:paraId="184C959B"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w:t>
      </w:r>
      <w:r w:rsidRPr="00CF2333">
        <w:rPr>
          <w:rFonts w:ascii="Times New Roman" w:eastAsia="Calibri" w:hAnsi="Times New Roman" w:cs="Times New Roman"/>
          <w:kern w:val="0"/>
          <w:szCs w:val="22"/>
          <w14:ligatures w14:val="none"/>
        </w:rPr>
        <w:tab/>
        <w:t>podejmowania uchwał przy wykorzystaniu środków bezpośredniego porozumiewania się na odległość,</w:t>
      </w:r>
    </w:p>
    <w:p w14:paraId="4D140D96"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w:t>
      </w:r>
      <w:r w:rsidRPr="00CF2333">
        <w:rPr>
          <w:rFonts w:ascii="Times New Roman" w:eastAsia="Calibri" w:hAnsi="Times New Roman" w:cs="Times New Roman"/>
          <w:kern w:val="0"/>
          <w:szCs w:val="22"/>
          <w14:ligatures w14:val="none"/>
        </w:rPr>
        <w:tab/>
        <w:t>podejmowania uchwał w trybie obiegowym.</w:t>
      </w:r>
    </w:p>
    <w:p w14:paraId="155A08C3"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Wyboru trybu przeprowadzenia posiedzenia oraz trybu przyjęcia uchwały dokonywał będzie przewodniczący danego gremium lub organu uprawnionego do zwołania posiedzenia.</w:t>
      </w:r>
    </w:p>
    <w:p w14:paraId="3A0EEF71"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 xml:space="preserve">Zaproponowane przepisy stanowić mają stały element proceduralny w funkcjonowaniu wskazanych podmiotów. Przydatność tych instrumentów prawnych potwierdziło stosowanie relewantnych przepisów ustawy z dnia 2 marca 2020 r. o szczególnych rozwiązaniach związanych z zapobieganiem, przeciwdziałaniem i zwalczaniem COVID-19, innych chorób zakaźnych oraz wywołanych nimi sytuacji kryzysowych (Dz. U. z 2021 r., poz. 2095, ze zm.). Liczba członków organów samorządowych, członkostwo w tych organach osób mieszkających także w miejscowościach znacznie oddalonych od siedziby organu – mogą w poszczególnych przypadkach przesądzać o zasadności zastosowania wymienionych powyżej narzędzi proceduralnych. </w:t>
      </w:r>
    </w:p>
    <w:p w14:paraId="6A048A48"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Wobec różnorodności podmiotów, których dotyczyć będą projektowane rozwiązania, nie jest potrzebne ani zasadne szczegółowe regulowanie w przepisach ustawy trybu procedowania przez poszczególne organy stosujące środki bezpośredniego porozumiewania się na odległość lub przyjmujące uchwały w trybie obiegowym. Zasady te określone zostaną przez Krajową Radę Radców Prawnych na podstawie obowiązującego już upoważnienia ustawowego do wydania regulaminu działalności samorządu i jego organów (art. 80 pkt 8 lit a nowelizowanej ustawy).</w:t>
      </w:r>
    </w:p>
    <w:p w14:paraId="4B39C9E4"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Wprowadzenie projektowanych rozwiązań jako stałych elementów proceduralnych ujętych w ustawie o radcach prawnych pozwoli na ich stosowanie w każdym przypadku, gdy właściwe organy uznają to za potrzebne dla efektywnego wykonywania swoich zadań, niezależnie od epizodyczności regulacji stosowanych w związku z epidemią COVID-19.</w:t>
      </w:r>
    </w:p>
    <w:p w14:paraId="03031296"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 xml:space="preserve">Drugie systemowe rozwiązanie przewidziane nowelizacją odnosi się do uchwał podejmowanych przez Krajową Radę Radców Prawnych, Prezydium Krajowej Rady Radców Prawnych oraz rady okręgowych izb radców prawnych. Wzgląd na efektywność procedowania przyjętych przez kolegialne organy samorządowe uchwał, w tym zapewnienia zainteresowanym </w:t>
      </w:r>
      <w:r w:rsidRPr="00CF2333">
        <w:rPr>
          <w:rFonts w:ascii="Times New Roman" w:eastAsia="Calibri" w:hAnsi="Times New Roman" w:cs="Times New Roman"/>
          <w:kern w:val="0"/>
          <w:szCs w:val="22"/>
          <w14:ligatures w14:val="none"/>
        </w:rPr>
        <w:lastRenderedPageBreak/>
        <w:t>stronom możliwości szybkiego skorzystania z przysługujących im środków zaskarżenia, prowadzi do propozycji, aby uchwały podpisywane były odpowiednio przez:</w:t>
      </w:r>
    </w:p>
    <w:p w14:paraId="27ECC768"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w:t>
      </w:r>
      <w:r w:rsidRPr="00CF2333">
        <w:rPr>
          <w:rFonts w:ascii="Times New Roman" w:eastAsia="Calibri" w:hAnsi="Times New Roman" w:cs="Times New Roman"/>
          <w:kern w:val="0"/>
          <w:szCs w:val="22"/>
          <w14:ligatures w14:val="none"/>
        </w:rPr>
        <w:tab/>
        <w:t>Prezesa Krajowej Rady Radców Prawnych albo działającego z jego upoważnienia innego członka danego organu (Krajowej Rady Radców Prawnych albo Prezydium Krajowej Rady Radców Prawnych) biorącego udział w głosowaniu,</w:t>
      </w:r>
    </w:p>
    <w:p w14:paraId="41AA9C21"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w:t>
      </w:r>
      <w:r w:rsidRPr="00CF2333">
        <w:rPr>
          <w:rFonts w:ascii="Times New Roman" w:eastAsia="Calibri" w:hAnsi="Times New Roman" w:cs="Times New Roman"/>
          <w:kern w:val="0"/>
          <w:szCs w:val="22"/>
          <w14:ligatures w14:val="none"/>
        </w:rPr>
        <w:tab/>
        <w:t>dziekana rady okręgowej izby radców prawnych albo działającego z jego upoważnienia innego członka rady lub prezydiów rad okręgowych izb radców prawnych biorącego udział w głosowaniu.</w:t>
      </w:r>
    </w:p>
    <w:p w14:paraId="49346312" w14:textId="77777777" w:rsid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 xml:space="preserve">Dodanie przedmiotowego przepisu do ustawy oczywiście nie będzie miało wpływu na sposób przyjmowania tego typu uchwał przez wskazane organy, usprawni to jedynie etap formalizowania elementów wymaganych od aktów podobnych do decyzji administracyjnej. </w:t>
      </w:r>
    </w:p>
    <w:p w14:paraId="6D24F6E7" w14:textId="77777777" w:rsidR="00CF2333" w:rsidRDefault="00CF2333" w:rsidP="00CF2333">
      <w:pPr>
        <w:spacing w:line="360" w:lineRule="auto"/>
        <w:jc w:val="both"/>
        <w:rPr>
          <w:rFonts w:ascii="Times New Roman" w:eastAsia="Calibri" w:hAnsi="Times New Roman" w:cs="Times New Roman"/>
          <w:kern w:val="0"/>
          <w:szCs w:val="22"/>
          <w14:ligatures w14:val="none"/>
        </w:rPr>
      </w:pPr>
    </w:p>
    <w:p w14:paraId="1C9BBCE8" w14:textId="07FA11D1" w:rsidR="00CF2333" w:rsidRPr="00CF2333" w:rsidRDefault="00CF2333" w:rsidP="00CF2333">
      <w:pPr>
        <w:spacing w:line="360" w:lineRule="auto"/>
        <w:jc w:val="both"/>
        <w:rPr>
          <w:rFonts w:ascii="Times New Roman" w:eastAsia="Calibri" w:hAnsi="Times New Roman" w:cs="Times New Roman"/>
          <w:b/>
          <w:kern w:val="0"/>
          <w:szCs w:val="22"/>
          <w14:ligatures w14:val="none"/>
        </w:rPr>
      </w:pPr>
      <w:r w:rsidRPr="00CF2333">
        <w:rPr>
          <w:rFonts w:ascii="Times New Roman" w:eastAsia="Calibri" w:hAnsi="Times New Roman" w:cs="Times New Roman"/>
          <w:b/>
          <w:kern w:val="0"/>
          <w:szCs w:val="22"/>
          <w14:ligatures w14:val="none"/>
        </w:rPr>
        <w:t>Zmiany w zakresie wykonalności prawomocnych i kończących postępowanie orzeczeń Wyższego Sąd</w:t>
      </w:r>
      <w:r w:rsidR="00BD2681">
        <w:rPr>
          <w:rFonts w:ascii="Times New Roman" w:eastAsia="Calibri" w:hAnsi="Times New Roman" w:cs="Times New Roman"/>
          <w:b/>
          <w:kern w:val="0"/>
          <w:szCs w:val="22"/>
          <w14:ligatures w14:val="none"/>
        </w:rPr>
        <w:t>u</w:t>
      </w:r>
      <w:r w:rsidRPr="00CF2333">
        <w:rPr>
          <w:rFonts w:ascii="Times New Roman" w:eastAsia="Calibri" w:hAnsi="Times New Roman" w:cs="Times New Roman"/>
          <w:b/>
          <w:kern w:val="0"/>
          <w:szCs w:val="22"/>
          <w14:ligatures w14:val="none"/>
        </w:rPr>
        <w:t xml:space="preserve"> Dyscyplinarnego Krajowej Izby Radców Prawnych</w:t>
      </w:r>
      <w:r w:rsidRPr="00CF2333">
        <w:rPr>
          <w:b/>
        </w:rPr>
        <w:t xml:space="preserve"> </w:t>
      </w:r>
    </w:p>
    <w:p w14:paraId="1CC2C458" w14:textId="2F40AB11" w:rsidR="00CF2333" w:rsidRPr="00CF2333" w:rsidRDefault="00CF2333" w:rsidP="00CF2333">
      <w:pPr>
        <w:spacing w:line="360" w:lineRule="auto"/>
        <w:ind w:firstLine="708"/>
        <w:jc w:val="both"/>
        <w:rPr>
          <w:rFonts w:ascii="Times New Roman" w:eastAsia="Calibri" w:hAnsi="Times New Roman" w:cs="Times New Roman"/>
          <w:bCs/>
          <w:kern w:val="0"/>
          <w:szCs w:val="22"/>
          <w14:ligatures w14:val="none"/>
        </w:rPr>
      </w:pPr>
      <w:r w:rsidRPr="00CF2333">
        <w:rPr>
          <w:rFonts w:ascii="Times New Roman" w:eastAsia="Calibri" w:hAnsi="Times New Roman" w:cs="Times New Roman"/>
          <w:bCs/>
          <w:kern w:val="0"/>
          <w:szCs w:val="22"/>
          <w14:ligatures w14:val="none"/>
        </w:rPr>
        <w:t>Zmiana art. 62² ust. 1 polegająca na dodaniu</w:t>
      </w:r>
      <w:r w:rsidR="006F08C4">
        <w:rPr>
          <w:rFonts w:ascii="Times New Roman" w:eastAsia="Calibri" w:hAnsi="Times New Roman" w:cs="Times New Roman"/>
          <w:bCs/>
          <w:kern w:val="0"/>
          <w:szCs w:val="22"/>
          <w14:ligatures w14:val="none"/>
        </w:rPr>
        <w:t xml:space="preserve"> normy</w:t>
      </w:r>
      <w:r w:rsidRPr="00CF2333">
        <w:rPr>
          <w:rFonts w:ascii="Times New Roman" w:eastAsia="Calibri" w:hAnsi="Times New Roman" w:cs="Times New Roman"/>
          <w:bCs/>
          <w:kern w:val="0"/>
          <w:szCs w:val="22"/>
          <w14:ligatures w14:val="none"/>
        </w:rPr>
        <w:t xml:space="preserve">, że kasacja przysługuje od orzeczenia prawomocnego i kończącego postępowanie stanowi doprecyzowanie zakresu orzeczeń, podlegających zaskarżeniu w trybie kasacji. </w:t>
      </w:r>
    </w:p>
    <w:p w14:paraId="76F33497" w14:textId="155548A8" w:rsidR="00CF2333" w:rsidRPr="00CF2333" w:rsidRDefault="00CF2333" w:rsidP="00CF2333">
      <w:pPr>
        <w:spacing w:line="360" w:lineRule="auto"/>
        <w:ind w:firstLine="708"/>
        <w:jc w:val="both"/>
        <w:rPr>
          <w:rFonts w:ascii="Times New Roman" w:eastAsia="Calibri" w:hAnsi="Times New Roman" w:cs="Times New Roman"/>
          <w:bCs/>
          <w:kern w:val="0"/>
          <w:szCs w:val="22"/>
          <w14:ligatures w14:val="none"/>
        </w:rPr>
      </w:pPr>
      <w:r w:rsidRPr="00CF2333">
        <w:rPr>
          <w:rFonts w:ascii="Times New Roman" w:eastAsia="Calibri" w:hAnsi="Times New Roman" w:cs="Times New Roman"/>
          <w:bCs/>
          <w:kern w:val="0"/>
          <w:szCs w:val="22"/>
          <w14:ligatures w14:val="none"/>
        </w:rPr>
        <w:t xml:space="preserve">Wprawdzie </w:t>
      </w:r>
      <w:r w:rsidRPr="00CF2333">
        <w:rPr>
          <w:rFonts w:ascii="Times New Roman" w:eastAsia="Calibri" w:hAnsi="Times New Roman" w:cs="Times New Roman"/>
          <w:bCs/>
          <w:i/>
          <w:iCs/>
          <w:kern w:val="0"/>
          <w:szCs w:val="22"/>
          <w14:ligatures w14:val="none"/>
        </w:rPr>
        <w:t>de lege lata</w:t>
      </w:r>
      <w:r w:rsidRPr="00CF2333">
        <w:rPr>
          <w:rFonts w:ascii="Times New Roman" w:eastAsia="Calibri" w:hAnsi="Times New Roman" w:cs="Times New Roman"/>
          <w:bCs/>
          <w:kern w:val="0"/>
          <w:szCs w:val="22"/>
          <w14:ligatures w14:val="none"/>
        </w:rPr>
        <w:t xml:space="preserve"> wynika to już z odpowiednio stosowanego w postępowaniu dyscyplinarnym art. 519 Kodeksu postępowania karnego, jednak przepis ten wskazuje na wyroki, nie zaś orzeczenia, które w postępowaniu dyscyplinarnym mają znaczenie swoiste i odpowiadają wydawanym w postępowaniu karnym wyrokom. Może to prowadzić do rozbieżnych interpretacji, a w konsekwencji wymaga jednoznacznego doprecyzowania przedmiotu kasacji w ustawie o radcach prawnych. Warto zauważyć, że podobne rozwiązanie znajduje się także w art. 95 ust. 1 ustawy z dnia 2 grudnia 2009 r. o izbach lekarskich oraz art. 73 ust. 1 ustawy z dnia 1 lipca 2011 r. o samorządzie pielęgniarek i położnych.</w:t>
      </w:r>
    </w:p>
    <w:p w14:paraId="6B356FC7" w14:textId="547F730F" w:rsidR="00CF2333" w:rsidRPr="00CF2333" w:rsidRDefault="00CF2333" w:rsidP="00CF2333">
      <w:pPr>
        <w:spacing w:line="360" w:lineRule="auto"/>
        <w:jc w:val="both"/>
        <w:rPr>
          <w:rFonts w:ascii="Times New Roman" w:eastAsia="Calibri" w:hAnsi="Times New Roman" w:cs="Times New Roman"/>
          <w:bCs/>
          <w:kern w:val="0"/>
          <w:szCs w:val="22"/>
          <w14:ligatures w14:val="none"/>
        </w:rPr>
      </w:pPr>
      <w:r w:rsidRPr="00CF2333">
        <w:rPr>
          <w:rFonts w:ascii="Times New Roman" w:eastAsia="Calibri" w:hAnsi="Times New Roman" w:cs="Times New Roman"/>
          <w:bCs/>
          <w:kern w:val="0"/>
          <w:szCs w:val="22"/>
          <w14:ligatures w14:val="none"/>
        </w:rPr>
        <w:tab/>
        <w:t>Jednocześnie zmiana art. 62² ust. 1 wyraźnie akcentuje prawomocność orzeczeń Wyższego Sądu Dyscyplinarnego, co oznacza w aspekcie materialnym stworzenie stanu powagi rzeczy osądzonej obejmującego przedmiot postępowania, zaś w aspekcie formalnym –</w:t>
      </w:r>
      <w:r>
        <w:rPr>
          <w:rFonts w:ascii="Times New Roman" w:eastAsia="Calibri" w:hAnsi="Times New Roman" w:cs="Times New Roman"/>
          <w:bCs/>
          <w:kern w:val="0"/>
          <w:szCs w:val="22"/>
          <w14:ligatures w14:val="none"/>
        </w:rPr>
        <w:t xml:space="preserve"> </w:t>
      </w:r>
      <w:r w:rsidRPr="00CF2333">
        <w:rPr>
          <w:rFonts w:ascii="Times New Roman" w:eastAsia="Calibri" w:hAnsi="Times New Roman" w:cs="Times New Roman"/>
          <w:bCs/>
          <w:kern w:val="0"/>
          <w:szCs w:val="22"/>
          <w14:ligatures w14:val="none"/>
        </w:rPr>
        <w:t xml:space="preserve">brak możliwości zaskarżenia w drodze zwyczajnych środków odwoławczych. </w:t>
      </w:r>
    </w:p>
    <w:p w14:paraId="7C0E06EC" w14:textId="060F2B97" w:rsidR="00CF2333" w:rsidRPr="00CF2333" w:rsidRDefault="00CF2333" w:rsidP="00CF2333">
      <w:pPr>
        <w:spacing w:line="360" w:lineRule="auto"/>
        <w:ind w:firstLine="708"/>
        <w:jc w:val="both"/>
        <w:rPr>
          <w:rFonts w:ascii="Times New Roman" w:eastAsia="Calibri" w:hAnsi="Times New Roman" w:cs="Times New Roman"/>
          <w:bCs/>
          <w:kern w:val="0"/>
          <w:szCs w:val="22"/>
          <w14:ligatures w14:val="none"/>
        </w:rPr>
      </w:pPr>
      <w:r w:rsidRPr="00CF2333">
        <w:rPr>
          <w:rFonts w:ascii="Times New Roman" w:eastAsia="Calibri" w:hAnsi="Times New Roman" w:cs="Times New Roman"/>
          <w:bCs/>
          <w:kern w:val="0"/>
          <w:szCs w:val="22"/>
          <w14:ligatures w14:val="none"/>
        </w:rPr>
        <w:lastRenderedPageBreak/>
        <w:t>Uchylenie art. 62</w:t>
      </w:r>
      <w:r w:rsidRPr="00CF2333">
        <w:rPr>
          <w:rFonts w:ascii="Times New Roman" w:eastAsia="Calibri" w:hAnsi="Times New Roman" w:cs="Times New Roman"/>
          <w:bCs/>
          <w:kern w:val="0"/>
          <w:szCs w:val="22"/>
          <w:vertAlign w:val="superscript"/>
          <w14:ligatures w14:val="none"/>
        </w:rPr>
        <w:t>2</w:t>
      </w:r>
      <w:r w:rsidRPr="00CF2333">
        <w:rPr>
          <w:rFonts w:ascii="Times New Roman" w:eastAsia="Calibri" w:hAnsi="Times New Roman" w:cs="Times New Roman"/>
          <w:bCs/>
          <w:kern w:val="0"/>
          <w:szCs w:val="22"/>
          <w14:ligatures w14:val="none"/>
        </w:rPr>
        <w:t xml:space="preserve"> ust. 2 oraz art. 62</w:t>
      </w:r>
      <w:r w:rsidRPr="00CF2333">
        <w:rPr>
          <w:rFonts w:ascii="Times New Roman" w:eastAsia="Calibri" w:hAnsi="Times New Roman" w:cs="Times New Roman"/>
          <w:bCs/>
          <w:kern w:val="0"/>
          <w:szCs w:val="22"/>
          <w:vertAlign w:val="superscript"/>
          <w14:ligatures w14:val="none"/>
        </w:rPr>
        <w:t>5</w:t>
      </w:r>
      <w:r w:rsidRPr="00CF2333">
        <w:rPr>
          <w:rFonts w:ascii="Times New Roman" w:eastAsia="Calibri" w:hAnsi="Times New Roman" w:cs="Times New Roman"/>
          <w:bCs/>
          <w:kern w:val="0"/>
          <w:szCs w:val="22"/>
          <w14:ligatures w14:val="none"/>
        </w:rPr>
        <w:t xml:space="preserve"> ust. 2</w:t>
      </w:r>
      <w:r w:rsidRPr="00CF2333">
        <w:rPr>
          <w:rFonts w:ascii="Times New Roman" w:eastAsia="Calibri" w:hAnsi="Times New Roman" w:cs="Times New Roman"/>
          <w:b/>
          <w:kern w:val="0"/>
          <w:szCs w:val="22"/>
          <w14:ligatures w14:val="none"/>
        </w:rPr>
        <w:t xml:space="preserve"> </w:t>
      </w:r>
      <w:r w:rsidRPr="00CF2333">
        <w:rPr>
          <w:rFonts w:ascii="Times New Roman" w:eastAsia="Calibri" w:hAnsi="Times New Roman" w:cs="Times New Roman"/>
          <w:bCs/>
          <w:kern w:val="0"/>
          <w:szCs w:val="22"/>
          <w14:ligatures w14:val="none"/>
        </w:rPr>
        <w:t>oznacza zmianę polegającą na wprowadzeniu natychmiastowej wykonalności prawomocnego i kończącego postępowanie orzeczenia Wyższego Sądu Dyscyplinarnego oraz zniesieniu bezwzględnej suspensywności kasacji w sprawach dyscyplinarnych radców prawnych.</w:t>
      </w:r>
    </w:p>
    <w:p w14:paraId="6329DD24" w14:textId="2071C44E" w:rsidR="00CF2333" w:rsidRPr="00CF2333" w:rsidRDefault="00CF2333" w:rsidP="00CF2333">
      <w:pPr>
        <w:spacing w:line="360" w:lineRule="auto"/>
        <w:ind w:firstLine="708"/>
        <w:jc w:val="both"/>
        <w:rPr>
          <w:rFonts w:ascii="Times New Roman" w:eastAsia="Calibri" w:hAnsi="Times New Roman" w:cs="Times New Roman"/>
          <w:bCs/>
          <w:kern w:val="0"/>
          <w:szCs w:val="22"/>
          <w14:ligatures w14:val="none"/>
        </w:rPr>
      </w:pPr>
      <w:r w:rsidRPr="00CF2333">
        <w:rPr>
          <w:rFonts w:ascii="Times New Roman" w:eastAsia="Calibri" w:hAnsi="Times New Roman" w:cs="Times New Roman"/>
          <w:bCs/>
          <w:kern w:val="0"/>
          <w:szCs w:val="22"/>
          <w14:ligatures w14:val="none"/>
        </w:rPr>
        <w:t>Zniesienie bezwzględnej suspensywności kasacji związane jest z długotrwałym obowiązywaniem obecnego modelu kasacji od orzeczeń dyscyplinarnych w sprawach radców prawnych, skutkującej rozpowszechnieniem i utrwaleniem standardów orzecznictwa sądów karnych w sądach dyscyplinarnych, czego konsekwencją była również daleko posunięta profesjonalizacja i wzrost jakości orzecznictwa sądów dyscyplinarnych. W konsekwencji utrzymywanie bezwzględnej suspensywności kasacji straciło rację bytu. Dla zapewnienia skutecznej kontroli sądowej w toku postępowania kasacyjnego jako wystarczający jawi się mechanizm względnej suspensywności, przewidziany w art. 532 Kodeksu postępowania karnego (odpowiednio stosowanym w postępowaniu dyscyplinarnym radców prawnych – w zw. z art. 74¹ pkt 1 nowelizowanej ustawy). Sąd Najwyższy, na podstawie art. 532 § 1 Kodeksu post</w:t>
      </w:r>
      <w:r w:rsidR="005319CE">
        <w:rPr>
          <w:rFonts w:ascii="Times New Roman" w:eastAsia="Calibri" w:hAnsi="Times New Roman" w:cs="Times New Roman"/>
          <w:bCs/>
          <w:kern w:val="0"/>
          <w:szCs w:val="22"/>
          <w14:ligatures w14:val="none"/>
        </w:rPr>
        <w:t>ę</w:t>
      </w:r>
      <w:r w:rsidRPr="00CF2333">
        <w:rPr>
          <w:rFonts w:ascii="Times New Roman" w:eastAsia="Calibri" w:hAnsi="Times New Roman" w:cs="Times New Roman"/>
          <w:bCs/>
          <w:kern w:val="0"/>
          <w:szCs w:val="22"/>
          <w14:ligatures w14:val="none"/>
        </w:rPr>
        <w:t>powania karnego ma możliwość wstrzymania zaskarżonego orzeczenia, jak i innego orzeczenia, którego wykonanie zależy od rozstrzygnięcia kasacji, o co także mogą wnosić podmioty ją wnosząc</w:t>
      </w:r>
      <w:r>
        <w:rPr>
          <w:rFonts w:ascii="Times New Roman" w:eastAsia="Calibri" w:hAnsi="Times New Roman" w:cs="Times New Roman"/>
          <w:bCs/>
          <w:kern w:val="0"/>
          <w:szCs w:val="22"/>
          <w14:ligatures w14:val="none"/>
        </w:rPr>
        <w:t>e</w:t>
      </w:r>
      <w:r w:rsidRPr="00CF2333">
        <w:rPr>
          <w:rFonts w:ascii="Times New Roman" w:eastAsia="Calibri" w:hAnsi="Times New Roman" w:cs="Times New Roman"/>
          <w:bCs/>
          <w:kern w:val="0"/>
          <w:szCs w:val="22"/>
          <w14:ligatures w14:val="none"/>
        </w:rPr>
        <w:t>. Przedmiotowa instytucja wydaje się wystarczającym zabezpieczeniem interesów prawnych ukaranego w przypadku wydania orzeczenia, które dotknięte jest widocznym prima facie rażącym naruszeniem prawa, zwłaszcza jeśli jego wykonanie pociągałoby dla ukaranego poważne i nieodwracalne skutki.</w:t>
      </w:r>
    </w:p>
    <w:p w14:paraId="79C99582"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p>
    <w:p w14:paraId="4579929D" w14:textId="77777777" w:rsidR="00CF2333" w:rsidRPr="00CF2333" w:rsidRDefault="00CF2333" w:rsidP="00CF2333">
      <w:pPr>
        <w:spacing w:line="360" w:lineRule="auto"/>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b/>
          <w:kern w:val="0"/>
          <w:szCs w:val="22"/>
          <w14:ligatures w14:val="none"/>
        </w:rPr>
        <w:t>Zaostrzenie zasad odpowiedzialności w związku z posługiwaniem się w sposób nieuprawniony tytułem zawodowym „radca prawny”</w:t>
      </w:r>
    </w:p>
    <w:p w14:paraId="63FA6A93" w14:textId="55A19E80"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W projekcie ustawy zaproponowano dodanie po art. 74</w:t>
      </w:r>
      <w:r w:rsidRPr="00CF2333">
        <w:rPr>
          <w:rFonts w:ascii="Times New Roman" w:eastAsia="Calibri" w:hAnsi="Times New Roman" w:cs="Times New Roman"/>
          <w:kern w:val="0"/>
          <w:szCs w:val="22"/>
          <w:vertAlign w:val="superscript"/>
          <w14:ligatures w14:val="none"/>
        </w:rPr>
        <w:t>1</w:t>
      </w:r>
      <w:r w:rsidRPr="00CF2333">
        <w:rPr>
          <w:rFonts w:ascii="Times New Roman" w:eastAsia="Calibri" w:hAnsi="Times New Roman" w:cs="Times New Roman"/>
          <w:kern w:val="0"/>
          <w:szCs w:val="22"/>
          <w14:ligatures w14:val="none"/>
        </w:rPr>
        <w:t xml:space="preserve"> ustawy nowego przepisu </w:t>
      </w:r>
      <w:r w:rsidRPr="00CF2333">
        <w:rPr>
          <w:rFonts w:ascii="Times New Roman" w:eastAsia="Calibri" w:hAnsi="Times New Roman" w:cs="Times New Roman"/>
          <w:b/>
          <w:kern w:val="0"/>
          <w:szCs w:val="22"/>
          <w14:ligatures w14:val="none"/>
        </w:rPr>
        <w:t>(art. 74</w:t>
      </w:r>
      <w:r w:rsidRPr="00CF2333">
        <w:rPr>
          <w:rFonts w:ascii="Times New Roman" w:eastAsia="Calibri" w:hAnsi="Times New Roman" w:cs="Times New Roman"/>
          <w:b/>
          <w:kern w:val="0"/>
          <w:szCs w:val="22"/>
          <w:vertAlign w:val="superscript"/>
          <w14:ligatures w14:val="none"/>
        </w:rPr>
        <w:t>2</w:t>
      </w:r>
      <w:r w:rsidRPr="00CF2333">
        <w:rPr>
          <w:rFonts w:ascii="Times New Roman" w:eastAsia="Calibri" w:hAnsi="Times New Roman" w:cs="Times New Roman"/>
          <w:b/>
          <w:kern w:val="0"/>
          <w:szCs w:val="22"/>
          <w14:ligatures w14:val="none"/>
        </w:rPr>
        <w:t>)</w:t>
      </w:r>
      <w:r w:rsidRPr="00CF2333">
        <w:rPr>
          <w:rFonts w:ascii="Times New Roman" w:eastAsia="Calibri" w:hAnsi="Times New Roman" w:cs="Times New Roman"/>
          <w:kern w:val="0"/>
          <w:szCs w:val="22"/>
          <w14:ligatures w14:val="none"/>
        </w:rPr>
        <w:t xml:space="preserve"> określającego surowszą odpowiedzialność za bezprawne używanie tytułu zawodowego radcy prawnego w postaci kary ograniczenia wolności albo grzywny do </w:t>
      </w:r>
      <w:r w:rsidR="00C52625">
        <w:rPr>
          <w:rFonts w:ascii="Times New Roman" w:eastAsia="Calibri" w:hAnsi="Times New Roman" w:cs="Times New Roman"/>
          <w:kern w:val="0"/>
          <w:szCs w:val="22"/>
          <w14:ligatures w14:val="none"/>
        </w:rPr>
        <w:t>100</w:t>
      </w:r>
      <w:r w:rsidRPr="00CF2333">
        <w:rPr>
          <w:rFonts w:ascii="Times New Roman" w:eastAsia="Calibri" w:hAnsi="Times New Roman" w:cs="Times New Roman"/>
          <w:kern w:val="0"/>
          <w:szCs w:val="22"/>
          <w14:ligatures w14:val="none"/>
        </w:rPr>
        <w:t xml:space="preserve"> 000 złotych. W przepisie przewidziano, iż opisany w art. 74</w:t>
      </w:r>
      <w:r w:rsidRPr="00CF2333">
        <w:rPr>
          <w:rFonts w:ascii="Times New Roman" w:eastAsia="Calibri" w:hAnsi="Times New Roman" w:cs="Times New Roman"/>
          <w:kern w:val="0"/>
          <w:szCs w:val="22"/>
          <w:vertAlign w:val="superscript"/>
          <w14:ligatures w14:val="none"/>
        </w:rPr>
        <w:t>2</w:t>
      </w:r>
      <w:r w:rsidRPr="00CF2333">
        <w:rPr>
          <w:rFonts w:ascii="Times New Roman" w:eastAsia="Calibri" w:hAnsi="Times New Roman" w:cs="Times New Roman"/>
          <w:kern w:val="0"/>
          <w:szCs w:val="22"/>
          <w14:ligatures w14:val="none"/>
        </w:rPr>
        <w:t xml:space="preserve"> czyn zabroniony będzie wykroczeniem. Należy wskazać, ze podobne przepisy znajdują się w innych aktach korporacyjnych rangi ustawowej, tj. w ustawie z dnia 5 lipca 1996 r. o doradztwie podatkowym oraz ustawie z dnia 11 maja 2017 r. o biegłych rewidentach, firmach audytorskich oraz nadzorze publicznym. Na gruncie obowiązujących przepisów, karnoprawna ochrona tytułu zawodowego sprowadza się do penalizowania przywłaszczenia tytułu na podstawie art. 61 § 1 Kodeksu wykroczeń, który przewiduje sankcje w postaci kary grzywny do 1000 złotych albo kary nagany.</w:t>
      </w:r>
    </w:p>
    <w:p w14:paraId="18D76591"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p>
    <w:p w14:paraId="1A602F30" w14:textId="77777777" w:rsidR="00CF2333" w:rsidRPr="00CF2333" w:rsidRDefault="00CF2333" w:rsidP="00CF2333">
      <w:pPr>
        <w:spacing w:line="360" w:lineRule="auto"/>
        <w:jc w:val="both"/>
        <w:rPr>
          <w:rFonts w:ascii="Times New Roman" w:eastAsia="Calibri" w:hAnsi="Times New Roman" w:cs="Times New Roman"/>
          <w:b/>
          <w:kern w:val="0"/>
          <w:szCs w:val="22"/>
          <w14:ligatures w14:val="none"/>
        </w:rPr>
      </w:pPr>
      <w:r w:rsidRPr="00CF2333">
        <w:rPr>
          <w:rFonts w:ascii="Times New Roman" w:eastAsia="Calibri" w:hAnsi="Times New Roman" w:cs="Times New Roman"/>
          <w:b/>
          <w:kern w:val="0"/>
          <w:szCs w:val="22"/>
          <w14:ligatures w14:val="none"/>
        </w:rPr>
        <w:t>Przepisy przejściowe i przepis o wejściu w życie ustawy</w:t>
      </w:r>
    </w:p>
    <w:p w14:paraId="76FF1129" w14:textId="4784B6C2" w:rsidR="00CF2333" w:rsidRPr="00CF2333" w:rsidRDefault="00CF2333" w:rsidP="00CF2333">
      <w:pPr>
        <w:spacing w:line="360" w:lineRule="auto"/>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b/>
          <w:kern w:val="0"/>
          <w:szCs w:val="22"/>
          <w14:ligatures w14:val="none"/>
        </w:rPr>
        <w:tab/>
      </w:r>
      <w:r w:rsidRPr="00CF2333">
        <w:rPr>
          <w:rFonts w:ascii="Times New Roman" w:eastAsia="Calibri" w:hAnsi="Times New Roman" w:cs="Times New Roman"/>
          <w:kern w:val="0"/>
          <w:szCs w:val="22"/>
          <w14:ligatures w14:val="none"/>
        </w:rPr>
        <w:t>W związku z koniecznością uregulowania wpływu zmienionych przepisów dotyczących ubezpieczeń odpowiedzialności cywilnej radców prawnych na umowy zawarte na podstawie przepisów dotychczasowych, postanowiono przesądzić, że pierwsza umowa ubezpieczenia OC zawierana na rachunek radców prawnych przez Krajową Izbę Radców Prawnych zostanie zawarta po upływie okresu obowiązywania umów obowiązujących w dniu wejścia w życie niniejszej ustawy.</w:t>
      </w:r>
    </w:p>
    <w:p w14:paraId="32425219" w14:textId="77777777" w:rsid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Ponadto z uwagi na fakt, że dotychczasowe przepisy wykonawcze nie są niezgodne ze znowelizowana ustawą, postanowiono utrzymać je w mocy do czasu wydania nowych przepisów wykonawczych, jednak przez okres nie dłuższy niż 6 miesięcy.</w:t>
      </w:r>
    </w:p>
    <w:p w14:paraId="79E3BAF5" w14:textId="496402D3"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 xml:space="preserve">W przepisie przejściowym </w:t>
      </w:r>
      <w:r>
        <w:rPr>
          <w:rFonts w:ascii="Times New Roman" w:eastAsia="Calibri" w:hAnsi="Times New Roman" w:cs="Times New Roman"/>
          <w:kern w:val="0"/>
          <w:szCs w:val="22"/>
          <w14:ligatures w14:val="none"/>
        </w:rPr>
        <w:t xml:space="preserve">dotyczącym kasacji </w:t>
      </w:r>
      <w:r w:rsidRPr="00CF2333">
        <w:rPr>
          <w:rFonts w:ascii="Times New Roman" w:eastAsia="Calibri" w:hAnsi="Times New Roman" w:cs="Times New Roman"/>
          <w:kern w:val="0"/>
          <w:szCs w:val="22"/>
          <w14:ligatures w14:val="none"/>
        </w:rPr>
        <w:t xml:space="preserve">przesądzono, że do postępowań wszczętych (w toku), w których do dnia wejścia w życie nowelizacji nie doszło do prawomocnego zakończenia postępowania dyscyplinarnego, należy stosować przepis </w:t>
      </w:r>
      <w:r w:rsidR="006F08C4">
        <w:rPr>
          <w:rFonts w:ascii="Times New Roman" w:eastAsia="Calibri" w:hAnsi="Times New Roman" w:cs="Times New Roman"/>
          <w:kern w:val="0"/>
          <w:szCs w:val="22"/>
          <w14:ligatures w14:val="none"/>
        </w:rPr>
        <w:t>ustawy</w:t>
      </w:r>
      <w:r w:rsidRPr="00CF2333">
        <w:rPr>
          <w:rFonts w:ascii="Times New Roman" w:eastAsia="Calibri" w:hAnsi="Times New Roman" w:cs="Times New Roman"/>
          <w:kern w:val="0"/>
          <w:szCs w:val="22"/>
          <w14:ligatures w14:val="none"/>
        </w:rPr>
        <w:t xml:space="preserve"> w brzmieniu nadanym niniejszą ustawą, zaś w sprawach, w których na dzień wejścia w życie noweli doszło już do prawomocnego zakończenia postępowania w wyniku wydania przez WSD orzeczenia, mogącego być przedmiotem kasacji, dotychczasowy przepis o suspensywności kasacji powinien obowiązywać.</w:t>
      </w:r>
      <w:r w:rsidRPr="00CF2333">
        <w:rPr>
          <w:rFonts w:ascii="Times New Roman" w:eastAsia="Calibri" w:hAnsi="Times New Roman" w:cs="Times New Roman"/>
          <w:kern w:val="0"/>
          <w:szCs w:val="22"/>
          <w14:ligatures w14:val="none"/>
        </w:rPr>
        <w:tab/>
      </w:r>
    </w:p>
    <w:p w14:paraId="35545AD4"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p>
    <w:p w14:paraId="002D5761" w14:textId="1CCD2408"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 xml:space="preserve">Biorąc pod uwagę z jednej strony zasady demokratycznego państwa prawnego, a z drugiej pilną potrzebę wprowadzenia zmian w ustawie, zdecydowano się na wprowadzenie standardowego, 14-dniowego okresu vacatio legis wynikającego z art. 4 ust. 1 ustawy z dnia 20 lipca 2000 r. o ogłaszaniu aktów normatywnych i niektórych innych aktów prawnych. </w:t>
      </w:r>
    </w:p>
    <w:p w14:paraId="667DC7FA" w14:textId="77777777" w:rsidR="00CF2333" w:rsidRPr="00CF2333" w:rsidRDefault="00CF2333" w:rsidP="00CF2333">
      <w:pPr>
        <w:spacing w:line="360" w:lineRule="auto"/>
        <w:jc w:val="both"/>
        <w:rPr>
          <w:rFonts w:ascii="Times New Roman" w:eastAsia="Calibri" w:hAnsi="Times New Roman" w:cs="Times New Roman"/>
          <w:kern w:val="0"/>
          <w:szCs w:val="22"/>
          <w14:ligatures w14:val="none"/>
        </w:rPr>
      </w:pPr>
    </w:p>
    <w:p w14:paraId="026DB451" w14:textId="77777777" w:rsidR="00CF2333" w:rsidRPr="00CF2333" w:rsidRDefault="00CF2333" w:rsidP="00CF2333">
      <w:pPr>
        <w:spacing w:line="360" w:lineRule="auto"/>
        <w:jc w:val="both"/>
        <w:rPr>
          <w:rFonts w:ascii="Times New Roman" w:eastAsia="Calibri" w:hAnsi="Times New Roman" w:cs="Times New Roman"/>
          <w:b/>
          <w:kern w:val="0"/>
          <w:szCs w:val="22"/>
          <w14:ligatures w14:val="none"/>
        </w:rPr>
      </w:pPr>
      <w:r w:rsidRPr="00CF2333">
        <w:rPr>
          <w:rFonts w:ascii="Times New Roman" w:eastAsia="Calibri" w:hAnsi="Times New Roman" w:cs="Times New Roman"/>
          <w:b/>
          <w:kern w:val="0"/>
          <w:szCs w:val="22"/>
          <w14:ligatures w14:val="none"/>
        </w:rPr>
        <w:t>Wymogi wynikające z art. 34 ust. 2a i 2b regulaminu Sejmu</w:t>
      </w:r>
    </w:p>
    <w:p w14:paraId="44B46182" w14:textId="702462E7" w:rsidR="008B25A0" w:rsidRPr="008B25A0" w:rsidRDefault="00CF2333" w:rsidP="008B25A0">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Projekt ustawy w pewnych aspektach będzie dotyczył zasad prowadzenia działalności gospodarczej przez radców prawnych, w tym również będzie miał wpływ na tych radców prawnych, którzy zaliczani są do sektora</w:t>
      </w:r>
      <w:r w:rsidRPr="00CF2333">
        <w:rPr>
          <w:rFonts w:ascii="Calibri" w:eastAsia="Calibri" w:hAnsi="Calibri" w:cs="Times New Roman"/>
          <w:kern w:val="0"/>
          <w:sz w:val="22"/>
          <w:szCs w:val="22"/>
          <w14:ligatures w14:val="none"/>
        </w:rPr>
        <w:t xml:space="preserve"> </w:t>
      </w:r>
      <w:r w:rsidRPr="00CF2333">
        <w:rPr>
          <w:rFonts w:ascii="Times New Roman" w:eastAsia="Calibri" w:hAnsi="Times New Roman" w:cs="Times New Roman"/>
          <w:kern w:val="0"/>
          <w:szCs w:val="22"/>
          <w14:ligatures w14:val="none"/>
        </w:rPr>
        <w:t>mikro, małych i średnich przedsiębiorców. W szczególności dotyczyć to będzie regulacji obejmujących zmienione zasady przetwarzania danych osobowych oraz nowe zasady zawierania umów ubezpieczenia odpowiedzialności cywilnej. Regulacje te będą porządkowały dotychczasowe przepisy, co będzie miało wpływ na rozwój przedsiębiorczości,</w:t>
      </w:r>
      <w:r w:rsidRPr="00CF2333">
        <w:rPr>
          <w:rFonts w:ascii="Calibri" w:eastAsia="Calibri" w:hAnsi="Calibri" w:cs="Times New Roman"/>
          <w:kern w:val="0"/>
          <w:sz w:val="22"/>
          <w:szCs w:val="22"/>
          <w14:ligatures w14:val="none"/>
        </w:rPr>
        <w:t xml:space="preserve"> a </w:t>
      </w:r>
      <w:r w:rsidRPr="00CF2333">
        <w:rPr>
          <w:rFonts w:ascii="Times New Roman" w:eastAsia="Calibri" w:hAnsi="Times New Roman" w:cs="Times New Roman"/>
          <w:kern w:val="0"/>
          <w:szCs w:val="22"/>
          <w14:ligatures w14:val="none"/>
        </w:rPr>
        <w:t xml:space="preserve">wyeliminowanie różnych wątpliwości interpretacyjnych powinno zwiększyć pewność prawną </w:t>
      </w:r>
      <w:r w:rsidRPr="00CF2333">
        <w:rPr>
          <w:rFonts w:ascii="Times New Roman" w:eastAsia="Calibri" w:hAnsi="Times New Roman" w:cs="Times New Roman"/>
          <w:kern w:val="0"/>
          <w:szCs w:val="22"/>
          <w14:ligatures w14:val="none"/>
        </w:rPr>
        <w:lastRenderedPageBreak/>
        <w:t>prowadzenia działalności gospodarczej. Ponadto na skutek wejścia w życie przepisów dot. ubezpieczeń odpowiedzialności cywilnej dojdzie do zmniejszenia obowiązków administracyjnyc</w:t>
      </w:r>
      <w:r w:rsidR="00AB023C">
        <w:rPr>
          <w:rFonts w:ascii="Times New Roman" w:eastAsia="Calibri" w:hAnsi="Times New Roman" w:cs="Times New Roman"/>
          <w:kern w:val="0"/>
          <w:szCs w:val="22"/>
          <w14:ligatures w14:val="none"/>
        </w:rPr>
        <w:t>h</w:t>
      </w:r>
      <w:r w:rsidRPr="00CF2333">
        <w:rPr>
          <w:rFonts w:ascii="Calibri" w:eastAsia="Calibri" w:hAnsi="Calibri" w:cs="Times New Roman"/>
          <w:kern w:val="0"/>
          <w:sz w:val="22"/>
          <w:szCs w:val="22"/>
          <w14:ligatures w14:val="none"/>
        </w:rPr>
        <w:t xml:space="preserve"> </w:t>
      </w:r>
      <w:r w:rsidRPr="00CF2333">
        <w:rPr>
          <w:rFonts w:ascii="Times New Roman" w:eastAsia="Calibri" w:hAnsi="Times New Roman" w:cs="Times New Roman"/>
          <w:kern w:val="0"/>
          <w:szCs w:val="22"/>
          <w14:ligatures w14:val="none"/>
        </w:rPr>
        <w:t>Zgodnie z art. 66 ust. 1 pkt 1 ustawy z dnia 6 marca 2018 r. – Prawo przedsiębiorców, wnioskodawca deklaruje, że nie</w:t>
      </w:r>
      <w:r w:rsidRPr="00CF2333">
        <w:rPr>
          <w:rFonts w:ascii="Calibri" w:eastAsia="Calibri" w:hAnsi="Calibri" w:cs="Times New Roman"/>
          <w:kern w:val="0"/>
          <w:szCs w:val="22"/>
          <w14:ligatures w14:val="none"/>
        </w:rPr>
        <w:t xml:space="preserve"> </w:t>
      </w:r>
      <w:r w:rsidRPr="00CF2333">
        <w:rPr>
          <w:rFonts w:ascii="Times New Roman" w:eastAsia="Calibri" w:hAnsi="Times New Roman" w:cs="Times New Roman"/>
          <w:kern w:val="0"/>
          <w:szCs w:val="22"/>
          <w14:ligatures w14:val="none"/>
        </w:rPr>
        <w:t>ma możliwości osiągnięcia celu tego aktu normatywnego za pomocą innych środków.</w:t>
      </w:r>
      <w:r w:rsidR="00AB023C">
        <w:rPr>
          <w:rFonts w:ascii="Times New Roman" w:eastAsia="Calibri" w:hAnsi="Times New Roman" w:cs="Times New Roman"/>
          <w:kern w:val="0"/>
          <w:szCs w:val="22"/>
          <w14:ligatures w14:val="none"/>
        </w:rPr>
        <w:t xml:space="preserve"> Ponadto wnioskodawca deklaruje, że zgodnie z art. 66 ust. 1 pkt 2 ustawy z dnia 6 maja 2018 r. – Prawo przedsiębiorców, projektowane regulacj</w:t>
      </w:r>
      <w:r w:rsidR="008B25A0">
        <w:rPr>
          <w:rFonts w:ascii="Times New Roman" w:eastAsia="Calibri" w:hAnsi="Times New Roman" w:cs="Times New Roman"/>
          <w:kern w:val="0"/>
          <w:szCs w:val="22"/>
          <w14:ligatures w14:val="none"/>
        </w:rPr>
        <w:t>e</w:t>
      </w:r>
      <w:r w:rsidR="00AB023C">
        <w:rPr>
          <w:rFonts w:ascii="Times New Roman" w:eastAsia="Calibri" w:hAnsi="Times New Roman" w:cs="Times New Roman"/>
          <w:kern w:val="0"/>
          <w:szCs w:val="22"/>
          <w14:ligatures w14:val="none"/>
        </w:rPr>
        <w:t xml:space="preserve"> są zgodne z przepisami ustawy – Prawo przedsiębiorców. Z uwagi na fakt, że projekt ustawy zmniejsza obowiązki administracyjne, należy stwierdzić, że spełniony został wymóg określony w art. 68 ustawy – Prawo przedsiębiorców.</w:t>
      </w:r>
      <w:r w:rsidR="008B25A0">
        <w:rPr>
          <w:rFonts w:ascii="Times New Roman" w:eastAsia="Calibri" w:hAnsi="Times New Roman" w:cs="Times New Roman"/>
          <w:kern w:val="0"/>
          <w:szCs w:val="22"/>
          <w14:ligatures w14:val="none"/>
        </w:rPr>
        <w:t xml:space="preserve"> Odnosząc się do wymogu określonego w art. 68b ustawy – Prawo przedsiębiorców w zw. z art. 34 ust. 2a regulaminu Sejmu skonstatować należy, że pomimo iż projekt reguluje obowiązki radców prawnych w zakresie: nowego trybu obowiązkowego ubezpieczenia OC, obowiązków dokumentacyjnych i </w:t>
      </w:r>
      <w:r w:rsidR="00A16D5C">
        <w:rPr>
          <w:rFonts w:ascii="Times New Roman" w:eastAsia="Calibri" w:hAnsi="Times New Roman" w:cs="Times New Roman"/>
          <w:kern w:val="0"/>
          <w:szCs w:val="22"/>
          <w14:ligatures w14:val="none"/>
        </w:rPr>
        <w:t xml:space="preserve">informacyjnych wynikających z RODO oraz okresów przechowywania danych, a także odpowiedzialności dyscyplinarnej za nieopłacenie składki lub brak ubezpieczenia, to nie można uznać, że projekt ustawy zwiększa obciążenia </w:t>
      </w:r>
      <w:r w:rsidR="00A16D5C" w:rsidRPr="00A16D5C">
        <w:rPr>
          <w:rFonts w:ascii="Times New Roman" w:eastAsia="Calibri" w:hAnsi="Times New Roman" w:cs="Times New Roman"/>
          <w:kern w:val="0"/>
          <w:szCs w:val="22"/>
          <w14:ligatures w14:val="none"/>
        </w:rPr>
        <w:t>regulacyjn</w:t>
      </w:r>
      <w:r w:rsidR="00A16D5C">
        <w:rPr>
          <w:rFonts w:ascii="Times New Roman" w:eastAsia="Calibri" w:hAnsi="Times New Roman" w:cs="Times New Roman"/>
          <w:kern w:val="0"/>
          <w:szCs w:val="22"/>
          <w14:ligatures w14:val="none"/>
        </w:rPr>
        <w:t>e</w:t>
      </w:r>
      <w:r w:rsidR="00A16D5C" w:rsidRPr="00A16D5C">
        <w:rPr>
          <w:rFonts w:ascii="Times New Roman" w:eastAsia="Calibri" w:hAnsi="Times New Roman" w:cs="Times New Roman"/>
          <w:kern w:val="0"/>
          <w:szCs w:val="22"/>
          <w14:ligatures w14:val="none"/>
        </w:rPr>
        <w:t xml:space="preserve"> dla przedsiębiorców</w:t>
      </w:r>
      <w:r w:rsidR="00A16D5C">
        <w:rPr>
          <w:rFonts w:ascii="Times New Roman" w:eastAsia="Calibri" w:hAnsi="Times New Roman" w:cs="Times New Roman"/>
          <w:kern w:val="0"/>
          <w:szCs w:val="22"/>
          <w14:ligatures w14:val="none"/>
        </w:rPr>
        <w:t xml:space="preserve"> w rozumieniu art. 68b ustawy – Prawo przedsiębiorców. </w:t>
      </w:r>
      <w:r w:rsidR="00A16D5C" w:rsidRPr="00A16D5C">
        <w:rPr>
          <w:rFonts w:ascii="Times New Roman" w:eastAsia="Calibri" w:hAnsi="Times New Roman" w:cs="Times New Roman"/>
          <w:kern w:val="0"/>
          <w:szCs w:val="22"/>
          <w14:ligatures w14:val="none"/>
        </w:rPr>
        <w:t xml:space="preserve">Nowe regulacje </w:t>
      </w:r>
      <w:r w:rsidR="00A16D5C">
        <w:rPr>
          <w:rFonts w:ascii="Times New Roman" w:eastAsia="Calibri" w:hAnsi="Times New Roman" w:cs="Times New Roman"/>
          <w:kern w:val="0"/>
          <w:szCs w:val="22"/>
          <w14:ligatures w14:val="none"/>
        </w:rPr>
        <w:t xml:space="preserve">bowiem </w:t>
      </w:r>
      <w:r w:rsidR="00A16D5C" w:rsidRPr="00A16D5C">
        <w:rPr>
          <w:rFonts w:ascii="Times New Roman" w:eastAsia="Calibri" w:hAnsi="Times New Roman" w:cs="Times New Roman"/>
          <w:kern w:val="0"/>
          <w:szCs w:val="22"/>
          <w14:ligatures w14:val="none"/>
        </w:rPr>
        <w:t>eliminują wątpliwości interpretacyjne, upraszczają stosowanie przepisów i zwiększają pewność prawa, co sprzyja stabilności prowadzenia działalności przez radców prawnych</w:t>
      </w:r>
      <w:r w:rsidR="00A16D5C">
        <w:rPr>
          <w:rFonts w:ascii="Times New Roman" w:eastAsia="Calibri" w:hAnsi="Times New Roman" w:cs="Times New Roman"/>
          <w:kern w:val="0"/>
          <w:szCs w:val="22"/>
          <w14:ligatures w14:val="none"/>
        </w:rPr>
        <w:t>. Ponadto</w:t>
      </w:r>
      <w:r w:rsidR="00A16D5C" w:rsidRPr="00A16D5C">
        <w:rPr>
          <w:rFonts w:ascii="Times New Roman" w:eastAsia="Calibri" w:hAnsi="Times New Roman" w:cs="Times New Roman"/>
          <w:kern w:val="0"/>
          <w:szCs w:val="22"/>
          <w14:ligatures w14:val="none"/>
        </w:rPr>
        <w:t>, proponowane rozwiązania prowadzą do uproszczenia i usprawnienia wykonywania przez radców prawnych obowiązków zawodowych, nie powodując wzrostu kosztów ani czasu poświęcanego na czynności administracyjne, co jest zgodne z zasadą proporcjonalności i minimalizacji obciążeń dla przedsiębiorców.</w:t>
      </w:r>
    </w:p>
    <w:p w14:paraId="548C86C4"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Z uwagi na to, że projekt ustawy nie zawiera przepisów regulacyjnych ani przepisów określających wymogi dotyczące świadczenia usług transgranicznych w rozumieniu ustawy z dnia 22 grudnia 2015 r. o zasadach uznawania kwalifikacji zawodowych nabytych w państwach członkowskich Unii Europejskiej, przepis art. 34 ust. 2b regulaminu Sejmu nie znajduje w tym przypadku zastosowania.</w:t>
      </w:r>
    </w:p>
    <w:p w14:paraId="2E1AE29F" w14:textId="77777777" w:rsidR="00CF2333" w:rsidRPr="00CF2333" w:rsidRDefault="00CF2333" w:rsidP="00CF2333">
      <w:pPr>
        <w:spacing w:line="360" w:lineRule="auto"/>
        <w:jc w:val="both"/>
        <w:rPr>
          <w:rFonts w:ascii="Times New Roman" w:eastAsia="Calibri" w:hAnsi="Times New Roman" w:cs="Times New Roman"/>
          <w:b/>
          <w:kern w:val="0"/>
          <w:szCs w:val="22"/>
          <w14:ligatures w14:val="none"/>
        </w:rPr>
      </w:pPr>
      <w:r w:rsidRPr="00CF2333">
        <w:rPr>
          <w:rFonts w:ascii="Times New Roman" w:eastAsia="Calibri" w:hAnsi="Times New Roman" w:cs="Times New Roman"/>
          <w:b/>
          <w:kern w:val="0"/>
          <w:szCs w:val="22"/>
          <w14:ligatures w14:val="none"/>
        </w:rPr>
        <w:t>Przewidywane skutki społeczne, gospodarcze, prawne i finansowe</w:t>
      </w:r>
    </w:p>
    <w:p w14:paraId="5874CA4C" w14:textId="3EF330ED"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Projektowane regulacje niosą ze sobą pozytywne skutki, społeczne, gospodarcze i prawne, w szczególności zmierzają do budowy pozytywnego wizerunku samorządu radców prawnych, jako samorządu zawodowego reprezentującego osoby wykonujące zawody zaufania publicznego i sprawującego pieczę nad należytym wykonywaniem zawodu w granicach interesu publicznego i dla jego ochrony.</w:t>
      </w:r>
    </w:p>
    <w:p w14:paraId="1381ABF7"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lastRenderedPageBreak/>
        <w:t xml:space="preserve">Przedkładany projekt ustawy nie będzie generował dodatkowych obciążeń dla budżetu państwa i budżetów jednostek samorządu terytorialnego. </w:t>
      </w:r>
    </w:p>
    <w:p w14:paraId="70AEDAD9"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p>
    <w:p w14:paraId="7F0EB8E7" w14:textId="77777777" w:rsidR="00CF2333" w:rsidRPr="00CF2333" w:rsidRDefault="00CF2333" w:rsidP="00CF2333">
      <w:pPr>
        <w:spacing w:line="360" w:lineRule="auto"/>
        <w:jc w:val="both"/>
        <w:rPr>
          <w:rFonts w:ascii="Times New Roman" w:eastAsia="Calibri" w:hAnsi="Times New Roman" w:cs="Times New Roman"/>
          <w:b/>
          <w:kern w:val="0"/>
          <w:szCs w:val="22"/>
          <w14:ligatures w14:val="none"/>
        </w:rPr>
      </w:pPr>
      <w:r w:rsidRPr="00CF2333">
        <w:rPr>
          <w:rFonts w:ascii="Times New Roman" w:eastAsia="Calibri" w:hAnsi="Times New Roman" w:cs="Times New Roman"/>
          <w:b/>
          <w:kern w:val="0"/>
          <w:szCs w:val="22"/>
          <w14:ligatures w14:val="none"/>
        </w:rPr>
        <w:t xml:space="preserve">Założenia projektów podstawowych aktów wykonawczych </w:t>
      </w:r>
    </w:p>
    <w:p w14:paraId="72D882B5"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 xml:space="preserve">Projekt rozporządzenia Ministra Finansów w sprawie obowiązkowego ubezpieczenia odpowiedzialności cywilnej radców prawnych został dołączony do niniejszego uzasadnienia. </w:t>
      </w:r>
    </w:p>
    <w:p w14:paraId="771B3F47" w14:textId="77777777" w:rsidR="00CF2333" w:rsidRPr="00CF2333" w:rsidRDefault="00CF2333" w:rsidP="00CF2333">
      <w:pPr>
        <w:spacing w:line="360" w:lineRule="auto"/>
        <w:jc w:val="both"/>
        <w:rPr>
          <w:rFonts w:ascii="Times New Roman" w:eastAsia="Calibri" w:hAnsi="Times New Roman" w:cs="Times New Roman"/>
          <w:kern w:val="0"/>
          <w:szCs w:val="22"/>
          <w14:ligatures w14:val="none"/>
        </w:rPr>
      </w:pPr>
    </w:p>
    <w:p w14:paraId="6B578BCA" w14:textId="77777777" w:rsidR="00CF2333" w:rsidRPr="00CF2333" w:rsidRDefault="00CF2333" w:rsidP="00CF2333">
      <w:pPr>
        <w:spacing w:line="360" w:lineRule="auto"/>
        <w:jc w:val="both"/>
        <w:rPr>
          <w:rFonts w:ascii="Times New Roman" w:eastAsia="Calibri" w:hAnsi="Times New Roman" w:cs="Times New Roman"/>
          <w:b/>
          <w:kern w:val="0"/>
          <w:szCs w:val="22"/>
          <w14:ligatures w14:val="none"/>
        </w:rPr>
      </w:pPr>
      <w:r w:rsidRPr="00CF2333">
        <w:rPr>
          <w:rFonts w:ascii="Times New Roman" w:eastAsia="Calibri" w:hAnsi="Times New Roman" w:cs="Times New Roman"/>
          <w:b/>
          <w:kern w:val="0"/>
          <w:szCs w:val="22"/>
          <w14:ligatures w14:val="none"/>
        </w:rPr>
        <w:t>Oświadczenie o zgodności projektu ustawy z prawem Unii Europejskiej</w:t>
      </w:r>
    </w:p>
    <w:p w14:paraId="189AAE1C"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 xml:space="preserve">Projekt ustawy jest zgodny z prawem Unii Europejskiej. </w:t>
      </w:r>
    </w:p>
    <w:p w14:paraId="0116270A" w14:textId="77777777" w:rsidR="00CF2333" w:rsidRPr="00CF2333" w:rsidRDefault="00CF2333" w:rsidP="00CF2333">
      <w:pPr>
        <w:spacing w:line="360" w:lineRule="auto"/>
        <w:jc w:val="both"/>
        <w:rPr>
          <w:rFonts w:ascii="Times New Roman" w:eastAsia="Calibri" w:hAnsi="Times New Roman" w:cs="Times New Roman"/>
          <w:kern w:val="0"/>
          <w:szCs w:val="22"/>
          <w14:ligatures w14:val="none"/>
        </w:rPr>
      </w:pPr>
    </w:p>
    <w:p w14:paraId="49E46D52" w14:textId="77777777" w:rsidR="00CF2333" w:rsidRPr="00CF2333" w:rsidRDefault="00CF2333" w:rsidP="00CF2333">
      <w:pPr>
        <w:spacing w:line="360" w:lineRule="auto"/>
        <w:jc w:val="both"/>
        <w:rPr>
          <w:rFonts w:ascii="Times New Roman" w:eastAsia="Calibri" w:hAnsi="Times New Roman" w:cs="Times New Roman"/>
          <w:kern w:val="0"/>
          <w:szCs w:val="22"/>
          <w14:ligatures w14:val="none"/>
        </w:rPr>
      </w:pPr>
    </w:p>
    <w:p w14:paraId="5B42AF97" w14:textId="77777777" w:rsidR="00CF2333" w:rsidRPr="00CF2333" w:rsidRDefault="00CF2333" w:rsidP="00CF2333">
      <w:pPr>
        <w:spacing w:line="360" w:lineRule="auto"/>
        <w:jc w:val="both"/>
        <w:rPr>
          <w:rFonts w:ascii="Times New Roman" w:eastAsia="Calibri" w:hAnsi="Times New Roman" w:cs="Times New Roman"/>
          <w:kern w:val="0"/>
          <w:szCs w:val="22"/>
          <w14:ligatures w14:val="none"/>
        </w:rPr>
      </w:pPr>
    </w:p>
    <w:p w14:paraId="28572021" w14:textId="77777777" w:rsidR="00CF2333" w:rsidRPr="00CF2333" w:rsidRDefault="00CF2333" w:rsidP="00CF2333">
      <w:pPr>
        <w:spacing w:line="360" w:lineRule="auto"/>
        <w:jc w:val="both"/>
        <w:rPr>
          <w:rFonts w:ascii="Times New Roman" w:eastAsia="Calibri" w:hAnsi="Times New Roman" w:cs="Times New Roman"/>
          <w:kern w:val="0"/>
          <w:szCs w:val="22"/>
          <w14:ligatures w14:val="none"/>
        </w:rPr>
      </w:pPr>
    </w:p>
    <w:p w14:paraId="31785786" w14:textId="77777777" w:rsidR="00CF2333" w:rsidRPr="00CF2333" w:rsidRDefault="00CF2333" w:rsidP="00CF2333">
      <w:pPr>
        <w:spacing w:line="360" w:lineRule="auto"/>
        <w:jc w:val="both"/>
        <w:rPr>
          <w:rFonts w:ascii="Times New Roman" w:eastAsia="Calibri" w:hAnsi="Times New Roman" w:cs="Times New Roman"/>
          <w:kern w:val="0"/>
          <w:szCs w:val="22"/>
          <w14:ligatures w14:val="none"/>
        </w:rPr>
      </w:pPr>
    </w:p>
    <w:p w14:paraId="70C278BB" w14:textId="77777777" w:rsidR="00CF2333" w:rsidRPr="00CF2333" w:rsidRDefault="00CF2333" w:rsidP="00CF2333">
      <w:pPr>
        <w:spacing w:line="360" w:lineRule="auto"/>
        <w:jc w:val="both"/>
        <w:rPr>
          <w:rFonts w:ascii="Times New Roman" w:eastAsia="Calibri" w:hAnsi="Times New Roman" w:cs="Times New Roman"/>
          <w:kern w:val="0"/>
          <w:szCs w:val="22"/>
          <w14:ligatures w14:val="none"/>
        </w:rPr>
      </w:pPr>
    </w:p>
    <w:p w14:paraId="6F9EA1F4" w14:textId="77777777" w:rsidR="00CF2333" w:rsidRPr="00CF2333" w:rsidRDefault="00CF2333" w:rsidP="00CF2333">
      <w:pPr>
        <w:spacing w:line="360" w:lineRule="auto"/>
        <w:jc w:val="both"/>
        <w:rPr>
          <w:rFonts w:ascii="Times New Roman" w:eastAsia="Calibri" w:hAnsi="Times New Roman" w:cs="Times New Roman"/>
          <w:kern w:val="0"/>
          <w:szCs w:val="22"/>
          <w14:ligatures w14:val="none"/>
        </w:rPr>
      </w:pPr>
    </w:p>
    <w:p w14:paraId="33B80FF1" w14:textId="77777777" w:rsidR="00CF2333" w:rsidRPr="00CF2333" w:rsidRDefault="00CF2333" w:rsidP="00CF2333">
      <w:pPr>
        <w:spacing w:line="360" w:lineRule="auto"/>
        <w:jc w:val="both"/>
        <w:rPr>
          <w:rFonts w:ascii="Times New Roman" w:eastAsia="Calibri" w:hAnsi="Times New Roman" w:cs="Times New Roman"/>
          <w:kern w:val="0"/>
          <w:szCs w:val="22"/>
          <w14:ligatures w14:val="none"/>
        </w:rPr>
      </w:pPr>
    </w:p>
    <w:p w14:paraId="37486598" w14:textId="77777777" w:rsidR="00CF2333" w:rsidRPr="00CF2333" w:rsidRDefault="00CF2333" w:rsidP="00CF2333">
      <w:pPr>
        <w:spacing w:line="360" w:lineRule="auto"/>
        <w:jc w:val="both"/>
        <w:rPr>
          <w:rFonts w:ascii="Times New Roman" w:eastAsia="Calibri" w:hAnsi="Times New Roman" w:cs="Times New Roman"/>
          <w:kern w:val="0"/>
          <w:szCs w:val="22"/>
          <w14:ligatures w14:val="none"/>
        </w:rPr>
      </w:pPr>
    </w:p>
    <w:p w14:paraId="6F6E5846" w14:textId="77777777" w:rsidR="00CF2333" w:rsidRPr="00CF2333" w:rsidRDefault="00CF2333" w:rsidP="00CF2333">
      <w:pPr>
        <w:spacing w:line="360" w:lineRule="auto"/>
        <w:jc w:val="both"/>
        <w:rPr>
          <w:rFonts w:ascii="Times New Roman" w:eastAsia="Calibri" w:hAnsi="Times New Roman" w:cs="Times New Roman"/>
          <w:kern w:val="0"/>
          <w:szCs w:val="22"/>
          <w14:ligatures w14:val="none"/>
        </w:rPr>
      </w:pPr>
    </w:p>
    <w:p w14:paraId="773D7062" w14:textId="77777777" w:rsidR="00CF2333" w:rsidRPr="00CF2333" w:rsidRDefault="00CF2333" w:rsidP="00CF2333">
      <w:pPr>
        <w:spacing w:line="360" w:lineRule="auto"/>
        <w:jc w:val="both"/>
        <w:rPr>
          <w:rFonts w:ascii="Times New Roman" w:eastAsia="Calibri" w:hAnsi="Times New Roman" w:cs="Times New Roman"/>
          <w:kern w:val="0"/>
          <w:szCs w:val="22"/>
          <w14:ligatures w14:val="none"/>
        </w:rPr>
      </w:pPr>
    </w:p>
    <w:p w14:paraId="0B0D62A8" w14:textId="77777777" w:rsidR="00CF2333" w:rsidRPr="00CF2333" w:rsidRDefault="00CF2333" w:rsidP="00CF2333">
      <w:pPr>
        <w:spacing w:line="360" w:lineRule="auto"/>
        <w:jc w:val="both"/>
        <w:rPr>
          <w:rFonts w:ascii="Times New Roman" w:eastAsia="Calibri" w:hAnsi="Times New Roman" w:cs="Times New Roman"/>
          <w:kern w:val="0"/>
          <w:szCs w:val="22"/>
          <w14:ligatures w14:val="none"/>
        </w:rPr>
      </w:pPr>
    </w:p>
    <w:p w14:paraId="1B8E6EAC" w14:textId="77777777" w:rsidR="00CF2333" w:rsidRPr="00CF2333" w:rsidRDefault="00CF2333" w:rsidP="00CF2333">
      <w:pPr>
        <w:spacing w:line="360" w:lineRule="auto"/>
        <w:jc w:val="right"/>
        <w:rPr>
          <w:rFonts w:ascii="Times New Roman" w:eastAsia="Calibri" w:hAnsi="Times New Roman" w:cs="Times New Roman"/>
          <w:kern w:val="0"/>
          <w:szCs w:val="22"/>
          <w14:ligatures w14:val="none"/>
        </w:rPr>
      </w:pPr>
    </w:p>
    <w:p w14:paraId="42387355" w14:textId="77777777" w:rsidR="00CF2333" w:rsidRPr="00CF2333" w:rsidRDefault="00CF2333" w:rsidP="00CF2333">
      <w:pPr>
        <w:spacing w:line="360" w:lineRule="auto"/>
        <w:jc w:val="right"/>
        <w:rPr>
          <w:rFonts w:ascii="Times New Roman" w:eastAsia="Calibri" w:hAnsi="Times New Roman" w:cs="Times New Roman"/>
          <w:kern w:val="0"/>
          <w:szCs w:val="22"/>
          <w14:ligatures w14:val="none"/>
        </w:rPr>
      </w:pPr>
    </w:p>
    <w:p w14:paraId="42969ED9" w14:textId="77777777" w:rsidR="00A16D5C" w:rsidRDefault="00A16D5C" w:rsidP="00CF2333">
      <w:pPr>
        <w:spacing w:line="360" w:lineRule="auto"/>
        <w:jc w:val="right"/>
        <w:rPr>
          <w:rFonts w:ascii="Times New Roman" w:eastAsia="Calibri" w:hAnsi="Times New Roman" w:cs="Times New Roman"/>
          <w:kern w:val="0"/>
          <w:szCs w:val="22"/>
          <w14:ligatures w14:val="none"/>
        </w:rPr>
      </w:pPr>
    </w:p>
    <w:p w14:paraId="11D17F6E" w14:textId="77777777" w:rsidR="00A16D5C" w:rsidRDefault="00A16D5C" w:rsidP="00CF2333">
      <w:pPr>
        <w:spacing w:line="360" w:lineRule="auto"/>
        <w:jc w:val="right"/>
        <w:rPr>
          <w:rFonts w:ascii="Times New Roman" w:eastAsia="Calibri" w:hAnsi="Times New Roman" w:cs="Times New Roman"/>
          <w:kern w:val="0"/>
          <w:szCs w:val="22"/>
          <w14:ligatures w14:val="none"/>
        </w:rPr>
      </w:pPr>
    </w:p>
    <w:p w14:paraId="0AAD5C39" w14:textId="2758B982" w:rsidR="00CF2333" w:rsidRPr="00CF2333" w:rsidRDefault="00CF2333" w:rsidP="00CF2333">
      <w:pPr>
        <w:spacing w:line="360" w:lineRule="auto"/>
        <w:jc w:val="right"/>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lastRenderedPageBreak/>
        <w:t>Projekt</w:t>
      </w:r>
    </w:p>
    <w:p w14:paraId="37B7B01A" w14:textId="77777777" w:rsidR="00CF2333" w:rsidRPr="00CF2333" w:rsidRDefault="00CF2333" w:rsidP="00CF2333">
      <w:pPr>
        <w:spacing w:line="360" w:lineRule="auto"/>
        <w:jc w:val="center"/>
        <w:rPr>
          <w:rFonts w:ascii="Times New Roman" w:eastAsia="Calibri" w:hAnsi="Times New Roman" w:cs="Times New Roman"/>
          <w:b/>
          <w:kern w:val="0"/>
          <w:szCs w:val="22"/>
          <w14:ligatures w14:val="none"/>
        </w:rPr>
      </w:pPr>
    </w:p>
    <w:p w14:paraId="1CEBB488" w14:textId="77777777" w:rsidR="00CF2333" w:rsidRPr="00CF2333" w:rsidRDefault="00CF2333" w:rsidP="00CF2333">
      <w:pPr>
        <w:spacing w:line="360" w:lineRule="auto"/>
        <w:jc w:val="center"/>
        <w:rPr>
          <w:rFonts w:ascii="Times New Roman" w:eastAsia="Calibri" w:hAnsi="Times New Roman" w:cs="Times New Roman"/>
          <w:b/>
          <w:kern w:val="0"/>
          <w:szCs w:val="22"/>
          <w14:ligatures w14:val="none"/>
        </w:rPr>
      </w:pPr>
      <w:r w:rsidRPr="00CF2333">
        <w:rPr>
          <w:rFonts w:ascii="Times New Roman" w:eastAsia="Calibri" w:hAnsi="Times New Roman" w:cs="Times New Roman"/>
          <w:b/>
          <w:kern w:val="0"/>
          <w:szCs w:val="22"/>
          <w14:ligatures w14:val="none"/>
        </w:rPr>
        <w:t>ROZPORZĄDZENIE MINISTRA FINANSÓW</w:t>
      </w:r>
    </w:p>
    <w:p w14:paraId="19798C24" w14:textId="77777777" w:rsidR="00CF2333" w:rsidRPr="00CF2333" w:rsidRDefault="00CF2333" w:rsidP="00CF2333">
      <w:pPr>
        <w:spacing w:line="360" w:lineRule="auto"/>
        <w:jc w:val="center"/>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z dnia</w:t>
      </w:r>
    </w:p>
    <w:p w14:paraId="67020689" w14:textId="77777777" w:rsidR="00CF2333" w:rsidRPr="00CF2333" w:rsidRDefault="00CF2333" w:rsidP="00CF2333">
      <w:pPr>
        <w:spacing w:line="360" w:lineRule="auto"/>
        <w:jc w:val="both"/>
        <w:rPr>
          <w:rFonts w:ascii="Times New Roman" w:eastAsia="Calibri" w:hAnsi="Times New Roman" w:cs="Times New Roman"/>
          <w:b/>
          <w:kern w:val="0"/>
          <w:szCs w:val="22"/>
          <w14:ligatures w14:val="none"/>
        </w:rPr>
      </w:pPr>
      <w:r w:rsidRPr="00CF2333">
        <w:rPr>
          <w:rFonts w:ascii="Times New Roman" w:eastAsia="Calibri" w:hAnsi="Times New Roman" w:cs="Times New Roman"/>
          <w:b/>
          <w:kern w:val="0"/>
          <w:szCs w:val="22"/>
          <w14:ligatures w14:val="none"/>
        </w:rPr>
        <w:t>w sprawie obowiązkowego ubezpieczenia odpowiedzialności cywilnej radców prawnych</w:t>
      </w:r>
    </w:p>
    <w:p w14:paraId="53C19E38" w14:textId="77777777" w:rsidR="00CF2333" w:rsidRPr="00CF2333" w:rsidRDefault="00CF2333" w:rsidP="00CF2333">
      <w:pPr>
        <w:spacing w:line="360" w:lineRule="auto"/>
        <w:jc w:val="both"/>
        <w:rPr>
          <w:rFonts w:ascii="Times New Roman" w:eastAsia="Calibri" w:hAnsi="Times New Roman" w:cs="Times New Roman"/>
          <w:kern w:val="0"/>
          <w:szCs w:val="22"/>
          <w14:ligatures w14:val="none"/>
        </w:rPr>
      </w:pPr>
    </w:p>
    <w:p w14:paraId="45DFAC20" w14:textId="501983C3"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Na podstawie art. 22</w:t>
      </w:r>
      <w:r w:rsidRPr="00CF2333">
        <w:rPr>
          <w:rFonts w:ascii="Times New Roman" w:eastAsia="Calibri" w:hAnsi="Times New Roman" w:cs="Times New Roman"/>
          <w:kern w:val="0"/>
          <w:szCs w:val="22"/>
          <w:vertAlign w:val="superscript"/>
          <w14:ligatures w14:val="none"/>
        </w:rPr>
        <w:t>8</w:t>
      </w:r>
      <w:r w:rsidRPr="00CF2333">
        <w:rPr>
          <w:rFonts w:ascii="Times New Roman" w:eastAsia="Calibri" w:hAnsi="Times New Roman" w:cs="Times New Roman"/>
          <w:kern w:val="0"/>
          <w:szCs w:val="22"/>
          <w14:ligatures w14:val="none"/>
        </w:rPr>
        <w:t xml:space="preserve"> ustawy z dnia 6 lipca 1982 r. o radcach prawnych (Dz. U. z </w:t>
      </w:r>
      <w:r w:rsidR="005319CE">
        <w:rPr>
          <w:rFonts w:ascii="Times New Roman" w:eastAsia="Calibri" w:hAnsi="Times New Roman" w:cs="Times New Roman"/>
          <w:kern w:val="0"/>
          <w:szCs w:val="22"/>
          <w14:ligatures w14:val="none"/>
        </w:rPr>
        <w:t>2024 r. poz. 499 oraz z 2025 r. poz. 1172</w:t>
      </w:r>
      <w:r w:rsidRPr="00CF2333">
        <w:rPr>
          <w:rFonts w:ascii="Times New Roman" w:eastAsia="Calibri" w:hAnsi="Times New Roman" w:cs="Times New Roman"/>
          <w:kern w:val="0"/>
          <w:szCs w:val="22"/>
          <w14:ligatures w14:val="none"/>
        </w:rPr>
        <w:t>) zarządza się, co następuje:</w:t>
      </w:r>
    </w:p>
    <w:p w14:paraId="30DB230A" w14:textId="6FA0A210"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b/>
          <w:kern w:val="0"/>
          <w:szCs w:val="22"/>
          <w14:ligatures w14:val="none"/>
        </w:rPr>
        <w:t>§ 1.</w:t>
      </w:r>
      <w:r w:rsidRPr="00CF2333">
        <w:rPr>
          <w:rFonts w:ascii="Times New Roman" w:eastAsia="Calibri" w:hAnsi="Times New Roman" w:cs="Times New Roman"/>
          <w:kern w:val="0"/>
          <w:szCs w:val="22"/>
          <w14:ligatures w14:val="none"/>
        </w:rPr>
        <w:t xml:space="preserve"> Rozporządzenie określa szczegółowy zakres obowiązkowego ubezpieczenia odpowiedzialności cywilnej radców prawnych za szkody wyrządzone przy wykonywaniu czynności, o których mowa w art. 4 i art. 6 ust. 1 ustawy z dnia 6 lipca 1982 r. o radcach prawnych, zwanego dalej </w:t>
      </w:r>
      <w:r w:rsidR="005319CE">
        <w:rPr>
          <w:rFonts w:ascii="Times New Roman" w:eastAsia="Calibri" w:hAnsi="Times New Roman" w:cs="Times New Roman"/>
          <w:kern w:val="0"/>
          <w:szCs w:val="22"/>
          <w14:ligatures w14:val="none"/>
        </w:rPr>
        <w:t>„</w:t>
      </w:r>
      <w:r w:rsidRPr="00CF2333">
        <w:rPr>
          <w:rFonts w:ascii="Times New Roman" w:eastAsia="Calibri" w:hAnsi="Times New Roman" w:cs="Times New Roman"/>
          <w:kern w:val="0"/>
          <w:szCs w:val="22"/>
          <w14:ligatures w14:val="none"/>
        </w:rPr>
        <w:t>ubezpieczeniem OC</w:t>
      </w:r>
      <w:r w:rsidR="005319CE">
        <w:rPr>
          <w:rFonts w:ascii="Times New Roman" w:eastAsia="Calibri" w:hAnsi="Times New Roman" w:cs="Times New Roman"/>
          <w:kern w:val="0"/>
          <w:szCs w:val="22"/>
          <w14:ligatures w14:val="none"/>
        </w:rPr>
        <w:t>”</w:t>
      </w:r>
      <w:r w:rsidRPr="00CF2333">
        <w:rPr>
          <w:rFonts w:ascii="Times New Roman" w:eastAsia="Calibri" w:hAnsi="Times New Roman" w:cs="Times New Roman"/>
          <w:kern w:val="0"/>
          <w:szCs w:val="22"/>
          <w14:ligatures w14:val="none"/>
        </w:rPr>
        <w:t>, termin powstania obowiązku ubezpieczenia oraz minimalną sumę gwarancyjną tego ubezpieczenia.</w:t>
      </w:r>
    </w:p>
    <w:p w14:paraId="61DC012F"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b/>
          <w:kern w:val="0"/>
          <w:szCs w:val="22"/>
          <w14:ligatures w14:val="none"/>
        </w:rPr>
        <w:t>§ 2.</w:t>
      </w:r>
      <w:r w:rsidRPr="00CF2333">
        <w:rPr>
          <w:rFonts w:ascii="Times New Roman" w:eastAsia="Calibri" w:hAnsi="Times New Roman" w:cs="Times New Roman"/>
          <w:kern w:val="0"/>
          <w:szCs w:val="22"/>
          <w14:ligatures w14:val="none"/>
        </w:rPr>
        <w:t xml:space="preserve"> 1. Ubezpieczeniem OC jest objęta odpowiedzialność cywilna radcy prawnego za szkody wyrządzone w następstwie działania lub zaniechania ubezpieczonego, w okresie trwania ochrony ubezpieczeniowej, podczas wykonywania czynności radcy prawnego, o których mowa w art. 4 i art. 6 ust. 1 ustawy z dnia 6 lipca 1982 r. o radcach prawnych.</w:t>
      </w:r>
    </w:p>
    <w:p w14:paraId="50265E03" w14:textId="77777777" w:rsidR="00CF2333" w:rsidRPr="00CF2333" w:rsidRDefault="00CF2333" w:rsidP="00CF2333">
      <w:pPr>
        <w:spacing w:line="360" w:lineRule="auto"/>
        <w:ind w:firstLine="708"/>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2. Ubezpieczenie OC nie obejmuje szkód:</w:t>
      </w:r>
    </w:p>
    <w:p w14:paraId="6AF16F2E" w14:textId="77777777" w:rsidR="00CF2333" w:rsidRPr="00CF2333" w:rsidRDefault="00CF2333" w:rsidP="00CF2333">
      <w:pPr>
        <w:spacing w:line="360" w:lineRule="auto"/>
        <w:ind w:left="705" w:hanging="705"/>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 xml:space="preserve">1) </w:t>
      </w:r>
      <w:r w:rsidRPr="00CF2333">
        <w:rPr>
          <w:rFonts w:ascii="Times New Roman" w:eastAsia="Calibri" w:hAnsi="Times New Roman" w:cs="Times New Roman"/>
          <w:kern w:val="0"/>
          <w:szCs w:val="22"/>
          <w14:ligatures w14:val="none"/>
        </w:rPr>
        <w:tab/>
        <w:t>polegających na uszkodzeniu, zniszczeniu lub utracie mienia, wyrządzonych przez ubezpieczonego małżonkowi, wstępnemu, zstępnemu, rodzeństwu, a także powinowatemu w tej samej linii lub stopniu, osobie pozostającej w stosunku przysposobienia oraz jej małżonkowi, jak również osobie, z którą ubezpieczony pozostaje we wspólnym pożyciu, lub innemu ubezpieczonemu będącemu wspólnikiem;</w:t>
      </w:r>
    </w:p>
    <w:p w14:paraId="4B432C99" w14:textId="77777777" w:rsidR="00CF2333" w:rsidRPr="00CF2333" w:rsidRDefault="00CF2333" w:rsidP="00CF2333">
      <w:pPr>
        <w:spacing w:line="360" w:lineRule="auto"/>
        <w:ind w:left="705" w:hanging="705"/>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 xml:space="preserve">2) </w:t>
      </w:r>
      <w:r w:rsidRPr="00CF2333">
        <w:rPr>
          <w:rFonts w:ascii="Times New Roman" w:eastAsia="Calibri" w:hAnsi="Times New Roman" w:cs="Times New Roman"/>
          <w:kern w:val="0"/>
          <w:szCs w:val="22"/>
          <w14:ligatures w14:val="none"/>
        </w:rPr>
        <w:tab/>
        <w:t>wyrządzonych przez ubezpieczonego po skreśleniu z listy radców prawnych, a także w okresie zawieszenia prawa do wykonywania zawodu, Chyba że szkoda jest następstwem wykonywania zawodu przed skreśleniem lub zawieszeniem;</w:t>
      </w:r>
    </w:p>
    <w:p w14:paraId="6B12D135" w14:textId="77777777" w:rsidR="00CF2333" w:rsidRPr="00CF2333" w:rsidRDefault="00CF2333" w:rsidP="00CF2333">
      <w:pPr>
        <w:spacing w:line="360" w:lineRule="auto"/>
        <w:ind w:left="705" w:hanging="705"/>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 xml:space="preserve">3) </w:t>
      </w:r>
      <w:r w:rsidRPr="00CF2333">
        <w:rPr>
          <w:rFonts w:ascii="Times New Roman" w:eastAsia="Calibri" w:hAnsi="Times New Roman" w:cs="Times New Roman"/>
          <w:kern w:val="0"/>
          <w:szCs w:val="22"/>
          <w14:ligatures w14:val="none"/>
        </w:rPr>
        <w:tab/>
        <w:t>powstałych wskutek działań wojennych, stanu wojennego, rozruchów i zamieszek, a także aktów terroru.</w:t>
      </w:r>
    </w:p>
    <w:p w14:paraId="4BF0C01C" w14:textId="77777777" w:rsidR="00CF2333" w:rsidRPr="00CF2333" w:rsidRDefault="00CF2333" w:rsidP="00CF2333">
      <w:pPr>
        <w:spacing w:line="360" w:lineRule="auto"/>
        <w:ind w:firstLine="705"/>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lastRenderedPageBreak/>
        <w:t>3. Ubezpieczenie OC obejmuje wszystkie szkody w zakresie, o którym mowa w ust. 1, z zastrzeżeniem ust. 2, bez możliwości umownego ograniczenia przez zakład ubezpieczeń wypłaty odszkodowań.</w:t>
      </w:r>
    </w:p>
    <w:p w14:paraId="6E06D4B3" w14:textId="77777777" w:rsidR="00CF2333" w:rsidRPr="00CF2333" w:rsidRDefault="00CF2333" w:rsidP="00CF2333">
      <w:pPr>
        <w:spacing w:line="360" w:lineRule="auto"/>
        <w:ind w:firstLine="705"/>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b/>
          <w:kern w:val="0"/>
          <w:szCs w:val="22"/>
          <w14:ligatures w14:val="none"/>
        </w:rPr>
        <w:t>§ 3.</w:t>
      </w:r>
      <w:r w:rsidRPr="00CF2333">
        <w:rPr>
          <w:rFonts w:ascii="Times New Roman" w:eastAsia="Calibri" w:hAnsi="Times New Roman" w:cs="Times New Roman"/>
          <w:kern w:val="0"/>
          <w:szCs w:val="22"/>
          <w14:ligatures w14:val="none"/>
        </w:rPr>
        <w:t xml:space="preserve"> Obowiązek ubezpieczenia OC powstaje nie później niż w dniu poprzedzającym dzień rozpoczęcia wykonywania zawodu przez radcę prawnego.</w:t>
      </w:r>
    </w:p>
    <w:p w14:paraId="171AD1C3" w14:textId="77777777" w:rsidR="00CF2333" w:rsidRPr="00CF2333" w:rsidRDefault="00CF2333" w:rsidP="00CF2333">
      <w:pPr>
        <w:spacing w:line="360" w:lineRule="auto"/>
        <w:ind w:firstLine="705"/>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b/>
          <w:kern w:val="0"/>
          <w:szCs w:val="22"/>
          <w14:ligatures w14:val="none"/>
        </w:rPr>
        <w:t>§ 4.</w:t>
      </w:r>
      <w:r w:rsidRPr="00CF2333">
        <w:rPr>
          <w:rFonts w:ascii="Times New Roman" w:eastAsia="Calibri" w:hAnsi="Times New Roman" w:cs="Times New Roman"/>
          <w:kern w:val="0"/>
          <w:szCs w:val="22"/>
          <w14:ligatures w14:val="none"/>
        </w:rPr>
        <w:t xml:space="preserve"> 1. Minimalna suma gwarancyjna ubezpieczenia OC, w odniesieniu do jednego zdarzenia, którego skutki są objęte umową ubezpieczenia, wynosi równowartość w złotych 50 000 euro.</w:t>
      </w:r>
    </w:p>
    <w:p w14:paraId="7AEDEDB1" w14:textId="77777777" w:rsidR="00CF2333" w:rsidRPr="00CF2333" w:rsidRDefault="00CF2333" w:rsidP="00CF2333">
      <w:pPr>
        <w:spacing w:line="360" w:lineRule="auto"/>
        <w:ind w:firstLine="705"/>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2. Kwota, o której mowa w ust. 1, jest ustalana przy zastosowaniu kursu średniego euro ogłoszonego przez Narodowy Bank Polski po raz pierwszy w roku, w którym umowa ubezpieczenia OC została zawarta.</w:t>
      </w:r>
    </w:p>
    <w:p w14:paraId="14C4A6ED" w14:textId="77777777" w:rsidR="00CF2333" w:rsidRPr="00CF2333" w:rsidRDefault="00CF2333" w:rsidP="00CF2333">
      <w:pPr>
        <w:spacing w:line="360" w:lineRule="auto"/>
        <w:ind w:firstLine="705"/>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b/>
          <w:kern w:val="0"/>
          <w:szCs w:val="22"/>
          <w14:ligatures w14:val="none"/>
        </w:rPr>
        <w:t>§ 5.</w:t>
      </w:r>
      <w:r w:rsidRPr="00CF2333">
        <w:rPr>
          <w:rFonts w:ascii="Times New Roman" w:eastAsia="Calibri" w:hAnsi="Times New Roman" w:cs="Times New Roman"/>
          <w:kern w:val="0"/>
          <w:szCs w:val="22"/>
          <w14:ligatures w14:val="none"/>
        </w:rPr>
        <w:t xml:space="preserve"> 1. Przepisy rozporządzenia stosuje się do umów ubezpieczenia OC zawartych od dnia 1 stycznia 2025 r.</w:t>
      </w:r>
    </w:p>
    <w:p w14:paraId="57447CE1" w14:textId="77777777" w:rsidR="00CF2333" w:rsidRPr="00CF2333" w:rsidRDefault="00CF2333" w:rsidP="00CF2333">
      <w:pPr>
        <w:spacing w:line="360" w:lineRule="auto"/>
        <w:ind w:firstLine="705"/>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2. Jeżeli umowa ubezpieczenia OC została zawarta przed dniem wejścia w życie rozporządzenia, a okres, na jaki została zawarta, upływa po tym dniu, nową umowę ubezpieczenia OC zawiera się najpóźniej w ostatnim dniu okresu, na jaki została zawarta ta umowa.</w:t>
      </w:r>
    </w:p>
    <w:p w14:paraId="7977B913" w14:textId="77777777" w:rsidR="00CF2333" w:rsidRPr="00CF2333" w:rsidRDefault="00CF2333" w:rsidP="00CF2333">
      <w:pPr>
        <w:spacing w:line="360" w:lineRule="auto"/>
        <w:ind w:firstLine="705"/>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b/>
          <w:kern w:val="0"/>
          <w:szCs w:val="22"/>
          <w14:ligatures w14:val="none"/>
        </w:rPr>
        <w:t>§ 6.</w:t>
      </w:r>
      <w:r w:rsidRPr="00CF2333">
        <w:rPr>
          <w:rFonts w:ascii="Times New Roman" w:eastAsia="Calibri" w:hAnsi="Times New Roman" w:cs="Times New Roman"/>
          <w:kern w:val="0"/>
          <w:szCs w:val="22"/>
          <w14:ligatures w14:val="none"/>
        </w:rPr>
        <w:t xml:space="preserve"> Traci moc rozporządzenie Ministra Finansów z dnia 11 grudnia 2003 r. w sprawie obowiązkowego ubezpieczenia odpowiedzialności cywilnej radców prawnych (Dz.U. Nr 217, poz. 2135).</w:t>
      </w:r>
    </w:p>
    <w:p w14:paraId="0103F8FB" w14:textId="77777777" w:rsidR="00CF2333" w:rsidRPr="00CF2333" w:rsidRDefault="00CF2333" w:rsidP="00CF2333">
      <w:pPr>
        <w:spacing w:line="360" w:lineRule="auto"/>
        <w:ind w:firstLine="705"/>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b/>
          <w:kern w:val="0"/>
          <w:szCs w:val="22"/>
          <w14:ligatures w14:val="none"/>
        </w:rPr>
        <w:t>§ 7.</w:t>
      </w:r>
      <w:r w:rsidRPr="00CF2333">
        <w:rPr>
          <w:rFonts w:ascii="Times New Roman" w:eastAsia="Calibri" w:hAnsi="Times New Roman" w:cs="Times New Roman"/>
          <w:kern w:val="0"/>
          <w:szCs w:val="22"/>
          <w14:ligatures w14:val="none"/>
        </w:rPr>
        <w:t xml:space="preserve"> Rozporządzenie wchodzi w życie z dniem 1 stycznia 2025 r.</w:t>
      </w:r>
    </w:p>
    <w:p w14:paraId="10735807" w14:textId="77777777" w:rsidR="00CF2333" w:rsidRPr="00CF2333" w:rsidRDefault="00CF2333" w:rsidP="00CF2333">
      <w:pPr>
        <w:spacing w:line="360" w:lineRule="auto"/>
        <w:ind w:firstLine="705"/>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kern w:val="0"/>
          <w:szCs w:val="22"/>
          <w14:ligatures w14:val="none"/>
        </w:rPr>
        <w:tab/>
      </w:r>
      <w:r w:rsidRPr="00CF2333">
        <w:rPr>
          <w:rFonts w:ascii="Times New Roman" w:eastAsia="Calibri" w:hAnsi="Times New Roman" w:cs="Times New Roman"/>
          <w:kern w:val="0"/>
          <w:szCs w:val="22"/>
          <w14:ligatures w14:val="none"/>
        </w:rPr>
        <w:tab/>
      </w:r>
      <w:r w:rsidRPr="00CF2333">
        <w:rPr>
          <w:rFonts w:ascii="Times New Roman" w:eastAsia="Calibri" w:hAnsi="Times New Roman" w:cs="Times New Roman"/>
          <w:kern w:val="0"/>
          <w:szCs w:val="22"/>
          <w14:ligatures w14:val="none"/>
        </w:rPr>
        <w:tab/>
      </w:r>
      <w:r w:rsidRPr="00CF2333">
        <w:rPr>
          <w:rFonts w:ascii="Times New Roman" w:eastAsia="Calibri" w:hAnsi="Times New Roman" w:cs="Times New Roman"/>
          <w:kern w:val="0"/>
          <w:szCs w:val="22"/>
          <w14:ligatures w14:val="none"/>
        </w:rPr>
        <w:tab/>
      </w:r>
      <w:r w:rsidRPr="00CF2333">
        <w:rPr>
          <w:rFonts w:ascii="Times New Roman" w:eastAsia="Calibri" w:hAnsi="Times New Roman" w:cs="Times New Roman"/>
          <w:kern w:val="0"/>
          <w:szCs w:val="22"/>
          <w14:ligatures w14:val="none"/>
        </w:rPr>
        <w:tab/>
      </w:r>
      <w:r w:rsidRPr="00CF2333">
        <w:rPr>
          <w:rFonts w:ascii="Times New Roman" w:eastAsia="Calibri" w:hAnsi="Times New Roman" w:cs="Times New Roman"/>
          <w:kern w:val="0"/>
          <w:szCs w:val="22"/>
          <w14:ligatures w14:val="none"/>
        </w:rPr>
        <w:tab/>
      </w:r>
      <w:r w:rsidRPr="00CF2333">
        <w:rPr>
          <w:rFonts w:ascii="Times New Roman" w:eastAsia="Calibri" w:hAnsi="Times New Roman" w:cs="Times New Roman"/>
          <w:kern w:val="0"/>
          <w:szCs w:val="22"/>
          <w14:ligatures w14:val="none"/>
        </w:rPr>
        <w:tab/>
      </w:r>
      <w:r w:rsidRPr="00CF2333">
        <w:rPr>
          <w:rFonts w:ascii="Times New Roman" w:eastAsia="Calibri" w:hAnsi="Times New Roman" w:cs="Times New Roman"/>
          <w:kern w:val="0"/>
          <w:szCs w:val="22"/>
          <w14:ligatures w14:val="none"/>
        </w:rPr>
        <w:tab/>
      </w:r>
    </w:p>
    <w:p w14:paraId="3404C9C7" w14:textId="77777777" w:rsidR="00CF2333" w:rsidRPr="00CF2333" w:rsidRDefault="00CF2333" w:rsidP="00CF2333">
      <w:pPr>
        <w:spacing w:line="360" w:lineRule="auto"/>
        <w:ind w:left="4956" w:firstLine="708"/>
        <w:jc w:val="both"/>
        <w:rPr>
          <w:rFonts w:ascii="Times New Roman" w:eastAsia="Calibri" w:hAnsi="Times New Roman" w:cs="Times New Roman"/>
          <w:b/>
          <w:kern w:val="0"/>
          <w:szCs w:val="22"/>
          <w14:ligatures w14:val="none"/>
        </w:rPr>
      </w:pPr>
      <w:r w:rsidRPr="00CF2333">
        <w:rPr>
          <w:rFonts w:ascii="Times New Roman" w:eastAsia="Calibri" w:hAnsi="Times New Roman" w:cs="Times New Roman"/>
          <w:b/>
          <w:kern w:val="0"/>
          <w:szCs w:val="22"/>
          <w14:ligatures w14:val="none"/>
        </w:rPr>
        <w:t>MINISTER</w:t>
      </w:r>
    </w:p>
    <w:p w14:paraId="36BDB657" w14:textId="77777777" w:rsidR="00CF2333" w:rsidRPr="00CF2333" w:rsidRDefault="00CF2333" w:rsidP="00CF2333">
      <w:pPr>
        <w:spacing w:line="360" w:lineRule="auto"/>
        <w:ind w:firstLine="705"/>
        <w:jc w:val="both"/>
        <w:rPr>
          <w:rFonts w:ascii="Times New Roman" w:eastAsia="Calibri" w:hAnsi="Times New Roman" w:cs="Times New Roman"/>
          <w:kern w:val="0"/>
          <w:szCs w:val="22"/>
          <w14:ligatures w14:val="none"/>
        </w:rPr>
      </w:pPr>
      <w:r w:rsidRPr="00CF2333">
        <w:rPr>
          <w:rFonts w:ascii="Times New Roman" w:eastAsia="Calibri" w:hAnsi="Times New Roman" w:cs="Times New Roman"/>
          <w:b/>
          <w:kern w:val="0"/>
          <w:szCs w:val="22"/>
          <w14:ligatures w14:val="none"/>
        </w:rPr>
        <w:tab/>
      </w:r>
      <w:r w:rsidRPr="00CF2333">
        <w:rPr>
          <w:rFonts w:ascii="Times New Roman" w:eastAsia="Calibri" w:hAnsi="Times New Roman" w:cs="Times New Roman"/>
          <w:b/>
          <w:kern w:val="0"/>
          <w:szCs w:val="22"/>
          <w14:ligatures w14:val="none"/>
        </w:rPr>
        <w:tab/>
      </w:r>
      <w:r w:rsidRPr="00CF2333">
        <w:rPr>
          <w:rFonts w:ascii="Times New Roman" w:eastAsia="Calibri" w:hAnsi="Times New Roman" w:cs="Times New Roman"/>
          <w:b/>
          <w:kern w:val="0"/>
          <w:szCs w:val="22"/>
          <w14:ligatures w14:val="none"/>
        </w:rPr>
        <w:tab/>
      </w:r>
      <w:r w:rsidRPr="00CF2333">
        <w:rPr>
          <w:rFonts w:ascii="Times New Roman" w:eastAsia="Calibri" w:hAnsi="Times New Roman" w:cs="Times New Roman"/>
          <w:b/>
          <w:kern w:val="0"/>
          <w:szCs w:val="22"/>
          <w14:ligatures w14:val="none"/>
        </w:rPr>
        <w:tab/>
      </w:r>
      <w:r w:rsidRPr="00CF2333">
        <w:rPr>
          <w:rFonts w:ascii="Times New Roman" w:eastAsia="Calibri" w:hAnsi="Times New Roman" w:cs="Times New Roman"/>
          <w:b/>
          <w:kern w:val="0"/>
          <w:szCs w:val="22"/>
          <w14:ligatures w14:val="none"/>
        </w:rPr>
        <w:tab/>
      </w:r>
      <w:r w:rsidRPr="00CF2333">
        <w:rPr>
          <w:rFonts w:ascii="Times New Roman" w:eastAsia="Calibri" w:hAnsi="Times New Roman" w:cs="Times New Roman"/>
          <w:b/>
          <w:kern w:val="0"/>
          <w:szCs w:val="22"/>
          <w14:ligatures w14:val="none"/>
        </w:rPr>
        <w:tab/>
      </w:r>
      <w:r w:rsidRPr="00CF2333">
        <w:rPr>
          <w:rFonts w:ascii="Times New Roman" w:eastAsia="Calibri" w:hAnsi="Times New Roman" w:cs="Times New Roman"/>
          <w:b/>
          <w:kern w:val="0"/>
          <w:szCs w:val="22"/>
          <w14:ligatures w14:val="none"/>
        </w:rPr>
        <w:tab/>
      </w:r>
      <w:r w:rsidRPr="00CF2333">
        <w:rPr>
          <w:rFonts w:ascii="Times New Roman" w:eastAsia="Calibri" w:hAnsi="Times New Roman" w:cs="Times New Roman"/>
          <w:b/>
          <w:kern w:val="0"/>
          <w:szCs w:val="22"/>
          <w14:ligatures w14:val="none"/>
        </w:rPr>
        <w:tab/>
        <w:t>FINANSÓW</w:t>
      </w:r>
    </w:p>
    <w:p w14:paraId="2708FE09" w14:textId="77777777" w:rsidR="00CF2333" w:rsidRPr="00CF2333" w:rsidRDefault="00CF2333" w:rsidP="00CF2333">
      <w:pPr>
        <w:spacing w:line="259" w:lineRule="auto"/>
        <w:rPr>
          <w:rFonts w:ascii="Calibri" w:eastAsia="Calibri" w:hAnsi="Calibri" w:cs="Times New Roman"/>
          <w:kern w:val="0"/>
          <w:sz w:val="22"/>
          <w:szCs w:val="22"/>
          <w14:ligatures w14:val="none"/>
        </w:rPr>
      </w:pPr>
    </w:p>
    <w:p w14:paraId="1F0679EF" w14:textId="77777777" w:rsidR="00CF2333" w:rsidRPr="00CF2333" w:rsidRDefault="00CF2333" w:rsidP="00CF2333">
      <w:pPr>
        <w:spacing w:after="0" w:line="360" w:lineRule="auto"/>
        <w:rPr>
          <w:rFonts w:ascii="Times New Roman" w:eastAsia="Calibri" w:hAnsi="Times New Roman" w:cs="Times New Roman"/>
          <w:kern w:val="0"/>
          <w14:ligatures w14:val="none"/>
        </w:rPr>
      </w:pPr>
    </w:p>
    <w:p w14:paraId="76CFE629" w14:textId="77777777" w:rsidR="000B0E96" w:rsidRDefault="000B0E96"/>
    <w:sectPr w:rsidR="000B0E96" w:rsidSect="00CF2333">
      <w:headerReference w:type="default" r:id="rId6"/>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694BC" w14:textId="77777777" w:rsidR="006F08C4" w:rsidRDefault="006F08C4">
      <w:pPr>
        <w:spacing w:after="0" w:line="240" w:lineRule="auto"/>
      </w:pPr>
      <w:r>
        <w:separator/>
      </w:r>
    </w:p>
  </w:endnote>
  <w:endnote w:type="continuationSeparator" w:id="0">
    <w:p w14:paraId="55E2016B" w14:textId="77777777" w:rsidR="006F08C4" w:rsidRDefault="006F0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BC16E" w14:textId="77777777" w:rsidR="006F08C4" w:rsidRDefault="006F08C4">
      <w:pPr>
        <w:spacing w:after="0" w:line="240" w:lineRule="auto"/>
      </w:pPr>
      <w:r>
        <w:separator/>
      </w:r>
    </w:p>
  </w:footnote>
  <w:footnote w:type="continuationSeparator" w:id="0">
    <w:p w14:paraId="1866CC56" w14:textId="77777777" w:rsidR="006F08C4" w:rsidRDefault="006F0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003811726"/>
      <w:docPartObj>
        <w:docPartGallery w:val="Page Numbers (Top of Page)"/>
        <w:docPartUnique/>
      </w:docPartObj>
    </w:sdtPr>
    <w:sdtEndPr/>
    <w:sdtContent>
      <w:p w14:paraId="5680976C" w14:textId="77777777" w:rsidR="00CF2333" w:rsidRPr="00F061A1" w:rsidRDefault="00CF2333" w:rsidP="00F061A1">
        <w:pPr>
          <w:pStyle w:val="Nagwek"/>
          <w:jc w:val="center"/>
          <w:rPr>
            <w:rFonts w:ascii="Times New Roman" w:hAnsi="Times New Roman" w:cs="Times New Roman"/>
            <w:sz w:val="24"/>
            <w:szCs w:val="24"/>
          </w:rPr>
        </w:pPr>
        <w:r w:rsidRPr="00F061A1">
          <w:rPr>
            <w:rFonts w:ascii="Times New Roman" w:hAnsi="Times New Roman" w:cs="Times New Roman"/>
            <w:sz w:val="24"/>
            <w:szCs w:val="24"/>
          </w:rPr>
          <w:fldChar w:fldCharType="begin"/>
        </w:r>
        <w:r w:rsidRPr="00F061A1">
          <w:rPr>
            <w:rFonts w:ascii="Times New Roman" w:hAnsi="Times New Roman" w:cs="Times New Roman"/>
            <w:sz w:val="24"/>
            <w:szCs w:val="24"/>
          </w:rPr>
          <w:instrText>PAGE   \* MERGEFORMAT</w:instrText>
        </w:r>
        <w:r w:rsidRPr="00F061A1">
          <w:rPr>
            <w:rFonts w:ascii="Times New Roman" w:hAnsi="Times New Roman" w:cs="Times New Roman"/>
            <w:sz w:val="24"/>
            <w:szCs w:val="24"/>
          </w:rPr>
          <w:fldChar w:fldCharType="separate"/>
        </w:r>
        <w:r>
          <w:rPr>
            <w:rFonts w:ascii="Times New Roman" w:hAnsi="Times New Roman" w:cs="Times New Roman"/>
            <w:noProof/>
            <w:sz w:val="24"/>
            <w:szCs w:val="24"/>
          </w:rPr>
          <w:t>2</w:t>
        </w:r>
        <w:r w:rsidRPr="00F061A1">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333"/>
    <w:rsid w:val="00090DE3"/>
    <w:rsid w:val="000B0E96"/>
    <w:rsid w:val="00475BE2"/>
    <w:rsid w:val="004B699B"/>
    <w:rsid w:val="005319CE"/>
    <w:rsid w:val="00674F24"/>
    <w:rsid w:val="006F08C4"/>
    <w:rsid w:val="00711AC1"/>
    <w:rsid w:val="00717CF2"/>
    <w:rsid w:val="008561CB"/>
    <w:rsid w:val="0087081D"/>
    <w:rsid w:val="008B25A0"/>
    <w:rsid w:val="009B3DE9"/>
    <w:rsid w:val="009C26E2"/>
    <w:rsid w:val="00A16D5C"/>
    <w:rsid w:val="00AB023C"/>
    <w:rsid w:val="00BD2681"/>
    <w:rsid w:val="00C52625"/>
    <w:rsid w:val="00C848E9"/>
    <w:rsid w:val="00CF2333"/>
    <w:rsid w:val="00D652DB"/>
    <w:rsid w:val="00E03FFF"/>
    <w:rsid w:val="00F93C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948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F23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F23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F233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F233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F233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F233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F233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F233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F233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F233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F233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F233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F233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F233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F233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F233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F233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F2333"/>
    <w:rPr>
      <w:rFonts w:eastAsiaTheme="majorEastAsia" w:cstheme="majorBidi"/>
      <w:color w:val="272727" w:themeColor="text1" w:themeTint="D8"/>
    </w:rPr>
  </w:style>
  <w:style w:type="paragraph" w:styleId="Tytu">
    <w:name w:val="Title"/>
    <w:basedOn w:val="Normalny"/>
    <w:next w:val="Normalny"/>
    <w:link w:val="TytuZnak"/>
    <w:uiPriority w:val="10"/>
    <w:qFormat/>
    <w:rsid w:val="00CF2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F233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F233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F233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F2333"/>
    <w:pPr>
      <w:spacing w:before="160"/>
      <w:jc w:val="center"/>
    </w:pPr>
    <w:rPr>
      <w:i/>
      <w:iCs/>
      <w:color w:val="404040" w:themeColor="text1" w:themeTint="BF"/>
    </w:rPr>
  </w:style>
  <w:style w:type="character" w:customStyle="1" w:styleId="CytatZnak">
    <w:name w:val="Cytat Znak"/>
    <w:basedOn w:val="Domylnaczcionkaakapitu"/>
    <w:link w:val="Cytat"/>
    <w:uiPriority w:val="29"/>
    <w:rsid w:val="00CF2333"/>
    <w:rPr>
      <w:i/>
      <w:iCs/>
      <w:color w:val="404040" w:themeColor="text1" w:themeTint="BF"/>
    </w:rPr>
  </w:style>
  <w:style w:type="paragraph" w:styleId="Akapitzlist">
    <w:name w:val="List Paragraph"/>
    <w:basedOn w:val="Normalny"/>
    <w:uiPriority w:val="34"/>
    <w:qFormat/>
    <w:rsid w:val="00CF2333"/>
    <w:pPr>
      <w:ind w:left="720"/>
      <w:contextualSpacing/>
    </w:pPr>
  </w:style>
  <w:style w:type="character" w:styleId="Wyrnienieintensywne">
    <w:name w:val="Intense Emphasis"/>
    <w:basedOn w:val="Domylnaczcionkaakapitu"/>
    <w:uiPriority w:val="21"/>
    <w:qFormat/>
    <w:rsid w:val="00CF2333"/>
    <w:rPr>
      <w:i/>
      <w:iCs/>
      <w:color w:val="2F5496" w:themeColor="accent1" w:themeShade="BF"/>
    </w:rPr>
  </w:style>
  <w:style w:type="paragraph" w:styleId="Cytatintensywny">
    <w:name w:val="Intense Quote"/>
    <w:basedOn w:val="Normalny"/>
    <w:next w:val="Normalny"/>
    <w:link w:val="CytatintensywnyZnak"/>
    <w:uiPriority w:val="30"/>
    <w:qFormat/>
    <w:rsid w:val="00CF23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F2333"/>
    <w:rPr>
      <w:i/>
      <w:iCs/>
      <w:color w:val="2F5496" w:themeColor="accent1" w:themeShade="BF"/>
    </w:rPr>
  </w:style>
  <w:style w:type="character" w:styleId="Odwoanieintensywne">
    <w:name w:val="Intense Reference"/>
    <w:basedOn w:val="Domylnaczcionkaakapitu"/>
    <w:uiPriority w:val="32"/>
    <w:qFormat/>
    <w:rsid w:val="00CF2333"/>
    <w:rPr>
      <w:b/>
      <w:bCs/>
      <w:smallCaps/>
      <w:color w:val="2F5496" w:themeColor="accent1" w:themeShade="BF"/>
      <w:spacing w:val="5"/>
    </w:rPr>
  </w:style>
  <w:style w:type="paragraph" w:styleId="Nagwek">
    <w:name w:val="header"/>
    <w:basedOn w:val="Normalny"/>
    <w:link w:val="NagwekZnak"/>
    <w:uiPriority w:val="99"/>
    <w:unhideWhenUsed/>
    <w:rsid w:val="00CF2333"/>
    <w:pPr>
      <w:tabs>
        <w:tab w:val="center" w:pos="4536"/>
        <w:tab w:val="right" w:pos="9072"/>
      </w:tabs>
      <w:spacing w:after="0" w:line="240" w:lineRule="auto"/>
    </w:pPr>
    <w:rPr>
      <w:kern w:val="0"/>
      <w:sz w:val="22"/>
      <w:szCs w:val="22"/>
      <w14:ligatures w14:val="none"/>
    </w:rPr>
  </w:style>
  <w:style w:type="character" w:customStyle="1" w:styleId="NagwekZnak">
    <w:name w:val="Nagłówek Znak"/>
    <w:basedOn w:val="Domylnaczcionkaakapitu"/>
    <w:link w:val="Nagwek"/>
    <w:uiPriority w:val="99"/>
    <w:rsid w:val="00CF2333"/>
    <w:rPr>
      <w:kern w:val="0"/>
      <w:sz w:val="22"/>
      <w:szCs w:val="22"/>
      <w14:ligatures w14:val="none"/>
    </w:rPr>
  </w:style>
  <w:style w:type="paragraph" w:styleId="Stopka">
    <w:name w:val="footer"/>
    <w:basedOn w:val="Normalny"/>
    <w:link w:val="StopkaZnak"/>
    <w:uiPriority w:val="99"/>
    <w:unhideWhenUsed/>
    <w:rsid w:val="00C848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4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3563</Words>
  <Characters>21383</Characters>
  <Application>Microsoft Office Word</Application>
  <DocSecurity>0</DocSecurity>
  <Lines>178</Lines>
  <Paragraphs>49</Paragraphs>
  <ScaleCrop>false</ScaleCrop>
  <Company/>
  <LinksUpToDate>false</LinksUpToDate>
  <CharactersWithSpaces>24897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2025-11-18T08:36:00Z</dcterms:created>
  <dcterms:modified xsi:type="dcterms:W3CDTF">2025-11-18T08:36:00Z</dcterms:modified>
</cp:coreProperties>
</file>