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AC" w:rsidRDefault="007E26CA" w:rsidP="009B51A0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802218" w:rsidRPr="00C0497D" w:rsidRDefault="00802218" w:rsidP="00802218">
      <w:pPr>
        <w:pStyle w:val="NIEARTTEKSTtekstnieartykuowanynppodstprawnarozplubpreambua"/>
      </w:pPr>
      <w:r w:rsidRPr="00F342D9">
        <w:t>Projektowana regulacja zmienia ustawę z dnia 9 marca 2023 r. o Krajowej Sieci Onkologicznej (Dz. U. poz. 650), zwan</w:t>
      </w:r>
      <w:r>
        <w:t>ą</w:t>
      </w:r>
      <w:r w:rsidRPr="00F342D9">
        <w:t xml:space="preserve"> dalej „ustawą o KSO”. </w:t>
      </w:r>
      <w:r w:rsidRPr="00C0497D">
        <w:t>W projekcie ustawy o zmianie ustawy o Krajowej Sieci Onkologicznej proponuje się zmiany</w:t>
      </w:r>
      <w:r>
        <w:t xml:space="preserve"> </w:t>
      </w:r>
      <w:r w:rsidRPr="00C0497D">
        <w:t xml:space="preserve">dotyczące </w:t>
      </w:r>
      <w:r>
        <w:t>wdrażania</w:t>
      </w:r>
      <w:r w:rsidRPr="00C0497D">
        <w:t xml:space="preserve"> </w:t>
      </w:r>
      <w:r>
        <w:t xml:space="preserve">Krajowej Sieci Onkologicznej, </w:t>
      </w:r>
      <w:r w:rsidRPr="00C0497D">
        <w:t xml:space="preserve">zwanej dalej „KSO”. </w:t>
      </w:r>
    </w:p>
    <w:p w:rsidR="00802218" w:rsidRPr="00C0497D" w:rsidRDefault="00802218" w:rsidP="00802218">
      <w:pPr>
        <w:pStyle w:val="NIEARTTEKSTtekstnieartykuowanynppodstprawnarozplubpreambua"/>
      </w:pPr>
      <w:r w:rsidRPr="007124C5">
        <w:t xml:space="preserve">Propozycja zmiany zawarta w art. 1 pkt </w:t>
      </w:r>
      <w:r>
        <w:t>2</w:t>
      </w:r>
      <w:r w:rsidRPr="007124C5">
        <w:t xml:space="preserve"> projektu ustawy o zmianie ustawy o KSO dotyczy </w:t>
      </w:r>
      <w:r w:rsidRPr="00C0497D">
        <w:t xml:space="preserve">przesunięcia terminu </w:t>
      </w:r>
      <w:r>
        <w:t xml:space="preserve">realizacji </w:t>
      </w:r>
      <w:r w:rsidRPr="00C0497D">
        <w:t>obowiązku nałożonego na podmioty wchodzące w skład KSO polegającego na przekazywaniu danych o sprawowanej opiece onkologicznej do</w:t>
      </w:r>
      <w:r>
        <w:t> </w:t>
      </w:r>
      <w:r w:rsidRPr="00C0497D">
        <w:t>systemu KSO, który jest modułem Systemu Informacji Medycznej</w:t>
      </w:r>
      <w:r>
        <w:t xml:space="preserve">. </w:t>
      </w:r>
      <w:r w:rsidRPr="00C0497D">
        <w:t>Zgodnie z ustawą o</w:t>
      </w:r>
      <w:r>
        <w:t> </w:t>
      </w:r>
      <w:r w:rsidRPr="00C0497D">
        <w:t xml:space="preserve">KSO, podmioty wchodzące w skład </w:t>
      </w:r>
      <w:r>
        <w:t>KSO</w:t>
      </w:r>
      <w:r w:rsidRPr="00C0497D">
        <w:t xml:space="preserve"> powinny przekazywać ww. dane od momentu ogłoszenia wykazu świadczeniodawców zakwalifikowanych do KSO, tj. od dnia 1 kwietnia 2024 r. Niemniej jednak z uwagi na brak gotowości technicznej do wdrożenia tego rozwiązania po stronie podmiotów wchodzących w skład KSO jest konieczne przesunięcie przedmiotowego terminu </w:t>
      </w:r>
      <w:r>
        <w:t xml:space="preserve">rozpoczęcia realizacji ww. obowiązku </w:t>
      </w:r>
      <w:r w:rsidRPr="00C0497D">
        <w:t xml:space="preserve">na dzień 1 </w:t>
      </w:r>
      <w:r>
        <w:t>kwietnia</w:t>
      </w:r>
      <w:r w:rsidRPr="00C0497D">
        <w:t xml:space="preserve"> 2025 r. Konsekwencją zmiany art.</w:t>
      </w:r>
      <w:r>
        <w:t> </w:t>
      </w:r>
      <w:r w:rsidRPr="00C0497D">
        <w:t>53 ust. 2 ustawy o KSO</w:t>
      </w:r>
      <w:r>
        <w:t xml:space="preserve"> </w:t>
      </w:r>
      <w:r w:rsidRPr="00C0497D">
        <w:t xml:space="preserve">jest dokonanie również zmiany art. 51 </w:t>
      </w:r>
      <w:r w:rsidRPr="0041602C">
        <w:t xml:space="preserve">ustawy o KSO </w:t>
      </w:r>
      <w:r w:rsidRPr="00C0497D">
        <w:t>(art.</w:t>
      </w:r>
      <w:r>
        <w:t> </w:t>
      </w:r>
      <w:r w:rsidRPr="00C0497D">
        <w:t xml:space="preserve">1 pkt </w:t>
      </w:r>
      <w:r>
        <w:t>1</w:t>
      </w:r>
      <w:r w:rsidRPr="00C0497D">
        <w:t xml:space="preserve"> projektu ustawy) oraz art. 54 </w:t>
      </w:r>
      <w:r w:rsidRPr="0041602C">
        <w:t xml:space="preserve">ustawy o KSO </w:t>
      </w:r>
      <w:r w:rsidRPr="00C0497D">
        <w:t xml:space="preserve">(art. 1 pkt </w:t>
      </w:r>
      <w:r>
        <w:t>3</w:t>
      </w:r>
      <w:r w:rsidRPr="00C0497D">
        <w:t xml:space="preserve"> projektu ustawy).</w:t>
      </w:r>
    </w:p>
    <w:p w:rsidR="00802218" w:rsidRDefault="00802218" w:rsidP="00802218">
      <w:pPr>
        <w:pStyle w:val="ARTartustawynprozporzdzenia"/>
      </w:pPr>
      <w:r>
        <w:t>W związku z koniecznością przesunięcia terminu wdrożenia KSO jest</w:t>
      </w:r>
      <w:r w:rsidRPr="009F3D50">
        <w:t xml:space="preserve"> </w:t>
      </w:r>
      <w:r>
        <w:t xml:space="preserve">konieczna </w:t>
      </w:r>
      <w:r w:rsidRPr="009F3D50">
        <w:t>zmian</w:t>
      </w:r>
      <w:r>
        <w:t>a</w:t>
      </w:r>
      <w:r w:rsidRPr="009F3D50">
        <w:t xml:space="preserve"> terminu przeprowadzenia pierwszej kwalifikacji na dany poziom zabezpieczenia opieki onkologicznej KSO, o którym mowa wart.</w:t>
      </w:r>
      <w:r>
        <w:t> </w:t>
      </w:r>
      <w:r w:rsidRPr="009F3D50">
        <w:t>3 ust. 2</w:t>
      </w:r>
      <w:r>
        <w:t xml:space="preserve"> ustawy o KSO</w:t>
      </w:r>
      <w:r w:rsidRPr="009F3D50">
        <w:t>, określony w art. 56 ust. 2</w:t>
      </w:r>
      <w:r>
        <w:t xml:space="preserve"> ustawy o KSO</w:t>
      </w:r>
      <w:r w:rsidRPr="009F3D50">
        <w:t xml:space="preserve">, przez przesunięcie go do dnia 31 marca 2025 r. Przesunięcie terminu pierwszej kwalifikacji pozwoli </w:t>
      </w:r>
      <w:r>
        <w:t xml:space="preserve">Narodowemu Funduszowi Zdrowia, zwanemu dalej </w:t>
      </w:r>
      <w:r w:rsidRPr="00312471">
        <w:t>„</w:t>
      </w:r>
      <w:r>
        <w:t>NFZ</w:t>
      </w:r>
      <w:r w:rsidRPr="00312471">
        <w:t>”,</w:t>
      </w:r>
      <w:r w:rsidRPr="009F3D50">
        <w:t xml:space="preserve"> </w:t>
      </w:r>
      <w:r w:rsidRPr="00F83EE7">
        <w:t xml:space="preserve">na rzetelną weryfikację podmiotów </w:t>
      </w:r>
      <w:r>
        <w:t xml:space="preserve">pod </w:t>
      </w:r>
      <w:r w:rsidRPr="00F83EE7">
        <w:t xml:space="preserve">względem szczegółowych kryteriów </w:t>
      </w:r>
      <w:r>
        <w:t xml:space="preserve">warunkujących przynależność </w:t>
      </w:r>
      <w:r w:rsidRPr="00F83EE7">
        <w:t>podmiot</w:t>
      </w:r>
      <w:r>
        <w:t>ów</w:t>
      </w:r>
      <w:r w:rsidRPr="00F83EE7">
        <w:t xml:space="preserve"> wykonując</w:t>
      </w:r>
      <w:r>
        <w:t>ych</w:t>
      </w:r>
      <w:r w:rsidRPr="00F83EE7">
        <w:t xml:space="preserve"> działalność leczniczą do poziomu </w:t>
      </w:r>
      <w:r w:rsidRPr="00F83EE7">
        <w:lastRenderedPageBreak/>
        <w:t>zabezpieczenia opieki onkologicznej</w:t>
      </w:r>
      <w:r>
        <w:t xml:space="preserve"> </w:t>
      </w:r>
      <w:r w:rsidRPr="009F3D50">
        <w:t>KSO</w:t>
      </w:r>
      <w:r>
        <w:t xml:space="preserve">, a podmiotom tym </w:t>
      </w:r>
      <w:r w:rsidRPr="009F3D50">
        <w:t xml:space="preserve">zapewni niezbędny czas na przygotowanie zasobów kadrowych, organizacyjnych i ustalenie zasad przepływu informacji pomiędzy </w:t>
      </w:r>
      <w:r>
        <w:t>nimi</w:t>
      </w:r>
      <w:r w:rsidRPr="009F3D50">
        <w:t>.</w:t>
      </w:r>
      <w:r>
        <w:t xml:space="preserve"> </w:t>
      </w:r>
      <w:bookmarkStart w:id="1" w:name="_Hlk156917337"/>
      <w:r>
        <w:t xml:space="preserve">Konsekwencją zmiany art. 56 ust. 2 jest </w:t>
      </w:r>
      <w:r w:rsidRPr="007C6AC0">
        <w:t xml:space="preserve">dokonanie również zmiany </w:t>
      </w:r>
      <w:r>
        <w:t>wejścia w życie art. 5 ustawy o KSO</w:t>
      </w:r>
      <w:r w:rsidRPr="007C6AC0">
        <w:t>.</w:t>
      </w:r>
      <w:bookmarkEnd w:id="1"/>
    </w:p>
    <w:p w:rsidR="00802218" w:rsidRPr="00A02FBD" w:rsidRDefault="00802218" w:rsidP="00802218">
      <w:pPr>
        <w:pStyle w:val="ARTartustawynprozporzdzenia"/>
      </w:pPr>
      <w:r>
        <w:t xml:space="preserve">Projekt wprowadza zmianę </w:t>
      </w:r>
      <w:r w:rsidRPr="00C0497D">
        <w:t>termin</w:t>
      </w:r>
      <w:r>
        <w:t>u</w:t>
      </w:r>
      <w:r w:rsidRPr="00C0497D">
        <w:t xml:space="preserve"> wejścia w życie</w:t>
      </w:r>
      <w:r>
        <w:t xml:space="preserve"> w zakresie art. 58 pkt 1 i 2 ustawy o KSO, tj.</w:t>
      </w:r>
      <w:r w:rsidRPr="00C0497D">
        <w:t xml:space="preserve"> </w:t>
      </w:r>
      <w:r w:rsidRPr="002367B9">
        <w:t xml:space="preserve">art. 5 ustawy o KSO oraz art. 20 ust. 2, 4 i 5 ustawy o KSO (art. 1 pkt </w:t>
      </w:r>
      <w:r>
        <w:t>5</w:t>
      </w:r>
      <w:r w:rsidRPr="002367B9">
        <w:t xml:space="preserve"> projektu ustawy).</w:t>
      </w:r>
      <w:r>
        <w:t xml:space="preserve"> </w:t>
      </w:r>
    </w:p>
    <w:p w:rsidR="00802218" w:rsidRPr="006D30DC" w:rsidRDefault="00802218" w:rsidP="00802218">
      <w:pPr>
        <w:pStyle w:val="ARTartustawynprozporzdzenia"/>
      </w:pPr>
      <w:r>
        <w:t xml:space="preserve">W obecnym stanie prawnym, na podstawie </w:t>
      </w:r>
      <w:r w:rsidRPr="006D30DC">
        <w:t>art. 58 pkt 1 ustawy o KSO</w:t>
      </w:r>
      <w:r>
        <w:t>, a</w:t>
      </w:r>
      <w:r w:rsidRPr="006D30DC">
        <w:t xml:space="preserve">rt. 5 </w:t>
      </w:r>
      <w:r>
        <w:t xml:space="preserve">tej </w:t>
      </w:r>
      <w:r w:rsidRPr="006D30DC">
        <w:t>ustawy, zgodnie z którym podmioty wykonujące działalność leczniczą niewchodzące w skład KSO nie będą uprawnione do realizacji opieki onkologicznej w ramach zawartej z NFZ umowy o</w:t>
      </w:r>
      <w:r>
        <w:t> </w:t>
      </w:r>
      <w:r w:rsidRPr="006D30DC">
        <w:t>udzielanie świadczeń opieki zdrowotnej</w:t>
      </w:r>
      <w:r>
        <w:t>,</w:t>
      </w:r>
      <w:r w:rsidRPr="006D30DC">
        <w:t xml:space="preserve"> wchodzi w życie z dniem 1 kwietnia 2024 r. W</w:t>
      </w:r>
      <w:r>
        <w:t> </w:t>
      </w:r>
      <w:r w:rsidRPr="006D30DC">
        <w:t xml:space="preserve">związku z koniecznością przesunięcia terminów wdrożenia KSO, w </w:t>
      </w:r>
      <w:r>
        <w:t xml:space="preserve">celu zapewnienia </w:t>
      </w:r>
      <w:r w:rsidRPr="006D30DC">
        <w:t>spójn</w:t>
      </w:r>
      <w:r>
        <w:t>ości</w:t>
      </w:r>
      <w:r w:rsidRPr="006D30DC">
        <w:t xml:space="preserve"> ze zmienianym terminem pierwszej kwalifikacji na poszczególne poziomy zabezpieczenia opieki onkologicznej KSO, za</w:t>
      </w:r>
      <w:r>
        <w:t xml:space="preserve">proponowano </w:t>
      </w:r>
      <w:r w:rsidRPr="006D30DC">
        <w:t>wejście w życie przedmiotowe</w:t>
      </w:r>
      <w:r>
        <w:t>go rozwiązania</w:t>
      </w:r>
      <w:r w:rsidRPr="006D30DC">
        <w:t xml:space="preserve"> na dzień 1 kwietnia 2025 r.</w:t>
      </w:r>
    </w:p>
    <w:p w:rsidR="00802218" w:rsidRDefault="00802218" w:rsidP="00802218">
      <w:pPr>
        <w:pStyle w:val="NIEARTTEKSTtekstnieartykuowanynppodstprawnarozplubpreambua"/>
      </w:pPr>
      <w:r w:rsidRPr="00C0497D">
        <w:t>Ustawa o KSO przewiduje, że przepisy dotyczące zapisów na</w:t>
      </w:r>
      <w:r>
        <w:t> </w:t>
      </w:r>
      <w:r w:rsidRPr="00C0497D">
        <w:t xml:space="preserve">pierwszorazowe świadczenia opieki zdrowotnej w zakresie onkologii wejdą w życie </w:t>
      </w:r>
      <w:r>
        <w:t xml:space="preserve">z dniem 1 lipca </w:t>
      </w:r>
      <w:r w:rsidRPr="00C0497D">
        <w:t>202</w:t>
      </w:r>
      <w:r>
        <w:t>5</w:t>
      </w:r>
      <w:r w:rsidRPr="00C0497D">
        <w:t xml:space="preserve"> r. Uruchomienie infolinii w tym zakresie wymaga jednak korzystania przez podmioty wchodzące w skład KSO z</w:t>
      </w:r>
      <w:r>
        <w:t> </w:t>
      </w:r>
      <w:r w:rsidRPr="00C0497D">
        <w:t xml:space="preserve">narzędzia umożliwiającego centralne prowadzenie grafików przyjęć dostępnych dla konsultantów infolinii. W tym zaś przypadku brakuje podstawy prawnej do wdrożenia centralnej e-rejestracji. Do chwili obecnej nie została bowiem przeprowadzona kompleksowa zmiana ustawy </w:t>
      </w:r>
      <w:r w:rsidRPr="001F2616">
        <w:t xml:space="preserve">z dnia 27 sierpnia 2004 r. o świadczeniach opieki zdrowotnej finansowanych ze środków publicznych </w:t>
      </w:r>
      <w:r>
        <w:t>(</w:t>
      </w:r>
      <w:r w:rsidRPr="00E2426F">
        <w:t>Dz. U. z 2022 r. poz. 2561, z późn. zm.</w:t>
      </w:r>
      <w:r>
        <w:t>)</w:t>
      </w:r>
      <w:r w:rsidRPr="00C0497D">
        <w:t xml:space="preserve"> w zakresie zasad prowadzenia list oczekujących</w:t>
      </w:r>
      <w:r>
        <w:t xml:space="preserve"> na udzielnie świadczenia</w:t>
      </w:r>
      <w:r w:rsidRPr="00C0497D">
        <w:t xml:space="preserve">, funkcjonowania tzw. „centralnej e-poczekalni” oraz możliwości przetwarzania danych osobowych w systemie </w:t>
      </w:r>
      <w:r w:rsidRPr="00C0497D">
        <w:lastRenderedPageBreak/>
        <w:t>centralnym, któr</w:t>
      </w:r>
      <w:r>
        <w:t>e</w:t>
      </w:r>
      <w:r w:rsidRPr="00C0497D">
        <w:t xml:space="preserve"> wymaga</w:t>
      </w:r>
      <w:r>
        <w:t>ją</w:t>
      </w:r>
      <w:r w:rsidRPr="00C0497D">
        <w:t xml:space="preserve"> wykreowania na</w:t>
      </w:r>
      <w:r>
        <w:t> </w:t>
      </w:r>
      <w:r w:rsidRPr="00C0497D">
        <w:t xml:space="preserve">poziomie ustawowym. W związku z powyższym proponuje się, aby </w:t>
      </w:r>
      <w:r w:rsidR="006D33D4">
        <w:t xml:space="preserve">przepisy </w:t>
      </w:r>
      <w:r w:rsidRPr="00C0497D">
        <w:t>art. 20 ust. 2, 4 i 5 ustawy o KSO w</w:t>
      </w:r>
      <w:r w:rsidR="006D33D4">
        <w:t>e</w:t>
      </w:r>
      <w:r w:rsidRPr="00C0497D">
        <w:t>szł</w:t>
      </w:r>
      <w:r w:rsidR="006D33D4">
        <w:t>y</w:t>
      </w:r>
      <w:r w:rsidRPr="00C0497D">
        <w:t xml:space="preserve"> w życie </w:t>
      </w:r>
      <w:r>
        <w:t xml:space="preserve">dniem </w:t>
      </w:r>
      <w:r w:rsidRPr="00C0497D">
        <w:t>1 lipca 2025 r., co umożliwi przyjęcie odpowiednich zmian prawnych w</w:t>
      </w:r>
      <w:r>
        <w:t> </w:t>
      </w:r>
      <w:r w:rsidRPr="00C0497D">
        <w:t xml:space="preserve">zakresie centralnej e-rejestracji. </w:t>
      </w:r>
    </w:p>
    <w:p w:rsidR="00802218" w:rsidRPr="00995243" w:rsidRDefault="00802218" w:rsidP="00802218">
      <w:pPr>
        <w:pStyle w:val="NIEARTTEKSTtekstnieartykuowanynppodstprawnarozplubpreambua"/>
      </w:pPr>
      <w:r>
        <w:t>Projektowana ustawa</w:t>
      </w:r>
      <w:r w:rsidRPr="00995243">
        <w:t xml:space="preserve"> wejdzie w życie </w:t>
      </w:r>
      <w:r w:rsidRPr="00FE54D6">
        <w:t>z dniem 31 marca 2024 r</w:t>
      </w:r>
      <w:r>
        <w:t>. Wejście w życie projektowanych przepisów we wskazanym terminie jest podyktowane koniecznością</w:t>
      </w:r>
      <w:r w:rsidRPr="00D9092B">
        <w:t xml:space="preserve"> zapewnienia ciągłości opieki nad pacjentami onkologicznymi oraz </w:t>
      </w:r>
      <w:r>
        <w:t xml:space="preserve">uniknięciem </w:t>
      </w:r>
      <w:r w:rsidRPr="00D9092B">
        <w:t>chaos</w:t>
      </w:r>
      <w:r>
        <w:t>u</w:t>
      </w:r>
      <w:r w:rsidRPr="00D9092B">
        <w:t xml:space="preserve"> w</w:t>
      </w:r>
      <w:r>
        <w:t> </w:t>
      </w:r>
      <w:r w:rsidRPr="00D9092B">
        <w:t>systemie opieki onkologicznej</w:t>
      </w:r>
      <w:r>
        <w:t>.</w:t>
      </w:r>
    </w:p>
    <w:p w:rsidR="00802218" w:rsidRPr="00995243" w:rsidRDefault="00802218" w:rsidP="00802218">
      <w:pPr>
        <w:pStyle w:val="NIEARTTEKSTtekstnieartykuowanynppodstprawnarozplubpreambua"/>
      </w:pPr>
      <w:r w:rsidRPr="00995243">
        <w:t xml:space="preserve">Projekt </w:t>
      </w:r>
      <w:r>
        <w:t xml:space="preserve">ustawy </w:t>
      </w:r>
      <w:r w:rsidRPr="00995243">
        <w:t>nie jest sprzeczny z prawem Unii Europejskiej.</w:t>
      </w:r>
    </w:p>
    <w:p w:rsidR="00802218" w:rsidRPr="00995243" w:rsidRDefault="00802218" w:rsidP="00802218">
      <w:pPr>
        <w:pStyle w:val="NIEARTTEKSTtekstnieartykuowanynppodstprawnarozplubpreambua"/>
      </w:pPr>
      <w:r w:rsidRPr="00995243">
        <w:t xml:space="preserve">Projekt </w:t>
      </w:r>
      <w:r>
        <w:t xml:space="preserve">ustawy </w:t>
      </w:r>
      <w:r w:rsidRPr="00995243">
        <w:t>nie podlega obowiązkowi przedstawienia właściwym organom i</w:t>
      </w:r>
      <w:r>
        <w:t> </w:t>
      </w:r>
      <w:r w:rsidRPr="00995243">
        <w:t>instytucjom Unii Europejskiej, w tym Europejskiemu Bankowi Centralnemu, w celu uzyskania opinii, dokonania powiadomienia, konsultacji albo uzgodnienia.</w:t>
      </w:r>
    </w:p>
    <w:p w:rsidR="00802218" w:rsidRPr="00995243" w:rsidRDefault="00802218" w:rsidP="00802218">
      <w:pPr>
        <w:pStyle w:val="NIEARTTEKSTtekstnieartykuowanynppodstprawnarozplubpreambua"/>
      </w:pPr>
      <w:r w:rsidRPr="00995243">
        <w:t xml:space="preserve">Projekt </w:t>
      </w:r>
      <w:r>
        <w:t>ustawy</w:t>
      </w:r>
      <w:r w:rsidRPr="00995243">
        <w:t xml:space="preserve"> nie zawiera </w:t>
      </w:r>
      <w:r>
        <w:t>wymogów nakładanych na usługodawców podlegających notyfikacji, o której mowa w art. 15 ust. 7 i art. 39 ust. 4 dyrektywy 2006/123/WE Parlamentu Europejskiego i Rady z dnia 12 grudnia 2006 r. dotyczącej usług na rynku wewnętrznym (Dz. Urz. UE L 376 z 27.12.2006, str. 36).</w:t>
      </w:r>
    </w:p>
    <w:p w:rsidR="00802218" w:rsidRDefault="00802218" w:rsidP="00802218">
      <w:pPr>
        <w:pStyle w:val="NIEARTTEKSTtekstnieartykuowanynppodstprawnarozplubpreambua"/>
      </w:pPr>
      <w:r w:rsidRPr="00995243">
        <w:t>Projektowana regulacja nie będzie miała wpływu na sektor mikro-, małych i średnich przedsiębiorstw.</w:t>
      </w:r>
      <w:r>
        <w:t xml:space="preserve"> </w:t>
      </w:r>
    </w:p>
    <w:p w:rsidR="00802218" w:rsidRPr="00F833AA" w:rsidRDefault="00802218" w:rsidP="00802218">
      <w:pPr>
        <w:pStyle w:val="NIEARTTEKSTtekstnieartykuowanynppodstprawnarozplubpreambua"/>
        <w:rPr>
          <w:lang w:eastAsia="en-US"/>
        </w:rPr>
      </w:pPr>
      <w:r w:rsidRPr="00F833AA">
        <w:t>W trybie art. 7 ustawy z dnia 7 lipca 2005 r. o działalności lobbingowej w</w:t>
      </w:r>
      <w:r>
        <w:t> </w:t>
      </w:r>
      <w:r w:rsidRPr="00F833AA">
        <w:t xml:space="preserve">procesie stanowienia prawa (Dz. U. z 2017 r. poz. 248) nie zgłoszono zainteresowania pracami nad projektem </w:t>
      </w:r>
      <w:r>
        <w:t>ustawy</w:t>
      </w:r>
      <w:r w:rsidRPr="00F833AA">
        <w:t xml:space="preserve">. </w:t>
      </w:r>
    </w:p>
    <w:p w:rsidR="00802218" w:rsidRPr="00995243" w:rsidRDefault="00802218" w:rsidP="00802218">
      <w:pPr>
        <w:pStyle w:val="NIEARTTEKSTtekstnieartykuowanynppodstprawnarozplubpreambua"/>
      </w:pPr>
      <w:r w:rsidRPr="00995243">
        <w:t>Nie ma możliwości podjęcia alternatywnych w stosunku do projektowane</w:t>
      </w:r>
      <w:r>
        <w:t>j ustawy</w:t>
      </w:r>
      <w:r w:rsidRPr="00995243">
        <w:t xml:space="preserve"> środków umożliwiających osiągnięcie zamierzonego celu.</w:t>
      </w:r>
    </w:p>
    <w:sectPr w:rsidR="00802218" w:rsidRPr="00995243" w:rsidSect="0072793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F0" w:rsidRDefault="00EC44F0" w:rsidP="009D78F9">
      <w:pPr>
        <w:spacing w:after="0" w:line="240" w:lineRule="auto"/>
      </w:pPr>
      <w:r>
        <w:separator/>
      </w:r>
    </w:p>
  </w:endnote>
  <w:endnote w:type="continuationSeparator" w:id="0">
    <w:p w:rsidR="00EC44F0" w:rsidRDefault="00EC44F0" w:rsidP="009D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441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2C21" w:rsidRPr="00392C21" w:rsidRDefault="00392C21" w:rsidP="00392C21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2C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2C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2C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002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92C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F0" w:rsidRDefault="00EC44F0" w:rsidP="009D78F9">
      <w:pPr>
        <w:spacing w:after="0" w:line="240" w:lineRule="auto"/>
      </w:pPr>
      <w:r>
        <w:separator/>
      </w:r>
    </w:p>
  </w:footnote>
  <w:footnote w:type="continuationSeparator" w:id="0">
    <w:p w:rsidR="00EC44F0" w:rsidRDefault="00EC44F0" w:rsidP="009D7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EA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254F"/>
    <w:multiLevelType w:val="hybridMultilevel"/>
    <w:tmpl w:val="20CA3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869C6"/>
    <w:multiLevelType w:val="hybridMultilevel"/>
    <w:tmpl w:val="4E9AD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" w15:restartNumberingAfterBreak="0">
    <w:nsid w:val="1E3D318B"/>
    <w:multiLevelType w:val="hybridMultilevel"/>
    <w:tmpl w:val="0D7E1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1" w15:restartNumberingAfterBreak="0">
    <w:nsid w:val="245A51BA"/>
    <w:multiLevelType w:val="hybridMultilevel"/>
    <w:tmpl w:val="4970A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3FD6"/>
    <w:multiLevelType w:val="hybridMultilevel"/>
    <w:tmpl w:val="8048D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6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F4C0EBE"/>
    <w:multiLevelType w:val="multilevel"/>
    <w:tmpl w:val="7C6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B5719"/>
    <w:multiLevelType w:val="hybridMultilevel"/>
    <w:tmpl w:val="5CD61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1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7D5579E"/>
    <w:multiLevelType w:val="hybridMultilevel"/>
    <w:tmpl w:val="0AD26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05729A9"/>
    <w:multiLevelType w:val="hybridMultilevel"/>
    <w:tmpl w:val="E06E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CF7D78"/>
    <w:multiLevelType w:val="hybridMultilevel"/>
    <w:tmpl w:val="EC5C0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1"/>
  </w:num>
  <w:num w:numId="5">
    <w:abstractNumId w:val="27"/>
  </w:num>
  <w:num w:numId="6">
    <w:abstractNumId w:val="2"/>
  </w:num>
  <w:num w:numId="7">
    <w:abstractNumId w:val="12"/>
  </w:num>
  <w:num w:numId="8">
    <w:abstractNumId w:val="19"/>
  </w:num>
  <w:num w:numId="9">
    <w:abstractNumId w:val="8"/>
  </w:num>
  <w:num w:numId="10">
    <w:abstractNumId w:val="21"/>
  </w:num>
  <w:num w:numId="11">
    <w:abstractNumId w:val="16"/>
  </w:num>
  <w:num w:numId="12">
    <w:abstractNumId w:val="20"/>
  </w:num>
  <w:num w:numId="13">
    <w:abstractNumId w:val="5"/>
  </w:num>
  <w:num w:numId="14">
    <w:abstractNumId w:val="15"/>
  </w:num>
  <w:num w:numId="15">
    <w:abstractNumId w:val="28"/>
  </w:num>
  <w:num w:numId="16">
    <w:abstractNumId w:val="23"/>
  </w:num>
  <w:num w:numId="17">
    <w:abstractNumId w:val="25"/>
  </w:num>
  <w:num w:numId="18">
    <w:abstractNumId w:val="9"/>
  </w:num>
  <w:num w:numId="19">
    <w:abstractNumId w:val="29"/>
  </w:num>
  <w:num w:numId="20">
    <w:abstractNumId w:val="31"/>
  </w:num>
  <w:num w:numId="21">
    <w:abstractNumId w:val="24"/>
  </w:num>
  <w:num w:numId="22">
    <w:abstractNumId w:val="10"/>
  </w:num>
  <w:num w:numId="23">
    <w:abstractNumId w:val="1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3"/>
  </w:num>
  <w:num w:numId="27">
    <w:abstractNumId w:val="11"/>
  </w:num>
  <w:num w:numId="28">
    <w:abstractNumId w:val="26"/>
  </w:num>
  <w:num w:numId="29">
    <w:abstractNumId w:val="4"/>
  </w:num>
  <w:num w:numId="30">
    <w:abstractNumId w:val="6"/>
  </w:num>
  <w:num w:numId="31">
    <w:abstractNumId w:val="3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95"/>
    <w:rsid w:val="00056E79"/>
    <w:rsid w:val="001B3166"/>
    <w:rsid w:val="001E469B"/>
    <w:rsid w:val="00236955"/>
    <w:rsid w:val="002D3299"/>
    <w:rsid w:val="00392C21"/>
    <w:rsid w:val="003938F7"/>
    <w:rsid w:val="003F6C95"/>
    <w:rsid w:val="00445210"/>
    <w:rsid w:val="00453BA3"/>
    <w:rsid w:val="004A2B6D"/>
    <w:rsid w:val="004A37A6"/>
    <w:rsid w:val="004E0A95"/>
    <w:rsid w:val="004F3862"/>
    <w:rsid w:val="005F249D"/>
    <w:rsid w:val="005F4005"/>
    <w:rsid w:val="006466AC"/>
    <w:rsid w:val="006D33D4"/>
    <w:rsid w:val="00725B90"/>
    <w:rsid w:val="00726F0A"/>
    <w:rsid w:val="00727934"/>
    <w:rsid w:val="007455B5"/>
    <w:rsid w:val="007A3A37"/>
    <w:rsid w:val="007C0021"/>
    <w:rsid w:val="007E26CA"/>
    <w:rsid w:val="007F3D5B"/>
    <w:rsid w:val="00802218"/>
    <w:rsid w:val="00867028"/>
    <w:rsid w:val="00874676"/>
    <w:rsid w:val="00877B10"/>
    <w:rsid w:val="00882207"/>
    <w:rsid w:val="00887DB4"/>
    <w:rsid w:val="008D1573"/>
    <w:rsid w:val="008F6235"/>
    <w:rsid w:val="009B51A0"/>
    <w:rsid w:val="009D78F9"/>
    <w:rsid w:val="009E788D"/>
    <w:rsid w:val="009F03C5"/>
    <w:rsid w:val="00AB053F"/>
    <w:rsid w:val="00AD453B"/>
    <w:rsid w:val="00C04DCD"/>
    <w:rsid w:val="00CF08F2"/>
    <w:rsid w:val="00D033A0"/>
    <w:rsid w:val="00D03895"/>
    <w:rsid w:val="00DE0567"/>
    <w:rsid w:val="00DF4048"/>
    <w:rsid w:val="00DF5F5A"/>
    <w:rsid w:val="00EC44F0"/>
    <w:rsid w:val="00EE2731"/>
    <w:rsid w:val="00F7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9353C-FF48-4A97-9338-2D0045D9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F08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F08F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F08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C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5F400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F4005"/>
    <w:rPr>
      <w:bCs/>
    </w:rPr>
  </w:style>
  <w:style w:type="paragraph" w:customStyle="1" w:styleId="PKTpunkt">
    <w:name w:val="PKT – punkt"/>
    <w:uiPriority w:val="13"/>
    <w:qFormat/>
    <w:rsid w:val="005F400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8F9"/>
  </w:style>
  <w:style w:type="paragraph" w:styleId="Stopka">
    <w:name w:val="footer"/>
    <w:basedOn w:val="Normalny"/>
    <w:link w:val="StopkaZnak"/>
    <w:uiPriority w:val="99"/>
    <w:unhideWhenUsed/>
    <w:rsid w:val="009D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8F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8F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F08F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F08F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F08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F08F2"/>
    <w:rPr>
      <w:rFonts w:ascii="Arial" w:eastAsia="Times New Roman" w:hAnsi="Arial" w:cs="Arial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F08F2"/>
  </w:style>
  <w:style w:type="table" w:styleId="Tabela-Siatka">
    <w:name w:val="Table Grid"/>
    <w:basedOn w:val="Standardowy"/>
    <w:uiPriority w:val="99"/>
    <w:rsid w:val="00CF08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8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8F2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8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8F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F08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08F2"/>
    <w:pPr>
      <w:spacing w:after="0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CF0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8F2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8F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8F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CF08F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F08F2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CF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CF08F2"/>
    <w:rPr>
      <w:b/>
      <w:bCs/>
    </w:rPr>
  </w:style>
  <w:style w:type="table" w:styleId="Jasnecieniowanieakcent1">
    <w:name w:val="Light Shading Accent 1"/>
    <w:basedOn w:val="Standardowy"/>
    <w:uiPriority w:val="60"/>
    <w:rsid w:val="00CF08F2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ps">
    <w:name w:val="hps"/>
    <w:rsid w:val="00CF08F2"/>
  </w:style>
  <w:style w:type="character" w:customStyle="1" w:styleId="Nagwek6Znak">
    <w:name w:val="Nagłówek 6 Znak"/>
    <w:basedOn w:val="Domylnaczcionkaakapitu"/>
    <w:link w:val="Nagwek6"/>
    <w:uiPriority w:val="9"/>
    <w:semiHidden/>
    <w:rsid w:val="00392C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C04DC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4567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Binkowska Joanna</dc:creator>
  <cp:lastModifiedBy>Binkowska Joanna</cp:lastModifiedBy>
  <cp:revision>2</cp:revision>
  <cp:lastPrinted>2018-10-02T13:01:00Z</cp:lastPrinted>
  <dcterms:created xsi:type="dcterms:W3CDTF">2024-02-06T14:36:00Z</dcterms:created>
  <dcterms:modified xsi:type="dcterms:W3CDTF">2024-02-06T14:36:00Z</dcterms:modified>
</cp:coreProperties>
</file>