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9E86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0E9D3A86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40DAD0DD" w14:textId="01884AD3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B62A43">
        <w:t>27 listopada 2025 r.</w:t>
      </w:r>
    </w:p>
    <w:p w14:paraId="258B923E" w14:textId="5FDBCAF0" w:rsidR="00912118" w:rsidRPr="00E000DC" w:rsidRDefault="008F40C5" w:rsidP="00912118">
      <w:pPr>
        <w:pStyle w:val="TYTUAKTUprzedmiotregulacjiustawylubrozporzdzenia"/>
      </w:pPr>
      <w:r>
        <w:t xml:space="preserve">w sprawie ustawy o </w:t>
      </w:r>
      <w:r w:rsidR="00EA21CD" w:rsidRPr="00EE1214">
        <w:t>zmianie niektórych ustaw</w:t>
      </w:r>
      <w:r w:rsidR="00F667D1">
        <w:t xml:space="preserve"> </w:t>
      </w:r>
      <w:r w:rsidR="00EA21CD" w:rsidRPr="00EE1214">
        <w:t xml:space="preserve">w </w:t>
      </w:r>
      <w:r w:rsidR="00EA21CD">
        <w:t xml:space="preserve">celu </w:t>
      </w:r>
      <w:r w:rsidR="00EA21CD" w:rsidRPr="00EE1214">
        <w:t>popraw</w:t>
      </w:r>
      <w:r w:rsidR="00EA21CD">
        <w:t>y</w:t>
      </w:r>
      <w:r w:rsidR="00EA21CD" w:rsidRPr="00EE1214">
        <w:t xml:space="preserve"> bezpieczeństwa ruchu</w:t>
      </w:r>
      <w:r w:rsidR="00F667D1">
        <w:t> </w:t>
      </w:r>
      <w:r w:rsidR="00EA21CD" w:rsidRPr="00EE1214">
        <w:t>drogowego</w:t>
      </w:r>
    </w:p>
    <w:p w14:paraId="767613D6" w14:textId="066AED84" w:rsidR="00912118" w:rsidRDefault="00912118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EA21CD">
        <w:t>7 listopada 2025 r.</w:t>
      </w:r>
      <w:r w:rsidRPr="00E000DC">
        <w:t xml:space="preserve"> ustawy o </w:t>
      </w:r>
      <w:r w:rsidR="00EA21CD" w:rsidRPr="00EA21CD">
        <w:t>zmianie niektórych ustaw w celu poprawy bezpieczeństwa ruchu drogowego</w:t>
      </w:r>
      <w:r w:rsidR="00EA21CD">
        <w:t>,</w:t>
      </w:r>
      <w:r w:rsidRPr="00E000DC">
        <w:t xml:space="preserve">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912118" w:rsidRPr="00B528A4" w14:paraId="7DD4E3A2" w14:textId="77777777" w:rsidTr="00C5397A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AE3E53D" w14:textId="77777777" w:rsidR="00912118" w:rsidRPr="00B528A4" w:rsidRDefault="00912118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8878FD9" w14:textId="77777777" w:rsidR="00E176FE" w:rsidRDefault="00E176FE" w:rsidP="00E176FE">
            <w:pPr>
              <w:pStyle w:val="TREPUNKTUWUCHWALESENACKIEJ"/>
            </w:pPr>
            <w:r>
              <w:t>w art.</w:t>
            </w:r>
            <w:r w:rsidRPr="00E9453E">
              <w:t xml:space="preserve"> </w:t>
            </w:r>
            <w:r>
              <w:t>1 w pkt 3, w art. 52aa:</w:t>
            </w:r>
          </w:p>
          <w:p w14:paraId="23A634E7" w14:textId="56BF4206" w:rsidR="00E176FE" w:rsidRDefault="00E176FE" w:rsidP="00E176FE">
            <w:pPr>
              <w:pStyle w:val="LITERAWUCHWALESENACKIEJ"/>
            </w:pPr>
            <w:r>
              <w:t>a)</w:t>
            </w:r>
            <w:r w:rsidR="000E38C9">
              <w:tab/>
            </w:r>
            <w:r>
              <w:t xml:space="preserve">w </w:t>
            </w:r>
            <w:r w:rsidRPr="00E176FE">
              <w:t>§</w:t>
            </w:r>
            <w:r>
              <w:t xml:space="preserve"> 3 wyrazy „ustawy </w:t>
            </w:r>
            <w:bookmarkStart w:id="0" w:name="_Hlk214222558"/>
            <w:r>
              <w:t>z dnia 6 czerwca 1997 r. – Kodeks karny</w:t>
            </w:r>
            <w:bookmarkEnd w:id="0"/>
            <w:r>
              <w:t xml:space="preserve"> (Dz. U. z 2025 r. poz. 383 i …)” zastępuje się wyrazami „Kodeksu karnego”,</w:t>
            </w:r>
          </w:p>
          <w:p w14:paraId="03DE2F9A" w14:textId="0762C423" w:rsidR="00912118" w:rsidRPr="00B528A4" w:rsidRDefault="00E176FE" w:rsidP="00E176FE">
            <w:pPr>
              <w:pStyle w:val="LITERAWUCHWALESENACKIEJ"/>
            </w:pPr>
            <w:r>
              <w:t>b)</w:t>
            </w:r>
            <w:r w:rsidR="000E38C9">
              <w:tab/>
            </w:r>
            <w:r>
              <w:t xml:space="preserve">w </w:t>
            </w:r>
            <w:r w:rsidRPr="00E176FE">
              <w:t>§</w:t>
            </w:r>
            <w:r>
              <w:t xml:space="preserve"> 4 wyrazy „ustawy</w:t>
            </w:r>
            <w:r w:rsidRPr="00E9453E">
              <w:t xml:space="preserve"> z dnia 6 czerwca 1997 r. – Kodeks karny</w:t>
            </w:r>
            <w:r>
              <w:t>” zastępuje się wyrazami „Kodeksu karnego”;</w:t>
            </w:r>
          </w:p>
        </w:tc>
      </w:tr>
      <w:tr w:rsidR="000A156A" w:rsidRPr="00B528A4" w14:paraId="42AB4898" w14:textId="77777777" w:rsidTr="00C5397A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B2DC2FF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EB7AB62" w14:textId="77777777" w:rsidR="00E176FE" w:rsidRDefault="00E176FE" w:rsidP="00E176FE">
            <w:pPr>
              <w:pStyle w:val="TREPUNKTUWUCHWALESENACKIEJ"/>
            </w:pPr>
            <w:r>
              <w:t>w art. 1:</w:t>
            </w:r>
          </w:p>
          <w:p w14:paraId="073682FB" w14:textId="77777777" w:rsidR="00E176FE" w:rsidRDefault="00E176FE" w:rsidP="00E176FE">
            <w:pPr>
              <w:pStyle w:val="LITERAWUCHWALESENACKIEJ"/>
            </w:pPr>
            <w:r>
              <w:t>a)</w:t>
            </w:r>
            <w:r>
              <w:tab/>
              <w:t xml:space="preserve">w pkt 4, w art. 86c w </w:t>
            </w:r>
            <w:r w:rsidRPr="00E176FE">
              <w:t>§</w:t>
            </w:r>
            <w:r>
              <w:t xml:space="preserve"> 2 </w:t>
            </w:r>
            <w:bookmarkStart w:id="1" w:name="_Hlk214223642"/>
            <w:r w:rsidRPr="00E176FE">
              <w:t>wyrazy</w:t>
            </w:r>
            <w:r>
              <w:t xml:space="preserve"> „, o którym mowa w </w:t>
            </w:r>
            <w:r w:rsidRPr="00E176FE">
              <w:t>§</w:t>
            </w:r>
            <w:r>
              <w:t xml:space="preserve"> 1,” zastępuje się wyrazami „określonego w </w:t>
            </w:r>
            <w:r w:rsidRPr="00E176FE">
              <w:t>§</w:t>
            </w:r>
            <w:r>
              <w:t xml:space="preserve"> 1”,</w:t>
            </w:r>
          </w:p>
          <w:bookmarkEnd w:id="1"/>
          <w:p w14:paraId="514B94E3" w14:textId="081F8A3E" w:rsidR="00E176FE" w:rsidRDefault="00E176FE" w:rsidP="00E176FE">
            <w:pPr>
              <w:pStyle w:val="LITERAWUCHWALESENACKIEJ"/>
            </w:pPr>
            <w:r>
              <w:t>b)</w:t>
            </w:r>
            <w:r w:rsidR="000E38C9">
              <w:tab/>
            </w:r>
            <w:r>
              <w:t>w pkt 5, w art. 90:</w:t>
            </w:r>
          </w:p>
          <w:p w14:paraId="5B9BA569" w14:textId="788CA057" w:rsidR="00E176FE" w:rsidRPr="00617C3B" w:rsidRDefault="00E176FE" w:rsidP="00E176FE">
            <w:pPr>
              <w:pStyle w:val="TIRETWUCHWALESENACKIEJ"/>
            </w:pPr>
            <w:r>
              <w:t>–</w:t>
            </w:r>
            <w:r>
              <w:tab/>
              <w:t xml:space="preserve">w </w:t>
            </w:r>
            <w:r w:rsidRPr="00E176FE">
              <w:t>§</w:t>
            </w:r>
            <w:r>
              <w:t xml:space="preserve"> 2 i 3 </w:t>
            </w:r>
            <w:r w:rsidRPr="00617C3B">
              <w:t xml:space="preserve">wyrazy </w:t>
            </w:r>
            <w:r>
              <w:t>„</w:t>
            </w:r>
            <w:r w:rsidRPr="00617C3B">
              <w:t>, o którym mowa w § 1,</w:t>
            </w:r>
            <w:r>
              <w:t>”</w:t>
            </w:r>
            <w:r w:rsidRPr="00617C3B">
              <w:t xml:space="preserve"> zastępuje się wyrazami </w:t>
            </w:r>
            <w:r>
              <w:t>„</w:t>
            </w:r>
            <w:r w:rsidRPr="00617C3B">
              <w:t>określonego w §</w:t>
            </w:r>
            <w:r>
              <w:t xml:space="preserve"> </w:t>
            </w:r>
            <w:r w:rsidRPr="00617C3B">
              <w:t>1</w:t>
            </w:r>
            <w:r>
              <w:t>”</w:t>
            </w:r>
            <w:r w:rsidRPr="00617C3B">
              <w:t>,</w:t>
            </w:r>
          </w:p>
          <w:p w14:paraId="559EA84C" w14:textId="17635EC6" w:rsidR="000A156A" w:rsidRDefault="00E176FE" w:rsidP="00E176FE">
            <w:pPr>
              <w:pStyle w:val="TIRETWUCHWALESENACKIEJ"/>
            </w:pPr>
            <w:r>
              <w:t>–</w:t>
            </w:r>
            <w:r>
              <w:tab/>
              <w:t xml:space="preserve">w </w:t>
            </w:r>
            <w:r w:rsidRPr="00E176FE">
              <w:t>§</w:t>
            </w:r>
            <w:r>
              <w:t xml:space="preserve"> 4 wyrazy „</w:t>
            </w:r>
            <w:r w:rsidRPr="00617C3B">
              <w:t>, o którym mowa w § 1</w:t>
            </w:r>
            <w:r>
              <w:t>–3</w:t>
            </w:r>
            <w:r w:rsidRPr="00617C3B">
              <w:t>,</w:t>
            </w:r>
            <w:r>
              <w:t>”</w:t>
            </w:r>
            <w:r w:rsidRPr="00617C3B">
              <w:t xml:space="preserve"> zastępuje się wyrazami </w:t>
            </w:r>
            <w:r>
              <w:t>„</w:t>
            </w:r>
            <w:r w:rsidRPr="00617C3B">
              <w:t>określone w</w:t>
            </w:r>
            <w:r w:rsidR="00C5397A">
              <w:t> </w:t>
            </w:r>
            <w:r w:rsidRPr="00617C3B">
              <w:t>§ 1</w:t>
            </w:r>
            <w:r>
              <w:t>–3”;</w:t>
            </w:r>
          </w:p>
        </w:tc>
      </w:tr>
      <w:tr w:rsidR="000A156A" w:rsidRPr="00B528A4" w14:paraId="1E15975D" w14:textId="77777777" w:rsidTr="00C5397A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0CD905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B1FD198" w14:textId="77777777" w:rsidR="00F667D1" w:rsidRDefault="00E176FE" w:rsidP="00E176FE">
            <w:pPr>
              <w:pStyle w:val="TREPUNKTUWUCHWALESENACKIEJ"/>
            </w:pPr>
            <w:r>
              <w:t>w art. 2 w pkt 3</w:t>
            </w:r>
            <w:r w:rsidR="00F667D1">
              <w:t>:</w:t>
            </w:r>
          </w:p>
          <w:p w14:paraId="725778F0" w14:textId="77777777" w:rsidR="00F667D1" w:rsidRDefault="00F667D1" w:rsidP="00F667D1">
            <w:pPr>
              <w:pStyle w:val="LITERAWUCHWALESENACKIEJ"/>
            </w:pPr>
            <w:r>
              <w:t>a)</w:t>
            </w:r>
            <w:r>
              <w:tab/>
            </w:r>
            <w:r w:rsidR="00E176FE">
              <w:t xml:space="preserve">w lit. a, w </w:t>
            </w:r>
            <w:r w:rsidR="00E176FE" w:rsidRPr="00E176FE">
              <w:t>§</w:t>
            </w:r>
            <w:r w:rsidR="00E176FE">
              <w:t xml:space="preserve"> 1 oraz</w:t>
            </w:r>
          </w:p>
          <w:p w14:paraId="7DABC4E0" w14:textId="77777777" w:rsidR="00F667D1" w:rsidRDefault="00F667D1" w:rsidP="00F667D1">
            <w:pPr>
              <w:pStyle w:val="LITERAWUCHWALESENACKIEJ"/>
            </w:pPr>
            <w:r>
              <w:t>b)</w:t>
            </w:r>
            <w:r>
              <w:tab/>
            </w:r>
            <w:r w:rsidR="00E176FE">
              <w:t xml:space="preserve">w lit. b, w </w:t>
            </w:r>
            <w:r w:rsidR="00E176FE" w:rsidRPr="00E176FE">
              <w:t>§</w:t>
            </w:r>
            <w:r w:rsidR="00E176FE">
              <w:t xml:space="preserve"> 1a</w:t>
            </w:r>
          </w:p>
          <w:p w14:paraId="18269A37" w14:textId="77777777" w:rsidR="000A156A" w:rsidRDefault="00F667D1" w:rsidP="00F667D1">
            <w:pPr>
              <w:pStyle w:val="CZWSPLNALITERWUCHWALESENACKIEJ"/>
            </w:pPr>
            <w:r>
              <w:t xml:space="preserve">– </w:t>
            </w:r>
            <w:r w:rsidR="00E176FE">
              <w:t>po</w:t>
            </w:r>
            <w:r w:rsidR="00352212">
              <w:t xml:space="preserve"> </w:t>
            </w:r>
            <w:r w:rsidR="00E176FE">
              <w:t>wyrazach „W razie skazania” dodaje się wyraz „sprawcy”;</w:t>
            </w:r>
          </w:p>
          <w:p w14:paraId="47EE5A93" w14:textId="64AB3BEB" w:rsidR="00B62A43" w:rsidRDefault="00B62A43" w:rsidP="00F667D1">
            <w:pPr>
              <w:pStyle w:val="CZWSPLNALITERWUCHWALESENACKIEJ"/>
            </w:pPr>
          </w:p>
        </w:tc>
      </w:tr>
      <w:tr w:rsidR="000A156A" w:rsidRPr="00B528A4" w14:paraId="4120C6F7" w14:textId="77777777" w:rsidTr="00C5397A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D5C9C15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4DCAE8B" w14:textId="45F03100" w:rsidR="000A156A" w:rsidRDefault="00E176FE" w:rsidP="000F57AC">
            <w:pPr>
              <w:pStyle w:val="TREPUNKTUWUCHWALESENACKIEJ"/>
            </w:pPr>
            <w:r>
              <w:t xml:space="preserve">w art. 2 w pkt 3 w lit. d, w </w:t>
            </w:r>
            <w:r w:rsidRPr="00E176FE">
              <w:t>§</w:t>
            </w:r>
            <w:r>
              <w:t xml:space="preserve"> 5 we wprowadzeniu do wyliczenia po wyrazie „Przepadku” dodaje się wyrazy „pojazdu mechanicznego”;</w:t>
            </w:r>
          </w:p>
        </w:tc>
      </w:tr>
      <w:tr w:rsidR="000A156A" w:rsidRPr="00B528A4" w14:paraId="7C3C11CB" w14:textId="77777777" w:rsidTr="00C5397A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17DBB9D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F932D41" w14:textId="56E39953" w:rsidR="000A156A" w:rsidRDefault="00E176FE" w:rsidP="000F57AC">
            <w:pPr>
              <w:pStyle w:val="TREPUNKTUWUCHWALESENACKIEJ"/>
            </w:pPr>
            <w:r>
              <w:t>w art. 2 w pkt 9, w art. 178d po wyrazie „naruszając” dodaje się wyraz „inne”;</w:t>
            </w:r>
          </w:p>
        </w:tc>
      </w:tr>
      <w:tr w:rsidR="000A156A" w:rsidRPr="00B528A4" w14:paraId="7279D7F7" w14:textId="77777777" w:rsidTr="00C5397A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838A44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C5C0D5E" w14:textId="2A94AF88" w:rsidR="000A156A" w:rsidRDefault="00E176FE" w:rsidP="00E176FE">
            <w:pPr>
              <w:pStyle w:val="TREPUNKTUWUCHWALESENACKIEJ"/>
            </w:pPr>
            <w:r>
              <w:t xml:space="preserve">w art. 5 w pkt 2, w </w:t>
            </w:r>
            <w:r w:rsidRPr="00E176FE">
              <w:t>§</w:t>
            </w:r>
            <w:r>
              <w:t xml:space="preserve"> 1e wyrazy „,w sprawach, o których mowa w art. 52aa </w:t>
            </w:r>
            <w:r w:rsidRPr="00E176FE">
              <w:t>§</w:t>
            </w:r>
            <w:r>
              <w:t xml:space="preserve"> 1 Kodeksu wykroczeń,” zastępuje się wyrazami „w sprawie o wykroczenie określone w </w:t>
            </w:r>
            <w:r w:rsidRPr="007A0318">
              <w:t>art. 52aa § 1 Kodeksu wykroczeń</w:t>
            </w:r>
            <w:r>
              <w:t>”.</w:t>
            </w:r>
          </w:p>
        </w:tc>
      </w:tr>
    </w:tbl>
    <w:p w14:paraId="0F9396E9" w14:textId="0DD9167A" w:rsidR="00912118" w:rsidRDefault="00912118" w:rsidP="00A054FD">
      <w:pPr>
        <w:pStyle w:val="POPIERAJCYPOPRAWKZAMIESZCZONWZESTAWIENIUWNIOSKW"/>
      </w:pPr>
    </w:p>
    <w:p w14:paraId="5C3FFC0B" w14:textId="1DB514E7" w:rsidR="005D1DA9" w:rsidRDefault="005D1DA9" w:rsidP="00A054FD">
      <w:pPr>
        <w:pStyle w:val="POPIERAJCYPOPRAWKZAMIESZCZONWZESTAWIENIUWNIOSKW"/>
      </w:pPr>
    </w:p>
    <w:p w14:paraId="46EFB2C4" w14:textId="74A9E2AA" w:rsidR="005D1DA9" w:rsidRDefault="005D1DA9" w:rsidP="00A054FD">
      <w:pPr>
        <w:pStyle w:val="POPIERAJCYPOPRAWKZAMIESZCZONWZESTAWIENIUWNIOSKW"/>
      </w:pPr>
    </w:p>
    <w:p w14:paraId="34698F51" w14:textId="50ABDE22" w:rsidR="005D1DA9" w:rsidRDefault="005D1DA9" w:rsidP="00A054FD">
      <w:pPr>
        <w:pStyle w:val="POPIERAJCYPOPRAWKZAMIESZCZONWZESTAWIENIUWNIOSKW"/>
      </w:pPr>
    </w:p>
    <w:p w14:paraId="7569BCAD" w14:textId="77777777" w:rsidR="005D1DA9" w:rsidRPr="007A36AD" w:rsidRDefault="005D1DA9" w:rsidP="005D1DA9">
      <w:pPr>
        <w:pStyle w:val="POPIERAJCYPOPRAWKZAMIESZCZONWZESTAWIENIUWNIOSKW"/>
        <w:rPr>
          <w:color w:val="000000" w:themeColor="text1"/>
        </w:rPr>
      </w:pPr>
    </w:p>
    <w:p w14:paraId="74781E99" w14:textId="77777777" w:rsidR="005D1DA9" w:rsidRPr="007A36AD" w:rsidRDefault="005D1DA9" w:rsidP="005D1DA9">
      <w:pPr>
        <w:pStyle w:val="POPIERAJCYPOPRAWKZAMIESZCZONWZESTAWIENIUWNIOSKW"/>
        <w:rPr>
          <w:color w:val="000000" w:themeColor="text1"/>
        </w:rPr>
      </w:pPr>
    </w:p>
    <w:p w14:paraId="3F3AC732" w14:textId="77777777" w:rsidR="005D1DA9" w:rsidRDefault="005D1DA9" w:rsidP="005D1DA9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4CF8AD7E" w14:textId="77777777" w:rsidR="005D1DA9" w:rsidRDefault="005D1DA9" w:rsidP="005D1DA9">
      <w:pPr>
        <w:ind w:left="5103" w:firstLine="4"/>
        <w:rPr>
          <w:rStyle w:val="Ppogrubienie"/>
          <w:color w:val="000000" w:themeColor="text1"/>
        </w:rPr>
      </w:pPr>
    </w:p>
    <w:p w14:paraId="7B249CED" w14:textId="77777777" w:rsidR="005D1DA9" w:rsidRDefault="005D1DA9" w:rsidP="005D1DA9">
      <w:pPr>
        <w:ind w:left="5103" w:firstLine="4"/>
        <w:rPr>
          <w:rStyle w:val="Ppogrubienie"/>
          <w:color w:val="000000" w:themeColor="text1"/>
        </w:rPr>
      </w:pPr>
    </w:p>
    <w:p w14:paraId="46A52E5A" w14:textId="77777777" w:rsidR="005D1DA9" w:rsidRDefault="005D1DA9" w:rsidP="005D1DA9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1408C67C" w14:textId="77777777" w:rsidR="005D1DA9" w:rsidRDefault="005D1DA9" w:rsidP="00A054FD">
      <w:pPr>
        <w:pStyle w:val="POPIERAJCYPOPRAWKZAMIESZCZONWZESTAWIENIUWNIOSKW"/>
        <w:sectPr w:rsidR="005D1DA9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0006E9C3" w14:textId="77777777" w:rsidR="005D1DA9" w:rsidRDefault="005D1DA9" w:rsidP="00C27C1B">
      <w:pPr>
        <w:pStyle w:val="OZNRODZAKTUtznustawalubrozporzdzenieiorganwydajcy"/>
      </w:pPr>
      <w:r>
        <w:lastRenderedPageBreak/>
        <w:t>Uzasadnienie</w:t>
      </w:r>
    </w:p>
    <w:p w14:paraId="24429643" w14:textId="77777777" w:rsidR="005D1DA9" w:rsidRDefault="005D1DA9" w:rsidP="00C27C1B">
      <w:pPr>
        <w:pStyle w:val="NIEARTTEKSTtekstnieartykuowanynppodstprawnarozplubpreambua"/>
      </w:pPr>
    </w:p>
    <w:p w14:paraId="298B5991" w14:textId="77777777" w:rsidR="005D1DA9" w:rsidRDefault="005D1DA9" w:rsidP="0039386C">
      <w:pPr>
        <w:pStyle w:val="ARTartustawynprozporzdzenia"/>
      </w:pPr>
      <w:r>
        <w:t xml:space="preserve">Na 46. posiedzeniu w dniu 27 listopada 2025 r. Senat, po rozpatrzeniu ustawy </w:t>
      </w:r>
      <w:bookmarkStart w:id="2" w:name="_Hlk214190728"/>
      <w:r>
        <w:t>o zmianie niektórych ustaw w celu poprawy bezpieczeństwa ruchu drogowego</w:t>
      </w:r>
      <w:bookmarkEnd w:id="2"/>
      <w:r>
        <w:t xml:space="preserve"> zdecydował </w:t>
      </w:r>
      <w:r w:rsidRPr="0039386C">
        <w:t>o</w:t>
      </w:r>
      <w:r>
        <w:t> wprowadzeniu sześciu poprawek</w:t>
      </w:r>
      <w:r w:rsidRPr="0039386C">
        <w:t>.</w:t>
      </w:r>
    </w:p>
    <w:p w14:paraId="61F7CCE4" w14:textId="77777777" w:rsidR="005D1DA9" w:rsidRDefault="005D1DA9" w:rsidP="00283623">
      <w:pPr>
        <w:pStyle w:val="ARTartustawynprozporzdzenia"/>
      </w:pPr>
      <w:r>
        <w:t xml:space="preserve">Poprawka nr 1 precyzuje odesłania zawarte w nowelizowanych przepisach Kodeksu wykroczeń, uwzględniając fakt, że pierwsze odesłanie nakazujące stosowanie przepisów Kodeksu karnego znajduje się w art. 2a </w:t>
      </w:r>
      <w:r w:rsidRPr="00283623">
        <w:t>§</w:t>
      </w:r>
      <w:r>
        <w:t xml:space="preserve"> 3 Kodeksu wykroczeń.</w:t>
      </w:r>
    </w:p>
    <w:p w14:paraId="7A7C3006" w14:textId="77777777" w:rsidR="005D1DA9" w:rsidRDefault="005D1DA9" w:rsidP="00283623">
      <w:pPr>
        <w:pStyle w:val="ARTartustawynprozporzdzenia"/>
      </w:pPr>
      <w:r>
        <w:t xml:space="preserve">Senat uznał, że ze względu na tradycyjne brzmienie odesłania znajdującego się tym przepisie, które odbiega od nowych zasad określonych w </w:t>
      </w:r>
      <w:r w:rsidRPr="00FD7892">
        <w:t>§</w:t>
      </w:r>
      <w:r>
        <w:t xml:space="preserve"> 158 Zasad techniki prawodawczej, właściwe będzie dostosowanie terminologii wymienionych w poprawce przepisów do tej tradycyjnej terminologii już zastosowanej w Kodeksie wykroczeń.</w:t>
      </w:r>
    </w:p>
    <w:p w14:paraId="094B5749" w14:textId="77777777" w:rsidR="005D1DA9" w:rsidRDefault="005D1DA9" w:rsidP="0053608E">
      <w:pPr>
        <w:pStyle w:val="NIEARTTEKSTtekstnieartykuowanynppodstprawnarozplubpreambua"/>
      </w:pPr>
      <w:r>
        <w:t>W celu zachowania wewnętrznej spójności językowej i terminologicznej przepisów nowelizowanych ustaw: Kodeksu wykroczeń, Kodeksu karnego oraz Kodeksu postępowania w sprawach o wykroczenia Senat zaproponował wprowadzenie poprawek nr 2–4 oraz 6,</w:t>
      </w:r>
      <w:r>
        <w:br/>
        <w:t>które dostosowują terminologię przepisów nowelizowanych i dodawanych ustawą do terminologii zastosowanej w treści zmienianych ustaw.</w:t>
      </w:r>
    </w:p>
    <w:p w14:paraId="2A603DCC" w14:textId="77777777" w:rsidR="005D1DA9" w:rsidRDefault="005D1DA9" w:rsidP="00262A59">
      <w:pPr>
        <w:pStyle w:val="NIEARTTEKSTtekstnieartykuowanynppodstprawnarozplubpreambua"/>
      </w:pPr>
      <w:r>
        <w:t>Poprawka nr 5 dotyczy nowego przepisu art. 178d, dodawanego w rozdziale XXI do grupy przestępstw przeciwko bezpieczeństwu w komunikacji. Przepis art. 178d stanowi, że popełnia przestępstwo kto prowadząc pojazd mechaniczny:</w:t>
      </w:r>
    </w:p>
    <w:p w14:paraId="492F9061" w14:textId="77777777" w:rsidR="005D1DA9" w:rsidRDefault="005D1DA9" w:rsidP="00262A59">
      <w:pPr>
        <w:pStyle w:val="PKTpunkt"/>
      </w:pPr>
      <w:r>
        <w:t>–</w:t>
      </w:r>
      <w:r>
        <w:tab/>
        <w:t>rażąco narusza prędkość,</w:t>
      </w:r>
    </w:p>
    <w:p w14:paraId="40C2A7D7" w14:textId="77777777" w:rsidR="005D1DA9" w:rsidRDefault="005D1DA9" w:rsidP="00262A59">
      <w:pPr>
        <w:pStyle w:val="PKTpunkt"/>
      </w:pPr>
      <w:r>
        <w:t>–</w:t>
      </w:r>
      <w:r>
        <w:tab/>
        <w:t>rażąco narusza zasady bezpieczeństwa w ruchu lądowym,</w:t>
      </w:r>
    </w:p>
    <w:p w14:paraId="06ADAB57" w14:textId="77777777" w:rsidR="005D1DA9" w:rsidRDefault="005D1DA9" w:rsidP="00262A59">
      <w:pPr>
        <w:pStyle w:val="PKTpunkt"/>
      </w:pPr>
      <w:r>
        <w:t>–</w:t>
      </w:r>
      <w:r>
        <w:tab/>
        <w:t xml:space="preserve">naraża człowieka na bezpośrednie niebezpieczeństwo utraty życia albo nastąpienie skutku określonego w art. 156 </w:t>
      </w:r>
      <w:r w:rsidRPr="00262A59">
        <w:t>§</w:t>
      </w:r>
      <w:r>
        <w:t xml:space="preserve"> 1 lub w art. 157 </w:t>
      </w:r>
      <w:r w:rsidRPr="00262A59">
        <w:t>§</w:t>
      </w:r>
      <w:r>
        <w:t xml:space="preserve"> 1.</w:t>
      </w:r>
    </w:p>
    <w:p w14:paraId="4F92DFFA" w14:textId="77777777" w:rsidR="005D1DA9" w:rsidRDefault="005D1DA9" w:rsidP="00262A59">
      <w:pPr>
        <w:pStyle w:val="NIEARTTEKSTtekstnieartykuowanynppodstprawnarozplubpreambua"/>
      </w:pPr>
      <w:r>
        <w:t>W trakcie debaty senackiej wyrażono przekonanie, że rażące naruszenie prędkości jest niewątpliwie zachowaniem wyczerpującym znamiona rażącego naruszenia zasad bezpieczeństwa w ruchu lądowym. Konstrukcja przepisu przyjęta w uchwalonym przez Sejm brzmieniu powoduje powstanie zjawiska nakładania się znamion czynu zabronionego.</w:t>
      </w:r>
    </w:p>
    <w:p w14:paraId="50A75C93" w14:textId="77777777" w:rsidR="005D1DA9" w:rsidRDefault="005D1DA9" w:rsidP="00262A59">
      <w:pPr>
        <w:pStyle w:val="NIEARTTEKSTtekstnieartykuowanynppodstprawnarozplubpreambua"/>
      </w:pPr>
      <w:r>
        <w:t>Poprawka Senatu, prowadzi do rozdzielenia dwóch różnych</w:t>
      </w:r>
      <w:r w:rsidRPr="00935E61">
        <w:t xml:space="preserve"> </w:t>
      </w:r>
      <w:r>
        <w:t>znamion czynu zabronionego i pozwoli na uniknięcie ich nakładania się w opisie dodawanego, nowego typu przestępstwa.</w:t>
      </w:r>
    </w:p>
    <w:p w14:paraId="6C7591AB" w14:textId="0F8247CA" w:rsidR="005D1DA9" w:rsidRPr="00737F6A" w:rsidRDefault="005D1DA9" w:rsidP="00A054FD">
      <w:pPr>
        <w:pStyle w:val="POPIERAJCYPOPRAWKZAMIESZCZONWZESTAWIENIUWNIOSKW"/>
      </w:pPr>
    </w:p>
    <w:sectPr w:rsidR="005D1DA9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A56CF" w14:textId="77777777" w:rsidR="00CA3B0A" w:rsidRDefault="00CA3B0A">
      <w:r>
        <w:separator/>
      </w:r>
    </w:p>
  </w:endnote>
  <w:endnote w:type="continuationSeparator" w:id="0">
    <w:p w14:paraId="2AE29F69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11082" w14:textId="77777777" w:rsidR="00CA3B0A" w:rsidRDefault="00CA3B0A">
      <w:r>
        <w:separator/>
      </w:r>
    </w:p>
  </w:footnote>
  <w:footnote w:type="continuationSeparator" w:id="0">
    <w:p w14:paraId="62856729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E32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5CA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D1DA9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65384064">
    <w:abstractNumId w:val="23"/>
  </w:num>
  <w:num w:numId="2" w16cid:durableId="1189871661">
    <w:abstractNumId w:val="23"/>
  </w:num>
  <w:num w:numId="3" w16cid:durableId="1705013787">
    <w:abstractNumId w:val="18"/>
  </w:num>
  <w:num w:numId="4" w16cid:durableId="425657481">
    <w:abstractNumId w:val="18"/>
  </w:num>
  <w:num w:numId="5" w16cid:durableId="362822946">
    <w:abstractNumId w:val="36"/>
  </w:num>
  <w:num w:numId="6" w16cid:durableId="306936864">
    <w:abstractNumId w:val="32"/>
  </w:num>
  <w:num w:numId="7" w16cid:durableId="262686932">
    <w:abstractNumId w:val="36"/>
  </w:num>
  <w:num w:numId="8" w16cid:durableId="1455247119">
    <w:abstractNumId w:val="32"/>
  </w:num>
  <w:num w:numId="9" w16cid:durableId="1800759834">
    <w:abstractNumId w:val="36"/>
  </w:num>
  <w:num w:numId="10" w16cid:durableId="1487818343">
    <w:abstractNumId w:val="32"/>
  </w:num>
  <w:num w:numId="11" w16cid:durableId="1453472878">
    <w:abstractNumId w:val="14"/>
  </w:num>
  <w:num w:numId="12" w16cid:durableId="1850607672">
    <w:abstractNumId w:val="10"/>
  </w:num>
  <w:num w:numId="13" w16cid:durableId="1575895979">
    <w:abstractNumId w:val="15"/>
  </w:num>
  <w:num w:numId="14" w16cid:durableId="1236937792">
    <w:abstractNumId w:val="27"/>
  </w:num>
  <w:num w:numId="15" w16cid:durableId="468670906">
    <w:abstractNumId w:val="14"/>
  </w:num>
  <w:num w:numId="16" w16cid:durableId="22899459">
    <w:abstractNumId w:val="16"/>
  </w:num>
  <w:num w:numId="17" w16cid:durableId="141117187">
    <w:abstractNumId w:val="8"/>
  </w:num>
  <w:num w:numId="18" w16cid:durableId="1813063811">
    <w:abstractNumId w:val="3"/>
  </w:num>
  <w:num w:numId="19" w16cid:durableId="2106068343">
    <w:abstractNumId w:val="2"/>
  </w:num>
  <w:num w:numId="20" w16cid:durableId="1805656300">
    <w:abstractNumId w:val="1"/>
  </w:num>
  <w:num w:numId="21" w16cid:durableId="2054773006">
    <w:abstractNumId w:val="0"/>
  </w:num>
  <w:num w:numId="22" w16cid:durableId="1706103832">
    <w:abstractNumId w:val="9"/>
  </w:num>
  <w:num w:numId="23" w16cid:durableId="1665430216">
    <w:abstractNumId w:val="7"/>
  </w:num>
  <w:num w:numId="24" w16cid:durableId="1250238984">
    <w:abstractNumId w:val="6"/>
  </w:num>
  <w:num w:numId="25" w16cid:durableId="214002239">
    <w:abstractNumId w:val="5"/>
  </w:num>
  <w:num w:numId="26" w16cid:durableId="369501169">
    <w:abstractNumId w:val="4"/>
  </w:num>
  <w:num w:numId="27" w16cid:durableId="225993620">
    <w:abstractNumId w:val="34"/>
  </w:num>
  <w:num w:numId="28" w16cid:durableId="976646105">
    <w:abstractNumId w:val="26"/>
  </w:num>
  <w:num w:numId="29" w16cid:durableId="951473141">
    <w:abstractNumId w:val="37"/>
  </w:num>
  <w:num w:numId="30" w16cid:durableId="1425347950">
    <w:abstractNumId w:val="33"/>
  </w:num>
  <w:num w:numId="31" w16cid:durableId="1331835116">
    <w:abstractNumId w:val="19"/>
  </w:num>
  <w:num w:numId="32" w16cid:durableId="230845105">
    <w:abstractNumId w:val="11"/>
  </w:num>
  <w:num w:numId="33" w16cid:durableId="1305115313">
    <w:abstractNumId w:val="31"/>
  </w:num>
  <w:num w:numId="34" w16cid:durableId="276303622">
    <w:abstractNumId w:val="20"/>
  </w:num>
  <w:num w:numId="35" w16cid:durableId="1138258380">
    <w:abstractNumId w:val="17"/>
  </w:num>
  <w:num w:numId="36" w16cid:durableId="636493118">
    <w:abstractNumId w:val="22"/>
  </w:num>
  <w:num w:numId="37" w16cid:durableId="797182447">
    <w:abstractNumId w:val="28"/>
  </w:num>
  <w:num w:numId="38" w16cid:durableId="952060365">
    <w:abstractNumId w:val="25"/>
  </w:num>
  <w:num w:numId="39" w16cid:durableId="602766287">
    <w:abstractNumId w:val="13"/>
  </w:num>
  <w:num w:numId="40" w16cid:durableId="785469061">
    <w:abstractNumId w:val="30"/>
  </w:num>
  <w:num w:numId="41" w16cid:durableId="743142680">
    <w:abstractNumId w:val="29"/>
  </w:num>
  <w:num w:numId="42" w16cid:durableId="1348098083">
    <w:abstractNumId w:val="21"/>
  </w:num>
  <w:num w:numId="43" w16cid:durableId="1467966447">
    <w:abstractNumId w:val="35"/>
  </w:num>
  <w:num w:numId="44" w16cid:durableId="304437206">
    <w:abstractNumId w:val="12"/>
  </w:num>
  <w:num w:numId="45" w16cid:durableId="1333069022">
    <w:abstractNumId w:val="24"/>
  </w:num>
  <w:num w:numId="46" w16cid:durableId="837380082">
    <w:abstractNumId w:val="24"/>
  </w:num>
  <w:num w:numId="47" w16cid:durableId="90048434">
    <w:abstractNumId w:val="24"/>
  </w:num>
  <w:num w:numId="48" w16cid:durableId="9654266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38C9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5D61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4145"/>
    <w:rsid w:val="002E46B2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032F"/>
    <w:rsid w:val="00351BBB"/>
    <w:rsid w:val="00352212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1DA9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2A43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397A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6398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6FE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1CD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7D1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FE6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DA9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2025-11-28T14:21:00Z</dcterms:created>
  <dcterms:modified xsi:type="dcterms:W3CDTF">2025-11-28T14:21:00Z</dcterms:modified>
  <cp:category/>
</cp:coreProperties>
</file>