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4AB5" w14:textId="55C80768" w:rsidR="008938E8" w:rsidRPr="00E005D6" w:rsidRDefault="008938E8" w:rsidP="00E005D6">
      <w:pPr>
        <w:spacing w:before="100" w:beforeAutospacing="1" w:after="100" w:afterAutospacing="1"/>
        <w:jc w:val="center"/>
        <w:rPr>
          <w:rFonts w:cs="Times New Roman"/>
        </w:rPr>
      </w:pPr>
      <w:r w:rsidRPr="00E005D6">
        <w:rPr>
          <w:rFonts w:cs="Times New Roman"/>
        </w:rPr>
        <w:t xml:space="preserve">UZASADNIENIE </w:t>
      </w:r>
    </w:p>
    <w:p w14:paraId="6F594772" w14:textId="59F80D7F" w:rsidR="00EB7B37" w:rsidRPr="00E005D6" w:rsidRDefault="00FA775C" w:rsidP="006D25CB">
      <w:pPr>
        <w:spacing w:before="100" w:beforeAutospacing="1" w:after="100" w:afterAutospacing="1"/>
        <w:jc w:val="both"/>
        <w:rPr>
          <w:rFonts w:cs="Times New Roman"/>
        </w:rPr>
      </w:pPr>
      <w:r w:rsidRPr="00E005D6">
        <w:rPr>
          <w:rFonts w:cs="Times New Roman"/>
        </w:rPr>
        <w:t xml:space="preserve">Przedmiotowa nowelizacja wprowadza </w:t>
      </w:r>
      <w:r w:rsidR="00641E9F" w:rsidRPr="00E005D6">
        <w:rPr>
          <w:rFonts w:cs="Times New Roman"/>
        </w:rPr>
        <w:t xml:space="preserve">m.in. </w:t>
      </w:r>
      <w:r w:rsidRPr="00E005D6">
        <w:rPr>
          <w:rFonts w:cs="Times New Roman"/>
        </w:rPr>
        <w:t>zmiany w ustawie z dnia 21 lutego 202</w:t>
      </w:r>
      <w:r w:rsidR="009A3F9C">
        <w:rPr>
          <w:rFonts w:cs="Times New Roman"/>
        </w:rPr>
        <w:t>5</w:t>
      </w:r>
      <w:r w:rsidRPr="00E005D6">
        <w:rPr>
          <w:rFonts w:cs="Times New Roman"/>
        </w:rPr>
        <w:t xml:space="preserve"> r. </w:t>
      </w:r>
      <w:r w:rsidR="004C22AC" w:rsidRPr="00E005D6">
        <w:rPr>
          <w:rFonts w:cs="Times New Roman"/>
        </w:rPr>
        <w:t>o</w:t>
      </w:r>
      <w:r w:rsidR="00E005D6" w:rsidRPr="00B15F64">
        <w:rPr>
          <w:rFonts w:cs="Times New Roman"/>
        </w:rPr>
        <w:t> </w:t>
      </w:r>
      <w:r w:rsidR="00E005D6" w:rsidRPr="00E005D6">
        <w:rPr>
          <w:rFonts w:cs="Times New Roman"/>
        </w:rPr>
        <w:t>z</w:t>
      </w:r>
      <w:r w:rsidR="004C22AC" w:rsidRPr="00E005D6">
        <w:rPr>
          <w:rFonts w:cs="Times New Roman"/>
        </w:rPr>
        <w:t>mianie ustawy o rynku mocy oraz niektórych innych ustaw (Dz. U.</w:t>
      </w:r>
      <w:r w:rsidR="007052D9" w:rsidRPr="00E005D6">
        <w:rPr>
          <w:rFonts w:cs="Times New Roman"/>
        </w:rPr>
        <w:t xml:space="preserve"> </w:t>
      </w:r>
      <w:r w:rsidR="004C22AC" w:rsidRPr="00E005D6">
        <w:rPr>
          <w:rFonts w:cs="Times New Roman"/>
        </w:rPr>
        <w:t xml:space="preserve">poz. 290). </w:t>
      </w:r>
      <w:r w:rsidR="00947F1E" w:rsidRPr="00E005D6">
        <w:rPr>
          <w:rFonts w:cs="Times New Roman"/>
        </w:rPr>
        <w:t>Ustawa ta przedłużała termin na przekazanie sprzedawcom energii elektrycznej informacji od przedsiębiorców z</w:t>
      </w:r>
      <w:r w:rsidR="004F66D7">
        <w:rPr>
          <w:rFonts w:cs="Times New Roman"/>
        </w:rPr>
        <w:t xml:space="preserve"> </w:t>
      </w:r>
      <w:r w:rsidR="00947F1E" w:rsidRPr="00E005D6">
        <w:rPr>
          <w:rFonts w:cs="Times New Roman"/>
        </w:rPr>
        <w:t>sektora mikro</w:t>
      </w:r>
      <w:r w:rsidR="00647C02">
        <w:rPr>
          <w:rFonts w:cs="Times New Roman"/>
        </w:rPr>
        <w:t>-</w:t>
      </w:r>
      <w:r w:rsidR="00947F1E" w:rsidRPr="00E005D6">
        <w:rPr>
          <w:rFonts w:cs="Times New Roman"/>
        </w:rPr>
        <w:t xml:space="preserve">, małych i średnich przedsiębiorstw o wartości udzielonej im pomocy w związku ze stosowaniem </w:t>
      </w:r>
      <w:r w:rsidR="002753AE" w:rsidRPr="00E005D6">
        <w:rPr>
          <w:rFonts w:cs="Times New Roman"/>
        </w:rPr>
        <w:t>w II p. 202</w:t>
      </w:r>
      <w:r w:rsidR="004F66D7">
        <w:rPr>
          <w:rFonts w:cs="Times New Roman"/>
        </w:rPr>
        <w:t>4</w:t>
      </w:r>
      <w:r w:rsidR="002753AE" w:rsidRPr="00E005D6">
        <w:rPr>
          <w:rFonts w:cs="Times New Roman"/>
        </w:rPr>
        <w:t xml:space="preserve"> r.</w:t>
      </w:r>
      <w:r w:rsidR="005755EE" w:rsidRPr="00E005D6">
        <w:rPr>
          <w:rFonts w:cs="Times New Roman"/>
        </w:rPr>
        <w:t xml:space="preserve"> </w:t>
      </w:r>
      <w:r w:rsidR="00947F1E" w:rsidRPr="00E005D6">
        <w:rPr>
          <w:rFonts w:cs="Times New Roman"/>
        </w:rPr>
        <w:t>ceny maksymalnej energii elektrycznej w</w:t>
      </w:r>
      <w:r w:rsidR="008925AF">
        <w:rPr>
          <w:rFonts w:cs="Times New Roman"/>
        </w:rPr>
        <w:t> </w:t>
      </w:r>
      <w:r w:rsidR="00947F1E" w:rsidRPr="00E005D6">
        <w:rPr>
          <w:rFonts w:cs="Times New Roman"/>
        </w:rPr>
        <w:t>rozliczeniach z odbiorcami uprawnionymi, przyłączonymi do sieci dystrybucyjnej lub przesyłowej, będących mikro</w:t>
      </w:r>
      <w:r w:rsidR="00647C02">
        <w:rPr>
          <w:rFonts w:cs="Times New Roman"/>
        </w:rPr>
        <w:t>-</w:t>
      </w:r>
      <w:r w:rsidR="00947F1E" w:rsidRPr="00E005D6">
        <w:rPr>
          <w:rFonts w:cs="Times New Roman"/>
        </w:rPr>
        <w:t xml:space="preserve">, małym lub średnim przedsiębiorstwem, na podstawie przepisów ustawy z dnia </w:t>
      </w:r>
      <w:r w:rsidR="00EB7B37" w:rsidRPr="00E005D6">
        <w:rPr>
          <w:rFonts w:cs="Times New Roman"/>
        </w:rPr>
        <w:t xml:space="preserve">27 października 2022 r. o </w:t>
      </w:r>
      <w:r w:rsidR="00947F1E" w:rsidRPr="00E005D6">
        <w:rPr>
          <w:rFonts w:cs="Times New Roman"/>
        </w:rPr>
        <w:t>środkach nadzwyczajnych mających na celu ograniczenie wysokości cen energii elektrycznej oraz wsparciu niektórych odbiorców w latach 2023–2025.</w:t>
      </w:r>
      <w:r w:rsidR="00EB7B37" w:rsidRPr="00E005D6">
        <w:rPr>
          <w:rFonts w:cs="Times New Roman"/>
        </w:rPr>
        <w:t xml:space="preserve"> Termin na złożenie przedmiotowych </w:t>
      </w:r>
      <w:r w:rsidR="00BB18F9">
        <w:rPr>
          <w:rFonts w:cs="Times New Roman"/>
        </w:rPr>
        <w:t>informacji</w:t>
      </w:r>
      <w:r w:rsidR="00BB18F9" w:rsidRPr="00E005D6">
        <w:rPr>
          <w:rFonts w:cs="Times New Roman"/>
        </w:rPr>
        <w:t xml:space="preserve"> </w:t>
      </w:r>
      <w:r w:rsidR="00EB7B37" w:rsidRPr="00E005D6">
        <w:rPr>
          <w:rFonts w:cs="Times New Roman"/>
        </w:rPr>
        <w:t xml:space="preserve">upłynął </w:t>
      </w:r>
      <w:r w:rsidR="00BB18F9">
        <w:rPr>
          <w:rFonts w:cs="Times New Roman"/>
        </w:rPr>
        <w:t xml:space="preserve">w dniu </w:t>
      </w:r>
      <w:r w:rsidR="00EB7B37" w:rsidRPr="00E005D6">
        <w:rPr>
          <w:rFonts w:cs="Times New Roman"/>
        </w:rPr>
        <w:t>30 czerwca 20</w:t>
      </w:r>
      <w:r w:rsidR="001071D3">
        <w:rPr>
          <w:rFonts w:cs="Times New Roman"/>
        </w:rPr>
        <w:t>2</w:t>
      </w:r>
      <w:r w:rsidR="00EB7B37" w:rsidRPr="00E005D6">
        <w:rPr>
          <w:rFonts w:cs="Times New Roman"/>
        </w:rPr>
        <w:t>5</w:t>
      </w:r>
      <w:r w:rsidR="00282F74">
        <w:rPr>
          <w:rFonts w:cs="Times New Roman"/>
        </w:rPr>
        <w:t> </w:t>
      </w:r>
      <w:r w:rsidR="00EB7B37" w:rsidRPr="00E005D6">
        <w:rPr>
          <w:rFonts w:cs="Times New Roman"/>
        </w:rPr>
        <w:t xml:space="preserve">r. (przedłużenie z dnia 28 lutego 2025 r.). </w:t>
      </w:r>
      <w:r w:rsidR="006E6D6C" w:rsidRPr="00E005D6">
        <w:rPr>
          <w:rFonts w:cs="Times New Roman"/>
        </w:rPr>
        <w:t>W projekcie p</w:t>
      </w:r>
      <w:r w:rsidR="00EB7B37" w:rsidRPr="00E005D6">
        <w:rPr>
          <w:rFonts w:cs="Times New Roman"/>
        </w:rPr>
        <w:t>roponuje się regulację dotyczącą wydłużenia przedmiotowego terminu do dnia 3</w:t>
      </w:r>
      <w:r w:rsidR="00CC676B" w:rsidRPr="00E005D6">
        <w:rPr>
          <w:rFonts w:cs="Times New Roman"/>
        </w:rPr>
        <w:t>0</w:t>
      </w:r>
      <w:r w:rsidR="00EB7B37" w:rsidRPr="00E005D6">
        <w:rPr>
          <w:rFonts w:cs="Times New Roman"/>
        </w:rPr>
        <w:t xml:space="preserve"> </w:t>
      </w:r>
      <w:r w:rsidR="00CC676B" w:rsidRPr="00E005D6">
        <w:rPr>
          <w:rFonts w:cs="Times New Roman"/>
        </w:rPr>
        <w:t>czerwca</w:t>
      </w:r>
      <w:r w:rsidR="00EB7B37" w:rsidRPr="00E005D6">
        <w:rPr>
          <w:rFonts w:cs="Times New Roman"/>
        </w:rPr>
        <w:t xml:space="preserve"> 2026 r. </w:t>
      </w:r>
    </w:p>
    <w:p w14:paraId="5F1C9799" w14:textId="13003E63" w:rsidR="00EB7B37" w:rsidRPr="00E005D6" w:rsidRDefault="00EB7B37" w:rsidP="006D25CB">
      <w:pPr>
        <w:spacing w:before="100" w:beforeAutospacing="1" w:after="100" w:afterAutospacing="1"/>
        <w:jc w:val="both"/>
        <w:rPr>
          <w:rFonts w:cs="Times New Roman"/>
        </w:rPr>
      </w:pPr>
      <w:r w:rsidRPr="00E005D6">
        <w:rPr>
          <w:rFonts w:cs="Times New Roman"/>
        </w:rPr>
        <w:t xml:space="preserve">Informacja jest niezbędna sprzedawcom energii elektrycznej na dokonanie weryfikacji, czy pomoc publiczna lub pomoc </w:t>
      </w:r>
      <w:r w:rsidRPr="00E005D6">
        <w:rPr>
          <w:rFonts w:cs="Times New Roman"/>
          <w:i/>
          <w:iCs/>
        </w:rPr>
        <w:t xml:space="preserve">de </w:t>
      </w:r>
      <w:proofErr w:type="spellStart"/>
      <w:r w:rsidRPr="00E005D6">
        <w:rPr>
          <w:rFonts w:cs="Times New Roman"/>
          <w:i/>
          <w:iCs/>
        </w:rPr>
        <w:t>minimis</w:t>
      </w:r>
      <w:proofErr w:type="spellEnd"/>
      <w:r w:rsidRPr="00E005D6">
        <w:rPr>
          <w:rFonts w:cs="Times New Roman"/>
        </w:rPr>
        <w:t xml:space="preserve"> wynikająca ze stosowania </w:t>
      </w:r>
      <w:r w:rsidR="006E6D6C" w:rsidRPr="00E005D6">
        <w:rPr>
          <w:rFonts w:cs="Times New Roman"/>
        </w:rPr>
        <w:t xml:space="preserve">przez nich </w:t>
      </w:r>
      <w:r w:rsidRPr="00E005D6">
        <w:rPr>
          <w:rFonts w:cs="Times New Roman"/>
        </w:rPr>
        <w:t>w drugiej połowie 2024 r. ceny maksymalnej</w:t>
      </w:r>
      <w:r w:rsidR="006E6D6C" w:rsidRPr="00E005D6">
        <w:rPr>
          <w:rFonts w:cs="Times New Roman"/>
        </w:rPr>
        <w:t xml:space="preserve"> wobec mikro</w:t>
      </w:r>
      <w:r w:rsidR="00647C02">
        <w:rPr>
          <w:rFonts w:cs="Times New Roman"/>
        </w:rPr>
        <w:t>-</w:t>
      </w:r>
      <w:r w:rsidR="006E6D6C" w:rsidRPr="00E005D6">
        <w:rPr>
          <w:rFonts w:cs="Times New Roman"/>
        </w:rPr>
        <w:t>, małych i średnich przedsiębiorstw</w:t>
      </w:r>
      <w:r w:rsidRPr="00E005D6">
        <w:rPr>
          <w:rFonts w:cs="Times New Roman"/>
        </w:rPr>
        <w:t xml:space="preserve"> nie przekracza dopuszczalnych limitów pomocy określonych w prawie Unii Europejskiej. Projekt zmian jest korzystny dla mikro</w:t>
      </w:r>
      <w:r w:rsidR="00647C02">
        <w:rPr>
          <w:rFonts w:cs="Times New Roman"/>
        </w:rPr>
        <w:t>-</w:t>
      </w:r>
      <w:r w:rsidRPr="00E005D6">
        <w:rPr>
          <w:rFonts w:cs="Times New Roman"/>
        </w:rPr>
        <w:t>, małych i średnich przedsiębiorstw i</w:t>
      </w:r>
      <w:r w:rsidR="006D25CB">
        <w:rPr>
          <w:rFonts w:cs="Times New Roman"/>
        </w:rPr>
        <w:t xml:space="preserve"> </w:t>
      </w:r>
      <w:r w:rsidRPr="00E005D6">
        <w:rPr>
          <w:rFonts w:cs="Times New Roman"/>
        </w:rPr>
        <w:t xml:space="preserve">eliminuje ryzyko niedochowania przez przedsiębiorców terminu na wykonanie obowiązków ustawowych, ze względu na fakt, że </w:t>
      </w:r>
      <w:r w:rsidR="006E6D6C" w:rsidRPr="00E005D6">
        <w:rPr>
          <w:rFonts w:cs="Times New Roman"/>
        </w:rPr>
        <w:t>część</w:t>
      </w:r>
      <w:r w:rsidRPr="00E005D6">
        <w:rPr>
          <w:rFonts w:cs="Times New Roman"/>
        </w:rPr>
        <w:t xml:space="preserve"> przedsiębiorców</w:t>
      </w:r>
      <w:r w:rsidR="006E6D6C" w:rsidRPr="00E005D6">
        <w:rPr>
          <w:rFonts w:cs="Times New Roman"/>
        </w:rPr>
        <w:t xml:space="preserve"> nie</w:t>
      </w:r>
      <w:r w:rsidRPr="00E005D6">
        <w:rPr>
          <w:rFonts w:cs="Times New Roman"/>
        </w:rPr>
        <w:t xml:space="preserve"> złożył</w:t>
      </w:r>
      <w:r w:rsidR="006E6D6C" w:rsidRPr="00E005D6">
        <w:rPr>
          <w:rFonts w:cs="Times New Roman"/>
        </w:rPr>
        <w:t>a</w:t>
      </w:r>
      <w:r w:rsidRPr="00E005D6">
        <w:rPr>
          <w:rFonts w:cs="Times New Roman"/>
        </w:rPr>
        <w:t xml:space="preserve"> informacj</w:t>
      </w:r>
      <w:r w:rsidR="006E6D6C" w:rsidRPr="00E005D6">
        <w:rPr>
          <w:rFonts w:cs="Times New Roman"/>
        </w:rPr>
        <w:t>i</w:t>
      </w:r>
      <w:r w:rsidRPr="00E005D6">
        <w:rPr>
          <w:rFonts w:cs="Times New Roman"/>
        </w:rPr>
        <w:t xml:space="preserve"> o pomocy do swoich sprzedawców energii </w:t>
      </w:r>
      <w:r w:rsidR="006E6D6C" w:rsidRPr="00E005D6">
        <w:rPr>
          <w:rFonts w:cs="Times New Roman"/>
        </w:rPr>
        <w:t>elektrycznej w ustawowym terminie.</w:t>
      </w:r>
      <w:r w:rsidRPr="00E005D6">
        <w:rPr>
          <w:rFonts w:cs="Times New Roman"/>
        </w:rPr>
        <w:t xml:space="preserve"> Ze względu na ryzyko zwrotu pomocy przez przedsiębiorców, którzy nie dochowają terminu na złożenie </w:t>
      </w:r>
      <w:r w:rsidR="00BB18F9">
        <w:rPr>
          <w:rFonts w:cs="Times New Roman"/>
        </w:rPr>
        <w:t xml:space="preserve">ww. </w:t>
      </w:r>
      <w:r w:rsidRPr="00E005D6">
        <w:rPr>
          <w:rFonts w:cs="Times New Roman"/>
        </w:rPr>
        <w:t xml:space="preserve">informacji, celowe jest </w:t>
      </w:r>
      <w:r w:rsidR="006E6D6C" w:rsidRPr="00E005D6">
        <w:rPr>
          <w:rFonts w:cs="Times New Roman"/>
        </w:rPr>
        <w:t xml:space="preserve">jego </w:t>
      </w:r>
      <w:r w:rsidRPr="00E005D6">
        <w:rPr>
          <w:rFonts w:cs="Times New Roman"/>
        </w:rPr>
        <w:t>wydłużenie</w:t>
      </w:r>
      <w:r w:rsidR="006E6D6C" w:rsidRPr="00E005D6">
        <w:rPr>
          <w:rFonts w:cs="Times New Roman"/>
        </w:rPr>
        <w:t>.</w:t>
      </w:r>
      <w:r w:rsidR="00BB18F9">
        <w:rPr>
          <w:rFonts w:cs="Times New Roman"/>
        </w:rPr>
        <w:t xml:space="preserve"> </w:t>
      </w:r>
      <w:r w:rsidR="00BB18F9" w:rsidRPr="00A7082C">
        <w:rPr>
          <w:rFonts w:cs="Times New Roman"/>
        </w:rPr>
        <w:t>Ponadto, projekt zawiera</w:t>
      </w:r>
      <w:r w:rsidR="00BB18F9">
        <w:rPr>
          <w:rFonts w:cs="Times New Roman"/>
        </w:rPr>
        <w:t xml:space="preserve"> </w:t>
      </w:r>
      <w:r w:rsidR="00BB18F9" w:rsidRPr="00A7082C">
        <w:rPr>
          <w:rFonts w:cs="Times New Roman"/>
        </w:rPr>
        <w:t>zmiany umożliwiające przedsiębiorcy na złożenie korekty informacji o pomocy w terminie do dnia 30 czerwca 2026 r., jeżeli przedsiębiorca ten uznał, że złożona wcześniej przez niego informacja o</w:t>
      </w:r>
      <w:r w:rsidR="00BB18F9">
        <w:rPr>
          <w:rFonts w:cs="Times New Roman"/>
        </w:rPr>
        <w:t xml:space="preserve"> </w:t>
      </w:r>
      <w:r w:rsidR="00BB18F9" w:rsidRPr="00A7082C">
        <w:rPr>
          <w:rFonts w:cs="Times New Roman"/>
        </w:rPr>
        <w:t>pomocy zawierała błędy, omyłki pisarskie lub rachunkowe lub braki formalne.</w:t>
      </w:r>
    </w:p>
    <w:p w14:paraId="446557CA" w14:textId="1B917B33" w:rsidR="00EB7B37" w:rsidRPr="00E005D6" w:rsidRDefault="00732B49" w:rsidP="006D25CB">
      <w:pPr>
        <w:jc w:val="both"/>
        <w:rPr>
          <w:rStyle w:val="articletitle"/>
          <w:rFonts w:cs="Times New Roman"/>
          <w:szCs w:val="24"/>
        </w:rPr>
      </w:pPr>
      <w:r w:rsidRPr="00E005D6">
        <w:rPr>
          <w:rFonts w:cs="Times New Roman"/>
        </w:rPr>
        <w:t>P</w:t>
      </w:r>
      <w:r w:rsidR="00EB7B37" w:rsidRPr="00E005D6">
        <w:rPr>
          <w:rStyle w:val="articletitle"/>
          <w:rFonts w:cs="Times New Roman"/>
          <w:szCs w:val="24"/>
        </w:rPr>
        <w:t>rzyjąć należy, że projektowane rozwiązanie nie stoi w</w:t>
      </w:r>
      <w:r w:rsidR="006D25CB">
        <w:rPr>
          <w:rStyle w:val="articletitle"/>
          <w:rFonts w:cs="Times New Roman"/>
          <w:szCs w:val="24"/>
        </w:rPr>
        <w:t xml:space="preserve"> </w:t>
      </w:r>
      <w:r w:rsidR="00EB7B37" w:rsidRPr="00E005D6">
        <w:rPr>
          <w:rStyle w:val="articletitle"/>
          <w:rFonts w:cs="Times New Roman"/>
          <w:szCs w:val="24"/>
        </w:rPr>
        <w:t xml:space="preserve">kontrze do zasady </w:t>
      </w:r>
      <w:proofErr w:type="spellStart"/>
      <w:r w:rsidR="00EB7B37" w:rsidRPr="00E005D6">
        <w:rPr>
          <w:rStyle w:val="articletitle"/>
          <w:rFonts w:cs="Times New Roman"/>
          <w:i/>
          <w:iCs/>
          <w:szCs w:val="24"/>
        </w:rPr>
        <w:t>ignorantia</w:t>
      </w:r>
      <w:proofErr w:type="spellEnd"/>
      <w:r w:rsidR="00EB7B37" w:rsidRPr="00E005D6">
        <w:rPr>
          <w:rStyle w:val="articletitle"/>
          <w:rFonts w:cs="Times New Roman"/>
          <w:i/>
          <w:iCs/>
          <w:szCs w:val="24"/>
        </w:rPr>
        <w:t xml:space="preserve"> iuris </w:t>
      </w:r>
      <w:proofErr w:type="spellStart"/>
      <w:r w:rsidR="00EB7B37" w:rsidRPr="00E005D6">
        <w:rPr>
          <w:rStyle w:val="articletitle"/>
          <w:rFonts w:cs="Times New Roman"/>
          <w:i/>
          <w:iCs/>
          <w:szCs w:val="24"/>
        </w:rPr>
        <w:t>nocet</w:t>
      </w:r>
      <w:proofErr w:type="spellEnd"/>
      <w:r w:rsidR="00EB7B37" w:rsidRPr="00E005D6">
        <w:rPr>
          <w:rStyle w:val="articletitle"/>
          <w:rFonts w:cs="Times New Roman"/>
          <w:szCs w:val="24"/>
        </w:rPr>
        <w:t xml:space="preserve">, lecz będzie sprzyjać realizacji zasady zaufania do państwa i tworzonego przez nie prawa, a zatem </w:t>
      </w:r>
      <w:r w:rsidR="005C1B0C" w:rsidRPr="00E005D6">
        <w:rPr>
          <w:rStyle w:val="articletitle"/>
          <w:rFonts w:cs="Times New Roman"/>
          <w:szCs w:val="24"/>
        </w:rPr>
        <w:t xml:space="preserve">będzie </w:t>
      </w:r>
      <w:r w:rsidR="00EB7B37" w:rsidRPr="00E005D6">
        <w:rPr>
          <w:rStyle w:val="articletitle"/>
          <w:rFonts w:cs="Times New Roman"/>
          <w:szCs w:val="24"/>
        </w:rPr>
        <w:t xml:space="preserve">prowadzić do zwiększenia poziomu pewności prawnej wśród przedsiębiorców z sektora </w:t>
      </w:r>
      <w:proofErr w:type="spellStart"/>
      <w:r w:rsidR="00EB7B37" w:rsidRPr="00E005D6">
        <w:rPr>
          <w:rStyle w:val="articletitle"/>
          <w:rFonts w:cs="Times New Roman"/>
          <w:szCs w:val="24"/>
        </w:rPr>
        <w:t>mirko</w:t>
      </w:r>
      <w:proofErr w:type="spellEnd"/>
      <w:r w:rsidR="00EB7B37" w:rsidRPr="00E005D6">
        <w:rPr>
          <w:rStyle w:val="articletitle"/>
          <w:rFonts w:cs="Times New Roman"/>
          <w:szCs w:val="24"/>
        </w:rPr>
        <w:t>-, małych i średnich przedsiębiorstw.</w:t>
      </w:r>
    </w:p>
    <w:p w14:paraId="6FE9F609" w14:textId="2AEF8A54" w:rsidR="008E667D" w:rsidRPr="00E005D6" w:rsidRDefault="008938E8" w:rsidP="006D25CB">
      <w:pPr>
        <w:spacing w:before="100" w:beforeAutospacing="1" w:after="100" w:afterAutospacing="1"/>
        <w:jc w:val="both"/>
        <w:rPr>
          <w:rFonts w:cs="Times New Roman"/>
        </w:rPr>
      </w:pPr>
      <w:r w:rsidRPr="00E005D6">
        <w:rPr>
          <w:rFonts w:cs="Times New Roman"/>
        </w:rPr>
        <w:t xml:space="preserve">W konsekwencji dokonania tych zmian jest też </w:t>
      </w:r>
      <w:r w:rsidR="00641E9F" w:rsidRPr="00E005D6">
        <w:rPr>
          <w:rFonts w:cs="Times New Roman"/>
        </w:rPr>
        <w:t xml:space="preserve">niezbędne </w:t>
      </w:r>
      <w:r w:rsidRPr="00E005D6">
        <w:rPr>
          <w:rFonts w:cs="Times New Roman"/>
        </w:rPr>
        <w:t xml:space="preserve">dostosowanie terminu rozliczenia </w:t>
      </w:r>
      <w:r w:rsidR="00EB7B37" w:rsidRPr="00E005D6">
        <w:rPr>
          <w:rFonts w:cs="Times New Roman"/>
        </w:rPr>
        <w:lastRenderedPageBreak/>
        <w:t>rekompensat przez Zarządcę Rozliczeń S.A., o którym mowa w rozdziale 7 ustawy z dnia 29</w:t>
      </w:r>
      <w:r w:rsidR="00AD54FB" w:rsidRPr="00E005D6">
        <w:rPr>
          <w:rFonts w:cs="Times New Roman"/>
        </w:rPr>
        <w:t> </w:t>
      </w:r>
      <w:r w:rsidR="00EB7B37" w:rsidRPr="00E005D6">
        <w:rPr>
          <w:rFonts w:cs="Times New Roman"/>
        </w:rPr>
        <w:t>czerwca 2007 r. o zasadach pokrywania kosztów powstałych u wytwórców w związku z</w:t>
      </w:r>
      <w:r w:rsidR="00AD54FB" w:rsidRPr="00E005D6">
        <w:rPr>
          <w:rFonts w:cs="Times New Roman"/>
        </w:rPr>
        <w:t> </w:t>
      </w:r>
      <w:r w:rsidR="00EB7B37" w:rsidRPr="00E005D6">
        <w:rPr>
          <w:rFonts w:cs="Times New Roman"/>
        </w:rPr>
        <w:t>przedterminowym rozwiązaniem umów długoterminowych sprzedaży mocy i energii elektrycznej (Dz.</w:t>
      </w:r>
      <w:r w:rsidR="008E667D" w:rsidRPr="00E005D6">
        <w:rPr>
          <w:rFonts w:cs="Times New Roman"/>
        </w:rPr>
        <w:t xml:space="preserve"> </w:t>
      </w:r>
      <w:r w:rsidR="00EB7B37" w:rsidRPr="00E005D6">
        <w:rPr>
          <w:rFonts w:cs="Times New Roman"/>
        </w:rPr>
        <w:t xml:space="preserve">U. z 2022 r. poz. 311). Niezbędne jest bowiem umożliwienie </w:t>
      </w:r>
      <w:r w:rsidRPr="00E005D6">
        <w:rPr>
          <w:rFonts w:cs="Times New Roman"/>
        </w:rPr>
        <w:t xml:space="preserve">Zarządcy Rozliczeń </w:t>
      </w:r>
      <w:r w:rsidR="008605AF" w:rsidRPr="00E005D6">
        <w:rPr>
          <w:rFonts w:cs="Times New Roman"/>
        </w:rPr>
        <w:t xml:space="preserve">S.A. </w:t>
      </w:r>
      <w:r w:rsidRPr="00E005D6">
        <w:rPr>
          <w:rFonts w:cs="Times New Roman"/>
        </w:rPr>
        <w:t>dokonani</w:t>
      </w:r>
      <w:r w:rsidR="00EB7B37" w:rsidRPr="00E005D6">
        <w:rPr>
          <w:rFonts w:cs="Times New Roman"/>
        </w:rPr>
        <w:t>a korekty</w:t>
      </w:r>
      <w:r w:rsidRPr="00E005D6">
        <w:rPr>
          <w:rFonts w:cs="Times New Roman"/>
        </w:rPr>
        <w:t xml:space="preserve"> rozliczenia końcowego sprzedawców energii za stosowanie mechanizmu ceny maksymalnej w drugiej połowie 2024 r.</w:t>
      </w:r>
      <w:r w:rsidR="00EB7B37" w:rsidRPr="00E005D6">
        <w:rPr>
          <w:rFonts w:cs="Times New Roman"/>
        </w:rPr>
        <w:t>, ponieważ termin na jego dokonanie upłyn</w:t>
      </w:r>
      <w:r w:rsidR="001071D3">
        <w:rPr>
          <w:rFonts w:cs="Times New Roman"/>
        </w:rPr>
        <w:t>ął</w:t>
      </w:r>
      <w:r w:rsidR="00EB7B37" w:rsidRPr="00E005D6">
        <w:rPr>
          <w:rFonts w:cs="Times New Roman"/>
        </w:rPr>
        <w:t xml:space="preserve"> 31 października 2025 r.</w:t>
      </w:r>
      <w:r w:rsidR="008E667D" w:rsidRPr="00E005D6">
        <w:rPr>
          <w:rFonts w:cs="Times New Roman"/>
        </w:rPr>
        <w:t xml:space="preserve"> W związku z powyższym</w:t>
      </w:r>
      <w:r w:rsidR="006E381D" w:rsidRPr="00E005D6">
        <w:rPr>
          <w:rFonts w:cs="Times New Roman"/>
        </w:rPr>
        <w:t xml:space="preserve"> mechanizmem</w:t>
      </w:r>
      <w:r w:rsidR="008E667D" w:rsidRPr="00E005D6">
        <w:rPr>
          <w:rFonts w:cs="Times New Roman"/>
        </w:rPr>
        <w:t xml:space="preserve"> jest konieczne </w:t>
      </w:r>
      <w:r w:rsidR="006E381D" w:rsidRPr="00E005D6">
        <w:rPr>
          <w:rFonts w:cs="Times New Roman"/>
        </w:rPr>
        <w:t xml:space="preserve">również </w:t>
      </w:r>
      <w:r w:rsidR="008E667D" w:rsidRPr="00E005D6">
        <w:rPr>
          <w:rFonts w:cs="Times New Roman"/>
        </w:rPr>
        <w:t>wprowadzenie zmian w ustaw</w:t>
      </w:r>
      <w:r w:rsidR="006E381D" w:rsidRPr="00E005D6">
        <w:rPr>
          <w:rFonts w:cs="Times New Roman"/>
        </w:rPr>
        <w:t>ie</w:t>
      </w:r>
      <w:r w:rsidR="008E667D" w:rsidRPr="00E005D6">
        <w:rPr>
          <w:rFonts w:cs="Times New Roman"/>
        </w:rPr>
        <w:t xml:space="preserve"> z dnia 27 października 2022 r. o środkach nadzwyczajnych mających na celu ograniczenie wysokości cen energii elektrycznej oraz wsparciu niektórych odbiorców w latach 2023–2025</w:t>
      </w:r>
      <w:r w:rsidR="00324A86" w:rsidRPr="00E005D6">
        <w:rPr>
          <w:rFonts w:cs="Times New Roman"/>
        </w:rPr>
        <w:t xml:space="preserve"> </w:t>
      </w:r>
      <w:r w:rsidR="00324A86" w:rsidRPr="00E005D6">
        <w:rPr>
          <w:rFonts w:eastAsiaTheme="minorHAnsi" w:cs="Times New Roman"/>
          <w:shd w:val="clear" w:color="auto" w:fill="FFFFFF"/>
        </w:rPr>
        <w:t>(Dz. U. z 2024 r.</w:t>
      </w:r>
      <w:r w:rsidR="00E005D6" w:rsidRPr="00E005D6">
        <w:rPr>
          <w:rFonts w:eastAsiaTheme="minorHAnsi" w:cs="Times New Roman"/>
          <w:shd w:val="clear" w:color="auto" w:fill="FFFFFF"/>
        </w:rPr>
        <w:t xml:space="preserve"> </w:t>
      </w:r>
      <w:r w:rsidR="00324A86" w:rsidRPr="00E005D6">
        <w:rPr>
          <w:rFonts w:eastAsiaTheme="minorHAnsi" w:cs="Times New Roman"/>
          <w:shd w:val="clear" w:color="auto" w:fill="FFFFFF"/>
        </w:rPr>
        <w:t>poz. 1622</w:t>
      </w:r>
      <w:r w:rsidR="006D25CB">
        <w:rPr>
          <w:rFonts w:eastAsiaTheme="minorHAnsi" w:cs="Times New Roman"/>
          <w:shd w:val="clear" w:color="auto" w:fill="FFFFFF"/>
        </w:rPr>
        <w:t xml:space="preserve"> </w:t>
      </w:r>
      <w:r w:rsidR="00324A86" w:rsidRPr="00E005D6">
        <w:rPr>
          <w:rFonts w:eastAsiaTheme="minorHAnsi" w:cs="Times New Roman"/>
          <w:shd w:val="clear" w:color="auto" w:fill="FFFFFF"/>
        </w:rPr>
        <w:t>i</w:t>
      </w:r>
      <w:r w:rsidR="006D25CB">
        <w:rPr>
          <w:rFonts w:eastAsiaTheme="minorHAnsi" w:cs="Times New Roman"/>
          <w:shd w:val="clear" w:color="auto" w:fill="FFFFFF"/>
        </w:rPr>
        <w:t xml:space="preserve"> </w:t>
      </w:r>
      <w:r w:rsidR="00324A86" w:rsidRPr="00E005D6">
        <w:rPr>
          <w:rFonts w:eastAsiaTheme="minorHAnsi" w:cs="Times New Roman"/>
          <w:shd w:val="clear" w:color="auto" w:fill="FFFFFF"/>
        </w:rPr>
        <w:t>1831)</w:t>
      </w:r>
      <w:r w:rsidR="008605AF" w:rsidRPr="00E005D6">
        <w:rPr>
          <w:rFonts w:cs="Times New Roman"/>
        </w:rPr>
        <w:t xml:space="preserve">. </w:t>
      </w:r>
      <w:r w:rsidR="006E381D" w:rsidRPr="00E005D6">
        <w:rPr>
          <w:rFonts w:cs="Times New Roman"/>
        </w:rPr>
        <w:t xml:space="preserve">Ze </w:t>
      </w:r>
      <w:r w:rsidR="008E667D" w:rsidRPr="00E005D6">
        <w:rPr>
          <w:rFonts w:cs="Times New Roman"/>
        </w:rPr>
        <w:t xml:space="preserve">względu na przesunięcie </w:t>
      </w:r>
      <w:r w:rsidR="006E381D" w:rsidRPr="00E005D6">
        <w:rPr>
          <w:rFonts w:cs="Times New Roman"/>
        </w:rPr>
        <w:t xml:space="preserve">ww. </w:t>
      </w:r>
      <w:r w:rsidR="008E667D" w:rsidRPr="00E005D6">
        <w:rPr>
          <w:rFonts w:cs="Times New Roman"/>
        </w:rPr>
        <w:t xml:space="preserve">terminu dla Zarządcy Rozliczeń S.A., jest konieczne również dodanie zmiany w art. 17 ust. 6 tej ustawy. Według obecnie obowiązującego brzmienia tego przepisu </w:t>
      </w:r>
      <w:r w:rsidR="008605AF" w:rsidRPr="00E005D6">
        <w:rPr>
          <w:rFonts w:cs="Times New Roman"/>
        </w:rPr>
        <w:t>Z</w:t>
      </w:r>
      <w:r w:rsidR="008E667D" w:rsidRPr="00E005D6">
        <w:rPr>
          <w:rFonts w:cs="Times New Roman"/>
        </w:rPr>
        <w:t xml:space="preserve">arządca </w:t>
      </w:r>
      <w:r w:rsidR="008605AF" w:rsidRPr="00E005D6">
        <w:rPr>
          <w:rFonts w:cs="Times New Roman"/>
        </w:rPr>
        <w:t>R</w:t>
      </w:r>
      <w:r w:rsidR="008E667D" w:rsidRPr="00E005D6">
        <w:rPr>
          <w:rFonts w:cs="Times New Roman"/>
        </w:rPr>
        <w:t xml:space="preserve">ozliczeń </w:t>
      </w:r>
      <w:r w:rsidR="008605AF" w:rsidRPr="00E005D6">
        <w:rPr>
          <w:rFonts w:cs="Times New Roman"/>
        </w:rPr>
        <w:t xml:space="preserve">S. A. </w:t>
      </w:r>
      <w:r w:rsidR="008E667D" w:rsidRPr="00E005D6">
        <w:rPr>
          <w:rFonts w:cs="Times New Roman"/>
        </w:rPr>
        <w:t>przedstawia ministrowi właściwemu do spraw energii zbiorcze rozliczenie środków oraz przekazuje niewykorzystane środki do Funduszu Przeciwdziałania COVID-19 w</w:t>
      </w:r>
      <w:r w:rsidR="006D25CB">
        <w:rPr>
          <w:rFonts w:cs="Times New Roman"/>
        </w:rPr>
        <w:t xml:space="preserve"> </w:t>
      </w:r>
      <w:r w:rsidR="008E667D" w:rsidRPr="00E005D6">
        <w:rPr>
          <w:rFonts w:cs="Times New Roman"/>
        </w:rPr>
        <w:t>terminie do dnia 31 grudnia 2026 r. Po</w:t>
      </w:r>
      <w:r w:rsidR="006D25CB">
        <w:rPr>
          <w:rFonts w:cs="Times New Roman"/>
        </w:rPr>
        <w:t xml:space="preserve"> </w:t>
      </w:r>
      <w:r w:rsidR="008E667D" w:rsidRPr="00E005D6">
        <w:rPr>
          <w:rFonts w:cs="Times New Roman"/>
        </w:rPr>
        <w:t xml:space="preserve">wprowadzeniu projektowanych zmian niezbędne będzie zatem również przesunięcie tego terminu dla </w:t>
      </w:r>
      <w:r w:rsidR="008605AF" w:rsidRPr="00E005D6">
        <w:rPr>
          <w:rFonts w:cs="Times New Roman"/>
        </w:rPr>
        <w:t xml:space="preserve">Zarządcy Rozliczeń S.A. </w:t>
      </w:r>
      <w:r w:rsidR="008E667D" w:rsidRPr="00E005D6">
        <w:rPr>
          <w:rFonts w:cs="Times New Roman"/>
        </w:rPr>
        <w:t>na przekazanie ministrowi właściwemu do spraw energii zbiorczego rozliczenia środków oraz przekazania niewykorzystanych środki do Funduszu Przeciwdziałania COVID-19. Projekt przewiduje zmianę art. 17 ust. 6 ustawy z dnia 27</w:t>
      </w:r>
      <w:r w:rsidR="00282F74">
        <w:rPr>
          <w:rFonts w:cs="Times New Roman"/>
        </w:rPr>
        <w:t> </w:t>
      </w:r>
      <w:r w:rsidR="008E667D" w:rsidRPr="00E005D6">
        <w:rPr>
          <w:rFonts w:cs="Times New Roman"/>
        </w:rPr>
        <w:t xml:space="preserve">października 2022 r. o środkach nadzwyczajnych mających na celu ograniczenie wysokości cen energii elektrycznej oraz wsparciu niektórych odbiorców w latach 2023–2025 </w:t>
      </w:r>
      <w:r w:rsidR="00AD54FB" w:rsidRPr="00E005D6">
        <w:rPr>
          <w:rFonts w:cs="Times New Roman"/>
        </w:rPr>
        <w:t>polegającą</w:t>
      </w:r>
      <w:r w:rsidR="008E667D" w:rsidRPr="00E005D6">
        <w:rPr>
          <w:rFonts w:cs="Times New Roman"/>
        </w:rPr>
        <w:t xml:space="preserve"> na przesunięciu wskazanego terminu z dnia 31 grudnia 2026 r. na dzień 31 marca 2027 r.</w:t>
      </w:r>
    </w:p>
    <w:p w14:paraId="68046055" w14:textId="32F33016" w:rsidR="008605AF" w:rsidRPr="00E005D6" w:rsidRDefault="00AD54FB" w:rsidP="006D25CB">
      <w:pPr>
        <w:spacing w:before="100" w:beforeAutospacing="1" w:after="100" w:afterAutospacing="1"/>
        <w:jc w:val="both"/>
        <w:rPr>
          <w:rFonts w:cs="Times New Roman"/>
        </w:rPr>
      </w:pPr>
      <w:r w:rsidRPr="00E005D6">
        <w:rPr>
          <w:rFonts w:cs="Times New Roman"/>
        </w:rPr>
        <w:t>Zmiana natomiast we wprowadzeniu do wyliczenia w art. 43 w ust. 2b jest zmianą wynikową i porządkową, ponieważ sprowadza się do ujęcia w tym przepisie dodawanego art. 7b</w:t>
      </w:r>
      <w:r w:rsidR="006E381D" w:rsidRPr="00E005D6">
        <w:rPr>
          <w:rFonts w:cs="Times New Roman"/>
        </w:rPr>
        <w:t xml:space="preserve"> w ustawie z dnia 21 lutego 2021 r. o zmianie ustawy o rynku mocy oraz niektórych innych ustaw</w:t>
      </w:r>
      <w:r w:rsidRPr="00E005D6">
        <w:rPr>
          <w:rFonts w:cs="Times New Roman"/>
        </w:rPr>
        <w:t>, przedłużającego termin na złożenie informacji. Przepis ten nie wpływa na zmianę wysokości środków przewidzianych w Funduszu Przeciwdziałania COVID-19</w:t>
      </w:r>
      <w:r w:rsidR="006E381D" w:rsidRPr="00E005D6">
        <w:rPr>
          <w:rFonts w:cs="Times New Roman"/>
        </w:rPr>
        <w:t xml:space="preserve"> na realizacj</w:t>
      </w:r>
      <w:r w:rsidR="006E6D6C" w:rsidRPr="00E005D6">
        <w:rPr>
          <w:rFonts w:cs="Times New Roman"/>
        </w:rPr>
        <w:t>ę</w:t>
      </w:r>
      <w:r w:rsidR="006E381D" w:rsidRPr="00E005D6">
        <w:rPr>
          <w:rFonts w:cs="Times New Roman"/>
        </w:rPr>
        <w:t xml:space="preserve"> rekompensat</w:t>
      </w:r>
      <w:r w:rsidRPr="00E005D6">
        <w:rPr>
          <w:rFonts w:cs="Times New Roman"/>
        </w:rPr>
        <w:t xml:space="preserve">, a jedynie wskazuje, </w:t>
      </w:r>
      <w:r w:rsidR="006E381D" w:rsidRPr="00E005D6">
        <w:rPr>
          <w:rFonts w:cs="Times New Roman"/>
        </w:rPr>
        <w:t>ż</w:t>
      </w:r>
      <w:r w:rsidRPr="00E005D6">
        <w:rPr>
          <w:rFonts w:cs="Times New Roman"/>
        </w:rPr>
        <w:t xml:space="preserve">e w przyjętym limicie mieszczą się wszyscy przedsiębiorcy – także ci, którzy dotychczas nie złożyli wymaganych informacji, a którzy będą mogli to zrobić na podstawie dodawanego projektem przepisu art. 7b </w:t>
      </w:r>
      <w:r w:rsidR="006E381D" w:rsidRPr="00E005D6">
        <w:rPr>
          <w:rFonts w:cs="Times New Roman"/>
        </w:rPr>
        <w:t xml:space="preserve">w ustawie z dnia 21 lutego 2021 r. o zmianie ustawy o rynku mocy oraz niektórych innych ustaw </w:t>
      </w:r>
      <w:r w:rsidRPr="00E005D6">
        <w:rPr>
          <w:rFonts w:cs="Times New Roman"/>
        </w:rPr>
        <w:t>przedłużającego dotychczasowy termin złożenia tych informacji.</w:t>
      </w:r>
      <w:r w:rsidR="008605AF" w:rsidRPr="00E005D6">
        <w:rPr>
          <w:rFonts w:cs="Times New Roman"/>
        </w:rPr>
        <w:t xml:space="preserve"> Projekt nie wpływa na limity wydatków określone w ustawie z dnia 27 października 2022 r. o środkach nadzwyczajnych mających na celu ograniczenie wysokości </w:t>
      </w:r>
      <w:r w:rsidR="008605AF" w:rsidRPr="00E005D6">
        <w:rPr>
          <w:rFonts w:cs="Times New Roman"/>
        </w:rPr>
        <w:lastRenderedPageBreak/>
        <w:t>cen energii elektrycznej oraz wsparciu niektórych odbiorców w latach 2023–2025 dla tego mechanizmu.</w:t>
      </w:r>
    </w:p>
    <w:p w14:paraId="5BE52231" w14:textId="6BE2BCF0" w:rsidR="006B4C59" w:rsidRPr="00E005D6" w:rsidRDefault="006B4C59" w:rsidP="006D25CB">
      <w:pPr>
        <w:pStyle w:val="ZPKTzmpktartykuempunktem"/>
        <w:ind w:left="0" w:firstLine="0"/>
        <w:rPr>
          <w:rFonts w:ascii="Times New Roman" w:hAnsi="Times New Roman" w:cs="Times New Roman"/>
        </w:rPr>
      </w:pPr>
      <w:r w:rsidRPr="00E005D6">
        <w:rPr>
          <w:rFonts w:ascii="Times New Roman" w:hAnsi="Times New Roman" w:cs="Times New Roman"/>
          <w:szCs w:val="24"/>
        </w:rPr>
        <w:t xml:space="preserve">Przedmiotowy projekt wprowadza również zmiany do </w:t>
      </w:r>
      <w:r w:rsidR="00B55873" w:rsidRPr="00E005D6">
        <w:rPr>
          <w:rFonts w:ascii="Times New Roman" w:hAnsi="Times New Roman" w:cs="Times New Roman"/>
          <w:szCs w:val="24"/>
        </w:rPr>
        <w:t xml:space="preserve">ustawy </w:t>
      </w:r>
      <w:r w:rsidR="00B55873" w:rsidRPr="00E005D6">
        <w:rPr>
          <w:rFonts w:ascii="Times New Roman" w:hAnsi="Times New Roman" w:cs="Times New Roman"/>
        </w:rPr>
        <w:t>z dnia 12 września 2025 r. o</w:t>
      </w:r>
      <w:r w:rsidR="00E005D6">
        <w:rPr>
          <w:rFonts w:ascii="Times New Roman" w:hAnsi="Times New Roman" w:cs="Times New Roman"/>
        </w:rPr>
        <w:t> </w:t>
      </w:r>
      <w:r w:rsidR="00B55873" w:rsidRPr="00E005D6">
        <w:rPr>
          <w:rFonts w:ascii="Times New Roman" w:hAnsi="Times New Roman" w:cs="Times New Roman"/>
        </w:rPr>
        <w:t>bonie ciepłowniczym oraz o zmianie niektórych ustaw w celu ograniczenia wysokości cen energii elektrycznej (Dz. U. poz. 1302)</w:t>
      </w:r>
      <w:r w:rsidR="001F7025" w:rsidRPr="00E005D6">
        <w:rPr>
          <w:rFonts w:ascii="Times New Roman" w:hAnsi="Times New Roman" w:cs="Times New Roman"/>
        </w:rPr>
        <w:t xml:space="preserve">, </w:t>
      </w:r>
      <w:r w:rsidR="00B55873" w:rsidRPr="00E005D6">
        <w:rPr>
          <w:rFonts w:ascii="Times New Roman" w:hAnsi="Times New Roman" w:cs="Times New Roman"/>
        </w:rPr>
        <w:t>dalej „ustawa o bonie ciepłowniczym”. Zmiany te dotyczą dwóch kwestii:</w:t>
      </w:r>
    </w:p>
    <w:p w14:paraId="1E28F303" w14:textId="77777777" w:rsidR="00FE4D72" w:rsidRPr="00E005D6" w:rsidRDefault="00FE4D72" w:rsidP="006D25CB">
      <w:pPr>
        <w:pStyle w:val="Akapitzlist"/>
        <w:numPr>
          <w:ilvl w:val="0"/>
          <w:numId w:val="7"/>
        </w:numPr>
        <w:spacing w:line="360" w:lineRule="auto"/>
        <w:ind w:hanging="720"/>
        <w:jc w:val="both"/>
        <w:rPr>
          <w:rFonts w:ascii="Times New Roman" w:hAnsi="Times New Roman" w:cs="Times New Roman"/>
          <w:bCs/>
        </w:rPr>
      </w:pPr>
      <w:r w:rsidRPr="00E005D6">
        <w:rPr>
          <w:rFonts w:ascii="Times New Roman" w:hAnsi="Times New Roman" w:cs="Times New Roman"/>
          <w:bCs/>
        </w:rPr>
        <w:t>Zmiana w zakresie rozszerzenia okoliczności, kiedy organ może pozostawić bez rozpoznania wniosek o wypłatę bonu ciepłowniczego</w:t>
      </w:r>
    </w:p>
    <w:p w14:paraId="23FF841F" w14:textId="274FD204" w:rsidR="00FE4D72" w:rsidRPr="00E005D6" w:rsidRDefault="00FE4D72" w:rsidP="006D25CB">
      <w:pPr>
        <w:jc w:val="both"/>
        <w:rPr>
          <w:rFonts w:cs="Times New Roman"/>
        </w:rPr>
      </w:pPr>
      <w:r w:rsidRPr="00E005D6">
        <w:rPr>
          <w:rFonts w:cs="Times New Roman"/>
        </w:rPr>
        <w:t xml:space="preserve">Otrzymanie bonu ciepłowniczego przez gospodarstwa domowe zgodnie ustawą </w:t>
      </w:r>
      <w:r w:rsidR="0083263B" w:rsidRPr="00E005D6">
        <w:rPr>
          <w:rFonts w:cs="Times New Roman"/>
        </w:rPr>
        <w:t>o bonie ciepłowniczym</w:t>
      </w:r>
      <w:r w:rsidRPr="00E005D6">
        <w:rPr>
          <w:rFonts w:cs="Times New Roman"/>
        </w:rPr>
        <w:t xml:space="preserve"> jest warunkowane spełnieniem kilku przesłanek. Do tych przesłanek należ</w:t>
      </w:r>
      <w:r w:rsidR="00421DA0" w:rsidRPr="00E005D6">
        <w:rPr>
          <w:rFonts w:cs="Times New Roman"/>
        </w:rPr>
        <w:t>ą</w:t>
      </w:r>
      <w:r w:rsidRPr="00E005D6">
        <w:rPr>
          <w:rFonts w:cs="Times New Roman"/>
        </w:rPr>
        <w:t xml:space="preserve"> m.in.:</w:t>
      </w:r>
    </w:p>
    <w:p w14:paraId="1C7C5E6C" w14:textId="3BCDB4D1" w:rsidR="00FE4D72" w:rsidRPr="00E005D6" w:rsidRDefault="00FE4D72" w:rsidP="006D25CB">
      <w:pPr>
        <w:pStyle w:val="Akapitzlist"/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E005D6">
        <w:rPr>
          <w:rFonts w:ascii="Times New Roman" w:hAnsi="Times New Roman" w:cs="Times New Roman"/>
        </w:rPr>
        <w:t>korzystanie przez gospodarstwo domowe z ciepła dostarczanego przez system ciepłowniczy, o którym mowa w art. 2 ust. 2 ustawy o bonie ciepłowniczym, na potrzeby ogrzewania przez przedsiębiorstwo energetyczne</w:t>
      </w:r>
      <w:r w:rsidR="00421DA0" w:rsidRPr="00E005D6">
        <w:rPr>
          <w:rFonts w:ascii="Times New Roman" w:hAnsi="Times New Roman" w:cs="Times New Roman"/>
        </w:rPr>
        <w:t>;</w:t>
      </w:r>
    </w:p>
    <w:p w14:paraId="6A3F21CF" w14:textId="77777777" w:rsidR="00FE4D72" w:rsidRPr="00E005D6" w:rsidRDefault="00FE4D72" w:rsidP="006D25CB">
      <w:pPr>
        <w:pStyle w:val="Akapitzlist"/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E005D6">
        <w:rPr>
          <w:rFonts w:ascii="Times New Roman" w:hAnsi="Times New Roman" w:cs="Times New Roman"/>
        </w:rPr>
        <w:t>aby jednoskładnikowa cena ciepła netto przekroczyła 170 zł/GJ netto.</w:t>
      </w:r>
    </w:p>
    <w:p w14:paraId="1300F478" w14:textId="3C38B367" w:rsidR="00FE4D72" w:rsidRPr="00E005D6" w:rsidRDefault="003E176C" w:rsidP="006D25CB">
      <w:pPr>
        <w:jc w:val="both"/>
        <w:rPr>
          <w:rFonts w:cs="Times New Roman"/>
        </w:rPr>
      </w:pPr>
      <w:r w:rsidRPr="00E005D6">
        <w:rPr>
          <w:rFonts w:cs="Times New Roman"/>
        </w:rPr>
        <w:t>Gminy wskazują, że na obszarze wielu z nich wskazane wyżej przesłanki otrzymania bonu ciepłowniczego nie są spełnione</w:t>
      </w:r>
      <w:r w:rsidR="00647C02">
        <w:rPr>
          <w:rFonts w:cs="Times New Roman"/>
        </w:rPr>
        <w:t>,</w:t>
      </w:r>
      <w:r w:rsidR="00FE4D72" w:rsidRPr="00E005D6">
        <w:rPr>
          <w:rFonts w:cs="Times New Roman"/>
        </w:rPr>
        <w:t xml:space="preserve"> tzn. albo w ogóle nie ma w tych gminach systemów ciepłowniczych wskazanych przez ustawę o bonie ciepłowniczym, albo jednoskładnikowa cena ciepła netto stosowana na dzień wskazany w art. 3 ust. 10 ustawy o bonie ciepłowniczym nie przekracza lub nie będzie przekraczała wskazanej wartości 170 zł/GJ. W konsekwencji</w:t>
      </w:r>
      <w:r w:rsidR="00506EDB" w:rsidRPr="00E005D6">
        <w:rPr>
          <w:rFonts w:cs="Times New Roman"/>
        </w:rPr>
        <w:t xml:space="preserve">, </w:t>
      </w:r>
      <w:r w:rsidR="00FE4D72" w:rsidRPr="00E005D6">
        <w:rPr>
          <w:rFonts w:cs="Times New Roman"/>
        </w:rPr>
        <w:t xml:space="preserve">gminy sygnalizują, że brak spełnienia tych przesłanek uniemożliwia pozytywne załatwienie wniosku o wypłatę bonu ciepłowniczego, a w przypadku jego złożenia konieczność wydania decyzji administracyjnej odmawiającej </w:t>
      </w:r>
      <w:r w:rsidR="00BB18F9" w:rsidRPr="00E005D6">
        <w:rPr>
          <w:rFonts w:cs="Times New Roman"/>
        </w:rPr>
        <w:t>przyzna</w:t>
      </w:r>
      <w:r w:rsidR="00BB18F9">
        <w:rPr>
          <w:rFonts w:cs="Times New Roman"/>
        </w:rPr>
        <w:t>nia</w:t>
      </w:r>
      <w:r w:rsidR="00BB18F9" w:rsidRPr="00E005D6">
        <w:rPr>
          <w:rFonts w:cs="Times New Roman"/>
        </w:rPr>
        <w:t xml:space="preserve"> </w:t>
      </w:r>
      <w:r w:rsidR="00FE4D72" w:rsidRPr="00E005D6">
        <w:rPr>
          <w:rFonts w:cs="Times New Roman"/>
        </w:rPr>
        <w:t>bonu ciepłowniczego, co generuje zbędne koszty po stronie gmin.</w:t>
      </w:r>
    </w:p>
    <w:p w14:paraId="26AF5325" w14:textId="0AC0F939" w:rsidR="00FE4D72" w:rsidRPr="00E005D6" w:rsidRDefault="00FE4D72" w:rsidP="006D25CB">
      <w:pPr>
        <w:jc w:val="both"/>
        <w:rPr>
          <w:rFonts w:cs="Times New Roman"/>
        </w:rPr>
      </w:pPr>
      <w:r w:rsidRPr="00E005D6">
        <w:rPr>
          <w:rFonts w:cs="Times New Roman"/>
        </w:rPr>
        <w:t>Mając na względzie powyższe, zasadnym jest uzupełnienie ustawy o bonie ciepłowniczym o mechanizm, który umożliwi poinformowanie gospodarstw domowych o bezprzedmiotowości składania wniosków o wypłatę bonu ciepłowniczego, a w przypadku złożenia takiego wniosku umożliwi organowi pozostawienie go bez rozpoznania, bez potrzeby generowania</w:t>
      </w:r>
      <w:r w:rsidR="00186348" w:rsidRPr="00E005D6">
        <w:rPr>
          <w:rFonts w:cs="Times New Roman"/>
        </w:rPr>
        <w:t xml:space="preserve"> </w:t>
      </w:r>
      <w:r w:rsidRPr="00E005D6">
        <w:rPr>
          <w:rFonts w:cs="Times New Roman"/>
        </w:rPr>
        <w:t xml:space="preserve">zbędnych czynności. W tym celu w art. 3 ustawy o bonie ciepłowniczym </w:t>
      </w:r>
      <w:r w:rsidR="00BB18F9">
        <w:rPr>
          <w:rFonts w:cs="Times New Roman"/>
        </w:rPr>
        <w:t>dodaje się</w:t>
      </w:r>
      <w:r w:rsidRPr="00E005D6">
        <w:rPr>
          <w:rFonts w:cs="Times New Roman"/>
        </w:rPr>
        <w:t xml:space="preserve"> ust. </w:t>
      </w:r>
      <w:r w:rsidR="00E73E8F" w:rsidRPr="00E005D6">
        <w:rPr>
          <w:rFonts w:cs="Times New Roman"/>
        </w:rPr>
        <w:t>2</w:t>
      </w:r>
      <w:r w:rsidRPr="00E005D6">
        <w:rPr>
          <w:rFonts w:cs="Times New Roman"/>
        </w:rPr>
        <w:t>a, który obliguje wójta</w:t>
      </w:r>
      <w:r w:rsidR="00BB18F9">
        <w:rPr>
          <w:rFonts w:cs="Times New Roman"/>
        </w:rPr>
        <w:t>,</w:t>
      </w:r>
      <w:r w:rsidRPr="00E005D6">
        <w:rPr>
          <w:rFonts w:cs="Times New Roman"/>
        </w:rPr>
        <w:t xml:space="preserve"> burmistrz</w:t>
      </w:r>
      <w:r w:rsidR="00BB18F9">
        <w:rPr>
          <w:rFonts w:cs="Times New Roman"/>
        </w:rPr>
        <w:t>a</w:t>
      </w:r>
      <w:r w:rsidRPr="00E005D6">
        <w:rPr>
          <w:rFonts w:cs="Times New Roman"/>
        </w:rPr>
        <w:t xml:space="preserve"> lub prezydent</w:t>
      </w:r>
      <w:r w:rsidR="00BB18F9">
        <w:rPr>
          <w:rFonts w:cs="Times New Roman"/>
        </w:rPr>
        <w:t>a</w:t>
      </w:r>
      <w:r w:rsidRPr="00E005D6">
        <w:rPr>
          <w:rFonts w:cs="Times New Roman"/>
        </w:rPr>
        <w:t xml:space="preserve"> miasta do niezwłocznego zamieszczenia na stronie internetowej urzędu gminy lub w sposób zwyczajowo przyjęty informacj</w:t>
      </w:r>
      <w:r w:rsidR="00BB18F9">
        <w:rPr>
          <w:rFonts w:cs="Times New Roman"/>
        </w:rPr>
        <w:t>i</w:t>
      </w:r>
      <w:r w:rsidRPr="00E005D6">
        <w:rPr>
          <w:rFonts w:cs="Times New Roman"/>
        </w:rPr>
        <w:t xml:space="preserve"> o zaistnieniu na obszarze gminy okoliczności, uniemożliwiających spełnieni</w:t>
      </w:r>
      <w:r w:rsidR="00BB18F9">
        <w:rPr>
          <w:rFonts w:cs="Times New Roman"/>
        </w:rPr>
        <w:t>e</w:t>
      </w:r>
      <w:r w:rsidRPr="00E005D6">
        <w:rPr>
          <w:rFonts w:cs="Times New Roman"/>
        </w:rPr>
        <w:t xml:space="preserve"> przesłanek otrzymania bonu </w:t>
      </w:r>
      <w:r w:rsidRPr="00E005D6">
        <w:rPr>
          <w:rFonts w:cs="Times New Roman"/>
        </w:rPr>
        <w:lastRenderedPageBreak/>
        <w:t>ciepłowniczego, tzn. jeśli na obszarze gminy:</w:t>
      </w:r>
    </w:p>
    <w:p w14:paraId="292E09C8" w14:textId="2825C7CA" w:rsidR="00486885" w:rsidRPr="00E005D6" w:rsidRDefault="00FE4D72" w:rsidP="006D25CB">
      <w:pPr>
        <w:pStyle w:val="PKTpunkt"/>
        <w:numPr>
          <w:ilvl w:val="0"/>
          <w:numId w:val="6"/>
        </w:numPr>
        <w:rPr>
          <w:rFonts w:ascii="Times New Roman" w:eastAsiaTheme="minorHAnsi" w:hAnsi="Times New Roman" w:cs="Times New Roman"/>
          <w:bCs w:val="0"/>
          <w:kern w:val="2"/>
          <w:szCs w:val="24"/>
          <w:lang w:eastAsia="en-US"/>
          <w14:ligatures w14:val="standardContextual"/>
        </w:rPr>
      </w:pPr>
      <w:r w:rsidRPr="00E005D6">
        <w:rPr>
          <w:rFonts w:ascii="Times New Roman" w:eastAsiaTheme="minorHAnsi" w:hAnsi="Times New Roman" w:cs="Times New Roman"/>
          <w:bCs w:val="0"/>
          <w:kern w:val="2"/>
          <w:szCs w:val="24"/>
          <w:lang w:eastAsia="en-US"/>
          <w14:ligatures w14:val="standardContextual"/>
        </w:rPr>
        <w:t>nie funkcjonuje system ciepłowniczy, o którym mowa w art. 2 ust. 2</w:t>
      </w:r>
      <w:r w:rsidR="00E73E8F" w:rsidRPr="00E005D6">
        <w:rPr>
          <w:rFonts w:ascii="Times New Roman" w:eastAsiaTheme="minorHAnsi" w:hAnsi="Times New Roman" w:cs="Times New Roman"/>
          <w:bCs w:val="0"/>
          <w:kern w:val="2"/>
          <w:szCs w:val="24"/>
          <w:lang w:eastAsia="en-US"/>
          <w14:ligatures w14:val="standardContextual"/>
        </w:rPr>
        <w:t xml:space="preserve"> ustawy o bonie ciepłowniczym</w:t>
      </w:r>
      <w:r w:rsidRPr="00E005D6">
        <w:rPr>
          <w:rFonts w:ascii="Times New Roman" w:eastAsiaTheme="minorHAnsi" w:hAnsi="Times New Roman" w:cs="Times New Roman"/>
          <w:bCs w:val="0"/>
          <w:kern w:val="2"/>
          <w:szCs w:val="24"/>
          <w:lang w:eastAsia="en-US"/>
          <w14:ligatures w14:val="standardContextual"/>
        </w:rPr>
        <w:t xml:space="preserve">, z którego dostarczane </w:t>
      </w:r>
      <w:r w:rsidR="00BB18F9">
        <w:rPr>
          <w:rFonts w:ascii="Times New Roman" w:eastAsiaTheme="minorHAnsi" w:hAnsi="Times New Roman" w:cs="Times New Roman"/>
          <w:bCs w:val="0"/>
          <w:kern w:val="2"/>
          <w:szCs w:val="24"/>
          <w:lang w:eastAsia="en-US"/>
          <w14:ligatures w14:val="standardContextual"/>
        </w:rPr>
        <w:t>jest</w:t>
      </w:r>
      <w:r w:rsidR="00BB18F9" w:rsidRPr="00E005D6">
        <w:rPr>
          <w:rFonts w:ascii="Times New Roman" w:eastAsiaTheme="minorHAnsi" w:hAnsi="Times New Roman" w:cs="Times New Roman"/>
          <w:bCs w:val="0"/>
          <w:kern w:val="2"/>
          <w:szCs w:val="24"/>
          <w:lang w:eastAsia="en-US"/>
          <w14:ligatures w14:val="standardContextual"/>
        </w:rPr>
        <w:t xml:space="preserve"> </w:t>
      </w:r>
      <w:r w:rsidRPr="00E005D6">
        <w:rPr>
          <w:rFonts w:ascii="Times New Roman" w:eastAsiaTheme="minorHAnsi" w:hAnsi="Times New Roman" w:cs="Times New Roman"/>
          <w:bCs w:val="0"/>
          <w:kern w:val="2"/>
          <w:szCs w:val="24"/>
          <w:lang w:eastAsia="en-US"/>
          <w14:ligatures w14:val="standardContextual"/>
        </w:rPr>
        <w:t>ciepło do gospodarstw domowych</w:t>
      </w:r>
      <w:r w:rsidR="00647C02">
        <w:rPr>
          <w:rFonts w:ascii="Times New Roman" w:eastAsiaTheme="minorHAnsi" w:hAnsi="Times New Roman" w:cs="Times New Roman"/>
          <w:bCs w:val="0"/>
          <w:kern w:val="2"/>
          <w:szCs w:val="24"/>
          <w:lang w:eastAsia="en-US"/>
          <w14:ligatures w14:val="standardContextual"/>
        </w:rPr>
        <w:t>,</w:t>
      </w:r>
      <w:r w:rsidRPr="00E005D6">
        <w:rPr>
          <w:rFonts w:ascii="Times New Roman" w:eastAsiaTheme="minorHAnsi" w:hAnsi="Times New Roman" w:cs="Times New Roman"/>
          <w:bCs w:val="0"/>
          <w:kern w:val="2"/>
          <w:szCs w:val="24"/>
          <w:lang w:eastAsia="en-US"/>
          <w14:ligatures w14:val="standardContextual"/>
        </w:rPr>
        <w:t xml:space="preserve"> albo</w:t>
      </w:r>
    </w:p>
    <w:p w14:paraId="688579E5" w14:textId="076D0F94" w:rsidR="00FE4D72" w:rsidRPr="00E005D6" w:rsidRDefault="00FE4D72" w:rsidP="006D25CB">
      <w:pPr>
        <w:pStyle w:val="PKTpunkt"/>
        <w:numPr>
          <w:ilvl w:val="0"/>
          <w:numId w:val="6"/>
        </w:numPr>
        <w:rPr>
          <w:rFonts w:ascii="Times New Roman" w:eastAsiaTheme="minorHAnsi" w:hAnsi="Times New Roman" w:cs="Times New Roman"/>
          <w:bCs w:val="0"/>
          <w:kern w:val="2"/>
          <w:szCs w:val="24"/>
          <w:lang w:eastAsia="en-US"/>
          <w14:ligatures w14:val="standardContextual"/>
        </w:rPr>
      </w:pPr>
      <w:r w:rsidRPr="00E005D6">
        <w:rPr>
          <w:rFonts w:ascii="Times New Roman" w:eastAsiaTheme="minorHAnsi" w:hAnsi="Times New Roman" w:cs="Times New Roman"/>
          <w:bCs w:val="0"/>
          <w:kern w:val="2"/>
          <w:szCs w:val="24"/>
          <w:lang w:eastAsia="en-US"/>
          <w14:ligatures w14:val="standardContextual"/>
        </w:rPr>
        <w:t>jednoskładnikowe ceny ciepła netto, opublikowane zgodnie z</w:t>
      </w:r>
      <w:r w:rsidR="00E73E8F" w:rsidRPr="00E005D6">
        <w:rPr>
          <w:rFonts w:ascii="Times New Roman" w:eastAsiaTheme="minorHAnsi" w:hAnsi="Times New Roman" w:cs="Times New Roman"/>
          <w:bCs w:val="0"/>
          <w:kern w:val="2"/>
          <w:szCs w:val="24"/>
          <w:lang w:eastAsia="en-US"/>
          <w14:ligatures w14:val="standardContextual"/>
        </w:rPr>
        <w:t xml:space="preserve"> art. 3</w:t>
      </w:r>
      <w:r w:rsidRPr="00E005D6">
        <w:rPr>
          <w:rFonts w:ascii="Times New Roman" w:eastAsiaTheme="minorHAnsi" w:hAnsi="Times New Roman" w:cs="Times New Roman"/>
          <w:bCs w:val="0"/>
          <w:kern w:val="2"/>
          <w:szCs w:val="24"/>
          <w:lang w:eastAsia="en-US"/>
          <w14:ligatures w14:val="standardContextual"/>
        </w:rPr>
        <w:t xml:space="preserve"> ust. 10</w:t>
      </w:r>
      <w:r w:rsidR="00E73E8F" w:rsidRPr="00E005D6">
        <w:rPr>
          <w:rFonts w:ascii="Times New Roman" w:eastAsiaTheme="minorHAnsi" w:hAnsi="Times New Roman" w:cs="Times New Roman"/>
          <w:bCs w:val="0"/>
          <w:kern w:val="2"/>
          <w:szCs w:val="24"/>
          <w:lang w:eastAsia="en-US"/>
          <w14:ligatures w14:val="standardContextual"/>
        </w:rPr>
        <w:t xml:space="preserve"> ustawy o bonie ciepłowniczym</w:t>
      </w:r>
      <w:r w:rsidRPr="00E005D6">
        <w:rPr>
          <w:rFonts w:ascii="Times New Roman" w:eastAsiaTheme="minorHAnsi" w:hAnsi="Times New Roman" w:cs="Times New Roman"/>
          <w:bCs w:val="0"/>
          <w:kern w:val="2"/>
          <w:szCs w:val="24"/>
          <w:lang w:eastAsia="en-US"/>
          <w14:ligatures w14:val="standardContextual"/>
        </w:rPr>
        <w:t>, nie przekraczają 170 zł/GJ netto</w:t>
      </w:r>
      <w:r w:rsidR="00486885" w:rsidRPr="00E005D6">
        <w:rPr>
          <w:rFonts w:ascii="Times New Roman" w:eastAsiaTheme="minorHAnsi" w:hAnsi="Times New Roman" w:cs="Times New Roman"/>
          <w:bCs w:val="0"/>
          <w:kern w:val="2"/>
          <w:szCs w:val="24"/>
          <w:lang w:eastAsia="en-US"/>
          <w14:ligatures w14:val="standardContextual"/>
        </w:rPr>
        <w:t>.</w:t>
      </w:r>
    </w:p>
    <w:p w14:paraId="63A23B27" w14:textId="7DFB4F25" w:rsidR="00FE4D72" w:rsidRPr="00E005D6" w:rsidRDefault="00FE4D72" w:rsidP="006D25CB">
      <w:pPr>
        <w:pStyle w:val="USTustnpkodeksu"/>
        <w:ind w:firstLine="0"/>
        <w:rPr>
          <w:rFonts w:ascii="Times New Roman" w:eastAsiaTheme="minorHAnsi" w:hAnsi="Times New Roman" w:cs="Times New Roman"/>
          <w:bCs w:val="0"/>
          <w:kern w:val="2"/>
          <w:szCs w:val="24"/>
          <w:lang w:eastAsia="en-US"/>
          <w14:ligatures w14:val="standardContextual"/>
        </w:rPr>
      </w:pPr>
      <w:r w:rsidRPr="00E005D6">
        <w:rPr>
          <w:rFonts w:ascii="Times New Roman" w:eastAsiaTheme="minorHAnsi" w:hAnsi="Times New Roman" w:cs="Times New Roman"/>
          <w:bCs w:val="0"/>
          <w:kern w:val="2"/>
          <w:szCs w:val="24"/>
          <w:lang w:eastAsia="en-US"/>
          <w14:ligatures w14:val="standardContextual"/>
        </w:rPr>
        <w:t xml:space="preserve">W art. 3 zostanie dodany </w:t>
      </w:r>
      <w:r w:rsidR="00E73E8F" w:rsidRPr="00E005D6">
        <w:rPr>
          <w:rFonts w:ascii="Times New Roman" w:eastAsiaTheme="minorHAnsi" w:hAnsi="Times New Roman" w:cs="Times New Roman"/>
          <w:bCs w:val="0"/>
          <w:kern w:val="2"/>
          <w:szCs w:val="24"/>
          <w:lang w:eastAsia="en-US"/>
          <w14:ligatures w14:val="standardContextual"/>
        </w:rPr>
        <w:t xml:space="preserve">również </w:t>
      </w:r>
      <w:r w:rsidRPr="00E005D6">
        <w:rPr>
          <w:rFonts w:ascii="Times New Roman" w:eastAsiaTheme="minorHAnsi" w:hAnsi="Times New Roman" w:cs="Times New Roman"/>
          <w:bCs w:val="0"/>
          <w:kern w:val="2"/>
          <w:szCs w:val="24"/>
          <w:lang w:eastAsia="en-US"/>
          <w14:ligatures w14:val="standardContextual"/>
        </w:rPr>
        <w:t xml:space="preserve">ust </w:t>
      </w:r>
      <w:r w:rsidR="00E73E8F" w:rsidRPr="00E005D6">
        <w:rPr>
          <w:rFonts w:ascii="Times New Roman" w:eastAsiaTheme="minorHAnsi" w:hAnsi="Times New Roman" w:cs="Times New Roman"/>
          <w:bCs w:val="0"/>
          <w:kern w:val="2"/>
          <w:szCs w:val="24"/>
          <w:lang w:eastAsia="en-US"/>
          <w14:ligatures w14:val="standardContextual"/>
        </w:rPr>
        <w:t>2</w:t>
      </w:r>
      <w:r w:rsidRPr="00E005D6">
        <w:rPr>
          <w:rFonts w:ascii="Times New Roman" w:eastAsiaTheme="minorHAnsi" w:hAnsi="Times New Roman" w:cs="Times New Roman"/>
          <w:bCs w:val="0"/>
          <w:kern w:val="2"/>
          <w:szCs w:val="24"/>
          <w:lang w:eastAsia="en-US"/>
          <w14:ligatures w14:val="standardContextual"/>
        </w:rPr>
        <w:t xml:space="preserve">b, który wprost przesądzi, że wniosek o wypłatę bonu ciepłowniczego złożony pomimo zaistnienia wskazanych </w:t>
      </w:r>
      <w:r w:rsidR="00E73E8F" w:rsidRPr="00E005D6">
        <w:rPr>
          <w:rFonts w:ascii="Times New Roman" w:eastAsiaTheme="minorHAnsi" w:hAnsi="Times New Roman" w:cs="Times New Roman"/>
          <w:bCs w:val="0"/>
          <w:kern w:val="2"/>
          <w:szCs w:val="24"/>
          <w:lang w:eastAsia="en-US"/>
          <w14:ligatures w14:val="standardContextual"/>
        </w:rPr>
        <w:t xml:space="preserve">w ust. 2a </w:t>
      </w:r>
      <w:r w:rsidRPr="00E005D6">
        <w:rPr>
          <w:rFonts w:ascii="Times New Roman" w:eastAsiaTheme="minorHAnsi" w:hAnsi="Times New Roman" w:cs="Times New Roman"/>
          <w:bCs w:val="0"/>
          <w:kern w:val="2"/>
          <w:szCs w:val="24"/>
          <w:lang w:eastAsia="en-US"/>
          <w14:ligatures w14:val="standardContextual"/>
        </w:rPr>
        <w:t>okoliczności pozostawia się bez rozpoznania.</w:t>
      </w:r>
    </w:p>
    <w:p w14:paraId="73D69242" w14:textId="77777777" w:rsidR="0083263B" w:rsidRPr="00E005D6" w:rsidRDefault="0083263B" w:rsidP="006D25CB">
      <w:pPr>
        <w:pStyle w:val="Akapitzlist"/>
        <w:numPr>
          <w:ilvl w:val="0"/>
          <w:numId w:val="7"/>
        </w:numPr>
        <w:spacing w:line="360" w:lineRule="auto"/>
        <w:ind w:hanging="720"/>
        <w:jc w:val="both"/>
        <w:rPr>
          <w:rFonts w:ascii="Times New Roman" w:hAnsi="Times New Roman" w:cs="Times New Roman"/>
        </w:rPr>
      </w:pPr>
      <w:r w:rsidRPr="00E005D6">
        <w:rPr>
          <w:rFonts w:ascii="Times New Roman" w:hAnsi="Times New Roman" w:cs="Times New Roman"/>
        </w:rPr>
        <w:t>Zmiany w art. 3 ust. 6 pkt 3 i ust. 11 dot. skorygowania wskazanych w nich terminów zgodnie z art. 3 ust. 10 pkt 2 ustawy o bonie ciepłowniczym</w:t>
      </w:r>
    </w:p>
    <w:p w14:paraId="09B5DBE6" w14:textId="747738F9" w:rsidR="0083263B" w:rsidRPr="00E005D6" w:rsidRDefault="0083263B" w:rsidP="006D25CB">
      <w:pPr>
        <w:jc w:val="both"/>
        <w:rPr>
          <w:rFonts w:cs="Times New Roman"/>
        </w:rPr>
      </w:pPr>
      <w:r w:rsidRPr="00E005D6">
        <w:rPr>
          <w:rFonts w:cs="Times New Roman"/>
        </w:rPr>
        <w:t xml:space="preserve">Poprawka o charakterze porządkującym wynika z potrzeby skorygowania omyłki, a co za tym idzie niespójności terminów zawartych w art. 3 ust. 6 pkt 3 i 11 </w:t>
      </w:r>
      <w:r w:rsidR="00E73E8F" w:rsidRPr="00E005D6">
        <w:rPr>
          <w:rFonts w:cs="Times New Roman"/>
        </w:rPr>
        <w:t xml:space="preserve">ustawy o bonie ciepłowniczym </w:t>
      </w:r>
      <w:r w:rsidRPr="00E005D6">
        <w:rPr>
          <w:rFonts w:cs="Times New Roman"/>
        </w:rPr>
        <w:t>z terminem zawartym w art. 3 ust. 10 ustawy o bonie ciepłowniczym. W art. 3 ust. 10 pkt 2 ustawy o bonie ciepłowniczym określa się termin drugiego obowiązku publikacji jednoskładnikowej ceny ciepła netto, jaki został nałożony na przedsiębiorstwa energetyczne w</w:t>
      </w:r>
      <w:r w:rsidR="00E005D6">
        <w:rPr>
          <w:rFonts w:cs="Times New Roman"/>
        </w:rPr>
        <w:t> </w:t>
      </w:r>
      <w:r w:rsidRPr="00E005D6">
        <w:rPr>
          <w:rFonts w:cs="Times New Roman"/>
        </w:rPr>
        <w:t>związku z ubieganiem się o bon ciepłowniczy za okres od 1 stycznia 2026 r. do 31 grudnia 2026 r., o który wnioski będą mogły być składane od 1 lipca 2026 r. W zmienianych przepisach:</w:t>
      </w:r>
    </w:p>
    <w:p w14:paraId="20C1CC04" w14:textId="336997A9" w:rsidR="0083263B" w:rsidRPr="00E005D6" w:rsidRDefault="00E73E8F" w:rsidP="006D25C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E005D6">
        <w:rPr>
          <w:rFonts w:ascii="Times New Roman" w:hAnsi="Times New Roman" w:cs="Times New Roman"/>
        </w:rPr>
        <w:t xml:space="preserve">w </w:t>
      </w:r>
      <w:r w:rsidR="0083263B" w:rsidRPr="00E005D6">
        <w:rPr>
          <w:rFonts w:ascii="Times New Roman" w:hAnsi="Times New Roman" w:cs="Times New Roman"/>
        </w:rPr>
        <w:t xml:space="preserve">art. 3 </w:t>
      </w:r>
      <w:r w:rsidRPr="00E005D6">
        <w:rPr>
          <w:rFonts w:ascii="Times New Roman" w:hAnsi="Times New Roman" w:cs="Times New Roman"/>
        </w:rPr>
        <w:t xml:space="preserve">w </w:t>
      </w:r>
      <w:r w:rsidR="0083263B" w:rsidRPr="00E005D6">
        <w:rPr>
          <w:rFonts w:ascii="Times New Roman" w:hAnsi="Times New Roman" w:cs="Times New Roman"/>
        </w:rPr>
        <w:t xml:space="preserve">ust. 6 </w:t>
      </w:r>
      <w:r w:rsidRPr="00E005D6">
        <w:rPr>
          <w:rFonts w:ascii="Times New Roman" w:hAnsi="Times New Roman" w:cs="Times New Roman"/>
        </w:rPr>
        <w:t>w</w:t>
      </w:r>
      <w:r w:rsidR="00D44003" w:rsidRPr="00E005D6">
        <w:rPr>
          <w:rFonts w:ascii="Times New Roman" w:hAnsi="Times New Roman" w:cs="Times New Roman"/>
        </w:rPr>
        <w:t xml:space="preserve"> </w:t>
      </w:r>
      <w:r w:rsidR="0083263B" w:rsidRPr="00E005D6">
        <w:rPr>
          <w:rFonts w:ascii="Times New Roman" w:hAnsi="Times New Roman" w:cs="Times New Roman"/>
        </w:rPr>
        <w:t>pkt 3 – określającym treść wniosku o wypłatę bonu ciepłowniczego</w:t>
      </w:r>
      <w:r w:rsidR="00647C02">
        <w:rPr>
          <w:rFonts w:ascii="Times New Roman" w:hAnsi="Times New Roman" w:cs="Times New Roman"/>
        </w:rPr>
        <w:t>,</w:t>
      </w:r>
      <w:r w:rsidR="0083263B" w:rsidRPr="00E005D6">
        <w:rPr>
          <w:rFonts w:ascii="Times New Roman" w:hAnsi="Times New Roman" w:cs="Times New Roman"/>
        </w:rPr>
        <w:t xml:space="preserve"> oraz</w:t>
      </w:r>
    </w:p>
    <w:p w14:paraId="45BC778A" w14:textId="43D6C472" w:rsidR="0083263B" w:rsidRPr="00E005D6" w:rsidRDefault="00E73E8F" w:rsidP="006D25CB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E005D6">
        <w:rPr>
          <w:rFonts w:ascii="Times New Roman" w:hAnsi="Times New Roman" w:cs="Times New Roman"/>
        </w:rPr>
        <w:t xml:space="preserve">w </w:t>
      </w:r>
      <w:r w:rsidR="0083263B" w:rsidRPr="00E005D6">
        <w:rPr>
          <w:rFonts w:ascii="Times New Roman" w:hAnsi="Times New Roman" w:cs="Times New Roman"/>
        </w:rPr>
        <w:t>art. 3 ust. 11 – określający</w:t>
      </w:r>
      <w:r w:rsidRPr="00E005D6">
        <w:rPr>
          <w:rFonts w:ascii="Times New Roman" w:hAnsi="Times New Roman" w:cs="Times New Roman"/>
        </w:rPr>
        <w:t>m</w:t>
      </w:r>
      <w:r w:rsidR="0083263B" w:rsidRPr="00E005D6">
        <w:rPr>
          <w:rFonts w:ascii="Times New Roman" w:hAnsi="Times New Roman" w:cs="Times New Roman"/>
        </w:rPr>
        <w:t xml:space="preserve"> treść zaświadczenia wydawanego przez spółdzielni</w:t>
      </w:r>
      <w:r w:rsidR="00C4507E" w:rsidRPr="00E005D6">
        <w:rPr>
          <w:rFonts w:ascii="Times New Roman" w:hAnsi="Times New Roman" w:cs="Times New Roman"/>
        </w:rPr>
        <w:t>ę</w:t>
      </w:r>
      <w:r w:rsidR="0083263B" w:rsidRPr="00E005D6">
        <w:rPr>
          <w:rFonts w:ascii="Times New Roman" w:hAnsi="Times New Roman" w:cs="Times New Roman"/>
        </w:rPr>
        <w:t>, wspólno</w:t>
      </w:r>
      <w:r w:rsidR="00C4507E" w:rsidRPr="00E005D6">
        <w:rPr>
          <w:rFonts w:ascii="Times New Roman" w:hAnsi="Times New Roman" w:cs="Times New Roman"/>
        </w:rPr>
        <w:t>tę</w:t>
      </w:r>
      <w:r w:rsidR="0083263B" w:rsidRPr="00E005D6">
        <w:rPr>
          <w:rFonts w:ascii="Times New Roman" w:hAnsi="Times New Roman" w:cs="Times New Roman"/>
        </w:rPr>
        <w:t xml:space="preserve"> mieszkaniow</w:t>
      </w:r>
      <w:r w:rsidR="00C4507E" w:rsidRPr="00E005D6">
        <w:rPr>
          <w:rFonts w:ascii="Times New Roman" w:hAnsi="Times New Roman" w:cs="Times New Roman"/>
        </w:rPr>
        <w:t>ą</w:t>
      </w:r>
      <w:r w:rsidR="0083263B" w:rsidRPr="00E005D6">
        <w:rPr>
          <w:rFonts w:ascii="Times New Roman" w:hAnsi="Times New Roman" w:cs="Times New Roman"/>
        </w:rPr>
        <w:t>, właściciel</w:t>
      </w:r>
      <w:r w:rsidR="00C4507E" w:rsidRPr="00E005D6">
        <w:rPr>
          <w:rFonts w:ascii="Times New Roman" w:hAnsi="Times New Roman" w:cs="Times New Roman"/>
        </w:rPr>
        <w:t>a</w:t>
      </w:r>
      <w:r w:rsidR="0083263B" w:rsidRPr="00E005D6">
        <w:rPr>
          <w:rFonts w:ascii="Times New Roman" w:hAnsi="Times New Roman" w:cs="Times New Roman"/>
        </w:rPr>
        <w:t xml:space="preserve"> lub zarządzając</w:t>
      </w:r>
      <w:r w:rsidR="00C4507E" w:rsidRPr="00E005D6">
        <w:rPr>
          <w:rFonts w:ascii="Times New Roman" w:hAnsi="Times New Roman" w:cs="Times New Roman"/>
        </w:rPr>
        <w:t>ego</w:t>
      </w:r>
      <w:r w:rsidR="0083263B" w:rsidRPr="00E005D6">
        <w:rPr>
          <w:rFonts w:ascii="Times New Roman" w:hAnsi="Times New Roman" w:cs="Times New Roman"/>
        </w:rPr>
        <w:t xml:space="preserve"> budynkiem, lub inny podmiot zobowiązany do zapewnienia dostarczania ciepła do gospodarstwa domowego,</w:t>
      </w:r>
    </w:p>
    <w:p w14:paraId="6A6B5415" w14:textId="1CD196FB" w:rsidR="00B55873" w:rsidRDefault="0083263B" w:rsidP="006D25CB">
      <w:pPr>
        <w:jc w:val="both"/>
        <w:rPr>
          <w:rFonts w:cs="Times New Roman"/>
        </w:rPr>
      </w:pPr>
      <w:r w:rsidRPr="00E005D6">
        <w:rPr>
          <w:rFonts w:cs="Times New Roman"/>
        </w:rPr>
        <w:t>znajduje się wskazanie na informacj</w:t>
      </w:r>
      <w:r w:rsidR="007C6777" w:rsidRPr="00E005D6">
        <w:rPr>
          <w:rFonts w:cs="Times New Roman"/>
        </w:rPr>
        <w:t>ę</w:t>
      </w:r>
      <w:r w:rsidRPr="00E005D6">
        <w:rPr>
          <w:rFonts w:cs="Times New Roman"/>
        </w:rPr>
        <w:t xml:space="preserve"> o jednoskładnikowej cenie ciepła netto, jednak wskazywany termin nie jest spójny z terminem wskazanym w art. 3 ust. 10, co jest oczywistą omyłką. Celem wyeliminowania tej omyłki w art. 3 ust. 6 pkt 3 i ust. 11 wyrazy „30 kwietnia 2026 r.</w:t>
      </w:r>
      <w:r w:rsidR="001E7603" w:rsidRPr="00E005D6">
        <w:rPr>
          <w:rFonts w:cs="Times New Roman"/>
        </w:rPr>
        <w:t>”</w:t>
      </w:r>
      <w:r w:rsidRPr="00E005D6">
        <w:rPr>
          <w:rFonts w:cs="Times New Roman"/>
        </w:rPr>
        <w:t xml:space="preserve"> zastępuje się wyrazami „31 maja 2026 r.</w:t>
      </w:r>
      <w:r w:rsidR="004D1960" w:rsidRPr="00E005D6">
        <w:rPr>
          <w:rFonts w:cs="Times New Roman"/>
        </w:rPr>
        <w:t>”</w:t>
      </w:r>
      <w:r w:rsidR="001E7603" w:rsidRPr="00E005D6">
        <w:rPr>
          <w:rFonts w:cs="Times New Roman"/>
        </w:rPr>
        <w:t>.</w:t>
      </w:r>
    </w:p>
    <w:p w14:paraId="4019E13A" w14:textId="77777777" w:rsidR="006D25CB" w:rsidRPr="00E005D6" w:rsidRDefault="006D25CB" w:rsidP="006D25CB">
      <w:pPr>
        <w:jc w:val="both"/>
      </w:pPr>
    </w:p>
    <w:p w14:paraId="630330AC" w14:textId="5BD029EC" w:rsidR="00593BD6" w:rsidRPr="00E005D6" w:rsidRDefault="008938E8" w:rsidP="006D25CB">
      <w:pPr>
        <w:pStyle w:val="ZPKTzmpktartykuempunktem"/>
        <w:ind w:left="0" w:firstLine="0"/>
        <w:rPr>
          <w:rFonts w:ascii="Times New Roman" w:hAnsi="Times New Roman" w:cs="Times New Roman"/>
          <w:szCs w:val="24"/>
        </w:rPr>
      </w:pPr>
      <w:r w:rsidRPr="00E005D6">
        <w:rPr>
          <w:rFonts w:ascii="Times New Roman" w:hAnsi="Times New Roman" w:cs="Times New Roman"/>
          <w:szCs w:val="24"/>
        </w:rPr>
        <w:t>Projekt jest zgodny z prawem Unii Europejskiej.</w:t>
      </w:r>
    </w:p>
    <w:p w14:paraId="5D175D06" w14:textId="10762251" w:rsidR="008938E8" w:rsidRPr="00E005D6" w:rsidRDefault="008938E8" w:rsidP="006D25CB">
      <w:pPr>
        <w:pStyle w:val="NIEARTTEKSTtekstnieartykuowanynppodstprawnarozplubpreambua"/>
        <w:spacing w:before="100" w:beforeAutospacing="1" w:after="100" w:afterAutospacing="1"/>
        <w:ind w:firstLine="0"/>
        <w:rPr>
          <w:rFonts w:ascii="Times New Roman" w:hAnsi="Times New Roman" w:cs="Times New Roman"/>
          <w:szCs w:val="24"/>
        </w:rPr>
      </w:pPr>
      <w:r w:rsidRPr="00E005D6">
        <w:rPr>
          <w:rFonts w:ascii="Times New Roman" w:hAnsi="Times New Roman" w:cs="Times New Roman"/>
          <w:szCs w:val="24"/>
        </w:rPr>
        <w:t>Projekt ustawy</w:t>
      </w:r>
      <w:r w:rsidRPr="00E005D6" w:rsidDel="00715112">
        <w:rPr>
          <w:rFonts w:ascii="Times New Roman" w:hAnsi="Times New Roman" w:cs="Times New Roman"/>
          <w:szCs w:val="24"/>
        </w:rPr>
        <w:t xml:space="preserve"> </w:t>
      </w:r>
      <w:r w:rsidRPr="00E005D6">
        <w:rPr>
          <w:rFonts w:ascii="Times New Roman" w:hAnsi="Times New Roman" w:cs="Times New Roman"/>
          <w:szCs w:val="24"/>
        </w:rPr>
        <w:t>nie podlega procedurze notyfikacji aktów prawnych, określonej w przepisach rozporządzenia Rady Ministrów z dnia 23 grudnia 2002 r. w sprawie sposobu funkcjonowania krajowego systemu notyfikacji norm i aktów prawnych (Dz. U. poz. 2039</w:t>
      </w:r>
      <w:r w:rsidR="00647C02">
        <w:rPr>
          <w:rFonts w:ascii="Times New Roman" w:hAnsi="Times New Roman" w:cs="Times New Roman"/>
          <w:szCs w:val="24"/>
        </w:rPr>
        <w:t>, z późn. zm.</w:t>
      </w:r>
      <w:r w:rsidRPr="00E005D6">
        <w:rPr>
          <w:rFonts w:ascii="Times New Roman" w:hAnsi="Times New Roman" w:cs="Times New Roman"/>
          <w:szCs w:val="24"/>
        </w:rPr>
        <w:t>).</w:t>
      </w:r>
    </w:p>
    <w:p w14:paraId="6458A7F6" w14:textId="77777777" w:rsidR="008938E8" w:rsidRPr="00E005D6" w:rsidRDefault="008938E8" w:rsidP="006D25CB">
      <w:pPr>
        <w:pStyle w:val="ARTartustawynprozporzdzenia"/>
        <w:spacing w:before="100" w:beforeAutospacing="1" w:after="100" w:afterAutospacing="1"/>
        <w:ind w:firstLine="0"/>
        <w:rPr>
          <w:rFonts w:ascii="Times New Roman" w:hAnsi="Times New Roman" w:cs="Times New Roman"/>
          <w:szCs w:val="24"/>
        </w:rPr>
      </w:pPr>
      <w:r w:rsidRPr="00E005D6">
        <w:rPr>
          <w:rFonts w:ascii="Times New Roman" w:hAnsi="Times New Roman" w:cs="Times New Roman"/>
          <w:szCs w:val="24"/>
        </w:rPr>
        <w:lastRenderedPageBreak/>
        <w:t xml:space="preserve">Projekt ustawy nie wymaga przedstawienia właściwym instytucjom i organom Unii Europejskiej, w tym Europejskiemu Bankowi Centralnemu, w celu uzyskania opinii, dokonania powiadomienia, konsultacji albo uzgodnienia projektu. </w:t>
      </w:r>
    </w:p>
    <w:p w14:paraId="38308114" w14:textId="2F99CBAA" w:rsidR="008938E8" w:rsidRPr="00E005D6" w:rsidRDefault="008938E8" w:rsidP="006D25CB">
      <w:pPr>
        <w:pStyle w:val="ARTartustawynprozporzdzenia"/>
        <w:spacing w:before="100" w:beforeAutospacing="1" w:after="100" w:afterAutospacing="1"/>
        <w:ind w:firstLine="0"/>
        <w:rPr>
          <w:rFonts w:ascii="Times New Roman" w:hAnsi="Times New Roman" w:cs="Times New Roman"/>
          <w:szCs w:val="24"/>
        </w:rPr>
      </w:pPr>
      <w:r w:rsidRPr="00E005D6">
        <w:rPr>
          <w:rFonts w:ascii="Times New Roman" w:hAnsi="Times New Roman" w:cs="Times New Roman"/>
          <w:szCs w:val="24"/>
        </w:rPr>
        <w:t>Projekt aktu nie zawiera wymogów nakładanych na usługodawców, podlegających notyfikacji, o której mowa w art. 15 ust. 7 i art. 39 ust. 5 dyrektywy 2006/123/WE Parlamentu Europejskiego i Rady z dnia 12 grudnia 2006 r. dotyczącej usług na rynku wewnętrznym (Dz.</w:t>
      </w:r>
      <w:r w:rsidR="00E005D6">
        <w:rPr>
          <w:rFonts w:ascii="Times New Roman" w:hAnsi="Times New Roman" w:cs="Times New Roman"/>
          <w:szCs w:val="24"/>
        </w:rPr>
        <w:t> </w:t>
      </w:r>
      <w:r w:rsidRPr="00E005D6">
        <w:rPr>
          <w:rFonts w:ascii="Times New Roman" w:hAnsi="Times New Roman" w:cs="Times New Roman"/>
          <w:szCs w:val="24"/>
        </w:rPr>
        <w:t>Urz. UE L 376 z 27.12.2006, str. 36).</w:t>
      </w:r>
    </w:p>
    <w:p w14:paraId="5C907B14" w14:textId="6F8085A1" w:rsidR="008938E8" w:rsidRPr="00E005D6" w:rsidRDefault="008938E8" w:rsidP="006D25CB">
      <w:pPr>
        <w:pStyle w:val="ARTartustawynprozporzdzenia"/>
        <w:spacing w:before="100" w:beforeAutospacing="1" w:after="100" w:afterAutospacing="1"/>
        <w:ind w:firstLine="0"/>
        <w:rPr>
          <w:rFonts w:ascii="Times New Roman" w:hAnsi="Times New Roman" w:cs="Times New Roman"/>
          <w:szCs w:val="24"/>
        </w:rPr>
      </w:pPr>
      <w:r w:rsidRPr="00E005D6">
        <w:rPr>
          <w:rFonts w:ascii="Times New Roman" w:hAnsi="Times New Roman" w:cs="Times New Roman"/>
          <w:szCs w:val="24"/>
        </w:rPr>
        <w:t xml:space="preserve">Projekt nie dotyczy majątkowych praw </w:t>
      </w:r>
      <w:r w:rsidR="005C1B0C" w:rsidRPr="00E005D6">
        <w:rPr>
          <w:rFonts w:ascii="Times New Roman" w:hAnsi="Times New Roman" w:cs="Times New Roman"/>
          <w:szCs w:val="24"/>
        </w:rPr>
        <w:t>przedsiębiorców, lecz dotyczy</w:t>
      </w:r>
      <w:r w:rsidRPr="00E005D6">
        <w:rPr>
          <w:rFonts w:ascii="Times New Roman" w:hAnsi="Times New Roman" w:cs="Times New Roman"/>
          <w:szCs w:val="24"/>
        </w:rPr>
        <w:t xml:space="preserve"> obowiązków przedsiębiorców wobec organów administracji publicznej, a</w:t>
      </w:r>
      <w:r w:rsidR="005C1B0C" w:rsidRPr="00E005D6">
        <w:rPr>
          <w:rFonts w:ascii="Times New Roman" w:hAnsi="Times New Roman" w:cs="Times New Roman"/>
          <w:szCs w:val="24"/>
        </w:rPr>
        <w:t xml:space="preserve"> w konsekwencji </w:t>
      </w:r>
      <w:r w:rsidR="006E6D6C" w:rsidRPr="00E005D6">
        <w:rPr>
          <w:rFonts w:ascii="Times New Roman" w:hAnsi="Times New Roman" w:cs="Times New Roman"/>
          <w:szCs w:val="24"/>
        </w:rPr>
        <w:t>potencjalnie wpływa</w:t>
      </w:r>
      <w:r w:rsidRPr="00E005D6">
        <w:rPr>
          <w:rFonts w:ascii="Times New Roman" w:hAnsi="Times New Roman" w:cs="Times New Roman"/>
          <w:szCs w:val="24"/>
        </w:rPr>
        <w:t xml:space="preserve"> na działalność podmiotów ją prowadzących, w tym na działalność </w:t>
      </w:r>
      <w:proofErr w:type="spellStart"/>
      <w:r w:rsidRPr="00E005D6">
        <w:rPr>
          <w:rFonts w:ascii="Times New Roman" w:hAnsi="Times New Roman" w:cs="Times New Roman"/>
          <w:szCs w:val="24"/>
        </w:rPr>
        <w:t>mikroprzedsiębiorców</w:t>
      </w:r>
      <w:proofErr w:type="spellEnd"/>
      <w:r w:rsidRPr="00E005D6">
        <w:rPr>
          <w:rFonts w:ascii="Times New Roman" w:hAnsi="Times New Roman" w:cs="Times New Roman"/>
          <w:szCs w:val="24"/>
        </w:rPr>
        <w:t xml:space="preserve"> oraz małych i</w:t>
      </w:r>
      <w:r w:rsidR="004F66D7">
        <w:rPr>
          <w:rFonts w:ascii="Times New Roman" w:hAnsi="Times New Roman" w:cs="Times New Roman"/>
          <w:szCs w:val="24"/>
        </w:rPr>
        <w:t xml:space="preserve"> </w:t>
      </w:r>
      <w:r w:rsidRPr="00E005D6">
        <w:rPr>
          <w:rFonts w:ascii="Times New Roman" w:hAnsi="Times New Roman" w:cs="Times New Roman"/>
          <w:szCs w:val="24"/>
        </w:rPr>
        <w:t>średnich przedsiębiorców.</w:t>
      </w:r>
    </w:p>
    <w:p w14:paraId="5F961D6C" w14:textId="3C66BBD4" w:rsidR="008938E8" w:rsidRPr="00E005D6" w:rsidRDefault="00EB7B37" w:rsidP="006D25CB">
      <w:pPr>
        <w:pStyle w:val="ARTartustawynprozporzdzenia"/>
        <w:spacing w:before="100" w:beforeAutospacing="1" w:after="100" w:afterAutospacing="1"/>
        <w:ind w:firstLine="0"/>
        <w:rPr>
          <w:rFonts w:ascii="Times New Roman" w:hAnsi="Times New Roman" w:cs="Times New Roman"/>
          <w:szCs w:val="24"/>
        </w:rPr>
      </w:pPr>
      <w:r w:rsidRPr="00E005D6">
        <w:rPr>
          <w:rFonts w:ascii="Times New Roman" w:hAnsi="Times New Roman" w:cs="Times New Roman"/>
          <w:szCs w:val="24"/>
        </w:rPr>
        <w:t>Przewiduje się, że projektowana ustawa wejdzie w życie z dnie</w:t>
      </w:r>
      <w:r w:rsidR="006E381D" w:rsidRPr="00E005D6">
        <w:rPr>
          <w:rFonts w:ascii="Times New Roman" w:hAnsi="Times New Roman" w:cs="Times New Roman"/>
          <w:szCs w:val="24"/>
        </w:rPr>
        <w:t>m</w:t>
      </w:r>
      <w:r w:rsidRPr="00E005D6">
        <w:rPr>
          <w:rFonts w:ascii="Times New Roman" w:hAnsi="Times New Roman" w:cs="Times New Roman"/>
          <w:szCs w:val="24"/>
        </w:rPr>
        <w:t xml:space="preserve"> następującym po dniu ogłoszenia. </w:t>
      </w:r>
      <w:r w:rsidR="008938E8" w:rsidRPr="00E005D6">
        <w:rPr>
          <w:rFonts w:ascii="Times New Roman" w:hAnsi="Times New Roman" w:cs="Times New Roman"/>
          <w:szCs w:val="24"/>
        </w:rPr>
        <w:t>W zakresie zmian dotyczących wydłużenia terminu</w:t>
      </w:r>
      <w:r w:rsidR="008938E8" w:rsidRPr="00E005D6">
        <w:rPr>
          <w:rFonts w:ascii="Times New Roman" w:hAnsi="Times New Roman" w:cs="Times New Roman"/>
        </w:rPr>
        <w:t xml:space="preserve"> </w:t>
      </w:r>
      <w:r w:rsidR="008938E8" w:rsidRPr="00E005D6">
        <w:rPr>
          <w:rFonts w:ascii="Times New Roman" w:hAnsi="Times New Roman" w:cs="Times New Roman"/>
          <w:szCs w:val="24"/>
        </w:rPr>
        <w:t>na przekazanie sprzedawcom energii elektrycznej informacji od przedsiębiorców z sektora mikro</w:t>
      </w:r>
      <w:r w:rsidR="00647C02">
        <w:rPr>
          <w:rFonts w:ascii="Times New Roman" w:hAnsi="Times New Roman" w:cs="Times New Roman"/>
          <w:szCs w:val="24"/>
        </w:rPr>
        <w:t>-</w:t>
      </w:r>
      <w:r w:rsidR="008938E8" w:rsidRPr="00E005D6">
        <w:rPr>
          <w:rFonts w:ascii="Times New Roman" w:hAnsi="Times New Roman" w:cs="Times New Roman"/>
          <w:szCs w:val="24"/>
        </w:rPr>
        <w:t xml:space="preserve">, małych i średnich przedsiębiorstw o wartości udzielonej im pomocy, z </w:t>
      </w:r>
      <w:r w:rsidRPr="00E005D6">
        <w:rPr>
          <w:rFonts w:ascii="Times New Roman" w:hAnsi="Times New Roman" w:cs="Times New Roman"/>
          <w:szCs w:val="24"/>
        </w:rPr>
        <w:t xml:space="preserve">dnia </w:t>
      </w:r>
      <w:r w:rsidR="008938E8" w:rsidRPr="00E005D6">
        <w:rPr>
          <w:rFonts w:ascii="Times New Roman" w:hAnsi="Times New Roman" w:cs="Times New Roman"/>
          <w:szCs w:val="24"/>
        </w:rPr>
        <w:t>30 czerwca 2025 r.</w:t>
      </w:r>
      <w:r w:rsidRPr="00E005D6">
        <w:rPr>
          <w:rFonts w:ascii="Times New Roman" w:hAnsi="Times New Roman" w:cs="Times New Roman"/>
          <w:szCs w:val="24"/>
        </w:rPr>
        <w:t xml:space="preserve"> na dzień 3</w:t>
      </w:r>
      <w:r w:rsidR="006E5451" w:rsidRPr="00E005D6">
        <w:rPr>
          <w:rFonts w:ascii="Times New Roman" w:hAnsi="Times New Roman" w:cs="Times New Roman"/>
          <w:szCs w:val="24"/>
        </w:rPr>
        <w:t>0</w:t>
      </w:r>
      <w:r w:rsidR="00282F74">
        <w:rPr>
          <w:rFonts w:ascii="Times New Roman" w:hAnsi="Times New Roman" w:cs="Times New Roman"/>
          <w:szCs w:val="24"/>
        </w:rPr>
        <w:t> </w:t>
      </w:r>
      <w:r w:rsidR="006E5451" w:rsidRPr="00E005D6">
        <w:rPr>
          <w:rFonts w:ascii="Times New Roman" w:hAnsi="Times New Roman" w:cs="Times New Roman"/>
          <w:szCs w:val="24"/>
        </w:rPr>
        <w:t>czerw</w:t>
      </w:r>
      <w:r w:rsidRPr="00E005D6">
        <w:rPr>
          <w:rFonts w:ascii="Times New Roman" w:hAnsi="Times New Roman" w:cs="Times New Roman"/>
          <w:szCs w:val="24"/>
        </w:rPr>
        <w:t>ca 2026 r.</w:t>
      </w:r>
      <w:r w:rsidR="008938E8" w:rsidRPr="00E005D6">
        <w:rPr>
          <w:rFonts w:ascii="Times New Roman" w:hAnsi="Times New Roman" w:cs="Times New Roman"/>
          <w:szCs w:val="24"/>
        </w:rPr>
        <w:t>, są one wyjątkowo korzystne dla przedsiębiorców, ponieważ pozwalają na złożeni</w:t>
      </w:r>
      <w:r w:rsidRPr="00E005D6">
        <w:rPr>
          <w:rFonts w:ascii="Times New Roman" w:hAnsi="Times New Roman" w:cs="Times New Roman"/>
          <w:szCs w:val="24"/>
        </w:rPr>
        <w:t>e</w:t>
      </w:r>
      <w:r w:rsidR="008938E8" w:rsidRPr="00E005D6">
        <w:rPr>
          <w:rFonts w:ascii="Times New Roman" w:hAnsi="Times New Roman" w:cs="Times New Roman"/>
          <w:szCs w:val="24"/>
        </w:rPr>
        <w:t xml:space="preserve"> formularza informacji o </w:t>
      </w:r>
      <w:r w:rsidR="006E381D" w:rsidRPr="00E005D6">
        <w:rPr>
          <w:rFonts w:ascii="Times New Roman" w:hAnsi="Times New Roman" w:cs="Times New Roman"/>
          <w:szCs w:val="24"/>
        </w:rPr>
        <w:t xml:space="preserve">udzielonej </w:t>
      </w:r>
      <w:r w:rsidR="008938E8" w:rsidRPr="00E005D6">
        <w:rPr>
          <w:rFonts w:ascii="Times New Roman" w:hAnsi="Times New Roman" w:cs="Times New Roman"/>
          <w:szCs w:val="24"/>
        </w:rPr>
        <w:t>pomocy do sprzedawców energii elektrycznej w</w:t>
      </w:r>
      <w:r w:rsidR="006D25CB">
        <w:rPr>
          <w:rFonts w:ascii="Times New Roman" w:hAnsi="Times New Roman" w:cs="Times New Roman"/>
          <w:szCs w:val="24"/>
        </w:rPr>
        <w:t> </w:t>
      </w:r>
      <w:r w:rsidR="008938E8" w:rsidRPr="00E005D6">
        <w:rPr>
          <w:rFonts w:ascii="Times New Roman" w:hAnsi="Times New Roman" w:cs="Times New Roman"/>
          <w:szCs w:val="24"/>
        </w:rPr>
        <w:t xml:space="preserve">dłuższym </w:t>
      </w:r>
      <w:r w:rsidR="006E6D6C" w:rsidRPr="00E005D6">
        <w:rPr>
          <w:rFonts w:ascii="Times New Roman" w:hAnsi="Times New Roman" w:cs="Times New Roman"/>
          <w:szCs w:val="24"/>
        </w:rPr>
        <w:t>okresie</w:t>
      </w:r>
      <w:r w:rsidR="008938E8" w:rsidRPr="00E005D6">
        <w:rPr>
          <w:rFonts w:ascii="Times New Roman" w:hAnsi="Times New Roman" w:cs="Times New Roman"/>
          <w:szCs w:val="24"/>
        </w:rPr>
        <w:t>.</w:t>
      </w:r>
      <w:r w:rsidRPr="00E005D6">
        <w:rPr>
          <w:rFonts w:ascii="Times New Roman" w:hAnsi="Times New Roman" w:cs="Times New Roman"/>
          <w:szCs w:val="24"/>
        </w:rPr>
        <w:t xml:space="preserve"> W związku z powyższym </w:t>
      </w:r>
      <w:r w:rsidR="006E381D" w:rsidRPr="00E005D6">
        <w:rPr>
          <w:rFonts w:ascii="Times New Roman" w:hAnsi="Times New Roman" w:cs="Times New Roman"/>
          <w:szCs w:val="24"/>
        </w:rPr>
        <w:t xml:space="preserve">jest </w:t>
      </w:r>
      <w:r w:rsidRPr="00E005D6">
        <w:rPr>
          <w:rFonts w:ascii="Times New Roman" w:hAnsi="Times New Roman" w:cs="Times New Roman"/>
          <w:szCs w:val="24"/>
        </w:rPr>
        <w:t>uzasadnione jak najszybsze wejście w życie projektowanej ustawy.</w:t>
      </w:r>
    </w:p>
    <w:p w14:paraId="1DBCE68C" w14:textId="77777777" w:rsidR="008938E8" w:rsidRPr="00E005D6" w:rsidRDefault="008938E8" w:rsidP="00E005D6">
      <w:pPr>
        <w:rPr>
          <w:rFonts w:cs="Times New Roman"/>
        </w:rPr>
      </w:pPr>
    </w:p>
    <w:sectPr w:rsidR="008938E8" w:rsidRPr="00E005D6" w:rsidSect="00634B62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28DD" w14:textId="77777777" w:rsidR="00A22ED1" w:rsidRDefault="00A22ED1" w:rsidP="00634B62">
      <w:pPr>
        <w:spacing w:line="240" w:lineRule="auto"/>
      </w:pPr>
      <w:r>
        <w:separator/>
      </w:r>
    </w:p>
  </w:endnote>
  <w:endnote w:type="continuationSeparator" w:id="0">
    <w:p w14:paraId="25D12AC0" w14:textId="77777777" w:rsidR="00A22ED1" w:rsidRDefault="00A22ED1" w:rsidP="00634B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74082"/>
      <w:docPartObj>
        <w:docPartGallery w:val="Page Numbers (Bottom of Page)"/>
        <w:docPartUnique/>
      </w:docPartObj>
    </w:sdtPr>
    <w:sdtEndPr/>
    <w:sdtContent>
      <w:p w14:paraId="175205F5" w14:textId="3A657FFC" w:rsidR="00634B62" w:rsidRDefault="00634B62" w:rsidP="00634B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31262" w14:textId="77777777" w:rsidR="00A22ED1" w:rsidRDefault="00A22ED1" w:rsidP="00634B62">
      <w:pPr>
        <w:spacing w:line="240" w:lineRule="auto"/>
      </w:pPr>
      <w:r>
        <w:separator/>
      </w:r>
    </w:p>
  </w:footnote>
  <w:footnote w:type="continuationSeparator" w:id="0">
    <w:p w14:paraId="58B12523" w14:textId="77777777" w:rsidR="00A22ED1" w:rsidRDefault="00A22ED1" w:rsidP="00634B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A1CEA"/>
    <w:multiLevelType w:val="hybridMultilevel"/>
    <w:tmpl w:val="79042F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475B98"/>
    <w:multiLevelType w:val="hybridMultilevel"/>
    <w:tmpl w:val="58B217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4B6E71"/>
    <w:multiLevelType w:val="hybridMultilevel"/>
    <w:tmpl w:val="29367D36"/>
    <w:lvl w:ilvl="0" w:tplc="17547A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768BC"/>
    <w:multiLevelType w:val="hybridMultilevel"/>
    <w:tmpl w:val="3CE21C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4049E0"/>
    <w:multiLevelType w:val="hybridMultilevel"/>
    <w:tmpl w:val="2B02396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7381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00871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0829543">
    <w:abstractNumId w:val="0"/>
  </w:num>
  <w:num w:numId="4" w16cid:durableId="1045643855">
    <w:abstractNumId w:val="4"/>
  </w:num>
  <w:num w:numId="5" w16cid:durableId="1028683474">
    <w:abstractNumId w:val="3"/>
  </w:num>
  <w:num w:numId="6" w16cid:durableId="1360012354">
    <w:abstractNumId w:val="1"/>
  </w:num>
  <w:num w:numId="7" w16cid:durableId="943612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E8"/>
    <w:rsid w:val="00005C98"/>
    <w:rsid w:val="0004385A"/>
    <w:rsid w:val="00057249"/>
    <w:rsid w:val="000746CB"/>
    <w:rsid w:val="000A505A"/>
    <w:rsid w:val="000D1D54"/>
    <w:rsid w:val="000D4576"/>
    <w:rsid w:val="001040BE"/>
    <w:rsid w:val="001071D3"/>
    <w:rsid w:val="00186348"/>
    <w:rsid w:val="001D540D"/>
    <w:rsid w:val="001E4B06"/>
    <w:rsid w:val="001E7603"/>
    <w:rsid w:val="001F2AD4"/>
    <w:rsid w:val="001F7025"/>
    <w:rsid w:val="00207037"/>
    <w:rsid w:val="002532CE"/>
    <w:rsid w:val="002753AE"/>
    <w:rsid w:val="0027754C"/>
    <w:rsid w:val="00282F74"/>
    <w:rsid w:val="00316ABD"/>
    <w:rsid w:val="00324A86"/>
    <w:rsid w:val="00332F58"/>
    <w:rsid w:val="0035109D"/>
    <w:rsid w:val="00352E89"/>
    <w:rsid w:val="00376643"/>
    <w:rsid w:val="003C644D"/>
    <w:rsid w:val="003C738F"/>
    <w:rsid w:val="003E176C"/>
    <w:rsid w:val="00421DA0"/>
    <w:rsid w:val="00486885"/>
    <w:rsid w:val="004B6D34"/>
    <w:rsid w:val="004C22AC"/>
    <w:rsid w:val="004D1960"/>
    <w:rsid w:val="004D6C00"/>
    <w:rsid w:val="004E4739"/>
    <w:rsid w:val="004F66D7"/>
    <w:rsid w:val="00506EDB"/>
    <w:rsid w:val="005755EE"/>
    <w:rsid w:val="00593BD6"/>
    <w:rsid w:val="005C1B0C"/>
    <w:rsid w:val="005E3B16"/>
    <w:rsid w:val="00634B62"/>
    <w:rsid w:val="00641E9F"/>
    <w:rsid w:val="00647C02"/>
    <w:rsid w:val="00676E18"/>
    <w:rsid w:val="006842A2"/>
    <w:rsid w:val="006B4C59"/>
    <w:rsid w:val="006D0CA9"/>
    <w:rsid w:val="006D25CB"/>
    <w:rsid w:val="006E1A1D"/>
    <w:rsid w:val="006E381D"/>
    <w:rsid w:val="006E5451"/>
    <w:rsid w:val="006E6D6C"/>
    <w:rsid w:val="00704A97"/>
    <w:rsid w:val="007052D9"/>
    <w:rsid w:val="00732B49"/>
    <w:rsid w:val="007B18DA"/>
    <w:rsid w:val="007C6777"/>
    <w:rsid w:val="007F79AC"/>
    <w:rsid w:val="0083263B"/>
    <w:rsid w:val="00847B0D"/>
    <w:rsid w:val="008605AF"/>
    <w:rsid w:val="008925AF"/>
    <w:rsid w:val="008938E8"/>
    <w:rsid w:val="008C306D"/>
    <w:rsid w:val="008E3718"/>
    <w:rsid w:val="008E667D"/>
    <w:rsid w:val="00914D2C"/>
    <w:rsid w:val="00947F1E"/>
    <w:rsid w:val="009A3F9C"/>
    <w:rsid w:val="009B2403"/>
    <w:rsid w:val="00A22ED1"/>
    <w:rsid w:val="00A26F2A"/>
    <w:rsid w:val="00A5775E"/>
    <w:rsid w:val="00AD54FB"/>
    <w:rsid w:val="00AD7444"/>
    <w:rsid w:val="00AE20BF"/>
    <w:rsid w:val="00B02382"/>
    <w:rsid w:val="00B544F2"/>
    <w:rsid w:val="00B55873"/>
    <w:rsid w:val="00B76342"/>
    <w:rsid w:val="00BB18F9"/>
    <w:rsid w:val="00BD11B9"/>
    <w:rsid w:val="00C15344"/>
    <w:rsid w:val="00C21082"/>
    <w:rsid w:val="00C4507E"/>
    <w:rsid w:val="00C7770E"/>
    <w:rsid w:val="00CB5C65"/>
    <w:rsid w:val="00CC676B"/>
    <w:rsid w:val="00CD2782"/>
    <w:rsid w:val="00D15674"/>
    <w:rsid w:val="00D2557D"/>
    <w:rsid w:val="00D44003"/>
    <w:rsid w:val="00D46B36"/>
    <w:rsid w:val="00E005D6"/>
    <w:rsid w:val="00E27D18"/>
    <w:rsid w:val="00E65693"/>
    <w:rsid w:val="00E73E8F"/>
    <w:rsid w:val="00EB7B37"/>
    <w:rsid w:val="00FA775C"/>
    <w:rsid w:val="00FE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735D"/>
  <w15:chartTrackingRefBased/>
  <w15:docId w15:val="{CBFD0295-E055-492C-B92E-E17CEC43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8E8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4"/>
    <w:qFormat/>
    <w:rsid w:val="008938E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938E8"/>
    <w:rPr>
      <w:bCs/>
    </w:rPr>
  </w:style>
  <w:style w:type="character" w:customStyle="1" w:styleId="articletitle">
    <w:name w:val="articletitle"/>
    <w:basedOn w:val="Domylnaczcionkaakapitu"/>
    <w:rsid w:val="00EB7B37"/>
  </w:style>
  <w:style w:type="paragraph" w:customStyle="1" w:styleId="ZPKTzmpktartykuempunktem">
    <w:name w:val="Z/PKT – zm. pkt artykułem (punktem)"/>
    <w:basedOn w:val="Normalny"/>
    <w:uiPriority w:val="31"/>
    <w:qFormat/>
    <w:rsid w:val="008E667D"/>
    <w:pPr>
      <w:widowControl/>
      <w:autoSpaceDE/>
      <w:autoSpaceDN/>
      <w:adjustRightInd/>
      <w:ind w:left="1020" w:hanging="510"/>
      <w:jc w:val="both"/>
    </w:pPr>
    <w:rPr>
      <w:rFonts w:ascii="Times" w:hAnsi="Times"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66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667D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667D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E3718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4D72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paragraph" w:customStyle="1" w:styleId="USTustnpkodeksu">
    <w:name w:val="UST(§) – ust. (§ np. kodeksu)"/>
    <w:basedOn w:val="Normalny"/>
    <w:uiPriority w:val="12"/>
    <w:qFormat/>
    <w:rsid w:val="00FE4D72"/>
    <w:pPr>
      <w:widowControl/>
      <w:suppressAutoHyphens/>
      <w:ind w:firstLine="510"/>
      <w:jc w:val="both"/>
    </w:pPr>
    <w:rPr>
      <w:rFonts w:ascii="Times" w:hAnsi="Times"/>
      <w:bCs/>
    </w:rPr>
  </w:style>
  <w:style w:type="paragraph" w:customStyle="1" w:styleId="PKTpunkt">
    <w:name w:val="PKT – punkt"/>
    <w:uiPriority w:val="13"/>
    <w:qFormat/>
    <w:rsid w:val="00FE4D7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9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9AC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4B6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4B62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4B6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4B62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1639</Words>
  <Characters>9839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Rzadowe Centrum Legislacji</Company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Sokołowska Agnieszka</dc:creator>
  <cp:keywords/>
  <dc:description/>
  <cp:lastModifiedBy>Binkowska Joanna</cp:lastModifiedBy>
  <cp:revision>3</cp:revision>
  <dcterms:created xsi:type="dcterms:W3CDTF">2025-11-27T13:47:00Z</dcterms:created>
  <dcterms:modified xsi:type="dcterms:W3CDTF">2025-11-27T13:48:00Z</dcterms:modified>
</cp:coreProperties>
</file>