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17A71" w14:textId="77777777" w:rsidR="00A01971" w:rsidRPr="00B308B7" w:rsidRDefault="00A01971" w:rsidP="00B308B7">
      <w:pPr>
        <w:keepNext/>
        <w:suppressAutoHyphens/>
        <w:spacing w:after="240" w:line="360" w:lineRule="auto"/>
        <w:jc w:val="center"/>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UZASADNIENIE</w:t>
      </w:r>
    </w:p>
    <w:p w14:paraId="0AE32B61" w14:textId="02BBE0B6"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 xml:space="preserve">Ustawa z dnia 30 sierpnia 2019 r. o zmianie ustawy </w:t>
      </w:r>
      <w:r>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Kodeks spółek handlowych oraz niektórych innych ustaw (Dz. U. z 2019 r. poz. 1798</w:t>
      </w:r>
      <w:r w:rsidR="00AC391B">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z </w:t>
      </w:r>
      <w:proofErr w:type="spellStart"/>
      <w:r w:rsidRPr="00B308B7">
        <w:rPr>
          <w:rFonts w:ascii="Times New Roman" w:eastAsia="Times New Roman" w:hAnsi="Times New Roman" w:cs="Times New Roman"/>
          <w:bCs/>
          <w:kern w:val="0"/>
          <w:sz w:val="24"/>
          <w:szCs w:val="24"/>
          <w:lang w:eastAsia="pl-PL"/>
          <w14:ligatures w14:val="none"/>
        </w:rPr>
        <w:t>późn</w:t>
      </w:r>
      <w:proofErr w:type="spellEnd"/>
      <w:r w:rsidRPr="00B308B7">
        <w:rPr>
          <w:rFonts w:ascii="Times New Roman" w:eastAsia="Times New Roman" w:hAnsi="Times New Roman" w:cs="Times New Roman"/>
          <w:bCs/>
          <w:kern w:val="0"/>
          <w:sz w:val="24"/>
          <w:szCs w:val="24"/>
          <w:lang w:eastAsia="pl-PL"/>
          <w14:ligatures w14:val="none"/>
        </w:rPr>
        <w:t>. zm.) wprowadziła z dniem 1</w:t>
      </w:r>
      <w:r w:rsidR="00AC391B">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marca 2021 r. powszechną i obligatoryjną dematerializację wszystkich akcji spółek niepublicznych oraz obowiązek zarejestrowania tych akcji w depozycie papierów wartościowych albo w</w:t>
      </w:r>
      <w:r w:rsidR="00AC391B">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rejestrze akcjonariuszy prowadzonym przez podmiot uprawniony do prowadzenia rachunków papierów wartościowych.</w:t>
      </w:r>
    </w:p>
    <w:p w14:paraId="4803D20C" w14:textId="5546AC6D"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bookmarkStart w:id="0" w:name="_Hlk146184978"/>
      <w:bookmarkStart w:id="1" w:name="_Hlk146181968"/>
      <w:r w:rsidRPr="00B308B7">
        <w:rPr>
          <w:rFonts w:ascii="Times New Roman" w:eastAsia="Times New Roman" w:hAnsi="Times New Roman" w:cs="Times New Roman"/>
          <w:bCs/>
          <w:kern w:val="0"/>
          <w:sz w:val="24"/>
          <w:szCs w:val="24"/>
          <w:lang w:eastAsia="pl-PL"/>
          <w14:ligatures w14:val="none"/>
        </w:rPr>
        <w:t xml:space="preserve">Sukcesem ustawy nowelizującej z 2019 r. było wprowadzenie szeregu korzystnych i pożądanych zmian, które w sposób pozytywny zmodyfikowały obrót akcjami spółek niepublicznych. Reforma pozwoliła na stworzenie jednolitych ram prawnych autonomicznego reżimu obrotu akcjami spółek poza obrotem na rynku zorganizowanym, a także ograniczyła zakres </w:t>
      </w:r>
      <w:proofErr w:type="spellStart"/>
      <w:r w:rsidRPr="00B308B7">
        <w:rPr>
          <w:rFonts w:ascii="Times New Roman" w:eastAsia="Times New Roman" w:hAnsi="Times New Roman" w:cs="Times New Roman"/>
          <w:bCs/>
          <w:kern w:val="0"/>
          <w:sz w:val="24"/>
          <w:szCs w:val="24"/>
          <w:lang w:eastAsia="pl-PL"/>
          <w14:ligatures w14:val="none"/>
        </w:rPr>
        <w:t>ryzyk</w:t>
      </w:r>
      <w:proofErr w:type="spellEnd"/>
      <w:r w:rsidRPr="00B308B7">
        <w:rPr>
          <w:rFonts w:ascii="Times New Roman" w:eastAsia="Times New Roman" w:hAnsi="Times New Roman" w:cs="Times New Roman"/>
          <w:bCs/>
          <w:kern w:val="0"/>
          <w:sz w:val="24"/>
          <w:szCs w:val="24"/>
          <w:lang w:eastAsia="pl-PL"/>
          <w14:ligatures w14:val="none"/>
        </w:rPr>
        <w:t xml:space="preserve"> związanych z rozporządzaniem papierami wartościowymi. </w:t>
      </w:r>
      <w:bookmarkEnd w:id="0"/>
      <w:bookmarkEnd w:id="1"/>
      <w:r w:rsidRPr="00B308B7">
        <w:rPr>
          <w:rFonts w:ascii="Times New Roman" w:eastAsia="Times New Roman" w:hAnsi="Times New Roman" w:cs="Times New Roman"/>
          <w:bCs/>
          <w:kern w:val="0"/>
          <w:sz w:val="24"/>
          <w:szCs w:val="24"/>
          <w:lang w:eastAsia="pl-PL"/>
          <w14:ligatures w14:val="none"/>
        </w:rPr>
        <w:t>Cele</w:t>
      </w:r>
      <w:r w:rsidR="00AC391B">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jakie zakładał prawodawca</w:t>
      </w:r>
      <w:r w:rsidR="00AC391B">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niewątpliwie zostały osiągnięte. Zwiększone zostało bowiem bezpieczeństwo obrotu akcjami spółek niepublicznych, przy jednoczesnym uproszczeniu tego obrotu w</w:t>
      </w:r>
      <w:r w:rsidR="00AC391B">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jednolitych ramach prawnych.</w:t>
      </w:r>
    </w:p>
    <w:p w14:paraId="559DFDD6"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 xml:space="preserve">Doświadczenia w stosowaniu regulacji w praktyce wskazują jednak, że zasadne jest dalsze usprawnienie wdrożonych rozwiązań w celu udoskonalenia istniejących instytucji prawnych. </w:t>
      </w:r>
    </w:p>
    <w:p w14:paraId="291FCEAA" w14:textId="1351C3B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Głównym celem projektu ustawy jest zwiększenie bezpieczeństwa obrotu prawno</w:t>
      </w:r>
      <w:r w:rsidR="00AC391B">
        <w:rPr>
          <w:rFonts w:ascii="Times New Roman" w:eastAsia="Times New Roman" w:hAnsi="Times New Roman" w:cs="Times New Roman"/>
          <w:bCs/>
          <w:kern w:val="0"/>
          <w:sz w:val="24"/>
          <w:szCs w:val="24"/>
          <w:lang w:eastAsia="pl-PL"/>
          <w14:ligatures w14:val="none"/>
        </w:rPr>
        <w:noBreakHyphen/>
      </w:r>
      <w:r w:rsidRPr="00B308B7">
        <w:rPr>
          <w:rFonts w:ascii="Times New Roman" w:eastAsia="Times New Roman" w:hAnsi="Times New Roman" w:cs="Times New Roman"/>
          <w:bCs/>
          <w:kern w:val="0"/>
          <w:sz w:val="24"/>
          <w:szCs w:val="24"/>
          <w:lang w:eastAsia="pl-PL"/>
          <w14:ligatures w14:val="none"/>
        </w:rPr>
        <w:t xml:space="preserve">gospodarczego, a także dalsze dostosowanie obowiązujących regulacji do zmian będących skutkiem powszechnej dematerializacji akcji. Przede wszystkim priorytetem dla wprowadzanych rozwiązań jest zwiększenie obowiązków informacyjnych, które niewątpliwie zwiększą poziom ochrony akcjonariuszy oraz pozostałych uczestników obrotu, a także usprawnią postępowanie zmierzające do dokonania wpisu w rejestrze akcjonariuszy. </w:t>
      </w:r>
    </w:p>
    <w:p w14:paraId="44481404" w14:textId="7633DC62"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 xml:space="preserve">W celu zapewnienia prawidłowego dostępu do informacji o podmiocie prowadzącym rejestr akcjonariuszy spółki albo rejestrującym akcje spółki w depozycie papierów wartościowych, projekt przewiduje ujawnianie tej informacji w Krajowym Rejestrze Sądowym. Przyjęte rozwiązanie umożliwia nie tylko poszerzenie źródeł niezbędnych informacji dla akcjonariuszy spółek, ale również dla podmiotów zainteresowanych wpisem do rejestru akcjonariuszy </w:t>
      </w:r>
      <w:r>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nabywców, zastawników, użytkowników akcji, którym ustawa przyznaje uprawnienie do złożenia żądania o wpis w rejestrze akcjonariuszy (art. 328</w:t>
      </w:r>
      <w:r w:rsidRPr="00B308B7">
        <w:rPr>
          <w:rFonts w:ascii="Times New Roman" w:eastAsia="Times New Roman" w:hAnsi="Times New Roman" w:cs="Times New Roman"/>
          <w:bCs/>
          <w:kern w:val="0"/>
          <w:sz w:val="24"/>
          <w:szCs w:val="24"/>
          <w:vertAlign w:val="superscript"/>
          <w:lang w:eastAsia="pl-PL"/>
          <w14:ligatures w14:val="none"/>
        </w:rPr>
        <w:t>4</w:t>
      </w:r>
      <w:r w:rsidRPr="00B308B7">
        <w:rPr>
          <w:rFonts w:ascii="Times New Roman" w:eastAsia="Times New Roman" w:hAnsi="Times New Roman" w:cs="Times New Roman"/>
          <w:bCs/>
          <w:kern w:val="0"/>
          <w:sz w:val="24"/>
          <w:szCs w:val="24"/>
          <w:lang w:eastAsia="pl-PL"/>
          <w14:ligatures w14:val="none"/>
        </w:rPr>
        <w:t xml:space="preserve"> § 1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czy też organów egzekucyjnych zgłaszających zajęcie praw majątkowych akcjonariusza (art. 328</w:t>
      </w:r>
      <w:r w:rsidRPr="00B308B7">
        <w:rPr>
          <w:rFonts w:ascii="Times New Roman" w:eastAsia="Times New Roman" w:hAnsi="Times New Roman" w:cs="Times New Roman"/>
          <w:bCs/>
          <w:kern w:val="0"/>
          <w:sz w:val="24"/>
          <w:szCs w:val="24"/>
          <w:vertAlign w:val="superscript"/>
          <w:lang w:eastAsia="pl-PL"/>
          <w14:ligatures w14:val="none"/>
        </w:rPr>
        <w:t>4</w:t>
      </w:r>
      <w:r w:rsidRPr="00B308B7">
        <w:rPr>
          <w:rFonts w:ascii="Times New Roman" w:eastAsia="Times New Roman" w:hAnsi="Times New Roman" w:cs="Times New Roman"/>
          <w:bCs/>
          <w:kern w:val="0"/>
          <w:sz w:val="24"/>
          <w:szCs w:val="24"/>
          <w:lang w:eastAsia="pl-PL"/>
          <w14:ligatures w14:val="none"/>
        </w:rPr>
        <w:t xml:space="preserve"> § 2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xml:space="preserve">.). </w:t>
      </w:r>
    </w:p>
    <w:p w14:paraId="1C34C981" w14:textId="4B61A8AE"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lastRenderedPageBreak/>
        <w:t>Przewidziane rozwiązanie zwiększa jednocześnie bezpieczeństwo obrotu prawno</w:t>
      </w:r>
      <w:r w:rsidR="00AC391B">
        <w:rPr>
          <w:rFonts w:ascii="Times New Roman" w:eastAsia="Times New Roman" w:hAnsi="Times New Roman" w:cs="Times New Roman"/>
          <w:bCs/>
          <w:kern w:val="0"/>
          <w:sz w:val="24"/>
          <w:szCs w:val="24"/>
          <w:lang w:eastAsia="pl-PL"/>
          <w14:ligatures w14:val="none"/>
        </w:rPr>
        <w:noBreakHyphen/>
      </w:r>
      <w:r w:rsidRPr="00B308B7">
        <w:rPr>
          <w:rFonts w:ascii="Times New Roman" w:eastAsia="Times New Roman" w:hAnsi="Times New Roman" w:cs="Times New Roman"/>
          <w:bCs/>
          <w:kern w:val="0"/>
          <w:sz w:val="24"/>
          <w:szCs w:val="24"/>
          <w:lang w:eastAsia="pl-PL"/>
          <w14:ligatures w14:val="none"/>
        </w:rPr>
        <w:t>gospodarczego. Obecnie nie wszystkie spółki wykonały nałożony na nie obowiązek rejestracji akcji w rejestrze akcjonariuszy lub depozycie papierów wartościowych. Zdarzały się także przypadki zawarcia umowy o prowadzenie rejestru akcjonariuszy bez przekazania niezbędnych dokumentów umożliwiających założenie tego rejestru. Projekt zakłada więc nałożenie na zarządy spółek obowiązku zgłoszenia do sądu rejestrowego zawarcia umowy o</w:t>
      </w:r>
      <w:r w:rsidR="00AC391B">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 xml:space="preserve">prowadzenie rejestru akcjonariuszy z jednoczesnym złożeniem oświadczenia o zawarciu umowy, podpisanego przez zarząd spółki (art. 1 pkt 2 lit. a i </w:t>
      </w:r>
      <w:r w:rsidR="00F44336">
        <w:rPr>
          <w:rFonts w:ascii="Times New Roman" w:eastAsia="Times New Roman" w:hAnsi="Times New Roman" w:cs="Times New Roman"/>
          <w:bCs/>
          <w:kern w:val="0"/>
          <w:sz w:val="24"/>
          <w:szCs w:val="24"/>
          <w:lang w:eastAsia="pl-PL"/>
          <w14:ligatures w14:val="none"/>
        </w:rPr>
        <w:t xml:space="preserve">pkt </w:t>
      </w:r>
      <w:r w:rsidR="0004784F">
        <w:rPr>
          <w:rFonts w:ascii="Times New Roman" w:eastAsia="Times New Roman" w:hAnsi="Times New Roman" w:cs="Times New Roman"/>
          <w:bCs/>
          <w:kern w:val="0"/>
          <w:sz w:val="24"/>
          <w:szCs w:val="24"/>
          <w:lang w:eastAsia="pl-PL"/>
          <w14:ligatures w14:val="none"/>
        </w:rPr>
        <w:t>8</w:t>
      </w:r>
      <w:r w:rsidRPr="00B308B7">
        <w:rPr>
          <w:rFonts w:ascii="Times New Roman" w:eastAsia="Times New Roman" w:hAnsi="Times New Roman" w:cs="Times New Roman"/>
          <w:bCs/>
          <w:kern w:val="0"/>
          <w:sz w:val="24"/>
          <w:szCs w:val="24"/>
          <w:lang w:eastAsia="pl-PL"/>
          <w14:ligatures w14:val="none"/>
        </w:rPr>
        <w:t xml:space="preserve"> lit. a projektu).</w:t>
      </w:r>
    </w:p>
    <w:p w14:paraId="30230A7E" w14:textId="5EC85FDC"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Dzięki powiązaniu obowiązku rejestracji akcji z obowiązkiem wpisu do Krajowego Rejestru Sądowego możliwe będzie podjęcie czynności nadzorczych przez sąd rejestrowy w przypadku zaniechania wykonania obowiązku przez osoby do tego zobowiązane. Na podstawie art. 47 ustawy z dnia 20 sierpnia 1997 r. o Krajowym Rejestrze Sądowym (Dz. U. z 2025 r. poz. 869) podmioty wpisane do rejestru przedsiębiorców Krajowego Rejestru Sądowego zobowiązane są do zgłaszania danych wskazanych w art. 38 pkt 1 i 2a</w:t>
      </w:r>
      <w:r>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15, art. 39, art. 40 oraz art. 44 powołanej ustawy. W myśl art. 22 ustawy o Krajowym Rejestrze Sądowym wniosek o wpis do rejestru powinien być złożony nie później niż w terminie 7 dni od dnia zdarzenia uzasadniającego dokonanie wpisu, chyba że przepis szczególny stanowi inaczej. W przypadku uchybienia terminowi sąd rejestrowy na mocy art. 24 ust. 1 powołanej ustawy będzie uprawniony do wszczęcia postępowania przymuszającego do złożenia wniosku o wpis wraz z dokumentami stanowiącymi podstawę wpisu. Niewykonanie obowiązku w określonym przez sąd rejestrowy terminie skutkuje nałożeniem grzywny na podmioty wskazane w treści postanowienia. </w:t>
      </w:r>
    </w:p>
    <w:p w14:paraId="4B565931"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 celu wzmocnienia regulacji służących zapewnieniu ciągłości rejestracji akcji spółek niepublicznych projekt zakłada dodatkowo, że w przypadku wygaśnięcia umowy o prowadzenie rejestru akcjonariuszy albo o rejestrację akcji w depozycie papierów wartościowych, podmiot prowadzący rejestr akcjonariuszy albo rejestrację akcji w depozycie zobowiązany jest do zgłoszenia tego faktu do sądu rejestrowego w terminie siedmiu dni od dnia wygaśnięcia umowy (art. 1 pkt 2 lit. b oraz pkt 8 lit. b). Na podstawie zgłoszenia i przedłożonych dokumentów sąd rejestrowy będzie mógł wszcząć postępowanie przymuszające zmierzające do złożenia wniosku o zmianę danych ujawnionych w Krajowym Rejestrze Sądowym w celu wpisania aktualnych danych o podmiocie rejestrującym akcje. Sąd rejestrowy na podstawie art. 24 ust. 6 ustawy o Krajowym Rejestrze Sądowym będzie mógł także wykreślić z rejestru przedsiębiorców dane niezgodne z rzeczywistym stanem rzeczy z urzędu, jeżeli zostaną wypełnione przesłanki wskazanego przepisu prawa.</w:t>
      </w:r>
    </w:p>
    <w:p w14:paraId="4AA88956" w14:textId="03AEFE7B"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lastRenderedPageBreak/>
        <w:t>Brak wpisu w Krajowym Rejestrze Sądowym informacji o podmiocie prowadzącym rejestr akcjonariuszy lub rejestrację akcji w depozycie papierów wartościowych pozwoli na szybką identyfikację spółek, które nie wykonują obowiązków związanych z dematerializacją akcji</w:t>
      </w:r>
      <w:r w:rsidR="00704DF8">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i</w:t>
      </w:r>
      <w:r w:rsidR="00704DF8">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 xml:space="preserve">podjęcie czynności nie tylko przez sąd rejestrowy, ale również inne podmioty (np. akcjonariuszy spółek). W przypadku gdy podmiot posiada wiedzę, że spółka nie prowadzi rejestru akcjonariuszy, może zgłosić tę okoliczność do sądu rejestrowego w celu nałożenia na osoby zobowiązane grzywny, o której mowa w art. 594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Dodatkowo możliwa będzie identyfikacja tzw. „martwych podmiotów”, co pozwoli na wszczęcie postępowania o rozwiązanie podmiotu bez przeprowadzania postępowania likwidacyjnego w przypadkach wskazanych w art. 25a ustawy o Krajowym Rejestrze Sądowym.</w:t>
      </w:r>
    </w:p>
    <w:p w14:paraId="3EA98E98"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Wobec tego, że zapisy w rejestrze akcjonariuszy stanowią dowód przysługiwania akcjonariuszowi akcji, konieczne jest nie tylko zapewnienie dostępu do tych informacji w trakcie trwania spółki, ale również po jej wykreśleniu z Krajowego Rejestru Sądowego, w celu umożliwienia uzyskania informacji zgromadzonych w rejestrze przez odpowiedni okres.</w:t>
      </w:r>
    </w:p>
    <w:p w14:paraId="09D03BB5" w14:textId="2A71148E"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Przykładowo można wskazać sytuację, gdy po wykreśleniu spółki z Krajowego Rejestru Sądowego ujawni się majątek, który nie został objęty likwidacją. W celu zapobieżenia negatywnym następstwom takiej sytuacji prawodawca wprowadził regulację art. 25e ustawy o Krajowym Rejestrze Sądowym, określającą sposób postępowania z takim majątkiem. Przepis art. 25e ust. 1 powołanej ustawy stanowi, że Skarb Państwa nabywa nieodpłatnie z mocy prawa mienie pozostałe po wykreślonym z rejestru podmiocie „bez względu na przyczynę wykreślenia”. Jednocześnie ustawodawca przyznał m.in. wspólnikom spółki prawo do dochodzenia od Skarbu Państwa roszczeń. W przypadku wystąpienia przez akcjonariusza z takim żądaniem konieczne byłoby wykazanie statusu wspólnika spółki. W związku z tym, że wpisy do rejestru akcjonariuszy mają co do zasady charakter konstytutywny, dostęp do tego rejestru byłby niewątpliwie konieczny.</w:t>
      </w:r>
    </w:p>
    <w:p w14:paraId="148F441B" w14:textId="08444495"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Dostęp do informacji zgromadzonych w rejestrze akcjonariuszy, a także dokumentów stanowiących podstawę wpisu w tym rejestrze, po utracie bytu prawnego przez spółkę uzasadniony jest również w przypadku istnienia sporów dotyczących np. przejścia własności akcji. Zgodnie z regulacją art. 300</w:t>
      </w:r>
      <w:r w:rsidRPr="00B308B7">
        <w:rPr>
          <w:rFonts w:ascii="Times New Roman" w:eastAsia="Times New Roman" w:hAnsi="Times New Roman" w:cs="Times New Roman"/>
          <w:bCs/>
          <w:kern w:val="0"/>
          <w:sz w:val="24"/>
          <w:szCs w:val="24"/>
          <w:vertAlign w:val="superscript"/>
          <w:lang w:eastAsia="pl-PL"/>
          <w14:ligatures w14:val="none"/>
        </w:rPr>
        <w:t>34</w:t>
      </w:r>
      <w:r w:rsidRPr="00B308B7">
        <w:rPr>
          <w:rFonts w:ascii="Times New Roman" w:eastAsia="Times New Roman" w:hAnsi="Times New Roman" w:cs="Times New Roman"/>
          <w:bCs/>
          <w:kern w:val="0"/>
          <w:sz w:val="24"/>
          <w:szCs w:val="24"/>
          <w:lang w:eastAsia="pl-PL"/>
          <w14:ligatures w14:val="none"/>
        </w:rPr>
        <w:t xml:space="preserve"> § 3 oraz </w:t>
      </w:r>
      <w:r w:rsidR="00611B36">
        <w:rPr>
          <w:rFonts w:ascii="Times New Roman" w:eastAsia="Times New Roman" w:hAnsi="Times New Roman" w:cs="Times New Roman"/>
          <w:bCs/>
          <w:kern w:val="0"/>
          <w:sz w:val="24"/>
          <w:szCs w:val="24"/>
          <w:lang w:eastAsia="pl-PL"/>
          <w14:ligatures w14:val="none"/>
        </w:rPr>
        <w:t xml:space="preserve">art. </w:t>
      </w:r>
      <w:r w:rsidRPr="00B308B7">
        <w:rPr>
          <w:rFonts w:ascii="Times New Roman" w:eastAsia="Times New Roman" w:hAnsi="Times New Roman" w:cs="Times New Roman"/>
          <w:bCs/>
          <w:kern w:val="0"/>
          <w:sz w:val="24"/>
          <w:szCs w:val="24"/>
          <w:lang w:eastAsia="pl-PL"/>
          <w14:ligatures w14:val="none"/>
        </w:rPr>
        <w:t>328</w:t>
      </w:r>
      <w:r w:rsidRPr="00B308B7">
        <w:rPr>
          <w:rFonts w:ascii="Times New Roman" w:eastAsia="Times New Roman" w:hAnsi="Times New Roman" w:cs="Times New Roman"/>
          <w:bCs/>
          <w:kern w:val="0"/>
          <w:sz w:val="24"/>
          <w:szCs w:val="24"/>
          <w:vertAlign w:val="superscript"/>
          <w:lang w:eastAsia="pl-PL"/>
          <w14:ligatures w14:val="none"/>
        </w:rPr>
        <w:t>4</w:t>
      </w:r>
      <w:r w:rsidRPr="00B308B7">
        <w:rPr>
          <w:rFonts w:ascii="Times New Roman" w:eastAsia="Times New Roman" w:hAnsi="Times New Roman" w:cs="Times New Roman"/>
          <w:bCs/>
          <w:kern w:val="0"/>
          <w:sz w:val="24"/>
          <w:szCs w:val="24"/>
          <w:lang w:eastAsia="pl-PL"/>
          <w14:ligatures w14:val="none"/>
        </w:rPr>
        <w:t xml:space="preserve">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przed wpisem w rejestrze akcjonariuszy, z wyłączeniem przypadku, o którym mowa w § 2 powołanego artykułu, podmiot prowadzący rejestr akcjonariuszy powiadamia o treści zamierzonego wpisu osobę, której uprawnienia mają być wykreślone, zmienione lub obciążone przez wpis. Zastrzeżenia wniesione przez osobę, której praw dotyczy wpis</w:t>
      </w:r>
      <w:r w:rsidR="00611B36">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nie wstrzymują (nie blokują) wpisu, jedynie </w:t>
      </w:r>
      <w:r w:rsidRPr="00B308B7">
        <w:rPr>
          <w:rFonts w:ascii="Times New Roman" w:eastAsia="Times New Roman" w:hAnsi="Times New Roman" w:cs="Times New Roman"/>
          <w:bCs/>
          <w:kern w:val="0"/>
          <w:sz w:val="24"/>
          <w:szCs w:val="24"/>
          <w:lang w:eastAsia="pl-PL"/>
          <w14:ligatures w14:val="none"/>
        </w:rPr>
        <w:lastRenderedPageBreak/>
        <w:t>mogą wywołać uzasadnione wątpliwości, o których mowa w art. 300</w:t>
      </w:r>
      <w:r w:rsidRPr="00B308B7">
        <w:rPr>
          <w:rFonts w:ascii="Times New Roman" w:eastAsia="Times New Roman" w:hAnsi="Times New Roman" w:cs="Times New Roman"/>
          <w:bCs/>
          <w:kern w:val="0"/>
          <w:sz w:val="24"/>
          <w:szCs w:val="24"/>
          <w:vertAlign w:val="superscript"/>
          <w:lang w:eastAsia="pl-PL"/>
          <w14:ligatures w14:val="none"/>
        </w:rPr>
        <w:t>34</w:t>
      </w:r>
      <w:r w:rsidRPr="00B308B7">
        <w:rPr>
          <w:rFonts w:ascii="Times New Roman" w:eastAsia="Times New Roman" w:hAnsi="Times New Roman" w:cs="Times New Roman"/>
          <w:bCs/>
          <w:kern w:val="0"/>
          <w:sz w:val="24"/>
          <w:szCs w:val="24"/>
          <w:lang w:eastAsia="pl-PL"/>
          <w14:ligatures w14:val="none"/>
        </w:rPr>
        <w:t xml:space="preserve"> § 5 oraz </w:t>
      </w:r>
      <w:r w:rsidR="00611B36">
        <w:rPr>
          <w:rFonts w:ascii="Times New Roman" w:eastAsia="Times New Roman" w:hAnsi="Times New Roman" w:cs="Times New Roman"/>
          <w:bCs/>
          <w:kern w:val="0"/>
          <w:sz w:val="24"/>
          <w:szCs w:val="24"/>
          <w:lang w:eastAsia="pl-PL"/>
          <w14:ligatures w14:val="none"/>
        </w:rPr>
        <w:t xml:space="preserve">art. </w:t>
      </w:r>
      <w:r w:rsidRPr="00B308B7">
        <w:rPr>
          <w:rFonts w:ascii="Times New Roman" w:eastAsia="Times New Roman" w:hAnsi="Times New Roman" w:cs="Times New Roman"/>
          <w:bCs/>
          <w:kern w:val="0"/>
          <w:sz w:val="24"/>
          <w:szCs w:val="24"/>
          <w:lang w:eastAsia="pl-PL"/>
          <w14:ligatures w14:val="none"/>
        </w:rPr>
        <w:t>328</w:t>
      </w:r>
      <w:r w:rsidRPr="00B308B7">
        <w:rPr>
          <w:rFonts w:ascii="Times New Roman" w:eastAsia="Times New Roman" w:hAnsi="Times New Roman" w:cs="Times New Roman"/>
          <w:bCs/>
          <w:kern w:val="0"/>
          <w:sz w:val="24"/>
          <w:szCs w:val="24"/>
          <w:vertAlign w:val="superscript"/>
          <w:lang w:eastAsia="pl-PL"/>
          <w14:ligatures w14:val="none"/>
        </w:rPr>
        <w:t>4</w:t>
      </w:r>
      <w:r w:rsidRPr="00B308B7">
        <w:rPr>
          <w:rFonts w:ascii="Times New Roman" w:eastAsia="Times New Roman" w:hAnsi="Times New Roman" w:cs="Times New Roman"/>
          <w:bCs/>
          <w:kern w:val="0"/>
          <w:sz w:val="24"/>
          <w:szCs w:val="24"/>
          <w:lang w:eastAsia="pl-PL"/>
          <w14:ligatures w14:val="none"/>
        </w:rPr>
        <w:t> § 5</w:t>
      </w:r>
      <w:r w:rsidR="00611B36">
        <w:rPr>
          <w:rFonts w:ascii="Times New Roman" w:eastAsia="Times New Roman" w:hAnsi="Times New Roman" w:cs="Times New Roman"/>
          <w:bCs/>
          <w:kern w:val="0"/>
          <w:sz w:val="24"/>
          <w:szCs w:val="24"/>
          <w:lang w:eastAsia="pl-PL"/>
          <w14:ligatures w14:val="none"/>
        </w:rPr>
        <w:t xml:space="preserve"> </w:t>
      </w:r>
      <w:r w:rsidRPr="00B308B7">
        <w:rPr>
          <w:rFonts w:ascii="Times New Roman" w:eastAsia="Times New Roman" w:hAnsi="Times New Roman" w:cs="Times New Roman"/>
          <w:bCs/>
          <w:i/>
          <w:iCs/>
          <w:kern w:val="0"/>
          <w:sz w:val="24"/>
          <w:szCs w:val="24"/>
          <w:lang w:eastAsia="pl-PL"/>
          <w14:ligatures w14:val="none"/>
        </w:rPr>
        <w:t>in</w:t>
      </w:r>
      <w:r w:rsidR="00611B36" w:rsidRPr="00B308B7">
        <w:rPr>
          <w:rFonts w:ascii="Times New Roman" w:eastAsia="Times New Roman" w:hAnsi="Times New Roman" w:cs="Times New Roman"/>
          <w:bCs/>
          <w:i/>
          <w:iCs/>
          <w:kern w:val="0"/>
          <w:sz w:val="24"/>
          <w:szCs w:val="24"/>
          <w:lang w:eastAsia="pl-PL"/>
          <w14:ligatures w14:val="none"/>
        </w:rPr>
        <w:t> </w:t>
      </w:r>
      <w:r w:rsidRPr="00B308B7">
        <w:rPr>
          <w:rFonts w:ascii="Times New Roman" w:eastAsia="Times New Roman" w:hAnsi="Times New Roman" w:cs="Times New Roman"/>
          <w:bCs/>
          <w:i/>
          <w:iCs/>
          <w:kern w:val="0"/>
          <w:sz w:val="24"/>
          <w:szCs w:val="24"/>
          <w:lang w:eastAsia="pl-PL"/>
          <w14:ligatures w14:val="none"/>
        </w:rPr>
        <w:t>fine</w:t>
      </w:r>
      <w:r w:rsidRPr="00B308B7">
        <w:rPr>
          <w:rFonts w:ascii="Times New Roman" w:eastAsia="Times New Roman" w:hAnsi="Times New Roman" w:cs="Times New Roman"/>
          <w:bCs/>
          <w:kern w:val="0"/>
          <w:sz w:val="24"/>
          <w:szCs w:val="24"/>
          <w:lang w:eastAsia="pl-PL"/>
          <w14:ligatures w14:val="none"/>
        </w:rPr>
        <w:t>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xml:space="preserve">. Wpis do rejestru akcjonariuszy nie pozbawia jednak osoby zainteresowanej dochodzenia jej praw związanych z akcjami: wymaga to wszczęcia odpowiedniego postępowania sądowego (zwykle wytoczenia powództwa ustalającego z art. 189 k.p.c.), albowiem do rozstrzygania sporów kontradyktoryjnych nie jest upoważniony podmiot prowadzący rejestr akcjonariuszy. W przypadku wytoczenia wskazanego powyżej powództwa niezbędne będzie również powołanie się na wpisy dokonane w rejestrze akcjonariuszy, jak też dokumenty stanowiące podstawę dokonanych w rejestrze wpisów. </w:t>
      </w:r>
    </w:p>
    <w:p w14:paraId="57347FDF" w14:textId="4A58D39C"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Z powyższych względów w projekcie ustawy przewidziano rozwiązanie, zgodnie z którym do wniosku o wykreślenie spółki z KRS należy dołączyć wykaz akcjonariuszy spółki zawierający informacje o ich imionach i nazwiskach albo firmach (nazwach), miejscach zamieszkania albo siedziby oraz adresach albo adresach do doręczeń oraz o liczbie, seriach i numerach albo odrębnych oznaczeniach, o których mowa w art. 55 ustawy z dnia 29 lipca 2005 r. o obrocie instrumentami finansowymi, posiadanych przez nich akcji. Podstawę pozyskania informacji niezbędnych do sporządzenia i złożenia wykazu będą stanowiły art. 328</w:t>
      </w:r>
      <w:r w:rsidRPr="00B308B7">
        <w:rPr>
          <w:rFonts w:ascii="Times New Roman" w:eastAsia="Times New Roman" w:hAnsi="Times New Roman" w:cs="Times New Roman"/>
          <w:bCs/>
          <w:kern w:val="0"/>
          <w:sz w:val="24"/>
          <w:szCs w:val="24"/>
          <w:vertAlign w:val="superscript"/>
          <w:lang w:eastAsia="pl-PL"/>
          <w14:ligatures w14:val="none"/>
        </w:rPr>
        <w:t>5</w:t>
      </w:r>
      <w:r w:rsidRPr="00B308B7">
        <w:rPr>
          <w:rFonts w:ascii="Times New Roman" w:eastAsia="Times New Roman" w:hAnsi="Times New Roman" w:cs="Times New Roman"/>
          <w:bCs/>
          <w:kern w:val="0"/>
          <w:sz w:val="24"/>
          <w:szCs w:val="24"/>
          <w:lang w:eastAsia="pl-PL"/>
          <w14:ligatures w14:val="none"/>
        </w:rPr>
        <w:t xml:space="preserve"> § 3 Kodeksu spółek handlowych albo art. 91 ust. 15 ustawy z dnia 29 lipca 2005 r. o obrocie instrumentami finansowymi. Podobne rozwiązanie przewidziano dla sądu rejestrowego, który prowadząc podstępowanie o rozwiązanie spółki komandytowo-akcyjne</w:t>
      </w:r>
      <w:r w:rsidR="005211FD">
        <w:rPr>
          <w:rFonts w:ascii="Times New Roman" w:eastAsia="Times New Roman" w:hAnsi="Times New Roman" w:cs="Times New Roman"/>
          <w:bCs/>
          <w:kern w:val="0"/>
          <w:sz w:val="24"/>
          <w:szCs w:val="24"/>
          <w:lang w:eastAsia="pl-PL"/>
          <w14:ligatures w14:val="none"/>
        </w:rPr>
        <w:t>j</w:t>
      </w:r>
      <w:r w:rsidRPr="00B308B7">
        <w:rPr>
          <w:rFonts w:ascii="Times New Roman" w:eastAsia="Times New Roman" w:hAnsi="Times New Roman" w:cs="Times New Roman"/>
          <w:bCs/>
          <w:kern w:val="0"/>
          <w:sz w:val="24"/>
          <w:szCs w:val="24"/>
          <w:lang w:eastAsia="pl-PL"/>
          <w14:ligatures w14:val="none"/>
        </w:rPr>
        <w:t xml:space="preserve">, prostej spółki akcyjnej, spółki akcyjnej albo spółki europejskiej zobligowany będzie zwrócić się </w:t>
      </w:r>
      <w:r w:rsidR="005211FD">
        <w:rPr>
          <w:rFonts w:ascii="Times New Roman" w:eastAsia="Times New Roman" w:hAnsi="Times New Roman" w:cs="Times New Roman"/>
          <w:bCs/>
          <w:kern w:val="0"/>
          <w:sz w:val="24"/>
          <w:szCs w:val="24"/>
          <w:lang w:eastAsia="pl-PL"/>
          <w14:ligatures w14:val="none"/>
        </w:rPr>
        <w:t xml:space="preserve">o </w:t>
      </w:r>
      <w:r w:rsidRPr="00B308B7">
        <w:rPr>
          <w:rFonts w:ascii="Times New Roman" w:eastAsia="Times New Roman" w:hAnsi="Times New Roman" w:cs="Times New Roman"/>
          <w:bCs/>
          <w:kern w:val="0"/>
          <w:sz w:val="24"/>
          <w:szCs w:val="24"/>
          <w:lang w:eastAsia="pl-PL"/>
          <w14:ligatures w14:val="none"/>
        </w:rPr>
        <w:t xml:space="preserve">przesłanie takiego wykazu do podmiotu prowadzącego rejestr akcjonariuszy dla podlegającej rozwiązaniu spółki albo do Krajowego Depozytu Papierów Wartościowych S.A. w tych przypadkach, w których spółka wybrała depozytowy reżim rejestracji akcji. Przyjęte rozwiązanie pozwoli na przechowywanie rejestru akcjonariuszy wraz z aktami rejestrowymi danej spółki. </w:t>
      </w:r>
    </w:p>
    <w:p w14:paraId="141A7378" w14:textId="4CBADC5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 xml:space="preserve">W celu zapewnienia prawidłowej identyfikacji osób uprawnionych z akcji projekt przewiduje zamieszczanie w rejestrze akcjonariuszy, obok dotychczasowych danych, numeru PESEL albo daty urodzenia akcjonariuszy, </w:t>
      </w:r>
      <w:bookmarkStart w:id="2" w:name="_Hlk157598694"/>
      <w:r w:rsidRPr="00B308B7">
        <w:rPr>
          <w:rFonts w:ascii="Times New Roman" w:eastAsia="Times New Roman" w:hAnsi="Times New Roman" w:cs="Times New Roman"/>
          <w:bCs/>
          <w:kern w:val="0"/>
          <w:sz w:val="24"/>
          <w:szCs w:val="24"/>
          <w:lang w:eastAsia="pl-PL"/>
          <w14:ligatures w14:val="none"/>
        </w:rPr>
        <w:t xml:space="preserve">a w przypadku osoby niebędącej osobą fizyczną </w:t>
      </w:r>
      <w:r>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firmy, </w:t>
      </w:r>
      <w:bookmarkEnd w:id="2"/>
      <w:r w:rsidRPr="00B308B7">
        <w:rPr>
          <w:rFonts w:ascii="Times New Roman" w:eastAsia="Times New Roman" w:hAnsi="Times New Roman" w:cs="Times New Roman"/>
          <w:bCs/>
          <w:kern w:val="0"/>
          <w:sz w:val="24"/>
          <w:szCs w:val="24"/>
          <w:lang w:eastAsia="pl-PL"/>
          <w14:ligatures w14:val="none"/>
        </w:rPr>
        <w:t xml:space="preserve">numeru akcjonariusza we właściwym rejestrze oraz nazwy tego rejestru. Względy bezpieczeństwa obrotu prawno-gospodarczego wymagają bowiem, aby wpisy dokonywane w rejestrze akcjonariuszy dokonywane były po jednoznacznej identyfikacji osoby, której dane mają być ujawnione w rejestrze. Zmniejszy to tym samym ryzyko nabycia akcji od osoby nieuprawnionej. </w:t>
      </w:r>
    </w:p>
    <w:p w14:paraId="55CC73D2"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 xml:space="preserve">Wobec proponowanych rozwiązań w projekcie należało jednocześnie wprowadzić rozwiązania służące właściwej ochronie danych osobowych akcjonariuszy będących osobami fizycznymi. </w:t>
      </w:r>
    </w:p>
    <w:p w14:paraId="1F842618" w14:textId="2A74E6E4"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lastRenderedPageBreak/>
        <w:t>Zgodnie z motywem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 RODO”, prawo do ochrony danych osobowych nie jest prawem bezwzględnym; należy je postrzegać w</w:t>
      </w:r>
      <w:r w:rsidR="00493EA1">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 xml:space="preserve">kontekście jego funkcji społecznej i wyważyć względem innych praw podstawowych w myśl zasady proporcjonalności. </w:t>
      </w:r>
    </w:p>
    <w:p w14:paraId="2BB6224A" w14:textId="0FFBF2B5"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 myśl art. 6 ust. 1 rozporządzenia RODO przetwarzanie jest zgodne z prawem, gdy spełniony jest co najmniej jeden z poniższych warunków: a) osoba, której dane dotyczą</w:t>
      </w:r>
      <w:r w:rsidR="00493EA1">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wyraziła zgodę na przetwarzanie swoich danych osobowych w jednym lub większej liczbie określonych celów; b) przetwarzanie jest niezbędne do wykonania umowy, której stroną jest osoba, której dane dotyczą, lub do podjęcia działań na żądanie osoby, której dane dotyczą, przed zawarciem umowy; c) przetwarzanie jest niezbędne do wypełnienia obowiązku prawnego ciążącego na administratorze; d) przetwarzanie jest niezbędne do ochrony żywotnych interesów osoby, której dane dotyczą, lub innej osoby fizycznej; e) przetwarzanie jest niezbędne do wykonania zadania realizowanego w interesie publicznym lub w ramach sprawowania władzy publicznej powierzonej administratorowi; f)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054E33DF" w14:textId="34D9773B"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Odnosząc powyższe regulacje do zagadnienia dopuszczalności przetwarzania danych osobowych zamieszczanych w rejestrze akcjonariuszy</w:t>
      </w:r>
      <w:r w:rsidR="00493EA1">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należy wskazać na podstawę określoną w art. 6 ust. 1 lit. c i e rozporządzenia RODO. Należy jednak podkreślić, że interpretacja przepisów regulujących zasady udostępniania danych zgromadzonych w rejestrze akcjonariuszy powinna być dokonywana przy zastosowaniu techniki wykładni ustawy w zgodzie z konstytucją (por. orzeczenie TK z dn. 15.07.1996 r., sygn. K 5/96 oraz z dn. 5.01.1999 r., sygn. K 27/98)], a także w zgodzie z innymi normami prawa Unii Europejskiej. </w:t>
      </w:r>
    </w:p>
    <w:p w14:paraId="2428B453" w14:textId="7C28CB92"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 związku z powyższym</w:t>
      </w:r>
      <w:r w:rsidR="00493EA1">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niezależnie od przywołanej powyżej podstawy prawnej przetwarzania danych osobowych, należy również wskazać na przepis art. 5 rozporządzenia RODO, a także przepis art. 51 ust. 2 Konstytucji RP, które wskazują, że udostępniane dane osobowe powinny być adekwatne, stosowne oraz ograniczone do tego, co niezbędne do celów, w których są przetwarzane. Z tego powodu w rejestrze akcjonariuszy nie powinny być </w:t>
      </w:r>
      <w:r w:rsidRPr="00B308B7">
        <w:rPr>
          <w:rFonts w:ascii="Times New Roman" w:eastAsia="Times New Roman" w:hAnsi="Times New Roman" w:cs="Times New Roman"/>
          <w:bCs/>
          <w:kern w:val="0"/>
          <w:sz w:val="24"/>
          <w:szCs w:val="24"/>
          <w:lang w:eastAsia="pl-PL"/>
          <w14:ligatures w14:val="none"/>
        </w:rPr>
        <w:lastRenderedPageBreak/>
        <w:t>udostępniane dane nadmiarowe, jeżeli cel przetwarzania można w rozsądny sposób osiągnąć innymi metodami. Wymóg niezbędności informacji, o którym mowa w art. 51 ust.</w:t>
      </w:r>
      <w:r w:rsidR="00493EA1">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2</w:t>
      </w:r>
      <w:r w:rsidR="00493EA1">
        <w:rPr>
          <w:rFonts w:ascii="Times New Roman" w:eastAsia="Times New Roman" w:hAnsi="Times New Roman" w:cs="Times New Roman"/>
          <w:bCs/>
          <w:kern w:val="0"/>
          <w:sz w:val="24"/>
          <w:szCs w:val="24"/>
          <w:lang w:eastAsia="pl-PL"/>
          <w14:ligatures w14:val="none"/>
        </w:rPr>
        <w:t xml:space="preserve"> </w:t>
      </w:r>
      <w:r w:rsidRPr="00B308B7">
        <w:rPr>
          <w:rFonts w:ascii="Times New Roman" w:eastAsia="Times New Roman" w:hAnsi="Times New Roman" w:cs="Times New Roman"/>
          <w:bCs/>
          <w:kern w:val="0"/>
          <w:sz w:val="24"/>
          <w:szCs w:val="24"/>
          <w:lang w:eastAsia="pl-PL"/>
          <w14:ligatures w14:val="none"/>
        </w:rPr>
        <w:t>Konstytucji RP, ogranicza zakres zbieranych i udostępnianych informacji. Jest to zatem wymóg działający tak jak zasada proporcjonalności określona w art. 31 ust. 3 Konstytucji RP. Niezbędność informacji należy bowiem oceniać przez pryzmat jej przydatności, konieczności oraz proporcjonalności. W art. 5 rozporządzenia RODO wskazano m</w:t>
      </w:r>
      <w:r w:rsidR="00493EA1">
        <w:rPr>
          <w:rFonts w:ascii="Times New Roman" w:eastAsia="Times New Roman" w:hAnsi="Times New Roman" w:cs="Times New Roman"/>
          <w:bCs/>
          <w:kern w:val="0"/>
          <w:sz w:val="24"/>
          <w:szCs w:val="24"/>
          <w:lang w:eastAsia="pl-PL"/>
          <w14:ligatures w14:val="none"/>
        </w:rPr>
        <w:t xml:space="preserve">iędzy </w:t>
      </w:r>
      <w:r w:rsidRPr="00B308B7">
        <w:rPr>
          <w:rFonts w:ascii="Times New Roman" w:eastAsia="Times New Roman" w:hAnsi="Times New Roman" w:cs="Times New Roman"/>
          <w:bCs/>
          <w:kern w:val="0"/>
          <w:sz w:val="24"/>
          <w:szCs w:val="24"/>
          <w:lang w:eastAsia="pl-PL"/>
          <w14:ligatures w14:val="none"/>
        </w:rPr>
        <w:t>in</w:t>
      </w:r>
      <w:r w:rsidR="00493EA1">
        <w:rPr>
          <w:rFonts w:ascii="Times New Roman" w:eastAsia="Times New Roman" w:hAnsi="Times New Roman" w:cs="Times New Roman"/>
          <w:bCs/>
          <w:kern w:val="0"/>
          <w:sz w:val="24"/>
          <w:szCs w:val="24"/>
          <w:lang w:eastAsia="pl-PL"/>
          <w14:ligatures w14:val="none"/>
        </w:rPr>
        <w:t>nymi</w:t>
      </w:r>
      <w:r w:rsidRPr="00B308B7">
        <w:rPr>
          <w:rFonts w:ascii="Times New Roman" w:eastAsia="Times New Roman" w:hAnsi="Times New Roman" w:cs="Times New Roman"/>
          <w:bCs/>
          <w:kern w:val="0"/>
          <w:sz w:val="24"/>
          <w:szCs w:val="24"/>
          <w:lang w:eastAsia="pl-PL"/>
          <w14:ligatures w14:val="none"/>
        </w:rPr>
        <w:t>, że dane osobowe muszą być: a) przetwarzane zgodnie z prawem, rzetelnie i w sposób przejrzysty dla osoby, której dane dotyczą („zgodność z prawem, rzetelność i przejrzystość”); b) zbierane w konkretnych, wyraźnych i prawnie uzasadnionych celach i nieprzetwarzane dalej w sposób niezgodny z tymi celami; c) adekwatne, stosowne oraz ograniczone do tego, co niezbędne do celów, w których są przetwarzane („minimalizacja danych”).</w:t>
      </w:r>
    </w:p>
    <w:p w14:paraId="489AA47A" w14:textId="4416AAF5"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 ocenie projektodawcy wypełnienie obowiązków związanych z zapewnieniem ochrony danych osobowych, w tym nałożonych wskazanymi powyżej przepisami rozporządzenia RODO</w:t>
      </w:r>
      <w:r w:rsidR="00493EA1">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wymaga ograniczenia zakresu danych osobowych udostępnianych w rejestrze akcjonariuszy w zakresie udostępniania numerów PESEL, dat urodzenia oraz adresów zamieszkania, ponieważ nie są to dane niezbędne i adekwatne do celu</w:t>
      </w:r>
      <w:r w:rsidR="00493EA1">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w jakim udostępniany jest rejestr akcjonariuszy. Należy bowiem zauważyć, że w przypadku gdy osoba zainteresowana uzasadni potrzebę udostępnienia jej np. numeru PESEL akcjonariusza (np. gdy w rejestrze znajdują się dane dwóch osób o tym samym nazwisku i imieniu), to wówczas zainteresowana osoba może uzyskać indywidualny dostęp do tych danych np. na podstawie art.</w:t>
      </w:r>
      <w:r w:rsidR="00493EA1">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6 lit. b rozporządzenia RODO.</w:t>
      </w:r>
    </w:p>
    <w:p w14:paraId="6FA4AB5E" w14:textId="0277017E"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Wydaje się, że pogodzenie obu uprawnień, tj. prawa do prywatności oraz prawa dostępu do danych zgromadzonych w rejestrze akcjonariuszy</w:t>
      </w:r>
      <w:r w:rsidR="00493EA1">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może być zrealizowane przez </w:t>
      </w:r>
      <w:proofErr w:type="spellStart"/>
      <w:r w:rsidRPr="00B308B7">
        <w:rPr>
          <w:rFonts w:ascii="Times New Roman" w:eastAsia="Times New Roman" w:hAnsi="Times New Roman" w:cs="Times New Roman"/>
          <w:bCs/>
          <w:kern w:val="0"/>
          <w:sz w:val="24"/>
          <w:szCs w:val="24"/>
          <w:lang w:eastAsia="pl-PL"/>
          <w14:ligatures w14:val="none"/>
        </w:rPr>
        <w:t>anonimizację</w:t>
      </w:r>
      <w:proofErr w:type="spellEnd"/>
      <w:r w:rsidRPr="00B308B7">
        <w:rPr>
          <w:rFonts w:ascii="Times New Roman" w:eastAsia="Times New Roman" w:hAnsi="Times New Roman" w:cs="Times New Roman"/>
          <w:bCs/>
          <w:kern w:val="0"/>
          <w:sz w:val="24"/>
          <w:szCs w:val="24"/>
          <w:lang w:eastAsia="pl-PL"/>
          <w14:ligatures w14:val="none"/>
        </w:rPr>
        <w:t xml:space="preserve"> lub </w:t>
      </w:r>
      <w:proofErr w:type="spellStart"/>
      <w:r w:rsidRPr="00B308B7">
        <w:rPr>
          <w:rFonts w:ascii="Times New Roman" w:eastAsia="Times New Roman" w:hAnsi="Times New Roman" w:cs="Times New Roman"/>
          <w:bCs/>
          <w:kern w:val="0"/>
          <w:sz w:val="24"/>
          <w:szCs w:val="24"/>
          <w:lang w:eastAsia="pl-PL"/>
          <w14:ligatures w14:val="none"/>
        </w:rPr>
        <w:t>pseudonimizację</w:t>
      </w:r>
      <w:proofErr w:type="spellEnd"/>
      <w:r w:rsidRPr="00B308B7">
        <w:rPr>
          <w:rFonts w:ascii="Times New Roman" w:eastAsia="Times New Roman" w:hAnsi="Times New Roman" w:cs="Times New Roman"/>
          <w:bCs/>
          <w:kern w:val="0"/>
          <w:sz w:val="24"/>
          <w:szCs w:val="24"/>
          <w:lang w:eastAsia="pl-PL"/>
          <w14:ligatures w14:val="none"/>
        </w:rPr>
        <w:t xml:space="preserve"> danych osobowych (por. wyrok II SA/</w:t>
      </w:r>
      <w:proofErr w:type="spellStart"/>
      <w:r w:rsidRPr="00B308B7">
        <w:rPr>
          <w:rFonts w:ascii="Times New Roman" w:eastAsia="Times New Roman" w:hAnsi="Times New Roman" w:cs="Times New Roman"/>
          <w:bCs/>
          <w:kern w:val="0"/>
          <w:sz w:val="24"/>
          <w:szCs w:val="24"/>
          <w:lang w:eastAsia="pl-PL"/>
          <w14:ligatures w14:val="none"/>
        </w:rPr>
        <w:t>Łd</w:t>
      </w:r>
      <w:proofErr w:type="spellEnd"/>
      <w:r w:rsidRPr="00B308B7">
        <w:rPr>
          <w:rFonts w:ascii="Times New Roman" w:eastAsia="Times New Roman" w:hAnsi="Times New Roman" w:cs="Times New Roman"/>
          <w:bCs/>
          <w:kern w:val="0"/>
          <w:sz w:val="24"/>
          <w:szCs w:val="24"/>
          <w:lang w:eastAsia="pl-PL"/>
          <w14:ligatures w14:val="none"/>
        </w:rPr>
        <w:t xml:space="preserve"> 725/20 </w:t>
      </w:r>
      <w:r>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wyrok WSA Łódź z</w:t>
      </w:r>
      <w:r w:rsidR="00493EA1">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dnia 15-01-2021). W związku z powyższym projekt ustawy przewiduje, że informacje o</w:t>
      </w:r>
      <w:r w:rsidR="00493EA1">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 xml:space="preserve">numerze PESEL, dacie urodzenia lub adresie zamieszkania akcjonariusza nie będą dostępne dla pozostałych akcjonariuszy (art. 1 pkt 5 lit. a, pkt 11 lit. a). </w:t>
      </w:r>
    </w:p>
    <w:p w14:paraId="1B4F2731"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 xml:space="preserve">W celu zapewnienia aktualności danych zgromadzonych w rejestrze akcjonariuszy w projekcie ustawy przewidziano nałożenie na zarząd spółki obowiązku zgłaszania aktualnych danych podmiotowi prowadzącemu rejestr akcjonariuszy w terminie 7 dni od dnia zdarzenia uzasadniającego dokonanie wpisu (art. 1 pkt 3 lit. b oraz pkt 9 lit. b projektu ustawy). W praktyce występowały bowiem sytuacje, w których spółki nie zawiadamiały o zmianie </w:t>
      </w:r>
      <w:r w:rsidRPr="00B308B7">
        <w:rPr>
          <w:rFonts w:ascii="Times New Roman" w:eastAsia="Times New Roman" w:hAnsi="Times New Roman" w:cs="Times New Roman"/>
          <w:bCs/>
          <w:kern w:val="0"/>
          <w:sz w:val="24"/>
          <w:szCs w:val="24"/>
          <w:lang w:eastAsia="pl-PL"/>
          <w14:ligatures w14:val="none"/>
        </w:rPr>
        <w:lastRenderedPageBreak/>
        <w:t xml:space="preserve">swoich danych, np. o zmianie siedziby, co w praktyce uniemożliwiało zapewnienie aktualnych danych w rejestrze akcjonariuszy i skontaktowanie się ze spółką. </w:t>
      </w:r>
    </w:p>
    <w:p w14:paraId="469F47F6" w14:textId="2DD4EA34"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Zdarzeniem uzasadniającym dokonanie wpisu w rejestrze akcjonariuszy będzie np. podwyższenie kapitału zakładowego spółki, zmiana statutu spółki wprowadzająca ograniczenia w obrocie akcjami albo zmiana adresu spółki. Przy czym zauważyć należy, że w przypadku gdy przepisy prawa dla skuteczności określonej czynności wymagają wpisu do Krajowego Rejestru Sądowego (wpisy konstytutywne), bieg terminu na zgłoszenie zmiany danych wpisanych do rejestru akcjonariuszy rozpoczyna się z chwilą dokonania wpisu w Krajowym Rejestrze Sądowym (w postępowaniu rejestrowym postanowienia o wpisie stają się skuteczne i wykonalne z chwilą ich wydania, z wyjątkiem postanowień dotyczących wykreślenia podmiotów z Krajowego Rejestru Sądowego (art. 694</w:t>
      </w:r>
      <w:r w:rsidRPr="00B308B7">
        <w:rPr>
          <w:rFonts w:ascii="Times New Roman" w:eastAsia="Times New Roman" w:hAnsi="Times New Roman" w:cs="Times New Roman"/>
          <w:bCs/>
          <w:kern w:val="0"/>
          <w:sz w:val="24"/>
          <w:szCs w:val="24"/>
          <w:vertAlign w:val="superscript"/>
          <w:lang w:eastAsia="pl-PL"/>
          <w14:ligatures w14:val="none"/>
        </w:rPr>
        <w:t>5</w:t>
      </w:r>
      <w:r w:rsidRPr="00B308B7">
        <w:rPr>
          <w:rFonts w:ascii="Times New Roman" w:eastAsia="Times New Roman" w:hAnsi="Times New Roman" w:cs="Times New Roman"/>
          <w:bCs/>
          <w:kern w:val="0"/>
          <w:sz w:val="24"/>
          <w:szCs w:val="24"/>
          <w:lang w:eastAsia="pl-PL"/>
          <w14:ligatures w14:val="none"/>
        </w:rPr>
        <w:t> § 2 k.p.c.).</w:t>
      </w:r>
    </w:p>
    <w:p w14:paraId="679874F1" w14:textId="447E0AA6"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Wobec tego, że część danych podlega zgłoszeniu jedynie na żądanie uprawnionego podmiotu (art. 300</w:t>
      </w:r>
      <w:r w:rsidRPr="00B308B7">
        <w:rPr>
          <w:rFonts w:ascii="Times New Roman" w:eastAsia="Times New Roman" w:hAnsi="Times New Roman" w:cs="Times New Roman"/>
          <w:bCs/>
          <w:kern w:val="0"/>
          <w:sz w:val="24"/>
          <w:szCs w:val="24"/>
          <w:vertAlign w:val="superscript"/>
          <w:lang w:eastAsia="pl-PL"/>
          <w14:ligatures w14:val="none"/>
        </w:rPr>
        <w:t>33</w:t>
      </w:r>
      <w:r w:rsidRPr="00B308B7">
        <w:rPr>
          <w:rFonts w:ascii="Times New Roman" w:eastAsia="Times New Roman" w:hAnsi="Times New Roman" w:cs="Times New Roman"/>
          <w:bCs/>
          <w:kern w:val="0"/>
          <w:sz w:val="24"/>
          <w:szCs w:val="24"/>
          <w:lang w:eastAsia="pl-PL"/>
          <w14:ligatures w14:val="none"/>
        </w:rPr>
        <w:t xml:space="preserve"> § 1 pkt 6</w:t>
      </w:r>
      <w:r>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8 oraz </w:t>
      </w:r>
      <w:r w:rsidR="00493EA1">
        <w:rPr>
          <w:rFonts w:ascii="Times New Roman" w:eastAsia="Times New Roman" w:hAnsi="Times New Roman" w:cs="Times New Roman"/>
          <w:bCs/>
          <w:kern w:val="0"/>
          <w:sz w:val="24"/>
          <w:szCs w:val="24"/>
          <w:lang w:eastAsia="pl-PL"/>
          <w14:ligatures w14:val="none"/>
        </w:rPr>
        <w:t xml:space="preserve">art. </w:t>
      </w:r>
      <w:r w:rsidRPr="00B308B7">
        <w:rPr>
          <w:rFonts w:ascii="Times New Roman" w:eastAsia="Times New Roman" w:hAnsi="Times New Roman" w:cs="Times New Roman"/>
          <w:bCs/>
          <w:kern w:val="0"/>
          <w:sz w:val="24"/>
          <w:szCs w:val="24"/>
          <w:lang w:eastAsia="pl-PL"/>
          <w14:ligatures w14:val="none"/>
        </w:rPr>
        <w:t>328</w:t>
      </w:r>
      <w:r w:rsidRPr="00B308B7">
        <w:rPr>
          <w:rFonts w:ascii="Times New Roman" w:eastAsia="Times New Roman" w:hAnsi="Times New Roman" w:cs="Times New Roman"/>
          <w:bCs/>
          <w:kern w:val="0"/>
          <w:sz w:val="24"/>
          <w:szCs w:val="24"/>
          <w:vertAlign w:val="superscript"/>
          <w:lang w:eastAsia="pl-PL"/>
          <w14:ligatures w14:val="none"/>
        </w:rPr>
        <w:t>3</w:t>
      </w:r>
      <w:r w:rsidRPr="00B308B7">
        <w:rPr>
          <w:rFonts w:ascii="Times New Roman" w:eastAsia="Times New Roman" w:hAnsi="Times New Roman" w:cs="Times New Roman"/>
          <w:bCs/>
          <w:kern w:val="0"/>
          <w:sz w:val="24"/>
          <w:szCs w:val="24"/>
          <w:lang w:eastAsia="pl-PL"/>
          <w14:ligatures w14:val="none"/>
        </w:rPr>
        <w:t> § 1 pkt 6</w:t>
      </w:r>
      <w:r>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8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w:t>
      </w:r>
      <w:r w:rsidR="00493EA1">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projekt nakłada na zarząd spółki obowiązek aktualizacji danych jedynie w zakresie informacji, które mogą ulec zmianie na skutek uchwały uprawnionego organu spółki (np. uchwała walnego zgromadzenia o zmianie statutu spółki i jej siedziby). </w:t>
      </w:r>
    </w:p>
    <w:p w14:paraId="5ECB33D1" w14:textId="326B62F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 przypadku wpisów dokonywanych na żądanie akcjonariusza, zastawnika lub użytkownika, lub innej osoby mającej interes prawny nie ma konieczności nakładania obowiązku zgłaszania aktualnych danych, ponieważ sam brak wpisu implikuje negatywne konsekwencje dla wskazanych podmiotów, np. przejście akcji bez dokonania wpisu do rejestru akcjonariuszy będzie co do zasady nieskuteczne.</w:t>
      </w:r>
    </w:p>
    <w:p w14:paraId="348FB2D7" w14:textId="6659FA7B"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 xml:space="preserve">Jednocześnie w projektowanej nowelizacji przepisu art. 594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przewiduje się, że członek zarządu spółki akcyjnej lub prostej spółki akcyjnej albo komplementariusz spółki komandytowo-akcyjnej uprawniony do jej reprezentowania podlega karze grzywny, jeżeli wbrew obowiązkowi nie zgłasza danych, o których mowa w art. 300</w:t>
      </w:r>
      <w:r w:rsidRPr="00B308B7">
        <w:rPr>
          <w:rFonts w:ascii="Times New Roman" w:eastAsia="Times New Roman" w:hAnsi="Times New Roman" w:cs="Times New Roman"/>
          <w:bCs/>
          <w:kern w:val="0"/>
          <w:sz w:val="24"/>
          <w:szCs w:val="24"/>
          <w:vertAlign w:val="superscript"/>
          <w:lang w:eastAsia="pl-PL"/>
          <w14:ligatures w14:val="none"/>
        </w:rPr>
        <w:t>33</w:t>
      </w:r>
      <w:r w:rsidRPr="00B308B7">
        <w:rPr>
          <w:rFonts w:ascii="Times New Roman" w:eastAsia="Times New Roman" w:hAnsi="Times New Roman" w:cs="Times New Roman"/>
          <w:bCs/>
          <w:kern w:val="0"/>
          <w:sz w:val="24"/>
          <w:szCs w:val="24"/>
          <w:lang w:eastAsia="pl-PL"/>
          <w14:ligatures w14:val="none"/>
        </w:rPr>
        <w:t xml:space="preserve"> § 3 albo w art. 328</w:t>
      </w:r>
      <w:r w:rsidRPr="00B308B7">
        <w:rPr>
          <w:rFonts w:ascii="Times New Roman" w:eastAsia="Times New Roman" w:hAnsi="Times New Roman" w:cs="Times New Roman"/>
          <w:bCs/>
          <w:kern w:val="0"/>
          <w:sz w:val="24"/>
          <w:szCs w:val="24"/>
          <w:vertAlign w:val="superscript"/>
          <w:lang w:eastAsia="pl-PL"/>
          <w14:ligatures w14:val="none"/>
        </w:rPr>
        <w:t>3</w:t>
      </w:r>
      <w:r w:rsidRPr="00B308B7">
        <w:rPr>
          <w:rFonts w:ascii="Times New Roman" w:eastAsia="Times New Roman" w:hAnsi="Times New Roman" w:cs="Times New Roman"/>
          <w:bCs/>
          <w:kern w:val="0"/>
          <w:sz w:val="24"/>
          <w:szCs w:val="24"/>
          <w:lang w:eastAsia="pl-PL"/>
          <w14:ligatures w14:val="none"/>
        </w:rPr>
        <w:t xml:space="preserve"> § 4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xml:space="preserve">. (art. 1 pkt 27 projektu ustawy). W związku z tym projektuje się zmianę także art. 592 § 1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xml:space="preserve">. (art. 26 projektu) </w:t>
      </w:r>
      <w:r>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w zakresie, w jakim wspomina on o wydaniu dokumentów akcji, a</w:t>
      </w:r>
      <w:r w:rsidR="006863F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 xml:space="preserve">także art. 594 § 1 pkt 2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xml:space="preserve">. </w:t>
      </w:r>
      <w:r>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w zakresie</w:t>
      </w:r>
      <w:r w:rsidR="006863F4">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w jakim wspomina on o księdze akcyjnej i odsyła do uchylonego już art. 341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w:t>
      </w:r>
    </w:p>
    <w:p w14:paraId="07CCBAC0" w14:textId="4C409F71"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Rozwiązaniem zwiększającym bezpieczeństwo obrotu gospodarczego jest także proponowany przepis art. 300</w:t>
      </w:r>
      <w:r w:rsidRPr="00B308B7">
        <w:rPr>
          <w:rFonts w:ascii="Times New Roman" w:eastAsia="Times New Roman" w:hAnsi="Times New Roman" w:cs="Times New Roman"/>
          <w:bCs/>
          <w:kern w:val="0"/>
          <w:sz w:val="24"/>
          <w:szCs w:val="24"/>
          <w:vertAlign w:val="superscript"/>
          <w:lang w:eastAsia="pl-PL"/>
          <w14:ligatures w14:val="none"/>
        </w:rPr>
        <w:t>34</w:t>
      </w:r>
      <w:r w:rsidRPr="00B308B7">
        <w:rPr>
          <w:rFonts w:ascii="Times New Roman" w:eastAsia="Times New Roman" w:hAnsi="Times New Roman" w:cs="Times New Roman"/>
          <w:bCs/>
          <w:kern w:val="0"/>
          <w:sz w:val="24"/>
          <w:szCs w:val="24"/>
          <w:lang w:eastAsia="pl-PL"/>
          <w14:ligatures w14:val="none"/>
        </w:rPr>
        <w:t xml:space="preserve"> oraz </w:t>
      </w:r>
      <w:r w:rsidR="006863F4">
        <w:rPr>
          <w:rFonts w:ascii="Times New Roman" w:eastAsia="Times New Roman" w:hAnsi="Times New Roman" w:cs="Times New Roman"/>
          <w:bCs/>
          <w:kern w:val="0"/>
          <w:sz w:val="24"/>
          <w:szCs w:val="24"/>
          <w:lang w:eastAsia="pl-PL"/>
          <w14:ligatures w14:val="none"/>
        </w:rPr>
        <w:t xml:space="preserve">art. </w:t>
      </w:r>
      <w:r w:rsidRPr="00B308B7">
        <w:rPr>
          <w:rFonts w:ascii="Times New Roman" w:eastAsia="Times New Roman" w:hAnsi="Times New Roman" w:cs="Times New Roman"/>
          <w:bCs/>
          <w:kern w:val="0"/>
          <w:sz w:val="24"/>
          <w:szCs w:val="24"/>
          <w:lang w:eastAsia="pl-PL"/>
          <w14:ligatures w14:val="none"/>
        </w:rPr>
        <w:t>328</w:t>
      </w:r>
      <w:r w:rsidRPr="00B308B7">
        <w:rPr>
          <w:rFonts w:ascii="Times New Roman" w:eastAsia="Times New Roman" w:hAnsi="Times New Roman" w:cs="Times New Roman"/>
          <w:bCs/>
          <w:kern w:val="0"/>
          <w:sz w:val="24"/>
          <w:szCs w:val="24"/>
          <w:vertAlign w:val="superscript"/>
          <w:lang w:eastAsia="pl-PL"/>
          <w14:ligatures w14:val="none"/>
        </w:rPr>
        <w:t>4</w:t>
      </w:r>
      <w:r w:rsidRPr="00B308B7">
        <w:rPr>
          <w:rFonts w:ascii="Times New Roman" w:eastAsia="Times New Roman" w:hAnsi="Times New Roman" w:cs="Times New Roman"/>
          <w:bCs/>
          <w:kern w:val="0"/>
          <w:sz w:val="24"/>
          <w:szCs w:val="24"/>
          <w:lang w:eastAsia="pl-PL"/>
          <w14:ligatures w14:val="none"/>
        </w:rPr>
        <w:t xml:space="preserve">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xml:space="preserve">. (art. 1 pkt 4 lit. b i </w:t>
      </w:r>
      <w:r w:rsidR="006863F4">
        <w:rPr>
          <w:rFonts w:ascii="Times New Roman" w:eastAsia="Times New Roman" w:hAnsi="Times New Roman" w:cs="Times New Roman"/>
          <w:bCs/>
          <w:kern w:val="0"/>
          <w:sz w:val="24"/>
          <w:szCs w:val="24"/>
          <w:lang w:eastAsia="pl-PL"/>
          <w14:ligatures w14:val="none"/>
        </w:rPr>
        <w:t xml:space="preserve">pkt </w:t>
      </w:r>
      <w:r w:rsidRPr="00B308B7">
        <w:rPr>
          <w:rFonts w:ascii="Times New Roman" w:eastAsia="Times New Roman" w:hAnsi="Times New Roman" w:cs="Times New Roman"/>
          <w:bCs/>
          <w:kern w:val="0"/>
          <w:sz w:val="24"/>
          <w:szCs w:val="24"/>
          <w:lang w:eastAsia="pl-PL"/>
          <w14:ligatures w14:val="none"/>
        </w:rPr>
        <w:t xml:space="preserve">10 lit. a projektu ustawy). </w:t>
      </w:r>
      <w:r w:rsidRPr="00B308B7">
        <w:rPr>
          <w:rFonts w:ascii="Times New Roman" w:eastAsia="Times New Roman" w:hAnsi="Times New Roman" w:cs="Times New Roman"/>
          <w:bCs/>
          <w:i/>
          <w:iCs/>
          <w:kern w:val="0"/>
          <w:sz w:val="24"/>
          <w:szCs w:val="24"/>
          <w:lang w:eastAsia="pl-PL"/>
          <w14:ligatures w14:val="none"/>
        </w:rPr>
        <w:t xml:space="preserve">De lege lata </w:t>
      </w:r>
      <w:r w:rsidRPr="00B308B7">
        <w:rPr>
          <w:rFonts w:ascii="Times New Roman" w:eastAsia="Times New Roman" w:hAnsi="Times New Roman" w:cs="Times New Roman"/>
          <w:bCs/>
          <w:kern w:val="0"/>
          <w:sz w:val="24"/>
          <w:szCs w:val="24"/>
          <w:lang w:eastAsia="pl-PL"/>
          <w14:ligatures w14:val="none"/>
        </w:rPr>
        <w:t xml:space="preserve">przed wpisem w rejestrze akcjonariuszy podmiot prowadzący rejestr akcjonariuszy </w:t>
      </w:r>
      <w:r w:rsidRPr="00B308B7">
        <w:rPr>
          <w:rFonts w:ascii="Times New Roman" w:eastAsia="Times New Roman" w:hAnsi="Times New Roman" w:cs="Times New Roman"/>
          <w:bCs/>
          <w:kern w:val="0"/>
          <w:sz w:val="24"/>
          <w:szCs w:val="24"/>
          <w:lang w:eastAsia="pl-PL"/>
          <w14:ligatures w14:val="none"/>
        </w:rPr>
        <w:lastRenderedPageBreak/>
        <w:t>powiadamia o treści zamierzonego wpisu osobę, której uprawnienia mają być wykreślone, zmienione lub obciążone przez wpis, chyba że wyraziła ona zgodę na wpis. W związku z tym, że podpis osoby wyrażającej zgodę na wpis może być sfałszowany lub podrobiony</w:t>
      </w:r>
      <w:r w:rsidR="006863F4">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projekt przewiduje, że zgodę o wpis składa się w formie pisemnej z podpisem notarialnie poświadczonym albo w formie pisemnej w obecności osoby upoważnionej przez podmiot prowadzący rejestr akcjonariuszy, która potwierdza swoje uczestnictwo podpisem. Zgoda składana w postaci elektronicznej powinn</w:t>
      </w:r>
      <w:r w:rsidR="006863F4">
        <w:rPr>
          <w:rFonts w:ascii="Times New Roman" w:eastAsia="Times New Roman" w:hAnsi="Times New Roman" w:cs="Times New Roman"/>
          <w:bCs/>
          <w:kern w:val="0"/>
          <w:sz w:val="24"/>
          <w:szCs w:val="24"/>
          <w:lang w:eastAsia="pl-PL"/>
          <w14:ligatures w14:val="none"/>
        </w:rPr>
        <w:t>a</w:t>
      </w:r>
      <w:r w:rsidRPr="00B308B7">
        <w:rPr>
          <w:rFonts w:ascii="Times New Roman" w:eastAsia="Times New Roman" w:hAnsi="Times New Roman" w:cs="Times New Roman"/>
          <w:bCs/>
          <w:kern w:val="0"/>
          <w:sz w:val="24"/>
          <w:szCs w:val="24"/>
          <w:lang w:eastAsia="pl-PL"/>
          <w14:ligatures w14:val="none"/>
        </w:rPr>
        <w:t xml:space="preserve"> zostać opatrzon</w:t>
      </w:r>
      <w:r w:rsidR="006863F4">
        <w:rPr>
          <w:rFonts w:ascii="Times New Roman" w:eastAsia="Times New Roman" w:hAnsi="Times New Roman" w:cs="Times New Roman"/>
          <w:bCs/>
          <w:kern w:val="0"/>
          <w:sz w:val="24"/>
          <w:szCs w:val="24"/>
          <w:lang w:eastAsia="pl-PL"/>
          <w14:ligatures w14:val="none"/>
        </w:rPr>
        <w:t>a</w:t>
      </w:r>
      <w:r w:rsidRPr="00B308B7">
        <w:rPr>
          <w:rFonts w:ascii="Times New Roman" w:eastAsia="Times New Roman" w:hAnsi="Times New Roman" w:cs="Times New Roman"/>
          <w:bCs/>
          <w:kern w:val="0"/>
          <w:sz w:val="24"/>
          <w:szCs w:val="24"/>
          <w:lang w:eastAsia="pl-PL"/>
          <w14:ligatures w14:val="none"/>
        </w:rPr>
        <w:t xml:space="preserve"> kwalifikowanym podpisem elektronicznym, podpisem zaufanym albo podpisem osobistym. Proponowane rozwiązanie nie tylko umożliwia identyfikację osoby składającej zgodę, ale również zmniejsza ryzyko przyjęcia tej zgody od osoby nieuprawnionej.</w:t>
      </w:r>
    </w:p>
    <w:p w14:paraId="542506A7" w14:textId="18BBD9E1"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Z uwagi na występujące w praktyce wątpliwości interpretacyjne w odniesieniu do relacji między wpisem zastawu rejestrowego na akcjach do rejestru zastawów oraz wpisem rozporządzenia akcją w postaci jej obciążenia zastawem rejestrowym do rejestru akcjonariuszy, projekt przewiduje nowelizację art. 328</w:t>
      </w:r>
      <w:r w:rsidRPr="00B308B7">
        <w:rPr>
          <w:rFonts w:ascii="Times New Roman" w:eastAsia="Times New Roman" w:hAnsi="Times New Roman" w:cs="Times New Roman"/>
          <w:bCs/>
          <w:kern w:val="0"/>
          <w:sz w:val="24"/>
          <w:szCs w:val="24"/>
          <w:vertAlign w:val="superscript"/>
          <w:lang w:eastAsia="pl-PL"/>
          <w14:ligatures w14:val="none"/>
        </w:rPr>
        <w:t>9</w:t>
      </w:r>
      <w:r w:rsidRPr="00B308B7">
        <w:rPr>
          <w:rFonts w:ascii="Times New Roman" w:eastAsia="Times New Roman" w:hAnsi="Times New Roman" w:cs="Times New Roman"/>
          <w:bCs/>
          <w:kern w:val="0"/>
          <w:sz w:val="24"/>
          <w:szCs w:val="24"/>
          <w:lang w:eastAsia="pl-PL"/>
          <w14:ligatures w14:val="none"/>
        </w:rPr>
        <w:t xml:space="preserve"> § 2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xml:space="preserve">. W piśmiennictwie wskazuje się, że powstanie zastawu rejestrowego uzależnione jest obecnie od dokonania wpisu w rejestrze akcjonariuszy, przy jednoczesnym obowiązku uzyskania wpisu w rejestrze zastawów. Powstają więc wątpliwości co do relacji między wymienionymi wpisami, a zwłaszcza w kwestii momentu ustanowienia zastawu rejestrowego na zdematerializowanych akcjach. Wobec tego, że zastaw rejestrowy jest jednym z ograniczonych praw rzeczowych (por. art. 244 oraz </w:t>
      </w:r>
      <w:r w:rsidR="00793CE7">
        <w:rPr>
          <w:rFonts w:ascii="Times New Roman" w:eastAsia="Times New Roman" w:hAnsi="Times New Roman" w:cs="Times New Roman"/>
          <w:bCs/>
          <w:kern w:val="0"/>
          <w:sz w:val="24"/>
          <w:szCs w:val="24"/>
          <w:lang w:eastAsia="pl-PL"/>
          <w14:ligatures w14:val="none"/>
        </w:rPr>
        <w:t>art. </w:t>
      </w:r>
      <w:r w:rsidRPr="00B308B7">
        <w:rPr>
          <w:rFonts w:ascii="Times New Roman" w:eastAsia="Times New Roman" w:hAnsi="Times New Roman" w:cs="Times New Roman"/>
          <w:bCs/>
          <w:kern w:val="0"/>
          <w:sz w:val="24"/>
          <w:szCs w:val="24"/>
          <w:lang w:eastAsia="pl-PL"/>
          <w14:ligatures w14:val="none"/>
        </w:rPr>
        <w:t>308 k.c.), a wpis w rejestrze zastawów ma charakter konstytutywny, o czym bezsprzecznie stanowi art. 2 ust. 1 ustawy z dnia 6 grudnia 1996 r. o zastawie rejestrowym i rejestrze zastawów (Dz. U. z 2018 r. poz. 2017), zgodnie z którym do powstania zastawu rejestrowego konieczne jest dokonanie wpisu w rejestrze zastawów, w celu zapewnienia prawidłowej wykładni przepisów, projektodawca wprowadza zmianę art. 328</w:t>
      </w:r>
      <w:r w:rsidRPr="00B308B7">
        <w:rPr>
          <w:rFonts w:ascii="Times New Roman" w:eastAsia="Times New Roman" w:hAnsi="Times New Roman" w:cs="Times New Roman"/>
          <w:bCs/>
          <w:kern w:val="0"/>
          <w:sz w:val="24"/>
          <w:szCs w:val="24"/>
          <w:vertAlign w:val="superscript"/>
          <w:lang w:eastAsia="pl-PL"/>
          <w14:ligatures w14:val="none"/>
        </w:rPr>
        <w:t>9</w:t>
      </w:r>
      <w:r w:rsidRPr="00B308B7">
        <w:rPr>
          <w:rFonts w:ascii="Times New Roman" w:eastAsia="Times New Roman" w:hAnsi="Times New Roman" w:cs="Times New Roman"/>
          <w:bCs/>
          <w:kern w:val="0"/>
          <w:sz w:val="24"/>
          <w:szCs w:val="24"/>
          <w:lang w:eastAsia="pl-PL"/>
          <w14:ligatures w14:val="none"/>
        </w:rPr>
        <w:t xml:space="preserve"> § 2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xml:space="preserve">. W świetle proponowanej regulacji wpis do rejestru akcjonariuszy ma charakter deklaratoryjny, między innymi w przypadku zajścia innego zdarzenia prawnego powodującego z mocy prawa przejście akcji lub ustanowionego na niej ograniczonego prawa rzeczowego na inną osobę lub ustanowienie na akcji ograniczonego prawa rzeczowego. Z projektowanego przepisu wynikało będzie jednoznacznie, że w przypadku ustanowienia na akcji z mocy prawa ograniczonego prawa rzeczowego na skutek zdarzenia prawnego (czyli w omawianym przypadku ustanowienia zastawu rejestrowego z mocy prawa na skutek wpisu do rejestru zastawów) wpis do rejestru akcjonariuszy ma charakter deklaratoryjny. </w:t>
      </w:r>
    </w:p>
    <w:p w14:paraId="2B7D29A2"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lastRenderedPageBreak/>
        <w:t>Z uwagi na możliwość skutecznego zablokowania akcji przez zastawnika mimo wygaśnięcia zastawu na skutek wygaśnięcia zobowiązania bez zaspokojenia wierzyciela, projekt przewiduje utratę ważności świadectwa rejestrowego wydanego zastawnikowi w przypadku wygaśnięcia zastawu z innych przyczyn niż wskazana w art. 328</w:t>
      </w:r>
      <w:r w:rsidRPr="00B308B7">
        <w:rPr>
          <w:rFonts w:ascii="Times New Roman" w:eastAsia="Times New Roman" w:hAnsi="Times New Roman" w:cs="Times New Roman"/>
          <w:bCs/>
          <w:kern w:val="0"/>
          <w:sz w:val="24"/>
          <w:szCs w:val="24"/>
          <w:vertAlign w:val="superscript"/>
          <w:lang w:eastAsia="pl-PL"/>
          <w14:ligatures w14:val="none"/>
        </w:rPr>
        <w:t>8</w:t>
      </w:r>
      <w:r w:rsidRPr="00B308B7">
        <w:rPr>
          <w:rFonts w:ascii="Times New Roman" w:eastAsia="Times New Roman" w:hAnsi="Times New Roman" w:cs="Times New Roman"/>
          <w:bCs/>
          <w:kern w:val="0"/>
          <w:sz w:val="24"/>
          <w:szCs w:val="24"/>
          <w:lang w:eastAsia="pl-PL"/>
          <w14:ligatures w14:val="none"/>
        </w:rPr>
        <w:t xml:space="preserve"> § 1 pkt 2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xml:space="preserve">. (art. 1 pkt 12 projektu ustawy). </w:t>
      </w:r>
    </w:p>
    <w:p w14:paraId="7BB2F414"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Projekt ustawy przewiduje także rezygnację z dotychczasowej klasyfikacji akcji na akcje imienne i na okaziciela.</w:t>
      </w:r>
    </w:p>
    <w:p w14:paraId="1B4AA75E" w14:textId="79A24275"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Konsekwencją zmian z 2019 r. wdrażających obligatoryjną, powszechną dematerializację akcji było wprowadzenie do polskiego prawa spółek pojęcia akcji rejestrowej, przy jednoczesnym utrzymaniu klasyfikacji akcji na okaziciela i akcji imiennej. Obligatoryjna dematerializacja akcji spowodowała jednak, że każda akcja – bez względu na to, czy jest akcją na okaziciela czy akcją imienną – ma status akcji rejestrowej, umożliwiającej identyfikację także akcjonariusza uprawnionego do praw z akcji na okaziciela. Wobec tego utrzymanie obecnej klasyfikacji akcji na akcje imienne i na okaziciela nie ma uzasadnienia.</w:t>
      </w:r>
    </w:p>
    <w:p w14:paraId="1A037D9E" w14:textId="46DA19AC"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Podstawowe różnice między akcjami imiennymi i na okaziciela, takie jak obrót akcją czy też legitymacja formalna akcjonariusza</w:t>
      </w:r>
      <w:r w:rsidR="00793CE7">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uległy zatarciu. Przed wprowadzeniem powszechnej dematerializacji akcji uzasadnieniem dla utrzymania rozróżnienia na akcje imienne i na okaziciela były między innymi różne mechanizmy wykazywania legitymacji do wykonywania poszczególnych uprawnień do uczestniczenia w walnym zgromadzeniu</w:t>
      </w:r>
      <w:r w:rsidR="00793CE7">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obecnie nie występują odmienności w tym zakresie. Przepisy wprowadzające powszechną dematerializację akcji uchyliły zdecydowaną większość regulacji, które różnicowały akcje. Wyeliminowano między innymi akcje aportowe oraz zniesiono dualizm w obszarze obrotu akcjami (uchylony art. 336 i</w:t>
      </w:r>
      <w:r w:rsidR="00793CE7">
        <w:rPr>
          <w:rFonts w:ascii="Times New Roman" w:eastAsia="Times New Roman" w:hAnsi="Times New Roman" w:cs="Times New Roman"/>
          <w:bCs/>
          <w:kern w:val="0"/>
          <w:sz w:val="24"/>
          <w:szCs w:val="24"/>
          <w:lang w:eastAsia="pl-PL"/>
          <w14:ligatures w14:val="none"/>
        </w:rPr>
        <w:t xml:space="preserve"> art. </w:t>
      </w:r>
      <w:r w:rsidRPr="00B308B7">
        <w:rPr>
          <w:rFonts w:ascii="Times New Roman" w:eastAsia="Times New Roman" w:hAnsi="Times New Roman" w:cs="Times New Roman"/>
          <w:bCs/>
          <w:kern w:val="0"/>
          <w:sz w:val="24"/>
          <w:szCs w:val="24"/>
          <w:lang w:eastAsia="pl-PL"/>
          <w14:ligatures w14:val="none"/>
        </w:rPr>
        <w:t>339 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w:t>
      </w:r>
    </w:p>
    <w:p w14:paraId="12F6E048" w14:textId="2A457D1A"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i/>
          <w:iCs/>
          <w:kern w:val="0"/>
          <w:sz w:val="24"/>
          <w:szCs w:val="24"/>
          <w:lang w:eastAsia="pl-PL"/>
          <w14:ligatures w14:val="none"/>
        </w:rPr>
        <w:t>De lege lata</w:t>
      </w:r>
      <w:r w:rsidRPr="00B308B7">
        <w:rPr>
          <w:rFonts w:ascii="Times New Roman" w:eastAsia="Times New Roman" w:hAnsi="Times New Roman" w:cs="Times New Roman"/>
          <w:bCs/>
          <w:kern w:val="0"/>
          <w:sz w:val="24"/>
          <w:szCs w:val="24"/>
          <w:lang w:eastAsia="pl-PL"/>
          <w14:ligatures w14:val="none"/>
        </w:rPr>
        <w:t xml:space="preserve"> zróżnicowanie między akcjami imiennymi i na okaziciela występuje w obszarach uprzywilejowania i obciążania akcji (możliwość emitowania akcji uprzywilejowanych, statutowego ograniczenia rozporządzania akcjami imiennymi czy też powiązania akcji z</w:t>
      </w:r>
      <w:r w:rsidR="000A58D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obowiązkiem powtarzających się świadczeń niepieniężnych na rzecz spółki). Wskazać jednak należy, że skutek, jaki w powołanych przepisach jest osiągany</w:t>
      </w:r>
      <w:r w:rsidR="000A58D4">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można też uzyskać przez użycie określonego oznaczenia identyfikującego akcje. Wprowadzenie obowiązku dematerializacji i</w:t>
      </w:r>
      <w:r w:rsidR="000A58D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 xml:space="preserve">rejestracji wszystkich akcji zapewnia bowiem możliwość identyfikacji akcjonariuszy spółki. Wprowadzenie kategorii akcji rejestrowej uzasadnia rezygnację z klasyfikacji na akcje imienne </w:t>
      </w:r>
      <w:r w:rsidRPr="00B308B7">
        <w:rPr>
          <w:rFonts w:ascii="Times New Roman" w:eastAsia="Times New Roman" w:hAnsi="Times New Roman" w:cs="Times New Roman"/>
          <w:bCs/>
          <w:kern w:val="0"/>
          <w:sz w:val="24"/>
          <w:szCs w:val="24"/>
          <w:lang w:eastAsia="pl-PL"/>
          <w14:ligatures w14:val="none"/>
        </w:rPr>
        <w:lastRenderedPageBreak/>
        <w:t>i na okaziciela, ponieważ utraciła ona swój normatywny sens. Jednocześnie zasadne jest zachowanie pojęcia „rodzaj akcji” z uwagi na możliwość jej uprzywilejowania.</w:t>
      </w:r>
    </w:p>
    <w:p w14:paraId="2406E161" w14:textId="46DD0D89"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 związku z tym, że konsekwencją wprowadzenia obowiązkowej dematerializacji wszystkich akcji było wygaśnięcie z mocy prawa, z dniem 1 marca 2021 r., mocy obowiązującej dokumentów akcji wydanych przez spółkę, z jednoczesnym zachowaniem ograniczonej legitymacji z dokumentów akcji w okresie pięciu lat od wskazanej daty, konieczne jest zapewnienie skutecznej ochrony uprawnień akcjonariuszy spółek, które nie wykonały obowiązków nałożonych przepisami ustawy z dnia 30 sierpnia 2019 r. o zmianie ustawy – Kodeks spółek handlowych oraz niektórych innych ustaw.</w:t>
      </w:r>
    </w:p>
    <w:p w14:paraId="37011B0F" w14:textId="737C6838"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 celu wzmocnienia ochrony uprawnień akcjonariuszy w art. 29 projektu ustawy przewidziano nałożenie na spółki emitujące akcje obowiązku złożenia do sądu rejestrowego wniosku o wpis w rejestrze przedsiębiorców informacji, o których mowa w art. 38 pkt 7 lit. h, pkt 8a lit. j, pkt</w:t>
      </w:r>
      <w:r w:rsidR="006A02A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9 lit. l, pkt 9a lit. k ustawy o Krajowym Rejestrze Sądowym, w terminie 3 miesięcy od dnia wejścia w życie ustawy, który przewiduje ujawnianie w Krajowym Rejestrze Sądowym informacji o podmiocie prowadzącym rejestr akcjonariuszy lub rejestrującym akcje w</w:t>
      </w:r>
      <w:r w:rsidR="006A02A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 xml:space="preserve">depozycie papierów wartościowych. Celem projektowanego art. 29 jest zapewnienie jak najszybszego publicznego dostępu do danych wskazanych w tym przepisie. </w:t>
      </w:r>
      <w:bookmarkStart w:id="3" w:name="_Hlk158633469"/>
      <w:r w:rsidRPr="00B308B7">
        <w:rPr>
          <w:rFonts w:ascii="Times New Roman" w:eastAsia="Times New Roman" w:hAnsi="Times New Roman" w:cs="Times New Roman"/>
          <w:bCs/>
          <w:kern w:val="0"/>
          <w:sz w:val="24"/>
          <w:szCs w:val="24"/>
          <w:lang w:eastAsia="pl-PL"/>
          <w14:ligatures w14:val="none"/>
        </w:rPr>
        <w:t>Spółki, dla których prowadzony jest rejestr akcjonariuszy</w:t>
      </w:r>
      <w:r w:rsidR="006A02A4">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w dniu wejścia w życie ustawy </w:t>
      </w:r>
      <w:bookmarkEnd w:id="3"/>
      <w:r w:rsidRPr="00B308B7">
        <w:rPr>
          <w:rFonts w:ascii="Times New Roman" w:eastAsia="Times New Roman" w:hAnsi="Times New Roman" w:cs="Times New Roman"/>
          <w:bCs/>
          <w:kern w:val="0"/>
          <w:sz w:val="24"/>
          <w:szCs w:val="24"/>
          <w:lang w:eastAsia="pl-PL"/>
          <w14:ligatures w14:val="none"/>
        </w:rPr>
        <w:t>powinny złożyć odpowiedni wniosek o wpis w terminie określonym w art. 29. Określając proponowany termin</w:t>
      </w:r>
      <w:r w:rsidR="006A02A4">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uwzględniono czas, w jakim możliwe jest rozpoznanie złożonych wniosków przez sąd rejestrowy (w przypadku większych aglomeracji liczba podmiotów, dla których prowadzone są rejestry akcjonariuszy</w:t>
      </w:r>
      <w:r w:rsidR="006A02A4">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jest stosunkowo duża). </w:t>
      </w:r>
    </w:p>
    <w:p w14:paraId="4077D99A" w14:textId="11CB7582"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 przypadku gdy umowa o powadzenie rejestru akcjonariuszy zostanie zawarta po wejściu w</w:t>
      </w:r>
      <w:r w:rsidR="006A02A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 xml:space="preserve">życie niniejszej regulacji, termin na zgłoszenie zmian do sądu rejestrowego będzie tożsamy jak w przypadku innych wymaganych zgłoszeń, a więc zgodnie z art. 22 ustawy o Krajowym Rejestrze Sądowym </w:t>
      </w:r>
      <w:r>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7 dni od dnia zajścia zdarzenia uzasadniającego dokonanie wpisu.</w:t>
      </w:r>
    </w:p>
    <w:p w14:paraId="50E3C9E7" w14:textId="4CAA31F5"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Wobec tego, że spółka niepubliczna może zmienić podmiot uprawniony do prowadzenia rejestru akcjonariuszy, w art. 16 pkt 3 projektu ustawy przewidziano zmianę ustawy z dnia 29</w:t>
      </w:r>
      <w:r w:rsidR="006A02A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lipca 2005 r. o obrocie instrumentami finansowymi przez wprowadzenie obowiązku przechowywania, archiwizowania, a także przekazania rejestru akcjonariuszy, wraz z</w:t>
      </w:r>
      <w:r w:rsidR="006A02A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dokumentami związanymi z prowadzeniem tego rejestru, podmiotowi prowadzącemu rejestr akcjonariuszy wskazanemu przez spółkę.</w:t>
      </w:r>
    </w:p>
    <w:p w14:paraId="4DC57E68" w14:textId="29E9B989"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lastRenderedPageBreak/>
        <w:t>W związku z tym, że z danych zgromadzonych przez projektodawcę wynika, że część spółek niepublicznych nie wykonała obowiązku zawarcia umowy o prowadzenie rejestru akcjonariuszy lub o rejestrację akcji w depozycie papierów wartościowych (co powoduje, że nie jest możliwa rejestracja akcji, które zostały wyemitowane przed dniem wejścia w życie przepisów wprowadzających powszechną dematerializację akcji)</w:t>
      </w:r>
      <w:r w:rsidR="006A02A4">
        <w:rPr>
          <w:rFonts w:ascii="Times New Roman" w:eastAsia="Times New Roman" w:hAnsi="Times New Roman" w:cs="Times New Roman"/>
          <w:bCs/>
          <w:kern w:val="0"/>
          <w:sz w:val="24"/>
          <w:szCs w:val="24"/>
          <w:lang w:eastAsia="pl-PL"/>
          <w14:ligatures w14:val="none"/>
        </w:rPr>
        <w:t>,</w:t>
      </w:r>
      <w:r w:rsidRPr="00B308B7">
        <w:rPr>
          <w:rFonts w:ascii="Times New Roman" w:eastAsia="Times New Roman" w:hAnsi="Times New Roman" w:cs="Times New Roman"/>
          <w:bCs/>
          <w:kern w:val="0"/>
          <w:sz w:val="24"/>
          <w:szCs w:val="24"/>
          <w:lang w:eastAsia="pl-PL"/>
          <w14:ligatures w14:val="none"/>
        </w:rPr>
        <w:t xml:space="preserve"> w ocenie projektodawcy zasadne jest wzmocnienie ochrony interesów akcjonariuszy tych spółek. </w:t>
      </w:r>
    </w:p>
    <w:p w14:paraId="2C8F2D4E" w14:textId="384B6DCE"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 xml:space="preserve">Dodatkowo do Ministerstwa Sprawiedliwości zgłaszane są także problemy związane z utratą dokumentów akcji lub ich zniszczeniem. Wobec uchylenia art. 357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nie jest obecnie możliwe wydanie duplikatu dokumentu akcji. Jeżeli akcjonariusz nie może skorzystać z</w:t>
      </w:r>
      <w:r w:rsidR="006A02A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 xml:space="preserve">uproszczonej formy wykazania swoich praw udziałowych, np. z powodu zniszczenia dokumentu akcji, a nie wystąpił o wydanie duplikatu akcji na podstawie postanowień statutu lub art. 357 § 3 </w:t>
      </w:r>
      <w:proofErr w:type="spellStart"/>
      <w:r w:rsidRPr="00B308B7">
        <w:rPr>
          <w:rFonts w:ascii="Times New Roman" w:eastAsia="Times New Roman" w:hAnsi="Times New Roman" w:cs="Times New Roman"/>
          <w:bCs/>
          <w:kern w:val="0"/>
          <w:sz w:val="24"/>
          <w:szCs w:val="24"/>
          <w:lang w:eastAsia="pl-PL"/>
          <w14:ligatures w14:val="none"/>
        </w:rPr>
        <w:t>k.s.h</w:t>
      </w:r>
      <w:proofErr w:type="spellEnd"/>
      <w:r w:rsidRPr="00B308B7">
        <w:rPr>
          <w:rFonts w:ascii="Times New Roman" w:eastAsia="Times New Roman" w:hAnsi="Times New Roman" w:cs="Times New Roman"/>
          <w:bCs/>
          <w:kern w:val="0"/>
          <w:sz w:val="24"/>
          <w:szCs w:val="24"/>
          <w:lang w:eastAsia="pl-PL"/>
          <w14:ligatures w14:val="none"/>
        </w:rPr>
        <w:t xml:space="preserve">. (przed uchyleniem tego przepisu), może jedynie dowodzić swoich praw na drodze sądowej, co wymaga odpowiedniego czasu na przeprowadzenie postępowania. </w:t>
      </w:r>
    </w:p>
    <w:p w14:paraId="0BC9D4CB" w14:textId="087D8C03"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B308B7">
        <w:rPr>
          <w:rFonts w:ascii="Times New Roman" w:eastAsia="Times New Roman" w:hAnsi="Times New Roman" w:cs="Times New Roman"/>
          <w:kern w:val="0"/>
          <w:sz w:val="24"/>
          <w:szCs w:val="24"/>
          <w:lang w:eastAsia="pl-PL"/>
          <w14:ligatures w14:val="none"/>
        </w:rPr>
        <w:t>Z powyższych względów w art. 28 projektu ustawy przewidziano wydłużenie mocy dowodowej dokumentów akcji o dwa lata w stosunku do obecnie obowiązującej regulacji. Działanie to znajduje uzasadnienie w potrzebie ochrony interesów posiadaczy akcji, mimo upływu ustawowego terminu dematerializacji. Wydłużenie terminu, o którym mowa powyżej, stanowi tymczasowy środek ochronny, który ma na celu zabezpieczenie legitymacji udziałowej tych akcjonariuszy do czasu, gdy będą mogli skutecznie zarejestrować swoje akcje. Rozwiązanie to przyczynia się do zwiększenia pewności prawa w okresie przejściowym i</w:t>
      </w:r>
      <w:r w:rsidR="006E3597">
        <w:rPr>
          <w:rFonts w:ascii="Times New Roman" w:eastAsia="Times New Roman" w:hAnsi="Times New Roman" w:cs="Times New Roman"/>
          <w:kern w:val="0"/>
          <w:sz w:val="24"/>
          <w:szCs w:val="24"/>
          <w:lang w:eastAsia="pl-PL"/>
          <w14:ligatures w14:val="none"/>
        </w:rPr>
        <w:t> </w:t>
      </w:r>
      <w:r w:rsidRPr="00B308B7">
        <w:rPr>
          <w:rFonts w:ascii="Times New Roman" w:eastAsia="Times New Roman" w:hAnsi="Times New Roman" w:cs="Times New Roman"/>
          <w:kern w:val="0"/>
          <w:sz w:val="24"/>
          <w:szCs w:val="24"/>
          <w:lang w:eastAsia="pl-PL"/>
          <w14:ligatures w14:val="none"/>
        </w:rPr>
        <w:t xml:space="preserve">umożliwia zachowanie ciągłości praw udziałowych. </w:t>
      </w:r>
    </w:p>
    <w:p w14:paraId="58F51FD9" w14:textId="1905B405"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B308B7">
        <w:rPr>
          <w:rFonts w:ascii="Times New Roman" w:eastAsia="Times New Roman" w:hAnsi="Times New Roman" w:cs="Times New Roman"/>
          <w:kern w:val="0"/>
          <w:sz w:val="24"/>
          <w:szCs w:val="24"/>
          <w:lang w:eastAsia="pl-PL"/>
          <w14:ligatures w14:val="none"/>
        </w:rPr>
        <w:t>W proj</w:t>
      </w:r>
      <w:r w:rsidR="006E3597">
        <w:rPr>
          <w:rFonts w:ascii="Times New Roman" w:eastAsia="Times New Roman" w:hAnsi="Times New Roman" w:cs="Times New Roman"/>
          <w:kern w:val="0"/>
          <w:sz w:val="24"/>
          <w:szCs w:val="24"/>
          <w:lang w:eastAsia="pl-PL"/>
          <w14:ligatures w14:val="none"/>
        </w:rPr>
        <w:t>ektowanym</w:t>
      </w:r>
      <w:r w:rsidRPr="00B308B7">
        <w:rPr>
          <w:rFonts w:ascii="Times New Roman" w:eastAsia="Times New Roman" w:hAnsi="Times New Roman" w:cs="Times New Roman"/>
          <w:kern w:val="0"/>
          <w:sz w:val="24"/>
          <w:szCs w:val="24"/>
          <w:lang w:eastAsia="pl-PL"/>
          <w14:ligatures w14:val="none"/>
        </w:rPr>
        <w:t xml:space="preserve"> art. 28 przewidziano ponadto przekazanie sądom rejestrowym kompetencji do nakładania grzywien za niewykonanie obowiązku zawarcia umowy o prowadzenie rejestru akcjonariuszy albo rejestrację akcji w depozycie papierów wartościowych. Celem tego rozwiązania jest wzmocnienie mechanizmów przymuszających spółki do wykonani</w:t>
      </w:r>
      <w:r w:rsidR="006E3597">
        <w:rPr>
          <w:rFonts w:ascii="Times New Roman" w:eastAsia="Times New Roman" w:hAnsi="Times New Roman" w:cs="Times New Roman"/>
          <w:kern w:val="0"/>
          <w:sz w:val="24"/>
          <w:szCs w:val="24"/>
          <w:lang w:eastAsia="pl-PL"/>
          <w14:ligatures w14:val="none"/>
        </w:rPr>
        <w:t>a</w:t>
      </w:r>
      <w:r w:rsidRPr="00B308B7">
        <w:rPr>
          <w:rFonts w:ascii="Times New Roman" w:eastAsia="Times New Roman" w:hAnsi="Times New Roman" w:cs="Times New Roman"/>
          <w:kern w:val="0"/>
          <w:sz w:val="24"/>
          <w:szCs w:val="24"/>
          <w:lang w:eastAsia="pl-PL"/>
          <w14:ligatures w14:val="none"/>
        </w:rPr>
        <w:t xml:space="preserve"> obowiązku dematerializacji akcji. Z tych względów zasadn</w:t>
      </w:r>
      <w:r w:rsidR="006E3597">
        <w:rPr>
          <w:rFonts w:ascii="Times New Roman" w:eastAsia="Times New Roman" w:hAnsi="Times New Roman" w:cs="Times New Roman"/>
          <w:kern w:val="0"/>
          <w:sz w:val="24"/>
          <w:szCs w:val="24"/>
          <w:lang w:eastAsia="pl-PL"/>
          <w14:ligatures w14:val="none"/>
        </w:rPr>
        <w:t>e</w:t>
      </w:r>
      <w:r w:rsidRPr="00B308B7">
        <w:rPr>
          <w:rFonts w:ascii="Times New Roman" w:eastAsia="Times New Roman" w:hAnsi="Times New Roman" w:cs="Times New Roman"/>
          <w:kern w:val="0"/>
          <w:sz w:val="24"/>
          <w:szCs w:val="24"/>
          <w:lang w:eastAsia="pl-PL"/>
          <w14:ligatures w14:val="none"/>
        </w:rPr>
        <w:t xml:space="preserve"> jest skoncentrowanie wszystkich środków oddziaływania we właściwości jednego organu, co obejmuje zarówno grzywny nakładane przez sąd rejestrowy w postępowaniu przymuszającym przewidzianym w przepisach ustawy o Krajowym Rejestrze Sądowym, jak i grzywny wynikające z obowiązków związanych z dematerializacją akcji. Takie rozwiązanie zapewni jednolitość stosowania prawa, wyeliminuje rozproszenie kompetencyjne między sądem rejestrowym i sądem karnym oraz wzmocni skuteczność nadzoru nad wykonywaniem obowiązków nałożonych na spółki. W uzupełnieniu rozwiązania w tym zakresie przewidziano wprowadzenie przepisu </w:t>
      </w:r>
      <w:r w:rsidRPr="00B308B7">
        <w:rPr>
          <w:rFonts w:ascii="Times New Roman" w:eastAsia="Times New Roman" w:hAnsi="Times New Roman" w:cs="Times New Roman"/>
          <w:kern w:val="0"/>
          <w:sz w:val="24"/>
          <w:szCs w:val="24"/>
          <w:lang w:eastAsia="pl-PL"/>
          <w14:ligatures w14:val="none"/>
        </w:rPr>
        <w:lastRenderedPageBreak/>
        <w:t>przejściowego, zgodnie z którym sprawy wszczęte i niezakończone przed dniem wejścia w</w:t>
      </w:r>
      <w:r w:rsidR="006E3597">
        <w:rPr>
          <w:rFonts w:ascii="Times New Roman" w:eastAsia="Times New Roman" w:hAnsi="Times New Roman" w:cs="Times New Roman"/>
          <w:kern w:val="0"/>
          <w:sz w:val="24"/>
          <w:szCs w:val="24"/>
          <w:lang w:eastAsia="pl-PL"/>
          <w14:ligatures w14:val="none"/>
        </w:rPr>
        <w:t> </w:t>
      </w:r>
      <w:r w:rsidRPr="00B308B7">
        <w:rPr>
          <w:rFonts w:ascii="Times New Roman" w:eastAsia="Times New Roman" w:hAnsi="Times New Roman" w:cs="Times New Roman"/>
          <w:kern w:val="0"/>
          <w:sz w:val="24"/>
          <w:szCs w:val="24"/>
          <w:lang w:eastAsia="pl-PL"/>
          <w14:ligatures w14:val="none"/>
        </w:rPr>
        <w:t>życie ustawy będą rozpoznawane przez sąd dotychczas właściwy, za czym przemawia potrzeba zachowania ciągłości postępowań oraz poszanowania zasady ochrony zaufania obywateli do państwa i prawa. Utrzymanie właściwości sądu dotychczasowego dla spraw już wszczętych zapewni stabilny przebieg postępowania, pozwoli na ich sprawne dokończenie, co obejmuje również wykonanie nałożonych grzywien (</w:t>
      </w:r>
      <w:r w:rsidRPr="00B308B7">
        <w:rPr>
          <w:rFonts w:ascii="Times New Roman" w:eastAsia="Times New Roman" w:hAnsi="Times New Roman" w:cs="Times New Roman"/>
          <w:i/>
          <w:iCs/>
          <w:kern w:val="0"/>
          <w:sz w:val="24"/>
          <w:szCs w:val="24"/>
          <w:lang w:eastAsia="pl-PL"/>
          <w14:ligatures w14:val="none"/>
        </w:rPr>
        <w:t>vide:</w:t>
      </w:r>
      <w:r w:rsidRPr="00B308B7">
        <w:rPr>
          <w:rFonts w:ascii="Times New Roman" w:eastAsia="Times New Roman" w:hAnsi="Times New Roman" w:cs="Times New Roman"/>
          <w:kern w:val="0"/>
          <w:sz w:val="24"/>
          <w:szCs w:val="24"/>
          <w:lang w:eastAsia="pl-PL"/>
          <w14:ligatures w14:val="none"/>
        </w:rPr>
        <w:t xml:space="preserve"> proj. art. 33 ust. 2) oraz zapobiegnie powstaniu sytuacji procesowych, które mogłyby naruszać prawa stron.</w:t>
      </w:r>
    </w:p>
    <w:p w14:paraId="4ED3B933" w14:textId="188C6E3A"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Przepis art. 32 projektu przewiduje utrzymanie podziału akcji na imienne i na okaziciela w</w:t>
      </w:r>
      <w:r w:rsidR="00884B9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odniesieniu do akcji, które nie zostały zarejestrowane w rejestrze akcjonariuszy albo w</w:t>
      </w:r>
      <w:r w:rsidR="00884B9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depozycie papierów wartościowych. Mimo że w docelowym modelu dematerializacji akcji podział ten został zniesiony dla akcji zarejestrowanych, nie jest możliwe całkowite wyeliminowanie tego rozróżnienia w odniesieniu do akcji niezarejestrowanych. Wynika to z</w:t>
      </w:r>
      <w:r w:rsidR="00884B94">
        <w:rPr>
          <w:rFonts w:ascii="Times New Roman" w:eastAsia="Times New Roman" w:hAnsi="Times New Roman" w:cs="Times New Roman"/>
          <w:bCs/>
          <w:kern w:val="0"/>
          <w:sz w:val="24"/>
          <w:szCs w:val="24"/>
          <w:lang w:eastAsia="pl-PL"/>
          <w14:ligatures w14:val="none"/>
        </w:rPr>
        <w:t> </w:t>
      </w:r>
      <w:r w:rsidRPr="00B308B7">
        <w:rPr>
          <w:rFonts w:ascii="Times New Roman" w:eastAsia="Times New Roman" w:hAnsi="Times New Roman" w:cs="Times New Roman"/>
          <w:bCs/>
          <w:kern w:val="0"/>
          <w:sz w:val="24"/>
          <w:szCs w:val="24"/>
          <w:lang w:eastAsia="pl-PL"/>
          <w14:ligatures w14:val="none"/>
        </w:rPr>
        <w:t>faktu, że w przypadku akcji na okaziciela, które nie zostały zarejestrowane, brak jest możliwości identyfikacji uprawnionego akcjonariusza. Tym samym, do czasu ich rejestracji, muszą być one traktowane zgodnie ze swoim pierwotnym charakterem, co wymaga zachowania dotychczasowej kwalifikacji. Rozwiązanie to zapewnia spójność systemową oraz zabezpiecza prawa posiadaczy niezarejestrowanych akcji, uniemożliwiając powstanie stanu niepewności co do statusu tych papierów wartościowych. Jednocześnie podkreślić należy, że do akcji niezarejestrowanych zastosowanie znajdzie art. 15 ust. 2 w brzmieniu nadanym niniejszą ustawą w celu przedłużenia ich mocy dowodowej, co jest logiczną konsekwencją wprowadzanych zmian, które służyć mają miedzy innymi zapewnieniu właściwej ochrony praw akcjonariuszy. Proponowany termin wejścia w życie ustawy wynika z konieczności wzmocnienia bezpieczeństwa obrotu akcjami spółek niepublicznych, a także zapewnienia skutecznej ochrony uprawnień akcjonariuszy spółek. Jednocześnie ze względu na konieczność modyfikacji systemu teleinformatycznego, o którym mowa w art. 3a ustawy o Krajowym Rejestrze Sądowym, oraz systemów teleinformatycznych Krajowego Depozytu Papierów Wartościowych S.A. niezbędne było przyjęcie terminu umożliwiającego modernizację tego systemu.</w:t>
      </w:r>
    </w:p>
    <w:p w14:paraId="2B74AC8D"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 xml:space="preserve">Projekt nie podlega notyfikacji zgodnie z przepisami dotyczącymi funkcjonowania krajowego systemu notyfikacji norm i aktów prawnych. </w:t>
      </w:r>
    </w:p>
    <w:p w14:paraId="360C5A97"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Projekt ustawy nie wymaga przedstawienia właściwym organom i instytucjom Unii Europejskiej, w tym Europejskiemu Bankowi Centralnemu, w celu uzyskania opinii, dokonania powiadomienia, konsultacji albo uzgodnienia.</w:t>
      </w:r>
    </w:p>
    <w:p w14:paraId="12FC23A2"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lastRenderedPageBreak/>
        <w:t xml:space="preserve">Projekt ustawy nie wpływa negatywnie na </w:t>
      </w:r>
      <w:proofErr w:type="spellStart"/>
      <w:r w:rsidRPr="00B308B7">
        <w:rPr>
          <w:rFonts w:ascii="Times New Roman" w:eastAsia="Times New Roman" w:hAnsi="Times New Roman" w:cs="Times New Roman"/>
          <w:bCs/>
          <w:kern w:val="0"/>
          <w:sz w:val="24"/>
          <w:szCs w:val="24"/>
          <w:lang w:eastAsia="pl-PL"/>
          <w14:ligatures w14:val="none"/>
        </w:rPr>
        <w:t>mikroprzedsiębiorców</w:t>
      </w:r>
      <w:proofErr w:type="spellEnd"/>
      <w:r w:rsidRPr="00B308B7">
        <w:rPr>
          <w:rFonts w:ascii="Times New Roman" w:eastAsia="Times New Roman" w:hAnsi="Times New Roman" w:cs="Times New Roman"/>
          <w:bCs/>
          <w:kern w:val="0"/>
          <w:sz w:val="24"/>
          <w:szCs w:val="24"/>
          <w:lang w:eastAsia="pl-PL"/>
          <w14:ligatures w14:val="none"/>
        </w:rPr>
        <w:t xml:space="preserve">, małych i średnich przedsiębiorców i jest zgodny z przepisami ustawy z dnia 6 marca 2018 r. – Prawo przedsiębiorców (Dz. U. z 2024 r. poz. 236, 1222 i 1871). </w:t>
      </w:r>
    </w:p>
    <w:p w14:paraId="6DEFA9FB"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 xml:space="preserve">Projektowana ustawa nie zawiera przepisów technicznych w rozumieniu rozporządzenia Rady Ministrów z dnia 23 grudnia 2002 r. w sprawie sposobu funkcjonowania krajowego systemu notyfikacji norm i aktów prawnych (Dz. U. poz. 2039, z </w:t>
      </w:r>
      <w:proofErr w:type="spellStart"/>
      <w:r w:rsidRPr="00B308B7">
        <w:rPr>
          <w:rFonts w:ascii="Times New Roman" w:eastAsia="Times New Roman" w:hAnsi="Times New Roman" w:cs="Times New Roman"/>
          <w:bCs/>
          <w:kern w:val="0"/>
          <w:sz w:val="24"/>
          <w:szCs w:val="24"/>
          <w:lang w:eastAsia="pl-PL"/>
          <w14:ligatures w14:val="none"/>
        </w:rPr>
        <w:t>późn</w:t>
      </w:r>
      <w:proofErr w:type="spellEnd"/>
      <w:r w:rsidRPr="00B308B7">
        <w:rPr>
          <w:rFonts w:ascii="Times New Roman" w:eastAsia="Times New Roman" w:hAnsi="Times New Roman" w:cs="Times New Roman"/>
          <w:bCs/>
          <w:kern w:val="0"/>
          <w:sz w:val="24"/>
          <w:szCs w:val="24"/>
          <w:lang w:eastAsia="pl-PL"/>
          <w14:ligatures w14:val="none"/>
        </w:rPr>
        <w:t>. zm.).</w:t>
      </w:r>
    </w:p>
    <w:p w14:paraId="1E5901DD" w14:textId="25DEDD5C"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Projekt został udostępniony w Biuletynie Informacji Publicznej na stronie podmiotowej Rządowego Centrum Legislacji, w serwisie „Rządowy Proces Legislacyjny”, zgodnie z § 52 uchwały nr 190 Rady Ministrów z dnia 29 października 2013 r. – Regulamin pracy Rady Ministrów (M.P. z 2024 r. poz. 806</w:t>
      </w:r>
      <w:r w:rsidR="00A83875">
        <w:rPr>
          <w:rFonts w:ascii="Times New Roman" w:eastAsia="Times New Roman" w:hAnsi="Times New Roman" w:cs="Times New Roman"/>
          <w:bCs/>
          <w:kern w:val="0"/>
          <w:sz w:val="24"/>
          <w:szCs w:val="24"/>
          <w:lang w:eastAsia="pl-PL"/>
          <w14:ligatures w14:val="none"/>
        </w:rPr>
        <w:t xml:space="preserve">, z </w:t>
      </w:r>
      <w:proofErr w:type="spellStart"/>
      <w:r w:rsidR="00A83875">
        <w:rPr>
          <w:rFonts w:ascii="Times New Roman" w:eastAsia="Times New Roman" w:hAnsi="Times New Roman" w:cs="Times New Roman"/>
          <w:bCs/>
          <w:kern w:val="0"/>
          <w:sz w:val="24"/>
          <w:szCs w:val="24"/>
          <w:lang w:eastAsia="pl-PL"/>
          <w14:ligatures w14:val="none"/>
        </w:rPr>
        <w:t>późn</w:t>
      </w:r>
      <w:proofErr w:type="spellEnd"/>
      <w:r w:rsidR="00A83875">
        <w:rPr>
          <w:rFonts w:ascii="Times New Roman" w:eastAsia="Times New Roman" w:hAnsi="Times New Roman" w:cs="Times New Roman"/>
          <w:bCs/>
          <w:kern w:val="0"/>
          <w:sz w:val="24"/>
          <w:szCs w:val="24"/>
          <w:lang w:eastAsia="pl-PL"/>
          <w14:ligatures w14:val="none"/>
        </w:rPr>
        <w:t>. zm.</w:t>
      </w:r>
      <w:r w:rsidRPr="00B308B7">
        <w:rPr>
          <w:rFonts w:ascii="Times New Roman" w:eastAsia="Times New Roman" w:hAnsi="Times New Roman" w:cs="Times New Roman"/>
          <w:bCs/>
          <w:kern w:val="0"/>
          <w:sz w:val="24"/>
          <w:szCs w:val="24"/>
          <w:lang w:eastAsia="pl-PL"/>
          <w14:ligatures w14:val="none"/>
        </w:rPr>
        <w:t>).</w:t>
      </w:r>
    </w:p>
    <w:p w14:paraId="57A9428A" w14:textId="77777777" w:rsidR="00A01971" w:rsidRPr="00B308B7" w:rsidRDefault="00A01971" w:rsidP="00B308B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B308B7">
        <w:rPr>
          <w:rFonts w:ascii="Times New Roman" w:eastAsia="Times New Roman" w:hAnsi="Times New Roman" w:cs="Times New Roman"/>
          <w:bCs/>
          <w:kern w:val="0"/>
          <w:sz w:val="24"/>
          <w:szCs w:val="24"/>
          <w:lang w:eastAsia="pl-PL"/>
          <w14:ligatures w14:val="none"/>
        </w:rPr>
        <w:t>Projekt jest zgodny z prawem Unii Europejskiej.</w:t>
      </w:r>
    </w:p>
    <w:p w14:paraId="2D1FBC8F" w14:textId="2379C712" w:rsidR="00D35313" w:rsidRPr="00B308B7" w:rsidRDefault="00A01971" w:rsidP="00B308B7">
      <w:pPr>
        <w:spacing w:before="120" w:after="0" w:line="360" w:lineRule="auto"/>
        <w:rPr>
          <w:rFonts w:ascii="Times New Roman" w:hAnsi="Times New Roman" w:cs="Times New Roman"/>
          <w:sz w:val="24"/>
          <w:szCs w:val="24"/>
        </w:rPr>
      </w:pPr>
      <w:r w:rsidRPr="00B308B7">
        <w:rPr>
          <w:rFonts w:ascii="Times New Roman" w:eastAsia="Times New Roman" w:hAnsi="Times New Roman" w:cs="Times New Roman"/>
          <w:bCs/>
          <w:kern w:val="0"/>
          <w:sz w:val="24"/>
          <w:szCs w:val="24"/>
          <w:lang w:eastAsia="pl-PL"/>
          <w14:ligatures w14:val="none"/>
        </w:rPr>
        <w:t>Osiągnięcie celu ustawy nie jest możliwe za pomocą innych środków.</w:t>
      </w:r>
    </w:p>
    <w:sectPr w:rsidR="00D35313" w:rsidRPr="00B308B7" w:rsidSect="00B308B7">
      <w:footerReference w:type="default" r:id="rId6"/>
      <w:footnotePr>
        <w:numRestart w:val="eachSect"/>
      </w:footnotePr>
      <w:pgSz w:w="11906" w:h="16838"/>
      <w:pgMar w:top="1418" w:right="1418"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1CAD" w14:textId="77777777" w:rsidR="00EA4A21" w:rsidRDefault="00EA4A21" w:rsidP="00A01971">
      <w:pPr>
        <w:spacing w:after="0" w:line="240" w:lineRule="auto"/>
      </w:pPr>
      <w:r>
        <w:separator/>
      </w:r>
    </w:p>
  </w:endnote>
  <w:endnote w:type="continuationSeparator" w:id="0">
    <w:p w14:paraId="1F8DE3D1" w14:textId="77777777" w:rsidR="00EA4A21" w:rsidRDefault="00EA4A21" w:rsidP="00A0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774163"/>
      <w:docPartObj>
        <w:docPartGallery w:val="Page Numbers (Bottom of Page)"/>
        <w:docPartUnique/>
      </w:docPartObj>
    </w:sdtPr>
    <w:sdtEndPr>
      <w:rPr>
        <w:rFonts w:ascii="Times New Roman" w:hAnsi="Times New Roman" w:cs="Times New Roman"/>
        <w:sz w:val="24"/>
        <w:szCs w:val="24"/>
      </w:rPr>
    </w:sdtEndPr>
    <w:sdtContent>
      <w:p w14:paraId="17E9C4F0" w14:textId="36F87A34" w:rsidR="00A01971" w:rsidRPr="00A01971" w:rsidRDefault="00A01971" w:rsidP="00A01971">
        <w:pPr>
          <w:pStyle w:val="Stopka"/>
          <w:jc w:val="center"/>
          <w:rPr>
            <w:rFonts w:ascii="Times New Roman" w:hAnsi="Times New Roman" w:cs="Times New Roman"/>
            <w:sz w:val="24"/>
            <w:szCs w:val="24"/>
          </w:rPr>
        </w:pPr>
        <w:r w:rsidRPr="00A01971">
          <w:rPr>
            <w:rFonts w:ascii="Times New Roman" w:hAnsi="Times New Roman" w:cs="Times New Roman"/>
            <w:sz w:val="24"/>
            <w:szCs w:val="24"/>
          </w:rPr>
          <w:fldChar w:fldCharType="begin"/>
        </w:r>
        <w:r w:rsidRPr="00A01971">
          <w:rPr>
            <w:rFonts w:ascii="Times New Roman" w:hAnsi="Times New Roman" w:cs="Times New Roman"/>
            <w:sz w:val="24"/>
            <w:szCs w:val="24"/>
          </w:rPr>
          <w:instrText>PAGE   \* MERGEFORMAT</w:instrText>
        </w:r>
        <w:r w:rsidRPr="00A01971">
          <w:rPr>
            <w:rFonts w:ascii="Times New Roman" w:hAnsi="Times New Roman" w:cs="Times New Roman"/>
            <w:sz w:val="24"/>
            <w:szCs w:val="24"/>
          </w:rPr>
          <w:fldChar w:fldCharType="separate"/>
        </w:r>
        <w:r w:rsidRPr="00A01971">
          <w:rPr>
            <w:rFonts w:ascii="Times New Roman" w:hAnsi="Times New Roman" w:cs="Times New Roman"/>
            <w:sz w:val="24"/>
            <w:szCs w:val="24"/>
          </w:rPr>
          <w:t>2</w:t>
        </w:r>
        <w:r w:rsidRPr="00A0197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8489" w14:textId="77777777" w:rsidR="00EA4A21" w:rsidRDefault="00EA4A21" w:rsidP="00A01971">
      <w:pPr>
        <w:spacing w:after="0" w:line="240" w:lineRule="auto"/>
      </w:pPr>
      <w:r>
        <w:separator/>
      </w:r>
    </w:p>
  </w:footnote>
  <w:footnote w:type="continuationSeparator" w:id="0">
    <w:p w14:paraId="795CC48A" w14:textId="77777777" w:rsidR="00EA4A21" w:rsidRDefault="00EA4A21" w:rsidP="00A01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71"/>
    <w:rsid w:val="0004784F"/>
    <w:rsid w:val="000A58D4"/>
    <w:rsid w:val="001D43DB"/>
    <w:rsid w:val="002B7B25"/>
    <w:rsid w:val="003B1C54"/>
    <w:rsid w:val="003E454A"/>
    <w:rsid w:val="003E4798"/>
    <w:rsid w:val="00453F56"/>
    <w:rsid w:val="00493EA1"/>
    <w:rsid w:val="004C5475"/>
    <w:rsid w:val="00507624"/>
    <w:rsid w:val="005102EF"/>
    <w:rsid w:val="005211FD"/>
    <w:rsid w:val="00553A52"/>
    <w:rsid w:val="005564F9"/>
    <w:rsid w:val="00611B36"/>
    <w:rsid w:val="006863F4"/>
    <w:rsid w:val="006A02A4"/>
    <w:rsid w:val="006C4CB3"/>
    <w:rsid w:val="006E3597"/>
    <w:rsid w:val="00704DF8"/>
    <w:rsid w:val="00773FCB"/>
    <w:rsid w:val="00791CE8"/>
    <w:rsid w:val="00793CE7"/>
    <w:rsid w:val="007E4995"/>
    <w:rsid w:val="00884B94"/>
    <w:rsid w:val="008A4FBF"/>
    <w:rsid w:val="00A01971"/>
    <w:rsid w:val="00A83875"/>
    <w:rsid w:val="00AC391B"/>
    <w:rsid w:val="00AE30AD"/>
    <w:rsid w:val="00B308B7"/>
    <w:rsid w:val="00C33664"/>
    <w:rsid w:val="00D35313"/>
    <w:rsid w:val="00EA4A21"/>
    <w:rsid w:val="00EF3DD5"/>
    <w:rsid w:val="00F44336"/>
    <w:rsid w:val="00F57638"/>
    <w:rsid w:val="00F81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4867"/>
  <w15:chartTrackingRefBased/>
  <w15:docId w15:val="{C0721756-BC2D-4EA2-8150-44B17D6A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1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1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197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197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197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197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197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197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197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197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197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197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197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197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19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19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19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1971"/>
    <w:rPr>
      <w:rFonts w:eastAsiaTheme="majorEastAsia" w:cstheme="majorBidi"/>
      <w:color w:val="272727" w:themeColor="text1" w:themeTint="D8"/>
    </w:rPr>
  </w:style>
  <w:style w:type="paragraph" w:styleId="Tytu">
    <w:name w:val="Title"/>
    <w:basedOn w:val="Normalny"/>
    <w:next w:val="Normalny"/>
    <w:link w:val="TytuZnak"/>
    <w:uiPriority w:val="10"/>
    <w:qFormat/>
    <w:rsid w:val="00A01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19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19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19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1971"/>
    <w:pPr>
      <w:spacing w:before="160"/>
      <w:jc w:val="center"/>
    </w:pPr>
    <w:rPr>
      <w:i/>
      <w:iCs/>
      <w:color w:val="404040" w:themeColor="text1" w:themeTint="BF"/>
    </w:rPr>
  </w:style>
  <w:style w:type="character" w:customStyle="1" w:styleId="CytatZnak">
    <w:name w:val="Cytat Znak"/>
    <w:basedOn w:val="Domylnaczcionkaakapitu"/>
    <w:link w:val="Cytat"/>
    <w:uiPriority w:val="29"/>
    <w:rsid w:val="00A01971"/>
    <w:rPr>
      <w:i/>
      <w:iCs/>
      <w:color w:val="404040" w:themeColor="text1" w:themeTint="BF"/>
    </w:rPr>
  </w:style>
  <w:style w:type="paragraph" w:styleId="Akapitzlist">
    <w:name w:val="List Paragraph"/>
    <w:basedOn w:val="Normalny"/>
    <w:uiPriority w:val="34"/>
    <w:qFormat/>
    <w:rsid w:val="00A01971"/>
    <w:pPr>
      <w:ind w:left="720"/>
      <w:contextualSpacing/>
    </w:pPr>
  </w:style>
  <w:style w:type="character" w:styleId="Wyrnienieintensywne">
    <w:name w:val="Intense Emphasis"/>
    <w:basedOn w:val="Domylnaczcionkaakapitu"/>
    <w:uiPriority w:val="21"/>
    <w:qFormat/>
    <w:rsid w:val="00A01971"/>
    <w:rPr>
      <w:i/>
      <w:iCs/>
      <w:color w:val="0F4761" w:themeColor="accent1" w:themeShade="BF"/>
    </w:rPr>
  </w:style>
  <w:style w:type="paragraph" w:styleId="Cytatintensywny">
    <w:name w:val="Intense Quote"/>
    <w:basedOn w:val="Normalny"/>
    <w:next w:val="Normalny"/>
    <w:link w:val="CytatintensywnyZnak"/>
    <w:uiPriority w:val="30"/>
    <w:qFormat/>
    <w:rsid w:val="00A01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1971"/>
    <w:rPr>
      <w:i/>
      <w:iCs/>
      <w:color w:val="0F4761" w:themeColor="accent1" w:themeShade="BF"/>
    </w:rPr>
  </w:style>
  <w:style w:type="character" w:styleId="Odwoanieintensywne">
    <w:name w:val="Intense Reference"/>
    <w:basedOn w:val="Domylnaczcionkaakapitu"/>
    <w:uiPriority w:val="32"/>
    <w:qFormat/>
    <w:rsid w:val="00A01971"/>
    <w:rPr>
      <w:b/>
      <w:bCs/>
      <w:smallCaps/>
      <w:color w:val="0F4761" w:themeColor="accent1" w:themeShade="BF"/>
      <w:spacing w:val="5"/>
    </w:rPr>
  </w:style>
  <w:style w:type="paragraph" w:styleId="Nagwek">
    <w:name w:val="header"/>
    <w:basedOn w:val="Normalny"/>
    <w:link w:val="NagwekZnak"/>
    <w:uiPriority w:val="99"/>
    <w:unhideWhenUsed/>
    <w:rsid w:val="00A019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1971"/>
  </w:style>
  <w:style w:type="paragraph" w:styleId="Poprawka">
    <w:name w:val="Revision"/>
    <w:hidden/>
    <w:uiPriority w:val="99"/>
    <w:semiHidden/>
    <w:rsid w:val="00A01971"/>
    <w:pPr>
      <w:spacing w:after="0" w:line="240" w:lineRule="auto"/>
    </w:pPr>
  </w:style>
  <w:style w:type="paragraph" w:styleId="Stopka">
    <w:name w:val="footer"/>
    <w:basedOn w:val="Normalny"/>
    <w:link w:val="StopkaZnak"/>
    <w:uiPriority w:val="99"/>
    <w:unhideWhenUsed/>
    <w:rsid w:val="00A019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1971"/>
  </w:style>
  <w:style w:type="character" w:styleId="Odwoaniedokomentarza">
    <w:name w:val="annotation reference"/>
    <w:basedOn w:val="Domylnaczcionkaakapitu"/>
    <w:uiPriority w:val="99"/>
    <w:semiHidden/>
    <w:unhideWhenUsed/>
    <w:rsid w:val="00AC391B"/>
    <w:rPr>
      <w:sz w:val="16"/>
      <w:szCs w:val="16"/>
    </w:rPr>
  </w:style>
  <w:style w:type="paragraph" w:styleId="Tekstkomentarza">
    <w:name w:val="annotation text"/>
    <w:basedOn w:val="Normalny"/>
    <w:link w:val="TekstkomentarzaZnak"/>
    <w:uiPriority w:val="99"/>
    <w:unhideWhenUsed/>
    <w:rsid w:val="00AC391B"/>
    <w:pPr>
      <w:spacing w:line="240" w:lineRule="auto"/>
    </w:pPr>
    <w:rPr>
      <w:sz w:val="20"/>
      <w:szCs w:val="20"/>
    </w:rPr>
  </w:style>
  <w:style w:type="character" w:customStyle="1" w:styleId="TekstkomentarzaZnak">
    <w:name w:val="Tekst komentarza Znak"/>
    <w:basedOn w:val="Domylnaczcionkaakapitu"/>
    <w:link w:val="Tekstkomentarza"/>
    <w:uiPriority w:val="99"/>
    <w:rsid w:val="00AC391B"/>
    <w:rPr>
      <w:sz w:val="20"/>
      <w:szCs w:val="20"/>
    </w:rPr>
  </w:style>
  <w:style w:type="paragraph" w:styleId="Tematkomentarza">
    <w:name w:val="annotation subject"/>
    <w:basedOn w:val="Tekstkomentarza"/>
    <w:next w:val="Tekstkomentarza"/>
    <w:link w:val="TematkomentarzaZnak"/>
    <w:uiPriority w:val="99"/>
    <w:semiHidden/>
    <w:unhideWhenUsed/>
    <w:rsid w:val="00AC391B"/>
    <w:rPr>
      <w:b/>
      <w:bCs/>
    </w:rPr>
  </w:style>
  <w:style w:type="character" w:customStyle="1" w:styleId="TematkomentarzaZnak">
    <w:name w:val="Temat komentarza Znak"/>
    <w:basedOn w:val="TekstkomentarzaZnak"/>
    <w:link w:val="Tematkomentarza"/>
    <w:uiPriority w:val="99"/>
    <w:semiHidden/>
    <w:rsid w:val="00AC3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4715</Words>
  <Characters>28296</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Trafisz Kinga</dc:creator>
  <cp:keywords/>
  <dc:description/>
  <cp:lastModifiedBy>Oklej Agata</cp:lastModifiedBy>
  <cp:revision>2</cp:revision>
  <dcterms:created xsi:type="dcterms:W3CDTF">2025-11-26T16:31:00Z</dcterms:created>
  <dcterms:modified xsi:type="dcterms:W3CDTF">2025-11-26T16:31:00Z</dcterms:modified>
</cp:coreProperties>
</file>