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A72F" w14:textId="77777777" w:rsidR="003C5616" w:rsidRPr="00E97B57" w:rsidRDefault="003C5616" w:rsidP="003C5616">
      <w:pPr>
        <w:pStyle w:val="OZNPROJEKTUwskazaniedatylubwersjiprojektu"/>
      </w:pPr>
      <w:r w:rsidRPr="00E97B57">
        <w:t>Projekt</w:t>
      </w:r>
    </w:p>
    <w:p w14:paraId="0856ACB0" w14:textId="77777777" w:rsidR="003C5616" w:rsidRPr="00E97B57" w:rsidRDefault="003C5616" w:rsidP="003C5616"/>
    <w:p w14:paraId="002BA406" w14:textId="77777777" w:rsidR="003C5616" w:rsidRPr="00E97B57" w:rsidRDefault="003C5616" w:rsidP="003C5616">
      <w:pPr>
        <w:pStyle w:val="OZNRODZAKTUtznustawalubrozporzdzenieiorganwydajcy"/>
      </w:pPr>
      <w:r w:rsidRPr="00E97B57">
        <w:t>USTAWA</w:t>
      </w:r>
    </w:p>
    <w:p w14:paraId="2540239E" w14:textId="77777777" w:rsidR="003C5616" w:rsidRPr="00E97B57" w:rsidRDefault="003C5616" w:rsidP="003C5616">
      <w:pPr>
        <w:pStyle w:val="DATAAKTUdatauchwalenialubwydaniaaktu"/>
      </w:pPr>
      <w:r w:rsidRPr="23B9D0EF">
        <w:t xml:space="preserve">z dnia ...... 2025 r. </w:t>
      </w:r>
    </w:p>
    <w:p w14:paraId="28A32909" w14:textId="77777777" w:rsidR="003C5616" w:rsidRPr="00E97B57" w:rsidRDefault="003C5616" w:rsidP="003C5616">
      <w:pPr>
        <w:pStyle w:val="TYTUAKTUprzedmiotregulacjiustawylubrozporzdzenia"/>
        <w:rPr>
          <w:rStyle w:val="Odwoanieprzypisudolnego"/>
        </w:rPr>
      </w:pPr>
      <w:r w:rsidRPr="00E97B57">
        <w:t xml:space="preserve">o zmianie ustawy o podatkach i opłatach lokalnych oraz </w:t>
      </w:r>
      <w:r>
        <w:t xml:space="preserve">ustawy </w:t>
      </w:r>
      <w:r w:rsidRPr="00E97B57">
        <w:t>o dochodach jednostek samorządu terytorialnego</w:t>
      </w:r>
    </w:p>
    <w:p w14:paraId="166A0ED2" w14:textId="77777777" w:rsidR="003C5616" w:rsidRPr="00E97B57" w:rsidRDefault="003C5616" w:rsidP="003C5616">
      <w:pPr>
        <w:pStyle w:val="ARTartustawynprozporzdzenia"/>
      </w:pPr>
      <w:r w:rsidRPr="00E97B57">
        <w:rPr>
          <w:rStyle w:val="Ppogrubienie"/>
        </w:rPr>
        <w:t>Art. 1.</w:t>
      </w:r>
      <w:r w:rsidRPr="00E97B57">
        <w:t xml:space="preserve"> W ustawie z dnia 12 stycznia 1991 r. o podatkach i opłatach lokalnych (Dz. U. z 2025 r. poz. 707) wprowadza się następujące zmiany:</w:t>
      </w:r>
    </w:p>
    <w:p w14:paraId="7DC74BE0" w14:textId="77777777" w:rsidR="003C5616" w:rsidRPr="00E97B57" w:rsidRDefault="003C5616" w:rsidP="003C5616">
      <w:pPr>
        <w:pStyle w:val="PKTpunkt"/>
      </w:pPr>
      <w:r w:rsidRPr="00E97B57">
        <w:t>1)</w:t>
      </w:r>
      <w:r>
        <w:tab/>
        <w:t xml:space="preserve">użyty w </w:t>
      </w:r>
      <w:r w:rsidRPr="00E97B57">
        <w:t>art. 1</w:t>
      </w:r>
      <w:r>
        <w:t xml:space="preserve"> w</w:t>
      </w:r>
      <w:r w:rsidRPr="00E97B57">
        <w:t xml:space="preserve"> pkt 5</w:t>
      </w:r>
      <w:r>
        <w:t>, w art. 17 w ust. 2 we wprowadzeniu do wyliczenia i w pkt 4 i w ust. 2a oraz w art. 19 w pkt 2 w różnych przypadkach wyraz „miejscowa” zastępuje się użytym w odpowiednich przypadkach wyrazem „</w:t>
      </w:r>
      <w:r w:rsidRPr="00E97B57">
        <w:t>turystyczn</w:t>
      </w:r>
      <w:r>
        <w:t>a”;</w:t>
      </w:r>
    </w:p>
    <w:p w14:paraId="61B6DC6A" w14:textId="77777777" w:rsidR="003C5616" w:rsidRPr="00E97B57" w:rsidRDefault="003C5616" w:rsidP="003C5616">
      <w:pPr>
        <w:pStyle w:val="PKTpunkt"/>
      </w:pPr>
      <w:r w:rsidRPr="00E97B57">
        <w:t>2)</w:t>
      </w:r>
      <w:r>
        <w:tab/>
      </w:r>
      <w:r w:rsidRPr="00E97B57">
        <w:t>w art. 17</w:t>
      </w:r>
      <w:r>
        <w:t>:</w:t>
      </w:r>
    </w:p>
    <w:p w14:paraId="3F32BB14" w14:textId="77777777" w:rsidR="003C5616" w:rsidRPr="00E97B57" w:rsidRDefault="003C5616" w:rsidP="003C5616">
      <w:pPr>
        <w:pStyle w:val="LITlitera"/>
      </w:pPr>
      <w:r w:rsidRPr="00E97B57">
        <w:t>a)</w:t>
      </w:r>
      <w:r>
        <w:tab/>
      </w:r>
      <w:r w:rsidRPr="00E97B57">
        <w:t>ust. 1 otrzymuje brzmienie:</w:t>
      </w:r>
    </w:p>
    <w:p w14:paraId="183FCFAD" w14:textId="77777777" w:rsidR="003C5616" w:rsidRPr="00E97B57" w:rsidRDefault="003C5616" w:rsidP="003C5616">
      <w:pPr>
        <w:pStyle w:val="ZLITUSTzmustliter"/>
      </w:pPr>
      <w:r w:rsidRPr="00E97B57">
        <w:t>“1. Rada gminy może wprowadzić opłatę turystyczną pobiera</w:t>
      </w:r>
      <w:r>
        <w:t>ną</w:t>
      </w:r>
      <w:r w:rsidRPr="00E97B57">
        <w:t xml:space="preserve"> od osób fizycznych przebywających</w:t>
      </w:r>
      <w:r>
        <w:t xml:space="preserve"> w celach </w:t>
      </w:r>
      <w:r w:rsidRPr="00111CB1">
        <w:t xml:space="preserve">turystycznych, wypoczynkowych lub szkoleniowych dłużej </w:t>
      </w:r>
      <w:r w:rsidRPr="00E97B57">
        <w:t>niż dobę w miejscowościach</w:t>
      </w:r>
      <w:r>
        <w:t>,</w:t>
      </w:r>
      <w:r w:rsidRPr="00E97B57">
        <w:t xml:space="preserve"> w których opłata została wprowadzona</w:t>
      </w:r>
      <w:r>
        <w:t>,</w:t>
      </w:r>
      <w:r w:rsidRPr="00E97B57">
        <w:t xml:space="preserve"> za każdą rozpoczętą dobę pobytu.</w:t>
      </w:r>
      <w:r>
        <w:t>”,</w:t>
      </w:r>
    </w:p>
    <w:p w14:paraId="630ED86B" w14:textId="77777777" w:rsidR="003C5616" w:rsidRDefault="003C5616" w:rsidP="003C5616">
      <w:pPr>
        <w:pStyle w:val="LITlitera"/>
      </w:pPr>
      <w:r>
        <w:t>b)</w:t>
      </w:r>
      <w:r>
        <w:tab/>
        <w:t>po ust. 2a dodaje się ust. 2b w brzmieniu:</w:t>
      </w:r>
    </w:p>
    <w:p w14:paraId="4B916008" w14:textId="77777777" w:rsidR="003C5616" w:rsidRDefault="003C5616" w:rsidP="003C5616">
      <w:pPr>
        <w:pStyle w:val="ZLITUSTzmustliter"/>
      </w:pPr>
      <w:r>
        <w:t>„2b. Opłaty turystycznej nie pobiera się od:</w:t>
      </w:r>
    </w:p>
    <w:p w14:paraId="231DE09C" w14:textId="77777777" w:rsidR="003C5616" w:rsidRDefault="003C5616" w:rsidP="003C5616">
      <w:pPr>
        <w:pStyle w:val="ZLITPKTzmpktliter"/>
      </w:pPr>
      <w:r>
        <w:t xml:space="preserve">1) </w:t>
      </w:r>
      <w:r>
        <w:tab/>
        <w:t>osób, które ukończyły 70 lat;</w:t>
      </w:r>
    </w:p>
    <w:p w14:paraId="4C3E8202" w14:textId="77777777" w:rsidR="003C5616" w:rsidRDefault="003C5616" w:rsidP="003C5616">
      <w:pPr>
        <w:pStyle w:val="ZLITPKTzmpktliter"/>
        <w:rPr>
          <w:lang w:eastAsia="en-US"/>
        </w:rPr>
      </w:pPr>
      <w:r>
        <w:t>2)</w:t>
      </w:r>
      <w:r>
        <w:tab/>
        <w:t>osób</w:t>
      </w:r>
      <w:r w:rsidRPr="00777612">
        <w:rPr>
          <w:lang w:eastAsia="en-US"/>
        </w:rPr>
        <w:t xml:space="preserve"> będąc</w:t>
      </w:r>
      <w:r>
        <w:t>ych</w:t>
      </w:r>
      <w:r w:rsidRPr="00777612">
        <w:rPr>
          <w:lang w:eastAsia="en-US"/>
        </w:rPr>
        <w:t xml:space="preserve"> członk</w:t>
      </w:r>
      <w:r>
        <w:t>ami</w:t>
      </w:r>
      <w:r w:rsidRPr="00777612">
        <w:rPr>
          <w:lang w:eastAsia="en-US"/>
        </w:rPr>
        <w:t> rodziny wielodzietnej w rozumieniu art. 4 ust. 1 ustawy z dnia 5 grudnia 2014 r. o Karcie Dużej Rodziny (Dz.</w:t>
      </w:r>
      <w:r>
        <w:t xml:space="preserve"> </w:t>
      </w:r>
      <w:r w:rsidRPr="00777612">
        <w:rPr>
          <w:lang w:eastAsia="en-US"/>
        </w:rPr>
        <w:t>U.</w:t>
      </w:r>
      <w:r w:rsidRPr="00AD1085">
        <w:rPr>
          <w:lang w:eastAsia="en-US"/>
        </w:rPr>
        <w:t xml:space="preserve"> z 2024 r. poz. 1512</w:t>
      </w:r>
      <w:r w:rsidRPr="00777612">
        <w:rPr>
          <w:lang w:eastAsia="en-US"/>
        </w:rPr>
        <w:t>)</w:t>
      </w:r>
      <w:r>
        <w:t>;</w:t>
      </w:r>
    </w:p>
    <w:p w14:paraId="150E6F8E" w14:textId="77777777" w:rsidR="003C5616" w:rsidRPr="00E97B57" w:rsidRDefault="003C5616" w:rsidP="003C5616">
      <w:pPr>
        <w:pStyle w:val="ZLITPKTzmpktliter"/>
      </w:pPr>
      <w:r>
        <w:t>3)</w:t>
      </w:r>
      <w:r>
        <w:tab/>
      </w:r>
      <w:r w:rsidRPr="003511B5">
        <w:t>osób zaliczonych do znacznego stopnia niepełnosprawności w rozumieniu</w:t>
      </w:r>
      <w:r>
        <w:t xml:space="preserve"> </w:t>
      </w:r>
      <w:r w:rsidRPr="003511B5">
        <w:t>przepisów o rehabilitacji zawodowej i społecznej oraz zatrudnianiu osób</w:t>
      </w:r>
      <w:r>
        <w:t xml:space="preserve"> </w:t>
      </w:r>
      <w:r w:rsidRPr="003511B5">
        <w:t>niepełnosprawnych</w:t>
      </w:r>
      <w:r>
        <w:t>.”,</w:t>
      </w:r>
    </w:p>
    <w:p w14:paraId="65DA527B" w14:textId="77777777" w:rsidR="003C5616" w:rsidRPr="00E97B57" w:rsidRDefault="003C5616" w:rsidP="003C5616">
      <w:pPr>
        <w:pStyle w:val="LITlitera"/>
      </w:pPr>
      <w:r>
        <w:t>c</w:t>
      </w:r>
      <w:r w:rsidRPr="00E97B57">
        <w:t>)</w:t>
      </w:r>
      <w:r>
        <w:tab/>
      </w:r>
      <w:r w:rsidRPr="00E97B57">
        <w:t>uchyla się ust. 3</w:t>
      </w:r>
      <w:r>
        <w:t xml:space="preserve"> i</w:t>
      </w:r>
      <w:r w:rsidRPr="00E97B57">
        <w:t xml:space="preserve"> 4</w:t>
      </w:r>
      <w:r>
        <w:t>,</w:t>
      </w:r>
    </w:p>
    <w:p w14:paraId="039B25DC" w14:textId="77777777" w:rsidR="003C5616" w:rsidRPr="00E97B57" w:rsidRDefault="003C5616" w:rsidP="003C5616">
      <w:pPr>
        <w:pStyle w:val="LITlitera"/>
      </w:pPr>
      <w:r>
        <w:t>d</w:t>
      </w:r>
      <w:r w:rsidRPr="00E97B57">
        <w:t>)</w:t>
      </w:r>
      <w:r>
        <w:tab/>
      </w:r>
      <w:r w:rsidRPr="00E97B57">
        <w:t>ust. 5 otrzymuje brzmienie:</w:t>
      </w:r>
    </w:p>
    <w:p w14:paraId="72080EFC" w14:textId="77777777" w:rsidR="003C5616" w:rsidRPr="00814322" w:rsidRDefault="003C5616" w:rsidP="003C5616">
      <w:pPr>
        <w:pStyle w:val="ZLITUSTzmustliter"/>
      </w:pPr>
      <w:r w:rsidRPr="00E97B57">
        <w:t>“5. Rada gminy ustala miejscowości, w których pobiera się opłatę turystyczną</w:t>
      </w:r>
      <w:r>
        <w:t xml:space="preserve"> i jej wysokość</w:t>
      </w:r>
      <w:r w:rsidRPr="00E97B57">
        <w:t>.</w:t>
      </w:r>
      <w:r>
        <w:t xml:space="preserve"> Rada gminy może z</w:t>
      </w:r>
      <w:r w:rsidRPr="00E97B57">
        <w:t>różnicowa</w:t>
      </w:r>
      <w:r>
        <w:t>ć</w:t>
      </w:r>
      <w:r w:rsidRPr="00E97B57">
        <w:t xml:space="preserve"> </w:t>
      </w:r>
      <w:r>
        <w:t>wysokość opłaty turystycznej</w:t>
      </w:r>
      <w:r w:rsidRPr="00E97B57">
        <w:t xml:space="preserve"> </w:t>
      </w:r>
      <w:r>
        <w:lastRenderedPageBreak/>
        <w:t xml:space="preserve">pobieranej w poszczególnych miejscowościach oraz ze względu na </w:t>
      </w:r>
      <w:r w:rsidRPr="00814322">
        <w:t xml:space="preserve">rodzaj obiektu, w którym przebywa osoba </w:t>
      </w:r>
      <w:r>
        <w:t>zobowiązana do uiszczenia opłaty.”</w:t>
      </w:r>
      <w:r w:rsidRPr="00814322">
        <w:t>;</w:t>
      </w:r>
    </w:p>
    <w:p w14:paraId="3A33BDE0" w14:textId="77777777" w:rsidR="003C5616" w:rsidRDefault="003C5616" w:rsidP="003C5616">
      <w:pPr>
        <w:pStyle w:val="PKTpunkt"/>
      </w:pPr>
      <w:r w:rsidRPr="00E97B57">
        <w:t>3)</w:t>
      </w:r>
      <w:r>
        <w:tab/>
      </w:r>
      <w:r w:rsidRPr="00E97B57">
        <w:t>w art. 19</w:t>
      </w:r>
      <w:r>
        <w:t xml:space="preserve"> </w:t>
      </w:r>
      <w:r>
        <w:tab/>
        <w:t xml:space="preserve">w </w:t>
      </w:r>
      <w:r w:rsidRPr="00E97B57">
        <w:t>pkt 1</w:t>
      </w:r>
      <w:r>
        <w:t>:</w:t>
      </w:r>
    </w:p>
    <w:p w14:paraId="6E081C9A" w14:textId="77777777" w:rsidR="003C5616" w:rsidRPr="00E97B57" w:rsidRDefault="003C5616" w:rsidP="003C5616">
      <w:pPr>
        <w:pStyle w:val="LITlitera"/>
      </w:pPr>
      <w:r>
        <w:t>a)</w:t>
      </w:r>
      <w:r>
        <w:tab/>
      </w:r>
      <w:r w:rsidRPr="00E97B57">
        <w:t>lit. b otrzymuje brzmienie:</w:t>
      </w:r>
    </w:p>
    <w:p w14:paraId="483E452B" w14:textId="77777777" w:rsidR="003C5616" w:rsidRPr="00E97B57" w:rsidRDefault="003C5616" w:rsidP="003C5616">
      <w:pPr>
        <w:pStyle w:val="ZTIRLITzmlittiret"/>
      </w:pPr>
      <w:r>
        <w:t>„</w:t>
      </w:r>
      <w:r w:rsidRPr="00E97B57">
        <w:t>b)</w:t>
      </w:r>
      <w:r>
        <w:tab/>
      </w:r>
      <w:r w:rsidRPr="00E97B57">
        <w:t xml:space="preserve">stawka opłaty turystycznej nie może przekroczyć </w:t>
      </w:r>
      <w:r>
        <w:t>5</w:t>
      </w:r>
      <w:r w:rsidRPr="00E97B57">
        <w:t xml:space="preserve"> zł dziennie</w:t>
      </w:r>
      <w:r>
        <w:t>”,</w:t>
      </w:r>
    </w:p>
    <w:p w14:paraId="17F05AF7" w14:textId="77777777" w:rsidR="003C5616" w:rsidRDefault="003C5616" w:rsidP="003C5616">
      <w:pPr>
        <w:pStyle w:val="LITlitera"/>
      </w:pPr>
      <w:r>
        <w:t>b)</w:t>
      </w:r>
      <w:r>
        <w:tab/>
      </w:r>
      <w:r w:rsidRPr="00E97B57">
        <w:t>uchyla się lit. c</w:t>
      </w:r>
      <w:r>
        <w:t>.</w:t>
      </w:r>
    </w:p>
    <w:p w14:paraId="7ADE6F1F" w14:textId="77777777" w:rsidR="003C5616" w:rsidRDefault="003C5616" w:rsidP="003C5616">
      <w:pPr>
        <w:pStyle w:val="ARTartustawynprozporzdzenia"/>
      </w:pPr>
      <w:r w:rsidRPr="00397839">
        <w:rPr>
          <w:rStyle w:val="Ppogrubienie"/>
        </w:rPr>
        <w:t>Art. 2.</w:t>
      </w:r>
      <w:r w:rsidRPr="00E97B57">
        <w:t xml:space="preserve"> W ustawie z dnia 1 października 2024 r. o dochodach jednostek samorządu terytorialnego (Dz.</w:t>
      </w:r>
      <w:r>
        <w:t xml:space="preserve"> </w:t>
      </w:r>
      <w:r w:rsidRPr="00E97B57">
        <w:t xml:space="preserve">U. 2024 poz. 1572) </w:t>
      </w:r>
      <w:r>
        <w:t>użyty w a</w:t>
      </w:r>
      <w:r w:rsidRPr="00E97B57">
        <w:t>rt. 4</w:t>
      </w:r>
      <w:r>
        <w:t xml:space="preserve"> w </w:t>
      </w:r>
      <w:r w:rsidRPr="00E97B57">
        <w:t xml:space="preserve">pkt 3 </w:t>
      </w:r>
      <w:r>
        <w:t xml:space="preserve">w </w:t>
      </w:r>
      <w:r w:rsidRPr="00E97B57">
        <w:t>lit. c</w:t>
      </w:r>
      <w:r>
        <w:t xml:space="preserve"> i</w:t>
      </w:r>
      <w:r w:rsidRPr="00E97B57">
        <w:t xml:space="preserve"> </w:t>
      </w:r>
      <w:r>
        <w:t>w a</w:t>
      </w:r>
      <w:r w:rsidRPr="00E97B57">
        <w:t xml:space="preserve">rt. </w:t>
      </w:r>
      <w:r>
        <w:t xml:space="preserve">5 w </w:t>
      </w:r>
      <w:r w:rsidRPr="00E97B57">
        <w:t xml:space="preserve">pkt 3 </w:t>
      </w:r>
      <w:r>
        <w:t xml:space="preserve">w </w:t>
      </w:r>
      <w:r w:rsidRPr="00E97B57">
        <w:t xml:space="preserve">lit. c </w:t>
      </w:r>
      <w:r>
        <w:t>wyraz „miejscowej” zastępuje się wyrazem „</w:t>
      </w:r>
      <w:r w:rsidRPr="00E97B57">
        <w:t>turystycznej</w:t>
      </w:r>
      <w:r>
        <w:t>”.</w:t>
      </w:r>
    </w:p>
    <w:p w14:paraId="4259FDB6" w14:textId="2143DFF5" w:rsidR="003C5616" w:rsidRDefault="003C5616" w:rsidP="003C5616">
      <w:pPr>
        <w:pStyle w:val="ARTartustawynprozporzdzenia"/>
      </w:pPr>
      <w:r w:rsidRPr="00040A99">
        <w:rPr>
          <w:rStyle w:val="Ppogrubienie"/>
        </w:rPr>
        <w:t>Art</w:t>
      </w:r>
      <w:r>
        <w:rPr>
          <w:rStyle w:val="Ppogrubienie"/>
        </w:rPr>
        <w:t>. 3</w:t>
      </w:r>
      <w:r w:rsidRPr="00040A99">
        <w:rPr>
          <w:rStyle w:val="Ppogrubienie"/>
        </w:rPr>
        <w:t>.</w:t>
      </w:r>
      <w:r>
        <w:t xml:space="preserve"> 1. Uchwała rady gminy, która wprowadziła przed dniem wejścia w życie niniejszej ustawy opłatę miejscową, pozostaje w mocy, nie dłużej jednak</w:t>
      </w:r>
      <w:r w:rsidR="00484E24">
        <w:t xml:space="preserve"> niż</w:t>
      </w:r>
      <w:r>
        <w:t xml:space="preserve"> przez okres roku od dnia wejścia w życie niniejszej ustawy, chyba że rada gminy uchyli uchwałę przed upływem tego okresu.</w:t>
      </w:r>
    </w:p>
    <w:p w14:paraId="1166F5ED" w14:textId="77777777" w:rsidR="003C5616" w:rsidRDefault="003C5616" w:rsidP="003C5616">
      <w:pPr>
        <w:pStyle w:val="ARTartustawynprozporzdzenia"/>
      </w:pPr>
      <w:r>
        <w:t>2. Do opłat miejscowych należnych na podstawie uchwały, o której mowa w ust. 1, stosuje się przepisy ustaw zmienianych w art. 1 i art. 2 w brzmieniu dotychczasowym.</w:t>
      </w:r>
    </w:p>
    <w:p w14:paraId="35F55187" w14:textId="77777777" w:rsidR="003C5616" w:rsidRDefault="003C5616" w:rsidP="003C5616">
      <w:pPr>
        <w:pStyle w:val="ARTartustawynprozporzdzenia"/>
      </w:pPr>
      <w:r>
        <w:t>3. W okresie obowiązywania uchwały, o której mowa w ust. 1, w gminie nie może być wprowadzona opłata turystyczna ani rada gminy nie może podnieść stawki opłaty miejscowej.</w:t>
      </w:r>
    </w:p>
    <w:p w14:paraId="1F456603" w14:textId="77777777" w:rsidR="003C5616" w:rsidRDefault="003C5616" w:rsidP="003C5616">
      <w:pPr>
        <w:pStyle w:val="ARTartustawynprozporzdzenia"/>
      </w:pPr>
      <w:r w:rsidRPr="00AF0C55">
        <w:rPr>
          <w:rStyle w:val="Ppogrubienie"/>
        </w:rPr>
        <w:t xml:space="preserve">Art. </w:t>
      </w:r>
      <w:r>
        <w:rPr>
          <w:rStyle w:val="Ppogrubienie"/>
        </w:rPr>
        <w:t>4</w:t>
      </w:r>
      <w:r w:rsidRPr="00AF0C55">
        <w:rPr>
          <w:rStyle w:val="Ppogrubienie"/>
        </w:rPr>
        <w:t>.</w:t>
      </w:r>
      <w:r w:rsidRPr="0002067E">
        <w:t xml:space="preserve"> </w:t>
      </w:r>
      <w:r>
        <w:t xml:space="preserve">Do dnia 31 grudnia 2027 r. górna granica stawki opłaty turystycznej wynosi 5 zł. </w:t>
      </w:r>
      <w:r w:rsidRPr="0002067E">
        <w:t>Minister właściwy do spraw finansów publicznych ogł</w:t>
      </w:r>
      <w:r>
        <w:t>o</w:t>
      </w:r>
      <w:r w:rsidRPr="0002067E">
        <w:t>s</w:t>
      </w:r>
      <w:r>
        <w:t>i</w:t>
      </w:r>
      <w:r w:rsidRPr="0002067E">
        <w:t xml:space="preserve"> w obwieszczeni</w:t>
      </w:r>
      <w:r>
        <w:t>u</w:t>
      </w:r>
      <w:r w:rsidRPr="0002067E">
        <w:t xml:space="preserve">, </w:t>
      </w:r>
      <w:r>
        <w:t>o którym mowa w art. 20 ust. 2 ustawy zmienianej w art. 1, po raz pierwszy</w:t>
      </w:r>
      <w:r w:rsidRPr="0002067E">
        <w:t xml:space="preserve"> górn</w:t>
      </w:r>
      <w:r>
        <w:t>ą</w:t>
      </w:r>
      <w:r w:rsidRPr="0002067E">
        <w:t xml:space="preserve"> granice stawk</w:t>
      </w:r>
      <w:r>
        <w:t>i</w:t>
      </w:r>
      <w:r w:rsidRPr="0002067E">
        <w:t xml:space="preserve"> </w:t>
      </w:r>
      <w:r>
        <w:t xml:space="preserve">opłaty turystycznej na </w:t>
      </w:r>
      <w:r w:rsidRPr="0002067E">
        <w:t>rok podatkowy</w:t>
      </w:r>
      <w:r>
        <w:t xml:space="preserve"> 2028</w:t>
      </w:r>
      <w:r w:rsidRPr="0002067E">
        <w:t>.</w:t>
      </w:r>
    </w:p>
    <w:p w14:paraId="44673CE2" w14:textId="77777777" w:rsidR="003C5616" w:rsidRPr="00E97B57" w:rsidRDefault="003C5616" w:rsidP="003C5616">
      <w:pPr>
        <w:pStyle w:val="ARTartustawynprozporzdzenia"/>
      </w:pPr>
      <w:r w:rsidRPr="00397839">
        <w:rPr>
          <w:rStyle w:val="Ppogrubienie"/>
        </w:rPr>
        <w:t xml:space="preserve">Art. </w:t>
      </w:r>
      <w:r>
        <w:rPr>
          <w:rStyle w:val="Ppogrubienie"/>
        </w:rPr>
        <w:t>5</w:t>
      </w:r>
      <w:r w:rsidRPr="00397839">
        <w:rPr>
          <w:rStyle w:val="Ppogrubienie"/>
        </w:rPr>
        <w:t>.</w:t>
      </w:r>
      <w:r w:rsidRPr="00E97B57">
        <w:t xml:space="preserve"> </w:t>
      </w:r>
      <w:r w:rsidRPr="0002067E">
        <w:t xml:space="preserve">Ustawa wchodzi w życie pierwszego dnia miesiąca następującego po upływie </w:t>
      </w:r>
      <w:r>
        <w:t>3</w:t>
      </w:r>
      <w:r w:rsidRPr="0002067E">
        <w:t xml:space="preserve"> </w:t>
      </w:r>
      <w:r>
        <w:t xml:space="preserve">miesięcy </w:t>
      </w:r>
      <w:r w:rsidRPr="0002067E">
        <w:t>od</w:t>
      </w:r>
      <w:r>
        <w:t xml:space="preserve"> </w:t>
      </w:r>
      <w:r w:rsidRPr="0002067E">
        <w:t>dnia ogłoszenia</w:t>
      </w:r>
      <w:r w:rsidRPr="00E97B57">
        <w:t xml:space="preserve">. </w:t>
      </w:r>
    </w:p>
    <w:p w14:paraId="479781FE" w14:textId="77777777" w:rsidR="003C5616" w:rsidRDefault="003C5616" w:rsidP="003C5616">
      <w:pPr>
        <w:spacing w:after="0" w:line="360" w:lineRule="auto"/>
      </w:pPr>
      <w:r>
        <w:br w:type="page"/>
      </w:r>
    </w:p>
    <w:p w14:paraId="1A62C996" w14:textId="77777777" w:rsidR="003C5616" w:rsidRPr="00F0636C" w:rsidRDefault="003C5616" w:rsidP="003C5616">
      <w:pPr>
        <w:pStyle w:val="OZNRODZAKTUtznustawalubrozporzdzenieiorganwydajcy"/>
      </w:pPr>
      <w:r w:rsidRPr="00F0636C">
        <w:lastRenderedPageBreak/>
        <w:t>UZASADNIENIE</w:t>
      </w:r>
      <w:r w:rsidRPr="00F0636C">
        <w:tab/>
      </w:r>
    </w:p>
    <w:p w14:paraId="5ADC50F0" w14:textId="77777777" w:rsidR="003C5616" w:rsidRPr="00F0636C" w:rsidRDefault="003C5616" w:rsidP="003C5616">
      <w:pPr>
        <w:pStyle w:val="ZDANIENASTNOWYWIERSZnpzddrugienowywierszwust"/>
      </w:pPr>
    </w:p>
    <w:p w14:paraId="5119F209" w14:textId="77777777" w:rsidR="003C5616" w:rsidRDefault="003C5616" w:rsidP="003C5616">
      <w:pPr>
        <w:pStyle w:val="ZDANIENASTNOWYWIERSZnpzddrugienowywierszwust"/>
      </w:pPr>
      <w:r>
        <w:t>Obecnie obowiązująca opłata miejscowa</w:t>
      </w:r>
      <w:r w:rsidRPr="00F0636C">
        <w:t xml:space="preserve"> została wprowadzona ustawą z dnia 12 stycznia 1991</w:t>
      </w:r>
      <w:r>
        <w:t> </w:t>
      </w:r>
      <w:r w:rsidRPr="00F0636C">
        <w:t xml:space="preserve">r. o podatkach i opłatach lokalnych (Dz. U. 1991 Nr 9 poz. 31) i dotyczy osób fizycznych, które czasowo przebywają w celach wypoczynkowych, zdrowotnych lub turystycznych w miejscowościach posiadających odpowiednie walory </w:t>
      </w:r>
      <w:r>
        <w:t>–</w:t>
      </w:r>
      <w:r w:rsidRPr="00F0636C">
        <w:t xml:space="preserve"> klimatyczne, krajobrazowe oraz sprzyjające pobytowi osób w tych celach. Przepisy dotyczące opłaty miejscowej pozostają w głównej mierze niezmienione aż do dziś. Dochód z tytułu opłaty miejscowej stanowi dochód gmin </w:t>
      </w:r>
      <w:r>
        <w:t>–</w:t>
      </w:r>
      <w:r w:rsidRPr="00F0636C">
        <w:t xml:space="preserve"> opłata ma charakter fakultatywny. </w:t>
      </w:r>
    </w:p>
    <w:p w14:paraId="6B671DDB" w14:textId="77777777" w:rsidR="003C5616" w:rsidRPr="00F0636C" w:rsidRDefault="003C5616" w:rsidP="003C5616">
      <w:pPr>
        <w:pStyle w:val="ZDANIENASTNOWYWIERSZnpzddrugienowywierszwust"/>
      </w:pPr>
      <w:r w:rsidRPr="008E0466">
        <w:t>Obecnie jedynie nieznaczna częś</w:t>
      </w:r>
      <w:r>
        <w:t>ć</w:t>
      </w:r>
      <w:r w:rsidRPr="008E0466">
        <w:t xml:space="preserve"> spośród 2479 gmin</w:t>
      </w:r>
      <w:r>
        <w:t xml:space="preserve"> podjęła uchwały o wprowadzeniu opłaty miejscowej. </w:t>
      </w:r>
      <w:r w:rsidRPr="00F0636C">
        <w:t xml:space="preserve">Stosunkowo niewielka </w:t>
      </w:r>
      <w:r>
        <w:t>liczba gmin, które wprowadziły opłatę miejscową</w:t>
      </w:r>
      <w:r w:rsidRPr="00F0636C">
        <w:t xml:space="preserve"> wynika z trudności spełnienia warunków ustawowych przez gminy </w:t>
      </w:r>
      <w:r>
        <w:t>–</w:t>
      </w:r>
      <w:r w:rsidRPr="00F0636C">
        <w:t xml:space="preserve"> warunków klimatycznych, krajobrazowych oraz umożliwiających pobyt osób w celach turystycznych, wypoczynkowych lub szkoleniowych, które</w:t>
      </w:r>
      <w:r>
        <w:t xml:space="preserve"> szczegółowo</w:t>
      </w:r>
      <w:r w:rsidRPr="00F0636C">
        <w:t xml:space="preserve"> określa </w:t>
      </w:r>
      <w:r>
        <w:t>r</w:t>
      </w:r>
      <w:r w:rsidRPr="00F0636C">
        <w:t>ozporządzenie Rady Ministrów z dnia 18 grudnia 2007 r. w sprawie warunków, jakie powinna spełniać miejscowość, w której można pobierać opłatę miejscową (Dz.</w:t>
      </w:r>
      <w:r>
        <w:t xml:space="preserve"> </w:t>
      </w:r>
      <w:r w:rsidRPr="00F0636C">
        <w:t>U. poz. 1851)</w:t>
      </w:r>
      <w:r>
        <w:t xml:space="preserve">. </w:t>
      </w:r>
    </w:p>
    <w:p w14:paraId="6DF14B8C" w14:textId="77777777" w:rsidR="003C5616" w:rsidRPr="00F0636C" w:rsidRDefault="003C5616" w:rsidP="003C5616">
      <w:pPr>
        <w:pStyle w:val="ZDANIENASTNOWYWIERSZnpzddrugienowywierszwust"/>
      </w:pPr>
      <w:r w:rsidRPr="00F0636C">
        <w:t>Zgodnie z tym rozporządzeniem, za minimalne warunki klimatyczne uznaje się m.in. zachowanie na terenie strefy</w:t>
      </w:r>
      <w:r>
        <w:t xml:space="preserve"> oceny jakości powietrza</w:t>
      </w:r>
      <w:r w:rsidRPr="00F0636C">
        <w:t>, o której mowa w art. 87 ust. 2</w:t>
      </w:r>
      <w:r>
        <w:t xml:space="preserve"> ustawy z dnia </w:t>
      </w:r>
      <w:r w:rsidRPr="00200F58">
        <w:t>27 kwietnia 2001 r.</w:t>
      </w:r>
      <w:r w:rsidRPr="00F0636C">
        <w:t xml:space="preserve"> – Prawo ochrony środowiska, dopuszczalnych poziomów niektórych substancji w powietrzu ze względu na ochronę zdrowia ludzi oraz</w:t>
      </w:r>
      <w:r>
        <w:t xml:space="preserve"> nieprzekroczenie</w:t>
      </w:r>
      <w:r w:rsidRPr="00F0636C">
        <w:t xml:space="preserve"> w miejscowości dopuszczalnych poziomów pól elektromagnetycznych. W praktyce pierwszy z wymogów generuje wiele trudności - miejscowość spełniająca warunki techniczne może zostać formalnie uznana za część strefy, w której normy są przekroczone w innych gminach tej samej strefy — co w efekcie uniemożliwia pobór opłaty miejscowej.</w:t>
      </w:r>
      <w:r>
        <w:t xml:space="preserve"> </w:t>
      </w:r>
      <w:r w:rsidRPr="00200F58">
        <w:t xml:space="preserve">Strefy pokrywają się z konkretnymi miastami tylko w przypadku aglomeracji (liczba mieszkańców większa niż 250 tysięcy) i miast o liczbie mieszkańców powyżej 100 tysięcy. W pozostałych przypadkach obszary stref pokrywają się w przeważającej większości z terenami powiatów. Nawet więc, jeżeli w konkretnej miejscowości stężenie niektórych substancji w powietrzu nie przekroczy dopuszczalnych poziomów, lecz miejscowość taka znajdzie się w strefie, w której dopuszczalne poziomy zostały przekroczone, wprowadzenie opłaty miejscowej nie </w:t>
      </w:r>
      <w:r>
        <w:t>jest</w:t>
      </w:r>
      <w:r w:rsidRPr="00200F58">
        <w:t xml:space="preserve"> możliwe</w:t>
      </w:r>
      <w:r>
        <w:t>. Oznacza to, że wiele miejscowości o wybitnych walorach krajoznawczo-turystycznych, gdzie turystyka jest podstawą gospodarki nie może spełnić warunków formalnych.</w:t>
      </w:r>
    </w:p>
    <w:p w14:paraId="5CEC36C3" w14:textId="77777777" w:rsidR="003C5616" w:rsidRPr="00F0636C" w:rsidRDefault="003C5616" w:rsidP="003C5616">
      <w:pPr>
        <w:pStyle w:val="ZDANIENASTNOWYWIERSZnpzddrugienowywierszwust"/>
      </w:pPr>
      <w:r w:rsidRPr="00F0636C">
        <w:lastRenderedPageBreak/>
        <w:t>Z uwagi na ograniczoną możliwość wpływu samorządów na zmianę przepisów czy na warunki środowiskowe, przepisy regulujące opłatę miejscową wymagają dostosowania do dzisiejszych realiów — tak aby nie tworzyły fałszywego wrażenia, że opłata ta jest związana z czystością powietrza i by nie ograniczały niezasłużenie dochodów gmin.</w:t>
      </w:r>
    </w:p>
    <w:p w14:paraId="6CFDCF3F" w14:textId="77777777" w:rsidR="003C5616" w:rsidRPr="00F0636C" w:rsidRDefault="003C5616" w:rsidP="003C5616">
      <w:pPr>
        <w:pStyle w:val="ZDANIENASTNOWYWIERSZnpzddrugienowywierszwust"/>
      </w:pPr>
      <w:r w:rsidRPr="00F0636C">
        <w:t>Porównując rozwiązania zagraniczne, warto rozważyć ich adaptację w Polsce — zamiast obecnej konstrukcji opłaty miejscowej, lepiej zastosować model klasycznej opłaty pobytowej (opłaty turystycznej) używanej w wielu krajach. Opłata turystyczna stała się powszechna w Europie i poza nią, obowiązuje zarówno w państwach starających się zwiększyć ruch turystyczny, jak i tych, które chcą go ograniczyć lub profilować.</w:t>
      </w:r>
    </w:p>
    <w:p w14:paraId="6004A01E" w14:textId="77777777" w:rsidR="003C5616" w:rsidRPr="00F0636C" w:rsidRDefault="003C5616" w:rsidP="003C5616">
      <w:pPr>
        <w:pStyle w:val="ZDANIENASTNOWYWIERSZnpzddrugienowywierszwust"/>
      </w:pPr>
      <w:r w:rsidRPr="00F0636C">
        <w:t>W odniesieniu do Polski</w:t>
      </w:r>
      <w:r>
        <w:t xml:space="preserve"> –</w:t>
      </w:r>
      <w:r w:rsidRPr="00F0636C">
        <w:t xml:space="preserve"> w 2023 r. liczba udzielonych noclegów w turystycznych obiektach noclegowych wyniosła 98,5 mln.</w:t>
      </w:r>
      <w:r>
        <w:rPr>
          <w:rStyle w:val="Odwoanieprzypisudolnego"/>
        </w:rPr>
        <w:footnoteReference w:id="1"/>
      </w:r>
      <w:r>
        <w:t xml:space="preserve">, a </w:t>
      </w:r>
      <w:r w:rsidRPr="00F0636C">
        <w:t xml:space="preserve">w 2024 r. </w:t>
      </w:r>
      <w:r>
        <w:t>–</w:t>
      </w:r>
      <w:r w:rsidRPr="00F0636C">
        <w:t xml:space="preserve"> 104,1 mln</w:t>
      </w:r>
      <w:r>
        <w:rPr>
          <w:rStyle w:val="Odwoanieprzypisudolnego"/>
        </w:rPr>
        <w:footnoteReference w:id="2"/>
      </w:r>
      <w:r w:rsidRPr="00F0636C">
        <w:t>. Rosnący ruch turystyczny generuje dla gmin dodatkowe koszty, takie jak utrzymanie czystości, rewitalizacja przestrzeni i zapewnienie bezpieczeństwa mieszkańcom oraz turystom. Wprowadzenie opłaty</w:t>
      </w:r>
      <w:r>
        <w:t xml:space="preserve">, która jest ściśle związana z rzeczywistym ruchem turystycznym </w:t>
      </w:r>
      <w:r w:rsidRPr="00F0636C">
        <w:t>stanowić</w:t>
      </w:r>
      <w:r>
        <w:t xml:space="preserve"> będzie</w:t>
      </w:r>
      <w:r w:rsidRPr="00F0636C">
        <w:t xml:space="preserve"> formę rekompensaty dla społeczności lokalnych.</w:t>
      </w:r>
    </w:p>
    <w:p w14:paraId="2C7F7F08" w14:textId="77777777" w:rsidR="003C5616" w:rsidRPr="00F0636C" w:rsidRDefault="003C5616" w:rsidP="003C5616">
      <w:pPr>
        <w:pStyle w:val="ZDANIENASTNOWYWIERSZnpzddrugienowywierszwust"/>
      </w:pPr>
      <w:r w:rsidRPr="00F0636C">
        <w:t xml:space="preserve">Obecnie opłata miejscowa uregulowana jest w art. 17 i art. 19 pkt 1 lit. b </w:t>
      </w:r>
      <w:r>
        <w:t xml:space="preserve">i c </w:t>
      </w:r>
      <w:r w:rsidRPr="00F0636C">
        <w:t>ustawy z dnia 12 stycznia 1991 r. o podatkach i opłatach lokalnych. Warunkiem jej wprowadzenia jest podjęcie przez radę gminy uchwały. Jak wskazano powyżej, jej pobieranie uzależnione jest od spełnienia kryter</w:t>
      </w:r>
      <w:r>
        <w:t>i</w:t>
      </w:r>
      <w:r w:rsidRPr="00F0636C">
        <w:t xml:space="preserve">ów zawartych w </w:t>
      </w:r>
      <w:r>
        <w:t>r</w:t>
      </w:r>
      <w:r w:rsidRPr="00F0636C">
        <w:t xml:space="preserve">ozporządzeniu Rady Ministrów z dnia 18 grudnia 2007 r. w sprawie warunków, jakie powinna spełniać miejscowość, w której można pobierać opłatę miejscową. Kryteria te to spełnianie warunków klimatycznych, krajobrazowych, umożliwiających pobyt osób w celach turystycznych, wypoczynkowych lub szkoleniowych. Wskazane warunki powinny być spełnione łącznie. Przepisy obowiązujące stosują wyłączenia podmiotowe obowiązku uiszczania opłaty. Jej stawkę ustala rada gminy w uchwale, jednak ustawa określa maksymalną kwotę. </w:t>
      </w:r>
    </w:p>
    <w:p w14:paraId="32393178" w14:textId="77777777" w:rsidR="003C5616" w:rsidRPr="00F0636C" w:rsidRDefault="003C5616" w:rsidP="003C5616">
      <w:pPr>
        <w:pStyle w:val="ZDANIENASTNOWYWIERSZnpzddrugienowywierszwust"/>
      </w:pPr>
      <w:r w:rsidRPr="00F0636C">
        <w:t xml:space="preserve">Projekt ustawy zakłada rezygnację z korelacji możliwości poboru opłaty miejscowej (turystycznej) z normami klimatycznymi, walorami klimatycznymi, czy warunkami umożliwiającymi pobyt osób w celach turystycznych, wypoczynkowych, czy szkoleniowych. </w:t>
      </w:r>
      <w:r w:rsidRPr="00F0636C">
        <w:lastRenderedPageBreak/>
        <w:t xml:space="preserve">W następstwie opłata ta stanie się po prostu opłatą pobytową poprzez modyfikację art. 17 ust. 1 ustawy. W konsekwencji usunięto także przepis przewidujący delegację ustawową do wydania stosownego rozporządzenia. To zaś determinuje konieczność zmiany jej nazwy poprzez dodanie punktu 5c w art. 1 ustawy. </w:t>
      </w:r>
    </w:p>
    <w:p w14:paraId="572BA115" w14:textId="72B6B327" w:rsidR="003C5616" w:rsidRPr="00F0636C" w:rsidRDefault="003C5616" w:rsidP="003C5616">
      <w:pPr>
        <w:pStyle w:val="ZDANIENASTNOWYWIERSZnpzddrugienowywierszwust"/>
      </w:pPr>
      <w:r w:rsidRPr="00F0636C">
        <w:t>Pozostała konstrukcja, stosowana do tej pory wobec opłaty miejscowej, zostaje zachowana na potrzeby opłaty turystycznej. Pozostanie ona opłat</w:t>
      </w:r>
      <w:r w:rsidR="00AB1AEC">
        <w:t>ą</w:t>
      </w:r>
      <w:r w:rsidRPr="00F0636C">
        <w:t xml:space="preserve"> fakultatywną, stawkę ustalać będzie rada gminy, jednak ustawa określa maksymalną jej stawkę na poziomie </w:t>
      </w:r>
      <w:r>
        <w:t>5</w:t>
      </w:r>
      <w:r w:rsidRPr="00F0636C">
        <w:t xml:space="preserve"> zł</w:t>
      </w:r>
      <w:r>
        <w:t xml:space="preserve"> wg maksymalnej stawki dla roku 2026 i 2027, potem będzie waloryzowana zgodnie z obwieszczeniem Ministra Finansów wydawanym na podstawie art. 20 ust. 2 ustawy</w:t>
      </w:r>
      <w:r w:rsidRPr="00F0636C">
        <w:t>. Dochody stanowić będ</w:t>
      </w:r>
      <w:r>
        <w:t>ą</w:t>
      </w:r>
      <w:r w:rsidRPr="00F0636C">
        <w:t xml:space="preserve"> dochód własny gminy. </w:t>
      </w:r>
      <w:r>
        <w:t xml:space="preserve"> </w:t>
      </w:r>
    </w:p>
    <w:p w14:paraId="3FCF9053" w14:textId="77777777" w:rsidR="003C5616" w:rsidRDefault="003C5616" w:rsidP="003C5616">
      <w:pPr>
        <w:pStyle w:val="ZDANIENASTNOWYWIERSZnpzddrugienowywierszwust"/>
      </w:pPr>
    </w:p>
    <w:p w14:paraId="18E096FF" w14:textId="77777777" w:rsidR="003C5616" w:rsidRPr="00737F6A" w:rsidRDefault="003C5616" w:rsidP="003C5616">
      <w:pPr>
        <w:pStyle w:val="ZDANIENASTNOWYWIERSZnpzddrugienowywierszwust"/>
      </w:pPr>
      <w:r>
        <w:t>Projekt jest zgodny z prawem Unii Europejskiej.</w:t>
      </w:r>
    </w:p>
    <w:p w14:paraId="1F962D60" w14:textId="77777777" w:rsidR="00F740E1" w:rsidRDefault="00F740E1"/>
    <w:sectPr w:rsidR="00F740E1" w:rsidSect="003C5616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A1FF" w14:textId="77777777" w:rsidR="00F53F3E" w:rsidRDefault="00F53F3E" w:rsidP="003C5616">
      <w:pPr>
        <w:spacing w:after="0" w:line="240" w:lineRule="auto"/>
      </w:pPr>
      <w:r>
        <w:separator/>
      </w:r>
    </w:p>
  </w:endnote>
  <w:endnote w:type="continuationSeparator" w:id="0">
    <w:p w14:paraId="15109985" w14:textId="77777777" w:rsidR="00F53F3E" w:rsidRDefault="00F53F3E" w:rsidP="003C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8630" w14:textId="77777777" w:rsidR="00F53F3E" w:rsidRDefault="00F53F3E" w:rsidP="003C5616">
      <w:pPr>
        <w:spacing w:after="0" w:line="240" w:lineRule="auto"/>
      </w:pPr>
      <w:r>
        <w:separator/>
      </w:r>
    </w:p>
  </w:footnote>
  <w:footnote w:type="continuationSeparator" w:id="0">
    <w:p w14:paraId="4D5A123A" w14:textId="77777777" w:rsidR="00F53F3E" w:rsidRDefault="00F53F3E" w:rsidP="003C5616">
      <w:pPr>
        <w:spacing w:after="0" w:line="240" w:lineRule="auto"/>
      </w:pPr>
      <w:r>
        <w:continuationSeparator/>
      </w:r>
    </w:p>
  </w:footnote>
  <w:footnote w:id="1">
    <w:p w14:paraId="7B0D7C1D" w14:textId="77777777" w:rsidR="003C5616" w:rsidRDefault="003C5616" w:rsidP="003C5616">
      <w:pPr>
        <w:pStyle w:val="ZDANIENASTNOWYWIERSZnpzddrugienowywierszwust"/>
      </w:pPr>
      <w:r>
        <w:rPr>
          <w:rStyle w:val="Odwoanieprzypisudolnego"/>
        </w:rPr>
        <w:footnoteRef/>
      </w:r>
      <w:hyperlink r:id="rId1" w:history="1">
        <w:r w:rsidRPr="00135DE4">
          <w:rPr>
            <w:rStyle w:val="Hipercze"/>
          </w:rPr>
          <w:t>https://stat.gov.pl/en/topics/culture-tourism-sport/tourism/tourism-in-2023%2C1%2C21.html?utm_source=chatgpt.com</w:t>
        </w:r>
      </w:hyperlink>
      <w:r>
        <w:t xml:space="preserve"> </w:t>
      </w:r>
    </w:p>
  </w:footnote>
  <w:footnote w:id="2">
    <w:p w14:paraId="4F5F6FAD" w14:textId="77777777" w:rsidR="003C5616" w:rsidRDefault="003C5616" w:rsidP="003C5616">
      <w:r>
        <w:rPr>
          <w:rStyle w:val="Odwoanieprzypisudolnego"/>
        </w:rPr>
        <w:footnoteRef/>
      </w:r>
      <w:r>
        <w:t xml:space="preserve"> </w:t>
      </w:r>
      <w:hyperlink r:id="rId2" w:history="1">
        <w:r w:rsidRPr="00135DE4">
          <w:rPr>
            <w:rStyle w:val="Hipercze"/>
          </w:rPr>
          <w:t>https://stat.gov.pl/en/topics/culture-tourism-sport/tourism/tourism-in-2024,1,22.html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87" w14:textId="77777777" w:rsidR="003C5616" w:rsidRPr="00B371CC" w:rsidRDefault="003C561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16"/>
    <w:rsid w:val="00067485"/>
    <w:rsid w:val="001B7544"/>
    <w:rsid w:val="003C5616"/>
    <w:rsid w:val="00484E24"/>
    <w:rsid w:val="00627BD0"/>
    <w:rsid w:val="00902C52"/>
    <w:rsid w:val="00AB1AEC"/>
    <w:rsid w:val="00CE7AEB"/>
    <w:rsid w:val="00CF6E89"/>
    <w:rsid w:val="00F53F3E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F5FF"/>
  <w15:chartTrackingRefBased/>
  <w15:docId w15:val="{F81DDFB7-85EC-4F06-9223-D18B254E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616"/>
    <w:pPr>
      <w:spacing w:line="279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6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6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6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6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6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6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5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5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56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6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56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6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616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semiHidden/>
    <w:rsid w:val="003C561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C5616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C5616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C561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C561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C561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C561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3C561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C5616"/>
    <w:pPr>
      <w:ind w:left="986" w:hanging="476"/>
    </w:pPr>
  </w:style>
  <w:style w:type="paragraph" w:customStyle="1" w:styleId="ZLITUSTzmustliter">
    <w:name w:val="Z_LIT/UST(§) – zm. ust. (§) literą"/>
    <w:basedOn w:val="Normalny"/>
    <w:uiPriority w:val="46"/>
    <w:qFormat/>
    <w:rsid w:val="003C5616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customStyle="1" w:styleId="ZLITPKTzmpktliter">
    <w:name w:val="Z_LIT/PKT – zm. pkt literą"/>
    <w:basedOn w:val="PKTpunkt"/>
    <w:uiPriority w:val="47"/>
    <w:qFormat/>
    <w:rsid w:val="003C5616"/>
    <w:pPr>
      <w:ind w:left="1497"/>
    </w:pPr>
  </w:style>
  <w:style w:type="paragraph" w:customStyle="1" w:styleId="ZTIRLITzmlittiret">
    <w:name w:val="Z_TIR/LIT – zm. lit. tiret"/>
    <w:basedOn w:val="LITlitera"/>
    <w:uiPriority w:val="57"/>
    <w:qFormat/>
    <w:rsid w:val="003C5616"/>
    <w:pPr>
      <w:ind w:left="1859"/>
    </w:p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C5616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Normalny"/>
    <w:uiPriority w:val="17"/>
    <w:qFormat/>
    <w:rsid w:val="003C5616"/>
    <w:pPr>
      <w:spacing w:after="0" w:line="360" w:lineRule="auto"/>
      <w:jc w:val="both"/>
    </w:pPr>
    <w:rPr>
      <w:rFonts w:ascii="Times" w:eastAsiaTheme="minorEastAsia" w:hAnsi="Times" w:cs="Arial"/>
      <w:bCs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C5616"/>
    <w:rPr>
      <w:b/>
    </w:rPr>
  </w:style>
  <w:style w:type="character" w:styleId="Hipercze">
    <w:name w:val="Hyperlink"/>
    <w:basedOn w:val="Domylnaczcionkaakapitu"/>
    <w:uiPriority w:val="99"/>
    <w:semiHidden/>
    <w:rsid w:val="003C5616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484E24"/>
    <w:pPr>
      <w:spacing w:after="0" w:line="240" w:lineRule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at.gov.pl/en/topics/culture-tourism-sport/tourism/tourism-in-2024,1,22.html" TargetMode="External"/><Relationship Id="rId1" Type="http://schemas.openxmlformats.org/officeDocument/2006/relationships/hyperlink" Target="https://stat.gov.pl/en/topics/culture-tourism-sport/tourism/tourism-in-2023%2C1%2C21.html?utm_source=chatgpt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1234</Words>
  <Characters>7404</Characters>
  <Application>Microsoft Office Word</Application>
  <DocSecurity>0</DocSecurity>
  <Lines>61</Lines>
  <Paragraphs>17</Paragraphs>
  <ScaleCrop>false</ScaleCrop>
  <Company>Kancelaria Sejmu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4</cp:revision>
  <dcterms:created xsi:type="dcterms:W3CDTF">2025-11-06T09:37:00Z</dcterms:created>
  <dcterms:modified xsi:type="dcterms:W3CDTF">2025-11-06T10:09:00Z</dcterms:modified>
</cp:coreProperties>
</file>