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3DBBC" w14:textId="77777777" w:rsidR="00E55E45" w:rsidRPr="002F60CF" w:rsidRDefault="00E55E45" w:rsidP="002F60CF">
      <w:pPr>
        <w:spacing w:after="120" w:line="360" w:lineRule="auto"/>
        <w:jc w:val="center"/>
        <w:rPr>
          <w:rFonts w:ascii="Times New Roman" w:hAnsi="Times New Roman" w:cs="Times New Roman"/>
          <w:bCs/>
          <w:sz w:val="24"/>
          <w:szCs w:val="24"/>
        </w:rPr>
      </w:pPr>
      <w:r w:rsidRPr="002F60CF">
        <w:rPr>
          <w:rFonts w:ascii="Times New Roman" w:hAnsi="Times New Roman" w:cs="Times New Roman"/>
          <w:bCs/>
          <w:sz w:val="24"/>
          <w:szCs w:val="24"/>
        </w:rPr>
        <w:t>UZASADNIENIE</w:t>
      </w:r>
    </w:p>
    <w:p w14:paraId="42CEFE2A" w14:textId="77777777" w:rsidR="00E55E45" w:rsidRPr="00906ADD" w:rsidRDefault="00E55E45" w:rsidP="002F60CF">
      <w:pPr>
        <w:numPr>
          <w:ilvl w:val="0"/>
          <w:numId w:val="2"/>
        </w:numPr>
        <w:suppressAutoHyphens/>
        <w:spacing w:after="120" w:line="360" w:lineRule="auto"/>
        <w:ind w:left="284" w:hanging="284"/>
        <w:jc w:val="both"/>
        <w:rPr>
          <w:rFonts w:ascii="Times New Roman" w:hAnsi="Times New Roman" w:cs="Times New Roman"/>
          <w:sz w:val="24"/>
          <w:szCs w:val="24"/>
        </w:rPr>
      </w:pPr>
      <w:r w:rsidRPr="00906ADD">
        <w:rPr>
          <w:rFonts w:ascii="Times New Roman" w:hAnsi="Times New Roman" w:cs="Times New Roman"/>
          <w:b/>
          <w:sz w:val="24"/>
          <w:szCs w:val="24"/>
        </w:rPr>
        <w:t>Potrzeba i cel związania Rzeczypospolitej Polskiej umową międzynarodową</w:t>
      </w:r>
    </w:p>
    <w:p w14:paraId="19F95F09" w14:textId="77777777" w:rsidR="00E55E45" w:rsidRPr="00906ADD" w:rsidRDefault="00E55E45" w:rsidP="002F60CF">
      <w:pPr>
        <w:pStyle w:val="Tekstpodstawowywcity31"/>
        <w:spacing w:line="360" w:lineRule="auto"/>
        <w:ind w:left="0"/>
        <w:jc w:val="both"/>
        <w:rPr>
          <w:rFonts w:ascii="Times New Roman" w:hAnsi="Times New Roman" w:cs="Times New Roman"/>
          <w:sz w:val="24"/>
          <w:szCs w:val="24"/>
        </w:rPr>
      </w:pPr>
      <w:r w:rsidRPr="00906ADD">
        <w:rPr>
          <w:rFonts w:ascii="Times New Roman" w:hAnsi="Times New Roman" w:cs="Times New Roman"/>
          <w:sz w:val="24"/>
          <w:szCs w:val="24"/>
        </w:rPr>
        <w:t xml:space="preserve">Traktaty inwestycyjne zapewniają inwestorowi i jego inwestycjom z państwa – Strony umowy na terytorium państwa – drugiej Strony umowy ochronę oraz możliwość dochodzenia roszczeń przed międzynarodowym trybunałem inwestycyjnym (arbitrażowym). </w:t>
      </w:r>
    </w:p>
    <w:p w14:paraId="6919801B" w14:textId="4D9957F1" w:rsidR="00E55E45" w:rsidRPr="00906ADD" w:rsidRDefault="00E55E45" w:rsidP="002F60CF">
      <w:pPr>
        <w:pStyle w:val="Tekstpodstawowywcity31"/>
        <w:spacing w:line="360" w:lineRule="auto"/>
        <w:ind w:left="0"/>
        <w:jc w:val="both"/>
        <w:rPr>
          <w:rFonts w:ascii="Times New Roman" w:hAnsi="Times New Roman" w:cs="Times New Roman"/>
          <w:sz w:val="24"/>
          <w:szCs w:val="24"/>
        </w:rPr>
      </w:pPr>
      <w:r w:rsidRPr="00906ADD">
        <w:rPr>
          <w:rFonts w:ascii="Times New Roman" w:hAnsi="Times New Roman" w:cs="Times New Roman"/>
          <w:sz w:val="24"/>
          <w:szCs w:val="24"/>
        </w:rPr>
        <w:t xml:space="preserve">Obowiązywanie tych umów w relacjach między państwami członkowskimi UE (dalej jako „umowy intra-EU BIT”) było i jest kwestionowane przez Komisję Europejską z uwagi na ich niezgodność z prawem UE. Komisja Europejska zgłaszała poważne obawy, że umowy intra-EU BIT jako takie, a także ich poszczególne postanowienia pokrywają się z postanowieniami Traktatu o funkcjonowaniu Unii Europejskiej lub mogą być z nimi sprzeczne. Wskazywała, w szczególności, na zasady swobody przepływu kapitału, swobody przedsiębiorczości i swobody świadczenia usług oraz na podstawowe zasady prawa UE, takie jak: zasada pierwszeństwa, jednolitości, bezpośredniej skuteczności i pewności prawa UE. Komisja Europejska podkreślała również sprzeczność z prawem UE postanowień umów intra-EU BIT odnoszących się do kwestii rozstrzygania sporów inwestycyjnych. Co istotne, Trybunał Sprawiedliwości UE (dalej jako „TSUE”) stwierdził w wyroku wydanym w dniu 6 marca 2018 r. w sprawie </w:t>
      </w:r>
      <w:proofErr w:type="spellStart"/>
      <w:r w:rsidRPr="00906ADD">
        <w:rPr>
          <w:rFonts w:ascii="Times New Roman" w:hAnsi="Times New Roman" w:cs="Times New Roman"/>
          <w:sz w:val="24"/>
          <w:szCs w:val="24"/>
        </w:rPr>
        <w:t>Achmea</w:t>
      </w:r>
      <w:proofErr w:type="spellEnd"/>
      <w:r w:rsidRPr="00906ADD">
        <w:rPr>
          <w:rFonts w:ascii="Times New Roman" w:hAnsi="Times New Roman" w:cs="Times New Roman"/>
          <w:sz w:val="24"/>
          <w:szCs w:val="24"/>
        </w:rPr>
        <w:t xml:space="preserve"> B.V. przeciwko Republice Słowacji (C-284/16, dalej jako „orzeczenie TSUE </w:t>
      </w:r>
      <w:proofErr w:type="spellStart"/>
      <w:r w:rsidRPr="00906ADD">
        <w:rPr>
          <w:rFonts w:ascii="Times New Roman" w:hAnsi="Times New Roman" w:cs="Times New Roman"/>
          <w:sz w:val="24"/>
          <w:szCs w:val="24"/>
        </w:rPr>
        <w:t>ws</w:t>
      </w:r>
      <w:proofErr w:type="spellEnd"/>
      <w:r w:rsidRPr="00906ADD">
        <w:rPr>
          <w:rFonts w:ascii="Times New Roman" w:hAnsi="Times New Roman" w:cs="Times New Roman"/>
          <w:sz w:val="24"/>
          <w:szCs w:val="24"/>
        </w:rPr>
        <w:t xml:space="preserve">. </w:t>
      </w:r>
      <w:proofErr w:type="spellStart"/>
      <w:r w:rsidRPr="00906ADD">
        <w:rPr>
          <w:rFonts w:ascii="Times New Roman" w:hAnsi="Times New Roman" w:cs="Times New Roman"/>
          <w:sz w:val="24"/>
          <w:szCs w:val="24"/>
        </w:rPr>
        <w:t>Achmea</w:t>
      </w:r>
      <w:proofErr w:type="spellEnd"/>
      <w:r w:rsidRPr="00906ADD">
        <w:rPr>
          <w:rFonts w:ascii="Times New Roman" w:hAnsi="Times New Roman" w:cs="Times New Roman"/>
          <w:sz w:val="24"/>
          <w:szCs w:val="24"/>
        </w:rPr>
        <w:t>”), że klauzule arbitrażowe inwestor – państwo zawarte w umowach intra-EU BIT są niezgodne z prawem UE, gdyż naruszają autonomię prawa UE (TSUE nie odnosił się do przepisów materialnych umów intra-EU BIT). Polska przystąpiła do ww. postępowania i przedstawiła w nim stanowisko wskazujące na sprzeczność umów intra-EU BIT z prawem unijnym. Stanowisko zbliżone do Polski zajęła Komisja Europejska oraz wiele państw z regionu i spoza niego.</w:t>
      </w:r>
    </w:p>
    <w:p w14:paraId="4B845AB3" w14:textId="4AFF25B5" w:rsidR="00E55E45" w:rsidRPr="00906ADD" w:rsidRDefault="006A1696" w:rsidP="002F60CF">
      <w:pPr>
        <w:pStyle w:val="Tekstpodstawowywcity31"/>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E55E45" w:rsidRPr="00906ADD">
        <w:rPr>
          <w:rFonts w:ascii="Times New Roman" w:hAnsi="Times New Roman" w:cs="Times New Roman"/>
          <w:sz w:val="24"/>
          <w:szCs w:val="24"/>
        </w:rPr>
        <w:t>Stanowisko Polski wobec umów intra-EU BIT zostało przyjęte przez Komitet do Spraw Europejskich w dniu 3 czerwca 2011 r. Zgodnie z nim umowy intra-EU BIT powinny zostać wypowiedziane przez wszystkie państwa członkowskie UE, a najlepszym rozwiązaniem dla Polski byłoby jednoczesne podjęcie przez wszystkie państwa członkowskie UE wspólnej decyzji o rozwiązaniu umów intra-EU BIT za obopólną zgodą</w:t>
      </w:r>
      <w:r w:rsidR="004F6E43" w:rsidRPr="00906ADD">
        <w:rPr>
          <w:rFonts w:ascii="Times New Roman" w:hAnsi="Times New Roman" w:cs="Times New Roman"/>
          <w:sz w:val="24"/>
          <w:szCs w:val="24"/>
        </w:rPr>
        <w:t xml:space="preserve"> na mocy Konwencji wiedeńskiej </w:t>
      </w:r>
      <w:r w:rsidR="00E55E45" w:rsidRPr="00906ADD">
        <w:rPr>
          <w:rFonts w:ascii="Times New Roman" w:hAnsi="Times New Roman" w:cs="Times New Roman"/>
          <w:sz w:val="24"/>
          <w:szCs w:val="24"/>
        </w:rPr>
        <w:t xml:space="preserve">o prawie traktatów, sporządzonej w Wiedniu dnia 23 maja 1969 r. (Dz. U. z 1990 r. poz. 439). Alternatywnie, w przypadku braku możliwości osiągnięcia wśród państw członkowskich UE takiej jednomyślności Polska, zgodnie z powyższym stanowiskiem, powinna rozwiązać umowy </w:t>
      </w:r>
      <w:r w:rsidR="00E55E45" w:rsidRPr="00906ADD">
        <w:rPr>
          <w:rFonts w:ascii="Times New Roman" w:hAnsi="Times New Roman" w:cs="Times New Roman"/>
          <w:sz w:val="24"/>
          <w:szCs w:val="24"/>
        </w:rPr>
        <w:lastRenderedPageBreak/>
        <w:t xml:space="preserve">intra-EU BIT albo przez ich wypowiedzenie na warunkach określonych w tych umowach, albo na podstawie porozumienia stron. </w:t>
      </w:r>
    </w:p>
    <w:p w14:paraId="4C16ECD6" w14:textId="31EC08F1" w:rsidR="00E55E45" w:rsidRPr="00906ADD" w:rsidRDefault="00E55E45" w:rsidP="002F60CF">
      <w:pPr>
        <w:spacing w:after="120" w:line="360" w:lineRule="auto"/>
        <w:jc w:val="both"/>
        <w:rPr>
          <w:rFonts w:ascii="Times New Roman" w:hAnsi="Times New Roman" w:cs="Times New Roman"/>
          <w:sz w:val="24"/>
          <w:szCs w:val="24"/>
        </w:rPr>
      </w:pPr>
      <w:r w:rsidRPr="00906ADD">
        <w:rPr>
          <w:rFonts w:ascii="Times New Roman" w:hAnsi="Times New Roman" w:cs="Times New Roman"/>
          <w:color w:val="000000"/>
          <w:sz w:val="24"/>
          <w:szCs w:val="24"/>
        </w:rPr>
        <w:t xml:space="preserve">Z uwagi na brak konsensusu państw członkowskich UE co do celowości i sposobu rozwiązania umów intra-EU BIT, przed wydaniem orzeczenia TSUE w sprawie </w:t>
      </w:r>
      <w:proofErr w:type="spellStart"/>
      <w:r w:rsidRPr="00906ADD">
        <w:rPr>
          <w:rFonts w:ascii="Times New Roman" w:hAnsi="Times New Roman" w:cs="Times New Roman"/>
          <w:color w:val="000000"/>
          <w:sz w:val="24"/>
          <w:szCs w:val="24"/>
        </w:rPr>
        <w:t>Achmea</w:t>
      </w:r>
      <w:proofErr w:type="spellEnd"/>
      <w:r w:rsidRPr="00906ADD">
        <w:rPr>
          <w:rFonts w:ascii="Times New Roman" w:hAnsi="Times New Roman" w:cs="Times New Roman"/>
          <w:color w:val="000000"/>
          <w:sz w:val="24"/>
          <w:szCs w:val="24"/>
        </w:rPr>
        <w:t xml:space="preserve">, Polska przystąpiła do realizacji opcji rozwiązania umów na podstawie porozumień dwustronnych przewidujących rezygnację z klauzul przedłużonego obowiązywania umowy lub też przez ich wypowiedzenie, w przypadku gdy dane państwo członkowskie UE nie było zainteresowane rozwiązaniem umowy przez zawarcie dwustronnego porozumienia. </w:t>
      </w:r>
    </w:p>
    <w:p w14:paraId="6515DF57" w14:textId="394C2915" w:rsidR="00E55E45" w:rsidRPr="00906ADD" w:rsidRDefault="00E55E45" w:rsidP="002F60CF">
      <w:pPr>
        <w:spacing w:after="120" w:line="360" w:lineRule="auto"/>
        <w:jc w:val="both"/>
        <w:rPr>
          <w:rFonts w:ascii="Times New Roman" w:hAnsi="Times New Roman" w:cs="Times New Roman"/>
          <w:b/>
          <w:bCs/>
          <w:color w:val="000000"/>
          <w:sz w:val="24"/>
          <w:szCs w:val="24"/>
          <w:highlight w:val="yellow"/>
        </w:rPr>
      </w:pPr>
      <w:r w:rsidRPr="00906ADD">
        <w:rPr>
          <w:rFonts w:ascii="Times New Roman" w:hAnsi="Times New Roman" w:cs="Times New Roman"/>
          <w:color w:val="000000"/>
          <w:sz w:val="24"/>
          <w:szCs w:val="24"/>
        </w:rPr>
        <w:t xml:space="preserve">W związku z tym, że Wielka Brytania nie była zainteresowana rozwiązaniem za porozumieniem stron </w:t>
      </w:r>
      <w:r w:rsidRPr="00906ADD">
        <w:rPr>
          <w:rFonts w:ascii="Times New Roman" w:hAnsi="Times New Roman" w:cs="Times New Roman"/>
          <w:bCs/>
          <w:sz w:val="24"/>
          <w:szCs w:val="24"/>
        </w:rPr>
        <w:t xml:space="preserve">Umowy między Rządem Polskiej Rzeczypospolitej Ludowej a Rządem Zjednoczonego Królestwa Wielkiej Brytanii i Irlandii Północnej w sprawie popierania i wzajemnej ochrony inwestycji, podpisanej w Londynie dnia 8 grudnia 1987 r. </w:t>
      </w:r>
      <w:r w:rsidRPr="00906ADD">
        <w:rPr>
          <w:rFonts w:ascii="Times New Roman" w:hAnsi="Times New Roman" w:cs="Times New Roman"/>
          <w:bCs/>
          <w:color w:val="000000"/>
          <w:sz w:val="24"/>
          <w:szCs w:val="24"/>
        </w:rPr>
        <w:t>(</w:t>
      </w:r>
      <w:r w:rsidRPr="00906ADD">
        <w:rPr>
          <w:rFonts w:ascii="Times New Roman" w:hAnsi="Times New Roman" w:cs="Times New Roman"/>
          <w:color w:val="000000"/>
          <w:sz w:val="24"/>
          <w:szCs w:val="24"/>
        </w:rPr>
        <w:t xml:space="preserve">Dz. U. z </w:t>
      </w:r>
      <w:r w:rsidR="0087790F" w:rsidRPr="00906ADD">
        <w:rPr>
          <w:rFonts w:ascii="Times New Roman" w:hAnsi="Times New Roman" w:cs="Times New Roman"/>
          <w:color w:val="000000"/>
          <w:sz w:val="24"/>
          <w:szCs w:val="24"/>
        </w:rPr>
        <w:t>1988</w:t>
      </w:r>
      <w:r w:rsidR="0087790F">
        <w:rPr>
          <w:rFonts w:ascii="Times New Roman" w:hAnsi="Times New Roman" w:cs="Times New Roman"/>
          <w:color w:val="000000"/>
          <w:sz w:val="24"/>
          <w:szCs w:val="24"/>
        </w:rPr>
        <w:t> </w:t>
      </w:r>
      <w:r w:rsidRPr="00906ADD">
        <w:rPr>
          <w:rFonts w:ascii="Times New Roman" w:hAnsi="Times New Roman" w:cs="Times New Roman"/>
          <w:color w:val="000000"/>
          <w:sz w:val="24"/>
          <w:szCs w:val="24"/>
        </w:rPr>
        <w:t>r. poz. 93), dalej jako „Umowa”, Polska wypowiedziała Umowę ze skutkiem od dnia 22 listopada 2019 r.</w:t>
      </w:r>
      <w:r w:rsidRPr="00906ADD">
        <w:rPr>
          <w:rStyle w:val="Zakotwiczenieprzypisudolnego"/>
          <w:rFonts w:ascii="Times New Roman" w:hAnsi="Times New Roman" w:cs="Times New Roman"/>
          <w:color w:val="000000"/>
          <w:sz w:val="24"/>
          <w:szCs w:val="24"/>
        </w:rPr>
        <w:footnoteReference w:id="1"/>
      </w:r>
      <w:r w:rsidR="00802E86">
        <w:rPr>
          <w:rFonts w:ascii="Times New Roman" w:hAnsi="Times New Roman" w:cs="Times New Roman"/>
          <w:color w:val="000000"/>
          <w:sz w:val="24"/>
          <w:szCs w:val="24"/>
          <w:vertAlign w:val="superscript"/>
        </w:rPr>
        <w:t>)</w:t>
      </w:r>
      <w:r w:rsidRPr="00906ADD">
        <w:rPr>
          <w:rFonts w:ascii="Times New Roman" w:hAnsi="Times New Roman" w:cs="Times New Roman"/>
          <w:color w:val="000000"/>
          <w:sz w:val="24"/>
          <w:szCs w:val="24"/>
        </w:rPr>
        <w:t xml:space="preserve"> </w:t>
      </w:r>
    </w:p>
    <w:p w14:paraId="32D234E3" w14:textId="397325DD" w:rsidR="00E55E45" w:rsidRPr="00906ADD" w:rsidRDefault="00E55E45" w:rsidP="002F60CF">
      <w:pPr>
        <w:spacing w:after="120" w:line="360" w:lineRule="auto"/>
        <w:jc w:val="both"/>
        <w:rPr>
          <w:rFonts w:ascii="Times New Roman" w:hAnsi="Times New Roman" w:cs="Times New Roman"/>
          <w:sz w:val="24"/>
          <w:szCs w:val="24"/>
        </w:rPr>
      </w:pPr>
      <w:r w:rsidRPr="00906ADD">
        <w:rPr>
          <w:rFonts w:ascii="Times New Roman" w:hAnsi="Times New Roman" w:cs="Times New Roman"/>
          <w:color w:val="000000"/>
          <w:sz w:val="24"/>
          <w:szCs w:val="24"/>
        </w:rPr>
        <w:t>Na podstawie zdania trzeciego Artykułu 13 Umowy inwestycje dokonane przed wejściem w życie wypowiedzenia Umowy są chronione na mocy tej Umowy przez piętnaście lat od czasu wygaśnięcia Umowy. Wypowiadając Umowę</w:t>
      </w:r>
      <w:r w:rsidR="009B554D">
        <w:rPr>
          <w:rFonts w:ascii="Times New Roman" w:hAnsi="Times New Roman" w:cs="Times New Roman"/>
          <w:color w:val="000000"/>
          <w:sz w:val="24"/>
          <w:szCs w:val="24"/>
        </w:rPr>
        <w:t>,</w:t>
      </w:r>
      <w:r w:rsidRPr="00906ADD">
        <w:rPr>
          <w:rFonts w:ascii="Times New Roman" w:hAnsi="Times New Roman" w:cs="Times New Roman"/>
          <w:color w:val="000000"/>
          <w:sz w:val="24"/>
          <w:szCs w:val="24"/>
        </w:rPr>
        <w:t xml:space="preserve"> Polska złożyła jednak deklarację, zgodnie z którą trybunały arbitrażowe ukonstytuowane na podstawie Umowy nie mają jurysdykcji do rozpatrywania sporów inwestor – państwo z uwagi na brak ważnej zgody na arbitraż Stron Umowy. </w:t>
      </w:r>
    </w:p>
    <w:p w14:paraId="4F23CE51" w14:textId="4C69EE9E" w:rsidR="00E55E45" w:rsidRPr="00906ADD" w:rsidRDefault="00E55E45" w:rsidP="002F60CF">
      <w:pPr>
        <w:spacing w:after="120" w:line="360" w:lineRule="auto"/>
        <w:jc w:val="both"/>
        <w:rPr>
          <w:rFonts w:ascii="Times New Roman" w:hAnsi="Times New Roman" w:cs="Times New Roman"/>
          <w:color w:val="000000"/>
          <w:sz w:val="24"/>
          <w:szCs w:val="24"/>
        </w:rPr>
      </w:pPr>
      <w:r w:rsidRPr="00906ADD">
        <w:rPr>
          <w:rFonts w:ascii="Times New Roman" w:hAnsi="Times New Roman" w:cs="Times New Roman"/>
          <w:color w:val="000000"/>
          <w:sz w:val="24"/>
          <w:szCs w:val="24"/>
        </w:rPr>
        <w:t xml:space="preserve">Jednocześnie Polska, zgodnie z deklaracją w uzasadnieniu do wypowiedzenia Umowy, kontynuowała konsultacje z Wielką Brytanią mające na celu doprowadzenie do rozwiązania Umowy, łącznie z klauzulą przedłużonego obowiązywania </w:t>
      </w:r>
      <w:r w:rsidR="005D4433">
        <w:rPr>
          <w:rFonts w:ascii="Times New Roman" w:hAnsi="Times New Roman" w:cs="Times New Roman"/>
          <w:color w:val="000000"/>
          <w:sz w:val="24"/>
          <w:szCs w:val="24"/>
        </w:rPr>
        <w:t>U</w:t>
      </w:r>
      <w:r w:rsidRPr="00906ADD">
        <w:rPr>
          <w:rFonts w:ascii="Times New Roman" w:hAnsi="Times New Roman" w:cs="Times New Roman"/>
          <w:color w:val="000000"/>
          <w:sz w:val="24"/>
          <w:szCs w:val="24"/>
        </w:rPr>
        <w:t xml:space="preserve">mowy. Działania takie zostały podjęte na forum unijnym w związku z ówczesną gotowością wszystkich państw do rozwiązania umów intra-EU BIT na podstawie traktatu </w:t>
      </w:r>
      <w:proofErr w:type="spellStart"/>
      <w:r w:rsidRPr="00906ADD">
        <w:rPr>
          <w:rFonts w:ascii="Times New Roman" w:hAnsi="Times New Roman" w:cs="Times New Roman"/>
          <w:color w:val="000000"/>
          <w:sz w:val="24"/>
          <w:szCs w:val="24"/>
        </w:rPr>
        <w:t>plurilateralnego</w:t>
      </w:r>
      <w:proofErr w:type="spellEnd"/>
      <w:r w:rsidRPr="00906ADD">
        <w:rPr>
          <w:rFonts w:ascii="Times New Roman" w:hAnsi="Times New Roman" w:cs="Times New Roman"/>
          <w:color w:val="000000"/>
          <w:sz w:val="24"/>
          <w:szCs w:val="24"/>
        </w:rPr>
        <w:t xml:space="preserve">. Prace nad traktatem trwały od listopada 2018 r. do października 2019 r. na forum specjalnie w tym celu powołanej Grupy eksperckiej do spraw rozwiązania umów intra-EU BIT oraz na poziomie stałych </w:t>
      </w:r>
      <w:r w:rsidRPr="00906ADD">
        <w:rPr>
          <w:rFonts w:ascii="Times New Roman" w:hAnsi="Times New Roman" w:cs="Times New Roman"/>
          <w:color w:val="000000"/>
          <w:sz w:val="24"/>
          <w:szCs w:val="24"/>
        </w:rPr>
        <w:lastRenderedPageBreak/>
        <w:t xml:space="preserve">przedstawicieli Polski przy UE w Brukseli (Komisja Europejska pełniła </w:t>
      </w:r>
      <w:r w:rsidR="00852C1B" w:rsidRPr="00906ADD">
        <w:rPr>
          <w:rFonts w:ascii="Times New Roman" w:hAnsi="Times New Roman" w:cs="Times New Roman"/>
          <w:color w:val="000000"/>
          <w:sz w:val="24"/>
          <w:szCs w:val="24"/>
        </w:rPr>
        <w:br/>
      </w:r>
      <w:r w:rsidRPr="00906ADD">
        <w:rPr>
          <w:rFonts w:ascii="Times New Roman" w:hAnsi="Times New Roman" w:cs="Times New Roman"/>
          <w:color w:val="000000"/>
          <w:sz w:val="24"/>
          <w:szCs w:val="24"/>
        </w:rPr>
        <w:t>w nich rolę pomocniczą). Wynikiem tych prac jest Porozumienie o wygaśnięciu dwustronnych traktatów inwestycyjnych między państwami członkowskimi Unii Europejskiej, które zostało podpisane w dniu 5 maja 2020 r. w Brukseli (Dz. Urz. UE L 169 z 29</w:t>
      </w:r>
      <w:r w:rsidR="009B554D">
        <w:rPr>
          <w:rFonts w:ascii="Times New Roman" w:hAnsi="Times New Roman" w:cs="Times New Roman"/>
          <w:color w:val="000000"/>
          <w:sz w:val="24"/>
          <w:szCs w:val="24"/>
        </w:rPr>
        <w:t>.05.</w:t>
      </w:r>
      <w:r w:rsidRPr="00906ADD">
        <w:rPr>
          <w:rFonts w:ascii="Times New Roman" w:hAnsi="Times New Roman" w:cs="Times New Roman"/>
          <w:color w:val="000000"/>
          <w:sz w:val="24"/>
          <w:szCs w:val="24"/>
        </w:rPr>
        <w:t>2020</w:t>
      </w:r>
      <w:r w:rsidR="009B554D">
        <w:rPr>
          <w:rFonts w:ascii="Times New Roman" w:hAnsi="Times New Roman" w:cs="Times New Roman"/>
          <w:color w:val="000000"/>
          <w:sz w:val="24"/>
          <w:szCs w:val="24"/>
        </w:rPr>
        <w:t>, str. 1</w:t>
      </w:r>
      <w:r w:rsidRPr="00906ADD">
        <w:rPr>
          <w:rFonts w:ascii="Times New Roman" w:hAnsi="Times New Roman" w:cs="Times New Roman"/>
          <w:color w:val="000000"/>
          <w:sz w:val="24"/>
          <w:szCs w:val="24"/>
        </w:rPr>
        <w:t>) przez dwadzieścia trzy państw</w:t>
      </w:r>
      <w:r w:rsidR="009B554D">
        <w:rPr>
          <w:rFonts w:ascii="Times New Roman" w:hAnsi="Times New Roman" w:cs="Times New Roman"/>
          <w:color w:val="000000"/>
          <w:sz w:val="24"/>
          <w:szCs w:val="24"/>
        </w:rPr>
        <w:t>a</w:t>
      </w:r>
      <w:r w:rsidRPr="00906ADD">
        <w:rPr>
          <w:rFonts w:ascii="Times New Roman" w:hAnsi="Times New Roman" w:cs="Times New Roman"/>
          <w:color w:val="000000"/>
          <w:sz w:val="24"/>
          <w:szCs w:val="24"/>
        </w:rPr>
        <w:t xml:space="preserve"> członkowskie. Ostatecznie Austria, Finlandia, Irlandia, Szwecja i Wielka Brytania, które uczestniczyły w pracach nad ww. traktatem, nie zdecydowały się na jego podpisanie. W związku z tym Komisja Europejska wszczęła przeciwko tym państwom postępowania w sprawie naruszenia prawa. </w:t>
      </w:r>
    </w:p>
    <w:p w14:paraId="2BAECAA6" w14:textId="2724B768" w:rsidR="00E55E45" w:rsidRPr="00906ADD" w:rsidRDefault="00E55E45" w:rsidP="002F60CF">
      <w:pPr>
        <w:spacing w:after="120" w:line="360" w:lineRule="auto"/>
        <w:jc w:val="both"/>
        <w:rPr>
          <w:rFonts w:ascii="Times New Roman" w:hAnsi="Times New Roman" w:cs="Times New Roman"/>
          <w:sz w:val="24"/>
          <w:szCs w:val="24"/>
        </w:rPr>
      </w:pPr>
      <w:bookmarkStart w:id="0" w:name="__DdeLink__120_3247322178"/>
      <w:bookmarkEnd w:id="0"/>
      <w:r w:rsidRPr="00906ADD">
        <w:rPr>
          <w:rFonts w:ascii="Times New Roman" w:hAnsi="Times New Roman" w:cs="Times New Roman"/>
          <w:color w:val="000000"/>
          <w:sz w:val="24"/>
          <w:szCs w:val="24"/>
        </w:rPr>
        <w:t xml:space="preserve">Polska i Wielka Brytania kontynuowały dwustronne negocjacje w sprawie rozwiązania klauzuli przedłużonego obowiązywania </w:t>
      </w:r>
      <w:r w:rsidR="005D4433">
        <w:rPr>
          <w:rFonts w:ascii="Times New Roman" w:hAnsi="Times New Roman" w:cs="Times New Roman"/>
          <w:color w:val="000000"/>
          <w:sz w:val="24"/>
          <w:szCs w:val="24"/>
        </w:rPr>
        <w:t>U</w:t>
      </w:r>
      <w:r w:rsidRPr="00906ADD">
        <w:rPr>
          <w:rFonts w:ascii="Times New Roman" w:hAnsi="Times New Roman" w:cs="Times New Roman"/>
          <w:color w:val="000000"/>
          <w:sz w:val="24"/>
          <w:szCs w:val="24"/>
        </w:rPr>
        <w:t>mowy. W ich wyniku Ambasada Brytyjska notą nr 029/2025 z dnia 28 marca 2025 r. zwróciła się do Ministerstwa Spraw Zagranicznych Rzeczypospolitej Polskiej z propozycją zawarcia Umowy między Rządem Rzeczypospolitej Polskiej a Rządem Zjednoczonego Królestwa Wielkiej Brytanii i Irlandii Północnej o wygaśnięciu trwających skutków prawnych Artykułu 13 Umowy między Rządem Polskiej Rzeczypospolitej Ludowej a Rządem Zjednoczonego Królestwa Wielkiej Brytanii i Irlandii Północnej w sprawie popierania i wzajemnej ochrony inwestycji, podpisanej w Londynie dnia 8 grudnia 1987 roku („Umowa o wygaśnięciu trwających skutków prawnych”).</w:t>
      </w:r>
      <w:r w:rsidRPr="00906ADD">
        <w:rPr>
          <w:rFonts w:ascii="Times New Roman" w:hAnsi="Times New Roman" w:cs="Times New Roman"/>
          <w:noProof/>
          <w:sz w:val="24"/>
          <w:szCs w:val="24"/>
        </w:rPr>
        <w:t xml:space="preserve"> </w:t>
      </w:r>
      <w:r w:rsidRPr="00906ADD">
        <w:rPr>
          <w:rFonts w:ascii="Times New Roman" w:hAnsi="Times New Roman" w:cs="Times New Roman"/>
          <w:sz w:val="24"/>
          <w:szCs w:val="24"/>
        </w:rPr>
        <w:t xml:space="preserve">Proponowana Umowa </w:t>
      </w:r>
      <w:bookmarkStart w:id="1" w:name="_Hlk198891614"/>
      <w:r w:rsidRPr="00906ADD">
        <w:rPr>
          <w:rFonts w:ascii="Times New Roman" w:hAnsi="Times New Roman" w:cs="Times New Roman"/>
          <w:sz w:val="24"/>
          <w:szCs w:val="24"/>
        </w:rPr>
        <w:t xml:space="preserve">o wygaśnięciu trwających skutków prawnych </w:t>
      </w:r>
      <w:bookmarkEnd w:id="1"/>
      <w:r w:rsidRPr="00906ADD">
        <w:rPr>
          <w:rFonts w:ascii="Times New Roman" w:hAnsi="Times New Roman" w:cs="Times New Roman"/>
          <w:sz w:val="24"/>
          <w:szCs w:val="24"/>
        </w:rPr>
        <w:t xml:space="preserve">stanowi, że niezależnie od zdania trzeciego Artykułu 13 Umowy, postanowienia Umowy przestają obowiązywać w odniesieniu do inwestycji dokonanych w czasie obowiązywania Umowy. </w:t>
      </w:r>
    </w:p>
    <w:p w14:paraId="1B6874C3" w14:textId="096C4F45" w:rsidR="00E55E45" w:rsidRPr="00906ADD" w:rsidRDefault="00E55E45" w:rsidP="002F60CF">
      <w:pPr>
        <w:spacing w:after="120" w:line="360" w:lineRule="auto"/>
        <w:jc w:val="both"/>
        <w:rPr>
          <w:rFonts w:ascii="Times New Roman" w:hAnsi="Times New Roman" w:cs="Times New Roman"/>
          <w:sz w:val="24"/>
          <w:szCs w:val="24"/>
        </w:rPr>
      </w:pPr>
      <w:r w:rsidRPr="00906ADD">
        <w:rPr>
          <w:rFonts w:ascii="Times New Roman" w:hAnsi="Times New Roman" w:cs="Times New Roman"/>
          <w:sz w:val="24"/>
          <w:szCs w:val="24"/>
        </w:rPr>
        <w:t xml:space="preserve">W konsekwencji, doszło do zawarcia </w:t>
      </w:r>
      <w:r w:rsidR="005D4433">
        <w:rPr>
          <w:rFonts w:ascii="Times New Roman" w:hAnsi="Times New Roman" w:cs="Times New Roman"/>
          <w:sz w:val="24"/>
          <w:szCs w:val="24"/>
        </w:rPr>
        <w:t>U</w:t>
      </w:r>
      <w:r w:rsidRPr="00906ADD">
        <w:rPr>
          <w:rFonts w:ascii="Times New Roman" w:hAnsi="Times New Roman" w:cs="Times New Roman"/>
          <w:sz w:val="24"/>
          <w:szCs w:val="24"/>
        </w:rPr>
        <w:t>mowy przez wymianę not dyplomatycznych z dnia 28 marca 2025 r</w:t>
      </w:r>
      <w:r w:rsidR="00D53855">
        <w:rPr>
          <w:rFonts w:ascii="Times New Roman" w:hAnsi="Times New Roman" w:cs="Times New Roman"/>
          <w:sz w:val="24"/>
          <w:szCs w:val="24"/>
        </w:rPr>
        <w:t>.</w:t>
      </w:r>
      <w:r w:rsidRPr="00906ADD">
        <w:rPr>
          <w:rFonts w:ascii="Times New Roman" w:hAnsi="Times New Roman" w:cs="Times New Roman"/>
          <w:sz w:val="24"/>
          <w:szCs w:val="24"/>
        </w:rPr>
        <w:t xml:space="preserve"> (nota Zjednoczonego Królestwa Wielkiej Brytanii i Irlandii Północnej) oraz z dnia 10 września 2025 r. (nota Rzeczypospolitej Polskiej).</w:t>
      </w:r>
    </w:p>
    <w:p w14:paraId="11542586" w14:textId="77777777" w:rsidR="00E55E45" w:rsidRPr="00906ADD" w:rsidRDefault="00E55E45" w:rsidP="002F60CF">
      <w:pPr>
        <w:spacing w:after="120" w:line="360" w:lineRule="auto"/>
        <w:jc w:val="both"/>
        <w:rPr>
          <w:rFonts w:ascii="Times New Roman" w:hAnsi="Times New Roman" w:cs="Times New Roman"/>
          <w:sz w:val="24"/>
          <w:szCs w:val="24"/>
        </w:rPr>
      </w:pPr>
    </w:p>
    <w:p w14:paraId="6430407F" w14:textId="77777777" w:rsidR="00E55E45" w:rsidRPr="00906ADD" w:rsidRDefault="00E55E45" w:rsidP="002F60CF">
      <w:pPr>
        <w:spacing w:after="120" w:line="360" w:lineRule="auto"/>
        <w:jc w:val="both"/>
        <w:rPr>
          <w:rFonts w:ascii="Times New Roman" w:hAnsi="Times New Roman" w:cs="Times New Roman"/>
          <w:sz w:val="24"/>
          <w:szCs w:val="24"/>
        </w:rPr>
      </w:pPr>
      <w:r w:rsidRPr="00906ADD">
        <w:rPr>
          <w:rFonts w:ascii="Times New Roman" w:eastAsia="Garamond" w:hAnsi="Times New Roman" w:cs="Times New Roman"/>
          <w:b/>
          <w:color w:val="000000"/>
          <w:sz w:val="24"/>
          <w:szCs w:val="24"/>
        </w:rPr>
        <w:t xml:space="preserve">2. </w:t>
      </w:r>
      <w:bookmarkStart w:id="2" w:name="__DdeLink__120_324732217811"/>
      <w:r w:rsidRPr="00906ADD">
        <w:rPr>
          <w:rFonts w:ascii="Times New Roman" w:eastAsia="Garamond" w:hAnsi="Times New Roman" w:cs="Times New Roman"/>
          <w:b/>
          <w:color w:val="000000"/>
          <w:sz w:val="24"/>
          <w:szCs w:val="24"/>
        </w:rPr>
        <w:t>Dotychczasowy a projektowany stan prawny</w:t>
      </w:r>
      <w:bookmarkEnd w:id="2"/>
    </w:p>
    <w:p w14:paraId="2A273888" w14:textId="540A5ED1" w:rsidR="00E55E45" w:rsidRPr="00906ADD" w:rsidRDefault="00E55E45" w:rsidP="002F60CF">
      <w:pPr>
        <w:spacing w:after="120" w:line="360" w:lineRule="auto"/>
        <w:jc w:val="both"/>
        <w:rPr>
          <w:rFonts w:ascii="Times New Roman" w:hAnsi="Times New Roman" w:cs="Times New Roman"/>
          <w:sz w:val="24"/>
          <w:szCs w:val="24"/>
        </w:rPr>
      </w:pPr>
      <w:r w:rsidRPr="00906ADD">
        <w:rPr>
          <w:rFonts w:ascii="Times New Roman" w:eastAsia="Garamond" w:hAnsi="Times New Roman" w:cs="Times New Roman"/>
          <w:color w:val="000000"/>
          <w:sz w:val="24"/>
          <w:szCs w:val="24"/>
        </w:rPr>
        <w:t xml:space="preserve">Wraz z wejściem w życie Umowy o wygaśnięciu trwających skutków prawnych traci moc zdanie trzecie Artykułu 13 Umowy, na podstawie którego inwestycje dokonane przed wejściem w życie wypowiedzenia Umowy są chronione na jej podstawie przez piętnaście lat od czasu wygaśnięcia Umowy. Stosownie do </w:t>
      </w:r>
      <w:r w:rsidRPr="00906ADD">
        <w:rPr>
          <w:rFonts w:ascii="Times New Roman" w:hAnsi="Times New Roman" w:cs="Times New Roman"/>
          <w:sz w:val="24"/>
          <w:szCs w:val="24"/>
        </w:rPr>
        <w:t>Umowy o wygaśnięciu trwających skutków prawnych och</w:t>
      </w:r>
      <w:r w:rsidRPr="00906ADD">
        <w:rPr>
          <w:rFonts w:ascii="Times New Roman" w:eastAsia="Garamond" w:hAnsi="Times New Roman" w:cs="Times New Roman"/>
          <w:color w:val="000000"/>
          <w:sz w:val="24"/>
          <w:szCs w:val="24"/>
        </w:rPr>
        <w:t xml:space="preserve">rona ta skończy się wraz z jej wejściem w życie. </w:t>
      </w:r>
      <w:r w:rsidRPr="00906ADD">
        <w:rPr>
          <w:rFonts w:ascii="Times New Roman" w:hAnsi="Times New Roman" w:cs="Times New Roman"/>
          <w:sz w:val="24"/>
          <w:szCs w:val="24"/>
        </w:rPr>
        <w:t xml:space="preserve">Umowa o wygaśnięciu trwających skutków prawnych wchodzi w życie pierwszego dnia miesiąca następującego po tym miesiącu, </w:t>
      </w:r>
      <w:r w:rsidR="00852C1B" w:rsidRPr="00906ADD">
        <w:rPr>
          <w:rFonts w:ascii="Times New Roman" w:hAnsi="Times New Roman" w:cs="Times New Roman"/>
          <w:sz w:val="24"/>
          <w:szCs w:val="24"/>
        </w:rPr>
        <w:br/>
      </w:r>
      <w:r w:rsidRPr="00906ADD">
        <w:rPr>
          <w:rFonts w:ascii="Times New Roman" w:hAnsi="Times New Roman" w:cs="Times New Roman"/>
          <w:sz w:val="24"/>
          <w:szCs w:val="24"/>
        </w:rPr>
        <w:lastRenderedPageBreak/>
        <w:t>w którym otrzymano późniejsze zawiadomienie między Stronami potwierdzające zakończenie przez nie odpowiednich procedur wewnętrznych.</w:t>
      </w:r>
    </w:p>
    <w:p w14:paraId="3DB07E91" w14:textId="77777777" w:rsidR="00E55E45" w:rsidRPr="00906ADD" w:rsidRDefault="00E55E45" w:rsidP="002F60CF">
      <w:pPr>
        <w:spacing w:after="120" w:line="360" w:lineRule="auto"/>
        <w:jc w:val="both"/>
        <w:rPr>
          <w:rFonts w:ascii="Times New Roman" w:eastAsia="Garamond" w:hAnsi="Times New Roman" w:cs="Times New Roman"/>
          <w:color w:val="000000"/>
          <w:sz w:val="24"/>
          <w:szCs w:val="24"/>
        </w:rPr>
      </w:pPr>
    </w:p>
    <w:p w14:paraId="36F44D41" w14:textId="77777777" w:rsidR="00E55E45" w:rsidRPr="00906ADD" w:rsidRDefault="00E55E45" w:rsidP="002F60CF">
      <w:pPr>
        <w:spacing w:after="120" w:line="360" w:lineRule="auto"/>
        <w:jc w:val="both"/>
        <w:rPr>
          <w:rFonts w:ascii="Times New Roman" w:hAnsi="Times New Roman" w:cs="Times New Roman"/>
          <w:sz w:val="24"/>
          <w:szCs w:val="24"/>
        </w:rPr>
      </w:pPr>
      <w:r w:rsidRPr="00906ADD">
        <w:rPr>
          <w:rFonts w:ascii="Times New Roman" w:hAnsi="Times New Roman" w:cs="Times New Roman"/>
          <w:b/>
          <w:sz w:val="24"/>
          <w:szCs w:val="24"/>
        </w:rPr>
        <w:t>3. Przewidywane skutki społeczne, gospodarcze, finansowe, polityczne i prawne</w:t>
      </w:r>
    </w:p>
    <w:p w14:paraId="404FDBDE" w14:textId="45CDC45B" w:rsidR="00E55E45" w:rsidRPr="00906ADD" w:rsidRDefault="00E55E45" w:rsidP="002F60CF">
      <w:pPr>
        <w:spacing w:after="120" w:line="360" w:lineRule="auto"/>
        <w:jc w:val="both"/>
        <w:rPr>
          <w:rFonts w:ascii="Times New Roman" w:hAnsi="Times New Roman" w:cs="Times New Roman"/>
          <w:sz w:val="24"/>
          <w:szCs w:val="24"/>
        </w:rPr>
      </w:pPr>
      <w:r w:rsidRPr="00906ADD">
        <w:rPr>
          <w:rFonts w:ascii="Times New Roman" w:hAnsi="Times New Roman" w:cs="Times New Roman"/>
          <w:sz w:val="24"/>
          <w:szCs w:val="24"/>
        </w:rPr>
        <w:t>Wejście w życie Umowy</w:t>
      </w:r>
      <w:r w:rsidRPr="002F60CF">
        <w:rPr>
          <w:rFonts w:ascii="Times New Roman" w:hAnsi="Times New Roman" w:cs="Times New Roman"/>
          <w:sz w:val="24"/>
          <w:szCs w:val="24"/>
        </w:rPr>
        <w:t xml:space="preserve"> </w:t>
      </w:r>
      <w:r w:rsidRPr="00906ADD">
        <w:rPr>
          <w:rFonts w:ascii="Times New Roman" w:hAnsi="Times New Roman" w:cs="Times New Roman"/>
          <w:sz w:val="24"/>
          <w:szCs w:val="24"/>
        </w:rPr>
        <w:t>o wygaśnięciu trwających skutków prawnych nie będzie miało konsekwencji politycznych.</w:t>
      </w:r>
    </w:p>
    <w:p w14:paraId="2B886827" w14:textId="6E5ECC3A" w:rsidR="00E55E45" w:rsidRPr="00906ADD" w:rsidRDefault="00E55E45" w:rsidP="002F60CF">
      <w:pPr>
        <w:spacing w:after="120" w:line="360" w:lineRule="auto"/>
        <w:jc w:val="both"/>
        <w:rPr>
          <w:rFonts w:ascii="Times New Roman" w:hAnsi="Times New Roman" w:cs="Times New Roman"/>
          <w:sz w:val="24"/>
          <w:szCs w:val="24"/>
        </w:rPr>
      </w:pPr>
      <w:r w:rsidRPr="00906ADD">
        <w:rPr>
          <w:rFonts w:ascii="Times New Roman" w:hAnsi="Times New Roman" w:cs="Times New Roman"/>
          <w:sz w:val="24"/>
          <w:szCs w:val="24"/>
        </w:rPr>
        <w:t xml:space="preserve">Wejście w życie Umowy o wygaśnięciu trwających skutków prawnych nie będzie miało skutków społecznych. </w:t>
      </w:r>
    </w:p>
    <w:p w14:paraId="307643CC" w14:textId="1B29C064" w:rsidR="00E55E45" w:rsidRPr="00906ADD" w:rsidRDefault="00E55E45" w:rsidP="002F60CF">
      <w:pPr>
        <w:spacing w:after="120" w:line="360" w:lineRule="auto"/>
        <w:jc w:val="both"/>
        <w:rPr>
          <w:rFonts w:ascii="Times New Roman" w:hAnsi="Times New Roman" w:cs="Times New Roman"/>
          <w:sz w:val="24"/>
          <w:szCs w:val="24"/>
        </w:rPr>
      </w:pPr>
      <w:r w:rsidRPr="00906ADD">
        <w:rPr>
          <w:rFonts w:ascii="Times New Roman" w:hAnsi="Times New Roman" w:cs="Times New Roman"/>
          <w:sz w:val="24"/>
          <w:szCs w:val="24"/>
        </w:rPr>
        <w:t>Wejście w życie Umowy o wygaśnięciu trwających skutków prawnych nie powinno wpłynąć na stosunki gospodarcze między Polską a Wielką Brytanią. Według danych NBP skumulowane brytyjskie inwestycje bezpośrednie w Polsce na koniec 2023 r. wyniosły 16 806,4 mln EUR, co dało Wielkiej Brytanii 6. miejsce wśród inwestorów zagranicznych w Polsce. Według danych GUS w 2023 r. funkcjonowało w Polsce 1507 podmiotów, w którym kapitał zagraniczny wyniósł 20,7 mln PLN, co stanowiło 7,9 % udziału Wielkiej Brytanii  w kapitale zagranicznym ogółem.</w:t>
      </w:r>
    </w:p>
    <w:p w14:paraId="45C02F39" w14:textId="466ECBDF" w:rsidR="00E55E45" w:rsidRPr="00906ADD" w:rsidRDefault="00E55E45" w:rsidP="002F60CF">
      <w:pPr>
        <w:spacing w:after="120" w:line="360" w:lineRule="auto"/>
        <w:jc w:val="both"/>
        <w:rPr>
          <w:rFonts w:ascii="Times New Roman" w:hAnsi="Times New Roman" w:cs="Times New Roman"/>
          <w:sz w:val="24"/>
          <w:szCs w:val="24"/>
        </w:rPr>
      </w:pPr>
      <w:bookmarkStart w:id="3" w:name="_Hlk214364233"/>
      <w:r w:rsidRPr="00906ADD">
        <w:rPr>
          <w:rFonts w:ascii="Times New Roman" w:hAnsi="Times New Roman" w:cs="Times New Roman"/>
          <w:sz w:val="24"/>
          <w:szCs w:val="24"/>
        </w:rPr>
        <w:t xml:space="preserve">Do największych inwestycji brytyjskich w Polsce należą: </w:t>
      </w:r>
      <w:proofErr w:type="spellStart"/>
      <w:r w:rsidRPr="00906ADD">
        <w:rPr>
          <w:rFonts w:ascii="Times New Roman" w:hAnsi="Times New Roman" w:cs="Times New Roman"/>
          <w:sz w:val="24"/>
          <w:szCs w:val="24"/>
        </w:rPr>
        <w:t>Abf</w:t>
      </w:r>
      <w:proofErr w:type="spellEnd"/>
      <w:r w:rsidRPr="00906ADD">
        <w:rPr>
          <w:rFonts w:ascii="Times New Roman" w:hAnsi="Times New Roman" w:cs="Times New Roman"/>
          <w:sz w:val="24"/>
          <w:szCs w:val="24"/>
        </w:rPr>
        <w:t xml:space="preserve"> </w:t>
      </w:r>
      <w:proofErr w:type="spellStart"/>
      <w:r w:rsidRPr="00906ADD">
        <w:rPr>
          <w:rFonts w:ascii="Times New Roman" w:hAnsi="Times New Roman" w:cs="Times New Roman"/>
          <w:sz w:val="24"/>
          <w:szCs w:val="24"/>
        </w:rPr>
        <w:t>Overseas</w:t>
      </w:r>
      <w:proofErr w:type="spellEnd"/>
      <w:r w:rsidRPr="00906ADD">
        <w:rPr>
          <w:rFonts w:ascii="Times New Roman" w:hAnsi="Times New Roman" w:cs="Times New Roman"/>
          <w:sz w:val="24"/>
          <w:szCs w:val="24"/>
        </w:rPr>
        <w:t xml:space="preserve"> </w:t>
      </w:r>
      <w:proofErr w:type="spellStart"/>
      <w:r w:rsidRPr="00906ADD">
        <w:rPr>
          <w:rFonts w:ascii="Times New Roman" w:hAnsi="Times New Roman" w:cs="Times New Roman"/>
          <w:sz w:val="24"/>
          <w:szCs w:val="24"/>
        </w:rPr>
        <w:t>Ltd</w:t>
      </w:r>
      <w:proofErr w:type="spellEnd"/>
      <w:r w:rsidRPr="00906ADD">
        <w:rPr>
          <w:rFonts w:ascii="Times New Roman" w:hAnsi="Times New Roman" w:cs="Times New Roman"/>
          <w:sz w:val="24"/>
          <w:szCs w:val="24"/>
        </w:rPr>
        <w:t xml:space="preserve"> (artykuły spożywcze), </w:t>
      </w:r>
      <w:proofErr w:type="spellStart"/>
      <w:r w:rsidRPr="00906ADD">
        <w:rPr>
          <w:rFonts w:ascii="Times New Roman" w:hAnsi="Times New Roman" w:cs="Times New Roman"/>
          <w:sz w:val="24"/>
          <w:szCs w:val="24"/>
        </w:rPr>
        <w:t>Aerogistics</w:t>
      </w:r>
      <w:proofErr w:type="spellEnd"/>
      <w:r w:rsidRPr="00906ADD">
        <w:rPr>
          <w:rFonts w:ascii="Times New Roman" w:hAnsi="Times New Roman" w:cs="Times New Roman"/>
          <w:sz w:val="24"/>
          <w:szCs w:val="24"/>
        </w:rPr>
        <w:t xml:space="preserve"> Holding </w:t>
      </w:r>
      <w:proofErr w:type="spellStart"/>
      <w:r w:rsidRPr="00906ADD">
        <w:rPr>
          <w:rFonts w:ascii="Times New Roman" w:hAnsi="Times New Roman" w:cs="Times New Roman"/>
          <w:sz w:val="24"/>
          <w:szCs w:val="24"/>
        </w:rPr>
        <w:t>Ltd</w:t>
      </w:r>
      <w:proofErr w:type="spellEnd"/>
      <w:r w:rsidRPr="00906ADD">
        <w:rPr>
          <w:rFonts w:ascii="Times New Roman" w:hAnsi="Times New Roman" w:cs="Times New Roman"/>
          <w:sz w:val="24"/>
          <w:szCs w:val="24"/>
        </w:rPr>
        <w:t xml:space="preserve"> (statki powietrzne i związane z tym maszyny), AstraZeneca (farmacja), AVIVA </w:t>
      </w:r>
      <w:proofErr w:type="spellStart"/>
      <w:r w:rsidRPr="00906ADD">
        <w:rPr>
          <w:rFonts w:ascii="Times New Roman" w:hAnsi="Times New Roman" w:cs="Times New Roman"/>
          <w:sz w:val="24"/>
          <w:szCs w:val="24"/>
        </w:rPr>
        <w:t>Plc</w:t>
      </w:r>
      <w:proofErr w:type="spellEnd"/>
      <w:r w:rsidRPr="00906ADD">
        <w:rPr>
          <w:rFonts w:ascii="Times New Roman" w:hAnsi="Times New Roman" w:cs="Times New Roman"/>
          <w:sz w:val="24"/>
          <w:szCs w:val="24"/>
        </w:rPr>
        <w:t xml:space="preserve"> (finanse), Bates </w:t>
      </w:r>
      <w:proofErr w:type="spellStart"/>
      <w:r w:rsidRPr="00906ADD">
        <w:rPr>
          <w:rFonts w:ascii="Times New Roman" w:hAnsi="Times New Roman" w:cs="Times New Roman"/>
          <w:sz w:val="24"/>
          <w:szCs w:val="24"/>
        </w:rPr>
        <w:t>Ltd</w:t>
      </w:r>
      <w:proofErr w:type="spellEnd"/>
      <w:r w:rsidRPr="00906ADD">
        <w:rPr>
          <w:rFonts w:ascii="Times New Roman" w:hAnsi="Times New Roman" w:cs="Times New Roman"/>
          <w:sz w:val="24"/>
          <w:szCs w:val="24"/>
        </w:rPr>
        <w:t xml:space="preserve"> (transport, magazyny), Benckiser (produkcja chemii gospodarczej), BP </w:t>
      </w:r>
      <w:proofErr w:type="spellStart"/>
      <w:r w:rsidRPr="00906ADD">
        <w:rPr>
          <w:rFonts w:ascii="Times New Roman" w:hAnsi="Times New Roman" w:cs="Times New Roman"/>
          <w:sz w:val="24"/>
          <w:szCs w:val="24"/>
        </w:rPr>
        <w:t>Plc</w:t>
      </w:r>
      <w:proofErr w:type="spellEnd"/>
      <w:r w:rsidRPr="00906ADD">
        <w:rPr>
          <w:rFonts w:ascii="Times New Roman" w:hAnsi="Times New Roman" w:cs="Times New Roman"/>
          <w:sz w:val="24"/>
          <w:szCs w:val="24"/>
        </w:rPr>
        <w:t xml:space="preserve"> (produkty naftowe), British </w:t>
      </w:r>
      <w:proofErr w:type="spellStart"/>
      <w:r w:rsidRPr="00906ADD">
        <w:rPr>
          <w:rFonts w:ascii="Times New Roman" w:hAnsi="Times New Roman" w:cs="Times New Roman"/>
          <w:sz w:val="24"/>
          <w:szCs w:val="24"/>
        </w:rPr>
        <w:t>Oxygen</w:t>
      </w:r>
      <w:proofErr w:type="spellEnd"/>
      <w:r w:rsidRPr="00906ADD">
        <w:rPr>
          <w:rFonts w:ascii="Times New Roman" w:hAnsi="Times New Roman" w:cs="Times New Roman"/>
          <w:sz w:val="24"/>
          <w:szCs w:val="24"/>
        </w:rPr>
        <w:t xml:space="preserve"> Corporation (gazy techniczne), </w:t>
      </w:r>
      <w:proofErr w:type="spellStart"/>
      <w:r w:rsidRPr="00906ADD">
        <w:rPr>
          <w:rFonts w:ascii="Times New Roman" w:hAnsi="Times New Roman" w:cs="Times New Roman"/>
          <w:sz w:val="24"/>
          <w:szCs w:val="24"/>
        </w:rPr>
        <w:t>Cadbury’s</w:t>
      </w:r>
      <w:proofErr w:type="spellEnd"/>
      <w:r w:rsidRPr="00906ADD">
        <w:rPr>
          <w:rFonts w:ascii="Times New Roman" w:hAnsi="Times New Roman" w:cs="Times New Roman"/>
          <w:sz w:val="24"/>
          <w:szCs w:val="24"/>
        </w:rPr>
        <w:t xml:space="preserve"> Schweppes (artykuły spożywcze), Cussons </w:t>
      </w:r>
      <w:proofErr w:type="spellStart"/>
      <w:r w:rsidRPr="00906ADD">
        <w:rPr>
          <w:rFonts w:ascii="Times New Roman" w:hAnsi="Times New Roman" w:cs="Times New Roman"/>
          <w:sz w:val="24"/>
          <w:szCs w:val="24"/>
        </w:rPr>
        <w:t>Group</w:t>
      </w:r>
      <w:proofErr w:type="spellEnd"/>
      <w:r w:rsidRPr="00906ADD">
        <w:rPr>
          <w:rFonts w:ascii="Times New Roman" w:hAnsi="Times New Roman" w:cs="Times New Roman"/>
          <w:sz w:val="24"/>
          <w:szCs w:val="24"/>
        </w:rPr>
        <w:t xml:space="preserve"> </w:t>
      </w:r>
      <w:proofErr w:type="spellStart"/>
      <w:r w:rsidRPr="00906ADD">
        <w:rPr>
          <w:rFonts w:ascii="Times New Roman" w:hAnsi="Times New Roman" w:cs="Times New Roman"/>
          <w:sz w:val="24"/>
          <w:szCs w:val="24"/>
        </w:rPr>
        <w:t>Ltd</w:t>
      </w:r>
      <w:proofErr w:type="spellEnd"/>
      <w:r w:rsidRPr="00906ADD">
        <w:rPr>
          <w:rFonts w:ascii="Times New Roman" w:hAnsi="Times New Roman" w:cs="Times New Roman"/>
          <w:sz w:val="24"/>
          <w:szCs w:val="24"/>
        </w:rPr>
        <w:t xml:space="preserve"> (artykuły higieny osobistej), </w:t>
      </w:r>
      <w:proofErr w:type="spellStart"/>
      <w:r w:rsidRPr="00906ADD">
        <w:rPr>
          <w:rFonts w:ascii="Times New Roman" w:hAnsi="Times New Roman" w:cs="Times New Roman"/>
          <w:sz w:val="24"/>
          <w:szCs w:val="24"/>
        </w:rPr>
        <w:t>European</w:t>
      </w:r>
      <w:proofErr w:type="spellEnd"/>
      <w:r w:rsidRPr="00906ADD">
        <w:rPr>
          <w:rFonts w:ascii="Times New Roman" w:hAnsi="Times New Roman" w:cs="Times New Roman"/>
          <w:sz w:val="24"/>
          <w:szCs w:val="24"/>
        </w:rPr>
        <w:t xml:space="preserve"> Manufacturing Solutions (maszyny specjalnego przeznaczenia), Gates Polska (produkcja środków transportu), GKN </w:t>
      </w:r>
      <w:proofErr w:type="spellStart"/>
      <w:r w:rsidRPr="00906ADD">
        <w:rPr>
          <w:rFonts w:ascii="Times New Roman" w:hAnsi="Times New Roman" w:cs="Times New Roman"/>
          <w:sz w:val="24"/>
          <w:szCs w:val="24"/>
        </w:rPr>
        <w:t>Industries</w:t>
      </w:r>
      <w:proofErr w:type="spellEnd"/>
      <w:r w:rsidRPr="00906ADD">
        <w:rPr>
          <w:rFonts w:ascii="Times New Roman" w:hAnsi="Times New Roman" w:cs="Times New Roman"/>
          <w:sz w:val="24"/>
          <w:szCs w:val="24"/>
        </w:rPr>
        <w:t xml:space="preserve"> Limited (części i akcesoria do pojazdów silnikowych), </w:t>
      </w:r>
      <w:proofErr w:type="spellStart"/>
      <w:r w:rsidRPr="00906ADD">
        <w:rPr>
          <w:rFonts w:ascii="Times New Roman" w:hAnsi="Times New Roman" w:cs="Times New Roman"/>
          <w:sz w:val="24"/>
          <w:szCs w:val="24"/>
        </w:rPr>
        <w:t>GlaxoSmithKline</w:t>
      </w:r>
      <w:proofErr w:type="spellEnd"/>
      <w:r w:rsidRPr="00906ADD">
        <w:rPr>
          <w:rFonts w:ascii="Times New Roman" w:hAnsi="Times New Roman" w:cs="Times New Roman"/>
          <w:sz w:val="24"/>
          <w:szCs w:val="24"/>
        </w:rPr>
        <w:t xml:space="preserve"> (farmacja), Grupa Johnson </w:t>
      </w:r>
      <w:proofErr w:type="spellStart"/>
      <w:r w:rsidRPr="00906ADD">
        <w:rPr>
          <w:rFonts w:ascii="Times New Roman" w:hAnsi="Times New Roman" w:cs="Times New Roman"/>
          <w:sz w:val="24"/>
          <w:szCs w:val="24"/>
        </w:rPr>
        <w:t>Matthey</w:t>
      </w:r>
      <w:proofErr w:type="spellEnd"/>
      <w:r w:rsidRPr="00906ADD">
        <w:rPr>
          <w:rFonts w:ascii="Times New Roman" w:hAnsi="Times New Roman" w:cs="Times New Roman"/>
          <w:sz w:val="24"/>
          <w:szCs w:val="24"/>
        </w:rPr>
        <w:t xml:space="preserve"> (branża profesjonalnych urządzeń elektrycznych i elektronicznych oraz środków transportu), Imperial Tobacco </w:t>
      </w:r>
      <w:proofErr w:type="spellStart"/>
      <w:r w:rsidRPr="00906ADD">
        <w:rPr>
          <w:rFonts w:ascii="Times New Roman" w:hAnsi="Times New Roman" w:cs="Times New Roman"/>
          <w:sz w:val="24"/>
          <w:szCs w:val="24"/>
        </w:rPr>
        <w:t>Plc</w:t>
      </w:r>
      <w:proofErr w:type="spellEnd"/>
      <w:r w:rsidRPr="00906ADD">
        <w:rPr>
          <w:rFonts w:ascii="Times New Roman" w:hAnsi="Times New Roman" w:cs="Times New Roman"/>
          <w:sz w:val="24"/>
          <w:szCs w:val="24"/>
        </w:rPr>
        <w:t xml:space="preserve"> (wyroby tytoniowe), </w:t>
      </w:r>
      <w:proofErr w:type="spellStart"/>
      <w:r w:rsidRPr="00906ADD">
        <w:rPr>
          <w:rFonts w:ascii="Times New Roman" w:hAnsi="Times New Roman" w:cs="Times New Roman"/>
          <w:sz w:val="24"/>
          <w:szCs w:val="24"/>
        </w:rPr>
        <w:t>Kainos</w:t>
      </w:r>
      <w:proofErr w:type="spellEnd"/>
      <w:r w:rsidRPr="00906ADD">
        <w:rPr>
          <w:rFonts w:ascii="Times New Roman" w:hAnsi="Times New Roman" w:cs="Times New Roman"/>
          <w:sz w:val="24"/>
          <w:szCs w:val="24"/>
        </w:rPr>
        <w:t xml:space="preserve"> (SSC), </w:t>
      </w:r>
      <w:proofErr w:type="spellStart"/>
      <w:r w:rsidRPr="00906ADD">
        <w:rPr>
          <w:rFonts w:ascii="Times New Roman" w:hAnsi="Times New Roman" w:cs="Times New Roman"/>
          <w:sz w:val="24"/>
          <w:szCs w:val="24"/>
        </w:rPr>
        <w:t>Mc</w:t>
      </w:r>
      <w:proofErr w:type="spellEnd"/>
      <w:r w:rsidRPr="00906ADD">
        <w:rPr>
          <w:rFonts w:ascii="Times New Roman" w:hAnsi="Times New Roman" w:cs="Times New Roman"/>
          <w:sz w:val="24"/>
          <w:szCs w:val="24"/>
        </w:rPr>
        <w:t xml:space="preserve"> </w:t>
      </w:r>
      <w:proofErr w:type="spellStart"/>
      <w:r w:rsidRPr="00906ADD">
        <w:rPr>
          <w:rFonts w:ascii="Times New Roman" w:hAnsi="Times New Roman" w:cs="Times New Roman"/>
          <w:sz w:val="24"/>
          <w:szCs w:val="24"/>
        </w:rPr>
        <w:t>Bride</w:t>
      </w:r>
      <w:proofErr w:type="spellEnd"/>
      <w:r w:rsidRPr="00906ADD">
        <w:rPr>
          <w:rFonts w:ascii="Times New Roman" w:hAnsi="Times New Roman" w:cs="Times New Roman"/>
          <w:sz w:val="24"/>
          <w:szCs w:val="24"/>
        </w:rPr>
        <w:t xml:space="preserve"> </w:t>
      </w:r>
      <w:proofErr w:type="spellStart"/>
      <w:r w:rsidRPr="00906ADD">
        <w:rPr>
          <w:rFonts w:ascii="Times New Roman" w:hAnsi="Times New Roman" w:cs="Times New Roman"/>
          <w:sz w:val="24"/>
          <w:szCs w:val="24"/>
        </w:rPr>
        <w:t>Plc</w:t>
      </w:r>
      <w:proofErr w:type="spellEnd"/>
      <w:r w:rsidRPr="00906ADD">
        <w:rPr>
          <w:rFonts w:ascii="Times New Roman" w:hAnsi="Times New Roman" w:cs="Times New Roman"/>
          <w:sz w:val="24"/>
          <w:szCs w:val="24"/>
        </w:rPr>
        <w:t xml:space="preserve"> (AGD), </w:t>
      </w:r>
      <w:proofErr w:type="spellStart"/>
      <w:r w:rsidRPr="00906ADD">
        <w:rPr>
          <w:rFonts w:ascii="Times New Roman" w:hAnsi="Times New Roman" w:cs="Times New Roman"/>
          <w:sz w:val="24"/>
          <w:szCs w:val="24"/>
        </w:rPr>
        <w:t>Peak</w:t>
      </w:r>
      <w:proofErr w:type="spellEnd"/>
      <w:r w:rsidRPr="00906ADD">
        <w:rPr>
          <w:rFonts w:ascii="Times New Roman" w:hAnsi="Times New Roman" w:cs="Times New Roman"/>
          <w:sz w:val="24"/>
          <w:szCs w:val="24"/>
        </w:rPr>
        <w:t xml:space="preserve"> </w:t>
      </w:r>
      <w:proofErr w:type="spellStart"/>
      <w:r w:rsidRPr="00906ADD">
        <w:rPr>
          <w:rFonts w:ascii="Times New Roman" w:hAnsi="Times New Roman" w:cs="Times New Roman"/>
          <w:sz w:val="24"/>
          <w:szCs w:val="24"/>
        </w:rPr>
        <w:t>Packaging</w:t>
      </w:r>
      <w:proofErr w:type="spellEnd"/>
      <w:r w:rsidRPr="00906ADD">
        <w:rPr>
          <w:rFonts w:ascii="Times New Roman" w:hAnsi="Times New Roman" w:cs="Times New Roman"/>
          <w:sz w:val="24"/>
          <w:szCs w:val="24"/>
        </w:rPr>
        <w:t xml:space="preserve"> LTD (wyroby z tworzyw sztucznych), Reuters </w:t>
      </w:r>
      <w:proofErr w:type="spellStart"/>
      <w:r w:rsidRPr="00906ADD">
        <w:rPr>
          <w:rFonts w:ascii="Times New Roman" w:hAnsi="Times New Roman" w:cs="Times New Roman"/>
          <w:sz w:val="24"/>
          <w:szCs w:val="24"/>
        </w:rPr>
        <w:t>Group</w:t>
      </w:r>
      <w:proofErr w:type="spellEnd"/>
      <w:r w:rsidRPr="00906ADD">
        <w:rPr>
          <w:rFonts w:ascii="Times New Roman" w:hAnsi="Times New Roman" w:cs="Times New Roman"/>
          <w:sz w:val="24"/>
          <w:szCs w:val="24"/>
        </w:rPr>
        <w:t xml:space="preserve"> Limited (SSC), Robinson (wyroby z tworzyw sztucznych), Rolls </w:t>
      </w:r>
      <w:proofErr w:type="spellStart"/>
      <w:r w:rsidRPr="00906ADD">
        <w:rPr>
          <w:rFonts w:ascii="Times New Roman" w:hAnsi="Times New Roman" w:cs="Times New Roman"/>
          <w:sz w:val="24"/>
          <w:szCs w:val="24"/>
        </w:rPr>
        <w:t>Royce</w:t>
      </w:r>
      <w:proofErr w:type="spellEnd"/>
      <w:r w:rsidRPr="00906ADD">
        <w:rPr>
          <w:rFonts w:ascii="Times New Roman" w:hAnsi="Times New Roman" w:cs="Times New Roman"/>
          <w:sz w:val="24"/>
          <w:szCs w:val="24"/>
        </w:rPr>
        <w:t xml:space="preserve"> (przemysł samochodowy), RPC </w:t>
      </w:r>
      <w:proofErr w:type="spellStart"/>
      <w:r w:rsidRPr="00906ADD">
        <w:rPr>
          <w:rFonts w:ascii="Times New Roman" w:hAnsi="Times New Roman" w:cs="Times New Roman"/>
          <w:sz w:val="24"/>
          <w:szCs w:val="24"/>
        </w:rPr>
        <w:t>Group</w:t>
      </w:r>
      <w:proofErr w:type="spellEnd"/>
      <w:r w:rsidRPr="00906ADD">
        <w:rPr>
          <w:rFonts w:ascii="Times New Roman" w:hAnsi="Times New Roman" w:cs="Times New Roman"/>
          <w:sz w:val="24"/>
          <w:szCs w:val="24"/>
        </w:rPr>
        <w:t xml:space="preserve"> </w:t>
      </w:r>
      <w:proofErr w:type="spellStart"/>
      <w:r w:rsidRPr="00906ADD">
        <w:rPr>
          <w:rFonts w:ascii="Times New Roman" w:hAnsi="Times New Roman" w:cs="Times New Roman"/>
          <w:sz w:val="24"/>
          <w:szCs w:val="24"/>
        </w:rPr>
        <w:t>Plc</w:t>
      </w:r>
      <w:proofErr w:type="spellEnd"/>
      <w:r w:rsidRPr="00906ADD">
        <w:rPr>
          <w:rFonts w:ascii="Times New Roman" w:hAnsi="Times New Roman" w:cs="Times New Roman"/>
          <w:sz w:val="24"/>
          <w:szCs w:val="24"/>
        </w:rPr>
        <w:t xml:space="preserve"> (wyroby z tworzyw sztucznych), Shell </w:t>
      </w:r>
      <w:proofErr w:type="spellStart"/>
      <w:r w:rsidRPr="00906ADD">
        <w:rPr>
          <w:rFonts w:ascii="Times New Roman" w:hAnsi="Times New Roman" w:cs="Times New Roman"/>
          <w:sz w:val="24"/>
          <w:szCs w:val="24"/>
        </w:rPr>
        <w:t>Overseas</w:t>
      </w:r>
      <w:proofErr w:type="spellEnd"/>
      <w:r w:rsidRPr="00906ADD">
        <w:rPr>
          <w:rFonts w:ascii="Times New Roman" w:hAnsi="Times New Roman" w:cs="Times New Roman"/>
          <w:sz w:val="24"/>
          <w:szCs w:val="24"/>
        </w:rPr>
        <w:t xml:space="preserve"> Holdings </w:t>
      </w:r>
      <w:proofErr w:type="spellStart"/>
      <w:r w:rsidRPr="00906ADD">
        <w:rPr>
          <w:rFonts w:ascii="Times New Roman" w:hAnsi="Times New Roman" w:cs="Times New Roman"/>
          <w:sz w:val="24"/>
          <w:szCs w:val="24"/>
        </w:rPr>
        <w:t>Ltd</w:t>
      </w:r>
      <w:proofErr w:type="spellEnd"/>
      <w:r w:rsidRPr="00906ADD">
        <w:rPr>
          <w:rFonts w:ascii="Times New Roman" w:hAnsi="Times New Roman" w:cs="Times New Roman"/>
          <w:sz w:val="24"/>
          <w:szCs w:val="24"/>
        </w:rPr>
        <w:t xml:space="preserve"> (produkty naftowe), </w:t>
      </w:r>
      <w:proofErr w:type="spellStart"/>
      <w:r w:rsidRPr="00906ADD">
        <w:rPr>
          <w:rFonts w:ascii="Times New Roman" w:hAnsi="Times New Roman" w:cs="Times New Roman"/>
          <w:sz w:val="24"/>
          <w:szCs w:val="24"/>
        </w:rPr>
        <w:t>Smiths</w:t>
      </w:r>
      <w:proofErr w:type="spellEnd"/>
      <w:r w:rsidRPr="00906ADD">
        <w:rPr>
          <w:rFonts w:ascii="Times New Roman" w:hAnsi="Times New Roman" w:cs="Times New Roman"/>
          <w:sz w:val="24"/>
          <w:szCs w:val="24"/>
        </w:rPr>
        <w:t xml:space="preserve"> </w:t>
      </w:r>
      <w:proofErr w:type="spellStart"/>
      <w:r w:rsidRPr="00906ADD">
        <w:rPr>
          <w:rFonts w:ascii="Times New Roman" w:hAnsi="Times New Roman" w:cs="Times New Roman"/>
          <w:sz w:val="24"/>
          <w:szCs w:val="24"/>
        </w:rPr>
        <w:t>Group</w:t>
      </w:r>
      <w:proofErr w:type="spellEnd"/>
      <w:r w:rsidRPr="00906ADD">
        <w:rPr>
          <w:rFonts w:ascii="Times New Roman" w:hAnsi="Times New Roman" w:cs="Times New Roman"/>
          <w:sz w:val="24"/>
          <w:szCs w:val="24"/>
        </w:rPr>
        <w:t xml:space="preserve"> </w:t>
      </w:r>
      <w:proofErr w:type="spellStart"/>
      <w:r w:rsidRPr="00906ADD">
        <w:rPr>
          <w:rFonts w:ascii="Times New Roman" w:hAnsi="Times New Roman" w:cs="Times New Roman"/>
          <w:sz w:val="24"/>
          <w:szCs w:val="24"/>
        </w:rPr>
        <w:t>Aerospace</w:t>
      </w:r>
      <w:proofErr w:type="spellEnd"/>
      <w:r w:rsidRPr="00906ADD">
        <w:rPr>
          <w:rFonts w:ascii="Times New Roman" w:hAnsi="Times New Roman" w:cs="Times New Roman"/>
          <w:sz w:val="24"/>
          <w:szCs w:val="24"/>
        </w:rPr>
        <w:t xml:space="preserve"> (statki powietrzne), </w:t>
      </w:r>
      <w:proofErr w:type="spellStart"/>
      <w:r w:rsidRPr="00906ADD">
        <w:rPr>
          <w:rFonts w:ascii="Times New Roman" w:hAnsi="Times New Roman" w:cs="Times New Roman"/>
          <w:sz w:val="24"/>
          <w:szCs w:val="24"/>
        </w:rPr>
        <w:t>Summit</w:t>
      </w:r>
      <w:proofErr w:type="spellEnd"/>
      <w:r w:rsidRPr="00906ADD">
        <w:rPr>
          <w:rFonts w:ascii="Times New Roman" w:hAnsi="Times New Roman" w:cs="Times New Roman"/>
          <w:sz w:val="24"/>
          <w:szCs w:val="24"/>
        </w:rPr>
        <w:t xml:space="preserve"> Motors Investment U.K. (części i akcesoria do pojazdów silnikowych), Tata Steel International (produkcja wyrobów metalowych), Tesco </w:t>
      </w:r>
      <w:proofErr w:type="spellStart"/>
      <w:r w:rsidRPr="00906ADD">
        <w:rPr>
          <w:rFonts w:ascii="Times New Roman" w:hAnsi="Times New Roman" w:cs="Times New Roman"/>
          <w:sz w:val="24"/>
          <w:szCs w:val="24"/>
        </w:rPr>
        <w:t>Plc</w:t>
      </w:r>
      <w:proofErr w:type="spellEnd"/>
      <w:r w:rsidRPr="00906ADD">
        <w:rPr>
          <w:rFonts w:ascii="Times New Roman" w:hAnsi="Times New Roman" w:cs="Times New Roman"/>
          <w:sz w:val="24"/>
          <w:szCs w:val="24"/>
        </w:rPr>
        <w:t xml:space="preserve"> (sieć handlowa), The </w:t>
      </w:r>
      <w:proofErr w:type="spellStart"/>
      <w:r w:rsidRPr="00906ADD">
        <w:rPr>
          <w:rFonts w:ascii="Times New Roman" w:hAnsi="Times New Roman" w:cs="Times New Roman"/>
          <w:sz w:val="24"/>
          <w:szCs w:val="24"/>
        </w:rPr>
        <w:t>Royal</w:t>
      </w:r>
      <w:proofErr w:type="spellEnd"/>
      <w:r w:rsidRPr="00906ADD">
        <w:rPr>
          <w:rFonts w:ascii="Times New Roman" w:hAnsi="Times New Roman" w:cs="Times New Roman"/>
          <w:sz w:val="24"/>
          <w:szCs w:val="24"/>
        </w:rPr>
        <w:t xml:space="preserve"> Bank of Scotland </w:t>
      </w:r>
      <w:proofErr w:type="spellStart"/>
      <w:r w:rsidRPr="00906ADD">
        <w:rPr>
          <w:rFonts w:ascii="Times New Roman" w:hAnsi="Times New Roman" w:cs="Times New Roman"/>
          <w:sz w:val="24"/>
          <w:szCs w:val="24"/>
        </w:rPr>
        <w:t>Plc</w:t>
      </w:r>
      <w:proofErr w:type="spellEnd"/>
      <w:r w:rsidRPr="00906ADD">
        <w:rPr>
          <w:rFonts w:ascii="Times New Roman" w:hAnsi="Times New Roman" w:cs="Times New Roman"/>
          <w:sz w:val="24"/>
          <w:szCs w:val="24"/>
        </w:rPr>
        <w:t xml:space="preserve"> (bankowość), TJX </w:t>
      </w:r>
      <w:proofErr w:type="spellStart"/>
      <w:r w:rsidRPr="00906ADD">
        <w:rPr>
          <w:rFonts w:ascii="Times New Roman" w:hAnsi="Times New Roman" w:cs="Times New Roman"/>
          <w:sz w:val="24"/>
          <w:szCs w:val="24"/>
        </w:rPr>
        <w:t>European</w:t>
      </w:r>
      <w:proofErr w:type="spellEnd"/>
      <w:r w:rsidRPr="00906ADD">
        <w:rPr>
          <w:rFonts w:ascii="Times New Roman" w:hAnsi="Times New Roman" w:cs="Times New Roman"/>
          <w:sz w:val="24"/>
          <w:szCs w:val="24"/>
        </w:rPr>
        <w:t xml:space="preserve"> Distribution (</w:t>
      </w:r>
      <w:proofErr w:type="spellStart"/>
      <w:r w:rsidRPr="00906ADD">
        <w:rPr>
          <w:rFonts w:ascii="Times New Roman" w:hAnsi="Times New Roman" w:cs="Times New Roman"/>
          <w:sz w:val="24"/>
          <w:szCs w:val="24"/>
        </w:rPr>
        <w:t>dystrybycja</w:t>
      </w:r>
      <w:proofErr w:type="spellEnd"/>
      <w:r w:rsidRPr="00906ADD">
        <w:rPr>
          <w:rFonts w:ascii="Times New Roman" w:hAnsi="Times New Roman" w:cs="Times New Roman"/>
          <w:sz w:val="24"/>
          <w:szCs w:val="24"/>
        </w:rPr>
        <w:t xml:space="preserve">), Xerox </w:t>
      </w:r>
      <w:proofErr w:type="spellStart"/>
      <w:r w:rsidRPr="00906ADD">
        <w:rPr>
          <w:rFonts w:ascii="Times New Roman" w:hAnsi="Times New Roman" w:cs="Times New Roman"/>
          <w:sz w:val="24"/>
          <w:szCs w:val="24"/>
        </w:rPr>
        <w:t>Ltd</w:t>
      </w:r>
      <w:proofErr w:type="spellEnd"/>
      <w:r w:rsidR="002F60CF">
        <w:rPr>
          <w:rFonts w:ascii="Times New Roman" w:hAnsi="Times New Roman" w:cs="Times New Roman"/>
          <w:sz w:val="24"/>
          <w:szCs w:val="24"/>
        </w:rPr>
        <w:t xml:space="preserve"> </w:t>
      </w:r>
      <w:r w:rsidRPr="00906ADD">
        <w:rPr>
          <w:rFonts w:ascii="Times New Roman" w:hAnsi="Times New Roman" w:cs="Times New Roman"/>
          <w:sz w:val="24"/>
          <w:szCs w:val="24"/>
        </w:rPr>
        <w:t>(urządzenia i usługi związane z drukiem).</w:t>
      </w:r>
    </w:p>
    <w:bookmarkEnd w:id="3"/>
    <w:p w14:paraId="78E086FA" w14:textId="4A56D1C7" w:rsidR="00E55E45" w:rsidRPr="00906ADD" w:rsidRDefault="00E55E45" w:rsidP="002F60CF">
      <w:pPr>
        <w:spacing w:after="120" w:line="360" w:lineRule="auto"/>
        <w:jc w:val="both"/>
        <w:rPr>
          <w:rFonts w:ascii="Times New Roman" w:hAnsi="Times New Roman" w:cs="Times New Roman"/>
          <w:sz w:val="24"/>
          <w:szCs w:val="24"/>
        </w:rPr>
      </w:pPr>
      <w:r w:rsidRPr="00906ADD">
        <w:rPr>
          <w:rFonts w:ascii="Times New Roman" w:hAnsi="Times New Roman" w:cs="Times New Roman"/>
          <w:sz w:val="24"/>
          <w:szCs w:val="24"/>
        </w:rPr>
        <w:lastRenderedPageBreak/>
        <w:t>Według najnowszych danych NBP skumulowane polskie inwestycje bezpośrednie w Wielkiej Brytanii na koniec 2023 r. wyniosły 1</w:t>
      </w:r>
      <w:r w:rsidR="00D53855">
        <w:rPr>
          <w:rFonts w:ascii="Times New Roman" w:hAnsi="Times New Roman" w:cs="Times New Roman"/>
          <w:sz w:val="24"/>
          <w:szCs w:val="24"/>
        </w:rPr>
        <w:t xml:space="preserve"> </w:t>
      </w:r>
      <w:r w:rsidRPr="00906ADD">
        <w:rPr>
          <w:rFonts w:ascii="Times New Roman" w:hAnsi="Times New Roman" w:cs="Times New Roman"/>
          <w:sz w:val="24"/>
          <w:szCs w:val="24"/>
        </w:rPr>
        <w:t>659,7 mln EUR, stanowiło to 4,9</w:t>
      </w:r>
      <w:r w:rsidR="00D53855">
        <w:rPr>
          <w:rFonts w:ascii="Times New Roman" w:hAnsi="Times New Roman" w:cs="Times New Roman"/>
          <w:sz w:val="24"/>
          <w:szCs w:val="24"/>
        </w:rPr>
        <w:t xml:space="preserve"> </w:t>
      </w:r>
      <w:r w:rsidRPr="00906ADD">
        <w:rPr>
          <w:rFonts w:ascii="Times New Roman" w:hAnsi="Times New Roman" w:cs="Times New Roman"/>
          <w:sz w:val="24"/>
          <w:szCs w:val="24"/>
        </w:rPr>
        <w:t>% łącznej wartości kapitału zainwestowanego za granicą, co oznacza, że Wielka Brytania jest 5. największym odbiorcą naszych inwestycji.</w:t>
      </w:r>
    </w:p>
    <w:p w14:paraId="58A72CE4" w14:textId="20970BE6" w:rsidR="00E55E45" w:rsidRPr="00906ADD" w:rsidRDefault="00E55E45" w:rsidP="002F60CF">
      <w:pPr>
        <w:spacing w:after="120" w:line="360" w:lineRule="auto"/>
        <w:jc w:val="both"/>
        <w:rPr>
          <w:rFonts w:ascii="Times New Roman" w:hAnsi="Times New Roman" w:cs="Times New Roman"/>
          <w:sz w:val="24"/>
          <w:szCs w:val="24"/>
        </w:rPr>
      </w:pPr>
      <w:r w:rsidRPr="00906ADD">
        <w:rPr>
          <w:rFonts w:ascii="Times New Roman" w:hAnsi="Times New Roman" w:cs="Times New Roman"/>
          <w:sz w:val="24"/>
          <w:szCs w:val="24"/>
        </w:rPr>
        <w:t xml:space="preserve">Spośród polskich firm, które zainwestowały w Wielkiej Brytanii, znajdują się m.in.: </w:t>
      </w:r>
      <w:proofErr w:type="spellStart"/>
      <w:r w:rsidRPr="00906ADD">
        <w:rPr>
          <w:rFonts w:ascii="Times New Roman" w:hAnsi="Times New Roman" w:cs="Times New Roman"/>
          <w:sz w:val="24"/>
          <w:szCs w:val="24"/>
        </w:rPr>
        <w:t>Airly</w:t>
      </w:r>
      <w:proofErr w:type="spellEnd"/>
      <w:r w:rsidRPr="00906ADD">
        <w:rPr>
          <w:rFonts w:ascii="Times New Roman" w:hAnsi="Times New Roman" w:cs="Times New Roman"/>
          <w:sz w:val="24"/>
          <w:szCs w:val="24"/>
        </w:rPr>
        <w:t xml:space="preserve"> (czujniki jakości powietrza)</w:t>
      </w:r>
      <w:r w:rsidR="00D53855">
        <w:rPr>
          <w:rFonts w:ascii="Times New Roman" w:hAnsi="Times New Roman" w:cs="Times New Roman"/>
          <w:sz w:val="24"/>
          <w:szCs w:val="24"/>
        </w:rPr>
        <w:t>,</w:t>
      </w:r>
      <w:r w:rsidRPr="00906ADD">
        <w:rPr>
          <w:rFonts w:ascii="Times New Roman" w:hAnsi="Times New Roman" w:cs="Times New Roman"/>
          <w:sz w:val="24"/>
          <w:szCs w:val="24"/>
        </w:rPr>
        <w:t xml:space="preserve"> Can-Pack (produkcja opakowań metalowych dla przemysłu spożywczego i chemicznego), Boryszew (motoryzacja), </w:t>
      </w:r>
      <w:proofErr w:type="spellStart"/>
      <w:r w:rsidRPr="00906ADD">
        <w:rPr>
          <w:rFonts w:ascii="Times New Roman" w:hAnsi="Times New Roman" w:cs="Times New Roman"/>
          <w:sz w:val="24"/>
          <w:szCs w:val="24"/>
        </w:rPr>
        <w:t>Polcom</w:t>
      </w:r>
      <w:proofErr w:type="spellEnd"/>
      <w:r w:rsidRPr="00906ADD">
        <w:rPr>
          <w:rFonts w:ascii="Times New Roman" w:hAnsi="Times New Roman" w:cs="Times New Roman"/>
          <w:sz w:val="24"/>
          <w:szCs w:val="24"/>
        </w:rPr>
        <w:t xml:space="preserve"> (hotele), </w:t>
      </w:r>
      <w:proofErr w:type="spellStart"/>
      <w:r w:rsidRPr="00906ADD">
        <w:rPr>
          <w:rFonts w:ascii="Times New Roman" w:hAnsi="Times New Roman" w:cs="Times New Roman"/>
          <w:sz w:val="24"/>
          <w:szCs w:val="24"/>
        </w:rPr>
        <w:t>Rec</w:t>
      </w:r>
      <w:proofErr w:type="spellEnd"/>
      <w:r w:rsidRPr="00906ADD">
        <w:rPr>
          <w:rFonts w:ascii="Times New Roman" w:hAnsi="Times New Roman" w:cs="Times New Roman"/>
          <w:sz w:val="24"/>
          <w:szCs w:val="24"/>
        </w:rPr>
        <w:t xml:space="preserve"> Global (inżynieria oprogramowania), Kulczyk Investment (konsulting), </w:t>
      </w:r>
      <w:proofErr w:type="spellStart"/>
      <w:r w:rsidRPr="00906ADD">
        <w:rPr>
          <w:rFonts w:ascii="Times New Roman" w:hAnsi="Times New Roman" w:cs="Times New Roman"/>
          <w:sz w:val="24"/>
          <w:szCs w:val="24"/>
        </w:rPr>
        <w:t>Comarch</w:t>
      </w:r>
      <w:proofErr w:type="spellEnd"/>
      <w:r w:rsidRPr="00906ADD">
        <w:rPr>
          <w:rFonts w:ascii="Times New Roman" w:hAnsi="Times New Roman" w:cs="Times New Roman"/>
          <w:sz w:val="24"/>
          <w:szCs w:val="24"/>
        </w:rPr>
        <w:t xml:space="preserve"> (IT), </w:t>
      </w:r>
      <w:proofErr w:type="spellStart"/>
      <w:r w:rsidRPr="00906ADD">
        <w:rPr>
          <w:rFonts w:ascii="Times New Roman" w:hAnsi="Times New Roman" w:cs="Times New Roman"/>
          <w:sz w:val="24"/>
          <w:szCs w:val="24"/>
        </w:rPr>
        <w:t>Integer</w:t>
      </w:r>
      <w:proofErr w:type="spellEnd"/>
      <w:r w:rsidRPr="00906ADD">
        <w:rPr>
          <w:rFonts w:ascii="Times New Roman" w:hAnsi="Times New Roman" w:cs="Times New Roman"/>
          <w:sz w:val="24"/>
          <w:szCs w:val="24"/>
        </w:rPr>
        <w:t xml:space="preserve"> (paczkomaty </w:t>
      </w:r>
      <w:proofErr w:type="spellStart"/>
      <w:r w:rsidRPr="00906ADD">
        <w:rPr>
          <w:rFonts w:ascii="Times New Roman" w:hAnsi="Times New Roman" w:cs="Times New Roman"/>
          <w:sz w:val="24"/>
          <w:szCs w:val="24"/>
        </w:rPr>
        <w:t>InPost</w:t>
      </w:r>
      <w:proofErr w:type="spellEnd"/>
      <w:r w:rsidRPr="00906ADD">
        <w:rPr>
          <w:rFonts w:ascii="Times New Roman" w:hAnsi="Times New Roman" w:cs="Times New Roman"/>
          <w:sz w:val="24"/>
          <w:szCs w:val="24"/>
        </w:rPr>
        <w:t xml:space="preserve">), </w:t>
      </w:r>
      <w:proofErr w:type="spellStart"/>
      <w:r w:rsidRPr="00906ADD">
        <w:rPr>
          <w:rFonts w:ascii="Times New Roman" w:hAnsi="Times New Roman" w:cs="Times New Roman"/>
          <w:sz w:val="24"/>
          <w:szCs w:val="24"/>
        </w:rPr>
        <w:t>Promedica</w:t>
      </w:r>
      <w:proofErr w:type="spellEnd"/>
      <w:r w:rsidRPr="00906ADD">
        <w:rPr>
          <w:rFonts w:ascii="Times New Roman" w:hAnsi="Times New Roman" w:cs="Times New Roman"/>
          <w:sz w:val="24"/>
          <w:szCs w:val="24"/>
        </w:rPr>
        <w:t xml:space="preserve"> 24 (całodobowa opieka domowa); </w:t>
      </w:r>
      <w:proofErr w:type="spellStart"/>
      <w:r w:rsidRPr="00906ADD">
        <w:rPr>
          <w:rFonts w:ascii="Times New Roman" w:hAnsi="Times New Roman" w:cs="Times New Roman"/>
          <w:sz w:val="24"/>
          <w:szCs w:val="24"/>
        </w:rPr>
        <w:t>Triggo</w:t>
      </w:r>
      <w:proofErr w:type="spellEnd"/>
      <w:r w:rsidRPr="00906ADD">
        <w:rPr>
          <w:rFonts w:ascii="Times New Roman" w:hAnsi="Times New Roman" w:cs="Times New Roman"/>
          <w:sz w:val="24"/>
          <w:szCs w:val="24"/>
        </w:rPr>
        <w:t xml:space="preserve"> (pojazdy elektryczne)</w:t>
      </w:r>
      <w:r w:rsidR="00D53855">
        <w:rPr>
          <w:rFonts w:ascii="Times New Roman" w:hAnsi="Times New Roman" w:cs="Times New Roman"/>
          <w:sz w:val="24"/>
          <w:szCs w:val="24"/>
        </w:rPr>
        <w:t>,</w:t>
      </w:r>
      <w:r w:rsidRPr="00906ADD">
        <w:rPr>
          <w:rFonts w:ascii="Times New Roman" w:hAnsi="Times New Roman" w:cs="Times New Roman"/>
          <w:sz w:val="24"/>
          <w:szCs w:val="24"/>
        </w:rPr>
        <w:t xml:space="preserve"> Impel (nieruchomości), Telefonika Kable (kable i przewody), </w:t>
      </w:r>
      <w:proofErr w:type="spellStart"/>
      <w:r w:rsidRPr="00906ADD">
        <w:rPr>
          <w:rFonts w:ascii="Times New Roman" w:hAnsi="Times New Roman" w:cs="Times New Roman"/>
          <w:sz w:val="24"/>
          <w:szCs w:val="24"/>
        </w:rPr>
        <w:t>Krosnoglass</w:t>
      </w:r>
      <w:proofErr w:type="spellEnd"/>
      <w:r w:rsidRPr="00906ADD">
        <w:rPr>
          <w:rFonts w:ascii="Times New Roman" w:hAnsi="Times New Roman" w:cs="Times New Roman"/>
          <w:sz w:val="24"/>
          <w:szCs w:val="24"/>
        </w:rPr>
        <w:t xml:space="preserve"> (szkło dekoracyjne), Press Glass (szyby), </w:t>
      </w:r>
      <w:proofErr w:type="spellStart"/>
      <w:r w:rsidRPr="00906ADD">
        <w:rPr>
          <w:rFonts w:ascii="Times New Roman" w:hAnsi="Times New Roman" w:cs="Times New Roman"/>
          <w:sz w:val="24"/>
          <w:szCs w:val="24"/>
        </w:rPr>
        <w:t>Wielton</w:t>
      </w:r>
      <w:proofErr w:type="spellEnd"/>
      <w:r w:rsidRPr="00906ADD">
        <w:rPr>
          <w:rFonts w:ascii="Times New Roman" w:hAnsi="Times New Roman" w:cs="Times New Roman"/>
          <w:sz w:val="24"/>
          <w:szCs w:val="24"/>
        </w:rPr>
        <w:t xml:space="preserve"> </w:t>
      </w:r>
      <w:proofErr w:type="spellStart"/>
      <w:r w:rsidRPr="00906ADD">
        <w:rPr>
          <w:rFonts w:ascii="Times New Roman" w:hAnsi="Times New Roman" w:cs="Times New Roman"/>
          <w:sz w:val="24"/>
          <w:szCs w:val="24"/>
        </w:rPr>
        <w:t>Group</w:t>
      </w:r>
      <w:proofErr w:type="spellEnd"/>
      <w:r w:rsidRPr="00906ADD">
        <w:rPr>
          <w:rFonts w:ascii="Times New Roman" w:hAnsi="Times New Roman" w:cs="Times New Roman"/>
          <w:sz w:val="24"/>
          <w:szCs w:val="24"/>
        </w:rPr>
        <w:t xml:space="preserve"> (naczepy), Black Red White, Forte, Nowy Styl (meble), </w:t>
      </w:r>
      <w:proofErr w:type="spellStart"/>
      <w:r w:rsidRPr="00906ADD">
        <w:rPr>
          <w:rFonts w:ascii="Times New Roman" w:hAnsi="Times New Roman" w:cs="Times New Roman"/>
          <w:sz w:val="24"/>
          <w:szCs w:val="24"/>
        </w:rPr>
        <w:t>Fakro</w:t>
      </w:r>
      <w:proofErr w:type="spellEnd"/>
      <w:r w:rsidRPr="00906ADD">
        <w:rPr>
          <w:rFonts w:ascii="Times New Roman" w:hAnsi="Times New Roman" w:cs="Times New Roman"/>
          <w:sz w:val="24"/>
          <w:szCs w:val="24"/>
        </w:rPr>
        <w:t xml:space="preserve"> (okna), Amica (AGD), </w:t>
      </w:r>
      <w:proofErr w:type="spellStart"/>
      <w:r w:rsidRPr="00906ADD">
        <w:rPr>
          <w:rFonts w:ascii="Times New Roman" w:hAnsi="Times New Roman" w:cs="Times New Roman"/>
          <w:sz w:val="24"/>
          <w:szCs w:val="24"/>
        </w:rPr>
        <w:t>Pelion</w:t>
      </w:r>
      <w:proofErr w:type="spellEnd"/>
      <w:r w:rsidRPr="00906ADD">
        <w:rPr>
          <w:rFonts w:ascii="Times New Roman" w:hAnsi="Times New Roman" w:cs="Times New Roman"/>
          <w:sz w:val="24"/>
          <w:szCs w:val="24"/>
        </w:rPr>
        <w:t xml:space="preserve"> (farmaceutyka), </w:t>
      </w:r>
      <w:proofErr w:type="spellStart"/>
      <w:r w:rsidRPr="00906ADD">
        <w:rPr>
          <w:rFonts w:ascii="Times New Roman" w:hAnsi="Times New Roman" w:cs="Times New Roman"/>
          <w:sz w:val="24"/>
          <w:szCs w:val="24"/>
        </w:rPr>
        <w:t>Inglot</w:t>
      </w:r>
      <w:proofErr w:type="spellEnd"/>
      <w:r w:rsidRPr="00906ADD">
        <w:rPr>
          <w:rFonts w:ascii="Times New Roman" w:hAnsi="Times New Roman" w:cs="Times New Roman"/>
          <w:sz w:val="24"/>
          <w:szCs w:val="24"/>
        </w:rPr>
        <w:t xml:space="preserve"> (kosmetyki), LPP (odzież) czy </w:t>
      </w:r>
      <w:proofErr w:type="spellStart"/>
      <w:r w:rsidRPr="00906ADD">
        <w:rPr>
          <w:rFonts w:ascii="Times New Roman" w:hAnsi="Times New Roman" w:cs="Times New Roman"/>
          <w:sz w:val="24"/>
          <w:szCs w:val="24"/>
        </w:rPr>
        <w:t>Colian</w:t>
      </w:r>
      <w:proofErr w:type="spellEnd"/>
      <w:r w:rsidRPr="00906ADD">
        <w:rPr>
          <w:rFonts w:ascii="Times New Roman" w:hAnsi="Times New Roman" w:cs="Times New Roman"/>
          <w:sz w:val="24"/>
          <w:szCs w:val="24"/>
        </w:rPr>
        <w:t xml:space="preserve"> (branża spożywcza). PGNiG otworzyło biuro handlu skroplonym gazem ziemnym LNG w Londynie (2017 r.), a swoje przedstawicielstwo w Londynie, w celu wsparcia polskich firm w ekspansji zagranicznej, otworzył w 2020 r. Bank Gospodarstwa Krajowego.</w:t>
      </w:r>
    </w:p>
    <w:p w14:paraId="4FC17B1B" w14:textId="77777777" w:rsidR="00E55E45" w:rsidRPr="00906ADD" w:rsidRDefault="00E55E45" w:rsidP="002F60CF">
      <w:pPr>
        <w:spacing w:after="120" w:line="360" w:lineRule="auto"/>
        <w:jc w:val="both"/>
        <w:rPr>
          <w:rFonts w:ascii="Times New Roman" w:hAnsi="Times New Roman" w:cs="Times New Roman"/>
          <w:color w:val="000000"/>
          <w:sz w:val="24"/>
          <w:szCs w:val="24"/>
        </w:rPr>
      </w:pPr>
      <w:r w:rsidRPr="00906ADD">
        <w:rPr>
          <w:rFonts w:ascii="Times New Roman" w:hAnsi="Times New Roman" w:cs="Times New Roman"/>
          <w:color w:val="000000"/>
          <w:sz w:val="24"/>
          <w:szCs w:val="24"/>
        </w:rPr>
        <w:t xml:space="preserve">Z informacji posiadanych przez Ministerstwo Rozwoju i Technologii wynika, że polscy inwestorzy nie kierowali na podstawie Umowy roszczeń do międzynarodowych trybunałów arbitrażowych przeciwko Wielkiej Brytanii, natomiast Polska była jeden raz pozwana przez inwestorów na podstawie Umowy. Umowa może więc potencjalnie jedynie zmniejszyć obciążenie państwa pod względem finansowym, ponieważ nie będzie zachodzić konieczność ponoszenia kosztów postępowań arbitrażowych.  </w:t>
      </w:r>
    </w:p>
    <w:p w14:paraId="2C674858" w14:textId="5DB0496D" w:rsidR="00E55E45" w:rsidRPr="00906ADD" w:rsidRDefault="00E55E45" w:rsidP="002F60CF">
      <w:pPr>
        <w:pStyle w:val="Tekstpodstawowy"/>
        <w:spacing w:line="360" w:lineRule="auto"/>
        <w:jc w:val="both"/>
        <w:rPr>
          <w:rFonts w:ascii="Times New Roman" w:hAnsi="Times New Roman" w:cs="Times New Roman"/>
          <w:color w:val="000000"/>
        </w:rPr>
      </w:pPr>
      <w:r w:rsidRPr="00906ADD">
        <w:rPr>
          <w:rFonts w:ascii="Times New Roman" w:hAnsi="Times New Roman" w:cs="Times New Roman"/>
        </w:rPr>
        <w:t>Wejście w życie Umowy</w:t>
      </w:r>
      <w:r w:rsidRPr="002F60CF">
        <w:rPr>
          <w:rFonts w:ascii="Times New Roman" w:hAnsi="Times New Roman" w:cs="Times New Roman"/>
        </w:rPr>
        <w:t xml:space="preserve"> </w:t>
      </w:r>
      <w:r w:rsidRPr="00906ADD">
        <w:rPr>
          <w:rFonts w:ascii="Times New Roman" w:hAnsi="Times New Roman" w:cs="Times New Roman"/>
        </w:rPr>
        <w:t xml:space="preserve">o wygaśnięciu trwających skutków prawnych </w:t>
      </w:r>
      <w:r w:rsidRPr="00906ADD">
        <w:rPr>
          <w:rFonts w:ascii="Times New Roman" w:hAnsi="Times New Roman" w:cs="Times New Roman"/>
          <w:color w:val="000000"/>
        </w:rPr>
        <w:t>nie naruszy polskiego porządku prawnego, a jedynie spowoduje wygaśnięcie trwających skutków prawnych Umowy, tj. wył</w:t>
      </w:r>
      <w:r w:rsidRPr="00906ADD">
        <w:rPr>
          <w:rFonts w:ascii="Times New Roman" w:hAnsi="Times New Roman" w:cs="Times New Roman"/>
        </w:rPr>
        <w:t>ączy jej przedłużone obowiązywanie (</w:t>
      </w:r>
      <w:proofErr w:type="spellStart"/>
      <w:r w:rsidRPr="00906ADD">
        <w:rPr>
          <w:rFonts w:ascii="Times New Roman" w:hAnsi="Times New Roman" w:cs="Times New Roman"/>
        </w:rPr>
        <w:t>sunset</w:t>
      </w:r>
      <w:proofErr w:type="spellEnd"/>
      <w:r w:rsidRPr="00906ADD">
        <w:rPr>
          <w:rFonts w:ascii="Times New Roman" w:hAnsi="Times New Roman" w:cs="Times New Roman"/>
        </w:rPr>
        <w:t xml:space="preserve"> </w:t>
      </w:r>
      <w:proofErr w:type="spellStart"/>
      <w:r w:rsidRPr="00906ADD">
        <w:rPr>
          <w:rFonts w:ascii="Times New Roman" w:hAnsi="Times New Roman" w:cs="Times New Roman"/>
        </w:rPr>
        <w:t>clause</w:t>
      </w:r>
      <w:proofErr w:type="spellEnd"/>
      <w:r w:rsidRPr="00906ADD">
        <w:rPr>
          <w:rFonts w:ascii="Times New Roman" w:hAnsi="Times New Roman" w:cs="Times New Roman"/>
        </w:rPr>
        <w:t xml:space="preserve">), jak opisano w punkcie 1 niniejszego </w:t>
      </w:r>
      <w:r w:rsidR="001B00E1">
        <w:rPr>
          <w:rFonts w:ascii="Times New Roman" w:hAnsi="Times New Roman" w:cs="Times New Roman"/>
        </w:rPr>
        <w:t>u</w:t>
      </w:r>
      <w:r w:rsidRPr="00906ADD">
        <w:rPr>
          <w:rFonts w:ascii="Times New Roman" w:hAnsi="Times New Roman" w:cs="Times New Roman"/>
        </w:rPr>
        <w:t>zasadnienia</w:t>
      </w:r>
      <w:r w:rsidRPr="00906ADD">
        <w:rPr>
          <w:rFonts w:ascii="Times New Roman" w:hAnsi="Times New Roman" w:cs="Times New Roman"/>
          <w:color w:val="000000"/>
        </w:rPr>
        <w:t>.</w:t>
      </w:r>
    </w:p>
    <w:p w14:paraId="21DB560D" w14:textId="77777777" w:rsidR="00E55E45" w:rsidRPr="00906ADD" w:rsidRDefault="00E55E45" w:rsidP="002F60CF">
      <w:pPr>
        <w:pStyle w:val="Tekstpodstawowy"/>
        <w:spacing w:line="360" w:lineRule="auto"/>
        <w:jc w:val="both"/>
        <w:rPr>
          <w:rFonts w:ascii="Times New Roman" w:hAnsi="Times New Roman" w:cs="Times New Roman"/>
        </w:rPr>
      </w:pPr>
      <w:r w:rsidRPr="00906ADD">
        <w:rPr>
          <w:rFonts w:ascii="Times New Roman" w:hAnsi="Times New Roman" w:cs="Times New Roman"/>
          <w:color w:val="000000"/>
        </w:rPr>
        <w:t xml:space="preserve">Wejście w życie Umowy o wygaśnięciu </w:t>
      </w:r>
      <w:r w:rsidRPr="00906ADD">
        <w:rPr>
          <w:rFonts w:ascii="Times New Roman" w:hAnsi="Times New Roman" w:cs="Times New Roman"/>
        </w:rPr>
        <w:t>trwających skutków prawnych jest zgodne z prawem Unii Europejskiej.</w:t>
      </w:r>
    </w:p>
    <w:p w14:paraId="7680FDD2" w14:textId="77777777" w:rsidR="00E55E45" w:rsidRPr="00906ADD" w:rsidRDefault="00E55E45" w:rsidP="002F60CF">
      <w:pPr>
        <w:pStyle w:val="Tekstpodstawowy"/>
        <w:spacing w:line="360" w:lineRule="auto"/>
        <w:jc w:val="both"/>
        <w:rPr>
          <w:rFonts w:ascii="Times New Roman" w:hAnsi="Times New Roman" w:cs="Times New Roman"/>
          <w:highlight w:val="green"/>
        </w:rPr>
      </w:pPr>
    </w:p>
    <w:p w14:paraId="4D965DF8" w14:textId="77777777" w:rsidR="00E55E45" w:rsidRPr="00906ADD" w:rsidRDefault="00E55E45" w:rsidP="002F60CF">
      <w:pPr>
        <w:spacing w:after="120" w:line="360" w:lineRule="auto"/>
        <w:jc w:val="both"/>
        <w:rPr>
          <w:rFonts w:ascii="Times New Roman" w:hAnsi="Times New Roman" w:cs="Times New Roman"/>
          <w:sz w:val="24"/>
          <w:szCs w:val="24"/>
        </w:rPr>
      </w:pPr>
      <w:r w:rsidRPr="00906ADD">
        <w:rPr>
          <w:rFonts w:ascii="Times New Roman" w:hAnsi="Times New Roman" w:cs="Times New Roman"/>
          <w:b/>
          <w:sz w:val="24"/>
          <w:szCs w:val="24"/>
        </w:rPr>
        <w:t>4. Tryb związania Rzeczypospolitej Polskiej umową międzynarodową</w:t>
      </w:r>
    </w:p>
    <w:p w14:paraId="318FA94A" w14:textId="7564C557" w:rsidR="00E55E45" w:rsidRPr="002F60CF" w:rsidRDefault="00E55E45" w:rsidP="002F60CF">
      <w:pPr>
        <w:spacing w:after="120" w:line="360" w:lineRule="auto"/>
        <w:jc w:val="both"/>
        <w:rPr>
          <w:rFonts w:ascii="Times New Roman" w:hAnsi="Times New Roman" w:cs="Times New Roman"/>
        </w:rPr>
      </w:pPr>
      <w:r w:rsidRPr="00906ADD">
        <w:rPr>
          <w:rFonts w:ascii="Times New Roman" w:hAnsi="Times New Roman" w:cs="Times New Roman"/>
          <w:sz w:val="24"/>
          <w:szCs w:val="24"/>
        </w:rPr>
        <w:t>Umowa o wygaśnięciu trwających skutków prawnych ma rangę umowy międzyrządowej. Umowa, której dotyczy zawierana</w:t>
      </w:r>
      <w:r w:rsidRPr="002F60CF">
        <w:rPr>
          <w:rFonts w:ascii="Times New Roman" w:hAnsi="Times New Roman" w:cs="Times New Roman"/>
          <w:sz w:val="24"/>
          <w:szCs w:val="24"/>
        </w:rPr>
        <w:t xml:space="preserve"> Umowa </w:t>
      </w:r>
      <w:r w:rsidRPr="00906ADD">
        <w:rPr>
          <w:rFonts w:ascii="Times New Roman" w:hAnsi="Times New Roman" w:cs="Times New Roman"/>
          <w:sz w:val="24"/>
          <w:szCs w:val="24"/>
        </w:rPr>
        <w:t xml:space="preserve">o wygaśnięciu trwających skutków prawnych, jest traktowana w polskim porządku prawnym jako umowa ratyfikowana za uprzednią zgodą </w:t>
      </w:r>
      <w:r w:rsidRPr="00906ADD">
        <w:rPr>
          <w:rFonts w:ascii="Times New Roman" w:hAnsi="Times New Roman" w:cs="Times New Roman"/>
          <w:sz w:val="24"/>
          <w:szCs w:val="24"/>
        </w:rPr>
        <w:lastRenderedPageBreak/>
        <w:t xml:space="preserve">wyrażoną w ustawie, stosownie do art. 241 ust. 1 Konstytucji Rzeczypospolitej Polskiej z dnia 2 kwietnia 1997 r. (Dz. U. poz. 483, z </w:t>
      </w:r>
      <w:proofErr w:type="spellStart"/>
      <w:r w:rsidRPr="00906ADD">
        <w:rPr>
          <w:rFonts w:ascii="Times New Roman" w:hAnsi="Times New Roman" w:cs="Times New Roman"/>
          <w:sz w:val="24"/>
          <w:szCs w:val="24"/>
        </w:rPr>
        <w:t>późn</w:t>
      </w:r>
      <w:proofErr w:type="spellEnd"/>
      <w:r w:rsidRPr="00906ADD">
        <w:rPr>
          <w:rFonts w:ascii="Times New Roman" w:hAnsi="Times New Roman" w:cs="Times New Roman"/>
          <w:sz w:val="24"/>
          <w:szCs w:val="24"/>
        </w:rPr>
        <w:t>. zm.). Dlatego też związanie Rzeczypospolitej Polskiej Umową o wygaśnięciu trwających skutków prawnych nastąpi również za uprzednią zgodą wyrażoną w ustawie, tym bardziej że Umowa o wygaśnięciu trwających skutków prawnych dotyczy wolności, praw i obowiązków obywatelskich oraz spraw uregulowanych w ustawie lub w których Konstytucja wymaga ustawy (zasady prowadzenia działalności gospodarczej, ochrona prawa własności, kwestia wywłaszczenia oraz odszkodowania w tym zakresie), a więc spraw, o których mowa w art. 89 ust. 1 pkt 2 i 5 Konstytucji Rzeczypospolitej Polskiej.</w:t>
      </w:r>
    </w:p>
    <w:sectPr w:rsidR="00E55E45" w:rsidRPr="002F60CF" w:rsidSect="002F60CF">
      <w:headerReference w:type="default" r:id="rId11"/>
      <w:footerReference w:type="default" r:id="rId12"/>
      <w:footerReference w:type="first" r:id="rId13"/>
      <w:pgSz w:w="11906" w:h="16838"/>
      <w:pgMar w:top="1418" w:right="1418" w:bottom="1418" w:left="1418" w:header="709" w:footer="9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99BC2" w14:textId="77777777" w:rsidR="00E4336D" w:rsidRDefault="00E4336D" w:rsidP="009276B2">
      <w:pPr>
        <w:spacing w:after="0" w:line="240" w:lineRule="auto"/>
      </w:pPr>
      <w:r>
        <w:separator/>
      </w:r>
    </w:p>
  </w:endnote>
  <w:endnote w:type="continuationSeparator" w:id="0">
    <w:p w14:paraId="77D94D47" w14:textId="77777777" w:rsidR="00E4336D" w:rsidRDefault="00E4336D" w:rsidP="0092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Times New Roman">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290031"/>
      <w:docPartObj>
        <w:docPartGallery w:val="Page Numbers (Bottom of Page)"/>
        <w:docPartUnique/>
      </w:docPartObj>
    </w:sdtPr>
    <w:sdtEndPr/>
    <w:sdtContent>
      <w:p w14:paraId="5DD55189" w14:textId="32A0B995" w:rsidR="005D4433" w:rsidRDefault="00E75703" w:rsidP="009A2E25">
        <w:pPr>
          <w:pStyle w:val="Stopka"/>
          <w:jc w:val="center"/>
        </w:pPr>
        <w:r w:rsidRPr="00E75703">
          <w:rPr>
            <w:rFonts w:ascii="Times New Roman" w:hAnsi="Times New Roman" w:cs="Times New Roman"/>
            <w:sz w:val="24"/>
            <w:szCs w:val="24"/>
          </w:rPr>
          <w:fldChar w:fldCharType="begin"/>
        </w:r>
        <w:r w:rsidRPr="00E75703">
          <w:rPr>
            <w:rFonts w:ascii="Times New Roman" w:hAnsi="Times New Roman" w:cs="Times New Roman"/>
            <w:sz w:val="24"/>
            <w:szCs w:val="24"/>
          </w:rPr>
          <w:instrText>PAGE   \* MERGEFORMAT</w:instrText>
        </w:r>
        <w:r w:rsidRPr="00E75703">
          <w:rPr>
            <w:rFonts w:ascii="Times New Roman" w:hAnsi="Times New Roman" w:cs="Times New Roman"/>
            <w:sz w:val="24"/>
            <w:szCs w:val="24"/>
          </w:rPr>
          <w:fldChar w:fldCharType="separate"/>
        </w:r>
        <w:r w:rsidRPr="00E75703">
          <w:rPr>
            <w:rFonts w:ascii="Times New Roman" w:hAnsi="Times New Roman" w:cs="Times New Roman"/>
            <w:sz w:val="24"/>
            <w:szCs w:val="24"/>
          </w:rPr>
          <w:t>2</w:t>
        </w:r>
        <w:r w:rsidRPr="00E75703">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A0F6F" w14:textId="77777777" w:rsidR="00962AD7" w:rsidRDefault="00962AD7" w:rsidP="00962AD7">
    <w:pPr>
      <w:pStyle w:val="Stopka"/>
      <w:tabs>
        <w:tab w:val="clear" w:pos="4536"/>
        <w:tab w:val="clear" w:pos="9072"/>
        <w:tab w:val="left" w:pos="595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C3BF3" w14:textId="77777777" w:rsidR="00E4336D" w:rsidRDefault="00E4336D" w:rsidP="009276B2">
      <w:pPr>
        <w:spacing w:after="0" w:line="240" w:lineRule="auto"/>
      </w:pPr>
      <w:r>
        <w:separator/>
      </w:r>
    </w:p>
  </w:footnote>
  <w:footnote w:type="continuationSeparator" w:id="0">
    <w:p w14:paraId="4FBACB9D" w14:textId="77777777" w:rsidR="00E4336D" w:rsidRDefault="00E4336D" w:rsidP="009276B2">
      <w:pPr>
        <w:spacing w:after="0" w:line="240" w:lineRule="auto"/>
      </w:pPr>
      <w:r>
        <w:continuationSeparator/>
      </w:r>
    </w:p>
  </w:footnote>
  <w:footnote w:id="1">
    <w:p w14:paraId="008C0E3A" w14:textId="528DD10C" w:rsidR="00E55E45" w:rsidRPr="00C76E25" w:rsidRDefault="00E55E45" w:rsidP="00E55E45">
      <w:pPr>
        <w:jc w:val="both"/>
        <w:rPr>
          <w:rFonts w:ascii="Times New Roman" w:hAnsi="Times New Roman" w:cs="Times New Roman"/>
          <w:sz w:val="20"/>
          <w:szCs w:val="20"/>
        </w:rPr>
      </w:pPr>
      <w:r>
        <w:rPr>
          <w:rStyle w:val="Znakiprzypiswdolnych"/>
        </w:rPr>
        <w:footnoteRef/>
      </w:r>
      <w:r w:rsidR="00802E86">
        <w:rPr>
          <w:rFonts w:ascii="Times New Roman" w:hAnsi="Times New Roman" w:cs="Times New Roman"/>
          <w:color w:val="000000"/>
          <w:sz w:val="20"/>
          <w:szCs w:val="20"/>
          <w:vertAlign w:val="superscript"/>
        </w:rPr>
        <w:t>)</w:t>
      </w:r>
      <w:r w:rsidR="001B00E1">
        <w:rPr>
          <w:rFonts w:ascii="Times New Roman" w:hAnsi="Times New Roman" w:cs="Times New Roman"/>
          <w:color w:val="000000"/>
          <w:sz w:val="20"/>
          <w:szCs w:val="20"/>
          <w:vertAlign w:val="superscript"/>
        </w:rPr>
        <w:tab/>
      </w:r>
      <w:r w:rsidRPr="00A75E42">
        <w:rPr>
          <w:rFonts w:ascii="Times New Roman" w:hAnsi="Times New Roman" w:cs="Times New Roman"/>
          <w:color w:val="000000"/>
          <w:sz w:val="20"/>
          <w:szCs w:val="20"/>
        </w:rPr>
        <w:t xml:space="preserve">Dokument wypowiedzenia przez Rzeczpospolitą Polską </w:t>
      </w:r>
      <w:r w:rsidRPr="00A75E42">
        <w:rPr>
          <w:rFonts w:ascii="Times New Roman" w:hAnsi="Times New Roman" w:cs="Times New Roman"/>
          <w:bCs/>
          <w:color w:val="000000"/>
          <w:sz w:val="20"/>
          <w:szCs w:val="20"/>
        </w:rPr>
        <w:t>Umowy między Rządem Polskiej Rzecz</w:t>
      </w:r>
      <w:r>
        <w:rPr>
          <w:rFonts w:ascii="Times New Roman" w:hAnsi="Times New Roman" w:cs="Times New Roman"/>
          <w:bCs/>
          <w:color w:val="000000"/>
          <w:sz w:val="20"/>
          <w:szCs w:val="20"/>
        </w:rPr>
        <w:t>y</w:t>
      </w:r>
      <w:r w:rsidRPr="00A75E42">
        <w:rPr>
          <w:rFonts w:ascii="Times New Roman" w:hAnsi="Times New Roman" w:cs="Times New Roman"/>
          <w:bCs/>
          <w:color w:val="000000"/>
          <w:sz w:val="20"/>
          <w:szCs w:val="20"/>
        </w:rPr>
        <w:t xml:space="preserve">pospolitej Ludowej </w:t>
      </w:r>
      <w:r>
        <w:rPr>
          <w:rFonts w:ascii="Times New Roman" w:hAnsi="Times New Roman" w:cs="Times New Roman"/>
          <w:bCs/>
          <w:color w:val="000000"/>
          <w:sz w:val="20"/>
          <w:szCs w:val="20"/>
        </w:rPr>
        <w:t xml:space="preserve">a </w:t>
      </w:r>
      <w:r w:rsidRPr="00A75E42">
        <w:rPr>
          <w:rFonts w:ascii="Times New Roman" w:hAnsi="Times New Roman" w:cs="Times New Roman"/>
          <w:bCs/>
          <w:color w:val="000000"/>
          <w:sz w:val="20"/>
          <w:szCs w:val="20"/>
        </w:rPr>
        <w:t xml:space="preserve">Rządem Zjednoczonego Królestwa Wielkiej Brytanii i Irlandii Północnej w sprawie popierania i wzajemnej ochrony inwestycji, </w:t>
      </w:r>
      <w:r>
        <w:rPr>
          <w:rFonts w:ascii="Times New Roman" w:hAnsi="Times New Roman" w:cs="Times New Roman"/>
          <w:bCs/>
          <w:color w:val="000000"/>
          <w:sz w:val="20"/>
          <w:szCs w:val="20"/>
        </w:rPr>
        <w:t>podpisanej</w:t>
      </w:r>
      <w:r w:rsidRPr="00A75E42">
        <w:rPr>
          <w:rFonts w:ascii="Times New Roman" w:hAnsi="Times New Roman" w:cs="Times New Roman"/>
          <w:bCs/>
          <w:color w:val="000000"/>
          <w:sz w:val="20"/>
          <w:szCs w:val="20"/>
        </w:rPr>
        <w:t xml:space="preserve"> w Londynie dnia 8 grudnia 1987 r. (Dz. U. z 2019 r. poz. 780); oświadczenie rządowe z dnia </w:t>
      </w:r>
      <w:r>
        <w:rPr>
          <w:rFonts w:ascii="Times New Roman" w:hAnsi="Times New Roman" w:cs="Times New Roman"/>
          <w:bCs/>
          <w:color w:val="000000"/>
          <w:sz w:val="20"/>
          <w:szCs w:val="20"/>
        </w:rPr>
        <w:t xml:space="preserve">22 marca 2019 r. </w:t>
      </w:r>
      <w:r w:rsidRPr="00A75E42">
        <w:rPr>
          <w:rFonts w:ascii="Times New Roman" w:hAnsi="Times New Roman" w:cs="Times New Roman"/>
          <w:bCs/>
          <w:sz w:val="20"/>
          <w:szCs w:val="20"/>
        </w:rPr>
        <w:t>w sprawie wypowiedzenia przez Rzeczpospolitą Polską Umowy między Rządem Polskiej Rzecz</w:t>
      </w:r>
      <w:r>
        <w:rPr>
          <w:rFonts w:ascii="Times New Roman" w:hAnsi="Times New Roman" w:cs="Times New Roman"/>
          <w:bCs/>
          <w:sz w:val="20"/>
          <w:szCs w:val="20"/>
        </w:rPr>
        <w:t>y</w:t>
      </w:r>
      <w:r w:rsidRPr="00A75E42">
        <w:rPr>
          <w:rFonts w:ascii="Times New Roman" w:hAnsi="Times New Roman" w:cs="Times New Roman"/>
          <w:bCs/>
          <w:sz w:val="20"/>
          <w:szCs w:val="20"/>
        </w:rPr>
        <w:t xml:space="preserve">pospolitej Ludowej </w:t>
      </w:r>
      <w:r>
        <w:rPr>
          <w:rFonts w:ascii="Times New Roman" w:hAnsi="Times New Roman" w:cs="Times New Roman"/>
          <w:bCs/>
          <w:sz w:val="20"/>
          <w:szCs w:val="20"/>
        </w:rPr>
        <w:t xml:space="preserve">a </w:t>
      </w:r>
      <w:r w:rsidRPr="00A75E42">
        <w:rPr>
          <w:rFonts w:ascii="Times New Roman" w:hAnsi="Times New Roman" w:cs="Times New Roman"/>
          <w:bCs/>
          <w:sz w:val="20"/>
          <w:szCs w:val="20"/>
        </w:rPr>
        <w:t xml:space="preserve">Rządem Zjednoczonego Królestwa Wielkiej Brytanii i Irlandii Północnej w sprawie popierania i wzajemnej ochrony inwestycji, </w:t>
      </w:r>
      <w:r>
        <w:rPr>
          <w:rFonts w:ascii="Times New Roman" w:hAnsi="Times New Roman" w:cs="Times New Roman"/>
          <w:bCs/>
          <w:sz w:val="20"/>
          <w:szCs w:val="20"/>
        </w:rPr>
        <w:t>podpisanej</w:t>
      </w:r>
      <w:r w:rsidRPr="00A75E42">
        <w:rPr>
          <w:rFonts w:ascii="Times New Roman" w:hAnsi="Times New Roman" w:cs="Times New Roman"/>
          <w:bCs/>
          <w:sz w:val="20"/>
          <w:szCs w:val="20"/>
        </w:rPr>
        <w:t xml:space="preserve"> w Londynie dnia 8 grudnia 1987 r.</w:t>
      </w:r>
      <w:r>
        <w:rPr>
          <w:rFonts w:ascii="Times New Roman" w:hAnsi="Times New Roman" w:cs="Times New Roman"/>
          <w:bCs/>
          <w:sz w:val="20"/>
          <w:szCs w:val="20"/>
        </w:rPr>
        <w:t xml:space="preserve"> </w:t>
      </w:r>
      <w:r w:rsidRPr="00A75E42">
        <w:rPr>
          <w:rFonts w:ascii="Times New Roman" w:hAnsi="Times New Roman" w:cs="Times New Roman"/>
          <w:color w:val="000000"/>
          <w:sz w:val="20"/>
          <w:szCs w:val="20"/>
        </w:rPr>
        <w:t>(Dz. U. z 2019 r. poz. 7</w:t>
      </w:r>
      <w:r>
        <w:rPr>
          <w:rFonts w:ascii="Times New Roman" w:hAnsi="Times New Roman" w:cs="Times New Roman"/>
          <w:color w:val="000000"/>
          <w:sz w:val="20"/>
          <w:szCs w:val="20"/>
        </w:rPr>
        <w:t>81</w:t>
      </w:r>
      <w:r w:rsidRPr="00A75E42">
        <w:rPr>
          <w:rFonts w:ascii="Times New Roman" w:hAnsi="Times New Roman" w:cs="Times New Roman"/>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75EA" w14:textId="77777777" w:rsidR="009276B2" w:rsidRDefault="009276B2" w:rsidP="009276B2">
    <w:pPr>
      <w:pStyle w:val="Nagwek"/>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9E2"/>
    <w:multiLevelType w:val="hybridMultilevel"/>
    <w:tmpl w:val="001454DC"/>
    <w:lvl w:ilvl="0" w:tplc="4D2E64C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51532DF7"/>
    <w:multiLevelType w:val="multilevel"/>
    <w:tmpl w:val="248428EC"/>
    <w:lvl w:ilvl="0">
      <w:start w:val="1"/>
      <w:numFmt w:val="decimal"/>
      <w:lvlText w:val="%1."/>
      <w:lvlJc w:val="left"/>
      <w:pPr>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091537577">
    <w:abstractNumId w:val="0"/>
  </w:num>
  <w:num w:numId="2" w16cid:durableId="1999073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6B2"/>
    <w:rsid w:val="00047C4E"/>
    <w:rsid w:val="00055F10"/>
    <w:rsid w:val="000713EE"/>
    <w:rsid w:val="00086A5B"/>
    <w:rsid w:val="000B33A8"/>
    <w:rsid w:val="000B3CA3"/>
    <w:rsid w:val="000F651E"/>
    <w:rsid w:val="00100315"/>
    <w:rsid w:val="001236B0"/>
    <w:rsid w:val="00141E9E"/>
    <w:rsid w:val="00147372"/>
    <w:rsid w:val="00166A88"/>
    <w:rsid w:val="00182E74"/>
    <w:rsid w:val="00183B62"/>
    <w:rsid w:val="001B00E1"/>
    <w:rsid w:val="001B70EB"/>
    <w:rsid w:val="001D79EC"/>
    <w:rsid w:val="001F34C2"/>
    <w:rsid w:val="002517A0"/>
    <w:rsid w:val="00271980"/>
    <w:rsid w:val="00275A01"/>
    <w:rsid w:val="002A187F"/>
    <w:rsid w:val="002E0C9D"/>
    <w:rsid w:val="002F60CF"/>
    <w:rsid w:val="00307ED4"/>
    <w:rsid w:val="003146FA"/>
    <w:rsid w:val="00384522"/>
    <w:rsid w:val="00397CC9"/>
    <w:rsid w:val="003B4807"/>
    <w:rsid w:val="004078D6"/>
    <w:rsid w:val="00437EF3"/>
    <w:rsid w:val="004A2223"/>
    <w:rsid w:val="004F5D02"/>
    <w:rsid w:val="004F6E43"/>
    <w:rsid w:val="005241AF"/>
    <w:rsid w:val="00564D38"/>
    <w:rsid w:val="00590C4E"/>
    <w:rsid w:val="0059434A"/>
    <w:rsid w:val="005C351B"/>
    <w:rsid w:val="005D01A8"/>
    <w:rsid w:val="005D4433"/>
    <w:rsid w:val="006633C5"/>
    <w:rsid w:val="00673E82"/>
    <w:rsid w:val="006A1696"/>
    <w:rsid w:val="006A16DC"/>
    <w:rsid w:val="006C25B1"/>
    <w:rsid w:val="006C7435"/>
    <w:rsid w:val="006E3AB0"/>
    <w:rsid w:val="0070631E"/>
    <w:rsid w:val="00716214"/>
    <w:rsid w:val="00731DDE"/>
    <w:rsid w:val="00780BF5"/>
    <w:rsid w:val="00797577"/>
    <w:rsid w:val="007C6763"/>
    <w:rsid w:val="007E499F"/>
    <w:rsid w:val="00802E86"/>
    <w:rsid w:val="00852C1B"/>
    <w:rsid w:val="0087790F"/>
    <w:rsid w:val="008B10E0"/>
    <w:rsid w:val="008C3126"/>
    <w:rsid w:val="00906ADD"/>
    <w:rsid w:val="0091116C"/>
    <w:rsid w:val="009276B2"/>
    <w:rsid w:val="00962AD7"/>
    <w:rsid w:val="009764F1"/>
    <w:rsid w:val="009807A7"/>
    <w:rsid w:val="009A2E25"/>
    <w:rsid w:val="009A5F29"/>
    <w:rsid w:val="009B554D"/>
    <w:rsid w:val="009E3E7B"/>
    <w:rsid w:val="00A32E95"/>
    <w:rsid w:val="00A81BB4"/>
    <w:rsid w:val="00AC4826"/>
    <w:rsid w:val="00AD6984"/>
    <w:rsid w:val="00AE6415"/>
    <w:rsid w:val="00B05BCE"/>
    <w:rsid w:val="00B17D29"/>
    <w:rsid w:val="00B20AD8"/>
    <w:rsid w:val="00B31704"/>
    <w:rsid w:val="00B52DA9"/>
    <w:rsid w:val="00B535D3"/>
    <w:rsid w:val="00B67748"/>
    <w:rsid w:val="00B75896"/>
    <w:rsid w:val="00B84D3E"/>
    <w:rsid w:val="00B87744"/>
    <w:rsid w:val="00BE6444"/>
    <w:rsid w:val="00C00FE7"/>
    <w:rsid w:val="00C04AA7"/>
    <w:rsid w:val="00C06B33"/>
    <w:rsid w:val="00C70529"/>
    <w:rsid w:val="00C8064A"/>
    <w:rsid w:val="00C85D56"/>
    <w:rsid w:val="00CD6CBB"/>
    <w:rsid w:val="00CE259A"/>
    <w:rsid w:val="00CF21C3"/>
    <w:rsid w:val="00D132C0"/>
    <w:rsid w:val="00D53855"/>
    <w:rsid w:val="00D73437"/>
    <w:rsid w:val="00D73563"/>
    <w:rsid w:val="00DA46CC"/>
    <w:rsid w:val="00DE3324"/>
    <w:rsid w:val="00E21FBF"/>
    <w:rsid w:val="00E3400A"/>
    <w:rsid w:val="00E4336D"/>
    <w:rsid w:val="00E55E45"/>
    <w:rsid w:val="00E72631"/>
    <w:rsid w:val="00E75703"/>
    <w:rsid w:val="00E9056E"/>
    <w:rsid w:val="00E9141C"/>
    <w:rsid w:val="00ED4233"/>
    <w:rsid w:val="00EE504C"/>
    <w:rsid w:val="00F05F16"/>
    <w:rsid w:val="00F13890"/>
    <w:rsid w:val="00F40743"/>
    <w:rsid w:val="00FA6BD4"/>
    <w:rsid w:val="00FB3F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0734B0"/>
  <w15:chartTrackingRefBased/>
  <w15:docId w15:val="{FD9927AF-0A02-4C16-A5F9-875BFD10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76B2"/>
  </w:style>
  <w:style w:type="paragraph" w:styleId="Stopka">
    <w:name w:val="footer"/>
    <w:basedOn w:val="Normalny"/>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6B2"/>
  </w:style>
  <w:style w:type="character" w:styleId="Hipercze">
    <w:name w:val="Hyperlink"/>
    <w:basedOn w:val="Domylnaczcionkaakapitu"/>
    <w:uiPriority w:val="99"/>
    <w:unhideWhenUsed/>
    <w:rsid w:val="00147372"/>
    <w:rPr>
      <w:color w:val="0563C1" w:themeColor="hyperlink"/>
      <w:u w:val="single"/>
    </w:rPr>
  </w:style>
  <w:style w:type="paragraph" w:styleId="Akapitzlist">
    <w:name w:val="List Paragraph"/>
    <w:basedOn w:val="Normalny"/>
    <w:uiPriority w:val="34"/>
    <w:qFormat/>
    <w:rsid w:val="009A5F29"/>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Znakiprzypiswdolnych">
    <w:name w:val="Znaki przypisów dolnych"/>
    <w:qFormat/>
    <w:rsid w:val="00E55E45"/>
    <w:rPr>
      <w:vertAlign w:val="superscript"/>
    </w:rPr>
  </w:style>
  <w:style w:type="character" w:customStyle="1" w:styleId="Zakotwiczenieprzypisudolnego">
    <w:name w:val="Zakotwiczenie przypisu dolnego"/>
    <w:rsid w:val="00E55E45"/>
    <w:rPr>
      <w:vertAlign w:val="superscript"/>
    </w:rPr>
  </w:style>
  <w:style w:type="paragraph" w:styleId="Tekstpodstawowy">
    <w:name w:val="Body Text"/>
    <w:basedOn w:val="Normalny"/>
    <w:link w:val="TekstpodstawowyZnak"/>
    <w:rsid w:val="00E55E45"/>
    <w:pPr>
      <w:suppressAutoHyphens/>
      <w:spacing w:after="120" w:line="240" w:lineRule="auto"/>
    </w:pPr>
    <w:rPr>
      <w:rFonts w:ascii="Times New Roman;Times New Roman" w:eastAsia="Times New Roman;Times New Roman" w:hAnsi="Times New Roman;Times New Roman" w:cs="Times New Roman;Times New Roman"/>
      <w:sz w:val="24"/>
      <w:szCs w:val="24"/>
      <w:lang w:eastAsia="zh-CN"/>
    </w:rPr>
  </w:style>
  <w:style w:type="character" w:customStyle="1" w:styleId="TekstpodstawowyZnak">
    <w:name w:val="Tekst podstawowy Znak"/>
    <w:basedOn w:val="Domylnaczcionkaakapitu"/>
    <w:link w:val="Tekstpodstawowy"/>
    <w:rsid w:val="00E55E45"/>
    <w:rPr>
      <w:rFonts w:ascii="Times New Roman;Times New Roman" w:eastAsia="Times New Roman;Times New Roman" w:hAnsi="Times New Roman;Times New Roman" w:cs="Times New Roman;Times New Roman"/>
      <w:sz w:val="24"/>
      <w:szCs w:val="24"/>
      <w:lang w:eastAsia="zh-CN"/>
    </w:rPr>
  </w:style>
  <w:style w:type="paragraph" w:customStyle="1" w:styleId="Tekstpodstawowywcity31">
    <w:name w:val="Tekst podstawowy wcięty 31"/>
    <w:basedOn w:val="Normalny"/>
    <w:qFormat/>
    <w:rsid w:val="00E55E45"/>
    <w:pPr>
      <w:suppressAutoHyphens/>
      <w:spacing w:after="120" w:line="240" w:lineRule="auto"/>
      <w:ind w:left="283"/>
    </w:pPr>
    <w:rPr>
      <w:rFonts w:ascii="Times New Roman;Times New Roman" w:eastAsia="Times New Roman;Times New Roman" w:hAnsi="Times New Roman;Times New Roman" w:cs="Times New Roman;Times New Roman"/>
      <w:sz w:val="16"/>
      <w:szCs w:val="16"/>
      <w:lang w:eastAsia="zh-CN"/>
    </w:rPr>
  </w:style>
  <w:style w:type="paragraph" w:styleId="Poprawka">
    <w:name w:val="Revision"/>
    <w:hidden/>
    <w:uiPriority w:val="99"/>
    <w:semiHidden/>
    <w:rsid w:val="00906A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1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dzaj_x0020_kom_x00f3_rki xmlns="ef8a80bf-3c08-4255-b886-aa7945d8c5a6">Kierownictwo MSZ</Rodzaj_x0020_kom_x00f3_rki>
    <Rodzaj_x0020_pliku xmlns="ef8a80bf-3c08-4255-b886-aa7945d8c5a6">9</Rodzaj_x0020_pliku>
    <J_x0119_zyk xmlns="ef8a80bf-3c08-4255-b886-aa7945d8c5a6">2</J_x0119_zyk>
    <Status xmlns="ef8a80bf-3c08-4255-b886-aa7945d8c5a6">Aktualne</Status>
    <Dodatkowe_x0020_informacje xmlns="ef8a80bf-3c08-4255-b886-aa7945d8c5a6" xsi:nil="true"/>
    <kom_x00f3_rka xmlns="ef8a80bf-3c08-4255-b886-aa7945d8c5a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CD602DC43024149B807304D12411C97" ma:contentTypeVersion="8" ma:contentTypeDescription="Utwórz nowy dokument." ma:contentTypeScope="" ma:versionID="faeaff8c4cb929c834d0389e2efaec08">
  <xsd:schema xmlns:xsd="http://www.w3.org/2001/XMLSchema" xmlns:xs="http://www.w3.org/2001/XMLSchema" xmlns:p="http://schemas.microsoft.com/office/2006/metadata/properties" xmlns:ns2="ef8a80bf-3c08-4255-b886-aa7945d8c5a6" xmlns:ns3="1c5c7361-39d5-4e55-b5eb-89c3f38c1ecd" targetNamespace="http://schemas.microsoft.com/office/2006/metadata/properties" ma:root="true" ma:fieldsID="6d42b46b574d4202cf7039abb4c46a42" ns2:_="" ns3:_="">
    <xsd:import namespace="ef8a80bf-3c08-4255-b886-aa7945d8c5a6"/>
    <xsd:import namespace="1c5c7361-39d5-4e55-b5eb-89c3f38c1ecd"/>
    <xsd:element name="properties">
      <xsd:complexType>
        <xsd:sequence>
          <xsd:element name="documentManagement">
            <xsd:complexType>
              <xsd:all>
                <xsd:element ref="ns2:Rodzaj_x0020_kom_x00f3_rki" minOccurs="0"/>
                <xsd:element ref="ns2:Rodzaj_x0020_pliku" minOccurs="0"/>
                <xsd:element ref="ns2:J_x0119_zyk" minOccurs="0"/>
                <xsd:element ref="ns2:Dodatkowe_x0020_informacje" minOccurs="0"/>
                <xsd:element ref="ns2:Status" minOccurs="0"/>
                <xsd:element ref="ns3:SharedWithUsers" minOccurs="0"/>
                <xsd:element ref="ns2:kom_x00f3_r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a80bf-3c08-4255-b886-aa7945d8c5a6" elementFormDefault="qualified">
    <xsd:import namespace="http://schemas.microsoft.com/office/2006/documentManagement/types"/>
    <xsd:import namespace="http://schemas.microsoft.com/office/infopath/2007/PartnerControls"/>
    <xsd:element name="Rodzaj_x0020_kom_x00f3_rki" ma:index="8" nillable="true" ma:displayName="Rodzaj komórki" ma:format="Dropdown" ma:internalName="Rodzaj_x0020_kom_x00f3_rki">
      <xsd:simpleType>
        <xsd:restriction base="dms:Choice">
          <xsd:enumeration value="Departament"/>
          <xsd:enumeration value="Biuro"/>
          <xsd:enumeration value="Inne"/>
          <xsd:enumeration value="MSZ"/>
          <xsd:enumeration value="Kierownictwo MSZ"/>
        </xsd:restriction>
      </xsd:simpleType>
    </xsd:element>
    <xsd:element name="Rodzaj_x0020_pliku" ma:index="9" nillable="true" ma:displayName="Rodzaj pliku" ma:list="{b1713209-8400-4859-b646-f8f0777bf0a5}" ma:internalName="Rodzaj_x0020_pliku" ma:showField="Title">
      <xsd:simpleType>
        <xsd:restriction base="dms:Lookup"/>
      </xsd:simpleType>
    </xsd:element>
    <xsd:element name="J_x0119_zyk" ma:index="10" nillable="true" ma:displayName="Język" ma:list="{cd8f9db8-8e12-4048-bf1a-5b5b1cd1a65a}" ma:internalName="J_x0119_zyk" ma:showField="Title">
      <xsd:simpleType>
        <xsd:restriction base="dms:Lookup"/>
      </xsd:simpleType>
    </xsd:element>
    <xsd:element name="Dodatkowe_x0020_informacje" ma:index="11" nillable="true" ma:displayName="Dodatkowe informacje" ma:internalName="Dodatkowe_x0020_informacje">
      <xsd:simpleType>
        <xsd:restriction base="dms:Text">
          <xsd:maxLength value="255"/>
        </xsd:restriction>
      </xsd:simpleType>
    </xsd:element>
    <xsd:element name="Status" ma:index="12" nillable="true" ma:displayName="Status" ma:default="Aktualne" ma:format="Dropdown" ma:internalName="Status">
      <xsd:simpleType>
        <xsd:restriction base="dms:Choice">
          <xsd:enumeration value="Aktualne"/>
          <xsd:enumeration value="Nieaktualne"/>
        </xsd:restriction>
      </xsd:simpleType>
    </xsd:element>
    <xsd:element name="kom_x00f3_rka" ma:index="14" nillable="true" ma:displayName="Komórka organizacyjna" ma:format="Dropdown" ma:internalName="kom_x00f3_rka">
      <xsd:simpleType>
        <xsd:restriction base="dms:Choice">
          <xsd:enumeration value="Akademia Dyplomatyczna"/>
          <xsd:enumeration value="Biuro Administracji"/>
          <xsd:enumeration value="Biuro Archiwum i Zarządzania Informacją"/>
          <xsd:enumeration value="Biuro do spraw organizacji Przewodnictwa Polski w OBWE"/>
          <xsd:enumeration value="Biuro Dyrektora Generalnego"/>
          <xsd:enumeration value="Biuro Dyrektora Politycznego"/>
          <xsd:enumeration value="Biuro Finansów"/>
          <xsd:enumeration value="Biuro Informatyki i Telekomunikacji"/>
          <xsd:enumeration value="Biuro Infrastruktury"/>
          <xsd:enumeration value="Biuro Inwestycji"/>
          <xsd:enumeration value="Biuro Kontroli i Audytu"/>
          <xsd:enumeration value="Biuro Ministra"/>
          <xsd:enumeration value="Biuro Ochrony Informacji Niejawnych"/>
          <xsd:enumeration value="Biuro Prawne i Zarządzania Zgodnością"/>
          <xsd:enumeration value="Biuro Rzecznika Prasowego"/>
          <xsd:enumeration value="Biuro Spraw Osobowych"/>
          <xsd:enumeration value="Biuro Szefa Służby Zagranicznej"/>
          <xsd:enumeration value="Departament Afryki i Bliskiego Wschodu"/>
          <xsd:enumeration value="Departament Ameryki"/>
          <xsd:enumeration value="Departament Azji i Pacyfiku"/>
          <xsd:enumeration value="Departament Dyplomacji Publicznej i Kulturalnej"/>
          <xsd:enumeration value="Departament Konsularny"/>
          <xsd:enumeration value="Departament Narodów Zjednoczonych i Praw Człowieka"/>
          <xsd:enumeration value="Departament Polityki Bezpieczeństwa"/>
          <xsd:enumeration value="Departament Polityki Europejskiej"/>
          <xsd:enumeration value="Departament Polityki Zewnętrznej Unii Europejskiej"/>
          <xsd:enumeration value="Departament Prawno-Traktatowy"/>
          <xsd:enumeration value="Departament Strategii Polityki Zagranicznej"/>
          <xsd:enumeration value="Departament Wschodni"/>
          <xsd:enumeration value="Departament Współpracy Ekonomicznej"/>
          <xsd:enumeration value="Departament Współpracy Rozwojowej"/>
          <xsd:enumeration value="Departament Współpracy z Polonią i Polakami za Granicą"/>
          <xsd:enumeration value="Dyrektor Polityczny"/>
          <xsd:enumeration value="Gabinet Polityczny Ministra"/>
          <xsd:enumeration value="Inspektorat Służby Zagranicznej"/>
          <xsd:enumeration value="Departament Współpracy z Polonią i Polakami za Granicą"/>
          <xsd:enumeration value="Protokół Dyplomatyczny"/>
          <xsd:enumeration value="Przychodnia Lekarska Służby Zagranicznej"/>
          <xsd:enumeration value="Rzecznik Prasowy"/>
        </xsd:restriction>
      </xsd:simpleType>
    </xsd:element>
  </xsd:schema>
  <xsd:schema xmlns:xsd="http://www.w3.org/2001/XMLSchema" xmlns:xs="http://www.w3.org/2001/XMLSchema" xmlns:dms="http://schemas.microsoft.com/office/2006/documentManagement/types" xmlns:pc="http://schemas.microsoft.com/office/infopath/2007/PartnerControls" targetNamespace="1c5c7361-39d5-4e55-b5eb-89c3f38c1ecd"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47B44-6CE0-4285-B4CE-25399CC1C5EA}">
  <ds:schemaRefs>
    <ds:schemaRef ds:uri="http://schemas.microsoft.com/sharepoint/v3/contenttype/forms"/>
  </ds:schemaRefs>
</ds:datastoreItem>
</file>

<file path=customXml/itemProps2.xml><?xml version="1.0" encoding="utf-8"?>
<ds:datastoreItem xmlns:ds="http://schemas.openxmlformats.org/officeDocument/2006/customXml" ds:itemID="{562BFBF0-E9F6-47A3-A30C-24CC20130142}">
  <ds:schemaRefs>
    <ds:schemaRef ds:uri="http://schemas.microsoft.com/office/2006/metadata/properties"/>
    <ds:schemaRef ds:uri="http://schemas.microsoft.com/office/infopath/2007/PartnerControls"/>
    <ds:schemaRef ds:uri="ef8a80bf-3c08-4255-b886-aa7945d8c5a6"/>
  </ds:schemaRefs>
</ds:datastoreItem>
</file>

<file path=customXml/itemProps3.xml><?xml version="1.0" encoding="utf-8"?>
<ds:datastoreItem xmlns:ds="http://schemas.openxmlformats.org/officeDocument/2006/customXml" ds:itemID="{894FD355-95C5-4AE8-9ED5-A9BA880D5BE2}">
  <ds:schemaRefs>
    <ds:schemaRef ds:uri="http://schemas.openxmlformats.org/officeDocument/2006/bibliography"/>
  </ds:schemaRefs>
</ds:datastoreItem>
</file>

<file path=customXml/itemProps4.xml><?xml version="1.0" encoding="utf-8"?>
<ds:datastoreItem xmlns:ds="http://schemas.openxmlformats.org/officeDocument/2006/customXml" ds:itemID="{19C94C96-5E05-41EE-AC33-781F1E595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a80bf-3c08-4255-b886-aa7945d8c5a6"/>
    <ds:schemaRef ds:uri="1c5c7361-39d5-4e55-b5eb-89c3f38c1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6</Pages>
  <Words>1786</Words>
  <Characters>10720</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01_organ_MinisterSZ_kolor</vt:lpstr>
    </vt:vector>
  </TitlesOfParts>
  <Company>Kancelaria Prezesa Rady Ministrow</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01_organ_MinisterSZ_kolor</dc:title>
  <dc:subject/>
  <dc:creator>Nowakowski Adam</dc:creator>
  <cp:keywords/>
  <dc:description/>
  <cp:lastModifiedBy>Rybkowska Bożena</cp:lastModifiedBy>
  <cp:revision>12</cp:revision>
  <cp:lastPrinted>2022-09-08T13:34:00Z</cp:lastPrinted>
  <dcterms:created xsi:type="dcterms:W3CDTF">2025-11-17T10:47:00Z</dcterms:created>
  <dcterms:modified xsi:type="dcterms:W3CDTF">2025-12-01T08:13:00Z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0x010100FCD602DC43024149B807304D12411C97</vt:lpwstr>
  </property>
</Properties>
</file>