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9EE6" w14:textId="77777777" w:rsidR="006D66B1" w:rsidRPr="006D66B1" w:rsidRDefault="006D66B1" w:rsidP="006D66B1">
      <w:pPr>
        <w:pStyle w:val="OZNPROJEKTUwskazaniedatylubwersjiprojektu"/>
        <w:keepNext/>
      </w:pPr>
      <w:r w:rsidRPr="006D66B1">
        <w:t>Projekt</w:t>
      </w:r>
    </w:p>
    <w:p w14:paraId="0A55B7FF" w14:textId="77777777" w:rsidR="006D66B1" w:rsidRPr="006D66B1" w:rsidRDefault="006D66B1" w:rsidP="006D66B1">
      <w:pPr>
        <w:pStyle w:val="OZNRODZAKTUtznustawalubrozporzdzenieiorganwydajcy"/>
      </w:pPr>
      <w:r w:rsidRPr="006D66B1">
        <w:t>Ustawa</w:t>
      </w:r>
    </w:p>
    <w:p w14:paraId="15806E55" w14:textId="77777777" w:rsidR="006D66B1" w:rsidRPr="006D66B1" w:rsidRDefault="006D66B1" w:rsidP="006D66B1">
      <w:pPr>
        <w:pStyle w:val="DATAAKTUdatauchwalenialubwydaniaaktu"/>
      </w:pPr>
      <w:r w:rsidRPr="006D66B1">
        <w:t>z dnia</w:t>
      </w:r>
    </w:p>
    <w:p w14:paraId="7B156B4C" w14:textId="77777777" w:rsidR="006D66B1" w:rsidRPr="006D66B1" w:rsidRDefault="006D66B1" w:rsidP="006D66B1">
      <w:pPr>
        <w:pStyle w:val="TYTUAKTUprzedmiotregulacjiustawylubrozporzdzenia"/>
      </w:pPr>
      <w:r w:rsidRPr="006D66B1">
        <w:t>o zmianie ustaw w celu usprawnienia mechanizmów wsparcia odbiorców energii elektrycznej i ciepła</w:t>
      </w:r>
      <w:r w:rsidRPr="006D66B1">
        <w:rPr>
          <w:rStyle w:val="IGPindeksgrnyipogrubienie"/>
        </w:rPr>
        <w:footnoteReference w:id="1"/>
      </w:r>
      <w:r w:rsidRPr="006D66B1">
        <w:rPr>
          <w:rStyle w:val="IGPindeksgrnyipogrubienie"/>
        </w:rPr>
        <w:t>)</w:t>
      </w:r>
    </w:p>
    <w:p w14:paraId="7FC23A31" w14:textId="2A7C27D7" w:rsidR="006D66B1" w:rsidRPr="006D66B1" w:rsidRDefault="006D66B1" w:rsidP="006D66B1">
      <w:pPr>
        <w:pStyle w:val="ARTartustawynprozporzdzenia"/>
        <w:keepNext/>
      </w:pPr>
      <w:r w:rsidRPr="006D66B1">
        <w:rPr>
          <w:rStyle w:val="Ppogrubienie"/>
        </w:rPr>
        <w:t>Art. 1.</w:t>
      </w:r>
      <w:r w:rsidRPr="006D66B1">
        <w:t xml:space="preserve"> W ustawie z dnia 27 października 2022 r. o środkach nadzwyczajnych mających na celu ograniczenie wysokości cen energii elektrycznej oraz wsparciu niektórych odbiorców w latach 2023–2025 (Dz. U. z 2024 r. poz. 1622 i 1831 oraz z 2025 r. poz. 290 i 1302) wprowadza się następujące zmiany:</w:t>
      </w:r>
    </w:p>
    <w:p w14:paraId="593F661B" w14:textId="58E383C1" w:rsidR="006D66B1" w:rsidRPr="006D66B1" w:rsidRDefault="006D66B1" w:rsidP="006D66B1">
      <w:pPr>
        <w:pStyle w:val="PKTpunkt"/>
      </w:pPr>
      <w:r w:rsidRPr="006D66B1">
        <w:t>1)</w:t>
      </w:r>
      <w:r w:rsidRPr="006D66B1">
        <w:tab/>
        <w:t>w art. 17 w ust. 6 wyrazy „31 grudnia 2026 r.” zastępuje się wyrazami „31 marca 2027 r.”;</w:t>
      </w:r>
    </w:p>
    <w:p w14:paraId="703D00D5" w14:textId="77777777" w:rsidR="006D66B1" w:rsidRPr="006D66B1" w:rsidRDefault="006D66B1" w:rsidP="006D66B1">
      <w:pPr>
        <w:pStyle w:val="PKTpunkt"/>
        <w:keepNext/>
      </w:pPr>
      <w:r w:rsidRPr="006D66B1">
        <w:t>2)</w:t>
      </w:r>
      <w:r w:rsidRPr="006D66B1">
        <w:tab/>
        <w:t>w art. 43 w ust. 2b wprowadzenie do wyliczenia otrzymuje brzmienie:</w:t>
      </w:r>
    </w:p>
    <w:p w14:paraId="6F55E236" w14:textId="0A88451D" w:rsidR="006D66B1" w:rsidRPr="006D66B1" w:rsidRDefault="006D66B1" w:rsidP="006D66B1">
      <w:pPr>
        <w:pStyle w:val="ZUSTzmustartykuempunktem"/>
      </w:pPr>
      <w:r w:rsidRPr="006D66B1">
        <w:t xml:space="preserve">„2b. Maksymalny limit wydatków z Funduszu Przeciwdziałania COVID-19 na wypłatę rekompensat za okres od dnia 1 stycznia 2025 r. do dnia 31 grudnia 2025 r. oraz </w:t>
      </w:r>
      <w:r w:rsidR="00FF3BC4" w:rsidRPr="00AA36CF">
        <w:t xml:space="preserve">w związku z </w:t>
      </w:r>
      <w:r w:rsidRPr="00AA36CF">
        <w:t>wniosk</w:t>
      </w:r>
      <w:r w:rsidR="00FF3BC4" w:rsidRPr="00AA36CF">
        <w:t>ami</w:t>
      </w:r>
      <w:r w:rsidRPr="00AA36CF">
        <w:t xml:space="preserve"> </w:t>
      </w:r>
      <w:r w:rsidR="00FF3BC4" w:rsidRPr="00AA36CF">
        <w:t xml:space="preserve">o </w:t>
      </w:r>
      <w:r w:rsidRPr="00AA36CF">
        <w:t>rozliczenie</w:t>
      </w:r>
      <w:r w:rsidR="00FF3BC4" w:rsidRPr="00AA36CF">
        <w:t xml:space="preserve"> rekompensaty</w:t>
      </w:r>
      <w:r w:rsidRPr="006D66B1">
        <w:t>, o których mowa w art. 7b ustawy z dnia 21 lutego 2025 r. o zmianie ustawy o rynku mocy oraz niektórych innych ustaw (Dz. U. poz. 290 i …), wynosi:”.</w:t>
      </w:r>
    </w:p>
    <w:p w14:paraId="4CD4351E" w14:textId="45ACE07F" w:rsidR="006D66B1" w:rsidRPr="006D66B1" w:rsidRDefault="006D66B1" w:rsidP="006D66B1">
      <w:pPr>
        <w:pStyle w:val="ARTartustawynprozporzdzenia"/>
        <w:keepNext/>
      </w:pPr>
      <w:r w:rsidRPr="006D66B1">
        <w:rPr>
          <w:rStyle w:val="Ppogrubienie"/>
        </w:rPr>
        <w:t>Art. 2.</w:t>
      </w:r>
      <w:r w:rsidRPr="006D66B1">
        <w:t xml:space="preserve"> W ustawie z dnia 21 lutego 2025 r. o zmianie ustawy o rynku mocy oraz niektórych innych ustaw (Dz. U. poz. 290) po art. 7 dodaje się art. 7a i art. 7b w brzmieniu:</w:t>
      </w:r>
    </w:p>
    <w:p w14:paraId="04069159" w14:textId="554D0EBF" w:rsidR="006D66B1" w:rsidRPr="006D66B1" w:rsidRDefault="006D66B1" w:rsidP="006D66B1">
      <w:pPr>
        <w:pStyle w:val="ZARTzmartartykuempunktem"/>
      </w:pPr>
      <w:r w:rsidRPr="006D66B1">
        <w:t>„Art. 7a. 1. Informacje o pomocy, o których mowa w art. 37 ust. 6 lub art. 38 ust. 5a ustawy zmienianej w art. 4, złożone zgodnie z art. 7 po dniu 18 marca 2025 r., a przed dniem wejścia w życie ustawy z dnia … o zmianie ustaw w celu usprawnienia mechanizmów wsparcia odbiorców energii elektrycznej i ciepła (Dz. U. poz. …) są uznane za złożone w terminie i podlegają weryfikacji przez podmiot udzielający pomocy zgodnie z przepisami ustawy zmienianej w art. 4.</w:t>
      </w:r>
    </w:p>
    <w:p w14:paraId="0B02C7D2" w14:textId="76CAAD6C" w:rsidR="006D66B1" w:rsidRPr="006D66B1" w:rsidRDefault="006D66B1" w:rsidP="006D66B1">
      <w:pPr>
        <w:pStyle w:val="ZUSTzmustartykuempunktem"/>
      </w:pPr>
      <w:r w:rsidRPr="006D66B1">
        <w:lastRenderedPageBreak/>
        <w:t>2. Przepis art. 38a ust. 8 pkt 1 ustawy zmienianej w art. 4 w zakresie, w jakim dotyczy rozliczeń ze sprzedawcą energii elektrycznej z tytułu niezłożenia w terminie informacji o pomocy, o której mowa w art. 37 ust. 6 lub art. 38 ust. 5a ustawy zmienianej w art. 4, stosuje się w przypadku niezłożenia tej informacji w terminie do dnia 30 czerwca 2026 r.</w:t>
      </w:r>
    </w:p>
    <w:p w14:paraId="04B87785" w14:textId="77777777" w:rsidR="006D66B1" w:rsidRPr="006D66B1" w:rsidRDefault="006D66B1" w:rsidP="006D66B1">
      <w:pPr>
        <w:pStyle w:val="ZUSTzmustartykuempunktem"/>
        <w:rPr>
          <w:rStyle w:val="Kkursywa"/>
        </w:rPr>
      </w:pPr>
      <w:r w:rsidRPr="006D66B1">
        <w:t xml:space="preserve">3. Przedsiębiorca, o którym mowa w art. 37 ust. 1 lub art. 38 ust. 1 ustawy zmienianej w art. 4, który złożył informację o pomocy do dnia wejścia w życie ustawy z dnia … o zmianie ustaw w celu usprawnienia mechanizmów wsparcia odbiorców energii elektrycznej i ciepła, może usunąć w tej informacji błędy, omyłki pisarskie lub rachunkowe lub braki formalne, które wpływają na ustalenie, czy dany przedsiębiorca spełnia warunki otrzymania pomocy publicznej lub pomocy </w:t>
      </w:r>
      <w:r w:rsidRPr="006D66B1">
        <w:rPr>
          <w:rStyle w:val="Kkursywa"/>
        </w:rPr>
        <w:t xml:space="preserve">de </w:t>
      </w:r>
      <w:proofErr w:type="spellStart"/>
      <w:r w:rsidRPr="006D66B1">
        <w:rPr>
          <w:rStyle w:val="Kkursywa"/>
        </w:rPr>
        <w:t>minimis</w:t>
      </w:r>
      <w:proofErr w:type="spellEnd"/>
      <w:r w:rsidRPr="006D66B1">
        <w:t>, w terminie do dnia 30 czerwca 2026 r.</w:t>
      </w:r>
    </w:p>
    <w:p w14:paraId="33CDCD95" w14:textId="77777777" w:rsidR="006D66B1" w:rsidRPr="006D66B1" w:rsidRDefault="006D66B1" w:rsidP="006D66B1">
      <w:pPr>
        <w:pStyle w:val="ZUSTzmustartykuempunktem"/>
      </w:pPr>
      <w:r w:rsidRPr="006D66B1">
        <w:t xml:space="preserve">4. W </w:t>
      </w:r>
      <w:proofErr w:type="gramStart"/>
      <w:r w:rsidRPr="006D66B1">
        <w:t>przypadku</w:t>
      </w:r>
      <w:proofErr w:type="gramEnd"/>
      <w:r w:rsidRPr="006D66B1">
        <w:t xml:space="preserve"> gdy w okresie od dnia 1 lipca 2025 r. do dnia wejścia w życie ustawy z dnia … o zmianie ustaw w celu usprawnienia mechanizmów wsparcia odbiorców energii elektrycznej i ciepła sprzedawca energii elektrycznej dokonał z przedsiębiorcą, o którym mowa w art. 37 ust. 1 lub art. 38 ust. 1 ustawy zmienianej w art. 4, rozliczenia różnicy pomiędzy ceną maksymalną a ceną wynikającą z umowy sprzedaży, o której mowa w art. 5 ust. 2 pkt 1 ustawy z dnia 10 kwietnia 1997 r. – Prawo </w:t>
      </w:r>
      <w:proofErr w:type="gramStart"/>
      <w:r w:rsidRPr="006D66B1">
        <w:t>energetyczne,</w:t>
      </w:r>
      <w:proofErr w:type="gramEnd"/>
      <w:r w:rsidRPr="006D66B1">
        <w:t xml:space="preserve"> albo umowy kompleksowej, o której mowa w art. 5 ust. 3 tej ustawy, z powodu niezłożenia w terminie informacji o pomocy zgodnie z art. 37 ust. 6 lub art. 38 ust. 5a ustawy zmienianej w art. 4 lub zgodnie z art. 7, sprzedawca energii elektrycznej dokonuje korekty takiego rozliczenia w terminie 30 dni od dnia otrzymania przez sprzedawcę energii elektrycznej prawidłowej informacji o pomocy, o której mowa w art. 37 ust. 6 lub art. 38 ust. 5a ustawy zmienianej w art. 4.</w:t>
      </w:r>
    </w:p>
    <w:p w14:paraId="7954A3AB" w14:textId="04DA1BEE" w:rsidR="006D66B1" w:rsidRPr="006D66B1" w:rsidRDefault="006D66B1" w:rsidP="006D66B1">
      <w:pPr>
        <w:pStyle w:val="ZARTzmartartykuempunktem"/>
      </w:pPr>
      <w:r w:rsidRPr="006D66B1">
        <w:t xml:space="preserve">Art. 7b. W przypadku, o którym mowa w art. 7a, przedsiębiorstwo energetyczne wykonujące działalność gospodarczą w zakresie obrotu energią elektryczną lub wytwarzania energii elektrycznej składa do Zarządcy Rozliczeń S.A., o którym mowa w rozdziale 7 ustawy z dnia 29 czerwca 2007 r. o zasadach pokrywania kosztów powstałych u wytwórców w związku z przedterminowym rozwiązaniem umów długoterminowych sprzedaży mocy i energii elektrycznej (Dz. U. z 2022 r. poz. 311), wniosek o rozliczenie rekompensaty, o którym mowa w art. 13 ust. 1a pkt 2 ustawy zmienianej w art. 3, w zakresie odbiorców </w:t>
      </w:r>
      <w:r w:rsidRPr="006D66B1">
        <w:lastRenderedPageBreak/>
        <w:t>końcowych, którzy złożyli informacje o pomocy, w terminach, o których mowa w art. 7a, w terminie od dnia 1 lipca 2026 r. do dnia 30 września 2026 r.”.</w:t>
      </w:r>
    </w:p>
    <w:p w14:paraId="3F17CF75" w14:textId="7D7ABCFB" w:rsidR="006D66B1" w:rsidRPr="006D66B1" w:rsidRDefault="006D66B1" w:rsidP="006D66B1">
      <w:pPr>
        <w:pStyle w:val="ARTartustawynprozporzdzenia"/>
        <w:keepNext/>
      </w:pPr>
      <w:bookmarkStart w:id="0" w:name="_Hlk197595139"/>
      <w:r w:rsidRPr="006D66B1">
        <w:rPr>
          <w:rStyle w:val="Ppogrubienie"/>
        </w:rPr>
        <w:t>Art. 3.</w:t>
      </w:r>
      <w:r w:rsidRPr="006D66B1">
        <w:t xml:space="preserve"> W ustawie z dnia 12 września 2025 r. o bonie ciepłowniczym oraz o</w:t>
      </w:r>
      <w:r w:rsidR="00FF3BC4">
        <w:t> </w:t>
      </w:r>
      <w:r w:rsidRPr="006D66B1">
        <w:t>zmianie niektórych ustaw w celu ograniczenia wysokości cen energii elektrycznej (Dz. U. poz. 1302) w art. 3:</w:t>
      </w:r>
    </w:p>
    <w:p w14:paraId="0F7E8A8E" w14:textId="77777777" w:rsidR="006D66B1" w:rsidRPr="006D66B1" w:rsidRDefault="006D66B1" w:rsidP="006D66B1">
      <w:pPr>
        <w:pStyle w:val="PKTpunkt"/>
        <w:keepNext/>
      </w:pPr>
      <w:r w:rsidRPr="006D66B1">
        <w:t>1)</w:t>
      </w:r>
      <w:r w:rsidRPr="006D66B1">
        <w:tab/>
        <w:t>po ust. 2 dodaje się ust. 2a i 2b w brzmieniu:</w:t>
      </w:r>
    </w:p>
    <w:p w14:paraId="04963544" w14:textId="25F50B62" w:rsidR="006D66B1" w:rsidRPr="006D66B1" w:rsidRDefault="006D66B1" w:rsidP="006D66B1">
      <w:pPr>
        <w:pStyle w:val="ZUSTzmustartykuempunktem"/>
        <w:keepNext/>
      </w:pPr>
      <w:r w:rsidRPr="006D66B1">
        <w:t>„2a. W przypadku gdy na obszarze gminy:</w:t>
      </w:r>
    </w:p>
    <w:p w14:paraId="118636B7" w14:textId="036BAB2C" w:rsidR="006D66B1" w:rsidRPr="006D66B1" w:rsidRDefault="006D66B1" w:rsidP="006D66B1">
      <w:pPr>
        <w:pStyle w:val="ZPKTzmpktartykuempunktem"/>
      </w:pPr>
      <w:r w:rsidRPr="006D66B1">
        <w:t>1)</w:t>
      </w:r>
      <w:r w:rsidRPr="006D66B1">
        <w:tab/>
        <w:t>nie funkcjonuje system ciepłowniczy</w:t>
      </w:r>
      <w:r w:rsidR="00FF3BC4">
        <w:t>,</w:t>
      </w:r>
      <w:r w:rsidRPr="006D66B1">
        <w:t xml:space="preserve"> </w:t>
      </w:r>
      <w:r w:rsidRPr="00AA36CF">
        <w:t xml:space="preserve">z którego </w:t>
      </w:r>
      <w:r w:rsidRPr="006D66B1">
        <w:t>dostarczane jest ciepło do gospodarstw domowych, albo</w:t>
      </w:r>
    </w:p>
    <w:p w14:paraId="64EDC91E" w14:textId="77777777" w:rsidR="006D66B1" w:rsidRPr="006D66B1" w:rsidRDefault="006D66B1" w:rsidP="006D66B1">
      <w:pPr>
        <w:pStyle w:val="ZPKTzmpktartykuempunktem"/>
        <w:keepNext/>
      </w:pPr>
      <w:r w:rsidRPr="006D66B1">
        <w:t>2)</w:t>
      </w:r>
      <w:r w:rsidRPr="006D66B1">
        <w:tab/>
        <w:t>jednoskładnikowe ceny ciepła netto, opublikowane zgodnie z ust. 10, nie przekraczają 170 zł/GJ netto</w:t>
      </w:r>
    </w:p>
    <w:p w14:paraId="11497E69" w14:textId="77777777" w:rsidR="006D66B1" w:rsidRPr="006D66B1" w:rsidRDefault="006D66B1" w:rsidP="006D66B1">
      <w:pPr>
        <w:pStyle w:val="ZCZWSPPKTzmczciwsppktartykuempunktem"/>
      </w:pPr>
      <w:r w:rsidRPr="006D66B1">
        <w:t>– wójt, burmistrz lub prezydent miasta niezwłocznie zamieszcza na stronie internetowej urzędu gminy lub w sposób zwyczajowo przyjęty informacje o zaistnieniu powyższych okoliczności.</w:t>
      </w:r>
    </w:p>
    <w:p w14:paraId="4B8334F2" w14:textId="74F9543B" w:rsidR="006D66B1" w:rsidRPr="006D66B1" w:rsidRDefault="006D66B1" w:rsidP="006D66B1">
      <w:pPr>
        <w:pStyle w:val="ZUSTzmustartykuempunktem"/>
      </w:pPr>
      <w:r w:rsidRPr="006D66B1">
        <w:t>2b. Wniosek o wypłatę bonu ciepłowniczego złożony pomimo zaistnienia okoliczności, o których mowa w ust. 2a, pozostawia się bez rozpoznania.”;</w:t>
      </w:r>
    </w:p>
    <w:p w14:paraId="0393079A" w14:textId="1833995D" w:rsidR="006D66B1" w:rsidRPr="006D66B1" w:rsidRDefault="006D66B1" w:rsidP="006D66B1">
      <w:pPr>
        <w:pStyle w:val="PKTpunkt"/>
      </w:pPr>
      <w:r w:rsidRPr="006D66B1">
        <w:t>2)</w:t>
      </w:r>
      <w:r w:rsidRPr="006D66B1">
        <w:tab/>
        <w:t>w ust. 6 w pkt 3 i w ust. 11 wyrazy „30 kwietnia 2026 r.” zastępuje się wyrazami „31 maja 2026 r.</w:t>
      </w:r>
      <w:bookmarkEnd w:id="0"/>
      <w:r w:rsidRPr="006D66B1">
        <w:t>”.</w:t>
      </w:r>
    </w:p>
    <w:p w14:paraId="3A9750B3" w14:textId="7862F29B" w:rsidR="006D66B1" w:rsidRPr="006D66B1" w:rsidRDefault="006D66B1" w:rsidP="006D66B1">
      <w:pPr>
        <w:pStyle w:val="ARTartustawynprozporzdzenia"/>
      </w:pPr>
      <w:r w:rsidRPr="006D66B1">
        <w:rPr>
          <w:rStyle w:val="Ppogrubienie"/>
        </w:rPr>
        <w:t xml:space="preserve">Art. 4. </w:t>
      </w:r>
      <w:r w:rsidRPr="006D66B1">
        <w:t>1. Wójt, burmistrz lub prezydent miasta zamieszcza w terminie 7 dni od dnia wejścia w życie niniejszej ustawy na stronie internetowej urzędu gminy lub w sposób zwyczajowo przyjęty informacje o zaistnieniu na obszarze gminy okoliczności, o których mowa w art. 3 ust. 2a ustawy zmienianej w art. 3, w stosunku do wniosków o wypłatę bonu ciepłowniczego za okres od 1 lipca 2025 r. do 31 grudnia 2025 r.</w:t>
      </w:r>
    </w:p>
    <w:p w14:paraId="59FFADE1" w14:textId="3509A364" w:rsidR="006D66B1" w:rsidRPr="006D66B1" w:rsidRDefault="006D66B1" w:rsidP="006D66B1">
      <w:pPr>
        <w:pStyle w:val="USTustnpkodeksu"/>
        <w:rPr>
          <w:rStyle w:val="Ppogrubienie"/>
          <w:lang w:eastAsia="en-US"/>
        </w:rPr>
      </w:pPr>
      <w:r w:rsidRPr="006D66B1">
        <w:t>2. Do wniosków o wypłatę bonu ciepłowniczego złożonych i nierozpatrzonych przed dniem upublicznienia informacji, o której mowa w art. 3 ust. 2a ustawy zmienianej w art. 3</w:t>
      </w:r>
      <w:r w:rsidR="00FF3BC4">
        <w:t xml:space="preserve"> </w:t>
      </w:r>
      <w:r w:rsidRPr="006D66B1">
        <w:t>– w przypadku zaistnienia okoliczności, o których mowa w art. 3 ust. 2a ustawy zmienianej w art. 3</w:t>
      </w:r>
      <w:r w:rsidR="00FF3BC4">
        <w:t xml:space="preserve"> </w:t>
      </w:r>
      <w:r w:rsidRPr="006D66B1">
        <w:t>– stosuje się przepis art. 3 ust. 2b ustawy zmienianej w art. 3.</w:t>
      </w:r>
    </w:p>
    <w:p w14:paraId="40BE7C30" w14:textId="74ECAD9D" w:rsidR="006D66B1" w:rsidRPr="006D66B1" w:rsidRDefault="006D66B1" w:rsidP="006D66B1">
      <w:pPr>
        <w:pStyle w:val="ARTartustawynprozporzdzenia"/>
      </w:pPr>
      <w:r w:rsidRPr="006D66B1">
        <w:rPr>
          <w:rStyle w:val="Ppogrubienie"/>
        </w:rPr>
        <w:t>Art. 5.</w:t>
      </w:r>
      <w:r w:rsidRPr="006D66B1">
        <w:t xml:space="preserve"> Ustawa wchodzi w życie z dniem następującym po dniu ogłoszenia.</w:t>
      </w:r>
    </w:p>
    <w:p w14:paraId="27F8FEDB" w14:textId="77777777" w:rsidR="005E31CC" w:rsidRPr="006D66B1" w:rsidRDefault="005E31CC" w:rsidP="005315BE">
      <w:pPr>
        <w:rPr>
          <w:rStyle w:val="Ppogrubienie"/>
          <w:b w:val="0"/>
        </w:rPr>
      </w:pPr>
    </w:p>
    <w:sectPr w:rsidR="005E31CC" w:rsidRPr="006D66B1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6A4D" w14:textId="77777777" w:rsidR="00166933" w:rsidRDefault="00166933">
      <w:r>
        <w:separator/>
      </w:r>
    </w:p>
  </w:endnote>
  <w:endnote w:type="continuationSeparator" w:id="0">
    <w:p w14:paraId="64DB5BC1" w14:textId="77777777" w:rsidR="00166933" w:rsidRDefault="0016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E009" w14:textId="77777777" w:rsidR="00166933" w:rsidRDefault="00166933">
      <w:r>
        <w:separator/>
      </w:r>
    </w:p>
  </w:footnote>
  <w:footnote w:type="continuationSeparator" w:id="0">
    <w:p w14:paraId="3CD24888" w14:textId="77777777" w:rsidR="00166933" w:rsidRDefault="00166933">
      <w:r>
        <w:continuationSeparator/>
      </w:r>
    </w:p>
  </w:footnote>
  <w:footnote w:id="1">
    <w:p w14:paraId="6314B362" w14:textId="77777777" w:rsidR="006D66B1" w:rsidRDefault="006D66B1" w:rsidP="006D66B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27 października 2022 r. o środkach nadzwyczajnych mających na celu ograniczenie wysokości cen energii elektrycznej oraz wsparciu niektórych odbiorców w latach 2023–2025, ustawę z dnia 12 września 2025 r. o bonie ciepłowniczym oraz o zmianie niektórych ustaw w celu ograniczenia wysokości cen energii elektrycznej oraz ustawę z dnia 21 lutego 2025 r. o zmianie ustawy o rynku mocy oraz niektórych innych ustaw.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8EAF" w14:textId="4BB38B5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F3765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A36CF">
          <w:rPr>
            <w:rStyle w:val="Ppogrubienie"/>
            <w:noProof/>
          </w:rPr>
          <w:t>V3_2428-5.NK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5728A8C" w14:textId="6A22CE1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F8410" wp14:editId="487A427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96479">
      <w:rPr>
        <w:rStyle w:val="Ppogrubienie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741C" w14:textId="0060C37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F3765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06B3C9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5585BC" wp14:editId="0CF84C5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1672907">
    <w:abstractNumId w:val="24"/>
  </w:num>
  <w:num w:numId="2" w16cid:durableId="1673096797">
    <w:abstractNumId w:val="24"/>
  </w:num>
  <w:num w:numId="3" w16cid:durableId="1140270605">
    <w:abstractNumId w:val="19"/>
  </w:num>
  <w:num w:numId="4" w16cid:durableId="2044671081">
    <w:abstractNumId w:val="19"/>
  </w:num>
  <w:num w:numId="5" w16cid:durableId="1484809846">
    <w:abstractNumId w:val="38"/>
  </w:num>
  <w:num w:numId="6" w16cid:durableId="1523281185">
    <w:abstractNumId w:val="34"/>
  </w:num>
  <w:num w:numId="7" w16cid:durableId="1309893569">
    <w:abstractNumId w:val="38"/>
  </w:num>
  <w:num w:numId="8" w16cid:durableId="209810716">
    <w:abstractNumId w:val="34"/>
  </w:num>
  <w:num w:numId="9" w16cid:durableId="483396125">
    <w:abstractNumId w:val="38"/>
  </w:num>
  <w:num w:numId="10" w16cid:durableId="1132358731">
    <w:abstractNumId w:val="34"/>
  </w:num>
  <w:num w:numId="11" w16cid:durableId="838009085">
    <w:abstractNumId w:val="15"/>
  </w:num>
  <w:num w:numId="12" w16cid:durableId="771317307">
    <w:abstractNumId w:val="10"/>
  </w:num>
  <w:num w:numId="13" w16cid:durableId="450168095">
    <w:abstractNumId w:val="16"/>
  </w:num>
  <w:num w:numId="14" w16cid:durableId="417169027">
    <w:abstractNumId w:val="28"/>
  </w:num>
  <w:num w:numId="15" w16cid:durableId="1291786112">
    <w:abstractNumId w:val="15"/>
  </w:num>
  <w:num w:numId="16" w16cid:durableId="1877546319">
    <w:abstractNumId w:val="17"/>
  </w:num>
  <w:num w:numId="17" w16cid:durableId="1243949438">
    <w:abstractNumId w:val="8"/>
  </w:num>
  <w:num w:numId="18" w16cid:durableId="1902715246">
    <w:abstractNumId w:val="3"/>
  </w:num>
  <w:num w:numId="19" w16cid:durableId="719088977">
    <w:abstractNumId w:val="2"/>
  </w:num>
  <w:num w:numId="20" w16cid:durableId="898781302">
    <w:abstractNumId w:val="1"/>
  </w:num>
  <w:num w:numId="21" w16cid:durableId="100345724">
    <w:abstractNumId w:val="0"/>
  </w:num>
  <w:num w:numId="22" w16cid:durableId="639382686">
    <w:abstractNumId w:val="9"/>
  </w:num>
  <w:num w:numId="23" w16cid:durableId="1949968591">
    <w:abstractNumId w:val="7"/>
  </w:num>
  <w:num w:numId="24" w16cid:durableId="842547377">
    <w:abstractNumId w:val="6"/>
  </w:num>
  <w:num w:numId="25" w16cid:durableId="1214006471">
    <w:abstractNumId w:val="5"/>
  </w:num>
  <w:num w:numId="26" w16cid:durableId="1354114840">
    <w:abstractNumId w:val="4"/>
  </w:num>
  <w:num w:numId="27" w16cid:durableId="520974818">
    <w:abstractNumId w:val="36"/>
  </w:num>
  <w:num w:numId="28" w16cid:durableId="99105621">
    <w:abstractNumId w:val="27"/>
  </w:num>
  <w:num w:numId="29" w16cid:durableId="1281693086">
    <w:abstractNumId w:val="39"/>
  </w:num>
  <w:num w:numId="30" w16cid:durableId="1120883404">
    <w:abstractNumId w:val="35"/>
  </w:num>
  <w:num w:numId="31" w16cid:durableId="1421172259">
    <w:abstractNumId w:val="20"/>
  </w:num>
  <w:num w:numId="32" w16cid:durableId="1344354834">
    <w:abstractNumId w:val="11"/>
  </w:num>
  <w:num w:numId="33" w16cid:durableId="1907916021">
    <w:abstractNumId w:val="33"/>
  </w:num>
  <w:num w:numId="34" w16cid:durableId="1697269050">
    <w:abstractNumId w:val="21"/>
  </w:num>
  <w:num w:numId="35" w16cid:durableId="559169255">
    <w:abstractNumId w:val="18"/>
  </w:num>
  <w:num w:numId="36" w16cid:durableId="426661816">
    <w:abstractNumId w:val="23"/>
  </w:num>
  <w:num w:numId="37" w16cid:durableId="582840007">
    <w:abstractNumId w:val="29"/>
  </w:num>
  <w:num w:numId="38" w16cid:durableId="1286624328">
    <w:abstractNumId w:val="26"/>
  </w:num>
  <w:num w:numId="39" w16cid:durableId="1493834891">
    <w:abstractNumId w:val="14"/>
  </w:num>
  <w:num w:numId="40" w16cid:durableId="751853246">
    <w:abstractNumId w:val="32"/>
  </w:num>
  <w:num w:numId="41" w16cid:durableId="2147044005">
    <w:abstractNumId w:val="30"/>
  </w:num>
  <w:num w:numId="42" w16cid:durableId="107355826">
    <w:abstractNumId w:val="22"/>
  </w:num>
  <w:num w:numId="43" w16cid:durableId="2066678255">
    <w:abstractNumId w:val="37"/>
  </w:num>
  <w:num w:numId="44" w16cid:durableId="283846771">
    <w:abstractNumId w:val="13"/>
  </w:num>
  <w:num w:numId="45" w16cid:durableId="797526365">
    <w:abstractNumId w:val="40"/>
  </w:num>
  <w:num w:numId="46" w16cid:durableId="325599491">
    <w:abstractNumId w:val="25"/>
  </w:num>
  <w:num w:numId="47" w16cid:durableId="1909801588">
    <w:abstractNumId w:val="12"/>
  </w:num>
  <w:num w:numId="48" w16cid:durableId="18538329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933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765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08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9C6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36AE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66B1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57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5EA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47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36CF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5684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3BC4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96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2025-12-04T12:01:00Z</dcterms:created>
  <dcterms:modified xsi:type="dcterms:W3CDTF">2025-12-04T12:01:00Z</dcterms:modified>
  <cp:category/>
</cp:coreProperties>
</file>