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8108" w14:textId="77777777" w:rsidR="00452F97" w:rsidRPr="00452F97" w:rsidRDefault="00452F97" w:rsidP="00452F97">
      <w:pPr>
        <w:pStyle w:val="OZNPROJEKTUwskazaniedatylubwersjiprojektu"/>
        <w:rPr>
          <w:rStyle w:val="Kkursywa"/>
        </w:rPr>
      </w:pPr>
      <w:r w:rsidRPr="00452F97">
        <w:rPr>
          <w:rStyle w:val="Kkursywa"/>
        </w:rPr>
        <w:t>Projekt</w:t>
      </w:r>
    </w:p>
    <w:p w14:paraId="0D503A93" w14:textId="77777777" w:rsidR="00452F97" w:rsidRPr="00452F97" w:rsidRDefault="00452F97" w:rsidP="00452F97">
      <w:pPr>
        <w:pStyle w:val="OZNRODZAKTUtznustawalubrozporzdzenieiorganwydajcy"/>
        <w:rPr>
          <w:rFonts w:eastAsia="Aptos"/>
        </w:rPr>
      </w:pPr>
      <w:r w:rsidRPr="00452F97">
        <w:rPr>
          <w:rFonts w:eastAsia="Aptos"/>
        </w:rPr>
        <w:t>USTAWA</w:t>
      </w:r>
    </w:p>
    <w:p w14:paraId="59E3D14C" w14:textId="2F02617C" w:rsidR="00452F97" w:rsidRPr="00452F97" w:rsidRDefault="00452F97" w:rsidP="00452F97">
      <w:pPr>
        <w:pStyle w:val="DATAAKTUdatauchwalenialubwydaniaaktu"/>
      </w:pPr>
      <w:r w:rsidRPr="00452F97">
        <w:t>z dnia … 2025 r.</w:t>
      </w:r>
    </w:p>
    <w:p w14:paraId="13E13DC8" w14:textId="6E85794A" w:rsidR="00452F97" w:rsidRPr="00452F97" w:rsidRDefault="00452F97" w:rsidP="00452F97">
      <w:pPr>
        <w:pStyle w:val="TYTUAKTUprzedmiotregulacjiustawylubrozporzdzenia"/>
      </w:pPr>
      <w:r w:rsidRPr="00452F97">
        <w:t>o zmianie ustawy o finansowaniu zadań oświatowych</w:t>
      </w:r>
      <w:r w:rsidR="00D60A47">
        <w:t xml:space="preserve"> oraz ustawy o zmianie ustawy </w:t>
      </w:r>
      <w:r w:rsidR="00D60A47" w:rsidRPr="00D60A47">
        <w:t>–</w:t>
      </w:r>
      <w:r w:rsidR="00D60A47">
        <w:t xml:space="preserve"> Prawo oświatowe oraz niektórych innych ustaw</w:t>
      </w:r>
    </w:p>
    <w:p w14:paraId="3BB97FF5" w14:textId="7B6813A9" w:rsidR="00452F97" w:rsidRPr="00452F97" w:rsidRDefault="00452F97" w:rsidP="00452F97">
      <w:pPr>
        <w:pStyle w:val="ARTartustawynprozporzdzenia"/>
        <w:keepNext/>
      </w:pPr>
      <w:r w:rsidRPr="00452F97">
        <w:rPr>
          <w:rStyle w:val="Ppogrubienie"/>
        </w:rPr>
        <w:t>Art. 1.</w:t>
      </w:r>
      <w:r w:rsidRPr="00452F97">
        <w:t> W ustawie z dnia 27 października 2017 r. o finansowaniu zadań oświatowych (Dz. U. z 2025 r. poz. 439) wprowadza się następujące zmiany:</w:t>
      </w:r>
    </w:p>
    <w:p w14:paraId="566EBC29" w14:textId="112E052D" w:rsidR="00452F97" w:rsidRPr="00452F97" w:rsidRDefault="00452F97" w:rsidP="00452F97">
      <w:pPr>
        <w:pStyle w:val="PKTpunkt"/>
        <w:keepNext/>
      </w:pPr>
      <w:r w:rsidRPr="00452F97">
        <w:t>1)</w:t>
      </w:r>
      <w:r w:rsidRPr="00452F97">
        <w:tab/>
        <w:t>w art. 33 ust. 3 otrzymuje brzmienie:</w:t>
      </w:r>
    </w:p>
    <w:p w14:paraId="24362355" w14:textId="6CD6E549" w:rsidR="00452F97" w:rsidRPr="00452F97" w:rsidRDefault="00452F97" w:rsidP="00452F97">
      <w:pPr>
        <w:pStyle w:val="ZUSTzmustartykuempunktem"/>
      </w:pPr>
      <w:r w:rsidRPr="00452F97">
        <w:t>„3. Jeżeli określony odpowiednio w zezwoleniu, o którym mowa w art. 88 ust. 4 lub art. 90 ust. 1 ustawy – Prawo oświatowe, albo w zgłoszeniu do ewidencji, o którym mowa w art. 168 ust. 4 ustawy – Prawo oświatowe, dzień rozpoczęcia działalności przedszkola, innej formy wychowania przedszkolnego, szkoły oraz placówki, o której mowa w art. 2 pkt 6–8 ustawy – Prawo oświatowe, przypada:</w:t>
      </w:r>
    </w:p>
    <w:p w14:paraId="41CE6C00" w14:textId="2604DC32" w:rsidR="00452F97" w:rsidRPr="00452F97" w:rsidRDefault="00452F97" w:rsidP="00452F97">
      <w:pPr>
        <w:pStyle w:val="ZPKTzmpktartykuempunktem"/>
      </w:pPr>
      <w:r w:rsidRPr="00452F97">
        <w:t>1)</w:t>
      </w:r>
      <w:r w:rsidRPr="00452F97">
        <w:tab/>
        <w:t>w okresie od dnia 1 stycznia do dnia 15 czerwca roku budżetowego, warunek, o którym mowa w ust. 1 pkt 2, po raz pierwszy ma zastosowanie do dotacji przekazywanych w roku następującym po roku, w którym przedszkole, inna forma wychowania przedszkolnego, szkoła oraz placówka, o której mowa w art. 2 pkt 6–8 ustawy – Prawo oświatowe, rozpoczęł</w:t>
      </w:r>
      <w:r w:rsidR="00741892">
        <w:t>y</w:t>
      </w:r>
      <w:r w:rsidRPr="00452F97">
        <w:t xml:space="preserve"> działalność;</w:t>
      </w:r>
    </w:p>
    <w:p w14:paraId="7BF9697B" w14:textId="642A2075" w:rsidR="00452F97" w:rsidRPr="00452F97" w:rsidRDefault="00452F97" w:rsidP="00452F97">
      <w:pPr>
        <w:pStyle w:val="ZPKTzmpktartykuempunktem"/>
      </w:pPr>
      <w:r w:rsidRPr="00452F97">
        <w:t>2)</w:t>
      </w:r>
      <w:r w:rsidRPr="00452F97">
        <w:tab/>
        <w:t>w okresie od dnia 16 czerwca do dnia 30 września roku budżetowego, warunek, o którym mowa w ust. 1 pkt 2, w zakresie dotyczącym przekazania danych według stanu:</w:t>
      </w:r>
    </w:p>
    <w:p w14:paraId="2A509097" w14:textId="077651CD" w:rsidR="00452F97" w:rsidRPr="00452F97" w:rsidRDefault="00452F97" w:rsidP="00452F97">
      <w:pPr>
        <w:pStyle w:val="ZLITwPKTzmlitwpktartykuempunktem"/>
      </w:pPr>
      <w:r w:rsidRPr="00452F97">
        <w:t>a)</w:t>
      </w:r>
      <w:r w:rsidRPr="00452F97">
        <w:tab/>
        <w:t>na dzień 30 września roku bazowego, po raz pierwszy ma zastosowanie do dotacji przekazywanych w roku następującym po roku, w którym przedszkole, inna forma wychowania przedszkolnego, szkoła oraz placówka, o której mowa w art. 2 pkt 6–8 ustawy – Prawo oświatowe, rozpoczęł</w:t>
      </w:r>
      <w:r w:rsidR="00741892">
        <w:t>y</w:t>
      </w:r>
      <w:r w:rsidRPr="00452F97">
        <w:t xml:space="preserve"> działalność,</w:t>
      </w:r>
    </w:p>
    <w:p w14:paraId="5D8CEDC9" w14:textId="61C91E8A" w:rsidR="00452F97" w:rsidRPr="00452F97" w:rsidRDefault="00452F97" w:rsidP="00452F97">
      <w:pPr>
        <w:pStyle w:val="ZLITwPKTzmlitwpktartykuempunktem"/>
      </w:pPr>
      <w:r w:rsidRPr="00452F97">
        <w:t>b)</w:t>
      </w:r>
      <w:r w:rsidRPr="00452F97">
        <w:tab/>
        <w:t xml:space="preserve">na dzień 15 czerwca roku bazowego, po raz pierwszy ma zastosowanie do dotacji przekazywanych w drugim roku następującym po roku, w którym przedszkole, inna forma wychowania przedszkolnego, szkoła </w:t>
      </w:r>
      <w:r w:rsidRPr="00452F97">
        <w:lastRenderedPageBreak/>
        <w:t>oraz placówka, o której mowa w art. 2 pkt 6–8 ustawy – Prawo oświatowe, rozpoczęł</w:t>
      </w:r>
      <w:r w:rsidR="00893F93">
        <w:t>y</w:t>
      </w:r>
      <w:r w:rsidRPr="00452F97">
        <w:t xml:space="preserve"> działalność;</w:t>
      </w:r>
    </w:p>
    <w:p w14:paraId="4F73BD6D" w14:textId="1296DC6A" w:rsidR="00452F97" w:rsidRPr="00452F97" w:rsidRDefault="00452F97" w:rsidP="00452F97">
      <w:pPr>
        <w:pStyle w:val="ZPKTzmpktartykuempunktem"/>
      </w:pPr>
      <w:r w:rsidRPr="00452F97">
        <w:t>3)</w:t>
      </w:r>
      <w:r w:rsidRPr="00452F97">
        <w:tab/>
        <w:t>w okresie od dnia 1 października do dnia 31 grudnia roku budżetowego, warunek, o którym mowa w ust. 1 pkt 2, po raz pierwszy ma zastosowanie do dotacji przekazywanych w drugim roku następującym po roku, w którym przedszkole, inna forma wychowania przedszkolnego, szkoła oraz placówka, o której mowa w art. 2 pkt 6–8 ustawy – Prawo oświatowe, rozpoczęł</w:t>
      </w:r>
      <w:r w:rsidR="00741892">
        <w:t>y</w:t>
      </w:r>
      <w:r w:rsidRPr="00452F97">
        <w:t xml:space="preserve"> działalność.”;</w:t>
      </w:r>
    </w:p>
    <w:p w14:paraId="58BFFE40" w14:textId="409292C5" w:rsidR="00452F97" w:rsidRPr="00452F97" w:rsidRDefault="00452F97" w:rsidP="00452F97">
      <w:pPr>
        <w:pStyle w:val="PKTpunkt"/>
        <w:keepNext/>
      </w:pPr>
      <w:r w:rsidRPr="00452F97">
        <w:t>2)</w:t>
      </w:r>
      <w:r w:rsidRPr="00452F97">
        <w:tab/>
        <w:t>po art. 145j dodaje się art. 145k w brzmieniu:</w:t>
      </w:r>
    </w:p>
    <w:p w14:paraId="5889C1F4" w14:textId="056F91D8" w:rsidR="00452F97" w:rsidRPr="00452F97" w:rsidRDefault="00452F97" w:rsidP="00452F97">
      <w:pPr>
        <w:pStyle w:val="ZARTzmartartykuempunktem"/>
        <w:keepNext/>
      </w:pPr>
      <w:r w:rsidRPr="00452F97">
        <w:t>„Art. 145k. Do dotacji na:</w:t>
      </w:r>
    </w:p>
    <w:p w14:paraId="092C4315" w14:textId="2EB21506" w:rsidR="00452F97" w:rsidRPr="00452F97" w:rsidRDefault="00452F97" w:rsidP="00452F97">
      <w:pPr>
        <w:pStyle w:val="ZPKTzmpktartykuempunktem"/>
      </w:pPr>
      <w:r w:rsidRPr="00452F97">
        <w:t>1)</w:t>
      </w:r>
      <w:r w:rsidRPr="00452F97">
        <w:tab/>
        <w:t xml:space="preserve">uczniów, którzy przed dniem 1 stycznia 2025 r. ukończyli publiczne lub niepubliczne licea ogólnokształcące dla dorosłych, publiczne lub niepubliczne branżowe szkoły II stopnia i publiczne lub niepubliczne szkoły policealne, niebędące szkołami specjalnymi – stosuje się odpowiednio </w:t>
      </w:r>
      <w:r w:rsidR="00741892">
        <w:t xml:space="preserve">przepisy </w:t>
      </w:r>
      <w:r w:rsidRPr="00452F97">
        <w:t>art. 25 ust. 5 lub art. 26 ust. 5</w:t>
      </w:r>
      <w:r w:rsidR="00741892">
        <w:t>,</w:t>
      </w:r>
    </w:p>
    <w:p w14:paraId="28E705FB" w14:textId="4DA837B3" w:rsidR="00452F97" w:rsidRPr="00452F97" w:rsidRDefault="00452F97" w:rsidP="00452F97">
      <w:pPr>
        <w:pStyle w:val="ZPKTzmpktartykuempunktem"/>
      </w:pPr>
      <w:r w:rsidRPr="00452F97">
        <w:t>2)</w:t>
      </w:r>
      <w:r w:rsidRPr="00452F97">
        <w:tab/>
        <w:t xml:space="preserve">słuchaczy, którzy przed dniem 1 stycznia 2025 r. rozpoczęli kwalifikacyjny kurs zawodowy prowadzony przez publiczne szkoły ponadpodstawowe prowadzone przez osoby prawne niebędące jednostkami samorządu terytorialnego oraz osoby fizyczne – stosuje się </w:t>
      </w:r>
      <w:r w:rsidR="00741892">
        <w:t xml:space="preserve">przepis </w:t>
      </w:r>
      <w:r w:rsidRPr="00452F97">
        <w:t>art. 31 ust. 1</w:t>
      </w:r>
      <w:r w:rsidR="00741892">
        <w:t>,</w:t>
      </w:r>
    </w:p>
    <w:p w14:paraId="5FBC86E4" w14:textId="0EE63FA5" w:rsidR="00452F97" w:rsidRPr="00452F97" w:rsidRDefault="00452F97" w:rsidP="00452F97">
      <w:pPr>
        <w:pStyle w:val="ZPKTzmpktartykuempunktem"/>
      </w:pPr>
      <w:r w:rsidRPr="00452F97">
        <w:t>3)</w:t>
      </w:r>
      <w:r w:rsidRPr="00452F97">
        <w:tab/>
        <w:t xml:space="preserve">słuchaczy, którzy przed dniem 1 stycznia 2025 r. ukończyli kwalifikacyjny kurs zawodowy prowadzony przez publiczne szkoły ponadpodstawowe prowadzone przez osoby prawne niebędące jednostkami samorządu terytorialnego oraz osoby fizyczne – stosuje się </w:t>
      </w:r>
      <w:r w:rsidR="00741892">
        <w:t xml:space="preserve">przepis </w:t>
      </w:r>
      <w:r w:rsidRPr="00452F97">
        <w:t>art. 31 ust. 1a</w:t>
      </w:r>
      <w:r w:rsidR="00741892">
        <w:t>,</w:t>
      </w:r>
    </w:p>
    <w:p w14:paraId="5E8FB570" w14:textId="64956877" w:rsidR="00452F97" w:rsidRPr="00452F97" w:rsidRDefault="00452F97" w:rsidP="00452F97">
      <w:pPr>
        <w:pStyle w:val="ZPKTzmpktartykuempunktem"/>
      </w:pPr>
      <w:r w:rsidRPr="00452F97">
        <w:t>4)</w:t>
      </w:r>
      <w:r w:rsidRPr="00452F97">
        <w:tab/>
        <w:t xml:space="preserve">słuchaczy, którzy przed dniem 1 stycznia 2025 r. ukończyli kwalifikacyjny kurs zawodowy prowadzony przez niepubliczne szkoły ponadpodstawowe prowadzone przez osoby prawne niebędące jednostkami samorządu terytorialnego oraz osoby fizyczne – stosuje się </w:t>
      </w:r>
      <w:r w:rsidR="00741892">
        <w:t xml:space="preserve">przepis </w:t>
      </w:r>
      <w:r w:rsidRPr="00452F97">
        <w:t>art. 31a ust. 1</w:t>
      </w:r>
    </w:p>
    <w:p w14:paraId="4F19A458" w14:textId="77777777" w:rsidR="00D60A47" w:rsidRDefault="00452F97" w:rsidP="00D60A47">
      <w:pPr>
        <w:pStyle w:val="ZCZWSPPKTzmczciwsppktartykuempunktem"/>
      </w:pPr>
      <w:r w:rsidRPr="00452F97">
        <w:t>– w brzmieniu obowiązującym w dniu 31 grudnia 2024 r.”.</w:t>
      </w:r>
    </w:p>
    <w:p w14:paraId="230A8CF0" w14:textId="31EF9451" w:rsidR="00FB5387" w:rsidRPr="00FB5387" w:rsidRDefault="00452F97" w:rsidP="001C4F54">
      <w:pPr>
        <w:pStyle w:val="ARTartustawynprozporzdzenia"/>
      </w:pPr>
      <w:r w:rsidRPr="00452F97">
        <w:rPr>
          <w:rStyle w:val="Ppogrubienie"/>
        </w:rPr>
        <w:t>Art. 2.</w:t>
      </w:r>
      <w:r w:rsidRPr="00452F97">
        <w:t> </w:t>
      </w:r>
      <w:r w:rsidR="00FB5387" w:rsidRPr="00FB5387">
        <w:t>W ustawie z dnia 30 sierpnia 2023 r. o zmianie ustawy – Prawo oświatowe oraz niektórych innych ustaw (Dz. U. poz. 2005 oraz z 2024 r. poz. 1572) po art. 33a dodaje się art. 33b i art. 33c w brzmieniu:</w:t>
      </w:r>
    </w:p>
    <w:p w14:paraId="66CD981F" w14:textId="6C103526" w:rsidR="00FB5387" w:rsidRPr="00FB5387" w:rsidRDefault="00FB5387" w:rsidP="001C4F54">
      <w:pPr>
        <w:pStyle w:val="ZARTzmartartykuempunktem"/>
      </w:pPr>
      <w:r w:rsidRPr="00FB5387">
        <w:t>„Art. 33b. Przepisy art. 18</w:t>
      </w:r>
      <w:r w:rsidR="001C4F54">
        <w:t xml:space="preserve">, </w:t>
      </w:r>
      <w:r w:rsidRPr="00FB5387">
        <w:t xml:space="preserve">art. 31 ust. 2 </w:t>
      </w:r>
      <w:r w:rsidR="001C4F54">
        <w:t xml:space="preserve">i art. 32 ust. 2 </w:t>
      </w:r>
      <w:r w:rsidRPr="00FB5387">
        <w:t xml:space="preserve">stosuje się odpowiednio do branżowych centrów umiejętności wyłonionych w kolejnych </w:t>
      </w:r>
      <w:r w:rsidRPr="00FB5387">
        <w:lastRenderedPageBreak/>
        <w:t xml:space="preserve">edycjach </w:t>
      </w:r>
      <w:bookmarkStart w:id="0" w:name="_Hlk214971086"/>
      <w:r w:rsidRPr="00FB5387">
        <w:t>konkursu „Utworzenie i wsparcie funkcjonowania 120 branżowych centrów umiejętności (BCU), realizujących koncepcję centrów doskonałości zawodowej (CoVEs)”</w:t>
      </w:r>
      <w:bookmarkEnd w:id="0"/>
      <w:r w:rsidRPr="00FB5387">
        <w:t>, ogłoszonych w latach 2024 i 2025.</w:t>
      </w:r>
    </w:p>
    <w:p w14:paraId="126AE328" w14:textId="04571617" w:rsidR="00741892" w:rsidRDefault="00FB5387" w:rsidP="005436A0">
      <w:pPr>
        <w:pStyle w:val="ZARTzmartartykuempunktem"/>
      </w:pPr>
      <w:r w:rsidRPr="00FB5387">
        <w:t>Art. 33c. Branżowe szkolenia zawodowe realizowane przez branżowe centra umiejętności wyłonione w kolejnych edycjach konkursu „Utworzenie i wsparcie funkcjonowania 120 branżowych centrów umiejętności (BCU), realizujących koncepcję centrów doskonałości zawodowej (CoVEs)”, ogłoszonych w latach 2024 i 2025, oraz tworzące ogólnopolską sieć branżowych centrów umiejętności, o której mowa w art. 8a ust. 7 ustawy zmienianej w art. 1, w brzmieniu nadanym niniejszą ustawą, są finansowane w okresie od dnia 1 lipca 2026 r. do dnia 31 grudnia 2026 r. w ramach kwoty potrzeb oświatowych ustalonej na rok 2026, zgodnie z przepisami wydanymi na podstawie art. 26 ust. 6 ustawy z dnia 1 października 2024 r. o dochodach jednostek samorządu terytorialnego (Dz. U. poz. 1572 i 1717).”.</w:t>
      </w:r>
    </w:p>
    <w:p w14:paraId="419B9CDA" w14:textId="50D66CDA" w:rsidR="00452F97" w:rsidRPr="00452F97" w:rsidRDefault="00741892" w:rsidP="00452F97">
      <w:pPr>
        <w:pStyle w:val="ARTartustawynprozporzdzenia"/>
      </w:pPr>
      <w:r w:rsidRPr="00741892">
        <w:rPr>
          <w:rStyle w:val="Ppogrubienie"/>
        </w:rPr>
        <w:t>Art. 3.</w:t>
      </w:r>
      <w:r>
        <w:t xml:space="preserve"> </w:t>
      </w:r>
      <w:r w:rsidR="00452F97" w:rsidRPr="00452F97">
        <w:t>Dotacje, o których mowa w art. 145k ustawy zmienianej w art. 1, do których prawo powstało przed dniem wejścia w życie niniejszej ustawy, niewypłacone do dnia wejścia w życie niniejszej ustawy, są przekazywane jednorazowo w terminie 30 dni od dnia wejścia w życie niniejszej ustawy.</w:t>
      </w:r>
    </w:p>
    <w:p w14:paraId="05A09898" w14:textId="5E6EF907" w:rsidR="00452F97" w:rsidRPr="00452F97" w:rsidRDefault="00452F97" w:rsidP="00452F97">
      <w:pPr>
        <w:pStyle w:val="ARTartustawynprozporzdzenia"/>
      </w:pPr>
      <w:r w:rsidRPr="00452F97">
        <w:rPr>
          <w:rStyle w:val="Ppogrubienie"/>
        </w:rPr>
        <w:t>Art. </w:t>
      </w:r>
      <w:r w:rsidR="00741892">
        <w:rPr>
          <w:rStyle w:val="Ppogrubienie"/>
        </w:rPr>
        <w:t>4</w:t>
      </w:r>
      <w:r w:rsidRPr="00452F97">
        <w:rPr>
          <w:rStyle w:val="Ppogrubienie"/>
        </w:rPr>
        <w:t>.</w:t>
      </w:r>
      <w:r w:rsidRPr="00452F97">
        <w:t> Ustawa wchodzi w życie z dniem następującym po dniu ogłoszenia.</w:t>
      </w:r>
    </w:p>
    <w:p w14:paraId="2EB3F08D" w14:textId="77777777" w:rsidR="005E31CC" w:rsidRPr="00452F97" w:rsidRDefault="005E31CC" w:rsidP="005315BE">
      <w:pPr>
        <w:rPr>
          <w:rStyle w:val="Ppogrubienie"/>
          <w:b w:val="0"/>
        </w:rPr>
      </w:pPr>
    </w:p>
    <w:sectPr w:rsidR="005E31CC" w:rsidRPr="00452F97" w:rsidSect="0039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C55C5" w14:textId="77777777" w:rsidR="003150D7" w:rsidRDefault="003150D7">
      <w:r>
        <w:separator/>
      </w:r>
    </w:p>
  </w:endnote>
  <w:endnote w:type="continuationSeparator" w:id="0">
    <w:p w14:paraId="251F78D7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71E2" w14:textId="77777777" w:rsidR="00741892" w:rsidRDefault="007418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F9AC" w14:textId="77777777" w:rsidR="00741892" w:rsidRDefault="007418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4B30F" w14:textId="77777777" w:rsidR="00741892" w:rsidRDefault="007418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2FAB4" w14:textId="77777777" w:rsidR="003150D7" w:rsidRDefault="003150D7">
      <w:r>
        <w:separator/>
      </w:r>
    </w:p>
  </w:footnote>
  <w:footnote w:type="continuationSeparator" w:id="0">
    <w:p w14:paraId="1BDB2805" w14:textId="77777777" w:rsidR="003150D7" w:rsidRDefault="0031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2827" w14:textId="77777777" w:rsidR="00741892" w:rsidRDefault="007418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E7DB7" w14:textId="0A4C7F5E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93F93">
      <w:rPr>
        <w:rStyle w:val="Ppogrubienie"/>
        <w:noProof/>
      </w:rPr>
      <w:t>2025-12-05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93F93">
          <w:rPr>
            <w:rStyle w:val="Ppogrubienie"/>
            <w:noProof/>
          </w:rPr>
          <w:t>V3_1982-3.NK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579A3DA" w14:textId="5287D770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71E9B75" wp14:editId="6C3EBE1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452F97">
      <w:rPr>
        <w:rStyle w:val="Ppogrubienie"/>
      </w:rPr>
      <w:t xml:space="preserve"> 2005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EF9F" w14:textId="21216EF2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93F93">
      <w:rPr>
        <w:rStyle w:val="Ppogrubienie"/>
        <w:noProof/>
      </w:rPr>
      <w:t>2025-12-05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8A783E6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0EF8BB" wp14:editId="5F68F45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18141096">
    <w:abstractNumId w:val="24"/>
  </w:num>
  <w:num w:numId="2" w16cid:durableId="318389582">
    <w:abstractNumId w:val="24"/>
  </w:num>
  <w:num w:numId="3" w16cid:durableId="34738343">
    <w:abstractNumId w:val="19"/>
  </w:num>
  <w:num w:numId="4" w16cid:durableId="1817643656">
    <w:abstractNumId w:val="19"/>
  </w:num>
  <w:num w:numId="5" w16cid:durableId="1198739639">
    <w:abstractNumId w:val="38"/>
  </w:num>
  <w:num w:numId="6" w16cid:durableId="1783065154">
    <w:abstractNumId w:val="34"/>
  </w:num>
  <w:num w:numId="7" w16cid:durableId="751203275">
    <w:abstractNumId w:val="38"/>
  </w:num>
  <w:num w:numId="8" w16cid:durableId="952858305">
    <w:abstractNumId w:val="34"/>
  </w:num>
  <w:num w:numId="9" w16cid:durableId="1305743463">
    <w:abstractNumId w:val="38"/>
  </w:num>
  <w:num w:numId="10" w16cid:durableId="1871257840">
    <w:abstractNumId w:val="34"/>
  </w:num>
  <w:num w:numId="11" w16cid:durableId="679427757">
    <w:abstractNumId w:val="15"/>
  </w:num>
  <w:num w:numId="12" w16cid:durableId="1663003089">
    <w:abstractNumId w:val="10"/>
  </w:num>
  <w:num w:numId="13" w16cid:durableId="768157701">
    <w:abstractNumId w:val="16"/>
  </w:num>
  <w:num w:numId="14" w16cid:durableId="1424647331">
    <w:abstractNumId w:val="28"/>
  </w:num>
  <w:num w:numId="15" w16cid:durableId="147131438">
    <w:abstractNumId w:val="15"/>
  </w:num>
  <w:num w:numId="16" w16cid:durableId="731192183">
    <w:abstractNumId w:val="17"/>
  </w:num>
  <w:num w:numId="17" w16cid:durableId="890534191">
    <w:abstractNumId w:val="8"/>
  </w:num>
  <w:num w:numId="18" w16cid:durableId="522864075">
    <w:abstractNumId w:val="3"/>
  </w:num>
  <w:num w:numId="19" w16cid:durableId="508059035">
    <w:abstractNumId w:val="2"/>
  </w:num>
  <w:num w:numId="20" w16cid:durableId="1879468165">
    <w:abstractNumId w:val="1"/>
  </w:num>
  <w:num w:numId="21" w16cid:durableId="1806509588">
    <w:abstractNumId w:val="0"/>
  </w:num>
  <w:num w:numId="22" w16cid:durableId="921258083">
    <w:abstractNumId w:val="9"/>
  </w:num>
  <w:num w:numId="23" w16cid:durableId="1073429350">
    <w:abstractNumId w:val="7"/>
  </w:num>
  <w:num w:numId="24" w16cid:durableId="1606501275">
    <w:abstractNumId w:val="6"/>
  </w:num>
  <w:num w:numId="25" w16cid:durableId="741023546">
    <w:abstractNumId w:val="5"/>
  </w:num>
  <w:num w:numId="26" w16cid:durableId="1009060647">
    <w:abstractNumId w:val="4"/>
  </w:num>
  <w:num w:numId="27" w16cid:durableId="227083655">
    <w:abstractNumId w:val="36"/>
  </w:num>
  <w:num w:numId="28" w16cid:durableId="260066832">
    <w:abstractNumId w:val="27"/>
  </w:num>
  <w:num w:numId="29" w16cid:durableId="2007172186">
    <w:abstractNumId w:val="39"/>
  </w:num>
  <w:num w:numId="30" w16cid:durableId="1015570403">
    <w:abstractNumId w:val="35"/>
  </w:num>
  <w:num w:numId="31" w16cid:durableId="1917470966">
    <w:abstractNumId w:val="20"/>
  </w:num>
  <w:num w:numId="32" w16cid:durableId="84696376">
    <w:abstractNumId w:val="11"/>
  </w:num>
  <w:num w:numId="33" w16cid:durableId="2122727692">
    <w:abstractNumId w:val="33"/>
  </w:num>
  <w:num w:numId="34" w16cid:durableId="1302035036">
    <w:abstractNumId w:val="21"/>
  </w:num>
  <w:num w:numId="35" w16cid:durableId="211769620">
    <w:abstractNumId w:val="18"/>
  </w:num>
  <w:num w:numId="36" w16cid:durableId="523130770">
    <w:abstractNumId w:val="23"/>
  </w:num>
  <w:num w:numId="37" w16cid:durableId="1090003950">
    <w:abstractNumId w:val="29"/>
  </w:num>
  <w:num w:numId="38" w16cid:durableId="2044474603">
    <w:abstractNumId w:val="26"/>
  </w:num>
  <w:num w:numId="39" w16cid:durableId="27490702">
    <w:abstractNumId w:val="14"/>
  </w:num>
  <w:num w:numId="40" w16cid:durableId="1405487664">
    <w:abstractNumId w:val="32"/>
  </w:num>
  <w:num w:numId="41" w16cid:durableId="1813447675">
    <w:abstractNumId w:val="30"/>
  </w:num>
  <w:num w:numId="42" w16cid:durableId="542013167">
    <w:abstractNumId w:val="22"/>
  </w:num>
  <w:num w:numId="43" w16cid:durableId="1069958749">
    <w:abstractNumId w:val="37"/>
  </w:num>
  <w:num w:numId="44" w16cid:durableId="1490747408">
    <w:abstractNumId w:val="13"/>
  </w:num>
  <w:num w:numId="45" w16cid:durableId="94641112">
    <w:abstractNumId w:val="40"/>
  </w:num>
  <w:num w:numId="46" w16cid:durableId="194662879">
    <w:abstractNumId w:val="25"/>
  </w:num>
  <w:num w:numId="47" w16cid:durableId="1899972183">
    <w:abstractNumId w:val="12"/>
  </w:num>
  <w:num w:numId="48" w16cid:durableId="4258126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4F54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2F97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37DC1"/>
    <w:rsid w:val="005436A0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1892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5E8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3F93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1248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0A47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B5387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B908E5F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13</TotalTime>
  <Pages>3</Pages>
  <Words>796</Words>
  <Characters>4389</Characters>
  <Application>Microsoft Office Word</Application>
  <DocSecurity>0</DocSecurity>
  <Lines>84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legislator </cp:lastModifiedBy>
  <cp:revision>10</cp:revision>
  <cp:lastPrinted>2012-04-23T06:39:00Z</cp:lastPrinted>
  <dcterms:created xsi:type="dcterms:W3CDTF">2021-04-27T10:54:00Z</dcterms:created>
  <dcterms:modified xsi:type="dcterms:W3CDTF">2025-12-05T10:22:00Z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